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98F07" w14:textId="7C1DE64A" w:rsidR="00977CF6" w:rsidRPr="00130899" w:rsidRDefault="006362D3" w:rsidP="006362D3">
      <w:pPr>
        <w:pStyle w:val="Pagedecouverture"/>
        <w:rPr>
          <w:noProof/>
        </w:rPr>
      </w:pPr>
      <w:r>
        <w:rPr>
          <w:noProof/>
        </w:rPr>
        <w:pict w14:anchorId="6999D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8" type="#_x0000_t75" alt="C7A852CA-BB83-43DD-A294-303B45B430BA" style="width:455.25pt;height:369.75pt">
            <v:imagedata r:id="rId13" o:title=""/>
          </v:shape>
        </w:pict>
      </w:r>
    </w:p>
    <w:p w14:paraId="7880CDFD" w14:textId="77777777" w:rsidR="00977CF6" w:rsidRPr="00130899" w:rsidRDefault="00977CF6" w:rsidP="00977CF6">
      <w:pPr>
        <w:rPr>
          <w:noProof/>
        </w:rPr>
        <w:sectPr w:rsidR="00977CF6" w:rsidRPr="00130899" w:rsidSect="006362D3">
          <w:footerReference w:type="default" r:id="rId14"/>
          <w:pgSz w:w="11907" w:h="16839"/>
          <w:pgMar w:top="1134" w:right="1417" w:bottom="1134" w:left="1417" w:header="709" w:footer="709" w:gutter="0"/>
          <w:pgNumType w:start="0"/>
          <w:cols w:space="720"/>
          <w:docGrid w:linePitch="360"/>
        </w:sectPr>
      </w:pPr>
    </w:p>
    <w:p w14:paraId="006B69EF" w14:textId="77777777" w:rsidR="00977CF6" w:rsidRPr="00130899" w:rsidRDefault="00977CF6" w:rsidP="000430BD">
      <w:pPr>
        <w:pStyle w:val="Exposdesmotifstitre"/>
        <w:rPr>
          <w:noProof/>
        </w:rPr>
      </w:pPr>
      <w:bookmarkStart w:id="0" w:name="_GoBack"/>
      <w:bookmarkEnd w:id="0"/>
      <w:r w:rsidRPr="00130899">
        <w:rPr>
          <w:noProof/>
        </w:rPr>
        <w:lastRenderedPageBreak/>
        <w:t>ОБЯСНИТЕЛЕН МЕМОРАНДУМ</w:t>
      </w:r>
    </w:p>
    <w:p w14:paraId="33CBB597" w14:textId="77777777" w:rsidR="00977CF6" w:rsidRPr="00130899" w:rsidRDefault="00977CF6" w:rsidP="000430BD">
      <w:pPr>
        <w:pStyle w:val="ManualHeading1"/>
        <w:rPr>
          <w:noProof/>
        </w:rPr>
      </w:pPr>
      <w:r w:rsidRPr="00130899">
        <w:rPr>
          <w:noProof/>
        </w:rPr>
        <w:t>1.</w:t>
      </w:r>
      <w:r w:rsidRPr="00130899">
        <w:rPr>
          <w:noProof/>
        </w:rPr>
        <w:tab/>
        <w:t>КОНТЕКСТ НА ПРЕДЛОЖЕНИЕТО</w:t>
      </w:r>
    </w:p>
    <w:p w14:paraId="29022B70" w14:textId="77777777" w:rsidR="00977CF6" w:rsidRPr="00130899" w:rsidRDefault="00977CF6" w:rsidP="000430BD">
      <w:pPr>
        <w:pStyle w:val="ManualHeading2"/>
        <w:rPr>
          <w:noProof/>
        </w:rPr>
      </w:pPr>
      <w:r w:rsidRPr="00130899">
        <w:rPr>
          <w:noProof/>
          <w:u w:color="000000"/>
          <w:bdr w:val="nil"/>
        </w:rPr>
        <w:t>•</w:t>
      </w:r>
      <w:r w:rsidRPr="00130899">
        <w:rPr>
          <w:noProof/>
        </w:rPr>
        <w:tab/>
        <w:t>Основания и цели на предложението</w:t>
      </w:r>
    </w:p>
    <w:p w14:paraId="534934E6" w14:textId="77777777" w:rsidR="00173A86" w:rsidRPr="00130899" w:rsidRDefault="00222D8E" w:rsidP="00222D8E">
      <w:pPr>
        <w:pBdr>
          <w:top w:val="nil"/>
          <w:left w:val="nil"/>
          <w:bottom w:val="nil"/>
          <w:right w:val="nil"/>
          <w:between w:val="nil"/>
          <w:bar w:val="nil"/>
        </w:pBdr>
        <w:spacing w:before="0" w:after="240"/>
        <w:rPr>
          <w:noProof/>
        </w:rPr>
      </w:pPr>
      <w:r w:rsidRPr="00130899">
        <w:rPr>
          <w:noProof/>
        </w:rPr>
        <w:t xml:space="preserve">В ЕС инвеститорите по принцип могат да бъдат задължени да плащат два пъти данък върху доходите, които получават от притежаването на ценни книжа (а именно дивиденти от притежавани акции и лихви от притежавани облигации) в трансграничен контекст. </w:t>
      </w:r>
    </w:p>
    <w:p w14:paraId="3A7F4F82" w14:textId="77777777" w:rsidR="00173A86" w:rsidRPr="00130899" w:rsidRDefault="00222D8E" w:rsidP="00081402">
      <w:pPr>
        <w:pStyle w:val="Bullet0"/>
        <w:numPr>
          <w:ilvl w:val="0"/>
          <w:numId w:val="10"/>
        </w:numPr>
        <w:rPr>
          <w:noProof/>
        </w:rPr>
      </w:pPr>
      <w:r w:rsidRPr="00130899">
        <w:rPr>
          <w:noProof/>
        </w:rPr>
        <w:t>Първо, в държавата на емитента на ценните книжа (</w:t>
      </w:r>
      <w:r w:rsidRPr="00130899">
        <w:rPr>
          <w:b/>
          <w:noProof/>
        </w:rPr>
        <w:t>държавата на източника</w:t>
      </w:r>
      <w:r w:rsidRPr="00130899">
        <w:rPr>
          <w:noProof/>
        </w:rPr>
        <w:t>) могат да бъдат наложени данъци под формата на данък, удържан от брутния доход от ценните книжа (</w:t>
      </w:r>
      <w:r w:rsidRPr="00130899">
        <w:rPr>
          <w:b/>
          <w:noProof/>
        </w:rPr>
        <w:t>данък, удържан при източника</w:t>
      </w:r>
      <w:r w:rsidRPr="00130899">
        <w:rPr>
          <w:noProof/>
        </w:rPr>
        <w:t xml:space="preserve"> — ДПИ). </w:t>
      </w:r>
    </w:p>
    <w:p w14:paraId="4119F842" w14:textId="701632DC" w:rsidR="00010692" w:rsidRPr="00130899" w:rsidRDefault="30B45375" w:rsidP="002C4E11">
      <w:pPr>
        <w:pStyle w:val="Bullet0"/>
        <w:rPr>
          <w:noProof/>
        </w:rPr>
      </w:pPr>
      <w:r w:rsidRPr="00130899">
        <w:rPr>
          <w:noProof/>
        </w:rPr>
        <w:t xml:space="preserve">Второ, в държавата, на която инвеститорът е </w:t>
      </w:r>
      <w:r w:rsidRPr="00130899">
        <w:rPr>
          <w:b/>
          <w:bCs/>
          <w:noProof/>
        </w:rPr>
        <w:t>местно лице</w:t>
      </w:r>
      <w:r w:rsidRPr="00130899">
        <w:rPr>
          <w:noProof/>
        </w:rPr>
        <w:t xml:space="preserve">, могат да бъдат наложени данъци под формата на </w:t>
      </w:r>
      <w:r w:rsidRPr="00130899">
        <w:rPr>
          <w:b/>
          <w:noProof/>
        </w:rPr>
        <w:t>данък върху доходите</w:t>
      </w:r>
      <w:r w:rsidRPr="00130899">
        <w:rPr>
          <w:noProof/>
        </w:rPr>
        <w:t xml:space="preserve">. </w:t>
      </w:r>
    </w:p>
    <w:p w14:paraId="1C55C123" w14:textId="6BFAD4A2" w:rsidR="00222D8E" w:rsidRPr="00130899" w:rsidRDefault="00222D8E" w:rsidP="00130899">
      <w:pPr>
        <w:pBdr>
          <w:top w:val="nil"/>
          <w:left w:val="nil"/>
          <w:bottom w:val="nil"/>
          <w:right w:val="nil"/>
          <w:between w:val="nil"/>
          <w:bar w:val="nil"/>
        </w:pBdr>
        <w:spacing w:before="0" w:after="240"/>
        <w:rPr>
          <w:noProof/>
        </w:rPr>
      </w:pPr>
      <w:r w:rsidRPr="00130899">
        <w:rPr>
          <w:noProof/>
        </w:rPr>
        <w:t>За да избегнат това двойно данъчно облагане, много държави са се споразумели да поделят правото на данъчно облагане между държавата на източника и държавата, на която лицето е местно лице, като са подписали спогодби за избягване на двойното данъчно облагане (СИДДО). Съгласно условията на тези спогодби чуждестранните инвеститори могат да имат право на по-ниска ставка на ДПИ или на освобождаване от него в държавата на източника. Освен данъчните спогодби, някои държави на източника са въвели правила, които предвиждат по-ниски ставки или освобождаване от данъци за определени чуждестранни данъкоплатци, с оглед на конкретни цели в областта на политиката.</w:t>
      </w:r>
    </w:p>
    <w:p w14:paraId="20DF284B" w14:textId="77777777" w:rsidR="00FE4542" w:rsidRPr="00130899" w:rsidRDefault="00222D8E" w:rsidP="00010692">
      <w:pPr>
        <w:pBdr>
          <w:top w:val="nil"/>
          <w:left w:val="nil"/>
          <w:bottom w:val="nil"/>
          <w:right w:val="nil"/>
          <w:between w:val="nil"/>
          <w:bar w:val="nil"/>
        </w:pBdr>
        <w:spacing w:before="0" w:after="240"/>
        <w:rPr>
          <w:noProof/>
        </w:rPr>
      </w:pPr>
      <w:r w:rsidRPr="00130899">
        <w:rPr>
          <w:noProof/>
        </w:rPr>
        <w:t>Това намаление или освобождаване от ДПИ може да бъде предоставено по два начина. Намалената данъчна ставка или освобождаването от данък се прилага директно в момента на изплащане на дивидента/лихвата (</w:t>
      </w:r>
      <w:r w:rsidRPr="00130899">
        <w:rPr>
          <w:b/>
          <w:noProof/>
        </w:rPr>
        <w:t>данъчни облекчения при източника</w:t>
      </w:r>
      <w:r w:rsidRPr="00130899">
        <w:rPr>
          <w:noProof/>
        </w:rPr>
        <w:t>) или надвзетият данък се възстановява въз основа на искане от страна на инвеститора (</w:t>
      </w:r>
      <w:r w:rsidRPr="00130899">
        <w:rPr>
          <w:b/>
          <w:noProof/>
        </w:rPr>
        <w:t>процедура за възстановяване</w:t>
      </w:r>
      <w:r w:rsidRPr="00130899">
        <w:rPr>
          <w:noProof/>
        </w:rPr>
        <w:t xml:space="preserve">). </w:t>
      </w:r>
    </w:p>
    <w:p w14:paraId="2C199126" w14:textId="26DD76C9" w:rsidR="009E0D0A" w:rsidRPr="00130899" w:rsidRDefault="00222D8E" w:rsidP="00010692">
      <w:pPr>
        <w:pBdr>
          <w:top w:val="nil"/>
          <w:left w:val="nil"/>
          <w:bottom w:val="nil"/>
          <w:right w:val="nil"/>
          <w:between w:val="nil"/>
          <w:bar w:val="nil"/>
        </w:pBdr>
        <w:spacing w:before="0" w:after="240"/>
        <w:rPr>
          <w:noProof/>
        </w:rPr>
      </w:pPr>
      <w:r w:rsidRPr="00130899">
        <w:rPr>
          <w:noProof/>
        </w:rPr>
        <w:t xml:space="preserve">Въпреки това </w:t>
      </w:r>
      <w:r w:rsidRPr="00130899">
        <w:rPr>
          <w:b/>
          <w:noProof/>
        </w:rPr>
        <w:t>процедурите във връзка с ДПИ</w:t>
      </w:r>
      <w:r w:rsidRPr="00130899">
        <w:rPr>
          <w:noProof/>
        </w:rPr>
        <w:t xml:space="preserve">, които позволяват на чуждестранните инвеститори да се възползват от предимствата на данъчните спогодби или от националните предимства, често са </w:t>
      </w:r>
      <w:r w:rsidRPr="00130899">
        <w:rPr>
          <w:b/>
          <w:noProof/>
        </w:rPr>
        <w:t>утежнени, скъпи и продължителни</w:t>
      </w:r>
      <w:r w:rsidRPr="00130899">
        <w:rPr>
          <w:noProof/>
        </w:rPr>
        <w:t xml:space="preserve">, тъй като се различават значително в отделните държави членки както по отношение на документацията, която трябва да бъде представена от данъкоплатците, за да получат освобождаване от ДПИ, така и по отношение на нивото на цифровизация. Също така </w:t>
      </w:r>
      <w:r w:rsidRPr="00130899">
        <w:rPr>
          <w:b/>
          <w:noProof/>
        </w:rPr>
        <w:t>процедурите във връзка с ДПИ</w:t>
      </w:r>
      <w:r w:rsidRPr="00130899">
        <w:rPr>
          <w:noProof/>
        </w:rPr>
        <w:t xml:space="preserve"> все още са </w:t>
      </w:r>
      <w:r w:rsidRPr="00130899">
        <w:rPr>
          <w:b/>
          <w:noProof/>
        </w:rPr>
        <w:t>изложени на риск от данъчни измами и злоупотреби</w:t>
      </w:r>
      <w:r w:rsidRPr="00130899">
        <w:rPr>
          <w:noProof/>
        </w:rPr>
        <w:t>, което води до данъчни загуби за държавите членки, както показаха редица данъчни скандали, по-специално така наречените случаи Cum-Cum и Cum-Ex. Причината за това е липсата на точна информация на разположение на данъчните органи, което се дължи на ниското ниво на прозрачност във финансовата верига и на липсата на информация за наличието на финансови договорености, свързани с базовата ценна книга.</w:t>
      </w:r>
    </w:p>
    <w:p w14:paraId="6BE238B7" w14:textId="1922B6F1" w:rsidR="00AD6F6E" w:rsidRPr="00130899" w:rsidRDefault="00AD6F6E" w:rsidP="009E0D0A">
      <w:pPr>
        <w:pBdr>
          <w:top w:val="nil"/>
          <w:left w:val="nil"/>
          <w:bottom w:val="nil"/>
          <w:right w:val="nil"/>
          <w:between w:val="nil"/>
          <w:bar w:val="nil"/>
        </w:pBdr>
        <w:spacing w:before="0" w:after="240"/>
        <w:rPr>
          <w:noProof/>
        </w:rPr>
      </w:pPr>
      <w:r w:rsidRPr="00130899">
        <w:rPr>
          <w:noProof/>
        </w:rPr>
        <w:t xml:space="preserve">Процедурите за подаване на искане за възстановяване обикновено включват следните стъпки и изисквания: данъкоплатецът (т.е. получателят на плащанията) трябва да докаже, че е местно лице на държавата, с която държавата членка на източника е подписала данъчна спогодба. За тази цел данъкоплатецът трябва да поиска удостоверение за местно лице от данъчния орган на държавата, на която е местно лице. </w:t>
      </w:r>
      <w:r w:rsidRPr="00130899">
        <w:rPr>
          <w:noProof/>
        </w:rPr>
        <w:lastRenderedPageBreak/>
        <w:t>Освен това, в зависимост от държавата на източника, е необходимо да се предоставят редица допълнителни формуляри и документи. Въпреки че обикновено в ЕС държавите членки на източника изискват доказателство, че данъкоплатецът е собственик на ценната книга и получател на дохода, преди да възстановят надвзетите данъци, те могат да изискват и всякакви документи, свързани с веригата на плащане, или конкретни банкови удостоверения (напр. ваучер за дивиденти). Поради неотдавнашни и много значими случаи на сложни измами някои държави членки са въвели или възнамеряват да въведат още по-строги изисквания за документацията като част от своите процедури.</w:t>
      </w:r>
    </w:p>
    <w:p w14:paraId="60A6C37B" w14:textId="63C7762F" w:rsidR="004B5980" w:rsidRPr="00130899" w:rsidRDefault="006849EF" w:rsidP="009E0D0A">
      <w:pPr>
        <w:pBdr>
          <w:top w:val="nil"/>
          <w:left w:val="nil"/>
          <w:bottom w:val="nil"/>
          <w:right w:val="nil"/>
          <w:between w:val="nil"/>
          <w:bar w:val="nil"/>
        </w:pBdr>
        <w:spacing w:before="0" w:after="240"/>
        <w:rPr>
          <w:noProof/>
        </w:rPr>
      </w:pPr>
      <w:r w:rsidRPr="00130899">
        <w:rPr>
          <w:noProof/>
        </w:rPr>
        <w:t xml:space="preserve">Една от най-очевидните форми на данъчна злоупотреба са ситуациите, при които данъкоплатци, които нямат право на по-ниска ставка на ДПИ, участват в сделки (напр. предоставяне в заем на ценни книжа или продажба и обратно изкупуване) със субекти, които биха могли да се възползват от намалена ставка на ДПИ (напр. въз основа на съответната данъчна спогодба или поради специфичния си статут), ако са собственици на ценните книжа, за да разпределят спестените средства помежду си. </w:t>
      </w:r>
    </w:p>
    <w:p w14:paraId="78A64163" w14:textId="760DD784" w:rsidR="006849EF" w:rsidRPr="00130899" w:rsidRDefault="00F81CE6" w:rsidP="009E0D0A">
      <w:pPr>
        <w:pBdr>
          <w:top w:val="nil"/>
          <w:left w:val="nil"/>
          <w:bottom w:val="nil"/>
          <w:right w:val="nil"/>
          <w:between w:val="nil"/>
          <w:bar w:val="nil"/>
        </w:pBdr>
        <w:spacing w:before="0" w:after="240"/>
        <w:rPr>
          <w:noProof/>
        </w:rPr>
      </w:pPr>
      <w:r w:rsidRPr="00130899">
        <w:rPr>
          <w:noProof/>
        </w:rPr>
        <w:t>Този вид злоупотреба е известен още като арбитраж на дивиденти или „Cum-Cum“. Друга форма на злоупотреба са схемите „Cum-Ex“, които действат като схеми за измами чрез подаване на многократни искания за възстановяване: чрез умишлени практики на къси продажби в деня на разпределянето се цели да се създаде объркване между икономическия и юридическия собственик на ценните книжа, което дава възможност и на двете страни да претендират за възстановяване на данъци, които надвишават сумата, която първоначално е била удържана при източника от агента по ДПИ.</w:t>
      </w:r>
    </w:p>
    <w:p w14:paraId="1D276EE6" w14:textId="18419EAC" w:rsidR="009E0D0A" w:rsidRPr="00130899" w:rsidRDefault="009E0D0A" w:rsidP="00166F1C">
      <w:pPr>
        <w:pBdr>
          <w:bar w:val="nil"/>
        </w:pBdr>
        <w:spacing w:before="0" w:after="240"/>
        <w:rPr>
          <w:noProof/>
        </w:rPr>
      </w:pPr>
      <w:r w:rsidRPr="00130899">
        <w:rPr>
          <w:noProof/>
        </w:rPr>
        <w:t>Настоящото статукво обезкуражава трансграничните инвестиции в рамките на ЕС, особено за инвеститорите на дребно: в неотдавнашно проучване</w:t>
      </w:r>
      <w:r w:rsidRPr="00130899">
        <w:rPr>
          <w:rStyle w:val="FootnoteReference"/>
          <w:noProof/>
        </w:rPr>
        <w:footnoteReference w:id="2"/>
      </w:r>
      <w:r w:rsidRPr="00130899">
        <w:rPr>
          <w:noProof/>
        </w:rPr>
        <w:t xml:space="preserve"> близо 70 % от инвеститорите на дребно, които биха имали право на намалена ставка на ДПИ, не са се възползвали от нея, като са посочили като основни причини продължителните, скъпи и твърде сложни процедури, което е накарало 31 % от тях да решат да продадат своите чуждестранни акции в ЕС. По същество това противоречи на целите на съюза на капиталовите пазари (СКП) и на пакета за инвестиции на дребно, приет на 24 май 2023 г.</w:t>
      </w:r>
      <w:r w:rsidRPr="00130899">
        <w:rPr>
          <w:rStyle w:val="FootnoteReference"/>
          <w:noProof/>
        </w:rPr>
        <w:footnoteReference w:id="3"/>
      </w:r>
      <w:r w:rsidRPr="00130899">
        <w:rPr>
          <w:noProof/>
        </w:rPr>
        <w:t>, и подкопава конкурентоспособността на пазара на ЕС като цяло. Освен че отнема значителни ресурси на данъчните органи, постоянният риск от измами или злоупотреби оказва отрицателно въздействие върху данъчните приходи на държавите членки и в крайна сметка върху данъчната справедливост.</w:t>
      </w:r>
    </w:p>
    <w:p w14:paraId="0CD631D1" w14:textId="77777777" w:rsidR="009E0D0A" w:rsidRPr="00130899" w:rsidRDefault="009E0D0A" w:rsidP="009E0D0A">
      <w:pPr>
        <w:pBdr>
          <w:top w:val="nil"/>
          <w:left w:val="nil"/>
          <w:bottom w:val="nil"/>
          <w:right w:val="nil"/>
          <w:between w:val="nil"/>
          <w:bar w:val="nil"/>
        </w:pBdr>
        <w:spacing w:before="0" w:after="240"/>
        <w:rPr>
          <w:noProof/>
        </w:rPr>
      </w:pPr>
      <w:r w:rsidRPr="00130899">
        <w:rPr>
          <w:noProof/>
        </w:rPr>
        <w:t>В продължение на десетилетия Европейската комисия и международните организации анализират и се опитват да се справят с неефективността и риска от измами или злоупотреби, свързани с процедурите във връзка с ДПИ. По-специално през 2009 г. Комисията представи препоръка за държавите членки относно опростяването на процедурите във връзка с ДПИ</w:t>
      </w:r>
      <w:r w:rsidRPr="00130899">
        <w:rPr>
          <w:rStyle w:val="FootnoteReference"/>
          <w:noProof/>
        </w:rPr>
        <w:footnoteReference w:id="4"/>
      </w:r>
      <w:r w:rsidRPr="00130899">
        <w:rPr>
          <w:noProof/>
        </w:rPr>
        <w:t xml:space="preserve">. През 2017 г. Комисията публикува Кодекс за </w:t>
      </w:r>
      <w:r w:rsidRPr="00130899">
        <w:rPr>
          <w:noProof/>
        </w:rPr>
        <w:lastRenderedPageBreak/>
        <w:t>поведение относно данъка, удържан при източника</w:t>
      </w:r>
      <w:r w:rsidRPr="00130899">
        <w:rPr>
          <w:rStyle w:val="FootnoteReference"/>
          <w:noProof/>
        </w:rPr>
        <w:footnoteReference w:id="5"/>
      </w:r>
      <w:r w:rsidRPr="00130899">
        <w:rPr>
          <w:noProof/>
        </w:rPr>
        <w:t>, в който призова държавите членки да поемат доброволен ангажимент. На международно равнище през 2013 г. Организацията за икономическо сътрудничество и развитие (ОИСР) одобри пакета за прилагане на облекчения съгласно спогодби и подобряване на спазването на данъчното законодателство (TRACE), чиято цел е да се справи с неефективността на процедурите във връзка с ДПИ</w:t>
      </w:r>
      <w:r w:rsidRPr="00130899">
        <w:rPr>
          <w:rStyle w:val="FootnoteReference"/>
          <w:noProof/>
        </w:rPr>
        <w:footnoteReference w:id="6"/>
      </w:r>
      <w:r w:rsidRPr="00130899">
        <w:rPr>
          <w:noProof/>
        </w:rPr>
        <w:t xml:space="preserve">. </w:t>
      </w:r>
    </w:p>
    <w:p w14:paraId="1041E49D" w14:textId="77777777" w:rsidR="009E0D0A" w:rsidRPr="00130899" w:rsidRDefault="009E0D0A" w:rsidP="009E0D0A">
      <w:pPr>
        <w:pBdr>
          <w:top w:val="nil"/>
          <w:left w:val="nil"/>
          <w:bottom w:val="nil"/>
          <w:right w:val="nil"/>
          <w:between w:val="nil"/>
          <w:bar w:val="nil"/>
        </w:pBdr>
        <w:spacing w:before="0" w:after="240"/>
        <w:rPr>
          <w:noProof/>
        </w:rPr>
      </w:pPr>
      <w:r w:rsidRPr="00130899">
        <w:rPr>
          <w:noProof/>
        </w:rPr>
        <w:t>Въпреки че тези действия на равнището на ЕС и на международно равнище доведоха до известно подобрение, утежнените процедури във връзка с ДПИ все още обезкуражават трансграничните инвестиции, особено от страна на инвеститорите на дребно, остават пречка за добре функциониращия капиталов пазар в ЕС и все още са изложени на риск от измами или злоупотреби. Общите разходи за процедурите във връзка с ДПИ се оценяват на 6,62 милиарда евро</w:t>
      </w:r>
      <w:r w:rsidRPr="00130899">
        <w:rPr>
          <w:rStyle w:val="FootnoteReference"/>
          <w:noProof/>
        </w:rPr>
        <w:footnoteReference w:id="7"/>
      </w:r>
      <w:r w:rsidRPr="00130899">
        <w:rPr>
          <w:noProof/>
        </w:rPr>
        <w:t xml:space="preserve">. </w:t>
      </w:r>
    </w:p>
    <w:p w14:paraId="4AEC0BAA" w14:textId="1EDCC06C" w:rsidR="00FE4542" w:rsidRPr="00130899" w:rsidRDefault="00FE4542" w:rsidP="009E0D0A">
      <w:pPr>
        <w:pBdr>
          <w:top w:val="nil"/>
          <w:left w:val="nil"/>
          <w:bottom w:val="nil"/>
          <w:right w:val="nil"/>
          <w:between w:val="nil"/>
          <w:bar w:val="nil"/>
        </w:pBdr>
        <w:spacing w:before="0" w:after="240"/>
        <w:rPr>
          <w:noProof/>
        </w:rPr>
      </w:pPr>
      <w:r w:rsidRPr="00130899">
        <w:rPr>
          <w:noProof/>
        </w:rPr>
        <w:t>Поради тези причини през 2020 г. в плана за действие за справедливо и опростено данъчно облагане в подкрепа на стратегията за възстановяване</w:t>
      </w:r>
      <w:r w:rsidRPr="00130899">
        <w:rPr>
          <w:rStyle w:val="FootnoteReference"/>
          <w:noProof/>
        </w:rPr>
        <w:footnoteReference w:id="8"/>
      </w:r>
      <w:r w:rsidRPr="00130899">
        <w:rPr>
          <w:noProof/>
        </w:rPr>
        <w:t xml:space="preserve"> и в плана за действие за съюз на капиталовите пазари за хората и предприемачите</w:t>
      </w:r>
      <w:r w:rsidRPr="00130899">
        <w:rPr>
          <w:rStyle w:val="FootnoteReference"/>
          <w:noProof/>
        </w:rPr>
        <w:footnoteReference w:id="9"/>
      </w:r>
      <w:r w:rsidRPr="00130899">
        <w:rPr>
          <w:noProof/>
        </w:rPr>
        <w:t xml:space="preserve"> Комисията обяви законодателна инициатива в областта на процедурите във връзка с ДПИ. През март 2022 г. Европейският парламент приветства плана за действие за справедливо и опростено данъчно облагане и подкрепи цялостното му прилагане</w:t>
      </w:r>
      <w:r w:rsidRPr="00130899">
        <w:rPr>
          <w:rStyle w:val="FootnoteReference"/>
          <w:noProof/>
        </w:rPr>
        <w:footnoteReference w:id="10"/>
      </w:r>
      <w:r w:rsidRPr="00130899">
        <w:rPr>
          <w:noProof/>
        </w:rPr>
        <w:t>. Освен това Европейският парламент силно приветства намерението на Комисията да представи предложение за създаване на обща и стандартизирана система във връзка с данъците, удържани при източника, придружена от механизъм за обмен на информация и сътрудничество между данъчните органи на държавите членки</w:t>
      </w:r>
      <w:r w:rsidRPr="00130899">
        <w:rPr>
          <w:rStyle w:val="FootnoteReference"/>
          <w:noProof/>
        </w:rPr>
        <w:footnoteReference w:id="11"/>
      </w:r>
      <w:r w:rsidRPr="00130899">
        <w:rPr>
          <w:noProof/>
        </w:rPr>
        <w:t xml:space="preserve">. През 2020 г. в резолюцията на Европейския парламент относно плана за действие за съюз на капиталовите пазари се подчертава необходимостта от намаляване на данъчните пречки пред трансграничните инвестиции, включително процедурите за трансгранично </w:t>
      </w:r>
      <w:r w:rsidRPr="00130899">
        <w:rPr>
          <w:noProof/>
        </w:rPr>
        <w:lastRenderedPageBreak/>
        <w:t>възстановяване по отношение на инвеститорите, включително инвеститорите на дребно</w:t>
      </w:r>
      <w:r w:rsidRPr="00130899">
        <w:rPr>
          <w:rStyle w:val="FootnoteReference"/>
          <w:noProof/>
        </w:rPr>
        <w:footnoteReference w:id="12"/>
      </w:r>
      <w:r w:rsidRPr="00130899">
        <w:rPr>
          <w:noProof/>
        </w:rPr>
        <w:t>.</w:t>
      </w:r>
    </w:p>
    <w:p w14:paraId="5C884E2D" w14:textId="77777777" w:rsidR="000023B2" w:rsidRPr="00130899" w:rsidRDefault="00C12D5B" w:rsidP="009E0D0A">
      <w:pPr>
        <w:pBdr>
          <w:top w:val="nil"/>
          <w:left w:val="nil"/>
          <w:bottom w:val="nil"/>
          <w:right w:val="nil"/>
          <w:between w:val="nil"/>
          <w:bar w:val="nil"/>
        </w:pBdr>
        <w:spacing w:before="0" w:after="240"/>
        <w:rPr>
          <w:noProof/>
        </w:rPr>
      </w:pPr>
      <w:r w:rsidRPr="00130899">
        <w:rPr>
          <w:noProof/>
        </w:rPr>
        <w:t xml:space="preserve">Целта на настоящото предложение е двойна: подпомагане на доброто функциониране на СКП чрез улесняване на трансграничните инвестиции и гарантиране на справедливо данъчно облагане чрез предотвратяване на данъчни измами и злоупотреби. </w:t>
      </w:r>
    </w:p>
    <w:p w14:paraId="742BF0E2" w14:textId="77777777" w:rsidR="00977CF6" w:rsidRPr="00130899" w:rsidRDefault="000361B5" w:rsidP="009E0D0A">
      <w:pPr>
        <w:pBdr>
          <w:top w:val="nil"/>
          <w:left w:val="nil"/>
          <w:bottom w:val="nil"/>
          <w:right w:val="nil"/>
          <w:between w:val="nil"/>
          <w:bar w:val="nil"/>
        </w:pBdr>
        <w:spacing w:before="0" w:after="240"/>
        <w:rPr>
          <w:noProof/>
        </w:rPr>
      </w:pPr>
      <w:r w:rsidRPr="00130899">
        <w:rPr>
          <w:noProof/>
        </w:rPr>
        <w:t>За да се постигнат тези цели, с настоящото предложение се въвеждат по-ефективни процедури във връзка с ДПИ, като същевременно на държавите членки се предоставят необходимите инструменти за ефективна борба с данъчните измами и злоупотреби. Предложените промени ще имат и много практическо и полезно въздействие върху инвеститорите и ще доведат до значителни икономии на разходи за инвеститорите, които се оценяват приблизително на 5,17 милиарда евро годишно</w:t>
      </w:r>
      <w:r w:rsidRPr="00130899">
        <w:rPr>
          <w:rStyle w:val="FootnoteReference"/>
          <w:noProof/>
        </w:rPr>
        <w:footnoteReference w:id="13"/>
      </w:r>
      <w:r w:rsidRPr="00130899">
        <w:rPr>
          <w:noProof/>
        </w:rPr>
        <w:t>.</w:t>
      </w:r>
    </w:p>
    <w:p w14:paraId="54C4F474" w14:textId="77777777" w:rsidR="00977CF6" w:rsidRPr="00130899" w:rsidRDefault="00977CF6" w:rsidP="000430BD">
      <w:pPr>
        <w:pStyle w:val="ManualHeading2"/>
        <w:rPr>
          <w:noProof/>
          <w:u w:color="000000"/>
          <w:bdr w:val="nil"/>
        </w:rPr>
      </w:pPr>
      <w:r w:rsidRPr="00130899">
        <w:rPr>
          <w:noProof/>
          <w:u w:color="000000"/>
          <w:bdr w:val="nil"/>
        </w:rPr>
        <w:t>•</w:t>
      </w:r>
      <w:r w:rsidRPr="00130899">
        <w:rPr>
          <w:noProof/>
        </w:rPr>
        <w:tab/>
        <w:t>Съгласуваност с действащите разпоредби в тази област на политиката</w:t>
      </w:r>
    </w:p>
    <w:p w14:paraId="22E2E4C7" w14:textId="77777777" w:rsidR="009E0D0A" w:rsidRPr="00130899" w:rsidRDefault="003962D4" w:rsidP="009E0D0A">
      <w:pPr>
        <w:pBdr>
          <w:top w:val="nil"/>
          <w:left w:val="nil"/>
          <w:bottom w:val="nil"/>
          <w:right w:val="nil"/>
          <w:between w:val="nil"/>
          <w:bar w:val="nil"/>
        </w:pBdr>
        <w:spacing w:before="0" w:after="240"/>
        <w:rPr>
          <w:noProof/>
        </w:rPr>
      </w:pPr>
      <w:r w:rsidRPr="00130899">
        <w:rPr>
          <w:noProof/>
        </w:rPr>
        <w:t xml:space="preserve">Настоящата инициатива е в пълно съответствие с други инициативи, предприети от Комисията през последните години за постигане на ключовия приоритет за борба с данъчните измами и злоупотреби: </w:t>
      </w:r>
    </w:p>
    <w:p w14:paraId="756F6993" w14:textId="77777777" w:rsidR="00DF63CE" w:rsidRPr="00130899" w:rsidRDefault="009E0D0A" w:rsidP="00405676">
      <w:pPr>
        <w:pStyle w:val="Tiret0"/>
        <w:numPr>
          <w:ilvl w:val="0"/>
          <w:numId w:val="9"/>
        </w:numPr>
        <w:rPr>
          <w:noProof/>
        </w:rPr>
      </w:pPr>
      <w:r w:rsidRPr="00130899">
        <w:rPr>
          <w:noProof/>
        </w:rPr>
        <w:t>През 2016 г. Комисията прие Директивата срещу избягването на данъци</w:t>
      </w:r>
      <w:r w:rsidRPr="00130899">
        <w:rPr>
          <w:rStyle w:val="FootnoteReference"/>
          <w:noProof/>
        </w:rPr>
        <w:footnoteReference w:id="14"/>
      </w:r>
      <w:r w:rsidRPr="00130899">
        <w:rPr>
          <w:noProof/>
        </w:rPr>
        <w:t xml:space="preserve">, за да се гарантира координираното прилагане в държавите членки на ключови мерки срещу избягването на данъци, произтичащи от международните действия, свързани със свиването на данъчната основа и прехвърлянето на печалби. </w:t>
      </w:r>
    </w:p>
    <w:p w14:paraId="4E3230F3" w14:textId="77777777" w:rsidR="00DF63CE" w:rsidRPr="00130899" w:rsidRDefault="00A9533A" w:rsidP="00405676">
      <w:pPr>
        <w:pStyle w:val="Tiret0"/>
        <w:numPr>
          <w:ilvl w:val="0"/>
          <w:numId w:val="9"/>
        </w:numPr>
        <w:rPr>
          <w:noProof/>
        </w:rPr>
      </w:pPr>
      <w:r w:rsidRPr="00130899">
        <w:rPr>
          <w:noProof/>
        </w:rPr>
        <w:t>От приемането ѝ през 2011 г. Директивата за административното сътрудничество (ДАС)</w:t>
      </w:r>
      <w:r w:rsidRPr="00130899">
        <w:rPr>
          <w:rStyle w:val="FootnoteReference"/>
          <w:noProof/>
        </w:rPr>
        <w:footnoteReference w:id="15"/>
      </w:r>
      <w:r w:rsidRPr="00130899">
        <w:rPr>
          <w:noProof/>
        </w:rPr>
        <w:t xml:space="preserve"> бе неколкократно преразглеждана и разширявана, за да се даде възможност за широкомащабен и навременен обмен на информация, свързана с данъчното облагане, в целия ЕС. По-конкретно ДАС 2</w:t>
      </w:r>
      <w:r w:rsidRPr="00130899">
        <w:rPr>
          <w:rStyle w:val="FootnoteReference"/>
          <w:noProof/>
        </w:rPr>
        <w:footnoteReference w:id="16"/>
      </w:r>
      <w:r w:rsidRPr="00130899">
        <w:rPr>
          <w:noProof/>
        </w:rPr>
        <w:t xml:space="preserve"> установява рамка за по-голяма данъчна прозрачност в рамките на ЕС по отношение на информацията за финансовите сметки. </w:t>
      </w:r>
    </w:p>
    <w:p w14:paraId="768CC08D" w14:textId="77777777" w:rsidR="00DF63CE" w:rsidRPr="00130899" w:rsidRDefault="009E0D0A" w:rsidP="00405676">
      <w:pPr>
        <w:pStyle w:val="Tiret0"/>
        <w:numPr>
          <w:ilvl w:val="0"/>
          <w:numId w:val="9"/>
        </w:numPr>
        <w:rPr>
          <w:noProof/>
        </w:rPr>
      </w:pPr>
      <w:r w:rsidRPr="00130899">
        <w:rPr>
          <w:noProof/>
        </w:rPr>
        <w:t>ДАС 6</w:t>
      </w:r>
      <w:r w:rsidRPr="00130899">
        <w:rPr>
          <w:rStyle w:val="FootnoteReference"/>
          <w:noProof/>
        </w:rPr>
        <w:footnoteReference w:id="17"/>
      </w:r>
      <w:r w:rsidRPr="00130899">
        <w:rPr>
          <w:noProof/>
        </w:rPr>
        <w:t xml:space="preserve"> изисква от посредниците да информират данъчните органи за трансгранични договорености, които потенциално биха могли да се използват за агресивно данъчно планиране. </w:t>
      </w:r>
    </w:p>
    <w:p w14:paraId="10C3DF1B" w14:textId="77777777" w:rsidR="00C70CF7" w:rsidRPr="00130899" w:rsidRDefault="00A16EE8" w:rsidP="00405676">
      <w:pPr>
        <w:pStyle w:val="Tiret0"/>
        <w:numPr>
          <w:ilvl w:val="0"/>
          <w:numId w:val="9"/>
        </w:numPr>
        <w:spacing w:before="0" w:after="200" w:line="276" w:lineRule="auto"/>
        <w:rPr>
          <w:noProof/>
        </w:rPr>
      </w:pPr>
      <w:r w:rsidRPr="00130899">
        <w:rPr>
          <w:noProof/>
        </w:rPr>
        <w:lastRenderedPageBreak/>
        <w:t>През 2021 г. Комисията прие предложение за директива за борба със злоупотребата с фиктивни образувания (т.е. образувания в Европейския съюз, които нямат никаква или имат минимална икономическа дейност)</w:t>
      </w:r>
      <w:r w:rsidRPr="00130899">
        <w:rPr>
          <w:rStyle w:val="FootnoteReference"/>
          <w:noProof/>
        </w:rPr>
        <w:footnoteReference w:id="18"/>
      </w:r>
      <w:r w:rsidRPr="00130899">
        <w:rPr>
          <w:noProof/>
        </w:rPr>
        <w:t xml:space="preserve"> с цел избягване или укриване на данъци.  </w:t>
      </w:r>
    </w:p>
    <w:p w14:paraId="4552C847" w14:textId="705318A4" w:rsidR="00DF63CE" w:rsidRPr="00130899" w:rsidRDefault="00DF63CE" w:rsidP="009C1497">
      <w:pPr>
        <w:spacing w:before="0" w:after="200" w:line="276" w:lineRule="auto"/>
        <w:rPr>
          <w:noProof/>
        </w:rPr>
      </w:pPr>
      <w:r w:rsidRPr="00130899">
        <w:rPr>
          <w:noProof/>
        </w:rPr>
        <w:t xml:space="preserve">Съществуващите инструменти на ЕС обаче не съдържат конкретни мерки за справяне със злоупотребите с данъчни практики по отношение на процедурите във връзка с ДПИ. Действащите правила не предвиждат предоставяне на информация за сделките с ценни книжа на данъчните органи на държавите членки на източника (включително подробности за веригата на плащане по отношение на изплащането на дивиденти или лихви от финансовите посредници). </w:t>
      </w:r>
    </w:p>
    <w:p w14:paraId="13DA31D9" w14:textId="77777777" w:rsidR="009E0D0A" w:rsidRPr="00130899" w:rsidRDefault="00A16EE8" w:rsidP="009C1497">
      <w:pPr>
        <w:spacing w:before="0" w:after="200" w:line="276" w:lineRule="auto"/>
        <w:rPr>
          <w:noProof/>
        </w:rPr>
      </w:pPr>
      <w:r w:rsidRPr="00130899">
        <w:rPr>
          <w:noProof/>
        </w:rPr>
        <w:t>Съответно в тях не се разглежда адекватно конкретния проблем със злоупотребите. Настоящата директива ще разшири прозрачността, за да позволи на държавите членки да проверяват дали ставката на ДПИ се прилага правилно към всеки отговарящ на условията данъкоплатец. Тя ще гарантира, че прозрачността е постигната своевременно, за да се обоснове и позволи бързо и ефикасно обработване на приложимите искания за възстановяване или данъчно облекчение.</w:t>
      </w:r>
    </w:p>
    <w:p w14:paraId="34B71472" w14:textId="3EE551B3" w:rsidR="009E0D0A" w:rsidRPr="00130899" w:rsidRDefault="00A70A0A" w:rsidP="00C66A25">
      <w:pPr>
        <w:spacing w:before="0" w:after="200" w:line="276" w:lineRule="auto"/>
        <w:rPr>
          <w:noProof/>
        </w:rPr>
      </w:pPr>
      <w:r w:rsidRPr="00130899">
        <w:rPr>
          <w:noProof/>
        </w:rPr>
        <w:t>Тъй като настоящото предложение се отнася до процедурите във връзка с ДПИ, то само ще допълни Директивата за дружествата майки и дъщерните дружества</w:t>
      </w:r>
      <w:r w:rsidRPr="00130899">
        <w:rPr>
          <w:rStyle w:val="FootnoteReference"/>
          <w:noProof/>
        </w:rPr>
        <w:footnoteReference w:id="19"/>
      </w:r>
      <w:r w:rsidRPr="00130899">
        <w:rPr>
          <w:noProof/>
        </w:rPr>
        <w:t xml:space="preserve"> и Директивата за плащанията на лихви и роялти</w:t>
      </w:r>
      <w:r w:rsidRPr="00130899">
        <w:rPr>
          <w:rStyle w:val="FootnoteReference"/>
          <w:noProof/>
        </w:rPr>
        <w:footnoteReference w:id="20"/>
      </w:r>
      <w:r w:rsidRPr="00130899">
        <w:rPr>
          <w:noProof/>
        </w:rPr>
        <w:t xml:space="preserve">, които освобождават от ДПИ съответно дивидентите и други видове разпределяне на печалба, както и лихвите и роялти, изплащани от дъщерните дружества на техните дружества майки, и премахват двойното данъчно облагане на тези доходи на ниво дружество майка. Директивата за дружествата майки и дъщерните дружества и Директивата за плащанията на лихви и роялти могат да бъдат приложими по отношение на котираните ценни книжа, които попадат в обхвата на настоящото предложение, и настоящото предложение няма да ограничи държавите членки при спазването на посочените две директиви, а по-скоро ще ги улесни по отношение на процедурата. </w:t>
      </w:r>
    </w:p>
    <w:p w14:paraId="6E981F3F" w14:textId="77777777" w:rsidR="00977CF6" w:rsidRPr="00130899" w:rsidRDefault="00977CF6" w:rsidP="009E0D0A">
      <w:pPr>
        <w:spacing w:before="0" w:after="200" w:line="276" w:lineRule="auto"/>
        <w:jc w:val="left"/>
        <w:rPr>
          <w:noProof/>
        </w:rPr>
      </w:pPr>
      <w:r w:rsidRPr="00130899">
        <w:rPr>
          <w:noProof/>
          <w:u w:color="000000"/>
          <w:bdr w:val="nil"/>
        </w:rPr>
        <w:t>•</w:t>
      </w:r>
      <w:r w:rsidRPr="00130899">
        <w:rPr>
          <w:noProof/>
        </w:rPr>
        <w:tab/>
      </w:r>
      <w:r w:rsidRPr="00130899">
        <w:rPr>
          <w:b/>
          <w:noProof/>
        </w:rPr>
        <w:t>Съгласуваност с други политики на ЕС</w:t>
      </w:r>
    </w:p>
    <w:p w14:paraId="5CF398D0" w14:textId="77777777" w:rsidR="009E0D0A" w:rsidRPr="00130899" w:rsidRDefault="009002EC" w:rsidP="009E0D0A">
      <w:pPr>
        <w:pBdr>
          <w:top w:val="nil"/>
          <w:left w:val="nil"/>
          <w:bottom w:val="nil"/>
          <w:right w:val="nil"/>
          <w:between w:val="nil"/>
          <w:bar w:val="nil"/>
        </w:pBdr>
        <w:spacing w:before="0" w:after="240"/>
        <w:rPr>
          <w:noProof/>
        </w:rPr>
      </w:pPr>
      <w:r w:rsidRPr="00130899">
        <w:rPr>
          <w:noProof/>
        </w:rPr>
        <w:t xml:space="preserve">Предложението е в пълно съответствие с доброто функциониране на СКП и ще допринесе за него. Целта на СКП е финансирането да стане по-достъпно за дружествата в ЕС, да се улеснят инвестициите за физическите лица и инвестиционните посредници и да се интегрират националните капиталови пазари в истински единен пазар. Различните, утежнени и продължителни процедури във връзка с ДПИ водят до </w:t>
      </w:r>
      <w:r w:rsidRPr="00130899">
        <w:rPr>
          <w:noProof/>
        </w:rPr>
        <w:lastRenderedPageBreak/>
        <w:t xml:space="preserve">значителни разходи, които възпират трансграничните инвестиции и подкопават СКП. Осъществяването на по-бързи, по-ефективни и по-евтини процедури във връзка с ДПИ ще подкрепи трансграничните инвестиции и ще допринесе за изграждането на истински единен пазар на капитала в ЕС. </w:t>
      </w:r>
    </w:p>
    <w:p w14:paraId="083A572E" w14:textId="43DA4744" w:rsidR="003962D4" w:rsidRPr="00130899" w:rsidRDefault="003962D4" w:rsidP="003962D4">
      <w:pPr>
        <w:pBdr>
          <w:top w:val="nil"/>
          <w:left w:val="nil"/>
          <w:bottom w:val="nil"/>
          <w:right w:val="nil"/>
          <w:between w:val="nil"/>
          <w:bar w:val="nil"/>
        </w:pBdr>
        <w:spacing w:before="0" w:after="240"/>
        <w:rPr>
          <w:noProof/>
        </w:rPr>
      </w:pPr>
      <w:r w:rsidRPr="00130899">
        <w:rPr>
          <w:noProof/>
        </w:rPr>
        <w:t>Като премахва ключова пречка пред трансграничните инвестиции от страна на инвеститорите на дребно, настоящото предложение допълва стратегията за инвестициите на дребно, приета на 24 май 2023 г.</w:t>
      </w:r>
      <w:r w:rsidRPr="00130899">
        <w:rPr>
          <w:rStyle w:val="FootnoteReference"/>
          <w:noProof/>
        </w:rPr>
        <w:footnoteReference w:id="21"/>
      </w:r>
      <w:r w:rsidRPr="00130899">
        <w:rPr>
          <w:noProof/>
        </w:rPr>
        <w:t>, за да се даде възможност на потребителите да се възползват пълноценно от капиталовите пазари на ЕС.</w:t>
      </w:r>
    </w:p>
    <w:p w14:paraId="412F3D9A" w14:textId="77777777" w:rsidR="009E0D0A" w:rsidRPr="00130899" w:rsidRDefault="009E0D0A" w:rsidP="009E0D0A">
      <w:pPr>
        <w:pBdr>
          <w:top w:val="nil"/>
          <w:left w:val="nil"/>
          <w:bottom w:val="nil"/>
          <w:right w:val="nil"/>
          <w:between w:val="nil"/>
          <w:bar w:val="nil"/>
        </w:pBdr>
        <w:spacing w:before="0" w:after="240"/>
        <w:rPr>
          <w:noProof/>
        </w:rPr>
      </w:pPr>
      <w:r w:rsidRPr="00130899">
        <w:rPr>
          <w:noProof/>
        </w:rPr>
        <w:t>Настоящата директива също така допълва Директивата за правата на акционерите</w:t>
      </w:r>
      <w:r w:rsidRPr="00130899">
        <w:rPr>
          <w:rStyle w:val="FootnoteReference"/>
          <w:noProof/>
        </w:rPr>
        <w:footnoteReference w:id="22"/>
      </w:r>
      <w:r w:rsidRPr="00130899">
        <w:rPr>
          <w:noProof/>
        </w:rPr>
        <w:t xml:space="preserve">, тъй като и двете имат общата цел да се изисква прозрачност по отношение на крайния инвеститор. Директивата за правата на акционерите улеснява идентификацията на акционерите и информационните потоци между акционерите и емитента на ценни книжа. Дружествата имат право да идентифицират своите акционери и да получават информация за самоличността на акционерите от всеки посредник, който разполага с тази информация. </w:t>
      </w:r>
    </w:p>
    <w:p w14:paraId="4C5B1822" w14:textId="77777777" w:rsidR="00977CF6" w:rsidRPr="00130899" w:rsidRDefault="00977CF6" w:rsidP="000430BD">
      <w:pPr>
        <w:pStyle w:val="ManualHeading1"/>
        <w:rPr>
          <w:noProof/>
        </w:rPr>
      </w:pPr>
      <w:r w:rsidRPr="00130899">
        <w:rPr>
          <w:noProof/>
        </w:rPr>
        <w:t>2.</w:t>
      </w:r>
      <w:r w:rsidRPr="00130899">
        <w:rPr>
          <w:noProof/>
        </w:rPr>
        <w:tab/>
        <w:t>ПРАВНО ОСНОВАНИЕ, СУБСИДИАРНОСТ И ПРОПОРЦИОНАЛНОСТ</w:t>
      </w:r>
    </w:p>
    <w:p w14:paraId="5DB9AC5D" w14:textId="77777777" w:rsidR="00977CF6" w:rsidRPr="00130899" w:rsidRDefault="00977CF6" w:rsidP="000430BD">
      <w:pPr>
        <w:pStyle w:val="ManualHeading2"/>
        <w:rPr>
          <w:noProof/>
          <w:u w:color="000000"/>
          <w:bdr w:val="nil"/>
        </w:rPr>
      </w:pPr>
      <w:r w:rsidRPr="00130899">
        <w:rPr>
          <w:noProof/>
          <w:u w:color="000000"/>
          <w:bdr w:val="nil"/>
        </w:rPr>
        <w:t>•</w:t>
      </w:r>
      <w:r w:rsidRPr="00130899">
        <w:rPr>
          <w:noProof/>
        </w:rPr>
        <w:tab/>
      </w:r>
      <w:r w:rsidRPr="00130899">
        <w:rPr>
          <w:noProof/>
          <w:u w:color="000000"/>
          <w:bdr w:val="nil"/>
        </w:rPr>
        <w:t>Правно основание</w:t>
      </w:r>
    </w:p>
    <w:p w14:paraId="371647B9" w14:textId="77777777" w:rsidR="00977CF6" w:rsidRPr="00130899" w:rsidRDefault="00F74AEC" w:rsidP="000430BD">
      <w:pPr>
        <w:pBdr>
          <w:top w:val="nil"/>
          <w:left w:val="nil"/>
          <w:bottom w:val="nil"/>
          <w:right w:val="nil"/>
          <w:between w:val="nil"/>
          <w:bar w:val="nil"/>
        </w:pBdr>
        <w:spacing w:before="0" w:after="240"/>
        <w:rPr>
          <w:noProof/>
        </w:rPr>
      </w:pPr>
      <w:r w:rsidRPr="00130899">
        <w:rPr>
          <w:noProof/>
        </w:rPr>
        <w:t>Правното основание за законодателната инициатива в областта на данъчното облагане е член 115 от Договора за функционирането на Европейския съюз (ДФЕС). Въпреки че в този член прякото данъчно облагане не е изрично посочено, в него се прави позоваване на издаването на директиви за сближаване на националните законодателства, каквито са директивите, които се отнасят пряко до създаването или функционирането на единния пазар. От това следва, че съгласно член 115 от ДФЕС директивите са подходящият правен инструмент за ЕС в тази област. Въз основа на член 288 от ДФЕС директивите ще бъдат обвързващи за държавите членки по отношение на резултата, който трябва да се постигне, но ще оставят на националните органи възможността да определят формата и методите.</w:t>
      </w:r>
    </w:p>
    <w:p w14:paraId="6CCA592C" w14:textId="77777777" w:rsidR="00977CF6" w:rsidRPr="00130899" w:rsidRDefault="00977CF6" w:rsidP="000430BD">
      <w:pPr>
        <w:pStyle w:val="ManualHeading2"/>
        <w:rPr>
          <w:noProof/>
          <w:u w:color="000000"/>
          <w:bdr w:val="nil"/>
        </w:rPr>
      </w:pPr>
      <w:r w:rsidRPr="00130899">
        <w:rPr>
          <w:noProof/>
          <w:u w:color="000000"/>
          <w:bdr w:val="nil"/>
        </w:rPr>
        <w:t>•</w:t>
      </w:r>
      <w:r w:rsidRPr="00130899">
        <w:rPr>
          <w:noProof/>
        </w:rPr>
        <w:tab/>
      </w:r>
      <w:r w:rsidRPr="00130899">
        <w:rPr>
          <w:noProof/>
          <w:u w:color="000000"/>
          <w:bdr w:val="nil"/>
        </w:rPr>
        <w:t xml:space="preserve">Субсидиарност (при неизключителна компетентност) </w:t>
      </w:r>
    </w:p>
    <w:p w14:paraId="29CBEC70" w14:textId="77777777" w:rsidR="009E0D0A" w:rsidRPr="00130899" w:rsidRDefault="009E0D0A" w:rsidP="009E0D0A">
      <w:pPr>
        <w:pBdr>
          <w:top w:val="nil"/>
          <w:left w:val="nil"/>
          <w:bottom w:val="nil"/>
          <w:right w:val="nil"/>
          <w:between w:val="nil"/>
          <w:bar w:val="nil"/>
        </w:pBdr>
        <w:spacing w:before="0" w:after="240"/>
        <w:rPr>
          <w:noProof/>
        </w:rPr>
      </w:pPr>
      <w:r w:rsidRPr="00130899">
        <w:rPr>
          <w:noProof/>
        </w:rPr>
        <w:t xml:space="preserve">Настоящото предложение е съобразено с принципа на субсидиарност, установен в член 5 от Договора за Европейския съюз (ДЕС). Трансграничният характер на проблема изисква обща инициатива в рамките на единния пазар. </w:t>
      </w:r>
    </w:p>
    <w:p w14:paraId="0F3A5D7B" w14:textId="6A457B59" w:rsidR="009E0D0A" w:rsidRPr="00130899" w:rsidRDefault="002E5771" w:rsidP="009E0D0A">
      <w:pPr>
        <w:pBdr>
          <w:top w:val="nil"/>
          <w:left w:val="nil"/>
          <w:bottom w:val="nil"/>
          <w:right w:val="nil"/>
          <w:between w:val="nil"/>
          <w:bar w:val="nil"/>
        </w:pBdr>
        <w:spacing w:before="0" w:after="240"/>
        <w:rPr>
          <w:noProof/>
        </w:rPr>
      </w:pPr>
      <w:r w:rsidRPr="00130899">
        <w:rPr>
          <w:noProof/>
        </w:rPr>
        <w:t xml:space="preserve">Проблемът произхожда главно от факта, че държавите членки, които удържат данъци при източника върху изплатените дивиденти или лихви, прилагат различни системи за данъчни облекчения по отношение на надвзетите данъци в трансграничен контекст. Използват се следните системи, като в различните държави членки може да се прилагат различни прагове или различни изисквания: система за данъчни облекчения при </w:t>
      </w:r>
      <w:r w:rsidRPr="00130899">
        <w:rPr>
          <w:noProof/>
        </w:rPr>
        <w:lastRenderedPageBreak/>
        <w:t>източника, система за бързо възстановяване, стандартна система за възстановяване или комбинация от тях.</w:t>
      </w:r>
    </w:p>
    <w:p w14:paraId="4D20F486" w14:textId="77777777" w:rsidR="009E0D0A" w:rsidRPr="00130899" w:rsidRDefault="008D10E7" w:rsidP="009E0D0A">
      <w:pPr>
        <w:pBdr>
          <w:top w:val="nil"/>
          <w:left w:val="nil"/>
          <w:bottom w:val="nil"/>
          <w:right w:val="nil"/>
          <w:between w:val="nil"/>
          <w:bar w:val="nil"/>
        </w:pBdr>
        <w:spacing w:before="0" w:after="240"/>
        <w:rPr>
          <w:noProof/>
        </w:rPr>
      </w:pPr>
      <w:r w:rsidRPr="00130899">
        <w:rPr>
          <w:noProof/>
        </w:rPr>
        <w:t xml:space="preserve">Поддържането на все по-фрагментирана рамка от процедури във връзка с ДПИ в ЕС води до високи разходи за привеждане в съответствие за инвеститорите и съответните финансови посредници. Преобладаващият трансграничен характер на разглеждания проблем изисква действия на равнището на ЕС за опростяване на административните процедури и намаляване на разходите за привеждане в съответствие. При липсата на такава инициатива разпокъсаността на националните процедури във връзка с ДПИ възпрепятства ефективното функциониране на процедурите за данъчни облекчения при трансгранични операции, а впоследствие и правилното функциониране на единния пазар. Ето защо са необходими действия от страна на ЕС за уеднаквяване на условията за националните и чуждестранните инвеститори, както и за националните и чуждестранните посредници. </w:t>
      </w:r>
    </w:p>
    <w:p w14:paraId="0451A568" w14:textId="77777777" w:rsidR="009E0D0A" w:rsidRPr="00130899" w:rsidRDefault="009E0D0A" w:rsidP="009E0D0A">
      <w:pPr>
        <w:pBdr>
          <w:top w:val="nil"/>
          <w:left w:val="nil"/>
          <w:bottom w:val="nil"/>
          <w:right w:val="nil"/>
          <w:between w:val="nil"/>
          <w:bar w:val="nil"/>
        </w:pBdr>
        <w:spacing w:before="0" w:after="240"/>
        <w:rPr>
          <w:noProof/>
        </w:rPr>
      </w:pPr>
      <w:r w:rsidRPr="00130899">
        <w:rPr>
          <w:noProof/>
        </w:rPr>
        <w:t xml:space="preserve">Инициативата има за цел също така да отговори на препоръките, направени от ЕОЦКП в „Окончателен доклад относно схемите за възстановяване по отношение на Cum-Ex, Cum-Cum и данъка, удържан при източника“, в който се стига до заключението, че са необходими конкретни действия в областта на данъчното облагане на равнището на ЕС за ефективна борба с измамите и злоупотребите. </w:t>
      </w:r>
    </w:p>
    <w:p w14:paraId="4B432966" w14:textId="77777777" w:rsidR="00977CF6" w:rsidRPr="00130899" w:rsidRDefault="00CF7DD0" w:rsidP="009E0D0A">
      <w:pPr>
        <w:pBdr>
          <w:top w:val="nil"/>
          <w:left w:val="nil"/>
          <w:bottom w:val="nil"/>
          <w:right w:val="nil"/>
          <w:between w:val="nil"/>
          <w:bar w:val="nil"/>
        </w:pBdr>
        <w:spacing w:before="0" w:after="240"/>
        <w:rPr>
          <w:noProof/>
        </w:rPr>
      </w:pPr>
      <w:r w:rsidRPr="00130899">
        <w:rPr>
          <w:noProof/>
        </w:rPr>
        <w:t xml:space="preserve">Следователно законодателната инициатива е в съответствие с принципа на субсидиарност, предвиден в член 5 от Договора за Европейския съюз. </w:t>
      </w:r>
    </w:p>
    <w:p w14:paraId="6A9804BF" w14:textId="77777777" w:rsidR="00977CF6" w:rsidRPr="00130899" w:rsidRDefault="00977CF6" w:rsidP="000430BD">
      <w:pPr>
        <w:pStyle w:val="ManualHeading2"/>
        <w:rPr>
          <w:noProof/>
          <w:u w:color="000000"/>
          <w:bdr w:val="nil"/>
        </w:rPr>
      </w:pPr>
      <w:r w:rsidRPr="00130899">
        <w:rPr>
          <w:noProof/>
          <w:u w:color="000000"/>
          <w:bdr w:val="nil"/>
        </w:rPr>
        <w:t>•</w:t>
      </w:r>
      <w:r w:rsidRPr="00130899">
        <w:rPr>
          <w:noProof/>
        </w:rPr>
        <w:tab/>
      </w:r>
      <w:r w:rsidRPr="00130899">
        <w:rPr>
          <w:noProof/>
          <w:u w:color="000000"/>
          <w:bdr w:val="nil"/>
        </w:rPr>
        <w:t>Пропорционалност</w:t>
      </w:r>
    </w:p>
    <w:p w14:paraId="64FAF34B" w14:textId="77777777" w:rsidR="009E0D0A" w:rsidRPr="00130899" w:rsidRDefault="009E0D0A" w:rsidP="009E0D0A">
      <w:pPr>
        <w:pBdr>
          <w:top w:val="nil"/>
          <w:left w:val="nil"/>
          <w:bottom w:val="nil"/>
          <w:right w:val="nil"/>
          <w:between w:val="nil"/>
          <w:bar w:val="nil"/>
        </w:pBdr>
        <w:spacing w:before="0" w:after="240"/>
        <w:rPr>
          <w:noProof/>
        </w:rPr>
      </w:pPr>
      <w:r w:rsidRPr="00130899">
        <w:rPr>
          <w:noProof/>
        </w:rPr>
        <w:t xml:space="preserve">Предвидените мерки не надхвърлят минималното необходимо ниво на защита за единния пазар и следователно са в съответствие с принципите на пропорционалност. Предложението не предписва пълна хармонизация, а само определя общи характеристики, които биха подобрили системите на държавите членки във връзка с ДПИ и биха ги укрепили срещу измами и злоупотреби. </w:t>
      </w:r>
    </w:p>
    <w:p w14:paraId="0A547145" w14:textId="77777777" w:rsidR="009E0D0A" w:rsidRPr="00130899" w:rsidRDefault="009E0D0A" w:rsidP="009E0D0A">
      <w:pPr>
        <w:pBdr>
          <w:top w:val="nil"/>
          <w:left w:val="nil"/>
          <w:bottom w:val="nil"/>
          <w:right w:val="nil"/>
          <w:between w:val="nil"/>
          <w:bar w:val="nil"/>
        </w:pBdr>
        <w:spacing w:before="0" w:after="240"/>
        <w:rPr>
          <w:noProof/>
        </w:rPr>
      </w:pPr>
      <w:r w:rsidRPr="00130899">
        <w:rPr>
          <w:noProof/>
        </w:rPr>
        <w:t xml:space="preserve">Въвеждането на общо цифрово удостоверение за местно лице за данъчни цели (eTRC) ще бъде от полза за инвеститорите, финансовите посредници и данъчните органи. Текущата система, която е разпокъсана и отчасти на хартиен формат, ще бъде заменена с изцяло цифрова система. Това ще увеличи цифровизацията на административните процедури в държавите членки и ще повиши ефективността, като също така ще даде възможност на финансовите посредници да подобрят собствените си процедури. Това е важна първа стъпка към постигането на по-ефективни процедури във връзка с ДПИ. </w:t>
      </w:r>
    </w:p>
    <w:p w14:paraId="648A228E" w14:textId="77777777" w:rsidR="001B5A28" w:rsidRPr="00130899" w:rsidRDefault="001B5A28" w:rsidP="009E0D0A">
      <w:pPr>
        <w:pBdr>
          <w:top w:val="nil"/>
          <w:left w:val="nil"/>
          <w:bottom w:val="nil"/>
          <w:right w:val="nil"/>
          <w:between w:val="nil"/>
          <w:bar w:val="nil"/>
        </w:pBdr>
        <w:spacing w:before="0" w:after="240"/>
        <w:rPr>
          <w:noProof/>
        </w:rPr>
      </w:pPr>
      <w:r w:rsidRPr="00130899">
        <w:rPr>
          <w:noProof/>
        </w:rPr>
        <w:t>Въвеждането на задължения за предоставяне на информация за финансовите посредници ще доведе до известни разходи и административна тежест. Тези разходи обаче ще се компенсират от положителното въздействие, което получената информация ще има за данъчните органи за подобряването на процедурите във връзка с ДПИ по отношение на сигурността и ефективността.</w:t>
      </w:r>
    </w:p>
    <w:p w14:paraId="225C8E29" w14:textId="123D4E3A" w:rsidR="001B5A28" w:rsidRPr="00130899" w:rsidRDefault="00060B87" w:rsidP="009E0D0A">
      <w:pPr>
        <w:pBdr>
          <w:top w:val="nil"/>
          <w:left w:val="nil"/>
          <w:bottom w:val="nil"/>
          <w:right w:val="nil"/>
          <w:between w:val="nil"/>
          <w:bar w:val="nil"/>
        </w:pBdr>
        <w:spacing w:before="0" w:after="240"/>
        <w:rPr>
          <w:noProof/>
        </w:rPr>
      </w:pPr>
      <w:r w:rsidRPr="00130899">
        <w:rPr>
          <w:noProof/>
        </w:rPr>
        <w:t xml:space="preserve">Освен това тази тежест следва да се оценява на фона на инициативите, които наскоро бяха приети или обявени в някои държави членки в отговор на неотдавнашните скандали с данъчни измами и злоупотреби с процедурите във връзка с ДПИ — тези инициативи въвеждат нови и обширни изисквания за докладване от страна на посредниците. </w:t>
      </w:r>
    </w:p>
    <w:p w14:paraId="53C675F0" w14:textId="77777777" w:rsidR="009E0D0A" w:rsidRPr="00130899" w:rsidRDefault="00E26957" w:rsidP="009E0D0A">
      <w:pPr>
        <w:pBdr>
          <w:top w:val="nil"/>
          <w:left w:val="nil"/>
          <w:bottom w:val="nil"/>
          <w:right w:val="nil"/>
          <w:between w:val="nil"/>
          <w:bar w:val="nil"/>
        </w:pBdr>
        <w:spacing w:before="0" w:after="240"/>
        <w:rPr>
          <w:noProof/>
        </w:rPr>
      </w:pPr>
      <w:r w:rsidRPr="00130899">
        <w:rPr>
          <w:noProof/>
        </w:rPr>
        <w:lastRenderedPageBreak/>
        <w:t xml:space="preserve">Наличието на общ за целия ЕС стандарт за предоставяне на информация ще спести разходи за спазване на изискванията от страна на финансовите посредници, които извършват трансгранична дейност, тъй като те ще се съобразяват с един-единствен стандарт за предоставяне на информация в целия ЕС, а не с множество различни изисквания за предоставяне на информация. </w:t>
      </w:r>
    </w:p>
    <w:p w14:paraId="7FA7571E" w14:textId="77777777" w:rsidR="00977CF6" w:rsidRPr="00130899" w:rsidRDefault="00977CF6" w:rsidP="000430BD">
      <w:pPr>
        <w:pStyle w:val="ManualHeading2"/>
        <w:rPr>
          <w:noProof/>
          <w:u w:color="000000"/>
          <w:bdr w:val="nil"/>
        </w:rPr>
      </w:pPr>
      <w:r w:rsidRPr="00130899">
        <w:rPr>
          <w:noProof/>
          <w:u w:color="000000"/>
          <w:bdr w:val="nil"/>
        </w:rPr>
        <w:t>•</w:t>
      </w:r>
      <w:r w:rsidRPr="00130899">
        <w:rPr>
          <w:noProof/>
        </w:rPr>
        <w:tab/>
      </w:r>
      <w:r w:rsidRPr="00130899">
        <w:rPr>
          <w:noProof/>
          <w:u w:color="000000"/>
          <w:bdr w:val="nil"/>
        </w:rPr>
        <w:t>Избор на инструмент</w:t>
      </w:r>
    </w:p>
    <w:p w14:paraId="51C61F6B" w14:textId="77777777" w:rsidR="00977CF6" w:rsidRPr="00130899" w:rsidRDefault="009E0D0A" w:rsidP="000430BD">
      <w:pPr>
        <w:pBdr>
          <w:top w:val="nil"/>
          <w:left w:val="nil"/>
          <w:bottom w:val="nil"/>
          <w:right w:val="nil"/>
          <w:between w:val="nil"/>
          <w:bar w:val="nil"/>
        </w:pBdr>
        <w:spacing w:before="0" w:after="240"/>
        <w:rPr>
          <w:noProof/>
        </w:rPr>
      </w:pPr>
      <w:r w:rsidRPr="00130899">
        <w:rPr>
          <w:noProof/>
        </w:rPr>
        <w:t xml:space="preserve">Предложеният инструмент е директива, която е единственият допустим инструмент съгласно правното основание (член 115 от ДФЕС). </w:t>
      </w:r>
    </w:p>
    <w:p w14:paraId="38B04016" w14:textId="77777777" w:rsidR="00977CF6" w:rsidRPr="00130899" w:rsidRDefault="00977CF6" w:rsidP="000430BD">
      <w:pPr>
        <w:pStyle w:val="ManualHeading1"/>
        <w:rPr>
          <w:noProof/>
        </w:rPr>
      </w:pPr>
      <w:r w:rsidRPr="00130899">
        <w:rPr>
          <w:noProof/>
        </w:rPr>
        <w:t>3.</w:t>
      </w:r>
      <w:r w:rsidRPr="00130899">
        <w:rPr>
          <w:noProof/>
        </w:rPr>
        <w:tab/>
        <w:t>РЕЗУЛТАТИ ОТ ПОСЛЕДВАЩИТЕ ОЦЕНКИ, КОНСУЛТАЦИИТЕ СЪС ЗАИНТЕРЕСОВАНИТЕ СТРАНИ И ОЦЕНКИТЕ НА ВЪЗДЕЙСТВИЕТО</w:t>
      </w:r>
    </w:p>
    <w:p w14:paraId="5C975B44" w14:textId="77777777" w:rsidR="00977CF6" w:rsidRPr="00130899" w:rsidRDefault="00977CF6" w:rsidP="000430BD">
      <w:pPr>
        <w:pStyle w:val="ManualHeading2"/>
        <w:rPr>
          <w:noProof/>
          <w:u w:color="000000"/>
          <w:bdr w:val="nil"/>
        </w:rPr>
      </w:pPr>
      <w:r w:rsidRPr="00130899">
        <w:rPr>
          <w:noProof/>
          <w:u w:color="000000"/>
          <w:bdr w:val="nil"/>
        </w:rPr>
        <w:t>•</w:t>
      </w:r>
      <w:r w:rsidRPr="00130899">
        <w:rPr>
          <w:noProof/>
        </w:rPr>
        <w:tab/>
      </w:r>
      <w:r w:rsidRPr="00130899">
        <w:rPr>
          <w:noProof/>
          <w:u w:color="000000"/>
          <w:bdr w:val="nil"/>
        </w:rPr>
        <w:t>Последващи оценки/проверки за пригодност на действащото законодателство</w:t>
      </w:r>
    </w:p>
    <w:p w14:paraId="35952049" w14:textId="77777777" w:rsidR="00977CF6" w:rsidRPr="00130899" w:rsidRDefault="00723390" w:rsidP="000430BD">
      <w:pPr>
        <w:pBdr>
          <w:top w:val="nil"/>
          <w:left w:val="nil"/>
          <w:bottom w:val="nil"/>
          <w:right w:val="nil"/>
          <w:between w:val="nil"/>
          <w:bar w:val="nil"/>
        </w:pBdr>
        <w:spacing w:before="0" w:after="240"/>
        <w:rPr>
          <w:noProof/>
        </w:rPr>
      </w:pPr>
      <w:r w:rsidRPr="00130899">
        <w:rPr>
          <w:noProof/>
        </w:rPr>
        <w:t xml:space="preserve">Не съществува предишно обвързващо законодателство в областта на процедурите за данъчни облекчения във връзка с ДПИ, поради което не са извършени последващи оценки или проверки за пригодност. </w:t>
      </w:r>
    </w:p>
    <w:p w14:paraId="35046F88" w14:textId="77777777" w:rsidR="00977CF6" w:rsidRPr="00130899" w:rsidRDefault="00977CF6" w:rsidP="000430BD">
      <w:pPr>
        <w:pStyle w:val="ManualHeading2"/>
        <w:rPr>
          <w:noProof/>
          <w:u w:color="000000"/>
          <w:bdr w:val="nil"/>
        </w:rPr>
      </w:pPr>
      <w:r w:rsidRPr="00130899">
        <w:rPr>
          <w:noProof/>
          <w:u w:color="000000"/>
          <w:bdr w:val="nil"/>
        </w:rPr>
        <w:t>•</w:t>
      </w:r>
      <w:r w:rsidRPr="00130899">
        <w:rPr>
          <w:noProof/>
        </w:rPr>
        <w:tab/>
      </w:r>
      <w:r w:rsidRPr="00130899">
        <w:rPr>
          <w:noProof/>
          <w:u w:color="000000"/>
          <w:bdr w:val="nil"/>
        </w:rPr>
        <w:t>Консултации със заинтересованите страни</w:t>
      </w:r>
    </w:p>
    <w:p w14:paraId="0637742D" w14:textId="77777777" w:rsidR="00E75BA5" w:rsidRPr="00130899" w:rsidRDefault="00723390" w:rsidP="00723390">
      <w:pPr>
        <w:pBdr>
          <w:top w:val="nil"/>
          <w:left w:val="nil"/>
          <w:bottom w:val="nil"/>
          <w:right w:val="nil"/>
          <w:between w:val="nil"/>
          <w:bar w:val="nil"/>
        </w:pBdr>
        <w:spacing w:before="0" w:after="240"/>
        <w:rPr>
          <w:noProof/>
        </w:rPr>
      </w:pPr>
      <w:r w:rsidRPr="00130899">
        <w:rPr>
          <w:noProof/>
        </w:rPr>
        <w:t>Стратегията за консултация със заинтересованите страни за настоящата инициатива се състоеше както от обществени, така и от целеви консултации. Оценка на въздействието от етапа на създаване</w:t>
      </w:r>
      <w:r w:rsidRPr="00130899">
        <w:rPr>
          <w:rStyle w:val="FootnoteReference"/>
          <w:noProof/>
        </w:rPr>
        <w:footnoteReference w:id="23"/>
      </w:r>
      <w:r w:rsidRPr="00130899">
        <w:rPr>
          <w:noProof/>
        </w:rPr>
        <w:t xml:space="preserve"> беше публикувана на 28 септември 2021 г. с четириседмичен период на консултация, последван от обществена консултация, която продължи между април и юни 2022 г., в резултат на която бяха получени 1682 отговора. </w:t>
      </w:r>
    </w:p>
    <w:p w14:paraId="18708591" w14:textId="77777777" w:rsidR="00723390" w:rsidRPr="00130899" w:rsidRDefault="00723390" w:rsidP="00723390">
      <w:pPr>
        <w:pBdr>
          <w:top w:val="nil"/>
          <w:left w:val="nil"/>
          <w:bottom w:val="nil"/>
          <w:right w:val="nil"/>
          <w:between w:val="nil"/>
          <w:bar w:val="nil"/>
        </w:pBdr>
        <w:spacing w:before="0" w:after="240"/>
        <w:rPr>
          <w:noProof/>
        </w:rPr>
      </w:pPr>
      <w:r w:rsidRPr="00130899">
        <w:rPr>
          <w:noProof/>
        </w:rPr>
        <w:t>Консултациите с държавите членки бяха проведени чрез работна група IV, двустранни срещи и две срещи в рамките на форума TADEUS. Освен това бяха проведени срещи с различни заинтересовани страни, като например представители на финансови посредници и инвеститори на дребно.</w:t>
      </w:r>
    </w:p>
    <w:p w14:paraId="2FC0CD64" w14:textId="069A053D" w:rsidR="00E75BA5" w:rsidRPr="00130899" w:rsidRDefault="00723390" w:rsidP="00723390">
      <w:pPr>
        <w:pBdr>
          <w:top w:val="nil"/>
          <w:left w:val="nil"/>
          <w:bottom w:val="nil"/>
          <w:right w:val="nil"/>
          <w:between w:val="nil"/>
          <w:bar w:val="nil"/>
        </w:pBdr>
        <w:spacing w:before="0" w:after="240"/>
        <w:rPr>
          <w:noProof/>
        </w:rPr>
      </w:pPr>
      <w:r w:rsidRPr="00130899">
        <w:rPr>
          <w:noProof/>
        </w:rPr>
        <w:t xml:space="preserve">От този обмен на мнения и становища, получени от различни заинтересовани страни, може да се заключи, че съществува широк консенсус относно проблемите, произтичащи от различните процедури във връзка с ДПИ в държавите членки, и относно необходимостта от действия на ЕС за справяне с фрагментираната и неефективна ситуация. </w:t>
      </w:r>
    </w:p>
    <w:p w14:paraId="12943445" w14:textId="77777777" w:rsidR="00723390" w:rsidRPr="00130899" w:rsidRDefault="00723390" w:rsidP="00723390">
      <w:pPr>
        <w:pBdr>
          <w:top w:val="nil"/>
          <w:left w:val="nil"/>
          <w:bottom w:val="nil"/>
          <w:right w:val="nil"/>
          <w:between w:val="nil"/>
          <w:bar w:val="nil"/>
        </w:pBdr>
        <w:spacing w:before="0" w:after="240"/>
        <w:rPr>
          <w:noProof/>
        </w:rPr>
      </w:pPr>
      <w:r w:rsidRPr="00130899">
        <w:rPr>
          <w:noProof/>
        </w:rPr>
        <w:t>Съществуват обаче различия между основните групи заинтересовани страни по отношение на възможните варианти за постигане на тази цел:</w:t>
      </w:r>
    </w:p>
    <w:p w14:paraId="5AA604B8" w14:textId="5DC7AAF5" w:rsidR="00723390" w:rsidRPr="00130899" w:rsidRDefault="00723390" w:rsidP="00081402">
      <w:pPr>
        <w:pStyle w:val="Tiret0"/>
        <w:numPr>
          <w:ilvl w:val="0"/>
          <w:numId w:val="11"/>
        </w:numPr>
        <w:rPr>
          <w:noProof/>
        </w:rPr>
      </w:pPr>
      <w:r w:rsidRPr="00130899">
        <w:rPr>
          <w:noProof/>
        </w:rPr>
        <w:t xml:space="preserve">Инвеститорите и финансовите посредници определено смятат, че данъчните облекчения при източника ще осигурят най-добри резултати, като ранно данъчно облекчение за инвеститорите и ограничена тежест за посредниците. Те също така потвърдиха, че система за данъчни облекчения при източника вероятно ще трябва да бъде допълнена от системи за възстановяване на ДПИ като резервен вариант. Поради това те подкрепиха инициативата, която ще има </w:t>
      </w:r>
      <w:r w:rsidRPr="00130899">
        <w:rPr>
          <w:noProof/>
        </w:rPr>
        <w:lastRenderedPageBreak/>
        <w:t xml:space="preserve">за цел също така да стандартизира настоящите процеси и формуляри за възстановяване на ДПИ. </w:t>
      </w:r>
    </w:p>
    <w:p w14:paraId="2E0FF5E4" w14:textId="77777777" w:rsidR="00723390" w:rsidRPr="00130899" w:rsidRDefault="00723390" w:rsidP="002C4E11">
      <w:pPr>
        <w:pStyle w:val="Tiret0"/>
        <w:rPr>
          <w:noProof/>
        </w:rPr>
      </w:pPr>
      <w:r w:rsidRPr="00130899">
        <w:rPr>
          <w:noProof/>
        </w:rPr>
        <w:t xml:space="preserve">Държавите членки изразиха подкрепа за въвеждането на </w:t>
      </w:r>
      <w:r w:rsidRPr="00130899">
        <w:rPr>
          <w:b/>
          <w:noProof/>
        </w:rPr>
        <w:t>общо за целия ЕС цифрово удостоверение за местно лице за данъчни цели</w:t>
      </w:r>
      <w:r w:rsidRPr="00130899">
        <w:rPr>
          <w:noProof/>
        </w:rPr>
        <w:t xml:space="preserve">. По отношение на задължението за предоставяне на информация и стандартизираната процедура: </w:t>
      </w:r>
    </w:p>
    <w:p w14:paraId="3558E6A6" w14:textId="7CFD5586" w:rsidR="00723390" w:rsidRPr="00130899" w:rsidRDefault="00585249" w:rsidP="00585249">
      <w:pPr>
        <w:pStyle w:val="Point1"/>
        <w:rPr>
          <w:noProof/>
        </w:rPr>
      </w:pPr>
      <w:r>
        <w:rPr>
          <w:noProof/>
        </w:rPr>
        <w:t>а)</w:t>
      </w:r>
      <w:r>
        <w:rPr>
          <w:noProof/>
        </w:rPr>
        <w:tab/>
      </w:r>
      <w:r w:rsidR="00723390" w:rsidRPr="00130899">
        <w:rPr>
          <w:noProof/>
        </w:rPr>
        <w:t>Държавите членки, в които националната ставка за чуждестранни инвеститори е по-ниска или еднаква със ставката по СИДДО, няма да бъдат пряко засегнати от стандартизацията на процедурите във връзка с ДПИ или с предоставянето на информация. Някои от тези държави членки изразиха подкрепа за действия на равнището на ЕС, тъй като това ще подобри положението на техните инвеститори.</w:t>
      </w:r>
    </w:p>
    <w:p w14:paraId="2E953856" w14:textId="5B5C27C1" w:rsidR="00723390" w:rsidRPr="00130899" w:rsidRDefault="00585249" w:rsidP="00585249">
      <w:pPr>
        <w:pStyle w:val="Point1"/>
        <w:rPr>
          <w:noProof/>
        </w:rPr>
      </w:pPr>
      <w:r>
        <w:rPr>
          <w:noProof/>
        </w:rPr>
        <w:t>б)</w:t>
      </w:r>
      <w:r>
        <w:rPr>
          <w:noProof/>
        </w:rPr>
        <w:tab/>
      </w:r>
      <w:r w:rsidR="00723390" w:rsidRPr="00130899">
        <w:rPr>
          <w:noProof/>
        </w:rPr>
        <w:t>Държавите членки, в които националната ставка на ДПИ е по-висока от ставката по съответната СИДДО, постигнаха широко съгласие за повишаване на прозрачността и стандартизиране на процедурите във връзка с ДПИ, като подчертаха, че е важно да се постигне баланс между ефективността на тези процедури и запазването на контрола върху процесите с цел предотвратяване на данъчни злоупотреби.</w:t>
      </w:r>
    </w:p>
    <w:p w14:paraId="2D9F0067" w14:textId="77777777" w:rsidR="00723390" w:rsidRPr="00130899" w:rsidRDefault="00723390" w:rsidP="00723390">
      <w:pPr>
        <w:rPr>
          <w:noProof/>
        </w:rPr>
      </w:pPr>
      <w:r w:rsidRPr="00130899">
        <w:rPr>
          <w:noProof/>
        </w:rPr>
        <w:t xml:space="preserve">Всички горепосочени мнения, получени от заинтересованите страни, бяха внимателно разгледани в настоящото предложение, с което се въвеждат по-ефективни процедури във връзка с ДПИ, като същевременно на държавите членки се предоставят необходимите инструменти за ефективна борба с данъчните измами и злоупотреби. </w:t>
      </w:r>
    </w:p>
    <w:p w14:paraId="47DF3BFF" w14:textId="77777777" w:rsidR="00977CF6" w:rsidRPr="00130899" w:rsidRDefault="00977CF6" w:rsidP="000430BD">
      <w:pPr>
        <w:pStyle w:val="ManualHeading2"/>
        <w:rPr>
          <w:noProof/>
          <w:u w:color="000000"/>
          <w:bdr w:val="nil"/>
        </w:rPr>
      </w:pPr>
      <w:r w:rsidRPr="00130899">
        <w:rPr>
          <w:noProof/>
          <w:u w:color="000000"/>
          <w:bdr w:val="nil"/>
        </w:rPr>
        <w:t>•</w:t>
      </w:r>
      <w:r w:rsidRPr="00130899">
        <w:rPr>
          <w:noProof/>
        </w:rPr>
        <w:tab/>
      </w:r>
      <w:r w:rsidRPr="00130899">
        <w:rPr>
          <w:noProof/>
          <w:u w:color="000000"/>
          <w:bdr w:val="nil"/>
        </w:rPr>
        <w:t>Събиране и използване на експертни становища</w:t>
      </w:r>
    </w:p>
    <w:p w14:paraId="5A0D718A" w14:textId="77777777" w:rsidR="00977CF6" w:rsidRPr="00130899" w:rsidRDefault="00723390" w:rsidP="000430BD">
      <w:pPr>
        <w:pBdr>
          <w:top w:val="nil"/>
          <w:left w:val="nil"/>
          <w:bottom w:val="nil"/>
          <w:right w:val="nil"/>
          <w:between w:val="nil"/>
          <w:bar w:val="nil"/>
        </w:pBdr>
        <w:spacing w:before="0" w:after="240"/>
        <w:rPr>
          <w:noProof/>
        </w:rPr>
      </w:pPr>
      <w:r w:rsidRPr="00130899">
        <w:rPr>
          <w:noProof/>
        </w:rPr>
        <w:t xml:space="preserve">По време на подготовката на предложението Комисията проведе широки консултации и получи информация от различни източници. Наред с другото, Комисията разчиташе на публично достъпна информация и на данни, получени от частния сектор чрез обаждания и сесии на място за обсъждане на техническите елементи. </w:t>
      </w:r>
    </w:p>
    <w:p w14:paraId="50C9950C" w14:textId="77777777" w:rsidR="00723390" w:rsidRPr="00130899" w:rsidRDefault="00723390" w:rsidP="00723390">
      <w:pPr>
        <w:pStyle w:val="ManualHeading2"/>
        <w:rPr>
          <w:noProof/>
        </w:rPr>
      </w:pPr>
      <w:r w:rsidRPr="00130899">
        <w:rPr>
          <w:noProof/>
        </w:rPr>
        <w:t>•</w:t>
      </w:r>
      <w:r w:rsidRPr="00130899">
        <w:rPr>
          <w:noProof/>
        </w:rPr>
        <w:tab/>
        <w:t>Оценка на въздействието</w:t>
      </w:r>
    </w:p>
    <w:p w14:paraId="6067C5FF" w14:textId="77777777" w:rsidR="006E5243" w:rsidRPr="00130899" w:rsidRDefault="00723390" w:rsidP="000430BD">
      <w:pPr>
        <w:pBdr>
          <w:top w:val="nil"/>
          <w:left w:val="nil"/>
          <w:bottom w:val="nil"/>
          <w:right w:val="nil"/>
          <w:between w:val="nil"/>
          <w:bar w:val="nil"/>
        </w:pBdr>
        <w:spacing w:before="0" w:after="240"/>
        <w:rPr>
          <w:noProof/>
        </w:rPr>
      </w:pPr>
      <w:r w:rsidRPr="00130899">
        <w:rPr>
          <w:noProof/>
        </w:rPr>
        <w:t>При подготовката на настоящата инициатива беше извършена оценка на въздействието. Проектът на доклада за оценка на въздействието беше представен на Комитета за регулаторен контрол (КРК) на Комисията на 16 ноември 2022 г. След заседание на 14 декември 2022 г., на 16 декември 2022 г. КРК издаде отрицателно становище, като посочи няколко области за по-нататъшно подобрение. Основните области за подобрение са: повече яснота относно балансираната тежест на двете конкретни цели на инициативата (подобряване на ефективността и борба с данъчните злоупотреби), точно описание на съдържанието, функционирането и взаимното допълване на вариантите, както и ясна и пълна картина на разходите и ползите от всеки вариант.</w:t>
      </w:r>
    </w:p>
    <w:p w14:paraId="0823C346" w14:textId="77777777" w:rsidR="006E5243" w:rsidRPr="00130899" w:rsidRDefault="00723390" w:rsidP="00896B16">
      <w:pPr>
        <w:rPr>
          <w:noProof/>
        </w:rPr>
      </w:pPr>
      <w:r w:rsidRPr="00130899">
        <w:rPr>
          <w:noProof/>
        </w:rPr>
        <w:t>Преработеният доклад за оценка на въздействието беше представен отново на КРК на 20 март 2023 г. с изменения, въведени в отговор на предишното становище на КРК. По-специално беше изяснено, че двете цели — подобряване на ефективността и борба с данъчните злоупотреби — са еднакво важни; освен това представянето на вариантите беше променено, така че да отразява три вместо четири варианта (обединяване на предишните варианти 1 и 2 в настоящия вариант 1 и несъществено преформулиране и промяна на реда на варианти 2 и 3); накрая, оценката на въздействието беше преразгледана, за да се осигури по-изчерпателен преглед на разходите и ползите, и беше добавена обобщаваща таблица, която отразява нетните разходи/ползи на всеки настоящ вариант за всяка заинтересована страна.</w:t>
      </w:r>
    </w:p>
    <w:p w14:paraId="5F06FCAA" w14:textId="77777777" w:rsidR="006E5243" w:rsidRPr="00130899" w:rsidRDefault="00975CB0" w:rsidP="000430BD">
      <w:pPr>
        <w:pBdr>
          <w:top w:val="nil"/>
          <w:left w:val="nil"/>
          <w:bottom w:val="nil"/>
          <w:right w:val="nil"/>
          <w:between w:val="nil"/>
          <w:bar w:val="nil"/>
        </w:pBdr>
        <w:spacing w:before="0" w:after="240"/>
        <w:rPr>
          <w:noProof/>
        </w:rPr>
      </w:pPr>
      <w:r w:rsidRPr="00130899">
        <w:rPr>
          <w:noProof/>
        </w:rPr>
        <w:lastRenderedPageBreak/>
        <w:t>На 21 април 2023 г. КРК се произнесе с положително становище с резерви относно тази повторно представена оценка на въздействието. КРК поиска допълнителни разяснения относно наличните варианти и разходите/икономиите в обхвата на подхода, че при въвеждането на нова разпоредба старата разпоредба отпада. Освен това беше поискано в анализа на въздействието да се отрази по-добре фактът, че предпочитаният вариант е да се даде възможност на държавите членки да избират между прилагането на данъчно облекчение при източника и/или системата за бързо възстановяване. Горепосочените резерви бяха разгледани в последната версия на оценката на въздействието.</w:t>
      </w:r>
    </w:p>
    <w:p w14:paraId="7405FE6E" w14:textId="77777777" w:rsidR="00723390" w:rsidRPr="00130899" w:rsidRDefault="00723390" w:rsidP="000430BD">
      <w:pPr>
        <w:pBdr>
          <w:top w:val="nil"/>
          <w:left w:val="nil"/>
          <w:bottom w:val="nil"/>
          <w:right w:val="nil"/>
          <w:between w:val="nil"/>
          <w:bar w:val="nil"/>
        </w:pBdr>
        <w:spacing w:before="0" w:after="240"/>
        <w:rPr>
          <w:noProof/>
        </w:rPr>
      </w:pPr>
      <w:r w:rsidRPr="00130899">
        <w:rPr>
          <w:noProof/>
        </w:rPr>
        <w:t>В оценката на въздействието, преразгледана след препоръките на КРК, бяха разгледани три варианта на политиката:</w:t>
      </w:r>
    </w:p>
    <w:p w14:paraId="24FEA4B8" w14:textId="77777777" w:rsidR="00E360AF" w:rsidRPr="00130899" w:rsidRDefault="002C0520" w:rsidP="00554778">
      <w:pPr>
        <w:rPr>
          <w:b/>
          <w:noProof/>
        </w:rPr>
      </w:pPr>
      <w:r w:rsidRPr="00130899">
        <w:rPr>
          <w:b/>
          <w:noProof/>
        </w:rPr>
        <w:t>Вариант 1 — Създаване на общо цифрово удостоверение за местно лице за данъчни цели (eTRC) + общо предоставяне на информация</w:t>
      </w:r>
    </w:p>
    <w:p w14:paraId="5801E9E7" w14:textId="77777777" w:rsidR="002C0520" w:rsidRPr="00130899" w:rsidRDefault="00D16258" w:rsidP="00554778">
      <w:pPr>
        <w:rPr>
          <w:noProof/>
        </w:rPr>
      </w:pPr>
      <w:r w:rsidRPr="00130899">
        <w:rPr>
          <w:noProof/>
        </w:rPr>
        <w:t xml:space="preserve">При този вариант държавите членки биха могли да продължат да прилагат текущите си системи (т.е. данъчни облекчения при източника и/или процедури за възстановяване), но следва да въведат следните нови елементи: </w:t>
      </w:r>
    </w:p>
    <w:p w14:paraId="5C77328F" w14:textId="77777777" w:rsidR="002C0520" w:rsidRPr="00130899" w:rsidRDefault="002C0520" w:rsidP="002C4E11">
      <w:pPr>
        <w:pStyle w:val="Bullet0"/>
        <w:rPr>
          <w:noProof/>
        </w:rPr>
      </w:pPr>
      <w:r w:rsidRPr="00130899">
        <w:rPr>
          <w:noProof/>
        </w:rPr>
        <w:t>общо eTRC (с общо съдържание и формат), което ще бъде издавано/проверявано по цифров път от всички държави членки;</w:t>
      </w:r>
    </w:p>
    <w:p w14:paraId="63DB8A83" w14:textId="77777777" w:rsidR="002C0520" w:rsidRPr="00130899" w:rsidRDefault="002C0520" w:rsidP="002C4E11">
      <w:pPr>
        <w:pStyle w:val="Bullet0"/>
        <w:rPr>
          <w:noProof/>
        </w:rPr>
      </w:pPr>
      <w:r w:rsidRPr="00130899">
        <w:rPr>
          <w:noProof/>
        </w:rPr>
        <w:t>общ стандарт за предоставяне на информация, който да повиши прозрачността, тъй като всеки финансов посредник по цялата финансова верига ще предоставя определен набор от информация на държавата членка на източника. Това ще бъде съпътствано от стандартизирани процедури за надлежна проверка, правила за отговорност и общи формуляри за възстановяване, които ще се подават автоматизирано от името на клиентите/данъкоплатците.</w:t>
      </w:r>
    </w:p>
    <w:p w14:paraId="785DB960" w14:textId="77777777" w:rsidR="00E360AF" w:rsidRPr="00130899" w:rsidRDefault="00141CFD" w:rsidP="00554778">
      <w:pPr>
        <w:rPr>
          <w:b/>
          <w:noProof/>
        </w:rPr>
      </w:pPr>
      <w:r w:rsidRPr="00130899">
        <w:rPr>
          <w:b/>
          <w:noProof/>
        </w:rPr>
        <w:t>Вариант 2 — Прилагане на система за данъчни облекчения при източника</w:t>
      </w:r>
    </w:p>
    <w:p w14:paraId="3E9D8665" w14:textId="64B452A6" w:rsidR="00141CFD" w:rsidRPr="00130899" w:rsidRDefault="00141CFD" w:rsidP="00554778">
      <w:pPr>
        <w:rPr>
          <w:noProof/>
        </w:rPr>
      </w:pPr>
      <w:r w:rsidRPr="00130899">
        <w:rPr>
          <w:noProof/>
        </w:rPr>
        <w:t>Този втори вариант се основава на елементите, включени във вариант 1, но задължава държавите членки да въведат система за данъчни облекчения при източника, която позволява прилагането на намалени ставки съгласно СИДДО или националните правила директно в момента на плащането. При вариант 2 данъчните органи ще трябва да следят за дължимите данъци след изплащането.</w:t>
      </w:r>
    </w:p>
    <w:p w14:paraId="3C39A789" w14:textId="77777777" w:rsidR="00E360AF" w:rsidRPr="00130899" w:rsidRDefault="00141CFD" w:rsidP="00554778">
      <w:pPr>
        <w:rPr>
          <w:b/>
          <w:noProof/>
        </w:rPr>
      </w:pPr>
      <w:r w:rsidRPr="00130899">
        <w:rPr>
          <w:b/>
          <w:noProof/>
        </w:rPr>
        <w:t>Вариант 3 — Прилагане на система за бързо възстановяване в рамките на определен период от време или/и данъчни облекчения при източника</w:t>
      </w:r>
    </w:p>
    <w:p w14:paraId="0ADCFA41" w14:textId="77777777" w:rsidR="00141CFD" w:rsidRPr="00130899" w:rsidRDefault="00660131" w:rsidP="00554778">
      <w:pPr>
        <w:rPr>
          <w:noProof/>
        </w:rPr>
      </w:pPr>
      <w:r w:rsidRPr="00130899">
        <w:rPr>
          <w:noProof/>
        </w:rPr>
        <w:t>Този вариант обхваща вариант 1 с добавеното изискване, че държавите членки, които прилагат система за възстановяване, следва да гарантират, че искането за възстановяване се обработва в рамките на предварително определен срок — т.нар. система за бързо възстановяване. Държавите членки могат да въведат или да продължат да прилагат система за данъчни облекчения при източника (като основна система или за някои нискорискови плащания).</w:t>
      </w:r>
    </w:p>
    <w:p w14:paraId="5A794E07" w14:textId="77777777" w:rsidR="00141CFD" w:rsidRPr="00130899" w:rsidRDefault="00141CFD" w:rsidP="00141CFD">
      <w:pPr>
        <w:rPr>
          <w:noProof/>
        </w:rPr>
      </w:pPr>
      <w:r w:rsidRPr="00130899">
        <w:rPr>
          <w:noProof/>
        </w:rPr>
        <w:t xml:space="preserve">Различните варианти бяха сравнени въз основа на следните критерии: ефективност, ефикасност, съгласуваност и пропорционалност. </w:t>
      </w:r>
    </w:p>
    <w:p w14:paraId="7AB34824" w14:textId="77777777" w:rsidR="00141CFD" w:rsidRPr="00130899" w:rsidRDefault="00914B7B" w:rsidP="00141CFD">
      <w:pPr>
        <w:rPr>
          <w:noProof/>
        </w:rPr>
      </w:pPr>
      <w:r w:rsidRPr="00130899">
        <w:rPr>
          <w:noProof/>
        </w:rPr>
        <w:t xml:space="preserve">От всички варианти предпочитаният вариант е вариант 3. Вариант 3 ще бъде много ефективен за справяне с установените проблеми в ЕС по отношение на бързината, опростените процеси и по-цифровизираните процедури. Въпреки че при вариант 2 икономиите на разходи за инвеститорите ще са по-големи, вариант 3 дава възможност на държавите членки да запазят предварителната проверка на исканията за възстановяване, като по този начин се предлага трайно решение, което следва да е </w:t>
      </w:r>
      <w:r w:rsidRPr="00130899">
        <w:rPr>
          <w:noProof/>
        </w:rPr>
        <w:lastRenderedPageBreak/>
        <w:t>политически осъществимо във всички държави членки. Борбата със злоупотребите е особено важна за държавите членки, които през последните години бяха силно засегнати от практиките Cum-Cum и Cum-Ex. Поради политически причини тези държави членки може да са по-малко склонни да приемат система за данъчни облекчения при източника в краткосрочен план, тъй като такава система отрежда по-значима роля на финансовите посредници.</w:t>
      </w:r>
    </w:p>
    <w:p w14:paraId="4AE398F8" w14:textId="77777777" w:rsidR="002C5F1D" w:rsidRPr="00130899" w:rsidRDefault="002C5F1D" w:rsidP="00141CFD">
      <w:pPr>
        <w:rPr>
          <w:b/>
          <w:noProof/>
        </w:rPr>
      </w:pPr>
      <w:r w:rsidRPr="00130899">
        <w:rPr>
          <w:b/>
          <w:noProof/>
        </w:rPr>
        <w:t xml:space="preserve">Икономически последици </w:t>
      </w:r>
    </w:p>
    <w:p w14:paraId="187040BB" w14:textId="77777777" w:rsidR="002C5F1D" w:rsidRPr="00130899" w:rsidRDefault="002C5F1D" w:rsidP="00141CFD">
      <w:pPr>
        <w:rPr>
          <w:i/>
          <w:noProof/>
        </w:rPr>
      </w:pPr>
      <w:r w:rsidRPr="00130899">
        <w:rPr>
          <w:i/>
          <w:noProof/>
        </w:rPr>
        <w:t>Ползи</w:t>
      </w:r>
    </w:p>
    <w:p w14:paraId="25700939" w14:textId="77777777" w:rsidR="00A230E0" w:rsidRPr="00130899" w:rsidRDefault="002C5F1D" w:rsidP="00141CFD">
      <w:pPr>
        <w:rPr>
          <w:noProof/>
        </w:rPr>
      </w:pPr>
      <w:r w:rsidRPr="00130899">
        <w:rPr>
          <w:noProof/>
        </w:rPr>
        <w:t>Предложената инициатива ще доведе до икономии на разходи за инвеститорите, които се оценяват приблизително на 5,17 милиарда евро годишно, включително 730 милиона евро годишно, свързани с намаляване на документацията (409 милиона евро за инвеститорите от ЕС). Това се дължи на факта, че инвеститорите ще понесат по-малко разходи за привеждане в съответствие, ще се сблъскат с по-малко случаи на двойно данъчно облагане и ще могат своевременно да реинвестират възстановените средства. По този начин настоящата инициатива ще се справи със структурна, дългогодишна пречка пред трансграничните инвестиции и ще помогне на дружествата от ЕС да привличат капитал от по-широк кръг инвеститори, което е основна цел на СКП.</w:t>
      </w:r>
    </w:p>
    <w:p w14:paraId="561E8787" w14:textId="77777777" w:rsidR="00F82941" w:rsidRPr="00130899" w:rsidRDefault="53FA0D19" w:rsidP="00141CFD">
      <w:pPr>
        <w:rPr>
          <w:noProof/>
        </w:rPr>
      </w:pPr>
      <w:r w:rsidRPr="00130899">
        <w:rPr>
          <w:noProof/>
        </w:rPr>
        <w:t xml:space="preserve">Въпреки че в краткосрочен план финансовите посредници ще понесат значителни разходи за въвеждане на системите, необходими за привеждане в съответствие с новата директива, в дългосрочен план се очаква те да се възползват от икономии на разходи (оценявани приблизително на 13,5 милиона евро годишно), поради рационализираните процедури, особено благодарение на цифровизацията на някои аспекти на инициативата, като например използването на eTRC или груповото искане за данъчни облекчения. </w:t>
      </w:r>
    </w:p>
    <w:p w14:paraId="6C422C3E" w14:textId="77777777" w:rsidR="002C5F1D" w:rsidRPr="00130899" w:rsidRDefault="00DE446B" w:rsidP="00141CFD">
      <w:pPr>
        <w:rPr>
          <w:noProof/>
        </w:rPr>
      </w:pPr>
      <w:r w:rsidRPr="00130899">
        <w:rPr>
          <w:noProof/>
        </w:rPr>
        <w:t>И накрая, данъчните органи ще бъдат по-добре подготвени да се борят с данъчните злоупотреби, което в крайна сметка следва да има положително въздействие върху данъчните приходи. Очаква се настоящата инициатива да окаже положително въздействие върху БВП в рамките на 0,025 %.</w:t>
      </w:r>
    </w:p>
    <w:p w14:paraId="41A83D6F" w14:textId="77777777" w:rsidR="002C5F1D" w:rsidRPr="00130899" w:rsidRDefault="002C5F1D" w:rsidP="00141CFD">
      <w:pPr>
        <w:rPr>
          <w:i/>
          <w:noProof/>
        </w:rPr>
      </w:pPr>
      <w:r w:rsidRPr="00130899">
        <w:rPr>
          <w:i/>
          <w:noProof/>
        </w:rPr>
        <w:t>Разходи</w:t>
      </w:r>
    </w:p>
    <w:p w14:paraId="6E49AF5A" w14:textId="638DD273" w:rsidR="002C5F1D" w:rsidRPr="00130899" w:rsidRDefault="00E24D0D" w:rsidP="00141CFD">
      <w:pPr>
        <w:rPr>
          <w:noProof/>
        </w:rPr>
      </w:pPr>
      <w:r w:rsidRPr="00130899">
        <w:rPr>
          <w:noProof/>
        </w:rPr>
        <w:t>Финансовите посредници ще бъдат изправени пред разходи за изпълнение и годишни текущи разходи в размер съответно на 75,9 милиона евро и 13 милиона евро. Данъчните органи също така ще понесат разходи за разработването на ИТ за въвеждането на eTRC (които се оценяват на 4,9—54 милиона евро разходи за разработване и 0,97—10,8 милиона евро текущи разходи) и за системите за предоставяне на информация, необходими за получаване на данни (които се оценяват на 18,2 милиона евро еднократни разходи и 3,5 милиона евро годишни текущи разходи). Накрая, като се има предвид, че случаите на двойно данъчно облагане ще намалеят, държавите членки ще бъдат изправени пред намаление на данъчните приходи, което се оценява на 2,2 милиарда евро.</w:t>
      </w:r>
    </w:p>
    <w:p w14:paraId="1BD8FC58" w14:textId="77777777" w:rsidR="00977CF6" w:rsidRPr="00130899" w:rsidRDefault="00977CF6" w:rsidP="000430BD">
      <w:pPr>
        <w:pStyle w:val="ManualHeading2"/>
        <w:rPr>
          <w:noProof/>
          <w:u w:color="000000"/>
          <w:bdr w:val="nil"/>
        </w:rPr>
      </w:pPr>
      <w:r w:rsidRPr="00130899">
        <w:rPr>
          <w:noProof/>
          <w:u w:color="000000"/>
          <w:bdr w:val="nil"/>
        </w:rPr>
        <w:t>•</w:t>
      </w:r>
      <w:r w:rsidRPr="00130899">
        <w:rPr>
          <w:noProof/>
        </w:rPr>
        <w:tab/>
      </w:r>
      <w:r w:rsidRPr="00130899">
        <w:rPr>
          <w:noProof/>
          <w:u w:color="000000"/>
          <w:bdr w:val="nil"/>
        </w:rPr>
        <w:t>Пригодност и опростяване на законодателството</w:t>
      </w:r>
    </w:p>
    <w:p w14:paraId="6E557E21" w14:textId="77777777" w:rsidR="008D4312" w:rsidRPr="00130899" w:rsidRDefault="006177A2" w:rsidP="006177A2">
      <w:pPr>
        <w:rPr>
          <w:noProof/>
        </w:rPr>
      </w:pPr>
      <w:r w:rsidRPr="00130899">
        <w:rPr>
          <w:noProof/>
        </w:rPr>
        <w:t xml:space="preserve">Една от основните конкретни цели на предложението е въвеждането на цифровизация при процедурите във връзка с ДПИ, за да се постигне пълно автоматизиране при издаването на eTRC, предоставянето на информация, подаването на искане за данъчно облекчение или възстановяване и проверка на данните. Друга цел на инициативата е да се избегне разпространението на различни системи в държавите членки чрез стандартизиране на някои елементи от процедурите във връзка с ДПИ. </w:t>
      </w:r>
    </w:p>
    <w:p w14:paraId="60D4A0BD" w14:textId="77777777" w:rsidR="00EB3C21" w:rsidRPr="00130899" w:rsidRDefault="00EB3C21" w:rsidP="006177A2">
      <w:pPr>
        <w:rPr>
          <w:noProof/>
        </w:rPr>
      </w:pPr>
      <w:r w:rsidRPr="00130899">
        <w:rPr>
          <w:noProof/>
        </w:rPr>
        <w:lastRenderedPageBreak/>
        <w:t xml:space="preserve">Що се отнася до </w:t>
      </w:r>
      <w:bookmarkStart w:id="1" w:name="_Hlk135761396"/>
      <w:r w:rsidRPr="00130899">
        <w:rPr>
          <w:noProof/>
        </w:rPr>
        <w:t>подхода, че при въвеждането на нова разпоредба отпада старата разпоредба</w:t>
      </w:r>
      <w:bookmarkEnd w:id="1"/>
      <w:r w:rsidRPr="00130899">
        <w:rPr>
          <w:noProof/>
        </w:rPr>
        <w:t>, инициативата ще доведе до икономии на разходи за инвеститорите, свързани с намаляването на документацията (409 милиона евро годишно), и до икономии на разходи за финансовите посредници, свързани с рационализирането на процедурите (13,5 милиона евро годишно). Същевременно финансовите посредници ще понесат разходи за изпълнение в размер на 75,9 милиона евро еднократно и 13 милиона евро текущи разходи.</w:t>
      </w:r>
    </w:p>
    <w:p w14:paraId="58274A1A" w14:textId="556A6907" w:rsidR="000E6600" w:rsidRPr="00130899" w:rsidRDefault="000E6600" w:rsidP="006177A2">
      <w:pPr>
        <w:rPr>
          <w:noProof/>
        </w:rPr>
      </w:pPr>
      <w:r w:rsidRPr="00130899">
        <w:rPr>
          <w:noProof/>
        </w:rPr>
        <w:t>С предложението се въвеждат задължения за предоставяне на информация за финансовите посредници. Получаването на подробна информация е от решаващо значение за данъчния орган на държавата членка на източника, за да може да се оценяват и прилагат подходящите намалени ставки на ДПИ и ефективно да се установяват практики на злоупотреба, с което се постига една от целите на инициативата. За да се ограничи тежестта, произтичаща от предоставянето на информация, информацията, която трябва да предоставят финансовите посредници, е ограничена до това, което е необходимо на държавите членки за възстановяване на веригата на плащане на дивиденти и лихви, и до степента, в която тази информация е на разположение на финансовите посредници, които я предоставят. Освен това предоставянето на информация ще се извършва чрез използване на стандартни компютъризирани формуляри и общи изисквания за каналите за комуникация, които ще бъдат определени от Комисията чрез актове за изпълнение.</w:t>
      </w:r>
    </w:p>
    <w:p w14:paraId="7652A04F" w14:textId="77777777" w:rsidR="006177A2" w:rsidRPr="00130899" w:rsidRDefault="00252006" w:rsidP="006177A2">
      <w:pPr>
        <w:rPr>
          <w:noProof/>
        </w:rPr>
      </w:pPr>
      <w:r w:rsidRPr="00130899">
        <w:rPr>
          <w:noProof/>
        </w:rPr>
        <w:t>Освен това, с цел опростяване и облекчаване на изискванията към процедурите във връзка с ДПИ за индивидуалните инвеститори, беше въведено правило „de minimis“ по отношение на задълженията за предоставяне на информация и процедурата за надлежна проверка. То се състои в това, че не се изисква информация за финансови договорености или минимален период на притежаване от инвеститори при изплащане на дивиденти под 1000 евро.</w:t>
      </w:r>
    </w:p>
    <w:p w14:paraId="5ADCE0DF" w14:textId="77777777" w:rsidR="00977CF6" w:rsidRPr="00130899" w:rsidRDefault="00977CF6" w:rsidP="006177A2">
      <w:pPr>
        <w:pStyle w:val="ManualHeading2"/>
        <w:tabs>
          <w:tab w:val="clear" w:pos="850"/>
          <w:tab w:val="left" w:pos="0"/>
        </w:tabs>
        <w:ind w:left="0" w:firstLine="0"/>
        <w:rPr>
          <w:noProof/>
          <w:u w:color="000000"/>
          <w:bdr w:val="nil"/>
        </w:rPr>
      </w:pPr>
      <w:r w:rsidRPr="00130899">
        <w:rPr>
          <w:noProof/>
          <w:u w:color="000000"/>
          <w:bdr w:val="nil"/>
        </w:rPr>
        <w:t>•</w:t>
      </w:r>
      <w:r w:rsidRPr="00130899">
        <w:rPr>
          <w:noProof/>
        </w:rPr>
        <w:tab/>
      </w:r>
      <w:r w:rsidRPr="00130899">
        <w:rPr>
          <w:noProof/>
          <w:u w:color="000000"/>
          <w:bdr w:val="nil"/>
        </w:rPr>
        <w:t>Основни права и равенство</w:t>
      </w:r>
    </w:p>
    <w:p w14:paraId="66ABB3AF" w14:textId="77777777" w:rsidR="006177A2" w:rsidRPr="00130899" w:rsidRDefault="006177A2" w:rsidP="006177A2">
      <w:pPr>
        <w:rPr>
          <w:noProof/>
        </w:rPr>
      </w:pPr>
      <w:r w:rsidRPr="00130899">
        <w:rPr>
          <w:noProof/>
        </w:rPr>
        <w:t>Основните права, и по-специално изискванията за защита на личните данни съгласно Общия регламент относно защитата на данните („ОРЗД“), са гарантирани. Личните данни се обработват само за целите на проверката, че за данъкоплатеца се прилага правилната ставка на ДПИ, и с оглед намаляването на риска от данъчни измами и злоупотреби. Личните данни се предават само между субекти, които участват в процедурите за данъчни облекчения във връзка с ДПИ съгласно настоящата директива. Обемът на предаваните лични данни ще бъде ограничен до това, което е необходимо за разкриването на недостатъчно предоставяне на информация, недеклариране или данъчна измама или злоупотреба, в съответствие с изискванията на ОРЗД. Личните данни ще се съхраняват само толкова дълго, колкото е необходимо за тази цел.</w:t>
      </w:r>
    </w:p>
    <w:p w14:paraId="64193742" w14:textId="77777777" w:rsidR="00962C8C" w:rsidRPr="00130899" w:rsidRDefault="003966D4" w:rsidP="006177A2">
      <w:pPr>
        <w:rPr>
          <w:noProof/>
        </w:rPr>
      </w:pPr>
      <w:r w:rsidRPr="00130899">
        <w:rPr>
          <w:noProof/>
        </w:rPr>
        <w:t>Равенството, включително равенството между половете, не е значително засегнато от настоящата инициатива.</w:t>
      </w:r>
    </w:p>
    <w:p w14:paraId="3669D464" w14:textId="77777777" w:rsidR="00962C8C" w:rsidRPr="00130899" w:rsidRDefault="00962C8C" w:rsidP="00CD5AC5">
      <w:pPr>
        <w:pStyle w:val="ManualHeading2"/>
        <w:tabs>
          <w:tab w:val="clear" w:pos="850"/>
          <w:tab w:val="left" w:pos="0"/>
        </w:tabs>
        <w:ind w:left="0" w:firstLine="0"/>
        <w:rPr>
          <w:noProof/>
          <w:u w:color="000000"/>
          <w:bdr w:val="nil"/>
        </w:rPr>
      </w:pPr>
      <w:r w:rsidRPr="00130899">
        <w:rPr>
          <w:b w:val="0"/>
          <w:noProof/>
          <w:u w:color="000000"/>
          <w:bdr w:val="nil"/>
        </w:rPr>
        <w:t>•</w:t>
      </w:r>
      <w:r w:rsidRPr="00130899">
        <w:rPr>
          <w:noProof/>
        </w:rPr>
        <w:tab/>
      </w:r>
      <w:r w:rsidRPr="00130899">
        <w:rPr>
          <w:noProof/>
          <w:u w:color="000000"/>
          <w:bdr w:val="nil"/>
        </w:rPr>
        <w:t>Други видове въздействие</w:t>
      </w:r>
    </w:p>
    <w:p w14:paraId="1505CC02" w14:textId="77777777" w:rsidR="00962C8C" w:rsidRPr="00130899" w:rsidRDefault="00962C8C" w:rsidP="006177A2">
      <w:pPr>
        <w:rPr>
          <w:noProof/>
        </w:rPr>
      </w:pPr>
      <w:r w:rsidRPr="00130899">
        <w:rPr>
          <w:noProof/>
        </w:rPr>
        <w:t>Няма други значителни въздействия. Очаква се обаче инициативата да има ограничено положително социално въздействие, тъй като ще осигури по-справедливо данъчно облагане; както и ограничено положително въздействие върху околната среда, като се има предвид очакваното намаляване на процесите за възстановяване на хартиен носител. Следователно настоящата инициатива е в съответствие с изпълнението на целта за неутралност по отношение на климата, както се изисква от Европейския закон за климата.</w:t>
      </w:r>
    </w:p>
    <w:p w14:paraId="1A702DBD" w14:textId="77777777" w:rsidR="00934001" w:rsidRPr="00130899" w:rsidRDefault="00047A1C" w:rsidP="006177A2">
      <w:pPr>
        <w:rPr>
          <w:noProof/>
        </w:rPr>
      </w:pPr>
      <w:r w:rsidRPr="00130899">
        <w:rPr>
          <w:noProof/>
        </w:rPr>
        <w:lastRenderedPageBreak/>
        <w:t>С предложението се подкрепят принципите за ненанасяне на значителни вреди и „цифров по подразбиране“ и се допринася за постигането на европейския път за цифрово общество и икономика.</w:t>
      </w:r>
    </w:p>
    <w:p w14:paraId="5C976A4C" w14:textId="77777777" w:rsidR="00934001" w:rsidRPr="00130899" w:rsidRDefault="00934001" w:rsidP="006177A2">
      <w:pPr>
        <w:rPr>
          <w:noProof/>
        </w:rPr>
      </w:pPr>
      <w:r w:rsidRPr="00130899">
        <w:rPr>
          <w:noProof/>
        </w:rPr>
        <w:t>Съответните цели за устойчиво развитие, към които инициативата има частично отношение, са 8 (Достоен труд и икономически растеж), 9 (Промишленост, иновации и инфраструктура) и 16 (Мир, справедливост и силни институции), както е представено в приложение 3 към оценката на въздействието.</w:t>
      </w:r>
    </w:p>
    <w:p w14:paraId="37D5E01E" w14:textId="77777777" w:rsidR="00977CF6" w:rsidRPr="00130899" w:rsidRDefault="00977CF6" w:rsidP="000430BD">
      <w:pPr>
        <w:pStyle w:val="ManualHeading1"/>
        <w:rPr>
          <w:noProof/>
        </w:rPr>
      </w:pPr>
      <w:r w:rsidRPr="00130899">
        <w:rPr>
          <w:noProof/>
        </w:rPr>
        <w:t>4.</w:t>
      </w:r>
      <w:r w:rsidRPr="00130899">
        <w:rPr>
          <w:noProof/>
        </w:rPr>
        <w:tab/>
        <w:t>ОТРАЖЕНИЕ ВЪРХУ БЮДЖЕТА</w:t>
      </w:r>
    </w:p>
    <w:p w14:paraId="2303B811" w14:textId="77777777" w:rsidR="00673DBF" w:rsidRPr="00130899" w:rsidRDefault="00A32A42" w:rsidP="000430BD">
      <w:pPr>
        <w:pBdr>
          <w:top w:val="nil"/>
          <w:left w:val="nil"/>
          <w:bottom w:val="nil"/>
          <w:right w:val="nil"/>
          <w:between w:val="nil"/>
          <w:bar w:val="nil"/>
        </w:pBdr>
        <w:spacing w:before="0" w:after="240"/>
        <w:rPr>
          <w:noProof/>
        </w:rPr>
      </w:pPr>
      <w:r w:rsidRPr="00130899">
        <w:rPr>
          <w:noProof/>
        </w:rPr>
        <w:t>Основните бюджетни последици от инициативата за Комисията включват въвеждането на електронното удостоверение за местно лице за данъчни цели и установяването на форматите и каналите за комуникация, които финансовите посредници трябва да използват, за да предоставят информация на националните данъчни органи. В законодателната финансова обосновка се съдържа подробна информация относно необходимите човешки и административни ресурси.</w:t>
      </w:r>
    </w:p>
    <w:p w14:paraId="60B91D7F" w14:textId="77777777" w:rsidR="00977CF6" w:rsidRPr="00130899" w:rsidRDefault="00977CF6" w:rsidP="000430BD">
      <w:pPr>
        <w:pStyle w:val="ManualHeading1"/>
        <w:rPr>
          <w:noProof/>
        </w:rPr>
      </w:pPr>
      <w:r w:rsidRPr="00130899">
        <w:rPr>
          <w:noProof/>
        </w:rPr>
        <w:t>5.</w:t>
      </w:r>
      <w:r w:rsidRPr="00130899">
        <w:rPr>
          <w:noProof/>
        </w:rPr>
        <w:tab/>
        <w:t>ДРУГИ ЕЛЕМЕНТИ</w:t>
      </w:r>
    </w:p>
    <w:p w14:paraId="38AD6941" w14:textId="77777777" w:rsidR="00977CF6" w:rsidRPr="00130899" w:rsidRDefault="00977CF6" w:rsidP="000430BD">
      <w:pPr>
        <w:pStyle w:val="ManualHeading2"/>
        <w:rPr>
          <w:noProof/>
          <w:u w:color="000000"/>
          <w:bdr w:val="nil"/>
        </w:rPr>
      </w:pPr>
      <w:r w:rsidRPr="00130899">
        <w:rPr>
          <w:noProof/>
          <w:u w:color="000000"/>
          <w:bdr w:val="nil"/>
        </w:rPr>
        <w:t>•</w:t>
      </w:r>
      <w:r w:rsidRPr="00130899">
        <w:rPr>
          <w:noProof/>
        </w:rPr>
        <w:tab/>
      </w:r>
      <w:r w:rsidRPr="00130899">
        <w:rPr>
          <w:noProof/>
          <w:u w:color="000000"/>
          <w:bdr w:val="nil"/>
        </w:rPr>
        <w:t>Планове за изпълнение и механизми за мониторинг, оценка и докладване</w:t>
      </w:r>
    </w:p>
    <w:p w14:paraId="6FABAD77" w14:textId="77777777" w:rsidR="006177A2" w:rsidRPr="00130899" w:rsidRDefault="00115ED7" w:rsidP="006177A2">
      <w:pPr>
        <w:pBdr>
          <w:top w:val="nil"/>
          <w:left w:val="nil"/>
          <w:bottom w:val="nil"/>
          <w:right w:val="nil"/>
          <w:between w:val="nil"/>
          <w:bar w:val="nil"/>
        </w:pBdr>
        <w:spacing w:before="0" w:after="240"/>
        <w:rPr>
          <w:noProof/>
        </w:rPr>
      </w:pPr>
      <w:r w:rsidRPr="00130899">
        <w:rPr>
          <w:noProof/>
        </w:rPr>
        <w:t xml:space="preserve">За целите на мониторинга и оценката на прилагането на директивата държавите членки предоставят на Комисията данни на годишна основа, отразяващи съответната информация относно функционирането на директивата. Съответната информация трябва да бъде определена чрез акт за изпълнение, както е посочено в член 19 от директивата. </w:t>
      </w:r>
    </w:p>
    <w:p w14:paraId="282A99AE" w14:textId="77777777" w:rsidR="006177A2" w:rsidRPr="00130899" w:rsidRDefault="00EB3C21" w:rsidP="006177A2">
      <w:pPr>
        <w:pBdr>
          <w:top w:val="nil"/>
          <w:left w:val="nil"/>
          <w:bottom w:val="nil"/>
          <w:right w:val="nil"/>
          <w:between w:val="nil"/>
          <w:bar w:val="nil"/>
        </w:pBdr>
        <w:spacing w:before="0" w:after="240"/>
        <w:rPr>
          <w:noProof/>
        </w:rPr>
      </w:pPr>
      <w:r w:rsidRPr="00130899">
        <w:rPr>
          <w:noProof/>
        </w:rPr>
        <w:t xml:space="preserve">Комисията извършва оценка на директивата пет години след влизането в сила на националните правила за транспониране на директивата и на всеки пет години след това. </w:t>
      </w:r>
    </w:p>
    <w:p w14:paraId="05566DF9" w14:textId="77777777" w:rsidR="00977CF6" w:rsidRPr="00130899" w:rsidRDefault="00977CF6" w:rsidP="000430BD">
      <w:pPr>
        <w:pStyle w:val="ManualHeading2"/>
        <w:rPr>
          <w:noProof/>
          <w:u w:color="000000"/>
          <w:bdr w:val="nil"/>
        </w:rPr>
      </w:pPr>
      <w:r w:rsidRPr="00130899">
        <w:rPr>
          <w:noProof/>
          <w:u w:color="000000"/>
          <w:bdr w:val="nil"/>
        </w:rPr>
        <w:t>•</w:t>
      </w:r>
      <w:r w:rsidRPr="00130899">
        <w:rPr>
          <w:noProof/>
        </w:rPr>
        <w:tab/>
      </w:r>
      <w:r w:rsidRPr="00130899">
        <w:rPr>
          <w:noProof/>
          <w:u w:color="000000"/>
          <w:bdr w:val="nil"/>
        </w:rPr>
        <w:t>Подробно разяснение на отделните разпоредби на предложението</w:t>
      </w:r>
    </w:p>
    <w:p w14:paraId="5FC5A10D" w14:textId="758934F3" w:rsidR="00977CF6" w:rsidRPr="00130899" w:rsidRDefault="00606D65" w:rsidP="00AE09C6">
      <w:pPr>
        <w:pBdr>
          <w:top w:val="nil"/>
          <w:left w:val="nil"/>
          <w:bottom w:val="nil"/>
          <w:right w:val="nil"/>
          <w:between w:val="nil"/>
          <w:bar w:val="nil"/>
        </w:pBdr>
        <w:spacing w:before="0" w:after="240"/>
        <w:rPr>
          <w:noProof/>
        </w:rPr>
      </w:pPr>
      <w:r w:rsidRPr="00130899">
        <w:rPr>
          <w:noProof/>
        </w:rPr>
        <w:t>Предложението е структурирано в два градивни елемента, които са разгледани съответно в глави 2 и 3. В глава 2 се предвижда създаването на общо за целия ЕС цифрово удостоверение за местно лице за данъчни цели, а в глава 3 се разглеждат процедурите за данъчни облекчения във връзка с ДПИ. Тя включва процедура за създаване на национални регистри за определени финансови посредници (сертифицирани финансови посредници — СФП), стандартизирано задължение за предоставяне на информация за такива СФП и задължение за държавите членки да създадат система за данъчни облекчения при източника или система за бързо възстановяване, или комбинация от двете, за да се осигурят бързи и сигурни данъчни облекчения по отношение на ДПИ въз основа на СИДДО или национални правила за инвеститорите от ЕС и извън ЕС, когато са изпълнени определени условия за прозрачност. Тъй като тези процедури засягат само конкретни държави членки, които трябва да осигурят данъчни облекчения за надвзети данъци при източника, глава 3 е задължителна само за тези държави членки.</w:t>
      </w:r>
    </w:p>
    <w:p w14:paraId="3BC06762" w14:textId="77777777" w:rsidR="00AE09C6" w:rsidRPr="00130899" w:rsidRDefault="00AE09C6" w:rsidP="00AE09C6">
      <w:pPr>
        <w:pStyle w:val="Point1"/>
        <w:rPr>
          <w:noProof/>
        </w:rPr>
      </w:pPr>
      <w:r w:rsidRPr="00130899">
        <w:rPr>
          <w:b/>
          <w:noProof/>
        </w:rPr>
        <w:t>i)</w:t>
      </w:r>
      <w:r w:rsidRPr="00130899">
        <w:rPr>
          <w:noProof/>
        </w:rPr>
        <w:tab/>
      </w:r>
      <w:r w:rsidRPr="00130899">
        <w:rPr>
          <w:b/>
          <w:noProof/>
        </w:rPr>
        <w:t>Общо цифрово удостоверение за местно лице за данъчни цели</w:t>
      </w:r>
      <w:r w:rsidRPr="00130899">
        <w:rPr>
          <w:noProof/>
        </w:rPr>
        <w:t xml:space="preserve"> </w:t>
      </w:r>
      <w:r w:rsidRPr="00130899">
        <w:rPr>
          <w:b/>
          <w:noProof/>
        </w:rPr>
        <w:t>(eTRC)</w:t>
      </w:r>
    </w:p>
    <w:p w14:paraId="5F4AF783" w14:textId="2BC14BE5" w:rsidR="00AE09C6" w:rsidRPr="00130899" w:rsidRDefault="00AE09C6" w:rsidP="00AE09C6">
      <w:pPr>
        <w:rPr>
          <w:noProof/>
        </w:rPr>
      </w:pPr>
      <w:r w:rsidRPr="00130899">
        <w:rPr>
          <w:noProof/>
        </w:rPr>
        <w:t>eTRC ще бъде въведено от всички държави членки и ще осигури бърза, лесна и сигурна административна процедура за потвърждаване на статута на данъкоплатците в ЕС като местни лица за данъчни цели.</w:t>
      </w:r>
    </w:p>
    <w:p w14:paraId="5A063F6B" w14:textId="31896AEE" w:rsidR="00AE09C6" w:rsidRPr="00130899" w:rsidRDefault="00AE09C6" w:rsidP="00AE09C6">
      <w:pPr>
        <w:rPr>
          <w:noProof/>
        </w:rPr>
      </w:pPr>
      <w:r w:rsidRPr="00130899">
        <w:rPr>
          <w:noProof/>
        </w:rPr>
        <w:lastRenderedPageBreak/>
        <w:t xml:space="preserve">Както е посочено в член 4, eTRC ще има </w:t>
      </w:r>
      <w:r w:rsidRPr="00130899">
        <w:rPr>
          <w:b/>
          <w:noProof/>
        </w:rPr>
        <w:t>общо съдържание</w:t>
      </w:r>
      <w:r w:rsidRPr="00130899">
        <w:rPr>
          <w:noProof/>
        </w:rPr>
        <w:t xml:space="preserve">, независимо от издаващата държава членка, т.е. държавата членка, на която лицето е местно лице. Елементите, установени в параграф 2 като общо съдържание на eTRC, са елементите, с които се идентифицира молещият данъкоплатец и се потвърждава, че той е местно лице на държавите членки в съответствие с техните национални правила. </w:t>
      </w:r>
    </w:p>
    <w:p w14:paraId="3CBBDC1D" w14:textId="1D45ABD8" w:rsidR="00AE09C6" w:rsidRPr="00130899" w:rsidRDefault="00334A00" w:rsidP="00AE09C6">
      <w:pPr>
        <w:rPr>
          <w:noProof/>
        </w:rPr>
      </w:pPr>
      <w:r w:rsidRPr="00130899">
        <w:rPr>
          <w:noProof/>
        </w:rPr>
        <w:t xml:space="preserve">Целенасочените консултации с държавите членки показаха, че по отношение на установяването на държавата, на която инвеститорите са местни лица, се прилагат едни и същи правила, за да се приеме, че инвеститорът е местно лице или не е местно лице в дадена държава членка, независимо от държавата на инвестицията. Поради това не е необходимо държавата членка на инвестицията да бъде посочена в eTRC. Такава информация обаче ще бъде включена в искането за данъчно облекчение, за да се определи приложимата намалена ставка. </w:t>
      </w:r>
    </w:p>
    <w:p w14:paraId="0DF82220" w14:textId="77777777" w:rsidR="00DE3FE0" w:rsidRPr="00130899" w:rsidRDefault="00DE3FE0" w:rsidP="00DE3FE0">
      <w:pPr>
        <w:rPr>
          <w:noProof/>
        </w:rPr>
      </w:pPr>
      <w:r w:rsidRPr="00130899">
        <w:rPr>
          <w:noProof/>
        </w:rPr>
        <w:t>Тъй като целта е да се създаде стандартизирано eTRC, което може да се използва за рационализиране на процедурите във връзка с ДПИ, но може да се използва и за други цели, с предложението се дава възможност за добавяне на информация за тези цели.</w:t>
      </w:r>
    </w:p>
    <w:p w14:paraId="0341D416" w14:textId="66D23515" w:rsidR="00AE09C6" w:rsidRPr="00130899" w:rsidRDefault="00FC34D1" w:rsidP="00AE09C6">
      <w:pPr>
        <w:rPr>
          <w:noProof/>
        </w:rPr>
      </w:pPr>
      <w:r w:rsidRPr="00130899">
        <w:rPr>
          <w:noProof/>
        </w:rPr>
        <w:t>Като се има предвид, че една от целите на настоящата инициатива е да се намали административната тежест за данъчните органи, инвеститорите и финансовия сектор, се предлага eTRC да обхваща поне цялата календарна година, през която е поискано. Въпреки това, ако обстоятелствата в края на годината не потвърждават съдържанието на издаденото през годината eTRC, такова eTRC може да се счита за невалидно от издаващата държава членка и от всяка друга засегната държава членка. Минималният обхванат период на eTRC (една календарна година) не следва да се тълкува като пречка за държавите членки да издават eTRC с по-дълъг обхванат период, в зависимост от понятието за статут на местно лице за данъчни цел и националното решение на всяка държава членка. Държавите членки признават eTRC, издадено от друга държава членка, като подходящо доказателство за статута на местно лице на данъкоплатеца в тази друга държава членка, доколкото такова eTRC продължава да се счита за валидно от издаващата държава членка.</w:t>
      </w:r>
    </w:p>
    <w:p w14:paraId="0F71F4C9" w14:textId="294B4A83" w:rsidR="0080647F" w:rsidRPr="00130899" w:rsidRDefault="00AE09C6" w:rsidP="00AE09C6">
      <w:pPr>
        <w:rPr>
          <w:noProof/>
        </w:rPr>
      </w:pPr>
      <w:r w:rsidRPr="00130899">
        <w:rPr>
          <w:noProof/>
        </w:rPr>
        <w:t xml:space="preserve">От държавите членки ще се изисква да издадат eTRC в рамките на един ден, ако са получили конкретен набор от информация и при условие че не са възникнали извънредни обстоятелства, които да оправдаят забавянето. В случаите, когато издаването в рамките на един ден няма да бъде изпълнено, подаващата искането страна следва да бъде уведомена от съответната държава членка. За да се изпълни изискването за еднодневно издаване, държавите членки следва да въведат напълно </w:t>
      </w:r>
      <w:r w:rsidRPr="00130899">
        <w:rPr>
          <w:b/>
          <w:noProof/>
        </w:rPr>
        <w:t>автоматизирана система</w:t>
      </w:r>
      <w:r w:rsidRPr="00130899">
        <w:rPr>
          <w:noProof/>
        </w:rPr>
        <w:t xml:space="preserve"> за издаване на eTRC, която да позволява исканията да се подават чрез онлайн портал, достъпен за данъкоплатеца и упълномощените от него страни (напр. финансови посредници, които подават искане за eTRC от името на своите клиенти).</w:t>
      </w:r>
    </w:p>
    <w:p w14:paraId="21C87D9E" w14:textId="77777777" w:rsidR="00AE09C6" w:rsidRPr="00130899" w:rsidRDefault="00AE09C6" w:rsidP="00AE09C6">
      <w:pPr>
        <w:rPr>
          <w:noProof/>
        </w:rPr>
      </w:pPr>
      <w:r w:rsidRPr="00130899">
        <w:rPr>
          <w:noProof/>
        </w:rPr>
        <w:t>eTRC ще бъде защитено с електронен печат в съответствие с Регламент (ЕС) № 910/2014 от 23 юли 2014 г. относно електронната идентификация и удостоверителните услуги при електронни трансакции на вътрешния пазар (Регламента относно електронната идентификация и удостоверителните услуги)</w:t>
      </w:r>
      <w:r w:rsidRPr="00130899">
        <w:rPr>
          <w:rStyle w:val="FootnoteReference"/>
          <w:noProof/>
        </w:rPr>
        <w:footnoteReference w:id="24"/>
      </w:r>
      <w:r w:rsidRPr="00130899">
        <w:rPr>
          <w:noProof/>
        </w:rPr>
        <w:t xml:space="preserve">. Предвиденият метод предлага възможност за представяне на цифровото удостоверение за местно лице за данъчни цели във формат, който може да се чете както от човек, така и от машина, </w:t>
      </w:r>
      <w:r w:rsidRPr="00130899">
        <w:rPr>
          <w:noProof/>
        </w:rPr>
        <w:lastRenderedPageBreak/>
        <w:t>чрез PDF документи или други подобни формати, които могат да се използват от автоматизирани системи.</w:t>
      </w:r>
    </w:p>
    <w:p w14:paraId="2387E287" w14:textId="77777777" w:rsidR="00247DD1" w:rsidRPr="00130899" w:rsidRDefault="00247DD1" w:rsidP="00247DD1">
      <w:pPr>
        <w:pStyle w:val="Point1"/>
        <w:rPr>
          <w:b/>
          <w:noProof/>
        </w:rPr>
      </w:pPr>
      <w:r w:rsidRPr="00130899">
        <w:rPr>
          <w:b/>
          <w:noProof/>
        </w:rPr>
        <w:t>ii)</w:t>
      </w:r>
      <w:r w:rsidRPr="00130899">
        <w:rPr>
          <w:noProof/>
        </w:rPr>
        <w:tab/>
      </w:r>
      <w:r w:rsidRPr="00130899">
        <w:rPr>
          <w:b/>
          <w:noProof/>
        </w:rPr>
        <w:t>Национални регистри на държавите членки</w:t>
      </w:r>
    </w:p>
    <w:p w14:paraId="2F0A1D80" w14:textId="77777777" w:rsidR="00247DD1" w:rsidRPr="00130899" w:rsidRDefault="00247DD1" w:rsidP="00AE09C6">
      <w:pPr>
        <w:rPr>
          <w:noProof/>
        </w:rPr>
      </w:pPr>
      <w:r w:rsidRPr="00130899">
        <w:rPr>
          <w:noProof/>
        </w:rPr>
        <w:t>За да се възползват от процедурите за данъчни облекчения във връзка с ДПИ, които са в основата на директивата, инвеститорите ще трябва да могат да работят с финансови посредници, които са сертифицирани да предоставят тези услуги. Съществуват две основания за сертифициране като сертифициран финансов посредник (СФП) и съответно за получаване на достъп до процедурите на настоящата директива:</w:t>
      </w:r>
    </w:p>
    <w:p w14:paraId="321A83C7" w14:textId="77777777" w:rsidR="007A3752" w:rsidRPr="00130899" w:rsidRDefault="00697CE1" w:rsidP="004E5214">
      <w:pPr>
        <w:pStyle w:val="Tiret1"/>
        <w:numPr>
          <w:ilvl w:val="0"/>
          <w:numId w:val="6"/>
        </w:numPr>
        <w:rPr>
          <w:noProof/>
        </w:rPr>
      </w:pPr>
      <w:r w:rsidRPr="00130899">
        <w:rPr>
          <w:noProof/>
        </w:rPr>
        <w:t>Задължително: за 1) големи институции съгласно определението в член 5, параграф 2 от Регламент (ЕС) № 575/2013</w:t>
      </w:r>
      <w:r w:rsidRPr="00130899">
        <w:rPr>
          <w:rStyle w:val="FootnoteReference"/>
          <w:noProof/>
        </w:rPr>
        <w:footnoteReference w:id="25"/>
      </w:r>
      <w:r w:rsidRPr="00130899">
        <w:rPr>
          <w:noProof/>
        </w:rPr>
        <w:t xml:space="preserve"> и 2) централни депозитари на ценни книжа в обхвата на Регламент (ЕС) № 909/2014</w:t>
      </w:r>
      <w:r w:rsidRPr="00130899">
        <w:rPr>
          <w:rStyle w:val="FootnoteReference"/>
          <w:noProof/>
        </w:rPr>
        <w:footnoteReference w:id="26"/>
      </w:r>
      <w:r w:rsidRPr="00130899">
        <w:rPr>
          <w:noProof/>
        </w:rPr>
        <w:t>, които предоставят услуги на агент по данъци, удържани при източника, и които като такива трябва да се регистрират в държавите членки, в които се намират емитентите на ценни книжа и в които е инвестирал някой от техните клиенти.</w:t>
      </w:r>
    </w:p>
    <w:p w14:paraId="3E3E3FB0" w14:textId="77777777" w:rsidR="00247DD1" w:rsidRPr="00130899" w:rsidRDefault="004D5050" w:rsidP="004E5214">
      <w:pPr>
        <w:pStyle w:val="Tiret1"/>
        <w:numPr>
          <w:ilvl w:val="0"/>
          <w:numId w:val="6"/>
        </w:numPr>
        <w:rPr>
          <w:noProof/>
        </w:rPr>
      </w:pPr>
      <w:r w:rsidRPr="00130899">
        <w:rPr>
          <w:noProof/>
        </w:rPr>
        <w:t>Доброволно: за всички други субекти (включително субектите, които са установени в юрисдикция на трета държава), действащи като финансови посредници и отговарящи на специфичните изисквания, като се регистрират в един или няколко от националните регистри, създадени в съответствие с настоящата директива, по преценка на съответния посредник; очаква се регистрацията да бъде в тези държави членки, в които техните клиенти имат инвестиции.</w:t>
      </w:r>
    </w:p>
    <w:p w14:paraId="751E06F8" w14:textId="7AE63070" w:rsidR="00A9400E" w:rsidRPr="00130899" w:rsidRDefault="00247DD1" w:rsidP="00247DD1">
      <w:pPr>
        <w:rPr>
          <w:noProof/>
        </w:rPr>
      </w:pPr>
      <w:r w:rsidRPr="00130899">
        <w:rPr>
          <w:noProof/>
        </w:rPr>
        <w:t>Държавите членки, които не трябва да предоставят данъчни облекчения за надвзетия данък при източника поради освобождаване от ДПИ върху плащанията на дивиденти или в случай че съответната национална данъчна ставка е винаги по-ниска или равна на ставката, която би могла да се приложи съгласно СИДДО, не е необходимо да разполагат с национален регистър. Държавите членки, които са избрали предоставяне на данъчно облекчение при източника или бързо възстановяване на надвзетия данък върху лихвите по облигации, както е предвидено в настоящата директива, следва по подразбиране да използват вече създадения национален регистър за предоставянето на данъчни облекчения за надвзетия данък върху дивидентите или да създадат национален регистър по друг начин.</w:t>
      </w:r>
    </w:p>
    <w:p w14:paraId="1BFE559A" w14:textId="77777777" w:rsidR="0080647F" w:rsidRPr="00130899" w:rsidRDefault="0080647F" w:rsidP="00247DD1">
      <w:pPr>
        <w:rPr>
          <w:noProof/>
        </w:rPr>
      </w:pPr>
      <w:r w:rsidRPr="00130899">
        <w:rPr>
          <w:noProof/>
        </w:rPr>
        <w:t>Несъответстващите на изискванията СФП, включително изискванията, които не съответстват на изискванията за регистрация, ще бъдат заличени от националните регистри и/или ще им бъдат наложени санкции.</w:t>
      </w:r>
    </w:p>
    <w:p w14:paraId="0726B204" w14:textId="77777777" w:rsidR="00247DD1" w:rsidRPr="00130899" w:rsidRDefault="00247DD1" w:rsidP="00247DD1">
      <w:pPr>
        <w:pStyle w:val="Point1"/>
        <w:rPr>
          <w:b/>
          <w:noProof/>
        </w:rPr>
      </w:pPr>
      <w:r w:rsidRPr="00130899">
        <w:rPr>
          <w:b/>
          <w:noProof/>
        </w:rPr>
        <w:t>iii)</w:t>
      </w:r>
      <w:r w:rsidRPr="00130899">
        <w:rPr>
          <w:noProof/>
        </w:rPr>
        <w:tab/>
      </w:r>
      <w:r w:rsidRPr="00130899">
        <w:rPr>
          <w:b/>
          <w:noProof/>
        </w:rPr>
        <w:t xml:space="preserve">Общо предоставяне на информация </w:t>
      </w:r>
    </w:p>
    <w:p w14:paraId="7287F85A" w14:textId="40521C50" w:rsidR="007D3EBD" w:rsidRPr="00130899" w:rsidRDefault="00247DD1" w:rsidP="00AE09C6">
      <w:pPr>
        <w:rPr>
          <w:noProof/>
        </w:rPr>
      </w:pPr>
      <w:r w:rsidRPr="00130899">
        <w:rPr>
          <w:noProof/>
        </w:rPr>
        <w:t xml:space="preserve">Настоящата директива има за цел да подпомогне борбата с данъчните измами и злоупотреби в областта на процедурите за предоставяне на данъчни облекчения за надвзет ДПИ и да допринесе за ефективността на тези процедури. Въвеждането на </w:t>
      </w:r>
      <w:r w:rsidRPr="00130899">
        <w:rPr>
          <w:noProof/>
        </w:rPr>
        <w:lastRenderedPageBreak/>
        <w:t xml:space="preserve">прозрачност във финансовата верига служи за постигането на тези две цели, тъй като дава възможност на държавата членка на източника да получи необходимата информация, за да провери дали се прилага правилната ставка на ДПИ и да прецени дали е необходимо да се прилагат правила за борба със злоупотребите. Създаването на общ стандарт за предоставяне на информация в целия ЕС спестява разходи за привеждане в съответствие с изискванията от страна на инвеститорите и финансовите посредници и позволява по-бързи и по-сигурни процедури за данъчни облекчения във връзка с ДПИ. </w:t>
      </w:r>
    </w:p>
    <w:p w14:paraId="654F77AC" w14:textId="77777777" w:rsidR="007D3EBD" w:rsidRPr="00130899" w:rsidRDefault="007D3EBD" w:rsidP="007D3EBD">
      <w:pPr>
        <w:rPr>
          <w:i/>
          <w:noProof/>
        </w:rPr>
      </w:pPr>
      <w:r w:rsidRPr="00130899">
        <w:rPr>
          <w:i/>
          <w:noProof/>
        </w:rPr>
        <w:t>Кой трябва да предоставя информация и на кого?</w:t>
      </w:r>
    </w:p>
    <w:p w14:paraId="34AEFFBD" w14:textId="29150D3E" w:rsidR="007D3EBD" w:rsidRPr="00130899" w:rsidRDefault="00727E85" w:rsidP="007D3EBD">
      <w:pPr>
        <w:rPr>
          <w:noProof/>
        </w:rPr>
      </w:pPr>
      <w:r w:rsidRPr="00130899">
        <w:rPr>
          <w:noProof/>
        </w:rPr>
        <w:t xml:space="preserve">Задълженията за предоставяне на информация произтичат от регистрацията в един от националните регистри. Всички СФП, включени в един или повече от националните регистри, предоставят информация на органа, поддържащ регистъра, и, когато е приложимо, на агента по данъка, удържан при източника, независимо от държавата, на която са местни лица(в ЕС или извън ЕС); или в държава членка с или без собствен национален регистър). </w:t>
      </w:r>
    </w:p>
    <w:p w14:paraId="3895D1F9" w14:textId="27A9D7BF" w:rsidR="007D3EBD" w:rsidRPr="00130899" w:rsidRDefault="007D3EBD" w:rsidP="007D3EBD">
      <w:pPr>
        <w:rPr>
          <w:noProof/>
        </w:rPr>
      </w:pPr>
      <w:r w:rsidRPr="00130899">
        <w:rPr>
          <w:noProof/>
        </w:rPr>
        <w:t>СФП, регистрирани във всеки един национален регистър, трябва да предоставят информация, когато инвестициите на техните клиенти се извършват в държава членка, която има национален регистър. Такава държава членка на източника ще трябва да осигури данъчно облекчение и следователно трябва да възстанови веригата за плащане на ценните книжа и да идентифицира крайния инвеститор. Директивата не изключва възможността СФП да възлагат задължението за предоставяне на информация на друг финансов посредник в рамките на попечителската верига, доколкото съответният СФП продължава да носи отговорност за извършването и точността на такова предоставяне на информация.</w:t>
      </w:r>
    </w:p>
    <w:p w14:paraId="66A50EE7" w14:textId="77777777" w:rsidR="007D3EBD" w:rsidRPr="00130899" w:rsidRDefault="006159CF" w:rsidP="007D3EBD">
      <w:pPr>
        <w:rPr>
          <w:noProof/>
        </w:rPr>
      </w:pPr>
      <w:r w:rsidRPr="00130899">
        <w:rPr>
          <w:noProof/>
        </w:rPr>
        <w:t xml:space="preserve">При неспазване на задължението за предоставяне на информация, се налагат санкции. </w:t>
      </w:r>
    </w:p>
    <w:p w14:paraId="65399EC4" w14:textId="77777777" w:rsidR="007D3EBD" w:rsidRPr="00130899" w:rsidRDefault="007D3EBD" w:rsidP="007D3EBD">
      <w:pPr>
        <w:rPr>
          <w:i/>
          <w:noProof/>
        </w:rPr>
      </w:pPr>
      <w:r w:rsidRPr="00130899">
        <w:rPr>
          <w:i/>
          <w:noProof/>
        </w:rPr>
        <w:t>Каква информация трябва да се предоставя?</w:t>
      </w:r>
    </w:p>
    <w:p w14:paraId="6E8C9FCA" w14:textId="77777777" w:rsidR="007D3EBD" w:rsidRPr="00130899" w:rsidRDefault="007D3EBD" w:rsidP="007D3EBD">
      <w:pPr>
        <w:rPr>
          <w:noProof/>
        </w:rPr>
      </w:pPr>
      <w:r w:rsidRPr="00130899">
        <w:rPr>
          <w:noProof/>
        </w:rPr>
        <w:t xml:space="preserve">В приложение II към директивата се съдържа общ набор от елементи, които трябва да се предоставят като информация. Всеки СФП предоставя информация само за онази част от сделката, която е видима за него, т.е. от кого получава дивидент/лихва и на кого плаща дивидент/лихва. По този начин получателят на пълната информация — или данъчният орган на държавата на източника, или агент по ДПИ, определен от негово име — ще разполага с цялата информация, необходима за възстановяване на финансовата верига на сделката от инвеститора до емитента на ценните книжа. </w:t>
      </w:r>
    </w:p>
    <w:p w14:paraId="23DAF960" w14:textId="77777777" w:rsidR="007D3EBD" w:rsidRPr="00130899" w:rsidRDefault="02362B39" w:rsidP="007D3EBD">
      <w:pPr>
        <w:rPr>
          <w:noProof/>
        </w:rPr>
      </w:pPr>
      <w:r w:rsidRPr="00130899">
        <w:rPr>
          <w:noProof/>
        </w:rPr>
        <w:t>Информацията, предоставена на данъчния орган, ще му позволи да идентифицира крайния инвеститор и евентуалното му право на намалена ставка на ДПИ. По този начин се намалява рискът от двойно възстановяване и се повишава капацитетът на данъчните администрации да идентифицират и да се борят с други практики на злоупотреба и измама, като например Cum-Cum.</w:t>
      </w:r>
    </w:p>
    <w:p w14:paraId="229DAE6B" w14:textId="0D62FE19" w:rsidR="000C4033" w:rsidRPr="00130899" w:rsidRDefault="007B5E95" w:rsidP="007D3EBD">
      <w:pPr>
        <w:rPr>
          <w:noProof/>
        </w:rPr>
      </w:pPr>
      <w:r w:rsidRPr="00130899">
        <w:rPr>
          <w:noProof/>
        </w:rPr>
        <w:t>В раздел Д от приложение II се предвиждат две изисквания за предоставяне на информация, които имат за цел да подпомогнат борбата със злоупотребите с ДПИ, най-вече със схемите за злоупотреби Cum-Cum, а именно: i) информация за периода на притежаване на базовите ценни книжа и ii) информация за финансовите договорености, свързани с ценните книжа, за които данъкоплатецът иска данъчно облекчение.</w:t>
      </w:r>
    </w:p>
    <w:p w14:paraId="163910D8" w14:textId="306E961F" w:rsidR="007E6897" w:rsidRPr="00130899" w:rsidRDefault="007D3EBD" w:rsidP="007D3EBD">
      <w:pPr>
        <w:rPr>
          <w:noProof/>
        </w:rPr>
      </w:pPr>
      <w:r w:rsidRPr="00130899">
        <w:rPr>
          <w:noProof/>
        </w:rPr>
        <w:t xml:space="preserve">Чрез първия елемент се търси информация за това дали базовите ценни книжа са били закупени в рамките на 2 дни преди датата на търгуване без дивидент, като целта е да се помогне за предотвратяването на по-нататъшни схеми за измама/злоупотреба за </w:t>
      </w:r>
      <w:r w:rsidRPr="00130899">
        <w:rPr>
          <w:noProof/>
        </w:rPr>
        <w:lastRenderedPageBreak/>
        <w:t>многократно възстановяване на един и същ ДПИ, когато следва да се прилага само едно единствено възстановяване (схеми Cum-Ex).</w:t>
      </w:r>
    </w:p>
    <w:p w14:paraId="2647FD5F" w14:textId="15D7DB1C" w:rsidR="007D3EBD" w:rsidRPr="00130899" w:rsidRDefault="007D3EBD" w:rsidP="007D3EBD">
      <w:pPr>
        <w:rPr>
          <w:noProof/>
        </w:rPr>
      </w:pPr>
      <w:r w:rsidRPr="00130899">
        <w:rPr>
          <w:noProof/>
        </w:rPr>
        <w:t xml:space="preserve">Чрез втория елемент се търси информация за това дали на предоставящия информация финансов посредник е известна </w:t>
      </w:r>
      <w:r w:rsidRPr="00130899">
        <w:rPr>
          <w:noProof/>
          <w:color w:val="000000" w:themeColor="text1"/>
        </w:rPr>
        <w:t>някаква финансова договореност, включваща</w:t>
      </w:r>
      <w:r w:rsidRPr="00130899">
        <w:rPr>
          <w:noProof/>
        </w:rPr>
        <w:t xml:space="preserve"> базовите ценни книжа, която не е уредена, по която срокът на действие не е изтекъл или която не е прекратена  по друг начин на датата на търгуване без дивидент, с цел данъчният орган да се подпомогне при откриването на данъчни злоупотреби (схеми Cum-Cum). Финансова договореност може да бъде например репо споразумение (репо сделка) или предоставяне в заем на ценни книжа, но също и дериватни продукти, като фючърси върху единични акции. По-конкретно репо споразумението включва продажба на ценни книжа на определена цена с ангажимент за обратно изкупуване на същите или подобни ценни книжа на фиксирана цена на определена бъдеща дата. Предоставянето в заем на ценни книжа включва прехвърляне на собствеността върху ценна книга срещу обезпечение, обикновено друга ценна книга, при условие че собствеността върху тази ценна книга или сходни ценни книжа ще се върне на първоначалния собственик на определена бъдеща дата. Определението е широко, за да позволи включването на различни видове договорености. </w:t>
      </w:r>
    </w:p>
    <w:p w14:paraId="32CFE341" w14:textId="77777777" w:rsidR="00275591" w:rsidRPr="00130899" w:rsidRDefault="007E2FD5" w:rsidP="009D5B08">
      <w:pPr>
        <w:rPr>
          <w:noProof/>
        </w:rPr>
      </w:pPr>
      <w:r w:rsidRPr="00130899">
        <w:rPr>
          <w:noProof/>
        </w:rPr>
        <w:t>Тъй като горепосочените схеми са наблюдавани само във връзка с изплащането на дивиденти, елементите за предоставяне на информация по раздел Д не се изискват във връзка с изплатените лихви по облигации. Същият подход се прилага и по отношение на много ниските суми на изплатените дивиденти, считани за нискорискови случаи, които не могат да оправдаят съответната тежест за предоставяне на информация за СФП. Това обаче не пречи на държавите членки да прилагат подходящи последици, когато действително установят злоупотреба, дори и за ниска сума.</w:t>
      </w:r>
    </w:p>
    <w:p w14:paraId="6C4E01DD" w14:textId="77777777" w:rsidR="007D3EBD" w:rsidRPr="00130899" w:rsidRDefault="007D3EBD" w:rsidP="007D3EBD">
      <w:pPr>
        <w:rPr>
          <w:i/>
          <w:noProof/>
        </w:rPr>
      </w:pPr>
      <w:r w:rsidRPr="00130899">
        <w:rPr>
          <w:i/>
          <w:noProof/>
        </w:rPr>
        <w:t>Как ще се извършва предоставянето на информация?</w:t>
      </w:r>
    </w:p>
    <w:p w14:paraId="07AA5F8B" w14:textId="77777777" w:rsidR="007D3EBD" w:rsidRPr="00130899" w:rsidRDefault="007D3EBD" w:rsidP="007D3EBD">
      <w:pPr>
        <w:rPr>
          <w:noProof/>
        </w:rPr>
      </w:pPr>
      <w:r w:rsidRPr="00130899">
        <w:rPr>
          <w:noProof/>
        </w:rPr>
        <w:t xml:space="preserve">Предоставянето на информация ще се извършва чрез стандартизиран XML формат, определен в акт за изпълнение, който ще бъде приет от Комисията. Автоматизираният канал за предаване на информацията от икономическите оператори на съответния данъчен орган или на агента по ДПИ, действащ от негово име, ще бъде стандартизиран и определен в този акт за изпълнение. </w:t>
      </w:r>
    </w:p>
    <w:p w14:paraId="2E200C79" w14:textId="77777777" w:rsidR="007D3EBD" w:rsidRPr="00130899" w:rsidRDefault="007D3EBD" w:rsidP="007D3EBD">
      <w:pPr>
        <w:rPr>
          <w:i/>
          <w:noProof/>
        </w:rPr>
      </w:pPr>
      <w:r w:rsidRPr="00130899">
        <w:rPr>
          <w:i/>
          <w:noProof/>
        </w:rPr>
        <w:t>Кога възниква задължението за предоставяне на информация?</w:t>
      </w:r>
    </w:p>
    <w:p w14:paraId="1E8B418B" w14:textId="26C5E768" w:rsidR="007D3EBD" w:rsidRPr="00130899" w:rsidRDefault="007D3EBD" w:rsidP="008E0AD1">
      <w:pPr>
        <w:rPr>
          <w:noProof/>
        </w:rPr>
      </w:pPr>
      <w:r w:rsidRPr="00130899">
        <w:rPr>
          <w:noProof/>
        </w:rPr>
        <w:t xml:space="preserve">Срокът за предоставяне на информацията, съдържаща се в приложение II, е най-късно 25 дни от датата на вписване. Предоставянето на информация следва да се извърши възможно най-скоро след датата на вписване, освен ако на датата на вписване не е налице инструкция за уреждане по отношение на която и да е част от сделката, в който случай предоставянето на информация по тази сделка следва да се извърши възможно най-скоро след нейното уреждане. На практика всички позиции обикновено се уреждат в рамките на 10—15 дни от датата на вписване. Ако това не се случи до двадесетия ден, за да се предоставят ефикасни данъчни облекчения за надвзетите данъци при източника, съгласно директивата СФП следва все пак да предоставят информация за ситуацията към двадесетия ден и в рамките на следващите 5 дни.  </w:t>
      </w:r>
    </w:p>
    <w:p w14:paraId="5F5E4530" w14:textId="77777777" w:rsidR="007D3EBD" w:rsidRPr="00130899" w:rsidRDefault="0071260E" w:rsidP="007D3EBD">
      <w:pPr>
        <w:rPr>
          <w:noProof/>
        </w:rPr>
      </w:pPr>
      <w:r w:rsidRPr="00130899">
        <w:rPr>
          <w:noProof/>
        </w:rPr>
        <w:t>В държавите членки, в които се прилага данъчно облекчение при източника и датата на изплащане на дивидента е по-рано от 25 дни от датата на вписване, финансовите посредници следва да разполагат с механизъм за своевременно предоставяне на информация на агента по ДПИ относно ставката, която ще се прилага.</w:t>
      </w:r>
    </w:p>
    <w:p w14:paraId="3E913E85" w14:textId="77777777" w:rsidR="007D3EBD" w:rsidRPr="00130899" w:rsidRDefault="007D3EBD" w:rsidP="007D3EBD">
      <w:pPr>
        <w:pStyle w:val="Point1"/>
        <w:rPr>
          <w:b/>
          <w:noProof/>
        </w:rPr>
      </w:pPr>
      <w:r w:rsidRPr="00130899">
        <w:rPr>
          <w:b/>
          <w:noProof/>
        </w:rPr>
        <w:t>iv)</w:t>
      </w:r>
      <w:r w:rsidRPr="00130899">
        <w:rPr>
          <w:noProof/>
        </w:rPr>
        <w:tab/>
      </w:r>
      <w:r w:rsidRPr="00130899">
        <w:rPr>
          <w:b/>
          <w:noProof/>
        </w:rPr>
        <w:t xml:space="preserve"> Системи за данъчни облекчения</w:t>
      </w:r>
    </w:p>
    <w:p w14:paraId="6518465C" w14:textId="54EEB00E" w:rsidR="007D3EBD" w:rsidRPr="00130899" w:rsidRDefault="00295F4E" w:rsidP="007D3EBD">
      <w:pPr>
        <w:rPr>
          <w:noProof/>
        </w:rPr>
      </w:pPr>
      <w:r w:rsidRPr="00130899">
        <w:rPr>
          <w:noProof/>
        </w:rPr>
        <w:lastRenderedPageBreak/>
        <w:t xml:space="preserve">В предложението се предвижда: а) система за данъчни облекчения при източника; и б) система за бързо възстановяване. При системата за данъчни облекчения при източника агентът по ДПИ прилага правилния размер на данъците в момента на изплащане на дивидента/лихвата (член 12). При системата за бързо възстановяване данъкът се удържа по по-високата ставка, прилагана в държавата на източника, но надвзетият данък се възстановява в рамките на определен срок от максимум 25 дни от датата на искането или от датата, на която е изпълнено изискваното предоставяне на информация, в зависимост от това коя от двете дати е по-късна. Това следва да стане в рамките на 50 календарни дни от датата на плащане (член 13). И в двата случая съответните участници в процедурите ще бъдат СФП, действащи от името на своите инвеститори. В член 10 (искане за данъчно облекчение при източника или бързо възстановяване) и член 11 (процедури за надлежна проверка) се определят елементи, които са общи и за двете системи. </w:t>
      </w:r>
    </w:p>
    <w:p w14:paraId="6F5033A7" w14:textId="77777777" w:rsidR="007D3EBD" w:rsidRPr="00130899" w:rsidRDefault="00FC3E8A" w:rsidP="007D3EBD">
      <w:pPr>
        <w:rPr>
          <w:noProof/>
        </w:rPr>
      </w:pPr>
      <w:r w:rsidRPr="00130899">
        <w:rPr>
          <w:noProof/>
        </w:rPr>
        <w:t>При прилагането на процедурите за данъчни облекчения компетентният данъчен орган може да реши да възложи съответните задачи на определен данъчен агент по данъка, удържан при източника, вместо да ги управлява сам.</w:t>
      </w:r>
    </w:p>
    <w:p w14:paraId="72DA6DA6" w14:textId="0554547F" w:rsidR="007D3EBD" w:rsidRPr="00130899" w:rsidRDefault="00FC3E8A" w:rsidP="007D3EBD">
      <w:pPr>
        <w:rPr>
          <w:noProof/>
        </w:rPr>
      </w:pPr>
      <w:r w:rsidRPr="00130899">
        <w:rPr>
          <w:noProof/>
        </w:rPr>
        <w:t>Всяка държава членка, която прилага процедури за данъчни облекчения за надвзети данъци при източника, може да реши дали да прилага система за данъчно облекчение при източника или система за бързо възстановяване, или и двете, както и дали да използва горепосочената възможност за възлагане на дейности на външни изпълнители. Въпреки това тези държави членки трябва да гарантират, че поне една от двете системи е достъпна за всички инвеститори и действително работи, и че във всички случаи са изпълнени условията, определени в настоящата директива. В рамките на тези две системи държавите членки имат право на преценка, например, да позволят само на нискорискови данъкоплатци да поискат данъчно облекчение при източника, докато другите данъкоплатци могат да поискат само бързо възстановяване. Държавите членки, които не използват процедури за данъчни облекчения за надвзети данъци при източника, тъй като изобщо не предвиждат данък, удържан при източника, или не предвиждат различни ставки на данъка, удържан при източника, при различни обстоятелства, не са засегнати от тези системи и от тях не се изисква да предприемат действия.</w:t>
      </w:r>
    </w:p>
    <w:p w14:paraId="40AD6D5E" w14:textId="4B1F9F41" w:rsidR="007A2CCF" w:rsidRPr="00130899" w:rsidRDefault="006D1052" w:rsidP="007D3EBD">
      <w:pPr>
        <w:rPr>
          <w:noProof/>
        </w:rPr>
      </w:pPr>
      <w:r w:rsidRPr="00130899">
        <w:rPr>
          <w:noProof/>
        </w:rPr>
        <w:t xml:space="preserve">Във всички случаи, що се отнася до доказателствата относно статута на местно лице на инвеститорите, държавите членки следва да разчитат предимно на eTRC, както е определено в член 4, или на подходящо доказателство за статут на местно лице за данъчни цели, издадено от държава извън ЕС. </w:t>
      </w:r>
    </w:p>
    <w:p w14:paraId="584996EC" w14:textId="0E97A4C6" w:rsidR="007D3EBD" w:rsidRPr="00130899" w:rsidRDefault="009F2927" w:rsidP="2B607E20">
      <w:pPr>
        <w:rPr>
          <w:noProof/>
        </w:rPr>
      </w:pPr>
      <w:r w:rsidRPr="00130899">
        <w:rPr>
          <w:noProof/>
        </w:rPr>
        <w:t xml:space="preserve">Основната цел на настоящата директива е да се предотвратят практиките за данъчни злоупотреби/измами, и по-специално схемите Cum-Ex и Cum-Cum. Данъчните органи на държавите членки, които желаят да разполагат с повече време за извършване на някои проверки, преди да се съгласят да предоставят данъчно облекчение, имат възможност да не прилагат системите за данъчни облекчения при източника или за бързо възстановяване, които ще бъдат въведени съгласно настоящата директива при някои специфични обстоятелства. Тази възможност е изрично предвидена в случай на искане за освобождаване и когато информацията, предоставена съгласно раздел Д от приложение II, показва, че базовите ценни книжа са придобити в рамките на два календарни дни от датата на търгуване без дивидент и/или че финансовият посредник съобщава, че му е известна </w:t>
      </w:r>
      <w:r w:rsidRPr="00130899">
        <w:rPr>
          <w:noProof/>
          <w:color w:val="000000" w:themeColor="text1"/>
        </w:rPr>
        <w:t>финансова договореност, включваща</w:t>
      </w:r>
      <w:r w:rsidRPr="00130899">
        <w:rPr>
          <w:noProof/>
        </w:rPr>
        <w:t xml:space="preserve"> базовите ценни книжа, която не е уредена, по която срокът на действие не е изтекъл или която не е прекратена по друг начин към датата на търгуване без дивидент.</w:t>
      </w:r>
    </w:p>
    <w:p w14:paraId="1A2FCB88" w14:textId="77777777" w:rsidR="007D3EBD" w:rsidRPr="00130899" w:rsidRDefault="009F2927" w:rsidP="007D3EBD">
      <w:pPr>
        <w:rPr>
          <w:noProof/>
        </w:rPr>
      </w:pPr>
      <w:r w:rsidRPr="00130899">
        <w:rPr>
          <w:noProof/>
        </w:rPr>
        <w:lastRenderedPageBreak/>
        <w:t>Когато не се прилагат системите за данъчни облекчения при източника и бързо възстановяване, предвидени в настоящата директива, се прилага стандартна процедура за възстановяване, при която данъкоплатецът или негов упълномощен представител, който не е задължително да бъде финансова институция, могат да поискат възстановяване от данъчния орган. Настоящата директива също така гарантира, че поне съдържанието на информацията, която трябва да се предоставя на данъчния орган, ще обхваща информацията, предвидена в раздел Д от приложение II.</w:t>
      </w:r>
    </w:p>
    <w:p w14:paraId="369FD42F" w14:textId="77777777" w:rsidR="00DD40D1" w:rsidRPr="00130899" w:rsidRDefault="00DD40D1" w:rsidP="00DD40D1">
      <w:pPr>
        <w:rPr>
          <w:b/>
          <w:noProof/>
        </w:rPr>
      </w:pPr>
      <w:r w:rsidRPr="00130899">
        <w:rPr>
          <w:b/>
          <w:noProof/>
        </w:rPr>
        <w:t>Общи разпоредби</w:t>
      </w:r>
    </w:p>
    <w:p w14:paraId="2C9BD642" w14:textId="5B993260" w:rsidR="00977CF6" w:rsidRPr="00130899" w:rsidRDefault="007D3EBD" w:rsidP="00896B16">
      <w:pPr>
        <w:spacing w:before="0" w:after="0"/>
        <w:rPr>
          <w:noProof/>
        </w:rPr>
        <w:sectPr w:rsidR="00977CF6" w:rsidRPr="00130899" w:rsidSect="006362D3">
          <w:footerReference w:type="default" r:id="rId15"/>
          <w:footerReference w:type="first" r:id="rId16"/>
          <w:pgSz w:w="11907" w:h="16839"/>
          <w:pgMar w:top="1134" w:right="1417" w:bottom="1134" w:left="1417" w:header="709" w:footer="709" w:gutter="0"/>
          <w:cols w:space="708"/>
          <w:docGrid w:linePitch="360"/>
        </w:sectPr>
      </w:pPr>
      <w:r w:rsidRPr="00130899">
        <w:rPr>
          <w:noProof/>
        </w:rPr>
        <w:t>В глава 4 са разгледани общите и заключителните разпоредби, и по-специално актовете за изпълнение, оценката и мониторинга, правилата за защита на личните данни, транспонирането и влизането в сила. След като бъде прието, настоящото предложение следва да бъде транспонирано в националното законодателство на държавите членки до 31 декември 2026 г. То следва да породи действие две години след приемането на актовете за изпълнение, което се очаква да стане на 1 януари 2027 г.</w:t>
      </w:r>
    </w:p>
    <w:p w14:paraId="63CEBE60" w14:textId="1E95C877" w:rsidR="0001775A" w:rsidRDefault="0001775A" w:rsidP="0001775A">
      <w:pPr>
        <w:pStyle w:val="Rfrenceinterinstitutionnelle"/>
        <w:rPr>
          <w:noProof/>
        </w:rPr>
      </w:pPr>
      <w:r w:rsidRPr="0001775A">
        <w:lastRenderedPageBreak/>
        <w:t>2023/0187 (CNS)</w:t>
      </w:r>
    </w:p>
    <w:p w14:paraId="71776AE1" w14:textId="73D8EB7B" w:rsidR="00977CF6" w:rsidRPr="00130899" w:rsidRDefault="00130899" w:rsidP="00130899">
      <w:pPr>
        <w:pStyle w:val="Statut"/>
        <w:rPr>
          <w:noProof/>
        </w:rPr>
      </w:pPr>
      <w:r w:rsidRPr="00130899">
        <w:rPr>
          <w:noProof/>
        </w:rPr>
        <w:t>Предложение за</w:t>
      </w:r>
    </w:p>
    <w:p w14:paraId="0D4C2FD4" w14:textId="772437FC" w:rsidR="00A9081A" w:rsidRPr="00130899" w:rsidRDefault="00130899" w:rsidP="00130899">
      <w:pPr>
        <w:pStyle w:val="Typedudocument"/>
        <w:rPr>
          <w:noProof/>
        </w:rPr>
      </w:pPr>
      <w:r w:rsidRPr="00130899">
        <w:rPr>
          <w:noProof/>
        </w:rPr>
        <w:t>ДИРЕКТИВА НА СЪВЕТА</w:t>
      </w:r>
    </w:p>
    <w:p w14:paraId="36B09FB7" w14:textId="637D3F09" w:rsidR="003F5F62" w:rsidRPr="00130899" w:rsidRDefault="00130899" w:rsidP="00130899">
      <w:pPr>
        <w:pStyle w:val="Titreobjet"/>
        <w:rPr>
          <w:noProof/>
        </w:rPr>
      </w:pPr>
      <w:r w:rsidRPr="00130899">
        <w:rPr>
          <w:noProof/>
        </w:rPr>
        <w:t>за по-бързи и по-сигурни данъчни облекчения за надвзети данъци при източника</w:t>
      </w:r>
    </w:p>
    <w:p w14:paraId="562220DB" w14:textId="77777777" w:rsidR="00977CF6" w:rsidRPr="00130899" w:rsidRDefault="00977CF6" w:rsidP="00977CF6">
      <w:pPr>
        <w:pStyle w:val="Institutionquiagit"/>
        <w:rPr>
          <w:noProof/>
        </w:rPr>
      </w:pPr>
      <w:r w:rsidRPr="00130899">
        <w:rPr>
          <w:noProof/>
        </w:rPr>
        <w:t>СЪВЕТЪТ НА ЕВРОПЕЙСКИЯ СЪЮЗ,</w:t>
      </w:r>
    </w:p>
    <w:p w14:paraId="765359EE" w14:textId="77777777" w:rsidR="00977CF6" w:rsidRPr="00130899" w:rsidRDefault="00977CF6" w:rsidP="00977CF6">
      <w:pPr>
        <w:rPr>
          <w:noProof/>
        </w:rPr>
      </w:pPr>
      <w:r w:rsidRPr="00130899">
        <w:rPr>
          <w:noProof/>
        </w:rPr>
        <w:t>като взе предвид Договора за функционирането на Европейския съюз, и по-специално член 115 от него,</w:t>
      </w:r>
    </w:p>
    <w:p w14:paraId="76AE00A2" w14:textId="77777777" w:rsidR="00977CF6" w:rsidRPr="00130899" w:rsidRDefault="00977CF6" w:rsidP="00977CF6">
      <w:pPr>
        <w:rPr>
          <w:noProof/>
        </w:rPr>
      </w:pPr>
      <w:r w:rsidRPr="00130899">
        <w:rPr>
          <w:noProof/>
        </w:rPr>
        <w:t>като взе предвид предложението на Европейската комисия,</w:t>
      </w:r>
    </w:p>
    <w:p w14:paraId="0C5B4CC0" w14:textId="77777777" w:rsidR="00977CF6" w:rsidRPr="00130899" w:rsidRDefault="00977CF6" w:rsidP="00977CF6">
      <w:pPr>
        <w:rPr>
          <w:noProof/>
        </w:rPr>
      </w:pPr>
      <w:r w:rsidRPr="00130899">
        <w:rPr>
          <w:noProof/>
        </w:rPr>
        <w:t>след предаване на проекта на законодателния акт на националните парламенти,</w:t>
      </w:r>
    </w:p>
    <w:p w14:paraId="259C2C02" w14:textId="77777777" w:rsidR="00977CF6" w:rsidRPr="00130899" w:rsidRDefault="00977CF6" w:rsidP="00977CF6">
      <w:pPr>
        <w:rPr>
          <w:noProof/>
        </w:rPr>
      </w:pPr>
      <w:r w:rsidRPr="00130899">
        <w:rPr>
          <w:noProof/>
        </w:rPr>
        <w:t>като взе предвид становището на Европейския парламент</w:t>
      </w:r>
      <w:r w:rsidRPr="00130899">
        <w:rPr>
          <w:rStyle w:val="FootnoteReference"/>
          <w:noProof/>
        </w:rPr>
        <w:footnoteReference w:id="27"/>
      </w:r>
      <w:r w:rsidRPr="00130899">
        <w:rPr>
          <w:noProof/>
        </w:rPr>
        <w:t xml:space="preserve">, </w:t>
      </w:r>
    </w:p>
    <w:p w14:paraId="7350FC6D" w14:textId="77777777" w:rsidR="00977CF6" w:rsidRPr="00130899" w:rsidRDefault="00977CF6" w:rsidP="00977CF6">
      <w:pPr>
        <w:rPr>
          <w:noProof/>
        </w:rPr>
      </w:pPr>
      <w:r w:rsidRPr="00130899">
        <w:rPr>
          <w:noProof/>
        </w:rPr>
        <w:t>като взе предвид становището на Европейския икономически и социален комитет</w:t>
      </w:r>
      <w:r w:rsidRPr="00130899">
        <w:rPr>
          <w:rStyle w:val="FootnoteReference"/>
          <w:noProof/>
        </w:rPr>
        <w:footnoteReference w:id="28"/>
      </w:r>
      <w:r w:rsidRPr="00130899">
        <w:rPr>
          <w:noProof/>
        </w:rPr>
        <w:t xml:space="preserve">, </w:t>
      </w:r>
    </w:p>
    <w:p w14:paraId="04F0C82E" w14:textId="77777777" w:rsidR="00977CF6" w:rsidRPr="00130899" w:rsidRDefault="00977CF6" w:rsidP="00977CF6">
      <w:pPr>
        <w:rPr>
          <w:noProof/>
        </w:rPr>
      </w:pPr>
      <w:r w:rsidRPr="00130899">
        <w:rPr>
          <w:noProof/>
        </w:rPr>
        <w:t>в съответствие със специална законодателна процедура,</w:t>
      </w:r>
    </w:p>
    <w:p w14:paraId="243C3373" w14:textId="77777777" w:rsidR="00977CF6" w:rsidRPr="00130899" w:rsidRDefault="00977CF6" w:rsidP="00977CF6">
      <w:pPr>
        <w:rPr>
          <w:noProof/>
        </w:rPr>
      </w:pPr>
      <w:r w:rsidRPr="00130899">
        <w:rPr>
          <w:noProof/>
        </w:rPr>
        <w:t xml:space="preserve">като има предвид, че: </w:t>
      </w:r>
    </w:p>
    <w:p w14:paraId="348E9919" w14:textId="7937BDD7" w:rsidR="002B1027" w:rsidRPr="00130899" w:rsidRDefault="00282923" w:rsidP="00282923">
      <w:pPr>
        <w:pStyle w:val="ManualConsidrant"/>
        <w:rPr>
          <w:noProof/>
        </w:rPr>
      </w:pPr>
      <w:r w:rsidRPr="00130899">
        <w:rPr>
          <w:noProof/>
        </w:rPr>
        <w:t>(1)</w:t>
      </w:r>
      <w:r w:rsidRPr="00130899">
        <w:rPr>
          <w:noProof/>
        </w:rPr>
        <w:tab/>
        <w:t>Осигуряването на справедливо данъчно облагане на вътрешния пазар и доброто функциониране на съюза на капиталовите пазари (СКП) са политически приоритети на Европейския съюз (ЕС). В този контекст премахването на пречките пред трансграничните инвестиции, както и борбата с данъчните измами и злоупотреби, са от решаващо значение. Такива пречки се явяват например неефективни и непропорционално утежнени процедури за данъчни облекчения за надвзети данъци при източника върху доходи от дивиденти или лихви, изплатени по публично търгувани акции или облигации, на чуждестранни инвеститори. Освен това статуквото се оказа неподходящо за предотвратяване на повтарящите се рискове от данъчни измами, отклонение от данъчно облагане и избягване на данъци, както показаха неотдавнашните скандали Cum-Ex и Cum-Cum. Настоящото предложение има за цел да повиши ефективността на процедурите на ЕС във връзка с данъка, удържан при източника, като същевременно ги укрепи срещу риска от данъчни измами и злоупотреби. То се основава на съответните предишни действия на равнището на ЕС и на международно равнище, като например препоръката на Комисията от 2009 г. относно опростяването на процедурите за данъчни облекчения във връзка с данъка, удържан при източника, и инициативата на ОИСР за облекчения съгласно спогодби и подобряване на спазването на данъчното законодателство (TRACE)</w:t>
      </w:r>
      <w:r w:rsidRPr="00130899">
        <w:rPr>
          <w:rStyle w:val="FootnoteReference"/>
          <w:noProof/>
        </w:rPr>
        <w:footnoteReference w:id="29"/>
      </w:r>
      <w:r w:rsidRPr="00130899">
        <w:rPr>
          <w:noProof/>
        </w:rPr>
        <w:t>.</w:t>
      </w:r>
    </w:p>
    <w:p w14:paraId="5D941126" w14:textId="53D80977" w:rsidR="000C240F" w:rsidRPr="00130899" w:rsidRDefault="00282923" w:rsidP="00282923">
      <w:pPr>
        <w:pStyle w:val="ManualConsidrant"/>
        <w:rPr>
          <w:noProof/>
        </w:rPr>
      </w:pPr>
      <w:r w:rsidRPr="00130899">
        <w:rPr>
          <w:noProof/>
        </w:rPr>
        <w:lastRenderedPageBreak/>
        <w:t>(2)</w:t>
      </w:r>
      <w:r w:rsidRPr="00130899">
        <w:rPr>
          <w:noProof/>
        </w:rPr>
        <w:tab/>
        <w:t xml:space="preserve">За да се укрепи капацитетът на държавите членки да предотвратяват и да се борят срещу потенциални измами или злоупотреби, което понастоящем се възпрепятства от разпокъсаност и обща липса на надеждна и навременна информация за инвеститорите, е необходимо да се въведе обща рамка за данъчни облекчения за надвзети данъци при източника върху трансгранични инвестиции в ценни книжа, която да бъде устойчива на риск от данъчни измами или злоупотреби. Тази рамка следва да доведе до сближаване на различните процедури за данъчни облекчения, прилагани в ЕС, като същевременно гарантира прозрачност и сигурност относно идентификацията на инвеститорите за емитентите на ценни книжа, данъчните агенти по данъка, удържан при източника, финансовите посредници и държавите членки, в зависимост от случая. За тази цел рамката следва да се основава на автоматизирани процедури, като например цифровизацията на удостоверението за местно лице за данъчни цели (по отношение на процедурата и формуляра), което е предпоставка за достъп на инвеститорите до всякакви процедури за данъчни облекчения или възстановяване. Тази рамка следва също така да бъде достатъчно гъвкава, за да бъдат надлежно взети предвид различните системи, приложими в различните държави членки, като същевременно осигурява по-голямо сближаване и предоставя подходящи инструменти за борба със злоупотребите с цел намаляване на рисковете от данъчни измами, отклонение от данъчно облагане и избягване на данъци. </w:t>
      </w:r>
    </w:p>
    <w:p w14:paraId="1462BA12" w14:textId="581983C4" w:rsidR="002B75A3" w:rsidRPr="00130899" w:rsidRDefault="00282923" w:rsidP="00282923">
      <w:pPr>
        <w:pStyle w:val="ManualConsidrant"/>
        <w:rPr>
          <w:noProof/>
        </w:rPr>
      </w:pPr>
      <w:r w:rsidRPr="00130899">
        <w:rPr>
          <w:noProof/>
        </w:rPr>
        <w:t>(3)</w:t>
      </w:r>
      <w:r w:rsidRPr="00130899">
        <w:rPr>
          <w:noProof/>
        </w:rPr>
        <w:tab/>
        <w:t xml:space="preserve">За да се осигури пропорционален подход, правилата относно процедурите за данъчни облекчения за надвзети данъци при източника следва да бъдат задължителни само за онези държави членки, които прилагат данък при източника върху дивидентите с различни ставки в зависимост от статута на местно лице на конкретния инвеститор. В този случай държавите членки трябва да предоставят данъчни облекчения, когато е приложена по-висока ставка в ситуация, за която е приложима по-ниска ставка. Освен това държавите членки следва да имат възможност да въведат подобни процедури по отношение на лихвените плащания на чуждестранни лица по публично търгувани облигации, за да се подобри ефективността на съответната процедура за данъчни облекчения и да се гарантира по-високо ниво на спазване на изискванията от страна на данъкоплатците. Държавите членки, които не се нуждаят от процедури за данъчни облекчения за надвзети данъци при източника върху дивидентите и лихвите, според случая, не са засегнати от процедурите, предвидени в настоящата директива, и следователно не са обвързани от тези правила. Като се има предвид, че инвеститорите могат да се намират във всяка държава членка, правилата за общо цифрово удостоверение за местно лице за данъчни цели следва да се прилагат във всички държави членки, като същото се отнася и за общите и заключителните разпоредби. </w:t>
      </w:r>
    </w:p>
    <w:p w14:paraId="2A890128" w14:textId="25C3DA87" w:rsidR="002B75A3" w:rsidRPr="00130899" w:rsidRDefault="00282923" w:rsidP="00282923">
      <w:pPr>
        <w:pStyle w:val="ManualConsidrant"/>
        <w:rPr>
          <w:noProof/>
        </w:rPr>
      </w:pPr>
      <w:r w:rsidRPr="00130899">
        <w:rPr>
          <w:noProof/>
        </w:rPr>
        <w:t>(4)</w:t>
      </w:r>
      <w:r w:rsidRPr="00130899">
        <w:rPr>
          <w:noProof/>
        </w:rPr>
        <w:tab/>
        <w:t xml:space="preserve">За да се гарантира, че всички данъкоплатци в ЕС имат достъп до общо, подходящо и ефективно доказателство за юрисдикцията, на която са местни лица за данъчни цели, държавите членки следва да използват автоматизирани процедури за издаване на удостоверения за местно лице за данъчни цели в една и съща разпознаваема и приемлива цифрова форма и с едно и също съдържание. За да се постигне по-голяма ефективност, удостоверението следва да бъде валидно поне за цялата година, през която е издадено, и да бъде признато от другите държави членки за този период. Държавите членки могат да анулират издадено eTRC, когато данъчният орган разполага с доказателство за обратното по отношение на статута на местно лице за данъчни цели за въпросната година. </w:t>
      </w:r>
      <w:r w:rsidRPr="00130899">
        <w:rPr>
          <w:noProof/>
        </w:rPr>
        <w:lastRenderedPageBreak/>
        <w:t xml:space="preserve">За да се даде възможност за ефективно идентифициране на дружествата от ЕС, удостоверението следва да включва информация за единния европейски идентификационен код (ЕЕИК). </w:t>
      </w:r>
    </w:p>
    <w:p w14:paraId="64FE3358" w14:textId="2564B6EB" w:rsidR="0061507A" w:rsidRPr="00130899" w:rsidRDefault="00282923" w:rsidP="00282923">
      <w:pPr>
        <w:pStyle w:val="ManualConsidrant"/>
        <w:rPr>
          <w:noProof/>
        </w:rPr>
      </w:pPr>
      <w:r w:rsidRPr="00130899">
        <w:rPr>
          <w:noProof/>
        </w:rPr>
        <w:t>(5)</w:t>
      </w:r>
      <w:r w:rsidRPr="00130899">
        <w:rPr>
          <w:noProof/>
        </w:rPr>
        <w:tab/>
        <w:t>За да се изпълни целта за по-ефективни данъчни облекчения за надвзети данъци при източника, следва да се въведат общи процедури, които да позволяват бързо получаване на ясна и сигурна информация за идентификацията на инвеститора, особено при широка инвеститорска база, т.е. по отношение на инвестиции в публично търгувани ценни книжа, при които идентифицирането на отделните инвеститори е предизвикателство. Такива процедури следва също така, като втора стъпка, да позволяват прилагането на съответната данъчна ставка в момента на плащането (данъчно облекчение при източника) или бързото възстановяване на надвзетия данък. Като се има предвид, че трансграничните инвестиции обикновено включват верига на плащане от финансови посредници, съответните процедури следва също така да позволяват проследяване и идентифициране на веригата от посредници, а оттам и на потока от приходи от емитента на ценната книга до крайния получател, т.е. единствения инвеститор или регистриран собственик. Съответните държави членки, т.е. тези, които облагат с данък при източника доходите от ценни книжа и предоставят данъчни облекчения за надвзетия данък, следва да създадат и поддържат национален регистър на финансовите посредници, които имат значителна роля във веригата на плащане, и след като бъдат регистрирани, да изискват от тях да предоставят наличната информация за обработваните от тях плащания на дивиденти или лихви, ако е приложимо. Изискваната информация следва да бъде ограничена до информация, която е от решаващо значение за възстановяване на веригата на плащане и следователно е полезна за предотвратяване на риска от измама или злоупотреба, доколкото такава информация е на разположение на предоставящия информацията посредник. Държавите членки, които облагат лихвите с данък при източника, като прилагат различни ставки, и които се нуждаят от подобни процедури за данъчни облекчения, могат също да обмислят използването на установения национален регистър, в зависимост от случая.</w:t>
      </w:r>
    </w:p>
    <w:p w14:paraId="0704B2AE" w14:textId="231CD4FE" w:rsidR="00105E8D" w:rsidRPr="00130899" w:rsidRDefault="00282923" w:rsidP="00282923">
      <w:pPr>
        <w:pStyle w:val="ManualConsidrant"/>
        <w:rPr>
          <w:noProof/>
        </w:rPr>
      </w:pPr>
      <w:r w:rsidRPr="00130899">
        <w:rPr>
          <w:noProof/>
        </w:rPr>
        <w:t>(6)</w:t>
      </w:r>
      <w:r w:rsidRPr="00130899">
        <w:rPr>
          <w:noProof/>
        </w:rPr>
        <w:tab/>
        <w:t>Тъй като финансовите посредници, които най-често участват във веригите на плащане на ценни книжа, са големи институции съгласно определението в Регламента за капиталовите изисквания (РКИ)</w:t>
      </w:r>
      <w:r w:rsidRPr="00130899">
        <w:rPr>
          <w:rStyle w:val="FootnoteReference"/>
          <w:noProof/>
        </w:rPr>
        <w:footnoteReference w:id="30"/>
      </w:r>
      <w:r w:rsidRPr="00130899">
        <w:rPr>
          <w:noProof/>
        </w:rPr>
        <w:t xml:space="preserve">, както и централни депозитари на ценни книжа, предоставящи услуги на данъчен агент по данъка, удържан при източника, тези субекти следва да бъдат задължени да поискат регистрация в националните регистри на държавите членки, създадени в съответствие с посоченото по-горе. На другите финансови посредници следва да бъде разрешено да поискат регистрация по своя преценка. Регистрацията следва да бъде поискана от самия финансов посредник чрез подаване на заявление до компетентния орган, определен от държавата членка, включващо доказателства, че финансовият посредник отговаря на определени изисквания. Целта на изискванията е да се провери дали подалият заявление посредник </w:t>
      </w:r>
      <w:r w:rsidRPr="00130899">
        <w:rPr>
          <w:rStyle w:val="normaltextrun"/>
          <w:noProof/>
          <w:shd w:val="clear" w:color="auto" w:fill="FFFFFF"/>
        </w:rPr>
        <w:t>отговаря на изискванията на съответния</w:t>
      </w:r>
      <w:r w:rsidRPr="00130899">
        <w:rPr>
          <w:rStyle w:val="normaltextrun"/>
          <w:noProof/>
          <w:color w:val="D13438"/>
          <w:shd w:val="clear" w:color="auto" w:fill="FFFFFF"/>
        </w:rPr>
        <w:t xml:space="preserve"> </w:t>
      </w:r>
      <w:r w:rsidRPr="00130899">
        <w:rPr>
          <w:noProof/>
        </w:rPr>
        <w:t xml:space="preserve">регламент на ЕС и подлежи на надзор за спазването им. Когато финансовият посредник е установен извън ЕС, от него се изисква да </w:t>
      </w:r>
      <w:r w:rsidRPr="00130899">
        <w:rPr>
          <w:noProof/>
        </w:rPr>
        <w:lastRenderedPageBreak/>
        <w:t>спазва законодателство в третата държава, на която е местно лице, което е сравнимо за целите на настоящата директива, и третата държава, на която е местно лице, не е включена нито в приложение I към списъка на ЕС на юрисдикциите, неоказващи съдействие за данъчни цели, нито в списъка на ЕС на високорисковите трети държави (списък за борба срещу изпирането на пари). Спазването от страна на финансов посредник от трета държава на съответните изисквания на ЕС се отнася единствено за целите, посочени в настоящата директива, и не оказва влияние върху упражняването или прилагането на каквито и да е други права и задължения съгласно друго законодателство на ЕС. След като бъдат регистрирани, финансовите посредници следва да се считат за „сертифицирани финансови посредници“ в съответната държава членка и да подлежат на съответните задължения за предоставяне на информация и уведомяване съгласно настоящата директива, като същевременно им се предоставя правото да поискат прилагане на процедурите за данъчни облекчения, предвидени в настоящата директива. Държавите членки, които поддържат национален регистър, следва също така да предприемат действия за заличаване от него на всеки сертифициран финансов посредник, който поиска това или вече не отговаря на съответните изисквания. Освен това тези държави членки могат да решат да предвидят заличаване от националния си регистър на сертифицирани финансови посредници, за които е установено, че са нарушили задълженията неколкократно. Когато дадена държава членка предприеме такова действие по заличаване, тя следва съответно да информира другите държави членки, които поддържат национален регистър, за да могат те да преценят дали да заличат същия сертифициран финансов посредник от техния собствен национален регистър. Националното законодателство на съответните държави членки се прилага по отношение на правата и задълженията на заинтересованите страни, включително за обжалване, по отношение на всяко решение, взето от държава членка във връзка с регистрацията и заличаването от националния им регистър.</w:t>
      </w:r>
    </w:p>
    <w:p w14:paraId="5A476C6A" w14:textId="10C627F8" w:rsidR="00D0444B" w:rsidRPr="00130899" w:rsidRDefault="00282923" w:rsidP="00282923">
      <w:pPr>
        <w:pStyle w:val="ManualConsidrant"/>
        <w:rPr>
          <w:noProof/>
        </w:rPr>
      </w:pPr>
      <w:r w:rsidRPr="00130899">
        <w:rPr>
          <w:noProof/>
        </w:rPr>
        <w:t>(7)</w:t>
      </w:r>
      <w:r w:rsidRPr="00130899">
        <w:rPr>
          <w:noProof/>
        </w:rPr>
        <w:tab/>
        <w:t xml:space="preserve">За да се осигури по-голяма прозрачност по отношение на идентификацията и положението на инвеститора, който получава дивидент или лихвено плащане, както и по отношение на потока на плащането от емитента, сертифицираните финансови посредници следва да предоставят в рамките на определени срокове съответния набор от информация на органа, определен да поддържа националния регистър. Тази информация следва да бъде предоставена и на агента по данъка, удържан при източника, когато е възможно данъчно облекчение при източника. Тези данни следва да включват информация, че съответният инвеститор отговаря на условията, но следва да се ограничават до информацията, с която разполага предоставящият информация сертифициран финансов посредник. Финансовите посредници, които не са задължени да се регистрират като сертифицирани финансови посредници и също така са избрали да не се регистрират като финансови посредници, нямат задължения за предоставяне на информация съгласно настоящата директива. Въпреки това информацията за плащанията, обработени от такива посредници, които не са сертифицирани финансови посредници, продължава да е от значение и може да бъде счетена за необходима от държавата членка, по нейна преценка, за да се осигури прозрачност и да се даде възможност за правилно възстановяване на веригата на плащане преди прилагането на процедурите за данъчни облекчения, предвидени в настоящата директива (данъчни облекчения при източника или бързо възстановяване). Поради това държавите членки могат да поискат от </w:t>
      </w:r>
      <w:r w:rsidRPr="00130899">
        <w:rPr>
          <w:noProof/>
        </w:rPr>
        <w:lastRenderedPageBreak/>
        <w:t>сертифицираните финансови посредници да получават тази информация от такива посредници и съответно да я съобщават, за да могат да се прилагат процедурите за данъчни облекчения, предвидени в настоящата директива.</w:t>
      </w:r>
    </w:p>
    <w:p w14:paraId="011708FC" w14:textId="0599426B" w:rsidR="00AD6ED5" w:rsidRPr="00130899" w:rsidRDefault="00282923" w:rsidP="00282923">
      <w:pPr>
        <w:pStyle w:val="ManualConsidrant"/>
        <w:rPr>
          <w:noProof/>
        </w:rPr>
      </w:pPr>
      <w:r w:rsidRPr="00130899">
        <w:rPr>
          <w:noProof/>
        </w:rPr>
        <w:t>(8)</w:t>
      </w:r>
      <w:r w:rsidRPr="00130899">
        <w:rPr>
          <w:noProof/>
        </w:rPr>
        <w:tab/>
        <w:t>За да стане съюзът на капиталовите пазари по-ефективен и по-конкурентоспособен, следва да се улеснят и ускорят процедурите за данъчни облекчения за надвзети данъци при източника върху доходите от ценни книжа, когато съответните сертифицирани финансови посредници са предоставили информация от значение, включително идентификацията на инвеститора. Съответните сертифицирани финансови посредници включват всички сертифицирани финансови посредници по веригата на плащане между инвеститора и емитента на ценни книжа, от които може да се изисква да предоставят информация и за плащания, извършени от несертифицирани финансови посредници по веригата, в зависимост от избора  на всяка държава членка в областта на политиката. Като се вземат предвид различните подходи в държавите членки, се предвиждат два вида процедури: i) данъчни облекчения при източника чрез директно прилагане на съответната данъчна ставка в момента на удържане и ii) бързо възстановяване в рамките на максимум 50 дни от датата на изплащане на дивидента или, в зависимост от случая, от датата, на която емитентът на облигации трябва да изплати лихва на притежателя на облигации (датата на купона). Държавите членки следва да имат свободата да въведат някоя от двете процедури или комбинация от тях, както считат за подходящо, като гарантират, че , когато са изпълнени изискванията на настоящата директива, всички инвеститори имат достъп до поне една от тях.  За да се гарантира правилното и навременно прилагане на тези процедури от съответните държави членки, е целесъобразно да се прилага лихва за забавено възстановяване на надвзети данъци при източника, които са обхванати от настоящата директива и отговарят на условията за ползване на тези процедури. Когато съответните изисквания не са изпълнени или съответният инвеститор желае това, държавите членки следва да прилагат своите съществуващи стандартни процедури за възстановяване, за да предоставят данъчни облекчения за надвзетите данъци при източника. Във всеки случай регистрираните собственици, по-специално инвеститорите на дребно, и техните упълномощени представители следва да запазят правото си да изискат възстановяване на надвзет данък при източника, платен в държава членка, когато представят доказателства, че отговарят на определените в националното законодателство условия.</w:t>
      </w:r>
    </w:p>
    <w:p w14:paraId="6BC0634B" w14:textId="26B92FAD" w:rsidR="002B75A3" w:rsidRPr="00130899" w:rsidRDefault="00282923" w:rsidP="00282923">
      <w:pPr>
        <w:pStyle w:val="ManualConsidrant"/>
        <w:rPr>
          <w:noProof/>
        </w:rPr>
      </w:pPr>
      <w:r w:rsidRPr="00130899">
        <w:rPr>
          <w:noProof/>
        </w:rPr>
        <w:t>(9)</w:t>
      </w:r>
      <w:r w:rsidRPr="00130899">
        <w:rPr>
          <w:noProof/>
        </w:rPr>
        <w:tab/>
        <w:t>С оглед защитата на системите за данъчни облекчения за надвзети данъци при източника, държавите членки, които поддържат национален регистър, следва също така да изискват от сертифицираните финансови посредници да проверяват дали инвеститорите, които желаят да се възползват от данъчни облекчения, отговарят на условията. По-специално сертифицираните финансови посредници следва да получат удостоверението за местно лице за данъчни цели на съответния инвеститор, както и декларация, че този инвеститор е действителният собственик на плащането съгласно законодателството на държавата членка на източника. Те следва също така да проверят приложимата ставка на данъка при източника въз основа на конкретното положение на инвеститора и да посочат дали им е известна някаква финансова договореност</w:t>
      </w:r>
      <w:r w:rsidRPr="00130899">
        <w:rPr>
          <w:noProof/>
          <w:color w:val="000000" w:themeColor="text1"/>
        </w:rPr>
        <w:t xml:space="preserve">, включваща </w:t>
      </w:r>
      <w:r w:rsidRPr="00130899">
        <w:rPr>
          <w:noProof/>
        </w:rPr>
        <w:t xml:space="preserve">базовите ценни книжа, която не е уредена, по която срокът на действие не е изтекъл или която не е прекратена по друг начин към  датата на търгуване без дивидент. Сертифицираните финансови посредници следва да </w:t>
      </w:r>
      <w:r w:rsidRPr="00130899">
        <w:rPr>
          <w:noProof/>
        </w:rPr>
        <w:lastRenderedPageBreak/>
        <w:t>носят отговорност за загубите на данъчни приходи, възникнали поради неадекватно изпълнение на тези задължения, доколкото това е предвидено в националното законодателство на държавата членка, в която е възникнала загубата. За да се осигури пропорционалност на тежестта и отговорността, наложени на сертифицираните финансови посредници, следва да се прилагат по-леки задължения за проверка при всички процедури за данъчни облекчения, при които рискът от злоупотреби е нисък, и по-специално когато общият размер на дивидента, изплатен на инвеститора за дялово участие в дадено дружество, е по-малък от 1000 EUR. Ако подобна злоупотреба бъде доказана по друг начин, държавите членки могат да приложат последиците съгласно националното законодателство, включително да откажат системите за данъчни облекчения, предвидени в настоящата директива, но не могат да държат сертифицираните финансови посредници отговорни за липсата на проверка.</w:t>
      </w:r>
    </w:p>
    <w:p w14:paraId="4EAE137B" w14:textId="14BA0E82" w:rsidR="006E3E2B" w:rsidRPr="00130899" w:rsidRDefault="00282923" w:rsidP="00282923">
      <w:pPr>
        <w:pStyle w:val="ManualConsidrant"/>
        <w:rPr>
          <w:noProof/>
        </w:rPr>
      </w:pPr>
      <w:r w:rsidRPr="00130899">
        <w:rPr>
          <w:noProof/>
        </w:rPr>
        <w:t>(10)</w:t>
      </w:r>
      <w:r w:rsidRPr="00130899">
        <w:rPr>
          <w:noProof/>
        </w:rPr>
        <w:tab/>
        <w:t>Известно е, че финансовите договорености може да се използват за прехвърляне на икономическата собственост, изцяло или частично, върху дадена ценна книга и/или съответните инвестиционни рискове. Доказано е също така, че такива договорености са използвани в схеми за арбитраж на дивиденти и схеми за спекулативни сделки с дивиденти, като например схемите Cum-Ex и Cum-Cum, с единствената цел да се получат възстановявания, когато не е имало право на такива, или да се увеличи размерът на възстановяването, на което инвеститорът действително е имал право. Информацията за такива финансови договорености, които включват обичайно законни сделки с ценни книжа, като репо споразумения или предоставяне в заем на ценни книжа, както и деривативни продукти, като фючърси върху единични акции, е необходима на данъчните органи за борбата с данъчните злоупотреби. За да се осигури пропорционален подход, предоставянето на тази информация следва да се изисква само от онези сертифицирани финансови посредници, които поради позицията си във веригата може да са участвали пряко в съответната финансова договореност. Такова предоставяне на информация не се изисква при облигации и лихвени плащания.</w:t>
      </w:r>
    </w:p>
    <w:p w14:paraId="072E35F8" w14:textId="40CB42AE" w:rsidR="00771E52" w:rsidRPr="00130899" w:rsidRDefault="00282923" w:rsidP="00282923">
      <w:pPr>
        <w:pStyle w:val="ManualConsidrant"/>
        <w:rPr>
          <w:noProof/>
        </w:rPr>
      </w:pPr>
      <w:r w:rsidRPr="00130899">
        <w:rPr>
          <w:noProof/>
        </w:rPr>
        <w:t>(11)</w:t>
      </w:r>
      <w:r w:rsidRPr="00130899">
        <w:rPr>
          <w:noProof/>
        </w:rPr>
        <w:tab/>
        <w:t xml:space="preserve">За да се осигури ефективност, държавите членки следва да въведат режим на санкции при нарушения на националните правила за транспониране на настоящата директива. Тези санкции следва да бъдат ефективни, пропорционални и възпиращи. </w:t>
      </w:r>
    </w:p>
    <w:p w14:paraId="12D92E3C" w14:textId="6C053727" w:rsidR="00771E52" w:rsidRPr="00130899" w:rsidRDefault="00282923" w:rsidP="00282923">
      <w:pPr>
        <w:pStyle w:val="ManualConsidrant"/>
        <w:rPr>
          <w:noProof/>
        </w:rPr>
      </w:pPr>
      <w:r w:rsidRPr="00130899">
        <w:rPr>
          <w:noProof/>
        </w:rPr>
        <w:t>(12)</w:t>
      </w:r>
      <w:r w:rsidRPr="00130899">
        <w:rPr>
          <w:noProof/>
        </w:rPr>
        <w:tab/>
        <w:t xml:space="preserve">Правилното прилагане и принудителното изпълнение на предложените правила във всяка съответна държава членка е от решаващо значение за насърчаването на СКП като цяло, както и за защитата на данъчната основа на държавите членки, и поради това следва да бъде наблюдавано от Комисията. Затова държавите членки следва редовно да съобщават на Комисията информация, както е посочено в акт за изпълнение, относно прилагането и принудителното изпълнение на тяхната територия на националните мерки, приети съгласно настоящата директива. Комисията следва да изготви оценка въз основа на информацията, предоставена от държавите членки, и други налични данни, за да оцени ефективността на предложените нови правила. В този контекст Комисията следва да разгледа необходимостта от актуализиране на правилата, въведени по силата на настоящата директива. </w:t>
      </w:r>
    </w:p>
    <w:p w14:paraId="30CF5DAF" w14:textId="1F21BDA5" w:rsidR="00771E52" w:rsidRPr="00130899" w:rsidRDefault="00282923" w:rsidP="00282923">
      <w:pPr>
        <w:pStyle w:val="ManualConsidrant"/>
        <w:rPr>
          <w:noProof/>
        </w:rPr>
      </w:pPr>
      <w:r w:rsidRPr="00130899">
        <w:rPr>
          <w:noProof/>
        </w:rPr>
        <w:t>(13)</w:t>
      </w:r>
      <w:r w:rsidRPr="00130899">
        <w:rPr>
          <w:noProof/>
        </w:rPr>
        <w:tab/>
        <w:t xml:space="preserve">За да се осигурят еднакви условия за прилагането на настоящата директива, по-специално за i) цифровото удостоверение за местно лице за данъчни цели, ii) предоставянето на информация от страна на финансовите посредници и iii) искането за данъчни облекчения съгласно настоящата директива, на </w:t>
      </w:r>
      <w:r w:rsidRPr="00130899">
        <w:rPr>
          <w:noProof/>
        </w:rPr>
        <w:lastRenderedPageBreak/>
        <w:t>Комисията следва да бъдат предоставени изпълнителни правомощия за приемане на стандартни формуляри с ограничен брой компоненти, включително езиковия режим. Тези правомощия следва да бъдат упражнявани в съответствие с Регламент (ЕС) № 182/2011 на Европейския парламент и на Съвета</w:t>
      </w:r>
      <w:r w:rsidRPr="00130899">
        <w:rPr>
          <w:rStyle w:val="FootnoteReference"/>
          <w:noProof/>
        </w:rPr>
        <w:footnoteReference w:id="31"/>
      </w:r>
      <w:r w:rsidRPr="00130899">
        <w:rPr>
          <w:noProof/>
        </w:rPr>
        <w:t xml:space="preserve">.  </w:t>
      </w:r>
    </w:p>
    <w:p w14:paraId="1E49CAA8" w14:textId="77777777" w:rsidR="00771E52" w:rsidRPr="00130899" w:rsidRDefault="00282923" w:rsidP="00282923">
      <w:pPr>
        <w:pStyle w:val="ManualConsidrant"/>
        <w:rPr>
          <w:noProof/>
        </w:rPr>
      </w:pPr>
      <w:r w:rsidRPr="00130899">
        <w:rPr>
          <w:noProof/>
        </w:rPr>
        <w:t>(14)</w:t>
      </w:r>
      <w:r w:rsidRPr="00130899">
        <w:rPr>
          <w:noProof/>
        </w:rPr>
        <w:tab/>
        <w:t>При всяко обработване на лични данни, извършвано в рамките на настоящата директива, следва да се спазва Регламент (ЕС) 2016/679 на Европейския парламент и на Съвета</w:t>
      </w:r>
      <w:r w:rsidRPr="00130899">
        <w:rPr>
          <w:rStyle w:val="FootnoteReference"/>
          <w:noProof/>
        </w:rPr>
        <w:footnoteReference w:id="32"/>
      </w:r>
      <w:r w:rsidRPr="00130899">
        <w:rPr>
          <w:noProof/>
        </w:rPr>
        <w:t xml:space="preserve">. Финансовите посредници и държавите членки могат да обработват лични данни по силата на настоящата директива единствено с цел обслужване на широкия обществен интерес, по-специално за целите на борбата с данъчните измами, отклонението от данъчно облагане и избягването на данъци, за гарантиране на данъчните приходи и за насърчаване на справедливото данъчно облагане, които укрепват възможностите за социално, политическо и икономическо приобщаване в държавите членки. За да се позволи ефективното постигане на тази цел, е необходимо да се ограничат някои права на физическите лица, предвидени в горепосочения регламент, по-специално правото да бъдат уведомявани за обработването на техните данни и неговия обхват, както и правото на съгласие за някои видове обработване на данни.  </w:t>
      </w:r>
    </w:p>
    <w:p w14:paraId="0FF05ED5" w14:textId="77777777" w:rsidR="00552C80" w:rsidRPr="00130899" w:rsidRDefault="00282923" w:rsidP="00282923">
      <w:pPr>
        <w:pStyle w:val="ManualConsidrant"/>
        <w:rPr>
          <w:noProof/>
        </w:rPr>
      </w:pPr>
      <w:r w:rsidRPr="00130899">
        <w:rPr>
          <w:noProof/>
        </w:rPr>
        <w:t>(15)</w:t>
      </w:r>
      <w:r w:rsidRPr="00130899">
        <w:rPr>
          <w:noProof/>
        </w:rPr>
        <w:tab/>
        <w:t xml:space="preserve">Тъй като целта на настоящата директива не може да бъде постигната в достатъчна степен от държавите членки и следователно, поради трансграничния характер на съответните сделки и необходимостта от намаляване на разходите за привеждане в съответствие на вътрешния пазар като цяло, може да бъде постигната по-добре на равнището на Съюза, Съюзът може да приеме мерки в съответствие с принципа на субсидиарност, уреден в член 5 от Договора за Европейския съюз. В съответствие с принципа на пропорционалност, посочен в същия член, настоящата директива не надхвърля необходимото за постигането на тази цел. </w:t>
      </w:r>
    </w:p>
    <w:p w14:paraId="1372D604" w14:textId="6C751AC3" w:rsidR="00771E52" w:rsidRPr="00130899" w:rsidRDefault="00552C80" w:rsidP="00282923">
      <w:pPr>
        <w:pStyle w:val="ManualConsidrant"/>
        <w:rPr>
          <w:noProof/>
        </w:rPr>
      </w:pPr>
      <w:r w:rsidRPr="00130899">
        <w:rPr>
          <w:noProof/>
        </w:rPr>
        <w:t xml:space="preserve">(16) </w:t>
      </w:r>
      <w:r w:rsidRPr="00130899">
        <w:rPr>
          <w:noProof/>
        </w:rPr>
        <w:tab/>
        <w:t>В съответствие с член 42 от Регламент (ЕС) 2018/1725 на Европейския парламент и на Съвета</w:t>
      </w:r>
      <w:r w:rsidRPr="00130899">
        <w:rPr>
          <w:rStyle w:val="FootnoteReference"/>
          <w:noProof/>
        </w:rPr>
        <w:footnoteReference w:id="33"/>
      </w:r>
      <w:r w:rsidRPr="00130899">
        <w:rPr>
          <w:noProof/>
        </w:rPr>
        <w:t xml:space="preserve"> бяха проведени консултации с Европейския надзорен орган по защита на данните,  </w:t>
      </w:r>
    </w:p>
    <w:p w14:paraId="3789199E" w14:textId="77777777" w:rsidR="00977CF6" w:rsidRPr="00130899" w:rsidRDefault="00977CF6" w:rsidP="000430BD">
      <w:pPr>
        <w:pStyle w:val="Formuledadoption"/>
        <w:rPr>
          <w:noProof/>
        </w:rPr>
      </w:pPr>
      <w:r w:rsidRPr="00130899">
        <w:rPr>
          <w:noProof/>
        </w:rPr>
        <w:t>ПРИЕ НАСТОЯЩАТА ДИРЕКТИВА:</w:t>
      </w:r>
    </w:p>
    <w:p w14:paraId="21A884C9" w14:textId="77777777" w:rsidR="00977CF6" w:rsidRPr="00130899" w:rsidRDefault="00977CF6" w:rsidP="00977CF6">
      <w:pPr>
        <w:jc w:val="center"/>
        <w:rPr>
          <w:b/>
          <w:i/>
          <w:noProof/>
        </w:rPr>
      </w:pPr>
      <w:r w:rsidRPr="00130899">
        <w:rPr>
          <w:b/>
          <w:noProof/>
        </w:rPr>
        <w:t>ГЛАВА I</w:t>
      </w:r>
    </w:p>
    <w:p w14:paraId="58FAEA4F" w14:textId="77777777" w:rsidR="00977CF6" w:rsidRPr="00130899" w:rsidRDefault="00977CF6" w:rsidP="00977CF6">
      <w:pPr>
        <w:jc w:val="center"/>
        <w:rPr>
          <w:b/>
          <w:noProof/>
        </w:rPr>
      </w:pPr>
      <w:r w:rsidRPr="00130899">
        <w:rPr>
          <w:b/>
          <w:noProof/>
        </w:rPr>
        <w:t>ОБЩИ РАЗПОРЕДБИ</w:t>
      </w:r>
    </w:p>
    <w:p w14:paraId="2CFBC9FE" w14:textId="77777777" w:rsidR="00977CF6" w:rsidRPr="00130899" w:rsidRDefault="00977CF6" w:rsidP="000430BD">
      <w:pPr>
        <w:pStyle w:val="Titrearticle"/>
        <w:rPr>
          <w:b/>
          <w:i w:val="0"/>
          <w:noProof/>
        </w:rPr>
      </w:pPr>
      <w:bookmarkStart w:id="2" w:name="_Hlk132965149"/>
      <w:r w:rsidRPr="00130899">
        <w:rPr>
          <w:noProof/>
        </w:rPr>
        <w:lastRenderedPageBreak/>
        <w:t xml:space="preserve">Член 1 </w:t>
      </w:r>
      <w:r w:rsidRPr="00130899">
        <w:rPr>
          <w:noProof/>
        </w:rPr>
        <w:cr/>
      </w:r>
      <w:r w:rsidRPr="00130899">
        <w:rPr>
          <w:noProof/>
        </w:rPr>
        <w:br/>
      </w:r>
      <w:r w:rsidRPr="00130899">
        <w:rPr>
          <w:b/>
          <w:i w:val="0"/>
          <w:noProof/>
        </w:rPr>
        <w:t>Предмет</w:t>
      </w:r>
    </w:p>
    <w:bookmarkEnd w:id="2"/>
    <w:p w14:paraId="5280E153" w14:textId="3C19238B" w:rsidR="001956AF" w:rsidRPr="00130899" w:rsidRDefault="001956AF" w:rsidP="001956AF">
      <w:pPr>
        <w:rPr>
          <w:noProof/>
        </w:rPr>
      </w:pPr>
      <w:r w:rsidRPr="00130899">
        <w:rPr>
          <w:noProof/>
        </w:rPr>
        <w:t>С настоящата директива се определят правилата за издаване на цифрово удостоверение за местно лице за данъчни цели от държавите членки и процедурата за данъчни облекчения за надвзет данък при източника, който може да бъде удържан от държава членка върху дивиденти от публично търгувани акции и, когато е приложимо, лихви от публично търгувани облигации, изплатени на регистрирани собственици, които са местни лица за данъчни цели извън тази държава членка.</w:t>
      </w:r>
    </w:p>
    <w:p w14:paraId="35511501" w14:textId="77777777" w:rsidR="00AE45C7" w:rsidRPr="00130899" w:rsidRDefault="00AE45C7" w:rsidP="00AE45C7">
      <w:pPr>
        <w:pStyle w:val="Titrearticle"/>
        <w:rPr>
          <w:b/>
          <w:i w:val="0"/>
          <w:noProof/>
        </w:rPr>
      </w:pPr>
      <w:r w:rsidRPr="00130899">
        <w:rPr>
          <w:noProof/>
        </w:rPr>
        <w:t xml:space="preserve">Член 2 </w:t>
      </w:r>
      <w:r w:rsidRPr="00130899">
        <w:rPr>
          <w:noProof/>
        </w:rPr>
        <w:cr/>
      </w:r>
      <w:r w:rsidRPr="00130899">
        <w:rPr>
          <w:noProof/>
        </w:rPr>
        <w:br/>
      </w:r>
      <w:r w:rsidRPr="00130899">
        <w:rPr>
          <w:b/>
          <w:i w:val="0"/>
          <w:noProof/>
        </w:rPr>
        <w:t xml:space="preserve">Приложно поле </w:t>
      </w:r>
    </w:p>
    <w:p w14:paraId="029F97C4" w14:textId="77777777" w:rsidR="00DC73B0" w:rsidRPr="00130899" w:rsidRDefault="005443A7" w:rsidP="001956AF">
      <w:pPr>
        <w:rPr>
          <w:noProof/>
        </w:rPr>
      </w:pPr>
      <w:r w:rsidRPr="00130899">
        <w:rPr>
          <w:noProof/>
        </w:rPr>
        <w:t>Глави I и IV се прилагат за всички държави членки. Глава II се прилага за всички държави членки по отношение на всички лица, които са местни лица за данъчни цели в тяхната юрисдикция.</w:t>
      </w:r>
    </w:p>
    <w:p w14:paraId="3F8DE9DC" w14:textId="31C3B1A8" w:rsidR="005F7AA9" w:rsidRPr="00130899" w:rsidRDefault="00DC0DFA" w:rsidP="001956AF">
      <w:pPr>
        <w:rPr>
          <w:noProof/>
        </w:rPr>
      </w:pPr>
      <w:r w:rsidRPr="00130899">
        <w:rPr>
          <w:noProof/>
        </w:rPr>
        <w:t>Процедурите, предвидени в глава III, се прилагат за всички държави членки, които предоставят данъчни облекчения за надвзети данъци при източника върху дивидентите, изплатени за публично търгувани акции. Държавите членки, които предвиждат данъчни облекчения за надвзети данъци при източника върху лихвите, платени за публично търгувани облигации, могат да прилагат глава III.</w:t>
      </w:r>
    </w:p>
    <w:p w14:paraId="4251647B" w14:textId="77777777" w:rsidR="001956AF" w:rsidRPr="00130899" w:rsidRDefault="001956AF" w:rsidP="008A5257">
      <w:pPr>
        <w:pStyle w:val="Titrearticle"/>
        <w:rPr>
          <w:noProof/>
        </w:rPr>
      </w:pPr>
      <w:r w:rsidRPr="00130899">
        <w:rPr>
          <w:noProof/>
        </w:rPr>
        <w:t xml:space="preserve">Член 3 </w:t>
      </w:r>
      <w:r w:rsidRPr="00130899">
        <w:rPr>
          <w:noProof/>
        </w:rPr>
        <w:cr/>
      </w:r>
      <w:r w:rsidRPr="00130899">
        <w:rPr>
          <w:noProof/>
        </w:rPr>
        <w:br/>
      </w:r>
      <w:r w:rsidRPr="00130899">
        <w:rPr>
          <w:b/>
          <w:i w:val="0"/>
          <w:noProof/>
        </w:rPr>
        <w:t>Определения</w:t>
      </w:r>
    </w:p>
    <w:p w14:paraId="47889F12" w14:textId="77777777" w:rsidR="001956AF" w:rsidRPr="00130899" w:rsidRDefault="001956AF" w:rsidP="008A5257">
      <w:pPr>
        <w:rPr>
          <w:noProof/>
        </w:rPr>
      </w:pPr>
      <w:r w:rsidRPr="00130899">
        <w:rPr>
          <w:noProof/>
        </w:rPr>
        <w:t xml:space="preserve">За целите на настоящата директива се прилагат следните определения: </w:t>
      </w:r>
    </w:p>
    <w:p w14:paraId="66FA705E" w14:textId="0040C1FE" w:rsidR="002B5330" w:rsidRPr="00130899" w:rsidRDefault="00585249" w:rsidP="00585249">
      <w:pPr>
        <w:pStyle w:val="Point0"/>
        <w:rPr>
          <w:noProof/>
        </w:rPr>
      </w:pPr>
      <w:r>
        <w:rPr>
          <w:noProof/>
        </w:rPr>
        <w:t>1)</w:t>
      </w:r>
      <w:r>
        <w:rPr>
          <w:noProof/>
        </w:rPr>
        <w:tab/>
      </w:r>
      <w:r w:rsidR="002B5330" w:rsidRPr="00130899">
        <w:rPr>
          <w:noProof/>
        </w:rPr>
        <w:t>„надвзет данък при източника“ означава разликата между размера на данъка при източника, наложен от държава членка върху плащанията на чуждестранни собственици на дивиденти или лихви от ценни книжа чрез прилагане на общата национална ставка, и по-ниския размер на данъка при източника, приложим от тази държава членка върху същите дивиденти или лихви в съответствие със спогодба за избягване на двойното данъчно облагане или специфично национално законодателство, в зависимост от случая;</w:t>
      </w:r>
    </w:p>
    <w:p w14:paraId="30B5A11D" w14:textId="1B62758E" w:rsidR="002B5330" w:rsidRPr="00130899" w:rsidRDefault="00585249" w:rsidP="00585249">
      <w:pPr>
        <w:pStyle w:val="Point0"/>
        <w:rPr>
          <w:noProof/>
        </w:rPr>
      </w:pPr>
      <w:r>
        <w:rPr>
          <w:noProof/>
        </w:rPr>
        <w:t>2)</w:t>
      </w:r>
      <w:r>
        <w:rPr>
          <w:noProof/>
        </w:rPr>
        <w:tab/>
      </w:r>
      <w:r w:rsidR="002B5330" w:rsidRPr="00130899">
        <w:rPr>
          <w:noProof/>
        </w:rPr>
        <w:t>„публично търгувана акция“ означава акция, допусната до търговия на регулиран пазар или многостранна система за търговия, както е определено в член 4, точки 21 и 22 от Директива 2014/65/ЕС от 15 май 2014 г.</w:t>
      </w:r>
      <w:r w:rsidR="002B5330" w:rsidRPr="00130899">
        <w:rPr>
          <w:rStyle w:val="FootnoteReference"/>
          <w:noProof/>
        </w:rPr>
        <w:footnoteReference w:id="34"/>
      </w:r>
      <w:r w:rsidR="002B5330" w:rsidRPr="00130899">
        <w:rPr>
          <w:noProof/>
        </w:rPr>
        <w:t>;</w:t>
      </w:r>
    </w:p>
    <w:p w14:paraId="42F29CA4" w14:textId="79CF591C" w:rsidR="00EE72EC" w:rsidRPr="00130899" w:rsidRDefault="00585249" w:rsidP="00585249">
      <w:pPr>
        <w:pStyle w:val="Point0"/>
        <w:rPr>
          <w:noProof/>
        </w:rPr>
      </w:pPr>
      <w:r>
        <w:rPr>
          <w:noProof/>
        </w:rPr>
        <w:t>3)</w:t>
      </w:r>
      <w:r>
        <w:rPr>
          <w:noProof/>
        </w:rPr>
        <w:tab/>
      </w:r>
      <w:r w:rsidR="002B5330" w:rsidRPr="00130899">
        <w:rPr>
          <w:noProof/>
        </w:rPr>
        <w:t xml:space="preserve">„публично търгувана облигация“ означава облигация, допусната до търговия на регулиран пазар, многостранна система за търговия или организирана система за търговия, както е определено съответно в член 4, точки 21, 22 и 23 от Директива 2014/65/ЕС от 15 май 2014 г.; </w:t>
      </w:r>
    </w:p>
    <w:p w14:paraId="707027E0" w14:textId="0993085E" w:rsidR="002B5330" w:rsidRPr="00130899" w:rsidRDefault="00585249" w:rsidP="00585249">
      <w:pPr>
        <w:pStyle w:val="Point0"/>
        <w:rPr>
          <w:noProof/>
        </w:rPr>
      </w:pPr>
      <w:r>
        <w:rPr>
          <w:noProof/>
        </w:rPr>
        <w:t>4)</w:t>
      </w:r>
      <w:r>
        <w:rPr>
          <w:noProof/>
        </w:rPr>
        <w:tab/>
      </w:r>
      <w:r w:rsidR="002B5330" w:rsidRPr="00130899">
        <w:rPr>
          <w:noProof/>
        </w:rPr>
        <w:t xml:space="preserve">„финансов посредник“ означава централен депозитар на ценни книжа съгласно определението в член 2, параграф 1 от Регламент (ЕС) № 909/2014 от 23 юли </w:t>
      </w:r>
      <w:r w:rsidR="002B5330" w:rsidRPr="00130899">
        <w:rPr>
          <w:noProof/>
        </w:rPr>
        <w:lastRenderedPageBreak/>
        <w:t>2014 г.</w:t>
      </w:r>
      <w:r w:rsidR="002B5330" w:rsidRPr="00130899">
        <w:rPr>
          <w:rStyle w:val="FootnoteReference"/>
          <w:rFonts w:eastAsiaTheme="minorEastAsia"/>
          <w:noProof/>
        </w:rPr>
        <w:footnoteReference w:id="35"/>
      </w:r>
      <w:r w:rsidR="002B5330" w:rsidRPr="00130899">
        <w:rPr>
          <w:noProof/>
        </w:rPr>
        <w:t xml:space="preserve">, кредитна институция </w:t>
      </w:r>
      <w:r w:rsidR="002B5330" w:rsidRPr="00130899">
        <w:rPr>
          <w:noProof/>
          <w:color w:val="333333"/>
        </w:rPr>
        <w:t>съгласно определението в член 4, параграф 1, точка 1 от Регламент (ЕС) № 575/2013</w:t>
      </w:r>
      <w:r w:rsidR="002B5330" w:rsidRPr="00130899">
        <w:rPr>
          <w:rStyle w:val="FootnoteReference"/>
          <w:noProof/>
          <w:color w:val="333333"/>
        </w:rPr>
        <w:footnoteReference w:id="36"/>
      </w:r>
      <w:r w:rsidR="002B5330" w:rsidRPr="00130899">
        <w:rPr>
          <w:noProof/>
          <w:color w:val="333333"/>
        </w:rPr>
        <w:t xml:space="preserve"> </w:t>
      </w:r>
      <w:r w:rsidR="002B5330" w:rsidRPr="00130899">
        <w:rPr>
          <w:noProof/>
        </w:rPr>
        <w:t xml:space="preserve">или инвестиционен посредник, </w:t>
      </w:r>
      <w:r w:rsidR="002B5330" w:rsidRPr="00130899">
        <w:rPr>
          <w:noProof/>
          <w:color w:val="333333"/>
        </w:rPr>
        <w:t xml:space="preserve">съгласно определението в член 4, параграф 1, точка 1 от Директива 2014/65/ЕС, или юридическо лице от трета държава, което е получило разрешение за предоставяне на услуги, сравними с тези, предоставяни от централен депозитар на ценни книжа, кредитна институция или инвестиционен посредник, съгласно сравнимо законодателство на трета държава, на която е местно лице, което е част от </w:t>
      </w:r>
      <w:r w:rsidR="002B5330" w:rsidRPr="00130899">
        <w:rPr>
          <w:noProof/>
        </w:rPr>
        <w:t>веригата на плащане на ценни книжа между субекта, емитиращ ценни книжа, и регистрирания собственик, получаващ плащанията по тези ценни книжа</w:t>
      </w:r>
      <w:r w:rsidR="002B5330" w:rsidRPr="00130899">
        <w:rPr>
          <w:rFonts w:ascii="Arial" w:hAnsi="Arial"/>
          <w:noProof/>
          <w:color w:val="0000FF"/>
        </w:rPr>
        <w:t>;</w:t>
      </w:r>
      <w:r w:rsidR="002B5330" w:rsidRPr="00130899">
        <w:rPr>
          <w:noProof/>
        </w:rPr>
        <w:t xml:space="preserve"> </w:t>
      </w:r>
    </w:p>
    <w:p w14:paraId="19B6B696" w14:textId="601EA2D3" w:rsidR="002B5330" w:rsidRPr="00130899" w:rsidRDefault="00585249" w:rsidP="00585249">
      <w:pPr>
        <w:pStyle w:val="Point0"/>
        <w:rPr>
          <w:noProof/>
        </w:rPr>
      </w:pPr>
      <w:r>
        <w:rPr>
          <w:noProof/>
        </w:rPr>
        <w:t>5)</w:t>
      </w:r>
      <w:r>
        <w:rPr>
          <w:noProof/>
        </w:rPr>
        <w:tab/>
      </w:r>
      <w:r w:rsidR="002B5330" w:rsidRPr="00130899">
        <w:rPr>
          <w:noProof/>
        </w:rPr>
        <w:t>„единен европейски идентификационен код (ЕЕИК)“ е единният идентификационен код за дружества, както е посочено в член 16 от Директива (ЕС) 2017/1132 на Европейския парламент и на Съвета</w:t>
      </w:r>
      <w:r w:rsidR="002B5330" w:rsidRPr="00130899">
        <w:rPr>
          <w:rStyle w:val="FootnoteReference"/>
          <w:noProof/>
        </w:rPr>
        <w:footnoteReference w:id="37"/>
      </w:r>
      <w:r w:rsidR="002B5330" w:rsidRPr="00130899">
        <w:rPr>
          <w:noProof/>
        </w:rPr>
        <w:t xml:space="preserve">; </w:t>
      </w:r>
    </w:p>
    <w:p w14:paraId="118755DD" w14:textId="17D5025D" w:rsidR="002B5330" w:rsidRPr="00130899" w:rsidRDefault="00585249" w:rsidP="00585249">
      <w:pPr>
        <w:pStyle w:val="Point0"/>
        <w:rPr>
          <w:noProof/>
        </w:rPr>
      </w:pPr>
      <w:r>
        <w:rPr>
          <w:noProof/>
        </w:rPr>
        <w:t>6)</w:t>
      </w:r>
      <w:r>
        <w:rPr>
          <w:noProof/>
        </w:rPr>
        <w:tab/>
      </w:r>
      <w:r w:rsidR="002B5330" w:rsidRPr="00130899">
        <w:rPr>
          <w:noProof/>
        </w:rPr>
        <w:t>„данъчен идентификационен номер или ДИН“ означава единният идентификационен номер за данъчни цели на регистриран собственик като такъв в дадена държава членка;</w:t>
      </w:r>
    </w:p>
    <w:p w14:paraId="0FF5A9B3" w14:textId="672B3950" w:rsidR="002F4419" w:rsidRPr="00130899" w:rsidRDefault="00585249" w:rsidP="00585249">
      <w:pPr>
        <w:pStyle w:val="Point0"/>
        <w:rPr>
          <w:noProof/>
        </w:rPr>
      </w:pPr>
      <w:r>
        <w:rPr>
          <w:noProof/>
        </w:rPr>
        <w:t>7)</w:t>
      </w:r>
      <w:r>
        <w:rPr>
          <w:noProof/>
        </w:rPr>
        <w:tab/>
      </w:r>
      <w:r w:rsidR="002F4419" w:rsidRPr="00130899">
        <w:rPr>
          <w:noProof/>
        </w:rPr>
        <w:t>„процедура за данъчни облекчения за данък, удържан при източника“ означава процедура, при която регистриран собственик, получаващ дивиденти или лихви от ценни книжа, които може да бъдат обложени с надвзети суми по данъка при източника, получава данъчно облекчение или му се възстановява този надвзет данък;</w:t>
      </w:r>
    </w:p>
    <w:p w14:paraId="5E7BE429" w14:textId="0594637C" w:rsidR="0054149A" w:rsidRPr="00130899" w:rsidRDefault="00585249" w:rsidP="00585249">
      <w:pPr>
        <w:pStyle w:val="Point0"/>
        <w:rPr>
          <w:noProof/>
        </w:rPr>
      </w:pPr>
      <w:r>
        <w:rPr>
          <w:noProof/>
        </w:rPr>
        <w:t>8)</w:t>
      </w:r>
      <w:r>
        <w:rPr>
          <w:noProof/>
        </w:rPr>
        <w:tab/>
      </w:r>
      <w:r w:rsidR="00A5262D" w:rsidRPr="00130899">
        <w:rPr>
          <w:noProof/>
        </w:rPr>
        <w:t xml:space="preserve">„компетентен орган“ означава органът, който е определен от държава членка в съответствие с член 5, и включва всяко лице, упълномощено от този орган в съответствие с националните правила да действа от негово име за целите на настоящата директива; </w:t>
      </w:r>
    </w:p>
    <w:p w14:paraId="51ECD235" w14:textId="48C07F1F" w:rsidR="00AF47B6" w:rsidRPr="00130899" w:rsidRDefault="00585249" w:rsidP="00585249">
      <w:pPr>
        <w:pStyle w:val="Point0"/>
        <w:rPr>
          <w:noProof/>
        </w:rPr>
      </w:pPr>
      <w:r>
        <w:rPr>
          <w:noProof/>
        </w:rPr>
        <w:t>9)</w:t>
      </w:r>
      <w:r>
        <w:rPr>
          <w:noProof/>
        </w:rPr>
        <w:tab/>
      </w:r>
      <w:r w:rsidR="00AF47B6" w:rsidRPr="00130899">
        <w:rPr>
          <w:noProof/>
        </w:rPr>
        <w:t>„ценна книга“ означава публично търгувана акция или публично търгувана облигация;</w:t>
      </w:r>
    </w:p>
    <w:p w14:paraId="054928E1" w14:textId="254BC2C8" w:rsidR="00930848" w:rsidRPr="00130899" w:rsidRDefault="00585249" w:rsidP="00585249">
      <w:pPr>
        <w:pStyle w:val="Point0"/>
        <w:rPr>
          <w:noProof/>
          <w:color w:val="333333"/>
        </w:rPr>
      </w:pPr>
      <w:r>
        <w:rPr>
          <w:noProof/>
          <w:color w:val="333333"/>
        </w:rPr>
        <w:t>10)</w:t>
      </w:r>
      <w:r>
        <w:rPr>
          <w:noProof/>
          <w:color w:val="333333"/>
        </w:rPr>
        <w:tab/>
      </w:r>
      <w:r w:rsidR="00930848" w:rsidRPr="00130899">
        <w:rPr>
          <w:noProof/>
          <w:color w:val="333333"/>
        </w:rPr>
        <w:t>„</w:t>
      </w:r>
      <w:r w:rsidR="00930848" w:rsidRPr="00130899">
        <w:rPr>
          <w:noProof/>
        </w:rPr>
        <w:t>голяма институция“ означава голяма институция, както е определена в член 4, параграф 1, точка 146 от Регламент (ЕС) № 575/2013</w:t>
      </w:r>
      <w:r w:rsidR="00930848" w:rsidRPr="00130899">
        <w:rPr>
          <w:noProof/>
          <w:color w:val="333333"/>
        </w:rPr>
        <w:t>;</w:t>
      </w:r>
    </w:p>
    <w:p w14:paraId="62B1E93F" w14:textId="7353B997" w:rsidR="00826CE9" w:rsidRPr="00130899" w:rsidRDefault="00585249" w:rsidP="00585249">
      <w:pPr>
        <w:pStyle w:val="Point0"/>
        <w:rPr>
          <w:noProof/>
        </w:rPr>
      </w:pPr>
      <w:r>
        <w:rPr>
          <w:noProof/>
        </w:rPr>
        <w:t>11)</w:t>
      </w:r>
      <w:r>
        <w:rPr>
          <w:noProof/>
        </w:rPr>
        <w:tab/>
      </w:r>
      <w:r w:rsidR="00826CE9" w:rsidRPr="00130899">
        <w:rPr>
          <w:noProof/>
        </w:rPr>
        <w:t>„агент по данъка, удържан при източника“ означава субект, упълномощен от държавата членка на източника да поеме отговорността за удържането на данък при източника от плащането на дивиденти или лихви от ценни книжа и за прехвърлянето на този данък при източника на данъчния орган на държавата членка на източника;</w:t>
      </w:r>
    </w:p>
    <w:p w14:paraId="5E4E07DA" w14:textId="123DE870" w:rsidR="00930848" w:rsidRPr="00130899" w:rsidRDefault="00585249" w:rsidP="00585249">
      <w:pPr>
        <w:pStyle w:val="Point0"/>
        <w:rPr>
          <w:noProof/>
        </w:rPr>
      </w:pPr>
      <w:r>
        <w:rPr>
          <w:noProof/>
        </w:rPr>
        <w:t>12)</w:t>
      </w:r>
      <w:r>
        <w:rPr>
          <w:noProof/>
        </w:rPr>
        <w:tab/>
      </w:r>
      <w:r w:rsidR="00930848" w:rsidRPr="00130899">
        <w:rPr>
          <w:noProof/>
        </w:rPr>
        <w:t xml:space="preserve">„дата на вписване“ означава датата, определена от емитента на ценна книга, на която се идентифицира притежателят на тази ценна книга и произтичащите от </w:t>
      </w:r>
      <w:r w:rsidR="00930848" w:rsidRPr="00130899">
        <w:rPr>
          <w:noProof/>
        </w:rPr>
        <w:lastRenderedPageBreak/>
        <w:t>нея права, включително правото на участие и правото на гласуване на общо събрание, когато е приложимо, въз основа на уредените позиции, вписани в счетоводните книги на финансовия посредник към момента на приключване на дейността му, както е определено в член 1, точка 7 от Регламент 2018/1212</w:t>
      </w:r>
      <w:r w:rsidR="00930848" w:rsidRPr="00130899">
        <w:rPr>
          <w:rStyle w:val="FootnoteReference"/>
          <w:noProof/>
        </w:rPr>
        <w:footnoteReference w:id="38"/>
      </w:r>
      <w:r w:rsidR="00930848" w:rsidRPr="00130899">
        <w:rPr>
          <w:noProof/>
        </w:rPr>
        <w:t xml:space="preserve">. </w:t>
      </w:r>
    </w:p>
    <w:p w14:paraId="72901A99" w14:textId="05F2BB3D" w:rsidR="00AF47B6" w:rsidRPr="00130899" w:rsidRDefault="00585249" w:rsidP="00585249">
      <w:pPr>
        <w:pStyle w:val="Point0"/>
        <w:rPr>
          <w:noProof/>
        </w:rPr>
      </w:pPr>
      <w:r>
        <w:rPr>
          <w:noProof/>
        </w:rPr>
        <w:t>13)</w:t>
      </w:r>
      <w:r>
        <w:rPr>
          <w:noProof/>
        </w:rPr>
        <w:tab/>
      </w:r>
      <w:r w:rsidR="00AF47B6" w:rsidRPr="00130899">
        <w:rPr>
          <w:noProof/>
        </w:rPr>
        <w:t>„уреждане“ означава приключване на сделка с ценни книжа, без оглед на мястото на сключването ѝ, с цел изпълнение на задълженията на страните по тази сделка чрез прехвърляне на парични средства или ценни книжа, или и на двете, както е определено в член 2, точка 7 от Регламент (ЕС) № 909/2014 от 23 юли 2014 г.</w:t>
      </w:r>
    </w:p>
    <w:p w14:paraId="1D5948B5" w14:textId="43CAACB2" w:rsidR="00826CE9" w:rsidRPr="00130899" w:rsidRDefault="00585249" w:rsidP="00585249">
      <w:pPr>
        <w:pStyle w:val="Point0"/>
        <w:rPr>
          <w:noProof/>
        </w:rPr>
      </w:pPr>
      <w:r>
        <w:rPr>
          <w:noProof/>
        </w:rPr>
        <w:t>14)</w:t>
      </w:r>
      <w:r>
        <w:rPr>
          <w:noProof/>
        </w:rPr>
        <w:tab/>
      </w:r>
      <w:r w:rsidR="00826CE9" w:rsidRPr="00130899">
        <w:rPr>
          <w:noProof/>
        </w:rPr>
        <w:t>„регистриран собственик“ означава всяко физическо или юридическо лице, което има право да получава доходи от дивиденти или лихви от ценни книжа, подлежащи на облагане с данък при източника в държава членка.</w:t>
      </w:r>
    </w:p>
    <w:p w14:paraId="05471B9A" w14:textId="0436F0C9" w:rsidR="002F4419" w:rsidRPr="00130899" w:rsidRDefault="00585249" w:rsidP="00585249">
      <w:pPr>
        <w:pStyle w:val="Point0"/>
        <w:rPr>
          <w:noProof/>
        </w:rPr>
      </w:pPr>
      <w:r>
        <w:rPr>
          <w:noProof/>
        </w:rPr>
        <w:t>15)</w:t>
      </w:r>
      <w:r>
        <w:rPr>
          <w:noProof/>
        </w:rPr>
        <w:tab/>
      </w:r>
      <w:r w:rsidR="002F4419" w:rsidRPr="00130899">
        <w:rPr>
          <w:noProof/>
        </w:rPr>
        <w:t>„инвестиционна сметка“ означава сметката или сметките, предоставени от финансовите посредници на регистрираните собственици, чрез които се държат или се регистрират техните ценни книжа и по които се извършват свързаните с тези ценни книжа плащания.</w:t>
      </w:r>
    </w:p>
    <w:p w14:paraId="13FAA03D" w14:textId="7CAB32B6" w:rsidR="002F4419" w:rsidRPr="00130899" w:rsidRDefault="00585249" w:rsidP="00585249">
      <w:pPr>
        <w:pStyle w:val="Point0"/>
        <w:rPr>
          <w:noProof/>
        </w:rPr>
      </w:pPr>
      <w:r>
        <w:rPr>
          <w:noProof/>
        </w:rPr>
        <w:t>16)</w:t>
      </w:r>
      <w:r>
        <w:rPr>
          <w:noProof/>
        </w:rPr>
        <w:tab/>
      </w:r>
      <w:r w:rsidR="002F4419" w:rsidRPr="00130899">
        <w:rPr>
          <w:noProof/>
        </w:rPr>
        <w:t>„дата на търгуване без дивидент“ означава датата, от която акциите се търгуват без правата, произтичащи от акциите, включително правото на участие и правото на гласуване на общо събрание, когато е приложимо;</w:t>
      </w:r>
    </w:p>
    <w:p w14:paraId="10E20DF8" w14:textId="09741832" w:rsidR="002F4419" w:rsidRPr="00130899" w:rsidRDefault="00585249" w:rsidP="00585249">
      <w:pPr>
        <w:pStyle w:val="Point0"/>
        <w:rPr>
          <w:noProof/>
        </w:rPr>
      </w:pPr>
      <w:r>
        <w:rPr>
          <w:noProof/>
        </w:rPr>
        <w:t>17)</w:t>
      </w:r>
      <w:r>
        <w:rPr>
          <w:noProof/>
        </w:rPr>
        <w:tab/>
      </w:r>
      <w:r w:rsidR="002F4419" w:rsidRPr="00130899">
        <w:rPr>
          <w:noProof/>
        </w:rPr>
        <w:t>„финансова договореност“ означава всяка договореност или договорно задължение, когато част от собствеността върху публично търгувана акция, по която се изплаща дивидент, е прехвърлена или може да бъде постоянно или временно прехвърлена на друга страна;</w:t>
      </w:r>
    </w:p>
    <w:p w14:paraId="4B3E9359" w14:textId="331EBDEF" w:rsidR="002F4419" w:rsidRPr="00130899" w:rsidRDefault="00585249" w:rsidP="00585249">
      <w:pPr>
        <w:pStyle w:val="Point0"/>
        <w:rPr>
          <w:noProof/>
        </w:rPr>
      </w:pPr>
      <w:r>
        <w:rPr>
          <w:noProof/>
        </w:rPr>
        <w:t>18)</w:t>
      </w:r>
      <w:r>
        <w:rPr>
          <w:noProof/>
        </w:rPr>
        <w:tab/>
      </w:r>
      <w:r w:rsidR="002F4419" w:rsidRPr="00130899">
        <w:rPr>
          <w:noProof/>
        </w:rPr>
        <w:t>„верига на плащане на ценни книжа“ означава последователността от финансови посредници, които извършват плащането на дивиденти или лихви по ценни книжа между емитента на ценните книжа и регистрирания собственик, на когото се плащат дивиденти или лихви от тези ценни книжа;</w:t>
      </w:r>
    </w:p>
    <w:p w14:paraId="3AA79646" w14:textId="148A4FD1" w:rsidR="00626934" w:rsidRPr="00130899" w:rsidRDefault="00585249" w:rsidP="00585249">
      <w:pPr>
        <w:pStyle w:val="Point0"/>
        <w:rPr>
          <w:noProof/>
        </w:rPr>
      </w:pPr>
      <w:r>
        <w:rPr>
          <w:noProof/>
        </w:rPr>
        <w:t>19)</w:t>
      </w:r>
      <w:r>
        <w:rPr>
          <w:noProof/>
        </w:rPr>
        <w:tab/>
      </w:r>
      <w:r w:rsidR="00A5262D" w:rsidRPr="00130899">
        <w:rPr>
          <w:noProof/>
        </w:rPr>
        <w:t xml:space="preserve">„спогодба за избягване на двойното данъчно облагане“ означава споразумение или конвенция, в което се предвижда премахване на двойното данъчно облагане на доходите и, когато е приложимо, на капитала, и което е в сила между две (или повече) държави; </w:t>
      </w:r>
    </w:p>
    <w:p w14:paraId="4A3CC635" w14:textId="445A1C8D" w:rsidR="002F4419" w:rsidRPr="00130899" w:rsidRDefault="00585249" w:rsidP="00585249">
      <w:pPr>
        <w:pStyle w:val="Point0"/>
        <w:rPr>
          <w:noProof/>
        </w:rPr>
      </w:pPr>
      <w:r>
        <w:rPr>
          <w:noProof/>
        </w:rPr>
        <w:t>20)</w:t>
      </w:r>
      <w:r>
        <w:rPr>
          <w:noProof/>
        </w:rPr>
        <w:tab/>
      </w:r>
      <w:r w:rsidR="002F4419" w:rsidRPr="00130899">
        <w:rPr>
          <w:noProof/>
        </w:rPr>
        <w:t>„държава членка на източника“ означава държавата членка, на която е местно лице емитентът на ценната книга, по която се изплаща дивидент или лихва;</w:t>
      </w:r>
    </w:p>
    <w:p w14:paraId="188CC3BC" w14:textId="00A70FDB" w:rsidR="002F4419" w:rsidRPr="00130899" w:rsidRDefault="00585249" w:rsidP="00585249">
      <w:pPr>
        <w:pStyle w:val="Point0"/>
        <w:rPr>
          <w:noProof/>
        </w:rPr>
      </w:pPr>
      <w:r>
        <w:rPr>
          <w:noProof/>
        </w:rPr>
        <w:t>21)</w:t>
      </w:r>
      <w:r>
        <w:rPr>
          <w:noProof/>
        </w:rPr>
        <w:tab/>
      </w:r>
      <w:r w:rsidR="002F4419" w:rsidRPr="00130899">
        <w:rPr>
          <w:noProof/>
        </w:rPr>
        <w:t xml:space="preserve">„система за бързо възстановяване“ означава система, при която плащането на дивидент или лихва се извършва, като се взема предвид общата национална ставка на данъка при източника, последвано от искане за възстановяване на надвзетия данък при източника в рамките на определения в член 13 срок; </w:t>
      </w:r>
    </w:p>
    <w:p w14:paraId="6B3DCD06" w14:textId="40860FD7" w:rsidR="002F4419" w:rsidRPr="00130899" w:rsidRDefault="00585249" w:rsidP="00585249">
      <w:pPr>
        <w:pStyle w:val="Point0"/>
        <w:rPr>
          <w:noProof/>
        </w:rPr>
      </w:pPr>
      <w:r>
        <w:rPr>
          <w:noProof/>
        </w:rPr>
        <w:t>22)</w:t>
      </w:r>
      <w:r>
        <w:rPr>
          <w:noProof/>
        </w:rPr>
        <w:tab/>
      </w:r>
      <w:r w:rsidR="002F4419" w:rsidRPr="00130899">
        <w:rPr>
          <w:noProof/>
        </w:rPr>
        <w:t xml:space="preserve">„система за данъчно облекчение при източника“ означава система, при която подходящата ставка на данъка при източника в съответствие с приложимите национални правила и/или международни споразумения, като например </w:t>
      </w:r>
      <w:r w:rsidR="002F4419" w:rsidRPr="00130899">
        <w:rPr>
          <w:noProof/>
        </w:rPr>
        <w:lastRenderedPageBreak/>
        <w:t xml:space="preserve">съответната спогодба за избягване на двойното данъчно облагане, се прилага в момента на изплащане на дивидентите или лихвите; </w:t>
      </w:r>
    </w:p>
    <w:p w14:paraId="3CEF5531" w14:textId="1A62383F" w:rsidR="002F4419" w:rsidRPr="00130899" w:rsidRDefault="00585249" w:rsidP="00585249">
      <w:pPr>
        <w:pStyle w:val="Point0"/>
        <w:rPr>
          <w:noProof/>
        </w:rPr>
      </w:pPr>
      <w:r>
        <w:rPr>
          <w:noProof/>
        </w:rPr>
        <w:t>23)</w:t>
      </w:r>
      <w:r>
        <w:rPr>
          <w:noProof/>
        </w:rPr>
        <w:tab/>
      </w:r>
      <w:r w:rsidR="002F4419" w:rsidRPr="00130899">
        <w:rPr>
          <w:noProof/>
        </w:rPr>
        <w:t xml:space="preserve">„стандартна система за бързо възстановяване“ означава система, при която плащането на дивидент или лихва се извършва, като се взема предвид общата национална ставка на данъка при източника, последвано от искане за възстановяване на надвзетия данък извън процедурата, определена в член 13; </w:t>
      </w:r>
    </w:p>
    <w:p w14:paraId="44A415F0" w14:textId="6CA6E7D9" w:rsidR="00AF037C" w:rsidRPr="00130899" w:rsidRDefault="00585249" w:rsidP="00585249">
      <w:pPr>
        <w:pStyle w:val="Point0"/>
        <w:rPr>
          <w:noProof/>
        </w:rPr>
      </w:pPr>
      <w:r>
        <w:rPr>
          <w:noProof/>
        </w:rPr>
        <w:t>24)</w:t>
      </w:r>
      <w:r>
        <w:rPr>
          <w:noProof/>
        </w:rPr>
        <w:tab/>
      </w:r>
      <w:r w:rsidR="624166C1" w:rsidRPr="00130899">
        <w:rPr>
          <w:noProof/>
        </w:rPr>
        <w:t>„индекс на лихвени проценти по краткосрочни депозити в евро“ означава индексът на лихвени проценти по краткосрочни депозити в евро, както е определено в Насоки (ЕС) 2019/1265 на Европейската централна банка от 10 юли 2019 г.</w:t>
      </w:r>
      <w:r w:rsidR="624166C1" w:rsidRPr="00130899">
        <w:rPr>
          <w:rStyle w:val="FootnoteReference"/>
          <w:noProof/>
        </w:rPr>
        <w:footnoteReference w:id="39"/>
      </w:r>
    </w:p>
    <w:p w14:paraId="65EA698F" w14:textId="77777777" w:rsidR="004D12F8" w:rsidRPr="00130899" w:rsidRDefault="004D12F8" w:rsidP="004D12F8">
      <w:pPr>
        <w:rPr>
          <w:noProof/>
        </w:rPr>
      </w:pPr>
    </w:p>
    <w:p w14:paraId="6CE076D4" w14:textId="77777777" w:rsidR="001956AF" w:rsidRPr="00130899" w:rsidRDefault="001956AF" w:rsidP="008A5257">
      <w:pPr>
        <w:jc w:val="center"/>
        <w:rPr>
          <w:b/>
          <w:i/>
          <w:noProof/>
        </w:rPr>
      </w:pPr>
      <w:r w:rsidRPr="00130899">
        <w:rPr>
          <w:b/>
          <w:noProof/>
        </w:rPr>
        <w:t>ГЛАВА II</w:t>
      </w:r>
    </w:p>
    <w:p w14:paraId="7A3B81B9" w14:textId="77777777" w:rsidR="001956AF" w:rsidRPr="00130899" w:rsidRDefault="001956AF" w:rsidP="008A5257">
      <w:pPr>
        <w:jc w:val="center"/>
        <w:rPr>
          <w:noProof/>
        </w:rPr>
      </w:pPr>
      <w:r w:rsidRPr="00130899">
        <w:rPr>
          <w:b/>
          <w:noProof/>
        </w:rPr>
        <w:t>ЦИФРОВО УДОСТОВЕРЕНИЕ ЗА МЕСТНО ЛИЦЕ ЗА ДАНЪЧНИ ЦЕЛИ</w:t>
      </w:r>
    </w:p>
    <w:p w14:paraId="57EC86D3" w14:textId="77777777" w:rsidR="001956AF" w:rsidRPr="00130899" w:rsidRDefault="001956AF" w:rsidP="008A5257">
      <w:pPr>
        <w:pStyle w:val="Titrearticle"/>
        <w:rPr>
          <w:b/>
          <w:i w:val="0"/>
          <w:noProof/>
        </w:rPr>
      </w:pPr>
      <w:r w:rsidRPr="00130899">
        <w:rPr>
          <w:noProof/>
        </w:rPr>
        <w:t xml:space="preserve">Член 4 </w:t>
      </w:r>
      <w:r w:rsidRPr="00130899">
        <w:rPr>
          <w:noProof/>
        </w:rPr>
        <w:cr/>
      </w:r>
      <w:r w:rsidRPr="00130899">
        <w:rPr>
          <w:noProof/>
        </w:rPr>
        <w:br/>
      </w:r>
      <w:r w:rsidRPr="00130899">
        <w:rPr>
          <w:b/>
          <w:i w:val="0"/>
          <w:noProof/>
        </w:rPr>
        <w:t>Цифрово удостоверение за местно лице за данъчни цели (eTRC)</w:t>
      </w:r>
    </w:p>
    <w:p w14:paraId="27FD26CB" w14:textId="32BB80C7" w:rsidR="001956AF" w:rsidRPr="00130899" w:rsidRDefault="00CF0B91" w:rsidP="00CF0B91">
      <w:pPr>
        <w:pStyle w:val="ManualNumPar1"/>
        <w:rPr>
          <w:noProof/>
        </w:rPr>
      </w:pPr>
      <w:r w:rsidRPr="00CF0B91">
        <w:t>1.</w:t>
      </w:r>
      <w:r w:rsidRPr="00CF0B91">
        <w:tab/>
      </w:r>
      <w:r w:rsidR="001956AF" w:rsidRPr="00130899">
        <w:rPr>
          <w:noProof/>
        </w:rPr>
        <w:t xml:space="preserve">Държавите членки предвиждат автоматизиран процес за издаване на цифрови удостоверения за местно лице за данъчни цели (eTRC) на лице, което се счита за местно лице за данъчни цели в тяхната юрисдикция. </w:t>
      </w:r>
    </w:p>
    <w:p w14:paraId="35C600EE" w14:textId="2904A85B" w:rsidR="001956AF" w:rsidRPr="00130899" w:rsidRDefault="00CF0B91" w:rsidP="00CF0B91">
      <w:pPr>
        <w:pStyle w:val="ManualNumPar1"/>
        <w:rPr>
          <w:noProof/>
        </w:rPr>
      </w:pPr>
      <w:r w:rsidRPr="00CF0B91">
        <w:t>2.</w:t>
      </w:r>
      <w:r w:rsidRPr="00CF0B91">
        <w:tab/>
      </w:r>
      <w:r w:rsidR="00B0739F" w:rsidRPr="00130899">
        <w:rPr>
          <w:noProof/>
        </w:rPr>
        <w:t>Държавите членки издават eTRC в рамките на един работен ден от подаването на искането при спазване на параграф 4. eTRC трябва да отговаря на техническите изисквания на приложение I и да включва следната информация:</w:t>
      </w:r>
    </w:p>
    <w:p w14:paraId="081E735F" w14:textId="05133C60" w:rsidR="001C7FE6" w:rsidRPr="00130899" w:rsidRDefault="00585249" w:rsidP="00585249">
      <w:pPr>
        <w:pStyle w:val="Point1"/>
        <w:rPr>
          <w:noProof/>
        </w:rPr>
      </w:pPr>
      <w:r>
        <w:rPr>
          <w:noProof/>
        </w:rPr>
        <w:t>а)</w:t>
      </w:r>
      <w:r>
        <w:rPr>
          <w:noProof/>
        </w:rPr>
        <w:tab/>
      </w:r>
      <w:r w:rsidR="001956AF" w:rsidRPr="00130899">
        <w:rPr>
          <w:noProof/>
        </w:rPr>
        <w:t>името и фамилията на данъкоплатеца и датата и мястото на раждане, ако данъкоплатецът е физическо лице, или неговото наименование и европейския му единен идентификационен номер (ЕЕИК), ако данъкоплатецът е юридическо лице;</w:t>
      </w:r>
    </w:p>
    <w:p w14:paraId="133CACE0" w14:textId="41A2A364" w:rsidR="001956AF" w:rsidRPr="00130899" w:rsidRDefault="00585249" w:rsidP="00585249">
      <w:pPr>
        <w:pStyle w:val="Point1"/>
        <w:rPr>
          <w:noProof/>
        </w:rPr>
      </w:pPr>
      <w:r>
        <w:rPr>
          <w:noProof/>
        </w:rPr>
        <w:t>б)</w:t>
      </w:r>
      <w:r>
        <w:rPr>
          <w:noProof/>
        </w:rPr>
        <w:tab/>
      </w:r>
      <w:r w:rsidR="000E768E" w:rsidRPr="00130899">
        <w:rPr>
          <w:noProof/>
        </w:rPr>
        <w:t xml:space="preserve">данъчен идентификационен номер; </w:t>
      </w:r>
    </w:p>
    <w:p w14:paraId="19C0CB0B" w14:textId="211C282A" w:rsidR="001956AF" w:rsidRPr="00130899" w:rsidRDefault="00585249" w:rsidP="00585249">
      <w:pPr>
        <w:pStyle w:val="Point1"/>
        <w:rPr>
          <w:noProof/>
        </w:rPr>
      </w:pPr>
      <w:r>
        <w:rPr>
          <w:noProof/>
        </w:rPr>
        <w:t>в)</w:t>
      </w:r>
      <w:r>
        <w:rPr>
          <w:noProof/>
        </w:rPr>
        <w:tab/>
      </w:r>
      <w:r w:rsidR="008E56AC" w:rsidRPr="00130899">
        <w:rPr>
          <w:noProof/>
        </w:rPr>
        <w:t>адрес на данъкоплатеца;</w:t>
      </w:r>
    </w:p>
    <w:p w14:paraId="143A2B48" w14:textId="22ACDCEB" w:rsidR="001956AF" w:rsidRPr="00130899" w:rsidRDefault="00585249" w:rsidP="00585249">
      <w:pPr>
        <w:pStyle w:val="Point1"/>
        <w:rPr>
          <w:noProof/>
        </w:rPr>
      </w:pPr>
      <w:r>
        <w:rPr>
          <w:noProof/>
        </w:rPr>
        <w:t>г)</w:t>
      </w:r>
      <w:r>
        <w:rPr>
          <w:noProof/>
        </w:rPr>
        <w:tab/>
      </w:r>
      <w:r w:rsidR="008E56AC" w:rsidRPr="00130899">
        <w:rPr>
          <w:noProof/>
        </w:rPr>
        <w:t>дата на издаване;</w:t>
      </w:r>
    </w:p>
    <w:p w14:paraId="169B2B2C" w14:textId="5642F3BF" w:rsidR="001956AF" w:rsidRPr="00130899" w:rsidRDefault="00585249" w:rsidP="00585249">
      <w:pPr>
        <w:pStyle w:val="Point1"/>
        <w:rPr>
          <w:noProof/>
        </w:rPr>
      </w:pPr>
      <w:r>
        <w:rPr>
          <w:noProof/>
        </w:rPr>
        <w:t>д)</w:t>
      </w:r>
      <w:r>
        <w:rPr>
          <w:noProof/>
        </w:rPr>
        <w:tab/>
      </w:r>
      <w:r w:rsidR="008E56AC" w:rsidRPr="00130899">
        <w:rPr>
          <w:noProof/>
        </w:rPr>
        <w:t xml:space="preserve">обхванат период; </w:t>
      </w:r>
    </w:p>
    <w:p w14:paraId="59D3EB6F" w14:textId="29C094C4" w:rsidR="0013507F" w:rsidRPr="00130899" w:rsidRDefault="00585249" w:rsidP="00585249">
      <w:pPr>
        <w:pStyle w:val="Point1"/>
        <w:rPr>
          <w:noProof/>
        </w:rPr>
      </w:pPr>
      <w:r>
        <w:rPr>
          <w:noProof/>
        </w:rPr>
        <w:t>е)</w:t>
      </w:r>
      <w:r>
        <w:rPr>
          <w:noProof/>
        </w:rPr>
        <w:tab/>
      </w:r>
      <w:r w:rsidR="00292952" w:rsidRPr="00130899">
        <w:rPr>
          <w:noProof/>
        </w:rPr>
        <w:t>идентификационни данни на данъчния орган, който издава удостоверението;</w:t>
      </w:r>
    </w:p>
    <w:p w14:paraId="31FBE0DC" w14:textId="5DFA6A0E" w:rsidR="0013507F" w:rsidRPr="00130899" w:rsidRDefault="00585249" w:rsidP="00585249">
      <w:pPr>
        <w:pStyle w:val="Point1"/>
        <w:rPr>
          <w:noProof/>
        </w:rPr>
      </w:pPr>
      <w:r>
        <w:rPr>
          <w:noProof/>
        </w:rPr>
        <w:t>ж)</w:t>
      </w:r>
      <w:r>
        <w:rPr>
          <w:noProof/>
        </w:rPr>
        <w:tab/>
      </w:r>
      <w:r w:rsidR="003539B3" w:rsidRPr="00130899">
        <w:rPr>
          <w:noProof/>
        </w:rPr>
        <w:t>всякаква допълнителна информация, която може да е от значение, когато удостоверението се издава за цели, различни от данъчни облекчения за данъка, удържан при източника, съгласно настоящата директива, или информация, която се изисква да бъде включена в удостоверение за местно лице за данъчни цели съгласно правото на ЕС.</w:t>
      </w:r>
    </w:p>
    <w:p w14:paraId="26EE221A" w14:textId="044D6ABE" w:rsidR="001956AF" w:rsidRPr="00130899" w:rsidRDefault="00CF0B91" w:rsidP="00CF0B91">
      <w:pPr>
        <w:pStyle w:val="ManualNumPar1"/>
        <w:rPr>
          <w:noProof/>
        </w:rPr>
      </w:pPr>
      <w:r w:rsidRPr="00CF0B91">
        <w:lastRenderedPageBreak/>
        <w:t>3.</w:t>
      </w:r>
      <w:r w:rsidRPr="00CF0B91">
        <w:tab/>
      </w:r>
      <w:r w:rsidR="001956AF" w:rsidRPr="00130899">
        <w:rPr>
          <w:noProof/>
        </w:rPr>
        <w:t xml:space="preserve">Всяко eTRC обхваща най-малко цялата календарна година, през която е подадено искането за такова удостоверение, и е валидно за този обхванат период, освен ако и докато държавата членка, издаваща eTRC, не разполага с доказателства, че лицето, за което eTRC се отнася, не е местно лице за нейната юрисдикция. </w:t>
      </w:r>
    </w:p>
    <w:p w14:paraId="189F128B" w14:textId="1973A353" w:rsidR="001956AF" w:rsidRPr="00130899" w:rsidRDefault="00CF0B91" w:rsidP="00CF0B91">
      <w:pPr>
        <w:pStyle w:val="ManualNumPar1"/>
        <w:rPr>
          <w:noProof/>
        </w:rPr>
      </w:pPr>
      <w:r w:rsidRPr="00CF0B91">
        <w:t>4.</w:t>
      </w:r>
      <w:r w:rsidRPr="00CF0B91">
        <w:tab/>
      </w:r>
      <w:r w:rsidR="005226AB" w:rsidRPr="00130899">
        <w:rPr>
          <w:noProof/>
        </w:rPr>
        <w:t xml:space="preserve">Ако за проверката на статута на конкретен данъкоплатец като местно лице за данъчни цели е необходим повече от един работен ден, държавата членка информира лицето, което иска удостоверението, за необходимото допълнително време и за причините за забавянето. </w:t>
      </w:r>
    </w:p>
    <w:p w14:paraId="299722D5" w14:textId="2B7DF02C" w:rsidR="001956AF" w:rsidRPr="00130899" w:rsidRDefault="00CF0B91" w:rsidP="00CF0B91">
      <w:pPr>
        <w:pStyle w:val="ManualNumPar1"/>
        <w:rPr>
          <w:noProof/>
        </w:rPr>
      </w:pPr>
      <w:r w:rsidRPr="00CF0B91">
        <w:t>5.</w:t>
      </w:r>
      <w:r w:rsidRPr="00CF0B91">
        <w:tab/>
      </w:r>
      <w:r w:rsidR="001956AF" w:rsidRPr="00130899">
        <w:rPr>
          <w:noProof/>
        </w:rPr>
        <w:t>Държавите членки признават eTRC, издадено от друга държава членка, като подходящо доказателство за статута на местно лице на данъкоплатеца в тази друга държава членка в съответствие с параграф 3.</w:t>
      </w:r>
    </w:p>
    <w:p w14:paraId="26201208" w14:textId="7E0546E6" w:rsidR="001956AF" w:rsidRPr="00130899" w:rsidRDefault="00CF0B91" w:rsidP="00CF0B91">
      <w:pPr>
        <w:pStyle w:val="ManualNumPar1"/>
        <w:rPr>
          <w:noProof/>
        </w:rPr>
      </w:pPr>
      <w:r w:rsidRPr="00CF0B91">
        <w:t>6.</w:t>
      </w:r>
      <w:r w:rsidRPr="00CF0B91">
        <w:tab/>
      </w:r>
      <w:r w:rsidR="001956AF" w:rsidRPr="00130899">
        <w:rPr>
          <w:noProof/>
        </w:rPr>
        <w:t>Комисията приема актове за изпълнение за определяне на стандартни компютъризирани формуляри, включително езиковия режим, и технически протоколи, включително стандарти за сигурност, за издаване на eTRC. Тези актове за изпълнение се приемат в съответствие с процедурата по разглеждане, посочена в член 18.</w:t>
      </w:r>
    </w:p>
    <w:p w14:paraId="37608FC7" w14:textId="77777777" w:rsidR="004D12F8" w:rsidRPr="00130899" w:rsidRDefault="004D12F8" w:rsidP="004D12F8">
      <w:pPr>
        <w:rPr>
          <w:noProof/>
        </w:rPr>
      </w:pPr>
    </w:p>
    <w:p w14:paraId="0E789B17" w14:textId="77777777" w:rsidR="001956AF" w:rsidRPr="00130899" w:rsidRDefault="001956AF" w:rsidP="00350D94">
      <w:pPr>
        <w:jc w:val="center"/>
        <w:rPr>
          <w:b/>
          <w:i/>
          <w:noProof/>
        </w:rPr>
      </w:pPr>
      <w:bookmarkStart w:id="3" w:name="_Hlk119933448"/>
      <w:r w:rsidRPr="00130899">
        <w:rPr>
          <w:b/>
          <w:noProof/>
        </w:rPr>
        <w:t>ГЛАВА III</w:t>
      </w:r>
    </w:p>
    <w:bookmarkEnd w:id="3"/>
    <w:p w14:paraId="43E27402" w14:textId="6A133719" w:rsidR="001956AF" w:rsidRPr="00130899" w:rsidRDefault="001956AF" w:rsidP="00350D94">
      <w:pPr>
        <w:jc w:val="center"/>
        <w:rPr>
          <w:b/>
          <w:noProof/>
        </w:rPr>
      </w:pPr>
      <w:r w:rsidRPr="00130899">
        <w:rPr>
          <w:b/>
          <w:noProof/>
        </w:rPr>
        <w:t>ПРОЦЕДУРА ЗА ДАНЪЧНИ ОБЛЕКЧЕНИЯ ЗА ДАНЪК, УДЪРЖАН ПРИ ИЗТОЧНИКА</w:t>
      </w:r>
    </w:p>
    <w:p w14:paraId="61894279" w14:textId="77777777" w:rsidR="001956AF" w:rsidRPr="00130899" w:rsidRDefault="001956AF" w:rsidP="00350D94">
      <w:pPr>
        <w:jc w:val="center"/>
        <w:rPr>
          <w:b/>
          <w:i/>
          <w:noProof/>
        </w:rPr>
      </w:pPr>
    </w:p>
    <w:p w14:paraId="69C7FC50" w14:textId="77777777" w:rsidR="001956AF" w:rsidRPr="00130899" w:rsidRDefault="001956AF" w:rsidP="00350D94">
      <w:pPr>
        <w:jc w:val="center"/>
        <w:rPr>
          <w:b/>
          <w:i/>
          <w:noProof/>
        </w:rPr>
      </w:pPr>
      <w:r w:rsidRPr="00130899">
        <w:rPr>
          <w:b/>
          <w:i/>
          <w:noProof/>
        </w:rPr>
        <w:t>РАЗДЕЛ 1</w:t>
      </w:r>
    </w:p>
    <w:p w14:paraId="38277988" w14:textId="77777777" w:rsidR="001956AF" w:rsidRPr="00130899" w:rsidRDefault="00F319EE" w:rsidP="00350D94">
      <w:pPr>
        <w:jc w:val="center"/>
        <w:rPr>
          <w:b/>
          <w:i/>
          <w:noProof/>
        </w:rPr>
      </w:pPr>
      <w:r w:rsidRPr="00130899">
        <w:rPr>
          <w:b/>
          <w:noProof/>
        </w:rPr>
        <w:t>СЕРТИФИЦИРАНИ ФИНАНСОВИ ПОСРЕДНИЦИ</w:t>
      </w:r>
    </w:p>
    <w:p w14:paraId="5D6E2288" w14:textId="77777777" w:rsidR="001956AF" w:rsidRPr="00130899" w:rsidRDefault="001956AF" w:rsidP="00350D94">
      <w:pPr>
        <w:pStyle w:val="Titrearticle"/>
        <w:rPr>
          <w:b/>
          <w:i w:val="0"/>
          <w:noProof/>
        </w:rPr>
      </w:pPr>
      <w:r w:rsidRPr="00130899">
        <w:rPr>
          <w:noProof/>
        </w:rPr>
        <w:t xml:space="preserve">Член 5 </w:t>
      </w:r>
      <w:r w:rsidRPr="00130899">
        <w:rPr>
          <w:noProof/>
        </w:rPr>
        <w:cr/>
      </w:r>
      <w:r w:rsidRPr="00130899">
        <w:rPr>
          <w:noProof/>
        </w:rPr>
        <w:br/>
      </w:r>
      <w:r w:rsidRPr="00130899">
        <w:rPr>
          <w:b/>
          <w:i w:val="0"/>
          <w:noProof/>
        </w:rPr>
        <w:t xml:space="preserve">Национален регистър на сертифицираните финансови посредници </w:t>
      </w:r>
    </w:p>
    <w:p w14:paraId="652FAA39" w14:textId="499897D3" w:rsidR="00F737CA" w:rsidRPr="00130899" w:rsidRDefault="00CF0B91" w:rsidP="00CF0B91">
      <w:pPr>
        <w:pStyle w:val="ManualNumPar1"/>
        <w:rPr>
          <w:noProof/>
        </w:rPr>
      </w:pPr>
      <w:r w:rsidRPr="00CF0B91">
        <w:t>1.</w:t>
      </w:r>
      <w:r w:rsidRPr="00CF0B91">
        <w:tab/>
      </w:r>
      <w:r w:rsidR="00EB7A3E" w:rsidRPr="00130899">
        <w:rPr>
          <w:noProof/>
        </w:rPr>
        <w:t xml:space="preserve">Държавите членки, които налагат данък при източника върху дивиденти от публично търгувани акции, изплащани на регистрирани собственици — местни лица за данъчни цели извън тази държава членка, и които предоставят данъчни облекчения за надвзет данък при източника, създават национален регистър на сертифицираните финансови посредници. Държавите членки могат да изберат да използват този национален регистър също и във връзка с данъчните облекчения за надвзетия данък при източника върху лихвите от публично търгувани облигации, ако е приложимо. </w:t>
      </w:r>
    </w:p>
    <w:p w14:paraId="70A23F58" w14:textId="4290D718" w:rsidR="00F319EE" w:rsidRPr="00130899" w:rsidRDefault="00CF0B91" w:rsidP="00CF0B91">
      <w:pPr>
        <w:pStyle w:val="ManualNumPar1"/>
        <w:rPr>
          <w:noProof/>
        </w:rPr>
      </w:pPr>
      <w:r w:rsidRPr="00CF0B91">
        <w:t>2.</w:t>
      </w:r>
      <w:r w:rsidRPr="00CF0B91">
        <w:tab/>
      </w:r>
      <w:r w:rsidR="000D1985" w:rsidRPr="00130899">
        <w:rPr>
          <w:noProof/>
        </w:rPr>
        <w:t>Държавите членки, които облагат с данък при източника лихвите от публично търгувани облигации, но не облагат с данък при източника дивидентите от публично търгувани акции, могат да изберат да създадат национален регистър.</w:t>
      </w:r>
    </w:p>
    <w:p w14:paraId="1B650FBA" w14:textId="366101DA" w:rsidR="00F319EE" w:rsidRPr="00130899" w:rsidRDefault="00CF0B91" w:rsidP="00CF0B91">
      <w:pPr>
        <w:pStyle w:val="ManualNumPar1"/>
        <w:rPr>
          <w:noProof/>
        </w:rPr>
      </w:pPr>
      <w:r w:rsidRPr="00CF0B91">
        <w:t>3.</w:t>
      </w:r>
      <w:r w:rsidRPr="00CF0B91">
        <w:tab/>
      </w:r>
      <w:r w:rsidR="00F319EE" w:rsidRPr="00130899">
        <w:rPr>
          <w:noProof/>
        </w:rPr>
        <w:t>Държавите членки, които създават национален регистър в съответствие с параграфи 1 и 2, определят компетентен орган, отговорен за поддържането и актуализирането на този регистър.</w:t>
      </w:r>
    </w:p>
    <w:p w14:paraId="0F1916AF" w14:textId="5CA80F54" w:rsidR="00F319EE" w:rsidRPr="00130899" w:rsidRDefault="00CF0B91" w:rsidP="00CF0B91">
      <w:pPr>
        <w:pStyle w:val="ManualNumPar1"/>
        <w:rPr>
          <w:noProof/>
        </w:rPr>
      </w:pPr>
      <w:r w:rsidRPr="00CF0B91">
        <w:t>4.</w:t>
      </w:r>
      <w:r w:rsidRPr="00CF0B91">
        <w:tab/>
      </w:r>
      <w:r w:rsidR="00F319EE" w:rsidRPr="00130899">
        <w:rPr>
          <w:noProof/>
        </w:rPr>
        <w:t>Националният регистър включва следната информация за сертифицираните финансови посредници:</w:t>
      </w:r>
    </w:p>
    <w:p w14:paraId="5087EF52" w14:textId="73CB2112" w:rsidR="00F319EE" w:rsidRPr="00130899" w:rsidRDefault="00585249" w:rsidP="00585249">
      <w:pPr>
        <w:pStyle w:val="Point1"/>
        <w:rPr>
          <w:noProof/>
        </w:rPr>
      </w:pPr>
      <w:r>
        <w:rPr>
          <w:noProof/>
        </w:rPr>
        <w:lastRenderedPageBreak/>
        <w:t>а)</w:t>
      </w:r>
      <w:r>
        <w:rPr>
          <w:noProof/>
        </w:rPr>
        <w:tab/>
      </w:r>
      <w:r w:rsidR="00F319EE" w:rsidRPr="00130899">
        <w:rPr>
          <w:noProof/>
        </w:rPr>
        <w:t>името на сертифицирания финансов посредник;</w:t>
      </w:r>
    </w:p>
    <w:p w14:paraId="09F4FC07" w14:textId="55FC182E" w:rsidR="00F319EE" w:rsidRPr="00130899" w:rsidRDefault="00585249" w:rsidP="00585249">
      <w:pPr>
        <w:pStyle w:val="Point1"/>
        <w:rPr>
          <w:noProof/>
        </w:rPr>
      </w:pPr>
      <w:r>
        <w:rPr>
          <w:noProof/>
        </w:rPr>
        <w:t>б)</w:t>
      </w:r>
      <w:r>
        <w:rPr>
          <w:noProof/>
        </w:rPr>
        <w:tab/>
      </w:r>
      <w:r w:rsidR="00F319EE" w:rsidRPr="00130899">
        <w:rPr>
          <w:noProof/>
        </w:rPr>
        <w:t>датата на регистрацията;</w:t>
      </w:r>
    </w:p>
    <w:p w14:paraId="167546DA" w14:textId="51EBA152" w:rsidR="00F319EE" w:rsidRPr="00130899" w:rsidRDefault="00585249" w:rsidP="00585249">
      <w:pPr>
        <w:pStyle w:val="Point1"/>
        <w:rPr>
          <w:noProof/>
        </w:rPr>
      </w:pPr>
      <w:r>
        <w:rPr>
          <w:noProof/>
        </w:rPr>
        <w:t>в)</w:t>
      </w:r>
      <w:r>
        <w:rPr>
          <w:noProof/>
        </w:rPr>
        <w:tab/>
      </w:r>
      <w:r w:rsidR="00F319EE" w:rsidRPr="00130899">
        <w:rPr>
          <w:noProof/>
        </w:rPr>
        <w:t>данни за контакт и съществуващ уебсайт на сертифицирания финансов посредник;</w:t>
      </w:r>
    </w:p>
    <w:p w14:paraId="2C2BD66A" w14:textId="7933E324" w:rsidR="00F319EE" w:rsidRPr="00130899" w:rsidRDefault="00585249" w:rsidP="00585249">
      <w:pPr>
        <w:pStyle w:val="Point1"/>
        <w:rPr>
          <w:noProof/>
        </w:rPr>
      </w:pPr>
      <w:r>
        <w:rPr>
          <w:noProof/>
        </w:rPr>
        <w:t>г)</w:t>
      </w:r>
      <w:r>
        <w:rPr>
          <w:noProof/>
        </w:rPr>
        <w:tab/>
      </w:r>
      <w:r w:rsidR="00F319EE" w:rsidRPr="00130899">
        <w:rPr>
          <w:noProof/>
        </w:rPr>
        <w:t>ЕЕИК или, когато сертифицираният финансов посредник няма такъв номер, идентификационен код на правния субект (ИКПС) или всеки регистрационен номер на юридическо лице, издаден от държавата, на която е местно лице.</w:t>
      </w:r>
    </w:p>
    <w:p w14:paraId="28CD6358" w14:textId="311DBB52" w:rsidR="00F319EE" w:rsidRPr="00130899" w:rsidRDefault="00CF0B91" w:rsidP="00CF0B91">
      <w:pPr>
        <w:pStyle w:val="ManualNumPar1"/>
        <w:rPr>
          <w:noProof/>
        </w:rPr>
      </w:pPr>
      <w:r w:rsidRPr="00CF0B91">
        <w:t>5.</w:t>
      </w:r>
      <w:r w:rsidRPr="00CF0B91">
        <w:tab/>
      </w:r>
      <w:r w:rsidR="00F319EE" w:rsidRPr="00130899">
        <w:rPr>
          <w:noProof/>
        </w:rPr>
        <w:t xml:space="preserve">Националният регистър е публично достъпен на специален уебсайт на държавата членка и се актуализира поне веднъж месечно. </w:t>
      </w:r>
    </w:p>
    <w:p w14:paraId="6A6901B4" w14:textId="77777777" w:rsidR="001956AF" w:rsidRPr="00130899" w:rsidRDefault="001956AF" w:rsidP="00350D94">
      <w:pPr>
        <w:pStyle w:val="Titrearticle"/>
        <w:rPr>
          <w:b/>
          <w:i w:val="0"/>
          <w:noProof/>
        </w:rPr>
      </w:pPr>
      <w:r w:rsidRPr="00130899">
        <w:rPr>
          <w:noProof/>
        </w:rPr>
        <w:t xml:space="preserve">Член 6 </w:t>
      </w:r>
      <w:r w:rsidRPr="00130899">
        <w:rPr>
          <w:noProof/>
        </w:rPr>
        <w:cr/>
      </w:r>
      <w:r w:rsidRPr="00130899">
        <w:rPr>
          <w:noProof/>
        </w:rPr>
        <w:br/>
      </w:r>
      <w:r w:rsidRPr="00130899">
        <w:rPr>
          <w:b/>
          <w:i w:val="0"/>
          <w:noProof/>
        </w:rPr>
        <w:t>Изискване за регистрация като сертифициран финансов посредник</w:t>
      </w:r>
    </w:p>
    <w:p w14:paraId="59735551" w14:textId="2C902665" w:rsidR="00974BE9" w:rsidRPr="00130899" w:rsidRDefault="00CF0B91" w:rsidP="00CF0B91">
      <w:pPr>
        <w:pStyle w:val="ManualNumPar1"/>
        <w:rPr>
          <w:noProof/>
        </w:rPr>
      </w:pPr>
      <w:r w:rsidRPr="00CF0B91">
        <w:t>1.</w:t>
      </w:r>
      <w:r w:rsidRPr="00CF0B91">
        <w:tab/>
      </w:r>
      <w:r w:rsidR="00974BE9" w:rsidRPr="00130899">
        <w:rPr>
          <w:noProof/>
        </w:rPr>
        <w:t xml:space="preserve">Държавите членки, които поддържат национален регистър в съответствие с член 5, изискват от всички големи институции, посочени в член 3, параграф 10, които извършват плащания на дивиденти и, когато е приложимо, на лихви по ценни книжа с произход от техните юрисдикции, и от централните депозитари на ценни книжа, посочени в член 3, параграф 4, които предоставят услуги на агент по данъка, удържан при източника, за същите плащания, да се регистрират </w:t>
      </w:r>
      <w:bookmarkStart w:id="4" w:name="_Hlk132976132"/>
      <w:r w:rsidR="00974BE9" w:rsidRPr="00130899">
        <w:rPr>
          <w:noProof/>
        </w:rPr>
        <w:t>в техния национален регистър</w:t>
      </w:r>
      <w:bookmarkEnd w:id="4"/>
      <w:r w:rsidR="00974BE9" w:rsidRPr="00130899">
        <w:rPr>
          <w:noProof/>
        </w:rPr>
        <w:t>.</w:t>
      </w:r>
    </w:p>
    <w:p w14:paraId="389CF917" w14:textId="05266227" w:rsidR="00974BE9" w:rsidRPr="00130899" w:rsidRDefault="00CF0B91" w:rsidP="00CF0B91">
      <w:pPr>
        <w:pStyle w:val="ManualNumPar1"/>
        <w:rPr>
          <w:noProof/>
        </w:rPr>
      </w:pPr>
      <w:r w:rsidRPr="00CF0B91">
        <w:t>2.</w:t>
      </w:r>
      <w:r w:rsidRPr="00CF0B91">
        <w:tab/>
      </w:r>
      <w:r w:rsidR="00974BE9" w:rsidRPr="00130899">
        <w:rPr>
          <w:noProof/>
        </w:rPr>
        <w:t>Държавите членки, които поддържат национален регистър в съответствие с член 5, дават възможност на всеки финансов посредник, който отговаря на изискванията по член 7, при поискване да се регистрира в този регистър.</w:t>
      </w:r>
    </w:p>
    <w:p w14:paraId="790CBA13" w14:textId="77777777" w:rsidR="001956AF" w:rsidRPr="00130899" w:rsidRDefault="001956AF" w:rsidP="006F5C2E">
      <w:pPr>
        <w:pStyle w:val="Titrearticle"/>
        <w:rPr>
          <w:b/>
          <w:i w:val="0"/>
          <w:noProof/>
        </w:rPr>
      </w:pPr>
      <w:r w:rsidRPr="00130899">
        <w:rPr>
          <w:noProof/>
        </w:rPr>
        <w:t xml:space="preserve">Член 7 </w:t>
      </w:r>
      <w:r w:rsidRPr="00130899">
        <w:rPr>
          <w:noProof/>
        </w:rPr>
        <w:cr/>
      </w:r>
      <w:r w:rsidRPr="00130899">
        <w:rPr>
          <w:noProof/>
        </w:rPr>
        <w:br/>
      </w:r>
      <w:r w:rsidRPr="00130899">
        <w:rPr>
          <w:b/>
          <w:i w:val="0"/>
          <w:noProof/>
        </w:rPr>
        <w:t>Процедура по регистрация</w:t>
      </w:r>
    </w:p>
    <w:p w14:paraId="784B591E" w14:textId="5809A5B1" w:rsidR="001956AF" w:rsidRPr="00130899" w:rsidRDefault="00CF0B91" w:rsidP="00CF0B91">
      <w:pPr>
        <w:pStyle w:val="ManualNumPar1"/>
        <w:rPr>
          <w:noProof/>
        </w:rPr>
      </w:pPr>
      <w:r w:rsidRPr="00CF0B91">
        <w:t>1.</w:t>
      </w:r>
      <w:r w:rsidRPr="00CF0B91">
        <w:tab/>
      </w:r>
      <w:r w:rsidR="001956AF" w:rsidRPr="00130899">
        <w:rPr>
          <w:noProof/>
        </w:rPr>
        <w:t xml:space="preserve">Държавите членки гарантират, че даден финансов посредник е регистриран в техния национален регистър на сертифицираните финансови посредници в рамките на три месеца от подаването на искане от страна на финансовия посредник, в което се представят доказателства, че отговаря на всички изброени по-долу изисквания: </w:t>
      </w:r>
    </w:p>
    <w:p w14:paraId="7DA6DB97" w14:textId="398BF2A9" w:rsidR="00061B4D" w:rsidRPr="00130899" w:rsidRDefault="00585249" w:rsidP="00585249">
      <w:pPr>
        <w:pStyle w:val="Point1"/>
        <w:rPr>
          <w:noProof/>
        </w:rPr>
      </w:pPr>
      <w:r>
        <w:rPr>
          <w:noProof/>
        </w:rPr>
        <w:t>а)</w:t>
      </w:r>
      <w:r>
        <w:rPr>
          <w:noProof/>
        </w:rPr>
        <w:tab/>
      </w:r>
      <w:r w:rsidR="000B25F2" w:rsidRPr="00130899">
        <w:rPr>
          <w:noProof/>
        </w:rPr>
        <w:t>статут на местно лице за данъчни цели в държава членка или юрисдикция на трета държава, която не е включена в приложение I към списъка на ЕС на юрисдикциите, неоказващи съдействие за данъчни цели</w:t>
      </w:r>
      <w:r w:rsidR="000B25F2" w:rsidRPr="00130899">
        <w:rPr>
          <w:rStyle w:val="FootnoteReference"/>
          <w:noProof/>
        </w:rPr>
        <w:footnoteReference w:id="40"/>
      </w:r>
      <w:r w:rsidR="000B25F2" w:rsidRPr="00130899">
        <w:rPr>
          <w:noProof/>
        </w:rPr>
        <w:t>, нито в таблица I от приложението към Делегиран регламент (ЕС) 2016/1675</w:t>
      </w:r>
      <w:r w:rsidR="000B25F2" w:rsidRPr="00130899">
        <w:rPr>
          <w:rStyle w:val="FootnoteReference"/>
          <w:noProof/>
        </w:rPr>
        <w:footnoteReference w:id="41"/>
      </w:r>
      <w:r w:rsidR="000B25F2" w:rsidRPr="00130899">
        <w:rPr>
          <w:noProof/>
        </w:rPr>
        <w:t xml:space="preserve">; </w:t>
      </w:r>
    </w:p>
    <w:p w14:paraId="05432E43" w14:textId="7F2F7B01" w:rsidR="001956AF" w:rsidRPr="00130899" w:rsidRDefault="00585249" w:rsidP="00585249">
      <w:pPr>
        <w:pStyle w:val="Point1"/>
        <w:rPr>
          <w:noProof/>
        </w:rPr>
      </w:pPr>
      <w:r>
        <w:rPr>
          <w:noProof/>
        </w:rPr>
        <w:t>б)</w:t>
      </w:r>
      <w:r>
        <w:rPr>
          <w:noProof/>
        </w:rPr>
        <w:tab/>
      </w:r>
      <w:r w:rsidR="00051BC3" w:rsidRPr="00130899">
        <w:rPr>
          <w:noProof/>
        </w:rPr>
        <w:t xml:space="preserve">ако подаващият искането финансов посредник е кредитна институция — разрешение за извършване на попечителски дейности в юрисдикцията, на която е местно лице за данъчни цели, съгласно точки 12 или 14 от </w:t>
      </w:r>
      <w:r w:rsidR="00051BC3" w:rsidRPr="00130899">
        <w:rPr>
          <w:noProof/>
        </w:rPr>
        <w:lastRenderedPageBreak/>
        <w:t>приложение I към Директива 2013/36/ЕС или сравнимо законодателство на трета държава; ако подаващият искането финансов посредник е инвестиционен посредник — разрешение в юрисдикцията по данъчна регистрация за извършване на попечителски дейности съгласно раздел Б, точка 1 от приложение I към Директива 2014/65/ЕС или сравнимо законодателство на трета държава; или ако подаващият искането финансов посредник е централен депозитар на ценни книжа — разрешение в юрисдикцията, на която е местно лице за данъчни цели, съгласно Регламент (ЕС) 909/2014 или сравнимо законодателство на трета държава, на която е местно лице;</w:t>
      </w:r>
    </w:p>
    <w:p w14:paraId="7D52844C" w14:textId="0A234478" w:rsidR="004360A9" w:rsidRPr="00130899" w:rsidRDefault="00585249" w:rsidP="00585249">
      <w:pPr>
        <w:pStyle w:val="Point1"/>
        <w:rPr>
          <w:noProof/>
        </w:rPr>
      </w:pPr>
      <w:r>
        <w:rPr>
          <w:noProof/>
        </w:rPr>
        <w:t>в)</w:t>
      </w:r>
      <w:r>
        <w:rPr>
          <w:noProof/>
        </w:rPr>
        <w:tab/>
      </w:r>
      <w:r w:rsidR="00AF46FA" w:rsidRPr="00130899">
        <w:rPr>
          <w:noProof/>
        </w:rPr>
        <w:t xml:space="preserve">декларация за спазване на </w:t>
      </w:r>
      <w:bookmarkStart w:id="5" w:name="_Hlk132982294"/>
      <w:r w:rsidR="00AF46FA" w:rsidRPr="00130899">
        <w:rPr>
          <w:noProof/>
        </w:rPr>
        <w:t>разпоредбите на Директива 2014/107/ЕС на Съвета</w:t>
      </w:r>
      <w:r w:rsidR="00AF46FA" w:rsidRPr="00130899">
        <w:rPr>
          <w:rStyle w:val="FootnoteReference"/>
          <w:noProof/>
        </w:rPr>
        <w:footnoteReference w:id="42"/>
      </w:r>
      <w:r w:rsidR="00AF46FA" w:rsidRPr="00130899">
        <w:rPr>
          <w:noProof/>
        </w:rPr>
        <w:t xml:space="preserve"> или разпоредбите на Директива 2018/843/ЕС на Европейския парламент и на Съвета</w:t>
      </w:r>
      <w:r w:rsidR="00AF46FA" w:rsidRPr="00130899">
        <w:rPr>
          <w:rStyle w:val="FootnoteReference"/>
          <w:noProof/>
        </w:rPr>
        <w:footnoteReference w:id="43"/>
      </w:r>
      <w:r w:rsidR="00AF46FA" w:rsidRPr="00130899">
        <w:rPr>
          <w:noProof/>
        </w:rPr>
        <w:t>, както е приложимо, или на сравнимо законодателство на юрисдикция на трета държава, която не е включена в приложение I към списъка на ЕС на юрисдикциите, неоказващи съдействие за данъчни цели</w:t>
      </w:r>
      <w:bookmarkEnd w:id="5"/>
      <w:r w:rsidR="00AF46FA" w:rsidRPr="00130899">
        <w:rPr>
          <w:noProof/>
        </w:rPr>
        <w:t>, или в таблица I от приложението към Делегиран регламент (ЕС) 2016/1675.</w:t>
      </w:r>
    </w:p>
    <w:p w14:paraId="61AA4E25" w14:textId="1990834B" w:rsidR="004573F8" w:rsidRPr="00130899" w:rsidRDefault="00CF0B91" w:rsidP="00CF0B91">
      <w:pPr>
        <w:pStyle w:val="ManualNumPar1"/>
        <w:rPr>
          <w:noProof/>
        </w:rPr>
      </w:pPr>
      <w:r w:rsidRPr="00CF0B91">
        <w:t>2.</w:t>
      </w:r>
      <w:r w:rsidRPr="00CF0B91">
        <w:tab/>
      </w:r>
      <w:r w:rsidR="00583BEE" w:rsidRPr="00130899">
        <w:rPr>
          <w:noProof/>
        </w:rPr>
        <w:t>Финансовите посредници уведомяват незабавно компетентния орган на държавата членка за всяка промяна в информацията, предоставена съгласно букви а)—в).</w:t>
      </w:r>
    </w:p>
    <w:p w14:paraId="5D84C911" w14:textId="77777777" w:rsidR="001956AF" w:rsidRPr="00130899" w:rsidRDefault="001956AF" w:rsidP="00974BE9">
      <w:pPr>
        <w:pStyle w:val="Titrearticle"/>
        <w:rPr>
          <w:b/>
          <w:i w:val="0"/>
          <w:noProof/>
        </w:rPr>
      </w:pPr>
      <w:r w:rsidRPr="00130899">
        <w:rPr>
          <w:noProof/>
        </w:rPr>
        <w:t xml:space="preserve">Член 8 </w:t>
      </w:r>
      <w:r w:rsidRPr="00130899">
        <w:rPr>
          <w:noProof/>
        </w:rPr>
        <w:cr/>
      </w:r>
      <w:r w:rsidRPr="00130899">
        <w:rPr>
          <w:noProof/>
        </w:rPr>
        <w:br/>
      </w:r>
      <w:r w:rsidRPr="00130899">
        <w:rPr>
          <w:b/>
          <w:i w:val="0"/>
          <w:noProof/>
        </w:rPr>
        <w:t>Заличаване от националния регистър</w:t>
      </w:r>
    </w:p>
    <w:p w14:paraId="4A227308" w14:textId="5EC07D37" w:rsidR="001956AF" w:rsidRPr="00130899" w:rsidRDefault="00CF0B91" w:rsidP="00CF0B91">
      <w:pPr>
        <w:pStyle w:val="ManualNumPar1"/>
        <w:rPr>
          <w:noProof/>
        </w:rPr>
      </w:pPr>
      <w:r w:rsidRPr="00CF0B91">
        <w:t>1.</w:t>
      </w:r>
      <w:r w:rsidRPr="00CF0B91">
        <w:tab/>
      </w:r>
      <w:r w:rsidR="001956AF" w:rsidRPr="00130899">
        <w:rPr>
          <w:noProof/>
        </w:rPr>
        <w:t xml:space="preserve">Държавите членки заличават от националния си регистър всеки сертифициран финансов посредник, когато той: </w:t>
      </w:r>
    </w:p>
    <w:p w14:paraId="26A3DC4A" w14:textId="772DE890" w:rsidR="001956AF" w:rsidRPr="00130899" w:rsidRDefault="00585249" w:rsidP="00585249">
      <w:pPr>
        <w:pStyle w:val="Point1"/>
        <w:rPr>
          <w:noProof/>
        </w:rPr>
      </w:pPr>
      <w:r>
        <w:rPr>
          <w:noProof/>
        </w:rPr>
        <w:t>а)</w:t>
      </w:r>
      <w:r>
        <w:rPr>
          <w:noProof/>
        </w:rPr>
        <w:tab/>
      </w:r>
      <w:r w:rsidR="008C4F04" w:rsidRPr="00130899">
        <w:rPr>
          <w:noProof/>
        </w:rPr>
        <w:t>поиска такова заличаване; или</w:t>
      </w:r>
    </w:p>
    <w:p w14:paraId="7746C950" w14:textId="765BAB7E" w:rsidR="001956AF" w:rsidRPr="00130899" w:rsidRDefault="00585249" w:rsidP="00585249">
      <w:pPr>
        <w:pStyle w:val="Point1"/>
        <w:rPr>
          <w:noProof/>
        </w:rPr>
      </w:pPr>
      <w:r>
        <w:rPr>
          <w:noProof/>
        </w:rPr>
        <w:t>б)</w:t>
      </w:r>
      <w:r>
        <w:rPr>
          <w:noProof/>
        </w:rPr>
        <w:tab/>
      </w:r>
      <w:r w:rsidR="001956AF" w:rsidRPr="00130899">
        <w:rPr>
          <w:noProof/>
        </w:rPr>
        <w:t xml:space="preserve">вече не отговаря на изискванията на член 7. </w:t>
      </w:r>
    </w:p>
    <w:p w14:paraId="71A5F85F" w14:textId="1798DF70" w:rsidR="001439E8" w:rsidRPr="00130899" w:rsidRDefault="00CF0B91" w:rsidP="00CF0B91">
      <w:pPr>
        <w:pStyle w:val="ManualNumPar1"/>
        <w:rPr>
          <w:noProof/>
        </w:rPr>
      </w:pPr>
      <w:r w:rsidRPr="00CF0B91">
        <w:t>2.</w:t>
      </w:r>
      <w:r w:rsidRPr="00CF0B91">
        <w:tab/>
      </w:r>
      <w:r w:rsidR="001439E8" w:rsidRPr="00130899">
        <w:rPr>
          <w:noProof/>
        </w:rPr>
        <w:t>Държавите членки могат да заличат от националния си регистър всеки сертифициран финансов посредник, за когото е установено, че многократно и умишлено не е изпълнявал задълженията си по някой от следните правни актове:</w:t>
      </w:r>
    </w:p>
    <w:p w14:paraId="07364D86" w14:textId="695CF838" w:rsidR="001439E8" w:rsidRPr="00130899" w:rsidRDefault="00585249" w:rsidP="00585249">
      <w:pPr>
        <w:pStyle w:val="Point1"/>
        <w:rPr>
          <w:noProof/>
        </w:rPr>
      </w:pPr>
      <w:r>
        <w:rPr>
          <w:noProof/>
        </w:rPr>
        <w:t>а)</w:t>
      </w:r>
      <w:r>
        <w:rPr>
          <w:noProof/>
        </w:rPr>
        <w:tab/>
      </w:r>
      <w:r w:rsidR="001439E8" w:rsidRPr="00130899">
        <w:rPr>
          <w:noProof/>
        </w:rPr>
        <w:t>настоящата директива;</w:t>
      </w:r>
    </w:p>
    <w:p w14:paraId="4948CEA4" w14:textId="3BC68C5B" w:rsidR="001439E8" w:rsidRPr="00130899" w:rsidRDefault="00585249" w:rsidP="00585249">
      <w:pPr>
        <w:pStyle w:val="Point1"/>
        <w:rPr>
          <w:noProof/>
        </w:rPr>
      </w:pPr>
      <w:r>
        <w:rPr>
          <w:noProof/>
        </w:rPr>
        <w:t>б)</w:t>
      </w:r>
      <w:r>
        <w:rPr>
          <w:noProof/>
        </w:rPr>
        <w:tab/>
      </w:r>
      <w:r w:rsidR="00EE72EC" w:rsidRPr="00130899">
        <w:rPr>
          <w:noProof/>
        </w:rPr>
        <w:t>Директива 2014/107/ЕС на Съвета; или</w:t>
      </w:r>
    </w:p>
    <w:p w14:paraId="092C55EE" w14:textId="3027FCA8" w:rsidR="001439E8" w:rsidRPr="00130899" w:rsidRDefault="00585249" w:rsidP="00585249">
      <w:pPr>
        <w:pStyle w:val="Point1"/>
        <w:rPr>
          <w:noProof/>
        </w:rPr>
      </w:pPr>
      <w:r>
        <w:rPr>
          <w:noProof/>
        </w:rPr>
        <w:t>в)</w:t>
      </w:r>
      <w:r>
        <w:rPr>
          <w:noProof/>
        </w:rPr>
        <w:tab/>
      </w:r>
      <w:r w:rsidR="001439E8" w:rsidRPr="00130899">
        <w:rPr>
          <w:noProof/>
        </w:rPr>
        <w:t xml:space="preserve">Директива 2018/843/ЕС; или </w:t>
      </w:r>
    </w:p>
    <w:p w14:paraId="04E9319A" w14:textId="18A4AB7E" w:rsidR="001439E8" w:rsidRPr="00130899" w:rsidRDefault="00585249" w:rsidP="00585249">
      <w:pPr>
        <w:pStyle w:val="Point1"/>
        <w:rPr>
          <w:noProof/>
        </w:rPr>
      </w:pPr>
      <w:r>
        <w:rPr>
          <w:noProof/>
        </w:rPr>
        <w:t>г)</w:t>
      </w:r>
      <w:r>
        <w:rPr>
          <w:noProof/>
        </w:rPr>
        <w:tab/>
      </w:r>
      <w:r w:rsidR="00F45352" w:rsidRPr="00130899">
        <w:rPr>
          <w:noProof/>
        </w:rPr>
        <w:t>съпоставимо законодателство на трета държава, на която е местно лице за данъчни цели.</w:t>
      </w:r>
    </w:p>
    <w:p w14:paraId="0120A5E2" w14:textId="2C06AFF4" w:rsidR="00D85E7D" w:rsidRPr="00130899" w:rsidRDefault="00CF0B91" w:rsidP="00CF0B91">
      <w:pPr>
        <w:pStyle w:val="ManualNumPar1"/>
        <w:rPr>
          <w:noProof/>
        </w:rPr>
      </w:pPr>
      <w:r w:rsidRPr="00CF0B91">
        <w:lastRenderedPageBreak/>
        <w:t>3.</w:t>
      </w:r>
      <w:r w:rsidRPr="00CF0B91">
        <w:tab/>
      </w:r>
      <w:r w:rsidR="001956AF" w:rsidRPr="00130899">
        <w:rPr>
          <w:noProof/>
        </w:rPr>
        <w:t>Държавата членка, която заличава сертифициран финансов посредник от своя национален регистър, информира незабавно всички останали държави членки, които поддържат национален регистър в съответствие с член 5.</w:t>
      </w:r>
    </w:p>
    <w:p w14:paraId="5C8886C6" w14:textId="6797222B" w:rsidR="00F82A9C" w:rsidRPr="00130899" w:rsidRDefault="00CF0B91" w:rsidP="00CF0B91">
      <w:pPr>
        <w:pStyle w:val="ManualNumPar1"/>
        <w:rPr>
          <w:noProof/>
        </w:rPr>
      </w:pPr>
      <w:r w:rsidRPr="00CF0B91">
        <w:t>4.</w:t>
      </w:r>
      <w:r w:rsidRPr="00CF0B91">
        <w:tab/>
      </w:r>
      <w:r w:rsidR="00F82A9C" w:rsidRPr="00130899">
        <w:rPr>
          <w:noProof/>
        </w:rPr>
        <w:t xml:space="preserve">Държавите членки гарантират, че финансовият посредник, който е бил заличен от националния регистър в съответствие с параграф 1, се регистрира отново, когато неспазването на разпоредбите на настоящата директива е било отстранено, включително чрез плащане или уреждане на всички дължими суми, възникнали в резултат на неспазването. </w:t>
      </w:r>
    </w:p>
    <w:p w14:paraId="7CA73231" w14:textId="77777777" w:rsidR="001956AF" w:rsidRPr="00130899" w:rsidRDefault="001956AF" w:rsidP="004D12F8">
      <w:pPr>
        <w:rPr>
          <w:noProof/>
        </w:rPr>
      </w:pPr>
    </w:p>
    <w:p w14:paraId="353D8C6B" w14:textId="77777777" w:rsidR="001956AF" w:rsidRPr="00130899" w:rsidRDefault="001956AF" w:rsidP="001956AF">
      <w:pPr>
        <w:jc w:val="center"/>
        <w:rPr>
          <w:b/>
          <w:i/>
          <w:noProof/>
        </w:rPr>
      </w:pPr>
      <w:r w:rsidRPr="00130899">
        <w:rPr>
          <w:b/>
          <w:i/>
          <w:noProof/>
        </w:rPr>
        <w:t>РАЗДЕЛ 2</w:t>
      </w:r>
    </w:p>
    <w:p w14:paraId="1540C036" w14:textId="77777777" w:rsidR="001956AF" w:rsidRPr="00130899" w:rsidRDefault="001956AF" w:rsidP="008E734B">
      <w:pPr>
        <w:jc w:val="center"/>
        <w:rPr>
          <w:b/>
          <w:noProof/>
        </w:rPr>
      </w:pPr>
      <w:r w:rsidRPr="00130899">
        <w:rPr>
          <w:b/>
          <w:noProof/>
        </w:rPr>
        <w:t>ПРЕДОСТАВЯНЕ НА ИНФОРМАЦИЯ</w:t>
      </w:r>
    </w:p>
    <w:p w14:paraId="701A9B33" w14:textId="77777777" w:rsidR="001956AF" w:rsidRPr="00130899" w:rsidRDefault="001956AF" w:rsidP="008E734B">
      <w:pPr>
        <w:pStyle w:val="Titrearticle"/>
        <w:rPr>
          <w:b/>
          <w:i w:val="0"/>
          <w:noProof/>
        </w:rPr>
      </w:pPr>
      <w:r w:rsidRPr="00130899">
        <w:rPr>
          <w:noProof/>
        </w:rPr>
        <w:t xml:space="preserve">Член 9  </w:t>
      </w:r>
      <w:r w:rsidRPr="00130899">
        <w:rPr>
          <w:noProof/>
        </w:rPr>
        <w:cr/>
      </w:r>
      <w:r w:rsidRPr="00130899">
        <w:rPr>
          <w:noProof/>
        </w:rPr>
        <w:br/>
      </w:r>
      <w:r w:rsidRPr="00130899">
        <w:rPr>
          <w:b/>
          <w:i w:val="0"/>
          <w:noProof/>
        </w:rPr>
        <w:t>Задължение за предоставяне на информация</w:t>
      </w:r>
    </w:p>
    <w:p w14:paraId="47C0ED96" w14:textId="7F3D23E6" w:rsidR="00326812" w:rsidRPr="00130899" w:rsidRDefault="00CF0B91" w:rsidP="00CF0B91">
      <w:pPr>
        <w:pStyle w:val="ManualNumPar1"/>
        <w:rPr>
          <w:noProof/>
        </w:rPr>
      </w:pPr>
      <w:r w:rsidRPr="00CF0B91">
        <w:t>1.</w:t>
      </w:r>
      <w:r w:rsidRPr="00CF0B91">
        <w:tab/>
      </w:r>
      <w:r w:rsidR="001956AF" w:rsidRPr="00130899">
        <w:rPr>
          <w:noProof/>
        </w:rPr>
        <w:t xml:space="preserve">Държавите членки предприемат необходимите мерки, за да изискат от сертифицираните финансови посредници в техния национален регистър да предоставят на компетентния орган информацията, посочена в приложение II, възможно най-скоро след датата на вписване, освен ако към датата на вписване не е налице нареждане за уреждане по отношение на която и да е част от сделката, като в такъв случай предоставянето на информация по тази сделка се извършва възможно най-скоро след уреждането. Ако 20 дни след датата на вписване някоя част от сделката все още не е уредена, сертифицираните финансови посредници предоставят информация в рамките на следващите 5 календарни дни, като посочват частта, по която е налице уреждане. </w:t>
      </w:r>
    </w:p>
    <w:p w14:paraId="4F676949" w14:textId="7938485E" w:rsidR="001956AF" w:rsidRPr="00130899" w:rsidRDefault="00CF0B91" w:rsidP="00CF0B91">
      <w:pPr>
        <w:pStyle w:val="ManualNumPar1"/>
        <w:rPr>
          <w:noProof/>
        </w:rPr>
      </w:pPr>
      <w:r w:rsidRPr="00CF0B91">
        <w:t>2.</w:t>
      </w:r>
      <w:r w:rsidRPr="00CF0B91">
        <w:tab/>
      </w:r>
      <w:r w:rsidR="00326812" w:rsidRPr="00130899">
        <w:rPr>
          <w:noProof/>
        </w:rPr>
        <w:t>Държавите членки предвиждат, че сертифицираните финансови посредници не трябва да предоставят информацията, посочена в приложение II, раздел Д, ако общият размер на дивидентите, изплатени на регистрирания собственик за дяловото участие на собственика в дадено дружество, не надвишава 1000 EUR.</w:t>
      </w:r>
    </w:p>
    <w:p w14:paraId="4D3EEE89" w14:textId="578A8C61" w:rsidR="00567641" w:rsidRPr="00130899" w:rsidRDefault="00CF0B91" w:rsidP="00CF0B91">
      <w:pPr>
        <w:pStyle w:val="ManualNumPar1"/>
        <w:rPr>
          <w:noProof/>
        </w:rPr>
      </w:pPr>
      <w:r w:rsidRPr="00CF0B91">
        <w:t>3.</w:t>
      </w:r>
      <w:r w:rsidRPr="00CF0B91">
        <w:tab/>
      </w:r>
      <w:r w:rsidR="00567641" w:rsidRPr="00130899">
        <w:rPr>
          <w:noProof/>
        </w:rPr>
        <w:t xml:space="preserve">Държавите членки, които са избрали да използват национален регистър, създаден в съответствие с член 5, във връзка с лихвените плащания, изискват от сертифицираните финансови посредници да предоставят информацията, включена в приложение II, но не изискват предоставяне на информацията по раздел Д. </w:t>
      </w:r>
    </w:p>
    <w:p w14:paraId="0251CF85" w14:textId="11E34995" w:rsidR="001956AF" w:rsidRPr="00130899" w:rsidRDefault="00CF0B91" w:rsidP="00CF0B91">
      <w:pPr>
        <w:pStyle w:val="ManualNumPar1"/>
        <w:rPr>
          <w:noProof/>
        </w:rPr>
      </w:pPr>
      <w:r w:rsidRPr="00CF0B91">
        <w:t>4.</w:t>
      </w:r>
      <w:r w:rsidRPr="00CF0B91">
        <w:tab/>
      </w:r>
      <w:r w:rsidR="0098755D" w:rsidRPr="00130899">
        <w:rPr>
          <w:noProof/>
        </w:rPr>
        <w:t>Комисията приема актове за изпълнение за определяне на стандартни компютъризирани формуляри, включително езиковия режим, и изисквания за каналите за комуникация, с оглед предоставянето на информацията, посочена в приложение II. Тези актове за изпълнение се приемат в съответствие с процедурата по разглеждане, посочена в член 18.</w:t>
      </w:r>
    </w:p>
    <w:p w14:paraId="1792DB50" w14:textId="6529DBD4" w:rsidR="001956AF" w:rsidRPr="00130899" w:rsidRDefault="00CF0B91" w:rsidP="00CF0B91">
      <w:pPr>
        <w:pStyle w:val="ManualNumPar1"/>
        <w:rPr>
          <w:noProof/>
        </w:rPr>
      </w:pPr>
      <w:r w:rsidRPr="00CF0B91">
        <w:t>5.</w:t>
      </w:r>
      <w:r w:rsidRPr="00CF0B91">
        <w:tab/>
      </w:r>
      <w:r w:rsidR="001956AF" w:rsidRPr="00130899">
        <w:rPr>
          <w:noProof/>
        </w:rPr>
        <w:t xml:space="preserve">Държавите членки изискват от сертифицираните финансови посредници в техния национален регистър да съхраняват документацията, подкрепяща предоставената информация, в продължение на пет години и да предоставят достъп до всяка друга информация, както и достъп до помещенията си за целите на одита, и изискват от сертифицираните финансови посредници да заличат или анонимизират всички лични данни, включени в тази </w:t>
      </w:r>
      <w:r w:rsidR="001956AF" w:rsidRPr="00130899">
        <w:rPr>
          <w:noProof/>
        </w:rPr>
        <w:lastRenderedPageBreak/>
        <w:t>документация, веднага след приключване на одита и най-късно пет години след тяхното предоставяне.</w:t>
      </w:r>
    </w:p>
    <w:p w14:paraId="77F4562A" w14:textId="77777777" w:rsidR="001956AF" w:rsidRPr="00130899" w:rsidRDefault="001956AF" w:rsidP="008E734B">
      <w:pPr>
        <w:rPr>
          <w:noProof/>
        </w:rPr>
      </w:pPr>
    </w:p>
    <w:p w14:paraId="739A92C0" w14:textId="77777777" w:rsidR="008E734B" w:rsidRPr="00130899" w:rsidRDefault="001956AF" w:rsidP="008E734B">
      <w:pPr>
        <w:jc w:val="center"/>
        <w:rPr>
          <w:b/>
          <w:i/>
          <w:noProof/>
        </w:rPr>
      </w:pPr>
      <w:r w:rsidRPr="00130899">
        <w:rPr>
          <w:b/>
          <w:i/>
          <w:noProof/>
        </w:rPr>
        <w:t>РАЗДЕЛ 3</w:t>
      </w:r>
    </w:p>
    <w:p w14:paraId="0BFCB595" w14:textId="77777777" w:rsidR="001956AF" w:rsidRPr="00130899" w:rsidRDefault="001956AF" w:rsidP="008E734B">
      <w:pPr>
        <w:jc w:val="center"/>
        <w:rPr>
          <w:b/>
          <w:i/>
          <w:noProof/>
        </w:rPr>
      </w:pPr>
      <w:r w:rsidRPr="00130899">
        <w:rPr>
          <w:b/>
          <w:noProof/>
        </w:rPr>
        <w:t>СИСТЕМИ ЗА ДАНЪЧНИ ОБЛЕКЧЕНИЯ</w:t>
      </w:r>
    </w:p>
    <w:p w14:paraId="78CEC2E8" w14:textId="1F5953A0" w:rsidR="001956AF" w:rsidRPr="00130899" w:rsidRDefault="001956AF" w:rsidP="00BA7238">
      <w:pPr>
        <w:pStyle w:val="Titrearticle"/>
        <w:rPr>
          <w:b/>
          <w:i w:val="0"/>
          <w:noProof/>
        </w:rPr>
      </w:pPr>
      <w:r w:rsidRPr="00130899">
        <w:rPr>
          <w:noProof/>
        </w:rPr>
        <w:t xml:space="preserve">Член 10 </w:t>
      </w:r>
      <w:r w:rsidRPr="00130899">
        <w:rPr>
          <w:noProof/>
        </w:rPr>
        <w:cr/>
      </w:r>
      <w:r w:rsidRPr="00130899">
        <w:rPr>
          <w:noProof/>
        </w:rPr>
        <w:br/>
      </w:r>
      <w:r w:rsidRPr="00130899">
        <w:rPr>
          <w:b/>
          <w:i w:val="0"/>
          <w:noProof/>
        </w:rPr>
        <w:t>Искане за данъчно облекчение при източника или за бързо възстановяване</w:t>
      </w:r>
    </w:p>
    <w:p w14:paraId="2F183DD0" w14:textId="0A511F49" w:rsidR="00F03F98" w:rsidRPr="00130899" w:rsidRDefault="00CF0B91" w:rsidP="00CF0B91">
      <w:pPr>
        <w:pStyle w:val="ManualNumPar1"/>
        <w:rPr>
          <w:noProof/>
        </w:rPr>
      </w:pPr>
      <w:bookmarkStart w:id="6" w:name="_Hlk136606527"/>
      <w:r w:rsidRPr="00CF0B91">
        <w:t>1.</w:t>
      </w:r>
      <w:r w:rsidRPr="00CF0B91">
        <w:tab/>
      </w:r>
      <w:r w:rsidR="001956AF" w:rsidRPr="00130899">
        <w:rPr>
          <w:noProof/>
        </w:rPr>
        <w:t>Държавите членки изискват от даден сертифициран финансов посредник, който поддържа инвестиционната сметка на регистриран собственик, получаващ дивиденти или лихви, да поиска данъчно облекчение съгласно член 12 и/или член 13 от името на този регистриран собственик, ако са изпълнени следните условия:</w:t>
      </w:r>
    </w:p>
    <w:p w14:paraId="50080E08" w14:textId="43FC307A" w:rsidR="00F03F98" w:rsidRPr="00130899" w:rsidRDefault="00585249" w:rsidP="00585249">
      <w:pPr>
        <w:pStyle w:val="Point1"/>
        <w:rPr>
          <w:noProof/>
        </w:rPr>
      </w:pPr>
      <w:r>
        <w:rPr>
          <w:noProof/>
        </w:rPr>
        <w:t>а)</w:t>
      </w:r>
      <w:r>
        <w:rPr>
          <w:noProof/>
        </w:rPr>
        <w:tab/>
      </w:r>
      <w:r w:rsidR="00F03F98" w:rsidRPr="00130899">
        <w:rPr>
          <w:noProof/>
        </w:rPr>
        <w:t xml:space="preserve">регистрираният собственик е упълномощил сертифицирания финансов посредник да поиска данъчно облекчение от негово име; и </w:t>
      </w:r>
    </w:p>
    <w:p w14:paraId="600F2EF5" w14:textId="5E355121" w:rsidR="00497364" w:rsidRPr="00130899" w:rsidRDefault="00585249" w:rsidP="00585249">
      <w:pPr>
        <w:pStyle w:val="Point1"/>
        <w:rPr>
          <w:noProof/>
        </w:rPr>
      </w:pPr>
      <w:r>
        <w:rPr>
          <w:noProof/>
        </w:rPr>
        <w:t>б)</w:t>
      </w:r>
      <w:r>
        <w:rPr>
          <w:noProof/>
        </w:rPr>
        <w:tab/>
      </w:r>
      <w:r w:rsidR="00F03F98" w:rsidRPr="00130899">
        <w:rPr>
          <w:noProof/>
        </w:rPr>
        <w:t>сертифицираният финансов посредник е проверил и установил, че регистрираният собственик отговаря на условията съгласно член 11. Тази проверка може да включва и оценка на риска, която отчита кредитния риск и риска от измама.</w:t>
      </w:r>
      <w:bookmarkEnd w:id="6"/>
    </w:p>
    <w:p w14:paraId="418955FB" w14:textId="190C5CCF" w:rsidR="001956AF" w:rsidRPr="00130899" w:rsidRDefault="00CF0B91" w:rsidP="00CF0B91">
      <w:pPr>
        <w:pStyle w:val="ManualNumPar1"/>
        <w:rPr>
          <w:noProof/>
        </w:rPr>
      </w:pPr>
      <w:r w:rsidRPr="00CF0B91">
        <w:t>2.</w:t>
      </w:r>
      <w:r w:rsidRPr="00CF0B91">
        <w:tab/>
      </w:r>
      <w:r w:rsidR="001956AF" w:rsidRPr="00130899">
        <w:rPr>
          <w:noProof/>
        </w:rPr>
        <w:t>Независимо от разпоредбите на параграф 1, държавите членки не предоставят данъчни облекчения в рамките на системите, предвидени в членове 12 и 13, за искане, при което:</w:t>
      </w:r>
    </w:p>
    <w:p w14:paraId="4CB44404" w14:textId="04D834C7" w:rsidR="005B0478" w:rsidRPr="00130899" w:rsidRDefault="00585249" w:rsidP="00585249">
      <w:pPr>
        <w:pStyle w:val="Point1"/>
        <w:rPr>
          <w:noProof/>
        </w:rPr>
      </w:pPr>
      <w:r>
        <w:rPr>
          <w:noProof/>
        </w:rPr>
        <w:t>а)</w:t>
      </w:r>
      <w:r>
        <w:rPr>
          <w:noProof/>
        </w:rPr>
        <w:tab/>
      </w:r>
      <w:r w:rsidR="005B0478" w:rsidRPr="00130899">
        <w:rPr>
          <w:noProof/>
        </w:rPr>
        <w:t>дивидентът е изплатен за публично търгувана акция, която регистрираният собственик е придобил в рамките на два дни преди датата на търгуване без дивидент;</w:t>
      </w:r>
    </w:p>
    <w:p w14:paraId="3AA23262" w14:textId="5211AE04" w:rsidR="001956AF" w:rsidRPr="00130899" w:rsidRDefault="00585249" w:rsidP="00585249">
      <w:pPr>
        <w:pStyle w:val="Point1"/>
        <w:rPr>
          <w:noProof/>
        </w:rPr>
      </w:pPr>
      <w:r>
        <w:rPr>
          <w:noProof/>
        </w:rPr>
        <w:t>б)</w:t>
      </w:r>
      <w:r>
        <w:rPr>
          <w:noProof/>
        </w:rPr>
        <w:tab/>
      </w:r>
      <w:r w:rsidR="003B7A50" w:rsidRPr="00130899">
        <w:rPr>
          <w:noProof/>
        </w:rPr>
        <w:t>съществува финансова договореност, свързана с изплащането на дивидент по базовата ценна книга, за която се иска данъчно облекчение, която договореност не е уредена, по която срокът на действие не е изтекъл или която не е прекратена по друг начин към датата на търгуване без дивидент.</w:t>
      </w:r>
    </w:p>
    <w:p w14:paraId="7B73A6C6" w14:textId="43727557" w:rsidR="001956AF" w:rsidRPr="00130899" w:rsidRDefault="00CF0B91" w:rsidP="00CF0B91">
      <w:pPr>
        <w:pStyle w:val="ManualNumPar1"/>
        <w:rPr>
          <w:noProof/>
        </w:rPr>
      </w:pPr>
      <w:r w:rsidRPr="00CF0B91">
        <w:t>3.</w:t>
      </w:r>
      <w:r w:rsidRPr="00CF0B91">
        <w:tab/>
      </w:r>
      <w:r w:rsidR="6D09F942" w:rsidRPr="00130899">
        <w:rPr>
          <w:noProof/>
        </w:rPr>
        <w:t>Независимо от параграф 1, държавите членки могат да изключат исканията за данъчни облекчения съгласно членове 12 и 13, когато:</w:t>
      </w:r>
    </w:p>
    <w:p w14:paraId="1ED1FD95" w14:textId="395F3403" w:rsidR="3E2E3C02" w:rsidRPr="00130899" w:rsidRDefault="00585249" w:rsidP="00585249">
      <w:pPr>
        <w:pStyle w:val="Point1"/>
        <w:rPr>
          <w:noProof/>
        </w:rPr>
      </w:pPr>
      <w:r>
        <w:rPr>
          <w:noProof/>
        </w:rPr>
        <w:t>а)</w:t>
      </w:r>
      <w:r>
        <w:rPr>
          <w:noProof/>
        </w:rPr>
        <w:tab/>
      </w:r>
      <w:r w:rsidR="3E2E3C02" w:rsidRPr="00130899">
        <w:rPr>
          <w:noProof/>
        </w:rPr>
        <w:t>поне един от финансовите посредници по веригата на плащане на ценни книжа не е сертифициран финансов посредник и друг сертифициран финансов посредник по веригата не е предоставил на компетентния орган информацията, която финансовият посредник следва да предоставя съгласно настоящата директива, ако е сертифициран финансов посредник; или</w:t>
      </w:r>
    </w:p>
    <w:p w14:paraId="78F9F625" w14:textId="7CEC54E7" w:rsidR="001956AF" w:rsidRPr="00130899" w:rsidRDefault="00585249" w:rsidP="00585249">
      <w:pPr>
        <w:pStyle w:val="Point1"/>
        <w:rPr>
          <w:noProof/>
        </w:rPr>
      </w:pPr>
      <w:r>
        <w:rPr>
          <w:noProof/>
        </w:rPr>
        <w:t>б)</w:t>
      </w:r>
      <w:r>
        <w:rPr>
          <w:noProof/>
        </w:rPr>
        <w:tab/>
      </w:r>
      <w:r w:rsidR="00340191" w:rsidRPr="00130899">
        <w:rPr>
          <w:noProof/>
        </w:rPr>
        <w:t xml:space="preserve">е поискано освобождаване от данъка, удържан при източника. </w:t>
      </w:r>
    </w:p>
    <w:p w14:paraId="2864F269" w14:textId="77777777" w:rsidR="001956AF" w:rsidRPr="00130899" w:rsidRDefault="001956AF" w:rsidP="000A0493">
      <w:pPr>
        <w:pStyle w:val="Titrearticle"/>
        <w:rPr>
          <w:b/>
          <w:i w:val="0"/>
          <w:noProof/>
        </w:rPr>
      </w:pPr>
      <w:r w:rsidRPr="00130899">
        <w:rPr>
          <w:noProof/>
        </w:rPr>
        <w:lastRenderedPageBreak/>
        <w:t xml:space="preserve">Член 11 </w:t>
      </w:r>
      <w:r w:rsidRPr="00130899">
        <w:rPr>
          <w:noProof/>
        </w:rPr>
        <w:cr/>
      </w:r>
      <w:r w:rsidRPr="00130899">
        <w:rPr>
          <w:noProof/>
        </w:rPr>
        <w:br/>
      </w:r>
      <w:r w:rsidRPr="00130899">
        <w:rPr>
          <w:b/>
          <w:i w:val="0"/>
          <w:noProof/>
        </w:rPr>
        <w:t>Надлежна проверка, че регистрираният собственик отговаря на условията</w:t>
      </w:r>
    </w:p>
    <w:p w14:paraId="43B4817B" w14:textId="0220E80A" w:rsidR="001956AF" w:rsidRPr="00130899" w:rsidRDefault="00CF0B91" w:rsidP="00CF0B91">
      <w:pPr>
        <w:pStyle w:val="ManualNumPar1"/>
        <w:rPr>
          <w:noProof/>
        </w:rPr>
      </w:pPr>
      <w:r w:rsidRPr="00CF0B91">
        <w:t>1.</w:t>
      </w:r>
      <w:r w:rsidRPr="00CF0B91">
        <w:tab/>
      </w:r>
      <w:r w:rsidR="001956AF" w:rsidRPr="00130899">
        <w:rPr>
          <w:noProof/>
        </w:rPr>
        <w:t>Държавите членки гарантират, че сертифицираният финансов посредник, който иска данъчно облекчение по член 12 и/или член 13 от името на регистриран собственик, получава от този регистриран собственик декларация, че регистрираният собственик:</w:t>
      </w:r>
    </w:p>
    <w:p w14:paraId="7ED835A1" w14:textId="5F7B4BF8" w:rsidR="001956AF" w:rsidRPr="00130899" w:rsidRDefault="00585249" w:rsidP="00585249">
      <w:pPr>
        <w:pStyle w:val="Point1"/>
        <w:rPr>
          <w:noProof/>
        </w:rPr>
      </w:pPr>
      <w:r>
        <w:rPr>
          <w:noProof/>
        </w:rPr>
        <w:t>а)</w:t>
      </w:r>
      <w:r>
        <w:rPr>
          <w:noProof/>
        </w:rPr>
        <w:tab/>
      </w:r>
      <w:r w:rsidR="001956AF" w:rsidRPr="00130899">
        <w:rPr>
          <w:noProof/>
        </w:rPr>
        <w:t>е действителният собственик на дивидента или лихвата, както е определено в националното законодателство на държавата членка на източника; и</w:t>
      </w:r>
    </w:p>
    <w:p w14:paraId="478E5B8C" w14:textId="71A2A6AB" w:rsidR="001956AF" w:rsidRPr="00130899" w:rsidRDefault="00585249" w:rsidP="00585249">
      <w:pPr>
        <w:pStyle w:val="Point1"/>
        <w:rPr>
          <w:noProof/>
        </w:rPr>
      </w:pPr>
      <w:r>
        <w:rPr>
          <w:noProof/>
        </w:rPr>
        <w:t>б)</w:t>
      </w:r>
      <w:r>
        <w:rPr>
          <w:noProof/>
        </w:rPr>
        <w:tab/>
      </w:r>
      <w:r w:rsidR="001956AF" w:rsidRPr="00130899">
        <w:rPr>
          <w:noProof/>
        </w:rPr>
        <w:t>не участва във финансова договореност, свързана с базовата публично търгувана акция, която не е уредена, по която срокът на действие не е изтекъл или която не е прекратена по друг начин към датата на търгуване без дивидент.</w:t>
      </w:r>
    </w:p>
    <w:p w14:paraId="3B5ADFA7" w14:textId="0BA2DDBA" w:rsidR="001956AF" w:rsidRPr="00130899" w:rsidRDefault="00CF0B91" w:rsidP="00CF0B91">
      <w:pPr>
        <w:pStyle w:val="ManualNumPar1"/>
        <w:rPr>
          <w:noProof/>
        </w:rPr>
      </w:pPr>
      <w:r w:rsidRPr="00CF0B91">
        <w:t>2.</w:t>
      </w:r>
      <w:r w:rsidRPr="00CF0B91">
        <w:tab/>
      </w:r>
      <w:r w:rsidR="001956AF" w:rsidRPr="00130899">
        <w:rPr>
          <w:noProof/>
        </w:rPr>
        <w:t xml:space="preserve">Държавите членки гарантират, че сертифицираните финансови посредници, които искат данъчно облекчение по член 12 и/или член 13 от името на регистриран собственик, проверяват: </w:t>
      </w:r>
    </w:p>
    <w:p w14:paraId="2842E2AF" w14:textId="54FD4663" w:rsidR="001956AF" w:rsidRPr="00130899" w:rsidRDefault="00585249" w:rsidP="00585249">
      <w:pPr>
        <w:pStyle w:val="Point1"/>
        <w:rPr>
          <w:noProof/>
        </w:rPr>
      </w:pPr>
      <w:r>
        <w:rPr>
          <w:noProof/>
        </w:rPr>
        <w:t>а)</w:t>
      </w:r>
      <w:r>
        <w:rPr>
          <w:noProof/>
        </w:rPr>
        <w:tab/>
      </w:r>
      <w:r w:rsidR="008E49A6" w:rsidRPr="00130899">
        <w:rPr>
          <w:noProof/>
        </w:rPr>
        <w:t xml:space="preserve">eTRC на регистрирания собственик и/или подходящо доказателство за статут на местно лице за данъчни цели в трета държава; </w:t>
      </w:r>
    </w:p>
    <w:p w14:paraId="28FF2553" w14:textId="4A62F73A" w:rsidR="001956AF" w:rsidRPr="00130899" w:rsidRDefault="00585249" w:rsidP="00585249">
      <w:pPr>
        <w:pStyle w:val="Point1"/>
        <w:rPr>
          <w:noProof/>
        </w:rPr>
      </w:pPr>
      <w:r>
        <w:rPr>
          <w:noProof/>
        </w:rPr>
        <w:t>б)</w:t>
      </w:r>
      <w:r>
        <w:rPr>
          <w:noProof/>
        </w:rPr>
        <w:tab/>
      </w:r>
      <w:r w:rsidR="001956AF" w:rsidRPr="00130899">
        <w:rPr>
          <w:noProof/>
        </w:rPr>
        <w:t>декларацията на регистрирания собственик и статута му на местно лице за данъчни цели, като съпоставят данните с информацията от механизмите за вътрешен контрол, използвани от сертифицирания финансов посредник за изпълнение на задълженията във връзка с изпирането на пари и финансирането на тероризма съгласно Директива (ЕС) 2015/849</w:t>
      </w:r>
      <w:r w:rsidR="001956AF" w:rsidRPr="00130899">
        <w:rPr>
          <w:rStyle w:val="FootnoteReference"/>
          <w:noProof/>
        </w:rPr>
        <w:footnoteReference w:id="44"/>
      </w:r>
      <w:r w:rsidR="001956AF" w:rsidRPr="00130899">
        <w:rPr>
          <w:noProof/>
        </w:rPr>
        <w:t>, или съпоставима информация, изисквана в трети държави;</w:t>
      </w:r>
    </w:p>
    <w:p w14:paraId="5F479B25" w14:textId="6F1ECE74" w:rsidR="001956AF" w:rsidRPr="00130899" w:rsidRDefault="00585249" w:rsidP="00585249">
      <w:pPr>
        <w:pStyle w:val="Point1"/>
        <w:rPr>
          <w:noProof/>
        </w:rPr>
      </w:pPr>
      <w:r>
        <w:rPr>
          <w:noProof/>
        </w:rPr>
        <w:t>в)</w:t>
      </w:r>
      <w:r>
        <w:rPr>
          <w:noProof/>
        </w:rPr>
        <w:tab/>
      </w:r>
      <w:r w:rsidR="008E49A6" w:rsidRPr="00130899">
        <w:rPr>
          <w:noProof/>
        </w:rPr>
        <w:t xml:space="preserve">правото на регистрирания собственик на конкретна намалена ставка на данъка, удържан при източника, в съответствие със спогодба за избягване на двойното данъчно облагане между държавата членка на източника и юрисдикциите, където регистрираният собственик е местно лице за данъчни цели, или специфично национално законодателство на държавата членка на източника; </w:t>
      </w:r>
    </w:p>
    <w:p w14:paraId="5917CAE8" w14:textId="58311B80" w:rsidR="00EE06AE" w:rsidRPr="00130899" w:rsidRDefault="00585249" w:rsidP="00585249">
      <w:pPr>
        <w:pStyle w:val="Point1"/>
        <w:rPr>
          <w:noProof/>
        </w:rPr>
      </w:pPr>
      <w:r>
        <w:rPr>
          <w:noProof/>
        </w:rPr>
        <w:t>г)</w:t>
      </w:r>
      <w:r>
        <w:rPr>
          <w:noProof/>
        </w:rPr>
        <w:tab/>
      </w:r>
      <w:r w:rsidR="00C05948" w:rsidRPr="00130899">
        <w:rPr>
          <w:noProof/>
        </w:rPr>
        <w:t>в случай на изплащане на дивидент и въз основа на информацията, с която разполага сертифицираният финансов посредник — евентуалното съществуване на финансова договореност, която не е уредена, по която срокът на действие не е изтекъл или която не е прекратена по друг начин към датата на търгуване без дивидент, освен ако дивидентът, изплатен на регистрирания собственик за всяка група притежавани идентични акции, не надвишава 1000 EUR.</w:t>
      </w:r>
    </w:p>
    <w:p w14:paraId="00D018C7" w14:textId="639FFC67" w:rsidR="00EE06AE" w:rsidRPr="00130899" w:rsidRDefault="00CF0B91" w:rsidP="00CF0B91">
      <w:pPr>
        <w:pStyle w:val="ManualNumPar1"/>
        <w:rPr>
          <w:noProof/>
        </w:rPr>
      </w:pPr>
      <w:r w:rsidRPr="00CF0B91">
        <w:lastRenderedPageBreak/>
        <w:t>3.</w:t>
      </w:r>
      <w:r w:rsidRPr="00CF0B91">
        <w:tab/>
      </w:r>
      <w:r w:rsidR="00EE06AE" w:rsidRPr="00130899">
        <w:rPr>
          <w:noProof/>
        </w:rPr>
        <w:t>Държавите членки гарантират, че сертифицираните финансови посредници разполагат с подходящи процедури за извършване на проверки в съответствие с параграф 2.</w:t>
      </w:r>
    </w:p>
    <w:p w14:paraId="4A532C63" w14:textId="0A68FEE5" w:rsidR="001956AF" w:rsidRPr="00130899" w:rsidRDefault="001956AF" w:rsidP="00655C22">
      <w:pPr>
        <w:pStyle w:val="Titrearticle"/>
        <w:rPr>
          <w:b/>
          <w:i w:val="0"/>
          <w:noProof/>
        </w:rPr>
      </w:pPr>
      <w:r w:rsidRPr="00130899">
        <w:rPr>
          <w:noProof/>
        </w:rPr>
        <w:t xml:space="preserve">Член 12 </w:t>
      </w:r>
      <w:r w:rsidRPr="00130899">
        <w:rPr>
          <w:noProof/>
        </w:rPr>
        <w:cr/>
      </w:r>
      <w:r w:rsidRPr="00130899">
        <w:rPr>
          <w:noProof/>
        </w:rPr>
        <w:br/>
      </w:r>
      <w:r w:rsidRPr="00130899">
        <w:rPr>
          <w:b/>
          <w:i w:val="0"/>
          <w:noProof/>
        </w:rPr>
        <w:t>Система за данъчно облекчение при източника</w:t>
      </w:r>
    </w:p>
    <w:p w14:paraId="73DA9E3D" w14:textId="77777777" w:rsidR="001956AF" w:rsidRPr="00130899" w:rsidRDefault="00AC23A2" w:rsidP="004D12F8">
      <w:pPr>
        <w:rPr>
          <w:noProof/>
        </w:rPr>
      </w:pPr>
      <w:r w:rsidRPr="00130899">
        <w:rPr>
          <w:noProof/>
        </w:rPr>
        <w:t xml:space="preserve">Държавите членки могат да разрешат на </w:t>
      </w:r>
      <w:bookmarkStart w:id="7" w:name="_Hlk133000417"/>
      <w:r w:rsidRPr="00130899">
        <w:rPr>
          <w:noProof/>
        </w:rPr>
        <w:t>сертифицираните финансови посредници, които поддържат инвестиционна сметка на регистриран собственик, да поискат</w:t>
      </w:r>
      <w:bookmarkEnd w:id="7"/>
      <w:r w:rsidRPr="00130899">
        <w:rPr>
          <w:noProof/>
        </w:rPr>
        <w:t xml:space="preserve"> данъчно облекчение при източника от името на регистриран собственик в съответствие с член 10, като предоставят на агента по данъка, удържан при източника, следната информация:</w:t>
      </w:r>
    </w:p>
    <w:p w14:paraId="24F59262" w14:textId="1F3CE605" w:rsidR="001956AF" w:rsidRPr="00130899" w:rsidRDefault="00585249" w:rsidP="00585249">
      <w:pPr>
        <w:pStyle w:val="Point0"/>
        <w:rPr>
          <w:noProof/>
        </w:rPr>
      </w:pPr>
      <w:r>
        <w:rPr>
          <w:noProof/>
        </w:rPr>
        <w:t>а)</w:t>
      </w:r>
      <w:r>
        <w:rPr>
          <w:noProof/>
        </w:rPr>
        <w:tab/>
      </w:r>
      <w:r w:rsidR="00CC5F96" w:rsidRPr="00130899">
        <w:rPr>
          <w:noProof/>
        </w:rPr>
        <w:t>статута на регистрирания собственик като местно лице за данъчни цели; и</w:t>
      </w:r>
    </w:p>
    <w:p w14:paraId="7BFD75C4" w14:textId="5BD96066" w:rsidR="001956AF" w:rsidRPr="00130899" w:rsidRDefault="00585249" w:rsidP="00585249">
      <w:pPr>
        <w:pStyle w:val="Point0"/>
        <w:rPr>
          <w:noProof/>
        </w:rPr>
      </w:pPr>
      <w:r>
        <w:rPr>
          <w:noProof/>
        </w:rPr>
        <w:t>б)</w:t>
      </w:r>
      <w:r>
        <w:rPr>
          <w:noProof/>
        </w:rPr>
        <w:tab/>
      </w:r>
      <w:r w:rsidR="00CC5F96" w:rsidRPr="00130899">
        <w:rPr>
          <w:noProof/>
        </w:rPr>
        <w:t xml:space="preserve">приложимата ставка на данъка, удържан при източника, върху плащането в съответствие със спогодба за избягване на двойното данъчно облагане или специфично национално законодателство. </w:t>
      </w:r>
    </w:p>
    <w:p w14:paraId="459BDAF0" w14:textId="77777777" w:rsidR="001956AF" w:rsidRPr="00130899" w:rsidRDefault="001956AF" w:rsidP="008010FF">
      <w:pPr>
        <w:pStyle w:val="Titrearticle"/>
        <w:rPr>
          <w:b/>
          <w:i w:val="0"/>
          <w:noProof/>
        </w:rPr>
      </w:pPr>
      <w:r w:rsidRPr="00130899">
        <w:rPr>
          <w:noProof/>
        </w:rPr>
        <w:t xml:space="preserve">Член 13 </w:t>
      </w:r>
      <w:r w:rsidRPr="00130899">
        <w:rPr>
          <w:noProof/>
        </w:rPr>
        <w:cr/>
      </w:r>
      <w:r w:rsidRPr="00130899">
        <w:rPr>
          <w:noProof/>
        </w:rPr>
        <w:br/>
      </w:r>
      <w:r w:rsidRPr="00130899">
        <w:rPr>
          <w:b/>
          <w:i w:val="0"/>
          <w:noProof/>
        </w:rPr>
        <w:t>Система за бързо възстановяване</w:t>
      </w:r>
    </w:p>
    <w:p w14:paraId="072AF10C" w14:textId="0895530E" w:rsidR="001956AF" w:rsidRPr="00130899" w:rsidRDefault="00CF0B91" w:rsidP="00CF0B91">
      <w:pPr>
        <w:pStyle w:val="ManualNumPar1"/>
        <w:rPr>
          <w:noProof/>
        </w:rPr>
      </w:pPr>
      <w:r w:rsidRPr="00CF0B91">
        <w:t>1.</w:t>
      </w:r>
      <w:r w:rsidRPr="00CF0B91">
        <w:tab/>
      </w:r>
      <w:r w:rsidR="001F36D2" w:rsidRPr="00130899">
        <w:rPr>
          <w:noProof/>
        </w:rPr>
        <w:t>Държавите членки могат да разрешат на сертифицираните финансови посредници, които поддържат инвестиционна сметка на регистриран собственик, да поискат от името на този регистриран собственик бързо възстановяване на надвзетия данък при източника в съответствие с член 10, ако информацията, посочена в параграф 3 от настоящия член, е предоставена във възможно най-кратък срок след датата на плащането и най-късно в рамките на 25 календарни дни от датата на изплащане на дивидента или лихвата.</w:t>
      </w:r>
    </w:p>
    <w:p w14:paraId="156E1442" w14:textId="5CE64296" w:rsidR="00C53616" w:rsidRPr="00130899" w:rsidRDefault="00CF0B91" w:rsidP="00CF0B91">
      <w:pPr>
        <w:pStyle w:val="ManualNumPar1"/>
        <w:rPr>
          <w:noProof/>
        </w:rPr>
      </w:pPr>
      <w:r w:rsidRPr="00CF0B91">
        <w:t>2.</w:t>
      </w:r>
      <w:r w:rsidRPr="00CF0B91">
        <w:tab/>
      </w:r>
      <w:r w:rsidR="001F36D2" w:rsidRPr="00130899">
        <w:rPr>
          <w:noProof/>
        </w:rPr>
        <w:t>Държавите членки обработват искане за възстановяване, представено в съответствие с параграф 1, в срок от 25 календарни дни от датата на искането или от датата, на която всички съответни сертифицирани финансови посредници са изпълнили задълженията си за предоставяне на информация съгласно настоящата директива, в зависимост от това коя от двете дати е по-късна. Държавите членки прилагат лихва в съответствие с член 14 върху сумата на това възстановяване за всеки ден на забава след 25</w:t>
      </w:r>
      <w:r w:rsidR="001F36D2" w:rsidRPr="00130899">
        <w:rPr>
          <w:noProof/>
          <w:vertAlign w:val="superscript"/>
        </w:rPr>
        <w:t>-ия</w:t>
      </w:r>
      <w:r w:rsidR="001F36D2" w:rsidRPr="00130899">
        <w:rPr>
          <w:noProof/>
        </w:rPr>
        <w:t xml:space="preserve"> ден.</w:t>
      </w:r>
    </w:p>
    <w:p w14:paraId="3B0BD29D" w14:textId="518B025B" w:rsidR="001956AF" w:rsidRPr="00130899" w:rsidRDefault="00CF0B91" w:rsidP="00CF0B91">
      <w:pPr>
        <w:pStyle w:val="ManualNumPar1"/>
        <w:rPr>
          <w:noProof/>
        </w:rPr>
      </w:pPr>
      <w:r w:rsidRPr="00CF0B91">
        <w:t>3.</w:t>
      </w:r>
      <w:r w:rsidRPr="00CF0B91">
        <w:tab/>
      </w:r>
      <w:r w:rsidR="00AC23A2" w:rsidRPr="00130899">
        <w:rPr>
          <w:noProof/>
        </w:rPr>
        <w:t>Сертифицираният финансов посредник, който иска бързо възстановяване, предоставя на съответната държава членка следната информация:</w:t>
      </w:r>
    </w:p>
    <w:p w14:paraId="4F9B9213" w14:textId="2F76DA4A" w:rsidR="001F36D2" w:rsidRPr="00130899" w:rsidRDefault="00585249" w:rsidP="00585249">
      <w:pPr>
        <w:pStyle w:val="Point1"/>
        <w:rPr>
          <w:noProof/>
        </w:rPr>
      </w:pPr>
      <w:r>
        <w:rPr>
          <w:noProof/>
        </w:rPr>
        <w:t>а)</w:t>
      </w:r>
      <w:r>
        <w:rPr>
          <w:noProof/>
        </w:rPr>
        <w:tab/>
      </w:r>
      <w:r w:rsidR="003E7F0F" w:rsidRPr="00130899">
        <w:rPr>
          <w:noProof/>
        </w:rPr>
        <w:t>идентификационни данни за плащането на дивиденти или лихви, както е посочено в приложение II, раздел Б;</w:t>
      </w:r>
    </w:p>
    <w:p w14:paraId="1E3FAFDB" w14:textId="02E5FBDD" w:rsidR="001F36D2" w:rsidRPr="00130899" w:rsidRDefault="00585249" w:rsidP="00585249">
      <w:pPr>
        <w:pStyle w:val="Point1"/>
        <w:rPr>
          <w:noProof/>
        </w:rPr>
      </w:pPr>
      <w:r>
        <w:rPr>
          <w:noProof/>
        </w:rPr>
        <w:t>б)</w:t>
      </w:r>
      <w:r>
        <w:rPr>
          <w:noProof/>
        </w:rPr>
        <w:tab/>
      </w:r>
      <w:r w:rsidR="003E7F0F" w:rsidRPr="00130899">
        <w:rPr>
          <w:noProof/>
        </w:rPr>
        <w:t>правното основание за приложимата ставка на данъка, удържан при източника, и общата сума на надвзетия данък, който трябва да бъде възстановен;</w:t>
      </w:r>
    </w:p>
    <w:p w14:paraId="0C4A2CF1" w14:textId="106F2CFD" w:rsidR="00AC23A2" w:rsidRPr="00130899" w:rsidRDefault="00585249" w:rsidP="00585249">
      <w:pPr>
        <w:pStyle w:val="Point1"/>
        <w:rPr>
          <w:noProof/>
        </w:rPr>
      </w:pPr>
      <w:r>
        <w:rPr>
          <w:noProof/>
        </w:rPr>
        <w:t>в)</w:t>
      </w:r>
      <w:r>
        <w:rPr>
          <w:noProof/>
        </w:rPr>
        <w:tab/>
      </w:r>
      <w:r w:rsidR="00B36ECF" w:rsidRPr="00130899">
        <w:rPr>
          <w:noProof/>
        </w:rPr>
        <w:t>статута на регистрирания собственик като местно лице за данъчни цели;</w:t>
      </w:r>
    </w:p>
    <w:p w14:paraId="14AADEDD" w14:textId="3CB8349A" w:rsidR="001F36D2" w:rsidRPr="00130899" w:rsidRDefault="00585249" w:rsidP="00585249">
      <w:pPr>
        <w:pStyle w:val="Point1"/>
        <w:rPr>
          <w:noProof/>
        </w:rPr>
      </w:pPr>
      <w:r>
        <w:rPr>
          <w:noProof/>
        </w:rPr>
        <w:t>г)</w:t>
      </w:r>
      <w:r>
        <w:rPr>
          <w:noProof/>
        </w:rPr>
        <w:tab/>
      </w:r>
      <w:r w:rsidR="003E7F0F" w:rsidRPr="00130899">
        <w:rPr>
          <w:noProof/>
        </w:rPr>
        <w:t>декларацията на регистрирания собственик в съответствие с член 11.</w:t>
      </w:r>
    </w:p>
    <w:p w14:paraId="7A34786F" w14:textId="5E2521B5" w:rsidR="003B7A50" w:rsidRPr="00130899" w:rsidRDefault="00CF0B91" w:rsidP="00CF0B91">
      <w:pPr>
        <w:pStyle w:val="ManualNumPar1"/>
        <w:rPr>
          <w:noProof/>
        </w:rPr>
      </w:pPr>
      <w:r w:rsidRPr="00CF0B91">
        <w:t>4.</w:t>
      </w:r>
      <w:r w:rsidRPr="00CF0B91">
        <w:tab/>
      </w:r>
      <w:r w:rsidR="003B7A50" w:rsidRPr="00130899">
        <w:rPr>
          <w:noProof/>
        </w:rPr>
        <w:t xml:space="preserve">Комисията приема актове за изпълнение за определяне на стандартни компютъризирани формуляри, включително езиковия режим, и изискванията </w:t>
      </w:r>
      <w:r w:rsidR="003B7A50" w:rsidRPr="00130899">
        <w:rPr>
          <w:noProof/>
        </w:rPr>
        <w:lastRenderedPageBreak/>
        <w:t>относно каналите за комуникация при подаването на искания съгласно настоящия член. Тези актове за изпълнение се приемат в съответствие с процедурата по разглеждане, посочена в член 18.</w:t>
      </w:r>
    </w:p>
    <w:p w14:paraId="49FD2459" w14:textId="77777777" w:rsidR="001956AF" w:rsidRPr="00130899" w:rsidRDefault="001956AF" w:rsidP="000E37A2">
      <w:pPr>
        <w:pStyle w:val="Titrearticle"/>
        <w:rPr>
          <w:b/>
          <w:i w:val="0"/>
          <w:noProof/>
        </w:rPr>
      </w:pPr>
      <w:r w:rsidRPr="00130899">
        <w:rPr>
          <w:noProof/>
        </w:rPr>
        <w:t xml:space="preserve">Член 14 </w:t>
      </w:r>
      <w:r w:rsidRPr="00130899">
        <w:rPr>
          <w:noProof/>
        </w:rPr>
        <w:cr/>
      </w:r>
      <w:r w:rsidRPr="00130899">
        <w:rPr>
          <w:noProof/>
        </w:rPr>
        <w:br/>
      </w:r>
      <w:r w:rsidRPr="00130899">
        <w:rPr>
          <w:b/>
          <w:i w:val="0"/>
          <w:noProof/>
        </w:rPr>
        <w:t>Лихви за забава</w:t>
      </w:r>
    </w:p>
    <w:p w14:paraId="0F684513" w14:textId="77777777" w:rsidR="001956AF" w:rsidRPr="00130899" w:rsidRDefault="004A0A00" w:rsidP="004D12F8">
      <w:pPr>
        <w:rPr>
          <w:noProof/>
        </w:rPr>
      </w:pPr>
      <w:r w:rsidRPr="00130899">
        <w:rPr>
          <w:noProof/>
        </w:rPr>
        <w:t xml:space="preserve">Държавите членки прилагат лихва в съответствие с член 13, параграф 2 в размер, равен на лихвата или еквивалентната такса, прилагана от държавата членка за забавени плащания на данък върху дохода от регистрирани собственици, или, ако националното законодателство на държавите членки не включва такава разпоредба, в размер на индекса на лихвените проценти по краткосрочни депозити в евро плюс 50 базисни пункта или еквивалентния лихвен процент, използван от тяхната централна банка, плюс 50 базисни пункта, ако те не са част от европейския валутен механизъм. </w:t>
      </w:r>
    </w:p>
    <w:p w14:paraId="2E2E9C1B" w14:textId="77777777" w:rsidR="001956AF" w:rsidRPr="00130899" w:rsidRDefault="001956AF" w:rsidP="000E37A2">
      <w:pPr>
        <w:pStyle w:val="Titrearticle"/>
        <w:rPr>
          <w:b/>
          <w:i w:val="0"/>
          <w:noProof/>
        </w:rPr>
      </w:pPr>
      <w:r w:rsidRPr="00130899">
        <w:rPr>
          <w:noProof/>
        </w:rPr>
        <w:t xml:space="preserve">Член 15 </w:t>
      </w:r>
      <w:r w:rsidRPr="00130899">
        <w:rPr>
          <w:noProof/>
        </w:rPr>
        <w:cr/>
      </w:r>
      <w:r w:rsidRPr="00130899">
        <w:rPr>
          <w:noProof/>
        </w:rPr>
        <w:br/>
      </w:r>
      <w:r w:rsidRPr="00130899">
        <w:rPr>
          <w:b/>
          <w:i w:val="0"/>
          <w:noProof/>
        </w:rPr>
        <w:t>Стандартна система за възстановяване</w:t>
      </w:r>
    </w:p>
    <w:p w14:paraId="4D27861C" w14:textId="30477198" w:rsidR="001956AF" w:rsidRPr="00130899" w:rsidRDefault="004A0A00" w:rsidP="000E37A2">
      <w:pPr>
        <w:rPr>
          <w:noProof/>
        </w:rPr>
      </w:pPr>
      <w:r w:rsidRPr="00130899">
        <w:rPr>
          <w:noProof/>
        </w:rPr>
        <w:t xml:space="preserve">Държавите членки приемат подходящи мерки, за да гарантират, че в случаите, когато член 12 и член 13 не се прилагат за дивиденти, тъй като не са изпълнени условията на настоящата директива, регистрираният собственик или неговият упълномощен представител, който иска възстановяване на надвзетия данък при източника върху такива дивиденти, предоставя най-малко информацията, изисквана съгласно приложение II, раздел Д, освен ако общият размер на дивидентите, изплатени на регистрирания собственик от дяловото му участие в дадено дружество, не надвишава 1000 EUR и освен ако тази информация не е вече предоставена в съответствие със задълженията по член 9. </w:t>
      </w:r>
    </w:p>
    <w:p w14:paraId="0050B2E6" w14:textId="77777777" w:rsidR="000E37A2" w:rsidRPr="00130899" w:rsidRDefault="001956AF" w:rsidP="000E37A2">
      <w:pPr>
        <w:pStyle w:val="Titrearticle"/>
        <w:rPr>
          <w:b/>
          <w:i w:val="0"/>
          <w:noProof/>
        </w:rPr>
      </w:pPr>
      <w:r w:rsidRPr="00130899">
        <w:rPr>
          <w:noProof/>
        </w:rPr>
        <w:t xml:space="preserve">Член 16 </w:t>
      </w:r>
      <w:r w:rsidRPr="00130899">
        <w:rPr>
          <w:noProof/>
        </w:rPr>
        <w:cr/>
      </w:r>
      <w:r w:rsidRPr="00130899">
        <w:rPr>
          <w:noProof/>
        </w:rPr>
        <w:br/>
      </w:r>
      <w:r w:rsidRPr="00130899">
        <w:rPr>
          <w:b/>
          <w:i w:val="0"/>
          <w:noProof/>
        </w:rPr>
        <w:t>Гражданска отговорност</w:t>
      </w:r>
    </w:p>
    <w:p w14:paraId="32EBC30C" w14:textId="77777777" w:rsidR="00C86220" w:rsidRPr="00130899" w:rsidRDefault="00C86220" w:rsidP="004D12F8">
      <w:pPr>
        <w:rPr>
          <w:noProof/>
        </w:rPr>
      </w:pPr>
      <w:r w:rsidRPr="00130899">
        <w:rPr>
          <w:noProof/>
        </w:rPr>
        <w:t>Държавите членки предприемат подходящи мерки, за да гарантират, че ако даден сертифициран финансов посредник не изпълни, умишлено или поради небрежност, задълженията си по членове 9, 10, 11, 12 и 13, сертифицираният финансов посредник може да бъде подведен под отговорност за цялата или част от загубата на приходи от данък при източника, понесена от държавата членка във връзка с искане по член 12 или член 13.</w:t>
      </w:r>
    </w:p>
    <w:p w14:paraId="19A6849F" w14:textId="77777777" w:rsidR="00091220" w:rsidRPr="00130899" w:rsidRDefault="00091220" w:rsidP="00091220">
      <w:pPr>
        <w:pStyle w:val="Titrearticle"/>
        <w:rPr>
          <w:b/>
          <w:i w:val="0"/>
          <w:noProof/>
        </w:rPr>
      </w:pPr>
      <w:r w:rsidRPr="00130899">
        <w:rPr>
          <w:noProof/>
        </w:rPr>
        <w:t xml:space="preserve">Член 17 </w:t>
      </w:r>
      <w:r w:rsidRPr="00130899">
        <w:rPr>
          <w:noProof/>
        </w:rPr>
        <w:cr/>
      </w:r>
      <w:r w:rsidRPr="00130899">
        <w:rPr>
          <w:noProof/>
        </w:rPr>
        <w:br/>
      </w:r>
      <w:r w:rsidRPr="00130899">
        <w:rPr>
          <w:b/>
          <w:i w:val="0"/>
          <w:noProof/>
        </w:rPr>
        <w:t>Санкции</w:t>
      </w:r>
    </w:p>
    <w:p w14:paraId="243A80C9" w14:textId="33D06520" w:rsidR="001956AF" w:rsidRPr="00130899" w:rsidRDefault="001956AF" w:rsidP="004D12F8">
      <w:pPr>
        <w:rPr>
          <w:noProof/>
        </w:rPr>
      </w:pPr>
      <w:r w:rsidRPr="00130899">
        <w:rPr>
          <w:noProof/>
        </w:rPr>
        <w:t>Държавите членки установяват система от санкции, приложими при нарушение на национални разпоредби, приети по силата на настоящата директива, и вземат всички мерки, необходими за осигуряване на прилагането им. Тези санкции са ефективни, пропорционални и възпиращи.</w:t>
      </w:r>
    </w:p>
    <w:p w14:paraId="736B5B42" w14:textId="77777777" w:rsidR="004D12F8" w:rsidRPr="00130899" w:rsidRDefault="004D12F8" w:rsidP="004D12F8">
      <w:pPr>
        <w:rPr>
          <w:noProof/>
        </w:rPr>
      </w:pPr>
    </w:p>
    <w:p w14:paraId="7898F4AD" w14:textId="77777777" w:rsidR="001956AF" w:rsidRPr="00130899" w:rsidRDefault="001956AF" w:rsidP="00680737">
      <w:pPr>
        <w:jc w:val="center"/>
        <w:rPr>
          <w:b/>
          <w:i/>
          <w:noProof/>
        </w:rPr>
      </w:pPr>
      <w:r w:rsidRPr="00130899">
        <w:rPr>
          <w:b/>
          <w:noProof/>
        </w:rPr>
        <w:t>ГЛАВА IV</w:t>
      </w:r>
    </w:p>
    <w:p w14:paraId="1EEF7AE0" w14:textId="77777777" w:rsidR="001956AF" w:rsidRPr="00130899" w:rsidRDefault="001956AF" w:rsidP="001956AF">
      <w:pPr>
        <w:jc w:val="center"/>
        <w:rPr>
          <w:b/>
          <w:noProof/>
        </w:rPr>
      </w:pPr>
      <w:r w:rsidRPr="00130899">
        <w:rPr>
          <w:b/>
          <w:noProof/>
        </w:rPr>
        <w:lastRenderedPageBreak/>
        <w:t>ЗАКЛЮЧИТЕЛНИ РАЗПОРЕДБИ</w:t>
      </w:r>
    </w:p>
    <w:p w14:paraId="644997BF" w14:textId="77777777" w:rsidR="001956AF" w:rsidRPr="00130899" w:rsidRDefault="001956AF" w:rsidP="00680737">
      <w:pPr>
        <w:pStyle w:val="Titrearticle"/>
        <w:rPr>
          <w:b/>
          <w:i w:val="0"/>
          <w:noProof/>
        </w:rPr>
      </w:pPr>
      <w:r w:rsidRPr="00130899">
        <w:rPr>
          <w:noProof/>
        </w:rPr>
        <w:t xml:space="preserve">Член 18 </w:t>
      </w:r>
      <w:r w:rsidRPr="00130899">
        <w:rPr>
          <w:noProof/>
        </w:rPr>
        <w:cr/>
      </w:r>
      <w:r w:rsidRPr="00130899">
        <w:rPr>
          <w:noProof/>
        </w:rPr>
        <w:br/>
      </w:r>
      <w:r w:rsidRPr="00130899">
        <w:rPr>
          <w:b/>
          <w:i w:val="0"/>
          <w:noProof/>
        </w:rPr>
        <w:t>Процедура на комитет</w:t>
      </w:r>
    </w:p>
    <w:p w14:paraId="764F7950" w14:textId="59F9C5C6" w:rsidR="001956AF" w:rsidRPr="00130899" w:rsidDel="002C0103" w:rsidRDefault="00CF0B91" w:rsidP="00CF0B91">
      <w:pPr>
        <w:pStyle w:val="ManualNumPar1"/>
        <w:rPr>
          <w:noProof/>
        </w:rPr>
      </w:pPr>
      <w:r w:rsidRPr="00CF0B91">
        <w:t>1.</w:t>
      </w:r>
      <w:r w:rsidRPr="00CF0B91">
        <w:tab/>
      </w:r>
      <w:r w:rsidR="00115ED7" w:rsidRPr="00130899">
        <w:rPr>
          <w:noProof/>
        </w:rPr>
        <w:t>Комисията се подпомага от комитет. Този комитет е комитет по смисъла на Регламент (ЕС) № 182/2011</w:t>
      </w:r>
      <w:r w:rsidR="00115ED7" w:rsidRPr="00130899">
        <w:rPr>
          <w:rStyle w:val="FootnoteReference"/>
          <w:noProof/>
        </w:rPr>
        <w:footnoteReference w:id="45"/>
      </w:r>
      <w:r w:rsidR="00115ED7" w:rsidRPr="00130899">
        <w:rPr>
          <w:noProof/>
        </w:rPr>
        <w:t>.</w:t>
      </w:r>
    </w:p>
    <w:p w14:paraId="61EDE6B9" w14:textId="21411CC7" w:rsidR="001956AF" w:rsidRPr="00130899" w:rsidDel="002C0103" w:rsidRDefault="00CF0B91" w:rsidP="00CF0B91">
      <w:pPr>
        <w:pStyle w:val="ManualNumPar1"/>
        <w:rPr>
          <w:noProof/>
        </w:rPr>
      </w:pPr>
      <w:r w:rsidRPr="00CF0B91">
        <w:t>2.</w:t>
      </w:r>
      <w:r w:rsidRPr="00CF0B91">
        <w:tab/>
      </w:r>
      <w:r w:rsidR="001F36D2" w:rsidRPr="00130899">
        <w:rPr>
          <w:noProof/>
        </w:rPr>
        <w:t>При позоваване на настоящия параграф се прилага член 5 от Регламент (ЕС) № 182/2011.</w:t>
      </w:r>
    </w:p>
    <w:p w14:paraId="7EB9405D" w14:textId="77777777" w:rsidR="00BB1F33" w:rsidRPr="00130899" w:rsidRDefault="001956AF" w:rsidP="00BB1F33">
      <w:pPr>
        <w:pStyle w:val="Titrearticle"/>
        <w:rPr>
          <w:b/>
          <w:i w:val="0"/>
          <w:noProof/>
        </w:rPr>
      </w:pPr>
      <w:r w:rsidRPr="00130899">
        <w:rPr>
          <w:noProof/>
        </w:rPr>
        <w:t xml:space="preserve">Член 19 </w:t>
      </w:r>
      <w:r w:rsidRPr="00130899">
        <w:rPr>
          <w:noProof/>
        </w:rPr>
        <w:cr/>
      </w:r>
      <w:r w:rsidRPr="00130899">
        <w:rPr>
          <w:noProof/>
        </w:rPr>
        <w:br/>
      </w:r>
      <w:r w:rsidRPr="00130899">
        <w:rPr>
          <w:b/>
          <w:i w:val="0"/>
          <w:noProof/>
        </w:rPr>
        <w:t>Оценка</w:t>
      </w:r>
    </w:p>
    <w:p w14:paraId="23E724FA" w14:textId="047540BC" w:rsidR="001956AF" w:rsidRPr="00130899" w:rsidRDefault="00CF0B91" w:rsidP="00CF0B91">
      <w:pPr>
        <w:pStyle w:val="ManualNumPar1"/>
        <w:rPr>
          <w:noProof/>
        </w:rPr>
      </w:pPr>
      <w:r w:rsidRPr="00CF0B91">
        <w:t>1.</w:t>
      </w:r>
      <w:r w:rsidRPr="00CF0B91">
        <w:tab/>
      </w:r>
      <w:r w:rsidR="001956AF" w:rsidRPr="00130899">
        <w:rPr>
          <w:noProof/>
        </w:rPr>
        <w:t>След влизането в сила на националните правила, с които се транспонира директивата, Комисията разглежда и оценява функционирането на настоящата директива на всеки 5 години. До декември 2031 г., а след това на всеки 5 години, на Европейския парламент и на Съвета се представя доклад за оценка на директивата, включително за евентуалната необходимост от изменение на конкретни нейни разпоредби.</w:t>
      </w:r>
    </w:p>
    <w:p w14:paraId="75824197" w14:textId="566F3C9D" w:rsidR="001956AF" w:rsidRPr="00130899" w:rsidRDefault="00CF0B91" w:rsidP="00CF0B91">
      <w:pPr>
        <w:pStyle w:val="ManualNumPar1"/>
        <w:rPr>
          <w:noProof/>
        </w:rPr>
      </w:pPr>
      <w:r w:rsidRPr="00CF0B91">
        <w:t>2.</w:t>
      </w:r>
      <w:r w:rsidRPr="00CF0B91">
        <w:tab/>
      </w:r>
      <w:r w:rsidR="001956AF" w:rsidRPr="00130899">
        <w:rPr>
          <w:noProof/>
        </w:rPr>
        <w:t xml:space="preserve">Държавите членки съобщават на Комисията информацията от значение за оценката на директивата с оглед подобряването на процедурите за данъчни облекчения за данъка, удържан при източника, с цел намаляване на двойното данъчно облагане и борбата с данъчните злоупотреби, в съответствие с параграф 3. </w:t>
      </w:r>
    </w:p>
    <w:p w14:paraId="211B3598" w14:textId="25B972A0" w:rsidR="001956AF" w:rsidRPr="00130899" w:rsidRDefault="00CF0B91" w:rsidP="00CF0B91">
      <w:pPr>
        <w:pStyle w:val="ManualNumPar1"/>
        <w:rPr>
          <w:noProof/>
        </w:rPr>
      </w:pPr>
      <w:r w:rsidRPr="00CF0B91">
        <w:t>3.</w:t>
      </w:r>
      <w:r w:rsidRPr="00CF0B91">
        <w:tab/>
      </w:r>
      <w:r w:rsidR="001956AF" w:rsidRPr="00130899">
        <w:rPr>
          <w:noProof/>
        </w:rPr>
        <w:t xml:space="preserve">Чрез актове за изпълнение Комисията определя информацията, която трябва да бъде предоставена от държавите членки за целите на оценката, както и форма̀та и условията за предаване на тази информация. </w:t>
      </w:r>
    </w:p>
    <w:p w14:paraId="2BE3C5E3" w14:textId="2AA56250" w:rsidR="001956AF" w:rsidRPr="00130899" w:rsidRDefault="00CF0B91" w:rsidP="00CF0B91">
      <w:pPr>
        <w:pStyle w:val="ManualNumPar1"/>
        <w:rPr>
          <w:noProof/>
        </w:rPr>
      </w:pPr>
      <w:r w:rsidRPr="00CF0B91">
        <w:t>4.</w:t>
      </w:r>
      <w:r w:rsidRPr="00CF0B91">
        <w:tab/>
      </w:r>
      <w:r w:rsidR="001956AF" w:rsidRPr="00130899">
        <w:rPr>
          <w:noProof/>
        </w:rPr>
        <w:t xml:space="preserve">Информацията, съобщена на Комисията съгласно параграф 2, се третира от Комисията като поверителна в съответствие с разпоредбите, приложими за институциите на Съюза. </w:t>
      </w:r>
    </w:p>
    <w:p w14:paraId="5C2B5BBF" w14:textId="69C44C06" w:rsidR="001956AF" w:rsidRPr="00130899" w:rsidRDefault="00CF0B91" w:rsidP="00CF0B91">
      <w:pPr>
        <w:pStyle w:val="ManualNumPar1"/>
        <w:rPr>
          <w:noProof/>
        </w:rPr>
      </w:pPr>
      <w:r w:rsidRPr="00CF0B91">
        <w:t>5.</w:t>
      </w:r>
      <w:r w:rsidRPr="00CF0B91">
        <w:tab/>
      </w:r>
      <w:r w:rsidR="001956AF" w:rsidRPr="00130899">
        <w:rPr>
          <w:noProof/>
        </w:rPr>
        <w:t xml:space="preserve">Информацията, съобщена на Комисията от държава членка съгласно параграф 2, както и всички доклади или документи, изготвени от Комисията въз основа на тази информация, могат да бъдат предавани на останалите държави членки. Предаваната информация представлява служебна тайна и е защитена по същия начин, както подобна информация съгласно националното право на държавата членка, която я е получила. </w:t>
      </w:r>
    </w:p>
    <w:p w14:paraId="066B96C4" w14:textId="77777777" w:rsidR="00A30556" w:rsidRPr="00130899" w:rsidRDefault="00A30556" w:rsidP="00A30556">
      <w:pPr>
        <w:pStyle w:val="Titrearticle"/>
        <w:rPr>
          <w:b/>
          <w:i w:val="0"/>
          <w:noProof/>
        </w:rPr>
      </w:pPr>
      <w:r w:rsidRPr="00130899">
        <w:rPr>
          <w:noProof/>
        </w:rPr>
        <w:lastRenderedPageBreak/>
        <w:t xml:space="preserve">Член 20 </w:t>
      </w:r>
      <w:r w:rsidRPr="00130899">
        <w:rPr>
          <w:noProof/>
        </w:rPr>
        <w:cr/>
      </w:r>
      <w:r w:rsidRPr="00130899">
        <w:rPr>
          <w:noProof/>
        </w:rPr>
        <w:br/>
      </w:r>
      <w:r w:rsidRPr="00130899">
        <w:rPr>
          <w:b/>
          <w:i w:val="0"/>
          <w:noProof/>
        </w:rPr>
        <w:t>Защита на личните данни</w:t>
      </w:r>
    </w:p>
    <w:p w14:paraId="688391A7" w14:textId="4E107E26" w:rsidR="00E85A28" w:rsidRPr="00130899" w:rsidRDefault="00CF0B91" w:rsidP="00CF0B91">
      <w:pPr>
        <w:pStyle w:val="ManualNumPar1"/>
        <w:rPr>
          <w:noProof/>
        </w:rPr>
      </w:pPr>
      <w:bookmarkStart w:id="9" w:name="_Hlk135840988"/>
      <w:r w:rsidRPr="00CF0B91">
        <w:t>1.</w:t>
      </w:r>
      <w:r w:rsidRPr="00CF0B91">
        <w:tab/>
      </w:r>
      <w:r w:rsidR="00E85A28" w:rsidRPr="00130899">
        <w:rPr>
          <w:noProof/>
        </w:rPr>
        <w:t>Държавите членки ограничават правата на субектите на данни съгласно членове 15—19 от Регламент (ЕС) 2016/679 на Европейския парламент и на Съвета</w:t>
      </w:r>
      <w:r w:rsidR="00E85A28" w:rsidRPr="00130899">
        <w:rPr>
          <w:rStyle w:val="FootnoteReference"/>
          <w:noProof/>
        </w:rPr>
        <w:footnoteReference w:id="46"/>
      </w:r>
      <w:r w:rsidR="00E85A28" w:rsidRPr="00130899">
        <w:rPr>
          <w:noProof/>
        </w:rPr>
        <w:t xml:space="preserve"> само до степента и само докато това е строго необходимо за техните компетентни органи за намаляване на риска от данъчни измами, отклонение от данъчно облагане или избягване на данъци в държавите членки, по-специално като проверяват дали се прилага правилната ставка на данъка, удържан при източника, за регистрирания собственик или като проверяват дали регистрираният собственик получава своевременно данъчното облекчение, ако има такова право.</w:t>
      </w:r>
      <w:bookmarkEnd w:id="9"/>
    </w:p>
    <w:p w14:paraId="1A779334" w14:textId="29557259" w:rsidR="00E85A28" w:rsidRPr="00130899" w:rsidRDefault="00CF0B91" w:rsidP="00CF0B91">
      <w:pPr>
        <w:pStyle w:val="ManualNumPar1"/>
        <w:rPr>
          <w:noProof/>
        </w:rPr>
      </w:pPr>
      <w:r w:rsidRPr="00CF0B91">
        <w:t>2.</w:t>
      </w:r>
      <w:r w:rsidRPr="00CF0B91">
        <w:tab/>
      </w:r>
      <w:r w:rsidR="00E85A28" w:rsidRPr="00130899">
        <w:rPr>
          <w:noProof/>
        </w:rPr>
        <w:t xml:space="preserve">Когато обработват лични данни, сертифицираните финансови посредници и компетентните органи на държавите членки се считат за администратори по смисъла на член 4, точка 7 от Регламент (ЕС) 2016/679 в рамките на съответните им дейности съгласно настоящата директива. </w:t>
      </w:r>
    </w:p>
    <w:p w14:paraId="7856FC11" w14:textId="20F9C709" w:rsidR="00E85A28" w:rsidRPr="00130899" w:rsidRDefault="00CF0B91" w:rsidP="00CF0B91">
      <w:pPr>
        <w:pStyle w:val="ManualNumPar1"/>
        <w:rPr>
          <w:noProof/>
        </w:rPr>
      </w:pPr>
      <w:r w:rsidRPr="00CF0B91">
        <w:t>3.</w:t>
      </w:r>
      <w:r w:rsidRPr="00CF0B91">
        <w:tab/>
      </w:r>
      <w:r w:rsidR="00E85A28" w:rsidRPr="00130899">
        <w:rPr>
          <w:noProof/>
        </w:rPr>
        <w:t>Информацията, включително личните данни, които се обработват в съответствие с настоящата директива, се съхранява само толкова дълго, колкото е необходимо за постигане на целите на настоящата директива, в съответствие с националните правила на всеки администратор на лични данни относно давностните срокове, но във всички случаи не повече от 10 години.</w:t>
      </w:r>
    </w:p>
    <w:p w14:paraId="3C1111A3" w14:textId="77777777" w:rsidR="000659D6" w:rsidRPr="00130899" w:rsidRDefault="000659D6" w:rsidP="000659D6">
      <w:pPr>
        <w:pStyle w:val="Titrearticle"/>
        <w:rPr>
          <w:b/>
          <w:i w:val="0"/>
          <w:noProof/>
        </w:rPr>
      </w:pPr>
      <w:r w:rsidRPr="00130899">
        <w:rPr>
          <w:noProof/>
        </w:rPr>
        <w:t xml:space="preserve">Член 21 </w:t>
      </w:r>
      <w:r w:rsidRPr="00130899">
        <w:rPr>
          <w:noProof/>
        </w:rPr>
        <w:cr/>
      </w:r>
      <w:r w:rsidRPr="00130899">
        <w:rPr>
          <w:noProof/>
        </w:rPr>
        <w:br/>
      </w:r>
      <w:r w:rsidRPr="00130899">
        <w:rPr>
          <w:b/>
          <w:i w:val="0"/>
          <w:noProof/>
        </w:rPr>
        <w:t xml:space="preserve">Уведомяване </w:t>
      </w:r>
    </w:p>
    <w:p w14:paraId="75DE5E9F" w14:textId="77777777" w:rsidR="000659D6" w:rsidRPr="00130899" w:rsidRDefault="000659D6" w:rsidP="006126D6">
      <w:pPr>
        <w:rPr>
          <w:noProof/>
        </w:rPr>
      </w:pPr>
      <w:r w:rsidRPr="00130899">
        <w:rPr>
          <w:noProof/>
        </w:rPr>
        <w:t xml:space="preserve">Държава членка, която създава и поддържа национален регистър съгласно член 5, информира Комисията и другите държави членки за това, както и за всички последващи промени в правилата, уреждащи този регистър. Комисията публикува тази информация в </w:t>
      </w:r>
      <w:r w:rsidRPr="00130899">
        <w:rPr>
          <w:i/>
          <w:noProof/>
        </w:rPr>
        <w:t>Официален вестник на Европейския съюз</w:t>
      </w:r>
      <w:r w:rsidRPr="00130899">
        <w:rPr>
          <w:noProof/>
        </w:rPr>
        <w:t xml:space="preserve"> и я актуализира при необходимост.</w:t>
      </w:r>
    </w:p>
    <w:p w14:paraId="6EE0F3BE" w14:textId="77777777" w:rsidR="001956AF" w:rsidRPr="00130899" w:rsidRDefault="001956AF" w:rsidP="00A97BAF">
      <w:pPr>
        <w:pStyle w:val="Titrearticle"/>
        <w:rPr>
          <w:b/>
          <w:i w:val="0"/>
          <w:noProof/>
        </w:rPr>
      </w:pPr>
      <w:r w:rsidRPr="00130899">
        <w:rPr>
          <w:noProof/>
        </w:rPr>
        <w:t xml:space="preserve">Член 22 </w:t>
      </w:r>
      <w:r w:rsidRPr="00130899">
        <w:rPr>
          <w:noProof/>
        </w:rPr>
        <w:cr/>
      </w:r>
      <w:r w:rsidRPr="00130899">
        <w:rPr>
          <w:noProof/>
        </w:rPr>
        <w:br/>
      </w:r>
      <w:r w:rsidRPr="00130899">
        <w:rPr>
          <w:b/>
          <w:i w:val="0"/>
          <w:noProof/>
        </w:rPr>
        <w:t>Транспониране</w:t>
      </w:r>
    </w:p>
    <w:p w14:paraId="46F3B523" w14:textId="4B97FE0B" w:rsidR="001956AF" w:rsidRPr="00130899" w:rsidRDefault="00CF0B91" w:rsidP="00CF0B91">
      <w:pPr>
        <w:pStyle w:val="ManualNumPar1"/>
        <w:rPr>
          <w:noProof/>
        </w:rPr>
      </w:pPr>
      <w:r w:rsidRPr="00CF0B91">
        <w:t>1.</w:t>
      </w:r>
      <w:r w:rsidRPr="00CF0B91">
        <w:tab/>
      </w:r>
      <w:r w:rsidR="001956AF" w:rsidRPr="00130899">
        <w:rPr>
          <w:noProof/>
        </w:rPr>
        <w:t>Държавите членки приемат и публикуват не по-късно от 31 декември 2026 г. законовите, подзаконовите и административните разпоредби, необходими, за да се съобразят с настоящата директива. Те незабавно съобщават на Комисията текста на тези разпоредби.</w:t>
      </w:r>
    </w:p>
    <w:p w14:paraId="0E78D5F6" w14:textId="77777777" w:rsidR="00AE0FCF" w:rsidRPr="00130899" w:rsidRDefault="00AE0FCF" w:rsidP="00E75766">
      <w:pPr>
        <w:pStyle w:val="Text1"/>
        <w:rPr>
          <w:noProof/>
        </w:rPr>
      </w:pPr>
      <w:r w:rsidRPr="00130899">
        <w:rPr>
          <w:noProof/>
        </w:rPr>
        <w:t>Те прилагат тези разпоредби от 1 януари 2027 г.</w:t>
      </w:r>
    </w:p>
    <w:p w14:paraId="4CB4F477" w14:textId="77777777" w:rsidR="001956AF" w:rsidRPr="00130899" w:rsidRDefault="001956AF" w:rsidP="00E75766">
      <w:pPr>
        <w:pStyle w:val="Text1"/>
        <w:rPr>
          <w:noProof/>
        </w:rPr>
      </w:pPr>
      <w:r w:rsidRPr="00130899">
        <w:rPr>
          <w:noProof/>
        </w:rPr>
        <w:t xml:space="preserve">Когато държавите членки приемат тези разпоредби, в тях се съдържа позоваване на настоящата директива или то се извършва при официалното им </w:t>
      </w:r>
      <w:r w:rsidRPr="00130899">
        <w:rPr>
          <w:noProof/>
        </w:rPr>
        <w:lastRenderedPageBreak/>
        <w:t>публикуване. Условията и редът на позоваване се определят от държавите членки.</w:t>
      </w:r>
    </w:p>
    <w:p w14:paraId="5513589D" w14:textId="6C992E74" w:rsidR="001956AF" w:rsidRPr="00130899" w:rsidRDefault="00CF0B91" w:rsidP="00CF0B91">
      <w:pPr>
        <w:pStyle w:val="ManualNumPar1"/>
        <w:rPr>
          <w:noProof/>
        </w:rPr>
      </w:pPr>
      <w:r w:rsidRPr="00CF0B91">
        <w:t>2.</w:t>
      </w:r>
      <w:r w:rsidRPr="00CF0B91">
        <w:tab/>
      </w:r>
      <w:r w:rsidR="001956AF" w:rsidRPr="00130899">
        <w:rPr>
          <w:noProof/>
        </w:rPr>
        <w:t>Държавите членки съобщават на Комисията текста на основните разпоредби от националното законодателство, които те приемат в областта, уредена с настоящата директива.</w:t>
      </w:r>
    </w:p>
    <w:p w14:paraId="623B61A4" w14:textId="77777777" w:rsidR="001956AF" w:rsidRPr="00130899" w:rsidRDefault="001956AF" w:rsidP="00A97BAF">
      <w:pPr>
        <w:pStyle w:val="Titrearticle"/>
        <w:rPr>
          <w:b/>
          <w:i w:val="0"/>
          <w:noProof/>
        </w:rPr>
      </w:pPr>
      <w:r w:rsidRPr="00130899">
        <w:rPr>
          <w:noProof/>
        </w:rPr>
        <w:t xml:space="preserve">Член 23 </w:t>
      </w:r>
      <w:r w:rsidRPr="00130899">
        <w:rPr>
          <w:noProof/>
        </w:rPr>
        <w:cr/>
      </w:r>
      <w:r w:rsidRPr="00130899">
        <w:rPr>
          <w:noProof/>
        </w:rPr>
        <w:br/>
      </w:r>
      <w:r w:rsidRPr="00130899">
        <w:rPr>
          <w:b/>
          <w:i w:val="0"/>
          <w:noProof/>
        </w:rPr>
        <w:t>Влизане в сила</w:t>
      </w:r>
    </w:p>
    <w:p w14:paraId="1B1DABEB" w14:textId="77777777" w:rsidR="001956AF" w:rsidRPr="00130899" w:rsidRDefault="001956AF" w:rsidP="00A97BAF">
      <w:pPr>
        <w:rPr>
          <w:noProof/>
        </w:rPr>
      </w:pPr>
      <w:r w:rsidRPr="00130899">
        <w:rPr>
          <w:noProof/>
        </w:rPr>
        <w:t xml:space="preserve">Настоящата директива влиза в сила на двадесетия ден след деня на публикуването ѝ в </w:t>
      </w:r>
      <w:r w:rsidRPr="00130899">
        <w:rPr>
          <w:i/>
          <w:noProof/>
        </w:rPr>
        <w:t>Официален вестник на Европейския съюз</w:t>
      </w:r>
      <w:r w:rsidRPr="00130899">
        <w:rPr>
          <w:noProof/>
        </w:rPr>
        <w:t>.</w:t>
      </w:r>
    </w:p>
    <w:p w14:paraId="5C5919F4" w14:textId="77777777" w:rsidR="001956AF" w:rsidRPr="00130899" w:rsidRDefault="001956AF" w:rsidP="00A97BAF">
      <w:pPr>
        <w:pStyle w:val="Titrearticle"/>
        <w:rPr>
          <w:noProof/>
        </w:rPr>
      </w:pPr>
      <w:r w:rsidRPr="00130899">
        <w:rPr>
          <w:noProof/>
        </w:rPr>
        <w:t xml:space="preserve">Член 24 </w:t>
      </w:r>
      <w:r w:rsidRPr="00130899">
        <w:rPr>
          <w:noProof/>
        </w:rPr>
        <w:cr/>
      </w:r>
      <w:r w:rsidRPr="00130899">
        <w:rPr>
          <w:noProof/>
        </w:rPr>
        <w:br/>
      </w:r>
      <w:r w:rsidRPr="00130899">
        <w:rPr>
          <w:b/>
          <w:noProof/>
        </w:rPr>
        <w:t>Адресати</w:t>
      </w:r>
    </w:p>
    <w:p w14:paraId="61459FB2" w14:textId="77777777" w:rsidR="001956AF" w:rsidRPr="00130899" w:rsidRDefault="001956AF" w:rsidP="001956AF">
      <w:pPr>
        <w:rPr>
          <w:noProof/>
        </w:rPr>
      </w:pPr>
      <w:r w:rsidRPr="00130899">
        <w:rPr>
          <w:noProof/>
        </w:rPr>
        <w:t>Адресати на настоящата директива са държавите членки.</w:t>
      </w:r>
    </w:p>
    <w:p w14:paraId="470C6BBF" w14:textId="77777777" w:rsidR="001956AF" w:rsidRPr="00130899" w:rsidRDefault="001956AF" w:rsidP="001956AF">
      <w:pPr>
        <w:rPr>
          <w:noProof/>
        </w:rPr>
      </w:pPr>
    </w:p>
    <w:p w14:paraId="428E506F" w14:textId="1B95453C" w:rsidR="001956AF" w:rsidRPr="00130899" w:rsidRDefault="00D86729" w:rsidP="008024E9">
      <w:pPr>
        <w:pStyle w:val="Fait"/>
        <w:rPr>
          <w:noProof/>
        </w:rPr>
      </w:pPr>
      <w:r w:rsidRPr="00D86729">
        <w:t xml:space="preserve">Съставено в Брюксел на </w:t>
      </w:r>
      <w:r w:rsidRPr="00D86729">
        <w:rPr>
          <w:rStyle w:val="Marker"/>
        </w:rPr>
        <w:t>[…]</w:t>
      </w:r>
      <w:r w:rsidRPr="00D86729">
        <w:t xml:space="preserve"> година.</w:t>
      </w:r>
    </w:p>
    <w:p w14:paraId="68B08831" w14:textId="77777777" w:rsidR="001956AF" w:rsidRPr="00130899" w:rsidRDefault="001956AF" w:rsidP="008024E9">
      <w:pPr>
        <w:pStyle w:val="Institutionquisigne"/>
        <w:rPr>
          <w:noProof/>
        </w:rPr>
      </w:pPr>
      <w:r w:rsidRPr="00130899">
        <w:rPr>
          <w:noProof/>
        </w:rPr>
        <w:tab/>
        <w:t>За Съвета</w:t>
      </w:r>
    </w:p>
    <w:p w14:paraId="57659FC8" w14:textId="77777777" w:rsidR="00854600" w:rsidRPr="00130899" w:rsidRDefault="001956AF" w:rsidP="00854600">
      <w:pPr>
        <w:pStyle w:val="Personnequisigne"/>
        <w:rPr>
          <w:noProof/>
        </w:rPr>
      </w:pPr>
      <w:r w:rsidRPr="00130899">
        <w:rPr>
          <w:noProof/>
        </w:rPr>
        <w:tab/>
        <w:t>Председател</w:t>
      </w:r>
      <w:bookmarkStart w:id="10" w:name="_Hlk133567753"/>
    </w:p>
    <w:p w14:paraId="70AFAFA5" w14:textId="77777777" w:rsidR="00854600" w:rsidRPr="00130899" w:rsidRDefault="00854600">
      <w:pPr>
        <w:spacing w:before="0" w:after="200" w:line="276" w:lineRule="auto"/>
        <w:jc w:val="left"/>
        <w:rPr>
          <w:i/>
          <w:noProof/>
        </w:rPr>
      </w:pPr>
      <w:r w:rsidRPr="00130899">
        <w:rPr>
          <w:noProof/>
        </w:rPr>
        <w:br w:type="page"/>
      </w:r>
    </w:p>
    <w:bookmarkEnd w:id="10"/>
    <w:p w14:paraId="1EF22DAD" w14:textId="77777777" w:rsidR="001714E3" w:rsidRPr="00130899" w:rsidRDefault="001714E3" w:rsidP="00854600">
      <w:pPr>
        <w:rPr>
          <w:noProof/>
        </w:rPr>
        <w:sectPr w:rsidR="001714E3" w:rsidRPr="00130899" w:rsidSect="006362D3">
          <w:pgSz w:w="11907" w:h="16839"/>
          <w:pgMar w:top="1134" w:right="1417" w:bottom="1134" w:left="1417" w:header="709" w:footer="709" w:gutter="0"/>
          <w:cols w:space="708"/>
          <w:docGrid w:linePitch="360"/>
        </w:sectPr>
      </w:pPr>
    </w:p>
    <w:p w14:paraId="4BCF0C81" w14:textId="77777777" w:rsidR="005837D8" w:rsidRPr="00130899" w:rsidRDefault="005837D8" w:rsidP="005837D8">
      <w:pPr>
        <w:pStyle w:val="Fichefinanciretitre"/>
        <w:keepNext/>
        <w:rPr>
          <w:noProof/>
        </w:rPr>
      </w:pPr>
      <w:r w:rsidRPr="00130899">
        <w:rPr>
          <w:noProof/>
        </w:rPr>
        <w:lastRenderedPageBreak/>
        <w:t>ЗАКОНОДАТЕЛНА ФИНАНСОВА ОБОСНОВКА</w:t>
      </w:r>
    </w:p>
    <w:p w14:paraId="611F95B7" w14:textId="77777777" w:rsidR="005837D8" w:rsidRPr="00130899" w:rsidRDefault="005837D8" w:rsidP="005837D8">
      <w:pPr>
        <w:pStyle w:val="ManualHeading1"/>
        <w:rPr>
          <w:noProof/>
        </w:rPr>
      </w:pPr>
      <w:r w:rsidRPr="00130899">
        <w:rPr>
          <w:noProof/>
        </w:rPr>
        <w:t>1.</w:t>
      </w:r>
      <w:r w:rsidRPr="00130899">
        <w:rPr>
          <w:noProof/>
        </w:rPr>
        <w:tab/>
        <w:t>РАМКА НА ПРЕДЛОЖЕНИЕТО/ИНИЦИАТИВАТА</w:t>
      </w:r>
    </w:p>
    <w:p w14:paraId="13BF7A0E" w14:textId="77777777" w:rsidR="005837D8" w:rsidRPr="00130899" w:rsidRDefault="005837D8" w:rsidP="005837D8">
      <w:pPr>
        <w:pStyle w:val="ManualHeading2"/>
        <w:rPr>
          <w:noProof/>
        </w:rPr>
      </w:pPr>
      <w:r w:rsidRPr="00130899">
        <w:rPr>
          <w:noProof/>
        </w:rPr>
        <w:tab/>
        <w:t>1.1.</w:t>
      </w:r>
      <w:r w:rsidRPr="00130899">
        <w:rPr>
          <w:noProof/>
        </w:rPr>
        <w:tab/>
        <w:t>Наименование на предложението/инициативата</w:t>
      </w:r>
    </w:p>
    <w:p w14:paraId="33BA2621" w14:textId="77777777" w:rsidR="005837D8" w:rsidRPr="00130899" w:rsidRDefault="005837D8" w:rsidP="005837D8">
      <w:pPr>
        <w:pStyle w:val="ManualHeading2"/>
        <w:rPr>
          <w:b w:val="0"/>
          <w:noProof/>
        </w:rPr>
      </w:pPr>
      <w:r w:rsidRPr="00130899">
        <w:rPr>
          <w:noProof/>
        </w:rPr>
        <w:tab/>
      </w:r>
      <w:r w:rsidRPr="00130899">
        <w:rPr>
          <w:b w:val="0"/>
          <w:noProof/>
        </w:rPr>
        <w:t>Нова система на ЕС за избягване на двойното данъчно облагане и за предотвратяване на данъчните злоупотреби в областта на данъците, удържани при източника, така наречената FASTER (по-бързо и по-сигурно възстановяване на надвзети данъци).</w:t>
      </w:r>
    </w:p>
    <w:p w14:paraId="07559EED" w14:textId="77777777" w:rsidR="005837D8" w:rsidRPr="00130899" w:rsidRDefault="005837D8" w:rsidP="005837D8">
      <w:pPr>
        <w:pStyle w:val="ManualHeading2"/>
        <w:rPr>
          <w:noProof/>
        </w:rPr>
      </w:pPr>
      <w:r w:rsidRPr="00130899">
        <w:rPr>
          <w:noProof/>
        </w:rPr>
        <w:tab/>
        <w:t>1.2.</w:t>
      </w:r>
      <w:r w:rsidRPr="00130899">
        <w:rPr>
          <w:noProof/>
        </w:rPr>
        <w:tab/>
        <w:t>Съответни области на политиката</w:t>
      </w:r>
    </w:p>
    <w:p w14:paraId="7ABEA2E4" w14:textId="77777777" w:rsidR="005837D8" w:rsidRPr="00130899" w:rsidRDefault="005837D8" w:rsidP="005837D8">
      <w:pPr>
        <w:pStyle w:val="ManualHeading2"/>
        <w:rPr>
          <w:b w:val="0"/>
          <w:noProof/>
        </w:rPr>
      </w:pPr>
      <w:r w:rsidRPr="00130899">
        <w:rPr>
          <w:noProof/>
        </w:rPr>
        <w:tab/>
      </w:r>
      <w:r w:rsidRPr="00130899">
        <w:rPr>
          <w:b w:val="0"/>
          <w:noProof/>
        </w:rPr>
        <w:t>Данъчна политика.</w:t>
      </w:r>
    </w:p>
    <w:p w14:paraId="7E7BF8E3" w14:textId="77777777" w:rsidR="005837D8" w:rsidRPr="00130899" w:rsidRDefault="005837D8" w:rsidP="005837D8">
      <w:pPr>
        <w:pStyle w:val="ManualHeading2"/>
        <w:rPr>
          <w:noProof/>
        </w:rPr>
      </w:pPr>
      <w:r w:rsidRPr="00130899">
        <w:rPr>
          <w:noProof/>
        </w:rPr>
        <w:tab/>
        <w:t>1.3.</w:t>
      </w:r>
      <w:r w:rsidRPr="00130899">
        <w:rPr>
          <w:noProof/>
        </w:rPr>
        <w:tab/>
        <w:t>Предложението/инициативата е във връзка с:</w:t>
      </w:r>
    </w:p>
    <w:p w14:paraId="75082A9A" w14:textId="77777777" w:rsidR="005837D8" w:rsidRPr="00130899" w:rsidRDefault="005837D8" w:rsidP="005837D8">
      <w:pPr>
        <w:pStyle w:val="ManualHeading2"/>
        <w:rPr>
          <w:b w:val="0"/>
          <w:noProof/>
        </w:rPr>
      </w:pPr>
      <w:r w:rsidRPr="00130899">
        <w:rPr>
          <w:noProof/>
        </w:rPr>
        <w:tab/>
      </w:r>
      <w:r w:rsidRPr="00130899">
        <w:rPr>
          <w:b w:val="0"/>
          <w:noProof/>
        </w:rPr>
        <w:t xml:space="preserve">Ново действие. </w:t>
      </w:r>
    </w:p>
    <w:p w14:paraId="555745D0" w14:textId="77777777" w:rsidR="005837D8" w:rsidRPr="00130899" w:rsidRDefault="005837D8" w:rsidP="005837D8">
      <w:pPr>
        <w:pStyle w:val="ManualHeading2"/>
        <w:rPr>
          <w:noProof/>
        </w:rPr>
      </w:pPr>
      <w:r w:rsidRPr="00130899">
        <w:rPr>
          <w:noProof/>
        </w:rPr>
        <w:tab/>
        <w:t>1.4.</w:t>
      </w:r>
      <w:r w:rsidRPr="00130899">
        <w:rPr>
          <w:noProof/>
        </w:rPr>
        <w:tab/>
        <w:t>Цели</w:t>
      </w:r>
    </w:p>
    <w:p w14:paraId="101E1DBF" w14:textId="77777777" w:rsidR="005837D8" w:rsidRPr="00130899" w:rsidRDefault="005837D8" w:rsidP="005837D8">
      <w:pPr>
        <w:pStyle w:val="ManualHeading3"/>
        <w:rPr>
          <w:noProof/>
        </w:rPr>
      </w:pPr>
      <w:r w:rsidRPr="00130899">
        <w:rPr>
          <w:noProof/>
        </w:rPr>
        <w:tab/>
        <w:t>1.4.1.</w:t>
      </w:r>
      <w:r w:rsidRPr="00130899">
        <w:rPr>
          <w:noProof/>
        </w:rPr>
        <w:tab/>
        <w:t>Общи цели</w:t>
      </w:r>
    </w:p>
    <w:p w14:paraId="6E67F26A" w14:textId="77777777" w:rsidR="005837D8" w:rsidRPr="00130899" w:rsidRDefault="005837D8" w:rsidP="005837D8">
      <w:pPr>
        <w:pStyle w:val="ManualHeading3"/>
        <w:rPr>
          <w:i w:val="0"/>
          <w:noProof/>
        </w:rPr>
      </w:pPr>
      <w:r w:rsidRPr="00130899">
        <w:rPr>
          <w:noProof/>
        </w:rPr>
        <w:tab/>
      </w:r>
      <w:r w:rsidRPr="00130899">
        <w:rPr>
          <w:i w:val="0"/>
          <w:noProof/>
        </w:rPr>
        <w:t>1) </w:t>
      </w:r>
      <w:r w:rsidRPr="00130899">
        <w:rPr>
          <w:i w:val="0"/>
          <w:noProof/>
          <w:sz w:val="22"/>
        </w:rPr>
        <w:t>Улесняване на трансграничните инвестиции в ЕС чрез предоставяне на данъкоплатците на подходящ и ефективен достъп до данъчни облекчения, произтичащи от СИДДО и директивите на ЕС</w:t>
      </w:r>
    </w:p>
    <w:p w14:paraId="24CBB808" w14:textId="77777777" w:rsidR="005837D8" w:rsidRPr="00130899" w:rsidRDefault="005837D8" w:rsidP="005837D8">
      <w:pPr>
        <w:pStyle w:val="ManualHeading3"/>
        <w:rPr>
          <w:i w:val="0"/>
          <w:noProof/>
        </w:rPr>
      </w:pPr>
      <w:r w:rsidRPr="00130899">
        <w:rPr>
          <w:noProof/>
        </w:rPr>
        <w:tab/>
      </w:r>
      <w:r w:rsidRPr="00130899">
        <w:rPr>
          <w:i w:val="0"/>
          <w:noProof/>
        </w:rPr>
        <w:t>2) </w:t>
      </w:r>
      <w:r w:rsidRPr="00130899">
        <w:rPr>
          <w:i w:val="0"/>
          <w:noProof/>
          <w:sz w:val="22"/>
        </w:rPr>
        <w:t>Предотвратяване на данъчните злоупотреби в областта на ДПИ</w:t>
      </w:r>
    </w:p>
    <w:p w14:paraId="365FD78F" w14:textId="77777777" w:rsidR="005837D8" w:rsidRPr="00130899" w:rsidRDefault="005837D8" w:rsidP="005837D8">
      <w:pPr>
        <w:pStyle w:val="ManualHeading3"/>
        <w:rPr>
          <w:i w:val="0"/>
          <w:noProof/>
        </w:rPr>
      </w:pPr>
      <w:r w:rsidRPr="00130899">
        <w:rPr>
          <w:noProof/>
        </w:rPr>
        <w:tab/>
      </w:r>
      <w:r w:rsidRPr="00130899">
        <w:rPr>
          <w:i w:val="0"/>
          <w:noProof/>
        </w:rPr>
        <w:t>3) Икономически ползи</w:t>
      </w:r>
    </w:p>
    <w:p w14:paraId="15DD5BD3" w14:textId="77777777" w:rsidR="005837D8" w:rsidRPr="00130899" w:rsidRDefault="005837D8" w:rsidP="005837D8">
      <w:pPr>
        <w:pStyle w:val="ManualHeading3"/>
        <w:rPr>
          <w:noProof/>
        </w:rPr>
      </w:pPr>
      <w:r w:rsidRPr="00130899">
        <w:rPr>
          <w:noProof/>
        </w:rPr>
        <w:tab/>
        <w:t>1.4.2.</w:t>
      </w:r>
      <w:r w:rsidRPr="00130899">
        <w:rPr>
          <w:noProof/>
        </w:rPr>
        <w:tab/>
        <w:t>Конкретни цели</w:t>
      </w:r>
    </w:p>
    <w:p w14:paraId="68185D14" w14:textId="77777777" w:rsidR="005837D8" w:rsidRPr="00130899" w:rsidRDefault="005837D8" w:rsidP="005837D8">
      <w:pPr>
        <w:pStyle w:val="ManualHeading3"/>
        <w:rPr>
          <w:i w:val="0"/>
          <w:noProof/>
        </w:rPr>
      </w:pPr>
      <w:r w:rsidRPr="00130899">
        <w:rPr>
          <w:noProof/>
        </w:rPr>
        <w:tab/>
      </w:r>
      <w:r w:rsidRPr="00130899">
        <w:rPr>
          <w:i w:val="0"/>
          <w:noProof/>
        </w:rPr>
        <w:t>1) </w:t>
      </w:r>
      <w:r w:rsidRPr="00130899">
        <w:rPr>
          <w:i w:val="0"/>
          <w:noProof/>
          <w:sz w:val="22"/>
        </w:rPr>
        <w:t xml:space="preserve">Намаляване на срока за данъчни облекчения или възстановяване на надвзетия данък, удържан при източника </w:t>
      </w:r>
    </w:p>
    <w:p w14:paraId="09B7C7A6" w14:textId="77777777" w:rsidR="005837D8" w:rsidRPr="00130899" w:rsidRDefault="005837D8" w:rsidP="005837D8">
      <w:pPr>
        <w:pStyle w:val="ManualHeading3"/>
        <w:rPr>
          <w:i w:val="0"/>
          <w:noProof/>
        </w:rPr>
      </w:pPr>
      <w:r w:rsidRPr="00130899">
        <w:rPr>
          <w:noProof/>
        </w:rPr>
        <w:tab/>
      </w:r>
      <w:r w:rsidRPr="00130899">
        <w:rPr>
          <w:i w:val="0"/>
          <w:noProof/>
        </w:rPr>
        <w:t>2) </w:t>
      </w:r>
      <w:r w:rsidRPr="00130899">
        <w:rPr>
          <w:i w:val="0"/>
          <w:noProof/>
          <w:sz w:val="22"/>
        </w:rPr>
        <w:t>Гарантиране, че финансовите посредници спазват изискванията за надлежна проверка на клиента и предоставят информация за него на данъчните органи</w:t>
      </w:r>
    </w:p>
    <w:p w14:paraId="6A72D6B0" w14:textId="77777777" w:rsidR="005837D8" w:rsidRPr="00130899" w:rsidRDefault="005837D8" w:rsidP="005837D8">
      <w:pPr>
        <w:pStyle w:val="ManualHeading3"/>
        <w:rPr>
          <w:i w:val="0"/>
          <w:noProof/>
        </w:rPr>
      </w:pPr>
      <w:r w:rsidRPr="00130899">
        <w:rPr>
          <w:noProof/>
        </w:rPr>
        <w:tab/>
      </w:r>
      <w:r w:rsidRPr="00130899">
        <w:rPr>
          <w:i w:val="0"/>
          <w:noProof/>
        </w:rPr>
        <w:t>3) Предотвратяване на злоупотребите във връзка с ДПИ (Cum-Ex и Cum-Cum)</w:t>
      </w:r>
    </w:p>
    <w:p w14:paraId="52A2FE4B" w14:textId="77777777" w:rsidR="005837D8" w:rsidRPr="00130899" w:rsidRDefault="005837D8" w:rsidP="005837D8">
      <w:pPr>
        <w:pStyle w:val="ManualHeading3"/>
        <w:rPr>
          <w:i w:val="0"/>
          <w:noProof/>
        </w:rPr>
      </w:pPr>
      <w:r w:rsidRPr="00130899">
        <w:rPr>
          <w:noProof/>
        </w:rPr>
        <w:tab/>
      </w:r>
      <w:r w:rsidRPr="00130899">
        <w:rPr>
          <w:i w:val="0"/>
          <w:noProof/>
        </w:rPr>
        <w:t>4) </w:t>
      </w:r>
      <w:r w:rsidRPr="00130899">
        <w:rPr>
          <w:i w:val="0"/>
          <w:noProof/>
          <w:sz w:val="22"/>
        </w:rPr>
        <w:t xml:space="preserve">Предоставяне на данъчните органи на държавите членки на инструменти за сигурна и навременна работа по процедурите за възстановяване/данъчни облекчения при източника </w:t>
      </w:r>
    </w:p>
    <w:p w14:paraId="520273B6" w14:textId="77777777" w:rsidR="005837D8" w:rsidRPr="00130899" w:rsidRDefault="005837D8" w:rsidP="005837D8">
      <w:pPr>
        <w:pStyle w:val="ManualHeading3"/>
        <w:rPr>
          <w:noProof/>
        </w:rPr>
      </w:pPr>
      <w:r w:rsidRPr="00130899">
        <w:rPr>
          <w:noProof/>
        </w:rPr>
        <w:tab/>
        <w:t>5) Въздействие на предложението върху икономиката</w:t>
      </w:r>
    </w:p>
    <w:p w14:paraId="431DFF9C" w14:textId="77777777" w:rsidR="005837D8" w:rsidRPr="00130899" w:rsidRDefault="005837D8" w:rsidP="005837D8">
      <w:pPr>
        <w:pStyle w:val="ManualHeading3"/>
        <w:rPr>
          <w:noProof/>
        </w:rPr>
      </w:pPr>
      <w:r w:rsidRPr="00130899">
        <w:rPr>
          <w:noProof/>
        </w:rPr>
        <w:tab/>
        <w:t>1.4.3.</w:t>
      </w:r>
      <w:r w:rsidRPr="00130899">
        <w:rPr>
          <w:noProof/>
        </w:rPr>
        <w:tab/>
        <w:t>Очаквани резултати и отражение</w:t>
      </w:r>
    </w:p>
    <w:p w14:paraId="70E3CC20" w14:textId="77777777" w:rsidR="005837D8" w:rsidRPr="00130899" w:rsidRDefault="005837D8" w:rsidP="005837D8">
      <w:pPr>
        <w:pStyle w:val="ManualHeading3"/>
        <w:rPr>
          <w:i w:val="0"/>
          <w:noProof/>
        </w:rPr>
      </w:pPr>
      <w:r w:rsidRPr="00130899">
        <w:rPr>
          <w:noProof/>
        </w:rPr>
        <w:tab/>
      </w:r>
      <w:r w:rsidRPr="00130899">
        <w:rPr>
          <w:i w:val="0"/>
          <w:noProof/>
        </w:rPr>
        <w:t>Определените в предложението срокове ще гарантират, че възстановяванията във връзка с ДПИ ще бъдат извършвани по-бързо или че към момента на плащането ще се прилага по-ниска приложима ставка на ДПИ. Задълженията за предоставяне на информация ще гарантират, че информацията се предоставя на данъчните органи, за да се осигури висока степен на прозрачност и че тази информация се използва ефективно за борбата с данъчните измами, отклонението от данъчно облагане и избягването на данъци в системите за възстановяване/данъчни облекчения във връзка с ДПИ в ЕС, като същевременно се гарантира ефективността на системата. Втората цел е да се окаже положително въздействие върху икономически показатели като БВП, заплати и заетост.</w:t>
      </w:r>
    </w:p>
    <w:p w14:paraId="6E1ADA43" w14:textId="77777777" w:rsidR="005837D8" w:rsidRPr="00130899" w:rsidRDefault="005837D8" w:rsidP="005837D8">
      <w:pPr>
        <w:pStyle w:val="ManualHeading3"/>
        <w:rPr>
          <w:noProof/>
        </w:rPr>
      </w:pPr>
      <w:r w:rsidRPr="00130899">
        <w:rPr>
          <w:noProof/>
        </w:rPr>
        <w:tab/>
        <w:t>1.4.4.</w:t>
      </w:r>
      <w:r w:rsidRPr="00130899">
        <w:rPr>
          <w:noProof/>
        </w:rPr>
        <w:tab/>
        <w:t>Показатели за изпълнението</w:t>
      </w:r>
    </w:p>
    <w:tbl>
      <w:tblPr>
        <w:tblStyle w:val="TableGrid"/>
        <w:tblW w:w="0" w:type="auto"/>
        <w:tblInd w:w="850" w:type="dxa"/>
        <w:tblLook w:val="04A0" w:firstRow="1" w:lastRow="0" w:firstColumn="1" w:lastColumn="0" w:noHBand="0" w:noVBand="1"/>
      </w:tblPr>
      <w:tblGrid>
        <w:gridCol w:w="2811"/>
        <w:gridCol w:w="2813"/>
        <w:gridCol w:w="2813"/>
      </w:tblGrid>
      <w:tr w:rsidR="005837D8" w:rsidRPr="00130899" w14:paraId="6138A348" w14:textId="77777777" w:rsidTr="000430BD">
        <w:tc>
          <w:tcPr>
            <w:tcW w:w="2811" w:type="dxa"/>
          </w:tcPr>
          <w:p w14:paraId="17343940" w14:textId="77777777" w:rsidR="005837D8" w:rsidRPr="00130899" w:rsidRDefault="005837D8" w:rsidP="000430BD">
            <w:pPr>
              <w:pStyle w:val="ManualHeading2"/>
              <w:ind w:left="0" w:firstLine="0"/>
              <w:rPr>
                <w:noProof/>
              </w:rPr>
            </w:pPr>
            <w:r w:rsidRPr="00130899">
              <w:rPr>
                <w:noProof/>
                <w:sz w:val="22"/>
              </w:rPr>
              <w:t xml:space="preserve">Конкретна цел </w:t>
            </w:r>
          </w:p>
        </w:tc>
        <w:tc>
          <w:tcPr>
            <w:tcW w:w="2813" w:type="dxa"/>
          </w:tcPr>
          <w:p w14:paraId="4984F7EF" w14:textId="77777777" w:rsidR="005837D8" w:rsidRPr="00130899" w:rsidRDefault="005837D8" w:rsidP="000430BD">
            <w:pPr>
              <w:pStyle w:val="ManualHeading2"/>
              <w:ind w:left="0" w:firstLine="0"/>
              <w:rPr>
                <w:noProof/>
              </w:rPr>
            </w:pPr>
            <w:r w:rsidRPr="00130899">
              <w:rPr>
                <w:noProof/>
                <w:sz w:val="22"/>
              </w:rPr>
              <w:t>Показатели</w:t>
            </w:r>
          </w:p>
        </w:tc>
        <w:tc>
          <w:tcPr>
            <w:tcW w:w="2813" w:type="dxa"/>
          </w:tcPr>
          <w:p w14:paraId="0D2861B2" w14:textId="77777777" w:rsidR="005837D8" w:rsidRPr="00130899" w:rsidRDefault="005837D8" w:rsidP="000430BD">
            <w:pPr>
              <w:pStyle w:val="ManualHeading2"/>
              <w:ind w:left="0" w:firstLine="0"/>
              <w:rPr>
                <w:noProof/>
              </w:rPr>
            </w:pPr>
            <w:r w:rsidRPr="00130899">
              <w:rPr>
                <w:noProof/>
                <w:sz w:val="22"/>
              </w:rPr>
              <w:t>Инструменти за измерване</w:t>
            </w:r>
          </w:p>
        </w:tc>
      </w:tr>
      <w:tr w:rsidR="005837D8" w:rsidRPr="00130899" w14:paraId="7CCB1158" w14:textId="77777777" w:rsidTr="000430BD">
        <w:tc>
          <w:tcPr>
            <w:tcW w:w="2811" w:type="dxa"/>
          </w:tcPr>
          <w:p w14:paraId="54DCF525" w14:textId="77777777" w:rsidR="005837D8" w:rsidRPr="00130899" w:rsidRDefault="005837D8" w:rsidP="000430BD">
            <w:pPr>
              <w:pStyle w:val="ManualHeading2"/>
              <w:ind w:left="0" w:firstLine="0"/>
              <w:rPr>
                <w:b w:val="0"/>
                <w:noProof/>
              </w:rPr>
            </w:pPr>
            <w:r w:rsidRPr="00130899">
              <w:rPr>
                <w:b w:val="0"/>
                <w:noProof/>
                <w:sz w:val="22"/>
              </w:rPr>
              <w:t xml:space="preserve">Намаляване на срока за данъчни облекчения/възстановяване на надвзетия данък при източника </w:t>
            </w:r>
          </w:p>
        </w:tc>
        <w:tc>
          <w:tcPr>
            <w:tcW w:w="2813" w:type="dxa"/>
          </w:tcPr>
          <w:p w14:paraId="3BB56D2D" w14:textId="302DF198" w:rsidR="005837D8" w:rsidRPr="00130899" w:rsidRDefault="005837D8" w:rsidP="000430BD">
            <w:pPr>
              <w:pStyle w:val="ManualHeading2"/>
              <w:ind w:left="0" w:firstLine="0"/>
              <w:rPr>
                <w:b w:val="0"/>
                <w:noProof/>
              </w:rPr>
            </w:pPr>
            <w:r w:rsidRPr="00130899">
              <w:rPr>
                <w:b w:val="0"/>
                <w:noProof/>
                <w:sz w:val="22"/>
              </w:rPr>
              <w:t xml:space="preserve">Дали дните за плащане по исканията за възстановяване във връзка с ДПИ са в съответствие с предварително определените в предложението срокове за плащане и, когато е целесъобразно, дали на инвеститорите се плащат лихви за забава като санкции при забавени плащания по възстановяване </w:t>
            </w:r>
          </w:p>
        </w:tc>
        <w:tc>
          <w:tcPr>
            <w:tcW w:w="2813" w:type="dxa"/>
          </w:tcPr>
          <w:p w14:paraId="3A2A1DEE" w14:textId="77777777" w:rsidR="005837D8" w:rsidRPr="00130899" w:rsidRDefault="005837D8" w:rsidP="000430BD">
            <w:pPr>
              <w:pStyle w:val="ManualHeading2"/>
              <w:ind w:left="0" w:firstLine="0"/>
              <w:rPr>
                <w:b w:val="0"/>
                <w:noProof/>
              </w:rPr>
            </w:pPr>
            <w:r w:rsidRPr="00130899">
              <w:rPr>
                <w:b w:val="0"/>
                <w:noProof/>
                <w:sz w:val="22"/>
              </w:rPr>
              <w:t>Годишни данни, които трябва да се предоставят на Комисията от държавата членка на източника</w:t>
            </w:r>
          </w:p>
        </w:tc>
      </w:tr>
      <w:tr w:rsidR="005837D8" w:rsidRPr="00130899" w14:paraId="2281937D" w14:textId="77777777" w:rsidTr="000430BD">
        <w:tc>
          <w:tcPr>
            <w:tcW w:w="2811" w:type="dxa"/>
          </w:tcPr>
          <w:p w14:paraId="15654DAA" w14:textId="77777777" w:rsidR="005837D8" w:rsidRPr="00130899" w:rsidRDefault="005837D8" w:rsidP="000430BD">
            <w:pPr>
              <w:pStyle w:val="ManualHeading2"/>
              <w:ind w:left="0" w:firstLine="0"/>
              <w:rPr>
                <w:b w:val="0"/>
                <w:noProof/>
              </w:rPr>
            </w:pPr>
            <w:r w:rsidRPr="00130899">
              <w:rPr>
                <w:b w:val="0"/>
                <w:noProof/>
                <w:sz w:val="22"/>
              </w:rPr>
              <w:t xml:space="preserve">Гарантиране, че сертифицираните финансови посредници спазват изискванията за надлежна проверка на клиента и задълженията за предоставяне на информация </w:t>
            </w:r>
          </w:p>
        </w:tc>
        <w:tc>
          <w:tcPr>
            <w:tcW w:w="2813" w:type="dxa"/>
          </w:tcPr>
          <w:p w14:paraId="6A612D6D" w14:textId="4A737A55" w:rsidR="005837D8" w:rsidRPr="00130899" w:rsidRDefault="005837D8" w:rsidP="000430BD">
            <w:pPr>
              <w:pStyle w:val="ManualHeading2"/>
              <w:ind w:left="0" w:firstLine="0"/>
              <w:rPr>
                <w:b w:val="0"/>
                <w:noProof/>
              </w:rPr>
            </w:pPr>
            <w:r w:rsidRPr="00130899">
              <w:rPr>
                <w:b w:val="0"/>
                <w:noProof/>
                <w:sz w:val="22"/>
              </w:rPr>
              <w:t xml:space="preserve">Дейности за мониторинг от страна на държавата членка за гарантиране на спазването от страна на финансовите посредници от ЕС  на изискванията (от държавата членка, в чийто национален регистър са вписани) и финансовите посредници от държави извън ЕС (от държавата членка, в която са регистрирани) </w:t>
            </w:r>
          </w:p>
        </w:tc>
        <w:tc>
          <w:tcPr>
            <w:tcW w:w="2813" w:type="dxa"/>
          </w:tcPr>
          <w:p w14:paraId="2D18910E" w14:textId="77777777" w:rsidR="005837D8" w:rsidRPr="00130899" w:rsidRDefault="005837D8" w:rsidP="000430BD">
            <w:pPr>
              <w:pStyle w:val="ManualHeading2"/>
              <w:ind w:left="0" w:firstLine="0"/>
              <w:rPr>
                <w:b w:val="0"/>
                <w:noProof/>
              </w:rPr>
            </w:pPr>
            <w:r w:rsidRPr="00130899">
              <w:rPr>
                <w:b w:val="0"/>
                <w:noProof/>
                <w:sz w:val="22"/>
              </w:rPr>
              <w:t>Годишен доклад, който държавата членка предоставя на националния регистър, в който е регистриран финансовият посредник.</w:t>
            </w:r>
          </w:p>
        </w:tc>
      </w:tr>
      <w:tr w:rsidR="005837D8" w:rsidRPr="00130899" w14:paraId="535492EF" w14:textId="77777777" w:rsidTr="000430BD">
        <w:tc>
          <w:tcPr>
            <w:tcW w:w="2811" w:type="dxa"/>
          </w:tcPr>
          <w:p w14:paraId="6003EE3C" w14:textId="77777777" w:rsidR="005837D8" w:rsidRPr="00130899" w:rsidRDefault="005837D8" w:rsidP="000430BD">
            <w:pPr>
              <w:pStyle w:val="ManualHeading2"/>
              <w:ind w:left="0" w:firstLine="0"/>
              <w:rPr>
                <w:b w:val="0"/>
                <w:noProof/>
              </w:rPr>
            </w:pPr>
            <w:r w:rsidRPr="00130899">
              <w:rPr>
                <w:b w:val="0"/>
                <w:noProof/>
                <w:sz w:val="22"/>
              </w:rPr>
              <w:t>Предотвратяване на данъчни злоупотреби</w:t>
            </w:r>
          </w:p>
        </w:tc>
        <w:tc>
          <w:tcPr>
            <w:tcW w:w="2813" w:type="dxa"/>
          </w:tcPr>
          <w:p w14:paraId="11D76D1C" w14:textId="77777777" w:rsidR="005837D8" w:rsidRPr="00130899" w:rsidRDefault="005837D8" w:rsidP="000430BD">
            <w:pPr>
              <w:pStyle w:val="ManualHeading2"/>
              <w:ind w:left="0" w:firstLine="0"/>
              <w:rPr>
                <w:b w:val="0"/>
                <w:noProof/>
              </w:rPr>
            </w:pPr>
            <w:r w:rsidRPr="00130899">
              <w:rPr>
                <w:b w:val="0"/>
                <w:noProof/>
                <w:sz w:val="22"/>
              </w:rPr>
              <w:t xml:space="preserve">Годишна оценка от страна на държавата членка на източника на полезността на данните, представени от посредниците/агентите по ДПИ, за действително откриване и предотвратяване на данъчни злоупотреби. Оценката ще включва използването и ползите (брой случаи на злоупотреби и свързани с тях суми) от предоставените данни за разкриване и борба с данъчните злоупотреби с ДПИ (Cum-Ex и Cum-Cum). </w:t>
            </w:r>
          </w:p>
        </w:tc>
        <w:tc>
          <w:tcPr>
            <w:tcW w:w="2813" w:type="dxa"/>
          </w:tcPr>
          <w:p w14:paraId="10818193" w14:textId="77777777" w:rsidR="005837D8" w:rsidRPr="00130899" w:rsidRDefault="005837D8" w:rsidP="000430BD">
            <w:pPr>
              <w:pStyle w:val="ManualHeading2"/>
              <w:ind w:left="0" w:firstLine="0"/>
              <w:rPr>
                <w:b w:val="0"/>
                <w:noProof/>
              </w:rPr>
            </w:pPr>
            <w:r w:rsidRPr="00130899">
              <w:rPr>
                <w:b w:val="0"/>
                <w:noProof/>
                <w:sz w:val="22"/>
              </w:rPr>
              <w:t>Годишна оценка, която се предоставя на Комисията от държавата членка на източника.</w:t>
            </w:r>
          </w:p>
        </w:tc>
      </w:tr>
      <w:tr w:rsidR="005837D8" w:rsidRPr="00130899" w14:paraId="420FD651" w14:textId="77777777" w:rsidTr="000430BD">
        <w:tc>
          <w:tcPr>
            <w:tcW w:w="2811" w:type="dxa"/>
          </w:tcPr>
          <w:p w14:paraId="6E95ACF1" w14:textId="77777777" w:rsidR="005837D8" w:rsidRPr="00130899" w:rsidRDefault="005837D8" w:rsidP="000430BD">
            <w:pPr>
              <w:pStyle w:val="ManualHeading2"/>
              <w:ind w:left="0" w:firstLine="0"/>
              <w:rPr>
                <w:b w:val="0"/>
                <w:noProof/>
              </w:rPr>
            </w:pPr>
            <w:r w:rsidRPr="00130899">
              <w:rPr>
                <w:b w:val="0"/>
                <w:noProof/>
                <w:sz w:val="22"/>
              </w:rPr>
              <w:t xml:space="preserve">Предоставяне на данъчните органи на държавите членки на инструменти за сигурна работа по процедурите за възстановяване/данъчни облекчения при източника </w:t>
            </w:r>
          </w:p>
        </w:tc>
        <w:tc>
          <w:tcPr>
            <w:tcW w:w="2813" w:type="dxa"/>
          </w:tcPr>
          <w:p w14:paraId="7F189CBF" w14:textId="77777777" w:rsidR="005837D8" w:rsidRPr="00130899" w:rsidRDefault="00060712" w:rsidP="000430BD">
            <w:pPr>
              <w:spacing w:line="276" w:lineRule="auto"/>
              <w:rPr>
                <w:noProof/>
                <w:sz w:val="22"/>
              </w:rPr>
            </w:pPr>
            <w:r w:rsidRPr="00130899">
              <w:rPr>
                <w:noProof/>
                <w:sz w:val="22"/>
              </w:rPr>
              <w:t xml:space="preserve">Точност и пълнота на информацията, предоставена от финансовите посредници/агентите по ДПИ на данъчния орган на държавата членка на източника </w:t>
            </w:r>
          </w:p>
          <w:p w14:paraId="6E424DAF" w14:textId="77777777" w:rsidR="005837D8" w:rsidRPr="00130899" w:rsidRDefault="005837D8" w:rsidP="000430BD">
            <w:pPr>
              <w:pStyle w:val="ManualHeading2"/>
              <w:ind w:left="0" w:firstLine="0"/>
              <w:rPr>
                <w:b w:val="0"/>
                <w:noProof/>
              </w:rPr>
            </w:pPr>
            <w:r w:rsidRPr="00130899">
              <w:rPr>
                <w:b w:val="0"/>
                <w:noProof/>
                <w:sz w:val="22"/>
              </w:rPr>
              <w:t>Годишна оценка на приложимостта на правилата за разпределяне на отговорността на национално равнище от страна на държавата членка на източника</w:t>
            </w:r>
          </w:p>
        </w:tc>
        <w:tc>
          <w:tcPr>
            <w:tcW w:w="2813" w:type="dxa"/>
          </w:tcPr>
          <w:p w14:paraId="00AB2DFC" w14:textId="77777777" w:rsidR="005837D8" w:rsidRPr="00130899" w:rsidRDefault="005837D8" w:rsidP="000430BD">
            <w:pPr>
              <w:pStyle w:val="ManualHeading2"/>
              <w:ind w:left="0" w:firstLine="0"/>
              <w:rPr>
                <w:b w:val="0"/>
                <w:noProof/>
              </w:rPr>
            </w:pPr>
            <w:r w:rsidRPr="00130899">
              <w:rPr>
                <w:b w:val="0"/>
                <w:noProof/>
                <w:sz w:val="22"/>
              </w:rPr>
              <w:t xml:space="preserve">Годишна оценка, която се предоставя на Комисията от държавата членка на източника.  </w:t>
            </w:r>
          </w:p>
        </w:tc>
      </w:tr>
      <w:tr w:rsidR="005837D8" w:rsidRPr="00130899" w14:paraId="1491419C" w14:textId="77777777" w:rsidTr="000430BD">
        <w:tc>
          <w:tcPr>
            <w:tcW w:w="2811" w:type="dxa"/>
          </w:tcPr>
          <w:p w14:paraId="749DBCFD" w14:textId="77777777" w:rsidR="005837D8" w:rsidRPr="00130899" w:rsidRDefault="005837D8" w:rsidP="000430BD">
            <w:pPr>
              <w:pStyle w:val="ManualHeading2"/>
              <w:ind w:left="0" w:firstLine="0"/>
              <w:rPr>
                <w:b w:val="0"/>
                <w:noProof/>
              </w:rPr>
            </w:pPr>
            <w:r w:rsidRPr="00130899">
              <w:rPr>
                <w:b w:val="0"/>
                <w:noProof/>
                <w:sz w:val="22"/>
              </w:rPr>
              <w:t>Въздействие на предложението върху икономиката на ЕС</w:t>
            </w:r>
          </w:p>
        </w:tc>
        <w:tc>
          <w:tcPr>
            <w:tcW w:w="2813" w:type="dxa"/>
          </w:tcPr>
          <w:p w14:paraId="626819DD" w14:textId="77777777" w:rsidR="005837D8" w:rsidRPr="00130899" w:rsidRDefault="005837D8" w:rsidP="000430BD">
            <w:pPr>
              <w:pStyle w:val="ManualHeading2"/>
              <w:ind w:left="0" w:firstLine="0"/>
              <w:rPr>
                <w:b w:val="0"/>
                <w:noProof/>
              </w:rPr>
            </w:pPr>
            <w:r w:rsidRPr="00130899">
              <w:rPr>
                <w:b w:val="0"/>
                <w:noProof/>
                <w:sz w:val="22"/>
              </w:rPr>
              <w:t xml:space="preserve">Оценка на икономическото въздействие на предложението върху БВП, инвестициите, заплатите и заетостта. Тази оценка ще включва източника на данни и методологията, използвани в проучванията на JRC в приложение 4 към оценката на въздействието, придружаваща предложението, включително трансграничното проучване на сигурността на CPIS </w:t>
            </w:r>
          </w:p>
        </w:tc>
        <w:tc>
          <w:tcPr>
            <w:tcW w:w="2813" w:type="dxa"/>
          </w:tcPr>
          <w:p w14:paraId="4EB5191D" w14:textId="77777777" w:rsidR="005837D8" w:rsidRPr="00130899" w:rsidRDefault="005837D8" w:rsidP="000430BD">
            <w:pPr>
              <w:pStyle w:val="ManualHeading2"/>
              <w:ind w:left="0" w:firstLine="0"/>
              <w:rPr>
                <w:b w:val="0"/>
                <w:noProof/>
              </w:rPr>
            </w:pPr>
            <w:r w:rsidRPr="00130899">
              <w:rPr>
                <w:b w:val="0"/>
                <w:noProof/>
                <w:sz w:val="22"/>
              </w:rPr>
              <w:t xml:space="preserve">Годишна оценка, която се извършва от Комисията </w:t>
            </w:r>
          </w:p>
        </w:tc>
      </w:tr>
    </w:tbl>
    <w:p w14:paraId="238EA982" w14:textId="77777777" w:rsidR="005837D8" w:rsidRPr="00130899" w:rsidRDefault="005837D8" w:rsidP="005837D8">
      <w:pPr>
        <w:pStyle w:val="ManualHeading2"/>
        <w:rPr>
          <w:noProof/>
        </w:rPr>
      </w:pPr>
    </w:p>
    <w:p w14:paraId="33099DAB" w14:textId="77777777" w:rsidR="005837D8" w:rsidRPr="00130899" w:rsidRDefault="005837D8" w:rsidP="005837D8">
      <w:pPr>
        <w:pStyle w:val="ManualHeading2"/>
        <w:rPr>
          <w:noProof/>
        </w:rPr>
      </w:pPr>
    </w:p>
    <w:p w14:paraId="12F280DD" w14:textId="77777777" w:rsidR="005837D8" w:rsidRPr="00130899" w:rsidRDefault="005837D8" w:rsidP="005837D8">
      <w:pPr>
        <w:pStyle w:val="ManualHeading2"/>
        <w:rPr>
          <w:noProof/>
        </w:rPr>
      </w:pPr>
      <w:r w:rsidRPr="00130899">
        <w:rPr>
          <w:noProof/>
        </w:rPr>
        <w:tab/>
        <w:t>1.5.</w:t>
      </w:r>
      <w:r w:rsidRPr="00130899">
        <w:rPr>
          <w:noProof/>
        </w:rPr>
        <w:tab/>
        <w:t>Мотиви за предложението/инициативата</w:t>
      </w:r>
    </w:p>
    <w:p w14:paraId="7C466CA8" w14:textId="77777777" w:rsidR="005837D8" w:rsidRPr="00130899" w:rsidRDefault="005837D8" w:rsidP="005837D8">
      <w:pPr>
        <w:pStyle w:val="ManualHeading3"/>
        <w:rPr>
          <w:noProof/>
        </w:rPr>
      </w:pPr>
      <w:r w:rsidRPr="00130899">
        <w:rPr>
          <w:noProof/>
        </w:rPr>
        <w:tab/>
        <w:t>1.5.1.</w:t>
      </w:r>
      <w:r w:rsidRPr="00130899">
        <w:rPr>
          <w:noProof/>
        </w:rPr>
        <w:tab/>
        <w:t>Изисквания, които трябва да бъдат изпълнени в краткосрочна или дългосрочна перспектива, включително подробен график за изпълнението на инициативата</w:t>
      </w:r>
    </w:p>
    <w:p w14:paraId="34C36916" w14:textId="0FEF615C" w:rsidR="00CA3E5A" w:rsidRPr="00130899" w:rsidRDefault="00CE3052" w:rsidP="00CA3E5A">
      <w:pPr>
        <w:pStyle w:val="Text1"/>
        <w:rPr>
          <w:noProof/>
        </w:rPr>
      </w:pPr>
      <w:r>
        <w:rPr>
          <w:noProof/>
        </w:rPr>
      </w:r>
      <w:r>
        <w:rPr>
          <w:noProof/>
        </w:rPr>
        <w:pict w14:anchorId="62A3F791">
          <v:shapetype id="_x0000_t202" coordsize="21600,21600" o:spt="202" path="m,l,21600r21600,l21600,xe">
            <v:stroke joinstyle="miter"/>
            <v:path gradientshapeok="t" o:connecttype="rect"/>
          </v:shapetype>
          <v:shape id="_x0000_s2058" type="#_x0000_t202" style="width:406.3pt;height:464.25pt;visibility:visible;mso-wrap-style:square;mso-left-percent:-10001;mso-top-percent:-10001;mso-position-horizontal:absolute;mso-position-horizontal-relative:char;mso-position-vertical:absolute;mso-position-vertical-relative:line;mso-left-percent:-10001;mso-top-percent:-10001;v-text-anchor:top">
            <v:textbox>
              <w:txbxContent>
                <w:p w14:paraId="4D111FA4" w14:textId="77777777" w:rsidR="00CA3E5A" w:rsidRDefault="00CA3E5A" w:rsidP="00CA3E5A">
                  <w:r>
                    <w:t>За изпълнението на инициативата Комисията ще трябва да предприеме следните мерки: 1) предоставяне на техническа помощ за прилагането на системата за издаване на eTRC; и 2) осигуряване на рамка за системата за предоставяне на информация и формуляри за искане от страна на финансовите посредници към държавите членки.</w:t>
                  </w:r>
                </w:p>
                <w:p w14:paraId="24F7A5EE" w14:textId="77777777" w:rsidR="00CA3E5A" w:rsidRDefault="00CA3E5A" w:rsidP="00CA3E5A">
                  <w:r>
                    <w:t xml:space="preserve">eTRC ще се издава с електронен печат и ще бъде в съответствие с Регламент (ЕС) № 910/2014 от 23 юли 2014 г. относно електронната идентификация и удостоверителните услуги при електронни трансакции на вътрешния пазар (Регламента относно електронната идентификация и удостоверителните услуги). На по-късен етап държавите членки ще обмислят въвеждането на процес на проверка чрез проверими идентификационни данни, ако са изпълнени техническите изисквания на ЕС. Очаква се eTRC и процесът на проверка да бъдат въведени в рамките на 18 месеца след приемането на директивата. </w:t>
                  </w:r>
                </w:p>
                <w:p w14:paraId="2F4C694E" w14:textId="773A43D0" w:rsidR="00CA3E5A" w:rsidRPr="00022846" w:rsidRDefault="00CA3E5A" w:rsidP="00022846">
                  <w:r>
                    <w:t xml:space="preserve">От Комисията ще се изисква да предлага услугата за регистър на публичните ключове на доверените издатели (ако се приеме, че публичните ключове трябва да се променят периодично) за прилагането на eTRC от държавите членки. </w:t>
                  </w:r>
                </w:p>
                <w:p w14:paraId="21709B65" w14:textId="77777777" w:rsidR="00CA3E5A" w:rsidRDefault="00CA3E5A" w:rsidP="00CA3E5A">
                  <w:r>
                    <w:t xml:space="preserve">Освен това Комисията ще окаже подкрепа на техническия комитет във връзка с евентуални промени в техническата база на цифровото удостоверение за местно лице за данъчни цели или нови технически разработки. </w:t>
                  </w:r>
                </w:p>
                <w:p w14:paraId="78064529" w14:textId="77777777" w:rsidR="00CA3E5A" w:rsidRPr="00CA3E5A" w:rsidRDefault="00CA3E5A">
                  <w:r>
                    <w:t>От финансовите посредници, които попадат в обхвата на предложението, ще се изисква да предоставят на държавите членки информация за изплатените дивиденти по публично търгувани акции и/или за изплатените лихви по публично търгувани облигации. Информацията, която трябва да се предоставя, е посочена в предложението. На Комисията се предоставя правомощието да приема актове за изпълнение относно съдържанието на информацията, която трябва да се предоставя. Освен това чрез акт за изпълнение Комисията ще определи стандартизираните компютъризирани формуляри, основани на xml или еквивалентен формат, включително езиковия режим, за предоставяне на информацията. Комисията ще уточни и изискванията за каналите за комуникация/протоколи за системите за предоставяне на информация, които ще са необходими на финансовите посредници за обмен на информация с данъчните органи на държавите членки в обхвата на предложението.</w:t>
                  </w:r>
                </w:p>
              </w:txbxContent>
            </v:textbox>
            <w10:anchorlock/>
          </v:shape>
        </w:pict>
      </w:r>
    </w:p>
    <w:p w14:paraId="47A334CD" w14:textId="77777777" w:rsidR="003F2CA4" w:rsidRPr="00130899" w:rsidRDefault="003F2CA4" w:rsidP="005837D8">
      <w:pPr>
        <w:rPr>
          <w:noProof/>
        </w:rPr>
      </w:pPr>
    </w:p>
    <w:p w14:paraId="5B2D8512" w14:textId="77777777" w:rsidR="00052297" w:rsidRPr="00130899" w:rsidRDefault="00052297" w:rsidP="00052297">
      <w:pPr>
        <w:pStyle w:val="ManualHeading3"/>
        <w:rPr>
          <w:noProof/>
        </w:rPr>
      </w:pPr>
      <w:r w:rsidRPr="00130899">
        <w:rPr>
          <w:noProof/>
        </w:rPr>
        <w:tab/>
        <w:t>1.5.2.</w:t>
      </w:r>
      <w:r w:rsidRPr="00130899">
        <w:rPr>
          <w:noProof/>
        </w:rPr>
        <w:tab/>
        <w:t>Добавена стойност от участието на Съюза (може да е в резултат от различни фактори, например ползи по отношение на координацията, правна сигурност, по-добра ефективност или взаимно допълване). За целите на тази точка „добавена стойност от участието на Съюза“ е стойността, която е резултат от намесата на ЕС и е допълнителна спрямо стойността, която би била създадена само от отделните държави членки.</w:t>
      </w:r>
    </w:p>
    <w:p w14:paraId="7C56F341" w14:textId="77777777" w:rsidR="00052297" w:rsidRPr="00130899" w:rsidRDefault="00CE3052" w:rsidP="005837D8">
      <w:pPr>
        <w:rPr>
          <w:i/>
          <w:noProof/>
        </w:rPr>
      </w:pPr>
      <w:r>
        <w:rPr>
          <w:noProof/>
        </w:rPr>
      </w:r>
      <w:r>
        <w:rPr>
          <w:noProof/>
        </w:rPr>
        <w:pict w14:anchorId="62CE8077">
          <v:shape id="Text Box 1" o:spid="_x0000_s2057" type="#_x0000_t202" style="width:409pt;height:189.45pt;visibility:visible;mso-left-percent:-10001;mso-top-percent:-10001;mso-position-horizontal:absolute;mso-position-horizontal-relative:char;mso-position-vertical:absolute;mso-position-vertical-relative:line;mso-left-percent:-10001;mso-top-percent:-10001">
            <v:textbox>
              <w:txbxContent>
                <w:p w14:paraId="1DA01A07" w14:textId="77777777" w:rsidR="00052297" w:rsidRPr="00370347" w:rsidRDefault="00052297" w:rsidP="00052297">
                  <w:r>
                    <w:t>За да се рационализира процесът на данъчни облекчения/възстановяване на надвзетия ДПИ и за да се осигурят по-бързи плащания за възстановяване на ДПИ, за предпочитане е да се избегне наличието на множество изисквания, едностранно прилагани от различните държави членки по различни процедури.</w:t>
                  </w:r>
                </w:p>
                <w:p w14:paraId="221333E5" w14:textId="77777777" w:rsidR="00052297" w:rsidRPr="00E324B4" w:rsidRDefault="00052297" w:rsidP="00052297">
                  <w:r>
                    <w:t>Чрез осигуряването на обща за целия ЕС стандартна система за предоставяне на информация всички държави членки ще имат пълна прозрачност по веригата на плащане на дивиденти и лихви,  което понастоящем не е налице. Получените данни ще помогнат да се откриват и предотвратяват злоупотреби в областта на данъчните облекчения/възстановяването във връзка с ДПИ (Cum-Ex и Cum-Cum).</w:t>
                  </w:r>
                </w:p>
                <w:p w14:paraId="55BA9841" w14:textId="77777777" w:rsidR="00052297" w:rsidRDefault="00052297" w:rsidP="00052297">
                  <w:r>
                    <w:t xml:space="preserve">Очаква се решение на равнището на ЕС, с което да се цифровизират и хармонизират основните характеристики на процедурите за данъчни облекчения във връзка с ДПИ при спазване на принципа на пропорционалност, да доведе до намаляване на административната тежест и следователно до спестяване на време и разходи за данъчните органи, инвеститорите и финансовите посредници. </w:t>
                  </w:r>
                </w:p>
              </w:txbxContent>
            </v:textbox>
            <w10:anchorlock/>
          </v:shape>
        </w:pict>
      </w:r>
    </w:p>
    <w:p w14:paraId="2EBEFE26" w14:textId="77777777" w:rsidR="00052297" w:rsidRPr="00130899" w:rsidRDefault="00052297" w:rsidP="005837D8">
      <w:pPr>
        <w:rPr>
          <w:noProof/>
        </w:rPr>
      </w:pPr>
      <w:r w:rsidRPr="00130899">
        <w:rPr>
          <w:noProof/>
        </w:rPr>
        <w:tab/>
      </w:r>
      <w:r w:rsidRPr="00130899">
        <w:rPr>
          <w:noProof/>
        </w:rPr>
        <w:tab/>
      </w:r>
    </w:p>
    <w:p w14:paraId="7028C341" w14:textId="77777777" w:rsidR="00052297" w:rsidRPr="00130899" w:rsidRDefault="00052297" w:rsidP="005837D8">
      <w:pPr>
        <w:pStyle w:val="ManualHeading3"/>
        <w:rPr>
          <w:noProof/>
        </w:rPr>
      </w:pPr>
      <w:r w:rsidRPr="00130899">
        <w:rPr>
          <w:noProof/>
        </w:rPr>
        <w:tab/>
        <w:t>1.5.3.</w:t>
      </w:r>
      <w:r w:rsidRPr="00130899">
        <w:rPr>
          <w:noProof/>
        </w:rPr>
        <w:tab/>
        <w:t>Изводи от подобен опит в миналото</w:t>
      </w:r>
    </w:p>
    <w:p w14:paraId="66D79171" w14:textId="77777777" w:rsidR="00052297" w:rsidRPr="00130899" w:rsidRDefault="00CE3052" w:rsidP="005837D8">
      <w:pPr>
        <w:rPr>
          <w:noProof/>
        </w:rPr>
      </w:pPr>
      <w:r>
        <w:rPr>
          <w:noProof/>
        </w:rPr>
      </w:r>
      <w:r>
        <w:rPr>
          <w:noProof/>
        </w:rPr>
        <w:pict w14:anchorId="10F05C3E">
          <v:shape id="Text Box 3" o:spid="_x0000_s2056" type="#_x0000_t202" style="width:405pt;height:135.6pt;visibility:visible;mso-left-percent:-10001;mso-top-percent:-10001;mso-position-horizontal:absolute;mso-position-horizontal-relative:char;mso-position-vertical:absolute;mso-position-vertical-relative:line;mso-left-percent:-10001;mso-top-percent:-10001">
            <v:textbox>
              <w:txbxContent>
                <w:p w14:paraId="4833F2C4" w14:textId="77777777" w:rsidR="00052297" w:rsidRDefault="00052297" w:rsidP="00052297">
                  <w:r>
                    <w:t xml:space="preserve">Инициативата е нов механизъм на равнището на ЕС. Към настоящия момент само много малък брой държави членки са въвели системи за бързо възстановяване на средства, като те са били изправени пред проблеми при прилагането им. </w:t>
                  </w:r>
                </w:p>
                <w:p w14:paraId="0BF53015" w14:textId="77777777" w:rsidR="00052297" w:rsidRDefault="00052297" w:rsidP="00052297">
                  <w:r>
                    <w:t>Понастоящем предоставянето на информация от страна на финансовите посредници е ограничено и обикновено се предоставя само от емитента на ценни книжа/агента по ДПИ във финансовата верига, но не и от други финансови посредници. Инициативата ще осигури пълна прозрачност на плащанията на дивиденти и лихви по финансовата верига с оглед на откриването и предотвратяването на злоупотреби с данъчни облекчения/възстановявания в областта на ДПИ.</w:t>
                  </w:r>
                </w:p>
              </w:txbxContent>
            </v:textbox>
            <w10:anchorlock/>
          </v:shape>
        </w:pict>
      </w:r>
      <w:r w:rsidR="00130899" w:rsidRPr="00130899">
        <w:rPr>
          <w:noProof/>
        </w:rPr>
        <w:tab/>
      </w:r>
    </w:p>
    <w:p w14:paraId="76F38D90" w14:textId="77777777" w:rsidR="00052297" w:rsidRPr="00130899" w:rsidRDefault="00052297" w:rsidP="005837D8">
      <w:pPr>
        <w:pStyle w:val="ManualHeading3"/>
        <w:rPr>
          <w:noProof/>
        </w:rPr>
      </w:pPr>
      <w:r w:rsidRPr="00130899">
        <w:rPr>
          <w:noProof/>
        </w:rPr>
        <w:tab/>
        <w:t>1.5.4.</w:t>
      </w:r>
      <w:r w:rsidRPr="00130899">
        <w:rPr>
          <w:noProof/>
        </w:rPr>
        <w:tab/>
        <w:t>Съвместимост с многогодишната финансова рамка и евентуални полезни взаимодействия с други подходящи инструменти</w:t>
      </w:r>
    </w:p>
    <w:p w14:paraId="788AD4A1" w14:textId="77777777" w:rsidR="00052297" w:rsidRPr="00130899" w:rsidRDefault="00CE3052" w:rsidP="005837D8">
      <w:pPr>
        <w:rPr>
          <w:noProof/>
        </w:rPr>
      </w:pPr>
      <w:r>
        <w:rPr>
          <w:noProof/>
          <w:color w:val="2B579A"/>
          <w:shd w:val="clear" w:color="auto" w:fill="E6E6E6"/>
        </w:rPr>
      </w:r>
      <w:r>
        <w:rPr>
          <w:noProof/>
          <w:color w:val="2B579A"/>
          <w:shd w:val="clear" w:color="auto" w:fill="E6E6E6"/>
        </w:rPr>
        <w:pict w14:anchorId="1A68136A">
          <v:shape id="Text Box 2" o:spid="_x0000_s2055" type="#_x0000_t202" style="width:407.7pt;height:111.5pt;visibility:visible;mso-left-percent:-10001;mso-top-percent:-10001;mso-position-horizontal:absolute;mso-position-horizontal-relative:char;mso-position-vertical:absolute;mso-position-vertical-relative:line;mso-left-percent:-10001;mso-top-percent:-10001">
            <v:textbox>
              <w:txbxContent>
                <w:p w14:paraId="043D287D" w14:textId="77777777" w:rsidR="00052297" w:rsidRPr="00052297" w:rsidRDefault="00052297" w:rsidP="00052297">
                  <w:pPr>
                    <w:pBdr>
                      <w:top w:val="nil"/>
                      <w:left w:val="nil"/>
                      <w:bottom w:val="nil"/>
                      <w:right w:val="nil"/>
                      <w:between w:val="nil"/>
                      <w:bar w:val="nil"/>
                    </w:pBdr>
                    <w:spacing w:before="0" w:after="240"/>
                  </w:pPr>
                  <w:r>
                    <w:t xml:space="preserve">Настоящата директива отразява едно от действията, заложени в „Плана за действие за справедливо и опростено данъчно облагане в подкрепа на стратегията за възстановяване“ и в „Плана за действие за съюза на капиталовите пазари 2.0“. </w:t>
                  </w:r>
                </w:p>
                <w:p w14:paraId="39470619" w14:textId="77777777" w:rsidR="00052297" w:rsidRDefault="00052297" w:rsidP="00052297">
                  <w:pPr>
                    <w:pBdr>
                      <w:top w:val="nil"/>
                      <w:left w:val="nil"/>
                      <w:bottom w:val="nil"/>
                      <w:right w:val="nil"/>
                      <w:between w:val="nil"/>
                      <w:bar w:val="nil"/>
                    </w:pBdr>
                    <w:spacing w:before="0" w:after="240"/>
                  </w:pPr>
                  <w:r>
                    <w:t>Осигуряването на справедливо данъчно облагане изисква предотвратяване на данъчните злоупотреби. Предложението ще използва подобни процедури, договорености и ИТ инструменти, които вече са създадени или са в процес на разработване в рамките на ДАС.</w:t>
                  </w:r>
                </w:p>
              </w:txbxContent>
            </v:textbox>
            <w10:anchorlock/>
          </v:shape>
        </w:pict>
      </w:r>
    </w:p>
    <w:p w14:paraId="010C267E" w14:textId="77777777" w:rsidR="00052297" w:rsidRPr="00130899" w:rsidRDefault="00287904" w:rsidP="00287904">
      <w:pPr>
        <w:pStyle w:val="ManualHeading3"/>
        <w:rPr>
          <w:noProof/>
        </w:rPr>
      </w:pPr>
      <w:r w:rsidRPr="00130899">
        <w:rPr>
          <w:noProof/>
        </w:rPr>
        <w:tab/>
        <w:t>1.5.5.</w:t>
      </w:r>
      <w:r w:rsidRPr="00130899">
        <w:rPr>
          <w:noProof/>
        </w:rPr>
        <w:tab/>
        <w:t>Оценка на различните налични варианти за финансиране, включително възможностите за преразпределяне на средства</w:t>
      </w:r>
      <w:r w:rsidRPr="00130899">
        <w:rPr>
          <w:noProof/>
        </w:rPr>
        <w:tab/>
      </w:r>
      <w:r w:rsidRPr="00130899">
        <w:rPr>
          <w:noProof/>
        </w:rPr>
        <w:tab/>
      </w:r>
    </w:p>
    <w:p w14:paraId="4A2D68F2" w14:textId="77777777" w:rsidR="00052297" w:rsidRPr="00130899" w:rsidRDefault="00CE3052" w:rsidP="005837D8">
      <w:pPr>
        <w:rPr>
          <w:noProof/>
        </w:rPr>
      </w:pPr>
      <w:r>
        <w:rPr>
          <w:noProof/>
        </w:rPr>
      </w:r>
      <w:r>
        <w:rPr>
          <w:noProof/>
        </w:rPr>
        <w:pict w14:anchorId="75E2EE01">
          <v:shape id="_x0000_s2054" type="#_x0000_t202" style="width:408.8pt;height:131.45pt;visibility:visible;mso-left-percent:-10001;mso-top-percent:-10001;mso-position-horizontal:absolute;mso-position-horizontal-relative:char;mso-position-vertical:absolute;mso-position-vertical-relative:line;mso-left-percent:-10001;mso-top-percent:-10001">
            <v:textbox>
              <w:txbxContent>
                <w:p w14:paraId="4704F3E9" w14:textId="77777777" w:rsidR="00A41956" w:rsidRPr="003F2CA4" w:rsidRDefault="00F60C4D" w:rsidP="003F2CA4">
                  <w:pPr>
                    <w:pStyle w:val="ManualHeading2"/>
                    <w:ind w:left="720" w:firstLine="0"/>
                    <w:jc w:val="left"/>
                    <w:rPr>
                      <w:b w:val="0"/>
                    </w:rPr>
                  </w:pPr>
                  <w:r>
                    <w:rPr>
                      <w:b w:val="0"/>
                    </w:rPr>
                    <w:t>Комисията ще съдейства на държавите членки при прилагането на eTRC, включително чрез постоянна техническа подкрепа. Освен това е необходимо Комисията да оказва постоянна подкрепа на държавите членки при прилагането и мониторинга на рамката за механизмите за предоставяне на информация от страна на финансовите посредници. Съответните разходи ще се финансират от бюджета на ЕС.</w:t>
                  </w:r>
                </w:p>
                <w:p w14:paraId="240DFF33" w14:textId="77777777" w:rsidR="00052297" w:rsidRPr="003F2CA4" w:rsidRDefault="00052297" w:rsidP="003F2CA4">
                  <w:pPr>
                    <w:pStyle w:val="ManualHeading2"/>
                    <w:ind w:left="720" w:firstLine="0"/>
                    <w:jc w:val="left"/>
                    <w:rPr>
                      <w:b w:val="0"/>
                    </w:rPr>
                  </w:pPr>
                  <w:r>
                    <w:rPr>
                      <w:b w:val="0"/>
                    </w:rPr>
                    <w:t>Държавите членки ще носят отговорност за изпълнението на предвидените мерки.</w:t>
                  </w:r>
                </w:p>
              </w:txbxContent>
            </v:textbox>
            <w10:anchorlock/>
          </v:shape>
        </w:pict>
      </w:r>
      <w:r w:rsidR="00130899" w:rsidRPr="00130899">
        <w:rPr>
          <w:noProof/>
        </w:rPr>
        <w:tab/>
      </w:r>
    </w:p>
    <w:p w14:paraId="4B1FD618" w14:textId="77777777" w:rsidR="00052297" w:rsidRPr="00130899" w:rsidRDefault="00052297" w:rsidP="005837D8">
      <w:pPr>
        <w:rPr>
          <w:noProof/>
        </w:rPr>
      </w:pPr>
    </w:p>
    <w:p w14:paraId="1F653548" w14:textId="77777777" w:rsidR="00052297" w:rsidRPr="00130899" w:rsidRDefault="00052297" w:rsidP="005837D8">
      <w:pPr>
        <w:pStyle w:val="ManualHeading2"/>
        <w:rPr>
          <w:b w:val="0"/>
          <w:noProof/>
        </w:rPr>
      </w:pPr>
      <w:r w:rsidRPr="00130899">
        <w:rPr>
          <w:noProof/>
        </w:rPr>
        <w:tab/>
        <w:t>1.6.</w:t>
      </w:r>
      <w:r w:rsidRPr="00130899">
        <w:rPr>
          <w:noProof/>
        </w:rPr>
        <w:tab/>
        <w:t>Продължителност и финансово отражение на предложението/инициативата</w:t>
      </w:r>
    </w:p>
    <w:p w14:paraId="08B9C77A" w14:textId="77777777" w:rsidR="00052297" w:rsidRPr="00130899" w:rsidRDefault="00052297" w:rsidP="005837D8">
      <w:pPr>
        <w:rPr>
          <w:noProof/>
        </w:rPr>
      </w:pPr>
      <w:r w:rsidRPr="00130899">
        <w:rPr>
          <w:noProof/>
        </w:rPr>
        <w:tab/>
      </w:r>
    </w:p>
    <w:p w14:paraId="5A264F43" w14:textId="77777777" w:rsidR="00052297" w:rsidRPr="00130899" w:rsidRDefault="00052297" w:rsidP="00052297">
      <w:pPr>
        <w:tabs>
          <w:tab w:val="num" w:pos="1134"/>
        </w:tabs>
        <w:ind w:left="1134" w:hanging="283"/>
        <w:rPr>
          <w:noProof/>
        </w:rPr>
      </w:pPr>
      <w:r w:rsidRPr="00130899">
        <w:rPr>
          <w:rFonts w:ascii="Wingdings" w:hAnsi="Wingdings"/>
          <w:noProof/>
        </w:rPr>
        <w:sym w:font="Wingdings" w:char="F0A8"/>
      </w:r>
      <w:r w:rsidRPr="00130899">
        <w:rPr>
          <w:noProof/>
        </w:rPr>
        <w:tab/>
      </w:r>
      <w:r w:rsidRPr="00130899">
        <w:rPr>
          <w:b/>
          <w:noProof/>
        </w:rPr>
        <w:t>ограничен срок на действие</w:t>
      </w:r>
      <w:r w:rsidRPr="00130899">
        <w:rPr>
          <w:noProof/>
        </w:rPr>
        <w:t xml:space="preserve"> </w:t>
      </w:r>
    </w:p>
    <w:p w14:paraId="0ABBA32C" w14:textId="77777777" w:rsidR="00052297" w:rsidRPr="00130899" w:rsidRDefault="00052297" w:rsidP="00052297">
      <w:pPr>
        <w:tabs>
          <w:tab w:val="num" w:pos="1134"/>
        </w:tabs>
        <w:ind w:left="1134" w:hanging="283"/>
        <w:rPr>
          <w:noProof/>
        </w:rPr>
      </w:pPr>
      <w:r w:rsidRPr="00130899">
        <w:rPr>
          <w:rFonts w:ascii="Wingdings" w:hAnsi="Wingdings"/>
          <w:noProof/>
        </w:rPr>
        <w:sym w:font="Wingdings" w:char="F0A8"/>
      </w:r>
      <w:r w:rsidRPr="00130899">
        <w:rPr>
          <w:noProof/>
        </w:rPr>
        <w:tab/>
        <w:t xml:space="preserve">в сила от [ДД/ММ]ГГГГ до [ДД/ММ]ГГГГ </w:t>
      </w:r>
    </w:p>
    <w:p w14:paraId="5B6F7CB0" w14:textId="77777777" w:rsidR="00052297" w:rsidRPr="00130899" w:rsidRDefault="00052297" w:rsidP="00052297">
      <w:pPr>
        <w:tabs>
          <w:tab w:val="num" w:pos="1134"/>
        </w:tabs>
        <w:ind w:left="1134" w:hanging="283"/>
        <w:rPr>
          <w:noProof/>
        </w:rPr>
      </w:pPr>
      <w:r w:rsidRPr="00130899">
        <w:rPr>
          <w:rFonts w:ascii="Wingdings" w:hAnsi="Wingdings"/>
          <w:noProof/>
        </w:rPr>
        <w:sym w:font="Wingdings" w:char="F0A8"/>
      </w:r>
      <w:r w:rsidRPr="00130899">
        <w:rPr>
          <w:noProof/>
        </w:rPr>
        <w:tab/>
        <w:t xml:space="preserve">Финансово отражение от ГГГГ до ГГГГ за бюджетните кредити за поети задължения и от ГГГГ до ГГГГ за бюджетните кредити за плащания. </w:t>
      </w:r>
    </w:p>
    <w:p w14:paraId="5F0F647F" w14:textId="77777777" w:rsidR="00052297" w:rsidRPr="00130899" w:rsidRDefault="00052297" w:rsidP="002C4E11">
      <w:pPr>
        <w:pStyle w:val="Tiret1"/>
        <w:rPr>
          <w:noProof/>
        </w:rPr>
      </w:pPr>
      <w:r w:rsidRPr="00130899">
        <w:rPr>
          <w:b/>
          <w:noProof/>
        </w:rPr>
        <w:t>X</w:t>
      </w:r>
      <w:r w:rsidRPr="00130899">
        <w:rPr>
          <w:b/>
          <w:i/>
          <w:noProof/>
        </w:rPr>
        <w:t xml:space="preserve"> </w:t>
      </w:r>
      <w:r w:rsidRPr="00130899">
        <w:rPr>
          <w:b/>
          <w:noProof/>
        </w:rPr>
        <w:t>неограничен срок на действие</w:t>
      </w:r>
    </w:p>
    <w:p w14:paraId="6C8F3FF0" w14:textId="77777777" w:rsidR="00052297" w:rsidRPr="00130899" w:rsidRDefault="00052297" w:rsidP="00052297">
      <w:pPr>
        <w:tabs>
          <w:tab w:val="num" w:pos="1134"/>
        </w:tabs>
        <w:ind w:left="1134" w:hanging="283"/>
        <w:rPr>
          <w:noProof/>
        </w:rPr>
      </w:pPr>
      <w:r w:rsidRPr="00130899">
        <w:rPr>
          <w:noProof/>
        </w:rPr>
        <w:t>Изпълнение с период на започване на дейност от ГГГГ до ГГГГ,</w:t>
      </w:r>
    </w:p>
    <w:p w14:paraId="4E94D84B" w14:textId="77777777" w:rsidR="00052297" w:rsidRPr="00130899" w:rsidRDefault="00052297" w:rsidP="00052297">
      <w:pPr>
        <w:tabs>
          <w:tab w:val="num" w:pos="1134"/>
        </w:tabs>
        <w:ind w:left="1134" w:hanging="283"/>
        <w:rPr>
          <w:noProof/>
        </w:rPr>
      </w:pPr>
      <w:r w:rsidRPr="00130899">
        <w:rPr>
          <w:noProof/>
        </w:rPr>
        <w:t>последван от функциониране с пълен капацитет.</w:t>
      </w:r>
    </w:p>
    <w:p w14:paraId="3F3A83B2" w14:textId="77777777" w:rsidR="00052297" w:rsidRPr="00130899" w:rsidRDefault="00052297" w:rsidP="00052297">
      <w:pPr>
        <w:ind w:left="851"/>
        <w:rPr>
          <w:noProof/>
        </w:rPr>
      </w:pPr>
    </w:p>
    <w:p w14:paraId="42DB2452" w14:textId="77777777" w:rsidR="00052297" w:rsidRPr="00130899" w:rsidRDefault="00287904" w:rsidP="00287904">
      <w:pPr>
        <w:pStyle w:val="ManualHeading2"/>
        <w:rPr>
          <w:noProof/>
        </w:rPr>
      </w:pPr>
      <w:r w:rsidRPr="00130899">
        <w:rPr>
          <w:noProof/>
        </w:rPr>
        <w:tab/>
        <w:t>1.7.</w:t>
      </w:r>
      <w:r w:rsidRPr="00130899">
        <w:rPr>
          <w:noProof/>
        </w:rPr>
        <w:tab/>
      </w:r>
      <w:bookmarkStart w:id="11" w:name="_Toc514938040"/>
      <w:bookmarkStart w:id="12" w:name="_Toc520485041"/>
      <w:r w:rsidRPr="00130899">
        <w:rPr>
          <w:noProof/>
        </w:rPr>
        <w:t>Планирани методи на управление</w:t>
      </w:r>
      <w:bookmarkEnd w:id="11"/>
      <w:bookmarkEnd w:id="12"/>
      <w:r w:rsidRPr="00130899">
        <w:rPr>
          <w:noProof/>
        </w:rPr>
        <w:t xml:space="preserve"> </w:t>
      </w:r>
    </w:p>
    <w:p w14:paraId="6C0D43C4" w14:textId="77777777" w:rsidR="00052297" w:rsidRPr="00130899" w:rsidRDefault="00052297" w:rsidP="002C4E11">
      <w:pPr>
        <w:pStyle w:val="Tiret1"/>
        <w:rPr>
          <w:noProof/>
        </w:rPr>
      </w:pPr>
      <w:r w:rsidRPr="00130899">
        <w:rPr>
          <w:b/>
          <w:noProof/>
        </w:rPr>
        <w:t>X</w:t>
      </w:r>
      <w:r w:rsidRPr="00130899">
        <w:rPr>
          <w:i/>
          <w:noProof/>
        </w:rPr>
        <w:t xml:space="preserve"> </w:t>
      </w:r>
      <w:r w:rsidRPr="00130899">
        <w:rPr>
          <w:b/>
          <w:noProof/>
        </w:rPr>
        <w:t>Пряко управление</w:t>
      </w:r>
      <w:r w:rsidRPr="00130899">
        <w:rPr>
          <w:noProof/>
        </w:rPr>
        <w:t xml:space="preserve"> от Комисията</w:t>
      </w:r>
    </w:p>
    <w:p w14:paraId="53ED9835" w14:textId="77777777" w:rsidR="00052297" w:rsidRPr="00130899" w:rsidRDefault="00052297" w:rsidP="00052297">
      <w:pPr>
        <w:tabs>
          <w:tab w:val="num" w:pos="1134"/>
        </w:tabs>
        <w:ind w:left="1134" w:hanging="283"/>
        <w:rPr>
          <w:rFonts w:eastAsia="Times New Roman" w:cs="EUAlbertina"/>
          <w:noProof/>
        </w:rPr>
      </w:pPr>
      <w:r w:rsidRPr="00130899">
        <w:rPr>
          <w:b/>
          <w:noProof/>
        </w:rPr>
        <w:t>X</w:t>
      </w:r>
      <w:r w:rsidRPr="00130899">
        <w:rPr>
          <w:noProof/>
        </w:rPr>
        <w:t xml:space="preserve"> от нейните служби, включително от нейния персонал в делегациите на Съюза; </w:t>
      </w:r>
    </w:p>
    <w:p w14:paraId="5CF51992" w14:textId="77777777" w:rsidR="00052297" w:rsidRPr="00130899" w:rsidRDefault="00052297" w:rsidP="00052297">
      <w:pPr>
        <w:tabs>
          <w:tab w:val="num" w:pos="1134"/>
        </w:tabs>
        <w:ind w:left="1134" w:hanging="283"/>
        <w:rPr>
          <w:noProof/>
        </w:rPr>
      </w:pPr>
      <w:r w:rsidRPr="00130899">
        <w:rPr>
          <w:rFonts w:ascii="Wingdings" w:hAnsi="Wingdings"/>
          <w:noProof/>
        </w:rPr>
        <w:sym w:font="Wingdings" w:char="F0A8"/>
      </w:r>
      <w:r w:rsidRPr="00130899">
        <w:rPr>
          <w:noProof/>
        </w:rPr>
        <w:tab/>
        <w:t xml:space="preserve">от изпълнителните агенции </w:t>
      </w:r>
    </w:p>
    <w:p w14:paraId="41E2DA98" w14:textId="77777777" w:rsidR="00052297" w:rsidRPr="00130899" w:rsidRDefault="00052297" w:rsidP="002C4E11">
      <w:pPr>
        <w:pStyle w:val="Tiret1"/>
        <w:rPr>
          <w:noProof/>
        </w:rPr>
      </w:pPr>
      <w:r w:rsidRPr="00130899">
        <w:rPr>
          <w:rFonts w:ascii="Wingdings" w:hAnsi="Wingdings"/>
          <w:noProof/>
        </w:rPr>
        <w:sym w:font="Wingdings" w:char="F0A8"/>
      </w:r>
      <w:r w:rsidRPr="00130899">
        <w:rPr>
          <w:b/>
          <w:i/>
          <w:noProof/>
        </w:rPr>
        <w:t xml:space="preserve"> </w:t>
      </w:r>
      <w:r w:rsidRPr="00130899">
        <w:rPr>
          <w:b/>
          <w:noProof/>
        </w:rPr>
        <w:t>Споделено управление</w:t>
      </w:r>
      <w:r w:rsidRPr="00130899">
        <w:rPr>
          <w:noProof/>
        </w:rPr>
        <w:t xml:space="preserve"> с държавите членки </w:t>
      </w:r>
    </w:p>
    <w:p w14:paraId="36E8C9EB" w14:textId="77777777" w:rsidR="00052297" w:rsidRPr="00130899" w:rsidRDefault="00052297" w:rsidP="002C4E11">
      <w:pPr>
        <w:pStyle w:val="Tiret1"/>
        <w:rPr>
          <w:noProof/>
        </w:rPr>
      </w:pPr>
      <w:r w:rsidRPr="00130899">
        <w:rPr>
          <w:rFonts w:ascii="Wingdings" w:hAnsi="Wingdings"/>
          <w:noProof/>
        </w:rPr>
        <w:sym w:font="Wingdings" w:char="F0A8"/>
      </w:r>
      <w:r w:rsidRPr="00130899">
        <w:rPr>
          <w:i/>
          <w:noProof/>
        </w:rPr>
        <w:t xml:space="preserve"> </w:t>
      </w:r>
      <w:r w:rsidRPr="00130899">
        <w:rPr>
          <w:b/>
          <w:noProof/>
        </w:rPr>
        <w:t>Непряко управление</w:t>
      </w:r>
      <w:r w:rsidRPr="00130899">
        <w:rPr>
          <w:noProof/>
        </w:rPr>
        <w:t xml:space="preserve"> чрез възлагане на задачи по изпълнението на бюджета на:</w:t>
      </w:r>
    </w:p>
    <w:p w14:paraId="1B9707E7" w14:textId="77777777" w:rsidR="00052297" w:rsidRPr="00130899" w:rsidRDefault="00052297" w:rsidP="00052297">
      <w:pPr>
        <w:tabs>
          <w:tab w:val="num" w:pos="1134"/>
        </w:tabs>
        <w:ind w:left="1134" w:hanging="283"/>
        <w:rPr>
          <w:noProof/>
        </w:rPr>
      </w:pPr>
      <w:r w:rsidRPr="00130899">
        <w:rPr>
          <w:rFonts w:ascii="Wingdings" w:hAnsi="Wingdings"/>
          <w:noProof/>
        </w:rPr>
        <w:sym w:font="Wingdings" w:char="F0A8"/>
      </w:r>
      <w:r w:rsidRPr="00130899">
        <w:rPr>
          <w:noProof/>
        </w:rPr>
        <w:t xml:space="preserve"> трети държави или на органите, определени от тях;</w:t>
      </w:r>
    </w:p>
    <w:p w14:paraId="0C16DFFE" w14:textId="77777777" w:rsidR="00052297" w:rsidRPr="00130899" w:rsidRDefault="00052297" w:rsidP="00052297">
      <w:pPr>
        <w:tabs>
          <w:tab w:val="num" w:pos="1134"/>
        </w:tabs>
        <w:ind w:left="1134" w:hanging="283"/>
        <w:rPr>
          <w:noProof/>
        </w:rPr>
      </w:pPr>
      <w:r w:rsidRPr="00130899">
        <w:rPr>
          <w:rFonts w:ascii="Wingdings" w:hAnsi="Wingdings"/>
          <w:noProof/>
        </w:rPr>
        <w:sym w:font="Wingdings" w:char="F0A8"/>
      </w:r>
      <w:r w:rsidRPr="00130899">
        <w:rPr>
          <w:noProof/>
        </w:rPr>
        <w:t xml:space="preserve"> международни организации и техните агенции (да се уточни);</w:t>
      </w:r>
    </w:p>
    <w:p w14:paraId="649BDA27" w14:textId="77777777" w:rsidR="00052297" w:rsidRPr="00130899" w:rsidRDefault="00052297" w:rsidP="00052297">
      <w:pPr>
        <w:tabs>
          <w:tab w:val="num" w:pos="1134"/>
        </w:tabs>
        <w:ind w:left="1134" w:hanging="283"/>
        <w:rPr>
          <w:noProof/>
        </w:rPr>
      </w:pPr>
      <w:r w:rsidRPr="00130899">
        <w:rPr>
          <w:rFonts w:ascii="Wingdings" w:hAnsi="Wingdings"/>
          <w:noProof/>
        </w:rPr>
        <w:sym w:font="Wingdings" w:char="F0A8"/>
      </w:r>
      <w:r w:rsidRPr="00130899">
        <w:rPr>
          <w:noProof/>
        </w:rPr>
        <w:t xml:space="preserve"> ЕИБ и Европейския инвестиционен фонд;</w:t>
      </w:r>
    </w:p>
    <w:p w14:paraId="4A0D03ED" w14:textId="77777777" w:rsidR="00052297" w:rsidRPr="00130899" w:rsidRDefault="00052297" w:rsidP="00052297">
      <w:pPr>
        <w:tabs>
          <w:tab w:val="num" w:pos="1134"/>
        </w:tabs>
        <w:ind w:left="1134" w:hanging="283"/>
        <w:rPr>
          <w:noProof/>
        </w:rPr>
      </w:pPr>
      <w:r w:rsidRPr="00130899">
        <w:rPr>
          <w:rFonts w:ascii="Wingdings" w:hAnsi="Wingdings"/>
          <w:noProof/>
        </w:rPr>
        <w:sym w:font="Wingdings" w:char="F0A8"/>
      </w:r>
      <w:r w:rsidRPr="00130899">
        <w:rPr>
          <w:noProof/>
        </w:rPr>
        <w:t xml:space="preserve"> органите, посочени в членове 70 и 71 от Финансовия регламент;</w:t>
      </w:r>
    </w:p>
    <w:p w14:paraId="705C7B4E" w14:textId="77777777" w:rsidR="00052297" w:rsidRPr="00130899" w:rsidRDefault="00052297" w:rsidP="00052297">
      <w:pPr>
        <w:tabs>
          <w:tab w:val="num" w:pos="1134"/>
        </w:tabs>
        <w:ind w:left="1134" w:hanging="283"/>
        <w:rPr>
          <w:noProof/>
        </w:rPr>
      </w:pPr>
      <w:r w:rsidRPr="00130899">
        <w:rPr>
          <w:rFonts w:ascii="Wingdings" w:hAnsi="Wingdings"/>
          <w:noProof/>
        </w:rPr>
        <w:sym w:font="Wingdings" w:char="F0A8"/>
      </w:r>
      <w:r w:rsidRPr="00130899">
        <w:rPr>
          <w:noProof/>
        </w:rPr>
        <w:t xml:space="preserve"> публичноправни органи;</w:t>
      </w:r>
    </w:p>
    <w:p w14:paraId="26F341DE" w14:textId="77777777" w:rsidR="00052297" w:rsidRPr="00130899" w:rsidRDefault="00052297" w:rsidP="00052297">
      <w:pPr>
        <w:tabs>
          <w:tab w:val="num" w:pos="1134"/>
        </w:tabs>
        <w:ind w:left="1134" w:hanging="283"/>
        <w:rPr>
          <w:noProof/>
        </w:rPr>
      </w:pPr>
      <w:r w:rsidRPr="00130899">
        <w:rPr>
          <w:rFonts w:ascii="Wingdings" w:hAnsi="Wingdings"/>
          <w:noProof/>
        </w:rPr>
        <w:sym w:font="Wingdings" w:char="F0A8"/>
      </w:r>
      <w:r w:rsidRPr="00130899">
        <w:rPr>
          <w:noProof/>
        </w:rPr>
        <w:t xml:space="preserve"> частноправни органи със задължение за обществена услуга, доколкото предоставят подходящи финансови гаранции;</w:t>
      </w:r>
    </w:p>
    <w:p w14:paraId="5D32B617" w14:textId="77777777" w:rsidR="00052297" w:rsidRPr="00130899" w:rsidRDefault="00052297" w:rsidP="00052297">
      <w:pPr>
        <w:tabs>
          <w:tab w:val="num" w:pos="1134"/>
        </w:tabs>
        <w:ind w:left="1134" w:hanging="283"/>
        <w:rPr>
          <w:noProof/>
        </w:rPr>
      </w:pPr>
      <w:r w:rsidRPr="00130899">
        <w:rPr>
          <w:rFonts w:ascii="Wingdings" w:hAnsi="Wingdings"/>
          <w:noProof/>
        </w:rPr>
        <w:sym w:font="Wingdings" w:char="F0A8"/>
      </w:r>
      <w:r w:rsidRPr="00130899">
        <w:rPr>
          <w:noProof/>
        </w:rPr>
        <w:t xml:space="preserve"> органи, уредени в частното право на държава членка, на които е възложено осъществяването на публично-частно партньорство и които предоставят подходящи финансови гаранции;</w:t>
      </w:r>
    </w:p>
    <w:p w14:paraId="7D808564" w14:textId="77777777" w:rsidR="00052297" w:rsidRPr="00130899" w:rsidRDefault="00052297" w:rsidP="00052297">
      <w:pPr>
        <w:tabs>
          <w:tab w:val="num" w:pos="1134"/>
        </w:tabs>
        <w:ind w:left="1134" w:hanging="283"/>
        <w:rPr>
          <w:noProof/>
        </w:rPr>
      </w:pPr>
      <w:r w:rsidRPr="00130899">
        <w:rPr>
          <w:rFonts w:ascii="Wingdings" w:hAnsi="Wingdings"/>
          <w:noProof/>
        </w:rPr>
        <w:sym w:font="Wingdings" w:char="F0A8"/>
      </w:r>
      <w:r w:rsidRPr="00130899">
        <w:rPr>
          <w:noProof/>
        </w:rPr>
        <w:t xml:space="preserve"> лица, на които е възложено изпълнението на специфични дейности в областта на ОВППС съгласно дял V от ДЕС и които са посочени в съответния основен акт.</w:t>
      </w:r>
    </w:p>
    <w:p w14:paraId="468A42E4" w14:textId="77777777" w:rsidR="006E6DDA" w:rsidRPr="00130899" w:rsidRDefault="006E6DDA" w:rsidP="006E6DDA">
      <w:pPr>
        <w:rPr>
          <w:noProof/>
        </w:rPr>
      </w:pPr>
    </w:p>
    <w:p w14:paraId="4134FE84" w14:textId="77777777" w:rsidR="00052297" w:rsidRPr="00130899" w:rsidRDefault="00052297" w:rsidP="005837D8">
      <w:pPr>
        <w:pStyle w:val="ManualHeading1"/>
        <w:rPr>
          <w:noProof/>
        </w:rPr>
      </w:pPr>
      <w:r w:rsidRPr="00130899">
        <w:rPr>
          <w:noProof/>
        </w:rPr>
        <w:t>2.</w:t>
      </w:r>
      <w:r w:rsidRPr="00130899">
        <w:rPr>
          <w:noProof/>
        </w:rPr>
        <w:tab/>
        <w:t>МЕРКИ ЗА УПРАВЛЕНИЕ</w:t>
      </w:r>
    </w:p>
    <w:p w14:paraId="2914F80E" w14:textId="77777777" w:rsidR="00052297" w:rsidRPr="00130899" w:rsidRDefault="00052297" w:rsidP="00052297">
      <w:pPr>
        <w:pStyle w:val="ManualHeading2"/>
        <w:rPr>
          <w:noProof/>
        </w:rPr>
      </w:pPr>
      <w:r w:rsidRPr="00130899">
        <w:rPr>
          <w:noProof/>
        </w:rPr>
        <w:tab/>
        <w:t>2.1.</w:t>
      </w:r>
      <w:r w:rsidRPr="00130899">
        <w:rPr>
          <w:noProof/>
        </w:rPr>
        <w:tab/>
        <w:t>Правила за мониторинг и докладване</w:t>
      </w:r>
    </w:p>
    <w:p w14:paraId="247CEC5B" w14:textId="77777777" w:rsidR="00052297" w:rsidRPr="00130899" w:rsidRDefault="00CE3052" w:rsidP="00052297">
      <w:pPr>
        <w:pStyle w:val="Text1"/>
        <w:rPr>
          <w:noProof/>
        </w:rPr>
      </w:pPr>
      <w:r>
        <w:rPr>
          <w:noProof/>
        </w:rPr>
      </w:r>
      <w:r>
        <w:rPr>
          <w:noProof/>
        </w:rPr>
        <w:pict w14:anchorId="0A459CE5">
          <v:shape id="_x0000_s2053" type="#_x0000_t202" style="width:450.5pt;height:187.5pt;visibility:visible;mso-left-percent:-10001;mso-top-percent:-10001;mso-position-horizontal:absolute;mso-position-horizontal-relative:char;mso-position-vertical:absolute;mso-position-vertical-relative:line;mso-left-percent:-10001;mso-top-percent:-10001">
            <v:textbox style="mso-next-textbox:#_x0000_s2053">
              <w:txbxContent>
                <w:p w14:paraId="5BBE472A" w14:textId="77777777" w:rsidR="00052297" w:rsidRDefault="00052297" w:rsidP="00052297">
                  <w:r>
                    <w:t xml:space="preserve">Комисията ще гарантира, че са въведени механизми за мониторинг и оценка на действието на интервенцията и за нейната оценка спрямо основните цели на политиката. </w:t>
                  </w:r>
                </w:p>
                <w:p w14:paraId="2DBCF3C5" w14:textId="77777777" w:rsidR="00052297" w:rsidRDefault="00052297" w:rsidP="00052297">
                  <w:r>
                    <w:t>Държавите членки ежегодно ще представят на Комисията данни за целите на информацията, посочена в таблицата по-горе относно показателите за изпълнение, които ще се използват за наблюдение на съответствието с директивата. При наличие на данни от наблюдението и ако се прецени, че е целесъобразно, Комисията ще направи оценка на преразглеждането на някои от характеристиките на системата в съответствие с техническата поддръжка на eTRC и акта за изпълнение на системата за предоставяне на информация.</w:t>
                  </w:r>
                </w:p>
                <w:p w14:paraId="44E09A6B" w14:textId="77777777" w:rsidR="00052297" w:rsidRDefault="00052297" w:rsidP="00052297">
                  <w:r>
                    <w:t>Пет години след прилагането на директивата ще бъде извършена оценка, която ще позволи на Комисията да направи преглед на резултатите от политиката по отношение на нейните цели, както и на цялостното въздействие по отношение на подобряването на системите за възстановяване/данъчни облекчения във връзка с ДПИ в ЕС, а също и за предотвратяване на данъчните злоупотреби в областта на ДПИ.</w:t>
                  </w:r>
                </w:p>
              </w:txbxContent>
            </v:textbox>
            <w10:anchorlock/>
          </v:shape>
        </w:pict>
      </w:r>
    </w:p>
    <w:p w14:paraId="67842C88" w14:textId="77777777" w:rsidR="00052297" w:rsidRPr="00130899" w:rsidRDefault="00052297" w:rsidP="00287904">
      <w:pPr>
        <w:pStyle w:val="Text2"/>
        <w:rPr>
          <w:noProof/>
        </w:rPr>
      </w:pPr>
    </w:p>
    <w:p w14:paraId="54AD5690" w14:textId="77777777" w:rsidR="00052297" w:rsidRPr="00130899" w:rsidRDefault="00287904" w:rsidP="00287904">
      <w:pPr>
        <w:pStyle w:val="ManualHeading2"/>
        <w:rPr>
          <w:noProof/>
        </w:rPr>
      </w:pPr>
      <w:r w:rsidRPr="00130899">
        <w:rPr>
          <w:noProof/>
        </w:rPr>
        <w:tab/>
        <w:t>2.2.</w:t>
      </w:r>
      <w:r w:rsidRPr="00130899">
        <w:rPr>
          <w:noProof/>
        </w:rPr>
        <w:tab/>
        <w:t>Системи за управление и контрол</w:t>
      </w:r>
    </w:p>
    <w:p w14:paraId="18DEC781" w14:textId="77777777" w:rsidR="00052297" w:rsidRPr="00130899" w:rsidRDefault="00052297" w:rsidP="00052297">
      <w:pPr>
        <w:pStyle w:val="ManualHeading3"/>
        <w:rPr>
          <w:noProof/>
        </w:rPr>
      </w:pPr>
      <w:r w:rsidRPr="00130899">
        <w:rPr>
          <w:noProof/>
        </w:rPr>
        <w:tab/>
        <w:t>2.2.1.</w:t>
      </w:r>
      <w:r w:rsidRPr="00130899">
        <w:rPr>
          <w:noProof/>
        </w:rPr>
        <w:tab/>
        <w:t>Обосновка на предложените начини за управление, механизми за финансиране на изпълнението, начини за плащане и стратегия за контрол</w:t>
      </w:r>
    </w:p>
    <w:p w14:paraId="359856A3" w14:textId="77777777" w:rsidR="00052297" w:rsidRPr="00130899" w:rsidRDefault="00CE3052" w:rsidP="00060712">
      <w:pPr>
        <w:pStyle w:val="Text1"/>
        <w:rPr>
          <w:noProof/>
        </w:rPr>
      </w:pPr>
      <w:r>
        <w:rPr>
          <w:noProof/>
        </w:rPr>
      </w:r>
      <w:r>
        <w:rPr>
          <w:noProof/>
        </w:rPr>
        <w:pict w14:anchorId="514FA324">
          <v:shape id="_x0000_s2052" type="#_x0000_t202" style="width:447pt;height:140.55pt;visibility:visible;mso-left-percent:-10001;mso-top-percent:-10001;mso-position-horizontal:absolute;mso-position-horizontal-relative:char;mso-position-vertical:absolute;mso-position-vertical-relative:line;mso-left-percent:-10001;mso-top-percent:-10001">
            <v:textbox>
              <w:txbxContent>
                <w:p w14:paraId="08A7CE07" w14:textId="77777777" w:rsidR="00052297" w:rsidRDefault="00052297" w:rsidP="00052297">
                  <w:r>
                    <w:t>За изпълнението на инициативата ще се разчита на компетентните органи (данъчните органи) на държавите членки. Те ще отговарят за финансирането на собствените си национални системи, включително за прилагането на eTRC, както и за създаването на национални системи за получаване на информация и искания от финансовите посредници.</w:t>
                  </w:r>
                </w:p>
                <w:p w14:paraId="28979B44" w14:textId="77777777" w:rsidR="00052297" w:rsidRDefault="00052297" w:rsidP="00052297">
                  <w:r>
                    <w:t xml:space="preserve">Комисията ще финансира техническата помощ за eTRC и създаването на равнището на ЕС на рамки за системите за предоставяне на информация и формулярите за исканията. </w:t>
                  </w:r>
                </w:p>
              </w:txbxContent>
            </v:textbox>
            <w10:anchorlock/>
          </v:shape>
        </w:pict>
      </w:r>
    </w:p>
    <w:p w14:paraId="30407C97" w14:textId="77777777" w:rsidR="00052297" w:rsidRPr="00130899" w:rsidRDefault="00052297" w:rsidP="005837D8">
      <w:pPr>
        <w:pStyle w:val="Text3"/>
        <w:rPr>
          <w:noProof/>
        </w:rPr>
      </w:pPr>
    </w:p>
    <w:p w14:paraId="34F86A5F" w14:textId="77777777" w:rsidR="00052297" w:rsidRPr="00130899" w:rsidRDefault="00052297" w:rsidP="00052297">
      <w:pPr>
        <w:pStyle w:val="ManualHeading3"/>
        <w:rPr>
          <w:noProof/>
        </w:rPr>
      </w:pPr>
      <w:r w:rsidRPr="00130899">
        <w:rPr>
          <w:noProof/>
        </w:rPr>
        <w:tab/>
        <w:t>2.2.2. Информация относно установените рискове и системите за вътрешен контрол, създадени с цел намаляването им</w:t>
      </w:r>
    </w:p>
    <w:p w14:paraId="39159D39" w14:textId="77777777" w:rsidR="00052297" w:rsidRPr="00130899" w:rsidRDefault="00052297" w:rsidP="00052297">
      <w:pPr>
        <w:pStyle w:val="Text1"/>
        <w:pBdr>
          <w:top w:val="single" w:sz="4" w:space="1" w:color="auto"/>
          <w:left w:val="single" w:sz="4" w:space="4" w:color="auto"/>
          <w:bottom w:val="single" w:sz="4" w:space="1" w:color="auto"/>
          <w:right w:val="single" w:sz="4" w:space="4" w:color="auto"/>
        </w:pBdr>
        <w:rPr>
          <w:noProof/>
        </w:rPr>
      </w:pPr>
      <w:r w:rsidRPr="00130899">
        <w:rPr>
          <w:noProof/>
        </w:rPr>
        <w:t xml:space="preserve">Що се отнася до осигуряването, че исканията за възстановяване/данъчни облекчения във връзка с ДПИ се изпълняват в рамките на сроковете, от държавите членки ще се изисква да предоставят на Комисията ежегодно статистически данни за това колко искания за данъчни облекчения/възстановявания на надвзет ДПИ са изпълнени в рамките на сроковете и колко извън сроковете. За последното следва да се представи обосновка. Освен това от държавите членки ще се изисква да изплащат лихви за забава на данъкоплатците при възстановяване на суми след изтичане на сроковете без обосновка. </w:t>
      </w:r>
    </w:p>
    <w:p w14:paraId="0D3D5DF7" w14:textId="77777777" w:rsidR="00052297" w:rsidRPr="00130899" w:rsidRDefault="00052297" w:rsidP="00052297">
      <w:pPr>
        <w:pStyle w:val="Text1"/>
        <w:pBdr>
          <w:top w:val="single" w:sz="4" w:space="1" w:color="auto"/>
          <w:left w:val="single" w:sz="4" w:space="4" w:color="auto"/>
          <w:bottom w:val="single" w:sz="4" w:space="1" w:color="auto"/>
          <w:right w:val="single" w:sz="4" w:space="4" w:color="auto"/>
        </w:pBdr>
        <w:rPr>
          <w:noProof/>
        </w:rPr>
      </w:pPr>
      <w:r w:rsidRPr="00130899">
        <w:rPr>
          <w:noProof/>
        </w:rPr>
        <w:t>Що се отнася до съответствието на сертифицираните от тях финансови посредници в националните регистри, държавите членки ще представят на Комисията годишен доклад за одитите и дейностите, които са предприели, за да гарантират, че техните финансови посредници спазват задълженията си по директивата, включително задълженията за предоставяне на информация. Освен това финансовите посредници носят отговорност за неизпълнение на задълженията си по настоящата директива, ако поведението им е довело до загуба на данъчни приходи.</w:t>
      </w:r>
    </w:p>
    <w:p w14:paraId="064A806F" w14:textId="77777777" w:rsidR="00052297" w:rsidRPr="00130899" w:rsidRDefault="00052297" w:rsidP="00052297">
      <w:pPr>
        <w:pStyle w:val="Text1"/>
        <w:pBdr>
          <w:top w:val="single" w:sz="4" w:space="1" w:color="auto"/>
          <w:left w:val="single" w:sz="4" w:space="4" w:color="auto"/>
          <w:bottom w:val="single" w:sz="4" w:space="1" w:color="auto"/>
          <w:right w:val="single" w:sz="4" w:space="4" w:color="auto"/>
        </w:pBdr>
        <w:rPr>
          <w:noProof/>
        </w:rPr>
      </w:pPr>
      <w:r w:rsidRPr="00130899">
        <w:rPr>
          <w:noProof/>
        </w:rPr>
        <w:t>От държавите членки ще се изисква да представят на Комисията годишен доклад относно използването на данните, предоставяни съгласно директивата, за разкриване и борба със злоупотребите в областта на данъчните облекчения/възстановяването на надвзети ДПИ.</w:t>
      </w:r>
    </w:p>
    <w:p w14:paraId="732DE289" w14:textId="77777777" w:rsidR="00052297" w:rsidRPr="00130899" w:rsidRDefault="00052297" w:rsidP="00052297">
      <w:pPr>
        <w:pStyle w:val="Text1"/>
        <w:pBdr>
          <w:top w:val="single" w:sz="4" w:space="1" w:color="auto"/>
          <w:left w:val="single" w:sz="4" w:space="4" w:color="auto"/>
          <w:bottom w:val="single" w:sz="4" w:space="1" w:color="auto"/>
          <w:right w:val="single" w:sz="4" w:space="4" w:color="auto"/>
        </w:pBdr>
        <w:rPr>
          <w:noProof/>
        </w:rPr>
      </w:pPr>
      <w:r w:rsidRPr="00130899">
        <w:rPr>
          <w:noProof/>
        </w:rPr>
        <w:t xml:space="preserve">Главните елементи на стратегията за контрол са следните: </w:t>
      </w:r>
    </w:p>
    <w:p w14:paraId="42589529" w14:textId="77777777" w:rsidR="00052297" w:rsidRPr="00130899" w:rsidRDefault="00052297" w:rsidP="00052297">
      <w:pPr>
        <w:pStyle w:val="Text1"/>
        <w:pBdr>
          <w:top w:val="single" w:sz="4" w:space="1" w:color="auto"/>
          <w:left w:val="single" w:sz="4" w:space="4" w:color="auto"/>
          <w:bottom w:val="single" w:sz="4" w:space="1" w:color="auto"/>
          <w:right w:val="single" w:sz="4" w:space="4" w:color="auto"/>
        </w:pBdr>
        <w:rPr>
          <w:noProof/>
        </w:rPr>
      </w:pPr>
      <w:r w:rsidRPr="00130899">
        <w:rPr>
          <w:noProof/>
        </w:rPr>
        <w:t xml:space="preserve">Договори за възлагане на обществени поръчки </w:t>
      </w:r>
    </w:p>
    <w:p w14:paraId="5B5F153E" w14:textId="77777777" w:rsidR="00052297" w:rsidRPr="00130899" w:rsidRDefault="00052297" w:rsidP="00052297">
      <w:pPr>
        <w:pStyle w:val="Text1"/>
        <w:pBdr>
          <w:top w:val="single" w:sz="4" w:space="1" w:color="auto"/>
          <w:left w:val="single" w:sz="4" w:space="4" w:color="auto"/>
          <w:bottom w:val="single" w:sz="4" w:space="1" w:color="auto"/>
          <w:right w:val="single" w:sz="4" w:space="4" w:color="auto"/>
        </w:pBdr>
        <w:rPr>
          <w:noProof/>
        </w:rPr>
      </w:pPr>
      <w:r w:rsidRPr="00130899">
        <w:rPr>
          <w:noProof/>
        </w:rPr>
        <w:t xml:space="preserve">Процедурите за контрол при обществени поръчки, определени във Финансовия регламент: всички договори за обществени поръчки се сключват при спазване на установената процедура за проверка на плащането от службите на Комисията, като се вземат предвид договорните задължения и доброто финансово и общо управление. Във всички договори, сключени между Комисията и бенефициерите, се предвиждат мерки за борба с измамите (проверки, доклади и др.). Изготвя се подробно задание, което формира основата на всеки отделен договор. При процеса на приемане се следва точно методологията TEMPO на ГД „Данъчно облагане и митнически съюз“: резултатите се преглеждат, изменят се при необходимост и накрая изрично се приемат (или отхвърлят). Фактури не се плащат без „писмо за приемане“. </w:t>
      </w:r>
    </w:p>
    <w:p w14:paraId="69BED312" w14:textId="77777777" w:rsidR="00052297" w:rsidRPr="00130899" w:rsidRDefault="00052297" w:rsidP="00052297">
      <w:pPr>
        <w:pStyle w:val="Text1"/>
        <w:pBdr>
          <w:top w:val="single" w:sz="4" w:space="1" w:color="auto"/>
          <w:left w:val="single" w:sz="4" w:space="4" w:color="auto"/>
          <w:bottom w:val="single" w:sz="4" w:space="1" w:color="auto"/>
          <w:right w:val="single" w:sz="4" w:space="4" w:color="auto"/>
        </w:pBdr>
        <w:rPr>
          <w:noProof/>
        </w:rPr>
      </w:pPr>
      <w:r w:rsidRPr="00130899">
        <w:rPr>
          <w:noProof/>
        </w:rPr>
        <w:t xml:space="preserve">Техническа проверка при обществена поръчка </w:t>
      </w:r>
    </w:p>
    <w:p w14:paraId="58B45ACA" w14:textId="77777777" w:rsidR="00052297" w:rsidRPr="00130899" w:rsidRDefault="00052297" w:rsidP="00052297">
      <w:pPr>
        <w:pStyle w:val="Text1"/>
        <w:pBdr>
          <w:top w:val="single" w:sz="4" w:space="1" w:color="auto"/>
          <w:left w:val="single" w:sz="4" w:space="4" w:color="auto"/>
          <w:bottom w:val="single" w:sz="4" w:space="1" w:color="auto"/>
          <w:right w:val="single" w:sz="4" w:space="4" w:color="auto"/>
        </w:pBdr>
        <w:rPr>
          <w:noProof/>
        </w:rPr>
      </w:pPr>
      <w:r w:rsidRPr="00130899">
        <w:rPr>
          <w:noProof/>
        </w:rPr>
        <w:t xml:space="preserve">ГД „Данъчно облагане и митнически съюз“ извършва проверки на резултатите и осъществява надзор на операциите и услугите, извършвани или предоставяни от изпълнителите. Освен това тя редовно извършва одити на качеството и сигурността на изпълнителите. При одитите на качеството се проверява съответствието на реално прилаганите от изпълнителите процеси с правилата и процедурите, определени в техните планове за качество. Одитите на сигурността са насочени към специфичните процеси, процедури и структура. </w:t>
      </w:r>
    </w:p>
    <w:p w14:paraId="1A0BDDE3" w14:textId="77777777" w:rsidR="00052297" w:rsidRPr="00130899" w:rsidRDefault="00052297" w:rsidP="00052297">
      <w:pPr>
        <w:pStyle w:val="Text1"/>
        <w:pBdr>
          <w:top w:val="single" w:sz="4" w:space="1" w:color="auto"/>
          <w:left w:val="single" w:sz="4" w:space="4" w:color="auto"/>
          <w:bottom w:val="single" w:sz="4" w:space="1" w:color="auto"/>
          <w:right w:val="single" w:sz="4" w:space="4" w:color="auto"/>
        </w:pBdr>
        <w:rPr>
          <w:noProof/>
        </w:rPr>
      </w:pPr>
      <w:r w:rsidRPr="00130899">
        <w:rPr>
          <w:noProof/>
        </w:rPr>
        <w:t xml:space="preserve">В допълнение към горепосочените проверки ГД „Данъчно облагане и митнически съюз“ извършва традиционните финансови проверки: </w:t>
      </w:r>
    </w:p>
    <w:p w14:paraId="544C1386" w14:textId="77777777" w:rsidR="00052297" w:rsidRPr="00130899" w:rsidRDefault="00052297" w:rsidP="00052297">
      <w:pPr>
        <w:pStyle w:val="Text1"/>
        <w:pBdr>
          <w:top w:val="single" w:sz="4" w:space="1" w:color="auto"/>
          <w:left w:val="single" w:sz="4" w:space="4" w:color="auto"/>
          <w:bottom w:val="single" w:sz="4" w:space="1" w:color="auto"/>
          <w:right w:val="single" w:sz="4" w:space="4" w:color="auto"/>
        </w:pBdr>
        <w:rPr>
          <w:noProof/>
        </w:rPr>
      </w:pPr>
      <w:r w:rsidRPr="00130899">
        <w:rPr>
          <w:noProof/>
        </w:rPr>
        <w:t xml:space="preserve">Предварителна проверка на поетите задължения </w:t>
      </w:r>
    </w:p>
    <w:p w14:paraId="0595CF27" w14:textId="77777777" w:rsidR="00052297" w:rsidRPr="00130899" w:rsidRDefault="00052297" w:rsidP="00052297">
      <w:pPr>
        <w:pStyle w:val="Text1"/>
        <w:pBdr>
          <w:top w:val="single" w:sz="4" w:space="1" w:color="auto"/>
          <w:left w:val="single" w:sz="4" w:space="4" w:color="auto"/>
          <w:bottom w:val="single" w:sz="4" w:space="1" w:color="auto"/>
          <w:right w:val="single" w:sz="4" w:space="4" w:color="auto"/>
        </w:pBdr>
        <w:rPr>
          <w:noProof/>
        </w:rPr>
      </w:pPr>
      <w:r w:rsidRPr="00130899">
        <w:rPr>
          <w:noProof/>
        </w:rPr>
        <w:t xml:space="preserve">Всички поети задължения в ГД „Данъчно облагане и митнически съюз“ се проверяват от ръководителя на отдел „Финанси“ и съответното звено за кореспондентски отношения в областта на човешките ресурси. В съответствие с това 100 % от сумите, за които са поети задължения, са подложени на предварителна проверка. Тази процедура осигурява висока степен на увереност по отношение на законосъобразността и редовността на операциите. </w:t>
      </w:r>
    </w:p>
    <w:p w14:paraId="5F38CBFB" w14:textId="77777777" w:rsidR="00052297" w:rsidRPr="00130899" w:rsidRDefault="00052297" w:rsidP="00052297">
      <w:pPr>
        <w:pStyle w:val="Text1"/>
        <w:pBdr>
          <w:top w:val="single" w:sz="4" w:space="1" w:color="auto"/>
          <w:left w:val="single" w:sz="4" w:space="4" w:color="auto"/>
          <w:bottom w:val="single" w:sz="4" w:space="1" w:color="auto"/>
          <w:right w:val="single" w:sz="4" w:space="4" w:color="auto"/>
        </w:pBdr>
        <w:rPr>
          <w:noProof/>
        </w:rPr>
      </w:pPr>
      <w:r w:rsidRPr="00130899">
        <w:rPr>
          <w:noProof/>
        </w:rPr>
        <w:t xml:space="preserve">Предварителна проверка на плащанията </w:t>
      </w:r>
    </w:p>
    <w:p w14:paraId="20F63A98" w14:textId="77777777" w:rsidR="00052297" w:rsidRPr="00130899" w:rsidRDefault="00052297" w:rsidP="00052297">
      <w:pPr>
        <w:pStyle w:val="Text1"/>
        <w:pBdr>
          <w:top w:val="single" w:sz="4" w:space="1" w:color="auto"/>
          <w:left w:val="single" w:sz="4" w:space="4" w:color="auto"/>
          <w:bottom w:val="single" w:sz="4" w:space="1" w:color="auto"/>
          <w:right w:val="single" w:sz="4" w:space="4" w:color="auto"/>
        </w:pBdr>
        <w:rPr>
          <w:noProof/>
        </w:rPr>
      </w:pPr>
      <w:r w:rsidRPr="00130899">
        <w:rPr>
          <w:noProof/>
        </w:rPr>
        <w:t xml:space="preserve">100 % от плащанията се проверяват предварително. Освен това поне едно плащане (от всички категории разходи) седмично се избира на случаен принцип за допълнителна предварителна проверка, която се извършва от ръководителя на отдел „Финанси“ и съответното звено за кореспондентски отношения в областта на човешките ресурси. Няма количествена цел за обхвата, тъй като целта на тази проверка е плащанията да се проверяват „на случаен принцип“ с оглед да се удостовери, че всички плащания се изготвят в съответствие с изискванията. Останалите плащания се обработват ежедневно в съответствие с приложимите правила. </w:t>
      </w:r>
    </w:p>
    <w:p w14:paraId="2132ADF7" w14:textId="77777777" w:rsidR="00052297" w:rsidRPr="00130899" w:rsidRDefault="00052297" w:rsidP="00052297">
      <w:pPr>
        <w:pStyle w:val="Text1"/>
        <w:pBdr>
          <w:top w:val="single" w:sz="4" w:space="1" w:color="auto"/>
          <w:left w:val="single" w:sz="4" w:space="4" w:color="auto"/>
          <w:bottom w:val="single" w:sz="4" w:space="1" w:color="auto"/>
          <w:right w:val="single" w:sz="4" w:space="4" w:color="auto"/>
        </w:pBdr>
        <w:rPr>
          <w:noProof/>
        </w:rPr>
      </w:pPr>
      <w:r w:rsidRPr="00130899">
        <w:rPr>
          <w:noProof/>
        </w:rPr>
        <w:t xml:space="preserve">Декларации на вторично оправомощените разпоредители с бюджетни кредити </w:t>
      </w:r>
    </w:p>
    <w:p w14:paraId="3048A0EB" w14:textId="77777777" w:rsidR="00052297" w:rsidRPr="00130899" w:rsidRDefault="00052297" w:rsidP="00052297">
      <w:pPr>
        <w:pStyle w:val="Text1"/>
        <w:pBdr>
          <w:top w:val="single" w:sz="4" w:space="1" w:color="auto"/>
          <w:left w:val="single" w:sz="4" w:space="4" w:color="auto"/>
          <w:bottom w:val="single" w:sz="4" w:space="1" w:color="auto"/>
          <w:right w:val="single" w:sz="4" w:space="4" w:color="auto"/>
        </w:pBdr>
        <w:rPr>
          <w:noProof/>
        </w:rPr>
      </w:pPr>
      <w:r w:rsidRPr="00130899">
        <w:rPr>
          <w:noProof/>
        </w:rPr>
        <w:t>Всички вторично оправомощени разпоредители с бюджетни кредити подписват декларации в подкрепа на годишния доклад за дейността за съответната година. Тези декларации обхващат операциите по програмата. Вторично оправомощените разпоредители с бюджетни кредити декларират, че операциите, свързани с изпълнението на бюджета, са извършени в съответствие с принципите на добро финансово управление, че въведените системи за управление и контрол дават задоволителна увереност по отношение на законосъобразността и редовността на операциите, както и че рисковете, свързани с тези операции, са правилно установени и докладвани, както и че са предприети действия за ограничаването им.</w:t>
      </w:r>
    </w:p>
    <w:p w14:paraId="6D521615" w14:textId="77777777" w:rsidR="00052297" w:rsidRPr="00130899" w:rsidRDefault="00052297" w:rsidP="00CD2905">
      <w:pPr>
        <w:pStyle w:val="Text3"/>
        <w:ind w:left="0"/>
        <w:rPr>
          <w:noProof/>
        </w:rPr>
      </w:pPr>
    </w:p>
    <w:p w14:paraId="0126251C" w14:textId="77777777" w:rsidR="00052297" w:rsidRPr="00130899" w:rsidRDefault="00052297" w:rsidP="00052297">
      <w:pPr>
        <w:pStyle w:val="ManualHeading3"/>
        <w:rPr>
          <w:noProof/>
        </w:rPr>
      </w:pPr>
      <w:r w:rsidRPr="00130899">
        <w:rPr>
          <w:noProof/>
        </w:rPr>
        <w:tab/>
        <w:t>2.2.3.</w:t>
      </w:r>
      <w:r w:rsidRPr="00130899">
        <w:rPr>
          <w:noProof/>
        </w:rPr>
        <w:tab/>
        <w:t>Оценка и обосновка на разходната ефективност на проверките (съотношение „разходи за контрол ÷ стойност на съответните управлявани фондове“) и оценка на очакваната степен на риска от грешки (при плащане и при приключване)</w:t>
      </w:r>
    </w:p>
    <w:p w14:paraId="2F6A51DB" w14:textId="77777777" w:rsidR="00052297" w:rsidRPr="00130899" w:rsidRDefault="00052297" w:rsidP="00060712">
      <w:pPr>
        <w:pStyle w:val="Text1"/>
        <w:rPr>
          <w:noProof/>
        </w:rPr>
      </w:pPr>
      <w:r w:rsidRPr="00130899">
        <w:rPr>
          <w:noProof/>
        </w:rPr>
        <w:tab/>
      </w:r>
      <w:r w:rsidR="00CE3052">
        <w:rPr>
          <w:noProof/>
        </w:rPr>
      </w:r>
      <w:r w:rsidR="00CE3052">
        <w:rPr>
          <w:noProof/>
        </w:rPr>
        <w:pict w14:anchorId="68ED86FE">
          <v:shape id="_x0000_s2051" type="#_x0000_t202" style="width:433pt;height:147pt;visibility:visible;mso-left-percent:-10001;mso-top-percent:-10001;mso-position-horizontal:absolute;mso-position-horizontal-relative:char;mso-position-vertical:absolute;mso-position-vertical-relative:line;mso-left-percent:-10001;mso-top-percent:-10001">
            <v:textbox>
              <w:txbxContent>
                <w:p w14:paraId="4C96FC25" w14:textId="77777777" w:rsidR="00052297" w:rsidRDefault="00052297" w:rsidP="00052297">
                  <w:r>
                    <w:t>Въведените проверки осигуряват на ГД „Данъчно облагане и митнически съюз“ достатъчна гаранция за качеството и редовността на разходите и за намаляването на риска от неспазване. Горепосочените мерки в стратегията за контрол намаляват потенциалните рискове под целевото равнище от 2 % и достигат до всички бенефициери. Всякакви допълнителни мерки за по-нататъшно намаляване на риска биха довели до несъразмерно високи разходи и поради това такива не се предвиждат. Общите разходи, свързани с изпълнението на горепосочената стратегия за контрол – за всички разходи по програма „Фискалис“ – са ограничени до 1,6 % от общия размер на извършените плащания. Очаква се това процентно съотношение да бъде в сила и за тази инициатива. Стратегията за контрол на програмата ограничава практически до нула риска от неспазване и е пропорционална на отчетените рискове.</w:t>
                  </w:r>
                </w:p>
              </w:txbxContent>
            </v:textbox>
            <w10:anchorlock/>
          </v:shape>
        </w:pict>
      </w:r>
    </w:p>
    <w:p w14:paraId="1CD2F842" w14:textId="77777777" w:rsidR="00052297" w:rsidRPr="00130899" w:rsidRDefault="00052297" w:rsidP="005837D8">
      <w:pPr>
        <w:pStyle w:val="Text2"/>
        <w:rPr>
          <w:noProof/>
        </w:rPr>
      </w:pPr>
    </w:p>
    <w:p w14:paraId="648AB5B5" w14:textId="77777777" w:rsidR="00052297" w:rsidRPr="00130899" w:rsidRDefault="00287904" w:rsidP="00287904">
      <w:pPr>
        <w:pStyle w:val="ManualHeading2"/>
        <w:rPr>
          <w:noProof/>
        </w:rPr>
      </w:pPr>
      <w:r w:rsidRPr="00130899">
        <w:rPr>
          <w:noProof/>
        </w:rPr>
        <w:tab/>
        <w:t>2.3.</w:t>
      </w:r>
      <w:r w:rsidRPr="00130899">
        <w:rPr>
          <w:noProof/>
        </w:rPr>
        <w:tab/>
        <w:t>Мерки за предотвратяване на измами и нередности</w:t>
      </w:r>
    </w:p>
    <w:p w14:paraId="3869CC04" w14:textId="7C405787" w:rsidR="00052297" w:rsidRPr="00130899" w:rsidRDefault="00CE3052" w:rsidP="005837D8">
      <w:pPr>
        <w:pStyle w:val="Text1"/>
        <w:rPr>
          <w:noProof/>
        </w:rPr>
      </w:pPr>
      <w:r>
        <w:rPr>
          <w:noProof/>
        </w:rPr>
      </w:r>
      <w:r>
        <w:rPr>
          <w:noProof/>
        </w:rPr>
        <w:pict w14:anchorId="48C5E803">
          <v:shape id="_x0000_s2050" type="#_x0000_t202" style="width:444.5pt;height:131.45pt;visibility:visible;mso-left-percent:-10001;mso-top-percent:-10001;mso-position-horizontal:absolute;mso-position-horizontal-relative:char;mso-position-vertical:absolute;mso-position-vertical-relative:line;mso-left-percent:-10001;mso-top-percent:-10001">
            <v:textbox>
              <w:txbxContent>
                <w:p w14:paraId="4C8CAF9C" w14:textId="77777777" w:rsidR="00052297" w:rsidRDefault="00052297" w:rsidP="00052297">
                  <w:r>
                    <w:t>Европейската служба за борба с измамите (OLAF) може да извършва разследвания, включително проверки и инспекции на място в съответствие с разпоредбите и процедурите, предвидени в Регламент (ЕО) № 1073/1999 на Европейския парламент и на Съвета и Регламент (Евратом, ЕО) № 2185/964 на Съвета, за да установи дали е налице измама, корупция или всякаква друга незаконна дейност, накърняваща финансовите интереси на Съюза във връзка със споразумение за отпускане на безвъзмездни средства, решение за отпускане на безвъзмездни средства или договор за финансиране съгласно настоящата директива.</w:t>
                  </w:r>
                </w:p>
              </w:txbxContent>
            </v:textbox>
            <w10:anchorlock/>
          </v:shape>
        </w:pict>
      </w:r>
    </w:p>
    <w:p w14:paraId="4DC47CC9" w14:textId="77777777" w:rsidR="00052297" w:rsidRPr="00130899" w:rsidRDefault="00052297" w:rsidP="005837D8">
      <w:pPr>
        <w:pStyle w:val="Text1"/>
        <w:rPr>
          <w:noProof/>
        </w:rPr>
      </w:pPr>
    </w:p>
    <w:p w14:paraId="05F401DE" w14:textId="77777777" w:rsidR="00052297" w:rsidRPr="00130899" w:rsidRDefault="00052297" w:rsidP="005837D8">
      <w:pPr>
        <w:pStyle w:val="Text1"/>
        <w:rPr>
          <w:noProof/>
        </w:rPr>
      </w:pPr>
      <w:r w:rsidRPr="00130899">
        <w:rPr>
          <w:noProof/>
        </w:rPr>
        <w:br w:type="page"/>
      </w:r>
    </w:p>
    <w:p w14:paraId="7CF842C3" w14:textId="77777777" w:rsidR="006918A0" w:rsidRPr="00130899" w:rsidRDefault="006918A0" w:rsidP="00287904">
      <w:pPr>
        <w:pStyle w:val="ManualHeading1"/>
        <w:rPr>
          <w:noProof/>
        </w:rPr>
      </w:pPr>
      <w:r w:rsidRPr="00130899">
        <w:rPr>
          <w:noProof/>
        </w:rPr>
        <w:t>3.</w:t>
      </w:r>
      <w:r w:rsidRPr="00130899">
        <w:rPr>
          <w:noProof/>
        </w:rPr>
        <w:tab/>
        <w:t xml:space="preserve">ОЧАКВАНО ФИНАНСОВО ОТРАЖЕНИЕ НА ПРЕДЛОЖЕНИЕТО </w:t>
      </w:r>
    </w:p>
    <w:p w14:paraId="5B263DFB" w14:textId="77777777" w:rsidR="006918A0" w:rsidRPr="00130899" w:rsidRDefault="00287904" w:rsidP="00287904">
      <w:pPr>
        <w:pStyle w:val="ManualHeading2"/>
        <w:rPr>
          <w:noProof/>
        </w:rPr>
      </w:pPr>
      <w:bookmarkStart w:id="13" w:name="_Toc514938051"/>
      <w:bookmarkStart w:id="14" w:name="_Toc520485050"/>
      <w:r w:rsidRPr="00130899">
        <w:rPr>
          <w:noProof/>
        </w:rPr>
        <w:tab/>
        <w:t>3.1</w:t>
      </w:r>
      <w:r w:rsidRPr="00130899">
        <w:rPr>
          <w:noProof/>
        </w:rPr>
        <w:tab/>
        <w:t>Съответни функции от многогодишната финансова рамка и разходни бюджетни редове</w:t>
      </w:r>
      <w:bookmarkEnd w:id="13"/>
      <w:bookmarkEnd w:id="14"/>
      <w:r w:rsidRPr="00130899">
        <w:rPr>
          <w:noProof/>
        </w:rPr>
        <w:t xml:space="preserve"> </w:t>
      </w:r>
    </w:p>
    <w:p w14:paraId="6524ABDC" w14:textId="77777777" w:rsidR="006918A0" w:rsidRPr="00130899" w:rsidRDefault="006918A0" w:rsidP="006918A0">
      <w:pPr>
        <w:tabs>
          <w:tab w:val="num" w:pos="1134"/>
        </w:tabs>
        <w:ind w:left="1134" w:hanging="283"/>
        <w:rPr>
          <w:noProof/>
        </w:rPr>
      </w:pPr>
      <w:r w:rsidRPr="00130899">
        <w:rPr>
          <w:noProof/>
        </w:rPr>
        <w:t xml:space="preserve">Съществуващи бюджетни редове </w:t>
      </w:r>
    </w:p>
    <w:p w14:paraId="4AE2036B" w14:textId="77777777" w:rsidR="006918A0" w:rsidRPr="00130899" w:rsidRDefault="006918A0" w:rsidP="006918A0">
      <w:pPr>
        <w:ind w:left="850"/>
        <w:rPr>
          <w:i/>
          <w:noProof/>
        </w:rPr>
      </w:pPr>
      <w:r w:rsidRPr="00130899">
        <w:rPr>
          <w:i/>
          <w:noProof/>
          <w:u w:val="single"/>
        </w:rPr>
        <w:t>По реда</w:t>
      </w:r>
      <w:r w:rsidRPr="00130899">
        <w:rPr>
          <w:i/>
          <w:noProof/>
        </w:rPr>
        <w:t xml:space="preserve"> на функциите от многогодишната финансова рамка и на бюджетните редове.</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6918A0" w:rsidRPr="00130899" w14:paraId="3058213D" w14:textId="77777777" w:rsidTr="000430BD">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5BA9FA4F" w14:textId="77777777" w:rsidR="006918A0" w:rsidRPr="00130899" w:rsidRDefault="006918A0" w:rsidP="006918A0">
            <w:pPr>
              <w:spacing w:before="60" w:after="60" w:line="276" w:lineRule="auto"/>
              <w:jc w:val="center"/>
              <w:rPr>
                <w:noProof/>
              </w:rPr>
            </w:pPr>
            <w:r w:rsidRPr="00130899">
              <w:rPr>
                <w:noProof/>
                <w:sz w:val="18"/>
              </w:rPr>
              <w:t>Функция от многогодишната финансова рамка</w:t>
            </w:r>
          </w:p>
        </w:tc>
        <w:tc>
          <w:tcPr>
            <w:tcW w:w="3960" w:type="dxa"/>
            <w:tcBorders>
              <w:top w:val="single" w:sz="4" w:space="0" w:color="auto"/>
              <w:left w:val="single" w:sz="4" w:space="0" w:color="auto"/>
              <w:bottom w:val="single" w:sz="4" w:space="0" w:color="auto"/>
              <w:right w:val="single" w:sz="4" w:space="0" w:color="auto"/>
            </w:tcBorders>
            <w:vAlign w:val="center"/>
            <w:hideMark/>
          </w:tcPr>
          <w:p w14:paraId="22F48BC2" w14:textId="77777777" w:rsidR="006918A0" w:rsidRPr="00130899" w:rsidRDefault="006918A0" w:rsidP="006918A0">
            <w:pPr>
              <w:spacing w:before="60" w:after="60" w:line="276" w:lineRule="auto"/>
              <w:jc w:val="center"/>
              <w:rPr>
                <w:noProof/>
              </w:rPr>
            </w:pPr>
            <w:r w:rsidRPr="00130899">
              <w:rPr>
                <w:noProof/>
                <w:sz w:val="20"/>
              </w:rPr>
              <w:t>Бюджетен ред</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AA249E6" w14:textId="77777777" w:rsidR="006918A0" w:rsidRPr="00130899" w:rsidRDefault="006918A0" w:rsidP="006918A0">
            <w:pPr>
              <w:spacing w:before="60" w:after="60" w:line="276" w:lineRule="auto"/>
              <w:jc w:val="center"/>
              <w:rPr>
                <w:noProof/>
              </w:rPr>
            </w:pPr>
            <w:r w:rsidRPr="00130899">
              <w:rPr>
                <w:noProof/>
                <w:sz w:val="18"/>
              </w:rPr>
              <w:t xml:space="preserve">Вид </w:t>
            </w:r>
            <w:r w:rsidRPr="00130899">
              <w:rPr>
                <w:noProof/>
              </w:rPr>
              <w:t xml:space="preserve"> </w:t>
            </w:r>
            <w:r w:rsidRPr="00130899">
              <w:rPr>
                <w:noProof/>
              </w:rPr>
              <w:cr/>
            </w:r>
            <w:r w:rsidRPr="00130899">
              <w:rPr>
                <w:noProof/>
              </w:rPr>
              <w:br/>
            </w:r>
            <w:r w:rsidRPr="00130899">
              <w:rPr>
                <w:noProof/>
                <w:sz w:val="18"/>
              </w:rPr>
              <w:t>разход</w:t>
            </w:r>
          </w:p>
        </w:tc>
        <w:tc>
          <w:tcPr>
            <w:tcW w:w="4440" w:type="dxa"/>
            <w:gridSpan w:val="4"/>
            <w:tcBorders>
              <w:top w:val="single" w:sz="4" w:space="0" w:color="auto"/>
              <w:left w:val="single" w:sz="4" w:space="0" w:color="auto"/>
              <w:bottom w:val="single" w:sz="4" w:space="0" w:color="auto"/>
              <w:right w:val="single" w:sz="4" w:space="0" w:color="auto"/>
            </w:tcBorders>
            <w:vAlign w:val="center"/>
            <w:hideMark/>
          </w:tcPr>
          <w:p w14:paraId="5EF9CDC7" w14:textId="77777777" w:rsidR="006918A0" w:rsidRPr="00130899" w:rsidRDefault="006918A0" w:rsidP="006918A0">
            <w:pPr>
              <w:spacing w:before="60" w:after="60" w:line="276" w:lineRule="auto"/>
              <w:jc w:val="center"/>
              <w:rPr>
                <w:noProof/>
              </w:rPr>
            </w:pPr>
            <w:r w:rsidRPr="00130899">
              <w:rPr>
                <w:noProof/>
                <w:sz w:val="20"/>
              </w:rPr>
              <w:t xml:space="preserve">Финансов принос </w:t>
            </w:r>
          </w:p>
        </w:tc>
      </w:tr>
      <w:tr w:rsidR="006918A0" w:rsidRPr="00130899" w14:paraId="3FCBB776" w14:textId="77777777" w:rsidTr="005B3EB2">
        <w:tc>
          <w:tcPr>
            <w:tcW w:w="1080" w:type="dxa"/>
            <w:vMerge/>
            <w:tcBorders>
              <w:top w:val="single" w:sz="4" w:space="0" w:color="auto"/>
              <w:left w:val="single" w:sz="4" w:space="0" w:color="auto"/>
              <w:bottom w:val="single" w:sz="4" w:space="0" w:color="auto"/>
              <w:right w:val="single" w:sz="4" w:space="0" w:color="auto"/>
            </w:tcBorders>
            <w:vAlign w:val="center"/>
            <w:hideMark/>
          </w:tcPr>
          <w:p w14:paraId="3FFFE1C0" w14:textId="77777777" w:rsidR="006918A0" w:rsidRPr="00130899" w:rsidRDefault="006918A0" w:rsidP="006918A0">
            <w:pPr>
              <w:spacing w:before="0" w:after="0" w:line="276" w:lineRule="auto"/>
              <w:jc w:val="left"/>
              <w:rPr>
                <w:noProof/>
              </w:rPr>
            </w:pPr>
          </w:p>
        </w:tc>
        <w:tc>
          <w:tcPr>
            <w:tcW w:w="3960" w:type="dxa"/>
            <w:tcBorders>
              <w:top w:val="single" w:sz="4" w:space="0" w:color="auto"/>
              <w:left w:val="single" w:sz="4" w:space="0" w:color="auto"/>
              <w:bottom w:val="single" w:sz="4" w:space="0" w:color="auto"/>
              <w:right w:val="single" w:sz="4" w:space="0" w:color="auto"/>
            </w:tcBorders>
            <w:vAlign w:val="center"/>
            <w:hideMark/>
          </w:tcPr>
          <w:p w14:paraId="56844C41" w14:textId="77777777" w:rsidR="006918A0" w:rsidRPr="00130899" w:rsidRDefault="006918A0" w:rsidP="006918A0">
            <w:pPr>
              <w:spacing w:line="276" w:lineRule="auto"/>
              <w:rPr>
                <w:noProof/>
              </w:rPr>
            </w:pPr>
            <w:r w:rsidRPr="00130899">
              <w:rPr>
                <w:noProof/>
                <w:sz w:val="20"/>
              </w:rPr>
              <w:t xml:space="preserve">Номер: </w:t>
            </w:r>
            <w:r w:rsidRPr="00130899">
              <w:rPr>
                <w:noProof/>
              </w:rPr>
              <w:t>03 04 0100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C6E3AB9" w14:textId="77777777" w:rsidR="006918A0" w:rsidRPr="00130899" w:rsidRDefault="006918A0" w:rsidP="006918A0">
            <w:pPr>
              <w:spacing w:line="276" w:lineRule="auto"/>
              <w:jc w:val="center"/>
              <w:rPr>
                <w:noProof/>
              </w:rPr>
            </w:pPr>
            <w:r w:rsidRPr="00130899">
              <w:rPr>
                <w:noProof/>
                <w:sz w:val="18"/>
              </w:rPr>
              <w:t>Многогод./едногод.</w:t>
            </w:r>
            <w:r w:rsidRPr="00130899">
              <w:rPr>
                <w:rStyle w:val="FootnoteReference"/>
                <w:noProof/>
              </w:rPr>
              <w:footnoteReference w:id="47"/>
            </w:r>
          </w:p>
        </w:tc>
        <w:tc>
          <w:tcPr>
            <w:tcW w:w="956" w:type="dxa"/>
            <w:tcBorders>
              <w:top w:val="single" w:sz="4" w:space="0" w:color="auto"/>
              <w:left w:val="single" w:sz="4" w:space="0" w:color="auto"/>
              <w:bottom w:val="single" w:sz="4" w:space="0" w:color="auto"/>
              <w:right w:val="single" w:sz="4" w:space="0" w:color="auto"/>
            </w:tcBorders>
            <w:vAlign w:val="center"/>
          </w:tcPr>
          <w:p w14:paraId="1BCF8E45" w14:textId="77777777" w:rsidR="006918A0" w:rsidRPr="00130899" w:rsidRDefault="006918A0" w:rsidP="006918A0">
            <w:pPr>
              <w:spacing w:line="276" w:lineRule="auto"/>
              <w:jc w:val="center"/>
              <w:rPr>
                <w:noProof/>
              </w:rPr>
            </w:pPr>
            <w:r w:rsidRPr="00130899">
              <w:rPr>
                <w:noProof/>
                <w:sz w:val="18"/>
              </w:rPr>
              <w:t>от държави от ЕАСТ</w:t>
            </w:r>
            <w:r w:rsidRPr="00130899">
              <w:rPr>
                <w:rStyle w:val="FootnoteReference"/>
                <w:noProof/>
              </w:rPr>
              <w:footnoteReference w:id="48"/>
            </w:r>
          </w:p>
          <w:p w14:paraId="0491B65A" w14:textId="77777777" w:rsidR="006918A0" w:rsidRPr="00130899" w:rsidRDefault="006918A0" w:rsidP="006918A0">
            <w:pPr>
              <w:spacing w:before="0" w:after="0" w:line="276" w:lineRule="auto"/>
              <w:jc w:val="center"/>
              <w:rPr>
                <w:b/>
                <w:noProof/>
                <w:sz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650D4088" w14:textId="77777777" w:rsidR="006918A0" w:rsidRPr="00130899" w:rsidRDefault="006918A0" w:rsidP="006918A0">
            <w:pPr>
              <w:spacing w:line="276" w:lineRule="auto"/>
              <w:jc w:val="center"/>
              <w:rPr>
                <w:noProof/>
              </w:rPr>
            </w:pPr>
            <w:r w:rsidRPr="00130899">
              <w:rPr>
                <w:noProof/>
                <w:sz w:val="18"/>
              </w:rPr>
              <w:t>от държави кандидатки</w:t>
            </w:r>
            <w:r w:rsidRPr="00130899">
              <w:rPr>
                <w:rStyle w:val="FootnoteReference"/>
                <w:noProof/>
              </w:rPr>
              <w:footnoteReference w:id="49"/>
            </w:r>
          </w:p>
          <w:p w14:paraId="48719731" w14:textId="77777777" w:rsidR="006918A0" w:rsidRPr="00130899" w:rsidRDefault="006918A0" w:rsidP="006918A0">
            <w:pPr>
              <w:spacing w:before="0" w:after="0" w:line="276" w:lineRule="auto"/>
              <w:jc w:val="center"/>
              <w:rPr>
                <w:noProof/>
                <w:sz w:val="18"/>
              </w:rPr>
            </w:pPr>
          </w:p>
        </w:tc>
        <w:tc>
          <w:tcPr>
            <w:tcW w:w="956" w:type="dxa"/>
            <w:tcBorders>
              <w:top w:val="single" w:sz="4" w:space="0" w:color="auto"/>
              <w:left w:val="single" w:sz="4" w:space="0" w:color="auto"/>
              <w:bottom w:val="single" w:sz="4" w:space="0" w:color="auto"/>
              <w:right w:val="single" w:sz="4" w:space="0" w:color="auto"/>
            </w:tcBorders>
            <w:vAlign w:val="center"/>
            <w:hideMark/>
          </w:tcPr>
          <w:p w14:paraId="48C22152" w14:textId="77777777" w:rsidR="006918A0" w:rsidRPr="00130899" w:rsidRDefault="006918A0" w:rsidP="006918A0">
            <w:pPr>
              <w:spacing w:line="276" w:lineRule="auto"/>
              <w:jc w:val="center"/>
              <w:rPr>
                <w:noProof/>
                <w:sz w:val="18"/>
              </w:rPr>
            </w:pPr>
            <w:r w:rsidRPr="00130899">
              <w:rPr>
                <w:noProof/>
                <w:sz w:val="18"/>
              </w:rPr>
              <w:t>от трети държави</w:t>
            </w:r>
          </w:p>
        </w:tc>
        <w:tc>
          <w:tcPr>
            <w:tcW w:w="1448" w:type="dxa"/>
            <w:tcBorders>
              <w:top w:val="single" w:sz="4" w:space="0" w:color="auto"/>
              <w:left w:val="single" w:sz="4" w:space="0" w:color="auto"/>
              <w:bottom w:val="single" w:sz="4" w:space="0" w:color="auto"/>
              <w:right w:val="single" w:sz="4" w:space="0" w:color="auto"/>
            </w:tcBorders>
            <w:vAlign w:val="center"/>
            <w:hideMark/>
          </w:tcPr>
          <w:p w14:paraId="5A851D8E" w14:textId="77777777" w:rsidR="006918A0" w:rsidRPr="00130899" w:rsidRDefault="006918A0" w:rsidP="006918A0">
            <w:pPr>
              <w:spacing w:line="276" w:lineRule="auto"/>
              <w:jc w:val="center"/>
              <w:rPr>
                <w:noProof/>
              </w:rPr>
            </w:pPr>
            <w:r w:rsidRPr="00130899">
              <w:rPr>
                <w:noProof/>
                <w:sz w:val="16"/>
              </w:rPr>
              <w:t xml:space="preserve">по смисъла на член 21, параграф 2, буква б) от Финансовия регламент </w:t>
            </w:r>
          </w:p>
        </w:tc>
      </w:tr>
      <w:tr w:rsidR="006918A0" w:rsidRPr="00130899" w14:paraId="0A9AFE5D" w14:textId="77777777" w:rsidTr="000430BD">
        <w:tc>
          <w:tcPr>
            <w:tcW w:w="1080" w:type="dxa"/>
            <w:tcBorders>
              <w:top w:val="single" w:sz="4" w:space="0" w:color="auto"/>
              <w:left w:val="single" w:sz="4" w:space="0" w:color="auto"/>
              <w:bottom w:val="single" w:sz="4" w:space="0" w:color="auto"/>
              <w:right w:val="single" w:sz="4" w:space="0" w:color="auto"/>
            </w:tcBorders>
            <w:vAlign w:val="center"/>
            <w:hideMark/>
          </w:tcPr>
          <w:p w14:paraId="054A12C5" w14:textId="77777777" w:rsidR="006918A0" w:rsidRPr="00130899" w:rsidRDefault="006918A0" w:rsidP="006918A0">
            <w:pPr>
              <w:spacing w:line="276" w:lineRule="auto"/>
              <w:jc w:val="center"/>
              <w:rPr>
                <w:noProof/>
                <w:color w:val="0000FF"/>
              </w:rPr>
            </w:pPr>
            <w:r w:rsidRPr="00130899">
              <w:rPr>
                <w:noProof/>
              </w:rPr>
              <w:t>1 — Единен пазар, иновации и цифрова икономика</w:t>
            </w:r>
          </w:p>
        </w:tc>
        <w:tc>
          <w:tcPr>
            <w:tcW w:w="3960" w:type="dxa"/>
            <w:tcBorders>
              <w:top w:val="single" w:sz="4" w:space="0" w:color="auto"/>
              <w:left w:val="single" w:sz="4" w:space="0" w:color="auto"/>
              <w:bottom w:val="single" w:sz="4" w:space="0" w:color="auto"/>
              <w:right w:val="single" w:sz="4" w:space="0" w:color="auto"/>
            </w:tcBorders>
            <w:vAlign w:val="center"/>
          </w:tcPr>
          <w:p w14:paraId="05BECE6F" w14:textId="77777777" w:rsidR="006918A0" w:rsidRPr="00130899" w:rsidRDefault="006918A0" w:rsidP="006918A0">
            <w:pPr>
              <w:spacing w:line="276" w:lineRule="auto"/>
              <w:rPr>
                <w:noProof/>
              </w:rPr>
            </w:pPr>
            <w:r w:rsidRPr="00130899">
              <w:rPr>
                <w:noProof/>
              </w:rPr>
              <w:t>Усъвършенстване на функционирането на данъчните системи</w:t>
            </w:r>
          </w:p>
          <w:p w14:paraId="04023B04" w14:textId="77777777" w:rsidR="006918A0" w:rsidRPr="00130899" w:rsidRDefault="006918A0" w:rsidP="006918A0">
            <w:pPr>
              <w:spacing w:after="60" w:line="276" w:lineRule="auto"/>
              <w:rPr>
                <w:noProof/>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649EAEE4" w14:textId="77777777" w:rsidR="006918A0" w:rsidRPr="00130899" w:rsidRDefault="006918A0" w:rsidP="006918A0">
            <w:pPr>
              <w:spacing w:line="276" w:lineRule="auto"/>
              <w:jc w:val="center"/>
              <w:rPr>
                <w:noProof/>
                <w:color w:val="0000FF"/>
              </w:rPr>
            </w:pPr>
            <w:r w:rsidRPr="00130899">
              <w:rPr>
                <w:noProof/>
              </w:rPr>
              <w:t>Многогод.</w:t>
            </w:r>
          </w:p>
        </w:tc>
        <w:tc>
          <w:tcPr>
            <w:tcW w:w="956" w:type="dxa"/>
            <w:tcBorders>
              <w:top w:val="single" w:sz="4" w:space="0" w:color="auto"/>
              <w:left w:val="single" w:sz="4" w:space="0" w:color="auto"/>
              <w:bottom w:val="single" w:sz="4" w:space="0" w:color="auto"/>
              <w:right w:val="single" w:sz="4" w:space="0" w:color="auto"/>
            </w:tcBorders>
            <w:vAlign w:val="center"/>
            <w:hideMark/>
          </w:tcPr>
          <w:p w14:paraId="36A841A3" w14:textId="77777777" w:rsidR="006918A0" w:rsidRPr="00130899" w:rsidRDefault="006918A0" w:rsidP="006918A0">
            <w:pPr>
              <w:spacing w:line="276" w:lineRule="auto"/>
              <w:jc w:val="center"/>
              <w:rPr>
                <w:noProof/>
                <w:sz w:val="20"/>
              </w:rPr>
            </w:pPr>
            <w:r w:rsidRPr="00130899">
              <w:rPr>
                <w:noProof/>
                <w:sz w:val="20"/>
              </w:rPr>
              <w:t>НЕ</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FEAD7C3" w14:textId="77777777" w:rsidR="006918A0" w:rsidRPr="00130899" w:rsidRDefault="006918A0" w:rsidP="006918A0">
            <w:pPr>
              <w:spacing w:line="276" w:lineRule="auto"/>
              <w:jc w:val="center"/>
              <w:rPr>
                <w:noProof/>
                <w:sz w:val="20"/>
              </w:rPr>
            </w:pPr>
            <w:r w:rsidRPr="00130899">
              <w:rPr>
                <w:noProof/>
                <w:sz w:val="20"/>
              </w:rPr>
              <w:t>НЕ</w:t>
            </w:r>
          </w:p>
        </w:tc>
        <w:tc>
          <w:tcPr>
            <w:tcW w:w="956" w:type="dxa"/>
            <w:tcBorders>
              <w:top w:val="single" w:sz="4" w:space="0" w:color="auto"/>
              <w:left w:val="single" w:sz="4" w:space="0" w:color="auto"/>
              <w:bottom w:val="single" w:sz="4" w:space="0" w:color="auto"/>
              <w:right w:val="single" w:sz="4" w:space="0" w:color="auto"/>
            </w:tcBorders>
            <w:vAlign w:val="center"/>
            <w:hideMark/>
          </w:tcPr>
          <w:p w14:paraId="1F6453F8" w14:textId="77777777" w:rsidR="006918A0" w:rsidRPr="00130899" w:rsidRDefault="006918A0" w:rsidP="006918A0">
            <w:pPr>
              <w:spacing w:line="276" w:lineRule="auto"/>
              <w:jc w:val="center"/>
              <w:rPr>
                <w:noProof/>
                <w:sz w:val="20"/>
              </w:rPr>
            </w:pPr>
            <w:r w:rsidRPr="00130899">
              <w:rPr>
                <w:noProof/>
                <w:sz w:val="20"/>
              </w:rPr>
              <w:t>НЕ</w:t>
            </w:r>
          </w:p>
        </w:tc>
        <w:tc>
          <w:tcPr>
            <w:tcW w:w="1448" w:type="dxa"/>
            <w:tcBorders>
              <w:top w:val="single" w:sz="4" w:space="0" w:color="auto"/>
              <w:left w:val="single" w:sz="4" w:space="0" w:color="auto"/>
              <w:bottom w:val="single" w:sz="4" w:space="0" w:color="auto"/>
              <w:right w:val="single" w:sz="4" w:space="0" w:color="auto"/>
            </w:tcBorders>
            <w:vAlign w:val="center"/>
            <w:hideMark/>
          </w:tcPr>
          <w:p w14:paraId="66F61BF2" w14:textId="77777777" w:rsidR="006918A0" w:rsidRPr="00130899" w:rsidRDefault="006918A0" w:rsidP="006918A0">
            <w:pPr>
              <w:spacing w:line="276" w:lineRule="auto"/>
              <w:jc w:val="center"/>
              <w:rPr>
                <w:noProof/>
                <w:sz w:val="20"/>
              </w:rPr>
            </w:pPr>
            <w:r w:rsidRPr="00130899">
              <w:rPr>
                <w:noProof/>
                <w:sz w:val="20"/>
              </w:rPr>
              <w:t>НЕ</w:t>
            </w:r>
          </w:p>
        </w:tc>
      </w:tr>
    </w:tbl>
    <w:p w14:paraId="771CFB64" w14:textId="77777777" w:rsidR="006918A0" w:rsidRPr="00130899" w:rsidRDefault="006918A0" w:rsidP="006918A0">
      <w:pPr>
        <w:tabs>
          <w:tab w:val="num" w:pos="1134"/>
        </w:tabs>
        <w:ind w:left="1134" w:hanging="283"/>
        <w:rPr>
          <w:noProof/>
        </w:rPr>
      </w:pPr>
      <w:r w:rsidRPr="00130899">
        <w:rPr>
          <w:noProof/>
        </w:rPr>
        <w:t xml:space="preserve">Поискани нови бюджетни редове </w:t>
      </w:r>
    </w:p>
    <w:p w14:paraId="2DE521B7" w14:textId="77777777" w:rsidR="006918A0" w:rsidRPr="00130899" w:rsidRDefault="006918A0" w:rsidP="006918A0">
      <w:pPr>
        <w:ind w:left="850"/>
        <w:rPr>
          <w:i/>
          <w:noProof/>
          <w:sz w:val="20"/>
        </w:rPr>
      </w:pPr>
      <w:r w:rsidRPr="00130899">
        <w:rPr>
          <w:i/>
          <w:noProof/>
          <w:u w:val="single"/>
        </w:rPr>
        <w:t>По реда</w:t>
      </w:r>
      <w:r w:rsidRPr="00130899">
        <w:rPr>
          <w:i/>
          <w:noProof/>
        </w:rPr>
        <w:t xml:space="preserve"> на функциите от многогодишната финансова рамка и на бюджетните редове.</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6918A0" w:rsidRPr="00130899" w14:paraId="3898E52B" w14:textId="77777777" w:rsidTr="000430BD">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4A4B4305" w14:textId="77777777" w:rsidR="006918A0" w:rsidRPr="00130899" w:rsidRDefault="006918A0" w:rsidP="006918A0">
            <w:pPr>
              <w:spacing w:before="60" w:after="60" w:line="276" w:lineRule="auto"/>
              <w:jc w:val="center"/>
              <w:rPr>
                <w:noProof/>
                <w:sz w:val="18"/>
              </w:rPr>
            </w:pPr>
            <w:r w:rsidRPr="00130899">
              <w:rPr>
                <w:noProof/>
                <w:sz w:val="18"/>
              </w:rPr>
              <w:t>Функция от многогодишната финансова рамка</w:t>
            </w:r>
          </w:p>
        </w:tc>
        <w:tc>
          <w:tcPr>
            <w:tcW w:w="3960" w:type="dxa"/>
            <w:tcBorders>
              <w:top w:val="single" w:sz="4" w:space="0" w:color="auto"/>
              <w:left w:val="single" w:sz="4" w:space="0" w:color="auto"/>
              <w:bottom w:val="single" w:sz="4" w:space="0" w:color="auto"/>
              <w:right w:val="single" w:sz="4" w:space="0" w:color="auto"/>
            </w:tcBorders>
            <w:vAlign w:val="center"/>
            <w:hideMark/>
          </w:tcPr>
          <w:p w14:paraId="4456F2FA" w14:textId="77777777" w:rsidR="006918A0" w:rsidRPr="00130899" w:rsidRDefault="006918A0" w:rsidP="006918A0">
            <w:pPr>
              <w:spacing w:before="60" w:after="60" w:line="276" w:lineRule="auto"/>
              <w:jc w:val="center"/>
              <w:rPr>
                <w:noProof/>
              </w:rPr>
            </w:pPr>
            <w:r w:rsidRPr="00130899">
              <w:rPr>
                <w:noProof/>
                <w:sz w:val="20"/>
              </w:rPr>
              <w:t>Бюджетен ред</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6B44AB1" w14:textId="77777777" w:rsidR="006918A0" w:rsidRPr="00130899" w:rsidRDefault="006918A0" w:rsidP="006918A0">
            <w:pPr>
              <w:spacing w:before="60" w:after="60" w:line="276" w:lineRule="auto"/>
              <w:jc w:val="center"/>
              <w:rPr>
                <w:noProof/>
              </w:rPr>
            </w:pPr>
            <w:r w:rsidRPr="00130899">
              <w:rPr>
                <w:noProof/>
                <w:sz w:val="18"/>
              </w:rPr>
              <w:t>Вид</w:t>
            </w:r>
            <w:r w:rsidRPr="00130899">
              <w:rPr>
                <w:noProof/>
              </w:rPr>
              <w:t xml:space="preserve"> </w:t>
            </w:r>
            <w:r w:rsidRPr="00130899">
              <w:rPr>
                <w:noProof/>
              </w:rPr>
              <w:cr/>
            </w:r>
            <w:r w:rsidRPr="00130899">
              <w:rPr>
                <w:noProof/>
              </w:rPr>
              <w:br/>
            </w:r>
            <w:r w:rsidRPr="00130899">
              <w:rPr>
                <w:noProof/>
                <w:sz w:val="18"/>
              </w:rPr>
              <w:t>разход</w:t>
            </w:r>
          </w:p>
        </w:tc>
        <w:tc>
          <w:tcPr>
            <w:tcW w:w="4440" w:type="dxa"/>
            <w:gridSpan w:val="4"/>
            <w:tcBorders>
              <w:top w:val="single" w:sz="4" w:space="0" w:color="auto"/>
              <w:left w:val="single" w:sz="4" w:space="0" w:color="auto"/>
              <w:bottom w:val="single" w:sz="4" w:space="0" w:color="auto"/>
              <w:right w:val="single" w:sz="4" w:space="0" w:color="auto"/>
            </w:tcBorders>
            <w:vAlign w:val="center"/>
            <w:hideMark/>
          </w:tcPr>
          <w:p w14:paraId="5DA25B64" w14:textId="77777777" w:rsidR="006918A0" w:rsidRPr="00130899" w:rsidRDefault="006918A0" w:rsidP="006918A0">
            <w:pPr>
              <w:spacing w:before="60" w:after="60" w:line="276" w:lineRule="auto"/>
              <w:jc w:val="center"/>
              <w:rPr>
                <w:noProof/>
              </w:rPr>
            </w:pPr>
            <w:r w:rsidRPr="00130899">
              <w:rPr>
                <w:noProof/>
                <w:sz w:val="20"/>
              </w:rPr>
              <w:t xml:space="preserve">Финансов принос </w:t>
            </w:r>
          </w:p>
        </w:tc>
      </w:tr>
      <w:tr w:rsidR="006918A0" w:rsidRPr="00130899" w14:paraId="68822C77" w14:textId="77777777" w:rsidTr="000430BD">
        <w:tc>
          <w:tcPr>
            <w:tcW w:w="1080" w:type="dxa"/>
            <w:vMerge/>
            <w:tcBorders>
              <w:top w:val="single" w:sz="4" w:space="0" w:color="auto"/>
              <w:left w:val="single" w:sz="4" w:space="0" w:color="auto"/>
              <w:bottom w:val="single" w:sz="4" w:space="0" w:color="auto"/>
              <w:right w:val="single" w:sz="4" w:space="0" w:color="auto"/>
            </w:tcBorders>
            <w:vAlign w:val="center"/>
            <w:hideMark/>
          </w:tcPr>
          <w:p w14:paraId="5C9C744B" w14:textId="77777777" w:rsidR="006918A0" w:rsidRPr="00130899" w:rsidRDefault="006918A0" w:rsidP="006918A0">
            <w:pPr>
              <w:spacing w:before="0" w:after="0" w:line="276" w:lineRule="auto"/>
              <w:jc w:val="left"/>
              <w:rPr>
                <w:noProof/>
                <w:sz w:val="18"/>
              </w:rPr>
            </w:pPr>
          </w:p>
        </w:tc>
        <w:tc>
          <w:tcPr>
            <w:tcW w:w="3960" w:type="dxa"/>
            <w:tcBorders>
              <w:top w:val="single" w:sz="4" w:space="0" w:color="auto"/>
              <w:left w:val="single" w:sz="4" w:space="0" w:color="auto"/>
              <w:bottom w:val="single" w:sz="4" w:space="0" w:color="auto"/>
              <w:right w:val="single" w:sz="4" w:space="0" w:color="auto"/>
            </w:tcBorders>
            <w:vAlign w:val="center"/>
            <w:hideMark/>
          </w:tcPr>
          <w:p w14:paraId="79263AA2" w14:textId="77777777" w:rsidR="006918A0" w:rsidRPr="00130899" w:rsidRDefault="006918A0" w:rsidP="006918A0">
            <w:pPr>
              <w:spacing w:line="276" w:lineRule="auto"/>
              <w:rPr>
                <w:noProof/>
              </w:rPr>
            </w:pPr>
            <w:r w:rsidRPr="00130899">
              <w:rPr>
                <w:noProof/>
                <w:sz w:val="20"/>
              </w:rPr>
              <w:t xml:space="preserve">Номер </w:t>
            </w:r>
            <w:r w:rsidRPr="00130899">
              <w:rPr>
                <w:noProof/>
              </w:rPr>
              <w:t xml:space="preserve"> </w:t>
            </w:r>
            <w:r w:rsidRPr="00130899">
              <w:rPr>
                <w:noProof/>
              </w:rPr>
              <w:cr/>
            </w:r>
            <w:r w:rsidRPr="00130899">
              <w:rPr>
                <w:noProof/>
              </w:rPr>
              <w:br/>
            </w:r>
          </w:p>
        </w:tc>
        <w:tc>
          <w:tcPr>
            <w:tcW w:w="1080" w:type="dxa"/>
            <w:tcBorders>
              <w:top w:val="single" w:sz="4" w:space="0" w:color="auto"/>
              <w:left w:val="single" w:sz="4" w:space="0" w:color="auto"/>
              <w:bottom w:val="single" w:sz="4" w:space="0" w:color="auto"/>
              <w:right w:val="single" w:sz="4" w:space="0" w:color="auto"/>
            </w:tcBorders>
            <w:vAlign w:val="center"/>
            <w:hideMark/>
          </w:tcPr>
          <w:p w14:paraId="4AA44D71" w14:textId="77777777" w:rsidR="006918A0" w:rsidRPr="00130899" w:rsidRDefault="006918A0" w:rsidP="006918A0">
            <w:pPr>
              <w:spacing w:line="276" w:lineRule="auto"/>
              <w:jc w:val="center"/>
              <w:rPr>
                <w:noProof/>
              </w:rPr>
            </w:pPr>
            <w:r w:rsidRPr="00130899">
              <w:rPr>
                <w:noProof/>
                <w:sz w:val="18"/>
              </w:rPr>
              <w:t>Многогод./едногод.</w:t>
            </w:r>
          </w:p>
        </w:tc>
        <w:tc>
          <w:tcPr>
            <w:tcW w:w="956" w:type="dxa"/>
            <w:tcBorders>
              <w:top w:val="single" w:sz="4" w:space="0" w:color="auto"/>
              <w:left w:val="single" w:sz="4" w:space="0" w:color="auto"/>
              <w:bottom w:val="single" w:sz="4" w:space="0" w:color="auto"/>
              <w:right w:val="single" w:sz="4" w:space="0" w:color="auto"/>
            </w:tcBorders>
            <w:vAlign w:val="center"/>
            <w:hideMark/>
          </w:tcPr>
          <w:p w14:paraId="1C3BB3CE" w14:textId="77777777" w:rsidR="006918A0" w:rsidRPr="00130899" w:rsidRDefault="006918A0" w:rsidP="006918A0">
            <w:pPr>
              <w:spacing w:line="276" w:lineRule="auto"/>
              <w:jc w:val="center"/>
              <w:rPr>
                <w:noProof/>
                <w:sz w:val="18"/>
              </w:rPr>
            </w:pPr>
            <w:r w:rsidRPr="00130899">
              <w:rPr>
                <w:noProof/>
                <w:sz w:val="18"/>
              </w:rPr>
              <w:t>от държави от ЕАСТ</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6DB1D0" w14:textId="77777777" w:rsidR="006918A0" w:rsidRPr="00130899" w:rsidRDefault="006918A0" w:rsidP="006918A0">
            <w:pPr>
              <w:spacing w:line="276" w:lineRule="auto"/>
              <w:jc w:val="center"/>
              <w:rPr>
                <w:noProof/>
                <w:sz w:val="18"/>
              </w:rPr>
            </w:pPr>
            <w:r w:rsidRPr="00130899">
              <w:rPr>
                <w:noProof/>
                <w:sz w:val="18"/>
              </w:rPr>
              <w:t>от държави кандидатки</w:t>
            </w:r>
          </w:p>
        </w:tc>
        <w:tc>
          <w:tcPr>
            <w:tcW w:w="956" w:type="dxa"/>
            <w:tcBorders>
              <w:top w:val="single" w:sz="4" w:space="0" w:color="auto"/>
              <w:left w:val="single" w:sz="4" w:space="0" w:color="auto"/>
              <w:bottom w:val="single" w:sz="4" w:space="0" w:color="auto"/>
              <w:right w:val="single" w:sz="4" w:space="0" w:color="auto"/>
            </w:tcBorders>
            <w:vAlign w:val="center"/>
            <w:hideMark/>
          </w:tcPr>
          <w:p w14:paraId="404B5972" w14:textId="77777777" w:rsidR="006918A0" w:rsidRPr="00130899" w:rsidRDefault="006918A0" w:rsidP="006918A0">
            <w:pPr>
              <w:spacing w:line="276" w:lineRule="auto"/>
              <w:jc w:val="center"/>
              <w:rPr>
                <w:noProof/>
                <w:sz w:val="18"/>
              </w:rPr>
            </w:pPr>
            <w:r w:rsidRPr="00130899">
              <w:rPr>
                <w:noProof/>
                <w:sz w:val="18"/>
              </w:rPr>
              <w:t>от трети държави</w:t>
            </w:r>
          </w:p>
        </w:tc>
        <w:tc>
          <w:tcPr>
            <w:tcW w:w="1448" w:type="dxa"/>
            <w:tcBorders>
              <w:top w:val="single" w:sz="4" w:space="0" w:color="auto"/>
              <w:left w:val="single" w:sz="4" w:space="0" w:color="auto"/>
              <w:bottom w:val="single" w:sz="4" w:space="0" w:color="auto"/>
              <w:right w:val="single" w:sz="4" w:space="0" w:color="auto"/>
            </w:tcBorders>
            <w:vAlign w:val="center"/>
            <w:hideMark/>
          </w:tcPr>
          <w:p w14:paraId="25B33EEF" w14:textId="77777777" w:rsidR="006918A0" w:rsidRPr="00130899" w:rsidRDefault="006918A0" w:rsidP="006918A0">
            <w:pPr>
              <w:spacing w:line="276" w:lineRule="auto"/>
              <w:jc w:val="center"/>
              <w:rPr>
                <w:noProof/>
              </w:rPr>
            </w:pPr>
            <w:r w:rsidRPr="00130899">
              <w:rPr>
                <w:noProof/>
                <w:sz w:val="16"/>
              </w:rPr>
              <w:t xml:space="preserve">по смисъла на член 21, параграф 2, буква б) от Финансовия регламент </w:t>
            </w:r>
          </w:p>
        </w:tc>
      </w:tr>
      <w:tr w:rsidR="006918A0" w:rsidRPr="00130899" w14:paraId="21F2044D" w14:textId="77777777" w:rsidTr="000430BD">
        <w:tc>
          <w:tcPr>
            <w:tcW w:w="1080" w:type="dxa"/>
            <w:tcBorders>
              <w:top w:val="single" w:sz="4" w:space="0" w:color="auto"/>
              <w:left w:val="single" w:sz="4" w:space="0" w:color="auto"/>
              <w:bottom w:val="single" w:sz="4" w:space="0" w:color="auto"/>
              <w:right w:val="single" w:sz="4" w:space="0" w:color="auto"/>
            </w:tcBorders>
            <w:vAlign w:val="center"/>
          </w:tcPr>
          <w:p w14:paraId="64F0C2AC" w14:textId="77777777" w:rsidR="006918A0" w:rsidRPr="00130899" w:rsidRDefault="006918A0" w:rsidP="006918A0">
            <w:pPr>
              <w:spacing w:line="276" w:lineRule="auto"/>
              <w:jc w:val="center"/>
              <w:rPr>
                <w:noProof/>
                <w:color w:val="0000FF"/>
              </w:rPr>
            </w:pPr>
          </w:p>
        </w:tc>
        <w:tc>
          <w:tcPr>
            <w:tcW w:w="3960" w:type="dxa"/>
            <w:tcBorders>
              <w:top w:val="single" w:sz="4" w:space="0" w:color="auto"/>
              <w:left w:val="single" w:sz="4" w:space="0" w:color="auto"/>
              <w:bottom w:val="single" w:sz="4" w:space="0" w:color="auto"/>
              <w:right w:val="single" w:sz="4" w:space="0" w:color="auto"/>
            </w:tcBorders>
            <w:vAlign w:val="center"/>
          </w:tcPr>
          <w:p w14:paraId="03691A7A" w14:textId="77777777" w:rsidR="006918A0" w:rsidRPr="00130899" w:rsidRDefault="006918A0" w:rsidP="006918A0">
            <w:pPr>
              <w:spacing w:before="60" w:line="276" w:lineRule="auto"/>
              <w:rPr>
                <w:noProof/>
              </w:rPr>
            </w:pPr>
            <w:r w:rsidRPr="00130899">
              <w:rPr>
                <w:noProof/>
              </w:rPr>
              <w:t>[XX.YY.YY.YY]</w:t>
            </w:r>
          </w:p>
          <w:p w14:paraId="72297390" w14:textId="77777777" w:rsidR="006918A0" w:rsidRPr="00130899" w:rsidRDefault="006918A0" w:rsidP="006918A0">
            <w:pPr>
              <w:spacing w:after="60" w:line="276" w:lineRule="auto"/>
              <w:rPr>
                <w:noProof/>
                <w:color w:val="0000FF"/>
              </w:rPr>
            </w:pPr>
          </w:p>
        </w:tc>
        <w:tc>
          <w:tcPr>
            <w:tcW w:w="1080" w:type="dxa"/>
            <w:tcBorders>
              <w:top w:val="single" w:sz="4" w:space="0" w:color="auto"/>
              <w:left w:val="single" w:sz="4" w:space="0" w:color="auto"/>
              <w:bottom w:val="single" w:sz="4" w:space="0" w:color="auto"/>
              <w:right w:val="single" w:sz="4" w:space="0" w:color="auto"/>
            </w:tcBorders>
            <w:vAlign w:val="center"/>
          </w:tcPr>
          <w:p w14:paraId="3B4352D3" w14:textId="77777777" w:rsidR="006918A0" w:rsidRPr="00130899" w:rsidRDefault="006918A0" w:rsidP="006918A0">
            <w:pPr>
              <w:spacing w:line="276" w:lineRule="auto"/>
              <w:jc w:val="center"/>
              <w:rPr>
                <w:noProof/>
                <w:color w:val="0000FF"/>
              </w:rPr>
            </w:pPr>
          </w:p>
        </w:tc>
        <w:tc>
          <w:tcPr>
            <w:tcW w:w="956" w:type="dxa"/>
            <w:tcBorders>
              <w:top w:val="single" w:sz="4" w:space="0" w:color="auto"/>
              <w:left w:val="single" w:sz="4" w:space="0" w:color="auto"/>
              <w:bottom w:val="single" w:sz="4" w:space="0" w:color="auto"/>
              <w:right w:val="single" w:sz="4" w:space="0" w:color="auto"/>
            </w:tcBorders>
            <w:vAlign w:val="center"/>
            <w:hideMark/>
          </w:tcPr>
          <w:p w14:paraId="20CD37B4" w14:textId="77777777" w:rsidR="006918A0" w:rsidRPr="00130899" w:rsidRDefault="006918A0" w:rsidP="006918A0">
            <w:pPr>
              <w:spacing w:line="276" w:lineRule="auto"/>
              <w:jc w:val="center"/>
              <w:rPr>
                <w:noProof/>
                <w:sz w:val="20"/>
              </w:rPr>
            </w:pPr>
            <w:r w:rsidRPr="00130899">
              <w:rPr>
                <w:noProof/>
                <w:sz w:val="20"/>
              </w:rPr>
              <w:t>ДА/НЕ</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BDEC011" w14:textId="77777777" w:rsidR="006918A0" w:rsidRPr="00130899" w:rsidRDefault="006918A0" w:rsidP="006918A0">
            <w:pPr>
              <w:spacing w:line="276" w:lineRule="auto"/>
              <w:jc w:val="center"/>
              <w:rPr>
                <w:noProof/>
                <w:color w:val="0000FF"/>
                <w:sz w:val="20"/>
              </w:rPr>
            </w:pPr>
            <w:r w:rsidRPr="00130899">
              <w:rPr>
                <w:noProof/>
                <w:sz w:val="20"/>
              </w:rPr>
              <w:t>ДА/НЕ</w:t>
            </w:r>
          </w:p>
        </w:tc>
        <w:tc>
          <w:tcPr>
            <w:tcW w:w="956" w:type="dxa"/>
            <w:tcBorders>
              <w:top w:val="single" w:sz="4" w:space="0" w:color="auto"/>
              <w:left w:val="single" w:sz="4" w:space="0" w:color="auto"/>
              <w:bottom w:val="single" w:sz="4" w:space="0" w:color="auto"/>
              <w:right w:val="single" w:sz="4" w:space="0" w:color="auto"/>
            </w:tcBorders>
            <w:vAlign w:val="center"/>
            <w:hideMark/>
          </w:tcPr>
          <w:p w14:paraId="2B7B378D" w14:textId="77777777" w:rsidR="006918A0" w:rsidRPr="00130899" w:rsidRDefault="006918A0" w:rsidP="006918A0">
            <w:pPr>
              <w:spacing w:line="276" w:lineRule="auto"/>
              <w:jc w:val="center"/>
              <w:rPr>
                <w:noProof/>
                <w:color w:val="0000FF"/>
                <w:sz w:val="20"/>
              </w:rPr>
            </w:pPr>
            <w:r w:rsidRPr="00130899">
              <w:rPr>
                <w:noProof/>
                <w:sz w:val="20"/>
              </w:rPr>
              <w:t>ДА/НЕ</w:t>
            </w:r>
          </w:p>
        </w:tc>
        <w:tc>
          <w:tcPr>
            <w:tcW w:w="1448" w:type="dxa"/>
            <w:tcBorders>
              <w:top w:val="single" w:sz="4" w:space="0" w:color="auto"/>
              <w:left w:val="single" w:sz="4" w:space="0" w:color="auto"/>
              <w:bottom w:val="single" w:sz="4" w:space="0" w:color="auto"/>
              <w:right w:val="single" w:sz="4" w:space="0" w:color="auto"/>
            </w:tcBorders>
            <w:vAlign w:val="center"/>
            <w:hideMark/>
          </w:tcPr>
          <w:p w14:paraId="310EDAF0" w14:textId="77777777" w:rsidR="006918A0" w:rsidRPr="00130899" w:rsidRDefault="006918A0" w:rsidP="006918A0">
            <w:pPr>
              <w:spacing w:line="276" w:lineRule="auto"/>
              <w:jc w:val="center"/>
              <w:rPr>
                <w:noProof/>
                <w:sz w:val="20"/>
              </w:rPr>
            </w:pPr>
            <w:r w:rsidRPr="00130899">
              <w:rPr>
                <w:noProof/>
                <w:sz w:val="20"/>
              </w:rPr>
              <w:t>ДА/НЕ</w:t>
            </w:r>
          </w:p>
        </w:tc>
      </w:tr>
    </w:tbl>
    <w:p w14:paraId="5C9BD304" w14:textId="77777777" w:rsidR="006918A0" w:rsidRPr="00130899" w:rsidRDefault="006918A0" w:rsidP="006918A0">
      <w:pPr>
        <w:spacing w:before="0" w:after="0"/>
        <w:jc w:val="left"/>
        <w:rPr>
          <w:noProof/>
        </w:rPr>
        <w:sectPr w:rsidR="006918A0" w:rsidRPr="00130899" w:rsidSect="006362D3">
          <w:pgSz w:w="11907" w:h="16840"/>
          <w:pgMar w:top="1134" w:right="1418" w:bottom="1134" w:left="1418" w:header="709" w:footer="709" w:gutter="0"/>
          <w:cols w:space="720"/>
          <w:docGrid w:linePitch="326"/>
        </w:sectPr>
      </w:pPr>
    </w:p>
    <w:p w14:paraId="60FB2082" w14:textId="77777777" w:rsidR="006918A0" w:rsidRPr="00130899" w:rsidRDefault="00287904" w:rsidP="00287904">
      <w:pPr>
        <w:pStyle w:val="ManualHeading2"/>
        <w:rPr>
          <w:noProof/>
        </w:rPr>
      </w:pPr>
      <w:bookmarkStart w:id="15" w:name="_Toc514938052"/>
      <w:bookmarkStart w:id="16" w:name="_Toc520485051"/>
      <w:r w:rsidRPr="00130899">
        <w:rPr>
          <w:noProof/>
        </w:rPr>
        <w:tab/>
        <w:t>3.2.</w:t>
      </w:r>
      <w:r w:rsidRPr="00130899">
        <w:rPr>
          <w:noProof/>
        </w:rPr>
        <w:tab/>
        <w:t>Очаквано финансово отражение на предложението върху бюджетните кредити</w:t>
      </w:r>
      <w:bookmarkEnd w:id="15"/>
      <w:bookmarkEnd w:id="16"/>
      <w:r w:rsidRPr="00130899">
        <w:rPr>
          <w:noProof/>
        </w:rPr>
        <w:t xml:space="preserve"> </w:t>
      </w:r>
    </w:p>
    <w:p w14:paraId="1D1B1630" w14:textId="77777777" w:rsidR="006918A0" w:rsidRPr="00130899" w:rsidRDefault="00287904" w:rsidP="00287904">
      <w:pPr>
        <w:pStyle w:val="ManualHeading3"/>
        <w:rPr>
          <w:noProof/>
        </w:rPr>
      </w:pPr>
      <w:bookmarkStart w:id="17" w:name="_Toc514938053"/>
      <w:bookmarkStart w:id="18" w:name="_Toc520485052"/>
      <w:r w:rsidRPr="00130899">
        <w:rPr>
          <w:noProof/>
        </w:rPr>
        <w:tab/>
        <w:t>3.2.1</w:t>
      </w:r>
      <w:r w:rsidRPr="00130899">
        <w:rPr>
          <w:noProof/>
        </w:rPr>
        <w:tab/>
        <w:t>Обобщение на очакваното отражение върху бюджетните кредити за оперативни разходи</w:t>
      </w:r>
      <w:bookmarkEnd w:id="17"/>
      <w:bookmarkEnd w:id="18"/>
      <w:r w:rsidRPr="00130899">
        <w:rPr>
          <w:noProof/>
        </w:rPr>
        <w:t xml:space="preserve"> </w:t>
      </w:r>
    </w:p>
    <w:p w14:paraId="332EE5B0" w14:textId="77777777" w:rsidR="006918A0" w:rsidRPr="00130899" w:rsidRDefault="006918A0" w:rsidP="006918A0">
      <w:pPr>
        <w:tabs>
          <w:tab w:val="num" w:pos="1134"/>
        </w:tabs>
        <w:ind w:left="1134" w:hanging="283"/>
        <w:rPr>
          <w:noProof/>
        </w:rPr>
      </w:pPr>
      <w:r w:rsidRPr="00130899">
        <w:rPr>
          <w:rFonts w:ascii="Wingdings" w:hAnsi="Wingdings"/>
          <w:noProof/>
        </w:rPr>
        <w:sym w:font="Wingdings" w:char="F0A8"/>
      </w:r>
      <w:r w:rsidRPr="00130899">
        <w:rPr>
          <w:noProof/>
        </w:rPr>
        <w:tab/>
        <w:t xml:space="preserve">Предложението/инициативата не налага използване на бюджетни кредити за оперативни разходи </w:t>
      </w:r>
    </w:p>
    <w:p w14:paraId="292E57E5" w14:textId="77777777" w:rsidR="006918A0" w:rsidRPr="00130899" w:rsidRDefault="006918A0" w:rsidP="006918A0">
      <w:pPr>
        <w:tabs>
          <w:tab w:val="num" w:pos="1134"/>
        </w:tabs>
        <w:ind w:left="1134" w:hanging="283"/>
        <w:rPr>
          <w:noProof/>
        </w:rPr>
      </w:pPr>
      <w:r w:rsidRPr="00130899">
        <w:rPr>
          <w:rFonts w:ascii="Wingdings" w:hAnsi="Wingdings"/>
          <w:noProof/>
        </w:rPr>
        <w:sym w:font="Wingdings" w:char="F0FD"/>
      </w:r>
      <w:r w:rsidRPr="00130899">
        <w:rPr>
          <w:noProof/>
        </w:rPr>
        <w:tab/>
        <w:t>Предложението/инициативата налага използване на бюджетни кредити за оперативни разходи съгласно обяснението по-долу:</w:t>
      </w:r>
    </w:p>
    <w:p w14:paraId="71EEC68D" w14:textId="77777777" w:rsidR="006918A0" w:rsidRPr="00130899" w:rsidRDefault="006918A0" w:rsidP="006918A0">
      <w:pPr>
        <w:jc w:val="right"/>
        <w:rPr>
          <w:noProof/>
          <w:sz w:val="18"/>
        </w:rPr>
      </w:pPr>
      <w:r w:rsidRPr="00130899">
        <w:rPr>
          <w:noProof/>
          <w:sz w:val="18"/>
        </w:rPr>
        <w:t>млн. евро (до 3-тия знак след десетичната запетая)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6918A0" w:rsidRPr="00130899" w14:paraId="3EA898B8" w14:textId="77777777" w:rsidTr="000430BD">
        <w:trPr>
          <w:jc w:val="center"/>
        </w:trPr>
        <w:tc>
          <w:tcPr>
            <w:tcW w:w="4744"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14:paraId="704411AC" w14:textId="77777777" w:rsidR="006918A0" w:rsidRPr="00130899" w:rsidRDefault="006918A0" w:rsidP="006918A0">
            <w:pPr>
              <w:spacing w:before="60" w:after="60" w:line="276" w:lineRule="auto"/>
              <w:jc w:val="center"/>
              <w:rPr>
                <w:b/>
                <w:noProof/>
              </w:rPr>
            </w:pPr>
            <w:r w:rsidRPr="00130899">
              <w:rPr>
                <w:b/>
                <w:noProof/>
              </w:rPr>
              <w:t xml:space="preserve">Функция от многогодишната финансова </w:t>
            </w:r>
            <w:r w:rsidRPr="00130899">
              <w:rPr>
                <w:noProof/>
              </w:rPr>
              <w:t xml:space="preserve"> </w:t>
            </w:r>
            <w:r w:rsidRPr="00130899">
              <w:rPr>
                <w:noProof/>
              </w:rPr>
              <w:cr/>
            </w:r>
            <w:r w:rsidRPr="00130899">
              <w:rPr>
                <w:noProof/>
              </w:rPr>
              <w:br/>
            </w:r>
            <w:r w:rsidRPr="00130899">
              <w:rPr>
                <w:b/>
                <w:noProof/>
              </w:rPr>
              <w:t xml:space="preserve">рамка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66D676" w14:textId="77777777" w:rsidR="006918A0" w:rsidRPr="00130899" w:rsidRDefault="006918A0" w:rsidP="006918A0">
            <w:pPr>
              <w:spacing w:before="60" w:after="60" w:line="276" w:lineRule="auto"/>
              <w:jc w:val="center"/>
              <w:rPr>
                <w:noProof/>
              </w:rPr>
            </w:pPr>
            <w:r w:rsidRPr="00130899">
              <w:rPr>
                <w:noProof/>
              </w:rPr>
              <w:t>Номер</w:t>
            </w:r>
          </w:p>
          <w:p w14:paraId="4A3E6B1F" w14:textId="77777777" w:rsidR="006918A0" w:rsidRPr="00130899" w:rsidRDefault="006918A0" w:rsidP="006918A0">
            <w:pPr>
              <w:spacing w:before="60" w:after="60" w:line="276" w:lineRule="auto"/>
              <w:jc w:val="center"/>
              <w:rPr>
                <w:noProof/>
              </w:rPr>
            </w:pPr>
            <w:r w:rsidRPr="00130899">
              <w:rPr>
                <w:noProof/>
              </w:rPr>
              <w:t>1</w:t>
            </w:r>
          </w:p>
        </w:tc>
        <w:tc>
          <w:tcPr>
            <w:tcW w:w="7817" w:type="dxa"/>
            <w:tcBorders>
              <w:top w:val="single" w:sz="4" w:space="0" w:color="auto"/>
              <w:left w:val="single" w:sz="4" w:space="0" w:color="auto"/>
              <w:bottom w:val="single" w:sz="4" w:space="0" w:color="auto"/>
              <w:right w:val="single" w:sz="4" w:space="0" w:color="auto"/>
            </w:tcBorders>
            <w:vAlign w:val="center"/>
            <w:hideMark/>
          </w:tcPr>
          <w:p w14:paraId="57A060A6" w14:textId="77777777" w:rsidR="006918A0" w:rsidRPr="00130899" w:rsidRDefault="006918A0" w:rsidP="006918A0">
            <w:pPr>
              <w:spacing w:before="60" w:after="60" w:line="276" w:lineRule="auto"/>
              <w:rPr>
                <w:noProof/>
              </w:rPr>
            </w:pPr>
            <w:r w:rsidRPr="00130899">
              <w:rPr>
                <w:noProof/>
              </w:rPr>
              <w:t>Единен пазар, иновации и цифрова сфера</w:t>
            </w:r>
          </w:p>
        </w:tc>
      </w:tr>
    </w:tbl>
    <w:p w14:paraId="64F7B192" w14:textId="77777777" w:rsidR="006918A0" w:rsidRPr="00130899" w:rsidRDefault="006918A0" w:rsidP="006918A0">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2099"/>
        <w:gridCol w:w="23"/>
      </w:tblGrid>
      <w:tr w:rsidR="006918A0" w:rsidRPr="00130899" w14:paraId="3A83AEBA" w14:textId="77777777" w:rsidTr="00E104B3">
        <w:trPr>
          <w:gridAfter w:val="1"/>
          <w:wAfter w:w="23" w:type="dxa"/>
        </w:trPr>
        <w:tc>
          <w:tcPr>
            <w:tcW w:w="3960" w:type="dxa"/>
            <w:tcBorders>
              <w:top w:val="single" w:sz="4" w:space="0" w:color="auto"/>
              <w:left w:val="single" w:sz="4" w:space="0" w:color="auto"/>
              <w:bottom w:val="single" w:sz="4" w:space="0" w:color="auto"/>
              <w:right w:val="single" w:sz="4" w:space="0" w:color="auto"/>
            </w:tcBorders>
            <w:vAlign w:val="center"/>
            <w:hideMark/>
          </w:tcPr>
          <w:p w14:paraId="0D640901" w14:textId="77777777" w:rsidR="006918A0" w:rsidRPr="00130899" w:rsidRDefault="006918A0" w:rsidP="006918A0">
            <w:pPr>
              <w:spacing w:line="276" w:lineRule="auto"/>
              <w:jc w:val="center"/>
              <w:rPr>
                <w:noProof/>
              </w:rPr>
            </w:pPr>
            <w:r w:rsidRPr="00130899">
              <w:rPr>
                <w:noProof/>
              </w:rPr>
              <w:t>ГД „Данъчно облагане и митнически съюз“ (TAXUD)</w:t>
            </w:r>
          </w:p>
        </w:tc>
        <w:tc>
          <w:tcPr>
            <w:tcW w:w="1560" w:type="dxa"/>
            <w:gridSpan w:val="2"/>
            <w:tcBorders>
              <w:top w:val="single" w:sz="4" w:space="0" w:color="auto"/>
              <w:left w:val="single" w:sz="4" w:space="0" w:color="auto"/>
              <w:bottom w:val="single" w:sz="4" w:space="0" w:color="auto"/>
              <w:right w:val="single" w:sz="4" w:space="0" w:color="auto"/>
            </w:tcBorders>
          </w:tcPr>
          <w:p w14:paraId="51BA3278" w14:textId="77777777" w:rsidR="006918A0" w:rsidRPr="00130899" w:rsidRDefault="006918A0" w:rsidP="006918A0">
            <w:pPr>
              <w:spacing w:line="276" w:lineRule="auto"/>
              <w:rPr>
                <w:noProof/>
                <w:sz w:val="20"/>
              </w:rPr>
            </w:pPr>
          </w:p>
        </w:tc>
        <w:tc>
          <w:tcPr>
            <w:tcW w:w="534" w:type="dxa"/>
            <w:tcBorders>
              <w:top w:val="single" w:sz="4" w:space="0" w:color="auto"/>
              <w:left w:val="single" w:sz="4" w:space="0" w:color="auto"/>
              <w:bottom w:val="single" w:sz="4" w:space="0" w:color="auto"/>
              <w:right w:val="single" w:sz="4" w:space="0" w:color="auto"/>
            </w:tcBorders>
          </w:tcPr>
          <w:p w14:paraId="6F2F0DE4" w14:textId="77777777" w:rsidR="006918A0" w:rsidRPr="00130899" w:rsidRDefault="006918A0" w:rsidP="006918A0">
            <w:pPr>
              <w:spacing w:line="276" w:lineRule="auto"/>
              <w:jc w:val="center"/>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B34DE08" w14:textId="77777777" w:rsidR="006918A0" w:rsidRPr="00130899" w:rsidRDefault="006918A0" w:rsidP="006918A0">
            <w:pPr>
              <w:spacing w:line="276" w:lineRule="auto"/>
              <w:jc w:val="center"/>
              <w:rPr>
                <w:noProof/>
                <w:sz w:val="20"/>
              </w:rPr>
            </w:pPr>
            <w:r w:rsidRPr="00130899">
              <w:rPr>
                <w:noProof/>
              </w:rPr>
              <w:t>2023 г.</w:t>
            </w:r>
          </w:p>
        </w:tc>
        <w:tc>
          <w:tcPr>
            <w:tcW w:w="868" w:type="dxa"/>
            <w:tcBorders>
              <w:top w:val="single" w:sz="4" w:space="0" w:color="auto"/>
              <w:left w:val="single" w:sz="4" w:space="0" w:color="auto"/>
              <w:bottom w:val="single" w:sz="4" w:space="0" w:color="auto"/>
              <w:right w:val="single" w:sz="4" w:space="0" w:color="auto"/>
            </w:tcBorders>
            <w:vAlign w:val="center"/>
            <w:hideMark/>
          </w:tcPr>
          <w:p w14:paraId="3636E300" w14:textId="77777777" w:rsidR="006918A0" w:rsidRPr="00130899" w:rsidRDefault="006918A0" w:rsidP="006918A0">
            <w:pPr>
              <w:spacing w:line="276" w:lineRule="auto"/>
              <w:jc w:val="center"/>
              <w:rPr>
                <w:noProof/>
                <w:sz w:val="20"/>
              </w:rPr>
            </w:pPr>
            <w:r w:rsidRPr="00130899">
              <w:rPr>
                <w:noProof/>
              </w:rPr>
              <w:t>2024 г.</w:t>
            </w:r>
          </w:p>
        </w:tc>
        <w:tc>
          <w:tcPr>
            <w:tcW w:w="868" w:type="dxa"/>
            <w:tcBorders>
              <w:top w:val="single" w:sz="4" w:space="0" w:color="auto"/>
              <w:left w:val="single" w:sz="4" w:space="0" w:color="auto"/>
              <w:bottom w:val="single" w:sz="4" w:space="0" w:color="auto"/>
              <w:right w:val="single" w:sz="4" w:space="0" w:color="auto"/>
            </w:tcBorders>
            <w:vAlign w:val="center"/>
            <w:hideMark/>
          </w:tcPr>
          <w:p w14:paraId="72AF47D8" w14:textId="77777777" w:rsidR="006918A0" w:rsidRPr="00130899" w:rsidRDefault="006918A0" w:rsidP="006918A0">
            <w:pPr>
              <w:spacing w:line="276" w:lineRule="auto"/>
              <w:jc w:val="center"/>
              <w:rPr>
                <w:noProof/>
                <w:sz w:val="20"/>
              </w:rPr>
            </w:pPr>
            <w:r w:rsidRPr="00130899">
              <w:rPr>
                <w:noProof/>
              </w:rPr>
              <w:t>2025 г.</w:t>
            </w:r>
          </w:p>
        </w:tc>
        <w:tc>
          <w:tcPr>
            <w:tcW w:w="868" w:type="dxa"/>
            <w:tcBorders>
              <w:top w:val="single" w:sz="4" w:space="0" w:color="auto"/>
              <w:left w:val="single" w:sz="4" w:space="0" w:color="auto"/>
              <w:bottom w:val="single" w:sz="4" w:space="0" w:color="auto"/>
              <w:right w:val="single" w:sz="4" w:space="0" w:color="auto"/>
            </w:tcBorders>
            <w:vAlign w:val="center"/>
            <w:hideMark/>
          </w:tcPr>
          <w:p w14:paraId="4964294C" w14:textId="77777777" w:rsidR="006918A0" w:rsidRPr="00130899" w:rsidRDefault="006918A0" w:rsidP="006918A0">
            <w:pPr>
              <w:spacing w:line="276" w:lineRule="auto"/>
              <w:jc w:val="center"/>
              <w:rPr>
                <w:noProof/>
                <w:sz w:val="20"/>
              </w:rPr>
            </w:pPr>
            <w:r w:rsidRPr="00130899">
              <w:rPr>
                <w:noProof/>
              </w:rPr>
              <w:t>2026 г.</w:t>
            </w:r>
          </w:p>
        </w:tc>
        <w:tc>
          <w:tcPr>
            <w:tcW w:w="2604" w:type="dxa"/>
            <w:gridSpan w:val="3"/>
            <w:tcBorders>
              <w:top w:val="single" w:sz="4" w:space="0" w:color="auto"/>
              <w:left w:val="single" w:sz="4" w:space="0" w:color="auto"/>
              <w:bottom w:val="single" w:sz="4" w:space="0" w:color="auto"/>
              <w:right w:val="single" w:sz="4" w:space="0" w:color="auto"/>
            </w:tcBorders>
            <w:vAlign w:val="center"/>
            <w:hideMark/>
          </w:tcPr>
          <w:p w14:paraId="22911DF4" w14:textId="77777777" w:rsidR="006918A0" w:rsidRPr="00130899" w:rsidRDefault="006918A0" w:rsidP="006918A0">
            <w:pPr>
              <w:spacing w:line="276" w:lineRule="auto"/>
              <w:jc w:val="center"/>
              <w:rPr>
                <w:b/>
                <w:noProof/>
                <w:sz w:val="18"/>
              </w:rPr>
            </w:pPr>
            <w:r w:rsidRPr="00130899">
              <w:rPr>
                <w:noProof/>
                <w:sz w:val="18"/>
              </w:rPr>
              <w:t>Да се добавят толкова години, колкото е необходимо, за да се обхване продължителността на отражението (вж. точка 1.6)</w:t>
            </w:r>
          </w:p>
        </w:tc>
        <w:tc>
          <w:tcPr>
            <w:tcW w:w="2099" w:type="dxa"/>
            <w:tcBorders>
              <w:top w:val="single" w:sz="4" w:space="0" w:color="auto"/>
              <w:left w:val="single" w:sz="4" w:space="0" w:color="auto"/>
              <w:bottom w:val="single" w:sz="4" w:space="0" w:color="auto"/>
              <w:right w:val="single" w:sz="4" w:space="0" w:color="auto"/>
            </w:tcBorders>
            <w:vAlign w:val="center"/>
            <w:hideMark/>
          </w:tcPr>
          <w:p w14:paraId="3436EF36" w14:textId="77777777" w:rsidR="006918A0" w:rsidRPr="00130899" w:rsidRDefault="006918A0" w:rsidP="006918A0">
            <w:pPr>
              <w:spacing w:line="276" w:lineRule="auto"/>
              <w:jc w:val="center"/>
              <w:rPr>
                <w:b/>
                <w:noProof/>
                <w:sz w:val="20"/>
              </w:rPr>
            </w:pPr>
            <w:r w:rsidRPr="00130899">
              <w:rPr>
                <w:b/>
                <w:noProof/>
                <w:sz w:val="20"/>
              </w:rPr>
              <w:t>ОБЩО</w:t>
            </w:r>
          </w:p>
        </w:tc>
      </w:tr>
      <w:tr w:rsidR="006918A0" w:rsidRPr="00130899" w14:paraId="46A09A5A" w14:textId="77777777" w:rsidTr="00E104B3">
        <w:trPr>
          <w:gridAfter w:val="1"/>
          <w:wAfter w:w="23" w:type="dxa"/>
          <w:trHeight w:val="213"/>
        </w:trPr>
        <w:tc>
          <w:tcPr>
            <w:tcW w:w="6054" w:type="dxa"/>
            <w:gridSpan w:val="4"/>
            <w:tcBorders>
              <w:top w:val="single" w:sz="4" w:space="0" w:color="auto"/>
              <w:left w:val="single" w:sz="4" w:space="0" w:color="auto"/>
              <w:bottom w:val="single" w:sz="4" w:space="0" w:color="auto"/>
              <w:right w:val="single" w:sz="4" w:space="0" w:color="auto"/>
            </w:tcBorders>
            <w:vAlign w:val="center"/>
            <w:hideMark/>
          </w:tcPr>
          <w:p w14:paraId="68D2F3AE" w14:textId="77777777" w:rsidR="006918A0" w:rsidRPr="00130899" w:rsidRDefault="006918A0" w:rsidP="006918A0">
            <w:pPr>
              <w:spacing w:before="20" w:after="20" w:line="276" w:lineRule="auto"/>
              <w:rPr>
                <w:noProof/>
                <w:sz w:val="21"/>
              </w:rPr>
            </w:pPr>
            <w:r w:rsidRPr="00130899">
              <w:rPr>
                <w:rFonts w:ascii="Wingdings" w:hAnsi="Wingdings"/>
                <w:noProof/>
                <w:sz w:val="21"/>
              </w:rPr>
              <w:sym w:font="Wingdings" w:char="F09F"/>
            </w:r>
            <w:r w:rsidRPr="00130899">
              <w:rPr>
                <w:noProof/>
                <w:sz w:val="21"/>
              </w:rPr>
              <w:t xml:space="preserve"> Бюджетни кредити за оперативни разходи </w:t>
            </w:r>
          </w:p>
        </w:tc>
        <w:tc>
          <w:tcPr>
            <w:tcW w:w="868" w:type="dxa"/>
            <w:tcBorders>
              <w:top w:val="single" w:sz="4" w:space="0" w:color="auto"/>
              <w:left w:val="single" w:sz="4" w:space="0" w:color="auto"/>
              <w:bottom w:val="single" w:sz="4" w:space="0" w:color="auto"/>
              <w:right w:val="single" w:sz="4" w:space="0" w:color="auto"/>
            </w:tcBorders>
            <w:vAlign w:val="center"/>
          </w:tcPr>
          <w:p w14:paraId="7FDB3971" w14:textId="77777777" w:rsidR="006918A0" w:rsidRPr="00130899" w:rsidRDefault="006918A0" w:rsidP="006918A0">
            <w:pPr>
              <w:spacing w:line="276" w:lineRule="auto"/>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18379F16" w14:textId="77777777" w:rsidR="006918A0" w:rsidRPr="00130899" w:rsidRDefault="006918A0" w:rsidP="006918A0">
            <w:pPr>
              <w:spacing w:line="276" w:lineRule="auto"/>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28DECC5C" w14:textId="77777777" w:rsidR="006918A0" w:rsidRPr="00130899" w:rsidRDefault="006918A0" w:rsidP="006918A0">
            <w:pPr>
              <w:spacing w:line="276" w:lineRule="auto"/>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0652B633" w14:textId="77777777" w:rsidR="006918A0" w:rsidRPr="00130899" w:rsidRDefault="006918A0" w:rsidP="006918A0">
            <w:pPr>
              <w:spacing w:line="276" w:lineRule="auto"/>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2E246EA9" w14:textId="77777777" w:rsidR="006918A0" w:rsidRPr="00130899" w:rsidRDefault="006918A0" w:rsidP="006918A0">
            <w:pPr>
              <w:spacing w:line="276" w:lineRule="auto"/>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46B622B5" w14:textId="77777777" w:rsidR="006918A0" w:rsidRPr="00130899" w:rsidRDefault="006918A0" w:rsidP="006918A0">
            <w:pPr>
              <w:spacing w:line="276" w:lineRule="auto"/>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545E6760" w14:textId="77777777" w:rsidR="006918A0" w:rsidRPr="00130899" w:rsidRDefault="006918A0" w:rsidP="006918A0">
            <w:pPr>
              <w:spacing w:line="276" w:lineRule="auto"/>
              <w:rPr>
                <w:b/>
                <w:noProof/>
                <w:sz w:val="20"/>
              </w:rPr>
            </w:pPr>
          </w:p>
        </w:tc>
        <w:tc>
          <w:tcPr>
            <w:tcW w:w="2099" w:type="dxa"/>
            <w:tcBorders>
              <w:top w:val="single" w:sz="4" w:space="0" w:color="auto"/>
              <w:left w:val="single" w:sz="4" w:space="0" w:color="auto"/>
              <w:bottom w:val="single" w:sz="4" w:space="0" w:color="auto"/>
              <w:right w:val="single" w:sz="4" w:space="0" w:color="auto"/>
            </w:tcBorders>
            <w:vAlign w:val="center"/>
          </w:tcPr>
          <w:p w14:paraId="44B09DC0" w14:textId="77777777" w:rsidR="006918A0" w:rsidRPr="00130899" w:rsidRDefault="006918A0" w:rsidP="006918A0">
            <w:pPr>
              <w:spacing w:line="276" w:lineRule="auto"/>
              <w:rPr>
                <w:b/>
                <w:noProof/>
                <w:sz w:val="20"/>
              </w:rPr>
            </w:pPr>
          </w:p>
        </w:tc>
      </w:tr>
      <w:tr w:rsidR="006918A0" w:rsidRPr="00130899" w14:paraId="31EED733" w14:textId="77777777" w:rsidTr="00E104B3">
        <w:trPr>
          <w:gridAfter w:val="1"/>
          <w:wAfter w:w="23" w:type="dxa"/>
          <w:trHeight w:val="277"/>
        </w:trPr>
        <w:tc>
          <w:tcPr>
            <w:tcW w:w="3960" w:type="dxa"/>
            <w:vMerge w:val="restart"/>
            <w:tcBorders>
              <w:top w:val="single" w:sz="4" w:space="0" w:color="auto"/>
              <w:left w:val="single" w:sz="4" w:space="0" w:color="auto"/>
              <w:bottom w:val="single" w:sz="4" w:space="0" w:color="auto"/>
              <w:right w:val="single" w:sz="4" w:space="0" w:color="auto"/>
            </w:tcBorders>
            <w:vAlign w:val="center"/>
            <w:hideMark/>
          </w:tcPr>
          <w:p w14:paraId="1A4E531A" w14:textId="77777777" w:rsidR="006918A0" w:rsidRPr="00130899" w:rsidRDefault="006918A0" w:rsidP="006918A0">
            <w:pPr>
              <w:spacing w:line="276" w:lineRule="auto"/>
              <w:rPr>
                <w:noProof/>
              </w:rPr>
            </w:pPr>
            <w:r w:rsidRPr="00130899">
              <w:rPr>
                <w:noProof/>
                <w:sz w:val="20"/>
              </w:rPr>
              <w:t>Бюджетен ред</w:t>
            </w:r>
            <w:r w:rsidRPr="00130899">
              <w:rPr>
                <w:rStyle w:val="FootnoteReference"/>
                <w:noProof/>
              </w:rPr>
              <w:footnoteReference w:id="50"/>
            </w:r>
            <w:r w:rsidRPr="00130899">
              <w:rPr>
                <w:noProof/>
                <w:sz w:val="20"/>
              </w:rPr>
              <w:t xml:space="preserve"> 03.04.01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9D6CF35" w14:textId="77777777" w:rsidR="006918A0" w:rsidRPr="00130899" w:rsidRDefault="006918A0" w:rsidP="006918A0">
            <w:pPr>
              <w:spacing w:before="20" w:after="20" w:line="276" w:lineRule="auto"/>
              <w:rPr>
                <w:noProof/>
                <w:sz w:val="18"/>
              </w:rPr>
            </w:pPr>
            <w:r w:rsidRPr="00130899">
              <w:rPr>
                <w:noProof/>
                <w:sz w:val="18"/>
              </w:rPr>
              <w:t>Поети задължения</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50D7F806" w14:textId="77777777" w:rsidR="006918A0" w:rsidRPr="00130899" w:rsidRDefault="006918A0" w:rsidP="006918A0">
            <w:pPr>
              <w:spacing w:before="20" w:after="20" w:line="276" w:lineRule="auto"/>
              <w:jc w:val="center"/>
              <w:rPr>
                <w:noProof/>
                <w:sz w:val="14"/>
              </w:rPr>
            </w:pPr>
            <w:r w:rsidRPr="00130899">
              <w:rPr>
                <w:noProof/>
                <w:sz w:val="14"/>
              </w:rPr>
              <w:t>(1a)</w:t>
            </w:r>
          </w:p>
        </w:tc>
        <w:tc>
          <w:tcPr>
            <w:tcW w:w="868" w:type="dxa"/>
            <w:tcBorders>
              <w:top w:val="single" w:sz="4" w:space="0" w:color="auto"/>
              <w:left w:val="single" w:sz="4" w:space="0" w:color="auto"/>
              <w:bottom w:val="single" w:sz="4" w:space="0" w:color="auto"/>
              <w:right w:val="single" w:sz="4" w:space="0" w:color="auto"/>
            </w:tcBorders>
            <w:hideMark/>
          </w:tcPr>
          <w:p w14:paraId="0852DADF" w14:textId="77777777" w:rsidR="006918A0" w:rsidRPr="00130899" w:rsidRDefault="006918A0" w:rsidP="006918A0">
            <w:pPr>
              <w:spacing w:before="20" w:after="20" w:line="276" w:lineRule="auto"/>
              <w:jc w:val="right"/>
              <w:rPr>
                <w:noProof/>
                <w:sz w:val="20"/>
              </w:rPr>
            </w:pPr>
            <w:r w:rsidRPr="00130899">
              <w:rPr>
                <w:noProof/>
                <w:sz w:val="20"/>
              </w:rPr>
              <w:t>0,150</w:t>
            </w:r>
          </w:p>
        </w:tc>
        <w:tc>
          <w:tcPr>
            <w:tcW w:w="868" w:type="dxa"/>
            <w:tcBorders>
              <w:top w:val="single" w:sz="4" w:space="0" w:color="auto"/>
              <w:left w:val="single" w:sz="4" w:space="0" w:color="auto"/>
              <w:bottom w:val="single" w:sz="4" w:space="0" w:color="auto"/>
              <w:right w:val="single" w:sz="4" w:space="0" w:color="auto"/>
            </w:tcBorders>
            <w:hideMark/>
          </w:tcPr>
          <w:p w14:paraId="6DA34492" w14:textId="77777777" w:rsidR="006918A0" w:rsidRPr="00130899" w:rsidRDefault="006918A0" w:rsidP="006918A0">
            <w:pPr>
              <w:spacing w:before="20" w:after="20" w:line="276" w:lineRule="auto"/>
              <w:jc w:val="right"/>
              <w:rPr>
                <w:noProof/>
                <w:sz w:val="20"/>
              </w:rPr>
            </w:pPr>
            <w:r w:rsidRPr="00130899">
              <w:rPr>
                <w:noProof/>
                <w:sz w:val="20"/>
              </w:rPr>
              <w:t>0,400</w:t>
            </w:r>
          </w:p>
        </w:tc>
        <w:tc>
          <w:tcPr>
            <w:tcW w:w="868" w:type="dxa"/>
            <w:tcBorders>
              <w:top w:val="single" w:sz="4" w:space="0" w:color="auto"/>
              <w:left w:val="single" w:sz="4" w:space="0" w:color="auto"/>
              <w:bottom w:val="single" w:sz="4" w:space="0" w:color="auto"/>
              <w:right w:val="single" w:sz="4" w:space="0" w:color="auto"/>
            </w:tcBorders>
            <w:hideMark/>
          </w:tcPr>
          <w:p w14:paraId="2B8A91A5" w14:textId="77777777" w:rsidR="006918A0" w:rsidRPr="00130899" w:rsidRDefault="006918A0" w:rsidP="006918A0">
            <w:pPr>
              <w:spacing w:before="20" w:after="20" w:line="276" w:lineRule="auto"/>
              <w:jc w:val="right"/>
              <w:rPr>
                <w:noProof/>
                <w:sz w:val="20"/>
              </w:rPr>
            </w:pPr>
            <w:r w:rsidRPr="00130899">
              <w:rPr>
                <w:noProof/>
                <w:sz w:val="20"/>
              </w:rPr>
              <w:t>0,200</w:t>
            </w:r>
          </w:p>
        </w:tc>
        <w:tc>
          <w:tcPr>
            <w:tcW w:w="868" w:type="dxa"/>
            <w:tcBorders>
              <w:top w:val="single" w:sz="4" w:space="0" w:color="auto"/>
              <w:left w:val="single" w:sz="4" w:space="0" w:color="auto"/>
              <w:bottom w:val="single" w:sz="4" w:space="0" w:color="auto"/>
              <w:right w:val="single" w:sz="4" w:space="0" w:color="auto"/>
            </w:tcBorders>
            <w:hideMark/>
          </w:tcPr>
          <w:p w14:paraId="7E024379" w14:textId="77777777" w:rsidR="006918A0" w:rsidRPr="00130899" w:rsidRDefault="006918A0" w:rsidP="006918A0">
            <w:pPr>
              <w:spacing w:before="20" w:after="20" w:line="276" w:lineRule="auto"/>
              <w:jc w:val="right"/>
              <w:rPr>
                <w:noProof/>
                <w:sz w:val="20"/>
              </w:rPr>
            </w:pPr>
            <w:r w:rsidRPr="00130899">
              <w:rPr>
                <w:noProof/>
                <w:sz w:val="20"/>
              </w:rPr>
              <w:t>0,330</w:t>
            </w:r>
          </w:p>
        </w:tc>
        <w:tc>
          <w:tcPr>
            <w:tcW w:w="868" w:type="dxa"/>
            <w:tcBorders>
              <w:top w:val="single" w:sz="4" w:space="0" w:color="auto"/>
              <w:left w:val="single" w:sz="4" w:space="0" w:color="auto"/>
              <w:bottom w:val="single" w:sz="4" w:space="0" w:color="auto"/>
              <w:right w:val="single" w:sz="4" w:space="0" w:color="auto"/>
            </w:tcBorders>
            <w:hideMark/>
          </w:tcPr>
          <w:p w14:paraId="37E385AC" w14:textId="77777777" w:rsidR="006918A0" w:rsidRPr="00130899" w:rsidRDefault="006918A0" w:rsidP="006918A0">
            <w:pPr>
              <w:spacing w:before="20" w:after="20" w:line="276" w:lineRule="auto"/>
              <w:jc w:val="right"/>
              <w:rPr>
                <w:noProof/>
                <w:sz w:val="20"/>
              </w:rPr>
            </w:pPr>
            <w:r w:rsidRPr="00130899">
              <w:rPr>
                <w:noProof/>
                <w:sz w:val="20"/>
              </w:rPr>
              <w:t>0,180</w:t>
            </w:r>
          </w:p>
        </w:tc>
        <w:tc>
          <w:tcPr>
            <w:tcW w:w="868" w:type="dxa"/>
            <w:tcBorders>
              <w:top w:val="single" w:sz="4" w:space="0" w:color="auto"/>
              <w:left w:val="single" w:sz="4" w:space="0" w:color="auto"/>
              <w:bottom w:val="single" w:sz="4" w:space="0" w:color="auto"/>
              <w:right w:val="single" w:sz="4" w:space="0" w:color="auto"/>
            </w:tcBorders>
          </w:tcPr>
          <w:p w14:paraId="2E8BF61F" w14:textId="77777777" w:rsidR="006918A0" w:rsidRPr="00130899" w:rsidRDefault="006918A0" w:rsidP="006918A0">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tcPr>
          <w:p w14:paraId="4A6DC68C" w14:textId="77777777" w:rsidR="006918A0" w:rsidRPr="00130899" w:rsidRDefault="006918A0" w:rsidP="006918A0">
            <w:pPr>
              <w:spacing w:before="20" w:after="20" w:line="276" w:lineRule="auto"/>
              <w:jc w:val="right"/>
              <w:rPr>
                <w:noProof/>
                <w:sz w:val="20"/>
              </w:rPr>
            </w:pPr>
          </w:p>
        </w:tc>
        <w:tc>
          <w:tcPr>
            <w:tcW w:w="2099" w:type="dxa"/>
            <w:tcBorders>
              <w:top w:val="single" w:sz="4" w:space="0" w:color="auto"/>
              <w:left w:val="single" w:sz="4" w:space="0" w:color="auto"/>
              <w:bottom w:val="single" w:sz="4" w:space="0" w:color="auto"/>
              <w:right w:val="single" w:sz="4" w:space="0" w:color="auto"/>
            </w:tcBorders>
            <w:hideMark/>
          </w:tcPr>
          <w:p w14:paraId="7066C70B" w14:textId="77777777" w:rsidR="006918A0" w:rsidRPr="00130899" w:rsidRDefault="006918A0" w:rsidP="006918A0">
            <w:pPr>
              <w:spacing w:before="20" w:after="20" w:line="276" w:lineRule="auto"/>
              <w:jc w:val="right"/>
              <w:rPr>
                <w:b/>
                <w:noProof/>
                <w:sz w:val="20"/>
              </w:rPr>
            </w:pPr>
            <w:r w:rsidRPr="00130899">
              <w:rPr>
                <w:b/>
                <w:noProof/>
                <w:sz w:val="20"/>
              </w:rPr>
              <w:t>1,26</w:t>
            </w:r>
          </w:p>
        </w:tc>
      </w:tr>
      <w:tr w:rsidR="006918A0" w:rsidRPr="00130899" w14:paraId="51CD9A64" w14:textId="77777777" w:rsidTr="00E104B3">
        <w:tc>
          <w:tcPr>
            <w:tcW w:w="3960" w:type="dxa"/>
            <w:vMerge/>
            <w:tcBorders>
              <w:top w:val="single" w:sz="4" w:space="0" w:color="auto"/>
              <w:left w:val="single" w:sz="4" w:space="0" w:color="auto"/>
              <w:bottom w:val="single" w:sz="4" w:space="0" w:color="auto"/>
              <w:right w:val="single" w:sz="4" w:space="0" w:color="auto"/>
            </w:tcBorders>
            <w:vAlign w:val="center"/>
            <w:hideMark/>
          </w:tcPr>
          <w:p w14:paraId="32C29014" w14:textId="77777777" w:rsidR="006918A0" w:rsidRPr="00130899" w:rsidRDefault="006918A0" w:rsidP="006918A0">
            <w:pPr>
              <w:spacing w:before="0" w:after="0" w:line="276" w:lineRule="auto"/>
              <w:jc w:val="left"/>
              <w:rPr>
                <w:noProof/>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6D1E0CDB" w14:textId="77777777" w:rsidR="006918A0" w:rsidRPr="00130899" w:rsidRDefault="006918A0" w:rsidP="006918A0">
            <w:pPr>
              <w:spacing w:before="20" w:after="20" w:line="276" w:lineRule="auto"/>
              <w:rPr>
                <w:noProof/>
                <w:sz w:val="18"/>
              </w:rPr>
            </w:pPr>
            <w:r w:rsidRPr="00130899">
              <w:rPr>
                <w:noProof/>
                <w:sz w:val="18"/>
              </w:rPr>
              <w:t>Плащания</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34E0133D" w14:textId="77777777" w:rsidR="006918A0" w:rsidRPr="00130899" w:rsidRDefault="006918A0" w:rsidP="006918A0">
            <w:pPr>
              <w:spacing w:before="20" w:after="20" w:line="276" w:lineRule="auto"/>
              <w:jc w:val="center"/>
              <w:rPr>
                <w:noProof/>
                <w:sz w:val="14"/>
              </w:rPr>
            </w:pPr>
            <w:r w:rsidRPr="00130899">
              <w:rPr>
                <w:noProof/>
                <w:sz w:val="14"/>
              </w:rPr>
              <w:t>(2a)</w:t>
            </w:r>
          </w:p>
        </w:tc>
        <w:tc>
          <w:tcPr>
            <w:tcW w:w="868" w:type="dxa"/>
            <w:tcBorders>
              <w:top w:val="single" w:sz="4" w:space="0" w:color="auto"/>
              <w:left w:val="single" w:sz="4" w:space="0" w:color="auto"/>
              <w:bottom w:val="single" w:sz="4" w:space="0" w:color="auto"/>
              <w:right w:val="single" w:sz="4" w:space="0" w:color="auto"/>
            </w:tcBorders>
          </w:tcPr>
          <w:p w14:paraId="134ED15F" w14:textId="77777777" w:rsidR="006918A0" w:rsidRPr="00130899" w:rsidRDefault="006918A0" w:rsidP="006918A0">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hideMark/>
          </w:tcPr>
          <w:p w14:paraId="51C2E48E" w14:textId="77777777" w:rsidR="006918A0" w:rsidRPr="00130899" w:rsidRDefault="006918A0" w:rsidP="006918A0">
            <w:pPr>
              <w:spacing w:before="20" w:after="20" w:line="276" w:lineRule="auto"/>
              <w:jc w:val="right"/>
              <w:rPr>
                <w:noProof/>
                <w:sz w:val="20"/>
              </w:rPr>
            </w:pPr>
            <w:r w:rsidRPr="00130899">
              <w:rPr>
                <w:noProof/>
                <w:sz w:val="20"/>
              </w:rPr>
              <w:t>0,150</w:t>
            </w:r>
          </w:p>
        </w:tc>
        <w:tc>
          <w:tcPr>
            <w:tcW w:w="868" w:type="dxa"/>
            <w:tcBorders>
              <w:top w:val="single" w:sz="4" w:space="0" w:color="auto"/>
              <w:left w:val="single" w:sz="4" w:space="0" w:color="auto"/>
              <w:bottom w:val="single" w:sz="4" w:space="0" w:color="auto"/>
              <w:right w:val="single" w:sz="4" w:space="0" w:color="auto"/>
            </w:tcBorders>
            <w:hideMark/>
          </w:tcPr>
          <w:p w14:paraId="3CC6FA85" w14:textId="77777777" w:rsidR="006918A0" w:rsidRPr="00130899" w:rsidRDefault="006918A0" w:rsidP="006918A0">
            <w:pPr>
              <w:spacing w:before="20" w:after="20" w:line="276" w:lineRule="auto"/>
              <w:jc w:val="right"/>
              <w:rPr>
                <w:noProof/>
                <w:sz w:val="20"/>
              </w:rPr>
            </w:pPr>
            <w:r w:rsidRPr="00130899">
              <w:rPr>
                <w:noProof/>
                <w:sz w:val="20"/>
              </w:rPr>
              <w:t>0,400</w:t>
            </w:r>
          </w:p>
        </w:tc>
        <w:tc>
          <w:tcPr>
            <w:tcW w:w="868" w:type="dxa"/>
            <w:tcBorders>
              <w:top w:val="single" w:sz="4" w:space="0" w:color="auto"/>
              <w:left w:val="single" w:sz="4" w:space="0" w:color="auto"/>
              <w:bottom w:val="single" w:sz="4" w:space="0" w:color="auto"/>
              <w:right w:val="single" w:sz="4" w:space="0" w:color="auto"/>
            </w:tcBorders>
            <w:hideMark/>
          </w:tcPr>
          <w:p w14:paraId="38859F7A" w14:textId="77777777" w:rsidR="006918A0" w:rsidRPr="00130899" w:rsidRDefault="006918A0" w:rsidP="006918A0">
            <w:pPr>
              <w:spacing w:before="20" w:after="20" w:line="276" w:lineRule="auto"/>
              <w:jc w:val="right"/>
              <w:rPr>
                <w:noProof/>
                <w:sz w:val="20"/>
              </w:rPr>
            </w:pPr>
            <w:r w:rsidRPr="00130899">
              <w:rPr>
                <w:noProof/>
                <w:sz w:val="20"/>
              </w:rPr>
              <w:t>0,200</w:t>
            </w:r>
          </w:p>
        </w:tc>
        <w:tc>
          <w:tcPr>
            <w:tcW w:w="868" w:type="dxa"/>
            <w:tcBorders>
              <w:top w:val="single" w:sz="4" w:space="0" w:color="auto"/>
              <w:left w:val="single" w:sz="4" w:space="0" w:color="auto"/>
              <w:bottom w:val="single" w:sz="4" w:space="0" w:color="auto"/>
              <w:right w:val="single" w:sz="4" w:space="0" w:color="auto"/>
            </w:tcBorders>
            <w:hideMark/>
          </w:tcPr>
          <w:p w14:paraId="7943D905" w14:textId="77777777" w:rsidR="006918A0" w:rsidRPr="00130899" w:rsidRDefault="006918A0" w:rsidP="006918A0">
            <w:pPr>
              <w:spacing w:before="20" w:after="20" w:line="276" w:lineRule="auto"/>
              <w:jc w:val="right"/>
              <w:rPr>
                <w:noProof/>
                <w:sz w:val="20"/>
              </w:rPr>
            </w:pPr>
            <w:r w:rsidRPr="00130899">
              <w:rPr>
                <w:noProof/>
                <w:sz w:val="20"/>
              </w:rPr>
              <w:t>0,330</w:t>
            </w:r>
          </w:p>
        </w:tc>
        <w:tc>
          <w:tcPr>
            <w:tcW w:w="868" w:type="dxa"/>
            <w:tcBorders>
              <w:top w:val="single" w:sz="4" w:space="0" w:color="auto"/>
              <w:left w:val="single" w:sz="4" w:space="0" w:color="auto"/>
              <w:bottom w:val="single" w:sz="4" w:space="0" w:color="auto"/>
              <w:right w:val="single" w:sz="4" w:space="0" w:color="auto"/>
            </w:tcBorders>
            <w:hideMark/>
          </w:tcPr>
          <w:p w14:paraId="3AE97C85" w14:textId="77777777" w:rsidR="006918A0" w:rsidRPr="00130899" w:rsidRDefault="006918A0" w:rsidP="006918A0">
            <w:pPr>
              <w:spacing w:before="20" w:after="20" w:line="276" w:lineRule="auto"/>
              <w:jc w:val="right"/>
              <w:rPr>
                <w:noProof/>
                <w:sz w:val="20"/>
              </w:rPr>
            </w:pPr>
            <w:r w:rsidRPr="00130899">
              <w:rPr>
                <w:noProof/>
                <w:sz w:val="20"/>
              </w:rPr>
              <w:t>0,180</w:t>
            </w:r>
          </w:p>
        </w:tc>
        <w:tc>
          <w:tcPr>
            <w:tcW w:w="868" w:type="dxa"/>
            <w:tcBorders>
              <w:top w:val="single" w:sz="4" w:space="0" w:color="auto"/>
              <w:left w:val="single" w:sz="4" w:space="0" w:color="auto"/>
              <w:bottom w:val="single" w:sz="4" w:space="0" w:color="auto"/>
              <w:right w:val="single" w:sz="4" w:space="0" w:color="auto"/>
            </w:tcBorders>
          </w:tcPr>
          <w:p w14:paraId="2A5ABCC8" w14:textId="77777777" w:rsidR="006918A0" w:rsidRPr="00130899" w:rsidRDefault="006918A0" w:rsidP="006918A0">
            <w:pPr>
              <w:spacing w:before="20" w:after="20" w:line="276" w:lineRule="auto"/>
              <w:jc w:val="right"/>
              <w:rPr>
                <w:noProof/>
                <w:sz w:val="20"/>
              </w:rPr>
            </w:pPr>
          </w:p>
        </w:tc>
        <w:tc>
          <w:tcPr>
            <w:tcW w:w="2122" w:type="dxa"/>
            <w:gridSpan w:val="2"/>
            <w:tcBorders>
              <w:top w:val="single" w:sz="4" w:space="0" w:color="auto"/>
              <w:left w:val="single" w:sz="4" w:space="0" w:color="auto"/>
              <w:bottom w:val="single" w:sz="4" w:space="0" w:color="auto"/>
              <w:right w:val="single" w:sz="4" w:space="0" w:color="auto"/>
            </w:tcBorders>
            <w:hideMark/>
          </w:tcPr>
          <w:p w14:paraId="7608FC8D" w14:textId="77777777" w:rsidR="006918A0" w:rsidRPr="00130899" w:rsidRDefault="006918A0" w:rsidP="006918A0">
            <w:pPr>
              <w:spacing w:before="20" w:after="20" w:line="276" w:lineRule="auto"/>
              <w:jc w:val="right"/>
              <w:rPr>
                <w:b/>
                <w:noProof/>
                <w:sz w:val="20"/>
              </w:rPr>
            </w:pPr>
            <w:r w:rsidRPr="00130899">
              <w:rPr>
                <w:b/>
                <w:noProof/>
                <w:sz w:val="20"/>
              </w:rPr>
              <w:t>1,26</w:t>
            </w:r>
          </w:p>
        </w:tc>
      </w:tr>
      <w:tr w:rsidR="006918A0" w:rsidRPr="00130899" w14:paraId="1E31DA89" w14:textId="77777777" w:rsidTr="00E104B3">
        <w:trPr>
          <w:gridAfter w:val="1"/>
          <w:wAfter w:w="23" w:type="dxa"/>
        </w:trPr>
        <w:tc>
          <w:tcPr>
            <w:tcW w:w="3960" w:type="dxa"/>
            <w:vMerge w:val="restart"/>
            <w:tcBorders>
              <w:top w:val="single" w:sz="4" w:space="0" w:color="auto"/>
              <w:left w:val="single" w:sz="4" w:space="0" w:color="auto"/>
              <w:bottom w:val="single" w:sz="4" w:space="0" w:color="auto"/>
              <w:right w:val="single" w:sz="4" w:space="0" w:color="auto"/>
            </w:tcBorders>
            <w:vAlign w:val="center"/>
            <w:hideMark/>
          </w:tcPr>
          <w:p w14:paraId="57A8E131" w14:textId="77777777" w:rsidR="006918A0" w:rsidRPr="00130899" w:rsidRDefault="006918A0" w:rsidP="006918A0">
            <w:pPr>
              <w:spacing w:line="276" w:lineRule="auto"/>
              <w:rPr>
                <w:noProof/>
              </w:rPr>
            </w:pPr>
            <w:r w:rsidRPr="00130899">
              <w:rPr>
                <w:noProof/>
                <w:sz w:val="20"/>
              </w:rPr>
              <w:t>Бюджетен ред</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4D4001A" w14:textId="77777777" w:rsidR="006918A0" w:rsidRPr="00130899" w:rsidRDefault="006918A0" w:rsidP="006918A0">
            <w:pPr>
              <w:spacing w:before="20" w:after="20" w:line="276" w:lineRule="auto"/>
              <w:rPr>
                <w:noProof/>
                <w:sz w:val="18"/>
              </w:rPr>
            </w:pPr>
            <w:r w:rsidRPr="00130899">
              <w:rPr>
                <w:noProof/>
                <w:sz w:val="18"/>
              </w:rPr>
              <w:t>Поети задължения</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54149D1E" w14:textId="77777777" w:rsidR="006918A0" w:rsidRPr="00130899" w:rsidRDefault="006918A0" w:rsidP="006918A0">
            <w:pPr>
              <w:spacing w:before="20" w:after="20" w:line="276" w:lineRule="auto"/>
              <w:jc w:val="center"/>
              <w:rPr>
                <w:noProof/>
                <w:sz w:val="14"/>
              </w:rPr>
            </w:pPr>
            <w:r w:rsidRPr="00130899">
              <w:rPr>
                <w:noProof/>
                <w:sz w:val="14"/>
              </w:rPr>
              <w:t>(1б)</w:t>
            </w:r>
          </w:p>
        </w:tc>
        <w:tc>
          <w:tcPr>
            <w:tcW w:w="868" w:type="dxa"/>
            <w:tcBorders>
              <w:top w:val="single" w:sz="4" w:space="0" w:color="auto"/>
              <w:left w:val="single" w:sz="4" w:space="0" w:color="auto"/>
              <w:bottom w:val="single" w:sz="4" w:space="0" w:color="auto"/>
              <w:right w:val="single" w:sz="4" w:space="0" w:color="auto"/>
            </w:tcBorders>
          </w:tcPr>
          <w:p w14:paraId="35DC602A" w14:textId="77777777" w:rsidR="006918A0" w:rsidRPr="00130899" w:rsidRDefault="006918A0" w:rsidP="006918A0">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tcPr>
          <w:p w14:paraId="6262040C" w14:textId="77777777" w:rsidR="006918A0" w:rsidRPr="00130899" w:rsidRDefault="006918A0" w:rsidP="006918A0">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tcPr>
          <w:p w14:paraId="65422390" w14:textId="77777777" w:rsidR="006918A0" w:rsidRPr="00130899" w:rsidRDefault="006918A0" w:rsidP="006918A0">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tcPr>
          <w:p w14:paraId="355B3809" w14:textId="77777777" w:rsidR="006918A0" w:rsidRPr="00130899" w:rsidRDefault="006918A0" w:rsidP="006918A0">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tcPr>
          <w:p w14:paraId="07817A41" w14:textId="77777777" w:rsidR="006918A0" w:rsidRPr="00130899" w:rsidRDefault="006918A0" w:rsidP="006918A0">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tcPr>
          <w:p w14:paraId="0D3BBFF2" w14:textId="77777777" w:rsidR="006918A0" w:rsidRPr="00130899" w:rsidRDefault="006918A0" w:rsidP="006918A0">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tcPr>
          <w:p w14:paraId="483F6075" w14:textId="77777777" w:rsidR="006918A0" w:rsidRPr="00130899" w:rsidRDefault="006918A0" w:rsidP="006918A0">
            <w:pPr>
              <w:spacing w:before="20" w:after="20" w:line="276" w:lineRule="auto"/>
              <w:jc w:val="right"/>
              <w:rPr>
                <w:noProof/>
                <w:sz w:val="20"/>
              </w:rPr>
            </w:pPr>
          </w:p>
        </w:tc>
        <w:tc>
          <w:tcPr>
            <w:tcW w:w="2099" w:type="dxa"/>
            <w:tcBorders>
              <w:top w:val="single" w:sz="4" w:space="0" w:color="auto"/>
              <w:left w:val="single" w:sz="4" w:space="0" w:color="auto"/>
              <w:bottom w:val="single" w:sz="4" w:space="0" w:color="auto"/>
              <w:right w:val="single" w:sz="4" w:space="0" w:color="auto"/>
            </w:tcBorders>
          </w:tcPr>
          <w:p w14:paraId="42645586" w14:textId="77777777" w:rsidR="006918A0" w:rsidRPr="00130899" w:rsidRDefault="006918A0" w:rsidP="006918A0">
            <w:pPr>
              <w:spacing w:before="20" w:after="20" w:line="276" w:lineRule="auto"/>
              <w:jc w:val="right"/>
              <w:rPr>
                <w:b/>
                <w:noProof/>
                <w:sz w:val="20"/>
              </w:rPr>
            </w:pPr>
          </w:p>
        </w:tc>
      </w:tr>
      <w:tr w:rsidR="006918A0" w:rsidRPr="00130899" w14:paraId="38FFB331" w14:textId="77777777" w:rsidTr="00E104B3">
        <w:trPr>
          <w:gridAfter w:val="1"/>
          <w:wAfter w:w="23" w:type="dxa"/>
        </w:trPr>
        <w:tc>
          <w:tcPr>
            <w:tcW w:w="3960" w:type="dxa"/>
            <w:vMerge/>
            <w:tcBorders>
              <w:top w:val="single" w:sz="4" w:space="0" w:color="auto"/>
              <w:left w:val="single" w:sz="4" w:space="0" w:color="auto"/>
              <w:bottom w:val="single" w:sz="4" w:space="0" w:color="auto"/>
              <w:right w:val="single" w:sz="4" w:space="0" w:color="auto"/>
            </w:tcBorders>
            <w:vAlign w:val="center"/>
            <w:hideMark/>
          </w:tcPr>
          <w:p w14:paraId="79997FF9" w14:textId="77777777" w:rsidR="006918A0" w:rsidRPr="00130899" w:rsidRDefault="006918A0" w:rsidP="006918A0">
            <w:pPr>
              <w:spacing w:before="0" w:after="0" w:line="276" w:lineRule="auto"/>
              <w:jc w:val="left"/>
              <w:rPr>
                <w:noProof/>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10CF7B3B" w14:textId="77777777" w:rsidR="006918A0" w:rsidRPr="00130899" w:rsidRDefault="006918A0" w:rsidP="006918A0">
            <w:pPr>
              <w:spacing w:before="20" w:after="20" w:line="276" w:lineRule="auto"/>
              <w:rPr>
                <w:noProof/>
                <w:sz w:val="18"/>
              </w:rPr>
            </w:pPr>
            <w:r w:rsidRPr="00130899">
              <w:rPr>
                <w:noProof/>
                <w:sz w:val="18"/>
              </w:rPr>
              <w:t>Плащания</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02B73F02" w14:textId="77777777" w:rsidR="006918A0" w:rsidRPr="00130899" w:rsidRDefault="006918A0" w:rsidP="006918A0">
            <w:pPr>
              <w:spacing w:before="20" w:after="20" w:line="276" w:lineRule="auto"/>
              <w:jc w:val="center"/>
              <w:rPr>
                <w:noProof/>
                <w:sz w:val="14"/>
              </w:rPr>
            </w:pPr>
            <w:r w:rsidRPr="00130899">
              <w:rPr>
                <w:noProof/>
                <w:sz w:val="14"/>
              </w:rPr>
              <w:t>(2б)</w:t>
            </w:r>
          </w:p>
        </w:tc>
        <w:tc>
          <w:tcPr>
            <w:tcW w:w="868" w:type="dxa"/>
            <w:tcBorders>
              <w:top w:val="single" w:sz="4" w:space="0" w:color="auto"/>
              <w:left w:val="single" w:sz="4" w:space="0" w:color="auto"/>
              <w:bottom w:val="single" w:sz="4" w:space="0" w:color="auto"/>
              <w:right w:val="single" w:sz="4" w:space="0" w:color="auto"/>
            </w:tcBorders>
          </w:tcPr>
          <w:p w14:paraId="4AF8E886" w14:textId="77777777" w:rsidR="006918A0" w:rsidRPr="00130899" w:rsidRDefault="006918A0" w:rsidP="006918A0">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tcPr>
          <w:p w14:paraId="49FD2A62" w14:textId="77777777" w:rsidR="006918A0" w:rsidRPr="00130899" w:rsidRDefault="006918A0" w:rsidP="006918A0">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tcPr>
          <w:p w14:paraId="104FC9F2" w14:textId="77777777" w:rsidR="006918A0" w:rsidRPr="00130899" w:rsidRDefault="006918A0" w:rsidP="006918A0">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tcPr>
          <w:p w14:paraId="6003024F" w14:textId="77777777" w:rsidR="006918A0" w:rsidRPr="00130899" w:rsidRDefault="006918A0" w:rsidP="006918A0">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tcPr>
          <w:p w14:paraId="6E7C6FC8" w14:textId="77777777" w:rsidR="006918A0" w:rsidRPr="00130899" w:rsidRDefault="006918A0" w:rsidP="006918A0">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tcPr>
          <w:p w14:paraId="36D938C1" w14:textId="77777777" w:rsidR="006918A0" w:rsidRPr="00130899" w:rsidRDefault="006918A0" w:rsidP="006918A0">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tcPr>
          <w:p w14:paraId="46630992" w14:textId="77777777" w:rsidR="006918A0" w:rsidRPr="00130899" w:rsidRDefault="006918A0" w:rsidP="006918A0">
            <w:pPr>
              <w:spacing w:before="20" w:after="20" w:line="276" w:lineRule="auto"/>
              <w:jc w:val="right"/>
              <w:rPr>
                <w:noProof/>
                <w:sz w:val="20"/>
              </w:rPr>
            </w:pPr>
          </w:p>
        </w:tc>
        <w:tc>
          <w:tcPr>
            <w:tcW w:w="2099" w:type="dxa"/>
            <w:tcBorders>
              <w:top w:val="single" w:sz="4" w:space="0" w:color="auto"/>
              <w:left w:val="single" w:sz="4" w:space="0" w:color="auto"/>
              <w:bottom w:val="single" w:sz="4" w:space="0" w:color="auto"/>
              <w:right w:val="single" w:sz="4" w:space="0" w:color="auto"/>
            </w:tcBorders>
          </w:tcPr>
          <w:p w14:paraId="60730E7D" w14:textId="77777777" w:rsidR="006918A0" w:rsidRPr="00130899" w:rsidRDefault="006918A0" w:rsidP="006918A0">
            <w:pPr>
              <w:spacing w:before="20" w:after="20" w:line="276" w:lineRule="auto"/>
              <w:jc w:val="right"/>
              <w:rPr>
                <w:b/>
                <w:noProof/>
                <w:sz w:val="20"/>
              </w:rPr>
            </w:pPr>
          </w:p>
        </w:tc>
      </w:tr>
      <w:tr w:rsidR="006918A0" w:rsidRPr="00130899" w14:paraId="165122BE" w14:textId="77777777" w:rsidTr="00E104B3">
        <w:trPr>
          <w:gridAfter w:val="1"/>
          <w:wAfter w:w="23" w:type="dxa"/>
          <w:trHeight w:val="231"/>
        </w:trPr>
        <w:tc>
          <w:tcPr>
            <w:tcW w:w="6054" w:type="dxa"/>
            <w:gridSpan w:val="4"/>
            <w:tcBorders>
              <w:top w:val="single" w:sz="4" w:space="0" w:color="auto"/>
              <w:left w:val="single" w:sz="4" w:space="0" w:color="auto"/>
              <w:bottom w:val="single" w:sz="4" w:space="0" w:color="auto"/>
              <w:right w:val="single" w:sz="4" w:space="0" w:color="auto"/>
            </w:tcBorders>
            <w:vAlign w:val="center"/>
          </w:tcPr>
          <w:p w14:paraId="448A3A37" w14:textId="77777777" w:rsidR="006918A0" w:rsidRPr="00130899" w:rsidRDefault="006918A0" w:rsidP="006918A0">
            <w:pPr>
              <w:spacing w:before="20" w:after="20" w:line="276" w:lineRule="auto"/>
              <w:rPr>
                <w:noProof/>
              </w:rPr>
            </w:pPr>
            <w:r w:rsidRPr="00130899">
              <w:rPr>
                <w:noProof/>
                <w:sz w:val="21"/>
              </w:rPr>
              <w:t>Бюджетни кредити за административни разходи, финансирани от пакета за определени програми</w:t>
            </w:r>
            <w:r w:rsidRPr="00130899">
              <w:rPr>
                <w:rStyle w:val="FootnoteReference"/>
                <w:noProof/>
              </w:rPr>
              <w:footnoteReference w:id="51"/>
            </w:r>
            <w:r w:rsidRPr="00130899">
              <w:rPr>
                <w:noProof/>
                <w:sz w:val="21"/>
              </w:rPr>
              <w:t xml:space="preserve"> </w:t>
            </w:r>
          </w:p>
        </w:tc>
        <w:tc>
          <w:tcPr>
            <w:tcW w:w="868" w:type="dxa"/>
            <w:tcBorders>
              <w:top w:val="single" w:sz="4" w:space="0" w:color="auto"/>
              <w:left w:val="single" w:sz="4" w:space="0" w:color="auto"/>
              <w:bottom w:val="single" w:sz="4" w:space="0" w:color="auto"/>
              <w:right w:val="single" w:sz="4" w:space="0" w:color="auto"/>
            </w:tcBorders>
            <w:vAlign w:val="center"/>
          </w:tcPr>
          <w:p w14:paraId="05E81A8A" w14:textId="77777777" w:rsidR="006918A0" w:rsidRPr="00130899" w:rsidRDefault="006918A0" w:rsidP="006918A0">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344EC958" w14:textId="77777777" w:rsidR="006918A0" w:rsidRPr="00130899" w:rsidRDefault="006918A0" w:rsidP="006918A0">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tcPr>
          <w:p w14:paraId="4D8F0B10" w14:textId="77777777" w:rsidR="006918A0" w:rsidRPr="00130899" w:rsidRDefault="006918A0" w:rsidP="006918A0">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tcPr>
          <w:p w14:paraId="03A83357" w14:textId="77777777" w:rsidR="006918A0" w:rsidRPr="00130899" w:rsidRDefault="006918A0" w:rsidP="006918A0">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tcPr>
          <w:p w14:paraId="66C651DE" w14:textId="77777777" w:rsidR="006918A0" w:rsidRPr="00130899" w:rsidRDefault="006918A0" w:rsidP="006918A0">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tcPr>
          <w:p w14:paraId="613F9381" w14:textId="77777777" w:rsidR="006918A0" w:rsidRPr="00130899" w:rsidRDefault="006918A0" w:rsidP="006918A0">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tcPr>
          <w:p w14:paraId="5F0A9E3E" w14:textId="77777777" w:rsidR="006918A0" w:rsidRPr="00130899" w:rsidRDefault="006918A0" w:rsidP="006918A0">
            <w:pPr>
              <w:spacing w:before="20" w:after="20" w:line="276" w:lineRule="auto"/>
              <w:jc w:val="right"/>
              <w:rPr>
                <w:noProof/>
                <w:sz w:val="20"/>
              </w:rPr>
            </w:pPr>
          </w:p>
        </w:tc>
        <w:tc>
          <w:tcPr>
            <w:tcW w:w="2099" w:type="dxa"/>
            <w:tcBorders>
              <w:top w:val="single" w:sz="4" w:space="0" w:color="auto"/>
              <w:left w:val="single" w:sz="4" w:space="0" w:color="auto"/>
              <w:bottom w:val="single" w:sz="4" w:space="0" w:color="auto"/>
              <w:right w:val="single" w:sz="4" w:space="0" w:color="auto"/>
            </w:tcBorders>
          </w:tcPr>
          <w:p w14:paraId="35659D52" w14:textId="77777777" w:rsidR="006918A0" w:rsidRPr="00130899" w:rsidRDefault="006918A0" w:rsidP="006918A0">
            <w:pPr>
              <w:spacing w:before="20" w:after="20" w:line="276" w:lineRule="auto"/>
              <w:jc w:val="right"/>
              <w:rPr>
                <w:b/>
                <w:noProof/>
                <w:sz w:val="20"/>
              </w:rPr>
            </w:pPr>
          </w:p>
        </w:tc>
      </w:tr>
      <w:tr w:rsidR="006918A0" w:rsidRPr="00130899" w14:paraId="5E53B413" w14:textId="77777777" w:rsidTr="00E104B3">
        <w:trPr>
          <w:gridAfter w:val="1"/>
          <w:wAfter w:w="23" w:type="dxa"/>
          <w:trHeight w:val="319"/>
        </w:trPr>
        <w:tc>
          <w:tcPr>
            <w:tcW w:w="3960" w:type="dxa"/>
            <w:tcBorders>
              <w:top w:val="single" w:sz="4" w:space="0" w:color="auto"/>
              <w:left w:val="single" w:sz="4" w:space="0" w:color="auto"/>
              <w:bottom w:val="single" w:sz="4" w:space="0" w:color="auto"/>
              <w:right w:val="single" w:sz="4" w:space="0" w:color="auto"/>
            </w:tcBorders>
            <w:vAlign w:val="center"/>
            <w:hideMark/>
          </w:tcPr>
          <w:p w14:paraId="41AE7F3B" w14:textId="77777777" w:rsidR="006918A0" w:rsidRPr="00130899" w:rsidRDefault="006918A0" w:rsidP="006918A0">
            <w:pPr>
              <w:spacing w:before="60" w:after="60" w:line="276" w:lineRule="auto"/>
              <w:rPr>
                <w:noProof/>
              </w:rPr>
            </w:pPr>
            <w:r w:rsidRPr="00130899">
              <w:rPr>
                <w:noProof/>
                <w:sz w:val="20"/>
              </w:rPr>
              <w:t>Бюджетен ред</w:t>
            </w:r>
          </w:p>
        </w:tc>
        <w:tc>
          <w:tcPr>
            <w:tcW w:w="1440" w:type="dxa"/>
            <w:tcBorders>
              <w:top w:val="single" w:sz="4" w:space="0" w:color="auto"/>
              <w:left w:val="single" w:sz="4" w:space="0" w:color="auto"/>
              <w:bottom w:val="single" w:sz="4" w:space="0" w:color="auto"/>
              <w:right w:val="single" w:sz="4" w:space="0" w:color="auto"/>
            </w:tcBorders>
            <w:vAlign w:val="center"/>
          </w:tcPr>
          <w:p w14:paraId="5E53DAB7" w14:textId="77777777" w:rsidR="006918A0" w:rsidRPr="00130899" w:rsidRDefault="006918A0" w:rsidP="006918A0">
            <w:pPr>
              <w:spacing w:before="40" w:after="40" w:line="276" w:lineRule="auto"/>
              <w:jc w:val="right"/>
              <w:rPr>
                <w:noProof/>
                <w:sz w:val="18"/>
              </w:rPr>
            </w:pP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51FA87FB" w14:textId="77777777" w:rsidR="006918A0" w:rsidRPr="00130899" w:rsidRDefault="006918A0" w:rsidP="006918A0">
            <w:pPr>
              <w:spacing w:before="40" w:after="40" w:line="276" w:lineRule="auto"/>
              <w:jc w:val="center"/>
              <w:rPr>
                <w:noProof/>
                <w:sz w:val="14"/>
              </w:rPr>
            </w:pPr>
            <w:r w:rsidRPr="00130899">
              <w:rPr>
                <w:noProof/>
                <w:sz w:val="14"/>
              </w:rPr>
              <w:t>(3)</w:t>
            </w:r>
          </w:p>
        </w:tc>
        <w:tc>
          <w:tcPr>
            <w:tcW w:w="868" w:type="dxa"/>
            <w:tcBorders>
              <w:top w:val="single" w:sz="4" w:space="0" w:color="auto"/>
              <w:left w:val="single" w:sz="4" w:space="0" w:color="auto"/>
              <w:bottom w:val="single" w:sz="4" w:space="0" w:color="auto"/>
              <w:right w:val="single" w:sz="4" w:space="0" w:color="auto"/>
            </w:tcBorders>
          </w:tcPr>
          <w:p w14:paraId="133F786F" w14:textId="77777777" w:rsidR="006918A0" w:rsidRPr="00130899" w:rsidRDefault="006918A0" w:rsidP="006918A0">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tcPr>
          <w:p w14:paraId="04FC0269" w14:textId="77777777" w:rsidR="006918A0" w:rsidRPr="00130899" w:rsidRDefault="006918A0" w:rsidP="006918A0">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tcPr>
          <w:p w14:paraId="52F51F94" w14:textId="77777777" w:rsidR="006918A0" w:rsidRPr="00130899" w:rsidRDefault="006918A0" w:rsidP="006918A0">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tcPr>
          <w:p w14:paraId="20C95BC4" w14:textId="77777777" w:rsidR="006918A0" w:rsidRPr="00130899" w:rsidRDefault="006918A0" w:rsidP="006918A0">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tcPr>
          <w:p w14:paraId="67D2305D" w14:textId="77777777" w:rsidR="006918A0" w:rsidRPr="00130899" w:rsidRDefault="006918A0" w:rsidP="006918A0">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tcPr>
          <w:p w14:paraId="0596488A" w14:textId="77777777" w:rsidR="006918A0" w:rsidRPr="00130899" w:rsidRDefault="006918A0" w:rsidP="006918A0">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tcPr>
          <w:p w14:paraId="7169870F" w14:textId="77777777" w:rsidR="006918A0" w:rsidRPr="00130899" w:rsidRDefault="006918A0" w:rsidP="006918A0">
            <w:pPr>
              <w:spacing w:before="20" w:after="20" w:line="276" w:lineRule="auto"/>
              <w:jc w:val="right"/>
              <w:rPr>
                <w:noProof/>
                <w:sz w:val="20"/>
              </w:rPr>
            </w:pPr>
          </w:p>
        </w:tc>
        <w:tc>
          <w:tcPr>
            <w:tcW w:w="2099" w:type="dxa"/>
            <w:tcBorders>
              <w:top w:val="single" w:sz="4" w:space="0" w:color="auto"/>
              <w:left w:val="single" w:sz="4" w:space="0" w:color="auto"/>
              <w:bottom w:val="single" w:sz="4" w:space="0" w:color="auto"/>
              <w:right w:val="single" w:sz="4" w:space="0" w:color="auto"/>
            </w:tcBorders>
          </w:tcPr>
          <w:p w14:paraId="786F3BBD" w14:textId="77777777" w:rsidR="006918A0" w:rsidRPr="00130899" w:rsidRDefault="006918A0" w:rsidP="006918A0">
            <w:pPr>
              <w:spacing w:before="20" w:after="20" w:line="276" w:lineRule="auto"/>
              <w:jc w:val="right"/>
              <w:rPr>
                <w:b/>
                <w:noProof/>
                <w:sz w:val="20"/>
              </w:rPr>
            </w:pPr>
          </w:p>
        </w:tc>
      </w:tr>
      <w:tr w:rsidR="006918A0" w:rsidRPr="00130899" w14:paraId="56663982" w14:textId="77777777" w:rsidTr="00E104B3">
        <w:trPr>
          <w:gridAfter w:val="1"/>
          <w:wAfter w:w="23" w:type="dxa"/>
        </w:trPr>
        <w:tc>
          <w:tcPr>
            <w:tcW w:w="3960" w:type="dxa"/>
            <w:vMerge w:val="restart"/>
            <w:tcBorders>
              <w:top w:val="single" w:sz="4" w:space="0" w:color="auto"/>
              <w:left w:val="single" w:sz="4" w:space="0" w:color="auto"/>
              <w:bottom w:val="single" w:sz="4" w:space="0" w:color="auto"/>
              <w:right w:val="single" w:sz="4" w:space="0" w:color="auto"/>
            </w:tcBorders>
            <w:vAlign w:val="center"/>
            <w:hideMark/>
          </w:tcPr>
          <w:p w14:paraId="4C3024D4" w14:textId="77777777" w:rsidR="006918A0" w:rsidRPr="00130899" w:rsidRDefault="006918A0" w:rsidP="006918A0">
            <w:pPr>
              <w:spacing w:line="276" w:lineRule="auto"/>
              <w:jc w:val="center"/>
              <w:rPr>
                <w:b/>
                <w:noProof/>
              </w:rPr>
            </w:pPr>
            <w:r w:rsidRPr="00130899">
              <w:rPr>
                <w:b/>
                <w:noProof/>
              </w:rPr>
              <w:t>ОБЩО бюджетни кредити</w:t>
            </w:r>
            <w:r w:rsidRPr="00130899">
              <w:rPr>
                <w:noProof/>
              </w:rPr>
              <w:t xml:space="preserve"> </w:t>
            </w:r>
            <w:r w:rsidRPr="00130899">
              <w:rPr>
                <w:noProof/>
              </w:rPr>
              <w:cr/>
            </w:r>
            <w:r w:rsidRPr="00130899">
              <w:rPr>
                <w:noProof/>
              </w:rPr>
              <w:br/>
            </w:r>
            <w:r w:rsidRPr="00130899">
              <w:rPr>
                <w:b/>
                <w:noProof/>
              </w:rPr>
              <w:t xml:space="preserve">за ГД </w:t>
            </w:r>
            <w:r w:rsidRPr="00130899">
              <w:rPr>
                <w:noProof/>
              </w:rPr>
              <w:t>„Данъчно облагане и митнически съюз“ (TAXUD)</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01B061" w14:textId="77777777" w:rsidR="006918A0" w:rsidRPr="00130899" w:rsidRDefault="006918A0" w:rsidP="006918A0">
            <w:pPr>
              <w:spacing w:line="276" w:lineRule="auto"/>
              <w:rPr>
                <w:noProof/>
                <w:sz w:val="18"/>
              </w:rPr>
            </w:pPr>
            <w:r w:rsidRPr="00130899">
              <w:rPr>
                <w:noProof/>
                <w:sz w:val="18"/>
              </w:rPr>
              <w:t>Поети задължения</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51D8717F" w14:textId="77777777" w:rsidR="006918A0" w:rsidRPr="00130899" w:rsidRDefault="006918A0" w:rsidP="006918A0">
            <w:pPr>
              <w:spacing w:line="276" w:lineRule="auto"/>
              <w:jc w:val="center"/>
              <w:rPr>
                <w:noProof/>
                <w:sz w:val="14"/>
              </w:rPr>
            </w:pPr>
            <w:r w:rsidRPr="00130899">
              <w:rPr>
                <w:noProof/>
                <w:sz w:val="14"/>
              </w:rPr>
              <w:t>=1a+1б +3</w:t>
            </w:r>
          </w:p>
        </w:tc>
        <w:tc>
          <w:tcPr>
            <w:tcW w:w="868" w:type="dxa"/>
            <w:tcBorders>
              <w:top w:val="single" w:sz="4" w:space="0" w:color="auto"/>
              <w:left w:val="single" w:sz="4" w:space="0" w:color="auto"/>
              <w:bottom w:val="single" w:sz="4" w:space="0" w:color="auto"/>
              <w:right w:val="single" w:sz="4" w:space="0" w:color="auto"/>
            </w:tcBorders>
            <w:hideMark/>
          </w:tcPr>
          <w:p w14:paraId="77870381" w14:textId="77777777" w:rsidR="006918A0" w:rsidRPr="00130899" w:rsidRDefault="006918A0" w:rsidP="006918A0">
            <w:pPr>
              <w:spacing w:before="20" w:after="20" w:line="276" w:lineRule="auto"/>
              <w:jc w:val="right"/>
              <w:rPr>
                <w:noProof/>
                <w:sz w:val="20"/>
              </w:rPr>
            </w:pPr>
            <w:r w:rsidRPr="00130899">
              <w:rPr>
                <w:noProof/>
                <w:sz w:val="20"/>
              </w:rPr>
              <w:t>0,150</w:t>
            </w:r>
          </w:p>
        </w:tc>
        <w:tc>
          <w:tcPr>
            <w:tcW w:w="868" w:type="dxa"/>
            <w:tcBorders>
              <w:top w:val="single" w:sz="4" w:space="0" w:color="auto"/>
              <w:left w:val="single" w:sz="4" w:space="0" w:color="auto"/>
              <w:bottom w:val="single" w:sz="4" w:space="0" w:color="auto"/>
              <w:right w:val="single" w:sz="4" w:space="0" w:color="auto"/>
            </w:tcBorders>
            <w:hideMark/>
          </w:tcPr>
          <w:p w14:paraId="119E5B0F" w14:textId="77777777" w:rsidR="006918A0" w:rsidRPr="00130899" w:rsidRDefault="006918A0" w:rsidP="006918A0">
            <w:pPr>
              <w:spacing w:before="20" w:after="20" w:line="276" w:lineRule="auto"/>
              <w:jc w:val="right"/>
              <w:rPr>
                <w:noProof/>
                <w:sz w:val="20"/>
              </w:rPr>
            </w:pPr>
            <w:r w:rsidRPr="00130899">
              <w:rPr>
                <w:noProof/>
                <w:sz w:val="20"/>
              </w:rPr>
              <w:t>0,400</w:t>
            </w:r>
          </w:p>
        </w:tc>
        <w:tc>
          <w:tcPr>
            <w:tcW w:w="868" w:type="dxa"/>
            <w:tcBorders>
              <w:top w:val="single" w:sz="4" w:space="0" w:color="auto"/>
              <w:left w:val="single" w:sz="4" w:space="0" w:color="auto"/>
              <w:bottom w:val="single" w:sz="4" w:space="0" w:color="auto"/>
              <w:right w:val="single" w:sz="4" w:space="0" w:color="auto"/>
            </w:tcBorders>
            <w:hideMark/>
          </w:tcPr>
          <w:p w14:paraId="03181735" w14:textId="77777777" w:rsidR="006918A0" w:rsidRPr="00130899" w:rsidRDefault="006918A0" w:rsidP="006918A0">
            <w:pPr>
              <w:spacing w:before="20" w:after="20" w:line="276" w:lineRule="auto"/>
              <w:jc w:val="right"/>
              <w:rPr>
                <w:noProof/>
                <w:sz w:val="20"/>
              </w:rPr>
            </w:pPr>
            <w:r w:rsidRPr="00130899">
              <w:rPr>
                <w:noProof/>
                <w:sz w:val="20"/>
              </w:rPr>
              <w:t>0,200</w:t>
            </w:r>
          </w:p>
        </w:tc>
        <w:tc>
          <w:tcPr>
            <w:tcW w:w="868" w:type="dxa"/>
            <w:tcBorders>
              <w:top w:val="single" w:sz="4" w:space="0" w:color="auto"/>
              <w:left w:val="single" w:sz="4" w:space="0" w:color="auto"/>
              <w:bottom w:val="single" w:sz="4" w:space="0" w:color="auto"/>
              <w:right w:val="single" w:sz="4" w:space="0" w:color="auto"/>
            </w:tcBorders>
            <w:hideMark/>
          </w:tcPr>
          <w:p w14:paraId="4E3F0E0A" w14:textId="77777777" w:rsidR="006918A0" w:rsidRPr="00130899" w:rsidRDefault="006918A0" w:rsidP="006918A0">
            <w:pPr>
              <w:spacing w:before="20" w:after="20" w:line="276" w:lineRule="auto"/>
              <w:jc w:val="right"/>
              <w:rPr>
                <w:noProof/>
                <w:sz w:val="20"/>
              </w:rPr>
            </w:pPr>
            <w:r w:rsidRPr="00130899">
              <w:rPr>
                <w:noProof/>
                <w:sz w:val="20"/>
              </w:rPr>
              <w:t>0,330</w:t>
            </w:r>
          </w:p>
        </w:tc>
        <w:tc>
          <w:tcPr>
            <w:tcW w:w="868" w:type="dxa"/>
            <w:tcBorders>
              <w:top w:val="single" w:sz="4" w:space="0" w:color="auto"/>
              <w:left w:val="single" w:sz="4" w:space="0" w:color="auto"/>
              <w:bottom w:val="single" w:sz="4" w:space="0" w:color="auto"/>
              <w:right w:val="single" w:sz="4" w:space="0" w:color="auto"/>
            </w:tcBorders>
            <w:hideMark/>
          </w:tcPr>
          <w:p w14:paraId="640A81E8" w14:textId="77777777" w:rsidR="006918A0" w:rsidRPr="00130899" w:rsidRDefault="006918A0" w:rsidP="006918A0">
            <w:pPr>
              <w:spacing w:before="20" w:after="20" w:line="276" w:lineRule="auto"/>
              <w:jc w:val="right"/>
              <w:rPr>
                <w:noProof/>
                <w:sz w:val="20"/>
              </w:rPr>
            </w:pPr>
            <w:r w:rsidRPr="00130899">
              <w:rPr>
                <w:noProof/>
                <w:sz w:val="20"/>
              </w:rPr>
              <w:t>0,180</w:t>
            </w:r>
          </w:p>
        </w:tc>
        <w:tc>
          <w:tcPr>
            <w:tcW w:w="868" w:type="dxa"/>
            <w:tcBorders>
              <w:top w:val="single" w:sz="4" w:space="0" w:color="auto"/>
              <w:left w:val="single" w:sz="4" w:space="0" w:color="auto"/>
              <w:bottom w:val="single" w:sz="4" w:space="0" w:color="auto"/>
              <w:right w:val="single" w:sz="4" w:space="0" w:color="auto"/>
            </w:tcBorders>
          </w:tcPr>
          <w:p w14:paraId="02267DD2" w14:textId="77777777" w:rsidR="006918A0" w:rsidRPr="00130899" w:rsidRDefault="006918A0" w:rsidP="006918A0">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tcPr>
          <w:p w14:paraId="19B5A148" w14:textId="77777777" w:rsidR="006918A0" w:rsidRPr="00130899" w:rsidRDefault="006918A0" w:rsidP="006918A0">
            <w:pPr>
              <w:spacing w:before="20" w:after="20" w:line="276" w:lineRule="auto"/>
              <w:jc w:val="right"/>
              <w:rPr>
                <w:noProof/>
                <w:sz w:val="20"/>
              </w:rPr>
            </w:pPr>
          </w:p>
        </w:tc>
        <w:tc>
          <w:tcPr>
            <w:tcW w:w="2099" w:type="dxa"/>
            <w:tcBorders>
              <w:top w:val="single" w:sz="4" w:space="0" w:color="auto"/>
              <w:left w:val="single" w:sz="4" w:space="0" w:color="auto"/>
              <w:bottom w:val="single" w:sz="4" w:space="0" w:color="auto"/>
              <w:right w:val="single" w:sz="4" w:space="0" w:color="auto"/>
            </w:tcBorders>
            <w:hideMark/>
          </w:tcPr>
          <w:p w14:paraId="67F8FF47" w14:textId="77777777" w:rsidR="006918A0" w:rsidRPr="00130899" w:rsidRDefault="006918A0" w:rsidP="006918A0">
            <w:pPr>
              <w:spacing w:before="20" w:after="20" w:line="276" w:lineRule="auto"/>
              <w:jc w:val="right"/>
              <w:rPr>
                <w:b/>
                <w:noProof/>
                <w:sz w:val="20"/>
              </w:rPr>
            </w:pPr>
            <w:r w:rsidRPr="00130899">
              <w:rPr>
                <w:b/>
                <w:noProof/>
                <w:sz w:val="20"/>
              </w:rPr>
              <w:t>1,26</w:t>
            </w:r>
          </w:p>
        </w:tc>
      </w:tr>
      <w:tr w:rsidR="006918A0" w:rsidRPr="00130899" w14:paraId="200388E7" w14:textId="77777777" w:rsidTr="00E104B3">
        <w:trPr>
          <w:gridAfter w:val="1"/>
          <w:wAfter w:w="23" w:type="dxa"/>
        </w:trPr>
        <w:tc>
          <w:tcPr>
            <w:tcW w:w="3960" w:type="dxa"/>
            <w:vMerge/>
            <w:tcBorders>
              <w:top w:val="single" w:sz="4" w:space="0" w:color="auto"/>
              <w:left w:val="single" w:sz="4" w:space="0" w:color="auto"/>
              <w:bottom w:val="single" w:sz="4" w:space="0" w:color="auto"/>
              <w:right w:val="single" w:sz="4" w:space="0" w:color="auto"/>
            </w:tcBorders>
            <w:vAlign w:val="center"/>
            <w:hideMark/>
          </w:tcPr>
          <w:p w14:paraId="2AB90D97" w14:textId="77777777" w:rsidR="006918A0" w:rsidRPr="00130899" w:rsidRDefault="006918A0" w:rsidP="006918A0">
            <w:pPr>
              <w:spacing w:before="0" w:after="0" w:line="276" w:lineRule="auto"/>
              <w:jc w:val="left"/>
              <w:rPr>
                <w:b/>
                <w:noProof/>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184B19C6" w14:textId="77777777" w:rsidR="006918A0" w:rsidRPr="00130899" w:rsidRDefault="006918A0" w:rsidP="006918A0">
            <w:pPr>
              <w:spacing w:line="276" w:lineRule="auto"/>
              <w:rPr>
                <w:noProof/>
                <w:sz w:val="18"/>
              </w:rPr>
            </w:pPr>
            <w:r w:rsidRPr="00130899">
              <w:rPr>
                <w:noProof/>
                <w:sz w:val="18"/>
              </w:rPr>
              <w:t>Плащания</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14287216" w14:textId="77777777" w:rsidR="006918A0" w:rsidRPr="00130899" w:rsidRDefault="006918A0" w:rsidP="006918A0">
            <w:pPr>
              <w:spacing w:line="276" w:lineRule="auto"/>
              <w:jc w:val="center"/>
              <w:rPr>
                <w:noProof/>
                <w:sz w:val="14"/>
              </w:rPr>
            </w:pPr>
            <w:r w:rsidRPr="00130899">
              <w:rPr>
                <w:noProof/>
                <w:sz w:val="14"/>
              </w:rPr>
              <w:t>=2а+2б+3</w:t>
            </w:r>
          </w:p>
        </w:tc>
        <w:tc>
          <w:tcPr>
            <w:tcW w:w="868" w:type="dxa"/>
            <w:tcBorders>
              <w:top w:val="single" w:sz="4" w:space="0" w:color="auto"/>
              <w:left w:val="single" w:sz="4" w:space="0" w:color="auto"/>
              <w:bottom w:val="single" w:sz="4" w:space="0" w:color="auto"/>
              <w:right w:val="single" w:sz="4" w:space="0" w:color="auto"/>
            </w:tcBorders>
          </w:tcPr>
          <w:p w14:paraId="6EAD6F76" w14:textId="77777777" w:rsidR="006918A0" w:rsidRPr="00130899" w:rsidRDefault="006918A0" w:rsidP="006918A0">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hideMark/>
          </w:tcPr>
          <w:p w14:paraId="0E99E7EC" w14:textId="77777777" w:rsidR="006918A0" w:rsidRPr="00130899" w:rsidRDefault="006918A0" w:rsidP="006918A0">
            <w:pPr>
              <w:spacing w:before="20" w:after="20" w:line="276" w:lineRule="auto"/>
              <w:jc w:val="right"/>
              <w:rPr>
                <w:noProof/>
                <w:sz w:val="20"/>
              </w:rPr>
            </w:pPr>
            <w:r w:rsidRPr="00130899">
              <w:rPr>
                <w:noProof/>
                <w:sz w:val="20"/>
              </w:rPr>
              <w:t>0,150</w:t>
            </w:r>
          </w:p>
        </w:tc>
        <w:tc>
          <w:tcPr>
            <w:tcW w:w="868" w:type="dxa"/>
            <w:tcBorders>
              <w:top w:val="single" w:sz="4" w:space="0" w:color="auto"/>
              <w:left w:val="single" w:sz="4" w:space="0" w:color="auto"/>
              <w:bottom w:val="single" w:sz="4" w:space="0" w:color="auto"/>
              <w:right w:val="single" w:sz="4" w:space="0" w:color="auto"/>
            </w:tcBorders>
            <w:hideMark/>
          </w:tcPr>
          <w:p w14:paraId="41630B7F" w14:textId="77777777" w:rsidR="006918A0" w:rsidRPr="00130899" w:rsidRDefault="006918A0" w:rsidP="006918A0">
            <w:pPr>
              <w:spacing w:before="20" w:after="20" w:line="276" w:lineRule="auto"/>
              <w:jc w:val="right"/>
              <w:rPr>
                <w:noProof/>
                <w:sz w:val="20"/>
              </w:rPr>
            </w:pPr>
            <w:r w:rsidRPr="00130899">
              <w:rPr>
                <w:noProof/>
                <w:sz w:val="20"/>
              </w:rPr>
              <w:t>0,400</w:t>
            </w:r>
          </w:p>
        </w:tc>
        <w:tc>
          <w:tcPr>
            <w:tcW w:w="868" w:type="dxa"/>
            <w:tcBorders>
              <w:top w:val="single" w:sz="4" w:space="0" w:color="auto"/>
              <w:left w:val="single" w:sz="4" w:space="0" w:color="auto"/>
              <w:bottom w:val="single" w:sz="4" w:space="0" w:color="auto"/>
              <w:right w:val="single" w:sz="4" w:space="0" w:color="auto"/>
            </w:tcBorders>
            <w:hideMark/>
          </w:tcPr>
          <w:p w14:paraId="0FBCDAE9" w14:textId="77777777" w:rsidR="006918A0" w:rsidRPr="00130899" w:rsidRDefault="006918A0" w:rsidP="006918A0">
            <w:pPr>
              <w:spacing w:before="20" w:after="20" w:line="276" w:lineRule="auto"/>
              <w:jc w:val="right"/>
              <w:rPr>
                <w:noProof/>
                <w:sz w:val="20"/>
              </w:rPr>
            </w:pPr>
            <w:r w:rsidRPr="00130899">
              <w:rPr>
                <w:noProof/>
                <w:sz w:val="20"/>
              </w:rPr>
              <w:t>0,200</w:t>
            </w:r>
          </w:p>
        </w:tc>
        <w:tc>
          <w:tcPr>
            <w:tcW w:w="868" w:type="dxa"/>
            <w:tcBorders>
              <w:top w:val="single" w:sz="4" w:space="0" w:color="auto"/>
              <w:left w:val="single" w:sz="4" w:space="0" w:color="auto"/>
              <w:bottom w:val="single" w:sz="4" w:space="0" w:color="auto"/>
              <w:right w:val="single" w:sz="4" w:space="0" w:color="auto"/>
            </w:tcBorders>
            <w:hideMark/>
          </w:tcPr>
          <w:p w14:paraId="5B26D2F7" w14:textId="77777777" w:rsidR="006918A0" w:rsidRPr="00130899" w:rsidRDefault="006918A0" w:rsidP="006918A0">
            <w:pPr>
              <w:spacing w:before="20" w:after="20" w:line="276" w:lineRule="auto"/>
              <w:jc w:val="right"/>
              <w:rPr>
                <w:noProof/>
                <w:sz w:val="20"/>
              </w:rPr>
            </w:pPr>
            <w:r w:rsidRPr="00130899">
              <w:rPr>
                <w:noProof/>
                <w:sz w:val="20"/>
              </w:rPr>
              <w:t>0,330</w:t>
            </w:r>
          </w:p>
        </w:tc>
        <w:tc>
          <w:tcPr>
            <w:tcW w:w="868" w:type="dxa"/>
            <w:tcBorders>
              <w:top w:val="single" w:sz="4" w:space="0" w:color="auto"/>
              <w:left w:val="single" w:sz="4" w:space="0" w:color="auto"/>
              <w:bottom w:val="single" w:sz="4" w:space="0" w:color="auto"/>
              <w:right w:val="single" w:sz="4" w:space="0" w:color="auto"/>
            </w:tcBorders>
            <w:hideMark/>
          </w:tcPr>
          <w:p w14:paraId="7B784204" w14:textId="77777777" w:rsidR="006918A0" w:rsidRPr="00130899" w:rsidRDefault="006918A0" w:rsidP="006918A0">
            <w:pPr>
              <w:spacing w:before="20" w:after="20" w:line="276" w:lineRule="auto"/>
              <w:jc w:val="right"/>
              <w:rPr>
                <w:noProof/>
                <w:sz w:val="20"/>
              </w:rPr>
            </w:pPr>
            <w:r w:rsidRPr="00130899">
              <w:rPr>
                <w:noProof/>
                <w:sz w:val="20"/>
              </w:rPr>
              <w:t>0,180</w:t>
            </w:r>
          </w:p>
        </w:tc>
        <w:tc>
          <w:tcPr>
            <w:tcW w:w="868" w:type="dxa"/>
            <w:tcBorders>
              <w:top w:val="single" w:sz="4" w:space="0" w:color="auto"/>
              <w:left w:val="single" w:sz="4" w:space="0" w:color="auto"/>
              <w:bottom w:val="single" w:sz="4" w:space="0" w:color="auto"/>
              <w:right w:val="single" w:sz="4" w:space="0" w:color="auto"/>
            </w:tcBorders>
          </w:tcPr>
          <w:p w14:paraId="4F89900F" w14:textId="77777777" w:rsidR="006918A0" w:rsidRPr="00130899" w:rsidRDefault="006918A0" w:rsidP="006918A0">
            <w:pPr>
              <w:spacing w:before="20" w:after="20" w:line="276" w:lineRule="auto"/>
              <w:jc w:val="right"/>
              <w:rPr>
                <w:noProof/>
                <w:sz w:val="20"/>
              </w:rPr>
            </w:pPr>
          </w:p>
        </w:tc>
        <w:tc>
          <w:tcPr>
            <w:tcW w:w="2099" w:type="dxa"/>
            <w:tcBorders>
              <w:top w:val="single" w:sz="4" w:space="0" w:color="auto"/>
              <w:left w:val="single" w:sz="4" w:space="0" w:color="auto"/>
              <w:bottom w:val="single" w:sz="4" w:space="0" w:color="auto"/>
              <w:right w:val="single" w:sz="4" w:space="0" w:color="auto"/>
            </w:tcBorders>
            <w:hideMark/>
          </w:tcPr>
          <w:p w14:paraId="6B686BFC" w14:textId="77777777" w:rsidR="006918A0" w:rsidRPr="00130899" w:rsidRDefault="006918A0" w:rsidP="006918A0">
            <w:pPr>
              <w:spacing w:before="20" w:after="20" w:line="276" w:lineRule="auto"/>
              <w:jc w:val="right"/>
              <w:rPr>
                <w:b/>
                <w:noProof/>
                <w:sz w:val="20"/>
              </w:rPr>
            </w:pPr>
            <w:r w:rsidRPr="00130899">
              <w:rPr>
                <w:b/>
                <w:noProof/>
                <w:sz w:val="20"/>
              </w:rPr>
              <w:t>1,26</w:t>
            </w:r>
          </w:p>
        </w:tc>
      </w:tr>
    </w:tbl>
    <w:p w14:paraId="42A7BE30" w14:textId="77777777" w:rsidR="006918A0" w:rsidRPr="00130899" w:rsidRDefault="006918A0" w:rsidP="006918A0">
      <w:pPr>
        <w:spacing w:before="0" w:after="0"/>
        <w:jc w:val="left"/>
        <w:rPr>
          <w:noProof/>
        </w:rPr>
      </w:pPr>
      <w:r w:rsidRPr="00130899">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6918A0" w:rsidRPr="00130899" w14:paraId="063024C6" w14:textId="77777777" w:rsidTr="000430BD">
        <w:trPr>
          <w:jc w:val="center"/>
        </w:trPr>
        <w:tc>
          <w:tcPr>
            <w:tcW w:w="4744"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14:paraId="38382116" w14:textId="77777777" w:rsidR="006918A0" w:rsidRPr="00130899" w:rsidRDefault="006918A0" w:rsidP="006918A0">
            <w:pPr>
              <w:spacing w:before="60" w:after="60" w:line="276" w:lineRule="auto"/>
              <w:jc w:val="center"/>
              <w:rPr>
                <w:b/>
                <w:noProof/>
              </w:rPr>
            </w:pPr>
            <w:r w:rsidRPr="00130899">
              <w:rPr>
                <w:noProof/>
              </w:rPr>
              <w:br w:type="page"/>
            </w:r>
            <w:r w:rsidRPr="00130899">
              <w:rPr>
                <w:b/>
                <w:noProof/>
              </w:rPr>
              <w:t xml:space="preserve">Функция от многогодишната финансова </w:t>
            </w:r>
            <w:r w:rsidRPr="00130899">
              <w:rPr>
                <w:noProof/>
              </w:rPr>
              <w:t xml:space="preserve"> </w:t>
            </w:r>
            <w:r w:rsidRPr="00130899">
              <w:rPr>
                <w:noProof/>
              </w:rPr>
              <w:cr/>
            </w:r>
            <w:r w:rsidRPr="00130899">
              <w:rPr>
                <w:noProof/>
              </w:rPr>
              <w:br/>
            </w:r>
            <w:r w:rsidRPr="00130899">
              <w:rPr>
                <w:b/>
                <w:noProof/>
              </w:rPr>
              <w:t xml:space="preserve">рамка </w:t>
            </w:r>
          </w:p>
        </w:tc>
        <w:tc>
          <w:tcPr>
            <w:tcW w:w="1080"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14:paraId="5C5A272D" w14:textId="77777777" w:rsidR="006918A0" w:rsidRPr="00130899" w:rsidRDefault="006918A0" w:rsidP="006918A0">
            <w:pPr>
              <w:spacing w:before="60" w:after="60" w:line="276" w:lineRule="auto"/>
              <w:jc w:val="center"/>
              <w:rPr>
                <w:noProof/>
              </w:rPr>
            </w:pPr>
            <w:r w:rsidRPr="00130899">
              <w:rPr>
                <w:b/>
                <w:noProof/>
              </w:rPr>
              <w:t>7</w:t>
            </w:r>
          </w:p>
        </w:tc>
        <w:tc>
          <w:tcPr>
            <w:tcW w:w="7817" w:type="dxa"/>
            <w:tcBorders>
              <w:top w:val="single" w:sz="4" w:space="0" w:color="auto"/>
              <w:left w:val="single" w:sz="4" w:space="0" w:color="auto"/>
              <w:bottom w:val="single" w:sz="4" w:space="0" w:color="auto"/>
              <w:right w:val="single" w:sz="4" w:space="0" w:color="auto"/>
            </w:tcBorders>
            <w:vAlign w:val="center"/>
            <w:hideMark/>
          </w:tcPr>
          <w:p w14:paraId="099DCF8E" w14:textId="77777777" w:rsidR="006918A0" w:rsidRPr="00130899" w:rsidRDefault="006918A0" w:rsidP="006918A0">
            <w:pPr>
              <w:spacing w:before="60" w:after="60" w:line="276" w:lineRule="auto"/>
              <w:rPr>
                <w:noProof/>
              </w:rPr>
            </w:pPr>
            <w:r w:rsidRPr="00130899">
              <w:rPr>
                <w:noProof/>
              </w:rPr>
              <w:t>„Административни разходи“</w:t>
            </w:r>
          </w:p>
        </w:tc>
      </w:tr>
    </w:tbl>
    <w:p w14:paraId="7FFF7D84" w14:textId="77777777" w:rsidR="006918A0" w:rsidRPr="00130899" w:rsidRDefault="006918A0" w:rsidP="006918A0">
      <w:pPr>
        <w:jc w:val="left"/>
        <w:rPr>
          <w:noProof/>
          <w:sz w:val="20"/>
        </w:rPr>
      </w:pPr>
      <w:r w:rsidRPr="00130899">
        <w:rPr>
          <w:noProof/>
        </w:rPr>
        <w:t xml:space="preserve">Тази част следва да бъде попълнена, като се използва таблицата за бюджетни данни от административно естество, която най-напред се въвежда в </w:t>
      </w:r>
      <w:hyperlink r:id="rId17" w:history="1">
        <w:r w:rsidRPr="00130899">
          <w:rPr>
            <w:noProof/>
            <w:color w:val="0000FF"/>
            <w:u w:val="single"/>
          </w:rPr>
          <w:t>приложението към законодателната финансова обосновка</w:t>
        </w:r>
      </w:hyperlink>
      <w:r w:rsidRPr="00130899">
        <w:rPr>
          <w:noProof/>
        </w:rPr>
        <w:t xml:space="preserve"> (приложение V към вътрешните правила), което се качва в DECIDE за провеждането на вътрешни консултации между службите.</w:t>
      </w:r>
    </w:p>
    <w:p w14:paraId="077F3CFF" w14:textId="77777777" w:rsidR="006918A0" w:rsidRPr="00130899" w:rsidRDefault="006918A0" w:rsidP="006918A0">
      <w:pPr>
        <w:jc w:val="right"/>
        <w:rPr>
          <w:noProof/>
          <w:sz w:val="20"/>
        </w:rPr>
      </w:pPr>
      <w:r w:rsidRPr="00130899">
        <w:rPr>
          <w:noProof/>
          <w:sz w:val="20"/>
        </w:rPr>
        <w:t>млн. евро (до 3-тия знак след десетичната запетая)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0"/>
        <w:gridCol w:w="1587"/>
        <w:gridCol w:w="520"/>
        <w:gridCol w:w="1155"/>
        <w:gridCol w:w="1300"/>
        <w:gridCol w:w="1155"/>
        <w:gridCol w:w="1129"/>
        <w:gridCol w:w="1183"/>
        <w:gridCol w:w="2161"/>
      </w:tblGrid>
      <w:tr w:rsidR="006918A0" w:rsidRPr="00130899" w14:paraId="7AAD01D6" w14:textId="77777777" w:rsidTr="000430BD">
        <w:tc>
          <w:tcPr>
            <w:tcW w:w="1417" w:type="pct"/>
            <w:tcBorders>
              <w:top w:val="nil"/>
              <w:left w:val="nil"/>
              <w:bottom w:val="single" w:sz="4" w:space="0" w:color="auto"/>
              <w:right w:val="nil"/>
            </w:tcBorders>
            <w:vAlign w:val="center"/>
          </w:tcPr>
          <w:p w14:paraId="3753C8D8" w14:textId="77777777" w:rsidR="006918A0" w:rsidRPr="00130899" w:rsidRDefault="006918A0" w:rsidP="006918A0">
            <w:pPr>
              <w:spacing w:line="276" w:lineRule="auto"/>
              <w:jc w:val="center"/>
              <w:rPr>
                <w:noProof/>
              </w:rPr>
            </w:pPr>
            <w:bookmarkStart w:id="19" w:name="_Hlk114153140"/>
          </w:p>
        </w:tc>
        <w:tc>
          <w:tcPr>
            <w:tcW w:w="558" w:type="pct"/>
            <w:tcBorders>
              <w:top w:val="nil"/>
              <w:left w:val="nil"/>
              <w:bottom w:val="single" w:sz="4" w:space="0" w:color="auto"/>
              <w:right w:val="nil"/>
            </w:tcBorders>
          </w:tcPr>
          <w:p w14:paraId="244CE7E1" w14:textId="77777777" w:rsidR="006918A0" w:rsidRPr="00130899" w:rsidRDefault="006918A0" w:rsidP="006918A0">
            <w:pPr>
              <w:spacing w:line="276" w:lineRule="auto"/>
              <w:jc w:val="center"/>
              <w:rPr>
                <w:noProof/>
              </w:rPr>
            </w:pPr>
          </w:p>
        </w:tc>
        <w:tc>
          <w:tcPr>
            <w:tcW w:w="182" w:type="pct"/>
            <w:tcBorders>
              <w:top w:val="nil"/>
              <w:left w:val="nil"/>
              <w:bottom w:val="single" w:sz="4" w:space="0" w:color="auto"/>
              <w:right w:val="single" w:sz="4" w:space="0" w:color="auto"/>
            </w:tcBorders>
          </w:tcPr>
          <w:p w14:paraId="35685B4F" w14:textId="77777777" w:rsidR="006918A0" w:rsidRPr="00130899" w:rsidRDefault="006918A0" w:rsidP="006918A0">
            <w:pPr>
              <w:spacing w:line="276" w:lineRule="auto"/>
              <w:jc w:val="center"/>
              <w:rPr>
                <w:noProof/>
              </w:rPr>
            </w:pPr>
          </w:p>
        </w:tc>
        <w:tc>
          <w:tcPr>
            <w:tcW w:w="406" w:type="pct"/>
            <w:tcBorders>
              <w:top w:val="single" w:sz="4" w:space="0" w:color="auto"/>
              <w:left w:val="single" w:sz="4" w:space="0" w:color="auto"/>
              <w:bottom w:val="single" w:sz="4" w:space="0" w:color="auto"/>
              <w:right w:val="single" w:sz="4" w:space="0" w:color="auto"/>
            </w:tcBorders>
            <w:vAlign w:val="center"/>
            <w:hideMark/>
          </w:tcPr>
          <w:p w14:paraId="7F83C4DB" w14:textId="77777777" w:rsidR="006918A0" w:rsidRPr="00130899" w:rsidRDefault="006918A0" w:rsidP="006918A0">
            <w:pPr>
              <w:spacing w:line="276" w:lineRule="auto"/>
              <w:jc w:val="center"/>
              <w:rPr>
                <w:noProof/>
              </w:rPr>
            </w:pPr>
            <w:r w:rsidRPr="00130899">
              <w:rPr>
                <w:noProof/>
              </w:rPr>
              <w:t>2023 г.</w:t>
            </w:r>
          </w:p>
        </w:tc>
        <w:tc>
          <w:tcPr>
            <w:tcW w:w="457" w:type="pct"/>
            <w:tcBorders>
              <w:top w:val="single" w:sz="4" w:space="0" w:color="auto"/>
              <w:left w:val="single" w:sz="4" w:space="0" w:color="auto"/>
              <w:bottom w:val="single" w:sz="4" w:space="0" w:color="auto"/>
              <w:right w:val="single" w:sz="4" w:space="0" w:color="auto"/>
            </w:tcBorders>
            <w:vAlign w:val="center"/>
            <w:hideMark/>
          </w:tcPr>
          <w:p w14:paraId="7D23F99E" w14:textId="77777777" w:rsidR="006918A0" w:rsidRPr="00130899" w:rsidRDefault="006918A0" w:rsidP="006918A0">
            <w:pPr>
              <w:spacing w:line="276" w:lineRule="auto"/>
              <w:jc w:val="center"/>
              <w:rPr>
                <w:noProof/>
              </w:rPr>
            </w:pPr>
            <w:r w:rsidRPr="00130899">
              <w:rPr>
                <w:noProof/>
              </w:rPr>
              <w:t>2024 г.</w:t>
            </w:r>
          </w:p>
        </w:tc>
        <w:tc>
          <w:tcPr>
            <w:tcW w:w="406" w:type="pct"/>
            <w:tcBorders>
              <w:top w:val="single" w:sz="4" w:space="0" w:color="auto"/>
              <w:left w:val="single" w:sz="4" w:space="0" w:color="auto"/>
              <w:bottom w:val="single" w:sz="4" w:space="0" w:color="auto"/>
              <w:right w:val="single" w:sz="4" w:space="0" w:color="auto"/>
            </w:tcBorders>
            <w:vAlign w:val="center"/>
            <w:hideMark/>
          </w:tcPr>
          <w:p w14:paraId="682C3089" w14:textId="77777777" w:rsidR="006918A0" w:rsidRPr="00130899" w:rsidRDefault="006918A0" w:rsidP="006918A0">
            <w:pPr>
              <w:spacing w:line="276" w:lineRule="auto"/>
              <w:jc w:val="center"/>
              <w:rPr>
                <w:noProof/>
              </w:rPr>
            </w:pPr>
            <w:r w:rsidRPr="00130899">
              <w:rPr>
                <w:noProof/>
              </w:rPr>
              <w:t>2025 г.</w:t>
            </w:r>
          </w:p>
        </w:tc>
        <w:tc>
          <w:tcPr>
            <w:tcW w:w="397" w:type="pct"/>
            <w:tcBorders>
              <w:top w:val="single" w:sz="4" w:space="0" w:color="auto"/>
              <w:left w:val="single" w:sz="4" w:space="0" w:color="auto"/>
              <w:bottom w:val="single" w:sz="4" w:space="0" w:color="auto"/>
              <w:right w:val="single" w:sz="4" w:space="0" w:color="auto"/>
            </w:tcBorders>
            <w:vAlign w:val="center"/>
            <w:hideMark/>
          </w:tcPr>
          <w:p w14:paraId="024EE7A4" w14:textId="77777777" w:rsidR="006918A0" w:rsidRPr="00130899" w:rsidRDefault="006918A0" w:rsidP="006918A0">
            <w:pPr>
              <w:spacing w:line="276" w:lineRule="auto"/>
              <w:jc w:val="center"/>
              <w:rPr>
                <w:noProof/>
              </w:rPr>
            </w:pPr>
            <w:r w:rsidRPr="00130899">
              <w:rPr>
                <w:noProof/>
              </w:rPr>
              <w:t>2026 г.</w:t>
            </w:r>
          </w:p>
        </w:tc>
        <w:tc>
          <w:tcPr>
            <w:tcW w:w="416" w:type="pct"/>
            <w:tcBorders>
              <w:top w:val="single" w:sz="4" w:space="0" w:color="auto"/>
              <w:left w:val="single" w:sz="4" w:space="0" w:color="auto"/>
              <w:bottom w:val="single" w:sz="4" w:space="0" w:color="auto"/>
              <w:right w:val="single" w:sz="4" w:space="0" w:color="auto"/>
            </w:tcBorders>
            <w:vAlign w:val="center"/>
            <w:hideMark/>
          </w:tcPr>
          <w:p w14:paraId="28193953" w14:textId="77777777" w:rsidR="006918A0" w:rsidRPr="00130899" w:rsidRDefault="006918A0" w:rsidP="006918A0">
            <w:pPr>
              <w:spacing w:line="276" w:lineRule="auto"/>
              <w:jc w:val="center"/>
              <w:rPr>
                <w:noProof/>
              </w:rPr>
            </w:pPr>
            <w:r w:rsidRPr="00130899">
              <w:rPr>
                <w:noProof/>
              </w:rPr>
              <w:t>2027 г.</w:t>
            </w:r>
          </w:p>
        </w:tc>
        <w:tc>
          <w:tcPr>
            <w:tcW w:w="761" w:type="pct"/>
            <w:tcBorders>
              <w:top w:val="single" w:sz="4" w:space="0" w:color="auto"/>
              <w:left w:val="single" w:sz="4" w:space="0" w:color="auto"/>
              <w:bottom w:val="single" w:sz="4" w:space="0" w:color="auto"/>
              <w:right w:val="single" w:sz="4" w:space="0" w:color="auto"/>
            </w:tcBorders>
            <w:vAlign w:val="center"/>
            <w:hideMark/>
          </w:tcPr>
          <w:p w14:paraId="6AB8E837" w14:textId="77777777" w:rsidR="006918A0" w:rsidRPr="00130899" w:rsidRDefault="006918A0" w:rsidP="006918A0">
            <w:pPr>
              <w:spacing w:line="276" w:lineRule="auto"/>
              <w:jc w:val="center"/>
              <w:rPr>
                <w:b/>
                <w:noProof/>
              </w:rPr>
            </w:pPr>
            <w:r w:rsidRPr="00130899">
              <w:rPr>
                <w:b/>
                <w:noProof/>
              </w:rPr>
              <w:t>ОБЩО</w:t>
            </w:r>
          </w:p>
          <w:p w14:paraId="52B16643" w14:textId="77777777" w:rsidR="006918A0" w:rsidRPr="00130899" w:rsidRDefault="006918A0" w:rsidP="006918A0">
            <w:pPr>
              <w:spacing w:line="276" w:lineRule="auto"/>
              <w:jc w:val="center"/>
              <w:rPr>
                <w:b/>
                <w:noProof/>
              </w:rPr>
            </w:pPr>
            <w:r w:rsidRPr="00130899">
              <w:rPr>
                <w:b/>
                <w:noProof/>
              </w:rPr>
              <w:t>МФР за 2021—2027 г.</w:t>
            </w:r>
          </w:p>
        </w:tc>
      </w:tr>
      <w:tr w:rsidR="006918A0" w:rsidRPr="00130899" w14:paraId="74391C36" w14:textId="77777777" w:rsidTr="000430BD">
        <w:trPr>
          <w:gridAfter w:val="8"/>
          <w:wAfter w:w="3583" w:type="pct"/>
        </w:trPr>
        <w:tc>
          <w:tcPr>
            <w:tcW w:w="1417" w:type="pct"/>
            <w:tcBorders>
              <w:top w:val="single" w:sz="4" w:space="0" w:color="auto"/>
              <w:left w:val="single" w:sz="4" w:space="0" w:color="auto"/>
              <w:bottom w:val="single" w:sz="4" w:space="0" w:color="auto"/>
              <w:right w:val="single" w:sz="4" w:space="0" w:color="auto"/>
            </w:tcBorders>
            <w:vAlign w:val="center"/>
            <w:hideMark/>
          </w:tcPr>
          <w:p w14:paraId="5A2C655A" w14:textId="77777777" w:rsidR="006918A0" w:rsidRPr="00130899" w:rsidRDefault="006918A0" w:rsidP="006918A0">
            <w:pPr>
              <w:spacing w:before="60" w:after="60" w:line="276" w:lineRule="auto"/>
              <w:jc w:val="center"/>
              <w:rPr>
                <w:noProof/>
              </w:rPr>
            </w:pPr>
            <w:r w:rsidRPr="00130899">
              <w:rPr>
                <w:noProof/>
              </w:rPr>
              <w:t>ГД „Данъчно облагане и митнически съюз“ (TAXUD)</w:t>
            </w:r>
          </w:p>
        </w:tc>
      </w:tr>
      <w:tr w:rsidR="006918A0" w:rsidRPr="00130899" w14:paraId="14365A19" w14:textId="77777777" w:rsidTr="000430BD">
        <w:tc>
          <w:tcPr>
            <w:tcW w:w="2158" w:type="pct"/>
            <w:gridSpan w:val="3"/>
            <w:tcBorders>
              <w:top w:val="single" w:sz="4" w:space="0" w:color="auto"/>
              <w:left w:val="single" w:sz="4" w:space="0" w:color="auto"/>
              <w:bottom w:val="single" w:sz="4" w:space="0" w:color="auto"/>
              <w:right w:val="single" w:sz="4" w:space="0" w:color="auto"/>
            </w:tcBorders>
            <w:vAlign w:val="center"/>
            <w:hideMark/>
          </w:tcPr>
          <w:p w14:paraId="4DFC40BF" w14:textId="77777777" w:rsidR="006918A0" w:rsidRPr="00130899" w:rsidRDefault="006918A0" w:rsidP="006918A0">
            <w:pPr>
              <w:spacing w:before="60" w:after="60" w:line="276" w:lineRule="auto"/>
              <w:jc w:val="center"/>
              <w:rPr>
                <w:noProof/>
              </w:rPr>
            </w:pPr>
            <w:r w:rsidRPr="00130899">
              <w:rPr>
                <w:noProof/>
              </w:rPr>
              <w:sym w:font="Wingdings" w:char="F09F"/>
            </w:r>
            <w:r w:rsidRPr="00130899">
              <w:rPr>
                <w:noProof/>
              </w:rPr>
              <w:t> Човешки ресурси</w:t>
            </w:r>
          </w:p>
        </w:tc>
        <w:tc>
          <w:tcPr>
            <w:tcW w:w="406" w:type="pct"/>
            <w:tcBorders>
              <w:top w:val="single" w:sz="4" w:space="0" w:color="auto"/>
              <w:left w:val="single" w:sz="4" w:space="0" w:color="auto"/>
              <w:bottom w:val="single" w:sz="4" w:space="0" w:color="auto"/>
              <w:right w:val="single" w:sz="4" w:space="0" w:color="auto"/>
            </w:tcBorders>
            <w:vAlign w:val="center"/>
            <w:hideMark/>
          </w:tcPr>
          <w:p w14:paraId="614CC669" w14:textId="77777777" w:rsidR="006918A0" w:rsidRPr="00130899" w:rsidRDefault="006918A0" w:rsidP="006918A0">
            <w:pPr>
              <w:spacing w:before="60" w:after="60" w:line="276" w:lineRule="auto"/>
              <w:jc w:val="center"/>
              <w:rPr>
                <w:noProof/>
                <w:sz w:val="20"/>
              </w:rPr>
            </w:pPr>
            <w:r w:rsidRPr="00130899">
              <w:rPr>
                <w:noProof/>
                <w:sz w:val="20"/>
              </w:rPr>
              <w:t>0,118</w:t>
            </w:r>
          </w:p>
        </w:tc>
        <w:tc>
          <w:tcPr>
            <w:tcW w:w="457" w:type="pct"/>
            <w:tcBorders>
              <w:top w:val="single" w:sz="4" w:space="0" w:color="auto"/>
              <w:left w:val="single" w:sz="4" w:space="0" w:color="auto"/>
              <w:bottom w:val="single" w:sz="4" w:space="0" w:color="auto"/>
              <w:right w:val="single" w:sz="4" w:space="0" w:color="auto"/>
            </w:tcBorders>
            <w:vAlign w:val="center"/>
            <w:hideMark/>
          </w:tcPr>
          <w:p w14:paraId="5964A0FB" w14:textId="77777777" w:rsidR="006918A0" w:rsidRPr="00130899" w:rsidRDefault="006918A0" w:rsidP="006918A0">
            <w:pPr>
              <w:spacing w:before="60" w:after="60" w:line="276" w:lineRule="auto"/>
              <w:jc w:val="center"/>
              <w:rPr>
                <w:noProof/>
                <w:sz w:val="20"/>
              </w:rPr>
            </w:pPr>
            <w:r w:rsidRPr="00130899">
              <w:rPr>
                <w:noProof/>
                <w:sz w:val="20"/>
              </w:rPr>
              <w:t>0,157</w:t>
            </w:r>
          </w:p>
        </w:tc>
        <w:tc>
          <w:tcPr>
            <w:tcW w:w="406" w:type="pct"/>
            <w:tcBorders>
              <w:top w:val="single" w:sz="4" w:space="0" w:color="auto"/>
              <w:left w:val="single" w:sz="4" w:space="0" w:color="auto"/>
              <w:bottom w:val="single" w:sz="4" w:space="0" w:color="auto"/>
              <w:right w:val="single" w:sz="4" w:space="0" w:color="auto"/>
            </w:tcBorders>
            <w:vAlign w:val="center"/>
            <w:hideMark/>
          </w:tcPr>
          <w:p w14:paraId="04809A2C" w14:textId="77777777" w:rsidR="006918A0" w:rsidRPr="00130899" w:rsidRDefault="006918A0" w:rsidP="006918A0">
            <w:pPr>
              <w:spacing w:before="60" w:after="60" w:line="276" w:lineRule="auto"/>
              <w:jc w:val="center"/>
              <w:rPr>
                <w:noProof/>
                <w:sz w:val="20"/>
              </w:rPr>
            </w:pPr>
            <w:r w:rsidRPr="00130899">
              <w:rPr>
                <w:noProof/>
                <w:sz w:val="20"/>
              </w:rPr>
              <w:t>0,157</w:t>
            </w:r>
          </w:p>
        </w:tc>
        <w:tc>
          <w:tcPr>
            <w:tcW w:w="397" w:type="pct"/>
            <w:tcBorders>
              <w:top w:val="single" w:sz="4" w:space="0" w:color="auto"/>
              <w:left w:val="single" w:sz="4" w:space="0" w:color="auto"/>
              <w:bottom w:val="single" w:sz="4" w:space="0" w:color="auto"/>
              <w:right w:val="single" w:sz="4" w:space="0" w:color="auto"/>
            </w:tcBorders>
            <w:vAlign w:val="center"/>
            <w:hideMark/>
          </w:tcPr>
          <w:p w14:paraId="54A74D6B" w14:textId="77777777" w:rsidR="006918A0" w:rsidRPr="00130899" w:rsidRDefault="006918A0" w:rsidP="006918A0">
            <w:pPr>
              <w:spacing w:before="60" w:after="60" w:line="276" w:lineRule="auto"/>
              <w:jc w:val="center"/>
              <w:rPr>
                <w:noProof/>
                <w:sz w:val="20"/>
              </w:rPr>
            </w:pPr>
            <w:r w:rsidRPr="00130899">
              <w:rPr>
                <w:noProof/>
                <w:sz w:val="20"/>
              </w:rPr>
              <w:t>0,063</w:t>
            </w:r>
          </w:p>
        </w:tc>
        <w:tc>
          <w:tcPr>
            <w:tcW w:w="416" w:type="pct"/>
            <w:tcBorders>
              <w:top w:val="single" w:sz="4" w:space="0" w:color="auto"/>
              <w:left w:val="single" w:sz="4" w:space="0" w:color="auto"/>
              <w:bottom w:val="single" w:sz="4" w:space="0" w:color="auto"/>
              <w:right w:val="single" w:sz="4" w:space="0" w:color="auto"/>
            </w:tcBorders>
            <w:vAlign w:val="center"/>
            <w:hideMark/>
          </w:tcPr>
          <w:p w14:paraId="3151EDFE" w14:textId="77777777" w:rsidR="006918A0" w:rsidRPr="00130899" w:rsidRDefault="006918A0" w:rsidP="006918A0">
            <w:pPr>
              <w:spacing w:before="60" w:after="60" w:line="276" w:lineRule="auto"/>
              <w:jc w:val="center"/>
              <w:rPr>
                <w:noProof/>
                <w:sz w:val="20"/>
              </w:rPr>
            </w:pPr>
            <w:r w:rsidRPr="00130899">
              <w:rPr>
                <w:noProof/>
                <w:sz w:val="20"/>
              </w:rPr>
              <w:t>0,016</w:t>
            </w:r>
          </w:p>
        </w:tc>
        <w:tc>
          <w:tcPr>
            <w:tcW w:w="761" w:type="pct"/>
            <w:tcBorders>
              <w:top w:val="single" w:sz="4" w:space="0" w:color="auto"/>
              <w:left w:val="single" w:sz="4" w:space="0" w:color="auto"/>
              <w:bottom w:val="single" w:sz="4" w:space="0" w:color="auto"/>
              <w:right w:val="single" w:sz="4" w:space="0" w:color="auto"/>
            </w:tcBorders>
            <w:vAlign w:val="center"/>
            <w:hideMark/>
          </w:tcPr>
          <w:p w14:paraId="2F24073C" w14:textId="77777777" w:rsidR="006918A0" w:rsidRPr="00130899" w:rsidRDefault="006918A0" w:rsidP="006918A0">
            <w:pPr>
              <w:spacing w:before="60" w:after="60" w:line="276" w:lineRule="auto"/>
              <w:jc w:val="center"/>
              <w:rPr>
                <w:b/>
                <w:noProof/>
                <w:sz w:val="20"/>
              </w:rPr>
            </w:pPr>
            <w:r w:rsidRPr="00130899">
              <w:rPr>
                <w:b/>
                <w:noProof/>
                <w:sz w:val="20"/>
              </w:rPr>
              <w:t>0,511</w:t>
            </w:r>
          </w:p>
        </w:tc>
      </w:tr>
      <w:tr w:rsidR="006918A0" w:rsidRPr="00130899" w14:paraId="35C4FFFC" w14:textId="77777777" w:rsidTr="000430BD">
        <w:trPr>
          <w:trHeight w:val="351"/>
        </w:trPr>
        <w:tc>
          <w:tcPr>
            <w:tcW w:w="2158" w:type="pct"/>
            <w:gridSpan w:val="3"/>
            <w:tcBorders>
              <w:top w:val="single" w:sz="4" w:space="0" w:color="auto"/>
              <w:left w:val="single" w:sz="4" w:space="0" w:color="auto"/>
              <w:bottom w:val="single" w:sz="4" w:space="0" w:color="auto"/>
              <w:right w:val="single" w:sz="4" w:space="0" w:color="auto"/>
            </w:tcBorders>
            <w:vAlign w:val="center"/>
            <w:hideMark/>
          </w:tcPr>
          <w:p w14:paraId="042B27A2" w14:textId="77777777" w:rsidR="006918A0" w:rsidRPr="00130899" w:rsidRDefault="006918A0" w:rsidP="006918A0">
            <w:pPr>
              <w:spacing w:before="20" w:after="20" w:line="276" w:lineRule="auto"/>
              <w:jc w:val="center"/>
              <w:rPr>
                <w:noProof/>
              </w:rPr>
            </w:pPr>
            <w:r w:rsidRPr="00130899">
              <w:rPr>
                <w:noProof/>
              </w:rPr>
              <w:sym w:font="Wingdings" w:char="F09F"/>
            </w:r>
            <w:r w:rsidRPr="00130899">
              <w:rPr>
                <w:noProof/>
              </w:rPr>
              <w:t> Други административни разходи</w:t>
            </w:r>
          </w:p>
        </w:tc>
        <w:tc>
          <w:tcPr>
            <w:tcW w:w="406" w:type="pct"/>
            <w:tcBorders>
              <w:top w:val="single" w:sz="4" w:space="0" w:color="auto"/>
              <w:left w:val="single" w:sz="4" w:space="0" w:color="auto"/>
              <w:bottom w:val="single" w:sz="4" w:space="0" w:color="auto"/>
              <w:right w:val="single" w:sz="4" w:space="0" w:color="auto"/>
            </w:tcBorders>
            <w:vAlign w:val="center"/>
            <w:hideMark/>
          </w:tcPr>
          <w:p w14:paraId="069C2E53" w14:textId="77777777" w:rsidR="006918A0" w:rsidRPr="00130899" w:rsidRDefault="006918A0" w:rsidP="006918A0">
            <w:pPr>
              <w:spacing w:before="20" w:after="20" w:line="276" w:lineRule="auto"/>
              <w:jc w:val="center"/>
              <w:rPr>
                <w:noProof/>
                <w:sz w:val="20"/>
              </w:rPr>
            </w:pPr>
            <w:r w:rsidRPr="00130899">
              <w:rPr>
                <w:noProof/>
                <w:sz w:val="20"/>
              </w:rPr>
              <w:t>0,004</w:t>
            </w:r>
          </w:p>
        </w:tc>
        <w:tc>
          <w:tcPr>
            <w:tcW w:w="457" w:type="pct"/>
            <w:tcBorders>
              <w:top w:val="single" w:sz="4" w:space="0" w:color="auto"/>
              <w:left w:val="single" w:sz="4" w:space="0" w:color="auto"/>
              <w:bottom w:val="single" w:sz="4" w:space="0" w:color="auto"/>
              <w:right w:val="single" w:sz="4" w:space="0" w:color="auto"/>
            </w:tcBorders>
            <w:vAlign w:val="center"/>
            <w:hideMark/>
          </w:tcPr>
          <w:p w14:paraId="30A9C9AB" w14:textId="77777777" w:rsidR="006918A0" w:rsidRPr="00130899" w:rsidRDefault="006918A0" w:rsidP="006918A0">
            <w:pPr>
              <w:spacing w:before="20" w:after="20" w:line="276" w:lineRule="auto"/>
              <w:jc w:val="center"/>
              <w:rPr>
                <w:noProof/>
                <w:sz w:val="20"/>
              </w:rPr>
            </w:pPr>
            <w:r w:rsidRPr="00130899">
              <w:rPr>
                <w:noProof/>
                <w:sz w:val="20"/>
              </w:rPr>
              <w:t>0,004</w:t>
            </w:r>
          </w:p>
        </w:tc>
        <w:tc>
          <w:tcPr>
            <w:tcW w:w="406" w:type="pct"/>
            <w:tcBorders>
              <w:top w:val="single" w:sz="4" w:space="0" w:color="auto"/>
              <w:left w:val="single" w:sz="4" w:space="0" w:color="auto"/>
              <w:bottom w:val="single" w:sz="4" w:space="0" w:color="auto"/>
              <w:right w:val="single" w:sz="4" w:space="0" w:color="auto"/>
            </w:tcBorders>
            <w:vAlign w:val="center"/>
            <w:hideMark/>
          </w:tcPr>
          <w:p w14:paraId="7CAA82B4" w14:textId="77777777" w:rsidR="006918A0" w:rsidRPr="00130899" w:rsidRDefault="006918A0" w:rsidP="006918A0">
            <w:pPr>
              <w:spacing w:before="20" w:after="20" w:line="276" w:lineRule="auto"/>
              <w:jc w:val="center"/>
              <w:rPr>
                <w:noProof/>
                <w:sz w:val="20"/>
              </w:rPr>
            </w:pPr>
            <w:r w:rsidRPr="00130899">
              <w:rPr>
                <w:noProof/>
                <w:sz w:val="20"/>
              </w:rPr>
              <w:t>0,002</w:t>
            </w:r>
          </w:p>
        </w:tc>
        <w:tc>
          <w:tcPr>
            <w:tcW w:w="397" w:type="pct"/>
            <w:tcBorders>
              <w:top w:val="single" w:sz="4" w:space="0" w:color="auto"/>
              <w:left w:val="single" w:sz="4" w:space="0" w:color="auto"/>
              <w:bottom w:val="single" w:sz="4" w:space="0" w:color="auto"/>
              <w:right w:val="single" w:sz="4" w:space="0" w:color="auto"/>
            </w:tcBorders>
            <w:vAlign w:val="center"/>
            <w:hideMark/>
          </w:tcPr>
          <w:p w14:paraId="34652E93" w14:textId="77777777" w:rsidR="006918A0" w:rsidRPr="00130899" w:rsidRDefault="006918A0" w:rsidP="006918A0">
            <w:pPr>
              <w:spacing w:before="20" w:after="20" w:line="276" w:lineRule="auto"/>
              <w:jc w:val="center"/>
              <w:rPr>
                <w:noProof/>
                <w:sz w:val="20"/>
              </w:rPr>
            </w:pPr>
            <w:r w:rsidRPr="00130899">
              <w:rPr>
                <w:noProof/>
                <w:sz w:val="20"/>
              </w:rPr>
              <w:t>0,002</w:t>
            </w:r>
          </w:p>
        </w:tc>
        <w:tc>
          <w:tcPr>
            <w:tcW w:w="416" w:type="pct"/>
            <w:tcBorders>
              <w:top w:val="single" w:sz="4" w:space="0" w:color="auto"/>
              <w:left w:val="single" w:sz="4" w:space="0" w:color="auto"/>
              <w:bottom w:val="single" w:sz="4" w:space="0" w:color="auto"/>
              <w:right w:val="single" w:sz="4" w:space="0" w:color="auto"/>
            </w:tcBorders>
            <w:vAlign w:val="center"/>
            <w:hideMark/>
          </w:tcPr>
          <w:p w14:paraId="28B8888F" w14:textId="77777777" w:rsidR="006918A0" w:rsidRPr="00130899" w:rsidRDefault="006918A0" w:rsidP="006918A0">
            <w:pPr>
              <w:spacing w:before="20" w:after="20" w:line="276" w:lineRule="auto"/>
              <w:jc w:val="center"/>
              <w:rPr>
                <w:noProof/>
                <w:sz w:val="20"/>
              </w:rPr>
            </w:pPr>
            <w:r w:rsidRPr="00130899">
              <w:rPr>
                <w:noProof/>
                <w:sz w:val="20"/>
              </w:rPr>
              <w:t>0,001</w:t>
            </w:r>
          </w:p>
        </w:tc>
        <w:tc>
          <w:tcPr>
            <w:tcW w:w="761" w:type="pct"/>
            <w:tcBorders>
              <w:top w:val="single" w:sz="4" w:space="0" w:color="auto"/>
              <w:left w:val="single" w:sz="4" w:space="0" w:color="auto"/>
              <w:bottom w:val="single" w:sz="4" w:space="0" w:color="auto"/>
              <w:right w:val="single" w:sz="4" w:space="0" w:color="auto"/>
            </w:tcBorders>
            <w:vAlign w:val="center"/>
            <w:hideMark/>
          </w:tcPr>
          <w:p w14:paraId="4A5B908B" w14:textId="77777777" w:rsidR="006918A0" w:rsidRPr="00130899" w:rsidRDefault="006918A0" w:rsidP="006918A0">
            <w:pPr>
              <w:spacing w:before="20" w:after="20" w:line="276" w:lineRule="auto"/>
              <w:jc w:val="center"/>
              <w:rPr>
                <w:b/>
                <w:noProof/>
                <w:sz w:val="20"/>
              </w:rPr>
            </w:pPr>
            <w:r w:rsidRPr="00130899">
              <w:rPr>
                <w:b/>
                <w:noProof/>
                <w:sz w:val="20"/>
              </w:rPr>
              <w:t>0,013</w:t>
            </w:r>
          </w:p>
        </w:tc>
      </w:tr>
      <w:tr w:rsidR="006918A0" w:rsidRPr="00130899" w14:paraId="4F672734" w14:textId="77777777" w:rsidTr="000430BD">
        <w:tc>
          <w:tcPr>
            <w:tcW w:w="1417" w:type="pct"/>
            <w:tcBorders>
              <w:top w:val="single" w:sz="4" w:space="0" w:color="auto"/>
              <w:left w:val="single" w:sz="4" w:space="0" w:color="auto"/>
              <w:bottom w:val="single" w:sz="4" w:space="0" w:color="auto"/>
              <w:right w:val="single" w:sz="4" w:space="0" w:color="auto"/>
            </w:tcBorders>
            <w:vAlign w:val="center"/>
            <w:hideMark/>
          </w:tcPr>
          <w:p w14:paraId="619D3811" w14:textId="77777777" w:rsidR="006918A0" w:rsidRPr="00130899" w:rsidRDefault="006918A0" w:rsidP="006918A0">
            <w:pPr>
              <w:spacing w:line="276" w:lineRule="auto"/>
              <w:jc w:val="center"/>
              <w:rPr>
                <w:b/>
                <w:noProof/>
              </w:rPr>
            </w:pPr>
            <w:r w:rsidRPr="00130899">
              <w:rPr>
                <w:b/>
                <w:noProof/>
              </w:rPr>
              <w:t>ОБЩО ГД „Данъчно облагане и митнически съюз“ (TAXUD)</w:t>
            </w:r>
          </w:p>
        </w:tc>
        <w:tc>
          <w:tcPr>
            <w:tcW w:w="741" w:type="pct"/>
            <w:gridSpan w:val="2"/>
            <w:tcBorders>
              <w:top w:val="single" w:sz="4" w:space="0" w:color="auto"/>
              <w:left w:val="single" w:sz="4" w:space="0" w:color="auto"/>
              <w:bottom w:val="single" w:sz="4" w:space="0" w:color="auto"/>
              <w:right w:val="single" w:sz="4" w:space="0" w:color="auto"/>
            </w:tcBorders>
            <w:vAlign w:val="center"/>
            <w:hideMark/>
          </w:tcPr>
          <w:p w14:paraId="677CD5FD" w14:textId="77777777" w:rsidR="006918A0" w:rsidRPr="00130899" w:rsidRDefault="006918A0" w:rsidP="006918A0">
            <w:pPr>
              <w:rPr>
                <w:b/>
                <w:noProof/>
              </w:rPr>
            </w:pPr>
          </w:p>
        </w:tc>
        <w:tc>
          <w:tcPr>
            <w:tcW w:w="406" w:type="pct"/>
            <w:tcBorders>
              <w:top w:val="single" w:sz="4" w:space="0" w:color="auto"/>
              <w:left w:val="single" w:sz="4" w:space="0" w:color="auto"/>
              <w:bottom w:val="single" w:sz="4" w:space="0" w:color="auto"/>
              <w:right w:val="single" w:sz="4" w:space="0" w:color="auto"/>
            </w:tcBorders>
            <w:vAlign w:val="center"/>
            <w:hideMark/>
          </w:tcPr>
          <w:p w14:paraId="3B2A47BE" w14:textId="77777777" w:rsidR="006918A0" w:rsidRPr="00130899" w:rsidRDefault="006918A0" w:rsidP="006918A0">
            <w:pPr>
              <w:spacing w:before="60" w:after="60" w:line="276" w:lineRule="auto"/>
              <w:jc w:val="center"/>
              <w:rPr>
                <w:noProof/>
                <w:sz w:val="20"/>
              </w:rPr>
            </w:pPr>
            <w:r w:rsidRPr="00130899">
              <w:rPr>
                <w:noProof/>
                <w:sz w:val="20"/>
              </w:rPr>
              <w:t>0,122</w:t>
            </w:r>
          </w:p>
        </w:tc>
        <w:tc>
          <w:tcPr>
            <w:tcW w:w="457" w:type="pct"/>
            <w:tcBorders>
              <w:top w:val="single" w:sz="4" w:space="0" w:color="auto"/>
              <w:left w:val="single" w:sz="4" w:space="0" w:color="auto"/>
              <w:bottom w:val="single" w:sz="4" w:space="0" w:color="auto"/>
              <w:right w:val="single" w:sz="4" w:space="0" w:color="auto"/>
            </w:tcBorders>
            <w:vAlign w:val="center"/>
            <w:hideMark/>
          </w:tcPr>
          <w:p w14:paraId="600F0F06" w14:textId="77777777" w:rsidR="006918A0" w:rsidRPr="00130899" w:rsidRDefault="006918A0" w:rsidP="006918A0">
            <w:pPr>
              <w:spacing w:before="20" w:after="20" w:line="276" w:lineRule="auto"/>
              <w:jc w:val="center"/>
              <w:rPr>
                <w:noProof/>
                <w:sz w:val="20"/>
              </w:rPr>
            </w:pPr>
            <w:r w:rsidRPr="00130899">
              <w:rPr>
                <w:noProof/>
                <w:sz w:val="20"/>
              </w:rPr>
              <w:t>0,161</w:t>
            </w:r>
          </w:p>
        </w:tc>
        <w:tc>
          <w:tcPr>
            <w:tcW w:w="406" w:type="pct"/>
            <w:tcBorders>
              <w:top w:val="single" w:sz="4" w:space="0" w:color="auto"/>
              <w:left w:val="single" w:sz="4" w:space="0" w:color="auto"/>
              <w:bottom w:val="single" w:sz="4" w:space="0" w:color="auto"/>
              <w:right w:val="single" w:sz="4" w:space="0" w:color="auto"/>
            </w:tcBorders>
            <w:vAlign w:val="center"/>
            <w:hideMark/>
          </w:tcPr>
          <w:p w14:paraId="3CC05290" w14:textId="77777777" w:rsidR="006918A0" w:rsidRPr="00130899" w:rsidRDefault="006918A0" w:rsidP="006918A0">
            <w:pPr>
              <w:spacing w:before="20" w:after="20" w:line="276" w:lineRule="auto"/>
              <w:jc w:val="center"/>
              <w:rPr>
                <w:noProof/>
                <w:sz w:val="20"/>
              </w:rPr>
            </w:pPr>
            <w:r w:rsidRPr="00130899">
              <w:rPr>
                <w:noProof/>
                <w:sz w:val="20"/>
              </w:rPr>
              <w:t>0,159</w:t>
            </w:r>
          </w:p>
        </w:tc>
        <w:tc>
          <w:tcPr>
            <w:tcW w:w="397" w:type="pct"/>
            <w:tcBorders>
              <w:top w:val="single" w:sz="4" w:space="0" w:color="auto"/>
              <w:left w:val="single" w:sz="4" w:space="0" w:color="auto"/>
              <w:bottom w:val="single" w:sz="4" w:space="0" w:color="auto"/>
              <w:right w:val="single" w:sz="4" w:space="0" w:color="auto"/>
            </w:tcBorders>
            <w:vAlign w:val="center"/>
            <w:hideMark/>
          </w:tcPr>
          <w:p w14:paraId="392C420B" w14:textId="77777777" w:rsidR="006918A0" w:rsidRPr="00130899" w:rsidRDefault="006918A0" w:rsidP="006918A0">
            <w:pPr>
              <w:spacing w:before="20" w:after="20" w:line="276" w:lineRule="auto"/>
              <w:jc w:val="center"/>
              <w:rPr>
                <w:noProof/>
                <w:sz w:val="20"/>
              </w:rPr>
            </w:pPr>
            <w:r w:rsidRPr="00130899">
              <w:rPr>
                <w:noProof/>
                <w:sz w:val="20"/>
              </w:rPr>
              <w:t>0,065</w:t>
            </w:r>
          </w:p>
        </w:tc>
        <w:tc>
          <w:tcPr>
            <w:tcW w:w="416" w:type="pct"/>
            <w:tcBorders>
              <w:top w:val="single" w:sz="4" w:space="0" w:color="auto"/>
              <w:left w:val="single" w:sz="4" w:space="0" w:color="auto"/>
              <w:bottom w:val="single" w:sz="4" w:space="0" w:color="auto"/>
              <w:right w:val="single" w:sz="4" w:space="0" w:color="auto"/>
            </w:tcBorders>
            <w:vAlign w:val="center"/>
            <w:hideMark/>
          </w:tcPr>
          <w:p w14:paraId="71EE70C4" w14:textId="77777777" w:rsidR="006918A0" w:rsidRPr="00130899" w:rsidRDefault="006918A0" w:rsidP="006918A0">
            <w:pPr>
              <w:spacing w:before="20" w:after="20" w:line="276" w:lineRule="auto"/>
              <w:jc w:val="center"/>
              <w:rPr>
                <w:noProof/>
                <w:sz w:val="20"/>
              </w:rPr>
            </w:pPr>
            <w:r w:rsidRPr="00130899">
              <w:rPr>
                <w:noProof/>
                <w:sz w:val="20"/>
              </w:rPr>
              <w:t>0,017</w:t>
            </w:r>
          </w:p>
        </w:tc>
        <w:tc>
          <w:tcPr>
            <w:tcW w:w="761" w:type="pct"/>
            <w:tcBorders>
              <w:top w:val="single" w:sz="4" w:space="0" w:color="auto"/>
              <w:left w:val="single" w:sz="4" w:space="0" w:color="auto"/>
              <w:bottom w:val="single" w:sz="4" w:space="0" w:color="auto"/>
              <w:right w:val="single" w:sz="4" w:space="0" w:color="auto"/>
            </w:tcBorders>
            <w:vAlign w:val="center"/>
            <w:hideMark/>
          </w:tcPr>
          <w:p w14:paraId="63690810" w14:textId="77777777" w:rsidR="006918A0" w:rsidRPr="00130899" w:rsidRDefault="006918A0" w:rsidP="006918A0">
            <w:pPr>
              <w:spacing w:before="20" w:after="20" w:line="276" w:lineRule="auto"/>
              <w:jc w:val="center"/>
              <w:rPr>
                <w:b/>
                <w:noProof/>
                <w:sz w:val="20"/>
              </w:rPr>
            </w:pPr>
            <w:r w:rsidRPr="00130899">
              <w:rPr>
                <w:b/>
                <w:noProof/>
                <w:sz w:val="20"/>
              </w:rPr>
              <w:t>0,524</w:t>
            </w:r>
          </w:p>
        </w:tc>
      </w:tr>
      <w:bookmarkEnd w:id="19"/>
    </w:tbl>
    <w:p w14:paraId="4357C41E" w14:textId="77777777" w:rsidR="006918A0" w:rsidRPr="00130899" w:rsidRDefault="006918A0" w:rsidP="006918A0">
      <w:pPr>
        <w:jc w:val="center"/>
        <w:rPr>
          <w:noProof/>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2409"/>
        <w:gridCol w:w="1303"/>
        <w:gridCol w:w="1112"/>
        <w:gridCol w:w="1362"/>
        <w:gridCol w:w="1015"/>
        <w:gridCol w:w="1138"/>
        <w:gridCol w:w="2087"/>
      </w:tblGrid>
      <w:tr w:rsidR="006918A0" w:rsidRPr="00130899" w14:paraId="598A144C" w14:textId="77777777" w:rsidTr="000430BD">
        <w:tc>
          <w:tcPr>
            <w:tcW w:w="1334" w:type="pct"/>
            <w:tcBorders>
              <w:top w:val="single" w:sz="4" w:space="0" w:color="auto"/>
              <w:left w:val="single" w:sz="4" w:space="0" w:color="auto"/>
              <w:bottom w:val="single" w:sz="4" w:space="0" w:color="auto"/>
              <w:right w:val="single" w:sz="4" w:space="0" w:color="auto"/>
            </w:tcBorders>
            <w:shd w:val="thinDiagStripe" w:color="C0C0C0" w:fill="auto"/>
            <w:vAlign w:val="center"/>
            <w:hideMark/>
          </w:tcPr>
          <w:p w14:paraId="190B7EA7" w14:textId="77777777" w:rsidR="006918A0" w:rsidRPr="00130899" w:rsidRDefault="006918A0" w:rsidP="006918A0">
            <w:pPr>
              <w:spacing w:line="276" w:lineRule="auto"/>
              <w:jc w:val="center"/>
              <w:rPr>
                <w:b/>
                <w:noProof/>
              </w:rPr>
            </w:pPr>
            <w:r w:rsidRPr="00130899">
              <w:rPr>
                <w:b/>
                <w:noProof/>
              </w:rPr>
              <w:t>ОБЩО бюджетни кредити</w:t>
            </w:r>
            <w:r w:rsidRPr="00130899">
              <w:rPr>
                <w:noProof/>
              </w:rPr>
              <w:t xml:space="preserve"> </w:t>
            </w:r>
            <w:r w:rsidRPr="00130899">
              <w:rPr>
                <w:noProof/>
              </w:rPr>
              <w:cr/>
            </w:r>
            <w:r w:rsidRPr="00130899">
              <w:rPr>
                <w:noProof/>
              </w:rPr>
              <w:br/>
            </w:r>
            <w:r w:rsidRPr="00130899">
              <w:rPr>
                <w:b/>
                <w:noProof/>
              </w:rPr>
              <w:t>по ФУНКЦИЯ 7</w:t>
            </w:r>
            <w:r w:rsidRPr="00130899">
              <w:rPr>
                <w:noProof/>
              </w:rPr>
              <w:t xml:space="preserve"> </w:t>
            </w:r>
            <w:r w:rsidRPr="00130899">
              <w:rPr>
                <w:noProof/>
              </w:rPr>
              <w:cr/>
            </w:r>
            <w:r w:rsidRPr="00130899">
              <w:rPr>
                <w:noProof/>
              </w:rPr>
              <w:br/>
              <w:t>от многогодишната финансова рамка</w:t>
            </w:r>
          </w:p>
        </w:tc>
        <w:tc>
          <w:tcPr>
            <w:tcW w:w="847" w:type="pct"/>
            <w:tcBorders>
              <w:top w:val="single" w:sz="4" w:space="0" w:color="auto"/>
              <w:left w:val="single" w:sz="4" w:space="0" w:color="auto"/>
              <w:bottom w:val="single" w:sz="4" w:space="0" w:color="auto"/>
              <w:right w:val="single" w:sz="4" w:space="0" w:color="auto"/>
            </w:tcBorders>
            <w:vAlign w:val="center"/>
            <w:hideMark/>
          </w:tcPr>
          <w:p w14:paraId="690698A5" w14:textId="77777777" w:rsidR="006918A0" w:rsidRPr="00130899" w:rsidRDefault="006918A0" w:rsidP="006918A0">
            <w:pPr>
              <w:spacing w:before="40" w:after="40" w:line="276" w:lineRule="auto"/>
              <w:jc w:val="center"/>
              <w:rPr>
                <w:noProof/>
              </w:rPr>
            </w:pPr>
            <w:r w:rsidRPr="00130899">
              <w:rPr>
                <w:noProof/>
                <w:sz w:val="18"/>
              </w:rPr>
              <w:t>(Общо поети задължения = Общо плащания)</w:t>
            </w:r>
          </w:p>
        </w:tc>
        <w:tc>
          <w:tcPr>
            <w:tcW w:w="458" w:type="pct"/>
            <w:tcBorders>
              <w:top w:val="single" w:sz="4" w:space="0" w:color="auto"/>
              <w:left w:val="single" w:sz="4" w:space="0" w:color="auto"/>
              <w:bottom w:val="single" w:sz="4" w:space="0" w:color="auto"/>
              <w:right w:val="single" w:sz="4" w:space="0" w:color="auto"/>
            </w:tcBorders>
            <w:vAlign w:val="center"/>
            <w:hideMark/>
          </w:tcPr>
          <w:p w14:paraId="3D1AD2D3" w14:textId="77777777" w:rsidR="006918A0" w:rsidRPr="00130899" w:rsidRDefault="006918A0" w:rsidP="006918A0">
            <w:pPr>
              <w:spacing w:before="20" w:after="20" w:line="276" w:lineRule="auto"/>
              <w:jc w:val="center"/>
              <w:rPr>
                <w:noProof/>
              </w:rPr>
            </w:pPr>
            <w:r w:rsidRPr="00130899">
              <w:rPr>
                <w:noProof/>
                <w:sz w:val="20"/>
              </w:rPr>
              <w:t>0,122</w:t>
            </w:r>
          </w:p>
        </w:tc>
        <w:tc>
          <w:tcPr>
            <w:tcW w:w="391" w:type="pct"/>
            <w:tcBorders>
              <w:top w:val="single" w:sz="4" w:space="0" w:color="auto"/>
              <w:left w:val="single" w:sz="4" w:space="0" w:color="auto"/>
              <w:bottom w:val="single" w:sz="4" w:space="0" w:color="auto"/>
              <w:right w:val="single" w:sz="4" w:space="0" w:color="auto"/>
            </w:tcBorders>
            <w:vAlign w:val="center"/>
            <w:hideMark/>
          </w:tcPr>
          <w:p w14:paraId="4916BD2C" w14:textId="77777777" w:rsidR="006918A0" w:rsidRPr="00130899" w:rsidRDefault="006918A0" w:rsidP="006918A0">
            <w:pPr>
              <w:spacing w:before="20" w:after="20" w:line="276" w:lineRule="auto"/>
              <w:jc w:val="center"/>
              <w:rPr>
                <w:noProof/>
              </w:rPr>
            </w:pPr>
            <w:r w:rsidRPr="00130899">
              <w:rPr>
                <w:noProof/>
                <w:sz w:val="20"/>
              </w:rPr>
              <w:t>0,161</w:t>
            </w:r>
          </w:p>
        </w:tc>
        <w:tc>
          <w:tcPr>
            <w:tcW w:w="479" w:type="pct"/>
            <w:tcBorders>
              <w:top w:val="single" w:sz="4" w:space="0" w:color="auto"/>
              <w:left w:val="single" w:sz="4" w:space="0" w:color="auto"/>
              <w:bottom w:val="single" w:sz="4" w:space="0" w:color="auto"/>
              <w:right w:val="single" w:sz="4" w:space="0" w:color="auto"/>
            </w:tcBorders>
            <w:vAlign w:val="center"/>
            <w:hideMark/>
          </w:tcPr>
          <w:p w14:paraId="086416A2" w14:textId="77777777" w:rsidR="006918A0" w:rsidRPr="00130899" w:rsidRDefault="006918A0" w:rsidP="006918A0">
            <w:pPr>
              <w:spacing w:before="20" w:after="20" w:line="276" w:lineRule="auto"/>
              <w:jc w:val="center"/>
              <w:rPr>
                <w:noProof/>
              </w:rPr>
            </w:pPr>
            <w:r w:rsidRPr="00130899">
              <w:rPr>
                <w:noProof/>
                <w:sz w:val="20"/>
              </w:rPr>
              <w:t>0,159</w:t>
            </w:r>
          </w:p>
        </w:tc>
        <w:tc>
          <w:tcPr>
            <w:tcW w:w="357" w:type="pct"/>
            <w:tcBorders>
              <w:top w:val="single" w:sz="4" w:space="0" w:color="auto"/>
              <w:left w:val="single" w:sz="4" w:space="0" w:color="auto"/>
              <w:bottom w:val="single" w:sz="4" w:space="0" w:color="auto"/>
              <w:right w:val="single" w:sz="4" w:space="0" w:color="auto"/>
            </w:tcBorders>
            <w:vAlign w:val="center"/>
            <w:hideMark/>
          </w:tcPr>
          <w:p w14:paraId="02C4E992" w14:textId="77777777" w:rsidR="006918A0" w:rsidRPr="00130899" w:rsidRDefault="006918A0" w:rsidP="006918A0">
            <w:pPr>
              <w:spacing w:before="20" w:after="20" w:line="276" w:lineRule="auto"/>
              <w:jc w:val="center"/>
              <w:rPr>
                <w:noProof/>
              </w:rPr>
            </w:pPr>
            <w:r w:rsidRPr="00130899">
              <w:rPr>
                <w:noProof/>
                <w:sz w:val="20"/>
              </w:rPr>
              <w:t>0,065</w:t>
            </w:r>
          </w:p>
        </w:tc>
        <w:tc>
          <w:tcPr>
            <w:tcW w:w="400" w:type="pct"/>
            <w:tcBorders>
              <w:top w:val="single" w:sz="4" w:space="0" w:color="auto"/>
              <w:left w:val="single" w:sz="4" w:space="0" w:color="auto"/>
              <w:bottom w:val="single" w:sz="4" w:space="0" w:color="auto"/>
              <w:right w:val="single" w:sz="4" w:space="0" w:color="auto"/>
            </w:tcBorders>
            <w:vAlign w:val="center"/>
            <w:hideMark/>
          </w:tcPr>
          <w:p w14:paraId="574139AA" w14:textId="77777777" w:rsidR="006918A0" w:rsidRPr="00130899" w:rsidRDefault="006918A0" w:rsidP="006918A0">
            <w:pPr>
              <w:spacing w:before="20" w:after="20" w:line="276" w:lineRule="auto"/>
              <w:jc w:val="center"/>
              <w:rPr>
                <w:noProof/>
              </w:rPr>
            </w:pPr>
            <w:r w:rsidRPr="00130899">
              <w:rPr>
                <w:noProof/>
                <w:sz w:val="20"/>
              </w:rPr>
              <w:t>0,017</w:t>
            </w:r>
          </w:p>
        </w:tc>
        <w:tc>
          <w:tcPr>
            <w:tcW w:w="735" w:type="pct"/>
            <w:tcBorders>
              <w:top w:val="single" w:sz="4" w:space="0" w:color="auto"/>
              <w:left w:val="single" w:sz="4" w:space="0" w:color="auto"/>
              <w:bottom w:val="single" w:sz="4" w:space="0" w:color="auto"/>
              <w:right w:val="single" w:sz="4" w:space="0" w:color="auto"/>
            </w:tcBorders>
            <w:vAlign w:val="center"/>
            <w:hideMark/>
          </w:tcPr>
          <w:p w14:paraId="7C4E0E5E" w14:textId="77777777" w:rsidR="006918A0" w:rsidRPr="00130899" w:rsidRDefault="006918A0" w:rsidP="006918A0">
            <w:pPr>
              <w:spacing w:before="20" w:after="20" w:line="276" w:lineRule="auto"/>
              <w:jc w:val="center"/>
              <w:rPr>
                <w:b/>
                <w:noProof/>
              </w:rPr>
            </w:pPr>
            <w:r w:rsidRPr="00130899">
              <w:rPr>
                <w:b/>
                <w:noProof/>
                <w:sz w:val="20"/>
              </w:rPr>
              <w:t>0,524</w:t>
            </w:r>
          </w:p>
        </w:tc>
      </w:tr>
    </w:tbl>
    <w:p w14:paraId="21399408" w14:textId="77777777" w:rsidR="006918A0" w:rsidRPr="00130899" w:rsidRDefault="006918A0" w:rsidP="006918A0">
      <w:pPr>
        <w:jc w:val="right"/>
        <w:rPr>
          <w:noProof/>
          <w:sz w:val="20"/>
        </w:rPr>
      </w:pPr>
      <w:r w:rsidRPr="00130899">
        <w:rPr>
          <w:noProof/>
          <w:sz w:val="20"/>
        </w:rPr>
        <w:t>млн. евро (до 3-тия знак след десетичната запетая)</w:t>
      </w:r>
    </w:p>
    <w:tbl>
      <w:tblPr>
        <w:tblW w:w="5089"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
        <w:gridCol w:w="3709"/>
        <w:gridCol w:w="324"/>
        <w:gridCol w:w="1236"/>
        <w:gridCol w:w="350"/>
        <w:gridCol w:w="182"/>
        <w:gridCol w:w="365"/>
        <w:gridCol w:w="504"/>
        <w:gridCol w:w="625"/>
        <w:gridCol w:w="243"/>
        <w:gridCol w:w="868"/>
        <w:gridCol w:w="188"/>
        <w:gridCol w:w="680"/>
        <w:gridCol w:w="475"/>
        <w:gridCol w:w="394"/>
        <w:gridCol w:w="761"/>
        <w:gridCol w:w="107"/>
        <w:gridCol w:w="868"/>
        <w:gridCol w:w="179"/>
        <w:gridCol w:w="1598"/>
        <w:gridCol w:w="564"/>
      </w:tblGrid>
      <w:tr w:rsidR="00750F4B" w:rsidRPr="00130899" w14:paraId="54B62E77" w14:textId="77777777" w:rsidTr="000430BD">
        <w:trPr>
          <w:gridBefore w:val="1"/>
          <w:wBefore w:w="87" w:type="pct"/>
        </w:trPr>
        <w:tc>
          <w:tcPr>
            <w:tcW w:w="1393" w:type="pct"/>
            <w:gridSpan w:val="2"/>
            <w:tcBorders>
              <w:top w:val="nil"/>
              <w:left w:val="nil"/>
              <w:bottom w:val="single" w:sz="4" w:space="0" w:color="auto"/>
              <w:right w:val="nil"/>
            </w:tcBorders>
            <w:vAlign w:val="center"/>
          </w:tcPr>
          <w:p w14:paraId="38F0CA61" w14:textId="77777777" w:rsidR="006918A0" w:rsidRPr="00130899" w:rsidRDefault="006918A0" w:rsidP="006918A0">
            <w:pPr>
              <w:spacing w:line="276" w:lineRule="auto"/>
              <w:jc w:val="center"/>
              <w:rPr>
                <w:noProof/>
              </w:rPr>
            </w:pPr>
          </w:p>
        </w:tc>
        <w:tc>
          <w:tcPr>
            <w:tcW w:w="548" w:type="pct"/>
            <w:gridSpan w:val="2"/>
            <w:tcBorders>
              <w:top w:val="nil"/>
              <w:left w:val="nil"/>
              <w:bottom w:val="single" w:sz="4" w:space="0" w:color="auto"/>
              <w:right w:val="nil"/>
            </w:tcBorders>
          </w:tcPr>
          <w:p w14:paraId="0890AC0E" w14:textId="77777777" w:rsidR="006918A0" w:rsidRPr="00130899" w:rsidRDefault="006918A0" w:rsidP="006918A0">
            <w:pPr>
              <w:spacing w:line="276" w:lineRule="auto"/>
              <w:jc w:val="center"/>
              <w:rPr>
                <w:noProof/>
              </w:rPr>
            </w:pPr>
          </w:p>
        </w:tc>
        <w:tc>
          <w:tcPr>
            <w:tcW w:w="189" w:type="pct"/>
            <w:gridSpan w:val="2"/>
            <w:tcBorders>
              <w:top w:val="nil"/>
              <w:left w:val="nil"/>
              <w:bottom w:val="single" w:sz="4" w:space="0" w:color="auto"/>
              <w:right w:val="single" w:sz="4" w:space="0" w:color="auto"/>
            </w:tcBorders>
          </w:tcPr>
          <w:p w14:paraId="31254D22" w14:textId="77777777" w:rsidR="006918A0" w:rsidRPr="00130899" w:rsidRDefault="006918A0" w:rsidP="006918A0">
            <w:pPr>
              <w:spacing w:line="276" w:lineRule="auto"/>
              <w:jc w:val="center"/>
              <w:rPr>
                <w:noProof/>
              </w:rPr>
            </w:pPr>
          </w:p>
        </w:tc>
        <w:tc>
          <w:tcPr>
            <w:tcW w:w="390" w:type="pct"/>
            <w:gridSpan w:val="2"/>
            <w:tcBorders>
              <w:top w:val="single" w:sz="4" w:space="0" w:color="auto"/>
              <w:left w:val="single" w:sz="4" w:space="0" w:color="auto"/>
              <w:bottom w:val="single" w:sz="4" w:space="0" w:color="auto"/>
              <w:right w:val="single" w:sz="4" w:space="0" w:color="auto"/>
            </w:tcBorders>
            <w:vAlign w:val="center"/>
            <w:hideMark/>
          </w:tcPr>
          <w:p w14:paraId="7F0CE618" w14:textId="77777777" w:rsidR="006918A0" w:rsidRPr="00130899" w:rsidRDefault="006918A0" w:rsidP="006918A0">
            <w:pPr>
              <w:spacing w:line="276" w:lineRule="auto"/>
              <w:jc w:val="center"/>
              <w:rPr>
                <w:noProof/>
              </w:rPr>
            </w:pPr>
            <w:r w:rsidRPr="00130899">
              <w:rPr>
                <w:noProof/>
              </w:rPr>
              <w:t>2023 г.</w:t>
            </w:r>
          </w:p>
        </w:tc>
        <w:tc>
          <w:tcPr>
            <w:tcW w:w="449" w:type="pct"/>
            <w:gridSpan w:val="3"/>
            <w:tcBorders>
              <w:top w:val="single" w:sz="4" w:space="0" w:color="auto"/>
              <w:left w:val="single" w:sz="4" w:space="0" w:color="auto"/>
              <w:bottom w:val="single" w:sz="4" w:space="0" w:color="auto"/>
              <w:right w:val="single" w:sz="4" w:space="0" w:color="auto"/>
            </w:tcBorders>
            <w:vAlign w:val="center"/>
            <w:hideMark/>
          </w:tcPr>
          <w:p w14:paraId="2CE41145" w14:textId="77777777" w:rsidR="006918A0" w:rsidRPr="00130899" w:rsidRDefault="006918A0" w:rsidP="006918A0">
            <w:pPr>
              <w:spacing w:line="276" w:lineRule="auto"/>
              <w:jc w:val="center"/>
              <w:rPr>
                <w:noProof/>
              </w:rPr>
            </w:pPr>
            <w:r w:rsidRPr="00130899">
              <w:rPr>
                <w:noProof/>
              </w:rPr>
              <w:t>2024 г.</w:t>
            </w:r>
          </w:p>
        </w:tc>
        <w:tc>
          <w:tcPr>
            <w:tcW w:w="399" w:type="pct"/>
            <w:gridSpan w:val="2"/>
            <w:tcBorders>
              <w:top w:val="single" w:sz="4" w:space="0" w:color="auto"/>
              <w:left w:val="single" w:sz="4" w:space="0" w:color="auto"/>
              <w:bottom w:val="single" w:sz="4" w:space="0" w:color="auto"/>
              <w:right w:val="single" w:sz="4" w:space="0" w:color="auto"/>
            </w:tcBorders>
            <w:vAlign w:val="center"/>
            <w:hideMark/>
          </w:tcPr>
          <w:p w14:paraId="447742EE" w14:textId="77777777" w:rsidR="006918A0" w:rsidRPr="00130899" w:rsidRDefault="006918A0" w:rsidP="006918A0">
            <w:pPr>
              <w:spacing w:line="276" w:lineRule="auto"/>
              <w:jc w:val="center"/>
              <w:rPr>
                <w:noProof/>
              </w:rPr>
            </w:pPr>
            <w:r w:rsidRPr="00130899">
              <w:rPr>
                <w:noProof/>
              </w:rPr>
              <w:t>2025 г.</w:t>
            </w:r>
          </w:p>
        </w:tc>
        <w:tc>
          <w:tcPr>
            <w:tcW w:w="399" w:type="pct"/>
            <w:gridSpan w:val="2"/>
            <w:tcBorders>
              <w:top w:val="single" w:sz="4" w:space="0" w:color="auto"/>
              <w:left w:val="single" w:sz="4" w:space="0" w:color="auto"/>
              <w:bottom w:val="single" w:sz="4" w:space="0" w:color="auto"/>
              <w:right w:val="single" w:sz="4" w:space="0" w:color="auto"/>
            </w:tcBorders>
            <w:vAlign w:val="center"/>
            <w:hideMark/>
          </w:tcPr>
          <w:p w14:paraId="2E4F8D83" w14:textId="77777777" w:rsidR="006918A0" w:rsidRPr="00130899" w:rsidRDefault="006918A0" w:rsidP="006918A0">
            <w:pPr>
              <w:spacing w:line="276" w:lineRule="auto"/>
              <w:jc w:val="center"/>
              <w:rPr>
                <w:noProof/>
              </w:rPr>
            </w:pPr>
            <w:r w:rsidRPr="00130899">
              <w:rPr>
                <w:noProof/>
              </w:rPr>
              <w:t>2026 г.</w:t>
            </w:r>
          </w:p>
        </w:tc>
        <w:tc>
          <w:tcPr>
            <w:tcW w:w="399" w:type="pct"/>
            <w:gridSpan w:val="3"/>
            <w:tcBorders>
              <w:top w:val="single" w:sz="4" w:space="0" w:color="auto"/>
              <w:left w:val="single" w:sz="4" w:space="0" w:color="auto"/>
              <w:bottom w:val="single" w:sz="4" w:space="0" w:color="auto"/>
              <w:right w:val="single" w:sz="4" w:space="0" w:color="auto"/>
            </w:tcBorders>
            <w:vAlign w:val="center"/>
            <w:hideMark/>
          </w:tcPr>
          <w:p w14:paraId="3CF4A764" w14:textId="77777777" w:rsidR="006918A0" w:rsidRPr="00130899" w:rsidRDefault="006918A0" w:rsidP="006918A0">
            <w:pPr>
              <w:spacing w:line="276" w:lineRule="auto"/>
              <w:jc w:val="center"/>
              <w:rPr>
                <w:b/>
                <w:noProof/>
                <w:sz w:val="18"/>
              </w:rPr>
            </w:pPr>
            <w:r w:rsidRPr="00130899">
              <w:rPr>
                <w:noProof/>
              </w:rPr>
              <w:t>2027 г.</w:t>
            </w:r>
          </w:p>
        </w:tc>
        <w:tc>
          <w:tcPr>
            <w:tcW w:w="747" w:type="pct"/>
            <w:gridSpan w:val="2"/>
            <w:tcBorders>
              <w:top w:val="single" w:sz="4" w:space="0" w:color="auto"/>
              <w:left w:val="single" w:sz="4" w:space="0" w:color="auto"/>
              <w:bottom w:val="single" w:sz="4" w:space="0" w:color="auto"/>
              <w:right w:val="single" w:sz="4" w:space="0" w:color="auto"/>
            </w:tcBorders>
            <w:vAlign w:val="center"/>
            <w:hideMark/>
          </w:tcPr>
          <w:p w14:paraId="10C68824" w14:textId="77777777" w:rsidR="006918A0" w:rsidRPr="00130899" w:rsidRDefault="006918A0" w:rsidP="006918A0">
            <w:pPr>
              <w:spacing w:line="276" w:lineRule="auto"/>
              <w:jc w:val="center"/>
              <w:rPr>
                <w:b/>
                <w:noProof/>
              </w:rPr>
            </w:pPr>
            <w:r w:rsidRPr="00130899">
              <w:rPr>
                <w:b/>
                <w:noProof/>
              </w:rPr>
              <w:t>ОБЩО</w:t>
            </w:r>
          </w:p>
          <w:p w14:paraId="2B617444" w14:textId="77777777" w:rsidR="006918A0" w:rsidRPr="00130899" w:rsidRDefault="006918A0" w:rsidP="006918A0">
            <w:pPr>
              <w:spacing w:line="276" w:lineRule="auto"/>
              <w:jc w:val="center"/>
              <w:rPr>
                <w:b/>
                <w:noProof/>
              </w:rPr>
            </w:pPr>
            <w:r w:rsidRPr="00130899">
              <w:rPr>
                <w:b/>
                <w:noProof/>
              </w:rPr>
              <w:t>МФР за 2021—2027 г.</w:t>
            </w:r>
          </w:p>
        </w:tc>
      </w:tr>
      <w:tr w:rsidR="00555CA4" w:rsidRPr="00130899" w14:paraId="6E15A9F1" w14:textId="77777777" w:rsidTr="000430BD">
        <w:trPr>
          <w:gridBefore w:val="1"/>
          <w:wBefore w:w="87" w:type="pct"/>
        </w:trPr>
        <w:tc>
          <w:tcPr>
            <w:tcW w:w="1393" w:type="pct"/>
            <w:gridSpan w:val="2"/>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6C217C4B" w14:textId="77777777" w:rsidR="006918A0" w:rsidRPr="00130899" w:rsidRDefault="006918A0" w:rsidP="006918A0">
            <w:pPr>
              <w:spacing w:line="276" w:lineRule="auto"/>
              <w:jc w:val="center"/>
              <w:rPr>
                <w:b/>
                <w:noProof/>
              </w:rPr>
            </w:pPr>
            <w:r w:rsidRPr="00130899">
              <w:rPr>
                <w:b/>
                <w:noProof/>
              </w:rPr>
              <w:t xml:space="preserve">ОБЩО бюджетни кредити </w:t>
            </w:r>
            <w:r w:rsidRPr="00130899">
              <w:rPr>
                <w:noProof/>
              </w:rPr>
              <w:t xml:space="preserve"> </w:t>
            </w:r>
            <w:r w:rsidRPr="00130899">
              <w:rPr>
                <w:noProof/>
              </w:rPr>
              <w:cr/>
            </w:r>
            <w:r w:rsidRPr="00130899">
              <w:rPr>
                <w:noProof/>
              </w:rPr>
              <w:br/>
            </w:r>
            <w:r w:rsidRPr="00130899">
              <w:rPr>
                <w:b/>
                <w:noProof/>
              </w:rPr>
              <w:t>за ФУНКЦИИ 1—7</w:t>
            </w:r>
            <w:r w:rsidRPr="00130899">
              <w:rPr>
                <w:noProof/>
              </w:rPr>
              <w:t xml:space="preserve"> </w:t>
            </w:r>
            <w:r w:rsidRPr="00130899">
              <w:rPr>
                <w:noProof/>
              </w:rPr>
              <w:cr/>
            </w:r>
            <w:r w:rsidRPr="00130899">
              <w:rPr>
                <w:noProof/>
              </w:rPr>
              <w:br/>
              <w:t>от многогодишната финансова рамка</w:t>
            </w:r>
          </w:p>
        </w:tc>
        <w:tc>
          <w:tcPr>
            <w:tcW w:w="737" w:type="pct"/>
            <w:gridSpan w:val="4"/>
            <w:tcBorders>
              <w:top w:val="single" w:sz="4" w:space="0" w:color="auto"/>
              <w:left w:val="single" w:sz="4" w:space="0" w:color="auto"/>
              <w:bottom w:val="single" w:sz="4" w:space="0" w:color="auto"/>
              <w:right w:val="single" w:sz="4" w:space="0" w:color="auto"/>
            </w:tcBorders>
            <w:vAlign w:val="center"/>
            <w:hideMark/>
          </w:tcPr>
          <w:p w14:paraId="5BAA4D1E" w14:textId="77777777" w:rsidR="006918A0" w:rsidRPr="00130899" w:rsidRDefault="006918A0" w:rsidP="006918A0">
            <w:pPr>
              <w:spacing w:line="276" w:lineRule="auto"/>
              <w:jc w:val="center"/>
              <w:rPr>
                <w:noProof/>
                <w:sz w:val="14"/>
              </w:rPr>
            </w:pPr>
            <w:r w:rsidRPr="00130899">
              <w:rPr>
                <w:noProof/>
                <w:sz w:val="18"/>
              </w:rPr>
              <w:t>Поети задължения</w:t>
            </w:r>
          </w:p>
        </w:tc>
        <w:tc>
          <w:tcPr>
            <w:tcW w:w="390" w:type="pct"/>
            <w:gridSpan w:val="2"/>
            <w:tcBorders>
              <w:top w:val="single" w:sz="4" w:space="0" w:color="auto"/>
              <w:left w:val="single" w:sz="4" w:space="0" w:color="auto"/>
              <w:bottom w:val="single" w:sz="4" w:space="0" w:color="auto"/>
              <w:right w:val="single" w:sz="4" w:space="0" w:color="auto"/>
            </w:tcBorders>
            <w:vAlign w:val="center"/>
            <w:hideMark/>
          </w:tcPr>
          <w:p w14:paraId="2F5D6C1D" w14:textId="77777777" w:rsidR="006918A0" w:rsidRPr="00130899" w:rsidRDefault="006918A0" w:rsidP="006918A0">
            <w:pPr>
              <w:spacing w:before="60" w:after="60" w:line="276" w:lineRule="auto"/>
              <w:jc w:val="center"/>
              <w:rPr>
                <w:b/>
                <w:noProof/>
              </w:rPr>
            </w:pPr>
            <w:r w:rsidRPr="00130899">
              <w:rPr>
                <w:noProof/>
                <w:sz w:val="20"/>
              </w:rPr>
              <w:t>0,272</w:t>
            </w:r>
          </w:p>
        </w:tc>
        <w:tc>
          <w:tcPr>
            <w:tcW w:w="449" w:type="pct"/>
            <w:gridSpan w:val="3"/>
            <w:tcBorders>
              <w:top w:val="single" w:sz="4" w:space="0" w:color="auto"/>
              <w:left w:val="single" w:sz="4" w:space="0" w:color="auto"/>
              <w:bottom w:val="single" w:sz="4" w:space="0" w:color="auto"/>
              <w:right w:val="single" w:sz="4" w:space="0" w:color="auto"/>
            </w:tcBorders>
            <w:vAlign w:val="center"/>
            <w:hideMark/>
          </w:tcPr>
          <w:p w14:paraId="2E0963D0" w14:textId="77777777" w:rsidR="006918A0" w:rsidRPr="00130899" w:rsidRDefault="006918A0" w:rsidP="006918A0">
            <w:pPr>
              <w:spacing w:before="60" w:after="60" w:line="276" w:lineRule="auto"/>
              <w:jc w:val="center"/>
              <w:rPr>
                <w:b/>
                <w:noProof/>
              </w:rPr>
            </w:pPr>
            <w:r w:rsidRPr="00130899">
              <w:rPr>
                <w:noProof/>
                <w:sz w:val="20"/>
              </w:rPr>
              <w:t>0,561</w:t>
            </w:r>
          </w:p>
        </w:tc>
        <w:tc>
          <w:tcPr>
            <w:tcW w:w="399" w:type="pct"/>
            <w:gridSpan w:val="2"/>
            <w:tcBorders>
              <w:top w:val="single" w:sz="4" w:space="0" w:color="auto"/>
              <w:left w:val="single" w:sz="4" w:space="0" w:color="auto"/>
              <w:bottom w:val="single" w:sz="4" w:space="0" w:color="auto"/>
              <w:right w:val="single" w:sz="4" w:space="0" w:color="auto"/>
            </w:tcBorders>
            <w:vAlign w:val="center"/>
            <w:hideMark/>
          </w:tcPr>
          <w:p w14:paraId="3946DCC8" w14:textId="77777777" w:rsidR="006918A0" w:rsidRPr="00130899" w:rsidRDefault="006918A0" w:rsidP="006918A0">
            <w:pPr>
              <w:spacing w:line="276" w:lineRule="auto"/>
              <w:jc w:val="center"/>
              <w:rPr>
                <w:b/>
                <w:noProof/>
              </w:rPr>
            </w:pPr>
            <w:r w:rsidRPr="00130899">
              <w:rPr>
                <w:noProof/>
                <w:sz w:val="20"/>
              </w:rPr>
              <w:t>0,359</w:t>
            </w:r>
          </w:p>
        </w:tc>
        <w:tc>
          <w:tcPr>
            <w:tcW w:w="399" w:type="pct"/>
            <w:gridSpan w:val="2"/>
            <w:tcBorders>
              <w:top w:val="single" w:sz="4" w:space="0" w:color="auto"/>
              <w:left w:val="single" w:sz="4" w:space="0" w:color="auto"/>
              <w:bottom w:val="single" w:sz="4" w:space="0" w:color="auto"/>
              <w:right w:val="single" w:sz="4" w:space="0" w:color="auto"/>
            </w:tcBorders>
            <w:vAlign w:val="center"/>
            <w:hideMark/>
          </w:tcPr>
          <w:p w14:paraId="6E90C3AA" w14:textId="77777777" w:rsidR="006918A0" w:rsidRPr="00130899" w:rsidRDefault="006918A0" w:rsidP="006918A0">
            <w:pPr>
              <w:spacing w:line="276" w:lineRule="auto"/>
              <w:jc w:val="center"/>
              <w:rPr>
                <w:b/>
                <w:noProof/>
              </w:rPr>
            </w:pPr>
            <w:r w:rsidRPr="00130899">
              <w:rPr>
                <w:noProof/>
                <w:sz w:val="20"/>
              </w:rPr>
              <w:t>0,395</w:t>
            </w:r>
          </w:p>
        </w:tc>
        <w:tc>
          <w:tcPr>
            <w:tcW w:w="399" w:type="pct"/>
            <w:gridSpan w:val="3"/>
            <w:tcBorders>
              <w:top w:val="single" w:sz="4" w:space="0" w:color="auto"/>
              <w:left w:val="single" w:sz="4" w:space="0" w:color="auto"/>
              <w:bottom w:val="single" w:sz="4" w:space="0" w:color="auto"/>
              <w:right w:val="single" w:sz="4" w:space="0" w:color="auto"/>
            </w:tcBorders>
            <w:vAlign w:val="center"/>
            <w:hideMark/>
          </w:tcPr>
          <w:p w14:paraId="42AF36E3" w14:textId="77777777" w:rsidR="006918A0" w:rsidRPr="00130899" w:rsidRDefault="006918A0" w:rsidP="006918A0">
            <w:pPr>
              <w:spacing w:line="276" w:lineRule="auto"/>
              <w:jc w:val="center"/>
              <w:rPr>
                <w:b/>
                <w:noProof/>
              </w:rPr>
            </w:pPr>
            <w:r w:rsidRPr="00130899">
              <w:rPr>
                <w:noProof/>
                <w:sz w:val="20"/>
              </w:rPr>
              <w:t>0,197</w:t>
            </w:r>
          </w:p>
        </w:tc>
        <w:tc>
          <w:tcPr>
            <w:tcW w:w="747" w:type="pct"/>
            <w:gridSpan w:val="2"/>
            <w:tcBorders>
              <w:top w:val="single" w:sz="4" w:space="0" w:color="auto"/>
              <w:left w:val="single" w:sz="4" w:space="0" w:color="auto"/>
              <w:bottom w:val="single" w:sz="4" w:space="0" w:color="auto"/>
              <w:right w:val="single" w:sz="4" w:space="0" w:color="auto"/>
            </w:tcBorders>
            <w:vAlign w:val="center"/>
            <w:hideMark/>
          </w:tcPr>
          <w:p w14:paraId="56D96C1E" w14:textId="77777777" w:rsidR="006918A0" w:rsidRPr="00130899" w:rsidRDefault="006918A0" w:rsidP="006918A0">
            <w:pPr>
              <w:spacing w:line="276" w:lineRule="auto"/>
              <w:jc w:val="right"/>
              <w:rPr>
                <w:b/>
                <w:noProof/>
              </w:rPr>
            </w:pPr>
            <w:r w:rsidRPr="00130899">
              <w:rPr>
                <w:b/>
                <w:noProof/>
                <w:sz w:val="20"/>
              </w:rPr>
              <w:t>1,784</w:t>
            </w:r>
          </w:p>
        </w:tc>
      </w:tr>
      <w:tr w:rsidR="006918A0" w:rsidRPr="00130899" w14:paraId="3B859BAA" w14:textId="77777777" w:rsidTr="000430BD">
        <w:trPr>
          <w:gridBefore w:val="1"/>
          <w:wBefore w:w="87" w:type="pct"/>
        </w:trPr>
        <w:tc>
          <w:tcPr>
            <w:tcW w:w="0" w:type="auto"/>
            <w:gridSpan w:val="2"/>
            <w:vMerge/>
            <w:tcBorders>
              <w:top w:val="nil"/>
              <w:left w:val="nil"/>
              <w:bottom w:val="nil"/>
              <w:right w:val="nil"/>
            </w:tcBorders>
            <w:vAlign w:val="center"/>
            <w:hideMark/>
          </w:tcPr>
          <w:p w14:paraId="502563BB" w14:textId="77777777" w:rsidR="006918A0" w:rsidRPr="00130899" w:rsidRDefault="006918A0" w:rsidP="006918A0">
            <w:pPr>
              <w:spacing w:before="0" w:after="0" w:line="276" w:lineRule="auto"/>
              <w:jc w:val="left"/>
              <w:rPr>
                <w:b/>
                <w:noProof/>
              </w:rPr>
            </w:pPr>
          </w:p>
        </w:tc>
        <w:tc>
          <w:tcPr>
            <w:tcW w:w="737" w:type="pct"/>
            <w:gridSpan w:val="4"/>
            <w:tcBorders>
              <w:top w:val="single" w:sz="4" w:space="0" w:color="auto"/>
              <w:left w:val="single" w:sz="4" w:space="0" w:color="auto"/>
              <w:bottom w:val="single" w:sz="4" w:space="0" w:color="auto"/>
              <w:right w:val="single" w:sz="4" w:space="0" w:color="auto"/>
            </w:tcBorders>
            <w:vAlign w:val="center"/>
            <w:hideMark/>
          </w:tcPr>
          <w:p w14:paraId="456FED67" w14:textId="77777777" w:rsidR="006918A0" w:rsidRPr="00130899" w:rsidRDefault="006918A0" w:rsidP="006918A0">
            <w:pPr>
              <w:spacing w:line="276" w:lineRule="auto"/>
              <w:jc w:val="center"/>
              <w:rPr>
                <w:noProof/>
                <w:sz w:val="14"/>
              </w:rPr>
            </w:pPr>
            <w:r w:rsidRPr="00130899">
              <w:rPr>
                <w:noProof/>
                <w:sz w:val="18"/>
              </w:rPr>
              <w:t>Плащания</w:t>
            </w:r>
          </w:p>
        </w:tc>
        <w:tc>
          <w:tcPr>
            <w:tcW w:w="390" w:type="pct"/>
            <w:gridSpan w:val="2"/>
            <w:tcBorders>
              <w:top w:val="single" w:sz="4" w:space="0" w:color="auto"/>
              <w:left w:val="single" w:sz="4" w:space="0" w:color="auto"/>
              <w:bottom w:val="single" w:sz="4" w:space="0" w:color="auto"/>
              <w:right w:val="single" w:sz="4" w:space="0" w:color="auto"/>
            </w:tcBorders>
            <w:vAlign w:val="center"/>
            <w:hideMark/>
          </w:tcPr>
          <w:p w14:paraId="71F3548B" w14:textId="77777777" w:rsidR="006918A0" w:rsidRPr="00130899" w:rsidRDefault="006918A0" w:rsidP="006918A0">
            <w:pPr>
              <w:spacing w:before="60" w:after="60" w:line="276" w:lineRule="auto"/>
              <w:jc w:val="center"/>
              <w:rPr>
                <w:b/>
                <w:noProof/>
              </w:rPr>
            </w:pPr>
            <w:r w:rsidRPr="00130899">
              <w:rPr>
                <w:noProof/>
                <w:sz w:val="20"/>
              </w:rPr>
              <w:t>0,122</w:t>
            </w:r>
          </w:p>
        </w:tc>
        <w:tc>
          <w:tcPr>
            <w:tcW w:w="449" w:type="pct"/>
            <w:gridSpan w:val="3"/>
            <w:tcBorders>
              <w:top w:val="single" w:sz="4" w:space="0" w:color="auto"/>
              <w:left w:val="single" w:sz="4" w:space="0" w:color="auto"/>
              <w:bottom w:val="single" w:sz="4" w:space="0" w:color="auto"/>
              <w:right w:val="single" w:sz="4" w:space="0" w:color="auto"/>
            </w:tcBorders>
            <w:vAlign w:val="center"/>
            <w:hideMark/>
          </w:tcPr>
          <w:p w14:paraId="1EFF4751" w14:textId="77777777" w:rsidR="006918A0" w:rsidRPr="00130899" w:rsidRDefault="006918A0" w:rsidP="006918A0">
            <w:pPr>
              <w:spacing w:before="60" w:after="60" w:line="276" w:lineRule="auto"/>
              <w:jc w:val="center"/>
              <w:rPr>
                <w:b/>
                <w:noProof/>
              </w:rPr>
            </w:pPr>
            <w:r w:rsidRPr="00130899">
              <w:rPr>
                <w:noProof/>
                <w:sz w:val="20"/>
              </w:rPr>
              <w:t>0,311</w:t>
            </w:r>
          </w:p>
        </w:tc>
        <w:tc>
          <w:tcPr>
            <w:tcW w:w="399" w:type="pct"/>
            <w:gridSpan w:val="2"/>
            <w:tcBorders>
              <w:top w:val="single" w:sz="4" w:space="0" w:color="auto"/>
              <w:left w:val="single" w:sz="4" w:space="0" w:color="auto"/>
              <w:bottom w:val="single" w:sz="4" w:space="0" w:color="auto"/>
              <w:right w:val="single" w:sz="4" w:space="0" w:color="auto"/>
            </w:tcBorders>
            <w:vAlign w:val="center"/>
            <w:hideMark/>
          </w:tcPr>
          <w:p w14:paraId="425FBAC7" w14:textId="77777777" w:rsidR="006918A0" w:rsidRPr="00130899" w:rsidRDefault="006918A0" w:rsidP="006918A0">
            <w:pPr>
              <w:spacing w:line="276" w:lineRule="auto"/>
              <w:jc w:val="center"/>
              <w:rPr>
                <w:b/>
                <w:noProof/>
              </w:rPr>
            </w:pPr>
            <w:r w:rsidRPr="00130899">
              <w:rPr>
                <w:noProof/>
                <w:sz w:val="20"/>
              </w:rPr>
              <w:t>0,559</w:t>
            </w:r>
          </w:p>
        </w:tc>
        <w:tc>
          <w:tcPr>
            <w:tcW w:w="399" w:type="pct"/>
            <w:gridSpan w:val="2"/>
            <w:tcBorders>
              <w:top w:val="single" w:sz="4" w:space="0" w:color="auto"/>
              <w:left w:val="single" w:sz="4" w:space="0" w:color="auto"/>
              <w:bottom w:val="single" w:sz="4" w:space="0" w:color="auto"/>
              <w:right w:val="single" w:sz="4" w:space="0" w:color="auto"/>
            </w:tcBorders>
            <w:vAlign w:val="center"/>
            <w:hideMark/>
          </w:tcPr>
          <w:p w14:paraId="6D8D41A7" w14:textId="77777777" w:rsidR="006918A0" w:rsidRPr="00130899" w:rsidRDefault="006918A0" w:rsidP="006918A0">
            <w:pPr>
              <w:spacing w:line="276" w:lineRule="auto"/>
              <w:jc w:val="center"/>
              <w:rPr>
                <w:b/>
                <w:noProof/>
              </w:rPr>
            </w:pPr>
            <w:r w:rsidRPr="00130899">
              <w:rPr>
                <w:noProof/>
                <w:sz w:val="20"/>
              </w:rPr>
              <w:t>0,265</w:t>
            </w:r>
          </w:p>
        </w:tc>
        <w:tc>
          <w:tcPr>
            <w:tcW w:w="399" w:type="pct"/>
            <w:gridSpan w:val="3"/>
            <w:tcBorders>
              <w:top w:val="single" w:sz="4" w:space="0" w:color="auto"/>
              <w:left w:val="single" w:sz="4" w:space="0" w:color="auto"/>
              <w:bottom w:val="single" w:sz="4" w:space="0" w:color="auto"/>
              <w:right w:val="single" w:sz="4" w:space="0" w:color="auto"/>
            </w:tcBorders>
            <w:vAlign w:val="center"/>
            <w:hideMark/>
          </w:tcPr>
          <w:p w14:paraId="5F1C89F2" w14:textId="77777777" w:rsidR="006918A0" w:rsidRPr="00130899" w:rsidRDefault="006918A0" w:rsidP="006918A0">
            <w:pPr>
              <w:spacing w:line="276" w:lineRule="auto"/>
              <w:jc w:val="center"/>
              <w:rPr>
                <w:b/>
                <w:noProof/>
              </w:rPr>
            </w:pPr>
            <w:r w:rsidRPr="00130899">
              <w:rPr>
                <w:noProof/>
                <w:sz w:val="20"/>
              </w:rPr>
              <w:t>0,347</w:t>
            </w:r>
          </w:p>
        </w:tc>
        <w:tc>
          <w:tcPr>
            <w:tcW w:w="747" w:type="pct"/>
            <w:gridSpan w:val="2"/>
            <w:tcBorders>
              <w:top w:val="single" w:sz="4" w:space="0" w:color="auto"/>
              <w:left w:val="single" w:sz="4" w:space="0" w:color="auto"/>
              <w:bottom w:val="single" w:sz="4" w:space="0" w:color="auto"/>
              <w:right w:val="single" w:sz="4" w:space="0" w:color="auto"/>
            </w:tcBorders>
            <w:vAlign w:val="center"/>
            <w:hideMark/>
          </w:tcPr>
          <w:p w14:paraId="64E4E081" w14:textId="77777777" w:rsidR="006918A0" w:rsidRPr="00130899" w:rsidRDefault="006918A0" w:rsidP="006918A0">
            <w:pPr>
              <w:spacing w:line="276" w:lineRule="auto"/>
              <w:jc w:val="right"/>
              <w:rPr>
                <w:b/>
                <w:noProof/>
              </w:rPr>
            </w:pPr>
            <w:r w:rsidRPr="00130899">
              <w:rPr>
                <w:b/>
                <w:noProof/>
                <w:sz w:val="20"/>
              </w:rPr>
              <w:t>1,604</w:t>
            </w:r>
          </w:p>
        </w:tc>
      </w:tr>
      <w:tr w:rsidR="00750F4B" w:rsidRPr="00130899" w14:paraId="7813AC18" w14:textId="77777777" w:rsidTr="000430BD">
        <w:trPr>
          <w:gridAfter w:val="1"/>
          <w:wAfter w:w="195" w:type="pct"/>
        </w:trPr>
        <w:tc>
          <w:tcPr>
            <w:tcW w:w="1368" w:type="pct"/>
            <w:gridSpan w:val="2"/>
            <w:tcBorders>
              <w:top w:val="nil"/>
              <w:left w:val="nil"/>
              <w:bottom w:val="single" w:sz="4" w:space="0" w:color="auto"/>
              <w:right w:val="nil"/>
            </w:tcBorders>
            <w:vAlign w:val="center"/>
          </w:tcPr>
          <w:p w14:paraId="0FB1AAB1" w14:textId="77777777" w:rsidR="006918A0" w:rsidRPr="00130899" w:rsidRDefault="006918A0" w:rsidP="006918A0">
            <w:pPr>
              <w:spacing w:line="276" w:lineRule="auto"/>
              <w:jc w:val="center"/>
              <w:rPr>
                <w:noProof/>
              </w:rPr>
            </w:pPr>
          </w:p>
        </w:tc>
        <w:tc>
          <w:tcPr>
            <w:tcW w:w="539" w:type="pct"/>
            <w:gridSpan w:val="2"/>
            <w:tcBorders>
              <w:top w:val="nil"/>
              <w:left w:val="nil"/>
              <w:bottom w:val="single" w:sz="4" w:space="0" w:color="auto"/>
              <w:right w:val="nil"/>
            </w:tcBorders>
          </w:tcPr>
          <w:p w14:paraId="2DEE0B4A" w14:textId="77777777" w:rsidR="006918A0" w:rsidRPr="00130899" w:rsidRDefault="006918A0" w:rsidP="006918A0">
            <w:pPr>
              <w:spacing w:line="276" w:lineRule="auto"/>
              <w:rPr>
                <w:noProof/>
                <w:sz w:val="20"/>
              </w:rPr>
            </w:pPr>
          </w:p>
        </w:tc>
        <w:tc>
          <w:tcPr>
            <w:tcW w:w="184" w:type="pct"/>
            <w:gridSpan w:val="2"/>
            <w:tcBorders>
              <w:top w:val="nil"/>
              <w:left w:val="nil"/>
              <w:bottom w:val="single" w:sz="4" w:space="0" w:color="auto"/>
              <w:right w:val="single" w:sz="4" w:space="0" w:color="auto"/>
            </w:tcBorders>
          </w:tcPr>
          <w:p w14:paraId="2033D832" w14:textId="77777777" w:rsidR="006918A0" w:rsidRPr="00130899" w:rsidRDefault="006918A0" w:rsidP="006918A0">
            <w:pPr>
              <w:spacing w:line="276" w:lineRule="auto"/>
              <w:jc w:val="center"/>
              <w:rPr>
                <w:noProof/>
                <w:sz w:val="20"/>
              </w:rPr>
            </w:pPr>
          </w:p>
        </w:tc>
        <w:tc>
          <w:tcPr>
            <w:tcW w:w="300" w:type="pct"/>
            <w:gridSpan w:val="2"/>
            <w:tcBorders>
              <w:top w:val="single" w:sz="4" w:space="0" w:color="auto"/>
              <w:left w:val="single" w:sz="4" w:space="0" w:color="auto"/>
              <w:bottom w:val="single" w:sz="4" w:space="0" w:color="auto"/>
              <w:right w:val="single" w:sz="4" w:space="0" w:color="auto"/>
            </w:tcBorders>
            <w:vAlign w:val="center"/>
          </w:tcPr>
          <w:p w14:paraId="7FF9C67C" w14:textId="77777777" w:rsidR="006918A0" w:rsidRPr="00130899" w:rsidRDefault="006918A0" w:rsidP="006918A0">
            <w:pPr>
              <w:spacing w:line="276" w:lineRule="auto"/>
              <w:jc w:val="center"/>
              <w:rPr>
                <w:noProof/>
                <w:sz w:val="20"/>
              </w:rPr>
            </w:pPr>
          </w:p>
        </w:tc>
        <w:tc>
          <w:tcPr>
            <w:tcW w:w="300" w:type="pct"/>
            <w:gridSpan w:val="2"/>
            <w:tcBorders>
              <w:top w:val="single" w:sz="4" w:space="0" w:color="auto"/>
              <w:left w:val="single" w:sz="4" w:space="0" w:color="auto"/>
              <w:bottom w:val="single" w:sz="4" w:space="0" w:color="auto"/>
              <w:right w:val="single" w:sz="4" w:space="0" w:color="auto"/>
            </w:tcBorders>
            <w:vAlign w:val="center"/>
          </w:tcPr>
          <w:p w14:paraId="2C407876" w14:textId="77777777" w:rsidR="006918A0" w:rsidRPr="00130899" w:rsidRDefault="006918A0" w:rsidP="006918A0">
            <w:pPr>
              <w:spacing w:line="276" w:lineRule="auto"/>
              <w:jc w:val="center"/>
              <w:rPr>
                <w:noProof/>
                <w:sz w:val="20"/>
              </w:rPr>
            </w:pPr>
          </w:p>
        </w:tc>
        <w:tc>
          <w:tcPr>
            <w:tcW w:w="300" w:type="pct"/>
            <w:tcBorders>
              <w:top w:val="single" w:sz="4" w:space="0" w:color="auto"/>
              <w:left w:val="single" w:sz="4" w:space="0" w:color="auto"/>
              <w:bottom w:val="single" w:sz="4" w:space="0" w:color="auto"/>
              <w:right w:val="single" w:sz="4" w:space="0" w:color="auto"/>
            </w:tcBorders>
            <w:vAlign w:val="center"/>
          </w:tcPr>
          <w:p w14:paraId="405A129F" w14:textId="77777777" w:rsidR="006918A0" w:rsidRPr="00130899" w:rsidRDefault="006918A0" w:rsidP="006918A0">
            <w:pPr>
              <w:spacing w:line="276" w:lineRule="auto"/>
              <w:jc w:val="center"/>
              <w:rPr>
                <w:noProof/>
                <w:sz w:val="20"/>
              </w:rPr>
            </w:pPr>
          </w:p>
        </w:tc>
        <w:tc>
          <w:tcPr>
            <w:tcW w:w="300" w:type="pct"/>
            <w:gridSpan w:val="2"/>
            <w:tcBorders>
              <w:top w:val="single" w:sz="4" w:space="0" w:color="auto"/>
              <w:left w:val="single" w:sz="4" w:space="0" w:color="auto"/>
              <w:bottom w:val="single" w:sz="4" w:space="0" w:color="auto"/>
              <w:right w:val="single" w:sz="4" w:space="0" w:color="auto"/>
            </w:tcBorders>
            <w:vAlign w:val="center"/>
          </w:tcPr>
          <w:p w14:paraId="5A8929BD" w14:textId="77777777" w:rsidR="006918A0" w:rsidRPr="00130899" w:rsidRDefault="006918A0" w:rsidP="006918A0">
            <w:pPr>
              <w:spacing w:line="276" w:lineRule="auto"/>
              <w:jc w:val="center"/>
              <w:rPr>
                <w:noProof/>
                <w:sz w:val="20"/>
              </w:rPr>
            </w:pPr>
          </w:p>
        </w:tc>
        <w:tc>
          <w:tcPr>
            <w:tcW w:w="900" w:type="pct"/>
            <w:gridSpan w:val="5"/>
            <w:tcBorders>
              <w:top w:val="single" w:sz="4" w:space="0" w:color="auto"/>
              <w:left w:val="single" w:sz="4" w:space="0" w:color="auto"/>
              <w:bottom w:val="single" w:sz="4" w:space="0" w:color="auto"/>
              <w:right w:val="single" w:sz="4" w:space="0" w:color="auto"/>
            </w:tcBorders>
            <w:vAlign w:val="center"/>
          </w:tcPr>
          <w:p w14:paraId="5B13188B" w14:textId="77777777" w:rsidR="006918A0" w:rsidRPr="00130899" w:rsidRDefault="006918A0" w:rsidP="006918A0">
            <w:pPr>
              <w:spacing w:line="276" w:lineRule="auto"/>
              <w:jc w:val="center"/>
              <w:rPr>
                <w:b/>
                <w:noProof/>
                <w:sz w:val="18"/>
              </w:rPr>
            </w:pPr>
          </w:p>
        </w:tc>
        <w:tc>
          <w:tcPr>
            <w:tcW w:w="614" w:type="pct"/>
            <w:gridSpan w:val="2"/>
            <w:tcBorders>
              <w:top w:val="single" w:sz="4" w:space="0" w:color="auto"/>
              <w:left w:val="single" w:sz="4" w:space="0" w:color="auto"/>
              <w:bottom w:val="single" w:sz="4" w:space="0" w:color="auto"/>
              <w:right w:val="single" w:sz="4" w:space="0" w:color="auto"/>
            </w:tcBorders>
            <w:vAlign w:val="center"/>
          </w:tcPr>
          <w:p w14:paraId="06A16105" w14:textId="77777777" w:rsidR="006918A0" w:rsidRPr="00130899" w:rsidRDefault="006918A0" w:rsidP="006918A0">
            <w:pPr>
              <w:spacing w:line="276" w:lineRule="auto"/>
              <w:jc w:val="center"/>
              <w:rPr>
                <w:b/>
                <w:noProof/>
                <w:sz w:val="20"/>
              </w:rPr>
            </w:pPr>
          </w:p>
        </w:tc>
      </w:tr>
      <w:tr w:rsidR="00555CA4" w:rsidRPr="00130899" w14:paraId="02C9FE61" w14:textId="77777777" w:rsidTr="000430BD">
        <w:trPr>
          <w:gridAfter w:val="1"/>
          <w:wAfter w:w="195" w:type="pct"/>
        </w:trPr>
        <w:tc>
          <w:tcPr>
            <w:tcW w:w="1368" w:type="pct"/>
            <w:gridSpan w:val="2"/>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25BE062A" w14:textId="77777777" w:rsidR="006918A0" w:rsidRPr="00130899" w:rsidRDefault="006918A0" w:rsidP="006918A0">
            <w:pPr>
              <w:spacing w:line="276" w:lineRule="auto"/>
              <w:jc w:val="center"/>
              <w:rPr>
                <w:b/>
                <w:noProof/>
              </w:rPr>
            </w:pPr>
            <w:r w:rsidRPr="00130899">
              <w:rPr>
                <w:b/>
                <w:noProof/>
              </w:rPr>
              <w:t xml:space="preserve">ОБЩО бюджетни кредити </w:t>
            </w:r>
            <w:r w:rsidRPr="00130899">
              <w:rPr>
                <w:noProof/>
              </w:rPr>
              <w:t xml:space="preserve"> </w:t>
            </w:r>
            <w:r w:rsidRPr="00130899">
              <w:rPr>
                <w:noProof/>
              </w:rPr>
              <w:cr/>
            </w:r>
            <w:r w:rsidRPr="00130899">
              <w:rPr>
                <w:noProof/>
              </w:rPr>
              <w:br/>
            </w:r>
            <w:r w:rsidRPr="00130899">
              <w:rPr>
                <w:b/>
                <w:noProof/>
              </w:rPr>
              <w:t>за ФУНКЦИИ 1—7</w:t>
            </w:r>
            <w:r w:rsidRPr="00130899">
              <w:rPr>
                <w:noProof/>
              </w:rPr>
              <w:t xml:space="preserve"> </w:t>
            </w:r>
            <w:r w:rsidRPr="00130899">
              <w:rPr>
                <w:noProof/>
              </w:rPr>
              <w:cr/>
            </w:r>
            <w:r w:rsidRPr="00130899">
              <w:rPr>
                <w:noProof/>
              </w:rPr>
              <w:br/>
              <w:t>от многогодишната финансова рамка</w:t>
            </w:r>
            <w:r w:rsidRPr="00130899">
              <w:rPr>
                <w:b/>
                <w:noProof/>
              </w:rPr>
              <w:t xml:space="preserve"> </w:t>
            </w:r>
          </w:p>
        </w:tc>
        <w:tc>
          <w:tcPr>
            <w:tcW w:w="723" w:type="pct"/>
            <w:gridSpan w:val="4"/>
            <w:tcBorders>
              <w:top w:val="single" w:sz="4" w:space="0" w:color="auto"/>
              <w:left w:val="single" w:sz="4" w:space="0" w:color="auto"/>
              <w:bottom w:val="single" w:sz="4" w:space="0" w:color="auto"/>
              <w:right w:val="single" w:sz="4" w:space="0" w:color="auto"/>
            </w:tcBorders>
            <w:vAlign w:val="center"/>
          </w:tcPr>
          <w:p w14:paraId="05FF2D0A" w14:textId="77777777" w:rsidR="006918A0" w:rsidRPr="00130899" w:rsidRDefault="006918A0" w:rsidP="006918A0">
            <w:pPr>
              <w:spacing w:line="276" w:lineRule="auto"/>
              <w:rPr>
                <w:noProof/>
                <w:sz w:val="14"/>
              </w:rPr>
            </w:pPr>
          </w:p>
        </w:tc>
        <w:tc>
          <w:tcPr>
            <w:tcW w:w="300" w:type="pct"/>
            <w:gridSpan w:val="2"/>
            <w:tcBorders>
              <w:top w:val="single" w:sz="4" w:space="0" w:color="auto"/>
              <w:left w:val="single" w:sz="4" w:space="0" w:color="auto"/>
              <w:bottom w:val="single" w:sz="4" w:space="0" w:color="auto"/>
              <w:right w:val="single" w:sz="4" w:space="0" w:color="auto"/>
            </w:tcBorders>
            <w:vAlign w:val="center"/>
          </w:tcPr>
          <w:p w14:paraId="296F7974" w14:textId="77777777" w:rsidR="006918A0" w:rsidRPr="00130899" w:rsidRDefault="006918A0" w:rsidP="006918A0">
            <w:pPr>
              <w:spacing w:before="20" w:after="20" w:line="276" w:lineRule="auto"/>
              <w:jc w:val="right"/>
              <w:rPr>
                <w:noProof/>
                <w:sz w:val="20"/>
              </w:rPr>
            </w:pPr>
          </w:p>
        </w:tc>
        <w:tc>
          <w:tcPr>
            <w:tcW w:w="300" w:type="pct"/>
            <w:gridSpan w:val="2"/>
            <w:tcBorders>
              <w:top w:val="single" w:sz="4" w:space="0" w:color="auto"/>
              <w:left w:val="single" w:sz="4" w:space="0" w:color="auto"/>
              <w:bottom w:val="single" w:sz="4" w:space="0" w:color="auto"/>
              <w:right w:val="single" w:sz="4" w:space="0" w:color="auto"/>
            </w:tcBorders>
            <w:vAlign w:val="center"/>
          </w:tcPr>
          <w:p w14:paraId="3493200C" w14:textId="77777777" w:rsidR="006918A0" w:rsidRPr="00130899" w:rsidRDefault="006918A0" w:rsidP="006918A0">
            <w:pPr>
              <w:spacing w:before="20" w:after="20" w:line="276" w:lineRule="auto"/>
              <w:jc w:val="right"/>
              <w:rPr>
                <w:noProof/>
                <w:sz w:val="20"/>
              </w:rPr>
            </w:pPr>
          </w:p>
        </w:tc>
        <w:tc>
          <w:tcPr>
            <w:tcW w:w="300" w:type="pct"/>
            <w:tcBorders>
              <w:top w:val="single" w:sz="4" w:space="0" w:color="auto"/>
              <w:left w:val="single" w:sz="4" w:space="0" w:color="auto"/>
              <w:bottom w:val="single" w:sz="4" w:space="0" w:color="auto"/>
              <w:right w:val="single" w:sz="4" w:space="0" w:color="auto"/>
            </w:tcBorders>
            <w:vAlign w:val="center"/>
          </w:tcPr>
          <w:p w14:paraId="0B413C16" w14:textId="77777777" w:rsidR="006918A0" w:rsidRPr="00130899" w:rsidRDefault="006918A0" w:rsidP="006918A0">
            <w:pPr>
              <w:spacing w:before="20" w:after="20" w:line="276" w:lineRule="auto"/>
              <w:jc w:val="right"/>
              <w:rPr>
                <w:noProof/>
                <w:sz w:val="20"/>
              </w:rPr>
            </w:pPr>
          </w:p>
        </w:tc>
        <w:tc>
          <w:tcPr>
            <w:tcW w:w="300" w:type="pct"/>
            <w:gridSpan w:val="2"/>
            <w:tcBorders>
              <w:top w:val="single" w:sz="4" w:space="0" w:color="auto"/>
              <w:left w:val="single" w:sz="4" w:space="0" w:color="auto"/>
              <w:bottom w:val="single" w:sz="4" w:space="0" w:color="auto"/>
              <w:right w:val="single" w:sz="4" w:space="0" w:color="auto"/>
            </w:tcBorders>
            <w:vAlign w:val="center"/>
          </w:tcPr>
          <w:p w14:paraId="60AAD5A8" w14:textId="77777777" w:rsidR="006918A0" w:rsidRPr="00130899" w:rsidRDefault="006918A0" w:rsidP="006918A0">
            <w:pPr>
              <w:spacing w:before="20" w:after="20" w:line="276" w:lineRule="auto"/>
              <w:jc w:val="right"/>
              <w:rPr>
                <w:noProof/>
                <w:sz w:val="20"/>
              </w:rPr>
            </w:pPr>
          </w:p>
        </w:tc>
        <w:tc>
          <w:tcPr>
            <w:tcW w:w="300" w:type="pct"/>
            <w:gridSpan w:val="2"/>
            <w:tcBorders>
              <w:top w:val="single" w:sz="4" w:space="0" w:color="auto"/>
              <w:left w:val="single" w:sz="4" w:space="0" w:color="auto"/>
              <w:bottom w:val="single" w:sz="4" w:space="0" w:color="auto"/>
              <w:right w:val="single" w:sz="4" w:space="0" w:color="auto"/>
            </w:tcBorders>
            <w:vAlign w:val="center"/>
          </w:tcPr>
          <w:p w14:paraId="14D37AAE" w14:textId="77777777" w:rsidR="006918A0" w:rsidRPr="00130899" w:rsidRDefault="006918A0" w:rsidP="006918A0">
            <w:pPr>
              <w:spacing w:before="20" w:after="20" w:line="276" w:lineRule="auto"/>
              <w:jc w:val="right"/>
              <w:rPr>
                <w:noProof/>
                <w:sz w:val="20"/>
              </w:rPr>
            </w:pPr>
          </w:p>
        </w:tc>
        <w:tc>
          <w:tcPr>
            <w:tcW w:w="300" w:type="pct"/>
            <w:gridSpan w:val="2"/>
            <w:tcBorders>
              <w:top w:val="single" w:sz="4" w:space="0" w:color="auto"/>
              <w:left w:val="single" w:sz="4" w:space="0" w:color="auto"/>
              <w:bottom w:val="single" w:sz="4" w:space="0" w:color="auto"/>
              <w:right w:val="single" w:sz="4" w:space="0" w:color="auto"/>
            </w:tcBorders>
            <w:vAlign w:val="center"/>
          </w:tcPr>
          <w:p w14:paraId="1016273A" w14:textId="77777777" w:rsidR="006918A0" w:rsidRPr="00130899" w:rsidRDefault="006918A0" w:rsidP="006918A0">
            <w:pPr>
              <w:spacing w:before="20" w:after="20" w:line="276" w:lineRule="auto"/>
              <w:jc w:val="right"/>
              <w:rPr>
                <w:noProof/>
                <w:sz w:val="20"/>
              </w:rPr>
            </w:pPr>
          </w:p>
        </w:tc>
        <w:tc>
          <w:tcPr>
            <w:tcW w:w="300" w:type="pct"/>
            <w:tcBorders>
              <w:top w:val="single" w:sz="4" w:space="0" w:color="auto"/>
              <w:left w:val="single" w:sz="4" w:space="0" w:color="auto"/>
              <w:bottom w:val="single" w:sz="4" w:space="0" w:color="auto"/>
              <w:right w:val="single" w:sz="4" w:space="0" w:color="auto"/>
            </w:tcBorders>
            <w:vAlign w:val="center"/>
          </w:tcPr>
          <w:p w14:paraId="3CEB9085" w14:textId="77777777" w:rsidR="006918A0" w:rsidRPr="00130899" w:rsidRDefault="006918A0" w:rsidP="006918A0">
            <w:pPr>
              <w:spacing w:before="20" w:after="20" w:line="276" w:lineRule="auto"/>
              <w:jc w:val="right"/>
              <w:rPr>
                <w:noProof/>
                <w:sz w:val="20"/>
              </w:rPr>
            </w:pPr>
          </w:p>
        </w:tc>
        <w:tc>
          <w:tcPr>
            <w:tcW w:w="614" w:type="pct"/>
            <w:gridSpan w:val="2"/>
            <w:tcBorders>
              <w:top w:val="single" w:sz="4" w:space="0" w:color="auto"/>
              <w:left w:val="single" w:sz="4" w:space="0" w:color="auto"/>
              <w:bottom w:val="single" w:sz="4" w:space="0" w:color="auto"/>
              <w:right w:val="single" w:sz="4" w:space="0" w:color="auto"/>
            </w:tcBorders>
            <w:vAlign w:val="center"/>
          </w:tcPr>
          <w:p w14:paraId="34141DDA" w14:textId="77777777" w:rsidR="006918A0" w:rsidRPr="00130899" w:rsidRDefault="006918A0" w:rsidP="006918A0">
            <w:pPr>
              <w:spacing w:before="20" w:after="20" w:line="276" w:lineRule="auto"/>
              <w:jc w:val="right"/>
              <w:rPr>
                <w:b/>
                <w:noProof/>
                <w:sz w:val="20"/>
              </w:rPr>
            </w:pPr>
          </w:p>
        </w:tc>
      </w:tr>
      <w:tr w:rsidR="006918A0" w:rsidRPr="00130899" w14:paraId="039EE65B" w14:textId="77777777" w:rsidTr="000430BD">
        <w:trPr>
          <w:gridAfter w:val="1"/>
          <w:wAfter w:w="195" w:type="pct"/>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A307BF9" w14:textId="77777777" w:rsidR="006918A0" w:rsidRPr="00130899" w:rsidRDefault="006918A0" w:rsidP="006918A0">
            <w:pPr>
              <w:spacing w:before="0" w:after="0" w:line="276" w:lineRule="auto"/>
              <w:jc w:val="left"/>
              <w:rPr>
                <w:b/>
                <w:noProof/>
              </w:rPr>
            </w:pPr>
          </w:p>
        </w:tc>
        <w:tc>
          <w:tcPr>
            <w:tcW w:w="723" w:type="pct"/>
            <w:gridSpan w:val="4"/>
            <w:tcBorders>
              <w:top w:val="single" w:sz="4" w:space="0" w:color="auto"/>
              <w:left w:val="single" w:sz="4" w:space="0" w:color="auto"/>
              <w:bottom w:val="single" w:sz="4" w:space="0" w:color="auto"/>
              <w:right w:val="single" w:sz="4" w:space="0" w:color="auto"/>
            </w:tcBorders>
            <w:vAlign w:val="center"/>
          </w:tcPr>
          <w:p w14:paraId="5110C3CB" w14:textId="77777777" w:rsidR="006918A0" w:rsidRPr="00130899" w:rsidRDefault="006918A0" w:rsidP="006918A0">
            <w:pPr>
              <w:spacing w:line="276" w:lineRule="auto"/>
              <w:rPr>
                <w:noProof/>
                <w:sz w:val="14"/>
              </w:rPr>
            </w:pPr>
          </w:p>
        </w:tc>
        <w:tc>
          <w:tcPr>
            <w:tcW w:w="300" w:type="pct"/>
            <w:gridSpan w:val="2"/>
            <w:tcBorders>
              <w:top w:val="single" w:sz="4" w:space="0" w:color="auto"/>
              <w:left w:val="single" w:sz="4" w:space="0" w:color="auto"/>
              <w:bottom w:val="single" w:sz="4" w:space="0" w:color="auto"/>
              <w:right w:val="single" w:sz="4" w:space="0" w:color="auto"/>
            </w:tcBorders>
            <w:vAlign w:val="center"/>
          </w:tcPr>
          <w:p w14:paraId="0B342667" w14:textId="77777777" w:rsidR="006918A0" w:rsidRPr="00130899" w:rsidRDefault="006918A0" w:rsidP="006918A0">
            <w:pPr>
              <w:spacing w:before="20" w:after="20" w:line="276" w:lineRule="auto"/>
              <w:jc w:val="right"/>
              <w:rPr>
                <w:noProof/>
                <w:sz w:val="20"/>
              </w:rPr>
            </w:pPr>
          </w:p>
        </w:tc>
        <w:tc>
          <w:tcPr>
            <w:tcW w:w="300" w:type="pct"/>
            <w:gridSpan w:val="2"/>
            <w:tcBorders>
              <w:top w:val="single" w:sz="4" w:space="0" w:color="auto"/>
              <w:left w:val="single" w:sz="4" w:space="0" w:color="auto"/>
              <w:bottom w:val="single" w:sz="4" w:space="0" w:color="auto"/>
              <w:right w:val="single" w:sz="4" w:space="0" w:color="auto"/>
            </w:tcBorders>
            <w:vAlign w:val="center"/>
          </w:tcPr>
          <w:p w14:paraId="6AB20738" w14:textId="77777777" w:rsidR="006918A0" w:rsidRPr="00130899" w:rsidRDefault="006918A0" w:rsidP="006918A0">
            <w:pPr>
              <w:spacing w:before="20" w:after="20" w:line="276" w:lineRule="auto"/>
              <w:jc w:val="right"/>
              <w:rPr>
                <w:noProof/>
                <w:sz w:val="20"/>
              </w:rPr>
            </w:pPr>
          </w:p>
        </w:tc>
        <w:tc>
          <w:tcPr>
            <w:tcW w:w="300" w:type="pct"/>
            <w:tcBorders>
              <w:top w:val="single" w:sz="4" w:space="0" w:color="auto"/>
              <w:left w:val="single" w:sz="4" w:space="0" w:color="auto"/>
              <w:bottom w:val="single" w:sz="4" w:space="0" w:color="auto"/>
              <w:right w:val="single" w:sz="4" w:space="0" w:color="auto"/>
            </w:tcBorders>
            <w:vAlign w:val="center"/>
          </w:tcPr>
          <w:p w14:paraId="4ACBEC53" w14:textId="77777777" w:rsidR="006918A0" w:rsidRPr="00130899" w:rsidRDefault="006918A0" w:rsidP="006918A0">
            <w:pPr>
              <w:spacing w:before="20" w:after="20" w:line="276" w:lineRule="auto"/>
              <w:jc w:val="right"/>
              <w:rPr>
                <w:noProof/>
                <w:sz w:val="20"/>
              </w:rPr>
            </w:pPr>
          </w:p>
        </w:tc>
        <w:tc>
          <w:tcPr>
            <w:tcW w:w="300" w:type="pct"/>
            <w:gridSpan w:val="2"/>
            <w:tcBorders>
              <w:top w:val="single" w:sz="4" w:space="0" w:color="auto"/>
              <w:left w:val="single" w:sz="4" w:space="0" w:color="auto"/>
              <w:bottom w:val="single" w:sz="4" w:space="0" w:color="auto"/>
              <w:right w:val="single" w:sz="4" w:space="0" w:color="auto"/>
            </w:tcBorders>
            <w:vAlign w:val="center"/>
          </w:tcPr>
          <w:p w14:paraId="0C360519" w14:textId="77777777" w:rsidR="006918A0" w:rsidRPr="00130899" w:rsidRDefault="006918A0" w:rsidP="006918A0">
            <w:pPr>
              <w:spacing w:before="20" w:after="20" w:line="276" w:lineRule="auto"/>
              <w:jc w:val="right"/>
              <w:rPr>
                <w:noProof/>
                <w:sz w:val="20"/>
              </w:rPr>
            </w:pPr>
          </w:p>
        </w:tc>
        <w:tc>
          <w:tcPr>
            <w:tcW w:w="300" w:type="pct"/>
            <w:gridSpan w:val="2"/>
            <w:tcBorders>
              <w:top w:val="single" w:sz="4" w:space="0" w:color="auto"/>
              <w:left w:val="single" w:sz="4" w:space="0" w:color="auto"/>
              <w:bottom w:val="single" w:sz="4" w:space="0" w:color="auto"/>
              <w:right w:val="single" w:sz="4" w:space="0" w:color="auto"/>
            </w:tcBorders>
            <w:vAlign w:val="center"/>
          </w:tcPr>
          <w:p w14:paraId="0F6E3480" w14:textId="77777777" w:rsidR="006918A0" w:rsidRPr="00130899" w:rsidRDefault="006918A0" w:rsidP="006918A0">
            <w:pPr>
              <w:spacing w:before="20" w:after="20" w:line="276" w:lineRule="auto"/>
              <w:jc w:val="right"/>
              <w:rPr>
                <w:noProof/>
                <w:sz w:val="20"/>
              </w:rPr>
            </w:pPr>
          </w:p>
        </w:tc>
        <w:tc>
          <w:tcPr>
            <w:tcW w:w="300" w:type="pct"/>
            <w:gridSpan w:val="2"/>
            <w:tcBorders>
              <w:top w:val="single" w:sz="4" w:space="0" w:color="auto"/>
              <w:left w:val="single" w:sz="4" w:space="0" w:color="auto"/>
              <w:bottom w:val="single" w:sz="4" w:space="0" w:color="auto"/>
              <w:right w:val="single" w:sz="4" w:space="0" w:color="auto"/>
            </w:tcBorders>
            <w:vAlign w:val="center"/>
          </w:tcPr>
          <w:p w14:paraId="11E0D09E" w14:textId="77777777" w:rsidR="006918A0" w:rsidRPr="00130899" w:rsidRDefault="006918A0" w:rsidP="006918A0">
            <w:pPr>
              <w:spacing w:before="20" w:after="20" w:line="276" w:lineRule="auto"/>
              <w:jc w:val="right"/>
              <w:rPr>
                <w:noProof/>
                <w:sz w:val="20"/>
              </w:rPr>
            </w:pPr>
          </w:p>
        </w:tc>
        <w:tc>
          <w:tcPr>
            <w:tcW w:w="300" w:type="pct"/>
            <w:tcBorders>
              <w:top w:val="single" w:sz="4" w:space="0" w:color="auto"/>
              <w:left w:val="single" w:sz="4" w:space="0" w:color="auto"/>
              <w:bottom w:val="single" w:sz="4" w:space="0" w:color="auto"/>
              <w:right w:val="single" w:sz="4" w:space="0" w:color="auto"/>
            </w:tcBorders>
            <w:vAlign w:val="center"/>
          </w:tcPr>
          <w:p w14:paraId="78B00720" w14:textId="77777777" w:rsidR="006918A0" w:rsidRPr="00130899" w:rsidRDefault="006918A0" w:rsidP="006918A0">
            <w:pPr>
              <w:spacing w:before="20" w:after="20" w:line="276" w:lineRule="auto"/>
              <w:jc w:val="right"/>
              <w:rPr>
                <w:noProof/>
                <w:sz w:val="20"/>
              </w:rPr>
            </w:pPr>
          </w:p>
        </w:tc>
        <w:tc>
          <w:tcPr>
            <w:tcW w:w="614" w:type="pct"/>
            <w:gridSpan w:val="2"/>
            <w:tcBorders>
              <w:top w:val="single" w:sz="4" w:space="0" w:color="auto"/>
              <w:left w:val="single" w:sz="4" w:space="0" w:color="auto"/>
              <w:bottom w:val="single" w:sz="4" w:space="0" w:color="auto"/>
              <w:right w:val="single" w:sz="4" w:space="0" w:color="auto"/>
            </w:tcBorders>
            <w:vAlign w:val="center"/>
          </w:tcPr>
          <w:p w14:paraId="140E4CA4" w14:textId="77777777" w:rsidR="006918A0" w:rsidRPr="00130899" w:rsidRDefault="006918A0" w:rsidP="006918A0">
            <w:pPr>
              <w:spacing w:before="20" w:after="20" w:line="276" w:lineRule="auto"/>
              <w:jc w:val="right"/>
              <w:rPr>
                <w:b/>
                <w:noProof/>
                <w:sz w:val="20"/>
              </w:rPr>
            </w:pPr>
          </w:p>
        </w:tc>
      </w:tr>
    </w:tbl>
    <w:p w14:paraId="01F7DC12" w14:textId="77777777" w:rsidR="006918A0" w:rsidRPr="00130899" w:rsidRDefault="006918A0" w:rsidP="006918A0">
      <w:pPr>
        <w:rPr>
          <w:noProof/>
        </w:rPr>
      </w:pPr>
    </w:p>
    <w:p w14:paraId="1CC25C0F" w14:textId="77777777" w:rsidR="006918A0" w:rsidRPr="00130899" w:rsidRDefault="00287904" w:rsidP="00287904">
      <w:pPr>
        <w:pStyle w:val="ManualHeading3"/>
        <w:rPr>
          <w:noProof/>
        </w:rPr>
      </w:pPr>
      <w:r w:rsidRPr="00130899">
        <w:rPr>
          <w:noProof/>
        </w:rPr>
        <w:tab/>
        <w:t>3.2.2.</w:t>
      </w:r>
      <w:r w:rsidRPr="00130899">
        <w:rPr>
          <w:noProof/>
        </w:rPr>
        <w:tab/>
        <w:t xml:space="preserve">Очаквано отражение върху бюджетните кредити за оперативни разходи </w:t>
      </w:r>
    </w:p>
    <w:p w14:paraId="675263CC" w14:textId="77777777" w:rsidR="006918A0" w:rsidRPr="00130899" w:rsidRDefault="006918A0" w:rsidP="006918A0">
      <w:pPr>
        <w:tabs>
          <w:tab w:val="num" w:pos="1134"/>
        </w:tabs>
        <w:ind w:left="1134" w:hanging="283"/>
        <w:rPr>
          <w:noProof/>
        </w:rPr>
      </w:pPr>
      <w:r w:rsidRPr="00130899">
        <w:rPr>
          <w:rFonts w:ascii="Wingdings" w:hAnsi="Wingdings"/>
          <w:noProof/>
        </w:rPr>
        <w:t></w:t>
      </w:r>
      <w:r w:rsidRPr="00130899">
        <w:rPr>
          <w:noProof/>
        </w:rPr>
        <w:tab/>
        <w:t xml:space="preserve">Предложението/инициативата не налага използване на бюджетни кредити за оперативни разходи </w:t>
      </w:r>
    </w:p>
    <w:p w14:paraId="5ECB6A5D" w14:textId="77777777" w:rsidR="006918A0" w:rsidRPr="00130899" w:rsidRDefault="006918A0" w:rsidP="006918A0">
      <w:pPr>
        <w:tabs>
          <w:tab w:val="num" w:pos="1134"/>
        </w:tabs>
        <w:ind w:left="1134" w:hanging="283"/>
        <w:rPr>
          <w:noProof/>
        </w:rPr>
      </w:pPr>
      <w:r w:rsidRPr="00130899">
        <w:rPr>
          <w:rFonts w:ascii="Wingdings" w:hAnsi="Wingdings"/>
          <w:noProof/>
        </w:rPr>
        <w:t></w:t>
      </w:r>
      <w:r w:rsidRPr="00130899">
        <w:rPr>
          <w:noProof/>
        </w:rPr>
        <w:tab/>
        <w:t>Предложението/инициативата налага използване на бюджетни кредити за оперативни разходи съгласно обяснението по-долу:</w:t>
      </w:r>
    </w:p>
    <w:p w14:paraId="3CBC6925" w14:textId="77777777" w:rsidR="006918A0" w:rsidRPr="00130899" w:rsidRDefault="006918A0" w:rsidP="006918A0">
      <w:pPr>
        <w:jc w:val="right"/>
        <w:rPr>
          <w:noProof/>
          <w:sz w:val="20"/>
        </w:rPr>
      </w:pPr>
      <w:r w:rsidRPr="00130899">
        <w:rPr>
          <w:noProof/>
          <w:sz w:val="20"/>
        </w:rPr>
        <w:t>Бюджетни кредити за поети задължения в милиони евро (до 3-тия знак след десетичната запетая)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684"/>
        <w:gridCol w:w="859"/>
        <w:gridCol w:w="727"/>
        <w:gridCol w:w="836"/>
        <w:gridCol w:w="715"/>
        <w:gridCol w:w="836"/>
        <w:gridCol w:w="764"/>
        <w:gridCol w:w="836"/>
        <w:gridCol w:w="960"/>
        <w:gridCol w:w="836"/>
        <w:gridCol w:w="701"/>
        <w:gridCol w:w="836"/>
        <w:gridCol w:w="23"/>
        <w:gridCol w:w="678"/>
        <w:gridCol w:w="695"/>
        <w:gridCol w:w="141"/>
        <w:gridCol w:w="225"/>
        <w:gridCol w:w="236"/>
        <w:gridCol w:w="206"/>
        <w:gridCol w:w="19"/>
        <w:gridCol w:w="806"/>
      </w:tblGrid>
      <w:tr w:rsidR="006918A0" w:rsidRPr="00130899" w14:paraId="7F4E5216" w14:textId="77777777" w:rsidTr="000430BD">
        <w:trPr>
          <w:jc w:val="center"/>
        </w:trPr>
        <w:tc>
          <w:tcPr>
            <w:tcW w:w="483" w:type="pct"/>
            <w:vMerge w:val="restart"/>
            <w:tcBorders>
              <w:top w:val="single" w:sz="4" w:space="0" w:color="auto"/>
              <w:left w:val="single" w:sz="4" w:space="0" w:color="auto"/>
              <w:bottom w:val="single" w:sz="4" w:space="0" w:color="auto"/>
              <w:right w:val="single" w:sz="4" w:space="0" w:color="auto"/>
            </w:tcBorders>
            <w:vAlign w:val="center"/>
          </w:tcPr>
          <w:p w14:paraId="231A97D8" w14:textId="77777777" w:rsidR="006918A0" w:rsidRPr="00130899" w:rsidRDefault="006918A0" w:rsidP="006918A0">
            <w:pPr>
              <w:spacing w:line="276" w:lineRule="auto"/>
              <w:ind w:right="-29"/>
              <w:jc w:val="center"/>
              <w:rPr>
                <w:b/>
                <w:noProof/>
                <w:sz w:val="18"/>
              </w:rPr>
            </w:pPr>
            <w:r w:rsidRPr="00130899">
              <w:rPr>
                <w:b/>
                <w:noProof/>
                <w:sz w:val="18"/>
              </w:rPr>
              <w:t xml:space="preserve">Да се посочат целите и резултатите </w:t>
            </w:r>
          </w:p>
          <w:p w14:paraId="4E40066B" w14:textId="77777777" w:rsidR="006918A0" w:rsidRPr="00130899" w:rsidRDefault="006918A0" w:rsidP="006918A0">
            <w:pPr>
              <w:spacing w:line="276" w:lineRule="auto"/>
              <w:ind w:right="-29"/>
              <w:jc w:val="center"/>
              <w:rPr>
                <w:b/>
                <w:noProof/>
                <w:sz w:val="18"/>
              </w:rPr>
            </w:pPr>
          </w:p>
          <w:p w14:paraId="0943259E" w14:textId="77777777" w:rsidR="006918A0" w:rsidRPr="00130899" w:rsidRDefault="006918A0" w:rsidP="006918A0">
            <w:pPr>
              <w:spacing w:line="276" w:lineRule="auto"/>
              <w:ind w:right="-29"/>
              <w:jc w:val="center"/>
              <w:rPr>
                <w:noProof/>
                <w:sz w:val="18"/>
              </w:rPr>
            </w:pPr>
            <w:r w:rsidRPr="00130899">
              <w:rPr>
                <w:noProof/>
                <w:sz w:val="18"/>
              </w:rPr>
              <w:sym w:font="Wingdings" w:char="F0F2"/>
            </w:r>
          </w:p>
        </w:tc>
        <w:tc>
          <w:tcPr>
            <w:tcW w:w="249" w:type="pct"/>
            <w:tcBorders>
              <w:top w:val="single" w:sz="4" w:space="0" w:color="auto"/>
              <w:left w:val="single" w:sz="4" w:space="0" w:color="auto"/>
              <w:bottom w:val="single" w:sz="4" w:space="0" w:color="auto"/>
              <w:right w:val="single" w:sz="4" w:space="0" w:color="auto"/>
            </w:tcBorders>
            <w:vAlign w:val="center"/>
          </w:tcPr>
          <w:p w14:paraId="7006E3B4" w14:textId="77777777" w:rsidR="006918A0" w:rsidRPr="00130899" w:rsidRDefault="006918A0" w:rsidP="006918A0">
            <w:pPr>
              <w:spacing w:line="276" w:lineRule="auto"/>
              <w:ind w:right="-29"/>
              <w:jc w:val="center"/>
              <w:rPr>
                <w:noProof/>
                <w:sz w:val="18"/>
              </w:rPr>
            </w:pPr>
          </w:p>
        </w:tc>
        <w:tc>
          <w:tcPr>
            <w:tcW w:w="351" w:type="pct"/>
            <w:tcBorders>
              <w:top w:val="single" w:sz="4" w:space="0" w:color="auto"/>
              <w:left w:val="single" w:sz="4" w:space="0" w:color="auto"/>
              <w:bottom w:val="single" w:sz="4" w:space="0" w:color="auto"/>
              <w:right w:val="single" w:sz="4" w:space="0" w:color="auto"/>
            </w:tcBorders>
            <w:vAlign w:val="center"/>
          </w:tcPr>
          <w:p w14:paraId="535A7144" w14:textId="77777777" w:rsidR="006918A0" w:rsidRPr="00130899" w:rsidRDefault="006918A0" w:rsidP="006918A0">
            <w:pPr>
              <w:spacing w:line="276" w:lineRule="auto"/>
              <w:ind w:right="-29"/>
              <w:jc w:val="center"/>
              <w:rPr>
                <w:noProof/>
                <w:sz w:val="18"/>
              </w:rPr>
            </w:pPr>
          </w:p>
        </w:tc>
        <w:tc>
          <w:tcPr>
            <w:tcW w:w="551" w:type="pct"/>
            <w:gridSpan w:val="2"/>
            <w:tcBorders>
              <w:top w:val="single" w:sz="4" w:space="0" w:color="auto"/>
              <w:left w:val="nil"/>
              <w:bottom w:val="single" w:sz="4" w:space="0" w:color="auto"/>
              <w:right w:val="single" w:sz="4" w:space="0" w:color="auto"/>
            </w:tcBorders>
            <w:vAlign w:val="center"/>
            <w:hideMark/>
          </w:tcPr>
          <w:p w14:paraId="4FB827BA" w14:textId="77777777" w:rsidR="006918A0" w:rsidRPr="00130899" w:rsidRDefault="006918A0" w:rsidP="006918A0">
            <w:pPr>
              <w:spacing w:line="276" w:lineRule="auto"/>
              <w:ind w:right="-29"/>
              <w:jc w:val="center"/>
              <w:rPr>
                <w:noProof/>
                <w:sz w:val="18"/>
              </w:rPr>
            </w:pPr>
            <w:r w:rsidRPr="00130899">
              <w:rPr>
                <w:noProof/>
                <w:sz w:val="18"/>
              </w:rPr>
              <w:t>2023 г.</w:t>
            </w:r>
          </w:p>
        </w:tc>
        <w:tc>
          <w:tcPr>
            <w:tcW w:w="537" w:type="pct"/>
            <w:gridSpan w:val="2"/>
            <w:tcBorders>
              <w:top w:val="single" w:sz="4" w:space="0" w:color="auto"/>
              <w:left w:val="single" w:sz="4" w:space="0" w:color="auto"/>
              <w:bottom w:val="single" w:sz="4" w:space="0" w:color="auto"/>
              <w:right w:val="single" w:sz="4" w:space="0" w:color="auto"/>
            </w:tcBorders>
            <w:vAlign w:val="center"/>
            <w:hideMark/>
          </w:tcPr>
          <w:p w14:paraId="66D8E53B" w14:textId="77777777" w:rsidR="006918A0" w:rsidRPr="00130899" w:rsidRDefault="006918A0" w:rsidP="006918A0">
            <w:pPr>
              <w:spacing w:line="276" w:lineRule="auto"/>
              <w:ind w:right="-29"/>
              <w:jc w:val="center"/>
              <w:rPr>
                <w:noProof/>
                <w:sz w:val="18"/>
              </w:rPr>
            </w:pPr>
            <w:r w:rsidRPr="00130899">
              <w:rPr>
                <w:noProof/>
                <w:sz w:val="18"/>
              </w:rPr>
              <w:t>2024 г.</w:t>
            </w:r>
          </w:p>
        </w:tc>
        <w:tc>
          <w:tcPr>
            <w:tcW w:w="544" w:type="pct"/>
            <w:gridSpan w:val="2"/>
            <w:tcBorders>
              <w:top w:val="single" w:sz="4" w:space="0" w:color="auto"/>
              <w:left w:val="single" w:sz="4" w:space="0" w:color="auto"/>
              <w:bottom w:val="single" w:sz="4" w:space="0" w:color="auto"/>
              <w:right w:val="single" w:sz="4" w:space="0" w:color="auto"/>
            </w:tcBorders>
            <w:vAlign w:val="center"/>
            <w:hideMark/>
          </w:tcPr>
          <w:p w14:paraId="29DF0065" w14:textId="77777777" w:rsidR="006918A0" w:rsidRPr="00130899" w:rsidRDefault="006918A0" w:rsidP="006918A0">
            <w:pPr>
              <w:spacing w:line="276" w:lineRule="auto"/>
              <w:ind w:right="-29"/>
              <w:jc w:val="center"/>
              <w:rPr>
                <w:noProof/>
                <w:sz w:val="18"/>
              </w:rPr>
            </w:pPr>
            <w:r w:rsidRPr="00130899">
              <w:rPr>
                <w:noProof/>
                <w:sz w:val="18"/>
              </w:rPr>
              <w:t>2025 г.</w:t>
            </w:r>
          </w:p>
        </w:tc>
        <w:tc>
          <w:tcPr>
            <w:tcW w:w="592" w:type="pct"/>
            <w:gridSpan w:val="2"/>
            <w:tcBorders>
              <w:top w:val="single" w:sz="4" w:space="0" w:color="auto"/>
              <w:left w:val="single" w:sz="4" w:space="0" w:color="auto"/>
              <w:bottom w:val="single" w:sz="4" w:space="0" w:color="auto"/>
              <w:right w:val="single" w:sz="4" w:space="0" w:color="auto"/>
            </w:tcBorders>
            <w:vAlign w:val="center"/>
            <w:hideMark/>
          </w:tcPr>
          <w:p w14:paraId="6B1EF51C" w14:textId="77777777" w:rsidR="006918A0" w:rsidRPr="00130899" w:rsidRDefault="006918A0" w:rsidP="006918A0">
            <w:pPr>
              <w:spacing w:line="276" w:lineRule="auto"/>
              <w:ind w:right="-29"/>
              <w:jc w:val="center"/>
              <w:rPr>
                <w:noProof/>
                <w:sz w:val="18"/>
              </w:rPr>
            </w:pPr>
            <w:r w:rsidRPr="00130899">
              <w:rPr>
                <w:noProof/>
                <w:sz w:val="18"/>
              </w:rPr>
              <w:t>2026 г.</w:t>
            </w:r>
          </w:p>
        </w:tc>
        <w:tc>
          <w:tcPr>
            <w:tcW w:w="507" w:type="pct"/>
            <w:gridSpan w:val="3"/>
            <w:tcBorders>
              <w:top w:val="single" w:sz="4" w:space="0" w:color="auto"/>
              <w:left w:val="single" w:sz="4" w:space="0" w:color="auto"/>
              <w:bottom w:val="single" w:sz="4" w:space="0" w:color="auto"/>
              <w:right w:val="single" w:sz="4" w:space="0" w:color="auto"/>
            </w:tcBorders>
            <w:vAlign w:val="center"/>
            <w:hideMark/>
          </w:tcPr>
          <w:p w14:paraId="1DAE2BE2" w14:textId="77777777" w:rsidR="006918A0" w:rsidRPr="00130899" w:rsidRDefault="006918A0" w:rsidP="006918A0">
            <w:pPr>
              <w:spacing w:line="276" w:lineRule="auto"/>
              <w:jc w:val="center"/>
              <w:rPr>
                <w:noProof/>
                <w:sz w:val="18"/>
              </w:rPr>
            </w:pPr>
            <w:r w:rsidRPr="00130899">
              <w:rPr>
                <w:noProof/>
                <w:sz w:val="18"/>
              </w:rPr>
              <w:t>2027 г.</w:t>
            </w:r>
          </w:p>
        </w:tc>
        <w:tc>
          <w:tcPr>
            <w:tcW w:w="559" w:type="pct"/>
            <w:gridSpan w:val="3"/>
            <w:tcBorders>
              <w:top w:val="single" w:sz="4" w:space="0" w:color="auto"/>
              <w:left w:val="single" w:sz="4" w:space="0" w:color="auto"/>
              <w:bottom w:val="single" w:sz="4" w:space="0" w:color="auto"/>
              <w:right w:val="single" w:sz="4" w:space="0" w:color="auto"/>
            </w:tcBorders>
            <w:vAlign w:val="center"/>
            <w:hideMark/>
          </w:tcPr>
          <w:p w14:paraId="3DD6488E" w14:textId="77777777" w:rsidR="006918A0" w:rsidRPr="00130899" w:rsidRDefault="006918A0" w:rsidP="006918A0">
            <w:pPr>
              <w:spacing w:line="276" w:lineRule="auto"/>
              <w:jc w:val="center"/>
              <w:rPr>
                <w:noProof/>
                <w:sz w:val="18"/>
              </w:rPr>
            </w:pPr>
            <w:r w:rsidRPr="00130899">
              <w:rPr>
                <w:noProof/>
                <w:sz w:val="18"/>
              </w:rPr>
              <w:t>2028 г.</w:t>
            </w:r>
          </w:p>
        </w:tc>
        <w:tc>
          <w:tcPr>
            <w:tcW w:w="627" w:type="pct"/>
            <w:gridSpan w:val="5"/>
            <w:tcBorders>
              <w:top w:val="single" w:sz="4" w:space="0" w:color="auto"/>
              <w:left w:val="nil"/>
              <w:bottom w:val="nil"/>
              <w:right w:val="single" w:sz="4" w:space="0" w:color="auto"/>
            </w:tcBorders>
            <w:vAlign w:val="center"/>
            <w:hideMark/>
          </w:tcPr>
          <w:p w14:paraId="60AA460D" w14:textId="77777777" w:rsidR="006918A0" w:rsidRPr="00130899" w:rsidRDefault="006918A0" w:rsidP="006918A0">
            <w:pPr>
              <w:spacing w:line="276" w:lineRule="auto"/>
              <w:ind w:right="-29"/>
              <w:jc w:val="center"/>
              <w:rPr>
                <w:noProof/>
                <w:sz w:val="18"/>
              </w:rPr>
            </w:pPr>
            <w:r w:rsidRPr="00130899">
              <w:rPr>
                <w:b/>
                <w:noProof/>
                <w:sz w:val="18"/>
              </w:rPr>
              <w:t>ОБЩО</w:t>
            </w:r>
          </w:p>
        </w:tc>
      </w:tr>
      <w:tr w:rsidR="006918A0" w:rsidRPr="00130899" w14:paraId="00BF4029" w14:textId="77777777" w:rsidTr="004202F1">
        <w:trPr>
          <w:jc w:val="center"/>
        </w:trPr>
        <w:tc>
          <w:tcPr>
            <w:tcW w:w="0" w:type="auto"/>
            <w:vMerge/>
            <w:vAlign w:val="center"/>
            <w:hideMark/>
          </w:tcPr>
          <w:p w14:paraId="7AB00F5F" w14:textId="77777777" w:rsidR="006918A0" w:rsidRPr="00130899" w:rsidRDefault="006918A0" w:rsidP="006918A0">
            <w:pPr>
              <w:spacing w:before="0" w:after="0" w:line="276" w:lineRule="auto"/>
              <w:jc w:val="left"/>
              <w:rPr>
                <w:noProof/>
                <w:sz w:val="18"/>
              </w:rPr>
            </w:pPr>
          </w:p>
        </w:tc>
        <w:tc>
          <w:tcPr>
            <w:tcW w:w="4517" w:type="pct"/>
            <w:gridSpan w:val="21"/>
            <w:tcBorders>
              <w:top w:val="single" w:sz="4" w:space="0" w:color="auto"/>
              <w:left w:val="single" w:sz="4" w:space="0" w:color="auto"/>
              <w:bottom w:val="single" w:sz="4" w:space="0" w:color="auto"/>
              <w:right w:val="single" w:sz="4" w:space="0" w:color="auto"/>
            </w:tcBorders>
            <w:vAlign w:val="center"/>
            <w:hideMark/>
          </w:tcPr>
          <w:p w14:paraId="4F4AB99B" w14:textId="77777777" w:rsidR="006918A0" w:rsidRPr="00130899" w:rsidRDefault="006918A0" w:rsidP="006918A0">
            <w:pPr>
              <w:spacing w:before="60" w:after="60" w:line="276" w:lineRule="auto"/>
              <w:ind w:right="-29"/>
              <w:jc w:val="center"/>
              <w:rPr>
                <w:noProof/>
                <w:sz w:val="18"/>
              </w:rPr>
            </w:pPr>
            <w:r w:rsidRPr="00130899">
              <w:rPr>
                <w:b/>
                <w:noProof/>
                <w:sz w:val="18"/>
              </w:rPr>
              <w:t>РЕЗУЛТАТИ</w:t>
            </w:r>
          </w:p>
        </w:tc>
      </w:tr>
      <w:tr w:rsidR="00263B08" w:rsidRPr="00130899" w14:paraId="1132C755" w14:textId="77777777" w:rsidTr="000430BD">
        <w:trPr>
          <w:cantSplit/>
          <w:trHeight w:val="113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0D17FF" w14:textId="77777777" w:rsidR="006918A0" w:rsidRPr="00130899" w:rsidRDefault="006918A0" w:rsidP="006918A0">
            <w:pPr>
              <w:spacing w:before="0" w:after="0" w:line="276" w:lineRule="auto"/>
              <w:jc w:val="left"/>
              <w:rPr>
                <w:noProof/>
                <w:sz w:val="18"/>
              </w:rPr>
            </w:pPr>
          </w:p>
        </w:tc>
        <w:tc>
          <w:tcPr>
            <w:tcW w:w="249" w:type="pct"/>
            <w:tcBorders>
              <w:top w:val="single" w:sz="4" w:space="0" w:color="auto"/>
              <w:left w:val="single" w:sz="4" w:space="0" w:color="auto"/>
              <w:bottom w:val="single" w:sz="4" w:space="0" w:color="auto"/>
              <w:right w:val="single" w:sz="4" w:space="0" w:color="auto"/>
            </w:tcBorders>
            <w:vAlign w:val="center"/>
          </w:tcPr>
          <w:p w14:paraId="455E66D5" w14:textId="77777777" w:rsidR="006918A0" w:rsidRPr="00130899" w:rsidRDefault="006918A0" w:rsidP="006918A0">
            <w:pPr>
              <w:spacing w:line="276" w:lineRule="auto"/>
              <w:jc w:val="center"/>
              <w:rPr>
                <w:noProof/>
                <w:sz w:val="18"/>
              </w:rPr>
            </w:pPr>
            <w:r w:rsidRPr="00130899">
              <w:rPr>
                <w:noProof/>
                <w:sz w:val="18"/>
              </w:rPr>
              <w:t>Вид</w:t>
            </w:r>
            <w:r w:rsidRPr="00130899">
              <w:rPr>
                <w:rStyle w:val="FootnoteReference"/>
                <w:noProof/>
              </w:rPr>
              <w:footnoteReference w:id="52"/>
            </w:r>
          </w:p>
          <w:p w14:paraId="519BCC79" w14:textId="77777777" w:rsidR="006918A0" w:rsidRPr="00130899" w:rsidRDefault="006918A0" w:rsidP="006918A0">
            <w:pPr>
              <w:spacing w:before="0" w:after="0" w:line="276" w:lineRule="auto"/>
              <w:jc w:val="center"/>
              <w:rPr>
                <w:noProof/>
                <w:sz w:val="18"/>
              </w:rPr>
            </w:pPr>
          </w:p>
        </w:tc>
        <w:tc>
          <w:tcPr>
            <w:tcW w:w="351" w:type="pct"/>
            <w:tcBorders>
              <w:top w:val="single" w:sz="4" w:space="0" w:color="auto"/>
              <w:left w:val="single" w:sz="4" w:space="0" w:color="auto"/>
              <w:bottom w:val="single" w:sz="4" w:space="0" w:color="auto"/>
              <w:right w:val="single" w:sz="4" w:space="0" w:color="auto"/>
            </w:tcBorders>
            <w:vAlign w:val="center"/>
            <w:hideMark/>
          </w:tcPr>
          <w:p w14:paraId="610028A7" w14:textId="77777777" w:rsidR="006918A0" w:rsidRPr="00130899" w:rsidRDefault="006918A0" w:rsidP="006918A0">
            <w:pPr>
              <w:spacing w:line="276" w:lineRule="auto"/>
              <w:jc w:val="center"/>
              <w:rPr>
                <w:noProof/>
                <w:sz w:val="18"/>
              </w:rPr>
            </w:pPr>
            <w:r w:rsidRPr="00130899">
              <w:rPr>
                <w:noProof/>
                <w:sz w:val="18"/>
              </w:rPr>
              <w:t>Среден разход</w:t>
            </w:r>
          </w:p>
        </w:tc>
        <w:tc>
          <w:tcPr>
            <w:tcW w:w="285" w:type="pct"/>
            <w:tcBorders>
              <w:top w:val="single" w:sz="4" w:space="0" w:color="auto"/>
              <w:left w:val="nil"/>
              <w:bottom w:val="single" w:sz="4" w:space="0" w:color="auto"/>
              <w:right w:val="dashSmallGap" w:sz="4" w:space="0" w:color="auto"/>
            </w:tcBorders>
            <w:shd w:val="pct10" w:color="auto" w:fill="auto"/>
            <w:textDirection w:val="btLr"/>
            <w:vAlign w:val="center"/>
            <w:hideMark/>
          </w:tcPr>
          <w:p w14:paraId="5E2481AE" w14:textId="77777777" w:rsidR="006918A0" w:rsidRPr="00130899" w:rsidRDefault="006918A0" w:rsidP="006918A0">
            <w:pPr>
              <w:spacing w:line="276" w:lineRule="auto"/>
              <w:ind w:left="113" w:right="113"/>
              <w:jc w:val="center"/>
              <w:rPr>
                <w:noProof/>
                <w:sz w:val="18"/>
              </w:rPr>
            </w:pPr>
            <w:r w:rsidRPr="00130899">
              <w:rPr>
                <w:noProof/>
                <w:sz w:val="18"/>
              </w:rPr>
              <w:t>Бр.</w:t>
            </w:r>
          </w:p>
        </w:tc>
        <w:tc>
          <w:tcPr>
            <w:tcW w:w="266" w:type="pct"/>
            <w:tcBorders>
              <w:top w:val="single" w:sz="4" w:space="0" w:color="auto"/>
              <w:left w:val="dashSmallGap" w:sz="4" w:space="0" w:color="auto"/>
              <w:bottom w:val="single" w:sz="4" w:space="0" w:color="auto"/>
              <w:right w:val="single" w:sz="4" w:space="0" w:color="auto"/>
            </w:tcBorders>
            <w:shd w:val="pct10" w:color="auto" w:fill="auto"/>
            <w:vAlign w:val="center"/>
            <w:hideMark/>
          </w:tcPr>
          <w:p w14:paraId="398FE972" w14:textId="77777777" w:rsidR="006918A0" w:rsidRPr="00130899" w:rsidRDefault="006918A0" w:rsidP="006918A0">
            <w:pPr>
              <w:spacing w:line="276" w:lineRule="auto"/>
              <w:jc w:val="center"/>
              <w:rPr>
                <w:noProof/>
                <w:sz w:val="18"/>
              </w:rPr>
            </w:pPr>
            <w:r w:rsidRPr="00130899">
              <w:rPr>
                <w:noProof/>
                <w:sz w:val="18"/>
              </w:rPr>
              <w:t>Разходи</w:t>
            </w:r>
          </w:p>
        </w:tc>
        <w:tc>
          <w:tcPr>
            <w:tcW w:w="281" w:type="pct"/>
            <w:tcBorders>
              <w:top w:val="single" w:sz="4" w:space="0" w:color="auto"/>
              <w:left w:val="single" w:sz="4" w:space="0" w:color="auto"/>
              <w:bottom w:val="single" w:sz="4" w:space="0" w:color="auto"/>
              <w:right w:val="dashSmallGap" w:sz="4" w:space="0" w:color="auto"/>
            </w:tcBorders>
            <w:shd w:val="pct10" w:color="auto" w:fill="auto"/>
            <w:textDirection w:val="btLr"/>
            <w:vAlign w:val="center"/>
            <w:hideMark/>
          </w:tcPr>
          <w:p w14:paraId="60FB9035" w14:textId="77777777" w:rsidR="006918A0" w:rsidRPr="00130899" w:rsidRDefault="006918A0" w:rsidP="006918A0">
            <w:pPr>
              <w:spacing w:line="276" w:lineRule="auto"/>
              <w:ind w:left="113" w:right="113"/>
              <w:jc w:val="center"/>
              <w:rPr>
                <w:noProof/>
                <w:sz w:val="18"/>
              </w:rPr>
            </w:pPr>
            <w:r w:rsidRPr="00130899">
              <w:rPr>
                <w:noProof/>
                <w:sz w:val="18"/>
              </w:rPr>
              <w:t>Бр.</w:t>
            </w:r>
          </w:p>
        </w:tc>
        <w:tc>
          <w:tcPr>
            <w:tcW w:w="256" w:type="pct"/>
            <w:tcBorders>
              <w:top w:val="single" w:sz="4" w:space="0" w:color="auto"/>
              <w:left w:val="dashSmallGap" w:sz="4" w:space="0" w:color="auto"/>
              <w:bottom w:val="single" w:sz="4" w:space="0" w:color="auto"/>
              <w:right w:val="single" w:sz="4" w:space="0" w:color="auto"/>
            </w:tcBorders>
            <w:shd w:val="pct10" w:color="auto" w:fill="auto"/>
            <w:vAlign w:val="center"/>
            <w:hideMark/>
          </w:tcPr>
          <w:p w14:paraId="2DD81A45" w14:textId="77777777" w:rsidR="006918A0" w:rsidRPr="00130899" w:rsidRDefault="006918A0" w:rsidP="006918A0">
            <w:pPr>
              <w:spacing w:line="276" w:lineRule="auto"/>
              <w:jc w:val="center"/>
              <w:rPr>
                <w:noProof/>
                <w:sz w:val="18"/>
              </w:rPr>
            </w:pPr>
            <w:r w:rsidRPr="00130899">
              <w:rPr>
                <w:noProof/>
                <w:sz w:val="18"/>
              </w:rPr>
              <w:t>Разходи</w:t>
            </w:r>
          </w:p>
        </w:tc>
        <w:tc>
          <w:tcPr>
            <w:tcW w:w="298" w:type="pct"/>
            <w:tcBorders>
              <w:top w:val="single" w:sz="4" w:space="0" w:color="auto"/>
              <w:left w:val="single" w:sz="4" w:space="0" w:color="auto"/>
              <w:bottom w:val="single" w:sz="4" w:space="0" w:color="auto"/>
              <w:right w:val="dashSmallGap" w:sz="4" w:space="0" w:color="auto"/>
            </w:tcBorders>
            <w:shd w:val="pct10" w:color="auto" w:fill="auto"/>
            <w:textDirection w:val="btLr"/>
            <w:vAlign w:val="center"/>
            <w:hideMark/>
          </w:tcPr>
          <w:p w14:paraId="56749AD0" w14:textId="77777777" w:rsidR="006918A0" w:rsidRPr="00130899" w:rsidRDefault="006918A0" w:rsidP="006918A0">
            <w:pPr>
              <w:spacing w:line="276" w:lineRule="auto"/>
              <w:ind w:left="113" w:right="113"/>
              <w:jc w:val="center"/>
              <w:rPr>
                <w:noProof/>
                <w:sz w:val="18"/>
              </w:rPr>
            </w:pPr>
            <w:r w:rsidRPr="00130899">
              <w:rPr>
                <w:noProof/>
                <w:sz w:val="18"/>
              </w:rPr>
              <w:t>Бр.</w:t>
            </w:r>
          </w:p>
        </w:tc>
        <w:tc>
          <w:tcPr>
            <w:tcW w:w="246" w:type="pct"/>
            <w:tcBorders>
              <w:top w:val="single" w:sz="4" w:space="0" w:color="auto"/>
              <w:left w:val="dashSmallGap" w:sz="4" w:space="0" w:color="auto"/>
              <w:bottom w:val="single" w:sz="4" w:space="0" w:color="auto"/>
              <w:right w:val="single" w:sz="4" w:space="0" w:color="auto"/>
            </w:tcBorders>
            <w:shd w:val="pct10" w:color="auto" w:fill="auto"/>
            <w:vAlign w:val="center"/>
            <w:hideMark/>
          </w:tcPr>
          <w:p w14:paraId="5263FDEB" w14:textId="77777777" w:rsidR="006918A0" w:rsidRPr="00130899" w:rsidRDefault="006918A0" w:rsidP="006918A0">
            <w:pPr>
              <w:spacing w:line="276" w:lineRule="auto"/>
              <w:jc w:val="center"/>
              <w:rPr>
                <w:noProof/>
                <w:sz w:val="18"/>
              </w:rPr>
            </w:pPr>
            <w:r w:rsidRPr="00130899">
              <w:rPr>
                <w:noProof/>
                <w:sz w:val="18"/>
              </w:rPr>
              <w:t>Разходи</w:t>
            </w:r>
          </w:p>
        </w:tc>
        <w:tc>
          <w:tcPr>
            <w:tcW w:w="367" w:type="pct"/>
            <w:tcBorders>
              <w:top w:val="single" w:sz="4" w:space="0" w:color="auto"/>
              <w:left w:val="single" w:sz="4" w:space="0" w:color="auto"/>
              <w:bottom w:val="single" w:sz="4" w:space="0" w:color="auto"/>
              <w:right w:val="dashSmallGap" w:sz="4" w:space="0" w:color="auto"/>
            </w:tcBorders>
            <w:shd w:val="pct10" w:color="auto" w:fill="auto"/>
            <w:textDirection w:val="btLr"/>
            <w:vAlign w:val="center"/>
            <w:hideMark/>
          </w:tcPr>
          <w:p w14:paraId="611110D6" w14:textId="77777777" w:rsidR="006918A0" w:rsidRPr="00130899" w:rsidRDefault="006918A0" w:rsidP="006918A0">
            <w:pPr>
              <w:spacing w:line="276" w:lineRule="auto"/>
              <w:ind w:left="113" w:right="113"/>
              <w:jc w:val="center"/>
              <w:rPr>
                <w:noProof/>
                <w:sz w:val="18"/>
              </w:rPr>
            </w:pPr>
            <w:r w:rsidRPr="00130899">
              <w:rPr>
                <w:noProof/>
                <w:sz w:val="18"/>
              </w:rPr>
              <w:t>Бр.</w:t>
            </w:r>
          </w:p>
        </w:tc>
        <w:tc>
          <w:tcPr>
            <w:tcW w:w="225" w:type="pct"/>
            <w:tcBorders>
              <w:top w:val="single" w:sz="4" w:space="0" w:color="auto"/>
              <w:left w:val="dashSmallGap" w:sz="4" w:space="0" w:color="auto"/>
              <w:bottom w:val="single" w:sz="4" w:space="0" w:color="auto"/>
              <w:right w:val="single" w:sz="4" w:space="0" w:color="auto"/>
            </w:tcBorders>
            <w:shd w:val="pct10" w:color="auto" w:fill="auto"/>
            <w:vAlign w:val="center"/>
            <w:hideMark/>
          </w:tcPr>
          <w:p w14:paraId="66BFD43B" w14:textId="77777777" w:rsidR="006918A0" w:rsidRPr="00130899" w:rsidRDefault="006918A0" w:rsidP="006918A0">
            <w:pPr>
              <w:spacing w:line="276" w:lineRule="auto"/>
              <w:jc w:val="center"/>
              <w:rPr>
                <w:noProof/>
                <w:sz w:val="18"/>
              </w:rPr>
            </w:pPr>
            <w:r w:rsidRPr="00130899">
              <w:rPr>
                <w:noProof/>
                <w:sz w:val="18"/>
              </w:rPr>
              <w:t>Разходи</w:t>
            </w:r>
          </w:p>
        </w:tc>
        <w:tc>
          <w:tcPr>
            <w:tcW w:w="258" w:type="pct"/>
            <w:tcBorders>
              <w:top w:val="single" w:sz="4" w:space="0" w:color="auto"/>
              <w:left w:val="single" w:sz="4" w:space="0" w:color="auto"/>
              <w:bottom w:val="single" w:sz="4" w:space="0" w:color="auto"/>
              <w:right w:val="dashSmallGap" w:sz="4" w:space="0" w:color="auto"/>
            </w:tcBorders>
            <w:shd w:val="pct10" w:color="auto" w:fill="auto"/>
            <w:textDirection w:val="btLr"/>
            <w:vAlign w:val="center"/>
            <w:hideMark/>
          </w:tcPr>
          <w:p w14:paraId="683DCA40" w14:textId="77777777" w:rsidR="006918A0" w:rsidRPr="00130899" w:rsidRDefault="006918A0" w:rsidP="006918A0">
            <w:pPr>
              <w:spacing w:line="276" w:lineRule="auto"/>
              <w:ind w:left="113" w:right="113"/>
              <w:jc w:val="center"/>
              <w:rPr>
                <w:noProof/>
                <w:sz w:val="18"/>
              </w:rPr>
            </w:pPr>
            <w:r w:rsidRPr="00130899">
              <w:rPr>
                <w:noProof/>
                <w:sz w:val="18"/>
              </w:rPr>
              <w:t>Бр.</w:t>
            </w:r>
          </w:p>
        </w:tc>
        <w:tc>
          <w:tcPr>
            <w:tcW w:w="241" w:type="pct"/>
            <w:tcBorders>
              <w:top w:val="single" w:sz="4" w:space="0" w:color="auto"/>
              <w:left w:val="dashSmallGap" w:sz="4" w:space="0" w:color="auto"/>
              <w:bottom w:val="single" w:sz="4" w:space="0" w:color="auto"/>
              <w:right w:val="single" w:sz="4" w:space="0" w:color="auto"/>
            </w:tcBorders>
            <w:shd w:val="pct10" w:color="auto" w:fill="auto"/>
            <w:vAlign w:val="center"/>
            <w:hideMark/>
          </w:tcPr>
          <w:p w14:paraId="2584EBE4" w14:textId="77777777" w:rsidR="006918A0" w:rsidRPr="00130899" w:rsidRDefault="006918A0" w:rsidP="006918A0">
            <w:pPr>
              <w:spacing w:line="276" w:lineRule="auto"/>
              <w:jc w:val="center"/>
              <w:rPr>
                <w:noProof/>
                <w:sz w:val="18"/>
              </w:rPr>
            </w:pPr>
            <w:r w:rsidRPr="00130899">
              <w:rPr>
                <w:noProof/>
                <w:sz w:val="18"/>
              </w:rPr>
              <w:t>Разходи</w:t>
            </w:r>
          </w:p>
        </w:tc>
        <w:tc>
          <w:tcPr>
            <w:tcW w:w="249" w:type="pct"/>
            <w:gridSpan w:val="2"/>
            <w:tcBorders>
              <w:top w:val="single" w:sz="4" w:space="0" w:color="auto"/>
              <w:left w:val="single" w:sz="4" w:space="0" w:color="auto"/>
              <w:bottom w:val="single" w:sz="4" w:space="0" w:color="auto"/>
              <w:right w:val="dashSmallGap" w:sz="4" w:space="0" w:color="auto"/>
            </w:tcBorders>
            <w:shd w:val="pct10" w:color="auto" w:fill="auto"/>
            <w:textDirection w:val="btLr"/>
            <w:vAlign w:val="center"/>
            <w:hideMark/>
          </w:tcPr>
          <w:p w14:paraId="775A6038" w14:textId="77777777" w:rsidR="006918A0" w:rsidRPr="00130899" w:rsidRDefault="006918A0" w:rsidP="006918A0">
            <w:pPr>
              <w:spacing w:line="276" w:lineRule="auto"/>
              <w:ind w:left="113" w:right="113"/>
              <w:jc w:val="center"/>
              <w:rPr>
                <w:noProof/>
                <w:sz w:val="18"/>
              </w:rPr>
            </w:pPr>
            <w:r w:rsidRPr="00130899">
              <w:rPr>
                <w:noProof/>
                <w:sz w:val="18"/>
              </w:rPr>
              <w:t>Бр.</w:t>
            </w:r>
          </w:p>
        </w:tc>
        <w:tc>
          <w:tcPr>
            <w:tcW w:w="318" w:type="pct"/>
            <w:gridSpan w:val="2"/>
            <w:tcBorders>
              <w:top w:val="single" w:sz="4" w:space="0" w:color="auto"/>
              <w:left w:val="dashSmallGap" w:sz="4" w:space="0" w:color="auto"/>
              <w:bottom w:val="single" w:sz="4" w:space="0" w:color="auto"/>
              <w:right w:val="single" w:sz="4" w:space="0" w:color="auto"/>
            </w:tcBorders>
            <w:shd w:val="pct10" w:color="auto" w:fill="auto"/>
            <w:vAlign w:val="center"/>
            <w:hideMark/>
          </w:tcPr>
          <w:p w14:paraId="612A2EBD" w14:textId="77777777" w:rsidR="006918A0" w:rsidRPr="00130899" w:rsidRDefault="006918A0" w:rsidP="006918A0">
            <w:pPr>
              <w:spacing w:line="276" w:lineRule="auto"/>
              <w:jc w:val="center"/>
              <w:rPr>
                <w:noProof/>
                <w:sz w:val="18"/>
              </w:rPr>
            </w:pPr>
            <w:r w:rsidRPr="00130899">
              <w:rPr>
                <w:noProof/>
                <w:sz w:val="18"/>
              </w:rPr>
              <w:t>Разходи</w:t>
            </w:r>
          </w:p>
        </w:tc>
        <w:tc>
          <w:tcPr>
            <w:tcW w:w="223" w:type="pct"/>
            <w:gridSpan w:val="3"/>
            <w:tcBorders>
              <w:top w:val="single" w:sz="4" w:space="0" w:color="auto"/>
              <w:left w:val="single" w:sz="4" w:space="0" w:color="auto"/>
              <w:bottom w:val="single" w:sz="4" w:space="0" w:color="auto"/>
              <w:right w:val="dashSmallGap" w:sz="4" w:space="0" w:color="auto"/>
            </w:tcBorders>
            <w:shd w:val="pct10" w:color="auto" w:fill="auto"/>
            <w:vAlign w:val="center"/>
            <w:hideMark/>
          </w:tcPr>
          <w:p w14:paraId="2A50062B" w14:textId="77777777" w:rsidR="006918A0" w:rsidRPr="00130899" w:rsidRDefault="006918A0" w:rsidP="006918A0">
            <w:pPr>
              <w:spacing w:line="276" w:lineRule="auto"/>
              <w:jc w:val="center"/>
              <w:rPr>
                <w:noProof/>
                <w:sz w:val="18"/>
              </w:rPr>
            </w:pPr>
            <w:r w:rsidRPr="00130899">
              <w:rPr>
                <w:noProof/>
                <w:sz w:val="18"/>
              </w:rPr>
              <w:t>Общо бр.</w:t>
            </w:r>
          </w:p>
        </w:tc>
        <w:tc>
          <w:tcPr>
            <w:tcW w:w="403" w:type="pct"/>
            <w:gridSpan w:val="2"/>
            <w:tcBorders>
              <w:top w:val="single" w:sz="4" w:space="0" w:color="auto"/>
              <w:left w:val="dashSmallGap" w:sz="4" w:space="0" w:color="auto"/>
              <w:bottom w:val="single" w:sz="4" w:space="0" w:color="auto"/>
              <w:right w:val="single" w:sz="4" w:space="0" w:color="auto"/>
            </w:tcBorders>
            <w:shd w:val="pct10" w:color="auto" w:fill="auto"/>
            <w:vAlign w:val="center"/>
            <w:hideMark/>
          </w:tcPr>
          <w:p w14:paraId="5B095C9D" w14:textId="77777777" w:rsidR="006918A0" w:rsidRPr="00130899" w:rsidRDefault="006918A0" w:rsidP="006918A0">
            <w:pPr>
              <w:spacing w:line="276" w:lineRule="auto"/>
              <w:jc w:val="center"/>
              <w:rPr>
                <w:noProof/>
                <w:sz w:val="18"/>
              </w:rPr>
            </w:pPr>
            <w:r w:rsidRPr="00130899">
              <w:rPr>
                <w:noProof/>
                <w:sz w:val="18"/>
              </w:rPr>
              <w:t>Общо разходи</w:t>
            </w:r>
          </w:p>
        </w:tc>
      </w:tr>
      <w:tr w:rsidR="006918A0" w:rsidRPr="00130899" w14:paraId="341F7E24" w14:textId="77777777" w:rsidTr="000430BD">
        <w:trPr>
          <w:jc w:val="center"/>
        </w:trPr>
        <w:tc>
          <w:tcPr>
            <w:tcW w:w="1083" w:type="pct"/>
            <w:gridSpan w:val="3"/>
            <w:tcBorders>
              <w:top w:val="single" w:sz="4" w:space="0" w:color="auto"/>
              <w:left w:val="single" w:sz="4" w:space="0" w:color="auto"/>
              <w:bottom w:val="single" w:sz="4" w:space="0" w:color="auto"/>
              <w:right w:val="single" w:sz="4" w:space="0" w:color="auto"/>
            </w:tcBorders>
            <w:vAlign w:val="center"/>
            <w:hideMark/>
          </w:tcPr>
          <w:p w14:paraId="6415C89D" w14:textId="77777777" w:rsidR="006918A0" w:rsidRPr="00130899" w:rsidRDefault="006918A0" w:rsidP="006918A0">
            <w:pPr>
              <w:spacing w:before="60" w:after="60" w:line="276" w:lineRule="auto"/>
              <w:ind w:right="-29"/>
              <w:jc w:val="center"/>
              <w:rPr>
                <w:noProof/>
                <w:sz w:val="18"/>
              </w:rPr>
            </w:pPr>
            <w:r w:rsidRPr="00130899">
              <w:rPr>
                <w:noProof/>
                <w:sz w:val="18"/>
              </w:rPr>
              <w:t>КОНКРЕТНА ЦЕЛ № 1</w:t>
            </w:r>
            <w:r w:rsidRPr="00130899">
              <w:rPr>
                <w:rStyle w:val="FootnoteReference"/>
                <w:noProof/>
              </w:rPr>
              <w:footnoteReference w:id="53"/>
            </w:r>
            <w:r w:rsidRPr="00130899">
              <w:rPr>
                <w:noProof/>
                <w:sz w:val="18"/>
              </w:rPr>
              <w:t>...</w:t>
            </w:r>
          </w:p>
        </w:tc>
        <w:tc>
          <w:tcPr>
            <w:tcW w:w="285" w:type="pct"/>
            <w:tcBorders>
              <w:top w:val="nil"/>
              <w:left w:val="nil"/>
              <w:bottom w:val="nil"/>
              <w:right w:val="nil"/>
            </w:tcBorders>
          </w:tcPr>
          <w:p w14:paraId="32BE2CD7" w14:textId="77777777" w:rsidR="006918A0" w:rsidRPr="00130899" w:rsidRDefault="006918A0" w:rsidP="006918A0">
            <w:pPr>
              <w:spacing w:before="60" w:after="60" w:line="276" w:lineRule="auto"/>
              <w:ind w:right="-29"/>
              <w:jc w:val="center"/>
              <w:rPr>
                <w:noProof/>
                <w:sz w:val="18"/>
              </w:rPr>
            </w:pPr>
          </w:p>
        </w:tc>
        <w:tc>
          <w:tcPr>
            <w:tcW w:w="266" w:type="pct"/>
            <w:tcBorders>
              <w:top w:val="nil"/>
              <w:left w:val="nil"/>
              <w:bottom w:val="nil"/>
              <w:right w:val="nil"/>
            </w:tcBorders>
          </w:tcPr>
          <w:p w14:paraId="44CB0CF8" w14:textId="77777777" w:rsidR="006918A0" w:rsidRPr="00130899" w:rsidRDefault="006918A0" w:rsidP="006918A0">
            <w:pPr>
              <w:spacing w:before="60" w:after="60" w:line="276" w:lineRule="auto"/>
              <w:ind w:right="-29"/>
              <w:jc w:val="center"/>
              <w:rPr>
                <w:noProof/>
                <w:sz w:val="18"/>
              </w:rPr>
            </w:pPr>
          </w:p>
        </w:tc>
        <w:tc>
          <w:tcPr>
            <w:tcW w:w="281" w:type="pct"/>
            <w:tcBorders>
              <w:top w:val="nil"/>
              <w:left w:val="nil"/>
              <w:bottom w:val="nil"/>
              <w:right w:val="nil"/>
            </w:tcBorders>
          </w:tcPr>
          <w:p w14:paraId="3CBD7045" w14:textId="77777777" w:rsidR="006918A0" w:rsidRPr="00130899" w:rsidRDefault="006918A0" w:rsidP="006918A0">
            <w:pPr>
              <w:spacing w:before="60" w:after="60" w:line="276" w:lineRule="auto"/>
              <w:ind w:right="-29"/>
              <w:jc w:val="center"/>
              <w:rPr>
                <w:noProof/>
                <w:sz w:val="18"/>
              </w:rPr>
            </w:pPr>
          </w:p>
        </w:tc>
        <w:tc>
          <w:tcPr>
            <w:tcW w:w="256" w:type="pct"/>
            <w:tcBorders>
              <w:top w:val="nil"/>
              <w:left w:val="nil"/>
              <w:bottom w:val="nil"/>
              <w:right w:val="nil"/>
            </w:tcBorders>
          </w:tcPr>
          <w:p w14:paraId="4A88C94D" w14:textId="77777777" w:rsidR="006918A0" w:rsidRPr="00130899" w:rsidRDefault="006918A0" w:rsidP="006918A0">
            <w:pPr>
              <w:spacing w:before="60" w:after="60" w:line="276" w:lineRule="auto"/>
              <w:ind w:right="-29"/>
              <w:jc w:val="center"/>
              <w:rPr>
                <w:noProof/>
                <w:sz w:val="18"/>
              </w:rPr>
            </w:pPr>
          </w:p>
        </w:tc>
        <w:tc>
          <w:tcPr>
            <w:tcW w:w="298" w:type="pct"/>
            <w:tcBorders>
              <w:top w:val="nil"/>
              <w:left w:val="nil"/>
              <w:bottom w:val="nil"/>
              <w:right w:val="nil"/>
            </w:tcBorders>
          </w:tcPr>
          <w:p w14:paraId="7C9F7EB0" w14:textId="77777777" w:rsidR="006918A0" w:rsidRPr="00130899" w:rsidRDefault="006918A0" w:rsidP="006918A0">
            <w:pPr>
              <w:spacing w:before="60" w:after="60" w:line="276" w:lineRule="auto"/>
              <w:ind w:right="-29"/>
              <w:jc w:val="center"/>
              <w:rPr>
                <w:noProof/>
                <w:sz w:val="18"/>
              </w:rPr>
            </w:pPr>
          </w:p>
        </w:tc>
        <w:tc>
          <w:tcPr>
            <w:tcW w:w="246" w:type="pct"/>
            <w:tcBorders>
              <w:top w:val="nil"/>
              <w:left w:val="nil"/>
              <w:bottom w:val="nil"/>
              <w:right w:val="nil"/>
            </w:tcBorders>
          </w:tcPr>
          <w:p w14:paraId="0DCC1F79" w14:textId="77777777" w:rsidR="006918A0" w:rsidRPr="00130899" w:rsidRDefault="006918A0" w:rsidP="006918A0">
            <w:pPr>
              <w:spacing w:before="60" w:after="60" w:line="276" w:lineRule="auto"/>
              <w:ind w:right="-29"/>
              <w:jc w:val="center"/>
              <w:rPr>
                <w:noProof/>
                <w:sz w:val="18"/>
              </w:rPr>
            </w:pPr>
          </w:p>
        </w:tc>
        <w:tc>
          <w:tcPr>
            <w:tcW w:w="367" w:type="pct"/>
            <w:tcBorders>
              <w:top w:val="nil"/>
              <w:left w:val="nil"/>
              <w:bottom w:val="nil"/>
              <w:right w:val="nil"/>
            </w:tcBorders>
          </w:tcPr>
          <w:p w14:paraId="6AE03068" w14:textId="77777777" w:rsidR="006918A0" w:rsidRPr="00130899" w:rsidRDefault="006918A0" w:rsidP="006918A0">
            <w:pPr>
              <w:spacing w:before="60" w:after="60" w:line="276" w:lineRule="auto"/>
              <w:ind w:right="-29"/>
              <w:jc w:val="center"/>
              <w:rPr>
                <w:noProof/>
                <w:sz w:val="18"/>
              </w:rPr>
            </w:pPr>
          </w:p>
        </w:tc>
        <w:tc>
          <w:tcPr>
            <w:tcW w:w="225" w:type="pct"/>
            <w:tcBorders>
              <w:top w:val="nil"/>
              <w:left w:val="nil"/>
              <w:bottom w:val="nil"/>
              <w:right w:val="nil"/>
            </w:tcBorders>
          </w:tcPr>
          <w:p w14:paraId="35AE029D" w14:textId="77777777" w:rsidR="006918A0" w:rsidRPr="00130899" w:rsidRDefault="006918A0" w:rsidP="006918A0">
            <w:pPr>
              <w:spacing w:before="60" w:after="60" w:line="276" w:lineRule="auto"/>
              <w:ind w:right="-29"/>
              <w:jc w:val="center"/>
              <w:rPr>
                <w:noProof/>
                <w:sz w:val="18"/>
              </w:rPr>
            </w:pPr>
          </w:p>
        </w:tc>
        <w:tc>
          <w:tcPr>
            <w:tcW w:w="258" w:type="pct"/>
            <w:tcBorders>
              <w:top w:val="nil"/>
              <w:left w:val="nil"/>
              <w:bottom w:val="nil"/>
              <w:right w:val="nil"/>
            </w:tcBorders>
          </w:tcPr>
          <w:p w14:paraId="6FA70C30" w14:textId="77777777" w:rsidR="006918A0" w:rsidRPr="00130899" w:rsidRDefault="006918A0" w:rsidP="006918A0">
            <w:pPr>
              <w:spacing w:before="60" w:after="60" w:line="276" w:lineRule="auto"/>
              <w:ind w:right="-29"/>
              <w:jc w:val="center"/>
              <w:rPr>
                <w:noProof/>
                <w:sz w:val="18"/>
              </w:rPr>
            </w:pPr>
          </w:p>
        </w:tc>
        <w:tc>
          <w:tcPr>
            <w:tcW w:w="241" w:type="pct"/>
            <w:tcBorders>
              <w:top w:val="nil"/>
              <w:left w:val="nil"/>
              <w:bottom w:val="nil"/>
              <w:right w:val="nil"/>
            </w:tcBorders>
          </w:tcPr>
          <w:p w14:paraId="768B6E64" w14:textId="77777777" w:rsidR="006918A0" w:rsidRPr="00130899" w:rsidRDefault="006918A0" w:rsidP="006918A0">
            <w:pPr>
              <w:spacing w:before="60" w:after="60" w:line="276" w:lineRule="auto"/>
              <w:ind w:right="-29"/>
              <w:jc w:val="center"/>
              <w:rPr>
                <w:noProof/>
                <w:sz w:val="18"/>
              </w:rPr>
            </w:pPr>
          </w:p>
        </w:tc>
        <w:tc>
          <w:tcPr>
            <w:tcW w:w="249" w:type="pct"/>
            <w:gridSpan w:val="2"/>
            <w:tcBorders>
              <w:top w:val="nil"/>
              <w:left w:val="nil"/>
              <w:bottom w:val="nil"/>
              <w:right w:val="nil"/>
            </w:tcBorders>
          </w:tcPr>
          <w:p w14:paraId="5E16F454" w14:textId="77777777" w:rsidR="006918A0" w:rsidRPr="00130899" w:rsidRDefault="006918A0" w:rsidP="006918A0">
            <w:pPr>
              <w:spacing w:before="60" w:after="60" w:line="276" w:lineRule="auto"/>
              <w:ind w:right="-29"/>
              <w:jc w:val="center"/>
              <w:rPr>
                <w:noProof/>
                <w:sz w:val="18"/>
              </w:rPr>
            </w:pPr>
          </w:p>
        </w:tc>
        <w:tc>
          <w:tcPr>
            <w:tcW w:w="264" w:type="pct"/>
            <w:tcBorders>
              <w:top w:val="nil"/>
              <w:left w:val="nil"/>
              <w:bottom w:val="nil"/>
              <w:right w:val="nil"/>
            </w:tcBorders>
          </w:tcPr>
          <w:p w14:paraId="31A81A0D" w14:textId="77777777" w:rsidR="006918A0" w:rsidRPr="00130899" w:rsidRDefault="006918A0" w:rsidP="006918A0">
            <w:pPr>
              <w:spacing w:before="60" w:after="60" w:line="276" w:lineRule="auto"/>
              <w:ind w:right="-29"/>
              <w:jc w:val="center"/>
              <w:rPr>
                <w:noProof/>
                <w:sz w:val="18"/>
              </w:rPr>
            </w:pPr>
          </w:p>
        </w:tc>
        <w:tc>
          <w:tcPr>
            <w:tcW w:w="129" w:type="pct"/>
            <w:gridSpan w:val="2"/>
            <w:tcBorders>
              <w:top w:val="nil"/>
              <w:left w:val="nil"/>
              <w:bottom w:val="nil"/>
              <w:right w:val="nil"/>
            </w:tcBorders>
          </w:tcPr>
          <w:p w14:paraId="18FC2EE8" w14:textId="77777777" w:rsidR="006918A0" w:rsidRPr="00130899" w:rsidRDefault="006918A0" w:rsidP="006918A0">
            <w:pPr>
              <w:spacing w:before="60" w:after="60" w:line="276" w:lineRule="auto"/>
              <w:ind w:right="-29"/>
              <w:jc w:val="center"/>
              <w:rPr>
                <w:noProof/>
                <w:sz w:val="18"/>
              </w:rPr>
            </w:pPr>
          </w:p>
        </w:tc>
        <w:tc>
          <w:tcPr>
            <w:tcW w:w="79" w:type="pct"/>
            <w:tcBorders>
              <w:top w:val="nil"/>
              <w:left w:val="nil"/>
              <w:bottom w:val="nil"/>
              <w:right w:val="nil"/>
            </w:tcBorders>
          </w:tcPr>
          <w:p w14:paraId="1DA02704" w14:textId="77777777" w:rsidR="006918A0" w:rsidRPr="00130899" w:rsidRDefault="006918A0" w:rsidP="006918A0">
            <w:pPr>
              <w:spacing w:before="60" w:after="60" w:line="276" w:lineRule="auto"/>
              <w:ind w:right="-29"/>
              <w:jc w:val="center"/>
              <w:rPr>
                <w:noProof/>
                <w:sz w:val="18"/>
              </w:rPr>
            </w:pPr>
          </w:p>
        </w:tc>
        <w:tc>
          <w:tcPr>
            <w:tcW w:w="78" w:type="pct"/>
            <w:gridSpan w:val="2"/>
            <w:tcBorders>
              <w:top w:val="nil"/>
              <w:left w:val="nil"/>
              <w:bottom w:val="nil"/>
              <w:right w:val="nil"/>
            </w:tcBorders>
          </w:tcPr>
          <w:p w14:paraId="240588CA" w14:textId="77777777" w:rsidR="006918A0" w:rsidRPr="00130899" w:rsidRDefault="006918A0" w:rsidP="006918A0">
            <w:pPr>
              <w:spacing w:before="60" w:after="60" w:line="276" w:lineRule="auto"/>
              <w:ind w:right="-29"/>
              <w:jc w:val="center"/>
              <w:rPr>
                <w:noProof/>
                <w:sz w:val="18"/>
              </w:rPr>
            </w:pPr>
          </w:p>
        </w:tc>
        <w:tc>
          <w:tcPr>
            <w:tcW w:w="394" w:type="pct"/>
            <w:tcBorders>
              <w:top w:val="nil"/>
              <w:left w:val="nil"/>
              <w:bottom w:val="nil"/>
              <w:right w:val="nil"/>
            </w:tcBorders>
          </w:tcPr>
          <w:p w14:paraId="035D7A0A" w14:textId="77777777" w:rsidR="006918A0" w:rsidRPr="00130899" w:rsidRDefault="006918A0" w:rsidP="006918A0">
            <w:pPr>
              <w:spacing w:before="60" w:after="60" w:line="276" w:lineRule="auto"/>
              <w:ind w:right="-29"/>
              <w:jc w:val="center"/>
              <w:rPr>
                <w:noProof/>
                <w:sz w:val="18"/>
              </w:rPr>
            </w:pPr>
          </w:p>
        </w:tc>
      </w:tr>
      <w:tr w:rsidR="006918A0" w:rsidRPr="00130899" w14:paraId="56AA0DB7" w14:textId="77777777" w:rsidTr="000430BD">
        <w:trPr>
          <w:trHeight w:hRule="exact" w:val="369"/>
          <w:jc w:val="center"/>
        </w:trPr>
        <w:tc>
          <w:tcPr>
            <w:tcW w:w="483" w:type="pct"/>
            <w:tcBorders>
              <w:top w:val="single" w:sz="4" w:space="0" w:color="auto"/>
              <w:left w:val="single" w:sz="4" w:space="0" w:color="auto"/>
              <w:bottom w:val="single" w:sz="4" w:space="0" w:color="auto"/>
              <w:right w:val="single" w:sz="4" w:space="0" w:color="auto"/>
            </w:tcBorders>
            <w:hideMark/>
          </w:tcPr>
          <w:p w14:paraId="373700DF" w14:textId="77777777" w:rsidR="006918A0" w:rsidRPr="00130899" w:rsidRDefault="006918A0" w:rsidP="006918A0">
            <w:pPr>
              <w:spacing w:line="276" w:lineRule="auto"/>
              <w:ind w:right="-29"/>
              <w:jc w:val="center"/>
              <w:rPr>
                <w:noProof/>
                <w:sz w:val="18"/>
              </w:rPr>
            </w:pPr>
            <w:r w:rsidRPr="00130899">
              <w:rPr>
                <w:noProof/>
                <w:sz w:val="18"/>
              </w:rPr>
              <w:t>Спецификации</w:t>
            </w:r>
          </w:p>
        </w:tc>
        <w:tc>
          <w:tcPr>
            <w:tcW w:w="249" w:type="pct"/>
            <w:tcBorders>
              <w:top w:val="single" w:sz="4" w:space="0" w:color="auto"/>
              <w:left w:val="single" w:sz="4" w:space="0" w:color="auto"/>
              <w:bottom w:val="single" w:sz="4" w:space="0" w:color="auto"/>
              <w:right w:val="single" w:sz="4" w:space="0" w:color="auto"/>
            </w:tcBorders>
          </w:tcPr>
          <w:p w14:paraId="54294407" w14:textId="77777777" w:rsidR="006918A0" w:rsidRPr="00130899" w:rsidRDefault="006918A0" w:rsidP="006918A0">
            <w:pPr>
              <w:spacing w:line="276" w:lineRule="auto"/>
              <w:ind w:right="-29"/>
              <w:jc w:val="center"/>
              <w:rPr>
                <w:noProof/>
                <w:sz w:val="18"/>
              </w:rPr>
            </w:pPr>
          </w:p>
        </w:tc>
        <w:tc>
          <w:tcPr>
            <w:tcW w:w="351" w:type="pct"/>
            <w:tcBorders>
              <w:top w:val="single" w:sz="4" w:space="0" w:color="auto"/>
              <w:left w:val="single" w:sz="4" w:space="0" w:color="auto"/>
              <w:bottom w:val="single" w:sz="4" w:space="0" w:color="auto"/>
              <w:right w:val="single" w:sz="4" w:space="0" w:color="auto"/>
            </w:tcBorders>
          </w:tcPr>
          <w:p w14:paraId="4E23924A" w14:textId="77777777" w:rsidR="006918A0" w:rsidRPr="00130899" w:rsidRDefault="006918A0" w:rsidP="006918A0">
            <w:pPr>
              <w:spacing w:line="276" w:lineRule="auto"/>
              <w:ind w:right="-29"/>
              <w:jc w:val="center"/>
              <w:rPr>
                <w:noProof/>
                <w:sz w:val="18"/>
              </w:rPr>
            </w:pPr>
          </w:p>
        </w:tc>
        <w:tc>
          <w:tcPr>
            <w:tcW w:w="285" w:type="pct"/>
            <w:tcBorders>
              <w:top w:val="single" w:sz="4" w:space="0" w:color="auto"/>
              <w:left w:val="single" w:sz="4" w:space="0" w:color="auto"/>
              <w:bottom w:val="single" w:sz="4" w:space="0" w:color="auto"/>
              <w:right w:val="dashSmallGap" w:sz="4" w:space="0" w:color="auto"/>
            </w:tcBorders>
          </w:tcPr>
          <w:p w14:paraId="45B0013E" w14:textId="77777777" w:rsidR="006918A0" w:rsidRPr="00130899" w:rsidRDefault="006918A0" w:rsidP="006918A0">
            <w:pPr>
              <w:spacing w:line="276" w:lineRule="auto"/>
              <w:ind w:right="-29"/>
              <w:jc w:val="center"/>
              <w:rPr>
                <w:noProof/>
                <w:sz w:val="18"/>
              </w:rPr>
            </w:pPr>
          </w:p>
        </w:tc>
        <w:tc>
          <w:tcPr>
            <w:tcW w:w="266" w:type="pct"/>
            <w:tcBorders>
              <w:top w:val="single" w:sz="4" w:space="0" w:color="auto"/>
              <w:left w:val="dashSmallGap" w:sz="4" w:space="0" w:color="auto"/>
              <w:bottom w:val="single" w:sz="4" w:space="0" w:color="auto"/>
              <w:right w:val="single" w:sz="4" w:space="0" w:color="auto"/>
            </w:tcBorders>
            <w:hideMark/>
          </w:tcPr>
          <w:p w14:paraId="0C2C71A2" w14:textId="77777777" w:rsidR="006918A0" w:rsidRPr="00130899" w:rsidRDefault="006918A0" w:rsidP="006918A0">
            <w:pPr>
              <w:spacing w:line="276" w:lineRule="auto"/>
              <w:ind w:right="-29"/>
              <w:jc w:val="center"/>
              <w:rPr>
                <w:noProof/>
                <w:sz w:val="18"/>
              </w:rPr>
            </w:pPr>
            <w:r w:rsidRPr="00130899">
              <w:rPr>
                <w:noProof/>
                <w:sz w:val="18"/>
              </w:rPr>
              <w:t>0,150</w:t>
            </w:r>
          </w:p>
        </w:tc>
        <w:tc>
          <w:tcPr>
            <w:tcW w:w="281" w:type="pct"/>
            <w:tcBorders>
              <w:top w:val="single" w:sz="4" w:space="0" w:color="auto"/>
              <w:left w:val="single" w:sz="4" w:space="0" w:color="auto"/>
              <w:bottom w:val="single" w:sz="4" w:space="0" w:color="auto"/>
              <w:right w:val="dashSmallGap" w:sz="4" w:space="0" w:color="auto"/>
            </w:tcBorders>
          </w:tcPr>
          <w:p w14:paraId="200FF99E" w14:textId="77777777" w:rsidR="006918A0" w:rsidRPr="00130899" w:rsidRDefault="006918A0" w:rsidP="006918A0">
            <w:pPr>
              <w:spacing w:line="276" w:lineRule="auto"/>
              <w:ind w:right="-29"/>
              <w:jc w:val="center"/>
              <w:rPr>
                <w:noProof/>
                <w:sz w:val="18"/>
              </w:rPr>
            </w:pPr>
          </w:p>
        </w:tc>
        <w:tc>
          <w:tcPr>
            <w:tcW w:w="256" w:type="pct"/>
            <w:tcBorders>
              <w:top w:val="single" w:sz="4" w:space="0" w:color="auto"/>
              <w:left w:val="dashSmallGap" w:sz="4" w:space="0" w:color="auto"/>
              <w:bottom w:val="single" w:sz="4" w:space="0" w:color="auto"/>
              <w:right w:val="single" w:sz="4" w:space="0" w:color="auto"/>
            </w:tcBorders>
            <w:hideMark/>
          </w:tcPr>
          <w:p w14:paraId="1FE7EADB" w14:textId="77777777" w:rsidR="006918A0" w:rsidRPr="00130899" w:rsidRDefault="006918A0" w:rsidP="006918A0">
            <w:pPr>
              <w:spacing w:line="276" w:lineRule="auto"/>
              <w:ind w:right="-29"/>
              <w:jc w:val="center"/>
              <w:rPr>
                <w:noProof/>
                <w:sz w:val="18"/>
              </w:rPr>
            </w:pPr>
            <w:r w:rsidRPr="00130899">
              <w:rPr>
                <w:noProof/>
                <w:sz w:val="18"/>
              </w:rPr>
              <w:t>0,100</w:t>
            </w:r>
          </w:p>
        </w:tc>
        <w:tc>
          <w:tcPr>
            <w:tcW w:w="298" w:type="pct"/>
            <w:tcBorders>
              <w:top w:val="single" w:sz="4" w:space="0" w:color="auto"/>
              <w:left w:val="single" w:sz="4" w:space="0" w:color="auto"/>
              <w:bottom w:val="single" w:sz="4" w:space="0" w:color="auto"/>
              <w:right w:val="dashSmallGap" w:sz="4" w:space="0" w:color="auto"/>
            </w:tcBorders>
          </w:tcPr>
          <w:p w14:paraId="1F299FD7" w14:textId="77777777" w:rsidR="006918A0" w:rsidRPr="00130899" w:rsidRDefault="006918A0" w:rsidP="006918A0">
            <w:pPr>
              <w:spacing w:line="276" w:lineRule="auto"/>
              <w:ind w:right="-29"/>
              <w:jc w:val="center"/>
              <w:rPr>
                <w:noProof/>
                <w:sz w:val="18"/>
              </w:rPr>
            </w:pPr>
          </w:p>
        </w:tc>
        <w:tc>
          <w:tcPr>
            <w:tcW w:w="246" w:type="pct"/>
            <w:tcBorders>
              <w:top w:val="single" w:sz="4" w:space="0" w:color="auto"/>
              <w:left w:val="dashSmallGap" w:sz="4" w:space="0" w:color="auto"/>
              <w:bottom w:val="single" w:sz="4" w:space="0" w:color="auto"/>
              <w:right w:val="single" w:sz="4" w:space="0" w:color="auto"/>
            </w:tcBorders>
          </w:tcPr>
          <w:p w14:paraId="1AE5AB23" w14:textId="77777777" w:rsidR="006918A0" w:rsidRPr="00130899" w:rsidRDefault="006918A0" w:rsidP="006918A0">
            <w:pPr>
              <w:spacing w:line="276" w:lineRule="auto"/>
              <w:ind w:right="-29"/>
              <w:jc w:val="center"/>
              <w:rPr>
                <w:noProof/>
                <w:sz w:val="18"/>
              </w:rPr>
            </w:pPr>
          </w:p>
        </w:tc>
        <w:tc>
          <w:tcPr>
            <w:tcW w:w="367" w:type="pct"/>
            <w:tcBorders>
              <w:top w:val="single" w:sz="4" w:space="0" w:color="auto"/>
              <w:left w:val="single" w:sz="4" w:space="0" w:color="auto"/>
              <w:bottom w:val="single" w:sz="4" w:space="0" w:color="auto"/>
              <w:right w:val="dashSmallGap" w:sz="4" w:space="0" w:color="auto"/>
            </w:tcBorders>
          </w:tcPr>
          <w:p w14:paraId="77E321BF" w14:textId="77777777" w:rsidR="006918A0" w:rsidRPr="00130899" w:rsidRDefault="006918A0" w:rsidP="006918A0">
            <w:pPr>
              <w:spacing w:line="276" w:lineRule="auto"/>
              <w:ind w:right="-29"/>
              <w:jc w:val="center"/>
              <w:rPr>
                <w:noProof/>
                <w:sz w:val="18"/>
              </w:rPr>
            </w:pPr>
          </w:p>
        </w:tc>
        <w:tc>
          <w:tcPr>
            <w:tcW w:w="225" w:type="pct"/>
            <w:tcBorders>
              <w:top w:val="single" w:sz="4" w:space="0" w:color="auto"/>
              <w:left w:val="dashSmallGap" w:sz="4" w:space="0" w:color="auto"/>
              <w:bottom w:val="single" w:sz="4" w:space="0" w:color="auto"/>
              <w:right w:val="single" w:sz="4" w:space="0" w:color="auto"/>
            </w:tcBorders>
          </w:tcPr>
          <w:p w14:paraId="5F9299E4" w14:textId="77777777" w:rsidR="006918A0" w:rsidRPr="00130899" w:rsidRDefault="006918A0" w:rsidP="006918A0">
            <w:pPr>
              <w:spacing w:line="276" w:lineRule="auto"/>
              <w:ind w:right="-29"/>
              <w:jc w:val="center"/>
              <w:rPr>
                <w:noProof/>
                <w:sz w:val="18"/>
              </w:rPr>
            </w:pPr>
          </w:p>
        </w:tc>
        <w:tc>
          <w:tcPr>
            <w:tcW w:w="258" w:type="pct"/>
            <w:tcBorders>
              <w:top w:val="single" w:sz="4" w:space="0" w:color="auto"/>
              <w:left w:val="single" w:sz="4" w:space="0" w:color="auto"/>
              <w:bottom w:val="single" w:sz="4" w:space="0" w:color="auto"/>
              <w:right w:val="dashSmallGap" w:sz="4" w:space="0" w:color="auto"/>
            </w:tcBorders>
          </w:tcPr>
          <w:p w14:paraId="1626A343" w14:textId="77777777" w:rsidR="006918A0" w:rsidRPr="00130899" w:rsidRDefault="006918A0" w:rsidP="006918A0">
            <w:pPr>
              <w:spacing w:line="276" w:lineRule="auto"/>
              <w:ind w:right="-29"/>
              <w:jc w:val="center"/>
              <w:rPr>
                <w:noProof/>
                <w:sz w:val="18"/>
              </w:rPr>
            </w:pPr>
          </w:p>
        </w:tc>
        <w:tc>
          <w:tcPr>
            <w:tcW w:w="241" w:type="pct"/>
            <w:tcBorders>
              <w:top w:val="single" w:sz="4" w:space="0" w:color="auto"/>
              <w:left w:val="dashSmallGap" w:sz="4" w:space="0" w:color="auto"/>
              <w:bottom w:val="single" w:sz="4" w:space="0" w:color="auto"/>
              <w:right w:val="single" w:sz="4" w:space="0" w:color="auto"/>
            </w:tcBorders>
          </w:tcPr>
          <w:p w14:paraId="6351F63D" w14:textId="77777777" w:rsidR="006918A0" w:rsidRPr="00130899" w:rsidRDefault="006918A0" w:rsidP="006918A0">
            <w:pPr>
              <w:spacing w:line="276" w:lineRule="auto"/>
              <w:ind w:right="-29"/>
              <w:jc w:val="center"/>
              <w:rPr>
                <w:noProof/>
                <w:sz w:val="18"/>
              </w:rPr>
            </w:pPr>
          </w:p>
        </w:tc>
        <w:tc>
          <w:tcPr>
            <w:tcW w:w="249" w:type="pct"/>
            <w:gridSpan w:val="2"/>
            <w:tcBorders>
              <w:top w:val="single" w:sz="4" w:space="0" w:color="auto"/>
              <w:left w:val="single" w:sz="4" w:space="0" w:color="auto"/>
              <w:bottom w:val="single" w:sz="4" w:space="0" w:color="auto"/>
              <w:right w:val="dashSmallGap" w:sz="4" w:space="0" w:color="auto"/>
            </w:tcBorders>
          </w:tcPr>
          <w:p w14:paraId="5A606524" w14:textId="77777777" w:rsidR="006918A0" w:rsidRPr="00130899" w:rsidRDefault="006918A0" w:rsidP="006918A0">
            <w:pPr>
              <w:spacing w:line="276" w:lineRule="auto"/>
              <w:ind w:right="-29"/>
              <w:jc w:val="center"/>
              <w:rPr>
                <w:noProof/>
                <w:sz w:val="18"/>
              </w:rPr>
            </w:pPr>
          </w:p>
        </w:tc>
        <w:tc>
          <w:tcPr>
            <w:tcW w:w="318" w:type="pct"/>
            <w:gridSpan w:val="2"/>
            <w:tcBorders>
              <w:top w:val="single" w:sz="4" w:space="0" w:color="auto"/>
              <w:left w:val="dashSmallGap" w:sz="4" w:space="0" w:color="auto"/>
              <w:bottom w:val="single" w:sz="4" w:space="0" w:color="auto"/>
              <w:right w:val="single" w:sz="4" w:space="0" w:color="auto"/>
            </w:tcBorders>
          </w:tcPr>
          <w:p w14:paraId="3F14EDE5" w14:textId="77777777" w:rsidR="006918A0" w:rsidRPr="00130899" w:rsidRDefault="006918A0" w:rsidP="006918A0">
            <w:pPr>
              <w:spacing w:line="276" w:lineRule="auto"/>
              <w:ind w:right="-29"/>
              <w:jc w:val="center"/>
              <w:rPr>
                <w:noProof/>
                <w:sz w:val="18"/>
              </w:rPr>
            </w:pPr>
          </w:p>
        </w:tc>
        <w:tc>
          <w:tcPr>
            <w:tcW w:w="223" w:type="pct"/>
            <w:gridSpan w:val="3"/>
            <w:tcBorders>
              <w:top w:val="single" w:sz="4" w:space="0" w:color="auto"/>
              <w:left w:val="single" w:sz="4" w:space="0" w:color="auto"/>
              <w:bottom w:val="single" w:sz="4" w:space="0" w:color="auto"/>
              <w:right w:val="single" w:sz="4" w:space="0" w:color="auto"/>
            </w:tcBorders>
          </w:tcPr>
          <w:p w14:paraId="20F73F89" w14:textId="77777777" w:rsidR="006918A0" w:rsidRPr="00130899" w:rsidRDefault="006918A0" w:rsidP="006918A0">
            <w:pPr>
              <w:spacing w:line="276" w:lineRule="auto"/>
              <w:ind w:right="-29"/>
              <w:jc w:val="center"/>
              <w:rPr>
                <w:noProof/>
                <w:sz w:val="18"/>
              </w:rPr>
            </w:pPr>
          </w:p>
        </w:tc>
        <w:tc>
          <w:tcPr>
            <w:tcW w:w="403" w:type="pct"/>
            <w:gridSpan w:val="2"/>
            <w:tcBorders>
              <w:top w:val="single" w:sz="4" w:space="0" w:color="auto"/>
              <w:left w:val="single" w:sz="4" w:space="0" w:color="auto"/>
              <w:bottom w:val="single" w:sz="4" w:space="0" w:color="auto"/>
              <w:right w:val="single" w:sz="4" w:space="0" w:color="auto"/>
            </w:tcBorders>
            <w:vAlign w:val="center"/>
            <w:hideMark/>
          </w:tcPr>
          <w:p w14:paraId="484D4056" w14:textId="77777777" w:rsidR="006918A0" w:rsidRPr="00130899" w:rsidRDefault="006918A0" w:rsidP="006918A0">
            <w:pPr>
              <w:spacing w:line="276" w:lineRule="auto"/>
              <w:ind w:right="-29"/>
              <w:jc w:val="right"/>
              <w:rPr>
                <w:noProof/>
                <w:sz w:val="18"/>
              </w:rPr>
            </w:pPr>
            <w:r w:rsidRPr="00130899">
              <w:rPr>
                <w:b/>
                <w:noProof/>
                <w:sz w:val="18"/>
              </w:rPr>
              <w:t>0,250</w:t>
            </w:r>
          </w:p>
        </w:tc>
      </w:tr>
      <w:tr w:rsidR="006918A0" w:rsidRPr="00130899" w14:paraId="6ECF543E" w14:textId="77777777" w:rsidTr="000430BD">
        <w:trPr>
          <w:trHeight w:hRule="exact" w:val="369"/>
          <w:jc w:val="center"/>
        </w:trPr>
        <w:tc>
          <w:tcPr>
            <w:tcW w:w="483" w:type="pct"/>
            <w:tcBorders>
              <w:top w:val="single" w:sz="4" w:space="0" w:color="auto"/>
              <w:left w:val="single" w:sz="4" w:space="0" w:color="auto"/>
              <w:bottom w:val="single" w:sz="4" w:space="0" w:color="auto"/>
              <w:right w:val="single" w:sz="4" w:space="0" w:color="auto"/>
            </w:tcBorders>
            <w:hideMark/>
          </w:tcPr>
          <w:p w14:paraId="54DD0397" w14:textId="77777777" w:rsidR="006918A0" w:rsidRPr="00130899" w:rsidRDefault="006918A0" w:rsidP="006918A0">
            <w:pPr>
              <w:spacing w:line="276" w:lineRule="auto"/>
              <w:ind w:right="-29"/>
              <w:jc w:val="center"/>
              <w:rPr>
                <w:noProof/>
                <w:sz w:val="18"/>
              </w:rPr>
            </w:pPr>
            <w:r w:rsidRPr="00130899">
              <w:rPr>
                <w:noProof/>
                <w:sz w:val="18"/>
              </w:rPr>
              <w:t>Разработване</w:t>
            </w:r>
          </w:p>
        </w:tc>
        <w:tc>
          <w:tcPr>
            <w:tcW w:w="249" w:type="pct"/>
            <w:tcBorders>
              <w:top w:val="single" w:sz="4" w:space="0" w:color="auto"/>
              <w:left w:val="single" w:sz="4" w:space="0" w:color="auto"/>
              <w:bottom w:val="single" w:sz="4" w:space="0" w:color="auto"/>
              <w:right w:val="single" w:sz="4" w:space="0" w:color="auto"/>
            </w:tcBorders>
          </w:tcPr>
          <w:p w14:paraId="3DDF9717" w14:textId="77777777" w:rsidR="006918A0" w:rsidRPr="00130899" w:rsidRDefault="006918A0" w:rsidP="006918A0">
            <w:pPr>
              <w:spacing w:line="276" w:lineRule="auto"/>
              <w:ind w:right="-29"/>
              <w:jc w:val="center"/>
              <w:rPr>
                <w:noProof/>
                <w:sz w:val="18"/>
              </w:rPr>
            </w:pPr>
          </w:p>
        </w:tc>
        <w:tc>
          <w:tcPr>
            <w:tcW w:w="351" w:type="pct"/>
            <w:tcBorders>
              <w:top w:val="single" w:sz="4" w:space="0" w:color="auto"/>
              <w:left w:val="single" w:sz="4" w:space="0" w:color="auto"/>
              <w:bottom w:val="single" w:sz="4" w:space="0" w:color="auto"/>
              <w:right w:val="single" w:sz="4" w:space="0" w:color="auto"/>
            </w:tcBorders>
          </w:tcPr>
          <w:p w14:paraId="45B42206" w14:textId="77777777" w:rsidR="006918A0" w:rsidRPr="00130899" w:rsidRDefault="006918A0" w:rsidP="006918A0">
            <w:pPr>
              <w:spacing w:line="276" w:lineRule="auto"/>
              <w:ind w:right="-29"/>
              <w:jc w:val="center"/>
              <w:rPr>
                <w:noProof/>
                <w:sz w:val="18"/>
              </w:rPr>
            </w:pPr>
          </w:p>
        </w:tc>
        <w:tc>
          <w:tcPr>
            <w:tcW w:w="285" w:type="pct"/>
            <w:tcBorders>
              <w:top w:val="single" w:sz="4" w:space="0" w:color="auto"/>
              <w:left w:val="single" w:sz="4" w:space="0" w:color="auto"/>
              <w:bottom w:val="single" w:sz="4" w:space="0" w:color="auto"/>
              <w:right w:val="dashSmallGap" w:sz="4" w:space="0" w:color="auto"/>
            </w:tcBorders>
          </w:tcPr>
          <w:p w14:paraId="2A8A23C3" w14:textId="77777777" w:rsidR="006918A0" w:rsidRPr="00130899" w:rsidRDefault="006918A0" w:rsidP="006918A0">
            <w:pPr>
              <w:spacing w:line="276" w:lineRule="auto"/>
              <w:ind w:right="-29"/>
              <w:jc w:val="center"/>
              <w:rPr>
                <w:noProof/>
                <w:sz w:val="18"/>
              </w:rPr>
            </w:pPr>
          </w:p>
        </w:tc>
        <w:tc>
          <w:tcPr>
            <w:tcW w:w="266" w:type="pct"/>
            <w:tcBorders>
              <w:top w:val="single" w:sz="4" w:space="0" w:color="auto"/>
              <w:left w:val="dashSmallGap" w:sz="4" w:space="0" w:color="auto"/>
              <w:bottom w:val="single" w:sz="4" w:space="0" w:color="auto"/>
              <w:right w:val="single" w:sz="4" w:space="0" w:color="auto"/>
            </w:tcBorders>
          </w:tcPr>
          <w:p w14:paraId="108AB2AE" w14:textId="77777777" w:rsidR="006918A0" w:rsidRPr="00130899" w:rsidRDefault="006918A0" w:rsidP="006918A0">
            <w:pPr>
              <w:spacing w:line="276" w:lineRule="auto"/>
              <w:ind w:right="-29"/>
              <w:jc w:val="center"/>
              <w:rPr>
                <w:noProof/>
                <w:sz w:val="18"/>
              </w:rPr>
            </w:pPr>
          </w:p>
        </w:tc>
        <w:tc>
          <w:tcPr>
            <w:tcW w:w="281" w:type="pct"/>
            <w:tcBorders>
              <w:top w:val="single" w:sz="4" w:space="0" w:color="auto"/>
              <w:left w:val="single" w:sz="4" w:space="0" w:color="auto"/>
              <w:bottom w:val="single" w:sz="4" w:space="0" w:color="auto"/>
              <w:right w:val="dashSmallGap" w:sz="4" w:space="0" w:color="auto"/>
            </w:tcBorders>
          </w:tcPr>
          <w:p w14:paraId="33F57196" w14:textId="77777777" w:rsidR="006918A0" w:rsidRPr="00130899" w:rsidRDefault="006918A0" w:rsidP="006918A0">
            <w:pPr>
              <w:spacing w:line="276" w:lineRule="auto"/>
              <w:ind w:right="-29"/>
              <w:jc w:val="center"/>
              <w:rPr>
                <w:noProof/>
                <w:sz w:val="18"/>
              </w:rPr>
            </w:pPr>
          </w:p>
        </w:tc>
        <w:tc>
          <w:tcPr>
            <w:tcW w:w="256" w:type="pct"/>
            <w:tcBorders>
              <w:top w:val="single" w:sz="4" w:space="0" w:color="auto"/>
              <w:left w:val="dashSmallGap" w:sz="4" w:space="0" w:color="auto"/>
              <w:bottom w:val="single" w:sz="4" w:space="0" w:color="auto"/>
              <w:right w:val="single" w:sz="4" w:space="0" w:color="auto"/>
            </w:tcBorders>
            <w:hideMark/>
          </w:tcPr>
          <w:p w14:paraId="6A13600E" w14:textId="77777777" w:rsidR="006918A0" w:rsidRPr="00130899" w:rsidRDefault="006918A0" w:rsidP="006918A0">
            <w:pPr>
              <w:spacing w:line="276" w:lineRule="auto"/>
              <w:ind w:right="-29"/>
              <w:jc w:val="center"/>
              <w:rPr>
                <w:noProof/>
                <w:sz w:val="18"/>
              </w:rPr>
            </w:pPr>
            <w:r w:rsidRPr="00130899">
              <w:rPr>
                <w:noProof/>
                <w:sz w:val="18"/>
              </w:rPr>
              <w:t>0,300</w:t>
            </w:r>
          </w:p>
        </w:tc>
        <w:tc>
          <w:tcPr>
            <w:tcW w:w="298" w:type="pct"/>
            <w:tcBorders>
              <w:top w:val="single" w:sz="4" w:space="0" w:color="auto"/>
              <w:left w:val="single" w:sz="4" w:space="0" w:color="auto"/>
              <w:bottom w:val="single" w:sz="4" w:space="0" w:color="auto"/>
              <w:right w:val="dashSmallGap" w:sz="4" w:space="0" w:color="auto"/>
            </w:tcBorders>
          </w:tcPr>
          <w:p w14:paraId="0458EDC1" w14:textId="77777777" w:rsidR="006918A0" w:rsidRPr="00130899" w:rsidRDefault="006918A0" w:rsidP="006918A0">
            <w:pPr>
              <w:spacing w:line="276" w:lineRule="auto"/>
              <w:ind w:right="-29"/>
              <w:jc w:val="center"/>
              <w:rPr>
                <w:noProof/>
                <w:sz w:val="18"/>
              </w:rPr>
            </w:pPr>
          </w:p>
        </w:tc>
        <w:tc>
          <w:tcPr>
            <w:tcW w:w="246" w:type="pct"/>
            <w:tcBorders>
              <w:top w:val="single" w:sz="4" w:space="0" w:color="auto"/>
              <w:left w:val="dashSmallGap" w:sz="4" w:space="0" w:color="auto"/>
              <w:bottom w:val="single" w:sz="4" w:space="0" w:color="auto"/>
              <w:right w:val="single" w:sz="4" w:space="0" w:color="auto"/>
            </w:tcBorders>
            <w:hideMark/>
          </w:tcPr>
          <w:p w14:paraId="62A5B178" w14:textId="77777777" w:rsidR="006918A0" w:rsidRPr="00130899" w:rsidRDefault="006918A0" w:rsidP="006918A0">
            <w:pPr>
              <w:spacing w:line="276" w:lineRule="auto"/>
              <w:ind w:right="-29"/>
              <w:jc w:val="center"/>
              <w:rPr>
                <w:noProof/>
                <w:sz w:val="18"/>
              </w:rPr>
            </w:pPr>
            <w:r w:rsidRPr="00130899">
              <w:rPr>
                <w:noProof/>
                <w:sz w:val="18"/>
              </w:rPr>
              <w:t>0,200</w:t>
            </w:r>
          </w:p>
        </w:tc>
        <w:tc>
          <w:tcPr>
            <w:tcW w:w="367" w:type="pct"/>
            <w:tcBorders>
              <w:top w:val="single" w:sz="4" w:space="0" w:color="auto"/>
              <w:left w:val="single" w:sz="4" w:space="0" w:color="auto"/>
              <w:bottom w:val="single" w:sz="4" w:space="0" w:color="auto"/>
              <w:right w:val="dashSmallGap" w:sz="4" w:space="0" w:color="auto"/>
            </w:tcBorders>
          </w:tcPr>
          <w:p w14:paraId="099636D1" w14:textId="77777777" w:rsidR="006918A0" w:rsidRPr="00130899" w:rsidRDefault="006918A0" w:rsidP="006918A0">
            <w:pPr>
              <w:spacing w:line="276" w:lineRule="auto"/>
              <w:ind w:right="-29"/>
              <w:jc w:val="center"/>
              <w:rPr>
                <w:noProof/>
                <w:sz w:val="18"/>
              </w:rPr>
            </w:pPr>
          </w:p>
        </w:tc>
        <w:tc>
          <w:tcPr>
            <w:tcW w:w="225" w:type="pct"/>
            <w:tcBorders>
              <w:top w:val="single" w:sz="4" w:space="0" w:color="auto"/>
              <w:left w:val="dashSmallGap" w:sz="4" w:space="0" w:color="auto"/>
              <w:bottom w:val="single" w:sz="4" w:space="0" w:color="auto"/>
              <w:right w:val="single" w:sz="4" w:space="0" w:color="auto"/>
            </w:tcBorders>
            <w:hideMark/>
          </w:tcPr>
          <w:p w14:paraId="62C1AAD1" w14:textId="77777777" w:rsidR="006918A0" w:rsidRPr="00130899" w:rsidRDefault="006918A0" w:rsidP="006918A0">
            <w:pPr>
              <w:spacing w:line="276" w:lineRule="auto"/>
              <w:ind w:right="-29"/>
              <w:jc w:val="center"/>
              <w:rPr>
                <w:noProof/>
                <w:sz w:val="18"/>
              </w:rPr>
            </w:pPr>
            <w:r w:rsidRPr="00130899">
              <w:rPr>
                <w:noProof/>
                <w:sz w:val="18"/>
              </w:rPr>
              <w:t>0,150</w:t>
            </w:r>
          </w:p>
        </w:tc>
        <w:tc>
          <w:tcPr>
            <w:tcW w:w="258" w:type="pct"/>
            <w:tcBorders>
              <w:top w:val="single" w:sz="4" w:space="0" w:color="auto"/>
              <w:left w:val="single" w:sz="4" w:space="0" w:color="auto"/>
              <w:bottom w:val="single" w:sz="4" w:space="0" w:color="auto"/>
              <w:right w:val="dashSmallGap" w:sz="4" w:space="0" w:color="auto"/>
            </w:tcBorders>
          </w:tcPr>
          <w:p w14:paraId="3AC30B4A" w14:textId="77777777" w:rsidR="006918A0" w:rsidRPr="00130899" w:rsidRDefault="006918A0" w:rsidP="006918A0">
            <w:pPr>
              <w:spacing w:line="276" w:lineRule="auto"/>
              <w:ind w:right="-29"/>
              <w:jc w:val="center"/>
              <w:rPr>
                <w:noProof/>
                <w:sz w:val="18"/>
              </w:rPr>
            </w:pPr>
          </w:p>
        </w:tc>
        <w:tc>
          <w:tcPr>
            <w:tcW w:w="241" w:type="pct"/>
            <w:tcBorders>
              <w:top w:val="single" w:sz="4" w:space="0" w:color="auto"/>
              <w:left w:val="dashSmallGap" w:sz="4" w:space="0" w:color="auto"/>
              <w:bottom w:val="single" w:sz="4" w:space="0" w:color="auto"/>
              <w:right w:val="single" w:sz="4" w:space="0" w:color="auto"/>
            </w:tcBorders>
          </w:tcPr>
          <w:p w14:paraId="6794D6EB" w14:textId="77777777" w:rsidR="006918A0" w:rsidRPr="00130899" w:rsidRDefault="006918A0" w:rsidP="006918A0">
            <w:pPr>
              <w:spacing w:line="276" w:lineRule="auto"/>
              <w:ind w:right="-29"/>
              <w:jc w:val="center"/>
              <w:rPr>
                <w:noProof/>
                <w:sz w:val="18"/>
              </w:rPr>
            </w:pPr>
          </w:p>
        </w:tc>
        <w:tc>
          <w:tcPr>
            <w:tcW w:w="249" w:type="pct"/>
            <w:gridSpan w:val="2"/>
            <w:tcBorders>
              <w:top w:val="single" w:sz="4" w:space="0" w:color="auto"/>
              <w:left w:val="single" w:sz="4" w:space="0" w:color="auto"/>
              <w:bottom w:val="single" w:sz="4" w:space="0" w:color="auto"/>
              <w:right w:val="dashSmallGap" w:sz="4" w:space="0" w:color="auto"/>
            </w:tcBorders>
          </w:tcPr>
          <w:p w14:paraId="5405E8AF" w14:textId="77777777" w:rsidR="006918A0" w:rsidRPr="00130899" w:rsidRDefault="006918A0" w:rsidP="006918A0">
            <w:pPr>
              <w:spacing w:line="276" w:lineRule="auto"/>
              <w:ind w:right="-29"/>
              <w:jc w:val="center"/>
              <w:rPr>
                <w:noProof/>
                <w:sz w:val="18"/>
              </w:rPr>
            </w:pPr>
          </w:p>
        </w:tc>
        <w:tc>
          <w:tcPr>
            <w:tcW w:w="318" w:type="pct"/>
            <w:gridSpan w:val="2"/>
            <w:tcBorders>
              <w:top w:val="single" w:sz="4" w:space="0" w:color="auto"/>
              <w:left w:val="dashSmallGap" w:sz="4" w:space="0" w:color="auto"/>
              <w:bottom w:val="single" w:sz="4" w:space="0" w:color="auto"/>
              <w:right w:val="single" w:sz="4" w:space="0" w:color="auto"/>
            </w:tcBorders>
          </w:tcPr>
          <w:p w14:paraId="01BC7053" w14:textId="77777777" w:rsidR="006918A0" w:rsidRPr="00130899" w:rsidRDefault="006918A0" w:rsidP="006918A0">
            <w:pPr>
              <w:spacing w:line="276" w:lineRule="auto"/>
              <w:ind w:right="-29"/>
              <w:jc w:val="center"/>
              <w:rPr>
                <w:noProof/>
                <w:sz w:val="18"/>
              </w:rPr>
            </w:pPr>
          </w:p>
        </w:tc>
        <w:tc>
          <w:tcPr>
            <w:tcW w:w="223" w:type="pct"/>
            <w:gridSpan w:val="3"/>
            <w:tcBorders>
              <w:top w:val="single" w:sz="4" w:space="0" w:color="auto"/>
              <w:left w:val="single" w:sz="4" w:space="0" w:color="auto"/>
              <w:bottom w:val="single" w:sz="4" w:space="0" w:color="auto"/>
              <w:right w:val="single" w:sz="4" w:space="0" w:color="auto"/>
            </w:tcBorders>
          </w:tcPr>
          <w:p w14:paraId="352DBF19" w14:textId="77777777" w:rsidR="006918A0" w:rsidRPr="00130899" w:rsidRDefault="006918A0" w:rsidP="006918A0">
            <w:pPr>
              <w:spacing w:line="276" w:lineRule="auto"/>
              <w:ind w:right="-29"/>
              <w:jc w:val="center"/>
              <w:rPr>
                <w:noProof/>
                <w:sz w:val="18"/>
              </w:rPr>
            </w:pPr>
          </w:p>
        </w:tc>
        <w:tc>
          <w:tcPr>
            <w:tcW w:w="403" w:type="pct"/>
            <w:gridSpan w:val="2"/>
            <w:tcBorders>
              <w:top w:val="single" w:sz="4" w:space="0" w:color="auto"/>
              <w:left w:val="single" w:sz="4" w:space="0" w:color="auto"/>
              <w:bottom w:val="single" w:sz="4" w:space="0" w:color="auto"/>
              <w:right w:val="single" w:sz="4" w:space="0" w:color="auto"/>
            </w:tcBorders>
            <w:vAlign w:val="center"/>
            <w:hideMark/>
          </w:tcPr>
          <w:p w14:paraId="3708FC99" w14:textId="77777777" w:rsidR="006918A0" w:rsidRPr="00130899" w:rsidRDefault="006918A0" w:rsidP="006918A0">
            <w:pPr>
              <w:spacing w:line="276" w:lineRule="auto"/>
              <w:ind w:right="-29"/>
              <w:jc w:val="right"/>
              <w:rPr>
                <w:noProof/>
                <w:sz w:val="18"/>
              </w:rPr>
            </w:pPr>
            <w:r w:rsidRPr="00130899">
              <w:rPr>
                <w:b/>
                <w:noProof/>
                <w:sz w:val="18"/>
              </w:rPr>
              <w:t>0,650</w:t>
            </w:r>
          </w:p>
        </w:tc>
      </w:tr>
      <w:tr w:rsidR="006918A0" w:rsidRPr="00130899" w14:paraId="188A4ED3" w14:textId="77777777" w:rsidTr="000430BD">
        <w:trPr>
          <w:trHeight w:hRule="exact" w:val="369"/>
          <w:jc w:val="center"/>
        </w:trPr>
        <w:tc>
          <w:tcPr>
            <w:tcW w:w="483" w:type="pct"/>
            <w:tcBorders>
              <w:top w:val="single" w:sz="4" w:space="0" w:color="auto"/>
              <w:left w:val="single" w:sz="4" w:space="0" w:color="auto"/>
              <w:bottom w:val="single" w:sz="4" w:space="0" w:color="auto"/>
              <w:right w:val="single" w:sz="4" w:space="0" w:color="auto"/>
            </w:tcBorders>
            <w:hideMark/>
          </w:tcPr>
          <w:p w14:paraId="22DFC67C" w14:textId="77777777" w:rsidR="006918A0" w:rsidRPr="00130899" w:rsidRDefault="006918A0" w:rsidP="006918A0">
            <w:pPr>
              <w:spacing w:line="276" w:lineRule="auto"/>
              <w:ind w:right="-29"/>
              <w:jc w:val="center"/>
              <w:rPr>
                <w:noProof/>
                <w:sz w:val="18"/>
              </w:rPr>
            </w:pPr>
            <w:r w:rsidRPr="00130899">
              <w:rPr>
                <w:noProof/>
                <w:sz w:val="18"/>
              </w:rPr>
              <w:t>Поддръжка</w:t>
            </w:r>
          </w:p>
        </w:tc>
        <w:tc>
          <w:tcPr>
            <w:tcW w:w="249" w:type="pct"/>
            <w:tcBorders>
              <w:top w:val="single" w:sz="4" w:space="0" w:color="auto"/>
              <w:left w:val="single" w:sz="4" w:space="0" w:color="auto"/>
              <w:bottom w:val="single" w:sz="4" w:space="0" w:color="auto"/>
              <w:right w:val="single" w:sz="4" w:space="0" w:color="auto"/>
            </w:tcBorders>
          </w:tcPr>
          <w:p w14:paraId="7DCE558A" w14:textId="77777777" w:rsidR="006918A0" w:rsidRPr="00130899" w:rsidRDefault="006918A0" w:rsidP="006918A0">
            <w:pPr>
              <w:spacing w:line="276" w:lineRule="auto"/>
              <w:ind w:right="-29"/>
              <w:jc w:val="center"/>
              <w:rPr>
                <w:noProof/>
                <w:sz w:val="18"/>
              </w:rPr>
            </w:pPr>
          </w:p>
        </w:tc>
        <w:tc>
          <w:tcPr>
            <w:tcW w:w="351" w:type="pct"/>
            <w:tcBorders>
              <w:top w:val="single" w:sz="4" w:space="0" w:color="auto"/>
              <w:left w:val="single" w:sz="4" w:space="0" w:color="auto"/>
              <w:bottom w:val="single" w:sz="4" w:space="0" w:color="auto"/>
              <w:right w:val="single" w:sz="4" w:space="0" w:color="auto"/>
            </w:tcBorders>
          </w:tcPr>
          <w:p w14:paraId="6FB48ECF" w14:textId="77777777" w:rsidR="006918A0" w:rsidRPr="00130899" w:rsidRDefault="006918A0" w:rsidP="006918A0">
            <w:pPr>
              <w:spacing w:line="276" w:lineRule="auto"/>
              <w:ind w:right="-29"/>
              <w:jc w:val="center"/>
              <w:rPr>
                <w:noProof/>
                <w:sz w:val="18"/>
              </w:rPr>
            </w:pPr>
          </w:p>
        </w:tc>
        <w:tc>
          <w:tcPr>
            <w:tcW w:w="285" w:type="pct"/>
            <w:tcBorders>
              <w:top w:val="single" w:sz="4" w:space="0" w:color="auto"/>
              <w:left w:val="single" w:sz="4" w:space="0" w:color="auto"/>
              <w:bottom w:val="single" w:sz="4" w:space="0" w:color="auto"/>
              <w:right w:val="single" w:sz="4" w:space="0" w:color="auto"/>
            </w:tcBorders>
          </w:tcPr>
          <w:p w14:paraId="7CD788D1" w14:textId="77777777" w:rsidR="006918A0" w:rsidRPr="00130899" w:rsidRDefault="006918A0" w:rsidP="006918A0">
            <w:pPr>
              <w:spacing w:line="276" w:lineRule="auto"/>
              <w:ind w:right="-29"/>
              <w:jc w:val="center"/>
              <w:rPr>
                <w:noProof/>
                <w:sz w:val="18"/>
              </w:rPr>
            </w:pPr>
          </w:p>
        </w:tc>
        <w:tc>
          <w:tcPr>
            <w:tcW w:w="266" w:type="pct"/>
            <w:tcBorders>
              <w:top w:val="single" w:sz="4" w:space="0" w:color="auto"/>
              <w:left w:val="single" w:sz="4" w:space="0" w:color="auto"/>
              <w:bottom w:val="single" w:sz="4" w:space="0" w:color="auto"/>
              <w:right w:val="single" w:sz="4" w:space="0" w:color="auto"/>
            </w:tcBorders>
          </w:tcPr>
          <w:p w14:paraId="73A8B03C" w14:textId="77777777" w:rsidR="006918A0" w:rsidRPr="00130899" w:rsidRDefault="006918A0" w:rsidP="006918A0">
            <w:pPr>
              <w:spacing w:line="276" w:lineRule="auto"/>
              <w:ind w:right="-29"/>
              <w:jc w:val="center"/>
              <w:rPr>
                <w:noProof/>
                <w:sz w:val="18"/>
              </w:rPr>
            </w:pPr>
          </w:p>
        </w:tc>
        <w:tc>
          <w:tcPr>
            <w:tcW w:w="281" w:type="pct"/>
            <w:tcBorders>
              <w:top w:val="single" w:sz="4" w:space="0" w:color="auto"/>
              <w:left w:val="single" w:sz="4" w:space="0" w:color="auto"/>
              <w:bottom w:val="single" w:sz="4" w:space="0" w:color="auto"/>
              <w:right w:val="single" w:sz="4" w:space="0" w:color="auto"/>
            </w:tcBorders>
          </w:tcPr>
          <w:p w14:paraId="297DE6CF" w14:textId="77777777" w:rsidR="006918A0" w:rsidRPr="00130899" w:rsidRDefault="006918A0" w:rsidP="006918A0">
            <w:pPr>
              <w:spacing w:line="276" w:lineRule="auto"/>
              <w:ind w:right="-29"/>
              <w:jc w:val="center"/>
              <w:rPr>
                <w:noProof/>
                <w:sz w:val="18"/>
              </w:rPr>
            </w:pPr>
          </w:p>
        </w:tc>
        <w:tc>
          <w:tcPr>
            <w:tcW w:w="256" w:type="pct"/>
            <w:tcBorders>
              <w:top w:val="single" w:sz="4" w:space="0" w:color="auto"/>
              <w:left w:val="single" w:sz="4" w:space="0" w:color="auto"/>
              <w:bottom w:val="single" w:sz="4" w:space="0" w:color="auto"/>
              <w:right w:val="single" w:sz="4" w:space="0" w:color="auto"/>
            </w:tcBorders>
          </w:tcPr>
          <w:p w14:paraId="5E0C5429" w14:textId="77777777" w:rsidR="006918A0" w:rsidRPr="00130899" w:rsidRDefault="006918A0" w:rsidP="006918A0">
            <w:pPr>
              <w:spacing w:line="276" w:lineRule="auto"/>
              <w:ind w:right="-29"/>
              <w:jc w:val="center"/>
              <w:rPr>
                <w:noProof/>
                <w:sz w:val="18"/>
              </w:rPr>
            </w:pPr>
          </w:p>
        </w:tc>
        <w:tc>
          <w:tcPr>
            <w:tcW w:w="298" w:type="pct"/>
            <w:tcBorders>
              <w:top w:val="single" w:sz="4" w:space="0" w:color="auto"/>
              <w:left w:val="single" w:sz="4" w:space="0" w:color="auto"/>
              <w:bottom w:val="single" w:sz="4" w:space="0" w:color="auto"/>
              <w:right w:val="single" w:sz="4" w:space="0" w:color="auto"/>
            </w:tcBorders>
          </w:tcPr>
          <w:p w14:paraId="1A05953E" w14:textId="77777777" w:rsidR="006918A0" w:rsidRPr="00130899" w:rsidRDefault="006918A0" w:rsidP="006918A0">
            <w:pPr>
              <w:spacing w:line="276" w:lineRule="auto"/>
              <w:ind w:right="-29"/>
              <w:jc w:val="center"/>
              <w:rPr>
                <w:noProof/>
                <w:sz w:val="18"/>
              </w:rPr>
            </w:pPr>
          </w:p>
        </w:tc>
        <w:tc>
          <w:tcPr>
            <w:tcW w:w="246" w:type="pct"/>
            <w:tcBorders>
              <w:top w:val="single" w:sz="4" w:space="0" w:color="auto"/>
              <w:left w:val="single" w:sz="4" w:space="0" w:color="auto"/>
              <w:bottom w:val="single" w:sz="4" w:space="0" w:color="auto"/>
              <w:right w:val="single" w:sz="4" w:space="0" w:color="auto"/>
            </w:tcBorders>
          </w:tcPr>
          <w:p w14:paraId="633B3806" w14:textId="77777777" w:rsidR="006918A0" w:rsidRPr="00130899" w:rsidRDefault="006918A0" w:rsidP="006918A0">
            <w:pPr>
              <w:spacing w:line="276" w:lineRule="auto"/>
              <w:ind w:right="-29"/>
              <w:jc w:val="center"/>
              <w:rPr>
                <w:noProof/>
                <w:sz w:val="18"/>
              </w:rPr>
            </w:pPr>
          </w:p>
        </w:tc>
        <w:tc>
          <w:tcPr>
            <w:tcW w:w="367" w:type="pct"/>
            <w:tcBorders>
              <w:top w:val="single" w:sz="4" w:space="0" w:color="auto"/>
              <w:left w:val="single" w:sz="4" w:space="0" w:color="auto"/>
              <w:bottom w:val="single" w:sz="4" w:space="0" w:color="auto"/>
              <w:right w:val="single" w:sz="4" w:space="0" w:color="auto"/>
            </w:tcBorders>
          </w:tcPr>
          <w:p w14:paraId="71E12979" w14:textId="77777777" w:rsidR="006918A0" w:rsidRPr="00130899" w:rsidRDefault="006918A0" w:rsidP="006918A0">
            <w:pPr>
              <w:spacing w:line="276" w:lineRule="auto"/>
              <w:ind w:right="-29"/>
              <w:jc w:val="center"/>
              <w:rPr>
                <w:noProof/>
                <w:sz w:val="18"/>
              </w:rPr>
            </w:pPr>
          </w:p>
        </w:tc>
        <w:tc>
          <w:tcPr>
            <w:tcW w:w="225" w:type="pct"/>
            <w:tcBorders>
              <w:top w:val="single" w:sz="4" w:space="0" w:color="auto"/>
              <w:left w:val="single" w:sz="4" w:space="0" w:color="auto"/>
              <w:bottom w:val="single" w:sz="4" w:space="0" w:color="auto"/>
              <w:right w:val="single" w:sz="4" w:space="0" w:color="auto"/>
            </w:tcBorders>
            <w:hideMark/>
          </w:tcPr>
          <w:p w14:paraId="66010B5A" w14:textId="77777777" w:rsidR="006918A0" w:rsidRPr="00130899" w:rsidRDefault="006918A0" w:rsidP="006918A0">
            <w:pPr>
              <w:spacing w:line="276" w:lineRule="auto"/>
              <w:ind w:right="-29"/>
              <w:jc w:val="center"/>
              <w:rPr>
                <w:noProof/>
                <w:sz w:val="18"/>
              </w:rPr>
            </w:pPr>
            <w:r w:rsidRPr="00130899">
              <w:rPr>
                <w:noProof/>
                <w:sz w:val="18"/>
              </w:rPr>
              <w:t>0,100</w:t>
            </w:r>
          </w:p>
        </w:tc>
        <w:tc>
          <w:tcPr>
            <w:tcW w:w="258" w:type="pct"/>
            <w:tcBorders>
              <w:top w:val="single" w:sz="4" w:space="0" w:color="auto"/>
              <w:left w:val="single" w:sz="4" w:space="0" w:color="auto"/>
              <w:bottom w:val="single" w:sz="4" w:space="0" w:color="auto"/>
              <w:right w:val="single" w:sz="4" w:space="0" w:color="auto"/>
            </w:tcBorders>
          </w:tcPr>
          <w:p w14:paraId="511D7A66" w14:textId="77777777" w:rsidR="006918A0" w:rsidRPr="00130899" w:rsidRDefault="006918A0" w:rsidP="006918A0">
            <w:pPr>
              <w:spacing w:line="276" w:lineRule="auto"/>
              <w:ind w:right="-29"/>
              <w:jc w:val="center"/>
              <w:rPr>
                <w:noProof/>
                <w:sz w:val="18"/>
              </w:rPr>
            </w:pPr>
          </w:p>
        </w:tc>
        <w:tc>
          <w:tcPr>
            <w:tcW w:w="241" w:type="pct"/>
            <w:tcBorders>
              <w:top w:val="single" w:sz="4" w:space="0" w:color="auto"/>
              <w:left w:val="single" w:sz="4" w:space="0" w:color="auto"/>
              <w:bottom w:val="single" w:sz="4" w:space="0" w:color="auto"/>
              <w:right w:val="single" w:sz="4" w:space="0" w:color="auto"/>
            </w:tcBorders>
            <w:hideMark/>
          </w:tcPr>
          <w:p w14:paraId="72ED7ACF" w14:textId="77777777" w:rsidR="006918A0" w:rsidRPr="00130899" w:rsidRDefault="006918A0" w:rsidP="006918A0">
            <w:pPr>
              <w:spacing w:line="276" w:lineRule="auto"/>
              <w:ind w:right="-29"/>
              <w:jc w:val="center"/>
              <w:rPr>
                <w:noProof/>
                <w:sz w:val="18"/>
              </w:rPr>
            </w:pPr>
            <w:r w:rsidRPr="00130899">
              <w:rPr>
                <w:noProof/>
                <w:sz w:val="18"/>
              </w:rPr>
              <w:t>0,100</w:t>
            </w:r>
          </w:p>
        </w:tc>
        <w:tc>
          <w:tcPr>
            <w:tcW w:w="249" w:type="pct"/>
            <w:gridSpan w:val="2"/>
            <w:tcBorders>
              <w:top w:val="single" w:sz="4" w:space="0" w:color="auto"/>
              <w:left w:val="single" w:sz="4" w:space="0" w:color="auto"/>
              <w:bottom w:val="single" w:sz="4" w:space="0" w:color="auto"/>
              <w:right w:val="single" w:sz="4" w:space="0" w:color="auto"/>
            </w:tcBorders>
          </w:tcPr>
          <w:p w14:paraId="1B8D5CA6" w14:textId="77777777" w:rsidR="006918A0" w:rsidRPr="00130899" w:rsidRDefault="006918A0" w:rsidP="006918A0">
            <w:pPr>
              <w:spacing w:line="276" w:lineRule="auto"/>
              <w:ind w:right="-29"/>
              <w:jc w:val="center"/>
              <w:rPr>
                <w:noProof/>
                <w:sz w:val="18"/>
              </w:rPr>
            </w:pPr>
          </w:p>
        </w:tc>
        <w:tc>
          <w:tcPr>
            <w:tcW w:w="318" w:type="pct"/>
            <w:gridSpan w:val="2"/>
            <w:tcBorders>
              <w:top w:val="single" w:sz="4" w:space="0" w:color="auto"/>
              <w:left w:val="single" w:sz="4" w:space="0" w:color="auto"/>
              <w:bottom w:val="single" w:sz="4" w:space="0" w:color="auto"/>
              <w:right w:val="single" w:sz="4" w:space="0" w:color="auto"/>
            </w:tcBorders>
            <w:hideMark/>
          </w:tcPr>
          <w:p w14:paraId="1928131D" w14:textId="77777777" w:rsidR="006918A0" w:rsidRPr="00130899" w:rsidRDefault="006918A0" w:rsidP="006918A0">
            <w:pPr>
              <w:spacing w:line="276" w:lineRule="auto"/>
              <w:ind w:right="-29"/>
              <w:jc w:val="center"/>
              <w:rPr>
                <w:noProof/>
                <w:sz w:val="18"/>
              </w:rPr>
            </w:pPr>
            <w:r w:rsidRPr="00130899">
              <w:rPr>
                <w:noProof/>
                <w:sz w:val="18"/>
              </w:rPr>
              <w:t>0,100</w:t>
            </w:r>
          </w:p>
        </w:tc>
        <w:tc>
          <w:tcPr>
            <w:tcW w:w="223" w:type="pct"/>
            <w:gridSpan w:val="3"/>
            <w:tcBorders>
              <w:top w:val="single" w:sz="4" w:space="0" w:color="auto"/>
              <w:left w:val="single" w:sz="4" w:space="0" w:color="auto"/>
              <w:bottom w:val="single" w:sz="4" w:space="0" w:color="auto"/>
              <w:right w:val="single" w:sz="4" w:space="0" w:color="auto"/>
            </w:tcBorders>
          </w:tcPr>
          <w:p w14:paraId="31720BF7" w14:textId="77777777" w:rsidR="006918A0" w:rsidRPr="00130899" w:rsidRDefault="006918A0" w:rsidP="006918A0">
            <w:pPr>
              <w:spacing w:line="276" w:lineRule="auto"/>
              <w:ind w:right="-29"/>
              <w:jc w:val="center"/>
              <w:rPr>
                <w:noProof/>
                <w:sz w:val="18"/>
              </w:rPr>
            </w:pPr>
          </w:p>
        </w:tc>
        <w:tc>
          <w:tcPr>
            <w:tcW w:w="403" w:type="pct"/>
            <w:gridSpan w:val="2"/>
            <w:tcBorders>
              <w:top w:val="single" w:sz="4" w:space="0" w:color="auto"/>
              <w:left w:val="single" w:sz="4" w:space="0" w:color="auto"/>
              <w:bottom w:val="single" w:sz="4" w:space="0" w:color="auto"/>
              <w:right w:val="single" w:sz="4" w:space="0" w:color="auto"/>
            </w:tcBorders>
            <w:vAlign w:val="center"/>
            <w:hideMark/>
          </w:tcPr>
          <w:p w14:paraId="7F41C0B1" w14:textId="77777777" w:rsidR="006918A0" w:rsidRPr="00130899" w:rsidRDefault="006918A0" w:rsidP="006918A0">
            <w:pPr>
              <w:spacing w:line="276" w:lineRule="auto"/>
              <w:ind w:right="-29"/>
              <w:jc w:val="right"/>
              <w:rPr>
                <w:noProof/>
                <w:sz w:val="18"/>
              </w:rPr>
            </w:pPr>
            <w:r w:rsidRPr="00130899">
              <w:rPr>
                <w:b/>
                <w:noProof/>
                <w:sz w:val="18"/>
              </w:rPr>
              <w:t>0,300</w:t>
            </w:r>
          </w:p>
        </w:tc>
      </w:tr>
      <w:tr w:rsidR="006918A0" w:rsidRPr="00130899" w14:paraId="6D06F24B" w14:textId="77777777" w:rsidTr="000430BD">
        <w:trPr>
          <w:trHeight w:hRule="exact" w:val="369"/>
          <w:jc w:val="center"/>
        </w:trPr>
        <w:tc>
          <w:tcPr>
            <w:tcW w:w="483" w:type="pct"/>
            <w:tcBorders>
              <w:top w:val="single" w:sz="4" w:space="0" w:color="auto"/>
              <w:left w:val="single" w:sz="4" w:space="0" w:color="auto"/>
              <w:bottom w:val="single" w:sz="4" w:space="0" w:color="auto"/>
              <w:right w:val="single" w:sz="4" w:space="0" w:color="auto"/>
            </w:tcBorders>
            <w:hideMark/>
          </w:tcPr>
          <w:p w14:paraId="0CFEA655" w14:textId="77777777" w:rsidR="006918A0" w:rsidRPr="00130899" w:rsidRDefault="006918A0" w:rsidP="006918A0">
            <w:pPr>
              <w:spacing w:line="276" w:lineRule="auto"/>
              <w:ind w:right="-29"/>
              <w:jc w:val="center"/>
              <w:rPr>
                <w:noProof/>
                <w:sz w:val="18"/>
              </w:rPr>
            </w:pPr>
            <w:r w:rsidRPr="00130899">
              <w:rPr>
                <w:noProof/>
                <w:sz w:val="18"/>
              </w:rPr>
              <w:t>Подпомагане</w:t>
            </w:r>
          </w:p>
        </w:tc>
        <w:tc>
          <w:tcPr>
            <w:tcW w:w="249" w:type="pct"/>
            <w:tcBorders>
              <w:top w:val="single" w:sz="4" w:space="0" w:color="auto"/>
              <w:left w:val="single" w:sz="4" w:space="0" w:color="auto"/>
              <w:bottom w:val="single" w:sz="4" w:space="0" w:color="auto"/>
              <w:right w:val="single" w:sz="4" w:space="0" w:color="auto"/>
            </w:tcBorders>
          </w:tcPr>
          <w:p w14:paraId="203FCEC4" w14:textId="77777777" w:rsidR="006918A0" w:rsidRPr="00130899" w:rsidRDefault="006918A0" w:rsidP="006918A0">
            <w:pPr>
              <w:spacing w:line="276" w:lineRule="auto"/>
              <w:ind w:right="-29"/>
              <w:jc w:val="center"/>
              <w:rPr>
                <w:noProof/>
                <w:sz w:val="18"/>
              </w:rPr>
            </w:pPr>
          </w:p>
        </w:tc>
        <w:tc>
          <w:tcPr>
            <w:tcW w:w="351" w:type="pct"/>
            <w:tcBorders>
              <w:top w:val="single" w:sz="4" w:space="0" w:color="auto"/>
              <w:left w:val="single" w:sz="4" w:space="0" w:color="auto"/>
              <w:bottom w:val="single" w:sz="4" w:space="0" w:color="auto"/>
              <w:right w:val="single" w:sz="4" w:space="0" w:color="auto"/>
            </w:tcBorders>
          </w:tcPr>
          <w:p w14:paraId="4AEBFE68" w14:textId="77777777" w:rsidR="006918A0" w:rsidRPr="00130899" w:rsidRDefault="006918A0" w:rsidP="006918A0">
            <w:pPr>
              <w:spacing w:line="276" w:lineRule="auto"/>
              <w:ind w:right="-29"/>
              <w:jc w:val="center"/>
              <w:rPr>
                <w:noProof/>
                <w:sz w:val="18"/>
              </w:rPr>
            </w:pPr>
          </w:p>
        </w:tc>
        <w:tc>
          <w:tcPr>
            <w:tcW w:w="285" w:type="pct"/>
            <w:tcBorders>
              <w:top w:val="single" w:sz="4" w:space="0" w:color="auto"/>
              <w:left w:val="single" w:sz="4" w:space="0" w:color="auto"/>
              <w:bottom w:val="single" w:sz="4" w:space="0" w:color="auto"/>
              <w:right w:val="single" w:sz="4" w:space="0" w:color="auto"/>
            </w:tcBorders>
          </w:tcPr>
          <w:p w14:paraId="5A8BC761" w14:textId="77777777" w:rsidR="006918A0" w:rsidRPr="00130899" w:rsidRDefault="006918A0" w:rsidP="006918A0">
            <w:pPr>
              <w:spacing w:line="276" w:lineRule="auto"/>
              <w:ind w:right="-29"/>
              <w:jc w:val="center"/>
              <w:rPr>
                <w:noProof/>
                <w:sz w:val="18"/>
              </w:rPr>
            </w:pPr>
          </w:p>
        </w:tc>
        <w:tc>
          <w:tcPr>
            <w:tcW w:w="266" w:type="pct"/>
            <w:tcBorders>
              <w:top w:val="single" w:sz="4" w:space="0" w:color="auto"/>
              <w:left w:val="single" w:sz="4" w:space="0" w:color="auto"/>
              <w:bottom w:val="single" w:sz="4" w:space="0" w:color="auto"/>
              <w:right w:val="single" w:sz="4" w:space="0" w:color="auto"/>
            </w:tcBorders>
          </w:tcPr>
          <w:p w14:paraId="3F6CA7C9" w14:textId="77777777" w:rsidR="006918A0" w:rsidRPr="00130899" w:rsidRDefault="006918A0" w:rsidP="006918A0">
            <w:pPr>
              <w:spacing w:line="276" w:lineRule="auto"/>
              <w:ind w:right="-29"/>
              <w:jc w:val="center"/>
              <w:rPr>
                <w:noProof/>
                <w:sz w:val="18"/>
              </w:rPr>
            </w:pPr>
          </w:p>
        </w:tc>
        <w:tc>
          <w:tcPr>
            <w:tcW w:w="281" w:type="pct"/>
            <w:tcBorders>
              <w:top w:val="single" w:sz="4" w:space="0" w:color="auto"/>
              <w:left w:val="single" w:sz="4" w:space="0" w:color="auto"/>
              <w:bottom w:val="single" w:sz="4" w:space="0" w:color="auto"/>
              <w:right w:val="single" w:sz="4" w:space="0" w:color="auto"/>
            </w:tcBorders>
          </w:tcPr>
          <w:p w14:paraId="466D91CD" w14:textId="77777777" w:rsidR="006918A0" w:rsidRPr="00130899" w:rsidRDefault="006918A0" w:rsidP="006918A0">
            <w:pPr>
              <w:spacing w:line="276" w:lineRule="auto"/>
              <w:ind w:right="-29"/>
              <w:jc w:val="center"/>
              <w:rPr>
                <w:noProof/>
                <w:sz w:val="18"/>
              </w:rPr>
            </w:pPr>
          </w:p>
        </w:tc>
        <w:tc>
          <w:tcPr>
            <w:tcW w:w="256" w:type="pct"/>
            <w:tcBorders>
              <w:top w:val="single" w:sz="4" w:space="0" w:color="auto"/>
              <w:left w:val="single" w:sz="4" w:space="0" w:color="auto"/>
              <w:bottom w:val="single" w:sz="4" w:space="0" w:color="auto"/>
              <w:right w:val="single" w:sz="4" w:space="0" w:color="auto"/>
            </w:tcBorders>
          </w:tcPr>
          <w:p w14:paraId="747F3FC2" w14:textId="77777777" w:rsidR="006918A0" w:rsidRPr="00130899" w:rsidRDefault="006918A0" w:rsidP="006918A0">
            <w:pPr>
              <w:spacing w:line="276" w:lineRule="auto"/>
              <w:ind w:right="-29"/>
              <w:jc w:val="center"/>
              <w:rPr>
                <w:noProof/>
                <w:sz w:val="18"/>
              </w:rPr>
            </w:pPr>
          </w:p>
        </w:tc>
        <w:tc>
          <w:tcPr>
            <w:tcW w:w="298" w:type="pct"/>
            <w:tcBorders>
              <w:top w:val="single" w:sz="4" w:space="0" w:color="auto"/>
              <w:left w:val="single" w:sz="4" w:space="0" w:color="auto"/>
              <w:bottom w:val="single" w:sz="4" w:space="0" w:color="auto"/>
              <w:right w:val="single" w:sz="4" w:space="0" w:color="auto"/>
            </w:tcBorders>
          </w:tcPr>
          <w:p w14:paraId="50BDF0F5" w14:textId="77777777" w:rsidR="006918A0" w:rsidRPr="00130899" w:rsidRDefault="006918A0" w:rsidP="006918A0">
            <w:pPr>
              <w:spacing w:line="276" w:lineRule="auto"/>
              <w:ind w:right="-29"/>
              <w:jc w:val="center"/>
              <w:rPr>
                <w:noProof/>
                <w:sz w:val="18"/>
              </w:rPr>
            </w:pPr>
          </w:p>
        </w:tc>
        <w:tc>
          <w:tcPr>
            <w:tcW w:w="246" w:type="pct"/>
            <w:tcBorders>
              <w:top w:val="single" w:sz="4" w:space="0" w:color="auto"/>
              <w:left w:val="single" w:sz="4" w:space="0" w:color="auto"/>
              <w:bottom w:val="single" w:sz="4" w:space="0" w:color="auto"/>
              <w:right w:val="single" w:sz="4" w:space="0" w:color="auto"/>
            </w:tcBorders>
            <w:hideMark/>
          </w:tcPr>
          <w:p w14:paraId="21D1CE08" w14:textId="77777777" w:rsidR="006918A0" w:rsidRPr="00130899" w:rsidRDefault="006918A0" w:rsidP="006918A0">
            <w:pPr>
              <w:spacing w:line="276" w:lineRule="auto"/>
              <w:ind w:right="-29"/>
              <w:jc w:val="center"/>
              <w:rPr>
                <w:noProof/>
                <w:sz w:val="18"/>
              </w:rPr>
            </w:pPr>
            <w:r w:rsidRPr="00130899">
              <w:rPr>
                <w:noProof/>
                <w:sz w:val="18"/>
              </w:rPr>
              <w:t>0,020</w:t>
            </w:r>
          </w:p>
        </w:tc>
        <w:tc>
          <w:tcPr>
            <w:tcW w:w="367" w:type="pct"/>
            <w:tcBorders>
              <w:top w:val="single" w:sz="4" w:space="0" w:color="auto"/>
              <w:left w:val="single" w:sz="4" w:space="0" w:color="auto"/>
              <w:bottom w:val="single" w:sz="4" w:space="0" w:color="auto"/>
              <w:right w:val="single" w:sz="4" w:space="0" w:color="auto"/>
            </w:tcBorders>
          </w:tcPr>
          <w:p w14:paraId="08D9D962" w14:textId="77777777" w:rsidR="006918A0" w:rsidRPr="00130899" w:rsidRDefault="006918A0" w:rsidP="006918A0">
            <w:pPr>
              <w:spacing w:line="276" w:lineRule="auto"/>
              <w:ind w:right="-29"/>
              <w:jc w:val="center"/>
              <w:rPr>
                <w:noProof/>
                <w:sz w:val="18"/>
              </w:rPr>
            </w:pPr>
          </w:p>
        </w:tc>
        <w:tc>
          <w:tcPr>
            <w:tcW w:w="225" w:type="pct"/>
            <w:tcBorders>
              <w:top w:val="single" w:sz="4" w:space="0" w:color="auto"/>
              <w:left w:val="single" w:sz="4" w:space="0" w:color="auto"/>
              <w:bottom w:val="single" w:sz="4" w:space="0" w:color="auto"/>
              <w:right w:val="single" w:sz="4" w:space="0" w:color="auto"/>
            </w:tcBorders>
            <w:hideMark/>
          </w:tcPr>
          <w:p w14:paraId="28753B3A" w14:textId="77777777" w:rsidR="006918A0" w:rsidRPr="00130899" w:rsidRDefault="006918A0" w:rsidP="006918A0">
            <w:pPr>
              <w:spacing w:line="276" w:lineRule="auto"/>
              <w:ind w:right="-29"/>
              <w:jc w:val="center"/>
              <w:rPr>
                <w:noProof/>
                <w:sz w:val="18"/>
              </w:rPr>
            </w:pPr>
            <w:r w:rsidRPr="00130899">
              <w:rPr>
                <w:noProof/>
                <w:sz w:val="18"/>
              </w:rPr>
              <w:t>0,020</w:t>
            </w:r>
          </w:p>
        </w:tc>
        <w:tc>
          <w:tcPr>
            <w:tcW w:w="258" w:type="pct"/>
            <w:tcBorders>
              <w:top w:val="single" w:sz="4" w:space="0" w:color="auto"/>
              <w:left w:val="single" w:sz="4" w:space="0" w:color="auto"/>
              <w:bottom w:val="single" w:sz="4" w:space="0" w:color="auto"/>
              <w:right w:val="single" w:sz="4" w:space="0" w:color="auto"/>
            </w:tcBorders>
          </w:tcPr>
          <w:p w14:paraId="346DE382" w14:textId="77777777" w:rsidR="006918A0" w:rsidRPr="00130899" w:rsidRDefault="006918A0" w:rsidP="006918A0">
            <w:pPr>
              <w:spacing w:line="276" w:lineRule="auto"/>
              <w:ind w:right="-29"/>
              <w:jc w:val="center"/>
              <w:rPr>
                <w:noProof/>
                <w:sz w:val="18"/>
              </w:rPr>
            </w:pPr>
          </w:p>
        </w:tc>
        <w:tc>
          <w:tcPr>
            <w:tcW w:w="241" w:type="pct"/>
            <w:tcBorders>
              <w:top w:val="single" w:sz="4" w:space="0" w:color="auto"/>
              <w:left w:val="single" w:sz="4" w:space="0" w:color="auto"/>
              <w:bottom w:val="single" w:sz="4" w:space="0" w:color="auto"/>
              <w:right w:val="single" w:sz="4" w:space="0" w:color="auto"/>
            </w:tcBorders>
            <w:hideMark/>
          </w:tcPr>
          <w:p w14:paraId="76BDB7FB" w14:textId="77777777" w:rsidR="006918A0" w:rsidRPr="00130899" w:rsidRDefault="006918A0" w:rsidP="006918A0">
            <w:pPr>
              <w:spacing w:line="276" w:lineRule="auto"/>
              <w:ind w:right="-29"/>
              <w:jc w:val="center"/>
              <w:rPr>
                <w:noProof/>
                <w:sz w:val="18"/>
              </w:rPr>
            </w:pPr>
            <w:r w:rsidRPr="00130899">
              <w:rPr>
                <w:noProof/>
                <w:sz w:val="18"/>
              </w:rPr>
              <w:t>0,020</w:t>
            </w:r>
          </w:p>
        </w:tc>
        <w:tc>
          <w:tcPr>
            <w:tcW w:w="249" w:type="pct"/>
            <w:gridSpan w:val="2"/>
            <w:tcBorders>
              <w:top w:val="single" w:sz="4" w:space="0" w:color="auto"/>
              <w:left w:val="single" w:sz="4" w:space="0" w:color="auto"/>
              <w:bottom w:val="single" w:sz="4" w:space="0" w:color="auto"/>
              <w:right w:val="single" w:sz="4" w:space="0" w:color="auto"/>
            </w:tcBorders>
          </w:tcPr>
          <w:p w14:paraId="67481C81" w14:textId="77777777" w:rsidR="006918A0" w:rsidRPr="00130899" w:rsidRDefault="006918A0" w:rsidP="006918A0">
            <w:pPr>
              <w:spacing w:line="276" w:lineRule="auto"/>
              <w:ind w:right="-29"/>
              <w:jc w:val="center"/>
              <w:rPr>
                <w:noProof/>
                <w:sz w:val="18"/>
              </w:rPr>
            </w:pPr>
          </w:p>
        </w:tc>
        <w:tc>
          <w:tcPr>
            <w:tcW w:w="318" w:type="pct"/>
            <w:gridSpan w:val="2"/>
            <w:tcBorders>
              <w:top w:val="single" w:sz="4" w:space="0" w:color="auto"/>
              <w:left w:val="single" w:sz="4" w:space="0" w:color="auto"/>
              <w:bottom w:val="single" w:sz="4" w:space="0" w:color="auto"/>
              <w:right w:val="single" w:sz="4" w:space="0" w:color="auto"/>
            </w:tcBorders>
            <w:hideMark/>
          </w:tcPr>
          <w:p w14:paraId="547A78AC" w14:textId="77777777" w:rsidR="006918A0" w:rsidRPr="00130899" w:rsidRDefault="006918A0" w:rsidP="006918A0">
            <w:pPr>
              <w:spacing w:line="276" w:lineRule="auto"/>
              <w:ind w:right="-29"/>
              <w:jc w:val="center"/>
              <w:rPr>
                <w:noProof/>
                <w:sz w:val="18"/>
              </w:rPr>
            </w:pPr>
            <w:r w:rsidRPr="00130899">
              <w:rPr>
                <w:noProof/>
                <w:sz w:val="18"/>
              </w:rPr>
              <w:t>0,020</w:t>
            </w:r>
          </w:p>
        </w:tc>
        <w:tc>
          <w:tcPr>
            <w:tcW w:w="223" w:type="pct"/>
            <w:gridSpan w:val="3"/>
            <w:tcBorders>
              <w:top w:val="single" w:sz="4" w:space="0" w:color="auto"/>
              <w:left w:val="single" w:sz="4" w:space="0" w:color="auto"/>
              <w:bottom w:val="single" w:sz="4" w:space="0" w:color="auto"/>
              <w:right w:val="single" w:sz="4" w:space="0" w:color="auto"/>
            </w:tcBorders>
          </w:tcPr>
          <w:p w14:paraId="79744954" w14:textId="77777777" w:rsidR="006918A0" w:rsidRPr="00130899" w:rsidRDefault="006918A0" w:rsidP="006918A0">
            <w:pPr>
              <w:spacing w:line="276" w:lineRule="auto"/>
              <w:ind w:right="-29"/>
              <w:jc w:val="center"/>
              <w:rPr>
                <w:noProof/>
                <w:sz w:val="18"/>
              </w:rPr>
            </w:pPr>
          </w:p>
        </w:tc>
        <w:tc>
          <w:tcPr>
            <w:tcW w:w="403" w:type="pct"/>
            <w:gridSpan w:val="2"/>
            <w:tcBorders>
              <w:top w:val="single" w:sz="4" w:space="0" w:color="auto"/>
              <w:left w:val="single" w:sz="4" w:space="0" w:color="auto"/>
              <w:bottom w:val="single" w:sz="4" w:space="0" w:color="auto"/>
              <w:right w:val="single" w:sz="4" w:space="0" w:color="auto"/>
            </w:tcBorders>
            <w:vAlign w:val="center"/>
            <w:hideMark/>
          </w:tcPr>
          <w:p w14:paraId="7D2E1C77" w14:textId="77777777" w:rsidR="006918A0" w:rsidRPr="00130899" w:rsidRDefault="006918A0" w:rsidP="006918A0">
            <w:pPr>
              <w:spacing w:line="276" w:lineRule="auto"/>
              <w:ind w:right="-29"/>
              <w:jc w:val="right"/>
              <w:rPr>
                <w:noProof/>
                <w:sz w:val="18"/>
              </w:rPr>
            </w:pPr>
            <w:r w:rsidRPr="00130899">
              <w:rPr>
                <w:b/>
                <w:noProof/>
                <w:sz w:val="18"/>
              </w:rPr>
              <w:t>0,080</w:t>
            </w:r>
          </w:p>
        </w:tc>
      </w:tr>
      <w:tr w:rsidR="006918A0" w:rsidRPr="00130899" w14:paraId="25B012D3" w14:textId="77777777" w:rsidTr="000430BD">
        <w:trPr>
          <w:trHeight w:hRule="exact" w:val="369"/>
          <w:jc w:val="center"/>
        </w:trPr>
        <w:tc>
          <w:tcPr>
            <w:tcW w:w="483" w:type="pct"/>
            <w:tcBorders>
              <w:top w:val="single" w:sz="4" w:space="0" w:color="auto"/>
              <w:left w:val="single" w:sz="4" w:space="0" w:color="auto"/>
              <w:bottom w:val="single" w:sz="4" w:space="0" w:color="auto"/>
              <w:right w:val="single" w:sz="4" w:space="0" w:color="auto"/>
            </w:tcBorders>
            <w:hideMark/>
          </w:tcPr>
          <w:p w14:paraId="3E8A2B32" w14:textId="77777777" w:rsidR="006918A0" w:rsidRPr="00130899" w:rsidRDefault="006918A0" w:rsidP="006918A0">
            <w:pPr>
              <w:spacing w:line="276" w:lineRule="auto"/>
              <w:ind w:right="-29"/>
              <w:jc w:val="center"/>
              <w:rPr>
                <w:noProof/>
                <w:sz w:val="18"/>
              </w:rPr>
            </w:pPr>
            <w:r w:rsidRPr="00130899">
              <w:rPr>
                <w:noProof/>
                <w:sz w:val="18"/>
              </w:rPr>
              <w:t>Обучение</w:t>
            </w:r>
          </w:p>
        </w:tc>
        <w:tc>
          <w:tcPr>
            <w:tcW w:w="249" w:type="pct"/>
            <w:tcBorders>
              <w:top w:val="single" w:sz="4" w:space="0" w:color="auto"/>
              <w:left w:val="single" w:sz="4" w:space="0" w:color="auto"/>
              <w:bottom w:val="single" w:sz="4" w:space="0" w:color="auto"/>
              <w:right w:val="single" w:sz="4" w:space="0" w:color="auto"/>
            </w:tcBorders>
          </w:tcPr>
          <w:p w14:paraId="55A7F20F" w14:textId="77777777" w:rsidR="006918A0" w:rsidRPr="00130899" w:rsidRDefault="006918A0" w:rsidP="006918A0">
            <w:pPr>
              <w:spacing w:line="276" w:lineRule="auto"/>
              <w:ind w:right="-29"/>
              <w:jc w:val="center"/>
              <w:rPr>
                <w:noProof/>
                <w:sz w:val="18"/>
              </w:rPr>
            </w:pPr>
          </w:p>
        </w:tc>
        <w:tc>
          <w:tcPr>
            <w:tcW w:w="351" w:type="pct"/>
            <w:tcBorders>
              <w:top w:val="single" w:sz="4" w:space="0" w:color="auto"/>
              <w:left w:val="single" w:sz="4" w:space="0" w:color="auto"/>
              <w:bottom w:val="single" w:sz="4" w:space="0" w:color="auto"/>
              <w:right w:val="single" w:sz="4" w:space="0" w:color="auto"/>
            </w:tcBorders>
          </w:tcPr>
          <w:p w14:paraId="26FDFB93" w14:textId="77777777" w:rsidR="006918A0" w:rsidRPr="00130899" w:rsidRDefault="006918A0" w:rsidP="006918A0">
            <w:pPr>
              <w:spacing w:line="276" w:lineRule="auto"/>
              <w:ind w:right="-29"/>
              <w:jc w:val="center"/>
              <w:rPr>
                <w:noProof/>
                <w:sz w:val="18"/>
              </w:rPr>
            </w:pPr>
          </w:p>
        </w:tc>
        <w:tc>
          <w:tcPr>
            <w:tcW w:w="285" w:type="pct"/>
            <w:tcBorders>
              <w:top w:val="single" w:sz="4" w:space="0" w:color="auto"/>
              <w:left w:val="single" w:sz="4" w:space="0" w:color="auto"/>
              <w:bottom w:val="single" w:sz="4" w:space="0" w:color="auto"/>
              <w:right w:val="single" w:sz="4" w:space="0" w:color="auto"/>
            </w:tcBorders>
          </w:tcPr>
          <w:p w14:paraId="78A8ECDF" w14:textId="77777777" w:rsidR="006918A0" w:rsidRPr="00130899" w:rsidRDefault="006918A0" w:rsidP="006918A0">
            <w:pPr>
              <w:spacing w:line="276" w:lineRule="auto"/>
              <w:ind w:right="-29"/>
              <w:jc w:val="center"/>
              <w:rPr>
                <w:noProof/>
                <w:sz w:val="18"/>
              </w:rPr>
            </w:pPr>
          </w:p>
        </w:tc>
        <w:tc>
          <w:tcPr>
            <w:tcW w:w="266" w:type="pct"/>
            <w:tcBorders>
              <w:top w:val="single" w:sz="4" w:space="0" w:color="auto"/>
              <w:left w:val="single" w:sz="4" w:space="0" w:color="auto"/>
              <w:bottom w:val="single" w:sz="4" w:space="0" w:color="auto"/>
              <w:right w:val="single" w:sz="4" w:space="0" w:color="auto"/>
            </w:tcBorders>
          </w:tcPr>
          <w:p w14:paraId="0394293E" w14:textId="77777777" w:rsidR="006918A0" w:rsidRPr="00130899" w:rsidRDefault="006918A0" w:rsidP="006918A0">
            <w:pPr>
              <w:spacing w:line="276" w:lineRule="auto"/>
              <w:ind w:right="-29"/>
              <w:jc w:val="center"/>
              <w:rPr>
                <w:noProof/>
                <w:sz w:val="18"/>
              </w:rPr>
            </w:pPr>
          </w:p>
        </w:tc>
        <w:tc>
          <w:tcPr>
            <w:tcW w:w="281" w:type="pct"/>
            <w:tcBorders>
              <w:top w:val="single" w:sz="4" w:space="0" w:color="auto"/>
              <w:left w:val="single" w:sz="4" w:space="0" w:color="auto"/>
              <w:bottom w:val="single" w:sz="4" w:space="0" w:color="auto"/>
              <w:right w:val="single" w:sz="4" w:space="0" w:color="auto"/>
            </w:tcBorders>
          </w:tcPr>
          <w:p w14:paraId="65FED74F" w14:textId="77777777" w:rsidR="006918A0" w:rsidRPr="00130899" w:rsidRDefault="006918A0" w:rsidP="006918A0">
            <w:pPr>
              <w:spacing w:line="276" w:lineRule="auto"/>
              <w:ind w:right="-29"/>
              <w:jc w:val="center"/>
              <w:rPr>
                <w:noProof/>
                <w:sz w:val="18"/>
              </w:rPr>
            </w:pPr>
          </w:p>
        </w:tc>
        <w:tc>
          <w:tcPr>
            <w:tcW w:w="256" w:type="pct"/>
            <w:tcBorders>
              <w:top w:val="single" w:sz="4" w:space="0" w:color="auto"/>
              <w:left w:val="single" w:sz="4" w:space="0" w:color="auto"/>
              <w:bottom w:val="single" w:sz="4" w:space="0" w:color="auto"/>
              <w:right w:val="single" w:sz="4" w:space="0" w:color="auto"/>
            </w:tcBorders>
          </w:tcPr>
          <w:p w14:paraId="7C96DCD8" w14:textId="77777777" w:rsidR="006918A0" w:rsidRPr="00130899" w:rsidRDefault="006918A0" w:rsidP="006918A0">
            <w:pPr>
              <w:spacing w:line="276" w:lineRule="auto"/>
              <w:ind w:right="-29"/>
              <w:jc w:val="center"/>
              <w:rPr>
                <w:noProof/>
                <w:sz w:val="18"/>
              </w:rPr>
            </w:pPr>
          </w:p>
        </w:tc>
        <w:tc>
          <w:tcPr>
            <w:tcW w:w="298" w:type="pct"/>
            <w:tcBorders>
              <w:top w:val="single" w:sz="4" w:space="0" w:color="auto"/>
              <w:left w:val="single" w:sz="4" w:space="0" w:color="auto"/>
              <w:bottom w:val="single" w:sz="4" w:space="0" w:color="auto"/>
              <w:right w:val="single" w:sz="4" w:space="0" w:color="auto"/>
            </w:tcBorders>
          </w:tcPr>
          <w:p w14:paraId="42A340EE" w14:textId="77777777" w:rsidR="006918A0" w:rsidRPr="00130899" w:rsidRDefault="006918A0" w:rsidP="006918A0">
            <w:pPr>
              <w:spacing w:line="276" w:lineRule="auto"/>
              <w:ind w:right="-29"/>
              <w:jc w:val="center"/>
              <w:rPr>
                <w:noProof/>
                <w:sz w:val="18"/>
              </w:rPr>
            </w:pPr>
          </w:p>
        </w:tc>
        <w:tc>
          <w:tcPr>
            <w:tcW w:w="246" w:type="pct"/>
            <w:tcBorders>
              <w:top w:val="single" w:sz="4" w:space="0" w:color="auto"/>
              <w:left w:val="single" w:sz="4" w:space="0" w:color="auto"/>
              <w:bottom w:val="single" w:sz="4" w:space="0" w:color="auto"/>
              <w:right w:val="single" w:sz="4" w:space="0" w:color="auto"/>
            </w:tcBorders>
            <w:hideMark/>
          </w:tcPr>
          <w:p w14:paraId="0BFECB0C" w14:textId="77777777" w:rsidR="006918A0" w:rsidRPr="00130899" w:rsidRDefault="006918A0" w:rsidP="006918A0">
            <w:pPr>
              <w:spacing w:line="276" w:lineRule="auto"/>
              <w:ind w:right="-29"/>
              <w:jc w:val="center"/>
              <w:rPr>
                <w:noProof/>
                <w:sz w:val="18"/>
              </w:rPr>
            </w:pPr>
            <w:r w:rsidRPr="00130899">
              <w:rPr>
                <w:noProof/>
                <w:sz w:val="18"/>
              </w:rPr>
              <w:t>0,020</w:t>
            </w:r>
          </w:p>
        </w:tc>
        <w:tc>
          <w:tcPr>
            <w:tcW w:w="367" w:type="pct"/>
            <w:tcBorders>
              <w:top w:val="single" w:sz="4" w:space="0" w:color="auto"/>
              <w:left w:val="single" w:sz="4" w:space="0" w:color="auto"/>
              <w:bottom w:val="single" w:sz="4" w:space="0" w:color="auto"/>
              <w:right w:val="single" w:sz="4" w:space="0" w:color="auto"/>
            </w:tcBorders>
          </w:tcPr>
          <w:p w14:paraId="48C04401" w14:textId="77777777" w:rsidR="006918A0" w:rsidRPr="00130899" w:rsidRDefault="006918A0" w:rsidP="006918A0">
            <w:pPr>
              <w:spacing w:line="276" w:lineRule="auto"/>
              <w:ind w:right="-29"/>
              <w:jc w:val="center"/>
              <w:rPr>
                <w:noProof/>
                <w:sz w:val="18"/>
              </w:rPr>
            </w:pPr>
          </w:p>
        </w:tc>
        <w:tc>
          <w:tcPr>
            <w:tcW w:w="225" w:type="pct"/>
            <w:tcBorders>
              <w:top w:val="single" w:sz="4" w:space="0" w:color="auto"/>
              <w:left w:val="single" w:sz="4" w:space="0" w:color="auto"/>
              <w:bottom w:val="single" w:sz="4" w:space="0" w:color="auto"/>
              <w:right w:val="single" w:sz="4" w:space="0" w:color="auto"/>
            </w:tcBorders>
          </w:tcPr>
          <w:p w14:paraId="12FDC07E" w14:textId="77777777" w:rsidR="006918A0" w:rsidRPr="00130899" w:rsidRDefault="006918A0" w:rsidP="006918A0">
            <w:pPr>
              <w:spacing w:line="276" w:lineRule="auto"/>
              <w:ind w:right="-29"/>
              <w:jc w:val="center"/>
              <w:rPr>
                <w:noProof/>
                <w:sz w:val="18"/>
              </w:rPr>
            </w:pPr>
          </w:p>
        </w:tc>
        <w:tc>
          <w:tcPr>
            <w:tcW w:w="258" w:type="pct"/>
            <w:tcBorders>
              <w:top w:val="single" w:sz="4" w:space="0" w:color="auto"/>
              <w:left w:val="single" w:sz="4" w:space="0" w:color="auto"/>
              <w:bottom w:val="single" w:sz="4" w:space="0" w:color="auto"/>
              <w:right w:val="single" w:sz="4" w:space="0" w:color="auto"/>
            </w:tcBorders>
          </w:tcPr>
          <w:p w14:paraId="2BCE6B5B" w14:textId="77777777" w:rsidR="006918A0" w:rsidRPr="00130899" w:rsidRDefault="006918A0" w:rsidP="006918A0">
            <w:pPr>
              <w:spacing w:line="276" w:lineRule="auto"/>
              <w:ind w:right="-29"/>
              <w:jc w:val="center"/>
              <w:rPr>
                <w:noProof/>
                <w:sz w:val="18"/>
              </w:rPr>
            </w:pPr>
          </w:p>
        </w:tc>
        <w:tc>
          <w:tcPr>
            <w:tcW w:w="241" w:type="pct"/>
            <w:tcBorders>
              <w:top w:val="single" w:sz="4" w:space="0" w:color="auto"/>
              <w:left w:val="single" w:sz="4" w:space="0" w:color="auto"/>
              <w:bottom w:val="single" w:sz="4" w:space="0" w:color="auto"/>
              <w:right w:val="single" w:sz="4" w:space="0" w:color="auto"/>
            </w:tcBorders>
          </w:tcPr>
          <w:p w14:paraId="28F943C6" w14:textId="77777777" w:rsidR="006918A0" w:rsidRPr="00130899" w:rsidRDefault="006918A0" w:rsidP="006918A0">
            <w:pPr>
              <w:spacing w:line="276" w:lineRule="auto"/>
              <w:ind w:right="-29"/>
              <w:jc w:val="center"/>
              <w:rPr>
                <w:noProof/>
                <w:sz w:val="18"/>
              </w:rPr>
            </w:pPr>
          </w:p>
        </w:tc>
        <w:tc>
          <w:tcPr>
            <w:tcW w:w="249" w:type="pct"/>
            <w:gridSpan w:val="2"/>
            <w:tcBorders>
              <w:top w:val="single" w:sz="4" w:space="0" w:color="auto"/>
              <w:left w:val="single" w:sz="4" w:space="0" w:color="auto"/>
              <w:bottom w:val="single" w:sz="4" w:space="0" w:color="auto"/>
              <w:right w:val="single" w:sz="4" w:space="0" w:color="auto"/>
            </w:tcBorders>
          </w:tcPr>
          <w:p w14:paraId="7DA9C1DE" w14:textId="77777777" w:rsidR="006918A0" w:rsidRPr="00130899" w:rsidRDefault="006918A0" w:rsidP="006918A0">
            <w:pPr>
              <w:spacing w:line="276" w:lineRule="auto"/>
              <w:ind w:right="-29"/>
              <w:jc w:val="center"/>
              <w:rPr>
                <w:noProof/>
                <w:sz w:val="18"/>
              </w:rPr>
            </w:pPr>
          </w:p>
        </w:tc>
        <w:tc>
          <w:tcPr>
            <w:tcW w:w="318" w:type="pct"/>
            <w:gridSpan w:val="2"/>
            <w:tcBorders>
              <w:top w:val="single" w:sz="4" w:space="0" w:color="auto"/>
              <w:left w:val="single" w:sz="4" w:space="0" w:color="auto"/>
              <w:bottom w:val="single" w:sz="4" w:space="0" w:color="auto"/>
              <w:right w:val="single" w:sz="4" w:space="0" w:color="auto"/>
            </w:tcBorders>
          </w:tcPr>
          <w:p w14:paraId="747F51AA" w14:textId="77777777" w:rsidR="006918A0" w:rsidRPr="00130899" w:rsidRDefault="006918A0" w:rsidP="006918A0">
            <w:pPr>
              <w:spacing w:line="276" w:lineRule="auto"/>
              <w:ind w:right="-29"/>
              <w:jc w:val="center"/>
              <w:rPr>
                <w:noProof/>
                <w:sz w:val="18"/>
              </w:rPr>
            </w:pPr>
          </w:p>
        </w:tc>
        <w:tc>
          <w:tcPr>
            <w:tcW w:w="223" w:type="pct"/>
            <w:gridSpan w:val="3"/>
            <w:tcBorders>
              <w:top w:val="single" w:sz="4" w:space="0" w:color="auto"/>
              <w:left w:val="single" w:sz="4" w:space="0" w:color="auto"/>
              <w:bottom w:val="single" w:sz="4" w:space="0" w:color="auto"/>
              <w:right w:val="single" w:sz="4" w:space="0" w:color="auto"/>
            </w:tcBorders>
          </w:tcPr>
          <w:p w14:paraId="536CD5E0" w14:textId="77777777" w:rsidR="006918A0" w:rsidRPr="00130899" w:rsidRDefault="006918A0" w:rsidP="006918A0">
            <w:pPr>
              <w:spacing w:line="276" w:lineRule="auto"/>
              <w:ind w:right="-29"/>
              <w:jc w:val="center"/>
              <w:rPr>
                <w:noProof/>
                <w:sz w:val="18"/>
              </w:rPr>
            </w:pPr>
          </w:p>
        </w:tc>
        <w:tc>
          <w:tcPr>
            <w:tcW w:w="403" w:type="pct"/>
            <w:gridSpan w:val="2"/>
            <w:tcBorders>
              <w:top w:val="single" w:sz="4" w:space="0" w:color="auto"/>
              <w:left w:val="single" w:sz="4" w:space="0" w:color="auto"/>
              <w:bottom w:val="single" w:sz="4" w:space="0" w:color="auto"/>
              <w:right w:val="single" w:sz="4" w:space="0" w:color="auto"/>
            </w:tcBorders>
            <w:vAlign w:val="center"/>
            <w:hideMark/>
          </w:tcPr>
          <w:p w14:paraId="1155DA9A" w14:textId="77777777" w:rsidR="006918A0" w:rsidRPr="00130899" w:rsidRDefault="006918A0" w:rsidP="006918A0">
            <w:pPr>
              <w:spacing w:line="276" w:lineRule="auto"/>
              <w:ind w:right="-29"/>
              <w:jc w:val="right"/>
              <w:rPr>
                <w:noProof/>
                <w:sz w:val="18"/>
              </w:rPr>
            </w:pPr>
            <w:r w:rsidRPr="00130899">
              <w:rPr>
                <w:b/>
                <w:noProof/>
                <w:sz w:val="18"/>
              </w:rPr>
              <w:t>0,020</w:t>
            </w:r>
          </w:p>
        </w:tc>
      </w:tr>
      <w:tr w:rsidR="006918A0" w:rsidRPr="00130899" w14:paraId="6B20B7AE" w14:textId="77777777" w:rsidTr="000430BD">
        <w:trPr>
          <w:trHeight w:hRule="exact" w:val="1106"/>
          <w:jc w:val="center"/>
        </w:trPr>
        <w:tc>
          <w:tcPr>
            <w:tcW w:w="483" w:type="pct"/>
            <w:tcBorders>
              <w:top w:val="single" w:sz="4" w:space="0" w:color="auto"/>
              <w:left w:val="single" w:sz="4" w:space="0" w:color="auto"/>
              <w:bottom w:val="single" w:sz="4" w:space="0" w:color="auto"/>
              <w:right w:val="single" w:sz="4" w:space="0" w:color="auto"/>
            </w:tcBorders>
            <w:hideMark/>
          </w:tcPr>
          <w:p w14:paraId="6ECEEA10" w14:textId="77777777" w:rsidR="006918A0" w:rsidRPr="00130899" w:rsidRDefault="006918A0" w:rsidP="006918A0">
            <w:pPr>
              <w:spacing w:line="276" w:lineRule="auto"/>
              <w:ind w:right="-29"/>
              <w:jc w:val="center"/>
              <w:rPr>
                <w:noProof/>
                <w:sz w:val="18"/>
              </w:rPr>
            </w:pPr>
            <w:bookmarkStart w:id="20" w:name="OLE_LINK1"/>
            <w:r w:rsidRPr="00130899">
              <w:rPr>
                <w:noProof/>
                <w:sz w:val="18"/>
              </w:rPr>
              <w:t>Управление на услугите, свързани с информационните технологии (ІТSM) (инфраструктура, хостинг услуги, лицензи и т.н.),</w:t>
            </w:r>
            <w:bookmarkEnd w:id="20"/>
          </w:p>
        </w:tc>
        <w:tc>
          <w:tcPr>
            <w:tcW w:w="249" w:type="pct"/>
            <w:tcBorders>
              <w:top w:val="single" w:sz="4" w:space="0" w:color="auto"/>
              <w:left w:val="single" w:sz="4" w:space="0" w:color="auto"/>
              <w:bottom w:val="single" w:sz="4" w:space="0" w:color="auto"/>
              <w:right w:val="single" w:sz="4" w:space="0" w:color="auto"/>
            </w:tcBorders>
          </w:tcPr>
          <w:p w14:paraId="12F6579C" w14:textId="77777777" w:rsidR="006918A0" w:rsidRPr="00130899" w:rsidRDefault="006918A0" w:rsidP="006918A0">
            <w:pPr>
              <w:spacing w:line="276" w:lineRule="auto"/>
              <w:ind w:right="-29"/>
              <w:jc w:val="center"/>
              <w:rPr>
                <w:noProof/>
                <w:sz w:val="18"/>
              </w:rPr>
            </w:pPr>
          </w:p>
        </w:tc>
        <w:tc>
          <w:tcPr>
            <w:tcW w:w="351" w:type="pct"/>
            <w:tcBorders>
              <w:top w:val="single" w:sz="4" w:space="0" w:color="auto"/>
              <w:left w:val="single" w:sz="4" w:space="0" w:color="auto"/>
              <w:bottom w:val="single" w:sz="4" w:space="0" w:color="auto"/>
              <w:right w:val="single" w:sz="4" w:space="0" w:color="auto"/>
            </w:tcBorders>
          </w:tcPr>
          <w:p w14:paraId="0F8BAF73" w14:textId="77777777" w:rsidR="006918A0" w:rsidRPr="00130899" w:rsidRDefault="006918A0" w:rsidP="006918A0">
            <w:pPr>
              <w:spacing w:line="276" w:lineRule="auto"/>
              <w:ind w:right="-29"/>
              <w:jc w:val="center"/>
              <w:rPr>
                <w:noProof/>
                <w:sz w:val="18"/>
              </w:rPr>
            </w:pPr>
          </w:p>
        </w:tc>
        <w:tc>
          <w:tcPr>
            <w:tcW w:w="285" w:type="pct"/>
            <w:tcBorders>
              <w:top w:val="single" w:sz="4" w:space="0" w:color="auto"/>
              <w:left w:val="single" w:sz="4" w:space="0" w:color="auto"/>
              <w:bottom w:val="single" w:sz="4" w:space="0" w:color="auto"/>
              <w:right w:val="single" w:sz="4" w:space="0" w:color="auto"/>
            </w:tcBorders>
          </w:tcPr>
          <w:p w14:paraId="7CD695F5" w14:textId="77777777" w:rsidR="006918A0" w:rsidRPr="00130899" w:rsidRDefault="006918A0" w:rsidP="006918A0">
            <w:pPr>
              <w:spacing w:line="276" w:lineRule="auto"/>
              <w:ind w:right="-29"/>
              <w:jc w:val="center"/>
              <w:rPr>
                <w:noProof/>
                <w:sz w:val="18"/>
              </w:rPr>
            </w:pPr>
          </w:p>
        </w:tc>
        <w:tc>
          <w:tcPr>
            <w:tcW w:w="266" w:type="pct"/>
            <w:tcBorders>
              <w:top w:val="single" w:sz="4" w:space="0" w:color="auto"/>
              <w:left w:val="single" w:sz="4" w:space="0" w:color="auto"/>
              <w:bottom w:val="single" w:sz="4" w:space="0" w:color="auto"/>
              <w:right w:val="single" w:sz="4" w:space="0" w:color="auto"/>
            </w:tcBorders>
          </w:tcPr>
          <w:p w14:paraId="4F43C746" w14:textId="77777777" w:rsidR="006918A0" w:rsidRPr="00130899" w:rsidRDefault="006918A0" w:rsidP="006918A0">
            <w:pPr>
              <w:spacing w:line="276" w:lineRule="auto"/>
              <w:ind w:right="-29"/>
              <w:jc w:val="center"/>
              <w:rPr>
                <w:noProof/>
                <w:sz w:val="18"/>
              </w:rPr>
            </w:pPr>
          </w:p>
        </w:tc>
        <w:tc>
          <w:tcPr>
            <w:tcW w:w="281" w:type="pct"/>
            <w:tcBorders>
              <w:top w:val="single" w:sz="4" w:space="0" w:color="auto"/>
              <w:left w:val="single" w:sz="4" w:space="0" w:color="auto"/>
              <w:bottom w:val="single" w:sz="4" w:space="0" w:color="auto"/>
              <w:right w:val="single" w:sz="4" w:space="0" w:color="auto"/>
            </w:tcBorders>
          </w:tcPr>
          <w:p w14:paraId="7640983A" w14:textId="77777777" w:rsidR="006918A0" w:rsidRPr="00130899" w:rsidRDefault="006918A0" w:rsidP="006918A0">
            <w:pPr>
              <w:spacing w:line="276" w:lineRule="auto"/>
              <w:ind w:right="-29"/>
              <w:jc w:val="center"/>
              <w:rPr>
                <w:noProof/>
                <w:sz w:val="18"/>
              </w:rPr>
            </w:pPr>
          </w:p>
        </w:tc>
        <w:tc>
          <w:tcPr>
            <w:tcW w:w="256" w:type="pct"/>
            <w:tcBorders>
              <w:top w:val="single" w:sz="4" w:space="0" w:color="auto"/>
              <w:left w:val="single" w:sz="4" w:space="0" w:color="auto"/>
              <w:bottom w:val="single" w:sz="4" w:space="0" w:color="auto"/>
              <w:right w:val="single" w:sz="4" w:space="0" w:color="auto"/>
            </w:tcBorders>
            <w:hideMark/>
          </w:tcPr>
          <w:p w14:paraId="271CD412" w14:textId="77777777" w:rsidR="006918A0" w:rsidRPr="00130899" w:rsidRDefault="006918A0" w:rsidP="006918A0">
            <w:pPr>
              <w:spacing w:line="276" w:lineRule="auto"/>
              <w:ind w:right="-29"/>
              <w:jc w:val="center"/>
              <w:rPr>
                <w:noProof/>
                <w:sz w:val="18"/>
              </w:rPr>
            </w:pPr>
            <w:r w:rsidRPr="00130899">
              <w:rPr>
                <w:noProof/>
                <w:sz w:val="18"/>
              </w:rPr>
              <w:t>0,020</w:t>
            </w:r>
          </w:p>
        </w:tc>
        <w:tc>
          <w:tcPr>
            <w:tcW w:w="298" w:type="pct"/>
            <w:tcBorders>
              <w:top w:val="single" w:sz="4" w:space="0" w:color="auto"/>
              <w:left w:val="single" w:sz="4" w:space="0" w:color="auto"/>
              <w:bottom w:val="single" w:sz="4" w:space="0" w:color="auto"/>
              <w:right w:val="single" w:sz="4" w:space="0" w:color="auto"/>
            </w:tcBorders>
          </w:tcPr>
          <w:p w14:paraId="180078B4" w14:textId="77777777" w:rsidR="006918A0" w:rsidRPr="00130899" w:rsidRDefault="006918A0" w:rsidP="006918A0">
            <w:pPr>
              <w:spacing w:line="276" w:lineRule="auto"/>
              <w:ind w:right="-29"/>
              <w:jc w:val="center"/>
              <w:rPr>
                <w:noProof/>
                <w:sz w:val="18"/>
              </w:rPr>
            </w:pPr>
          </w:p>
        </w:tc>
        <w:tc>
          <w:tcPr>
            <w:tcW w:w="246" w:type="pct"/>
            <w:tcBorders>
              <w:top w:val="single" w:sz="4" w:space="0" w:color="auto"/>
              <w:left w:val="single" w:sz="4" w:space="0" w:color="auto"/>
              <w:bottom w:val="single" w:sz="4" w:space="0" w:color="auto"/>
              <w:right w:val="single" w:sz="4" w:space="0" w:color="auto"/>
            </w:tcBorders>
            <w:hideMark/>
          </w:tcPr>
          <w:p w14:paraId="652353C6" w14:textId="77777777" w:rsidR="006918A0" w:rsidRPr="00130899" w:rsidRDefault="006918A0" w:rsidP="006918A0">
            <w:pPr>
              <w:spacing w:line="276" w:lineRule="auto"/>
              <w:ind w:right="-29"/>
              <w:jc w:val="center"/>
              <w:rPr>
                <w:noProof/>
                <w:sz w:val="18"/>
              </w:rPr>
            </w:pPr>
            <w:r w:rsidRPr="00130899">
              <w:rPr>
                <w:noProof/>
                <w:sz w:val="18"/>
              </w:rPr>
              <w:t>0,060</w:t>
            </w:r>
          </w:p>
        </w:tc>
        <w:tc>
          <w:tcPr>
            <w:tcW w:w="367" w:type="pct"/>
            <w:tcBorders>
              <w:top w:val="single" w:sz="4" w:space="0" w:color="auto"/>
              <w:left w:val="single" w:sz="4" w:space="0" w:color="auto"/>
              <w:bottom w:val="single" w:sz="4" w:space="0" w:color="auto"/>
              <w:right w:val="single" w:sz="4" w:space="0" w:color="auto"/>
            </w:tcBorders>
          </w:tcPr>
          <w:p w14:paraId="1751D096" w14:textId="77777777" w:rsidR="006918A0" w:rsidRPr="00130899" w:rsidRDefault="006918A0" w:rsidP="006918A0">
            <w:pPr>
              <w:spacing w:line="276" w:lineRule="auto"/>
              <w:ind w:right="-29"/>
              <w:jc w:val="center"/>
              <w:rPr>
                <w:noProof/>
                <w:sz w:val="18"/>
              </w:rPr>
            </w:pPr>
          </w:p>
        </w:tc>
        <w:tc>
          <w:tcPr>
            <w:tcW w:w="225" w:type="pct"/>
            <w:tcBorders>
              <w:top w:val="single" w:sz="4" w:space="0" w:color="auto"/>
              <w:left w:val="single" w:sz="4" w:space="0" w:color="auto"/>
              <w:bottom w:val="single" w:sz="4" w:space="0" w:color="auto"/>
              <w:right w:val="single" w:sz="4" w:space="0" w:color="auto"/>
            </w:tcBorders>
            <w:hideMark/>
          </w:tcPr>
          <w:p w14:paraId="38BBD56C" w14:textId="77777777" w:rsidR="006918A0" w:rsidRPr="00130899" w:rsidRDefault="006918A0" w:rsidP="006918A0">
            <w:pPr>
              <w:spacing w:line="276" w:lineRule="auto"/>
              <w:ind w:right="-29"/>
              <w:jc w:val="center"/>
              <w:rPr>
                <w:noProof/>
                <w:sz w:val="18"/>
              </w:rPr>
            </w:pPr>
            <w:r w:rsidRPr="00130899">
              <w:rPr>
                <w:noProof/>
                <w:sz w:val="18"/>
              </w:rPr>
              <w:t>0,060</w:t>
            </w:r>
          </w:p>
        </w:tc>
        <w:tc>
          <w:tcPr>
            <w:tcW w:w="258" w:type="pct"/>
            <w:tcBorders>
              <w:top w:val="single" w:sz="4" w:space="0" w:color="auto"/>
              <w:left w:val="single" w:sz="4" w:space="0" w:color="auto"/>
              <w:bottom w:val="single" w:sz="4" w:space="0" w:color="auto"/>
              <w:right w:val="single" w:sz="4" w:space="0" w:color="auto"/>
            </w:tcBorders>
          </w:tcPr>
          <w:p w14:paraId="18F75C4A" w14:textId="77777777" w:rsidR="006918A0" w:rsidRPr="00130899" w:rsidRDefault="006918A0" w:rsidP="006918A0">
            <w:pPr>
              <w:spacing w:line="276" w:lineRule="auto"/>
              <w:ind w:right="-29"/>
              <w:jc w:val="center"/>
              <w:rPr>
                <w:noProof/>
                <w:sz w:val="18"/>
              </w:rPr>
            </w:pPr>
          </w:p>
        </w:tc>
        <w:tc>
          <w:tcPr>
            <w:tcW w:w="241" w:type="pct"/>
            <w:tcBorders>
              <w:top w:val="single" w:sz="4" w:space="0" w:color="auto"/>
              <w:left w:val="single" w:sz="4" w:space="0" w:color="auto"/>
              <w:bottom w:val="single" w:sz="4" w:space="0" w:color="auto"/>
              <w:right w:val="single" w:sz="4" w:space="0" w:color="auto"/>
            </w:tcBorders>
            <w:hideMark/>
          </w:tcPr>
          <w:p w14:paraId="649C445E" w14:textId="77777777" w:rsidR="006918A0" w:rsidRPr="00130899" w:rsidRDefault="006918A0" w:rsidP="006918A0">
            <w:pPr>
              <w:spacing w:line="276" w:lineRule="auto"/>
              <w:ind w:right="-29"/>
              <w:jc w:val="center"/>
              <w:rPr>
                <w:noProof/>
                <w:sz w:val="18"/>
              </w:rPr>
            </w:pPr>
            <w:r w:rsidRPr="00130899">
              <w:rPr>
                <w:noProof/>
                <w:sz w:val="18"/>
              </w:rPr>
              <w:t>0,060</w:t>
            </w:r>
          </w:p>
        </w:tc>
        <w:tc>
          <w:tcPr>
            <w:tcW w:w="249" w:type="pct"/>
            <w:gridSpan w:val="2"/>
            <w:tcBorders>
              <w:top w:val="single" w:sz="4" w:space="0" w:color="auto"/>
              <w:left w:val="single" w:sz="4" w:space="0" w:color="auto"/>
              <w:bottom w:val="single" w:sz="4" w:space="0" w:color="auto"/>
              <w:right w:val="single" w:sz="4" w:space="0" w:color="auto"/>
            </w:tcBorders>
          </w:tcPr>
          <w:p w14:paraId="59F7C0E9" w14:textId="77777777" w:rsidR="006918A0" w:rsidRPr="00130899" w:rsidRDefault="006918A0" w:rsidP="006918A0">
            <w:pPr>
              <w:spacing w:line="276" w:lineRule="auto"/>
              <w:ind w:right="-29"/>
              <w:jc w:val="center"/>
              <w:rPr>
                <w:noProof/>
                <w:sz w:val="18"/>
              </w:rPr>
            </w:pPr>
          </w:p>
        </w:tc>
        <w:tc>
          <w:tcPr>
            <w:tcW w:w="318" w:type="pct"/>
            <w:gridSpan w:val="2"/>
            <w:tcBorders>
              <w:top w:val="single" w:sz="4" w:space="0" w:color="auto"/>
              <w:left w:val="single" w:sz="4" w:space="0" w:color="auto"/>
              <w:bottom w:val="single" w:sz="4" w:space="0" w:color="auto"/>
              <w:right w:val="single" w:sz="4" w:space="0" w:color="auto"/>
            </w:tcBorders>
            <w:hideMark/>
          </w:tcPr>
          <w:p w14:paraId="10B080AA" w14:textId="77777777" w:rsidR="006918A0" w:rsidRPr="00130899" w:rsidRDefault="006918A0" w:rsidP="006918A0">
            <w:pPr>
              <w:spacing w:line="276" w:lineRule="auto"/>
              <w:ind w:right="-29"/>
              <w:jc w:val="center"/>
              <w:rPr>
                <w:noProof/>
                <w:sz w:val="18"/>
              </w:rPr>
            </w:pPr>
            <w:r w:rsidRPr="00130899">
              <w:rPr>
                <w:noProof/>
                <w:sz w:val="18"/>
              </w:rPr>
              <w:t>0,060</w:t>
            </w:r>
          </w:p>
        </w:tc>
        <w:tc>
          <w:tcPr>
            <w:tcW w:w="223" w:type="pct"/>
            <w:gridSpan w:val="3"/>
            <w:tcBorders>
              <w:top w:val="single" w:sz="4" w:space="0" w:color="auto"/>
              <w:left w:val="single" w:sz="4" w:space="0" w:color="auto"/>
              <w:bottom w:val="single" w:sz="4" w:space="0" w:color="auto"/>
              <w:right w:val="single" w:sz="4" w:space="0" w:color="auto"/>
            </w:tcBorders>
          </w:tcPr>
          <w:p w14:paraId="5E44C150" w14:textId="77777777" w:rsidR="006918A0" w:rsidRPr="00130899" w:rsidRDefault="006918A0" w:rsidP="006918A0">
            <w:pPr>
              <w:spacing w:line="276" w:lineRule="auto"/>
              <w:ind w:right="-29"/>
              <w:jc w:val="center"/>
              <w:rPr>
                <w:noProof/>
                <w:sz w:val="18"/>
              </w:rPr>
            </w:pPr>
          </w:p>
        </w:tc>
        <w:tc>
          <w:tcPr>
            <w:tcW w:w="403" w:type="pct"/>
            <w:gridSpan w:val="2"/>
            <w:tcBorders>
              <w:top w:val="single" w:sz="4" w:space="0" w:color="auto"/>
              <w:left w:val="single" w:sz="4" w:space="0" w:color="auto"/>
              <w:bottom w:val="single" w:sz="4" w:space="0" w:color="auto"/>
              <w:right w:val="single" w:sz="4" w:space="0" w:color="auto"/>
            </w:tcBorders>
            <w:vAlign w:val="center"/>
            <w:hideMark/>
          </w:tcPr>
          <w:p w14:paraId="0EB905D0" w14:textId="77777777" w:rsidR="006918A0" w:rsidRPr="00130899" w:rsidRDefault="006918A0" w:rsidP="006918A0">
            <w:pPr>
              <w:spacing w:line="276" w:lineRule="auto"/>
              <w:ind w:right="-29"/>
              <w:jc w:val="right"/>
              <w:rPr>
                <w:noProof/>
                <w:sz w:val="18"/>
              </w:rPr>
            </w:pPr>
            <w:r w:rsidRPr="00130899">
              <w:rPr>
                <w:b/>
                <w:noProof/>
                <w:sz w:val="18"/>
              </w:rPr>
              <w:t>0,260</w:t>
            </w:r>
          </w:p>
        </w:tc>
      </w:tr>
      <w:tr w:rsidR="006918A0" w:rsidRPr="00130899" w14:paraId="7A0845E2" w14:textId="77777777" w:rsidTr="000430BD">
        <w:trPr>
          <w:trHeight w:val="77"/>
          <w:jc w:val="center"/>
        </w:trPr>
        <w:tc>
          <w:tcPr>
            <w:tcW w:w="1083" w:type="pct"/>
            <w:gridSpan w:val="3"/>
            <w:tcBorders>
              <w:top w:val="single" w:sz="4" w:space="0" w:color="auto"/>
              <w:left w:val="single" w:sz="4" w:space="0" w:color="auto"/>
              <w:bottom w:val="single" w:sz="12" w:space="0" w:color="auto"/>
              <w:right w:val="single" w:sz="4" w:space="0" w:color="auto"/>
            </w:tcBorders>
            <w:vAlign w:val="center"/>
            <w:hideMark/>
          </w:tcPr>
          <w:p w14:paraId="6133741D" w14:textId="77777777" w:rsidR="006918A0" w:rsidRPr="00130899" w:rsidRDefault="006918A0" w:rsidP="006918A0">
            <w:pPr>
              <w:spacing w:line="276" w:lineRule="auto"/>
              <w:ind w:right="-29"/>
              <w:jc w:val="center"/>
              <w:rPr>
                <w:noProof/>
                <w:sz w:val="18"/>
              </w:rPr>
            </w:pPr>
            <w:r w:rsidRPr="00130899">
              <w:rPr>
                <w:noProof/>
                <w:sz w:val="18"/>
              </w:rPr>
              <w:t>Междинен сбор за конкретна цел № 1</w:t>
            </w:r>
          </w:p>
        </w:tc>
        <w:tc>
          <w:tcPr>
            <w:tcW w:w="285" w:type="pct"/>
            <w:tcBorders>
              <w:top w:val="single" w:sz="4" w:space="0" w:color="auto"/>
              <w:left w:val="single" w:sz="4" w:space="0" w:color="auto"/>
              <w:bottom w:val="single" w:sz="12" w:space="0" w:color="auto"/>
              <w:right w:val="single" w:sz="4" w:space="0" w:color="auto"/>
            </w:tcBorders>
          </w:tcPr>
          <w:p w14:paraId="0DFA5794" w14:textId="77777777" w:rsidR="006918A0" w:rsidRPr="00130899" w:rsidRDefault="006918A0" w:rsidP="006918A0">
            <w:pPr>
              <w:spacing w:line="276" w:lineRule="auto"/>
              <w:ind w:right="-29"/>
              <w:jc w:val="center"/>
              <w:rPr>
                <w:noProof/>
                <w:sz w:val="18"/>
              </w:rPr>
            </w:pPr>
          </w:p>
        </w:tc>
        <w:tc>
          <w:tcPr>
            <w:tcW w:w="266" w:type="pct"/>
            <w:tcBorders>
              <w:top w:val="single" w:sz="4" w:space="0" w:color="auto"/>
              <w:left w:val="single" w:sz="4" w:space="0" w:color="auto"/>
              <w:bottom w:val="single" w:sz="12" w:space="0" w:color="auto"/>
              <w:right w:val="single" w:sz="4" w:space="0" w:color="auto"/>
            </w:tcBorders>
            <w:hideMark/>
          </w:tcPr>
          <w:p w14:paraId="57FE707A" w14:textId="77777777" w:rsidR="006918A0" w:rsidRPr="00130899" w:rsidRDefault="006918A0" w:rsidP="006918A0">
            <w:pPr>
              <w:spacing w:line="276" w:lineRule="auto"/>
              <w:ind w:right="-29"/>
              <w:jc w:val="center"/>
              <w:rPr>
                <w:noProof/>
                <w:sz w:val="18"/>
              </w:rPr>
            </w:pPr>
            <w:r w:rsidRPr="00130899">
              <w:rPr>
                <w:b/>
                <w:noProof/>
                <w:sz w:val="18"/>
              </w:rPr>
              <w:t>0,150</w:t>
            </w:r>
          </w:p>
        </w:tc>
        <w:tc>
          <w:tcPr>
            <w:tcW w:w="281" w:type="pct"/>
            <w:tcBorders>
              <w:top w:val="single" w:sz="4" w:space="0" w:color="auto"/>
              <w:left w:val="single" w:sz="4" w:space="0" w:color="auto"/>
              <w:bottom w:val="single" w:sz="12" w:space="0" w:color="auto"/>
              <w:right w:val="single" w:sz="4" w:space="0" w:color="auto"/>
            </w:tcBorders>
          </w:tcPr>
          <w:p w14:paraId="572DDC80" w14:textId="77777777" w:rsidR="006918A0" w:rsidRPr="00130899" w:rsidRDefault="006918A0" w:rsidP="006918A0">
            <w:pPr>
              <w:spacing w:line="276" w:lineRule="auto"/>
              <w:ind w:right="-29"/>
              <w:jc w:val="center"/>
              <w:rPr>
                <w:noProof/>
                <w:sz w:val="18"/>
              </w:rPr>
            </w:pPr>
          </w:p>
        </w:tc>
        <w:tc>
          <w:tcPr>
            <w:tcW w:w="256" w:type="pct"/>
            <w:tcBorders>
              <w:top w:val="single" w:sz="4" w:space="0" w:color="auto"/>
              <w:left w:val="single" w:sz="4" w:space="0" w:color="auto"/>
              <w:bottom w:val="single" w:sz="12" w:space="0" w:color="auto"/>
              <w:right w:val="single" w:sz="4" w:space="0" w:color="auto"/>
            </w:tcBorders>
            <w:hideMark/>
          </w:tcPr>
          <w:p w14:paraId="1570EEB9" w14:textId="77777777" w:rsidR="006918A0" w:rsidRPr="00130899" w:rsidRDefault="006918A0" w:rsidP="006918A0">
            <w:pPr>
              <w:spacing w:line="276" w:lineRule="auto"/>
              <w:ind w:right="-29"/>
              <w:jc w:val="center"/>
              <w:rPr>
                <w:noProof/>
                <w:sz w:val="18"/>
              </w:rPr>
            </w:pPr>
            <w:r w:rsidRPr="00130899">
              <w:rPr>
                <w:b/>
                <w:noProof/>
                <w:sz w:val="18"/>
              </w:rPr>
              <w:t>0,420</w:t>
            </w:r>
          </w:p>
        </w:tc>
        <w:tc>
          <w:tcPr>
            <w:tcW w:w="298" w:type="pct"/>
            <w:tcBorders>
              <w:top w:val="single" w:sz="4" w:space="0" w:color="auto"/>
              <w:left w:val="single" w:sz="4" w:space="0" w:color="auto"/>
              <w:bottom w:val="single" w:sz="12" w:space="0" w:color="auto"/>
              <w:right w:val="single" w:sz="4" w:space="0" w:color="auto"/>
            </w:tcBorders>
          </w:tcPr>
          <w:p w14:paraId="2882E8FA" w14:textId="77777777" w:rsidR="006918A0" w:rsidRPr="00130899" w:rsidRDefault="006918A0" w:rsidP="006918A0">
            <w:pPr>
              <w:spacing w:line="276" w:lineRule="auto"/>
              <w:ind w:right="-29"/>
              <w:jc w:val="center"/>
              <w:rPr>
                <w:noProof/>
                <w:sz w:val="18"/>
              </w:rPr>
            </w:pPr>
          </w:p>
        </w:tc>
        <w:tc>
          <w:tcPr>
            <w:tcW w:w="246" w:type="pct"/>
            <w:tcBorders>
              <w:top w:val="single" w:sz="4" w:space="0" w:color="auto"/>
              <w:left w:val="single" w:sz="4" w:space="0" w:color="auto"/>
              <w:bottom w:val="single" w:sz="12" w:space="0" w:color="auto"/>
              <w:right w:val="single" w:sz="4" w:space="0" w:color="auto"/>
            </w:tcBorders>
            <w:hideMark/>
          </w:tcPr>
          <w:p w14:paraId="41309A62" w14:textId="77777777" w:rsidR="006918A0" w:rsidRPr="00130899" w:rsidRDefault="006918A0" w:rsidP="006918A0">
            <w:pPr>
              <w:spacing w:line="276" w:lineRule="auto"/>
              <w:ind w:right="-29"/>
              <w:jc w:val="center"/>
              <w:rPr>
                <w:noProof/>
                <w:sz w:val="18"/>
              </w:rPr>
            </w:pPr>
            <w:r w:rsidRPr="00130899">
              <w:rPr>
                <w:b/>
                <w:noProof/>
                <w:sz w:val="18"/>
              </w:rPr>
              <w:t>0,300</w:t>
            </w:r>
          </w:p>
        </w:tc>
        <w:tc>
          <w:tcPr>
            <w:tcW w:w="367" w:type="pct"/>
            <w:tcBorders>
              <w:top w:val="single" w:sz="4" w:space="0" w:color="auto"/>
              <w:left w:val="single" w:sz="4" w:space="0" w:color="auto"/>
              <w:bottom w:val="single" w:sz="12" w:space="0" w:color="auto"/>
              <w:right w:val="single" w:sz="4" w:space="0" w:color="auto"/>
            </w:tcBorders>
          </w:tcPr>
          <w:p w14:paraId="009F7A19" w14:textId="77777777" w:rsidR="006918A0" w:rsidRPr="00130899" w:rsidRDefault="006918A0" w:rsidP="006918A0">
            <w:pPr>
              <w:spacing w:line="276" w:lineRule="auto"/>
              <w:ind w:right="-29"/>
              <w:jc w:val="center"/>
              <w:rPr>
                <w:noProof/>
                <w:sz w:val="18"/>
              </w:rPr>
            </w:pPr>
          </w:p>
        </w:tc>
        <w:tc>
          <w:tcPr>
            <w:tcW w:w="225" w:type="pct"/>
            <w:tcBorders>
              <w:top w:val="single" w:sz="4" w:space="0" w:color="auto"/>
              <w:left w:val="single" w:sz="4" w:space="0" w:color="auto"/>
              <w:bottom w:val="single" w:sz="12" w:space="0" w:color="auto"/>
              <w:right w:val="single" w:sz="4" w:space="0" w:color="auto"/>
            </w:tcBorders>
            <w:hideMark/>
          </w:tcPr>
          <w:p w14:paraId="011BB20E" w14:textId="77777777" w:rsidR="006918A0" w:rsidRPr="00130899" w:rsidRDefault="006918A0" w:rsidP="006918A0">
            <w:pPr>
              <w:spacing w:line="276" w:lineRule="auto"/>
              <w:ind w:right="-29"/>
              <w:jc w:val="center"/>
              <w:rPr>
                <w:noProof/>
                <w:sz w:val="18"/>
              </w:rPr>
            </w:pPr>
            <w:r w:rsidRPr="00130899">
              <w:rPr>
                <w:b/>
                <w:noProof/>
                <w:sz w:val="18"/>
              </w:rPr>
              <w:t>0,330</w:t>
            </w:r>
          </w:p>
        </w:tc>
        <w:tc>
          <w:tcPr>
            <w:tcW w:w="258" w:type="pct"/>
            <w:tcBorders>
              <w:top w:val="single" w:sz="4" w:space="0" w:color="auto"/>
              <w:left w:val="single" w:sz="4" w:space="0" w:color="auto"/>
              <w:bottom w:val="single" w:sz="12" w:space="0" w:color="auto"/>
              <w:right w:val="single" w:sz="4" w:space="0" w:color="auto"/>
            </w:tcBorders>
          </w:tcPr>
          <w:p w14:paraId="1E8A7391" w14:textId="77777777" w:rsidR="006918A0" w:rsidRPr="00130899" w:rsidRDefault="006918A0" w:rsidP="006918A0">
            <w:pPr>
              <w:spacing w:line="276" w:lineRule="auto"/>
              <w:ind w:right="-29"/>
              <w:jc w:val="center"/>
              <w:rPr>
                <w:noProof/>
                <w:sz w:val="18"/>
              </w:rPr>
            </w:pPr>
          </w:p>
        </w:tc>
        <w:tc>
          <w:tcPr>
            <w:tcW w:w="241" w:type="pct"/>
            <w:tcBorders>
              <w:top w:val="single" w:sz="4" w:space="0" w:color="auto"/>
              <w:left w:val="single" w:sz="4" w:space="0" w:color="auto"/>
              <w:bottom w:val="single" w:sz="12" w:space="0" w:color="auto"/>
              <w:right w:val="single" w:sz="4" w:space="0" w:color="auto"/>
            </w:tcBorders>
            <w:hideMark/>
          </w:tcPr>
          <w:p w14:paraId="408054A8" w14:textId="77777777" w:rsidR="006918A0" w:rsidRPr="00130899" w:rsidRDefault="006918A0" w:rsidP="006918A0">
            <w:pPr>
              <w:spacing w:line="276" w:lineRule="auto"/>
              <w:ind w:right="-29"/>
              <w:jc w:val="center"/>
              <w:rPr>
                <w:noProof/>
                <w:sz w:val="18"/>
              </w:rPr>
            </w:pPr>
            <w:r w:rsidRPr="00130899">
              <w:rPr>
                <w:b/>
                <w:noProof/>
                <w:sz w:val="18"/>
              </w:rPr>
              <w:t>0,180</w:t>
            </w:r>
          </w:p>
        </w:tc>
        <w:tc>
          <w:tcPr>
            <w:tcW w:w="249" w:type="pct"/>
            <w:gridSpan w:val="2"/>
            <w:tcBorders>
              <w:top w:val="single" w:sz="4" w:space="0" w:color="auto"/>
              <w:left w:val="single" w:sz="4" w:space="0" w:color="auto"/>
              <w:bottom w:val="single" w:sz="12" w:space="0" w:color="auto"/>
              <w:right w:val="single" w:sz="4" w:space="0" w:color="auto"/>
            </w:tcBorders>
          </w:tcPr>
          <w:p w14:paraId="163C8D75" w14:textId="77777777" w:rsidR="006918A0" w:rsidRPr="00130899" w:rsidRDefault="006918A0" w:rsidP="006918A0">
            <w:pPr>
              <w:spacing w:line="276" w:lineRule="auto"/>
              <w:ind w:right="-29"/>
              <w:jc w:val="center"/>
              <w:rPr>
                <w:noProof/>
                <w:sz w:val="18"/>
              </w:rPr>
            </w:pPr>
          </w:p>
        </w:tc>
        <w:tc>
          <w:tcPr>
            <w:tcW w:w="318" w:type="pct"/>
            <w:gridSpan w:val="2"/>
            <w:tcBorders>
              <w:top w:val="single" w:sz="4" w:space="0" w:color="auto"/>
              <w:left w:val="single" w:sz="4" w:space="0" w:color="auto"/>
              <w:bottom w:val="single" w:sz="12" w:space="0" w:color="auto"/>
              <w:right w:val="single" w:sz="4" w:space="0" w:color="auto"/>
            </w:tcBorders>
            <w:hideMark/>
          </w:tcPr>
          <w:p w14:paraId="2C0B8A30" w14:textId="77777777" w:rsidR="006918A0" w:rsidRPr="00130899" w:rsidRDefault="006918A0" w:rsidP="006918A0">
            <w:pPr>
              <w:spacing w:line="276" w:lineRule="auto"/>
              <w:ind w:right="-29"/>
              <w:jc w:val="center"/>
              <w:rPr>
                <w:noProof/>
                <w:sz w:val="18"/>
              </w:rPr>
            </w:pPr>
            <w:r w:rsidRPr="00130899">
              <w:rPr>
                <w:b/>
                <w:noProof/>
                <w:sz w:val="18"/>
              </w:rPr>
              <w:t>0,180</w:t>
            </w:r>
          </w:p>
        </w:tc>
        <w:tc>
          <w:tcPr>
            <w:tcW w:w="223" w:type="pct"/>
            <w:gridSpan w:val="3"/>
            <w:tcBorders>
              <w:top w:val="single" w:sz="4" w:space="0" w:color="auto"/>
              <w:left w:val="single" w:sz="4" w:space="0" w:color="auto"/>
              <w:bottom w:val="single" w:sz="12" w:space="0" w:color="auto"/>
              <w:right w:val="single" w:sz="4" w:space="0" w:color="auto"/>
            </w:tcBorders>
          </w:tcPr>
          <w:p w14:paraId="51C10E41" w14:textId="77777777" w:rsidR="006918A0" w:rsidRPr="00130899" w:rsidRDefault="006918A0" w:rsidP="006918A0">
            <w:pPr>
              <w:spacing w:line="276" w:lineRule="auto"/>
              <w:ind w:right="-29"/>
              <w:jc w:val="center"/>
              <w:rPr>
                <w:noProof/>
                <w:sz w:val="18"/>
              </w:rPr>
            </w:pPr>
          </w:p>
        </w:tc>
        <w:tc>
          <w:tcPr>
            <w:tcW w:w="403" w:type="pct"/>
            <w:gridSpan w:val="2"/>
            <w:tcBorders>
              <w:top w:val="single" w:sz="4" w:space="0" w:color="auto"/>
              <w:left w:val="single" w:sz="4" w:space="0" w:color="auto"/>
              <w:bottom w:val="single" w:sz="12" w:space="0" w:color="auto"/>
              <w:right w:val="single" w:sz="4" w:space="0" w:color="auto"/>
            </w:tcBorders>
            <w:vAlign w:val="center"/>
            <w:hideMark/>
          </w:tcPr>
          <w:p w14:paraId="764CC401" w14:textId="77777777" w:rsidR="006918A0" w:rsidRPr="00130899" w:rsidRDefault="006918A0" w:rsidP="006918A0">
            <w:pPr>
              <w:spacing w:line="276" w:lineRule="auto"/>
              <w:ind w:right="-29"/>
              <w:jc w:val="right"/>
              <w:rPr>
                <w:noProof/>
                <w:sz w:val="18"/>
              </w:rPr>
            </w:pPr>
            <w:r w:rsidRPr="00130899">
              <w:rPr>
                <w:b/>
                <w:noProof/>
                <w:sz w:val="18"/>
              </w:rPr>
              <w:t>1,560</w:t>
            </w:r>
          </w:p>
        </w:tc>
      </w:tr>
      <w:tr w:rsidR="006918A0" w:rsidRPr="00130899" w14:paraId="1BDF07BB" w14:textId="77777777" w:rsidTr="000430BD">
        <w:trPr>
          <w:jc w:val="center"/>
        </w:trPr>
        <w:tc>
          <w:tcPr>
            <w:tcW w:w="1083" w:type="pct"/>
            <w:gridSpan w:val="3"/>
            <w:tcBorders>
              <w:top w:val="single" w:sz="4" w:space="0" w:color="auto"/>
              <w:left w:val="single" w:sz="4" w:space="0" w:color="auto"/>
              <w:bottom w:val="single" w:sz="4" w:space="0" w:color="auto"/>
              <w:right w:val="single" w:sz="4" w:space="0" w:color="auto"/>
            </w:tcBorders>
            <w:vAlign w:val="center"/>
            <w:hideMark/>
          </w:tcPr>
          <w:p w14:paraId="2A6DE21E" w14:textId="77777777" w:rsidR="006918A0" w:rsidRPr="00130899" w:rsidRDefault="006918A0" w:rsidP="006918A0">
            <w:pPr>
              <w:spacing w:before="60" w:after="60" w:line="276" w:lineRule="auto"/>
              <w:ind w:right="-29"/>
              <w:jc w:val="center"/>
              <w:rPr>
                <w:noProof/>
                <w:sz w:val="18"/>
              </w:rPr>
            </w:pPr>
            <w:r w:rsidRPr="00130899">
              <w:rPr>
                <w:noProof/>
                <w:sz w:val="18"/>
              </w:rPr>
              <w:t>КОНКРЕТНА ЦЕЛ № 2...</w:t>
            </w:r>
          </w:p>
        </w:tc>
        <w:tc>
          <w:tcPr>
            <w:tcW w:w="285" w:type="pct"/>
            <w:tcBorders>
              <w:top w:val="nil"/>
              <w:left w:val="nil"/>
              <w:bottom w:val="nil"/>
              <w:right w:val="nil"/>
            </w:tcBorders>
          </w:tcPr>
          <w:p w14:paraId="54886BD8" w14:textId="77777777" w:rsidR="006918A0" w:rsidRPr="00130899" w:rsidRDefault="006918A0" w:rsidP="006918A0">
            <w:pPr>
              <w:spacing w:before="60" w:after="60" w:line="276" w:lineRule="auto"/>
              <w:ind w:right="-29"/>
              <w:jc w:val="center"/>
              <w:rPr>
                <w:noProof/>
                <w:sz w:val="18"/>
              </w:rPr>
            </w:pPr>
          </w:p>
        </w:tc>
        <w:tc>
          <w:tcPr>
            <w:tcW w:w="266" w:type="pct"/>
            <w:tcBorders>
              <w:top w:val="nil"/>
              <w:left w:val="nil"/>
              <w:bottom w:val="nil"/>
              <w:right w:val="nil"/>
            </w:tcBorders>
          </w:tcPr>
          <w:p w14:paraId="109E1A3C" w14:textId="77777777" w:rsidR="006918A0" w:rsidRPr="00130899" w:rsidRDefault="006918A0" w:rsidP="006918A0">
            <w:pPr>
              <w:spacing w:before="60" w:after="60" w:line="276" w:lineRule="auto"/>
              <w:ind w:right="-29"/>
              <w:jc w:val="center"/>
              <w:rPr>
                <w:noProof/>
                <w:sz w:val="18"/>
              </w:rPr>
            </w:pPr>
          </w:p>
        </w:tc>
        <w:tc>
          <w:tcPr>
            <w:tcW w:w="281" w:type="pct"/>
            <w:tcBorders>
              <w:top w:val="nil"/>
              <w:left w:val="nil"/>
              <w:bottom w:val="nil"/>
              <w:right w:val="nil"/>
            </w:tcBorders>
          </w:tcPr>
          <w:p w14:paraId="1C611E54" w14:textId="77777777" w:rsidR="006918A0" w:rsidRPr="00130899" w:rsidRDefault="006918A0" w:rsidP="006918A0">
            <w:pPr>
              <w:spacing w:before="60" w:after="60" w:line="276" w:lineRule="auto"/>
              <w:ind w:right="-29"/>
              <w:jc w:val="center"/>
              <w:rPr>
                <w:noProof/>
                <w:sz w:val="18"/>
              </w:rPr>
            </w:pPr>
          </w:p>
        </w:tc>
        <w:tc>
          <w:tcPr>
            <w:tcW w:w="256" w:type="pct"/>
            <w:tcBorders>
              <w:top w:val="nil"/>
              <w:left w:val="nil"/>
              <w:bottom w:val="nil"/>
              <w:right w:val="nil"/>
            </w:tcBorders>
          </w:tcPr>
          <w:p w14:paraId="54D54EA3" w14:textId="77777777" w:rsidR="006918A0" w:rsidRPr="00130899" w:rsidRDefault="006918A0" w:rsidP="006918A0">
            <w:pPr>
              <w:spacing w:before="60" w:after="60" w:line="276" w:lineRule="auto"/>
              <w:ind w:right="-29"/>
              <w:jc w:val="center"/>
              <w:rPr>
                <w:noProof/>
                <w:sz w:val="18"/>
              </w:rPr>
            </w:pPr>
          </w:p>
        </w:tc>
        <w:tc>
          <w:tcPr>
            <w:tcW w:w="298" w:type="pct"/>
            <w:tcBorders>
              <w:top w:val="nil"/>
              <w:left w:val="nil"/>
              <w:bottom w:val="nil"/>
              <w:right w:val="nil"/>
            </w:tcBorders>
          </w:tcPr>
          <w:p w14:paraId="1636A00E" w14:textId="77777777" w:rsidR="006918A0" w:rsidRPr="00130899" w:rsidRDefault="006918A0" w:rsidP="006918A0">
            <w:pPr>
              <w:spacing w:before="60" w:after="60" w:line="276" w:lineRule="auto"/>
              <w:ind w:right="-29"/>
              <w:jc w:val="center"/>
              <w:rPr>
                <w:noProof/>
                <w:sz w:val="18"/>
              </w:rPr>
            </w:pPr>
          </w:p>
        </w:tc>
        <w:tc>
          <w:tcPr>
            <w:tcW w:w="246" w:type="pct"/>
            <w:tcBorders>
              <w:top w:val="nil"/>
              <w:left w:val="nil"/>
              <w:bottom w:val="nil"/>
              <w:right w:val="nil"/>
            </w:tcBorders>
          </w:tcPr>
          <w:p w14:paraId="48A6EE96" w14:textId="77777777" w:rsidR="006918A0" w:rsidRPr="00130899" w:rsidRDefault="006918A0" w:rsidP="006918A0">
            <w:pPr>
              <w:spacing w:before="60" w:after="60" w:line="276" w:lineRule="auto"/>
              <w:ind w:right="-29"/>
              <w:jc w:val="center"/>
              <w:rPr>
                <w:noProof/>
                <w:sz w:val="18"/>
              </w:rPr>
            </w:pPr>
          </w:p>
        </w:tc>
        <w:tc>
          <w:tcPr>
            <w:tcW w:w="367" w:type="pct"/>
            <w:tcBorders>
              <w:top w:val="nil"/>
              <w:left w:val="nil"/>
              <w:bottom w:val="nil"/>
              <w:right w:val="nil"/>
            </w:tcBorders>
          </w:tcPr>
          <w:p w14:paraId="471BBE7E" w14:textId="77777777" w:rsidR="006918A0" w:rsidRPr="00130899" w:rsidRDefault="006918A0" w:rsidP="006918A0">
            <w:pPr>
              <w:spacing w:before="60" w:after="60" w:line="276" w:lineRule="auto"/>
              <w:ind w:right="-29"/>
              <w:jc w:val="center"/>
              <w:rPr>
                <w:noProof/>
                <w:sz w:val="18"/>
              </w:rPr>
            </w:pPr>
          </w:p>
        </w:tc>
        <w:tc>
          <w:tcPr>
            <w:tcW w:w="225" w:type="pct"/>
            <w:tcBorders>
              <w:top w:val="nil"/>
              <w:left w:val="nil"/>
              <w:bottom w:val="nil"/>
              <w:right w:val="nil"/>
            </w:tcBorders>
          </w:tcPr>
          <w:p w14:paraId="0E67C4FD" w14:textId="77777777" w:rsidR="006918A0" w:rsidRPr="00130899" w:rsidRDefault="006918A0" w:rsidP="006918A0">
            <w:pPr>
              <w:spacing w:before="60" w:after="60" w:line="276" w:lineRule="auto"/>
              <w:ind w:right="-29"/>
              <w:jc w:val="center"/>
              <w:rPr>
                <w:noProof/>
                <w:sz w:val="18"/>
              </w:rPr>
            </w:pPr>
          </w:p>
        </w:tc>
        <w:tc>
          <w:tcPr>
            <w:tcW w:w="258" w:type="pct"/>
            <w:tcBorders>
              <w:top w:val="nil"/>
              <w:left w:val="nil"/>
              <w:bottom w:val="nil"/>
              <w:right w:val="nil"/>
            </w:tcBorders>
          </w:tcPr>
          <w:p w14:paraId="3DFCCFE3" w14:textId="77777777" w:rsidR="006918A0" w:rsidRPr="00130899" w:rsidRDefault="006918A0" w:rsidP="006918A0">
            <w:pPr>
              <w:spacing w:before="60" w:after="60" w:line="276" w:lineRule="auto"/>
              <w:ind w:right="-29"/>
              <w:jc w:val="center"/>
              <w:rPr>
                <w:noProof/>
                <w:sz w:val="18"/>
              </w:rPr>
            </w:pPr>
          </w:p>
        </w:tc>
        <w:tc>
          <w:tcPr>
            <w:tcW w:w="241" w:type="pct"/>
            <w:tcBorders>
              <w:top w:val="nil"/>
              <w:left w:val="nil"/>
              <w:bottom w:val="nil"/>
              <w:right w:val="nil"/>
            </w:tcBorders>
          </w:tcPr>
          <w:p w14:paraId="26C0173A" w14:textId="77777777" w:rsidR="006918A0" w:rsidRPr="00130899" w:rsidRDefault="006918A0" w:rsidP="006918A0">
            <w:pPr>
              <w:spacing w:before="60" w:after="60" w:line="276" w:lineRule="auto"/>
              <w:ind w:right="-29"/>
              <w:jc w:val="center"/>
              <w:rPr>
                <w:noProof/>
                <w:sz w:val="18"/>
              </w:rPr>
            </w:pPr>
          </w:p>
        </w:tc>
        <w:tc>
          <w:tcPr>
            <w:tcW w:w="249" w:type="pct"/>
            <w:gridSpan w:val="2"/>
            <w:tcBorders>
              <w:top w:val="nil"/>
              <w:left w:val="nil"/>
              <w:bottom w:val="nil"/>
              <w:right w:val="nil"/>
            </w:tcBorders>
          </w:tcPr>
          <w:p w14:paraId="3247C4CB" w14:textId="77777777" w:rsidR="006918A0" w:rsidRPr="00130899" w:rsidRDefault="006918A0" w:rsidP="006918A0">
            <w:pPr>
              <w:spacing w:before="60" w:after="60" w:line="276" w:lineRule="auto"/>
              <w:ind w:right="-29"/>
              <w:jc w:val="center"/>
              <w:rPr>
                <w:noProof/>
                <w:sz w:val="18"/>
              </w:rPr>
            </w:pPr>
          </w:p>
        </w:tc>
        <w:tc>
          <w:tcPr>
            <w:tcW w:w="264" w:type="pct"/>
            <w:tcBorders>
              <w:top w:val="nil"/>
              <w:left w:val="nil"/>
              <w:bottom w:val="nil"/>
              <w:right w:val="nil"/>
            </w:tcBorders>
          </w:tcPr>
          <w:p w14:paraId="0655667B" w14:textId="77777777" w:rsidR="006918A0" w:rsidRPr="00130899" w:rsidRDefault="006918A0" w:rsidP="006918A0">
            <w:pPr>
              <w:spacing w:before="60" w:after="60" w:line="276" w:lineRule="auto"/>
              <w:ind w:right="-29"/>
              <w:jc w:val="center"/>
              <w:rPr>
                <w:noProof/>
                <w:sz w:val="18"/>
              </w:rPr>
            </w:pPr>
          </w:p>
        </w:tc>
        <w:tc>
          <w:tcPr>
            <w:tcW w:w="129" w:type="pct"/>
            <w:gridSpan w:val="2"/>
            <w:tcBorders>
              <w:top w:val="nil"/>
              <w:left w:val="nil"/>
              <w:bottom w:val="nil"/>
              <w:right w:val="nil"/>
            </w:tcBorders>
          </w:tcPr>
          <w:p w14:paraId="15494225" w14:textId="77777777" w:rsidR="006918A0" w:rsidRPr="00130899" w:rsidRDefault="006918A0" w:rsidP="006918A0">
            <w:pPr>
              <w:spacing w:before="60" w:after="60" w:line="276" w:lineRule="auto"/>
              <w:ind w:right="-29"/>
              <w:jc w:val="center"/>
              <w:rPr>
                <w:noProof/>
                <w:sz w:val="18"/>
              </w:rPr>
            </w:pPr>
          </w:p>
        </w:tc>
        <w:tc>
          <w:tcPr>
            <w:tcW w:w="79" w:type="pct"/>
            <w:tcBorders>
              <w:top w:val="nil"/>
              <w:left w:val="nil"/>
              <w:bottom w:val="nil"/>
              <w:right w:val="nil"/>
            </w:tcBorders>
          </w:tcPr>
          <w:p w14:paraId="367B4787" w14:textId="77777777" w:rsidR="006918A0" w:rsidRPr="00130899" w:rsidRDefault="006918A0" w:rsidP="006918A0">
            <w:pPr>
              <w:spacing w:before="60" w:after="60" w:line="276" w:lineRule="auto"/>
              <w:ind w:right="-29"/>
              <w:jc w:val="center"/>
              <w:rPr>
                <w:noProof/>
                <w:sz w:val="18"/>
              </w:rPr>
            </w:pPr>
          </w:p>
        </w:tc>
        <w:tc>
          <w:tcPr>
            <w:tcW w:w="78" w:type="pct"/>
            <w:gridSpan w:val="2"/>
            <w:tcBorders>
              <w:top w:val="nil"/>
              <w:left w:val="nil"/>
              <w:bottom w:val="nil"/>
              <w:right w:val="nil"/>
            </w:tcBorders>
            <w:vAlign w:val="center"/>
          </w:tcPr>
          <w:p w14:paraId="3273E7D3" w14:textId="77777777" w:rsidR="006918A0" w:rsidRPr="00130899" w:rsidRDefault="006918A0" w:rsidP="006918A0">
            <w:pPr>
              <w:spacing w:before="60" w:after="60" w:line="276" w:lineRule="auto"/>
              <w:ind w:right="-29"/>
              <w:jc w:val="right"/>
              <w:rPr>
                <w:noProof/>
                <w:sz w:val="18"/>
              </w:rPr>
            </w:pPr>
          </w:p>
        </w:tc>
        <w:tc>
          <w:tcPr>
            <w:tcW w:w="394" w:type="pct"/>
            <w:tcBorders>
              <w:top w:val="nil"/>
              <w:left w:val="nil"/>
              <w:bottom w:val="nil"/>
              <w:right w:val="nil"/>
            </w:tcBorders>
            <w:vAlign w:val="center"/>
          </w:tcPr>
          <w:p w14:paraId="23916511" w14:textId="77777777" w:rsidR="006918A0" w:rsidRPr="00130899" w:rsidRDefault="006918A0" w:rsidP="006918A0">
            <w:pPr>
              <w:spacing w:before="60" w:after="60" w:line="276" w:lineRule="auto"/>
              <w:ind w:right="-29"/>
              <w:jc w:val="right"/>
              <w:rPr>
                <w:noProof/>
                <w:sz w:val="18"/>
              </w:rPr>
            </w:pPr>
          </w:p>
        </w:tc>
      </w:tr>
      <w:tr w:rsidR="006918A0" w:rsidRPr="00130899" w14:paraId="65C43922" w14:textId="77777777" w:rsidTr="000430BD">
        <w:trPr>
          <w:trHeight w:hRule="exact" w:val="369"/>
          <w:jc w:val="center"/>
        </w:trPr>
        <w:tc>
          <w:tcPr>
            <w:tcW w:w="483" w:type="pct"/>
            <w:tcBorders>
              <w:top w:val="single" w:sz="4" w:space="0" w:color="auto"/>
              <w:left w:val="single" w:sz="4" w:space="0" w:color="auto"/>
              <w:bottom w:val="single" w:sz="4" w:space="0" w:color="auto"/>
              <w:right w:val="single" w:sz="4" w:space="0" w:color="auto"/>
            </w:tcBorders>
            <w:hideMark/>
          </w:tcPr>
          <w:p w14:paraId="56386082" w14:textId="77777777" w:rsidR="006918A0" w:rsidRPr="00130899" w:rsidRDefault="006918A0" w:rsidP="006918A0">
            <w:pPr>
              <w:spacing w:line="276" w:lineRule="auto"/>
              <w:ind w:right="-29"/>
              <w:jc w:val="center"/>
              <w:rPr>
                <w:noProof/>
                <w:sz w:val="18"/>
              </w:rPr>
            </w:pPr>
            <w:r w:rsidRPr="00130899">
              <w:rPr>
                <w:noProof/>
                <w:sz w:val="18"/>
              </w:rPr>
              <w:t>— Резултат</w:t>
            </w:r>
          </w:p>
        </w:tc>
        <w:tc>
          <w:tcPr>
            <w:tcW w:w="249" w:type="pct"/>
            <w:tcBorders>
              <w:top w:val="single" w:sz="4" w:space="0" w:color="auto"/>
              <w:left w:val="single" w:sz="4" w:space="0" w:color="auto"/>
              <w:bottom w:val="single" w:sz="4" w:space="0" w:color="auto"/>
              <w:right w:val="single" w:sz="4" w:space="0" w:color="auto"/>
            </w:tcBorders>
          </w:tcPr>
          <w:p w14:paraId="4BDB3152" w14:textId="77777777" w:rsidR="006918A0" w:rsidRPr="00130899" w:rsidRDefault="006918A0" w:rsidP="006918A0">
            <w:pPr>
              <w:spacing w:line="276" w:lineRule="auto"/>
              <w:ind w:right="-29"/>
              <w:jc w:val="center"/>
              <w:rPr>
                <w:noProof/>
                <w:sz w:val="18"/>
              </w:rPr>
            </w:pPr>
          </w:p>
        </w:tc>
        <w:tc>
          <w:tcPr>
            <w:tcW w:w="351" w:type="pct"/>
            <w:tcBorders>
              <w:top w:val="single" w:sz="4" w:space="0" w:color="auto"/>
              <w:left w:val="single" w:sz="4" w:space="0" w:color="auto"/>
              <w:bottom w:val="single" w:sz="4" w:space="0" w:color="auto"/>
              <w:right w:val="single" w:sz="4" w:space="0" w:color="auto"/>
            </w:tcBorders>
          </w:tcPr>
          <w:p w14:paraId="32FFE551" w14:textId="77777777" w:rsidR="006918A0" w:rsidRPr="00130899" w:rsidRDefault="006918A0" w:rsidP="006918A0">
            <w:pPr>
              <w:spacing w:line="276" w:lineRule="auto"/>
              <w:ind w:right="-29"/>
              <w:jc w:val="center"/>
              <w:rPr>
                <w:noProof/>
                <w:sz w:val="18"/>
              </w:rPr>
            </w:pPr>
          </w:p>
        </w:tc>
        <w:tc>
          <w:tcPr>
            <w:tcW w:w="285" w:type="pct"/>
            <w:tcBorders>
              <w:top w:val="single" w:sz="4" w:space="0" w:color="auto"/>
              <w:left w:val="single" w:sz="4" w:space="0" w:color="auto"/>
              <w:bottom w:val="single" w:sz="4" w:space="0" w:color="auto"/>
              <w:right w:val="single" w:sz="4" w:space="0" w:color="auto"/>
            </w:tcBorders>
          </w:tcPr>
          <w:p w14:paraId="1E0D15B1" w14:textId="77777777" w:rsidR="006918A0" w:rsidRPr="00130899" w:rsidRDefault="006918A0" w:rsidP="006918A0">
            <w:pPr>
              <w:spacing w:line="276" w:lineRule="auto"/>
              <w:ind w:right="-29"/>
              <w:jc w:val="center"/>
              <w:rPr>
                <w:noProof/>
                <w:sz w:val="18"/>
              </w:rPr>
            </w:pPr>
          </w:p>
        </w:tc>
        <w:tc>
          <w:tcPr>
            <w:tcW w:w="266" w:type="pct"/>
            <w:tcBorders>
              <w:top w:val="single" w:sz="4" w:space="0" w:color="auto"/>
              <w:left w:val="single" w:sz="4" w:space="0" w:color="auto"/>
              <w:bottom w:val="single" w:sz="4" w:space="0" w:color="auto"/>
              <w:right w:val="single" w:sz="4" w:space="0" w:color="auto"/>
            </w:tcBorders>
          </w:tcPr>
          <w:p w14:paraId="7705E2CA" w14:textId="77777777" w:rsidR="006918A0" w:rsidRPr="00130899" w:rsidRDefault="006918A0" w:rsidP="006918A0">
            <w:pPr>
              <w:spacing w:line="276" w:lineRule="auto"/>
              <w:ind w:right="-29"/>
              <w:jc w:val="center"/>
              <w:rPr>
                <w:noProof/>
                <w:sz w:val="18"/>
              </w:rPr>
            </w:pPr>
          </w:p>
        </w:tc>
        <w:tc>
          <w:tcPr>
            <w:tcW w:w="281" w:type="pct"/>
            <w:tcBorders>
              <w:top w:val="single" w:sz="4" w:space="0" w:color="auto"/>
              <w:left w:val="single" w:sz="4" w:space="0" w:color="auto"/>
              <w:bottom w:val="single" w:sz="4" w:space="0" w:color="auto"/>
              <w:right w:val="single" w:sz="4" w:space="0" w:color="auto"/>
            </w:tcBorders>
          </w:tcPr>
          <w:p w14:paraId="37DA6821" w14:textId="77777777" w:rsidR="006918A0" w:rsidRPr="00130899" w:rsidRDefault="006918A0" w:rsidP="006918A0">
            <w:pPr>
              <w:spacing w:line="276" w:lineRule="auto"/>
              <w:ind w:right="-29"/>
              <w:jc w:val="center"/>
              <w:rPr>
                <w:noProof/>
                <w:sz w:val="18"/>
              </w:rPr>
            </w:pPr>
          </w:p>
        </w:tc>
        <w:tc>
          <w:tcPr>
            <w:tcW w:w="256" w:type="pct"/>
            <w:tcBorders>
              <w:top w:val="single" w:sz="4" w:space="0" w:color="auto"/>
              <w:left w:val="single" w:sz="4" w:space="0" w:color="auto"/>
              <w:bottom w:val="single" w:sz="4" w:space="0" w:color="auto"/>
              <w:right w:val="single" w:sz="4" w:space="0" w:color="auto"/>
            </w:tcBorders>
          </w:tcPr>
          <w:p w14:paraId="50D9807F" w14:textId="77777777" w:rsidR="006918A0" w:rsidRPr="00130899" w:rsidRDefault="006918A0" w:rsidP="006918A0">
            <w:pPr>
              <w:spacing w:line="276" w:lineRule="auto"/>
              <w:ind w:right="-29"/>
              <w:jc w:val="center"/>
              <w:rPr>
                <w:noProof/>
                <w:sz w:val="18"/>
              </w:rPr>
            </w:pPr>
          </w:p>
        </w:tc>
        <w:tc>
          <w:tcPr>
            <w:tcW w:w="298" w:type="pct"/>
            <w:tcBorders>
              <w:top w:val="single" w:sz="4" w:space="0" w:color="auto"/>
              <w:left w:val="single" w:sz="4" w:space="0" w:color="auto"/>
              <w:bottom w:val="single" w:sz="4" w:space="0" w:color="auto"/>
              <w:right w:val="single" w:sz="4" w:space="0" w:color="auto"/>
            </w:tcBorders>
          </w:tcPr>
          <w:p w14:paraId="43235F0E" w14:textId="77777777" w:rsidR="006918A0" w:rsidRPr="00130899" w:rsidRDefault="006918A0" w:rsidP="006918A0">
            <w:pPr>
              <w:spacing w:line="276" w:lineRule="auto"/>
              <w:ind w:right="-29"/>
              <w:jc w:val="center"/>
              <w:rPr>
                <w:noProof/>
                <w:sz w:val="18"/>
              </w:rPr>
            </w:pPr>
          </w:p>
        </w:tc>
        <w:tc>
          <w:tcPr>
            <w:tcW w:w="246" w:type="pct"/>
            <w:tcBorders>
              <w:top w:val="single" w:sz="4" w:space="0" w:color="auto"/>
              <w:left w:val="single" w:sz="4" w:space="0" w:color="auto"/>
              <w:bottom w:val="single" w:sz="4" w:space="0" w:color="auto"/>
              <w:right w:val="single" w:sz="4" w:space="0" w:color="auto"/>
            </w:tcBorders>
          </w:tcPr>
          <w:p w14:paraId="3F026A89" w14:textId="77777777" w:rsidR="006918A0" w:rsidRPr="00130899" w:rsidRDefault="006918A0" w:rsidP="006918A0">
            <w:pPr>
              <w:spacing w:line="276" w:lineRule="auto"/>
              <w:ind w:right="-29"/>
              <w:jc w:val="center"/>
              <w:rPr>
                <w:noProof/>
                <w:sz w:val="18"/>
              </w:rPr>
            </w:pPr>
          </w:p>
        </w:tc>
        <w:tc>
          <w:tcPr>
            <w:tcW w:w="367" w:type="pct"/>
            <w:tcBorders>
              <w:top w:val="single" w:sz="4" w:space="0" w:color="auto"/>
              <w:left w:val="single" w:sz="4" w:space="0" w:color="auto"/>
              <w:bottom w:val="single" w:sz="4" w:space="0" w:color="auto"/>
              <w:right w:val="single" w:sz="4" w:space="0" w:color="auto"/>
            </w:tcBorders>
          </w:tcPr>
          <w:p w14:paraId="5ABDEA6D" w14:textId="77777777" w:rsidR="006918A0" w:rsidRPr="00130899" w:rsidRDefault="006918A0" w:rsidP="006918A0">
            <w:pPr>
              <w:spacing w:line="276" w:lineRule="auto"/>
              <w:ind w:right="-29"/>
              <w:jc w:val="center"/>
              <w:rPr>
                <w:noProof/>
                <w:sz w:val="18"/>
              </w:rPr>
            </w:pPr>
          </w:p>
        </w:tc>
        <w:tc>
          <w:tcPr>
            <w:tcW w:w="225" w:type="pct"/>
            <w:tcBorders>
              <w:top w:val="single" w:sz="4" w:space="0" w:color="auto"/>
              <w:left w:val="single" w:sz="4" w:space="0" w:color="auto"/>
              <w:bottom w:val="single" w:sz="4" w:space="0" w:color="auto"/>
              <w:right w:val="single" w:sz="4" w:space="0" w:color="auto"/>
            </w:tcBorders>
          </w:tcPr>
          <w:p w14:paraId="42D73D93" w14:textId="77777777" w:rsidR="006918A0" w:rsidRPr="00130899" w:rsidRDefault="006918A0" w:rsidP="006918A0">
            <w:pPr>
              <w:spacing w:line="276" w:lineRule="auto"/>
              <w:ind w:right="-29"/>
              <w:jc w:val="center"/>
              <w:rPr>
                <w:noProof/>
                <w:sz w:val="18"/>
              </w:rPr>
            </w:pPr>
          </w:p>
        </w:tc>
        <w:tc>
          <w:tcPr>
            <w:tcW w:w="258" w:type="pct"/>
            <w:tcBorders>
              <w:top w:val="single" w:sz="4" w:space="0" w:color="auto"/>
              <w:left w:val="single" w:sz="4" w:space="0" w:color="auto"/>
              <w:bottom w:val="single" w:sz="4" w:space="0" w:color="auto"/>
              <w:right w:val="single" w:sz="4" w:space="0" w:color="auto"/>
            </w:tcBorders>
          </w:tcPr>
          <w:p w14:paraId="56621268" w14:textId="77777777" w:rsidR="006918A0" w:rsidRPr="00130899" w:rsidRDefault="006918A0" w:rsidP="006918A0">
            <w:pPr>
              <w:spacing w:line="276" w:lineRule="auto"/>
              <w:ind w:right="-29"/>
              <w:jc w:val="center"/>
              <w:rPr>
                <w:noProof/>
                <w:sz w:val="18"/>
              </w:rPr>
            </w:pPr>
          </w:p>
        </w:tc>
        <w:tc>
          <w:tcPr>
            <w:tcW w:w="241" w:type="pct"/>
            <w:tcBorders>
              <w:top w:val="single" w:sz="4" w:space="0" w:color="auto"/>
              <w:left w:val="single" w:sz="4" w:space="0" w:color="auto"/>
              <w:bottom w:val="single" w:sz="4" w:space="0" w:color="auto"/>
              <w:right w:val="single" w:sz="4" w:space="0" w:color="auto"/>
            </w:tcBorders>
          </w:tcPr>
          <w:p w14:paraId="0B69101A" w14:textId="77777777" w:rsidR="006918A0" w:rsidRPr="00130899" w:rsidRDefault="006918A0" w:rsidP="006918A0">
            <w:pPr>
              <w:spacing w:line="276" w:lineRule="auto"/>
              <w:ind w:right="-29"/>
              <w:jc w:val="center"/>
              <w:rPr>
                <w:noProof/>
                <w:sz w:val="18"/>
              </w:rPr>
            </w:pPr>
          </w:p>
        </w:tc>
        <w:tc>
          <w:tcPr>
            <w:tcW w:w="249" w:type="pct"/>
            <w:gridSpan w:val="2"/>
            <w:tcBorders>
              <w:top w:val="single" w:sz="4" w:space="0" w:color="auto"/>
              <w:left w:val="single" w:sz="4" w:space="0" w:color="auto"/>
              <w:bottom w:val="single" w:sz="4" w:space="0" w:color="auto"/>
              <w:right w:val="single" w:sz="4" w:space="0" w:color="auto"/>
            </w:tcBorders>
          </w:tcPr>
          <w:p w14:paraId="589B73A2" w14:textId="77777777" w:rsidR="006918A0" w:rsidRPr="00130899" w:rsidRDefault="006918A0" w:rsidP="006918A0">
            <w:pPr>
              <w:spacing w:line="276" w:lineRule="auto"/>
              <w:ind w:right="-29"/>
              <w:jc w:val="center"/>
              <w:rPr>
                <w:noProof/>
                <w:sz w:val="18"/>
              </w:rPr>
            </w:pPr>
          </w:p>
        </w:tc>
        <w:tc>
          <w:tcPr>
            <w:tcW w:w="318" w:type="pct"/>
            <w:gridSpan w:val="2"/>
            <w:tcBorders>
              <w:top w:val="single" w:sz="4" w:space="0" w:color="auto"/>
              <w:left w:val="single" w:sz="4" w:space="0" w:color="auto"/>
              <w:bottom w:val="single" w:sz="4" w:space="0" w:color="auto"/>
              <w:right w:val="single" w:sz="4" w:space="0" w:color="auto"/>
            </w:tcBorders>
          </w:tcPr>
          <w:p w14:paraId="5EB004E9" w14:textId="77777777" w:rsidR="006918A0" w:rsidRPr="00130899" w:rsidRDefault="006918A0" w:rsidP="006918A0">
            <w:pPr>
              <w:spacing w:line="276" w:lineRule="auto"/>
              <w:ind w:right="-29"/>
              <w:jc w:val="center"/>
              <w:rPr>
                <w:noProof/>
                <w:sz w:val="18"/>
              </w:rPr>
            </w:pPr>
          </w:p>
        </w:tc>
        <w:tc>
          <w:tcPr>
            <w:tcW w:w="223" w:type="pct"/>
            <w:gridSpan w:val="3"/>
            <w:tcBorders>
              <w:top w:val="single" w:sz="4" w:space="0" w:color="auto"/>
              <w:left w:val="single" w:sz="4" w:space="0" w:color="auto"/>
              <w:bottom w:val="single" w:sz="4" w:space="0" w:color="auto"/>
              <w:right w:val="single" w:sz="4" w:space="0" w:color="auto"/>
            </w:tcBorders>
          </w:tcPr>
          <w:p w14:paraId="21B9508A" w14:textId="77777777" w:rsidR="006918A0" w:rsidRPr="00130899" w:rsidRDefault="006918A0" w:rsidP="006918A0">
            <w:pPr>
              <w:spacing w:line="276" w:lineRule="auto"/>
              <w:ind w:right="-29"/>
              <w:jc w:val="center"/>
              <w:rPr>
                <w:noProof/>
                <w:sz w:val="18"/>
              </w:rPr>
            </w:pPr>
          </w:p>
        </w:tc>
        <w:tc>
          <w:tcPr>
            <w:tcW w:w="403" w:type="pct"/>
            <w:gridSpan w:val="2"/>
            <w:tcBorders>
              <w:top w:val="single" w:sz="4" w:space="0" w:color="auto"/>
              <w:left w:val="single" w:sz="4" w:space="0" w:color="auto"/>
              <w:bottom w:val="single" w:sz="4" w:space="0" w:color="auto"/>
              <w:right w:val="single" w:sz="4" w:space="0" w:color="auto"/>
            </w:tcBorders>
            <w:vAlign w:val="center"/>
          </w:tcPr>
          <w:p w14:paraId="5D537534" w14:textId="77777777" w:rsidR="006918A0" w:rsidRPr="00130899" w:rsidRDefault="006918A0" w:rsidP="006918A0">
            <w:pPr>
              <w:spacing w:line="276" w:lineRule="auto"/>
              <w:ind w:right="-29"/>
              <w:jc w:val="right"/>
              <w:rPr>
                <w:noProof/>
                <w:sz w:val="18"/>
              </w:rPr>
            </w:pPr>
          </w:p>
        </w:tc>
      </w:tr>
      <w:tr w:rsidR="006918A0" w:rsidRPr="00130899" w14:paraId="0C5C5DD0" w14:textId="77777777" w:rsidTr="000430BD">
        <w:trPr>
          <w:jc w:val="center"/>
        </w:trPr>
        <w:tc>
          <w:tcPr>
            <w:tcW w:w="1083" w:type="pct"/>
            <w:gridSpan w:val="3"/>
            <w:tcBorders>
              <w:top w:val="single" w:sz="4" w:space="0" w:color="auto"/>
              <w:left w:val="single" w:sz="4" w:space="0" w:color="auto"/>
              <w:bottom w:val="single" w:sz="12" w:space="0" w:color="auto"/>
              <w:right w:val="single" w:sz="4" w:space="0" w:color="auto"/>
            </w:tcBorders>
            <w:vAlign w:val="center"/>
            <w:hideMark/>
          </w:tcPr>
          <w:p w14:paraId="33D0C71C" w14:textId="77777777" w:rsidR="006918A0" w:rsidRPr="00130899" w:rsidRDefault="006918A0" w:rsidP="006918A0">
            <w:pPr>
              <w:spacing w:line="276" w:lineRule="auto"/>
              <w:jc w:val="center"/>
              <w:rPr>
                <w:noProof/>
                <w:sz w:val="18"/>
              </w:rPr>
            </w:pPr>
            <w:r w:rsidRPr="00130899">
              <w:rPr>
                <w:noProof/>
                <w:sz w:val="18"/>
              </w:rPr>
              <w:t>Междинен сбор за конкретна цел № 2</w:t>
            </w:r>
          </w:p>
        </w:tc>
        <w:tc>
          <w:tcPr>
            <w:tcW w:w="285" w:type="pct"/>
            <w:tcBorders>
              <w:top w:val="single" w:sz="4" w:space="0" w:color="auto"/>
              <w:left w:val="single" w:sz="4" w:space="0" w:color="auto"/>
              <w:bottom w:val="single" w:sz="12" w:space="0" w:color="auto"/>
              <w:right w:val="single" w:sz="4" w:space="0" w:color="auto"/>
            </w:tcBorders>
          </w:tcPr>
          <w:p w14:paraId="6B735D61" w14:textId="77777777" w:rsidR="006918A0" w:rsidRPr="00130899" w:rsidRDefault="006918A0" w:rsidP="006918A0">
            <w:pPr>
              <w:spacing w:line="276" w:lineRule="auto"/>
              <w:ind w:right="-29"/>
              <w:jc w:val="center"/>
              <w:rPr>
                <w:noProof/>
                <w:sz w:val="18"/>
              </w:rPr>
            </w:pPr>
          </w:p>
        </w:tc>
        <w:tc>
          <w:tcPr>
            <w:tcW w:w="266" w:type="pct"/>
            <w:tcBorders>
              <w:top w:val="single" w:sz="4" w:space="0" w:color="auto"/>
              <w:left w:val="single" w:sz="4" w:space="0" w:color="auto"/>
              <w:bottom w:val="single" w:sz="12" w:space="0" w:color="auto"/>
              <w:right w:val="single" w:sz="4" w:space="0" w:color="auto"/>
            </w:tcBorders>
          </w:tcPr>
          <w:p w14:paraId="43D234C5" w14:textId="77777777" w:rsidR="006918A0" w:rsidRPr="00130899" w:rsidRDefault="006918A0" w:rsidP="006918A0">
            <w:pPr>
              <w:spacing w:line="276" w:lineRule="auto"/>
              <w:ind w:right="-29"/>
              <w:jc w:val="center"/>
              <w:rPr>
                <w:noProof/>
                <w:sz w:val="18"/>
              </w:rPr>
            </w:pPr>
          </w:p>
        </w:tc>
        <w:tc>
          <w:tcPr>
            <w:tcW w:w="281" w:type="pct"/>
            <w:tcBorders>
              <w:top w:val="single" w:sz="4" w:space="0" w:color="auto"/>
              <w:left w:val="single" w:sz="4" w:space="0" w:color="auto"/>
              <w:bottom w:val="single" w:sz="12" w:space="0" w:color="auto"/>
              <w:right w:val="single" w:sz="4" w:space="0" w:color="auto"/>
            </w:tcBorders>
          </w:tcPr>
          <w:p w14:paraId="723F3E02" w14:textId="77777777" w:rsidR="006918A0" w:rsidRPr="00130899" w:rsidRDefault="006918A0" w:rsidP="006918A0">
            <w:pPr>
              <w:spacing w:line="276" w:lineRule="auto"/>
              <w:ind w:right="-29"/>
              <w:jc w:val="center"/>
              <w:rPr>
                <w:noProof/>
                <w:sz w:val="18"/>
              </w:rPr>
            </w:pPr>
          </w:p>
        </w:tc>
        <w:tc>
          <w:tcPr>
            <w:tcW w:w="256" w:type="pct"/>
            <w:tcBorders>
              <w:top w:val="single" w:sz="4" w:space="0" w:color="auto"/>
              <w:left w:val="single" w:sz="4" w:space="0" w:color="auto"/>
              <w:bottom w:val="single" w:sz="12" w:space="0" w:color="auto"/>
              <w:right w:val="single" w:sz="4" w:space="0" w:color="auto"/>
            </w:tcBorders>
          </w:tcPr>
          <w:p w14:paraId="7F3AC7C3" w14:textId="77777777" w:rsidR="006918A0" w:rsidRPr="00130899" w:rsidRDefault="006918A0" w:rsidP="006918A0">
            <w:pPr>
              <w:spacing w:line="276" w:lineRule="auto"/>
              <w:ind w:right="-29"/>
              <w:jc w:val="center"/>
              <w:rPr>
                <w:noProof/>
                <w:sz w:val="18"/>
              </w:rPr>
            </w:pPr>
          </w:p>
        </w:tc>
        <w:tc>
          <w:tcPr>
            <w:tcW w:w="298" w:type="pct"/>
            <w:tcBorders>
              <w:top w:val="single" w:sz="4" w:space="0" w:color="auto"/>
              <w:left w:val="single" w:sz="4" w:space="0" w:color="auto"/>
              <w:bottom w:val="single" w:sz="12" w:space="0" w:color="auto"/>
              <w:right w:val="single" w:sz="4" w:space="0" w:color="auto"/>
            </w:tcBorders>
          </w:tcPr>
          <w:p w14:paraId="0D0E798E" w14:textId="77777777" w:rsidR="006918A0" w:rsidRPr="00130899" w:rsidRDefault="006918A0" w:rsidP="006918A0">
            <w:pPr>
              <w:spacing w:line="276" w:lineRule="auto"/>
              <w:ind w:right="-29"/>
              <w:jc w:val="center"/>
              <w:rPr>
                <w:noProof/>
                <w:sz w:val="18"/>
              </w:rPr>
            </w:pPr>
          </w:p>
        </w:tc>
        <w:tc>
          <w:tcPr>
            <w:tcW w:w="246" w:type="pct"/>
            <w:tcBorders>
              <w:top w:val="single" w:sz="4" w:space="0" w:color="auto"/>
              <w:left w:val="single" w:sz="4" w:space="0" w:color="auto"/>
              <w:bottom w:val="single" w:sz="12" w:space="0" w:color="auto"/>
              <w:right w:val="single" w:sz="4" w:space="0" w:color="auto"/>
            </w:tcBorders>
          </w:tcPr>
          <w:p w14:paraId="7F59FDD8" w14:textId="77777777" w:rsidR="006918A0" w:rsidRPr="00130899" w:rsidRDefault="006918A0" w:rsidP="006918A0">
            <w:pPr>
              <w:spacing w:line="276" w:lineRule="auto"/>
              <w:ind w:right="-29"/>
              <w:jc w:val="center"/>
              <w:rPr>
                <w:noProof/>
                <w:sz w:val="18"/>
              </w:rPr>
            </w:pPr>
          </w:p>
        </w:tc>
        <w:tc>
          <w:tcPr>
            <w:tcW w:w="367" w:type="pct"/>
            <w:tcBorders>
              <w:top w:val="single" w:sz="4" w:space="0" w:color="auto"/>
              <w:left w:val="single" w:sz="4" w:space="0" w:color="auto"/>
              <w:bottom w:val="single" w:sz="12" w:space="0" w:color="auto"/>
              <w:right w:val="single" w:sz="4" w:space="0" w:color="auto"/>
            </w:tcBorders>
          </w:tcPr>
          <w:p w14:paraId="3A6C4FB0" w14:textId="77777777" w:rsidR="006918A0" w:rsidRPr="00130899" w:rsidRDefault="006918A0" w:rsidP="006918A0">
            <w:pPr>
              <w:spacing w:line="276" w:lineRule="auto"/>
              <w:ind w:right="-29"/>
              <w:jc w:val="center"/>
              <w:rPr>
                <w:noProof/>
                <w:sz w:val="18"/>
              </w:rPr>
            </w:pPr>
          </w:p>
        </w:tc>
        <w:tc>
          <w:tcPr>
            <w:tcW w:w="225" w:type="pct"/>
            <w:tcBorders>
              <w:top w:val="single" w:sz="4" w:space="0" w:color="auto"/>
              <w:left w:val="single" w:sz="4" w:space="0" w:color="auto"/>
              <w:bottom w:val="single" w:sz="12" w:space="0" w:color="auto"/>
              <w:right w:val="single" w:sz="4" w:space="0" w:color="auto"/>
            </w:tcBorders>
          </w:tcPr>
          <w:p w14:paraId="6839F577" w14:textId="77777777" w:rsidR="006918A0" w:rsidRPr="00130899" w:rsidRDefault="006918A0" w:rsidP="006918A0">
            <w:pPr>
              <w:spacing w:line="276" w:lineRule="auto"/>
              <w:ind w:right="-29"/>
              <w:jc w:val="center"/>
              <w:rPr>
                <w:noProof/>
                <w:sz w:val="18"/>
              </w:rPr>
            </w:pPr>
          </w:p>
        </w:tc>
        <w:tc>
          <w:tcPr>
            <w:tcW w:w="258" w:type="pct"/>
            <w:tcBorders>
              <w:top w:val="single" w:sz="4" w:space="0" w:color="auto"/>
              <w:left w:val="single" w:sz="4" w:space="0" w:color="auto"/>
              <w:bottom w:val="single" w:sz="12" w:space="0" w:color="auto"/>
              <w:right w:val="single" w:sz="4" w:space="0" w:color="auto"/>
            </w:tcBorders>
          </w:tcPr>
          <w:p w14:paraId="128AD0F7" w14:textId="77777777" w:rsidR="006918A0" w:rsidRPr="00130899" w:rsidRDefault="006918A0" w:rsidP="006918A0">
            <w:pPr>
              <w:spacing w:line="276" w:lineRule="auto"/>
              <w:ind w:right="-29"/>
              <w:jc w:val="center"/>
              <w:rPr>
                <w:noProof/>
                <w:sz w:val="18"/>
              </w:rPr>
            </w:pPr>
          </w:p>
        </w:tc>
        <w:tc>
          <w:tcPr>
            <w:tcW w:w="241" w:type="pct"/>
            <w:tcBorders>
              <w:top w:val="single" w:sz="4" w:space="0" w:color="auto"/>
              <w:left w:val="single" w:sz="4" w:space="0" w:color="auto"/>
              <w:bottom w:val="single" w:sz="12" w:space="0" w:color="auto"/>
              <w:right w:val="single" w:sz="4" w:space="0" w:color="auto"/>
            </w:tcBorders>
          </w:tcPr>
          <w:p w14:paraId="727F5B6F" w14:textId="77777777" w:rsidR="006918A0" w:rsidRPr="00130899" w:rsidRDefault="006918A0" w:rsidP="006918A0">
            <w:pPr>
              <w:spacing w:line="276" w:lineRule="auto"/>
              <w:ind w:right="-29"/>
              <w:jc w:val="center"/>
              <w:rPr>
                <w:noProof/>
                <w:sz w:val="18"/>
              </w:rPr>
            </w:pPr>
          </w:p>
        </w:tc>
        <w:tc>
          <w:tcPr>
            <w:tcW w:w="249" w:type="pct"/>
            <w:gridSpan w:val="2"/>
            <w:tcBorders>
              <w:top w:val="single" w:sz="4" w:space="0" w:color="auto"/>
              <w:left w:val="single" w:sz="4" w:space="0" w:color="auto"/>
              <w:bottom w:val="single" w:sz="12" w:space="0" w:color="auto"/>
              <w:right w:val="single" w:sz="4" w:space="0" w:color="auto"/>
            </w:tcBorders>
          </w:tcPr>
          <w:p w14:paraId="1AE3AB03" w14:textId="77777777" w:rsidR="006918A0" w:rsidRPr="00130899" w:rsidRDefault="006918A0" w:rsidP="006918A0">
            <w:pPr>
              <w:spacing w:line="276" w:lineRule="auto"/>
              <w:ind w:right="-29"/>
              <w:jc w:val="center"/>
              <w:rPr>
                <w:noProof/>
                <w:sz w:val="18"/>
              </w:rPr>
            </w:pPr>
          </w:p>
        </w:tc>
        <w:tc>
          <w:tcPr>
            <w:tcW w:w="318" w:type="pct"/>
            <w:gridSpan w:val="2"/>
            <w:tcBorders>
              <w:top w:val="single" w:sz="4" w:space="0" w:color="auto"/>
              <w:left w:val="single" w:sz="4" w:space="0" w:color="auto"/>
              <w:bottom w:val="single" w:sz="12" w:space="0" w:color="auto"/>
              <w:right w:val="single" w:sz="4" w:space="0" w:color="auto"/>
            </w:tcBorders>
          </w:tcPr>
          <w:p w14:paraId="2B2444F8" w14:textId="77777777" w:rsidR="006918A0" w:rsidRPr="00130899" w:rsidRDefault="006918A0" w:rsidP="006918A0">
            <w:pPr>
              <w:spacing w:line="276" w:lineRule="auto"/>
              <w:ind w:right="-29"/>
              <w:jc w:val="center"/>
              <w:rPr>
                <w:noProof/>
                <w:sz w:val="18"/>
              </w:rPr>
            </w:pPr>
          </w:p>
        </w:tc>
        <w:tc>
          <w:tcPr>
            <w:tcW w:w="223" w:type="pct"/>
            <w:gridSpan w:val="3"/>
            <w:tcBorders>
              <w:top w:val="single" w:sz="4" w:space="0" w:color="auto"/>
              <w:left w:val="single" w:sz="4" w:space="0" w:color="auto"/>
              <w:bottom w:val="single" w:sz="12" w:space="0" w:color="auto"/>
              <w:right w:val="single" w:sz="4" w:space="0" w:color="auto"/>
            </w:tcBorders>
          </w:tcPr>
          <w:p w14:paraId="29769E62" w14:textId="77777777" w:rsidR="006918A0" w:rsidRPr="00130899" w:rsidRDefault="006918A0" w:rsidP="006918A0">
            <w:pPr>
              <w:spacing w:line="276" w:lineRule="auto"/>
              <w:ind w:right="-29"/>
              <w:jc w:val="center"/>
              <w:rPr>
                <w:noProof/>
                <w:sz w:val="18"/>
              </w:rPr>
            </w:pPr>
          </w:p>
        </w:tc>
        <w:tc>
          <w:tcPr>
            <w:tcW w:w="403" w:type="pct"/>
            <w:gridSpan w:val="2"/>
            <w:tcBorders>
              <w:top w:val="single" w:sz="4" w:space="0" w:color="auto"/>
              <w:left w:val="single" w:sz="4" w:space="0" w:color="auto"/>
              <w:bottom w:val="single" w:sz="12" w:space="0" w:color="auto"/>
              <w:right w:val="single" w:sz="4" w:space="0" w:color="auto"/>
            </w:tcBorders>
            <w:vAlign w:val="center"/>
          </w:tcPr>
          <w:p w14:paraId="46A6E999" w14:textId="77777777" w:rsidR="006918A0" w:rsidRPr="00130899" w:rsidRDefault="006918A0" w:rsidP="006918A0">
            <w:pPr>
              <w:spacing w:line="276" w:lineRule="auto"/>
              <w:ind w:right="-29"/>
              <w:jc w:val="right"/>
              <w:rPr>
                <w:noProof/>
                <w:sz w:val="18"/>
              </w:rPr>
            </w:pPr>
          </w:p>
        </w:tc>
      </w:tr>
      <w:tr w:rsidR="006918A0" w:rsidRPr="00130899" w14:paraId="5ACCDF85" w14:textId="77777777" w:rsidTr="000430BD">
        <w:trPr>
          <w:jc w:val="center"/>
        </w:trPr>
        <w:tc>
          <w:tcPr>
            <w:tcW w:w="1083" w:type="pct"/>
            <w:gridSpan w:val="3"/>
            <w:tcBorders>
              <w:top w:val="single" w:sz="12" w:space="0" w:color="auto"/>
              <w:left w:val="single" w:sz="12" w:space="0" w:color="auto"/>
              <w:bottom w:val="single" w:sz="12" w:space="0" w:color="auto"/>
              <w:right w:val="single" w:sz="4" w:space="0" w:color="auto"/>
            </w:tcBorders>
            <w:vAlign w:val="center"/>
            <w:hideMark/>
          </w:tcPr>
          <w:p w14:paraId="4E87B620" w14:textId="77777777" w:rsidR="006918A0" w:rsidRPr="00130899" w:rsidRDefault="006918A0" w:rsidP="006918A0">
            <w:pPr>
              <w:spacing w:line="276" w:lineRule="auto"/>
              <w:ind w:right="-29"/>
              <w:jc w:val="center"/>
              <w:rPr>
                <w:noProof/>
                <w:sz w:val="18"/>
              </w:rPr>
            </w:pPr>
            <w:r w:rsidRPr="00130899">
              <w:rPr>
                <w:b/>
                <w:noProof/>
                <w:sz w:val="18"/>
              </w:rPr>
              <w:t>ОБЩО</w:t>
            </w:r>
          </w:p>
        </w:tc>
        <w:tc>
          <w:tcPr>
            <w:tcW w:w="285" w:type="pct"/>
            <w:tcBorders>
              <w:top w:val="single" w:sz="12" w:space="0" w:color="auto"/>
              <w:left w:val="single" w:sz="4" w:space="0" w:color="auto"/>
              <w:bottom w:val="single" w:sz="12" w:space="0" w:color="auto"/>
              <w:right w:val="single" w:sz="4" w:space="0" w:color="auto"/>
            </w:tcBorders>
          </w:tcPr>
          <w:p w14:paraId="4762C0FE" w14:textId="77777777" w:rsidR="006918A0" w:rsidRPr="00130899" w:rsidRDefault="006918A0" w:rsidP="006918A0">
            <w:pPr>
              <w:spacing w:before="180" w:after="180" w:line="276" w:lineRule="auto"/>
              <w:ind w:right="-29"/>
              <w:jc w:val="center"/>
              <w:rPr>
                <w:noProof/>
                <w:sz w:val="18"/>
              </w:rPr>
            </w:pPr>
          </w:p>
        </w:tc>
        <w:tc>
          <w:tcPr>
            <w:tcW w:w="266" w:type="pct"/>
            <w:tcBorders>
              <w:top w:val="single" w:sz="12" w:space="0" w:color="auto"/>
              <w:left w:val="single" w:sz="4" w:space="0" w:color="auto"/>
              <w:bottom w:val="single" w:sz="12" w:space="0" w:color="auto"/>
              <w:right w:val="single" w:sz="4" w:space="0" w:color="auto"/>
            </w:tcBorders>
            <w:hideMark/>
          </w:tcPr>
          <w:p w14:paraId="3292A22C" w14:textId="77777777" w:rsidR="006918A0" w:rsidRPr="00130899" w:rsidRDefault="006918A0" w:rsidP="006918A0">
            <w:pPr>
              <w:spacing w:before="180" w:after="180" w:line="276" w:lineRule="auto"/>
              <w:ind w:right="-29"/>
              <w:jc w:val="center"/>
              <w:rPr>
                <w:noProof/>
                <w:sz w:val="18"/>
              </w:rPr>
            </w:pPr>
            <w:r w:rsidRPr="00130899">
              <w:rPr>
                <w:b/>
                <w:noProof/>
                <w:sz w:val="18"/>
              </w:rPr>
              <w:t>0,150</w:t>
            </w:r>
          </w:p>
        </w:tc>
        <w:tc>
          <w:tcPr>
            <w:tcW w:w="281" w:type="pct"/>
            <w:tcBorders>
              <w:top w:val="single" w:sz="12" w:space="0" w:color="auto"/>
              <w:left w:val="single" w:sz="4" w:space="0" w:color="auto"/>
              <w:bottom w:val="single" w:sz="12" w:space="0" w:color="auto"/>
              <w:right w:val="single" w:sz="4" w:space="0" w:color="auto"/>
            </w:tcBorders>
          </w:tcPr>
          <w:p w14:paraId="3E6439EA" w14:textId="77777777" w:rsidR="006918A0" w:rsidRPr="00130899" w:rsidRDefault="006918A0" w:rsidP="006918A0">
            <w:pPr>
              <w:spacing w:before="180" w:after="180" w:line="276" w:lineRule="auto"/>
              <w:ind w:right="-29"/>
              <w:jc w:val="center"/>
              <w:rPr>
                <w:noProof/>
                <w:sz w:val="18"/>
              </w:rPr>
            </w:pPr>
          </w:p>
        </w:tc>
        <w:tc>
          <w:tcPr>
            <w:tcW w:w="256" w:type="pct"/>
            <w:tcBorders>
              <w:top w:val="single" w:sz="12" w:space="0" w:color="auto"/>
              <w:left w:val="single" w:sz="4" w:space="0" w:color="auto"/>
              <w:bottom w:val="single" w:sz="12" w:space="0" w:color="auto"/>
              <w:right w:val="single" w:sz="4" w:space="0" w:color="auto"/>
            </w:tcBorders>
            <w:hideMark/>
          </w:tcPr>
          <w:p w14:paraId="260EAE3C" w14:textId="77777777" w:rsidR="006918A0" w:rsidRPr="00130899" w:rsidRDefault="006918A0" w:rsidP="006918A0">
            <w:pPr>
              <w:spacing w:before="180" w:after="180" w:line="276" w:lineRule="auto"/>
              <w:ind w:right="-29"/>
              <w:jc w:val="center"/>
              <w:rPr>
                <w:noProof/>
                <w:sz w:val="18"/>
              </w:rPr>
            </w:pPr>
            <w:r w:rsidRPr="00130899">
              <w:rPr>
                <w:b/>
                <w:noProof/>
                <w:sz w:val="18"/>
              </w:rPr>
              <w:t>0,420</w:t>
            </w:r>
          </w:p>
        </w:tc>
        <w:tc>
          <w:tcPr>
            <w:tcW w:w="298" w:type="pct"/>
            <w:tcBorders>
              <w:top w:val="single" w:sz="12" w:space="0" w:color="auto"/>
              <w:left w:val="single" w:sz="4" w:space="0" w:color="auto"/>
              <w:bottom w:val="single" w:sz="12" w:space="0" w:color="auto"/>
              <w:right w:val="single" w:sz="4" w:space="0" w:color="auto"/>
            </w:tcBorders>
          </w:tcPr>
          <w:p w14:paraId="1C3F00AD" w14:textId="77777777" w:rsidR="006918A0" w:rsidRPr="00130899" w:rsidRDefault="006918A0" w:rsidP="006918A0">
            <w:pPr>
              <w:spacing w:before="180" w:after="180" w:line="276" w:lineRule="auto"/>
              <w:ind w:right="-29"/>
              <w:jc w:val="center"/>
              <w:rPr>
                <w:noProof/>
                <w:sz w:val="18"/>
              </w:rPr>
            </w:pPr>
          </w:p>
        </w:tc>
        <w:tc>
          <w:tcPr>
            <w:tcW w:w="246" w:type="pct"/>
            <w:tcBorders>
              <w:top w:val="single" w:sz="12" w:space="0" w:color="auto"/>
              <w:left w:val="single" w:sz="4" w:space="0" w:color="auto"/>
              <w:bottom w:val="single" w:sz="12" w:space="0" w:color="auto"/>
              <w:right w:val="single" w:sz="4" w:space="0" w:color="auto"/>
            </w:tcBorders>
            <w:hideMark/>
          </w:tcPr>
          <w:p w14:paraId="3809AE43" w14:textId="77777777" w:rsidR="006918A0" w:rsidRPr="00130899" w:rsidRDefault="006918A0" w:rsidP="006918A0">
            <w:pPr>
              <w:spacing w:before="180" w:after="180" w:line="276" w:lineRule="auto"/>
              <w:ind w:right="-29"/>
              <w:jc w:val="center"/>
              <w:rPr>
                <w:noProof/>
                <w:sz w:val="18"/>
              </w:rPr>
            </w:pPr>
            <w:r w:rsidRPr="00130899">
              <w:rPr>
                <w:b/>
                <w:noProof/>
                <w:sz w:val="18"/>
              </w:rPr>
              <w:t>0,300</w:t>
            </w:r>
          </w:p>
        </w:tc>
        <w:tc>
          <w:tcPr>
            <w:tcW w:w="367" w:type="pct"/>
            <w:tcBorders>
              <w:top w:val="single" w:sz="12" w:space="0" w:color="auto"/>
              <w:left w:val="single" w:sz="4" w:space="0" w:color="auto"/>
              <w:bottom w:val="single" w:sz="12" w:space="0" w:color="auto"/>
              <w:right w:val="single" w:sz="4" w:space="0" w:color="auto"/>
            </w:tcBorders>
          </w:tcPr>
          <w:p w14:paraId="666F09C4" w14:textId="77777777" w:rsidR="006918A0" w:rsidRPr="00130899" w:rsidRDefault="006918A0" w:rsidP="006918A0">
            <w:pPr>
              <w:spacing w:before="180" w:after="180" w:line="276" w:lineRule="auto"/>
              <w:ind w:right="-29"/>
              <w:jc w:val="center"/>
              <w:rPr>
                <w:noProof/>
                <w:sz w:val="18"/>
              </w:rPr>
            </w:pPr>
          </w:p>
        </w:tc>
        <w:tc>
          <w:tcPr>
            <w:tcW w:w="225" w:type="pct"/>
            <w:tcBorders>
              <w:top w:val="single" w:sz="12" w:space="0" w:color="auto"/>
              <w:left w:val="single" w:sz="4" w:space="0" w:color="auto"/>
              <w:bottom w:val="single" w:sz="12" w:space="0" w:color="auto"/>
              <w:right w:val="single" w:sz="4" w:space="0" w:color="auto"/>
            </w:tcBorders>
            <w:hideMark/>
          </w:tcPr>
          <w:p w14:paraId="4CD6A4B4" w14:textId="77777777" w:rsidR="006918A0" w:rsidRPr="00130899" w:rsidRDefault="006918A0" w:rsidP="006918A0">
            <w:pPr>
              <w:spacing w:before="180" w:after="180" w:line="276" w:lineRule="auto"/>
              <w:ind w:right="-29"/>
              <w:jc w:val="center"/>
              <w:rPr>
                <w:noProof/>
                <w:sz w:val="18"/>
              </w:rPr>
            </w:pPr>
            <w:r w:rsidRPr="00130899">
              <w:rPr>
                <w:b/>
                <w:noProof/>
                <w:sz w:val="18"/>
              </w:rPr>
              <w:t>0,330</w:t>
            </w:r>
          </w:p>
        </w:tc>
        <w:tc>
          <w:tcPr>
            <w:tcW w:w="258" w:type="pct"/>
            <w:tcBorders>
              <w:top w:val="single" w:sz="12" w:space="0" w:color="auto"/>
              <w:left w:val="single" w:sz="4" w:space="0" w:color="auto"/>
              <w:bottom w:val="single" w:sz="12" w:space="0" w:color="auto"/>
              <w:right w:val="single" w:sz="4" w:space="0" w:color="auto"/>
            </w:tcBorders>
          </w:tcPr>
          <w:p w14:paraId="61797AEF" w14:textId="77777777" w:rsidR="006918A0" w:rsidRPr="00130899" w:rsidRDefault="006918A0" w:rsidP="006918A0">
            <w:pPr>
              <w:spacing w:before="180" w:after="180" w:line="276" w:lineRule="auto"/>
              <w:ind w:right="-29"/>
              <w:jc w:val="center"/>
              <w:rPr>
                <w:noProof/>
                <w:sz w:val="18"/>
              </w:rPr>
            </w:pPr>
          </w:p>
        </w:tc>
        <w:tc>
          <w:tcPr>
            <w:tcW w:w="241" w:type="pct"/>
            <w:tcBorders>
              <w:top w:val="single" w:sz="12" w:space="0" w:color="auto"/>
              <w:left w:val="single" w:sz="4" w:space="0" w:color="auto"/>
              <w:bottom w:val="single" w:sz="12" w:space="0" w:color="auto"/>
              <w:right w:val="single" w:sz="4" w:space="0" w:color="auto"/>
            </w:tcBorders>
            <w:hideMark/>
          </w:tcPr>
          <w:p w14:paraId="0C6E1219" w14:textId="77777777" w:rsidR="006918A0" w:rsidRPr="00130899" w:rsidRDefault="006918A0" w:rsidP="006918A0">
            <w:pPr>
              <w:spacing w:before="180" w:after="180" w:line="276" w:lineRule="auto"/>
              <w:ind w:right="-29"/>
              <w:jc w:val="center"/>
              <w:rPr>
                <w:noProof/>
                <w:sz w:val="18"/>
              </w:rPr>
            </w:pPr>
            <w:r w:rsidRPr="00130899">
              <w:rPr>
                <w:b/>
                <w:noProof/>
                <w:sz w:val="18"/>
              </w:rPr>
              <w:t>0,180</w:t>
            </w:r>
          </w:p>
        </w:tc>
        <w:tc>
          <w:tcPr>
            <w:tcW w:w="249" w:type="pct"/>
            <w:gridSpan w:val="2"/>
            <w:tcBorders>
              <w:top w:val="single" w:sz="12" w:space="0" w:color="auto"/>
              <w:left w:val="single" w:sz="4" w:space="0" w:color="auto"/>
              <w:bottom w:val="single" w:sz="12" w:space="0" w:color="auto"/>
              <w:right w:val="single" w:sz="4" w:space="0" w:color="auto"/>
            </w:tcBorders>
          </w:tcPr>
          <w:p w14:paraId="75B8F271" w14:textId="77777777" w:rsidR="006918A0" w:rsidRPr="00130899" w:rsidRDefault="006918A0" w:rsidP="006918A0">
            <w:pPr>
              <w:spacing w:before="180" w:after="180" w:line="276" w:lineRule="auto"/>
              <w:ind w:right="-29"/>
              <w:jc w:val="center"/>
              <w:rPr>
                <w:noProof/>
                <w:sz w:val="18"/>
              </w:rPr>
            </w:pPr>
          </w:p>
        </w:tc>
        <w:tc>
          <w:tcPr>
            <w:tcW w:w="318" w:type="pct"/>
            <w:gridSpan w:val="2"/>
            <w:tcBorders>
              <w:top w:val="single" w:sz="12" w:space="0" w:color="auto"/>
              <w:left w:val="single" w:sz="4" w:space="0" w:color="auto"/>
              <w:bottom w:val="single" w:sz="12" w:space="0" w:color="auto"/>
              <w:right w:val="single" w:sz="4" w:space="0" w:color="auto"/>
            </w:tcBorders>
            <w:hideMark/>
          </w:tcPr>
          <w:p w14:paraId="5339BD14" w14:textId="77777777" w:rsidR="006918A0" w:rsidRPr="00130899" w:rsidRDefault="006918A0" w:rsidP="006918A0">
            <w:pPr>
              <w:spacing w:before="180" w:after="180" w:line="276" w:lineRule="auto"/>
              <w:ind w:right="-29"/>
              <w:jc w:val="center"/>
              <w:rPr>
                <w:noProof/>
                <w:sz w:val="18"/>
              </w:rPr>
            </w:pPr>
            <w:r w:rsidRPr="00130899">
              <w:rPr>
                <w:b/>
                <w:noProof/>
                <w:sz w:val="18"/>
              </w:rPr>
              <w:t>0,180</w:t>
            </w:r>
          </w:p>
        </w:tc>
        <w:tc>
          <w:tcPr>
            <w:tcW w:w="223" w:type="pct"/>
            <w:gridSpan w:val="3"/>
            <w:tcBorders>
              <w:top w:val="single" w:sz="12" w:space="0" w:color="auto"/>
              <w:left w:val="single" w:sz="4" w:space="0" w:color="auto"/>
              <w:bottom w:val="single" w:sz="12" w:space="0" w:color="auto"/>
              <w:right w:val="single" w:sz="4" w:space="0" w:color="auto"/>
            </w:tcBorders>
          </w:tcPr>
          <w:p w14:paraId="691794FC" w14:textId="77777777" w:rsidR="006918A0" w:rsidRPr="00130899" w:rsidRDefault="006918A0" w:rsidP="006918A0">
            <w:pPr>
              <w:spacing w:before="180" w:after="180" w:line="276" w:lineRule="auto"/>
              <w:ind w:right="-29"/>
              <w:jc w:val="center"/>
              <w:rPr>
                <w:noProof/>
                <w:sz w:val="18"/>
              </w:rPr>
            </w:pPr>
          </w:p>
        </w:tc>
        <w:tc>
          <w:tcPr>
            <w:tcW w:w="403" w:type="pct"/>
            <w:gridSpan w:val="2"/>
            <w:tcBorders>
              <w:top w:val="single" w:sz="12" w:space="0" w:color="auto"/>
              <w:left w:val="single" w:sz="4" w:space="0" w:color="auto"/>
              <w:bottom w:val="single" w:sz="12" w:space="0" w:color="auto"/>
              <w:right w:val="single" w:sz="12" w:space="0" w:color="auto"/>
            </w:tcBorders>
            <w:vAlign w:val="center"/>
            <w:hideMark/>
          </w:tcPr>
          <w:p w14:paraId="48BB76E4" w14:textId="77777777" w:rsidR="006918A0" w:rsidRPr="00130899" w:rsidRDefault="006918A0" w:rsidP="006918A0">
            <w:pPr>
              <w:spacing w:before="180" w:after="180" w:line="276" w:lineRule="auto"/>
              <w:ind w:right="-29"/>
              <w:jc w:val="right"/>
              <w:rPr>
                <w:noProof/>
                <w:sz w:val="18"/>
              </w:rPr>
            </w:pPr>
            <w:r w:rsidRPr="00130899">
              <w:rPr>
                <w:b/>
                <w:noProof/>
                <w:sz w:val="18"/>
              </w:rPr>
              <w:t>1,560</w:t>
            </w:r>
          </w:p>
        </w:tc>
      </w:tr>
    </w:tbl>
    <w:p w14:paraId="00A7D13B" w14:textId="77777777" w:rsidR="006918A0" w:rsidRPr="00130899" w:rsidRDefault="006918A0" w:rsidP="006918A0">
      <w:pPr>
        <w:spacing w:before="0" w:after="0"/>
        <w:jc w:val="left"/>
        <w:rPr>
          <w:noProof/>
        </w:rPr>
        <w:sectPr w:rsidR="006918A0" w:rsidRPr="00130899" w:rsidSect="006362D3">
          <w:headerReference w:type="default" r:id="rId18"/>
          <w:footerReference w:type="default" r:id="rId19"/>
          <w:headerReference w:type="first" r:id="rId20"/>
          <w:footerReference w:type="first" r:id="rId21"/>
          <w:pgSz w:w="16840" w:h="11907" w:orient="landscape"/>
          <w:pgMar w:top="851" w:right="1418" w:bottom="426" w:left="1418" w:header="709" w:footer="709" w:gutter="0"/>
          <w:cols w:space="720"/>
          <w:docGrid w:linePitch="326"/>
        </w:sectPr>
      </w:pPr>
    </w:p>
    <w:p w14:paraId="411264BA" w14:textId="77777777" w:rsidR="006918A0" w:rsidRPr="00130899" w:rsidRDefault="00287904" w:rsidP="00287904">
      <w:pPr>
        <w:pStyle w:val="ManualHeading3"/>
        <w:rPr>
          <w:noProof/>
        </w:rPr>
      </w:pPr>
      <w:r w:rsidRPr="00130899">
        <w:rPr>
          <w:noProof/>
        </w:rPr>
        <w:tab/>
        <w:t xml:space="preserve">3.2.3 </w:t>
      </w:r>
      <w:bookmarkStart w:id="21" w:name="_Toc514938055"/>
      <w:bookmarkStart w:id="22" w:name="_Toc520485054"/>
      <w:r w:rsidRPr="00130899">
        <w:rPr>
          <w:noProof/>
        </w:rPr>
        <w:t>Обобщение на очакваното отражение върху бюджетните кредити за административни разходи</w:t>
      </w:r>
      <w:bookmarkEnd w:id="21"/>
      <w:bookmarkEnd w:id="22"/>
      <w:r w:rsidRPr="00130899">
        <w:rPr>
          <w:noProof/>
        </w:rPr>
        <w:t xml:space="preserve"> </w:t>
      </w:r>
    </w:p>
    <w:p w14:paraId="79AF186C" w14:textId="77777777" w:rsidR="006918A0" w:rsidRPr="00130899" w:rsidRDefault="006918A0" w:rsidP="006918A0">
      <w:pPr>
        <w:tabs>
          <w:tab w:val="num" w:pos="1134"/>
        </w:tabs>
        <w:ind w:left="1134" w:hanging="283"/>
        <w:rPr>
          <w:noProof/>
        </w:rPr>
      </w:pPr>
      <w:r w:rsidRPr="00130899">
        <w:rPr>
          <w:rFonts w:ascii="Wingdings" w:hAnsi="Wingdings"/>
          <w:noProof/>
        </w:rPr>
        <w:t></w:t>
      </w:r>
      <w:r w:rsidRPr="00130899">
        <w:rPr>
          <w:noProof/>
        </w:rPr>
        <w:tab/>
        <w:t xml:space="preserve">Предложението/инициативата не налага използване на бюджетни кредити за административни разходи </w:t>
      </w:r>
    </w:p>
    <w:p w14:paraId="4D48DF45" w14:textId="77777777" w:rsidR="006918A0" w:rsidRPr="00130899" w:rsidRDefault="006918A0" w:rsidP="006918A0">
      <w:pPr>
        <w:tabs>
          <w:tab w:val="num" w:pos="1134"/>
        </w:tabs>
        <w:ind w:left="1134" w:hanging="283"/>
        <w:rPr>
          <w:noProof/>
        </w:rPr>
      </w:pPr>
      <w:r w:rsidRPr="00130899">
        <w:rPr>
          <w:rFonts w:ascii="Wingdings" w:hAnsi="Wingdings"/>
          <w:noProof/>
        </w:rPr>
        <w:t></w:t>
      </w:r>
      <w:r w:rsidRPr="00130899">
        <w:rPr>
          <w:noProof/>
        </w:rPr>
        <w:tab/>
        <w:t>Предложението/инициативата налага използване на бюджетни кредити за административни разходи съгласно обяснението по-долу:</w:t>
      </w:r>
    </w:p>
    <w:p w14:paraId="7FAA339A" w14:textId="77777777" w:rsidR="006918A0" w:rsidRPr="00130899" w:rsidRDefault="006918A0" w:rsidP="006918A0">
      <w:pPr>
        <w:rPr>
          <w:noProof/>
          <w:sz w:val="20"/>
        </w:rPr>
      </w:pPr>
      <w:r w:rsidRPr="00130899">
        <w:rPr>
          <w:noProof/>
          <w:sz w:val="20"/>
        </w:rPr>
        <w:t>млн. евро (до 3-тия знак след десетичната запетая)</w:t>
      </w:r>
    </w:p>
    <w:tbl>
      <w:tblPr>
        <w:tblW w:w="909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1"/>
        <w:gridCol w:w="1081"/>
        <w:gridCol w:w="1081"/>
        <w:gridCol w:w="1081"/>
        <w:gridCol w:w="1081"/>
        <w:gridCol w:w="1705"/>
      </w:tblGrid>
      <w:tr w:rsidR="006918A0" w:rsidRPr="00130899" w14:paraId="0C3F1274" w14:textId="77777777" w:rsidTr="000430BD">
        <w:trPr>
          <w:trHeight w:val="585"/>
        </w:trPr>
        <w:tc>
          <w:tcPr>
            <w:tcW w:w="1980" w:type="dxa"/>
            <w:tcBorders>
              <w:top w:val="single" w:sz="2" w:space="0" w:color="auto"/>
              <w:left w:val="single" w:sz="2" w:space="0" w:color="auto"/>
              <w:bottom w:val="single" w:sz="2" w:space="0" w:color="auto"/>
              <w:right w:val="single" w:sz="2" w:space="0" w:color="auto"/>
            </w:tcBorders>
          </w:tcPr>
          <w:p w14:paraId="3F8A9D79" w14:textId="77777777" w:rsidR="006918A0" w:rsidRPr="00130899" w:rsidRDefault="006918A0" w:rsidP="006918A0">
            <w:pPr>
              <w:spacing w:before="60" w:after="60" w:line="200" w:lineRule="exact"/>
              <w:rPr>
                <w:noProof/>
                <w:sz w:val="16"/>
              </w:rPr>
            </w:pPr>
          </w:p>
        </w:tc>
        <w:tc>
          <w:tcPr>
            <w:tcW w:w="1080" w:type="dxa"/>
            <w:tcBorders>
              <w:top w:val="single" w:sz="2" w:space="0" w:color="auto"/>
              <w:left w:val="single" w:sz="2" w:space="0" w:color="auto"/>
              <w:bottom w:val="single" w:sz="2" w:space="0" w:color="auto"/>
              <w:right w:val="single" w:sz="2" w:space="0" w:color="auto"/>
            </w:tcBorders>
            <w:vAlign w:val="center"/>
            <w:hideMark/>
          </w:tcPr>
          <w:p w14:paraId="43C7EE9E" w14:textId="77777777" w:rsidR="006918A0" w:rsidRPr="00130899" w:rsidRDefault="006918A0" w:rsidP="006918A0">
            <w:pPr>
              <w:spacing w:before="60" w:after="60" w:line="200" w:lineRule="exact"/>
              <w:jc w:val="center"/>
              <w:rPr>
                <w:noProof/>
                <w:sz w:val="16"/>
              </w:rPr>
            </w:pPr>
            <w:r w:rsidRPr="00130899">
              <w:rPr>
                <w:noProof/>
                <w:sz w:val="16"/>
              </w:rPr>
              <w:t>Година</w:t>
            </w:r>
            <w:r w:rsidRPr="00130899">
              <w:rPr>
                <w:noProof/>
              </w:rPr>
              <w:t xml:space="preserve"> </w:t>
            </w:r>
            <w:r w:rsidRPr="00130899">
              <w:rPr>
                <w:noProof/>
              </w:rPr>
              <w:cr/>
            </w:r>
            <w:r w:rsidRPr="00130899">
              <w:rPr>
                <w:noProof/>
              </w:rPr>
              <w:br/>
            </w:r>
            <w:r w:rsidRPr="00130899">
              <w:rPr>
                <w:b/>
                <w:noProof/>
                <w:sz w:val="16"/>
              </w:rPr>
              <w:t>2023 г.</w:t>
            </w:r>
          </w:p>
        </w:tc>
        <w:tc>
          <w:tcPr>
            <w:tcW w:w="1080" w:type="dxa"/>
            <w:tcBorders>
              <w:top w:val="single" w:sz="2" w:space="0" w:color="auto"/>
              <w:left w:val="single" w:sz="2" w:space="0" w:color="auto"/>
              <w:bottom w:val="single" w:sz="2" w:space="0" w:color="auto"/>
              <w:right w:val="single" w:sz="2" w:space="0" w:color="auto"/>
            </w:tcBorders>
            <w:vAlign w:val="center"/>
            <w:hideMark/>
          </w:tcPr>
          <w:p w14:paraId="6819FE0F" w14:textId="77777777" w:rsidR="006918A0" w:rsidRPr="00130899" w:rsidRDefault="006918A0" w:rsidP="006918A0">
            <w:pPr>
              <w:spacing w:before="60" w:after="60" w:line="200" w:lineRule="exact"/>
              <w:jc w:val="center"/>
              <w:rPr>
                <w:noProof/>
                <w:sz w:val="16"/>
              </w:rPr>
            </w:pPr>
            <w:r w:rsidRPr="00130899">
              <w:rPr>
                <w:noProof/>
                <w:sz w:val="16"/>
              </w:rPr>
              <w:t>Година</w:t>
            </w:r>
            <w:r w:rsidRPr="00130899">
              <w:rPr>
                <w:noProof/>
              </w:rPr>
              <w:t xml:space="preserve"> </w:t>
            </w:r>
            <w:r w:rsidRPr="00130899">
              <w:rPr>
                <w:noProof/>
              </w:rPr>
              <w:cr/>
            </w:r>
            <w:r w:rsidRPr="00130899">
              <w:rPr>
                <w:noProof/>
              </w:rPr>
              <w:br/>
            </w:r>
            <w:r w:rsidRPr="00130899">
              <w:rPr>
                <w:b/>
                <w:noProof/>
                <w:sz w:val="16"/>
              </w:rPr>
              <w:t>2024 г.</w:t>
            </w:r>
          </w:p>
        </w:tc>
        <w:tc>
          <w:tcPr>
            <w:tcW w:w="1080" w:type="dxa"/>
            <w:tcBorders>
              <w:top w:val="single" w:sz="2" w:space="0" w:color="auto"/>
              <w:left w:val="single" w:sz="2" w:space="0" w:color="auto"/>
              <w:bottom w:val="single" w:sz="2" w:space="0" w:color="auto"/>
              <w:right w:val="single" w:sz="2" w:space="0" w:color="auto"/>
            </w:tcBorders>
            <w:vAlign w:val="center"/>
            <w:hideMark/>
          </w:tcPr>
          <w:p w14:paraId="48347D69" w14:textId="77777777" w:rsidR="006918A0" w:rsidRPr="00130899" w:rsidRDefault="006918A0" w:rsidP="006918A0">
            <w:pPr>
              <w:spacing w:before="60" w:after="60" w:line="200" w:lineRule="exact"/>
              <w:jc w:val="center"/>
              <w:rPr>
                <w:noProof/>
                <w:sz w:val="16"/>
              </w:rPr>
            </w:pPr>
            <w:r w:rsidRPr="00130899">
              <w:rPr>
                <w:noProof/>
                <w:sz w:val="16"/>
              </w:rPr>
              <w:t>Година</w:t>
            </w:r>
            <w:r w:rsidRPr="00130899">
              <w:rPr>
                <w:noProof/>
              </w:rPr>
              <w:t xml:space="preserve"> </w:t>
            </w:r>
            <w:r w:rsidRPr="00130899">
              <w:rPr>
                <w:noProof/>
              </w:rPr>
              <w:cr/>
            </w:r>
            <w:r w:rsidRPr="00130899">
              <w:rPr>
                <w:noProof/>
              </w:rPr>
              <w:br/>
            </w:r>
            <w:r w:rsidRPr="00130899">
              <w:rPr>
                <w:b/>
                <w:noProof/>
                <w:sz w:val="16"/>
              </w:rPr>
              <w:t>2025 г.</w:t>
            </w:r>
          </w:p>
        </w:tc>
        <w:tc>
          <w:tcPr>
            <w:tcW w:w="1080" w:type="dxa"/>
            <w:tcBorders>
              <w:top w:val="single" w:sz="2" w:space="0" w:color="auto"/>
              <w:left w:val="single" w:sz="2" w:space="0" w:color="auto"/>
              <w:bottom w:val="single" w:sz="2" w:space="0" w:color="auto"/>
              <w:right w:val="single" w:sz="2" w:space="0" w:color="auto"/>
            </w:tcBorders>
            <w:vAlign w:val="center"/>
            <w:hideMark/>
          </w:tcPr>
          <w:p w14:paraId="20BBF791" w14:textId="77777777" w:rsidR="006918A0" w:rsidRPr="00130899" w:rsidRDefault="006918A0" w:rsidP="006918A0">
            <w:pPr>
              <w:spacing w:before="60" w:after="60" w:line="200" w:lineRule="exact"/>
              <w:jc w:val="center"/>
              <w:rPr>
                <w:noProof/>
                <w:sz w:val="16"/>
              </w:rPr>
            </w:pPr>
            <w:r w:rsidRPr="00130899">
              <w:rPr>
                <w:noProof/>
                <w:sz w:val="16"/>
              </w:rPr>
              <w:t>Година</w:t>
            </w:r>
            <w:r w:rsidRPr="00130899">
              <w:rPr>
                <w:noProof/>
              </w:rPr>
              <w:t xml:space="preserve"> </w:t>
            </w:r>
            <w:r w:rsidRPr="00130899">
              <w:rPr>
                <w:noProof/>
              </w:rPr>
              <w:cr/>
            </w:r>
            <w:r w:rsidRPr="00130899">
              <w:rPr>
                <w:noProof/>
              </w:rPr>
              <w:br/>
            </w:r>
            <w:r w:rsidRPr="00130899">
              <w:rPr>
                <w:b/>
                <w:noProof/>
                <w:sz w:val="16"/>
              </w:rPr>
              <w:t>2026 г.</w:t>
            </w:r>
          </w:p>
        </w:tc>
        <w:tc>
          <w:tcPr>
            <w:tcW w:w="1080" w:type="dxa"/>
            <w:tcBorders>
              <w:top w:val="single" w:sz="2" w:space="0" w:color="auto"/>
              <w:left w:val="single" w:sz="2" w:space="0" w:color="auto"/>
              <w:bottom w:val="single" w:sz="2" w:space="0" w:color="auto"/>
              <w:right w:val="single" w:sz="2" w:space="0" w:color="auto"/>
            </w:tcBorders>
            <w:vAlign w:val="center"/>
            <w:hideMark/>
          </w:tcPr>
          <w:p w14:paraId="66154805" w14:textId="77777777" w:rsidR="006918A0" w:rsidRPr="00130899" w:rsidRDefault="006918A0" w:rsidP="006918A0">
            <w:pPr>
              <w:spacing w:line="200" w:lineRule="exact"/>
              <w:jc w:val="center"/>
              <w:rPr>
                <w:b/>
                <w:noProof/>
                <w:sz w:val="16"/>
              </w:rPr>
            </w:pPr>
            <w:r w:rsidRPr="00130899">
              <w:rPr>
                <w:noProof/>
                <w:sz w:val="16"/>
              </w:rPr>
              <w:t>Година</w:t>
            </w:r>
            <w:r w:rsidRPr="00130899">
              <w:rPr>
                <w:noProof/>
              </w:rPr>
              <w:t xml:space="preserve"> </w:t>
            </w:r>
            <w:r w:rsidRPr="00130899">
              <w:rPr>
                <w:noProof/>
              </w:rPr>
              <w:cr/>
            </w:r>
            <w:r w:rsidRPr="00130899">
              <w:rPr>
                <w:noProof/>
              </w:rPr>
              <w:br/>
            </w:r>
            <w:r w:rsidRPr="00130899">
              <w:rPr>
                <w:b/>
                <w:noProof/>
                <w:sz w:val="16"/>
              </w:rPr>
              <w:t>2027 г.</w:t>
            </w:r>
          </w:p>
        </w:tc>
        <w:tc>
          <w:tcPr>
            <w:tcW w:w="1704" w:type="dxa"/>
            <w:tcBorders>
              <w:top w:val="single" w:sz="2" w:space="0" w:color="auto"/>
              <w:left w:val="single" w:sz="2" w:space="0" w:color="auto"/>
              <w:bottom w:val="single" w:sz="2" w:space="0" w:color="auto"/>
              <w:right w:val="single" w:sz="2" w:space="0" w:color="auto"/>
            </w:tcBorders>
            <w:vAlign w:val="center"/>
            <w:hideMark/>
          </w:tcPr>
          <w:p w14:paraId="5978D98E" w14:textId="77777777" w:rsidR="006918A0" w:rsidRPr="00130899" w:rsidRDefault="006918A0" w:rsidP="006918A0">
            <w:pPr>
              <w:spacing w:before="60" w:after="60" w:line="200" w:lineRule="exact"/>
              <w:jc w:val="center"/>
              <w:rPr>
                <w:b/>
                <w:noProof/>
                <w:sz w:val="16"/>
              </w:rPr>
            </w:pPr>
            <w:r w:rsidRPr="00130899">
              <w:rPr>
                <w:b/>
                <w:noProof/>
                <w:sz w:val="16"/>
              </w:rPr>
              <w:t>ОБЩО</w:t>
            </w:r>
          </w:p>
        </w:tc>
      </w:tr>
    </w:tbl>
    <w:p w14:paraId="6AB394E6" w14:textId="77777777" w:rsidR="006918A0" w:rsidRPr="00130899" w:rsidRDefault="006918A0" w:rsidP="006918A0">
      <w:pPr>
        <w:spacing w:line="200" w:lineRule="exact"/>
        <w:rPr>
          <w:noProof/>
          <w:sz w:val="16"/>
        </w:rPr>
      </w:pPr>
    </w:p>
    <w:tbl>
      <w:tblPr>
        <w:tblW w:w="9090" w:type="dxa"/>
        <w:tblInd w:w="-612" w:type="dxa"/>
        <w:tblLayout w:type="fixed"/>
        <w:tblLook w:val="01E0" w:firstRow="1" w:lastRow="1" w:firstColumn="1" w:lastColumn="1" w:noHBand="0" w:noVBand="0"/>
      </w:tblPr>
      <w:tblGrid>
        <w:gridCol w:w="1980"/>
        <w:gridCol w:w="1081"/>
        <w:gridCol w:w="1081"/>
        <w:gridCol w:w="1081"/>
        <w:gridCol w:w="1081"/>
        <w:gridCol w:w="1081"/>
        <w:gridCol w:w="1705"/>
      </w:tblGrid>
      <w:tr w:rsidR="006918A0" w:rsidRPr="00130899" w14:paraId="1BB919B4" w14:textId="77777777" w:rsidTr="000430BD">
        <w:trPr>
          <w:trHeight w:val="585"/>
        </w:trPr>
        <w:tc>
          <w:tcPr>
            <w:tcW w:w="1980" w:type="dxa"/>
            <w:tcBorders>
              <w:top w:val="single" w:sz="12" w:space="0" w:color="auto"/>
              <w:left w:val="single" w:sz="12" w:space="0" w:color="auto"/>
              <w:bottom w:val="single" w:sz="12" w:space="0" w:color="auto"/>
              <w:right w:val="single" w:sz="2" w:space="0" w:color="auto"/>
            </w:tcBorders>
            <w:shd w:val="clear" w:color="auto" w:fill="CCCCCC"/>
            <w:vAlign w:val="center"/>
            <w:hideMark/>
          </w:tcPr>
          <w:p w14:paraId="06643491" w14:textId="77777777" w:rsidR="006918A0" w:rsidRPr="00130899" w:rsidRDefault="006918A0" w:rsidP="006918A0">
            <w:pPr>
              <w:spacing w:before="60" w:after="60" w:line="200" w:lineRule="exact"/>
              <w:jc w:val="center"/>
              <w:rPr>
                <w:b/>
                <w:noProof/>
                <w:sz w:val="16"/>
              </w:rPr>
            </w:pPr>
            <w:r w:rsidRPr="00130899">
              <w:rPr>
                <w:b/>
                <w:noProof/>
                <w:sz w:val="16"/>
              </w:rPr>
              <w:t>ФУНКЦИЯ 7</w:t>
            </w:r>
            <w:r w:rsidRPr="00130899">
              <w:rPr>
                <w:noProof/>
              </w:rPr>
              <w:t xml:space="preserve"> </w:t>
            </w:r>
            <w:r w:rsidRPr="00130899">
              <w:rPr>
                <w:noProof/>
              </w:rPr>
              <w:cr/>
            </w:r>
            <w:r w:rsidRPr="00130899">
              <w:rPr>
                <w:noProof/>
              </w:rPr>
              <w:br/>
            </w:r>
            <w:r w:rsidRPr="00130899">
              <w:rPr>
                <w:b/>
                <w:noProof/>
                <w:sz w:val="16"/>
              </w:rPr>
              <w:t>от многогодишната финансова рамка</w:t>
            </w:r>
          </w:p>
        </w:tc>
        <w:tc>
          <w:tcPr>
            <w:tcW w:w="1081" w:type="dxa"/>
            <w:tcBorders>
              <w:top w:val="single" w:sz="12" w:space="0" w:color="auto"/>
              <w:left w:val="single" w:sz="2" w:space="0" w:color="auto"/>
              <w:bottom w:val="single" w:sz="12" w:space="0" w:color="auto"/>
              <w:right w:val="single" w:sz="2" w:space="0" w:color="auto"/>
            </w:tcBorders>
            <w:vAlign w:val="center"/>
          </w:tcPr>
          <w:p w14:paraId="4D415F90" w14:textId="77777777" w:rsidR="006918A0" w:rsidRPr="00130899" w:rsidRDefault="006918A0" w:rsidP="006918A0">
            <w:pPr>
              <w:spacing w:before="20" w:after="20" w:line="276" w:lineRule="auto"/>
              <w:jc w:val="right"/>
              <w:rPr>
                <w:b/>
                <w:noProof/>
                <w:sz w:val="20"/>
              </w:rPr>
            </w:pPr>
          </w:p>
        </w:tc>
        <w:tc>
          <w:tcPr>
            <w:tcW w:w="1081" w:type="dxa"/>
            <w:tcBorders>
              <w:top w:val="single" w:sz="12" w:space="0" w:color="auto"/>
              <w:left w:val="single" w:sz="2" w:space="0" w:color="auto"/>
              <w:bottom w:val="single" w:sz="12" w:space="0" w:color="auto"/>
              <w:right w:val="single" w:sz="2" w:space="0" w:color="auto"/>
            </w:tcBorders>
            <w:vAlign w:val="center"/>
          </w:tcPr>
          <w:p w14:paraId="5FFBFCB0" w14:textId="77777777" w:rsidR="006918A0" w:rsidRPr="00130899" w:rsidRDefault="006918A0" w:rsidP="006918A0">
            <w:pPr>
              <w:spacing w:before="20" w:after="20" w:line="276" w:lineRule="auto"/>
              <w:jc w:val="right"/>
              <w:rPr>
                <w:b/>
                <w:noProof/>
                <w:sz w:val="20"/>
              </w:rPr>
            </w:pPr>
          </w:p>
        </w:tc>
        <w:tc>
          <w:tcPr>
            <w:tcW w:w="1081" w:type="dxa"/>
            <w:tcBorders>
              <w:top w:val="single" w:sz="12" w:space="0" w:color="auto"/>
              <w:left w:val="single" w:sz="2" w:space="0" w:color="auto"/>
              <w:bottom w:val="single" w:sz="12" w:space="0" w:color="auto"/>
              <w:right w:val="single" w:sz="2" w:space="0" w:color="auto"/>
            </w:tcBorders>
            <w:vAlign w:val="center"/>
          </w:tcPr>
          <w:p w14:paraId="6119E2EC" w14:textId="77777777" w:rsidR="006918A0" w:rsidRPr="00130899" w:rsidRDefault="006918A0" w:rsidP="006918A0">
            <w:pPr>
              <w:spacing w:before="20" w:after="20" w:line="276" w:lineRule="auto"/>
              <w:jc w:val="right"/>
              <w:rPr>
                <w:b/>
                <w:noProof/>
                <w:sz w:val="20"/>
              </w:rPr>
            </w:pPr>
          </w:p>
        </w:tc>
        <w:tc>
          <w:tcPr>
            <w:tcW w:w="1081" w:type="dxa"/>
            <w:tcBorders>
              <w:top w:val="single" w:sz="12" w:space="0" w:color="auto"/>
              <w:left w:val="single" w:sz="2" w:space="0" w:color="auto"/>
              <w:bottom w:val="single" w:sz="12" w:space="0" w:color="auto"/>
              <w:right w:val="single" w:sz="2" w:space="0" w:color="auto"/>
            </w:tcBorders>
            <w:vAlign w:val="center"/>
          </w:tcPr>
          <w:p w14:paraId="392362A8" w14:textId="77777777" w:rsidR="006918A0" w:rsidRPr="00130899" w:rsidRDefault="006918A0" w:rsidP="006918A0">
            <w:pPr>
              <w:spacing w:before="20" w:after="20" w:line="276" w:lineRule="auto"/>
              <w:jc w:val="right"/>
              <w:rPr>
                <w:b/>
                <w:noProof/>
                <w:sz w:val="20"/>
              </w:rPr>
            </w:pPr>
          </w:p>
        </w:tc>
        <w:tc>
          <w:tcPr>
            <w:tcW w:w="1081" w:type="dxa"/>
            <w:tcBorders>
              <w:top w:val="single" w:sz="12" w:space="0" w:color="auto"/>
              <w:left w:val="single" w:sz="2" w:space="0" w:color="auto"/>
              <w:bottom w:val="single" w:sz="12" w:space="0" w:color="auto"/>
              <w:right w:val="single" w:sz="2" w:space="0" w:color="auto"/>
            </w:tcBorders>
            <w:vAlign w:val="center"/>
          </w:tcPr>
          <w:p w14:paraId="1D8CA897" w14:textId="77777777" w:rsidR="006918A0" w:rsidRPr="00130899" w:rsidRDefault="006918A0" w:rsidP="006918A0">
            <w:pPr>
              <w:spacing w:before="60" w:after="60" w:line="200" w:lineRule="exact"/>
              <w:jc w:val="right"/>
              <w:rPr>
                <w:b/>
                <w:noProof/>
                <w:sz w:val="20"/>
              </w:rPr>
            </w:pPr>
          </w:p>
        </w:tc>
        <w:tc>
          <w:tcPr>
            <w:tcW w:w="1705" w:type="dxa"/>
            <w:tcBorders>
              <w:top w:val="single" w:sz="12" w:space="0" w:color="auto"/>
              <w:left w:val="single" w:sz="2" w:space="0" w:color="auto"/>
              <w:bottom w:val="single" w:sz="12" w:space="0" w:color="auto"/>
              <w:right w:val="single" w:sz="2" w:space="0" w:color="auto"/>
            </w:tcBorders>
            <w:vAlign w:val="center"/>
          </w:tcPr>
          <w:p w14:paraId="382C6F5D" w14:textId="77777777" w:rsidR="006918A0" w:rsidRPr="00130899" w:rsidRDefault="006918A0" w:rsidP="006918A0">
            <w:pPr>
              <w:spacing w:before="60" w:after="60" w:line="200" w:lineRule="exact"/>
              <w:jc w:val="right"/>
              <w:rPr>
                <w:b/>
                <w:noProof/>
                <w:sz w:val="20"/>
              </w:rPr>
            </w:pPr>
          </w:p>
        </w:tc>
      </w:tr>
      <w:tr w:rsidR="006918A0" w:rsidRPr="00130899" w14:paraId="31B69A4E" w14:textId="77777777" w:rsidTr="000430BD">
        <w:trPr>
          <w:trHeight w:val="585"/>
        </w:trPr>
        <w:tc>
          <w:tcPr>
            <w:tcW w:w="1980" w:type="dxa"/>
            <w:tcBorders>
              <w:top w:val="single" w:sz="12" w:space="0" w:color="auto"/>
              <w:left w:val="single" w:sz="12" w:space="0" w:color="auto"/>
              <w:bottom w:val="single" w:sz="12" w:space="0" w:color="auto"/>
              <w:right w:val="single" w:sz="2" w:space="0" w:color="auto"/>
            </w:tcBorders>
            <w:vAlign w:val="center"/>
            <w:hideMark/>
          </w:tcPr>
          <w:p w14:paraId="271BDCD8" w14:textId="77777777" w:rsidR="006918A0" w:rsidRPr="00130899" w:rsidRDefault="006918A0" w:rsidP="006918A0">
            <w:pPr>
              <w:spacing w:before="60" w:after="60" w:line="200" w:lineRule="exact"/>
              <w:jc w:val="center"/>
              <w:rPr>
                <w:b/>
                <w:noProof/>
                <w:sz w:val="16"/>
              </w:rPr>
            </w:pPr>
            <w:r w:rsidRPr="00130899">
              <w:rPr>
                <w:b/>
                <w:noProof/>
                <w:sz w:val="16"/>
              </w:rPr>
              <w:t xml:space="preserve">Човешки ресурси </w:t>
            </w:r>
          </w:p>
        </w:tc>
        <w:tc>
          <w:tcPr>
            <w:tcW w:w="1081" w:type="dxa"/>
            <w:tcBorders>
              <w:top w:val="single" w:sz="12" w:space="0" w:color="auto"/>
              <w:left w:val="single" w:sz="2" w:space="0" w:color="auto"/>
              <w:bottom w:val="single" w:sz="12" w:space="0" w:color="auto"/>
              <w:right w:val="single" w:sz="2" w:space="0" w:color="auto"/>
            </w:tcBorders>
            <w:vAlign w:val="center"/>
            <w:hideMark/>
          </w:tcPr>
          <w:p w14:paraId="72F404C3" w14:textId="77777777" w:rsidR="006918A0" w:rsidRPr="00130899" w:rsidRDefault="006918A0" w:rsidP="006918A0">
            <w:pPr>
              <w:spacing w:before="20" w:after="20" w:line="276" w:lineRule="auto"/>
              <w:jc w:val="right"/>
              <w:rPr>
                <w:b/>
                <w:noProof/>
                <w:sz w:val="20"/>
              </w:rPr>
            </w:pPr>
            <w:r w:rsidRPr="00130899">
              <w:rPr>
                <w:b/>
                <w:noProof/>
                <w:sz w:val="20"/>
              </w:rPr>
              <w:t>0,118</w:t>
            </w:r>
          </w:p>
        </w:tc>
        <w:tc>
          <w:tcPr>
            <w:tcW w:w="1081" w:type="dxa"/>
            <w:tcBorders>
              <w:top w:val="single" w:sz="12" w:space="0" w:color="auto"/>
              <w:left w:val="single" w:sz="2" w:space="0" w:color="auto"/>
              <w:bottom w:val="single" w:sz="12" w:space="0" w:color="auto"/>
              <w:right w:val="single" w:sz="2" w:space="0" w:color="auto"/>
            </w:tcBorders>
            <w:vAlign w:val="center"/>
            <w:hideMark/>
          </w:tcPr>
          <w:p w14:paraId="166792D2" w14:textId="77777777" w:rsidR="006918A0" w:rsidRPr="00130899" w:rsidRDefault="006918A0" w:rsidP="006918A0">
            <w:pPr>
              <w:spacing w:before="20" w:after="20" w:line="276" w:lineRule="auto"/>
              <w:jc w:val="right"/>
              <w:rPr>
                <w:b/>
                <w:noProof/>
                <w:sz w:val="20"/>
              </w:rPr>
            </w:pPr>
            <w:r w:rsidRPr="00130899">
              <w:rPr>
                <w:b/>
                <w:noProof/>
                <w:sz w:val="20"/>
              </w:rPr>
              <w:t>0,157</w:t>
            </w:r>
          </w:p>
        </w:tc>
        <w:tc>
          <w:tcPr>
            <w:tcW w:w="1081" w:type="dxa"/>
            <w:tcBorders>
              <w:top w:val="single" w:sz="12" w:space="0" w:color="auto"/>
              <w:left w:val="single" w:sz="2" w:space="0" w:color="auto"/>
              <w:bottom w:val="single" w:sz="12" w:space="0" w:color="auto"/>
              <w:right w:val="single" w:sz="2" w:space="0" w:color="auto"/>
            </w:tcBorders>
            <w:vAlign w:val="center"/>
            <w:hideMark/>
          </w:tcPr>
          <w:p w14:paraId="1E783E02" w14:textId="77777777" w:rsidR="006918A0" w:rsidRPr="00130899" w:rsidRDefault="006918A0" w:rsidP="006918A0">
            <w:pPr>
              <w:spacing w:before="20" w:after="20" w:line="276" w:lineRule="auto"/>
              <w:jc w:val="right"/>
              <w:rPr>
                <w:b/>
                <w:noProof/>
                <w:sz w:val="20"/>
              </w:rPr>
            </w:pPr>
            <w:r w:rsidRPr="00130899">
              <w:rPr>
                <w:b/>
                <w:noProof/>
                <w:sz w:val="20"/>
              </w:rPr>
              <w:t>0,157</w:t>
            </w:r>
          </w:p>
        </w:tc>
        <w:tc>
          <w:tcPr>
            <w:tcW w:w="1081" w:type="dxa"/>
            <w:tcBorders>
              <w:top w:val="single" w:sz="12" w:space="0" w:color="auto"/>
              <w:left w:val="single" w:sz="2" w:space="0" w:color="auto"/>
              <w:bottom w:val="single" w:sz="12" w:space="0" w:color="auto"/>
              <w:right w:val="single" w:sz="2" w:space="0" w:color="auto"/>
            </w:tcBorders>
            <w:vAlign w:val="center"/>
            <w:hideMark/>
          </w:tcPr>
          <w:p w14:paraId="05EFA3A7" w14:textId="77777777" w:rsidR="006918A0" w:rsidRPr="00130899" w:rsidRDefault="006918A0" w:rsidP="006918A0">
            <w:pPr>
              <w:spacing w:before="20" w:after="20" w:line="276" w:lineRule="auto"/>
              <w:jc w:val="right"/>
              <w:rPr>
                <w:b/>
                <w:noProof/>
                <w:sz w:val="20"/>
              </w:rPr>
            </w:pPr>
            <w:r w:rsidRPr="00130899">
              <w:rPr>
                <w:b/>
                <w:noProof/>
                <w:sz w:val="20"/>
              </w:rPr>
              <w:t>0,063</w:t>
            </w:r>
          </w:p>
        </w:tc>
        <w:tc>
          <w:tcPr>
            <w:tcW w:w="1081" w:type="dxa"/>
            <w:tcBorders>
              <w:top w:val="single" w:sz="12" w:space="0" w:color="auto"/>
              <w:left w:val="single" w:sz="2" w:space="0" w:color="auto"/>
              <w:bottom w:val="single" w:sz="12" w:space="0" w:color="auto"/>
              <w:right w:val="single" w:sz="2" w:space="0" w:color="auto"/>
            </w:tcBorders>
            <w:vAlign w:val="center"/>
            <w:hideMark/>
          </w:tcPr>
          <w:p w14:paraId="5565F7BD" w14:textId="77777777" w:rsidR="006918A0" w:rsidRPr="00130899" w:rsidRDefault="006918A0" w:rsidP="006918A0">
            <w:pPr>
              <w:spacing w:before="60" w:after="60" w:line="200" w:lineRule="exact"/>
              <w:jc w:val="right"/>
              <w:rPr>
                <w:b/>
                <w:noProof/>
                <w:sz w:val="20"/>
              </w:rPr>
            </w:pPr>
            <w:r w:rsidRPr="00130899">
              <w:rPr>
                <w:b/>
                <w:noProof/>
                <w:sz w:val="20"/>
              </w:rPr>
              <w:t>0,016</w:t>
            </w:r>
          </w:p>
        </w:tc>
        <w:tc>
          <w:tcPr>
            <w:tcW w:w="1705" w:type="dxa"/>
            <w:tcBorders>
              <w:top w:val="single" w:sz="12" w:space="0" w:color="auto"/>
              <w:left w:val="single" w:sz="2" w:space="0" w:color="auto"/>
              <w:bottom w:val="single" w:sz="12" w:space="0" w:color="auto"/>
              <w:right w:val="single" w:sz="2" w:space="0" w:color="auto"/>
            </w:tcBorders>
            <w:vAlign w:val="center"/>
            <w:hideMark/>
          </w:tcPr>
          <w:p w14:paraId="43DDDEBC" w14:textId="77777777" w:rsidR="006918A0" w:rsidRPr="00130899" w:rsidRDefault="006918A0" w:rsidP="006918A0">
            <w:pPr>
              <w:spacing w:before="60" w:after="60" w:line="200" w:lineRule="exact"/>
              <w:jc w:val="right"/>
              <w:rPr>
                <w:b/>
                <w:noProof/>
                <w:sz w:val="20"/>
              </w:rPr>
            </w:pPr>
            <w:r w:rsidRPr="00130899">
              <w:rPr>
                <w:b/>
                <w:noProof/>
                <w:sz w:val="20"/>
              </w:rPr>
              <w:t>0,511</w:t>
            </w:r>
          </w:p>
        </w:tc>
      </w:tr>
      <w:tr w:rsidR="006918A0" w:rsidRPr="00130899" w14:paraId="45443AC1" w14:textId="77777777" w:rsidTr="000430BD">
        <w:trPr>
          <w:trHeight w:val="585"/>
        </w:trPr>
        <w:tc>
          <w:tcPr>
            <w:tcW w:w="1980" w:type="dxa"/>
            <w:tcBorders>
              <w:top w:val="single" w:sz="12" w:space="0" w:color="auto"/>
              <w:left w:val="single" w:sz="12" w:space="0" w:color="auto"/>
              <w:bottom w:val="single" w:sz="12" w:space="0" w:color="auto"/>
              <w:right w:val="single" w:sz="2" w:space="0" w:color="auto"/>
            </w:tcBorders>
            <w:vAlign w:val="center"/>
            <w:hideMark/>
          </w:tcPr>
          <w:p w14:paraId="454A6B2B" w14:textId="77777777" w:rsidR="006918A0" w:rsidRPr="00130899" w:rsidRDefault="006918A0" w:rsidP="006918A0">
            <w:pPr>
              <w:spacing w:before="60" w:after="60" w:line="200" w:lineRule="exact"/>
              <w:jc w:val="center"/>
              <w:rPr>
                <w:b/>
                <w:noProof/>
                <w:sz w:val="16"/>
              </w:rPr>
            </w:pPr>
            <w:r w:rsidRPr="00130899">
              <w:rPr>
                <w:b/>
                <w:noProof/>
                <w:sz w:val="16"/>
              </w:rPr>
              <w:t xml:space="preserve">Други административни разходи </w:t>
            </w:r>
          </w:p>
        </w:tc>
        <w:tc>
          <w:tcPr>
            <w:tcW w:w="1081" w:type="dxa"/>
            <w:tcBorders>
              <w:top w:val="single" w:sz="12" w:space="0" w:color="auto"/>
              <w:left w:val="single" w:sz="2" w:space="0" w:color="auto"/>
              <w:bottom w:val="single" w:sz="12" w:space="0" w:color="auto"/>
              <w:right w:val="single" w:sz="2" w:space="0" w:color="auto"/>
            </w:tcBorders>
            <w:vAlign w:val="center"/>
            <w:hideMark/>
          </w:tcPr>
          <w:p w14:paraId="52FE1960" w14:textId="77777777" w:rsidR="006918A0" w:rsidRPr="00130899" w:rsidRDefault="006918A0" w:rsidP="006918A0">
            <w:pPr>
              <w:spacing w:before="20" w:after="20" w:line="276" w:lineRule="auto"/>
              <w:jc w:val="right"/>
              <w:rPr>
                <w:b/>
                <w:noProof/>
                <w:sz w:val="20"/>
              </w:rPr>
            </w:pPr>
            <w:r w:rsidRPr="00130899">
              <w:rPr>
                <w:b/>
                <w:noProof/>
                <w:sz w:val="20"/>
              </w:rPr>
              <w:t>0,004</w:t>
            </w:r>
          </w:p>
        </w:tc>
        <w:tc>
          <w:tcPr>
            <w:tcW w:w="1081" w:type="dxa"/>
            <w:tcBorders>
              <w:top w:val="single" w:sz="12" w:space="0" w:color="auto"/>
              <w:left w:val="single" w:sz="2" w:space="0" w:color="auto"/>
              <w:bottom w:val="single" w:sz="12" w:space="0" w:color="auto"/>
              <w:right w:val="single" w:sz="2" w:space="0" w:color="auto"/>
            </w:tcBorders>
            <w:vAlign w:val="center"/>
            <w:hideMark/>
          </w:tcPr>
          <w:p w14:paraId="79206006" w14:textId="77777777" w:rsidR="006918A0" w:rsidRPr="00130899" w:rsidRDefault="006918A0" w:rsidP="006918A0">
            <w:pPr>
              <w:spacing w:before="20" w:after="20" w:line="276" w:lineRule="auto"/>
              <w:jc w:val="right"/>
              <w:rPr>
                <w:b/>
                <w:noProof/>
                <w:sz w:val="20"/>
              </w:rPr>
            </w:pPr>
            <w:r w:rsidRPr="00130899">
              <w:rPr>
                <w:b/>
                <w:noProof/>
                <w:sz w:val="20"/>
              </w:rPr>
              <w:t>0,004</w:t>
            </w:r>
          </w:p>
        </w:tc>
        <w:tc>
          <w:tcPr>
            <w:tcW w:w="1081" w:type="dxa"/>
            <w:tcBorders>
              <w:top w:val="single" w:sz="12" w:space="0" w:color="auto"/>
              <w:left w:val="single" w:sz="2" w:space="0" w:color="auto"/>
              <w:bottom w:val="single" w:sz="12" w:space="0" w:color="auto"/>
              <w:right w:val="single" w:sz="2" w:space="0" w:color="auto"/>
            </w:tcBorders>
            <w:vAlign w:val="center"/>
            <w:hideMark/>
          </w:tcPr>
          <w:p w14:paraId="6A10B273" w14:textId="77777777" w:rsidR="006918A0" w:rsidRPr="00130899" w:rsidRDefault="006918A0" w:rsidP="006918A0">
            <w:pPr>
              <w:spacing w:before="20" w:after="20" w:line="276" w:lineRule="auto"/>
              <w:jc w:val="right"/>
              <w:rPr>
                <w:b/>
                <w:noProof/>
                <w:sz w:val="20"/>
              </w:rPr>
            </w:pPr>
            <w:r w:rsidRPr="00130899">
              <w:rPr>
                <w:b/>
                <w:noProof/>
                <w:sz w:val="20"/>
              </w:rPr>
              <w:t>0,002</w:t>
            </w:r>
          </w:p>
        </w:tc>
        <w:tc>
          <w:tcPr>
            <w:tcW w:w="1081" w:type="dxa"/>
            <w:tcBorders>
              <w:top w:val="single" w:sz="12" w:space="0" w:color="auto"/>
              <w:left w:val="single" w:sz="2" w:space="0" w:color="auto"/>
              <w:bottom w:val="single" w:sz="12" w:space="0" w:color="auto"/>
              <w:right w:val="single" w:sz="2" w:space="0" w:color="auto"/>
            </w:tcBorders>
            <w:vAlign w:val="center"/>
            <w:hideMark/>
          </w:tcPr>
          <w:p w14:paraId="1D9AD1C0" w14:textId="77777777" w:rsidR="006918A0" w:rsidRPr="00130899" w:rsidRDefault="006918A0" w:rsidP="006918A0">
            <w:pPr>
              <w:spacing w:before="20" w:after="20" w:line="276" w:lineRule="auto"/>
              <w:jc w:val="right"/>
              <w:rPr>
                <w:b/>
                <w:noProof/>
                <w:sz w:val="20"/>
              </w:rPr>
            </w:pPr>
            <w:r w:rsidRPr="00130899">
              <w:rPr>
                <w:b/>
                <w:noProof/>
                <w:sz w:val="20"/>
              </w:rPr>
              <w:t>0,002</w:t>
            </w:r>
          </w:p>
        </w:tc>
        <w:tc>
          <w:tcPr>
            <w:tcW w:w="1081" w:type="dxa"/>
            <w:tcBorders>
              <w:top w:val="single" w:sz="12" w:space="0" w:color="auto"/>
              <w:left w:val="single" w:sz="2" w:space="0" w:color="auto"/>
              <w:bottom w:val="single" w:sz="12" w:space="0" w:color="auto"/>
              <w:right w:val="single" w:sz="2" w:space="0" w:color="auto"/>
            </w:tcBorders>
            <w:vAlign w:val="center"/>
            <w:hideMark/>
          </w:tcPr>
          <w:p w14:paraId="576D82C6" w14:textId="77777777" w:rsidR="006918A0" w:rsidRPr="00130899" w:rsidRDefault="006918A0" w:rsidP="006918A0">
            <w:pPr>
              <w:spacing w:before="60" w:after="60" w:line="200" w:lineRule="exact"/>
              <w:jc w:val="right"/>
              <w:rPr>
                <w:b/>
                <w:noProof/>
                <w:sz w:val="20"/>
              </w:rPr>
            </w:pPr>
            <w:r w:rsidRPr="00130899">
              <w:rPr>
                <w:b/>
                <w:noProof/>
                <w:sz w:val="20"/>
              </w:rPr>
              <w:t>0,001</w:t>
            </w:r>
          </w:p>
        </w:tc>
        <w:tc>
          <w:tcPr>
            <w:tcW w:w="1705" w:type="dxa"/>
            <w:tcBorders>
              <w:top w:val="single" w:sz="12" w:space="0" w:color="auto"/>
              <w:left w:val="single" w:sz="2" w:space="0" w:color="auto"/>
              <w:bottom w:val="single" w:sz="12" w:space="0" w:color="auto"/>
              <w:right w:val="single" w:sz="2" w:space="0" w:color="auto"/>
            </w:tcBorders>
            <w:vAlign w:val="center"/>
            <w:hideMark/>
          </w:tcPr>
          <w:p w14:paraId="1F3EBF79" w14:textId="77777777" w:rsidR="006918A0" w:rsidRPr="00130899" w:rsidRDefault="006918A0" w:rsidP="006918A0">
            <w:pPr>
              <w:spacing w:before="60" w:after="60" w:line="200" w:lineRule="exact"/>
              <w:jc w:val="right"/>
              <w:rPr>
                <w:b/>
                <w:noProof/>
                <w:sz w:val="20"/>
              </w:rPr>
            </w:pPr>
            <w:r w:rsidRPr="00130899">
              <w:rPr>
                <w:b/>
                <w:noProof/>
                <w:sz w:val="20"/>
              </w:rPr>
              <w:t>0,013</w:t>
            </w:r>
          </w:p>
        </w:tc>
      </w:tr>
      <w:tr w:rsidR="006918A0" w:rsidRPr="00130899" w14:paraId="1066BDF8" w14:textId="77777777" w:rsidTr="000430BD">
        <w:trPr>
          <w:trHeight w:val="585"/>
        </w:trPr>
        <w:tc>
          <w:tcPr>
            <w:tcW w:w="1980" w:type="dxa"/>
            <w:tcBorders>
              <w:top w:val="single" w:sz="12" w:space="0" w:color="auto"/>
              <w:left w:val="single" w:sz="12" w:space="0" w:color="auto"/>
              <w:bottom w:val="single" w:sz="12" w:space="0" w:color="auto"/>
              <w:right w:val="single" w:sz="2" w:space="0" w:color="auto"/>
            </w:tcBorders>
            <w:shd w:val="clear" w:color="auto" w:fill="CCCCCC"/>
            <w:vAlign w:val="center"/>
            <w:hideMark/>
          </w:tcPr>
          <w:p w14:paraId="658EE7FC" w14:textId="77777777" w:rsidR="006918A0" w:rsidRPr="00130899" w:rsidRDefault="006918A0" w:rsidP="006918A0">
            <w:pPr>
              <w:spacing w:before="60" w:after="60" w:line="200" w:lineRule="exact"/>
              <w:jc w:val="center"/>
              <w:rPr>
                <w:b/>
                <w:noProof/>
                <w:sz w:val="16"/>
              </w:rPr>
            </w:pPr>
            <w:r w:rsidRPr="00130899">
              <w:rPr>
                <w:b/>
                <w:noProof/>
                <w:sz w:val="16"/>
              </w:rPr>
              <w:t>Междинен сбор за ФУНКЦИЯ 7</w:t>
            </w:r>
            <w:r w:rsidRPr="00130899">
              <w:rPr>
                <w:noProof/>
              </w:rPr>
              <w:t xml:space="preserve"> </w:t>
            </w:r>
            <w:r w:rsidRPr="00130899">
              <w:rPr>
                <w:noProof/>
              </w:rPr>
              <w:cr/>
            </w:r>
            <w:r w:rsidRPr="00130899">
              <w:rPr>
                <w:noProof/>
              </w:rPr>
              <w:br/>
            </w:r>
            <w:r w:rsidRPr="00130899">
              <w:rPr>
                <w:b/>
                <w:noProof/>
                <w:sz w:val="16"/>
              </w:rPr>
              <w:t xml:space="preserve">от многогодишната финансова рамка </w:t>
            </w:r>
          </w:p>
        </w:tc>
        <w:tc>
          <w:tcPr>
            <w:tcW w:w="1081" w:type="dxa"/>
            <w:tcBorders>
              <w:top w:val="single" w:sz="12" w:space="0" w:color="auto"/>
              <w:left w:val="single" w:sz="2" w:space="0" w:color="auto"/>
              <w:bottom w:val="single" w:sz="12" w:space="0" w:color="auto"/>
              <w:right w:val="single" w:sz="2" w:space="0" w:color="auto"/>
            </w:tcBorders>
            <w:vAlign w:val="center"/>
          </w:tcPr>
          <w:p w14:paraId="3666A1A3" w14:textId="77777777" w:rsidR="006918A0" w:rsidRPr="00130899" w:rsidRDefault="006918A0" w:rsidP="006918A0">
            <w:pPr>
              <w:spacing w:before="20" w:after="20" w:line="276" w:lineRule="auto"/>
              <w:jc w:val="right"/>
              <w:rPr>
                <w:b/>
                <w:noProof/>
                <w:sz w:val="20"/>
              </w:rPr>
            </w:pPr>
          </w:p>
        </w:tc>
        <w:tc>
          <w:tcPr>
            <w:tcW w:w="1081" w:type="dxa"/>
            <w:tcBorders>
              <w:top w:val="single" w:sz="12" w:space="0" w:color="auto"/>
              <w:left w:val="single" w:sz="2" w:space="0" w:color="auto"/>
              <w:bottom w:val="single" w:sz="12" w:space="0" w:color="auto"/>
              <w:right w:val="single" w:sz="2" w:space="0" w:color="auto"/>
            </w:tcBorders>
            <w:vAlign w:val="center"/>
          </w:tcPr>
          <w:p w14:paraId="1A53C40E" w14:textId="77777777" w:rsidR="006918A0" w:rsidRPr="00130899" w:rsidRDefault="006918A0" w:rsidP="006918A0">
            <w:pPr>
              <w:spacing w:before="20" w:after="20" w:line="276" w:lineRule="auto"/>
              <w:jc w:val="right"/>
              <w:rPr>
                <w:b/>
                <w:noProof/>
                <w:sz w:val="20"/>
              </w:rPr>
            </w:pPr>
          </w:p>
        </w:tc>
        <w:tc>
          <w:tcPr>
            <w:tcW w:w="1081" w:type="dxa"/>
            <w:tcBorders>
              <w:top w:val="single" w:sz="12" w:space="0" w:color="auto"/>
              <w:left w:val="single" w:sz="2" w:space="0" w:color="auto"/>
              <w:bottom w:val="single" w:sz="12" w:space="0" w:color="auto"/>
              <w:right w:val="single" w:sz="2" w:space="0" w:color="auto"/>
            </w:tcBorders>
            <w:vAlign w:val="center"/>
          </w:tcPr>
          <w:p w14:paraId="1A951EC3" w14:textId="77777777" w:rsidR="006918A0" w:rsidRPr="00130899" w:rsidRDefault="006918A0" w:rsidP="006918A0">
            <w:pPr>
              <w:spacing w:before="20" w:after="20" w:line="276" w:lineRule="auto"/>
              <w:jc w:val="right"/>
              <w:rPr>
                <w:b/>
                <w:noProof/>
                <w:sz w:val="20"/>
              </w:rPr>
            </w:pPr>
          </w:p>
        </w:tc>
        <w:tc>
          <w:tcPr>
            <w:tcW w:w="1081" w:type="dxa"/>
            <w:tcBorders>
              <w:top w:val="single" w:sz="12" w:space="0" w:color="auto"/>
              <w:left w:val="single" w:sz="2" w:space="0" w:color="auto"/>
              <w:bottom w:val="single" w:sz="12" w:space="0" w:color="auto"/>
              <w:right w:val="single" w:sz="2" w:space="0" w:color="auto"/>
            </w:tcBorders>
            <w:vAlign w:val="center"/>
          </w:tcPr>
          <w:p w14:paraId="65C9D1DD" w14:textId="77777777" w:rsidR="006918A0" w:rsidRPr="00130899" w:rsidRDefault="006918A0" w:rsidP="006918A0">
            <w:pPr>
              <w:spacing w:before="20" w:after="20" w:line="276" w:lineRule="auto"/>
              <w:jc w:val="right"/>
              <w:rPr>
                <w:b/>
                <w:noProof/>
                <w:sz w:val="20"/>
              </w:rPr>
            </w:pPr>
          </w:p>
        </w:tc>
        <w:tc>
          <w:tcPr>
            <w:tcW w:w="1081" w:type="dxa"/>
            <w:tcBorders>
              <w:top w:val="single" w:sz="12" w:space="0" w:color="auto"/>
              <w:left w:val="single" w:sz="2" w:space="0" w:color="auto"/>
              <w:bottom w:val="single" w:sz="12" w:space="0" w:color="auto"/>
              <w:right w:val="single" w:sz="2" w:space="0" w:color="auto"/>
            </w:tcBorders>
            <w:vAlign w:val="center"/>
          </w:tcPr>
          <w:p w14:paraId="0A84FFE1" w14:textId="77777777" w:rsidR="006918A0" w:rsidRPr="00130899" w:rsidRDefault="006918A0" w:rsidP="006918A0">
            <w:pPr>
              <w:spacing w:before="60" w:after="60" w:line="200" w:lineRule="exact"/>
              <w:jc w:val="right"/>
              <w:rPr>
                <w:b/>
                <w:noProof/>
                <w:sz w:val="20"/>
              </w:rPr>
            </w:pPr>
          </w:p>
        </w:tc>
        <w:tc>
          <w:tcPr>
            <w:tcW w:w="1705" w:type="dxa"/>
            <w:tcBorders>
              <w:top w:val="single" w:sz="12" w:space="0" w:color="auto"/>
              <w:left w:val="single" w:sz="2" w:space="0" w:color="auto"/>
              <w:bottom w:val="single" w:sz="12" w:space="0" w:color="auto"/>
              <w:right w:val="single" w:sz="2" w:space="0" w:color="auto"/>
            </w:tcBorders>
            <w:vAlign w:val="center"/>
          </w:tcPr>
          <w:p w14:paraId="2B590021" w14:textId="77777777" w:rsidR="006918A0" w:rsidRPr="00130899" w:rsidRDefault="006918A0" w:rsidP="006918A0">
            <w:pPr>
              <w:spacing w:before="60" w:after="60" w:line="200" w:lineRule="exact"/>
              <w:jc w:val="right"/>
              <w:rPr>
                <w:b/>
                <w:noProof/>
                <w:sz w:val="20"/>
              </w:rPr>
            </w:pPr>
          </w:p>
        </w:tc>
      </w:tr>
      <w:tr w:rsidR="006918A0" w:rsidRPr="00130899" w14:paraId="683DC427" w14:textId="77777777" w:rsidTr="000430BD">
        <w:trPr>
          <w:trHeight w:val="585"/>
        </w:trPr>
        <w:tc>
          <w:tcPr>
            <w:tcW w:w="1980" w:type="dxa"/>
            <w:tcBorders>
              <w:top w:val="single" w:sz="12" w:space="0" w:color="auto"/>
              <w:left w:val="single" w:sz="12" w:space="0" w:color="auto"/>
              <w:bottom w:val="single" w:sz="12" w:space="0" w:color="auto"/>
              <w:right w:val="single" w:sz="2" w:space="0" w:color="auto"/>
            </w:tcBorders>
            <w:vAlign w:val="center"/>
            <w:hideMark/>
          </w:tcPr>
          <w:p w14:paraId="50928D9D" w14:textId="77777777" w:rsidR="006918A0" w:rsidRPr="00130899" w:rsidRDefault="006918A0" w:rsidP="006918A0">
            <w:pPr>
              <w:spacing w:before="60" w:after="60" w:line="200" w:lineRule="exact"/>
              <w:jc w:val="center"/>
              <w:rPr>
                <w:noProof/>
                <w:sz w:val="16"/>
              </w:rPr>
            </w:pPr>
            <w:r w:rsidRPr="00130899">
              <w:rPr>
                <w:b/>
                <w:noProof/>
                <w:sz w:val="16"/>
              </w:rPr>
              <w:t>ОБЩО</w:t>
            </w:r>
          </w:p>
        </w:tc>
        <w:tc>
          <w:tcPr>
            <w:tcW w:w="1081" w:type="dxa"/>
            <w:tcBorders>
              <w:top w:val="single" w:sz="12" w:space="0" w:color="auto"/>
              <w:left w:val="single" w:sz="2" w:space="0" w:color="auto"/>
              <w:bottom w:val="single" w:sz="12" w:space="0" w:color="auto"/>
              <w:right w:val="single" w:sz="2" w:space="0" w:color="auto"/>
            </w:tcBorders>
            <w:vAlign w:val="center"/>
            <w:hideMark/>
          </w:tcPr>
          <w:p w14:paraId="214F948E" w14:textId="77777777" w:rsidR="006918A0" w:rsidRPr="00130899" w:rsidRDefault="006918A0" w:rsidP="006918A0">
            <w:pPr>
              <w:spacing w:before="20" w:after="20" w:line="276" w:lineRule="auto"/>
              <w:jc w:val="right"/>
              <w:rPr>
                <w:noProof/>
                <w:sz w:val="20"/>
              </w:rPr>
            </w:pPr>
            <w:r w:rsidRPr="00130899">
              <w:rPr>
                <w:b/>
                <w:noProof/>
                <w:sz w:val="20"/>
              </w:rPr>
              <w:t>0,122</w:t>
            </w:r>
          </w:p>
        </w:tc>
        <w:tc>
          <w:tcPr>
            <w:tcW w:w="1081" w:type="dxa"/>
            <w:tcBorders>
              <w:top w:val="single" w:sz="12" w:space="0" w:color="auto"/>
              <w:left w:val="single" w:sz="2" w:space="0" w:color="auto"/>
              <w:bottom w:val="single" w:sz="12" w:space="0" w:color="auto"/>
              <w:right w:val="single" w:sz="2" w:space="0" w:color="auto"/>
            </w:tcBorders>
            <w:vAlign w:val="center"/>
            <w:hideMark/>
          </w:tcPr>
          <w:p w14:paraId="0502E13C" w14:textId="77777777" w:rsidR="006918A0" w:rsidRPr="00130899" w:rsidRDefault="006918A0" w:rsidP="006918A0">
            <w:pPr>
              <w:spacing w:before="20" w:after="20" w:line="276" w:lineRule="auto"/>
              <w:jc w:val="right"/>
              <w:rPr>
                <w:noProof/>
                <w:sz w:val="20"/>
              </w:rPr>
            </w:pPr>
            <w:r w:rsidRPr="00130899">
              <w:rPr>
                <w:b/>
                <w:noProof/>
                <w:sz w:val="20"/>
              </w:rPr>
              <w:t>0,161</w:t>
            </w:r>
          </w:p>
        </w:tc>
        <w:tc>
          <w:tcPr>
            <w:tcW w:w="1081" w:type="dxa"/>
            <w:tcBorders>
              <w:top w:val="single" w:sz="12" w:space="0" w:color="auto"/>
              <w:left w:val="single" w:sz="2" w:space="0" w:color="auto"/>
              <w:bottom w:val="single" w:sz="12" w:space="0" w:color="auto"/>
              <w:right w:val="single" w:sz="2" w:space="0" w:color="auto"/>
            </w:tcBorders>
            <w:vAlign w:val="center"/>
            <w:hideMark/>
          </w:tcPr>
          <w:p w14:paraId="5A875F83" w14:textId="77777777" w:rsidR="006918A0" w:rsidRPr="00130899" w:rsidRDefault="006918A0" w:rsidP="006918A0">
            <w:pPr>
              <w:spacing w:before="20" w:after="20" w:line="276" w:lineRule="auto"/>
              <w:jc w:val="right"/>
              <w:rPr>
                <w:noProof/>
                <w:sz w:val="20"/>
              </w:rPr>
            </w:pPr>
            <w:r w:rsidRPr="00130899">
              <w:rPr>
                <w:b/>
                <w:noProof/>
                <w:sz w:val="20"/>
              </w:rPr>
              <w:t>0,159</w:t>
            </w:r>
          </w:p>
        </w:tc>
        <w:tc>
          <w:tcPr>
            <w:tcW w:w="1081" w:type="dxa"/>
            <w:tcBorders>
              <w:top w:val="single" w:sz="12" w:space="0" w:color="auto"/>
              <w:left w:val="single" w:sz="2" w:space="0" w:color="auto"/>
              <w:bottom w:val="single" w:sz="12" w:space="0" w:color="auto"/>
              <w:right w:val="single" w:sz="2" w:space="0" w:color="auto"/>
            </w:tcBorders>
            <w:vAlign w:val="center"/>
            <w:hideMark/>
          </w:tcPr>
          <w:p w14:paraId="1667FE95" w14:textId="77777777" w:rsidR="006918A0" w:rsidRPr="00130899" w:rsidRDefault="006918A0" w:rsidP="006918A0">
            <w:pPr>
              <w:spacing w:before="20" w:after="20" w:line="276" w:lineRule="auto"/>
              <w:jc w:val="right"/>
              <w:rPr>
                <w:noProof/>
                <w:sz w:val="20"/>
              </w:rPr>
            </w:pPr>
            <w:r w:rsidRPr="00130899">
              <w:rPr>
                <w:b/>
                <w:noProof/>
                <w:sz w:val="20"/>
              </w:rPr>
              <w:t>0,065</w:t>
            </w:r>
          </w:p>
        </w:tc>
        <w:tc>
          <w:tcPr>
            <w:tcW w:w="1081" w:type="dxa"/>
            <w:tcBorders>
              <w:top w:val="single" w:sz="12" w:space="0" w:color="auto"/>
              <w:left w:val="single" w:sz="2" w:space="0" w:color="auto"/>
              <w:bottom w:val="single" w:sz="12" w:space="0" w:color="auto"/>
              <w:right w:val="single" w:sz="2" w:space="0" w:color="auto"/>
            </w:tcBorders>
            <w:vAlign w:val="center"/>
            <w:hideMark/>
          </w:tcPr>
          <w:p w14:paraId="2E9E5360" w14:textId="77777777" w:rsidR="006918A0" w:rsidRPr="00130899" w:rsidRDefault="006918A0" w:rsidP="006918A0">
            <w:pPr>
              <w:spacing w:before="60" w:after="60" w:line="200" w:lineRule="exact"/>
              <w:jc w:val="right"/>
              <w:rPr>
                <w:noProof/>
                <w:sz w:val="16"/>
              </w:rPr>
            </w:pPr>
            <w:r w:rsidRPr="00130899">
              <w:rPr>
                <w:b/>
                <w:noProof/>
                <w:sz w:val="20"/>
              </w:rPr>
              <w:t>0,017</w:t>
            </w:r>
          </w:p>
        </w:tc>
        <w:tc>
          <w:tcPr>
            <w:tcW w:w="1705" w:type="dxa"/>
            <w:tcBorders>
              <w:top w:val="single" w:sz="12" w:space="0" w:color="auto"/>
              <w:left w:val="single" w:sz="2" w:space="0" w:color="auto"/>
              <w:bottom w:val="single" w:sz="12" w:space="0" w:color="auto"/>
              <w:right w:val="single" w:sz="2" w:space="0" w:color="auto"/>
            </w:tcBorders>
            <w:vAlign w:val="center"/>
            <w:hideMark/>
          </w:tcPr>
          <w:p w14:paraId="0AF15B07" w14:textId="77777777" w:rsidR="006918A0" w:rsidRPr="00130899" w:rsidRDefault="006918A0" w:rsidP="006918A0">
            <w:pPr>
              <w:spacing w:before="60" w:after="60" w:line="200" w:lineRule="exact"/>
              <w:jc w:val="right"/>
              <w:rPr>
                <w:b/>
                <w:noProof/>
                <w:sz w:val="18"/>
              </w:rPr>
            </w:pPr>
            <w:r w:rsidRPr="00130899">
              <w:rPr>
                <w:b/>
                <w:noProof/>
                <w:sz w:val="20"/>
              </w:rPr>
              <w:t>0,524</w:t>
            </w:r>
          </w:p>
        </w:tc>
      </w:tr>
    </w:tbl>
    <w:p w14:paraId="249AF73E" w14:textId="77777777" w:rsidR="006918A0" w:rsidRPr="00130899" w:rsidRDefault="006918A0" w:rsidP="006918A0">
      <w:pPr>
        <w:rPr>
          <w:noProof/>
          <w:sz w:val="18"/>
        </w:rPr>
      </w:pPr>
    </w:p>
    <w:p w14:paraId="680BCEA7" w14:textId="77777777" w:rsidR="006918A0" w:rsidRPr="00130899" w:rsidRDefault="006918A0" w:rsidP="006918A0">
      <w:pPr>
        <w:rPr>
          <w:noProof/>
          <w:sz w:val="18"/>
        </w:rPr>
      </w:pPr>
    </w:p>
    <w:tbl>
      <w:tblPr>
        <w:tblW w:w="951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1"/>
        <w:gridCol w:w="1080"/>
        <w:gridCol w:w="1080"/>
        <w:gridCol w:w="1080"/>
        <w:gridCol w:w="1080"/>
        <w:gridCol w:w="1080"/>
        <w:gridCol w:w="2129"/>
      </w:tblGrid>
      <w:tr w:rsidR="00555CA4" w:rsidRPr="00130899" w14:paraId="1FD17F12" w14:textId="77777777" w:rsidTr="000430BD">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CCCCCC"/>
            <w:vAlign w:val="center"/>
          </w:tcPr>
          <w:p w14:paraId="2803C14C" w14:textId="77777777" w:rsidR="006918A0" w:rsidRPr="00130899" w:rsidRDefault="006918A0" w:rsidP="006918A0">
            <w:pPr>
              <w:spacing w:before="60" w:after="60" w:line="200" w:lineRule="exact"/>
              <w:jc w:val="center"/>
              <w:rPr>
                <w:noProof/>
                <w:sz w:val="16"/>
              </w:rPr>
            </w:pPr>
            <w:r w:rsidRPr="00130899">
              <w:rPr>
                <w:b/>
                <w:noProof/>
                <w:sz w:val="16"/>
              </w:rPr>
              <w:t>Извън ФУНКЦИЯ 7</w:t>
            </w:r>
            <w:r w:rsidRPr="00130899">
              <w:rPr>
                <w:rStyle w:val="FootnoteReference"/>
                <w:noProof/>
              </w:rPr>
              <w:footnoteReference w:id="54"/>
            </w:r>
            <w:r w:rsidRPr="00130899">
              <w:rPr>
                <w:noProof/>
              </w:rPr>
              <w:t xml:space="preserve"> </w:t>
            </w:r>
            <w:r w:rsidRPr="00130899">
              <w:rPr>
                <w:noProof/>
              </w:rPr>
              <w:cr/>
            </w:r>
            <w:r w:rsidRPr="00130899">
              <w:rPr>
                <w:noProof/>
              </w:rPr>
              <w:br/>
            </w:r>
            <w:r w:rsidRPr="00130899">
              <w:rPr>
                <w:b/>
                <w:noProof/>
                <w:sz w:val="16"/>
              </w:rPr>
              <w:t xml:space="preserve">от многогодишната финансова рамка </w:t>
            </w:r>
          </w:p>
          <w:p w14:paraId="331B5847" w14:textId="77777777" w:rsidR="006918A0" w:rsidRPr="00130899" w:rsidRDefault="006918A0" w:rsidP="006918A0">
            <w:pPr>
              <w:spacing w:before="0" w:after="0" w:line="200" w:lineRule="exact"/>
              <w:jc w:val="center"/>
              <w:rPr>
                <w:b/>
                <w:noProof/>
                <w:sz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3B166333" w14:textId="77777777" w:rsidR="006918A0" w:rsidRPr="00130899" w:rsidRDefault="006918A0" w:rsidP="006918A0">
            <w:pPr>
              <w:spacing w:before="60" w:after="60" w:line="200" w:lineRule="exact"/>
              <w:jc w:val="right"/>
              <w:rPr>
                <w:noProof/>
                <w:sz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64E87956" w14:textId="77777777" w:rsidR="006918A0" w:rsidRPr="00130899" w:rsidRDefault="006918A0" w:rsidP="006918A0">
            <w:pPr>
              <w:spacing w:before="60" w:after="60" w:line="200" w:lineRule="exact"/>
              <w:jc w:val="right"/>
              <w:rPr>
                <w:noProof/>
                <w:sz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4583C1F7" w14:textId="77777777" w:rsidR="006918A0" w:rsidRPr="00130899" w:rsidRDefault="006918A0" w:rsidP="006918A0">
            <w:pPr>
              <w:spacing w:before="60" w:after="60" w:line="200" w:lineRule="exact"/>
              <w:jc w:val="right"/>
              <w:rPr>
                <w:noProof/>
                <w:sz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6AB505E2" w14:textId="77777777" w:rsidR="006918A0" w:rsidRPr="00130899" w:rsidRDefault="006918A0" w:rsidP="006918A0">
            <w:pPr>
              <w:spacing w:before="60" w:after="60" w:line="200" w:lineRule="exact"/>
              <w:jc w:val="right"/>
              <w:rPr>
                <w:noProof/>
                <w:sz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3DAF912F" w14:textId="77777777" w:rsidR="006918A0" w:rsidRPr="00130899" w:rsidRDefault="006918A0" w:rsidP="006918A0">
            <w:pPr>
              <w:spacing w:before="60" w:after="60" w:line="200" w:lineRule="exact"/>
              <w:jc w:val="right"/>
              <w:rPr>
                <w:noProof/>
                <w:sz w:val="16"/>
              </w:rPr>
            </w:pPr>
          </w:p>
        </w:tc>
        <w:tc>
          <w:tcPr>
            <w:tcW w:w="2129" w:type="dxa"/>
            <w:tcBorders>
              <w:top w:val="single" w:sz="2" w:space="0" w:color="auto"/>
              <w:left w:val="single" w:sz="2" w:space="0" w:color="auto"/>
              <w:bottom w:val="single" w:sz="2" w:space="0" w:color="auto"/>
              <w:right w:val="single" w:sz="2" w:space="0" w:color="auto"/>
            </w:tcBorders>
            <w:vAlign w:val="center"/>
          </w:tcPr>
          <w:p w14:paraId="13618900" w14:textId="77777777" w:rsidR="006918A0" w:rsidRPr="00130899" w:rsidRDefault="006918A0" w:rsidP="006918A0">
            <w:pPr>
              <w:spacing w:before="60" w:after="60" w:line="200" w:lineRule="exact"/>
              <w:jc w:val="right"/>
              <w:rPr>
                <w:b/>
                <w:noProof/>
                <w:sz w:val="16"/>
              </w:rPr>
            </w:pPr>
          </w:p>
        </w:tc>
      </w:tr>
      <w:tr w:rsidR="006918A0" w:rsidRPr="00130899" w14:paraId="36C7775C" w14:textId="77777777" w:rsidTr="000430BD">
        <w:trPr>
          <w:trHeight w:val="585"/>
        </w:trPr>
        <w:tc>
          <w:tcPr>
            <w:tcW w:w="1980" w:type="dxa"/>
            <w:tcBorders>
              <w:top w:val="single" w:sz="2" w:space="0" w:color="auto"/>
              <w:left w:val="single" w:sz="2" w:space="0" w:color="auto"/>
              <w:bottom w:val="single" w:sz="2" w:space="0" w:color="auto"/>
              <w:right w:val="single" w:sz="2" w:space="0" w:color="auto"/>
            </w:tcBorders>
            <w:vAlign w:val="center"/>
            <w:hideMark/>
          </w:tcPr>
          <w:p w14:paraId="4304A69D" w14:textId="77777777" w:rsidR="006918A0" w:rsidRPr="00130899" w:rsidRDefault="006918A0" w:rsidP="006918A0">
            <w:pPr>
              <w:spacing w:before="60" w:after="60" w:line="200" w:lineRule="exact"/>
              <w:ind w:left="72"/>
              <w:jc w:val="left"/>
              <w:rPr>
                <w:noProof/>
                <w:sz w:val="16"/>
              </w:rPr>
            </w:pPr>
            <w:r w:rsidRPr="00130899">
              <w:rPr>
                <w:noProof/>
                <w:sz w:val="16"/>
              </w:rPr>
              <w:t xml:space="preserve">Човешки ресурси </w:t>
            </w:r>
          </w:p>
        </w:tc>
        <w:tc>
          <w:tcPr>
            <w:tcW w:w="1080" w:type="dxa"/>
            <w:tcBorders>
              <w:top w:val="single" w:sz="2" w:space="0" w:color="auto"/>
              <w:left w:val="single" w:sz="2" w:space="0" w:color="auto"/>
              <w:bottom w:val="single" w:sz="2" w:space="0" w:color="auto"/>
              <w:right w:val="single" w:sz="2" w:space="0" w:color="auto"/>
            </w:tcBorders>
            <w:vAlign w:val="center"/>
          </w:tcPr>
          <w:p w14:paraId="24789D0B" w14:textId="77777777" w:rsidR="006918A0" w:rsidRPr="00130899" w:rsidRDefault="006918A0" w:rsidP="006918A0">
            <w:pPr>
              <w:spacing w:before="60" w:after="60" w:line="200" w:lineRule="exact"/>
              <w:jc w:val="right"/>
              <w:rPr>
                <w:noProof/>
                <w:sz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422D77D4" w14:textId="77777777" w:rsidR="006918A0" w:rsidRPr="00130899" w:rsidRDefault="006918A0" w:rsidP="006918A0">
            <w:pPr>
              <w:spacing w:before="60" w:after="60" w:line="200" w:lineRule="exact"/>
              <w:jc w:val="right"/>
              <w:rPr>
                <w:noProof/>
                <w:sz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655AC8C5" w14:textId="77777777" w:rsidR="006918A0" w:rsidRPr="00130899" w:rsidRDefault="006918A0" w:rsidP="006918A0">
            <w:pPr>
              <w:spacing w:before="60" w:after="60" w:line="200" w:lineRule="exact"/>
              <w:jc w:val="right"/>
              <w:rPr>
                <w:noProof/>
                <w:sz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66D515B7" w14:textId="77777777" w:rsidR="006918A0" w:rsidRPr="00130899" w:rsidRDefault="006918A0" w:rsidP="006918A0">
            <w:pPr>
              <w:spacing w:before="60" w:after="60" w:line="200" w:lineRule="exact"/>
              <w:jc w:val="right"/>
              <w:rPr>
                <w:noProof/>
                <w:sz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17AEF9C1" w14:textId="77777777" w:rsidR="006918A0" w:rsidRPr="00130899" w:rsidRDefault="006918A0" w:rsidP="006918A0">
            <w:pPr>
              <w:spacing w:before="60" w:after="60" w:line="200" w:lineRule="exact"/>
              <w:jc w:val="right"/>
              <w:rPr>
                <w:noProof/>
                <w:sz w:val="16"/>
              </w:rPr>
            </w:pPr>
          </w:p>
        </w:tc>
        <w:tc>
          <w:tcPr>
            <w:tcW w:w="2129" w:type="dxa"/>
            <w:tcBorders>
              <w:top w:val="single" w:sz="2" w:space="0" w:color="auto"/>
              <w:left w:val="single" w:sz="2" w:space="0" w:color="auto"/>
              <w:bottom w:val="single" w:sz="2" w:space="0" w:color="auto"/>
              <w:right w:val="single" w:sz="2" w:space="0" w:color="auto"/>
            </w:tcBorders>
            <w:vAlign w:val="center"/>
          </w:tcPr>
          <w:p w14:paraId="2EB026A6" w14:textId="77777777" w:rsidR="006918A0" w:rsidRPr="00130899" w:rsidRDefault="006918A0" w:rsidP="006918A0">
            <w:pPr>
              <w:spacing w:before="60" w:after="60" w:line="200" w:lineRule="exact"/>
              <w:jc w:val="right"/>
              <w:rPr>
                <w:b/>
                <w:noProof/>
                <w:sz w:val="16"/>
              </w:rPr>
            </w:pPr>
          </w:p>
        </w:tc>
      </w:tr>
      <w:tr w:rsidR="006918A0" w:rsidRPr="00130899" w14:paraId="3AFA88FB" w14:textId="77777777" w:rsidTr="000430BD">
        <w:trPr>
          <w:trHeight w:val="585"/>
        </w:trPr>
        <w:tc>
          <w:tcPr>
            <w:tcW w:w="1980" w:type="dxa"/>
            <w:tcBorders>
              <w:top w:val="single" w:sz="2" w:space="0" w:color="auto"/>
              <w:left w:val="single" w:sz="2" w:space="0" w:color="auto"/>
              <w:bottom w:val="single" w:sz="2" w:space="0" w:color="auto"/>
              <w:right w:val="single" w:sz="2" w:space="0" w:color="auto"/>
            </w:tcBorders>
            <w:vAlign w:val="center"/>
            <w:hideMark/>
          </w:tcPr>
          <w:p w14:paraId="1D3AE216" w14:textId="77777777" w:rsidR="006918A0" w:rsidRPr="00130899" w:rsidRDefault="006918A0" w:rsidP="006918A0">
            <w:pPr>
              <w:spacing w:before="60" w:after="60" w:line="200" w:lineRule="exact"/>
              <w:ind w:left="72"/>
              <w:jc w:val="left"/>
              <w:rPr>
                <w:noProof/>
                <w:sz w:val="16"/>
              </w:rPr>
            </w:pPr>
            <w:r w:rsidRPr="00130899">
              <w:rPr>
                <w:noProof/>
                <w:sz w:val="16"/>
              </w:rPr>
              <w:t xml:space="preserve">Други разходи </w:t>
            </w:r>
            <w:r w:rsidRPr="00130899">
              <w:rPr>
                <w:noProof/>
              </w:rPr>
              <w:t xml:space="preserve"> </w:t>
            </w:r>
            <w:r w:rsidRPr="00130899">
              <w:rPr>
                <w:noProof/>
              </w:rPr>
              <w:cr/>
            </w:r>
            <w:r w:rsidRPr="00130899">
              <w:rPr>
                <w:noProof/>
              </w:rPr>
              <w:br/>
            </w:r>
            <w:r w:rsidRPr="00130899">
              <w:rPr>
                <w:noProof/>
                <w:sz w:val="16"/>
              </w:rPr>
              <w:t>с административен характер</w:t>
            </w:r>
          </w:p>
        </w:tc>
        <w:tc>
          <w:tcPr>
            <w:tcW w:w="1080" w:type="dxa"/>
            <w:tcBorders>
              <w:top w:val="single" w:sz="2" w:space="0" w:color="auto"/>
              <w:left w:val="single" w:sz="2" w:space="0" w:color="auto"/>
              <w:bottom w:val="single" w:sz="2" w:space="0" w:color="auto"/>
              <w:right w:val="single" w:sz="2" w:space="0" w:color="auto"/>
            </w:tcBorders>
            <w:vAlign w:val="center"/>
          </w:tcPr>
          <w:p w14:paraId="77001B6A" w14:textId="77777777" w:rsidR="006918A0" w:rsidRPr="00130899" w:rsidRDefault="006918A0" w:rsidP="006918A0">
            <w:pPr>
              <w:spacing w:before="60" w:after="60" w:line="200" w:lineRule="exact"/>
              <w:jc w:val="right"/>
              <w:rPr>
                <w:noProof/>
                <w:sz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5A289EE7" w14:textId="77777777" w:rsidR="006918A0" w:rsidRPr="00130899" w:rsidRDefault="006918A0" w:rsidP="006918A0">
            <w:pPr>
              <w:spacing w:before="60" w:after="60" w:line="200" w:lineRule="exact"/>
              <w:jc w:val="right"/>
              <w:rPr>
                <w:noProof/>
                <w:sz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6364E53F" w14:textId="77777777" w:rsidR="006918A0" w:rsidRPr="00130899" w:rsidRDefault="006918A0" w:rsidP="006918A0">
            <w:pPr>
              <w:spacing w:before="60" w:after="60" w:line="200" w:lineRule="exact"/>
              <w:jc w:val="right"/>
              <w:rPr>
                <w:noProof/>
                <w:sz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30BBA038" w14:textId="77777777" w:rsidR="006918A0" w:rsidRPr="00130899" w:rsidRDefault="006918A0" w:rsidP="006918A0">
            <w:pPr>
              <w:spacing w:before="60" w:after="60" w:line="200" w:lineRule="exact"/>
              <w:jc w:val="right"/>
              <w:rPr>
                <w:noProof/>
                <w:sz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28FE4143" w14:textId="77777777" w:rsidR="006918A0" w:rsidRPr="00130899" w:rsidRDefault="006918A0" w:rsidP="006918A0">
            <w:pPr>
              <w:spacing w:before="60" w:after="60" w:line="200" w:lineRule="exact"/>
              <w:jc w:val="right"/>
              <w:rPr>
                <w:noProof/>
                <w:sz w:val="16"/>
              </w:rPr>
            </w:pPr>
          </w:p>
        </w:tc>
        <w:tc>
          <w:tcPr>
            <w:tcW w:w="2129" w:type="dxa"/>
            <w:tcBorders>
              <w:top w:val="single" w:sz="2" w:space="0" w:color="auto"/>
              <w:left w:val="single" w:sz="2" w:space="0" w:color="auto"/>
              <w:bottom w:val="single" w:sz="2" w:space="0" w:color="auto"/>
              <w:right w:val="single" w:sz="2" w:space="0" w:color="auto"/>
            </w:tcBorders>
            <w:vAlign w:val="center"/>
          </w:tcPr>
          <w:p w14:paraId="3D1A74AB" w14:textId="77777777" w:rsidR="006918A0" w:rsidRPr="00130899" w:rsidRDefault="006918A0" w:rsidP="006918A0">
            <w:pPr>
              <w:spacing w:before="60" w:after="60" w:line="200" w:lineRule="exact"/>
              <w:jc w:val="right"/>
              <w:rPr>
                <w:b/>
                <w:noProof/>
                <w:sz w:val="16"/>
              </w:rPr>
            </w:pPr>
          </w:p>
        </w:tc>
      </w:tr>
      <w:tr w:rsidR="00555CA4" w:rsidRPr="00130899" w14:paraId="09DA54BF" w14:textId="77777777" w:rsidTr="000430BD">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CCCCCC"/>
            <w:vAlign w:val="center"/>
            <w:hideMark/>
          </w:tcPr>
          <w:p w14:paraId="3865DC40" w14:textId="77777777" w:rsidR="006918A0" w:rsidRPr="00130899" w:rsidRDefault="006918A0" w:rsidP="006918A0">
            <w:pPr>
              <w:spacing w:before="60" w:after="60" w:line="200" w:lineRule="exact"/>
              <w:jc w:val="center"/>
              <w:rPr>
                <w:b/>
                <w:noProof/>
                <w:sz w:val="16"/>
              </w:rPr>
            </w:pPr>
            <w:r w:rsidRPr="00130899">
              <w:rPr>
                <w:b/>
                <w:noProof/>
                <w:sz w:val="16"/>
              </w:rPr>
              <w:t xml:space="preserve">Междинен сбор </w:t>
            </w:r>
            <w:r w:rsidRPr="00130899">
              <w:rPr>
                <w:noProof/>
              </w:rPr>
              <w:t xml:space="preserve"> </w:t>
            </w:r>
            <w:r w:rsidRPr="00130899">
              <w:rPr>
                <w:noProof/>
              </w:rPr>
              <w:cr/>
            </w:r>
            <w:r w:rsidRPr="00130899">
              <w:rPr>
                <w:noProof/>
              </w:rPr>
              <w:br/>
            </w:r>
            <w:r w:rsidRPr="00130899">
              <w:rPr>
                <w:b/>
                <w:noProof/>
                <w:sz w:val="16"/>
              </w:rPr>
              <w:t>извън ФУНКЦИЯ 7</w:t>
            </w:r>
            <w:r w:rsidRPr="00130899">
              <w:rPr>
                <w:noProof/>
              </w:rPr>
              <w:t xml:space="preserve"> </w:t>
            </w:r>
            <w:r w:rsidRPr="00130899">
              <w:rPr>
                <w:noProof/>
              </w:rPr>
              <w:cr/>
            </w:r>
            <w:r w:rsidRPr="00130899">
              <w:rPr>
                <w:noProof/>
              </w:rPr>
              <w:br/>
            </w:r>
            <w:r w:rsidRPr="00130899">
              <w:rPr>
                <w:b/>
                <w:noProof/>
                <w:sz w:val="16"/>
              </w:rPr>
              <w:t xml:space="preserve">от многогодишната финансова рамка </w:t>
            </w:r>
          </w:p>
        </w:tc>
        <w:tc>
          <w:tcPr>
            <w:tcW w:w="1080" w:type="dxa"/>
            <w:tcBorders>
              <w:top w:val="single" w:sz="2" w:space="0" w:color="auto"/>
              <w:left w:val="single" w:sz="2" w:space="0" w:color="auto"/>
              <w:bottom w:val="single" w:sz="2" w:space="0" w:color="auto"/>
              <w:right w:val="single" w:sz="2" w:space="0" w:color="auto"/>
            </w:tcBorders>
            <w:vAlign w:val="center"/>
          </w:tcPr>
          <w:p w14:paraId="36BF5FA3" w14:textId="77777777" w:rsidR="006918A0" w:rsidRPr="00130899" w:rsidRDefault="006918A0" w:rsidP="006918A0">
            <w:pPr>
              <w:spacing w:before="60" w:after="60" w:line="200" w:lineRule="exact"/>
              <w:jc w:val="right"/>
              <w:rPr>
                <w:noProof/>
                <w:sz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66C4C8A1" w14:textId="77777777" w:rsidR="006918A0" w:rsidRPr="00130899" w:rsidRDefault="006918A0" w:rsidP="006918A0">
            <w:pPr>
              <w:spacing w:before="60" w:after="60" w:line="200" w:lineRule="exact"/>
              <w:jc w:val="right"/>
              <w:rPr>
                <w:noProof/>
                <w:sz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2651AF38" w14:textId="77777777" w:rsidR="006918A0" w:rsidRPr="00130899" w:rsidRDefault="006918A0" w:rsidP="006918A0">
            <w:pPr>
              <w:spacing w:before="60" w:after="60" w:line="200" w:lineRule="exact"/>
              <w:jc w:val="right"/>
              <w:rPr>
                <w:noProof/>
                <w:sz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26BBABF2" w14:textId="77777777" w:rsidR="006918A0" w:rsidRPr="00130899" w:rsidRDefault="006918A0" w:rsidP="006918A0">
            <w:pPr>
              <w:spacing w:before="60" w:after="60" w:line="200" w:lineRule="exact"/>
              <w:jc w:val="right"/>
              <w:rPr>
                <w:noProof/>
                <w:sz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08C02A06" w14:textId="77777777" w:rsidR="006918A0" w:rsidRPr="00130899" w:rsidRDefault="006918A0" w:rsidP="006918A0">
            <w:pPr>
              <w:spacing w:before="60" w:after="60" w:line="200" w:lineRule="exact"/>
              <w:jc w:val="right"/>
              <w:rPr>
                <w:noProof/>
                <w:sz w:val="16"/>
              </w:rPr>
            </w:pPr>
          </w:p>
        </w:tc>
        <w:tc>
          <w:tcPr>
            <w:tcW w:w="2129" w:type="dxa"/>
            <w:tcBorders>
              <w:top w:val="single" w:sz="2" w:space="0" w:color="auto"/>
              <w:left w:val="single" w:sz="2" w:space="0" w:color="auto"/>
              <w:bottom w:val="single" w:sz="2" w:space="0" w:color="auto"/>
              <w:right w:val="single" w:sz="2" w:space="0" w:color="auto"/>
            </w:tcBorders>
            <w:vAlign w:val="center"/>
          </w:tcPr>
          <w:p w14:paraId="4F18EA1E" w14:textId="77777777" w:rsidR="006918A0" w:rsidRPr="00130899" w:rsidRDefault="006918A0" w:rsidP="006918A0">
            <w:pPr>
              <w:spacing w:before="60" w:after="60" w:line="200" w:lineRule="exact"/>
              <w:jc w:val="right"/>
              <w:rPr>
                <w:b/>
                <w:noProof/>
                <w:sz w:val="16"/>
              </w:rPr>
            </w:pPr>
          </w:p>
        </w:tc>
      </w:tr>
    </w:tbl>
    <w:p w14:paraId="17F1E0AE" w14:textId="77777777" w:rsidR="006918A0" w:rsidRPr="00130899" w:rsidRDefault="006918A0" w:rsidP="006918A0">
      <w:pPr>
        <w:rPr>
          <w:noProof/>
          <w:sz w:val="18"/>
        </w:rPr>
      </w:pPr>
    </w:p>
    <w:p w14:paraId="35453D04" w14:textId="77777777" w:rsidR="006918A0" w:rsidRPr="00130899" w:rsidRDefault="006918A0" w:rsidP="006918A0">
      <w:pPr>
        <w:rPr>
          <w:noProof/>
          <w:sz w:val="18"/>
        </w:rPr>
      </w:pPr>
    </w:p>
    <w:tbl>
      <w:tblPr>
        <w:tblW w:w="9510" w:type="dxa"/>
        <w:tblInd w:w="-612" w:type="dxa"/>
        <w:tblLayout w:type="fixed"/>
        <w:tblLook w:val="01E0" w:firstRow="1" w:lastRow="1" w:firstColumn="1" w:lastColumn="1" w:noHBand="0" w:noVBand="0"/>
      </w:tblPr>
      <w:tblGrid>
        <w:gridCol w:w="1981"/>
        <w:gridCol w:w="1080"/>
        <w:gridCol w:w="1080"/>
        <w:gridCol w:w="1080"/>
        <w:gridCol w:w="1080"/>
        <w:gridCol w:w="1080"/>
        <w:gridCol w:w="2129"/>
      </w:tblGrid>
      <w:tr w:rsidR="00555CA4" w:rsidRPr="00130899" w14:paraId="668018DD" w14:textId="77777777" w:rsidTr="000430BD">
        <w:trPr>
          <w:trHeight w:val="585"/>
        </w:trPr>
        <w:tc>
          <w:tcPr>
            <w:tcW w:w="1980" w:type="dxa"/>
            <w:tcBorders>
              <w:top w:val="single" w:sz="12" w:space="0" w:color="auto"/>
              <w:left w:val="single" w:sz="12" w:space="0" w:color="auto"/>
              <w:bottom w:val="single" w:sz="12" w:space="0" w:color="auto"/>
              <w:right w:val="single" w:sz="2" w:space="0" w:color="auto"/>
            </w:tcBorders>
            <w:vAlign w:val="center"/>
            <w:hideMark/>
          </w:tcPr>
          <w:p w14:paraId="3C429912" w14:textId="77777777" w:rsidR="006918A0" w:rsidRPr="00130899" w:rsidRDefault="006918A0" w:rsidP="006918A0">
            <w:pPr>
              <w:spacing w:before="60" w:after="60" w:line="200" w:lineRule="exact"/>
              <w:jc w:val="center"/>
              <w:rPr>
                <w:noProof/>
                <w:sz w:val="16"/>
              </w:rPr>
            </w:pPr>
            <w:r w:rsidRPr="00130899">
              <w:rPr>
                <w:b/>
                <w:noProof/>
                <w:sz w:val="16"/>
              </w:rPr>
              <w:t>ОБЩО</w:t>
            </w:r>
          </w:p>
        </w:tc>
        <w:tc>
          <w:tcPr>
            <w:tcW w:w="1080" w:type="dxa"/>
            <w:tcBorders>
              <w:top w:val="single" w:sz="12" w:space="0" w:color="auto"/>
              <w:left w:val="single" w:sz="2" w:space="0" w:color="auto"/>
              <w:bottom w:val="single" w:sz="12" w:space="0" w:color="auto"/>
              <w:right w:val="single" w:sz="2" w:space="0" w:color="auto"/>
            </w:tcBorders>
            <w:vAlign w:val="center"/>
            <w:hideMark/>
          </w:tcPr>
          <w:p w14:paraId="61F7207A" w14:textId="77777777" w:rsidR="006918A0" w:rsidRPr="00130899" w:rsidRDefault="006918A0" w:rsidP="006918A0">
            <w:pPr>
              <w:spacing w:before="60" w:after="60" w:line="200" w:lineRule="exact"/>
              <w:jc w:val="right"/>
              <w:rPr>
                <w:b/>
                <w:noProof/>
                <w:sz w:val="16"/>
              </w:rPr>
            </w:pPr>
            <w:r w:rsidRPr="00130899">
              <w:rPr>
                <w:noProof/>
                <w:sz w:val="20"/>
              </w:rPr>
              <w:t>0,122</w:t>
            </w:r>
          </w:p>
        </w:tc>
        <w:tc>
          <w:tcPr>
            <w:tcW w:w="1080" w:type="dxa"/>
            <w:tcBorders>
              <w:top w:val="single" w:sz="12" w:space="0" w:color="auto"/>
              <w:left w:val="single" w:sz="2" w:space="0" w:color="auto"/>
              <w:bottom w:val="single" w:sz="12" w:space="0" w:color="auto"/>
              <w:right w:val="single" w:sz="2" w:space="0" w:color="auto"/>
            </w:tcBorders>
            <w:vAlign w:val="center"/>
            <w:hideMark/>
          </w:tcPr>
          <w:p w14:paraId="60A5D976" w14:textId="77777777" w:rsidR="006918A0" w:rsidRPr="00130899" w:rsidRDefault="006918A0" w:rsidP="006918A0">
            <w:pPr>
              <w:spacing w:before="60" w:after="60" w:line="200" w:lineRule="exact"/>
              <w:jc w:val="right"/>
              <w:rPr>
                <w:b/>
                <w:noProof/>
                <w:sz w:val="16"/>
              </w:rPr>
            </w:pPr>
            <w:r w:rsidRPr="00130899">
              <w:rPr>
                <w:noProof/>
                <w:sz w:val="20"/>
              </w:rPr>
              <w:t>0,161</w:t>
            </w:r>
          </w:p>
        </w:tc>
        <w:tc>
          <w:tcPr>
            <w:tcW w:w="1080" w:type="dxa"/>
            <w:tcBorders>
              <w:top w:val="single" w:sz="12" w:space="0" w:color="auto"/>
              <w:left w:val="single" w:sz="2" w:space="0" w:color="auto"/>
              <w:bottom w:val="single" w:sz="12" w:space="0" w:color="auto"/>
              <w:right w:val="single" w:sz="2" w:space="0" w:color="auto"/>
            </w:tcBorders>
            <w:vAlign w:val="center"/>
            <w:hideMark/>
          </w:tcPr>
          <w:p w14:paraId="55946858" w14:textId="77777777" w:rsidR="006918A0" w:rsidRPr="00130899" w:rsidRDefault="006918A0" w:rsidP="006918A0">
            <w:pPr>
              <w:spacing w:before="60" w:after="60" w:line="200" w:lineRule="exact"/>
              <w:jc w:val="right"/>
              <w:rPr>
                <w:b/>
                <w:noProof/>
                <w:sz w:val="16"/>
              </w:rPr>
            </w:pPr>
            <w:r w:rsidRPr="00130899">
              <w:rPr>
                <w:noProof/>
                <w:sz w:val="20"/>
              </w:rPr>
              <w:t>0,159</w:t>
            </w:r>
          </w:p>
        </w:tc>
        <w:tc>
          <w:tcPr>
            <w:tcW w:w="1080" w:type="dxa"/>
            <w:tcBorders>
              <w:top w:val="single" w:sz="12" w:space="0" w:color="auto"/>
              <w:left w:val="single" w:sz="2" w:space="0" w:color="auto"/>
              <w:bottom w:val="single" w:sz="12" w:space="0" w:color="auto"/>
              <w:right w:val="single" w:sz="2" w:space="0" w:color="auto"/>
            </w:tcBorders>
            <w:vAlign w:val="center"/>
            <w:hideMark/>
          </w:tcPr>
          <w:p w14:paraId="3973E810" w14:textId="77777777" w:rsidR="006918A0" w:rsidRPr="00130899" w:rsidRDefault="006918A0" w:rsidP="006918A0">
            <w:pPr>
              <w:spacing w:before="60" w:after="60" w:line="200" w:lineRule="exact"/>
              <w:jc w:val="right"/>
              <w:rPr>
                <w:b/>
                <w:noProof/>
                <w:sz w:val="16"/>
              </w:rPr>
            </w:pPr>
            <w:r w:rsidRPr="00130899">
              <w:rPr>
                <w:noProof/>
                <w:sz w:val="20"/>
              </w:rPr>
              <w:t>0,065</w:t>
            </w:r>
          </w:p>
        </w:tc>
        <w:tc>
          <w:tcPr>
            <w:tcW w:w="1080" w:type="dxa"/>
            <w:tcBorders>
              <w:top w:val="single" w:sz="12" w:space="0" w:color="auto"/>
              <w:left w:val="single" w:sz="2" w:space="0" w:color="auto"/>
              <w:bottom w:val="single" w:sz="12" w:space="0" w:color="auto"/>
              <w:right w:val="single" w:sz="2" w:space="0" w:color="auto"/>
            </w:tcBorders>
            <w:vAlign w:val="center"/>
            <w:hideMark/>
          </w:tcPr>
          <w:p w14:paraId="2E9A7D76" w14:textId="77777777" w:rsidR="006918A0" w:rsidRPr="00130899" w:rsidRDefault="006918A0" w:rsidP="006918A0">
            <w:pPr>
              <w:spacing w:before="60" w:after="60" w:line="200" w:lineRule="exact"/>
              <w:jc w:val="right"/>
              <w:rPr>
                <w:b/>
                <w:noProof/>
                <w:sz w:val="16"/>
              </w:rPr>
            </w:pPr>
            <w:r w:rsidRPr="00130899">
              <w:rPr>
                <w:noProof/>
                <w:sz w:val="20"/>
              </w:rPr>
              <w:t>0,017</w:t>
            </w:r>
          </w:p>
        </w:tc>
        <w:tc>
          <w:tcPr>
            <w:tcW w:w="2129" w:type="dxa"/>
            <w:tcBorders>
              <w:top w:val="single" w:sz="12" w:space="0" w:color="auto"/>
              <w:left w:val="single" w:sz="2" w:space="0" w:color="auto"/>
              <w:bottom w:val="single" w:sz="12" w:space="0" w:color="auto"/>
              <w:right w:val="single" w:sz="12" w:space="0" w:color="auto"/>
            </w:tcBorders>
            <w:vAlign w:val="center"/>
            <w:hideMark/>
          </w:tcPr>
          <w:p w14:paraId="77CBF4ED" w14:textId="77777777" w:rsidR="006918A0" w:rsidRPr="00130899" w:rsidRDefault="006918A0" w:rsidP="006918A0">
            <w:pPr>
              <w:spacing w:before="60" w:after="60" w:line="200" w:lineRule="exact"/>
              <w:jc w:val="right"/>
              <w:rPr>
                <w:b/>
                <w:noProof/>
                <w:sz w:val="16"/>
              </w:rPr>
            </w:pPr>
            <w:r w:rsidRPr="00130899">
              <w:rPr>
                <w:b/>
                <w:noProof/>
                <w:sz w:val="20"/>
              </w:rPr>
              <w:t>0,524</w:t>
            </w:r>
          </w:p>
        </w:tc>
      </w:tr>
    </w:tbl>
    <w:p w14:paraId="5B46BE5C" w14:textId="77777777" w:rsidR="006918A0" w:rsidRPr="00130899" w:rsidRDefault="006918A0" w:rsidP="006918A0">
      <w:pPr>
        <w:rPr>
          <w:noProof/>
          <w:sz w:val="18"/>
        </w:rPr>
      </w:pPr>
    </w:p>
    <w:p w14:paraId="4401B4BA" w14:textId="77777777" w:rsidR="006918A0" w:rsidRPr="00130899" w:rsidRDefault="006918A0" w:rsidP="006918A0">
      <w:pPr>
        <w:rPr>
          <w:noProof/>
          <w:sz w:val="18"/>
        </w:rPr>
      </w:pPr>
      <w:r w:rsidRPr="00130899">
        <w:rPr>
          <w:noProof/>
          <w:sz w:val="18"/>
        </w:rPr>
        <w:t>Бюджетните кредити, необходими за човешки ресурси и други разходи с административен характер, ще бъдат покрити от бюджетни кредити на ГД, които вече са определени за управлението на действието и/или които са преразпределени в рамките на ГД, при необходимост заедно с допълнително отпуснати ресурси, които могат да бъдат предоставени на управляващата ГД в рамките на годишната процедура за отпускане на средства и като се имат предвид бюджетните ограничения.</w:t>
      </w:r>
    </w:p>
    <w:p w14:paraId="107F0D3A" w14:textId="77777777" w:rsidR="006918A0" w:rsidRPr="00130899" w:rsidRDefault="006918A0" w:rsidP="006918A0">
      <w:pPr>
        <w:spacing w:before="0" w:after="0"/>
        <w:jc w:val="left"/>
        <w:rPr>
          <w:noProof/>
          <w:sz w:val="18"/>
        </w:rPr>
        <w:sectPr w:rsidR="006918A0" w:rsidRPr="00130899" w:rsidSect="006362D3">
          <w:headerReference w:type="default" r:id="rId22"/>
          <w:footerReference w:type="default" r:id="rId23"/>
          <w:headerReference w:type="first" r:id="rId24"/>
          <w:footerReference w:type="first" r:id="rId25"/>
          <w:pgSz w:w="11907" w:h="16840"/>
          <w:pgMar w:top="1134" w:right="1418" w:bottom="1134" w:left="1418" w:header="709" w:footer="709" w:gutter="0"/>
          <w:cols w:space="720"/>
          <w:docGrid w:linePitch="326"/>
        </w:sectPr>
      </w:pPr>
    </w:p>
    <w:p w14:paraId="752B32BF" w14:textId="77777777" w:rsidR="006918A0" w:rsidRPr="00130899" w:rsidRDefault="00287904" w:rsidP="00287904">
      <w:pPr>
        <w:pStyle w:val="ManualHeading4"/>
        <w:rPr>
          <w:noProof/>
        </w:rPr>
      </w:pPr>
      <w:r w:rsidRPr="00130899">
        <w:rPr>
          <w:noProof/>
        </w:rPr>
        <w:tab/>
        <w:t>3.2.3.1 Очаквани нужди от човешки ресурси</w:t>
      </w:r>
    </w:p>
    <w:p w14:paraId="1546D0EF" w14:textId="77777777" w:rsidR="006918A0" w:rsidRPr="00130899" w:rsidRDefault="006918A0" w:rsidP="006918A0">
      <w:pPr>
        <w:tabs>
          <w:tab w:val="num" w:pos="1134"/>
        </w:tabs>
        <w:ind w:left="1134" w:hanging="283"/>
        <w:rPr>
          <w:noProof/>
        </w:rPr>
      </w:pPr>
      <w:r w:rsidRPr="00130899">
        <w:rPr>
          <w:rFonts w:ascii="Wingdings" w:hAnsi="Wingdings"/>
          <w:noProof/>
        </w:rPr>
        <w:t></w:t>
      </w:r>
      <w:r w:rsidRPr="00130899">
        <w:rPr>
          <w:noProof/>
        </w:rPr>
        <w:tab/>
        <w:t xml:space="preserve">Предложението/инициативата не налага използване на човешки ресурси </w:t>
      </w:r>
    </w:p>
    <w:p w14:paraId="58CA2AED" w14:textId="77777777" w:rsidR="006918A0" w:rsidRPr="00130899" w:rsidRDefault="006918A0" w:rsidP="006918A0">
      <w:pPr>
        <w:tabs>
          <w:tab w:val="num" w:pos="1134"/>
        </w:tabs>
        <w:ind w:left="1134" w:hanging="283"/>
        <w:rPr>
          <w:noProof/>
        </w:rPr>
      </w:pPr>
      <w:r w:rsidRPr="00130899">
        <w:rPr>
          <w:rFonts w:ascii="Wingdings" w:hAnsi="Wingdings"/>
          <w:noProof/>
        </w:rPr>
        <w:t></w:t>
      </w:r>
      <w:r w:rsidRPr="00130899">
        <w:rPr>
          <w:noProof/>
        </w:rPr>
        <w:tab/>
        <w:t>Предложението/инициативата налага използване на човешки ресурси съгласно обяснението по-долу:</w:t>
      </w:r>
    </w:p>
    <w:p w14:paraId="5EDDB896" w14:textId="77777777" w:rsidR="006918A0" w:rsidRPr="00130899" w:rsidRDefault="006918A0" w:rsidP="006918A0">
      <w:pPr>
        <w:tabs>
          <w:tab w:val="left" w:pos="720"/>
        </w:tabs>
        <w:ind w:left="1134" w:hanging="283"/>
        <w:rPr>
          <w:noProof/>
        </w:rPr>
      </w:pPr>
    </w:p>
    <w:tbl>
      <w:tblPr>
        <w:tblW w:w="98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4"/>
        <w:gridCol w:w="2376"/>
        <w:gridCol w:w="2378"/>
        <w:gridCol w:w="731"/>
        <w:gridCol w:w="731"/>
        <w:gridCol w:w="731"/>
        <w:gridCol w:w="731"/>
        <w:gridCol w:w="731"/>
        <w:gridCol w:w="1462"/>
      </w:tblGrid>
      <w:tr w:rsidR="006918A0" w:rsidRPr="00130899" w14:paraId="20FEB3AA" w14:textId="77777777" w:rsidTr="000430BD">
        <w:trPr>
          <w:gridBefore w:val="1"/>
          <w:wBefore w:w="15" w:type="dxa"/>
          <w:trHeight w:val="289"/>
          <w:jc w:val="center"/>
        </w:trPr>
        <w:tc>
          <w:tcPr>
            <w:tcW w:w="4754" w:type="dxa"/>
            <w:gridSpan w:val="2"/>
            <w:tcBorders>
              <w:top w:val="single" w:sz="6" w:space="0" w:color="auto"/>
              <w:left w:val="single" w:sz="6" w:space="0" w:color="auto"/>
              <w:bottom w:val="single" w:sz="6" w:space="0" w:color="auto"/>
              <w:right w:val="single" w:sz="6" w:space="0" w:color="auto"/>
            </w:tcBorders>
          </w:tcPr>
          <w:p w14:paraId="7AFF414F" w14:textId="77777777" w:rsidR="006918A0" w:rsidRPr="00130899" w:rsidRDefault="006918A0" w:rsidP="006918A0">
            <w:pPr>
              <w:spacing w:before="40" w:after="40" w:line="276" w:lineRule="auto"/>
              <w:jc w:val="center"/>
              <w:rPr>
                <w:i/>
                <w:noProof/>
                <w:sz w:val="16"/>
              </w:rPr>
            </w:pPr>
          </w:p>
        </w:tc>
        <w:tc>
          <w:tcPr>
            <w:tcW w:w="731" w:type="dxa"/>
            <w:tcBorders>
              <w:top w:val="single" w:sz="6" w:space="0" w:color="auto"/>
              <w:left w:val="single" w:sz="6" w:space="0" w:color="auto"/>
              <w:bottom w:val="single" w:sz="6" w:space="0" w:color="auto"/>
              <w:right w:val="single" w:sz="6" w:space="0" w:color="auto"/>
            </w:tcBorders>
            <w:vAlign w:val="center"/>
            <w:hideMark/>
          </w:tcPr>
          <w:p w14:paraId="2D796657" w14:textId="77777777" w:rsidR="006918A0" w:rsidRPr="00130899" w:rsidRDefault="006918A0" w:rsidP="006918A0">
            <w:pPr>
              <w:spacing w:before="20" w:after="20" w:line="276" w:lineRule="auto"/>
              <w:jc w:val="center"/>
              <w:rPr>
                <w:noProof/>
                <w:sz w:val="16"/>
              </w:rPr>
            </w:pPr>
            <w:r w:rsidRPr="00130899">
              <w:rPr>
                <w:noProof/>
                <w:sz w:val="16"/>
              </w:rPr>
              <w:t>2023 г.</w:t>
            </w:r>
          </w:p>
        </w:tc>
        <w:tc>
          <w:tcPr>
            <w:tcW w:w="731" w:type="dxa"/>
            <w:tcBorders>
              <w:top w:val="single" w:sz="6" w:space="0" w:color="auto"/>
              <w:left w:val="single" w:sz="6" w:space="0" w:color="auto"/>
              <w:bottom w:val="single" w:sz="6" w:space="0" w:color="auto"/>
              <w:right w:val="single" w:sz="6" w:space="0" w:color="auto"/>
            </w:tcBorders>
            <w:vAlign w:val="center"/>
            <w:hideMark/>
          </w:tcPr>
          <w:p w14:paraId="2557EE26" w14:textId="77777777" w:rsidR="006918A0" w:rsidRPr="00130899" w:rsidRDefault="006918A0" w:rsidP="006918A0">
            <w:pPr>
              <w:spacing w:before="20" w:after="20" w:line="276" w:lineRule="auto"/>
              <w:jc w:val="center"/>
              <w:rPr>
                <w:noProof/>
                <w:sz w:val="16"/>
              </w:rPr>
            </w:pPr>
            <w:r w:rsidRPr="00130899">
              <w:rPr>
                <w:noProof/>
                <w:sz w:val="16"/>
              </w:rPr>
              <w:t>2024 г.</w:t>
            </w:r>
          </w:p>
        </w:tc>
        <w:tc>
          <w:tcPr>
            <w:tcW w:w="731" w:type="dxa"/>
            <w:tcBorders>
              <w:top w:val="single" w:sz="6" w:space="0" w:color="auto"/>
              <w:left w:val="single" w:sz="6" w:space="0" w:color="auto"/>
              <w:bottom w:val="single" w:sz="6" w:space="0" w:color="auto"/>
              <w:right w:val="single" w:sz="6" w:space="0" w:color="auto"/>
            </w:tcBorders>
            <w:vAlign w:val="center"/>
            <w:hideMark/>
          </w:tcPr>
          <w:p w14:paraId="3957F9C7" w14:textId="77777777" w:rsidR="006918A0" w:rsidRPr="00130899" w:rsidRDefault="006918A0" w:rsidP="006918A0">
            <w:pPr>
              <w:spacing w:before="20" w:after="20" w:line="276" w:lineRule="auto"/>
              <w:jc w:val="center"/>
              <w:rPr>
                <w:noProof/>
                <w:sz w:val="16"/>
              </w:rPr>
            </w:pPr>
            <w:r w:rsidRPr="00130899">
              <w:rPr>
                <w:noProof/>
                <w:sz w:val="16"/>
              </w:rPr>
              <w:t>2025 г.</w:t>
            </w:r>
          </w:p>
        </w:tc>
        <w:tc>
          <w:tcPr>
            <w:tcW w:w="731" w:type="dxa"/>
            <w:tcBorders>
              <w:top w:val="single" w:sz="6" w:space="0" w:color="auto"/>
              <w:left w:val="single" w:sz="6" w:space="0" w:color="auto"/>
              <w:bottom w:val="single" w:sz="6" w:space="0" w:color="auto"/>
              <w:right w:val="single" w:sz="6" w:space="0" w:color="auto"/>
            </w:tcBorders>
            <w:vAlign w:val="center"/>
            <w:hideMark/>
          </w:tcPr>
          <w:p w14:paraId="7F161630" w14:textId="77777777" w:rsidR="006918A0" w:rsidRPr="00130899" w:rsidRDefault="006918A0" w:rsidP="006918A0">
            <w:pPr>
              <w:spacing w:before="20" w:after="20" w:line="276" w:lineRule="auto"/>
              <w:jc w:val="center"/>
              <w:rPr>
                <w:noProof/>
                <w:sz w:val="16"/>
              </w:rPr>
            </w:pPr>
            <w:r w:rsidRPr="00130899">
              <w:rPr>
                <w:noProof/>
                <w:sz w:val="16"/>
              </w:rPr>
              <w:t>2026 г.</w:t>
            </w:r>
          </w:p>
        </w:tc>
        <w:tc>
          <w:tcPr>
            <w:tcW w:w="731" w:type="dxa"/>
            <w:tcBorders>
              <w:top w:val="single" w:sz="6" w:space="0" w:color="auto"/>
              <w:left w:val="single" w:sz="6" w:space="0" w:color="auto"/>
              <w:bottom w:val="single" w:sz="6" w:space="0" w:color="auto"/>
              <w:right w:val="single" w:sz="6" w:space="0" w:color="auto"/>
            </w:tcBorders>
            <w:vAlign w:val="center"/>
            <w:hideMark/>
          </w:tcPr>
          <w:p w14:paraId="0D5E39E9" w14:textId="77777777" w:rsidR="006918A0" w:rsidRPr="00130899" w:rsidRDefault="006918A0" w:rsidP="006918A0">
            <w:pPr>
              <w:spacing w:line="276" w:lineRule="auto"/>
              <w:jc w:val="center"/>
              <w:rPr>
                <w:b/>
                <w:noProof/>
                <w:sz w:val="16"/>
              </w:rPr>
            </w:pPr>
            <w:r w:rsidRPr="00130899">
              <w:rPr>
                <w:noProof/>
                <w:sz w:val="16"/>
              </w:rPr>
              <w:t>2027 г.</w:t>
            </w:r>
          </w:p>
        </w:tc>
        <w:tc>
          <w:tcPr>
            <w:tcW w:w="1462" w:type="dxa"/>
            <w:tcBorders>
              <w:top w:val="single" w:sz="6" w:space="0" w:color="auto"/>
              <w:left w:val="single" w:sz="6" w:space="0" w:color="auto"/>
              <w:bottom w:val="single" w:sz="6" w:space="0" w:color="auto"/>
              <w:right w:val="single" w:sz="6" w:space="0" w:color="auto"/>
            </w:tcBorders>
            <w:vAlign w:val="center"/>
            <w:hideMark/>
          </w:tcPr>
          <w:p w14:paraId="72E04688" w14:textId="77777777" w:rsidR="006918A0" w:rsidRPr="00130899" w:rsidRDefault="006918A0" w:rsidP="006918A0">
            <w:pPr>
              <w:spacing w:line="276" w:lineRule="auto"/>
              <w:jc w:val="center"/>
              <w:rPr>
                <w:b/>
                <w:noProof/>
                <w:sz w:val="16"/>
              </w:rPr>
            </w:pPr>
            <w:r w:rsidRPr="00130899">
              <w:rPr>
                <w:b/>
                <w:noProof/>
                <w:sz w:val="16"/>
              </w:rPr>
              <w:t>Общо</w:t>
            </w:r>
          </w:p>
        </w:tc>
      </w:tr>
      <w:tr w:rsidR="006918A0" w:rsidRPr="00130899" w14:paraId="21FD30E2" w14:textId="77777777" w:rsidTr="000430BD">
        <w:trPr>
          <w:gridBefore w:val="1"/>
          <w:wBefore w:w="15" w:type="dxa"/>
          <w:trHeight w:val="289"/>
          <w:jc w:val="center"/>
        </w:trPr>
        <w:tc>
          <w:tcPr>
            <w:tcW w:w="9871" w:type="dxa"/>
            <w:gridSpan w:val="8"/>
            <w:tcBorders>
              <w:top w:val="single" w:sz="6" w:space="0" w:color="auto"/>
              <w:left w:val="single" w:sz="6" w:space="0" w:color="auto"/>
              <w:bottom w:val="single" w:sz="6" w:space="0" w:color="auto"/>
              <w:right w:val="single" w:sz="6" w:space="0" w:color="auto"/>
            </w:tcBorders>
            <w:hideMark/>
          </w:tcPr>
          <w:p w14:paraId="663F35BB" w14:textId="77777777" w:rsidR="006918A0" w:rsidRPr="00130899" w:rsidRDefault="006918A0" w:rsidP="006918A0">
            <w:pPr>
              <w:spacing w:line="276" w:lineRule="auto"/>
              <w:jc w:val="left"/>
              <w:rPr>
                <w:noProof/>
                <w:sz w:val="16"/>
              </w:rPr>
            </w:pPr>
            <w:r w:rsidRPr="00130899">
              <w:rPr>
                <w:rFonts w:ascii="Wingdings" w:hAnsi="Wingdings"/>
                <w:b/>
                <w:noProof/>
                <w:sz w:val="16"/>
              </w:rPr>
              <w:sym w:font="Wingdings" w:char="F09F"/>
            </w:r>
            <w:r w:rsidRPr="00130899">
              <w:rPr>
                <w:b/>
                <w:noProof/>
                <w:sz w:val="16"/>
              </w:rPr>
              <w:t xml:space="preserve"> Длъжности по щатното разписание (длъжностни лица и срочно наети служители)</w:t>
            </w:r>
          </w:p>
        </w:tc>
      </w:tr>
      <w:tr w:rsidR="006918A0" w:rsidRPr="00130899" w14:paraId="36BE6F7B" w14:textId="77777777" w:rsidTr="000430BD">
        <w:trPr>
          <w:gridBefore w:val="1"/>
          <w:wBefore w:w="15" w:type="dxa"/>
          <w:trHeight w:val="289"/>
          <w:jc w:val="center"/>
        </w:trPr>
        <w:tc>
          <w:tcPr>
            <w:tcW w:w="4754" w:type="dxa"/>
            <w:gridSpan w:val="2"/>
            <w:tcBorders>
              <w:top w:val="single" w:sz="6" w:space="0" w:color="auto"/>
              <w:left w:val="single" w:sz="6" w:space="0" w:color="auto"/>
              <w:bottom w:val="single" w:sz="6" w:space="0" w:color="auto"/>
              <w:right w:val="single" w:sz="6" w:space="0" w:color="auto"/>
            </w:tcBorders>
            <w:vAlign w:val="center"/>
            <w:hideMark/>
          </w:tcPr>
          <w:p w14:paraId="094921CD" w14:textId="77777777" w:rsidR="006918A0" w:rsidRPr="00130899" w:rsidRDefault="006918A0" w:rsidP="006918A0">
            <w:pPr>
              <w:spacing w:beforeLines="20" w:before="48" w:afterLines="20" w:after="48" w:line="276" w:lineRule="auto"/>
              <w:ind w:left="984"/>
              <w:jc w:val="left"/>
              <w:rPr>
                <w:b/>
                <w:noProof/>
                <w:sz w:val="16"/>
              </w:rPr>
            </w:pPr>
            <w:r w:rsidRPr="00130899">
              <w:rPr>
                <w:noProof/>
                <w:sz w:val="16"/>
              </w:rPr>
              <w:t>20 01 02 01</w:t>
            </w:r>
            <w:r w:rsidRPr="00130899">
              <w:rPr>
                <w:rFonts w:ascii="Arial Narrow" w:hAnsi="Arial Narrow"/>
                <w:noProof/>
                <w:sz w:val="20"/>
              </w:rPr>
              <w:t xml:space="preserve"> </w:t>
            </w:r>
            <w:r w:rsidRPr="00130899">
              <w:rPr>
                <w:noProof/>
                <w:sz w:val="16"/>
              </w:rPr>
              <w:t>(Централа и представителства на Комисията)</w:t>
            </w:r>
          </w:p>
        </w:tc>
        <w:tc>
          <w:tcPr>
            <w:tcW w:w="731" w:type="dxa"/>
            <w:tcBorders>
              <w:top w:val="single" w:sz="6" w:space="0" w:color="auto"/>
              <w:left w:val="single" w:sz="6" w:space="0" w:color="auto"/>
              <w:bottom w:val="single" w:sz="6" w:space="0" w:color="auto"/>
              <w:right w:val="single" w:sz="6" w:space="0" w:color="auto"/>
            </w:tcBorders>
            <w:vAlign w:val="center"/>
            <w:hideMark/>
          </w:tcPr>
          <w:p w14:paraId="55A264D4" w14:textId="77777777" w:rsidR="006918A0" w:rsidRPr="00130899" w:rsidRDefault="006918A0" w:rsidP="006918A0">
            <w:pPr>
              <w:spacing w:beforeLines="20" w:before="48" w:afterLines="20" w:after="48" w:line="276" w:lineRule="auto"/>
              <w:jc w:val="center"/>
              <w:rPr>
                <w:noProof/>
                <w:sz w:val="16"/>
              </w:rPr>
            </w:pPr>
            <w:r w:rsidRPr="00130899">
              <w:rPr>
                <w:noProof/>
                <w:sz w:val="16"/>
              </w:rPr>
              <w:t>0,75</w:t>
            </w:r>
          </w:p>
        </w:tc>
        <w:tc>
          <w:tcPr>
            <w:tcW w:w="731" w:type="dxa"/>
            <w:tcBorders>
              <w:top w:val="single" w:sz="6" w:space="0" w:color="auto"/>
              <w:left w:val="single" w:sz="6" w:space="0" w:color="auto"/>
              <w:bottom w:val="single" w:sz="6" w:space="0" w:color="auto"/>
              <w:right w:val="single" w:sz="6" w:space="0" w:color="auto"/>
            </w:tcBorders>
            <w:vAlign w:val="center"/>
            <w:hideMark/>
          </w:tcPr>
          <w:p w14:paraId="5202EB10" w14:textId="77777777" w:rsidR="006918A0" w:rsidRPr="00130899" w:rsidRDefault="006918A0" w:rsidP="006918A0">
            <w:pPr>
              <w:spacing w:beforeLines="20" w:before="48" w:afterLines="20" w:after="48" w:line="276" w:lineRule="auto"/>
              <w:jc w:val="center"/>
              <w:rPr>
                <w:noProof/>
                <w:sz w:val="16"/>
              </w:rPr>
            </w:pPr>
            <w:r w:rsidRPr="00130899">
              <w:rPr>
                <w:noProof/>
                <w:sz w:val="16"/>
              </w:rPr>
              <w:t>1</w:t>
            </w:r>
          </w:p>
        </w:tc>
        <w:tc>
          <w:tcPr>
            <w:tcW w:w="731" w:type="dxa"/>
            <w:tcBorders>
              <w:top w:val="single" w:sz="6" w:space="0" w:color="auto"/>
              <w:left w:val="single" w:sz="6" w:space="0" w:color="auto"/>
              <w:bottom w:val="single" w:sz="6" w:space="0" w:color="auto"/>
              <w:right w:val="single" w:sz="6" w:space="0" w:color="auto"/>
            </w:tcBorders>
            <w:vAlign w:val="center"/>
            <w:hideMark/>
          </w:tcPr>
          <w:p w14:paraId="55009AAE" w14:textId="77777777" w:rsidR="006918A0" w:rsidRPr="00130899" w:rsidRDefault="006918A0" w:rsidP="006918A0">
            <w:pPr>
              <w:spacing w:beforeLines="20" w:before="48" w:afterLines="20" w:after="48" w:line="276" w:lineRule="auto"/>
              <w:jc w:val="center"/>
              <w:rPr>
                <w:noProof/>
                <w:sz w:val="16"/>
              </w:rPr>
            </w:pPr>
            <w:r w:rsidRPr="00130899">
              <w:rPr>
                <w:noProof/>
                <w:sz w:val="16"/>
              </w:rPr>
              <w:t>1</w:t>
            </w:r>
          </w:p>
        </w:tc>
        <w:tc>
          <w:tcPr>
            <w:tcW w:w="731" w:type="dxa"/>
            <w:tcBorders>
              <w:top w:val="single" w:sz="6" w:space="0" w:color="auto"/>
              <w:left w:val="single" w:sz="6" w:space="0" w:color="auto"/>
              <w:bottom w:val="single" w:sz="6" w:space="0" w:color="auto"/>
              <w:right w:val="single" w:sz="6" w:space="0" w:color="auto"/>
            </w:tcBorders>
            <w:vAlign w:val="center"/>
            <w:hideMark/>
          </w:tcPr>
          <w:p w14:paraId="133AE532" w14:textId="77777777" w:rsidR="006918A0" w:rsidRPr="00130899" w:rsidRDefault="006918A0" w:rsidP="006918A0">
            <w:pPr>
              <w:spacing w:beforeLines="20" w:before="48" w:afterLines="20" w:after="48" w:line="276" w:lineRule="auto"/>
              <w:jc w:val="center"/>
              <w:rPr>
                <w:noProof/>
                <w:sz w:val="16"/>
              </w:rPr>
            </w:pPr>
            <w:r w:rsidRPr="00130899">
              <w:rPr>
                <w:noProof/>
                <w:sz w:val="16"/>
              </w:rPr>
              <w:t>0,4</w:t>
            </w:r>
          </w:p>
        </w:tc>
        <w:tc>
          <w:tcPr>
            <w:tcW w:w="731" w:type="dxa"/>
            <w:tcBorders>
              <w:top w:val="single" w:sz="6" w:space="0" w:color="auto"/>
              <w:left w:val="single" w:sz="6" w:space="0" w:color="auto"/>
              <w:bottom w:val="single" w:sz="6" w:space="0" w:color="auto"/>
              <w:right w:val="single" w:sz="6" w:space="0" w:color="auto"/>
            </w:tcBorders>
            <w:vAlign w:val="center"/>
            <w:hideMark/>
          </w:tcPr>
          <w:p w14:paraId="55777CCA" w14:textId="77777777" w:rsidR="006918A0" w:rsidRPr="00130899" w:rsidRDefault="006918A0" w:rsidP="006918A0">
            <w:pPr>
              <w:spacing w:beforeLines="20" w:before="48" w:afterLines="20" w:after="48" w:line="276" w:lineRule="auto"/>
              <w:jc w:val="center"/>
              <w:rPr>
                <w:noProof/>
                <w:sz w:val="16"/>
              </w:rPr>
            </w:pPr>
            <w:r w:rsidRPr="00130899">
              <w:rPr>
                <w:noProof/>
                <w:sz w:val="16"/>
              </w:rPr>
              <w:t>0,1</w:t>
            </w:r>
          </w:p>
        </w:tc>
        <w:tc>
          <w:tcPr>
            <w:tcW w:w="1462" w:type="dxa"/>
            <w:tcBorders>
              <w:top w:val="single" w:sz="6" w:space="0" w:color="auto"/>
              <w:left w:val="single" w:sz="6" w:space="0" w:color="auto"/>
              <w:bottom w:val="single" w:sz="6" w:space="0" w:color="auto"/>
              <w:right w:val="single" w:sz="6" w:space="0" w:color="auto"/>
            </w:tcBorders>
            <w:vAlign w:val="center"/>
            <w:hideMark/>
          </w:tcPr>
          <w:p w14:paraId="63FB321D" w14:textId="77777777" w:rsidR="006918A0" w:rsidRPr="00130899" w:rsidRDefault="006918A0" w:rsidP="006918A0">
            <w:pPr>
              <w:spacing w:beforeLines="20" w:before="48" w:afterLines="20" w:after="48" w:line="276" w:lineRule="auto"/>
              <w:jc w:val="right"/>
              <w:rPr>
                <w:noProof/>
                <w:sz w:val="16"/>
              </w:rPr>
            </w:pPr>
            <w:r w:rsidRPr="00130899">
              <w:rPr>
                <w:b/>
                <w:noProof/>
                <w:sz w:val="16"/>
              </w:rPr>
              <w:t>3,25</w:t>
            </w:r>
          </w:p>
        </w:tc>
      </w:tr>
      <w:tr w:rsidR="006918A0" w:rsidRPr="00130899" w14:paraId="023D9A9E" w14:textId="77777777" w:rsidTr="000430BD">
        <w:trPr>
          <w:gridBefore w:val="1"/>
          <w:wBefore w:w="15" w:type="dxa"/>
          <w:trHeight w:val="289"/>
          <w:jc w:val="center"/>
        </w:trPr>
        <w:tc>
          <w:tcPr>
            <w:tcW w:w="4754" w:type="dxa"/>
            <w:gridSpan w:val="2"/>
            <w:tcBorders>
              <w:top w:val="single" w:sz="6" w:space="0" w:color="auto"/>
              <w:left w:val="single" w:sz="6" w:space="0" w:color="auto"/>
              <w:bottom w:val="single" w:sz="6" w:space="0" w:color="auto"/>
              <w:right w:val="single" w:sz="6" w:space="0" w:color="auto"/>
            </w:tcBorders>
            <w:vAlign w:val="center"/>
            <w:hideMark/>
          </w:tcPr>
          <w:p w14:paraId="42C79F92" w14:textId="77777777" w:rsidR="006918A0" w:rsidRPr="00130899" w:rsidRDefault="006918A0" w:rsidP="006918A0">
            <w:pPr>
              <w:spacing w:beforeLines="20" w:before="48" w:afterLines="20" w:after="48" w:line="276" w:lineRule="auto"/>
              <w:ind w:left="984"/>
              <w:jc w:val="left"/>
              <w:rPr>
                <w:noProof/>
                <w:sz w:val="16"/>
              </w:rPr>
            </w:pPr>
            <w:r w:rsidRPr="00130899">
              <w:rPr>
                <w:noProof/>
                <w:sz w:val="16"/>
              </w:rPr>
              <w:t>20 01 02 03 (Делегации)</w:t>
            </w:r>
          </w:p>
        </w:tc>
        <w:tc>
          <w:tcPr>
            <w:tcW w:w="731" w:type="dxa"/>
            <w:tcBorders>
              <w:top w:val="single" w:sz="6" w:space="0" w:color="auto"/>
              <w:left w:val="single" w:sz="6" w:space="0" w:color="auto"/>
              <w:bottom w:val="single" w:sz="6" w:space="0" w:color="auto"/>
              <w:right w:val="single" w:sz="6" w:space="0" w:color="auto"/>
            </w:tcBorders>
            <w:vAlign w:val="center"/>
          </w:tcPr>
          <w:p w14:paraId="7F416E5D"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0C33ED2F"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3F1EE03E"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1E8D7EE5"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3549DEE6" w14:textId="77777777" w:rsidR="006918A0" w:rsidRPr="00130899" w:rsidRDefault="006918A0" w:rsidP="006918A0">
            <w:pPr>
              <w:spacing w:beforeLines="20" w:before="48" w:afterLines="20" w:after="48" w:line="276" w:lineRule="auto"/>
              <w:jc w:val="center"/>
              <w:rPr>
                <w:noProof/>
                <w:sz w:val="16"/>
              </w:rPr>
            </w:pPr>
          </w:p>
        </w:tc>
        <w:tc>
          <w:tcPr>
            <w:tcW w:w="1462" w:type="dxa"/>
            <w:tcBorders>
              <w:top w:val="single" w:sz="6" w:space="0" w:color="auto"/>
              <w:left w:val="single" w:sz="6" w:space="0" w:color="auto"/>
              <w:bottom w:val="single" w:sz="6" w:space="0" w:color="auto"/>
              <w:right w:val="single" w:sz="6" w:space="0" w:color="auto"/>
            </w:tcBorders>
            <w:vAlign w:val="center"/>
          </w:tcPr>
          <w:p w14:paraId="6DF8F0DF" w14:textId="77777777" w:rsidR="006918A0" w:rsidRPr="00130899" w:rsidRDefault="006918A0" w:rsidP="006918A0">
            <w:pPr>
              <w:spacing w:beforeLines="20" w:before="48" w:afterLines="20" w:after="48" w:line="276" w:lineRule="auto"/>
              <w:jc w:val="center"/>
              <w:rPr>
                <w:noProof/>
                <w:sz w:val="16"/>
              </w:rPr>
            </w:pPr>
          </w:p>
        </w:tc>
      </w:tr>
      <w:tr w:rsidR="006918A0" w:rsidRPr="00130899" w14:paraId="402DB315" w14:textId="77777777" w:rsidTr="000430BD">
        <w:trPr>
          <w:gridBefore w:val="1"/>
          <w:wBefore w:w="15" w:type="dxa"/>
          <w:trHeight w:val="289"/>
          <w:jc w:val="center"/>
        </w:trPr>
        <w:tc>
          <w:tcPr>
            <w:tcW w:w="4754" w:type="dxa"/>
            <w:gridSpan w:val="2"/>
            <w:tcBorders>
              <w:top w:val="single" w:sz="6" w:space="0" w:color="auto"/>
              <w:left w:val="single" w:sz="6" w:space="0" w:color="auto"/>
              <w:bottom w:val="single" w:sz="6" w:space="0" w:color="auto"/>
              <w:right w:val="single" w:sz="6" w:space="0" w:color="auto"/>
            </w:tcBorders>
            <w:vAlign w:val="center"/>
            <w:hideMark/>
          </w:tcPr>
          <w:p w14:paraId="10615FC4" w14:textId="77777777" w:rsidR="006918A0" w:rsidRPr="00130899" w:rsidRDefault="006918A0" w:rsidP="006918A0">
            <w:pPr>
              <w:spacing w:beforeLines="20" w:before="48" w:afterLines="20" w:after="48" w:line="276" w:lineRule="auto"/>
              <w:ind w:left="984"/>
              <w:jc w:val="left"/>
              <w:rPr>
                <w:noProof/>
                <w:sz w:val="16"/>
              </w:rPr>
            </w:pPr>
            <w:r w:rsidRPr="00130899">
              <w:rPr>
                <w:noProof/>
                <w:sz w:val="16"/>
              </w:rPr>
              <w:t>01 01 01 01</w:t>
            </w:r>
            <w:r w:rsidRPr="00130899">
              <w:rPr>
                <w:rFonts w:ascii="Arial Narrow" w:hAnsi="Arial Narrow"/>
                <w:noProof/>
                <w:sz w:val="20"/>
              </w:rPr>
              <w:t xml:space="preserve"> </w:t>
            </w:r>
            <w:r w:rsidRPr="00130899">
              <w:rPr>
                <w:noProof/>
                <w:sz w:val="16"/>
              </w:rPr>
              <w:t>(Непреки научни изследвания)</w:t>
            </w:r>
          </w:p>
        </w:tc>
        <w:tc>
          <w:tcPr>
            <w:tcW w:w="731" w:type="dxa"/>
            <w:tcBorders>
              <w:top w:val="single" w:sz="6" w:space="0" w:color="auto"/>
              <w:left w:val="single" w:sz="6" w:space="0" w:color="auto"/>
              <w:bottom w:val="single" w:sz="6" w:space="0" w:color="auto"/>
              <w:right w:val="single" w:sz="6" w:space="0" w:color="auto"/>
            </w:tcBorders>
            <w:vAlign w:val="center"/>
          </w:tcPr>
          <w:p w14:paraId="02A396CF"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58DD3AF2"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3A2B3527"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26A2DE7A"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513DC8D5" w14:textId="77777777" w:rsidR="006918A0" w:rsidRPr="00130899" w:rsidRDefault="006918A0" w:rsidP="006918A0">
            <w:pPr>
              <w:spacing w:beforeLines="20" w:before="48" w:afterLines="20" w:after="48" w:line="276" w:lineRule="auto"/>
              <w:jc w:val="center"/>
              <w:rPr>
                <w:noProof/>
                <w:sz w:val="16"/>
              </w:rPr>
            </w:pPr>
          </w:p>
        </w:tc>
        <w:tc>
          <w:tcPr>
            <w:tcW w:w="1462" w:type="dxa"/>
            <w:tcBorders>
              <w:top w:val="single" w:sz="6" w:space="0" w:color="auto"/>
              <w:left w:val="single" w:sz="6" w:space="0" w:color="auto"/>
              <w:bottom w:val="single" w:sz="6" w:space="0" w:color="auto"/>
              <w:right w:val="single" w:sz="6" w:space="0" w:color="auto"/>
            </w:tcBorders>
            <w:vAlign w:val="center"/>
          </w:tcPr>
          <w:p w14:paraId="4A4E7D67" w14:textId="77777777" w:rsidR="006918A0" w:rsidRPr="00130899" w:rsidRDefault="006918A0" w:rsidP="006918A0">
            <w:pPr>
              <w:spacing w:beforeLines="20" w:before="48" w:afterLines="20" w:after="48" w:line="276" w:lineRule="auto"/>
              <w:jc w:val="center"/>
              <w:rPr>
                <w:noProof/>
                <w:sz w:val="16"/>
              </w:rPr>
            </w:pPr>
          </w:p>
        </w:tc>
      </w:tr>
      <w:tr w:rsidR="006918A0" w:rsidRPr="00130899" w14:paraId="660C975A" w14:textId="77777777" w:rsidTr="000430BD">
        <w:trPr>
          <w:gridBefore w:val="1"/>
          <w:wBefore w:w="15" w:type="dxa"/>
          <w:trHeight w:val="289"/>
          <w:jc w:val="center"/>
        </w:trPr>
        <w:tc>
          <w:tcPr>
            <w:tcW w:w="4754" w:type="dxa"/>
            <w:gridSpan w:val="2"/>
            <w:tcBorders>
              <w:top w:val="single" w:sz="6" w:space="0" w:color="auto"/>
              <w:left w:val="single" w:sz="6" w:space="0" w:color="auto"/>
              <w:bottom w:val="single" w:sz="6" w:space="0" w:color="auto"/>
              <w:right w:val="single" w:sz="6" w:space="0" w:color="auto"/>
            </w:tcBorders>
            <w:vAlign w:val="center"/>
            <w:hideMark/>
          </w:tcPr>
          <w:p w14:paraId="343BFE3A" w14:textId="77777777" w:rsidR="006918A0" w:rsidRPr="00130899" w:rsidRDefault="006918A0" w:rsidP="006918A0">
            <w:pPr>
              <w:spacing w:beforeLines="20" w:before="48" w:afterLines="20" w:after="48" w:line="276" w:lineRule="auto"/>
              <w:ind w:left="984"/>
              <w:jc w:val="left"/>
              <w:rPr>
                <w:noProof/>
                <w:sz w:val="16"/>
              </w:rPr>
            </w:pPr>
            <w:r w:rsidRPr="00130899">
              <w:rPr>
                <w:noProof/>
                <w:sz w:val="16"/>
              </w:rPr>
              <w:t xml:space="preserve"> 01 01 01 11 (Преки научни изследвания)</w:t>
            </w:r>
          </w:p>
        </w:tc>
        <w:tc>
          <w:tcPr>
            <w:tcW w:w="731" w:type="dxa"/>
            <w:tcBorders>
              <w:top w:val="single" w:sz="6" w:space="0" w:color="auto"/>
              <w:left w:val="single" w:sz="6" w:space="0" w:color="auto"/>
              <w:bottom w:val="single" w:sz="6" w:space="0" w:color="auto"/>
              <w:right w:val="single" w:sz="6" w:space="0" w:color="auto"/>
            </w:tcBorders>
            <w:vAlign w:val="center"/>
          </w:tcPr>
          <w:p w14:paraId="7C94C97D"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7302B91E"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4A84A5B7"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5DD63405"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7D969C26" w14:textId="77777777" w:rsidR="006918A0" w:rsidRPr="00130899" w:rsidRDefault="006918A0" w:rsidP="006918A0">
            <w:pPr>
              <w:spacing w:beforeLines="20" w:before="48" w:afterLines="20" w:after="48" w:line="276" w:lineRule="auto"/>
              <w:jc w:val="center"/>
              <w:rPr>
                <w:noProof/>
                <w:sz w:val="16"/>
              </w:rPr>
            </w:pPr>
          </w:p>
        </w:tc>
        <w:tc>
          <w:tcPr>
            <w:tcW w:w="1462" w:type="dxa"/>
            <w:tcBorders>
              <w:top w:val="single" w:sz="6" w:space="0" w:color="auto"/>
              <w:left w:val="single" w:sz="6" w:space="0" w:color="auto"/>
              <w:bottom w:val="single" w:sz="6" w:space="0" w:color="auto"/>
              <w:right w:val="single" w:sz="6" w:space="0" w:color="auto"/>
            </w:tcBorders>
            <w:vAlign w:val="center"/>
          </w:tcPr>
          <w:p w14:paraId="15F15312" w14:textId="77777777" w:rsidR="006918A0" w:rsidRPr="00130899" w:rsidRDefault="006918A0" w:rsidP="006918A0">
            <w:pPr>
              <w:spacing w:beforeLines="20" w:before="48" w:afterLines="20" w:after="48" w:line="276" w:lineRule="auto"/>
              <w:jc w:val="center"/>
              <w:rPr>
                <w:noProof/>
                <w:sz w:val="16"/>
              </w:rPr>
            </w:pPr>
          </w:p>
        </w:tc>
      </w:tr>
      <w:tr w:rsidR="006918A0" w:rsidRPr="00130899" w14:paraId="64A742B9" w14:textId="77777777" w:rsidTr="000430BD">
        <w:trPr>
          <w:gridBefore w:val="1"/>
          <w:wBefore w:w="15" w:type="dxa"/>
          <w:trHeight w:val="289"/>
          <w:jc w:val="center"/>
        </w:trPr>
        <w:tc>
          <w:tcPr>
            <w:tcW w:w="4754" w:type="dxa"/>
            <w:gridSpan w:val="2"/>
            <w:tcBorders>
              <w:top w:val="single" w:sz="6" w:space="0" w:color="auto"/>
              <w:left w:val="single" w:sz="6" w:space="0" w:color="auto"/>
              <w:bottom w:val="single" w:sz="6" w:space="0" w:color="auto"/>
              <w:right w:val="single" w:sz="6" w:space="0" w:color="auto"/>
            </w:tcBorders>
            <w:vAlign w:val="center"/>
            <w:hideMark/>
          </w:tcPr>
          <w:p w14:paraId="0C175248" w14:textId="77777777" w:rsidR="006918A0" w:rsidRPr="00130899" w:rsidRDefault="006918A0" w:rsidP="006918A0">
            <w:pPr>
              <w:spacing w:beforeLines="20" w:before="48" w:afterLines="20" w:after="48" w:line="276" w:lineRule="auto"/>
              <w:ind w:left="984"/>
              <w:jc w:val="left"/>
              <w:rPr>
                <w:noProof/>
                <w:sz w:val="16"/>
              </w:rPr>
            </w:pPr>
            <w:r w:rsidRPr="00130899">
              <w:rPr>
                <w:noProof/>
                <w:sz w:val="16"/>
              </w:rPr>
              <w:t>Други бюджетни редове (да се посочат)</w:t>
            </w:r>
          </w:p>
        </w:tc>
        <w:tc>
          <w:tcPr>
            <w:tcW w:w="731" w:type="dxa"/>
            <w:tcBorders>
              <w:top w:val="single" w:sz="6" w:space="0" w:color="auto"/>
              <w:left w:val="single" w:sz="6" w:space="0" w:color="auto"/>
              <w:bottom w:val="single" w:sz="6" w:space="0" w:color="auto"/>
              <w:right w:val="single" w:sz="6" w:space="0" w:color="auto"/>
            </w:tcBorders>
            <w:vAlign w:val="center"/>
          </w:tcPr>
          <w:p w14:paraId="75BC4DEC"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540658A9"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1284240A"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72674289"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7E7076BB" w14:textId="77777777" w:rsidR="006918A0" w:rsidRPr="00130899" w:rsidRDefault="006918A0" w:rsidP="006918A0">
            <w:pPr>
              <w:spacing w:beforeLines="20" w:before="48" w:afterLines="20" w:after="48" w:line="276" w:lineRule="auto"/>
              <w:jc w:val="center"/>
              <w:rPr>
                <w:noProof/>
                <w:sz w:val="16"/>
              </w:rPr>
            </w:pPr>
          </w:p>
        </w:tc>
        <w:tc>
          <w:tcPr>
            <w:tcW w:w="1462" w:type="dxa"/>
            <w:tcBorders>
              <w:top w:val="single" w:sz="6" w:space="0" w:color="auto"/>
              <w:left w:val="single" w:sz="6" w:space="0" w:color="auto"/>
              <w:bottom w:val="single" w:sz="6" w:space="0" w:color="auto"/>
              <w:right w:val="single" w:sz="6" w:space="0" w:color="auto"/>
            </w:tcBorders>
            <w:vAlign w:val="center"/>
          </w:tcPr>
          <w:p w14:paraId="3B87D29A" w14:textId="77777777" w:rsidR="006918A0" w:rsidRPr="00130899" w:rsidRDefault="006918A0" w:rsidP="006918A0">
            <w:pPr>
              <w:spacing w:beforeLines="20" w:before="48" w:afterLines="20" w:after="48" w:line="276" w:lineRule="auto"/>
              <w:jc w:val="center"/>
              <w:rPr>
                <w:noProof/>
                <w:sz w:val="16"/>
              </w:rPr>
            </w:pPr>
          </w:p>
        </w:tc>
      </w:tr>
      <w:tr w:rsidR="006918A0" w:rsidRPr="00130899" w14:paraId="39371835" w14:textId="77777777" w:rsidTr="000430BD">
        <w:trPr>
          <w:trHeight w:val="248"/>
          <w:jc w:val="center"/>
        </w:trPr>
        <w:tc>
          <w:tcPr>
            <w:tcW w:w="9886" w:type="dxa"/>
            <w:gridSpan w:val="9"/>
            <w:tcBorders>
              <w:top w:val="single" w:sz="6" w:space="0" w:color="auto"/>
              <w:left w:val="single" w:sz="6" w:space="0" w:color="auto"/>
              <w:bottom w:val="single" w:sz="6" w:space="0" w:color="auto"/>
              <w:right w:val="single" w:sz="6" w:space="0" w:color="auto"/>
            </w:tcBorders>
            <w:vAlign w:val="center"/>
          </w:tcPr>
          <w:p w14:paraId="7FB798CE" w14:textId="77777777" w:rsidR="006918A0" w:rsidRPr="00130899" w:rsidRDefault="006918A0" w:rsidP="006918A0">
            <w:pPr>
              <w:spacing w:before="60" w:after="60" w:line="276" w:lineRule="auto"/>
              <w:jc w:val="left"/>
              <w:rPr>
                <w:b/>
                <w:noProof/>
                <w:sz w:val="16"/>
              </w:rPr>
            </w:pPr>
            <w:r w:rsidRPr="00130899">
              <w:rPr>
                <w:b/>
                <w:noProof/>
                <w:sz w:val="16"/>
              </w:rPr>
              <w:sym w:font="Wingdings" w:char="F09F"/>
            </w:r>
            <w:r w:rsidRPr="00130899">
              <w:rPr>
                <w:b/>
                <w:noProof/>
                <w:sz w:val="16"/>
              </w:rPr>
              <w:t> Външен персонал (в еквивалент на пълно работно време: ЕПРВ)</w:t>
            </w:r>
            <w:r w:rsidRPr="00130899">
              <w:rPr>
                <w:rStyle w:val="FootnoteReference"/>
                <w:noProof/>
              </w:rPr>
              <w:footnoteReference w:id="55"/>
            </w:r>
          </w:p>
          <w:p w14:paraId="416E22BA" w14:textId="77777777" w:rsidR="006918A0" w:rsidRPr="00130899" w:rsidRDefault="006918A0" w:rsidP="006918A0">
            <w:pPr>
              <w:spacing w:before="0" w:after="0" w:line="276" w:lineRule="auto"/>
              <w:jc w:val="left"/>
              <w:rPr>
                <w:noProof/>
                <w:sz w:val="16"/>
              </w:rPr>
            </w:pPr>
          </w:p>
        </w:tc>
      </w:tr>
      <w:tr w:rsidR="006918A0" w:rsidRPr="00130899" w14:paraId="6FC90485" w14:textId="77777777" w:rsidTr="000430BD">
        <w:trPr>
          <w:gridBefore w:val="1"/>
          <w:wBefore w:w="15" w:type="dxa"/>
          <w:trHeight w:val="289"/>
          <w:jc w:val="center"/>
        </w:trPr>
        <w:tc>
          <w:tcPr>
            <w:tcW w:w="4754" w:type="dxa"/>
            <w:gridSpan w:val="2"/>
            <w:tcBorders>
              <w:top w:val="single" w:sz="6" w:space="0" w:color="auto"/>
              <w:left w:val="single" w:sz="6" w:space="0" w:color="auto"/>
              <w:bottom w:val="single" w:sz="6" w:space="0" w:color="auto"/>
              <w:right w:val="single" w:sz="6" w:space="0" w:color="auto"/>
            </w:tcBorders>
            <w:vAlign w:val="center"/>
            <w:hideMark/>
          </w:tcPr>
          <w:p w14:paraId="11A86C8B" w14:textId="77777777" w:rsidR="006918A0" w:rsidRPr="00130899" w:rsidRDefault="006918A0" w:rsidP="006918A0">
            <w:pPr>
              <w:spacing w:beforeLines="20" w:before="48" w:afterLines="20" w:after="48" w:line="276" w:lineRule="auto"/>
              <w:ind w:left="986"/>
              <w:jc w:val="left"/>
              <w:rPr>
                <w:b/>
                <w:noProof/>
                <w:sz w:val="16"/>
              </w:rPr>
            </w:pPr>
            <w:r w:rsidRPr="00130899">
              <w:rPr>
                <w:noProof/>
                <w:sz w:val="16"/>
              </w:rPr>
              <w:t>20 02 01</w:t>
            </w:r>
            <w:r w:rsidRPr="00130899">
              <w:rPr>
                <w:rFonts w:ascii="Arial Narrow" w:hAnsi="Arial Narrow"/>
                <w:noProof/>
                <w:sz w:val="20"/>
              </w:rPr>
              <w:t xml:space="preserve"> </w:t>
            </w:r>
            <w:r w:rsidRPr="00130899">
              <w:rPr>
                <w:noProof/>
                <w:sz w:val="16"/>
              </w:rPr>
              <w:t>(ДНП, КНЕ, ПНА от „общия финансов пакет“)</w:t>
            </w:r>
          </w:p>
        </w:tc>
        <w:tc>
          <w:tcPr>
            <w:tcW w:w="731" w:type="dxa"/>
            <w:tcBorders>
              <w:top w:val="single" w:sz="6" w:space="0" w:color="auto"/>
              <w:left w:val="single" w:sz="6" w:space="0" w:color="auto"/>
              <w:bottom w:val="single" w:sz="6" w:space="0" w:color="auto"/>
              <w:right w:val="single" w:sz="6" w:space="0" w:color="auto"/>
            </w:tcBorders>
            <w:vAlign w:val="center"/>
          </w:tcPr>
          <w:p w14:paraId="0558C852"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3A09B1A1"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20F03E0A"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3B88C339"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08B64763" w14:textId="77777777" w:rsidR="006918A0" w:rsidRPr="00130899" w:rsidRDefault="006918A0" w:rsidP="006918A0">
            <w:pPr>
              <w:spacing w:beforeLines="20" w:before="48" w:afterLines="20" w:after="48" w:line="276" w:lineRule="auto"/>
              <w:jc w:val="center"/>
              <w:rPr>
                <w:noProof/>
                <w:sz w:val="16"/>
              </w:rPr>
            </w:pPr>
          </w:p>
        </w:tc>
        <w:tc>
          <w:tcPr>
            <w:tcW w:w="1462" w:type="dxa"/>
            <w:tcBorders>
              <w:top w:val="single" w:sz="6" w:space="0" w:color="auto"/>
              <w:left w:val="single" w:sz="6" w:space="0" w:color="auto"/>
              <w:bottom w:val="single" w:sz="6" w:space="0" w:color="auto"/>
              <w:right w:val="single" w:sz="6" w:space="0" w:color="auto"/>
            </w:tcBorders>
            <w:vAlign w:val="center"/>
          </w:tcPr>
          <w:p w14:paraId="53DD6719" w14:textId="77777777" w:rsidR="006918A0" w:rsidRPr="00130899" w:rsidRDefault="006918A0" w:rsidP="006918A0">
            <w:pPr>
              <w:spacing w:beforeLines="20" w:before="48" w:afterLines="20" w:after="48" w:line="276" w:lineRule="auto"/>
              <w:jc w:val="center"/>
              <w:rPr>
                <w:noProof/>
                <w:sz w:val="16"/>
              </w:rPr>
            </w:pPr>
          </w:p>
        </w:tc>
      </w:tr>
      <w:tr w:rsidR="006918A0" w:rsidRPr="00130899" w14:paraId="1170097B" w14:textId="77777777" w:rsidTr="000430BD">
        <w:trPr>
          <w:gridBefore w:val="1"/>
          <w:wBefore w:w="15" w:type="dxa"/>
          <w:trHeight w:val="289"/>
          <w:jc w:val="center"/>
        </w:trPr>
        <w:tc>
          <w:tcPr>
            <w:tcW w:w="4754" w:type="dxa"/>
            <w:gridSpan w:val="2"/>
            <w:tcBorders>
              <w:top w:val="single" w:sz="6" w:space="0" w:color="auto"/>
              <w:left w:val="single" w:sz="6" w:space="0" w:color="auto"/>
              <w:bottom w:val="single" w:sz="6" w:space="0" w:color="auto"/>
              <w:right w:val="single" w:sz="6" w:space="0" w:color="auto"/>
            </w:tcBorders>
            <w:vAlign w:val="center"/>
            <w:hideMark/>
          </w:tcPr>
          <w:p w14:paraId="0DBF4560" w14:textId="77777777" w:rsidR="006918A0" w:rsidRPr="00130899" w:rsidRDefault="006918A0" w:rsidP="006918A0">
            <w:pPr>
              <w:spacing w:beforeLines="20" w:before="48" w:afterLines="20" w:after="48" w:line="276" w:lineRule="auto"/>
              <w:ind w:left="986"/>
              <w:jc w:val="left"/>
              <w:rPr>
                <w:noProof/>
                <w:sz w:val="16"/>
              </w:rPr>
            </w:pPr>
            <w:r w:rsidRPr="00130899">
              <w:rPr>
                <w:noProof/>
                <w:sz w:val="16"/>
              </w:rPr>
              <w:t>20 02 03 (ДНП, МП, КНЕ, ПНА и МЕД в делегациите)</w:t>
            </w:r>
          </w:p>
        </w:tc>
        <w:tc>
          <w:tcPr>
            <w:tcW w:w="731" w:type="dxa"/>
            <w:tcBorders>
              <w:top w:val="single" w:sz="6" w:space="0" w:color="auto"/>
              <w:left w:val="single" w:sz="6" w:space="0" w:color="auto"/>
              <w:bottom w:val="single" w:sz="6" w:space="0" w:color="auto"/>
              <w:right w:val="single" w:sz="6" w:space="0" w:color="auto"/>
            </w:tcBorders>
            <w:vAlign w:val="center"/>
          </w:tcPr>
          <w:p w14:paraId="7DD52C71"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7616F092"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69180540"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598E5DF6"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45B78DEB" w14:textId="77777777" w:rsidR="006918A0" w:rsidRPr="00130899" w:rsidRDefault="006918A0" w:rsidP="006918A0">
            <w:pPr>
              <w:spacing w:beforeLines="20" w:before="48" w:afterLines="20" w:after="48" w:line="276" w:lineRule="auto"/>
              <w:jc w:val="center"/>
              <w:rPr>
                <w:noProof/>
                <w:sz w:val="16"/>
              </w:rPr>
            </w:pPr>
          </w:p>
        </w:tc>
        <w:tc>
          <w:tcPr>
            <w:tcW w:w="1462" w:type="dxa"/>
            <w:tcBorders>
              <w:top w:val="single" w:sz="6" w:space="0" w:color="auto"/>
              <w:left w:val="single" w:sz="6" w:space="0" w:color="auto"/>
              <w:bottom w:val="single" w:sz="6" w:space="0" w:color="auto"/>
              <w:right w:val="single" w:sz="6" w:space="0" w:color="auto"/>
            </w:tcBorders>
            <w:vAlign w:val="center"/>
          </w:tcPr>
          <w:p w14:paraId="2DCC4B43" w14:textId="77777777" w:rsidR="006918A0" w:rsidRPr="00130899" w:rsidRDefault="006918A0" w:rsidP="006918A0">
            <w:pPr>
              <w:spacing w:beforeLines="20" w:before="48" w:afterLines="20" w:after="48" w:line="276" w:lineRule="auto"/>
              <w:jc w:val="center"/>
              <w:rPr>
                <w:noProof/>
                <w:sz w:val="16"/>
              </w:rPr>
            </w:pPr>
          </w:p>
        </w:tc>
      </w:tr>
      <w:tr w:rsidR="006918A0" w:rsidRPr="00130899" w14:paraId="7DEA6A58" w14:textId="77777777" w:rsidTr="000430BD">
        <w:trPr>
          <w:gridBefore w:val="1"/>
          <w:wBefore w:w="15" w:type="dxa"/>
          <w:trHeight w:val="289"/>
          <w:jc w:val="center"/>
        </w:trPr>
        <w:tc>
          <w:tcPr>
            <w:tcW w:w="2376" w:type="dxa"/>
            <w:vMerge w:val="restart"/>
            <w:tcBorders>
              <w:top w:val="single" w:sz="6" w:space="0" w:color="auto"/>
              <w:left w:val="single" w:sz="6" w:space="0" w:color="auto"/>
              <w:bottom w:val="single" w:sz="6" w:space="0" w:color="auto"/>
              <w:right w:val="single" w:sz="6" w:space="0" w:color="auto"/>
            </w:tcBorders>
            <w:vAlign w:val="center"/>
          </w:tcPr>
          <w:p w14:paraId="122879BF" w14:textId="77777777" w:rsidR="006918A0" w:rsidRPr="00130899" w:rsidRDefault="006918A0" w:rsidP="006918A0">
            <w:pPr>
              <w:spacing w:beforeLines="20" w:before="48" w:afterLines="20" w:after="48" w:line="276" w:lineRule="auto"/>
              <w:ind w:left="986"/>
              <w:jc w:val="left"/>
              <w:rPr>
                <w:b/>
                <w:noProof/>
                <w:sz w:val="16"/>
              </w:rPr>
            </w:pPr>
            <w:r w:rsidRPr="00130899">
              <w:rPr>
                <w:b/>
                <w:noProof/>
                <w:sz w:val="16"/>
              </w:rPr>
              <w:t>XX</w:t>
            </w:r>
            <w:r w:rsidRPr="00130899">
              <w:rPr>
                <w:noProof/>
                <w:sz w:val="16"/>
              </w:rPr>
              <w:t xml:space="preserve"> 01 xx </w:t>
            </w:r>
            <w:r w:rsidRPr="00130899">
              <w:rPr>
                <w:b/>
                <w:noProof/>
                <w:sz w:val="16"/>
              </w:rPr>
              <w:t xml:space="preserve">yy zz </w:t>
            </w:r>
            <w:r w:rsidRPr="00130899">
              <w:rPr>
                <w:b/>
                <w:i/>
                <w:noProof/>
                <w:sz w:val="16"/>
              </w:rPr>
              <w:t xml:space="preserve"> </w:t>
            </w:r>
            <w:r w:rsidRPr="00130899">
              <w:rPr>
                <w:rStyle w:val="FootnoteReference"/>
                <w:noProof/>
              </w:rPr>
              <w:footnoteReference w:id="56"/>
            </w:r>
          </w:p>
          <w:p w14:paraId="35D3417F" w14:textId="77777777" w:rsidR="006918A0" w:rsidRPr="00130899" w:rsidRDefault="006918A0" w:rsidP="006918A0">
            <w:pPr>
              <w:spacing w:beforeLines="20" w:before="48" w:afterLines="20" w:after="48" w:line="276" w:lineRule="auto"/>
              <w:ind w:left="986"/>
              <w:jc w:val="left"/>
              <w:rPr>
                <w:b/>
                <w:noProof/>
                <w:sz w:val="16"/>
              </w:rPr>
            </w:pPr>
          </w:p>
        </w:tc>
        <w:tc>
          <w:tcPr>
            <w:tcW w:w="2378" w:type="dxa"/>
            <w:tcBorders>
              <w:top w:val="single" w:sz="6" w:space="0" w:color="auto"/>
              <w:left w:val="single" w:sz="6" w:space="0" w:color="auto"/>
              <w:bottom w:val="single" w:sz="6" w:space="0" w:color="auto"/>
              <w:right w:val="single" w:sz="6" w:space="0" w:color="auto"/>
            </w:tcBorders>
            <w:vAlign w:val="center"/>
          </w:tcPr>
          <w:p w14:paraId="048465F4" w14:textId="77777777" w:rsidR="006918A0" w:rsidRPr="00130899" w:rsidRDefault="006918A0" w:rsidP="006918A0">
            <w:pPr>
              <w:spacing w:beforeLines="20" w:before="48" w:afterLines="20" w:after="48" w:line="276" w:lineRule="auto"/>
              <w:ind w:left="986"/>
              <w:jc w:val="left"/>
              <w:rPr>
                <w:b/>
                <w:noProof/>
                <w:sz w:val="16"/>
              </w:rPr>
            </w:pPr>
            <w:r w:rsidRPr="00130899">
              <w:rPr>
                <w:noProof/>
                <w:sz w:val="16"/>
              </w:rPr>
              <w:t>— в централата</w:t>
            </w:r>
          </w:p>
          <w:p w14:paraId="6647F9AF" w14:textId="77777777" w:rsidR="006918A0" w:rsidRPr="00130899" w:rsidRDefault="006918A0" w:rsidP="006918A0">
            <w:pPr>
              <w:spacing w:beforeLines="20" w:before="48" w:afterLines="20" w:after="48" w:line="276" w:lineRule="auto"/>
              <w:ind w:left="986"/>
              <w:jc w:val="left"/>
              <w:rPr>
                <w:b/>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7242A9AE" w14:textId="77777777" w:rsidR="006918A0" w:rsidRPr="00130899" w:rsidRDefault="006918A0" w:rsidP="006918A0">
            <w:pPr>
              <w:spacing w:beforeLines="20" w:before="48" w:afterLines="20" w:after="48" w:line="276" w:lineRule="auto"/>
              <w:ind w:left="850"/>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027462C3"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45FD91B4"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2BCB8F72"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3B4AC5DB" w14:textId="77777777" w:rsidR="006918A0" w:rsidRPr="00130899" w:rsidRDefault="006918A0" w:rsidP="006918A0">
            <w:pPr>
              <w:spacing w:beforeLines="20" w:before="48" w:afterLines="20" w:after="48" w:line="276" w:lineRule="auto"/>
              <w:jc w:val="center"/>
              <w:rPr>
                <w:noProof/>
                <w:sz w:val="16"/>
              </w:rPr>
            </w:pPr>
          </w:p>
        </w:tc>
        <w:tc>
          <w:tcPr>
            <w:tcW w:w="1462" w:type="dxa"/>
            <w:tcBorders>
              <w:top w:val="single" w:sz="6" w:space="0" w:color="auto"/>
              <w:left w:val="single" w:sz="6" w:space="0" w:color="auto"/>
              <w:bottom w:val="single" w:sz="6" w:space="0" w:color="auto"/>
              <w:right w:val="single" w:sz="6" w:space="0" w:color="auto"/>
            </w:tcBorders>
            <w:vAlign w:val="center"/>
          </w:tcPr>
          <w:p w14:paraId="3E953A4D" w14:textId="77777777" w:rsidR="006918A0" w:rsidRPr="00130899" w:rsidRDefault="006918A0" w:rsidP="006918A0">
            <w:pPr>
              <w:spacing w:beforeLines="20" w:before="48" w:afterLines="20" w:after="48" w:line="276" w:lineRule="auto"/>
              <w:jc w:val="center"/>
              <w:rPr>
                <w:noProof/>
                <w:sz w:val="16"/>
              </w:rPr>
            </w:pPr>
          </w:p>
        </w:tc>
      </w:tr>
      <w:tr w:rsidR="006918A0" w:rsidRPr="00130899" w14:paraId="782FD36C" w14:textId="77777777" w:rsidTr="004202F1">
        <w:trPr>
          <w:gridBefore w:val="1"/>
          <w:wBefore w:w="15" w:type="dxa"/>
          <w:trHeight w:val="289"/>
          <w:jc w:val="center"/>
        </w:trPr>
        <w:tc>
          <w:tcPr>
            <w:tcW w:w="9871" w:type="dxa"/>
            <w:vMerge/>
            <w:vAlign w:val="center"/>
            <w:hideMark/>
          </w:tcPr>
          <w:p w14:paraId="24FEB206" w14:textId="77777777" w:rsidR="006918A0" w:rsidRPr="00130899" w:rsidRDefault="006918A0" w:rsidP="006918A0">
            <w:pPr>
              <w:spacing w:before="0" w:after="0" w:line="276" w:lineRule="auto"/>
              <w:jc w:val="left"/>
              <w:rPr>
                <w:b/>
                <w:noProof/>
                <w:sz w:val="16"/>
              </w:rPr>
            </w:pPr>
          </w:p>
        </w:tc>
        <w:tc>
          <w:tcPr>
            <w:tcW w:w="2378" w:type="dxa"/>
            <w:tcBorders>
              <w:top w:val="single" w:sz="6" w:space="0" w:color="auto"/>
              <w:left w:val="single" w:sz="6" w:space="0" w:color="auto"/>
              <w:bottom w:val="single" w:sz="6" w:space="0" w:color="auto"/>
              <w:right w:val="single" w:sz="6" w:space="0" w:color="auto"/>
            </w:tcBorders>
            <w:vAlign w:val="center"/>
            <w:hideMark/>
          </w:tcPr>
          <w:p w14:paraId="5A0053FD" w14:textId="77777777" w:rsidR="006918A0" w:rsidRPr="00130899" w:rsidRDefault="006918A0" w:rsidP="006918A0">
            <w:pPr>
              <w:spacing w:beforeLines="20" w:before="48" w:afterLines="20" w:after="48" w:line="276" w:lineRule="auto"/>
              <w:ind w:left="986"/>
              <w:jc w:val="left"/>
              <w:rPr>
                <w:b/>
                <w:noProof/>
                <w:sz w:val="16"/>
              </w:rPr>
            </w:pPr>
            <w:r w:rsidRPr="00130899">
              <w:rPr>
                <w:noProof/>
                <w:sz w:val="16"/>
              </w:rPr>
              <w:t xml:space="preserve">— в делегациите </w:t>
            </w:r>
          </w:p>
        </w:tc>
        <w:tc>
          <w:tcPr>
            <w:tcW w:w="731" w:type="dxa"/>
            <w:tcBorders>
              <w:top w:val="single" w:sz="6" w:space="0" w:color="auto"/>
              <w:left w:val="single" w:sz="6" w:space="0" w:color="auto"/>
              <w:bottom w:val="single" w:sz="6" w:space="0" w:color="auto"/>
              <w:right w:val="single" w:sz="6" w:space="0" w:color="auto"/>
            </w:tcBorders>
            <w:vAlign w:val="center"/>
          </w:tcPr>
          <w:p w14:paraId="59A2F982" w14:textId="77777777" w:rsidR="006918A0" w:rsidRPr="00130899" w:rsidRDefault="006918A0" w:rsidP="006918A0">
            <w:pPr>
              <w:spacing w:beforeLines="20" w:before="48" w:afterLines="20" w:after="48" w:line="276" w:lineRule="auto"/>
              <w:ind w:left="850"/>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5C4ADFF1"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3F7E1A16"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63BB894B"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2C8EF124" w14:textId="77777777" w:rsidR="006918A0" w:rsidRPr="00130899" w:rsidRDefault="006918A0" w:rsidP="006918A0">
            <w:pPr>
              <w:spacing w:beforeLines="20" w:before="48" w:afterLines="20" w:after="48" w:line="276" w:lineRule="auto"/>
              <w:jc w:val="center"/>
              <w:rPr>
                <w:noProof/>
                <w:sz w:val="16"/>
              </w:rPr>
            </w:pPr>
          </w:p>
        </w:tc>
        <w:tc>
          <w:tcPr>
            <w:tcW w:w="1462" w:type="dxa"/>
            <w:tcBorders>
              <w:top w:val="single" w:sz="6" w:space="0" w:color="auto"/>
              <w:left w:val="single" w:sz="6" w:space="0" w:color="auto"/>
              <w:bottom w:val="single" w:sz="6" w:space="0" w:color="auto"/>
              <w:right w:val="single" w:sz="6" w:space="0" w:color="auto"/>
            </w:tcBorders>
            <w:vAlign w:val="center"/>
          </w:tcPr>
          <w:p w14:paraId="02C5C554" w14:textId="77777777" w:rsidR="006918A0" w:rsidRPr="00130899" w:rsidRDefault="006918A0" w:rsidP="006918A0">
            <w:pPr>
              <w:spacing w:beforeLines="20" w:before="48" w:afterLines="20" w:after="48" w:line="276" w:lineRule="auto"/>
              <w:jc w:val="center"/>
              <w:rPr>
                <w:noProof/>
                <w:sz w:val="16"/>
              </w:rPr>
            </w:pPr>
          </w:p>
        </w:tc>
      </w:tr>
      <w:tr w:rsidR="006918A0" w:rsidRPr="00130899" w14:paraId="46739F78" w14:textId="77777777" w:rsidTr="000430BD">
        <w:trPr>
          <w:gridBefore w:val="1"/>
          <w:wBefore w:w="15" w:type="dxa"/>
          <w:trHeight w:val="289"/>
          <w:jc w:val="center"/>
        </w:trPr>
        <w:tc>
          <w:tcPr>
            <w:tcW w:w="4754" w:type="dxa"/>
            <w:gridSpan w:val="2"/>
            <w:tcBorders>
              <w:top w:val="single" w:sz="6" w:space="0" w:color="auto"/>
              <w:left w:val="single" w:sz="6" w:space="0" w:color="auto"/>
              <w:bottom w:val="single" w:sz="6" w:space="0" w:color="auto"/>
              <w:right w:val="single" w:sz="6" w:space="0" w:color="auto"/>
            </w:tcBorders>
            <w:vAlign w:val="center"/>
            <w:hideMark/>
          </w:tcPr>
          <w:p w14:paraId="5DCEC102" w14:textId="77777777" w:rsidR="006918A0" w:rsidRPr="00130899" w:rsidRDefault="006918A0" w:rsidP="006918A0">
            <w:pPr>
              <w:spacing w:beforeLines="20" w:before="48" w:afterLines="20" w:after="48" w:line="276" w:lineRule="auto"/>
              <w:ind w:left="986"/>
              <w:jc w:val="left"/>
              <w:rPr>
                <w:noProof/>
                <w:sz w:val="16"/>
              </w:rPr>
            </w:pPr>
            <w:r w:rsidRPr="00130899">
              <w:rPr>
                <w:noProof/>
                <w:sz w:val="16"/>
              </w:rPr>
              <w:t>01 01 01 02</w:t>
            </w:r>
            <w:r w:rsidRPr="00130899">
              <w:rPr>
                <w:rFonts w:ascii="Arial Narrow" w:hAnsi="Arial Narrow"/>
                <w:noProof/>
                <w:sz w:val="20"/>
              </w:rPr>
              <w:t xml:space="preserve"> </w:t>
            </w:r>
            <w:r w:rsidRPr="00130899">
              <w:rPr>
                <w:noProof/>
                <w:sz w:val="16"/>
              </w:rPr>
              <w:t>(ДНП, КНЕ, ПНА — Непреки научни изследвания)</w:t>
            </w:r>
          </w:p>
        </w:tc>
        <w:tc>
          <w:tcPr>
            <w:tcW w:w="731" w:type="dxa"/>
            <w:tcBorders>
              <w:top w:val="single" w:sz="6" w:space="0" w:color="auto"/>
              <w:left w:val="single" w:sz="6" w:space="0" w:color="auto"/>
              <w:bottom w:val="single" w:sz="6" w:space="0" w:color="auto"/>
              <w:right w:val="single" w:sz="6" w:space="0" w:color="auto"/>
            </w:tcBorders>
            <w:vAlign w:val="center"/>
          </w:tcPr>
          <w:p w14:paraId="5FCF5459"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2FE3C661"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503E4E3B"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014C02DB"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5C1641BB" w14:textId="77777777" w:rsidR="006918A0" w:rsidRPr="00130899" w:rsidRDefault="006918A0" w:rsidP="006918A0">
            <w:pPr>
              <w:spacing w:beforeLines="20" w:before="48" w:afterLines="20" w:after="48" w:line="276" w:lineRule="auto"/>
              <w:jc w:val="center"/>
              <w:rPr>
                <w:noProof/>
                <w:sz w:val="16"/>
              </w:rPr>
            </w:pPr>
          </w:p>
        </w:tc>
        <w:tc>
          <w:tcPr>
            <w:tcW w:w="1462" w:type="dxa"/>
            <w:tcBorders>
              <w:top w:val="single" w:sz="6" w:space="0" w:color="auto"/>
              <w:left w:val="single" w:sz="6" w:space="0" w:color="auto"/>
              <w:bottom w:val="single" w:sz="6" w:space="0" w:color="auto"/>
              <w:right w:val="single" w:sz="6" w:space="0" w:color="auto"/>
            </w:tcBorders>
            <w:vAlign w:val="center"/>
          </w:tcPr>
          <w:p w14:paraId="5CE48949" w14:textId="77777777" w:rsidR="006918A0" w:rsidRPr="00130899" w:rsidRDefault="006918A0" w:rsidP="006918A0">
            <w:pPr>
              <w:spacing w:beforeLines="20" w:before="48" w:afterLines="20" w:after="48" w:line="276" w:lineRule="auto"/>
              <w:jc w:val="center"/>
              <w:rPr>
                <w:noProof/>
                <w:sz w:val="16"/>
              </w:rPr>
            </w:pPr>
          </w:p>
        </w:tc>
      </w:tr>
      <w:tr w:rsidR="006918A0" w:rsidRPr="00130899" w14:paraId="1CF4F5B6" w14:textId="77777777" w:rsidTr="000430BD">
        <w:trPr>
          <w:gridBefore w:val="1"/>
          <w:wBefore w:w="15" w:type="dxa"/>
          <w:trHeight w:val="289"/>
          <w:jc w:val="center"/>
        </w:trPr>
        <w:tc>
          <w:tcPr>
            <w:tcW w:w="4754" w:type="dxa"/>
            <w:gridSpan w:val="2"/>
            <w:tcBorders>
              <w:top w:val="single" w:sz="6" w:space="0" w:color="auto"/>
              <w:left w:val="single" w:sz="6" w:space="0" w:color="auto"/>
              <w:bottom w:val="single" w:sz="6" w:space="0" w:color="auto"/>
              <w:right w:val="single" w:sz="6" w:space="0" w:color="auto"/>
            </w:tcBorders>
            <w:vAlign w:val="center"/>
            <w:hideMark/>
          </w:tcPr>
          <w:p w14:paraId="5CB9924A" w14:textId="77777777" w:rsidR="006918A0" w:rsidRPr="00130899" w:rsidRDefault="006918A0" w:rsidP="006918A0">
            <w:pPr>
              <w:spacing w:beforeLines="20" w:before="48" w:afterLines="20" w:after="48" w:line="276" w:lineRule="auto"/>
              <w:ind w:left="986"/>
              <w:jc w:val="left"/>
              <w:rPr>
                <w:noProof/>
                <w:color w:val="FF0000"/>
                <w:sz w:val="16"/>
              </w:rPr>
            </w:pPr>
            <w:r w:rsidRPr="00130899">
              <w:rPr>
                <w:noProof/>
                <w:sz w:val="16"/>
              </w:rPr>
              <w:t xml:space="preserve"> 01 01 01 12 (ДНП, КНЕ, ПНА — Преки научни изследвания)</w:t>
            </w:r>
          </w:p>
        </w:tc>
        <w:tc>
          <w:tcPr>
            <w:tcW w:w="731" w:type="dxa"/>
            <w:tcBorders>
              <w:top w:val="single" w:sz="6" w:space="0" w:color="auto"/>
              <w:left w:val="single" w:sz="6" w:space="0" w:color="auto"/>
              <w:bottom w:val="single" w:sz="6" w:space="0" w:color="auto"/>
              <w:right w:val="single" w:sz="6" w:space="0" w:color="auto"/>
            </w:tcBorders>
            <w:vAlign w:val="center"/>
          </w:tcPr>
          <w:p w14:paraId="562DF69A"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3C5A43FE"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6DEF3D24"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0E096E11"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1AD02984" w14:textId="77777777" w:rsidR="006918A0" w:rsidRPr="00130899" w:rsidRDefault="006918A0" w:rsidP="006918A0">
            <w:pPr>
              <w:spacing w:beforeLines="20" w:before="48" w:afterLines="20" w:after="48" w:line="276" w:lineRule="auto"/>
              <w:jc w:val="center"/>
              <w:rPr>
                <w:noProof/>
                <w:sz w:val="16"/>
              </w:rPr>
            </w:pPr>
          </w:p>
        </w:tc>
        <w:tc>
          <w:tcPr>
            <w:tcW w:w="1462" w:type="dxa"/>
            <w:tcBorders>
              <w:top w:val="single" w:sz="6" w:space="0" w:color="auto"/>
              <w:left w:val="single" w:sz="6" w:space="0" w:color="auto"/>
              <w:bottom w:val="single" w:sz="6" w:space="0" w:color="auto"/>
              <w:right w:val="single" w:sz="6" w:space="0" w:color="auto"/>
            </w:tcBorders>
            <w:vAlign w:val="center"/>
          </w:tcPr>
          <w:p w14:paraId="3ED56E4A" w14:textId="77777777" w:rsidR="006918A0" w:rsidRPr="00130899" w:rsidRDefault="006918A0" w:rsidP="006918A0">
            <w:pPr>
              <w:spacing w:beforeLines="20" w:before="48" w:afterLines="20" w:after="48" w:line="276" w:lineRule="auto"/>
              <w:jc w:val="center"/>
              <w:rPr>
                <w:noProof/>
                <w:sz w:val="16"/>
              </w:rPr>
            </w:pPr>
          </w:p>
        </w:tc>
      </w:tr>
      <w:tr w:rsidR="006918A0" w:rsidRPr="00130899" w14:paraId="3506C152" w14:textId="77777777" w:rsidTr="000430BD">
        <w:trPr>
          <w:gridBefore w:val="1"/>
          <w:wBefore w:w="15" w:type="dxa"/>
          <w:trHeight w:val="289"/>
          <w:jc w:val="center"/>
        </w:trPr>
        <w:tc>
          <w:tcPr>
            <w:tcW w:w="4754" w:type="dxa"/>
            <w:gridSpan w:val="2"/>
            <w:tcBorders>
              <w:top w:val="single" w:sz="6" w:space="0" w:color="auto"/>
              <w:left w:val="single" w:sz="6" w:space="0" w:color="auto"/>
              <w:bottom w:val="single" w:sz="6" w:space="0" w:color="auto"/>
              <w:right w:val="single" w:sz="6" w:space="0" w:color="auto"/>
            </w:tcBorders>
            <w:vAlign w:val="center"/>
            <w:hideMark/>
          </w:tcPr>
          <w:p w14:paraId="7C82FF03" w14:textId="77777777" w:rsidR="006918A0" w:rsidRPr="00130899" w:rsidRDefault="006918A0" w:rsidP="006918A0">
            <w:pPr>
              <w:spacing w:beforeLines="20" w:before="48" w:afterLines="20" w:after="48" w:line="276" w:lineRule="auto"/>
              <w:ind w:left="986"/>
              <w:jc w:val="left"/>
              <w:rPr>
                <w:noProof/>
                <w:sz w:val="16"/>
              </w:rPr>
            </w:pPr>
            <w:r w:rsidRPr="00130899">
              <w:rPr>
                <w:noProof/>
                <w:sz w:val="16"/>
              </w:rPr>
              <w:t>Други бюджетни редове (да се посочат)</w:t>
            </w:r>
          </w:p>
        </w:tc>
        <w:tc>
          <w:tcPr>
            <w:tcW w:w="731" w:type="dxa"/>
            <w:tcBorders>
              <w:top w:val="single" w:sz="6" w:space="0" w:color="auto"/>
              <w:left w:val="single" w:sz="6" w:space="0" w:color="auto"/>
              <w:bottom w:val="single" w:sz="6" w:space="0" w:color="auto"/>
              <w:right w:val="single" w:sz="6" w:space="0" w:color="auto"/>
            </w:tcBorders>
            <w:vAlign w:val="center"/>
          </w:tcPr>
          <w:p w14:paraId="487E0343"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254FEDD8"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06643C68"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4E6E1974" w14:textId="77777777" w:rsidR="006918A0" w:rsidRPr="00130899" w:rsidRDefault="006918A0" w:rsidP="006918A0">
            <w:pPr>
              <w:spacing w:beforeLines="20" w:before="48" w:afterLines="20" w:after="48" w:line="276" w:lineRule="auto"/>
              <w:jc w:val="center"/>
              <w:rPr>
                <w:noProof/>
                <w:sz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70D34F67" w14:textId="77777777" w:rsidR="006918A0" w:rsidRPr="00130899" w:rsidRDefault="006918A0" w:rsidP="006918A0">
            <w:pPr>
              <w:spacing w:beforeLines="20" w:before="48" w:afterLines="20" w:after="48" w:line="276" w:lineRule="auto"/>
              <w:jc w:val="center"/>
              <w:rPr>
                <w:noProof/>
                <w:sz w:val="16"/>
              </w:rPr>
            </w:pPr>
          </w:p>
        </w:tc>
        <w:tc>
          <w:tcPr>
            <w:tcW w:w="1462" w:type="dxa"/>
            <w:tcBorders>
              <w:top w:val="single" w:sz="6" w:space="0" w:color="auto"/>
              <w:left w:val="single" w:sz="6" w:space="0" w:color="auto"/>
              <w:bottom w:val="single" w:sz="6" w:space="0" w:color="auto"/>
              <w:right w:val="single" w:sz="6" w:space="0" w:color="auto"/>
            </w:tcBorders>
            <w:vAlign w:val="center"/>
          </w:tcPr>
          <w:p w14:paraId="759A2191" w14:textId="77777777" w:rsidR="006918A0" w:rsidRPr="00130899" w:rsidRDefault="006918A0" w:rsidP="006918A0">
            <w:pPr>
              <w:spacing w:beforeLines="20" w:before="48" w:afterLines="20" w:after="48" w:line="276" w:lineRule="auto"/>
              <w:jc w:val="center"/>
              <w:rPr>
                <w:noProof/>
                <w:sz w:val="16"/>
              </w:rPr>
            </w:pPr>
          </w:p>
        </w:tc>
      </w:tr>
      <w:tr w:rsidR="006918A0" w:rsidRPr="00130899" w14:paraId="676C0873" w14:textId="77777777" w:rsidTr="000430BD">
        <w:trPr>
          <w:gridBefore w:val="1"/>
          <w:wBefore w:w="15" w:type="dxa"/>
          <w:trHeight w:val="289"/>
          <w:jc w:val="center"/>
        </w:trPr>
        <w:tc>
          <w:tcPr>
            <w:tcW w:w="4754" w:type="dxa"/>
            <w:gridSpan w:val="2"/>
            <w:tcBorders>
              <w:top w:val="double" w:sz="4" w:space="0" w:color="auto"/>
              <w:left w:val="single" w:sz="6" w:space="0" w:color="auto"/>
              <w:bottom w:val="single" w:sz="6" w:space="0" w:color="auto"/>
              <w:right w:val="single" w:sz="6" w:space="0" w:color="auto"/>
            </w:tcBorders>
            <w:vAlign w:val="center"/>
            <w:hideMark/>
          </w:tcPr>
          <w:p w14:paraId="5F333430" w14:textId="77777777" w:rsidR="006918A0" w:rsidRPr="00130899" w:rsidRDefault="006918A0" w:rsidP="006918A0">
            <w:pPr>
              <w:spacing w:beforeLines="20" w:before="48" w:afterLines="20" w:after="48" w:line="276" w:lineRule="auto"/>
              <w:ind w:left="986"/>
              <w:jc w:val="left"/>
              <w:rPr>
                <w:noProof/>
                <w:sz w:val="16"/>
              </w:rPr>
            </w:pPr>
            <w:r w:rsidRPr="00130899">
              <w:rPr>
                <w:b/>
                <w:noProof/>
                <w:sz w:val="16"/>
              </w:rPr>
              <w:t>ОБЩО</w:t>
            </w:r>
          </w:p>
        </w:tc>
        <w:tc>
          <w:tcPr>
            <w:tcW w:w="731" w:type="dxa"/>
            <w:tcBorders>
              <w:top w:val="double" w:sz="4" w:space="0" w:color="auto"/>
              <w:left w:val="single" w:sz="6" w:space="0" w:color="auto"/>
              <w:bottom w:val="single" w:sz="6" w:space="0" w:color="auto"/>
              <w:right w:val="single" w:sz="6" w:space="0" w:color="auto"/>
            </w:tcBorders>
            <w:vAlign w:val="center"/>
            <w:hideMark/>
          </w:tcPr>
          <w:p w14:paraId="4A6607A1" w14:textId="77777777" w:rsidR="006918A0" w:rsidRPr="00130899" w:rsidRDefault="006918A0" w:rsidP="006918A0">
            <w:pPr>
              <w:spacing w:beforeLines="20" w:before="48" w:afterLines="20" w:after="48" w:line="276" w:lineRule="auto"/>
              <w:jc w:val="center"/>
              <w:rPr>
                <w:b/>
                <w:noProof/>
                <w:sz w:val="16"/>
              </w:rPr>
            </w:pPr>
            <w:r w:rsidRPr="00130899">
              <w:rPr>
                <w:b/>
                <w:noProof/>
                <w:sz w:val="16"/>
              </w:rPr>
              <w:t>0,75</w:t>
            </w:r>
          </w:p>
        </w:tc>
        <w:tc>
          <w:tcPr>
            <w:tcW w:w="731" w:type="dxa"/>
            <w:tcBorders>
              <w:top w:val="double" w:sz="4" w:space="0" w:color="auto"/>
              <w:left w:val="single" w:sz="6" w:space="0" w:color="auto"/>
              <w:bottom w:val="single" w:sz="6" w:space="0" w:color="auto"/>
              <w:right w:val="single" w:sz="6" w:space="0" w:color="auto"/>
            </w:tcBorders>
            <w:vAlign w:val="center"/>
            <w:hideMark/>
          </w:tcPr>
          <w:p w14:paraId="473F7E6F" w14:textId="77777777" w:rsidR="006918A0" w:rsidRPr="00130899" w:rsidRDefault="006918A0" w:rsidP="006918A0">
            <w:pPr>
              <w:spacing w:beforeLines="20" w:before="48" w:afterLines="20" w:after="48" w:line="276" w:lineRule="auto"/>
              <w:jc w:val="center"/>
              <w:rPr>
                <w:b/>
                <w:noProof/>
                <w:sz w:val="16"/>
              </w:rPr>
            </w:pPr>
            <w:r w:rsidRPr="00130899">
              <w:rPr>
                <w:b/>
                <w:noProof/>
                <w:sz w:val="16"/>
              </w:rPr>
              <w:t>1</w:t>
            </w:r>
          </w:p>
        </w:tc>
        <w:tc>
          <w:tcPr>
            <w:tcW w:w="731" w:type="dxa"/>
            <w:tcBorders>
              <w:top w:val="double" w:sz="4" w:space="0" w:color="auto"/>
              <w:left w:val="single" w:sz="6" w:space="0" w:color="auto"/>
              <w:bottom w:val="single" w:sz="6" w:space="0" w:color="auto"/>
              <w:right w:val="single" w:sz="6" w:space="0" w:color="auto"/>
            </w:tcBorders>
            <w:vAlign w:val="center"/>
            <w:hideMark/>
          </w:tcPr>
          <w:p w14:paraId="69E24515" w14:textId="77777777" w:rsidR="006918A0" w:rsidRPr="00130899" w:rsidRDefault="006918A0" w:rsidP="006918A0">
            <w:pPr>
              <w:spacing w:beforeLines="20" w:before="48" w:afterLines="20" w:after="48" w:line="276" w:lineRule="auto"/>
              <w:jc w:val="center"/>
              <w:rPr>
                <w:b/>
                <w:noProof/>
                <w:sz w:val="16"/>
              </w:rPr>
            </w:pPr>
            <w:r w:rsidRPr="00130899">
              <w:rPr>
                <w:b/>
                <w:noProof/>
                <w:sz w:val="16"/>
              </w:rPr>
              <w:t>1</w:t>
            </w:r>
          </w:p>
        </w:tc>
        <w:tc>
          <w:tcPr>
            <w:tcW w:w="731" w:type="dxa"/>
            <w:tcBorders>
              <w:top w:val="double" w:sz="4" w:space="0" w:color="auto"/>
              <w:left w:val="single" w:sz="6" w:space="0" w:color="auto"/>
              <w:bottom w:val="single" w:sz="6" w:space="0" w:color="auto"/>
              <w:right w:val="single" w:sz="6" w:space="0" w:color="auto"/>
            </w:tcBorders>
            <w:vAlign w:val="center"/>
            <w:hideMark/>
          </w:tcPr>
          <w:p w14:paraId="288131E3" w14:textId="77777777" w:rsidR="006918A0" w:rsidRPr="00130899" w:rsidRDefault="006918A0" w:rsidP="006918A0">
            <w:pPr>
              <w:spacing w:beforeLines="20" w:before="48" w:afterLines="20" w:after="48" w:line="276" w:lineRule="auto"/>
              <w:jc w:val="center"/>
              <w:rPr>
                <w:b/>
                <w:noProof/>
                <w:sz w:val="16"/>
              </w:rPr>
            </w:pPr>
            <w:r w:rsidRPr="00130899">
              <w:rPr>
                <w:b/>
                <w:noProof/>
                <w:sz w:val="16"/>
              </w:rPr>
              <w:t>0,4</w:t>
            </w:r>
          </w:p>
        </w:tc>
        <w:tc>
          <w:tcPr>
            <w:tcW w:w="731" w:type="dxa"/>
            <w:tcBorders>
              <w:top w:val="double" w:sz="4" w:space="0" w:color="auto"/>
              <w:left w:val="single" w:sz="6" w:space="0" w:color="auto"/>
              <w:bottom w:val="single" w:sz="6" w:space="0" w:color="auto"/>
              <w:right w:val="single" w:sz="6" w:space="0" w:color="auto"/>
            </w:tcBorders>
            <w:vAlign w:val="center"/>
            <w:hideMark/>
          </w:tcPr>
          <w:p w14:paraId="7F63A395" w14:textId="77777777" w:rsidR="006918A0" w:rsidRPr="00130899" w:rsidRDefault="006918A0" w:rsidP="006918A0">
            <w:pPr>
              <w:spacing w:beforeLines="20" w:before="48" w:afterLines="20" w:after="48" w:line="276" w:lineRule="auto"/>
              <w:jc w:val="center"/>
              <w:rPr>
                <w:b/>
                <w:noProof/>
                <w:sz w:val="16"/>
              </w:rPr>
            </w:pPr>
            <w:r w:rsidRPr="00130899">
              <w:rPr>
                <w:b/>
                <w:noProof/>
                <w:sz w:val="16"/>
              </w:rPr>
              <w:t>0,1</w:t>
            </w:r>
          </w:p>
        </w:tc>
        <w:tc>
          <w:tcPr>
            <w:tcW w:w="1462" w:type="dxa"/>
            <w:tcBorders>
              <w:top w:val="double" w:sz="4" w:space="0" w:color="auto"/>
              <w:left w:val="single" w:sz="6" w:space="0" w:color="auto"/>
              <w:bottom w:val="single" w:sz="6" w:space="0" w:color="auto"/>
              <w:right w:val="single" w:sz="6" w:space="0" w:color="auto"/>
            </w:tcBorders>
            <w:vAlign w:val="center"/>
            <w:hideMark/>
          </w:tcPr>
          <w:p w14:paraId="2C878E54" w14:textId="77777777" w:rsidR="006918A0" w:rsidRPr="00130899" w:rsidRDefault="006918A0" w:rsidP="006918A0">
            <w:pPr>
              <w:spacing w:beforeLines="20" w:before="48" w:afterLines="20" w:after="48" w:line="276" w:lineRule="auto"/>
              <w:jc w:val="right"/>
              <w:rPr>
                <w:b/>
                <w:noProof/>
                <w:sz w:val="16"/>
              </w:rPr>
            </w:pPr>
            <w:r w:rsidRPr="00130899">
              <w:rPr>
                <w:b/>
                <w:noProof/>
                <w:sz w:val="16"/>
              </w:rPr>
              <w:t>3,25</w:t>
            </w:r>
          </w:p>
        </w:tc>
      </w:tr>
    </w:tbl>
    <w:p w14:paraId="368D1F1C" w14:textId="77777777" w:rsidR="006918A0" w:rsidRPr="00130899" w:rsidRDefault="006918A0" w:rsidP="006918A0">
      <w:pPr>
        <w:tabs>
          <w:tab w:val="left" w:pos="720"/>
        </w:tabs>
        <w:ind w:left="1134" w:hanging="283"/>
        <w:rPr>
          <w:noProof/>
        </w:rPr>
      </w:pPr>
    </w:p>
    <w:p w14:paraId="5EEF4E43" w14:textId="77777777" w:rsidR="006918A0" w:rsidRPr="00130899" w:rsidRDefault="006918A0" w:rsidP="006918A0">
      <w:pPr>
        <w:spacing w:after="60"/>
        <w:jc w:val="right"/>
        <w:rPr>
          <w:i/>
          <w:noProof/>
          <w:sz w:val="20"/>
        </w:rPr>
      </w:pPr>
      <w:r w:rsidRPr="00130899">
        <w:rPr>
          <w:i/>
          <w:noProof/>
          <w:sz w:val="20"/>
        </w:rPr>
        <w:t>Оценката се посочва в еквиваленти на пълно работно време</w:t>
      </w:r>
    </w:p>
    <w:p w14:paraId="1D9A390F" w14:textId="77777777" w:rsidR="006918A0" w:rsidRPr="00130899" w:rsidRDefault="006918A0" w:rsidP="006918A0">
      <w:pPr>
        <w:spacing w:before="60" w:after="60"/>
        <w:ind w:left="851"/>
        <w:rPr>
          <w:noProof/>
          <w:sz w:val="18"/>
        </w:rPr>
      </w:pPr>
      <w:r w:rsidRPr="00130899">
        <w:rPr>
          <w:b/>
          <w:noProof/>
          <w:sz w:val="18"/>
        </w:rPr>
        <w:t>XX</w:t>
      </w:r>
      <w:r w:rsidRPr="00130899">
        <w:rPr>
          <w:noProof/>
          <w:sz w:val="18"/>
        </w:rPr>
        <w:t xml:space="preserve"> е съответната област на политиката или бюджетен дял.</w:t>
      </w:r>
    </w:p>
    <w:p w14:paraId="408BAA53" w14:textId="77777777" w:rsidR="006918A0" w:rsidRPr="00130899" w:rsidRDefault="006918A0" w:rsidP="006918A0">
      <w:pPr>
        <w:ind w:left="850"/>
        <w:rPr>
          <w:noProof/>
          <w:sz w:val="18"/>
        </w:rPr>
      </w:pPr>
      <w:r w:rsidRPr="00130899">
        <w:rPr>
          <w:noProof/>
          <w:sz w:val="18"/>
        </w:rPr>
        <w:t>Нуждите от човешки ресурси ще бъдат покрити от персонала на ГД, на който вече е възложено управлението на дейността и/или който е преразпределен в рамките на ГД, при необходимост заедно с всички допълнителни отпуснати ресурси, които могат да бъдат предоставени на управляващата ГД в рамките на годишната процедура за отпускане на средства и като се имат предвид бюджетните ограничения.</w:t>
      </w:r>
    </w:p>
    <w:p w14:paraId="4911FCA1" w14:textId="77777777" w:rsidR="006918A0" w:rsidRPr="00130899" w:rsidRDefault="006918A0" w:rsidP="006918A0">
      <w:pPr>
        <w:rPr>
          <w:noProof/>
          <w:sz w:val="20"/>
        </w:rPr>
      </w:pPr>
      <w:bookmarkStart w:id="23" w:name="_Hlk114160563"/>
      <w:r w:rsidRPr="00130899">
        <w:rPr>
          <w:noProof/>
          <w:sz w:val="20"/>
        </w:rPr>
        <w:t>Описание на задачите, които трябва да се изпълнят:</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6918A0" w:rsidRPr="00130899" w14:paraId="0AD6D46D" w14:textId="77777777" w:rsidTr="000430BD">
        <w:tc>
          <w:tcPr>
            <w:tcW w:w="3240" w:type="dxa"/>
            <w:tcBorders>
              <w:top w:val="single" w:sz="2" w:space="0" w:color="auto"/>
              <w:left w:val="single" w:sz="2" w:space="0" w:color="auto"/>
              <w:bottom w:val="single" w:sz="2" w:space="0" w:color="auto"/>
              <w:right w:val="single" w:sz="2" w:space="0" w:color="auto"/>
            </w:tcBorders>
            <w:hideMark/>
          </w:tcPr>
          <w:bookmarkEnd w:id="23"/>
          <w:p w14:paraId="52159B75" w14:textId="77777777" w:rsidR="006918A0" w:rsidRPr="00130899" w:rsidRDefault="006918A0" w:rsidP="006918A0">
            <w:pPr>
              <w:spacing w:line="276" w:lineRule="auto"/>
              <w:rPr>
                <w:noProof/>
                <w:sz w:val="20"/>
              </w:rPr>
            </w:pPr>
            <w:r w:rsidRPr="00130899">
              <w:rPr>
                <w:noProof/>
                <w:sz w:val="20"/>
              </w:rPr>
              <w:t>Длъжностни лица и срочно наети служители</w:t>
            </w:r>
          </w:p>
        </w:tc>
        <w:tc>
          <w:tcPr>
            <w:tcW w:w="7200" w:type="dxa"/>
            <w:tcBorders>
              <w:top w:val="single" w:sz="2" w:space="0" w:color="auto"/>
              <w:left w:val="single" w:sz="2" w:space="0" w:color="auto"/>
              <w:bottom w:val="single" w:sz="2" w:space="0" w:color="auto"/>
              <w:right w:val="single" w:sz="2" w:space="0" w:color="auto"/>
            </w:tcBorders>
            <w:hideMark/>
          </w:tcPr>
          <w:p w14:paraId="21F9B1B8" w14:textId="77777777" w:rsidR="006918A0" w:rsidRPr="00130899" w:rsidRDefault="006918A0" w:rsidP="006918A0">
            <w:pPr>
              <w:spacing w:line="276" w:lineRule="auto"/>
              <w:rPr>
                <w:noProof/>
                <w:sz w:val="20"/>
              </w:rPr>
            </w:pPr>
            <w:r w:rsidRPr="00130899">
              <w:rPr>
                <w:noProof/>
                <w:sz w:val="20"/>
              </w:rPr>
              <w:t xml:space="preserve">Подготовка на заседания и кореспонденция с ДЧ; работа по изготвяне на формулярите, информационно-технологичните формати и централната директория; </w:t>
            </w:r>
          </w:p>
          <w:p w14:paraId="0323ADFF" w14:textId="77777777" w:rsidR="006918A0" w:rsidRPr="00130899" w:rsidRDefault="006918A0" w:rsidP="006918A0">
            <w:pPr>
              <w:spacing w:line="276" w:lineRule="auto"/>
              <w:rPr>
                <w:noProof/>
                <w:sz w:val="20"/>
              </w:rPr>
            </w:pPr>
            <w:r w:rsidRPr="00130899">
              <w:rPr>
                <w:noProof/>
                <w:sz w:val="20"/>
              </w:rPr>
              <w:t>Възлагане на външни изпълнители работата по информационната система</w:t>
            </w:r>
          </w:p>
        </w:tc>
      </w:tr>
      <w:tr w:rsidR="006918A0" w:rsidRPr="00130899" w14:paraId="7F032E5D" w14:textId="77777777" w:rsidTr="000430BD">
        <w:tc>
          <w:tcPr>
            <w:tcW w:w="3240" w:type="dxa"/>
            <w:tcBorders>
              <w:top w:val="single" w:sz="2" w:space="0" w:color="auto"/>
              <w:left w:val="single" w:sz="2" w:space="0" w:color="auto"/>
              <w:bottom w:val="single" w:sz="2" w:space="0" w:color="auto"/>
              <w:right w:val="single" w:sz="2" w:space="0" w:color="auto"/>
            </w:tcBorders>
            <w:hideMark/>
          </w:tcPr>
          <w:p w14:paraId="6EA00355" w14:textId="77777777" w:rsidR="006918A0" w:rsidRPr="00130899" w:rsidRDefault="006918A0" w:rsidP="006918A0">
            <w:pPr>
              <w:spacing w:before="60" w:after="60" w:line="276" w:lineRule="auto"/>
              <w:rPr>
                <w:noProof/>
                <w:sz w:val="20"/>
              </w:rPr>
            </w:pPr>
            <w:r w:rsidRPr="00130899">
              <w:rPr>
                <w:noProof/>
                <w:sz w:val="20"/>
              </w:rPr>
              <w:t>Външен персонал</w:t>
            </w:r>
          </w:p>
        </w:tc>
        <w:tc>
          <w:tcPr>
            <w:tcW w:w="7200" w:type="dxa"/>
            <w:tcBorders>
              <w:top w:val="single" w:sz="2" w:space="0" w:color="auto"/>
              <w:left w:val="single" w:sz="2" w:space="0" w:color="auto"/>
              <w:bottom w:val="single" w:sz="2" w:space="0" w:color="auto"/>
              <w:right w:val="single" w:sz="2" w:space="0" w:color="auto"/>
            </w:tcBorders>
            <w:hideMark/>
          </w:tcPr>
          <w:p w14:paraId="0BACCB62" w14:textId="77777777" w:rsidR="006918A0" w:rsidRPr="00130899" w:rsidRDefault="006918A0" w:rsidP="006918A0">
            <w:pPr>
              <w:spacing w:line="276" w:lineRule="auto"/>
              <w:rPr>
                <w:noProof/>
                <w:sz w:val="20"/>
              </w:rPr>
            </w:pPr>
            <w:r w:rsidRPr="00130899">
              <w:rPr>
                <w:noProof/>
                <w:sz w:val="20"/>
              </w:rPr>
              <w:t>Не е приложимо</w:t>
            </w:r>
          </w:p>
        </w:tc>
      </w:tr>
    </w:tbl>
    <w:p w14:paraId="381695BB" w14:textId="77777777" w:rsidR="006918A0" w:rsidRPr="00130899" w:rsidRDefault="006918A0" w:rsidP="006918A0">
      <w:pPr>
        <w:spacing w:before="0" w:after="0"/>
        <w:jc w:val="left"/>
        <w:rPr>
          <w:noProof/>
        </w:rPr>
        <w:sectPr w:rsidR="006918A0" w:rsidRPr="00130899" w:rsidSect="006362D3">
          <w:pgSz w:w="11907" w:h="16840"/>
          <w:pgMar w:top="1134" w:right="1418" w:bottom="1134" w:left="1418" w:header="709" w:footer="709" w:gutter="0"/>
          <w:cols w:space="720"/>
          <w:docGrid w:linePitch="326"/>
        </w:sectPr>
      </w:pPr>
    </w:p>
    <w:p w14:paraId="557AE8CB" w14:textId="77777777" w:rsidR="006918A0" w:rsidRPr="00130899" w:rsidRDefault="00287904" w:rsidP="00287904">
      <w:pPr>
        <w:pStyle w:val="ManualHeading3"/>
        <w:rPr>
          <w:noProof/>
        </w:rPr>
      </w:pPr>
      <w:bookmarkStart w:id="24" w:name="_Toc514938056"/>
      <w:bookmarkStart w:id="25" w:name="_Toc520485055"/>
      <w:r w:rsidRPr="00130899">
        <w:rPr>
          <w:noProof/>
        </w:rPr>
        <w:tab/>
        <w:t>3.2.4 Съвместимост с настоящата многогодишна финансова рамка</w:t>
      </w:r>
      <w:bookmarkEnd w:id="24"/>
      <w:bookmarkEnd w:id="25"/>
      <w:r w:rsidRPr="00130899">
        <w:rPr>
          <w:noProof/>
        </w:rPr>
        <w:t xml:space="preserve"> </w:t>
      </w:r>
    </w:p>
    <w:p w14:paraId="6741A6FC" w14:textId="77777777" w:rsidR="006918A0" w:rsidRPr="00130899" w:rsidRDefault="006918A0" w:rsidP="006918A0">
      <w:pPr>
        <w:ind w:left="850"/>
        <w:rPr>
          <w:noProof/>
        </w:rPr>
      </w:pPr>
      <w:bookmarkStart w:id="26" w:name="_Toc514938058"/>
      <w:bookmarkStart w:id="27" w:name="_Toc520485056"/>
      <w:r w:rsidRPr="00130899">
        <w:rPr>
          <w:noProof/>
        </w:rPr>
        <w:t>Предложението/инициативата:</w:t>
      </w:r>
    </w:p>
    <w:p w14:paraId="5CAFF952" w14:textId="77777777" w:rsidR="006918A0" w:rsidRPr="00130899" w:rsidRDefault="006918A0" w:rsidP="006918A0">
      <w:pPr>
        <w:tabs>
          <w:tab w:val="num" w:pos="1134"/>
        </w:tabs>
        <w:ind w:left="1134" w:hanging="283"/>
        <w:rPr>
          <w:noProof/>
        </w:rPr>
      </w:pPr>
      <w:r w:rsidRPr="00130899">
        <w:rPr>
          <w:rFonts w:ascii="Wingdings" w:hAnsi="Wingdings"/>
          <w:noProof/>
        </w:rPr>
        <w:t></w:t>
      </w:r>
      <w:r w:rsidRPr="00130899">
        <w:rPr>
          <w:noProof/>
        </w:rPr>
        <w:tab/>
        <w:t>може да се финансира изцяло чрез преразпределяне на средства в рамките на съответната функция от многогодишната финансова рамка (МФР).</w:t>
      </w:r>
    </w:p>
    <w:p w14:paraId="65FCAE95" w14:textId="77777777" w:rsidR="006918A0" w:rsidRPr="00130899" w:rsidRDefault="006918A0" w:rsidP="006918A0">
      <w:pPr>
        <w:pBdr>
          <w:top w:val="single" w:sz="4" w:space="1" w:color="auto"/>
          <w:left w:val="single" w:sz="4" w:space="4" w:color="auto"/>
          <w:bottom w:val="single" w:sz="4" w:space="1" w:color="auto"/>
          <w:right w:val="single" w:sz="4" w:space="4" w:color="auto"/>
        </w:pBdr>
        <w:ind w:left="850"/>
        <w:rPr>
          <w:noProof/>
          <w:sz w:val="20"/>
        </w:rPr>
      </w:pPr>
      <w:r w:rsidRPr="00130899">
        <w:rPr>
          <w:noProof/>
          <w:sz w:val="20"/>
        </w:rPr>
        <w:t>Обяснете какво препрограмиране е необходимо, като посочите съответните бюджетни редове и суми.</w:t>
      </w:r>
      <w:r w:rsidRPr="00130899">
        <w:rPr>
          <w:noProof/>
        </w:rPr>
        <w:t xml:space="preserve"> </w:t>
      </w:r>
      <w:r w:rsidRPr="00130899">
        <w:rPr>
          <w:noProof/>
          <w:sz w:val="20"/>
        </w:rPr>
        <w:t>Моля, представете таблица в Excel, ако е необходимо голямо препрограмиране.</w:t>
      </w:r>
    </w:p>
    <w:p w14:paraId="29C26445" w14:textId="77777777" w:rsidR="006918A0" w:rsidRPr="00130899" w:rsidRDefault="006918A0" w:rsidP="006918A0">
      <w:pPr>
        <w:tabs>
          <w:tab w:val="num" w:pos="1134"/>
        </w:tabs>
        <w:ind w:left="1134" w:hanging="283"/>
        <w:rPr>
          <w:noProof/>
        </w:rPr>
      </w:pPr>
      <w:r w:rsidRPr="00130899">
        <w:rPr>
          <w:rFonts w:ascii="Wingdings" w:hAnsi="Wingdings"/>
          <w:noProof/>
        </w:rPr>
        <w:sym w:font="Wingdings" w:char="F0A8"/>
      </w:r>
      <w:r w:rsidRPr="00130899">
        <w:rPr>
          <w:noProof/>
        </w:rPr>
        <w:tab/>
        <w:t>налага да се използват неразпределеният марж под съответната функция от МФР и/или специалните инструменти, предвидени в Регламента за МФР.</w:t>
      </w:r>
    </w:p>
    <w:p w14:paraId="218D7240" w14:textId="77777777" w:rsidR="006918A0" w:rsidRPr="00130899" w:rsidRDefault="006918A0" w:rsidP="006918A0">
      <w:pPr>
        <w:pBdr>
          <w:top w:val="single" w:sz="4" w:space="1" w:color="auto"/>
          <w:left w:val="single" w:sz="4" w:space="4" w:color="auto"/>
          <w:bottom w:val="single" w:sz="4" w:space="1" w:color="auto"/>
          <w:right w:val="single" w:sz="4" w:space="4" w:color="auto"/>
        </w:pBdr>
        <w:ind w:left="850"/>
        <w:rPr>
          <w:noProof/>
          <w:sz w:val="20"/>
        </w:rPr>
      </w:pPr>
      <w:r w:rsidRPr="00130899">
        <w:rPr>
          <w:noProof/>
          <w:sz w:val="20"/>
        </w:rPr>
        <w:t>Обяснете какво е необходимо, като посочите съответните функции, бюджетни редове и суми и инструментите, които се предлага да бъдат използвани.</w:t>
      </w:r>
    </w:p>
    <w:p w14:paraId="4A64CA28" w14:textId="77777777" w:rsidR="006918A0" w:rsidRPr="00130899" w:rsidRDefault="006918A0" w:rsidP="006918A0">
      <w:pPr>
        <w:tabs>
          <w:tab w:val="num" w:pos="1134"/>
        </w:tabs>
        <w:ind w:left="1134" w:hanging="283"/>
        <w:rPr>
          <w:noProof/>
        </w:rPr>
      </w:pPr>
      <w:r w:rsidRPr="00130899">
        <w:rPr>
          <w:rFonts w:ascii="Wingdings" w:hAnsi="Wingdings"/>
          <w:noProof/>
        </w:rPr>
        <w:sym w:font="Wingdings" w:char="F0A8"/>
      </w:r>
      <w:r w:rsidRPr="00130899">
        <w:rPr>
          <w:noProof/>
        </w:rPr>
        <w:tab/>
        <w:t>налага преразглеждане на МФР.</w:t>
      </w:r>
    </w:p>
    <w:p w14:paraId="17AC3042" w14:textId="77777777" w:rsidR="006918A0" w:rsidRPr="00130899" w:rsidRDefault="006918A0" w:rsidP="006918A0">
      <w:pPr>
        <w:pBdr>
          <w:top w:val="single" w:sz="4" w:space="1" w:color="auto"/>
          <w:left w:val="single" w:sz="4" w:space="4" w:color="auto"/>
          <w:bottom w:val="single" w:sz="4" w:space="1" w:color="auto"/>
          <w:right w:val="single" w:sz="4" w:space="4" w:color="auto"/>
        </w:pBdr>
        <w:ind w:left="850"/>
        <w:rPr>
          <w:noProof/>
          <w:sz w:val="20"/>
        </w:rPr>
      </w:pPr>
      <w:r w:rsidRPr="00130899">
        <w:rPr>
          <w:noProof/>
          <w:sz w:val="20"/>
        </w:rPr>
        <w:t>Обяснете какво е необходимо, като посочите съответните функции, бюджетни редове и суми.</w:t>
      </w:r>
    </w:p>
    <w:p w14:paraId="43C411A5" w14:textId="77777777" w:rsidR="006918A0" w:rsidRPr="00130899" w:rsidRDefault="00287904" w:rsidP="00287904">
      <w:pPr>
        <w:pStyle w:val="ManualHeading3"/>
        <w:rPr>
          <w:noProof/>
        </w:rPr>
      </w:pPr>
      <w:r w:rsidRPr="00130899">
        <w:rPr>
          <w:noProof/>
        </w:rPr>
        <w:tab/>
        <w:t>3.2.5 Финансов принос от трети страни</w:t>
      </w:r>
      <w:bookmarkEnd w:id="26"/>
      <w:bookmarkEnd w:id="27"/>
      <w:r w:rsidRPr="00130899">
        <w:rPr>
          <w:noProof/>
        </w:rPr>
        <w:t xml:space="preserve"> </w:t>
      </w:r>
    </w:p>
    <w:p w14:paraId="53E5AD39" w14:textId="77777777" w:rsidR="006918A0" w:rsidRPr="00130899" w:rsidRDefault="006918A0" w:rsidP="006918A0">
      <w:pPr>
        <w:ind w:left="850"/>
        <w:rPr>
          <w:noProof/>
        </w:rPr>
      </w:pPr>
      <w:r w:rsidRPr="00130899">
        <w:rPr>
          <w:noProof/>
        </w:rPr>
        <w:t>Предложението/инициативата:</w:t>
      </w:r>
    </w:p>
    <w:p w14:paraId="2D334C15" w14:textId="77777777" w:rsidR="006918A0" w:rsidRPr="00130899" w:rsidRDefault="006918A0" w:rsidP="006918A0">
      <w:pPr>
        <w:tabs>
          <w:tab w:val="num" w:pos="1134"/>
        </w:tabs>
        <w:ind w:left="1134" w:hanging="283"/>
        <w:rPr>
          <w:noProof/>
        </w:rPr>
      </w:pPr>
      <w:r w:rsidRPr="00130899">
        <w:rPr>
          <w:rFonts w:ascii="Wingdings" w:hAnsi="Wingdings"/>
          <w:noProof/>
        </w:rPr>
        <w:t></w:t>
      </w:r>
      <w:r w:rsidRPr="00130899">
        <w:rPr>
          <w:noProof/>
        </w:rPr>
        <w:tab/>
        <w:t>не предвижда съфинансиране от трети страни</w:t>
      </w:r>
    </w:p>
    <w:p w14:paraId="23FA9C72" w14:textId="77777777" w:rsidR="006918A0" w:rsidRPr="00130899" w:rsidRDefault="006918A0" w:rsidP="006918A0">
      <w:pPr>
        <w:tabs>
          <w:tab w:val="num" w:pos="1134"/>
        </w:tabs>
        <w:ind w:left="1134" w:hanging="283"/>
        <w:rPr>
          <w:noProof/>
        </w:rPr>
      </w:pPr>
      <w:r w:rsidRPr="00130899">
        <w:rPr>
          <w:rFonts w:ascii="Wingdings" w:hAnsi="Wingdings"/>
          <w:noProof/>
        </w:rPr>
        <w:sym w:font="Wingdings" w:char="F0A8"/>
      </w:r>
      <w:r w:rsidRPr="00130899">
        <w:rPr>
          <w:noProof/>
        </w:rPr>
        <w:tab/>
        <w:t>предвижда следното съфинансиране от трети страни, като оценките са дадени по-долу:</w:t>
      </w:r>
    </w:p>
    <w:p w14:paraId="60507A95" w14:textId="77777777" w:rsidR="006918A0" w:rsidRPr="00130899" w:rsidRDefault="006918A0" w:rsidP="006918A0">
      <w:pPr>
        <w:jc w:val="right"/>
        <w:rPr>
          <w:noProof/>
          <w:sz w:val="20"/>
        </w:rPr>
      </w:pPr>
      <w:r w:rsidRPr="00130899">
        <w:rPr>
          <w:noProof/>
          <w:sz w:val="20"/>
        </w:rPr>
        <w:t>Бюджетни кредити в млн. евро (до третия знак след десетичната запетая)</w:t>
      </w:r>
    </w:p>
    <w:tbl>
      <w:tblPr>
        <w:tblW w:w="10245"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39"/>
        <w:gridCol w:w="964"/>
        <w:gridCol w:w="964"/>
        <w:gridCol w:w="964"/>
        <w:gridCol w:w="964"/>
        <w:gridCol w:w="964"/>
        <w:gridCol w:w="964"/>
        <w:gridCol w:w="964"/>
        <w:gridCol w:w="1158"/>
      </w:tblGrid>
      <w:tr w:rsidR="006918A0" w:rsidRPr="00130899" w14:paraId="5E1FC052" w14:textId="77777777" w:rsidTr="000430BD">
        <w:trPr>
          <w:cantSplit/>
        </w:trPr>
        <w:tc>
          <w:tcPr>
            <w:tcW w:w="2340" w:type="dxa"/>
            <w:tcBorders>
              <w:top w:val="single" w:sz="6" w:space="0" w:color="auto"/>
              <w:left w:val="single" w:sz="6" w:space="0" w:color="auto"/>
              <w:bottom w:val="single" w:sz="6" w:space="0" w:color="auto"/>
              <w:right w:val="single" w:sz="6" w:space="0" w:color="auto"/>
            </w:tcBorders>
          </w:tcPr>
          <w:p w14:paraId="0A7B96AD" w14:textId="77777777" w:rsidR="006918A0" w:rsidRPr="00130899" w:rsidRDefault="006918A0" w:rsidP="006918A0">
            <w:pPr>
              <w:spacing w:before="60" w:after="60" w:line="276" w:lineRule="auto"/>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hideMark/>
          </w:tcPr>
          <w:p w14:paraId="42501794" w14:textId="77777777" w:rsidR="006918A0" w:rsidRPr="00130899" w:rsidRDefault="006918A0" w:rsidP="006918A0">
            <w:pPr>
              <w:spacing w:line="276" w:lineRule="auto"/>
              <w:jc w:val="center"/>
              <w:rPr>
                <w:noProof/>
                <w:sz w:val="20"/>
              </w:rPr>
            </w:pPr>
            <w:r w:rsidRPr="00130899">
              <w:rPr>
                <w:noProof/>
                <w:sz w:val="20"/>
              </w:rPr>
              <w:t>Година</w:t>
            </w:r>
            <w:r w:rsidRPr="00130899">
              <w:rPr>
                <w:noProof/>
              </w:rPr>
              <w:t xml:space="preserve"> </w:t>
            </w:r>
            <w:r w:rsidRPr="00130899">
              <w:rPr>
                <w:noProof/>
              </w:rPr>
              <w:cr/>
            </w:r>
            <w:r w:rsidRPr="00130899">
              <w:rPr>
                <w:noProof/>
              </w:rPr>
              <w:br/>
            </w:r>
            <w:r w:rsidRPr="00130899">
              <w:rPr>
                <w:b/>
                <w:noProof/>
                <w:sz w:val="20"/>
              </w:rPr>
              <w:t>N</w:t>
            </w:r>
            <w:r w:rsidRPr="00130899">
              <w:rPr>
                <w:rStyle w:val="FootnoteReference"/>
                <w:noProof/>
              </w:rPr>
              <w:footnoteReference w:id="57"/>
            </w:r>
          </w:p>
        </w:tc>
        <w:tc>
          <w:tcPr>
            <w:tcW w:w="964" w:type="dxa"/>
            <w:tcBorders>
              <w:top w:val="single" w:sz="6" w:space="0" w:color="auto"/>
              <w:left w:val="single" w:sz="6" w:space="0" w:color="auto"/>
              <w:bottom w:val="single" w:sz="6" w:space="0" w:color="auto"/>
              <w:right w:val="single" w:sz="6" w:space="0" w:color="auto"/>
            </w:tcBorders>
            <w:vAlign w:val="center"/>
            <w:hideMark/>
          </w:tcPr>
          <w:p w14:paraId="15A57377" w14:textId="77777777" w:rsidR="006918A0" w:rsidRPr="00130899" w:rsidRDefault="006918A0" w:rsidP="006918A0">
            <w:pPr>
              <w:spacing w:line="276" w:lineRule="auto"/>
              <w:jc w:val="center"/>
              <w:rPr>
                <w:noProof/>
                <w:sz w:val="20"/>
              </w:rPr>
            </w:pPr>
            <w:r w:rsidRPr="00130899">
              <w:rPr>
                <w:noProof/>
                <w:sz w:val="20"/>
              </w:rPr>
              <w:t>Година</w:t>
            </w:r>
            <w:r w:rsidRPr="00130899">
              <w:rPr>
                <w:noProof/>
              </w:rPr>
              <w:t xml:space="preserve"> </w:t>
            </w:r>
            <w:r w:rsidRPr="00130899">
              <w:rPr>
                <w:noProof/>
              </w:rPr>
              <w:cr/>
            </w:r>
            <w:r w:rsidRPr="00130899">
              <w:rPr>
                <w:noProof/>
              </w:rPr>
              <w:br/>
            </w:r>
            <w:r w:rsidRPr="00130899">
              <w:rPr>
                <w:b/>
                <w:noProof/>
                <w:sz w:val="20"/>
              </w:rPr>
              <w:t>N+1</w:t>
            </w:r>
          </w:p>
        </w:tc>
        <w:tc>
          <w:tcPr>
            <w:tcW w:w="964" w:type="dxa"/>
            <w:tcBorders>
              <w:top w:val="single" w:sz="6" w:space="0" w:color="auto"/>
              <w:left w:val="single" w:sz="6" w:space="0" w:color="auto"/>
              <w:bottom w:val="single" w:sz="6" w:space="0" w:color="auto"/>
              <w:right w:val="single" w:sz="6" w:space="0" w:color="auto"/>
            </w:tcBorders>
            <w:vAlign w:val="center"/>
            <w:hideMark/>
          </w:tcPr>
          <w:p w14:paraId="074B68E3" w14:textId="77777777" w:rsidR="006918A0" w:rsidRPr="00130899" w:rsidRDefault="006918A0" w:rsidP="006918A0">
            <w:pPr>
              <w:spacing w:line="276" w:lineRule="auto"/>
              <w:jc w:val="center"/>
              <w:rPr>
                <w:noProof/>
                <w:sz w:val="20"/>
              </w:rPr>
            </w:pPr>
            <w:r w:rsidRPr="00130899">
              <w:rPr>
                <w:noProof/>
                <w:sz w:val="20"/>
              </w:rPr>
              <w:t>Година</w:t>
            </w:r>
            <w:r w:rsidRPr="00130899">
              <w:rPr>
                <w:noProof/>
              </w:rPr>
              <w:t xml:space="preserve"> </w:t>
            </w:r>
            <w:r w:rsidRPr="00130899">
              <w:rPr>
                <w:noProof/>
              </w:rPr>
              <w:cr/>
            </w:r>
            <w:r w:rsidRPr="00130899">
              <w:rPr>
                <w:noProof/>
              </w:rPr>
              <w:br/>
            </w:r>
            <w:r w:rsidRPr="00130899">
              <w:rPr>
                <w:b/>
                <w:noProof/>
                <w:sz w:val="20"/>
              </w:rPr>
              <w:t>N+2</w:t>
            </w:r>
          </w:p>
        </w:tc>
        <w:tc>
          <w:tcPr>
            <w:tcW w:w="964" w:type="dxa"/>
            <w:tcBorders>
              <w:top w:val="single" w:sz="6" w:space="0" w:color="auto"/>
              <w:left w:val="single" w:sz="6" w:space="0" w:color="auto"/>
              <w:bottom w:val="single" w:sz="6" w:space="0" w:color="auto"/>
              <w:right w:val="single" w:sz="6" w:space="0" w:color="auto"/>
            </w:tcBorders>
            <w:vAlign w:val="center"/>
            <w:hideMark/>
          </w:tcPr>
          <w:p w14:paraId="730378F8" w14:textId="77777777" w:rsidR="006918A0" w:rsidRPr="00130899" w:rsidRDefault="006918A0" w:rsidP="006918A0">
            <w:pPr>
              <w:spacing w:line="276" w:lineRule="auto"/>
              <w:jc w:val="center"/>
              <w:rPr>
                <w:noProof/>
                <w:sz w:val="20"/>
              </w:rPr>
            </w:pPr>
            <w:r w:rsidRPr="00130899">
              <w:rPr>
                <w:noProof/>
                <w:sz w:val="20"/>
              </w:rPr>
              <w:t>Година</w:t>
            </w:r>
            <w:r w:rsidRPr="00130899">
              <w:rPr>
                <w:noProof/>
              </w:rPr>
              <w:t xml:space="preserve"> </w:t>
            </w:r>
            <w:r w:rsidRPr="00130899">
              <w:rPr>
                <w:noProof/>
              </w:rPr>
              <w:cr/>
            </w:r>
            <w:r w:rsidRPr="00130899">
              <w:rPr>
                <w:noProof/>
              </w:rPr>
              <w:br/>
            </w:r>
            <w:r w:rsidRPr="00130899">
              <w:rPr>
                <w:b/>
                <w:noProof/>
                <w:sz w:val="20"/>
              </w:rPr>
              <w:t>N+3</w:t>
            </w:r>
          </w:p>
        </w:tc>
        <w:tc>
          <w:tcPr>
            <w:tcW w:w="2892" w:type="dxa"/>
            <w:gridSpan w:val="3"/>
            <w:tcBorders>
              <w:top w:val="single" w:sz="6" w:space="0" w:color="auto"/>
              <w:left w:val="single" w:sz="6" w:space="0" w:color="auto"/>
              <w:bottom w:val="single" w:sz="6" w:space="0" w:color="auto"/>
              <w:right w:val="single" w:sz="6" w:space="0" w:color="auto"/>
            </w:tcBorders>
            <w:vAlign w:val="center"/>
            <w:hideMark/>
          </w:tcPr>
          <w:p w14:paraId="6744BE3F" w14:textId="77777777" w:rsidR="006918A0" w:rsidRPr="00130899" w:rsidRDefault="006918A0" w:rsidP="006918A0">
            <w:pPr>
              <w:spacing w:line="276" w:lineRule="auto"/>
              <w:jc w:val="center"/>
              <w:rPr>
                <w:b/>
                <w:noProof/>
                <w:sz w:val="20"/>
              </w:rPr>
            </w:pPr>
            <w:r w:rsidRPr="00130899">
              <w:rPr>
                <w:noProof/>
                <w:sz w:val="20"/>
              </w:rPr>
              <w:t>Да се добавят толкова години, колкото е необходимо, за да се обхване продължителността на отражението (вж. точка 1.6)</w:t>
            </w:r>
          </w:p>
        </w:tc>
        <w:tc>
          <w:tcPr>
            <w:tcW w:w="1158" w:type="dxa"/>
            <w:tcBorders>
              <w:top w:val="single" w:sz="6" w:space="0" w:color="auto"/>
              <w:left w:val="single" w:sz="6" w:space="0" w:color="auto"/>
              <w:bottom w:val="single" w:sz="6" w:space="0" w:color="auto"/>
              <w:right w:val="single" w:sz="6" w:space="0" w:color="auto"/>
            </w:tcBorders>
            <w:vAlign w:val="center"/>
            <w:hideMark/>
          </w:tcPr>
          <w:p w14:paraId="53437657" w14:textId="77777777" w:rsidR="006918A0" w:rsidRPr="00130899" w:rsidRDefault="006918A0" w:rsidP="006918A0">
            <w:pPr>
              <w:spacing w:before="60" w:after="60" w:line="276" w:lineRule="auto"/>
              <w:jc w:val="center"/>
              <w:rPr>
                <w:noProof/>
                <w:sz w:val="20"/>
              </w:rPr>
            </w:pPr>
            <w:r w:rsidRPr="00130899">
              <w:rPr>
                <w:noProof/>
                <w:sz w:val="20"/>
              </w:rPr>
              <w:t>Общо</w:t>
            </w:r>
          </w:p>
        </w:tc>
      </w:tr>
      <w:tr w:rsidR="006918A0" w:rsidRPr="00130899" w14:paraId="511ABFA8" w14:textId="77777777" w:rsidTr="000430BD">
        <w:trPr>
          <w:cantSplit/>
        </w:trPr>
        <w:tc>
          <w:tcPr>
            <w:tcW w:w="2340" w:type="dxa"/>
            <w:tcBorders>
              <w:top w:val="single" w:sz="6" w:space="0" w:color="auto"/>
              <w:left w:val="single" w:sz="6" w:space="0" w:color="auto"/>
              <w:bottom w:val="single" w:sz="6" w:space="0" w:color="auto"/>
              <w:right w:val="single" w:sz="6" w:space="0" w:color="auto"/>
            </w:tcBorders>
            <w:hideMark/>
          </w:tcPr>
          <w:p w14:paraId="0321E608" w14:textId="77777777" w:rsidR="006918A0" w:rsidRPr="00130899" w:rsidRDefault="006918A0" w:rsidP="006918A0">
            <w:pPr>
              <w:spacing w:line="276" w:lineRule="auto"/>
              <w:rPr>
                <w:noProof/>
              </w:rPr>
            </w:pPr>
            <w:r w:rsidRPr="00130899">
              <w:rPr>
                <w:noProof/>
                <w:sz w:val="20"/>
              </w:rPr>
              <w:t>Да се посочи съфинансиращият орган</w:t>
            </w:r>
            <w:r w:rsidRPr="00130899">
              <w:rPr>
                <w:i/>
                <w:noProof/>
                <w:sz w:val="20"/>
              </w:rPr>
              <w:t xml:space="preserve"> </w:t>
            </w:r>
          </w:p>
        </w:tc>
        <w:tc>
          <w:tcPr>
            <w:tcW w:w="964" w:type="dxa"/>
            <w:tcBorders>
              <w:top w:val="single" w:sz="6" w:space="0" w:color="auto"/>
              <w:left w:val="single" w:sz="6" w:space="0" w:color="auto"/>
              <w:bottom w:val="single" w:sz="6" w:space="0" w:color="auto"/>
              <w:right w:val="single" w:sz="6" w:space="0" w:color="auto"/>
            </w:tcBorders>
            <w:vAlign w:val="center"/>
          </w:tcPr>
          <w:p w14:paraId="46826506" w14:textId="77777777" w:rsidR="006918A0" w:rsidRPr="00130899" w:rsidRDefault="006918A0" w:rsidP="006918A0">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136A5FCA" w14:textId="77777777" w:rsidR="006918A0" w:rsidRPr="00130899" w:rsidRDefault="006918A0" w:rsidP="006918A0">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72E9933C" w14:textId="77777777" w:rsidR="006918A0" w:rsidRPr="00130899" w:rsidRDefault="006918A0" w:rsidP="006918A0">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05C2503F" w14:textId="77777777" w:rsidR="006918A0" w:rsidRPr="00130899" w:rsidRDefault="006918A0" w:rsidP="006918A0">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0A8D46A6" w14:textId="77777777" w:rsidR="006918A0" w:rsidRPr="00130899" w:rsidRDefault="006918A0" w:rsidP="006918A0">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68DC05E6" w14:textId="77777777" w:rsidR="006918A0" w:rsidRPr="00130899" w:rsidRDefault="006918A0" w:rsidP="006918A0">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5BDB4037" w14:textId="77777777" w:rsidR="006918A0" w:rsidRPr="00130899" w:rsidRDefault="006918A0" w:rsidP="006918A0">
            <w:pPr>
              <w:spacing w:before="60" w:after="60" w:line="276" w:lineRule="auto"/>
              <w:jc w:val="center"/>
              <w:rPr>
                <w:noProof/>
                <w:sz w:val="20"/>
              </w:rPr>
            </w:pPr>
          </w:p>
        </w:tc>
        <w:tc>
          <w:tcPr>
            <w:tcW w:w="1158" w:type="dxa"/>
            <w:tcBorders>
              <w:top w:val="single" w:sz="6" w:space="0" w:color="auto"/>
              <w:left w:val="single" w:sz="6" w:space="0" w:color="auto"/>
              <w:bottom w:val="single" w:sz="6" w:space="0" w:color="auto"/>
              <w:right w:val="single" w:sz="6" w:space="0" w:color="auto"/>
            </w:tcBorders>
            <w:vAlign w:val="center"/>
          </w:tcPr>
          <w:p w14:paraId="053B5AE5" w14:textId="77777777" w:rsidR="006918A0" w:rsidRPr="00130899" w:rsidRDefault="006918A0" w:rsidP="006918A0">
            <w:pPr>
              <w:spacing w:before="60" w:after="60" w:line="276" w:lineRule="auto"/>
              <w:jc w:val="center"/>
              <w:rPr>
                <w:noProof/>
                <w:sz w:val="20"/>
              </w:rPr>
            </w:pPr>
          </w:p>
        </w:tc>
      </w:tr>
      <w:tr w:rsidR="006918A0" w:rsidRPr="00130899" w14:paraId="0E9640B7" w14:textId="77777777" w:rsidTr="000430BD">
        <w:trPr>
          <w:cantSplit/>
        </w:trPr>
        <w:tc>
          <w:tcPr>
            <w:tcW w:w="2340" w:type="dxa"/>
            <w:tcBorders>
              <w:top w:val="single" w:sz="6" w:space="0" w:color="auto"/>
              <w:left w:val="single" w:sz="6" w:space="0" w:color="auto"/>
              <w:bottom w:val="single" w:sz="6" w:space="0" w:color="auto"/>
              <w:right w:val="single" w:sz="6" w:space="0" w:color="auto"/>
            </w:tcBorders>
            <w:hideMark/>
          </w:tcPr>
          <w:p w14:paraId="0A378047" w14:textId="77777777" w:rsidR="006918A0" w:rsidRPr="00130899" w:rsidRDefault="006918A0" w:rsidP="006918A0">
            <w:pPr>
              <w:spacing w:before="60" w:after="60" w:line="276" w:lineRule="auto"/>
              <w:jc w:val="left"/>
              <w:rPr>
                <w:noProof/>
                <w:sz w:val="20"/>
              </w:rPr>
            </w:pPr>
            <w:r w:rsidRPr="00130899">
              <w:rPr>
                <w:noProof/>
                <w:sz w:val="20"/>
              </w:rPr>
              <w:t xml:space="preserve">ОБЩО съфинансирани бюджетни кредити </w:t>
            </w:r>
          </w:p>
        </w:tc>
        <w:tc>
          <w:tcPr>
            <w:tcW w:w="964" w:type="dxa"/>
            <w:tcBorders>
              <w:top w:val="single" w:sz="6" w:space="0" w:color="auto"/>
              <w:left w:val="single" w:sz="6" w:space="0" w:color="auto"/>
              <w:bottom w:val="single" w:sz="6" w:space="0" w:color="auto"/>
              <w:right w:val="single" w:sz="6" w:space="0" w:color="auto"/>
            </w:tcBorders>
            <w:vAlign w:val="center"/>
          </w:tcPr>
          <w:p w14:paraId="0E40DB05" w14:textId="77777777" w:rsidR="006918A0" w:rsidRPr="00130899" w:rsidRDefault="006918A0" w:rsidP="006918A0">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691EFD45" w14:textId="77777777" w:rsidR="006918A0" w:rsidRPr="00130899" w:rsidRDefault="006918A0" w:rsidP="006918A0">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64E73195" w14:textId="77777777" w:rsidR="006918A0" w:rsidRPr="00130899" w:rsidRDefault="006918A0" w:rsidP="006918A0">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14660217" w14:textId="77777777" w:rsidR="006918A0" w:rsidRPr="00130899" w:rsidRDefault="006918A0" w:rsidP="006918A0">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286AE17B" w14:textId="77777777" w:rsidR="006918A0" w:rsidRPr="00130899" w:rsidRDefault="006918A0" w:rsidP="006918A0">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2758FD35" w14:textId="77777777" w:rsidR="006918A0" w:rsidRPr="00130899" w:rsidRDefault="006918A0" w:rsidP="006918A0">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1BF6A5B6" w14:textId="77777777" w:rsidR="006918A0" w:rsidRPr="00130899" w:rsidRDefault="006918A0" w:rsidP="006918A0">
            <w:pPr>
              <w:spacing w:before="60" w:after="60" w:line="276" w:lineRule="auto"/>
              <w:jc w:val="center"/>
              <w:rPr>
                <w:noProof/>
                <w:sz w:val="20"/>
              </w:rPr>
            </w:pPr>
          </w:p>
        </w:tc>
        <w:tc>
          <w:tcPr>
            <w:tcW w:w="1158" w:type="dxa"/>
            <w:tcBorders>
              <w:top w:val="single" w:sz="6" w:space="0" w:color="auto"/>
              <w:left w:val="single" w:sz="6" w:space="0" w:color="auto"/>
              <w:bottom w:val="single" w:sz="6" w:space="0" w:color="auto"/>
              <w:right w:val="single" w:sz="6" w:space="0" w:color="auto"/>
            </w:tcBorders>
            <w:vAlign w:val="center"/>
          </w:tcPr>
          <w:p w14:paraId="603FE738" w14:textId="77777777" w:rsidR="006918A0" w:rsidRPr="00130899" w:rsidRDefault="006918A0" w:rsidP="006918A0">
            <w:pPr>
              <w:spacing w:before="60" w:after="60" w:line="276" w:lineRule="auto"/>
              <w:jc w:val="center"/>
              <w:rPr>
                <w:noProof/>
                <w:sz w:val="20"/>
              </w:rPr>
            </w:pPr>
          </w:p>
        </w:tc>
      </w:tr>
    </w:tbl>
    <w:p w14:paraId="353D5924" w14:textId="77777777" w:rsidR="006918A0" w:rsidRPr="00130899" w:rsidRDefault="006918A0" w:rsidP="006918A0">
      <w:pPr>
        <w:rPr>
          <w:noProof/>
        </w:rPr>
      </w:pPr>
      <w:r w:rsidRPr="00130899">
        <w:rPr>
          <w:noProof/>
        </w:rPr>
        <w:t xml:space="preserve"> </w:t>
      </w:r>
      <w:r w:rsidRPr="00130899">
        <w:rPr>
          <w:noProof/>
        </w:rPr>
        <w:cr/>
      </w:r>
      <w:r w:rsidRPr="00130899">
        <w:rPr>
          <w:noProof/>
        </w:rPr>
        <w:br/>
      </w:r>
    </w:p>
    <w:p w14:paraId="0D917773" w14:textId="77777777" w:rsidR="006918A0" w:rsidRPr="00130899" w:rsidRDefault="006918A0" w:rsidP="00287904">
      <w:pPr>
        <w:pStyle w:val="ManualHeading2"/>
        <w:ind w:hanging="130"/>
        <w:rPr>
          <w:noProof/>
        </w:rPr>
      </w:pPr>
      <w:r w:rsidRPr="00130899">
        <w:rPr>
          <w:noProof/>
        </w:rPr>
        <w:br w:type="page"/>
      </w:r>
      <w:bookmarkStart w:id="28" w:name="_Toc514938059"/>
      <w:bookmarkStart w:id="29" w:name="_Toc520485057"/>
      <w:r w:rsidRPr="00130899">
        <w:rPr>
          <w:noProof/>
        </w:rPr>
        <w:t>3.3 Очаквано отражение върху приходите</w:t>
      </w:r>
      <w:bookmarkEnd w:id="28"/>
      <w:bookmarkEnd w:id="29"/>
      <w:r w:rsidRPr="00130899">
        <w:rPr>
          <w:noProof/>
        </w:rPr>
        <w:t xml:space="preserve"> </w:t>
      </w:r>
    </w:p>
    <w:p w14:paraId="20A02130" w14:textId="77777777" w:rsidR="006918A0" w:rsidRPr="00130899" w:rsidRDefault="001714E3" w:rsidP="006918A0">
      <w:pPr>
        <w:tabs>
          <w:tab w:val="num" w:pos="1134"/>
        </w:tabs>
        <w:ind w:left="1134" w:hanging="283"/>
        <w:rPr>
          <w:noProof/>
        </w:rPr>
      </w:pPr>
      <w:r w:rsidRPr="00130899">
        <w:rPr>
          <w:rFonts w:ascii="Wingdings" w:hAnsi="Wingdings"/>
          <w:noProof/>
        </w:rPr>
        <w:t></w:t>
      </w:r>
      <w:r w:rsidRPr="00130899">
        <w:rPr>
          <w:noProof/>
        </w:rPr>
        <w:tab/>
        <w:t>Предложението/инициативата няма финансово отражение върху приходите.</w:t>
      </w:r>
    </w:p>
    <w:p w14:paraId="3A2600EF" w14:textId="77777777" w:rsidR="006918A0" w:rsidRPr="00130899" w:rsidRDefault="006918A0" w:rsidP="006918A0">
      <w:pPr>
        <w:tabs>
          <w:tab w:val="num" w:pos="1134"/>
        </w:tabs>
        <w:ind w:left="1134" w:hanging="283"/>
        <w:rPr>
          <w:noProof/>
        </w:rPr>
      </w:pPr>
      <w:r w:rsidRPr="00130899">
        <w:rPr>
          <w:rFonts w:ascii="Wingdings" w:hAnsi="Wingdings"/>
          <w:noProof/>
        </w:rPr>
        <w:sym w:font="Wingdings" w:char="F0A8"/>
      </w:r>
      <w:r w:rsidRPr="00130899">
        <w:rPr>
          <w:noProof/>
        </w:rPr>
        <w:tab/>
        <w:t>Предложението/инициативата има следното финансово отражение:</w:t>
      </w:r>
    </w:p>
    <w:p w14:paraId="5EFEAA23" w14:textId="77777777" w:rsidR="006918A0" w:rsidRPr="00130899" w:rsidRDefault="006918A0" w:rsidP="006918A0">
      <w:pPr>
        <w:numPr>
          <w:ilvl w:val="2"/>
          <w:numId w:val="0"/>
        </w:numPr>
        <w:tabs>
          <w:tab w:val="num" w:pos="2126"/>
        </w:tabs>
        <w:ind w:left="2126" w:hanging="709"/>
        <w:rPr>
          <w:noProof/>
        </w:rPr>
      </w:pPr>
      <w:r w:rsidRPr="00130899">
        <w:rPr>
          <w:rFonts w:ascii="Wingdings" w:hAnsi="Wingdings"/>
          <w:noProof/>
        </w:rPr>
        <w:sym w:font="Wingdings" w:char="F0A8"/>
      </w:r>
      <w:r w:rsidRPr="00130899">
        <w:rPr>
          <w:noProof/>
        </w:rPr>
        <w:tab/>
        <w:t xml:space="preserve">върху собствените ресурси </w:t>
      </w:r>
    </w:p>
    <w:p w14:paraId="6AD1EE55" w14:textId="77777777" w:rsidR="006918A0" w:rsidRPr="00130899" w:rsidRDefault="006918A0" w:rsidP="006918A0">
      <w:pPr>
        <w:numPr>
          <w:ilvl w:val="2"/>
          <w:numId w:val="0"/>
        </w:numPr>
        <w:tabs>
          <w:tab w:val="num" w:pos="2126"/>
        </w:tabs>
        <w:ind w:left="2126" w:hanging="709"/>
        <w:rPr>
          <w:noProof/>
        </w:rPr>
      </w:pPr>
      <w:r w:rsidRPr="00130899">
        <w:rPr>
          <w:rFonts w:ascii="Wingdings" w:hAnsi="Wingdings"/>
          <w:noProof/>
        </w:rPr>
        <w:sym w:font="Wingdings" w:char="F0A8"/>
      </w:r>
      <w:r w:rsidRPr="00130899">
        <w:rPr>
          <w:noProof/>
        </w:rPr>
        <w:tab/>
        <w:t>върху другите приходи</w:t>
      </w:r>
    </w:p>
    <w:p w14:paraId="12B1291E" w14:textId="77777777" w:rsidR="006918A0" w:rsidRPr="00130899" w:rsidRDefault="006918A0" w:rsidP="006918A0">
      <w:pPr>
        <w:numPr>
          <w:ilvl w:val="2"/>
          <w:numId w:val="0"/>
        </w:numPr>
        <w:tabs>
          <w:tab w:val="num" w:pos="2126"/>
        </w:tabs>
        <w:ind w:left="2126" w:hanging="709"/>
        <w:rPr>
          <w:noProof/>
        </w:rPr>
      </w:pPr>
      <w:r w:rsidRPr="00130899">
        <w:rPr>
          <w:noProof/>
        </w:rPr>
        <w:t xml:space="preserve">моля, посочете дали приходите са записани по разходни бюджетни редове </w:t>
      </w:r>
      <w:r w:rsidRPr="00130899">
        <w:rPr>
          <w:rFonts w:ascii="Wingdings" w:hAnsi="Wingdings"/>
          <w:noProof/>
        </w:rPr>
        <w:sym w:font="Wingdings" w:char="F0A8"/>
      </w:r>
      <w:r w:rsidRPr="00130899">
        <w:rPr>
          <w:noProof/>
        </w:rPr>
        <w:tab/>
      </w:r>
    </w:p>
    <w:p w14:paraId="31832FA7" w14:textId="77777777" w:rsidR="006918A0" w:rsidRPr="00130899" w:rsidRDefault="006918A0" w:rsidP="006918A0">
      <w:pPr>
        <w:ind w:left="4320"/>
        <w:rPr>
          <w:i/>
          <w:noProof/>
          <w:sz w:val="20"/>
        </w:rPr>
      </w:pPr>
      <w:r w:rsidRPr="00130899">
        <w:rPr>
          <w:noProof/>
        </w:rPr>
        <w:t xml:space="preserve">     млн. евро (до 3-тия знак след десетичната запетая)</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4"/>
        <w:gridCol w:w="1325"/>
        <w:gridCol w:w="1031"/>
        <w:gridCol w:w="900"/>
        <w:gridCol w:w="900"/>
        <w:gridCol w:w="1080"/>
        <w:gridCol w:w="1080"/>
        <w:gridCol w:w="1080"/>
        <w:gridCol w:w="1080"/>
      </w:tblGrid>
      <w:tr w:rsidR="006918A0" w:rsidRPr="00130899" w14:paraId="4A5297A1" w14:textId="77777777" w:rsidTr="000430BD">
        <w:trPr>
          <w:trHeight w:val="388"/>
        </w:trPr>
        <w:tc>
          <w:tcPr>
            <w:tcW w:w="2144" w:type="dxa"/>
            <w:vMerge w:val="restart"/>
            <w:tcBorders>
              <w:top w:val="single" w:sz="4" w:space="0" w:color="auto"/>
              <w:left w:val="single" w:sz="4" w:space="0" w:color="auto"/>
              <w:bottom w:val="single" w:sz="4" w:space="0" w:color="auto"/>
              <w:right w:val="single" w:sz="4" w:space="0" w:color="auto"/>
            </w:tcBorders>
            <w:vAlign w:val="center"/>
            <w:hideMark/>
          </w:tcPr>
          <w:p w14:paraId="10C7E5A6" w14:textId="77777777" w:rsidR="006918A0" w:rsidRPr="00130899" w:rsidRDefault="006918A0" w:rsidP="006918A0">
            <w:pPr>
              <w:spacing w:before="40" w:after="40" w:line="276" w:lineRule="auto"/>
              <w:rPr>
                <w:noProof/>
                <w:sz w:val="18"/>
              </w:rPr>
            </w:pPr>
            <w:r w:rsidRPr="00130899">
              <w:rPr>
                <w:noProof/>
                <w:sz w:val="18"/>
              </w:rPr>
              <w:t>Приходен бюджетен ред:</w:t>
            </w:r>
          </w:p>
        </w:tc>
        <w:tc>
          <w:tcPr>
            <w:tcW w:w="1325" w:type="dxa"/>
            <w:vMerge w:val="restart"/>
            <w:tcBorders>
              <w:top w:val="single" w:sz="4" w:space="0" w:color="auto"/>
              <w:left w:val="single" w:sz="4" w:space="0" w:color="auto"/>
              <w:bottom w:val="single" w:sz="4" w:space="0" w:color="auto"/>
              <w:right w:val="single" w:sz="4" w:space="0" w:color="auto"/>
            </w:tcBorders>
            <w:vAlign w:val="center"/>
            <w:hideMark/>
          </w:tcPr>
          <w:p w14:paraId="5FC1CBD2" w14:textId="77777777" w:rsidR="006918A0" w:rsidRPr="00130899" w:rsidRDefault="006918A0" w:rsidP="006918A0">
            <w:pPr>
              <w:spacing w:line="276" w:lineRule="auto"/>
              <w:jc w:val="center"/>
              <w:rPr>
                <w:noProof/>
                <w:sz w:val="18"/>
              </w:rPr>
            </w:pPr>
            <w:r w:rsidRPr="00130899">
              <w:rPr>
                <w:noProof/>
                <w:sz w:val="18"/>
              </w:rPr>
              <w:t>Налични бюджетни кредити за текущата финансова година</w:t>
            </w:r>
          </w:p>
        </w:tc>
        <w:tc>
          <w:tcPr>
            <w:tcW w:w="7151" w:type="dxa"/>
            <w:gridSpan w:val="7"/>
            <w:tcBorders>
              <w:top w:val="single" w:sz="4" w:space="0" w:color="auto"/>
              <w:left w:val="single" w:sz="4" w:space="0" w:color="auto"/>
              <w:bottom w:val="single" w:sz="4" w:space="0" w:color="auto"/>
              <w:right w:val="single" w:sz="4" w:space="0" w:color="auto"/>
            </w:tcBorders>
            <w:vAlign w:val="center"/>
            <w:hideMark/>
          </w:tcPr>
          <w:p w14:paraId="28B5322C" w14:textId="77777777" w:rsidR="006918A0" w:rsidRPr="00130899" w:rsidRDefault="006918A0" w:rsidP="006918A0">
            <w:pPr>
              <w:spacing w:line="276" w:lineRule="auto"/>
              <w:jc w:val="center"/>
              <w:rPr>
                <w:noProof/>
                <w:sz w:val="18"/>
              </w:rPr>
            </w:pPr>
            <w:r w:rsidRPr="00130899">
              <w:rPr>
                <w:noProof/>
                <w:sz w:val="18"/>
              </w:rPr>
              <w:t>Отражение на предложението/инициативата</w:t>
            </w:r>
            <w:r w:rsidRPr="00130899">
              <w:rPr>
                <w:rStyle w:val="FootnoteReference"/>
                <w:noProof/>
              </w:rPr>
              <w:footnoteReference w:id="58"/>
            </w:r>
          </w:p>
        </w:tc>
      </w:tr>
      <w:tr w:rsidR="006918A0" w:rsidRPr="00130899" w14:paraId="47D39764" w14:textId="77777777" w:rsidTr="00E104B3">
        <w:trPr>
          <w:trHeight w:val="388"/>
        </w:trPr>
        <w:tc>
          <w:tcPr>
            <w:tcW w:w="2144" w:type="dxa"/>
            <w:vMerge/>
            <w:tcBorders>
              <w:top w:val="single" w:sz="4" w:space="0" w:color="auto"/>
              <w:left w:val="single" w:sz="4" w:space="0" w:color="auto"/>
              <w:bottom w:val="single" w:sz="4" w:space="0" w:color="auto"/>
              <w:right w:val="single" w:sz="4" w:space="0" w:color="auto"/>
            </w:tcBorders>
            <w:vAlign w:val="center"/>
            <w:hideMark/>
          </w:tcPr>
          <w:p w14:paraId="5D8FC691" w14:textId="77777777" w:rsidR="006918A0" w:rsidRPr="00130899" w:rsidRDefault="006918A0" w:rsidP="006918A0">
            <w:pPr>
              <w:spacing w:before="0" w:after="0" w:line="276" w:lineRule="auto"/>
              <w:jc w:val="left"/>
              <w:rPr>
                <w:noProof/>
                <w:sz w:val="18"/>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14:paraId="6FC182A9" w14:textId="77777777" w:rsidR="006918A0" w:rsidRPr="00130899" w:rsidRDefault="006918A0" w:rsidP="006918A0">
            <w:pPr>
              <w:spacing w:before="0" w:after="0" w:line="276" w:lineRule="auto"/>
              <w:jc w:val="left"/>
              <w:rPr>
                <w:noProof/>
                <w:sz w:val="18"/>
              </w:rPr>
            </w:pPr>
          </w:p>
        </w:tc>
        <w:tc>
          <w:tcPr>
            <w:tcW w:w="1031" w:type="dxa"/>
            <w:tcBorders>
              <w:top w:val="single" w:sz="4" w:space="0" w:color="auto"/>
              <w:left w:val="single" w:sz="4" w:space="0" w:color="auto"/>
              <w:bottom w:val="single" w:sz="4" w:space="0" w:color="auto"/>
              <w:right w:val="single" w:sz="4" w:space="0" w:color="auto"/>
            </w:tcBorders>
            <w:vAlign w:val="center"/>
            <w:hideMark/>
          </w:tcPr>
          <w:p w14:paraId="6DBE935D" w14:textId="77777777" w:rsidR="006918A0" w:rsidRPr="00130899" w:rsidRDefault="006918A0" w:rsidP="006918A0">
            <w:pPr>
              <w:spacing w:line="276" w:lineRule="auto"/>
              <w:jc w:val="center"/>
              <w:rPr>
                <w:noProof/>
                <w:sz w:val="18"/>
              </w:rPr>
            </w:pPr>
            <w:r w:rsidRPr="00130899">
              <w:rPr>
                <w:noProof/>
                <w:sz w:val="18"/>
              </w:rPr>
              <w:t>Година</w:t>
            </w:r>
            <w:r w:rsidRPr="00130899">
              <w:rPr>
                <w:noProof/>
              </w:rPr>
              <w:t xml:space="preserve"> </w:t>
            </w:r>
            <w:r w:rsidRPr="00130899">
              <w:rPr>
                <w:noProof/>
              </w:rPr>
              <w:cr/>
            </w:r>
            <w:r w:rsidRPr="00130899">
              <w:rPr>
                <w:noProof/>
              </w:rPr>
              <w:br/>
            </w:r>
            <w:r w:rsidRPr="00130899">
              <w:rPr>
                <w:b/>
                <w:noProof/>
                <w:sz w:val="18"/>
              </w:rPr>
              <w:t>N</w:t>
            </w:r>
          </w:p>
        </w:tc>
        <w:tc>
          <w:tcPr>
            <w:tcW w:w="900" w:type="dxa"/>
            <w:tcBorders>
              <w:top w:val="single" w:sz="4" w:space="0" w:color="auto"/>
              <w:left w:val="single" w:sz="4" w:space="0" w:color="auto"/>
              <w:bottom w:val="single" w:sz="4" w:space="0" w:color="auto"/>
              <w:right w:val="single" w:sz="4" w:space="0" w:color="auto"/>
            </w:tcBorders>
            <w:vAlign w:val="center"/>
            <w:hideMark/>
          </w:tcPr>
          <w:p w14:paraId="43284E4C" w14:textId="77777777" w:rsidR="006918A0" w:rsidRPr="00130899" w:rsidRDefault="006918A0" w:rsidP="006918A0">
            <w:pPr>
              <w:spacing w:line="276" w:lineRule="auto"/>
              <w:jc w:val="center"/>
              <w:rPr>
                <w:noProof/>
                <w:sz w:val="18"/>
              </w:rPr>
            </w:pPr>
            <w:r w:rsidRPr="00130899">
              <w:rPr>
                <w:noProof/>
                <w:sz w:val="18"/>
              </w:rPr>
              <w:t>Година</w:t>
            </w:r>
            <w:r w:rsidRPr="00130899">
              <w:rPr>
                <w:noProof/>
              </w:rPr>
              <w:t xml:space="preserve"> </w:t>
            </w:r>
            <w:r w:rsidRPr="00130899">
              <w:rPr>
                <w:noProof/>
              </w:rPr>
              <w:cr/>
            </w:r>
            <w:r w:rsidRPr="00130899">
              <w:rPr>
                <w:noProof/>
              </w:rPr>
              <w:br/>
            </w:r>
            <w:r w:rsidRPr="00130899">
              <w:rPr>
                <w:b/>
                <w:noProof/>
                <w:sz w:val="18"/>
              </w:rPr>
              <w:t>N+1</w:t>
            </w:r>
          </w:p>
        </w:tc>
        <w:tc>
          <w:tcPr>
            <w:tcW w:w="900" w:type="dxa"/>
            <w:tcBorders>
              <w:top w:val="single" w:sz="4" w:space="0" w:color="auto"/>
              <w:left w:val="single" w:sz="4" w:space="0" w:color="auto"/>
              <w:bottom w:val="single" w:sz="4" w:space="0" w:color="auto"/>
              <w:right w:val="single" w:sz="4" w:space="0" w:color="auto"/>
            </w:tcBorders>
            <w:vAlign w:val="center"/>
            <w:hideMark/>
          </w:tcPr>
          <w:p w14:paraId="7C5088A8" w14:textId="77777777" w:rsidR="006918A0" w:rsidRPr="00130899" w:rsidRDefault="006918A0" w:rsidP="006918A0">
            <w:pPr>
              <w:spacing w:line="276" w:lineRule="auto"/>
              <w:jc w:val="center"/>
              <w:rPr>
                <w:noProof/>
                <w:sz w:val="18"/>
              </w:rPr>
            </w:pPr>
            <w:r w:rsidRPr="00130899">
              <w:rPr>
                <w:noProof/>
                <w:sz w:val="18"/>
              </w:rPr>
              <w:t>Година</w:t>
            </w:r>
            <w:r w:rsidRPr="00130899">
              <w:rPr>
                <w:noProof/>
              </w:rPr>
              <w:t xml:space="preserve"> </w:t>
            </w:r>
            <w:r w:rsidRPr="00130899">
              <w:rPr>
                <w:noProof/>
              </w:rPr>
              <w:cr/>
            </w:r>
            <w:r w:rsidRPr="00130899">
              <w:rPr>
                <w:noProof/>
              </w:rPr>
              <w:br/>
            </w:r>
            <w:r w:rsidRPr="00130899">
              <w:rPr>
                <w:b/>
                <w:noProof/>
                <w:sz w:val="18"/>
              </w:rPr>
              <w:t>N+2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8978713" w14:textId="77777777" w:rsidR="006918A0" w:rsidRPr="00130899" w:rsidRDefault="006918A0" w:rsidP="006918A0">
            <w:pPr>
              <w:spacing w:line="276" w:lineRule="auto"/>
              <w:jc w:val="center"/>
              <w:rPr>
                <w:noProof/>
                <w:sz w:val="18"/>
              </w:rPr>
            </w:pPr>
            <w:r w:rsidRPr="00130899">
              <w:rPr>
                <w:noProof/>
                <w:sz w:val="18"/>
              </w:rPr>
              <w:t>Година</w:t>
            </w:r>
            <w:r w:rsidRPr="00130899">
              <w:rPr>
                <w:noProof/>
              </w:rPr>
              <w:t xml:space="preserve"> </w:t>
            </w:r>
            <w:r w:rsidRPr="00130899">
              <w:rPr>
                <w:noProof/>
              </w:rPr>
              <w:cr/>
            </w:r>
            <w:r w:rsidRPr="00130899">
              <w:rPr>
                <w:noProof/>
              </w:rPr>
              <w:br/>
            </w:r>
            <w:r w:rsidRPr="00130899">
              <w:rPr>
                <w:b/>
                <w:noProof/>
                <w:sz w:val="18"/>
              </w:rPr>
              <w:t>N+3</w:t>
            </w:r>
          </w:p>
        </w:tc>
        <w:tc>
          <w:tcPr>
            <w:tcW w:w="3240" w:type="dxa"/>
            <w:gridSpan w:val="3"/>
            <w:tcBorders>
              <w:top w:val="single" w:sz="4" w:space="0" w:color="auto"/>
              <w:left w:val="single" w:sz="4" w:space="0" w:color="auto"/>
              <w:bottom w:val="single" w:sz="4" w:space="0" w:color="auto"/>
              <w:right w:val="single" w:sz="4" w:space="0" w:color="auto"/>
            </w:tcBorders>
            <w:vAlign w:val="center"/>
            <w:hideMark/>
          </w:tcPr>
          <w:p w14:paraId="2825A910" w14:textId="77777777" w:rsidR="006918A0" w:rsidRPr="00130899" w:rsidRDefault="006918A0" w:rsidP="006918A0">
            <w:pPr>
              <w:spacing w:line="276" w:lineRule="auto"/>
              <w:jc w:val="center"/>
              <w:rPr>
                <w:b/>
                <w:noProof/>
                <w:sz w:val="18"/>
              </w:rPr>
            </w:pPr>
            <w:r w:rsidRPr="00130899">
              <w:rPr>
                <w:noProof/>
                <w:sz w:val="18"/>
              </w:rPr>
              <w:t>Да се добавят толкова години, колкото е необходимо, за да се обхване продължителността на отражението (вж. точка 1.6)</w:t>
            </w:r>
          </w:p>
        </w:tc>
      </w:tr>
      <w:tr w:rsidR="006918A0" w:rsidRPr="00130899" w14:paraId="4163CE3F" w14:textId="77777777" w:rsidTr="000430BD">
        <w:trPr>
          <w:trHeight w:val="388"/>
        </w:trPr>
        <w:tc>
          <w:tcPr>
            <w:tcW w:w="2144" w:type="dxa"/>
            <w:tcBorders>
              <w:top w:val="single" w:sz="4" w:space="0" w:color="auto"/>
              <w:left w:val="single" w:sz="4" w:space="0" w:color="auto"/>
              <w:bottom w:val="single" w:sz="4" w:space="0" w:color="auto"/>
              <w:right w:val="single" w:sz="4" w:space="0" w:color="auto"/>
            </w:tcBorders>
            <w:vAlign w:val="center"/>
            <w:hideMark/>
          </w:tcPr>
          <w:p w14:paraId="1B63A33C" w14:textId="77777777" w:rsidR="006918A0" w:rsidRPr="00130899" w:rsidRDefault="006918A0" w:rsidP="006918A0">
            <w:pPr>
              <w:spacing w:before="40" w:after="40" w:line="276" w:lineRule="auto"/>
              <w:rPr>
                <w:noProof/>
                <w:sz w:val="18"/>
              </w:rPr>
            </w:pPr>
            <w:r w:rsidRPr="00130899">
              <w:rPr>
                <w:noProof/>
                <w:sz w:val="18"/>
              </w:rPr>
              <w:t>Статия ………….</w:t>
            </w:r>
          </w:p>
        </w:tc>
        <w:tc>
          <w:tcPr>
            <w:tcW w:w="1325" w:type="dxa"/>
            <w:tcBorders>
              <w:top w:val="single" w:sz="4" w:space="0" w:color="auto"/>
              <w:left w:val="single" w:sz="4" w:space="0" w:color="auto"/>
              <w:bottom w:val="single" w:sz="4" w:space="0" w:color="auto"/>
              <w:right w:val="single" w:sz="4" w:space="0" w:color="auto"/>
            </w:tcBorders>
          </w:tcPr>
          <w:p w14:paraId="5879E859" w14:textId="77777777" w:rsidR="006918A0" w:rsidRPr="00130899" w:rsidRDefault="006918A0" w:rsidP="006918A0">
            <w:pPr>
              <w:spacing w:beforeLines="40" w:before="96" w:afterLines="40" w:after="96" w:line="276" w:lineRule="auto"/>
              <w:jc w:val="center"/>
              <w:rPr>
                <w:i/>
                <w:noProof/>
                <w:sz w:val="18"/>
              </w:rPr>
            </w:pPr>
          </w:p>
        </w:tc>
        <w:tc>
          <w:tcPr>
            <w:tcW w:w="1031" w:type="dxa"/>
            <w:tcBorders>
              <w:top w:val="single" w:sz="4" w:space="0" w:color="auto"/>
              <w:left w:val="single" w:sz="4" w:space="0" w:color="auto"/>
              <w:bottom w:val="single" w:sz="4" w:space="0" w:color="auto"/>
              <w:right w:val="single" w:sz="4" w:space="0" w:color="auto"/>
            </w:tcBorders>
          </w:tcPr>
          <w:p w14:paraId="57D376F9" w14:textId="77777777" w:rsidR="006918A0" w:rsidRPr="00130899" w:rsidRDefault="006918A0" w:rsidP="006918A0">
            <w:pPr>
              <w:spacing w:beforeLines="40" w:before="96" w:afterLines="40" w:after="96" w:line="276" w:lineRule="auto"/>
              <w:jc w:val="center"/>
              <w:rPr>
                <w:noProof/>
                <w:sz w:val="18"/>
              </w:rPr>
            </w:pPr>
          </w:p>
        </w:tc>
        <w:tc>
          <w:tcPr>
            <w:tcW w:w="900" w:type="dxa"/>
            <w:tcBorders>
              <w:top w:val="single" w:sz="4" w:space="0" w:color="auto"/>
              <w:left w:val="single" w:sz="4" w:space="0" w:color="auto"/>
              <w:bottom w:val="single" w:sz="4" w:space="0" w:color="auto"/>
              <w:right w:val="single" w:sz="4" w:space="0" w:color="auto"/>
            </w:tcBorders>
          </w:tcPr>
          <w:p w14:paraId="668803B9" w14:textId="77777777" w:rsidR="006918A0" w:rsidRPr="00130899" w:rsidRDefault="006918A0" w:rsidP="006918A0">
            <w:pPr>
              <w:spacing w:beforeLines="40" w:before="96" w:afterLines="40" w:after="96" w:line="276" w:lineRule="auto"/>
              <w:jc w:val="center"/>
              <w:rPr>
                <w:noProof/>
                <w:sz w:val="18"/>
              </w:rPr>
            </w:pPr>
          </w:p>
        </w:tc>
        <w:tc>
          <w:tcPr>
            <w:tcW w:w="900" w:type="dxa"/>
            <w:tcBorders>
              <w:top w:val="single" w:sz="4" w:space="0" w:color="auto"/>
              <w:left w:val="single" w:sz="4" w:space="0" w:color="auto"/>
              <w:bottom w:val="single" w:sz="4" w:space="0" w:color="auto"/>
              <w:right w:val="single" w:sz="4" w:space="0" w:color="auto"/>
            </w:tcBorders>
          </w:tcPr>
          <w:p w14:paraId="0B03C52C" w14:textId="77777777" w:rsidR="006918A0" w:rsidRPr="00130899" w:rsidRDefault="006918A0" w:rsidP="006918A0">
            <w:pPr>
              <w:spacing w:beforeLines="40" w:before="96" w:afterLines="40" w:after="96" w:line="276" w:lineRule="auto"/>
              <w:jc w:val="center"/>
              <w:rPr>
                <w:noProof/>
                <w:sz w:val="18"/>
              </w:rPr>
            </w:pPr>
          </w:p>
        </w:tc>
        <w:tc>
          <w:tcPr>
            <w:tcW w:w="1080" w:type="dxa"/>
            <w:tcBorders>
              <w:top w:val="single" w:sz="4" w:space="0" w:color="auto"/>
              <w:left w:val="single" w:sz="4" w:space="0" w:color="auto"/>
              <w:bottom w:val="single" w:sz="4" w:space="0" w:color="auto"/>
              <w:right w:val="single" w:sz="4" w:space="0" w:color="auto"/>
            </w:tcBorders>
          </w:tcPr>
          <w:p w14:paraId="2AAFF138" w14:textId="77777777" w:rsidR="006918A0" w:rsidRPr="00130899" w:rsidRDefault="006918A0" w:rsidP="006918A0">
            <w:pPr>
              <w:spacing w:beforeLines="40" w:before="96" w:afterLines="40" w:after="96" w:line="276" w:lineRule="auto"/>
              <w:jc w:val="center"/>
              <w:rPr>
                <w:noProof/>
                <w:sz w:val="18"/>
              </w:rPr>
            </w:pPr>
          </w:p>
        </w:tc>
        <w:tc>
          <w:tcPr>
            <w:tcW w:w="1080" w:type="dxa"/>
            <w:tcBorders>
              <w:top w:val="single" w:sz="4" w:space="0" w:color="auto"/>
              <w:left w:val="single" w:sz="4" w:space="0" w:color="auto"/>
              <w:bottom w:val="single" w:sz="4" w:space="0" w:color="auto"/>
              <w:right w:val="single" w:sz="4" w:space="0" w:color="auto"/>
            </w:tcBorders>
          </w:tcPr>
          <w:p w14:paraId="3AC5A8B7" w14:textId="77777777" w:rsidR="006918A0" w:rsidRPr="00130899" w:rsidRDefault="006918A0" w:rsidP="006918A0">
            <w:pPr>
              <w:spacing w:beforeLines="40" w:before="96" w:afterLines="40" w:after="96" w:line="276" w:lineRule="auto"/>
              <w:jc w:val="center"/>
              <w:rPr>
                <w:noProof/>
                <w:sz w:val="18"/>
              </w:rPr>
            </w:pPr>
          </w:p>
        </w:tc>
        <w:tc>
          <w:tcPr>
            <w:tcW w:w="1080" w:type="dxa"/>
            <w:tcBorders>
              <w:top w:val="single" w:sz="4" w:space="0" w:color="auto"/>
              <w:left w:val="single" w:sz="4" w:space="0" w:color="auto"/>
              <w:bottom w:val="single" w:sz="4" w:space="0" w:color="auto"/>
              <w:right w:val="single" w:sz="4" w:space="0" w:color="auto"/>
            </w:tcBorders>
          </w:tcPr>
          <w:p w14:paraId="4BE6573C" w14:textId="77777777" w:rsidR="006918A0" w:rsidRPr="00130899" w:rsidRDefault="006918A0" w:rsidP="006918A0">
            <w:pPr>
              <w:spacing w:beforeLines="40" w:before="96" w:afterLines="40" w:after="96" w:line="276" w:lineRule="auto"/>
              <w:jc w:val="center"/>
              <w:rPr>
                <w:noProof/>
                <w:sz w:val="18"/>
              </w:rPr>
            </w:pPr>
          </w:p>
        </w:tc>
        <w:tc>
          <w:tcPr>
            <w:tcW w:w="1080" w:type="dxa"/>
            <w:tcBorders>
              <w:top w:val="single" w:sz="4" w:space="0" w:color="auto"/>
              <w:left w:val="single" w:sz="4" w:space="0" w:color="auto"/>
              <w:bottom w:val="single" w:sz="4" w:space="0" w:color="auto"/>
              <w:right w:val="single" w:sz="4" w:space="0" w:color="auto"/>
            </w:tcBorders>
          </w:tcPr>
          <w:p w14:paraId="5EAD8212" w14:textId="77777777" w:rsidR="006918A0" w:rsidRPr="00130899" w:rsidRDefault="006918A0" w:rsidP="006918A0">
            <w:pPr>
              <w:spacing w:beforeLines="40" w:before="96" w:afterLines="40" w:after="96" w:line="276" w:lineRule="auto"/>
              <w:jc w:val="center"/>
              <w:rPr>
                <w:noProof/>
                <w:sz w:val="18"/>
              </w:rPr>
            </w:pPr>
          </w:p>
        </w:tc>
      </w:tr>
    </w:tbl>
    <w:p w14:paraId="2CEC1B55" w14:textId="77777777" w:rsidR="006918A0" w:rsidRPr="00130899" w:rsidRDefault="006918A0" w:rsidP="006918A0">
      <w:pPr>
        <w:ind w:left="850"/>
        <w:rPr>
          <w:noProof/>
          <w:sz w:val="20"/>
        </w:rPr>
      </w:pPr>
      <w:r w:rsidRPr="00130899">
        <w:rPr>
          <w:noProof/>
          <w:sz w:val="20"/>
        </w:rPr>
        <w:t>За целевите приходи да се посочат съответните разходни бюджетни редове.</w:t>
      </w:r>
    </w:p>
    <w:p w14:paraId="78E15A8D" w14:textId="77777777" w:rsidR="006918A0" w:rsidRPr="00130899" w:rsidRDefault="006918A0" w:rsidP="006918A0">
      <w:pPr>
        <w:pBdr>
          <w:top w:val="single" w:sz="4" w:space="1" w:color="auto"/>
          <w:left w:val="single" w:sz="4" w:space="4" w:color="auto"/>
          <w:bottom w:val="single" w:sz="4" w:space="1" w:color="auto"/>
          <w:right w:val="single" w:sz="4" w:space="4" w:color="auto"/>
        </w:pBdr>
        <w:ind w:left="850"/>
        <w:rPr>
          <w:noProof/>
        </w:rPr>
      </w:pPr>
    </w:p>
    <w:p w14:paraId="785BC8C8" w14:textId="77777777" w:rsidR="006918A0" w:rsidRPr="00130899" w:rsidRDefault="006918A0" w:rsidP="006918A0">
      <w:pPr>
        <w:ind w:left="850"/>
        <w:rPr>
          <w:noProof/>
          <w:sz w:val="20"/>
        </w:rPr>
      </w:pPr>
      <w:r w:rsidRPr="00130899">
        <w:rPr>
          <w:noProof/>
          <w:sz w:val="20"/>
        </w:rPr>
        <w:t>Други забележки (например метод/формула за изчисляване на отражението върху приходите или друга информация).</w:t>
      </w:r>
    </w:p>
    <w:p w14:paraId="7432A0B5" w14:textId="77777777" w:rsidR="006918A0" w:rsidRPr="00130899" w:rsidRDefault="006918A0" w:rsidP="006918A0">
      <w:pPr>
        <w:pBdr>
          <w:top w:val="single" w:sz="4" w:space="1" w:color="auto"/>
          <w:left w:val="single" w:sz="4" w:space="4" w:color="auto"/>
          <w:bottom w:val="single" w:sz="4" w:space="1" w:color="auto"/>
          <w:right w:val="single" w:sz="4" w:space="4" w:color="auto"/>
        </w:pBdr>
        <w:ind w:left="850"/>
        <w:rPr>
          <w:noProof/>
        </w:rPr>
      </w:pPr>
    </w:p>
    <w:p w14:paraId="554C29ED" w14:textId="77777777" w:rsidR="006918A0" w:rsidRPr="00130899" w:rsidRDefault="006918A0" w:rsidP="006918A0">
      <w:pPr>
        <w:spacing w:before="0" w:after="200" w:line="276" w:lineRule="auto"/>
        <w:jc w:val="left"/>
        <w:rPr>
          <w:noProof/>
        </w:rPr>
      </w:pPr>
    </w:p>
    <w:p w14:paraId="65F151C5" w14:textId="77777777" w:rsidR="006918A0" w:rsidRPr="00130899" w:rsidRDefault="006918A0" w:rsidP="006918A0">
      <w:pPr>
        <w:spacing w:before="0" w:after="200" w:line="276" w:lineRule="auto"/>
        <w:jc w:val="left"/>
        <w:rPr>
          <w:noProof/>
        </w:rPr>
      </w:pPr>
    </w:p>
    <w:p w14:paraId="75DAE940" w14:textId="77777777" w:rsidR="001956AF" w:rsidRPr="00130899" w:rsidRDefault="001956AF" w:rsidP="006E6DDA">
      <w:pPr>
        <w:rPr>
          <w:noProof/>
        </w:rPr>
      </w:pPr>
    </w:p>
    <w:sectPr w:rsidR="001956AF" w:rsidRPr="00130899" w:rsidSect="006362D3">
      <w:pgSz w:w="11907" w:h="1683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8CF07" w14:textId="77777777" w:rsidR="006828FA" w:rsidRDefault="006828FA" w:rsidP="00977CF6">
      <w:pPr>
        <w:spacing w:before="0" w:after="0"/>
      </w:pPr>
      <w:r>
        <w:separator/>
      </w:r>
    </w:p>
  </w:endnote>
  <w:endnote w:type="continuationSeparator" w:id="0">
    <w:p w14:paraId="51A5C80C" w14:textId="77777777" w:rsidR="006828FA" w:rsidRDefault="006828FA" w:rsidP="00977CF6">
      <w:pPr>
        <w:spacing w:before="0" w:after="0"/>
      </w:pPr>
      <w:r>
        <w:continuationSeparator/>
      </w:r>
    </w:p>
  </w:endnote>
  <w:endnote w:type="continuationNotice" w:id="1">
    <w:p w14:paraId="54D9C0D1" w14:textId="77777777" w:rsidR="006828FA" w:rsidRDefault="006828F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altName w:val="Times New Roman"/>
    <w:charset w:val="00"/>
    <w:family w:val="auto"/>
    <w:pitch w:val="variable"/>
    <w:sig w:usb0="00000001" w:usb1="5000217F" w:usb2="00000021" w:usb3="00000000" w:csb0="0000019F" w:csb1="00000000"/>
  </w:font>
  <w:font w:name="Wingdings">
    <w:panose1 w:val="05000000000000000000"/>
    <w:charset w:val="02"/>
    <w:family w:val="auto"/>
    <w:pitch w:val="variable"/>
    <w:sig w:usb0="00000000" w:usb1="10000000" w:usb2="00000000" w:usb3="00000000" w:csb0="80000000" w:csb1="00000000"/>
  </w:font>
  <w:font w:name="EUAlbertina">
    <w:altName w:val="Calibri"/>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95922" w14:textId="153D7A84" w:rsidR="00130899" w:rsidRPr="006362D3" w:rsidRDefault="006362D3" w:rsidP="006362D3">
    <w:pPr>
      <w:pStyle w:val="Footer"/>
      <w:rPr>
        <w:rFonts w:ascii="Arial" w:hAnsi="Arial" w:cs="Arial"/>
        <w:b/>
        <w:sz w:val="48"/>
      </w:rPr>
    </w:pPr>
    <w:r w:rsidRPr="006362D3">
      <w:rPr>
        <w:rFonts w:ascii="Arial" w:hAnsi="Arial" w:cs="Arial"/>
        <w:b/>
        <w:sz w:val="48"/>
      </w:rPr>
      <w:t>BG</w:t>
    </w:r>
    <w:r w:rsidRPr="006362D3">
      <w:rPr>
        <w:rFonts w:ascii="Arial" w:hAnsi="Arial" w:cs="Arial"/>
        <w:b/>
        <w:sz w:val="48"/>
      </w:rPr>
      <w:tab/>
    </w:r>
    <w:r w:rsidRPr="006362D3">
      <w:rPr>
        <w:rFonts w:ascii="Arial" w:hAnsi="Arial" w:cs="Arial"/>
        <w:b/>
        <w:sz w:val="48"/>
      </w:rPr>
      <w:tab/>
    </w:r>
    <w:r w:rsidRPr="006362D3">
      <w:tab/>
    </w:r>
    <w:r w:rsidRPr="006362D3">
      <w:rPr>
        <w:rFonts w:ascii="Arial" w:hAnsi="Arial" w:cs="Arial"/>
        <w:b/>
        <w:sz w:val="48"/>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EB326" w14:textId="014BA7C4" w:rsidR="006362D3" w:rsidRPr="006362D3" w:rsidRDefault="006362D3" w:rsidP="006362D3">
    <w:pPr>
      <w:pStyle w:val="Footer"/>
      <w:rPr>
        <w:rFonts w:ascii="Arial" w:hAnsi="Arial" w:cs="Arial"/>
        <w:b/>
        <w:sz w:val="48"/>
      </w:rPr>
    </w:pPr>
    <w:r w:rsidRPr="006362D3">
      <w:rPr>
        <w:rFonts w:ascii="Arial" w:hAnsi="Arial" w:cs="Arial"/>
        <w:b/>
        <w:sz w:val="48"/>
      </w:rPr>
      <w:t>BG</w:t>
    </w:r>
    <w:r w:rsidRPr="006362D3">
      <w:rPr>
        <w:rFonts w:ascii="Arial" w:hAnsi="Arial" w:cs="Arial"/>
        <w:b/>
        <w:sz w:val="48"/>
      </w:rPr>
      <w:tab/>
    </w:r>
    <w:r>
      <w:fldChar w:fldCharType="begin"/>
    </w:r>
    <w:r>
      <w:instrText xml:space="preserve"> PAGE  \* MERGEFORMAT </w:instrText>
    </w:r>
    <w:r>
      <w:fldChar w:fldCharType="separate"/>
    </w:r>
    <w:r w:rsidR="008024E9">
      <w:rPr>
        <w:noProof/>
      </w:rPr>
      <w:t>41</w:t>
    </w:r>
    <w:r>
      <w:fldChar w:fldCharType="end"/>
    </w:r>
    <w:r>
      <w:tab/>
    </w:r>
    <w:r w:rsidRPr="006362D3">
      <w:tab/>
    </w:r>
    <w:r w:rsidRPr="006362D3">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F1D6D" w14:textId="77777777" w:rsidR="006362D3" w:rsidRPr="006362D3" w:rsidRDefault="006362D3" w:rsidP="006362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E6132" w14:textId="7A4E05B2" w:rsidR="006362D3" w:rsidRPr="006362D3" w:rsidRDefault="006362D3" w:rsidP="006362D3">
    <w:pPr>
      <w:pStyle w:val="FooterLandscape"/>
      <w:rPr>
        <w:rFonts w:ascii="Arial" w:hAnsi="Arial" w:cs="Arial"/>
        <w:b/>
        <w:sz w:val="48"/>
      </w:rPr>
    </w:pPr>
    <w:r w:rsidRPr="006362D3">
      <w:rPr>
        <w:rFonts w:ascii="Arial" w:hAnsi="Arial" w:cs="Arial"/>
        <w:b/>
        <w:sz w:val="48"/>
      </w:rPr>
      <w:t>BG</w:t>
    </w:r>
    <w:r w:rsidRPr="006362D3">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6362D3">
      <w:tab/>
    </w:r>
    <w:r w:rsidRPr="006362D3">
      <w:rPr>
        <w:rFonts w:ascii="Arial" w:hAnsi="Arial" w:cs="Arial"/>
        <w:b/>
        <w:sz w:val="48"/>
      </w:rPr>
      <w:t>BG</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246FE" w14:textId="77777777" w:rsidR="006362D3" w:rsidRPr="006362D3" w:rsidRDefault="006362D3" w:rsidP="006362D3">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B3F8D" w14:textId="26E554EE" w:rsidR="00130899" w:rsidRPr="006362D3" w:rsidRDefault="006362D3" w:rsidP="006362D3">
    <w:pPr>
      <w:pStyle w:val="Footer"/>
      <w:rPr>
        <w:rFonts w:ascii="Arial" w:hAnsi="Arial" w:cs="Arial"/>
        <w:b/>
        <w:sz w:val="48"/>
      </w:rPr>
    </w:pPr>
    <w:r w:rsidRPr="006362D3">
      <w:rPr>
        <w:rFonts w:ascii="Arial" w:hAnsi="Arial" w:cs="Arial"/>
        <w:b/>
        <w:sz w:val="48"/>
      </w:rPr>
      <w:t>BG</w:t>
    </w:r>
    <w:r w:rsidRPr="006362D3">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6362D3">
      <w:tab/>
    </w:r>
    <w:r w:rsidRPr="006362D3">
      <w:rPr>
        <w:rFonts w:ascii="Arial" w:hAnsi="Arial" w:cs="Arial"/>
        <w:b/>
        <w:sz w:val="48"/>
      </w:rPr>
      <w:t>BG</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46F7A" w14:textId="77777777" w:rsidR="006362D3" w:rsidRPr="006362D3" w:rsidRDefault="006362D3" w:rsidP="00636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296B9" w14:textId="77777777" w:rsidR="006828FA" w:rsidRDefault="006828FA" w:rsidP="00977CF6">
      <w:pPr>
        <w:spacing w:before="0" w:after="0"/>
      </w:pPr>
      <w:r>
        <w:separator/>
      </w:r>
    </w:p>
  </w:footnote>
  <w:footnote w:type="continuationSeparator" w:id="0">
    <w:p w14:paraId="24404DAD" w14:textId="77777777" w:rsidR="006828FA" w:rsidRDefault="006828FA" w:rsidP="00977CF6">
      <w:pPr>
        <w:spacing w:before="0" w:after="0"/>
      </w:pPr>
      <w:r>
        <w:continuationSeparator/>
      </w:r>
    </w:p>
  </w:footnote>
  <w:footnote w:type="continuationNotice" w:id="1">
    <w:p w14:paraId="19AF1A5E" w14:textId="77777777" w:rsidR="006828FA" w:rsidRDefault="006828FA">
      <w:pPr>
        <w:spacing w:before="0" w:after="0"/>
      </w:pPr>
    </w:p>
  </w:footnote>
  <w:footnote w:id="2">
    <w:p w14:paraId="5FFED592" w14:textId="1DDC11C3" w:rsidR="7BA2523B" w:rsidRDefault="7BA2523B" w:rsidP="00166F1C">
      <w:pPr>
        <w:pStyle w:val="FootnoteText"/>
        <w:rPr>
          <w:sz w:val="16"/>
        </w:rPr>
      </w:pPr>
      <w:r>
        <w:rPr>
          <w:rStyle w:val="FootnoteReference"/>
        </w:rPr>
        <w:footnoteRef/>
      </w:r>
      <w:r>
        <w:tab/>
        <w:t>Данък при източника върху дивидентите, проучване за инвеститорите в Европейския съюз, Better Finance, март 2023 г.</w:t>
      </w:r>
    </w:p>
  </w:footnote>
  <w:footnote w:id="3">
    <w:p w14:paraId="360D29DC" w14:textId="02A47073" w:rsidR="00616FDE" w:rsidRPr="00616FDE" w:rsidRDefault="00616FDE">
      <w:pPr>
        <w:pStyle w:val="FootnoteText"/>
      </w:pPr>
      <w:r>
        <w:rPr>
          <w:rStyle w:val="FootnoteReference"/>
        </w:rPr>
        <w:footnoteRef/>
      </w:r>
      <w:r>
        <w:tab/>
      </w:r>
      <w:hyperlink r:id="rId1" w:history="1">
        <w:r>
          <w:rPr>
            <w:rStyle w:val="Hyperlink"/>
          </w:rPr>
          <w:t>https://finance.ec.europa.eu/publications/retail-investment-package_bg</w:t>
        </w:r>
      </w:hyperlink>
    </w:p>
  </w:footnote>
  <w:footnote w:id="4">
    <w:p w14:paraId="4E541DC0" w14:textId="5C4570C3" w:rsidR="00FE4542" w:rsidRPr="00166F1C" w:rsidRDefault="00FE4542" w:rsidP="00654EF0">
      <w:pPr>
        <w:pStyle w:val="FootnoteText"/>
      </w:pPr>
      <w:r>
        <w:rPr>
          <w:rStyle w:val="FootnoteReference"/>
        </w:rPr>
        <w:footnoteRef/>
      </w:r>
      <w:r>
        <w:tab/>
        <w:t>Препоръка на Комисията от 19 октомври 2009 г. относно процедурите за данъчни облекчения във връзка с данъка, удържан при източника (ОВ L 279, 24.10.2009 г., стр. 8—11).</w:t>
      </w:r>
    </w:p>
  </w:footnote>
  <w:footnote w:id="5">
    <w:p w14:paraId="0C06352E" w14:textId="0783EB1B" w:rsidR="00FE4542" w:rsidRPr="00166F1C" w:rsidRDefault="00FE4542">
      <w:pPr>
        <w:pStyle w:val="FootnoteText"/>
      </w:pPr>
      <w:r>
        <w:rPr>
          <w:rStyle w:val="FootnoteReference"/>
        </w:rPr>
        <w:footnoteRef/>
      </w:r>
      <w:r>
        <w:tab/>
        <w:t xml:space="preserve">Европейска комисия (2017 г.), Кодекс за поведение относно данъка, удържан при източника, Генерална дирекция „Данъчно облагане и митнически съюз“, </w:t>
      </w:r>
      <w:hyperlink r:id="rId2" w:history="1">
        <w:r>
          <w:rPr>
            <w:rStyle w:val="Hyperlink"/>
          </w:rPr>
          <w:t>https://taxation-customs.ec.europa.eu/system/files/2017-12/code_of_conduct_on_witholding_tax.pdf</w:t>
        </w:r>
      </w:hyperlink>
      <w:r>
        <w:t>) .</w:t>
      </w:r>
    </w:p>
  </w:footnote>
  <w:footnote w:id="6">
    <w:p w14:paraId="6532E4CC" w14:textId="1138BC73" w:rsidR="00FE4542" w:rsidRPr="00FE4542" w:rsidRDefault="00FE4542">
      <w:pPr>
        <w:pStyle w:val="FootnoteText"/>
      </w:pPr>
      <w:r>
        <w:rPr>
          <w:rStyle w:val="FootnoteReference"/>
        </w:rPr>
        <w:footnoteRef/>
      </w:r>
      <w:r>
        <w:tab/>
        <w:t>ОИСР (2013 г.), Пакет за прилагане на облекчения съгласно спогодби и подобряване на спазването на данъчното законодателство (TRACE) за приемането на системата за упълномощени посредници: Стандартизирана система за ефективни процедури за освобождаване от данък при източника във връзка с трансгранични портфейлни доходи (</w:t>
      </w:r>
      <w:hyperlink r:id="rId3" w:history="1">
        <w:r>
          <w:rPr>
            <w:rStyle w:val="Hyperlink"/>
          </w:rPr>
          <w:t>https://www.oecd.org/ctp/exchange-of-tax-information/treatyreliefandcomplianceenhancementtrace.htm</w:t>
        </w:r>
      </w:hyperlink>
      <w:r>
        <w:t>).</w:t>
      </w:r>
    </w:p>
  </w:footnote>
  <w:footnote w:id="7">
    <w:p w14:paraId="6C806410" w14:textId="1AE16CEA" w:rsidR="00095B62" w:rsidRPr="00095B62" w:rsidRDefault="00095B62">
      <w:pPr>
        <w:pStyle w:val="FootnoteText"/>
      </w:pPr>
      <w:r>
        <w:rPr>
          <w:rStyle w:val="FootnoteReference"/>
        </w:rPr>
        <w:footnoteRef/>
      </w:r>
      <w:r>
        <w:tab/>
        <w:t>Вж. доклада за оценка на въздействието, придружаващ настоящото предложение.</w:t>
      </w:r>
    </w:p>
  </w:footnote>
  <w:footnote w:id="8">
    <w:p w14:paraId="148BA09E" w14:textId="46F3ED81" w:rsidR="007D17F2" w:rsidRPr="00166F1C" w:rsidRDefault="007D17F2" w:rsidP="00447FBE">
      <w:pPr>
        <w:pStyle w:val="FootnoteText"/>
      </w:pPr>
      <w:r>
        <w:rPr>
          <w:rStyle w:val="FootnoteReference"/>
        </w:rPr>
        <w:footnoteRef/>
      </w:r>
      <w:r>
        <w:tab/>
        <w:t xml:space="preserve">Съобщение на Комисията до Европейския парламент и Съвета — План за действие за справедливо и опростено данъчно облагане в подкрепа на стратегията за възстановяване (COM/2020/312 final). </w:t>
      </w:r>
    </w:p>
  </w:footnote>
  <w:footnote w:id="9">
    <w:p w14:paraId="4B9D88F7" w14:textId="1D12F2BC" w:rsidR="007D17F2" w:rsidRPr="00166F1C" w:rsidRDefault="007D17F2" w:rsidP="00447FBE">
      <w:pPr>
        <w:pStyle w:val="FootnoteText"/>
      </w:pPr>
      <w:r>
        <w:rPr>
          <w:rStyle w:val="FootnoteReference"/>
        </w:rPr>
        <w:footnoteRef/>
      </w:r>
      <w:r>
        <w:tab/>
        <w:t>Съобщение на Комисията до Европейския парламент, Съвета, Европейския икономически и социален комитет и Комитета на регионите — Съюз на капиталовите пазари за хората и предприемачите — нов план за действие (COM/2020/590 final).</w:t>
      </w:r>
    </w:p>
  </w:footnote>
  <w:footnote w:id="10">
    <w:p w14:paraId="759C5514" w14:textId="3484AF8F" w:rsidR="000023B2" w:rsidRPr="00166F1C" w:rsidRDefault="002606C0" w:rsidP="00447FBE">
      <w:pPr>
        <w:pStyle w:val="FootnoteText"/>
      </w:pPr>
      <w:r>
        <w:rPr>
          <w:rStyle w:val="FootnoteReference"/>
        </w:rPr>
        <w:footnoteRef/>
      </w:r>
      <w:r>
        <w:tab/>
        <w:t>Резолюция на Европейския парламент от 10 март 2022 г., съдържаща препоръки към Комисията относно справедливо и опростено данъчно облагане в подкрепа на стратегията за възстановяване (последващи действия на ЕП във връзка с плана за действие на Комисията от юли и нейните 25 инициативи в областта на ДДС, данъчното облагане на предприятията и данъчното облагане на физическите лица. (2020/2254(INL) (ОВ C 347, 9.9.2022 г., стр. 211–222).</w:t>
      </w:r>
    </w:p>
  </w:footnote>
  <w:footnote w:id="11">
    <w:p w14:paraId="0978C8F2" w14:textId="42277E2B" w:rsidR="00DA383D" w:rsidRPr="00DA383D" w:rsidRDefault="00DA383D">
      <w:pPr>
        <w:pStyle w:val="FootnoteText"/>
      </w:pPr>
      <w:r>
        <w:rPr>
          <w:rStyle w:val="FootnoteReference"/>
        </w:rPr>
        <w:footnoteRef/>
      </w:r>
      <w:r>
        <w:tab/>
        <w:t>Резолюция на Европейския парламент от 10 март 2022 г. относно Европейската рамка за данъка, удържан при източника (2021/2097(INI).</w:t>
      </w:r>
    </w:p>
  </w:footnote>
  <w:footnote w:id="12">
    <w:p w14:paraId="31B3BB7D" w14:textId="24CD1032" w:rsidR="0097109C" w:rsidRPr="0097109C" w:rsidRDefault="0097109C">
      <w:pPr>
        <w:pStyle w:val="FootnoteText"/>
      </w:pPr>
      <w:r>
        <w:rPr>
          <w:rStyle w:val="FootnoteReference"/>
        </w:rPr>
        <w:footnoteRef/>
      </w:r>
      <w:r>
        <w:tab/>
        <w:t>Резолюция на Европейския парламент от 8 октомври 2020 г. относно допълнителното развитие на съюза на капиталовите пазари: подобряване на достъпа до финансиране на капиталовите пазари, по-специално от страна на МСП, и насърчаване на участието на инвеститорите на дребно (2020/2036(INI).</w:t>
      </w:r>
    </w:p>
  </w:footnote>
  <w:footnote w:id="13">
    <w:p w14:paraId="79C195F2" w14:textId="514FB15F" w:rsidR="00095B62" w:rsidRPr="00095B62" w:rsidRDefault="00095B62">
      <w:pPr>
        <w:pStyle w:val="FootnoteText"/>
      </w:pPr>
      <w:r>
        <w:rPr>
          <w:rStyle w:val="FootnoteReference"/>
        </w:rPr>
        <w:footnoteRef/>
      </w:r>
      <w:r>
        <w:tab/>
        <w:t>Вж. доклада за оценка на въздействието, придружаващ настоящото предложение.</w:t>
      </w:r>
    </w:p>
  </w:footnote>
  <w:footnote w:id="14">
    <w:p w14:paraId="12A2614C" w14:textId="4B017566" w:rsidR="009E0D0A" w:rsidRPr="002F7B50" w:rsidRDefault="009E0D0A" w:rsidP="00AC7C41">
      <w:pPr>
        <w:pStyle w:val="FootnoteText"/>
        <w:rPr>
          <w:highlight w:val="yellow"/>
        </w:rPr>
      </w:pPr>
      <w:r>
        <w:rPr>
          <w:rStyle w:val="FootnoteReference"/>
        </w:rPr>
        <w:footnoteRef/>
      </w:r>
      <w:r>
        <w:tab/>
        <w:t>Директива (ЕС) 2016/1164 на Съвета от 12 юли 2016 г. за установяване на правила срещу практиките за избягване на данъци, които пряко засягат функционирането на вътрешния пазар (ОВ L 193, 19.7.2016 г., стр. 1).</w:t>
      </w:r>
    </w:p>
  </w:footnote>
  <w:footnote w:id="15">
    <w:p w14:paraId="7A7B682A" w14:textId="3AE95E2C" w:rsidR="009E0D0A" w:rsidRPr="00A205C2" w:rsidRDefault="009E0D0A" w:rsidP="009E0D0A">
      <w:pPr>
        <w:pStyle w:val="FootnoteText"/>
      </w:pPr>
      <w:r>
        <w:rPr>
          <w:rStyle w:val="FootnoteReference"/>
        </w:rPr>
        <w:footnoteRef/>
      </w:r>
      <w:r>
        <w:tab/>
        <w:t>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 11.3.2011 г., стр. 1).</w:t>
      </w:r>
    </w:p>
  </w:footnote>
  <w:footnote w:id="16">
    <w:p w14:paraId="6B57FF01" w14:textId="4A68D1D3" w:rsidR="009E0D0A" w:rsidRPr="00A205C2" w:rsidRDefault="009E0D0A" w:rsidP="009E0D0A">
      <w:pPr>
        <w:pStyle w:val="FootnoteText"/>
      </w:pPr>
      <w:r>
        <w:rPr>
          <w:rStyle w:val="FootnoteReference"/>
        </w:rPr>
        <w:footnoteRef/>
      </w:r>
      <w:r>
        <w:tab/>
        <w:t>Директива 2014/107/ЕС на Съвета от 9 декември 2014 г. за изменение на Директива 2011/16/ЕС по отношение на задължителния автоматичен обмен на информация в областта на данъчното облагане (ОВ L 359, 16.12.2014 г., стр. 1—29).</w:t>
      </w:r>
    </w:p>
  </w:footnote>
  <w:footnote w:id="17">
    <w:p w14:paraId="29DEAAFF" w14:textId="4261E316" w:rsidR="009E0D0A" w:rsidRPr="00166F1C" w:rsidRDefault="009E0D0A" w:rsidP="009E0D0A">
      <w:pPr>
        <w:pStyle w:val="FootnoteText"/>
      </w:pPr>
      <w:r>
        <w:rPr>
          <w:rStyle w:val="FootnoteReference"/>
        </w:rPr>
        <w:footnoteRef/>
      </w:r>
      <w:r>
        <w:tab/>
        <w:t>Директива (ЕС) 2018/822 на Съвета от 25 май 2018 г. за изменение на Директива 2011/16/ЕС по отношение на задължителния автоматичен обмен на информация в областта на данъчното облагане, свързана с подлежащите на оповестяване трансгранични договорености</w:t>
      </w:r>
      <w:r>
        <w:rPr>
          <w:rFonts w:ascii="Roboto" w:hAnsi="Roboto"/>
          <w:b/>
          <w:color w:val="333333"/>
          <w:sz w:val="21"/>
          <w:shd w:val="clear" w:color="auto" w:fill="FFFFFF"/>
        </w:rPr>
        <w:t xml:space="preserve"> </w:t>
      </w:r>
      <w:r>
        <w:t>(ОВ L 139, 5.6.2018 г., стр. 1—13).</w:t>
      </w:r>
    </w:p>
  </w:footnote>
  <w:footnote w:id="18">
    <w:p w14:paraId="5E52C630" w14:textId="4E60C356" w:rsidR="00E104B3" w:rsidRPr="00E104B3" w:rsidRDefault="00E104B3">
      <w:pPr>
        <w:pStyle w:val="FootnoteText"/>
      </w:pPr>
      <w:r>
        <w:rPr>
          <w:rStyle w:val="FootnoteReference"/>
        </w:rPr>
        <w:footnoteRef/>
      </w:r>
      <w:r>
        <w:tab/>
        <w:t xml:space="preserve">Предложение за Директива на Съвета от 22 декември 2021 г. за определяне на правила за предотвратяване на злоупотребата с фиктивни образувания за данъчни цели и за изменение на Директива 2011/16/ЕС (COM(2021)565). </w:t>
      </w:r>
    </w:p>
  </w:footnote>
  <w:footnote w:id="19">
    <w:p w14:paraId="2889F934" w14:textId="3DF5DAA9" w:rsidR="009002EC" w:rsidRPr="00537D3C" w:rsidRDefault="009002EC" w:rsidP="00B837EB">
      <w:pPr>
        <w:pStyle w:val="FootnoteText"/>
      </w:pPr>
      <w:r>
        <w:rPr>
          <w:rStyle w:val="FootnoteReference"/>
        </w:rPr>
        <w:footnoteRef/>
      </w:r>
      <w:r>
        <w:tab/>
        <w:t>Директива 2011/96/ЕС на Съвета от 30 ноември 2011 г. относно общата система за данъчно облагане на дружества майки и дъщерни дружества от различни държави членки (преработен текст) (ОВ L 345, 29.12.2011 г., стр. 8—16).</w:t>
      </w:r>
    </w:p>
  </w:footnote>
  <w:footnote w:id="20">
    <w:p w14:paraId="502A0A98" w14:textId="1F085C2A" w:rsidR="009002EC" w:rsidRPr="00537D3C" w:rsidRDefault="009002EC" w:rsidP="00B837EB">
      <w:pPr>
        <w:pStyle w:val="FootnoteText"/>
      </w:pPr>
      <w:r>
        <w:rPr>
          <w:rStyle w:val="FootnoteReference"/>
        </w:rPr>
        <w:footnoteRef/>
      </w:r>
      <w:r>
        <w:tab/>
        <w:t>Директива 2003/49/ЕО на Съвета от 3 юни 2003 г. относно общата система на данъчно облагане на плащания на лихви и роялти между свързани дружества от различни държави членки (OВ L 157, 26.6.2003 г., стр. 49—54).</w:t>
      </w:r>
    </w:p>
  </w:footnote>
  <w:footnote w:id="21">
    <w:p w14:paraId="77E546BA" w14:textId="163A74C9" w:rsidR="003962D4" w:rsidRDefault="003962D4" w:rsidP="00BE5252">
      <w:pPr>
        <w:pStyle w:val="FootnoteText"/>
      </w:pPr>
      <w:r>
        <w:rPr>
          <w:rStyle w:val="FootnoteReference"/>
        </w:rPr>
        <w:footnoteRef/>
      </w:r>
      <w:r>
        <w:tab/>
        <w:t>Предложение за Директива на Европейския парламент и на Съвета за изменение на директиви (ЕС) 2009/65/ЕО, 2009/138/ЕО, 2011/61/ЕС, 2014/65/ЕС и (ЕС) 2016/97 по отношение на правилата за защита на инвеститорите на дребно в Съюза (COM/2023/279 final).</w:t>
      </w:r>
    </w:p>
  </w:footnote>
  <w:footnote w:id="22">
    <w:p w14:paraId="31D741C9" w14:textId="29B4CA65" w:rsidR="00297E62" w:rsidRPr="0021552A" w:rsidRDefault="00297E62">
      <w:pPr>
        <w:pStyle w:val="FootnoteText"/>
      </w:pPr>
      <w:r>
        <w:rPr>
          <w:rStyle w:val="FootnoteReference"/>
        </w:rPr>
        <w:footnoteRef/>
      </w:r>
      <w:r>
        <w:tab/>
        <w:t>Директива (ЕС) 2017/828 на Европейския парламент и на Съвета от 17 май 2017 г. за изменение на Директива 2007/36/ЕО по отношение на насърчаването на дългосрочната ангажираност на акционерите.</w:t>
      </w:r>
    </w:p>
  </w:footnote>
  <w:footnote w:id="23">
    <w:p w14:paraId="2A038B5F" w14:textId="31B5F4B4" w:rsidR="0055469A" w:rsidRPr="0055469A" w:rsidRDefault="0055469A">
      <w:pPr>
        <w:pStyle w:val="FootnoteText"/>
      </w:pPr>
      <w:r>
        <w:rPr>
          <w:rStyle w:val="FootnoteReference"/>
        </w:rPr>
        <w:footnoteRef/>
      </w:r>
      <w:r>
        <w:tab/>
        <w:t>Оценка на въздействието от етапа на създаване — Ares(2021)5900310 (</w:t>
      </w:r>
      <w:hyperlink r:id="rId4" w:history="1">
        <w:r>
          <w:rPr>
            <w:rStyle w:val="Hyperlink"/>
          </w:rPr>
          <w:t>https://ec.europa.eu/info/law/better-regulation/have-your-say/initiatives/13031-Withholding-taxes-new-EU-system-to-avoid-double-taxation_bg</w:t>
        </w:r>
      </w:hyperlink>
      <w:r>
        <w:t>)</w:t>
      </w:r>
    </w:p>
  </w:footnote>
  <w:footnote w:id="24">
    <w:p w14:paraId="65067CB3" w14:textId="4BD31983" w:rsidR="00FC34D1" w:rsidRPr="0091758E" w:rsidRDefault="00FC34D1" w:rsidP="000F16D6">
      <w:pPr>
        <w:pStyle w:val="FootnoteText"/>
      </w:pPr>
      <w:r>
        <w:rPr>
          <w:rStyle w:val="FootnoteReference"/>
        </w:rPr>
        <w:footnoteRef/>
      </w:r>
      <w:r>
        <w:tab/>
        <w:t>Регламент (ЕС) № 910/2014 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пазар и за отмяна на Директива 1999/93/ЕО (ОВ L 257, 28.8.2014 г., стр. 73—114).</w:t>
      </w:r>
    </w:p>
  </w:footnote>
  <w:footnote w:id="25">
    <w:p w14:paraId="44EAB9EA" w14:textId="1271A563" w:rsidR="00FC34D1" w:rsidRPr="0091758E" w:rsidRDefault="00FC34D1" w:rsidP="000F16D6">
      <w:pPr>
        <w:pStyle w:val="FootnoteText"/>
      </w:pPr>
      <w:r>
        <w:rPr>
          <w:rStyle w:val="FootnoteReference"/>
        </w:rPr>
        <w:footnoteRef/>
      </w:r>
      <w:r>
        <w:tab/>
        <w:t xml:space="preserve">Регламент (ЕС) № 575/2013 на Европейския парламент и на Съвета от 26 юни 2013 г. относно пруденциалните изисквания за кредитните институции и инвестиционните посредници и за изменение на Регламент (ЕС) № 648/2012 (OВ L 176, 27.6.2013 г., стp. 1—337). </w:t>
      </w:r>
    </w:p>
  </w:footnote>
  <w:footnote w:id="26">
    <w:p w14:paraId="7BEB2C82" w14:textId="239C3BA1" w:rsidR="00FC34D1" w:rsidRPr="0091758E" w:rsidRDefault="00FC34D1" w:rsidP="000F16D6">
      <w:pPr>
        <w:pStyle w:val="FootnoteText"/>
      </w:pPr>
      <w:r>
        <w:rPr>
          <w:rStyle w:val="FootnoteReference"/>
        </w:rPr>
        <w:footnoteRef/>
      </w:r>
      <w:r>
        <w:tab/>
        <w:t xml:space="preserve">Регламент (ЕС) № 909/2014 на Европейския парламент и на Съвета от 23 юли 2014 г. за подобряване на сетълмента на ценни книжа в Европейския съюз и за централните депозитари на ценни книжа, както и за изменение на директиви 98/26/ЕО и 2014/65/ЕС и Регламент (ЕС) № 236/2012 (ОВ L 257, 28.8.2014 г., стр. 1—72). </w:t>
      </w:r>
    </w:p>
  </w:footnote>
  <w:footnote w:id="27">
    <w:p w14:paraId="081763A7" w14:textId="77777777" w:rsidR="00977CF6" w:rsidRPr="00C33759" w:rsidRDefault="00977CF6" w:rsidP="00977CF6">
      <w:pPr>
        <w:pStyle w:val="FootnoteText"/>
      </w:pPr>
      <w:r>
        <w:rPr>
          <w:rStyle w:val="FootnoteReference"/>
        </w:rPr>
        <w:footnoteRef/>
      </w:r>
      <w:r>
        <w:tab/>
        <w:t>OВ C […], […] г., стр. […].</w:t>
      </w:r>
    </w:p>
  </w:footnote>
  <w:footnote w:id="28">
    <w:p w14:paraId="0456AADB" w14:textId="77777777" w:rsidR="00977CF6" w:rsidRPr="00C33759" w:rsidRDefault="00977CF6" w:rsidP="00977CF6">
      <w:pPr>
        <w:pStyle w:val="FootnoteText"/>
      </w:pPr>
      <w:r>
        <w:rPr>
          <w:rStyle w:val="FootnoteReference"/>
        </w:rPr>
        <w:footnoteRef/>
      </w:r>
      <w:r>
        <w:tab/>
        <w:t>OВ C […], […] г., стр. […].</w:t>
      </w:r>
    </w:p>
  </w:footnote>
  <w:footnote w:id="29">
    <w:p w14:paraId="0BE534FB" w14:textId="224A6104" w:rsidR="00505496" w:rsidRPr="0091758E" w:rsidRDefault="00505496" w:rsidP="00505496">
      <w:pPr>
        <w:pStyle w:val="FootnoteText"/>
      </w:pPr>
      <w:r>
        <w:rPr>
          <w:rStyle w:val="FootnoteReference"/>
        </w:rPr>
        <w:footnoteRef/>
      </w:r>
      <w:r>
        <w:tab/>
        <w:t>Препоръка на Комисията от 19 октомври 2009 г. относно процедурите за данъчни облекчения във връзка с данъка, удържан при източника (текст от значение за ЕИП) (ОВ L 279, 24.10.2009 г., стр. 8–11).</w:t>
      </w:r>
    </w:p>
  </w:footnote>
  <w:footnote w:id="30">
    <w:p w14:paraId="732E351B" w14:textId="3E14FBA1" w:rsidR="00505496" w:rsidRPr="0091758E" w:rsidRDefault="00505496" w:rsidP="00505496">
      <w:pPr>
        <w:pStyle w:val="FootnoteText"/>
      </w:pPr>
      <w:r>
        <w:rPr>
          <w:rStyle w:val="FootnoteReference"/>
        </w:rPr>
        <w:footnoteRef/>
      </w:r>
      <w:r>
        <w:tab/>
        <w:t>Регламент (ЕС) № 575/2013 на Европейския парламент и на Съвета от 26 юни 2013 г. относно пруденциалните изисквания за кредитните институции и инвестиционните посредници и за изменение на Регламент (ЕС) № 648/2012 (текст от значение за ЕИП) (ОВ L 176, 27.6.2013 г., стр. 1—337).</w:t>
      </w:r>
    </w:p>
  </w:footnote>
  <w:footnote w:id="31">
    <w:p w14:paraId="4EB8484A" w14:textId="77777777" w:rsidR="00771E52" w:rsidRPr="00130899" w:rsidRDefault="00771E52" w:rsidP="00771E52">
      <w:pPr>
        <w:pStyle w:val="footnotedescription"/>
        <w:spacing w:line="272" w:lineRule="auto"/>
        <w:ind w:right="13"/>
        <w:rPr>
          <w:lang w:val="bg-BG"/>
        </w:rPr>
      </w:pPr>
      <w:r>
        <w:rPr>
          <w:rStyle w:val="FootnoteReference"/>
        </w:rPr>
        <w:footnoteRef/>
      </w:r>
      <w:r w:rsidRPr="00130899">
        <w:rPr>
          <w:lang w:val="bg-BG"/>
        </w:rPr>
        <w:tab/>
        <w:t>Регламент</w:t>
      </w:r>
      <w:r>
        <w:t> </w:t>
      </w:r>
      <w:r w:rsidRPr="00130899">
        <w:rPr>
          <w:lang w:val="bg-BG"/>
        </w:rPr>
        <w:t>(ЕС) №</w:t>
      </w:r>
      <w:r>
        <w:t> </w:t>
      </w:r>
      <w:r w:rsidRPr="00130899">
        <w:rPr>
          <w:lang w:val="bg-BG"/>
        </w:rPr>
        <w:t>182/2011 на Европейския парламент и на Съвета от 16</w:t>
      </w:r>
      <w:r>
        <w:t> </w:t>
      </w:r>
      <w:r w:rsidRPr="00130899">
        <w:rPr>
          <w:lang w:val="bg-BG"/>
        </w:rPr>
        <w:t>февруари 2011</w:t>
      </w:r>
      <w:r>
        <w:t> </w:t>
      </w:r>
      <w:r w:rsidRPr="00130899">
        <w:rPr>
          <w:lang w:val="bg-BG"/>
        </w:rPr>
        <w:t>г. за установяване на общите правила и принципи относно реда и условията за контрол от страна на държавите членки върху упражняването на изпълнителните правомощия от страна на Комисията (ОВ</w:t>
      </w:r>
      <w:r>
        <w:t> L </w:t>
      </w:r>
      <w:r w:rsidRPr="00130899">
        <w:rPr>
          <w:lang w:val="bg-BG"/>
        </w:rPr>
        <w:t>55, 28.2.2011</w:t>
      </w:r>
      <w:r>
        <w:t> </w:t>
      </w:r>
      <w:r w:rsidRPr="00130899">
        <w:rPr>
          <w:lang w:val="bg-BG"/>
        </w:rPr>
        <w:t>г., стр.</w:t>
      </w:r>
      <w:r>
        <w:t> </w:t>
      </w:r>
      <w:r w:rsidRPr="00130899">
        <w:rPr>
          <w:lang w:val="bg-BG"/>
        </w:rPr>
        <w:t xml:space="preserve">13). </w:t>
      </w:r>
    </w:p>
  </w:footnote>
  <w:footnote w:id="32">
    <w:p w14:paraId="0EBA25EA" w14:textId="77777777" w:rsidR="00771E52" w:rsidRPr="00130899" w:rsidRDefault="00771E52" w:rsidP="00771E52">
      <w:pPr>
        <w:pStyle w:val="footnotedescription"/>
        <w:spacing w:line="247" w:lineRule="auto"/>
        <w:ind w:right="12"/>
        <w:rPr>
          <w:lang w:val="bg-BG"/>
        </w:rPr>
      </w:pPr>
      <w:r>
        <w:rPr>
          <w:rStyle w:val="FootnoteReference"/>
        </w:rPr>
        <w:footnoteRef/>
      </w:r>
      <w:r w:rsidRPr="00130899">
        <w:rPr>
          <w:lang w:val="bg-BG"/>
        </w:rPr>
        <w:tab/>
        <w:t>Регламент</w:t>
      </w:r>
      <w:r>
        <w:t> </w:t>
      </w:r>
      <w:r w:rsidRPr="00130899">
        <w:rPr>
          <w:lang w:val="bg-BG"/>
        </w:rPr>
        <w:t>(ЕС)</w:t>
      </w:r>
      <w:r>
        <w:t> </w:t>
      </w:r>
      <w:r w:rsidRPr="00130899">
        <w:rPr>
          <w:lang w:val="bg-BG"/>
        </w:rPr>
        <w:t>2016/679 на Европейския парламент и на Съвета от 27</w:t>
      </w:r>
      <w:r>
        <w:t> </w:t>
      </w:r>
      <w:r w:rsidRPr="00130899">
        <w:rPr>
          <w:lang w:val="bg-BG"/>
        </w:rPr>
        <w:t>април 2016</w:t>
      </w:r>
      <w:r>
        <w:t> </w:t>
      </w:r>
      <w:r w:rsidRPr="00130899">
        <w:rPr>
          <w:lang w:val="bg-BG"/>
        </w:rPr>
        <w:t>г. относно защитата на физическите лица във връзка с обработването на лични данни и относно свободното движение на такива данни и за отмяна на Директива</w:t>
      </w:r>
      <w:r>
        <w:t> </w:t>
      </w:r>
      <w:r w:rsidRPr="00130899">
        <w:rPr>
          <w:lang w:val="bg-BG"/>
        </w:rPr>
        <w:t>95/46/</w:t>
      </w:r>
      <w:r>
        <w:t>E</w:t>
      </w:r>
      <w:r w:rsidRPr="00130899">
        <w:rPr>
          <w:lang w:val="bg-BG"/>
        </w:rPr>
        <w:t>О (Общ регламент относно защитата на данните) (ОВ</w:t>
      </w:r>
      <w:r>
        <w:t> L </w:t>
      </w:r>
      <w:r w:rsidRPr="00130899">
        <w:rPr>
          <w:lang w:val="bg-BG"/>
        </w:rPr>
        <w:t>119, 4.5.2016</w:t>
      </w:r>
      <w:r>
        <w:t> </w:t>
      </w:r>
      <w:r w:rsidRPr="00130899">
        <w:rPr>
          <w:lang w:val="bg-BG"/>
        </w:rPr>
        <w:t>г., стр.</w:t>
      </w:r>
      <w:r>
        <w:t> </w:t>
      </w:r>
      <w:r w:rsidRPr="00130899">
        <w:rPr>
          <w:lang w:val="bg-BG"/>
        </w:rPr>
        <w:t>1).</w:t>
      </w:r>
    </w:p>
  </w:footnote>
  <w:footnote w:id="33">
    <w:p w14:paraId="164D2C1F" w14:textId="77777777" w:rsidR="00552C80" w:rsidRPr="00130899" w:rsidRDefault="00552C80" w:rsidP="00552C80">
      <w:pPr>
        <w:pStyle w:val="footnotedescription"/>
        <w:spacing w:line="247" w:lineRule="auto"/>
        <w:ind w:right="16"/>
        <w:rPr>
          <w:lang w:val="bg-BG"/>
        </w:rPr>
      </w:pPr>
      <w:r>
        <w:rPr>
          <w:rStyle w:val="FootnoteReference"/>
        </w:rPr>
        <w:footnoteRef/>
      </w:r>
      <w:r w:rsidRPr="00130899">
        <w:rPr>
          <w:lang w:val="bg-BG"/>
        </w:rPr>
        <w:tab/>
        <w:t>Регламент</w:t>
      </w:r>
      <w:r>
        <w:t> </w:t>
      </w:r>
      <w:r w:rsidRPr="00130899">
        <w:rPr>
          <w:lang w:val="bg-BG"/>
        </w:rPr>
        <w:t>(ЕС)</w:t>
      </w:r>
      <w:r>
        <w:t> </w:t>
      </w:r>
      <w:r w:rsidRPr="00130899">
        <w:rPr>
          <w:lang w:val="bg-BG"/>
        </w:rPr>
        <w:t>2018/1725 на Европейския парламент и на Съвета от 23</w:t>
      </w:r>
      <w:r>
        <w:t> </w:t>
      </w:r>
      <w:r w:rsidRPr="00130899">
        <w:rPr>
          <w:lang w:val="bg-BG"/>
        </w:rPr>
        <w:t>октомври 2018</w:t>
      </w:r>
      <w:r>
        <w:t> </w:t>
      </w:r>
      <w:r w:rsidRPr="00130899">
        <w:rPr>
          <w:lang w:val="bg-BG"/>
        </w:rPr>
        <w:t>г. относно защитата на физическите лица във връзка с обработването на лични данни от институциите, органите, службите и агенциите на Съюза и относно свободното движение на такива данни и за отмяна на Регламент</w:t>
      </w:r>
      <w:r>
        <w:t> </w:t>
      </w:r>
      <w:r w:rsidRPr="00130899">
        <w:rPr>
          <w:lang w:val="bg-BG"/>
        </w:rPr>
        <w:t>(ЕО) №</w:t>
      </w:r>
      <w:r>
        <w:t> </w:t>
      </w:r>
      <w:r w:rsidRPr="00130899">
        <w:rPr>
          <w:lang w:val="bg-BG"/>
        </w:rPr>
        <w:t>45/2001 и Решение</w:t>
      </w:r>
      <w:r>
        <w:t> </w:t>
      </w:r>
      <w:r w:rsidRPr="00130899">
        <w:rPr>
          <w:lang w:val="bg-BG"/>
        </w:rPr>
        <w:t>№</w:t>
      </w:r>
      <w:r>
        <w:t> </w:t>
      </w:r>
      <w:r w:rsidRPr="00130899">
        <w:rPr>
          <w:lang w:val="bg-BG"/>
        </w:rPr>
        <w:t>1247/2002/ЕО (</w:t>
      </w:r>
      <w:r>
        <w:t>OB L </w:t>
      </w:r>
      <w:r w:rsidRPr="00130899">
        <w:rPr>
          <w:lang w:val="bg-BG"/>
        </w:rPr>
        <w:t>295, 21.11.2018</w:t>
      </w:r>
      <w:r>
        <w:t> </w:t>
      </w:r>
      <w:r w:rsidRPr="00130899">
        <w:rPr>
          <w:lang w:val="bg-BG"/>
        </w:rPr>
        <w:t>г., стр.</w:t>
      </w:r>
      <w:r>
        <w:t> </w:t>
      </w:r>
      <w:r w:rsidRPr="00130899">
        <w:rPr>
          <w:lang w:val="bg-BG"/>
        </w:rPr>
        <w:t xml:space="preserve">39). </w:t>
      </w:r>
    </w:p>
  </w:footnote>
  <w:footnote w:id="34">
    <w:p w14:paraId="29A257E3" w14:textId="77777777" w:rsidR="002B5330" w:rsidRPr="00600937" w:rsidRDefault="002B5330" w:rsidP="002B5330">
      <w:pPr>
        <w:pStyle w:val="FootnoteText"/>
        <w:ind w:left="0" w:firstLine="0"/>
      </w:pPr>
      <w:r>
        <w:rPr>
          <w:rStyle w:val="FootnoteReference"/>
        </w:rPr>
        <w:footnoteRef/>
      </w:r>
      <w:r>
        <w:tab/>
        <w:t>Директива 2014/65/ЕС на Европейския парламент и на Съвета от 15 май 2014 г. относно пазарите на финансови инструменти и за изменение на Директива 2002/92/ЕО и на Директива 2011/61/ЕС (преработен текст) (ОВ L 173, 2.6.2014 г., стр. 349).</w:t>
      </w:r>
    </w:p>
  </w:footnote>
  <w:footnote w:id="35">
    <w:p w14:paraId="42E95264" w14:textId="0077F9C8" w:rsidR="00A70F42" w:rsidRPr="00A70F42" w:rsidRDefault="00A70F42">
      <w:pPr>
        <w:pStyle w:val="FootnoteText"/>
      </w:pPr>
      <w:r>
        <w:rPr>
          <w:rStyle w:val="FootnoteReference"/>
        </w:rPr>
        <w:footnoteRef/>
      </w:r>
      <w:r>
        <w:tab/>
        <w:t>Регламент (ЕС) № 909/2014 на Европейския парламент и на Съвета от 23 юли 2014 г. за подобряване на сетълмента на ценни книжа в Европейския съюз и за централните депозитари на ценни книжа, както и за изменение на директиви 98/26/ЕО и 2014/65/ЕС и Регламент (ЕС) № 236/2012 (ОВ L 257, 28.8.2014 г., стр. 1—72).</w:t>
      </w:r>
    </w:p>
  </w:footnote>
  <w:footnote w:id="36">
    <w:p w14:paraId="541262E6" w14:textId="53CD6D03" w:rsidR="002C02BA" w:rsidRPr="00B9581D" w:rsidRDefault="002C02BA" w:rsidP="002C02BA">
      <w:pPr>
        <w:pStyle w:val="FootnoteText"/>
      </w:pPr>
      <w:r>
        <w:rPr>
          <w:rStyle w:val="FootnoteReference"/>
        </w:rPr>
        <w:footnoteRef/>
      </w:r>
      <w:r>
        <w:tab/>
        <w:t>Регламент (ЕС) № 575/2013 на Европейския парламент и на Съвета от 26 юни 2013 г. относно пруденциалните изисквания за кредитните институции и инвестиционните посредници и за изменение на Регламент (ЕС) № 648/2012 (текст от значение за ЕИП) (ОВ L 176, 27.6.2013 г., стр. 1—337).</w:t>
      </w:r>
    </w:p>
  </w:footnote>
  <w:footnote w:id="37">
    <w:p w14:paraId="6068FDAD" w14:textId="77777777" w:rsidR="002B5330" w:rsidRDefault="002B5330" w:rsidP="00B9581D">
      <w:pPr>
        <w:pStyle w:val="FootnoteText"/>
      </w:pPr>
      <w:r>
        <w:rPr>
          <w:rStyle w:val="FootnoteReference"/>
        </w:rPr>
        <w:footnoteRef/>
      </w:r>
      <w:r>
        <w:tab/>
        <w:t>Директива (ЕС) 2017/1132 на Европейския парламент и на Съвета от 14 юни 2017 г. относно някои аспекти на дружественото право (кодифициран текст) (ОВ L 169, 30.6.2017 г., стр. 46—127).</w:t>
      </w:r>
    </w:p>
  </w:footnote>
  <w:footnote w:id="38">
    <w:p w14:paraId="36D8B3CF" w14:textId="77777777" w:rsidR="00930848" w:rsidRPr="00B1654A" w:rsidRDefault="00930848" w:rsidP="00930848">
      <w:pPr>
        <w:pStyle w:val="FootnoteText"/>
        <w:ind w:left="0" w:firstLine="0"/>
      </w:pPr>
      <w:r>
        <w:rPr>
          <w:rStyle w:val="FootnoteReference"/>
        </w:rPr>
        <w:footnoteRef/>
      </w:r>
      <w:r>
        <w:tab/>
        <w:t>Регламент за изпълнение (ЕС) 2018/1212 на Комисията от 3 септември 2018 г. за определяне на минимални изисквания за прилагането на разпоредбите на Директива 2007/36/ЕО на Европейския парламент и на Съвета по отношение на идентификацията на акционерите, предаването на информация и улесняването на упражняването на правата на акционерите (ОВ L 223, 4.9.2018 г., стр. 1).</w:t>
      </w:r>
    </w:p>
  </w:footnote>
  <w:footnote w:id="39">
    <w:p w14:paraId="151C2E0D" w14:textId="510D1C34" w:rsidR="009B5531" w:rsidRPr="00B9581D" w:rsidRDefault="009B5531" w:rsidP="009B5531">
      <w:pPr>
        <w:pStyle w:val="FootnoteText"/>
      </w:pPr>
      <w:r>
        <w:rPr>
          <w:rStyle w:val="FootnoteReference"/>
        </w:rPr>
        <w:footnoteRef/>
      </w:r>
      <w:r>
        <w:tab/>
        <w:t>Насоки (ЕС) 2019/1265 на Европейската централна банка от 10 юли 2019 г. относно индекса на лихвени проценти по краткосрочни депозити в евро (€STR) (ЕЦБ/2019/19) (ОВ L 199, 26.7.2019 г., стр. 8—17).</w:t>
      </w:r>
    </w:p>
  </w:footnote>
  <w:footnote w:id="40">
    <w:p w14:paraId="751F6530" w14:textId="4743C3BA" w:rsidR="00D25AFF" w:rsidRPr="00D25AFF" w:rsidRDefault="00D25AFF">
      <w:pPr>
        <w:pStyle w:val="FootnoteText"/>
      </w:pPr>
      <w:r>
        <w:rPr>
          <w:rStyle w:val="FootnoteReference"/>
        </w:rPr>
        <w:footnoteRef/>
      </w:r>
      <w:r>
        <w:tab/>
        <w:t>Съвет на Европейския съюз, Съвет по икономически и финансови въпроси, 14094/16, Брюксел, 8 ноември 2016 г.</w:t>
      </w:r>
    </w:p>
  </w:footnote>
  <w:footnote w:id="41">
    <w:p w14:paraId="5079D2AE" w14:textId="26142EC4" w:rsidR="005B777E" w:rsidRPr="00B9581D" w:rsidRDefault="005B777E" w:rsidP="005B777E">
      <w:pPr>
        <w:pStyle w:val="FootnoteText"/>
      </w:pPr>
      <w:r>
        <w:rPr>
          <w:rStyle w:val="FootnoteReference"/>
        </w:rPr>
        <w:footnoteRef/>
      </w:r>
      <w:r>
        <w:tab/>
        <w:t>Делегиран регламент (ЕС) 2016/1675 на Комисията от 14 юли 2016 г. за допълване на Директива (ЕС) 2015/849 на Европейския парламент и на Съвета чрез идентифициране на високорискови трети държави със стратегически слабости (ОВ L 254, 20.9.2016 г., стр. 1—4).</w:t>
      </w:r>
    </w:p>
  </w:footnote>
  <w:footnote w:id="42">
    <w:p w14:paraId="6C943AF2" w14:textId="39506A65" w:rsidR="006B3A6D" w:rsidRPr="00B9581D" w:rsidRDefault="006B3A6D" w:rsidP="006B3A6D">
      <w:pPr>
        <w:pStyle w:val="FootnoteText"/>
      </w:pPr>
      <w:r>
        <w:rPr>
          <w:rStyle w:val="FootnoteReference"/>
        </w:rPr>
        <w:footnoteRef/>
      </w:r>
      <w:r>
        <w:tab/>
        <w:t>Директива 2014/107/ЕС на Съвета от 9 декември 2014 г. за изменение на Директива 2011/16/ЕС по отношение на задължителния автоматичен обмен на информация в областта на данъчното облагане (ОВ L 359, 16.12.2014 г., стр. 1—29).</w:t>
      </w:r>
    </w:p>
  </w:footnote>
  <w:footnote w:id="43">
    <w:p w14:paraId="0DA638AC" w14:textId="05D98ED2" w:rsidR="006B3A6D" w:rsidRPr="00B9581D" w:rsidRDefault="006B3A6D" w:rsidP="006B3A6D">
      <w:pPr>
        <w:pStyle w:val="FootnoteText"/>
      </w:pPr>
      <w:r>
        <w:rPr>
          <w:rStyle w:val="FootnoteReference"/>
        </w:rPr>
        <w:footnoteRef/>
      </w:r>
      <w:r>
        <w:tab/>
        <w:t>Директива (ЕС) 2018/843 на Европейския парламент и на Съвета от 30 май 2018 г. за изменение на Директива (ЕС) 2015/849 за предотвратяване използването на финансовата система за целите на изпирането на пари и финансирането на тероризма и за изменение на директиви 2009/138/ЕО и 2013/36/ЕС (ОВ L 156, 19.6.2018 г., стр. 43—74).</w:t>
      </w:r>
    </w:p>
  </w:footnote>
  <w:footnote w:id="44">
    <w:p w14:paraId="3CD8E18C" w14:textId="4D93E46F" w:rsidR="003874C1" w:rsidRPr="00B9581D" w:rsidRDefault="003874C1" w:rsidP="003874C1">
      <w:pPr>
        <w:pStyle w:val="FootnoteText"/>
      </w:pPr>
      <w:r>
        <w:rPr>
          <w:rStyle w:val="FootnoteReference"/>
        </w:rPr>
        <w:footnoteRef/>
      </w:r>
      <w:r>
        <w:tab/>
        <w:t>Директива (ЕС) 2015/849 на Европейския парламент и на Съвета от 20 май 2015 г. за предотвратяване използването на финансовата система за целите на изпирането на пари и финансирането на тероризма, за изменение на Регламент (ЕС) № 648/2012 на Европейския парламент и на Съвета и за отмяна на Директива 2005/60/ЕО на Европейския парламент и на Съвета и на Директива 2006/70/ЕО на Комисията (ОВ L 141, 5.6.2015 г., стр. 73–117).</w:t>
      </w:r>
    </w:p>
  </w:footnote>
  <w:footnote w:id="45">
    <w:p w14:paraId="67518123" w14:textId="77777777" w:rsidR="00B63DF9" w:rsidRPr="00354AA4" w:rsidRDefault="00B63DF9" w:rsidP="00B63DF9">
      <w:pPr>
        <w:pStyle w:val="FootnoteText"/>
      </w:pPr>
      <w:r>
        <w:rPr>
          <w:rStyle w:val="FootnoteReference"/>
        </w:rPr>
        <w:footnoteRef/>
      </w:r>
      <w:r>
        <w:tab/>
      </w:r>
      <w:bookmarkStart w:id="8" w:name="_Hlk136436426"/>
      <w:r>
        <w:t>Регламент (ЕС) № 182/2011 на Европейския парламент и на Съвета от 16 февруари 2011 г. за установяване на общите правила и принципи относно реда и условията за контрол от страна на държавите членки върху упражняването на изпълнителните правомощия от страна на Комисията (ОВ L 55, 28.2.2011 г., стр. 13—18).</w:t>
      </w:r>
      <w:bookmarkEnd w:id="8"/>
    </w:p>
  </w:footnote>
  <w:footnote w:id="46">
    <w:p w14:paraId="3CD40E48" w14:textId="7615D97F" w:rsidR="0079028E" w:rsidRPr="00525833" w:rsidRDefault="0079028E" w:rsidP="0079028E">
      <w:pPr>
        <w:pStyle w:val="FootnoteText"/>
      </w:pPr>
      <w:r>
        <w:rPr>
          <w:rStyle w:val="FootnoteReference"/>
        </w:rPr>
        <w:footnoteRef/>
      </w:r>
      <w:r>
        <w:tab/>
        <w:t>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(ОВ L 119, 4.5.2016 г., стр. 1).</w:t>
      </w:r>
    </w:p>
  </w:footnote>
  <w:footnote w:id="47">
    <w:p w14:paraId="2E34AF95" w14:textId="77777777" w:rsidR="006918A0" w:rsidRDefault="006918A0" w:rsidP="006918A0">
      <w:pPr>
        <w:pStyle w:val="FootnoteText"/>
      </w:pPr>
      <w:r>
        <w:rPr>
          <w:rStyle w:val="FootnoteReference"/>
        </w:rPr>
        <w:footnoteRef/>
      </w:r>
      <w:r>
        <w:tab/>
        <w:t>Многогод. = многогодишни бюджетни кредити / Едногод. = едногодишни бюджетни кредити.</w:t>
      </w:r>
    </w:p>
  </w:footnote>
  <w:footnote w:id="48">
    <w:p w14:paraId="3640AF49" w14:textId="77777777" w:rsidR="006918A0" w:rsidRDefault="006918A0" w:rsidP="006918A0">
      <w:pPr>
        <w:pStyle w:val="FootnoteText"/>
      </w:pPr>
      <w:r>
        <w:rPr>
          <w:rStyle w:val="FootnoteReference"/>
        </w:rPr>
        <w:footnoteRef/>
      </w:r>
      <w:r>
        <w:tab/>
        <w:t xml:space="preserve">ЕАСТ: Европейска асоциация за свободна търговия. </w:t>
      </w:r>
    </w:p>
  </w:footnote>
  <w:footnote w:id="49">
    <w:p w14:paraId="6A915A49" w14:textId="77777777" w:rsidR="006918A0" w:rsidRDefault="006918A0" w:rsidP="006918A0">
      <w:pPr>
        <w:pStyle w:val="FootnoteText"/>
      </w:pPr>
      <w:r>
        <w:rPr>
          <w:rStyle w:val="FootnoteReference"/>
        </w:rPr>
        <w:footnoteRef/>
      </w:r>
      <w:r>
        <w:tab/>
        <w:t>Държави кандидатки и ако е приложимо, потенциални кандидатки от Западните Балкани.</w:t>
      </w:r>
    </w:p>
  </w:footnote>
  <w:footnote w:id="50">
    <w:p w14:paraId="65418965" w14:textId="77777777" w:rsidR="006918A0" w:rsidRDefault="006918A0" w:rsidP="006918A0">
      <w:pPr>
        <w:pStyle w:val="FootnoteText"/>
        <w:rPr>
          <w:sz w:val="18"/>
        </w:rPr>
      </w:pPr>
      <w:r>
        <w:rPr>
          <w:rStyle w:val="FootnoteReference"/>
        </w:rPr>
        <w:footnoteRef/>
      </w:r>
      <w:r>
        <w:tab/>
      </w:r>
      <w:r>
        <w:rPr>
          <w:sz w:val="18"/>
        </w:rPr>
        <w:t>Съгласно официалната бюджетна номенклатура.</w:t>
      </w:r>
    </w:p>
  </w:footnote>
  <w:footnote w:id="51">
    <w:p w14:paraId="1E40D098" w14:textId="77777777" w:rsidR="006918A0" w:rsidRDefault="006918A0" w:rsidP="006918A0">
      <w:pPr>
        <w:pStyle w:val="FootnoteText"/>
      </w:pPr>
      <w:r>
        <w:rPr>
          <w:rStyle w:val="FootnoteReference"/>
        </w:rPr>
        <w:footnoteRef/>
      </w:r>
      <w:r>
        <w:tab/>
      </w:r>
      <w:r>
        <w:rPr>
          <w:sz w:val="18"/>
        </w:rPr>
        <w:t>Техническа и/или административна помощ и разходи в подкрепа на изпълнението на програми и/или дейности на ЕС (предишни редове BA), непреки научни изследвания, преки научни изследвания.</w:t>
      </w:r>
    </w:p>
  </w:footnote>
  <w:footnote w:id="52">
    <w:p w14:paraId="378F1616" w14:textId="77777777" w:rsidR="006918A0" w:rsidRDefault="006918A0" w:rsidP="006918A0">
      <w:pPr>
        <w:pStyle w:val="FootnoteText"/>
      </w:pPr>
      <w:r>
        <w:rPr>
          <w:rStyle w:val="FootnoteReference"/>
        </w:rPr>
        <w:footnoteRef/>
      </w:r>
      <w:r>
        <w:tab/>
        <w:t>Резултатите са продуктите и услугите, които ще бъдат доставени (напр.: брой финансирани студентски обмени, брой километри изградени пътища и др.).</w:t>
      </w:r>
    </w:p>
  </w:footnote>
  <w:footnote w:id="53">
    <w:p w14:paraId="074F0CAF" w14:textId="77777777" w:rsidR="006918A0" w:rsidRDefault="006918A0" w:rsidP="006918A0">
      <w:pPr>
        <w:pStyle w:val="FootnoteText"/>
      </w:pPr>
      <w:r>
        <w:rPr>
          <w:rStyle w:val="FootnoteReference"/>
        </w:rPr>
        <w:footnoteRef/>
      </w:r>
      <w:r>
        <w:tab/>
        <w:t xml:space="preserve">Описана в точка 1.4.2. „Конкретни цели...“ </w:t>
      </w:r>
    </w:p>
  </w:footnote>
  <w:footnote w:id="54">
    <w:p w14:paraId="7EA63C02" w14:textId="77777777" w:rsidR="006918A0" w:rsidRDefault="006918A0" w:rsidP="006918A0">
      <w:pPr>
        <w:pStyle w:val="FootnoteText"/>
      </w:pPr>
      <w:r>
        <w:rPr>
          <w:rStyle w:val="FootnoteReference"/>
        </w:rPr>
        <w:footnoteRef/>
      </w:r>
      <w:r>
        <w:tab/>
      </w:r>
      <w:r>
        <w:rPr>
          <w:sz w:val="18"/>
        </w:rPr>
        <w:t>Техническа и/или административна помощ и разходи в подкрепа на изпълнението на програми и/или дейности на ЕС (предишни редове BA), непреки научни изследвания, преки научни изследвания.</w:t>
      </w:r>
    </w:p>
  </w:footnote>
  <w:footnote w:id="55">
    <w:p w14:paraId="4A591FE6" w14:textId="77777777" w:rsidR="006918A0" w:rsidRDefault="006918A0" w:rsidP="006918A0">
      <w:pPr>
        <w:pStyle w:val="FootnoteText"/>
      </w:pPr>
      <w:r>
        <w:rPr>
          <w:rStyle w:val="FootnoteReference"/>
        </w:rPr>
        <w:footnoteRef/>
      </w:r>
      <w:r>
        <w:tab/>
        <w:t xml:space="preserve">ДНП = договорно нает персонал; МП = местен персонал; КНЕ = командирован национален експерт; ПНА = персонал, нает чрез агенции за временна заетост; МЕД = младши експерт в делегация. </w:t>
      </w:r>
    </w:p>
  </w:footnote>
  <w:footnote w:id="56">
    <w:p w14:paraId="5829881B" w14:textId="77777777" w:rsidR="006918A0" w:rsidRDefault="006918A0" w:rsidP="006918A0">
      <w:pPr>
        <w:pStyle w:val="FootnoteText"/>
      </w:pPr>
      <w:r>
        <w:rPr>
          <w:rStyle w:val="FootnoteReference"/>
        </w:rPr>
        <w:footnoteRef/>
      </w:r>
      <w:r>
        <w:tab/>
        <w:t>Подтаван за външния персонал, покрит с бюджетните кредити за оперативни разходи (предишни редове BA).</w:t>
      </w:r>
    </w:p>
  </w:footnote>
  <w:footnote w:id="57">
    <w:p w14:paraId="4C574D92" w14:textId="77777777" w:rsidR="006918A0" w:rsidRDefault="006918A0" w:rsidP="006918A0">
      <w:pPr>
        <w:pStyle w:val="FootnoteText"/>
      </w:pPr>
      <w:r>
        <w:rPr>
          <w:rStyle w:val="FootnoteReference"/>
        </w:rPr>
        <w:footnoteRef/>
      </w:r>
      <w:r>
        <w:tab/>
        <w:t>Година N е годината, през която започва да се изпълнява предложението/инициативата. Моля, заменете буквата „N“ с очакваната първа година от изпълнението (например: 2021 г.). Същото за следващите години.</w:t>
      </w:r>
    </w:p>
  </w:footnote>
  <w:footnote w:id="58">
    <w:p w14:paraId="4C47CB1B" w14:textId="77777777" w:rsidR="006918A0" w:rsidRDefault="006918A0" w:rsidP="006918A0">
      <w:pPr>
        <w:pStyle w:val="FootnoteText"/>
      </w:pPr>
      <w:r>
        <w:rPr>
          <w:rStyle w:val="FootnoteReference"/>
        </w:rPr>
        <w:footnoteRef/>
      </w:r>
      <w:r>
        <w:tab/>
        <w:t>Що се отнася до традиционните собствени ресурси (мита, налози върху захарта), посочените суми трябва да бъдат нетни, т.е. брутни суми, от които са приспаднати 20 % за разходи по събирането.</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17345" w14:textId="77777777" w:rsidR="006362D3" w:rsidRPr="006362D3" w:rsidRDefault="006362D3" w:rsidP="006362D3">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CFF49" w14:textId="77777777" w:rsidR="006362D3" w:rsidRPr="006362D3" w:rsidRDefault="006362D3" w:rsidP="006362D3">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9A918" w14:textId="77777777" w:rsidR="00130899" w:rsidRPr="00130899" w:rsidRDefault="00130899" w:rsidP="006362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068D7" w14:textId="77777777" w:rsidR="006362D3" w:rsidRPr="006362D3" w:rsidRDefault="006362D3" w:rsidP="00636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2EBA176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F16796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ED6A26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9D8181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1"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4"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num>
  <w:num w:numId="2">
    <w:abstractNumId w:val="3"/>
  </w:num>
  <w:num w:numId="3">
    <w:abstractNumId w:val="2"/>
  </w:num>
  <w:num w:numId="4">
    <w:abstractNumId w:val="1"/>
  </w:num>
  <w:num w:numId="5">
    <w:abstractNumId w:val="0"/>
  </w:num>
  <w:num w:numId="6">
    <w:abstractNumId w:val="9"/>
    <w:lvlOverride w:ilvl="0">
      <w:startOverride w:val="1"/>
    </w:lvlOverride>
  </w:num>
  <w:num w:numId="7">
    <w:abstractNumId w:val="13"/>
  </w:num>
  <w:num w:numId="8">
    <w:abstractNumId w:val="14"/>
  </w:num>
  <w:num w:numId="9">
    <w:abstractNumId w:val="18"/>
    <w:lvlOverride w:ilvl="0">
      <w:startOverride w:val="1"/>
    </w:lvlOverride>
  </w:num>
  <w:num w:numId="10">
    <w:abstractNumId w:val="12"/>
    <w:lvlOverride w:ilvl="0">
      <w:startOverride w:val="1"/>
    </w:lvlOverride>
  </w:num>
  <w:num w:numId="11">
    <w:abstractNumId w:val="18"/>
    <w:lvlOverride w:ilvl="0">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9"/>
  </w:num>
  <w:num w:numId="27">
    <w:abstractNumId w:val="20"/>
  </w:num>
  <w:num w:numId="28">
    <w:abstractNumId w:val="7"/>
  </w:num>
  <w:num w:numId="29">
    <w:abstractNumId w:val="10"/>
  </w:num>
  <w:num w:numId="30">
    <w:abstractNumId w:val="11"/>
  </w:num>
  <w:num w:numId="31">
    <w:abstractNumId w:val="5"/>
  </w:num>
  <w:num w:numId="32">
    <w:abstractNumId w:val="19"/>
  </w:num>
  <w:num w:numId="33">
    <w:abstractNumId w:val="4"/>
  </w:num>
  <w:num w:numId="34">
    <w:abstractNumId w:val="12"/>
  </w:num>
  <w:num w:numId="35">
    <w:abstractNumId w:val="16"/>
  </w:num>
  <w:num w:numId="36">
    <w:abstractNumId w:val="17"/>
  </w:num>
  <w:num w:numId="37">
    <w:abstractNumId w:val="6"/>
  </w:num>
  <w:num w:numId="38">
    <w:abstractNumId w:val="15"/>
  </w:num>
  <w:num w:numId="39">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61"/>
  </w:hdrShapeDefaults>
  <w:footnotePr>
    <w:footnote w:id="-1"/>
    <w:footnote w:id="0"/>
    <w:footnote w:id="1"/>
  </w:footnotePr>
  <w:endnotePr>
    <w:endnote w:id="-1"/>
    <w:endnote w:id="0"/>
    <w:endnote w:id="1"/>
  </w:endnotePr>
  <w:compat>
    <w:compatSetting w:name="compatibilityMode" w:uri="http://schemas.microsoft.com/office/word" w:val="12"/>
  </w:compat>
  <w:docVars>
    <w:docVar w:name="CR_RefLast" w:val="0"/>
    <w:docVar w:name="DQCDateTime" w:val="2023-07-24 16:57:0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C7A852CA-BB83-43DD-A294-303B45B430BA"/>
    <w:docVar w:name="LW_COVERPAGE_TYPE" w:val="1"/>
    <w:docVar w:name="LW_CROSSREFERENCE" w:val="{SEC(2023) 243 final} - {SWD(2023) 215 final} - {SWD(2023) 216 final} - {SWD(2023) 217 final}"/>
    <w:docVar w:name="LW_DocType" w:val="COM"/>
    <w:docVar w:name="LW_EMISSION" w:val="19.6.2023"/>
    <w:docVar w:name="LW_EMISSION_ISODATE" w:val="2023-06-19"/>
    <w:docVar w:name="LW_EMISSION_LOCATION" w:val="BRX"/>
    <w:docVar w:name="LW_EMISSION_PREFIX" w:val="\u1041?\u1088?\u1102?\u1082?\u1089?\u1077?\u1083?, "/>
    <w:docVar w:name="LW_EMISSION_SUFFIX" w:val=" \u1075?."/>
    <w:docVar w:name="LW_ID_DOCMODEL" w:val="SJ-017"/>
    <w:docVar w:name="LW_ID_DOCSIGNATURE" w:val="SJ-017"/>
    <w:docVar w:name="LW_ID_DOCSTRUCTURE" w:val="COM/PL/ORG"/>
    <w:docVar w:name="LW_ID_DOCTYPE" w:val="SJ-017"/>
    <w:docVar w:name="LW_ID_STATUT" w:val="SJ-017"/>
    <w:docVar w:name="LW_INSERT_EXP.MOTIFS.NEW" w:val="1"/>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CNS"/>
    <w:docVar w:name="LW_REF.II.NEW.CP_NUMBER" w:val="0187"/>
    <w:docVar w:name="LW_REF.II.NEW.CP_YEAR" w:val="2023"/>
    <w:docVar w:name="LW_REF.INST.NEW" w:val="COM"/>
    <w:docVar w:name="LW_REF.INST.NEW_ADOPTED" w:val="final"/>
    <w:docVar w:name="LW_REF.INST.NEW_TEXT" w:val="(2023) 32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Предложение за"/>
    <w:docVar w:name="LW_SUPERTITRE" w:val="&lt;UNUSED&gt;"/>
    <w:docVar w:name="LW_TITRE.OBJ.CP" w:val="за по-бързи и по-сигурни данъчни облекчения за надвзети данъци при източника"/>
    <w:docVar w:name="LW_TYPE.DOC.CP" w:val="ДИРЕКТИВА НА СЪВЕТА"/>
    <w:docVar w:name="LwApiVersions" w:val="LW4CoDe 1.23.2.0; LW 8.0, Build 20211117"/>
  </w:docVars>
  <w:rsids>
    <w:rsidRoot w:val="00977CF6"/>
    <w:rsid w:val="00000172"/>
    <w:rsid w:val="0000174F"/>
    <w:rsid w:val="000017D1"/>
    <w:rsid w:val="0000233B"/>
    <w:rsid w:val="0000236E"/>
    <w:rsid w:val="000023B2"/>
    <w:rsid w:val="000023D5"/>
    <w:rsid w:val="000027CD"/>
    <w:rsid w:val="000027CE"/>
    <w:rsid w:val="00003FD1"/>
    <w:rsid w:val="0000575D"/>
    <w:rsid w:val="00005779"/>
    <w:rsid w:val="00005BAE"/>
    <w:rsid w:val="00006B66"/>
    <w:rsid w:val="000072B7"/>
    <w:rsid w:val="00007C40"/>
    <w:rsid w:val="00007F35"/>
    <w:rsid w:val="000103A8"/>
    <w:rsid w:val="000103C5"/>
    <w:rsid w:val="00010692"/>
    <w:rsid w:val="0001171C"/>
    <w:rsid w:val="0001223C"/>
    <w:rsid w:val="0001286A"/>
    <w:rsid w:val="000128F3"/>
    <w:rsid w:val="000129DF"/>
    <w:rsid w:val="00012E11"/>
    <w:rsid w:val="000131CD"/>
    <w:rsid w:val="0001412F"/>
    <w:rsid w:val="00014317"/>
    <w:rsid w:val="000143CC"/>
    <w:rsid w:val="00014525"/>
    <w:rsid w:val="0001576F"/>
    <w:rsid w:val="00015911"/>
    <w:rsid w:val="00015B25"/>
    <w:rsid w:val="00016001"/>
    <w:rsid w:val="000173F6"/>
    <w:rsid w:val="0001775A"/>
    <w:rsid w:val="0002054C"/>
    <w:rsid w:val="00020C6F"/>
    <w:rsid w:val="000210C4"/>
    <w:rsid w:val="0002114E"/>
    <w:rsid w:val="000218D4"/>
    <w:rsid w:val="0002193B"/>
    <w:rsid w:val="00021F38"/>
    <w:rsid w:val="00022846"/>
    <w:rsid w:val="00023BB4"/>
    <w:rsid w:val="00024093"/>
    <w:rsid w:val="00024742"/>
    <w:rsid w:val="00024B0A"/>
    <w:rsid w:val="00024DAF"/>
    <w:rsid w:val="0002534E"/>
    <w:rsid w:val="00026AAA"/>
    <w:rsid w:val="00026BB8"/>
    <w:rsid w:val="00027133"/>
    <w:rsid w:val="0002734E"/>
    <w:rsid w:val="0002743E"/>
    <w:rsid w:val="000310D7"/>
    <w:rsid w:val="000314B8"/>
    <w:rsid w:val="000318D9"/>
    <w:rsid w:val="00031C74"/>
    <w:rsid w:val="00032A44"/>
    <w:rsid w:val="00033488"/>
    <w:rsid w:val="00034243"/>
    <w:rsid w:val="000361B5"/>
    <w:rsid w:val="00036764"/>
    <w:rsid w:val="0003745E"/>
    <w:rsid w:val="000379AC"/>
    <w:rsid w:val="0003DFE0"/>
    <w:rsid w:val="000411F5"/>
    <w:rsid w:val="000415CB"/>
    <w:rsid w:val="00041772"/>
    <w:rsid w:val="00041FF1"/>
    <w:rsid w:val="0004240A"/>
    <w:rsid w:val="000430BD"/>
    <w:rsid w:val="0004365E"/>
    <w:rsid w:val="0004376F"/>
    <w:rsid w:val="0004389E"/>
    <w:rsid w:val="000447CC"/>
    <w:rsid w:val="00047014"/>
    <w:rsid w:val="000470E7"/>
    <w:rsid w:val="00047467"/>
    <w:rsid w:val="00047A1C"/>
    <w:rsid w:val="00047EEF"/>
    <w:rsid w:val="000513BD"/>
    <w:rsid w:val="00051ADF"/>
    <w:rsid w:val="00051BC3"/>
    <w:rsid w:val="00052297"/>
    <w:rsid w:val="000523FA"/>
    <w:rsid w:val="000534DB"/>
    <w:rsid w:val="00053D3C"/>
    <w:rsid w:val="00053FC2"/>
    <w:rsid w:val="000544F9"/>
    <w:rsid w:val="00054535"/>
    <w:rsid w:val="00054BEB"/>
    <w:rsid w:val="00055480"/>
    <w:rsid w:val="000556D6"/>
    <w:rsid w:val="0005578E"/>
    <w:rsid w:val="00056C0A"/>
    <w:rsid w:val="0005768A"/>
    <w:rsid w:val="00057710"/>
    <w:rsid w:val="00060248"/>
    <w:rsid w:val="00060712"/>
    <w:rsid w:val="00060B87"/>
    <w:rsid w:val="00060D57"/>
    <w:rsid w:val="00061B4D"/>
    <w:rsid w:val="00062E6A"/>
    <w:rsid w:val="00064A31"/>
    <w:rsid w:val="00064CB0"/>
    <w:rsid w:val="000652D6"/>
    <w:rsid w:val="000658A9"/>
    <w:rsid w:val="000659D6"/>
    <w:rsid w:val="00066B7D"/>
    <w:rsid w:val="0006757E"/>
    <w:rsid w:val="00067DF6"/>
    <w:rsid w:val="0007068B"/>
    <w:rsid w:val="00070DEA"/>
    <w:rsid w:val="00070E9A"/>
    <w:rsid w:val="000713DB"/>
    <w:rsid w:val="00071474"/>
    <w:rsid w:val="00072982"/>
    <w:rsid w:val="0007390D"/>
    <w:rsid w:val="000744D4"/>
    <w:rsid w:val="00074786"/>
    <w:rsid w:val="00074854"/>
    <w:rsid w:val="000754F6"/>
    <w:rsid w:val="00075882"/>
    <w:rsid w:val="00076F2B"/>
    <w:rsid w:val="00077614"/>
    <w:rsid w:val="00077C19"/>
    <w:rsid w:val="0008017F"/>
    <w:rsid w:val="00081402"/>
    <w:rsid w:val="0008192C"/>
    <w:rsid w:val="00081F59"/>
    <w:rsid w:val="00083453"/>
    <w:rsid w:val="00083AC7"/>
    <w:rsid w:val="000840BC"/>
    <w:rsid w:val="000841A8"/>
    <w:rsid w:val="00084A25"/>
    <w:rsid w:val="00084E92"/>
    <w:rsid w:val="00085533"/>
    <w:rsid w:val="00086448"/>
    <w:rsid w:val="00086A70"/>
    <w:rsid w:val="00087424"/>
    <w:rsid w:val="00087A84"/>
    <w:rsid w:val="00090384"/>
    <w:rsid w:val="000905C0"/>
    <w:rsid w:val="00091220"/>
    <w:rsid w:val="0009126A"/>
    <w:rsid w:val="0009149E"/>
    <w:rsid w:val="0009193B"/>
    <w:rsid w:val="00092550"/>
    <w:rsid w:val="000930A8"/>
    <w:rsid w:val="000933CA"/>
    <w:rsid w:val="00093425"/>
    <w:rsid w:val="00093CA2"/>
    <w:rsid w:val="00093EFC"/>
    <w:rsid w:val="00094223"/>
    <w:rsid w:val="00095B62"/>
    <w:rsid w:val="000962B2"/>
    <w:rsid w:val="00096508"/>
    <w:rsid w:val="00097113"/>
    <w:rsid w:val="0009796F"/>
    <w:rsid w:val="00097ADD"/>
    <w:rsid w:val="00097B4C"/>
    <w:rsid w:val="000A0493"/>
    <w:rsid w:val="000A065B"/>
    <w:rsid w:val="000A07B7"/>
    <w:rsid w:val="000A07EE"/>
    <w:rsid w:val="000A195E"/>
    <w:rsid w:val="000A24B4"/>
    <w:rsid w:val="000A293C"/>
    <w:rsid w:val="000A2FE9"/>
    <w:rsid w:val="000A492C"/>
    <w:rsid w:val="000A5012"/>
    <w:rsid w:val="000A5224"/>
    <w:rsid w:val="000A591C"/>
    <w:rsid w:val="000A6660"/>
    <w:rsid w:val="000A6813"/>
    <w:rsid w:val="000A701D"/>
    <w:rsid w:val="000A7394"/>
    <w:rsid w:val="000A7CB6"/>
    <w:rsid w:val="000A7E2C"/>
    <w:rsid w:val="000B120C"/>
    <w:rsid w:val="000B214D"/>
    <w:rsid w:val="000B2427"/>
    <w:rsid w:val="000B25F2"/>
    <w:rsid w:val="000B2883"/>
    <w:rsid w:val="000B34A4"/>
    <w:rsid w:val="000B41D5"/>
    <w:rsid w:val="000B44EC"/>
    <w:rsid w:val="000B4905"/>
    <w:rsid w:val="000B4C83"/>
    <w:rsid w:val="000B4D27"/>
    <w:rsid w:val="000B68F0"/>
    <w:rsid w:val="000B6C04"/>
    <w:rsid w:val="000B6C9B"/>
    <w:rsid w:val="000B6DA5"/>
    <w:rsid w:val="000B6FA6"/>
    <w:rsid w:val="000C0442"/>
    <w:rsid w:val="000C048B"/>
    <w:rsid w:val="000C056D"/>
    <w:rsid w:val="000C19EF"/>
    <w:rsid w:val="000C1ACD"/>
    <w:rsid w:val="000C1E2B"/>
    <w:rsid w:val="000C2067"/>
    <w:rsid w:val="000C2150"/>
    <w:rsid w:val="000C240F"/>
    <w:rsid w:val="000C25C8"/>
    <w:rsid w:val="000C38F1"/>
    <w:rsid w:val="000C3916"/>
    <w:rsid w:val="000C3D0E"/>
    <w:rsid w:val="000C3F42"/>
    <w:rsid w:val="000C4033"/>
    <w:rsid w:val="000C5292"/>
    <w:rsid w:val="000C5822"/>
    <w:rsid w:val="000C5A98"/>
    <w:rsid w:val="000C5F3F"/>
    <w:rsid w:val="000C60C6"/>
    <w:rsid w:val="000C62EF"/>
    <w:rsid w:val="000C6323"/>
    <w:rsid w:val="000C69ED"/>
    <w:rsid w:val="000C73EB"/>
    <w:rsid w:val="000C742A"/>
    <w:rsid w:val="000C74BC"/>
    <w:rsid w:val="000C76E3"/>
    <w:rsid w:val="000C7A98"/>
    <w:rsid w:val="000D0478"/>
    <w:rsid w:val="000D0BC4"/>
    <w:rsid w:val="000D0E29"/>
    <w:rsid w:val="000D10A5"/>
    <w:rsid w:val="000D1985"/>
    <w:rsid w:val="000D1F37"/>
    <w:rsid w:val="000D2E9B"/>
    <w:rsid w:val="000D32C5"/>
    <w:rsid w:val="000D3853"/>
    <w:rsid w:val="000D3C01"/>
    <w:rsid w:val="000D401C"/>
    <w:rsid w:val="000D4342"/>
    <w:rsid w:val="000D5C47"/>
    <w:rsid w:val="000D5F37"/>
    <w:rsid w:val="000D712C"/>
    <w:rsid w:val="000E06ED"/>
    <w:rsid w:val="000E18E4"/>
    <w:rsid w:val="000E1BA4"/>
    <w:rsid w:val="000E1E17"/>
    <w:rsid w:val="000E31E4"/>
    <w:rsid w:val="000E3464"/>
    <w:rsid w:val="000E3507"/>
    <w:rsid w:val="000E3581"/>
    <w:rsid w:val="000E36BC"/>
    <w:rsid w:val="000E3755"/>
    <w:rsid w:val="000E37A2"/>
    <w:rsid w:val="000E462D"/>
    <w:rsid w:val="000E46E3"/>
    <w:rsid w:val="000E5554"/>
    <w:rsid w:val="000E5D6F"/>
    <w:rsid w:val="000E64B0"/>
    <w:rsid w:val="000E6600"/>
    <w:rsid w:val="000E70BA"/>
    <w:rsid w:val="000E7687"/>
    <w:rsid w:val="000E768E"/>
    <w:rsid w:val="000E773A"/>
    <w:rsid w:val="000E7CF4"/>
    <w:rsid w:val="000E7E78"/>
    <w:rsid w:val="000F0EC7"/>
    <w:rsid w:val="000F16D6"/>
    <w:rsid w:val="000F2925"/>
    <w:rsid w:val="000F3FBC"/>
    <w:rsid w:val="000F413A"/>
    <w:rsid w:val="000F47C1"/>
    <w:rsid w:val="000F5098"/>
    <w:rsid w:val="000F5661"/>
    <w:rsid w:val="000F59E7"/>
    <w:rsid w:val="000F5D50"/>
    <w:rsid w:val="000F5F23"/>
    <w:rsid w:val="000F68A3"/>
    <w:rsid w:val="000F6F12"/>
    <w:rsid w:val="000F739C"/>
    <w:rsid w:val="00101092"/>
    <w:rsid w:val="001015F4"/>
    <w:rsid w:val="00101B07"/>
    <w:rsid w:val="00102925"/>
    <w:rsid w:val="00102DA2"/>
    <w:rsid w:val="0010322F"/>
    <w:rsid w:val="00104D2E"/>
    <w:rsid w:val="001053BC"/>
    <w:rsid w:val="0010544D"/>
    <w:rsid w:val="00105D11"/>
    <w:rsid w:val="00105E8D"/>
    <w:rsid w:val="001060BC"/>
    <w:rsid w:val="001061E5"/>
    <w:rsid w:val="001062C0"/>
    <w:rsid w:val="001064D6"/>
    <w:rsid w:val="001065F5"/>
    <w:rsid w:val="001066F3"/>
    <w:rsid w:val="0010685F"/>
    <w:rsid w:val="00106BE4"/>
    <w:rsid w:val="001074D9"/>
    <w:rsid w:val="00107760"/>
    <w:rsid w:val="00110746"/>
    <w:rsid w:val="00111983"/>
    <w:rsid w:val="001120FB"/>
    <w:rsid w:val="0011222C"/>
    <w:rsid w:val="00113097"/>
    <w:rsid w:val="001133DA"/>
    <w:rsid w:val="00114212"/>
    <w:rsid w:val="00114DAA"/>
    <w:rsid w:val="00115ED7"/>
    <w:rsid w:val="00116B4B"/>
    <w:rsid w:val="00116C13"/>
    <w:rsid w:val="00117324"/>
    <w:rsid w:val="00117443"/>
    <w:rsid w:val="001177E9"/>
    <w:rsid w:val="001206EA"/>
    <w:rsid w:val="00120EB0"/>
    <w:rsid w:val="00121933"/>
    <w:rsid w:val="001219E1"/>
    <w:rsid w:val="001220FF"/>
    <w:rsid w:val="001224ED"/>
    <w:rsid w:val="0012262D"/>
    <w:rsid w:val="00122A37"/>
    <w:rsid w:val="00122AED"/>
    <w:rsid w:val="00122C48"/>
    <w:rsid w:val="00123486"/>
    <w:rsid w:val="001235C9"/>
    <w:rsid w:val="001236DC"/>
    <w:rsid w:val="00123719"/>
    <w:rsid w:val="0012386A"/>
    <w:rsid w:val="001238EF"/>
    <w:rsid w:val="00123E91"/>
    <w:rsid w:val="001240F3"/>
    <w:rsid w:val="001245CA"/>
    <w:rsid w:val="0012478B"/>
    <w:rsid w:val="00124EC8"/>
    <w:rsid w:val="00125AB2"/>
    <w:rsid w:val="00126675"/>
    <w:rsid w:val="001276B0"/>
    <w:rsid w:val="001278CF"/>
    <w:rsid w:val="00127AC0"/>
    <w:rsid w:val="00130899"/>
    <w:rsid w:val="00130EE2"/>
    <w:rsid w:val="00130F6F"/>
    <w:rsid w:val="00131665"/>
    <w:rsid w:val="0013170A"/>
    <w:rsid w:val="00131D58"/>
    <w:rsid w:val="0013201C"/>
    <w:rsid w:val="001328A1"/>
    <w:rsid w:val="001329CB"/>
    <w:rsid w:val="00132CDB"/>
    <w:rsid w:val="00133061"/>
    <w:rsid w:val="00133092"/>
    <w:rsid w:val="001331DE"/>
    <w:rsid w:val="00133FAB"/>
    <w:rsid w:val="0013469B"/>
    <w:rsid w:val="00134F09"/>
    <w:rsid w:val="0013507F"/>
    <w:rsid w:val="00135453"/>
    <w:rsid w:val="00135903"/>
    <w:rsid w:val="00135B02"/>
    <w:rsid w:val="00135B34"/>
    <w:rsid w:val="00136378"/>
    <w:rsid w:val="0013691E"/>
    <w:rsid w:val="00136CC4"/>
    <w:rsid w:val="00137FFB"/>
    <w:rsid w:val="0014078A"/>
    <w:rsid w:val="00140AA4"/>
    <w:rsid w:val="00141A2B"/>
    <w:rsid w:val="00141CFD"/>
    <w:rsid w:val="00142DAC"/>
    <w:rsid w:val="00143595"/>
    <w:rsid w:val="0014365F"/>
    <w:rsid w:val="001439D5"/>
    <w:rsid w:val="001439E8"/>
    <w:rsid w:val="00143E8A"/>
    <w:rsid w:val="001441A2"/>
    <w:rsid w:val="001458E9"/>
    <w:rsid w:val="00146471"/>
    <w:rsid w:val="00146A52"/>
    <w:rsid w:val="00146CC8"/>
    <w:rsid w:val="0015024A"/>
    <w:rsid w:val="0015039C"/>
    <w:rsid w:val="00150DD6"/>
    <w:rsid w:val="00151B55"/>
    <w:rsid w:val="00151FD1"/>
    <w:rsid w:val="00152C3F"/>
    <w:rsid w:val="00152DB4"/>
    <w:rsid w:val="0015314F"/>
    <w:rsid w:val="00154BE4"/>
    <w:rsid w:val="00156680"/>
    <w:rsid w:val="001571C3"/>
    <w:rsid w:val="00160401"/>
    <w:rsid w:val="001621B7"/>
    <w:rsid w:val="001626E0"/>
    <w:rsid w:val="00162C47"/>
    <w:rsid w:val="00162D9C"/>
    <w:rsid w:val="0016343E"/>
    <w:rsid w:val="00163AC6"/>
    <w:rsid w:val="00163DAD"/>
    <w:rsid w:val="00164C69"/>
    <w:rsid w:val="00165C4E"/>
    <w:rsid w:val="00166F1C"/>
    <w:rsid w:val="001677F4"/>
    <w:rsid w:val="001700A8"/>
    <w:rsid w:val="0017107C"/>
    <w:rsid w:val="001712A4"/>
    <w:rsid w:val="001714E3"/>
    <w:rsid w:val="00171B79"/>
    <w:rsid w:val="00171EB9"/>
    <w:rsid w:val="00172709"/>
    <w:rsid w:val="00172914"/>
    <w:rsid w:val="00172D6C"/>
    <w:rsid w:val="00172FE6"/>
    <w:rsid w:val="0017358A"/>
    <w:rsid w:val="00173769"/>
    <w:rsid w:val="00173A86"/>
    <w:rsid w:val="00174158"/>
    <w:rsid w:val="00174B5D"/>
    <w:rsid w:val="00175868"/>
    <w:rsid w:val="00175ABB"/>
    <w:rsid w:val="00177E59"/>
    <w:rsid w:val="0018073D"/>
    <w:rsid w:val="00181128"/>
    <w:rsid w:val="00181459"/>
    <w:rsid w:val="00181D77"/>
    <w:rsid w:val="00182A43"/>
    <w:rsid w:val="001831DD"/>
    <w:rsid w:val="001837F9"/>
    <w:rsid w:val="0018386B"/>
    <w:rsid w:val="001839BB"/>
    <w:rsid w:val="00183B50"/>
    <w:rsid w:val="00184609"/>
    <w:rsid w:val="0018547B"/>
    <w:rsid w:val="00185844"/>
    <w:rsid w:val="001858F3"/>
    <w:rsid w:val="00185AAF"/>
    <w:rsid w:val="00185CCB"/>
    <w:rsid w:val="00185F49"/>
    <w:rsid w:val="00186730"/>
    <w:rsid w:val="00190A68"/>
    <w:rsid w:val="0019224C"/>
    <w:rsid w:val="0019306C"/>
    <w:rsid w:val="001933EE"/>
    <w:rsid w:val="00193684"/>
    <w:rsid w:val="00193A98"/>
    <w:rsid w:val="001947FB"/>
    <w:rsid w:val="00194ABD"/>
    <w:rsid w:val="00194AE4"/>
    <w:rsid w:val="001951F2"/>
    <w:rsid w:val="001956AF"/>
    <w:rsid w:val="00195ED6"/>
    <w:rsid w:val="001960CE"/>
    <w:rsid w:val="00196A4E"/>
    <w:rsid w:val="00197047"/>
    <w:rsid w:val="00197613"/>
    <w:rsid w:val="001976FE"/>
    <w:rsid w:val="00197706"/>
    <w:rsid w:val="00197903"/>
    <w:rsid w:val="00197B06"/>
    <w:rsid w:val="001A08DE"/>
    <w:rsid w:val="001A10C5"/>
    <w:rsid w:val="001A1A1B"/>
    <w:rsid w:val="001A2F54"/>
    <w:rsid w:val="001A3354"/>
    <w:rsid w:val="001A386F"/>
    <w:rsid w:val="001A611A"/>
    <w:rsid w:val="001A638E"/>
    <w:rsid w:val="001A6C8C"/>
    <w:rsid w:val="001A7089"/>
    <w:rsid w:val="001B0588"/>
    <w:rsid w:val="001B0E05"/>
    <w:rsid w:val="001B161F"/>
    <w:rsid w:val="001B19D7"/>
    <w:rsid w:val="001B1D1C"/>
    <w:rsid w:val="001B3F8F"/>
    <w:rsid w:val="001B471C"/>
    <w:rsid w:val="001B59BA"/>
    <w:rsid w:val="001B5A28"/>
    <w:rsid w:val="001B5BEC"/>
    <w:rsid w:val="001B5D04"/>
    <w:rsid w:val="001B6128"/>
    <w:rsid w:val="001B7906"/>
    <w:rsid w:val="001B8DBF"/>
    <w:rsid w:val="001C0835"/>
    <w:rsid w:val="001C169F"/>
    <w:rsid w:val="001C37CD"/>
    <w:rsid w:val="001C3A92"/>
    <w:rsid w:val="001C3CB4"/>
    <w:rsid w:val="001C448F"/>
    <w:rsid w:val="001C475E"/>
    <w:rsid w:val="001C49DF"/>
    <w:rsid w:val="001C55BF"/>
    <w:rsid w:val="001C5DA1"/>
    <w:rsid w:val="001C60B9"/>
    <w:rsid w:val="001C656C"/>
    <w:rsid w:val="001C69FE"/>
    <w:rsid w:val="001C7FE6"/>
    <w:rsid w:val="001D1273"/>
    <w:rsid w:val="001D2087"/>
    <w:rsid w:val="001D2FB1"/>
    <w:rsid w:val="001D3463"/>
    <w:rsid w:val="001D37E7"/>
    <w:rsid w:val="001D384A"/>
    <w:rsid w:val="001D4651"/>
    <w:rsid w:val="001D5903"/>
    <w:rsid w:val="001D5D82"/>
    <w:rsid w:val="001D636C"/>
    <w:rsid w:val="001D6384"/>
    <w:rsid w:val="001D6C1B"/>
    <w:rsid w:val="001D729D"/>
    <w:rsid w:val="001D79A1"/>
    <w:rsid w:val="001E16D3"/>
    <w:rsid w:val="001E1A33"/>
    <w:rsid w:val="001E1FD0"/>
    <w:rsid w:val="001E259C"/>
    <w:rsid w:val="001E275B"/>
    <w:rsid w:val="001E2BBB"/>
    <w:rsid w:val="001E2F50"/>
    <w:rsid w:val="001E39F7"/>
    <w:rsid w:val="001E517C"/>
    <w:rsid w:val="001E7180"/>
    <w:rsid w:val="001E7868"/>
    <w:rsid w:val="001E7B02"/>
    <w:rsid w:val="001F073F"/>
    <w:rsid w:val="001F0DF7"/>
    <w:rsid w:val="001F10AA"/>
    <w:rsid w:val="001F13C5"/>
    <w:rsid w:val="001F1635"/>
    <w:rsid w:val="001F17D2"/>
    <w:rsid w:val="001F2242"/>
    <w:rsid w:val="001F24D0"/>
    <w:rsid w:val="001F3337"/>
    <w:rsid w:val="001F3578"/>
    <w:rsid w:val="001F36D2"/>
    <w:rsid w:val="001F3C79"/>
    <w:rsid w:val="001F42DD"/>
    <w:rsid w:val="001F464E"/>
    <w:rsid w:val="001F5117"/>
    <w:rsid w:val="001F5D74"/>
    <w:rsid w:val="001F67C3"/>
    <w:rsid w:val="001F69BA"/>
    <w:rsid w:val="001F792F"/>
    <w:rsid w:val="001F7B59"/>
    <w:rsid w:val="00200854"/>
    <w:rsid w:val="00201974"/>
    <w:rsid w:val="00202066"/>
    <w:rsid w:val="00202D2D"/>
    <w:rsid w:val="002033BA"/>
    <w:rsid w:val="002033C6"/>
    <w:rsid w:val="00203409"/>
    <w:rsid w:val="002039A5"/>
    <w:rsid w:val="00203D22"/>
    <w:rsid w:val="0020489F"/>
    <w:rsid w:val="0020579F"/>
    <w:rsid w:val="00205EF2"/>
    <w:rsid w:val="0020661B"/>
    <w:rsid w:val="00206A73"/>
    <w:rsid w:val="00206ADF"/>
    <w:rsid w:val="00206B8B"/>
    <w:rsid w:val="00206CBE"/>
    <w:rsid w:val="00206CEA"/>
    <w:rsid w:val="002077D4"/>
    <w:rsid w:val="002111D2"/>
    <w:rsid w:val="002124E2"/>
    <w:rsid w:val="00213246"/>
    <w:rsid w:val="0021552A"/>
    <w:rsid w:val="00215873"/>
    <w:rsid w:val="00215A44"/>
    <w:rsid w:val="00216CAC"/>
    <w:rsid w:val="00216E3B"/>
    <w:rsid w:val="00217962"/>
    <w:rsid w:val="0021799D"/>
    <w:rsid w:val="0022027B"/>
    <w:rsid w:val="0022254A"/>
    <w:rsid w:val="00222D8E"/>
    <w:rsid w:val="00222E0D"/>
    <w:rsid w:val="00223739"/>
    <w:rsid w:val="00224C29"/>
    <w:rsid w:val="00225763"/>
    <w:rsid w:val="0022623E"/>
    <w:rsid w:val="00226277"/>
    <w:rsid w:val="00226C14"/>
    <w:rsid w:val="00227B9F"/>
    <w:rsid w:val="00230543"/>
    <w:rsid w:val="00230FAE"/>
    <w:rsid w:val="00232469"/>
    <w:rsid w:val="002333C8"/>
    <w:rsid w:val="0023364B"/>
    <w:rsid w:val="00233DC7"/>
    <w:rsid w:val="00234D7A"/>
    <w:rsid w:val="00234F2A"/>
    <w:rsid w:val="00235DB2"/>
    <w:rsid w:val="00235F41"/>
    <w:rsid w:val="00236224"/>
    <w:rsid w:val="002371D1"/>
    <w:rsid w:val="002373A4"/>
    <w:rsid w:val="0024042B"/>
    <w:rsid w:val="00241A01"/>
    <w:rsid w:val="00242001"/>
    <w:rsid w:val="00242895"/>
    <w:rsid w:val="00242DF7"/>
    <w:rsid w:val="002439EF"/>
    <w:rsid w:val="0024461F"/>
    <w:rsid w:val="0024467E"/>
    <w:rsid w:val="002452D1"/>
    <w:rsid w:val="00247779"/>
    <w:rsid w:val="00247951"/>
    <w:rsid w:val="00247DD1"/>
    <w:rsid w:val="00250A66"/>
    <w:rsid w:val="002510A4"/>
    <w:rsid w:val="00251560"/>
    <w:rsid w:val="0025181C"/>
    <w:rsid w:val="00251873"/>
    <w:rsid w:val="00251B54"/>
    <w:rsid w:val="00251F1E"/>
    <w:rsid w:val="00252006"/>
    <w:rsid w:val="002523B7"/>
    <w:rsid w:val="00253310"/>
    <w:rsid w:val="0025443C"/>
    <w:rsid w:val="0025558B"/>
    <w:rsid w:val="00256783"/>
    <w:rsid w:val="00256AC8"/>
    <w:rsid w:val="00256BD8"/>
    <w:rsid w:val="002606C0"/>
    <w:rsid w:val="00263B08"/>
    <w:rsid w:val="00263B4A"/>
    <w:rsid w:val="00264FBD"/>
    <w:rsid w:val="002655E4"/>
    <w:rsid w:val="0026580F"/>
    <w:rsid w:val="00266695"/>
    <w:rsid w:val="00266C43"/>
    <w:rsid w:val="00266C6B"/>
    <w:rsid w:val="002671BE"/>
    <w:rsid w:val="0026752A"/>
    <w:rsid w:val="00267A33"/>
    <w:rsid w:val="00267E60"/>
    <w:rsid w:val="00270594"/>
    <w:rsid w:val="002712B9"/>
    <w:rsid w:val="00271600"/>
    <w:rsid w:val="00271C5B"/>
    <w:rsid w:val="00271DF7"/>
    <w:rsid w:val="00271E9E"/>
    <w:rsid w:val="0027227D"/>
    <w:rsid w:val="00272763"/>
    <w:rsid w:val="00272C23"/>
    <w:rsid w:val="0027365B"/>
    <w:rsid w:val="0027383B"/>
    <w:rsid w:val="002738EE"/>
    <w:rsid w:val="00274321"/>
    <w:rsid w:val="0027452D"/>
    <w:rsid w:val="002746D8"/>
    <w:rsid w:val="00275591"/>
    <w:rsid w:val="002759D2"/>
    <w:rsid w:val="00275FD0"/>
    <w:rsid w:val="00276640"/>
    <w:rsid w:val="00280026"/>
    <w:rsid w:val="00280C83"/>
    <w:rsid w:val="00280D62"/>
    <w:rsid w:val="00280FDE"/>
    <w:rsid w:val="002813FA"/>
    <w:rsid w:val="002817B1"/>
    <w:rsid w:val="002821CF"/>
    <w:rsid w:val="002822F2"/>
    <w:rsid w:val="00282365"/>
    <w:rsid w:val="00282923"/>
    <w:rsid w:val="00282C9D"/>
    <w:rsid w:val="0028315B"/>
    <w:rsid w:val="00283452"/>
    <w:rsid w:val="00283523"/>
    <w:rsid w:val="00284019"/>
    <w:rsid w:val="0028438F"/>
    <w:rsid w:val="002847BE"/>
    <w:rsid w:val="00285BEE"/>
    <w:rsid w:val="002863AE"/>
    <w:rsid w:val="0028652B"/>
    <w:rsid w:val="00286A83"/>
    <w:rsid w:val="00286F1F"/>
    <w:rsid w:val="00287904"/>
    <w:rsid w:val="00287AEA"/>
    <w:rsid w:val="00287B3F"/>
    <w:rsid w:val="00288710"/>
    <w:rsid w:val="00290553"/>
    <w:rsid w:val="002909AB"/>
    <w:rsid w:val="00290D1C"/>
    <w:rsid w:val="00290E8F"/>
    <w:rsid w:val="00291F8D"/>
    <w:rsid w:val="00292683"/>
    <w:rsid w:val="00292952"/>
    <w:rsid w:val="002941C6"/>
    <w:rsid w:val="002946B5"/>
    <w:rsid w:val="0029533F"/>
    <w:rsid w:val="002955A0"/>
    <w:rsid w:val="00295657"/>
    <w:rsid w:val="00295797"/>
    <w:rsid w:val="00295F4E"/>
    <w:rsid w:val="0029661B"/>
    <w:rsid w:val="00296E7C"/>
    <w:rsid w:val="00296F77"/>
    <w:rsid w:val="00297E62"/>
    <w:rsid w:val="002A0CAE"/>
    <w:rsid w:val="002A15E3"/>
    <w:rsid w:val="002A1852"/>
    <w:rsid w:val="002A1BF4"/>
    <w:rsid w:val="002A216C"/>
    <w:rsid w:val="002A21E9"/>
    <w:rsid w:val="002A23C5"/>
    <w:rsid w:val="002A2DCA"/>
    <w:rsid w:val="002A381F"/>
    <w:rsid w:val="002A3CB5"/>
    <w:rsid w:val="002A3FB0"/>
    <w:rsid w:val="002A422D"/>
    <w:rsid w:val="002A50CD"/>
    <w:rsid w:val="002A6A08"/>
    <w:rsid w:val="002A758F"/>
    <w:rsid w:val="002B0A09"/>
    <w:rsid w:val="002B0A71"/>
    <w:rsid w:val="002B1027"/>
    <w:rsid w:val="002B1E99"/>
    <w:rsid w:val="002B29B1"/>
    <w:rsid w:val="002B30AF"/>
    <w:rsid w:val="002B4A43"/>
    <w:rsid w:val="002B4DE0"/>
    <w:rsid w:val="002B5196"/>
    <w:rsid w:val="002B5330"/>
    <w:rsid w:val="002B555D"/>
    <w:rsid w:val="002B69EE"/>
    <w:rsid w:val="002B75A3"/>
    <w:rsid w:val="002B7FFD"/>
    <w:rsid w:val="002C01E4"/>
    <w:rsid w:val="002C02BA"/>
    <w:rsid w:val="002C0520"/>
    <w:rsid w:val="002C180C"/>
    <w:rsid w:val="002C1FEB"/>
    <w:rsid w:val="002C2440"/>
    <w:rsid w:val="002C4E11"/>
    <w:rsid w:val="002C5710"/>
    <w:rsid w:val="002C5799"/>
    <w:rsid w:val="002C59D8"/>
    <w:rsid w:val="002C5F1D"/>
    <w:rsid w:val="002C6046"/>
    <w:rsid w:val="002C62A8"/>
    <w:rsid w:val="002C64F7"/>
    <w:rsid w:val="002C7C32"/>
    <w:rsid w:val="002D03B3"/>
    <w:rsid w:val="002D1456"/>
    <w:rsid w:val="002D2A5C"/>
    <w:rsid w:val="002D30C7"/>
    <w:rsid w:val="002D38EE"/>
    <w:rsid w:val="002D3B70"/>
    <w:rsid w:val="002D3F16"/>
    <w:rsid w:val="002D3FC0"/>
    <w:rsid w:val="002D4137"/>
    <w:rsid w:val="002D4750"/>
    <w:rsid w:val="002D48F2"/>
    <w:rsid w:val="002D5424"/>
    <w:rsid w:val="002D552C"/>
    <w:rsid w:val="002D5C16"/>
    <w:rsid w:val="002D65D2"/>
    <w:rsid w:val="002D6D8F"/>
    <w:rsid w:val="002D6DF4"/>
    <w:rsid w:val="002D785B"/>
    <w:rsid w:val="002D7C83"/>
    <w:rsid w:val="002E0FBD"/>
    <w:rsid w:val="002E1D0C"/>
    <w:rsid w:val="002E1F20"/>
    <w:rsid w:val="002E2C87"/>
    <w:rsid w:val="002E3132"/>
    <w:rsid w:val="002E3599"/>
    <w:rsid w:val="002E45F0"/>
    <w:rsid w:val="002E5771"/>
    <w:rsid w:val="002E59FA"/>
    <w:rsid w:val="002E65A3"/>
    <w:rsid w:val="002E66CF"/>
    <w:rsid w:val="002E6D2A"/>
    <w:rsid w:val="002E6DD3"/>
    <w:rsid w:val="002E6E9C"/>
    <w:rsid w:val="002E6EE2"/>
    <w:rsid w:val="002E72F5"/>
    <w:rsid w:val="002F051A"/>
    <w:rsid w:val="002F1167"/>
    <w:rsid w:val="002F354F"/>
    <w:rsid w:val="002F357A"/>
    <w:rsid w:val="002F4419"/>
    <w:rsid w:val="002F4512"/>
    <w:rsid w:val="002F4C67"/>
    <w:rsid w:val="002F4CFF"/>
    <w:rsid w:val="002F655D"/>
    <w:rsid w:val="002F6999"/>
    <w:rsid w:val="002F6E07"/>
    <w:rsid w:val="002F6F12"/>
    <w:rsid w:val="002F71FD"/>
    <w:rsid w:val="002F7B50"/>
    <w:rsid w:val="002F7D2C"/>
    <w:rsid w:val="00300772"/>
    <w:rsid w:val="0030141C"/>
    <w:rsid w:val="0030159C"/>
    <w:rsid w:val="00301E1E"/>
    <w:rsid w:val="00301E9B"/>
    <w:rsid w:val="00302108"/>
    <w:rsid w:val="0030269F"/>
    <w:rsid w:val="003027CC"/>
    <w:rsid w:val="00303C8F"/>
    <w:rsid w:val="00304EBA"/>
    <w:rsid w:val="0030528E"/>
    <w:rsid w:val="003067DB"/>
    <w:rsid w:val="0030687B"/>
    <w:rsid w:val="003100D8"/>
    <w:rsid w:val="00310129"/>
    <w:rsid w:val="003106BB"/>
    <w:rsid w:val="00310810"/>
    <w:rsid w:val="00310BB6"/>
    <w:rsid w:val="00310D30"/>
    <w:rsid w:val="003111B4"/>
    <w:rsid w:val="0031220E"/>
    <w:rsid w:val="00312601"/>
    <w:rsid w:val="00312E88"/>
    <w:rsid w:val="00313918"/>
    <w:rsid w:val="0031464B"/>
    <w:rsid w:val="0031503A"/>
    <w:rsid w:val="0031587C"/>
    <w:rsid w:val="0031599B"/>
    <w:rsid w:val="00315B63"/>
    <w:rsid w:val="003160AD"/>
    <w:rsid w:val="003168D5"/>
    <w:rsid w:val="00316A99"/>
    <w:rsid w:val="0031723A"/>
    <w:rsid w:val="003176D9"/>
    <w:rsid w:val="003179D2"/>
    <w:rsid w:val="00320255"/>
    <w:rsid w:val="00320346"/>
    <w:rsid w:val="003206F3"/>
    <w:rsid w:val="003208EC"/>
    <w:rsid w:val="003208F5"/>
    <w:rsid w:val="003226CD"/>
    <w:rsid w:val="003227C2"/>
    <w:rsid w:val="0032335F"/>
    <w:rsid w:val="00324347"/>
    <w:rsid w:val="00324455"/>
    <w:rsid w:val="00324C30"/>
    <w:rsid w:val="00324E89"/>
    <w:rsid w:val="00325C2B"/>
    <w:rsid w:val="00325EAF"/>
    <w:rsid w:val="00326308"/>
    <w:rsid w:val="00326812"/>
    <w:rsid w:val="00326954"/>
    <w:rsid w:val="00327053"/>
    <w:rsid w:val="00327A04"/>
    <w:rsid w:val="00330FFC"/>
    <w:rsid w:val="0033100D"/>
    <w:rsid w:val="00331287"/>
    <w:rsid w:val="00332137"/>
    <w:rsid w:val="003328A5"/>
    <w:rsid w:val="00332FE6"/>
    <w:rsid w:val="0033344A"/>
    <w:rsid w:val="0033452E"/>
    <w:rsid w:val="00334944"/>
    <w:rsid w:val="00334A00"/>
    <w:rsid w:val="00334A46"/>
    <w:rsid w:val="00334ABA"/>
    <w:rsid w:val="003351CB"/>
    <w:rsid w:val="00335544"/>
    <w:rsid w:val="003368E5"/>
    <w:rsid w:val="00340191"/>
    <w:rsid w:val="003402FE"/>
    <w:rsid w:val="00340BE3"/>
    <w:rsid w:val="003410DD"/>
    <w:rsid w:val="0034196C"/>
    <w:rsid w:val="003423FD"/>
    <w:rsid w:val="0034347E"/>
    <w:rsid w:val="00345587"/>
    <w:rsid w:val="00345A13"/>
    <w:rsid w:val="003466B2"/>
    <w:rsid w:val="00346909"/>
    <w:rsid w:val="00347DCE"/>
    <w:rsid w:val="00347F71"/>
    <w:rsid w:val="00350D94"/>
    <w:rsid w:val="00350FA6"/>
    <w:rsid w:val="0035140B"/>
    <w:rsid w:val="003514DD"/>
    <w:rsid w:val="00352713"/>
    <w:rsid w:val="00353771"/>
    <w:rsid w:val="003539B3"/>
    <w:rsid w:val="003544DE"/>
    <w:rsid w:val="00354521"/>
    <w:rsid w:val="00354AA4"/>
    <w:rsid w:val="00354DA8"/>
    <w:rsid w:val="003553E2"/>
    <w:rsid w:val="003562D7"/>
    <w:rsid w:val="00356E64"/>
    <w:rsid w:val="00356ED6"/>
    <w:rsid w:val="003578B4"/>
    <w:rsid w:val="00357D7D"/>
    <w:rsid w:val="00360C50"/>
    <w:rsid w:val="003610C3"/>
    <w:rsid w:val="003615E0"/>
    <w:rsid w:val="0036228E"/>
    <w:rsid w:val="0036268C"/>
    <w:rsid w:val="00363273"/>
    <w:rsid w:val="0036351A"/>
    <w:rsid w:val="0036366B"/>
    <w:rsid w:val="00363700"/>
    <w:rsid w:val="00363F28"/>
    <w:rsid w:val="00364DC7"/>
    <w:rsid w:val="00365791"/>
    <w:rsid w:val="00365D25"/>
    <w:rsid w:val="00366563"/>
    <w:rsid w:val="00366B47"/>
    <w:rsid w:val="00370613"/>
    <w:rsid w:val="00370876"/>
    <w:rsid w:val="00371AA6"/>
    <w:rsid w:val="00371CB4"/>
    <w:rsid w:val="0037415E"/>
    <w:rsid w:val="00374903"/>
    <w:rsid w:val="00374E81"/>
    <w:rsid w:val="003750D4"/>
    <w:rsid w:val="00375A8F"/>
    <w:rsid w:val="00376470"/>
    <w:rsid w:val="00376EBF"/>
    <w:rsid w:val="0037712F"/>
    <w:rsid w:val="00377A7D"/>
    <w:rsid w:val="003803FC"/>
    <w:rsid w:val="00380580"/>
    <w:rsid w:val="00381885"/>
    <w:rsid w:val="00382AB3"/>
    <w:rsid w:val="00382CDC"/>
    <w:rsid w:val="00384675"/>
    <w:rsid w:val="00384767"/>
    <w:rsid w:val="00384E88"/>
    <w:rsid w:val="00385168"/>
    <w:rsid w:val="003855E0"/>
    <w:rsid w:val="00385701"/>
    <w:rsid w:val="003857B2"/>
    <w:rsid w:val="00386587"/>
    <w:rsid w:val="00386C14"/>
    <w:rsid w:val="0038705D"/>
    <w:rsid w:val="003874C1"/>
    <w:rsid w:val="00387E5F"/>
    <w:rsid w:val="003902D1"/>
    <w:rsid w:val="00390339"/>
    <w:rsid w:val="0039051A"/>
    <w:rsid w:val="0039334C"/>
    <w:rsid w:val="003935BD"/>
    <w:rsid w:val="00393E46"/>
    <w:rsid w:val="00394436"/>
    <w:rsid w:val="00394850"/>
    <w:rsid w:val="00394C2B"/>
    <w:rsid w:val="003952FC"/>
    <w:rsid w:val="00395A7C"/>
    <w:rsid w:val="003962D4"/>
    <w:rsid w:val="00396535"/>
    <w:rsid w:val="003966D4"/>
    <w:rsid w:val="00396C3E"/>
    <w:rsid w:val="00396F88"/>
    <w:rsid w:val="00397676"/>
    <w:rsid w:val="003A31A6"/>
    <w:rsid w:val="003A32E5"/>
    <w:rsid w:val="003A36F8"/>
    <w:rsid w:val="003A3AB2"/>
    <w:rsid w:val="003A4595"/>
    <w:rsid w:val="003A4944"/>
    <w:rsid w:val="003A4DC3"/>
    <w:rsid w:val="003A54A5"/>
    <w:rsid w:val="003A5526"/>
    <w:rsid w:val="003A5B69"/>
    <w:rsid w:val="003A6D3F"/>
    <w:rsid w:val="003B04E3"/>
    <w:rsid w:val="003B0E33"/>
    <w:rsid w:val="003B10F5"/>
    <w:rsid w:val="003B1351"/>
    <w:rsid w:val="003B1B22"/>
    <w:rsid w:val="003B1D6E"/>
    <w:rsid w:val="003B1F1E"/>
    <w:rsid w:val="003B27E4"/>
    <w:rsid w:val="003B2EB5"/>
    <w:rsid w:val="003B3D64"/>
    <w:rsid w:val="003B3EED"/>
    <w:rsid w:val="003B4475"/>
    <w:rsid w:val="003B4553"/>
    <w:rsid w:val="003B46C2"/>
    <w:rsid w:val="003B662D"/>
    <w:rsid w:val="003B6957"/>
    <w:rsid w:val="003B6D5B"/>
    <w:rsid w:val="003B7585"/>
    <w:rsid w:val="003B7A50"/>
    <w:rsid w:val="003B8374"/>
    <w:rsid w:val="003C02A1"/>
    <w:rsid w:val="003C0376"/>
    <w:rsid w:val="003C104E"/>
    <w:rsid w:val="003C2274"/>
    <w:rsid w:val="003C2813"/>
    <w:rsid w:val="003C3B08"/>
    <w:rsid w:val="003C452D"/>
    <w:rsid w:val="003C59E5"/>
    <w:rsid w:val="003C67E6"/>
    <w:rsid w:val="003D0052"/>
    <w:rsid w:val="003D071B"/>
    <w:rsid w:val="003D09FB"/>
    <w:rsid w:val="003D0A14"/>
    <w:rsid w:val="003D11DE"/>
    <w:rsid w:val="003D264D"/>
    <w:rsid w:val="003D2EF0"/>
    <w:rsid w:val="003D361B"/>
    <w:rsid w:val="003D3868"/>
    <w:rsid w:val="003D3FEF"/>
    <w:rsid w:val="003D4F20"/>
    <w:rsid w:val="003D5866"/>
    <w:rsid w:val="003D5AD6"/>
    <w:rsid w:val="003D5C21"/>
    <w:rsid w:val="003D5C54"/>
    <w:rsid w:val="003D5FB2"/>
    <w:rsid w:val="003D6C21"/>
    <w:rsid w:val="003D6F47"/>
    <w:rsid w:val="003D7B97"/>
    <w:rsid w:val="003E05FD"/>
    <w:rsid w:val="003E204F"/>
    <w:rsid w:val="003E245D"/>
    <w:rsid w:val="003E286A"/>
    <w:rsid w:val="003E2A9A"/>
    <w:rsid w:val="003E34C2"/>
    <w:rsid w:val="003E3935"/>
    <w:rsid w:val="003E4194"/>
    <w:rsid w:val="003E4798"/>
    <w:rsid w:val="003E482A"/>
    <w:rsid w:val="003E5E60"/>
    <w:rsid w:val="003E6058"/>
    <w:rsid w:val="003E6F6D"/>
    <w:rsid w:val="003E7F0F"/>
    <w:rsid w:val="003F0FD8"/>
    <w:rsid w:val="003F15F0"/>
    <w:rsid w:val="003F167B"/>
    <w:rsid w:val="003F1E8E"/>
    <w:rsid w:val="003F23F9"/>
    <w:rsid w:val="003F27CF"/>
    <w:rsid w:val="003F2CA4"/>
    <w:rsid w:val="003F3DD5"/>
    <w:rsid w:val="003F4B12"/>
    <w:rsid w:val="003F5F62"/>
    <w:rsid w:val="003F6B92"/>
    <w:rsid w:val="00400AAF"/>
    <w:rsid w:val="00401755"/>
    <w:rsid w:val="00401AA7"/>
    <w:rsid w:val="00404190"/>
    <w:rsid w:val="00405244"/>
    <w:rsid w:val="00405676"/>
    <w:rsid w:val="004065CF"/>
    <w:rsid w:val="004068EE"/>
    <w:rsid w:val="00407AC1"/>
    <w:rsid w:val="00410136"/>
    <w:rsid w:val="004116F2"/>
    <w:rsid w:val="004118CE"/>
    <w:rsid w:val="0041198A"/>
    <w:rsid w:val="00411D74"/>
    <w:rsid w:val="00411EC1"/>
    <w:rsid w:val="004131CF"/>
    <w:rsid w:val="0041332F"/>
    <w:rsid w:val="00413472"/>
    <w:rsid w:val="00414057"/>
    <w:rsid w:val="00414641"/>
    <w:rsid w:val="00415830"/>
    <w:rsid w:val="00415894"/>
    <w:rsid w:val="00415B09"/>
    <w:rsid w:val="00415B8B"/>
    <w:rsid w:val="004160D4"/>
    <w:rsid w:val="00416A7F"/>
    <w:rsid w:val="00416BF7"/>
    <w:rsid w:val="00416C90"/>
    <w:rsid w:val="00417CB2"/>
    <w:rsid w:val="004202B9"/>
    <w:rsid w:val="004202F1"/>
    <w:rsid w:val="004204BE"/>
    <w:rsid w:val="0042128A"/>
    <w:rsid w:val="004220A8"/>
    <w:rsid w:val="00422280"/>
    <w:rsid w:val="00422A43"/>
    <w:rsid w:val="00422B98"/>
    <w:rsid w:val="00422DD1"/>
    <w:rsid w:val="00422E2A"/>
    <w:rsid w:val="00423EE4"/>
    <w:rsid w:val="0042470B"/>
    <w:rsid w:val="004248C3"/>
    <w:rsid w:val="00425E31"/>
    <w:rsid w:val="0042648E"/>
    <w:rsid w:val="004270C4"/>
    <w:rsid w:val="00427B04"/>
    <w:rsid w:val="00430133"/>
    <w:rsid w:val="00430145"/>
    <w:rsid w:val="00430518"/>
    <w:rsid w:val="00430768"/>
    <w:rsid w:val="00431599"/>
    <w:rsid w:val="00431777"/>
    <w:rsid w:val="00433682"/>
    <w:rsid w:val="004345FB"/>
    <w:rsid w:val="00434BC9"/>
    <w:rsid w:val="00435CFF"/>
    <w:rsid w:val="00435F6A"/>
    <w:rsid w:val="004360A9"/>
    <w:rsid w:val="004362CF"/>
    <w:rsid w:val="00436FCC"/>
    <w:rsid w:val="00440AEA"/>
    <w:rsid w:val="0044117D"/>
    <w:rsid w:val="00441575"/>
    <w:rsid w:val="0044176C"/>
    <w:rsid w:val="00442954"/>
    <w:rsid w:val="00442A61"/>
    <w:rsid w:val="00443640"/>
    <w:rsid w:val="004437A9"/>
    <w:rsid w:val="004437DE"/>
    <w:rsid w:val="00445039"/>
    <w:rsid w:val="004458A0"/>
    <w:rsid w:val="00446618"/>
    <w:rsid w:val="00446C04"/>
    <w:rsid w:val="00446C36"/>
    <w:rsid w:val="00446EE4"/>
    <w:rsid w:val="0044774D"/>
    <w:rsid w:val="00447E8C"/>
    <w:rsid w:val="00447EED"/>
    <w:rsid w:val="00447FBE"/>
    <w:rsid w:val="0045005B"/>
    <w:rsid w:val="00451F86"/>
    <w:rsid w:val="00452301"/>
    <w:rsid w:val="004527B3"/>
    <w:rsid w:val="0045313D"/>
    <w:rsid w:val="00454359"/>
    <w:rsid w:val="0045490D"/>
    <w:rsid w:val="00454E8C"/>
    <w:rsid w:val="00454FF9"/>
    <w:rsid w:val="00455F52"/>
    <w:rsid w:val="00456FCB"/>
    <w:rsid w:val="004573F8"/>
    <w:rsid w:val="00457566"/>
    <w:rsid w:val="004576B7"/>
    <w:rsid w:val="004578B2"/>
    <w:rsid w:val="004601C1"/>
    <w:rsid w:val="00460CA9"/>
    <w:rsid w:val="00461407"/>
    <w:rsid w:val="00461464"/>
    <w:rsid w:val="00461D40"/>
    <w:rsid w:val="004622B1"/>
    <w:rsid w:val="0046266D"/>
    <w:rsid w:val="00463346"/>
    <w:rsid w:val="00463799"/>
    <w:rsid w:val="00463B96"/>
    <w:rsid w:val="00464069"/>
    <w:rsid w:val="00464823"/>
    <w:rsid w:val="00464C8E"/>
    <w:rsid w:val="00466A5D"/>
    <w:rsid w:val="00466CEE"/>
    <w:rsid w:val="004678FD"/>
    <w:rsid w:val="004714DF"/>
    <w:rsid w:val="00471986"/>
    <w:rsid w:val="00471D4E"/>
    <w:rsid w:val="0047231C"/>
    <w:rsid w:val="004725FB"/>
    <w:rsid w:val="00472617"/>
    <w:rsid w:val="004732E0"/>
    <w:rsid w:val="00474334"/>
    <w:rsid w:val="00474593"/>
    <w:rsid w:val="004756C2"/>
    <w:rsid w:val="004762B9"/>
    <w:rsid w:val="004770F2"/>
    <w:rsid w:val="00477265"/>
    <w:rsid w:val="00477269"/>
    <w:rsid w:val="004775E0"/>
    <w:rsid w:val="004777CE"/>
    <w:rsid w:val="00477DFB"/>
    <w:rsid w:val="0047F384"/>
    <w:rsid w:val="00480B3F"/>
    <w:rsid w:val="00480DEA"/>
    <w:rsid w:val="00481C1A"/>
    <w:rsid w:val="00481DAE"/>
    <w:rsid w:val="00482D5A"/>
    <w:rsid w:val="0048446A"/>
    <w:rsid w:val="00484901"/>
    <w:rsid w:val="00484ED8"/>
    <w:rsid w:val="00485387"/>
    <w:rsid w:val="00485509"/>
    <w:rsid w:val="00485BAF"/>
    <w:rsid w:val="00485C3E"/>
    <w:rsid w:val="00485EC0"/>
    <w:rsid w:val="00486526"/>
    <w:rsid w:val="00486E77"/>
    <w:rsid w:val="00487350"/>
    <w:rsid w:val="004878C2"/>
    <w:rsid w:val="00491647"/>
    <w:rsid w:val="004916C2"/>
    <w:rsid w:val="00491F84"/>
    <w:rsid w:val="00492904"/>
    <w:rsid w:val="004936D2"/>
    <w:rsid w:val="00493734"/>
    <w:rsid w:val="00493B32"/>
    <w:rsid w:val="00493EB9"/>
    <w:rsid w:val="00493FEE"/>
    <w:rsid w:val="00494042"/>
    <w:rsid w:val="00495220"/>
    <w:rsid w:val="00495896"/>
    <w:rsid w:val="00495EFD"/>
    <w:rsid w:val="0049602C"/>
    <w:rsid w:val="004966FD"/>
    <w:rsid w:val="004969CF"/>
    <w:rsid w:val="00496D4B"/>
    <w:rsid w:val="00497364"/>
    <w:rsid w:val="00497A63"/>
    <w:rsid w:val="00497BEA"/>
    <w:rsid w:val="004A02A2"/>
    <w:rsid w:val="004A03E5"/>
    <w:rsid w:val="004A0A00"/>
    <w:rsid w:val="004A0A78"/>
    <w:rsid w:val="004A1B60"/>
    <w:rsid w:val="004A219E"/>
    <w:rsid w:val="004A31F2"/>
    <w:rsid w:val="004A3C48"/>
    <w:rsid w:val="004A3F7D"/>
    <w:rsid w:val="004A49CD"/>
    <w:rsid w:val="004A4AF2"/>
    <w:rsid w:val="004A697D"/>
    <w:rsid w:val="004A7AAE"/>
    <w:rsid w:val="004A7D9F"/>
    <w:rsid w:val="004B1DE3"/>
    <w:rsid w:val="004B1E5B"/>
    <w:rsid w:val="004B2A2A"/>
    <w:rsid w:val="004B5602"/>
    <w:rsid w:val="004B5980"/>
    <w:rsid w:val="004B5AD6"/>
    <w:rsid w:val="004B63F6"/>
    <w:rsid w:val="004B6594"/>
    <w:rsid w:val="004B7725"/>
    <w:rsid w:val="004B773E"/>
    <w:rsid w:val="004C05BA"/>
    <w:rsid w:val="004C0745"/>
    <w:rsid w:val="004C0884"/>
    <w:rsid w:val="004C0C35"/>
    <w:rsid w:val="004C1352"/>
    <w:rsid w:val="004C3697"/>
    <w:rsid w:val="004C3E71"/>
    <w:rsid w:val="004C4B2A"/>
    <w:rsid w:val="004C5153"/>
    <w:rsid w:val="004C5763"/>
    <w:rsid w:val="004C5B58"/>
    <w:rsid w:val="004C5F31"/>
    <w:rsid w:val="004C66FA"/>
    <w:rsid w:val="004C6A58"/>
    <w:rsid w:val="004C7FDC"/>
    <w:rsid w:val="004D0229"/>
    <w:rsid w:val="004D0402"/>
    <w:rsid w:val="004D07BD"/>
    <w:rsid w:val="004D07F3"/>
    <w:rsid w:val="004D12F8"/>
    <w:rsid w:val="004D141F"/>
    <w:rsid w:val="004D1785"/>
    <w:rsid w:val="004D1EF4"/>
    <w:rsid w:val="004D33E4"/>
    <w:rsid w:val="004D3F94"/>
    <w:rsid w:val="004D5050"/>
    <w:rsid w:val="004D510A"/>
    <w:rsid w:val="004D5178"/>
    <w:rsid w:val="004D55CA"/>
    <w:rsid w:val="004D593E"/>
    <w:rsid w:val="004D5CAA"/>
    <w:rsid w:val="004D634E"/>
    <w:rsid w:val="004D6511"/>
    <w:rsid w:val="004D6AB1"/>
    <w:rsid w:val="004D7764"/>
    <w:rsid w:val="004D77A6"/>
    <w:rsid w:val="004D77CC"/>
    <w:rsid w:val="004D7A2D"/>
    <w:rsid w:val="004D7B88"/>
    <w:rsid w:val="004E00D6"/>
    <w:rsid w:val="004E05DF"/>
    <w:rsid w:val="004E2F2F"/>
    <w:rsid w:val="004E2FBD"/>
    <w:rsid w:val="004E3E2A"/>
    <w:rsid w:val="004E4934"/>
    <w:rsid w:val="004E4B32"/>
    <w:rsid w:val="004E4DE9"/>
    <w:rsid w:val="004E51A3"/>
    <w:rsid w:val="004E5214"/>
    <w:rsid w:val="004E64AD"/>
    <w:rsid w:val="004E659C"/>
    <w:rsid w:val="004E6F2C"/>
    <w:rsid w:val="004E7835"/>
    <w:rsid w:val="004E7CEC"/>
    <w:rsid w:val="004F125A"/>
    <w:rsid w:val="004F139E"/>
    <w:rsid w:val="004F182B"/>
    <w:rsid w:val="004F1905"/>
    <w:rsid w:val="004F216F"/>
    <w:rsid w:val="004F39DD"/>
    <w:rsid w:val="004F462F"/>
    <w:rsid w:val="004F48F8"/>
    <w:rsid w:val="004F4944"/>
    <w:rsid w:val="004F68A0"/>
    <w:rsid w:val="004F7309"/>
    <w:rsid w:val="004F7DED"/>
    <w:rsid w:val="005000AE"/>
    <w:rsid w:val="00500887"/>
    <w:rsid w:val="00501329"/>
    <w:rsid w:val="00501BA7"/>
    <w:rsid w:val="00501F00"/>
    <w:rsid w:val="005028DC"/>
    <w:rsid w:val="005029F3"/>
    <w:rsid w:val="00502B71"/>
    <w:rsid w:val="00502F33"/>
    <w:rsid w:val="00505496"/>
    <w:rsid w:val="005068A2"/>
    <w:rsid w:val="0050B9D2"/>
    <w:rsid w:val="00510042"/>
    <w:rsid w:val="005102A5"/>
    <w:rsid w:val="005107A4"/>
    <w:rsid w:val="00510B43"/>
    <w:rsid w:val="00510DEA"/>
    <w:rsid w:val="00512125"/>
    <w:rsid w:val="00515250"/>
    <w:rsid w:val="00515CB2"/>
    <w:rsid w:val="00515E53"/>
    <w:rsid w:val="005160CB"/>
    <w:rsid w:val="0051665D"/>
    <w:rsid w:val="0051740D"/>
    <w:rsid w:val="005178A1"/>
    <w:rsid w:val="005179C1"/>
    <w:rsid w:val="0052144D"/>
    <w:rsid w:val="005226AB"/>
    <w:rsid w:val="00522AF7"/>
    <w:rsid w:val="00522DB5"/>
    <w:rsid w:val="00523318"/>
    <w:rsid w:val="00523E6A"/>
    <w:rsid w:val="00524086"/>
    <w:rsid w:val="00524BF3"/>
    <w:rsid w:val="00524F55"/>
    <w:rsid w:val="00526624"/>
    <w:rsid w:val="005268B7"/>
    <w:rsid w:val="00526D0A"/>
    <w:rsid w:val="00526F1E"/>
    <w:rsid w:val="00527029"/>
    <w:rsid w:val="00527E8F"/>
    <w:rsid w:val="005304D6"/>
    <w:rsid w:val="005306F1"/>
    <w:rsid w:val="00530BAD"/>
    <w:rsid w:val="005319AB"/>
    <w:rsid w:val="0053205C"/>
    <w:rsid w:val="00532550"/>
    <w:rsid w:val="005328A7"/>
    <w:rsid w:val="00533507"/>
    <w:rsid w:val="00533938"/>
    <w:rsid w:val="00534154"/>
    <w:rsid w:val="00534E3E"/>
    <w:rsid w:val="00534FE9"/>
    <w:rsid w:val="005360DF"/>
    <w:rsid w:val="00536621"/>
    <w:rsid w:val="00536940"/>
    <w:rsid w:val="00537D3C"/>
    <w:rsid w:val="005403E1"/>
    <w:rsid w:val="00540634"/>
    <w:rsid w:val="005407C2"/>
    <w:rsid w:val="00540914"/>
    <w:rsid w:val="0054149A"/>
    <w:rsid w:val="005415F2"/>
    <w:rsid w:val="0054222A"/>
    <w:rsid w:val="005428D6"/>
    <w:rsid w:val="00542E9E"/>
    <w:rsid w:val="00542F8D"/>
    <w:rsid w:val="0054391B"/>
    <w:rsid w:val="00543DA3"/>
    <w:rsid w:val="0054418E"/>
    <w:rsid w:val="0054435B"/>
    <w:rsid w:val="005443A7"/>
    <w:rsid w:val="00544776"/>
    <w:rsid w:val="00544FF5"/>
    <w:rsid w:val="0054500E"/>
    <w:rsid w:val="00545243"/>
    <w:rsid w:val="00545660"/>
    <w:rsid w:val="005466CA"/>
    <w:rsid w:val="00546CB0"/>
    <w:rsid w:val="00546D05"/>
    <w:rsid w:val="00547263"/>
    <w:rsid w:val="0054729B"/>
    <w:rsid w:val="00547647"/>
    <w:rsid w:val="00549763"/>
    <w:rsid w:val="00550545"/>
    <w:rsid w:val="00550961"/>
    <w:rsid w:val="00550BB2"/>
    <w:rsid w:val="00552105"/>
    <w:rsid w:val="00552B92"/>
    <w:rsid w:val="00552C80"/>
    <w:rsid w:val="0055350D"/>
    <w:rsid w:val="00554506"/>
    <w:rsid w:val="0055469A"/>
    <w:rsid w:val="00554778"/>
    <w:rsid w:val="00554887"/>
    <w:rsid w:val="0055500F"/>
    <w:rsid w:val="00555A10"/>
    <w:rsid w:val="00555B21"/>
    <w:rsid w:val="00555CA4"/>
    <w:rsid w:val="00561699"/>
    <w:rsid w:val="005617BA"/>
    <w:rsid w:val="00562399"/>
    <w:rsid w:val="00562913"/>
    <w:rsid w:val="00562B6F"/>
    <w:rsid w:val="005639F0"/>
    <w:rsid w:val="00563A9F"/>
    <w:rsid w:val="00564192"/>
    <w:rsid w:val="00564585"/>
    <w:rsid w:val="005649F1"/>
    <w:rsid w:val="0056528E"/>
    <w:rsid w:val="00567641"/>
    <w:rsid w:val="00567990"/>
    <w:rsid w:val="00567BE3"/>
    <w:rsid w:val="00567EA6"/>
    <w:rsid w:val="00570056"/>
    <w:rsid w:val="0057077D"/>
    <w:rsid w:val="005709B2"/>
    <w:rsid w:val="00570CB3"/>
    <w:rsid w:val="005720A9"/>
    <w:rsid w:val="005731A6"/>
    <w:rsid w:val="00573281"/>
    <w:rsid w:val="00573764"/>
    <w:rsid w:val="00573E98"/>
    <w:rsid w:val="0057457A"/>
    <w:rsid w:val="00574D4B"/>
    <w:rsid w:val="00574D81"/>
    <w:rsid w:val="00574F24"/>
    <w:rsid w:val="00575158"/>
    <w:rsid w:val="00575183"/>
    <w:rsid w:val="005757A8"/>
    <w:rsid w:val="00576F4D"/>
    <w:rsid w:val="00577409"/>
    <w:rsid w:val="00577C1D"/>
    <w:rsid w:val="00577D74"/>
    <w:rsid w:val="00577DD1"/>
    <w:rsid w:val="0057B4C9"/>
    <w:rsid w:val="0058142F"/>
    <w:rsid w:val="00583722"/>
    <w:rsid w:val="005837D8"/>
    <w:rsid w:val="00583BEE"/>
    <w:rsid w:val="00584006"/>
    <w:rsid w:val="005848A8"/>
    <w:rsid w:val="00585249"/>
    <w:rsid w:val="00586009"/>
    <w:rsid w:val="005860DE"/>
    <w:rsid w:val="00587159"/>
    <w:rsid w:val="00590CAD"/>
    <w:rsid w:val="0059141E"/>
    <w:rsid w:val="005919B4"/>
    <w:rsid w:val="00592BB3"/>
    <w:rsid w:val="005932BC"/>
    <w:rsid w:val="005935C7"/>
    <w:rsid w:val="00593E76"/>
    <w:rsid w:val="00594557"/>
    <w:rsid w:val="005945B7"/>
    <w:rsid w:val="005945C2"/>
    <w:rsid w:val="005946E1"/>
    <w:rsid w:val="005954C2"/>
    <w:rsid w:val="005964BE"/>
    <w:rsid w:val="005974B5"/>
    <w:rsid w:val="005A145C"/>
    <w:rsid w:val="005A1EBE"/>
    <w:rsid w:val="005A2BA7"/>
    <w:rsid w:val="005A3C24"/>
    <w:rsid w:val="005A4293"/>
    <w:rsid w:val="005A435A"/>
    <w:rsid w:val="005A5254"/>
    <w:rsid w:val="005A5BF6"/>
    <w:rsid w:val="005A5EC1"/>
    <w:rsid w:val="005A65FD"/>
    <w:rsid w:val="005A66ED"/>
    <w:rsid w:val="005A7C83"/>
    <w:rsid w:val="005A7F52"/>
    <w:rsid w:val="005B044E"/>
    <w:rsid w:val="005B0478"/>
    <w:rsid w:val="005B04C4"/>
    <w:rsid w:val="005B04E4"/>
    <w:rsid w:val="005B0C80"/>
    <w:rsid w:val="005B1CE5"/>
    <w:rsid w:val="005B1D1D"/>
    <w:rsid w:val="005B1EB6"/>
    <w:rsid w:val="005B22E0"/>
    <w:rsid w:val="005B254C"/>
    <w:rsid w:val="005B2A5A"/>
    <w:rsid w:val="005B2DC2"/>
    <w:rsid w:val="005B3EB2"/>
    <w:rsid w:val="005B4119"/>
    <w:rsid w:val="005B49F5"/>
    <w:rsid w:val="005B5F2B"/>
    <w:rsid w:val="005B69D4"/>
    <w:rsid w:val="005B6B50"/>
    <w:rsid w:val="005B74A2"/>
    <w:rsid w:val="005B7512"/>
    <w:rsid w:val="005B777E"/>
    <w:rsid w:val="005B799D"/>
    <w:rsid w:val="005B7B5C"/>
    <w:rsid w:val="005B7BF5"/>
    <w:rsid w:val="005B7D5F"/>
    <w:rsid w:val="005C0283"/>
    <w:rsid w:val="005C10EE"/>
    <w:rsid w:val="005C112D"/>
    <w:rsid w:val="005C1B8E"/>
    <w:rsid w:val="005C231E"/>
    <w:rsid w:val="005C39B6"/>
    <w:rsid w:val="005C3AAA"/>
    <w:rsid w:val="005C4E9A"/>
    <w:rsid w:val="005C56EA"/>
    <w:rsid w:val="005C5A12"/>
    <w:rsid w:val="005C6A5D"/>
    <w:rsid w:val="005C75AA"/>
    <w:rsid w:val="005C7A32"/>
    <w:rsid w:val="005C7BEE"/>
    <w:rsid w:val="005C7F94"/>
    <w:rsid w:val="005D10BC"/>
    <w:rsid w:val="005D16DD"/>
    <w:rsid w:val="005D1EF2"/>
    <w:rsid w:val="005D2803"/>
    <w:rsid w:val="005D3CFB"/>
    <w:rsid w:val="005D3FF1"/>
    <w:rsid w:val="005D4301"/>
    <w:rsid w:val="005D4D22"/>
    <w:rsid w:val="005D4E83"/>
    <w:rsid w:val="005D645B"/>
    <w:rsid w:val="005D78FB"/>
    <w:rsid w:val="005D7F96"/>
    <w:rsid w:val="005E0A9E"/>
    <w:rsid w:val="005E0ADA"/>
    <w:rsid w:val="005E1972"/>
    <w:rsid w:val="005E1FEF"/>
    <w:rsid w:val="005E26EB"/>
    <w:rsid w:val="005E2926"/>
    <w:rsid w:val="005E39B9"/>
    <w:rsid w:val="005E3AA5"/>
    <w:rsid w:val="005E417B"/>
    <w:rsid w:val="005E473E"/>
    <w:rsid w:val="005E47D1"/>
    <w:rsid w:val="005E4C10"/>
    <w:rsid w:val="005E569E"/>
    <w:rsid w:val="005E5889"/>
    <w:rsid w:val="005E5BD8"/>
    <w:rsid w:val="005E6C61"/>
    <w:rsid w:val="005E70AA"/>
    <w:rsid w:val="005E7640"/>
    <w:rsid w:val="005E7AA6"/>
    <w:rsid w:val="005E7C17"/>
    <w:rsid w:val="005E7EF6"/>
    <w:rsid w:val="005F0183"/>
    <w:rsid w:val="005F093B"/>
    <w:rsid w:val="005F09D0"/>
    <w:rsid w:val="005F0F5A"/>
    <w:rsid w:val="005F15A7"/>
    <w:rsid w:val="005F162F"/>
    <w:rsid w:val="005F1EE8"/>
    <w:rsid w:val="005F2708"/>
    <w:rsid w:val="005F2D44"/>
    <w:rsid w:val="005F3CC2"/>
    <w:rsid w:val="005F3DD3"/>
    <w:rsid w:val="005F4910"/>
    <w:rsid w:val="005F53F6"/>
    <w:rsid w:val="005F58B4"/>
    <w:rsid w:val="005F662B"/>
    <w:rsid w:val="005F66DE"/>
    <w:rsid w:val="005F670E"/>
    <w:rsid w:val="005F6748"/>
    <w:rsid w:val="005F7AA9"/>
    <w:rsid w:val="005F7F0E"/>
    <w:rsid w:val="006006E2"/>
    <w:rsid w:val="006010AF"/>
    <w:rsid w:val="006032E9"/>
    <w:rsid w:val="006034D6"/>
    <w:rsid w:val="0060395D"/>
    <w:rsid w:val="00603C4A"/>
    <w:rsid w:val="00604C91"/>
    <w:rsid w:val="00604E86"/>
    <w:rsid w:val="00605189"/>
    <w:rsid w:val="00605D5D"/>
    <w:rsid w:val="00605F06"/>
    <w:rsid w:val="006064A9"/>
    <w:rsid w:val="0060688B"/>
    <w:rsid w:val="006069DE"/>
    <w:rsid w:val="00606D65"/>
    <w:rsid w:val="00607739"/>
    <w:rsid w:val="00607DE0"/>
    <w:rsid w:val="00610063"/>
    <w:rsid w:val="0061178F"/>
    <w:rsid w:val="006120ED"/>
    <w:rsid w:val="006126D6"/>
    <w:rsid w:val="006132C2"/>
    <w:rsid w:val="0061355A"/>
    <w:rsid w:val="0061507A"/>
    <w:rsid w:val="00615380"/>
    <w:rsid w:val="006159CF"/>
    <w:rsid w:val="00616B92"/>
    <w:rsid w:val="00616D1E"/>
    <w:rsid w:val="00616F08"/>
    <w:rsid w:val="00616FDE"/>
    <w:rsid w:val="00617625"/>
    <w:rsid w:val="006177A2"/>
    <w:rsid w:val="0062087F"/>
    <w:rsid w:val="00620A9E"/>
    <w:rsid w:val="00622173"/>
    <w:rsid w:val="006225D6"/>
    <w:rsid w:val="006232EF"/>
    <w:rsid w:val="006236E7"/>
    <w:rsid w:val="0062399F"/>
    <w:rsid w:val="00623E17"/>
    <w:rsid w:val="00625110"/>
    <w:rsid w:val="00625324"/>
    <w:rsid w:val="006259CC"/>
    <w:rsid w:val="00625C73"/>
    <w:rsid w:val="00626934"/>
    <w:rsid w:val="0062794C"/>
    <w:rsid w:val="00627D14"/>
    <w:rsid w:val="006308CB"/>
    <w:rsid w:val="006311C6"/>
    <w:rsid w:val="00631649"/>
    <w:rsid w:val="0063185F"/>
    <w:rsid w:val="006323C6"/>
    <w:rsid w:val="0063252B"/>
    <w:rsid w:val="00632A3C"/>
    <w:rsid w:val="00634633"/>
    <w:rsid w:val="00634955"/>
    <w:rsid w:val="00634A21"/>
    <w:rsid w:val="006358E4"/>
    <w:rsid w:val="006362D3"/>
    <w:rsid w:val="00636DEC"/>
    <w:rsid w:val="00636F44"/>
    <w:rsid w:val="00637499"/>
    <w:rsid w:val="00637EDC"/>
    <w:rsid w:val="006412B4"/>
    <w:rsid w:val="006424A3"/>
    <w:rsid w:val="00642525"/>
    <w:rsid w:val="00643277"/>
    <w:rsid w:val="00643454"/>
    <w:rsid w:val="00643FAE"/>
    <w:rsid w:val="00644456"/>
    <w:rsid w:val="00644520"/>
    <w:rsid w:val="00644540"/>
    <w:rsid w:val="00644BD1"/>
    <w:rsid w:val="006459ED"/>
    <w:rsid w:val="00645E96"/>
    <w:rsid w:val="00646236"/>
    <w:rsid w:val="006462D9"/>
    <w:rsid w:val="00646577"/>
    <w:rsid w:val="006465AF"/>
    <w:rsid w:val="006479BA"/>
    <w:rsid w:val="00650809"/>
    <w:rsid w:val="0065080A"/>
    <w:rsid w:val="006518EE"/>
    <w:rsid w:val="00651A4D"/>
    <w:rsid w:val="006520CE"/>
    <w:rsid w:val="006522B9"/>
    <w:rsid w:val="006525BD"/>
    <w:rsid w:val="006528F0"/>
    <w:rsid w:val="00652BFE"/>
    <w:rsid w:val="00652FBA"/>
    <w:rsid w:val="00654085"/>
    <w:rsid w:val="006547BB"/>
    <w:rsid w:val="00654EF0"/>
    <w:rsid w:val="006554E7"/>
    <w:rsid w:val="00655C22"/>
    <w:rsid w:val="00655F74"/>
    <w:rsid w:val="006568AE"/>
    <w:rsid w:val="00657167"/>
    <w:rsid w:val="0065724F"/>
    <w:rsid w:val="006574CB"/>
    <w:rsid w:val="00660131"/>
    <w:rsid w:val="00660A0B"/>
    <w:rsid w:val="00660B25"/>
    <w:rsid w:val="0066181B"/>
    <w:rsid w:val="00662242"/>
    <w:rsid w:val="00662B9A"/>
    <w:rsid w:val="00663361"/>
    <w:rsid w:val="00663918"/>
    <w:rsid w:val="00665013"/>
    <w:rsid w:val="006652B8"/>
    <w:rsid w:val="00665DE2"/>
    <w:rsid w:val="00666CB2"/>
    <w:rsid w:val="00666ED5"/>
    <w:rsid w:val="0066737E"/>
    <w:rsid w:val="00667454"/>
    <w:rsid w:val="00667524"/>
    <w:rsid w:val="00667653"/>
    <w:rsid w:val="00667CAB"/>
    <w:rsid w:val="00668687"/>
    <w:rsid w:val="006703BB"/>
    <w:rsid w:val="00670559"/>
    <w:rsid w:val="0067177E"/>
    <w:rsid w:val="00671ABB"/>
    <w:rsid w:val="00671AEF"/>
    <w:rsid w:val="006727E7"/>
    <w:rsid w:val="00672845"/>
    <w:rsid w:val="0067303C"/>
    <w:rsid w:val="00673608"/>
    <w:rsid w:val="0067378B"/>
    <w:rsid w:val="00673878"/>
    <w:rsid w:val="00673DBF"/>
    <w:rsid w:val="0067622A"/>
    <w:rsid w:val="00676E4A"/>
    <w:rsid w:val="0067714D"/>
    <w:rsid w:val="006776F9"/>
    <w:rsid w:val="00680737"/>
    <w:rsid w:val="00681FBC"/>
    <w:rsid w:val="006828FA"/>
    <w:rsid w:val="00683BD5"/>
    <w:rsid w:val="00683DC6"/>
    <w:rsid w:val="006849EF"/>
    <w:rsid w:val="00684B68"/>
    <w:rsid w:val="00685CB1"/>
    <w:rsid w:val="00687276"/>
    <w:rsid w:val="00690244"/>
    <w:rsid w:val="006909EB"/>
    <w:rsid w:val="00690A30"/>
    <w:rsid w:val="00690A71"/>
    <w:rsid w:val="00691298"/>
    <w:rsid w:val="006913C5"/>
    <w:rsid w:val="006918A0"/>
    <w:rsid w:val="00692206"/>
    <w:rsid w:val="00692563"/>
    <w:rsid w:val="00693F60"/>
    <w:rsid w:val="00693FA9"/>
    <w:rsid w:val="00694167"/>
    <w:rsid w:val="0069492B"/>
    <w:rsid w:val="00694B9C"/>
    <w:rsid w:val="00695080"/>
    <w:rsid w:val="006951A7"/>
    <w:rsid w:val="006977DE"/>
    <w:rsid w:val="00697BD1"/>
    <w:rsid w:val="00697CE1"/>
    <w:rsid w:val="006A0DC3"/>
    <w:rsid w:val="006A0F06"/>
    <w:rsid w:val="006A10B8"/>
    <w:rsid w:val="006A1A86"/>
    <w:rsid w:val="006A1E0A"/>
    <w:rsid w:val="006A232C"/>
    <w:rsid w:val="006A347F"/>
    <w:rsid w:val="006A3AF1"/>
    <w:rsid w:val="006A3D0B"/>
    <w:rsid w:val="006A3F8F"/>
    <w:rsid w:val="006A4318"/>
    <w:rsid w:val="006A4BF8"/>
    <w:rsid w:val="006A4CF5"/>
    <w:rsid w:val="006A55E3"/>
    <w:rsid w:val="006A5839"/>
    <w:rsid w:val="006A58CB"/>
    <w:rsid w:val="006A5E0D"/>
    <w:rsid w:val="006A66A8"/>
    <w:rsid w:val="006A66C6"/>
    <w:rsid w:val="006A6C2F"/>
    <w:rsid w:val="006A6CFF"/>
    <w:rsid w:val="006A7116"/>
    <w:rsid w:val="006A7852"/>
    <w:rsid w:val="006A796F"/>
    <w:rsid w:val="006A797F"/>
    <w:rsid w:val="006B042C"/>
    <w:rsid w:val="006B0CC7"/>
    <w:rsid w:val="006B182B"/>
    <w:rsid w:val="006B2588"/>
    <w:rsid w:val="006B2FD9"/>
    <w:rsid w:val="006B31EC"/>
    <w:rsid w:val="006B3776"/>
    <w:rsid w:val="006B3A6D"/>
    <w:rsid w:val="006B45FE"/>
    <w:rsid w:val="006B4AD4"/>
    <w:rsid w:val="006B54D3"/>
    <w:rsid w:val="006B5890"/>
    <w:rsid w:val="006B5A0A"/>
    <w:rsid w:val="006B67FA"/>
    <w:rsid w:val="006B68D2"/>
    <w:rsid w:val="006B7BBE"/>
    <w:rsid w:val="006C0536"/>
    <w:rsid w:val="006C154F"/>
    <w:rsid w:val="006C29B8"/>
    <w:rsid w:val="006C2F5F"/>
    <w:rsid w:val="006C30A1"/>
    <w:rsid w:val="006C408C"/>
    <w:rsid w:val="006C44AB"/>
    <w:rsid w:val="006C4E08"/>
    <w:rsid w:val="006C55BE"/>
    <w:rsid w:val="006C6408"/>
    <w:rsid w:val="006C6DC3"/>
    <w:rsid w:val="006C6FCE"/>
    <w:rsid w:val="006C732D"/>
    <w:rsid w:val="006D1052"/>
    <w:rsid w:val="006D106C"/>
    <w:rsid w:val="006D155A"/>
    <w:rsid w:val="006D1607"/>
    <w:rsid w:val="006D16B1"/>
    <w:rsid w:val="006D1C2A"/>
    <w:rsid w:val="006D29EF"/>
    <w:rsid w:val="006D315D"/>
    <w:rsid w:val="006D4E6E"/>
    <w:rsid w:val="006D5DE8"/>
    <w:rsid w:val="006D73F9"/>
    <w:rsid w:val="006D750A"/>
    <w:rsid w:val="006D7E59"/>
    <w:rsid w:val="006E062B"/>
    <w:rsid w:val="006E0AAB"/>
    <w:rsid w:val="006E0D50"/>
    <w:rsid w:val="006E1E8E"/>
    <w:rsid w:val="006E3E2B"/>
    <w:rsid w:val="006E5243"/>
    <w:rsid w:val="006E553B"/>
    <w:rsid w:val="006E5937"/>
    <w:rsid w:val="006E62D6"/>
    <w:rsid w:val="006E6529"/>
    <w:rsid w:val="006E6DDA"/>
    <w:rsid w:val="006E7CBA"/>
    <w:rsid w:val="006F00A3"/>
    <w:rsid w:val="006F0B00"/>
    <w:rsid w:val="006F0C69"/>
    <w:rsid w:val="006F0D0D"/>
    <w:rsid w:val="006F157E"/>
    <w:rsid w:val="006F19DF"/>
    <w:rsid w:val="006F20F7"/>
    <w:rsid w:val="006F215C"/>
    <w:rsid w:val="006F2D46"/>
    <w:rsid w:val="006F2F03"/>
    <w:rsid w:val="006F35A1"/>
    <w:rsid w:val="006F42E6"/>
    <w:rsid w:val="006F4DAA"/>
    <w:rsid w:val="006F5450"/>
    <w:rsid w:val="006F58DC"/>
    <w:rsid w:val="006F5C2E"/>
    <w:rsid w:val="006F5C97"/>
    <w:rsid w:val="007004D1"/>
    <w:rsid w:val="00700BE7"/>
    <w:rsid w:val="00701231"/>
    <w:rsid w:val="00702145"/>
    <w:rsid w:val="0070244F"/>
    <w:rsid w:val="007028D5"/>
    <w:rsid w:val="00704436"/>
    <w:rsid w:val="007046D7"/>
    <w:rsid w:val="00704858"/>
    <w:rsid w:val="0070587E"/>
    <w:rsid w:val="00706A46"/>
    <w:rsid w:val="0070703D"/>
    <w:rsid w:val="00707631"/>
    <w:rsid w:val="00707640"/>
    <w:rsid w:val="00707DE4"/>
    <w:rsid w:val="007102BB"/>
    <w:rsid w:val="00710BAA"/>
    <w:rsid w:val="00710E9B"/>
    <w:rsid w:val="00712183"/>
    <w:rsid w:val="0071260E"/>
    <w:rsid w:val="00712635"/>
    <w:rsid w:val="0071285F"/>
    <w:rsid w:val="0071291A"/>
    <w:rsid w:val="00712A05"/>
    <w:rsid w:val="00712F67"/>
    <w:rsid w:val="00713974"/>
    <w:rsid w:val="00714CF8"/>
    <w:rsid w:val="00715B43"/>
    <w:rsid w:val="00715EEC"/>
    <w:rsid w:val="00716279"/>
    <w:rsid w:val="007162E9"/>
    <w:rsid w:val="00716F10"/>
    <w:rsid w:val="0071741D"/>
    <w:rsid w:val="007177C7"/>
    <w:rsid w:val="00720111"/>
    <w:rsid w:val="007209E4"/>
    <w:rsid w:val="00720A93"/>
    <w:rsid w:val="007211F2"/>
    <w:rsid w:val="00721DFD"/>
    <w:rsid w:val="00721E97"/>
    <w:rsid w:val="0072213C"/>
    <w:rsid w:val="00722440"/>
    <w:rsid w:val="00723390"/>
    <w:rsid w:val="0072404F"/>
    <w:rsid w:val="007244B8"/>
    <w:rsid w:val="00724C09"/>
    <w:rsid w:val="00724EC7"/>
    <w:rsid w:val="007254C1"/>
    <w:rsid w:val="00727E85"/>
    <w:rsid w:val="00730A75"/>
    <w:rsid w:val="00731C7E"/>
    <w:rsid w:val="00731F69"/>
    <w:rsid w:val="00731FB2"/>
    <w:rsid w:val="007325AB"/>
    <w:rsid w:val="00733123"/>
    <w:rsid w:val="00733DC8"/>
    <w:rsid w:val="00734749"/>
    <w:rsid w:val="007347BB"/>
    <w:rsid w:val="00734B7E"/>
    <w:rsid w:val="00734E08"/>
    <w:rsid w:val="00734FED"/>
    <w:rsid w:val="00735566"/>
    <w:rsid w:val="00735A70"/>
    <w:rsid w:val="00735E31"/>
    <w:rsid w:val="00736035"/>
    <w:rsid w:val="00736976"/>
    <w:rsid w:val="00736BA7"/>
    <w:rsid w:val="00740BAE"/>
    <w:rsid w:val="00740C8A"/>
    <w:rsid w:val="00740D77"/>
    <w:rsid w:val="00740D82"/>
    <w:rsid w:val="00742064"/>
    <w:rsid w:val="0074207A"/>
    <w:rsid w:val="00742189"/>
    <w:rsid w:val="0074246F"/>
    <w:rsid w:val="0074480B"/>
    <w:rsid w:val="0074498F"/>
    <w:rsid w:val="0074531B"/>
    <w:rsid w:val="00745CAF"/>
    <w:rsid w:val="00745E00"/>
    <w:rsid w:val="00745F8C"/>
    <w:rsid w:val="00746F5E"/>
    <w:rsid w:val="00746FCD"/>
    <w:rsid w:val="00750A59"/>
    <w:rsid w:val="00750B08"/>
    <w:rsid w:val="00750F4B"/>
    <w:rsid w:val="00751299"/>
    <w:rsid w:val="00751EFA"/>
    <w:rsid w:val="00752AC7"/>
    <w:rsid w:val="00752B1D"/>
    <w:rsid w:val="00752F33"/>
    <w:rsid w:val="007532D3"/>
    <w:rsid w:val="007544A6"/>
    <w:rsid w:val="007546A6"/>
    <w:rsid w:val="00754A85"/>
    <w:rsid w:val="00757249"/>
    <w:rsid w:val="00757A52"/>
    <w:rsid w:val="007603CA"/>
    <w:rsid w:val="00760FF6"/>
    <w:rsid w:val="00761286"/>
    <w:rsid w:val="007612CD"/>
    <w:rsid w:val="007618A8"/>
    <w:rsid w:val="00762884"/>
    <w:rsid w:val="00762D7B"/>
    <w:rsid w:val="00763261"/>
    <w:rsid w:val="007633F9"/>
    <w:rsid w:val="00763546"/>
    <w:rsid w:val="00763CB8"/>
    <w:rsid w:val="0076408D"/>
    <w:rsid w:val="00765847"/>
    <w:rsid w:val="00765DBA"/>
    <w:rsid w:val="00765F01"/>
    <w:rsid w:val="00766D7B"/>
    <w:rsid w:val="00766F12"/>
    <w:rsid w:val="00767C39"/>
    <w:rsid w:val="00771167"/>
    <w:rsid w:val="007711FD"/>
    <w:rsid w:val="00771C9C"/>
    <w:rsid w:val="00771E52"/>
    <w:rsid w:val="0077257D"/>
    <w:rsid w:val="00772D0F"/>
    <w:rsid w:val="00773331"/>
    <w:rsid w:val="0077368F"/>
    <w:rsid w:val="00773C71"/>
    <w:rsid w:val="00774614"/>
    <w:rsid w:val="00774E49"/>
    <w:rsid w:val="00774EB2"/>
    <w:rsid w:val="007753DE"/>
    <w:rsid w:val="00780CCD"/>
    <w:rsid w:val="00781285"/>
    <w:rsid w:val="00781B5E"/>
    <w:rsid w:val="00781EA0"/>
    <w:rsid w:val="00782651"/>
    <w:rsid w:val="00782B01"/>
    <w:rsid w:val="00782B8F"/>
    <w:rsid w:val="007833AA"/>
    <w:rsid w:val="00783CAA"/>
    <w:rsid w:val="00783F86"/>
    <w:rsid w:val="007866DC"/>
    <w:rsid w:val="007866E0"/>
    <w:rsid w:val="007867AE"/>
    <w:rsid w:val="007876EE"/>
    <w:rsid w:val="007877C7"/>
    <w:rsid w:val="007878C5"/>
    <w:rsid w:val="0079028E"/>
    <w:rsid w:val="00790D92"/>
    <w:rsid w:val="00790E8A"/>
    <w:rsid w:val="00791723"/>
    <w:rsid w:val="00792D5D"/>
    <w:rsid w:val="00793180"/>
    <w:rsid w:val="007932EF"/>
    <w:rsid w:val="0079403F"/>
    <w:rsid w:val="0079473C"/>
    <w:rsid w:val="00794BA0"/>
    <w:rsid w:val="00795A36"/>
    <w:rsid w:val="00795E50"/>
    <w:rsid w:val="00797181"/>
    <w:rsid w:val="00797DC2"/>
    <w:rsid w:val="007A0234"/>
    <w:rsid w:val="007A0F3A"/>
    <w:rsid w:val="007A10B9"/>
    <w:rsid w:val="007A28F2"/>
    <w:rsid w:val="007A2ADF"/>
    <w:rsid w:val="007A2CCF"/>
    <w:rsid w:val="007A2E57"/>
    <w:rsid w:val="007A3108"/>
    <w:rsid w:val="007A3752"/>
    <w:rsid w:val="007A3D3A"/>
    <w:rsid w:val="007A55DA"/>
    <w:rsid w:val="007A5886"/>
    <w:rsid w:val="007A5DAC"/>
    <w:rsid w:val="007A5FA5"/>
    <w:rsid w:val="007A639B"/>
    <w:rsid w:val="007B0A93"/>
    <w:rsid w:val="007B202E"/>
    <w:rsid w:val="007B2FB9"/>
    <w:rsid w:val="007B41E1"/>
    <w:rsid w:val="007B4421"/>
    <w:rsid w:val="007B4B02"/>
    <w:rsid w:val="007B57E3"/>
    <w:rsid w:val="007B5E95"/>
    <w:rsid w:val="007B72FE"/>
    <w:rsid w:val="007C0430"/>
    <w:rsid w:val="007C085B"/>
    <w:rsid w:val="007C09CD"/>
    <w:rsid w:val="007C214A"/>
    <w:rsid w:val="007C306A"/>
    <w:rsid w:val="007C3096"/>
    <w:rsid w:val="007C4EB9"/>
    <w:rsid w:val="007C6498"/>
    <w:rsid w:val="007C776B"/>
    <w:rsid w:val="007D071B"/>
    <w:rsid w:val="007D0A0D"/>
    <w:rsid w:val="007D0E00"/>
    <w:rsid w:val="007D13BD"/>
    <w:rsid w:val="007D17F2"/>
    <w:rsid w:val="007D279F"/>
    <w:rsid w:val="007D303A"/>
    <w:rsid w:val="007D36B1"/>
    <w:rsid w:val="007D3918"/>
    <w:rsid w:val="007D3EBD"/>
    <w:rsid w:val="007D4864"/>
    <w:rsid w:val="007D4910"/>
    <w:rsid w:val="007D5355"/>
    <w:rsid w:val="007D5668"/>
    <w:rsid w:val="007D5776"/>
    <w:rsid w:val="007D59A0"/>
    <w:rsid w:val="007D61E3"/>
    <w:rsid w:val="007D658E"/>
    <w:rsid w:val="007D6F5B"/>
    <w:rsid w:val="007D78E1"/>
    <w:rsid w:val="007D794C"/>
    <w:rsid w:val="007D7D7C"/>
    <w:rsid w:val="007D7FBD"/>
    <w:rsid w:val="007E05B0"/>
    <w:rsid w:val="007E065C"/>
    <w:rsid w:val="007E0765"/>
    <w:rsid w:val="007E1BB2"/>
    <w:rsid w:val="007E1BD2"/>
    <w:rsid w:val="007E29D7"/>
    <w:rsid w:val="007E2FD5"/>
    <w:rsid w:val="007E325E"/>
    <w:rsid w:val="007E57F8"/>
    <w:rsid w:val="007E5AEF"/>
    <w:rsid w:val="007E66B7"/>
    <w:rsid w:val="007E6897"/>
    <w:rsid w:val="007E6F34"/>
    <w:rsid w:val="007E7962"/>
    <w:rsid w:val="007E7A11"/>
    <w:rsid w:val="007E7C84"/>
    <w:rsid w:val="007E7CE4"/>
    <w:rsid w:val="007F059A"/>
    <w:rsid w:val="007F121F"/>
    <w:rsid w:val="007F17A9"/>
    <w:rsid w:val="007F2169"/>
    <w:rsid w:val="007F4374"/>
    <w:rsid w:val="007F44B4"/>
    <w:rsid w:val="007F481C"/>
    <w:rsid w:val="007F4871"/>
    <w:rsid w:val="007F51E3"/>
    <w:rsid w:val="007F5A34"/>
    <w:rsid w:val="007F5F90"/>
    <w:rsid w:val="007F77C1"/>
    <w:rsid w:val="007F7D8D"/>
    <w:rsid w:val="00800DF7"/>
    <w:rsid w:val="008010FF"/>
    <w:rsid w:val="00802195"/>
    <w:rsid w:val="008024E9"/>
    <w:rsid w:val="00802B03"/>
    <w:rsid w:val="008048D4"/>
    <w:rsid w:val="00804CA3"/>
    <w:rsid w:val="00805F9E"/>
    <w:rsid w:val="0080647F"/>
    <w:rsid w:val="0080771B"/>
    <w:rsid w:val="00807B14"/>
    <w:rsid w:val="00807FEF"/>
    <w:rsid w:val="00811980"/>
    <w:rsid w:val="0081230D"/>
    <w:rsid w:val="008124DB"/>
    <w:rsid w:val="008124FE"/>
    <w:rsid w:val="00812ED5"/>
    <w:rsid w:val="0081325A"/>
    <w:rsid w:val="0081344C"/>
    <w:rsid w:val="00813AC8"/>
    <w:rsid w:val="0081430C"/>
    <w:rsid w:val="0081445F"/>
    <w:rsid w:val="008150D9"/>
    <w:rsid w:val="008151AD"/>
    <w:rsid w:val="0081527E"/>
    <w:rsid w:val="0081536F"/>
    <w:rsid w:val="00815B26"/>
    <w:rsid w:val="00815C6D"/>
    <w:rsid w:val="0081686D"/>
    <w:rsid w:val="00817548"/>
    <w:rsid w:val="008177D5"/>
    <w:rsid w:val="00817B0C"/>
    <w:rsid w:val="008204AD"/>
    <w:rsid w:val="0082050C"/>
    <w:rsid w:val="008226D1"/>
    <w:rsid w:val="00822F8F"/>
    <w:rsid w:val="00823484"/>
    <w:rsid w:val="00823896"/>
    <w:rsid w:val="00823A2B"/>
    <w:rsid w:val="00824032"/>
    <w:rsid w:val="0082466B"/>
    <w:rsid w:val="008249A9"/>
    <w:rsid w:val="00824D50"/>
    <w:rsid w:val="00824F1C"/>
    <w:rsid w:val="008252C2"/>
    <w:rsid w:val="00825A1B"/>
    <w:rsid w:val="00826C33"/>
    <w:rsid w:val="00826CE9"/>
    <w:rsid w:val="00826E67"/>
    <w:rsid w:val="00826F77"/>
    <w:rsid w:val="00830332"/>
    <w:rsid w:val="00830784"/>
    <w:rsid w:val="00830C78"/>
    <w:rsid w:val="008319F9"/>
    <w:rsid w:val="00832920"/>
    <w:rsid w:val="00833D80"/>
    <w:rsid w:val="00834874"/>
    <w:rsid w:val="0083526B"/>
    <w:rsid w:val="00835296"/>
    <w:rsid w:val="00835BC0"/>
    <w:rsid w:val="00835F82"/>
    <w:rsid w:val="00835FD6"/>
    <w:rsid w:val="0083679C"/>
    <w:rsid w:val="0083706C"/>
    <w:rsid w:val="00840ACB"/>
    <w:rsid w:val="008413F4"/>
    <w:rsid w:val="0084173F"/>
    <w:rsid w:val="008420E5"/>
    <w:rsid w:val="00844B60"/>
    <w:rsid w:val="00845186"/>
    <w:rsid w:val="00845666"/>
    <w:rsid w:val="00846095"/>
    <w:rsid w:val="0084610B"/>
    <w:rsid w:val="00846170"/>
    <w:rsid w:val="008462E9"/>
    <w:rsid w:val="00846783"/>
    <w:rsid w:val="008469C6"/>
    <w:rsid w:val="00847235"/>
    <w:rsid w:val="008474AA"/>
    <w:rsid w:val="008477BA"/>
    <w:rsid w:val="008501DC"/>
    <w:rsid w:val="00850276"/>
    <w:rsid w:val="00851227"/>
    <w:rsid w:val="00851388"/>
    <w:rsid w:val="00851819"/>
    <w:rsid w:val="00854142"/>
    <w:rsid w:val="00854600"/>
    <w:rsid w:val="00854BD1"/>
    <w:rsid w:val="00854D3D"/>
    <w:rsid w:val="0085557F"/>
    <w:rsid w:val="00856026"/>
    <w:rsid w:val="0085627F"/>
    <w:rsid w:val="00856A30"/>
    <w:rsid w:val="0085725E"/>
    <w:rsid w:val="008575A5"/>
    <w:rsid w:val="008577B1"/>
    <w:rsid w:val="008578ED"/>
    <w:rsid w:val="008579EC"/>
    <w:rsid w:val="008607C9"/>
    <w:rsid w:val="00860D00"/>
    <w:rsid w:val="00860E42"/>
    <w:rsid w:val="00861373"/>
    <w:rsid w:val="00861CB5"/>
    <w:rsid w:val="0086214D"/>
    <w:rsid w:val="00862207"/>
    <w:rsid w:val="00862494"/>
    <w:rsid w:val="00862D55"/>
    <w:rsid w:val="00863711"/>
    <w:rsid w:val="0086395A"/>
    <w:rsid w:val="00863A70"/>
    <w:rsid w:val="00864BDA"/>
    <w:rsid w:val="00865581"/>
    <w:rsid w:val="00865CDB"/>
    <w:rsid w:val="00865CE8"/>
    <w:rsid w:val="00867113"/>
    <w:rsid w:val="008672BB"/>
    <w:rsid w:val="00867312"/>
    <w:rsid w:val="00867909"/>
    <w:rsid w:val="00867E33"/>
    <w:rsid w:val="00870752"/>
    <w:rsid w:val="008710F7"/>
    <w:rsid w:val="00871300"/>
    <w:rsid w:val="00871AA8"/>
    <w:rsid w:val="00871B38"/>
    <w:rsid w:val="00872A70"/>
    <w:rsid w:val="0087337F"/>
    <w:rsid w:val="0087359B"/>
    <w:rsid w:val="008740AA"/>
    <w:rsid w:val="0087445A"/>
    <w:rsid w:val="0087470E"/>
    <w:rsid w:val="00874D22"/>
    <w:rsid w:val="00874EF6"/>
    <w:rsid w:val="0087524B"/>
    <w:rsid w:val="008754C4"/>
    <w:rsid w:val="00875920"/>
    <w:rsid w:val="00875BDE"/>
    <w:rsid w:val="00875C45"/>
    <w:rsid w:val="00875F7C"/>
    <w:rsid w:val="008766AA"/>
    <w:rsid w:val="00877393"/>
    <w:rsid w:val="0087757C"/>
    <w:rsid w:val="00881200"/>
    <w:rsid w:val="00881793"/>
    <w:rsid w:val="00882136"/>
    <w:rsid w:val="00882A4A"/>
    <w:rsid w:val="00882D35"/>
    <w:rsid w:val="00883002"/>
    <w:rsid w:val="00884FB8"/>
    <w:rsid w:val="00885907"/>
    <w:rsid w:val="00885C3B"/>
    <w:rsid w:val="00885E48"/>
    <w:rsid w:val="008861D4"/>
    <w:rsid w:val="008862FE"/>
    <w:rsid w:val="00886472"/>
    <w:rsid w:val="008864CE"/>
    <w:rsid w:val="00886814"/>
    <w:rsid w:val="00886F76"/>
    <w:rsid w:val="0088734D"/>
    <w:rsid w:val="0089020B"/>
    <w:rsid w:val="00891819"/>
    <w:rsid w:val="00891F77"/>
    <w:rsid w:val="0089205B"/>
    <w:rsid w:val="0089322E"/>
    <w:rsid w:val="0089343B"/>
    <w:rsid w:val="00893B1E"/>
    <w:rsid w:val="00893BEB"/>
    <w:rsid w:val="00894B7A"/>
    <w:rsid w:val="008950B7"/>
    <w:rsid w:val="00895AAC"/>
    <w:rsid w:val="00896453"/>
    <w:rsid w:val="0089691F"/>
    <w:rsid w:val="00896A52"/>
    <w:rsid w:val="00896B16"/>
    <w:rsid w:val="00897A55"/>
    <w:rsid w:val="00897C2B"/>
    <w:rsid w:val="008A100D"/>
    <w:rsid w:val="008A1C70"/>
    <w:rsid w:val="008A2914"/>
    <w:rsid w:val="008A2B12"/>
    <w:rsid w:val="008A3D47"/>
    <w:rsid w:val="008A4FAA"/>
    <w:rsid w:val="008A5091"/>
    <w:rsid w:val="008A5257"/>
    <w:rsid w:val="008A52F5"/>
    <w:rsid w:val="008A631E"/>
    <w:rsid w:val="008A685D"/>
    <w:rsid w:val="008A6E61"/>
    <w:rsid w:val="008A7800"/>
    <w:rsid w:val="008B01BD"/>
    <w:rsid w:val="008B0CDA"/>
    <w:rsid w:val="008B174E"/>
    <w:rsid w:val="008B1E42"/>
    <w:rsid w:val="008B25E1"/>
    <w:rsid w:val="008B2B25"/>
    <w:rsid w:val="008B30F9"/>
    <w:rsid w:val="008B383B"/>
    <w:rsid w:val="008B431F"/>
    <w:rsid w:val="008B508B"/>
    <w:rsid w:val="008B53DC"/>
    <w:rsid w:val="008B5F58"/>
    <w:rsid w:val="008B70E0"/>
    <w:rsid w:val="008B725D"/>
    <w:rsid w:val="008B765A"/>
    <w:rsid w:val="008B7840"/>
    <w:rsid w:val="008B7C32"/>
    <w:rsid w:val="008C03F5"/>
    <w:rsid w:val="008C0B18"/>
    <w:rsid w:val="008C1898"/>
    <w:rsid w:val="008C235A"/>
    <w:rsid w:val="008C2438"/>
    <w:rsid w:val="008C246A"/>
    <w:rsid w:val="008C28D1"/>
    <w:rsid w:val="008C3269"/>
    <w:rsid w:val="008C4B6B"/>
    <w:rsid w:val="008C4E45"/>
    <w:rsid w:val="008C4F04"/>
    <w:rsid w:val="008C5010"/>
    <w:rsid w:val="008C539A"/>
    <w:rsid w:val="008C5928"/>
    <w:rsid w:val="008C5B7F"/>
    <w:rsid w:val="008C65C5"/>
    <w:rsid w:val="008C690B"/>
    <w:rsid w:val="008C7D30"/>
    <w:rsid w:val="008C7D82"/>
    <w:rsid w:val="008D0073"/>
    <w:rsid w:val="008D02B3"/>
    <w:rsid w:val="008D0B08"/>
    <w:rsid w:val="008D10E7"/>
    <w:rsid w:val="008D14AE"/>
    <w:rsid w:val="008D1714"/>
    <w:rsid w:val="008D306A"/>
    <w:rsid w:val="008D4312"/>
    <w:rsid w:val="008D5F51"/>
    <w:rsid w:val="008D643D"/>
    <w:rsid w:val="008D6B5E"/>
    <w:rsid w:val="008D6F99"/>
    <w:rsid w:val="008D711D"/>
    <w:rsid w:val="008D784C"/>
    <w:rsid w:val="008E04C2"/>
    <w:rsid w:val="008E0AD1"/>
    <w:rsid w:val="008E1BC0"/>
    <w:rsid w:val="008E1F4D"/>
    <w:rsid w:val="008E28A2"/>
    <w:rsid w:val="008E3027"/>
    <w:rsid w:val="008E38A0"/>
    <w:rsid w:val="008E39E2"/>
    <w:rsid w:val="008E407C"/>
    <w:rsid w:val="008E4155"/>
    <w:rsid w:val="008E49A6"/>
    <w:rsid w:val="008E4D8E"/>
    <w:rsid w:val="008E4E69"/>
    <w:rsid w:val="008E56AC"/>
    <w:rsid w:val="008E56F2"/>
    <w:rsid w:val="008E6C54"/>
    <w:rsid w:val="008E72A4"/>
    <w:rsid w:val="008E734B"/>
    <w:rsid w:val="008E7A6B"/>
    <w:rsid w:val="008E7C11"/>
    <w:rsid w:val="008F0B07"/>
    <w:rsid w:val="008F0D09"/>
    <w:rsid w:val="008F11DA"/>
    <w:rsid w:val="008F11EF"/>
    <w:rsid w:val="008F16A2"/>
    <w:rsid w:val="008F1FF6"/>
    <w:rsid w:val="008F2375"/>
    <w:rsid w:val="008F2C21"/>
    <w:rsid w:val="008F2CFC"/>
    <w:rsid w:val="008F3348"/>
    <w:rsid w:val="008F355B"/>
    <w:rsid w:val="008F48AE"/>
    <w:rsid w:val="008F558C"/>
    <w:rsid w:val="008F568D"/>
    <w:rsid w:val="008F5C14"/>
    <w:rsid w:val="008F6902"/>
    <w:rsid w:val="008F6932"/>
    <w:rsid w:val="008F69EC"/>
    <w:rsid w:val="008F6B93"/>
    <w:rsid w:val="008F75ED"/>
    <w:rsid w:val="008F7600"/>
    <w:rsid w:val="009002EC"/>
    <w:rsid w:val="009005C0"/>
    <w:rsid w:val="00900D0A"/>
    <w:rsid w:val="00900E81"/>
    <w:rsid w:val="00901F05"/>
    <w:rsid w:val="00903887"/>
    <w:rsid w:val="00903CE3"/>
    <w:rsid w:val="009043AC"/>
    <w:rsid w:val="00904426"/>
    <w:rsid w:val="009054A0"/>
    <w:rsid w:val="009067E5"/>
    <w:rsid w:val="009070A5"/>
    <w:rsid w:val="0090736E"/>
    <w:rsid w:val="009075FB"/>
    <w:rsid w:val="00907829"/>
    <w:rsid w:val="009105DF"/>
    <w:rsid w:val="009115B4"/>
    <w:rsid w:val="0091190E"/>
    <w:rsid w:val="00912C46"/>
    <w:rsid w:val="0091329F"/>
    <w:rsid w:val="009135A5"/>
    <w:rsid w:val="009136DD"/>
    <w:rsid w:val="009136F0"/>
    <w:rsid w:val="00913BDB"/>
    <w:rsid w:val="00914482"/>
    <w:rsid w:val="0091455B"/>
    <w:rsid w:val="00914B7B"/>
    <w:rsid w:val="009163F2"/>
    <w:rsid w:val="00916881"/>
    <w:rsid w:val="00916950"/>
    <w:rsid w:val="00916AFB"/>
    <w:rsid w:val="00916DB0"/>
    <w:rsid w:val="0091758E"/>
    <w:rsid w:val="0092036A"/>
    <w:rsid w:val="00920554"/>
    <w:rsid w:val="0092102B"/>
    <w:rsid w:val="00921412"/>
    <w:rsid w:val="009214A9"/>
    <w:rsid w:val="0092177A"/>
    <w:rsid w:val="00922D5B"/>
    <w:rsid w:val="00923A42"/>
    <w:rsid w:val="00923AF0"/>
    <w:rsid w:val="00923D02"/>
    <w:rsid w:val="00923FC7"/>
    <w:rsid w:val="00924ED9"/>
    <w:rsid w:val="0092529C"/>
    <w:rsid w:val="00925E92"/>
    <w:rsid w:val="009265E2"/>
    <w:rsid w:val="00927223"/>
    <w:rsid w:val="00927A8D"/>
    <w:rsid w:val="00927DC6"/>
    <w:rsid w:val="00930497"/>
    <w:rsid w:val="00930723"/>
    <w:rsid w:val="00930848"/>
    <w:rsid w:val="00931582"/>
    <w:rsid w:val="00931BE3"/>
    <w:rsid w:val="00932813"/>
    <w:rsid w:val="00932A1F"/>
    <w:rsid w:val="00933432"/>
    <w:rsid w:val="00933519"/>
    <w:rsid w:val="00933F08"/>
    <w:rsid w:val="00934001"/>
    <w:rsid w:val="00934B44"/>
    <w:rsid w:val="00934E15"/>
    <w:rsid w:val="00936726"/>
    <w:rsid w:val="00937F32"/>
    <w:rsid w:val="0093F51E"/>
    <w:rsid w:val="00940064"/>
    <w:rsid w:val="009400A6"/>
    <w:rsid w:val="009402D1"/>
    <w:rsid w:val="009407EC"/>
    <w:rsid w:val="0094193A"/>
    <w:rsid w:val="009419B8"/>
    <w:rsid w:val="00942ACA"/>
    <w:rsid w:val="00943113"/>
    <w:rsid w:val="009433DF"/>
    <w:rsid w:val="00943513"/>
    <w:rsid w:val="00943975"/>
    <w:rsid w:val="00943E1D"/>
    <w:rsid w:val="00943F03"/>
    <w:rsid w:val="0094458B"/>
    <w:rsid w:val="009448A4"/>
    <w:rsid w:val="00945A42"/>
    <w:rsid w:val="00945E24"/>
    <w:rsid w:val="009469E8"/>
    <w:rsid w:val="009469FB"/>
    <w:rsid w:val="00946AF2"/>
    <w:rsid w:val="00946E27"/>
    <w:rsid w:val="0095025D"/>
    <w:rsid w:val="00950DF3"/>
    <w:rsid w:val="00953378"/>
    <w:rsid w:val="00953713"/>
    <w:rsid w:val="0095464C"/>
    <w:rsid w:val="00954ADA"/>
    <w:rsid w:val="00955776"/>
    <w:rsid w:val="00955EC2"/>
    <w:rsid w:val="00956EEE"/>
    <w:rsid w:val="00957A9F"/>
    <w:rsid w:val="00960939"/>
    <w:rsid w:val="00960D50"/>
    <w:rsid w:val="00961FCC"/>
    <w:rsid w:val="00962C8C"/>
    <w:rsid w:val="00962DA3"/>
    <w:rsid w:val="00962FA6"/>
    <w:rsid w:val="00963370"/>
    <w:rsid w:val="00963583"/>
    <w:rsid w:val="00963BDD"/>
    <w:rsid w:val="00964640"/>
    <w:rsid w:val="009648A9"/>
    <w:rsid w:val="00967019"/>
    <w:rsid w:val="00967CD2"/>
    <w:rsid w:val="00970927"/>
    <w:rsid w:val="0097109C"/>
    <w:rsid w:val="00971266"/>
    <w:rsid w:val="009715BD"/>
    <w:rsid w:val="00972424"/>
    <w:rsid w:val="00972554"/>
    <w:rsid w:val="009731DC"/>
    <w:rsid w:val="0097354D"/>
    <w:rsid w:val="00973580"/>
    <w:rsid w:val="00973DA7"/>
    <w:rsid w:val="009743C7"/>
    <w:rsid w:val="0097445D"/>
    <w:rsid w:val="0097476B"/>
    <w:rsid w:val="00974BE9"/>
    <w:rsid w:val="00975178"/>
    <w:rsid w:val="0097540F"/>
    <w:rsid w:val="00975814"/>
    <w:rsid w:val="00975CB0"/>
    <w:rsid w:val="009769CA"/>
    <w:rsid w:val="00976A52"/>
    <w:rsid w:val="00976CEF"/>
    <w:rsid w:val="00977094"/>
    <w:rsid w:val="0097720F"/>
    <w:rsid w:val="00977767"/>
    <w:rsid w:val="00977CF6"/>
    <w:rsid w:val="00981818"/>
    <w:rsid w:val="009821BB"/>
    <w:rsid w:val="00982764"/>
    <w:rsid w:val="00982825"/>
    <w:rsid w:val="00983467"/>
    <w:rsid w:val="00983EAD"/>
    <w:rsid w:val="009843EA"/>
    <w:rsid w:val="00984B28"/>
    <w:rsid w:val="009852A2"/>
    <w:rsid w:val="0098551C"/>
    <w:rsid w:val="009861EC"/>
    <w:rsid w:val="0098655E"/>
    <w:rsid w:val="00987321"/>
    <w:rsid w:val="0098755D"/>
    <w:rsid w:val="00987AFA"/>
    <w:rsid w:val="009901A2"/>
    <w:rsid w:val="00990E21"/>
    <w:rsid w:val="00990F6D"/>
    <w:rsid w:val="00990FE8"/>
    <w:rsid w:val="00991E29"/>
    <w:rsid w:val="00992A5E"/>
    <w:rsid w:val="0099305B"/>
    <w:rsid w:val="00993173"/>
    <w:rsid w:val="009931F7"/>
    <w:rsid w:val="00994676"/>
    <w:rsid w:val="00994A3A"/>
    <w:rsid w:val="00995DA7"/>
    <w:rsid w:val="00995F19"/>
    <w:rsid w:val="00997475"/>
    <w:rsid w:val="00997AB3"/>
    <w:rsid w:val="009A0126"/>
    <w:rsid w:val="009A0D24"/>
    <w:rsid w:val="009A13BC"/>
    <w:rsid w:val="009A1541"/>
    <w:rsid w:val="009A187D"/>
    <w:rsid w:val="009A18C9"/>
    <w:rsid w:val="009A1CA0"/>
    <w:rsid w:val="009A2E4B"/>
    <w:rsid w:val="009A3090"/>
    <w:rsid w:val="009A49A6"/>
    <w:rsid w:val="009A4C6A"/>
    <w:rsid w:val="009A5AF1"/>
    <w:rsid w:val="009A660F"/>
    <w:rsid w:val="009A6AF3"/>
    <w:rsid w:val="009A6C51"/>
    <w:rsid w:val="009A7789"/>
    <w:rsid w:val="009B072B"/>
    <w:rsid w:val="009B163A"/>
    <w:rsid w:val="009B1A3F"/>
    <w:rsid w:val="009B1E9B"/>
    <w:rsid w:val="009B221E"/>
    <w:rsid w:val="009B24A0"/>
    <w:rsid w:val="009B2613"/>
    <w:rsid w:val="009B2CAF"/>
    <w:rsid w:val="009B2CE7"/>
    <w:rsid w:val="009B3192"/>
    <w:rsid w:val="009B36B5"/>
    <w:rsid w:val="009B3BB2"/>
    <w:rsid w:val="009B3C6B"/>
    <w:rsid w:val="009B3CD3"/>
    <w:rsid w:val="009B51AA"/>
    <w:rsid w:val="009B5399"/>
    <w:rsid w:val="009B5531"/>
    <w:rsid w:val="009B558E"/>
    <w:rsid w:val="009B5CDB"/>
    <w:rsid w:val="009B6E22"/>
    <w:rsid w:val="009B6F92"/>
    <w:rsid w:val="009B76CF"/>
    <w:rsid w:val="009B7A77"/>
    <w:rsid w:val="009C001D"/>
    <w:rsid w:val="009C02A4"/>
    <w:rsid w:val="009C06C0"/>
    <w:rsid w:val="009C1497"/>
    <w:rsid w:val="009C1A02"/>
    <w:rsid w:val="009C207E"/>
    <w:rsid w:val="009C22B0"/>
    <w:rsid w:val="009C234D"/>
    <w:rsid w:val="009C2F4C"/>
    <w:rsid w:val="009C2FDC"/>
    <w:rsid w:val="009C4364"/>
    <w:rsid w:val="009C5318"/>
    <w:rsid w:val="009C5C5A"/>
    <w:rsid w:val="009C6C29"/>
    <w:rsid w:val="009C79A3"/>
    <w:rsid w:val="009D2078"/>
    <w:rsid w:val="009D24CB"/>
    <w:rsid w:val="009D2735"/>
    <w:rsid w:val="009D2901"/>
    <w:rsid w:val="009D4ADE"/>
    <w:rsid w:val="009D4C29"/>
    <w:rsid w:val="009D4C4D"/>
    <w:rsid w:val="009D5B08"/>
    <w:rsid w:val="009D741F"/>
    <w:rsid w:val="009D75B3"/>
    <w:rsid w:val="009E01D3"/>
    <w:rsid w:val="009E06D7"/>
    <w:rsid w:val="009E0D0A"/>
    <w:rsid w:val="009E213B"/>
    <w:rsid w:val="009E298B"/>
    <w:rsid w:val="009E337A"/>
    <w:rsid w:val="009E36EE"/>
    <w:rsid w:val="009E389B"/>
    <w:rsid w:val="009E3CBB"/>
    <w:rsid w:val="009E4B10"/>
    <w:rsid w:val="009E508B"/>
    <w:rsid w:val="009E5D17"/>
    <w:rsid w:val="009E7A1F"/>
    <w:rsid w:val="009F0154"/>
    <w:rsid w:val="009F0BF1"/>
    <w:rsid w:val="009F13DE"/>
    <w:rsid w:val="009F1C6A"/>
    <w:rsid w:val="009F216C"/>
    <w:rsid w:val="009F2868"/>
    <w:rsid w:val="009F2927"/>
    <w:rsid w:val="009F2928"/>
    <w:rsid w:val="009F2DDB"/>
    <w:rsid w:val="009F3059"/>
    <w:rsid w:val="009F30AE"/>
    <w:rsid w:val="009F3519"/>
    <w:rsid w:val="009F4E5F"/>
    <w:rsid w:val="009F5C7D"/>
    <w:rsid w:val="009F664F"/>
    <w:rsid w:val="009F672C"/>
    <w:rsid w:val="009F67AD"/>
    <w:rsid w:val="009F70B8"/>
    <w:rsid w:val="009F7430"/>
    <w:rsid w:val="009F76D6"/>
    <w:rsid w:val="00A00478"/>
    <w:rsid w:val="00A00AE6"/>
    <w:rsid w:val="00A00F44"/>
    <w:rsid w:val="00A00F86"/>
    <w:rsid w:val="00A0136F"/>
    <w:rsid w:val="00A01504"/>
    <w:rsid w:val="00A0254F"/>
    <w:rsid w:val="00A02BEF"/>
    <w:rsid w:val="00A03E56"/>
    <w:rsid w:val="00A04C9E"/>
    <w:rsid w:val="00A0542C"/>
    <w:rsid w:val="00A055F1"/>
    <w:rsid w:val="00A05A6A"/>
    <w:rsid w:val="00A0651D"/>
    <w:rsid w:val="00A068BB"/>
    <w:rsid w:val="00A07BFE"/>
    <w:rsid w:val="00A1031E"/>
    <w:rsid w:val="00A103A0"/>
    <w:rsid w:val="00A10F29"/>
    <w:rsid w:val="00A12547"/>
    <w:rsid w:val="00A12C92"/>
    <w:rsid w:val="00A12DA7"/>
    <w:rsid w:val="00A1371E"/>
    <w:rsid w:val="00A13731"/>
    <w:rsid w:val="00A142D6"/>
    <w:rsid w:val="00A14D06"/>
    <w:rsid w:val="00A1516F"/>
    <w:rsid w:val="00A156EF"/>
    <w:rsid w:val="00A164B9"/>
    <w:rsid w:val="00A16EE8"/>
    <w:rsid w:val="00A17D60"/>
    <w:rsid w:val="00A2057A"/>
    <w:rsid w:val="00A205C2"/>
    <w:rsid w:val="00A20FB7"/>
    <w:rsid w:val="00A2172E"/>
    <w:rsid w:val="00A21758"/>
    <w:rsid w:val="00A21FE9"/>
    <w:rsid w:val="00A22B4F"/>
    <w:rsid w:val="00A22E16"/>
    <w:rsid w:val="00A230E0"/>
    <w:rsid w:val="00A23203"/>
    <w:rsid w:val="00A234A7"/>
    <w:rsid w:val="00A235BD"/>
    <w:rsid w:val="00A2380B"/>
    <w:rsid w:val="00A24B6C"/>
    <w:rsid w:val="00A25C1E"/>
    <w:rsid w:val="00A26F92"/>
    <w:rsid w:val="00A27C28"/>
    <w:rsid w:val="00A302AD"/>
    <w:rsid w:val="00A30556"/>
    <w:rsid w:val="00A3059D"/>
    <w:rsid w:val="00A30C81"/>
    <w:rsid w:val="00A30E65"/>
    <w:rsid w:val="00A31278"/>
    <w:rsid w:val="00A31AA4"/>
    <w:rsid w:val="00A31C64"/>
    <w:rsid w:val="00A32653"/>
    <w:rsid w:val="00A32A42"/>
    <w:rsid w:val="00A32EA1"/>
    <w:rsid w:val="00A3343B"/>
    <w:rsid w:val="00A3635E"/>
    <w:rsid w:val="00A36370"/>
    <w:rsid w:val="00A3687C"/>
    <w:rsid w:val="00A36DA6"/>
    <w:rsid w:val="00A36F8A"/>
    <w:rsid w:val="00A37888"/>
    <w:rsid w:val="00A37E10"/>
    <w:rsid w:val="00A41956"/>
    <w:rsid w:val="00A42256"/>
    <w:rsid w:val="00A424DE"/>
    <w:rsid w:val="00A425F3"/>
    <w:rsid w:val="00A429F0"/>
    <w:rsid w:val="00A431C7"/>
    <w:rsid w:val="00A4327A"/>
    <w:rsid w:val="00A43ACE"/>
    <w:rsid w:val="00A441F5"/>
    <w:rsid w:val="00A44303"/>
    <w:rsid w:val="00A445D9"/>
    <w:rsid w:val="00A4475A"/>
    <w:rsid w:val="00A44AC5"/>
    <w:rsid w:val="00A456A1"/>
    <w:rsid w:val="00A466D1"/>
    <w:rsid w:val="00A468B3"/>
    <w:rsid w:val="00A47B19"/>
    <w:rsid w:val="00A47B6C"/>
    <w:rsid w:val="00A47EBA"/>
    <w:rsid w:val="00A50113"/>
    <w:rsid w:val="00A50E7B"/>
    <w:rsid w:val="00A51023"/>
    <w:rsid w:val="00A5162E"/>
    <w:rsid w:val="00A5262D"/>
    <w:rsid w:val="00A531D2"/>
    <w:rsid w:val="00A54F87"/>
    <w:rsid w:val="00A562CF"/>
    <w:rsid w:val="00A568AC"/>
    <w:rsid w:val="00A56CE4"/>
    <w:rsid w:val="00A56F07"/>
    <w:rsid w:val="00A56F49"/>
    <w:rsid w:val="00A571A8"/>
    <w:rsid w:val="00A57E3E"/>
    <w:rsid w:val="00A603CD"/>
    <w:rsid w:val="00A608FB"/>
    <w:rsid w:val="00A62225"/>
    <w:rsid w:val="00A6234E"/>
    <w:rsid w:val="00A63140"/>
    <w:rsid w:val="00A632DD"/>
    <w:rsid w:val="00A637A4"/>
    <w:rsid w:val="00A642B1"/>
    <w:rsid w:val="00A64ADE"/>
    <w:rsid w:val="00A65910"/>
    <w:rsid w:val="00A65A17"/>
    <w:rsid w:val="00A6612D"/>
    <w:rsid w:val="00A665E8"/>
    <w:rsid w:val="00A66902"/>
    <w:rsid w:val="00A67402"/>
    <w:rsid w:val="00A67FD2"/>
    <w:rsid w:val="00A70334"/>
    <w:rsid w:val="00A70A0A"/>
    <w:rsid w:val="00A70E4B"/>
    <w:rsid w:val="00A70F42"/>
    <w:rsid w:val="00A714F9"/>
    <w:rsid w:val="00A719DF"/>
    <w:rsid w:val="00A72B9C"/>
    <w:rsid w:val="00A73E51"/>
    <w:rsid w:val="00A744AC"/>
    <w:rsid w:val="00A74D30"/>
    <w:rsid w:val="00A76173"/>
    <w:rsid w:val="00A76576"/>
    <w:rsid w:val="00A77358"/>
    <w:rsid w:val="00A77BBD"/>
    <w:rsid w:val="00A77DC8"/>
    <w:rsid w:val="00A80A59"/>
    <w:rsid w:val="00A80CCA"/>
    <w:rsid w:val="00A810CE"/>
    <w:rsid w:val="00A83283"/>
    <w:rsid w:val="00A836A0"/>
    <w:rsid w:val="00A83AFC"/>
    <w:rsid w:val="00A83C71"/>
    <w:rsid w:val="00A83E47"/>
    <w:rsid w:val="00A8525C"/>
    <w:rsid w:val="00A86C83"/>
    <w:rsid w:val="00A90377"/>
    <w:rsid w:val="00A9081A"/>
    <w:rsid w:val="00A90F0B"/>
    <w:rsid w:val="00A926DE"/>
    <w:rsid w:val="00A92C66"/>
    <w:rsid w:val="00A930B8"/>
    <w:rsid w:val="00A93AE0"/>
    <w:rsid w:val="00A93E27"/>
    <w:rsid w:val="00A9400E"/>
    <w:rsid w:val="00A9484A"/>
    <w:rsid w:val="00A9533A"/>
    <w:rsid w:val="00A96417"/>
    <w:rsid w:val="00A97BAF"/>
    <w:rsid w:val="00A9EE14"/>
    <w:rsid w:val="00AA000C"/>
    <w:rsid w:val="00AA0DB0"/>
    <w:rsid w:val="00AA19D1"/>
    <w:rsid w:val="00AA249C"/>
    <w:rsid w:val="00AA2D94"/>
    <w:rsid w:val="00AA343B"/>
    <w:rsid w:val="00AA3461"/>
    <w:rsid w:val="00AA37BC"/>
    <w:rsid w:val="00AA3FCE"/>
    <w:rsid w:val="00AA41D2"/>
    <w:rsid w:val="00AA4826"/>
    <w:rsid w:val="00AA48B3"/>
    <w:rsid w:val="00AA5B69"/>
    <w:rsid w:val="00AA5D65"/>
    <w:rsid w:val="00AA612F"/>
    <w:rsid w:val="00AA657A"/>
    <w:rsid w:val="00AA685C"/>
    <w:rsid w:val="00AA72F2"/>
    <w:rsid w:val="00AAE68B"/>
    <w:rsid w:val="00AB045B"/>
    <w:rsid w:val="00AB0944"/>
    <w:rsid w:val="00AB0CBB"/>
    <w:rsid w:val="00AB1CBA"/>
    <w:rsid w:val="00AB1E85"/>
    <w:rsid w:val="00AB226B"/>
    <w:rsid w:val="00AB22BE"/>
    <w:rsid w:val="00AB2A4F"/>
    <w:rsid w:val="00AB2BF4"/>
    <w:rsid w:val="00AB3531"/>
    <w:rsid w:val="00AB36C1"/>
    <w:rsid w:val="00AB36F3"/>
    <w:rsid w:val="00AB4098"/>
    <w:rsid w:val="00AB4780"/>
    <w:rsid w:val="00AB4AF2"/>
    <w:rsid w:val="00AB51F2"/>
    <w:rsid w:val="00AB54CF"/>
    <w:rsid w:val="00AB5F27"/>
    <w:rsid w:val="00AB672D"/>
    <w:rsid w:val="00AB7185"/>
    <w:rsid w:val="00AB75D9"/>
    <w:rsid w:val="00AB7BDB"/>
    <w:rsid w:val="00AC02BF"/>
    <w:rsid w:val="00AC0A9A"/>
    <w:rsid w:val="00AC0E13"/>
    <w:rsid w:val="00AC0EB7"/>
    <w:rsid w:val="00AC0EDA"/>
    <w:rsid w:val="00AC17AD"/>
    <w:rsid w:val="00AC1E3D"/>
    <w:rsid w:val="00AC1F4F"/>
    <w:rsid w:val="00AC22D6"/>
    <w:rsid w:val="00AC23A2"/>
    <w:rsid w:val="00AC3347"/>
    <w:rsid w:val="00AC35AE"/>
    <w:rsid w:val="00AC38DC"/>
    <w:rsid w:val="00AC6573"/>
    <w:rsid w:val="00AC679F"/>
    <w:rsid w:val="00AC6AA9"/>
    <w:rsid w:val="00AC6CFA"/>
    <w:rsid w:val="00AC75EF"/>
    <w:rsid w:val="00AC78DE"/>
    <w:rsid w:val="00AC7C41"/>
    <w:rsid w:val="00AD02AF"/>
    <w:rsid w:val="00AD075C"/>
    <w:rsid w:val="00AD0F52"/>
    <w:rsid w:val="00AD0FFE"/>
    <w:rsid w:val="00AD176B"/>
    <w:rsid w:val="00AD189D"/>
    <w:rsid w:val="00AD18DC"/>
    <w:rsid w:val="00AD2392"/>
    <w:rsid w:val="00AD2D4C"/>
    <w:rsid w:val="00AD38AF"/>
    <w:rsid w:val="00AD4597"/>
    <w:rsid w:val="00AD4B1A"/>
    <w:rsid w:val="00AD4ECE"/>
    <w:rsid w:val="00AD5BFC"/>
    <w:rsid w:val="00AD6807"/>
    <w:rsid w:val="00AD6C29"/>
    <w:rsid w:val="00AD6ED5"/>
    <w:rsid w:val="00AD6F6E"/>
    <w:rsid w:val="00AD7572"/>
    <w:rsid w:val="00AD7E0F"/>
    <w:rsid w:val="00AE09C6"/>
    <w:rsid w:val="00AE0D03"/>
    <w:rsid w:val="00AE0FCF"/>
    <w:rsid w:val="00AE1749"/>
    <w:rsid w:val="00AE19BE"/>
    <w:rsid w:val="00AE1C46"/>
    <w:rsid w:val="00AE21DD"/>
    <w:rsid w:val="00AE2357"/>
    <w:rsid w:val="00AE2744"/>
    <w:rsid w:val="00AE30DF"/>
    <w:rsid w:val="00AE327F"/>
    <w:rsid w:val="00AE424B"/>
    <w:rsid w:val="00AE45C7"/>
    <w:rsid w:val="00AE4B46"/>
    <w:rsid w:val="00AE4E7F"/>
    <w:rsid w:val="00AE526B"/>
    <w:rsid w:val="00AE5E61"/>
    <w:rsid w:val="00AE624D"/>
    <w:rsid w:val="00AE6A8D"/>
    <w:rsid w:val="00AE70B9"/>
    <w:rsid w:val="00AE7BE0"/>
    <w:rsid w:val="00AF01DE"/>
    <w:rsid w:val="00AF037C"/>
    <w:rsid w:val="00AF1FAB"/>
    <w:rsid w:val="00AF29AA"/>
    <w:rsid w:val="00AF431A"/>
    <w:rsid w:val="00AF46FA"/>
    <w:rsid w:val="00AF47B6"/>
    <w:rsid w:val="00AF490D"/>
    <w:rsid w:val="00AF598D"/>
    <w:rsid w:val="00AF5CD3"/>
    <w:rsid w:val="00AF69CB"/>
    <w:rsid w:val="00AF6A5D"/>
    <w:rsid w:val="00AF7204"/>
    <w:rsid w:val="00AF721E"/>
    <w:rsid w:val="00AF7D7A"/>
    <w:rsid w:val="00AF7E5E"/>
    <w:rsid w:val="00B00054"/>
    <w:rsid w:val="00B008F4"/>
    <w:rsid w:val="00B00E20"/>
    <w:rsid w:val="00B00ED6"/>
    <w:rsid w:val="00B01602"/>
    <w:rsid w:val="00B01928"/>
    <w:rsid w:val="00B01A4E"/>
    <w:rsid w:val="00B0284F"/>
    <w:rsid w:val="00B039A0"/>
    <w:rsid w:val="00B03B16"/>
    <w:rsid w:val="00B03F2D"/>
    <w:rsid w:val="00B04B40"/>
    <w:rsid w:val="00B04CF1"/>
    <w:rsid w:val="00B05BE9"/>
    <w:rsid w:val="00B05BEB"/>
    <w:rsid w:val="00B06008"/>
    <w:rsid w:val="00B06C04"/>
    <w:rsid w:val="00B071EE"/>
    <w:rsid w:val="00B0739F"/>
    <w:rsid w:val="00B07749"/>
    <w:rsid w:val="00B07ACF"/>
    <w:rsid w:val="00B07CFC"/>
    <w:rsid w:val="00B10407"/>
    <w:rsid w:val="00B107A3"/>
    <w:rsid w:val="00B10DDD"/>
    <w:rsid w:val="00B10F56"/>
    <w:rsid w:val="00B110E3"/>
    <w:rsid w:val="00B11181"/>
    <w:rsid w:val="00B111A2"/>
    <w:rsid w:val="00B125AD"/>
    <w:rsid w:val="00B12CAA"/>
    <w:rsid w:val="00B143B9"/>
    <w:rsid w:val="00B14CC5"/>
    <w:rsid w:val="00B1713D"/>
    <w:rsid w:val="00B17A8C"/>
    <w:rsid w:val="00B17E6C"/>
    <w:rsid w:val="00B2056A"/>
    <w:rsid w:val="00B208B9"/>
    <w:rsid w:val="00B21FF4"/>
    <w:rsid w:val="00B226F9"/>
    <w:rsid w:val="00B22C65"/>
    <w:rsid w:val="00B23C8B"/>
    <w:rsid w:val="00B2419F"/>
    <w:rsid w:val="00B2430B"/>
    <w:rsid w:val="00B267E3"/>
    <w:rsid w:val="00B26AB7"/>
    <w:rsid w:val="00B27DFB"/>
    <w:rsid w:val="00B300E5"/>
    <w:rsid w:val="00B30924"/>
    <w:rsid w:val="00B30D34"/>
    <w:rsid w:val="00B3133A"/>
    <w:rsid w:val="00B316EA"/>
    <w:rsid w:val="00B31E8E"/>
    <w:rsid w:val="00B32AD5"/>
    <w:rsid w:val="00B32BA2"/>
    <w:rsid w:val="00B33104"/>
    <w:rsid w:val="00B339A4"/>
    <w:rsid w:val="00B33B0E"/>
    <w:rsid w:val="00B33DC0"/>
    <w:rsid w:val="00B34A53"/>
    <w:rsid w:val="00B34B70"/>
    <w:rsid w:val="00B35632"/>
    <w:rsid w:val="00B36ECF"/>
    <w:rsid w:val="00B3745D"/>
    <w:rsid w:val="00B378F8"/>
    <w:rsid w:val="00B420A2"/>
    <w:rsid w:val="00B43D27"/>
    <w:rsid w:val="00B43E3E"/>
    <w:rsid w:val="00B441A8"/>
    <w:rsid w:val="00B44CBC"/>
    <w:rsid w:val="00B460E1"/>
    <w:rsid w:val="00B46609"/>
    <w:rsid w:val="00B467D6"/>
    <w:rsid w:val="00B50E14"/>
    <w:rsid w:val="00B51545"/>
    <w:rsid w:val="00B520CD"/>
    <w:rsid w:val="00B54B6C"/>
    <w:rsid w:val="00B5562A"/>
    <w:rsid w:val="00B55BD4"/>
    <w:rsid w:val="00B55DAB"/>
    <w:rsid w:val="00B5628C"/>
    <w:rsid w:val="00B5754F"/>
    <w:rsid w:val="00B57B93"/>
    <w:rsid w:val="00B60900"/>
    <w:rsid w:val="00B6124A"/>
    <w:rsid w:val="00B6233B"/>
    <w:rsid w:val="00B625A2"/>
    <w:rsid w:val="00B62AFA"/>
    <w:rsid w:val="00B62D0B"/>
    <w:rsid w:val="00B63DF9"/>
    <w:rsid w:val="00B647E8"/>
    <w:rsid w:val="00B64B75"/>
    <w:rsid w:val="00B64C3B"/>
    <w:rsid w:val="00B65B11"/>
    <w:rsid w:val="00B669A5"/>
    <w:rsid w:val="00B67153"/>
    <w:rsid w:val="00B67ECD"/>
    <w:rsid w:val="00B70859"/>
    <w:rsid w:val="00B70B75"/>
    <w:rsid w:val="00B70D89"/>
    <w:rsid w:val="00B715D2"/>
    <w:rsid w:val="00B727B2"/>
    <w:rsid w:val="00B73677"/>
    <w:rsid w:val="00B74B49"/>
    <w:rsid w:val="00B762A8"/>
    <w:rsid w:val="00B76455"/>
    <w:rsid w:val="00B77DCF"/>
    <w:rsid w:val="00B77E5E"/>
    <w:rsid w:val="00B8012D"/>
    <w:rsid w:val="00B8120E"/>
    <w:rsid w:val="00B816AB"/>
    <w:rsid w:val="00B81CBB"/>
    <w:rsid w:val="00B82099"/>
    <w:rsid w:val="00B8243B"/>
    <w:rsid w:val="00B8284A"/>
    <w:rsid w:val="00B82DAD"/>
    <w:rsid w:val="00B83267"/>
    <w:rsid w:val="00B83288"/>
    <w:rsid w:val="00B835F8"/>
    <w:rsid w:val="00B837EB"/>
    <w:rsid w:val="00B83ABC"/>
    <w:rsid w:val="00B84824"/>
    <w:rsid w:val="00B84AEA"/>
    <w:rsid w:val="00B8569B"/>
    <w:rsid w:val="00B90296"/>
    <w:rsid w:val="00B90491"/>
    <w:rsid w:val="00B90597"/>
    <w:rsid w:val="00B910AC"/>
    <w:rsid w:val="00B91766"/>
    <w:rsid w:val="00B91971"/>
    <w:rsid w:val="00B925FA"/>
    <w:rsid w:val="00B92EF7"/>
    <w:rsid w:val="00B92F95"/>
    <w:rsid w:val="00B93FFB"/>
    <w:rsid w:val="00B943FE"/>
    <w:rsid w:val="00B94507"/>
    <w:rsid w:val="00B94718"/>
    <w:rsid w:val="00B95054"/>
    <w:rsid w:val="00B9581D"/>
    <w:rsid w:val="00B95A20"/>
    <w:rsid w:val="00B970DA"/>
    <w:rsid w:val="00B9759E"/>
    <w:rsid w:val="00BA0104"/>
    <w:rsid w:val="00BA125F"/>
    <w:rsid w:val="00BA137E"/>
    <w:rsid w:val="00BA2945"/>
    <w:rsid w:val="00BA2A4F"/>
    <w:rsid w:val="00BA3072"/>
    <w:rsid w:val="00BA30D1"/>
    <w:rsid w:val="00BA3974"/>
    <w:rsid w:val="00BA4646"/>
    <w:rsid w:val="00BA4ABA"/>
    <w:rsid w:val="00BA5510"/>
    <w:rsid w:val="00BA5B05"/>
    <w:rsid w:val="00BA5D5A"/>
    <w:rsid w:val="00BA5EEE"/>
    <w:rsid w:val="00BA65AC"/>
    <w:rsid w:val="00BA6D23"/>
    <w:rsid w:val="00BA6E14"/>
    <w:rsid w:val="00BA7238"/>
    <w:rsid w:val="00BA75D9"/>
    <w:rsid w:val="00BA786A"/>
    <w:rsid w:val="00BA7F06"/>
    <w:rsid w:val="00BA7F9D"/>
    <w:rsid w:val="00BB11BA"/>
    <w:rsid w:val="00BB11C6"/>
    <w:rsid w:val="00BB1F33"/>
    <w:rsid w:val="00BB320D"/>
    <w:rsid w:val="00BB5343"/>
    <w:rsid w:val="00BB5F6C"/>
    <w:rsid w:val="00BB695F"/>
    <w:rsid w:val="00BB78C7"/>
    <w:rsid w:val="00BB79D7"/>
    <w:rsid w:val="00BC0F4E"/>
    <w:rsid w:val="00BC1C6F"/>
    <w:rsid w:val="00BC1CEE"/>
    <w:rsid w:val="00BC2C3C"/>
    <w:rsid w:val="00BC38C7"/>
    <w:rsid w:val="00BC395D"/>
    <w:rsid w:val="00BC4444"/>
    <w:rsid w:val="00BC49BD"/>
    <w:rsid w:val="00BC49F2"/>
    <w:rsid w:val="00BC6AE0"/>
    <w:rsid w:val="00BC6C2B"/>
    <w:rsid w:val="00BC7181"/>
    <w:rsid w:val="00BC743D"/>
    <w:rsid w:val="00BD0ADD"/>
    <w:rsid w:val="00BD0D9B"/>
    <w:rsid w:val="00BD2570"/>
    <w:rsid w:val="00BD2CC9"/>
    <w:rsid w:val="00BD3DF1"/>
    <w:rsid w:val="00BD4A56"/>
    <w:rsid w:val="00BD5307"/>
    <w:rsid w:val="00BD58C4"/>
    <w:rsid w:val="00BD59F3"/>
    <w:rsid w:val="00BD6783"/>
    <w:rsid w:val="00BD6E41"/>
    <w:rsid w:val="00BD75D3"/>
    <w:rsid w:val="00BD790B"/>
    <w:rsid w:val="00BD7BC2"/>
    <w:rsid w:val="00BD7C37"/>
    <w:rsid w:val="00BE1018"/>
    <w:rsid w:val="00BE10A3"/>
    <w:rsid w:val="00BE18D6"/>
    <w:rsid w:val="00BE1B0B"/>
    <w:rsid w:val="00BE2396"/>
    <w:rsid w:val="00BE2A57"/>
    <w:rsid w:val="00BE3D99"/>
    <w:rsid w:val="00BE3FA4"/>
    <w:rsid w:val="00BE438D"/>
    <w:rsid w:val="00BE43C9"/>
    <w:rsid w:val="00BE470C"/>
    <w:rsid w:val="00BE5252"/>
    <w:rsid w:val="00BE632F"/>
    <w:rsid w:val="00BE6630"/>
    <w:rsid w:val="00BE6951"/>
    <w:rsid w:val="00BE6C87"/>
    <w:rsid w:val="00BE7033"/>
    <w:rsid w:val="00BE7E55"/>
    <w:rsid w:val="00BF10E5"/>
    <w:rsid w:val="00BF113A"/>
    <w:rsid w:val="00BF1AED"/>
    <w:rsid w:val="00BF2FDE"/>
    <w:rsid w:val="00BF3B12"/>
    <w:rsid w:val="00BF3CD4"/>
    <w:rsid w:val="00BF40A9"/>
    <w:rsid w:val="00BF6113"/>
    <w:rsid w:val="00BF71D1"/>
    <w:rsid w:val="00BF76FA"/>
    <w:rsid w:val="00BF7D24"/>
    <w:rsid w:val="00BF7E1F"/>
    <w:rsid w:val="00C004EA"/>
    <w:rsid w:val="00C00D59"/>
    <w:rsid w:val="00C012D1"/>
    <w:rsid w:val="00C013A9"/>
    <w:rsid w:val="00C02164"/>
    <w:rsid w:val="00C023B6"/>
    <w:rsid w:val="00C0291A"/>
    <w:rsid w:val="00C02D90"/>
    <w:rsid w:val="00C038AA"/>
    <w:rsid w:val="00C03D5A"/>
    <w:rsid w:val="00C0510E"/>
    <w:rsid w:val="00C05120"/>
    <w:rsid w:val="00C05948"/>
    <w:rsid w:val="00C0625E"/>
    <w:rsid w:val="00C06C1A"/>
    <w:rsid w:val="00C07628"/>
    <w:rsid w:val="00C10FEE"/>
    <w:rsid w:val="00C1123C"/>
    <w:rsid w:val="00C12301"/>
    <w:rsid w:val="00C12B5F"/>
    <w:rsid w:val="00C12B76"/>
    <w:rsid w:val="00C12B9C"/>
    <w:rsid w:val="00C12D45"/>
    <w:rsid w:val="00C12D5B"/>
    <w:rsid w:val="00C13792"/>
    <w:rsid w:val="00C142F8"/>
    <w:rsid w:val="00C14B9A"/>
    <w:rsid w:val="00C1511F"/>
    <w:rsid w:val="00C15A50"/>
    <w:rsid w:val="00C15B88"/>
    <w:rsid w:val="00C16598"/>
    <w:rsid w:val="00C16D13"/>
    <w:rsid w:val="00C178F2"/>
    <w:rsid w:val="00C17987"/>
    <w:rsid w:val="00C2064A"/>
    <w:rsid w:val="00C21DA4"/>
    <w:rsid w:val="00C224FE"/>
    <w:rsid w:val="00C22AAA"/>
    <w:rsid w:val="00C236B0"/>
    <w:rsid w:val="00C244B4"/>
    <w:rsid w:val="00C253B0"/>
    <w:rsid w:val="00C25A75"/>
    <w:rsid w:val="00C25E35"/>
    <w:rsid w:val="00C260FB"/>
    <w:rsid w:val="00C2618A"/>
    <w:rsid w:val="00C26750"/>
    <w:rsid w:val="00C27798"/>
    <w:rsid w:val="00C27AEA"/>
    <w:rsid w:val="00C301CD"/>
    <w:rsid w:val="00C306B3"/>
    <w:rsid w:val="00C3144C"/>
    <w:rsid w:val="00C31546"/>
    <w:rsid w:val="00C319A3"/>
    <w:rsid w:val="00C31ADF"/>
    <w:rsid w:val="00C31FFA"/>
    <w:rsid w:val="00C323E4"/>
    <w:rsid w:val="00C336E4"/>
    <w:rsid w:val="00C33BC1"/>
    <w:rsid w:val="00C341A2"/>
    <w:rsid w:val="00C3500F"/>
    <w:rsid w:val="00C35221"/>
    <w:rsid w:val="00C3691F"/>
    <w:rsid w:val="00C36AB2"/>
    <w:rsid w:val="00C373DB"/>
    <w:rsid w:val="00C40406"/>
    <w:rsid w:val="00C40C49"/>
    <w:rsid w:val="00C40F56"/>
    <w:rsid w:val="00C4130F"/>
    <w:rsid w:val="00C4136F"/>
    <w:rsid w:val="00C42447"/>
    <w:rsid w:val="00C43668"/>
    <w:rsid w:val="00C45339"/>
    <w:rsid w:val="00C45376"/>
    <w:rsid w:val="00C456EF"/>
    <w:rsid w:val="00C4753C"/>
    <w:rsid w:val="00C50079"/>
    <w:rsid w:val="00C50974"/>
    <w:rsid w:val="00C51990"/>
    <w:rsid w:val="00C51B7D"/>
    <w:rsid w:val="00C51E94"/>
    <w:rsid w:val="00C51F50"/>
    <w:rsid w:val="00C532ED"/>
    <w:rsid w:val="00C53474"/>
    <w:rsid w:val="00C53485"/>
    <w:rsid w:val="00C53616"/>
    <w:rsid w:val="00C53768"/>
    <w:rsid w:val="00C537F1"/>
    <w:rsid w:val="00C53EB4"/>
    <w:rsid w:val="00C54FE3"/>
    <w:rsid w:val="00C55319"/>
    <w:rsid w:val="00C556B6"/>
    <w:rsid w:val="00C55865"/>
    <w:rsid w:val="00C55984"/>
    <w:rsid w:val="00C5676E"/>
    <w:rsid w:val="00C56ACB"/>
    <w:rsid w:val="00C56C05"/>
    <w:rsid w:val="00C56E64"/>
    <w:rsid w:val="00C57660"/>
    <w:rsid w:val="00C57845"/>
    <w:rsid w:val="00C5793E"/>
    <w:rsid w:val="00C57A07"/>
    <w:rsid w:val="00C57C32"/>
    <w:rsid w:val="00C609DC"/>
    <w:rsid w:val="00C60B61"/>
    <w:rsid w:val="00C60B6F"/>
    <w:rsid w:val="00C62312"/>
    <w:rsid w:val="00C64663"/>
    <w:rsid w:val="00C6531A"/>
    <w:rsid w:val="00C65941"/>
    <w:rsid w:val="00C65993"/>
    <w:rsid w:val="00C66A25"/>
    <w:rsid w:val="00C66A8A"/>
    <w:rsid w:val="00C700B2"/>
    <w:rsid w:val="00C700D7"/>
    <w:rsid w:val="00C7046D"/>
    <w:rsid w:val="00C7069B"/>
    <w:rsid w:val="00C70A1A"/>
    <w:rsid w:val="00C70C1D"/>
    <w:rsid w:val="00C70CF7"/>
    <w:rsid w:val="00C70D47"/>
    <w:rsid w:val="00C71358"/>
    <w:rsid w:val="00C715CE"/>
    <w:rsid w:val="00C72B2D"/>
    <w:rsid w:val="00C73408"/>
    <w:rsid w:val="00C73BBA"/>
    <w:rsid w:val="00C73BCE"/>
    <w:rsid w:val="00C73FD8"/>
    <w:rsid w:val="00C7407E"/>
    <w:rsid w:val="00C7424A"/>
    <w:rsid w:val="00C74C14"/>
    <w:rsid w:val="00C74F68"/>
    <w:rsid w:val="00C7535E"/>
    <w:rsid w:val="00C75979"/>
    <w:rsid w:val="00C75F8B"/>
    <w:rsid w:val="00C76081"/>
    <w:rsid w:val="00C76168"/>
    <w:rsid w:val="00C776A2"/>
    <w:rsid w:val="00C80A04"/>
    <w:rsid w:val="00C80B54"/>
    <w:rsid w:val="00C80C89"/>
    <w:rsid w:val="00C80E29"/>
    <w:rsid w:val="00C81EFD"/>
    <w:rsid w:val="00C82523"/>
    <w:rsid w:val="00C82589"/>
    <w:rsid w:val="00C827A4"/>
    <w:rsid w:val="00C82C2D"/>
    <w:rsid w:val="00C82D57"/>
    <w:rsid w:val="00C82E17"/>
    <w:rsid w:val="00C83FCC"/>
    <w:rsid w:val="00C84977"/>
    <w:rsid w:val="00C84B92"/>
    <w:rsid w:val="00C84F2C"/>
    <w:rsid w:val="00C86195"/>
    <w:rsid w:val="00C86220"/>
    <w:rsid w:val="00C86EA0"/>
    <w:rsid w:val="00C87090"/>
    <w:rsid w:val="00C871F2"/>
    <w:rsid w:val="00C8741D"/>
    <w:rsid w:val="00C87DC9"/>
    <w:rsid w:val="00C90245"/>
    <w:rsid w:val="00C913B3"/>
    <w:rsid w:val="00C91F78"/>
    <w:rsid w:val="00C92455"/>
    <w:rsid w:val="00C92E46"/>
    <w:rsid w:val="00C92FFD"/>
    <w:rsid w:val="00C9376D"/>
    <w:rsid w:val="00C937E8"/>
    <w:rsid w:val="00C94244"/>
    <w:rsid w:val="00C94968"/>
    <w:rsid w:val="00C94DFC"/>
    <w:rsid w:val="00C97A32"/>
    <w:rsid w:val="00C97EED"/>
    <w:rsid w:val="00CA05AF"/>
    <w:rsid w:val="00CA0B3F"/>
    <w:rsid w:val="00CA0F25"/>
    <w:rsid w:val="00CA19BD"/>
    <w:rsid w:val="00CA1F6F"/>
    <w:rsid w:val="00CA2A93"/>
    <w:rsid w:val="00CA3A51"/>
    <w:rsid w:val="00CA3E5A"/>
    <w:rsid w:val="00CA4512"/>
    <w:rsid w:val="00CA4A24"/>
    <w:rsid w:val="00CA5656"/>
    <w:rsid w:val="00CA56BA"/>
    <w:rsid w:val="00CA717A"/>
    <w:rsid w:val="00CA75F7"/>
    <w:rsid w:val="00CB0676"/>
    <w:rsid w:val="00CB07A6"/>
    <w:rsid w:val="00CB0DD3"/>
    <w:rsid w:val="00CB199C"/>
    <w:rsid w:val="00CB22D1"/>
    <w:rsid w:val="00CB23EA"/>
    <w:rsid w:val="00CB3355"/>
    <w:rsid w:val="00CB3C66"/>
    <w:rsid w:val="00CB408D"/>
    <w:rsid w:val="00CB41BA"/>
    <w:rsid w:val="00CB5675"/>
    <w:rsid w:val="00CB59B9"/>
    <w:rsid w:val="00CC06B4"/>
    <w:rsid w:val="00CC1348"/>
    <w:rsid w:val="00CC16E7"/>
    <w:rsid w:val="00CC1741"/>
    <w:rsid w:val="00CC18F3"/>
    <w:rsid w:val="00CC2025"/>
    <w:rsid w:val="00CC255F"/>
    <w:rsid w:val="00CC25FC"/>
    <w:rsid w:val="00CC41DD"/>
    <w:rsid w:val="00CC4AB0"/>
    <w:rsid w:val="00CC5F96"/>
    <w:rsid w:val="00CC6BF8"/>
    <w:rsid w:val="00CC702A"/>
    <w:rsid w:val="00CC7B24"/>
    <w:rsid w:val="00CD0093"/>
    <w:rsid w:val="00CD0E33"/>
    <w:rsid w:val="00CD0EE5"/>
    <w:rsid w:val="00CD12F4"/>
    <w:rsid w:val="00CD19BA"/>
    <w:rsid w:val="00CD211E"/>
    <w:rsid w:val="00CD2905"/>
    <w:rsid w:val="00CD33B2"/>
    <w:rsid w:val="00CD43F1"/>
    <w:rsid w:val="00CD4664"/>
    <w:rsid w:val="00CD4D59"/>
    <w:rsid w:val="00CD598D"/>
    <w:rsid w:val="00CD5AC5"/>
    <w:rsid w:val="00CD5E7E"/>
    <w:rsid w:val="00CD66E1"/>
    <w:rsid w:val="00CD6D9E"/>
    <w:rsid w:val="00CD7E1D"/>
    <w:rsid w:val="00CE0793"/>
    <w:rsid w:val="00CE1DEA"/>
    <w:rsid w:val="00CE1EF3"/>
    <w:rsid w:val="00CE21B8"/>
    <w:rsid w:val="00CE222F"/>
    <w:rsid w:val="00CE2E96"/>
    <w:rsid w:val="00CE3459"/>
    <w:rsid w:val="00CE34C4"/>
    <w:rsid w:val="00CE34F5"/>
    <w:rsid w:val="00CE3544"/>
    <w:rsid w:val="00CE3883"/>
    <w:rsid w:val="00CE446E"/>
    <w:rsid w:val="00CE4B6F"/>
    <w:rsid w:val="00CE530E"/>
    <w:rsid w:val="00CE5400"/>
    <w:rsid w:val="00CE5989"/>
    <w:rsid w:val="00CE7183"/>
    <w:rsid w:val="00CE723C"/>
    <w:rsid w:val="00CE72BB"/>
    <w:rsid w:val="00CF06B7"/>
    <w:rsid w:val="00CF0B91"/>
    <w:rsid w:val="00CF0C12"/>
    <w:rsid w:val="00CF0F2F"/>
    <w:rsid w:val="00CF161C"/>
    <w:rsid w:val="00CF1B8A"/>
    <w:rsid w:val="00CF1BA3"/>
    <w:rsid w:val="00CF23BB"/>
    <w:rsid w:val="00CF24C6"/>
    <w:rsid w:val="00CF270B"/>
    <w:rsid w:val="00CF2D5A"/>
    <w:rsid w:val="00CF3327"/>
    <w:rsid w:val="00CF34D5"/>
    <w:rsid w:val="00CF3EFD"/>
    <w:rsid w:val="00CF419B"/>
    <w:rsid w:val="00CF450B"/>
    <w:rsid w:val="00CF457F"/>
    <w:rsid w:val="00CF4A5A"/>
    <w:rsid w:val="00CF571B"/>
    <w:rsid w:val="00CF60EB"/>
    <w:rsid w:val="00CF6C73"/>
    <w:rsid w:val="00CF71A4"/>
    <w:rsid w:val="00CF7881"/>
    <w:rsid w:val="00CF7CC4"/>
    <w:rsid w:val="00CF7DD0"/>
    <w:rsid w:val="00D0023E"/>
    <w:rsid w:val="00D01488"/>
    <w:rsid w:val="00D01711"/>
    <w:rsid w:val="00D0444B"/>
    <w:rsid w:val="00D0575F"/>
    <w:rsid w:val="00D057B0"/>
    <w:rsid w:val="00D065C7"/>
    <w:rsid w:val="00D0710A"/>
    <w:rsid w:val="00D073F8"/>
    <w:rsid w:val="00D0792E"/>
    <w:rsid w:val="00D07CE4"/>
    <w:rsid w:val="00D1025B"/>
    <w:rsid w:val="00D10936"/>
    <w:rsid w:val="00D10A87"/>
    <w:rsid w:val="00D113DC"/>
    <w:rsid w:val="00D12094"/>
    <w:rsid w:val="00D12896"/>
    <w:rsid w:val="00D1291C"/>
    <w:rsid w:val="00D13293"/>
    <w:rsid w:val="00D14506"/>
    <w:rsid w:val="00D14636"/>
    <w:rsid w:val="00D156D7"/>
    <w:rsid w:val="00D15A06"/>
    <w:rsid w:val="00D16258"/>
    <w:rsid w:val="00D16285"/>
    <w:rsid w:val="00D162EE"/>
    <w:rsid w:val="00D16903"/>
    <w:rsid w:val="00D16C26"/>
    <w:rsid w:val="00D17630"/>
    <w:rsid w:val="00D17CFB"/>
    <w:rsid w:val="00D201B6"/>
    <w:rsid w:val="00D20381"/>
    <w:rsid w:val="00D21D96"/>
    <w:rsid w:val="00D225A4"/>
    <w:rsid w:val="00D22F84"/>
    <w:rsid w:val="00D24098"/>
    <w:rsid w:val="00D24C1F"/>
    <w:rsid w:val="00D250DC"/>
    <w:rsid w:val="00D25AFF"/>
    <w:rsid w:val="00D2699C"/>
    <w:rsid w:val="00D271E8"/>
    <w:rsid w:val="00D30791"/>
    <w:rsid w:val="00D319F3"/>
    <w:rsid w:val="00D3204B"/>
    <w:rsid w:val="00D3391C"/>
    <w:rsid w:val="00D33B49"/>
    <w:rsid w:val="00D34F46"/>
    <w:rsid w:val="00D361EC"/>
    <w:rsid w:val="00D36259"/>
    <w:rsid w:val="00D3656E"/>
    <w:rsid w:val="00D36FE4"/>
    <w:rsid w:val="00D37014"/>
    <w:rsid w:val="00D37787"/>
    <w:rsid w:val="00D377FD"/>
    <w:rsid w:val="00D40354"/>
    <w:rsid w:val="00D40B04"/>
    <w:rsid w:val="00D42DEC"/>
    <w:rsid w:val="00D43649"/>
    <w:rsid w:val="00D43806"/>
    <w:rsid w:val="00D44553"/>
    <w:rsid w:val="00D45BDD"/>
    <w:rsid w:val="00D469DF"/>
    <w:rsid w:val="00D4737D"/>
    <w:rsid w:val="00D47908"/>
    <w:rsid w:val="00D50B11"/>
    <w:rsid w:val="00D511F8"/>
    <w:rsid w:val="00D51384"/>
    <w:rsid w:val="00D524A0"/>
    <w:rsid w:val="00D528C8"/>
    <w:rsid w:val="00D53B43"/>
    <w:rsid w:val="00D53ECF"/>
    <w:rsid w:val="00D54C69"/>
    <w:rsid w:val="00D5500A"/>
    <w:rsid w:val="00D5618A"/>
    <w:rsid w:val="00D56F8E"/>
    <w:rsid w:val="00D57C9D"/>
    <w:rsid w:val="00D60E90"/>
    <w:rsid w:val="00D61A88"/>
    <w:rsid w:val="00D62BB2"/>
    <w:rsid w:val="00D63432"/>
    <w:rsid w:val="00D64361"/>
    <w:rsid w:val="00D65688"/>
    <w:rsid w:val="00D657DB"/>
    <w:rsid w:val="00D65E82"/>
    <w:rsid w:val="00D6610F"/>
    <w:rsid w:val="00D66CD0"/>
    <w:rsid w:val="00D6723D"/>
    <w:rsid w:val="00D67B0D"/>
    <w:rsid w:val="00D67C70"/>
    <w:rsid w:val="00D70319"/>
    <w:rsid w:val="00D70C47"/>
    <w:rsid w:val="00D711A8"/>
    <w:rsid w:val="00D729F8"/>
    <w:rsid w:val="00D73542"/>
    <w:rsid w:val="00D735FE"/>
    <w:rsid w:val="00D742E5"/>
    <w:rsid w:val="00D748D9"/>
    <w:rsid w:val="00D74FFB"/>
    <w:rsid w:val="00D760A1"/>
    <w:rsid w:val="00D7663A"/>
    <w:rsid w:val="00D76B23"/>
    <w:rsid w:val="00D80031"/>
    <w:rsid w:val="00D803D1"/>
    <w:rsid w:val="00D81050"/>
    <w:rsid w:val="00D82CD4"/>
    <w:rsid w:val="00D847B8"/>
    <w:rsid w:val="00D85490"/>
    <w:rsid w:val="00D85829"/>
    <w:rsid w:val="00D85937"/>
    <w:rsid w:val="00D85E7D"/>
    <w:rsid w:val="00D8600E"/>
    <w:rsid w:val="00D86729"/>
    <w:rsid w:val="00D86E1A"/>
    <w:rsid w:val="00D87B60"/>
    <w:rsid w:val="00D87BA9"/>
    <w:rsid w:val="00D87C35"/>
    <w:rsid w:val="00D87F0B"/>
    <w:rsid w:val="00D9068E"/>
    <w:rsid w:val="00D90AB2"/>
    <w:rsid w:val="00D9206F"/>
    <w:rsid w:val="00D921AB"/>
    <w:rsid w:val="00D925B4"/>
    <w:rsid w:val="00D938E5"/>
    <w:rsid w:val="00D94B49"/>
    <w:rsid w:val="00D952C5"/>
    <w:rsid w:val="00D953D1"/>
    <w:rsid w:val="00D95A9E"/>
    <w:rsid w:val="00D95DE4"/>
    <w:rsid w:val="00D9688F"/>
    <w:rsid w:val="00D96CA2"/>
    <w:rsid w:val="00D97696"/>
    <w:rsid w:val="00DA03EF"/>
    <w:rsid w:val="00DA0ECA"/>
    <w:rsid w:val="00DA1D11"/>
    <w:rsid w:val="00DA23B0"/>
    <w:rsid w:val="00DA28F4"/>
    <w:rsid w:val="00DA32C0"/>
    <w:rsid w:val="00DA383D"/>
    <w:rsid w:val="00DA3C4A"/>
    <w:rsid w:val="00DA4A8E"/>
    <w:rsid w:val="00DA4E5F"/>
    <w:rsid w:val="00DA54CC"/>
    <w:rsid w:val="00DA693D"/>
    <w:rsid w:val="00DA6FF0"/>
    <w:rsid w:val="00DA7AFB"/>
    <w:rsid w:val="00DA7ECB"/>
    <w:rsid w:val="00DB02E6"/>
    <w:rsid w:val="00DB0AB7"/>
    <w:rsid w:val="00DB0B69"/>
    <w:rsid w:val="00DB128A"/>
    <w:rsid w:val="00DB1610"/>
    <w:rsid w:val="00DB17C9"/>
    <w:rsid w:val="00DB195F"/>
    <w:rsid w:val="00DB1A22"/>
    <w:rsid w:val="00DB1D39"/>
    <w:rsid w:val="00DB2483"/>
    <w:rsid w:val="00DB2A4C"/>
    <w:rsid w:val="00DB2FD4"/>
    <w:rsid w:val="00DB306A"/>
    <w:rsid w:val="00DB375E"/>
    <w:rsid w:val="00DB63CE"/>
    <w:rsid w:val="00DB7AF6"/>
    <w:rsid w:val="00DB7CA3"/>
    <w:rsid w:val="00DC009A"/>
    <w:rsid w:val="00DC07F9"/>
    <w:rsid w:val="00DC0DFA"/>
    <w:rsid w:val="00DC0F47"/>
    <w:rsid w:val="00DC1935"/>
    <w:rsid w:val="00DC30B2"/>
    <w:rsid w:val="00DC3FD6"/>
    <w:rsid w:val="00DC454E"/>
    <w:rsid w:val="00DC57C9"/>
    <w:rsid w:val="00DC73B0"/>
    <w:rsid w:val="00DC7422"/>
    <w:rsid w:val="00DC75CB"/>
    <w:rsid w:val="00DD15A2"/>
    <w:rsid w:val="00DD1BA6"/>
    <w:rsid w:val="00DD341E"/>
    <w:rsid w:val="00DD3567"/>
    <w:rsid w:val="00DD3636"/>
    <w:rsid w:val="00DD394A"/>
    <w:rsid w:val="00DD3DD8"/>
    <w:rsid w:val="00DD40D1"/>
    <w:rsid w:val="00DD49D7"/>
    <w:rsid w:val="00DD5128"/>
    <w:rsid w:val="00DD63A1"/>
    <w:rsid w:val="00DD6AF5"/>
    <w:rsid w:val="00DE04D9"/>
    <w:rsid w:val="00DE0A35"/>
    <w:rsid w:val="00DE1994"/>
    <w:rsid w:val="00DE222C"/>
    <w:rsid w:val="00DE3144"/>
    <w:rsid w:val="00DE36C8"/>
    <w:rsid w:val="00DE3FE0"/>
    <w:rsid w:val="00DE446B"/>
    <w:rsid w:val="00DE5FD8"/>
    <w:rsid w:val="00DE6AF8"/>
    <w:rsid w:val="00DF0B42"/>
    <w:rsid w:val="00DF0C17"/>
    <w:rsid w:val="00DF0F0A"/>
    <w:rsid w:val="00DF1019"/>
    <w:rsid w:val="00DF1D36"/>
    <w:rsid w:val="00DF2DFC"/>
    <w:rsid w:val="00DF2EC2"/>
    <w:rsid w:val="00DF309F"/>
    <w:rsid w:val="00DF3A56"/>
    <w:rsid w:val="00DF3A71"/>
    <w:rsid w:val="00DF403F"/>
    <w:rsid w:val="00DF41F7"/>
    <w:rsid w:val="00DF45FF"/>
    <w:rsid w:val="00DF4CC7"/>
    <w:rsid w:val="00DF4D59"/>
    <w:rsid w:val="00DF4DD6"/>
    <w:rsid w:val="00DF53D9"/>
    <w:rsid w:val="00DF63CE"/>
    <w:rsid w:val="00DF67FE"/>
    <w:rsid w:val="00DF74FA"/>
    <w:rsid w:val="00DF7DA5"/>
    <w:rsid w:val="00E00A2B"/>
    <w:rsid w:val="00E01329"/>
    <w:rsid w:val="00E03E3D"/>
    <w:rsid w:val="00E04B55"/>
    <w:rsid w:val="00E05613"/>
    <w:rsid w:val="00E06183"/>
    <w:rsid w:val="00E06F4C"/>
    <w:rsid w:val="00E07008"/>
    <w:rsid w:val="00E071C0"/>
    <w:rsid w:val="00E07380"/>
    <w:rsid w:val="00E0780B"/>
    <w:rsid w:val="00E0791F"/>
    <w:rsid w:val="00E104B3"/>
    <w:rsid w:val="00E10AC3"/>
    <w:rsid w:val="00E10B71"/>
    <w:rsid w:val="00E12193"/>
    <w:rsid w:val="00E127D2"/>
    <w:rsid w:val="00E12B50"/>
    <w:rsid w:val="00E12B81"/>
    <w:rsid w:val="00E12C20"/>
    <w:rsid w:val="00E130CC"/>
    <w:rsid w:val="00E13BD6"/>
    <w:rsid w:val="00E15B69"/>
    <w:rsid w:val="00E16004"/>
    <w:rsid w:val="00E16319"/>
    <w:rsid w:val="00E16BE8"/>
    <w:rsid w:val="00E1707A"/>
    <w:rsid w:val="00E17B12"/>
    <w:rsid w:val="00E17DB4"/>
    <w:rsid w:val="00E202C3"/>
    <w:rsid w:val="00E205F3"/>
    <w:rsid w:val="00E206C4"/>
    <w:rsid w:val="00E20BBD"/>
    <w:rsid w:val="00E20E83"/>
    <w:rsid w:val="00E20F4A"/>
    <w:rsid w:val="00E212B9"/>
    <w:rsid w:val="00E212C7"/>
    <w:rsid w:val="00E213C2"/>
    <w:rsid w:val="00E21C7A"/>
    <w:rsid w:val="00E2233C"/>
    <w:rsid w:val="00E223CD"/>
    <w:rsid w:val="00E2292F"/>
    <w:rsid w:val="00E22992"/>
    <w:rsid w:val="00E22B37"/>
    <w:rsid w:val="00E22E0A"/>
    <w:rsid w:val="00E233AA"/>
    <w:rsid w:val="00E237F5"/>
    <w:rsid w:val="00E23BF1"/>
    <w:rsid w:val="00E24D0D"/>
    <w:rsid w:val="00E2536E"/>
    <w:rsid w:val="00E25E90"/>
    <w:rsid w:val="00E2606C"/>
    <w:rsid w:val="00E26957"/>
    <w:rsid w:val="00E26A3C"/>
    <w:rsid w:val="00E26FEF"/>
    <w:rsid w:val="00E27928"/>
    <w:rsid w:val="00E3042E"/>
    <w:rsid w:val="00E30465"/>
    <w:rsid w:val="00E30925"/>
    <w:rsid w:val="00E313A8"/>
    <w:rsid w:val="00E314A6"/>
    <w:rsid w:val="00E32087"/>
    <w:rsid w:val="00E32925"/>
    <w:rsid w:val="00E32DEC"/>
    <w:rsid w:val="00E347BB"/>
    <w:rsid w:val="00E34F9F"/>
    <w:rsid w:val="00E350FB"/>
    <w:rsid w:val="00E3520F"/>
    <w:rsid w:val="00E35A44"/>
    <w:rsid w:val="00E35CF6"/>
    <w:rsid w:val="00E360AF"/>
    <w:rsid w:val="00E36B51"/>
    <w:rsid w:val="00E375E0"/>
    <w:rsid w:val="00E378E1"/>
    <w:rsid w:val="00E37B2F"/>
    <w:rsid w:val="00E40747"/>
    <w:rsid w:val="00E40BFE"/>
    <w:rsid w:val="00E4140D"/>
    <w:rsid w:val="00E41443"/>
    <w:rsid w:val="00E41668"/>
    <w:rsid w:val="00E41A9B"/>
    <w:rsid w:val="00E42B96"/>
    <w:rsid w:val="00E42FAF"/>
    <w:rsid w:val="00E43089"/>
    <w:rsid w:val="00E43157"/>
    <w:rsid w:val="00E43C1C"/>
    <w:rsid w:val="00E43E67"/>
    <w:rsid w:val="00E44213"/>
    <w:rsid w:val="00E44296"/>
    <w:rsid w:val="00E4532E"/>
    <w:rsid w:val="00E4536B"/>
    <w:rsid w:val="00E463DB"/>
    <w:rsid w:val="00E467F0"/>
    <w:rsid w:val="00E46898"/>
    <w:rsid w:val="00E46EFE"/>
    <w:rsid w:val="00E46FDB"/>
    <w:rsid w:val="00E50D73"/>
    <w:rsid w:val="00E51008"/>
    <w:rsid w:val="00E51273"/>
    <w:rsid w:val="00E513A5"/>
    <w:rsid w:val="00E513DB"/>
    <w:rsid w:val="00E513EF"/>
    <w:rsid w:val="00E51F06"/>
    <w:rsid w:val="00E52276"/>
    <w:rsid w:val="00E525F2"/>
    <w:rsid w:val="00E53037"/>
    <w:rsid w:val="00E5430E"/>
    <w:rsid w:val="00E54794"/>
    <w:rsid w:val="00E5B3FC"/>
    <w:rsid w:val="00E604D9"/>
    <w:rsid w:val="00E606F8"/>
    <w:rsid w:val="00E60867"/>
    <w:rsid w:val="00E6113C"/>
    <w:rsid w:val="00E61909"/>
    <w:rsid w:val="00E61916"/>
    <w:rsid w:val="00E62B64"/>
    <w:rsid w:val="00E65656"/>
    <w:rsid w:val="00E656FE"/>
    <w:rsid w:val="00E66B1A"/>
    <w:rsid w:val="00E6774A"/>
    <w:rsid w:val="00E67C0C"/>
    <w:rsid w:val="00E7094C"/>
    <w:rsid w:val="00E71419"/>
    <w:rsid w:val="00E71FD3"/>
    <w:rsid w:val="00E720D1"/>
    <w:rsid w:val="00E72733"/>
    <w:rsid w:val="00E72830"/>
    <w:rsid w:val="00E72CB3"/>
    <w:rsid w:val="00E73916"/>
    <w:rsid w:val="00E73BDF"/>
    <w:rsid w:val="00E74372"/>
    <w:rsid w:val="00E75766"/>
    <w:rsid w:val="00E75918"/>
    <w:rsid w:val="00E75BA5"/>
    <w:rsid w:val="00E75BC5"/>
    <w:rsid w:val="00E76EB3"/>
    <w:rsid w:val="00E814D6"/>
    <w:rsid w:val="00E82280"/>
    <w:rsid w:val="00E82B6F"/>
    <w:rsid w:val="00E8301B"/>
    <w:rsid w:val="00E85A28"/>
    <w:rsid w:val="00E860C3"/>
    <w:rsid w:val="00E8662C"/>
    <w:rsid w:val="00E86B87"/>
    <w:rsid w:val="00E877E0"/>
    <w:rsid w:val="00E90E7C"/>
    <w:rsid w:val="00E90FAC"/>
    <w:rsid w:val="00E92B2D"/>
    <w:rsid w:val="00E932AA"/>
    <w:rsid w:val="00E93C14"/>
    <w:rsid w:val="00E93C45"/>
    <w:rsid w:val="00E94637"/>
    <w:rsid w:val="00E94E8E"/>
    <w:rsid w:val="00E9514F"/>
    <w:rsid w:val="00E95732"/>
    <w:rsid w:val="00E95BE0"/>
    <w:rsid w:val="00E95E3D"/>
    <w:rsid w:val="00E96277"/>
    <w:rsid w:val="00E977D9"/>
    <w:rsid w:val="00E97922"/>
    <w:rsid w:val="00EA034B"/>
    <w:rsid w:val="00EA0D92"/>
    <w:rsid w:val="00EA0E72"/>
    <w:rsid w:val="00EA32C7"/>
    <w:rsid w:val="00EA3730"/>
    <w:rsid w:val="00EA37C0"/>
    <w:rsid w:val="00EA48AD"/>
    <w:rsid w:val="00EA4934"/>
    <w:rsid w:val="00EA4962"/>
    <w:rsid w:val="00EA4A7F"/>
    <w:rsid w:val="00EA560E"/>
    <w:rsid w:val="00EA583C"/>
    <w:rsid w:val="00EA5E25"/>
    <w:rsid w:val="00EA6309"/>
    <w:rsid w:val="00EA66CE"/>
    <w:rsid w:val="00EA778A"/>
    <w:rsid w:val="00EB02A5"/>
    <w:rsid w:val="00EB059D"/>
    <w:rsid w:val="00EB184F"/>
    <w:rsid w:val="00EB19CD"/>
    <w:rsid w:val="00EB1C39"/>
    <w:rsid w:val="00EB1D05"/>
    <w:rsid w:val="00EB1E75"/>
    <w:rsid w:val="00EB2241"/>
    <w:rsid w:val="00EB23E0"/>
    <w:rsid w:val="00EB3191"/>
    <w:rsid w:val="00EB3A4F"/>
    <w:rsid w:val="00EB3B3D"/>
    <w:rsid w:val="00EB3C21"/>
    <w:rsid w:val="00EB4F98"/>
    <w:rsid w:val="00EB64A6"/>
    <w:rsid w:val="00EB6C19"/>
    <w:rsid w:val="00EB7039"/>
    <w:rsid w:val="00EB7451"/>
    <w:rsid w:val="00EB7853"/>
    <w:rsid w:val="00EB7A3E"/>
    <w:rsid w:val="00EC12EA"/>
    <w:rsid w:val="00EC152E"/>
    <w:rsid w:val="00EC289A"/>
    <w:rsid w:val="00EC2BCD"/>
    <w:rsid w:val="00EC397F"/>
    <w:rsid w:val="00EC495C"/>
    <w:rsid w:val="00EC5225"/>
    <w:rsid w:val="00EC5DBE"/>
    <w:rsid w:val="00EC5E00"/>
    <w:rsid w:val="00EC6D0C"/>
    <w:rsid w:val="00ED0A38"/>
    <w:rsid w:val="00ED23DB"/>
    <w:rsid w:val="00ED33B7"/>
    <w:rsid w:val="00ED3705"/>
    <w:rsid w:val="00ED3E94"/>
    <w:rsid w:val="00ED4082"/>
    <w:rsid w:val="00ED447F"/>
    <w:rsid w:val="00ED65F0"/>
    <w:rsid w:val="00ED6673"/>
    <w:rsid w:val="00ED6A13"/>
    <w:rsid w:val="00ED6E89"/>
    <w:rsid w:val="00ED7659"/>
    <w:rsid w:val="00ED7759"/>
    <w:rsid w:val="00ED7868"/>
    <w:rsid w:val="00EE06AE"/>
    <w:rsid w:val="00EE0736"/>
    <w:rsid w:val="00EE0D15"/>
    <w:rsid w:val="00EE1727"/>
    <w:rsid w:val="00EE270D"/>
    <w:rsid w:val="00EE2A57"/>
    <w:rsid w:val="00EE374F"/>
    <w:rsid w:val="00EE3FC0"/>
    <w:rsid w:val="00EE438B"/>
    <w:rsid w:val="00EE6233"/>
    <w:rsid w:val="00EE72EC"/>
    <w:rsid w:val="00EF0B32"/>
    <w:rsid w:val="00EF1273"/>
    <w:rsid w:val="00EF20A2"/>
    <w:rsid w:val="00EF233A"/>
    <w:rsid w:val="00EF37B2"/>
    <w:rsid w:val="00EF3F07"/>
    <w:rsid w:val="00EF41B4"/>
    <w:rsid w:val="00EF481E"/>
    <w:rsid w:val="00EF5BD3"/>
    <w:rsid w:val="00EF5F2C"/>
    <w:rsid w:val="00EF601F"/>
    <w:rsid w:val="00EF603E"/>
    <w:rsid w:val="00EF60CF"/>
    <w:rsid w:val="00EF65DB"/>
    <w:rsid w:val="00EF688C"/>
    <w:rsid w:val="00F00178"/>
    <w:rsid w:val="00F023DB"/>
    <w:rsid w:val="00F024AD"/>
    <w:rsid w:val="00F03031"/>
    <w:rsid w:val="00F03095"/>
    <w:rsid w:val="00F03586"/>
    <w:rsid w:val="00F03F98"/>
    <w:rsid w:val="00F055C4"/>
    <w:rsid w:val="00F0607D"/>
    <w:rsid w:val="00F06DD0"/>
    <w:rsid w:val="00F06F87"/>
    <w:rsid w:val="00F0716A"/>
    <w:rsid w:val="00F0FED7"/>
    <w:rsid w:val="00F10F9F"/>
    <w:rsid w:val="00F11077"/>
    <w:rsid w:val="00F118FD"/>
    <w:rsid w:val="00F120C0"/>
    <w:rsid w:val="00F12E97"/>
    <w:rsid w:val="00F13FEE"/>
    <w:rsid w:val="00F14302"/>
    <w:rsid w:val="00F14D19"/>
    <w:rsid w:val="00F1511F"/>
    <w:rsid w:val="00F1546D"/>
    <w:rsid w:val="00F155BA"/>
    <w:rsid w:val="00F15673"/>
    <w:rsid w:val="00F15B92"/>
    <w:rsid w:val="00F16090"/>
    <w:rsid w:val="00F16BBF"/>
    <w:rsid w:val="00F17877"/>
    <w:rsid w:val="00F208D1"/>
    <w:rsid w:val="00F20CC7"/>
    <w:rsid w:val="00F22486"/>
    <w:rsid w:val="00F22EEA"/>
    <w:rsid w:val="00F22FC3"/>
    <w:rsid w:val="00F2384A"/>
    <w:rsid w:val="00F238A9"/>
    <w:rsid w:val="00F23DD9"/>
    <w:rsid w:val="00F23EBF"/>
    <w:rsid w:val="00F2522F"/>
    <w:rsid w:val="00F259B1"/>
    <w:rsid w:val="00F25F93"/>
    <w:rsid w:val="00F26004"/>
    <w:rsid w:val="00F26714"/>
    <w:rsid w:val="00F272E3"/>
    <w:rsid w:val="00F31901"/>
    <w:rsid w:val="00F319EE"/>
    <w:rsid w:val="00F331DE"/>
    <w:rsid w:val="00F339F4"/>
    <w:rsid w:val="00F35C64"/>
    <w:rsid w:val="00F366C2"/>
    <w:rsid w:val="00F36BA8"/>
    <w:rsid w:val="00F370D3"/>
    <w:rsid w:val="00F375A7"/>
    <w:rsid w:val="00F37AA0"/>
    <w:rsid w:val="00F40153"/>
    <w:rsid w:val="00F40664"/>
    <w:rsid w:val="00F41415"/>
    <w:rsid w:val="00F4213C"/>
    <w:rsid w:val="00F425C0"/>
    <w:rsid w:val="00F42A4B"/>
    <w:rsid w:val="00F42B13"/>
    <w:rsid w:val="00F42C02"/>
    <w:rsid w:val="00F434F7"/>
    <w:rsid w:val="00F4358C"/>
    <w:rsid w:val="00F436C6"/>
    <w:rsid w:val="00F43BC9"/>
    <w:rsid w:val="00F43F60"/>
    <w:rsid w:val="00F449EF"/>
    <w:rsid w:val="00F44CA9"/>
    <w:rsid w:val="00F45352"/>
    <w:rsid w:val="00F45B0A"/>
    <w:rsid w:val="00F46294"/>
    <w:rsid w:val="00F4629C"/>
    <w:rsid w:val="00F46ECA"/>
    <w:rsid w:val="00F47082"/>
    <w:rsid w:val="00F47427"/>
    <w:rsid w:val="00F4749C"/>
    <w:rsid w:val="00F47697"/>
    <w:rsid w:val="00F4795E"/>
    <w:rsid w:val="00F479D3"/>
    <w:rsid w:val="00F50125"/>
    <w:rsid w:val="00F51527"/>
    <w:rsid w:val="00F51D89"/>
    <w:rsid w:val="00F5213A"/>
    <w:rsid w:val="00F52842"/>
    <w:rsid w:val="00F533DE"/>
    <w:rsid w:val="00F55744"/>
    <w:rsid w:val="00F562B0"/>
    <w:rsid w:val="00F5693D"/>
    <w:rsid w:val="00F56E26"/>
    <w:rsid w:val="00F60C4D"/>
    <w:rsid w:val="00F6124B"/>
    <w:rsid w:val="00F63276"/>
    <w:rsid w:val="00F638A3"/>
    <w:rsid w:val="00F646A3"/>
    <w:rsid w:val="00F64917"/>
    <w:rsid w:val="00F65769"/>
    <w:rsid w:val="00F65BC8"/>
    <w:rsid w:val="00F66716"/>
    <w:rsid w:val="00F6732D"/>
    <w:rsid w:val="00F678B6"/>
    <w:rsid w:val="00F67A0F"/>
    <w:rsid w:val="00F67D43"/>
    <w:rsid w:val="00F70C95"/>
    <w:rsid w:val="00F71E9D"/>
    <w:rsid w:val="00F737CA"/>
    <w:rsid w:val="00F73C5B"/>
    <w:rsid w:val="00F73E72"/>
    <w:rsid w:val="00F7435E"/>
    <w:rsid w:val="00F7452C"/>
    <w:rsid w:val="00F7481F"/>
    <w:rsid w:val="00F74AEC"/>
    <w:rsid w:val="00F75225"/>
    <w:rsid w:val="00F76DF3"/>
    <w:rsid w:val="00F76E1A"/>
    <w:rsid w:val="00F770A4"/>
    <w:rsid w:val="00F772B8"/>
    <w:rsid w:val="00F772D8"/>
    <w:rsid w:val="00F77955"/>
    <w:rsid w:val="00F80C04"/>
    <w:rsid w:val="00F81160"/>
    <w:rsid w:val="00F816D6"/>
    <w:rsid w:val="00F81CE6"/>
    <w:rsid w:val="00F81FDF"/>
    <w:rsid w:val="00F82290"/>
    <w:rsid w:val="00F82378"/>
    <w:rsid w:val="00F823D2"/>
    <w:rsid w:val="00F823FD"/>
    <w:rsid w:val="00F825AF"/>
    <w:rsid w:val="00F82811"/>
    <w:rsid w:val="00F82941"/>
    <w:rsid w:val="00F82A9C"/>
    <w:rsid w:val="00F82ACB"/>
    <w:rsid w:val="00F82D67"/>
    <w:rsid w:val="00F834DF"/>
    <w:rsid w:val="00F83529"/>
    <w:rsid w:val="00F83A26"/>
    <w:rsid w:val="00F83B38"/>
    <w:rsid w:val="00F85114"/>
    <w:rsid w:val="00F855B5"/>
    <w:rsid w:val="00F857AF"/>
    <w:rsid w:val="00F85967"/>
    <w:rsid w:val="00F85FF9"/>
    <w:rsid w:val="00F87ACF"/>
    <w:rsid w:val="00F87E14"/>
    <w:rsid w:val="00F901E6"/>
    <w:rsid w:val="00F9025C"/>
    <w:rsid w:val="00F906F2"/>
    <w:rsid w:val="00F914B9"/>
    <w:rsid w:val="00F92D76"/>
    <w:rsid w:val="00F93435"/>
    <w:rsid w:val="00F93AAC"/>
    <w:rsid w:val="00F93EA8"/>
    <w:rsid w:val="00F93F49"/>
    <w:rsid w:val="00F94125"/>
    <w:rsid w:val="00F952B4"/>
    <w:rsid w:val="00F952BA"/>
    <w:rsid w:val="00F958AD"/>
    <w:rsid w:val="00F959DA"/>
    <w:rsid w:val="00F95B4F"/>
    <w:rsid w:val="00F96620"/>
    <w:rsid w:val="00F97632"/>
    <w:rsid w:val="00F979BA"/>
    <w:rsid w:val="00F97BBB"/>
    <w:rsid w:val="00F97EB3"/>
    <w:rsid w:val="00FA07EF"/>
    <w:rsid w:val="00FA1450"/>
    <w:rsid w:val="00FA1EA6"/>
    <w:rsid w:val="00FA22BE"/>
    <w:rsid w:val="00FA2ABB"/>
    <w:rsid w:val="00FA3445"/>
    <w:rsid w:val="00FA35BD"/>
    <w:rsid w:val="00FA3678"/>
    <w:rsid w:val="00FA48A8"/>
    <w:rsid w:val="00FA52CC"/>
    <w:rsid w:val="00FA5AA5"/>
    <w:rsid w:val="00FA66F0"/>
    <w:rsid w:val="00FA720C"/>
    <w:rsid w:val="00FA7D31"/>
    <w:rsid w:val="00FB0243"/>
    <w:rsid w:val="00FB035C"/>
    <w:rsid w:val="00FB063B"/>
    <w:rsid w:val="00FB0A06"/>
    <w:rsid w:val="00FB1A10"/>
    <w:rsid w:val="00FB215E"/>
    <w:rsid w:val="00FB2309"/>
    <w:rsid w:val="00FB3D7E"/>
    <w:rsid w:val="00FB3DB1"/>
    <w:rsid w:val="00FB3F12"/>
    <w:rsid w:val="00FB511E"/>
    <w:rsid w:val="00FB5DA3"/>
    <w:rsid w:val="00FB746E"/>
    <w:rsid w:val="00FC0077"/>
    <w:rsid w:val="00FC0913"/>
    <w:rsid w:val="00FC0D92"/>
    <w:rsid w:val="00FC1850"/>
    <w:rsid w:val="00FC1867"/>
    <w:rsid w:val="00FC227D"/>
    <w:rsid w:val="00FC2A39"/>
    <w:rsid w:val="00FC2AC7"/>
    <w:rsid w:val="00FC34D1"/>
    <w:rsid w:val="00FC3567"/>
    <w:rsid w:val="00FC38F8"/>
    <w:rsid w:val="00FC39FC"/>
    <w:rsid w:val="00FC3E8A"/>
    <w:rsid w:val="00FC4004"/>
    <w:rsid w:val="00FC400D"/>
    <w:rsid w:val="00FC4021"/>
    <w:rsid w:val="00FC40AE"/>
    <w:rsid w:val="00FC410B"/>
    <w:rsid w:val="00FC49B7"/>
    <w:rsid w:val="00FC4A47"/>
    <w:rsid w:val="00FC60C1"/>
    <w:rsid w:val="00FC61C7"/>
    <w:rsid w:val="00FC667D"/>
    <w:rsid w:val="00FC7102"/>
    <w:rsid w:val="00FC718D"/>
    <w:rsid w:val="00FC728E"/>
    <w:rsid w:val="00FC7936"/>
    <w:rsid w:val="00FC7958"/>
    <w:rsid w:val="00FC79A4"/>
    <w:rsid w:val="00FC7BE1"/>
    <w:rsid w:val="00FC7D4E"/>
    <w:rsid w:val="00FD02D9"/>
    <w:rsid w:val="00FD043A"/>
    <w:rsid w:val="00FD0AB4"/>
    <w:rsid w:val="00FD0D81"/>
    <w:rsid w:val="00FD5C61"/>
    <w:rsid w:val="00FD6212"/>
    <w:rsid w:val="00FD7899"/>
    <w:rsid w:val="00FD7A58"/>
    <w:rsid w:val="00FD7DEA"/>
    <w:rsid w:val="00FE0B9F"/>
    <w:rsid w:val="00FE1278"/>
    <w:rsid w:val="00FE18DD"/>
    <w:rsid w:val="00FE229E"/>
    <w:rsid w:val="00FE2780"/>
    <w:rsid w:val="00FE37CF"/>
    <w:rsid w:val="00FE40E7"/>
    <w:rsid w:val="00FE4542"/>
    <w:rsid w:val="00FE4B52"/>
    <w:rsid w:val="00FE4F91"/>
    <w:rsid w:val="00FE581F"/>
    <w:rsid w:val="00FE6141"/>
    <w:rsid w:val="00FE6265"/>
    <w:rsid w:val="00FE6284"/>
    <w:rsid w:val="00FE631E"/>
    <w:rsid w:val="00FE64AD"/>
    <w:rsid w:val="00FE6E8F"/>
    <w:rsid w:val="00FF01D2"/>
    <w:rsid w:val="00FF08F5"/>
    <w:rsid w:val="00FF0AFA"/>
    <w:rsid w:val="00FF1502"/>
    <w:rsid w:val="00FF1678"/>
    <w:rsid w:val="00FF2232"/>
    <w:rsid w:val="00FF23B4"/>
    <w:rsid w:val="00FF25CF"/>
    <w:rsid w:val="00FF326B"/>
    <w:rsid w:val="00FF3C02"/>
    <w:rsid w:val="00FF4FA4"/>
    <w:rsid w:val="00FF59BA"/>
    <w:rsid w:val="00FF6255"/>
    <w:rsid w:val="00FF71F7"/>
    <w:rsid w:val="00FF738A"/>
    <w:rsid w:val="00FF753D"/>
    <w:rsid w:val="00FF771C"/>
    <w:rsid w:val="0104109A"/>
    <w:rsid w:val="0106773A"/>
    <w:rsid w:val="0106995E"/>
    <w:rsid w:val="010B6E47"/>
    <w:rsid w:val="01150480"/>
    <w:rsid w:val="01158627"/>
    <w:rsid w:val="01175B38"/>
    <w:rsid w:val="011E7CDB"/>
    <w:rsid w:val="0122C0A8"/>
    <w:rsid w:val="012AE4A3"/>
    <w:rsid w:val="0133213A"/>
    <w:rsid w:val="014A9652"/>
    <w:rsid w:val="014E77F7"/>
    <w:rsid w:val="0155884C"/>
    <w:rsid w:val="01589159"/>
    <w:rsid w:val="015AFFC1"/>
    <w:rsid w:val="01642171"/>
    <w:rsid w:val="01693E08"/>
    <w:rsid w:val="017A2B64"/>
    <w:rsid w:val="0187A1E0"/>
    <w:rsid w:val="01992C13"/>
    <w:rsid w:val="01A47287"/>
    <w:rsid w:val="01A6A463"/>
    <w:rsid w:val="01BC26E2"/>
    <w:rsid w:val="01CF8667"/>
    <w:rsid w:val="01D02350"/>
    <w:rsid w:val="01DD3D70"/>
    <w:rsid w:val="01E357E1"/>
    <w:rsid w:val="01E6374A"/>
    <w:rsid w:val="01EB75E2"/>
    <w:rsid w:val="01F22EA9"/>
    <w:rsid w:val="01F63722"/>
    <w:rsid w:val="0216F283"/>
    <w:rsid w:val="02272AAF"/>
    <w:rsid w:val="022E3DB8"/>
    <w:rsid w:val="0234B093"/>
    <w:rsid w:val="02362B39"/>
    <w:rsid w:val="0237699F"/>
    <w:rsid w:val="023C8672"/>
    <w:rsid w:val="023D0CBE"/>
    <w:rsid w:val="0246E101"/>
    <w:rsid w:val="02513AFA"/>
    <w:rsid w:val="0256F110"/>
    <w:rsid w:val="025A6610"/>
    <w:rsid w:val="025C704F"/>
    <w:rsid w:val="025E0ADA"/>
    <w:rsid w:val="026038DA"/>
    <w:rsid w:val="02691963"/>
    <w:rsid w:val="026E065C"/>
    <w:rsid w:val="02762ED8"/>
    <w:rsid w:val="02775BD0"/>
    <w:rsid w:val="0279774F"/>
    <w:rsid w:val="0285FD9F"/>
    <w:rsid w:val="02900224"/>
    <w:rsid w:val="029CADA4"/>
    <w:rsid w:val="029F595B"/>
    <w:rsid w:val="029FB1E0"/>
    <w:rsid w:val="029FE254"/>
    <w:rsid w:val="02A7581E"/>
    <w:rsid w:val="02B08471"/>
    <w:rsid w:val="02B69A23"/>
    <w:rsid w:val="02C451C0"/>
    <w:rsid w:val="02CAC906"/>
    <w:rsid w:val="02D1205E"/>
    <w:rsid w:val="02D188F9"/>
    <w:rsid w:val="02DDA3A2"/>
    <w:rsid w:val="02DDD155"/>
    <w:rsid w:val="02E282EA"/>
    <w:rsid w:val="02EEAE25"/>
    <w:rsid w:val="02FA8C44"/>
    <w:rsid w:val="02FD02AB"/>
    <w:rsid w:val="02FF6468"/>
    <w:rsid w:val="0301895E"/>
    <w:rsid w:val="0321FD48"/>
    <w:rsid w:val="03289558"/>
    <w:rsid w:val="03290D01"/>
    <w:rsid w:val="0329AD21"/>
    <w:rsid w:val="032D3B53"/>
    <w:rsid w:val="032E8ECF"/>
    <w:rsid w:val="0334CB93"/>
    <w:rsid w:val="0334E49F"/>
    <w:rsid w:val="033B8AD3"/>
    <w:rsid w:val="036192B6"/>
    <w:rsid w:val="0362F1C9"/>
    <w:rsid w:val="03662C27"/>
    <w:rsid w:val="0377AE1C"/>
    <w:rsid w:val="037DFBC5"/>
    <w:rsid w:val="038416D0"/>
    <w:rsid w:val="0385C2A7"/>
    <w:rsid w:val="0385D20A"/>
    <w:rsid w:val="03870993"/>
    <w:rsid w:val="0396DC7F"/>
    <w:rsid w:val="03AC079E"/>
    <w:rsid w:val="03C1E177"/>
    <w:rsid w:val="03C2123F"/>
    <w:rsid w:val="03C40CDF"/>
    <w:rsid w:val="03C46A59"/>
    <w:rsid w:val="03D05B99"/>
    <w:rsid w:val="03D49993"/>
    <w:rsid w:val="03ED2781"/>
    <w:rsid w:val="03F0384B"/>
    <w:rsid w:val="03F2D840"/>
    <w:rsid w:val="03F977CF"/>
    <w:rsid w:val="03F9C360"/>
    <w:rsid w:val="0403D0B6"/>
    <w:rsid w:val="040516FE"/>
    <w:rsid w:val="0412DADE"/>
    <w:rsid w:val="0426B8C0"/>
    <w:rsid w:val="0427221D"/>
    <w:rsid w:val="042E84B7"/>
    <w:rsid w:val="0442C922"/>
    <w:rsid w:val="044C4E34"/>
    <w:rsid w:val="04582AF8"/>
    <w:rsid w:val="045B3D86"/>
    <w:rsid w:val="045BD22E"/>
    <w:rsid w:val="045F2013"/>
    <w:rsid w:val="0466821F"/>
    <w:rsid w:val="0471CFCC"/>
    <w:rsid w:val="04782C40"/>
    <w:rsid w:val="04793EB4"/>
    <w:rsid w:val="04C03660"/>
    <w:rsid w:val="04C1B1D1"/>
    <w:rsid w:val="04CA873E"/>
    <w:rsid w:val="04DDD299"/>
    <w:rsid w:val="04E4AB59"/>
    <w:rsid w:val="04E5311D"/>
    <w:rsid w:val="04E72E01"/>
    <w:rsid w:val="04F4DE63"/>
    <w:rsid w:val="04FB91C2"/>
    <w:rsid w:val="050260FB"/>
    <w:rsid w:val="05028304"/>
    <w:rsid w:val="05084FCA"/>
    <w:rsid w:val="050BB9CE"/>
    <w:rsid w:val="0540C9E2"/>
    <w:rsid w:val="05426073"/>
    <w:rsid w:val="0545636D"/>
    <w:rsid w:val="054B5E58"/>
    <w:rsid w:val="05525A28"/>
    <w:rsid w:val="05548E51"/>
    <w:rsid w:val="056D9F76"/>
    <w:rsid w:val="0574AE7B"/>
    <w:rsid w:val="0576BDBC"/>
    <w:rsid w:val="057A0933"/>
    <w:rsid w:val="0584DFAD"/>
    <w:rsid w:val="0585327E"/>
    <w:rsid w:val="05956DAF"/>
    <w:rsid w:val="059B377E"/>
    <w:rsid w:val="05A08C28"/>
    <w:rsid w:val="05A631FE"/>
    <w:rsid w:val="05C1E31B"/>
    <w:rsid w:val="05C50080"/>
    <w:rsid w:val="05DC85E8"/>
    <w:rsid w:val="05EA1DD0"/>
    <w:rsid w:val="05F428BC"/>
    <w:rsid w:val="05F63E51"/>
    <w:rsid w:val="05FA5A73"/>
    <w:rsid w:val="05FB41A9"/>
    <w:rsid w:val="05FC9B44"/>
    <w:rsid w:val="05FE7838"/>
    <w:rsid w:val="05FE9C60"/>
    <w:rsid w:val="0606B896"/>
    <w:rsid w:val="060736EB"/>
    <w:rsid w:val="06184648"/>
    <w:rsid w:val="061BAA43"/>
    <w:rsid w:val="063AA8E1"/>
    <w:rsid w:val="0644C4BB"/>
    <w:rsid w:val="06460B09"/>
    <w:rsid w:val="064D241C"/>
    <w:rsid w:val="064F67A3"/>
    <w:rsid w:val="064F69EC"/>
    <w:rsid w:val="0655DDAA"/>
    <w:rsid w:val="06581E1B"/>
    <w:rsid w:val="0663B391"/>
    <w:rsid w:val="066689CC"/>
    <w:rsid w:val="0676FD2A"/>
    <w:rsid w:val="06774108"/>
    <w:rsid w:val="067C075D"/>
    <w:rsid w:val="067CB334"/>
    <w:rsid w:val="0691E935"/>
    <w:rsid w:val="069F31C5"/>
    <w:rsid w:val="06A78A73"/>
    <w:rsid w:val="06AB90D1"/>
    <w:rsid w:val="06ABB640"/>
    <w:rsid w:val="06B17CC1"/>
    <w:rsid w:val="06B2B688"/>
    <w:rsid w:val="06C283F4"/>
    <w:rsid w:val="06C369A9"/>
    <w:rsid w:val="06CB1C41"/>
    <w:rsid w:val="06D627B8"/>
    <w:rsid w:val="06E26EBF"/>
    <w:rsid w:val="06ECCEAB"/>
    <w:rsid w:val="06EE6CDF"/>
    <w:rsid w:val="0708BF0D"/>
    <w:rsid w:val="070AE122"/>
    <w:rsid w:val="070BD462"/>
    <w:rsid w:val="07221464"/>
    <w:rsid w:val="0722A5E3"/>
    <w:rsid w:val="0731BA1E"/>
    <w:rsid w:val="073C0FBA"/>
    <w:rsid w:val="073D2575"/>
    <w:rsid w:val="075127C4"/>
    <w:rsid w:val="0759F34E"/>
    <w:rsid w:val="0764C705"/>
    <w:rsid w:val="0779D5C1"/>
    <w:rsid w:val="077A146D"/>
    <w:rsid w:val="07920EB2"/>
    <w:rsid w:val="0798531F"/>
    <w:rsid w:val="07AACA11"/>
    <w:rsid w:val="07B0058D"/>
    <w:rsid w:val="07BEF718"/>
    <w:rsid w:val="07CB6333"/>
    <w:rsid w:val="07D3828F"/>
    <w:rsid w:val="07DFC15E"/>
    <w:rsid w:val="07E1EB35"/>
    <w:rsid w:val="07E4AA1F"/>
    <w:rsid w:val="07F3D697"/>
    <w:rsid w:val="07F6E69C"/>
    <w:rsid w:val="07FC3B18"/>
    <w:rsid w:val="0806DFB8"/>
    <w:rsid w:val="08073A82"/>
    <w:rsid w:val="0820C54D"/>
    <w:rsid w:val="0824F19E"/>
    <w:rsid w:val="0826B50E"/>
    <w:rsid w:val="0833C636"/>
    <w:rsid w:val="0844A31B"/>
    <w:rsid w:val="08486163"/>
    <w:rsid w:val="085032CF"/>
    <w:rsid w:val="087C9BDC"/>
    <w:rsid w:val="087D91A6"/>
    <w:rsid w:val="088C463E"/>
    <w:rsid w:val="088E679D"/>
    <w:rsid w:val="088EC42D"/>
    <w:rsid w:val="08902BDE"/>
    <w:rsid w:val="08927206"/>
    <w:rsid w:val="089BF854"/>
    <w:rsid w:val="08A0430B"/>
    <w:rsid w:val="08C72CDB"/>
    <w:rsid w:val="08D21CF8"/>
    <w:rsid w:val="08E5C258"/>
    <w:rsid w:val="08E641AB"/>
    <w:rsid w:val="08E6A1C1"/>
    <w:rsid w:val="08FD8EF5"/>
    <w:rsid w:val="0914537D"/>
    <w:rsid w:val="091F54AA"/>
    <w:rsid w:val="0929F7CC"/>
    <w:rsid w:val="092C5A87"/>
    <w:rsid w:val="0936496A"/>
    <w:rsid w:val="0940975D"/>
    <w:rsid w:val="0944813A"/>
    <w:rsid w:val="09449325"/>
    <w:rsid w:val="0953A054"/>
    <w:rsid w:val="095689A1"/>
    <w:rsid w:val="09603292"/>
    <w:rsid w:val="0967DDFB"/>
    <w:rsid w:val="0967E08D"/>
    <w:rsid w:val="096C6D8E"/>
    <w:rsid w:val="098F88CE"/>
    <w:rsid w:val="09957374"/>
    <w:rsid w:val="09965FDF"/>
    <w:rsid w:val="09A1945B"/>
    <w:rsid w:val="09A33B2B"/>
    <w:rsid w:val="09A83696"/>
    <w:rsid w:val="09A8A103"/>
    <w:rsid w:val="09B3C7A4"/>
    <w:rsid w:val="09B83B80"/>
    <w:rsid w:val="09C28752"/>
    <w:rsid w:val="09CABB20"/>
    <w:rsid w:val="09CFBD20"/>
    <w:rsid w:val="09D2469D"/>
    <w:rsid w:val="09E26696"/>
    <w:rsid w:val="09E83170"/>
    <w:rsid w:val="09FA0D97"/>
    <w:rsid w:val="0A012183"/>
    <w:rsid w:val="0A153208"/>
    <w:rsid w:val="0A37C3FA"/>
    <w:rsid w:val="0A39B7EA"/>
    <w:rsid w:val="0A4ACAED"/>
    <w:rsid w:val="0A5BD4C7"/>
    <w:rsid w:val="0A67C813"/>
    <w:rsid w:val="0A7006C9"/>
    <w:rsid w:val="0A78752E"/>
    <w:rsid w:val="0A82861A"/>
    <w:rsid w:val="0A89976B"/>
    <w:rsid w:val="0A9A4183"/>
    <w:rsid w:val="0A9FB9A8"/>
    <w:rsid w:val="0AAA2041"/>
    <w:rsid w:val="0AB9FCF6"/>
    <w:rsid w:val="0ABAFDE5"/>
    <w:rsid w:val="0ABBE3CC"/>
    <w:rsid w:val="0ABE549A"/>
    <w:rsid w:val="0ABEF36F"/>
    <w:rsid w:val="0AC91A55"/>
    <w:rsid w:val="0ACE74D1"/>
    <w:rsid w:val="0AD448C2"/>
    <w:rsid w:val="0AE0B965"/>
    <w:rsid w:val="0AE3E195"/>
    <w:rsid w:val="0AEA27AD"/>
    <w:rsid w:val="0AF31D16"/>
    <w:rsid w:val="0AF9909B"/>
    <w:rsid w:val="0AFBC2D8"/>
    <w:rsid w:val="0B00612A"/>
    <w:rsid w:val="0B063E9A"/>
    <w:rsid w:val="0B0AD535"/>
    <w:rsid w:val="0B173E28"/>
    <w:rsid w:val="0B21B1C8"/>
    <w:rsid w:val="0B3DA60B"/>
    <w:rsid w:val="0B497387"/>
    <w:rsid w:val="0B4B71A9"/>
    <w:rsid w:val="0B5C96C9"/>
    <w:rsid w:val="0B5FBF20"/>
    <w:rsid w:val="0B7590A7"/>
    <w:rsid w:val="0B7E94E8"/>
    <w:rsid w:val="0B81D057"/>
    <w:rsid w:val="0B951C2A"/>
    <w:rsid w:val="0B962503"/>
    <w:rsid w:val="0BAAB2F6"/>
    <w:rsid w:val="0BAB6D47"/>
    <w:rsid w:val="0BB179C8"/>
    <w:rsid w:val="0BBE0624"/>
    <w:rsid w:val="0BC05143"/>
    <w:rsid w:val="0BEC36FD"/>
    <w:rsid w:val="0BFF580B"/>
    <w:rsid w:val="0C100042"/>
    <w:rsid w:val="0C1039CE"/>
    <w:rsid w:val="0C13C12C"/>
    <w:rsid w:val="0C19E936"/>
    <w:rsid w:val="0C38414D"/>
    <w:rsid w:val="0C3FC51C"/>
    <w:rsid w:val="0C42894D"/>
    <w:rsid w:val="0C491D78"/>
    <w:rsid w:val="0C4DBC95"/>
    <w:rsid w:val="0C55CFE3"/>
    <w:rsid w:val="0C644FF7"/>
    <w:rsid w:val="0C6F8094"/>
    <w:rsid w:val="0C713D89"/>
    <w:rsid w:val="0C989C33"/>
    <w:rsid w:val="0CA9D8DE"/>
    <w:rsid w:val="0CB0E2D5"/>
    <w:rsid w:val="0CB85022"/>
    <w:rsid w:val="0CC849D7"/>
    <w:rsid w:val="0CD78D1B"/>
    <w:rsid w:val="0CDF0C5D"/>
    <w:rsid w:val="0CE18224"/>
    <w:rsid w:val="0CE3FBF6"/>
    <w:rsid w:val="0CF5227C"/>
    <w:rsid w:val="0D0C549D"/>
    <w:rsid w:val="0D16DBD9"/>
    <w:rsid w:val="0D21B99C"/>
    <w:rsid w:val="0D2B923F"/>
    <w:rsid w:val="0D2C51A5"/>
    <w:rsid w:val="0D3C4907"/>
    <w:rsid w:val="0D418461"/>
    <w:rsid w:val="0D4B417D"/>
    <w:rsid w:val="0D562291"/>
    <w:rsid w:val="0D8AF1AE"/>
    <w:rsid w:val="0D9A7A54"/>
    <w:rsid w:val="0D9AB6A5"/>
    <w:rsid w:val="0D9F07A0"/>
    <w:rsid w:val="0DAA8C9E"/>
    <w:rsid w:val="0DB7557D"/>
    <w:rsid w:val="0DC44D03"/>
    <w:rsid w:val="0DD431FF"/>
    <w:rsid w:val="0DD4FB3D"/>
    <w:rsid w:val="0DE7AC2E"/>
    <w:rsid w:val="0DED432C"/>
    <w:rsid w:val="0DFD9050"/>
    <w:rsid w:val="0E0724A2"/>
    <w:rsid w:val="0E1193B4"/>
    <w:rsid w:val="0E16E582"/>
    <w:rsid w:val="0E351B11"/>
    <w:rsid w:val="0E3A666B"/>
    <w:rsid w:val="0E52EC5A"/>
    <w:rsid w:val="0E6248FB"/>
    <w:rsid w:val="0E7A884E"/>
    <w:rsid w:val="0E818F5E"/>
    <w:rsid w:val="0E886B70"/>
    <w:rsid w:val="0E978EC2"/>
    <w:rsid w:val="0E9CB06F"/>
    <w:rsid w:val="0EA77C3C"/>
    <w:rsid w:val="0EA8B7A6"/>
    <w:rsid w:val="0EB83867"/>
    <w:rsid w:val="0EC2543F"/>
    <w:rsid w:val="0EC9A31F"/>
    <w:rsid w:val="0EECFD68"/>
    <w:rsid w:val="0F0112DA"/>
    <w:rsid w:val="0F025DC3"/>
    <w:rsid w:val="0F09433F"/>
    <w:rsid w:val="0F1F2ABB"/>
    <w:rsid w:val="0F2486B5"/>
    <w:rsid w:val="0F38BE82"/>
    <w:rsid w:val="0F64B9EE"/>
    <w:rsid w:val="0F804821"/>
    <w:rsid w:val="0F856A48"/>
    <w:rsid w:val="0F86D521"/>
    <w:rsid w:val="0F87D64B"/>
    <w:rsid w:val="0F8D4549"/>
    <w:rsid w:val="0F9A373D"/>
    <w:rsid w:val="0F9B510F"/>
    <w:rsid w:val="0F9F1042"/>
    <w:rsid w:val="0FAE905D"/>
    <w:rsid w:val="0FAEEF2C"/>
    <w:rsid w:val="0FBD3896"/>
    <w:rsid w:val="0FC021AC"/>
    <w:rsid w:val="0FCB362F"/>
    <w:rsid w:val="0FE59DD6"/>
    <w:rsid w:val="10062B7A"/>
    <w:rsid w:val="10114157"/>
    <w:rsid w:val="101825D2"/>
    <w:rsid w:val="101AF419"/>
    <w:rsid w:val="1022E97D"/>
    <w:rsid w:val="10297BBD"/>
    <w:rsid w:val="1044976F"/>
    <w:rsid w:val="10522F70"/>
    <w:rsid w:val="105E8A3E"/>
    <w:rsid w:val="1064CCD9"/>
    <w:rsid w:val="109225D5"/>
    <w:rsid w:val="10AF5341"/>
    <w:rsid w:val="10AFAEEF"/>
    <w:rsid w:val="10B2FAEC"/>
    <w:rsid w:val="10BC12AC"/>
    <w:rsid w:val="10BF585A"/>
    <w:rsid w:val="10C2910A"/>
    <w:rsid w:val="10D67436"/>
    <w:rsid w:val="10D6E471"/>
    <w:rsid w:val="10EAE781"/>
    <w:rsid w:val="10F3C62B"/>
    <w:rsid w:val="10FECFA9"/>
    <w:rsid w:val="11123DC6"/>
    <w:rsid w:val="111A6696"/>
    <w:rsid w:val="1131F726"/>
    <w:rsid w:val="1135B093"/>
    <w:rsid w:val="114D1529"/>
    <w:rsid w:val="1158B875"/>
    <w:rsid w:val="115F4B6A"/>
    <w:rsid w:val="11648E57"/>
    <w:rsid w:val="11687D08"/>
    <w:rsid w:val="116BA3E5"/>
    <w:rsid w:val="1174EE69"/>
    <w:rsid w:val="117F3F2D"/>
    <w:rsid w:val="1180E3D3"/>
    <w:rsid w:val="11849725"/>
    <w:rsid w:val="11A314B9"/>
    <w:rsid w:val="11B18F6C"/>
    <w:rsid w:val="11B5BAA0"/>
    <w:rsid w:val="11BEAE67"/>
    <w:rsid w:val="11C3D8CC"/>
    <w:rsid w:val="11C8EBAC"/>
    <w:rsid w:val="11C92440"/>
    <w:rsid w:val="11C9AC58"/>
    <w:rsid w:val="11D40EFC"/>
    <w:rsid w:val="11D429EC"/>
    <w:rsid w:val="11D8059F"/>
    <w:rsid w:val="11DD5473"/>
    <w:rsid w:val="11DE48BE"/>
    <w:rsid w:val="11E05514"/>
    <w:rsid w:val="11E638A2"/>
    <w:rsid w:val="11F00542"/>
    <w:rsid w:val="11F4971D"/>
    <w:rsid w:val="11FC13EA"/>
    <w:rsid w:val="11FE846B"/>
    <w:rsid w:val="121199C7"/>
    <w:rsid w:val="12130889"/>
    <w:rsid w:val="12149274"/>
    <w:rsid w:val="121AAECB"/>
    <w:rsid w:val="122FAFE1"/>
    <w:rsid w:val="12366292"/>
    <w:rsid w:val="12382445"/>
    <w:rsid w:val="1267E54D"/>
    <w:rsid w:val="12779B90"/>
    <w:rsid w:val="127CB4DB"/>
    <w:rsid w:val="128C9D74"/>
    <w:rsid w:val="1297E03D"/>
    <w:rsid w:val="129BA86C"/>
    <w:rsid w:val="12BD50EF"/>
    <w:rsid w:val="12CE19F3"/>
    <w:rsid w:val="12D41C10"/>
    <w:rsid w:val="12D5B53B"/>
    <w:rsid w:val="12F9EFC2"/>
    <w:rsid w:val="12FB2507"/>
    <w:rsid w:val="13013E54"/>
    <w:rsid w:val="130A47C9"/>
    <w:rsid w:val="130B1A72"/>
    <w:rsid w:val="1310C1F0"/>
    <w:rsid w:val="13264EF8"/>
    <w:rsid w:val="132BFC00"/>
    <w:rsid w:val="1338B2AF"/>
    <w:rsid w:val="13496B9E"/>
    <w:rsid w:val="1349EBDE"/>
    <w:rsid w:val="13555364"/>
    <w:rsid w:val="1356E763"/>
    <w:rsid w:val="1361EB63"/>
    <w:rsid w:val="13629DD1"/>
    <w:rsid w:val="13681E97"/>
    <w:rsid w:val="1376F0A5"/>
    <w:rsid w:val="137897F0"/>
    <w:rsid w:val="137F4B09"/>
    <w:rsid w:val="13847686"/>
    <w:rsid w:val="13860B68"/>
    <w:rsid w:val="13BDC1F4"/>
    <w:rsid w:val="13C9A891"/>
    <w:rsid w:val="13D0EEA3"/>
    <w:rsid w:val="13D36E5A"/>
    <w:rsid w:val="13D57498"/>
    <w:rsid w:val="13D76093"/>
    <w:rsid w:val="13E5AAAB"/>
    <w:rsid w:val="13ECFAFD"/>
    <w:rsid w:val="13F09381"/>
    <w:rsid w:val="140D2DBF"/>
    <w:rsid w:val="14272DD2"/>
    <w:rsid w:val="142FC770"/>
    <w:rsid w:val="14381E18"/>
    <w:rsid w:val="145997AD"/>
    <w:rsid w:val="145B6654"/>
    <w:rsid w:val="145E8B7E"/>
    <w:rsid w:val="14648251"/>
    <w:rsid w:val="146FF149"/>
    <w:rsid w:val="1471DF56"/>
    <w:rsid w:val="1473D873"/>
    <w:rsid w:val="1474CD27"/>
    <w:rsid w:val="1479EBAD"/>
    <w:rsid w:val="149592C6"/>
    <w:rsid w:val="1496FF2A"/>
    <w:rsid w:val="14995DDB"/>
    <w:rsid w:val="14995F20"/>
    <w:rsid w:val="149E6EEB"/>
    <w:rsid w:val="14B72941"/>
    <w:rsid w:val="14BC7AEC"/>
    <w:rsid w:val="14CA377F"/>
    <w:rsid w:val="14CE38A6"/>
    <w:rsid w:val="14CFDF08"/>
    <w:rsid w:val="14D82112"/>
    <w:rsid w:val="14DE39CB"/>
    <w:rsid w:val="14DEF465"/>
    <w:rsid w:val="14E242AC"/>
    <w:rsid w:val="14E749C2"/>
    <w:rsid w:val="14EA6900"/>
    <w:rsid w:val="14F2A32A"/>
    <w:rsid w:val="14F77C23"/>
    <w:rsid w:val="14F9E820"/>
    <w:rsid w:val="1512E913"/>
    <w:rsid w:val="15176682"/>
    <w:rsid w:val="15357D65"/>
    <w:rsid w:val="153F5B1E"/>
    <w:rsid w:val="1546F5D2"/>
    <w:rsid w:val="1548877E"/>
    <w:rsid w:val="1549DCFE"/>
    <w:rsid w:val="155175F3"/>
    <w:rsid w:val="15545B5C"/>
    <w:rsid w:val="15667BC7"/>
    <w:rsid w:val="15691FD5"/>
    <w:rsid w:val="156A83B0"/>
    <w:rsid w:val="15764F1C"/>
    <w:rsid w:val="1577F5C3"/>
    <w:rsid w:val="1579193E"/>
    <w:rsid w:val="1592439D"/>
    <w:rsid w:val="15958D6E"/>
    <w:rsid w:val="15960FC4"/>
    <w:rsid w:val="15A12404"/>
    <w:rsid w:val="15A519F5"/>
    <w:rsid w:val="15AAC62D"/>
    <w:rsid w:val="15B50F48"/>
    <w:rsid w:val="15BF0670"/>
    <w:rsid w:val="15C1A336"/>
    <w:rsid w:val="15C2A844"/>
    <w:rsid w:val="15C646A2"/>
    <w:rsid w:val="15EFE1C9"/>
    <w:rsid w:val="15F665DE"/>
    <w:rsid w:val="15FA0212"/>
    <w:rsid w:val="15FAD7C2"/>
    <w:rsid w:val="15FC5743"/>
    <w:rsid w:val="15FDE1A5"/>
    <w:rsid w:val="161C1473"/>
    <w:rsid w:val="163448F4"/>
    <w:rsid w:val="16389D9E"/>
    <w:rsid w:val="163918C8"/>
    <w:rsid w:val="16474373"/>
    <w:rsid w:val="164CCF34"/>
    <w:rsid w:val="164D03B8"/>
    <w:rsid w:val="164EB18A"/>
    <w:rsid w:val="164F323B"/>
    <w:rsid w:val="1654110D"/>
    <w:rsid w:val="16566E61"/>
    <w:rsid w:val="165AF194"/>
    <w:rsid w:val="165E35FE"/>
    <w:rsid w:val="166082A0"/>
    <w:rsid w:val="166CD2FB"/>
    <w:rsid w:val="1674D096"/>
    <w:rsid w:val="16763B48"/>
    <w:rsid w:val="16846FE4"/>
    <w:rsid w:val="1693AB35"/>
    <w:rsid w:val="1695B881"/>
    <w:rsid w:val="1698E7E1"/>
    <w:rsid w:val="169A29D4"/>
    <w:rsid w:val="169F888A"/>
    <w:rsid w:val="16C1CF4E"/>
    <w:rsid w:val="16C3E038"/>
    <w:rsid w:val="16CACE97"/>
    <w:rsid w:val="16CD5C0B"/>
    <w:rsid w:val="16CFF712"/>
    <w:rsid w:val="16DEED75"/>
    <w:rsid w:val="16DF3280"/>
    <w:rsid w:val="16DFF8BB"/>
    <w:rsid w:val="16E404AB"/>
    <w:rsid w:val="16F93669"/>
    <w:rsid w:val="170589FE"/>
    <w:rsid w:val="170AF8B0"/>
    <w:rsid w:val="170EF30E"/>
    <w:rsid w:val="1711D5A0"/>
    <w:rsid w:val="17288FEB"/>
    <w:rsid w:val="1728C851"/>
    <w:rsid w:val="1745A15C"/>
    <w:rsid w:val="1747D3BD"/>
    <w:rsid w:val="17505BF4"/>
    <w:rsid w:val="175D6687"/>
    <w:rsid w:val="175F9C2E"/>
    <w:rsid w:val="1765726D"/>
    <w:rsid w:val="176B7B73"/>
    <w:rsid w:val="176CBDA3"/>
    <w:rsid w:val="176D1732"/>
    <w:rsid w:val="176DD10F"/>
    <w:rsid w:val="176E6DB1"/>
    <w:rsid w:val="17705198"/>
    <w:rsid w:val="17709D82"/>
    <w:rsid w:val="17768F01"/>
    <w:rsid w:val="1778E336"/>
    <w:rsid w:val="177DBEFE"/>
    <w:rsid w:val="17802748"/>
    <w:rsid w:val="1780B799"/>
    <w:rsid w:val="179A2AC9"/>
    <w:rsid w:val="17A7F63E"/>
    <w:rsid w:val="17A85A80"/>
    <w:rsid w:val="17B47596"/>
    <w:rsid w:val="17C10F5B"/>
    <w:rsid w:val="17CFFA21"/>
    <w:rsid w:val="17D5D875"/>
    <w:rsid w:val="17D6EDCD"/>
    <w:rsid w:val="17DD031B"/>
    <w:rsid w:val="17E1E7ED"/>
    <w:rsid w:val="17F66088"/>
    <w:rsid w:val="17F79148"/>
    <w:rsid w:val="17F90A45"/>
    <w:rsid w:val="1801993C"/>
    <w:rsid w:val="1812B8EF"/>
    <w:rsid w:val="181B696E"/>
    <w:rsid w:val="182665A8"/>
    <w:rsid w:val="1840887C"/>
    <w:rsid w:val="185546E4"/>
    <w:rsid w:val="1857746D"/>
    <w:rsid w:val="1859F1AD"/>
    <w:rsid w:val="186EE122"/>
    <w:rsid w:val="1883C127"/>
    <w:rsid w:val="188F65AC"/>
    <w:rsid w:val="18A00DF5"/>
    <w:rsid w:val="18B852DF"/>
    <w:rsid w:val="18BED899"/>
    <w:rsid w:val="18C60757"/>
    <w:rsid w:val="18D19078"/>
    <w:rsid w:val="18D38C55"/>
    <w:rsid w:val="18D72CCB"/>
    <w:rsid w:val="19055791"/>
    <w:rsid w:val="190E851A"/>
    <w:rsid w:val="1935F029"/>
    <w:rsid w:val="193E4BE9"/>
    <w:rsid w:val="19568DB1"/>
    <w:rsid w:val="19647EB7"/>
    <w:rsid w:val="196BE499"/>
    <w:rsid w:val="196FE036"/>
    <w:rsid w:val="19754CC1"/>
    <w:rsid w:val="197D7816"/>
    <w:rsid w:val="198520F8"/>
    <w:rsid w:val="198ED9F0"/>
    <w:rsid w:val="19911F9E"/>
    <w:rsid w:val="199AD93A"/>
    <w:rsid w:val="19A1A9C9"/>
    <w:rsid w:val="19A41A2C"/>
    <w:rsid w:val="19AA194C"/>
    <w:rsid w:val="19AC4B30"/>
    <w:rsid w:val="19B3D98E"/>
    <w:rsid w:val="19B47A3B"/>
    <w:rsid w:val="19D2A4F2"/>
    <w:rsid w:val="19DFCD44"/>
    <w:rsid w:val="19E6CC60"/>
    <w:rsid w:val="19EAC405"/>
    <w:rsid w:val="19ECC23E"/>
    <w:rsid w:val="1A3066BD"/>
    <w:rsid w:val="1A3464E2"/>
    <w:rsid w:val="1A3C0E87"/>
    <w:rsid w:val="1A499B85"/>
    <w:rsid w:val="1A4A45D6"/>
    <w:rsid w:val="1A50A640"/>
    <w:rsid w:val="1A52169D"/>
    <w:rsid w:val="1A61A9BE"/>
    <w:rsid w:val="1A66A010"/>
    <w:rsid w:val="1A6B67A0"/>
    <w:rsid w:val="1A7BC06A"/>
    <w:rsid w:val="1A81AA3C"/>
    <w:rsid w:val="1A856B93"/>
    <w:rsid w:val="1A940870"/>
    <w:rsid w:val="1A94218E"/>
    <w:rsid w:val="1A96529C"/>
    <w:rsid w:val="1A9C5052"/>
    <w:rsid w:val="1ACCFE5D"/>
    <w:rsid w:val="1AD58AA9"/>
    <w:rsid w:val="1ADA428B"/>
    <w:rsid w:val="1ADA4A13"/>
    <w:rsid w:val="1ADE63F0"/>
    <w:rsid w:val="1ADF6279"/>
    <w:rsid w:val="1AE32E9D"/>
    <w:rsid w:val="1AE67C7D"/>
    <w:rsid w:val="1AE92D31"/>
    <w:rsid w:val="1AF06706"/>
    <w:rsid w:val="1AFCF1E2"/>
    <w:rsid w:val="1B00D9EF"/>
    <w:rsid w:val="1B01F207"/>
    <w:rsid w:val="1B02E826"/>
    <w:rsid w:val="1B088643"/>
    <w:rsid w:val="1B10A227"/>
    <w:rsid w:val="1B1A9726"/>
    <w:rsid w:val="1B1DA045"/>
    <w:rsid w:val="1B31CEF9"/>
    <w:rsid w:val="1B3A2955"/>
    <w:rsid w:val="1B3A6C1B"/>
    <w:rsid w:val="1B4BD5EA"/>
    <w:rsid w:val="1B57CB5E"/>
    <w:rsid w:val="1B6806C8"/>
    <w:rsid w:val="1B75E6D6"/>
    <w:rsid w:val="1B81EC21"/>
    <w:rsid w:val="1B8F42EC"/>
    <w:rsid w:val="1BA5423E"/>
    <w:rsid w:val="1BA96423"/>
    <w:rsid w:val="1BABA7DD"/>
    <w:rsid w:val="1BAE9DD2"/>
    <w:rsid w:val="1BB5118D"/>
    <w:rsid w:val="1BBFCDD3"/>
    <w:rsid w:val="1BC0D57C"/>
    <w:rsid w:val="1BC3610B"/>
    <w:rsid w:val="1BCCFB45"/>
    <w:rsid w:val="1BD8959C"/>
    <w:rsid w:val="1BDA313D"/>
    <w:rsid w:val="1BE1CC38"/>
    <w:rsid w:val="1BEFBCD3"/>
    <w:rsid w:val="1BF3685A"/>
    <w:rsid w:val="1BF591D3"/>
    <w:rsid w:val="1BF76BA0"/>
    <w:rsid w:val="1BF80F12"/>
    <w:rsid w:val="1BF970D0"/>
    <w:rsid w:val="1BFA51C9"/>
    <w:rsid w:val="1C020648"/>
    <w:rsid w:val="1C03E1CA"/>
    <w:rsid w:val="1C0562CE"/>
    <w:rsid w:val="1C08B8B7"/>
    <w:rsid w:val="1C0B709E"/>
    <w:rsid w:val="1C17B8E8"/>
    <w:rsid w:val="1C1DCDFB"/>
    <w:rsid w:val="1C23B7F1"/>
    <w:rsid w:val="1C2504C0"/>
    <w:rsid w:val="1C2CE076"/>
    <w:rsid w:val="1C30C721"/>
    <w:rsid w:val="1C530D15"/>
    <w:rsid w:val="1C53215E"/>
    <w:rsid w:val="1C66FFD3"/>
    <w:rsid w:val="1C75D4E4"/>
    <w:rsid w:val="1C75E3B9"/>
    <w:rsid w:val="1C7FE0B4"/>
    <w:rsid w:val="1C934394"/>
    <w:rsid w:val="1C98C243"/>
    <w:rsid w:val="1CA53705"/>
    <w:rsid w:val="1CAA1578"/>
    <w:rsid w:val="1CBD9883"/>
    <w:rsid w:val="1CC20E1A"/>
    <w:rsid w:val="1CD7009E"/>
    <w:rsid w:val="1CD8A95D"/>
    <w:rsid w:val="1CDE98E3"/>
    <w:rsid w:val="1CE072F5"/>
    <w:rsid w:val="1CEF347D"/>
    <w:rsid w:val="1CF41C8C"/>
    <w:rsid w:val="1D04030C"/>
    <w:rsid w:val="1D096D71"/>
    <w:rsid w:val="1D0DC037"/>
    <w:rsid w:val="1D0FF34E"/>
    <w:rsid w:val="1D1C91C0"/>
    <w:rsid w:val="1D1CC3F7"/>
    <w:rsid w:val="1D33F78D"/>
    <w:rsid w:val="1D3791CF"/>
    <w:rsid w:val="1D4A37A7"/>
    <w:rsid w:val="1D5B71D7"/>
    <w:rsid w:val="1D5DB59C"/>
    <w:rsid w:val="1D623292"/>
    <w:rsid w:val="1D910B5E"/>
    <w:rsid w:val="1D93C0CC"/>
    <w:rsid w:val="1DA3483D"/>
    <w:rsid w:val="1DA41A6E"/>
    <w:rsid w:val="1DB9C67A"/>
    <w:rsid w:val="1DC35D70"/>
    <w:rsid w:val="1DCF5533"/>
    <w:rsid w:val="1DE1832C"/>
    <w:rsid w:val="1DF2B50D"/>
    <w:rsid w:val="1DFAC98C"/>
    <w:rsid w:val="1DFE92E4"/>
    <w:rsid w:val="1E119DAE"/>
    <w:rsid w:val="1E12B7C2"/>
    <w:rsid w:val="1E24F78E"/>
    <w:rsid w:val="1E2DA506"/>
    <w:rsid w:val="1E2DEFC2"/>
    <w:rsid w:val="1E31ACCB"/>
    <w:rsid w:val="1E39063C"/>
    <w:rsid w:val="1E3CC730"/>
    <w:rsid w:val="1E44EF4E"/>
    <w:rsid w:val="1E47204B"/>
    <w:rsid w:val="1E4C49EC"/>
    <w:rsid w:val="1E521E36"/>
    <w:rsid w:val="1E67AFF9"/>
    <w:rsid w:val="1E6ECC9A"/>
    <w:rsid w:val="1E75BF9D"/>
    <w:rsid w:val="1E8D6CD7"/>
    <w:rsid w:val="1E8F65C3"/>
    <w:rsid w:val="1E90ACC4"/>
    <w:rsid w:val="1E922D73"/>
    <w:rsid w:val="1EAAE0F4"/>
    <w:rsid w:val="1EB83A29"/>
    <w:rsid w:val="1EBF9A93"/>
    <w:rsid w:val="1ECB845D"/>
    <w:rsid w:val="1ED46AD2"/>
    <w:rsid w:val="1ED66CDA"/>
    <w:rsid w:val="1EDD5393"/>
    <w:rsid w:val="1EDE94C8"/>
    <w:rsid w:val="1EE229AB"/>
    <w:rsid w:val="1EE52E1E"/>
    <w:rsid w:val="1EECECFC"/>
    <w:rsid w:val="1EF8B66A"/>
    <w:rsid w:val="1EFB0998"/>
    <w:rsid w:val="1F0E48F7"/>
    <w:rsid w:val="1F0E7BCB"/>
    <w:rsid w:val="1F1F08C3"/>
    <w:rsid w:val="1F240261"/>
    <w:rsid w:val="1F4F56C8"/>
    <w:rsid w:val="1F55BD9C"/>
    <w:rsid w:val="1F663EE6"/>
    <w:rsid w:val="1F691634"/>
    <w:rsid w:val="1F7EE030"/>
    <w:rsid w:val="1F7EE589"/>
    <w:rsid w:val="1F8AAAAD"/>
    <w:rsid w:val="1F977705"/>
    <w:rsid w:val="1F98C112"/>
    <w:rsid w:val="1FA3D6FC"/>
    <w:rsid w:val="1FA95E0A"/>
    <w:rsid w:val="1FAFB440"/>
    <w:rsid w:val="1FB4F383"/>
    <w:rsid w:val="1FBF8D90"/>
    <w:rsid w:val="1FD40541"/>
    <w:rsid w:val="1FD4A18A"/>
    <w:rsid w:val="1FEC17BF"/>
    <w:rsid w:val="1FFC16C7"/>
    <w:rsid w:val="200A35BF"/>
    <w:rsid w:val="201762A4"/>
    <w:rsid w:val="20224400"/>
    <w:rsid w:val="20252416"/>
    <w:rsid w:val="20479213"/>
    <w:rsid w:val="204A0BE1"/>
    <w:rsid w:val="204B652F"/>
    <w:rsid w:val="2052AD97"/>
    <w:rsid w:val="205BA3E7"/>
    <w:rsid w:val="205D35BD"/>
    <w:rsid w:val="205FF43D"/>
    <w:rsid w:val="2062121E"/>
    <w:rsid w:val="2070AED3"/>
    <w:rsid w:val="2077D54B"/>
    <w:rsid w:val="208909EA"/>
    <w:rsid w:val="208A0D20"/>
    <w:rsid w:val="20929657"/>
    <w:rsid w:val="2098548B"/>
    <w:rsid w:val="209B469F"/>
    <w:rsid w:val="20BC3EC1"/>
    <w:rsid w:val="20C6AE38"/>
    <w:rsid w:val="20CC6A0C"/>
    <w:rsid w:val="20D5F92C"/>
    <w:rsid w:val="20EBCB9C"/>
    <w:rsid w:val="21024BD3"/>
    <w:rsid w:val="210349F4"/>
    <w:rsid w:val="21139EF0"/>
    <w:rsid w:val="21181C60"/>
    <w:rsid w:val="212120CA"/>
    <w:rsid w:val="21282669"/>
    <w:rsid w:val="21303487"/>
    <w:rsid w:val="2134C69C"/>
    <w:rsid w:val="215771C7"/>
    <w:rsid w:val="215B4857"/>
    <w:rsid w:val="215E0483"/>
    <w:rsid w:val="215E7AA8"/>
    <w:rsid w:val="216222E4"/>
    <w:rsid w:val="2163A77D"/>
    <w:rsid w:val="216F4472"/>
    <w:rsid w:val="21868AB0"/>
    <w:rsid w:val="2186F642"/>
    <w:rsid w:val="21AC3C75"/>
    <w:rsid w:val="21AC78D2"/>
    <w:rsid w:val="21B92524"/>
    <w:rsid w:val="21C62F1B"/>
    <w:rsid w:val="21DDDB6E"/>
    <w:rsid w:val="21E107CF"/>
    <w:rsid w:val="21ED55B0"/>
    <w:rsid w:val="21FEEEDA"/>
    <w:rsid w:val="21FFED5A"/>
    <w:rsid w:val="2204C912"/>
    <w:rsid w:val="220B0CD0"/>
    <w:rsid w:val="2219DB26"/>
    <w:rsid w:val="221D48B9"/>
    <w:rsid w:val="22272070"/>
    <w:rsid w:val="223D5A82"/>
    <w:rsid w:val="225C136D"/>
    <w:rsid w:val="2260B596"/>
    <w:rsid w:val="2261B08F"/>
    <w:rsid w:val="22637A8F"/>
    <w:rsid w:val="2288FB63"/>
    <w:rsid w:val="22894EB1"/>
    <w:rsid w:val="228F97B7"/>
    <w:rsid w:val="2295EE54"/>
    <w:rsid w:val="22C3E7F8"/>
    <w:rsid w:val="22C54302"/>
    <w:rsid w:val="22C58981"/>
    <w:rsid w:val="22D559F9"/>
    <w:rsid w:val="22DDF9D6"/>
    <w:rsid w:val="22DEF1A4"/>
    <w:rsid w:val="2304166C"/>
    <w:rsid w:val="230ED379"/>
    <w:rsid w:val="230EE517"/>
    <w:rsid w:val="232F4D84"/>
    <w:rsid w:val="2346898A"/>
    <w:rsid w:val="23667994"/>
    <w:rsid w:val="236E5FD4"/>
    <w:rsid w:val="2376AA15"/>
    <w:rsid w:val="23788AA2"/>
    <w:rsid w:val="237F8428"/>
    <w:rsid w:val="2382A2F7"/>
    <w:rsid w:val="238676DB"/>
    <w:rsid w:val="239344A9"/>
    <w:rsid w:val="239F86B4"/>
    <w:rsid w:val="23A15ADD"/>
    <w:rsid w:val="23ACF0D7"/>
    <w:rsid w:val="23B09973"/>
    <w:rsid w:val="23B0A40D"/>
    <w:rsid w:val="23B98088"/>
    <w:rsid w:val="23CA8A25"/>
    <w:rsid w:val="23CBEFA9"/>
    <w:rsid w:val="23D204CA"/>
    <w:rsid w:val="23D4EC99"/>
    <w:rsid w:val="23DAF6ED"/>
    <w:rsid w:val="23DFD8B5"/>
    <w:rsid w:val="23E96EA6"/>
    <w:rsid w:val="23EFE7B8"/>
    <w:rsid w:val="23FE0CE5"/>
    <w:rsid w:val="23FE5487"/>
    <w:rsid w:val="23FFCF7C"/>
    <w:rsid w:val="24041657"/>
    <w:rsid w:val="2410ECE6"/>
    <w:rsid w:val="24170078"/>
    <w:rsid w:val="24177757"/>
    <w:rsid w:val="241C01C3"/>
    <w:rsid w:val="24227700"/>
    <w:rsid w:val="2423C712"/>
    <w:rsid w:val="243C4F02"/>
    <w:rsid w:val="244B85DE"/>
    <w:rsid w:val="2451354F"/>
    <w:rsid w:val="246BB29E"/>
    <w:rsid w:val="246C5B7F"/>
    <w:rsid w:val="24737C98"/>
    <w:rsid w:val="2476270A"/>
    <w:rsid w:val="247F8604"/>
    <w:rsid w:val="2484DAFB"/>
    <w:rsid w:val="249555F1"/>
    <w:rsid w:val="249BEEC8"/>
    <w:rsid w:val="249BF1C7"/>
    <w:rsid w:val="24C17C93"/>
    <w:rsid w:val="24CC6078"/>
    <w:rsid w:val="24D4091F"/>
    <w:rsid w:val="24D8E64B"/>
    <w:rsid w:val="24E0BC1B"/>
    <w:rsid w:val="24E7319C"/>
    <w:rsid w:val="24F05B21"/>
    <w:rsid w:val="24F5AD6A"/>
    <w:rsid w:val="24F97211"/>
    <w:rsid w:val="2513403D"/>
    <w:rsid w:val="25161662"/>
    <w:rsid w:val="251624FF"/>
    <w:rsid w:val="2518BCD3"/>
    <w:rsid w:val="251919B5"/>
    <w:rsid w:val="2532E903"/>
    <w:rsid w:val="2535861B"/>
    <w:rsid w:val="2535CC31"/>
    <w:rsid w:val="253E741A"/>
    <w:rsid w:val="254639D5"/>
    <w:rsid w:val="25483B93"/>
    <w:rsid w:val="254C3CF8"/>
    <w:rsid w:val="255DD664"/>
    <w:rsid w:val="2566CFA3"/>
    <w:rsid w:val="2571B4F0"/>
    <w:rsid w:val="25743AF9"/>
    <w:rsid w:val="2576D9C5"/>
    <w:rsid w:val="257851D7"/>
    <w:rsid w:val="258A93F7"/>
    <w:rsid w:val="258B76B1"/>
    <w:rsid w:val="258C140E"/>
    <w:rsid w:val="25975179"/>
    <w:rsid w:val="2598C065"/>
    <w:rsid w:val="259D3114"/>
    <w:rsid w:val="25A9548B"/>
    <w:rsid w:val="25AD13B1"/>
    <w:rsid w:val="25DA7791"/>
    <w:rsid w:val="25E19354"/>
    <w:rsid w:val="25E1DC22"/>
    <w:rsid w:val="25E5678E"/>
    <w:rsid w:val="25EBC8BD"/>
    <w:rsid w:val="260B10C7"/>
    <w:rsid w:val="26135541"/>
    <w:rsid w:val="2615286D"/>
    <w:rsid w:val="263A9339"/>
    <w:rsid w:val="26426806"/>
    <w:rsid w:val="2650DC8F"/>
    <w:rsid w:val="26620359"/>
    <w:rsid w:val="2662D9A8"/>
    <w:rsid w:val="2668F411"/>
    <w:rsid w:val="26717A9C"/>
    <w:rsid w:val="26719B83"/>
    <w:rsid w:val="267F2AD2"/>
    <w:rsid w:val="268E767C"/>
    <w:rsid w:val="269A2A63"/>
    <w:rsid w:val="26A7E3F9"/>
    <w:rsid w:val="26B6CE91"/>
    <w:rsid w:val="26B728A0"/>
    <w:rsid w:val="26E7783B"/>
    <w:rsid w:val="26FFE982"/>
    <w:rsid w:val="270FE2FE"/>
    <w:rsid w:val="271C9FA5"/>
    <w:rsid w:val="271D5E2D"/>
    <w:rsid w:val="271E7465"/>
    <w:rsid w:val="272954C7"/>
    <w:rsid w:val="273EF366"/>
    <w:rsid w:val="27407049"/>
    <w:rsid w:val="274264C6"/>
    <w:rsid w:val="2743140C"/>
    <w:rsid w:val="274CEFAF"/>
    <w:rsid w:val="275245DD"/>
    <w:rsid w:val="27563C74"/>
    <w:rsid w:val="2762C145"/>
    <w:rsid w:val="27656E0A"/>
    <w:rsid w:val="277630FE"/>
    <w:rsid w:val="27768324"/>
    <w:rsid w:val="277E36E9"/>
    <w:rsid w:val="27857A4A"/>
    <w:rsid w:val="278B816D"/>
    <w:rsid w:val="2797DBF0"/>
    <w:rsid w:val="27A07A9C"/>
    <w:rsid w:val="27AAB7BC"/>
    <w:rsid w:val="27C110A7"/>
    <w:rsid w:val="27D01B13"/>
    <w:rsid w:val="27E0C71C"/>
    <w:rsid w:val="27E734C3"/>
    <w:rsid w:val="27FDD3BA"/>
    <w:rsid w:val="280555C7"/>
    <w:rsid w:val="280CB354"/>
    <w:rsid w:val="281447E9"/>
    <w:rsid w:val="28180F56"/>
    <w:rsid w:val="281A62AD"/>
    <w:rsid w:val="28346683"/>
    <w:rsid w:val="28359199"/>
    <w:rsid w:val="284F15C3"/>
    <w:rsid w:val="286AF226"/>
    <w:rsid w:val="286CD0FE"/>
    <w:rsid w:val="28719C73"/>
    <w:rsid w:val="288025C5"/>
    <w:rsid w:val="28916C59"/>
    <w:rsid w:val="289FC9E4"/>
    <w:rsid w:val="28C150A3"/>
    <w:rsid w:val="28C256E1"/>
    <w:rsid w:val="28C77EBD"/>
    <w:rsid w:val="28C9F455"/>
    <w:rsid w:val="28CC4217"/>
    <w:rsid w:val="28E489BB"/>
    <w:rsid w:val="28E9A927"/>
    <w:rsid w:val="28FE5C33"/>
    <w:rsid w:val="290D13B4"/>
    <w:rsid w:val="290D4ACD"/>
    <w:rsid w:val="291569D5"/>
    <w:rsid w:val="29189CD0"/>
    <w:rsid w:val="291F26C3"/>
    <w:rsid w:val="29249437"/>
    <w:rsid w:val="29353EE4"/>
    <w:rsid w:val="293B1D38"/>
    <w:rsid w:val="293DE252"/>
    <w:rsid w:val="293F697B"/>
    <w:rsid w:val="29472922"/>
    <w:rsid w:val="294836A4"/>
    <w:rsid w:val="295AD275"/>
    <w:rsid w:val="29645EAF"/>
    <w:rsid w:val="29661CEE"/>
    <w:rsid w:val="296D97A2"/>
    <w:rsid w:val="2981D87E"/>
    <w:rsid w:val="29852153"/>
    <w:rsid w:val="2988349E"/>
    <w:rsid w:val="298A5A5B"/>
    <w:rsid w:val="298E964F"/>
    <w:rsid w:val="29A2B3AE"/>
    <w:rsid w:val="29A958F3"/>
    <w:rsid w:val="29AE62F2"/>
    <w:rsid w:val="29AFDCEB"/>
    <w:rsid w:val="29B483E3"/>
    <w:rsid w:val="29BA5D46"/>
    <w:rsid w:val="29CDE24B"/>
    <w:rsid w:val="29FF0C87"/>
    <w:rsid w:val="2A01407F"/>
    <w:rsid w:val="2A0B1ACC"/>
    <w:rsid w:val="2A1C2279"/>
    <w:rsid w:val="2A1C6241"/>
    <w:rsid w:val="2A1E8185"/>
    <w:rsid w:val="2A3D802E"/>
    <w:rsid w:val="2A409FE4"/>
    <w:rsid w:val="2A43B62D"/>
    <w:rsid w:val="2A451A7C"/>
    <w:rsid w:val="2A4C145E"/>
    <w:rsid w:val="2A67A91A"/>
    <w:rsid w:val="2A6C0023"/>
    <w:rsid w:val="2A72CA43"/>
    <w:rsid w:val="2A7A42F1"/>
    <w:rsid w:val="2A8A0181"/>
    <w:rsid w:val="2A8B37F2"/>
    <w:rsid w:val="2A976D8A"/>
    <w:rsid w:val="2A98278B"/>
    <w:rsid w:val="2A9B9200"/>
    <w:rsid w:val="2A9BB77F"/>
    <w:rsid w:val="2AA6A585"/>
    <w:rsid w:val="2AA86DFC"/>
    <w:rsid w:val="2AB4E595"/>
    <w:rsid w:val="2ABBCB97"/>
    <w:rsid w:val="2AC97A81"/>
    <w:rsid w:val="2ACD4E89"/>
    <w:rsid w:val="2AD68A37"/>
    <w:rsid w:val="2AD77F31"/>
    <w:rsid w:val="2ADB1E2A"/>
    <w:rsid w:val="2ADEACCC"/>
    <w:rsid w:val="2AF3CCCB"/>
    <w:rsid w:val="2B068B0C"/>
    <w:rsid w:val="2B0AF851"/>
    <w:rsid w:val="2B0B8EAA"/>
    <w:rsid w:val="2B1FDD7C"/>
    <w:rsid w:val="2B221248"/>
    <w:rsid w:val="2B2872F9"/>
    <w:rsid w:val="2B35747C"/>
    <w:rsid w:val="2B424755"/>
    <w:rsid w:val="2B46E470"/>
    <w:rsid w:val="2B4B450E"/>
    <w:rsid w:val="2B521E50"/>
    <w:rsid w:val="2B5AC2A0"/>
    <w:rsid w:val="2B607E20"/>
    <w:rsid w:val="2B6C2F89"/>
    <w:rsid w:val="2B786D31"/>
    <w:rsid w:val="2B911A3D"/>
    <w:rsid w:val="2B932D7F"/>
    <w:rsid w:val="2B946B34"/>
    <w:rsid w:val="2B95FAE8"/>
    <w:rsid w:val="2B9780F5"/>
    <w:rsid w:val="2BA3EF44"/>
    <w:rsid w:val="2BABB18C"/>
    <w:rsid w:val="2BB5FA79"/>
    <w:rsid w:val="2BBE0235"/>
    <w:rsid w:val="2BD94E84"/>
    <w:rsid w:val="2BDB0FE0"/>
    <w:rsid w:val="2BE2DBCA"/>
    <w:rsid w:val="2BE92905"/>
    <w:rsid w:val="2BECE109"/>
    <w:rsid w:val="2BF62668"/>
    <w:rsid w:val="2BFFF38F"/>
    <w:rsid w:val="2C09F1DC"/>
    <w:rsid w:val="2C16CB79"/>
    <w:rsid w:val="2C1E8CBD"/>
    <w:rsid w:val="2C2B5FB8"/>
    <w:rsid w:val="2C54AC5A"/>
    <w:rsid w:val="2C5A884F"/>
    <w:rsid w:val="2C60757C"/>
    <w:rsid w:val="2C608C52"/>
    <w:rsid w:val="2C60F839"/>
    <w:rsid w:val="2C661A1D"/>
    <w:rsid w:val="2C68DE20"/>
    <w:rsid w:val="2C68E78A"/>
    <w:rsid w:val="2C99938C"/>
    <w:rsid w:val="2CA3D261"/>
    <w:rsid w:val="2CA5CD6E"/>
    <w:rsid w:val="2CACCF49"/>
    <w:rsid w:val="2CAE5CBE"/>
    <w:rsid w:val="2CB06796"/>
    <w:rsid w:val="2CB1E1FB"/>
    <w:rsid w:val="2CB4B05C"/>
    <w:rsid w:val="2CB7AB23"/>
    <w:rsid w:val="2CBFFB6A"/>
    <w:rsid w:val="2CC218E3"/>
    <w:rsid w:val="2CCAF076"/>
    <w:rsid w:val="2CCB89FC"/>
    <w:rsid w:val="2CCEF2B0"/>
    <w:rsid w:val="2CD9B5AA"/>
    <w:rsid w:val="2CE10F2B"/>
    <w:rsid w:val="2CE1E1E8"/>
    <w:rsid w:val="2CE6A1E4"/>
    <w:rsid w:val="2CF20462"/>
    <w:rsid w:val="2CF783C9"/>
    <w:rsid w:val="2CFA95DB"/>
    <w:rsid w:val="2CFDC115"/>
    <w:rsid w:val="2D0A7A8F"/>
    <w:rsid w:val="2D0F0AA5"/>
    <w:rsid w:val="2D1491BD"/>
    <w:rsid w:val="2D19F36F"/>
    <w:rsid w:val="2D1DDAD1"/>
    <w:rsid w:val="2D20AA9E"/>
    <w:rsid w:val="2D3171DC"/>
    <w:rsid w:val="2D3477F6"/>
    <w:rsid w:val="2D3E2411"/>
    <w:rsid w:val="2D4860E3"/>
    <w:rsid w:val="2D4E7058"/>
    <w:rsid w:val="2D528FF4"/>
    <w:rsid w:val="2D58A035"/>
    <w:rsid w:val="2D6DC054"/>
    <w:rsid w:val="2D76A042"/>
    <w:rsid w:val="2D7D4E18"/>
    <w:rsid w:val="2D88DA98"/>
    <w:rsid w:val="2DBF57CF"/>
    <w:rsid w:val="2DCDD431"/>
    <w:rsid w:val="2DD37962"/>
    <w:rsid w:val="2DDF5729"/>
    <w:rsid w:val="2DF6D842"/>
    <w:rsid w:val="2DFC5CB3"/>
    <w:rsid w:val="2E01E3CF"/>
    <w:rsid w:val="2E03A77F"/>
    <w:rsid w:val="2E08D05E"/>
    <w:rsid w:val="2E0E914B"/>
    <w:rsid w:val="2E190CFC"/>
    <w:rsid w:val="2E1C98EC"/>
    <w:rsid w:val="2E25F44F"/>
    <w:rsid w:val="2E2713AE"/>
    <w:rsid w:val="2E2D237C"/>
    <w:rsid w:val="2E339936"/>
    <w:rsid w:val="2E34F34D"/>
    <w:rsid w:val="2E3AD2D9"/>
    <w:rsid w:val="2E3D1BD0"/>
    <w:rsid w:val="2E4BA026"/>
    <w:rsid w:val="2E4C806C"/>
    <w:rsid w:val="2E515AC7"/>
    <w:rsid w:val="2E58CF86"/>
    <w:rsid w:val="2E5E366F"/>
    <w:rsid w:val="2E6293AB"/>
    <w:rsid w:val="2E659BB8"/>
    <w:rsid w:val="2E6D153E"/>
    <w:rsid w:val="2E7990C4"/>
    <w:rsid w:val="2E86C967"/>
    <w:rsid w:val="2E8A6AF1"/>
    <w:rsid w:val="2E97A2C8"/>
    <w:rsid w:val="2E9856FF"/>
    <w:rsid w:val="2EA06230"/>
    <w:rsid w:val="2EA3D04B"/>
    <w:rsid w:val="2EA8B2E1"/>
    <w:rsid w:val="2EAA32C4"/>
    <w:rsid w:val="2ECF805A"/>
    <w:rsid w:val="2EEB514D"/>
    <w:rsid w:val="2EF665DC"/>
    <w:rsid w:val="2F0ADE0C"/>
    <w:rsid w:val="2F2A566F"/>
    <w:rsid w:val="2F2B902E"/>
    <w:rsid w:val="2F33F96F"/>
    <w:rsid w:val="2F357B0B"/>
    <w:rsid w:val="2F3EEFB4"/>
    <w:rsid w:val="2F41FC65"/>
    <w:rsid w:val="2F473FAC"/>
    <w:rsid w:val="2F55A9EC"/>
    <w:rsid w:val="2F693E12"/>
    <w:rsid w:val="2F87EAF7"/>
    <w:rsid w:val="2F9E129B"/>
    <w:rsid w:val="2FA1F2F8"/>
    <w:rsid w:val="2FA25D60"/>
    <w:rsid w:val="2FA5D510"/>
    <w:rsid w:val="2FD7BF08"/>
    <w:rsid w:val="2FEAEE1D"/>
    <w:rsid w:val="2FF037FC"/>
    <w:rsid w:val="2FF85460"/>
    <w:rsid w:val="2FFE5D55"/>
    <w:rsid w:val="30080424"/>
    <w:rsid w:val="30116F4F"/>
    <w:rsid w:val="3013E20D"/>
    <w:rsid w:val="301D95D6"/>
    <w:rsid w:val="3026565B"/>
    <w:rsid w:val="302C9688"/>
    <w:rsid w:val="302CBFE2"/>
    <w:rsid w:val="303A4E58"/>
    <w:rsid w:val="303F0217"/>
    <w:rsid w:val="30448C6D"/>
    <w:rsid w:val="304705B2"/>
    <w:rsid w:val="304883FC"/>
    <w:rsid w:val="3059C353"/>
    <w:rsid w:val="305C5C3B"/>
    <w:rsid w:val="30687F76"/>
    <w:rsid w:val="306CF3DC"/>
    <w:rsid w:val="3072C174"/>
    <w:rsid w:val="307A685E"/>
    <w:rsid w:val="307CE5E5"/>
    <w:rsid w:val="307FA267"/>
    <w:rsid w:val="30876B2F"/>
    <w:rsid w:val="3094665E"/>
    <w:rsid w:val="30961268"/>
    <w:rsid w:val="3096B774"/>
    <w:rsid w:val="3098F2D8"/>
    <w:rsid w:val="309D463B"/>
    <w:rsid w:val="30A68AD9"/>
    <w:rsid w:val="30A831CD"/>
    <w:rsid w:val="30AA02CC"/>
    <w:rsid w:val="30B45375"/>
    <w:rsid w:val="30CCD061"/>
    <w:rsid w:val="30CFED52"/>
    <w:rsid w:val="30CFFB91"/>
    <w:rsid w:val="30D4D918"/>
    <w:rsid w:val="30D5A42D"/>
    <w:rsid w:val="30DFCCD6"/>
    <w:rsid w:val="30E095A9"/>
    <w:rsid w:val="30E33746"/>
    <w:rsid w:val="30E8F805"/>
    <w:rsid w:val="30EEAE79"/>
    <w:rsid w:val="30F80E02"/>
    <w:rsid w:val="30F8D419"/>
    <w:rsid w:val="310C4823"/>
    <w:rsid w:val="31114616"/>
    <w:rsid w:val="312D2E4E"/>
    <w:rsid w:val="313C32A9"/>
    <w:rsid w:val="313CF660"/>
    <w:rsid w:val="314C6DB3"/>
    <w:rsid w:val="316C65E7"/>
    <w:rsid w:val="316E74CA"/>
    <w:rsid w:val="317C70B8"/>
    <w:rsid w:val="318F44DB"/>
    <w:rsid w:val="3199DE05"/>
    <w:rsid w:val="319A51CA"/>
    <w:rsid w:val="31CB6784"/>
    <w:rsid w:val="31CFEAE5"/>
    <w:rsid w:val="31D23631"/>
    <w:rsid w:val="31D4BC6F"/>
    <w:rsid w:val="3200790B"/>
    <w:rsid w:val="320B9884"/>
    <w:rsid w:val="3220832C"/>
    <w:rsid w:val="323717E9"/>
    <w:rsid w:val="3247C0A8"/>
    <w:rsid w:val="325147A6"/>
    <w:rsid w:val="326F1D4E"/>
    <w:rsid w:val="327DD10C"/>
    <w:rsid w:val="328B8A0E"/>
    <w:rsid w:val="3295F5D2"/>
    <w:rsid w:val="329DEE22"/>
    <w:rsid w:val="32BB737F"/>
    <w:rsid w:val="32C3EF04"/>
    <w:rsid w:val="32DDEB04"/>
    <w:rsid w:val="32E2026E"/>
    <w:rsid w:val="32EFD18A"/>
    <w:rsid w:val="32F577EC"/>
    <w:rsid w:val="3301A15A"/>
    <w:rsid w:val="33150F2D"/>
    <w:rsid w:val="331D2F8E"/>
    <w:rsid w:val="3328A5ED"/>
    <w:rsid w:val="333479E7"/>
    <w:rsid w:val="33414220"/>
    <w:rsid w:val="33452304"/>
    <w:rsid w:val="33453917"/>
    <w:rsid w:val="33454580"/>
    <w:rsid w:val="3348CA6D"/>
    <w:rsid w:val="334C9941"/>
    <w:rsid w:val="334CB7DB"/>
    <w:rsid w:val="335E5A9F"/>
    <w:rsid w:val="335EF7A2"/>
    <w:rsid w:val="336DC997"/>
    <w:rsid w:val="33764D96"/>
    <w:rsid w:val="3378CA98"/>
    <w:rsid w:val="33851F21"/>
    <w:rsid w:val="33859A0A"/>
    <w:rsid w:val="33953BD1"/>
    <w:rsid w:val="33961481"/>
    <w:rsid w:val="3397451B"/>
    <w:rsid w:val="3399C902"/>
    <w:rsid w:val="339A107B"/>
    <w:rsid w:val="33A19728"/>
    <w:rsid w:val="33A31F48"/>
    <w:rsid w:val="33AA0B17"/>
    <w:rsid w:val="33AB024D"/>
    <w:rsid w:val="33AD94C6"/>
    <w:rsid w:val="33AEB6F9"/>
    <w:rsid w:val="33BEEE44"/>
    <w:rsid w:val="33C0D341"/>
    <w:rsid w:val="33C1D11F"/>
    <w:rsid w:val="33C2749D"/>
    <w:rsid w:val="33CB0E9C"/>
    <w:rsid w:val="33E207BC"/>
    <w:rsid w:val="33EE260B"/>
    <w:rsid w:val="33F0C83D"/>
    <w:rsid w:val="33F5AE50"/>
    <w:rsid w:val="33F84A2A"/>
    <w:rsid w:val="33F8FF06"/>
    <w:rsid w:val="33FD4067"/>
    <w:rsid w:val="340110C1"/>
    <w:rsid w:val="342C5B1E"/>
    <w:rsid w:val="343018B2"/>
    <w:rsid w:val="343435E7"/>
    <w:rsid w:val="343E429D"/>
    <w:rsid w:val="344B267B"/>
    <w:rsid w:val="3454170B"/>
    <w:rsid w:val="3457E04D"/>
    <w:rsid w:val="345D06A7"/>
    <w:rsid w:val="3463304F"/>
    <w:rsid w:val="346DCE72"/>
    <w:rsid w:val="34710781"/>
    <w:rsid w:val="34761B14"/>
    <w:rsid w:val="347E7E54"/>
    <w:rsid w:val="34853885"/>
    <w:rsid w:val="348D0045"/>
    <w:rsid w:val="3492F018"/>
    <w:rsid w:val="34983E54"/>
    <w:rsid w:val="349881E5"/>
    <w:rsid w:val="349A2C5D"/>
    <w:rsid w:val="34B81F1C"/>
    <w:rsid w:val="34BC3B78"/>
    <w:rsid w:val="34BE84D3"/>
    <w:rsid w:val="34C7536B"/>
    <w:rsid w:val="34CBD9D3"/>
    <w:rsid w:val="34D3FAFB"/>
    <w:rsid w:val="34DC4441"/>
    <w:rsid w:val="34E22F5F"/>
    <w:rsid w:val="34EB367B"/>
    <w:rsid w:val="34ECEFE1"/>
    <w:rsid w:val="34F9BEE3"/>
    <w:rsid w:val="34F9F5E6"/>
    <w:rsid w:val="350DED4F"/>
    <w:rsid w:val="352EBC07"/>
    <w:rsid w:val="353577EB"/>
    <w:rsid w:val="353BACC6"/>
    <w:rsid w:val="35551B83"/>
    <w:rsid w:val="3561D799"/>
    <w:rsid w:val="35641FF3"/>
    <w:rsid w:val="35656313"/>
    <w:rsid w:val="356B61E2"/>
    <w:rsid w:val="35763B3E"/>
    <w:rsid w:val="3580F1DB"/>
    <w:rsid w:val="35818C60"/>
    <w:rsid w:val="3585B38B"/>
    <w:rsid w:val="35925FCF"/>
    <w:rsid w:val="35B042C0"/>
    <w:rsid w:val="35B290A2"/>
    <w:rsid w:val="35B91AC0"/>
    <w:rsid w:val="35BAD632"/>
    <w:rsid w:val="35BB22F5"/>
    <w:rsid w:val="35BD41EC"/>
    <w:rsid w:val="35CA6E55"/>
    <w:rsid w:val="35E0C64F"/>
    <w:rsid w:val="35EBBEB1"/>
    <w:rsid w:val="35EF61D4"/>
    <w:rsid w:val="35FE0946"/>
    <w:rsid w:val="36043944"/>
    <w:rsid w:val="36178E82"/>
    <w:rsid w:val="3619A330"/>
    <w:rsid w:val="36292CA7"/>
    <w:rsid w:val="3636E4D3"/>
    <w:rsid w:val="363FAE71"/>
    <w:rsid w:val="36616B5D"/>
    <w:rsid w:val="3665998A"/>
    <w:rsid w:val="3669D3B5"/>
    <w:rsid w:val="3672FD5B"/>
    <w:rsid w:val="367B384B"/>
    <w:rsid w:val="36875FA1"/>
    <w:rsid w:val="369E8748"/>
    <w:rsid w:val="36B21331"/>
    <w:rsid w:val="36C71507"/>
    <w:rsid w:val="36CB1146"/>
    <w:rsid w:val="36CE43A0"/>
    <w:rsid w:val="36DA7478"/>
    <w:rsid w:val="36E0182E"/>
    <w:rsid w:val="36E40ADE"/>
    <w:rsid w:val="36E8FEC1"/>
    <w:rsid w:val="36EE45DE"/>
    <w:rsid w:val="36F45C4A"/>
    <w:rsid w:val="36F81806"/>
    <w:rsid w:val="36FD582A"/>
    <w:rsid w:val="37145A6E"/>
    <w:rsid w:val="37246B86"/>
    <w:rsid w:val="3727A575"/>
    <w:rsid w:val="372922E0"/>
    <w:rsid w:val="372B6022"/>
    <w:rsid w:val="3736F45B"/>
    <w:rsid w:val="373932E0"/>
    <w:rsid w:val="373DAB8A"/>
    <w:rsid w:val="3749F1C2"/>
    <w:rsid w:val="3750BDE8"/>
    <w:rsid w:val="3761E775"/>
    <w:rsid w:val="37782C2F"/>
    <w:rsid w:val="378B77FE"/>
    <w:rsid w:val="378E4D06"/>
    <w:rsid w:val="379736E5"/>
    <w:rsid w:val="379D32B8"/>
    <w:rsid w:val="379E5CCA"/>
    <w:rsid w:val="379EFA71"/>
    <w:rsid w:val="37AB6513"/>
    <w:rsid w:val="37ABF9A7"/>
    <w:rsid w:val="37AFC1CC"/>
    <w:rsid w:val="37B2C5C0"/>
    <w:rsid w:val="37B7047A"/>
    <w:rsid w:val="37B8A0F9"/>
    <w:rsid w:val="37BB6609"/>
    <w:rsid w:val="37BFB81E"/>
    <w:rsid w:val="37D68DBE"/>
    <w:rsid w:val="37DB71FF"/>
    <w:rsid w:val="37DC3079"/>
    <w:rsid w:val="37E2A726"/>
    <w:rsid w:val="37E4225F"/>
    <w:rsid w:val="37EEE3D4"/>
    <w:rsid w:val="3812E905"/>
    <w:rsid w:val="38178D35"/>
    <w:rsid w:val="38179C59"/>
    <w:rsid w:val="381A9693"/>
    <w:rsid w:val="382841D3"/>
    <w:rsid w:val="382A145E"/>
    <w:rsid w:val="382B2D94"/>
    <w:rsid w:val="383E9000"/>
    <w:rsid w:val="3856D8A5"/>
    <w:rsid w:val="386107D9"/>
    <w:rsid w:val="38629860"/>
    <w:rsid w:val="386B0E38"/>
    <w:rsid w:val="3879DC28"/>
    <w:rsid w:val="387B3143"/>
    <w:rsid w:val="387B7A4B"/>
    <w:rsid w:val="3885C922"/>
    <w:rsid w:val="388FC615"/>
    <w:rsid w:val="3894C44C"/>
    <w:rsid w:val="389636F8"/>
    <w:rsid w:val="38A6CE3E"/>
    <w:rsid w:val="38B909BD"/>
    <w:rsid w:val="38F70736"/>
    <w:rsid w:val="38FAB1E5"/>
    <w:rsid w:val="38FE261E"/>
    <w:rsid w:val="3908A729"/>
    <w:rsid w:val="3909B36A"/>
    <w:rsid w:val="3921E7E0"/>
    <w:rsid w:val="3922F64A"/>
    <w:rsid w:val="39305D90"/>
    <w:rsid w:val="393A49D0"/>
    <w:rsid w:val="394290DF"/>
    <w:rsid w:val="395AC00F"/>
    <w:rsid w:val="39615DEF"/>
    <w:rsid w:val="3969D647"/>
    <w:rsid w:val="396E6D2E"/>
    <w:rsid w:val="3984D523"/>
    <w:rsid w:val="3985031B"/>
    <w:rsid w:val="399290B2"/>
    <w:rsid w:val="399C0B1A"/>
    <w:rsid w:val="399F42FC"/>
    <w:rsid w:val="39A6F561"/>
    <w:rsid w:val="39B077EC"/>
    <w:rsid w:val="39B21A19"/>
    <w:rsid w:val="39B3DD01"/>
    <w:rsid w:val="39E584A3"/>
    <w:rsid w:val="39EB18C3"/>
    <w:rsid w:val="39F0D5DB"/>
    <w:rsid w:val="39FBC0E1"/>
    <w:rsid w:val="3A00B94A"/>
    <w:rsid w:val="3A216484"/>
    <w:rsid w:val="3A22C142"/>
    <w:rsid w:val="3A2585CE"/>
    <w:rsid w:val="3A358A71"/>
    <w:rsid w:val="3A59105A"/>
    <w:rsid w:val="3A595A06"/>
    <w:rsid w:val="3A598B18"/>
    <w:rsid w:val="3A662455"/>
    <w:rsid w:val="3A78DDFC"/>
    <w:rsid w:val="3A7B268D"/>
    <w:rsid w:val="3A839021"/>
    <w:rsid w:val="3A9743D3"/>
    <w:rsid w:val="3A9A2A2B"/>
    <w:rsid w:val="3AA1D665"/>
    <w:rsid w:val="3AB952CF"/>
    <w:rsid w:val="3ABA0AD7"/>
    <w:rsid w:val="3AC4897C"/>
    <w:rsid w:val="3ACDAA56"/>
    <w:rsid w:val="3ADD0697"/>
    <w:rsid w:val="3ADDCFE5"/>
    <w:rsid w:val="3ADF19FF"/>
    <w:rsid w:val="3ADF871F"/>
    <w:rsid w:val="3AF3448D"/>
    <w:rsid w:val="3B02E25D"/>
    <w:rsid w:val="3B18924B"/>
    <w:rsid w:val="3B209197"/>
    <w:rsid w:val="3B23F7AB"/>
    <w:rsid w:val="3B3522AC"/>
    <w:rsid w:val="3B3DAA6A"/>
    <w:rsid w:val="3B3F16C5"/>
    <w:rsid w:val="3B5FDD18"/>
    <w:rsid w:val="3B629B4B"/>
    <w:rsid w:val="3B6AD83E"/>
    <w:rsid w:val="3B757E9A"/>
    <w:rsid w:val="3B7D747A"/>
    <w:rsid w:val="3B814F41"/>
    <w:rsid w:val="3B81CC15"/>
    <w:rsid w:val="3B8F29D4"/>
    <w:rsid w:val="3B98C608"/>
    <w:rsid w:val="3B9C81ED"/>
    <w:rsid w:val="3B9F76BC"/>
    <w:rsid w:val="3BB25A3A"/>
    <w:rsid w:val="3BC06B7F"/>
    <w:rsid w:val="3BD2DF37"/>
    <w:rsid w:val="3BE6F407"/>
    <w:rsid w:val="3BE81031"/>
    <w:rsid w:val="3BED6997"/>
    <w:rsid w:val="3BF36DFB"/>
    <w:rsid w:val="3C02FC06"/>
    <w:rsid w:val="3C040648"/>
    <w:rsid w:val="3C0F8B5C"/>
    <w:rsid w:val="3C11833E"/>
    <w:rsid w:val="3C165097"/>
    <w:rsid w:val="3C33AAC5"/>
    <w:rsid w:val="3C349EAD"/>
    <w:rsid w:val="3C35602A"/>
    <w:rsid w:val="3C37A35D"/>
    <w:rsid w:val="3C38122D"/>
    <w:rsid w:val="3C3DA6C6"/>
    <w:rsid w:val="3C42EA49"/>
    <w:rsid w:val="3C476451"/>
    <w:rsid w:val="3C4B8CDC"/>
    <w:rsid w:val="3C4DBA0D"/>
    <w:rsid w:val="3C577A5A"/>
    <w:rsid w:val="3C5AB22D"/>
    <w:rsid w:val="3C6AFCEE"/>
    <w:rsid w:val="3C74B1F9"/>
    <w:rsid w:val="3C832BFB"/>
    <w:rsid w:val="3C85ADFE"/>
    <w:rsid w:val="3C890566"/>
    <w:rsid w:val="3C8C0605"/>
    <w:rsid w:val="3C94DD41"/>
    <w:rsid w:val="3CB7D723"/>
    <w:rsid w:val="3CBDAA99"/>
    <w:rsid w:val="3CC60A46"/>
    <w:rsid w:val="3CD0A860"/>
    <w:rsid w:val="3CD3BB1F"/>
    <w:rsid w:val="3CD865F4"/>
    <w:rsid w:val="3CE0B4A1"/>
    <w:rsid w:val="3CEE287E"/>
    <w:rsid w:val="3CFB1013"/>
    <w:rsid w:val="3D02FB35"/>
    <w:rsid w:val="3D0C82B2"/>
    <w:rsid w:val="3D0C8C02"/>
    <w:rsid w:val="3D18295C"/>
    <w:rsid w:val="3D185586"/>
    <w:rsid w:val="3D195214"/>
    <w:rsid w:val="3D20EF57"/>
    <w:rsid w:val="3D2FC37E"/>
    <w:rsid w:val="3D4D9770"/>
    <w:rsid w:val="3D5760A4"/>
    <w:rsid w:val="3D6176E8"/>
    <w:rsid w:val="3D62931E"/>
    <w:rsid w:val="3D6B0685"/>
    <w:rsid w:val="3D6C4373"/>
    <w:rsid w:val="3D85402A"/>
    <w:rsid w:val="3D8B5795"/>
    <w:rsid w:val="3D91AFEA"/>
    <w:rsid w:val="3D9CC015"/>
    <w:rsid w:val="3DA75D6E"/>
    <w:rsid w:val="3DA77D14"/>
    <w:rsid w:val="3DB6FEB4"/>
    <w:rsid w:val="3DB93592"/>
    <w:rsid w:val="3DBA98BE"/>
    <w:rsid w:val="3DBC7925"/>
    <w:rsid w:val="3DC81CF8"/>
    <w:rsid w:val="3DC8DCAD"/>
    <w:rsid w:val="3DCEE621"/>
    <w:rsid w:val="3DD30676"/>
    <w:rsid w:val="3DDB5641"/>
    <w:rsid w:val="3DE30E3A"/>
    <w:rsid w:val="3DE43E94"/>
    <w:rsid w:val="3DE6FFC8"/>
    <w:rsid w:val="3DEE167F"/>
    <w:rsid w:val="3DF5B85F"/>
    <w:rsid w:val="3DF85448"/>
    <w:rsid w:val="3E07307D"/>
    <w:rsid w:val="3E0CD879"/>
    <w:rsid w:val="3E13C9B5"/>
    <w:rsid w:val="3E15EB5A"/>
    <w:rsid w:val="3E20B1DB"/>
    <w:rsid w:val="3E2544B1"/>
    <w:rsid w:val="3E269B7A"/>
    <w:rsid w:val="3E2E3C02"/>
    <w:rsid w:val="3E2ECF70"/>
    <w:rsid w:val="3E33E8E6"/>
    <w:rsid w:val="3E3FEEDC"/>
    <w:rsid w:val="3E47E5A6"/>
    <w:rsid w:val="3E5648A8"/>
    <w:rsid w:val="3E69EAC4"/>
    <w:rsid w:val="3E718995"/>
    <w:rsid w:val="3E8BAF4F"/>
    <w:rsid w:val="3E97A6F7"/>
    <w:rsid w:val="3EB46C9B"/>
    <w:rsid w:val="3EBFB38F"/>
    <w:rsid w:val="3EC02D28"/>
    <w:rsid w:val="3EC5F7B6"/>
    <w:rsid w:val="3ECB5E18"/>
    <w:rsid w:val="3ED66CF5"/>
    <w:rsid w:val="3EDF5575"/>
    <w:rsid w:val="3EF60C93"/>
    <w:rsid w:val="3EF6A81D"/>
    <w:rsid w:val="3EFCCD5C"/>
    <w:rsid w:val="3F06CF1F"/>
    <w:rsid w:val="3F166C66"/>
    <w:rsid w:val="3F1B29B3"/>
    <w:rsid w:val="3F1C1C4C"/>
    <w:rsid w:val="3F2381E3"/>
    <w:rsid w:val="3F26A897"/>
    <w:rsid w:val="3F293288"/>
    <w:rsid w:val="3F46A2A5"/>
    <w:rsid w:val="3F562C99"/>
    <w:rsid w:val="3F62B582"/>
    <w:rsid w:val="3F7D5C2A"/>
    <w:rsid w:val="3F864747"/>
    <w:rsid w:val="3F9ECA48"/>
    <w:rsid w:val="3FA0D384"/>
    <w:rsid w:val="3FA25BB9"/>
    <w:rsid w:val="3FA39430"/>
    <w:rsid w:val="3FAB109E"/>
    <w:rsid w:val="3FAF9A16"/>
    <w:rsid w:val="3FAFF5DD"/>
    <w:rsid w:val="3FB5DB40"/>
    <w:rsid w:val="3FB701FF"/>
    <w:rsid w:val="3FB91547"/>
    <w:rsid w:val="3FB9D251"/>
    <w:rsid w:val="3FC1ABF1"/>
    <w:rsid w:val="3FD185FD"/>
    <w:rsid w:val="3FED5CE5"/>
    <w:rsid w:val="3FF41531"/>
    <w:rsid w:val="3FFAD1AD"/>
    <w:rsid w:val="3FFB677D"/>
    <w:rsid w:val="4004C8ED"/>
    <w:rsid w:val="400579D4"/>
    <w:rsid w:val="40070A04"/>
    <w:rsid w:val="40076921"/>
    <w:rsid w:val="40082769"/>
    <w:rsid w:val="400D2019"/>
    <w:rsid w:val="401A1EDB"/>
    <w:rsid w:val="401BFE7A"/>
    <w:rsid w:val="401E6539"/>
    <w:rsid w:val="401EDD5E"/>
    <w:rsid w:val="401F51D8"/>
    <w:rsid w:val="40229F19"/>
    <w:rsid w:val="4028E33A"/>
    <w:rsid w:val="403446FE"/>
    <w:rsid w:val="4043C3BE"/>
    <w:rsid w:val="40441D7A"/>
    <w:rsid w:val="404ACF96"/>
    <w:rsid w:val="404D8E65"/>
    <w:rsid w:val="407C22AA"/>
    <w:rsid w:val="407C2A41"/>
    <w:rsid w:val="4088EB74"/>
    <w:rsid w:val="409A3567"/>
    <w:rsid w:val="409F6ACA"/>
    <w:rsid w:val="40A5640A"/>
    <w:rsid w:val="40AD756F"/>
    <w:rsid w:val="40AEDD9A"/>
    <w:rsid w:val="40B25705"/>
    <w:rsid w:val="40B77C10"/>
    <w:rsid w:val="40B9BFA7"/>
    <w:rsid w:val="40CA9DCF"/>
    <w:rsid w:val="40F1B5C9"/>
    <w:rsid w:val="411F17C8"/>
    <w:rsid w:val="4130EF5D"/>
    <w:rsid w:val="41327B4D"/>
    <w:rsid w:val="41338571"/>
    <w:rsid w:val="4137AC57"/>
    <w:rsid w:val="41395324"/>
    <w:rsid w:val="413D0D80"/>
    <w:rsid w:val="413D29CD"/>
    <w:rsid w:val="414069D5"/>
    <w:rsid w:val="414B6A77"/>
    <w:rsid w:val="41533FA1"/>
    <w:rsid w:val="4156CE46"/>
    <w:rsid w:val="4162DFC7"/>
    <w:rsid w:val="417155CB"/>
    <w:rsid w:val="4174A5BB"/>
    <w:rsid w:val="41781759"/>
    <w:rsid w:val="418AA987"/>
    <w:rsid w:val="4194876B"/>
    <w:rsid w:val="419AE6EF"/>
    <w:rsid w:val="419BA913"/>
    <w:rsid w:val="41A119DF"/>
    <w:rsid w:val="41A38273"/>
    <w:rsid w:val="41B12502"/>
    <w:rsid w:val="41B7DB57"/>
    <w:rsid w:val="41BB9C6A"/>
    <w:rsid w:val="41C72536"/>
    <w:rsid w:val="41CFC800"/>
    <w:rsid w:val="41DD4335"/>
    <w:rsid w:val="41E9CD40"/>
    <w:rsid w:val="41ED9818"/>
    <w:rsid w:val="41EF66F9"/>
    <w:rsid w:val="41F9825D"/>
    <w:rsid w:val="42016F85"/>
    <w:rsid w:val="4207AE7E"/>
    <w:rsid w:val="420A28B8"/>
    <w:rsid w:val="421F12F6"/>
    <w:rsid w:val="421FAFAD"/>
    <w:rsid w:val="4220D15B"/>
    <w:rsid w:val="422FFEF8"/>
    <w:rsid w:val="4235B6E5"/>
    <w:rsid w:val="423EC1ED"/>
    <w:rsid w:val="42472D5F"/>
    <w:rsid w:val="424803F2"/>
    <w:rsid w:val="424E3050"/>
    <w:rsid w:val="425105AA"/>
    <w:rsid w:val="4251CE54"/>
    <w:rsid w:val="42561BB3"/>
    <w:rsid w:val="425B40ED"/>
    <w:rsid w:val="42738531"/>
    <w:rsid w:val="427D2629"/>
    <w:rsid w:val="427D8B56"/>
    <w:rsid w:val="4288A657"/>
    <w:rsid w:val="4288F89C"/>
    <w:rsid w:val="4289C3C8"/>
    <w:rsid w:val="428F0AB6"/>
    <w:rsid w:val="42A4338E"/>
    <w:rsid w:val="42AEC0D6"/>
    <w:rsid w:val="42B141FA"/>
    <w:rsid w:val="42B440C2"/>
    <w:rsid w:val="42BA2712"/>
    <w:rsid w:val="42C1A997"/>
    <w:rsid w:val="42C5DEE6"/>
    <w:rsid w:val="42E654A3"/>
    <w:rsid w:val="42E765E3"/>
    <w:rsid w:val="42E8AD94"/>
    <w:rsid w:val="430751DE"/>
    <w:rsid w:val="4315318B"/>
    <w:rsid w:val="4319C7E3"/>
    <w:rsid w:val="43241FAE"/>
    <w:rsid w:val="432679E8"/>
    <w:rsid w:val="432F9039"/>
    <w:rsid w:val="4334AB19"/>
    <w:rsid w:val="4338B02E"/>
    <w:rsid w:val="43410976"/>
    <w:rsid w:val="4356A14B"/>
    <w:rsid w:val="435BFE99"/>
    <w:rsid w:val="43618144"/>
    <w:rsid w:val="437C3CF0"/>
    <w:rsid w:val="4380CC7F"/>
    <w:rsid w:val="43860184"/>
    <w:rsid w:val="43905DA1"/>
    <w:rsid w:val="4393E198"/>
    <w:rsid w:val="439F7E83"/>
    <w:rsid w:val="43B420A7"/>
    <w:rsid w:val="43BACA5B"/>
    <w:rsid w:val="43BC374A"/>
    <w:rsid w:val="43C647E7"/>
    <w:rsid w:val="43D580D8"/>
    <w:rsid w:val="43D9A29F"/>
    <w:rsid w:val="43E6B26F"/>
    <w:rsid w:val="43F1F594"/>
    <w:rsid w:val="43F93DEC"/>
    <w:rsid w:val="440A81C1"/>
    <w:rsid w:val="440D74DC"/>
    <w:rsid w:val="441B4134"/>
    <w:rsid w:val="441BCCE1"/>
    <w:rsid w:val="441CCD06"/>
    <w:rsid w:val="443DD4E6"/>
    <w:rsid w:val="4450D93C"/>
    <w:rsid w:val="44552A83"/>
    <w:rsid w:val="44610046"/>
    <w:rsid w:val="44634A64"/>
    <w:rsid w:val="44785438"/>
    <w:rsid w:val="44816EA8"/>
    <w:rsid w:val="4491B786"/>
    <w:rsid w:val="4496EFC3"/>
    <w:rsid w:val="449E3EDD"/>
    <w:rsid w:val="44A16C59"/>
    <w:rsid w:val="44A55A7C"/>
    <w:rsid w:val="44A6DF92"/>
    <w:rsid w:val="44B09BC3"/>
    <w:rsid w:val="44B5BD84"/>
    <w:rsid w:val="44BE57DA"/>
    <w:rsid w:val="44C22C56"/>
    <w:rsid w:val="44CBC494"/>
    <w:rsid w:val="44CF4B4B"/>
    <w:rsid w:val="44D1F628"/>
    <w:rsid w:val="44D600B7"/>
    <w:rsid w:val="44DAB5B1"/>
    <w:rsid w:val="44F586EE"/>
    <w:rsid w:val="45119252"/>
    <w:rsid w:val="451529F8"/>
    <w:rsid w:val="451B709C"/>
    <w:rsid w:val="4523C2B8"/>
    <w:rsid w:val="452C5533"/>
    <w:rsid w:val="45311D76"/>
    <w:rsid w:val="4531F361"/>
    <w:rsid w:val="4540A92D"/>
    <w:rsid w:val="45435486"/>
    <w:rsid w:val="45474FC3"/>
    <w:rsid w:val="455244FD"/>
    <w:rsid w:val="456755E5"/>
    <w:rsid w:val="4567D013"/>
    <w:rsid w:val="4581A48A"/>
    <w:rsid w:val="458286CE"/>
    <w:rsid w:val="45842FB6"/>
    <w:rsid w:val="4587C09E"/>
    <w:rsid w:val="45880808"/>
    <w:rsid w:val="458CEC37"/>
    <w:rsid w:val="45C0799B"/>
    <w:rsid w:val="45D2BEB6"/>
    <w:rsid w:val="45D3C0EE"/>
    <w:rsid w:val="45D6ED77"/>
    <w:rsid w:val="45D72727"/>
    <w:rsid w:val="45E06CF9"/>
    <w:rsid w:val="45E74DF6"/>
    <w:rsid w:val="45E98352"/>
    <w:rsid w:val="45F2273D"/>
    <w:rsid w:val="45F32C20"/>
    <w:rsid w:val="45FB355A"/>
    <w:rsid w:val="460B63CB"/>
    <w:rsid w:val="46146C21"/>
    <w:rsid w:val="461770BD"/>
    <w:rsid w:val="461C4AD8"/>
    <w:rsid w:val="46203BA6"/>
    <w:rsid w:val="462D4177"/>
    <w:rsid w:val="463A40F7"/>
    <w:rsid w:val="463AE172"/>
    <w:rsid w:val="464C0655"/>
    <w:rsid w:val="465DA9E5"/>
    <w:rsid w:val="46630781"/>
    <w:rsid w:val="4670016A"/>
    <w:rsid w:val="469216C5"/>
    <w:rsid w:val="4692F4F5"/>
    <w:rsid w:val="469A0DB7"/>
    <w:rsid w:val="469D86B8"/>
    <w:rsid w:val="469EFBDE"/>
    <w:rsid w:val="46A3D038"/>
    <w:rsid w:val="46A3E19C"/>
    <w:rsid w:val="46B3CB23"/>
    <w:rsid w:val="46BFE878"/>
    <w:rsid w:val="46CB0300"/>
    <w:rsid w:val="46D9F634"/>
    <w:rsid w:val="46EAA813"/>
    <w:rsid w:val="46EC29F9"/>
    <w:rsid w:val="46EF1666"/>
    <w:rsid w:val="46F46040"/>
    <w:rsid w:val="46FD0FC7"/>
    <w:rsid w:val="47030C3A"/>
    <w:rsid w:val="47182085"/>
    <w:rsid w:val="4719A055"/>
    <w:rsid w:val="471CABE9"/>
    <w:rsid w:val="47225A6E"/>
    <w:rsid w:val="4722B50C"/>
    <w:rsid w:val="47242368"/>
    <w:rsid w:val="47277822"/>
    <w:rsid w:val="4727BE06"/>
    <w:rsid w:val="4728FF8A"/>
    <w:rsid w:val="4739376F"/>
    <w:rsid w:val="474408B6"/>
    <w:rsid w:val="47468D8A"/>
    <w:rsid w:val="4756977D"/>
    <w:rsid w:val="4760A673"/>
    <w:rsid w:val="476875B0"/>
    <w:rsid w:val="4771E349"/>
    <w:rsid w:val="4773D0B4"/>
    <w:rsid w:val="47833267"/>
    <w:rsid w:val="4793F4AF"/>
    <w:rsid w:val="47AD4FCE"/>
    <w:rsid w:val="47B7D6B6"/>
    <w:rsid w:val="47C66B49"/>
    <w:rsid w:val="47C6B971"/>
    <w:rsid w:val="47D2B229"/>
    <w:rsid w:val="47D2DF0D"/>
    <w:rsid w:val="47D5C20C"/>
    <w:rsid w:val="47DDDC99"/>
    <w:rsid w:val="47E5A6A3"/>
    <w:rsid w:val="47E66516"/>
    <w:rsid w:val="47ECFD0A"/>
    <w:rsid w:val="47F95D51"/>
    <w:rsid w:val="48043CD3"/>
    <w:rsid w:val="480E2FBA"/>
    <w:rsid w:val="4811AFB4"/>
    <w:rsid w:val="48163D06"/>
    <w:rsid w:val="48322CA0"/>
    <w:rsid w:val="48398251"/>
    <w:rsid w:val="484FC01A"/>
    <w:rsid w:val="48585C6F"/>
    <w:rsid w:val="485C145E"/>
    <w:rsid w:val="4862B434"/>
    <w:rsid w:val="486C4E56"/>
    <w:rsid w:val="486FE91D"/>
    <w:rsid w:val="4873C7AF"/>
    <w:rsid w:val="488C0961"/>
    <w:rsid w:val="48993B48"/>
    <w:rsid w:val="48B5202D"/>
    <w:rsid w:val="48BF94CE"/>
    <w:rsid w:val="48C0CF2C"/>
    <w:rsid w:val="48EA6A5D"/>
    <w:rsid w:val="48F85DF2"/>
    <w:rsid w:val="48F8608D"/>
    <w:rsid w:val="48FB267B"/>
    <w:rsid w:val="48FC570D"/>
    <w:rsid w:val="48FE1A17"/>
    <w:rsid w:val="490D97E9"/>
    <w:rsid w:val="492181D3"/>
    <w:rsid w:val="4929BEBE"/>
    <w:rsid w:val="493CFC91"/>
    <w:rsid w:val="495AD261"/>
    <w:rsid w:val="495D306E"/>
    <w:rsid w:val="49668B57"/>
    <w:rsid w:val="496DB336"/>
    <w:rsid w:val="49754D83"/>
    <w:rsid w:val="497672CE"/>
    <w:rsid w:val="497A461D"/>
    <w:rsid w:val="497BB2E6"/>
    <w:rsid w:val="4985D9BA"/>
    <w:rsid w:val="498F6C9B"/>
    <w:rsid w:val="4996700A"/>
    <w:rsid w:val="499CB596"/>
    <w:rsid w:val="499DE037"/>
    <w:rsid w:val="499F70A4"/>
    <w:rsid w:val="49AA001B"/>
    <w:rsid w:val="49AF91C2"/>
    <w:rsid w:val="49D944FA"/>
    <w:rsid w:val="49DAB3DE"/>
    <w:rsid w:val="49DB0D79"/>
    <w:rsid w:val="49E4E7E4"/>
    <w:rsid w:val="49E51E59"/>
    <w:rsid w:val="49F18C1D"/>
    <w:rsid w:val="49FCF79B"/>
    <w:rsid w:val="4A08AC2C"/>
    <w:rsid w:val="4A0A2EBD"/>
    <w:rsid w:val="4A0A5A0A"/>
    <w:rsid w:val="4A128932"/>
    <w:rsid w:val="4A1F1390"/>
    <w:rsid w:val="4A25A3E7"/>
    <w:rsid w:val="4A29296C"/>
    <w:rsid w:val="4A2CC226"/>
    <w:rsid w:val="4A36946D"/>
    <w:rsid w:val="4A3D279A"/>
    <w:rsid w:val="4A3DEB8E"/>
    <w:rsid w:val="4A474D33"/>
    <w:rsid w:val="4A499582"/>
    <w:rsid w:val="4A4B15CF"/>
    <w:rsid w:val="4A4E8F7E"/>
    <w:rsid w:val="4A4EE584"/>
    <w:rsid w:val="4A4F9327"/>
    <w:rsid w:val="4A54059D"/>
    <w:rsid w:val="4A58B5F9"/>
    <w:rsid w:val="4A7F57E1"/>
    <w:rsid w:val="4A80C67B"/>
    <w:rsid w:val="4A85DEEF"/>
    <w:rsid w:val="4A9D96B8"/>
    <w:rsid w:val="4AA150A2"/>
    <w:rsid w:val="4AAFBC3A"/>
    <w:rsid w:val="4ABABCA1"/>
    <w:rsid w:val="4AC71808"/>
    <w:rsid w:val="4AD7A05F"/>
    <w:rsid w:val="4ADBFD03"/>
    <w:rsid w:val="4AEEF01F"/>
    <w:rsid w:val="4AF94F03"/>
    <w:rsid w:val="4B0FBB29"/>
    <w:rsid w:val="4B2076B1"/>
    <w:rsid w:val="4B218080"/>
    <w:rsid w:val="4B236807"/>
    <w:rsid w:val="4B3ED5E5"/>
    <w:rsid w:val="4B4EC5AD"/>
    <w:rsid w:val="4B4FCE11"/>
    <w:rsid w:val="4B62109D"/>
    <w:rsid w:val="4B6E347D"/>
    <w:rsid w:val="4B73206F"/>
    <w:rsid w:val="4B78ACEF"/>
    <w:rsid w:val="4B7922AC"/>
    <w:rsid w:val="4B933F96"/>
    <w:rsid w:val="4B9D2FE4"/>
    <w:rsid w:val="4BA0650D"/>
    <w:rsid w:val="4BA173FB"/>
    <w:rsid w:val="4BB02170"/>
    <w:rsid w:val="4BC5EE4E"/>
    <w:rsid w:val="4BCA4EC5"/>
    <w:rsid w:val="4BD46F22"/>
    <w:rsid w:val="4BD61120"/>
    <w:rsid w:val="4BD77CD0"/>
    <w:rsid w:val="4BDA94AA"/>
    <w:rsid w:val="4BE79D25"/>
    <w:rsid w:val="4BEC2920"/>
    <w:rsid w:val="4BF6E1C3"/>
    <w:rsid w:val="4BFD069D"/>
    <w:rsid w:val="4BFFE9C8"/>
    <w:rsid w:val="4C076AC4"/>
    <w:rsid w:val="4C0EAB81"/>
    <w:rsid w:val="4C15EC73"/>
    <w:rsid w:val="4C283FC5"/>
    <w:rsid w:val="4C343182"/>
    <w:rsid w:val="4C3D9A16"/>
    <w:rsid w:val="4C5334D7"/>
    <w:rsid w:val="4C610A80"/>
    <w:rsid w:val="4C686EFD"/>
    <w:rsid w:val="4C74A6B4"/>
    <w:rsid w:val="4C7BE6D9"/>
    <w:rsid w:val="4C8057D8"/>
    <w:rsid w:val="4C9388F3"/>
    <w:rsid w:val="4CACF366"/>
    <w:rsid w:val="4CB6F452"/>
    <w:rsid w:val="4CC14BA8"/>
    <w:rsid w:val="4CCD5C2E"/>
    <w:rsid w:val="4CD005D0"/>
    <w:rsid w:val="4CDE8A52"/>
    <w:rsid w:val="4CF460BA"/>
    <w:rsid w:val="4CFFD4AF"/>
    <w:rsid w:val="4D0777C8"/>
    <w:rsid w:val="4D0895D2"/>
    <w:rsid w:val="4D0DFE0E"/>
    <w:rsid w:val="4D1DA840"/>
    <w:rsid w:val="4D202AFF"/>
    <w:rsid w:val="4D29E1EA"/>
    <w:rsid w:val="4D3E2542"/>
    <w:rsid w:val="4D3E6813"/>
    <w:rsid w:val="4D535990"/>
    <w:rsid w:val="4D611529"/>
    <w:rsid w:val="4D6304EE"/>
    <w:rsid w:val="4D65996C"/>
    <w:rsid w:val="4D833F86"/>
    <w:rsid w:val="4D944EA1"/>
    <w:rsid w:val="4DB59A1D"/>
    <w:rsid w:val="4DB93197"/>
    <w:rsid w:val="4DC0F60E"/>
    <w:rsid w:val="4DCDA35E"/>
    <w:rsid w:val="4DF92D0A"/>
    <w:rsid w:val="4E01AD19"/>
    <w:rsid w:val="4E09F143"/>
    <w:rsid w:val="4E16CF9A"/>
    <w:rsid w:val="4E1F4B96"/>
    <w:rsid w:val="4E2B4553"/>
    <w:rsid w:val="4E311FB6"/>
    <w:rsid w:val="4E4BEDB1"/>
    <w:rsid w:val="4E4CBB97"/>
    <w:rsid w:val="4E71F6A7"/>
    <w:rsid w:val="4E765FCB"/>
    <w:rsid w:val="4E77E16E"/>
    <w:rsid w:val="4E7B6480"/>
    <w:rsid w:val="4E82D1BD"/>
    <w:rsid w:val="4E835C06"/>
    <w:rsid w:val="4E923A40"/>
    <w:rsid w:val="4E93254F"/>
    <w:rsid w:val="4EB904DA"/>
    <w:rsid w:val="4EBDCF14"/>
    <w:rsid w:val="4EBF29C2"/>
    <w:rsid w:val="4EC5E1AE"/>
    <w:rsid w:val="4ED5B330"/>
    <w:rsid w:val="4ED9FE64"/>
    <w:rsid w:val="4EF26A69"/>
    <w:rsid w:val="4EF828DF"/>
    <w:rsid w:val="4F022F05"/>
    <w:rsid w:val="4F0C73FC"/>
    <w:rsid w:val="4F22CDC3"/>
    <w:rsid w:val="4F2C63DB"/>
    <w:rsid w:val="4F3563AE"/>
    <w:rsid w:val="4F4EAA5A"/>
    <w:rsid w:val="4F58DF25"/>
    <w:rsid w:val="4F5D608D"/>
    <w:rsid w:val="4F61309C"/>
    <w:rsid w:val="4F95E3B0"/>
    <w:rsid w:val="4F9BAA16"/>
    <w:rsid w:val="4F9D1663"/>
    <w:rsid w:val="4FA569AD"/>
    <w:rsid w:val="4FBB33F1"/>
    <w:rsid w:val="4FCF3F0A"/>
    <w:rsid w:val="4FDE39A1"/>
    <w:rsid w:val="4FE0DF57"/>
    <w:rsid w:val="4FEABECF"/>
    <w:rsid w:val="4FF30A90"/>
    <w:rsid w:val="4FF54EC5"/>
    <w:rsid w:val="4FF701D0"/>
    <w:rsid w:val="500024FF"/>
    <w:rsid w:val="500A3D08"/>
    <w:rsid w:val="5032B5B4"/>
    <w:rsid w:val="50477ADD"/>
    <w:rsid w:val="504A3148"/>
    <w:rsid w:val="504B9165"/>
    <w:rsid w:val="50515828"/>
    <w:rsid w:val="5055FF69"/>
    <w:rsid w:val="505C6E5D"/>
    <w:rsid w:val="506EA678"/>
    <w:rsid w:val="507855B0"/>
    <w:rsid w:val="508834A8"/>
    <w:rsid w:val="50943E1A"/>
    <w:rsid w:val="50952378"/>
    <w:rsid w:val="509CF7E0"/>
    <w:rsid w:val="509E7FCD"/>
    <w:rsid w:val="50A8570A"/>
    <w:rsid w:val="50A8D1B4"/>
    <w:rsid w:val="50B48189"/>
    <w:rsid w:val="50B7C34D"/>
    <w:rsid w:val="50BA3678"/>
    <w:rsid w:val="50CBDC26"/>
    <w:rsid w:val="50CFD2F0"/>
    <w:rsid w:val="50D1C94B"/>
    <w:rsid w:val="50D8DEAE"/>
    <w:rsid w:val="50F03936"/>
    <w:rsid w:val="50F4DBFE"/>
    <w:rsid w:val="5101E129"/>
    <w:rsid w:val="5103F88A"/>
    <w:rsid w:val="511574DC"/>
    <w:rsid w:val="51202E8A"/>
    <w:rsid w:val="51271B3E"/>
    <w:rsid w:val="5129FCE1"/>
    <w:rsid w:val="5134F1A4"/>
    <w:rsid w:val="513C6801"/>
    <w:rsid w:val="514E705C"/>
    <w:rsid w:val="515880CB"/>
    <w:rsid w:val="515A7449"/>
    <w:rsid w:val="515D8C37"/>
    <w:rsid w:val="517990A7"/>
    <w:rsid w:val="5182719A"/>
    <w:rsid w:val="519AD9A6"/>
    <w:rsid w:val="51AB0FCD"/>
    <w:rsid w:val="51ACC862"/>
    <w:rsid w:val="51C7F42B"/>
    <w:rsid w:val="51F4FA81"/>
    <w:rsid w:val="520BCB8E"/>
    <w:rsid w:val="52207AAA"/>
    <w:rsid w:val="52248960"/>
    <w:rsid w:val="52276BAC"/>
    <w:rsid w:val="5228DE0A"/>
    <w:rsid w:val="5236BB11"/>
    <w:rsid w:val="523859F1"/>
    <w:rsid w:val="523D1E86"/>
    <w:rsid w:val="523D4CBF"/>
    <w:rsid w:val="52424EF3"/>
    <w:rsid w:val="524C1D73"/>
    <w:rsid w:val="52744FFF"/>
    <w:rsid w:val="52899BA3"/>
    <w:rsid w:val="528EE33E"/>
    <w:rsid w:val="529066CD"/>
    <w:rsid w:val="5298D38C"/>
    <w:rsid w:val="529CE793"/>
    <w:rsid w:val="52A67ABD"/>
    <w:rsid w:val="52AB8D79"/>
    <w:rsid w:val="52B89B0F"/>
    <w:rsid w:val="52BE4E3E"/>
    <w:rsid w:val="52C98526"/>
    <w:rsid w:val="52D52286"/>
    <w:rsid w:val="52D797B8"/>
    <w:rsid w:val="52E8591F"/>
    <w:rsid w:val="52E8A726"/>
    <w:rsid w:val="52ECF50F"/>
    <w:rsid w:val="530429F1"/>
    <w:rsid w:val="53107BFB"/>
    <w:rsid w:val="531B41D8"/>
    <w:rsid w:val="53276C04"/>
    <w:rsid w:val="532A30B0"/>
    <w:rsid w:val="533043BE"/>
    <w:rsid w:val="5330DC94"/>
    <w:rsid w:val="53324062"/>
    <w:rsid w:val="533DC0AE"/>
    <w:rsid w:val="5351CC84"/>
    <w:rsid w:val="53575B2C"/>
    <w:rsid w:val="53600ECF"/>
    <w:rsid w:val="53684039"/>
    <w:rsid w:val="5374C812"/>
    <w:rsid w:val="53818664"/>
    <w:rsid w:val="538285EF"/>
    <w:rsid w:val="538DC814"/>
    <w:rsid w:val="539090F3"/>
    <w:rsid w:val="539735F9"/>
    <w:rsid w:val="53AE2668"/>
    <w:rsid w:val="53B1A8BF"/>
    <w:rsid w:val="53B593ED"/>
    <w:rsid w:val="53BDAA59"/>
    <w:rsid w:val="53C08D91"/>
    <w:rsid w:val="53CB6122"/>
    <w:rsid w:val="53DBE61D"/>
    <w:rsid w:val="53DED61A"/>
    <w:rsid w:val="53E3C22B"/>
    <w:rsid w:val="53FA0D19"/>
    <w:rsid w:val="540D5AB3"/>
    <w:rsid w:val="541292FE"/>
    <w:rsid w:val="541A0AEF"/>
    <w:rsid w:val="542182B3"/>
    <w:rsid w:val="54245831"/>
    <w:rsid w:val="542F1FD9"/>
    <w:rsid w:val="54367C90"/>
    <w:rsid w:val="543734D3"/>
    <w:rsid w:val="543AB26D"/>
    <w:rsid w:val="5440B1BC"/>
    <w:rsid w:val="544B77BA"/>
    <w:rsid w:val="544F2AC5"/>
    <w:rsid w:val="54569CB4"/>
    <w:rsid w:val="5456C321"/>
    <w:rsid w:val="5458B186"/>
    <w:rsid w:val="546F7B71"/>
    <w:rsid w:val="5470524E"/>
    <w:rsid w:val="547054B5"/>
    <w:rsid w:val="54705DCF"/>
    <w:rsid w:val="547D1E83"/>
    <w:rsid w:val="54A01805"/>
    <w:rsid w:val="54A3E5EA"/>
    <w:rsid w:val="54AA390C"/>
    <w:rsid w:val="54CB905D"/>
    <w:rsid w:val="54D27EC0"/>
    <w:rsid w:val="54E3050E"/>
    <w:rsid w:val="54EFDBC8"/>
    <w:rsid w:val="54F1D997"/>
    <w:rsid w:val="54F5960E"/>
    <w:rsid w:val="5502A290"/>
    <w:rsid w:val="5528D3B0"/>
    <w:rsid w:val="552D6C80"/>
    <w:rsid w:val="5535E3FD"/>
    <w:rsid w:val="554D3D35"/>
    <w:rsid w:val="555D3990"/>
    <w:rsid w:val="5560C4D3"/>
    <w:rsid w:val="5565786E"/>
    <w:rsid w:val="556F9065"/>
    <w:rsid w:val="5582342D"/>
    <w:rsid w:val="558273EC"/>
    <w:rsid w:val="5586D041"/>
    <w:rsid w:val="55BD5314"/>
    <w:rsid w:val="55CDEBC3"/>
    <w:rsid w:val="55DE5BAE"/>
    <w:rsid w:val="55E04B9F"/>
    <w:rsid w:val="55E32E3B"/>
    <w:rsid w:val="55E47C5C"/>
    <w:rsid w:val="55F36E1B"/>
    <w:rsid w:val="55F50217"/>
    <w:rsid w:val="562C66DC"/>
    <w:rsid w:val="562EC645"/>
    <w:rsid w:val="5652BF9D"/>
    <w:rsid w:val="5659DD8A"/>
    <w:rsid w:val="565FC9B1"/>
    <w:rsid w:val="566101BF"/>
    <w:rsid w:val="568844F3"/>
    <w:rsid w:val="56892564"/>
    <w:rsid w:val="568AAD31"/>
    <w:rsid w:val="569F8CA2"/>
    <w:rsid w:val="56A8D07C"/>
    <w:rsid w:val="56AE7CA3"/>
    <w:rsid w:val="56BF6DE3"/>
    <w:rsid w:val="56C4BF21"/>
    <w:rsid w:val="56CE010E"/>
    <w:rsid w:val="56D01C60"/>
    <w:rsid w:val="56D2754E"/>
    <w:rsid w:val="56DD523B"/>
    <w:rsid w:val="56F1D292"/>
    <w:rsid w:val="56F38A98"/>
    <w:rsid w:val="56F7EB88"/>
    <w:rsid w:val="57005EAC"/>
    <w:rsid w:val="570220C6"/>
    <w:rsid w:val="571429C8"/>
    <w:rsid w:val="571676DC"/>
    <w:rsid w:val="5718DFAD"/>
    <w:rsid w:val="572AFCB0"/>
    <w:rsid w:val="5733C313"/>
    <w:rsid w:val="573798D8"/>
    <w:rsid w:val="573EDB60"/>
    <w:rsid w:val="57508B8A"/>
    <w:rsid w:val="57662F9A"/>
    <w:rsid w:val="57680167"/>
    <w:rsid w:val="576E16C1"/>
    <w:rsid w:val="5775F878"/>
    <w:rsid w:val="5776D694"/>
    <w:rsid w:val="577EFE9C"/>
    <w:rsid w:val="57830BFD"/>
    <w:rsid w:val="57888496"/>
    <w:rsid w:val="57A53142"/>
    <w:rsid w:val="57A5D212"/>
    <w:rsid w:val="57B9578C"/>
    <w:rsid w:val="57C4685D"/>
    <w:rsid w:val="57C494B5"/>
    <w:rsid w:val="57CBC3A1"/>
    <w:rsid w:val="57CE4108"/>
    <w:rsid w:val="57E1B0E7"/>
    <w:rsid w:val="57E532D9"/>
    <w:rsid w:val="57EB807C"/>
    <w:rsid w:val="57F0A5F3"/>
    <w:rsid w:val="57F5B8E5"/>
    <w:rsid w:val="57F8334A"/>
    <w:rsid w:val="57FE165D"/>
    <w:rsid w:val="57FE7AFE"/>
    <w:rsid w:val="5802F597"/>
    <w:rsid w:val="58285DF9"/>
    <w:rsid w:val="582DD0DE"/>
    <w:rsid w:val="58301FA5"/>
    <w:rsid w:val="583EBD5D"/>
    <w:rsid w:val="5846A791"/>
    <w:rsid w:val="5847D48E"/>
    <w:rsid w:val="584C3EA1"/>
    <w:rsid w:val="586E83ED"/>
    <w:rsid w:val="5871605A"/>
    <w:rsid w:val="587A1510"/>
    <w:rsid w:val="58884509"/>
    <w:rsid w:val="58911684"/>
    <w:rsid w:val="58967125"/>
    <w:rsid w:val="5896DFF7"/>
    <w:rsid w:val="5898124A"/>
    <w:rsid w:val="58A0D8A9"/>
    <w:rsid w:val="58AF21B4"/>
    <w:rsid w:val="58B01AC3"/>
    <w:rsid w:val="58B35AE2"/>
    <w:rsid w:val="58B61E88"/>
    <w:rsid w:val="58B718CC"/>
    <w:rsid w:val="58BB6766"/>
    <w:rsid w:val="58C3D1B0"/>
    <w:rsid w:val="58CE235C"/>
    <w:rsid w:val="58CFF4C4"/>
    <w:rsid w:val="58DD6D24"/>
    <w:rsid w:val="58DEE385"/>
    <w:rsid w:val="58FFB53A"/>
    <w:rsid w:val="59037C76"/>
    <w:rsid w:val="5905E671"/>
    <w:rsid w:val="590F86BA"/>
    <w:rsid w:val="59128FC2"/>
    <w:rsid w:val="59132A84"/>
    <w:rsid w:val="59181677"/>
    <w:rsid w:val="591EF0D9"/>
    <w:rsid w:val="5926B417"/>
    <w:rsid w:val="592B32F1"/>
    <w:rsid w:val="592F1976"/>
    <w:rsid w:val="5930A637"/>
    <w:rsid w:val="593443D9"/>
    <w:rsid w:val="59441F42"/>
    <w:rsid w:val="594776BC"/>
    <w:rsid w:val="594BCDBE"/>
    <w:rsid w:val="595CA400"/>
    <w:rsid w:val="5978520A"/>
    <w:rsid w:val="597C4623"/>
    <w:rsid w:val="597E15AF"/>
    <w:rsid w:val="597F9156"/>
    <w:rsid w:val="5984F150"/>
    <w:rsid w:val="5991C478"/>
    <w:rsid w:val="59A15FCF"/>
    <w:rsid w:val="59B91B47"/>
    <w:rsid w:val="59C0F9A7"/>
    <w:rsid w:val="59CAA8C5"/>
    <w:rsid w:val="59D47141"/>
    <w:rsid w:val="59D6DE7F"/>
    <w:rsid w:val="59D83523"/>
    <w:rsid w:val="59EEE831"/>
    <w:rsid w:val="59F5AE72"/>
    <w:rsid w:val="5A07070B"/>
    <w:rsid w:val="5A20C5C7"/>
    <w:rsid w:val="5A234D34"/>
    <w:rsid w:val="5A3ABDA8"/>
    <w:rsid w:val="5A452688"/>
    <w:rsid w:val="5A4BB41F"/>
    <w:rsid w:val="5A50B7FB"/>
    <w:rsid w:val="5A562798"/>
    <w:rsid w:val="5A5DA331"/>
    <w:rsid w:val="5A5E01CD"/>
    <w:rsid w:val="5A6961EA"/>
    <w:rsid w:val="5A6CBB80"/>
    <w:rsid w:val="5A6FF68C"/>
    <w:rsid w:val="5A71E1BB"/>
    <w:rsid w:val="5A8F8C9D"/>
    <w:rsid w:val="5A99D16A"/>
    <w:rsid w:val="5AB20827"/>
    <w:rsid w:val="5AB8BB9D"/>
    <w:rsid w:val="5ABA32E2"/>
    <w:rsid w:val="5ABCC9B7"/>
    <w:rsid w:val="5AC27C64"/>
    <w:rsid w:val="5AC55C8C"/>
    <w:rsid w:val="5ACEF9C0"/>
    <w:rsid w:val="5B041981"/>
    <w:rsid w:val="5B0B1282"/>
    <w:rsid w:val="5B0BA5D3"/>
    <w:rsid w:val="5B2CA1D6"/>
    <w:rsid w:val="5B33327E"/>
    <w:rsid w:val="5B371C8A"/>
    <w:rsid w:val="5B3826EB"/>
    <w:rsid w:val="5B4F9D1D"/>
    <w:rsid w:val="5B61831D"/>
    <w:rsid w:val="5B6352D8"/>
    <w:rsid w:val="5B662CEC"/>
    <w:rsid w:val="5B67E709"/>
    <w:rsid w:val="5B7CF298"/>
    <w:rsid w:val="5B7D7CBB"/>
    <w:rsid w:val="5B9CF12A"/>
    <w:rsid w:val="5BA070ED"/>
    <w:rsid w:val="5BAA0161"/>
    <w:rsid w:val="5BB22F5B"/>
    <w:rsid w:val="5BB8364D"/>
    <w:rsid w:val="5BCA66FE"/>
    <w:rsid w:val="5BCDBA91"/>
    <w:rsid w:val="5BCFC339"/>
    <w:rsid w:val="5BD54540"/>
    <w:rsid w:val="5BD69D00"/>
    <w:rsid w:val="5BD900D6"/>
    <w:rsid w:val="5BE0C8B8"/>
    <w:rsid w:val="5BE25137"/>
    <w:rsid w:val="5BFD1C0F"/>
    <w:rsid w:val="5C02489E"/>
    <w:rsid w:val="5C0C51AF"/>
    <w:rsid w:val="5C0DB21C"/>
    <w:rsid w:val="5C0E04BA"/>
    <w:rsid w:val="5C10E2AE"/>
    <w:rsid w:val="5C13099E"/>
    <w:rsid w:val="5C193B74"/>
    <w:rsid w:val="5C274CCB"/>
    <w:rsid w:val="5C35B54C"/>
    <w:rsid w:val="5C414369"/>
    <w:rsid w:val="5C458CC3"/>
    <w:rsid w:val="5C476D19"/>
    <w:rsid w:val="5C478AFD"/>
    <w:rsid w:val="5C4BA9B0"/>
    <w:rsid w:val="5C56AE53"/>
    <w:rsid w:val="5C62B9E1"/>
    <w:rsid w:val="5C6D52DB"/>
    <w:rsid w:val="5C83187D"/>
    <w:rsid w:val="5C83D524"/>
    <w:rsid w:val="5C915A82"/>
    <w:rsid w:val="5CB20B25"/>
    <w:rsid w:val="5CB65E91"/>
    <w:rsid w:val="5CB8BF32"/>
    <w:rsid w:val="5CCB7ADA"/>
    <w:rsid w:val="5CCC7533"/>
    <w:rsid w:val="5CCDE803"/>
    <w:rsid w:val="5CE42611"/>
    <w:rsid w:val="5CF0ACFD"/>
    <w:rsid w:val="5D0356FB"/>
    <w:rsid w:val="5D145545"/>
    <w:rsid w:val="5D195D38"/>
    <w:rsid w:val="5D1D4BD8"/>
    <w:rsid w:val="5D236EF0"/>
    <w:rsid w:val="5D2ABC9C"/>
    <w:rsid w:val="5D2B1663"/>
    <w:rsid w:val="5D2E3632"/>
    <w:rsid w:val="5D3F9115"/>
    <w:rsid w:val="5D4780D3"/>
    <w:rsid w:val="5D483CEE"/>
    <w:rsid w:val="5D4F3F87"/>
    <w:rsid w:val="5D4F65B2"/>
    <w:rsid w:val="5D56845F"/>
    <w:rsid w:val="5D5A2077"/>
    <w:rsid w:val="5D746528"/>
    <w:rsid w:val="5D75139E"/>
    <w:rsid w:val="5D78079F"/>
    <w:rsid w:val="5D799B20"/>
    <w:rsid w:val="5D86EFEA"/>
    <w:rsid w:val="5DA73838"/>
    <w:rsid w:val="5DAC999E"/>
    <w:rsid w:val="5DB40761"/>
    <w:rsid w:val="5DB8FA3D"/>
    <w:rsid w:val="5DBC8729"/>
    <w:rsid w:val="5DC3ABCC"/>
    <w:rsid w:val="5DD04262"/>
    <w:rsid w:val="5DD9257C"/>
    <w:rsid w:val="5DDED19D"/>
    <w:rsid w:val="5DEB326E"/>
    <w:rsid w:val="5DF05693"/>
    <w:rsid w:val="5DF10732"/>
    <w:rsid w:val="5DF2AC90"/>
    <w:rsid w:val="5DFE287D"/>
    <w:rsid w:val="5E01C2AC"/>
    <w:rsid w:val="5E024588"/>
    <w:rsid w:val="5E036C1D"/>
    <w:rsid w:val="5E055717"/>
    <w:rsid w:val="5E067B68"/>
    <w:rsid w:val="5E158724"/>
    <w:rsid w:val="5E1926F5"/>
    <w:rsid w:val="5E1AC6FC"/>
    <w:rsid w:val="5E21F95F"/>
    <w:rsid w:val="5E244379"/>
    <w:rsid w:val="5E2E51FE"/>
    <w:rsid w:val="5E321220"/>
    <w:rsid w:val="5E49C758"/>
    <w:rsid w:val="5E4AF43C"/>
    <w:rsid w:val="5E586867"/>
    <w:rsid w:val="5E5B8B7C"/>
    <w:rsid w:val="5E6C5BBC"/>
    <w:rsid w:val="5E7F98CD"/>
    <w:rsid w:val="5E82D503"/>
    <w:rsid w:val="5E8F6DE4"/>
    <w:rsid w:val="5E9C41A4"/>
    <w:rsid w:val="5EA9F6C1"/>
    <w:rsid w:val="5EC3AE3B"/>
    <w:rsid w:val="5EC4AF19"/>
    <w:rsid w:val="5ED2DC9E"/>
    <w:rsid w:val="5EDCEE58"/>
    <w:rsid w:val="5EF61E55"/>
    <w:rsid w:val="5F0F7689"/>
    <w:rsid w:val="5F135D0A"/>
    <w:rsid w:val="5F1CDF49"/>
    <w:rsid w:val="5F26D4AB"/>
    <w:rsid w:val="5F2AD538"/>
    <w:rsid w:val="5F2FCA7F"/>
    <w:rsid w:val="5F3384C5"/>
    <w:rsid w:val="5F3A735C"/>
    <w:rsid w:val="5F41270C"/>
    <w:rsid w:val="5F470E89"/>
    <w:rsid w:val="5F5D2F8F"/>
    <w:rsid w:val="5F6FBC2A"/>
    <w:rsid w:val="5F80B952"/>
    <w:rsid w:val="5F90EDBE"/>
    <w:rsid w:val="5F913F8D"/>
    <w:rsid w:val="5F9C853E"/>
    <w:rsid w:val="5FA4402F"/>
    <w:rsid w:val="5FA6E05E"/>
    <w:rsid w:val="5FC6F3D4"/>
    <w:rsid w:val="5FE02265"/>
    <w:rsid w:val="5FEAC5AF"/>
    <w:rsid w:val="6001CE40"/>
    <w:rsid w:val="60038A27"/>
    <w:rsid w:val="60060FF9"/>
    <w:rsid w:val="600951D5"/>
    <w:rsid w:val="600E63BB"/>
    <w:rsid w:val="600EA57E"/>
    <w:rsid w:val="6011A9B5"/>
    <w:rsid w:val="601270AE"/>
    <w:rsid w:val="603A9321"/>
    <w:rsid w:val="604B9065"/>
    <w:rsid w:val="604DC586"/>
    <w:rsid w:val="605773F2"/>
    <w:rsid w:val="6058AA50"/>
    <w:rsid w:val="605DB4BF"/>
    <w:rsid w:val="60609F0F"/>
    <w:rsid w:val="6064293A"/>
    <w:rsid w:val="606CFD71"/>
    <w:rsid w:val="6071101E"/>
    <w:rsid w:val="6078B91D"/>
    <w:rsid w:val="60886C86"/>
    <w:rsid w:val="6089C3D4"/>
    <w:rsid w:val="608D2921"/>
    <w:rsid w:val="608D2C8F"/>
    <w:rsid w:val="60937BDE"/>
    <w:rsid w:val="60AF97F1"/>
    <w:rsid w:val="60B61A60"/>
    <w:rsid w:val="60B6D05F"/>
    <w:rsid w:val="60BB7455"/>
    <w:rsid w:val="60C39FEF"/>
    <w:rsid w:val="60C798EF"/>
    <w:rsid w:val="60CC48B1"/>
    <w:rsid w:val="60D991F2"/>
    <w:rsid w:val="60D9FAFE"/>
    <w:rsid w:val="60E60B0D"/>
    <w:rsid w:val="60E62896"/>
    <w:rsid w:val="60EE2E76"/>
    <w:rsid w:val="60EF62C2"/>
    <w:rsid w:val="60FC3FD6"/>
    <w:rsid w:val="60FFA017"/>
    <w:rsid w:val="6118E19B"/>
    <w:rsid w:val="611905E7"/>
    <w:rsid w:val="6133780C"/>
    <w:rsid w:val="613B9401"/>
    <w:rsid w:val="613E8A0A"/>
    <w:rsid w:val="6142A495"/>
    <w:rsid w:val="61511FF3"/>
    <w:rsid w:val="61590D11"/>
    <w:rsid w:val="615EA63B"/>
    <w:rsid w:val="615FE2D6"/>
    <w:rsid w:val="616C0CC6"/>
    <w:rsid w:val="61738C0D"/>
    <w:rsid w:val="6174248B"/>
    <w:rsid w:val="61792302"/>
    <w:rsid w:val="6186153F"/>
    <w:rsid w:val="61874786"/>
    <w:rsid w:val="6190E2C0"/>
    <w:rsid w:val="619FC216"/>
    <w:rsid w:val="61B1042B"/>
    <w:rsid w:val="61B563B0"/>
    <w:rsid w:val="61BA55B2"/>
    <w:rsid w:val="61C00EE3"/>
    <w:rsid w:val="61D41722"/>
    <w:rsid w:val="61EF1E7A"/>
    <w:rsid w:val="61F5C0F1"/>
    <w:rsid w:val="6202C186"/>
    <w:rsid w:val="62045D87"/>
    <w:rsid w:val="62053DE0"/>
    <w:rsid w:val="6209DBA8"/>
    <w:rsid w:val="62169378"/>
    <w:rsid w:val="62245B87"/>
    <w:rsid w:val="6226B4E0"/>
    <w:rsid w:val="62303C52"/>
    <w:rsid w:val="624166C1"/>
    <w:rsid w:val="6248B1D8"/>
    <w:rsid w:val="624C8B0C"/>
    <w:rsid w:val="62526BB9"/>
    <w:rsid w:val="6252C5F2"/>
    <w:rsid w:val="625B0F5F"/>
    <w:rsid w:val="62635453"/>
    <w:rsid w:val="6266C5BE"/>
    <w:rsid w:val="62679BB1"/>
    <w:rsid w:val="626A2B1B"/>
    <w:rsid w:val="626B2587"/>
    <w:rsid w:val="626EA67F"/>
    <w:rsid w:val="6277343F"/>
    <w:rsid w:val="62792331"/>
    <w:rsid w:val="627AB21C"/>
    <w:rsid w:val="6280D336"/>
    <w:rsid w:val="62A4DFCF"/>
    <w:rsid w:val="62BBF9A2"/>
    <w:rsid w:val="62C05268"/>
    <w:rsid w:val="62D6191F"/>
    <w:rsid w:val="62D83DB7"/>
    <w:rsid w:val="62E9586B"/>
    <w:rsid w:val="62FA40B8"/>
    <w:rsid w:val="630DABD3"/>
    <w:rsid w:val="6315C233"/>
    <w:rsid w:val="63240E0D"/>
    <w:rsid w:val="63248B54"/>
    <w:rsid w:val="63374657"/>
    <w:rsid w:val="633CE968"/>
    <w:rsid w:val="63546843"/>
    <w:rsid w:val="637CF256"/>
    <w:rsid w:val="63875D4F"/>
    <w:rsid w:val="638B6B11"/>
    <w:rsid w:val="639AFC6E"/>
    <w:rsid w:val="639C568A"/>
    <w:rsid w:val="639E7701"/>
    <w:rsid w:val="63B2823E"/>
    <w:rsid w:val="63C765B6"/>
    <w:rsid w:val="63DC4A17"/>
    <w:rsid w:val="63DF9838"/>
    <w:rsid w:val="63E3677B"/>
    <w:rsid w:val="63E3BD7B"/>
    <w:rsid w:val="63F27307"/>
    <w:rsid w:val="63FFA7D4"/>
    <w:rsid w:val="6407DEF4"/>
    <w:rsid w:val="6423595C"/>
    <w:rsid w:val="642C2E38"/>
    <w:rsid w:val="642D86B2"/>
    <w:rsid w:val="64376A3F"/>
    <w:rsid w:val="6437CEB6"/>
    <w:rsid w:val="643C061B"/>
    <w:rsid w:val="644444BE"/>
    <w:rsid w:val="6446A992"/>
    <w:rsid w:val="644ABDE7"/>
    <w:rsid w:val="644AD515"/>
    <w:rsid w:val="64628A4E"/>
    <w:rsid w:val="6467E452"/>
    <w:rsid w:val="6476ED3F"/>
    <w:rsid w:val="647A4557"/>
    <w:rsid w:val="648A12A2"/>
    <w:rsid w:val="648DB056"/>
    <w:rsid w:val="648DBEF2"/>
    <w:rsid w:val="6490197D"/>
    <w:rsid w:val="64BC0B40"/>
    <w:rsid w:val="64C2792F"/>
    <w:rsid w:val="64C873D8"/>
    <w:rsid w:val="64C92A0B"/>
    <w:rsid w:val="64CCB4F9"/>
    <w:rsid w:val="64E4C9A1"/>
    <w:rsid w:val="64E53F6C"/>
    <w:rsid w:val="64E9A9CE"/>
    <w:rsid w:val="65089340"/>
    <w:rsid w:val="651A0586"/>
    <w:rsid w:val="652669AA"/>
    <w:rsid w:val="653B2A58"/>
    <w:rsid w:val="653D1F0A"/>
    <w:rsid w:val="654A6369"/>
    <w:rsid w:val="655A7923"/>
    <w:rsid w:val="6561CB91"/>
    <w:rsid w:val="6568611E"/>
    <w:rsid w:val="65692A30"/>
    <w:rsid w:val="6573C639"/>
    <w:rsid w:val="657C212B"/>
    <w:rsid w:val="657D01E5"/>
    <w:rsid w:val="658EBADC"/>
    <w:rsid w:val="658F6C63"/>
    <w:rsid w:val="659024E8"/>
    <w:rsid w:val="65902D03"/>
    <w:rsid w:val="6594191C"/>
    <w:rsid w:val="65A1DAB5"/>
    <w:rsid w:val="65A2C649"/>
    <w:rsid w:val="65A452DF"/>
    <w:rsid w:val="65AA6CDF"/>
    <w:rsid w:val="65B8C342"/>
    <w:rsid w:val="65BAA406"/>
    <w:rsid w:val="65C01422"/>
    <w:rsid w:val="65C3C780"/>
    <w:rsid w:val="65E8B2C9"/>
    <w:rsid w:val="65EC380A"/>
    <w:rsid w:val="65EFD9A2"/>
    <w:rsid w:val="65F10BD1"/>
    <w:rsid w:val="6610A834"/>
    <w:rsid w:val="6616372B"/>
    <w:rsid w:val="661C509B"/>
    <w:rsid w:val="66261AA4"/>
    <w:rsid w:val="66294BD3"/>
    <w:rsid w:val="662D0AAC"/>
    <w:rsid w:val="662E941F"/>
    <w:rsid w:val="6637206B"/>
    <w:rsid w:val="663E3937"/>
    <w:rsid w:val="663FA928"/>
    <w:rsid w:val="665B22BA"/>
    <w:rsid w:val="665E1A59"/>
    <w:rsid w:val="66720A28"/>
    <w:rsid w:val="6687F53C"/>
    <w:rsid w:val="668D793F"/>
    <w:rsid w:val="6695BDAE"/>
    <w:rsid w:val="669AD6F1"/>
    <w:rsid w:val="669F976B"/>
    <w:rsid w:val="66A3E28F"/>
    <w:rsid w:val="66A86822"/>
    <w:rsid w:val="66B9ED9A"/>
    <w:rsid w:val="66C353AA"/>
    <w:rsid w:val="66C3C042"/>
    <w:rsid w:val="66CF6BEE"/>
    <w:rsid w:val="66D1E89F"/>
    <w:rsid w:val="66D9E101"/>
    <w:rsid w:val="66E8003D"/>
    <w:rsid w:val="66FCE376"/>
    <w:rsid w:val="6706D3D2"/>
    <w:rsid w:val="6710A2D6"/>
    <w:rsid w:val="6711024C"/>
    <w:rsid w:val="6717DA6B"/>
    <w:rsid w:val="671BEB8C"/>
    <w:rsid w:val="673CF4C8"/>
    <w:rsid w:val="673E0CA4"/>
    <w:rsid w:val="67405222"/>
    <w:rsid w:val="67416D3E"/>
    <w:rsid w:val="67462F33"/>
    <w:rsid w:val="6748507A"/>
    <w:rsid w:val="6759EE1E"/>
    <w:rsid w:val="675B1E27"/>
    <w:rsid w:val="675F4D40"/>
    <w:rsid w:val="6767CC76"/>
    <w:rsid w:val="676E6DD4"/>
    <w:rsid w:val="6798C47F"/>
    <w:rsid w:val="679CFB9C"/>
    <w:rsid w:val="67B59B1A"/>
    <w:rsid w:val="67B67B64"/>
    <w:rsid w:val="67BB754A"/>
    <w:rsid w:val="67BDAE5C"/>
    <w:rsid w:val="67BE7F6F"/>
    <w:rsid w:val="67C1FB50"/>
    <w:rsid w:val="67CEDFE2"/>
    <w:rsid w:val="67D60F2C"/>
    <w:rsid w:val="67D6ECB0"/>
    <w:rsid w:val="67D9D763"/>
    <w:rsid w:val="67DB4014"/>
    <w:rsid w:val="67FF8D16"/>
    <w:rsid w:val="680A2C56"/>
    <w:rsid w:val="680BDF77"/>
    <w:rsid w:val="68126FFF"/>
    <w:rsid w:val="6812ACD8"/>
    <w:rsid w:val="6817A028"/>
    <w:rsid w:val="681BE037"/>
    <w:rsid w:val="68228B3E"/>
    <w:rsid w:val="6822CB4E"/>
    <w:rsid w:val="68273637"/>
    <w:rsid w:val="6831190A"/>
    <w:rsid w:val="68326781"/>
    <w:rsid w:val="683E1B97"/>
    <w:rsid w:val="683EB6D1"/>
    <w:rsid w:val="684052E0"/>
    <w:rsid w:val="6851304F"/>
    <w:rsid w:val="68583F02"/>
    <w:rsid w:val="68639570"/>
    <w:rsid w:val="6868ABCD"/>
    <w:rsid w:val="6873547D"/>
    <w:rsid w:val="6883A6A3"/>
    <w:rsid w:val="6892F777"/>
    <w:rsid w:val="68930D34"/>
    <w:rsid w:val="6896A20C"/>
    <w:rsid w:val="68989FF1"/>
    <w:rsid w:val="689DA26D"/>
    <w:rsid w:val="68A0E9A3"/>
    <w:rsid w:val="68A6FC7C"/>
    <w:rsid w:val="68AE2DF8"/>
    <w:rsid w:val="68BDADD9"/>
    <w:rsid w:val="68CCEF67"/>
    <w:rsid w:val="68D685F7"/>
    <w:rsid w:val="68E9816B"/>
    <w:rsid w:val="68EDA249"/>
    <w:rsid w:val="68FE8516"/>
    <w:rsid w:val="6913EDBF"/>
    <w:rsid w:val="692026D3"/>
    <w:rsid w:val="6920A9C8"/>
    <w:rsid w:val="6924BDE6"/>
    <w:rsid w:val="692EBE13"/>
    <w:rsid w:val="693439B5"/>
    <w:rsid w:val="6935FB71"/>
    <w:rsid w:val="69368952"/>
    <w:rsid w:val="693DB95A"/>
    <w:rsid w:val="693E2BF5"/>
    <w:rsid w:val="69569D06"/>
    <w:rsid w:val="695E08E4"/>
    <w:rsid w:val="69686AB5"/>
    <w:rsid w:val="69737B7D"/>
    <w:rsid w:val="697544A9"/>
    <w:rsid w:val="6977FBCA"/>
    <w:rsid w:val="697E89AA"/>
    <w:rsid w:val="697FE456"/>
    <w:rsid w:val="6986AD66"/>
    <w:rsid w:val="699F19C7"/>
    <w:rsid w:val="69A35BDF"/>
    <w:rsid w:val="69B607A8"/>
    <w:rsid w:val="69CFA1E5"/>
    <w:rsid w:val="69DCBE6E"/>
    <w:rsid w:val="69E37234"/>
    <w:rsid w:val="69E9237C"/>
    <w:rsid w:val="69F491CB"/>
    <w:rsid w:val="69F7CA73"/>
    <w:rsid w:val="69FF8C45"/>
    <w:rsid w:val="6A0F24DE"/>
    <w:rsid w:val="6A163A01"/>
    <w:rsid w:val="6A197DA0"/>
    <w:rsid w:val="6A215BBB"/>
    <w:rsid w:val="6A2BBAD2"/>
    <w:rsid w:val="6A3B7097"/>
    <w:rsid w:val="6A3C20D4"/>
    <w:rsid w:val="6A49CF9E"/>
    <w:rsid w:val="6A4FB087"/>
    <w:rsid w:val="6A57659A"/>
    <w:rsid w:val="6A63250C"/>
    <w:rsid w:val="6A6CB101"/>
    <w:rsid w:val="6A6FF780"/>
    <w:rsid w:val="6A759E1F"/>
    <w:rsid w:val="6A7B810F"/>
    <w:rsid w:val="6A977379"/>
    <w:rsid w:val="6A9F7011"/>
    <w:rsid w:val="6AACADA2"/>
    <w:rsid w:val="6AC418CF"/>
    <w:rsid w:val="6AC88EED"/>
    <w:rsid w:val="6ADB9A8C"/>
    <w:rsid w:val="6AE5AAA7"/>
    <w:rsid w:val="6AF4121B"/>
    <w:rsid w:val="6AF88722"/>
    <w:rsid w:val="6AFEB973"/>
    <w:rsid w:val="6B1C66BF"/>
    <w:rsid w:val="6B292702"/>
    <w:rsid w:val="6B2A4582"/>
    <w:rsid w:val="6B2B8532"/>
    <w:rsid w:val="6B2CB3E4"/>
    <w:rsid w:val="6B39BEA1"/>
    <w:rsid w:val="6B48789A"/>
    <w:rsid w:val="6B48C6B3"/>
    <w:rsid w:val="6B511451"/>
    <w:rsid w:val="6B5146C0"/>
    <w:rsid w:val="6B5272BE"/>
    <w:rsid w:val="6B56E1DE"/>
    <w:rsid w:val="6B5E23A4"/>
    <w:rsid w:val="6B620163"/>
    <w:rsid w:val="6B6540D3"/>
    <w:rsid w:val="6B676B08"/>
    <w:rsid w:val="6B67E651"/>
    <w:rsid w:val="6B69EA06"/>
    <w:rsid w:val="6B74C67C"/>
    <w:rsid w:val="6B77D95E"/>
    <w:rsid w:val="6B7B8197"/>
    <w:rsid w:val="6B866FF3"/>
    <w:rsid w:val="6B881E41"/>
    <w:rsid w:val="6B9A76D7"/>
    <w:rsid w:val="6BA6171E"/>
    <w:rsid w:val="6BA8ABDF"/>
    <w:rsid w:val="6BA8F183"/>
    <w:rsid w:val="6BB315C3"/>
    <w:rsid w:val="6BB335C4"/>
    <w:rsid w:val="6BB7D817"/>
    <w:rsid w:val="6BBC72F6"/>
    <w:rsid w:val="6BCA24FB"/>
    <w:rsid w:val="6BD03604"/>
    <w:rsid w:val="6BDA44F5"/>
    <w:rsid w:val="6BDABD0A"/>
    <w:rsid w:val="6BE97CF6"/>
    <w:rsid w:val="6C056FE5"/>
    <w:rsid w:val="6C095D69"/>
    <w:rsid w:val="6C0F7302"/>
    <w:rsid w:val="6C1AA2F1"/>
    <w:rsid w:val="6C2967A4"/>
    <w:rsid w:val="6C2F55A6"/>
    <w:rsid w:val="6C3C1747"/>
    <w:rsid w:val="6C432724"/>
    <w:rsid w:val="6C441361"/>
    <w:rsid w:val="6C6F04C0"/>
    <w:rsid w:val="6C7821F0"/>
    <w:rsid w:val="6C960175"/>
    <w:rsid w:val="6CA2752D"/>
    <w:rsid w:val="6CAA1270"/>
    <w:rsid w:val="6CBA4637"/>
    <w:rsid w:val="6CC8FB56"/>
    <w:rsid w:val="6CCAC7AC"/>
    <w:rsid w:val="6CDB6BD6"/>
    <w:rsid w:val="6CEBFB34"/>
    <w:rsid w:val="6D08BFC5"/>
    <w:rsid w:val="6D09F942"/>
    <w:rsid w:val="6D1B80BB"/>
    <w:rsid w:val="6D2F5022"/>
    <w:rsid w:val="6D32A118"/>
    <w:rsid w:val="6D353BC5"/>
    <w:rsid w:val="6D3CC89F"/>
    <w:rsid w:val="6D3EC9C6"/>
    <w:rsid w:val="6D5DF8C7"/>
    <w:rsid w:val="6D6C57CB"/>
    <w:rsid w:val="6D77FDA8"/>
    <w:rsid w:val="6D86D6D7"/>
    <w:rsid w:val="6D8A3982"/>
    <w:rsid w:val="6D8D38C2"/>
    <w:rsid w:val="6D977ED8"/>
    <w:rsid w:val="6D98DFA6"/>
    <w:rsid w:val="6D9BBDEA"/>
    <w:rsid w:val="6DA2498A"/>
    <w:rsid w:val="6DAB5C7B"/>
    <w:rsid w:val="6DB76CFF"/>
    <w:rsid w:val="6DBB8023"/>
    <w:rsid w:val="6DE832EB"/>
    <w:rsid w:val="6DEA9565"/>
    <w:rsid w:val="6E068E68"/>
    <w:rsid w:val="6E11284B"/>
    <w:rsid w:val="6E17C0BD"/>
    <w:rsid w:val="6E1FE5E6"/>
    <w:rsid w:val="6E4E7A98"/>
    <w:rsid w:val="6E5094BF"/>
    <w:rsid w:val="6E579FAF"/>
    <w:rsid w:val="6E61D387"/>
    <w:rsid w:val="6E63E3FC"/>
    <w:rsid w:val="6E707064"/>
    <w:rsid w:val="6E75941E"/>
    <w:rsid w:val="6E78B256"/>
    <w:rsid w:val="6E82E0F4"/>
    <w:rsid w:val="6E85EF97"/>
    <w:rsid w:val="6E866820"/>
    <w:rsid w:val="6E911095"/>
    <w:rsid w:val="6E977DC7"/>
    <w:rsid w:val="6EA092BE"/>
    <w:rsid w:val="6EB7BD68"/>
    <w:rsid w:val="6EB8C013"/>
    <w:rsid w:val="6EC9DDDE"/>
    <w:rsid w:val="6ECE5882"/>
    <w:rsid w:val="6ED4735C"/>
    <w:rsid w:val="6EDC8212"/>
    <w:rsid w:val="6EE4B6BD"/>
    <w:rsid w:val="6EEF631A"/>
    <w:rsid w:val="6EF77B16"/>
    <w:rsid w:val="6EFC4AFC"/>
    <w:rsid w:val="6F0683D9"/>
    <w:rsid w:val="6F18E2F0"/>
    <w:rsid w:val="6F20BED3"/>
    <w:rsid w:val="6F40F918"/>
    <w:rsid w:val="6F4CECC6"/>
    <w:rsid w:val="6F528885"/>
    <w:rsid w:val="6F5685EC"/>
    <w:rsid w:val="6F786346"/>
    <w:rsid w:val="6F8BF6E5"/>
    <w:rsid w:val="6F8F1B75"/>
    <w:rsid w:val="6F95F214"/>
    <w:rsid w:val="6F968EB3"/>
    <w:rsid w:val="6FA8798E"/>
    <w:rsid w:val="6FB5D2D1"/>
    <w:rsid w:val="6FBC8158"/>
    <w:rsid w:val="6FC372E7"/>
    <w:rsid w:val="6FCDFD96"/>
    <w:rsid w:val="6FCE4EC4"/>
    <w:rsid w:val="6FE0DDF8"/>
    <w:rsid w:val="6FE1404A"/>
    <w:rsid w:val="6FE5E616"/>
    <w:rsid w:val="6FF4EABD"/>
    <w:rsid w:val="6FFDB412"/>
    <w:rsid w:val="6FFFB45D"/>
    <w:rsid w:val="7005C718"/>
    <w:rsid w:val="7007F4B9"/>
    <w:rsid w:val="701F7BF3"/>
    <w:rsid w:val="70225167"/>
    <w:rsid w:val="7027977E"/>
    <w:rsid w:val="702AAFEB"/>
    <w:rsid w:val="703A5167"/>
    <w:rsid w:val="7060590F"/>
    <w:rsid w:val="7070CD9E"/>
    <w:rsid w:val="70A3C5BC"/>
    <w:rsid w:val="70B43181"/>
    <w:rsid w:val="70B50578"/>
    <w:rsid w:val="70BB36E4"/>
    <w:rsid w:val="70C34DFC"/>
    <w:rsid w:val="70D0D457"/>
    <w:rsid w:val="70DBA4BA"/>
    <w:rsid w:val="70DF263A"/>
    <w:rsid w:val="70E1E7CC"/>
    <w:rsid w:val="70E78DBB"/>
    <w:rsid w:val="70E96539"/>
    <w:rsid w:val="71015ECC"/>
    <w:rsid w:val="7112D1F1"/>
    <w:rsid w:val="71241B08"/>
    <w:rsid w:val="7125B1B0"/>
    <w:rsid w:val="71297131"/>
    <w:rsid w:val="71340477"/>
    <w:rsid w:val="713ED6ED"/>
    <w:rsid w:val="7143B53D"/>
    <w:rsid w:val="71547541"/>
    <w:rsid w:val="716B995A"/>
    <w:rsid w:val="717404F2"/>
    <w:rsid w:val="718F91B9"/>
    <w:rsid w:val="719DF242"/>
    <w:rsid w:val="71A8BB80"/>
    <w:rsid w:val="71BDD4BE"/>
    <w:rsid w:val="71C06F7F"/>
    <w:rsid w:val="71C6BB28"/>
    <w:rsid w:val="71CA2A96"/>
    <w:rsid w:val="71D4634F"/>
    <w:rsid w:val="71E1198A"/>
    <w:rsid w:val="71FA6628"/>
    <w:rsid w:val="72001747"/>
    <w:rsid w:val="72014137"/>
    <w:rsid w:val="7209E72D"/>
    <w:rsid w:val="7226F9AD"/>
    <w:rsid w:val="722DDEA8"/>
    <w:rsid w:val="722E7B98"/>
    <w:rsid w:val="7241B80F"/>
    <w:rsid w:val="72422A10"/>
    <w:rsid w:val="72448B48"/>
    <w:rsid w:val="7246EC56"/>
    <w:rsid w:val="72507324"/>
    <w:rsid w:val="7252B68D"/>
    <w:rsid w:val="725376DA"/>
    <w:rsid w:val="72553FC2"/>
    <w:rsid w:val="72601903"/>
    <w:rsid w:val="7261C300"/>
    <w:rsid w:val="7265D1CD"/>
    <w:rsid w:val="72682D98"/>
    <w:rsid w:val="7274AF7B"/>
    <w:rsid w:val="727B44A4"/>
    <w:rsid w:val="7285EAB2"/>
    <w:rsid w:val="728D9B20"/>
    <w:rsid w:val="72908166"/>
    <w:rsid w:val="72A12498"/>
    <w:rsid w:val="72AE429B"/>
    <w:rsid w:val="72B0A73B"/>
    <w:rsid w:val="72B7C2EF"/>
    <w:rsid w:val="72CCB065"/>
    <w:rsid w:val="72CCD521"/>
    <w:rsid w:val="72D3B135"/>
    <w:rsid w:val="72DA34DC"/>
    <w:rsid w:val="72E63539"/>
    <w:rsid w:val="73002B97"/>
    <w:rsid w:val="730418EC"/>
    <w:rsid w:val="73054D7A"/>
    <w:rsid w:val="73071668"/>
    <w:rsid w:val="730769BB"/>
    <w:rsid w:val="73155C81"/>
    <w:rsid w:val="731DED57"/>
    <w:rsid w:val="7327EEDE"/>
    <w:rsid w:val="73357C12"/>
    <w:rsid w:val="733C4A12"/>
    <w:rsid w:val="733DD8F7"/>
    <w:rsid w:val="7342FE4E"/>
    <w:rsid w:val="734399FF"/>
    <w:rsid w:val="73460BB6"/>
    <w:rsid w:val="73524844"/>
    <w:rsid w:val="735AAA5F"/>
    <w:rsid w:val="735AADBB"/>
    <w:rsid w:val="735FE570"/>
    <w:rsid w:val="736DA24F"/>
    <w:rsid w:val="736E74EC"/>
    <w:rsid w:val="737D0D20"/>
    <w:rsid w:val="737E7C06"/>
    <w:rsid w:val="73818C02"/>
    <w:rsid w:val="73821337"/>
    <w:rsid w:val="7393BE22"/>
    <w:rsid w:val="7394048C"/>
    <w:rsid w:val="7395E686"/>
    <w:rsid w:val="739B63E5"/>
    <w:rsid w:val="73A6806C"/>
    <w:rsid w:val="73C41849"/>
    <w:rsid w:val="73C80433"/>
    <w:rsid w:val="73D1A599"/>
    <w:rsid w:val="73DC23B5"/>
    <w:rsid w:val="73F80732"/>
    <w:rsid w:val="740128DD"/>
    <w:rsid w:val="740AEE9B"/>
    <w:rsid w:val="74171505"/>
    <w:rsid w:val="7419F8EA"/>
    <w:rsid w:val="741A6C23"/>
    <w:rsid w:val="7422E28B"/>
    <w:rsid w:val="74282B2B"/>
    <w:rsid w:val="7440A36C"/>
    <w:rsid w:val="74446AB1"/>
    <w:rsid w:val="7448FA29"/>
    <w:rsid w:val="7450FD4A"/>
    <w:rsid w:val="7456A186"/>
    <w:rsid w:val="7472F67C"/>
    <w:rsid w:val="7474FDB9"/>
    <w:rsid w:val="748BE584"/>
    <w:rsid w:val="748E06D9"/>
    <w:rsid w:val="749787C8"/>
    <w:rsid w:val="74991542"/>
    <w:rsid w:val="749E1823"/>
    <w:rsid w:val="74A33A1C"/>
    <w:rsid w:val="74A8B9EA"/>
    <w:rsid w:val="74B9F4A3"/>
    <w:rsid w:val="74C52953"/>
    <w:rsid w:val="74C8DCF1"/>
    <w:rsid w:val="74C96F03"/>
    <w:rsid w:val="74CE8ECD"/>
    <w:rsid w:val="74CFCE1B"/>
    <w:rsid w:val="74DD681B"/>
    <w:rsid w:val="74EA3E79"/>
    <w:rsid w:val="74EE4648"/>
    <w:rsid w:val="750210BA"/>
    <w:rsid w:val="75042ABB"/>
    <w:rsid w:val="7507DACC"/>
    <w:rsid w:val="750DBB77"/>
    <w:rsid w:val="7514628C"/>
    <w:rsid w:val="751A9C2F"/>
    <w:rsid w:val="751AB279"/>
    <w:rsid w:val="7522D269"/>
    <w:rsid w:val="754D5D81"/>
    <w:rsid w:val="755008A0"/>
    <w:rsid w:val="755201ED"/>
    <w:rsid w:val="75579901"/>
    <w:rsid w:val="75624BCE"/>
    <w:rsid w:val="7574099F"/>
    <w:rsid w:val="7575268B"/>
    <w:rsid w:val="75761B39"/>
    <w:rsid w:val="75810901"/>
    <w:rsid w:val="7599A9A6"/>
    <w:rsid w:val="75A07BBA"/>
    <w:rsid w:val="75AAFB70"/>
    <w:rsid w:val="75B65477"/>
    <w:rsid w:val="75D2860F"/>
    <w:rsid w:val="75DB99FC"/>
    <w:rsid w:val="75DC693A"/>
    <w:rsid w:val="7615E509"/>
    <w:rsid w:val="7616B05C"/>
    <w:rsid w:val="762159EC"/>
    <w:rsid w:val="7624CF6A"/>
    <w:rsid w:val="762DE6AB"/>
    <w:rsid w:val="763B43CA"/>
    <w:rsid w:val="76442212"/>
    <w:rsid w:val="7659C29F"/>
    <w:rsid w:val="766AF9D2"/>
    <w:rsid w:val="767FF87F"/>
    <w:rsid w:val="7682D86E"/>
    <w:rsid w:val="76838D42"/>
    <w:rsid w:val="7688591A"/>
    <w:rsid w:val="76928F53"/>
    <w:rsid w:val="76976C2D"/>
    <w:rsid w:val="769E44E9"/>
    <w:rsid w:val="76B1CB15"/>
    <w:rsid w:val="76B7EE8F"/>
    <w:rsid w:val="76D2F8FA"/>
    <w:rsid w:val="76D9113B"/>
    <w:rsid w:val="76DC685D"/>
    <w:rsid w:val="76E30372"/>
    <w:rsid w:val="76E6F943"/>
    <w:rsid w:val="76E8DC90"/>
    <w:rsid w:val="76EC0032"/>
    <w:rsid w:val="76FA11B4"/>
    <w:rsid w:val="76FC7C3C"/>
    <w:rsid w:val="76FE7E5F"/>
    <w:rsid w:val="770C2928"/>
    <w:rsid w:val="77124479"/>
    <w:rsid w:val="7712C574"/>
    <w:rsid w:val="7727303E"/>
    <w:rsid w:val="772E5314"/>
    <w:rsid w:val="7742797B"/>
    <w:rsid w:val="776289A3"/>
    <w:rsid w:val="776A86F1"/>
    <w:rsid w:val="776D067C"/>
    <w:rsid w:val="776E27F7"/>
    <w:rsid w:val="7787E9BF"/>
    <w:rsid w:val="77A3851C"/>
    <w:rsid w:val="77A5AB33"/>
    <w:rsid w:val="77B1FD2F"/>
    <w:rsid w:val="77B5D47F"/>
    <w:rsid w:val="77BB468C"/>
    <w:rsid w:val="77C0755D"/>
    <w:rsid w:val="77D5E9BF"/>
    <w:rsid w:val="77DB5B49"/>
    <w:rsid w:val="77DBF658"/>
    <w:rsid w:val="77E29980"/>
    <w:rsid w:val="77EC80FE"/>
    <w:rsid w:val="77EE5D1D"/>
    <w:rsid w:val="77F33C2D"/>
    <w:rsid w:val="77FED7CB"/>
    <w:rsid w:val="780311CA"/>
    <w:rsid w:val="78085CF3"/>
    <w:rsid w:val="781C5EC3"/>
    <w:rsid w:val="78226078"/>
    <w:rsid w:val="7835AA52"/>
    <w:rsid w:val="783D9C16"/>
    <w:rsid w:val="783EDE81"/>
    <w:rsid w:val="78460887"/>
    <w:rsid w:val="78501976"/>
    <w:rsid w:val="78528A76"/>
    <w:rsid w:val="7852AC32"/>
    <w:rsid w:val="78564850"/>
    <w:rsid w:val="785BB205"/>
    <w:rsid w:val="786D26E7"/>
    <w:rsid w:val="786DBBFE"/>
    <w:rsid w:val="78747666"/>
    <w:rsid w:val="78755662"/>
    <w:rsid w:val="7876A1DD"/>
    <w:rsid w:val="787E304C"/>
    <w:rsid w:val="78991154"/>
    <w:rsid w:val="78A3ADAC"/>
    <w:rsid w:val="78AC4D93"/>
    <w:rsid w:val="78B97A9B"/>
    <w:rsid w:val="78C07A32"/>
    <w:rsid w:val="78CFAC29"/>
    <w:rsid w:val="78DA43FB"/>
    <w:rsid w:val="78DB0CB1"/>
    <w:rsid w:val="78EA94C0"/>
    <w:rsid w:val="78ED5966"/>
    <w:rsid w:val="790008EA"/>
    <w:rsid w:val="7910E884"/>
    <w:rsid w:val="79196555"/>
    <w:rsid w:val="7925AD2E"/>
    <w:rsid w:val="792EA690"/>
    <w:rsid w:val="794703D0"/>
    <w:rsid w:val="794AA00C"/>
    <w:rsid w:val="7958AB56"/>
    <w:rsid w:val="79859127"/>
    <w:rsid w:val="79A091F7"/>
    <w:rsid w:val="79A6662D"/>
    <w:rsid w:val="79AD39E5"/>
    <w:rsid w:val="79AF51A3"/>
    <w:rsid w:val="79B8C966"/>
    <w:rsid w:val="79B95EA3"/>
    <w:rsid w:val="79BB886B"/>
    <w:rsid w:val="79CA7E55"/>
    <w:rsid w:val="79CAE848"/>
    <w:rsid w:val="79D812F0"/>
    <w:rsid w:val="79DC35D0"/>
    <w:rsid w:val="79DF3E56"/>
    <w:rsid w:val="79F51C03"/>
    <w:rsid w:val="7A18818B"/>
    <w:rsid w:val="7A1F178C"/>
    <w:rsid w:val="7A2307AE"/>
    <w:rsid w:val="7A2462C0"/>
    <w:rsid w:val="7A477B68"/>
    <w:rsid w:val="7A495D7A"/>
    <w:rsid w:val="7A4B71D5"/>
    <w:rsid w:val="7A5B44EA"/>
    <w:rsid w:val="7A5D03F1"/>
    <w:rsid w:val="7A65CDC9"/>
    <w:rsid w:val="7A674ACE"/>
    <w:rsid w:val="7A73F9B8"/>
    <w:rsid w:val="7A740F17"/>
    <w:rsid w:val="7A8B96F2"/>
    <w:rsid w:val="7A8DE430"/>
    <w:rsid w:val="7A9FFEDA"/>
    <w:rsid w:val="7AAEB52C"/>
    <w:rsid w:val="7AB6FDD2"/>
    <w:rsid w:val="7AB8B915"/>
    <w:rsid w:val="7ABCCDB2"/>
    <w:rsid w:val="7ACDE43B"/>
    <w:rsid w:val="7ACEF395"/>
    <w:rsid w:val="7ADAC3EF"/>
    <w:rsid w:val="7AE50C95"/>
    <w:rsid w:val="7B042D22"/>
    <w:rsid w:val="7B047FD1"/>
    <w:rsid w:val="7B242866"/>
    <w:rsid w:val="7B2C9D8F"/>
    <w:rsid w:val="7B3284BD"/>
    <w:rsid w:val="7B32FA7B"/>
    <w:rsid w:val="7B46B8E2"/>
    <w:rsid w:val="7B48570A"/>
    <w:rsid w:val="7B4C7F70"/>
    <w:rsid w:val="7B5C8883"/>
    <w:rsid w:val="7B887DB8"/>
    <w:rsid w:val="7B8D7A63"/>
    <w:rsid w:val="7B93758A"/>
    <w:rsid w:val="7B97E20E"/>
    <w:rsid w:val="7B9A0503"/>
    <w:rsid w:val="7B9D5FCA"/>
    <w:rsid w:val="7BA02E89"/>
    <w:rsid w:val="7BA2523B"/>
    <w:rsid w:val="7BA3019C"/>
    <w:rsid w:val="7BA63636"/>
    <w:rsid w:val="7BAC5162"/>
    <w:rsid w:val="7BB2FB90"/>
    <w:rsid w:val="7BBFF636"/>
    <w:rsid w:val="7BCECF57"/>
    <w:rsid w:val="7BD7ADE7"/>
    <w:rsid w:val="7BD8C904"/>
    <w:rsid w:val="7BD995C2"/>
    <w:rsid w:val="7BF946D1"/>
    <w:rsid w:val="7C0B9978"/>
    <w:rsid w:val="7C18F05B"/>
    <w:rsid w:val="7C1B087A"/>
    <w:rsid w:val="7C1E99BE"/>
    <w:rsid w:val="7C243D23"/>
    <w:rsid w:val="7C26BCB3"/>
    <w:rsid w:val="7C27E971"/>
    <w:rsid w:val="7C306799"/>
    <w:rsid w:val="7C321DF2"/>
    <w:rsid w:val="7C39A2AD"/>
    <w:rsid w:val="7C436CF3"/>
    <w:rsid w:val="7C485814"/>
    <w:rsid w:val="7C48BCBB"/>
    <w:rsid w:val="7C577684"/>
    <w:rsid w:val="7C602D95"/>
    <w:rsid w:val="7C826AD6"/>
    <w:rsid w:val="7C83D6E7"/>
    <w:rsid w:val="7C932DC7"/>
    <w:rsid w:val="7CA2E7B7"/>
    <w:rsid w:val="7CA36B8A"/>
    <w:rsid w:val="7CBA5471"/>
    <w:rsid w:val="7CCDD469"/>
    <w:rsid w:val="7CCEA399"/>
    <w:rsid w:val="7CD10FE9"/>
    <w:rsid w:val="7CD6CB1E"/>
    <w:rsid w:val="7CDEFA7D"/>
    <w:rsid w:val="7CE033DE"/>
    <w:rsid w:val="7CEB9D6B"/>
    <w:rsid w:val="7CF1BCDE"/>
    <w:rsid w:val="7CF30029"/>
    <w:rsid w:val="7CF52F21"/>
    <w:rsid w:val="7CF80971"/>
    <w:rsid w:val="7CF8B7AF"/>
    <w:rsid w:val="7D09009A"/>
    <w:rsid w:val="7D0C74BD"/>
    <w:rsid w:val="7D1E7E11"/>
    <w:rsid w:val="7D25F093"/>
    <w:rsid w:val="7D289DFE"/>
    <w:rsid w:val="7D30D055"/>
    <w:rsid w:val="7D3A53DD"/>
    <w:rsid w:val="7D4134D9"/>
    <w:rsid w:val="7D4CC77A"/>
    <w:rsid w:val="7D55904E"/>
    <w:rsid w:val="7D59C6C9"/>
    <w:rsid w:val="7D75D960"/>
    <w:rsid w:val="7D79D2DA"/>
    <w:rsid w:val="7D79F193"/>
    <w:rsid w:val="7D7E1ABA"/>
    <w:rsid w:val="7D8464D8"/>
    <w:rsid w:val="7D8DA133"/>
    <w:rsid w:val="7D90E14B"/>
    <w:rsid w:val="7D945469"/>
    <w:rsid w:val="7DA1FA2B"/>
    <w:rsid w:val="7DB492D1"/>
    <w:rsid w:val="7DBAC596"/>
    <w:rsid w:val="7DCC5B44"/>
    <w:rsid w:val="7DD22A31"/>
    <w:rsid w:val="7DF805E9"/>
    <w:rsid w:val="7E1513AA"/>
    <w:rsid w:val="7E196B52"/>
    <w:rsid w:val="7E1A6625"/>
    <w:rsid w:val="7E1F98A9"/>
    <w:rsid w:val="7E29BAF5"/>
    <w:rsid w:val="7E2B12F3"/>
    <w:rsid w:val="7E333A89"/>
    <w:rsid w:val="7E40BFE3"/>
    <w:rsid w:val="7E480BBC"/>
    <w:rsid w:val="7E4C6A4C"/>
    <w:rsid w:val="7E5B83BC"/>
    <w:rsid w:val="7E67F655"/>
    <w:rsid w:val="7E72A467"/>
    <w:rsid w:val="7E752C58"/>
    <w:rsid w:val="7E85BAF4"/>
    <w:rsid w:val="7E86A2EC"/>
    <w:rsid w:val="7E870A25"/>
    <w:rsid w:val="7E8A5511"/>
    <w:rsid w:val="7E8C6197"/>
    <w:rsid w:val="7E90C3E8"/>
    <w:rsid w:val="7E9A17AE"/>
    <w:rsid w:val="7EA3DE47"/>
    <w:rsid w:val="7EAC9EEB"/>
    <w:rsid w:val="7EC3B113"/>
    <w:rsid w:val="7ECA4899"/>
    <w:rsid w:val="7ECA824E"/>
    <w:rsid w:val="7ECBFB33"/>
    <w:rsid w:val="7ED18D50"/>
    <w:rsid w:val="7ED23CE3"/>
    <w:rsid w:val="7EDCC199"/>
    <w:rsid w:val="7EE52BE8"/>
    <w:rsid w:val="7EEB4648"/>
    <w:rsid w:val="7EF07132"/>
    <w:rsid w:val="7EF51246"/>
    <w:rsid w:val="7F1503DF"/>
    <w:rsid w:val="7F1715BB"/>
    <w:rsid w:val="7F28F4BF"/>
    <w:rsid w:val="7F292B7F"/>
    <w:rsid w:val="7F2A2230"/>
    <w:rsid w:val="7F38A8D4"/>
    <w:rsid w:val="7F42B2DB"/>
    <w:rsid w:val="7F437E9F"/>
    <w:rsid w:val="7F444610"/>
    <w:rsid w:val="7F51A14A"/>
    <w:rsid w:val="7F570B59"/>
    <w:rsid w:val="7F57FC5B"/>
    <w:rsid w:val="7F590A48"/>
    <w:rsid w:val="7F5AFC0E"/>
    <w:rsid w:val="7F5E190E"/>
    <w:rsid w:val="7F670CDE"/>
    <w:rsid w:val="7F8356A3"/>
    <w:rsid w:val="7F911FF9"/>
    <w:rsid w:val="7F931B39"/>
    <w:rsid w:val="7F9ECACD"/>
    <w:rsid w:val="7FA3C3E0"/>
    <w:rsid w:val="7FA3CC1A"/>
    <w:rsid w:val="7FD35461"/>
    <w:rsid w:val="7FD52A0D"/>
    <w:rsid w:val="7FD80FB2"/>
    <w:rsid w:val="7FE50F9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63273389"/>
  <w15:docId w15:val="{D83966C1-F224-4538-AC87-BC69871C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1956AF"/>
    <w:rPr>
      <w:rFonts w:cs="Times New Roman"/>
      <w:sz w:val="16"/>
    </w:rPr>
  </w:style>
  <w:style w:type="paragraph" w:customStyle="1" w:styleId="Default">
    <w:name w:val="Default"/>
    <w:rsid w:val="001956AF"/>
    <w:pPr>
      <w:autoSpaceDE w:val="0"/>
      <w:autoSpaceDN w:val="0"/>
      <w:adjustRightInd w:val="0"/>
      <w:spacing w:after="0" w:line="240" w:lineRule="auto"/>
    </w:pPr>
    <w:rPr>
      <w:rFonts w:ascii="Times New Roman" w:hAnsi="Times New Roman" w:cs="Times New Roman"/>
      <w:sz w:val="24"/>
    </w:rPr>
  </w:style>
  <w:style w:type="paragraph" w:styleId="ListParagraph">
    <w:name w:val="List Paragraph"/>
    <w:basedOn w:val="Normal"/>
    <w:link w:val="ListParagraphChar"/>
    <w:uiPriority w:val="34"/>
    <w:qFormat/>
    <w:rsid w:val="001956AF"/>
    <w:pPr>
      <w:ind w:left="720"/>
      <w:contextualSpacing/>
    </w:pPr>
  </w:style>
  <w:style w:type="paragraph" w:customStyle="1" w:styleId="LegalNumPar">
    <w:name w:val="LegalNumPar"/>
    <w:basedOn w:val="Normal"/>
    <w:rsid w:val="001956AF"/>
    <w:pPr>
      <w:numPr>
        <w:numId w:val="1"/>
      </w:numPr>
      <w:spacing w:line="360" w:lineRule="auto"/>
    </w:pPr>
  </w:style>
  <w:style w:type="paragraph" w:customStyle="1" w:styleId="LegalNumPar2">
    <w:name w:val="LegalNumPar2"/>
    <w:basedOn w:val="Normal"/>
    <w:rsid w:val="001956AF"/>
    <w:pPr>
      <w:numPr>
        <w:ilvl w:val="1"/>
        <w:numId w:val="1"/>
      </w:numPr>
      <w:spacing w:line="360" w:lineRule="auto"/>
    </w:pPr>
  </w:style>
  <w:style w:type="paragraph" w:customStyle="1" w:styleId="LegalNumPar3">
    <w:name w:val="LegalNumPar3"/>
    <w:basedOn w:val="Normal"/>
    <w:rsid w:val="001956AF"/>
    <w:pPr>
      <w:numPr>
        <w:ilvl w:val="2"/>
        <w:numId w:val="1"/>
      </w:numPr>
      <w:spacing w:line="360" w:lineRule="auto"/>
    </w:pPr>
  </w:style>
  <w:style w:type="character" w:customStyle="1" w:styleId="ui-provider">
    <w:name w:val="ui-provider"/>
    <w:basedOn w:val="DefaultParagraphFont"/>
    <w:rsid w:val="001956AF"/>
  </w:style>
  <w:style w:type="paragraph" w:styleId="ListBullet">
    <w:name w:val="List Bullet"/>
    <w:basedOn w:val="Normal"/>
    <w:uiPriority w:val="99"/>
    <w:semiHidden/>
    <w:unhideWhenUsed/>
    <w:rsid w:val="008E734B"/>
    <w:pPr>
      <w:numPr>
        <w:numId w:val="2"/>
      </w:numPr>
      <w:contextualSpacing/>
    </w:pPr>
  </w:style>
  <w:style w:type="paragraph" w:styleId="ListBullet2">
    <w:name w:val="List Bullet 2"/>
    <w:basedOn w:val="Normal"/>
    <w:uiPriority w:val="99"/>
    <w:semiHidden/>
    <w:unhideWhenUsed/>
    <w:rsid w:val="008E734B"/>
    <w:pPr>
      <w:numPr>
        <w:numId w:val="3"/>
      </w:numPr>
      <w:contextualSpacing/>
    </w:pPr>
  </w:style>
  <w:style w:type="paragraph" w:styleId="ListBullet3">
    <w:name w:val="List Bullet 3"/>
    <w:basedOn w:val="Normal"/>
    <w:uiPriority w:val="99"/>
    <w:semiHidden/>
    <w:unhideWhenUsed/>
    <w:rsid w:val="008E734B"/>
    <w:pPr>
      <w:numPr>
        <w:numId w:val="4"/>
      </w:numPr>
      <w:contextualSpacing/>
    </w:pPr>
  </w:style>
  <w:style w:type="paragraph" w:styleId="ListBullet4">
    <w:name w:val="List Bullet 4"/>
    <w:basedOn w:val="Normal"/>
    <w:uiPriority w:val="99"/>
    <w:unhideWhenUsed/>
    <w:rsid w:val="008E734B"/>
    <w:pPr>
      <w:numPr>
        <w:numId w:val="5"/>
      </w:numPr>
      <w:contextualSpacing/>
    </w:pPr>
  </w:style>
  <w:style w:type="character" w:styleId="Hyperlink">
    <w:name w:val="Hyperlink"/>
    <w:basedOn w:val="DefaultParagraphFont"/>
    <w:uiPriority w:val="99"/>
    <w:unhideWhenUsed/>
    <w:rsid w:val="00031C74"/>
    <w:rPr>
      <w:color w:val="0000FF" w:themeColor="hyperlink"/>
      <w:u w:val="single"/>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446EE4"/>
    <w:rPr>
      <w:b/>
    </w:rPr>
  </w:style>
  <w:style w:type="character" w:customStyle="1" w:styleId="CommentSubjectChar">
    <w:name w:val="Comment Subject Char"/>
    <w:basedOn w:val="CommentTextChar"/>
    <w:link w:val="CommentSubject"/>
    <w:uiPriority w:val="99"/>
    <w:semiHidden/>
    <w:rsid w:val="00446EE4"/>
    <w:rPr>
      <w:rFonts w:ascii="Times New Roman" w:hAnsi="Times New Roman" w:cs="Times New Roman"/>
      <w:b/>
      <w:sz w:val="20"/>
    </w:rPr>
  </w:style>
  <w:style w:type="character" w:customStyle="1" w:styleId="UnresolvedMention1">
    <w:name w:val="Unresolved Mention1"/>
    <w:basedOn w:val="DefaultParagraphFont"/>
    <w:uiPriority w:val="99"/>
    <w:semiHidden/>
    <w:unhideWhenUsed/>
    <w:rsid w:val="00446EE4"/>
    <w:rPr>
      <w:color w:val="605E5C"/>
      <w:shd w:val="clear" w:color="auto" w:fill="E1DFDD"/>
    </w:rPr>
  </w:style>
  <w:style w:type="paragraph" w:customStyle="1" w:styleId="TableParagraph">
    <w:name w:val="Table Paragraph"/>
    <w:basedOn w:val="Normal"/>
    <w:uiPriority w:val="1"/>
    <w:qFormat/>
    <w:rsid w:val="00141CFD"/>
    <w:pPr>
      <w:widowControl w:val="0"/>
      <w:autoSpaceDE w:val="0"/>
      <w:autoSpaceDN w:val="0"/>
      <w:spacing w:before="0" w:after="0"/>
      <w:ind w:left="107"/>
      <w:jc w:val="left"/>
    </w:pPr>
    <w:rPr>
      <w:sz w:val="22"/>
    </w:rPr>
  </w:style>
  <w:style w:type="paragraph" w:styleId="Revision">
    <w:name w:val="Revision"/>
    <w:hidden/>
    <w:uiPriority w:val="99"/>
    <w:semiHidden/>
    <w:rsid w:val="00AE45C7"/>
    <w:pPr>
      <w:spacing w:after="0" w:line="240" w:lineRule="auto"/>
    </w:pPr>
    <w:rPr>
      <w:rFonts w:ascii="Times New Roman" w:hAnsi="Times New Roman" w:cs="Times New Roman"/>
      <w:sz w:val="24"/>
    </w:rPr>
  </w:style>
  <w:style w:type="table" w:styleId="TableGrid">
    <w:name w:val="Table Grid"/>
    <w:basedOn w:val="TableNormal"/>
    <w:rsid w:val="00AA657A"/>
    <w:pPr>
      <w:spacing w:before="120" w:after="120" w:line="240" w:lineRule="auto"/>
      <w:jc w:val="both"/>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2">
    <w:name w:val="List Dash 2"/>
    <w:basedOn w:val="Normal"/>
    <w:rsid w:val="00052297"/>
    <w:pPr>
      <w:numPr>
        <w:numId w:val="7"/>
      </w:numPr>
      <w:tabs>
        <w:tab w:val="clear" w:pos="1134"/>
        <w:tab w:val="num" w:pos="850"/>
      </w:tabs>
      <w:ind w:left="850" w:hanging="850"/>
    </w:pPr>
  </w:style>
  <w:style w:type="paragraph" w:customStyle="1" w:styleId="ListDash1">
    <w:name w:val="List Dash 1"/>
    <w:basedOn w:val="Normal"/>
    <w:rsid w:val="00052297"/>
    <w:pPr>
      <w:numPr>
        <w:numId w:val="8"/>
      </w:numPr>
    </w:pPr>
  </w:style>
  <w:style w:type="character" w:customStyle="1" w:styleId="ListParagraphChar">
    <w:name w:val="List Paragraph Char"/>
    <w:basedOn w:val="DefaultParagraphFont"/>
    <w:link w:val="ListParagraph"/>
    <w:uiPriority w:val="34"/>
    <w:qFormat/>
    <w:rsid w:val="00052297"/>
    <w:rPr>
      <w:rFonts w:ascii="Times New Roman" w:hAnsi="Times New Roman" w:cs="Times New Roman"/>
      <w:sz w:val="24"/>
    </w:rPr>
  </w:style>
  <w:style w:type="paragraph" w:customStyle="1" w:styleId="footnotedescription">
    <w:name w:val="footnote description"/>
    <w:next w:val="Normal"/>
    <w:link w:val="footnotedescriptionChar"/>
    <w:hidden/>
    <w:rsid w:val="0087757C"/>
    <w:pPr>
      <w:spacing w:after="0" w:line="259" w:lineRule="auto"/>
      <w:ind w:left="720" w:hanging="720"/>
      <w:jc w:val="both"/>
    </w:pPr>
    <w:rPr>
      <w:rFonts w:ascii="Times New Roman" w:eastAsia="Times New Roman" w:hAnsi="Times New Roman" w:cs="Times New Roman"/>
      <w:sz w:val="20"/>
    </w:rPr>
  </w:style>
  <w:style w:type="character" w:customStyle="1" w:styleId="footnotedescriptionChar">
    <w:name w:val="footnote description Char"/>
    <w:link w:val="footnotedescription"/>
    <w:rsid w:val="0087757C"/>
    <w:rPr>
      <w:rFonts w:ascii="Times New Roman" w:eastAsia="Times New Roman" w:hAnsi="Times New Roman" w:cs="Times New Roman"/>
      <w:sz w:val="20"/>
    </w:rPr>
  </w:style>
  <w:style w:type="character" w:customStyle="1" w:styleId="footnotemark">
    <w:name w:val="footnote mark"/>
    <w:hidden/>
    <w:rsid w:val="0087757C"/>
    <w:rPr>
      <w:rFonts w:ascii="Times New Roman" w:eastAsia="Times New Roman" w:hAnsi="Times New Roman" w:cs="Times New Roman"/>
      <w:sz w:val="20"/>
      <w:vertAlign w:val="superscript"/>
    </w:rPr>
  </w:style>
  <w:style w:type="paragraph" w:styleId="NormalWeb">
    <w:name w:val="Normal (Web)"/>
    <w:basedOn w:val="Normal"/>
    <w:uiPriority w:val="99"/>
    <w:semiHidden/>
    <w:unhideWhenUsed/>
    <w:rsid w:val="00133061"/>
    <w:pPr>
      <w:spacing w:before="100" w:beforeAutospacing="1" w:after="100" w:afterAutospacing="1"/>
      <w:jc w:val="left"/>
    </w:pPr>
  </w:style>
  <w:style w:type="paragraph" w:styleId="PlainText">
    <w:name w:val="Plain Text"/>
    <w:basedOn w:val="Normal"/>
    <w:link w:val="PlainTextChar"/>
    <w:uiPriority w:val="99"/>
    <w:semiHidden/>
    <w:unhideWhenUsed/>
    <w:rsid w:val="00FF25CF"/>
    <w:pPr>
      <w:spacing w:before="0" w:after="0"/>
    </w:pPr>
    <w:rPr>
      <w:rFonts w:ascii="Consolas" w:hAnsi="Consolas"/>
      <w:sz w:val="21"/>
    </w:rPr>
  </w:style>
  <w:style w:type="character" w:customStyle="1" w:styleId="PlainTextChar">
    <w:name w:val="Plain Text Char"/>
    <w:basedOn w:val="DefaultParagraphFont"/>
    <w:link w:val="PlainText"/>
    <w:uiPriority w:val="99"/>
    <w:semiHidden/>
    <w:rsid w:val="00FF25CF"/>
    <w:rPr>
      <w:rFonts w:ascii="Consolas" w:hAnsi="Consolas" w:cs="Times New Roman"/>
      <w:sz w:val="21"/>
    </w:rPr>
  </w:style>
  <w:style w:type="character" w:customStyle="1" w:styleId="Mention1">
    <w:name w:val="Mention1"/>
    <w:basedOn w:val="DefaultParagraphFont"/>
    <w:uiPriority w:val="99"/>
    <w:unhideWhenUsed/>
    <w:rsid w:val="00263B08"/>
    <w:rPr>
      <w:color w:val="2B579A"/>
      <w:shd w:val="clear" w:color="auto" w:fill="E6E6E6"/>
    </w:rPr>
  </w:style>
  <w:style w:type="character" w:styleId="FollowedHyperlink">
    <w:name w:val="FollowedHyperlink"/>
    <w:basedOn w:val="DefaultParagraphFont"/>
    <w:uiPriority w:val="99"/>
    <w:semiHidden/>
    <w:unhideWhenUsed/>
    <w:rsid w:val="00F7481F"/>
    <w:rPr>
      <w:color w:val="800080" w:themeColor="followedHyperlink"/>
      <w:u w:val="single"/>
    </w:rPr>
  </w:style>
  <w:style w:type="character" w:customStyle="1" w:styleId="normaltextrun">
    <w:name w:val="normaltextrun"/>
    <w:basedOn w:val="DefaultParagraphFont"/>
    <w:rsid w:val="003160AD"/>
  </w:style>
  <w:style w:type="paragraph" w:customStyle="1" w:styleId="title-bold">
    <w:name w:val="title-bold"/>
    <w:basedOn w:val="Normal"/>
    <w:rsid w:val="00F82D67"/>
    <w:pPr>
      <w:spacing w:before="100" w:beforeAutospacing="1" w:after="100" w:afterAutospacing="1"/>
      <w:jc w:val="left"/>
    </w:pPr>
  </w:style>
  <w:style w:type="paragraph" w:styleId="Header">
    <w:name w:val="header"/>
    <w:basedOn w:val="Normal"/>
    <w:link w:val="HeaderChar"/>
    <w:uiPriority w:val="99"/>
    <w:unhideWhenUsed/>
    <w:rsid w:val="006362D3"/>
    <w:pPr>
      <w:tabs>
        <w:tab w:val="center" w:pos="4535"/>
        <w:tab w:val="right" w:pos="9071"/>
      </w:tabs>
      <w:spacing w:before="0"/>
    </w:pPr>
  </w:style>
  <w:style w:type="character" w:customStyle="1" w:styleId="HeaderChar">
    <w:name w:val="Header Char"/>
    <w:basedOn w:val="DefaultParagraphFont"/>
    <w:link w:val="Header"/>
    <w:uiPriority w:val="99"/>
    <w:rsid w:val="006362D3"/>
    <w:rPr>
      <w:rFonts w:ascii="Times New Roman" w:hAnsi="Times New Roman" w:cs="Times New Roman"/>
      <w:sz w:val="24"/>
      <w:lang w:val="bg-BG"/>
    </w:rPr>
  </w:style>
  <w:style w:type="paragraph" w:styleId="Footer">
    <w:name w:val="footer"/>
    <w:basedOn w:val="Normal"/>
    <w:link w:val="FooterChar"/>
    <w:uiPriority w:val="99"/>
    <w:unhideWhenUsed/>
    <w:rsid w:val="006362D3"/>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6362D3"/>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bg-BG"/>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bg-BG"/>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bg-BG"/>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bg-BG"/>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bg-BG"/>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bg-BG"/>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bg-BG"/>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6362D3"/>
    <w:pPr>
      <w:tabs>
        <w:tab w:val="center" w:pos="7285"/>
        <w:tab w:val="right" w:pos="14003"/>
      </w:tabs>
      <w:spacing w:before="0"/>
    </w:pPr>
  </w:style>
  <w:style w:type="paragraph" w:customStyle="1" w:styleId="FooterLandscape">
    <w:name w:val="FooterLandscape"/>
    <w:basedOn w:val="Normal"/>
    <w:rsid w:val="006362D3"/>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6362D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362D3"/>
    <w:pPr>
      <w:spacing w:before="0"/>
      <w:jc w:val="right"/>
    </w:pPr>
    <w:rPr>
      <w:sz w:val="28"/>
    </w:rPr>
  </w:style>
  <w:style w:type="paragraph" w:customStyle="1" w:styleId="FooterSensitivity">
    <w:name w:val="Footer Sensitivity"/>
    <w:basedOn w:val="Normal"/>
    <w:rsid w:val="006362D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E16319"/>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239351">
      <w:bodyDiv w:val="1"/>
      <w:marLeft w:val="0"/>
      <w:marRight w:val="0"/>
      <w:marTop w:val="0"/>
      <w:marBottom w:val="0"/>
      <w:divBdr>
        <w:top w:val="none" w:sz="0" w:space="0" w:color="auto"/>
        <w:left w:val="none" w:sz="0" w:space="0" w:color="auto"/>
        <w:bottom w:val="none" w:sz="0" w:space="0" w:color="auto"/>
        <w:right w:val="none" w:sz="0" w:space="0" w:color="auto"/>
      </w:divBdr>
    </w:div>
    <w:div w:id="419763196">
      <w:bodyDiv w:val="1"/>
      <w:marLeft w:val="0"/>
      <w:marRight w:val="0"/>
      <w:marTop w:val="0"/>
      <w:marBottom w:val="0"/>
      <w:divBdr>
        <w:top w:val="none" w:sz="0" w:space="0" w:color="auto"/>
        <w:left w:val="none" w:sz="0" w:space="0" w:color="auto"/>
        <w:bottom w:val="none" w:sz="0" w:space="0" w:color="auto"/>
        <w:right w:val="none" w:sz="0" w:space="0" w:color="auto"/>
      </w:divBdr>
    </w:div>
    <w:div w:id="518589100">
      <w:bodyDiv w:val="1"/>
      <w:marLeft w:val="0"/>
      <w:marRight w:val="0"/>
      <w:marTop w:val="0"/>
      <w:marBottom w:val="0"/>
      <w:divBdr>
        <w:top w:val="none" w:sz="0" w:space="0" w:color="auto"/>
        <w:left w:val="none" w:sz="0" w:space="0" w:color="auto"/>
        <w:bottom w:val="none" w:sz="0" w:space="0" w:color="auto"/>
        <w:right w:val="none" w:sz="0" w:space="0" w:color="auto"/>
      </w:divBdr>
    </w:div>
    <w:div w:id="610625648">
      <w:bodyDiv w:val="1"/>
      <w:marLeft w:val="0"/>
      <w:marRight w:val="0"/>
      <w:marTop w:val="0"/>
      <w:marBottom w:val="0"/>
      <w:divBdr>
        <w:top w:val="none" w:sz="0" w:space="0" w:color="auto"/>
        <w:left w:val="none" w:sz="0" w:space="0" w:color="auto"/>
        <w:bottom w:val="none" w:sz="0" w:space="0" w:color="auto"/>
        <w:right w:val="none" w:sz="0" w:space="0" w:color="auto"/>
      </w:divBdr>
    </w:div>
    <w:div w:id="675965958">
      <w:bodyDiv w:val="1"/>
      <w:marLeft w:val="0"/>
      <w:marRight w:val="0"/>
      <w:marTop w:val="0"/>
      <w:marBottom w:val="0"/>
      <w:divBdr>
        <w:top w:val="none" w:sz="0" w:space="0" w:color="auto"/>
        <w:left w:val="none" w:sz="0" w:space="0" w:color="auto"/>
        <w:bottom w:val="none" w:sz="0" w:space="0" w:color="auto"/>
        <w:right w:val="none" w:sz="0" w:space="0" w:color="auto"/>
      </w:divBdr>
    </w:div>
    <w:div w:id="887766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myintracomm.ec.europa.eu/budgweb/EN/leg/internal/Documents/2016-5-legislative-financial-statement-ann-en.docx" TargetMode="Externa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oecd.org/ctp/exchange-of-tax-information/treatyreliefandcomplianceenhancementtrace.htm" TargetMode="External"/><Relationship Id="rId2" Type="http://schemas.openxmlformats.org/officeDocument/2006/relationships/hyperlink" Target="https://taxation-customs.ec.europa.eu/system/files/2017-12/code_of_conduct_on_witholding_tax.pdf" TargetMode="External"/><Relationship Id="rId1" Type="http://schemas.openxmlformats.org/officeDocument/2006/relationships/hyperlink" Target="https://finance.ec.europa.eu/publications/retail-investment-package_bg" TargetMode="External"/><Relationship Id="rId4" Type="http://schemas.openxmlformats.org/officeDocument/2006/relationships/hyperlink" Target="https://ec.europa.eu/info/law/better-regulation/have-your-say/initiatives/13031-Withholding-taxes-new-EU-system-to-avoid-double-taxation_b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76_y28 xmlns="ae6cfab4-27cb-4408-82ad-0f0a830288e8" xsi:nil="true"/>
    <EC_Collab_Status xmlns="ae6cfab4-27cb-4408-82ad-0f0a830288e8">Not Started</EC_Collab_Status>
    <EC_Collab_DocumentLanguage xmlns="ae6cfab4-27cb-4408-82ad-0f0a830288e8">EN</EC_Collab_DocumentLanguage>
    <EC_Collab_Reference xmlns="ae6cfab4-27cb-4408-82ad-0f0a830288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10C4B8CEF398C046BA02B04000B35719" ma:contentTypeVersion="4" ma:contentTypeDescription="Create a new document in this library." ma:contentTypeScope="" ma:versionID="32ba2009fe51c7e5d42ede39f2db96b0">
  <xsd:schema xmlns:xsd="http://www.w3.org/2001/XMLSchema" xmlns:xs="http://www.w3.org/2001/XMLSchema" xmlns:p="http://schemas.microsoft.com/office/2006/metadata/properties" xmlns:ns3="ae6cfab4-27cb-4408-82ad-0f0a830288e8" xmlns:ns4="66fbeb32-1e5c-4992-9fc4-46497e4795d8" targetNamespace="http://schemas.microsoft.com/office/2006/metadata/properties" ma:root="true" ma:fieldsID="b060bbe80c7e0e9d6ce96ad05d828191" ns3:_="" ns4:_="">
    <xsd:import namespace="ae6cfab4-27cb-4408-82ad-0f0a830288e8"/>
    <xsd:import namespace="66fbeb32-1e5c-4992-9fc4-46497e4795d8"/>
    <xsd:element name="properties">
      <xsd:complexType>
        <xsd:sequence>
          <xsd:element name="documentManagement">
            <xsd:complexType>
              <xsd:all>
                <xsd:element ref="ns3:EC_Collab_Reference" minOccurs="0"/>
                <xsd:element ref="ns3:EC_Collab_DocumentLanguage"/>
                <xsd:element ref="ns3:EC_Collab_Status"/>
                <xsd:element ref="ns3:_x0076_y28"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cfab4-27cb-4408-82ad-0f0a830288e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_x0076_y28" ma:index="15" nillable="true" ma:displayName="Text" ma:internalName="_x0076_y28">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fbeb32-1e5c-4992-9fc4-46497e4795d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10C4B8CEF398C046BA02B04000B35719" ma:contentTypeVersion="4" ma:contentTypeDescription="Create a new document in this library." ma:contentTypeScope="" ma:versionID="32ba2009fe51c7e5d42ede39f2db96b0">
  <xsd:schema xmlns:xsd="http://www.w3.org/2001/XMLSchema" xmlns:xs="http://www.w3.org/2001/XMLSchema" xmlns:p="http://schemas.microsoft.com/office/2006/metadata/properties" xmlns:ns3="ae6cfab4-27cb-4408-82ad-0f0a830288e8" xmlns:ns4="66fbeb32-1e5c-4992-9fc4-46497e4795d8" targetNamespace="http://schemas.microsoft.com/office/2006/metadata/properties" ma:root="true" ma:fieldsID="b060bbe80c7e0e9d6ce96ad05d828191" ns3:_="" ns4:_="">
    <xsd:import namespace="ae6cfab4-27cb-4408-82ad-0f0a830288e8"/>
    <xsd:import namespace="66fbeb32-1e5c-4992-9fc4-46497e4795d8"/>
    <xsd:element name="properties">
      <xsd:complexType>
        <xsd:sequence>
          <xsd:element name="documentManagement">
            <xsd:complexType>
              <xsd:all>
                <xsd:element ref="ns3:EC_Collab_Reference" minOccurs="0"/>
                <xsd:element ref="ns3:EC_Collab_DocumentLanguage"/>
                <xsd:element ref="ns3:EC_Collab_Status"/>
                <xsd:element ref="ns3:_x0076_y28"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cfab4-27cb-4408-82ad-0f0a830288e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_x0076_y28" ma:index="15" nillable="true" ma:displayName="Text" ma:internalName="_x0076_y28">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fbeb32-1e5c-4992-9fc4-46497e4795d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0DA8A-70A8-45FB-90D5-2784825EE91C}">
  <ds:schemaRefs>
    <ds:schemaRef ds:uri="http://schemas.microsoft.com/sharepoint/v3/contenttype/forms"/>
  </ds:schemaRefs>
</ds:datastoreItem>
</file>

<file path=customXml/itemProps2.xml><?xml version="1.0" encoding="utf-8"?>
<ds:datastoreItem xmlns:ds="http://schemas.openxmlformats.org/officeDocument/2006/customXml" ds:itemID="{16AF0CAC-B39A-49C0-BED8-6E49E33E30C5}">
  <ds:schemaRefs>
    <ds:schemaRef ds:uri="http://schemas.microsoft.com/office/2006/metadata/properties"/>
    <ds:schemaRef ds:uri="http://schemas.microsoft.com/office/infopath/2007/PartnerControls"/>
    <ds:schemaRef ds:uri="ae6cfab4-27cb-4408-82ad-0f0a830288e8"/>
  </ds:schemaRefs>
</ds:datastoreItem>
</file>

<file path=customXml/itemProps3.xml><?xml version="1.0" encoding="utf-8"?>
<ds:datastoreItem xmlns:ds="http://schemas.openxmlformats.org/officeDocument/2006/customXml" ds:itemID="{3352A364-56E1-4851-B2CE-59CBE1CA8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cfab4-27cb-4408-82ad-0f0a830288e8"/>
    <ds:schemaRef ds:uri="66fbeb32-1e5c-4992-9fc4-46497e479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FD7DC8-E0C9-4586-8EE7-A8F57F5A63AB}">
  <ds:schemaRefs>
    <ds:schemaRef ds:uri="http://schemas.microsoft.com/sharepoint/v3/contenttype/forms"/>
  </ds:schemaRefs>
</ds:datastoreItem>
</file>

<file path=customXml/itemProps5.xml><?xml version="1.0" encoding="utf-8"?>
<ds:datastoreItem xmlns:ds="http://schemas.openxmlformats.org/officeDocument/2006/customXml" ds:itemID="{ED66E37F-945D-4D06-A7FE-0BD01E633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cfab4-27cb-4408-82ad-0f0a830288e8"/>
    <ds:schemaRef ds:uri="66fbeb32-1e5c-4992-9fc4-46497e479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722A56D-241F-419E-8CD4-B7C3FF85A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41</TotalTime>
  <Pages>64</Pages>
  <Words>18746</Words>
  <Characters>110795</Characters>
  <Application>Microsoft Office Word</Application>
  <DocSecurity>0</DocSecurity>
  <Lines>2994</Lines>
  <Paragraphs>945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128596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70</cp:revision>
  <cp:lastPrinted>2023-06-01T08:44:00Z</cp:lastPrinted>
  <dcterms:created xsi:type="dcterms:W3CDTF">2023-06-12T10:42:00Z</dcterms:created>
  <dcterms:modified xsi:type="dcterms:W3CDTF">2023-07-24T14:57:00Z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2023-04-11T14:18:38Z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7e4594fd-2f36-40f1-8da8-c19fc39299e8</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SJ-017</vt:lpwstr>
  </property>
  <property fmtid="{D5CDD505-2E9C-101B-9397-08002B2CF9AE}" pid="17" name="ContentTypeId">
    <vt:lpwstr>0x010100258AA79CEB83498886A3A086811232500010C4B8CEF398C046BA02B04000B35719</vt:lpwstr>
  </property>
  <property fmtid="{D5CDD505-2E9C-101B-9397-08002B2CF9AE}" pid="18" name="DQCStatus">
    <vt:lpwstr>Green (DQC version 03)</vt:lpwstr>
  </property>
</Properties>
</file>