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6D3" w:rsidRDefault="001360C6" w:rsidP="001360C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D4E282D2-9BD7-46AE-B622-BFAC5485E549" style="width:455.25pt;height:351.75pt">
            <v:imagedata r:id="rId11" o:title=""/>
          </v:shape>
        </w:pict>
      </w:r>
    </w:p>
    <w:bookmarkEnd w:id="0"/>
    <w:p w:rsidR="001360C6" w:rsidRDefault="001360C6" w:rsidP="001360C6">
      <w:pPr>
        <w:rPr>
          <w:noProof/>
        </w:rPr>
        <w:sectPr w:rsidR="001360C6" w:rsidSect="001360C6">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167262" w:rsidRDefault="00167262" w:rsidP="00301BBE">
      <w:pPr>
        <w:pStyle w:val="Pagedecouverture"/>
        <w:rPr>
          <w:noProof/>
        </w:rPr>
      </w:pPr>
      <w:bookmarkStart w:id="1" w:name="_GoBack"/>
      <w:bookmarkEnd w:id="1"/>
    </w:p>
    <w:p w:rsidR="00301BBE" w:rsidRPr="00301BBE" w:rsidRDefault="00301BBE" w:rsidP="00301BBE">
      <w:pPr>
        <w:pStyle w:val="Pagedecouverture"/>
        <w:rPr>
          <w:noProof/>
        </w:rPr>
        <w:sectPr w:rsidR="00301BBE" w:rsidRPr="00301BBE" w:rsidSect="001360C6">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26"/>
        </w:sectPr>
      </w:pPr>
    </w:p>
    <w:sdt>
      <w:sdtPr>
        <w:rPr>
          <w:rFonts w:ascii="Times New Roman" w:hAnsi="Times New Roman"/>
          <w:b w:val="0"/>
          <w:noProof/>
          <w:sz w:val="22"/>
        </w:rPr>
        <w:alias w:val="Table of Contents"/>
        <w:tag w:val="eqT1QegFOKAi3zHpinqjV4"/>
        <w:id w:val="64073399"/>
      </w:sdtPr>
      <w:sdtEndPr/>
      <w:sdtContent>
        <w:p w:rsidR="00190177" w:rsidRDefault="001360C6">
          <w:pPr>
            <w:pStyle w:val="TOCHeading"/>
            <w:rPr>
              <w:noProof/>
            </w:rPr>
          </w:pPr>
          <w:sdt>
            <w:sdtPr>
              <w:rPr>
                <w:noProof/>
              </w:rPr>
              <w:id w:val="-214508680"/>
              <w:dataBinding w:xpath="/Texts/TOCHeading" w:storeItemID="{4EF90DE6-88B6-4264-9629-4D8DFDFE87D2}"/>
              <w:text w:multiLine="1"/>
            </w:sdtPr>
            <w:sdtEndPr/>
            <w:sdtContent>
              <w:r w:rsidR="008B0A53">
                <w:rPr>
                  <w:noProof/>
                </w:rPr>
                <w:t>Table of Contents</w:t>
              </w:r>
            </w:sdtContent>
          </w:sdt>
        </w:p>
        <w:p w:rsidR="00A60BF1" w:rsidRDefault="004F6F3F">
          <w:pPr>
            <w:pStyle w:val="TOC1"/>
            <w:rPr>
              <w:rFonts w:asciiTheme="minorHAnsi" w:eastAsiaTheme="minorEastAsia" w:hAnsiTheme="minorHAnsi" w:cstheme="minorBidi"/>
              <w:b w:val="0"/>
              <w:noProof/>
              <w:sz w:val="22"/>
              <w:szCs w:val="22"/>
            </w:rPr>
          </w:pPr>
          <w:r>
            <w:rPr>
              <w:noProof/>
            </w:rPr>
            <w:fldChar w:fldCharType="begin"/>
          </w:r>
          <w:r>
            <w:rPr>
              <w:noProof/>
            </w:rPr>
            <w:instrText>TOC \o "1-4" \h \z \t "ChapterTitle;5;PartTitle;5;SectionTitle;5;AnnexTitle;6" \* MERGEFORMAT</w:instrText>
          </w:r>
          <w:r>
            <w:rPr>
              <w:noProof/>
            </w:rPr>
            <w:fldChar w:fldCharType="separate"/>
          </w:r>
          <w:hyperlink w:anchor="_Toc137736178" w:history="1">
            <w:r w:rsidR="00A60BF1" w:rsidRPr="00EA6FD0">
              <w:rPr>
                <w:rStyle w:val="Hyperlink"/>
                <w:noProof/>
              </w:rPr>
              <w:t>1.</w:t>
            </w:r>
            <w:r w:rsidR="00A60BF1">
              <w:rPr>
                <w:rFonts w:asciiTheme="minorHAnsi" w:eastAsiaTheme="minorEastAsia" w:hAnsiTheme="minorHAnsi" w:cstheme="minorBidi"/>
                <w:b w:val="0"/>
                <w:noProof/>
                <w:sz w:val="22"/>
                <w:szCs w:val="22"/>
              </w:rPr>
              <w:tab/>
            </w:r>
            <w:r w:rsidR="00A60BF1" w:rsidRPr="00EA6FD0">
              <w:rPr>
                <w:rStyle w:val="Hyperlink"/>
                <w:noProof/>
              </w:rPr>
              <w:t>Introduction</w:t>
            </w:r>
            <w:r w:rsidR="00A60BF1">
              <w:rPr>
                <w:noProof/>
                <w:webHidden/>
              </w:rPr>
              <w:tab/>
            </w:r>
            <w:r w:rsidR="00A60BF1">
              <w:rPr>
                <w:noProof/>
                <w:webHidden/>
              </w:rPr>
              <w:fldChar w:fldCharType="begin"/>
            </w:r>
            <w:r w:rsidR="00A60BF1">
              <w:rPr>
                <w:noProof/>
                <w:webHidden/>
              </w:rPr>
              <w:instrText xml:space="preserve"> PAGEREF _Toc137736178 \h </w:instrText>
            </w:r>
            <w:r w:rsidR="00A60BF1">
              <w:rPr>
                <w:noProof/>
                <w:webHidden/>
              </w:rPr>
            </w:r>
            <w:r w:rsidR="00A60BF1">
              <w:rPr>
                <w:noProof/>
                <w:webHidden/>
              </w:rPr>
              <w:fldChar w:fldCharType="separate"/>
            </w:r>
            <w:r w:rsidR="005F643D">
              <w:rPr>
                <w:noProof/>
                <w:webHidden/>
              </w:rPr>
              <w:t>4</w:t>
            </w:r>
            <w:r w:rsidR="00A60BF1">
              <w:rPr>
                <w:noProof/>
                <w:webHidden/>
              </w:rPr>
              <w:fldChar w:fldCharType="end"/>
            </w:r>
          </w:hyperlink>
        </w:p>
        <w:p w:rsidR="00A60BF1" w:rsidRDefault="001360C6">
          <w:pPr>
            <w:pStyle w:val="TOC1"/>
            <w:rPr>
              <w:rFonts w:asciiTheme="minorHAnsi" w:eastAsiaTheme="minorEastAsia" w:hAnsiTheme="minorHAnsi" w:cstheme="minorBidi"/>
              <w:b w:val="0"/>
              <w:noProof/>
              <w:sz w:val="22"/>
              <w:szCs w:val="22"/>
            </w:rPr>
          </w:pPr>
          <w:hyperlink w:anchor="_Toc137736179" w:history="1">
            <w:r w:rsidR="00A60BF1" w:rsidRPr="00EA6FD0">
              <w:rPr>
                <w:rStyle w:val="Hyperlink"/>
                <w:noProof/>
              </w:rPr>
              <w:t>2.</w:t>
            </w:r>
            <w:r w:rsidR="00A60BF1">
              <w:rPr>
                <w:rFonts w:asciiTheme="minorHAnsi" w:eastAsiaTheme="minorEastAsia" w:hAnsiTheme="minorHAnsi" w:cstheme="minorBidi"/>
                <w:b w:val="0"/>
                <w:noProof/>
                <w:sz w:val="22"/>
                <w:szCs w:val="22"/>
              </w:rPr>
              <w:tab/>
            </w:r>
            <w:r w:rsidR="00A60BF1" w:rsidRPr="00EA6FD0">
              <w:rPr>
                <w:rStyle w:val="Hyperlink"/>
                <w:noProof/>
              </w:rPr>
              <w:t>Focus on key measures at EU level</w:t>
            </w:r>
            <w:r w:rsidR="00A60BF1">
              <w:rPr>
                <w:noProof/>
                <w:webHidden/>
              </w:rPr>
              <w:tab/>
            </w:r>
            <w:r w:rsidR="00A60BF1">
              <w:rPr>
                <w:noProof/>
                <w:webHidden/>
              </w:rPr>
              <w:fldChar w:fldCharType="begin"/>
            </w:r>
            <w:r w:rsidR="00A60BF1">
              <w:rPr>
                <w:noProof/>
                <w:webHidden/>
              </w:rPr>
              <w:instrText xml:space="preserve"> PAGEREF _Toc137736179 \h </w:instrText>
            </w:r>
            <w:r w:rsidR="00A60BF1">
              <w:rPr>
                <w:noProof/>
                <w:webHidden/>
              </w:rPr>
            </w:r>
            <w:r w:rsidR="00A60BF1">
              <w:rPr>
                <w:noProof/>
                <w:webHidden/>
              </w:rPr>
              <w:fldChar w:fldCharType="separate"/>
            </w:r>
            <w:r w:rsidR="005F643D">
              <w:rPr>
                <w:noProof/>
                <w:webHidden/>
              </w:rPr>
              <w:t>4</w:t>
            </w:r>
            <w:r w:rsidR="00A60BF1">
              <w:rPr>
                <w:noProof/>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180" w:history="1">
            <w:r w:rsidR="00A60BF1" w:rsidRPr="00EA6FD0">
              <w:rPr>
                <w:rStyle w:val="Hyperlink"/>
              </w:rPr>
              <w:t>2.1.</w:t>
            </w:r>
            <w:r w:rsidR="00A60BF1">
              <w:rPr>
                <w:rFonts w:asciiTheme="minorHAnsi" w:eastAsiaTheme="minorEastAsia" w:hAnsiTheme="minorHAnsi" w:cstheme="minorBidi"/>
                <w:sz w:val="22"/>
                <w:szCs w:val="22"/>
              </w:rPr>
              <w:tab/>
            </w:r>
            <w:r w:rsidR="00A60BF1" w:rsidRPr="00EA6FD0">
              <w:rPr>
                <w:rStyle w:val="Hyperlink"/>
              </w:rPr>
              <w:t>Financial Regulation recast</w:t>
            </w:r>
            <w:r w:rsidR="00A60BF1">
              <w:rPr>
                <w:webHidden/>
              </w:rPr>
              <w:tab/>
            </w:r>
            <w:r w:rsidR="00A60BF1">
              <w:rPr>
                <w:webHidden/>
              </w:rPr>
              <w:fldChar w:fldCharType="begin"/>
            </w:r>
            <w:r w:rsidR="00A60BF1">
              <w:rPr>
                <w:webHidden/>
              </w:rPr>
              <w:instrText xml:space="preserve"> PAGEREF _Toc137736180 \h </w:instrText>
            </w:r>
            <w:r w:rsidR="00A60BF1">
              <w:rPr>
                <w:webHidden/>
              </w:rPr>
            </w:r>
            <w:r w:rsidR="00A60BF1">
              <w:rPr>
                <w:webHidden/>
              </w:rPr>
              <w:fldChar w:fldCharType="separate"/>
            </w:r>
            <w:r w:rsidR="005F643D">
              <w:rPr>
                <w:webHidden/>
              </w:rPr>
              <w:t>5</w:t>
            </w:r>
            <w:r w:rsidR="00A60BF1">
              <w:rPr>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181" w:history="1">
            <w:r w:rsidR="00A60BF1" w:rsidRPr="00EA6FD0">
              <w:rPr>
                <w:rStyle w:val="Hyperlink"/>
              </w:rPr>
              <w:t>2.2.</w:t>
            </w:r>
            <w:r w:rsidR="00A60BF1">
              <w:rPr>
                <w:rFonts w:asciiTheme="minorHAnsi" w:eastAsiaTheme="minorEastAsia" w:hAnsiTheme="minorHAnsi" w:cstheme="minorBidi"/>
                <w:sz w:val="22"/>
                <w:szCs w:val="22"/>
              </w:rPr>
              <w:tab/>
            </w:r>
            <w:r w:rsidR="00A60BF1" w:rsidRPr="00EA6FD0">
              <w:rPr>
                <w:rStyle w:val="Hyperlink"/>
              </w:rPr>
              <w:t>Implementation of national recovery and resilience plans</w:t>
            </w:r>
            <w:r w:rsidR="00A60BF1">
              <w:rPr>
                <w:webHidden/>
              </w:rPr>
              <w:tab/>
            </w:r>
            <w:r w:rsidR="00A60BF1">
              <w:rPr>
                <w:webHidden/>
              </w:rPr>
              <w:fldChar w:fldCharType="begin"/>
            </w:r>
            <w:r w:rsidR="00A60BF1">
              <w:rPr>
                <w:webHidden/>
              </w:rPr>
              <w:instrText xml:space="preserve"> PAGEREF _Toc137736181 \h </w:instrText>
            </w:r>
            <w:r w:rsidR="00A60BF1">
              <w:rPr>
                <w:webHidden/>
              </w:rPr>
            </w:r>
            <w:r w:rsidR="00A60BF1">
              <w:rPr>
                <w:webHidden/>
              </w:rPr>
              <w:fldChar w:fldCharType="separate"/>
            </w:r>
            <w:r w:rsidR="005F643D">
              <w:rPr>
                <w:webHidden/>
              </w:rPr>
              <w:t>6</w:t>
            </w:r>
            <w:r w:rsidR="00A60BF1">
              <w:rPr>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182" w:history="1">
            <w:r w:rsidR="00A60BF1" w:rsidRPr="00EA6FD0">
              <w:rPr>
                <w:rStyle w:val="Hyperlink"/>
              </w:rPr>
              <w:t>2.3.</w:t>
            </w:r>
            <w:r w:rsidR="00A60BF1">
              <w:rPr>
                <w:rFonts w:asciiTheme="minorHAnsi" w:eastAsiaTheme="minorEastAsia" w:hAnsiTheme="minorHAnsi" w:cstheme="minorBidi"/>
                <w:sz w:val="22"/>
                <w:szCs w:val="22"/>
              </w:rPr>
              <w:tab/>
            </w:r>
            <w:r w:rsidR="00A60BF1" w:rsidRPr="00EA6FD0">
              <w:rPr>
                <w:rStyle w:val="Hyperlink"/>
              </w:rPr>
              <w:t>Transposition of the PIF Directive – state of play</w:t>
            </w:r>
            <w:r w:rsidR="00A60BF1">
              <w:rPr>
                <w:webHidden/>
              </w:rPr>
              <w:tab/>
            </w:r>
            <w:r w:rsidR="00A60BF1">
              <w:rPr>
                <w:webHidden/>
              </w:rPr>
              <w:fldChar w:fldCharType="begin"/>
            </w:r>
            <w:r w:rsidR="00A60BF1">
              <w:rPr>
                <w:webHidden/>
              </w:rPr>
              <w:instrText xml:space="preserve"> PAGEREF _Toc137736182 \h </w:instrText>
            </w:r>
            <w:r w:rsidR="00A60BF1">
              <w:rPr>
                <w:webHidden/>
              </w:rPr>
            </w:r>
            <w:r w:rsidR="00A60BF1">
              <w:rPr>
                <w:webHidden/>
              </w:rPr>
              <w:fldChar w:fldCharType="separate"/>
            </w:r>
            <w:r w:rsidR="005F643D">
              <w:rPr>
                <w:webHidden/>
              </w:rPr>
              <w:t>6</w:t>
            </w:r>
            <w:r w:rsidR="00A60BF1">
              <w:rPr>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183" w:history="1">
            <w:r w:rsidR="00A60BF1" w:rsidRPr="00EA6FD0">
              <w:rPr>
                <w:rStyle w:val="Hyperlink"/>
              </w:rPr>
              <w:t>2.4.</w:t>
            </w:r>
            <w:r w:rsidR="00A60BF1">
              <w:rPr>
                <w:rFonts w:asciiTheme="minorHAnsi" w:eastAsiaTheme="minorEastAsia" w:hAnsiTheme="minorHAnsi" w:cstheme="minorBidi"/>
                <w:sz w:val="22"/>
                <w:szCs w:val="22"/>
              </w:rPr>
              <w:tab/>
            </w:r>
            <w:r w:rsidR="00A60BF1" w:rsidRPr="00EA6FD0">
              <w:rPr>
                <w:rStyle w:val="Hyperlink"/>
              </w:rPr>
              <w:t>Revision of the action plan accompanying the Commission anti-fraud strategy</w:t>
            </w:r>
            <w:r w:rsidR="00A60BF1">
              <w:rPr>
                <w:webHidden/>
              </w:rPr>
              <w:tab/>
            </w:r>
            <w:r w:rsidR="00A60BF1">
              <w:rPr>
                <w:webHidden/>
              </w:rPr>
              <w:fldChar w:fldCharType="begin"/>
            </w:r>
            <w:r w:rsidR="00A60BF1">
              <w:rPr>
                <w:webHidden/>
              </w:rPr>
              <w:instrText xml:space="preserve"> PAGEREF _Toc137736183 \h </w:instrText>
            </w:r>
            <w:r w:rsidR="00A60BF1">
              <w:rPr>
                <w:webHidden/>
              </w:rPr>
            </w:r>
            <w:r w:rsidR="00A60BF1">
              <w:rPr>
                <w:webHidden/>
              </w:rPr>
              <w:fldChar w:fldCharType="separate"/>
            </w:r>
            <w:r w:rsidR="005F643D">
              <w:rPr>
                <w:webHidden/>
              </w:rPr>
              <w:t>7</w:t>
            </w:r>
            <w:r w:rsidR="00A60BF1">
              <w:rPr>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184" w:history="1">
            <w:r w:rsidR="00A60BF1" w:rsidRPr="00EA6FD0">
              <w:rPr>
                <w:rStyle w:val="Hyperlink"/>
              </w:rPr>
              <w:t>2.5.</w:t>
            </w:r>
            <w:r w:rsidR="00A60BF1">
              <w:rPr>
                <w:rFonts w:asciiTheme="minorHAnsi" w:eastAsiaTheme="minorEastAsia" w:hAnsiTheme="minorHAnsi" w:cstheme="minorBidi"/>
                <w:sz w:val="22"/>
                <w:szCs w:val="22"/>
              </w:rPr>
              <w:tab/>
            </w:r>
            <w:r w:rsidR="00A60BF1" w:rsidRPr="00EA6FD0">
              <w:rPr>
                <w:rStyle w:val="Hyperlink"/>
              </w:rPr>
              <w:t>The Union anti-fraud programme</w:t>
            </w:r>
            <w:r w:rsidR="00A60BF1">
              <w:rPr>
                <w:webHidden/>
              </w:rPr>
              <w:tab/>
            </w:r>
            <w:r w:rsidR="00A60BF1">
              <w:rPr>
                <w:webHidden/>
              </w:rPr>
              <w:fldChar w:fldCharType="begin"/>
            </w:r>
            <w:r w:rsidR="00A60BF1">
              <w:rPr>
                <w:webHidden/>
              </w:rPr>
              <w:instrText xml:space="preserve"> PAGEREF _Toc137736184 \h </w:instrText>
            </w:r>
            <w:r w:rsidR="00A60BF1">
              <w:rPr>
                <w:webHidden/>
              </w:rPr>
            </w:r>
            <w:r w:rsidR="00A60BF1">
              <w:rPr>
                <w:webHidden/>
              </w:rPr>
              <w:fldChar w:fldCharType="separate"/>
            </w:r>
            <w:r w:rsidR="005F643D">
              <w:rPr>
                <w:webHidden/>
              </w:rPr>
              <w:t>7</w:t>
            </w:r>
            <w:r w:rsidR="00A60BF1">
              <w:rPr>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185" w:history="1">
            <w:r w:rsidR="00A60BF1" w:rsidRPr="00EA6FD0">
              <w:rPr>
                <w:rStyle w:val="Hyperlink"/>
              </w:rPr>
              <w:t>2.6.</w:t>
            </w:r>
            <w:r w:rsidR="00A60BF1">
              <w:rPr>
                <w:rFonts w:asciiTheme="minorHAnsi" w:eastAsiaTheme="minorEastAsia" w:hAnsiTheme="minorHAnsi" w:cstheme="minorBidi"/>
                <w:sz w:val="22"/>
                <w:szCs w:val="22"/>
              </w:rPr>
              <w:tab/>
            </w:r>
            <w:r w:rsidR="00A60BF1" w:rsidRPr="00EA6FD0">
              <w:rPr>
                <w:rStyle w:val="Hyperlink"/>
              </w:rPr>
              <w:t>EU programmes concerning Customs and Taxation</w:t>
            </w:r>
            <w:r w:rsidR="00A60BF1">
              <w:rPr>
                <w:webHidden/>
              </w:rPr>
              <w:tab/>
            </w:r>
            <w:r w:rsidR="00A60BF1">
              <w:rPr>
                <w:webHidden/>
              </w:rPr>
              <w:fldChar w:fldCharType="begin"/>
            </w:r>
            <w:r w:rsidR="00A60BF1">
              <w:rPr>
                <w:webHidden/>
              </w:rPr>
              <w:instrText xml:space="preserve"> PAGEREF _Toc137736185 \h </w:instrText>
            </w:r>
            <w:r w:rsidR="00A60BF1">
              <w:rPr>
                <w:webHidden/>
              </w:rPr>
            </w:r>
            <w:r w:rsidR="00A60BF1">
              <w:rPr>
                <w:webHidden/>
              </w:rPr>
              <w:fldChar w:fldCharType="separate"/>
            </w:r>
            <w:r w:rsidR="005F643D">
              <w:rPr>
                <w:webHidden/>
              </w:rPr>
              <w:t>8</w:t>
            </w:r>
            <w:r w:rsidR="00A60BF1">
              <w:rPr>
                <w:webHidden/>
              </w:rPr>
              <w:fldChar w:fldCharType="end"/>
            </w:r>
          </w:hyperlink>
        </w:p>
        <w:p w:rsidR="00A60BF1" w:rsidRDefault="001360C6">
          <w:pPr>
            <w:pStyle w:val="TOC3"/>
            <w:rPr>
              <w:rFonts w:asciiTheme="minorHAnsi" w:eastAsiaTheme="minorEastAsia" w:hAnsiTheme="minorHAnsi" w:cstheme="minorBidi"/>
              <w:noProof/>
              <w:sz w:val="22"/>
              <w:szCs w:val="22"/>
            </w:rPr>
          </w:pPr>
          <w:hyperlink w:anchor="_Toc137736186" w:history="1">
            <w:r w:rsidR="00A60BF1" w:rsidRPr="00EA6FD0">
              <w:rPr>
                <w:rStyle w:val="Hyperlink"/>
                <w:noProof/>
              </w:rPr>
              <w:t>2.6.1.</w:t>
            </w:r>
            <w:r w:rsidR="00A60BF1">
              <w:rPr>
                <w:rFonts w:asciiTheme="minorHAnsi" w:eastAsiaTheme="minorEastAsia" w:hAnsiTheme="minorHAnsi" w:cstheme="minorBidi"/>
                <w:noProof/>
                <w:sz w:val="22"/>
                <w:szCs w:val="22"/>
              </w:rPr>
              <w:tab/>
            </w:r>
            <w:r w:rsidR="00A60BF1" w:rsidRPr="00EA6FD0">
              <w:rPr>
                <w:rStyle w:val="Hyperlink"/>
                <w:noProof/>
              </w:rPr>
              <w:t>Fiscalis programme</w:t>
            </w:r>
            <w:r w:rsidR="00A60BF1">
              <w:rPr>
                <w:noProof/>
                <w:webHidden/>
              </w:rPr>
              <w:tab/>
            </w:r>
            <w:r w:rsidR="00A60BF1">
              <w:rPr>
                <w:noProof/>
                <w:webHidden/>
              </w:rPr>
              <w:fldChar w:fldCharType="begin"/>
            </w:r>
            <w:r w:rsidR="00A60BF1">
              <w:rPr>
                <w:noProof/>
                <w:webHidden/>
              </w:rPr>
              <w:instrText xml:space="preserve"> PAGEREF _Toc137736186 \h </w:instrText>
            </w:r>
            <w:r w:rsidR="00A60BF1">
              <w:rPr>
                <w:noProof/>
                <w:webHidden/>
              </w:rPr>
            </w:r>
            <w:r w:rsidR="00A60BF1">
              <w:rPr>
                <w:noProof/>
                <w:webHidden/>
              </w:rPr>
              <w:fldChar w:fldCharType="separate"/>
            </w:r>
            <w:r w:rsidR="005F643D">
              <w:rPr>
                <w:noProof/>
                <w:webHidden/>
              </w:rPr>
              <w:t>8</w:t>
            </w:r>
            <w:r w:rsidR="00A60BF1">
              <w:rPr>
                <w:noProof/>
                <w:webHidden/>
              </w:rPr>
              <w:fldChar w:fldCharType="end"/>
            </w:r>
          </w:hyperlink>
        </w:p>
        <w:p w:rsidR="00A60BF1" w:rsidRDefault="001360C6">
          <w:pPr>
            <w:pStyle w:val="TOC3"/>
            <w:rPr>
              <w:rFonts w:asciiTheme="minorHAnsi" w:eastAsiaTheme="minorEastAsia" w:hAnsiTheme="minorHAnsi" w:cstheme="minorBidi"/>
              <w:noProof/>
              <w:sz w:val="22"/>
              <w:szCs w:val="22"/>
            </w:rPr>
          </w:pPr>
          <w:hyperlink w:anchor="_Toc137736187" w:history="1">
            <w:r w:rsidR="00A60BF1" w:rsidRPr="00EA6FD0">
              <w:rPr>
                <w:rStyle w:val="Hyperlink"/>
                <w:noProof/>
              </w:rPr>
              <w:t>2.6.2.</w:t>
            </w:r>
            <w:r w:rsidR="00A60BF1">
              <w:rPr>
                <w:rFonts w:asciiTheme="minorHAnsi" w:eastAsiaTheme="minorEastAsia" w:hAnsiTheme="minorHAnsi" w:cstheme="minorBidi"/>
                <w:noProof/>
                <w:sz w:val="22"/>
                <w:szCs w:val="22"/>
              </w:rPr>
              <w:tab/>
            </w:r>
            <w:r w:rsidR="00A60BF1" w:rsidRPr="00EA6FD0">
              <w:rPr>
                <w:rStyle w:val="Hyperlink"/>
                <w:noProof/>
              </w:rPr>
              <w:t>Customs programme</w:t>
            </w:r>
            <w:r w:rsidR="00A60BF1">
              <w:rPr>
                <w:noProof/>
                <w:webHidden/>
              </w:rPr>
              <w:tab/>
            </w:r>
            <w:r w:rsidR="00A60BF1">
              <w:rPr>
                <w:noProof/>
                <w:webHidden/>
              </w:rPr>
              <w:fldChar w:fldCharType="begin"/>
            </w:r>
            <w:r w:rsidR="00A60BF1">
              <w:rPr>
                <w:noProof/>
                <w:webHidden/>
              </w:rPr>
              <w:instrText xml:space="preserve"> PAGEREF _Toc137736187 \h </w:instrText>
            </w:r>
            <w:r w:rsidR="00A60BF1">
              <w:rPr>
                <w:noProof/>
                <w:webHidden/>
              </w:rPr>
            </w:r>
            <w:r w:rsidR="00A60BF1">
              <w:rPr>
                <w:noProof/>
                <w:webHidden/>
              </w:rPr>
              <w:fldChar w:fldCharType="separate"/>
            </w:r>
            <w:r w:rsidR="005F643D">
              <w:rPr>
                <w:noProof/>
                <w:webHidden/>
              </w:rPr>
              <w:t>8</w:t>
            </w:r>
            <w:r w:rsidR="00A60BF1">
              <w:rPr>
                <w:noProof/>
                <w:webHidden/>
              </w:rPr>
              <w:fldChar w:fldCharType="end"/>
            </w:r>
          </w:hyperlink>
        </w:p>
        <w:p w:rsidR="00A60BF1" w:rsidRDefault="001360C6">
          <w:pPr>
            <w:pStyle w:val="TOC3"/>
            <w:rPr>
              <w:rFonts w:asciiTheme="minorHAnsi" w:eastAsiaTheme="minorEastAsia" w:hAnsiTheme="minorHAnsi" w:cstheme="minorBidi"/>
              <w:noProof/>
              <w:sz w:val="22"/>
              <w:szCs w:val="22"/>
            </w:rPr>
          </w:pPr>
          <w:hyperlink w:anchor="_Toc137736188" w:history="1">
            <w:r w:rsidR="00A60BF1" w:rsidRPr="00EA6FD0">
              <w:rPr>
                <w:rStyle w:val="Hyperlink"/>
                <w:noProof/>
              </w:rPr>
              <w:t>2.6.3.</w:t>
            </w:r>
            <w:r w:rsidR="00A60BF1">
              <w:rPr>
                <w:rFonts w:asciiTheme="minorHAnsi" w:eastAsiaTheme="minorEastAsia" w:hAnsiTheme="minorHAnsi" w:cstheme="minorBidi"/>
                <w:noProof/>
                <w:sz w:val="22"/>
                <w:szCs w:val="22"/>
              </w:rPr>
              <w:tab/>
            </w:r>
            <w:r w:rsidR="00A60BF1" w:rsidRPr="00EA6FD0">
              <w:rPr>
                <w:rStyle w:val="Hyperlink"/>
                <w:noProof/>
              </w:rPr>
              <w:t>The Customs Control Equipment Instrument programme</w:t>
            </w:r>
            <w:r w:rsidR="00A60BF1">
              <w:rPr>
                <w:noProof/>
                <w:webHidden/>
              </w:rPr>
              <w:tab/>
            </w:r>
            <w:r w:rsidR="00A60BF1">
              <w:rPr>
                <w:noProof/>
                <w:webHidden/>
              </w:rPr>
              <w:fldChar w:fldCharType="begin"/>
            </w:r>
            <w:r w:rsidR="00A60BF1">
              <w:rPr>
                <w:noProof/>
                <w:webHidden/>
              </w:rPr>
              <w:instrText xml:space="preserve"> PAGEREF _Toc137736188 \h </w:instrText>
            </w:r>
            <w:r w:rsidR="00A60BF1">
              <w:rPr>
                <w:noProof/>
                <w:webHidden/>
              </w:rPr>
            </w:r>
            <w:r w:rsidR="00A60BF1">
              <w:rPr>
                <w:noProof/>
                <w:webHidden/>
              </w:rPr>
              <w:fldChar w:fldCharType="separate"/>
            </w:r>
            <w:r w:rsidR="005F643D">
              <w:rPr>
                <w:noProof/>
                <w:webHidden/>
              </w:rPr>
              <w:t>8</w:t>
            </w:r>
            <w:r w:rsidR="00A60BF1">
              <w:rPr>
                <w:noProof/>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189" w:history="1">
            <w:r w:rsidR="00A60BF1" w:rsidRPr="00EA6FD0">
              <w:rPr>
                <w:rStyle w:val="Hyperlink"/>
              </w:rPr>
              <w:t>2.7.</w:t>
            </w:r>
            <w:r w:rsidR="00A60BF1">
              <w:rPr>
                <w:rFonts w:asciiTheme="minorHAnsi" w:eastAsiaTheme="minorEastAsia" w:hAnsiTheme="minorHAnsi" w:cstheme="minorBidi"/>
                <w:sz w:val="22"/>
                <w:szCs w:val="22"/>
              </w:rPr>
              <w:tab/>
            </w:r>
            <w:r w:rsidR="00A60BF1" w:rsidRPr="00EA6FD0">
              <w:rPr>
                <w:rStyle w:val="Hyperlink"/>
              </w:rPr>
              <w:t>The European Parliament’s resolution on the 2021 PIF Report</w:t>
            </w:r>
            <w:r w:rsidR="00A60BF1">
              <w:rPr>
                <w:webHidden/>
              </w:rPr>
              <w:tab/>
            </w:r>
            <w:r w:rsidR="00A60BF1">
              <w:rPr>
                <w:webHidden/>
              </w:rPr>
              <w:fldChar w:fldCharType="begin"/>
            </w:r>
            <w:r w:rsidR="00A60BF1">
              <w:rPr>
                <w:webHidden/>
              </w:rPr>
              <w:instrText xml:space="preserve"> PAGEREF _Toc137736189 \h </w:instrText>
            </w:r>
            <w:r w:rsidR="00A60BF1">
              <w:rPr>
                <w:webHidden/>
              </w:rPr>
            </w:r>
            <w:r w:rsidR="00A60BF1">
              <w:rPr>
                <w:webHidden/>
              </w:rPr>
              <w:fldChar w:fldCharType="separate"/>
            </w:r>
            <w:r w:rsidR="005F643D">
              <w:rPr>
                <w:webHidden/>
              </w:rPr>
              <w:t>9</w:t>
            </w:r>
            <w:r w:rsidR="00A60BF1">
              <w:rPr>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190" w:history="1">
            <w:r w:rsidR="00A60BF1" w:rsidRPr="00EA6FD0">
              <w:rPr>
                <w:rStyle w:val="Hyperlink"/>
              </w:rPr>
              <w:t>2.8.</w:t>
            </w:r>
            <w:r w:rsidR="00A60BF1">
              <w:rPr>
                <w:rFonts w:asciiTheme="minorHAnsi" w:eastAsiaTheme="minorEastAsia" w:hAnsiTheme="minorHAnsi" w:cstheme="minorBidi"/>
                <w:sz w:val="22"/>
                <w:szCs w:val="22"/>
              </w:rPr>
              <w:tab/>
            </w:r>
            <w:r w:rsidR="00A60BF1" w:rsidRPr="00EA6FD0">
              <w:rPr>
                <w:rStyle w:val="Hyperlink"/>
              </w:rPr>
              <w:t>Other initiatives</w:t>
            </w:r>
            <w:r w:rsidR="00A60BF1">
              <w:rPr>
                <w:webHidden/>
              </w:rPr>
              <w:tab/>
            </w:r>
            <w:r w:rsidR="00A60BF1">
              <w:rPr>
                <w:webHidden/>
              </w:rPr>
              <w:fldChar w:fldCharType="begin"/>
            </w:r>
            <w:r w:rsidR="00A60BF1">
              <w:rPr>
                <w:webHidden/>
              </w:rPr>
              <w:instrText xml:space="preserve"> PAGEREF _Toc137736190 \h </w:instrText>
            </w:r>
            <w:r w:rsidR="00A60BF1">
              <w:rPr>
                <w:webHidden/>
              </w:rPr>
            </w:r>
            <w:r w:rsidR="00A60BF1">
              <w:rPr>
                <w:webHidden/>
              </w:rPr>
              <w:fldChar w:fldCharType="separate"/>
            </w:r>
            <w:r w:rsidR="005F643D">
              <w:rPr>
                <w:webHidden/>
              </w:rPr>
              <w:t>10</w:t>
            </w:r>
            <w:r w:rsidR="00A60BF1">
              <w:rPr>
                <w:webHidden/>
              </w:rPr>
              <w:fldChar w:fldCharType="end"/>
            </w:r>
          </w:hyperlink>
        </w:p>
        <w:p w:rsidR="00A60BF1" w:rsidRDefault="001360C6">
          <w:pPr>
            <w:pStyle w:val="TOC3"/>
            <w:rPr>
              <w:rFonts w:asciiTheme="minorHAnsi" w:eastAsiaTheme="minorEastAsia" w:hAnsiTheme="minorHAnsi" w:cstheme="minorBidi"/>
              <w:noProof/>
              <w:sz w:val="22"/>
              <w:szCs w:val="22"/>
            </w:rPr>
          </w:pPr>
          <w:hyperlink w:anchor="_Toc137736191" w:history="1">
            <w:r w:rsidR="00A60BF1" w:rsidRPr="00EA6FD0">
              <w:rPr>
                <w:rStyle w:val="Hyperlink"/>
                <w:noProof/>
              </w:rPr>
              <w:t>2.8.1.</w:t>
            </w:r>
            <w:r w:rsidR="00A60BF1">
              <w:rPr>
                <w:rFonts w:asciiTheme="minorHAnsi" w:eastAsiaTheme="minorEastAsia" w:hAnsiTheme="minorHAnsi" w:cstheme="minorBidi"/>
                <w:noProof/>
                <w:sz w:val="22"/>
                <w:szCs w:val="22"/>
              </w:rPr>
              <w:tab/>
            </w:r>
            <w:r w:rsidR="00A60BF1" w:rsidRPr="00EA6FD0">
              <w:rPr>
                <w:rStyle w:val="Hyperlink"/>
                <w:noProof/>
              </w:rPr>
              <w:t>Anti-fraud clauses in international agreements</w:t>
            </w:r>
            <w:r w:rsidR="00A60BF1">
              <w:rPr>
                <w:noProof/>
                <w:webHidden/>
              </w:rPr>
              <w:tab/>
            </w:r>
            <w:r w:rsidR="00A60BF1">
              <w:rPr>
                <w:noProof/>
                <w:webHidden/>
              </w:rPr>
              <w:fldChar w:fldCharType="begin"/>
            </w:r>
            <w:r w:rsidR="00A60BF1">
              <w:rPr>
                <w:noProof/>
                <w:webHidden/>
              </w:rPr>
              <w:instrText xml:space="preserve"> PAGEREF _Toc137736191 \h </w:instrText>
            </w:r>
            <w:r w:rsidR="00A60BF1">
              <w:rPr>
                <w:noProof/>
                <w:webHidden/>
              </w:rPr>
            </w:r>
            <w:r w:rsidR="00A60BF1">
              <w:rPr>
                <w:noProof/>
                <w:webHidden/>
              </w:rPr>
              <w:fldChar w:fldCharType="separate"/>
            </w:r>
            <w:r w:rsidR="005F643D">
              <w:rPr>
                <w:noProof/>
                <w:webHidden/>
              </w:rPr>
              <w:t>10</w:t>
            </w:r>
            <w:r w:rsidR="00A60BF1">
              <w:rPr>
                <w:noProof/>
                <w:webHidden/>
              </w:rPr>
              <w:fldChar w:fldCharType="end"/>
            </w:r>
          </w:hyperlink>
        </w:p>
        <w:p w:rsidR="00A60BF1" w:rsidRDefault="001360C6">
          <w:pPr>
            <w:pStyle w:val="TOC3"/>
            <w:rPr>
              <w:rFonts w:asciiTheme="minorHAnsi" w:eastAsiaTheme="minorEastAsia" w:hAnsiTheme="minorHAnsi" w:cstheme="minorBidi"/>
              <w:noProof/>
              <w:sz w:val="22"/>
              <w:szCs w:val="22"/>
            </w:rPr>
          </w:pPr>
          <w:hyperlink w:anchor="_Toc137736192" w:history="1">
            <w:r w:rsidR="00A60BF1" w:rsidRPr="00EA6FD0">
              <w:rPr>
                <w:rStyle w:val="Hyperlink"/>
                <w:noProof/>
              </w:rPr>
              <w:t>2.8.2.</w:t>
            </w:r>
            <w:r w:rsidR="00A60BF1">
              <w:rPr>
                <w:rFonts w:asciiTheme="minorHAnsi" w:eastAsiaTheme="minorEastAsia" w:hAnsiTheme="minorHAnsi" w:cstheme="minorBidi"/>
                <w:noProof/>
                <w:sz w:val="22"/>
                <w:szCs w:val="22"/>
              </w:rPr>
              <w:tab/>
            </w:r>
            <w:r w:rsidR="00A60BF1" w:rsidRPr="00EA6FD0">
              <w:rPr>
                <w:rStyle w:val="Hyperlink"/>
                <w:noProof/>
              </w:rPr>
              <w:t>2nd Action Plan to fight the illicit tobacco trade</w:t>
            </w:r>
            <w:r w:rsidR="00A60BF1">
              <w:rPr>
                <w:noProof/>
                <w:webHidden/>
              </w:rPr>
              <w:tab/>
            </w:r>
            <w:r w:rsidR="00A60BF1">
              <w:rPr>
                <w:noProof/>
                <w:webHidden/>
              </w:rPr>
              <w:fldChar w:fldCharType="begin"/>
            </w:r>
            <w:r w:rsidR="00A60BF1">
              <w:rPr>
                <w:noProof/>
                <w:webHidden/>
              </w:rPr>
              <w:instrText xml:space="preserve"> PAGEREF _Toc137736192 \h </w:instrText>
            </w:r>
            <w:r w:rsidR="00A60BF1">
              <w:rPr>
                <w:noProof/>
                <w:webHidden/>
              </w:rPr>
            </w:r>
            <w:r w:rsidR="00A60BF1">
              <w:rPr>
                <w:noProof/>
                <w:webHidden/>
              </w:rPr>
              <w:fldChar w:fldCharType="separate"/>
            </w:r>
            <w:r w:rsidR="005F643D">
              <w:rPr>
                <w:noProof/>
                <w:webHidden/>
              </w:rPr>
              <w:t>10</w:t>
            </w:r>
            <w:r w:rsidR="00A60BF1">
              <w:rPr>
                <w:noProof/>
                <w:webHidden/>
              </w:rPr>
              <w:fldChar w:fldCharType="end"/>
            </w:r>
          </w:hyperlink>
        </w:p>
        <w:p w:rsidR="00A60BF1" w:rsidRDefault="001360C6">
          <w:pPr>
            <w:pStyle w:val="TOC3"/>
            <w:rPr>
              <w:rFonts w:asciiTheme="minorHAnsi" w:eastAsiaTheme="minorEastAsia" w:hAnsiTheme="minorHAnsi" w:cstheme="minorBidi"/>
              <w:noProof/>
              <w:sz w:val="22"/>
              <w:szCs w:val="22"/>
            </w:rPr>
          </w:pPr>
          <w:hyperlink w:anchor="_Toc137736193" w:history="1">
            <w:r w:rsidR="00A60BF1" w:rsidRPr="00EA6FD0">
              <w:rPr>
                <w:rStyle w:val="Hyperlink"/>
                <w:noProof/>
              </w:rPr>
              <w:t>2.8.3.</w:t>
            </w:r>
            <w:r w:rsidR="00A60BF1">
              <w:rPr>
                <w:rFonts w:asciiTheme="minorHAnsi" w:eastAsiaTheme="minorEastAsia" w:hAnsiTheme="minorHAnsi" w:cstheme="minorBidi"/>
                <w:noProof/>
                <w:sz w:val="22"/>
                <w:szCs w:val="22"/>
              </w:rPr>
              <w:tab/>
            </w:r>
            <w:r w:rsidR="00A60BF1" w:rsidRPr="00EA6FD0">
              <w:rPr>
                <w:rStyle w:val="Hyperlink"/>
                <w:noProof/>
              </w:rPr>
              <w:t>Anti-money laundering and counter-terrorist financing</w:t>
            </w:r>
            <w:r w:rsidR="00A60BF1">
              <w:rPr>
                <w:noProof/>
                <w:webHidden/>
              </w:rPr>
              <w:tab/>
            </w:r>
            <w:r w:rsidR="00A60BF1">
              <w:rPr>
                <w:noProof/>
                <w:webHidden/>
              </w:rPr>
              <w:fldChar w:fldCharType="begin"/>
            </w:r>
            <w:r w:rsidR="00A60BF1">
              <w:rPr>
                <w:noProof/>
                <w:webHidden/>
              </w:rPr>
              <w:instrText xml:space="preserve"> PAGEREF _Toc137736193 \h </w:instrText>
            </w:r>
            <w:r w:rsidR="00A60BF1">
              <w:rPr>
                <w:noProof/>
                <w:webHidden/>
              </w:rPr>
            </w:r>
            <w:r w:rsidR="00A60BF1">
              <w:rPr>
                <w:noProof/>
                <w:webHidden/>
              </w:rPr>
              <w:fldChar w:fldCharType="separate"/>
            </w:r>
            <w:r w:rsidR="005F643D">
              <w:rPr>
                <w:noProof/>
                <w:webHidden/>
              </w:rPr>
              <w:t>10</w:t>
            </w:r>
            <w:r w:rsidR="00A60BF1">
              <w:rPr>
                <w:noProof/>
                <w:webHidden/>
              </w:rPr>
              <w:fldChar w:fldCharType="end"/>
            </w:r>
          </w:hyperlink>
        </w:p>
        <w:p w:rsidR="00A60BF1" w:rsidRDefault="001360C6">
          <w:pPr>
            <w:pStyle w:val="TOC1"/>
            <w:rPr>
              <w:rFonts w:asciiTheme="minorHAnsi" w:eastAsiaTheme="minorEastAsia" w:hAnsiTheme="minorHAnsi" w:cstheme="minorBidi"/>
              <w:b w:val="0"/>
              <w:noProof/>
              <w:sz w:val="22"/>
              <w:szCs w:val="22"/>
            </w:rPr>
          </w:pPr>
          <w:hyperlink w:anchor="_Toc137736194" w:history="1">
            <w:r w:rsidR="00A60BF1" w:rsidRPr="00EA6FD0">
              <w:rPr>
                <w:rStyle w:val="Hyperlink"/>
                <w:noProof/>
              </w:rPr>
              <w:t>3.</w:t>
            </w:r>
            <w:r w:rsidR="00A60BF1">
              <w:rPr>
                <w:rFonts w:asciiTheme="minorHAnsi" w:eastAsiaTheme="minorEastAsia" w:hAnsiTheme="minorHAnsi" w:cstheme="minorBidi"/>
                <w:b w:val="0"/>
                <w:noProof/>
                <w:sz w:val="22"/>
                <w:szCs w:val="22"/>
              </w:rPr>
              <w:tab/>
            </w:r>
            <w:r w:rsidR="00A60BF1" w:rsidRPr="00EA6FD0">
              <w:rPr>
                <w:rStyle w:val="Hyperlink"/>
                <w:noProof/>
              </w:rPr>
              <w:t>Member States’ measures to protect the EU’s financial interests</w:t>
            </w:r>
            <w:r w:rsidR="00A60BF1">
              <w:rPr>
                <w:noProof/>
                <w:webHidden/>
              </w:rPr>
              <w:tab/>
            </w:r>
            <w:r w:rsidR="00A60BF1">
              <w:rPr>
                <w:noProof/>
                <w:webHidden/>
              </w:rPr>
              <w:fldChar w:fldCharType="begin"/>
            </w:r>
            <w:r w:rsidR="00A60BF1">
              <w:rPr>
                <w:noProof/>
                <w:webHidden/>
              </w:rPr>
              <w:instrText xml:space="preserve"> PAGEREF _Toc137736194 \h </w:instrText>
            </w:r>
            <w:r w:rsidR="00A60BF1">
              <w:rPr>
                <w:noProof/>
                <w:webHidden/>
              </w:rPr>
            </w:r>
            <w:r w:rsidR="00A60BF1">
              <w:rPr>
                <w:noProof/>
                <w:webHidden/>
              </w:rPr>
              <w:fldChar w:fldCharType="separate"/>
            </w:r>
            <w:r w:rsidR="005F643D">
              <w:rPr>
                <w:noProof/>
                <w:webHidden/>
              </w:rPr>
              <w:t>10</w:t>
            </w:r>
            <w:r w:rsidR="00A60BF1">
              <w:rPr>
                <w:noProof/>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195" w:history="1">
            <w:r w:rsidR="00A60BF1" w:rsidRPr="00EA6FD0">
              <w:rPr>
                <w:rStyle w:val="Hyperlink"/>
              </w:rPr>
              <w:t>3.1.</w:t>
            </w:r>
            <w:r w:rsidR="00A60BF1">
              <w:rPr>
                <w:rFonts w:asciiTheme="minorHAnsi" w:eastAsiaTheme="minorEastAsia" w:hAnsiTheme="minorHAnsi" w:cstheme="minorBidi"/>
                <w:sz w:val="22"/>
                <w:szCs w:val="22"/>
              </w:rPr>
              <w:tab/>
            </w:r>
            <w:r w:rsidR="00A60BF1" w:rsidRPr="00EA6FD0">
              <w:rPr>
                <w:rStyle w:val="Hyperlink"/>
              </w:rPr>
              <w:t>National anti-fraud strategies</w:t>
            </w:r>
            <w:r w:rsidR="00A60BF1">
              <w:rPr>
                <w:webHidden/>
              </w:rPr>
              <w:tab/>
            </w:r>
            <w:r w:rsidR="00A60BF1">
              <w:rPr>
                <w:webHidden/>
              </w:rPr>
              <w:fldChar w:fldCharType="begin"/>
            </w:r>
            <w:r w:rsidR="00A60BF1">
              <w:rPr>
                <w:webHidden/>
              </w:rPr>
              <w:instrText xml:space="preserve"> PAGEREF _Toc137736195 \h </w:instrText>
            </w:r>
            <w:r w:rsidR="00A60BF1">
              <w:rPr>
                <w:webHidden/>
              </w:rPr>
            </w:r>
            <w:r w:rsidR="00A60BF1">
              <w:rPr>
                <w:webHidden/>
              </w:rPr>
              <w:fldChar w:fldCharType="separate"/>
            </w:r>
            <w:r w:rsidR="005F643D">
              <w:rPr>
                <w:webHidden/>
              </w:rPr>
              <w:t>10</w:t>
            </w:r>
            <w:r w:rsidR="00A60BF1">
              <w:rPr>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196" w:history="1">
            <w:r w:rsidR="00A60BF1" w:rsidRPr="00EA6FD0">
              <w:rPr>
                <w:rStyle w:val="Hyperlink"/>
              </w:rPr>
              <w:t>3.2.</w:t>
            </w:r>
            <w:r w:rsidR="00A60BF1">
              <w:rPr>
                <w:rFonts w:asciiTheme="minorHAnsi" w:eastAsiaTheme="minorEastAsia" w:hAnsiTheme="minorHAnsi" w:cstheme="minorBidi"/>
                <w:sz w:val="22"/>
                <w:szCs w:val="22"/>
              </w:rPr>
              <w:tab/>
            </w:r>
            <w:r w:rsidR="00A60BF1" w:rsidRPr="00EA6FD0">
              <w:rPr>
                <w:rStyle w:val="Hyperlink"/>
              </w:rPr>
              <w:t>Anti-fraud measures adopted at national level</w:t>
            </w:r>
            <w:r w:rsidR="00A60BF1">
              <w:rPr>
                <w:webHidden/>
              </w:rPr>
              <w:tab/>
            </w:r>
            <w:r w:rsidR="00A60BF1">
              <w:rPr>
                <w:webHidden/>
              </w:rPr>
              <w:fldChar w:fldCharType="begin"/>
            </w:r>
            <w:r w:rsidR="00A60BF1">
              <w:rPr>
                <w:webHidden/>
              </w:rPr>
              <w:instrText xml:space="preserve"> PAGEREF _Toc137736196 \h </w:instrText>
            </w:r>
            <w:r w:rsidR="00A60BF1">
              <w:rPr>
                <w:webHidden/>
              </w:rPr>
            </w:r>
            <w:r w:rsidR="00A60BF1">
              <w:rPr>
                <w:webHidden/>
              </w:rPr>
              <w:fldChar w:fldCharType="separate"/>
            </w:r>
            <w:r w:rsidR="005F643D">
              <w:rPr>
                <w:webHidden/>
              </w:rPr>
              <w:t>11</w:t>
            </w:r>
            <w:r w:rsidR="00A60BF1">
              <w:rPr>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197" w:history="1">
            <w:r w:rsidR="00A60BF1" w:rsidRPr="00EA6FD0">
              <w:rPr>
                <w:rStyle w:val="Hyperlink"/>
              </w:rPr>
              <w:t>3.3.</w:t>
            </w:r>
            <w:r w:rsidR="00A60BF1">
              <w:rPr>
                <w:rFonts w:asciiTheme="minorHAnsi" w:eastAsiaTheme="minorEastAsia" w:hAnsiTheme="minorHAnsi" w:cstheme="minorBidi"/>
                <w:sz w:val="22"/>
                <w:szCs w:val="22"/>
              </w:rPr>
              <w:tab/>
            </w:r>
            <w:r w:rsidR="00A60BF1" w:rsidRPr="00EA6FD0">
              <w:rPr>
                <w:rStyle w:val="Hyperlink"/>
              </w:rPr>
              <w:t>Implementation of the 2021 Commission recommendations to Member States</w:t>
            </w:r>
            <w:r w:rsidR="00A60BF1">
              <w:rPr>
                <w:webHidden/>
              </w:rPr>
              <w:tab/>
            </w:r>
            <w:r w:rsidR="00A60BF1">
              <w:rPr>
                <w:webHidden/>
              </w:rPr>
              <w:fldChar w:fldCharType="begin"/>
            </w:r>
            <w:r w:rsidR="00A60BF1">
              <w:rPr>
                <w:webHidden/>
              </w:rPr>
              <w:instrText xml:space="preserve"> PAGEREF _Toc137736197 \h </w:instrText>
            </w:r>
            <w:r w:rsidR="00A60BF1">
              <w:rPr>
                <w:webHidden/>
              </w:rPr>
            </w:r>
            <w:r w:rsidR="00A60BF1">
              <w:rPr>
                <w:webHidden/>
              </w:rPr>
              <w:fldChar w:fldCharType="separate"/>
            </w:r>
            <w:r w:rsidR="005F643D">
              <w:rPr>
                <w:webHidden/>
              </w:rPr>
              <w:t>14</w:t>
            </w:r>
            <w:r w:rsidR="00A60BF1">
              <w:rPr>
                <w:webHidden/>
              </w:rPr>
              <w:fldChar w:fldCharType="end"/>
            </w:r>
          </w:hyperlink>
        </w:p>
        <w:p w:rsidR="00A60BF1" w:rsidRDefault="001360C6">
          <w:pPr>
            <w:pStyle w:val="TOC1"/>
            <w:rPr>
              <w:rFonts w:asciiTheme="minorHAnsi" w:eastAsiaTheme="minorEastAsia" w:hAnsiTheme="minorHAnsi" w:cstheme="minorBidi"/>
              <w:b w:val="0"/>
              <w:noProof/>
              <w:sz w:val="22"/>
              <w:szCs w:val="22"/>
            </w:rPr>
          </w:pPr>
          <w:hyperlink w:anchor="_Toc137736198" w:history="1">
            <w:r w:rsidR="00A60BF1" w:rsidRPr="00EA6FD0">
              <w:rPr>
                <w:rStyle w:val="Hyperlink"/>
                <w:noProof/>
              </w:rPr>
              <w:t>4.</w:t>
            </w:r>
            <w:r w:rsidR="00A60BF1">
              <w:rPr>
                <w:rFonts w:asciiTheme="minorHAnsi" w:eastAsiaTheme="minorEastAsia" w:hAnsiTheme="minorHAnsi" w:cstheme="minorBidi"/>
                <w:b w:val="0"/>
                <w:noProof/>
                <w:sz w:val="22"/>
                <w:szCs w:val="22"/>
              </w:rPr>
              <w:tab/>
            </w:r>
            <w:r w:rsidR="00A60BF1" w:rsidRPr="00EA6FD0">
              <w:rPr>
                <w:rStyle w:val="Hyperlink"/>
                <w:noProof/>
              </w:rPr>
              <w:t>Combatting irregularities, fraud, corruption and conflict of interests detrimental to the EU budget</w:t>
            </w:r>
            <w:r w:rsidR="00A60BF1">
              <w:rPr>
                <w:noProof/>
                <w:webHidden/>
              </w:rPr>
              <w:tab/>
            </w:r>
            <w:r w:rsidR="00A60BF1">
              <w:rPr>
                <w:noProof/>
                <w:webHidden/>
              </w:rPr>
              <w:fldChar w:fldCharType="begin"/>
            </w:r>
            <w:r w:rsidR="00A60BF1">
              <w:rPr>
                <w:noProof/>
                <w:webHidden/>
              </w:rPr>
              <w:instrText xml:space="preserve"> PAGEREF _Toc137736198 \h </w:instrText>
            </w:r>
            <w:r w:rsidR="00A60BF1">
              <w:rPr>
                <w:noProof/>
                <w:webHidden/>
              </w:rPr>
            </w:r>
            <w:r w:rsidR="00A60BF1">
              <w:rPr>
                <w:noProof/>
                <w:webHidden/>
              </w:rPr>
              <w:fldChar w:fldCharType="separate"/>
            </w:r>
            <w:r w:rsidR="005F643D">
              <w:rPr>
                <w:noProof/>
                <w:webHidden/>
              </w:rPr>
              <w:t>15</w:t>
            </w:r>
            <w:r w:rsidR="00A60BF1">
              <w:rPr>
                <w:noProof/>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199" w:history="1">
            <w:r w:rsidR="00A60BF1" w:rsidRPr="00EA6FD0">
              <w:rPr>
                <w:rStyle w:val="Hyperlink"/>
              </w:rPr>
              <w:t>4.1.</w:t>
            </w:r>
            <w:r w:rsidR="00A60BF1">
              <w:rPr>
                <w:rFonts w:asciiTheme="minorHAnsi" w:eastAsiaTheme="minorEastAsia" w:hAnsiTheme="minorHAnsi" w:cstheme="minorBidi"/>
                <w:sz w:val="22"/>
                <w:szCs w:val="22"/>
              </w:rPr>
              <w:tab/>
            </w:r>
            <w:r w:rsidR="00A60BF1" w:rsidRPr="00EA6FD0">
              <w:rPr>
                <w:rStyle w:val="Hyperlink"/>
              </w:rPr>
              <w:t>General overview</w:t>
            </w:r>
            <w:r w:rsidR="00A60BF1">
              <w:rPr>
                <w:webHidden/>
              </w:rPr>
              <w:tab/>
            </w:r>
            <w:r w:rsidR="00A60BF1">
              <w:rPr>
                <w:webHidden/>
              </w:rPr>
              <w:fldChar w:fldCharType="begin"/>
            </w:r>
            <w:r w:rsidR="00A60BF1">
              <w:rPr>
                <w:webHidden/>
              </w:rPr>
              <w:instrText xml:space="preserve"> PAGEREF _Toc137736199 \h </w:instrText>
            </w:r>
            <w:r w:rsidR="00A60BF1">
              <w:rPr>
                <w:webHidden/>
              </w:rPr>
            </w:r>
            <w:r w:rsidR="00A60BF1">
              <w:rPr>
                <w:webHidden/>
              </w:rPr>
              <w:fldChar w:fldCharType="separate"/>
            </w:r>
            <w:r w:rsidR="005F643D">
              <w:rPr>
                <w:webHidden/>
              </w:rPr>
              <w:t>15</w:t>
            </w:r>
            <w:r w:rsidR="00A60BF1">
              <w:rPr>
                <w:webHidden/>
              </w:rPr>
              <w:fldChar w:fldCharType="end"/>
            </w:r>
          </w:hyperlink>
        </w:p>
        <w:p w:rsidR="00A60BF1" w:rsidRDefault="001360C6">
          <w:pPr>
            <w:pStyle w:val="TOC3"/>
            <w:rPr>
              <w:rFonts w:asciiTheme="minorHAnsi" w:eastAsiaTheme="minorEastAsia" w:hAnsiTheme="minorHAnsi" w:cstheme="minorBidi"/>
              <w:noProof/>
              <w:sz w:val="22"/>
              <w:szCs w:val="22"/>
            </w:rPr>
          </w:pPr>
          <w:hyperlink w:anchor="_Toc137736200" w:history="1">
            <w:r w:rsidR="00A60BF1" w:rsidRPr="00EA6FD0">
              <w:rPr>
                <w:rStyle w:val="Hyperlink"/>
                <w:noProof/>
              </w:rPr>
              <w:t>4.1.1.</w:t>
            </w:r>
            <w:r w:rsidR="00A60BF1">
              <w:rPr>
                <w:rFonts w:asciiTheme="minorHAnsi" w:eastAsiaTheme="minorEastAsia" w:hAnsiTheme="minorHAnsi" w:cstheme="minorBidi"/>
                <w:noProof/>
                <w:sz w:val="22"/>
                <w:szCs w:val="22"/>
              </w:rPr>
              <w:tab/>
            </w:r>
            <w:r w:rsidR="00A60BF1" w:rsidRPr="00EA6FD0">
              <w:rPr>
                <w:rStyle w:val="Hyperlink"/>
                <w:noProof/>
              </w:rPr>
              <w:t>Investigations by the OLAF</w:t>
            </w:r>
            <w:r w:rsidR="00A60BF1">
              <w:rPr>
                <w:noProof/>
                <w:webHidden/>
              </w:rPr>
              <w:tab/>
            </w:r>
            <w:r w:rsidR="00A60BF1">
              <w:rPr>
                <w:noProof/>
                <w:webHidden/>
              </w:rPr>
              <w:fldChar w:fldCharType="begin"/>
            </w:r>
            <w:r w:rsidR="00A60BF1">
              <w:rPr>
                <w:noProof/>
                <w:webHidden/>
              </w:rPr>
              <w:instrText xml:space="preserve"> PAGEREF _Toc137736200 \h </w:instrText>
            </w:r>
            <w:r w:rsidR="00A60BF1">
              <w:rPr>
                <w:noProof/>
                <w:webHidden/>
              </w:rPr>
            </w:r>
            <w:r w:rsidR="00A60BF1">
              <w:rPr>
                <w:noProof/>
                <w:webHidden/>
              </w:rPr>
              <w:fldChar w:fldCharType="separate"/>
            </w:r>
            <w:r w:rsidR="005F643D">
              <w:rPr>
                <w:noProof/>
                <w:webHidden/>
              </w:rPr>
              <w:t>16</w:t>
            </w:r>
            <w:r w:rsidR="00A60BF1">
              <w:rPr>
                <w:noProof/>
                <w:webHidden/>
              </w:rPr>
              <w:fldChar w:fldCharType="end"/>
            </w:r>
          </w:hyperlink>
        </w:p>
        <w:p w:rsidR="00A60BF1" w:rsidRDefault="001360C6">
          <w:pPr>
            <w:pStyle w:val="TOC3"/>
            <w:rPr>
              <w:rFonts w:asciiTheme="minorHAnsi" w:eastAsiaTheme="minorEastAsia" w:hAnsiTheme="minorHAnsi" w:cstheme="minorBidi"/>
              <w:noProof/>
              <w:sz w:val="22"/>
              <w:szCs w:val="22"/>
            </w:rPr>
          </w:pPr>
          <w:hyperlink w:anchor="_Toc137736201" w:history="1">
            <w:r w:rsidR="00A60BF1" w:rsidRPr="00EA6FD0">
              <w:rPr>
                <w:rStyle w:val="Hyperlink"/>
                <w:noProof/>
              </w:rPr>
              <w:t>4.1.2.</w:t>
            </w:r>
            <w:r w:rsidR="00A60BF1">
              <w:rPr>
                <w:rFonts w:asciiTheme="minorHAnsi" w:eastAsiaTheme="minorEastAsia" w:hAnsiTheme="minorHAnsi" w:cstheme="minorBidi"/>
                <w:noProof/>
                <w:sz w:val="22"/>
                <w:szCs w:val="22"/>
              </w:rPr>
              <w:tab/>
            </w:r>
            <w:r w:rsidR="00A60BF1" w:rsidRPr="00EA6FD0">
              <w:rPr>
                <w:rStyle w:val="Hyperlink"/>
                <w:noProof/>
              </w:rPr>
              <w:t>Investigations by the EPPO</w:t>
            </w:r>
            <w:r w:rsidR="00A60BF1">
              <w:rPr>
                <w:noProof/>
                <w:webHidden/>
              </w:rPr>
              <w:tab/>
            </w:r>
            <w:r w:rsidR="00A60BF1">
              <w:rPr>
                <w:noProof/>
                <w:webHidden/>
              </w:rPr>
              <w:fldChar w:fldCharType="begin"/>
            </w:r>
            <w:r w:rsidR="00A60BF1">
              <w:rPr>
                <w:noProof/>
                <w:webHidden/>
              </w:rPr>
              <w:instrText xml:space="preserve"> PAGEREF _Toc137736201 \h </w:instrText>
            </w:r>
            <w:r w:rsidR="00A60BF1">
              <w:rPr>
                <w:noProof/>
                <w:webHidden/>
              </w:rPr>
            </w:r>
            <w:r w:rsidR="00A60BF1">
              <w:rPr>
                <w:noProof/>
                <w:webHidden/>
              </w:rPr>
              <w:fldChar w:fldCharType="separate"/>
            </w:r>
            <w:r w:rsidR="005F643D">
              <w:rPr>
                <w:noProof/>
                <w:webHidden/>
              </w:rPr>
              <w:t>16</w:t>
            </w:r>
            <w:r w:rsidR="00A60BF1">
              <w:rPr>
                <w:noProof/>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202" w:history="1">
            <w:r w:rsidR="00A60BF1" w:rsidRPr="00EA6FD0">
              <w:rPr>
                <w:rStyle w:val="Hyperlink"/>
              </w:rPr>
              <w:t>4.2.</w:t>
            </w:r>
            <w:r w:rsidR="00A60BF1">
              <w:rPr>
                <w:rFonts w:asciiTheme="minorHAnsi" w:eastAsiaTheme="minorEastAsia" w:hAnsiTheme="minorHAnsi" w:cstheme="minorBidi"/>
                <w:sz w:val="22"/>
                <w:szCs w:val="22"/>
              </w:rPr>
              <w:tab/>
            </w:r>
            <w:r w:rsidR="00A60BF1" w:rsidRPr="00EA6FD0">
              <w:rPr>
                <w:rStyle w:val="Hyperlink"/>
              </w:rPr>
              <w:t>Revenue – Traditional own resources</w:t>
            </w:r>
            <w:r w:rsidR="00A60BF1">
              <w:rPr>
                <w:webHidden/>
              </w:rPr>
              <w:tab/>
            </w:r>
            <w:r w:rsidR="00A60BF1">
              <w:rPr>
                <w:webHidden/>
              </w:rPr>
              <w:fldChar w:fldCharType="begin"/>
            </w:r>
            <w:r w:rsidR="00A60BF1">
              <w:rPr>
                <w:webHidden/>
              </w:rPr>
              <w:instrText xml:space="preserve"> PAGEREF _Toc137736202 \h </w:instrText>
            </w:r>
            <w:r w:rsidR="00A60BF1">
              <w:rPr>
                <w:webHidden/>
              </w:rPr>
            </w:r>
            <w:r w:rsidR="00A60BF1">
              <w:rPr>
                <w:webHidden/>
              </w:rPr>
              <w:fldChar w:fldCharType="separate"/>
            </w:r>
            <w:r w:rsidR="005F643D">
              <w:rPr>
                <w:webHidden/>
              </w:rPr>
              <w:t>17</w:t>
            </w:r>
            <w:r w:rsidR="00A60BF1">
              <w:rPr>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203" w:history="1">
            <w:r w:rsidR="00A60BF1" w:rsidRPr="00EA6FD0">
              <w:rPr>
                <w:rStyle w:val="Hyperlink"/>
              </w:rPr>
              <w:t>4.3.</w:t>
            </w:r>
            <w:r w:rsidR="00A60BF1">
              <w:rPr>
                <w:rFonts w:asciiTheme="minorHAnsi" w:eastAsiaTheme="minorEastAsia" w:hAnsiTheme="minorHAnsi" w:cstheme="minorBidi"/>
                <w:sz w:val="22"/>
                <w:szCs w:val="22"/>
              </w:rPr>
              <w:tab/>
            </w:r>
            <w:r w:rsidR="00A60BF1" w:rsidRPr="00EA6FD0">
              <w:rPr>
                <w:rStyle w:val="Hyperlink"/>
              </w:rPr>
              <w:t>Expenditure</w:t>
            </w:r>
            <w:r w:rsidR="00A60BF1">
              <w:rPr>
                <w:webHidden/>
              </w:rPr>
              <w:tab/>
            </w:r>
            <w:r w:rsidR="00A60BF1">
              <w:rPr>
                <w:webHidden/>
              </w:rPr>
              <w:fldChar w:fldCharType="begin"/>
            </w:r>
            <w:r w:rsidR="00A60BF1">
              <w:rPr>
                <w:webHidden/>
              </w:rPr>
              <w:instrText xml:space="preserve"> PAGEREF _Toc137736203 \h </w:instrText>
            </w:r>
            <w:r w:rsidR="00A60BF1">
              <w:rPr>
                <w:webHidden/>
              </w:rPr>
            </w:r>
            <w:r w:rsidR="00A60BF1">
              <w:rPr>
                <w:webHidden/>
              </w:rPr>
              <w:fldChar w:fldCharType="separate"/>
            </w:r>
            <w:r w:rsidR="005F643D">
              <w:rPr>
                <w:webHidden/>
              </w:rPr>
              <w:t>18</w:t>
            </w:r>
            <w:r w:rsidR="00A60BF1">
              <w:rPr>
                <w:webHidden/>
              </w:rPr>
              <w:fldChar w:fldCharType="end"/>
            </w:r>
          </w:hyperlink>
        </w:p>
        <w:p w:rsidR="00A60BF1" w:rsidRDefault="001360C6">
          <w:pPr>
            <w:pStyle w:val="TOC3"/>
            <w:rPr>
              <w:rFonts w:asciiTheme="minorHAnsi" w:eastAsiaTheme="minorEastAsia" w:hAnsiTheme="minorHAnsi" w:cstheme="minorBidi"/>
              <w:noProof/>
              <w:sz w:val="22"/>
              <w:szCs w:val="22"/>
            </w:rPr>
          </w:pPr>
          <w:hyperlink w:anchor="_Toc137736204" w:history="1">
            <w:r w:rsidR="00A60BF1" w:rsidRPr="00EA6FD0">
              <w:rPr>
                <w:rStyle w:val="Hyperlink"/>
                <w:noProof/>
              </w:rPr>
              <w:t>4.3.1.</w:t>
            </w:r>
            <w:r w:rsidR="00A60BF1">
              <w:rPr>
                <w:rFonts w:asciiTheme="minorHAnsi" w:eastAsiaTheme="minorEastAsia" w:hAnsiTheme="minorHAnsi" w:cstheme="minorBidi"/>
                <w:noProof/>
                <w:sz w:val="22"/>
                <w:szCs w:val="22"/>
              </w:rPr>
              <w:tab/>
            </w:r>
            <w:r w:rsidR="00A60BF1" w:rsidRPr="00EA6FD0">
              <w:rPr>
                <w:rStyle w:val="Hyperlink"/>
                <w:noProof/>
              </w:rPr>
              <w:t>Agriculture</w:t>
            </w:r>
            <w:r w:rsidR="00A60BF1">
              <w:rPr>
                <w:noProof/>
                <w:webHidden/>
              </w:rPr>
              <w:tab/>
            </w:r>
            <w:r w:rsidR="00A60BF1">
              <w:rPr>
                <w:noProof/>
                <w:webHidden/>
              </w:rPr>
              <w:fldChar w:fldCharType="begin"/>
            </w:r>
            <w:r w:rsidR="00A60BF1">
              <w:rPr>
                <w:noProof/>
                <w:webHidden/>
              </w:rPr>
              <w:instrText xml:space="preserve"> PAGEREF _Toc137736204 \h </w:instrText>
            </w:r>
            <w:r w:rsidR="00A60BF1">
              <w:rPr>
                <w:noProof/>
                <w:webHidden/>
              </w:rPr>
            </w:r>
            <w:r w:rsidR="00A60BF1">
              <w:rPr>
                <w:noProof/>
                <w:webHidden/>
              </w:rPr>
              <w:fldChar w:fldCharType="separate"/>
            </w:r>
            <w:r w:rsidR="005F643D">
              <w:rPr>
                <w:noProof/>
                <w:webHidden/>
              </w:rPr>
              <w:t>18</w:t>
            </w:r>
            <w:r w:rsidR="00A60BF1">
              <w:rPr>
                <w:noProof/>
                <w:webHidden/>
              </w:rPr>
              <w:fldChar w:fldCharType="end"/>
            </w:r>
          </w:hyperlink>
        </w:p>
        <w:p w:rsidR="00A60BF1" w:rsidRDefault="001360C6">
          <w:pPr>
            <w:pStyle w:val="TOC3"/>
            <w:rPr>
              <w:rFonts w:asciiTheme="minorHAnsi" w:eastAsiaTheme="minorEastAsia" w:hAnsiTheme="minorHAnsi" w:cstheme="minorBidi"/>
              <w:noProof/>
              <w:sz w:val="22"/>
              <w:szCs w:val="22"/>
            </w:rPr>
          </w:pPr>
          <w:hyperlink w:anchor="_Toc137736205" w:history="1">
            <w:r w:rsidR="00A60BF1" w:rsidRPr="00EA6FD0">
              <w:rPr>
                <w:rStyle w:val="Hyperlink"/>
                <w:noProof/>
              </w:rPr>
              <w:t>4.3.2.</w:t>
            </w:r>
            <w:r w:rsidR="00A60BF1">
              <w:rPr>
                <w:rFonts w:asciiTheme="minorHAnsi" w:eastAsiaTheme="minorEastAsia" w:hAnsiTheme="minorHAnsi" w:cstheme="minorBidi"/>
                <w:noProof/>
                <w:sz w:val="22"/>
                <w:szCs w:val="22"/>
              </w:rPr>
              <w:tab/>
            </w:r>
            <w:r w:rsidR="00A60BF1" w:rsidRPr="00EA6FD0">
              <w:rPr>
                <w:rStyle w:val="Hyperlink"/>
                <w:noProof/>
              </w:rPr>
              <w:t>Cohesion policy</w:t>
            </w:r>
            <w:r w:rsidR="00A60BF1">
              <w:rPr>
                <w:noProof/>
                <w:webHidden/>
              </w:rPr>
              <w:tab/>
            </w:r>
            <w:r w:rsidR="00A60BF1">
              <w:rPr>
                <w:noProof/>
                <w:webHidden/>
              </w:rPr>
              <w:fldChar w:fldCharType="begin"/>
            </w:r>
            <w:r w:rsidR="00A60BF1">
              <w:rPr>
                <w:noProof/>
                <w:webHidden/>
              </w:rPr>
              <w:instrText xml:space="preserve"> PAGEREF _Toc137736205 \h </w:instrText>
            </w:r>
            <w:r w:rsidR="00A60BF1">
              <w:rPr>
                <w:noProof/>
                <w:webHidden/>
              </w:rPr>
            </w:r>
            <w:r w:rsidR="00A60BF1">
              <w:rPr>
                <w:noProof/>
                <w:webHidden/>
              </w:rPr>
              <w:fldChar w:fldCharType="separate"/>
            </w:r>
            <w:r w:rsidR="005F643D">
              <w:rPr>
                <w:noProof/>
                <w:webHidden/>
              </w:rPr>
              <w:t>20</w:t>
            </w:r>
            <w:r w:rsidR="00A60BF1">
              <w:rPr>
                <w:noProof/>
                <w:webHidden/>
              </w:rPr>
              <w:fldChar w:fldCharType="end"/>
            </w:r>
          </w:hyperlink>
        </w:p>
        <w:p w:rsidR="00A60BF1" w:rsidRDefault="001360C6">
          <w:pPr>
            <w:pStyle w:val="TOC3"/>
            <w:rPr>
              <w:rFonts w:asciiTheme="minorHAnsi" w:eastAsiaTheme="minorEastAsia" w:hAnsiTheme="minorHAnsi" w:cstheme="minorBidi"/>
              <w:noProof/>
              <w:sz w:val="22"/>
              <w:szCs w:val="22"/>
            </w:rPr>
          </w:pPr>
          <w:hyperlink w:anchor="_Toc137736206" w:history="1">
            <w:r w:rsidR="00A60BF1" w:rsidRPr="00EA6FD0">
              <w:rPr>
                <w:rStyle w:val="Hyperlink"/>
                <w:noProof/>
              </w:rPr>
              <w:t>4.3.3.</w:t>
            </w:r>
            <w:r w:rsidR="00A60BF1">
              <w:rPr>
                <w:rFonts w:asciiTheme="minorHAnsi" w:eastAsiaTheme="minorEastAsia" w:hAnsiTheme="minorHAnsi" w:cstheme="minorBidi"/>
                <w:noProof/>
                <w:sz w:val="22"/>
                <w:szCs w:val="22"/>
              </w:rPr>
              <w:tab/>
            </w:r>
            <w:r w:rsidR="00A60BF1" w:rsidRPr="00EA6FD0">
              <w:rPr>
                <w:rStyle w:val="Hyperlink"/>
                <w:noProof/>
              </w:rPr>
              <w:t>Other budgetary areas</w:t>
            </w:r>
            <w:r w:rsidR="00A60BF1">
              <w:rPr>
                <w:noProof/>
                <w:webHidden/>
              </w:rPr>
              <w:tab/>
            </w:r>
            <w:r w:rsidR="00A60BF1">
              <w:rPr>
                <w:noProof/>
                <w:webHidden/>
              </w:rPr>
              <w:fldChar w:fldCharType="begin"/>
            </w:r>
            <w:r w:rsidR="00A60BF1">
              <w:rPr>
                <w:noProof/>
                <w:webHidden/>
              </w:rPr>
              <w:instrText xml:space="preserve"> PAGEREF _Toc137736206 \h </w:instrText>
            </w:r>
            <w:r w:rsidR="00A60BF1">
              <w:rPr>
                <w:noProof/>
                <w:webHidden/>
              </w:rPr>
            </w:r>
            <w:r w:rsidR="00A60BF1">
              <w:rPr>
                <w:noProof/>
                <w:webHidden/>
              </w:rPr>
              <w:fldChar w:fldCharType="separate"/>
            </w:r>
            <w:r w:rsidR="005F643D">
              <w:rPr>
                <w:noProof/>
                <w:webHidden/>
              </w:rPr>
              <w:t>21</w:t>
            </w:r>
            <w:r w:rsidR="00A60BF1">
              <w:rPr>
                <w:noProof/>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207" w:history="1">
            <w:r w:rsidR="00A60BF1" w:rsidRPr="00EA6FD0">
              <w:rPr>
                <w:rStyle w:val="Hyperlink"/>
              </w:rPr>
              <w:t>4.4.</w:t>
            </w:r>
            <w:r w:rsidR="00A60BF1">
              <w:rPr>
                <w:rFonts w:asciiTheme="minorHAnsi" w:eastAsiaTheme="minorEastAsia" w:hAnsiTheme="minorHAnsi" w:cstheme="minorBidi"/>
                <w:sz w:val="22"/>
                <w:szCs w:val="22"/>
              </w:rPr>
              <w:tab/>
            </w:r>
            <w:r w:rsidR="00A60BF1" w:rsidRPr="00EA6FD0">
              <w:rPr>
                <w:rStyle w:val="Hyperlink"/>
              </w:rPr>
              <w:t>Organised crime, corruption and conflicts of interest</w:t>
            </w:r>
            <w:r w:rsidR="00A60BF1">
              <w:rPr>
                <w:webHidden/>
              </w:rPr>
              <w:tab/>
            </w:r>
            <w:r w:rsidR="00A60BF1">
              <w:rPr>
                <w:webHidden/>
              </w:rPr>
              <w:fldChar w:fldCharType="begin"/>
            </w:r>
            <w:r w:rsidR="00A60BF1">
              <w:rPr>
                <w:webHidden/>
              </w:rPr>
              <w:instrText xml:space="preserve"> PAGEREF _Toc137736207 \h </w:instrText>
            </w:r>
            <w:r w:rsidR="00A60BF1">
              <w:rPr>
                <w:webHidden/>
              </w:rPr>
            </w:r>
            <w:r w:rsidR="00A60BF1">
              <w:rPr>
                <w:webHidden/>
              </w:rPr>
              <w:fldChar w:fldCharType="separate"/>
            </w:r>
            <w:r w:rsidR="005F643D">
              <w:rPr>
                <w:webHidden/>
              </w:rPr>
              <w:t>21</w:t>
            </w:r>
            <w:r w:rsidR="00A60BF1">
              <w:rPr>
                <w:webHidden/>
              </w:rPr>
              <w:fldChar w:fldCharType="end"/>
            </w:r>
          </w:hyperlink>
        </w:p>
        <w:p w:rsidR="00A60BF1" w:rsidRDefault="001360C6">
          <w:pPr>
            <w:pStyle w:val="TOC1"/>
            <w:rPr>
              <w:rFonts w:asciiTheme="minorHAnsi" w:eastAsiaTheme="minorEastAsia" w:hAnsiTheme="minorHAnsi" w:cstheme="minorBidi"/>
              <w:b w:val="0"/>
              <w:noProof/>
              <w:sz w:val="22"/>
              <w:szCs w:val="22"/>
            </w:rPr>
          </w:pPr>
          <w:hyperlink w:anchor="_Toc137736208" w:history="1">
            <w:r w:rsidR="00A60BF1" w:rsidRPr="00EA6FD0">
              <w:rPr>
                <w:rStyle w:val="Hyperlink"/>
                <w:noProof/>
              </w:rPr>
              <w:t>5.</w:t>
            </w:r>
            <w:r w:rsidR="00A60BF1">
              <w:rPr>
                <w:rFonts w:asciiTheme="minorHAnsi" w:eastAsiaTheme="minorEastAsia" w:hAnsiTheme="minorHAnsi" w:cstheme="minorBidi"/>
                <w:b w:val="0"/>
                <w:noProof/>
                <w:sz w:val="22"/>
                <w:szCs w:val="22"/>
              </w:rPr>
              <w:tab/>
            </w:r>
            <w:r w:rsidR="00A60BF1" w:rsidRPr="00EA6FD0">
              <w:rPr>
                <w:rStyle w:val="Hyperlink"/>
                <w:noProof/>
              </w:rPr>
              <w:t>Conclusions and recommendations</w:t>
            </w:r>
            <w:r w:rsidR="00A60BF1">
              <w:rPr>
                <w:noProof/>
                <w:webHidden/>
              </w:rPr>
              <w:tab/>
            </w:r>
            <w:r w:rsidR="00A60BF1">
              <w:rPr>
                <w:noProof/>
                <w:webHidden/>
              </w:rPr>
              <w:fldChar w:fldCharType="begin"/>
            </w:r>
            <w:r w:rsidR="00A60BF1">
              <w:rPr>
                <w:noProof/>
                <w:webHidden/>
              </w:rPr>
              <w:instrText xml:space="preserve"> PAGEREF _Toc137736208 \h </w:instrText>
            </w:r>
            <w:r w:rsidR="00A60BF1">
              <w:rPr>
                <w:noProof/>
                <w:webHidden/>
              </w:rPr>
            </w:r>
            <w:r w:rsidR="00A60BF1">
              <w:rPr>
                <w:noProof/>
                <w:webHidden/>
              </w:rPr>
              <w:fldChar w:fldCharType="separate"/>
            </w:r>
            <w:r w:rsidR="005F643D">
              <w:rPr>
                <w:noProof/>
                <w:webHidden/>
              </w:rPr>
              <w:t>22</w:t>
            </w:r>
            <w:r w:rsidR="00A60BF1">
              <w:rPr>
                <w:noProof/>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209" w:history="1">
            <w:r w:rsidR="00A60BF1" w:rsidRPr="00EA6FD0">
              <w:rPr>
                <w:rStyle w:val="Hyperlink"/>
              </w:rPr>
              <w:t>5.1.</w:t>
            </w:r>
            <w:r w:rsidR="00A60BF1">
              <w:rPr>
                <w:rFonts w:asciiTheme="minorHAnsi" w:eastAsiaTheme="minorEastAsia" w:hAnsiTheme="minorHAnsi" w:cstheme="minorBidi"/>
                <w:sz w:val="22"/>
                <w:szCs w:val="22"/>
              </w:rPr>
              <w:tab/>
            </w:r>
            <w:r w:rsidR="00A60BF1" w:rsidRPr="00EA6FD0">
              <w:rPr>
                <w:rStyle w:val="Hyperlink"/>
              </w:rPr>
              <w:t>Understanding fraud in order to fight it more efficiently</w:t>
            </w:r>
            <w:r w:rsidR="00A60BF1">
              <w:rPr>
                <w:webHidden/>
              </w:rPr>
              <w:tab/>
            </w:r>
            <w:r w:rsidR="00A60BF1">
              <w:rPr>
                <w:webHidden/>
              </w:rPr>
              <w:fldChar w:fldCharType="begin"/>
            </w:r>
            <w:r w:rsidR="00A60BF1">
              <w:rPr>
                <w:webHidden/>
              </w:rPr>
              <w:instrText xml:space="preserve"> PAGEREF _Toc137736209 \h </w:instrText>
            </w:r>
            <w:r w:rsidR="00A60BF1">
              <w:rPr>
                <w:webHidden/>
              </w:rPr>
            </w:r>
            <w:r w:rsidR="00A60BF1">
              <w:rPr>
                <w:webHidden/>
              </w:rPr>
              <w:fldChar w:fldCharType="separate"/>
            </w:r>
            <w:r w:rsidR="005F643D">
              <w:rPr>
                <w:webHidden/>
              </w:rPr>
              <w:t>22</w:t>
            </w:r>
            <w:r w:rsidR="00A60BF1">
              <w:rPr>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210" w:history="1">
            <w:r w:rsidR="00A60BF1" w:rsidRPr="00EA6FD0">
              <w:rPr>
                <w:rStyle w:val="Hyperlink"/>
              </w:rPr>
              <w:t>5.2.</w:t>
            </w:r>
            <w:r w:rsidR="00A60BF1">
              <w:rPr>
                <w:rFonts w:asciiTheme="minorHAnsi" w:eastAsiaTheme="minorEastAsia" w:hAnsiTheme="minorHAnsi" w:cstheme="minorBidi"/>
                <w:sz w:val="22"/>
                <w:szCs w:val="22"/>
              </w:rPr>
              <w:tab/>
            </w:r>
            <w:r w:rsidR="00A60BF1" w:rsidRPr="00EA6FD0">
              <w:rPr>
                <w:rStyle w:val="Hyperlink"/>
              </w:rPr>
              <w:t>Innovating in the fight against fraud: the case for digitalisation</w:t>
            </w:r>
            <w:r w:rsidR="00A60BF1">
              <w:rPr>
                <w:webHidden/>
              </w:rPr>
              <w:tab/>
            </w:r>
            <w:r w:rsidR="00A60BF1">
              <w:rPr>
                <w:webHidden/>
              </w:rPr>
              <w:fldChar w:fldCharType="begin"/>
            </w:r>
            <w:r w:rsidR="00A60BF1">
              <w:rPr>
                <w:webHidden/>
              </w:rPr>
              <w:instrText xml:space="preserve"> PAGEREF _Toc137736210 \h </w:instrText>
            </w:r>
            <w:r w:rsidR="00A60BF1">
              <w:rPr>
                <w:webHidden/>
              </w:rPr>
            </w:r>
            <w:r w:rsidR="00A60BF1">
              <w:rPr>
                <w:webHidden/>
              </w:rPr>
              <w:fldChar w:fldCharType="separate"/>
            </w:r>
            <w:r w:rsidR="005F643D">
              <w:rPr>
                <w:webHidden/>
              </w:rPr>
              <w:t>23</w:t>
            </w:r>
            <w:r w:rsidR="00A60BF1">
              <w:rPr>
                <w:webHidden/>
              </w:rPr>
              <w:fldChar w:fldCharType="end"/>
            </w:r>
          </w:hyperlink>
        </w:p>
        <w:p w:rsidR="00A60BF1" w:rsidRDefault="001360C6">
          <w:pPr>
            <w:pStyle w:val="TOC2"/>
            <w:rPr>
              <w:rFonts w:asciiTheme="minorHAnsi" w:eastAsiaTheme="minorEastAsia" w:hAnsiTheme="minorHAnsi" w:cstheme="minorBidi"/>
              <w:sz w:val="22"/>
              <w:szCs w:val="22"/>
            </w:rPr>
          </w:pPr>
          <w:hyperlink w:anchor="_Toc137736211" w:history="1">
            <w:r w:rsidR="00A60BF1" w:rsidRPr="00EA6FD0">
              <w:rPr>
                <w:rStyle w:val="Hyperlink"/>
              </w:rPr>
              <w:t>5.3.</w:t>
            </w:r>
            <w:r w:rsidR="00A60BF1">
              <w:rPr>
                <w:rFonts w:asciiTheme="minorHAnsi" w:eastAsiaTheme="minorEastAsia" w:hAnsiTheme="minorHAnsi" w:cstheme="minorBidi"/>
                <w:sz w:val="22"/>
                <w:szCs w:val="22"/>
              </w:rPr>
              <w:tab/>
            </w:r>
            <w:r w:rsidR="00A60BF1" w:rsidRPr="00EA6FD0">
              <w:rPr>
                <w:rStyle w:val="Hyperlink"/>
              </w:rPr>
              <w:t>Strengthening Anti-fraud governance</w:t>
            </w:r>
            <w:r w:rsidR="00A60BF1">
              <w:rPr>
                <w:webHidden/>
              </w:rPr>
              <w:tab/>
            </w:r>
            <w:r w:rsidR="00A60BF1">
              <w:rPr>
                <w:webHidden/>
              </w:rPr>
              <w:fldChar w:fldCharType="begin"/>
            </w:r>
            <w:r w:rsidR="00A60BF1">
              <w:rPr>
                <w:webHidden/>
              </w:rPr>
              <w:instrText xml:space="preserve"> PAGEREF _Toc137736211 \h </w:instrText>
            </w:r>
            <w:r w:rsidR="00A60BF1">
              <w:rPr>
                <w:webHidden/>
              </w:rPr>
            </w:r>
            <w:r w:rsidR="00A60BF1">
              <w:rPr>
                <w:webHidden/>
              </w:rPr>
              <w:fldChar w:fldCharType="separate"/>
            </w:r>
            <w:r w:rsidR="005F643D">
              <w:rPr>
                <w:webHidden/>
              </w:rPr>
              <w:t>23</w:t>
            </w:r>
            <w:r w:rsidR="00A60BF1">
              <w:rPr>
                <w:webHidden/>
              </w:rPr>
              <w:fldChar w:fldCharType="end"/>
            </w:r>
          </w:hyperlink>
        </w:p>
        <w:p w:rsidR="00190177" w:rsidRDefault="004F6F3F">
          <w:pPr>
            <w:rPr>
              <w:noProof/>
            </w:rPr>
          </w:pPr>
          <w:r>
            <w:rPr>
              <w:noProof/>
            </w:rPr>
            <w:fldChar w:fldCharType="end"/>
          </w:r>
          <w:r>
            <w:rPr>
              <w:noProof/>
            </w:rPr>
            <w:br w:type="page"/>
          </w:r>
        </w:p>
      </w:sdtContent>
    </w:sdt>
    <w:p w:rsidR="001E21E5" w:rsidRDefault="00440F24" w:rsidP="001E21E5">
      <w:pPr>
        <w:rPr>
          <w:b/>
          <w:noProof/>
        </w:rPr>
      </w:pPr>
      <w:r w:rsidRPr="00440F24">
        <w:rPr>
          <w:b/>
          <w:noProof/>
        </w:rPr>
        <w:t>EXECUTIVE SUMMARY</w:t>
      </w:r>
    </w:p>
    <w:p w:rsidR="00EA0FAC" w:rsidRDefault="007E1ED5" w:rsidP="005D2D3A">
      <w:pPr>
        <w:rPr>
          <w:noProof/>
          <w:lang w:val="en-IE"/>
        </w:rPr>
      </w:pPr>
      <w:r>
        <w:rPr>
          <w:noProof/>
          <w:lang w:val="en-IE"/>
        </w:rPr>
        <w:t xml:space="preserve">In line with the obligation </w:t>
      </w:r>
      <w:r w:rsidR="00E1433C">
        <w:rPr>
          <w:noProof/>
          <w:lang w:val="en-IE"/>
        </w:rPr>
        <w:t xml:space="preserve">laid down </w:t>
      </w:r>
      <w:r>
        <w:rPr>
          <w:noProof/>
          <w:lang w:val="en-IE"/>
        </w:rPr>
        <w:t>in</w:t>
      </w:r>
      <w:r w:rsidRPr="007E1ED5">
        <w:rPr>
          <w:noProof/>
          <w:lang w:val="en-IE"/>
        </w:rPr>
        <w:t xml:space="preserve"> </w:t>
      </w:r>
      <w:r w:rsidR="00E1433C">
        <w:rPr>
          <w:noProof/>
          <w:lang w:val="en-IE"/>
        </w:rPr>
        <w:t>A</w:t>
      </w:r>
      <w:r w:rsidRPr="007E1ED5">
        <w:rPr>
          <w:noProof/>
          <w:lang w:val="en-IE"/>
        </w:rPr>
        <w:t>rticle 325</w:t>
      </w:r>
      <w:r w:rsidR="000721C4">
        <w:rPr>
          <w:noProof/>
          <w:lang w:val="en-IE"/>
        </w:rPr>
        <w:t>(</w:t>
      </w:r>
      <w:r w:rsidRPr="007E1ED5">
        <w:rPr>
          <w:noProof/>
          <w:lang w:val="en-IE"/>
        </w:rPr>
        <w:t>5</w:t>
      </w:r>
      <w:r w:rsidR="000721C4">
        <w:rPr>
          <w:noProof/>
          <w:lang w:val="en-IE"/>
        </w:rPr>
        <w:t>)</w:t>
      </w:r>
      <w:r w:rsidRPr="007E1ED5">
        <w:rPr>
          <w:noProof/>
          <w:lang w:val="en-IE"/>
        </w:rPr>
        <w:t xml:space="preserve"> of the Treaty on the Functioning of the E</w:t>
      </w:r>
      <w:r w:rsidR="005F4276">
        <w:rPr>
          <w:noProof/>
          <w:lang w:val="en-IE"/>
        </w:rPr>
        <w:t xml:space="preserve">uropean </w:t>
      </w:r>
      <w:r w:rsidRPr="007E1ED5">
        <w:rPr>
          <w:noProof/>
          <w:lang w:val="en-IE"/>
        </w:rPr>
        <w:t>U</w:t>
      </w:r>
      <w:r w:rsidR="005F4276">
        <w:rPr>
          <w:noProof/>
          <w:lang w:val="en-IE"/>
        </w:rPr>
        <w:t>nion (TFEU)</w:t>
      </w:r>
      <w:r w:rsidRPr="007E1ED5">
        <w:rPr>
          <w:noProof/>
          <w:lang w:val="en-IE"/>
        </w:rPr>
        <w:t xml:space="preserve">, </w:t>
      </w:r>
      <w:r w:rsidR="00E1433C">
        <w:rPr>
          <w:noProof/>
          <w:lang w:val="en-IE"/>
        </w:rPr>
        <w:t xml:space="preserve">each year </w:t>
      </w:r>
      <w:r w:rsidRPr="000625DC">
        <w:rPr>
          <w:noProof/>
        </w:rPr>
        <w:t xml:space="preserve">the Commission, in cooperation with the EU Member States, submits </w:t>
      </w:r>
      <w:r w:rsidR="00E1433C">
        <w:rPr>
          <w:noProof/>
        </w:rPr>
        <w:t xml:space="preserve">a report to </w:t>
      </w:r>
      <w:r w:rsidRPr="000625DC">
        <w:rPr>
          <w:noProof/>
        </w:rPr>
        <w:t xml:space="preserve">the European Parliament (EP) and the Council on the measures taken </w:t>
      </w:r>
      <w:r w:rsidR="00E1433C">
        <w:rPr>
          <w:noProof/>
        </w:rPr>
        <w:t>in</w:t>
      </w:r>
      <w:r w:rsidRPr="000625DC">
        <w:rPr>
          <w:noProof/>
        </w:rPr>
        <w:t xml:space="preserve"> implementation of th</w:t>
      </w:r>
      <w:r w:rsidR="00E1433C">
        <w:rPr>
          <w:noProof/>
        </w:rPr>
        <w:t>at</w:t>
      </w:r>
      <w:r w:rsidRPr="000625DC">
        <w:rPr>
          <w:noProof/>
        </w:rPr>
        <w:t xml:space="preserve"> </w:t>
      </w:r>
      <w:r w:rsidR="00E1433C">
        <w:rPr>
          <w:noProof/>
        </w:rPr>
        <w:t>A</w:t>
      </w:r>
      <w:r w:rsidRPr="000625DC">
        <w:rPr>
          <w:noProof/>
        </w:rPr>
        <w:t>rticle</w:t>
      </w:r>
      <w:r w:rsidR="00E1433C">
        <w:rPr>
          <w:noProof/>
        </w:rPr>
        <w:t xml:space="preserve"> (known as the PIF Report)</w:t>
      </w:r>
      <w:r w:rsidRPr="000625DC">
        <w:rPr>
          <w:noProof/>
        </w:rPr>
        <w:t xml:space="preserve">. </w:t>
      </w:r>
      <w:r w:rsidRPr="007E1ED5">
        <w:rPr>
          <w:noProof/>
          <w:lang w:val="en-IE"/>
        </w:rPr>
        <w:t xml:space="preserve">On </w:t>
      </w:r>
      <w:r w:rsidR="00E1433C">
        <w:rPr>
          <w:noProof/>
          <w:lang w:val="en-IE"/>
        </w:rPr>
        <w:t xml:space="preserve">the basis of that report, </w:t>
      </w:r>
      <w:r w:rsidRPr="007E1ED5">
        <w:rPr>
          <w:noProof/>
          <w:lang w:val="en-IE"/>
        </w:rPr>
        <w:t xml:space="preserve">the European Parliament adopts its annual motion for </w:t>
      </w:r>
      <w:r w:rsidR="006A208C">
        <w:rPr>
          <w:noProof/>
          <w:lang w:val="en-IE"/>
        </w:rPr>
        <w:t xml:space="preserve">a </w:t>
      </w:r>
      <w:r w:rsidRPr="007E1ED5">
        <w:rPr>
          <w:noProof/>
          <w:lang w:val="en-IE"/>
        </w:rPr>
        <w:t>resolution on the protection of the EU’s financial interests and the fight against fraud.</w:t>
      </w:r>
    </w:p>
    <w:p w:rsidR="00EA0FAC" w:rsidRDefault="00EA0FAC" w:rsidP="005D2D3A">
      <w:pPr>
        <w:rPr>
          <w:noProof/>
          <w:lang w:val="en-IE"/>
        </w:rPr>
      </w:pPr>
      <w:r w:rsidRPr="00EA0FAC">
        <w:rPr>
          <w:noProof/>
          <w:lang w:val="en-IE"/>
        </w:rPr>
        <w:t xml:space="preserve">The 2022 PIF Report highlights measures at EU and national level aimed at strengthening the protection of the </w:t>
      </w:r>
      <w:r w:rsidR="00E1433C">
        <w:rPr>
          <w:noProof/>
          <w:lang w:val="en-IE"/>
        </w:rPr>
        <w:t xml:space="preserve">Union’s </w:t>
      </w:r>
      <w:r w:rsidRPr="00EA0FAC">
        <w:rPr>
          <w:noProof/>
          <w:lang w:val="en-IE"/>
        </w:rPr>
        <w:t>financial interests.</w:t>
      </w:r>
    </w:p>
    <w:p w:rsidR="00EA0FAC" w:rsidRDefault="00EA0FAC" w:rsidP="005D2D3A">
      <w:pPr>
        <w:rPr>
          <w:noProof/>
          <w:lang w:val="en-IE"/>
        </w:rPr>
      </w:pPr>
      <w:r w:rsidRPr="00EA0FAC">
        <w:rPr>
          <w:noProof/>
          <w:lang w:val="en-IE"/>
        </w:rPr>
        <w:t xml:space="preserve">The implementation of the national recovery and resilience plans is now in full swing and the Commission has undertaken several actions </w:t>
      </w:r>
      <w:r w:rsidR="00E1433C">
        <w:rPr>
          <w:noProof/>
          <w:lang w:val="en-IE"/>
        </w:rPr>
        <w:t>to ensure that they are implemented correctly</w:t>
      </w:r>
      <w:r w:rsidRPr="00EA0FAC">
        <w:rPr>
          <w:noProof/>
          <w:lang w:val="en-IE"/>
        </w:rPr>
        <w:t>. In particular</w:t>
      </w:r>
      <w:r w:rsidR="00E1433C">
        <w:rPr>
          <w:noProof/>
          <w:lang w:val="en-IE"/>
        </w:rPr>
        <w:t>,</w:t>
      </w:r>
      <w:r w:rsidRPr="00EA0FAC">
        <w:rPr>
          <w:noProof/>
          <w:lang w:val="en-IE"/>
        </w:rPr>
        <w:t xml:space="preserve"> system audits </w:t>
      </w:r>
      <w:r w:rsidR="005F4276" w:rsidRPr="00EA0FAC">
        <w:rPr>
          <w:noProof/>
          <w:lang w:val="en-IE"/>
        </w:rPr>
        <w:t>focus</w:t>
      </w:r>
      <w:r w:rsidR="005F4276">
        <w:rPr>
          <w:noProof/>
          <w:lang w:val="en-IE"/>
        </w:rPr>
        <w:t>ing</w:t>
      </w:r>
      <w:r w:rsidR="005F4276" w:rsidRPr="00EA0FAC">
        <w:rPr>
          <w:noProof/>
          <w:lang w:val="en-IE"/>
        </w:rPr>
        <w:t xml:space="preserve"> </w:t>
      </w:r>
      <w:r w:rsidRPr="00EA0FAC">
        <w:rPr>
          <w:noProof/>
          <w:lang w:val="en-IE"/>
        </w:rPr>
        <w:t xml:space="preserve">on the protection of the EU’s financial interests are ongoing, highlighting good practices and identifying weaknesses </w:t>
      </w:r>
      <w:r w:rsidR="006A208C">
        <w:rPr>
          <w:noProof/>
          <w:lang w:val="en-IE"/>
        </w:rPr>
        <w:t xml:space="preserve">that need </w:t>
      </w:r>
      <w:r w:rsidRPr="00EA0FAC">
        <w:rPr>
          <w:noProof/>
          <w:lang w:val="en-IE"/>
        </w:rPr>
        <w:t>to be corrected.</w:t>
      </w:r>
    </w:p>
    <w:p w:rsidR="00EA0FAC" w:rsidRDefault="00EA0FAC" w:rsidP="005D2D3A">
      <w:pPr>
        <w:rPr>
          <w:noProof/>
          <w:lang w:val="en-IE"/>
        </w:rPr>
      </w:pPr>
      <w:r w:rsidRPr="00EA0FAC">
        <w:rPr>
          <w:noProof/>
          <w:lang w:val="en-IE"/>
        </w:rPr>
        <w:t>The Union</w:t>
      </w:r>
      <w:r w:rsidR="000721C4">
        <w:rPr>
          <w:noProof/>
          <w:lang w:val="en-IE"/>
        </w:rPr>
        <w:t>’s</w:t>
      </w:r>
      <w:r w:rsidRPr="00EA0FAC">
        <w:rPr>
          <w:noProof/>
          <w:lang w:val="en-IE"/>
        </w:rPr>
        <w:t xml:space="preserve"> anti-fraud programme is in its second year of implementation, financing initiatives throughout the EU to strengthen the fight against fraud and supporting the maintenance and development of IT tools supporting administrative assistance in customs and the reporting of irregularities.</w:t>
      </w:r>
    </w:p>
    <w:p w:rsidR="00EA0FAC" w:rsidRDefault="00EA0FAC" w:rsidP="005D2D3A">
      <w:pPr>
        <w:rPr>
          <w:noProof/>
          <w:lang w:val="en-IE"/>
        </w:rPr>
      </w:pPr>
      <w:r w:rsidRPr="00EA0FAC">
        <w:rPr>
          <w:noProof/>
          <w:lang w:val="en-IE"/>
        </w:rPr>
        <w:t>The propos</w:t>
      </w:r>
      <w:r w:rsidR="000721C4">
        <w:rPr>
          <w:noProof/>
          <w:lang w:val="en-IE"/>
        </w:rPr>
        <w:t>ed</w:t>
      </w:r>
      <w:r w:rsidRPr="00EA0FAC">
        <w:rPr>
          <w:noProof/>
          <w:lang w:val="en-IE"/>
        </w:rPr>
        <w:t xml:space="preserve"> recast of the </w:t>
      </w:r>
      <w:r w:rsidR="000721C4">
        <w:rPr>
          <w:noProof/>
          <w:lang w:val="en-IE"/>
        </w:rPr>
        <w:t>F</w:t>
      </w:r>
      <w:r w:rsidRPr="00EA0FAC">
        <w:rPr>
          <w:noProof/>
          <w:lang w:val="en-IE"/>
        </w:rPr>
        <w:t xml:space="preserve">inancial </w:t>
      </w:r>
      <w:r w:rsidR="000721C4">
        <w:rPr>
          <w:noProof/>
          <w:lang w:val="en-IE"/>
        </w:rPr>
        <w:t>R</w:t>
      </w:r>
      <w:r w:rsidRPr="00EA0FAC">
        <w:rPr>
          <w:noProof/>
          <w:lang w:val="en-IE"/>
        </w:rPr>
        <w:t xml:space="preserve">egulation focuses on increasing transparency in the use of EU funds and enhancing digitalisation </w:t>
      </w:r>
      <w:r w:rsidR="000721C4">
        <w:rPr>
          <w:noProof/>
          <w:lang w:val="en-IE"/>
        </w:rPr>
        <w:t>in the fight against fraud</w:t>
      </w:r>
      <w:r w:rsidRPr="00EA0FAC">
        <w:rPr>
          <w:noProof/>
          <w:lang w:val="en-IE"/>
        </w:rPr>
        <w:t xml:space="preserve"> affecting them.</w:t>
      </w:r>
      <w:r>
        <w:rPr>
          <w:noProof/>
          <w:lang w:val="en-IE"/>
        </w:rPr>
        <w:t xml:space="preserve"> </w:t>
      </w:r>
      <w:r w:rsidRPr="00EA0FAC">
        <w:rPr>
          <w:noProof/>
          <w:lang w:val="en-IE"/>
        </w:rPr>
        <w:t>Digitalisation of the fight against fraud is also one of the focuses of the revision of the action plan accompanying the Commission</w:t>
      </w:r>
      <w:r w:rsidR="006A208C">
        <w:rPr>
          <w:noProof/>
          <w:lang w:val="en-IE"/>
        </w:rPr>
        <w:t>’s</w:t>
      </w:r>
      <w:r w:rsidRPr="00EA0FAC">
        <w:rPr>
          <w:noProof/>
          <w:lang w:val="en-IE"/>
        </w:rPr>
        <w:t xml:space="preserve"> anti-fraud strategy launched in 2022.</w:t>
      </w:r>
    </w:p>
    <w:p w:rsidR="00EA0FAC" w:rsidRDefault="00EA0FAC" w:rsidP="005D2D3A">
      <w:pPr>
        <w:rPr>
          <w:noProof/>
          <w:lang w:val="en-IE"/>
        </w:rPr>
      </w:pPr>
      <w:r>
        <w:rPr>
          <w:noProof/>
          <w:lang w:val="en-IE"/>
        </w:rPr>
        <w:t>Member States have adopted corrective measures following the Commission’s infringement procedures launched in relation to incorrect transposition of the PIF Directive. Most of th</w:t>
      </w:r>
      <w:r w:rsidR="006A208C">
        <w:rPr>
          <w:noProof/>
          <w:lang w:val="en-IE"/>
        </w:rPr>
        <w:t>o</w:t>
      </w:r>
      <w:r>
        <w:rPr>
          <w:noProof/>
          <w:lang w:val="en-IE"/>
        </w:rPr>
        <w:t xml:space="preserve">se actions are expected to be completed </w:t>
      </w:r>
      <w:r w:rsidR="005F4276">
        <w:rPr>
          <w:noProof/>
          <w:lang w:val="en-IE"/>
        </w:rPr>
        <w:t>in the coming months</w:t>
      </w:r>
      <w:r>
        <w:rPr>
          <w:noProof/>
          <w:lang w:val="en-IE"/>
        </w:rPr>
        <w:t>.</w:t>
      </w:r>
    </w:p>
    <w:p w:rsidR="00700588" w:rsidRDefault="00700588" w:rsidP="005D2D3A">
      <w:pPr>
        <w:rPr>
          <w:noProof/>
          <w:lang w:val="en-IE"/>
        </w:rPr>
      </w:pPr>
      <w:r>
        <w:rPr>
          <w:noProof/>
          <w:lang w:val="en-IE"/>
        </w:rPr>
        <w:t xml:space="preserve">24 Member States have a strategy </w:t>
      </w:r>
      <w:r w:rsidR="006A208C">
        <w:rPr>
          <w:noProof/>
          <w:lang w:val="en-IE"/>
        </w:rPr>
        <w:t xml:space="preserve">in place </w:t>
      </w:r>
      <w:r>
        <w:rPr>
          <w:noProof/>
          <w:lang w:val="en-IE"/>
        </w:rPr>
        <w:t xml:space="preserve">to increase the protection of the EU’s financial interests or are in the process of finalising one. </w:t>
      </w:r>
      <w:r w:rsidR="000C3F92">
        <w:rPr>
          <w:noProof/>
          <w:lang w:val="en-IE"/>
        </w:rPr>
        <w:t>These strategies vary in terms of scope and focus, but t</w:t>
      </w:r>
      <w:r>
        <w:rPr>
          <w:noProof/>
          <w:lang w:val="en-IE"/>
        </w:rPr>
        <w:t xml:space="preserve">he </w:t>
      </w:r>
      <w:r w:rsidR="006A208C">
        <w:rPr>
          <w:noProof/>
          <w:lang w:val="en-IE"/>
        </w:rPr>
        <w:t xml:space="preserve">most common </w:t>
      </w:r>
      <w:r>
        <w:rPr>
          <w:noProof/>
          <w:lang w:val="en-IE"/>
        </w:rPr>
        <w:t xml:space="preserve">approach </w:t>
      </w:r>
      <w:r w:rsidR="006A208C">
        <w:rPr>
          <w:noProof/>
          <w:lang w:val="en-IE"/>
        </w:rPr>
        <w:t xml:space="preserve">is to </w:t>
      </w:r>
      <w:r>
        <w:rPr>
          <w:noProof/>
          <w:lang w:val="en-IE"/>
        </w:rPr>
        <w:t>adopt a national anti-fraud strategy (</w:t>
      </w:r>
      <w:r w:rsidR="005F4276">
        <w:rPr>
          <w:noProof/>
          <w:lang w:val="en-IE"/>
        </w:rPr>
        <w:t>NAFS</w:t>
      </w:r>
      <w:r>
        <w:rPr>
          <w:noProof/>
          <w:lang w:val="en-IE"/>
        </w:rPr>
        <w:t>).</w:t>
      </w:r>
    </w:p>
    <w:p w:rsidR="00700588" w:rsidRDefault="00700588" w:rsidP="005D2D3A">
      <w:pPr>
        <w:rPr>
          <w:noProof/>
          <w:lang w:val="en-IE"/>
        </w:rPr>
      </w:pPr>
      <w:r>
        <w:rPr>
          <w:noProof/>
          <w:lang w:val="en-IE"/>
        </w:rPr>
        <w:t xml:space="preserve">Member States have also largely followed the Commission’s recommendations to strengthen risk analysis and </w:t>
      </w:r>
      <w:r w:rsidR="006A208C">
        <w:rPr>
          <w:noProof/>
          <w:lang w:val="en-IE"/>
        </w:rPr>
        <w:t xml:space="preserve">to </w:t>
      </w:r>
      <w:r>
        <w:rPr>
          <w:noProof/>
          <w:lang w:val="en-IE"/>
        </w:rPr>
        <w:t>increase digitalisation in fighting fraud.</w:t>
      </w:r>
    </w:p>
    <w:p w:rsidR="00700588" w:rsidRDefault="00700588" w:rsidP="005D2D3A">
      <w:pPr>
        <w:rPr>
          <w:noProof/>
          <w:lang w:val="en-IE"/>
        </w:rPr>
      </w:pPr>
      <w:r>
        <w:rPr>
          <w:noProof/>
          <w:lang w:val="en-IE"/>
        </w:rPr>
        <w:t>In relation to investigations into fraud, corruption, conflict</w:t>
      </w:r>
      <w:r w:rsidR="006A208C">
        <w:rPr>
          <w:noProof/>
          <w:lang w:val="en-IE"/>
        </w:rPr>
        <w:t>s</w:t>
      </w:r>
      <w:r>
        <w:rPr>
          <w:noProof/>
          <w:lang w:val="en-IE"/>
        </w:rPr>
        <w:t xml:space="preserve"> of interest and other irregularities affecting the EU</w:t>
      </w:r>
      <w:r w:rsidR="006A208C">
        <w:rPr>
          <w:noProof/>
          <w:lang w:val="en-IE"/>
        </w:rPr>
        <w:t>’s</w:t>
      </w:r>
      <w:r>
        <w:rPr>
          <w:noProof/>
          <w:lang w:val="en-IE"/>
        </w:rPr>
        <w:t xml:space="preserve"> financial interests, </w:t>
      </w:r>
      <w:r w:rsidR="000C3F92">
        <w:rPr>
          <w:noProof/>
          <w:lang w:val="en-IE"/>
        </w:rPr>
        <w:t xml:space="preserve">the European Anti-Fraud Office </w:t>
      </w:r>
      <w:r>
        <w:rPr>
          <w:noProof/>
          <w:lang w:val="en-IE"/>
        </w:rPr>
        <w:t>and the E</w:t>
      </w:r>
      <w:r w:rsidR="000C3F92">
        <w:rPr>
          <w:noProof/>
          <w:lang w:val="en-IE"/>
        </w:rPr>
        <w:t xml:space="preserve">european Public </w:t>
      </w:r>
      <w:r>
        <w:rPr>
          <w:noProof/>
          <w:lang w:val="en-IE"/>
        </w:rPr>
        <w:t>P</w:t>
      </w:r>
      <w:r w:rsidR="000C3F92">
        <w:rPr>
          <w:noProof/>
          <w:lang w:val="en-IE"/>
        </w:rPr>
        <w:t>rosecutor’s Office</w:t>
      </w:r>
      <w:r>
        <w:rPr>
          <w:noProof/>
          <w:lang w:val="en-IE"/>
        </w:rPr>
        <w:t xml:space="preserve"> play a significant role in the </w:t>
      </w:r>
      <w:r w:rsidR="006A208C">
        <w:rPr>
          <w:noProof/>
          <w:lang w:val="en-IE"/>
        </w:rPr>
        <w:t xml:space="preserve">EU’s </w:t>
      </w:r>
      <w:r>
        <w:rPr>
          <w:noProof/>
          <w:lang w:val="en-IE"/>
        </w:rPr>
        <w:t>overall anti-fraud architecture</w:t>
      </w:r>
      <w:r w:rsidR="00E921F6">
        <w:rPr>
          <w:noProof/>
          <w:lang w:val="en-IE"/>
        </w:rPr>
        <w:t xml:space="preserve">. </w:t>
      </w:r>
      <w:r w:rsidR="000721C4">
        <w:rPr>
          <w:noProof/>
          <w:lang w:val="en-IE"/>
        </w:rPr>
        <w:t>Numbers of i</w:t>
      </w:r>
      <w:r w:rsidR="00E921F6">
        <w:rPr>
          <w:noProof/>
          <w:lang w:val="en-IE"/>
        </w:rPr>
        <w:t>rregularities, fraudulent and non-fraudulent</w:t>
      </w:r>
      <w:r w:rsidR="000721C4">
        <w:rPr>
          <w:noProof/>
          <w:lang w:val="en-IE"/>
        </w:rPr>
        <w:t>,</w:t>
      </w:r>
      <w:r w:rsidR="00E921F6">
        <w:rPr>
          <w:noProof/>
          <w:lang w:val="en-IE"/>
        </w:rPr>
        <w:t xml:space="preserve"> reported by the Member States in customs and shared management </w:t>
      </w:r>
      <w:r w:rsidR="000721C4">
        <w:rPr>
          <w:noProof/>
          <w:lang w:val="en-IE"/>
        </w:rPr>
        <w:t xml:space="preserve">showed a slight </w:t>
      </w:r>
      <w:r w:rsidR="00E921F6">
        <w:rPr>
          <w:noProof/>
          <w:lang w:val="en-IE"/>
        </w:rPr>
        <w:t xml:space="preserve">increase </w:t>
      </w:r>
      <w:r w:rsidR="000721C4">
        <w:rPr>
          <w:noProof/>
          <w:lang w:val="en-IE"/>
        </w:rPr>
        <w:t xml:space="preserve">compared to </w:t>
      </w:r>
      <w:r w:rsidR="00E921F6">
        <w:rPr>
          <w:noProof/>
          <w:lang w:val="en-IE"/>
        </w:rPr>
        <w:t xml:space="preserve">2021, while their financial impact decreased. </w:t>
      </w:r>
      <w:r w:rsidR="00E921F6" w:rsidRPr="00E921F6">
        <w:rPr>
          <w:noProof/>
          <w:lang w:val="en-IE"/>
        </w:rPr>
        <w:t xml:space="preserve">The report highlights the major areas at risk in relation to customs, agriculture and cohesion policy, based on the analysis of </w:t>
      </w:r>
      <w:r w:rsidR="000721C4">
        <w:rPr>
          <w:noProof/>
          <w:lang w:val="en-IE"/>
        </w:rPr>
        <w:t>that</w:t>
      </w:r>
      <w:r w:rsidR="000721C4" w:rsidRPr="00E921F6">
        <w:rPr>
          <w:noProof/>
          <w:lang w:val="en-IE"/>
        </w:rPr>
        <w:t xml:space="preserve"> </w:t>
      </w:r>
      <w:r w:rsidR="00E921F6" w:rsidRPr="00E921F6">
        <w:rPr>
          <w:noProof/>
          <w:lang w:val="en-IE"/>
        </w:rPr>
        <w:t>data.</w:t>
      </w:r>
    </w:p>
    <w:p w:rsidR="00E921F6" w:rsidRDefault="00E921F6" w:rsidP="00E921F6">
      <w:pPr>
        <w:rPr>
          <w:noProof/>
          <w:lang w:val="en-IE"/>
        </w:rPr>
      </w:pPr>
      <w:r w:rsidRPr="00E921F6">
        <w:rPr>
          <w:noProof/>
          <w:lang w:val="en-IE"/>
        </w:rPr>
        <w:t xml:space="preserve">Detection and reporting of suspected fraud can still be significantly improved, as can their follow-up. </w:t>
      </w:r>
      <w:r w:rsidR="006A208C">
        <w:rPr>
          <w:noProof/>
          <w:lang w:val="en-IE"/>
        </w:rPr>
        <w:t xml:space="preserve">There are still notable </w:t>
      </w:r>
      <w:r w:rsidRPr="00E921F6">
        <w:rPr>
          <w:noProof/>
          <w:lang w:val="en-IE"/>
        </w:rPr>
        <w:t>differences between Member States. Member States with low incidence of fraud</w:t>
      </w:r>
      <w:r w:rsidR="007F6168">
        <w:rPr>
          <w:noProof/>
          <w:lang w:val="en-IE"/>
        </w:rPr>
        <w:t xml:space="preserve"> </w:t>
      </w:r>
      <w:r w:rsidRPr="00E921F6">
        <w:rPr>
          <w:noProof/>
          <w:lang w:val="en-IE"/>
        </w:rPr>
        <w:t>should invest in fraud risk analysis to assess to what extent low detection is due to a real low level of fraud or to systemic weaknesses in the detection or reporting systems.</w:t>
      </w:r>
      <w:r w:rsidR="007F6168">
        <w:rPr>
          <w:noProof/>
          <w:lang w:val="en-IE"/>
        </w:rPr>
        <w:t xml:space="preserve"> </w:t>
      </w:r>
    </w:p>
    <w:p w:rsidR="00440F24" w:rsidRPr="00DC1244" w:rsidRDefault="007F6168" w:rsidP="009A3D43">
      <w:pPr>
        <w:rPr>
          <w:b/>
          <w:noProof/>
          <w:lang w:val="en-IE"/>
        </w:rPr>
      </w:pPr>
      <w:r w:rsidRPr="007F6168">
        <w:rPr>
          <w:noProof/>
          <w:lang w:val="en-IE"/>
        </w:rPr>
        <w:t xml:space="preserve">Digitalisation of the fight against fraud needs to be at the heart of anti-fraud strategies. It represents both a resource and a threat, as fraudsters are </w:t>
      </w:r>
      <w:r w:rsidR="006A208C">
        <w:rPr>
          <w:noProof/>
          <w:lang w:val="en-IE"/>
        </w:rPr>
        <w:t xml:space="preserve">also </w:t>
      </w:r>
      <w:r w:rsidRPr="007F6168">
        <w:rPr>
          <w:noProof/>
          <w:lang w:val="en-IE"/>
        </w:rPr>
        <w:t xml:space="preserve">increasingly using and exploiting new technologies to </w:t>
      </w:r>
      <w:r w:rsidR="006A208C">
        <w:rPr>
          <w:noProof/>
          <w:lang w:val="en-IE"/>
        </w:rPr>
        <w:t xml:space="preserve">commit </w:t>
      </w:r>
      <w:r w:rsidRPr="007F6168">
        <w:rPr>
          <w:noProof/>
          <w:lang w:val="en-IE"/>
        </w:rPr>
        <w:t xml:space="preserve">their crimes. Member States should ensure that the digitalisation of the fight against fraud is </w:t>
      </w:r>
      <w:r w:rsidR="006A208C">
        <w:rPr>
          <w:noProof/>
          <w:lang w:val="en-IE"/>
        </w:rPr>
        <w:t xml:space="preserve">a </w:t>
      </w:r>
      <w:r w:rsidRPr="007F6168">
        <w:rPr>
          <w:noProof/>
          <w:lang w:val="en-IE"/>
        </w:rPr>
        <w:t>part of their NAFS.</w:t>
      </w:r>
      <w:r w:rsidR="000C3F92">
        <w:rPr>
          <w:noProof/>
          <w:lang w:val="en-IE"/>
        </w:rPr>
        <w:t xml:space="preserve"> </w:t>
      </w:r>
      <w:r w:rsidRPr="007F6168">
        <w:rPr>
          <w:noProof/>
          <w:lang w:val="en-IE"/>
        </w:rPr>
        <w:t>The Commission reiterates its recommendations to the Member States which have not adopted a NAFS yet to do so.</w:t>
      </w:r>
      <w:r w:rsidR="004F6F3F" w:rsidRPr="00DC1244">
        <w:rPr>
          <w:b/>
          <w:noProof/>
          <w:lang w:val="en-IE"/>
        </w:rPr>
        <w:br w:type="page"/>
      </w:r>
    </w:p>
    <w:p w:rsidR="00190177" w:rsidRDefault="00440F24">
      <w:pPr>
        <w:rPr>
          <w:b/>
          <w:noProof/>
          <w:lang w:val="en-IE"/>
        </w:rPr>
      </w:pPr>
      <w:bookmarkStart w:id="2" w:name="_Toc76127613"/>
      <w:r w:rsidRPr="00440F24">
        <w:rPr>
          <w:b/>
          <w:noProof/>
          <w:lang w:val="en-IE"/>
        </w:rPr>
        <w:t>LIST OF ABBREVIATIONS</w:t>
      </w:r>
      <w:bookmarkEnd w:id="2"/>
    </w:p>
    <w:tbl>
      <w:tblPr>
        <w:tblW w:w="8364" w:type="dxa"/>
        <w:tblInd w:w="108" w:type="dxa"/>
        <w:tblLook w:val="04A0" w:firstRow="1" w:lastRow="0" w:firstColumn="1" w:lastColumn="0" w:noHBand="0" w:noVBand="1"/>
      </w:tblPr>
      <w:tblGrid>
        <w:gridCol w:w="1400"/>
        <w:gridCol w:w="6964"/>
      </w:tblGrid>
      <w:tr w:rsidR="005F643D" w:rsidRPr="00A9447A" w:rsidTr="00DE1F31">
        <w:trPr>
          <w:trHeight w:val="315"/>
        </w:trPr>
        <w:tc>
          <w:tcPr>
            <w:tcW w:w="1400" w:type="dxa"/>
            <w:tcBorders>
              <w:top w:val="nil"/>
              <w:left w:val="nil"/>
              <w:bottom w:val="nil"/>
              <w:right w:val="nil"/>
            </w:tcBorders>
            <w:shd w:val="clear" w:color="auto" w:fill="auto"/>
            <w:noWrap/>
            <w:vAlign w:val="bottom"/>
            <w:hideMark/>
          </w:tcPr>
          <w:p w:rsidR="005F643D" w:rsidRPr="00C92C31" w:rsidRDefault="005F643D" w:rsidP="00DE1F31">
            <w:pPr>
              <w:spacing w:after="0"/>
              <w:jc w:val="left"/>
              <w:rPr>
                <w:noProof/>
                <w:color w:val="000000"/>
                <w:szCs w:val="24"/>
              </w:rPr>
            </w:pPr>
            <w:r w:rsidRPr="00C92C31">
              <w:rPr>
                <w:noProof/>
                <w:color w:val="000000"/>
                <w:szCs w:val="24"/>
              </w:rPr>
              <w:t>AFCOS</w:t>
            </w:r>
          </w:p>
        </w:tc>
        <w:tc>
          <w:tcPr>
            <w:tcW w:w="6964" w:type="dxa"/>
            <w:tcBorders>
              <w:top w:val="nil"/>
              <w:left w:val="nil"/>
              <w:bottom w:val="nil"/>
              <w:right w:val="nil"/>
            </w:tcBorders>
            <w:shd w:val="clear" w:color="auto" w:fill="auto"/>
            <w:noWrap/>
            <w:vAlign w:val="bottom"/>
            <w:hideMark/>
          </w:tcPr>
          <w:p w:rsidR="005F643D" w:rsidRPr="00C92C31" w:rsidRDefault="005F643D" w:rsidP="00DE1F31">
            <w:pPr>
              <w:spacing w:after="0"/>
              <w:jc w:val="left"/>
              <w:rPr>
                <w:noProof/>
                <w:color w:val="000000"/>
                <w:szCs w:val="24"/>
              </w:rPr>
            </w:pPr>
            <w:r w:rsidRPr="00C92C31">
              <w:rPr>
                <w:noProof/>
                <w:color w:val="000000"/>
                <w:szCs w:val="24"/>
              </w:rPr>
              <w:t>Anti-Fraud Coordination Service</w:t>
            </w:r>
          </w:p>
        </w:tc>
      </w:tr>
      <w:tr w:rsidR="00CF7811" w:rsidRPr="00A9447A" w:rsidTr="00A27EF6">
        <w:trPr>
          <w:trHeight w:val="315"/>
        </w:trPr>
        <w:tc>
          <w:tcPr>
            <w:tcW w:w="1400" w:type="dxa"/>
            <w:tcBorders>
              <w:top w:val="nil"/>
              <w:left w:val="nil"/>
              <w:bottom w:val="nil"/>
              <w:right w:val="nil"/>
            </w:tcBorders>
            <w:shd w:val="clear" w:color="auto" w:fill="auto"/>
            <w:noWrap/>
            <w:vAlign w:val="bottom"/>
          </w:tcPr>
          <w:p w:rsidR="00CF7811" w:rsidRPr="00C92C31" w:rsidRDefault="00CF7811" w:rsidP="00A27EF6">
            <w:pPr>
              <w:spacing w:after="0"/>
              <w:jc w:val="left"/>
              <w:rPr>
                <w:noProof/>
                <w:color w:val="000000"/>
                <w:szCs w:val="24"/>
              </w:rPr>
            </w:pPr>
            <w:r w:rsidRPr="00C92C31">
              <w:rPr>
                <w:noProof/>
                <w:color w:val="000000"/>
                <w:szCs w:val="24"/>
              </w:rPr>
              <w:t>AFIS</w:t>
            </w:r>
          </w:p>
        </w:tc>
        <w:tc>
          <w:tcPr>
            <w:tcW w:w="6964" w:type="dxa"/>
            <w:tcBorders>
              <w:top w:val="nil"/>
              <w:left w:val="nil"/>
              <w:bottom w:val="nil"/>
              <w:right w:val="nil"/>
            </w:tcBorders>
            <w:shd w:val="clear" w:color="auto" w:fill="auto"/>
            <w:noWrap/>
            <w:vAlign w:val="bottom"/>
          </w:tcPr>
          <w:p w:rsidR="00CF7811" w:rsidRPr="00C92C31" w:rsidRDefault="00CF7811" w:rsidP="00A27EF6">
            <w:pPr>
              <w:spacing w:after="0"/>
              <w:jc w:val="left"/>
              <w:rPr>
                <w:noProof/>
                <w:color w:val="000000"/>
                <w:szCs w:val="24"/>
              </w:rPr>
            </w:pPr>
            <w:r w:rsidRPr="00C92C31">
              <w:rPr>
                <w:noProof/>
                <w:color w:val="000000"/>
                <w:szCs w:val="24"/>
              </w:rPr>
              <w:t>Anti-Fraud Information System</w:t>
            </w:r>
          </w:p>
        </w:tc>
      </w:tr>
      <w:tr w:rsidR="005F643D" w:rsidRPr="00A9447A" w:rsidTr="00A27EF6">
        <w:trPr>
          <w:trHeight w:val="315"/>
        </w:trPr>
        <w:tc>
          <w:tcPr>
            <w:tcW w:w="1400" w:type="dxa"/>
            <w:tcBorders>
              <w:top w:val="nil"/>
              <w:left w:val="nil"/>
              <w:bottom w:val="nil"/>
              <w:right w:val="nil"/>
            </w:tcBorders>
            <w:shd w:val="clear" w:color="auto" w:fill="auto"/>
            <w:noWrap/>
            <w:vAlign w:val="bottom"/>
          </w:tcPr>
          <w:p w:rsidR="005F643D" w:rsidRDefault="005F643D" w:rsidP="00A27EF6">
            <w:pPr>
              <w:spacing w:after="0"/>
              <w:jc w:val="left"/>
              <w:rPr>
                <w:noProof/>
                <w:color w:val="000000"/>
                <w:szCs w:val="24"/>
              </w:rPr>
            </w:pPr>
            <w:r>
              <w:rPr>
                <w:noProof/>
                <w:color w:val="000000"/>
                <w:szCs w:val="24"/>
              </w:rPr>
              <w:t>AMIF</w:t>
            </w:r>
          </w:p>
        </w:tc>
        <w:tc>
          <w:tcPr>
            <w:tcW w:w="6964" w:type="dxa"/>
            <w:tcBorders>
              <w:top w:val="nil"/>
              <w:left w:val="nil"/>
              <w:bottom w:val="nil"/>
              <w:right w:val="nil"/>
            </w:tcBorders>
            <w:shd w:val="clear" w:color="auto" w:fill="auto"/>
            <w:noWrap/>
            <w:vAlign w:val="bottom"/>
          </w:tcPr>
          <w:p w:rsidR="005F643D" w:rsidRDefault="005F643D" w:rsidP="00A27EF6">
            <w:pPr>
              <w:spacing w:after="0"/>
              <w:jc w:val="left"/>
              <w:rPr>
                <w:noProof/>
              </w:rPr>
            </w:pPr>
            <w:r>
              <w:rPr>
                <w:noProof/>
              </w:rPr>
              <w:t>Asylum Migration and Integration Fund</w:t>
            </w:r>
          </w:p>
        </w:tc>
      </w:tr>
      <w:tr w:rsidR="00E8186C" w:rsidRPr="00A9447A" w:rsidTr="00A27EF6">
        <w:trPr>
          <w:trHeight w:val="315"/>
        </w:trPr>
        <w:tc>
          <w:tcPr>
            <w:tcW w:w="1400" w:type="dxa"/>
            <w:tcBorders>
              <w:top w:val="nil"/>
              <w:left w:val="nil"/>
              <w:bottom w:val="nil"/>
              <w:right w:val="nil"/>
            </w:tcBorders>
            <w:shd w:val="clear" w:color="auto" w:fill="auto"/>
            <w:noWrap/>
            <w:vAlign w:val="bottom"/>
          </w:tcPr>
          <w:p w:rsidR="00E8186C" w:rsidRDefault="00E8186C" w:rsidP="00A27EF6">
            <w:pPr>
              <w:spacing w:after="0"/>
              <w:jc w:val="left"/>
              <w:rPr>
                <w:noProof/>
                <w:color w:val="000000"/>
                <w:szCs w:val="24"/>
              </w:rPr>
            </w:pPr>
            <w:r>
              <w:rPr>
                <w:noProof/>
                <w:color w:val="000000"/>
                <w:szCs w:val="24"/>
              </w:rPr>
              <w:t>AML</w:t>
            </w:r>
          </w:p>
        </w:tc>
        <w:tc>
          <w:tcPr>
            <w:tcW w:w="6964" w:type="dxa"/>
            <w:tcBorders>
              <w:top w:val="nil"/>
              <w:left w:val="nil"/>
              <w:bottom w:val="nil"/>
              <w:right w:val="nil"/>
            </w:tcBorders>
            <w:shd w:val="clear" w:color="auto" w:fill="auto"/>
            <w:noWrap/>
            <w:vAlign w:val="bottom"/>
          </w:tcPr>
          <w:p w:rsidR="00E8186C" w:rsidRDefault="00E8186C" w:rsidP="00A27EF6">
            <w:pPr>
              <w:spacing w:after="0"/>
              <w:jc w:val="left"/>
              <w:rPr>
                <w:noProof/>
              </w:rPr>
            </w:pPr>
            <w:r>
              <w:rPr>
                <w:noProof/>
              </w:rPr>
              <w:t>Anti-Money Laundering</w:t>
            </w:r>
          </w:p>
        </w:tc>
      </w:tr>
      <w:tr w:rsidR="003D701B" w:rsidRPr="00A9447A" w:rsidTr="00A27EF6">
        <w:trPr>
          <w:trHeight w:val="315"/>
        </w:trPr>
        <w:tc>
          <w:tcPr>
            <w:tcW w:w="1400" w:type="dxa"/>
            <w:tcBorders>
              <w:top w:val="nil"/>
              <w:left w:val="nil"/>
              <w:bottom w:val="nil"/>
              <w:right w:val="nil"/>
            </w:tcBorders>
            <w:shd w:val="clear" w:color="auto" w:fill="auto"/>
            <w:noWrap/>
            <w:vAlign w:val="bottom"/>
          </w:tcPr>
          <w:p w:rsidR="003D701B" w:rsidRPr="00C92C31" w:rsidRDefault="003D701B" w:rsidP="00A27EF6">
            <w:pPr>
              <w:spacing w:after="0"/>
              <w:jc w:val="left"/>
              <w:rPr>
                <w:noProof/>
                <w:color w:val="000000"/>
                <w:szCs w:val="24"/>
              </w:rPr>
            </w:pPr>
            <w:r>
              <w:rPr>
                <w:noProof/>
                <w:color w:val="000000"/>
                <w:szCs w:val="24"/>
              </w:rPr>
              <w:t>BOI</w:t>
            </w:r>
          </w:p>
        </w:tc>
        <w:tc>
          <w:tcPr>
            <w:tcW w:w="6964" w:type="dxa"/>
            <w:tcBorders>
              <w:top w:val="nil"/>
              <w:left w:val="nil"/>
              <w:bottom w:val="nil"/>
              <w:right w:val="nil"/>
            </w:tcBorders>
            <w:shd w:val="clear" w:color="auto" w:fill="auto"/>
            <w:noWrap/>
            <w:vAlign w:val="bottom"/>
          </w:tcPr>
          <w:p w:rsidR="003D701B" w:rsidRPr="00C92C31" w:rsidRDefault="003D701B" w:rsidP="00A27EF6">
            <w:pPr>
              <w:spacing w:after="0"/>
              <w:jc w:val="left"/>
              <w:rPr>
                <w:noProof/>
                <w:color w:val="000000"/>
                <w:szCs w:val="24"/>
              </w:rPr>
            </w:pPr>
            <w:r>
              <w:rPr>
                <w:noProof/>
              </w:rPr>
              <w:t>Binding Origin Information</w:t>
            </w:r>
          </w:p>
        </w:tc>
      </w:tr>
      <w:tr w:rsidR="00440F24" w:rsidRPr="00A9447A" w:rsidTr="00A27EF6">
        <w:trPr>
          <w:trHeight w:val="315"/>
        </w:trPr>
        <w:tc>
          <w:tcPr>
            <w:tcW w:w="1400"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CAFS</w:t>
            </w:r>
          </w:p>
        </w:tc>
        <w:tc>
          <w:tcPr>
            <w:tcW w:w="6964"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Commission Anti-Fraud Strategy</w:t>
            </w:r>
          </w:p>
        </w:tc>
      </w:tr>
      <w:tr w:rsidR="002174DB" w:rsidRPr="00A9447A" w:rsidTr="00A27EF6">
        <w:trPr>
          <w:trHeight w:val="315"/>
        </w:trPr>
        <w:tc>
          <w:tcPr>
            <w:tcW w:w="1400" w:type="dxa"/>
            <w:tcBorders>
              <w:top w:val="nil"/>
              <w:left w:val="nil"/>
              <w:bottom w:val="nil"/>
              <w:right w:val="nil"/>
            </w:tcBorders>
            <w:shd w:val="clear" w:color="auto" w:fill="auto"/>
            <w:noWrap/>
            <w:vAlign w:val="bottom"/>
          </w:tcPr>
          <w:p w:rsidR="002174DB" w:rsidRPr="002174DB" w:rsidRDefault="002174DB" w:rsidP="00A27EF6">
            <w:pPr>
              <w:spacing w:after="0"/>
              <w:jc w:val="left"/>
              <w:rPr>
                <w:noProof/>
                <w:color w:val="000000"/>
                <w:szCs w:val="24"/>
              </w:rPr>
            </w:pPr>
            <w:r>
              <w:rPr>
                <w:noProof/>
                <w:color w:val="000000"/>
                <w:szCs w:val="24"/>
              </w:rPr>
              <w:t>CAP</w:t>
            </w:r>
          </w:p>
        </w:tc>
        <w:tc>
          <w:tcPr>
            <w:tcW w:w="6964" w:type="dxa"/>
            <w:tcBorders>
              <w:top w:val="nil"/>
              <w:left w:val="nil"/>
              <w:bottom w:val="nil"/>
              <w:right w:val="nil"/>
            </w:tcBorders>
            <w:shd w:val="clear" w:color="auto" w:fill="auto"/>
            <w:noWrap/>
            <w:vAlign w:val="bottom"/>
          </w:tcPr>
          <w:p w:rsidR="002174DB" w:rsidRPr="002174DB" w:rsidRDefault="002174DB" w:rsidP="00A27EF6">
            <w:pPr>
              <w:spacing w:after="0"/>
              <w:jc w:val="left"/>
              <w:rPr>
                <w:noProof/>
                <w:color w:val="000000"/>
                <w:szCs w:val="24"/>
              </w:rPr>
            </w:pPr>
            <w:r>
              <w:rPr>
                <w:noProof/>
                <w:color w:val="000000"/>
                <w:szCs w:val="24"/>
              </w:rPr>
              <w:t>Common Agricultural Policy</w:t>
            </w:r>
          </w:p>
        </w:tc>
      </w:tr>
      <w:tr w:rsidR="005F643D" w:rsidRPr="00A9447A" w:rsidTr="00A27EF6">
        <w:trPr>
          <w:trHeight w:val="315"/>
        </w:trPr>
        <w:tc>
          <w:tcPr>
            <w:tcW w:w="1400" w:type="dxa"/>
            <w:tcBorders>
              <w:top w:val="nil"/>
              <w:left w:val="nil"/>
              <w:bottom w:val="nil"/>
              <w:right w:val="nil"/>
            </w:tcBorders>
            <w:shd w:val="clear" w:color="auto" w:fill="auto"/>
            <w:noWrap/>
            <w:vAlign w:val="bottom"/>
          </w:tcPr>
          <w:p w:rsidR="005F643D" w:rsidRPr="00C92C31" w:rsidRDefault="005F643D" w:rsidP="00A27EF6">
            <w:pPr>
              <w:spacing w:after="0"/>
              <w:jc w:val="left"/>
              <w:rPr>
                <w:noProof/>
                <w:color w:val="000000"/>
                <w:szCs w:val="24"/>
              </w:rPr>
            </w:pPr>
            <w:r>
              <w:rPr>
                <w:noProof/>
                <w:color w:val="000000"/>
                <w:szCs w:val="24"/>
              </w:rPr>
              <w:t>CCEI</w:t>
            </w:r>
          </w:p>
        </w:tc>
        <w:tc>
          <w:tcPr>
            <w:tcW w:w="6964" w:type="dxa"/>
            <w:tcBorders>
              <w:top w:val="nil"/>
              <w:left w:val="nil"/>
              <w:bottom w:val="nil"/>
              <w:right w:val="nil"/>
            </w:tcBorders>
            <w:shd w:val="clear" w:color="auto" w:fill="auto"/>
            <w:noWrap/>
            <w:vAlign w:val="bottom"/>
          </w:tcPr>
          <w:p w:rsidR="005F643D" w:rsidRPr="002174DB" w:rsidRDefault="005F643D" w:rsidP="00A27EF6">
            <w:pPr>
              <w:spacing w:after="0"/>
              <w:jc w:val="left"/>
              <w:rPr>
                <w:noProof/>
                <w:color w:val="000000"/>
                <w:szCs w:val="24"/>
              </w:rPr>
            </w:pPr>
            <w:r w:rsidRPr="008E510C">
              <w:rPr>
                <w:noProof/>
              </w:rPr>
              <w:t xml:space="preserve">Customs Control Equipment Instrument </w:t>
            </w:r>
            <w:r>
              <w:rPr>
                <w:noProof/>
              </w:rPr>
              <w:t>programme</w:t>
            </w:r>
          </w:p>
        </w:tc>
      </w:tr>
      <w:tr w:rsidR="002174DB" w:rsidRPr="00A9447A" w:rsidTr="00A27EF6">
        <w:trPr>
          <w:trHeight w:val="315"/>
        </w:trPr>
        <w:tc>
          <w:tcPr>
            <w:tcW w:w="1400" w:type="dxa"/>
            <w:tcBorders>
              <w:top w:val="nil"/>
              <w:left w:val="nil"/>
              <w:bottom w:val="nil"/>
              <w:right w:val="nil"/>
            </w:tcBorders>
            <w:shd w:val="clear" w:color="auto" w:fill="auto"/>
            <w:noWrap/>
            <w:vAlign w:val="bottom"/>
          </w:tcPr>
          <w:p w:rsidR="002174DB" w:rsidRPr="00C92C31" w:rsidRDefault="002174DB" w:rsidP="00A27EF6">
            <w:pPr>
              <w:spacing w:after="0"/>
              <w:jc w:val="left"/>
              <w:rPr>
                <w:noProof/>
                <w:color w:val="000000"/>
                <w:szCs w:val="24"/>
              </w:rPr>
            </w:pPr>
            <w:r w:rsidRPr="00C92C31">
              <w:rPr>
                <w:noProof/>
                <w:color w:val="000000"/>
                <w:szCs w:val="24"/>
              </w:rPr>
              <w:t>CRMS</w:t>
            </w:r>
          </w:p>
        </w:tc>
        <w:tc>
          <w:tcPr>
            <w:tcW w:w="6964" w:type="dxa"/>
            <w:tcBorders>
              <w:top w:val="nil"/>
              <w:left w:val="nil"/>
              <w:bottom w:val="nil"/>
              <w:right w:val="nil"/>
            </w:tcBorders>
            <w:shd w:val="clear" w:color="auto" w:fill="auto"/>
            <w:noWrap/>
            <w:vAlign w:val="bottom"/>
          </w:tcPr>
          <w:p w:rsidR="002174DB" w:rsidRPr="00C92C31" w:rsidRDefault="002174DB" w:rsidP="00A27EF6">
            <w:pPr>
              <w:spacing w:after="0"/>
              <w:jc w:val="left"/>
              <w:rPr>
                <w:noProof/>
                <w:color w:val="000000"/>
                <w:szCs w:val="24"/>
              </w:rPr>
            </w:pPr>
            <w:r w:rsidRPr="002174DB">
              <w:rPr>
                <w:noProof/>
                <w:color w:val="000000"/>
                <w:szCs w:val="24"/>
              </w:rPr>
              <w:t>Common Customs Risk Management System</w:t>
            </w:r>
          </w:p>
        </w:tc>
      </w:tr>
      <w:tr w:rsidR="00440F24" w:rsidRPr="00A9447A" w:rsidTr="00A27EF6">
        <w:trPr>
          <w:trHeight w:val="315"/>
        </w:trPr>
        <w:tc>
          <w:tcPr>
            <w:tcW w:w="1400"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EDES</w:t>
            </w:r>
          </w:p>
        </w:tc>
        <w:tc>
          <w:tcPr>
            <w:tcW w:w="6964"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Early Detection and Exclusion System</w:t>
            </w:r>
          </w:p>
        </w:tc>
      </w:tr>
      <w:tr w:rsidR="00440F24" w:rsidRPr="00A9447A" w:rsidTr="00A27EF6">
        <w:trPr>
          <w:trHeight w:val="315"/>
        </w:trPr>
        <w:tc>
          <w:tcPr>
            <w:tcW w:w="1400"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EP</w:t>
            </w:r>
          </w:p>
        </w:tc>
        <w:tc>
          <w:tcPr>
            <w:tcW w:w="6964"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European Parliament</w:t>
            </w:r>
          </w:p>
        </w:tc>
      </w:tr>
      <w:tr w:rsidR="00440F24" w:rsidRPr="00A9447A" w:rsidTr="00A27EF6">
        <w:trPr>
          <w:trHeight w:val="315"/>
        </w:trPr>
        <w:tc>
          <w:tcPr>
            <w:tcW w:w="1400"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EPPO</w:t>
            </w:r>
          </w:p>
        </w:tc>
        <w:tc>
          <w:tcPr>
            <w:tcW w:w="6964"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European Public Prosecutor's Office</w:t>
            </w:r>
          </w:p>
        </w:tc>
      </w:tr>
      <w:tr w:rsidR="00440F24" w:rsidRPr="00A9447A" w:rsidTr="00A27EF6">
        <w:trPr>
          <w:trHeight w:val="315"/>
        </w:trPr>
        <w:tc>
          <w:tcPr>
            <w:tcW w:w="1400"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ESIF</w:t>
            </w:r>
          </w:p>
        </w:tc>
        <w:tc>
          <w:tcPr>
            <w:tcW w:w="6964"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European Structural and Investment Funds</w:t>
            </w:r>
          </w:p>
        </w:tc>
      </w:tr>
      <w:tr w:rsidR="00440F24" w:rsidRPr="00A9447A" w:rsidTr="00A27EF6">
        <w:trPr>
          <w:trHeight w:val="315"/>
        </w:trPr>
        <w:tc>
          <w:tcPr>
            <w:tcW w:w="1400"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EU</w:t>
            </w:r>
          </w:p>
        </w:tc>
        <w:tc>
          <w:tcPr>
            <w:tcW w:w="6964"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European Union</w:t>
            </w:r>
          </w:p>
        </w:tc>
      </w:tr>
      <w:tr w:rsidR="009334E5" w:rsidRPr="00A9447A" w:rsidTr="00A27EF6">
        <w:trPr>
          <w:trHeight w:val="315"/>
        </w:trPr>
        <w:tc>
          <w:tcPr>
            <w:tcW w:w="1400" w:type="dxa"/>
            <w:tcBorders>
              <w:top w:val="nil"/>
              <w:left w:val="nil"/>
              <w:bottom w:val="nil"/>
              <w:right w:val="nil"/>
            </w:tcBorders>
            <w:shd w:val="clear" w:color="auto" w:fill="auto"/>
            <w:noWrap/>
            <w:vAlign w:val="bottom"/>
          </w:tcPr>
          <w:p w:rsidR="009334E5" w:rsidRPr="00C92C31" w:rsidRDefault="009334E5" w:rsidP="00A27EF6">
            <w:pPr>
              <w:spacing w:after="0"/>
              <w:jc w:val="left"/>
              <w:rPr>
                <w:noProof/>
                <w:color w:val="000000"/>
                <w:szCs w:val="24"/>
              </w:rPr>
            </w:pPr>
            <w:r w:rsidRPr="00C92C31">
              <w:rPr>
                <w:noProof/>
                <w:color w:val="000000"/>
                <w:szCs w:val="24"/>
              </w:rPr>
              <w:t>FEAD</w:t>
            </w:r>
          </w:p>
        </w:tc>
        <w:tc>
          <w:tcPr>
            <w:tcW w:w="6964" w:type="dxa"/>
            <w:tcBorders>
              <w:top w:val="nil"/>
              <w:left w:val="nil"/>
              <w:bottom w:val="nil"/>
              <w:right w:val="nil"/>
            </w:tcBorders>
            <w:shd w:val="clear" w:color="auto" w:fill="auto"/>
            <w:noWrap/>
            <w:vAlign w:val="bottom"/>
          </w:tcPr>
          <w:p w:rsidR="009334E5" w:rsidRPr="00C92C31" w:rsidRDefault="002174DB" w:rsidP="00A27EF6">
            <w:pPr>
              <w:spacing w:after="0"/>
              <w:jc w:val="left"/>
              <w:rPr>
                <w:noProof/>
                <w:color w:val="000000"/>
                <w:szCs w:val="24"/>
              </w:rPr>
            </w:pPr>
            <w:r w:rsidRPr="002174DB">
              <w:rPr>
                <w:noProof/>
                <w:color w:val="000000"/>
                <w:szCs w:val="24"/>
              </w:rPr>
              <w:t>Fund for European Aid to the Most Deprived</w:t>
            </w:r>
          </w:p>
        </w:tc>
      </w:tr>
      <w:tr w:rsidR="000C3F92" w:rsidRPr="00A9447A" w:rsidTr="00A27EF6">
        <w:trPr>
          <w:trHeight w:val="315"/>
        </w:trPr>
        <w:tc>
          <w:tcPr>
            <w:tcW w:w="1400" w:type="dxa"/>
            <w:tcBorders>
              <w:top w:val="nil"/>
              <w:left w:val="nil"/>
              <w:bottom w:val="nil"/>
              <w:right w:val="nil"/>
            </w:tcBorders>
            <w:shd w:val="clear" w:color="auto" w:fill="auto"/>
            <w:noWrap/>
            <w:vAlign w:val="bottom"/>
          </w:tcPr>
          <w:p w:rsidR="000C3F92" w:rsidRPr="00C92C31" w:rsidRDefault="000C3F92" w:rsidP="00A27EF6">
            <w:pPr>
              <w:spacing w:after="0"/>
              <w:jc w:val="left"/>
              <w:rPr>
                <w:noProof/>
                <w:color w:val="000000"/>
                <w:szCs w:val="24"/>
              </w:rPr>
            </w:pPr>
            <w:r>
              <w:rPr>
                <w:noProof/>
                <w:color w:val="000000"/>
                <w:szCs w:val="24"/>
              </w:rPr>
              <w:t>FR</w:t>
            </w:r>
          </w:p>
        </w:tc>
        <w:tc>
          <w:tcPr>
            <w:tcW w:w="6964" w:type="dxa"/>
            <w:tcBorders>
              <w:top w:val="nil"/>
              <w:left w:val="nil"/>
              <w:bottom w:val="nil"/>
              <w:right w:val="nil"/>
            </w:tcBorders>
            <w:shd w:val="clear" w:color="auto" w:fill="auto"/>
            <w:noWrap/>
            <w:vAlign w:val="bottom"/>
          </w:tcPr>
          <w:p w:rsidR="000C3F92" w:rsidRPr="00C92C31" w:rsidRDefault="000C3F92" w:rsidP="00167262">
            <w:pPr>
              <w:spacing w:after="0"/>
              <w:jc w:val="left"/>
              <w:rPr>
                <w:noProof/>
                <w:color w:val="000000"/>
                <w:szCs w:val="24"/>
              </w:rPr>
            </w:pPr>
            <w:r>
              <w:rPr>
                <w:noProof/>
                <w:color w:val="000000"/>
                <w:szCs w:val="24"/>
              </w:rPr>
              <w:t>Financial Regulation</w:t>
            </w:r>
          </w:p>
        </w:tc>
      </w:tr>
      <w:tr w:rsidR="00B1665F" w:rsidRPr="00A9447A" w:rsidTr="00A27EF6">
        <w:trPr>
          <w:trHeight w:val="315"/>
        </w:trPr>
        <w:tc>
          <w:tcPr>
            <w:tcW w:w="1400" w:type="dxa"/>
            <w:tcBorders>
              <w:top w:val="nil"/>
              <w:left w:val="nil"/>
              <w:bottom w:val="nil"/>
              <w:right w:val="nil"/>
            </w:tcBorders>
            <w:shd w:val="clear" w:color="auto" w:fill="auto"/>
            <w:noWrap/>
            <w:vAlign w:val="bottom"/>
          </w:tcPr>
          <w:p w:rsidR="00B1665F" w:rsidRPr="00C92C31" w:rsidRDefault="00B1665F" w:rsidP="00A27EF6">
            <w:pPr>
              <w:spacing w:after="0"/>
              <w:jc w:val="left"/>
              <w:rPr>
                <w:noProof/>
                <w:color w:val="000000"/>
                <w:szCs w:val="24"/>
              </w:rPr>
            </w:pPr>
            <w:r w:rsidRPr="00C92C31">
              <w:rPr>
                <w:noProof/>
                <w:color w:val="000000"/>
                <w:szCs w:val="24"/>
              </w:rPr>
              <w:t>GDP</w:t>
            </w:r>
          </w:p>
        </w:tc>
        <w:tc>
          <w:tcPr>
            <w:tcW w:w="6964" w:type="dxa"/>
            <w:tcBorders>
              <w:top w:val="nil"/>
              <w:left w:val="nil"/>
              <w:bottom w:val="nil"/>
              <w:right w:val="nil"/>
            </w:tcBorders>
            <w:shd w:val="clear" w:color="auto" w:fill="auto"/>
            <w:noWrap/>
            <w:vAlign w:val="bottom"/>
          </w:tcPr>
          <w:p w:rsidR="00B1665F" w:rsidRPr="00C92C31" w:rsidRDefault="00B1665F" w:rsidP="00167262">
            <w:pPr>
              <w:spacing w:after="0"/>
              <w:jc w:val="left"/>
              <w:rPr>
                <w:noProof/>
                <w:color w:val="000000"/>
                <w:szCs w:val="24"/>
              </w:rPr>
            </w:pPr>
            <w:r w:rsidRPr="00C92C31">
              <w:rPr>
                <w:noProof/>
                <w:color w:val="000000"/>
                <w:szCs w:val="24"/>
              </w:rPr>
              <w:t>Gross Domestic Product</w:t>
            </w:r>
          </w:p>
        </w:tc>
      </w:tr>
      <w:tr w:rsidR="00440F24" w:rsidRPr="00A9447A" w:rsidTr="00A27EF6">
        <w:trPr>
          <w:trHeight w:val="315"/>
        </w:trPr>
        <w:tc>
          <w:tcPr>
            <w:tcW w:w="1400" w:type="dxa"/>
            <w:tcBorders>
              <w:top w:val="nil"/>
              <w:left w:val="nil"/>
              <w:bottom w:val="nil"/>
              <w:right w:val="nil"/>
            </w:tcBorders>
            <w:shd w:val="clear" w:color="auto" w:fill="auto"/>
            <w:noWrap/>
            <w:vAlign w:val="bottom"/>
          </w:tcPr>
          <w:p w:rsidR="00440F24" w:rsidRPr="00C92C31" w:rsidRDefault="00440F24" w:rsidP="00A27EF6">
            <w:pPr>
              <w:spacing w:after="0"/>
              <w:jc w:val="left"/>
              <w:rPr>
                <w:noProof/>
                <w:color w:val="000000"/>
                <w:szCs w:val="24"/>
              </w:rPr>
            </w:pPr>
            <w:r w:rsidRPr="00C92C31">
              <w:rPr>
                <w:noProof/>
                <w:color w:val="000000"/>
                <w:szCs w:val="24"/>
              </w:rPr>
              <w:t>IMS</w:t>
            </w:r>
          </w:p>
        </w:tc>
        <w:tc>
          <w:tcPr>
            <w:tcW w:w="6964" w:type="dxa"/>
            <w:tcBorders>
              <w:top w:val="nil"/>
              <w:left w:val="nil"/>
              <w:bottom w:val="nil"/>
              <w:right w:val="nil"/>
            </w:tcBorders>
            <w:shd w:val="clear" w:color="auto" w:fill="auto"/>
            <w:noWrap/>
            <w:vAlign w:val="bottom"/>
          </w:tcPr>
          <w:p w:rsidR="00440F24" w:rsidRPr="00C92C31" w:rsidRDefault="00440F24" w:rsidP="00A27EF6">
            <w:pPr>
              <w:spacing w:after="0"/>
              <w:jc w:val="left"/>
              <w:rPr>
                <w:noProof/>
                <w:color w:val="000000"/>
                <w:szCs w:val="24"/>
              </w:rPr>
            </w:pPr>
            <w:r w:rsidRPr="00C92C31">
              <w:rPr>
                <w:noProof/>
                <w:color w:val="000000"/>
                <w:szCs w:val="24"/>
              </w:rPr>
              <w:t>Irregularity Management System</w:t>
            </w:r>
          </w:p>
        </w:tc>
      </w:tr>
      <w:tr w:rsidR="0088404A" w:rsidRPr="00A9447A" w:rsidTr="00A27EF6">
        <w:trPr>
          <w:trHeight w:val="315"/>
        </w:trPr>
        <w:tc>
          <w:tcPr>
            <w:tcW w:w="1400" w:type="dxa"/>
            <w:tcBorders>
              <w:top w:val="nil"/>
              <w:left w:val="nil"/>
              <w:bottom w:val="nil"/>
              <w:right w:val="nil"/>
            </w:tcBorders>
            <w:shd w:val="clear" w:color="auto" w:fill="auto"/>
            <w:noWrap/>
            <w:vAlign w:val="bottom"/>
          </w:tcPr>
          <w:p w:rsidR="0088404A" w:rsidRPr="00C92C31" w:rsidRDefault="0088404A" w:rsidP="00A27EF6">
            <w:pPr>
              <w:spacing w:after="0"/>
              <w:jc w:val="left"/>
              <w:rPr>
                <w:noProof/>
                <w:color w:val="000000"/>
                <w:szCs w:val="24"/>
              </w:rPr>
            </w:pPr>
            <w:r w:rsidRPr="00C92C31">
              <w:rPr>
                <w:noProof/>
                <w:color w:val="000000"/>
                <w:szCs w:val="24"/>
              </w:rPr>
              <w:t>IPA</w:t>
            </w:r>
          </w:p>
        </w:tc>
        <w:tc>
          <w:tcPr>
            <w:tcW w:w="6964" w:type="dxa"/>
            <w:tcBorders>
              <w:top w:val="nil"/>
              <w:left w:val="nil"/>
              <w:bottom w:val="nil"/>
              <w:right w:val="nil"/>
            </w:tcBorders>
            <w:shd w:val="clear" w:color="auto" w:fill="auto"/>
            <w:noWrap/>
            <w:vAlign w:val="bottom"/>
          </w:tcPr>
          <w:p w:rsidR="0088404A" w:rsidRPr="00C92C31" w:rsidRDefault="0088404A" w:rsidP="00CF7811">
            <w:pPr>
              <w:spacing w:after="0"/>
              <w:jc w:val="left"/>
              <w:rPr>
                <w:noProof/>
                <w:color w:val="000000"/>
                <w:szCs w:val="24"/>
              </w:rPr>
            </w:pPr>
            <w:r w:rsidRPr="00C92C31">
              <w:rPr>
                <w:noProof/>
                <w:color w:val="000000"/>
                <w:szCs w:val="24"/>
              </w:rPr>
              <w:t>Instrument for Pre-Accession</w:t>
            </w:r>
          </w:p>
        </w:tc>
      </w:tr>
      <w:tr w:rsidR="00866442" w:rsidRPr="00A9447A" w:rsidTr="00A27EF6">
        <w:trPr>
          <w:trHeight w:val="315"/>
        </w:trPr>
        <w:tc>
          <w:tcPr>
            <w:tcW w:w="1400" w:type="dxa"/>
            <w:tcBorders>
              <w:top w:val="nil"/>
              <w:left w:val="nil"/>
              <w:bottom w:val="nil"/>
              <w:right w:val="nil"/>
            </w:tcBorders>
            <w:shd w:val="clear" w:color="auto" w:fill="auto"/>
            <w:noWrap/>
            <w:vAlign w:val="bottom"/>
          </w:tcPr>
          <w:p w:rsidR="00866442" w:rsidRPr="00C92C31" w:rsidRDefault="00866442" w:rsidP="00A27EF6">
            <w:pPr>
              <w:spacing w:after="0"/>
              <w:jc w:val="left"/>
              <w:rPr>
                <w:noProof/>
                <w:color w:val="000000"/>
                <w:szCs w:val="24"/>
              </w:rPr>
            </w:pPr>
            <w:r>
              <w:rPr>
                <w:noProof/>
                <w:color w:val="000000"/>
                <w:szCs w:val="24"/>
              </w:rPr>
              <w:t>JCO</w:t>
            </w:r>
          </w:p>
        </w:tc>
        <w:tc>
          <w:tcPr>
            <w:tcW w:w="6964" w:type="dxa"/>
            <w:tcBorders>
              <w:top w:val="nil"/>
              <w:left w:val="nil"/>
              <w:bottom w:val="nil"/>
              <w:right w:val="nil"/>
            </w:tcBorders>
            <w:shd w:val="clear" w:color="auto" w:fill="auto"/>
            <w:noWrap/>
            <w:vAlign w:val="bottom"/>
          </w:tcPr>
          <w:p w:rsidR="00866442" w:rsidRPr="00C92C31" w:rsidRDefault="00866442" w:rsidP="00A27EF6">
            <w:pPr>
              <w:spacing w:after="0"/>
              <w:jc w:val="left"/>
              <w:rPr>
                <w:noProof/>
                <w:color w:val="000000"/>
                <w:szCs w:val="24"/>
              </w:rPr>
            </w:pPr>
            <w:r>
              <w:rPr>
                <w:noProof/>
                <w:color w:val="000000"/>
                <w:szCs w:val="24"/>
              </w:rPr>
              <w:t>Joint Customs Operation</w:t>
            </w:r>
          </w:p>
        </w:tc>
      </w:tr>
      <w:tr w:rsidR="009334E5" w:rsidRPr="00A9447A" w:rsidTr="00A27EF6">
        <w:trPr>
          <w:trHeight w:val="315"/>
        </w:trPr>
        <w:tc>
          <w:tcPr>
            <w:tcW w:w="1400" w:type="dxa"/>
            <w:tcBorders>
              <w:top w:val="nil"/>
              <w:left w:val="nil"/>
              <w:bottom w:val="nil"/>
              <w:right w:val="nil"/>
            </w:tcBorders>
            <w:shd w:val="clear" w:color="auto" w:fill="auto"/>
            <w:noWrap/>
            <w:vAlign w:val="bottom"/>
          </w:tcPr>
          <w:p w:rsidR="009334E5" w:rsidRPr="00C92C31" w:rsidRDefault="009334E5" w:rsidP="00A27EF6">
            <w:pPr>
              <w:spacing w:after="0"/>
              <w:jc w:val="left"/>
              <w:rPr>
                <w:noProof/>
                <w:color w:val="000000"/>
                <w:szCs w:val="24"/>
              </w:rPr>
            </w:pPr>
            <w:r w:rsidRPr="00C92C31">
              <w:rPr>
                <w:noProof/>
                <w:color w:val="000000"/>
                <w:szCs w:val="24"/>
              </w:rPr>
              <w:t>MAA</w:t>
            </w:r>
          </w:p>
        </w:tc>
        <w:tc>
          <w:tcPr>
            <w:tcW w:w="6964" w:type="dxa"/>
            <w:tcBorders>
              <w:top w:val="nil"/>
              <w:left w:val="nil"/>
              <w:bottom w:val="nil"/>
              <w:right w:val="nil"/>
            </w:tcBorders>
            <w:shd w:val="clear" w:color="auto" w:fill="auto"/>
            <w:noWrap/>
            <w:vAlign w:val="bottom"/>
          </w:tcPr>
          <w:p w:rsidR="009334E5" w:rsidRPr="00C92C31" w:rsidRDefault="009334E5" w:rsidP="00A27EF6">
            <w:pPr>
              <w:spacing w:after="0"/>
              <w:jc w:val="left"/>
              <w:rPr>
                <w:noProof/>
                <w:color w:val="000000"/>
                <w:szCs w:val="24"/>
              </w:rPr>
            </w:pPr>
            <w:r w:rsidRPr="00C92C31">
              <w:rPr>
                <w:noProof/>
                <w:color w:val="000000"/>
                <w:szCs w:val="24"/>
              </w:rPr>
              <w:t>Mutual Administrative Assistance</w:t>
            </w:r>
          </w:p>
        </w:tc>
      </w:tr>
      <w:tr w:rsidR="00440F24" w:rsidRPr="00A9447A" w:rsidTr="00A27EF6">
        <w:trPr>
          <w:trHeight w:val="315"/>
        </w:trPr>
        <w:tc>
          <w:tcPr>
            <w:tcW w:w="1400"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MFF</w:t>
            </w:r>
          </w:p>
        </w:tc>
        <w:tc>
          <w:tcPr>
            <w:tcW w:w="6964"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Multiannual Financial Framework</w:t>
            </w:r>
          </w:p>
        </w:tc>
      </w:tr>
      <w:tr w:rsidR="009334E5" w:rsidRPr="00A9447A" w:rsidTr="00A27EF6">
        <w:trPr>
          <w:trHeight w:val="315"/>
        </w:trPr>
        <w:tc>
          <w:tcPr>
            <w:tcW w:w="1400" w:type="dxa"/>
            <w:tcBorders>
              <w:top w:val="nil"/>
              <w:left w:val="nil"/>
              <w:bottom w:val="nil"/>
              <w:right w:val="nil"/>
            </w:tcBorders>
            <w:shd w:val="clear" w:color="auto" w:fill="auto"/>
            <w:noWrap/>
            <w:vAlign w:val="bottom"/>
          </w:tcPr>
          <w:p w:rsidR="009334E5" w:rsidRPr="00C92C31" w:rsidRDefault="009334E5" w:rsidP="00A27EF6">
            <w:pPr>
              <w:spacing w:after="0"/>
              <w:jc w:val="left"/>
              <w:rPr>
                <w:noProof/>
                <w:color w:val="000000"/>
                <w:szCs w:val="24"/>
              </w:rPr>
            </w:pPr>
            <w:r w:rsidRPr="00C92C31">
              <w:rPr>
                <w:noProof/>
                <w:color w:val="000000"/>
                <w:szCs w:val="24"/>
              </w:rPr>
              <w:t>NAFS</w:t>
            </w:r>
          </w:p>
        </w:tc>
        <w:tc>
          <w:tcPr>
            <w:tcW w:w="6964" w:type="dxa"/>
            <w:tcBorders>
              <w:top w:val="nil"/>
              <w:left w:val="nil"/>
              <w:bottom w:val="nil"/>
              <w:right w:val="nil"/>
            </w:tcBorders>
            <w:shd w:val="clear" w:color="auto" w:fill="auto"/>
            <w:noWrap/>
            <w:vAlign w:val="bottom"/>
          </w:tcPr>
          <w:p w:rsidR="009334E5" w:rsidRPr="00C92C31" w:rsidRDefault="009334E5" w:rsidP="00A27EF6">
            <w:pPr>
              <w:spacing w:after="0"/>
              <w:jc w:val="left"/>
              <w:rPr>
                <w:noProof/>
                <w:color w:val="000000"/>
                <w:szCs w:val="24"/>
              </w:rPr>
            </w:pPr>
            <w:r w:rsidRPr="00C92C31">
              <w:rPr>
                <w:noProof/>
                <w:color w:val="000000"/>
                <w:szCs w:val="24"/>
              </w:rPr>
              <w:t>National Anti-Fraud Strategies</w:t>
            </w:r>
          </w:p>
        </w:tc>
      </w:tr>
      <w:tr w:rsidR="00440F24" w:rsidRPr="00A9447A" w:rsidTr="00A27EF6">
        <w:trPr>
          <w:trHeight w:val="315"/>
        </w:trPr>
        <w:tc>
          <w:tcPr>
            <w:tcW w:w="1400"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OLAF</w:t>
            </w:r>
          </w:p>
        </w:tc>
        <w:tc>
          <w:tcPr>
            <w:tcW w:w="6964"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European Anti-Fraud Office</w:t>
            </w:r>
          </w:p>
        </w:tc>
      </w:tr>
      <w:tr w:rsidR="00440F24" w:rsidRPr="00A9447A" w:rsidTr="00A27EF6">
        <w:trPr>
          <w:trHeight w:val="315"/>
        </w:trPr>
        <w:tc>
          <w:tcPr>
            <w:tcW w:w="1400"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PIF</w:t>
            </w:r>
          </w:p>
        </w:tc>
        <w:tc>
          <w:tcPr>
            <w:tcW w:w="6964"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Protection of financial interests</w:t>
            </w:r>
          </w:p>
        </w:tc>
      </w:tr>
      <w:tr w:rsidR="00440F24" w:rsidRPr="00A9447A" w:rsidTr="00A27EF6">
        <w:trPr>
          <w:trHeight w:val="315"/>
        </w:trPr>
        <w:tc>
          <w:tcPr>
            <w:tcW w:w="1400"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RRF</w:t>
            </w:r>
          </w:p>
        </w:tc>
        <w:tc>
          <w:tcPr>
            <w:tcW w:w="6964"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Recovery and Resilience Facility</w:t>
            </w:r>
          </w:p>
        </w:tc>
      </w:tr>
      <w:tr w:rsidR="00866442" w:rsidRPr="00A9447A" w:rsidTr="00A27EF6">
        <w:trPr>
          <w:trHeight w:val="315"/>
        </w:trPr>
        <w:tc>
          <w:tcPr>
            <w:tcW w:w="1400" w:type="dxa"/>
            <w:tcBorders>
              <w:top w:val="nil"/>
              <w:left w:val="nil"/>
              <w:bottom w:val="nil"/>
              <w:right w:val="nil"/>
            </w:tcBorders>
            <w:shd w:val="clear" w:color="auto" w:fill="auto"/>
            <w:noWrap/>
            <w:vAlign w:val="bottom"/>
          </w:tcPr>
          <w:p w:rsidR="00866442" w:rsidRDefault="00866442" w:rsidP="00A27EF6">
            <w:pPr>
              <w:spacing w:after="0"/>
              <w:jc w:val="left"/>
              <w:rPr>
                <w:noProof/>
                <w:color w:val="000000"/>
                <w:szCs w:val="24"/>
              </w:rPr>
            </w:pPr>
            <w:r>
              <w:rPr>
                <w:noProof/>
                <w:color w:val="000000"/>
                <w:szCs w:val="24"/>
              </w:rPr>
              <w:t>RTD&amp;I</w:t>
            </w:r>
          </w:p>
        </w:tc>
        <w:tc>
          <w:tcPr>
            <w:tcW w:w="6964" w:type="dxa"/>
            <w:tcBorders>
              <w:top w:val="nil"/>
              <w:left w:val="nil"/>
              <w:bottom w:val="nil"/>
              <w:right w:val="nil"/>
            </w:tcBorders>
            <w:shd w:val="clear" w:color="auto" w:fill="auto"/>
            <w:noWrap/>
            <w:vAlign w:val="bottom"/>
          </w:tcPr>
          <w:p w:rsidR="00866442" w:rsidRDefault="00866442" w:rsidP="00866442">
            <w:pPr>
              <w:spacing w:after="0"/>
              <w:jc w:val="left"/>
              <w:rPr>
                <w:noProof/>
                <w:color w:val="000000"/>
                <w:szCs w:val="24"/>
              </w:rPr>
            </w:pPr>
            <w:r w:rsidRPr="00866442">
              <w:rPr>
                <w:noProof/>
                <w:color w:val="000000"/>
                <w:szCs w:val="24"/>
              </w:rPr>
              <w:t xml:space="preserve">Research, Technological Development </w:t>
            </w:r>
            <w:r>
              <w:rPr>
                <w:noProof/>
                <w:color w:val="000000"/>
                <w:szCs w:val="24"/>
              </w:rPr>
              <w:t>a</w:t>
            </w:r>
            <w:r w:rsidRPr="00866442">
              <w:rPr>
                <w:noProof/>
                <w:color w:val="000000"/>
                <w:szCs w:val="24"/>
              </w:rPr>
              <w:t>nd Innovation</w:t>
            </w:r>
          </w:p>
        </w:tc>
      </w:tr>
      <w:tr w:rsidR="0088404A" w:rsidRPr="00A9447A" w:rsidTr="00A27EF6">
        <w:trPr>
          <w:trHeight w:val="315"/>
        </w:trPr>
        <w:tc>
          <w:tcPr>
            <w:tcW w:w="1400" w:type="dxa"/>
            <w:tcBorders>
              <w:top w:val="nil"/>
              <w:left w:val="nil"/>
              <w:bottom w:val="nil"/>
              <w:right w:val="nil"/>
            </w:tcBorders>
            <w:shd w:val="clear" w:color="auto" w:fill="auto"/>
            <w:noWrap/>
            <w:vAlign w:val="bottom"/>
          </w:tcPr>
          <w:p w:rsidR="0088404A" w:rsidRPr="0088404A" w:rsidRDefault="0088404A" w:rsidP="00A27EF6">
            <w:pPr>
              <w:spacing w:after="0"/>
              <w:jc w:val="left"/>
              <w:rPr>
                <w:noProof/>
                <w:color w:val="000000"/>
                <w:szCs w:val="24"/>
              </w:rPr>
            </w:pPr>
            <w:r>
              <w:rPr>
                <w:noProof/>
                <w:color w:val="000000"/>
                <w:szCs w:val="24"/>
              </w:rPr>
              <w:t>TEN</w:t>
            </w:r>
          </w:p>
        </w:tc>
        <w:tc>
          <w:tcPr>
            <w:tcW w:w="6964" w:type="dxa"/>
            <w:tcBorders>
              <w:top w:val="nil"/>
              <w:left w:val="nil"/>
              <w:bottom w:val="nil"/>
              <w:right w:val="nil"/>
            </w:tcBorders>
            <w:shd w:val="clear" w:color="auto" w:fill="auto"/>
            <w:noWrap/>
            <w:vAlign w:val="bottom"/>
          </w:tcPr>
          <w:p w:rsidR="0088404A" w:rsidRPr="0088404A" w:rsidRDefault="0088404A" w:rsidP="00A27EF6">
            <w:pPr>
              <w:spacing w:after="0"/>
              <w:jc w:val="left"/>
              <w:rPr>
                <w:noProof/>
                <w:color w:val="000000"/>
                <w:szCs w:val="24"/>
              </w:rPr>
            </w:pPr>
            <w:r>
              <w:rPr>
                <w:noProof/>
                <w:color w:val="000000"/>
                <w:szCs w:val="24"/>
              </w:rPr>
              <w:t>Trans-European Network</w:t>
            </w:r>
          </w:p>
        </w:tc>
      </w:tr>
      <w:tr w:rsidR="00440F24" w:rsidRPr="00A9447A" w:rsidTr="00A27EF6">
        <w:trPr>
          <w:trHeight w:val="315"/>
        </w:trPr>
        <w:tc>
          <w:tcPr>
            <w:tcW w:w="1400"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TFEU</w:t>
            </w:r>
          </w:p>
        </w:tc>
        <w:tc>
          <w:tcPr>
            <w:tcW w:w="6964"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 xml:space="preserve">Treaty on the Functioning of the European Union </w:t>
            </w:r>
          </w:p>
        </w:tc>
      </w:tr>
      <w:tr w:rsidR="00440F24" w:rsidRPr="00A9447A" w:rsidTr="00A27EF6">
        <w:trPr>
          <w:trHeight w:val="315"/>
        </w:trPr>
        <w:tc>
          <w:tcPr>
            <w:tcW w:w="1400"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TOR</w:t>
            </w:r>
          </w:p>
        </w:tc>
        <w:tc>
          <w:tcPr>
            <w:tcW w:w="6964" w:type="dxa"/>
            <w:tcBorders>
              <w:top w:val="nil"/>
              <w:left w:val="nil"/>
              <w:bottom w:val="nil"/>
              <w:right w:val="nil"/>
            </w:tcBorders>
            <w:shd w:val="clear" w:color="auto" w:fill="auto"/>
            <w:noWrap/>
            <w:vAlign w:val="bottom"/>
            <w:hideMark/>
          </w:tcPr>
          <w:p w:rsidR="00440F24" w:rsidRPr="00C92C31" w:rsidRDefault="00440F24" w:rsidP="00A27EF6">
            <w:pPr>
              <w:spacing w:after="0"/>
              <w:jc w:val="left"/>
              <w:rPr>
                <w:noProof/>
                <w:color w:val="000000"/>
                <w:szCs w:val="24"/>
              </w:rPr>
            </w:pPr>
            <w:r w:rsidRPr="00C92C31">
              <w:rPr>
                <w:noProof/>
                <w:color w:val="000000"/>
                <w:szCs w:val="24"/>
              </w:rPr>
              <w:t>Traditional Own Resources</w:t>
            </w:r>
          </w:p>
        </w:tc>
      </w:tr>
      <w:tr w:rsidR="009334E5" w:rsidRPr="00A9447A" w:rsidTr="00A27EF6">
        <w:trPr>
          <w:trHeight w:val="315"/>
        </w:trPr>
        <w:tc>
          <w:tcPr>
            <w:tcW w:w="1400" w:type="dxa"/>
            <w:tcBorders>
              <w:top w:val="nil"/>
              <w:left w:val="nil"/>
              <w:bottom w:val="nil"/>
              <w:right w:val="nil"/>
            </w:tcBorders>
            <w:shd w:val="clear" w:color="auto" w:fill="auto"/>
            <w:noWrap/>
            <w:vAlign w:val="bottom"/>
          </w:tcPr>
          <w:p w:rsidR="009334E5" w:rsidRPr="00C92C31" w:rsidRDefault="009334E5" w:rsidP="00A27EF6">
            <w:pPr>
              <w:spacing w:after="0"/>
              <w:jc w:val="left"/>
              <w:rPr>
                <w:noProof/>
                <w:color w:val="000000"/>
                <w:szCs w:val="24"/>
              </w:rPr>
            </w:pPr>
            <w:r w:rsidRPr="00C92C31">
              <w:rPr>
                <w:noProof/>
                <w:color w:val="000000"/>
                <w:szCs w:val="24"/>
              </w:rPr>
              <w:t>UAFP</w:t>
            </w:r>
          </w:p>
        </w:tc>
        <w:tc>
          <w:tcPr>
            <w:tcW w:w="6964" w:type="dxa"/>
            <w:tcBorders>
              <w:top w:val="nil"/>
              <w:left w:val="nil"/>
              <w:bottom w:val="nil"/>
              <w:right w:val="nil"/>
            </w:tcBorders>
            <w:shd w:val="clear" w:color="auto" w:fill="auto"/>
            <w:noWrap/>
            <w:vAlign w:val="bottom"/>
          </w:tcPr>
          <w:p w:rsidR="009334E5" w:rsidRPr="00C92C31" w:rsidRDefault="009334E5" w:rsidP="00F90561">
            <w:pPr>
              <w:spacing w:after="0"/>
              <w:jc w:val="left"/>
              <w:rPr>
                <w:noProof/>
                <w:color w:val="000000"/>
                <w:szCs w:val="24"/>
              </w:rPr>
            </w:pPr>
            <w:r w:rsidRPr="00C92C31">
              <w:rPr>
                <w:noProof/>
                <w:color w:val="000000"/>
                <w:szCs w:val="24"/>
              </w:rPr>
              <w:t>Union Anti-Fraud Programme</w:t>
            </w:r>
          </w:p>
        </w:tc>
      </w:tr>
      <w:tr w:rsidR="00440F24" w:rsidRPr="00A9447A" w:rsidTr="00A27EF6">
        <w:trPr>
          <w:trHeight w:val="315"/>
        </w:trPr>
        <w:tc>
          <w:tcPr>
            <w:tcW w:w="1400" w:type="dxa"/>
            <w:tcBorders>
              <w:top w:val="nil"/>
              <w:left w:val="nil"/>
              <w:bottom w:val="nil"/>
              <w:right w:val="nil"/>
            </w:tcBorders>
            <w:shd w:val="clear" w:color="auto" w:fill="auto"/>
            <w:noWrap/>
            <w:vAlign w:val="bottom"/>
          </w:tcPr>
          <w:p w:rsidR="00440F24" w:rsidRPr="00C92C31" w:rsidRDefault="00440F24" w:rsidP="00A27EF6">
            <w:pPr>
              <w:spacing w:after="0"/>
              <w:jc w:val="left"/>
              <w:rPr>
                <w:noProof/>
                <w:color w:val="000000"/>
                <w:szCs w:val="24"/>
              </w:rPr>
            </w:pPr>
            <w:r w:rsidRPr="00C92C31">
              <w:rPr>
                <w:noProof/>
                <w:color w:val="000000"/>
                <w:szCs w:val="24"/>
              </w:rPr>
              <w:t>VAT</w:t>
            </w:r>
          </w:p>
        </w:tc>
        <w:tc>
          <w:tcPr>
            <w:tcW w:w="6964" w:type="dxa"/>
            <w:tcBorders>
              <w:top w:val="nil"/>
              <w:left w:val="nil"/>
              <w:bottom w:val="nil"/>
              <w:right w:val="nil"/>
            </w:tcBorders>
            <w:shd w:val="clear" w:color="auto" w:fill="auto"/>
            <w:noWrap/>
            <w:vAlign w:val="bottom"/>
          </w:tcPr>
          <w:p w:rsidR="00440F24" w:rsidRPr="00C92C31" w:rsidRDefault="00440F24" w:rsidP="00A27EF6">
            <w:pPr>
              <w:spacing w:after="0"/>
              <w:jc w:val="left"/>
              <w:rPr>
                <w:noProof/>
                <w:color w:val="000000"/>
                <w:szCs w:val="24"/>
              </w:rPr>
            </w:pPr>
            <w:r w:rsidRPr="00C92C31">
              <w:rPr>
                <w:noProof/>
                <w:color w:val="000000"/>
                <w:szCs w:val="24"/>
              </w:rPr>
              <w:t>Value Added Tax</w:t>
            </w:r>
          </w:p>
        </w:tc>
      </w:tr>
    </w:tbl>
    <w:p w:rsidR="00440F24" w:rsidRDefault="00440F24">
      <w:pPr>
        <w:rPr>
          <w:b/>
          <w:noProof/>
        </w:rPr>
      </w:pPr>
    </w:p>
    <w:p w:rsidR="00440F24" w:rsidRDefault="00440F24" w:rsidP="00440F24">
      <w:pPr>
        <w:rPr>
          <w:noProof/>
        </w:rPr>
      </w:pPr>
      <w:r>
        <w:rPr>
          <w:noProof/>
        </w:rPr>
        <w:br w:type="page"/>
      </w:r>
    </w:p>
    <w:p w:rsidR="00190177" w:rsidRDefault="0048430C" w:rsidP="008F6819">
      <w:pPr>
        <w:pStyle w:val="Heading1"/>
        <w:rPr>
          <w:noProof/>
        </w:rPr>
      </w:pPr>
      <w:bookmarkStart w:id="3" w:name="_Toc137736178"/>
      <w:r>
        <w:rPr>
          <w:noProof/>
        </w:rPr>
        <w:t>Introduction</w:t>
      </w:r>
      <w:bookmarkEnd w:id="3"/>
    </w:p>
    <w:p w:rsidR="0048430C" w:rsidRDefault="007868A2" w:rsidP="0048430C">
      <w:pPr>
        <w:rPr>
          <w:noProof/>
        </w:rPr>
      </w:pPr>
      <w:r w:rsidRPr="000625DC">
        <w:rPr>
          <w:noProof/>
        </w:rPr>
        <w:t>The EU</w:t>
      </w:r>
      <w:r w:rsidR="00C14871">
        <w:rPr>
          <w:noProof/>
        </w:rPr>
        <w:t>’s 2022</w:t>
      </w:r>
      <w:r w:rsidRPr="000625DC">
        <w:rPr>
          <w:noProof/>
        </w:rPr>
        <w:t xml:space="preserve"> budget </w:t>
      </w:r>
      <w:r>
        <w:rPr>
          <w:noProof/>
        </w:rPr>
        <w:t xml:space="preserve">amounts </w:t>
      </w:r>
      <w:r w:rsidRPr="000625DC">
        <w:rPr>
          <w:noProof/>
        </w:rPr>
        <w:t xml:space="preserve">to </w:t>
      </w:r>
      <w:r w:rsidR="00C14871">
        <w:rPr>
          <w:noProof/>
        </w:rPr>
        <w:t>some</w:t>
      </w:r>
      <w:r w:rsidR="00C14871" w:rsidRPr="000625DC">
        <w:rPr>
          <w:noProof/>
        </w:rPr>
        <w:t xml:space="preserve"> </w:t>
      </w:r>
      <w:r w:rsidRPr="000625DC">
        <w:rPr>
          <w:noProof/>
        </w:rPr>
        <w:t>EUR 170.6 billion</w:t>
      </w:r>
      <w:r w:rsidR="00C14871">
        <w:rPr>
          <w:noProof/>
        </w:rPr>
        <w:t>,</w:t>
      </w:r>
      <w:r w:rsidRPr="000625DC">
        <w:rPr>
          <w:noProof/>
        </w:rPr>
        <w:t xml:space="preserve"> representing </w:t>
      </w:r>
      <w:r w:rsidR="00C14871">
        <w:rPr>
          <w:noProof/>
        </w:rPr>
        <w:t>around</w:t>
      </w:r>
      <w:r w:rsidR="00C14871" w:rsidRPr="000625DC">
        <w:rPr>
          <w:noProof/>
        </w:rPr>
        <w:t xml:space="preserve"> </w:t>
      </w:r>
      <w:r w:rsidRPr="000625DC">
        <w:rPr>
          <w:noProof/>
        </w:rPr>
        <w:t xml:space="preserve">1% of the EU’s gross domestic product (GDP). The </w:t>
      </w:r>
      <w:r w:rsidR="00C14871" w:rsidRPr="000625DC">
        <w:rPr>
          <w:noProof/>
        </w:rPr>
        <w:t>2021-2027</w:t>
      </w:r>
      <w:r w:rsidR="00C14871">
        <w:rPr>
          <w:noProof/>
        </w:rPr>
        <w:t xml:space="preserve"> </w:t>
      </w:r>
      <w:r w:rsidRPr="000625DC">
        <w:rPr>
          <w:noProof/>
        </w:rPr>
        <w:t>multiannual financial framework amounts to EUR 1,074.3 billion. Additional resources come from Next Generation EU, the EU</w:t>
      </w:r>
      <w:r w:rsidR="00C14871">
        <w:rPr>
          <w:noProof/>
        </w:rPr>
        <w:t>’s</w:t>
      </w:r>
      <w:r w:rsidRPr="000625DC">
        <w:rPr>
          <w:noProof/>
        </w:rPr>
        <w:t xml:space="preserve"> post-Covid economic recovery package, </w:t>
      </w:r>
      <w:r w:rsidR="00C14871">
        <w:rPr>
          <w:noProof/>
        </w:rPr>
        <w:t xml:space="preserve">which provides for </w:t>
      </w:r>
      <w:r w:rsidRPr="000625DC">
        <w:rPr>
          <w:noProof/>
        </w:rPr>
        <w:t>EUR 750 billion to be spent between 2021 and 2026.</w:t>
      </w:r>
    </w:p>
    <w:p w:rsidR="007868A2" w:rsidRDefault="00C14871" w:rsidP="0048430C">
      <w:pPr>
        <w:rPr>
          <w:noProof/>
        </w:rPr>
      </w:pPr>
      <w:r>
        <w:rPr>
          <w:noProof/>
        </w:rPr>
        <w:t xml:space="preserve">By means of these </w:t>
      </w:r>
      <w:r w:rsidR="007868A2" w:rsidRPr="000625DC">
        <w:rPr>
          <w:noProof/>
        </w:rPr>
        <w:t>resources</w:t>
      </w:r>
      <w:r>
        <w:rPr>
          <w:noProof/>
        </w:rPr>
        <w:t>,</w:t>
      </w:r>
      <w:r w:rsidR="007868A2" w:rsidRPr="000625DC">
        <w:rPr>
          <w:noProof/>
        </w:rPr>
        <w:t xml:space="preserve"> the EU finances its policies and promotes its aims and values.</w:t>
      </w:r>
    </w:p>
    <w:p w:rsidR="007868A2" w:rsidRDefault="00C14871" w:rsidP="0048430C">
      <w:pPr>
        <w:rPr>
          <w:noProof/>
        </w:rPr>
      </w:pPr>
      <w:r>
        <w:rPr>
          <w:noProof/>
        </w:rPr>
        <w:t xml:space="preserve">The </w:t>
      </w:r>
      <w:r w:rsidR="007868A2" w:rsidRPr="000625DC">
        <w:rPr>
          <w:noProof/>
        </w:rPr>
        <w:t>EU Member States manage the largest share of EU expenditure and collect traditional own resources (TOR), mainly customs duties.</w:t>
      </w:r>
    </w:p>
    <w:p w:rsidR="0048430C" w:rsidRDefault="00C14871" w:rsidP="007868A2">
      <w:pPr>
        <w:rPr>
          <w:noProof/>
        </w:rPr>
      </w:pPr>
      <w:r>
        <w:rPr>
          <w:noProof/>
        </w:rPr>
        <w:t>I</w:t>
      </w:r>
      <w:r w:rsidR="007868A2" w:rsidRPr="000625DC">
        <w:rPr>
          <w:noProof/>
        </w:rPr>
        <w:t xml:space="preserve">n accordance with </w:t>
      </w:r>
      <w:hyperlink r:id="rId24" w:history="1">
        <w:r>
          <w:rPr>
            <w:rStyle w:val="Hyperlink"/>
            <w:noProof/>
          </w:rPr>
          <w:t>A</w:t>
        </w:r>
        <w:r w:rsidR="007868A2" w:rsidRPr="000625DC">
          <w:rPr>
            <w:rStyle w:val="Hyperlink"/>
            <w:noProof/>
          </w:rPr>
          <w:t>rticle 325</w:t>
        </w:r>
      </w:hyperlink>
      <w:r w:rsidR="007868A2" w:rsidRPr="000625DC">
        <w:rPr>
          <w:noProof/>
        </w:rPr>
        <w:t xml:space="preserve"> of the Treaty on the functioning of the EU (TFEU), </w:t>
      </w:r>
      <w:r>
        <w:rPr>
          <w:noProof/>
        </w:rPr>
        <w:t xml:space="preserve">the EU and its Member States </w:t>
      </w:r>
      <w:r w:rsidR="007868A2" w:rsidRPr="000625DC">
        <w:rPr>
          <w:noProof/>
        </w:rPr>
        <w:t xml:space="preserve">counter fraud and any other illegal activities affecting the </w:t>
      </w:r>
      <w:r>
        <w:rPr>
          <w:noProof/>
        </w:rPr>
        <w:t xml:space="preserve">EU’s </w:t>
      </w:r>
      <w:r w:rsidR="007868A2" w:rsidRPr="000625DC">
        <w:rPr>
          <w:noProof/>
        </w:rPr>
        <w:t>financial interests</w:t>
      </w:r>
      <w:r w:rsidR="007868A2">
        <w:rPr>
          <w:rStyle w:val="FootnoteReference"/>
          <w:noProof/>
        </w:rPr>
        <w:footnoteReference w:id="1"/>
      </w:r>
      <w:r w:rsidR="007868A2" w:rsidRPr="000625DC">
        <w:rPr>
          <w:noProof/>
        </w:rPr>
        <w:t xml:space="preserve">. In line with </w:t>
      </w:r>
      <w:r>
        <w:rPr>
          <w:noProof/>
        </w:rPr>
        <w:t>A</w:t>
      </w:r>
      <w:r w:rsidR="007868A2" w:rsidRPr="000625DC">
        <w:rPr>
          <w:noProof/>
        </w:rPr>
        <w:t>rticle 325</w:t>
      </w:r>
      <w:r>
        <w:rPr>
          <w:noProof/>
        </w:rPr>
        <w:t>(5)</w:t>
      </w:r>
      <w:r w:rsidR="007868A2" w:rsidRPr="000625DC">
        <w:rPr>
          <w:noProof/>
        </w:rPr>
        <w:t xml:space="preserve"> TFEU, </w:t>
      </w:r>
      <w:r>
        <w:rPr>
          <w:noProof/>
        </w:rPr>
        <w:t xml:space="preserve">each year </w:t>
      </w:r>
      <w:r w:rsidR="007868A2" w:rsidRPr="000625DC">
        <w:rPr>
          <w:noProof/>
        </w:rPr>
        <w:t xml:space="preserve">the Commission, in cooperation with the EU Member States, submits </w:t>
      </w:r>
      <w:r>
        <w:rPr>
          <w:noProof/>
        </w:rPr>
        <w:t xml:space="preserve">a report </w:t>
      </w:r>
      <w:r w:rsidR="007868A2" w:rsidRPr="000625DC">
        <w:rPr>
          <w:noProof/>
        </w:rPr>
        <w:t xml:space="preserve">to the European Parliament (EP) and the Council on the measures taken </w:t>
      </w:r>
      <w:r>
        <w:rPr>
          <w:noProof/>
        </w:rPr>
        <w:t xml:space="preserve">in </w:t>
      </w:r>
      <w:r w:rsidR="007868A2" w:rsidRPr="000625DC">
        <w:rPr>
          <w:noProof/>
        </w:rPr>
        <w:t>implementation of th</w:t>
      </w:r>
      <w:r>
        <w:rPr>
          <w:noProof/>
        </w:rPr>
        <w:t>at</w:t>
      </w:r>
      <w:r w:rsidR="007868A2" w:rsidRPr="000625DC">
        <w:rPr>
          <w:noProof/>
        </w:rPr>
        <w:t xml:space="preserve"> </w:t>
      </w:r>
      <w:r>
        <w:rPr>
          <w:noProof/>
        </w:rPr>
        <w:t>A</w:t>
      </w:r>
      <w:r w:rsidR="007868A2" w:rsidRPr="000625DC">
        <w:rPr>
          <w:noProof/>
        </w:rPr>
        <w:t xml:space="preserve">rticle. </w:t>
      </w:r>
      <w:r>
        <w:rPr>
          <w:noProof/>
        </w:rPr>
        <w:t>This report</w:t>
      </w:r>
      <w:r w:rsidR="007868A2" w:rsidRPr="000625DC">
        <w:rPr>
          <w:noProof/>
        </w:rPr>
        <w:t xml:space="preserve">, also known as </w:t>
      </w:r>
      <w:r>
        <w:rPr>
          <w:noProof/>
        </w:rPr>
        <w:t xml:space="preserve">the </w:t>
      </w:r>
      <w:r w:rsidR="007868A2" w:rsidRPr="000625DC">
        <w:rPr>
          <w:noProof/>
        </w:rPr>
        <w:t xml:space="preserve">PIF (protection of the </w:t>
      </w:r>
      <w:r w:rsidR="005F4276">
        <w:rPr>
          <w:noProof/>
        </w:rPr>
        <w:t xml:space="preserve">EU’s </w:t>
      </w:r>
      <w:r w:rsidR="007868A2" w:rsidRPr="000625DC">
        <w:rPr>
          <w:noProof/>
        </w:rPr>
        <w:t>financial interests) Report, meets th</w:t>
      </w:r>
      <w:r>
        <w:rPr>
          <w:noProof/>
        </w:rPr>
        <w:t>at</w:t>
      </w:r>
      <w:r w:rsidR="007868A2" w:rsidRPr="000625DC">
        <w:rPr>
          <w:noProof/>
        </w:rPr>
        <w:t xml:space="preserve"> obligation</w:t>
      </w:r>
      <w:r>
        <w:rPr>
          <w:noProof/>
        </w:rPr>
        <w:t xml:space="preserve"> for 2022</w:t>
      </w:r>
      <w:r w:rsidR="007868A2" w:rsidRPr="000625DC">
        <w:rPr>
          <w:noProof/>
        </w:rPr>
        <w:t>. It is accompanied by five working documents</w:t>
      </w:r>
      <w:r w:rsidR="007868A2">
        <w:rPr>
          <w:rStyle w:val="FootnoteReference"/>
          <w:noProof/>
        </w:rPr>
        <w:footnoteReference w:id="2"/>
      </w:r>
      <w:r w:rsidR="007868A2">
        <w:rPr>
          <w:noProof/>
        </w:rPr>
        <w:t>.</w:t>
      </w:r>
      <w:r w:rsidR="000B4633">
        <w:rPr>
          <w:noProof/>
        </w:rPr>
        <w:t xml:space="preserve"> </w:t>
      </w:r>
    </w:p>
    <w:p w:rsidR="000B4633" w:rsidRDefault="000B4633" w:rsidP="00242925">
      <w:pPr>
        <w:pStyle w:val="Caption"/>
        <w:pBdr>
          <w:top w:val="single" w:sz="4" w:space="1" w:color="auto"/>
          <w:left w:val="single" w:sz="4" w:space="4" w:color="auto"/>
          <w:bottom w:val="single" w:sz="4" w:space="1" w:color="auto"/>
          <w:right w:val="single" w:sz="4" w:space="4" w:color="auto"/>
        </w:pBdr>
        <w:shd w:val="clear" w:color="auto" w:fill="E2EFD9" w:themeFill="accent6" w:themeFillTint="33"/>
        <w:rPr>
          <w:noProof/>
        </w:rPr>
      </w:pPr>
      <w:bookmarkStart w:id="4" w:name="_Toc106662322"/>
      <w:r>
        <w:rPr>
          <w:noProof/>
        </w:rPr>
        <w:t xml:space="preserve">Box </w:t>
      </w:r>
      <w:r w:rsidR="00930F4F">
        <w:rPr>
          <w:noProof/>
        </w:rPr>
        <w:fldChar w:fldCharType="begin"/>
      </w:r>
      <w:r w:rsidR="00930F4F">
        <w:rPr>
          <w:noProof/>
        </w:rPr>
        <w:instrText xml:space="preserve"> SEQ Box \* ARABIC </w:instrText>
      </w:r>
      <w:r w:rsidR="00930F4F">
        <w:rPr>
          <w:noProof/>
        </w:rPr>
        <w:fldChar w:fldCharType="separate"/>
      </w:r>
      <w:r w:rsidR="00F83AD7">
        <w:rPr>
          <w:noProof/>
        </w:rPr>
        <w:t>1</w:t>
      </w:r>
      <w:r w:rsidR="00930F4F">
        <w:rPr>
          <w:noProof/>
        </w:rPr>
        <w:fldChar w:fldCharType="end"/>
      </w:r>
      <w:r>
        <w:rPr>
          <w:noProof/>
        </w:rPr>
        <w:t xml:space="preserve">: </w:t>
      </w:r>
      <w:bookmarkEnd w:id="4"/>
      <w:r w:rsidR="007868A2">
        <w:rPr>
          <w:noProof/>
        </w:rPr>
        <w:t>Methodological approach</w:t>
      </w:r>
    </w:p>
    <w:p w:rsidR="00131B72" w:rsidRPr="00131B72" w:rsidRDefault="007868A2"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sidRPr="000625DC">
        <w:rPr>
          <w:noProof/>
        </w:rPr>
        <w:t xml:space="preserve">All applicable definitions are indicated in boxes 1, 2 and 3 of the </w:t>
      </w:r>
      <w:hyperlink r:id="rId25" w:history="1">
        <w:r w:rsidRPr="000625DC">
          <w:rPr>
            <w:rStyle w:val="Hyperlink"/>
            <w:noProof/>
          </w:rPr>
          <w:t>PIF Report 2021</w:t>
        </w:r>
      </w:hyperlink>
      <w:r w:rsidRPr="000625DC">
        <w:rPr>
          <w:noProof/>
        </w:rPr>
        <w:t>.</w:t>
      </w:r>
    </w:p>
    <w:p w:rsidR="000B4633" w:rsidRDefault="00840DCF"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sidRPr="000625DC">
        <w:rPr>
          <w:noProof/>
        </w:rPr>
        <w:t xml:space="preserve">The 2022 PIF Report focuses on key initiatives at EU and national level. The digital version </w:t>
      </w:r>
      <w:r w:rsidR="00C14871">
        <w:rPr>
          <w:noProof/>
        </w:rPr>
        <w:t>provides</w:t>
      </w:r>
      <w:r w:rsidRPr="000625DC">
        <w:rPr>
          <w:noProof/>
        </w:rPr>
        <w:t xml:space="preserve"> additional information through hyperlinks and in-built additional content.</w:t>
      </w:r>
    </w:p>
    <w:p w:rsidR="00131B72" w:rsidRDefault="00840DCF"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sidRPr="000625DC">
        <w:rPr>
          <w:noProof/>
        </w:rPr>
        <w:t xml:space="preserve">Section 2 of the report focuses on measures at EU level, while Section 3 covers the measures taken at national level. Section 4 presents data and </w:t>
      </w:r>
      <w:r w:rsidR="00C14871">
        <w:rPr>
          <w:noProof/>
        </w:rPr>
        <w:t xml:space="preserve">the </w:t>
      </w:r>
      <w:r w:rsidRPr="000625DC">
        <w:rPr>
          <w:noProof/>
        </w:rPr>
        <w:t>main analytical findings concerning the fight against fraud, corruption, conflict</w:t>
      </w:r>
      <w:r w:rsidR="00C14871">
        <w:rPr>
          <w:noProof/>
        </w:rPr>
        <w:t>s</w:t>
      </w:r>
      <w:r w:rsidRPr="000625DC">
        <w:rPr>
          <w:noProof/>
        </w:rPr>
        <w:t xml:space="preserve"> of interest and other irregularities affecting the EU budget. Section 5 closes the report with conclusions and recommendations.</w:t>
      </w:r>
    </w:p>
    <w:p w:rsidR="0048430C" w:rsidRDefault="00840DCF" w:rsidP="008F6819">
      <w:pPr>
        <w:pStyle w:val="Heading1"/>
        <w:rPr>
          <w:noProof/>
        </w:rPr>
      </w:pPr>
      <w:bookmarkStart w:id="5" w:name="_Toc134557973"/>
      <w:bookmarkStart w:id="6" w:name="_Toc137736179"/>
      <w:r w:rsidRPr="000625DC">
        <w:rPr>
          <w:noProof/>
        </w:rPr>
        <w:t>Focus on key measures at EU level</w:t>
      </w:r>
      <w:bookmarkEnd w:id="5"/>
      <w:bookmarkEnd w:id="6"/>
    </w:p>
    <w:p w:rsidR="00DC489A" w:rsidRDefault="00840DCF" w:rsidP="00DC489A">
      <w:pPr>
        <w:rPr>
          <w:noProof/>
        </w:rPr>
      </w:pPr>
      <w:r w:rsidRPr="000625DC">
        <w:rPr>
          <w:noProof/>
        </w:rPr>
        <w:t>This section of the report focuses on the main developments concerning key policy and legislative initiatives at EU level</w:t>
      </w:r>
      <w:r>
        <w:rPr>
          <w:noProof/>
        </w:rPr>
        <w:t xml:space="preserve"> to protect the EU’s financial interests</w:t>
      </w:r>
      <w:r w:rsidRPr="000625DC">
        <w:rPr>
          <w:noProof/>
        </w:rPr>
        <w:t>. It is not an exhaustive list</w:t>
      </w:r>
      <w:r>
        <w:rPr>
          <w:noProof/>
        </w:rPr>
        <w:t>.</w:t>
      </w:r>
    </w:p>
    <w:p w:rsidR="0048430C" w:rsidRDefault="00840DCF" w:rsidP="00C21AF5">
      <w:pPr>
        <w:pStyle w:val="Heading2"/>
        <w:rPr>
          <w:noProof/>
        </w:rPr>
      </w:pPr>
      <w:bookmarkStart w:id="7" w:name="_Toc137736180"/>
      <w:r w:rsidRPr="00840DCF">
        <w:rPr>
          <w:noProof/>
        </w:rPr>
        <w:t xml:space="preserve">Financial </w:t>
      </w:r>
      <w:r w:rsidR="00F15AFC">
        <w:rPr>
          <w:noProof/>
        </w:rPr>
        <w:t>R</w:t>
      </w:r>
      <w:r w:rsidRPr="00840DCF">
        <w:rPr>
          <w:noProof/>
        </w:rPr>
        <w:t>egulation recast</w:t>
      </w:r>
      <w:bookmarkEnd w:id="7"/>
    </w:p>
    <w:p w:rsidR="0048430C" w:rsidRDefault="00E36399" w:rsidP="0048430C">
      <w:pPr>
        <w:rPr>
          <w:noProof/>
        </w:rPr>
      </w:pPr>
      <w:r w:rsidRPr="00E36399">
        <w:rPr>
          <w:noProof/>
        </w:rPr>
        <w:t>The main reason for th</w:t>
      </w:r>
      <w:r>
        <w:rPr>
          <w:noProof/>
        </w:rPr>
        <w:t>e</w:t>
      </w:r>
      <w:r w:rsidRPr="00E36399">
        <w:rPr>
          <w:noProof/>
        </w:rPr>
        <w:t xml:space="preserve"> revision </w:t>
      </w:r>
      <w:r>
        <w:rPr>
          <w:noProof/>
        </w:rPr>
        <w:t xml:space="preserve">of </w:t>
      </w:r>
      <w:r w:rsidRPr="00E36399">
        <w:rPr>
          <w:noProof/>
        </w:rPr>
        <w:t xml:space="preserve">the Financial Regulation </w:t>
      </w:r>
      <w:r>
        <w:rPr>
          <w:noProof/>
        </w:rPr>
        <w:t>(FR)</w:t>
      </w:r>
      <w:r w:rsidR="002233B0">
        <w:rPr>
          <w:rStyle w:val="FootnoteReference"/>
          <w:noProof/>
        </w:rPr>
        <w:footnoteReference w:id="3"/>
      </w:r>
      <w:r>
        <w:rPr>
          <w:noProof/>
        </w:rPr>
        <w:t xml:space="preserve"> is to align it </w:t>
      </w:r>
      <w:r w:rsidRPr="00E36399">
        <w:rPr>
          <w:noProof/>
        </w:rPr>
        <w:t>with the M</w:t>
      </w:r>
      <w:r>
        <w:rPr>
          <w:noProof/>
        </w:rPr>
        <w:t xml:space="preserve">ulti-annual </w:t>
      </w:r>
      <w:r w:rsidRPr="00E36399">
        <w:rPr>
          <w:noProof/>
        </w:rPr>
        <w:t>F</w:t>
      </w:r>
      <w:r>
        <w:rPr>
          <w:noProof/>
        </w:rPr>
        <w:t xml:space="preserve">inancial </w:t>
      </w:r>
      <w:r w:rsidRPr="00E36399">
        <w:rPr>
          <w:noProof/>
        </w:rPr>
        <w:t>F</w:t>
      </w:r>
      <w:r>
        <w:rPr>
          <w:noProof/>
        </w:rPr>
        <w:t>ramework (MFF)</w:t>
      </w:r>
      <w:r w:rsidRPr="00E36399">
        <w:rPr>
          <w:noProof/>
        </w:rPr>
        <w:t xml:space="preserve"> package, </w:t>
      </w:r>
      <w:r>
        <w:rPr>
          <w:noProof/>
        </w:rPr>
        <w:t xml:space="preserve">ensuring that </w:t>
      </w:r>
      <w:r w:rsidRPr="00E36399">
        <w:rPr>
          <w:noProof/>
        </w:rPr>
        <w:t xml:space="preserve">all general financial rules are included in </w:t>
      </w:r>
      <w:r>
        <w:rPr>
          <w:noProof/>
        </w:rPr>
        <w:t>a single rulebook, thus providing</w:t>
      </w:r>
      <w:r w:rsidRPr="00E36399">
        <w:rPr>
          <w:noProof/>
        </w:rPr>
        <w:t xml:space="preserve"> greater legal certainty for </w:t>
      </w:r>
      <w:r>
        <w:rPr>
          <w:noProof/>
        </w:rPr>
        <w:t xml:space="preserve">EU </w:t>
      </w:r>
      <w:r w:rsidRPr="00E36399">
        <w:rPr>
          <w:noProof/>
        </w:rPr>
        <w:t>institutions and recipients of funds.</w:t>
      </w:r>
      <w:r>
        <w:rPr>
          <w:noProof/>
        </w:rPr>
        <w:t xml:space="preserve"> </w:t>
      </w:r>
      <w:r w:rsidR="002233B0">
        <w:rPr>
          <w:noProof/>
        </w:rPr>
        <w:t>As regards the protection of the EU’s financial interests, b</w:t>
      </w:r>
      <w:r w:rsidR="00BE0C3C">
        <w:rPr>
          <w:noProof/>
        </w:rPr>
        <w:t>y means of</w:t>
      </w:r>
      <w:r w:rsidR="00BE0C3C" w:rsidRPr="00840DCF">
        <w:rPr>
          <w:noProof/>
        </w:rPr>
        <w:t xml:space="preserve"> </w:t>
      </w:r>
      <w:r w:rsidR="00840DCF" w:rsidRPr="00840DCF">
        <w:rPr>
          <w:noProof/>
        </w:rPr>
        <w:t xml:space="preserve">the targeted amendment of the </w:t>
      </w:r>
      <w:r w:rsidR="000C3F92">
        <w:rPr>
          <w:noProof/>
        </w:rPr>
        <w:t>FR</w:t>
      </w:r>
      <w:r w:rsidR="00840DCF" w:rsidRPr="00840DCF">
        <w:rPr>
          <w:noProof/>
        </w:rPr>
        <w:t>, the Commission intends to further improve</w:t>
      </w:r>
      <w:r w:rsidR="002D44B2">
        <w:rPr>
          <w:noProof/>
        </w:rPr>
        <w:t>:</w:t>
      </w:r>
      <w:r w:rsidR="00840DCF" w:rsidRPr="00840DCF">
        <w:rPr>
          <w:noProof/>
        </w:rPr>
        <w:t xml:space="preserve"> </w:t>
      </w:r>
      <w:r w:rsidR="002D44B2">
        <w:rPr>
          <w:noProof/>
        </w:rPr>
        <w:t>(</w:t>
      </w:r>
      <w:r w:rsidR="00840DCF" w:rsidRPr="00840DCF">
        <w:rPr>
          <w:noProof/>
        </w:rPr>
        <w:t xml:space="preserve">i) the way information is provided to the public </w:t>
      </w:r>
      <w:r w:rsidR="00C77AC7">
        <w:rPr>
          <w:noProof/>
        </w:rPr>
        <w:t xml:space="preserve">regarding how the EU budget is used and who receives </w:t>
      </w:r>
      <w:r w:rsidR="00840DCF" w:rsidRPr="00840DCF">
        <w:rPr>
          <w:noProof/>
        </w:rPr>
        <w:t>EU funding</w:t>
      </w:r>
      <w:r w:rsidR="002D44B2">
        <w:rPr>
          <w:noProof/>
        </w:rPr>
        <w:t>;</w:t>
      </w:r>
      <w:r w:rsidR="00840DCF" w:rsidRPr="00840DCF">
        <w:rPr>
          <w:noProof/>
        </w:rPr>
        <w:t xml:space="preserve"> and </w:t>
      </w:r>
      <w:r w:rsidR="002D44B2">
        <w:rPr>
          <w:noProof/>
        </w:rPr>
        <w:t>(</w:t>
      </w:r>
      <w:r w:rsidR="00840DCF" w:rsidRPr="00840DCF">
        <w:rPr>
          <w:noProof/>
        </w:rPr>
        <w:t>ii) the protection of the EU budget against irregularities, fraud, corruption and conflicts of interest.</w:t>
      </w:r>
    </w:p>
    <w:p w:rsidR="00840DCF" w:rsidRDefault="00840DCF" w:rsidP="0048430C">
      <w:pPr>
        <w:rPr>
          <w:noProof/>
        </w:rPr>
      </w:pPr>
      <w:r w:rsidRPr="000625DC">
        <w:rPr>
          <w:noProof/>
        </w:rPr>
        <w:t>In relation to the first objective, the proposal requires Member States and other bodies implementing the EU budget</w:t>
      </w:r>
      <w:r w:rsidR="00BE0C3C">
        <w:rPr>
          <w:noProof/>
        </w:rPr>
        <w:t>,</w:t>
      </w:r>
      <w:r w:rsidRPr="000625DC">
        <w:rPr>
          <w:noProof/>
        </w:rPr>
        <w:t xml:space="preserve"> under all </w:t>
      </w:r>
      <w:r w:rsidR="00BE0C3C">
        <w:rPr>
          <w:noProof/>
        </w:rPr>
        <w:t xml:space="preserve">forms of </w:t>
      </w:r>
      <w:r w:rsidRPr="000625DC">
        <w:rPr>
          <w:noProof/>
        </w:rPr>
        <w:t>management</w:t>
      </w:r>
      <w:r w:rsidR="00BE0C3C">
        <w:rPr>
          <w:noProof/>
        </w:rPr>
        <w:t>,</w:t>
      </w:r>
      <w:r w:rsidR="00BE0C3C" w:rsidRPr="000625DC">
        <w:rPr>
          <w:noProof/>
        </w:rPr>
        <w:t xml:space="preserve"> </w:t>
      </w:r>
      <w:r w:rsidRPr="000625DC">
        <w:rPr>
          <w:noProof/>
        </w:rPr>
        <w:t xml:space="preserve">to provide the Commission </w:t>
      </w:r>
      <w:r w:rsidR="00BE0C3C">
        <w:rPr>
          <w:noProof/>
        </w:rPr>
        <w:t xml:space="preserve">with </w:t>
      </w:r>
      <w:r w:rsidRPr="000625DC">
        <w:rPr>
          <w:noProof/>
        </w:rPr>
        <w:t xml:space="preserve">information </w:t>
      </w:r>
      <w:r w:rsidR="00BE0C3C">
        <w:rPr>
          <w:noProof/>
        </w:rPr>
        <w:t xml:space="preserve">regarding the </w:t>
      </w:r>
      <w:r w:rsidRPr="000625DC">
        <w:rPr>
          <w:noProof/>
        </w:rPr>
        <w:t xml:space="preserve">recipients of EU funding once </w:t>
      </w:r>
      <w:r w:rsidR="00BE0C3C">
        <w:rPr>
          <w:noProof/>
        </w:rPr>
        <w:t>per</w:t>
      </w:r>
      <w:r w:rsidRPr="000625DC">
        <w:rPr>
          <w:noProof/>
        </w:rPr>
        <w:t xml:space="preserve"> year, including unique identifiers </w:t>
      </w:r>
      <w:r w:rsidR="00BE0C3C">
        <w:rPr>
          <w:noProof/>
        </w:rPr>
        <w:t>where</w:t>
      </w:r>
      <w:r w:rsidRPr="000625DC">
        <w:rPr>
          <w:noProof/>
        </w:rPr>
        <w:t xml:space="preserve"> recipients are legal persons. </w:t>
      </w:r>
      <w:r w:rsidR="00BE0C3C">
        <w:rPr>
          <w:noProof/>
        </w:rPr>
        <w:t>To that information t</w:t>
      </w:r>
      <w:r w:rsidRPr="000625DC">
        <w:rPr>
          <w:noProof/>
        </w:rPr>
        <w:t xml:space="preserve">he Commission would add </w:t>
      </w:r>
      <w:r w:rsidR="00C77AC7">
        <w:rPr>
          <w:noProof/>
        </w:rPr>
        <w:t xml:space="preserve">the information available regarding </w:t>
      </w:r>
      <w:r w:rsidRPr="000625DC">
        <w:rPr>
          <w:noProof/>
        </w:rPr>
        <w:t xml:space="preserve">direct management and would be responsible for consolidating, centralising and publishing the information in a database on a single website, an improved version of the </w:t>
      </w:r>
      <w:r w:rsidRPr="000625DC">
        <w:rPr>
          <w:b/>
          <w:noProof/>
        </w:rPr>
        <w:t>Financial Transparency System</w:t>
      </w:r>
      <w:r w:rsidRPr="000625DC">
        <w:rPr>
          <w:noProof/>
        </w:rPr>
        <w:t xml:space="preserve">, covering all </w:t>
      </w:r>
      <w:r w:rsidR="00BE0C3C">
        <w:rPr>
          <w:noProof/>
        </w:rPr>
        <w:t xml:space="preserve">forms of </w:t>
      </w:r>
      <w:r w:rsidRPr="000625DC">
        <w:rPr>
          <w:noProof/>
        </w:rPr>
        <w:t xml:space="preserve">management. The rights of beneficiaries in </w:t>
      </w:r>
      <w:r w:rsidR="00BE0C3C">
        <w:rPr>
          <w:noProof/>
        </w:rPr>
        <w:t xml:space="preserve">terms of their </w:t>
      </w:r>
      <w:r w:rsidRPr="000625DC">
        <w:rPr>
          <w:noProof/>
        </w:rPr>
        <w:t>private li</w:t>
      </w:r>
      <w:r w:rsidR="00BE0C3C">
        <w:rPr>
          <w:noProof/>
        </w:rPr>
        <w:t>v</w:t>
      </w:r>
      <w:r w:rsidRPr="000625DC">
        <w:rPr>
          <w:noProof/>
        </w:rPr>
        <w:t>e</w:t>
      </w:r>
      <w:r w:rsidR="00BE0C3C">
        <w:rPr>
          <w:noProof/>
        </w:rPr>
        <w:t>s</w:t>
      </w:r>
      <w:r w:rsidRPr="000625DC">
        <w:rPr>
          <w:noProof/>
        </w:rPr>
        <w:t xml:space="preserve"> and personal data will continue to be protected</w:t>
      </w:r>
      <w:r w:rsidRPr="000625DC">
        <w:rPr>
          <w:rStyle w:val="FootnoteReference"/>
          <w:noProof/>
        </w:rPr>
        <w:footnoteReference w:id="4"/>
      </w:r>
      <w:r w:rsidRPr="000625DC">
        <w:rPr>
          <w:noProof/>
        </w:rPr>
        <w:t>.</w:t>
      </w:r>
    </w:p>
    <w:p w:rsidR="00840DCF" w:rsidRDefault="00840DCF" w:rsidP="0048430C">
      <w:pPr>
        <w:rPr>
          <w:noProof/>
        </w:rPr>
      </w:pPr>
      <w:r w:rsidRPr="000625DC">
        <w:rPr>
          <w:noProof/>
        </w:rPr>
        <w:t xml:space="preserve">The second objective </w:t>
      </w:r>
      <w:r w:rsidR="00C77AC7">
        <w:rPr>
          <w:noProof/>
        </w:rPr>
        <w:t>will be</w:t>
      </w:r>
      <w:r w:rsidR="00C77AC7" w:rsidRPr="000625DC">
        <w:rPr>
          <w:noProof/>
        </w:rPr>
        <w:t xml:space="preserve"> </w:t>
      </w:r>
      <w:r w:rsidRPr="000625DC">
        <w:rPr>
          <w:noProof/>
        </w:rPr>
        <w:t xml:space="preserve">pursued </w:t>
      </w:r>
      <w:r w:rsidR="00C77AC7">
        <w:rPr>
          <w:noProof/>
        </w:rPr>
        <w:t>in a three-fold manner</w:t>
      </w:r>
      <w:r w:rsidRPr="000625DC">
        <w:rPr>
          <w:noProof/>
        </w:rPr>
        <w:t xml:space="preserve">. First, the Commission proposes to make the </w:t>
      </w:r>
      <w:r w:rsidRPr="000625DC">
        <w:rPr>
          <w:b/>
          <w:noProof/>
        </w:rPr>
        <w:t>use of a single integrated IT system</w:t>
      </w:r>
      <w:r w:rsidRPr="000625DC">
        <w:rPr>
          <w:noProof/>
        </w:rPr>
        <w:t xml:space="preserve"> for data-mining and risk-scoring </w:t>
      </w:r>
      <w:r w:rsidRPr="000625DC">
        <w:rPr>
          <w:b/>
          <w:noProof/>
        </w:rPr>
        <w:t>compulsory</w:t>
      </w:r>
      <w:r w:rsidRPr="000625DC">
        <w:rPr>
          <w:noProof/>
        </w:rPr>
        <w:t xml:space="preserve">. Second, the Commission also proposes to </w:t>
      </w:r>
      <w:r w:rsidRPr="000625DC">
        <w:rPr>
          <w:b/>
          <w:noProof/>
        </w:rPr>
        <w:t>increase the scope and effectiveness of the Early Detection and Exclusion System</w:t>
      </w:r>
      <w:r w:rsidRPr="000625DC">
        <w:rPr>
          <w:noProof/>
        </w:rPr>
        <w:t xml:space="preserve"> (EDES)</w:t>
      </w:r>
      <w:r w:rsidRPr="000625DC">
        <w:rPr>
          <w:rStyle w:val="FootnoteReference"/>
          <w:noProof/>
        </w:rPr>
        <w:footnoteReference w:id="5"/>
      </w:r>
      <w:r w:rsidRPr="000625DC">
        <w:rPr>
          <w:noProof/>
        </w:rPr>
        <w:t xml:space="preserve">, </w:t>
      </w:r>
      <w:r w:rsidR="004554A9">
        <w:rPr>
          <w:noProof/>
        </w:rPr>
        <w:t>strengthening it by better targeting its application to funds under both shared management and direct management (for instance under the R</w:t>
      </w:r>
      <w:r w:rsidR="000C3F92">
        <w:rPr>
          <w:noProof/>
        </w:rPr>
        <w:t xml:space="preserve">ecovery and </w:t>
      </w:r>
      <w:r w:rsidR="004554A9">
        <w:rPr>
          <w:noProof/>
        </w:rPr>
        <w:t>R</w:t>
      </w:r>
      <w:r w:rsidR="000C3F92">
        <w:rPr>
          <w:noProof/>
        </w:rPr>
        <w:t xml:space="preserve">esilience </w:t>
      </w:r>
      <w:r w:rsidR="004554A9">
        <w:rPr>
          <w:noProof/>
        </w:rPr>
        <w:t>F</w:t>
      </w:r>
      <w:r w:rsidR="000C3F92">
        <w:rPr>
          <w:noProof/>
        </w:rPr>
        <w:t>acility</w:t>
      </w:r>
      <w:r w:rsidR="004554A9">
        <w:rPr>
          <w:noProof/>
        </w:rPr>
        <w:t xml:space="preserve">). </w:t>
      </w:r>
      <w:r w:rsidRPr="000625DC">
        <w:rPr>
          <w:noProof/>
        </w:rPr>
        <w:t xml:space="preserve"> The Commission also proposes to allow the exclusion of affiliated entities and/or beneficial owners of a primary excluded entity from bidding for public contracts and ultimately from obtaining EU funds. </w:t>
      </w:r>
      <w:r w:rsidR="004554A9">
        <w:rPr>
          <w:noProof/>
        </w:rPr>
        <w:t xml:space="preserve">The refusal to cooperate in investigations, checks or audits carried out by an authorising officer, </w:t>
      </w:r>
      <w:r w:rsidR="000C3F92">
        <w:rPr>
          <w:noProof/>
        </w:rPr>
        <w:t>the European Anti-Fraud Office (</w:t>
      </w:r>
      <w:r w:rsidR="004554A9">
        <w:rPr>
          <w:noProof/>
        </w:rPr>
        <w:t>OLAF</w:t>
      </w:r>
      <w:r w:rsidR="000C3F92">
        <w:rPr>
          <w:noProof/>
        </w:rPr>
        <w:t>)</w:t>
      </w:r>
      <w:r w:rsidR="004554A9">
        <w:rPr>
          <w:noProof/>
        </w:rPr>
        <w:t xml:space="preserve">, the </w:t>
      </w:r>
      <w:r w:rsidR="000C3F92">
        <w:rPr>
          <w:noProof/>
        </w:rPr>
        <w:t>European Public Prosecutor’s Office (</w:t>
      </w:r>
      <w:r w:rsidR="004554A9">
        <w:rPr>
          <w:noProof/>
        </w:rPr>
        <w:t>EPPO</w:t>
      </w:r>
      <w:r w:rsidR="000C3F92">
        <w:rPr>
          <w:noProof/>
        </w:rPr>
        <w:t>)</w:t>
      </w:r>
      <w:r w:rsidR="004554A9">
        <w:rPr>
          <w:noProof/>
        </w:rPr>
        <w:t xml:space="preserve"> or the Court of Auditors, and the incitement to hatred or discrimination are added as grounds for exclusion. </w:t>
      </w:r>
      <w:r w:rsidRPr="000625DC">
        <w:rPr>
          <w:noProof/>
        </w:rPr>
        <w:t xml:space="preserve">Third, the proposed amendments to the Financial Regulation, if endorsed by the co-legislator, will </w:t>
      </w:r>
      <w:r w:rsidRPr="000625DC">
        <w:rPr>
          <w:b/>
          <w:noProof/>
        </w:rPr>
        <w:t>increase the efficiency and quality of controls and audits with the help of digitalisation and emerging technologies</w:t>
      </w:r>
      <w:r w:rsidRPr="000625DC">
        <w:rPr>
          <w:noProof/>
        </w:rPr>
        <w:t xml:space="preserve"> such as machine learning, robotic process automation and artificial intelligence. Digitalising the fight against fraud </w:t>
      </w:r>
      <w:r>
        <w:rPr>
          <w:noProof/>
        </w:rPr>
        <w:t>is</w:t>
      </w:r>
      <w:r w:rsidRPr="000625DC">
        <w:rPr>
          <w:noProof/>
        </w:rPr>
        <w:t xml:space="preserve"> also a topic for the revision of the action plan accompanying the Commission Anti-Fraud Strategy</w:t>
      </w:r>
      <w:r>
        <w:rPr>
          <w:noProof/>
        </w:rPr>
        <w:t xml:space="preserve"> </w:t>
      </w:r>
      <w:r w:rsidR="00B1665F">
        <w:rPr>
          <w:noProof/>
        </w:rPr>
        <w:t xml:space="preserve">(CAFS) </w:t>
      </w:r>
      <w:r>
        <w:rPr>
          <w:noProof/>
        </w:rPr>
        <w:t>undertaken in</w:t>
      </w:r>
      <w:r w:rsidRPr="000625DC">
        <w:rPr>
          <w:noProof/>
        </w:rPr>
        <w:t xml:space="preserve"> 2023</w:t>
      </w:r>
      <w:r w:rsidR="000C3F92">
        <w:rPr>
          <w:rStyle w:val="FootnoteReference"/>
          <w:noProof/>
        </w:rPr>
        <w:footnoteReference w:id="6"/>
      </w:r>
      <w:r w:rsidRPr="000625DC">
        <w:rPr>
          <w:noProof/>
        </w:rPr>
        <w:t>.</w:t>
      </w:r>
    </w:p>
    <w:p w:rsidR="0048430C" w:rsidRDefault="00840DCF" w:rsidP="00C21AF5">
      <w:pPr>
        <w:pStyle w:val="Heading2"/>
        <w:rPr>
          <w:noProof/>
        </w:rPr>
      </w:pPr>
      <w:bookmarkStart w:id="8" w:name="_Toc134557975"/>
      <w:bookmarkStart w:id="9" w:name="_Toc137736181"/>
      <w:r w:rsidRPr="000625DC">
        <w:rPr>
          <w:noProof/>
        </w:rPr>
        <w:t xml:space="preserve">Implementation of national </w:t>
      </w:r>
      <w:r w:rsidR="00C77AC7">
        <w:rPr>
          <w:noProof/>
        </w:rPr>
        <w:t>r</w:t>
      </w:r>
      <w:r>
        <w:rPr>
          <w:noProof/>
        </w:rPr>
        <w:t>ecovery and resilience</w:t>
      </w:r>
      <w:r w:rsidRPr="000625DC">
        <w:rPr>
          <w:noProof/>
        </w:rPr>
        <w:t xml:space="preserve"> plans</w:t>
      </w:r>
      <w:bookmarkEnd w:id="8"/>
      <w:bookmarkEnd w:id="9"/>
    </w:p>
    <w:p w:rsidR="00BF7DC4" w:rsidRDefault="00840DCF" w:rsidP="00FE789E">
      <w:pPr>
        <w:rPr>
          <w:noProof/>
        </w:rPr>
      </w:pPr>
      <w:r w:rsidRPr="000625DC">
        <w:rPr>
          <w:noProof/>
        </w:rPr>
        <w:t>The R</w:t>
      </w:r>
      <w:r>
        <w:rPr>
          <w:noProof/>
        </w:rPr>
        <w:t>ecovery and Resilience Facility (RRF)</w:t>
      </w:r>
      <w:r w:rsidRPr="000625DC">
        <w:rPr>
          <w:noProof/>
        </w:rPr>
        <w:t xml:space="preserve"> supports the </w:t>
      </w:r>
      <w:r w:rsidR="00C77AC7">
        <w:rPr>
          <w:noProof/>
        </w:rPr>
        <w:t xml:space="preserve">implementation of the reforms </w:t>
      </w:r>
      <w:r w:rsidRPr="000625DC">
        <w:rPr>
          <w:noProof/>
        </w:rPr>
        <w:t xml:space="preserve">and investments indicated in </w:t>
      </w:r>
      <w:r w:rsidR="00A738D3" w:rsidRPr="000625DC">
        <w:rPr>
          <w:noProof/>
        </w:rPr>
        <w:t xml:space="preserve">national </w:t>
      </w:r>
      <w:r w:rsidRPr="000625DC">
        <w:rPr>
          <w:noProof/>
        </w:rPr>
        <w:t xml:space="preserve">recovery and resilience plans. </w:t>
      </w:r>
      <w:r w:rsidR="005F4276">
        <w:rPr>
          <w:noProof/>
        </w:rPr>
        <w:t xml:space="preserve">The RRF Regulation </w:t>
      </w:r>
      <w:r w:rsidR="005F4276" w:rsidRPr="008C5E92">
        <w:rPr>
          <w:noProof/>
        </w:rPr>
        <w:t>requires that Member States take all appropriate measures to protect the financial interests of the Union and to ensure that the use of funds complies with applicable EU and national laws.</w:t>
      </w:r>
      <w:r w:rsidR="005F4276">
        <w:rPr>
          <w:noProof/>
        </w:rPr>
        <w:t xml:space="preserve"> </w:t>
      </w:r>
      <w:r w:rsidRPr="000625DC">
        <w:rPr>
          <w:noProof/>
        </w:rPr>
        <w:t xml:space="preserve">Member States are </w:t>
      </w:r>
      <w:r w:rsidR="005F4276">
        <w:rPr>
          <w:noProof/>
        </w:rPr>
        <w:t xml:space="preserve">therefore </w:t>
      </w:r>
      <w:r w:rsidRPr="000625DC">
        <w:rPr>
          <w:noProof/>
        </w:rPr>
        <w:t xml:space="preserve">obliged to put in place </w:t>
      </w:r>
      <w:r w:rsidR="00A738D3">
        <w:rPr>
          <w:noProof/>
        </w:rPr>
        <w:t>effective and efficient</w:t>
      </w:r>
      <w:r w:rsidR="00A738D3" w:rsidRPr="000625DC">
        <w:rPr>
          <w:noProof/>
        </w:rPr>
        <w:t xml:space="preserve"> </w:t>
      </w:r>
      <w:r w:rsidRPr="000625DC">
        <w:rPr>
          <w:noProof/>
        </w:rPr>
        <w:t xml:space="preserve">control systems and to ensure compliance with all relevant national and European legislation, including procurement and state aid rules. </w:t>
      </w:r>
      <w:r w:rsidR="005F4276" w:rsidRPr="008C5E92">
        <w:rPr>
          <w:noProof/>
        </w:rPr>
        <w:t xml:space="preserve">Member States </w:t>
      </w:r>
      <w:r w:rsidR="000A7762">
        <w:rPr>
          <w:noProof/>
        </w:rPr>
        <w:t xml:space="preserve">have the </w:t>
      </w:r>
      <w:r w:rsidR="005F4276" w:rsidRPr="008C5E92">
        <w:rPr>
          <w:noProof/>
        </w:rPr>
        <w:t>responsibility in ensuring that these resources are protected from fraud, corruption, conflict of interests (defined as ‘serious irregularities’) and double funding</w:t>
      </w:r>
      <w:r w:rsidR="00BA4CF2">
        <w:rPr>
          <w:rStyle w:val="FootnoteReference"/>
          <w:noProof/>
        </w:rPr>
        <w:footnoteReference w:id="7"/>
      </w:r>
      <w:r w:rsidR="005F4276" w:rsidRPr="008C5E92">
        <w:rPr>
          <w:noProof/>
        </w:rPr>
        <w:t>.</w:t>
      </w:r>
      <w:r w:rsidR="005F4276">
        <w:rPr>
          <w:noProof/>
        </w:rPr>
        <w:t xml:space="preserve"> </w:t>
      </w:r>
    </w:p>
    <w:p w:rsidR="00A83949" w:rsidRDefault="00840DCF" w:rsidP="00FE789E">
      <w:pPr>
        <w:rPr>
          <w:noProof/>
        </w:rPr>
      </w:pPr>
      <w:r w:rsidRPr="000625DC">
        <w:rPr>
          <w:noProof/>
        </w:rPr>
        <w:t>The Commission has assessed these control systems</w:t>
      </w:r>
      <w:r w:rsidR="002F0C74">
        <w:rPr>
          <w:noProof/>
        </w:rPr>
        <w:t xml:space="preserve"> prior to the approval of the </w:t>
      </w:r>
      <w:r w:rsidR="00206DE6">
        <w:rPr>
          <w:noProof/>
        </w:rPr>
        <w:t>p</w:t>
      </w:r>
      <w:r w:rsidR="002F0C74">
        <w:rPr>
          <w:noProof/>
        </w:rPr>
        <w:t xml:space="preserve">lans </w:t>
      </w:r>
      <w:r w:rsidRPr="000625DC">
        <w:rPr>
          <w:noProof/>
        </w:rPr>
        <w:t xml:space="preserve">and </w:t>
      </w:r>
      <w:r w:rsidR="002F0C74">
        <w:rPr>
          <w:noProof/>
        </w:rPr>
        <w:t xml:space="preserve">subsequently </w:t>
      </w:r>
      <w:r w:rsidR="00C77AC7">
        <w:rPr>
          <w:noProof/>
        </w:rPr>
        <w:t>carries out</w:t>
      </w:r>
      <w:r w:rsidR="00C77AC7" w:rsidRPr="000625DC">
        <w:rPr>
          <w:noProof/>
        </w:rPr>
        <w:t xml:space="preserve"> </w:t>
      </w:r>
      <w:r w:rsidRPr="000625DC">
        <w:rPr>
          <w:noProof/>
        </w:rPr>
        <w:t>system audits</w:t>
      </w:r>
      <w:r w:rsidRPr="000625DC">
        <w:rPr>
          <w:rStyle w:val="FootnoteReference"/>
          <w:noProof/>
        </w:rPr>
        <w:footnoteReference w:id="8"/>
      </w:r>
      <w:r w:rsidR="002F0C74">
        <w:rPr>
          <w:noProof/>
        </w:rPr>
        <w:t>.</w:t>
      </w:r>
    </w:p>
    <w:p w:rsidR="009701A5" w:rsidRDefault="00E754DF" w:rsidP="00FE789E">
      <w:pPr>
        <w:rPr>
          <w:noProof/>
        </w:rPr>
      </w:pPr>
      <w:r w:rsidRPr="000625DC">
        <w:rPr>
          <w:noProof/>
        </w:rPr>
        <w:t xml:space="preserve">The Commission’s audit strategy </w:t>
      </w:r>
      <w:r w:rsidR="00C77AC7">
        <w:rPr>
          <w:noProof/>
        </w:rPr>
        <w:t>provides for</w:t>
      </w:r>
      <w:r w:rsidR="00C77AC7" w:rsidRPr="000625DC">
        <w:rPr>
          <w:noProof/>
        </w:rPr>
        <w:t xml:space="preserve"> </w:t>
      </w:r>
      <w:r w:rsidR="002F0C74">
        <w:rPr>
          <w:noProof/>
        </w:rPr>
        <w:t xml:space="preserve">these </w:t>
      </w:r>
      <w:r w:rsidRPr="000625DC">
        <w:rPr>
          <w:noProof/>
        </w:rPr>
        <w:t>system audits</w:t>
      </w:r>
      <w:r w:rsidR="002F0C74">
        <w:rPr>
          <w:noProof/>
        </w:rPr>
        <w:t xml:space="preserve"> of all Member States’ management and control systems</w:t>
      </w:r>
      <w:r w:rsidRPr="000625DC">
        <w:rPr>
          <w:noProof/>
        </w:rPr>
        <w:t>. In 2022, the Commission carried out 16 system audits targeted on the protection of the EU’s financial interests</w:t>
      </w:r>
      <w:r w:rsidRPr="000625DC">
        <w:rPr>
          <w:rStyle w:val="FootnoteReference"/>
          <w:noProof/>
        </w:rPr>
        <w:footnoteReference w:id="9"/>
      </w:r>
      <w:r w:rsidRPr="000625DC">
        <w:rPr>
          <w:noProof/>
        </w:rPr>
        <w:t xml:space="preserve">. </w:t>
      </w:r>
    </w:p>
    <w:p w:rsidR="00E754DF" w:rsidRDefault="00E754DF" w:rsidP="00FE789E">
      <w:pPr>
        <w:rPr>
          <w:noProof/>
        </w:rPr>
      </w:pPr>
      <w:r w:rsidRPr="000625DC">
        <w:rPr>
          <w:noProof/>
        </w:rPr>
        <w:t>These system audits cover the 16 coordinating bodies and 48 implementing bodies, such as ministries and agencies. By the end of 2023, all Member States will have been audited at least once. 5 audit assignments took place during the first quarter of 2023.</w:t>
      </w:r>
      <w:r w:rsidR="00A738D3" w:rsidRPr="00A738D3">
        <w:rPr>
          <w:noProof/>
        </w:rPr>
        <w:t xml:space="preserve"> </w:t>
      </w:r>
      <w:r w:rsidR="00A738D3" w:rsidRPr="000625DC">
        <w:rPr>
          <w:noProof/>
        </w:rPr>
        <w:t xml:space="preserve">The audited bodies were selected </w:t>
      </w:r>
      <w:r w:rsidR="00636CAD">
        <w:rPr>
          <w:noProof/>
        </w:rPr>
        <w:t xml:space="preserve">on the basis of </w:t>
      </w:r>
      <w:r w:rsidR="00A738D3" w:rsidRPr="000625DC">
        <w:rPr>
          <w:noProof/>
        </w:rPr>
        <w:t>a risk assessment.</w:t>
      </w:r>
    </w:p>
    <w:p w:rsidR="00E754DF" w:rsidRDefault="00E754DF" w:rsidP="00FE789E">
      <w:pPr>
        <w:rPr>
          <w:noProof/>
        </w:rPr>
      </w:pPr>
      <w:r w:rsidRPr="000625DC">
        <w:rPr>
          <w:noProof/>
        </w:rPr>
        <w:t xml:space="preserve">Based on the current audit work, the Commission </w:t>
      </w:r>
      <w:r w:rsidR="00636CAD">
        <w:rPr>
          <w:noProof/>
        </w:rPr>
        <w:t xml:space="preserve">has </w:t>
      </w:r>
      <w:r w:rsidRPr="000625DC">
        <w:rPr>
          <w:noProof/>
        </w:rPr>
        <w:t xml:space="preserve">identified variations in the </w:t>
      </w:r>
      <w:r w:rsidR="00636CAD">
        <w:rPr>
          <w:noProof/>
        </w:rPr>
        <w:t xml:space="preserve">way the different </w:t>
      </w:r>
      <w:r w:rsidRPr="000625DC">
        <w:rPr>
          <w:noProof/>
        </w:rPr>
        <w:t>implementing and coordinating bodies</w:t>
      </w:r>
      <w:r w:rsidR="00636CAD">
        <w:rPr>
          <w:noProof/>
        </w:rPr>
        <w:t xml:space="preserve"> audited implement internal control systems</w:t>
      </w:r>
      <w:r w:rsidR="00872B47">
        <w:rPr>
          <w:noProof/>
        </w:rPr>
        <w:t>.</w:t>
      </w:r>
    </w:p>
    <w:p w:rsidR="00E754DF" w:rsidRDefault="00E754DF" w:rsidP="00FE789E">
      <w:pPr>
        <w:rPr>
          <w:noProof/>
        </w:rPr>
      </w:pPr>
      <w:r w:rsidRPr="000625DC">
        <w:rPr>
          <w:noProof/>
        </w:rPr>
        <w:t xml:space="preserve">The </w:t>
      </w:r>
      <w:r>
        <w:rPr>
          <w:noProof/>
        </w:rPr>
        <w:t xml:space="preserve">RRF </w:t>
      </w:r>
      <w:r w:rsidRPr="000625DC">
        <w:rPr>
          <w:noProof/>
        </w:rPr>
        <w:t xml:space="preserve">audits identified good practices among some implementing bodies, such as risk assessment </w:t>
      </w:r>
      <w:r w:rsidR="00636CAD">
        <w:rPr>
          <w:noProof/>
        </w:rPr>
        <w:t>as regards</w:t>
      </w:r>
      <w:r w:rsidR="00636CAD" w:rsidRPr="000625DC">
        <w:rPr>
          <w:noProof/>
        </w:rPr>
        <w:t xml:space="preserve"> </w:t>
      </w:r>
      <w:r w:rsidRPr="000625DC">
        <w:rPr>
          <w:noProof/>
        </w:rPr>
        <w:t xml:space="preserve">sensitive staff, procedures </w:t>
      </w:r>
      <w:r w:rsidR="00636CAD">
        <w:rPr>
          <w:noProof/>
        </w:rPr>
        <w:t xml:space="preserve">for detecting </w:t>
      </w:r>
      <w:r w:rsidRPr="000625DC">
        <w:rPr>
          <w:noProof/>
        </w:rPr>
        <w:t xml:space="preserve">possible fraud and corruption, notably the use of data mining tools, procedures for </w:t>
      </w:r>
      <w:r w:rsidR="00636CAD">
        <w:rPr>
          <w:noProof/>
        </w:rPr>
        <w:t xml:space="preserve">detecting </w:t>
      </w:r>
      <w:r w:rsidRPr="000625DC">
        <w:rPr>
          <w:noProof/>
        </w:rPr>
        <w:t>possible conflict</w:t>
      </w:r>
      <w:r w:rsidR="00636CAD">
        <w:rPr>
          <w:noProof/>
        </w:rPr>
        <w:t>s</w:t>
      </w:r>
      <w:r w:rsidRPr="000625DC">
        <w:rPr>
          <w:noProof/>
        </w:rPr>
        <w:t xml:space="preserve"> of interest, and </w:t>
      </w:r>
      <w:r w:rsidR="00636CAD">
        <w:rPr>
          <w:noProof/>
        </w:rPr>
        <w:t xml:space="preserve">procedures for verifying </w:t>
      </w:r>
      <w:r w:rsidRPr="000625DC">
        <w:rPr>
          <w:noProof/>
        </w:rPr>
        <w:t>possible double funding before the grant award decision.</w:t>
      </w:r>
    </w:p>
    <w:p w:rsidR="00E754DF" w:rsidRDefault="00B37981" w:rsidP="00FE789E">
      <w:pPr>
        <w:rPr>
          <w:noProof/>
        </w:rPr>
      </w:pPr>
      <w:r>
        <w:rPr>
          <w:noProof/>
        </w:rPr>
        <w:t>T</w:t>
      </w:r>
      <w:r w:rsidR="00E754DF" w:rsidRPr="000625DC">
        <w:rPr>
          <w:noProof/>
        </w:rPr>
        <w:t xml:space="preserve">he main issues encountered concern </w:t>
      </w:r>
      <w:r>
        <w:rPr>
          <w:noProof/>
        </w:rPr>
        <w:t>a</w:t>
      </w:r>
      <w:r w:rsidRPr="000625DC">
        <w:rPr>
          <w:noProof/>
        </w:rPr>
        <w:t xml:space="preserve"> </w:t>
      </w:r>
      <w:r w:rsidR="00E754DF" w:rsidRPr="000625DC">
        <w:rPr>
          <w:noProof/>
        </w:rPr>
        <w:t xml:space="preserve">lack of sufficient coordination/supervision by coordinating bodies, incomplete anti-fraud strategies, missing elements in fraud risk assessments, </w:t>
      </w:r>
      <w:r w:rsidR="00636CAD">
        <w:rPr>
          <w:noProof/>
        </w:rPr>
        <w:t xml:space="preserve">a </w:t>
      </w:r>
      <w:r w:rsidR="00E754DF" w:rsidRPr="000625DC">
        <w:rPr>
          <w:noProof/>
        </w:rPr>
        <w:t xml:space="preserve">need for improvement of ex-ante controls </w:t>
      </w:r>
      <w:r w:rsidR="00636CAD">
        <w:rPr>
          <w:noProof/>
        </w:rPr>
        <w:t xml:space="preserve">aimed at preventing </w:t>
      </w:r>
      <w:r w:rsidR="00E754DF" w:rsidRPr="000625DC">
        <w:rPr>
          <w:noProof/>
        </w:rPr>
        <w:t>conflict</w:t>
      </w:r>
      <w:r w:rsidR="00636CAD">
        <w:rPr>
          <w:noProof/>
        </w:rPr>
        <w:t>s</w:t>
      </w:r>
      <w:r w:rsidR="00E754DF" w:rsidRPr="000625DC">
        <w:rPr>
          <w:noProof/>
        </w:rPr>
        <w:t xml:space="preserve"> of interest, low participation in training </w:t>
      </w:r>
      <w:r w:rsidR="00636CAD">
        <w:rPr>
          <w:noProof/>
        </w:rPr>
        <w:t>activities intended to raise awareness of fraud,</w:t>
      </w:r>
      <w:r w:rsidR="00E754DF" w:rsidRPr="000625DC">
        <w:rPr>
          <w:noProof/>
        </w:rPr>
        <w:t xml:space="preserve"> and deficiencies in </w:t>
      </w:r>
      <w:r w:rsidR="00636CAD">
        <w:rPr>
          <w:noProof/>
        </w:rPr>
        <w:t xml:space="preserve">the </w:t>
      </w:r>
      <w:r w:rsidR="00E754DF" w:rsidRPr="000625DC">
        <w:rPr>
          <w:noProof/>
        </w:rPr>
        <w:t>reporting of irregularities to OLAF for possible investigation.</w:t>
      </w:r>
      <w:r>
        <w:rPr>
          <w:noProof/>
        </w:rPr>
        <w:t xml:space="preserve"> T</w:t>
      </w:r>
      <w:r w:rsidRPr="00B37981">
        <w:rPr>
          <w:noProof/>
        </w:rPr>
        <w:t xml:space="preserve">he Commission is issuing recommendations and </w:t>
      </w:r>
      <w:r w:rsidR="00BF7DC4">
        <w:rPr>
          <w:noProof/>
        </w:rPr>
        <w:t xml:space="preserve">the Member States </w:t>
      </w:r>
      <w:r w:rsidRPr="00B37981">
        <w:rPr>
          <w:noProof/>
        </w:rPr>
        <w:t>ha</w:t>
      </w:r>
      <w:r w:rsidR="00BF7DC4">
        <w:rPr>
          <w:noProof/>
        </w:rPr>
        <w:t>ve</w:t>
      </w:r>
      <w:r w:rsidRPr="00B37981">
        <w:rPr>
          <w:noProof/>
        </w:rPr>
        <w:t xml:space="preserve"> agreed </w:t>
      </w:r>
      <w:r w:rsidR="00BF7DC4">
        <w:rPr>
          <w:noProof/>
        </w:rPr>
        <w:t xml:space="preserve">to </w:t>
      </w:r>
      <w:r w:rsidRPr="00B37981">
        <w:rPr>
          <w:noProof/>
        </w:rPr>
        <w:t>deadlines for implementation</w:t>
      </w:r>
      <w:r>
        <w:rPr>
          <w:noProof/>
        </w:rPr>
        <w:t xml:space="preserve"> to resolve those issues. </w:t>
      </w:r>
    </w:p>
    <w:p w:rsidR="00FE789E" w:rsidRDefault="004843E8" w:rsidP="00C21AF5">
      <w:pPr>
        <w:pStyle w:val="Heading2"/>
        <w:rPr>
          <w:noProof/>
        </w:rPr>
      </w:pPr>
      <w:bookmarkStart w:id="10" w:name="_Toc134557976"/>
      <w:bookmarkStart w:id="11" w:name="_Toc137736182"/>
      <w:r>
        <w:rPr>
          <w:noProof/>
        </w:rPr>
        <w:t>Transposition of the PIF Directive – state of play</w:t>
      </w:r>
      <w:bookmarkEnd w:id="10"/>
      <w:bookmarkEnd w:id="11"/>
    </w:p>
    <w:p w:rsidR="00FE789E" w:rsidRDefault="00E754DF" w:rsidP="00FE789E">
      <w:pPr>
        <w:rPr>
          <w:noProof/>
        </w:rPr>
      </w:pPr>
      <w:r w:rsidRPr="000625DC">
        <w:rPr>
          <w:noProof/>
        </w:rPr>
        <w:t xml:space="preserve">On 5 July 2017, Directive (EU) 2017/1371 on the fight against fraud </w:t>
      </w:r>
      <w:r>
        <w:rPr>
          <w:noProof/>
        </w:rPr>
        <w:t>to</w:t>
      </w:r>
      <w:r w:rsidRPr="000625DC">
        <w:rPr>
          <w:noProof/>
        </w:rPr>
        <w:t xml:space="preserve"> the </w:t>
      </w:r>
      <w:r>
        <w:rPr>
          <w:noProof/>
        </w:rPr>
        <w:t>Union</w:t>
      </w:r>
      <w:r w:rsidRPr="000625DC">
        <w:rPr>
          <w:noProof/>
        </w:rPr>
        <w:t>’s financial interest by means of criminal law (PIF Directive)</w:t>
      </w:r>
      <w:r>
        <w:rPr>
          <w:rStyle w:val="FootnoteReference"/>
          <w:noProof/>
        </w:rPr>
        <w:footnoteReference w:id="10"/>
      </w:r>
      <w:r w:rsidRPr="000625DC">
        <w:rPr>
          <w:noProof/>
        </w:rPr>
        <w:t xml:space="preserve"> </w:t>
      </w:r>
      <w:r w:rsidR="007D316D">
        <w:rPr>
          <w:noProof/>
        </w:rPr>
        <w:t>was adopted</w:t>
      </w:r>
      <w:r w:rsidRPr="000625DC">
        <w:rPr>
          <w:noProof/>
        </w:rPr>
        <w:t xml:space="preserve">. </w:t>
      </w:r>
      <w:r w:rsidR="00B37981">
        <w:rPr>
          <w:noProof/>
        </w:rPr>
        <w:t>T</w:t>
      </w:r>
      <w:r w:rsidRPr="000625DC">
        <w:rPr>
          <w:noProof/>
        </w:rPr>
        <w:t xml:space="preserve">he deadline for transposing the Directive expired on </w:t>
      </w:r>
      <w:r w:rsidR="009B4970">
        <w:rPr>
          <w:noProof/>
        </w:rPr>
        <w:t>6</w:t>
      </w:r>
      <w:r w:rsidR="009B4970" w:rsidRPr="000625DC">
        <w:rPr>
          <w:noProof/>
        </w:rPr>
        <w:t xml:space="preserve"> </w:t>
      </w:r>
      <w:r w:rsidRPr="000625DC">
        <w:rPr>
          <w:noProof/>
        </w:rPr>
        <w:t>July 2019</w:t>
      </w:r>
      <w:r w:rsidR="00B37981">
        <w:rPr>
          <w:noProof/>
        </w:rPr>
        <w:t>.</w:t>
      </w:r>
      <w:r w:rsidR="00DE1F31">
        <w:rPr>
          <w:noProof/>
        </w:rPr>
        <w:t xml:space="preserve"> </w:t>
      </w:r>
      <w:r w:rsidR="007D316D">
        <w:rPr>
          <w:noProof/>
        </w:rPr>
        <w:t>The Commission took</w:t>
      </w:r>
      <w:r w:rsidR="00B37981">
        <w:rPr>
          <w:noProof/>
        </w:rPr>
        <w:t xml:space="preserve"> </w:t>
      </w:r>
      <w:r w:rsidRPr="000625DC">
        <w:rPr>
          <w:noProof/>
        </w:rPr>
        <w:t>action to address outstanding compliance issues</w:t>
      </w:r>
      <w:r w:rsidR="007D316D">
        <w:rPr>
          <w:noProof/>
        </w:rPr>
        <w:t xml:space="preserve"> in certain Member States</w:t>
      </w:r>
      <w:r w:rsidRPr="000625DC">
        <w:rPr>
          <w:rStyle w:val="FootnoteReference"/>
          <w:noProof/>
        </w:rPr>
        <w:footnoteReference w:id="11"/>
      </w:r>
      <w:r w:rsidRPr="000625DC">
        <w:rPr>
          <w:noProof/>
        </w:rPr>
        <w:t>.</w:t>
      </w:r>
    </w:p>
    <w:p w:rsidR="00E754DF" w:rsidRDefault="00AA4B30" w:rsidP="00FE789E">
      <w:pPr>
        <w:rPr>
          <w:noProof/>
        </w:rPr>
      </w:pPr>
      <w:r>
        <w:rPr>
          <w:noProof/>
        </w:rPr>
        <w:t xml:space="preserve">By the end of </w:t>
      </w:r>
      <w:r w:rsidR="00E754DF" w:rsidRPr="008D2DC9">
        <w:rPr>
          <w:noProof/>
        </w:rPr>
        <w:t>2022</w:t>
      </w:r>
      <w:r w:rsidR="00403CC9" w:rsidRPr="008D2DC9">
        <w:rPr>
          <w:rStyle w:val="FootnoteReference"/>
          <w:noProof/>
        </w:rPr>
        <w:footnoteReference w:id="12"/>
      </w:r>
      <w:r w:rsidR="00E754DF" w:rsidRPr="008D2DC9">
        <w:rPr>
          <w:noProof/>
        </w:rPr>
        <w:t xml:space="preserve">, </w:t>
      </w:r>
      <w:r w:rsidR="007D316D">
        <w:rPr>
          <w:noProof/>
        </w:rPr>
        <w:t>an</w:t>
      </w:r>
      <w:r w:rsidR="00E754DF" w:rsidRPr="008D2DC9">
        <w:rPr>
          <w:noProof/>
        </w:rPr>
        <w:t xml:space="preserve"> infringement procedure</w:t>
      </w:r>
      <w:r w:rsidR="004843E8" w:rsidRPr="008D2DC9">
        <w:rPr>
          <w:noProof/>
        </w:rPr>
        <w:t>s</w:t>
      </w:r>
      <w:r w:rsidR="007D316D">
        <w:rPr>
          <w:noProof/>
        </w:rPr>
        <w:t xml:space="preserve"> for incorrect transposition of the Directive was launched against </w:t>
      </w:r>
      <w:r>
        <w:rPr>
          <w:noProof/>
        </w:rPr>
        <w:t xml:space="preserve">18 </w:t>
      </w:r>
      <w:r w:rsidR="007D316D">
        <w:rPr>
          <w:noProof/>
        </w:rPr>
        <w:t>Member States</w:t>
      </w:r>
      <w:r w:rsidR="00E754DF" w:rsidRPr="008D2DC9">
        <w:rPr>
          <w:noProof/>
        </w:rPr>
        <w:t xml:space="preserve">. </w:t>
      </w:r>
    </w:p>
    <w:p w:rsidR="00E754DF" w:rsidRDefault="00E754DF" w:rsidP="00FE789E">
      <w:pPr>
        <w:rPr>
          <w:noProof/>
        </w:rPr>
      </w:pPr>
      <w:r w:rsidRPr="000625DC">
        <w:rPr>
          <w:noProof/>
        </w:rPr>
        <w:t xml:space="preserve">Alongside </w:t>
      </w:r>
      <w:r w:rsidR="007D316D">
        <w:rPr>
          <w:noProof/>
        </w:rPr>
        <w:t>Czechia</w:t>
      </w:r>
      <w:r w:rsidRPr="000625DC">
        <w:rPr>
          <w:noProof/>
        </w:rPr>
        <w:t>, wh</w:t>
      </w:r>
      <w:r w:rsidR="004843E8">
        <w:rPr>
          <w:noProof/>
        </w:rPr>
        <w:t xml:space="preserve">ose </w:t>
      </w:r>
      <w:r w:rsidRPr="000625DC">
        <w:rPr>
          <w:noProof/>
        </w:rPr>
        <w:t xml:space="preserve">infringement procedure </w:t>
      </w:r>
      <w:r w:rsidR="004843E8">
        <w:rPr>
          <w:noProof/>
        </w:rPr>
        <w:t xml:space="preserve">was </w:t>
      </w:r>
      <w:r w:rsidRPr="000625DC">
        <w:rPr>
          <w:noProof/>
        </w:rPr>
        <w:t xml:space="preserve">closed in 2022, many of these countries </w:t>
      </w:r>
      <w:r w:rsidR="004843E8">
        <w:rPr>
          <w:noProof/>
        </w:rPr>
        <w:t xml:space="preserve">expected to be in full compliance </w:t>
      </w:r>
      <w:r w:rsidRPr="000625DC">
        <w:rPr>
          <w:noProof/>
        </w:rPr>
        <w:t xml:space="preserve">with the PIF Directive </w:t>
      </w:r>
      <w:r w:rsidR="007D316D">
        <w:rPr>
          <w:noProof/>
        </w:rPr>
        <w:t>in the coming months</w:t>
      </w:r>
      <w:r w:rsidRPr="000625DC">
        <w:rPr>
          <w:noProof/>
        </w:rPr>
        <w:t xml:space="preserve">. </w:t>
      </w:r>
    </w:p>
    <w:p w:rsidR="00FE789E" w:rsidRDefault="00E754DF" w:rsidP="00C21AF5">
      <w:pPr>
        <w:pStyle w:val="Heading2"/>
        <w:rPr>
          <w:noProof/>
        </w:rPr>
      </w:pPr>
      <w:bookmarkStart w:id="12" w:name="_Toc137736183"/>
      <w:r w:rsidRPr="000625DC">
        <w:rPr>
          <w:noProof/>
        </w:rPr>
        <w:t>Revision of the action plan</w:t>
      </w:r>
      <w:r>
        <w:rPr>
          <w:noProof/>
        </w:rPr>
        <w:t xml:space="preserve"> accompanying the Commission anti-fraud strategy</w:t>
      </w:r>
      <w:bookmarkEnd w:id="12"/>
    </w:p>
    <w:p w:rsidR="006C1E6D" w:rsidRPr="006C1E6D" w:rsidRDefault="00E754DF" w:rsidP="006C1E6D">
      <w:pPr>
        <w:rPr>
          <w:noProof/>
        </w:rPr>
      </w:pPr>
      <w:r w:rsidRPr="000625DC">
        <w:rPr>
          <w:noProof/>
        </w:rPr>
        <w:t>The current CAFS, adopted in 2019, seeks to further improve the prevention, detection and sanctioning of fraud</w:t>
      </w:r>
      <w:r w:rsidR="00BF7DC4">
        <w:rPr>
          <w:noProof/>
        </w:rPr>
        <w:t>,</w:t>
      </w:r>
      <w:r w:rsidRPr="000625DC">
        <w:rPr>
          <w:noProof/>
        </w:rPr>
        <w:t xml:space="preserve"> and </w:t>
      </w:r>
      <w:r w:rsidR="0074626A">
        <w:rPr>
          <w:noProof/>
        </w:rPr>
        <w:t xml:space="preserve">provides a framework for </w:t>
      </w:r>
      <w:r w:rsidRPr="000625DC">
        <w:rPr>
          <w:noProof/>
        </w:rPr>
        <w:t>the Commission’s ongoing efforts to decrease the level of fraud against the EU budget. It is accompanied by an action plan with 63 actions addressed to the Commission, of which 60 had been completed by the end of 2022 (or, whe</w:t>
      </w:r>
      <w:r w:rsidR="00DE1F31">
        <w:rPr>
          <w:noProof/>
        </w:rPr>
        <w:t>n</w:t>
      </w:r>
      <w:r w:rsidR="0074626A">
        <w:rPr>
          <w:noProof/>
        </w:rPr>
        <w:t xml:space="preserve"> they are </w:t>
      </w:r>
      <w:r w:rsidRPr="000625DC">
        <w:rPr>
          <w:noProof/>
        </w:rPr>
        <w:t xml:space="preserve">of a continuous nature, are ongoing). To ensure sustained anti-fraud efforts </w:t>
      </w:r>
      <w:r w:rsidR="0074626A">
        <w:rPr>
          <w:noProof/>
        </w:rPr>
        <w:t xml:space="preserve">on the part of </w:t>
      </w:r>
      <w:r w:rsidRPr="000625DC">
        <w:rPr>
          <w:noProof/>
        </w:rPr>
        <w:t xml:space="preserve">the Commission and address new challenges, OLAF </w:t>
      </w:r>
      <w:r w:rsidR="0074626A">
        <w:rPr>
          <w:noProof/>
        </w:rPr>
        <w:t>began</w:t>
      </w:r>
      <w:r w:rsidR="0074626A" w:rsidRPr="000625DC">
        <w:rPr>
          <w:noProof/>
        </w:rPr>
        <w:t xml:space="preserve"> </w:t>
      </w:r>
      <w:r w:rsidRPr="000625DC">
        <w:rPr>
          <w:noProof/>
        </w:rPr>
        <w:t>preparations for a revision of the action plan in 2022.</w:t>
      </w:r>
    </w:p>
    <w:p w:rsidR="00FE789E" w:rsidRDefault="00E754DF" w:rsidP="00C21AF5">
      <w:pPr>
        <w:pStyle w:val="Heading2"/>
        <w:rPr>
          <w:noProof/>
        </w:rPr>
      </w:pPr>
      <w:bookmarkStart w:id="13" w:name="_Toc134557978"/>
      <w:bookmarkStart w:id="14" w:name="_Toc137736184"/>
      <w:r w:rsidRPr="000625DC">
        <w:rPr>
          <w:noProof/>
        </w:rPr>
        <w:t>The Union anti-fraud programme</w:t>
      </w:r>
      <w:bookmarkEnd w:id="13"/>
      <w:bookmarkEnd w:id="14"/>
    </w:p>
    <w:p w:rsidR="00E754DF" w:rsidRDefault="00E754DF" w:rsidP="00E754DF">
      <w:pPr>
        <w:rPr>
          <w:noProof/>
        </w:rPr>
      </w:pPr>
      <w:r w:rsidRPr="000625DC">
        <w:rPr>
          <w:noProof/>
        </w:rPr>
        <w:t xml:space="preserve">The Union Anti-Fraud Programme (UAFP), with a budget of EUR 181 million for the period 2021-2027, provides financial support for the protection </w:t>
      </w:r>
      <w:r w:rsidR="00F67C32">
        <w:rPr>
          <w:noProof/>
        </w:rPr>
        <w:t xml:space="preserve">by the Member States </w:t>
      </w:r>
      <w:r w:rsidRPr="000625DC">
        <w:rPr>
          <w:noProof/>
        </w:rPr>
        <w:t>of the EU’s financial interests; for the organisation of mutual administrative assistance and cooperation in customs and agricultural matters (AFIS component); and for the development and maintenance of the Irregularity Management System (IMS) for the reporting of irregularities by Member States.</w:t>
      </w:r>
    </w:p>
    <w:p w:rsidR="00E754DF" w:rsidRDefault="00E754DF" w:rsidP="00E754DF">
      <w:pPr>
        <w:rPr>
          <w:noProof/>
        </w:rPr>
      </w:pPr>
      <w:r w:rsidRPr="000625DC">
        <w:rPr>
          <w:noProof/>
        </w:rPr>
        <w:t xml:space="preserve">The 2022 Financing Decision allocated EUR 15.4 million to the </w:t>
      </w:r>
      <w:r w:rsidR="00402352">
        <w:rPr>
          <w:noProof/>
        </w:rPr>
        <w:t>Hercule</w:t>
      </w:r>
      <w:r w:rsidR="00897236">
        <w:rPr>
          <w:noProof/>
        </w:rPr>
        <w:t xml:space="preserve"> </w:t>
      </w:r>
      <w:r w:rsidRPr="000625DC">
        <w:rPr>
          <w:noProof/>
        </w:rPr>
        <w:t xml:space="preserve">component, EUR 9 million for the AFIS component and about EUR 1 million for the IMS </w:t>
      </w:r>
      <w:r w:rsidR="00DE1F31">
        <w:rPr>
          <w:noProof/>
        </w:rPr>
        <w:t>component</w:t>
      </w:r>
      <w:r w:rsidRPr="000625DC">
        <w:rPr>
          <w:noProof/>
        </w:rPr>
        <w:t>. The available funds were successfully implemented in 2022, using the various financing instruments available:</w:t>
      </w:r>
    </w:p>
    <w:p w:rsidR="00E754DF" w:rsidRDefault="00E754DF" w:rsidP="00E754DF">
      <w:pPr>
        <w:pStyle w:val="ListParagraph"/>
        <w:numPr>
          <w:ilvl w:val="0"/>
          <w:numId w:val="27"/>
        </w:numPr>
        <w:jc w:val="both"/>
        <w:rPr>
          <w:rFonts w:ascii="Times New Roman" w:hAnsi="Times New Roman"/>
          <w:noProof/>
        </w:rPr>
      </w:pPr>
      <w:r w:rsidRPr="00E754DF">
        <w:rPr>
          <w:rFonts w:ascii="Times New Roman" w:hAnsi="Times New Roman"/>
          <w:noProof/>
        </w:rPr>
        <w:t>Two calls for proposals were published and evaluated, with 38 grants awarded to Member States</w:t>
      </w:r>
      <w:r w:rsidR="00F67C32">
        <w:rPr>
          <w:rFonts w:ascii="Times New Roman" w:hAnsi="Times New Roman"/>
          <w:noProof/>
        </w:rPr>
        <w:t>’</w:t>
      </w:r>
      <w:r w:rsidRPr="00E754DF">
        <w:rPr>
          <w:rFonts w:ascii="Times New Roman" w:hAnsi="Times New Roman"/>
          <w:noProof/>
        </w:rPr>
        <w:t xml:space="preserve"> authorities, universities and research institutes;</w:t>
      </w:r>
    </w:p>
    <w:p w:rsidR="00E754DF" w:rsidRPr="00E754DF" w:rsidRDefault="00E754DF" w:rsidP="00E754DF">
      <w:pPr>
        <w:pStyle w:val="ListParagraph"/>
        <w:numPr>
          <w:ilvl w:val="0"/>
          <w:numId w:val="27"/>
        </w:numPr>
        <w:jc w:val="both"/>
        <w:rPr>
          <w:rFonts w:ascii="Times New Roman" w:hAnsi="Times New Roman"/>
          <w:noProof/>
        </w:rPr>
      </w:pPr>
      <w:r w:rsidRPr="00E754DF">
        <w:rPr>
          <w:rFonts w:ascii="Times New Roman" w:hAnsi="Times New Roman"/>
          <w:noProof/>
        </w:rPr>
        <w:t>The programme also funded various activities to benefit the Member States authorities, such as specialised forensic and analyst training and access to commercial databases;</w:t>
      </w:r>
    </w:p>
    <w:p w:rsidR="00E754DF" w:rsidRPr="00E754DF" w:rsidRDefault="00E754DF" w:rsidP="00E754DF">
      <w:pPr>
        <w:pStyle w:val="ListParagraph"/>
        <w:numPr>
          <w:ilvl w:val="0"/>
          <w:numId w:val="27"/>
        </w:numPr>
        <w:jc w:val="both"/>
        <w:rPr>
          <w:rFonts w:ascii="Times New Roman" w:hAnsi="Times New Roman"/>
          <w:noProof/>
        </w:rPr>
      </w:pPr>
      <w:r w:rsidRPr="00E754DF">
        <w:rPr>
          <w:rFonts w:ascii="Times New Roman" w:hAnsi="Times New Roman"/>
          <w:noProof/>
        </w:rPr>
        <w:t xml:space="preserve">Administrative arrangements </w:t>
      </w:r>
      <w:r w:rsidR="000662AA">
        <w:rPr>
          <w:rFonts w:ascii="Times New Roman" w:hAnsi="Times New Roman"/>
          <w:noProof/>
        </w:rPr>
        <w:t>have been</w:t>
      </w:r>
      <w:r w:rsidR="000662AA" w:rsidRPr="00E754DF">
        <w:rPr>
          <w:rFonts w:ascii="Times New Roman" w:hAnsi="Times New Roman"/>
          <w:noProof/>
        </w:rPr>
        <w:t xml:space="preserve"> </w:t>
      </w:r>
      <w:r w:rsidRPr="00E754DF">
        <w:rPr>
          <w:rFonts w:ascii="Times New Roman" w:hAnsi="Times New Roman"/>
          <w:noProof/>
        </w:rPr>
        <w:t xml:space="preserve">concluded with the Joint Research Centre, providing specialised analytical support </w:t>
      </w:r>
      <w:r w:rsidR="000662AA">
        <w:rPr>
          <w:rFonts w:ascii="Times New Roman" w:hAnsi="Times New Roman"/>
          <w:noProof/>
        </w:rPr>
        <w:t xml:space="preserve">for </w:t>
      </w:r>
      <w:r w:rsidRPr="00E754DF">
        <w:rPr>
          <w:rFonts w:ascii="Times New Roman" w:hAnsi="Times New Roman"/>
          <w:noProof/>
        </w:rPr>
        <w:t xml:space="preserve">research </w:t>
      </w:r>
      <w:r w:rsidR="000662AA">
        <w:rPr>
          <w:rFonts w:ascii="Times New Roman" w:hAnsi="Times New Roman"/>
          <w:noProof/>
        </w:rPr>
        <w:t xml:space="preserve">into </w:t>
      </w:r>
      <w:r w:rsidRPr="00E754DF">
        <w:rPr>
          <w:rFonts w:ascii="Times New Roman" w:hAnsi="Times New Roman"/>
          <w:noProof/>
        </w:rPr>
        <w:t xml:space="preserve">new methods </w:t>
      </w:r>
      <w:r w:rsidR="000662AA">
        <w:rPr>
          <w:rFonts w:ascii="Times New Roman" w:hAnsi="Times New Roman"/>
          <w:noProof/>
        </w:rPr>
        <w:t xml:space="preserve">for identifying </w:t>
      </w:r>
      <w:r w:rsidRPr="00E754DF">
        <w:rPr>
          <w:rFonts w:ascii="Times New Roman" w:hAnsi="Times New Roman"/>
          <w:noProof/>
        </w:rPr>
        <w:t>potential customs fraud and, as appropriate</w:t>
      </w:r>
      <w:r w:rsidR="000662AA">
        <w:rPr>
          <w:rFonts w:ascii="Times New Roman" w:hAnsi="Times New Roman"/>
          <w:noProof/>
        </w:rPr>
        <w:t>,</w:t>
      </w:r>
      <w:r w:rsidRPr="00E754DF">
        <w:rPr>
          <w:rFonts w:ascii="Times New Roman" w:hAnsi="Times New Roman"/>
          <w:noProof/>
        </w:rPr>
        <w:t xml:space="preserve"> developing associated IT tools for Member States</w:t>
      </w:r>
      <w:r w:rsidR="000662AA">
        <w:rPr>
          <w:rFonts w:ascii="Times New Roman" w:hAnsi="Times New Roman"/>
          <w:noProof/>
        </w:rPr>
        <w:t>’</w:t>
      </w:r>
      <w:r w:rsidRPr="00E754DF">
        <w:rPr>
          <w:rFonts w:ascii="Times New Roman" w:hAnsi="Times New Roman"/>
          <w:noProof/>
        </w:rPr>
        <w:t xml:space="preserve"> authorities (e.g. automated monitoring tool, container movement analytics, and tobacco analyses).</w:t>
      </w:r>
    </w:p>
    <w:p w:rsidR="00A60BF1" w:rsidRDefault="00A60BF1" w:rsidP="00A60BF1">
      <w:pPr>
        <w:pStyle w:val="Heading2"/>
        <w:rPr>
          <w:noProof/>
        </w:rPr>
      </w:pPr>
      <w:bookmarkStart w:id="15" w:name="_Toc137736185"/>
      <w:bookmarkStart w:id="16" w:name="_Toc134557979"/>
      <w:r>
        <w:rPr>
          <w:noProof/>
        </w:rPr>
        <w:t>EU programmes concerning Customs and Taxation</w:t>
      </w:r>
      <w:bookmarkEnd w:id="15"/>
    </w:p>
    <w:p w:rsidR="00A60BF1" w:rsidRDefault="00A60BF1" w:rsidP="00A60BF1">
      <w:pPr>
        <w:pStyle w:val="Heading3"/>
        <w:rPr>
          <w:noProof/>
        </w:rPr>
      </w:pPr>
      <w:bookmarkStart w:id="17" w:name="_Toc137736186"/>
      <w:r>
        <w:rPr>
          <w:noProof/>
        </w:rPr>
        <w:t>Fiscalis programme</w:t>
      </w:r>
      <w:bookmarkEnd w:id="17"/>
    </w:p>
    <w:p w:rsidR="00A60BF1" w:rsidRPr="00C2785F" w:rsidRDefault="00A60BF1" w:rsidP="00A60BF1">
      <w:pPr>
        <w:rPr>
          <w:rStyle w:val="normaltextrun"/>
          <w:noProof/>
          <w:szCs w:val="22"/>
        </w:rPr>
      </w:pPr>
      <w:r w:rsidRPr="00C2785F">
        <w:rPr>
          <w:rStyle w:val="normaltextrun"/>
          <w:noProof/>
          <w:szCs w:val="22"/>
        </w:rPr>
        <w:t xml:space="preserve">The Fiscalis programme aims to support tax authorities to enhance the functioning of the internal market, foster competitiveness, fight tax fraud, tax evasion and tax avoidance and improve tax collection, thus helping to protect the financial interests of Member States and taxpayers. The </w:t>
      </w:r>
      <w:r w:rsidR="00DE1F31">
        <w:rPr>
          <w:rStyle w:val="normaltextrun"/>
          <w:noProof/>
          <w:szCs w:val="22"/>
        </w:rPr>
        <w:t>p</w:t>
      </w:r>
      <w:r w:rsidRPr="00C2785F">
        <w:rPr>
          <w:rStyle w:val="normaltextrun"/>
          <w:noProof/>
          <w:szCs w:val="22"/>
        </w:rPr>
        <w:t>rogramme supports the relevant authorities to implement EU law in the field of taxation by ensuring exchange of information, supporting administrative cooperation and helping to reduce the administrative burden of tax authorities and compliance costs for taxpayers when needed.</w:t>
      </w:r>
    </w:p>
    <w:p w:rsidR="00A60BF1" w:rsidRPr="00C2785F" w:rsidRDefault="00A60BF1" w:rsidP="00A60BF1">
      <w:pPr>
        <w:rPr>
          <w:rStyle w:val="normaltextrun"/>
          <w:noProof/>
          <w:szCs w:val="22"/>
        </w:rPr>
      </w:pPr>
      <w:r w:rsidRPr="00C2785F">
        <w:rPr>
          <w:noProof/>
        </w:rPr>
        <w:t xml:space="preserve">In 2022 </w:t>
      </w:r>
      <w:r w:rsidRPr="00C2785F">
        <w:rPr>
          <w:rStyle w:val="normaltextrun"/>
          <w:noProof/>
          <w:szCs w:val="22"/>
        </w:rPr>
        <w:t xml:space="preserve">the Fiscalis </w:t>
      </w:r>
      <w:r w:rsidR="00DE1F31">
        <w:rPr>
          <w:rStyle w:val="normaltextrun"/>
          <w:noProof/>
          <w:szCs w:val="22"/>
        </w:rPr>
        <w:t>p</w:t>
      </w:r>
      <w:r w:rsidRPr="00C2785F">
        <w:rPr>
          <w:rStyle w:val="normaltextrun"/>
          <w:noProof/>
          <w:szCs w:val="22"/>
        </w:rPr>
        <w:t xml:space="preserve">rogramme continued its activities in the field of taxation, including as regards digital transition. </w:t>
      </w:r>
      <w:r w:rsidRPr="00C2785F">
        <w:rPr>
          <w:noProof/>
        </w:rPr>
        <w:t>For example, the programme funded activities that support the automatic exchange of information, enabling tax administrations to strengthen their capacity of tackling tax fraud, tax evasion and aggressive tax planning.</w:t>
      </w:r>
    </w:p>
    <w:p w:rsidR="00A60BF1" w:rsidRDefault="00A60BF1" w:rsidP="00A60BF1">
      <w:pPr>
        <w:pStyle w:val="Heading3"/>
        <w:rPr>
          <w:noProof/>
        </w:rPr>
      </w:pPr>
      <w:bookmarkStart w:id="18" w:name="_Toc137736187"/>
      <w:r>
        <w:rPr>
          <w:noProof/>
        </w:rPr>
        <w:t>Customs programme</w:t>
      </w:r>
      <w:bookmarkEnd w:id="18"/>
    </w:p>
    <w:p w:rsidR="00A60BF1" w:rsidRPr="00C2785F" w:rsidRDefault="00A60BF1" w:rsidP="00A60BF1">
      <w:pPr>
        <w:rPr>
          <w:rStyle w:val="normaltextrun"/>
          <w:noProof/>
          <w:szCs w:val="22"/>
        </w:rPr>
      </w:pPr>
      <w:r w:rsidRPr="00C2785F">
        <w:rPr>
          <w:rStyle w:val="normaltextrun"/>
          <w:noProof/>
          <w:szCs w:val="22"/>
        </w:rPr>
        <w:t xml:space="preserve">The EU Customs programme supports the development and operation of the central IT systems for customs in the European Union. The </w:t>
      </w:r>
      <w:r w:rsidR="00DE1F31">
        <w:rPr>
          <w:rStyle w:val="normaltextrun"/>
          <w:noProof/>
          <w:szCs w:val="22"/>
        </w:rPr>
        <w:t>p</w:t>
      </w:r>
      <w:r w:rsidRPr="00C2785F">
        <w:rPr>
          <w:rStyle w:val="normaltextrun"/>
          <w:noProof/>
          <w:szCs w:val="22"/>
        </w:rPr>
        <w:t>rogramme aims to protect the financial and economic interests of the EU and its Member States,</w:t>
      </w:r>
    </w:p>
    <w:p w:rsidR="00A60BF1" w:rsidRPr="00C2785F" w:rsidRDefault="00A60BF1" w:rsidP="00A60BF1">
      <w:pPr>
        <w:rPr>
          <w:rStyle w:val="normaltextrun"/>
          <w:noProof/>
          <w:szCs w:val="22"/>
        </w:rPr>
      </w:pPr>
      <w:r w:rsidRPr="00C2785F">
        <w:rPr>
          <w:rStyle w:val="normaltextrun"/>
          <w:noProof/>
          <w:szCs w:val="22"/>
        </w:rPr>
        <w:t>In 2022, the Customs programme continued its activities in line with the policy priorities of the Union, in particular as regards the digital and green transition, and with a view to supporting the smooth functioning of the customs union. Notably, in terms of IT systems, in 2022 the Customs Risk Management System 2 (CRMS) started to operate, allowing a real-time exchange of risk-related information between Member States’ customs administrations, enabling major improvements in the sharing of risk information and communication between experts of the Member States dealing with risks and risk management.</w:t>
      </w:r>
    </w:p>
    <w:p w:rsidR="00A60BF1" w:rsidRDefault="00A60BF1" w:rsidP="00A60BF1">
      <w:pPr>
        <w:pStyle w:val="Heading3"/>
        <w:rPr>
          <w:noProof/>
        </w:rPr>
      </w:pPr>
      <w:bookmarkStart w:id="19" w:name="_Toc137736188"/>
      <w:r w:rsidRPr="008E510C">
        <w:rPr>
          <w:noProof/>
        </w:rPr>
        <w:t xml:space="preserve">The Customs Control Equipment Instrument </w:t>
      </w:r>
      <w:r>
        <w:rPr>
          <w:noProof/>
        </w:rPr>
        <w:t>programme</w:t>
      </w:r>
      <w:bookmarkEnd w:id="19"/>
    </w:p>
    <w:p w:rsidR="00A60BF1" w:rsidRPr="00C2785F" w:rsidRDefault="00A60BF1" w:rsidP="00A60BF1">
      <w:pPr>
        <w:rPr>
          <w:rStyle w:val="normaltextrun"/>
          <w:noProof/>
          <w:szCs w:val="22"/>
        </w:rPr>
      </w:pPr>
      <w:r w:rsidRPr="00C2785F">
        <w:rPr>
          <w:rStyle w:val="normaltextrun"/>
          <w:noProof/>
          <w:szCs w:val="22"/>
        </w:rPr>
        <w:t xml:space="preserve">The </w:t>
      </w:r>
      <w:r w:rsidRPr="00C2785F">
        <w:rPr>
          <w:noProof/>
        </w:rPr>
        <w:t>Customs Control Equipment Instrument programme</w:t>
      </w:r>
      <w:r w:rsidRPr="00C2785F">
        <w:rPr>
          <w:rStyle w:val="normaltextrun"/>
          <w:noProof/>
          <w:szCs w:val="22"/>
        </w:rPr>
        <w:t xml:space="preserve"> (CCEI) supports the purchasing, maintenance and upgrading of customs control equipment for non-intrusive inspection, identification of hidden objects on humans, radiation detection, nuclide identification, analysis of samples in laboratories, sampling and field analysis of samples, along with handheld search tools and other types of innovative non-intrusive detection technology equipment. </w:t>
      </w:r>
    </w:p>
    <w:p w:rsidR="00A60BF1" w:rsidRPr="00C2785F" w:rsidRDefault="00A60BF1" w:rsidP="00A60BF1">
      <w:pPr>
        <w:rPr>
          <w:noProof/>
        </w:rPr>
      </w:pPr>
      <w:r w:rsidRPr="00C2785F">
        <w:rPr>
          <w:rStyle w:val="normaltextrun"/>
          <w:noProof/>
          <w:szCs w:val="22"/>
        </w:rPr>
        <w:t xml:space="preserve">In 2022, grants signed under the first CCEI Multi-Annual Work Programme committed EUR 273.5 million of </w:t>
      </w:r>
      <w:r w:rsidR="00DE1F31">
        <w:rPr>
          <w:rStyle w:val="normaltextrun"/>
          <w:noProof/>
          <w:szCs w:val="22"/>
        </w:rPr>
        <w:t>EU</w:t>
      </w:r>
      <w:r w:rsidRPr="00C2785F">
        <w:rPr>
          <w:rStyle w:val="normaltextrun"/>
          <w:noProof/>
          <w:szCs w:val="22"/>
        </w:rPr>
        <w:t xml:space="preserve"> funding to co-finance the purchase, maintenance, and upgrade of state-of-the-art customs control equipment in border crossing points and customs laboratories across the Union.</w:t>
      </w:r>
    </w:p>
    <w:p w:rsidR="00FE789E" w:rsidRDefault="000662AA" w:rsidP="00C21AF5">
      <w:pPr>
        <w:pStyle w:val="Heading2"/>
        <w:rPr>
          <w:noProof/>
        </w:rPr>
      </w:pPr>
      <w:bookmarkStart w:id="20" w:name="_Toc137736189"/>
      <w:r>
        <w:rPr>
          <w:noProof/>
        </w:rPr>
        <w:t xml:space="preserve">The </w:t>
      </w:r>
      <w:r w:rsidR="00E754DF" w:rsidRPr="000625DC">
        <w:rPr>
          <w:noProof/>
        </w:rPr>
        <w:t xml:space="preserve">European Parliament’s resolution on </w:t>
      </w:r>
      <w:r w:rsidR="00E754DF">
        <w:rPr>
          <w:noProof/>
        </w:rPr>
        <w:t xml:space="preserve">the </w:t>
      </w:r>
      <w:r>
        <w:rPr>
          <w:noProof/>
        </w:rPr>
        <w:t xml:space="preserve">2021 </w:t>
      </w:r>
      <w:r w:rsidR="00E754DF" w:rsidRPr="000625DC">
        <w:rPr>
          <w:noProof/>
        </w:rPr>
        <w:t>PIF Report</w:t>
      </w:r>
      <w:bookmarkEnd w:id="16"/>
      <w:bookmarkEnd w:id="20"/>
    </w:p>
    <w:p w:rsidR="00FE789E" w:rsidRDefault="00E754DF" w:rsidP="00FE789E">
      <w:pPr>
        <w:rPr>
          <w:noProof/>
        </w:rPr>
      </w:pPr>
      <w:r w:rsidRPr="000625DC">
        <w:rPr>
          <w:noProof/>
        </w:rPr>
        <w:t>On 19 January 2023 the European Parliament adopted its resolution on the protection of the EU’s financial interests for the year 2021</w:t>
      </w:r>
      <w:r w:rsidRPr="000625DC">
        <w:rPr>
          <w:rStyle w:val="FootnoteReference"/>
          <w:noProof/>
        </w:rPr>
        <w:footnoteReference w:id="13"/>
      </w:r>
      <w:r w:rsidRPr="000625DC">
        <w:rPr>
          <w:noProof/>
        </w:rPr>
        <w:t>.</w:t>
      </w:r>
    </w:p>
    <w:p w:rsidR="008F6819" w:rsidRDefault="008F6819" w:rsidP="00FE789E">
      <w:pPr>
        <w:rPr>
          <w:noProof/>
        </w:rPr>
      </w:pPr>
      <w:r w:rsidRPr="000625DC">
        <w:rPr>
          <w:noProof/>
        </w:rPr>
        <w:t xml:space="preserve">The </w:t>
      </w:r>
      <w:r>
        <w:rPr>
          <w:noProof/>
        </w:rPr>
        <w:t>R</w:t>
      </w:r>
      <w:r w:rsidRPr="000625DC">
        <w:rPr>
          <w:noProof/>
        </w:rPr>
        <w:t>esolution welcome</w:t>
      </w:r>
      <w:r>
        <w:rPr>
          <w:noProof/>
        </w:rPr>
        <w:t>d</w:t>
      </w:r>
      <w:r w:rsidRPr="000625DC">
        <w:rPr>
          <w:noProof/>
        </w:rPr>
        <w:t xml:space="preserve"> the Commission's efforts </w:t>
      </w:r>
      <w:r w:rsidR="000662AA">
        <w:rPr>
          <w:noProof/>
        </w:rPr>
        <w:t>on</w:t>
      </w:r>
      <w:r w:rsidR="000662AA" w:rsidRPr="000625DC">
        <w:rPr>
          <w:noProof/>
        </w:rPr>
        <w:t xml:space="preserve"> </w:t>
      </w:r>
      <w:r w:rsidRPr="000625DC">
        <w:rPr>
          <w:noProof/>
        </w:rPr>
        <w:t>the protection of the EU’s financial interests and recommend</w:t>
      </w:r>
      <w:r>
        <w:rPr>
          <w:noProof/>
        </w:rPr>
        <w:t>ed</w:t>
      </w:r>
      <w:r w:rsidRPr="000625DC">
        <w:rPr>
          <w:noProof/>
        </w:rPr>
        <w:t xml:space="preserve"> further action in a variety of fields related to the fight against fraud. The resolution note</w:t>
      </w:r>
      <w:r>
        <w:rPr>
          <w:noProof/>
        </w:rPr>
        <w:t>d</w:t>
      </w:r>
      <w:r w:rsidRPr="000625DC">
        <w:rPr>
          <w:noProof/>
        </w:rPr>
        <w:t xml:space="preserve"> that Parliament should </w:t>
      </w:r>
      <w:r w:rsidR="000662AA">
        <w:rPr>
          <w:noProof/>
        </w:rPr>
        <w:t>play</w:t>
      </w:r>
      <w:r w:rsidR="000662AA" w:rsidRPr="000625DC">
        <w:rPr>
          <w:noProof/>
        </w:rPr>
        <w:t xml:space="preserve"> </w:t>
      </w:r>
      <w:r w:rsidRPr="000625DC">
        <w:rPr>
          <w:noProof/>
        </w:rPr>
        <w:t xml:space="preserve">a </w:t>
      </w:r>
      <w:r w:rsidR="000662AA">
        <w:rPr>
          <w:noProof/>
        </w:rPr>
        <w:t>significant</w:t>
      </w:r>
      <w:r w:rsidR="000662AA" w:rsidRPr="000625DC">
        <w:rPr>
          <w:noProof/>
        </w:rPr>
        <w:t xml:space="preserve"> </w:t>
      </w:r>
      <w:r w:rsidRPr="000625DC">
        <w:rPr>
          <w:noProof/>
        </w:rPr>
        <w:t>role in the governance of the RRF and call</w:t>
      </w:r>
      <w:r>
        <w:rPr>
          <w:noProof/>
        </w:rPr>
        <w:t>ed</w:t>
      </w:r>
      <w:r w:rsidRPr="000625DC">
        <w:rPr>
          <w:noProof/>
        </w:rPr>
        <w:t xml:space="preserve"> for enhanced digitalisation, interoperability of data systems and harmonisation of monitoring and reporting in the EU. Parliament highlight</w:t>
      </w:r>
      <w:r>
        <w:rPr>
          <w:noProof/>
        </w:rPr>
        <w:t>ed</w:t>
      </w:r>
      <w:r w:rsidRPr="000625DC">
        <w:rPr>
          <w:noProof/>
        </w:rPr>
        <w:t xml:space="preserve"> major threats to the EU budget, such as </w:t>
      </w:r>
      <w:r w:rsidR="00B37981" w:rsidRPr="000625DC">
        <w:rPr>
          <w:noProof/>
        </w:rPr>
        <w:t xml:space="preserve">cross-border </w:t>
      </w:r>
      <w:r w:rsidRPr="000625DC">
        <w:rPr>
          <w:noProof/>
        </w:rPr>
        <w:t>organised crime and corruption. It also ask</w:t>
      </w:r>
      <w:r>
        <w:rPr>
          <w:noProof/>
        </w:rPr>
        <w:t>ed</w:t>
      </w:r>
      <w:r w:rsidRPr="000625DC">
        <w:rPr>
          <w:noProof/>
        </w:rPr>
        <w:t xml:space="preserve"> the Commission to present a proposal to set up an inter-institutional ethics body, strengthen its internal control mechanisms and introduce a </w:t>
      </w:r>
      <w:r w:rsidR="002D44B2">
        <w:rPr>
          <w:noProof/>
        </w:rPr>
        <w:t>‘</w:t>
      </w:r>
      <w:r w:rsidRPr="000625DC">
        <w:rPr>
          <w:noProof/>
        </w:rPr>
        <w:t>cooling-off period</w:t>
      </w:r>
      <w:r w:rsidR="002D44B2">
        <w:rPr>
          <w:noProof/>
        </w:rPr>
        <w:t>’</w:t>
      </w:r>
      <w:r w:rsidRPr="000625DC">
        <w:rPr>
          <w:noProof/>
        </w:rPr>
        <w:t xml:space="preserve"> to tackle the </w:t>
      </w:r>
      <w:r w:rsidR="002D44B2">
        <w:rPr>
          <w:noProof/>
        </w:rPr>
        <w:t>‘</w:t>
      </w:r>
      <w:r w:rsidRPr="000625DC">
        <w:rPr>
          <w:noProof/>
        </w:rPr>
        <w:t>revolving door</w:t>
      </w:r>
      <w:r w:rsidR="00816329">
        <w:rPr>
          <w:noProof/>
        </w:rPr>
        <w:t>’</w:t>
      </w:r>
      <w:r w:rsidRPr="000625DC">
        <w:rPr>
          <w:noProof/>
        </w:rPr>
        <w:t xml:space="preserve"> phenomenon. Parliament emphasise</w:t>
      </w:r>
      <w:r>
        <w:rPr>
          <w:noProof/>
        </w:rPr>
        <w:t>d</w:t>
      </w:r>
      <w:r w:rsidRPr="000625DC">
        <w:rPr>
          <w:noProof/>
        </w:rPr>
        <w:t xml:space="preserve"> the role of OLAF, the EPPO, Eurojust and Europol in the fight against fraud and corruption and reiterate</w:t>
      </w:r>
      <w:r>
        <w:rPr>
          <w:noProof/>
        </w:rPr>
        <w:t>d</w:t>
      </w:r>
      <w:r w:rsidRPr="000625DC">
        <w:rPr>
          <w:noProof/>
        </w:rPr>
        <w:t xml:space="preserve"> its call </w:t>
      </w:r>
      <w:r w:rsidR="000662AA">
        <w:rPr>
          <w:noProof/>
        </w:rPr>
        <w:t xml:space="preserve">for them to be ensured </w:t>
      </w:r>
      <w:r w:rsidRPr="000625DC">
        <w:rPr>
          <w:noProof/>
        </w:rPr>
        <w:t>adequate resources. Parliament ask</w:t>
      </w:r>
      <w:r>
        <w:rPr>
          <w:noProof/>
        </w:rPr>
        <w:t>ed</w:t>
      </w:r>
      <w:r w:rsidRPr="000625DC">
        <w:rPr>
          <w:noProof/>
        </w:rPr>
        <w:t xml:space="preserve"> the Commission to take the necessary steps to ensure </w:t>
      </w:r>
      <w:r w:rsidR="000662AA">
        <w:rPr>
          <w:noProof/>
        </w:rPr>
        <w:t xml:space="preserve">the </w:t>
      </w:r>
      <w:r w:rsidRPr="000625DC">
        <w:rPr>
          <w:noProof/>
        </w:rPr>
        <w:t xml:space="preserve">effective transposition of </w:t>
      </w:r>
      <w:r>
        <w:rPr>
          <w:noProof/>
        </w:rPr>
        <w:t xml:space="preserve">the </w:t>
      </w:r>
      <w:r w:rsidRPr="000625DC">
        <w:rPr>
          <w:noProof/>
        </w:rPr>
        <w:t>PIF Directive, Directive (EU) 2018/843 (</w:t>
      </w:r>
      <w:r w:rsidR="002D44B2">
        <w:rPr>
          <w:noProof/>
        </w:rPr>
        <w:t>‘</w:t>
      </w:r>
      <w:r w:rsidRPr="000625DC">
        <w:rPr>
          <w:noProof/>
        </w:rPr>
        <w:t xml:space="preserve">5th </w:t>
      </w:r>
      <w:r w:rsidR="000662AA">
        <w:rPr>
          <w:noProof/>
        </w:rPr>
        <w:t>A</w:t>
      </w:r>
      <w:r w:rsidRPr="000625DC">
        <w:rPr>
          <w:noProof/>
        </w:rPr>
        <w:t>nti-</w:t>
      </w:r>
      <w:r w:rsidR="000662AA">
        <w:rPr>
          <w:noProof/>
        </w:rPr>
        <w:t>M</w:t>
      </w:r>
      <w:r w:rsidRPr="000625DC">
        <w:rPr>
          <w:noProof/>
        </w:rPr>
        <w:t xml:space="preserve">oney </w:t>
      </w:r>
      <w:r w:rsidR="000662AA">
        <w:rPr>
          <w:noProof/>
        </w:rPr>
        <w:t>L</w:t>
      </w:r>
      <w:r w:rsidRPr="000625DC">
        <w:rPr>
          <w:noProof/>
        </w:rPr>
        <w:t>aundering Directive</w:t>
      </w:r>
      <w:r w:rsidR="002D44B2">
        <w:rPr>
          <w:noProof/>
        </w:rPr>
        <w:t>’</w:t>
      </w:r>
      <w:r w:rsidRPr="000625DC">
        <w:rPr>
          <w:noProof/>
        </w:rPr>
        <w:t>)</w:t>
      </w:r>
      <w:r>
        <w:rPr>
          <w:rStyle w:val="FootnoteReference"/>
          <w:noProof/>
        </w:rPr>
        <w:footnoteReference w:id="14"/>
      </w:r>
      <w:r w:rsidRPr="000625DC">
        <w:rPr>
          <w:noProof/>
        </w:rPr>
        <w:t xml:space="preserve"> and Directive (EU) 2019/1937 (</w:t>
      </w:r>
      <w:r w:rsidR="002D44B2">
        <w:rPr>
          <w:noProof/>
        </w:rPr>
        <w:t>‘</w:t>
      </w:r>
      <w:r w:rsidRPr="000625DC">
        <w:rPr>
          <w:noProof/>
        </w:rPr>
        <w:t>Whistleblower Directive</w:t>
      </w:r>
      <w:r w:rsidR="002D44B2">
        <w:rPr>
          <w:noProof/>
        </w:rPr>
        <w:t>’</w:t>
      </w:r>
      <w:r w:rsidRPr="000625DC">
        <w:rPr>
          <w:noProof/>
        </w:rPr>
        <w:t>)</w:t>
      </w:r>
      <w:r>
        <w:rPr>
          <w:rStyle w:val="FootnoteReference"/>
          <w:noProof/>
        </w:rPr>
        <w:footnoteReference w:id="15"/>
      </w:r>
      <w:r w:rsidRPr="000625DC">
        <w:rPr>
          <w:noProof/>
        </w:rPr>
        <w:t>. Parliament stresse</w:t>
      </w:r>
      <w:r w:rsidR="000662AA">
        <w:rPr>
          <w:noProof/>
        </w:rPr>
        <w:t>d</w:t>
      </w:r>
      <w:r w:rsidRPr="000625DC">
        <w:rPr>
          <w:noProof/>
        </w:rPr>
        <w:t xml:space="preserve"> that funds spent in non-EU countries should be better controlled.</w:t>
      </w:r>
    </w:p>
    <w:p w:rsidR="000A022B" w:rsidRDefault="000A022B" w:rsidP="005440DB">
      <w:pPr>
        <w:pStyle w:val="Caption"/>
        <w:pBdr>
          <w:top w:val="single" w:sz="4" w:space="1" w:color="auto"/>
          <w:left w:val="single" w:sz="4" w:space="4" w:color="auto"/>
          <w:bottom w:val="single" w:sz="4" w:space="1" w:color="auto"/>
          <w:right w:val="single" w:sz="4" w:space="4" w:color="auto"/>
        </w:pBdr>
        <w:shd w:val="clear" w:color="auto" w:fill="DEEAF6" w:themeFill="accent1" w:themeFillTint="33"/>
        <w:rPr>
          <w:noProof/>
        </w:rPr>
      </w:pPr>
      <w:bookmarkStart w:id="21" w:name="_Toc105777766"/>
      <w:bookmarkStart w:id="22" w:name="_Toc110444009"/>
      <w:r>
        <w:rPr>
          <w:noProof/>
        </w:rPr>
        <w:t xml:space="preserve">Snapshot </w:t>
      </w:r>
      <w:r w:rsidR="00930F4F">
        <w:rPr>
          <w:noProof/>
        </w:rPr>
        <w:fldChar w:fldCharType="begin"/>
      </w:r>
      <w:r w:rsidR="00930F4F">
        <w:rPr>
          <w:noProof/>
        </w:rPr>
        <w:instrText xml:space="preserve"> SEQ Snapshot \* ARABIC </w:instrText>
      </w:r>
      <w:r w:rsidR="00930F4F">
        <w:rPr>
          <w:noProof/>
        </w:rPr>
        <w:fldChar w:fldCharType="separate"/>
      </w:r>
      <w:r w:rsidR="0050435C">
        <w:rPr>
          <w:noProof/>
        </w:rPr>
        <w:t>1</w:t>
      </w:r>
      <w:r w:rsidR="00930F4F">
        <w:rPr>
          <w:noProof/>
        </w:rPr>
        <w:fldChar w:fldCharType="end"/>
      </w:r>
      <w:r>
        <w:rPr>
          <w:noProof/>
        </w:rPr>
        <w:t xml:space="preserve"> - </w:t>
      </w:r>
      <w:bookmarkEnd w:id="21"/>
      <w:bookmarkEnd w:id="22"/>
      <w:r w:rsidR="008F6819" w:rsidRPr="000625DC">
        <w:rPr>
          <w:noProof/>
        </w:rPr>
        <w:t>Commission’s response to the EP resolution</w:t>
      </w:r>
    </w:p>
    <w:p w:rsidR="00CA08E5" w:rsidRDefault="008F6819" w:rsidP="005440DB">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0625DC">
        <w:rPr>
          <w:noProof/>
        </w:rPr>
        <w:t xml:space="preserve">The Commission has already taken action in several areas covered by the resolution. The proposed recast of the </w:t>
      </w:r>
      <w:r w:rsidR="00A463C1">
        <w:rPr>
          <w:noProof/>
        </w:rPr>
        <w:t>F</w:t>
      </w:r>
      <w:r w:rsidRPr="000625DC">
        <w:rPr>
          <w:noProof/>
        </w:rPr>
        <w:t xml:space="preserve">inancial </w:t>
      </w:r>
      <w:r w:rsidR="00A463C1">
        <w:rPr>
          <w:noProof/>
        </w:rPr>
        <w:t>R</w:t>
      </w:r>
      <w:r w:rsidRPr="000625DC">
        <w:rPr>
          <w:noProof/>
        </w:rPr>
        <w:t>egulation</w:t>
      </w:r>
      <w:r w:rsidRPr="000625DC">
        <w:rPr>
          <w:rStyle w:val="FootnoteReference"/>
          <w:noProof/>
        </w:rPr>
        <w:footnoteReference w:id="16"/>
      </w:r>
      <w:r w:rsidRPr="000625DC">
        <w:rPr>
          <w:noProof/>
        </w:rPr>
        <w:t xml:space="preserve"> </w:t>
      </w:r>
      <w:r w:rsidR="00A463C1">
        <w:rPr>
          <w:noProof/>
        </w:rPr>
        <w:t xml:space="preserve">seeks to enhance </w:t>
      </w:r>
      <w:r w:rsidRPr="000625DC">
        <w:rPr>
          <w:noProof/>
        </w:rPr>
        <w:t>the protection of the EU’s financial interests</w:t>
      </w:r>
      <w:r w:rsidR="00A463C1">
        <w:rPr>
          <w:noProof/>
        </w:rPr>
        <w:t>,</w:t>
      </w:r>
      <w:r w:rsidRPr="000625DC">
        <w:rPr>
          <w:noProof/>
        </w:rPr>
        <w:t xml:space="preserve"> </w:t>
      </w:r>
      <w:r w:rsidR="009B4970">
        <w:rPr>
          <w:noProof/>
        </w:rPr>
        <w:t>also through the</w:t>
      </w:r>
      <w:r w:rsidRPr="000625DC">
        <w:rPr>
          <w:noProof/>
        </w:rPr>
        <w:t xml:space="preserve"> digitalisation of the fight against fraud. As announced by President von der Leyen</w:t>
      </w:r>
      <w:r w:rsidRPr="000625DC">
        <w:rPr>
          <w:rStyle w:val="FootnoteReference"/>
          <w:noProof/>
        </w:rPr>
        <w:footnoteReference w:id="17"/>
      </w:r>
      <w:r w:rsidR="00A463C1">
        <w:rPr>
          <w:noProof/>
        </w:rPr>
        <w:t>,</w:t>
      </w:r>
      <w:r w:rsidRPr="000625DC">
        <w:rPr>
          <w:noProof/>
        </w:rPr>
        <w:t xml:space="preserve"> the Commission has recently presented a comprehensive anti-corruption package</w:t>
      </w:r>
      <w:r w:rsidRPr="000625DC">
        <w:rPr>
          <w:rStyle w:val="FootnoteReference"/>
          <w:noProof/>
        </w:rPr>
        <w:footnoteReference w:id="18"/>
      </w:r>
      <w:r w:rsidR="00C8206D">
        <w:rPr>
          <w:noProof/>
        </w:rPr>
        <w:t xml:space="preserve"> </w:t>
      </w:r>
      <w:r w:rsidR="002829F3">
        <w:rPr>
          <w:noProof/>
        </w:rPr>
        <w:t>aim</w:t>
      </w:r>
      <w:r w:rsidR="00A463C1">
        <w:rPr>
          <w:noProof/>
        </w:rPr>
        <w:t>ed at</w:t>
      </w:r>
      <w:r w:rsidR="002829F3">
        <w:rPr>
          <w:noProof/>
        </w:rPr>
        <w:t xml:space="preserve"> preventing corruption and building a culture of integrity, harmonising definitions </w:t>
      </w:r>
      <w:r w:rsidR="00A463C1">
        <w:rPr>
          <w:noProof/>
        </w:rPr>
        <w:t xml:space="preserve">of </w:t>
      </w:r>
      <w:r w:rsidR="002829F3">
        <w:rPr>
          <w:noProof/>
        </w:rPr>
        <w:t>criminal offences, increasing the level of criminal sanctions and ensuring effective investigations and prosecution of corruption</w:t>
      </w:r>
      <w:r w:rsidR="00FD3B2C">
        <w:rPr>
          <w:noProof/>
        </w:rPr>
        <w:t xml:space="preserve"> (including </w:t>
      </w:r>
      <w:r w:rsidR="00A463C1">
        <w:rPr>
          <w:noProof/>
        </w:rPr>
        <w:t xml:space="preserve">in relation to </w:t>
      </w:r>
      <w:r w:rsidR="00FD3B2C">
        <w:rPr>
          <w:noProof/>
        </w:rPr>
        <w:t>the protection of the EU’s financial interests)</w:t>
      </w:r>
      <w:r w:rsidR="002829F3">
        <w:rPr>
          <w:noProof/>
        </w:rPr>
        <w:t xml:space="preserve">. The Commission </w:t>
      </w:r>
      <w:r w:rsidR="00C8206D" w:rsidRPr="00C8206D">
        <w:rPr>
          <w:noProof/>
        </w:rPr>
        <w:t>table</w:t>
      </w:r>
      <w:r w:rsidR="001775C8">
        <w:rPr>
          <w:noProof/>
        </w:rPr>
        <w:t>d</w:t>
      </w:r>
      <w:r w:rsidR="00C8206D" w:rsidRPr="00C8206D">
        <w:rPr>
          <w:noProof/>
        </w:rPr>
        <w:t xml:space="preserve"> a proposal</w:t>
      </w:r>
      <w:r w:rsidR="001775C8">
        <w:rPr>
          <w:rStyle w:val="FootnoteReference"/>
          <w:noProof/>
        </w:rPr>
        <w:footnoteReference w:id="19"/>
      </w:r>
      <w:r w:rsidR="00C8206D" w:rsidRPr="00C8206D">
        <w:rPr>
          <w:noProof/>
        </w:rPr>
        <w:t xml:space="preserve"> for a joint agreement to establish an interinstitutional Ethics Body</w:t>
      </w:r>
      <w:r w:rsidRPr="000625DC">
        <w:rPr>
          <w:noProof/>
        </w:rPr>
        <w:t xml:space="preserve">. </w:t>
      </w:r>
      <w:r w:rsidR="009334E5">
        <w:rPr>
          <w:noProof/>
        </w:rPr>
        <w:t xml:space="preserve">The </w:t>
      </w:r>
      <w:r w:rsidRPr="000625DC">
        <w:rPr>
          <w:noProof/>
        </w:rPr>
        <w:t xml:space="preserve">EPPO </w:t>
      </w:r>
      <w:r w:rsidR="004D2FD4" w:rsidRPr="000625DC">
        <w:rPr>
          <w:noProof/>
        </w:rPr>
        <w:t>ha</w:t>
      </w:r>
      <w:r w:rsidR="004D2FD4">
        <w:rPr>
          <w:noProof/>
        </w:rPr>
        <w:t>s</w:t>
      </w:r>
      <w:r w:rsidR="004D2FD4" w:rsidRPr="000625DC">
        <w:rPr>
          <w:noProof/>
        </w:rPr>
        <w:t xml:space="preserve"> </w:t>
      </w:r>
      <w:r w:rsidRPr="000625DC">
        <w:rPr>
          <w:noProof/>
        </w:rPr>
        <w:t xml:space="preserve">received additional staff </w:t>
      </w:r>
      <w:r w:rsidR="00A463C1">
        <w:rPr>
          <w:noProof/>
        </w:rPr>
        <w:t xml:space="preserve">in order to tackle </w:t>
      </w:r>
      <w:r w:rsidRPr="000625DC">
        <w:rPr>
          <w:noProof/>
        </w:rPr>
        <w:t xml:space="preserve">the increased workload. OLAF will carry out a mapping exercise of the Anti-Fraud Coordination Services (AFCOS) in 2023 </w:t>
      </w:r>
      <w:r w:rsidR="00A463C1">
        <w:rPr>
          <w:noProof/>
        </w:rPr>
        <w:t xml:space="preserve">in order to assess </w:t>
      </w:r>
      <w:r w:rsidRPr="000625DC">
        <w:rPr>
          <w:noProof/>
        </w:rPr>
        <w:t>what</w:t>
      </w:r>
      <w:r w:rsidR="00A463C1">
        <w:rPr>
          <w:noProof/>
        </w:rPr>
        <w:t>, and whether,</w:t>
      </w:r>
      <w:r w:rsidRPr="000625DC">
        <w:rPr>
          <w:noProof/>
        </w:rPr>
        <w:t xml:space="preserve"> further actions are needed to strengthen them</w:t>
      </w:r>
      <w:r w:rsidRPr="000625DC">
        <w:rPr>
          <w:rStyle w:val="FootnoteReference"/>
          <w:noProof/>
        </w:rPr>
        <w:footnoteReference w:id="20"/>
      </w:r>
      <w:r w:rsidRPr="000625DC">
        <w:rPr>
          <w:noProof/>
        </w:rPr>
        <w:t>.</w:t>
      </w:r>
    </w:p>
    <w:p w:rsidR="00242925" w:rsidRPr="00086DC2" w:rsidRDefault="008F6819" w:rsidP="00C21AF5">
      <w:pPr>
        <w:pStyle w:val="Heading2"/>
        <w:rPr>
          <w:noProof/>
        </w:rPr>
      </w:pPr>
      <w:bookmarkStart w:id="23" w:name="_Toc134557980"/>
      <w:bookmarkStart w:id="24" w:name="_Toc137736190"/>
      <w:r w:rsidRPr="00086DC2">
        <w:rPr>
          <w:noProof/>
        </w:rPr>
        <w:t>Other initiatives</w:t>
      </w:r>
      <w:bookmarkEnd w:id="23"/>
      <w:bookmarkEnd w:id="24"/>
    </w:p>
    <w:p w:rsidR="00086DC2" w:rsidRDefault="00086DC2" w:rsidP="00170442">
      <w:pPr>
        <w:pStyle w:val="Heading3"/>
        <w:rPr>
          <w:noProof/>
        </w:rPr>
      </w:pPr>
      <w:bookmarkStart w:id="25" w:name="_Toc137736191"/>
      <w:r>
        <w:rPr>
          <w:noProof/>
        </w:rPr>
        <w:t>Anti-fraud clauses in international agreements</w:t>
      </w:r>
      <w:bookmarkEnd w:id="25"/>
    </w:p>
    <w:p w:rsidR="00086DC2" w:rsidRDefault="00250B2C" w:rsidP="00086DC2">
      <w:pPr>
        <w:rPr>
          <w:noProof/>
        </w:rPr>
      </w:pPr>
      <w:r>
        <w:rPr>
          <w:noProof/>
        </w:rPr>
        <w:t>The a</w:t>
      </w:r>
      <w:r w:rsidR="00086DC2" w:rsidRPr="00086DC2">
        <w:rPr>
          <w:noProof/>
        </w:rPr>
        <w:t>ppropriate anti</w:t>
      </w:r>
      <w:r w:rsidR="003A6490">
        <w:rPr>
          <w:noProof/>
        </w:rPr>
        <w:t>-</w:t>
      </w:r>
      <w:r w:rsidR="00086DC2" w:rsidRPr="00086DC2">
        <w:rPr>
          <w:noProof/>
        </w:rPr>
        <w:t xml:space="preserve">fraud provisions in the international agreements that the EU concludes with its trading partners </w:t>
      </w:r>
      <w:r>
        <w:rPr>
          <w:noProof/>
        </w:rPr>
        <w:t xml:space="preserve">make a </w:t>
      </w:r>
      <w:r w:rsidR="00086DC2" w:rsidRPr="00086DC2">
        <w:rPr>
          <w:noProof/>
        </w:rPr>
        <w:t xml:space="preserve">key contribution to </w:t>
      </w:r>
      <w:r>
        <w:rPr>
          <w:noProof/>
        </w:rPr>
        <w:t xml:space="preserve">protecting the </w:t>
      </w:r>
      <w:r w:rsidR="004C2A2B">
        <w:rPr>
          <w:noProof/>
        </w:rPr>
        <w:t>EU</w:t>
      </w:r>
      <w:r w:rsidR="004C2A2B" w:rsidRPr="00086DC2">
        <w:rPr>
          <w:noProof/>
        </w:rPr>
        <w:t xml:space="preserve">’s </w:t>
      </w:r>
      <w:r w:rsidR="00086DC2" w:rsidRPr="00086DC2">
        <w:rPr>
          <w:noProof/>
        </w:rPr>
        <w:t>financial interests. In 2022, the Commission negotiated mutual administrative assistance (MAA) provisions and effective anti</w:t>
      </w:r>
      <w:r>
        <w:rPr>
          <w:noProof/>
        </w:rPr>
        <w:t>-</w:t>
      </w:r>
      <w:r w:rsidR="00086DC2" w:rsidRPr="00086DC2">
        <w:rPr>
          <w:noProof/>
        </w:rPr>
        <w:t>fraud measures in four international agreements</w:t>
      </w:r>
      <w:r w:rsidR="0093150A">
        <w:rPr>
          <w:rStyle w:val="FootnoteReference"/>
          <w:noProof/>
        </w:rPr>
        <w:footnoteReference w:id="21"/>
      </w:r>
      <w:r w:rsidR="00086DC2" w:rsidRPr="00086DC2">
        <w:rPr>
          <w:noProof/>
        </w:rPr>
        <w:t>.</w:t>
      </w:r>
    </w:p>
    <w:p w:rsidR="00086DC2" w:rsidRDefault="00086DC2" w:rsidP="00170442">
      <w:pPr>
        <w:pStyle w:val="Heading3"/>
        <w:rPr>
          <w:noProof/>
        </w:rPr>
      </w:pPr>
      <w:bookmarkStart w:id="26" w:name="_Toc137736192"/>
      <w:r>
        <w:rPr>
          <w:noProof/>
        </w:rPr>
        <w:t>2</w:t>
      </w:r>
      <w:r w:rsidR="000F3137">
        <w:rPr>
          <w:noProof/>
        </w:rPr>
        <w:t xml:space="preserve">nd </w:t>
      </w:r>
      <w:r>
        <w:rPr>
          <w:noProof/>
        </w:rPr>
        <w:t>Action Plan to fight the illicit tobacco trade</w:t>
      </w:r>
      <w:bookmarkEnd w:id="26"/>
    </w:p>
    <w:p w:rsidR="00086DC2" w:rsidRDefault="00086DC2" w:rsidP="00086DC2">
      <w:pPr>
        <w:rPr>
          <w:noProof/>
        </w:rPr>
      </w:pPr>
      <w:r w:rsidRPr="00086DC2">
        <w:rPr>
          <w:noProof/>
        </w:rPr>
        <w:t xml:space="preserve">In 2022, the Commission </w:t>
      </w:r>
      <w:r w:rsidR="001775C8">
        <w:rPr>
          <w:noProof/>
        </w:rPr>
        <w:t xml:space="preserve">and OLAF </w:t>
      </w:r>
      <w:r w:rsidRPr="00086DC2">
        <w:rPr>
          <w:noProof/>
        </w:rPr>
        <w:t xml:space="preserve">completed the implementation of the 49 actions included in the </w:t>
      </w:r>
      <w:r w:rsidR="001775C8">
        <w:rPr>
          <w:noProof/>
        </w:rPr>
        <w:t>second</w:t>
      </w:r>
      <w:r w:rsidR="001775C8" w:rsidRPr="00086DC2">
        <w:rPr>
          <w:noProof/>
        </w:rPr>
        <w:t xml:space="preserve"> </w:t>
      </w:r>
      <w:r w:rsidRPr="00086DC2">
        <w:rPr>
          <w:noProof/>
        </w:rPr>
        <w:t>Action Plan to fight the illicit tobacco trade 2018-2022.</w:t>
      </w:r>
    </w:p>
    <w:p w:rsidR="00086DC2" w:rsidRPr="00764F61" w:rsidRDefault="00764F61" w:rsidP="00170442">
      <w:pPr>
        <w:pStyle w:val="Heading3"/>
        <w:rPr>
          <w:noProof/>
        </w:rPr>
      </w:pPr>
      <w:bookmarkStart w:id="27" w:name="_Toc137736193"/>
      <w:r w:rsidRPr="00764F61">
        <w:rPr>
          <w:noProof/>
        </w:rPr>
        <w:t>Anti-money laundering and counter-terrorist financing</w:t>
      </w:r>
      <w:bookmarkEnd w:id="27"/>
    </w:p>
    <w:p w:rsidR="00242925" w:rsidRDefault="00764F61" w:rsidP="008A6DCE">
      <w:pPr>
        <w:rPr>
          <w:noProof/>
        </w:rPr>
      </w:pPr>
      <w:r w:rsidRPr="00330F5D">
        <w:rPr>
          <w:iCs/>
          <w:noProof/>
          <w:color w:val="000000" w:themeColor="text1"/>
        </w:rPr>
        <w:t xml:space="preserve">Fraud against the EU budget may also be a predicate offense precursor to other crimes. Thus, even if not directly linked to the protection of the EU budget, the EU legal framework on anti-money laundering </w:t>
      </w:r>
      <w:r>
        <w:rPr>
          <w:iCs/>
          <w:noProof/>
          <w:color w:val="000000" w:themeColor="text1"/>
        </w:rPr>
        <w:t xml:space="preserve">(AML) </w:t>
      </w:r>
      <w:r w:rsidRPr="00330F5D">
        <w:rPr>
          <w:iCs/>
          <w:noProof/>
          <w:color w:val="000000" w:themeColor="text1"/>
        </w:rPr>
        <w:t>and counter-terrorist financing</w:t>
      </w:r>
      <w:r>
        <w:rPr>
          <w:rStyle w:val="FootnoteReference"/>
          <w:iCs/>
          <w:noProof/>
          <w:color w:val="000000" w:themeColor="text1"/>
        </w:rPr>
        <w:footnoteReference w:id="22"/>
      </w:r>
      <w:r w:rsidRPr="00330F5D">
        <w:rPr>
          <w:iCs/>
          <w:noProof/>
          <w:color w:val="000000" w:themeColor="text1"/>
        </w:rPr>
        <w:t xml:space="preserve"> might become relevant in this context. The Commission continue</w:t>
      </w:r>
      <w:r>
        <w:rPr>
          <w:iCs/>
          <w:noProof/>
          <w:color w:val="000000" w:themeColor="text1"/>
        </w:rPr>
        <w:t>s</w:t>
      </w:r>
      <w:r w:rsidRPr="00330F5D">
        <w:rPr>
          <w:iCs/>
          <w:noProof/>
          <w:color w:val="000000" w:themeColor="text1"/>
        </w:rPr>
        <w:t xml:space="preserve"> to reinforce the implementation of the AML policy framework and strive</w:t>
      </w:r>
      <w:r w:rsidR="00F56731">
        <w:rPr>
          <w:iCs/>
          <w:noProof/>
          <w:color w:val="000000" w:themeColor="text1"/>
        </w:rPr>
        <w:t>s</w:t>
      </w:r>
      <w:r w:rsidRPr="00330F5D">
        <w:rPr>
          <w:iCs/>
          <w:noProof/>
          <w:color w:val="000000" w:themeColor="text1"/>
        </w:rPr>
        <w:t xml:space="preserve"> to establish good cooperation and exchanges of information with the upcoming AML authority</w:t>
      </w:r>
      <w:r>
        <w:rPr>
          <w:iCs/>
          <w:noProof/>
          <w:color w:val="000000" w:themeColor="text1"/>
        </w:rPr>
        <w:t>.</w:t>
      </w:r>
    </w:p>
    <w:p w:rsidR="00FE789E" w:rsidRDefault="008F6819" w:rsidP="008F6819">
      <w:pPr>
        <w:pStyle w:val="Heading1"/>
        <w:rPr>
          <w:noProof/>
        </w:rPr>
      </w:pPr>
      <w:bookmarkStart w:id="28" w:name="_Toc134557981"/>
      <w:bookmarkStart w:id="29" w:name="_Toc137736194"/>
      <w:r w:rsidRPr="000625DC">
        <w:rPr>
          <w:noProof/>
        </w:rPr>
        <w:t>Member States</w:t>
      </w:r>
      <w:r w:rsidR="000F3137">
        <w:rPr>
          <w:noProof/>
        </w:rPr>
        <w:t>’</w:t>
      </w:r>
      <w:r w:rsidRPr="000625DC">
        <w:rPr>
          <w:noProof/>
        </w:rPr>
        <w:t xml:space="preserve"> measures to protect the EU’s financial interests</w:t>
      </w:r>
      <w:bookmarkEnd w:id="28"/>
      <w:bookmarkEnd w:id="29"/>
    </w:p>
    <w:p w:rsidR="008324C8" w:rsidRDefault="008F6819" w:rsidP="00C21AF5">
      <w:pPr>
        <w:pStyle w:val="Heading2"/>
        <w:rPr>
          <w:noProof/>
        </w:rPr>
      </w:pPr>
      <w:bookmarkStart w:id="30" w:name="_Toc137736195"/>
      <w:r w:rsidRPr="000625DC">
        <w:rPr>
          <w:noProof/>
        </w:rPr>
        <w:t>National anti-fraud strategie</w:t>
      </w:r>
      <w:r>
        <w:rPr>
          <w:noProof/>
        </w:rPr>
        <w:t>s</w:t>
      </w:r>
      <w:bookmarkEnd w:id="30"/>
    </w:p>
    <w:p w:rsidR="002D3866" w:rsidRDefault="002D3866" w:rsidP="002D3866">
      <w:pPr>
        <w:rPr>
          <w:noProof/>
        </w:rPr>
      </w:pPr>
      <w:r w:rsidRPr="00AA7035">
        <w:rPr>
          <w:noProof/>
        </w:rPr>
        <w:t xml:space="preserve">Following the Commission’s sustained encouragement of Member States to adopt national anti-fraud strategies (NAFS), in 2022 only three Member States indicated </w:t>
      </w:r>
      <w:r w:rsidR="003A6490">
        <w:rPr>
          <w:noProof/>
        </w:rPr>
        <w:t>that they do not</w:t>
      </w:r>
      <w:r w:rsidRPr="00AA7035">
        <w:rPr>
          <w:noProof/>
        </w:rPr>
        <w:t xml:space="preserve"> </w:t>
      </w:r>
      <w:r w:rsidR="000F3137">
        <w:rPr>
          <w:noProof/>
        </w:rPr>
        <w:t>have</w:t>
      </w:r>
      <w:r w:rsidRPr="00AA7035">
        <w:rPr>
          <w:noProof/>
        </w:rPr>
        <w:t xml:space="preserve"> any strategy for protecting the EU’s financial interests. </w:t>
      </w:r>
      <w:r w:rsidR="000F3137">
        <w:rPr>
          <w:noProof/>
        </w:rPr>
        <w:t>T</w:t>
      </w:r>
      <w:r w:rsidR="003037ED">
        <w:rPr>
          <w:noProof/>
        </w:rPr>
        <w:t>he approach</w:t>
      </w:r>
      <w:r w:rsidR="000F3137">
        <w:rPr>
          <w:noProof/>
        </w:rPr>
        <w:t>es</w:t>
      </w:r>
      <w:r w:rsidR="003037ED">
        <w:rPr>
          <w:noProof/>
        </w:rPr>
        <w:t xml:space="preserve"> taken </w:t>
      </w:r>
      <w:r w:rsidR="000F3137">
        <w:rPr>
          <w:noProof/>
        </w:rPr>
        <w:t xml:space="preserve">by the other 24 Member States </w:t>
      </w:r>
      <w:r w:rsidR="004A4CBD">
        <w:rPr>
          <w:noProof/>
        </w:rPr>
        <w:t>varied widely</w:t>
      </w:r>
      <w:r>
        <w:rPr>
          <w:rStyle w:val="FootnoteReference"/>
          <w:noProof/>
        </w:rPr>
        <w:footnoteReference w:id="23"/>
      </w:r>
      <w:r w:rsidRPr="00AA7035">
        <w:rPr>
          <w:noProof/>
        </w:rPr>
        <w:t>.</w:t>
      </w:r>
    </w:p>
    <w:p w:rsidR="00A27EF6" w:rsidRDefault="002D3866" w:rsidP="002D3866">
      <w:pPr>
        <w:rPr>
          <w:noProof/>
        </w:rPr>
      </w:pPr>
      <w:r w:rsidRPr="00AA7035">
        <w:rPr>
          <w:noProof/>
        </w:rPr>
        <w:t xml:space="preserve">15 Member States have a NAFS in place. </w:t>
      </w:r>
      <w:r w:rsidR="003037ED">
        <w:rPr>
          <w:noProof/>
        </w:rPr>
        <w:t>F</w:t>
      </w:r>
      <w:r w:rsidRPr="00AA7035">
        <w:rPr>
          <w:noProof/>
        </w:rPr>
        <w:t>ive reported that they were in the process of drafting</w:t>
      </w:r>
      <w:r w:rsidR="000F3137">
        <w:rPr>
          <w:noProof/>
        </w:rPr>
        <w:t xml:space="preserve"> one or were close to </w:t>
      </w:r>
      <w:r w:rsidRPr="00AA7035">
        <w:rPr>
          <w:noProof/>
        </w:rPr>
        <w:t xml:space="preserve">adopting one, while four additional Member States </w:t>
      </w:r>
      <w:r w:rsidR="00702FF6">
        <w:rPr>
          <w:noProof/>
        </w:rPr>
        <w:t xml:space="preserve">indicated that they </w:t>
      </w:r>
      <w:r w:rsidRPr="00AA7035">
        <w:rPr>
          <w:noProof/>
        </w:rPr>
        <w:t>have an alternative strategy in place</w:t>
      </w:r>
      <w:r w:rsidR="003037ED">
        <w:rPr>
          <w:rStyle w:val="FootnoteReference"/>
          <w:noProof/>
        </w:rPr>
        <w:footnoteReference w:id="24"/>
      </w:r>
      <w:r w:rsidRPr="00AA7035">
        <w:rPr>
          <w:noProof/>
        </w:rPr>
        <w:t>.</w:t>
      </w:r>
    </w:p>
    <w:p w:rsidR="00BB675F" w:rsidRDefault="00BB675F" w:rsidP="00C2785F">
      <w:pPr>
        <w:pStyle w:val="Caption"/>
        <w:keepNext/>
        <w:rPr>
          <w:noProof/>
        </w:rPr>
      </w:pPr>
      <w:r>
        <w:rPr>
          <w:noProof/>
        </w:rPr>
        <w:t xml:space="preserve">Figure </w:t>
      </w:r>
      <w:r w:rsidR="00930F4F">
        <w:rPr>
          <w:noProof/>
        </w:rPr>
        <w:fldChar w:fldCharType="begin"/>
      </w:r>
      <w:r w:rsidR="00930F4F">
        <w:rPr>
          <w:noProof/>
        </w:rPr>
        <w:instrText xml:space="preserve"> SEQ Figure \* ARABIC </w:instrText>
      </w:r>
      <w:r w:rsidR="00930F4F">
        <w:rPr>
          <w:noProof/>
        </w:rPr>
        <w:fldChar w:fldCharType="separate"/>
      </w:r>
      <w:r w:rsidR="008273A0">
        <w:rPr>
          <w:noProof/>
        </w:rPr>
        <w:t>1</w:t>
      </w:r>
      <w:r w:rsidR="00930F4F">
        <w:rPr>
          <w:noProof/>
        </w:rPr>
        <w:fldChar w:fldCharType="end"/>
      </w:r>
      <w:r>
        <w:rPr>
          <w:noProof/>
        </w:rPr>
        <w:t xml:space="preserve">: </w:t>
      </w:r>
      <w:r w:rsidRPr="000625DC">
        <w:rPr>
          <w:noProof/>
        </w:rPr>
        <w:t xml:space="preserve">Overview of the type of </w:t>
      </w:r>
      <w:r>
        <w:rPr>
          <w:noProof/>
        </w:rPr>
        <w:t xml:space="preserve">anti-fraud </w:t>
      </w:r>
      <w:r w:rsidRPr="000625DC">
        <w:rPr>
          <w:noProof/>
        </w:rPr>
        <w:t>strategy pursued by Member States and the fields they cover</w:t>
      </w:r>
    </w:p>
    <w:p w:rsidR="00BB675F" w:rsidRDefault="00B74916" w:rsidP="00BB675F">
      <w:pPr>
        <w:rPr>
          <w:noProof/>
        </w:rPr>
      </w:pPr>
      <w:r w:rsidRPr="00B74916">
        <w:rPr>
          <w:noProof/>
        </w:rPr>
        <w:drawing>
          <wp:inline distT="0" distB="0" distL="0" distR="0" wp14:anchorId="6FF1DE59" wp14:editId="058E1F6F">
            <wp:extent cx="5472430" cy="210711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2430" cy="2107119"/>
                    </a:xfrm>
                    <a:prstGeom prst="rect">
                      <a:avLst/>
                    </a:prstGeom>
                    <a:noFill/>
                    <a:ln>
                      <a:noFill/>
                    </a:ln>
                  </pic:spPr>
                </pic:pic>
              </a:graphicData>
            </a:graphic>
          </wp:inline>
        </w:drawing>
      </w:r>
    </w:p>
    <w:p w:rsidR="00BB675F" w:rsidRDefault="00B74916" w:rsidP="00BB675F">
      <w:pPr>
        <w:rPr>
          <w:noProof/>
        </w:rPr>
      </w:pPr>
      <w:r w:rsidRPr="00B74916">
        <w:rPr>
          <w:noProof/>
        </w:rPr>
        <w:drawing>
          <wp:inline distT="0" distB="0" distL="0" distR="0" wp14:anchorId="4F05DC61" wp14:editId="2ECBB8D4">
            <wp:extent cx="2194560" cy="771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4560" cy="771525"/>
                    </a:xfrm>
                    <a:prstGeom prst="rect">
                      <a:avLst/>
                    </a:prstGeom>
                    <a:noFill/>
                    <a:ln>
                      <a:noFill/>
                    </a:ln>
                  </pic:spPr>
                </pic:pic>
              </a:graphicData>
            </a:graphic>
          </wp:inline>
        </w:drawing>
      </w:r>
    </w:p>
    <w:p w:rsidR="00BB675F" w:rsidRDefault="002D3866" w:rsidP="00BB675F">
      <w:pPr>
        <w:rPr>
          <w:noProof/>
        </w:rPr>
      </w:pPr>
      <w:r w:rsidRPr="00A40CF2">
        <w:rPr>
          <w:noProof/>
        </w:rPr>
        <w:t xml:space="preserve">Nine out of </w:t>
      </w:r>
      <w:r w:rsidRPr="008E36DC">
        <w:rPr>
          <w:noProof/>
        </w:rPr>
        <w:t>15</w:t>
      </w:r>
      <w:r w:rsidRPr="00A40CF2">
        <w:rPr>
          <w:noProof/>
        </w:rPr>
        <w:t xml:space="preserve"> NAFS were cross-cutting, covering the EU’s financial interests fully. The other national strategies </w:t>
      </w:r>
      <w:r w:rsidR="00661AF9">
        <w:rPr>
          <w:noProof/>
        </w:rPr>
        <w:t>take</w:t>
      </w:r>
      <w:r w:rsidR="00661AF9" w:rsidRPr="00A40CF2">
        <w:rPr>
          <w:noProof/>
        </w:rPr>
        <w:t xml:space="preserve"> </w:t>
      </w:r>
      <w:r w:rsidRPr="00A40CF2">
        <w:rPr>
          <w:noProof/>
        </w:rPr>
        <w:t>different approaches, targeting specific or multiple sectors, such as expenditure (shared management and RRF), customs or VAT.</w:t>
      </w:r>
    </w:p>
    <w:p w:rsidR="00BB675F" w:rsidRPr="00BB675F" w:rsidRDefault="002D3866" w:rsidP="00BB675F">
      <w:pPr>
        <w:rPr>
          <w:noProof/>
        </w:rPr>
      </w:pPr>
      <w:r>
        <w:rPr>
          <w:noProof/>
        </w:rPr>
        <w:t>All five</w:t>
      </w:r>
      <w:r w:rsidRPr="00F75A1F">
        <w:rPr>
          <w:noProof/>
        </w:rPr>
        <w:t xml:space="preserve"> Member States where the process of establishing a NAFS was ongoing</w:t>
      </w:r>
      <w:r>
        <w:rPr>
          <w:noProof/>
        </w:rPr>
        <w:t xml:space="preserve"> indicated</w:t>
      </w:r>
      <w:r w:rsidRPr="00F75A1F">
        <w:rPr>
          <w:noProof/>
        </w:rPr>
        <w:t xml:space="preserve"> that their strategies would be cross-cutting.</w:t>
      </w:r>
    </w:p>
    <w:p w:rsidR="00FE789E" w:rsidRDefault="00BB675F" w:rsidP="00C21AF5">
      <w:pPr>
        <w:pStyle w:val="Heading2"/>
        <w:rPr>
          <w:noProof/>
        </w:rPr>
      </w:pPr>
      <w:bookmarkStart w:id="31" w:name="_Toc134557983"/>
      <w:bookmarkStart w:id="32" w:name="_Toc137736196"/>
      <w:r w:rsidRPr="000625DC">
        <w:rPr>
          <w:noProof/>
        </w:rPr>
        <w:t>Anti-fraud measures adopted at national level</w:t>
      </w:r>
      <w:bookmarkEnd w:id="31"/>
      <w:bookmarkEnd w:id="32"/>
    </w:p>
    <w:p w:rsidR="00B844C4" w:rsidRDefault="00BB675F" w:rsidP="00B844C4">
      <w:pPr>
        <w:pStyle w:val="NormalWeb"/>
        <w:spacing w:before="0" w:beforeAutospacing="0" w:after="240" w:afterAutospacing="0"/>
        <w:jc w:val="both"/>
        <w:rPr>
          <w:noProof/>
        </w:rPr>
      </w:pPr>
      <w:r w:rsidRPr="000625DC">
        <w:rPr>
          <w:noProof/>
        </w:rPr>
        <w:t>In 2022, Member States reported 72 measures intended to protect the EU’s financial interest</w:t>
      </w:r>
      <w:r w:rsidR="003A6490">
        <w:rPr>
          <w:noProof/>
        </w:rPr>
        <w:t>s</w:t>
      </w:r>
      <w:r w:rsidRPr="000625DC">
        <w:rPr>
          <w:noProof/>
        </w:rPr>
        <w:t>. Among the 72 measures adopted, 52 were ‘single’ measures</w:t>
      </w:r>
      <w:r w:rsidR="003C2425">
        <w:rPr>
          <w:noProof/>
        </w:rPr>
        <w:t>, while</w:t>
      </w:r>
      <w:r w:rsidRPr="000625DC">
        <w:rPr>
          <w:noProof/>
        </w:rPr>
        <w:t xml:space="preserve"> 20 </w:t>
      </w:r>
      <w:r w:rsidR="003C2425">
        <w:rPr>
          <w:noProof/>
        </w:rPr>
        <w:t xml:space="preserve">were </w:t>
      </w:r>
      <w:r w:rsidRPr="000625DC">
        <w:rPr>
          <w:noProof/>
        </w:rPr>
        <w:t>comprehensive packages</w:t>
      </w:r>
      <w:r w:rsidR="003037ED">
        <w:rPr>
          <w:rStyle w:val="FootnoteReference"/>
          <w:noProof/>
        </w:rPr>
        <w:footnoteReference w:id="25"/>
      </w:r>
      <w:r w:rsidRPr="000625DC">
        <w:rPr>
          <w:noProof/>
        </w:rPr>
        <w:t>.</w:t>
      </w:r>
    </w:p>
    <w:p w:rsidR="00BB675F" w:rsidRDefault="00BB675F" w:rsidP="00B844C4">
      <w:pPr>
        <w:pStyle w:val="NormalWeb"/>
        <w:spacing w:before="0" w:beforeAutospacing="0" w:after="240" w:afterAutospacing="0"/>
        <w:jc w:val="both"/>
        <w:rPr>
          <w:noProof/>
          <w:sz w:val="22"/>
        </w:rPr>
      </w:pPr>
      <w:r w:rsidRPr="000625DC">
        <w:rPr>
          <w:noProof/>
        </w:rPr>
        <w:t xml:space="preserve">Measures were mainly of a sectoral nature, addressing in particular the shared management expenditure (agricultural, fisheries and cohesion policies) and RRF. They were mostly intended to prevent and detect fraud and other irregularities affecting the EU’s financial interests. Recurring themes included the </w:t>
      </w:r>
      <w:r>
        <w:rPr>
          <w:noProof/>
        </w:rPr>
        <w:t xml:space="preserve">transposition of </w:t>
      </w:r>
      <w:r w:rsidRPr="000625DC">
        <w:rPr>
          <w:noProof/>
        </w:rPr>
        <w:t>Directive (EU) 2019/1937 on the protection of persons who report breaches of Union law (Whistleblower Directive), the RRF, and cooperation with the EPPO.</w:t>
      </w:r>
    </w:p>
    <w:p w:rsidR="000949A1" w:rsidRDefault="00242925" w:rsidP="00CF1D95">
      <w:pPr>
        <w:pStyle w:val="Caption"/>
        <w:keepNext/>
        <w:rPr>
          <w:noProof/>
        </w:rPr>
      </w:pPr>
      <w:r>
        <w:rPr>
          <w:noProof/>
        </w:rPr>
        <w:t xml:space="preserve">Figure </w:t>
      </w:r>
      <w:r w:rsidR="00930F4F">
        <w:rPr>
          <w:noProof/>
        </w:rPr>
        <w:fldChar w:fldCharType="begin"/>
      </w:r>
      <w:r w:rsidR="00930F4F">
        <w:rPr>
          <w:noProof/>
        </w:rPr>
        <w:instrText xml:space="preserve"> SEQ Figure \* ARABIC </w:instrText>
      </w:r>
      <w:r w:rsidR="00930F4F">
        <w:rPr>
          <w:noProof/>
        </w:rPr>
        <w:fldChar w:fldCharType="separate"/>
      </w:r>
      <w:r w:rsidR="008273A0">
        <w:rPr>
          <w:noProof/>
        </w:rPr>
        <w:t>2</w:t>
      </w:r>
      <w:r w:rsidR="00930F4F">
        <w:rPr>
          <w:noProof/>
        </w:rPr>
        <w:fldChar w:fldCharType="end"/>
      </w:r>
      <w:r>
        <w:rPr>
          <w:noProof/>
        </w:rPr>
        <w:t xml:space="preserve"> – </w:t>
      </w:r>
      <w:r w:rsidR="00BB675F" w:rsidRPr="000625DC">
        <w:rPr>
          <w:noProof/>
        </w:rPr>
        <w:t>Summary of measures reported by Member State</w:t>
      </w:r>
      <w:r w:rsidR="009A782C">
        <w:rPr>
          <w:noProof/>
        </w:rPr>
        <w:t>s</w:t>
      </w:r>
      <w:r w:rsidR="00BB675F" w:rsidRPr="000625DC">
        <w:rPr>
          <w:noProof/>
        </w:rPr>
        <w:t xml:space="preserve"> in 2022</w:t>
      </w:r>
    </w:p>
    <w:tbl>
      <w:tblPr>
        <w:tblStyle w:val="GridTable5Dark-Accent1"/>
        <w:tblW w:w="0" w:type="auto"/>
        <w:tblLook w:val="04A0" w:firstRow="1" w:lastRow="0" w:firstColumn="1" w:lastColumn="0" w:noHBand="0" w:noVBand="1"/>
      </w:tblPr>
      <w:tblGrid>
        <w:gridCol w:w="1526"/>
        <w:gridCol w:w="7062"/>
      </w:tblGrid>
      <w:tr w:rsidR="000949A1" w:rsidRPr="000949A1" w:rsidTr="00094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Member State</w:t>
            </w:r>
          </w:p>
        </w:tc>
        <w:tc>
          <w:tcPr>
            <w:tcW w:w="7062" w:type="dxa"/>
          </w:tcPr>
          <w:p w:rsidR="000949A1" w:rsidRPr="000949A1" w:rsidRDefault="000949A1" w:rsidP="00880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Measures adopted</w:t>
            </w:r>
          </w:p>
        </w:tc>
      </w:tr>
      <w:tr w:rsidR="000949A1" w:rsidRPr="000949A1" w:rsidTr="0009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Austria</w:t>
            </w:r>
          </w:p>
        </w:tc>
        <w:tc>
          <w:tcPr>
            <w:tcW w:w="7062" w:type="dxa"/>
          </w:tcPr>
          <w:p w:rsidR="000949A1" w:rsidRPr="000949A1" w:rsidRDefault="000949A1" w:rsidP="00A77A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Continued to update its administrative anti-fraud measures, focusing on prevention and detection of fraud against European cohesion</w:t>
            </w:r>
            <w:r w:rsidR="009A782C">
              <w:rPr>
                <w:rFonts w:ascii="Times New Roman" w:hAnsi="Times New Roman" w:cs="Times New Roman"/>
                <w:noProof/>
                <w:sz w:val="20"/>
                <w:lang w:val="en-GB"/>
              </w:rPr>
              <w:t>-</w:t>
            </w:r>
            <w:r w:rsidRPr="000949A1">
              <w:rPr>
                <w:rFonts w:ascii="Times New Roman" w:hAnsi="Times New Roman" w:cs="Times New Roman"/>
                <w:noProof/>
                <w:sz w:val="20"/>
                <w:lang w:val="en-GB"/>
              </w:rPr>
              <w:t xml:space="preserve">policy and agricultural funds. </w:t>
            </w:r>
          </w:p>
        </w:tc>
      </w:tr>
      <w:tr w:rsidR="000949A1" w:rsidRPr="000949A1" w:rsidTr="000949A1">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Belgium</w:t>
            </w:r>
          </w:p>
        </w:tc>
        <w:tc>
          <w:tcPr>
            <w:tcW w:w="7062" w:type="dxa"/>
          </w:tcPr>
          <w:p w:rsidR="000949A1" w:rsidRPr="000949A1" w:rsidRDefault="000949A1" w:rsidP="006121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Put </w:t>
            </w:r>
            <w:r w:rsidR="006121C2">
              <w:rPr>
                <w:rFonts w:ascii="Times New Roman" w:hAnsi="Times New Roman" w:cs="Times New Roman"/>
                <w:noProof/>
                <w:sz w:val="20"/>
                <w:lang w:val="en-GB"/>
              </w:rPr>
              <w:t xml:space="preserve">in place </w:t>
            </w:r>
            <w:r w:rsidRPr="000949A1">
              <w:rPr>
                <w:rFonts w:ascii="Times New Roman" w:hAnsi="Times New Roman" w:cs="Times New Roman"/>
                <w:noProof/>
                <w:sz w:val="20"/>
                <w:lang w:val="en-GB"/>
              </w:rPr>
              <w:t>three anti-fraud measures. While the sectoral legislative measure focused on fraud detection, investigation and prosecution, the reported legislative package cut across sectors, fostering fraud prevention and detection. The only non-legislative measure reported by Belgium was an organisational update to RRF funds management in Wallonia, strengthening the investigation and prosecution of fraud against them.</w:t>
            </w:r>
          </w:p>
        </w:tc>
      </w:tr>
      <w:tr w:rsidR="000949A1" w:rsidRPr="000949A1" w:rsidTr="0009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Bulgaria</w:t>
            </w:r>
          </w:p>
        </w:tc>
        <w:tc>
          <w:tcPr>
            <w:tcW w:w="7062" w:type="dxa"/>
          </w:tcPr>
          <w:p w:rsidR="000949A1" w:rsidRPr="000949A1" w:rsidRDefault="000949A1" w:rsidP="006121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Anti-fraud action was predominantly legislative, covering the whole anti-fraud cycle. Two legislative updates were adopted, the first focusing on agricultural, fisheries, cohesion, FEAD, and AMIF funds, and the second cross-cutting. The third legislative measure was paired with administrative changes </w:t>
            </w:r>
            <w:r w:rsidR="006121C2">
              <w:rPr>
                <w:rFonts w:ascii="Times New Roman" w:hAnsi="Times New Roman" w:cs="Times New Roman"/>
                <w:noProof/>
                <w:sz w:val="20"/>
                <w:lang w:val="en-GB"/>
              </w:rPr>
              <w:t>aimed at</w:t>
            </w:r>
            <w:r w:rsidRPr="000949A1">
              <w:rPr>
                <w:rFonts w:ascii="Times New Roman" w:hAnsi="Times New Roman" w:cs="Times New Roman"/>
                <w:noProof/>
                <w:sz w:val="20"/>
                <w:lang w:val="en-GB"/>
              </w:rPr>
              <w:t xml:space="preserve"> comprehensively protecting EU RRF funds.</w:t>
            </w:r>
          </w:p>
        </w:tc>
      </w:tr>
      <w:tr w:rsidR="000949A1" w:rsidRPr="000949A1" w:rsidTr="000949A1">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Croatia</w:t>
            </w:r>
          </w:p>
        </w:tc>
        <w:tc>
          <w:tcPr>
            <w:tcW w:w="7062" w:type="dxa"/>
          </w:tcPr>
          <w:p w:rsidR="000949A1" w:rsidRPr="000949A1" w:rsidRDefault="000949A1" w:rsidP="00BC34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Two </w:t>
            </w:r>
            <w:r w:rsidR="00BC3459">
              <w:rPr>
                <w:rFonts w:ascii="Times New Roman" w:hAnsi="Times New Roman" w:cs="Times New Roman"/>
                <w:noProof/>
                <w:sz w:val="20"/>
                <w:lang w:val="en-GB"/>
              </w:rPr>
              <w:t>cross-cutting</w:t>
            </w:r>
            <w:r w:rsidRPr="000949A1">
              <w:rPr>
                <w:rFonts w:ascii="Times New Roman" w:hAnsi="Times New Roman" w:cs="Times New Roman"/>
                <w:noProof/>
                <w:sz w:val="20"/>
                <w:lang w:val="en-GB"/>
              </w:rPr>
              <w:t xml:space="preserve"> measures, one legislative, securing the confiscation of criminal proceeds, and the other operational, enhancing cooperation with the EPPO; as well </w:t>
            </w:r>
            <w:r w:rsidR="00BC3459">
              <w:rPr>
                <w:rFonts w:ascii="Times New Roman" w:hAnsi="Times New Roman" w:cs="Times New Roman"/>
                <w:noProof/>
                <w:sz w:val="20"/>
                <w:lang w:val="en-GB"/>
              </w:rPr>
              <w:t xml:space="preserve">as </w:t>
            </w:r>
            <w:r w:rsidRPr="000949A1">
              <w:rPr>
                <w:rFonts w:ascii="Times New Roman" w:hAnsi="Times New Roman" w:cs="Times New Roman"/>
                <w:noProof/>
                <w:sz w:val="20"/>
                <w:lang w:val="en-GB"/>
              </w:rPr>
              <w:t>operational changes to the management of cohesion funds using Arachne. Together, they cover the entire anti-fraud cycle.</w:t>
            </w:r>
          </w:p>
        </w:tc>
      </w:tr>
      <w:tr w:rsidR="000949A1" w:rsidRPr="000949A1" w:rsidTr="0009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Cyprus</w:t>
            </w:r>
          </w:p>
        </w:tc>
        <w:tc>
          <w:tcPr>
            <w:tcW w:w="7062" w:type="dxa"/>
          </w:tcPr>
          <w:p w:rsidR="000949A1" w:rsidRPr="000949A1" w:rsidRDefault="000949A1" w:rsidP="001C1C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A legislative measure aimed </w:t>
            </w:r>
            <w:r w:rsidR="00BC3459">
              <w:rPr>
                <w:rFonts w:ascii="Times New Roman" w:hAnsi="Times New Roman" w:cs="Times New Roman"/>
                <w:noProof/>
                <w:sz w:val="20"/>
                <w:lang w:val="en-GB"/>
              </w:rPr>
              <w:t>at</w:t>
            </w:r>
            <w:r w:rsidR="00BC3459" w:rsidRPr="000949A1">
              <w:rPr>
                <w:rFonts w:ascii="Times New Roman" w:hAnsi="Times New Roman" w:cs="Times New Roman"/>
                <w:noProof/>
                <w:sz w:val="20"/>
                <w:lang w:val="en-GB"/>
              </w:rPr>
              <w:t xml:space="preserve"> </w:t>
            </w:r>
            <w:r w:rsidRPr="000949A1">
              <w:rPr>
                <w:rFonts w:ascii="Times New Roman" w:hAnsi="Times New Roman" w:cs="Times New Roman"/>
                <w:noProof/>
                <w:sz w:val="20"/>
                <w:lang w:val="en-GB"/>
              </w:rPr>
              <w:t>better protect</w:t>
            </w:r>
            <w:r w:rsidR="00BC3459">
              <w:rPr>
                <w:rFonts w:ascii="Times New Roman" w:hAnsi="Times New Roman" w:cs="Times New Roman"/>
                <w:noProof/>
                <w:sz w:val="20"/>
                <w:lang w:val="en-GB"/>
              </w:rPr>
              <w:t>ing</w:t>
            </w:r>
            <w:r w:rsidRPr="000949A1">
              <w:rPr>
                <w:rFonts w:ascii="Times New Roman" w:hAnsi="Times New Roman" w:cs="Times New Roman"/>
                <w:noProof/>
                <w:sz w:val="20"/>
                <w:lang w:val="en-GB"/>
              </w:rPr>
              <w:t xml:space="preserve"> whistleblowers, transposing the Whistleblow</w:t>
            </w:r>
            <w:r w:rsidR="00BC3459">
              <w:rPr>
                <w:rFonts w:ascii="Times New Roman" w:hAnsi="Times New Roman" w:cs="Times New Roman"/>
                <w:noProof/>
                <w:sz w:val="20"/>
                <w:lang w:val="en-GB"/>
              </w:rPr>
              <w:t>er</w:t>
            </w:r>
            <w:r w:rsidRPr="000949A1">
              <w:rPr>
                <w:rFonts w:ascii="Times New Roman" w:hAnsi="Times New Roman" w:cs="Times New Roman"/>
                <w:noProof/>
                <w:sz w:val="20"/>
                <w:lang w:val="en-GB"/>
              </w:rPr>
              <w:t xml:space="preserve"> Directive into domestic law, </w:t>
            </w:r>
            <w:r w:rsidR="00BC3459">
              <w:rPr>
                <w:rFonts w:ascii="Times New Roman" w:hAnsi="Times New Roman" w:cs="Times New Roman"/>
                <w:noProof/>
                <w:sz w:val="20"/>
                <w:lang w:val="en-GB"/>
              </w:rPr>
              <w:t xml:space="preserve">thereby </w:t>
            </w:r>
            <w:r w:rsidRPr="000949A1">
              <w:rPr>
                <w:rFonts w:ascii="Times New Roman" w:hAnsi="Times New Roman" w:cs="Times New Roman"/>
                <w:noProof/>
                <w:sz w:val="20"/>
                <w:lang w:val="en-GB"/>
              </w:rPr>
              <w:t>boosting fraud prevention, detection, investigation and prosecution. A second legislative measure focused on fostering integrity and transparency in public decision</w:t>
            </w:r>
            <w:r w:rsidR="00BC3459">
              <w:rPr>
                <w:rFonts w:ascii="Times New Roman" w:hAnsi="Times New Roman" w:cs="Times New Roman"/>
                <w:noProof/>
                <w:sz w:val="20"/>
                <w:lang w:val="en-GB"/>
              </w:rPr>
              <w:t>-</w:t>
            </w:r>
            <w:r w:rsidRPr="000949A1">
              <w:rPr>
                <w:rFonts w:ascii="Times New Roman" w:hAnsi="Times New Roman" w:cs="Times New Roman"/>
                <w:noProof/>
                <w:sz w:val="20"/>
                <w:lang w:val="en-GB"/>
              </w:rPr>
              <w:t xml:space="preserve">making processes, covering all </w:t>
            </w:r>
            <w:r w:rsidR="00BC3459">
              <w:rPr>
                <w:rFonts w:ascii="Times New Roman" w:hAnsi="Times New Roman" w:cs="Times New Roman"/>
                <w:noProof/>
                <w:sz w:val="20"/>
                <w:lang w:val="en-GB"/>
              </w:rPr>
              <w:t xml:space="preserve">stages of the </w:t>
            </w:r>
            <w:r w:rsidRPr="000949A1">
              <w:rPr>
                <w:rFonts w:ascii="Times New Roman" w:hAnsi="Times New Roman" w:cs="Times New Roman"/>
                <w:noProof/>
                <w:sz w:val="20"/>
                <w:lang w:val="en-GB"/>
              </w:rPr>
              <w:t xml:space="preserve">anti-fraud cycle. The RRF and various stakeholders are targeted by the package adopted by Cyprus, which </w:t>
            </w:r>
            <w:r w:rsidR="00A5481C">
              <w:rPr>
                <w:rFonts w:ascii="Times New Roman" w:hAnsi="Times New Roman" w:cs="Times New Roman"/>
                <w:noProof/>
                <w:sz w:val="20"/>
                <w:lang w:val="en-GB"/>
              </w:rPr>
              <w:t xml:space="preserve">is aimed at preventing </w:t>
            </w:r>
            <w:r w:rsidRPr="000949A1">
              <w:rPr>
                <w:rFonts w:ascii="Times New Roman" w:hAnsi="Times New Roman" w:cs="Times New Roman"/>
                <w:noProof/>
                <w:sz w:val="20"/>
                <w:lang w:val="en-GB"/>
              </w:rPr>
              <w:t>fraud.</w:t>
            </w:r>
          </w:p>
        </w:tc>
      </w:tr>
      <w:tr w:rsidR="000949A1" w:rsidRPr="000949A1" w:rsidTr="000949A1">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Czechia</w:t>
            </w:r>
          </w:p>
        </w:tc>
        <w:tc>
          <w:tcPr>
            <w:tcW w:w="7062" w:type="dxa"/>
          </w:tcPr>
          <w:p w:rsidR="000949A1" w:rsidRPr="000949A1" w:rsidRDefault="000949A1" w:rsidP="002023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Three sectoral operational measures, targeting all stages but fraud detection. The first measure operationalised the enforcement of EU sanctions against the Russian Federation, enhancing coordination, cooperation, and information flows among Czech authorities. The second interconnected the beneficial owners</w:t>
            </w:r>
            <w:r w:rsidR="00202312">
              <w:rPr>
                <w:rFonts w:ascii="Times New Roman" w:hAnsi="Times New Roman" w:cs="Times New Roman"/>
                <w:noProof/>
                <w:sz w:val="20"/>
                <w:lang w:val="en-GB"/>
              </w:rPr>
              <w:t>’</w:t>
            </w:r>
            <w:r w:rsidRPr="000949A1">
              <w:rPr>
                <w:rFonts w:ascii="Times New Roman" w:hAnsi="Times New Roman" w:cs="Times New Roman"/>
                <w:noProof/>
                <w:sz w:val="20"/>
                <w:lang w:val="en-GB"/>
              </w:rPr>
              <w:t xml:space="preserve"> register with </w:t>
            </w:r>
            <w:r w:rsidR="00202312">
              <w:rPr>
                <w:rFonts w:ascii="Times New Roman" w:hAnsi="Times New Roman" w:cs="Times New Roman"/>
                <w:noProof/>
                <w:sz w:val="20"/>
                <w:lang w:val="en-GB"/>
              </w:rPr>
              <w:t xml:space="preserve">the </w:t>
            </w:r>
            <w:r w:rsidRPr="000949A1">
              <w:rPr>
                <w:rFonts w:ascii="Times New Roman" w:hAnsi="Times New Roman" w:cs="Times New Roman"/>
                <w:noProof/>
                <w:sz w:val="20"/>
                <w:lang w:val="en-GB"/>
              </w:rPr>
              <w:t xml:space="preserve">information systems used in </w:t>
            </w:r>
            <w:r w:rsidR="00202312">
              <w:rPr>
                <w:rFonts w:ascii="Times New Roman" w:hAnsi="Times New Roman" w:cs="Times New Roman"/>
                <w:noProof/>
                <w:sz w:val="20"/>
                <w:lang w:val="en-GB"/>
              </w:rPr>
              <w:t xml:space="preserve">the management of </w:t>
            </w:r>
            <w:r w:rsidRPr="000949A1">
              <w:rPr>
                <w:rFonts w:ascii="Times New Roman" w:hAnsi="Times New Roman" w:cs="Times New Roman"/>
                <w:noProof/>
                <w:sz w:val="20"/>
                <w:lang w:val="en-GB"/>
              </w:rPr>
              <w:t>fisheries and cohesion funds</w:t>
            </w:r>
            <w:r w:rsidR="00202312">
              <w:rPr>
                <w:rFonts w:ascii="Times New Roman" w:hAnsi="Times New Roman" w:cs="Times New Roman"/>
                <w:noProof/>
                <w:sz w:val="20"/>
                <w:lang w:val="en-GB"/>
              </w:rPr>
              <w:t>,</w:t>
            </w:r>
            <w:r w:rsidRPr="000949A1">
              <w:rPr>
                <w:rFonts w:ascii="Times New Roman" w:hAnsi="Times New Roman" w:cs="Times New Roman"/>
                <w:noProof/>
                <w:sz w:val="20"/>
                <w:lang w:val="en-GB"/>
              </w:rPr>
              <w:t xml:space="preserve"> and the third completed all methodological documents for the M</w:t>
            </w:r>
            <w:r w:rsidR="00C92C31">
              <w:rPr>
                <w:rFonts w:ascii="Times New Roman" w:hAnsi="Times New Roman" w:cs="Times New Roman"/>
                <w:noProof/>
                <w:sz w:val="20"/>
                <w:lang w:val="en-GB"/>
              </w:rPr>
              <w:t xml:space="preserve">ultiannual </w:t>
            </w:r>
            <w:r w:rsidRPr="000949A1">
              <w:rPr>
                <w:rFonts w:ascii="Times New Roman" w:hAnsi="Times New Roman" w:cs="Times New Roman"/>
                <w:noProof/>
                <w:sz w:val="20"/>
                <w:lang w:val="en-GB"/>
              </w:rPr>
              <w:t>F</w:t>
            </w:r>
            <w:r w:rsidR="00C92C31">
              <w:rPr>
                <w:rFonts w:ascii="Times New Roman" w:hAnsi="Times New Roman" w:cs="Times New Roman"/>
                <w:noProof/>
                <w:sz w:val="20"/>
                <w:lang w:val="en-GB"/>
              </w:rPr>
              <w:t xml:space="preserve">inancial </w:t>
            </w:r>
            <w:r w:rsidRPr="000949A1">
              <w:rPr>
                <w:rFonts w:ascii="Times New Roman" w:hAnsi="Times New Roman" w:cs="Times New Roman"/>
                <w:noProof/>
                <w:sz w:val="20"/>
                <w:lang w:val="en-GB"/>
              </w:rPr>
              <w:t>F</w:t>
            </w:r>
            <w:r w:rsidR="00C92C31">
              <w:rPr>
                <w:rFonts w:ascii="Times New Roman" w:hAnsi="Times New Roman" w:cs="Times New Roman"/>
                <w:noProof/>
                <w:sz w:val="20"/>
                <w:lang w:val="en-GB"/>
              </w:rPr>
              <w:t>ramework (MFF)</w:t>
            </w:r>
            <w:r w:rsidRPr="000949A1">
              <w:rPr>
                <w:rFonts w:ascii="Times New Roman" w:hAnsi="Times New Roman" w:cs="Times New Roman"/>
                <w:noProof/>
                <w:sz w:val="20"/>
                <w:lang w:val="en-GB"/>
              </w:rPr>
              <w:t xml:space="preserve"> 2021-2027.</w:t>
            </w:r>
          </w:p>
        </w:tc>
      </w:tr>
      <w:tr w:rsidR="000949A1" w:rsidRPr="000949A1" w:rsidTr="0009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Denmark</w:t>
            </w:r>
          </w:p>
        </w:tc>
        <w:tc>
          <w:tcPr>
            <w:tcW w:w="7062" w:type="dxa"/>
          </w:tcPr>
          <w:p w:rsidR="000949A1" w:rsidRPr="000949A1" w:rsidRDefault="000949A1" w:rsidP="000662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The first measure </w:t>
            </w:r>
            <w:r w:rsidR="000662AA">
              <w:rPr>
                <w:rFonts w:ascii="Times New Roman" w:hAnsi="Times New Roman" w:cs="Times New Roman"/>
                <w:noProof/>
                <w:sz w:val="20"/>
                <w:lang w:val="en-GB"/>
              </w:rPr>
              <w:t>sought</w:t>
            </w:r>
            <w:r w:rsidR="000662AA" w:rsidRPr="000949A1">
              <w:rPr>
                <w:rFonts w:ascii="Times New Roman" w:hAnsi="Times New Roman" w:cs="Times New Roman"/>
                <w:noProof/>
                <w:sz w:val="20"/>
                <w:lang w:val="en-GB"/>
              </w:rPr>
              <w:t xml:space="preserve"> </w:t>
            </w:r>
            <w:r w:rsidRPr="000949A1">
              <w:rPr>
                <w:rFonts w:ascii="Times New Roman" w:hAnsi="Times New Roman" w:cs="Times New Roman"/>
                <w:noProof/>
                <w:sz w:val="20"/>
                <w:lang w:val="en-GB"/>
              </w:rPr>
              <w:t xml:space="preserve">to better prevent and detect fraud against cohesion policy funds by improving the data used by the Danish Business Authority. The second reinforced these objectives by safeguarding the correct application of remuneration rules. The third </w:t>
            </w:r>
            <w:r w:rsidR="000662AA">
              <w:rPr>
                <w:rFonts w:ascii="Times New Roman" w:hAnsi="Times New Roman" w:cs="Times New Roman"/>
                <w:noProof/>
                <w:sz w:val="20"/>
                <w:lang w:val="en-GB"/>
              </w:rPr>
              <w:t>sought</w:t>
            </w:r>
            <w:r w:rsidR="000662AA" w:rsidRPr="000949A1">
              <w:rPr>
                <w:rFonts w:ascii="Times New Roman" w:hAnsi="Times New Roman" w:cs="Times New Roman"/>
                <w:noProof/>
                <w:sz w:val="20"/>
                <w:lang w:val="en-GB"/>
              </w:rPr>
              <w:t xml:space="preserve"> </w:t>
            </w:r>
            <w:r w:rsidRPr="000949A1">
              <w:rPr>
                <w:rFonts w:ascii="Times New Roman" w:hAnsi="Times New Roman" w:cs="Times New Roman"/>
                <w:noProof/>
                <w:sz w:val="20"/>
                <w:lang w:val="en-GB"/>
              </w:rPr>
              <w:t>to increase the country’s agricultural agency’s anti-fraud and anti-evasion capacity.</w:t>
            </w:r>
          </w:p>
        </w:tc>
      </w:tr>
      <w:tr w:rsidR="000949A1" w:rsidRPr="000949A1" w:rsidTr="000949A1">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Estonia</w:t>
            </w:r>
          </w:p>
        </w:tc>
        <w:tc>
          <w:tcPr>
            <w:tcW w:w="7062" w:type="dxa"/>
          </w:tcPr>
          <w:p w:rsidR="000949A1" w:rsidRPr="000949A1" w:rsidRDefault="000949A1" w:rsidP="00B944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Anti-fraud action was focused on fraud prevention and detection. On the revenue side, Estonia </w:t>
            </w:r>
            <w:r w:rsidR="00202312">
              <w:rPr>
                <w:rFonts w:ascii="Times New Roman" w:hAnsi="Times New Roman" w:cs="Times New Roman"/>
                <w:noProof/>
                <w:sz w:val="20"/>
                <w:lang w:val="en-GB"/>
              </w:rPr>
              <w:t>created</w:t>
            </w:r>
            <w:r w:rsidR="00202312" w:rsidRPr="000949A1">
              <w:rPr>
                <w:rFonts w:ascii="Times New Roman" w:hAnsi="Times New Roman" w:cs="Times New Roman"/>
                <w:noProof/>
                <w:sz w:val="20"/>
                <w:lang w:val="en-GB"/>
              </w:rPr>
              <w:t xml:space="preserve"> </w:t>
            </w:r>
            <w:r w:rsidRPr="000949A1">
              <w:rPr>
                <w:rFonts w:ascii="Times New Roman" w:hAnsi="Times New Roman" w:cs="Times New Roman"/>
                <w:noProof/>
                <w:sz w:val="20"/>
                <w:lang w:val="en-GB"/>
              </w:rPr>
              <w:t>an IT tool that compares declared and prices</w:t>
            </w:r>
            <w:r w:rsidR="00B944D5">
              <w:rPr>
                <w:rFonts w:ascii="Times New Roman" w:hAnsi="Times New Roman" w:cs="Times New Roman"/>
                <w:noProof/>
                <w:sz w:val="20"/>
                <w:lang w:val="en-GB"/>
              </w:rPr>
              <w:t xml:space="preserve"> enlisted in the tool</w:t>
            </w:r>
            <w:r w:rsidRPr="000949A1">
              <w:rPr>
                <w:rFonts w:ascii="Times New Roman" w:hAnsi="Times New Roman" w:cs="Times New Roman"/>
                <w:noProof/>
                <w:sz w:val="20"/>
                <w:lang w:val="en-GB"/>
              </w:rPr>
              <w:t xml:space="preserve">. The second measure automatically linked public procurement procedures to the invoices paid, </w:t>
            </w:r>
            <w:r w:rsidR="00202312">
              <w:rPr>
                <w:rFonts w:ascii="Times New Roman" w:hAnsi="Times New Roman" w:cs="Times New Roman"/>
                <w:noProof/>
                <w:sz w:val="20"/>
                <w:lang w:val="en-GB"/>
              </w:rPr>
              <w:t xml:space="preserve">thus </w:t>
            </w:r>
            <w:r w:rsidRPr="000949A1">
              <w:rPr>
                <w:rFonts w:ascii="Times New Roman" w:hAnsi="Times New Roman" w:cs="Times New Roman"/>
                <w:noProof/>
                <w:sz w:val="20"/>
                <w:lang w:val="en-GB"/>
              </w:rPr>
              <w:t xml:space="preserve">boosting control. Thirdly, Estonia updated its </w:t>
            </w:r>
            <w:r w:rsidR="00202312">
              <w:rPr>
                <w:rFonts w:ascii="Times New Roman" w:hAnsi="Times New Roman" w:cs="Times New Roman"/>
                <w:noProof/>
                <w:sz w:val="20"/>
                <w:lang w:val="en-GB"/>
              </w:rPr>
              <w:t xml:space="preserve">catalogue of </w:t>
            </w:r>
            <w:r w:rsidRPr="000949A1">
              <w:rPr>
                <w:rFonts w:ascii="Times New Roman" w:hAnsi="Times New Roman" w:cs="Times New Roman"/>
                <w:noProof/>
                <w:sz w:val="20"/>
                <w:lang w:val="en-GB"/>
              </w:rPr>
              <w:t xml:space="preserve">anti-fraud </w:t>
            </w:r>
            <w:r w:rsidR="00202312">
              <w:rPr>
                <w:rFonts w:ascii="Times New Roman" w:hAnsi="Times New Roman" w:cs="Times New Roman"/>
                <w:noProof/>
                <w:sz w:val="20"/>
                <w:lang w:val="en-GB"/>
              </w:rPr>
              <w:t>training activities</w:t>
            </w:r>
            <w:r w:rsidRPr="000949A1">
              <w:rPr>
                <w:rFonts w:ascii="Times New Roman" w:hAnsi="Times New Roman" w:cs="Times New Roman"/>
                <w:noProof/>
                <w:sz w:val="20"/>
                <w:lang w:val="en-GB"/>
              </w:rPr>
              <w:t>.</w:t>
            </w:r>
          </w:p>
        </w:tc>
      </w:tr>
      <w:tr w:rsidR="000949A1" w:rsidRPr="000949A1" w:rsidTr="0009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Finland</w:t>
            </w:r>
          </w:p>
        </w:tc>
        <w:tc>
          <w:tcPr>
            <w:tcW w:w="7062" w:type="dxa"/>
          </w:tcPr>
          <w:p w:rsidR="000949A1" w:rsidRPr="000949A1" w:rsidRDefault="000949A1" w:rsidP="002D44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Two measures, both primarily aim</w:t>
            </w:r>
            <w:r w:rsidR="00202312">
              <w:rPr>
                <w:rFonts w:ascii="Times New Roman" w:hAnsi="Times New Roman" w:cs="Times New Roman"/>
                <w:noProof/>
                <w:sz w:val="20"/>
                <w:lang w:val="en-GB"/>
              </w:rPr>
              <w:t xml:space="preserve">ed at </w:t>
            </w:r>
            <w:r w:rsidRPr="000949A1">
              <w:rPr>
                <w:rFonts w:ascii="Times New Roman" w:hAnsi="Times New Roman" w:cs="Times New Roman"/>
                <w:noProof/>
                <w:sz w:val="20"/>
                <w:lang w:val="en-GB"/>
              </w:rPr>
              <w:t>strengthen</w:t>
            </w:r>
            <w:r w:rsidR="00202312">
              <w:rPr>
                <w:rFonts w:ascii="Times New Roman" w:hAnsi="Times New Roman" w:cs="Times New Roman"/>
                <w:noProof/>
                <w:sz w:val="20"/>
                <w:lang w:val="en-GB"/>
              </w:rPr>
              <w:t>ing</w:t>
            </w:r>
            <w:r w:rsidRPr="000949A1">
              <w:rPr>
                <w:rFonts w:ascii="Times New Roman" w:hAnsi="Times New Roman" w:cs="Times New Roman"/>
                <w:noProof/>
                <w:sz w:val="20"/>
                <w:lang w:val="en-GB"/>
              </w:rPr>
              <w:t xml:space="preserve"> fraud prevention, </w:t>
            </w:r>
            <w:r w:rsidR="002D44B2">
              <w:rPr>
                <w:rFonts w:ascii="Times New Roman" w:hAnsi="Times New Roman" w:cs="Times New Roman"/>
                <w:noProof/>
                <w:sz w:val="20"/>
                <w:lang w:val="en-GB"/>
              </w:rPr>
              <w:t xml:space="preserve">in a cross-cutting fashion </w:t>
            </w:r>
            <w:r w:rsidRPr="000949A1">
              <w:rPr>
                <w:rFonts w:ascii="Times New Roman" w:hAnsi="Times New Roman" w:cs="Times New Roman"/>
                <w:noProof/>
                <w:sz w:val="20"/>
                <w:lang w:val="en-GB"/>
              </w:rPr>
              <w:t xml:space="preserve">and </w:t>
            </w:r>
            <w:r w:rsidR="00202312">
              <w:rPr>
                <w:rFonts w:ascii="Times New Roman" w:hAnsi="Times New Roman" w:cs="Times New Roman"/>
                <w:noProof/>
                <w:sz w:val="20"/>
                <w:lang w:val="en-GB"/>
              </w:rPr>
              <w:t xml:space="preserve">in relation to </w:t>
            </w:r>
            <w:r w:rsidRPr="000949A1">
              <w:rPr>
                <w:rFonts w:ascii="Times New Roman" w:hAnsi="Times New Roman" w:cs="Times New Roman"/>
                <w:noProof/>
                <w:sz w:val="20"/>
                <w:lang w:val="en-GB"/>
              </w:rPr>
              <w:t xml:space="preserve">RRF funds. The first measure comprised guidelines </w:t>
            </w:r>
            <w:r w:rsidR="00202312">
              <w:rPr>
                <w:rFonts w:ascii="Times New Roman" w:hAnsi="Times New Roman" w:cs="Times New Roman"/>
                <w:noProof/>
                <w:sz w:val="20"/>
                <w:lang w:val="en-GB"/>
              </w:rPr>
              <w:t xml:space="preserve">for </w:t>
            </w:r>
            <w:r w:rsidRPr="000949A1">
              <w:rPr>
                <w:rFonts w:ascii="Times New Roman" w:hAnsi="Times New Roman" w:cs="Times New Roman"/>
                <w:noProof/>
                <w:sz w:val="20"/>
                <w:lang w:val="en-GB"/>
              </w:rPr>
              <w:t xml:space="preserve">curbing corruption in the central state administration, which runs and supervises </w:t>
            </w:r>
            <w:r w:rsidR="00202312">
              <w:rPr>
                <w:rFonts w:ascii="Times New Roman" w:hAnsi="Times New Roman" w:cs="Times New Roman"/>
                <w:noProof/>
                <w:sz w:val="20"/>
                <w:lang w:val="en-GB"/>
              </w:rPr>
              <w:t xml:space="preserve">the management of </w:t>
            </w:r>
            <w:r w:rsidRPr="000949A1">
              <w:rPr>
                <w:rFonts w:ascii="Times New Roman" w:hAnsi="Times New Roman" w:cs="Times New Roman"/>
                <w:noProof/>
                <w:sz w:val="20"/>
                <w:lang w:val="en-GB"/>
              </w:rPr>
              <w:t xml:space="preserve">EU funds. The second measure </w:t>
            </w:r>
            <w:r w:rsidR="00202312">
              <w:rPr>
                <w:rFonts w:ascii="Times New Roman" w:hAnsi="Times New Roman" w:cs="Times New Roman"/>
                <w:noProof/>
                <w:sz w:val="20"/>
                <w:lang w:val="en-GB"/>
              </w:rPr>
              <w:t>concerned</w:t>
            </w:r>
            <w:r w:rsidR="00202312" w:rsidRPr="000949A1">
              <w:rPr>
                <w:rFonts w:ascii="Times New Roman" w:hAnsi="Times New Roman" w:cs="Times New Roman"/>
                <w:noProof/>
                <w:sz w:val="20"/>
                <w:lang w:val="en-GB"/>
              </w:rPr>
              <w:t xml:space="preserve"> </w:t>
            </w:r>
            <w:r w:rsidRPr="000949A1">
              <w:rPr>
                <w:rFonts w:ascii="Times New Roman" w:hAnsi="Times New Roman" w:cs="Times New Roman"/>
                <w:noProof/>
                <w:sz w:val="20"/>
                <w:lang w:val="en-GB"/>
              </w:rPr>
              <w:t>training sessions on fraud prevention for RRF.</w:t>
            </w:r>
          </w:p>
        </w:tc>
      </w:tr>
      <w:tr w:rsidR="000949A1" w:rsidRPr="000949A1" w:rsidTr="000949A1">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France</w:t>
            </w:r>
          </w:p>
        </w:tc>
        <w:tc>
          <w:tcPr>
            <w:tcW w:w="7062" w:type="dxa"/>
          </w:tcPr>
          <w:p w:rsidR="000949A1" w:rsidRPr="000949A1" w:rsidRDefault="000949A1" w:rsidP="008163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Three measures all covering fraud detection. The first measure aligned French law with EU law on whistleblowers and their protection across the board. The second action, </w:t>
            </w:r>
            <w:r w:rsidR="00202312">
              <w:rPr>
                <w:rFonts w:ascii="Times New Roman" w:hAnsi="Times New Roman" w:cs="Times New Roman"/>
                <w:noProof/>
                <w:sz w:val="20"/>
                <w:lang w:val="en-GB"/>
              </w:rPr>
              <w:t>also</w:t>
            </w:r>
            <w:r w:rsidR="00202312" w:rsidRPr="000949A1">
              <w:rPr>
                <w:rFonts w:ascii="Times New Roman" w:hAnsi="Times New Roman" w:cs="Times New Roman"/>
                <w:noProof/>
                <w:sz w:val="20"/>
                <w:lang w:val="en-GB"/>
              </w:rPr>
              <w:t xml:space="preserve"> </w:t>
            </w:r>
            <w:r w:rsidR="002D44B2">
              <w:rPr>
                <w:rFonts w:ascii="Times New Roman" w:hAnsi="Times New Roman" w:cs="Times New Roman"/>
                <w:noProof/>
                <w:sz w:val="20"/>
                <w:lang w:val="en-GB"/>
              </w:rPr>
              <w:t>cross-cutting</w:t>
            </w:r>
            <w:r w:rsidRPr="000949A1">
              <w:rPr>
                <w:rFonts w:ascii="Times New Roman" w:hAnsi="Times New Roman" w:cs="Times New Roman"/>
                <w:noProof/>
                <w:sz w:val="20"/>
                <w:lang w:val="en-GB"/>
              </w:rPr>
              <w:t xml:space="preserve">, concerned a training agreement and special training courses with the EPPO. The third measure specifically </w:t>
            </w:r>
            <w:r w:rsidR="00202312">
              <w:rPr>
                <w:rFonts w:ascii="Times New Roman" w:hAnsi="Times New Roman" w:cs="Times New Roman"/>
                <w:noProof/>
                <w:sz w:val="20"/>
                <w:lang w:val="en-GB"/>
              </w:rPr>
              <w:t xml:space="preserve">targeted </w:t>
            </w:r>
            <w:r w:rsidRPr="000949A1">
              <w:rPr>
                <w:rFonts w:ascii="Times New Roman" w:hAnsi="Times New Roman" w:cs="Times New Roman"/>
                <w:noProof/>
                <w:sz w:val="20"/>
                <w:lang w:val="en-GB"/>
              </w:rPr>
              <w:t>the RRF and set</w:t>
            </w:r>
            <w:r w:rsidR="00202312">
              <w:rPr>
                <w:rFonts w:ascii="Times New Roman" w:hAnsi="Times New Roman" w:cs="Times New Roman"/>
                <w:noProof/>
                <w:sz w:val="20"/>
                <w:lang w:val="en-GB"/>
              </w:rPr>
              <w:t xml:space="preserve"> </w:t>
            </w:r>
            <w:r w:rsidRPr="000949A1">
              <w:rPr>
                <w:rFonts w:ascii="Times New Roman" w:hAnsi="Times New Roman" w:cs="Times New Roman"/>
                <w:noProof/>
                <w:sz w:val="20"/>
                <w:lang w:val="en-GB"/>
              </w:rPr>
              <w:t>up a task force to monitor and anticipate fraud risks.</w:t>
            </w:r>
          </w:p>
        </w:tc>
      </w:tr>
      <w:tr w:rsidR="000949A1" w:rsidRPr="000949A1" w:rsidTr="0009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Germany</w:t>
            </w:r>
          </w:p>
        </w:tc>
        <w:tc>
          <w:tcPr>
            <w:tcW w:w="7062" w:type="dxa"/>
          </w:tcPr>
          <w:p w:rsidR="000949A1" w:rsidRPr="000949A1" w:rsidRDefault="000949A1" w:rsidP="002023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Three measures predominantly aimed </w:t>
            </w:r>
            <w:r w:rsidR="00202312">
              <w:rPr>
                <w:rFonts w:ascii="Times New Roman" w:hAnsi="Times New Roman" w:cs="Times New Roman"/>
                <w:noProof/>
                <w:sz w:val="20"/>
                <w:lang w:val="en-GB"/>
              </w:rPr>
              <w:t>at</w:t>
            </w:r>
            <w:r w:rsidRPr="000949A1">
              <w:rPr>
                <w:rFonts w:ascii="Times New Roman" w:hAnsi="Times New Roman" w:cs="Times New Roman"/>
                <w:noProof/>
                <w:sz w:val="20"/>
                <w:lang w:val="en-GB"/>
              </w:rPr>
              <w:t xml:space="preserve"> prevent</w:t>
            </w:r>
            <w:r w:rsidR="00202312">
              <w:rPr>
                <w:rFonts w:ascii="Times New Roman" w:hAnsi="Times New Roman" w:cs="Times New Roman"/>
                <w:noProof/>
                <w:sz w:val="20"/>
                <w:lang w:val="en-GB"/>
              </w:rPr>
              <w:t>ing</w:t>
            </w:r>
            <w:r w:rsidRPr="000949A1">
              <w:rPr>
                <w:rFonts w:ascii="Times New Roman" w:hAnsi="Times New Roman" w:cs="Times New Roman"/>
                <w:noProof/>
                <w:sz w:val="20"/>
                <w:lang w:val="en-GB"/>
              </w:rPr>
              <w:t xml:space="preserve"> fraud against EU funds, including agricultural, fisheries and cohesion funds, but also targeting the remaining three </w:t>
            </w:r>
            <w:r w:rsidR="00202312">
              <w:rPr>
                <w:rFonts w:ascii="Times New Roman" w:hAnsi="Times New Roman" w:cs="Times New Roman"/>
                <w:noProof/>
                <w:sz w:val="20"/>
                <w:lang w:val="en-GB"/>
              </w:rPr>
              <w:t xml:space="preserve">stages of the </w:t>
            </w:r>
            <w:r w:rsidR="00B944D5">
              <w:rPr>
                <w:rFonts w:ascii="Times New Roman" w:hAnsi="Times New Roman" w:cs="Times New Roman"/>
                <w:noProof/>
                <w:sz w:val="20"/>
                <w:lang w:val="en-GB"/>
              </w:rPr>
              <w:t>anti-</w:t>
            </w:r>
            <w:r w:rsidRPr="000949A1">
              <w:rPr>
                <w:rFonts w:ascii="Times New Roman" w:hAnsi="Times New Roman" w:cs="Times New Roman"/>
                <w:noProof/>
                <w:sz w:val="20"/>
                <w:lang w:val="en-GB"/>
              </w:rPr>
              <w:t>fraud cycle. They range from a new strategy paper to a strategic update and an updated self-assessment tool.</w:t>
            </w:r>
          </w:p>
        </w:tc>
      </w:tr>
      <w:tr w:rsidR="000949A1" w:rsidRPr="000949A1" w:rsidTr="000949A1">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Greece</w:t>
            </w:r>
          </w:p>
        </w:tc>
        <w:tc>
          <w:tcPr>
            <w:tcW w:w="7062" w:type="dxa"/>
          </w:tcPr>
          <w:p w:rsidR="000949A1" w:rsidRPr="000949A1" w:rsidRDefault="000949A1" w:rsidP="008163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Three legislative measures mostly targeting the early stages of the anti-fraud cycle. The first was </w:t>
            </w:r>
            <w:r w:rsidR="002D44B2">
              <w:rPr>
                <w:rFonts w:ascii="Times New Roman" w:hAnsi="Times New Roman" w:cs="Times New Roman"/>
                <w:noProof/>
                <w:sz w:val="20"/>
                <w:lang w:val="en-GB"/>
              </w:rPr>
              <w:t>cross-cutting</w:t>
            </w:r>
            <w:r w:rsidRPr="000949A1">
              <w:rPr>
                <w:rFonts w:ascii="Times New Roman" w:hAnsi="Times New Roman" w:cs="Times New Roman"/>
                <w:noProof/>
                <w:sz w:val="20"/>
                <w:lang w:val="en-GB"/>
              </w:rPr>
              <w:t xml:space="preserve"> while the other two focused on RRF, agricultural, and fisheries funds. The </w:t>
            </w:r>
            <w:r w:rsidR="002D44B2">
              <w:rPr>
                <w:rFonts w:ascii="Times New Roman" w:hAnsi="Times New Roman" w:cs="Times New Roman"/>
                <w:noProof/>
                <w:sz w:val="20"/>
                <w:lang w:val="en-GB"/>
              </w:rPr>
              <w:t>cross-cutting</w:t>
            </w:r>
            <w:r w:rsidR="002D44B2" w:rsidRPr="000949A1">
              <w:rPr>
                <w:rFonts w:ascii="Times New Roman" w:hAnsi="Times New Roman" w:cs="Times New Roman"/>
                <w:noProof/>
                <w:sz w:val="20"/>
                <w:lang w:val="en-GB"/>
              </w:rPr>
              <w:t xml:space="preserve"> </w:t>
            </w:r>
            <w:r w:rsidRPr="000949A1">
              <w:rPr>
                <w:rFonts w:ascii="Times New Roman" w:hAnsi="Times New Roman" w:cs="Times New Roman"/>
                <w:noProof/>
                <w:sz w:val="20"/>
                <w:lang w:val="en-GB"/>
              </w:rPr>
              <w:t>measure transposed the Whistleblow</w:t>
            </w:r>
            <w:r w:rsidR="00202312">
              <w:rPr>
                <w:rFonts w:ascii="Times New Roman" w:hAnsi="Times New Roman" w:cs="Times New Roman"/>
                <w:noProof/>
                <w:sz w:val="20"/>
                <w:lang w:val="en-GB"/>
              </w:rPr>
              <w:t>er</w:t>
            </w:r>
            <w:r w:rsidRPr="000949A1">
              <w:rPr>
                <w:rFonts w:ascii="Times New Roman" w:hAnsi="Times New Roman" w:cs="Times New Roman"/>
                <w:noProof/>
                <w:sz w:val="20"/>
                <w:lang w:val="en-GB"/>
              </w:rPr>
              <w:t xml:space="preserve"> Directive into Greek law. The second added a dedicated fraud prevention, detection, recovery, and sanctions unit to the Greek RRF Coordination Agency. The third measure followed an EU recommendation, separating administrative from on-the-spot checks under agriculture and fisheries fund management.</w:t>
            </w:r>
          </w:p>
        </w:tc>
      </w:tr>
      <w:tr w:rsidR="000949A1" w:rsidRPr="000949A1" w:rsidTr="0009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Hungary</w:t>
            </w:r>
          </w:p>
        </w:tc>
        <w:tc>
          <w:tcPr>
            <w:tcW w:w="7062" w:type="dxa"/>
          </w:tcPr>
          <w:p w:rsidR="000949A1" w:rsidRPr="000949A1" w:rsidRDefault="000949A1" w:rsidP="00880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Three measures, focusing primarily on fraud prevention and detection. The first implements the Commission notification submitted to Hungary under the conditionality mechanism, which relates to the country’s public procurement system, through new legislation and an operational update. The second strengthened cooperation between Hungary and OLAF on investigations. The third targeted multiple funds and entailed new legislative, organisational, and operational steps, laying the groundwork for two bodies that will control EU funds.</w:t>
            </w:r>
          </w:p>
        </w:tc>
      </w:tr>
      <w:tr w:rsidR="000949A1" w:rsidRPr="000949A1" w:rsidTr="000949A1">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Ireland</w:t>
            </w:r>
          </w:p>
        </w:tc>
        <w:tc>
          <w:tcPr>
            <w:tcW w:w="7062" w:type="dxa"/>
          </w:tcPr>
          <w:p w:rsidR="000949A1" w:rsidRPr="000949A1" w:rsidRDefault="000949A1" w:rsidP="00F541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Two organisational measures fostered </w:t>
            </w:r>
            <w:r w:rsidR="00F54198">
              <w:rPr>
                <w:rFonts w:ascii="Times New Roman" w:hAnsi="Times New Roman" w:cs="Times New Roman"/>
                <w:noProof/>
                <w:sz w:val="20"/>
                <w:lang w:val="en-GB"/>
              </w:rPr>
              <w:t xml:space="preserve">thorough </w:t>
            </w:r>
            <w:r w:rsidRPr="000949A1">
              <w:rPr>
                <w:rFonts w:ascii="Times New Roman" w:hAnsi="Times New Roman" w:cs="Times New Roman"/>
                <w:noProof/>
                <w:sz w:val="20"/>
                <w:lang w:val="en-GB"/>
              </w:rPr>
              <w:t xml:space="preserve">anti-fraud action at all </w:t>
            </w:r>
            <w:r w:rsidR="0009125D">
              <w:rPr>
                <w:rFonts w:ascii="Times New Roman" w:hAnsi="Times New Roman" w:cs="Times New Roman"/>
                <w:noProof/>
                <w:sz w:val="20"/>
                <w:lang w:val="en-GB"/>
              </w:rPr>
              <w:t xml:space="preserve">stages of the cycle </w:t>
            </w:r>
            <w:r w:rsidRPr="000949A1">
              <w:rPr>
                <w:rFonts w:ascii="Times New Roman" w:hAnsi="Times New Roman" w:cs="Times New Roman"/>
                <w:noProof/>
                <w:sz w:val="20"/>
                <w:lang w:val="en-GB"/>
              </w:rPr>
              <w:t xml:space="preserve">in the management of agricultural and fisheries funds. The first measure enhanced the fraud register, while the second </w:t>
            </w:r>
            <w:r w:rsidR="00F54198">
              <w:rPr>
                <w:rFonts w:ascii="Times New Roman" w:hAnsi="Times New Roman" w:cs="Times New Roman"/>
                <w:noProof/>
                <w:sz w:val="20"/>
                <w:lang w:val="en-GB"/>
              </w:rPr>
              <w:t>established</w:t>
            </w:r>
            <w:r w:rsidR="0009125D" w:rsidRPr="000949A1">
              <w:rPr>
                <w:rFonts w:ascii="Times New Roman" w:hAnsi="Times New Roman" w:cs="Times New Roman"/>
                <w:noProof/>
                <w:sz w:val="20"/>
                <w:lang w:val="en-GB"/>
              </w:rPr>
              <w:t xml:space="preserve"> </w:t>
            </w:r>
            <w:r w:rsidRPr="000949A1">
              <w:rPr>
                <w:rFonts w:ascii="Times New Roman" w:hAnsi="Times New Roman" w:cs="Times New Roman"/>
                <w:noProof/>
                <w:sz w:val="20"/>
                <w:lang w:val="en-GB"/>
              </w:rPr>
              <w:t>an IT solution for conflict of interest declarations.</w:t>
            </w:r>
          </w:p>
        </w:tc>
      </w:tr>
      <w:tr w:rsidR="000949A1" w:rsidRPr="000949A1" w:rsidTr="0009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Italy</w:t>
            </w:r>
          </w:p>
        </w:tc>
        <w:tc>
          <w:tcPr>
            <w:tcW w:w="7062" w:type="dxa"/>
          </w:tcPr>
          <w:p w:rsidR="000949A1" w:rsidRPr="000949A1" w:rsidRDefault="000949A1" w:rsidP="00880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Three measures focused on revenue, covering all stages of the anti-fraud cycle. The first aims to curb tax evasion and money</w:t>
            </w:r>
            <w:r w:rsidR="00F54198">
              <w:rPr>
                <w:rFonts w:ascii="Times New Roman" w:hAnsi="Times New Roman" w:cs="Times New Roman"/>
                <w:noProof/>
                <w:sz w:val="20"/>
                <w:lang w:val="en-GB"/>
              </w:rPr>
              <w:t>-</w:t>
            </w:r>
            <w:r w:rsidRPr="000949A1">
              <w:rPr>
                <w:rFonts w:ascii="Times New Roman" w:hAnsi="Times New Roman" w:cs="Times New Roman"/>
                <w:noProof/>
                <w:sz w:val="20"/>
                <w:lang w:val="en-GB"/>
              </w:rPr>
              <w:t>launder</w:t>
            </w:r>
            <w:r w:rsidR="00F54198">
              <w:rPr>
                <w:rFonts w:ascii="Times New Roman" w:hAnsi="Times New Roman" w:cs="Times New Roman"/>
                <w:noProof/>
                <w:sz w:val="20"/>
                <w:lang w:val="en-GB"/>
              </w:rPr>
              <w:t>ing</w:t>
            </w:r>
            <w:r w:rsidRPr="000949A1">
              <w:rPr>
                <w:rFonts w:ascii="Times New Roman" w:hAnsi="Times New Roman" w:cs="Times New Roman"/>
                <w:noProof/>
                <w:sz w:val="20"/>
                <w:lang w:val="en-GB"/>
              </w:rPr>
              <w:t xml:space="preserve"> linked to the entry of under</w:t>
            </w:r>
            <w:r w:rsidR="0093623D">
              <w:rPr>
                <w:rFonts w:ascii="Times New Roman" w:hAnsi="Times New Roman" w:cs="Times New Roman"/>
                <w:noProof/>
                <w:sz w:val="20"/>
                <w:lang w:val="en-GB"/>
              </w:rPr>
              <w:t>-</w:t>
            </w:r>
            <w:r w:rsidRPr="000949A1">
              <w:rPr>
                <w:rFonts w:ascii="Times New Roman" w:hAnsi="Times New Roman" w:cs="Times New Roman"/>
                <w:noProof/>
                <w:sz w:val="20"/>
                <w:lang w:val="en-GB"/>
              </w:rPr>
              <w:t xml:space="preserve">declared Chinese goods into EU territory. The second concerned a plan targeting customs and VAT fraud. The third aligned Italian </w:t>
            </w:r>
            <w:r w:rsidR="00F54198">
              <w:rPr>
                <w:rFonts w:ascii="Times New Roman" w:hAnsi="Times New Roman" w:cs="Times New Roman"/>
                <w:noProof/>
                <w:sz w:val="20"/>
                <w:lang w:val="en-GB"/>
              </w:rPr>
              <w:t xml:space="preserve">law </w:t>
            </w:r>
            <w:r w:rsidRPr="000949A1">
              <w:rPr>
                <w:rFonts w:ascii="Times New Roman" w:hAnsi="Times New Roman" w:cs="Times New Roman"/>
                <w:noProof/>
                <w:sz w:val="20"/>
                <w:lang w:val="en-GB"/>
              </w:rPr>
              <w:t>with EU law on asset confiscation.</w:t>
            </w:r>
          </w:p>
        </w:tc>
      </w:tr>
      <w:tr w:rsidR="000949A1" w:rsidRPr="000949A1" w:rsidTr="000949A1">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Latvia</w:t>
            </w:r>
          </w:p>
        </w:tc>
        <w:tc>
          <w:tcPr>
            <w:tcW w:w="7062" w:type="dxa"/>
          </w:tcPr>
          <w:p w:rsidR="000949A1" w:rsidRPr="000949A1" w:rsidRDefault="000949A1" w:rsidP="008163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Three measures intended to improve fraud detection, </w:t>
            </w:r>
            <w:r w:rsidR="002D44B2">
              <w:rPr>
                <w:rFonts w:ascii="Times New Roman" w:hAnsi="Times New Roman" w:cs="Times New Roman"/>
                <w:noProof/>
                <w:sz w:val="20"/>
                <w:lang w:val="en-GB"/>
              </w:rPr>
              <w:t xml:space="preserve">in a cross-cutting fashion and </w:t>
            </w:r>
            <w:r w:rsidRPr="000949A1">
              <w:rPr>
                <w:rFonts w:ascii="Times New Roman" w:hAnsi="Times New Roman" w:cs="Times New Roman"/>
                <w:noProof/>
                <w:sz w:val="20"/>
                <w:lang w:val="en-GB"/>
              </w:rPr>
              <w:t>in relation to tax</w:t>
            </w:r>
            <w:r w:rsidR="002D44B2">
              <w:rPr>
                <w:rFonts w:ascii="Times New Roman" w:hAnsi="Times New Roman" w:cs="Times New Roman"/>
                <w:noProof/>
                <w:sz w:val="20"/>
                <w:lang w:val="en-GB"/>
              </w:rPr>
              <w:t xml:space="preserve"> </w:t>
            </w:r>
            <w:r w:rsidRPr="000949A1">
              <w:rPr>
                <w:rFonts w:ascii="Times New Roman" w:hAnsi="Times New Roman" w:cs="Times New Roman"/>
                <w:noProof/>
                <w:sz w:val="20"/>
                <w:lang w:val="en-GB"/>
              </w:rPr>
              <w:t xml:space="preserve">fraud. The first measure </w:t>
            </w:r>
            <w:r w:rsidR="00F54198">
              <w:rPr>
                <w:rFonts w:ascii="Times New Roman" w:hAnsi="Times New Roman" w:cs="Times New Roman"/>
                <w:noProof/>
                <w:sz w:val="20"/>
                <w:lang w:val="en-GB"/>
              </w:rPr>
              <w:t>relates</w:t>
            </w:r>
            <w:r w:rsidR="00F54198" w:rsidRPr="000949A1">
              <w:rPr>
                <w:rFonts w:ascii="Times New Roman" w:hAnsi="Times New Roman" w:cs="Times New Roman"/>
                <w:noProof/>
                <w:sz w:val="20"/>
                <w:lang w:val="en-GB"/>
              </w:rPr>
              <w:t xml:space="preserve"> </w:t>
            </w:r>
            <w:r w:rsidRPr="000949A1">
              <w:rPr>
                <w:rFonts w:ascii="Times New Roman" w:hAnsi="Times New Roman" w:cs="Times New Roman"/>
                <w:noProof/>
                <w:sz w:val="20"/>
                <w:lang w:val="en-GB"/>
              </w:rPr>
              <w:t xml:space="preserve">to an IT tool used to search for red flags in revenue and expenditure controls and checks. </w:t>
            </w:r>
            <w:r w:rsidR="002D44B2">
              <w:rPr>
                <w:rFonts w:ascii="Times New Roman" w:hAnsi="Times New Roman" w:cs="Times New Roman"/>
                <w:noProof/>
                <w:sz w:val="20"/>
                <w:lang w:val="en-GB"/>
              </w:rPr>
              <w:t xml:space="preserve"> </w:t>
            </w:r>
            <w:r w:rsidRPr="000949A1">
              <w:rPr>
                <w:rFonts w:ascii="Times New Roman" w:hAnsi="Times New Roman" w:cs="Times New Roman"/>
                <w:noProof/>
                <w:sz w:val="20"/>
                <w:lang w:val="en-GB"/>
              </w:rPr>
              <w:t>The second concerned an e-learning course on the protection of the EU’s financial interests, available country</w:t>
            </w:r>
            <w:r w:rsidR="00F54198">
              <w:rPr>
                <w:rFonts w:ascii="Times New Roman" w:hAnsi="Times New Roman" w:cs="Times New Roman"/>
                <w:noProof/>
                <w:sz w:val="20"/>
                <w:lang w:val="en-GB"/>
              </w:rPr>
              <w:t>-</w:t>
            </w:r>
            <w:r w:rsidRPr="000949A1">
              <w:rPr>
                <w:rFonts w:ascii="Times New Roman" w:hAnsi="Times New Roman" w:cs="Times New Roman"/>
                <w:noProof/>
                <w:sz w:val="20"/>
                <w:lang w:val="en-GB"/>
              </w:rPr>
              <w:t xml:space="preserve">wide, and the third </w:t>
            </w:r>
            <w:r w:rsidR="00F54198">
              <w:rPr>
                <w:rFonts w:ascii="Times New Roman" w:hAnsi="Times New Roman" w:cs="Times New Roman"/>
                <w:noProof/>
                <w:sz w:val="20"/>
                <w:lang w:val="en-GB"/>
              </w:rPr>
              <w:t xml:space="preserve">involved </w:t>
            </w:r>
            <w:r w:rsidRPr="000949A1">
              <w:rPr>
                <w:rFonts w:ascii="Times New Roman" w:hAnsi="Times New Roman" w:cs="Times New Roman"/>
                <w:noProof/>
                <w:sz w:val="20"/>
                <w:lang w:val="en-GB"/>
              </w:rPr>
              <w:t>capacity</w:t>
            </w:r>
            <w:r w:rsidR="00F54198">
              <w:rPr>
                <w:rFonts w:ascii="Times New Roman" w:hAnsi="Times New Roman" w:cs="Times New Roman"/>
                <w:noProof/>
                <w:sz w:val="20"/>
                <w:lang w:val="en-GB"/>
              </w:rPr>
              <w:t>-</w:t>
            </w:r>
            <w:r w:rsidRPr="000949A1">
              <w:rPr>
                <w:rFonts w:ascii="Times New Roman" w:hAnsi="Times New Roman" w:cs="Times New Roman"/>
                <w:noProof/>
                <w:sz w:val="20"/>
                <w:lang w:val="en-GB"/>
              </w:rPr>
              <w:t>building training for revenue and control staff.</w:t>
            </w:r>
          </w:p>
        </w:tc>
      </w:tr>
      <w:tr w:rsidR="000949A1" w:rsidRPr="000949A1" w:rsidTr="0009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Lithuania</w:t>
            </w:r>
          </w:p>
        </w:tc>
        <w:tc>
          <w:tcPr>
            <w:tcW w:w="7062" w:type="dxa"/>
          </w:tcPr>
          <w:p w:rsidR="000949A1" w:rsidRPr="000949A1" w:rsidRDefault="00B944D5" w:rsidP="00880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r>
              <w:rPr>
                <w:rFonts w:ascii="Times New Roman" w:hAnsi="Times New Roman" w:cs="Times New Roman"/>
                <w:noProof/>
                <w:sz w:val="20"/>
                <w:lang w:val="en-GB"/>
              </w:rPr>
              <w:t>Not available</w:t>
            </w:r>
          </w:p>
        </w:tc>
      </w:tr>
      <w:tr w:rsidR="000949A1" w:rsidRPr="000949A1" w:rsidTr="000949A1">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Luxembourg</w:t>
            </w:r>
          </w:p>
        </w:tc>
        <w:tc>
          <w:tcPr>
            <w:tcW w:w="7062" w:type="dxa"/>
          </w:tcPr>
          <w:p w:rsidR="000949A1" w:rsidRPr="000949A1" w:rsidRDefault="000949A1" w:rsidP="00F541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Two measures cover all stages of the anti-fraud cycle. The first </w:t>
            </w:r>
            <w:r w:rsidR="00F54198">
              <w:rPr>
                <w:rFonts w:ascii="Times New Roman" w:hAnsi="Times New Roman" w:cs="Times New Roman"/>
                <w:noProof/>
                <w:sz w:val="20"/>
                <w:lang w:val="en-GB"/>
              </w:rPr>
              <w:t xml:space="preserve">brought the </w:t>
            </w:r>
            <w:r w:rsidRPr="000949A1">
              <w:rPr>
                <w:rFonts w:ascii="Times New Roman" w:hAnsi="Times New Roman" w:cs="Times New Roman"/>
                <w:noProof/>
                <w:sz w:val="20"/>
                <w:lang w:val="en-GB"/>
              </w:rPr>
              <w:t>Luxembourgish law on mutual assistance and the fight against money</w:t>
            </w:r>
            <w:r w:rsidR="00F54198">
              <w:rPr>
                <w:rFonts w:ascii="Times New Roman" w:hAnsi="Times New Roman" w:cs="Times New Roman"/>
                <w:noProof/>
                <w:sz w:val="20"/>
                <w:lang w:val="en-GB"/>
              </w:rPr>
              <w:t>-</w:t>
            </w:r>
            <w:r w:rsidRPr="000949A1">
              <w:rPr>
                <w:rFonts w:ascii="Times New Roman" w:hAnsi="Times New Roman" w:cs="Times New Roman"/>
                <w:noProof/>
                <w:sz w:val="20"/>
                <w:lang w:val="en-GB"/>
              </w:rPr>
              <w:t xml:space="preserve">laundering and the financing of terrorism </w:t>
            </w:r>
            <w:r w:rsidR="00F54198">
              <w:rPr>
                <w:rFonts w:ascii="Times New Roman" w:hAnsi="Times New Roman" w:cs="Times New Roman"/>
                <w:noProof/>
                <w:sz w:val="20"/>
                <w:lang w:val="en-GB"/>
              </w:rPr>
              <w:t xml:space="preserve">into line </w:t>
            </w:r>
            <w:r w:rsidRPr="000949A1">
              <w:rPr>
                <w:rFonts w:ascii="Times New Roman" w:hAnsi="Times New Roman" w:cs="Times New Roman"/>
                <w:noProof/>
                <w:sz w:val="20"/>
                <w:lang w:val="en-GB"/>
              </w:rPr>
              <w:t>with international standards, while the second related to the framework underpinning the country’s RRP.</w:t>
            </w:r>
          </w:p>
        </w:tc>
      </w:tr>
      <w:tr w:rsidR="000949A1" w:rsidRPr="000949A1" w:rsidTr="0009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Malta</w:t>
            </w:r>
          </w:p>
        </w:tc>
        <w:tc>
          <w:tcPr>
            <w:tcW w:w="7062" w:type="dxa"/>
          </w:tcPr>
          <w:p w:rsidR="000949A1" w:rsidRPr="000949A1" w:rsidRDefault="000949A1" w:rsidP="00880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One cross-cutting measure targeting fraud prevention and detection: the country’s first National Risk Assessment of fraud and corruption.</w:t>
            </w:r>
          </w:p>
        </w:tc>
      </w:tr>
      <w:tr w:rsidR="000949A1" w:rsidRPr="000949A1" w:rsidTr="000949A1">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Netherlands</w:t>
            </w:r>
          </w:p>
        </w:tc>
        <w:tc>
          <w:tcPr>
            <w:tcW w:w="7062" w:type="dxa"/>
          </w:tcPr>
          <w:p w:rsidR="000949A1" w:rsidRPr="000949A1" w:rsidRDefault="000949A1" w:rsidP="00880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The first measure, cross-cutting, ensures that future legislation will be enforceable and verifiable before it becomes effective. The second action improved the Netherlands’ reporting on traditional own resources. The third measure was an update</w:t>
            </w:r>
            <w:r w:rsidR="00F54198">
              <w:rPr>
                <w:rFonts w:ascii="Times New Roman" w:hAnsi="Times New Roman" w:cs="Times New Roman"/>
                <w:noProof/>
                <w:sz w:val="20"/>
                <w:lang w:val="en-GB"/>
              </w:rPr>
              <w:t>d</w:t>
            </w:r>
            <w:r w:rsidRPr="000949A1">
              <w:rPr>
                <w:rFonts w:ascii="Times New Roman" w:hAnsi="Times New Roman" w:cs="Times New Roman"/>
                <w:noProof/>
                <w:sz w:val="20"/>
                <w:lang w:val="en-GB"/>
              </w:rPr>
              <w:t xml:space="preserve"> fraud risk assessment framework for fisheries funds.</w:t>
            </w:r>
          </w:p>
        </w:tc>
      </w:tr>
      <w:tr w:rsidR="000949A1" w:rsidRPr="000949A1" w:rsidTr="0009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Poland</w:t>
            </w:r>
          </w:p>
        </w:tc>
        <w:tc>
          <w:tcPr>
            <w:tcW w:w="7062" w:type="dxa"/>
          </w:tcPr>
          <w:p w:rsidR="000949A1" w:rsidRPr="000949A1" w:rsidRDefault="000949A1" w:rsidP="00E843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Three measures focused on fraud prevention and detection in tax revenues, cohesion and agricultural funds. The first creates a national e-invoicing system. The second measure set up an IT tool used for EU project </w:t>
            </w:r>
            <w:r w:rsidR="00E8430B">
              <w:rPr>
                <w:rFonts w:ascii="Times New Roman" w:hAnsi="Times New Roman" w:cs="Times New Roman"/>
                <w:noProof/>
                <w:sz w:val="20"/>
                <w:lang w:val="en-GB"/>
              </w:rPr>
              <w:t>controls</w:t>
            </w:r>
            <w:r w:rsidRPr="000949A1">
              <w:rPr>
                <w:rFonts w:ascii="Times New Roman" w:hAnsi="Times New Roman" w:cs="Times New Roman"/>
                <w:noProof/>
                <w:sz w:val="20"/>
                <w:lang w:val="en-GB"/>
              </w:rPr>
              <w:t xml:space="preserve">. The third action </w:t>
            </w:r>
            <w:r w:rsidR="00F54198">
              <w:rPr>
                <w:rFonts w:ascii="Times New Roman" w:hAnsi="Times New Roman" w:cs="Times New Roman"/>
                <w:noProof/>
                <w:sz w:val="20"/>
                <w:lang w:val="en-GB"/>
              </w:rPr>
              <w:t>set</w:t>
            </w:r>
            <w:r w:rsidR="00F54198" w:rsidRPr="000949A1">
              <w:rPr>
                <w:rFonts w:ascii="Times New Roman" w:hAnsi="Times New Roman" w:cs="Times New Roman"/>
                <w:noProof/>
                <w:sz w:val="20"/>
                <w:lang w:val="en-GB"/>
              </w:rPr>
              <w:t xml:space="preserve"> </w:t>
            </w:r>
            <w:r w:rsidRPr="000949A1">
              <w:rPr>
                <w:rFonts w:ascii="Times New Roman" w:hAnsi="Times New Roman" w:cs="Times New Roman"/>
                <w:noProof/>
                <w:sz w:val="20"/>
                <w:lang w:val="en-GB"/>
              </w:rPr>
              <w:t xml:space="preserve">out practices </w:t>
            </w:r>
            <w:r w:rsidR="00F54198">
              <w:rPr>
                <w:rFonts w:ascii="Times New Roman" w:hAnsi="Times New Roman" w:cs="Times New Roman"/>
                <w:noProof/>
                <w:sz w:val="20"/>
                <w:lang w:val="en-GB"/>
              </w:rPr>
              <w:t xml:space="preserve">for </w:t>
            </w:r>
            <w:r w:rsidRPr="000949A1">
              <w:rPr>
                <w:rFonts w:ascii="Times New Roman" w:hAnsi="Times New Roman" w:cs="Times New Roman"/>
                <w:noProof/>
                <w:sz w:val="20"/>
                <w:lang w:val="en-GB"/>
              </w:rPr>
              <w:t>prevent</w:t>
            </w:r>
            <w:r w:rsidR="00F54198">
              <w:rPr>
                <w:rFonts w:ascii="Times New Roman" w:hAnsi="Times New Roman" w:cs="Times New Roman"/>
                <w:noProof/>
                <w:sz w:val="20"/>
                <w:lang w:val="en-GB"/>
              </w:rPr>
              <w:t>ing</w:t>
            </w:r>
            <w:r w:rsidRPr="000949A1">
              <w:rPr>
                <w:rFonts w:ascii="Times New Roman" w:hAnsi="Times New Roman" w:cs="Times New Roman"/>
                <w:noProof/>
                <w:sz w:val="20"/>
                <w:lang w:val="en-GB"/>
              </w:rPr>
              <w:t xml:space="preserve"> conflicts of interest among staff in the Ministry of Agriculture and Rural Development.</w:t>
            </w:r>
          </w:p>
        </w:tc>
      </w:tr>
      <w:tr w:rsidR="000949A1" w:rsidRPr="000949A1" w:rsidTr="000949A1">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Portugal</w:t>
            </w:r>
          </w:p>
        </w:tc>
        <w:tc>
          <w:tcPr>
            <w:tcW w:w="7062" w:type="dxa"/>
          </w:tcPr>
          <w:p w:rsidR="000949A1" w:rsidRPr="000949A1" w:rsidRDefault="000949A1" w:rsidP="00880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Three operational anti-fraud packages, concerning customs, taxes, a variety of funds, and agricultural and fisheries funds. The first updated the strategic plan for combatting tax and customs duty fraud. The second updated the NAFS, and the third </w:t>
            </w:r>
            <w:r w:rsidR="008706A3">
              <w:rPr>
                <w:rFonts w:ascii="Times New Roman" w:hAnsi="Times New Roman" w:cs="Times New Roman"/>
                <w:noProof/>
                <w:sz w:val="20"/>
                <w:lang w:val="en-GB"/>
              </w:rPr>
              <w:t xml:space="preserve">updated </w:t>
            </w:r>
            <w:r w:rsidRPr="000949A1">
              <w:rPr>
                <w:rFonts w:ascii="Times New Roman" w:hAnsi="Times New Roman" w:cs="Times New Roman"/>
                <w:noProof/>
                <w:sz w:val="20"/>
                <w:lang w:val="en-GB"/>
              </w:rPr>
              <w:t>the strategy for ex-ante quality controls of agricultural and fisheries funding.</w:t>
            </w:r>
          </w:p>
        </w:tc>
      </w:tr>
      <w:tr w:rsidR="000949A1" w:rsidRPr="000949A1" w:rsidTr="0009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Romania</w:t>
            </w:r>
          </w:p>
        </w:tc>
        <w:tc>
          <w:tcPr>
            <w:tcW w:w="7062" w:type="dxa"/>
          </w:tcPr>
          <w:p w:rsidR="000949A1" w:rsidRPr="000949A1" w:rsidRDefault="000949A1" w:rsidP="008706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Three legislative measures touched upon all stages of the anti-fraud cycle, but on fraud prevention and detection in particular, </w:t>
            </w:r>
            <w:r w:rsidR="008706A3">
              <w:rPr>
                <w:rFonts w:ascii="Times New Roman" w:hAnsi="Times New Roman" w:cs="Times New Roman"/>
                <w:noProof/>
                <w:sz w:val="20"/>
                <w:lang w:val="en-GB"/>
              </w:rPr>
              <w:t xml:space="preserve">in a cross-cutting fashion, in relation to the </w:t>
            </w:r>
            <w:r w:rsidRPr="000949A1">
              <w:rPr>
                <w:rFonts w:ascii="Times New Roman" w:hAnsi="Times New Roman" w:cs="Times New Roman"/>
                <w:noProof/>
                <w:sz w:val="20"/>
                <w:lang w:val="en-GB"/>
              </w:rPr>
              <w:t xml:space="preserve">RRF, </w:t>
            </w:r>
            <w:r w:rsidR="008706A3">
              <w:rPr>
                <w:rFonts w:ascii="Times New Roman" w:hAnsi="Times New Roman" w:cs="Times New Roman"/>
                <w:noProof/>
                <w:sz w:val="20"/>
                <w:lang w:val="en-GB"/>
              </w:rPr>
              <w:t xml:space="preserve">and in relation to </w:t>
            </w:r>
            <w:r w:rsidRPr="000949A1">
              <w:rPr>
                <w:rFonts w:ascii="Times New Roman" w:hAnsi="Times New Roman" w:cs="Times New Roman"/>
                <w:noProof/>
                <w:sz w:val="20"/>
                <w:lang w:val="en-GB"/>
              </w:rPr>
              <w:t xml:space="preserve">various funds. The first action, cross-cutting, concerned the transposition of the Whistleblower Directive into domestic law. The RRF action regulated spending of the funds, as did the third measure </w:t>
            </w:r>
            <w:r w:rsidR="008706A3">
              <w:rPr>
                <w:rFonts w:ascii="Times New Roman" w:hAnsi="Times New Roman" w:cs="Times New Roman"/>
                <w:noProof/>
                <w:sz w:val="20"/>
                <w:lang w:val="en-GB"/>
              </w:rPr>
              <w:t>in relation to</w:t>
            </w:r>
            <w:r w:rsidR="008706A3" w:rsidRPr="000949A1">
              <w:rPr>
                <w:rFonts w:ascii="Times New Roman" w:hAnsi="Times New Roman" w:cs="Times New Roman"/>
                <w:noProof/>
                <w:sz w:val="20"/>
                <w:lang w:val="en-GB"/>
              </w:rPr>
              <w:t xml:space="preserve"> </w:t>
            </w:r>
            <w:r w:rsidRPr="000949A1">
              <w:rPr>
                <w:rFonts w:ascii="Times New Roman" w:hAnsi="Times New Roman" w:cs="Times New Roman"/>
                <w:noProof/>
                <w:sz w:val="20"/>
                <w:lang w:val="en-GB"/>
              </w:rPr>
              <w:t>multiple EU funds.</w:t>
            </w:r>
          </w:p>
        </w:tc>
      </w:tr>
      <w:tr w:rsidR="000949A1" w:rsidRPr="000949A1" w:rsidTr="000949A1">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Slovakia</w:t>
            </w:r>
          </w:p>
        </w:tc>
        <w:tc>
          <w:tcPr>
            <w:tcW w:w="7062" w:type="dxa"/>
          </w:tcPr>
          <w:p w:rsidR="000949A1" w:rsidRPr="000949A1" w:rsidRDefault="000949A1" w:rsidP="00870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Three measures touching on all stages of the anti-fraud cycle. The first measure amended rules governing the distribution of fisheries, cohesion, and migration and asylum funds. The second was a cooperation agreement defining relevant authorities’ future contribution toward more effective auditing </w:t>
            </w:r>
            <w:r w:rsidR="008706A3">
              <w:rPr>
                <w:rFonts w:ascii="Times New Roman" w:hAnsi="Times New Roman" w:cs="Times New Roman"/>
                <w:noProof/>
                <w:sz w:val="20"/>
                <w:lang w:val="en-GB"/>
              </w:rPr>
              <w:t xml:space="preserve">of </w:t>
            </w:r>
            <w:r w:rsidRPr="000949A1">
              <w:rPr>
                <w:rFonts w:ascii="Times New Roman" w:hAnsi="Times New Roman" w:cs="Times New Roman"/>
                <w:noProof/>
                <w:sz w:val="20"/>
                <w:lang w:val="en-GB"/>
              </w:rPr>
              <w:t xml:space="preserve">funds, </w:t>
            </w:r>
            <w:r w:rsidR="008706A3">
              <w:rPr>
                <w:rFonts w:ascii="Times New Roman" w:hAnsi="Times New Roman" w:cs="Times New Roman"/>
                <w:noProof/>
                <w:sz w:val="20"/>
                <w:lang w:val="en-GB"/>
              </w:rPr>
              <w:t xml:space="preserve">and the </w:t>
            </w:r>
            <w:r w:rsidRPr="000949A1">
              <w:rPr>
                <w:rFonts w:ascii="Times New Roman" w:hAnsi="Times New Roman" w:cs="Times New Roman"/>
                <w:noProof/>
                <w:sz w:val="20"/>
                <w:lang w:val="en-GB"/>
              </w:rPr>
              <w:t>third updated the distribution of RRF funds.</w:t>
            </w:r>
          </w:p>
        </w:tc>
      </w:tr>
      <w:tr w:rsidR="000949A1" w:rsidRPr="000949A1" w:rsidTr="0009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Slovenia</w:t>
            </w:r>
          </w:p>
        </w:tc>
        <w:tc>
          <w:tcPr>
            <w:tcW w:w="7062" w:type="dxa"/>
          </w:tcPr>
          <w:p w:rsidR="000949A1" w:rsidRPr="000949A1" w:rsidRDefault="000949A1" w:rsidP="008706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The first measure focused on tax fraud and customs strengthening, </w:t>
            </w:r>
            <w:r w:rsidR="008706A3">
              <w:rPr>
                <w:rFonts w:ascii="Times New Roman" w:hAnsi="Times New Roman" w:cs="Times New Roman"/>
                <w:noProof/>
                <w:sz w:val="20"/>
                <w:lang w:val="en-GB"/>
              </w:rPr>
              <w:t xml:space="preserve">particularly </w:t>
            </w:r>
            <w:r w:rsidRPr="000949A1">
              <w:rPr>
                <w:rFonts w:ascii="Times New Roman" w:hAnsi="Times New Roman" w:cs="Times New Roman"/>
                <w:noProof/>
                <w:sz w:val="20"/>
                <w:lang w:val="en-GB"/>
              </w:rPr>
              <w:t xml:space="preserve">fraud prevention and detection. The second measure amended control and monitoring procedures in relation to fisheries funds. The third </w:t>
            </w:r>
            <w:r w:rsidR="008706A3">
              <w:rPr>
                <w:rFonts w:ascii="Times New Roman" w:hAnsi="Times New Roman" w:cs="Times New Roman"/>
                <w:noProof/>
                <w:sz w:val="20"/>
                <w:lang w:val="en-GB"/>
              </w:rPr>
              <w:t>established</w:t>
            </w:r>
            <w:r w:rsidRPr="000949A1">
              <w:rPr>
                <w:rFonts w:ascii="Times New Roman" w:hAnsi="Times New Roman" w:cs="Times New Roman"/>
                <w:noProof/>
                <w:sz w:val="20"/>
                <w:lang w:val="en-GB"/>
              </w:rPr>
              <w:t xml:space="preserve"> a manual for implementing the RRF on </w:t>
            </w:r>
            <w:r w:rsidR="008706A3">
              <w:rPr>
                <w:rFonts w:ascii="Times New Roman" w:hAnsi="Times New Roman" w:cs="Times New Roman"/>
                <w:noProof/>
                <w:sz w:val="20"/>
                <w:lang w:val="en-GB"/>
              </w:rPr>
              <w:t xml:space="preserve">the </w:t>
            </w:r>
            <w:r w:rsidRPr="000949A1">
              <w:rPr>
                <w:rFonts w:ascii="Times New Roman" w:hAnsi="Times New Roman" w:cs="Times New Roman"/>
                <w:noProof/>
                <w:sz w:val="20"/>
                <w:lang w:val="en-GB"/>
              </w:rPr>
              <w:t>part of its coordinating body.</w:t>
            </w:r>
          </w:p>
        </w:tc>
      </w:tr>
      <w:tr w:rsidR="000949A1" w:rsidRPr="000949A1" w:rsidTr="000949A1">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Spain</w:t>
            </w:r>
          </w:p>
        </w:tc>
        <w:tc>
          <w:tcPr>
            <w:tcW w:w="7062" w:type="dxa"/>
          </w:tcPr>
          <w:p w:rsidR="000949A1" w:rsidRPr="000949A1" w:rsidRDefault="000949A1" w:rsidP="00880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The first measure creates new rules on financial and other fraud</w:t>
            </w:r>
            <w:r w:rsidR="008706A3">
              <w:rPr>
                <w:rFonts w:ascii="Times New Roman" w:hAnsi="Times New Roman" w:cs="Times New Roman"/>
                <w:noProof/>
                <w:sz w:val="20"/>
                <w:lang w:val="en-GB"/>
              </w:rPr>
              <w:t>-</w:t>
            </w:r>
            <w:r w:rsidRPr="000949A1">
              <w:rPr>
                <w:rFonts w:ascii="Times New Roman" w:hAnsi="Times New Roman" w:cs="Times New Roman"/>
                <w:noProof/>
                <w:sz w:val="20"/>
                <w:lang w:val="en-GB"/>
              </w:rPr>
              <w:t xml:space="preserve">related information. The second encompassed an information exchange agreement across various relevant authorities. The third, specific to </w:t>
            </w:r>
            <w:r w:rsidR="008706A3">
              <w:rPr>
                <w:rFonts w:ascii="Times New Roman" w:hAnsi="Times New Roman" w:cs="Times New Roman"/>
                <w:noProof/>
                <w:sz w:val="20"/>
                <w:lang w:val="en-GB"/>
              </w:rPr>
              <w:t xml:space="preserve">the </w:t>
            </w:r>
            <w:r w:rsidRPr="000949A1">
              <w:rPr>
                <w:rFonts w:ascii="Times New Roman" w:hAnsi="Times New Roman" w:cs="Times New Roman"/>
                <w:noProof/>
                <w:sz w:val="20"/>
                <w:lang w:val="en-GB"/>
              </w:rPr>
              <w:t>RRF, laid down rules for the systematic analysis of conflict of interest risks.</w:t>
            </w:r>
          </w:p>
        </w:tc>
      </w:tr>
      <w:tr w:rsidR="000949A1" w:rsidRPr="000949A1" w:rsidTr="0009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949A1" w:rsidRPr="000949A1" w:rsidRDefault="000949A1" w:rsidP="008806FC">
            <w:pPr>
              <w:rPr>
                <w:rFonts w:ascii="Times New Roman" w:hAnsi="Times New Roman" w:cs="Times New Roman"/>
                <w:noProof/>
                <w:sz w:val="20"/>
                <w:lang w:val="en-GB"/>
              </w:rPr>
            </w:pPr>
            <w:r w:rsidRPr="000949A1">
              <w:rPr>
                <w:rFonts w:ascii="Times New Roman" w:hAnsi="Times New Roman" w:cs="Times New Roman"/>
                <w:noProof/>
                <w:sz w:val="20"/>
                <w:lang w:val="en-GB"/>
              </w:rPr>
              <w:t>Sweden</w:t>
            </w:r>
          </w:p>
        </w:tc>
        <w:tc>
          <w:tcPr>
            <w:tcW w:w="7062" w:type="dxa"/>
          </w:tcPr>
          <w:p w:rsidR="000949A1" w:rsidRPr="000949A1" w:rsidRDefault="000949A1" w:rsidP="002D44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r w:rsidRPr="000949A1">
              <w:rPr>
                <w:rFonts w:ascii="Times New Roman" w:hAnsi="Times New Roman" w:cs="Times New Roman"/>
                <w:noProof/>
                <w:sz w:val="20"/>
                <w:lang w:val="en-GB"/>
              </w:rPr>
              <w:t xml:space="preserve">Three </w:t>
            </w:r>
            <w:r w:rsidR="002D44B2">
              <w:rPr>
                <w:rFonts w:ascii="Times New Roman" w:hAnsi="Times New Roman" w:cs="Times New Roman"/>
                <w:noProof/>
                <w:sz w:val="20"/>
                <w:lang w:val="en-GB"/>
              </w:rPr>
              <w:t>cross-cutting</w:t>
            </w:r>
            <w:r w:rsidR="002D44B2" w:rsidRPr="000949A1">
              <w:rPr>
                <w:rFonts w:ascii="Times New Roman" w:hAnsi="Times New Roman" w:cs="Times New Roman"/>
                <w:noProof/>
                <w:sz w:val="20"/>
                <w:lang w:val="en-GB"/>
              </w:rPr>
              <w:t xml:space="preserve"> </w:t>
            </w:r>
            <w:r w:rsidRPr="000949A1">
              <w:rPr>
                <w:rFonts w:ascii="Times New Roman" w:hAnsi="Times New Roman" w:cs="Times New Roman"/>
                <w:noProof/>
                <w:sz w:val="20"/>
                <w:lang w:val="en-GB"/>
              </w:rPr>
              <w:t xml:space="preserve">measures covered all stages of the anti-fraud cycle. The first is preparatory for Sweden joining the EPPO. The second related to the activities of a body that is solely dedicated to protecting the EU’s financial interests. The third </w:t>
            </w:r>
            <w:r w:rsidR="008706A3">
              <w:rPr>
                <w:rFonts w:ascii="Times New Roman" w:hAnsi="Times New Roman" w:cs="Times New Roman"/>
                <w:noProof/>
                <w:sz w:val="20"/>
                <w:lang w:val="en-GB"/>
              </w:rPr>
              <w:t xml:space="preserve">was aimed at reducing </w:t>
            </w:r>
            <w:r w:rsidRPr="000949A1">
              <w:rPr>
                <w:rFonts w:ascii="Times New Roman" w:hAnsi="Times New Roman" w:cs="Times New Roman"/>
                <w:noProof/>
                <w:sz w:val="20"/>
                <w:lang w:val="en-GB"/>
              </w:rPr>
              <w:t>subsidy abuse and VAT fraud and evasion rates.</w:t>
            </w:r>
          </w:p>
        </w:tc>
      </w:tr>
    </w:tbl>
    <w:p w:rsidR="00FE789E" w:rsidRDefault="000949A1" w:rsidP="00C21AF5">
      <w:pPr>
        <w:pStyle w:val="Heading2"/>
        <w:rPr>
          <w:noProof/>
        </w:rPr>
      </w:pPr>
      <w:bookmarkStart w:id="33" w:name="_Toc134557984"/>
      <w:bookmarkStart w:id="34" w:name="_Toc137736197"/>
      <w:r w:rsidRPr="000625DC">
        <w:rPr>
          <w:noProof/>
        </w:rPr>
        <w:t xml:space="preserve">Implementation of the 2021 </w:t>
      </w:r>
      <w:r w:rsidR="00265D65">
        <w:rPr>
          <w:noProof/>
        </w:rPr>
        <w:t>C</w:t>
      </w:r>
      <w:r>
        <w:rPr>
          <w:noProof/>
        </w:rPr>
        <w:t xml:space="preserve">ommission </w:t>
      </w:r>
      <w:r w:rsidRPr="000625DC">
        <w:rPr>
          <w:noProof/>
        </w:rPr>
        <w:t xml:space="preserve">recommendations </w:t>
      </w:r>
      <w:r>
        <w:rPr>
          <w:noProof/>
        </w:rPr>
        <w:t>to</w:t>
      </w:r>
      <w:r w:rsidRPr="000625DC">
        <w:rPr>
          <w:noProof/>
        </w:rPr>
        <w:t xml:space="preserve"> </w:t>
      </w:r>
      <w:r w:rsidR="00311FBC">
        <w:rPr>
          <w:noProof/>
        </w:rPr>
        <w:t>M</w:t>
      </w:r>
      <w:r w:rsidRPr="000625DC">
        <w:rPr>
          <w:noProof/>
        </w:rPr>
        <w:t xml:space="preserve">ember </w:t>
      </w:r>
      <w:r w:rsidR="00311FBC">
        <w:rPr>
          <w:noProof/>
        </w:rPr>
        <w:t>S</w:t>
      </w:r>
      <w:r w:rsidRPr="000625DC">
        <w:rPr>
          <w:noProof/>
        </w:rPr>
        <w:t>tates</w:t>
      </w:r>
      <w:bookmarkEnd w:id="33"/>
      <w:bookmarkEnd w:id="34"/>
    </w:p>
    <w:p w:rsidR="00471E85" w:rsidRDefault="000949A1" w:rsidP="00B844C4">
      <w:pPr>
        <w:rPr>
          <w:noProof/>
        </w:rPr>
      </w:pPr>
      <w:r w:rsidRPr="000625DC">
        <w:rPr>
          <w:noProof/>
        </w:rPr>
        <w:t>In its 2021 PIF Report the Commission made four recommendations to Member States, covering</w:t>
      </w:r>
      <w:r w:rsidR="008706A3">
        <w:rPr>
          <w:noProof/>
        </w:rPr>
        <w:t>:</w:t>
      </w:r>
      <w:r w:rsidRPr="000625DC">
        <w:rPr>
          <w:noProof/>
        </w:rPr>
        <w:t xml:space="preserve"> a) </w:t>
      </w:r>
      <w:r w:rsidR="008706A3">
        <w:rPr>
          <w:noProof/>
        </w:rPr>
        <w:t xml:space="preserve">the </w:t>
      </w:r>
      <w:r w:rsidRPr="000625DC">
        <w:rPr>
          <w:noProof/>
        </w:rPr>
        <w:t xml:space="preserve">correct transposition of the PIF Directive; b) participation </w:t>
      </w:r>
      <w:r w:rsidR="00311FBC">
        <w:rPr>
          <w:noProof/>
        </w:rPr>
        <w:t xml:space="preserve">in the </w:t>
      </w:r>
      <w:r w:rsidRPr="000625DC">
        <w:rPr>
          <w:noProof/>
        </w:rPr>
        <w:t>EPPO</w:t>
      </w:r>
      <w:r w:rsidR="008706A3">
        <w:rPr>
          <w:noProof/>
        </w:rPr>
        <w:t>;</w:t>
      </w:r>
      <w:r w:rsidRPr="000625DC">
        <w:rPr>
          <w:noProof/>
        </w:rPr>
        <w:t xml:space="preserve"> c) digitalis</w:t>
      </w:r>
      <w:r w:rsidR="00311FBC">
        <w:rPr>
          <w:noProof/>
        </w:rPr>
        <w:t xml:space="preserve">ing </w:t>
      </w:r>
      <w:r w:rsidRPr="000625DC">
        <w:rPr>
          <w:noProof/>
        </w:rPr>
        <w:t>the fight against fraud; and d) strengthening fraud risk analysis</w:t>
      </w:r>
      <w:r w:rsidR="0076511B">
        <w:rPr>
          <w:rStyle w:val="FootnoteReference"/>
          <w:noProof/>
        </w:rPr>
        <w:footnoteReference w:id="26"/>
      </w:r>
      <w:r w:rsidRPr="000625DC">
        <w:rPr>
          <w:noProof/>
        </w:rPr>
        <w:t>.</w:t>
      </w:r>
    </w:p>
    <w:p w:rsidR="00311FBC" w:rsidRDefault="000949A1" w:rsidP="00B844C4">
      <w:pPr>
        <w:rPr>
          <w:noProof/>
        </w:rPr>
      </w:pPr>
      <w:r w:rsidRPr="000625DC">
        <w:rPr>
          <w:noProof/>
        </w:rPr>
        <w:t xml:space="preserve">The situation concerning the PIF Directive is described in </w:t>
      </w:r>
      <w:hyperlink w:anchor="_State_of_play" w:history="1">
        <w:r w:rsidRPr="000625DC">
          <w:rPr>
            <w:rStyle w:val="Hyperlink"/>
            <w:noProof/>
          </w:rPr>
          <w:t>section 2.3</w:t>
        </w:r>
      </w:hyperlink>
      <w:r w:rsidRPr="000625DC">
        <w:rPr>
          <w:noProof/>
        </w:rPr>
        <w:t xml:space="preserve">. </w:t>
      </w:r>
    </w:p>
    <w:p w:rsidR="00B844C4" w:rsidRDefault="000949A1" w:rsidP="00B844C4">
      <w:pPr>
        <w:rPr>
          <w:noProof/>
        </w:rPr>
      </w:pPr>
      <w:r w:rsidRPr="000625DC">
        <w:rPr>
          <w:noProof/>
        </w:rPr>
        <w:t xml:space="preserve">In relation to participation </w:t>
      </w:r>
      <w:r w:rsidR="00311FBC">
        <w:rPr>
          <w:noProof/>
        </w:rPr>
        <w:t>in</w:t>
      </w:r>
      <w:r w:rsidR="00311FBC" w:rsidRPr="000625DC">
        <w:rPr>
          <w:noProof/>
        </w:rPr>
        <w:t xml:space="preserve"> </w:t>
      </w:r>
      <w:r w:rsidRPr="000625DC">
        <w:rPr>
          <w:noProof/>
        </w:rPr>
        <w:t xml:space="preserve">the EPPO, Sweden indicated that further legislative preparation was ongoing in 2022 </w:t>
      </w:r>
      <w:r w:rsidR="008706A3">
        <w:rPr>
          <w:noProof/>
        </w:rPr>
        <w:t xml:space="preserve">with a view to </w:t>
      </w:r>
      <w:r w:rsidRPr="000625DC">
        <w:rPr>
          <w:noProof/>
        </w:rPr>
        <w:t>future membership.</w:t>
      </w:r>
    </w:p>
    <w:p w:rsidR="000949A1" w:rsidRDefault="000949A1" w:rsidP="00B844C4">
      <w:pPr>
        <w:rPr>
          <w:noProof/>
        </w:rPr>
      </w:pPr>
      <w:r w:rsidRPr="000625DC">
        <w:rPr>
          <w:noProof/>
        </w:rPr>
        <w:t xml:space="preserve">On digitalising the fight against fraud, Arachne was by far the </w:t>
      </w:r>
      <w:r w:rsidR="008706A3">
        <w:rPr>
          <w:noProof/>
        </w:rPr>
        <w:t xml:space="preserve">most widely-used </w:t>
      </w:r>
      <w:r w:rsidRPr="000625DC">
        <w:rPr>
          <w:noProof/>
        </w:rPr>
        <w:t xml:space="preserve">IT system </w:t>
      </w:r>
      <w:r>
        <w:rPr>
          <w:noProof/>
        </w:rPr>
        <w:t xml:space="preserve">(by </w:t>
      </w:r>
      <w:r w:rsidRPr="000625DC">
        <w:rPr>
          <w:noProof/>
        </w:rPr>
        <w:t>21 Member States</w:t>
      </w:r>
      <w:r>
        <w:rPr>
          <w:noProof/>
        </w:rPr>
        <w:t>)</w:t>
      </w:r>
      <w:r w:rsidRPr="000625DC">
        <w:rPr>
          <w:noProof/>
        </w:rPr>
        <w:t>, in support of the E</w:t>
      </w:r>
      <w:r w:rsidR="002174DB">
        <w:rPr>
          <w:noProof/>
        </w:rPr>
        <w:t xml:space="preserve">uropean </w:t>
      </w:r>
      <w:r w:rsidRPr="000625DC">
        <w:rPr>
          <w:noProof/>
        </w:rPr>
        <w:t>S</w:t>
      </w:r>
      <w:r w:rsidR="002174DB">
        <w:rPr>
          <w:noProof/>
        </w:rPr>
        <w:t xml:space="preserve">tructural and </w:t>
      </w:r>
      <w:r w:rsidRPr="000625DC">
        <w:rPr>
          <w:noProof/>
        </w:rPr>
        <w:t>I</w:t>
      </w:r>
      <w:r w:rsidR="002174DB">
        <w:rPr>
          <w:noProof/>
        </w:rPr>
        <w:t xml:space="preserve">nvestment </w:t>
      </w:r>
      <w:r w:rsidRPr="000625DC">
        <w:rPr>
          <w:noProof/>
        </w:rPr>
        <w:t>F</w:t>
      </w:r>
      <w:r w:rsidR="002174DB">
        <w:rPr>
          <w:noProof/>
        </w:rPr>
        <w:t>unds (ESIF)</w:t>
      </w:r>
      <w:r w:rsidRPr="000625DC">
        <w:rPr>
          <w:noProof/>
        </w:rPr>
        <w:t xml:space="preserve"> and the RRF. Many </w:t>
      </w:r>
      <w:r w:rsidR="008706A3">
        <w:rPr>
          <w:noProof/>
        </w:rPr>
        <w:t xml:space="preserve">Member States </w:t>
      </w:r>
      <w:r w:rsidRPr="000625DC">
        <w:rPr>
          <w:noProof/>
        </w:rPr>
        <w:t xml:space="preserve">used their own dedicated anti-fraud IT tools, often </w:t>
      </w:r>
      <w:r w:rsidR="008706A3">
        <w:rPr>
          <w:noProof/>
        </w:rPr>
        <w:t xml:space="preserve">in conjunction </w:t>
      </w:r>
      <w:r w:rsidRPr="000625DC">
        <w:rPr>
          <w:noProof/>
        </w:rPr>
        <w:t xml:space="preserve">with EU tools, although </w:t>
      </w:r>
      <w:r w:rsidR="008706A3">
        <w:rPr>
          <w:noProof/>
        </w:rPr>
        <w:t>those tools</w:t>
      </w:r>
      <w:r w:rsidR="008706A3" w:rsidRPr="000625DC">
        <w:rPr>
          <w:noProof/>
        </w:rPr>
        <w:t xml:space="preserve"> </w:t>
      </w:r>
      <w:r w:rsidRPr="000625DC">
        <w:rPr>
          <w:noProof/>
        </w:rPr>
        <w:t>were rarely inter</w:t>
      </w:r>
      <w:r w:rsidR="008706A3">
        <w:rPr>
          <w:noProof/>
        </w:rPr>
        <w:t>-</w:t>
      </w:r>
      <w:r w:rsidRPr="000625DC">
        <w:rPr>
          <w:noProof/>
        </w:rPr>
        <w:t>operable.</w:t>
      </w:r>
    </w:p>
    <w:p w:rsidR="00B844C4" w:rsidRDefault="000949A1" w:rsidP="00B844C4">
      <w:pPr>
        <w:rPr>
          <w:noProof/>
        </w:rPr>
      </w:pPr>
      <w:r>
        <w:rPr>
          <w:noProof/>
        </w:rPr>
        <w:t>In line with</w:t>
      </w:r>
      <w:r w:rsidRPr="000625DC">
        <w:rPr>
          <w:noProof/>
        </w:rPr>
        <w:t xml:space="preserve"> the Commission’s recommendation, most Member States integrated these IT tools into their fight against fraud </w:t>
      </w:r>
      <w:r w:rsidR="00F35DBD">
        <w:rPr>
          <w:noProof/>
        </w:rPr>
        <w:t xml:space="preserve">in order </w:t>
      </w:r>
      <w:r w:rsidRPr="000625DC">
        <w:rPr>
          <w:noProof/>
        </w:rPr>
        <w:t>to enrich data and refine red flags, risk indicators and scores.</w:t>
      </w:r>
    </w:p>
    <w:p w:rsidR="000949A1" w:rsidRDefault="000949A1" w:rsidP="000949A1">
      <w:pPr>
        <w:pStyle w:val="Caption"/>
        <w:rPr>
          <w:noProof/>
        </w:rPr>
      </w:pPr>
      <w:r>
        <w:rPr>
          <w:noProof/>
        </w:rPr>
        <w:t xml:space="preserve">Figure </w:t>
      </w:r>
      <w:r w:rsidR="00930F4F">
        <w:rPr>
          <w:noProof/>
        </w:rPr>
        <w:fldChar w:fldCharType="begin"/>
      </w:r>
      <w:r w:rsidR="00930F4F">
        <w:rPr>
          <w:noProof/>
        </w:rPr>
        <w:instrText xml:space="preserve"> SEQ Figure \* ARABIC </w:instrText>
      </w:r>
      <w:r w:rsidR="00930F4F">
        <w:rPr>
          <w:noProof/>
        </w:rPr>
        <w:fldChar w:fldCharType="separate"/>
      </w:r>
      <w:r w:rsidR="008273A0">
        <w:rPr>
          <w:noProof/>
        </w:rPr>
        <w:t>3</w:t>
      </w:r>
      <w:r w:rsidR="00930F4F">
        <w:rPr>
          <w:noProof/>
        </w:rPr>
        <w:fldChar w:fldCharType="end"/>
      </w:r>
      <w:r>
        <w:rPr>
          <w:noProof/>
        </w:rPr>
        <w:t>: IT tools used by Member States</w:t>
      </w:r>
    </w:p>
    <w:p w:rsidR="000949A1" w:rsidRDefault="00463C7A" w:rsidP="000949A1">
      <w:pPr>
        <w:rPr>
          <w:noProof/>
        </w:rPr>
      </w:pPr>
      <w:r w:rsidRPr="00463C7A">
        <w:rPr>
          <w:noProof/>
        </w:rPr>
        <w:drawing>
          <wp:inline distT="0" distB="0" distL="0" distR="0" wp14:anchorId="5CBC9EE7" wp14:editId="5B93659E">
            <wp:extent cx="5472430" cy="5920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72430" cy="592088"/>
                    </a:xfrm>
                    <a:prstGeom prst="rect">
                      <a:avLst/>
                    </a:prstGeom>
                    <a:noFill/>
                    <a:ln>
                      <a:noFill/>
                    </a:ln>
                  </pic:spPr>
                </pic:pic>
              </a:graphicData>
            </a:graphic>
          </wp:inline>
        </w:drawing>
      </w:r>
    </w:p>
    <w:p w:rsidR="001A09DB" w:rsidRPr="000949A1" w:rsidRDefault="001A09DB" w:rsidP="000949A1">
      <w:pPr>
        <w:rPr>
          <w:noProof/>
        </w:rPr>
      </w:pPr>
      <w:r w:rsidRPr="001A09DB">
        <w:rPr>
          <w:noProof/>
        </w:rPr>
        <w:drawing>
          <wp:inline distT="0" distB="0" distL="0" distR="0" wp14:anchorId="4ACE64E0" wp14:editId="5D7ED9AB">
            <wp:extent cx="1184910" cy="5803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84910" cy="580390"/>
                    </a:xfrm>
                    <a:prstGeom prst="rect">
                      <a:avLst/>
                    </a:prstGeom>
                    <a:noFill/>
                    <a:ln>
                      <a:noFill/>
                    </a:ln>
                  </pic:spPr>
                </pic:pic>
              </a:graphicData>
            </a:graphic>
          </wp:inline>
        </w:drawing>
      </w:r>
    </w:p>
    <w:p w:rsidR="00B844C4" w:rsidRPr="00CB31CE" w:rsidRDefault="00EA6E77" w:rsidP="00B844C4">
      <w:pPr>
        <w:pStyle w:val="NormalWeb"/>
        <w:spacing w:before="0" w:beforeAutospacing="0" w:after="240" w:afterAutospacing="0"/>
        <w:jc w:val="both"/>
        <w:rPr>
          <w:noProof/>
          <w:sz w:val="20"/>
        </w:rPr>
      </w:pPr>
      <w:r w:rsidRPr="00CB31CE">
        <w:rPr>
          <w:noProof/>
          <w:sz w:val="22"/>
        </w:rPr>
        <w:t>Overall, Member States</w:t>
      </w:r>
      <w:r w:rsidR="00F728F6">
        <w:rPr>
          <w:noProof/>
          <w:sz w:val="22"/>
        </w:rPr>
        <w:t xml:space="preserve">’ assessment was that </w:t>
      </w:r>
      <w:r w:rsidRPr="00CB31CE">
        <w:rPr>
          <w:noProof/>
          <w:sz w:val="22"/>
        </w:rPr>
        <w:t>digit</w:t>
      </w:r>
      <w:r w:rsidR="00D3307F" w:rsidRPr="00CB31CE">
        <w:rPr>
          <w:noProof/>
          <w:sz w:val="22"/>
        </w:rPr>
        <w:t>al</w:t>
      </w:r>
      <w:r w:rsidRPr="00CB31CE">
        <w:rPr>
          <w:noProof/>
          <w:sz w:val="22"/>
        </w:rPr>
        <w:t xml:space="preserve">isation </w:t>
      </w:r>
      <w:r w:rsidR="00F728F6">
        <w:rPr>
          <w:noProof/>
          <w:sz w:val="22"/>
        </w:rPr>
        <w:t xml:space="preserve">boosted </w:t>
      </w:r>
      <w:r w:rsidRPr="00CB31CE">
        <w:rPr>
          <w:noProof/>
          <w:sz w:val="22"/>
        </w:rPr>
        <w:t>fraud prevention and detection</w:t>
      </w:r>
      <w:r w:rsidR="00F728F6">
        <w:rPr>
          <w:noProof/>
          <w:sz w:val="22"/>
        </w:rPr>
        <w:t xml:space="preserve"> and simplified </w:t>
      </w:r>
      <w:r w:rsidRPr="00CB31CE">
        <w:rPr>
          <w:noProof/>
          <w:sz w:val="22"/>
        </w:rPr>
        <w:t xml:space="preserve">administrative procedures. Countries </w:t>
      </w:r>
      <w:r w:rsidR="00F728F6">
        <w:rPr>
          <w:noProof/>
          <w:sz w:val="22"/>
        </w:rPr>
        <w:t xml:space="preserve">such as </w:t>
      </w:r>
      <w:r w:rsidRPr="00CB31CE">
        <w:rPr>
          <w:noProof/>
          <w:sz w:val="22"/>
        </w:rPr>
        <w:t>Finland, which relied on non-EU tools, reported that the potential burden of adjusting domestic data protection laws to accommodate the use of</w:t>
      </w:r>
      <w:r w:rsidR="00F728F6">
        <w:rPr>
          <w:noProof/>
          <w:sz w:val="22"/>
        </w:rPr>
        <w:t xml:space="preserve"> Arachne, for example, </w:t>
      </w:r>
      <w:r w:rsidRPr="00CB31CE">
        <w:rPr>
          <w:noProof/>
          <w:sz w:val="22"/>
        </w:rPr>
        <w:t xml:space="preserve">was </w:t>
      </w:r>
      <w:r w:rsidR="00F728F6">
        <w:rPr>
          <w:noProof/>
          <w:sz w:val="22"/>
        </w:rPr>
        <w:t>preventing</w:t>
      </w:r>
      <w:r w:rsidR="00F728F6" w:rsidRPr="00CB31CE">
        <w:rPr>
          <w:noProof/>
          <w:sz w:val="22"/>
        </w:rPr>
        <w:t xml:space="preserve"> </w:t>
      </w:r>
      <w:r w:rsidRPr="00CB31CE">
        <w:rPr>
          <w:noProof/>
          <w:sz w:val="22"/>
        </w:rPr>
        <w:t>them from doing so.</w:t>
      </w:r>
    </w:p>
    <w:p w:rsidR="00B844C4" w:rsidRPr="00B87D3E" w:rsidRDefault="00F728F6" w:rsidP="00B844C4">
      <w:pPr>
        <w:rPr>
          <w:noProof/>
          <w:szCs w:val="24"/>
        </w:rPr>
      </w:pPr>
      <w:r>
        <w:rPr>
          <w:noProof/>
        </w:rPr>
        <w:t xml:space="preserve">As regards </w:t>
      </w:r>
      <w:r w:rsidR="00EA6E77" w:rsidRPr="000625DC">
        <w:rPr>
          <w:noProof/>
        </w:rPr>
        <w:t xml:space="preserve">the strengthening of risk analysis, </w:t>
      </w:r>
      <w:r w:rsidR="00EA6E77">
        <w:rPr>
          <w:noProof/>
        </w:rPr>
        <w:t>14</w:t>
      </w:r>
      <w:r w:rsidR="00EA6E77" w:rsidRPr="000625DC">
        <w:rPr>
          <w:noProof/>
        </w:rPr>
        <w:t xml:space="preserve"> Member States</w:t>
      </w:r>
      <w:r w:rsidR="005446A6">
        <w:rPr>
          <w:noProof/>
        </w:rPr>
        <w:t xml:space="preserve"> considered </w:t>
      </w:r>
      <w:r>
        <w:rPr>
          <w:noProof/>
        </w:rPr>
        <w:t xml:space="preserve">that </w:t>
      </w:r>
      <w:r w:rsidR="005446A6">
        <w:rPr>
          <w:noProof/>
        </w:rPr>
        <w:t>they had implemented this recommendation in full</w:t>
      </w:r>
      <w:r>
        <w:rPr>
          <w:noProof/>
        </w:rPr>
        <w:t xml:space="preserve">, </w:t>
      </w:r>
      <w:r w:rsidR="00EA6E77" w:rsidRPr="000625DC">
        <w:rPr>
          <w:noProof/>
        </w:rPr>
        <w:t>reiterat</w:t>
      </w:r>
      <w:r w:rsidR="00311FBC">
        <w:rPr>
          <w:noProof/>
        </w:rPr>
        <w:t>ed</w:t>
      </w:r>
      <w:r w:rsidR="00EA6E77" w:rsidRPr="000625DC">
        <w:rPr>
          <w:noProof/>
        </w:rPr>
        <w:t xml:space="preserve"> their proactive approach to combatting fraud against </w:t>
      </w:r>
      <w:r>
        <w:rPr>
          <w:noProof/>
        </w:rPr>
        <w:t xml:space="preserve">the </w:t>
      </w:r>
      <w:r w:rsidR="00EA6E77" w:rsidRPr="000625DC">
        <w:rPr>
          <w:noProof/>
        </w:rPr>
        <w:t>EU budget and present</w:t>
      </w:r>
      <w:r w:rsidR="00311FBC">
        <w:rPr>
          <w:noProof/>
        </w:rPr>
        <w:t xml:space="preserve">ed </w:t>
      </w:r>
      <w:r w:rsidR="00EA6E77" w:rsidRPr="000625DC">
        <w:rPr>
          <w:noProof/>
        </w:rPr>
        <w:t>recent initiatives. On the revenue side, Member States highlighted the F</w:t>
      </w:r>
      <w:r w:rsidR="00311FBC">
        <w:rPr>
          <w:noProof/>
        </w:rPr>
        <w:t xml:space="preserve">inancial </w:t>
      </w:r>
      <w:r w:rsidR="00EA6E77" w:rsidRPr="000625DC">
        <w:rPr>
          <w:noProof/>
        </w:rPr>
        <w:t>R</w:t>
      </w:r>
      <w:r w:rsidR="00311FBC">
        <w:rPr>
          <w:noProof/>
        </w:rPr>
        <w:t>isk</w:t>
      </w:r>
      <w:r w:rsidR="00A64EE8">
        <w:rPr>
          <w:noProof/>
        </w:rPr>
        <w:t xml:space="preserve">s </w:t>
      </w:r>
      <w:r w:rsidR="00EA6E77" w:rsidRPr="000625DC">
        <w:rPr>
          <w:noProof/>
        </w:rPr>
        <w:t>C</w:t>
      </w:r>
      <w:r w:rsidR="00311FBC">
        <w:rPr>
          <w:noProof/>
        </w:rPr>
        <w:t>riteria</w:t>
      </w:r>
      <w:r w:rsidR="00EA6E77" w:rsidRPr="000625DC">
        <w:rPr>
          <w:noProof/>
        </w:rPr>
        <w:t xml:space="preserve"> Decision</w:t>
      </w:r>
      <w:r w:rsidR="00A64EE8">
        <w:rPr>
          <w:rStyle w:val="FootnoteReference"/>
          <w:noProof/>
        </w:rPr>
        <w:footnoteReference w:id="27"/>
      </w:r>
      <w:r w:rsidR="00EA6E77" w:rsidRPr="000625DC">
        <w:rPr>
          <w:noProof/>
        </w:rPr>
        <w:t>, supporting national</w:t>
      </w:r>
      <w:r>
        <w:rPr>
          <w:noProof/>
        </w:rPr>
        <w:t>-</w:t>
      </w:r>
      <w:r w:rsidR="00EA6E77" w:rsidRPr="000625DC">
        <w:rPr>
          <w:noProof/>
        </w:rPr>
        <w:t xml:space="preserve"> and EU</w:t>
      </w:r>
      <w:r>
        <w:rPr>
          <w:noProof/>
        </w:rPr>
        <w:t>-</w:t>
      </w:r>
      <w:r w:rsidR="00EA6E77" w:rsidRPr="000625DC">
        <w:rPr>
          <w:noProof/>
        </w:rPr>
        <w:t xml:space="preserve">level IT tools such as </w:t>
      </w:r>
      <w:r>
        <w:rPr>
          <w:noProof/>
        </w:rPr>
        <w:t xml:space="preserve">the </w:t>
      </w:r>
      <w:r w:rsidR="00311FBC">
        <w:rPr>
          <w:noProof/>
        </w:rPr>
        <w:t>C</w:t>
      </w:r>
      <w:r w:rsidR="00EA6E77" w:rsidRPr="000625DC">
        <w:rPr>
          <w:noProof/>
        </w:rPr>
        <w:t xml:space="preserve">RMS and AFIS, which helped tax and customs authorities </w:t>
      </w:r>
      <w:r>
        <w:rPr>
          <w:noProof/>
        </w:rPr>
        <w:t xml:space="preserve">to </w:t>
      </w:r>
      <w:r w:rsidR="00EA6E77" w:rsidRPr="000625DC">
        <w:rPr>
          <w:noProof/>
        </w:rPr>
        <w:t xml:space="preserve">mine and enrich data from a variety of sources </w:t>
      </w:r>
      <w:r>
        <w:rPr>
          <w:noProof/>
        </w:rPr>
        <w:t xml:space="preserve">and to </w:t>
      </w:r>
      <w:r w:rsidR="00EA6E77" w:rsidRPr="000625DC">
        <w:rPr>
          <w:noProof/>
        </w:rPr>
        <w:t xml:space="preserve">exchange data among Member States and with the EU institutions. On the expenditure side, Member States highlighted </w:t>
      </w:r>
      <w:r>
        <w:rPr>
          <w:noProof/>
        </w:rPr>
        <w:t xml:space="preserve">certain </w:t>
      </w:r>
      <w:r w:rsidR="00EA6E77" w:rsidRPr="000625DC">
        <w:rPr>
          <w:noProof/>
        </w:rPr>
        <w:t>context</w:t>
      </w:r>
      <w:r>
        <w:rPr>
          <w:noProof/>
        </w:rPr>
        <w:t>-</w:t>
      </w:r>
      <w:r w:rsidR="00EA6E77" w:rsidRPr="000625DC">
        <w:rPr>
          <w:noProof/>
        </w:rPr>
        <w:t>specific fraud risk management systems developed by EU fund managing authorities, as well as top</w:t>
      </w:r>
      <w:r>
        <w:rPr>
          <w:noProof/>
        </w:rPr>
        <w:t>-</w:t>
      </w:r>
      <w:r w:rsidR="00EA6E77" w:rsidRPr="000625DC">
        <w:rPr>
          <w:noProof/>
        </w:rPr>
        <w:t>level coordination</w:t>
      </w:r>
      <w:r w:rsidR="0076511B">
        <w:rPr>
          <w:rStyle w:val="FootnoteReference"/>
          <w:noProof/>
        </w:rPr>
        <w:footnoteReference w:id="28"/>
      </w:r>
      <w:r w:rsidR="00EA6E77" w:rsidRPr="000625DC">
        <w:rPr>
          <w:noProof/>
        </w:rPr>
        <w:t xml:space="preserve">, </w:t>
      </w:r>
      <w:r>
        <w:rPr>
          <w:noProof/>
        </w:rPr>
        <w:t xml:space="preserve">the </w:t>
      </w:r>
      <w:r w:rsidR="005446A6">
        <w:rPr>
          <w:noProof/>
        </w:rPr>
        <w:t xml:space="preserve">use of </w:t>
      </w:r>
      <w:r w:rsidR="00EA6E77" w:rsidRPr="000625DC">
        <w:rPr>
          <w:noProof/>
        </w:rPr>
        <w:t xml:space="preserve">IT tools </w:t>
      </w:r>
      <w:r>
        <w:rPr>
          <w:noProof/>
        </w:rPr>
        <w:t xml:space="preserve">such as </w:t>
      </w:r>
      <w:r w:rsidR="00EA6E77" w:rsidRPr="000625DC">
        <w:rPr>
          <w:noProof/>
        </w:rPr>
        <w:t>Arachne, and dedicated training.</w:t>
      </w:r>
    </w:p>
    <w:p w:rsidR="00B844C4" w:rsidRPr="00B87D3E" w:rsidRDefault="00EA6E77" w:rsidP="00B844C4">
      <w:pPr>
        <w:spacing w:line="240" w:lineRule="auto"/>
        <w:rPr>
          <w:noProof/>
          <w:szCs w:val="24"/>
        </w:rPr>
      </w:pPr>
      <w:r w:rsidRPr="000625DC">
        <w:rPr>
          <w:noProof/>
        </w:rPr>
        <w:t xml:space="preserve">Member States that indicated partial </w:t>
      </w:r>
      <w:r w:rsidR="005446A6">
        <w:rPr>
          <w:noProof/>
        </w:rPr>
        <w:t>implementation</w:t>
      </w:r>
      <w:r w:rsidR="005446A6" w:rsidRPr="000625DC">
        <w:rPr>
          <w:noProof/>
        </w:rPr>
        <w:t xml:space="preserve"> </w:t>
      </w:r>
      <w:r w:rsidRPr="000625DC">
        <w:rPr>
          <w:noProof/>
        </w:rPr>
        <w:t>(12) reported similar measures, but</w:t>
      </w:r>
      <w:r w:rsidR="00467997">
        <w:rPr>
          <w:noProof/>
        </w:rPr>
        <w:t xml:space="preserve"> either for revenue or </w:t>
      </w:r>
      <w:r w:rsidR="00F728F6">
        <w:rPr>
          <w:noProof/>
        </w:rPr>
        <w:t xml:space="preserve">for </w:t>
      </w:r>
      <w:r w:rsidR="00467997">
        <w:rPr>
          <w:noProof/>
        </w:rPr>
        <w:t>expenditure</w:t>
      </w:r>
      <w:r w:rsidRPr="000625DC">
        <w:rPr>
          <w:noProof/>
        </w:rPr>
        <w:t xml:space="preserve">. </w:t>
      </w:r>
    </w:p>
    <w:p w:rsidR="00FE789E" w:rsidRDefault="00F728F6" w:rsidP="008F6819">
      <w:pPr>
        <w:pStyle w:val="Heading1"/>
        <w:rPr>
          <w:noProof/>
        </w:rPr>
      </w:pPr>
      <w:bookmarkStart w:id="35" w:name="_Toc134557985"/>
      <w:bookmarkStart w:id="36" w:name="_Toc137736198"/>
      <w:r>
        <w:rPr>
          <w:noProof/>
        </w:rPr>
        <w:t>Combatting</w:t>
      </w:r>
      <w:r w:rsidRPr="000625DC">
        <w:rPr>
          <w:noProof/>
        </w:rPr>
        <w:t xml:space="preserve"> </w:t>
      </w:r>
      <w:r w:rsidR="00EA6E77" w:rsidRPr="000625DC">
        <w:rPr>
          <w:noProof/>
        </w:rPr>
        <w:t>irregularities, fraud, corruption and conflict of interests detrimental to the EU budget</w:t>
      </w:r>
      <w:bookmarkEnd w:id="35"/>
      <w:bookmarkEnd w:id="36"/>
    </w:p>
    <w:p w:rsidR="00DC489A" w:rsidRDefault="00EA6E77" w:rsidP="00C21AF5">
      <w:pPr>
        <w:pStyle w:val="Heading2"/>
        <w:rPr>
          <w:noProof/>
        </w:rPr>
      </w:pPr>
      <w:bookmarkStart w:id="37" w:name="_Toc134557986"/>
      <w:bookmarkStart w:id="38" w:name="_Toc137736199"/>
      <w:r w:rsidRPr="000625DC">
        <w:rPr>
          <w:noProof/>
        </w:rPr>
        <w:t>General overview</w:t>
      </w:r>
      <w:bookmarkEnd w:id="37"/>
      <w:bookmarkEnd w:id="38"/>
    </w:p>
    <w:p w:rsidR="00FF426C" w:rsidRDefault="00A10A90" w:rsidP="00C6311E">
      <w:pPr>
        <w:rPr>
          <w:noProof/>
        </w:rPr>
      </w:pPr>
      <w:r>
        <w:rPr>
          <w:noProof/>
        </w:rPr>
        <w:t xml:space="preserve">From an operational point of view, protecting </w:t>
      </w:r>
      <w:r w:rsidR="00EA6E77" w:rsidRPr="000625DC">
        <w:rPr>
          <w:noProof/>
        </w:rPr>
        <w:t>the EU’s financial interests from fraud, irregularities and other illicit activities is entrusted</w:t>
      </w:r>
      <w:r>
        <w:rPr>
          <w:noProof/>
        </w:rPr>
        <w:t xml:space="preserve"> </w:t>
      </w:r>
      <w:r w:rsidR="005446A6">
        <w:rPr>
          <w:noProof/>
        </w:rPr>
        <w:t>to</w:t>
      </w:r>
      <w:r w:rsidR="005446A6" w:rsidRPr="000625DC">
        <w:rPr>
          <w:noProof/>
        </w:rPr>
        <w:t xml:space="preserve"> </w:t>
      </w:r>
      <w:r w:rsidR="00EA6E77" w:rsidRPr="000625DC">
        <w:rPr>
          <w:noProof/>
        </w:rPr>
        <w:t xml:space="preserve">national </w:t>
      </w:r>
      <w:r w:rsidR="00CB70E4">
        <w:rPr>
          <w:noProof/>
        </w:rPr>
        <w:t>authorities</w:t>
      </w:r>
      <w:r w:rsidR="00EA6E77" w:rsidRPr="000625DC">
        <w:rPr>
          <w:noProof/>
        </w:rPr>
        <w:t xml:space="preserve">, </w:t>
      </w:r>
      <w:r w:rsidR="00CB70E4">
        <w:rPr>
          <w:noProof/>
        </w:rPr>
        <w:t xml:space="preserve">to </w:t>
      </w:r>
      <w:r w:rsidR="00EA6E77">
        <w:rPr>
          <w:noProof/>
        </w:rPr>
        <w:t xml:space="preserve">OLAF and </w:t>
      </w:r>
      <w:r w:rsidR="00CB70E4">
        <w:rPr>
          <w:noProof/>
        </w:rPr>
        <w:t xml:space="preserve">to </w:t>
      </w:r>
      <w:r w:rsidR="00EA6E77" w:rsidRPr="000625DC">
        <w:rPr>
          <w:noProof/>
        </w:rPr>
        <w:t xml:space="preserve">the </w:t>
      </w:r>
      <w:r w:rsidR="00EA6E77">
        <w:rPr>
          <w:noProof/>
        </w:rPr>
        <w:t>EPPO</w:t>
      </w:r>
      <w:r w:rsidR="00EA6E77" w:rsidRPr="000625DC">
        <w:rPr>
          <w:noProof/>
        </w:rPr>
        <w:t>.</w:t>
      </w:r>
    </w:p>
    <w:p w:rsidR="00C6311E" w:rsidRDefault="00EA6E77" w:rsidP="00C6311E">
      <w:pPr>
        <w:rPr>
          <w:noProof/>
        </w:rPr>
      </w:pPr>
      <w:r w:rsidRPr="000625DC">
        <w:rPr>
          <w:noProof/>
        </w:rPr>
        <w:t xml:space="preserve">This section </w:t>
      </w:r>
      <w:r w:rsidR="005446A6">
        <w:rPr>
          <w:noProof/>
        </w:rPr>
        <w:t>contains</w:t>
      </w:r>
      <w:r w:rsidRPr="000625DC">
        <w:rPr>
          <w:noProof/>
        </w:rPr>
        <w:t xml:space="preserve"> data </w:t>
      </w:r>
      <w:r w:rsidR="005446A6">
        <w:rPr>
          <w:noProof/>
        </w:rPr>
        <w:t>on</w:t>
      </w:r>
      <w:r w:rsidR="005446A6" w:rsidRPr="000625DC">
        <w:rPr>
          <w:noProof/>
        </w:rPr>
        <w:t xml:space="preserve"> </w:t>
      </w:r>
      <w:r w:rsidRPr="000625DC">
        <w:rPr>
          <w:noProof/>
        </w:rPr>
        <w:t>detected irregularities and fraud reported by Member States, with the exception of those related to direct expenditure</w:t>
      </w:r>
      <w:r w:rsidRPr="000625DC">
        <w:rPr>
          <w:rStyle w:val="FootnoteReference"/>
          <w:noProof/>
        </w:rPr>
        <w:footnoteReference w:id="29"/>
      </w:r>
      <w:r w:rsidRPr="000625DC">
        <w:rPr>
          <w:noProof/>
        </w:rPr>
        <w:t xml:space="preserve">. Information </w:t>
      </w:r>
      <w:r w:rsidR="005446A6">
        <w:rPr>
          <w:noProof/>
        </w:rPr>
        <w:t>on</w:t>
      </w:r>
      <w:r w:rsidRPr="000625DC">
        <w:rPr>
          <w:noProof/>
        </w:rPr>
        <w:t xml:space="preserve"> OLAF </w:t>
      </w:r>
      <w:r>
        <w:rPr>
          <w:noProof/>
        </w:rPr>
        <w:t xml:space="preserve">and </w:t>
      </w:r>
      <w:r w:rsidRPr="000625DC">
        <w:rPr>
          <w:noProof/>
        </w:rPr>
        <w:t>EPPO investigations</w:t>
      </w:r>
      <w:r w:rsidR="005446A6">
        <w:rPr>
          <w:noProof/>
        </w:rPr>
        <w:t xml:space="preserve"> is also </w:t>
      </w:r>
      <w:r w:rsidR="00F61150">
        <w:rPr>
          <w:noProof/>
        </w:rPr>
        <w:t>provided</w:t>
      </w:r>
      <w:r w:rsidRPr="000625DC">
        <w:rPr>
          <w:rStyle w:val="FootnoteReference"/>
          <w:noProof/>
        </w:rPr>
        <w:footnoteReference w:id="30"/>
      </w:r>
      <w:r w:rsidRPr="000625DC">
        <w:rPr>
          <w:noProof/>
        </w:rPr>
        <w:t>.</w:t>
      </w:r>
    </w:p>
    <w:p w:rsidR="00C6311E" w:rsidRDefault="00EA6E77" w:rsidP="00C6311E">
      <w:pPr>
        <w:rPr>
          <w:noProof/>
        </w:rPr>
      </w:pPr>
      <w:r w:rsidRPr="000625DC">
        <w:rPr>
          <w:noProof/>
        </w:rPr>
        <w:t xml:space="preserve">A total of 12 455 irregularities, </w:t>
      </w:r>
      <w:r w:rsidR="005446A6">
        <w:rPr>
          <w:noProof/>
        </w:rPr>
        <w:t>amounting to</w:t>
      </w:r>
      <w:r w:rsidR="005446A6" w:rsidRPr="000625DC">
        <w:rPr>
          <w:noProof/>
        </w:rPr>
        <w:t xml:space="preserve"> </w:t>
      </w:r>
      <w:r w:rsidRPr="000625DC">
        <w:rPr>
          <w:noProof/>
        </w:rPr>
        <w:t>EUR</w:t>
      </w:r>
      <w:r w:rsidR="00CB70E4">
        <w:rPr>
          <w:noProof/>
        </w:rPr>
        <w:t> </w:t>
      </w:r>
      <w:r w:rsidRPr="000625DC">
        <w:rPr>
          <w:noProof/>
        </w:rPr>
        <w:t xml:space="preserve">1.77 billion, were reported in 2022. </w:t>
      </w:r>
      <w:r w:rsidR="005446A6">
        <w:rPr>
          <w:noProof/>
        </w:rPr>
        <w:t>T</w:t>
      </w:r>
      <w:r w:rsidRPr="000625DC">
        <w:rPr>
          <w:noProof/>
        </w:rPr>
        <w:t>here has been a slight increase</w:t>
      </w:r>
      <w:r w:rsidR="005446A6">
        <w:rPr>
          <w:noProof/>
        </w:rPr>
        <w:t xml:space="preserve"> in reported irregularities</w:t>
      </w:r>
      <w:r w:rsidRPr="000625DC">
        <w:rPr>
          <w:noProof/>
        </w:rPr>
        <w:t xml:space="preserve"> compared to 2021 (+7%), while the related amounts have decreased (-13%).</w:t>
      </w:r>
    </w:p>
    <w:p w:rsidR="00EA6E77" w:rsidRDefault="00EA6E77" w:rsidP="00C6311E">
      <w:pPr>
        <w:rPr>
          <w:noProof/>
        </w:rPr>
      </w:pPr>
      <w:r w:rsidRPr="000625DC">
        <w:rPr>
          <w:noProof/>
        </w:rPr>
        <w:t xml:space="preserve">The number of fraudulent irregularities </w:t>
      </w:r>
      <w:r w:rsidR="005446A6">
        <w:rPr>
          <w:noProof/>
        </w:rPr>
        <w:t xml:space="preserve">reported was </w:t>
      </w:r>
      <w:r w:rsidRPr="000625DC">
        <w:rPr>
          <w:noProof/>
        </w:rPr>
        <w:t>1 139 in 2022</w:t>
      </w:r>
      <w:r w:rsidR="00B705BD">
        <w:rPr>
          <w:noProof/>
        </w:rPr>
        <w:t xml:space="preserve"> (+2% in comparison to 202</w:t>
      </w:r>
      <w:r w:rsidR="0080644D">
        <w:rPr>
          <w:noProof/>
        </w:rPr>
        <w:t>1</w:t>
      </w:r>
      <w:r w:rsidR="00B705BD">
        <w:rPr>
          <w:noProof/>
        </w:rPr>
        <w:t>)</w:t>
      </w:r>
      <w:r w:rsidR="005446A6">
        <w:rPr>
          <w:noProof/>
        </w:rPr>
        <w:t xml:space="preserve">, which has remained </w:t>
      </w:r>
      <w:r w:rsidR="00CB70E4">
        <w:rPr>
          <w:noProof/>
        </w:rPr>
        <w:t xml:space="preserve">roughly </w:t>
      </w:r>
      <w:r w:rsidR="005446A6">
        <w:rPr>
          <w:noProof/>
        </w:rPr>
        <w:t>stable over the last five years</w:t>
      </w:r>
      <w:r w:rsidRPr="000625DC">
        <w:rPr>
          <w:noProof/>
        </w:rPr>
        <w:t xml:space="preserve">. The financial amounts linked to those cases have varied more, due to a limited number of individual cases with high financial impact, </w:t>
      </w:r>
      <w:r w:rsidR="0080644D">
        <w:rPr>
          <w:noProof/>
        </w:rPr>
        <w:t>and decreasing in 2022 to EUR 300 million (-62% in comparison to 2021)</w:t>
      </w:r>
      <w:r w:rsidRPr="000625DC">
        <w:rPr>
          <w:rStyle w:val="FootnoteReference"/>
          <w:noProof/>
        </w:rPr>
        <w:footnoteReference w:id="31"/>
      </w:r>
      <w:r w:rsidRPr="000625DC">
        <w:rPr>
          <w:noProof/>
        </w:rPr>
        <w:t>. The number and financial impact of non-fraudulent irregularities peaked in 2022 with a constant increasing trend over the five years</w:t>
      </w:r>
      <w:r w:rsidR="00CB70E4">
        <w:rPr>
          <w:noProof/>
        </w:rPr>
        <w:t>,</w:t>
      </w:r>
      <w:r w:rsidRPr="000625DC">
        <w:rPr>
          <w:noProof/>
        </w:rPr>
        <w:t xml:space="preserve"> </w:t>
      </w:r>
      <w:r>
        <w:rPr>
          <w:noProof/>
        </w:rPr>
        <w:t>with</w:t>
      </w:r>
      <w:r w:rsidRPr="000625DC">
        <w:rPr>
          <w:noProof/>
        </w:rPr>
        <w:t xml:space="preserve"> 11 316 irregularities </w:t>
      </w:r>
      <w:r w:rsidR="0080644D">
        <w:rPr>
          <w:noProof/>
        </w:rPr>
        <w:t xml:space="preserve">(+8% in comparison with 2021) </w:t>
      </w:r>
      <w:r w:rsidRPr="000625DC">
        <w:rPr>
          <w:noProof/>
        </w:rPr>
        <w:t>involving EUR</w:t>
      </w:r>
      <w:r w:rsidR="00CB70E4">
        <w:rPr>
          <w:noProof/>
        </w:rPr>
        <w:t> </w:t>
      </w:r>
      <w:r w:rsidRPr="000625DC">
        <w:rPr>
          <w:noProof/>
        </w:rPr>
        <w:t>1.47 billion</w:t>
      </w:r>
      <w:r w:rsidR="0080644D">
        <w:rPr>
          <w:noProof/>
        </w:rPr>
        <w:t xml:space="preserve"> (+17%)</w:t>
      </w:r>
      <w:r w:rsidRPr="000625DC">
        <w:rPr>
          <w:noProof/>
        </w:rPr>
        <w:t>.</w:t>
      </w:r>
    </w:p>
    <w:p w:rsidR="009B4970" w:rsidRDefault="00EA6E77" w:rsidP="00426FAD">
      <w:pPr>
        <w:pStyle w:val="Caption"/>
        <w:keepNext/>
        <w:rPr>
          <w:noProof/>
        </w:rPr>
      </w:pPr>
      <w:r>
        <w:rPr>
          <w:noProof/>
        </w:rPr>
        <w:t xml:space="preserve">Figure </w:t>
      </w:r>
      <w:r w:rsidR="00930F4F">
        <w:rPr>
          <w:noProof/>
        </w:rPr>
        <w:fldChar w:fldCharType="begin"/>
      </w:r>
      <w:r w:rsidR="00930F4F">
        <w:rPr>
          <w:noProof/>
        </w:rPr>
        <w:instrText xml:space="preserve"> SEQ Figure \* ARABIC </w:instrText>
      </w:r>
      <w:r w:rsidR="00930F4F">
        <w:rPr>
          <w:noProof/>
        </w:rPr>
        <w:fldChar w:fldCharType="separate"/>
      </w:r>
      <w:r w:rsidR="008273A0">
        <w:rPr>
          <w:noProof/>
        </w:rPr>
        <w:t>4</w:t>
      </w:r>
      <w:r w:rsidR="00930F4F">
        <w:rPr>
          <w:noProof/>
        </w:rPr>
        <w:fldChar w:fldCharType="end"/>
      </w:r>
      <w:r>
        <w:rPr>
          <w:noProof/>
        </w:rPr>
        <w:t xml:space="preserve">: </w:t>
      </w:r>
      <w:r w:rsidR="007A02F1">
        <w:rPr>
          <w:noProof/>
        </w:rPr>
        <w:t>Reported</w:t>
      </w:r>
      <w:r w:rsidR="007A02F1" w:rsidRPr="007A02F1">
        <w:rPr>
          <w:noProof/>
        </w:rPr>
        <w:t xml:space="preserve"> irregularities and related financial amounts </w:t>
      </w:r>
      <w:r w:rsidR="007A02F1">
        <w:rPr>
          <w:noProof/>
        </w:rPr>
        <w:t>–</w:t>
      </w:r>
      <w:r w:rsidR="007A02F1" w:rsidRPr="007A02F1">
        <w:rPr>
          <w:noProof/>
        </w:rPr>
        <w:t xml:space="preserve"> 2018-2022</w:t>
      </w:r>
      <w:r w:rsidR="007A02F1">
        <w:rPr>
          <w:noProof/>
        </w:rPr>
        <w:t>; irregularities</w:t>
      </w:r>
      <w:r w:rsidR="007A02F1" w:rsidRPr="007A02F1">
        <w:rPr>
          <w:noProof/>
        </w:rPr>
        <w:t xml:space="preserve"> and </w:t>
      </w:r>
      <w:r w:rsidR="007A02F1">
        <w:rPr>
          <w:noProof/>
        </w:rPr>
        <w:t xml:space="preserve">related financial amounts by </w:t>
      </w:r>
      <w:r w:rsidR="007A02F1" w:rsidRPr="007A02F1">
        <w:rPr>
          <w:noProof/>
        </w:rPr>
        <w:t xml:space="preserve">budgetary </w:t>
      </w:r>
      <w:r w:rsidR="007A02F1">
        <w:rPr>
          <w:noProof/>
        </w:rPr>
        <w:t>area – 2022</w:t>
      </w:r>
    </w:p>
    <w:p w:rsidR="00EA6E77" w:rsidRPr="00C6311E" w:rsidRDefault="00164523" w:rsidP="00EA6E77">
      <w:pPr>
        <w:pStyle w:val="Caption"/>
        <w:rPr>
          <w:noProof/>
        </w:rPr>
      </w:pPr>
      <w:r>
        <w:rPr>
          <w:noProof/>
        </w:rPr>
        <w:drawing>
          <wp:inline distT="0" distB="0" distL="0" distR="0" wp14:anchorId="547AABDD" wp14:editId="7238A37B">
            <wp:extent cx="5469672" cy="1978421"/>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95336" cy="1987704"/>
                    </a:xfrm>
                    <a:prstGeom prst="rect">
                      <a:avLst/>
                    </a:prstGeom>
                    <a:noFill/>
                  </pic:spPr>
                </pic:pic>
              </a:graphicData>
            </a:graphic>
          </wp:inline>
        </w:drawing>
      </w:r>
    </w:p>
    <w:p w:rsidR="004F6F3F" w:rsidRDefault="006620F9" w:rsidP="00170442">
      <w:pPr>
        <w:pStyle w:val="Heading3"/>
        <w:rPr>
          <w:noProof/>
        </w:rPr>
      </w:pPr>
      <w:bookmarkStart w:id="39" w:name="_Toc134557988"/>
      <w:bookmarkStart w:id="40" w:name="_Toc137736200"/>
      <w:r w:rsidRPr="000625DC">
        <w:rPr>
          <w:noProof/>
        </w:rPr>
        <w:t xml:space="preserve">Investigations by </w:t>
      </w:r>
      <w:bookmarkEnd w:id="39"/>
      <w:r w:rsidR="009B4970">
        <w:rPr>
          <w:noProof/>
        </w:rPr>
        <w:t>OLAF</w:t>
      </w:r>
      <w:bookmarkEnd w:id="40"/>
    </w:p>
    <w:p w:rsidR="009B4970" w:rsidRDefault="009B4970" w:rsidP="009B4970">
      <w:pPr>
        <w:rPr>
          <w:noProof/>
        </w:rPr>
      </w:pPr>
      <w:r>
        <w:rPr>
          <w:noProof/>
        </w:rPr>
        <w:t>In 2022 OLAF concluded investigations into 256 cases, issuing 275 recommendations, of which 153 financial, for a total recommended amount for recovery of EUR 426.8 million and EUR 197.9 million prevented from being unduly spent. Over the same period 192 new investigations were opened, of which 30 (16%) were related to own resources and illicit trade, 73 (38%) to shared management, 16 (8%) to indirect management, and 44 (23%) to direct management. 29 (15%) investigations were opened in relation to internal matters.</w:t>
      </w:r>
    </w:p>
    <w:p w:rsidR="006620F9" w:rsidRDefault="009B4970" w:rsidP="009B4970">
      <w:pPr>
        <w:rPr>
          <w:noProof/>
        </w:rPr>
      </w:pPr>
      <w:r>
        <w:rPr>
          <w:noProof/>
        </w:rPr>
        <w:t>OLAF investigated allegations and instances of collusion, manipulation of procurement procedures, conflicts of interest, inflated invoices, evasion of customs duties, smuggling and counterfeiting.</w:t>
      </w:r>
    </w:p>
    <w:p w:rsidR="006620F9" w:rsidRDefault="006620F9" w:rsidP="00170442">
      <w:pPr>
        <w:pStyle w:val="Heading3"/>
        <w:rPr>
          <w:noProof/>
        </w:rPr>
      </w:pPr>
      <w:bookmarkStart w:id="41" w:name="_Toc134557987"/>
      <w:bookmarkStart w:id="42" w:name="_Toc137736201"/>
      <w:r w:rsidRPr="000625DC">
        <w:rPr>
          <w:noProof/>
        </w:rPr>
        <w:t>Investigations by the EPPO</w:t>
      </w:r>
      <w:bookmarkEnd w:id="41"/>
      <w:bookmarkEnd w:id="42"/>
    </w:p>
    <w:p w:rsidR="006620F9" w:rsidRDefault="006620F9" w:rsidP="006620F9">
      <w:pPr>
        <w:rPr>
          <w:noProof/>
        </w:rPr>
      </w:pPr>
      <w:r w:rsidRPr="000625DC">
        <w:rPr>
          <w:noProof/>
        </w:rPr>
        <w:t>In 2022</w:t>
      </w:r>
      <w:r w:rsidR="00B40B7F">
        <w:rPr>
          <w:noProof/>
        </w:rPr>
        <w:t>,</w:t>
      </w:r>
      <w:r w:rsidRPr="000625DC">
        <w:rPr>
          <w:noProof/>
        </w:rPr>
        <w:t xml:space="preserve"> the EPPO opened 865 investigations</w:t>
      </w:r>
      <w:r w:rsidR="006027D7">
        <w:rPr>
          <w:noProof/>
        </w:rPr>
        <w:t xml:space="preserve"> corresponding to damages estimated at EUR</w:t>
      </w:r>
      <w:r w:rsidR="00CB70E4">
        <w:rPr>
          <w:noProof/>
        </w:rPr>
        <w:t> </w:t>
      </w:r>
      <w:r w:rsidR="006027D7">
        <w:rPr>
          <w:noProof/>
        </w:rPr>
        <w:t>9.9 billion</w:t>
      </w:r>
      <w:r w:rsidR="006027D7">
        <w:rPr>
          <w:rStyle w:val="FootnoteReference"/>
          <w:noProof/>
        </w:rPr>
        <w:footnoteReference w:id="32"/>
      </w:r>
      <w:r w:rsidRPr="000625DC">
        <w:rPr>
          <w:noProof/>
        </w:rPr>
        <w:t>. At the end of 2022</w:t>
      </w:r>
      <w:r w:rsidR="00CB70E4">
        <w:rPr>
          <w:noProof/>
        </w:rPr>
        <w:t>,</w:t>
      </w:r>
      <w:r w:rsidRPr="000625DC">
        <w:rPr>
          <w:noProof/>
        </w:rPr>
        <w:t xml:space="preserve"> the EPPO had 1 117 ongoing investigations involving an estimated damage of EUR</w:t>
      </w:r>
      <w:r w:rsidR="00CB70E4">
        <w:rPr>
          <w:noProof/>
        </w:rPr>
        <w:t> </w:t>
      </w:r>
      <w:r w:rsidRPr="000625DC">
        <w:rPr>
          <w:noProof/>
        </w:rPr>
        <w:t>14.1 billion, of which almost half (EUR</w:t>
      </w:r>
      <w:r w:rsidR="00CB70E4">
        <w:rPr>
          <w:noProof/>
        </w:rPr>
        <w:t> </w:t>
      </w:r>
      <w:r w:rsidRPr="000625DC">
        <w:rPr>
          <w:noProof/>
        </w:rPr>
        <w:t xml:space="preserve">6.7 billion) </w:t>
      </w:r>
      <w:r w:rsidR="00CB70E4">
        <w:rPr>
          <w:noProof/>
        </w:rPr>
        <w:t xml:space="preserve">was </w:t>
      </w:r>
      <w:r w:rsidRPr="000625DC">
        <w:rPr>
          <w:noProof/>
        </w:rPr>
        <w:t>linked to 185 VAT-related investigations</w:t>
      </w:r>
      <w:r w:rsidRPr="000625DC">
        <w:rPr>
          <w:rStyle w:val="FootnoteReference"/>
          <w:noProof/>
        </w:rPr>
        <w:footnoteReference w:id="33"/>
      </w:r>
      <w:r w:rsidRPr="000625DC">
        <w:rPr>
          <w:noProof/>
        </w:rPr>
        <w:t xml:space="preserve">. 692 investigations concerned </w:t>
      </w:r>
      <w:r w:rsidR="00CB70E4">
        <w:rPr>
          <w:noProof/>
        </w:rPr>
        <w:t xml:space="preserve">cases of </w:t>
      </w:r>
      <w:r w:rsidRPr="000625DC">
        <w:rPr>
          <w:noProof/>
        </w:rPr>
        <w:t>expenditure fraud.</w:t>
      </w:r>
    </w:p>
    <w:p w:rsidR="006620F9" w:rsidRDefault="006620F9" w:rsidP="006620F9">
      <w:pPr>
        <w:rPr>
          <w:noProof/>
        </w:rPr>
      </w:pPr>
      <w:r w:rsidRPr="000625DC">
        <w:rPr>
          <w:noProof/>
        </w:rPr>
        <w:t xml:space="preserve">Among the typologies identified in these active investigations, 679 offences </w:t>
      </w:r>
      <w:r w:rsidR="00CB70E4">
        <w:rPr>
          <w:noProof/>
        </w:rPr>
        <w:t>relate</w:t>
      </w:r>
      <w:r w:rsidR="00CB70E4" w:rsidRPr="000625DC">
        <w:rPr>
          <w:noProof/>
        </w:rPr>
        <w:t xml:space="preserve"> </w:t>
      </w:r>
      <w:r w:rsidRPr="000625DC">
        <w:rPr>
          <w:noProof/>
        </w:rPr>
        <w:t>to non-procurement expenditure fraud, 224 to procurement</w:t>
      </w:r>
      <w:r w:rsidR="00CB70E4">
        <w:rPr>
          <w:noProof/>
        </w:rPr>
        <w:t xml:space="preserve"> </w:t>
      </w:r>
      <w:r w:rsidRPr="000625DC">
        <w:rPr>
          <w:noProof/>
        </w:rPr>
        <w:t xml:space="preserve">expenditure fraud, 87 </w:t>
      </w:r>
      <w:r w:rsidR="00CB70E4">
        <w:rPr>
          <w:noProof/>
        </w:rPr>
        <w:t xml:space="preserve">to </w:t>
      </w:r>
      <w:r w:rsidRPr="000625DC">
        <w:rPr>
          <w:noProof/>
        </w:rPr>
        <w:t xml:space="preserve">corruption, 48 </w:t>
      </w:r>
      <w:r w:rsidR="00CB70E4">
        <w:rPr>
          <w:noProof/>
        </w:rPr>
        <w:t xml:space="preserve">to </w:t>
      </w:r>
      <w:r w:rsidRPr="000625DC">
        <w:rPr>
          <w:noProof/>
        </w:rPr>
        <w:t xml:space="preserve">misappropriation, 116 </w:t>
      </w:r>
      <w:r w:rsidR="00CB70E4">
        <w:rPr>
          <w:noProof/>
        </w:rPr>
        <w:t xml:space="preserve">to </w:t>
      </w:r>
      <w:r w:rsidRPr="000625DC">
        <w:rPr>
          <w:noProof/>
        </w:rPr>
        <w:t>money</w:t>
      </w:r>
      <w:r w:rsidR="00CB70E4">
        <w:rPr>
          <w:noProof/>
        </w:rPr>
        <w:t>-</w:t>
      </w:r>
      <w:r w:rsidRPr="000625DC">
        <w:rPr>
          <w:noProof/>
        </w:rPr>
        <w:t xml:space="preserve">laundering, 236 </w:t>
      </w:r>
      <w:r w:rsidR="00CB70E4">
        <w:rPr>
          <w:noProof/>
        </w:rPr>
        <w:t xml:space="preserve">to </w:t>
      </w:r>
      <w:r w:rsidRPr="000625DC">
        <w:rPr>
          <w:noProof/>
        </w:rPr>
        <w:t xml:space="preserve">non-VAT revenue fraud and 427 </w:t>
      </w:r>
      <w:r w:rsidR="00CB70E4">
        <w:rPr>
          <w:noProof/>
        </w:rPr>
        <w:t xml:space="preserve">to </w:t>
      </w:r>
      <w:r w:rsidRPr="000625DC">
        <w:rPr>
          <w:noProof/>
        </w:rPr>
        <w:t>VAT revenue fraud.</w:t>
      </w:r>
    </w:p>
    <w:p w:rsidR="00C6311E" w:rsidRDefault="006620F9" w:rsidP="00C21AF5">
      <w:pPr>
        <w:pStyle w:val="Heading2"/>
        <w:rPr>
          <w:noProof/>
        </w:rPr>
      </w:pPr>
      <w:bookmarkStart w:id="43" w:name="_Toc134557989"/>
      <w:bookmarkStart w:id="44" w:name="_Toc137736202"/>
      <w:r w:rsidRPr="000625DC">
        <w:rPr>
          <w:noProof/>
        </w:rPr>
        <w:t>Revenue – Traditional own resources</w:t>
      </w:r>
      <w:bookmarkEnd w:id="43"/>
      <w:bookmarkEnd w:id="44"/>
      <w:r w:rsidR="00B1788C" w:rsidRPr="00B1788C">
        <w:rPr>
          <w:rStyle w:val="FootnoteReference"/>
          <w:b w:val="0"/>
          <w:noProof/>
        </w:rPr>
        <w:footnoteReference w:id="34"/>
      </w:r>
    </w:p>
    <w:p w:rsidR="00C6311E" w:rsidRDefault="006620F9" w:rsidP="00C6311E">
      <w:pPr>
        <w:rPr>
          <w:noProof/>
        </w:rPr>
      </w:pPr>
      <w:r w:rsidRPr="000625DC">
        <w:rPr>
          <w:noProof/>
        </w:rPr>
        <w:t xml:space="preserve">In 2022, the number of </w:t>
      </w:r>
      <w:r w:rsidRPr="000625DC">
        <w:rPr>
          <w:b/>
          <w:noProof/>
        </w:rPr>
        <w:t>fraudulent and non-fraudulent irregularities</w:t>
      </w:r>
      <w:r w:rsidRPr="000625DC">
        <w:rPr>
          <w:noProof/>
        </w:rPr>
        <w:t xml:space="preserve"> (4 661) relat</w:t>
      </w:r>
      <w:r w:rsidR="00BC736E">
        <w:rPr>
          <w:noProof/>
        </w:rPr>
        <w:t xml:space="preserve">ing </w:t>
      </w:r>
      <w:r w:rsidRPr="000625DC">
        <w:rPr>
          <w:noProof/>
        </w:rPr>
        <w:t xml:space="preserve">to Traditional Own Resources (TOR) was 7.6% higher than the average number of irregularities reported </w:t>
      </w:r>
      <w:r w:rsidR="00BC736E">
        <w:rPr>
          <w:noProof/>
        </w:rPr>
        <w:t>over</w:t>
      </w:r>
      <w:r w:rsidR="00BC736E" w:rsidRPr="000625DC">
        <w:rPr>
          <w:noProof/>
        </w:rPr>
        <w:t xml:space="preserve"> </w:t>
      </w:r>
      <w:r w:rsidRPr="000625DC">
        <w:rPr>
          <w:noProof/>
        </w:rPr>
        <w:t xml:space="preserve">the last five years. The number of fraudulent irregularities </w:t>
      </w:r>
      <w:r w:rsidR="00BC736E">
        <w:rPr>
          <w:noProof/>
        </w:rPr>
        <w:t>fell</w:t>
      </w:r>
      <w:r w:rsidR="00BC736E" w:rsidRPr="000625DC">
        <w:rPr>
          <w:noProof/>
        </w:rPr>
        <w:t xml:space="preserve"> </w:t>
      </w:r>
      <w:r w:rsidRPr="000625DC">
        <w:rPr>
          <w:noProof/>
        </w:rPr>
        <w:t xml:space="preserve">by 6.8% and non-fraudulent irregularities </w:t>
      </w:r>
      <w:r w:rsidR="00BC736E">
        <w:rPr>
          <w:noProof/>
        </w:rPr>
        <w:t>rose</w:t>
      </w:r>
      <w:r w:rsidR="00BC736E" w:rsidRPr="000625DC">
        <w:rPr>
          <w:noProof/>
        </w:rPr>
        <w:t xml:space="preserve"> </w:t>
      </w:r>
      <w:r w:rsidRPr="000625DC">
        <w:rPr>
          <w:noProof/>
        </w:rPr>
        <w:t xml:space="preserve">by 9.4% </w:t>
      </w:r>
      <w:r w:rsidR="00BC736E">
        <w:rPr>
          <w:noProof/>
        </w:rPr>
        <w:t xml:space="preserve">compared </w:t>
      </w:r>
      <w:r w:rsidRPr="000625DC">
        <w:rPr>
          <w:noProof/>
        </w:rPr>
        <w:t xml:space="preserve">to the 5-year average for 2018-2022. The total </w:t>
      </w:r>
      <w:r w:rsidRPr="000625DC">
        <w:rPr>
          <w:b/>
          <w:noProof/>
        </w:rPr>
        <w:t>amount</w:t>
      </w:r>
      <w:r w:rsidRPr="000625DC">
        <w:rPr>
          <w:noProof/>
        </w:rPr>
        <w:t xml:space="preserve"> of TOR estimated and established </w:t>
      </w:r>
      <w:r>
        <w:rPr>
          <w:noProof/>
        </w:rPr>
        <w:t xml:space="preserve">by the Member States </w:t>
      </w:r>
      <w:r w:rsidRPr="000625DC">
        <w:rPr>
          <w:noProof/>
        </w:rPr>
        <w:t>increased by 47% to EUR</w:t>
      </w:r>
      <w:r w:rsidR="00BC736E">
        <w:rPr>
          <w:noProof/>
        </w:rPr>
        <w:t> </w:t>
      </w:r>
      <w:r w:rsidRPr="000625DC">
        <w:rPr>
          <w:noProof/>
        </w:rPr>
        <w:t>783 million</w:t>
      </w:r>
      <w:r w:rsidRPr="000625DC">
        <w:rPr>
          <w:rStyle w:val="FootnoteReference"/>
          <w:noProof/>
        </w:rPr>
        <w:footnoteReference w:id="35"/>
      </w:r>
      <w:r w:rsidRPr="000625DC">
        <w:rPr>
          <w:noProof/>
        </w:rPr>
        <w:t>.</w:t>
      </w:r>
    </w:p>
    <w:p w:rsidR="00C6311E" w:rsidRDefault="006620F9" w:rsidP="00C6311E">
      <w:pPr>
        <w:rPr>
          <w:noProof/>
        </w:rPr>
      </w:pPr>
      <w:r w:rsidRPr="000625DC">
        <w:rPr>
          <w:noProof/>
        </w:rPr>
        <w:t xml:space="preserve">While </w:t>
      </w:r>
      <w:r w:rsidRPr="000625DC">
        <w:rPr>
          <w:b/>
          <w:noProof/>
        </w:rPr>
        <w:t>smuggling</w:t>
      </w:r>
      <w:r w:rsidRPr="000625DC">
        <w:rPr>
          <w:noProof/>
        </w:rPr>
        <w:t xml:space="preserve"> remains one of the main modus operandi </w:t>
      </w:r>
      <w:r w:rsidR="00BC736E">
        <w:rPr>
          <w:noProof/>
        </w:rPr>
        <w:t>in</w:t>
      </w:r>
      <w:r w:rsidR="00BC736E" w:rsidRPr="000625DC">
        <w:rPr>
          <w:noProof/>
        </w:rPr>
        <w:t xml:space="preserve"> </w:t>
      </w:r>
      <w:r w:rsidRPr="000625DC">
        <w:rPr>
          <w:noProof/>
        </w:rPr>
        <w:t xml:space="preserve">fraudulent cases, most cases reported in 2022 relate to </w:t>
      </w:r>
      <w:r w:rsidRPr="000625DC">
        <w:rPr>
          <w:b/>
          <w:noProof/>
        </w:rPr>
        <w:t>incorrect value</w:t>
      </w:r>
      <w:r w:rsidRPr="000625DC">
        <w:rPr>
          <w:noProof/>
        </w:rPr>
        <w:t xml:space="preserve"> and </w:t>
      </w:r>
      <w:r w:rsidRPr="000625DC">
        <w:rPr>
          <w:b/>
          <w:noProof/>
        </w:rPr>
        <w:t>incorrect classification</w:t>
      </w:r>
      <w:r w:rsidRPr="000625DC">
        <w:rPr>
          <w:noProof/>
        </w:rPr>
        <w:t xml:space="preserve">/misdescription of goods. </w:t>
      </w:r>
      <w:r w:rsidRPr="000625DC">
        <w:rPr>
          <w:b/>
          <w:noProof/>
        </w:rPr>
        <w:t>Textiles and footwear</w:t>
      </w:r>
      <w:r w:rsidRPr="000625DC">
        <w:rPr>
          <w:noProof/>
        </w:rPr>
        <w:t xml:space="preserve"> were the </w:t>
      </w:r>
      <w:r w:rsidR="00BC736E">
        <w:rPr>
          <w:noProof/>
        </w:rPr>
        <w:t xml:space="preserve">goods </w:t>
      </w:r>
      <w:r w:rsidRPr="000625DC">
        <w:rPr>
          <w:noProof/>
        </w:rPr>
        <w:t>most affected</w:t>
      </w:r>
      <w:r w:rsidR="00BC736E">
        <w:rPr>
          <w:noProof/>
        </w:rPr>
        <w:t>,</w:t>
      </w:r>
      <w:r w:rsidRPr="000625DC">
        <w:rPr>
          <w:noProof/>
        </w:rPr>
        <w:t xml:space="preserve"> not only in terms of </w:t>
      </w:r>
      <w:r w:rsidR="00BC736E">
        <w:rPr>
          <w:noProof/>
        </w:rPr>
        <w:t xml:space="preserve">the </w:t>
      </w:r>
      <w:r w:rsidRPr="000625DC">
        <w:rPr>
          <w:noProof/>
        </w:rPr>
        <w:t>number of cases</w:t>
      </w:r>
      <w:r w:rsidR="00BC736E">
        <w:rPr>
          <w:noProof/>
        </w:rPr>
        <w:t>,</w:t>
      </w:r>
      <w:r w:rsidRPr="000625DC">
        <w:rPr>
          <w:noProof/>
        </w:rPr>
        <w:t xml:space="preserve"> but </w:t>
      </w:r>
      <w:r w:rsidR="00BC736E">
        <w:rPr>
          <w:noProof/>
        </w:rPr>
        <w:t>particularly</w:t>
      </w:r>
      <w:r w:rsidR="00BC736E" w:rsidRPr="000625DC">
        <w:rPr>
          <w:noProof/>
        </w:rPr>
        <w:t xml:space="preserve"> </w:t>
      </w:r>
      <w:r w:rsidRPr="000625DC">
        <w:rPr>
          <w:noProof/>
        </w:rPr>
        <w:t xml:space="preserve">in value. </w:t>
      </w:r>
      <w:r w:rsidRPr="000625DC">
        <w:rPr>
          <w:b/>
          <w:noProof/>
        </w:rPr>
        <w:t>China</w:t>
      </w:r>
      <w:r w:rsidRPr="000625DC">
        <w:rPr>
          <w:noProof/>
        </w:rPr>
        <w:t xml:space="preserve"> remained the most </w:t>
      </w:r>
      <w:r w:rsidR="00BC736E">
        <w:rPr>
          <w:noProof/>
        </w:rPr>
        <w:t>significant</w:t>
      </w:r>
      <w:r w:rsidR="00BC736E" w:rsidRPr="000625DC">
        <w:rPr>
          <w:noProof/>
        </w:rPr>
        <w:t xml:space="preserve"> </w:t>
      </w:r>
      <w:r w:rsidRPr="000625DC">
        <w:rPr>
          <w:noProof/>
        </w:rPr>
        <w:t>country of origin of goods affected by irregularities.</w:t>
      </w:r>
    </w:p>
    <w:p w:rsidR="006620F9" w:rsidRDefault="00BC736E" w:rsidP="00C6311E">
      <w:pPr>
        <w:rPr>
          <w:noProof/>
        </w:rPr>
      </w:pPr>
      <w:r>
        <w:rPr>
          <w:noProof/>
        </w:rPr>
        <w:t>14</w:t>
      </w:r>
      <w:r w:rsidRPr="000625DC">
        <w:rPr>
          <w:noProof/>
        </w:rPr>
        <w:t xml:space="preserve"> </w:t>
      </w:r>
      <w:r w:rsidR="006620F9" w:rsidRPr="000625DC">
        <w:rPr>
          <w:noProof/>
        </w:rPr>
        <w:t xml:space="preserve">Member States reported 116 cases of </w:t>
      </w:r>
      <w:r w:rsidR="006620F9" w:rsidRPr="000625DC">
        <w:rPr>
          <w:b/>
          <w:noProof/>
        </w:rPr>
        <w:t>smuggled cigarettes</w:t>
      </w:r>
      <w:r>
        <w:rPr>
          <w:noProof/>
        </w:rPr>
        <w:t xml:space="preserve">, </w:t>
      </w:r>
      <w:r w:rsidR="006620F9" w:rsidRPr="000625DC">
        <w:rPr>
          <w:noProof/>
        </w:rPr>
        <w:t xml:space="preserve">with the estimated amount of TOR involved </w:t>
      </w:r>
      <w:r w:rsidR="006620F9">
        <w:rPr>
          <w:noProof/>
        </w:rPr>
        <w:t xml:space="preserve">totalling </w:t>
      </w:r>
      <w:r w:rsidR="006620F9" w:rsidRPr="000625DC">
        <w:rPr>
          <w:noProof/>
        </w:rPr>
        <w:t>around EUR</w:t>
      </w:r>
      <w:r>
        <w:rPr>
          <w:noProof/>
        </w:rPr>
        <w:t> </w:t>
      </w:r>
      <w:r w:rsidR="006620F9" w:rsidRPr="000625DC">
        <w:rPr>
          <w:noProof/>
        </w:rPr>
        <w:t xml:space="preserve">38 million. Compared to 2021, </w:t>
      </w:r>
      <w:r>
        <w:rPr>
          <w:noProof/>
        </w:rPr>
        <w:t>10</w:t>
      </w:r>
      <w:r w:rsidRPr="000625DC">
        <w:rPr>
          <w:noProof/>
        </w:rPr>
        <w:t xml:space="preserve"> </w:t>
      </w:r>
      <w:r w:rsidR="006620F9" w:rsidRPr="000625DC">
        <w:rPr>
          <w:noProof/>
        </w:rPr>
        <w:t>Member States</w:t>
      </w:r>
      <w:r w:rsidR="006620F9" w:rsidRPr="000625DC">
        <w:rPr>
          <w:rStyle w:val="FootnoteReference"/>
          <w:noProof/>
        </w:rPr>
        <w:footnoteReference w:id="36"/>
      </w:r>
      <w:r w:rsidR="006620F9" w:rsidRPr="000625DC">
        <w:rPr>
          <w:noProof/>
        </w:rPr>
        <w:t xml:space="preserve"> continue</w:t>
      </w:r>
      <w:r w:rsidR="006620F9">
        <w:rPr>
          <w:noProof/>
        </w:rPr>
        <w:t>d</w:t>
      </w:r>
      <w:r w:rsidR="006620F9" w:rsidRPr="000625DC">
        <w:rPr>
          <w:noProof/>
        </w:rPr>
        <w:t xml:space="preserve"> to </w:t>
      </w:r>
      <w:r w:rsidR="006620F9">
        <w:rPr>
          <w:noProof/>
        </w:rPr>
        <w:t xml:space="preserve">report </w:t>
      </w:r>
      <w:r w:rsidR="006620F9" w:rsidRPr="000625DC">
        <w:rPr>
          <w:noProof/>
        </w:rPr>
        <w:t xml:space="preserve">smuggling cases, </w:t>
      </w:r>
      <w:r>
        <w:rPr>
          <w:noProof/>
        </w:rPr>
        <w:t>while</w:t>
      </w:r>
      <w:r w:rsidRPr="000625DC">
        <w:rPr>
          <w:noProof/>
        </w:rPr>
        <w:t xml:space="preserve"> </w:t>
      </w:r>
      <w:r w:rsidR="006620F9" w:rsidRPr="000625DC">
        <w:rPr>
          <w:noProof/>
        </w:rPr>
        <w:t xml:space="preserve">four Member States </w:t>
      </w:r>
      <w:r w:rsidR="006620F9">
        <w:rPr>
          <w:noProof/>
        </w:rPr>
        <w:t xml:space="preserve">reported them for the first time </w:t>
      </w:r>
      <w:r w:rsidR="006620F9" w:rsidRPr="000625DC">
        <w:rPr>
          <w:noProof/>
        </w:rPr>
        <w:t>in 2022</w:t>
      </w:r>
      <w:r w:rsidR="006620F9" w:rsidRPr="000625DC">
        <w:rPr>
          <w:rStyle w:val="FootnoteReference"/>
          <w:noProof/>
        </w:rPr>
        <w:footnoteReference w:id="37"/>
      </w:r>
      <w:r w:rsidR="006620F9" w:rsidRPr="000625DC">
        <w:rPr>
          <w:noProof/>
        </w:rPr>
        <w:t>. This might indicate a potential shift of fraud or of cigarette smuggling routes to other Member States.</w:t>
      </w:r>
    </w:p>
    <w:p w:rsidR="006620F9" w:rsidRDefault="006620F9" w:rsidP="00C6311E">
      <w:pPr>
        <w:rPr>
          <w:noProof/>
        </w:rPr>
      </w:pPr>
      <w:r w:rsidRPr="000625DC">
        <w:rPr>
          <w:b/>
          <w:noProof/>
        </w:rPr>
        <w:t>Release for free circulation</w:t>
      </w:r>
      <w:r w:rsidRPr="000625DC">
        <w:rPr>
          <w:noProof/>
        </w:rPr>
        <w:t xml:space="preserve"> remains the customs procedure most affected by fraudulent and non-fraudulent irregularities (3</w:t>
      </w:r>
      <w:r w:rsidR="003C2803">
        <w:rPr>
          <w:noProof/>
        </w:rPr>
        <w:t> </w:t>
      </w:r>
      <w:r w:rsidRPr="000625DC">
        <w:rPr>
          <w:noProof/>
        </w:rPr>
        <w:t>799 cases with an overall amount of EUR</w:t>
      </w:r>
      <w:r w:rsidR="00BC736E">
        <w:rPr>
          <w:noProof/>
        </w:rPr>
        <w:t> </w:t>
      </w:r>
      <w:r w:rsidRPr="000625DC">
        <w:rPr>
          <w:noProof/>
        </w:rPr>
        <w:t>688 million). Compared to 2021, Germany reported a big increase in non-fraudulent cases related to ‘release for free circulation’</w:t>
      </w:r>
      <w:r w:rsidR="00BC736E">
        <w:rPr>
          <w:noProof/>
        </w:rPr>
        <w:t xml:space="preserve"> in 2022,</w:t>
      </w:r>
      <w:r w:rsidRPr="000625DC">
        <w:rPr>
          <w:noProof/>
        </w:rPr>
        <w:t xml:space="preserve"> wh</w:t>
      </w:r>
      <w:r w:rsidR="00BC736E">
        <w:rPr>
          <w:noProof/>
        </w:rPr>
        <w:t>ile</w:t>
      </w:r>
      <w:r w:rsidRPr="000625DC">
        <w:rPr>
          <w:noProof/>
        </w:rPr>
        <w:t xml:space="preserve"> some of its neighbouring Member States reported an increase in ‘transit’ </w:t>
      </w:r>
      <w:r>
        <w:rPr>
          <w:noProof/>
        </w:rPr>
        <w:t>(e.g. Czech</w:t>
      </w:r>
      <w:r w:rsidR="00BC736E">
        <w:rPr>
          <w:noProof/>
        </w:rPr>
        <w:t>ia</w:t>
      </w:r>
      <w:r>
        <w:rPr>
          <w:noProof/>
        </w:rPr>
        <w:t xml:space="preserve"> and the Netherlands) </w:t>
      </w:r>
      <w:r w:rsidRPr="000625DC">
        <w:rPr>
          <w:noProof/>
        </w:rPr>
        <w:t>combined with a decrease in ‘release for free circulation’ (the Netherlands).</w:t>
      </w:r>
    </w:p>
    <w:p w:rsidR="006620F9" w:rsidRDefault="006620F9" w:rsidP="00C6311E">
      <w:pPr>
        <w:rPr>
          <w:noProof/>
        </w:rPr>
      </w:pPr>
      <w:r w:rsidRPr="000625DC">
        <w:rPr>
          <w:noProof/>
        </w:rPr>
        <w:t xml:space="preserve">Inspections by national </w:t>
      </w:r>
      <w:r w:rsidRPr="000625DC">
        <w:rPr>
          <w:b/>
          <w:noProof/>
        </w:rPr>
        <w:t>anti-fraud services</w:t>
      </w:r>
      <w:r w:rsidRPr="000625DC">
        <w:rPr>
          <w:noProof/>
        </w:rPr>
        <w:t xml:space="preserve"> together with customs release controls played a crucial role in detecting fraudulent cases in 2022. Non-fraudulent instances were primarily detected by </w:t>
      </w:r>
      <w:r w:rsidRPr="000625DC">
        <w:rPr>
          <w:b/>
          <w:noProof/>
        </w:rPr>
        <w:t>post-release controls</w:t>
      </w:r>
      <w:r w:rsidRPr="000625DC">
        <w:rPr>
          <w:noProof/>
        </w:rPr>
        <w:t>, although other methods of detection such as release controls and tax audit</w:t>
      </w:r>
      <w:r>
        <w:rPr>
          <w:noProof/>
        </w:rPr>
        <w:t>s</w:t>
      </w:r>
      <w:r w:rsidRPr="000625DC">
        <w:rPr>
          <w:noProof/>
        </w:rPr>
        <w:t xml:space="preserve"> were also on the rise.</w:t>
      </w:r>
    </w:p>
    <w:p w:rsidR="006620F9" w:rsidRDefault="006620F9" w:rsidP="00C6311E">
      <w:pPr>
        <w:rPr>
          <w:noProof/>
        </w:rPr>
      </w:pPr>
      <w:r w:rsidRPr="000625DC">
        <w:rPr>
          <w:noProof/>
        </w:rPr>
        <w:t xml:space="preserve">In 2022, the Commission services focused its on-the-spot </w:t>
      </w:r>
      <w:r w:rsidRPr="000625DC">
        <w:rPr>
          <w:b/>
          <w:noProof/>
        </w:rPr>
        <w:t>inspections in the Member States</w:t>
      </w:r>
      <w:r w:rsidRPr="000625DC">
        <w:rPr>
          <w:noProof/>
        </w:rPr>
        <w:t xml:space="preserve"> on the control strategy for e-commerce and low</w:t>
      </w:r>
      <w:r w:rsidR="00324591">
        <w:rPr>
          <w:noProof/>
        </w:rPr>
        <w:t>-</w:t>
      </w:r>
      <w:r w:rsidRPr="000625DC">
        <w:rPr>
          <w:noProof/>
        </w:rPr>
        <w:t>value consignments and the control strategy for anti-dumping and countervailing duties. Furthermore, the Commission’s desk audits in 2022 were oriented towards three different topics: COVID-19</w:t>
      </w:r>
      <w:r w:rsidR="00324591">
        <w:rPr>
          <w:noProof/>
        </w:rPr>
        <w:t>-</w:t>
      </w:r>
      <w:r w:rsidRPr="000625DC">
        <w:rPr>
          <w:noProof/>
        </w:rPr>
        <w:t xml:space="preserve">related goods subject to duty relief, </w:t>
      </w:r>
      <w:r w:rsidR="003D701B">
        <w:rPr>
          <w:noProof/>
        </w:rPr>
        <w:t>Binding Origin Information (</w:t>
      </w:r>
      <w:r w:rsidRPr="000625DC">
        <w:rPr>
          <w:noProof/>
        </w:rPr>
        <w:t>BOI</w:t>
      </w:r>
      <w:r w:rsidR="003D701B">
        <w:rPr>
          <w:noProof/>
        </w:rPr>
        <w:t>)</w:t>
      </w:r>
      <w:r w:rsidRPr="000625DC">
        <w:rPr>
          <w:noProof/>
        </w:rPr>
        <w:t xml:space="preserve"> decisions and open B-account cases.</w:t>
      </w:r>
    </w:p>
    <w:p w:rsidR="001021FB" w:rsidRDefault="00426FAD" w:rsidP="00C2785F">
      <w:pPr>
        <w:pStyle w:val="Caption"/>
        <w:keepNext/>
        <w:rPr>
          <w:noProof/>
        </w:rPr>
      </w:pPr>
      <w:r w:rsidRPr="008C3A9B">
        <w:rPr>
          <w:noProof/>
        </w:rPr>
        <w:t xml:space="preserve">Figure </w:t>
      </w:r>
      <w:r w:rsidR="00930F4F">
        <w:rPr>
          <w:noProof/>
        </w:rPr>
        <w:fldChar w:fldCharType="begin"/>
      </w:r>
      <w:r w:rsidR="00930F4F">
        <w:rPr>
          <w:noProof/>
        </w:rPr>
        <w:instrText xml:space="preserve"> SEQ Figure \* ARABIC </w:instrText>
      </w:r>
      <w:r w:rsidR="00930F4F">
        <w:rPr>
          <w:noProof/>
        </w:rPr>
        <w:fldChar w:fldCharType="separate"/>
      </w:r>
      <w:r w:rsidR="008273A0">
        <w:rPr>
          <w:noProof/>
        </w:rPr>
        <w:t>5</w:t>
      </w:r>
      <w:r w:rsidR="00930F4F">
        <w:rPr>
          <w:noProof/>
        </w:rPr>
        <w:fldChar w:fldCharType="end"/>
      </w:r>
      <w:r w:rsidRPr="008C3A9B">
        <w:rPr>
          <w:noProof/>
        </w:rPr>
        <w:t>: Irregularities detected and reported in TOR and detection by type of control</w:t>
      </w:r>
    </w:p>
    <w:p w:rsidR="00426FAD" w:rsidRPr="00426FAD" w:rsidRDefault="00733AD9" w:rsidP="00426FAD">
      <w:pPr>
        <w:rPr>
          <w:noProof/>
        </w:rPr>
      </w:pPr>
      <w:r>
        <w:rPr>
          <w:noProof/>
        </w:rPr>
        <w:drawing>
          <wp:inline distT="0" distB="0" distL="0" distR="0" wp14:anchorId="090F900E" wp14:editId="273E939C">
            <wp:extent cx="5531021" cy="24284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78023" cy="2449050"/>
                    </a:xfrm>
                    <a:prstGeom prst="rect">
                      <a:avLst/>
                    </a:prstGeom>
                    <a:noFill/>
                  </pic:spPr>
                </pic:pic>
              </a:graphicData>
            </a:graphic>
          </wp:inline>
        </w:drawing>
      </w:r>
    </w:p>
    <w:p w:rsidR="0050435C" w:rsidRDefault="0050435C" w:rsidP="0050435C">
      <w:pPr>
        <w:pStyle w:val="Caption"/>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 xml:space="preserve">Snapshot </w:t>
      </w:r>
      <w:r w:rsidR="00930F4F">
        <w:rPr>
          <w:noProof/>
        </w:rPr>
        <w:fldChar w:fldCharType="begin"/>
      </w:r>
      <w:r w:rsidR="00930F4F">
        <w:rPr>
          <w:noProof/>
        </w:rPr>
        <w:instrText xml:space="preserve"> SEQ Snapshot \* ARABIC </w:instrText>
      </w:r>
      <w:r w:rsidR="00930F4F">
        <w:rPr>
          <w:noProof/>
        </w:rPr>
        <w:fldChar w:fldCharType="separate"/>
      </w:r>
      <w:r>
        <w:rPr>
          <w:noProof/>
        </w:rPr>
        <w:t>2</w:t>
      </w:r>
      <w:r w:rsidR="00930F4F">
        <w:rPr>
          <w:noProof/>
        </w:rPr>
        <w:fldChar w:fldCharType="end"/>
      </w:r>
      <w:r>
        <w:rPr>
          <w:noProof/>
        </w:rPr>
        <w:t>: Joint Customs Operations</w:t>
      </w:r>
    </w:p>
    <w:p w:rsidR="0050435C" w:rsidRPr="0050435C" w:rsidRDefault="00086DC2" w:rsidP="0050435C">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 xml:space="preserve">Joint Customs Operations (JCOs) </w:t>
      </w:r>
      <w:r w:rsidR="0050435C">
        <w:rPr>
          <w:noProof/>
        </w:rPr>
        <w:t>are targeted actions of a limited duration aim</w:t>
      </w:r>
      <w:r w:rsidR="00324591">
        <w:rPr>
          <w:noProof/>
        </w:rPr>
        <w:t xml:space="preserve">ed at </w:t>
      </w:r>
      <w:r w:rsidR="0050435C">
        <w:rPr>
          <w:noProof/>
        </w:rPr>
        <w:t>combat</w:t>
      </w:r>
      <w:r w:rsidR="00324591">
        <w:rPr>
          <w:noProof/>
        </w:rPr>
        <w:t>ting</w:t>
      </w:r>
      <w:r w:rsidR="0050435C">
        <w:rPr>
          <w:noProof/>
        </w:rPr>
        <w:t xml:space="preserve"> fraud and the smuggling of sensitive goods in specific areas at risk and/or on identified trade routes</w:t>
      </w:r>
      <w:r>
        <w:rPr>
          <w:noProof/>
        </w:rPr>
        <w:t>.</w:t>
      </w:r>
      <w:r w:rsidR="0050435C">
        <w:rPr>
          <w:noProof/>
        </w:rPr>
        <w:t xml:space="preserve"> In 2022, OLAF co-organised or supported 10 JCOs covering a broad spectrum of targets</w:t>
      </w:r>
      <w:r w:rsidR="00324591">
        <w:rPr>
          <w:noProof/>
        </w:rPr>
        <w:t>,</w:t>
      </w:r>
      <w:r w:rsidR="0050435C">
        <w:rPr>
          <w:noProof/>
        </w:rPr>
        <w:t xml:space="preserve"> including tobacco smuggling, undervalued goods and cash entering or leaving the EU</w:t>
      </w:r>
      <w:r w:rsidR="0093150A">
        <w:rPr>
          <w:rStyle w:val="FootnoteReference"/>
          <w:noProof/>
        </w:rPr>
        <w:footnoteReference w:id="38"/>
      </w:r>
      <w:r w:rsidR="0050435C">
        <w:rPr>
          <w:noProof/>
        </w:rPr>
        <w:t>.</w:t>
      </w:r>
    </w:p>
    <w:p w:rsidR="004F6F3F" w:rsidRDefault="006620F9" w:rsidP="00C21AF5">
      <w:pPr>
        <w:pStyle w:val="Heading2"/>
        <w:rPr>
          <w:noProof/>
        </w:rPr>
      </w:pPr>
      <w:bookmarkStart w:id="45" w:name="_Toc137736203"/>
      <w:r>
        <w:rPr>
          <w:noProof/>
        </w:rPr>
        <w:t>Expenditure</w:t>
      </w:r>
      <w:bookmarkEnd w:id="45"/>
    </w:p>
    <w:p w:rsidR="00CF1D95" w:rsidRDefault="006620F9" w:rsidP="00170442">
      <w:pPr>
        <w:pStyle w:val="Heading3"/>
        <w:rPr>
          <w:noProof/>
        </w:rPr>
      </w:pPr>
      <w:bookmarkStart w:id="46" w:name="_Toc134557991"/>
      <w:bookmarkStart w:id="47" w:name="_Toc137736204"/>
      <w:r w:rsidRPr="000625DC">
        <w:rPr>
          <w:noProof/>
        </w:rPr>
        <w:t>Agriculture</w:t>
      </w:r>
      <w:bookmarkEnd w:id="46"/>
      <w:bookmarkEnd w:id="47"/>
      <w:r w:rsidR="00090FE0" w:rsidRPr="00090FE0">
        <w:rPr>
          <w:rStyle w:val="FootnoteReference"/>
          <w:b w:val="0"/>
          <w:noProof/>
        </w:rPr>
        <w:footnoteReference w:id="39"/>
      </w:r>
    </w:p>
    <w:p w:rsidR="004F60DF" w:rsidRDefault="006620F9" w:rsidP="004F60DF">
      <w:pPr>
        <w:rPr>
          <w:noProof/>
        </w:rPr>
      </w:pPr>
      <w:r w:rsidRPr="000625DC">
        <w:rPr>
          <w:noProof/>
        </w:rPr>
        <w:t>During the period 2018-2022, fraudulent irregularities reported in IMS</w:t>
      </w:r>
      <w:r>
        <w:rPr>
          <w:noProof/>
        </w:rPr>
        <w:t xml:space="preserve"> </w:t>
      </w:r>
      <w:r w:rsidRPr="000625DC">
        <w:rPr>
          <w:noProof/>
        </w:rPr>
        <w:t xml:space="preserve">for </w:t>
      </w:r>
      <w:r w:rsidRPr="000625DC">
        <w:rPr>
          <w:b/>
          <w:noProof/>
        </w:rPr>
        <w:t>rural development</w:t>
      </w:r>
      <w:r w:rsidRPr="000625DC">
        <w:rPr>
          <w:noProof/>
        </w:rPr>
        <w:t xml:space="preserve"> increased, mainly due to rising detections </w:t>
      </w:r>
      <w:r w:rsidR="00324591">
        <w:rPr>
          <w:noProof/>
        </w:rPr>
        <w:t xml:space="preserve">during </w:t>
      </w:r>
      <w:r w:rsidRPr="000625DC">
        <w:rPr>
          <w:noProof/>
        </w:rPr>
        <w:t xml:space="preserve">the programming period 2014-2020. However, the number of these fraudulent irregularities was lower than expected. This should be monitored </w:t>
      </w:r>
      <w:r w:rsidR="00324591">
        <w:rPr>
          <w:noProof/>
        </w:rPr>
        <w:t xml:space="preserve">in order </w:t>
      </w:r>
      <w:r w:rsidRPr="000625DC">
        <w:rPr>
          <w:noProof/>
        </w:rPr>
        <w:t xml:space="preserve">to ensure </w:t>
      </w:r>
      <w:r w:rsidR="00324591">
        <w:rPr>
          <w:noProof/>
        </w:rPr>
        <w:t xml:space="preserve">a </w:t>
      </w:r>
      <w:r w:rsidRPr="000625DC">
        <w:rPr>
          <w:noProof/>
        </w:rPr>
        <w:t>focus on fraud detection. Although less noticeable, non-fraudulent irregularities</w:t>
      </w:r>
      <w:r w:rsidR="00324591">
        <w:rPr>
          <w:noProof/>
        </w:rPr>
        <w:t xml:space="preserve"> showed a similar trend</w:t>
      </w:r>
      <w:r w:rsidRPr="000625DC">
        <w:rPr>
          <w:noProof/>
        </w:rPr>
        <w:t xml:space="preserve">. In 2022, fraudulent irregularities under </w:t>
      </w:r>
      <w:r w:rsidRPr="000625DC">
        <w:rPr>
          <w:b/>
          <w:noProof/>
        </w:rPr>
        <w:t>support to agriculture</w:t>
      </w:r>
      <w:r w:rsidRPr="000625DC">
        <w:rPr>
          <w:noProof/>
        </w:rPr>
        <w:t xml:space="preserve"> </w:t>
      </w:r>
      <w:r>
        <w:rPr>
          <w:noProof/>
        </w:rPr>
        <w:t>increased in comparison with 2021</w:t>
      </w:r>
      <w:r w:rsidRPr="000625DC">
        <w:rPr>
          <w:noProof/>
        </w:rPr>
        <w:t>, mainly due to reporting related to direct payments by two Member States. Th</w:t>
      </w:r>
      <w:r>
        <w:rPr>
          <w:noProof/>
        </w:rPr>
        <w:t>is</w:t>
      </w:r>
      <w:r w:rsidRPr="000625DC">
        <w:rPr>
          <w:noProof/>
        </w:rPr>
        <w:t xml:space="preserve"> increase was partly due to the reporting of many small interconnected irregularities. The irregular financial amounts involved in non-fraudulent irregularities fluctuated strongly, mainly due to the reporting in some years of cases involving exceptional amounts, for </w:t>
      </w:r>
      <w:r w:rsidRPr="000625DC">
        <w:rPr>
          <w:b/>
          <w:noProof/>
        </w:rPr>
        <w:t>market measures</w:t>
      </w:r>
      <w:r w:rsidRPr="000625DC">
        <w:rPr>
          <w:noProof/>
        </w:rPr>
        <w:t>.</w:t>
      </w:r>
    </w:p>
    <w:p w:rsidR="006620F9" w:rsidRDefault="006620F9" w:rsidP="004F60DF">
      <w:pPr>
        <w:rPr>
          <w:noProof/>
        </w:rPr>
      </w:pPr>
      <w:r w:rsidRPr="000625DC">
        <w:rPr>
          <w:noProof/>
        </w:rPr>
        <w:t xml:space="preserve">Detection rates for rural development were </w:t>
      </w:r>
      <w:r>
        <w:rPr>
          <w:noProof/>
        </w:rPr>
        <w:t>noticeably</w:t>
      </w:r>
      <w:r w:rsidRPr="000625DC">
        <w:rPr>
          <w:noProof/>
        </w:rPr>
        <w:t xml:space="preserve"> higher than for support to agriculture. However, one part of support to agriculture, market measures, accounted for the highest detection rates. The detection of irregularities, </w:t>
      </w:r>
      <w:r w:rsidR="00284BC4">
        <w:rPr>
          <w:noProof/>
        </w:rPr>
        <w:t>particularly</w:t>
      </w:r>
      <w:r w:rsidR="00284BC4" w:rsidRPr="000625DC">
        <w:rPr>
          <w:noProof/>
        </w:rPr>
        <w:t xml:space="preserve"> </w:t>
      </w:r>
      <w:r w:rsidRPr="000625DC">
        <w:rPr>
          <w:noProof/>
        </w:rPr>
        <w:t>fraud</w:t>
      </w:r>
      <w:r>
        <w:rPr>
          <w:noProof/>
        </w:rPr>
        <w:t>ulent</w:t>
      </w:r>
      <w:r w:rsidRPr="000625DC">
        <w:rPr>
          <w:noProof/>
        </w:rPr>
        <w:t>, was concentrated in a few Member States.</w:t>
      </w:r>
    </w:p>
    <w:p w:rsidR="004F60DF" w:rsidRDefault="00242D48" w:rsidP="004F60DF">
      <w:pPr>
        <w:rPr>
          <w:noProof/>
        </w:rPr>
      </w:pPr>
      <w:r w:rsidRPr="000625DC">
        <w:rPr>
          <w:noProof/>
        </w:rPr>
        <w:t>During the period 2018-2022, fraudulent irregularities often concerned</w:t>
      </w:r>
      <w:r w:rsidR="00284BC4">
        <w:rPr>
          <w:noProof/>
        </w:rPr>
        <w:t xml:space="preserve"> the</w:t>
      </w:r>
      <w:r w:rsidRPr="000625DC">
        <w:rPr>
          <w:noProof/>
        </w:rPr>
        <w:t xml:space="preserve"> </w:t>
      </w:r>
      <w:r w:rsidRPr="000625DC">
        <w:rPr>
          <w:b/>
          <w:noProof/>
        </w:rPr>
        <w:t xml:space="preserve">falsification of the </w:t>
      </w:r>
      <w:r w:rsidR="00284BC4">
        <w:rPr>
          <w:b/>
          <w:noProof/>
        </w:rPr>
        <w:t>aid request</w:t>
      </w:r>
      <w:r w:rsidRPr="000625DC">
        <w:rPr>
          <w:noProof/>
        </w:rPr>
        <w:t xml:space="preserve"> or of </w:t>
      </w:r>
      <w:r w:rsidRPr="000625DC">
        <w:rPr>
          <w:b/>
          <w:noProof/>
        </w:rPr>
        <w:t>documentary proof</w:t>
      </w:r>
      <w:r w:rsidRPr="000625DC">
        <w:rPr>
          <w:noProof/>
        </w:rPr>
        <w:t xml:space="preserve">. For market measures and rural development, violations concerning the </w:t>
      </w:r>
      <w:r w:rsidRPr="000625DC">
        <w:rPr>
          <w:b/>
          <w:noProof/>
        </w:rPr>
        <w:t>implementation of the action</w:t>
      </w:r>
      <w:r w:rsidRPr="000625DC">
        <w:rPr>
          <w:noProof/>
        </w:rPr>
        <w:t xml:space="preserve"> were also significant.</w:t>
      </w:r>
    </w:p>
    <w:p w:rsidR="00242D48" w:rsidRDefault="00242D48" w:rsidP="00A51E43">
      <w:pPr>
        <w:pStyle w:val="Caption"/>
        <w:keepNext/>
        <w:rPr>
          <w:noProof/>
        </w:rPr>
      </w:pPr>
      <w:r>
        <w:rPr>
          <w:noProof/>
        </w:rPr>
        <w:t xml:space="preserve">Figure </w:t>
      </w:r>
      <w:r w:rsidR="00930F4F">
        <w:rPr>
          <w:noProof/>
        </w:rPr>
        <w:fldChar w:fldCharType="begin"/>
      </w:r>
      <w:r w:rsidR="00930F4F">
        <w:rPr>
          <w:noProof/>
        </w:rPr>
        <w:instrText xml:space="preserve"> SEQ Figure \* ARABIC </w:instrText>
      </w:r>
      <w:r w:rsidR="00930F4F">
        <w:rPr>
          <w:noProof/>
        </w:rPr>
        <w:fldChar w:fldCharType="separate"/>
      </w:r>
      <w:r w:rsidR="008273A0">
        <w:rPr>
          <w:noProof/>
        </w:rPr>
        <w:t>6</w:t>
      </w:r>
      <w:r w:rsidR="00930F4F">
        <w:rPr>
          <w:noProof/>
        </w:rPr>
        <w:fldChar w:fldCharType="end"/>
      </w:r>
      <w:r w:rsidRPr="000625DC">
        <w:rPr>
          <w:noProof/>
        </w:rPr>
        <w:t xml:space="preserve">: </w:t>
      </w:r>
      <w:r w:rsidR="00426FAD">
        <w:rPr>
          <w:noProof/>
        </w:rPr>
        <w:t>Payments and reported irregularities in CAP by type of expenditure</w:t>
      </w:r>
      <w:r w:rsidR="00090FE0">
        <w:rPr>
          <w:rStyle w:val="FootnoteReference"/>
          <w:noProof/>
        </w:rPr>
        <w:footnoteReference w:id="40"/>
      </w:r>
    </w:p>
    <w:p w:rsidR="004F60DF" w:rsidRDefault="0074577B" w:rsidP="004F60DF">
      <w:pPr>
        <w:rPr>
          <w:noProof/>
        </w:rPr>
      </w:pPr>
      <w:r>
        <w:rPr>
          <w:noProof/>
        </w:rPr>
        <w:drawing>
          <wp:inline distT="0" distB="0" distL="0" distR="0" wp14:anchorId="4A026C23" wp14:editId="519DE452">
            <wp:extent cx="5462905" cy="2185035"/>
            <wp:effectExtent l="0" t="0" r="444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62905" cy="2185035"/>
                    </a:xfrm>
                    <a:prstGeom prst="rect">
                      <a:avLst/>
                    </a:prstGeom>
                    <a:noFill/>
                    <a:ln>
                      <a:noFill/>
                    </a:ln>
                  </pic:spPr>
                </pic:pic>
              </a:graphicData>
            </a:graphic>
          </wp:inline>
        </w:drawing>
      </w:r>
    </w:p>
    <w:p w:rsidR="00A86074" w:rsidRDefault="00A86074" w:rsidP="00DC1244">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48" w:name="_Toc110444018"/>
      <w:r>
        <w:rPr>
          <w:noProof/>
        </w:rPr>
        <w:t xml:space="preserve">Snapshot </w:t>
      </w:r>
      <w:r w:rsidR="00930F4F">
        <w:rPr>
          <w:noProof/>
        </w:rPr>
        <w:fldChar w:fldCharType="begin"/>
      </w:r>
      <w:r w:rsidR="00930F4F">
        <w:rPr>
          <w:noProof/>
        </w:rPr>
        <w:instrText xml:space="preserve"> SEQ Snapshot \* ARABIC </w:instrText>
      </w:r>
      <w:r w:rsidR="00930F4F">
        <w:rPr>
          <w:noProof/>
        </w:rPr>
        <w:fldChar w:fldCharType="separate"/>
      </w:r>
      <w:r w:rsidR="0050435C">
        <w:rPr>
          <w:noProof/>
        </w:rPr>
        <w:t>3</w:t>
      </w:r>
      <w:r w:rsidR="00930F4F">
        <w:rPr>
          <w:noProof/>
        </w:rPr>
        <w:fldChar w:fldCharType="end"/>
      </w:r>
      <w:r>
        <w:rPr>
          <w:noProof/>
        </w:rPr>
        <w:t xml:space="preserve"> – </w:t>
      </w:r>
      <w:bookmarkEnd w:id="48"/>
      <w:r w:rsidR="00242D48" w:rsidRPr="000625DC">
        <w:rPr>
          <w:noProof/>
        </w:rPr>
        <w:t xml:space="preserve">Risks and violations in </w:t>
      </w:r>
      <w:r w:rsidR="002174DB">
        <w:rPr>
          <w:noProof/>
        </w:rPr>
        <w:t>the Common Agricultural Policy (</w:t>
      </w:r>
      <w:r w:rsidR="00242D48" w:rsidRPr="000625DC">
        <w:rPr>
          <w:noProof/>
        </w:rPr>
        <w:t>CAP</w:t>
      </w:r>
      <w:r w:rsidR="002174DB">
        <w:rPr>
          <w:noProof/>
        </w:rPr>
        <w:t>)</w:t>
      </w:r>
    </w:p>
    <w:p w:rsidR="00AA3EAA" w:rsidRDefault="00242D48" w:rsidP="00505DEA">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0625DC">
        <w:rPr>
          <w:noProof/>
        </w:rPr>
        <w:t>Risks and violations depend on the type of measure. For example, applicants for direct payments may request aid for plots of land they do not have the right to use</w:t>
      </w:r>
      <w:r w:rsidR="00C65012">
        <w:rPr>
          <w:noProof/>
        </w:rPr>
        <w:t>,</w:t>
      </w:r>
      <w:r w:rsidRPr="000625DC">
        <w:rPr>
          <w:noProof/>
        </w:rPr>
        <w:t xml:space="preserve"> on the basis of false lease agreements</w:t>
      </w:r>
      <w:r w:rsidR="00C65012">
        <w:rPr>
          <w:noProof/>
        </w:rPr>
        <w:t>,</w:t>
      </w:r>
      <w:r w:rsidRPr="000625DC">
        <w:rPr>
          <w:noProof/>
        </w:rPr>
        <w:t xml:space="preserve"> or </w:t>
      </w:r>
      <w:r w:rsidR="00C65012">
        <w:rPr>
          <w:noProof/>
        </w:rPr>
        <w:t xml:space="preserve">they </w:t>
      </w:r>
      <w:r w:rsidRPr="000625DC">
        <w:rPr>
          <w:noProof/>
        </w:rPr>
        <w:t xml:space="preserve">may artificially create the conditions for receiving financial support. </w:t>
      </w:r>
      <w:r w:rsidR="00452524" w:rsidRPr="00452524">
        <w:rPr>
          <w:noProof/>
        </w:rPr>
        <w:t xml:space="preserve">Agricultural practices, including those beneficial for the climate and the environment, </w:t>
      </w:r>
      <w:r w:rsidRPr="000625DC">
        <w:rPr>
          <w:noProof/>
        </w:rPr>
        <w:t xml:space="preserve">may </w:t>
      </w:r>
      <w:r w:rsidR="00C9560D">
        <w:rPr>
          <w:noProof/>
        </w:rPr>
        <w:t>warrant</w:t>
      </w:r>
      <w:r w:rsidR="00C9560D" w:rsidRPr="000625DC">
        <w:rPr>
          <w:noProof/>
        </w:rPr>
        <w:t xml:space="preserve"> </w:t>
      </w:r>
      <w:r w:rsidRPr="000625DC">
        <w:rPr>
          <w:noProof/>
        </w:rPr>
        <w:t xml:space="preserve">more attention </w:t>
      </w:r>
      <w:r w:rsidR="00C65012">
        <w:rPr>
          <w:noProof/>
        </w:rPr>
        <w:t xml:space="preserve">with a view to </w:t>
      </w:r>
      <w:r w:rsidRPr="000625DC">
        <w:rPr>
          <w:noProof/>
        </w:rPr>
        <w:t>identifying intentional infringements. The same may apply to payment schemes based on the number and type of animals. Violations related to market measures may concern, for example, the withdrawal of agricultural products from the market or the cost, actual implementation or use of investments by producer organisations</w:t>
      </w:r>
      <w:r w:rsidR="00C9560D">
        <w:rPr>
          <w:noProof/>
        </w:rPr>
        <w:t xml:space="preserve">, </w:t>
      </w:r>
      <w:r w:rsidRPr="000625DC">
        <w:rPr>
          <w:noProof/>
        </w:rPr>
        <w:t xml:space="preserve">such as works for storage sites or the purchase of machinery or equipment. Several complex cases related to the promotion of agricultural products were investigated by OLAF. </w:t>
      </w:r>
    </w:p>
    <w:p w:rsidR="008B454B" w:rsidRPr="00363877" w:rsidRDefault="00242D48" w:rsidP="00505DEA">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0625DC">
        <w:rPr>
          <w:noProof/>
        </w:rPr>
        <w:t xml:space="preserve">In rural development, beneficiaries may, for example, use false invoices, declarations of equipment as new </w:t>
      </w:r>
      <w:r w:rsidR="00C9560D">
        <w:rPr>
          <w:noProof/>
        </w:rPr>
        <w:t xml:space="preserve">when it is in fact </w:t>
      </w:r>
      <w:r w:rsidRPr="000625DC">
        <w:rPr>
          <w:noProof/>
        </w:rPr>
        <w:t xml:space="preserve">second-hand, manipulated bids in the context of procurement and false information on compliance with conditions for receiving aid. Violations may concern </w:t>
      </w:r>
      <w:r w:rsidR="00C9560D">
        <w:rPr>
          <w:noProof/>
        </w:rPr>
        <w:t xml:space="preserve">the </w:t>
      </w:r>
      <w:r w:rsidRPr="000625DC">
        <w:rPr>
          <w:noProof/>
        </w:rPr>
        <w:t xml:space="preserve">information the applicant provides </w:t>
      </w:r>
      <w:r w:rsidR="00C9560D">
        <w:rPr>
          <w:noProof/>
        </w:rPr>
        <w:t xml:space="preserve">in order </w:t>
      </w:r>
      <w:r w:rsidRPr="000625DC">
        <w:rPr>
          <w:noProof/>
        </w:rPr>
        <w:t>to get the project selected, to receive advance payment</w:t>
      </w:r>
      <w:r w:rsidR="00C9560D">
        <w:rPr>
          <w:noProof/>
        </w:rPr>
        <w:t xml:space="preserve"> or to meet the </w:t>
      </w:r>
      <w:r w:rsidRPr="000625DC">
        <w:rPr>
          <w:noProof/>
        </w:rPr>
        <w:t xml:space="preserve">criteria for access to a support scheme. The beneficiary may infringe the rules on procurement, request reimbursement for inflated costs or even for </w:t>
      </w:r>
      <w:r w:rsidR="00C9560D">
        <w:rPr>
          <w:noProof/>
        </w:rPr>
        <w:t>non-</w:t>
      </w:r>
      <w:r w:rsidR="00C9560D" w:rsidRPr="000625DC">
        <w:rPr>
          <w:noProof/>
        </w:rPr>
        <w:t xml:space="preserve">existent </w:t>
      </w:r>
      <w:r w:rsidRPr="000625DC">
        <w:rPr>
          <w:noProof/>
        </w:rPr>
        <w:t>transactions</w:t>
      </w:r>
      <w:r w:rsidR="00C9560D">
        <w:rPr>
          <w:noProof/>
        </w:rPr>
        <w:t>,</w:t>
      </w:r>
      <w:r w:rsidRPr="000625DC">
        <w:rPr>
          <w:noProof/>
        </w:rPr>
        <w:t xml:space="preserve"> or ask for reimbursement </w:t>
      </w:r>
      <w:r w:rsidR="00C9560D">
        <w:rPr>
          <w:noProof/>
        </w:rPr>
        <w:t>of</w:t>
      </w:r>
      <w:r w:rsidR="00C9560D" w:rsidRPr="000625DC">
        <w:rPr>
          <w:noProof/>
        </w:rPr>
        <w:t xml:space="preserve"> </w:t>
      </w:r>
      <w:r w:rsidRPr="000625DC">
        <w:rPr>
          <w:noProof/>
        </w:rPr>
        <w:t>costs already funded in another context. The beneficiary may fail to follow the business plan, to use the investment for the intended purpose or to use it at all. Area</w:t>
      </w:r>
      <w:r w:rsidR="00C9560D">
        <w:rPr>
          <w:noProof/>
        </w:rPr>
        <w:t>-</w:t>
      </w:r>
      <w:r w:rsidRPr="000625DC">
        <w:rPr>
          <w:noProof/>
        </w:rPr>
        <w:t xml:space="preserve"> and animal-related spending may </w:t>
      </w:r>
      <w:r w:rsidR="00C9560D">
        <w:rPr>
          <w:noProof/>
        </w:rPr>
        <w:t>warrant</w:t>
      </w:r>
      <w:r w:rsidR="00C9560D" w:rsidRPr="000625DC">
        <w:rPr>
          <w:noProof/>
        </w:rPr>
        <w:t xml:space="preserve"> </w:t>
      </w:r>
      <w:r w:rsidRPr="000625DC">
        <w:rPr>
          <w:noProof/>
        </w:rPr>
        <w:t xml:space="preserve">more attention </w:t>
      </w:r>
      <w:r w:rsidR="00C9560D">
        <w:rPr>
          <w:noProof/>
        </w:rPr>
        <w:t xml:space="preserve">with a view to </w:t>
      </w:r>
      <w:r w:rsidRPr="000625DC">
        <w:rPr>
          <w:noProof/>
        </w:rPr>
        <w:t>identifying intentional infringements.</w:t>
      </w:r>
    </w:p>
    <w:p w:rsidR="00CF1D95" w:rsidRDefault="00242D48" w:rsidP="00170442">
      <w:pPr>
        <w:pStyle w:val="Heading3"/>
        <w:rPr>
          <w:noProof/>
        </w:rPr>
      </w:pPr>
      <w:bookmarkStart w:id="49" w:name="_Toc134557992"/>
      <w:bookmarkStart w:id="50" w:name="_Toc137736205"/>
      <w:r w:rsidRPr="000625DC">
        <w:rPr>
          <w:noProof/>
        </w:rPr>
        <w:t>Cohesion policy</w:t>
      </w:r>
      <w:bookmarkEnd w:id="49"/>
      <w:bookmarkEnd w:id="50"/>
      <w:r w:rsidR="00090FE0" w:rsidRPr="00090FE0">
        <w:rPr>
          <w:rStyle w:val="FootnoteReference"/>
          <w:b w:val="0"/>
          <w:noProof/>
        </w:rPr>
        <w:footnoteReference w:id="41"/>
      </w:r>
    </w:p>
    <w:p w:rsidR="00242D48" w:rsidRDefault="00242D48" w:rsidP="00242D48">
      <w:pPr>
        <w:rPr>
          <w:noProof/>
        </w:rPr>
      </w:pPr>
      <w:r w:rsidRPr="000625DC">
        <w:rPr>
          <w:noProof/>
        </w:rPr>
        <w:t>Fraudulent irregularities</w:t>
      </w:r>
      <w:r>
        <w:rPr>
          <w:noProof/>
        </w:rPr>
        <w:t xml:space="preserve"> </w:t>
      </w:r>
      <w:r w:rsidRPr="000625DC">
        <w:rPr>
          <w:noProof/>
        </w:rPr>
        <w:t>related to the programming period 2007-2013, as reported in IMS, peaked in 2015, gradually decreased in the following years</w:t>
      </w:r>
      <w:r w:rsidR="000C6DBD">
        <w:rPr>
          <w:noProof/>
        </w:rPr>
        <w:t>,</w:t>
      </w:r>
      <w:r w:rsidRPr="000625DC">
        <w:rPr>
          <w:noProof/>
        </w:rPr>
        <w:t xml:space="preserve"> and in 2018 were overtaken by those related to the programming period 2014-2020. These dynamics are in line with known trends and patterns linked to the multi-annual implementation cycles. Since 2017, reporting of non-fraudulent irregularities related to the programming period 2014-2020 has been increasing, but less than expected. The number and financial amounts of the non-fraudulent irregularities reported during the first nine years of the programming period 2007-2013 were much higher than those reported during the programming period 2014-2020. </w:t>
      </w:r>
      <w:r w:rsidR="000C6DBD">
        <w:rPr>
          <w:noProof/>
        </w:rPr>
        <w:t>This</w:t>
      </w:r>
      <w:r w:rsidRPr="000625DC">
        <w:rPr>
          <w:noProof/>
        </w:rPr>
        <w:t xml:space="preserve"> concerns all funds and most of the Member States</w:t>
      </w:r>
      <w:r w:rsidRPr="000625DC">
        <w:rPr>
          <w:rStyle w:val="FootnoteReference"/>
          <w:noProof/>
        </w:rPr>
        <w:footnoteReference w:id="42"/>
      </w:r>
      <w:r w:rsidRPr="000625DC">
        <w:rPr>
          <w:noProof/>
        </w:rPr>
        <w:t>.</w:t>
      </w:r>
    </w:p>
    <w:p w:rsidR="00242D48" w:rsidRDefault="000C6DBD" w:rsidP="00242D48">
      <w:pPr>
        <w:rPr>
          <w:noProof/>
        </w:rPr>
      </w:pPr>
      <w:r>
        <w:rPr>
          <w:noProof/>
        </w:rPr>
        <w:t>As regards</w:t>
      </w:r>
      <w:r w:rsidR="00242D48" w:rsidRPr="000625DC">
        <w:rPr>
          <w:noProof/>
        </w:rPr>
        <w:t xml:space="preserve"> fraud, the most frequent type of violation concerned supporting documents. High financial amounts were involved in fraudulent irregularities where </w:t>
      </w:r>
      <w:r>
        <w:rPr>
          <w:noProof/>
        </w:rPr>
        <w:t xml:space="preserve">there were </w:t>
      </w:r>
      <w:r w:rsidR="00242D48" w:rsidRPr="000625DC">
        <w:rPr>
          <w:noProof/>
        </w:rPr>
        <w:t xml:space="preserve">infringements of contract provisions/rules, which often consisted </w:t>
      </w:r>
      <w:r w:rsidR="00265D65">
        <w:rPr>
          <w:noProof/>
        </w:rPr>
        <w:t>of</w:t>
      </w:r>
      <w:r w:rsidR="00265D65" w:rsidRPr="000625DC">
        <w:rPr>
          <w:noProof/>
        </w:rPr>
        <w:t xml:space="preserve"> </w:t>
      </w:r>
      <w:r w:rsidR="00242D48" w:rsidRPr="000625DC">
        <w:rPr>
          <w:noProof/>
        </w:rPr>
        <w:t xml:space="preserve">incomplete or </w:t>
      </w:r>
      <w:r w:rsidR="00021742" w:rsidRPr="000625DC">
        <w:rPr>
          <w:noProof/>
        </w:rPr>
        <w:t>non-implementation</w:t>
      </w:r>
      <w:r w:rsidR="00242D48" w:rsidRPr="000625DC">
        <w:rPr>
          <w:noProof/>
        </w:rPr>
        <w:t xml:space="preserve"> of the funded action. Infringements of public procurement rules were the most reported non</w:t>
      </w:r>
      <w:r w:rsidR="00242D48">
        <w:rPr>
          <w:noProof/>
        </w:rPr>
        <w:t>-</w:t>
      </w:r>
      <w:r w:rsidR="00242D48" w:rsidRPr="000625DC">
        <w:rPr>
          <w:noProof/>
        </w:rPr>
        <w:t xml:space="preserve">fraudulent irregularities. They rarely </w:t>
      </w:r>
      <w:r>
        <w:rPr>
          <w:noProof/>
        </w:rPr>
        <w:t xml:space="preserve">resulted in </w:t>
      </w:r>
      <w:r w:rsidR="00242D48" w:rsidRPr="000625DC">
        <w:rPr>
          <w:noProof/>
        </w:rPr>
        <w:t>a suspicion of fraud. This suggests that either fraud detection, investigation and prosecution or the administrative capability of contracting authorities should be improved. Most fra</w:t>
      </w:r>
      <w:r w:rsidR="00242D48">
        <w:rPr>
          <w:noProof/>
        </w:rPr>
        <w:t>u</w:t>
      </w:r>
      <w:r w:rsidR="00242D48" w:rsidRPr="000625DC">
        <w:rPr>
          <w:noProof/>
        </w:rPr>
        <w:t xml:space="preserve">dulent violations concerning ethics and integrity were related to conflicts of interest. Ethics and integrity is the category of infringement </w:t>
      </w:r>
      <w:r>
        <w:rPr>
          <w:noProof/>
        </w:rPr>
        <w:t>in which fraud is most frequent</w:t>
      </w:r>
      <w:r w:rsidR="00242D48" w:rsidRPr="000625DC">
        <w:rPr>
          <w:noProof/>
        </w:rPr>
        <w:t>. Corruption was rarely reported.</w:t>
      </w:r>
    </w:p>
    <w:p w:rsidR="002F38C4" w:rsidRDefault="002F38C4" w:rsidP="002F38C4">
      <w:pPr>
        <w:pStyle w:val="Caption"/>
        <w:rPr>
          <w:noProof/>
        </w:rPr>
      </w:pPr>
      <w:r w:rsidRPr="00FF1251">
        <w:rPr>
          <w:noProof/>
        </w:rPr>
        <w:t xml:space="preserve">Figure </w:t>
      </w:r>
      <w:r w:rsidR="00930F4F">
        <w:rPr>
          <w:noProof/>
        </w:rPr>
        <w:fldChar w:fldCharType="begin"/>
      </w:r>
      <w:r w:rsidR="00930F4F">
        <w:rPr>
          <w:noProof/>
        </w:rPr>
        <w:instrText xml:space="preserve"> SEQ Figure \* ARABIC </w:instrText>
      </w:r>
      <w:r w:rsidR="00930F4F">
        <w:rPr>
          <w:noProof/>
        </w:rPr>
        <w:fldChar w:fldCharType="separate"/>
      </w:r>
      <w:r w:rsidR="008273A0">
        <w:rPr>
          <w:noProof/>
        </w:rPr>
        <w:t>7</w:t>
      </w:r>
      <w:r w:rsidR="00930F4F">
        <w:rPr>
          <w:noProof/>
        </w:rPr>
        <w:fldChar w:fldCharType="end"/>
      </w:r>
      <w:r w:rsidRPr="00FF1251">
        <w:rPr>
          <w:noProof/>
        </w:rPr>
        <w:t>: reported irregularities by programming period, fund, and typology. IDR and FDR by</w:t>
      </w:r>
      <w:r>
        <w:rPr>
          <w:noProof/>
        </w:rPr>
        <w:t xml:space="preserve"> programming period</w:t>
      </w:r>
      <w:r w:rsidR="00090FE0">
        <w:rPr>
          <w:rStyle w:val="FootnoteReference"/>
          <w:noProof/>
        </w:rPr>
        <w:footnoteReference w:id="43"/>
      </w:r>
    </w:p>
    <w:p w:rsidR="002F38C4" w:rsidRPr="00FF1251" w:rsidRDefault="0035369E" w:rsidP="002F38C4">
      <w:pPr>
        <w:rPr>
          <w:noProof/>
        </w:rPr>
      </w:pPr>
      <w:r w:rsidRPr="0035369E">
        <w:rPr>
          <w:noProof/>
        </w:rPr>
        <w:drawing>
          <wp:inline distT="0" distB="0" distL="0" distR="0" wp14:anchorId="5D140212" wp14:editId="08F7F7C0">
            <wp:extent cx="5472430" cy="23636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72430" cy="2363608"/>
                    </a:xfrm>
                    <a:prstGeom prst="rect">
                      <a:avLst/>
                    </a:prstGeom>
                    <a:noFill/>
                    <a:ln>
                      <a:noFill/>
                    </a:ln>
                  </pic:spPr>
                </pic:pic>
              </a:graphicData>
            </a:graphic>
          </wp:inline>
        </w:drawing>
      </w:r>
    </w:p>
    <w:p w:rsidR="00924DFB" w:rsidRDefault="004E724E" w:rsidP="008A6DCE">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51" w:name="_Toc105777775"/>
      <w:bookmarkStart w:id="52" w:name="_Toc110444019"/>
      <w:r>
        <w:rPr>
          <w:noProof/>
        </w:rPr>
        <w:t xml:space="preserve">Snapshot </w:t>
      </w:r>
      <w:r w:rsidR="00930F4F">
        <w:rPr>
          <w:noProof/>
        </w:rPr>
        <w:fldChar w:fldCharType="begin"/>
      </w:r>
      <w:r w:rsidR="00930F4F">
        <w:rPr>
          <w:noProof/>
        </w:rPr>
        <w:instrText xml:space="preserve"> SEQ Snapshot \* ARABIC </w:instrText>
      </w:r>
      <w:r w:rsidR="00930F4F">
        <w:rPr>
          <w:noProof/>
        </w:rPr>
        <w:fldChar w:fldCharType="separate"/>
      </w:r>
      <w:r w:rsidR="0050435C">
        <w:rPr>
          <w:noProof/>
        </w:rPr>
        <w:t>4</w:t>
      </w:r>
      <w:r w:rsidR="00930F4F">
        <w:rPr>
          <w:noProof/>
        </w:rPr>
        <w:fldChar w:fldCharType="end"/>
      </w:r>
      <w:r>
        <w:rPr>
          <w:noProof/>
        </w:rPr>
        <w:t xml:space="preserve"> – </w:t>
      </w:r>
      <w:bookmarkEnd w:id="51"/>
      <w:bookmarkEnd w:id="52"/>
      <w:r w:rsidR="00242D48" w:rsidRPr="000625DC">
        <w:rPr>
          <w:noProof/>
        </w:rPr>
        <w:t>Areas at risk in the cohesion policy</w:t>
      </w:r>
    </w:p>
    <w:p w:rsidR="004E724E" w:rsidRPr="004E724E" w:rsidRDefault="00893D3D" w:rsidP="00E12048">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 xml:space="preserve">As regards </w:t>
      </w:r>
      <w:r w:rsidR="00242D48" w:rsidRPr="000625DC">
        <w:rPr>
          <w:noProof/>
        </w:rPr>
        <w:t>fraud, risks seem to be higher in relation to: (i) transport and environment</w:t>
      </w:r>
      <w:r>
        <w:rPr>
          <w:noProof/>
        </w:rPr>
        <w:t>al</w:t>
      </w:r>
      <w:r w:rsidR="00242D48" w:rsidRPr="000625DC">
        <w:rPr>
          <w:noProof/>
        </w:rPr>
        <w:t xml:space="preserve"> protection, because of the high financial amounts involved in irregularities; (ii) research, technological development and innovation (RTD&amp;I) and employment, because of the frequency of fraudulent irregularities. </w:t>
      </w:r>
      <w:r>
        <w:rPr>
          <w:noProof/>
        </w:rPr>
        <w:t xml:space="preserve">In terms of fraud relating to </w:t>
      </w:r>
      <w:r w:rsidR="00242D48" w:rsidRPr="000625DC">
        <w:rPr>
          <w:noProof/>
        </w:rPr>
        <w:t>the green transition, analysis suggests higher risks for investments in</w:t>
      </w:r>
      <w:r>
        <w:rPr>
          <w:noProof/>
        </w:rPr>
        <w:t>:</w:t>
      </w:r>
      <w:r w:rsidR="00242D48" w:rsidRPr="000625DC">
        <w:rPr>
          <w:noProof/>
        </w:rPr>
        <w:t xml:space="preserve"> (i) energy efficiency; (ii) provision of drinking water; (iii) waste management. Concerning fraud </w:t>
      </w:r>
      <w:r>
        <w:rPr>
          <w:noProof/>
        </w:rPr>
        <w:t xml:space="preserve">relating </w:t>
      </w:r>
      <w:r w:rsidR="00242D48" w:rsidRPr="000625DC">
        <w:rPr>
          <w:noProof/>
        </w:rPr>
        <w:t>to transport and networks, analysis suggests higher risks for investments in</w:t>
      </w:r>
      <w:r>
        <w:rPr>
          <w:noProof/>
        </w:rPr>
        <w:t>:</w:t>
      </w:r>
      <w:r w:rsidR="00242D48" w:rsidRPr="000625DC">
        <w:rPr>
          <w:noProof/>
        </w:rPr>
        <w:t xml:space="preserve"> (i) roads that are not part of TEN (Trans-European Network), because of the number of irregularities, probably linked to the higher number of projects which reach the regional or local level; (ii) railways and TEN roads, because of the high financial amounts involved. </w:t>
      </w:r>
      <w:r>
        <w:rPr>
          <w:noProof/>
        </w:rPr>
        <w:t xml:space="preserve">As for </w:t>
      </w:r>
      <w:r w:rsidR="00242D48" w:rsidRPr="000625DC">
        <w:rPr>
          <w:noProof/>
        </w:rPr>
        <w:t xml:space="preserve">fraud </w:t>
      </w:r>
      <w:r>
        <w:rPr>
          <w:noProof/>
        </w:rPr>
        <w:t xml:space="preserve">relating to </w:t>
      </w:r>
      <w:r w:rsidR="00242D48" w:rsidRPr="000625DC">
        <w:rPr>
          <w:noProof/>
        </w:rPr>
        <w:t>social inclusion, analysis suggests higher risks for investments in active inclusion and in healthcare infrastructure.</w:t>
      </w:r>
    </w:p>
    <w:p w:rsidR="00FB5CF5" w:rsidRDefault="00242D48" w:rsidP="00170442">
      <w:pPr>
        <w:pStyle w:val="Heading3"/>
        <w:rPr>
          <w:noProof/>
        </w:rPr>
      </w:pPr>
      <w:bookmarkStart w:id="53" w:name="_Toc137736206"/>
      <w:r>
        <w:rPr>
          <w:noProof/>
        </w:rPr>
        <w:t>Other budgetary areas</w:t>
      </w:r>
      <w:bookmarkEnd w:id="53"/>
      <w:r w:rsidR="00090FE0">
        <w:rPr>
          <w:rStyle w:val="FootnoteReference"/>
          <w:noProof/>
        </w:rPr>
        <w:footnoteReference w:id="44"/>
      </w:r>
    </w:p>
    <w:p w:rsidR="00D933F0" w:rsidRDefault="00E36DED" w:rsidP="00D933F0">
      <w:pPr>
        <w:rPr>
          <w:noProof/>
        </w:rPr>
      </w:pPr>
      <w:r>
        <w:rPr>
          <w:noProof/>
        </w:rPr>
        <w:t xml:space="preserve">The </w:t>
      </w:r>
      <w:r w:rsidRPr="00E36DED">
        <w:rPr>
          <w:b/>
          <w:noProof/>
        </w:rPr>
        <w:t xml:space="preserve">Instrument for </w:t>
      </w:r>
      <w:r w:rsidR="00BB56F6" w:rsidRPr="00E36DED">
        <w:rPr>
          <w:b/>
          <w:noProof/>
        </w:rPr>
        <w:t>Pre-</w:t>
      </w:r>
      <w:r w:rsidRPr="00E36DED">
        <w:rPr>
          <w:b/>
          <w:noProof/>
        </w:rPr>
        <w:t>A</w:t>
      </w:r>
      <w:r w:rsidR="00BB56F6" w:rsidRPr="00E36DED">
        <w:rPr>
          <w:b/>
          <w:noProof/>
        </w:rPr>
        <w:t>ccession</w:t>
      </w:r>
      <w:r>
        <w:rPr>
          <w:noProof/>
        </w:rPr>
        <w:t xml:space="preserve"> (IPA) </w:t>
      </w:r>
      <w:r w:rsidRPr="00E36DED">
        <w:rPr>
          <w:noProof/>
        </w:rPr>
        <w:t xml:space="preserve">is the means by which the EU has been supporting reforms in the enlargement region </w:t>
      </w:r>
      <w:r w:rsidR="002662C1">
        <w:rPr>
          <w:noProof/>
        </w:rPr>
        <w:t xml:space="preserve">through </w:t>
      </w:r>
      <w:r w:rsidRPr="00E36DED">
        <w:rPr>
          <w:noProof/>
        </w:rPr>
        <w:t>financial and technical assistance since 2007.</w:t>
      </w:r>
      <w:r>
        <w:rPr>
          <w:noProof/>
        </w:rPr>
        <w:t xml:space="preserve"> </w:t>
      </w:r>
      <w:r w:rsidRPr="00E36DED">
        <w:rPr>
          <w:noProof/>
        </w:rPr>
        <w:t>Irregularities reported during the period 2018-2022 in relation to pre-accession mainly concerned funds distributed under the 2007-2013 Instrument for Pre-accession Assistance I (IPA I) and the 2014-2020 IPA II.</w:t>
      </w:r>
      <w:r>
        <w:rPr>
          <w:noProof/>
        </w:rPr>
        <w:t xml:space="preserve"> </w:t>
      </w:r>
      <w:r w:rsidR="00FE0E2B">
        <w:rPr>
          <w:noProof/>
        </w:rPr>
        <w:t xml:space="preserve">In 2022 the number of reported irregularities and related amounts peaked. However, reported fraudulent irregularities </w:t>
      </w:r>
      <w:r w:rsidR="002662C1">
        <w:rPr>
          <w:noProof/>
        </w:rPr>
        <w:t xml:space="preserve">were at their lowest </w:t>
      </w:r>
      <w:r w:rsidR="00FE0E2B">
        <w:rPr>
          <w:noProof/>
        </w:rPr>
        <w:t xml:space="preserve">of the last five years. </w:t>
      </w:r>
      <w:r>
        <w:rPr>
          <w:noProof/>
        </w:rPr>
        <w:t>Reported irregularities, both fraudulent and non-fraudulent, mainly concern the rural development component and cross-border cooperation.</w:t>
      </w:r>
    </w:p>
    <w:p w:rsidR="00E36DED" w:rsidRPr="00FE0E2B" w:rsidRDefault="00FE0E2B" w:rsidP="00D933F0">
      <w:pPr>
        <w:rPr>
          <w:noProof/>
        </w:rPr>
      </w:pPr>
      <w:r>
        <w:rPr>
          <w:noProof/>
        </w:rPr>
        <w:t>Irregularities, both fraudulent and non-fraudulent, related to e</w:t>
      </w:r>
      <w:r w:rsidR="00E36DED">
        <w:rPr>
          <w:noProof/>
        </w:rPr>
        <w:t xml:space="preserve">xpenditure disbursed under </w:t>
      </w:r>
      <w:r w:rsidR="00E36DED">
        <w:rPr>
          <w:b/>
          <w:noProof/>
        </w:rPr>
        <w:t xml:space="preserve">direct management </w:t>
      </w:r>
      <w:r>
        <w:rPr>
          <w:noProof/>
        </w:rPr>
        <w:t xml:space="preserve">remained fairly stable over the period 2018-2022. </w:t>
      </w:r>
      <w:r w:rsidR="005B7BB0">
        <w:rPr>
          <w:noProof/>
        </w:rPr>
        <w:t>More than 80% of the irregularities identified as potentially fraudulent were detected following OLAF’s investigations.</w:t>
      </w:r>
    </w:p>
    <w:p w:rsidR="00FB5CF5" w:rsidRDefault="00242D48" w:rsidP="00C21AF5">
      <w:pPr>
        <w:pStyle w:val="Heading2"/>
        <w:rPr>
          <w:noProof/>
        </w:rPr>
      </w:pPr>
      <w:bookmarkStart w:id="54" w:name="_Toc134557994"/>
      <w:bookmarkStart w:id="55" w:name="_Toc137736207"/>
      <w:r w:rsidRPr="000625DC">
        <w:rPr>
          <w:noProof/>
        </w:rPr>
        <w:t>Organised crime, corruption and conflict</w:t>
      </w:r>
      <w:r w:rsidR="002662C1">
        <w:rPr>
          <w:noProof/>
        </w:rPr>
        <w:t>s</w:t>
      </w:r>
      <w:r w:rsidRPr="000625DC">
        <w:rPr>
          <w:noProof/>
        </w:rPr>
        <w:t xml:space="preserve"> of interest</w:t>
      </w:r>
      <w:bookmarkEnd w:id="54"/>
      <w:bookmarkEnd w:id="55"/>
    </w:p>
    <w:p w:rsidR="00542122" w:rsidRDefault="00242D48" w:rsidP="001623A1">
      <w:pPr>
        <w:rPr>
          <w:noProof/>
        </w:rPr>
      </w:pPr>
      <w:r w:rsidRPr="000625DC">
        <w:rPr>
          <w:noProof/>
        </w:rPr>
        <w:t xml:space="preserve">Information concerning </w:t>
      </w:r>
      <w:r w:rsidRPr="000625DC">
        <w:rPr>
          <w:b/>
          <w:noProof/>
        </w:rPr>
        <w:t>organised crime</w:t>
      </w:r>
      <w:r w:rsidRPr="000625DC">
        <w:rPr>
          <w:noProof/>
        </w:rPr>
        <w:t xml:space="preserve"> activity against the financial interests of the EU is available in the EPPO annual report, which indicates 122 investigated offences </w:t>
      </w:r>
      <w:r w:rsidR="002662C1">
        <w:rPr>
          <w:noProof/>
        </w:rPr>
        <w:t xml:space="preserve">concerning </w:t>
      </w:r>
      <w:r w:rsidRPr="000625DC">
        <w:rPr>
          <w:noProof/>
        </w:rPr>
        <w:t xml:space="preserve">PIF-focused criminal organisations in </w:t>
      </w:r>
      <w:r w:rsidR="002662C1">
        <w:rPr>
          <w:noProof/>
        </w:rPr>
        <w:t>its</w:t>
      </w:r>
      <w:r w:rsidR="002662C1" w:rsidRPr="000625DC">
        <w:rPr>
          <w:noProof/>
        </w:rPr>
        <w:t xml:space="preserve"> </w:t>
      </w:r>
      <w:r w:rsidRPr="000625DC">
        <w:rPr>
          <w:noProof/>
        </w:rPr>
        <w:t>active investigations by the end of 2022.</w:t>
      </w:r>
    </w:p>
    <w:p w:rsidR="001623A1" w:rsidRDefault="00242D48" w:rsidP="001623A1">
      <w:pPr>
        <w:rPr>
          <w:noProof/>
        </w:rPr>
      </w:pPr>
      <w:r w:rsidRPr="000625DC">
        <w:rPr>
          <w:noProof/>
        </w:rPr>
        <w:t xml:space="preserve">In relation to </w:t>
      </w:r>
      <w:r w:rsidRPr="000625DC">
        <w:rPr>
          <w:b/>
          <w:noProof/>
        </w:rPr>
        <w:t>corruption</w:t>
      </w:r>
      <w:r w:rsidRPr="000625DC">
        <w:rPr>
          <w:noProof/>
        </w:rPr>
        <w:t xml:space="preserve"> cases, the EPPO reported 87 investigated offences</w:t>
      </w:r>
      <w:r>
        <w:rPr>
          <w:noProof/>
        </w:rPr>
        <w:t xml:space="preserve"> at the end of 2022</w:t>
      </w:r>
      <w:r w:rsidRPr="000625DC">
        <w:rPr>
          <w:noProof/>
        </w:rPr>
        <w:t xml:space="preserve">. Over the years 2018-2022, 30 cases have been reported via IMS by 10 countries, </w:t>
      </w:r>
      <w:r w:rsidR="002662C1">
        <w:rPr>
          <w:noProof/>
        </w:rPr>
        <w:t>five</w:t>
      </w:r>
      <w:r w:rsidRPr="000625DC">
        <w:rPr>
          <w:noProof/>
        </w:rPr>
        <w:t xml:space="preserve"> </w:t>
      </w:r>
      <w:r w:rsidR="002662C1">
        <w:rPr>
          <w:noProof/>
        </w:rPr>
        <w:t xml:space="preserve">relating to </w:t>
      </w:r>
      <w:r w:rsidRPr="000625DC">
        <w:rPr>
          <w:noProof/>
        </w:rPr>
        <w:t xml:space="preserve">agriculture, 22 to cohesion and </w:t>
      </w:r>
      <w:r w:rsidR="002662C1">
        <w:rPr>
          <w:noProof/>
        </w:rPr>
        <w:t>three</w:t>
      </w:r>
      <w:r w:rsidRPr="000625DC">
        <w:rPr>
          <w:noProof/>
        </w:rPr>
        <w:t xml:space="preserve"> to pre-accession. Their damage is estimated at about EUR</w:t>
      </w:r>
      <w:r w:rsidR="002662C1">
        <w:rPr>
          <w:noProof/>
        </w:rPr>
        <w:t> </w:t>
      </w:r>
      <w:r w:rsidRPr="000625DC">
        <w:rPr>
          <w:noProof/>
        </w:rPr>
        <w:t>50 million.</w:t>
      </w:r>
    </w:p>
    <w:p w:rsidR="00242D48" w:rsidRDefault="00242D48" w:rsidP="001623A1">
      <w:pPr>
        <w:rPr>
          <w:noProof/>
        </w:rPr>
      </w:pPr>
      <w:r w:rsidRPr="000625DC">
        <w:rPr>
          <w:noProof/>
        </w:rPr>
        <w:t xml:space="preserve">Over the same period, 375 cases related to </w:t>
      </w:r>
      <w:r w:rsidRPr="000625DC">
        <w:rPr>
          <w:b/>
          <w:noProof/>
        </w:rPr>
        <w:t>conflict</w:t>
      </w:r>
      <w:r w:rsidR="002662C1">
        <w:rPr>
          <w:b/>
          <w:noProof/>
        </w:rPr>
        <w:t>s</w:t>
      </w:r>
      <w:r w:rsidRPr="000625DC">
        <w:rPr>
          <w:b/>
          <w:noProof/>
        </w:rPr>
        <w:t xml:space="preserve"> of interest </w:t>
      </w:r>
      <w:r w:rsidRPr="000625DC">
        <w:rPr>
          <w:noProof/>
        </w:rPr>
        <w:t xml:space="preserve">were reported via IMS (86% referred to cohesion, 9% to agriculture and 5% to pre-accession) </w:t>
      </w:r>
      <w:r w:rsidR="002662C1">
        <w:rPr>
          <w:noProof/>
        </w:rPr>
        <w:t>involving</w:t>
      </w:r>
      <w:r w:rsidR="002662C1" w:rsidRPr="000625DC">
        <w:rPr>
          <w:noProof/>
        </w:rPr>
        <w:t xml:space="preserve"> </w:t>
      </w:r>
      <w:r w:rsidRPr="000625DC">
        <w:rPr>
          <w:noProof/>
        </w:rPr>
        <w:t>almost EUR</w:t>
      </w:r>
      <w:r w:rsidR="002662C1">
        <w:rPr>
          <w:noProof/>
        </w:rPr>
        <w:t> </w:t>
      </w:r>
      <w:r w:rsidRPr="000625DC">
        <w:rPr>
          <w:noProof/>
        </w:rPr>
        <w:t>117 million. The analysis of such irregularities reveals that reported conflicts of interests mainly point at relations between recipients of the funds and their contractors and sub-contractors, based on specific infringements of national rules. Only 7% of the cases refer to conflict of interest during the stage of awarding/evaluation of projects, th</w:t>
      </w:r>
      <w:r w:rsidR="002662C1">
        <w:rPr>
          <w:noProof/>
        </w:rPr>
        <w:t>us</w:t>
      </w:r>
      <w:r w:rsidRPr="000625DC">
        <w:rPr>
          <w:noProof/>
        </w:rPr>
        <w:t xml:space="preserve"> involving members of evaluation committees. </w:t>
      </w:r>
      <w:r w:rsidR="002662C1">
        <w:rPr>
          <w:noProof/>
        </w:rPr>
        <w:t xml:space="preserve">Though </w:t>
      </w:r>
      <w:r w:rsidRPr="000625DC">
        <w:rPr>
          <w:noProof/>
        </w:rPr>
        <w:t>about two</w:t>
      </w:r>
      <w:r w:rsidR="002662C1">
        <w:rPr>
          <w:noProof/>
        </w:rPr>
        <w:t>-</w:t>
      </w:r>
      <w:r w:rsidRPr="000625DC">
        <w:rPr>
          <w:noProof/>
        </w:rPr>
        <w:t>thirds of these cases were detected through standard controls and verifications, the remaining third were detected through sources external to the management and control systems, such as ‘tips from informants’, ‘OLAF investigations or information from OLAF’, ‘investigations by national police’ and ‘articles in the press’.</w:t>
      </w:r>
    </w:p>
    <w:p w:rsidR="004E2A2E" w:rsidRDefault="004E2A2E">
      <w:pPr>
        <w:spacing w:after="0" w:line="240" w:lineRule="auto"/>
        <w:jc w:val="left"/>
        <w:rPr>
          <w:b/>
          <w:smallCaps/>
          <w:noProof/>
          <w:sz w:val="26"/>
        </w:rPr>
      </w:pPr>
      <w:bookmarkStart w:id="56" w:name="_Toc134557995"/>
      <w:r>
        <w:rPr>
          <w:noProof/>
        </w:rPr>
        <w:br w:type="page"/>
      </w:r>
    </w:p>
    <w:p w:rsidR="00FB5CF5" w:rsidRDefault="00FD31CE" w:rsidP="008F6819">
      <w:pPr>
        <w:pStyle w:val="Heading1"/>
        <w:rPr>
          <w:noProof/>
        </w:rPr>
      </w:pPr>
      <w:bookmarkStart w:id="57" w:name="_Toc137736208"/>
      <w:r w:rsidRPr="000625DC">
        <w:rPr>
          <w:noProof/>
        </w:rPr>
        <w:t>Conclusions and recommendations</w:t>
      </w:r>
      <w:bookmarkEnd w:id="56"/>
      <w:bookmarkEnd w:id="57"/>
    </w:p>
    <w:p w:rsidR="00FD31CE" w:rsidRPr="00FD31CE" w:rsidRDefault="005008E8" w:rsidP="00FD31CE">
      <w:pPr>
        <w:rPr>
          <w:noProof/>
        </w:rPr>
      </w:pPr>
      <w:r>
        <w:rPr>
          <w:noProof/>
        </w:rPr>
        <w:t>The Commission Anti-Fraud Strategy p</w:t>
      </w:r>
      <w:r w:rsidR="000F605C">
        <w:rPr>
          <w:noProof/>
        </w:rPr>
        <w:t xml:space="preserve">laces </w:t>
      </w:r>
      <w:r>
        <w:rPr>
          <w:noProof/>
        </w:rPr>
        <w:t>emphasis on data collection and analysis and on develop</w:t>
      </w:r>
      <w:r w:rsidR="000B5B91">
        <w:rPr>
          <w:noProof/>
        </w:rPr>
        <w:t>ing</w:t>
      </w:r>
      <w:r>
        <w:rPr>
          <w:noProof/>
        </w:rPr>
        <w:t xml:space="preserve"> knowledge </w:t>
      </w:r>
      <w:r w:rsidR="000F605C">
        <w:rPr>
          <w:noProof/>
        </w:rPr>
        <w:t xml:space="preserve">in order </w:t>
      </w:r>
      <w:r>
        <w:rPr>
          <w:noProof/>
        </w:rPr>
        <w:t xml:space="preserve">to better </w:t>
      </w:r>
      <w:r w:rsidR="00374AD8">
        <w:rPr>
          <w:noProof/>
        </w:rPr>
        <w:t>target anti-fraud efforts.</w:t>
      </w:r>
      <w:r>
        <w:rPr>
          <w:noProof/>
        </w:rPr>
        <w:t xml:space="preserve"> Further digitalisation is essential </w:t>
      </w:r>
      <w:r w:rsidR="00D71223">
        <w:rPr>
          <w:noProof/>
        </w:rPr>
        <w:t xml:space="preserve">in order </w:t>
      </w:r>
      <w:r>
        <w:rPr>
          <w:noProof/>
        </w:rPr>
        <w:t xml:space="preserve">to increase </w:t>
      </w:r>
      <w:r w:rsidR="00D71223">
        <w:rPr>
          <w:noProof/>
        </w:rPr>
        <w:t xml:space="preserve">the </w:t>
      </w:r>
      <w:r>
        <w:rPr>
          <w:noProof/>
        </w:rPr>
        <w:t>accessibility and use of data</w:t>
      </w:r>
      <w:r w:rsidR="00D71223">
        <w:rPr>
          <w:noProof/>
        </w:rPr>
        <w:t xml:space="preserve"> and</w:t>
      </w:r>
      <w:r>
        <w:rPr>
          <w:noProof/>
        </w:rPr>
        <w:t xml:space="preserve"> </w:t>
      </w:r>
      <w:r w:rsidR="00D71223">
        <w:rPr>
          <w:noProof/>
        </w:rPr>
        <w:t xml:space="preserve">thus to ensure more effective and efficient </w:t>
      </w:r>
      <w:r w:rsidR="000B5B91">
        <w:rPr>
          <w:noProof/>
        </w:rPr>
        <w:t xml:space="preserve">fraud </w:t>
      </w:r>
      <w:r>
        <w:rPr>
          <w:noProof/>
        </w:rPr>
        <w:t xml:space="preserve">prevention and detection. The strategy </w:t>
      </w:r>
      <w:r w:rsidR="00D71223">
        <w:rPr>
          <w:noProof/>
        </w:rPr>
        <w:t xml:space="preserve">also </w:t>
      </w:r>
      <w:r>
        <w:rPr>
          <w:noProof/>
        </w:rPr>
        <w:t>stresses the importance of anti-fraud governance, and o</w:t>
      </w:r>
      <w:r w:rsidR="000B5B91">
        <w:rPr>
          <w:noProof/>
        </w:rPr>
        <w:t>f</w:t>
      </w:r>
      <w:r>
        <w:rPr>
          <w:noProof/>
        </w:rPr>
        <w:t xml:space="preserve"> having the </w:t>
      </w:r>
      <w:r w:rsidR="00D71223">
        <w:rPr>
          <w:noProof/>
        </w:rPr>
        <w:t xml:space="preserve">correct </w:t>
      </w:r>
      <w:r>
        <w:rPr>
          <w:noProof/>
        </w:rPr>
        <w:t xml:space="preserve">processes and structures in place to ensure cooperation and coordination </w:t>
      </w:r>
      <w:r w:rsidR="00D71223">
        <w:rPr>
          <w:noProof/>
        </w:rPr>
        <w:t xml:space="preserve">among </w:t>
      </w:r>
      <w:r>
        <w:rPr>
          <w:noProof/>
        </w:rPr>
        <w:t xml:space="preserve">all relevant </w:t>
      </w:r>
      <w:r w:rsidR="00D71223">
        <w:rPr>
          <w:noProof/>
        </w:rPr>
        <w:t>actors</w:t>
      </w:r>
      <w:r>
        <w:rPr>
          <w:noProof/>
        </w:rPr>
        <w:t xml:space="preserve">. The experience acquired by the Commission and the Member States </w:t>
      </w:r>
      <w:r w:rsidR="00D71223">
        <w:rPr>
          <w:noProof/>
        </w:rPr>
        <w:t xml:space="preserve">over </w:t>
      </w:r>
      <w:r>
        <w:rPr>
          <w:noProof/>
        </w:rPr>
        <w:t xml:space="preserve">recent years confirms </w:t>
      </w:r>
      <w:r w:rsidRPr="000B5B91">
        <w:rPr>
          <w:noProof/>
        </w:rPr>
        <w:t xml:space="preserve">the need to </w:t>
      </w:r>
      <w:r w:rsidR="000B5B91" w:rsidRPr="000B5B91">
        <w:rPr>
          <w:noProof/>
        </w:rPr>
        <w:t>continue in this direction</w:t>
      </w:r>
      <w:r w:rsidRPr="000B5B91">
        <w:rPr>
          <w:noProof/>
        </w:rPr>
        <w:t xml:space="preserve"> and </w:t>
      </w:r>
      <w:r w:rsidR="00D71223">
        <w:rPr>
          <w:noProof/>
        </w:rPr>
        <w:t xml:space="preserve">to </w:t>
      </w:r>
      <w:r>
        <w:rPr>
          <w:noProof/>
        </w:rPr>
        <w:t>tackle fraud in a holistic and coordinated manner.</w:t>
      </w:r>
    </w:p>
    <w:p w:rsidR="000810E6" w:rsidRPr="000810E6" w:rsidRDefault="00FD31CE" w:rsidP="00C21AF5">
      <w:pPr>
        <w:pStyle w:val="Heading2"/>
        <w:rPr>
          <w:noProof/>
        </w:rPr>
      </w:pPr>
      <w:bookmarkStart w:id="58" w:name="_Toc134557996"/>
      <w:bookmarkStart w:id="59" w:name="_Toc137736209"/>
      <w:r>
        <w:rPr>
          <w:noProof/>
        </w:rPr>
        <w:t xml:space="preserve">Understanding fraud </w:t>
      </w:r>
      <w:r w:rsidR="00812A8C">
        <w:rPr>
          <w:noProof/>
        </w:rPr>
        <w:t xml:space="preserve">in order </w:t>
      </w:r>
      <w:r>
        <w:rPr>
          <w:noProof/>
        </w:rPr>
        <w:t>to fight it more efficiently</w:t>
      </w:r>
      <w:bookmarkEnd w:id="58"/>
      <w:bookmarkEnd w:id="59"/>
    </w:p>
    <w:p w:rsidR="00835BC4" w:rsidRDefault="00E37E62" w:rsidP="00ED2A33">
      <w:pPr>
        <w:rPr>
          <w:noProof/>
        </w:rPr>
      </w:pPr>
      <w:r>
        <w:rPr>
          <w:noProof/>
        </w:rPr>
        <w:t>Thorough and c</w:t>
      </w:r>
      <w:r w:rsidR="00FD31CE">
        <w:rPr>
          <w:noProof/>
        </w:rPr>
        <w:t xml:space="preserve">areful analysis of data can </w:t>
      </w:r>
      <w:r>
        <w:rPr>
          <w:noProof/>
        </w:rPr>
        <w:t xml:space="preserve">enhance all stages of the anti-fraud cycle. </w:t>
      </w:r>
      <w:r w:rsidR="00020962">
        <w:rPr>
          <w:noProof/>
        </w:rPr>
        <w:t xml:space="preserve">In particular, it </w:t>
      </w:r>
      <w:r>
        <w:rPr>
          <w:noProof/>
        </w:rPr>
        <w:t xml:space="preserve">can </w:t>
      </w:r>
      <w:r w:rsidR="00020962">
        <w:rPr>
          <w:noProof/>
        </w:rPr>
        <w:t xml:space="preserve">boost </w:t>
      </w:r>
      <w:r w:rsidR="00835BC4">
        <w:rPr>
          <w:noProof/>
        </w:rPr>
        <w:t xml:space="preserve">prevention and detection through </w:t>
      </w:r>
      <w:r w:rsidR="00FD31CE" w:rsidRPr="00814E10">
        <w:rPr>
          <w:noProof/>
        </w:rPr>
        <w:t xml:space="preserve">strategic and operational recommendations </w:t>
      </w:r>
      <w:r w:rsidR="00020962">
        <w:rPr>
          <w:noProof/>
        </w:rPr>
        <w:t xml:space="preserve">to help </w:t>
      </w:r>
      <w:r w:rsidR="00FD31CE" w:rsidRPr="00814E10">
        <w:rPr>
          <w:noProof/>
        </w:rPr>
        <w:t xml:space="preserve">anti-fraud </w:t>
      </w:r>
      <w:r w:rsidR="00020962">
        <w:rPr>
          <w:noProof/>
        </w:rPr>
        <w:t>actors</w:t>
      </w:r>
      <w:r w:rsidR="00020962" w:rsidRPr="00814E10">
        <w:rPr>
          <w:noProof/>
        </w:rPr>
        <w:t xml:space="preserve"> </w:t>
      </w:r>
      <w:r w:rsidR="00020962">
        <w:rPr>
          <w:noProof/>
        </w:rPr>
        <w:t xml:space="preserve">to </w:t>
      </w:r>
      <w:r w:rsidR="00FD31CE" w:rsidRPr="00814E10">
        <w:rPr>
          <w:noProof/>
        </w:rPr>
        <w:t>target fraudsters more effectively.</w:t>
      </w:r>
      <w:r w:rsidR="008806FC">
        <w:rPr>
          <w:noProof/>
        </w:rPr>
        <w:t xml:space="preserve"> Th</w:t>
      </w:r>
      <w:r>
        <w:rPr>
          <w:noProof/>
        </w:rPr>
        <w:t xml:space="preserve">e soundness of </w:t>
      </w:r>
      <w:r w:rsidR="00020962">
        <w:rPr>
          <w:noProof/>
        </w:rPr>
        <w:t xml:space="preserve">that </w:t>
      </w:r>
      <w:r w:rsidR="008806FC">
        <w:rPr>
          <w:noProof/>
        </w:rPr>
        <w:t>a</w:t>
      </w:r>
      <w:r w:rsidR="00FD31CE" w:rsidRPr="005E3E75">
        <w:rPr>
          <w:noProof/>
        </w:rPr>
        <w:t xml:space="preserve">nalysis </w:t>
      </w:r>
      <w:r w:rsidR="00020962">
        <w:rPr>
          <w:noProof/>
        </w:rPr>
        <w:t>depends</w:t>
      </w:r>
      <w:r w:rsidR="00020962" w:rsidRPr="005E3E75">
        <w:rPr>
          <w:noProof/>
        </w:rPr>
        <w:t xml:space="preserve"> </w:t>
      </w:r>
      <w:r w:rsidR="00FD31CE" w:rsidRPr="005E3E75">
        <w:rPr>
          <w:noProof/>
        </w:rPr>
        <w:t xml:space="preserve">on the availability and quality of </w:t>
      </w:r>
      <w:r w:rsidR="00020962">
        <w:rPr>
          <w:noProof/>
        </w:rPr>
        <w:t xml:space="preserve">the </w:t>
      </w:r>
      <w:r w:rsidR="00FD31CE" w:rsidRPr="005E3E75">
        <w:rPr>
          <w:noProof/>
        </w:rPr>
        <w:t xml:space="preserve">relevant data. </w:t>
      </w:r>
    </w:p>
    <w:p w:rsidR="00835BC4" w:rsidRDefault="00835BC4" w:rsidP="00ED2A33">
      <w:pPr>
        <w:rPr>
          <w:noProof/>
        </w:rPr>
      </w:pPr>
      <w:r>
        <w:rPr>
          <w:noProof/>
        </w:rPr>
        <w:t xml:space="preserve">The EU legal framework provides an adequate framework for </w:t>
      </w:r>
      <w:r w:rsidR="00020962">
        <w:rPr>
          <w:noProof/>
        </w:rPr>
        <w:t xml:space="preserve">exchanging the </w:t>
      </w:r>
      <w:r>
        <w:rPr>
          <w:noProof/>
        </w:rPr>
        <w:t xml:space="preserve">relevant information in </w:t>
      </w:r>
      <w:r w:rsidR="00020962">
        <w:rPr>
          <w:noProof/>
        </w:rPr>
        <w:t xml:space="preserve">relation to </w:t>
      </w:r>
      <w:r>
        <w:rPr>
          <w:noProof/>
        </w:rPr>
        <w:t xml:space="preserve">both revenue and expenditure. </w:t>
      </w:r>
    </w:p>
    <w:p w:rsidR="00FD31CE" w:rsidRDefault="00835BC4" w:rsidP="00ED2A33">
      <w:pPr>
        <w:rPr>
          <w:noProof/>
        </w:rPr>
      </w:pPr>
      <w:r>
        <w:rPr>
          <w:noProof/>
        </w:rPr>
        <w:t xml:space="preserve">On the expenditure side, the reporting of fraud and irregularities via </w:t>
      </w:r>
      <w:r w:rsidR="00FD31CE" w:rsidRPr="005E3E75">
        <w:rPr>
          <w:noProof/>
        </w:rPr>
        <w:t xml:space="preserve">IMS is </w:t>
      </w:r>
      <w:r w:rsidR="00A06681">
        <w:rPr>
          <w:noProof/>
        </w:rPr>
        <w:t xml:space="preserve">the </w:t>
      </w:r>
      <w:r w:rsidR="00020962">
        <w:rPr>
          <w:noProof/>
        </w:rPr>
        <w:t xml:space="preserve">means by </w:t>
      </w:r>
      <w:r w:rsidR="00A06681">
        <w:rPr>
          <w:noProof/>
        </w:rPr>
        <w:t xml:space="preserve">which </w:t>
      </w:r>
      <w:r w:rsidR="00020962">
        <w:rPr>
          <w:noProof/>
        </w:rPr>
        <w:t xml:space="preserve">that data is collected, </w:t>
      </w:r>
      <w:r w:rsidR="00FD31CE" w:rsidRPr="005E3E75">
        <w:rPr>
          <w:noProof/>
        </w:rPr>
        <w:t xml:space="preserve">and the Commission is committed to </w:t>
      </w:r>
      <w:r>
        <w:rPr>
          <w:noProof/>
        </w:rPr>
        <w:t xml:space="preserve">further </w:t>
      </w:r>
      <w:r w:rsidR="00FD31CE" w:rsidRPr="005E3E75">
        <w:rPr>
          <w:noProof/>
        </w:rPr>
        <w:t>improv</w:t>
      </w:r>
      <w:r w:rsidR="001A1798">
        <w:rPr>
          <w:noProof/>
        </w:rPr>
        <w:t>ing</w:t>
      </w:r>
      <w:r w:rsidR="00FD31CE" w:rsidRPr="005E3E75">
        <w:rPr>
          <w:noProof/>
        </w:rPr>
        <w:t xml:space="preserve"> </w:t>
      </w:r>
      <w:r>
        <w:rPr>
          <w:noProof/>
        </w:rPr>
        <w:t>the system and support</w:t>
      </w:r>
      <w:r w:rsidR="001A1798">
        <w:rPr>
          <w:noProof/>
        </w:rPr>
        <w:t>ing</w:t>
      </w:r>
      <w:r>
        <w:rPr>
          <w:noProof/>
        </w:rPr>
        <w:t xml:space="preserve"> the Member States </w:t>
      </w:r>
      <w:r w:rsidR="001A1798">
        <w:rPr>
          <w:noProof/>
        </w:rPr>
        <w:t xml:space="preserve">in </w:t>
      </w:r>
      <w:r>
        <w:rPr>
          <w:noProof/>
        </w:rPr>
        <w:t xml:space="preserve">reviewing and updating the guidance on </w:t>
      </w:r>
      <w:r w:rsidR="001A1798">
        <w:rPr>
          <w:noProof/>
        </w:rPr>
        <w:t xml:space="preserve">the reporting of </w:t>
      </w:r>
      <w:r>
        <w:rPr>
          <w:noProof/>
        </w:rPr>
        <w:t xml:space="preserve">irregularities. </w:t>
      </w:r>
    </w:p>
    <w:p w:rsidR="008B1E02" w:rsidRDefault="008B1E02" w:rsidP="00ED2A33">
      <w:pPr>
        <w:rPr>
          <w:noProof/>
        </w:rPr>
      </w:pPr>
      <w:r>
        <w:rPr>
          <w:noProof/>
        </w:rPr>
        <w:t xml:space="preserve">On the revenue side, the risks related to certain types of goods remain high. The Member States report fraud and irregularities involving traditional own resources via the OWNRES application. </w:t>
      </w:r>
      <w:r w:rsidR="00DE1F31">
        <w:rPr>
          <w:noProof/>
        </w:rPr>
        <w:t>A t</w:t>
      </w:r>
      <w:r>
        <w:rPr>
          <w:noProof/>
        </w:rPr>
        <w:t xml:space="preserve">imely and proactive approach in identifying and addressing existing risks as well as new fraud trends proves to be indispensable for </w:t>
      </w:r>
      <w:r w:rsidR="00DE1F31">
        <w:rPr>
          <w:noProof/>
        </w:rPr>
        <w:t>the</w:t>
      </w:r>
      <w:r>
        <w:rPr>
          <w:noProof/>
        </w:rPr>
        <w:t xml:space="preserve"> effective protection of the EU’s financial interests.</w:t>
      </w:r>
    </w:p>
    <w:p w:rsidR="005A09D1" w:rsidRDefault="005A09D1" w:rsidP="005A09D1">
      <w:pPr>
        <w:rPr>
          <w:noProof/>
        </w:rPr>
      </w:pPr>
      <w:r w:rsidRPr="000625DC">
        <w:rPr>
          <w:noProof/>
        </w:rPr>
        <w:t xml:space="preserve">In </w:t>
      </w:r>
      <w:r w:rsidR="00130C18">
        <w:rPr>
          <w:noProof/>
        </w:rPr>
        <w:t>many</w:t>
      </w:r>
      <w:r w:rsidR="00130C18" w:rsidRPr="000625DC">
        <w:rPr>
          <w:noProof/>
        </w:rPr>
        <w:t xml:space="preserve"> </w:t>
      </w:r>
      <w:r w:rsidRPr="000625DC">
        <w:rPr>
          <w:noProof/>
        </w:rPr>
        <w:t xml:space="preserve">Member States, the percentage of irregularities that </w:t>
      </w:r>
      <w:r w:rsidR="00020962">
        <w:rPr>
          <w:noProof/>
        </w:rPr>
        <w:t xml:space="preserve">are still </w:t>
      </w:r>
      <w:r w:rsidRPr="000625DC">
        <w:rPr>
          <w:noProof/>
        </w:rPr>
        <w:t xml:space="preserve">classified as suspected fraud </w:t>
      </w:r>
      <w:r>
        <w:rPr>
          <w:noProof/>
        </w:rPr>
        <w:t xml:space="preserve">many years </w:t>
      </w:r>
      <w:r w:rsidR="00020962">
        <w:rPr>
          <w:noProof/>
        </w:rPr>
        <w:t xml:space="preserve">after </w:t>
      </w:r>
      <w:r>
        <w:rPr>
          <w:noProof/>
        </w:rPr>
        <w:t xml:space="preserve">initial reporting </w:t>
      </w:r>
      <w:r w:rsidRPr="000625DC">
        <w:rPr>
          <w:noProof/>
        </w:rPr>
        <w:t>is extremely high</w:t>
      </w:r>
      <w:r w:rsidR="00130C18">
        <w:rPr>
          <w:noProof/>
        </w:rPr>
        <w:t xml:space="preserve">, even in relation to cases </w:t>
      </w:r>
      <w:r w:rsidR="009E0382">
        <w:rPr>
          <w:noProof/>
        </w:rPr>
        <w:t>indicate</w:t>
      </w:r>
      <w:r w:rsidR="00DE1F31">
        <w:rPr>
          <w:noProof/>
        </w:rPr>
        <w:t>d</w:t>
      </w:r>
      <w:r w:rsidR="00130C18">
        <w:rPr>
          <w:noProof/>
        </w:rPr>
        <w:t xml:space="preserve"> as closed</w:t>
      </w:r>
      <w:r w:rsidRPr="000625DC">
        <w:rPr>
          <w:noProof/>
        </w:rPr>
        <w:t xml:space="preserve">. This may suggest either </w:t>
      </w:r>
      <w:r w:rsidR="00522C2E" w:rsidRPr="000625DC">
        <w:rPr>
          <w:noProof/>
        </w:rPr>
        <w:t xml:space="preserve">that </w:t>
      </w:r>
      <w:r w:rsidRPr="000625DC">
        <w:rPr>
          <w:noProof/>
        </w:rPr>
        <w:t xml:space="preserve">the judicial authorities do not </w:t>
      </w:r>
      <w:r w:rsidR="00020962">
        <w:rPr>
          <w:noProof/>
        </w:rPr>
        <w:t>follow up those suspicions properly,</w:t>
      </w:r>
      <w:r w:rsidRPr="000625DC">
        <w:rPr>
          <w:noProof/>
        </w:rPr>
        <w:t xml:space="preserve"> e.g. due to insufficient resources</w:t>
      </w:r>
      <w:r w:rsidR="00020962">
        <w:rPr>
          <w:noProof/>
        </w:rPr>
        <w:t xml:space="preserve">, </w:t>
      </w:r>
      <w:r w:rsidRPr="000625DC">
        <w:rPr>
          <w:noProof/>
        </w:rPr>
        <w:t xml:space="preserve">or that there are no proper communication channels from judicial to reporting authorities. This may be due to persistent suspicions of paying agencies and managing authorities, while criminal proceedings were not </w:t>
      </w:r>
      <w:r w:rsidR="00020962">
        <w:rPr>
          <w:noProof/>
        </w:rPr>
        <w:t>launched</w:t>
      </w:r>
      <w:r w:rsidRPr="000625DC">
        <w:rPr>
          <w:noProof/>
        </w:rPr>
        <w:t xml:space="preserve">, were prevented by the statute of limitations or did not </w:t>
      </w:r>
      <w:r w:rsidR="00020962">
        <w:rPr>
          <w:noProof/>
        </w:rPr>
        <w:t xml:space="preserve">result in sufficient </w:t>
      </w:r>
      <w:r w:rsidRPr="000625DC">
        <w:rPr>
          <w:noProof/>
        </w:rPr>
        <w:t xml:space="preserve">evidence </w:t>
      </w:r>
      <w:r w:rsidR="00020962">
        <w:rPr>
          <w:noProof/>
        </w:rPr>
        <w:t>of</w:t>
      </w:r>
      <w:r w:rsidR="00020962" w:rsidRPr="000625DC">
        <w:rPr>
          <w:noProof/>
        </w:rPr>
        <w:t xml:space="preserve"> </w:t>
      </w:r>
      <w:r w:rsidRPr="000625DC">
        <w:rPr>
          <w:noProof/>
        </w:rPr>
        <w:t xml:space="preserve">fraud. </w:t>
      </w:r>
    </w:p>
    <w:p w:rsidR="00FD31CE" w:rsidRDefault="002C22D6" w:rsidP="007F77A4">
      <w:pPr>
        <w:pStyle w:val="Caption"/>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 xml:space="preserve">Recommendation </w:t>
      </w:r>
      <w:r w:rsidR="00930F4F">
        <w:rPr>
          <w:noProof/>
        </w:rPr>
        <w:fldChar w:fldCharType="begin"/>
      </w:r>
      <w:r w:rsidR="00930F4F">
        <w:rPr>
          <w:noProof/>
        </w:rPr>
        <w:instrText xml:space="preserve"> SEQ Recommendation \* ARABIC </w:instrText>
      </w:r>
      <w:r w:rsidR="00930F4F">
        <w:rPr>
          <w:noProof/>
        </w:rPr>
        <w:fldChar w:fldCharType="separate"/>
      </w:r>
      <w:r w:rsidR="004D17E6">
        <w:rPr>
          <w:noProof/>
        </w:rPr>
        <w:t>1</w:t>
      </w:r>
      <w:r w:rsidR="00930F4F">
        <w:rPr>
          <w:noProof/>
        </w:rPr>
        <w:fldChar w:fldCharType="end"/>
      </w:r>
      <w:r>
        <w:rPr>
          <w:noProof/>
        </w:rPr>
        <w:t>:</w:t>
      </w:r>
      <w:bookmarkStart w:id="60" w:name="_Toc134557997"/>
      <w:r w:rsidRPr="002C22D6">
        <w:rPr>
          <w:noProof/>
        </w:rPr>
        <w:t xml:space="preserve"> </w:t>
      </w:r>
      <w:r w:rsidRPr="000625DC">
        <w:rPr>
          <w:noProof/>
        </w:rPr>
        <w:t xml:space="preserve">Improving </w:t>
      </w:r>
      <w:r w:rsidR="00075DEC">
        <w:rPr>
          <w:noProof/>
        </w:rPr>
        <w:t>detection,</w:t>
      </w:r>
      <w:r>
        <w:rPr>
          <w:noProof/>
        </w:rPr>
        <w:t xml:space="preserve"> </w:t>
      </w:r>
      <w:r w:rsidRPr="000625DC">
        <w:rPr>
          <w:noProof/>
        </w:rPr>
        <w:t xml:space="preserve">reporting </w:t>
      </w:r>
      <w:r w:rsidR="00D64CB4">
        <w:rPr>
          <w:noProof/>
        </w:rPr>
        <w:t xml:space="preserve">and follow-up </w:t>
      </w:r>
      <w:r w:rsidRPr="000625DC">
        <w:rPr>
          <w:noProof/>
        </w:rPr>
        <w:t>of suspected fraud</w:t>
      </w:r>
      <w:bookmarkEnd w:id="60"/>
    </w:p>
    <w:p w:rsidR="00D64CB4" w:rsidRDefault="00FD31CE" w:rsidP="007F77A4">
      <w:pPr>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sidRPr="000625DC">
        <w:rPr>
          <w:noProof/>
        </w:rPr>
        <w:t>Detection and reporting of suspected fraud can still be significantly improved, as can their follow-up.</w:t>
      </w:r>
      <w:r>
        <w:rPr>
          <w:noProof/>
        </w:rPr>
        <w:t xml:space="preserve"> </w:t>
      </w:r>
      <w:r w:rsidRPr="000625DC">
        <w:rPr>
          <w:noProof/>
        </w:rPr>
        <w:t xml:space="preserve">Significant differences between Member States can </w:t>
      </w:r>
      <w:r>
        <w:rPr>
          <w:noProof/>
        </w:rPr>
        <w:t xml:space="preserve">still </w:t>
      </w:r>
      <w:r w:rsidRPr="000625DC">
        <w:rPr>
          <w:noProof/>
        </w:rPr>
        <w:t>be</w:t>
      </w:r>
      <w:r w:rsidR="00812A8C">
        <w:rPr>
          <w:noProof/>
        </w:rPr>
        <w:t xml:space="preserve"> seen</w:t>
      </w:r>
      <w:r w:rsidRPr="000625DC">
        <w:rPr>
          <w:noProof/>
        </w:rPr>
        <w:t xml:space="preserve">. In the Member States with low incidence of fraud, the competent authorities should invest in </w:t>
      </w:r>
      <w:r w:rsidR="00D64CB4">
        <w:rPr>
          <w:noProof/>
        </w:rPr>
        <w:t xml:space="preserve">fraud risk analysis </w:t>
      </w:r>
      <w:r w:rsidR="00812A8C">
        <w:rPr>
          <w:noProof/>
        </w:rPr>
        <w:t xml:space="preserve">in order </w:t>
      </w:r>
      <w:r w:rsidR="00D64CB4">
        <w:rPr>
          <w:noProof/>
        </w:rPr>
        <w:t>to assess t</w:t>
      </w:r>
      <w:r w:rsidR="00812A8C">
        <w:rPr>
          <w:noProof/>
        </w:rPr>
        <w:t xml:space="preserve">he degree to which </w:t>
      </w:r>
      <w:r w:rsidR="00D64CB4">
        <w:rPr>
          <w:noProof/>
        </w:rPr>
        <w:t xml:space="preserve">low detection is </w:t>
      </w:r>
      <w:r w:rsidR="00812A8C">
        <w:rPr>
          <w:noProof/>
        </w:rPr>
        <w:t xml:space="preserve">the result of low levels of actual fraud </w:t>
      </w:r>
      <w:r w:rsidR="00D64CB4">
        <w:rPr>
          <w:noProof/>
        </w:rPr>
        <w:t xml:space="preserve">affecting their operations or </w:t>
      </w:r>
      <w:r w:rsidR="00812A8C">
        <w:rPr>
          <w:noProof/>
        </w:rPr>
        <w:t xml:space="preserve">the result of </w:t>
      </w:r>
      <w:r w:rsidR="00075DEC">
        <w:rPr>
          <w:noProof/>
        </w:rPr>
        <w:t xml:space="preserve">systemic </w:t>
      </w:r>
      <w:r w:rsidR="00D64CB4">
        <w:rPr>
          <w:noProof/>
        </w:rPr>
        <w:t xml:space="preserve">weaknesses in detection </w:t>
      </w:r>
      <w:r w:rsidR="00075DEC">
        <w:rPr>
          <w:noProof/>
        </w:rPr>
        <w:t>or</w:t>
      </w:r>
      <w:r w:rsidR="00D64CB4">
        <w:rPr>
          <w:noProof/>
        </w:rPr>
        <w:t xml:space="preserve"> reporting systems.</w:t>
      </w:r>
    </w:p>
    <w:p w:rsidR="00075DEC" w:rsidRDefault="00075DEC" w:rsidP="007F77A4">
      <w:pPr>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 xml:space="preserve">If any weakness in detection is identified, Member States should focus on detecting </w:t>
      </w:r>
      <w:r w:rsidR="00FD31CE" w:rsidRPr="000625DC">
        <w:rPr>
          <w:noProof/>
        </w:rPr>
        <w:t>signals of fraud and, whe</w:t>
      </w:r>
      <w:r w:rsidR="00812A8C">
        <w:rPr>
          <w:noProof/>
        </w:rPr>
        <w:t>re</w:t>
      </w:r>
      <w:r w:rsidR="00FD31CE" w:rsidRPr="000625DC">
        <w:rPr>
          <w:noProof/>
        </w:rPr>
        <w:t xml:space="preserve"> irregularities</w:t>
      </w:r>
      <w:r w:rsidR="00812A8C">
        <w:rPr>
          <w:noProof/>
        </w:rPr>
        <w:t xml:space="preserve"> are found</w:t>
      </w:r>
      <w:r w:rsidR="00FD31CE" w:rsidRPr="000625DC">
        <w:rPr>
          <w:noProof/>
        </w:rPr>
        <w:t>, carefully address</w:t>
      </w:r>
      <w:r w:rsidR="00812A8C">
        <w:rPr>
          <w:noProof/>
        </w:rPr>
        <w:t>ing</w:t>
      </w:r>
      <w:r w:rsidR="00FD31CE" w:rsidRPr="000625DC">
        <w:rPr>
          <w:noProof/>
        </w:rPr>
        <w:t xml:space="preserve"> the question of intentionality. </w:t>
      </w:r>
    </w:p>
    <w:p w:rsidR="00FD31CE" w:rsidRDefault="00075DEC" w:rsidP="007F77A4">
      <w:pPr>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 xml:space="preserve">If the identified issues point to reporting practices (e.g. </w:t>
      </w:r>
      <w:r w:rsidR="007D2605" w:rsidRPr="000625DC">
        <w:rPr>
          <w:noProof/>
        </w:rPr>
        <w:t>delaying classification as suspected fraud</w:t>
      </w:r>
      <w:r w:rsidR="007D2605">
        <w:rPr>
          <w:noProof/>
        </w:rPr>
        <w:t>)</w:t>
      </w:r>
      <w:r w:rsidR="007D2605" w:rsidRPr="000625DC">
        <w:rPr>
          <w:noProof/>
        </w:rPr>
        <w:t xml:space="preserve"> </w:t>
      </w:r>
      <w:r w:rsidR="00522C2E">
        <w:rPr>
          <w:noProof/>
        </w:rPr>
        <w:t>Member States</w:t>
      </w:r>
      <w:r w:rsidR="007D2605">
        <w:rPr>
          <w:noProof/>
        </w:rPr>
        <w:t xml:space="preserve"> </w:t>
      </w:r>
      <w:r w:rsidR="00FD31CE" w:rsidRPr="000625DC">
        <w:rPr>
          <w:noProof/>
        </w:rPr>
        <w:t xml:space="preserve">should </w:t>
      </w:r>
      <w:r w:rsidR="007D2605">
        <w:rPr>
          <w:noProof/>
        </w:rPr>
        <w:t xml:space="preserve">review them also taking into account the need for </w:t>
      </w:r>
      <w:r w:rsidR="00522C2E">
        <w:rPr>
          <w:noProof/>
        </w:rPr>
        <w:t xml:space="preserve">a </w:t>
      </w:r>
      <w:r w:rsidR="007D2605">
        <w:rPr>
          <w:noProof/>
        </w:rPr>
        <w:t>better information flow to and from</w:t>
      </w:r>
      <w:r w:rsidR="00FD31CE" w:rsidRPr="000625DC">
        <w:rPr>
          <w:noProof/>
        </w:rPr>
        <w:t xml:space="preserve"> judicial authorities.</w:t>
      </w:r>
    </w:p>
    <w:p w:rsidR="00FD31CE" w:rsidRDefault="00FD31CE" w:rsidP="00C21AF5">
      <w:pPr>
        <w:pStyle w:val="Heading2"/>
        <w:rPr>
          <w:noProof/>
        </w:rPr>
      </w:pPr>
      <w:bookmarkStart w:id="61" w:name="_Toc134557998"/>
      <w:bookmarkStart w:id="62" w:name="_Toc137736210"/>
      <w:r>
        <w:rPr>
          <w:noProof/>
        </w:rPr>
        <w:t xml:space="preserve">Innovating </w:t>
      </w:r>
      <w:r w:rsidR="00F93A87">
        <w:rPr>
          <w:noProof/>
        </w:rPr>
        <w:t xml:space="preserve">in </w:t>
      </w:r>
      <w:r>
        <w:rPr>
          <w:noProof/>
        </w:rPr>
        <w:t>the fight against fraud: the case for digitalisation</w:t>
      </w:r>
      <w:bookmarkEnd w:id="61"/>
      <w:bookmarkEnd w:id="62"/>
    </w:p>
    <w:p w:rsidR="007F77A4" w:rsidRDefault="00FD31CE" w:rsidP="00FD31CE">
      <w:pPr>
        <w:rPr>
          <w:noProof/>
        </w:rPr>
      </w:pPr>
      <w:r w:rsidRPr="00B7253C">
        <w:rPr>
          <w:noProof/>
        </w:rPr>
        <w:t xml:space="preserve">Despite having </w:t>
      </w:r>
      <w:r>
        <w:rPr>
          <w:noProof/>
        </w:rPr>
        <w:t>been</w:t>
      </w:r>
      <w:r w:rsidRPr="00B7253C">
        <w:rPr>
          <w:noProof/>
        </w:rPr>
        <w:t xml:space="preserve"> the object of several recommendations in the past, the focus on the digitalisation of the fight against fraud is more relevant than ever. The opportunities offered by new technologies should be </w:t>
      </w:r>
      <w:r w:rsidR="007F77A4">
        <w:rPr>
          <w:noProof/>
        </w:rPr>
        <w:t>exploited</w:t>
      </w:r>
      <w:r w:rsidRPr="00B7253C">
        <w:rPr>
          <w:noProof/>
        </w:rPr>
        <w:t xml:space="preserve"> to the</w:t>
      </w:r>
      <w:r w:rsidR="0030472D">
        <w:rPr>
          <w:noProof/>
        </w:rPr>
        <w:t xml:space="preserve"> full, in order</w:t>
      </w:r>
      <w:r w:rsidRPr="00B7253C">
        <w:rPr>
          <w:noProof/>
        </w:rPr>
        <w:t xml:space="preserve"> to counter fraudsters </w:t>
      </w:r>
      <w:r w:rsidR="0030472D">
        <w:rPr>
          <w:noProof/>
        </w:rPr>
        <w:t>who</w:t>
      </w:r>
      <w:r w:rsidR="0030472D" w:rsidRPr="00B7253C">
        <w:rPr>
          <w:noProof/>
        </w:rPr>
        <w:t xml:space="preserve"> </w:t>
      </w:r>
      <w:r w:rsidRPr="00B7253C">
        <w:rPr>
          <w:noProof/>
        </w:rPr>
        <w:t xml:space="preserve">appear </w:t>
      </w:r>
      <w:r w:rsidR="0030472D">
        <w:rPr>
          <w:noProof/>
        </w:rPr>
        <w:t xml:space="preserve">to be </w:t>
      </w:r>
      <w:r w:rsidRPr="00B7253C">
        <w:rPr>
          <w:noProof/>
        </w:rPr>
        <w:t>more organised and tech</w:t>
      </w:r>
      <w:r w:rsidR="007F77A4">
        <w:rPr>
          <w:noProof/>
        </w:rPr>
        <w:t>-</w:t>
      </w:r>
      <w:r w:rsidR="00522C2E">
        <w:rPr>
          <w:noProof/>
        </w:rPr>
        <w:t>savvy</w:t>
      </w:r>
      <w:r w:rsidR="0030472D" w:rsidRPr="00B7253C">
        <w:rPr>
          <w:noProof/>
        </w:rPr>
        <w:t xml:space="preserve"> </w:t>
      </w:r>
      <w:r w:rsidRPr="00B7253C">
        <w:rPr>
          <w:noProof/>
        </w:rPr>
        <w:t xml:space="preserve">than ever. </w:t>
      </w:r>
    </w:p>
    <w:p w:rsidR="007F77A4" w:rsidRDefault="007F77A4" w:rsidP="002705A4">
      <w:pPr>
        <w:pStyle w:val="Caption"/>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 xml:space="preserve">Recommendation </w:t>
      </w:r>
      <w:r w:rsidR="00930F4F">
        <w:rPr>
          <w:noProof/>
        </w:rPr>
        <w:fldChar w:fldCharType="begin"/>
      </w:r>
      <w:r w:rsidR="00930F4F">
        <w:rPr>
          <w:noProof/>
        </w:rPr>
        <w:instrText xml:space="preserve"> SEQ Recommendation \* ARABIC </w:instrText>
      </w:r>
      <w:r w:rsidR="00930F4F">
        <w:rPr>
          <w:noProof/>
        </w:rPr>
        <w:fldChar w:fldCharType="separate"/>
      </w:r>
      <w:r w:rsidR="004D17E6">
        <w:rPr>
          <w:noProof/>
        </w:rPr>
        <w:t>2</w:t>
      </w:r>
      <w:r w:rsidR="00930F4F">
        <w:rPr>
          <w:noProof/>
        </w:rPr>
        <w:fldChar w:fldCharType="end"/>
      </w:r>
      <w:r>
        <w:rPr>
          <w:noProof/>
        </w:rPr>
        <w:t xml:space="preserve">: </w:t>
      </w:r>
      <w:r w:rsidR="00265D65">
        <w:rPr>
          <w:noProof/>
        </w:rPr>
        <w:t>D</w:t>
      </w:r>
      <w:r w:rsidR="00436D20">
        <w:rPr>
          <w:noProof/>
        </w:rPr>
        <w:t>igitalisation of the fight against fraud high on Member States’ agenda</w:t>
      </w:r>
    </w:p>
    <w:p w:rsidR="00FD31CE" w:rsidRDefault="00436D20" w:rsidP="002705A4">
      <w:pPr>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 xml:space="preserve">Digitalisation of the fight against fraud needs to be at the heart of anti-fraud strategies. It represents both a resource and a threat, as fraudsters are </w:t>
      </w:r>
      <w:r w:rsidR="00812A8C">
        <w:rPr>
          <w:noProof/>
        </w:rPr>
        <w:t xml:space="preserve">also </w:t>
      </w:r>
      <w:r>
        <w:rPr>
          <w:noProof/>
        </w:rPr>
        <w:t xml:space="preserve">increasingly using and exploiting new technologies </w:t>
      </w:r>
      <w:r w:rsidR="00812A8C">
        <w:rPr>
          <w:noProof/>
        </w:rPr>
        <w:t xml:space="preserve">in order to commit </w:t>
      </w:r>
      <w:r>
        <w:rPr>
          <w:noProof/>
        </w:rPr>
        <w:t xml:space="preserve">their crimes. </w:t>
      </w:r>
      <w:r w:rsidR="00FD31CE" w:rsidRPr="00B7253C">
        <w:rPr>
          <w:noProof/>
        </w:rPr>
        <w:t xml:space="preserve">Member States should </w:t>
      </w:r>
      <w:r w:rsidR="00C04264">
        <w:rPr>
          <w:noProof/>
        </w:rPr>
        <w:t>ensure that</w:t>
      </w:r>
      <w:r>
        <w:rPr>
          <w:noProof/>
        </w:rPr>
        <w:t xml:space="preserve"> the digitalisation of the fight against fraud </w:t>
      </w:r>
      <w:r w:rsidR="00C04264">
        <w:rPr>
          <w:noProof/>
        </w:rPr>
        <w:t>is part of</w:t>
      </w:r>
      <w:r>
        <w:rPr>
          <w:noProof/>
        </w:rPr>
        <w:t xml:space="preserve"> their NAFS. </w:t>
      </w:r>
      <w:r w:rsidR="00812A8C">
        <w:rPr>
          <w:noProof/>
        </w:rPr>
        <w:t xml:space="preserve">That </w:t>
      </w:r>
      <w:r>
        <w:rPr>
          <w:noProof/>
        </w:rPr>
        <w:t>approach should define strategies to</w:t>
      </w:r>
      <w:r w:rsidR="00812A8C">
        <w:rPr>
          <w:noProof/>
        </w:rPr>
        <w:t>:</w:t>
      </w:r>
      <w:r>
        <w:rPr>
          <w:noProof/>
        </w:rPr>
        <w:t xml:space="preserve"> </w:t>
      </w:r>
      <w:r w:rsidR="00812A8C">
        <w:rPr>
          <w:noProof/>
        </w:rPr>
        <w:t>(</w:t>
      </w:r>
      <w:r w:rsidR="002705A4">
        <w:rPr>
          <w:noProof/>
        </w:rPr>
        <w:t xml:space="preserve">i) identify existing and future threats </w:t>
      </w:r>
      <w:r w:rsidR="00812A8C">
        <w:rPr>
          <w:noProof/>
        </w:rPr>
        <w:t xml:space="preserve">arising </w:t>
      </w:r>
      <w:r w:rsidR="002705A4">
        <w:rPr>
          <w:noProof/>
        </w:rPr>
        <w:t xml:space="preserve">from new technologies; </w:t>
      </w:r>
      <w:r w:rsidR="00812A8C">
        <w:rPr>
          <w:noProof/>
        </w:rPr>
        <w:t>(</w:t>
      </w:r>
      <w:r w:rsidR="002705A4">
        <w:rPr>
          <w:noProof/>
        </w:rPr>
        <w:t xml:space="preserve">ii) </w:t>
      </w:r>
      <w:r>
        <w:rPr>
          <w:noProof/>
        </w:rPr>
        <w:t>develop the necessary IT architecture (</w:t>
      </w:r>
      <w:r w:rsidR="00426647">
        <w:rPr>
          <w:noProof/>
        </w:rPr>
        <w:t>inventor</w:t>
      </w:r>
      <w:r w:rsidR="002705A4">
        <w:rPr>
          <w:noProof/>
        </w:rPr>
        <w:t xml:space="preserve">ying </w:t>
      </w:r>
      <w:r w:rsidR="00426647">
        <w:rPr>
          <w:noProof/>
        </w:rPr>
        <w:t>ex</w:t>
      </w:r>
      <w:r w:rsidR="002705A4">
        <w:rPr>
          <w:noProof/>
        </w:rPr>
        <w:t xml:space="preserve">isting tools, developing new ones, ensuring appropriate interoperability </w:t>
      </w:r>
      <w:r w:rsidR="00812A8C">
        <w:rPr>
          <w:noProof/>
        </w:rPr>
        <w:t xml:space="preserve">between </w:t>
      </w:r>
      <w:r w:rsidR="002705A4">
        <w:rPr>
          <w:noProof/>
        </w:rPr>
        <w:t xml:space="preserve">them); </w:t>
      </w:r>
      <w:r w:rsidR="00522C2E">
        <w:rPr>
          <w:noProof/>
        </w:rPr>
        <w:t xml:space="preserve">and </w:t>
      </w:r>
      <w:r w:rsidR="00812A8C">
        <w:rPr>
          <w:noProof/>
        </w:rPr>
        <w:t>(</w:t>
      </w:r>
      <w:r w:rsidR="002705A4">
        <w:rPr>
          <w:noProof/>
        </w:rPr>
        <w:t xml:space="preserve">iii) identify and address existing gaps, also in terms of </w:t>
      </w:r>
      <w:r w:rsidR="00812A8C">
        <w:rPr>
          <w:noProof/>
        </w:rPr>
        <w:t xml:space="preserve">the </w:t>
      </w:r>
      <w:r w:rsidR="002705A4">
        <w:rPr>
          <w:noProof/>
        </w:rPr>
        <w:t>skills</w:t>
      </w:r>
      <w:r w:rsidR="00812A8C">
        <w:rPr>
          <w:noProof/>
        </w:rPr>
        <w:t xml:space="preserve"> needed</w:t>
      </w:r>
      <w:r w:rsidR="002705A4">
        <w:rPr>
          <w:noProof/>
        </w:rPr>
        <w:t xml:space="preserve">. </w:t>
      </w:r>
    </w:p>
    <w:p w:rsidR="00FD31CE" w:rsidRDefault="00FD31CE" w:rsidP="00C21AF5">
      <w:pPr>
        <w:pStyle w:val="Heading2"/>
        <w:rPr>
          <w:noProof/>
        </w:rPr>
      </w:pPr>
      <w:bookmarkStart w:id="63" w:name="_Toc137736211"/>
      <w:r w:rsidRPr="007E56DE">
        <w:rPr>
          <w:noProof/>
        </w:rPr>
        <w:t>Str</w:t>
      </w:r>
      <w:r>
        <w:rPr>
          <w:noProof/>
        </w:rPr>
        <w:t>e</w:t>
      </w:r>
      <w:r w:rsidRPr="007E56DE">
        <w:rPr>
          <w:noProof/>
        </w:rPr>
        <w:t>ngthening Anti-fraud governance</w:t>
      </w:r>
      <w:bookmarkEnd w:id="63"/>
    </w:p>
    <w:p w:rsidR="00FD31CE" w:rsidRDefault="003C05B9" w:rsidP="00FD31CE">
      <w:pPr>
        <w:rPr>
          <w:noProof/>
        </w:rPr>
      </w:pPr>
      <w:r>
        <w:rPr>
          <w:noProof/>
        </w:rPr>
        <w:t xml:space="preserve">The Commission has constantly pressed the case for </w:t>
      </w:r>
      <w:r w:rsidR="0030472D">
        <w:rPr>
          <w:noProof/>
        </w:rPr>
        <w:t>the widespread</w:t>
      </w:r>
      <w:r>
        <w:rPr>
          <w:noProof/>
        </w:rPr>
        <w:t xml:space="preserve"> adoption of national anti-fraud strategies to protect the EU’s financial interests. </w:t>
      </w:r>
      <w:r w:rsidR="0030472D">
        <w:rPr>
          <w:noProof/>
        </w:rPr>
        <w:t xml:space="preserve">Those </w:t>
      </w:r>
      <w:r>
        <w:rPr>
          <w:noProof/>
        </w:rPr>
        <w:t xml:space="preserve">strategies can ensure </w:t>
      </w:r>
      <w:r w:rsidR="0030472D">
        <w:rPr>
          <w:noProof/>
        </w:rPr>
        <w:t xml:space="preserve">that the </w:t>
      </w:r>
      <w:r>
        <w:rPr>
          <w:noProof/>
        </w:rPr>
        <w:t xml:space="preserve">various national </w:t>
      </w:r>
      <w:r w:rsidR="0030472D">
        <w:rPr>
          <w:noProof/>
        </w:rPr>
        <w:t xml:space="preserve">actors </w:t>
      </w:r>
      <w:r>
        <w:rPr>
          <w:noProof/>
        </w:rPr>
        <w:t xml:space="preserve">involved </w:t>
      </w:r>
      <w:r w:rsidR="0030472D">
        <w:rPr>
          <w:noProof/>
        </w:rPr>
        <w:t xml:space="preserve">take a common approach </w:t>
      </w:r>
      <w:r>
        <w:rPr>
          <w:noProof/>
        </w:rPr>
        <w:t xml:space="preserve">and can facilitate cooperation with the EU level. </w:t>
      </w:r>
      <w:r w:rsidR="002705A4">
        <w:rPr>
          <w:noProof/>
        </w:rPr>
        <w:t xml:space="preserve">Because of the important </w:t>
      </w:r>
      <w:r w:rsidRPr="007E56DE">
        <w:rPr>
          <w:noProof/>
        </w:rPr>
        <w:t xml:space="preserve">role </w:t>
      </w:r>
      <w:r w:rsidR="0030472D">
        <w:rPr>
          <w:noProof/>
        </w:rPr>
        <w:t xml:space="preserve">played by </w:t>
      </w:r>
      <w:r w:rsidRPr="007E56DE">
        <w:rPr>
          <w:noProof/>
        </w:rPr>
        <w:t>OLAF</w:t>
      </w:r>
      <w:r w:rsidR="002705A4">
        <w:rPr>
          <w:noProof/>
        </w:rPr>
        <w:t xml:space="preserve"> and the EPPO in </w:t>
      </w:r>
      <w:r w:rsidR="0030472D">
        <w:rPr>
          <w:noProof/>
        </w:rPr>
        <w:t>comba</w:t>
      </w:r>
      <w:r w:rsidR="002D44B2">
        <w:rPr>
          <w:noProof/>
        </w:rPr>
        <w:t>t</w:t>
      </w:r>
      <w:r w:rsidR="0030472D">
        <w:rPr>
          <w:noProof/>
        </w:rPr>
        <w:t xml:space="preserve">ting </w:t>
      </w:r>
      <w:r w:rsidR="002705A4">
        <w:rPr>
          <w:noProof/>
        </w:rPr>
        <w:t>cross-border fraud in particular</w:t>
      </w:r>
      <w:r w:rsidR="004D17E6">
        <w:rPr>
          <w:noProof/>
        </w:rPr>
        <w:t>, t</w:t>
      </w:r>
      <w:r w:rsidR="004D17E6" w:rsidRPr="004D17E6">
        <w:rPr>
          <w:noProof/>
        </w:rPr>
        <w:t>he increasingly complex anti-fraud landscape and the sophistication of fraudsters</w:t>
      </w:r>
      <w:r w:rsidR="004D17E6">
        <w:rPr>
          <w:noProof/>
        </w:rPr>
        <w:t>,</w:t>
      </w:r>
      <w:r w:rsidR="004D17E6" w:rsidRPr="004D17E6">
        <w:rPr>
          <w:noProof/>
        </w:rPr>
        <w:t xml:space="preserve"> cooperation and coordination across organisational boundaries </w:t>
      </w:r>
      <w:r w:rsidR="004D17E6">
        <w:rPr>
          <w:noProof/>
        </w:rPr>
        <w:t xml:space="preserve">is </w:t>
      </w:r>
      <w:r w:rsidR="004D17E6" w:rsidRPr="004D17E6">
        <w:rPr>
          <w:noProof/>
        </w:rPr>
        <w:t>more important than ever.</w:t>
      </w:r>
    </w:p>
    <w:p w:rsidR="004D17E6" w:rsidRDefault="004D17E6" w:rsidP="002D70E1">
      <w:pPr>
        <w:pStyle w:val="Caption"/>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 xml:space="preserve">Recommendation </w:t>
      </w:r>
      <w:r w:rsidR="00930F4F">
        <w:rPr>
          <w:noProof/>
        </w:rPr>
        <w:fldChar w:fldCharType="begin"/>
      </w:r>
      <w:r w:rsidR="00930F4F">
        <w:rPr>
          <w:noProof/>
        </w:rPr>
        <w:instrText xml:space="preserve"> SEQ Recommendation \* ARABIC </w:instrText>
      </w:r>
      <w:r w:rsidR="00930F4F">
        <w:rPr>
          <w:noProof/>
        </w:rPr>
        <w:fldChar w:fldCharType="separate"/>
      </w:r>
      <w:r>
        <w:rPr>
          <w:noProof/>
        </w:rPr>
        <w:t>3</w:t>
      </w:r>
      <w:r w:rsidR="00930F4F">
        <w:rPr>
          <w:noProof/>
        </w:rPr>
        <w:fldChar w:fldCharType="end"/>
      </w:r>
      <w:r>
        <w:rPr>
          <w:noProof/>
        </w:rPr>
        <w:t xml:space="preserve">: </w:t>
      </w:r>
      <w:r w:rsidR="00265D65">
        <w:rPr>
          <w:noProof/>
        </w:rPr>
        <w:t>R</w:t>
      </w:r>
      <w:r>
        <w:rPr>
          <w:noProof/>
        </w:rPr>
        <w:t>einforcing anti-fraud governance in the Member States</w:t>
      </w:r>
    </w:p>
    <w:p w:rsidR="003C05B9" w:rsidRDefault="003C05B9" w:rsidP="002D70E1">
      <w:pPr>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 xml:space="preserve">National anti-fraud networks have been developing in several Member States, </w:t>
      </w:r>
      <w:r w:rsidR="00285F1D">
        <w:rPr>
          <w:noProof/>
        </w:rPr>
        <w:t xml:space="preserve">with the </w:t>
      </w:r>
      <w:r w:rsidR="004D17E6">
        <w:rPr>
          <w:noProof/>
        </w:rPr>
        <w:t>national A</w:t>
      </w:r>
      <w:r>
        <w:rPr>
          <w:noProof/>
        </w:rPr>
        <w:t>FCOS</w:t>
      </w:r>
      <w:r w:rsidR="00285F1D">
        <w:rPr>
          <w:noProof/>
        </w:rPr>
        <w:t xml:space="preserve"> playing a key role</w:t>
      </w:r>
      <w:r>
        <w:rPr>
          <w:noProof/>
        </w:rPr>
        <w:t xml:space="preserve">. The Commission </w:t>
      </w:r>
      <w:r w:rsidR="002D70E1">
        <w:rPr>
          <w:noProof/>
        </w:rPr>
        <w:t xml:space="preserve">supports and </w:t>
      </w:r>
      <w:r>
        <w:rPr>
          <w:noProof/>
        </w:rPr>
        <w:t xml:space="preserve">encourages this </w:t>
      </w:r>
      <w:r w:rsidR="002D70E1">
        <w:rPr>
          <w:noProof/>
        </w:rPr>
        <w:t xml:space="preserve">process, which should be </w:t>
      </w:r>
      <w:r w:rsidR="00FA0916">
        <w:rPr>
          <w:noProof/>
        </w:rPr>
        <w:t>extended to all actors concerned</w:t>
      </w:r>
      <w:r w:rsidR="002D70E1">
        <w:rPr>
          <w:noProof/>
        </w:rPr>
        <w:t xml:space="preserve">, involving </w:t>
      </w:r>
      <w:r w:rsidR="00FA0916">
        <w:rPr>
          <w:noProof/>
        </w:rPr>
        <w:t xml:space="preserve">the relevant </w:t>
      </w:r>
      <w:r w:rsidR="002D70E1">
        <w:rPr>
          <w:noProof/>
        </w:rPr>
        <w:t>law enforcement and judicial authorities at national and European level</w:t>
      </w:r>
      <w:r>
        <w:rPr>
          <w:noProof/>
        </w:rPr>
        <w:t>.</w:t>
      </w:r>
      <w:r w:rsidR="002D70E1">
        <w:rPr>
          <w:noProof/>
        </w:rPr>
        <w:t xml:space="preserve"> Member States should also ensure that </w:t>
      </w:r>
      <w:r w:rsidR="00FA0916">
        <w:rPr>
          <w:noProof/>
        </w:rPr>
        <w:t xml:space="preserve">the </w:t>
      </w:r>
      <w:r w:rsidR="002D70E1">
        <w:rPr>
          <w:noProof/>
        </w:rPr>
        <w:t xml:space="preserve">national structures coordinating this process are </w:t>
      </w:r>
      <w:r w:rsidR="00FA0916">
        <w:rPr>
          <w:noProof/>
        </w:rPr>
        <w:t xml:space="preserve">properly </w:t>
      </w:r>
      <w:r w:rsidR="002D70E1">
        <w:rPr>
          <w:noProof/>
        </w:rPr>
        <w:t>staffed.</w:t>
      </w:r>
    </w:p>
    <w:p w:rsidR="00C04264" w:rsidRDefault="00C04264" w:rsidP="002D70E1">
      <w:pPr>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 xml:space="preserve">Anti-fraud networks </w:t>
      </w:r>
      <w:r w:rsidR="00FA0916">
        <w:rPr>
          <w:noProof/>
        </w:rPr>
        <w:t xml:space="preserve">provide </w:t>
      </w:r>
      <w:r>
        <w:rPr>
          <w:noProof/>
        </w:rPr>
        <w:t>the ideal structure for the development and updat</w:t>
      </w:r>
      <w:r w:rsidR="00FA0916">
        <w:rPr>
          <w:noProof/>
        </w:rPr>
        <w:t>ing</w:t>
      </w:r>
      <w:r>
        <w:rPr>
          <w:noProof/>
        </w:rPr>
        <w:t xml:space="preserve"> of NAFS.</w:t>
      </w:r>
    </w:p>
    <w:p w:rsidR="00C04264" w:rsidRPr="00FD31CE" w:rsidRDefault="00C04264" w:rsidP="002D70E1">
      <w:pPr>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 xml:space="preserve">The Commission reiterates its recommendation </w:t>
      </w:r>
      <w:r w:rsidR="00FA0916">
        <w:rPr>
          <w:noProof/>
        </w:rPr>
        <w:t xml:space="preserve">that </w:t>
      </w:r>
      <w:r>
        <w:rPr>
          <w:noProof/>
        </w:rPr>
        <w:t xml:space="preserve">the Member States which have not </w:t>
      </w:r>
      <w:r w:rsidR="00FA0916">
        <w:rPr>
          <w:noProof/>
        </w:rPr>
        <w:t xml:space="preserve">yet </w:t>
      </w:r>
      <w:r>
        <w:rPr>
          <w:noProof/>
        </w:rPr>
        <w:t xml:space="preserve">adopted a NAFS </w:t>
      </w:r>
      <w:r w:rsidR="00FA0916">
        <w:rPr>
          <w:noProof/>
        </w:rPr>
        <w:t xml:space="preserve">should </w:t>
      </w:r>
      <w:r>
        <w:rPr>
          <w:noProof/>
        </w:rPr>
        <w:t>do so.</w:t>
      </w:r>
    </w:p>
    <w:sectPr w:rsidR="00C04264" w:rsidRPr="00FD31CE" w:rsidSect="00EA6E77">
      <w:headerReference w:type="even" r:id="rId34"/>
      <w:headerReference w:type="default" r:id="rId35"/>
      <w:footerReference w:type="even" r:id="rId36"/>
      <w:footerReference w:type="default" r:id="rId37"/>
      <w:headerReference w:type="first" r:id="rId38"/>
      <w:footerReference w:type="first" r:id="rId39"/>
      <w:type w:val="continuous"/>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9FF" w:rsidRDefault="005A69FF">
      <w:pPr>
        <w:spacing w:after="0" w:line="240" w:lineRule="auto"/>
      </w:pPr>
      <w:r>
        <w:separator/>
      </w:r>
    </w:p>
  </w:endnote>
  <w:endnote w:type="continuationSeparator" w:id="0">
    <w:p w:rsidR="005A69FF" w:rsidRDefault="005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C6" w:rsidRPr="001360C6" w:rsidRDefault="001360C6" w:rsidP="00136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8B" w:rsidRPr="001360C6" w:rsidRDefault="001360C6" w:rsidP="001360C6">
    <w:pPr>
      <w:pStyle w:val="FooterCoverPage"/>
      <w:rPr>
        <w:rFonts w:ascii="Arial" w:hAnsi="Arial" w:cs="Arial"/>
        <w:b/>
        <w:sz w:val="48"/>
      </w:rPr>
    </w:pPr>
    <w:r w:rsidRPr="001360C6">
      <w:rPr>
        <w:rFonts w:ascii="Arial" w:hAnsi="Arial" w:cs="Arial"/>
        <w:b/>
        <w:sz w:val="48"/>
      </w:rPr>
      <w:t>EN</w:t>
    </w:r>
    <w:r w:rsidRPr="001360C6">
      <w:rPr>
        <w:rFonts w:ascii="Arial" w:hAnsi="Arial" w:cs="Arial"/>
        <w:b/>
        <w:sz w:val="48"/>
      </w:rPr>
      <w:tab/>
    </w:r>
    <w:r w:rsidRPr="001360C6">
      <w:rPr>
        <w:rFonts w:ascii="Arial" w:hAnsi="Arial" w:cs="Arial"/>
        <w:b/>
        <w:sz w:val="48"/>
      </w:rPr>
      <w:tab/>
    </w:r>
    <w:r w:rsidRPr="001360C6">
      <w:tab/>
    </w:r>
    <w:r w:rsidRPr="001360C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C6" w:rsidRPr="001360C6" w:rsidRDefault="001360C6" w:rsidP="001360C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C6" w:rsidRDefault="001360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C6" w:rsidRPr="00301BBE" w:rsidRDefault="001360C6" w:rsidP="00301BBE">
    <w:pPr>
      <w:pStyle w:val="FooterCoverPage"/>
      <w:rPr>
        <w:rFonts w:ascii="Arial" w:hAnsi="Arial" w:cs="Arial"/>
        <w:b/>
        <w:sz w:val="48"/>
      </w:rPr>
    </w:pPr>
    <w:r w:rsidRPr="00301BBE">
      <w:rPr>
        <w:rFonts w:ascii="Arial" w:hAnsi="Arial" w:cs="Arial"/>
        <w:b/>
        <w:sz w:val="48"/>
      </w:rPr>
      <w:t>EN</w:t>
    </w:r>
    <w:r w:rsidRPr="00301BBE">
      <w:rPr>
        <w:rFonts w:ascii="Arial" w:hAnsi="Arial" w:cs="Arial"/>
        <w:b/>
        <w:sz w:val="48"/>
      </w:rPr>
      <w:tab/>
    </w:r>
    <w:r w:rsidRPr="00301BBE">
      <w:rPr>
        <w:rFonts w:ascii="Arial" w:hAnsi="Arial" w:cs="Arial"/>
        <w:b/>
        <w:sz w:val="48"/>
      </w:rPr>
      <w:tab/>
    </w:r>
    <w:r w:rsidRPr="00301BBE">
      <w:tab/>
    </w:r>
    <w:r w:rsidRPr="00301BBE">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C6" w:rsidRDefault="001360C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8B" w:rsidRDefault="001360C6">
    <w:pPr>
      <w:pStyle w:val="FooterLine"/>
    </w:pPr>
    <w:sdt>
      <w:sdtPr>
        <w:id w:val="929782339"/>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DC7E8B">
          <w:t>33rd Annual Report on the protection of the EU financial interests and the fight against fraud</w:t>
        </w:r>
      </w:sdtContent>
    </w:sdt>
    <w:r w:rsidR="00DC7E8B">
      <w:t xml:space="preserve"> - </w:t>
    </w:r>
    <w:sdt>
      <w:sdtPr>
        <w:id w:val="236066760"/>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DC7E8B">
          <w:t>2021</w:t>
        </w:r>
      </w:sdtContent>
    </w:sdt>
    <w:r w:rsidR="00DC7E8B">
      <w:tab/>
      <w:t xml:space="preserve">Page </w:t>
    </w:r>
    <w:r w:rsidR="00DC7E8B">
      <w:fldChar w:fldCharType="begin"/>
    </w:r>
    <w:r w:rsidR="00DC7E8B">
      <w:instrText>PAGE</w:instrText>
    </w:r>
    <w:r w:rsidR="00DC7E8B">
      <w:fldChar w:fldCharType="separate"/>
    </w:r>
    <w:r w:rsidR="00DC7E8B">
      <w:rPr>
        <w:noProof/>
      </w:rPr>
      <w:t>3</w:t>
    </w:r>
    <w:r w:rsidR="00DC7E8B">
      <w:fldChar w:fldCharType="end"/>
    </w:r>
    <w:r w:rsidR="00DC7E8B">
      <w:t xml:space="preserve"> / </w:t>
    </w:r>
    <w:r w:rsidR="00DC7E8B">
      <w:fldChar w:fldCharType="begin"/>
    </w:r>
    <w:r w:rsidR="00DC7E8B">
      <w:instrText>NUMPAGES</w:instrText>
    </w:r>
    <w:r w:rsidR="00DC7E8B">
      <w:fldChar w:fldCharType="separate"/>
    </w:r>
    <w:r w:rsidR="00DC7E8B">
      <w:rPr>
        <w:noProof/>
      </w:rPr>
      <w:t>43</w:t>
    </w:r>
    <w:r w:rsidR="00DC7E8B">
      <w:fldChar w:fldCharType="end"/>
    </w:r>
  </w:p>
  <w:p w:rsidR="00DC7E8B" w:rsidRDefault="001360C6">
    <w:pPr>
      <w:pStyle w:val="Footer"/>
    </w:pPr>
    <w:sdt>
      <w:sdtPr>
        <w:id w:val="-1900276477"/>
        <w:dataBinding w:xpath="/Texts/TechFooterVersion" w:storeItemID="{4EF90DE6-88B6-4264-9629-4D8DFDFE87D2}"/>
        <w:text w:multiLine="1"/>
      </w:sdtPr>
      <w:sdtEndPr/>
      <w:sdtContent>
        <w:r w:rsidR="00DC7E8B">
          <w:t>Document Version</w:t>
        </w:r>
      </w:sdtContent>
    </w:sdt>
    <w:r w:rsidR="00DC7E8B">
      <w:t xml:space="preserve"> </w:t>
    </w:r>
    <w:sdt>
      <w:sdtPr>
        <w:alias w:val="Version"/>
        <w:id w:val="1579563643"/>
        <w:dataBinding w:xpath="/EurolookProperties/DocumentVersion" w:storeItemID="{D3EA5527-7367-4268-9D83-5125C98D0ED2}"/>
        <w:text w:multiLine="1"/>
      </w:sdtPr>
      <w:sdtEndPr/>
      <w:sdtContent>
        <w:r w:rsidR="00DC7E8B">
          <w:t>1.1</w:t>
        </w:r>
      </w:sdtContent>
    </w:sdt>
    <w:r w:rsidR="00DC7E8B">
      <w:t xml:space="preserve"> </w:t>
    </w:r>
    <w:sdt>
      <w:sdtPr>
        <w:id w:val="-513918892"/>
        <w:dataBinding w:xpath="/Texts/TechFooterDated" w:storeItemID="{4EF90DE6-88B6-4264-9629-4D8DFDFE87D2}"/>
        <w:text w:multiLine="1"/>
      </w:sdtPr>
      <w:sdtEndPr/>
      <w:sdtContent>
        <w:r w:rsidR="00DC7E8B">
          <w:t>dated</w:t>
        </w:r>
      </w:sdtContent>
    </w:sdt>
    <w:r w:rsidR="00DC7E8B">
      <w:t xml:space="preserve"> </w:t>
    </w:r>
    <w:sdt>
      <w:sdtPr>
        <w:alias w:val=""/>
        <w:id w:val="957213610"/>
        <w:dataBinding w:xpath="/EurolookProperties/DocumentDate" w:storeItemID="{D3EA5527-7367-4268-9D83-5125C98D0ED2}"/>
        <w:date w:fullDate="2022-06-20T00:00:00Z">
          <w:dateFormat w:val="dd/MM/yyyy"/>
          <w:lid w:val="en-GB"/>
          <w:storeMappedDataAs w:val="dateTime"/>
          <w:calendar w:val="gregorian"/>
        </w:date>
      </w:sdtPr>
      <w:sdtEndPr/>
      <w:sdtContent>
        <w:r w:rsidR="00DC7E8B">
          <w:t>20/06/2022</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8B" w:rsidRDefault="00DC7E8B">
    <w:pPr>
      <w:pStyle w:val="FooterLine"/>
    </w:pPr>
    <w:r>
      <w:tab/>
      <w:t xml:space="preserve">Page </w:t>
    </w:r>
    <w:r>
      <w:fldChar w:fldCharType="begin"/>
    </w:r>
    <w:r>
      <w:instrText>PAGE</w:instrText>
    </w:r>
    <w:r>
      <w:fldChar w:fldCharType="separate"/>
    </w:r>
    <w:r w:rsidR="001360C6">
      <w:rPr>
        <w:noProof/>
      </w:rPr>
      <w:t>20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8B" w:rsidRPr="00727AB1" w:rsidRDefault="00DC7E8B" w:rsidP="00727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9FF" w:rsidRDefault="005A69FF">
      <w:pPr>
        <w:spacing w:after="0" w:line="240" w:lineRule="auto"/>
      </w:pPr>
      <w:r>
        <w:separator/>
      </w:r>
    </w:p>
  </w:footnote>
  <w:footnote w:type="continuationSeparator" w:id="0">
    <w:p w:rsidR="005A69FF" w:rsidRDefault="005A69FF">
      <w:pPr>
        <w:spacing w:after="0" w:line="240" w:lineRule="auto"/>
      </w:pPr>
      <w:r>
        <w:continuationSeparator/>
      </w:r>
    </w:p>
  </w:footnote>
  <w:footnote w:id="1">
    <w:p w:rsidR="00DC7E8B" w:rsidRPr="007868A2" w:rsidRDefault="00DC7E8B">
      <w:pPr>
        <w:pStyle w:val="FootnoteText"/>
      </w:pPr>
      <w:r>
        <w:rPr>
          <w:rStyle w:val="FootnoteReference"/>
        </w:rPr>
        <w:footnoteRef/>
      </w:r>
      <w:r>
        <w:t xml:space="preserve"> </w:t>
      </w:r>
      <w:r w:rsidRPr="007868A2">
        <w:tab/>
        <w:t>Article 310</w:t>
      </w:r>
      <w:r>
        <w:t>(</w:t>
      </w:r>
      <w:r w:rsidRPr="007868A2">
        <w:t>6</w:t>
      </w:r>
      <w:r>
        <w:t>)</w:t>
      </w:r>
      <w:r w:rsidRPr="007868A2">
        <w:t xml:space="preserve"> TFEU.</w:t>
      </w:r>
    </w:p>
  </w:footnote>
  <w:footnote w:id="2">
    <w:p w:rsidR="00DC7E8B" w:rsidRDefault="00DC7E8B" w:rsidP="007868A2">
      <w:pPr>
        <w:pStyle w:val="FootnoteText"/>
      </w:pPr>
      <w:r>
        <w:rPr>
          <w:rStyle w:val="FootnoteReference"/>
        </w:rPr>
        <w:footnoteRef/>
      </w:r>
      <w:r>
        <w:t xml:space="preserve"> </w:t>
      </w:r>
      <w:r w:rsidRPr="007868A2">
        <w:tab/>
      </w:r>
      <w:r w:rsidRPr="00E90FE4">
        <w:t>This PIF Report is accompanied b</w:t>
      </w:r>
      <w:r>
        <w:t>y five Commission staff working documents:</w:t>
      </w:r>
    </w:p>
    <w:p w:rsidR="00DC7E8B" w:rsidRDefault="00DC7E8B" w:rsidP="007868A2">
      <w:pPr>
        <w:pStyle w:val="FootnoteText"/>
        <w:numPr>
          <w:ilvl w:val="0"/>
          <w:numId w:val="25"/>
        </w:numPr>
        <w:spacing w:before="40" w:after="0" w:line="240" w:lineRule="auto"/>
        <w:jc w:val="left"/>
      </w:pPr>
      <w:r>
        <w:t>Statistical evaluation of irregularities reported for own resources, natural resources, cohesion policy, pre-accession assistance and direct expenditure in 2022</w:t>
      </w:r>
    </w:p>
    <w:p w:rsidR="00DC7E8B" w:rsidRDefault="00DC7E8B" w:rsidP="007868A2">
      <w:pPr>
        <w:pStyle w:val="FootnoteText"/>
        <w:numPr>
          <w:ilvl w:val="0"/>
          <w:numId w:val="25"/>
        </w:numPr>
        <w:spacing w:before="40" w:after="0" w:line="240" w:lineRule="auto"/>
        <w:jc w:val="left"/>
      </w:pPr>
      <w:r>
        <w:t>Measures adopted by Member States to protect the EU’s financial interests in 2022</w:t>
      </w:r>
    </w:p>
    <w:p w:rsidR="00DC7E8B" w:rsidRDefault="00DC7E8B" w:rsidP="007868A2">
      <w:pPr>
        <w:pStyle w:val="FootnoteText"/>
        <w:numPr>
          <w:ilvl w:val="0"/>
          <w:numId w:val="25"/>
        </w:numPr>
        <w:spacing w:before="40" w:after="0" w:line="240" w:lineRule="auto"/>
        <w:jc w:val="left"/>
      </w:pPr>
      <w:r>
        <w:t>Follow-up on recommendations to the Commission report on the protection of the EU’s financial interests and the fight against fraud - 2021</w:t>
      </w:r>
    </w:p>
    <w:p w:rsidR="00DC7E8B" w:rsidRDefault="00DC7E8B" w:rsidP="007868A2">
      <w:pPr>
        <w:pStyle w:val="FootnoteText"/>
        <w:numPr>
          <w:ilvl w:val="0"/>
          <w:numId w:val="25"/>
        </w:numPr>
        <w:spacing w:before="40" w:after="0" w:line="240" w:lineRule="auto"/>
        <w:jc w:val="left"/>
      </w:pPr>
      <w:r>
        <w:t>European anti-fraud programme – 2022 implementation</w:t>
      </w:r>
    </w:p>
    <w:p w:rsidR="00DC7E8B" w:rsidRPr="007868A2" w:rsidRDefault="00DC7E8B" w:rsidP="007868A2">
      <w:pPr>
        <w:pStyle w:val="FootnoteText"/>
        <w:numPr>
          <w:ilvl w:val="0"/>
          <w:numId w:val="25"/>
        </w:numPr>
        <w:spacing w:before="40" w:after="0" w:line="240" w:lineRule="auto"/>
        <w:jc w:val="left"/>
      </w:pPr>
      <w:r>
        <w:t>Early Detection and Exclusion System (EDES) – Panel referred to in Article 143 of the financial Regulation</w:t>
      </w:r>
    </w:p>
  </w:footnote>
  <w:footnote w:id="3">
    <w:p w:rsidR="00DC7E8B" w:rsidRPr="00840DCF" w:rsidRDefault="00DC7E8B" w:rsidP="002233B0">
      <w:pPr>
        <w:pStyle w:val="FootnoteText"/>
      </w:pPr>
      <w:r>
        <w:rPr>
          <w:rStyle w:val="FootnoteReference"/>
        </w:rPr>
        <w:footnoteRef/>
      </w:r>
      <w:r>
        <w:t xml:space="preserve"> </w:t>
      </w:r>
      <w:r>
        <w:tab/>
      </w:r>
      <w:r w:rsidRPr="00840DCF">
        <w:t>COM(2022) 223 final, 16.5.2022</w:t>
      </w:r>
    </w:p>
  </w:footnote>
  <w:footnote w:id="4">
    <w:p w:rsidR="00DC7E8B" w:rsidRPr="00844F69" w:rsidRDefault="00DC7E8B" w:rsidP="00840DCF">
      <w:pPr>
        <w:pStyle w:val="FootnoteText"/>
      </w:pPr>
      <w:r>
        <w:rPr>
          <w:rStyle w:val="FootnoteReference"/>
        </w:rPr>
        <w:footnoteRef/>
      </w:r>
      <w:r w:rsidRPr="003F15BC">
        <w:t xml:space="preserve"> </w:t>
      </w:r>
      <w:r>
        <w:tab/>
      </w:r>
      <w:r w:rsidRPr="003F15BC">
        <w:t>In line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 and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295/39 21.11.2018).</w:t>
      </w:r>
    </w:p>
  </w:footnote>
  <w:footnote w:id="5">
    <w:p w:rsidR="00DC7E8B" w:rsidRPr="00AD2DE2" w:rsidRDefault="00DC7E8B" w:rsidP="00840DCF">
      <w:pPr>
        <w:pStyle w:val="FootnoteText"/>
      </w:pPr>
      <w:r>
        <w:rPr>
          <w:rStyle w:val="FootnoteReference"/>
        </w:rPr>
        <w:footnoteRef/>
      </w:r>
      <w:r>
        <w:t xml:space="preserve"> </w:t>
      </w:r>
      <w:r>
        <w:tab/>
      </w:r>
      <w:r w:rsidRPr="00AD2DE2">
        <w:t>For a detailed overview of the decisions taken by the Panel in 202</w:t>
      </w:r>
      <w:r>
        <w:t>2</w:t>
      </w:r>
      <w:r w:rsidRPr="00AD2DE2">
        <w:t>, see ‘Early Detection and Exclusion System (EDES) — Panel referred to in Article 143 of the Financial Regulation’ accompanying this report.</w:t>
      </w:r>
    </w:p>
  </w:footnote>
  <w:footnote w:id="6">
    <w:p w:rsidR="00DC7E8B" w:rsidRPr="000C3F92" w:rsidRDefault="00DC7E8B">
      <w:pPr>
        <w:pStyle w:val="FootnoteText"/>
      </w:pPr>
      <w:r>
        <w:rPr>
          <w:rStyle w:val="FootnoteReference"/>
        </w:rPr>
        <w:footnoteRef/>
      </w:r>
      <w:r>
        <w:t xml:space="preserve"> </w:t>
      </w:r>
      <w:r>
        <w:tab/>
        <w:t>See section 2.4.</w:t>
      </w:r>
    </w:p>
  </w:footnote>
  <w:footnote w:id="7">
    <w:p w:rsidR="00DC7E8B" w:rsidRPr="00BA4CF2" w:rsidRDefault="00DC7E8B" w:rsidP="00BA4CF2">
      <w:pPr>
        <w:pStyle w:val="FootnoteText"/>
      </w:pPr>
      <w:r>
        <w:rPr>
          <w:rStyle w:val="FootnoteReference"/>
        </w:rPr>
        <w:footnoteRef/>
      </w:r>
      <w:r>
        <w:t xml:space="preserve"> </w:t>
      </w:r>
      <w:r>
        <w:tab/>
        <w:t xml:space="preserve">In 2021, Europol, OLAF, the EPPO, Eurojust and 21 Member States joined forces as part of Operation SENTINEL to anticipate the expected wave of fraud affecting the recovery funds. For more details see the </w:t>
      </w:r>
      <w:hyperlink r:id="rId1" w:anchor="page=29&amp;zoom=100,0,0" w:history="1">
        <w:r w:rsidRPr="00BA4CF2">
          <w:rPr>
            <w:rStyle w:val="Hyperlink"/>
          </w:rPr>
          <w:t>2021 PIF Report, snapshot 11, p. 28</w:t>
        </w:r>
      </w:hyperlink>
      <w:r>
        <w:t>.</w:t>
      </w:r>
    </w:p>
  </w:footnote>
  <w:footnote w:id="8">
    <w:p w:rsidR="00DC7E8B" w:rsidRPr="004F262D" w:rsidRDefault="00DC7E8B" w:rsidP="00840DCF">
      <w:pPr>
        <w:pStyle w:val="FootnoteText"/>
      </w:pPr>
      <w:r>
        <w:rPr>
          <w:rStyle w:val="FootnoteReference"/>
        </w:rPr>
        <w:footnoteRef/>
      </w:r>
      <w:r w:rsidRPr="004F262D">
        <w:t xml:space="preserve"> </w:t>
      </w:r>
      <w:r>
        <w:tab/>
        <w:t>In relation to the assessment of the plans, s</w:t>
      </w:r>
      <w:r w:rsidRPr="004F262D">
        <w:t xml:space="preserve">ee the </w:t>
      </w:r>
      <w:hyperlink r:id="rId2" w:anchor="page=29&amp;zoom=100,0,0" w:history="1">
        <w:r w:rsidRPr="004F262D">
          <w:rPr>
            <w:rStyle w:val="Hyperlink"/>
          </w:rPr>
          <w:t>2021 PIF Report, section 5.3</w:t>
        </w:r>
      </w:hyperlink>
      <w:r>
        <w:t>.</w:t>
      </w:r>
    </w:p>
  </w:footnote>
  <w:footnote w:id="9">
    <w:p w:rsidR="00DC7E8B" w:rsidRPr="00FC26D3" w:rsidRDefault="00DC7E8B" w:rsidP="00E754DF">
      <w:pPr>
        <w:pStyle w:val="FootnoteText"/>
        <w:rPr>
          <w:lang w:val="it-IT"/>
        </w:rPr>
      </w:pPr>
      <w:r>
        <w:rPr>
          <w:rStyle w:val="FootnoteReference"/>
        </w:rPr>
        <w:footnoteRef/>
      </w:r>
      <w:r w:rsidRPr="00FC26D3">
        <w:rPr>
          <w:lang w:val="it-IT"/>
        </w:rPr>
        <w:t xml:space="preserve"> </w:t>
      </w:r>
      <w:r w:rsidRPr="00FC26D3">
        <w:rPr>
          <w:lang w:val="it-IT"/>
        </w:rPr>
        <w:tab/>
        <w:t>Spain, Slovakia, Estonia, Denmark, Greece, Czechia, Italy, Lithuania, Malta, Slovenia, Bulgaria, Cyprus, Finland, Ireland, Latvia and Poland.</w:t>
      </w:r>
    </w:p>
  </w:footnote>
  <w:footnote w:id="10">
    <w:p w:rsidR="00DC7E8B" w:rsidRPr="003D1394" w:rsidRDefault="00DC7E8B" w:rsidP="00E754DF">
      <w:pPr>
        <w:pStyle w:val="FootnoteText"/>
      </w:pPr>
      <w:r>
        <w:rPr>
          <w:rStyle w:val="FootnoteReference"/>
        </w:rPr>
        <w:footnoteRef/>
      </w:r>
      <w:r>
        <w:t xml:space="preserve"> </w:t>
      </w:r>
      <w:r>
        <w:tab/>
      </w:r>
      <w:r w:rsidRPr="003D1394">
        <w:t>Directive (EU) 2017/1371 of the European Parliament and of the Council of 5 July 2017 on the fight against fraud to the Union's financial interests by means of criminal law (OJ L 198, 28.7.2017, p. 29–41)</w:t>
      </w:r>
    </w:p>
  </w:footnote>
  <w:footnote w:id="11">
    <w:p w:rsidR="00DC7E8B" w:rsidRPr="00313012" w:rsidRDefault="00DC7E8B" w:rsidP="00E754DF">
      <w:pPr>
        <w:pStyle w:val="FootnoteText"/>
      </w:pPr>
      <w:r>
        <w:rPr>
          <w:rStyle w:val="FootnoteReference"/>
        </w:rPr>
        <w:footnoteRef/>
      </w:r>
      <w:r>
        <w:t xml:space="preserve"> </w:t>
      </w:r>
      <w:r>
        <w:tab/>
      </w:r>
      <w:r w:rsidRPr="00313012">
        <w:t xml:space="preserve">See </w:t>
      </w:r>
      <w:hyperlink r:id="rId3" w:anchor="page=28&amp;zoom=100,0,0" w:history="1">
        <w:r w:rsidRPr="00313012">
          <w:rPr>
            <w:rStyle w:val="Hyperlink"/>
          </w:rPr>
          <w:t>section 5.1 of the 2021 PIF Report</w:t>
        </w:r>
      </w:hyperlink>
      <w:r>
        <w:t>.</w:t>
      </w:r>
    </w:p>
  </w:footnote>
  <w:footnote w:id="12">
    <w:p w:rsidR="00DC7E8B" w:rsidRPr="00403CC9" w:rsidRDefault="00DC7E8B">
      <w:pPr>
        <w:pStyle w:val="FootnoteText"/>
      </w:pPr>
      <w:r>
        <w:rPr>
          <w:rStyle w:val="FootnoteReference"/>
        </w:rPr>
        <w:footnoteRef/>
      </w:r>
      <w:r>
        <w:t xml:space="preserve"> </w:t>
      </w:r>
      <w:r w:rsidRPr="00403CC9">
        <w:tab/>
        <w:t>A</w:t>
      </w:r>
      <w:r>
        <w:t xml:space="preserve">s </w:t>
      </w:r>
      <w:r w:rsidRPr="00403CC9">
        <w:t xml:space="preserve">of </w:t>
      </w:r>
      <w:r>
        <w:t>10</w:t>
      </w:r>
      <w:r w:rsidRPr="00403CC9">
        <w:t xml:space="preserve"> J</w:t>
      </w:r>
      <w:r>
        <w:t xml:space="preserve">une 2023, the Commission </w:t>
      </w:r>
      <w:r w:rsidRPr="001021FB">
        <w:t xml:space="preserve">opened infringement proceedings against 20 Member States for incorrect transposition of the Directive. Of these 20 proceedings, two have been opened </w:t>
      </w:r>
      <w:r>
        <w:t>in 2023</w:t>
      </w:r>
      <w:r w:rsidRPr="001021FB">
        <w:t xml:space="preserve"> (Bulgaria and Poland), </w:t>
      </w:r>
      <w:r>
        <w:t>one has</w:t>
      </w:r>
      <w:r w:rsidRPr="001021FB">
        <w:t xml:space="preserve"> been closed (Czech</w:t>
      </w:r>
      <w:r>
        <w:t>ia</w:t>
      </w:r>
      <w:r w:rsidRPr="001021FB">
        <w:t>) and, in another</w:t>
      </w:r>
      <w:r>
        <w:t xml:space="preserve"> case</w:t>
      </w:r>
      <w:r w:rsidRPr="001021FB">
        <w:t xml:space="preserve"> (Finland), the Commission decided to send a reasoned opinion. For the remaining 16 </w:t>
      </w:r>
      <w:r>
        <w:t>(</w:t>
      </w:r>
      <w:r w:rsidRPr="001021FB">
        <w:t>Belgium, Cyprus, Estonia, Greece, Spain, Croatia, Hungary, Luxembourg, Latvia, Malta, The Netherlands, Portugal, Romania, Sweden, Slovenia and Slovakia</w:t>
      </w:r>
      <w:r>
        <w:t>)</w:t>
      </w:r>
      <w:r w:rsidRPr="001021FB">
        <w:t xml:space="preserve">, the Commission is in the process of assessing the replies to the letters of formal notice it </w:t>
      </w:r>
      <w:r>
        <w:t xml:space="preserve">has </w:t>
      </w:r>
      <w:r w:rsidRPr="001021FB">
        <w:t>received from the Member States.</w:t>
      </w:r>
    </w:p>
  </w:footnote>
  <w:footnote w:id="13">
    <w:p w:rsidR="00DC7E8B" w:rsidRPr="003915BD" w:rsidRDefault="00DC7E8B" w:rsidP="00E754DF">
      <w:pPr>
        <w:pStyle w:val="FootnoteText"/>
      </w:pPr>
      <w:r>
        <w:rPr>
          <w:rStyle w:val="FootnoteReference"/>
        </w:rPr>
        <w:footnoteRef/>
      </w:r>
      <w:r>
        <w:t xml:space="preserve"> </w:t>
      </w:r>
      <w:r>
        <w:tab/>
        <w:t xml:space="preserve">Procedure file </w:t>
      </w:r>
      <w:hyperlink r:id="rId4" w:history="1">
        <w:r w:rsidRPr="005A7C9D">
          <w:rPr>
            <w:rStyle w:val="Hyperlink"/>
          </w:rPr>
          <w:t>2022/2152(INI)</w:t>
        </w:r>
      </w:hyperlink>
    </w:p>
  </w:footnote>
  <w:footnote w:id="14">
    <w:p w:rsidR="00DC7E8B" w:rsidRPr="004914C1" w:rsidRDefault="00DC7E8B" w:rsidP="008F6819">
      <w:pPr>
        <w:pStyle w:val="FootnoteText"/>
      </w:pPr>
      <w:r>
        <w:rPr>
          <w:rStyle w:val="FootnoteReference"/>
        </w:rPr>
        <w:footnoteRef/>
      </w:r>
      <w:r>
        <w:t xml:space="preserve"> </w:t>
      </w:r>
      <w:r>
        <w:tab/>
      </w:r>
      <w:r w:rsidRPr="003D1394">
        <w:t>Directive (EU) 2018/843 of the European Parliament and of the Council of 30 May 2018 amending Directive (EU) 2015/849 on the prevention of the use of the financial system for the purposes of money laundering or terrorist financing, and amending Directives 2009/138/EC and 2013/36/EU (OJ L 156, 19.6.2018, p. 43–74)</w:t>
      </w:r>
    </w:p>
  </w:footnote>
  <w:footnote w:id="15">
    <w:p w:rsidR="00DC7E8B" w:rsidRPr="004914C1" w:rsidRDefault="00DC7E8B" w:rsidP="008F6819">
      <w:pPr>
        <w:pStyle w:val="FootnoteText"/>
      </w:pPr>
      <w:r>
        <w:rPr>
          <w:rStyle w:val="FootnoteReference"/>
        </w:rPr>
        <w:footnoteRef/>
      </w:r>
      <w:r>
        <w:t xml:space="preserve"> </w:t>
      </w:r>
      <w:r>
        <w:tab/>
      </w:r>
      <w:r w:rsidRPr="003D1394">
        <w:t>Directive (EU) 2019/1937 of the European Parliament and of  the Council of 23 October 2019 on the protection of persons who report breaches of Union law (OJ L 305 26.11.2019, p. 17)</w:t>
      </w:r>
    </w:p>
  </w:footnote>
  <w:footnote w:id="16">
    <w:p w:rsidR="00DC7E8B" w:rsidRPr="00000445" w:rsidRDefault="00DC7E8B" w:rsidP="008F6819">
      <w:pPr>
        <w:pStyle w:val="FootnoteText"/>
      </w:pPr>
      <w:r>
        <w:rPr>
          <w:rStyle w:val="FootnoteReference"/>
        </w:rPr>
        <w:footnoteRef/>
      </w:r>
      <w:r>
        <w:t xml:space="preserve"> </w:t>
      </w:r>
      <w:r>
        <w:tab/>
        <w:t>See section 2.1.</w:t>
      </w:r>
    </w:p>
  </w:footnote>
  <w:footnote w:id="17">
    <w:p w:rsidR="00DC7E8B" w:rsidRPr="00000445" w:rsidRDefault="00DC7E8B" w:rsidP="008F6819">
      <w:pPr>
        <w:pStyle w:val="FootnoteText"/>
      </w:pPr>
      <w:r>
        <w:rPr>
          <w:rStyle w:val="FootnoteReference"/>
        </w:rPr>
        <w:footnoteRef/>
      </w:r>
      <w:r>
        <w:t xml:space="preserve"> </w:t>
      </w:r>
      <w:r>
        <w:tab/>
        <w:t>State of the Union address on 14 September 2022.</w:t>
      </w:r>
    </w:p>
  </w:footnote>
  <w:footnote w:id="18">
    <w:p w:rsidR="00DC7E8B" w:rsidRPr="00000445" w:rsidRDefault="00DC7E8B" w:rsidP="008F6819">
      <w:pPr>
        <w:pStyle w:val="FootnoteText"/>
      </w:pPr>
      <w:r>
        <w:rPr>
          <w:rStyle w:val="FootnoteReference"/>
        </w:rPr>
        <w:footnoteRef/>
      </w:r>
      <w:r>
        <w:t xml:space="preserve"> </w:t>
      </w:r>
      <w:r>
        <w:tab/>
        <w:t>3 May 2023.</w:t>
      </w:r>
    </w:p>
  </w:footnote>
  <w:footnote w:id="19">
    <w:p w:rsidR="00DC7E8B" w:rsidRPr="001775C8" w:rsidRDefault="00DC7E8B">
      <w:pPr>
        <w:pStyle w:val="FootnoteText"/>
      </w:pPr>
      <w:r>
        <w:rPr>
          <w:rStyle w:val="FootnoteReference"/>
        </w:rPr>
        <w:footnoteRef/>
      </w:r>
      <w:r>
        <w:t xml:space="preserve"> </w:t>
      </w:r>
      <w:r>
        <w:tab/>
        <w:t>COM(2023)311 final of 8 June 2023.</w:t>
      </w:r>
    </w:p>
  </w:footnote>
  <w:footnote w:id="20">
    <w:p w:rsidR="00DC7E8B" w:rsidRPr="000D799D" w:rsidRDefault="00DC7E8B" w:rsidP="008F6819">
      <w:pPr>
        <w:pStyle w:val="FootnoteText"/>
      </w:pPr>
      <w:r>
        <w:rPr>
          <w:rStyle w:val="FootnoteReference"/>
        </w:rPr>
        <w:footnoteRef/>
      </w:r>
      <w:r>
        <w:t xml:space="preserve"> </w:t>
      </w:r>
      <w:r>
        <w:tab/>
        <w:t>More information in the Commission’s official reply to the European Parliament.</w:t>
      </w:r>
    </w:p>
  </w:footnote>
  <w:footnote w:id="21">
    <w:p w:rsidR="00DC7E8B" w:rsidRPr="0093150A" w:rsidRDefault="00DC7E8B">
      <w:pPr>
        <w:pStyle w:val="FootnoteText"/>
      </w:pPr>
      <w:r>
        <w:rPr>
          <w:rStyle w:val="FootnoteReference"/>
        </w:rPr>
        <w:footnoteRef/>
      </w:r>
      <w:r>
        <w:t xml:space="preserve"> </w:t>
      </w:r>
      <w:r>
        <w:tab/>
      </w:r>
      <w:r w:rsidRPr="0093150A">
        <w:t>Australia, Indonesia, India, and UK in respect of Gibraltar</w:t>
      </w:r>
      <w:r>
        <w:t>.</w:t>
      </w:r>
    </w:p>
  </w:footnote>
  <w:footnote w:id="22">
    <w:p w:rsidR="00DC7E8B" w:rsidRPr="00330F5D" w:rsidRDefault="00DC7E8B" w:rsidP="00764F61">
      <w:pPr>
        <w:pStyle w:val="FootnoteText"/>
        <w:rPr>
          <w:lang w:val="en-IE"/>
        </w:rPr>
      </w:pPr>
      <w:r>
        <w:rPr>
          <w:rStyle w:val="FootnoteReference"/>
        </w:rPr>
        <w:footnoteRef/>
      </w:r>
      <w:r>
        <w:tab/>
      </w:r>
      <w:r w:rsidRPr="00836F27">
        <w:t>https://finance.ec.europa.eu/financial-crime/eu-context-anti-money-laundering-and-co</w:t>
      </w:r>
      <w:r>
        <w:t>untering-financing-terrorism_en</w:t>
      </w:r>
      <w:r w:rsidRPr="00836F27">
        <w:t>. At the moment of the preparation of this report all Member States have reported full transposition of the fifth anti-money laundering directive (EU Directive 2018/843) on the prevention of the use of the financial system for the purposes of money laundering or terrorist financing.</w:t>
      </w:r>
    </w:p>
  </w:footnote>
  <w:footnote w:id="23">
    <w:p w:rsidR="00DC7E8B" w:rsidRPr="007C1283" w:rsidRDefault="00DC7E8B" w:rsidP="002D3866">
      <w:pPr>
        <w:pStyle w:val="FootnoteText"/>
      </w:pPr>
      <w:r>
        <w:rPr>
          <w:rStyle w:val="FootnoteReference"/>
        </w:rPr>
        <w:footnoteRef/>
      </w:r>
      <w:r>
        <w:t xml:space="preserve"> </w:t>
      </w:r>
      <w:r>
        <w:tab/>
        <w:t>The information was gathered via a dedicated questionnaire. See the document ‘Measures adopted by the Member States to implement Article 325 TFEU’ accompanying this report.</w:t>
      </w:r>
    </w:p>
  </w:footnote>
  <w:footnote w:id="24">
    <w:p w:rsidR="00DC7E8B" w:rsidRPr="003037ED" w:rsidRDefault="00DC7E8B">
      <w:pPr>
        <w:pStyle w:val="FootnoteText"/>
      </w:pPr>
      <w:r>
        <w:rPr>
          <w:rStyle w:val="FootnoteReference"/>
        </w:rPr>
        <w:footnoteRef/>
      </w:r>
      <w:r>
        <w:t xml:space="preserve"> </w:t>
      </w:r>
      <w:r w:rsidRPr="003037ED">
        <w:tab/>
        <w:t xml:space="preserve">Germany’s approach, based on regional and sectoral strategies, covers cohesion, RRF, and other fields. Cyprus and Sweden </w:t>
      </w:r>
      <w:r>
        <w:t>have</w:t>
      </w:r>
      <w:r w:rsidRPr="003037ED">
        <w:t xml:space="preserve"> an anti-corruption strategy also covering the EU’s financial interests, while Slovenia has drawn up a specific strategy for RRF</w:t>
      </w:r>
      <w:r>
        <w:t>.</w:t>
      </w:r>
    </w:p>
  </w:footnote>
  <w:footnote w:id="25">
    <w:p w:rsidR="00DC7E8B" w:rsidRPr="003037ED" w:rsidRDefault="00DC7E8B">
      <w:pPr>
        <w:pStyle w:val="FootnoteText"/>
      </w:pPr>
      <w:r>
        <w:rPr>
          <w:rStyle w:val="FootnoteReference"/>
        </w:rPr>
        <w:footnoteRef/>
      </w:r>
      <w:r>
        <w:t xml:space="preserve"> </w:t>
      </w:r>
      <w:r w:rsidRPr="00A77AB8">
        <w:tab/>
      </w:r>
      <w:r>
        <w:t xml:space="preserve">The PIF measures adopted by the Member States have been reported by them on the basis of a dedicated survey. Measures based on a single ‘act’ are referred to as ‘single measures’ to distinguish them from those implemented on the basis of a package of different acts (legal or administrative) or policy initiatives. </w:t>
      </w:r>
      <w:r w:rsidRPr="00A77AB8">
        <w:t xml:space="preserve">For a complete overview </w:t>
      </w:r>
      <w:r>
        <w:t xml:space="preserve">and detailed description </w:t>
      </w:r>
      <w:r w:rsidRPr="00A77AB8">
        <w:t xml:space="preserve">of the </w:t>
      </w:r>
      <w:r>
        <w:t>measures summarised in this section, see ‘Measures adopted by the Member States to protect the EU’s financial interests in 2022’ accompanying this report.</w:t>
      </w:r>
    </w:p>
  </w:footnote>
  <w:footnote w:id="26">
    <w:p w:rsidR="00DC7E8B" w:rsidRPr="0076511B" w:rsidRDefault="00DC7E8B">
      <w:pPr>
        <w:pStyle w:val="FootnoteText"/>
      </w:pPr>
      <w:r>
        <w:rPr>
          <w:rStyle w:val="FootnoteReference"/>
        </w:rPr>
        <w:footnoteRef/>
      </w:r>
      <w:r>
        <w:t xml:space="preserve"> </w:t>
      </w:r>
      <w:r w:rsidRPr="007E1ED5">
        <w:tab/>
      </w:r>
      <w:r w:rsidRPr="00A77AB8">
        <w:t xml:space="preserve">For a complete overview </w:t>
      </w:r>
      <w:r>
        <w:t xml:space="preserve">and detailed description </w:t>
      </w:r>
      <w:r w:rsidRPr="00A77AB8">
        <w:t xml:space="preserve">of the </w:t>
      </w:r>
      <w:r>
        <w:t>follow-up actions summarised in this section, see ‘Implementation of the 2021 recommendations by the Member States’ accompanying this report.</w:t>
      </w:r>
    </w:p>
  </w:footnote>
  <w:footnote w:id="27">
    <w:p w:rsidR="00DC7E8B" w:rsidRPr="00A64EE8" w:rsidRDefault="00DC7E8B">
      <w:pPr>
        <w:pStyle w:val="FootnoteText"/>
      </w:pPr>
      <w:r>
        <w:rPr>
          <w:rStyle w:val="FootnoteReference"/>
        </w:rPr>
        <w:footnoteRef/>
      </w:r>
      <w:r>
        <w:t xml:space="preserve"> </w:t>
      </w:r>
      <w:r>
        <w:tab/>
      </w:r>
      <w:r w:rsidRPr="00A64EE8">
        <w:t>C(2018)3293 final</w:t>
      </w:r>
      <w:r>
        <w:t>.</w:t>
      </w:r>
    </w:p>
  </w:footnote>
  <w:footnote w:id="28">
    <w:p w:rsidR="00DC7E8B" w:rsidRPr="0076511B" w:rsidRDefault="00DC7E8B">
      <w:pPr>
        <w:pStyle w:val="FootnoteText"/>
      </w:pPr>
      <w:r>
        <w:rPr>
          <w:rStyle w:val="FootnoteReference"/>
        </w:rPr>
        <w:footnoteRef/>
      </w:r>
      <w:r>
        <w:t xml:space="preserve"> </w:t>
      </w:r>
      <w:r>
        <w:tab/>
        <w:t>Bulgaria, Cyprus, Malta and Slovakia.</w:t>
      </w:r>
    </w:p>
  </w:footnote>
  <w:footnote w:id="29">
    <w:p w:rsidR="00DC7E8B" w:rsidRPr="00796011" w:rsidRDefault="00DC7E8B" w:rsidP="00EA6E77">
      <w:pPr>
        <w:pStyle w:val="FootnoteText"/>
      </w:pPr>
      <w:r>
        <w:rPr>
          <w:rStyle w:val="FootnoteReference"/>
        </w:rPr>
        <w:footnoteRef/>
      </w:r>
      <w:r>
        <w:t xml:space="preserve"> </w:t>
      </w:r>
      <w:r>
        <w:tab/>
      </w:r>
      <w:r w:rsidRPr="00796011">
        <w:t>These data are extracted from t</w:t>
      </w:r>
      <w:r>
        <w:t>he Commission’s accounting system ABAC.</w:t>
      </w:r>
    </w:p>
  </w:footnote>
  <w:footnote w:id="30">
    <w:p w:rsidR="00DC7E8B" w:rsidRPr="00796011" w:rsidRDefault="00DC7E8B" w:rsidP="00EA6E77">
      <w:pPr>
        <w:pStyle w:val="FootnoteText"/>
      </w:pPr>
      <w:r>
        <w:rPr>
          <w:rStyle w:val="FootnoteReference"/>
        </w:rPr>
        <w:footnoteRef/>
      </w:r>
      <w:r>
        <w:t xml:space="preserve"> </w:t>
      </w:r>
      <w:r>
        <w:tab/>
        <w:t>See sections 4.1.1 and 4.1.2 respectively, whose information is extracted from their own reports.</w:t>
      </w:r>
      <w:r w:rsidRPr="00796011">
        <w:t xml:space="preserve"> </w:t>
      </w:r>
      <w:r>
        <w:t xml:space="preserve">OLAF’s report for 2022 is available </w:t>
      </w:r>
      <w:hyperlink r:id="rId5" w:history="1">
        <w:r w:rsidRPr="00E7277B">
          <w:rPr>
            <w:rStyle w:val="Hyperlink"/>
          </w:rPr>
          <w:t>here</w:t>
        </w:r>
      </w:hyperlink>
      <w:r>
        <w:t xml:space="preserve">. </w:t>
      </w:r>
      <w:r w:rsidRPr="00796011">
        <w:t xml:space="preserve">The EPPO’s annual report </w:t>
      </w:r>
      <w:r>
        <w:t xml:space="preserve">for 2022 is available </w:t>
      </w:r>
      <w:hyperlink r:id="rId6" w:history="1">
        <w:r w:rsidRPr="00796011">
          <w:rPr>
            <w:rStyle w:val="Hyperlink"/>
          </w:rPr>
          <w:t>here</w:t>
        </w:r>
      </w:hyperlink>
      <w:r>
        <w:t xml:space="preserve">. </w:t>
      </w:r>
    </w:p>
  </w:footnote>
  <w:footnote w:id="31">
    <w:p w:rsidR="00DC7E8B" w:rsidRPr="003B62AF" w:rsidRDefault="00DC7E8B" w:rsidP="00EA6E77">
      <w:pPr>
        <w:pStyle w:val="FootnoteText"/>
      </w:pPr>
      <w:r>
        <w:rPr>
          <w:rStyle w:val="FootnoteReference"/>
        </w:rPr>
        <w:footnoteRef/>
      </w:r>
      <w:r>
        <w:t xml:space="preserve"> </w:t>
      </w:r>
      <w:r>
        <w:tab/>
      </w:r>
      <w:r w:rsidRPr="003B62AF">
        <w:t xml:space="preserve">This amount </w:t>
      </w:r>
      <w:r>
        <w:t xml:space="preserve">significantly </w:t>
      </w:r>
      <w:r w:rsidRPr="003B62AF">
        <w:t>corrects the one p</w:t>
      </w:r>
      <w:r>
        <w:t>ublished in the 2021 PIF Report (of EUR 1.83) following some reporting mistakes linked to the incorrect use of national currencies rather than EUR.</w:t>
      </w:r>
    </w:p>
  </w:footnote>
  <w:footnote w:id="32">
    <w:p w:rsidR="00DC7E8B" w:rsidRPr="008B6A7C" w:rsidRDefault="00DC7E8B" w:rsidP="006027D7">
      <w:pPr>
        <w:pStyle w:val="FootnoteText"/>
      </w:pPr>
      <w:r>
        <w:rPr>
          <w:rStyle w:val="FootnoteReference"/>
        </w:rPr>
        <w:footnoteRef/>
      </w:r>
      <w:r>
        <w:t xml:space="preserve"> </w:t>
      </w:r>
      <w:r>
        <w:tab/>
        <w:t>The estimated total damage is calculated on the basis of the values taken into account while investigations are still ongoing. The data reported in this section is included in the EPPO annual report 2022.</w:t>
      </w:r>
    </w:p>
  </w:footnote>
  <w:footnote w:id="33">
    <w:p w:rsidR="00DC7E8B" w:rsidRPr="00D726D9" w:rsidRDefault="00DC7E8B" w:rsidP="006620F9">
      <w:pPr>
        <w:pStyle w:val="FootnoteText"/>
      </w:pPr>
      <w:r>
        <w:rPr>
          <w:rStyle w:val="FootnoteReference"/>
        </w:rPr>
        <w:footnoteRef/>
      </w:r>
      <w:r>
        <w:t xml:space="preserve"> </w:t>
      </w:r>
      <w:r>
        <w:tab/>
        <w:t>VAT fraud is n</w:t>
      </w:r>
      <w:r w:rsidRPr="00D726D9">
        <w:t>o</w:t>
      </w:r>
      <w:r>
        <w:t>t taken into consideration in this report.</w:t>
      </w:r>
    </w:p>
  </w:footnote>
  <w:footnote w:id="34">
    <w:p w:rsidR="00DC7E8B" w:rsidRPr="00B1788C" w:rsidRDefault="00DC7E8B">
      <w:pPr>
        <w:pStyle w:val="FootnoteText"/>
      </w:pPr>
      <w:r>
        <w:rPr>
          <w:rStyle w:val="FootnoteReference"/>
        </w:rPr>
        <w:footnoteRef/>
      </w:r>
      <w:r>
        <w:t xml:space="preserve"> </w:t>
      </w:r>
      <w:r>
        <w:tab/>
        <w:t>For a detailed analysis of irregularities reported by the Member States in relation to TOR, see ‘Statistical evaluation of irregularities reported for own resources, natural resources, cohesion policy, pre-accession assistance and direct expenditure in 2022’ accompanying this report, section 2.</w:t>
      </w:r>
    </w:p>
  </w:footnote>
  <w:footnote w:id="35">
    <w:p w:rsidR="00DC7E8B" w:rsidRPr="00767AAD" w:rsidRDefault="00DC7E8B" w:rsidP="006620F9">
      <w:pPr>
        <w:pStyle w:val="FootnoteText"/>
      </w:pPr>
      <w:r>
        <w:rPr>
          <w:rStyle w:val="FootnoteReference"/>
        </w:rPr>
        <w:footnoteRef/>
      </w:r>
      <w:r>
        <w:t xml:space="preserve"> </w:t>
      </w:r>
      <w:r>
        <w:tab/>
      </w:r>
      <w:r w:rsidRPr="00767AAD">
        <w:t>In 2022, the total amount was significantly affected by four big cases of non-fraudulent irregularities which were reported in Belgium (EUR 305 million).</w:t>
      </w:r>
    </w:p>
  </w:footnote>
  <w:footnote w:id="36">
    <w:p w:rsidR="00DC7E8B" w:rsidRPr="00B17554" w:rsidRDefault="00DC7E8B" w:rsidP="006620F9">
      <w:pPr>
        <w:pStyle w:val="FootnoteText"/>
        <w:rPr>
          <w:lang w:val="it-IT"/>
        </w:rPr>
      </w:pPr>
      <w:r>
        <w:rPr>
          <w:rStyle w:val="FootnoteReference"/>
        </w:rPr>
        <w:footnoteRef/>
      </w:r>
      <w:r w:rsidRPr="00B17554">
        <w:rPr>
          <w:lang w:val="it-IT"/>
        </w:rPr>
        <w:t xml:space="preserve"> </w:t>
      </w:r>
      <w:r>
        <w:rPr>
          <w:lang w:val="it-IT"/>
        </w:rPr>
        <w:tab/>
      </w:r>
      <w:r w:rsidRPr="00B17554">
        <w:rPr>
          <w:lang w:val="it-IT"/>
        </w:rPr>
        <w:t>Belgium, Bulgaria, Germany, Estonia, Greece, France, Latvia, Lithuania, Poland</w:t>
      </w:r>
      <w:r>
        <w:rPr>
          <w:lang w:val="it-IT"/>
        </w:rPr>
        <w:t xml:space="preserve"> and</w:t>
      </w:r>
      <w:r w:rsidRPr="00B17554">
        <w:rPr>
          <w:lang w:val="it-IT"/>
        </w:rPr>
        <w:t xml:space="preserve"> Romania</w:t>
      </w:r>
      <w:r>
        <w:rPr>
          <w:lang w:val="it-IT"/>
        </w:rPr>
        <w:t>.</w:t>
      </w:r>
    </w:p>
  </w:footnote>
  <w:footnote w:id="37">
    <w:p w:rsidR="00DC7E8B" w:rsidRPr="00B17554" w:rsidRDefault="00DC7E8B" w:rsidP="006620F9">
      <w:pPr>
        <w:pStyle w:val="FootnoteText"/>
      </w:pPr>
      <w:r>
        <w:rPr>
          <w:rStyle w:val="FootnoteReference"/>
        </w:rPr>
        <w:footnoteRef/>
      </w:r>
      <w:r>
        <w:t xml:space="preserve"> </w:t>
      </w:r>
      <w:r>
        <w:tab/>
        <w:t>Spain, Croatia, Austria and</w:t>
      </w:r>
      <w:r w:rsidRPr="00767AAD">
        <w:t xml:space="preserve"> Portugal</w:t>
      </w:r>
      <w:r>
        <w:t>.</w:t>
      </w:r>
    </w:p>
  </w:footnote>
  <w:footnote w:id="38">
    <w:p w:rsidR="00DC7E8B" w:rsidRPr="0093150A" w:rsidRDefault="00DC7E8B">
      <w:pPr>
        <w:pStyle w:val="FootnoteText"/>
      </w:pPr>
      <w:r>
        <w:rPr>
          <w:rStyle w:val="FootnoteReference"/>
        </w:rPr>
        <w:footnoteRef/>
      </w:r>
      <w:r>
        <w:t xml:space="preserve"> </w:t>
      </w:r>
      <w:r>
        <w:tab/>
        <w:t xml:space="preserve">See OLAF Annual Report 2022, </w:t>
      </w:r>
      <w:hyperlink r:id="rId7" w:history="1">
        <w:r w:rsidRPr="00541DE6">
          <w:rPr>
            <w:rStyle w:val="Hyperlink"/>
          </w:rPr>
          <w:t>https://ec.europa.eu/olaf-report/2022/investigative-activities/protecting-eu-revenue/conducting-joint-customs-operations_en.html</w:t>
        </w:r>
      </w:hyperlink>
    </w:p>
  </w:footnote>
  <w:footnote w:id="39">
    <w:p w:rsidR="00DC7E8B" w:rsidRPr="00090FE0" w:rsidRDefault="00DC7E8B">
      <w:pPr>
        <w:pStyle w:val="FootnoteText"/>
      </w:pPr>
      <w:r>
        <w:rPr>
          <w:rStyle w:val="FootnoteReference"/>
        </w:rPr>
        <w:footnoteRef/>
      </w:r>
      <w:r>
        <w:t xml:space="preserve"> </w:t>
      </w:r>
      <w:r>
        <w:tab/>
        <w:t>For a detailed analysis of irregularities reported by the Member States in relation to agriculture, see ‘Statistical evaluation of irregularities reported for own resources, natural resources, cohesion policy, pre-accession assistance and direct expenditure in 2022’ accompanying this report, section 3.</w:t>
      </w:r>
    </w:p>
  </w:footnote>
  <w:footnote w:id="40">
    <w:p w:rsidR="00DC7E8B" w:rsidRPr="00090FE0" w:rsidRDefault="00DC7E8B">
      <w:pPr>
        <w:pStyle w:val="FootnoteText"/>
      </w:pPr>
      <w:r>
        <w:rPr>
          <w:rStyle w:val="FootnoteReference"/>
        </w:rPr>
        <w:footnoteRef/>
      </w:r>
      <w:r>
        <w:t xml:space="preserve"> </w:t>
      </w:r>
      <w:r>
        <w:tab/>
        <w:t>The Fraud Detection Rate (FDR) is calculated as the percentage of financial irregular amounts linked to fraudulent irregularities on the total payments. The Irregularity Detection Rate (IDR) is calculated as the percentage of financial irregular amounts linked to non-fraudulent irregularities on the total payments.</w:t>
      </w:r>
    </w:p>
  </w:footnote>
  <w:footnote w:id="41">
    <w:p w:rsidR="00DC7E8B" w:rsidRPr="00090FE0" w:rsidRDefault="00DC7E8B">
      <w:pPr>
        <w:pStyle w:val="FootnoteText"/>
      </w:pPr>
      <w:r>
        <w:rPr>
          <w:rStyle w:val="FootnoteReference"/>
        </w:rPr>
        <w:footnoteRef/>
      </w:r>
      <w:r>
        <w:t xml:space="preserve"> </w:t>
      </w:r>
      <w:r>
        <w:tab/>
        <w:t>For a detailed analysis of irregularities reported by the Member States in relation to the cohesion policy, see ‘Statistical evaluation of irregularities reported for own resources, natural resources, cohesion policy, pre-accession assistance and direct expenditure in 2022’ accompanying this report, section 4.</w:t>
      </w:r>
    </w:p>
  </w:footnote>
  <w:footnote w:id="42">
    <w:p w:rsidR="00DC7E8B" w:rsidRPr="00F60565" w:rsidRDefault="00DC7E8B" w:rsidP="00242D48">
      <w:pPr>
        <w:pStyle w:val="FootnoteText"/>
      </w:pPr>
      <w:r>
        <w:rPr>
          <w:rStyle w:val="FootnoteReference"/>
        </w:rPr>
        <w:footnoteRef/>
      </w:r>
      <w:r>
        <w:t xml:space="preserve"> </w:t>
      </w:r>
      <w:r>
        <w:tab/>
      </w:r>
      <w:r w:rsidRPr="00F60565">
        <w:t>An in-depth analysis of t</w:t>
      </w:r>
      <w:r>
        <w:t xml:space="preserve">his trend was published in the </w:t>
      </w:r>
      <w:hyperlink r:id="rId8" w:history="1">
        <w:r w:rsidRPr="00F60565">
          <w:rPr>
            <w:rStyle w:val="Hyperlink"/>
          </w:rPr>
          <w:t>2021 PIF Report</w:t>
        </w:r>
      </w:hyperlink>
      <w:r>
        <w:t>, snapshot 17, page 38.</w:t>
      </w:r>
    </w:p>
  </w:footnote>
  <w:footnote w:id="43">
    <w:p w:rsidR="00DC7E8B" w:rsidRPr="00090FE0" w:rsidRDefault="00DC7E8B">
      <w:pPr>
        <w:pStyle w:val="FootnoteText"/>
      </w:pPr>
      <w:r>
        <w:rPr>
          <w:rStyle w:val="FootnoteReference"/>
        </w:rPr>
        <w:footnoteRef/>
      </w:r>
      <w:r>
        <w:t xml:space="preserve"> </w:t>
      </w:r>
      <w:r>
        <w:tab/>
        <w:t>For the definition of IDR and FDR see footnote 40.</w:t>
      </w:r>
    </w:p>
  </w:footnote>
  <w:footnote w:id="44">
    <w:p w:rsidR="00DC7E8B" w:rsidRPr="00090FE0" w:rsidRDefault="00DC7E8B">
      <w:pPr>
        <w:pStyle w:val="FootnoteText"/>
        <w:rPr>
          <w:lang w:val="en-IE"/>
        </w:rPr>
      </w:pPr>
      <w:r>
        <w:rPr>
          <w:rStyle w:val="FootnoteReference"/>
        </w:rPr>
        <w:footnoteRef/>
      </w:r>
      <w:r>
        <w:t xml:space="preserve"> </w:t>
      </w:r>
      <w:r w:rsidRPr="00C2785F">
        <w:tab/>
      </w:r>
      <w:r>
        <w:t>For a detailed analysis of irregularities reported by the Member States in relation to pre-accession and direct management, see ‘Statistical evaluation of irregularities reported for own resources, natural resources, cohesion policy, pre-accession assistance and direct expenditure in 2022’ accompanying this report, sections 5 and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C6" w:rsidRPr="001360C6" w:rsidRDefault="001360C6" w:rsidP="00136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C6" w:rsidRPr="001360C6" w:rsidRDefault="001360C6" w:rsidP="001360C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C6" w:rsidRPr="001360C6" w:rsidRDefault="001360C6" w:rsidP="001360C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C6" w:rsidRDefault="00136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C6" w:rsidRDefault="001360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C6" w:rsidRDefault="001360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8B" w:rsidRDefault="00DC7E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8B" w:rsidRDefault="00DC7E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8B" w:rsidRDefault="00DC7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FEC1A4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A82E70A8"/>
    <w:lvl w:ilvl="0">
      <w:start w:val="1"/>
      <w:numFmt w:val="decimal"/>
      <w:pStyle w:val="ListNumber2"/>
      <w:lvlText w:val="%1."/>
      <w:lvlJc w:val="left"/>
      <w:pPr>
        <w:tabs>
          <w:tab w:val="num" w:pos="643"/>
        </w:tabs>
        <w:ind w:left="643" w:hanging="360"/>
      </w:pPr>
    </w:lvl>
  </w:abstractNum>
  <w:abstractNum w:abstractNumId="2"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2"/>
    <w:multiLevelType w:val="singleLevel"/>
    <w:tmpl w:val="B53C7698"/>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01602E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BFCCA0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276E86"/>
    <w:multiLevelType w:val="multilevel"/>
    <w:tmpl w:val="8E18D24C"/>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0B7201"/>
    <w:multiLevelType w:val="multilevel"/>
    <w:tmpl w:val="95541ED8"/>
    <w:name w:val="ListNumberNumbering"/>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20B8345"/>
    <w:multiLevelType w:val="multilevel"/>
    <w:tmpl w:val="05B2BA7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2DD4CD3"/>
    <w:multiLevelType w:val="hybridMultilevel"/>
    <w:tmpl w:val="F3D012E6"/>
    <w:lvl w:ilvl="0" w:tplc="08090001">
      <w:start w:val="1"/>
      <w:numFmt w:val="bullet"/>
      <w:lvlText w:val=""/>
      <w:lvlJc w:val="left"/>
      <w:pPr>
        <w:ind w:left="360" w:hanging="360"/>
      </w:pPr>
      <w:rPr>
        <w:rFonts w:ascii="Symbol" w:hAnsi="Symbol" w:hint="default"/>
      </w:rPr>
    </w:lvl>
    <w:lvl w:ilvl="1" w:tplc="58CC190C">
      <w:numFmt w:val="bullet"/>
      <w:lvlText w:val="-"/>
      <w:lvlJc w:val="left"/>
      <w:pPr>
        <w:ind w:left="1440" w:hanging="72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037D98"/>
    <w:multiLevelType w:val="multilevel"/>
    <w:tmpl w:val="95541ED8"/>
    <w:name w:val="ListNumberNumbering2"/>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7C03CDD"/>
    <w:multiLevelType w:val="hybridMultilevel"/>
    <w:tmpl w:val="AC26C5DC"/>
    <w:lvl w:ilvl="0" w:tplc="46020C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6C19EE"/>
    <w:multiLevelType w:val="hybridMultilevel"/>
    <w:tmpl w:val="78E2E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93CE3"/>
    <w:multiLevelType w:val="multilevel"/>
    <w:tmpl w:val="F8BA989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4" w15:restartNumberingAfterBreak="0">
    <w:nsid w:val="2D293CF4"/>
    <w:multiLevelType w:val="multilevel"/>
    <w:tmpl w:val="B5DC329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5" w15:restartNumberingAfterBreak="0">
    <w:nsid w:val="4E1A63DF"/>
    <w:multiLevelType w:val="multilevel"/>
    <w:tmpl w:val="99640B2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982C"/>
    <w:multiLevelType w:val="multilevel"/>
    <w:tmpl w:val="8E18D24C"/>
    <w:name w:val="ListBulletNumbering"/>
    <w:lvl w:ilvl="0">
      <w:start w:val="1"/>
      <w:numFmt w:val="bullet"/>
      <w:lvlText w:val=""/>
      <w:lvlJc w:val="left"/>
      <w:pPr>
        <w:tabs>
          <w:tab w:val="num" w:pos="454"/>
        </w:tabs>
        <w:ind w:left="454" w:hanging="454"/>
      </w:pPr>
      <w:rPr>
        <w:rFonts w:ascii="Symbol" w:hAnsi="Symbol"/>
      </w:rPr>
    </w:lvl>
    <w:lvl w:ilvl="1">
      <w:start w:val="1"/>
      <w:numFmt w:val="bullet"/>
      <w:lvlText w:val=""/>
      <w:lvlJc w:val="left"/>
      <w:pPr>
        <w:tabs>
          <w:tab w:val="num" w:pos="907"/>
        </w:tabs>
        <w:ind w:left="907" w:hanging="453"/>
      </w:pPr>
      <w:rPr>
        <w:rFonts w:ascii="Symbol" w:hAnsi="Symbol"/>
      </w:rPr>
    </w:lvl>
    <w:lvl w:ilvl="2">
      <w:start w:val="1"/>
      <w:numFmt w:val="bullet"/>
      <w:lvlText w:val=""/>
      <w:lvlJc w:val="left"/>
      <w:pPr>
        <w:tabs>
          <w:tab w:val="num" w:pos="1361"/>
        </w:tabs>
        <w:ind w:left="1361" w:hanging="454"/>
      </w:pPr>
      <w:rPr>
        <w:rFonts w:ascii="Symbol" w:hAnsi="Symbol"/>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072619B"/>
    <w:multiLevelType w:val="multilevel"/>
    <w:tmpl w:val="8548BA90"/>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9B52"/>
    <w:multiLevelType w:val="multilevel"/>
    <w:tmpl w:val="A74482D4"/>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58B0DFE"/>
    <w:multiLevelType w:val="hybridMultilevel"/>
    <w:tmpl w:val="B3E4C6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46636F"/>
    <w:multiLevelType w:val="hybridMultilevel"/>
    <w:tmpl w:val="A85E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AE4516"/>
    <w:multiLevelType w:val="hybridMultilevel"/>
    <w:tmpl w:val="6466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5145E"/>
    <w:multiLevelType w:val="multilevel"/>
    <w:tmpl w:val="9608392E"/>
    <w:name w:val="EurolookHeading"/>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2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3"/>
  </w:num>
  <w:num w:numId="2">
    <w:abstractNumId w:val="14"/>
  </w:num>
  <w:num w:numId="3">
    <w:abstractNumId w:val="13"/>
  </w:num>
  <w:num w:numId="4">
    <w:abstractNumId w:val="8"/>
  </w:num>
  <w:num w:numId="5">
    <w:abstractNumId w:val="18"/>
  </w:num>
  <w:num w:numId="6">
    <w:abstractNumId w:val="15"/>
  </w:num>
  <w:num w:numId="7">
    <w:abstractNumId w:val="17"/>
  </w:num>
  <w:num w:numId="8">
    <w:abstractNumId w:val="7"/>
  </w:num>
  <w:num w:numId="9">
    <w:abstractNumId w:val="16"/>
  </w:num>
  <w:num w:numId="10">
    <w:abstractNumId w:val="22"/>
  </w:num>
  <w:num w:numId="11">
    <w:abstractNumId w:val="0"/>
  </w:num>
  <w:num w:numId="12">
    <w:abstractNumId w:val="1"/>
  </w:num>
  <w:num w:numId="13">
    <w:abstractNumId w:val="3"/>
  </w:num>
  <w:num w:numId="14">
    <w:abstractNumId w:val="4"/>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abstractNumId w:val="12"/>
  </w:num>
  <w:num w:numId="18">
    <w:abstractNumId w:val="19"/>
  </w:num>
  <w:num w:numId="19">
    <w:abstractNumId w:val="10"/>
  </w:num>
  <w:num w:numId="20">
    <w:abstractNumId w:val="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20"/>
  </w:num>
  <w:num w:numId="23">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abstractNumId w:val="5"/>
  </w:num>
  <w:num w:numId="25">
    <w:abstractNumId w:val="11"/>
  </w:num>
  <w:num w:numId="26">
    <w:abstractNumId w:val="2"/>
  </w:num>
  <w:num w:numId="27">
    <w:abstractNumId w:val="21"/>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pt-PT" w:vendorID="64" w:dllVersion="6" w:nlCheck="1" w:checkStyle="0"/>
  <w:activeWritingStyle w:appName="MSWord" w:lang="it-IT" w:vendorID="64" w:dllVersion="6" w:nlCheck="1" w:checkStyle="0"/>
  <w:activeWritingStyle w:appName="MSWord" w:lang="en-GB" w:vendorID="64" w:dllVersion="0" w:nlCheck="1" w:checkStyle="0"/>
  <w:activeWritingStyle w:appName="MSWord" w:lang="en-IE"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4E282D2-9BD7-46AE-B622-BFAC5485E549"/>
    <w:docVar w:name="LW_COVERPAGE_TYPE" w:val="1"/>
    <w:docVar w:name="LW_CROSSREFERENCE" w:val="{SWD(2023) 272 final} - {SWD(2023) 273 final} - {SWD(2023) 274 final} - {SWD(2023) 275 final} - {SWD(2023) 276 final}"/>
    <w:docVar w:name="LW_DocType" w:val="EUROLOOK"/>
    <w:docVar w:name="LW_EMISSION" w:val="27.7.2023"/>
    <w:docVar w:name="LW_EMISSION_ISODATE" w:val="2023-07-27"/>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4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34th Annual Report on the protection of the European Union’s financial interests and the fight against fraud – 2022"/>
    <w:docVar w:name="LW_TYPE.DOC.CP" w:val="REPORT FROM THE COMMISSION TO THE COUNCIL AND THE EUROPEAN PARLIAMENT"/>
    <w:docVar w:name="LwApiVersions" w:val="LW4CoDe 1.23.2.0; LW 8.0, Build 20211117"/>
  </w:docVars>
  <w:rsids>
    <w:rsidRoot w:val="0048430C"/>
    <w:rsid w:val="0000055F"/>
    <w:rsid w:val="000005EB"/>
    <w:rsid w:val="00000C60"/>
    <w:rsid w:val="00002D17"/>
    <w:rsid w:val="000114A4"/>
    <w:rsid w:val="00011890"/>
    <w:rsid w:val="000128E2"/>
    <w:rsid w:val="00014908"/>
    <w:rsid w:val="0002001A"/>
    <w:rsid w:val="00020962"/>
    <w:rsid w:val="00021742"/>
    <w:rsid w:val="00026DA3"/>
    <w:rsid w:val="00030F3C"/>
    <w:rsid w:val="00031FC2"/>
    <w:rsid w:val="00034841"/>
    <w:rsid w:val="000424C7"/>
    <w:rsid w:val="00053CB1"/>
    <w:rsid w:val="000579D4"/>
    <w:rsid w:val="00064AA5"/>
    <w:rsid w:val="000662AA"/>
    <w:rsid w:val="00071FAB"/>
    <w:rsid w:val="000721C4"/>
    <w:rsid w:val="00075DEC"/>
    <w:rsid w:val="000810E6"/>
    <w:rsid w:val="000842E0"/>
    <w:rsid w:val="00086DC2"/>
    <w:rsid w:val="00090FE0"/>
    <w:rsid w:val="0009125D"/>
    <w:rsid w:val="00091F1E"/>
    <w:rsid w:val="000949A1"/>
    <w:rsid w:val="000A022B"/>
    <w:rsid w:val="000A2CB4"/>
    <w:rsid w:val="000A2ED7"/>
    <w:rsid w:val="000A6206"/>
    <w:rsid w:val="000A7762"/>
    <w:rsid w:val="000B11A8"/>
    <w:rsid w:val="000B4633"/>
    <w:rsid w:val="000B59B8"/>
    <w:rsid w:val="000B5B91"/>
    <w:rsid w:val="000C3F92"/>
    <w:rsid w:val="000C6DBD"/>
    <w:rsid w:val="000D0271"/>
    <w:rsid w:val="000D3C76"/>
    <w:rsid w:val="000F3137"/>
    <w:rsid w:val="000F48CB"/>
    <w:rsid w:val="000F605C"/>
    <w:rsid w:val="00101327"/>
    <w:rsid w:val="001021FB"/>
    <w:rsid w:val="0010271E"/>
    <w:rsid w:val="00103F7E"/>
    <w:rsid w:val="0010609B"/>
    <w:rsid w:val="001063B3"/>
    <w:rsid w:val="00110F22"/>
    <w:rsid w:val="0011276A"/>
    <w:rsid w:val="001149B4"/>
    <w:rsid w:val="00115776"/>
    <w:rsid w:val="001157CA"/>
    <w:rsid w:val="00117EDE"/>
    <w:rsid w:val="00124D3E"/>
    <w:rsid w:val="00130C18"/>
    <w:rsid w:val="00131B72"/>
    <w:rsid w:val="001360C6"/>
    <w:rsid w:val="00145F43"/>
    <w:rsid w:val="00153135"/>
    <w:rsid w:val="001576E8"/>
    <w:rsid w:val="001623A1"/>
    <w:rsid w:val="00164523"/>
    <w:rsid w:val="00167262"/>
    <w:rsid w:val="00170442"/>
    <w:rsid w:val="001775C8"/>
    <w:rsid w:val="001800D1"/>
    <w:rsid w:val="00190177"/>
    <w:rsid w:val="001950F8"/>
    <w:rsid w:val="001A09DB"/>
    <w:rsid w:val="001A1798"/>
    <w:rsid w:val="001A2746"/>
    <w:rsid w:val="001A3BBE"/>
    <w:rsid w:val="001A58E7"/>
    <w:rsid w:val="001A7AA9"/>
    <w:rsid w:val="001B0643"/>
    <w:rsid w:val="001B1DBF"/>
    <w:rsid w:val="001C1C5A"/>
    <w:rsid w:val="001C50AD"/>
    <w:rsid w:val="001C7027"/>
    <w:rsid w:val="001E18A9"/>
    <w:rsid w:val="001E21E5"/>
    <w:rsid w:val="001E2DAE"/>
    <w:rsid w:val="001E5FDE"/>
    <w:rsid w:val="00200417"/>
    <w:rsid w:val="00202312"/>
    <w:rsid w:val="00206DE6"/>
    <w:rsid w:val="002075BC"/>
    <w:rsid w:val="002118BA"/>
    <w:rsid w:val="00211E8B"/>
    <w:rsid w:val="0021263B"/>
    <w:rsid w:val="002166CE"/>
    <w:rsid w:val="002174DB"/>
    <w:rsid w:val="00221EE2"/>
    <w:rsid w:val="00222841"/>
    <w:rsid w:val="002233B0"/>
    <w:rsid w:val="00225A0C"/>
    <w:rsid w:val="002303B4"/>
    <w:rsid w:val="00233792"/>
    <w:rsid w:val="002369AB"/>
    <w:rsid w:val="00242925"/>
    <w:rsid w:val="00242D48"/>
    <w:rsid w:val="002436C2"/>
    <w:rsid w:val="00250B2C"/>
    <w:rsid w:val="002571D1"/>
    <w:rsid w:val="00257B88"/>
    <w:rsid w:val="00261CD5"/>
    <w:rsid w:val="00262A80"/>
    <w:rsid w:val="002654B3"/>
    <w:rsid w:val="00265D65"/>
    <w:rsid w:val="002662C1"/>
    <w:rsid w:val="002705A4"/>
    <w:rsid w:val="002802EB"/>
    <w:rsid w:val="002829F3"/>
    <w:rsid w:val="00282D64"/>
    <w:rsid w:val="00283EE7"/>
    <w:rsid w:val="00284BC4"/>
    <w:rsid w:val="00285F1D"/>
    <w:rsid w:val="002871C5"/>
    <w:rsid w:val="002923C2"/>
    <w:rsid w:val="00292801"/>
    <w:rsid w:val="00295D72"/>
    <w:rsid w:val="00296A29"/>
    <w:rsid w:val="002A173F"/>
    <w:rsid w:val="002A4350"/>
    <w:rsid w:val="002A44EC"/>
    <w:rsid w:val="002B1B19"/>
    <w:rsid w:val="002C22D6"/>
    <w:rsid w:val="002C508D"/>
    <w:rsid w:val="002D3866"/>
    <w:rsid w:val="002D44B2"/>
    <w:rsid w:val="002D6EFC"/>
    <w:rsid w:val="002D70E1"/>
    <w:rsid w:val="002E36EB"/>
    <w:rsid w:val="002F0397"/>
    <w:rsid w:val="002F0C74"/>
    <w:rsid w:val="002F38C4"/>
    <w:rsid w:val="002F3A1F"/>
    <w:rsid w:val="002F71B1"/>
    <w:rsid w:val="00301BBE"/>
    <w:rsid w:val="003037ED"/>
    <w:rsid w:val="0030472D"/>
    <w:rsid w:val="0030530C"/>
    <w:rsid w:val="00305360"/>
    <w:rsid w:val="00307B43"/>
    <w:rsid w:val="003116B9"/>
    <w:rsid w:val="00311FBC"/>
    <w:rsid w:val="0032188D"/>
    <w:rsid w:val="00322192"/>
    <w:rsid w:val="00324591"/>
    <w:rsid w:val="0032494D"/>
    <w:rsid w:val="00324AAC"/>
    <w:rsid w:val="003304B1"/>
    <w:rsid w:val="00332405"/>
    <w:rsid w:val="003430DC"/>
    <w:rsid w:val="00343467"/>
    <w:rsid w:val="003462B0"/>
    <w:rsid w:val="0035369E"/>
    <w:rsid w:val="003556F9"/>
    <w:rsid w:val="00362AF6"/>
    <w:rsid w:val="00363877"/>
    <w:rsid w:val="00373899"/>
    <w:rsid w:val="00374350"/>
    <w:rsid w:val="0037452E"/>
    <w:rsid w:val="00374AD8"/>
    <w:rsid w:val="00377AB4"/>
    <w:rsid w:val="00377E11"/>
    <w:rsid w:val="003820D0"/>
    <w:rsid w:val="003849B5"/>
    <w:rsid w:val="00387ED0"/>
    <w:rsid w:val="00396C5E"/>
    <w:rsid w:val="003A6490"/>
    <w:rsid w:val="003C05B9"/>
    <w:rsid w:val="003C2425"/>
    <w:rsid w:val="003C2803"/>
    <w:rsid w:val="003D701B"/>
    <w:rsid w:val="00400194"/>
    <w:rsid w:val="00401F3D"/>
    <w:rsid w:val="00402352"/>
    <w:rsid w:val="00403CC9"/>
    <w:rsid w:val="00426647"/>
    <w:rsid w:val="00426FAD"/>
    <w:rsid w:val="00427B23"/>
    <w:rsid w:val="0043307E"/>
    <w:rsid w:val="004357DA"/>
    <w:rsid w:val="00436D20"/>
    <w:rsid w:val="0043798B"/>
    <w:rsid w:val="00440F24"/>
    <w:rsid w:val="00442C1B"/>
    <w:rsid w:val="00452524"/>
    <w:rsid w:val="00452975"/>
    <w:rsid w:val="0045480B"/>
    <w:rsid w:val="004554A9"/>
    <w:rsid w:val="00462E25"/>
    <w:rsid w:val="004635F1"/>
    <w:rsid w:val="00463C7A"/>
    <w:rsid w:val="00467997"/>
    <w:rsid w:val="00467ABB"/>
    <w:rsid w:val="00471E85"/>
    <w:rsid w:val="00476096"/>
    <w:rsid w:val="0048430C"/>
    <w:rsid w:val="004843E8"/>
    <w:rsid w:val="004875B2"/>
    <w:rsid w:val="00490854"/>
    <w:rsid w:val="004A4CBD"/>
    <w:rsid w:val="004A502D"/>
    <w:rsid w:val="004A5098"/>
    <w:rsid w:val="004B091B"/>
    <w:rsid w:val="004C0757"/>
    <w:rsid w:val="004C2A2B"/>
    <w:rsid w:val="004D17E6"/>
    <w:rsid w:val="004D2B33"/>
    <w:rsid w:val="004D2FD4"/>
    <w:rsid w:val="004E2A2E"/>
    <w:rsid w:val="004E36CF"/>
    <w:rsid w:val="004E5323"/>
    <w:rsid w:val="004E724E"/>
    <w:rsid w:val="004F1017"/>
    <w:rsid w:val="004F5047"/>
    <w:rsid w:val="004F60DF"/>
    <w:rsid w:val="004F6F3F"/>
    <w:rsid w:val="005006C4"/>
    <w:rsid w:val="005008E8"/>
    <w:rsid w:val="00500C58"/>
    <w:rsid w:val="0050435C"/>
    <w:rsid w:val="0050564E"/>
    <w:rsid w:val="00505DEA"/>
    <w:rsid w:val="00513355"/>
    <w:rsid w:val="00522C2E"/>
    <w:rsid w:val="005367A9"/>
    <w:rsid w:val="00540CF0"/>
    <w:rsid w:val="00542122"/>
    <w:rsid w:val="005440DB"/>
    <w:rsid w:val="005446A6"/>
    <w:rsid w:val="005467AC"/>
    <w:rsid w:val="00550114"/>
    <w:rsid w:val="0055155F"/>
    <w:rsid w:val="00555EE5"/>
    <w:rsid w:val="005613B3"/>
    <w:rsid w:val="00577F91"/>
    <w:rsid w:val="00586B86"/>
    <w:rsid w:val="005910E2"/>
    <w:rsid w:val="00592B2D"/>
    <w:rsid w:val="00595022"/>
    <w:rsid w:val="005A033D"/>
    <w:rsid w:val="005A09D1"/>
    <w:rsid w:val="005A69FF"/>
    <w:rsid w:val="005B40CF"/>
    <w:rsid w:val="005B7BB0"/>
    <w:rsid w:val="005C35A2"/>
    <w:rsid w:val="005D180A"/>
    <w:rsid w:val="005D2D3A"/>
    <w:rsid w:val="005D340A"/>
    <w:rsid w:val="005D4BD2"/>
    <w:rsid w:val="005E2704"/>
    <w:rsid w:val="005E5525"/>
    <w:rsid w:val="005E717E"/>
    <w:rsid w:val="005F4276"/>
    <w:rsid w:val="005F643D"/>
    <w:rsid w:val="00602423"/>
    <w:rsid w:val="006027D7"/>
    <w:rsid w:val="00603972"/>
    <w:rsid w:val="006064B3"/>
    <w:rsid w:val="00607967"/>
    <w:rsid w:val="006121C2"/>
    <w:rsid w:val="00612B29"/>
    <w:rsid w:val="00623B82"/>
    <w:rsid w:val="006320A3"/>
    <w:rsid w:val="00636CAD"/>
    <w:rsid w:val="00640FAD"/>
    <w:rsid w:val="006418BA"/>
    <w:rsid w:val="006462D4"/>
    <w:rsid w:val="00652EC3"/>
    <w:rsid w:val="00652F34"/>
    <w:rsid w:val="00661AF9"/>
    <w:rsid w:val="006620F9"/>
    <w:rsid w:val="00662EE8"/>
    <w:rsid w:val="00666E75"/>
    <w:rsid w:val="00671AE7"/>
    <w:rsid w:val="00677134"/>
    <w:rsid w:val="00683714"/>
    <w:rsid w:val="0069243F"/>
    <w:rsid w:val="0069427F"/>
    <w:rsid w:val="006A208C"/>
    <w:rsid w:val="006A4819"/>
    <w:rsid w:val="006A79C7"/>
    <w:rsid w:val="006B06A1"/>
    <w:rsid w:val="006B16B5"/>
    <w:rsid w:val="006B5136"/>
    <w:rsid w:val="006C1E6D"/>
    <w:rsid w:val="006C31D8"/>
    <w:rsid w:val="006C6F00"/>
    <w:rsid w:val="006C7D78"/>
    <w:rsid w:val="006D3661"/>
    <w:rsid w:val="006D5369"/>
    <w:rsid w:val="006D7177"/>
    <w:rsid w:val="006D769D"/>
    <w:rsid w:val="006E5F92"/>
    <w:rsid w:val="006E70CF"/>
    <w:rsid w:val="006F14E7"/>
    <w:rsid w:val="006F6111"/>
    <w:rsid w:val="007004DA"/>
    <w:rsid w:val="00700588"/>
    <w:rsid w:val="0070289A"/>
    <w:rsid w:val="00702FF6"/>
    <w:rsid w:val="00710A4D"/>
    <w:rsid w:val="00712A79"/>
    <w:rsid w:val="00715764"/>
    <w:rsid w:val="0072054A"/>
    <w:rsid w:val="0072454B"/>
    <w:rsid w:val="00727AB1"/>
    <w:rsid w:val="00733AD9"/>
    <w:rsid w:val="00734422"/>
    <w:rsid w:val="0073551C"/>
    <w:rsid w:val="00741626"/>
    <w:rsid w:val="00743C19"/>
    <w:rsid w:val="0074577B"/>
    <w:rsid w:val="0074626A"/>
    <w:rsid w:val="007469A9"/>
    <w:rsid w:val="00747F11"/>
    <w:rsid w:val="007540E3"/>
    <w:rsid w:val="00756FF8"/>
    <w:rsid w:val="00764F61"/>
    <w:rsid w:val="0076511B"/>
    <w:rsid w:val="00773F49"/>
    <w:rsid w:val="00775F49"/>
    <w:rsid w:val="00783105"/>
    <w:rsid w:val="00785DA9"/>
    <w:rsid w:val="007868A2"/>
    <w:rsid w:val="00786978"/>
    <w:rsid w:val="007937C0"/>
    <w:rsid w:val="00797CA2"/>
    <w:rsid w:val="007A02F1"/>
    <w:rsid w:val="007A15FF"/>
    <w:rsid w:val="007A1C2C"/>
    <w:rsid w:val="007A27D9"/>
    <w:rsid w:val="007A6278"/>
    <w:rsid w:val="007B0BE2"/>
    <w:rsid w:val="007B11C0"/>
    <w:rsid w:val="007B7F1F"/>
    <w:rsid w:val="007C19BE"/>
    <w:rsid w:val="007C6A8D"/>
    <w:rsid w:val="007C727A"/>
    <w:rsid w:val="007D2605"/>
    <w:rsid w:val="007D267E"/>
    <w:rsid w:val="007D316D"/>
    <w:rsid w:val="007E1ED5"/>
    <w:rsid w:val="007E2A90"/>
    <w:rsid w:val="007F09F6"/>
    <w:rsid w:val="007F6168"/>
    <w:rsid w:val="007F77A4"/>
    <w:rsid w:val="00804B53"/>
    <w:rsid w:val="0080644D"/>
    <w:rsid w:val="00807C3A"/>
    <w:rsid w:val="00812A8C"/>
    <w:rsid w:val="00813F4C"/>
    <w:rsid w:val="00815D66"/>
    <w:rsid w:val="00816329"/>
    <w:rsid w:val="008167CF"/>
    <w:rsid w:val="00822DA8"/>
    <w:rsid w:val="00825E4C"/>
    <w:rsid w:val="008273A0"/>
    <w:rsid w:val="008324C8"/>
    <w:rsid w:val="00835BC4"/>
    <w:rsid w:val="00840DCF"/>
    <w:rsid w:val="008436D4"/>
    <w:rsid w:val="00844B93"/>
    <w:rsid w:val="00844F69"/>
    <w:rsid w:val="0085062D"/>
    <w:rsid w:val="00854D29"/>
    <w:rsid w:val="00856FD1"/>
    <w:rsid w:val="00865694"/>
    <w:rsid w:val="00866442"/>
    <w:rsid w:val="008706A3"/>
    <w:rsid w:val="0087182C"/>
    <w:rsid w:val="008721E6"/>
    <w:rsid w:val="00872B47"/>
    <w:rsid w:val="00873938"/>
    <w:rsid w:val="00876F62"/>
    <w:rsid w:val="00880232"/>
    <w:rsid w:val="008806FC"/>
    <w:rsid w:val="00880E62"/>
    <w:rsid w:val="00883216"/>
    <w:rsid w:val="0088404A"/>
    <w:rsid w:val="0088672E"/>
    <w:rsid w:val="00887942"/>
    <w:rsid w:val="00893B95"/>
    <w:rsid w:val="00893D3D"/>
    <w:rsid w:val="00896E7D"/>
    <w:rsid w:val="00897236"/>
    <w:rsid w:val="008A17E3"/>
    <w:rsid w:val="008A4E1B"/>
    <w:rsid w:val="008A6DCE"/>
    <w:rsid w:val="008A7D29"/>
    <w:rsid w:val="008B0A53"/>
    <w:rsid w:val="008B1E02"/>
    <w:rsid w:val="008B454B"/>
    <w:rsid w:val="008B4804"/>
    <w:rsid w:val="008B676E"/>
    <w:rsid w:val="008B6A7C"/>
    <w:rsid w:val="008B6BB5"/>
    <w:rsid w:val="008B7A0B"/>
    <w:rsid w:val="008D0328"/>
    <w:rsid w:val="008D2DC9"/>
    <w:rsid w:val="008D394A"/>
    <w:rsid w:val="008E36DC"/>
    <w:rsid w:val="008F6819"/>
    <w:rsid w:val="00902694"/>
    <w:rsid w:val="00906EC5"/>
    <w:rsid w:val="0091197D"/>
    <w:rsid w:val="00916AE2"/>
    <w:rsid w:val="00924DFB"/>
    <w:rsid w:val="009258AB"/>
    <w:rsid w:val="00930F4F"/>
    <w:rsid w:val="0093150A"/>
    <w:rsid w:val="009334E5"/>
    <w:rsid w:val="0093623D"/>
    <w:rsid w:val="009366F8"/>
    <w:rsid w:val="00941F7C"/>
    <w:rsid w:val="0094226F"/>
    <w:rsid w:val="0095010D"/>
    <w:rsid w:val="009542F2"/>
    <w:rsid w:val="00954A53"/>
    <w:rsid w:val="009612CE"/>
    <w:rsid w:val="00962827"/>
    <w:rsid w:val="009670EA"/>
    <w:rsid w:val="009701A5"/>
    <w:rsid w:val="009706BC"/>
    <w:rsid w:val="00973951"/>
    <w:rsid w:val="009741DA"/>
    <w:rsid w:val="00992A65"/>
    <w:rsid w:val="00993B00"/>
    <w:rsid w:val="00995DDF"/>
    <w:rsid w:val="00996AB3"/>
    <w:rsid w:val="00997D73"/>
    <w:rsid w:val="009A107F"/>
    <w:rsid w:val="009A3B80"/>
    <w:rsid w:val="009A3D43"/>
    <w:rsid w:val="009A5272"/>
    <w:rsid w:val="009A6232"/>
    <w:rsid w:val="009A782C"/>
    <w:rsid w:val="009B2CE5"/>
    <w:rsid w:val="009B39CA"/>
    <w:rsid w:val="009B4970"/>
    <w:rsid w:val="009D37C0"/>
    <w:rsid w:val="009D39B1"/>
    <w:rsid w:val="009E0382"/>
    <w:rsid w:val="009E16FA"/>
    <w:rsid w:val="009E728A"/>
    <w:rsid w:val="009F3E02"/>
    <w:rsid w:val="009F547E"/>
    <w:rsid w:val="00A02976"/>
    <w:rsid w:val="00A06681"/>
    <w:rsid w:val="00A10036"/>
    <w:rsid w:val="00A10A90"/>
    <w:rsid w:val="00A12D45"/>
    <w:rsid w:val="00A169C9"/>
    <w:rsid w:val="00A23E50"/>
    <w:rsid w:val="00A251B1"/>
    <w:rsid w:val="00A25416"/>
    <w:rsid w:val="00A27EF6"/>
    <w:rsid w:val="00A30181"/>
    <w:rsid w:val="00A309B8"/>
    <w:rsid w:val="00A3121D"/>
    <w:rsid w:val="00A34A30"/>
    <w:rsid w:val="00A35823"/>
    <w:rsid w:val="00A45298"/>
    <w:rsid w:val="00A463C1"/>
    <w:rsid w:val="00A47122"/>
    <w:rsid w:val="00A50740"/>
    <w:rsid w:val="00A51E43"/>
    <w:rsid w:val="00A5481C"/>
    <w:rsid w:val="00A60BF1"/>
    <w:rsid w:val="00A64D91"/>
    <w:rsid w:val="00A64EE8"/>
    <w:rsid w:val="00A738D3"/>
    <w:rsid w:val="00A77AB8"/>
    <w:rsid w:val="00A828A1"/>
    <w:rsid w:val="00A83949"/>
    <w:rsid w:val="00A86074"/>
    <w:rsid w:val="00A863FB"/>
    <w:rsid w:val="00A954DF"/>
    <w:rsid w:val="00AA3EAA"/>
    <w:rsid w:val="00AA4B30"/>
    <w:rsid w:val="00AA7228"/>
    <w:rsid w:val="00AB08C0"/>
    <w:rsid w:val="00AB46D0"/>
    <w:rsid w:val="00AC5DD3"/>
    <w:rsid w:val="00AC7F2A"/>
    <w:rsid w:val="00AD2DE2"/>
    <w:rsid w:val="00AD49F0"/>
    <w:rsid w:val="00AD5A9B"/>
    <w:rsid w:val="00AE2579"/>
    <w:rsid w:val="00AE62DF"/>
    <w:rsid w:val="00AF076C"/>
    <w:rsid w:val="00B01601"/>
    <w:rsid w:val="00B03E7E"/>
    <w:rsid w:val="00B06C44"/>
    <w:rsid w:val="00B1665F"/>
    <w:rsid w:val="00B173C8"/>
    <w:rsid w:val="00B1788C"/>
    <w:rsid w:val="00B36D06"/>
    <w:rsid w:val="00B37981"/>
    <w:rsid w:val="00B40B7F"/>
    <w:rsid w:val="00B4293C"/>
    <w:rsid w:val="00B53222"/>
    <w:rsid w:val="00B61B75"/>
    <w:rsid w:val="00B61CAD"/>
    <w:rsid w:val="00B6242E"/>
    <w:rsid w:val="00B6264E"/>
    <w:rsid w:val="00B6629B"/>
    <w:rsid w:val="00B705BD"/>
    <w:rsid w:val="00B74916"/>
    <w:rsid w:val="00B74C05"/>
    <w:rsid w:val="00B7631B"/>
    <w:rsid w:val="00B83E3A"/>
    <w:rsid w:val="00B844C4"/>
    <w:rsid w:val="00B850E7"/>
    <w:rsid w:val="00B944D5"/>
    <w:rsid w:val="00BA4CF2"/>
    <w:rsid w:val="00BB428C"/>
    <w:rsid w:val="00BB4B19"/>
    <w:rsid w:val="00BB5311"/>
    <w:rsid w:val="00BB56F6"/>
    <w:rsid w:val="00BB675F"/>
    <w:rsid w:val="00BB743B"/>
    <w:rsid w:val="00BC3459"/>
    <w:rsid w:val="00BC4B63"/>
    <w:rsid w:val="00BC5193"/>
    <w:rsid w:val="00BC5FDC"/>
    <w:rsid w:val="00BC736E"/>
    <w:rsid w:val="00BD4717"/>
    <w:rsid w:val="00BD5B69"/>
    <w:rsid w:val="00BE0C3C"/>
    <w:rsid w:val="00BE4D60"/>
    <w:rsid w:val="00BE6084"/>
    <w:rsid w:val="00BF4843"/>
    <w:rsid w:val="00BF7DC4"/>
    <w:rsid w:val="00C04264"/>
    <w:rsid w:val="00C11507"/>
    <w:rsid w:val="00C14871"/>
    <w:rsid w:val="00C21AF5"/>
    <w:rsid w:val="00C24252"/>
    <w:rsid w:val="00C24CBE"/>
    <w:rsid w:val="00C24DE6"/>
    <w:rsid w:val="00C27139"/>
    <w:rsid w:val="00C2785F"/>
    <w:rsid w:val="00C30D29"/>
    <w:rsid w:val="00C36A92"/>
    <w:rsid w:val="00C40477"/>
    <w:rsid w:val="00C458DD"/>
    <w:rsid w:val="00C526DB"/>
    <w:rsid w:val="00C621C4"/>
    <w:rsid w:val="00C6311E"/>
    <w:rsid w:val="00C65012"/>
    <w:rsid w:val="00C70FB1"/>
    <w:rsid w:val="00C77AC7"/>
    <w:rsid w:val="00C77AE2"/>
    <w:rsid w:val="00C8206D"/>
    <w:rsid w:val="00C829C4"/>
    <w:rsid w:val="00C87DB6"/>
    <w:rsid w:val="00C92C31"/>
    <w:rsid w:val="00C93715"/>
    <w:rsid w:val="00C9560D"/>
    <w:rsid w:val="00CA08E5"/>
    <w:rsid w:val="00CA3326"/>
    <w:rsid w:val="00CA6A5F"/>
    <w:rsid w:val="00CA7457"/>
    <w:rsid w:val="00CB0BD5"/>
    <w:rsid w:val="00CB2780"/>
    <w:rsid w:val="00CB31CE"/>
    <w:rsid w:val="00CB4EF4"/>
    <w:rsid w:val="00CB70E4"/>
    <w:rsid w:val="00CC21E3"/>
    <w:rsid w:val="00CC711E"/>
    <w:rsid w:val="00CD1D94"/>
    <w:rsid w:val="00CD2883"/>
    <w:rsid w:val="00CD7B44"/>
    <w:rsid w:val="00CE6D22"/>
    <w:rsid w:val="00CF1D95"/>
    <w:rsid w:val="00CF5F78"/>
    <w:rsid w:val="00CF7811"/>
    <w:rsid w:val="00D10B75"/>
    <w:rsid w:val="00D11191"/>
    <w:rsid w:val="00D124F9"/>
    <w:rsid w:val="00D14D2C"/>
    <w:rsid w:val="00D15E5F"/>
    <w:rsid w:val="00D161B4"/>
    <w:rsid w:val="00D20E4F"/>
    <w:rsid w:val="00D2405A"/>
    <w:rsid w:val="00D27BD8"/>
    <w:rsid w:val="00D3307F"/>
    <w:rsid w:val="00D367D9"/>
    <w:rsid w:val="00D52816"/>
    <w:rsid w:val="00D64CB4"/>
    <w:rsid w:val="00D7029D"/>
    <w:rsid w:val="00D71223"/>
    <w:rsid w:val="00D72A23"/>
    <w:rsid w:val="00D73511"/>
    <w:rsid w:val="00D74D00"/>
    <w:rsid w:val="00D77894"/>
    <w:rsid w:val="00D77D4E"/>
    <w:rsid w:val="00D839DE"/>
    <w:rsid w:val="00D83BC8"/>
    <w:rsid w:val="00D84A26"/>
    <w:rsid w:val="00D933F0"/>
    <w:rsid w:val="00DA41DB"/>
    <w:rsid w:val="00DA534E"/>
    <w:rsid w:val="00DA7E9C"/>
    <w:rsid w:val="00DB5336"/>
    <w:rsid w:val="00DB750F"/>
    <w:rsid w:val="00DC1244"/>
    <w:rsid w:val="00DC489A"/>
    <w:rsid w:val="00DC7AB1"/>
    <w:rsid w:val="00DC7E8B"/>
    <w:rsid w:val="00DD545A"/>
    <w:rsid w:val="00DE0175"/>
    <w:rsid w:val="00DE1F31"/>
    <w:rsid w:val="00DF2B13"/>
    <w:rsid w:val="00DF4C2B"/>
    <w:rsid w:val="00DF51DB"/>
    <w:rsid w:val="00E006E7"/>
    <w:rsid w:val="00E033F3"/>
    <w:rsid w:val="00E12048"/>
    <w:rsid w:val="00E1288C"/>
    <w:rsid w:val="00E1433C"/>
    <w:rsid w:val="00E16B96"/>
    <w:rsid w:val="00E23197"/>
    <w:rsid w:val="00E34952"/>
    <w:rsid w:val="00E35363"/>
    <w:rsid w:val="00E36399"/>
    <w:rsid w:val="00E36DED"/>
    <w:rsid w:val="00E37566"/>
    <w:rsid w:val="00E37E62"/>
    <w:rsid w:val="00E4112E"/>
    <w:rsid w:val="00E42FFF"/>
    <w:rsid w:val="00E640CA"/>
    <w:rsid w:val="00E653F1"/>
    <w:rsid w:val="00E67223"/>
    <w:rsid w:val="00E71130"/>
    <w:rsid w:val="00E73053"/>
    <w:rsid w:val="00E747CA"/>
    <w:rsid w:val="00E754DF"/>
    <w:rsid w:val="00E76D2F"/>
    <w:rsid w:val="00E8186C"/>
    <w:rsid w:val="00E83591"/>
    <w:rsid w:val="00E8430B"/>
    <w:rsid w:val="00E85864"/>
    <w:rsid w:val="00E85CD3"/>
    <w:rsid w:val="00E85E90"/>
    <w:rsid w:val="00E921F6"/>
    <w:rsid w:val="00EA0FAC"/>
    <w:rsid w:val="00EA2ADA"/>
    <w:rsid w:val="00EA6E77"/>
    <w:rsid w:val="00EB636F"/>
    <w:rsid w:val="00EC369B"/>
    <w:rsid w:val="00EC462F"/>
    <w:rsid w:val="00EC70C3"/>
    <w:rsid w:val="00ED2A33"/>
    <w:rsid w:val="00EE0854"/>
    <w:rsid w:val="00EE1BDD"/>
    <w:rsid w:val="00EE2ED6"/>
    <w:rsid w:val="00EF397F"/>
    <w:rsid w:val="00F01009"/>
    <w:rsid w:val="00F10CBC"/>
    <w:rsid w:val="00F15AFC"/>
    <w:rsid w:val="00F163A8"/>
    <w:rsid w:val="00F2117F"/>
    <w:rsid w:val="00F23382"/>
    <w:rsid w:val="00F35DBD"/>
    <w:rsid w:val="00F379FF"/>
    <w:rsid w:val="00F47B64"/>
    <w:rsid w:val="00F5142E"/>
    <w:rsid w:val="00F54198"/>
    <w:rsid w:val="00F5470C"/>
    <w:rsid w:val="00F56731"/>
    <w:rsid w:val="00F567A0"/>
    <w:rsid w:val="00F61150"/>
    <w:rsid w:val="00F6567C"/>
    <w:rsid w:val="00F6664B"/>
    <w:rsid w:val="00F67C32"/>
    <w:rsid w:val="00F728F6"/>
    <w:rsid w:val="00F7378C"/>
    <w:rsid w:val="00F83AD7"/>
    <w:rsid w:val="00F845B0"/>
    <w:rsid w:val="00F85F37"/>
    <w:rsid w:val="00F90561"/>
    <w:rsid w:val="00F93A87"/>
    <w:rsid w:val="00FA0916"/>
    <w:rsid w:val="00FA6356"/>
    <w:rsid w:val="00FA703E"/>
    <w:rsid w:val="00FA7F41"/>
    <w:rsid w:val="00FB11CB"/>
    <w:rsid w:val="00FB48BC"/>
    <w:rsid w:val="00FB5CF5"/>
    <w:rsid w:val="00FC26D3"/>
    <w:rsid w:val="00FD31CE"/>
    <w:rsid w:val="00FD3B2C"/>
    <w:rsid w:val="00FD4ACD"/>
    <w:rsid w:val="00FE0E2B"/>
    <w:rsid w:val="00FE3518"/>
    <w:rsid w:val="00FE789E"/>
    <w:rsid w:val="00FF1D58"/>
    <w:rsid w:val="00FF426C"/>
    <w:rsid w:val="00FF4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CC93EAC-B64A-422A-9467-3718FA34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uiPriority="99"/>
    <w:lsdException w:name="header" w:uiPriority="2"/>
    <w:lsdException w:name="footer" w:uiPriority="2"/>
    <w:lsdException w:name="index heading" w:semiHidden="1"/>
    <w:lsdException w:name="caption" w:uiPriority="2"/>
    <w:lsdException w:name="table of figures" w:semiHidden="1" w:uiPriority="99"/>
    <w:lsdException w:name="envelope address" w:semiHidden="1"/>
    <w:lsdException w:name="envelope return" w:semiHidden="1"/>
    <w:lsdException w:name="footnote reference" w:semiHidden="1" w:uiPriority="99" w:qFormat="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uiPriority="99"/>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lsdException w:name="Body Text" w:semiHidden="1"/>
    <w:lsdException w:name="Body Text Indent" w:semiHidden="1" w:uiPriority="99"/>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5 Dark Accent 1" w:uiPriority="50"/>
  </w:latentStyles>
  <w:style w:type="paragraph" w:default="1" w:styleId="Normal">
    <w:name w:val="Normal"/>
    <w:uiPriority w:val="1"/>
    <w:qFormat/>
    <w:rsid w:val="00865694"/>
    <w:pPr>
      <w:spacing w:after="120" w:line="264" w:lineRule="auto"/>
      <w:jc w:val="both"/>
    </w:pPr>
    <w:rPr>
      <w:sz w:val="22"/>
    </w:rPr>
  </w:style>
  <w:style w:type="paragraph" w:styleId="Heading1">
    <w:name w:val="heading 1"/>
    <w:basedOn w:val="Normal"/>
    <w:next w:val="Normal"/>
    <w:autoRedefine/>
    <w:uiPriority w:val="1"/>
    <w:qFormat/>
    <w:rsid w:val="008F6819"/>
    <w:pPr>
      <w:keepNext/>
      <w:numPr>
        <w:numId w:val="10"/>
      </w:numPr>
      <w:tabs>
        <w:tab w:val="left" w:pos="510"/>
      </w:tabs>
      <w:spacing w:before="480"/>
      <w:outlineLvl w:val="0"/>
    </w:pPr>
    <w:rPr>
      <w:b/>
      <w:smallCaps/>
      <w:sz w:val="26"/>
    </w:rPr>
  </w:style>
  <w:style w:type="paragraph" w:styleId="Heading2">
    <w:name w:val="heading 2"/>
    <w:basedOn w:val="Normal"/>
    <w:next w:val="Normal"/>
    <w:autoRedefine/>
    <w:uiPriority w:val="1"/>
    <w:qFormat/>
    <w:rsid w:val="00C21AF5"/>
    <w:pPr>
      <w:keepNext/>
      <w:numPr>
        <w:ilvl w:val="1"/>
        <w:numId w:val="10"/>
      </w:numPr>
      <w:tabs>
        <w:tab w:val="left" w:pos="737"/>
      </w:tabs>
      <w:spacing w:before="420"/>
      <w:outlineLvl w:val="1"/>
    </w:pPr>
    <w:rPr>
      <w:b/>
      <w:sz w:val="26"/>
    </w:rPr>
  </w:style>
  <w:style w:type="paragraph" w:styleId="Heading3">
    <w:name w:val="heading 3"/>
    <w:basedOn w:val="Normal"/>
    <w:next w:val="Normal"/>
    <w:autoRedefine/>
    <w:uiPriority w:val="1"/>
    <w:qFormat/>
    <w:rsid w:val="00170442"/>
    <w:pPr>
      <w:keepNext/>
      <w:numPr>
        <w:ilvl w:val="2"/>
        <w:numId w:val="10"/>
      </w:numPr>
      <w:tabs>
        <w:tab w:val="left" w:pos="935"/>
      </w:tabs>
      <w:spacing w:before="360"/>
      <w:outlineLvl w:val="2"/>
    </w:pPr>
    <w:rPr>
      <w:b/>
      <w:sz w:val="24"/>
    </w:rPr>
  </w:style>
  <w:style w:type="paragraph" w:styleId="Heading4">
    <w:name w:val="heading 4"/>
    <w:basedOn w:val="Normal"/>
    <w:next w:val="Normal"/>
    <w:uiPriority w:val="1"/>
    <w:qFormat/>
    <w:pPr>
      <w:keepNext/>
      <w:numPr>
        <w:ilvl w:val="3"/>
        <w:numId w:val="10"/>
      </w:numPr>
      <w:tabs>
        <w:tab w:val="left" w:pos="1049"/>
      </w:tabs>
      <w:spacing w:before="360"/>
      <w:outlineLvl w:val="3"/>
    </w:pPr>
    <w:rPr>
      <w:b/>
    </w:rPr>
  </w:style>
  <w:style w:type="paragraph" w:styleId="Heading5">
    <w:name w:val="heading 5"/>
    <w:basedOn w:val="Normal"/>
    <w:next w:val="Normal"/>
    <w:semiHidden/>
    <w:pPr>
      <w:keepNext/>
      <w:numPr>
        <w:ilvl w:val="4"/>
        <w:numId w:val="10"/>
      </w:numPr>
      <w:outlineLvl w:val="4"/>
    </w:pPr>
  </w:style>
  <w:style w:type="paragraph" w:styleId="Heading6">
    <w:name w:val="heading 6"/>
    <w:basedOn w:val="Normal"/>
    <w:next w:val="Normal"/>
    <w:semiHidden/>
    <w:pPr>
      <w:keepNext/>
      <w:numPr>
        <w:ilvl w:val="5"/>
        <w:numId w:val="10"/>
      </w:numPr>
      <w:outlineLvl w:val="5"/>
    </w:pPr>
  </w:style>
  <w:style w:type="paragraph" w:styleId="Heading7">
    <w:name w:val="heading 7"/>
    <w:basedOn w:val="Normal"/>
    <w:next w:val="Normal"/>
    <w:semiHidden/>
    <w:pPr>
      <w:keepNext/>
      <w:numPr>
        <w:ilvl w:val="6"/>
        <w:numId w:val="10"/>
      </w:numPr>
      <w:outlineLvl w:val="6"/>
    </w:pPr>
  </w:style>
  <w:style w:type="paragraph" w:styleId="Heading8">
    <w:name w:val="heading 8"/>
    <w:basedOn w:val="Normal"/>
    <w:next w:val="Normal"/>
    <w:semiHidden/>
    <w:pPr>
      <w:keepNext/>
      <w:numPr>
        <w:ilvl w:val="7"/>
        <w:numId w:val="10"/>
      </w:numPr>
      <w:outlineLvl w:val="7"/>
    </w:pPr>
  </w:style>
  <w:style w:type="paragraph" w:styleId="Heading9">
    <w:name w:val="heading 9"/>
    <w:basedOn w:val="Normal"/>
    <w:next w:val="Normal"/>
    <w:semiHidden/>
    <w:pPr>
      <w:keepNext/>
      <w:numPr>
        <w:ilvl w:val="8"/>
        <w:numId w:val="1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
      </w:numPr>
      <w:spacing w:before="240" w:after="360"/>
      <w:outlineLvl w:val="0"/>
    </w:pPr>
    <w:rPr>
      <w:b/>
      <w:sz w:val="36"/>
    </w:rPr>
  </w:style>
  <w:style w:type="paragraph" w:styleId="Caption">
    <w:name w:val="caption"/>
    <w:basedOn w:val="Normal"/>
    <w:next w:val="Normal"/>
    <w:uiPriority w:val="2"/>
    <w:pPr>
      <w:spacing w:before="120"/>
    </w:pPr>
    <w:rPr>
      <w:b/>
      <w:i/>
    </w:rPr>
  </w:style>
  <w:style w:type="paragraph" w:customStyle="1" w:styleId="ChapterTitle">
    <w:name w:val="ChapterTitle"/>
    <w:basedOn w:val="Normal"/>
    <w:next w:val="SectionTitle"/>
    <w:uiPriority w:val="1"/>
    <w:qFormat/>
    <w:pPr>
      <w:keepNext/>
      <w:spacing w:before="720" w:after="360"/>
      <w:jc w:val="center"/>
      <w:outlineLvl w:val="0"/>
    </w:pPr>
    <w:rPr>
      <w:b/>
      <w:sz w:val="36"/>
    </w:rPr>
  </w:style>
  <w:style w:type="paragraph" w:customStyle="1" w:styleId="Contact">
    <w:name w:val="Contact"/>
    <w:basedOn w:val="Normal"/>
    <w:uiPriority w:val="2"/>
    <w:pPr>
      <w:spacing w:before="480" w:after="240"/>
      <w:ind w:left="567" w:hanging="567"/>
      <w:jc w:val="left"/>
    </w:pPr>
  </w:style>
  <w:style w:type="paragraph" w:customStyle="1" w:styleId="ContNum">
    <w:name w:val="ContNum"/>
    <w:basedOn w:val="Normal"/>
    <w:uiPriority w:val="1"/>
    <w:qFormat/>
    <w:pPr>
      <w:numPr>
        <w:numId w:val="2"/>
      </w:numPr>
    </w:pPr>
  </w:style>
  <w:style w:type="paragraph" w:customStyle="1" w:styleId="ContNumLevel2">
    <w:name w:val="ContNum (Level 2)"/>
    <w:basedOn w:val="Normal"/>
    <w:uiPriority w:val="1"/>
    <w:pPr>
      <w:numPr>
        <w:ilvl w:val="1"/>
        <w:numId w:val="2"/>
      </w:numPr>
    </w:pPr>
  </w:style>
  <w:style w:type="paragraph" w:customStyle="1" w:styleId="ContNumLevel3">
    <w:name w:val="ContNum (Level 3)"/>
    <w:basedOn w:val="Normal"/>
    <w:uiPriority w:val="1"/>
    <w:pPr>
      <w:numPr>
        <w:ilvl w:val="2"/>
        <w:numId w:val="2"/>
      </w:numPr>
    </w:pPr>
  </w:style>
  <w:style w:type="paragraph" w:styleId="Date">
    <w:name w:val="Date"/>
    <w:basedOn w:val="Normal"/>
    <w:next w:val="References"/>
    <w:uiPriority w:val="1"/>
    <w:pPr>
      <w:spacing w:after="0"/>
      <w:ind w:left="5102" w:right="-567"/>
    </w:pPr>
  </w:style>
  <w:style w:type="paragraph" w:styleId="EndnoteText">
    <w:name w:val="endnote text"/>
    <w:basedOn w:val="Normal"/>
    <w:semiHidden/>
    <w:unhideWhenUsed/>
    <w:rPr>
      <w:sz w:val="20"/>
    </w:rPr>
  </w:style>
  <w:style w:type="paragraph" w:customStyle="1" w:styleId="FigureBody">
    <w:name w:val="Figure Body"/>
    <w:basedOn w:val="Normal"/>
    <w:next w:val="FigureSource"/>
    <w:uiPriority w:val="2"/>
    <w:pPr>
      <w:keepNext/>
      <w:spacing w:after="40" w:line="240" w:lineRule="auto"/>
    </w:pPr>
  </w:style>
  <w:style w:type="paragraph" w:customStyle="1" w:styleId="FigureSource">
    <w:name w:val="Figure Source"/>
    <w:basedOn w:val="Normal"/>
    <w:next w:val="Normal"/>
    <w:uiPriority w:val="2"/>
    <w:pPr>
      <w:spacing w:after="240" w:line="240" w:lineRule="auto"/>
    </w:pPr>
    <w:rPr>
      <w:sz w:val="18"/>
    </w:rPr>
  </w:style>
  <w:style w:type="paragraph" w:customStyle="1" w:styleId="FigureTitle">
    <w:name w:val="Figure Title"/>
    <w:basedOn w:val="Normal"/>
    <w:next w:val="FigureBody"/>
    <w:uiPriority w:val="2"/>
    <w:pPr>
      <w:keepNext/>
      <w:spacing w:before="120"/>
    </w:pPr>
    <w:rPr>
      <w:b/>
      <w:i/>
    </w:rPr>
  </w:style>
  <w:style w:type="paragraph" w:customStyle="1" w:styleId="FITTable">
    <w:name w:val="FIT Table"/>
    <w:basedOn w:val="Normal"/>
    <w:uiPriority w:val="2"/>
    <w:pPr>
      <w:spacing w:before="60" w:after="60"/>
    </w:pPr>
  </w:style>
  <w:style w:type="paragraph" w:customStyle="1" w:styleId="FooterLine">
    <w:name w:val="Footer Line"/>
    <w:basedOn w:val="Footer"/>
    <w:next w:val="Footer"/>
    <w:uiPriority w:val="2"/>
    <w:pPr>
      <w:pBdr>
        <w:top w:val="single" w:sz="4" w:space="1" w:color="auto"/>
      </w:pBdr>
      <w:tabs>
        <w:tab w:val="right" w:pos="8646"/>
      </w:tabs>
      <w:spacing w:before="120"/>
      <w:ind w:right="0"/>
    </w:pPr>
  </w:style>
  <w:style w:type="paragraph" w:styleId="FootnoteText">
    <w:name w:val="footnote text"/>
    <w:aliases w:val="Fußnote,fn,Footnotes,Footnote ak,ft,Char,Carattere,Footnote Text Char Char,fn Char Char,footnote text Char Char,Footnotes Char Char,Footnote ak Char Char,fn Char1,footnote text Char1,Footnotes Char1,Footnote Text Char1 Char,footnote text1"/>
    <w:basedOn w:val="Normal"/>
    <w:link w:val="FootnoteTextChar"/>
    <w:uiPriority w:val="99"/>
    <w:unhideWhenUsed/>
    <w:qFormat/>
    <w:pPr>
      <w:ind w:left="357" w:hanging="357"/>
    </w:pPr>
    <w:rPr>
      <w:sz w:val="20"/>
    </w:rPr>
  </w:style>
  <w:style w:type="paragraph" w:customStyle="1" w:styleId="Glossary">
    <w:name w:val="Glossary"/>
    <w:basedOn w:val="Normal"/>
    <w:uiPriority w:val="2"/>
    <w:pPr>
      <w:tabs>
        <w:tab w:val="left" w:pos="2835"/>
      </w:tabs>
      <w:ind w:left="2835" w:hanging="2835"/>
      <w:jc w:val="left"/>
    </w:pPr>
  </w:style>
  <w:style w:type="paragraph" w:customStyle="1" w:styleId="GlossaryHeading">
    <w:name w:val="GlossaryHeading"/>
    <w:basedOn w:val="Normal"/>
    <w:uiPriority w:val="2"/>
    <w:pPr>
      <w:spacing w:after="480"/>
      <w:jc w:val="center"/>
      <w:outlineLvl w:val="0"/>
    </w:pPr>
    <w:rPr>
      <w:rFonts w:ascii="Times New Roman Bold" w:hAnsi="Times New Roman Bold"/>
      <w:b/>
      <w:sz w:val="32"/>
    </w:rPr>
  </w:style>
  <w:style w:type="paragraph" w:customStyle="1" w:styleId="HistoryTable">
    <w:name w:val="HistoryTable"/>
    <w:basedOn w:val="Normal"/>
    <w:uiPriority w:val="2"/>
    <w:pPr>
      <w:spacing w:before="60" w:after="60"/>
    </w:pPr>
    <w:rPr>
      <w:sz w:val="20"/>
    </w:rPr>
  </w:style>
  <w:style w:type="paragraph" w:customStyle="1" w:styleId="HistTableHeading">
    <w:name w:val="HistTableHeading"/>
    <w:basedOn w:val="Normal"/>
    <w:next w:val="HistoryTable"/>
    <w:uiPriority w:val="2"/>
    <w:pPr>
      <w:jc w:val="center"/>
    </w:pPr>
    <w:rPr>
      <w:rFonts w:ascii="Times New Roman Bold" w:hAnsi="Times New Roman Bold"/>
      <w:b/>
      <w:sz w:val="32"/>
    </w:rPr>
  </w:style>
  <w:style w:type="paragraph" w:customStyle="1" w:styleId="LegalNumPar">
    <w:name w:val="LegalNumPar"/>
    <w:basedOn w:val="Normal"/>
    <w:uiPriority w:val="1"/>
    <w:qFormat/>
    <w:pPr>
      <w:numPr>
        <w:numId w:val="3"/>
      </w:numPr>
      <w:spacing w:line="360" w:lineRule="auto"/>
    </w:pPr>
    <w:rPr>
      <w:sz w:val="24"/>
    </w:rPr>
  </w:style>
  <w:style w:type="paragraph" w:customStyle="1" w:styleId="LegalNumPar2">
    <w:name w:val="LegalNumPar2"/>
    <w:basedOn w:val="Normal"/>
    <w:uiPriority w:val="1"/>
    <w:pPr>
      <w:numPr>
        <w:ilvl w:val="1"/>
        <w:numId w:val="3"/>
      </w:numPr>
      <w:spacing w:line="360" w:lineRule="auto"/>
    </w:pPr>
    <w:rPr>
      <w:sz w:val="24"/>
    </w:rPr>
  </w:style>
  <w:style w:type="paragraph" w:customStyle="1" w:styleId="LegalNumPar3">
    <w:name w:val="LegalNumPar3"/>
    <w:basedOn w:val="Normal"/>
    <w:uiPriority w:val="1"/>
    <w:pPr>
      <w:numPr>
        <w:ilvl w:val="2"/>
        <w:numId w:val="3"/>
      </w:numPr>
      <w:spacing w:line="360" w:lineRule="auto"/>
    </w:pPr>
    <w:rPr>
      <w:sz w:val="24"/>
    </w:rPr>
  </w:style>
  <w:style w:type="paragraph" w:styleId="ListBullet">
    <w:name w:val="List Bullet"/>
    <w:basedOn w:val="Normal"/>
    <w:uiPriority w:val="1"/>
    <w:pPr>
      <w:numPr>
        <w:numId w:val="20"/>
      </w:numPr>
      <w:contextualSpacing/>
    </w:pPr>
  </w:style>
  <w:style w:type="paragraph" w:customStyle="1" w:styleId="ListBulletLevel2">
    <w:name w:val="List Bullet (Level 2)"/>
    <w:basedOn w:val="Normal"/>
    <w:uiPriority w:val="1"/>
    <w:pPr>
      <w:numPr>
        <w:ilvl w:val="1"/>
        <w:numId w:val="20"/>
      </w:numPr>
      <w:contextualSpacing/>
    </w:pPr>
  </w:style>
  <w:style w:type="paragraph" w:customStyle="1" w:styleId="ListBulletLevel3">
    <w:name w:val="List Bullet (Level 3)"/>
    <w:basedOn w:val="Normal"/>
    <w:uiPriority w:val="1"/>
    <w:semiHidden/>
    <w:unhideWhenUsed/>
    <w:pPr>
      <w:numPr>
        <w:ilvl w:val="2"/>
        <w:numId w:val="20"/>
      </w:numPr>
      <w:contextualSpacing/>
    </w:pPr>
  </w:style>
  <w:style w:type="paragraph" w:customStyle="1" w:styleId="ListBulletLevel4">
    <w:name w:val="List Bullet (Level 4)"/>
    <w:basedOn w:val="Normal"/>
    <w:uiPriority w:val="1"/>
    <w:semiHidden/>
    <w:unhideWhenUsed/>
    <w:pPr>
      <w:numPr>
        <w:ilvl w:val="3"/>
        <w:numId w:val="20"/>
      </w:numPr>
      <w:contextualSpacing/>
    </w:pPr>
  </w:style>
  <w:style w:type="paragraph" w:customStyle="1" w:styleId="ListDash">
    <w:name w:val="List Dash"/>
    <w:basedOn w:val="Normal"/>
    <w:uiPriority w:val="1"/>
    <w:pPr>
      <w:numPr>
        <w:numId w:val="7"/>
      </w:numPr>
      <w:contextualSpacing/>
    </w:pPr>
  </w:style>
  <w:style w:type="paragraph" w:customStyle="1" w:styleId="ListDashLevel2">
    <w:name w:val="List Dash (Level 2)"/>
    <w:basedOn w:val="Normal"/>
    <w:uiPriority w:val="1"/>
    <w:pPr>
      <w:numPr>
        <w:ilvl w:val="1"/>
        <w:numId w:val="7"/>
      </w:numPr>
      <w:contextualSpacing/>
    </w:pPr>
  </w:style>
  <w:style w:type="paragraph" w:customStyle="1" w:styleId="ListDashLevel3">
    <w:name w:val="List Dash (Level 3)"/>
    <w:basedOn w:val="Normal"/>
    <w:uiPriority w:val="1"/>
    <w:semiHidden/>
    <w:unhideWhenUsed/>
    <w:pPr>
      <w:numPr>
        <w:ilvl w:val="2"/>
        <w:numId w:val="7"/>
      </w:numPr>
      <w:contextualSpacing/>
    </w:pPr>
  </w:style>
  <w:style w:type="paragraph" w:customStyle="1" w:styleId="ListDashLevel4">
    <w:name w:val="List Dash (Level 4)"/>
    <w:basedOn w:val="Normal"/>
    <w:uiPriority w:val="1"/>
    <w:semiHidden/>
    <w:unhideWhenUsed/>
    <w:pPr>
      <w:numPr>
        <w:ilvl w:val="3"/>
        <w:numId w:val="7"/>
      </w:numPr>
      <w:contextualSpacing/>
    </w:pPr>
  </w:style>
  <w:style w:type="paragraph" w:styleId="ListNumber">
    <w:name w:val="List Number"/>
    <w:basedOn w:val="Normal"/>
    <w:pPr>
      <w:numPr>
        <w:numId w:val="19"/>
      </w:numPr>
      <w:contextualSpacing/>
    </w:pPr>
  </w:style>
  <w:style w:type="paragraph" w:customStyle="1" w:styleId="ListNumberLevel2">
    <w:name w:val="List Number (Level 2)"/>
    <w:basedOn w:val="Normal"/>
    <w:pPr>
      <w:numPr>
        <w:ilvl w:val="1"/>
        <w:numId w:val="19"/>
      </w:numPr>
      <w:contextualSpacing/>
    </w:pPr>
  </w:style>
  <w:style w:type="paragraph" w:customStyle="1" w:styleId="ListNumberLevel3">
    <w:name w:val="List Number (Level 3)"/>
    <w:basedOn w:val="Normal"/>
    <w:unhideWhenUsed/>
    <w:pPr>
      <w:numPr>
        <w:ilvl w:val="2"/>
        <w:numId w:val="19"/>
      </w:numPr>
      <w:contextualSpacing/>
    </w:pPr>
  </w:style>
  <w:style w:type="paragraph" w:customStyle="1" w:styleId="ListNumberLevel4">
    <w:name w:val="List Number (Level 4)"/>
    <w:basedOn w:val="Normal"/>
    <w:unhideWhenUsed/>
    <w:pPr>
      <w:numPr>
        <w:ilvl w:val="3"/>
        <w:numId w:val="19"/>
      </w:numPr>
      <w:contextualSpacing/>
    </w:pPr>
  </w:style>
  <w:style w:type="paragraph" w:customStyle="1" w:styleId="Marking">
    <w:name w:val="Marking"/>
    <w:basedOn w:val="Normal"/>
    <w:semiHidden/>
    <w:pPr>
      <w:spacing w:line="240" w:lineRule="auto"/>
      <w:ind w:left="5102" w:right="-567"/>
      <w:contextualSpacing/>
      <w:jc w:val="left"/>
    </w:pPr>
    <w:rPr>
      <w:sz w:val="28"/>
    </w:rPr>
  </w:style>
  <w:style w:type="paragraph" w:customStyle="1" w:styleId="NumPar1">
    <w:name w:val="NumPar 1"/>
    <w:basedOn w:val="Heading1"/>
    <w:uiPriority w:val="1"/>
    <w:qFormat/>
    <w:pPr>
      <w:keepNext w:val="0"/>
      <w:spacing w:before="0"/>
      <w:ind w:left="0" w:firstLine="0"/>
      <w:outlineLvl w:val="9"/>
    </w:pPr>
    <w:rPr>
      <w:b w:val="0"/>
      <w:smallCaps w:val="0"/>
      <w:sz w:val="22"/>
    </w:rPr>
  </w:style>
  <w:style w:type="paragraph" w:customStyle="1" w:styleId="NumPar2">
    <w:name w:val="NumPar 2"/>
    <w:basedOn w:val="Heading2"/>
    <w:uiPriority w:val="1"/>
    <w:qFormat/>
    <w:pPr>
      <w:keepNext w:val="0"/>
      <w:spacing w:before="0"/>
      <w:ind w:left="0" w:firstLine="0"/>
      <w:outlineLvl w:val="9"/>
    </w:pPr>
    <w:rPr>
      <w:b w:val="0"/>
      <w:sz w:val="22"/>
    </w:rPr>
  </w:style>
  <w:style w:type="paragraph" w:customStyle="1" w:styleId="NumPar3">
    <w:name w:val="NumPar 3"/>
    <w:basedOn w:val="Heading3"/>
    <w:uiPriority w:val="1"/>
    <w:qFormat/>
    <w:pPr>
      <w:keepNext w:val="0"/>
      <w:spacing w:before="0"/>
      <w:ind w:left="0" w:firstLine="0"/>
      <w:outlineLvl w:val="9"/>
    </w:pPr>
    <w:rPr>
      <w:b w:val="0"/>
      <w:sz w:val="22"/>
    </w:rPr>
  </w:style>
  <w:style w:type="paragraph" w:customStyle="1" w:styleId="NumPar4">
    <w:name w:val="NumPar 4"/>
    <w:basedOn w:val="Heading4"/>
    <w:uiPriority w:val="1"/>
    <w:qFormat/>
    <w:pPr>
      <w:keepNext w:val="0"/>
      <w:spacing w:before="0"/>
      <w:ind w:left="0" w:firstLine="0"/>
      <w:outlineLvl w:val="9"/>
    </w:pPr>
    <w:rPr>
      <w:b w:val="0"/>
    </w:rPr>
  </w:style>
  <w:style w:type="paragraph" w:customStyle="1" w:styleId="PartTitle">
    <w:name w:val="PartTitle"/>
    <w:basedOn w:val="Normal"/>
    <w:next w:val="ChapterTitle"/>
    <w:uiPriority w:val="1"/>
    <w:qFormat/>
    <w:pPr>
      <w:keepNext/>
      <w:pageBreakBefore/>
      <w:spacing w:before="720" w:after="360"/>
      <w:jc w:val="center"/>
      <w:outlineLvl w:val="0"/>
    </w:pPr>
    <w:rPr>
      <w:b/>
      <w:sz w:val="40"/>
    </w:rPr>
  </w:style>
  <w:style w:type="paragraph" w:customStyle="1" w:styleId="References">
    <w:name w:val="References"/>
    <w:uiPriority w:val="2"/>
    <w:pPr>
      <w:tabs>
        <w:tab w:val="num" w:pos="397"/>
        <w:tab w:val="num" w:pos="709"/>
      </w:tabs>
      <w:ind w:left="709" w:hanging="709"/>
    </w:pPr>
  </w:style>
  <w:style w:type="paragraph" w:customStyle="1" w:styleId="SectionTitle">
    <w:name w:val="SectionTitle"/>
    <w:basedOn w:val="Normal"/>
    <w:next w:val="Heading1"/>
    <w:uiPriority w:val="1"/>
    <w:qFormat/>
    <w:pPr>
      <w:keepNext/>
      <w:spacing w:before="720" w:after="360"/>
      <w:contextualSpacing/>
      <w:jc w:val="center"/>
      <w:outlineLvl w:val="0"/>
    </w:pPr>
    <w:rPr>
      <w:rFonts w:ascii="Times New Roman Bold" w:hAnsi="Times New Roman Bold"/>
      <w:b/>
      <w:smallCaps/>
      <w:sz w:val="32"/>
    </w:rPr>
  </w:style>
  <w:style w:type="paragraph" w:customStyle="1" w:styleId="SubTitle1">
    <w:name w:val="SubTitle 1"/>
    <w:basedOn w:val="Normal"/>
    <w:next w:val="Normal"/>
    <w:uiPriority w:val="1"/>
    <w:qFormat/>
    <w:pPr>
      <w:spacing w:before="360" w:after="2000"/>
      <w:jc w:val="center"/>
    </w:pPr>
    <w:rPr>
      <w:b/>
      <w:sz w:val="40"/>
    </w:rPr>
  </w:style>
  <w:style w:type="paragraph" w:customStyle="1" w:styleId="SubTitle2">
    <w:name w:val="SubTitle 2"/>
    <w:basedOn w:val="Normal"/>
    <w:uiPriority w:val="1"/>
    <w:qFormat/>
    <w:pPr>
      <w:spacing w:after="280"/>
      <w:jc w:val="center"/>
    </w:pPr>
    <w:rPr>
      <w:b/>
      <w:sz w:val="32"/>
    </w:rPr>
  </w:style>
  <w:style w:type="paragraph" w:customStyle="1" w:styleId="TableListBullet">
    <w:name w:val="Table List Bullet"/>
    <w:basedOn w:val="TableText"/>
    <w:uiPriority w:val="1"/>
    <w:pPr>
      <w:numPr>
        <w:numId w:val="6"/>
      </w:numPr>
    </w:pPr>
  </w:style>
  <w:style w:type="paragraph" w:customStyle="1" w:styleId="TableListBulletLevel2">
    <w:name w:val="Table List Bullet (Level 2)"/>
    <w:basedOn w:val="TableText"/>
    <w:uiPriority w:val="1"/>
    <w:pPr>
      <w:numPr>
        <w:ilvl w:val="1"/>
        <w:numId w:val="6"/>
      </w:numPr>
    </w:pPr>
  </w:style>
  <w:style w:type="paragraph" w:customStyle="1" w:styleId="TableListBulletLevel3">
    <w:name w:val="Table List Bullet (Level 3)"/>
    <w:basedOn w:val="TableText"/>
    <w:uiPriority w:val="1"/>
    <w:semiHidden/>
    <w:unhideWhenUsed/>
    <w:pPr>
      <w:numPr>
        <w:ilvl w:val="2"/>
        <w:numId w:val="6"/>
      </w:numPr>
    </w:pPr>
  </w:style>
  <w:style w:type="paragraph" w:customStyle="1" w:styleId="TableListBulletLevel4">
    <w:name w:val="Table List Bullet (Level 4)"/>
    <w:basedOn w:val="TableText"/>
    <w:uiPriority w:val="1"/>
    <w:semiHidden/>
    <w:unhideWhenUsed/>
    <w:pPr>
      <w:numPr>
        <w:ilvl w:val="3"/>
        <w:numId w:val="6"/>
      </w:numPr>
    </w:pPr>
  </w:style>
  <w:style w:type="paragraph" w:customStyle="1" w:styleId="TableListDash">
    <w:name w:val="Table List Dash"/>
    <w:basedOn w:val="TableText"/>
    <w:uiPriority w:val="1"/>
    <w:pPr>
      <w:numPr>
        <w:numId w:val="5"/>
      </w:numPr>
    </w:pPr>
  </w:style>
  <w:style w:type="paragraph" w:customStyle="1" w:styleId="TableListDashLevel2">
    <w:name w:val="Table List Dash (Level 2)"/>
    <w:basedOn w:val="TableText"/>
    <w:uiPriority w:val="1"/>
    <w:pPr>
      <w:numPr>
        <w:ilvl w:val="1"/>
        <w:numId w:val="5"/>
      </w:numPr>
    </w:pPr>
  </w:style>
  <w:style w:type="paragraph" w:customStyle="1" w:styleId="TableListDashLevel3">
    <w:name w:val="Table List Dash (Level 3)"/>
    <w:basedOn w:val="TableText"/>
    <w:uiPriority w:val="1"/>
    <w:semiHidden/>
    <w:unhideWhenUsed/>
    <w:pPr>
      <w:numPr>
        <w:ilvl w:val="2"/>
        <w:numId w:val="5"/>
      </w:numPr>
    </w:pPr>
  </w:style>
  <w:style w:type="paragraph" w:customStyle="1" w:styleId="TableListDashLevel4">
    <w:name w:val="Table List Dash (Level 4)"/>
    <w:basedOn w:val="TableText"/>
    <w:uiPriority w:val="1"/>
    <w:semiHidden/>
    <w:unhideWhenUsed/>
    <w:pPr>
      <w:numPr>
        <w:ilvl w:val="3"/>
        <w:numId w:val="5"/>
      </w:numPr>
    </w:pPr>
  </w:style>
  <w:style w:type="paragraph" w:customStyle="1" w:styleId="TableListNumber">
    <w:name w:val="Table List Number"/>
    <w:basedOn w:val="TableText"/>
    <w:uiPriority w:val="1"/>
    <w:pPr>
      <w:numPr>
        <w:numId w:val="4"/>
      </w:numPr>
    </w:pPr>
  </w:style>
  <w:style w:type="paragraph" w:customStyle="1" w:styleId="TableListNumberLevel2">
    <w:name w:val="Table List Number (Level 2)"/>
    <w:basedOn w:val="TableText"/>
    <w:uiPriority w:val="1"/>
    <w:pPr>
      <w:numPr>
        <w:ilvl w:val="1"/>
        <w:numId w:val="4"/>
      </w:numPr>
    </w:pPr>
  </w:style>
  <w:style w:type="paragraph" w:customStyle="1" w:styleId="TableListNumberLevel3">
    <w:name w:val="Table List Number (Level 3)"/>
    <w:basedOn w:val="TableText"/>
    <w:uiPriority w:val="1"/>
    <w:semiHidden/>
    <w:unhideWhenUsed/>
    <w:pPr>
      <w:numPr>
        <w:ilvl w:val="2"/>
        <w:numId w:val="4"/>
      </w:numPr>
    </w:pPr>
  </w:style>
  <w:style w:type="paragraph" w:customStyle="1" w:styleId="TableListNumberLevel4">
    <w:name w:val="Table List Number (Level 4)"/>
    <w:basedOn w:val="TableText"/>
    <w:uiPriority w:val="1"/>
    <w:semiHidden/>
    <w:unhideWhenUsed/>
    <w:pPr>
      <w:numPr>
        <w:ilvl w:val="3"/>
        <w:numId w:val="4"/>
      </w:numPr>
    </w:pPr>
  </w:style>
  <w:style w:type="paragraph" w:customStyle="1" w:styleId="TableSource">
    <w:name w:val="Table Source"/>
    <w:basedOn w:val="Normal"/>
    <w:next w:val="Normal"/>
    <w:semiHidden/>
    <w:unhideWhenUsed/>
    <w:pPr>
      <w:spacing w:after="240"/>
    </w:pPr>
    <w:rPr>
      <w:sz w:val="18"/>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before="120"/>
    </w:pPr>
    <w:rPr>
      <w:b/>
      <w:i/>
    </w:rPr>
  </w:style>
  <w:style w:type="paragraph" w:styleId="Title">
    <w:name w:val="Title"/>
    <w:basedOn w:val="Normal"/>
    <w:next w:val="SubTitle1"/>
    <w:uiPriority w:val="1"/>
    <w:qFormat/>
    <w:pPr>
      <w:spacing w:before="3200" w:after="480"/>
      <w:jc w:val="center"/>
    </w:pPr>
    <w:rPr>
      <w:b/>
      <w:kern w:val="28"/>
      <w:sz w:val="48"/>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pPr>
    <w:rPr>
      <w:b/>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pPr>
    <w:rPr>
      <w:sz w:val="20"/>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pPr>
    <w:rPr>
      <w:noProof/>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ZCom">
    <w:name w:val="Z_Com"/>
    <w:basedOn w:val="Normal"/>
    <w:next w:val="Normal"/>
    <w:uiPriority w:val="2"/>
    <w:pPr>
      <w:widowControl w:val="0"/>
      <w:spacing w:before="90" w:after="0" w:line="240" w:lineRule="auto"/>
      <w:ind w:right="85"/>
      <w:jc w:val="left"/>
    </w:pPr>
    <w:rPr>
      <w:sz w:val="24"/>
    </w:r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Flag">
    <w:name w:val="Z_Flag"/>
    <w:basedOn w:val="Normal"/>
    <w:next w:val="Normal"/>
    <w:link w:val="ZFlagChar"/>
    <w:uiPriority w:val="2"/>
    <w:pPr>
      <w:widowControl w:val="0"/>
      <w:spacing w:after="0"/>
      <w:ind w:right="85"/>
    </w:pPr>
  </w:style>
  <w:style w:type="paragraph" w:customStyle="1" w:styleId="Citation">
    <w:name w:val="Citation"/>
    <w:basedOn w:val="Normal"/>
    <w:link w:val="CitationChar"/>
    <w:uiPriority w:val="1"/>
    <w:qFormat/>
    <w:pPr>
      <w:ind w:left="454" w:right="454"/>
    </w:pPr>
    <w:rPr>
      <w:i/>
    </w:rPr>
  </w:style>
  <w:style w:type="character" w:customStyle="1" w:styleId="CitationChar">
    <w:name w:val="Citation Char"/>
    <w:link w:val="Citation"/>
    <w:uiPriority w:val="1"/>
    <w:qFormat/>
    <w:rPr>
      <w:i/>
    </w:rPr>
  </w:style>
  <w:style w:type="paragraph" w:styleId="Footer">
    <w:name w:val="footer"/>
    <w:basedOn w:val="Normal"/>
    <w:link w:val="FooterChar"/>
    <w:uiPriority w:val="2"/>
    <w:pPr>
      <w:spacing w:after="0" w:line="240" w:lineRule="auto"/>
      <w:ind w:right="-567"/>
    </w:pPr>
    <w:rPr>
      <w:sz w:val="16"/>
    </w:rPr>
  </w:style>
  <w:style w:type="character" w:customStyle="1" w:styleId="FooterChar">
    <w:name w:val="Footer Char"/>
    <w:link w:val="Footer"/>
    <w:uiPriority w:val="2"/>
    <w:rPr>
      <w:sz w:val="16"/>
    </w:rPr>
  </w:style>
  <w:style w:type="paragraph" w:styleId="Header">
    <w:name w:val="header"/>
    <w:basedOn w:val="Normal"/>
    <w:link w:val="HeaderChar"/>
    <w:uiPriority w:val="2"/>
    <w:pPr>
      <w:tabs>
        <w:tab w:val="center" w:pos="4150"/>
        <w:tab w:val="right" w:pos="8306"/>
      </w:tabs>
    </w:pPr>
  </w:style>
  <w:style w:type="character" w:customStyle="1" w:styleId="HeaderChar">
    <w:name w:val="Header Char"/>
    <w:basedOn w:val="DefaultParagraphFont"/>
    <w:link w:val="Header"/>
    <w:uiPriority w:val="2"/>
    <w:rPr>
      <w:sz w:val="24"/>
    </w:rPr>
  </w:style>
  <w:style w:type="paragraph" w:styleId="MacroText">
    <w:name w:val="macro"/>
    <w:basedOn w:val="Normal"/>
    <w:link w:val="MacroTextChar"/>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1"/>
    <w:qFormat/>
    <w:rPr>
      <w:rFonts w:ascii="Courier New" w:hAnsi="Courier New"/>
      <w:sz w:val="20"/>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PropertiesTable">
    <w:name w:val="Properties Table"/>
    <w:basedOn w:val="TableNormal"/>
    <w:semiHidden/>
    <w:pPr>
      <w:spacing w:after="120" w:line="264" w:lineRule="auto"/>
    </w:pPr>
    <w:tblPr>
      <w:tblInd w:w="1984" w:type="dxa"/>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FE789E"/>
    <w:rPr>
      <w:color w:val="0563C1" w:themeColor="hyperlink"/>
      <w:u w:val="single"/>
    </w:rPr>
  </w:style>
  <w:style w:type="character" w:customStyle="1" w:styleId="Marker">
    <w:name w:val="Marker"/>
    <w:basedOn w:val="DefaultParagraphFont"/>
    <w:rsid w:val="00DC489A"/>
    <w:rPr>
      <w:color w:val="0000FF"/>
      <w:shd w:val="clear" w:color="auto" w:fill="auto"/>
    </w:rPr>
  </w:style>
  <w:style w:type="paragraph" w:customStyle="1" w:styleId="Pagedecouverture">
    <w:name w:val="Page de couverture"/>
    <w:basedOn w:val="Normal"/>
    <w:next w:val="Normal"/>
    <w:rsid w:val="00DC489A"/>
    <w:pPr>
      <w:spacing w:after="0" w:line="240" w:lineRule="auto"/>
    </w:pPr>
    <w:rPr>
      <w:rFonts w:eastAsiaTheme="minorHAnsi"/>
      <w:sz w:val="24"/>
      <w:szCs w:val="22"/>
      <w:lang w:eastAsia="en-US"/>
    </w:rPr>
  </w:style>
  <w:style w:type="paragraph" w:customStyle="1" w:styleId="FooterCoverPage">
    <w:name w:val="Footer Cover Page"/>
    <w:basedOn w:val="Normal"/>
    <w:link w:val="FooterCoverPageChar"/>
    <w:rsid w:val="00DC489A"/>
    <w:pPr>
      <w:tabs>
        <w:tab w:val="center" w:pos="4535"/>
        <w:tab w:val="right" w:pos="9071"/>
        <w:tab w:val="right" w:pos="9921"/>
      </w:tabs>
      <w:spacing w:before="360" w:after="0" w:line="240" w:lineRule="auto"/>
      <w:ind w:left="-850" w:right="-850"/>
      <w:jc w:val="left"/>
    </w:pPr>
    <w:rPr>
      <w:sz w:val="24"/>
    </w:rPr>
  </w:style>
  <w:style w:type="character" w:customStyle="1" w:styleId="ZFlagChar">
    <w:name w:val="Z_Flag Char"/>
    <w:basedOn w:val="DefaultParagraphFont"/>
    <w:link w:val="ZFlag"/>
    <w:uiPriority w:val="2"/>
    <w:rsid w:val="00DC489A"/>
    <w:rPr>
      <w:sz w:val="22"/>
    </w:rPr>
  </w:style>
  <w:style w:type="character" w:customStyle="1" w:styleId="FooterCoverPageChar">
    <w:name w:val="Footer Cover Page Char"/>
    <w:basedOn w:val="ZFlagChar"/>
    <w:link w:val="FooterCoverPage"/>
    <w:rsid w:val="00DC489A"/>
    <w:rPr>
      <w:sz w:val="22"/>
    </w:rPr>
  </w:style>
  <w:style w:type="paragraph" w:customStyle="1" w:styleId="FooterSensitivity">
    <w:name w:val="Footer Sensitivity"/>
    <w:basedOn w:val="Normal"/>
    <w:link w:val="FooterSensitivityChar"/>
    <w:rsid w:val="00DC489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ZFlagChar"/>
    <w:link w:val="FooterSensitivity"/>
    <w:rsid w:val="00DC489A"/>
    <w:rPr>
      <w:b/>
      <w:sz w:val="32"/>
    </w:rPr>
  </w:style>
  <w:style w:type="paragraph" w:customStyle="1" w:styleId="HeaderCoverPage">
    <w:name w:val="Header Cover Page"/>
    <w:basedOn w:val="Normal"/>
    <w:link w:val="HeaderCoverPageChar"/>
    <w:rsid w:val="00DC489A"/>
    <w:pPr>
      <w:tabs>
        <w:tab w:val="center" w:pos="4535"/>
        <w:tab w:val="right" w:pos="9071"/>
      </w:tabs>
      <w:spacing w:line="240" w:lineRule="auto"/>
    </w:pPr>
    <w:rPr>
      <w:sz w:val="24"/>
    </w:rPr>
  </w:style>
  <w:style w:type="character" w:customStyle="1" w:styleId="HeaderCoverPageChar">
    <w:name w:val="Header Cover Page Char"/>
    <w:basedOn w:val="ZFlagChar"/>
    <w:link w:val="HeaderCoverPage"/>
    <w:rsid w:val="00DC489A"/>
    <w:rPr>
      <w:sz w:val="22"/>
    </w:rPr>
  </w:style>
  <w:style w:type="paragraph" w:customStyle="1" w:styleId="HeaderSensitivity">
    <w:name w:val="Header Sensitivity"/>
    <w:basedOn w:val="Normal"/>
    <w:link w:val="HeaderSensitivityChar"/>
    <w:rsid w:val="00DC489A"/>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ZFlagChar"/>
    <w:link w:val="HeaderSensitivity"/>
    <w:rsid w:val="00DC489A"/>
    <w:rPr>
      <w:b/>
      <w:sz w:val="32"/>
    </w:rPr>
  </w:style>
  <w:style w:type="paragraph" w:customStyle="1" w:styleId="HeaderSensitivityRight">
    <w:name w:val="Header Sensitivity Right"/>
    <w:basedOn w:val="Normal"/>
    <w:link w:val="HeaderSensitivityRightChar"/>
    <w:rsid w:val="00DC489A"/>
    <w:pPr>
      <w:spacing w:line="240" w:lineRule="auto"/>
      <w:jc w:val="right"/>
    </w:pPr>
    <w:rPr>
      <w:sz w:val="28"/>
    </w:rPr>
  </w:style>
  <w:style w:type="character" w:customStyle="1" w:styleId="HeaderSensitivityRightChar">
    <w:name w:val="Header Sensitivity Right Char"/>
    <w:basedOn w:val="ZFlagChar"/>
    <w:link w:val="HeaderSensitivityRight"/>
    <w:rsid w:val="00DC489A"/>
    <w:rPr>
      <w:sz w:val="28"/>
    </w:rPr>
  </w:style>
  <w:style w:type="paragraph" w:styleId="ListNumber3">
    <w:name w:val="List Number 3"/>
    <w:basedOn w:val="Normal"/>
    <w:semiHidden/>
    <w:locked/>
    <w:rsid w:val="00623B82"/>
    <w:pPr>
      <w:numPr>
        <w:numId w:val="11"/>
      </w:numPr>
      <w:contextualSpacing/>
    </w:pPr>
  </w:style>
  <w:style w:type="paragraph" w:styleId="ListNumber2">
    <w:name w:val="List Number 2"/>
    <w:basedOn w:val="Normal"/>
    <w:semiHidden/>
    <w:locked/>
    <w:rsid w:val="00623B82"/>
    <w:pPr>
      <w:numPr>
        <w:numId w:val="12"/>
      </w:numPr>
      <w:contextualSpacing/>
    </w:pPr>
  </w:style>
  <w:style w:type="paragraph" w:styleId="ListBullet3">
    <w:name w:val="List Bullet 3"/>
    <w:basedOn w:val="Normal"/>
    <w:semiHidden/>
    <w:locked/>
    <w:rsid w:val="004F6F3F"/>
    <w:pPr>
      <w:numPr>
        <w:numId w:val="13"/>
      </w:numPr>
      <w:contextualSpacing/>
    </w:pPr>
  </w:style>
  <w:style w:type="paragraph" w:styleId="ListBullet2">
    <w:name w:val="List Bullet 2"/>
    <w:basedOn w:val="Normal"/>
    <w:semiHidden/>
    <w:locked/>
    <w:rsid w:val="004F6F3F"/>
    <w:pPr>
      <w:numPr>
        <w:numId w:val="14"/>
      </w:numPr>
      <w:contextualSpacing/>
    </w:p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FR,F"/>
    <w:basedOn w:val="DefaultParagraphFont"/>
    <w:link w:val="Nota"/>
    <w:uiPriority w:val="99"/>
    <w:qFormat/>
    <w:locked/>
    <w:rsid w:val="00AC5DD3"/>
    <w:rPr>
      <w:vertAlign w:val="superscript"/>
    </w:rPr>
  </w:style>
  <w:style w:type="paragraph" w:styleId="ListParagraph">
    <w:name w:val="List Paragraph"/>
    <w:basedOn w:val="Normal"/>
    <w:uiPriority w:val="34"/>
    <w:qFormat/>
    <w:locked/>
    <w:rsid w:val="00101327"/>
    <w:pPr>
      <w:spacing w:after="0" w:line="240" w:lineRule="auto"/>
      <w:ind w:left="720"/>
      <w:jc w:val="left"/>
    </w:pPr>
    <w:rPr>
      <w:rFonts w:ascii="Calibri" w:hAnsi="Calibri"/>
      <w:szCs w:val="22"/>
      <w:lang w:eastAsia="en-US"/>
    </w:rPr>
  </w:style>
  <w:style w:type="table" w:styleId="GridTable4-Accent1">
    <w:name w:val="Grid Table 4 Accent 1"/>
    <w:basedOn w:val="TableNormal"/>
    <w:locked/>
    <w:rsid w:val="002F71B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FootnoteTextChar">
    <w:name w:val="Footnote Text Char"/>
    <w:aliases w:val="Fußnote Char,fn Char,Footnotes Char,Footnote ak Char,ft Char,Char Char,Carattere Char,Footnote Text Char Char Char,fn Char Char Char,footnote text Char Char Char,Footnotes Char Char Char,Footnote ak Char Char Char,fn Char1 Char"/>
    <w:basedOn w:val="DefaultParagraphFont"/>
    <w:link w:val="FootnoteText"/>
    <w:uiPriority w:val="99"/>
    <w:qFormat/>
    <w:rsid w:val="006C7D78"/>
    <w:rPr>
      <w:sz w:val="20"/>
    </w:rPr>
  </w:style>
  <w:style w:type="paragraph" w:styleId="TableofFigures">
    <w:name w:val="table of figures"/>
    <w:basedOn w:val="Normal"/>
    <w:next w:val="Normal"/>
    <w:uiPriority w:val="99"/>
    <w:locked/>
    <w:rsid w:val="00440F24"/>
    <w:pPr>
      <w:spacing w:after="0"/>
    </w:pPr>
  </w:style>
  <w:style w:type="paragraph" w:styleId="NormalWeb">
    <w:name w:val="Normal (Web)"/>
    <w:basedOn w:val="Normal"/>
    <w:uiPriority w:val="99"/>
    <w:semiHidden/>
    <w:unhideWhenUsed/>
    <w:locked/>
    <w:rsid w:val="00B844C4"/>
    <w:pPr>
      <w:spacing w:before="100" w:beforeAutospacing="1" w:after="100" w:afterAutospacing="1" w:line="240" w:lineRule="auto"/>
      <w:jc w:val="left"/>
    </w:pPr>
    <w:rPr>
      <w:sz w:val="24"/>
      <w:szCs w:val="24"/>
    </w:rPr>
  </w:style>
  <w:style w:type="paragraph" w:customStyle="1" w:styleId="Text1">
    <w:name w:val="Text 1"/>
    <w:basedOn w:val="Normal"/>
    <w:qFormat/>
    <w:rsid w:val="00D11191"/>
    <w:pPr>
      <w:spacing w:after="240" w:line="240" w:lineRule="auto"/>
      <w:ind w:left="482"/>
    </w:pPr>
    <w:rPr>
      <w:sz w:val="24"/>
    </w:rPr>
  </w:style>
  <w:style w:type="paragraph" w:customStyle="1" w:styleId="Default">
    <w:name w:val="Default"/>
    <w:rsid w:val="00C77AE2"/>
    <w:pPr>
      <w:autoSpaceDE w:val="0"/>
      <w:autoSpaceDN w:val="0"/>
      <w:adjustRightInd w:val="0"/>
    </w:pPr>
    <w:rPr>
      <w:color w:val="000000"/>
      <w:szCs w:val="24"/>
    </w:rPr>
  </w:style>
  <w:style w:type="character" w:styleId="CommentReference">
    <w:name w:val="annotation reference"/>
    <w:basedOn w:val="DefaultParagraphFont"/>
    <w:uiPriority w:val="99"/>
    <w:semiHidden/>
    <w:locked/>
    <w:rsid w:val="00602423"/>
    <w:rPr>
      <w:sz w:val="16"/>
      <w:szCs w:val="16"/>
    </w:rPr>
  </w:style>
  <w:style w:type="paragraph" w:styleId="CommentText">
    <w:name w:val="annotation text"/>
    <w:basedOn w:val="Normal"/>
    <w:link w:val="CommentTextChar"/>
    <w:uiPriority w:val="99"/>
    <w:semiHidden/>
    <w:locked/>
    <w:rsid w:val="00602423"/>
    <w:pPr>
      <w:spacing w:line="240" w:lineRule="auto"/>
    </w:pPr>
    <w:rPr>
      <w:sz w:val="20"/>
    </w:rPr>
  </w:style>
  <w:style w:type="character" w:customStyle="1" w:styleId="CommentTextChar">
    <w:name w:val="Comment Text Char"/>
    <w:basedOn w:val="DefaultParagraphFont"/>
    <w:link w:val="CommentText"/>
    <w:uiPriority w:val="99"/>
    <w:semiHidden/>
    <w:rsid w:val="00602423"/>
    <w:rPr>
      <w:sz w:val="20"/>
    </w:rPr>
  </w:style>
  <w:style w:type="paragraph" w:styleId="CommentSubject">
    <w:name w:val="annotation subject"/>
    <w:basedOn w:val="CommentText"/>
    <w:next w:val="CommentText"/>
    <w:link w:val="CommentSubjectChar"/>
    <w:semiHidden/>
    <w:locked/>
    <w:rsid w:val="00602423"/>
    <w:rPr>
      <w:b/>
      <w:bCs/>
    </w:rPr>
  </w:style>
  <w:style w:type="character" w:customStyle="1" w:styleId="CommentSubjectChar">
    <w:name w:val="Comment Subject Char"/>
    <w:basedOn w:val="CommentTextChar"/>
    <w:link w:val="CommentSubject"/>
    <w:semiHidden/>
    <w:rsid w:val="00602423"/>
    <w:rPr>
      <w:b/>
      <w:bCs/>
      <w:sz w:val="20"/>
    </w:rPr>
  </w:style>
  <w:style w:type="paragraph" w:styleId="BalloonText">
    <w:name w:val="Balloon Text"/>
    <w:basedOn w:val="Normal"/>
    <w:link w:val="BalloonTextChar"/>
    <w:semiHidden/>
    <w:locked/>
    <w:rsid w:val="00602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02423"/>
    <w:rPr>
      <w:rFonts w:ascii="Segoe UI" w:hAnsi="Segoe UI" w:cs="Segoe UI"/>
      <w:sz w:val="18"/>
      <w:szCs w:val="18"/>
    </w:rPr>
  </w:style>
  <w:style w:type="table" w:styleId="GridTable4-Accent5">
    <w:name w:val="Grid Table 4 Accent 5"/>
    <w:basedOn w:val="TableNormal"/>
    <w:locked/>
    <w:rsid w:val="00A839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rsid w:val="008A4E1B"/>
  </w:style>
  <w:style w:type="character" w:styleId="Emphasis">
    <w:name w:val="Emphasis"/>
    <w:basedOn w:val="DefaultParagraphFont"/>
    <w:uiPriority w:val="20"/>
    <w:qFormat/>
    <w:locked/>
    <w:rsid w:val="00BB428C"/>
    <w:rPr>
      <w:i/>
      <w:iCs/>
    </w:rPr>
  </w:style>
  <w:style w:type="character" w:styleId="FollowedHyperlink">
    <w:name w:val="FollowedHyperlink"/>
    <w:basedOn w:val="DefaultParagraphFont"/>
    <w:semiHidden/>
    <w:locked/>
    <w:rsid w:val="00CA6A5F"/>
    <w:rPr>
      <w:color w:val="954F72" w:themeColor="followedHyperlink"/>
      <w:u w:val="single"/>
    </w:rPr>
  </w:style>
  <w:style w:type="paragraph" w:styleId="BodyTextIndent">
    <w:name w:val="Body Text Indent"/>
    <w:basedOn w:val="Normal"/>
    <w:link w:val="BodyTextIndentChar"/>
    <w:uiPriority w:val="99"/>
    <w:semiHidden/>
    <w:unhideWhenUsed/>
    <w:locked/>
    <w:rsid w:val="007868A2"/>
    <w:pPr>
      <w:spacing w:before="40" w:line="288" w:lineRule="auto"/>
      <w:ind w:left="360"/>
      <w:jc w:val="left"/>
    </w:pPr>
    <w:rPr>
      <w:rFonts w:asciiTheme="minorHAnsi" w:eastAsiaTheme="minorHAnsi" w:hAnsiTheme="minorHAnsi" w:cstheme="minorBidi"/>
      <w:color w:val="595959" w:themeColor="text1" w:themeTint="A6"/>
      <w:kern w:val="20"/>
      <w:sz w:val="20"/>
      <w:lang w:val="en-US" w:eastAsia="ja-JP"/>
    </w:rPr>
  </w:style>
  <w:style w:type="character" w:customStyle="1" w:styleId="BodyTextIndentChar">
    <w:name w:val="Body Text Indent Char"/>
    <w:basedOn w:val="DefaultParagraphFont"/>
    <w:link w:val="BodyTextIndent"/>
    <w:uiPriority w:val="99"/>
    <w:semiHidden/>
    <w:rsid w:val="007868A2"/>
    <w:rPr>
      <w:rFonts w:asciiTheme="minorHAnsi" w:eastAsiaTheme="minorHAnsi" w:hAnsiTheme="minorHAnsi" w:cstheme="minorBidi"/>
      <w:color w:val="595959" w:themeColor="text1" w:themeTint="A6"/>
      <w:kern w:val="20"/>
      <w:sz w:val="20"/>
      <w:lang w:val="en-US" w:eastAsia="ja-JP"/>
    </w:rPr>
  </w:style>
  <w:style w:type="paragraph" w:customStyle="1" w:styleId="Nota">
    <w:name w:val="Nota"/>
    <w:aliases w:val=" Char1,Char1,(NECG) Footnote Reference,fr,Appel note de bas de p,o,Style 6,Signature Ch,Fußnotenzeichen3,Footnote Reference_LVL6,Footnote Reference_LVL61,Footnote Reference_LVL62,Ch,de nota al pi..."/>
    <w:basedOn w:val="Normal"/>
    <w:link w:val="FootnoteReference"/>
    <w:uiPriority w:val="99"/>
    <w:rsid w:val="00840DCF"/>
    <w:pPr>
      <w:spacing w:after="160" w:line="240" w:lineRule="exact"/>
    </w:pPr>
    <w:rPr>
      <w:sz w:val="24"/>
      <w:vertAlign w:val="superscript"/>
    </w:rPr>
  </w:style>
  <w:style w:type="paragraph" w:styleId="ListBullet5">
    <w:name w:val="List Bullet 5"/>
    <w:basedOn w:val="Normal"/>
    <w:uiPriority w:val="99"/>
    <w:semiHidden/>
    <w:unhideWhenUsed/>
    <w:locked/>
    <w:rsid w:val="00840DCF"/>
    <w:pPr>
      <w:numPr>
        <w:numId w:val="26"/>
      </w:numPr>
      <w:spacing w:before="40" w:after="160" w:line="288" w:lineRule="auto"/>
      <w:contextualSpacing/>
      <w:jc w:val="left"/>
    </w:pPr>
    <w:rPr>
      <w:rFonts w:asciiTheme="minorHAnsi" w:eastAsiaTheme="minorHAnsi" w:hAnsiTheme="minorHAnsi" w:cstheme="minorBidi"/>
      <w:color w:val="595959" w:themeColor="text1" w:themeTint="A6"/>
      <w:kern w:val="20"/>
      <w:sz w:val="20"/>
      <w:lang w:val="en-US" w:eastAsia="ja-JP"/>
    </w:rPr>
  </w:style>
  <w:style w:type="table" w:styleId="GridTable5Dark-Accent1">
    <w:name w:val="Grid Table 5 Dark Accent 1"/>
    <w:basedOn w:val="TableNormal"/>
    <w:uiPriority w:val="50"/>
    <w:locked/>
    <w:rsid w:val="000949A1"/>
    <w:pPr>
      <w:spacing w:before="40"/>
    </w:pPr>
    <w:rPr>
      <w:rFonts w:asciiTheme="minorHAnsi" w:eastAsiaTheme="minorHAnsi" w:hAnsiTheme="minorHAnsi" w:cstheme="minorBidi"/>
      <w:color w:val="595959" w:themeColor="text1" w:themeTint="A6"/>
      <w:sz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Revision">
    <w:name w:val="Revision"/>
    <w:hidden/>
    <w:semiHidden/>
    <w:locked/>
    <w:rsid w:val="00804B53"/>
    <w:rPr>
      <w:sz w:val="22"/>
    </w:rPr>
  </w:style>
  <w:style w:type="character" w:customStyle="1" w:styleId="superscript">
    <w:name w:val="superscript"/>
    <w:basedOn w:val="DefaultParagraphFont"/>
    <w:rsid w:val="00170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979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2.emf"/><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nti-fraud.ec.europa.eu/system/files/2022-09/pif-report-2021_en_0.pdf" TargetMode="External"/><Relationship Id="rId33" Type="http://schemas.openxmlformats.org/officeDocument/2006/relationships/image" Target="media/image9.emf"/><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5.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ur-lex.europa.eu/legal-content/EN/TXT/?uri=CELEX%3A12016E325" TargetMode="External"/><Relationship Id="rId32" Type="http://schemas.openxmlformats.org/officeDocument/2006/relationships/image" Target="media/image8.png"/><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4.emf"/><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3.emf"/><Relationship Id="rId30" Type="http://schemas.openxmlformats.org/officeDocument/2006/relationships/image" Target="media/image6.png"/><Relationship Id="rId35"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https://anti-fraud.ec.europa.eu/document/download/ac7fe82e-c7df-44c0-8df7-277f73032d4b_en?filename=pif-report-2021_en_0.pdf" TargetMode="External"/><Relationship Id="rId3" Type="http://schemas.openxmlformats.org/officeDocument/2006/relationships/hyperlink" Target="https://anti-fraud.ec.europa.eu/system/files/2022-09/pif-report-2021_en_0.pdf" TargetMode="External"/><Relationship Id="rId7" Type="http://schemas.openxmlformats.org/officeDocument/2006/relationships/hyperlink" Target="https://ec.europa.eu/olaf-report/2022/investigative-activities/protecting-eu-revenue/conducting-joint-customs-operations_en.html" TargetMode="External"/><Relationship Id="rId2" Type="http://schemas.openxmlformats.org/officeDocument/2006/relationships/hyperlink" Target="https://anti-fraud.ec.europa.eu/system/files/2022-09/pif-report-2021_en_0.pdf" TargetMode="External"/><Relationship Id="rId1" Type="http://schemas.openxmlformats.org/officeDocument/2006/relationships/hyperlink" Target="https://anti-fraud.ec.europa.eu/system/files/2022-09/pif-report-2021_en_0.pdf" TargetMode="External"/><Relationship Id="rId6" Type="http://schemas.openxmlformats.org/officeDocument/2006/relationships/hyperlink" Target="https://www.eppo.europa.eu/sites/default/files/2023-02/EPPO_2022_Annual_Report_EN_WEB.pdf" TargetMode="External"/><Relationship Id="rId5" Type="http://schemas.openxmlformats.org/officeDocument/2006/relationships/hyperlink" Target="https://anti-fraud.ec.europa.eu/about-us/reports/annual-olaf-reports_en" TargetMode="External"/><Relationship Id="rId4" Type="http://schemas.openxmlformats.org/officeDocument/2006/relationships/hyperlink" Target="https://oeil.secure.europarl.europa.eu/oeil/popups/ficheprocedure.do?lang=en&amp;reference=2022/2152(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TOCHeading>Table of Contents</TOCHeading>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TechHistoryCreatedBy>Document created by</TechHistoryCreatedBy>
  <TechHistoryDate>Date</TechHistoryDate>
  <TechHistory>Document History</TechHistory>
  <TechHistoryComment>Comment</TechHistoryComment>
  <TechHistoryVersion>Version</TechHistoryVersion>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TechPropsRefno>Reference Number:</TechPropsRefno>
  <TechPropsRevised>Revised by:</TechPropsRevised>
  <TechPropsVersion>Version:</TechPropsVersion>
  <TechPropsApproved>Approved by:</TechPropsApproved>
  <TechPropsAuthors>Authors:</TechPropsAuthors>
  <TechPropsPublic>Public:</TechPropsPublic>
  <TechPropsDate>Date:</TechPropsDate>
  <TechFooterVersion>Document Version</TechFooterVersion>
  <TechFooterDated>dated</TechFooterDated>
  <LabelPictureSeq>Figure {SEQ Figure \* ARABIC }: </LabelPictureSeq>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LabelFormattedFigureSeqEC>Figure {field: SEQ Figure \* ARABIC }: </LabelFormattedFigureSeqEC>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ebab0b06-132a-4722-b111-58c14cc28097</Id>
  <Names>
    <Latin>
      <FirstName>Andrea</FirstName>
      <LastName>BORDONI</LastName>
    </Latin>
    <Greek>
      <FirstName/>
      <LastName/>
    </Greek>
    <Cyrillic>
      <FirstName/>
      <LastName/>
    </Cyrillic>
    <DocumentScript>
      <FirstName>Andrea</FirstName>
      <LastName>BORDONI</LastName>
      <FullName>Andrea BORDONI, Madeleine PUMBERGER</FullName>
    </DocumentScript>
  </Names>
  <Initials>AB</Initials>
  <Gender>m</Gender>
  <Email>Andrea.BORDONI@ec.europa.eu</Email>
  <Service>OLAF.C.1</Service>
  <Function ADCode="40" ShowInSignature="true" ShowInHeader="false" HeaderText="">Deputy Head of Unit</Function>
  <WebAddress/>
  <FunctionalMailbox/>
  <InheritedWebAddress>WebAddress</InheritedWebAddress>
  <OrgaEntity1>
    <Id>4860eea2-955d-4a36-8fc6-a21b0a853276</Id>
    <LogicalLevel>1</LogicalLevel>
    <Name>OLAF</Name>
    <HeadLine1>EUROPEAN ANTI-FRAUD OFFICE</HeadLine1>
    <HeadLine2/>
    <PrimaryAddressId>f03b5801-04c9-4931-aa17-c6d6c70bc579</PrimaryAddressId>
    <SecondaryAddressId/>
    <WebAddress>WebAddress</WebAddress>
    <InheritedWebAddress>WebAddress</InheritedWebAddress>
    <ShowInHeader>true</ShowInHeader>
  </OrgaEntity1>
  <OrgaEntity2>
    <Id>b15a73a9-fed8-4740-99a9-40ed6e43144e</Id>
    <LogicalLevel>2</LogicalLevel>
    <Name>OLAF.C</Name>
    <HeadLine1>Anti-Fraud Knowledge Centre</HeadLine1>
    <HeadLine2/>
    <PrimaryAddressId>f03b5801-04c9-4931-aa17-c6d6c70bc579</PrimaryAddressId>
    <SecondaryAddressId/>
    <WebAddress/>
    <InheritedWebAddress>WebAddress</InheritedWebAddress>
    <ShowInHeader>true</ShowInHeader>
  </OrgaEntity2>
  <OrgaEntity3>
    <Id>36abc2e7-3dfe-401c-a1bb-9b0677bbf6b8</Id>
    <LogicalLevel>3</LogicalLevel>
    <Name>OLAF.C.1</Name>
    <HeadLine1>Anti-Corruption, Anti-Fraud Strategy and Analysis</HeadLine1>
    <HeadLine2/>
    <PrimaryAddressId>f03b5801-04c9-4931-aa17-c6d6c70bc579</PrimaryAddressId>
    <SecondaryAddressId/>
    <WebAddress/>
    <InheritedWebAddress>WebAddress</InheritedWebAddress>
    <ShowInHeader>true</ShowInHeader>
  </OrgaEntity3>
  <Hierarchy>
    <OrgaEntity>
      <Id>4860eea2-955d-4a36-8fc6-a21b0a853276</Id>
      <LogicalLevel>1</LogicalLevel>
      <Name>OLAF</Name>
      <HeadLine1>EUROPEAN ANTI-FRAUD OFFICE</HeadLine1>
      <HeadLine2/>
      <PrimaryAddressId>f03b5801-04c9-4931-aa17-c6d6c70bc579</PrimaryAddressId>
      <SecondaryAddressId/>
      <WebAddress>WebAddress</WebAddress>
      <InheritedWebAddress>WebAddress</InheritedWebAddress>
      <ShowInHeader>true</ShowInHeader>
    </OrgaEntity>
    <OrgaEntity>
      <Id>b15a73a9-fed8-4740-99a9-40ed6e43144e</Id>
      <LogicalLevel>2</LogicalLevel>
      <Name>OLAF.C</Name>
      <HeadLine1>Anti-Fraud Knowledge Centre</HeadLine1>
      <HeadLine2/>
      <PrimaryAddressId>f03b5801-04c9-4931-aa17-c6d6c70bc579</PrimaryAddressId>
      <SecondaryAddressId/>
      <WebAddress/>
      <InheritedWebAddress>WebAddress</InheritedWebAddress>
      <ShowInHeader>true</ShowInHeader>
    </OrgaEntity>
    <OrgaEntity>
      <Id>36abc2e7-3dfe-401c-a1bb-9b0677bbf6b8</Id>
      <LogicalLevel>3</LogicalLevel>
      <Name>OLAF.C.1</Name>
      <HeadLine1>Anti-Corruption, Anti-Fraud Strategy and Analysis</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+32 229-67737</Phone>
    <Office>J-30 06/015</Office>
  </MainWorkplace>
  <Workplaces>
    <Workplace IsMain="true">
      <AddressId>f03b5801-04c9-4931-aa17-c6d6c70bc579</AddressId>
      <Fax/>
      <Phone>+32 229-67737</Phone>
      <Office>J-30 06/015</Office>
    </Workplace>
    <Workplace IsMain="false">
      <AddressId>1264fb81-f6bb-475e-9f9d-a937d3be6ee2</AddressId>
      <Fax/>
      <Phone/>
      <Office/>
    </Workplace>
  </Workplaces>
</Author>
</file>

<file path=customXml/item3.xml><?xml version="1.0" encoding="utf-8"?>
<EurolookProperties>
  <ProductCustomizationId>EC</ProductCustomizationId>
  <Created>
    <Version>10.0.43105.0</Version>
    <Date>2022-05-20T17:29:16</Date>
    <Language>EN</Language>
    <Note/>
  </Created>
  <Edited>
    <Version/>
    <Date/>
  </Edited>
  <DocumentModel>
    <Id>34954475-997f-4cb0-a95b-7f65298f3d8c</Id>
    <Name>Report (long)</Name>
  </DocumentModel>
  <DocumentDate>2022-06-20T00:00:00</DocumentDate>
  <DocumentVersion>1.1</DocumentVersion>
  <CompatibilityMode>Eurolook10</CompatibilityMode>
  <DocumentMetadata>
    <EC_SecurityDateMarkingDate MetadataSerializationType="SimpleValue"/>
    <EC_SecurityReleasability MetadataSerializationType="SimpleValue"/>
    <EC_SecurityDistributionWorkingGroup MetadataSerializationType="SimpleValue"/>
    <EC_SecurityDistributionDG MetadataSerializationType="SimpleValue"/>
    <EC_SecurityDistributionSensitive MetadataSerializationType="SimpleValue"/>
    <EC_SecurityDistributionSpecialHandling MetadataSerializationType="SimpleValue"/>
    <EC_SecurityMarking MetadataSerializationType="SimpleValue"/>
    <EC_SecurityDateMarking MetadataSerializationType="SimpleValue"/>
    <EC_SecurityDateMarkingEvent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7816110-6CF9-4EFA-B2F9-8353C7D2C589}">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65866C20-69E2-4A06-AAC3-B26E70B8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8941</Words>
  <Characters>51773</Characters>
  <Application>Microsoft Office Word</Application>
  <DocSecurity>0</DocSecurity>
  <PresentationFormat>Microsoft Word 14.0</PresentationFormat>
  <Lines>877</Lines>
  <Paragraphs>384</Paragraphs>
  <ScaleCrop>true</ScaleCrop>
  <HeadingPairs>
    <vt:vector size="2" baseType="variant">
      <vt:variant>
        <vt:lpstr>Title</vt:lpstr>
      </vt:variant>
      <vt:variant>
        <vt:i4>1</vt:i4>
      </vt:variant>
    </vt:vector>
  </HeadingPairs>
  <TitlesOfParts>
    <vt:vector size="1" baseType="lpstr">
      <vt:lpstr>33rd Annual Report on the protection of the EU financial interests and the fight against fraud</vt:lpstr>
    </vt:vector>
  </TitlesOfParts>
  <Manager/>
  <Company/>
  <LinksUpToDate>false</LinksUpToDate>
  <CharactersWithSpaces>60330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33rd Annual Report on the protection of the EU financial interests and the fight against fraud</dc:title>
  <dc:subject>2021</dc:subject>
  <dc:creator/>
  <cp:keywords/>
  <dc:description/>
  <cp:lastModifiedBy>EC CoDe</cp:lastModifiedBy>
  <cp:revision>29</cp:revision>
  <dcterms:created xsi:type="dcterms:W3CDTF">2023-07-12T15:17:00Z</dcterms:created>
  <dcterms:modified xsi:type="dcterms:W3CDTF">2023-07-19T11:39:00Z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ELDocType">
    <vt:lpwstr>tech.dot</vt:lpwstr>
  </property>
  <property fmtid="{D5CDD505-2E9C-101B-9397-08002B2CF9AE}" pid="11" name="MSIP_Label_f4cdc456-5864-460f-beda-883d23b78bbb_Enabled">
    <vt:lpwstr>true</vt:lpwstr>
  </property>
  <property fmtid="{D5CDD505-2E9C-101B-9397-08002B2CF9AE}" pid="12" name="MSIP_Label_f4cdc456-5864-460f-beda-883d23b78bbb_SetDate">
    <vt:lpwstr>2023-05-31T09:45:13Z</vt:lpwstr>
  </property>
  <property fmtid="{D5CDD505-2E9C-101B-9397-08002B2CF9AE}" pid="13" name="MSIP_Label_f4cdc456-5864-460f-beda-883d23b78bbb_Method">
    <vt:lpwstr>Privileged</vt:lpwstr>
  </property>
  <property fmtid="{D5CDD505-2E9C-101B-9397-08002B2CF9AE}" pid="14" name="MSIP_Label_f4cdc456-5864-460f-beda-883d23b78bbb_Name">
    <vt:lpwstr>Publicly Available</vt:lpwstr>
  </property>
  <property fmtid="{D5CDD505-2E9C-101B-9397-08002B2CF9AE}" pid="15" name="MSIP_Label_f4cdc456-5864-460f-beda-883d23b78bbb_SiteId">
    <vt:lpwstr>b24c8b06-522c-46fe-9080-70926f8dddb1</vt:lpwstr>
  </property>
  <property fmtid="{D5CDD505-2E9C-101B-9397-08002B2CF9AE}" pid="16" name="MSIP_Label_f4cdc456-5864-460f-beda-883d23b78bbb_ActionId">
    <vt:lpwstr>2ca93625-0f0e-47ea-826c-ac4524997de5</vt:lpwstr>
  </property>
  <property fmtid="{D5CDD505-2E9C-101B-9397-08002B2CF9AE}" pid="17" name="MSIP_Label_f4cdc456-5864-460f-beda-883d23b78bbb_ContentBits">
    <vt:lpwstr>0</vt:lpwstr>
  </property>
</Properties>
</file>