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063D93" w14:textId="5B6E8078" w:rsidR="0090164C" w:rsidRPr="001768B8" w:rsidRDefault="00E61849" w:rsidP="00E61849">
      <w:pPr>
        <w:pStyle w:val="Pagedecouverture"/>
        <w:rPr>
          <w:noProof/>
        </w:rPr>
      </w:pPr>
      <w:bookmarkStart w:id="0" w:name="LW_BM_COVERPAGE"/>
      <w:r>
        <w:rPr>
          <w:noProof/>
        </w:rPr>
        <w:pict w14:anchorId="3DDFF0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3843B9D5-3C75-4846-9793-C3A5FCF007DE" style="width:455.25pt;height:310.5pt">
            <v:imagedata r:id="rId8" o:title=""/>
          </v:shape>
        </w:pict>
      </w:r>
    </w:p>
    <w:bookmarkEnd w:id="0"/>
    <w:p w14:paraId="57750A2A" w14:textId="77777777" w:rsidR="0090164C" w:rsidRPr="001768B8" w:rsidRDefault="0090164C">
      <w:pPr>
        <w:rPr>
          <w:rFonts w:ascii="Times New Roman" w:hAnsi="Times New Roman"/>
          <w:noProof/>
        </w:rPr>
        <w:sectPr w:rsidR="0090164C" w:rsidRPr="001768B8" w:rsidSect="00E61849">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4013DE53" w14:textId="77777777" w:rsidR="00923FE1" w:rsidRPr="001768B8" w:rsidRDefault="0090164C" w:rsidP="00923FE1">
      <w:pPr>
        <w:pStyle w:val="ManualHeading1"/>
        <w:rPr>
          <w:noProof/>
        </w:rPr>
      </w:pPr>
      <w:bookmarkStart w:id="1" w:name="_GoBack"/>
      <w:bookmarkEnd w:id="1"/>
      <w:r>
        <w:rPr>
          <w:noProof/>
        </w:rPr>
        <w:lastRenderedPageBreak/>
        <w:t>1.</w:t>
      </w:r>
      <w:r>
        <w:rPr>
          <w:noProof/>
        </w:rPr>
        <w:tab/>
        <w:t>Bevezetés</w:t>
      </w:r>
    </w:p>
    <w:p w14:paraId="5544F3A9" w14:textId="728F3B46" w:rsidR="00923FE1" w:rsidRPr="001768B8" w:rsidRDefault="006203FB" w:rsidP="00923FE1">
      <w:pPr>
        <w:jc w:val="both"/>
        <w:rPr>
          <w:rFonts w:ascii="Times New Roman" w:hAnsi="Times New Roman"/>
          <w:noProof/>
        </w:rPr>
      </w:pPr>
      <w:r>
        <w:rPr>
          <w:rFonts w:ascii="Times New Roman" w:hAnsi="Times New Roman"/>
          <w:noProof/>
        </w:rPr>
        <w:t>Az Európai Gazdasági Térségről szóló megállapodás (a továbbiakban: az EGT-megállapodás) személyek szabad mozgásáról szóló 15. jegyzőkönyve</w:t>
      </w:r>
      <w:r>
        <w:rPr>
          <w:rStyle w:val="FootnoteReference"/>
          <w:rFonts w:ascii="Times New Roman" w:hAnsi="Times New Roman"/>
          <w:noProof/>
        </w:rPr>
        <w:footnoteReference w:id="2"/>
      </w:r>
      <w:r>
        <w:rPr>
          <w:rFonts w:ascii="Times New Roman" w:hAnsi="Times New Roman"/>
          <w:noProof/>
        </w:rPr>
        <w:t xml:space="preserve"> 5. cikkének (2) bekezdése a meghatározott átmeneti időszakokra vonatkozóan megállapította, hogy Liechtenstein 1998. január 1-jéig fenntarthatja az új lakosokra vonatkozó mennyiségi korlátozásokat – melyeket fokozatosan csökkenteni kell – az uniós polgárok és az Európai Szabadkereskedelmi Társulás (EFTA) államainak állampolgárai tekintetében. Az EGT-Tanács 1995. március 10-i 1/95 határozata</w:t>
      </w:r>
      <w:r>
        <w:rPr>
          <w:rStyle w:val="FootnoteReference"/>
          <w:rFonts w:ascii="Times New Roman" w:hAnsi="Times New Roman"/>
          <w:noProof/>
        </w:rPr>
        <w:footnoteReference w:id="3"/>
      </w:r>
      <w:r>
        <w:rPr>
          <w:rFonts w:ascii="Times New Roman" w:hAnsi="Times New Roman"/>
          <w:noProof/>
        </w:rPr>
        <w:t xml:space="preserve"> az Európai Gazdasági Térségről szóló megállapodásnak a Liechtensteini Hercegség tekintetében történő hatálybalépéséről magában foglalta az EGT-Tanácsnak a személyek szabad mozgásáról szóló nyilatkozatát. Ez a nyilatkozat megállapítja, hogy az átmeneti időszak végén felül kell vizsgálni az EGT-megállapodás 15. jegyzőkönyvében előírt átmeneti rendelkezéseket, figyelembe véve Liechtenstein „sajátos földrajzi helyzetét”. </w:t>
      </w:r>
    </w:p>
    <w:p w14:paraId="51448E9C" w14:textId="77777777" w:rsidR="00923FE1" w:rsidRPr="001768B8" w:rsidRDefault="00923FE1" w:rsidP="00923FE1">
      <w:pPr>
        <w:jc w:val="both"/>
        <w:rPr>
          <w:rFonts w:ascii="Times New Roman" w:hAnsi="Times New Roman"/>
          <w:noProof/>
        </w:rPr>
      </w:pPr>
      <w:r>
        <w:rPr>
          <w:rFonts w:ascii="Times New Roman" w:hAnsi="Times New Roman"/>
          <w:noProof/>
        </w:rPr>
        <w:t>Az EGT-megállapodás személyek szabad mozgásáról szóló 15. jegyzőkönyvének lejártát követően Liechtenstein és az Európai Unió különleges szabályozást fogadott el 1999-ben. Ez a „szektorális kiigazítások” néven ismert szabályozás kezdetben a vegyes bizottság 191/1999 határozatában</w:t>
      </w:r>
      <w:r>
        <w:rPr>
          <w:rStyle w:val="FootnoteReference"/>
          <w:rFonts w:ascii="Times New Roman" w:hAnsi="Times New Roman"/>
          <w:noProof/>
        </w:rPr>
        <w:footnoteReference w:id="4"/>
      </w:r>
      <w:r>
        <w:rPr>
          <w:rFonts w:ascii="Times New Roman" w:hAnsi="Times New Roman"/>
          <w:noProof/>
        </w:rPr>
        <w:t xml:space="preserve"> szerepelt, majd belefoglalták az EGT-megállapodás V. (A munkavállalók szabad mozgása) és VIII. (Letelepedési jog) mellékletébe. A személyek szabad mozgása – a szektorális kiigazítások értelmében – Liechtensteinre is alkalmazandó. Azoknak az uniós polgároknak és az egyéb EGT-országok állampolgárainak, akik le kívánnak telepedni Liechtensteinben, tartózkodási engedélyt kell beszerezniük. A szektorális kiigazítások minimális számot határoznak meg az uniós polgárok az egyéb EGT-országok állampolgárai számára évente kibocsátandó tartózkodási engedélyek tekintetében oly módon, hogy az országban tartózkodó uniós polgárok/EGT-állampolgárok száma évi nettó 1,75 %-kal (a gazdaságilag aktív személyek esetében), illetve évi nettó 0,5 %-kal (a gazdaságilag inaktív személyek esetében) emelkedjen</w:t>
      </w:r>
      <w:r>
        <w:rPr>
          <w:rStyle w:val="FootnoteReference"/>
          <w:rFonts w:ascii="Times New Roman" w:hAnsi="Times New Roman"/>
          <w:noProof/>
        </w:rPr>
        <w:footnoteReference w:id="5"/>
      </w:r>
      <w:r>
        <w:rPr>
          <w:rFonts w:ascii="Times New Roman" w:hAnsi="Times New Roman"/>
          <w:noProof/>
        </w:rPr>
        <w:t xml:space="preserve"> az 1998-as állapothoz képest. A tartózkodási engedély azonban nem előfeltétele a munkavállalásnak Liechtensteinben.</w:t>
      </w:r>
    </w:p>
    <w:p w14:paraId="4E1FC5F2" w14:textId="77777777" w:rsidR="00923FE1" w:rsidRPr="001768B8" w:rsidRDefault="00923FE1" w:rsidP="00923FE1">
      <w:pPr>
        <w:jc w:val="both"/>
        <w:rPr>
          <w:rFonts w:ascii="Times New Roman" w:hAnsi="Times New Roman"/>
          <w:noProof/>
        </w:rPr>
      </w:pPr>
      <w:r>
        <w:rPr>
          <w:rFonts w:ascii="Times New Roman" w:hAnsi="Times New Roman"/>
          <w:noProof/>
        </w:rPr>
        <w:t>Az Európai Unió 2004-es bővítése folyamán ez az először öt évre elfogadott szabályozás meghosszabbításra került azzal a feltétellel, hogy ötévenként felül kell vizsgálni azt. A 2009-ben végrehajtott első felülvizsgálatot követően 2014-ben második felülvizsgálat indult. Az első két felülvizsgálatot követően a különleges szabályozás változatlan maradt. A harmadik felülvizsgálatra (a 2014–2018 közötti időszakra vonatkozóan) 2019-ben kellett volna sort keríteni, de az késedelmet szenvedett.</w:t>
      </w:r>
    </w:p>
    <w:p w14:paraId="33F9B57F" w14:textId="4552DCC3" w:rsidR="00923FE1" w:rsidRDefault="00923FE1" w:rsidP="00923FE1">
      <w:pPr>
        <w:jc w:val="both"/>
        <w:rPr>
          <w:rFonts w:ascii="Times New Roman" w:hAnsi="Times New Roman"/>
          <w:noProof/>
        </w:rPr>
      </w:pPr>
      <w:r>
        <w:rPr>
          <w:rFonts w:ascii="Times New Roman" w:hAnsi="Times New Roman"/>
          <w:noProof/>
        </w:rPr>
        <w:t>Ez a közlemény képezi a harmadik felülvizsgálatot, és azzal a kérdéssel foglalkozik, hogy helyénvaló-e továbbra is alkalmazni ezeket a korlátozásokat a Liechtenstein által kibocsátott tartózkodási engedélyek számára vonatkozóan.</w:t>
      </w:r>
    </w:p>
    <w:p w14:paraId="0DB4A826" w14:textId="77777777" w:rsidR="00923FE1" w:rsidRPr="001768B8" w:rsidRDefault="00923FE1" w:rsidP="00923FE1">
      <w:pPr>
        <w:pStyle w:val="ManualHeading1"/>
        <w:rPr>
          <w:noProof/>
        </w:rPr>
      </w:pPr>
      <w:r>
        <w:rPr>
          <w:noProof/>
        </w:rPr>
        <w:t xml:space="preserve">2. </w:t>
      </w:r>
      <w:r>
        <w:rPr>
          <w:noProof/>
        </w:rPr>
        <w:tab/>
        <w:t>Szektorális kiigazítások a gyakorlatban</w:t>
      </w:r>
    </w:p>
    <w:p w14:paraId="66A37991" w14:textId="7C0ACA70" w:rsidR="00923FE1" w:rsidRPr="001768B8" w:rsidRDefault="00923FE1" w:rsidP="00923FE1">
      <w:pPr>
        <w:jc w:val="both"/>
        <w:rPr>
          <w:rFonts w:ascii="Times New Roman" w:hAnsi="Times New Roman"/>
          <w:noProof/>
        </w:rPr>
      </w:pPr>
      <w:r>
        <w:rPr>
          <w:rFonts w:ascii="Times New Roman" w:hAnsi="Times New Roman"/>
          <w:noProof/>
        </w:rPr>
        <w:t xml:space="preserve">Liechtenstein évente jelentést ad ki arról, hogy miként alkalmazza a szektorális kiigazításokat. Ezt követően megosztja a jelentést uniós partnereivel és az EFTA Felügyeleti Hatósággal. Az alábbi információk a Liechtenstein által a 2014 és 2018 közötti időszak vonatkozásában benyújtott jelentéseken alapulnak. </w:t>
      </w:r>
    </w:p>
    <w:p w14:paraId="287B9F9F" w14:textId="77777777" w:rsidR="00923FE1" w:rsidRDefault="00923FE1" w:rsidP="00923FE1">
      <w:pPr>
        <w:jc w:val="both"/>
        <w:rPr>
          <w:rFonts w:ascii="Times New Roman" w:hAnsi="Times New Roman"/>
          <w:noProof/>
        </w:rPr>
      </w:pPr>
      <w:r>
        <w:rPr>
          <w:rFonts w:ascii="Times New Roman" w:hAnsi="Times New Roman"/>
          <w:noProof/>
        </w:rPr>
        <w:t>A szektorális kiigazítások alapján Liechtenstein hatóságai évente minimum 56 új tartózkodási engedélyt és körülbelül 300 új rövid időre szóló (legfeljebb 12 hónapos) tartózkodási engedélyt bocsátanak rendelkezésre a Liechtensteinben gazdasági tevékenységet folytató uniós polgárok és egyéb EGT-állampolgárok számára. Liechtenstein a jelentésben foglalt évek mindegyikére teljesítette az új engedélyekre vonatkozó kvótakötelezettségeit (lásd az alábbi 2. táblázatot). Évente 16 engedélyből álló kiegészítő kvóta áll rendelkezésre azon személyek számára, akik nem folytatnak gazdasági tevékenységet és le kívánnak telepedni Liechtensteinben.</w:t>
      </w:r>
    </w:p>
    <w:p w14:paraId="29A7587A" w14:textId="77777777" w:rsidR="00923FE1" w:rsidRDefault="00923FE1" w:rsidP="00923FE1">
      <w:pPr>
        <w:jc w:val="both"/>
        <w:rPr>
          <w:rFonts w:ascii="Times New Roman" w:hAnsi="Times New Roman"/>
          <w:noProof/>
        </w:rPr>
      </w:pPr>
      <w:r>
        <w:rPr>
          <w:rFonts w:ascii="Times New Roman" w:hAnsi="Times New Roman"/>
          <w:noProof/>
        </w:rPr>
        <w:t>Nincs olyan korlátozás, amely akadályozná, hogy a tartózkodási engedéllyel rendelkezők családtagjai csatlakozzanak házastársukhoz/családjukhoz és letelepedjenek Liechtensteinben. Az említett családtagoknak jogában áll továbbá gazdasági tevékenységet folytatni.</w:t>
      </w:r>
    </w:p>
    <w:p w14:paraId="13F9FF43" w14:textId="77777777" w:rsidR="00923FE1" w:rsidRPr="00187C8A" w:rsidRDefault="00923FE1" w:rsidP="00923FE1">
      <w:pPr>
        <w:jc w:val="both"/>
        <w:rPr>
          <w:rFonts w:ascii="Times New Roman" w:hAnsi="Times New Roman"/>
          <w:b/>
          <w:noProof/>
        </w:rPr>
      </w:pPr>
      <w:r>
        <w:rPr>
          <w:rFonts w:ascii="Times New Roman" w:hAnsi="Times New Roman"/>
          <w:b/>
          <w:noProof/>
        </w:rPr>
        <w:t>1. táblázat: A gazdaságilag aktív és gazdaságilag inaktív személyek által benyújtott kérelmek száma (2014–2018)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5"/>
        <w:gridCol w:w="3583"/>
        <w:gridCol w:w="3840"/>
      </w:tblGrid>
      <w:tr w:rsidR="00923FE1" w:rsidRPr="001768B8" w14:paraId="7621E370" w14:textId="77777777" w:rsidTr="00DC145E">
        <w:tc>
          <w:tcPr>
            <w:tcW w:w="1325" w:type="dxa"/>
            <w:shd w:val="clear" w:color="auto" w:fill="auto"/>
            <w:vAlign w:val="center"/>
          </w:tcPr>
          <w:p w14:paraId="78C276FE" w14:textId="77777777" w:rsidR="00923FE1" w:rsidRPr="001768B8" w:rsidRDefault="00923FE1" w:rsidP="00DC145E">
            <w:pPr>
              <w:spacing w:before="120" w:after="120" w:line="240" w:lineRule="auto"/>
              <w:jc w:val="center"/>
              <w:rPr>
                <w:rFonts w:ascii="Times New Roman" w:hAnsi="Times New Roman"/>
                <w:noProof/>
              </w:rPr>
            </w:pPr>
            <w:r>
              <w:rPr>
                <w:rFonts w:ascii="Times New Roman" w:hAnsi="Times New Roman"/>
                <w:noProof/>
              </w:rPr>
              <w:t>Év</w:t>
            </w:r>
          </w:p>
        </w:tc>
        <w:tc>
          <w:tcPr>
            <w:tcW w:w="3583" w:type="dxa"/>
            <w:shd w:val="clear" w:color="auto" w:fill="auto"/>
            <w:vAlign w:val="center"/>
          </w:tcPr>
          <w:p w14:paraId="575BDD51" w14:textId="77777777" w:rsidR="00923FE1" w:rsidRPr="001768B8" w:rsidRDefault="00923FE1" w:rsidP="00DC145E">
            <w:pPr>
              <w:spacing w:before="120" w:after="120" w:line="240" w:lineRule="auto"/>
              <w:jc w:val="center"/>
              <w:rPr>
                <w:rFonts w:ascii="Times New Roman" w:hAnsi="Times New Roman"/>
                <w:noProof/>
              </w:rPr>
            </w:pPr>
            <w:r>
              <w:rPr>
                <w:rFonts w:ascii="Times New Roman" w:hAnsi="Times New Roman"/>
                <w:noProof/>
              </w:rPr>
              <w:t>A gazdaságilag aktív személyek által benyújtott kérelmek száma</w:t>
            </w:r>
          </w:p>
        </w:tc>
        <w:tc>
          <w:tcPr>
            <w:tcW w:w="3840" w:type="dxa"/>
            <w:shd w:val="clear" w:color="auto" w:fill="auto"/>
            <w:vAlign w:val="center"/>
          </w:tcPr>
          <w:p w14:paraId="7A464DC1" w14:textId="77777777" w:rsidR="00923FE1" w:rsidRPr="001768B8" w:rsidRDefault="00923FE1" w:rsidP="00DC145E">
            <w:pPr>
              <w:spacing w:before="120" w:after="120" w:line="240" w:lineRule="auto"/>
              <w:jc w:val="center"/>
              <w:rPr>
                <w:rFonts w:ascii="Times New Roman" w:hAnsi="Times New Roman"/>
                <w:noProof/>
              </w:rPr>
            </w:pPr>
            <w:r>
              <w:rPr>
                <w:rFonts w:ascii="Times New Roman" w:hAnsi="Times New Roman"/>
                <w:noProof/>
              </w:rPr>
              <w:t>A gazdaságilag inaktív személyek által benyújtott kérelmek száma</w:t>
            </w:r>
          </w:p>
        </w:tc>
      </w:tr>
      <w:tr w:rsidR="00923FE1" w:rsidRPr="001768B8" w14:paraId="6F0E1EE5" w14:textId="77777777" w:rsidTr="00DC145E">
        <w:tc>
          <w:tcPr>
            <w:tcW w:w="1325" w:type="dxa"/>
            <w:shd w:val="clear" w:color="auto" w:fill="auto"/>
          </w:tcPr>
          <w:p w14:paraId="0D1F497C" w14:textId="77777777" w:rsidR="00923FE1" w:rsidRPr="001768B8" w:rsidRDefault="00923FE1" w:rsidP="00DC145E">
            <w:pPr>
              <w:spacing w:before="120" w:after="120" w:line="240" w:lineRule="auto"/>
              <w:jc w:val="center"/>
              <w:rPr>
                <w:rFonts w:ascii="Times New Roman" w:hAnsi="Times New Roman"/>
                <w:noProof/>
              </w:rPr>
            </w:pPr>
            <w:r>
              <w:rPr>
                <w:rFonts w:ascii="Times New Roman" w:hAnsi="Times New Roman"/>
                <w:noProof/>
              </w:rPr>
              <w:t>2014</w:t>
            </w:r>
          </w:p>
        </w:tc>
        <w:tc>
          <w:tcPr>
            <w:tcW w:w="3583" w:type="dxa"/>
            <w:shd w:val="clear" w:color="auto" w:fill="auto"/>
          </w:tcPr>
          <w:p w14:paraId="0452CF06" w14:textId="77777777" w:rsidR="00923FE1" w:rsidRPr="001768B8" w:rsidRDefault="00923FE1" w:rsidP="00DC145E">
            <w:pPr>
              <w:spacing w:before="120" w:after="120" w:line="240" w:lineRule="auto"/>
              <w:jc w:val="center"/>
              <w:rPr>
                <w:rFonts w:ascii="Times New Roman" w:hAnsi="Times New Roman"/>
                <w:strike/>
                <w:noProof/>
              </w:rPr>
            </w:pPr>
            <w:r>
              <w:rPr>
                <w:rFonts w:ascii="Times New Roman" w:hAnsi="Times New Roman"/>
                <w:noProof/>
              </w:rPr>
              <w:t>517</w:t>
            </w:r>
          </w:p>
        </w:tc>
        <w:tc>
          <w:tcPr>
            <w:tcW w:w="3840" w:type="dxa"/>
            <w:shd w:val="clear" w:color="auto" w:fill="auto"/>
          </w:tcPr>
          <w:p w14:paraId="77DCDCC3" w14:textId="77777777" w:rsidR="00923FE1" w:rsidRPr="001768B8" w:rsidRDefault="00923FE1" w:rsidP="00DC145E">
            <w:pPr>
              <w:spacing w:before="120" w:after="120" w:line="240" w:lineRule="auto"/>
              <w:jc w:val="center"/>
              <w:rPr>
                <w:rFonts w:ascii="Times New Roman" w:hAnsi="Times New Roman"/>
                <w:noProof/>
              </w:rPr>
            </w:pPr>
            <w:r>
              <w:rPr>
                <w:rFonts w:ascii="Times New Roman" w:hAnsi="Times New Roman"/>
                <w:noProof/>
              </w:rPr>
              <w:t>16</w:t>
            </w:r>
          </w:p>
        </w:tc>
      </w:tr>
      <w:tr w:rsidR="00923FE1" w:rsidRPr="001768B8" w14:paraId="7CB5B783" w14:textId="77777777" w:rsidTr="00DC145E">
        <w:tc>
          <w:tcPr>
            <w:tcW w:w="1325" w:type="dxa"/>
            <w:shd w:val="clear" w:color="auto" w:fill="auto"/>
          </w:tcPr>
          <w:p w14:paraId="0BC4335A" w14:textId="77777777" w:rsidR="00923FE1" w:rsidRPr="001768B8" w:rsidRDefault="00923FE1" w:rsidP="00DC145E">
            <w:pPr>
              <w:spacing w:before="120" w:after="120" w:line="240" w:lineRule="auto"/>
              <w:jc w:val="center"/>
              <w:rPr>
                <w:rFonts w:ascii="Times New Roman" w:hAnsi="Times New Roman"/>
                <w:noProof/>
              </w:rPr>
            </w:pPr>
            <w:r>
              <w:rPr>
                <w:rFonts w:ascii="Times New Roman" w:hAnsi="Times New Roman"/>
                <w:noProof/>
              </w:rPr>
              <w:t>2015</w:t>
            </w:r>
          </w:p>
        </w:tc>
        <w:tc>
          <w:tcPr>
            <w:tcW w:w="3583" w:type="dxa"/>
            <w:shd w:val="clear" w:color="auto" w:fill="auto"/>
          </w:tcPr>
          <w:p w14:paraId="00F2B66D" w14:textId="77777777" w:rsidR="00923FE1" w:rsidRPr="001768B8" w:rsidRDefault="00923FE1" w:rsidP="00DC145E">
            <w:pPr>
              <w:spacing w:before="120" w:after="120" w:line="240" w:lineRule="auto"/>
              <w:jc w:val="center"/>
              <w:rPr>
                <w:rFonts w:ascii="Times New Roman" w:hAnsi="Times New Roman"/>
                <w:noProof/>
              </w:rPr>
            </w:pPr>
            <w:r>
              <w:rPr>
                <w:rFonts w:ascii="Times New Roman" w:hAnsi="Times New Roman"/>
                <w:noProof/>
              </w:rPr>
              <w:t>488</w:t>
            </w:r>
          </w:p>
        </w:tc>
        <w:tc>
          <w:tcPr>
            <w:tcW w:w="3840" w:type="dxa"/>
            <w:shd w:val="clear" w:color="auto" w:fill="auto"/>
          </w:tcPr>
          <w:p w14:paraId="7A4D25F2" w14:textId="77777777" w:rsidR="00923FE1" w:rsidRPr="001768B8" w:rsidRDefault="00923FE1" w:rsidP="00DC145E">
            <w:pPr>
              <w:spacing w:before="120" w:after="120" w:line="240" w:lineRule="auto"/>
              <w:jc w:val="center"/>
              <w:rPr>
                <w:rFonts w:ascii="Times New Roman" w:hAnsi="Times New Roman"/>
                <w:noProof/>
              </w:rPr>
            </w:pPr>
            <w:r>
              <w:rPr>
                <w:rFonts w:ascii="Times New Roman" w:hAnsi="Times New Roman"/>
                <w:noProof/>
              </w:rPr>
              <w:t>44</w:t>
            </w:r>
          </w:p>
        </w:tc>
      </w:tr>
      <w:tr w:rsidR="00923FE1" w:rsidRPr="001768B8" w14:paraId="50E22351" w14:textId="77777777" w:rsidTr="00DC145E">
        <w:tc>
          <w:tcPr>
            <w:tcW w:w="1325" w:type="dxa"/>
            <w:shd w:val="clear" w:color="auto" w:fill="auto"/>
          </w:tcPr>
          <w:p w14:paraId="624E190B" w14:textId="77777777" w:rsidR="00923FE1" w:rsidRPr="001768B8" w:rsidRDefault="00923FE1" w:rsidP="00DC145E">
            <w:pPr>
              <w:spacing w:before="120" w:after="120" w:line="240" w:lineRule="auto"/>
              <w:jc w:val="center"/>
              <w:rPr>
                <w:rFonts w:ascii="Times New Roman" w:hAnsi="Times New Roman"/>
                <w:noProof/>
              </w:rPr>
            </w:pPr>
            <w:r>
              <w:rPr>
                <w:rFonts w:ascii="Times New Roman" w:hAnsi="Times New Roman"/>
                <w:noProof/>
              </w:rPr>
              <w:t>2016</w:t>
            </w:r>
          </w:p>
        </w:tc>
        <w:tc>
          <w:tcPr>
            <w:tcW w:w="3583" w:type="dxa"/>
            <w:shd w:val="clear" w:color="auto" w:fill="auto"/>
          </w:tcPr>
          <w:p w14:paraId="6923AFF5" w14:textId="77777777" w:rsidR="00923FE1" w:rsidRPr="001768B8" w:rsidRDefault="00923FE1" w:rsidP="00DC145E">
            <w:pPr>
              <w:spacing w:before="120" w:after="120" w:line="240" w:lineRule="auto"/>
              <w:jc w:val="center"/>
              <w:rPr>
                <w:rFonts w:ascii="Times New Roman" w:hAnsi="Times New Roman"/>
                <w:noProof/>
              </w:rPr>
            </w:pPr>
            <w:r>
              <w:rPr>
                <w:rFonts w:ascii="Times New Roman" w:hAnsi="Times New Roman"/>
                <w:noProof/>
              </w:rPr>
              <w:t>599</w:t>
            </w:r>
          </w:p>
        </w:tc>
        <w:tc>
          <w:tcPr>
            <w:tcW w:w="3840" w:type="dxa"/>
            <w:shd w:val="clear" w:color="auto" w:fill="auto"/>
          </w:tcPr>
          <w:p w14:paraId="1922389A" w14:textId="77777777" w:rsidR="00923FE1" w:rsidRPr="001768B8" w:rsidRDefault="00923FE1" w:rsidP="00DC145E">
            <w:pPr>
              <w:spacing w:before="120" w:after="120" w:line="240" w:lineRule="auto"/>
              <w:jc w:val="center"/>
              <w:rPr>
                <w:rFonts w:ascii="Times New Roman" w:hAnsi="Times New Roman"/>
                <w:noProof/>
              </w:rPr>
            </w:pPr>
            <w:r>
              <w:rPr>
                <w:rFonts w:ascii="Times New Roman" w:hAnsi="Times New Roman"/>
                <w:noProof/>
              </w:rPr>
              <w:t>71</w:t>
            </w:r>
          </w:p>
        </w:tc>
      </w:tr>
      <w:tr w:rsidR="00923FE1" w:rsidRPr="001768B8" w14:paraId="3FC0290F" w14:textId="77777777" w:rsidTr="00DC145E">
        <w:tc>
          <w:tcPr>
            <w:tcW w:w="1325" w:type="dxa"/>
            <w:shd w:val="clear" w:color="auto" w:fill="auto"/>
          </w:tcPr>
          <w:p w14:paraId="0E71BD2F" w14:textId="77777777" w:rsidR="00923FE1" w:rsidRPr="001768B8" w:rsidRDefault="00923FE1" w:rsidP="00DC145E">
            <w:pPr>
              <w:spacing w:before="120" w:after="120" w:line="240" w:lineRule="auto"/>
              <w:jc w:val="center"/>
              <w:rPr>
                <w:rFonts w:ascii="Times New Roman" w:hAnsi="Times New Roman"/>
                <w:noProof/>
              </w:rPr>
            </w:pPr>
            <w:r>
              <w:rPr>
                <w:rFonts w:ascii="Times New Roman" w:hAnsi="Times New Roman"/>
                <w:noProof/>
              </w:rPr>
              <w:t>2017</w:t>
            </w:r>
          </w:p>
        </w:tc>
        <w:tc>
          <w:tcPr>
            <w:tcW w:w="3583" w:type="dxa"/>
            <w:shd w:val="clear" w:color="auto" w:fill="auto"/>
          </w:tcPr>
          <w:p w14:paraId="3C7376FC" w14:textId="77777777" w:rsidR="00923FE1" w:rsidRPr="001768B8" w:rsidRDefault="00923FE1" w:rsidP="00DC145E">
            <w:pPr>
              <w:spacing w:before="120" w:after="120" w:line="240" w:lineRule="auto"/>
              <w:jc w:val="center"/>
              <w:rPr>
                <w:rFonts w:ascii="Times New Roman" w:hAnsi="Times New Roman"/>
                <w:noProof/>
              </w:rPr>
            </w:pPr>
            <w:r>
              <w:rPr>
                <w:rFonts w:ascii="Times New Roman" w:hAnsi="Times New Roman"/>
                <w:noProof/>
              </w:rPr>
              <w:t>657</w:t>
            </w:r>
          </w:p>
        </w:tc>
        <w:tc>
          <w:tcPr>
            <w:tcW w:w="3840" w:type="dxa"/>
            <w:shd w:val="clear" w:color="auto" w:fill="auto"/>
          </w:tcPr>
          <w:p w14:paraId="34A88341" w14:textId="77777777" w:rsidR="00923FE1" w:rsidRPr="001768B8" w:rsidRDefault="00923FE1" w:rsidP="00DC145E">
            <w:pPr>
              <w:spacing w:before="120" w:after="120" w:line="240" w:lineRule="auto"/>
              <w:jc w:val="center"/>
              <w:rPr>
                <w:rFonts w:ascii="Times New Roman" w:hAnsi="Times New Roman"/>
                <w:noProof/>
              </w:rPr>
            </w:pPr>
            <w:r>
              <w:rPr>
                <w:rFonts w:ascii="Times New Roman" w:hAnsi="Times New Roman"/>
                <w:noProof/>
              </w:rPr>
              <w:t>94</w:t>
            </w:r>
          </w:p>
        </w:tc>
      </w:tr>
      <w:tr w:rsidR="00923FE1" w:rsidRPr="001768B8" w14:paraId="0A2E54D6" w14:textId="77777777" w:rsidTr="00DC145E">
        <w:tc>
          <w:tcPr>
            <w:tcW w:w="1325" w:type="dxa"/>
            <w:shd w:val="clear" w:color="auto" w:fill="auto"/>
          </w:tcPr>
          <w:p w14:paraId="49F3F320" w14:textId="77777777" w:rsidR="00923FE1" w:rsidRPr="001768B8" w:rsidRDefault="00923FE1" w:rsidP="00DC145E">
            <w:pPr>
              <w:spacing w:before="120" w:after="120" w:line="240" w:lineRule="auto"/>
              <w:jc w:val="center"/>
              <w:rPr>
                <w:rFonts w:ascii="Times New Roman" w:hAnsi="Times New Roman"/>
                <w:noProof/>
              </w:rPr>
            </w:pPr>
            <w:r>
              <w:rPr>
                <w:rFonts w:ascii="Times New Roman" w:hAnsi="Times New Roman"/>
                <w:noProof/>
              </w:rPr>
              <w:t>2018</w:t>
            </w:r>
          </w:p>
        </w:tc>
        <w:tc>
          <w:tcPr>
            <w:tcW w:w="3583" w:type="dxa"/>
            <w:shd w:val="clear" w:color="auto" w:fill="auto"/>
          </w:tcPr>
          <w:p w14:paraId="2EC2E1D3" w14:textId="77777777" w:rsidR="00923FE1" w:rsidRPr="001768B8" w:rsidRDefault="00923FE1" w:rsidP="00DC145E">
            <w:pPr>
              <w:spacing w:before="120" w:after="120" w:line="240" w:lineRule="auto"/>
              <w:jc w:val="center"/>
              <w:rPr>
                <w:rFonts w:ascii="Times New Roman" w:hAnsi="Times New Roman"/>
                <w:noProof/>
              </w:rPr>
            </w:pPr>
            <w:r>
              <w:rPr>
                <w:rFonts w:ascii="Times New Roman" w:hAnsi="Times New Roman"/>
                <w:noProof/>
              </w:rPr>
              <w:t>706</w:t>
            </w:r>
          </w:p>
        </w:tc>
        <w:tc>
          <w:tcPr>
            <w:tcW w:w="3840" w:type="dxa"/>
            <w:shd w:val="clear" w:color="auto" w:fill="auto"/>
          </w:tcPr>
          <w:p w14:paraId="055E3545" w14:textId="77777777" w:rsidR="00923FE1" w:rsidRPr="001768B8" w:rsidRDefault="00923FE1" w:rsidP="00DC145E">
            <w:pPr>
              <w:spacing w:before="120" w:after="120" w:line="240" w:lineRule="auto"/>
              <w:jc w:val="center"/>
              <w:rPr>
                <w:rFonts w:ascii="Times New Roman" w:hAnsi="Times New Roman"/>
                <w:noProof/>
              </w:rPr>
            </w:pPr>
            <w:r>
              <w:rPr>
                <w:rFonts w:ascii="Times New Roman" w:hAnsi="Times New Roman"/>
                <w:noProof/>
              </w:rPr>
              <w:t>133</w:t>
            </w:r>
          </w:p>
        </w:tc>
      </w:tr>
    </w:tbl>
    <w:p w14:paraId="2E795522" w14:textId="77777777" w:rsidR="00923FE1" w:rsidRDefault="00923FE1" w:rsidP="00923FE1">
      <w:pPr>
        <w:spacing w:before="200"/>
        <w:rPr>
          <w:rFonts w:ascii="Times New Roman" w:hAnsi="Times New Roman"/>
          <w:noProof/>
        </w:rPr>
      </w:pPr>
    </w:p>
    <w:p w14:paraId="7FC3C673" w14:textId="77777777" w:rsidR="00923FE1" w:rsidRPr="00187C8A" w:rsidRDefault="00923FE1" w:rsidP="00923FE1">
      <w:pPr>
        <w:spacing w:before="200"/>
        <w:rPr>
          <w:rFonts w:ascii="Times New Roman" w:hAnsi="Times New Roman"/>
          <w:b/>
          <w:noProof/>
        </w:rPr>
      </w:pPr>
      <w:r>
        <w:rPr>
          <w:rFonts w:ascii="Times New Roman" w:hAnsi="Times New Roman"/>
          <w:b/>
          <w:noProof/>
        </w:rPr>
        <w:t>2. táblázat: A gazdaságilag aktív és gazdaságilag inaktív személyek számára kiadott engedélyek száma (2014–2018)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5"/>
        <w:gridCol w:w="3583"/>
        <w:gridCol w:w="3840"/>
      </w:tblGrid>
      <w:tr w:rsidR="00923FE1" w:rsidRPr="001768B8" w14:paraId="68FD6BF8" w14:textId="77777777" w:rsidTr="00DC145E">
        <w:tc>
          <w:tcPr>
            <w:tcW w:w="1325" w:type="dxa"/>
            <w:shd w:val="clear" w:color="auto" w:fill="auto"/>
            <w:vAlign w:val="center"/>
          </w:tcPr>
          <w:p w14:paraId="14A12676" w14:textId="77777777" w:rsidR="00923FE1" w:rsidRPr="001768B8" w:rsidRDefault="00923FE1" w:rsidP="00DC145E">
            <w:pPr>
              <w:spacing w:before="120" w:after="120" w:line="240" w:lineRule="auto"/>
              <w:jc w:val="center"/>
              <w:rPr>
                <w:rFonts w:ascii="Times New Roman" w:hAnsi="Times New Roman"/>
                <w:noProof/>
              </w:rPr>
            </w:pPr>
            <w:r>
              <w:rPr>
                <w:rFonts w:ascii="Times New Roman" w:hAnsi="Times New Roman"/>
                <w:noProof/>
              </w:rPr>
              <w:t>Év</w:t>
            </w:r>
          </w:p>
        </w:tc>
        <w:tc>
          <w:tcPr>
            <w:tcW w:w="3583" w:type="dxa"/>
            <w:shd w:val="clear" w:color="auto" w:fill="auto"/>
            <w:vAlign w:val="center"/>
          </w:tcPr>
          <w:p w14:paraId="054D39F0" w14:textId="77777777" w:rsidR="00923FE1" w:rsidRPr="001768B8" w:rsidRDefault="00923FE1" w:rsidP="00DC145E">
            <w:pPr>
              <w:spacing w:before="120" w:after="120" w:line="240" w:lineRule="auto"/>
              <w:jc w:val="center"/>
              <w:rPr>
                <w:rFonts w:ascii="Times New Roman" w:hAnsi="Times New Roman"/>
                <w:noProof/>
              </w:rPr>
            </w:pPr>
            <w:r>
              <w:rPr>
                <w:rFonts w:ascii="Times New Roman" w:hAnsi="Times New Roman"/>
                <w:noProof/>
              </w:rPr>
              <w:t>A gazdaságilag aktív személyeknek kiadott kérelmek száma</w:t>
            </w:r>
          </w:p>
        </w:tc>
        <w:tc>
          <w:tcPr>
            <w:tcW w:w="3840" w:type="dxa"/>
            <w:shd w:val="clear" w:color="auto" w:fill="auto"/>
            <w:vAlign w:val="center"/>
          </w:tcPr>
          <w:p w14:paraId="7EB46115" w14:textId="77777777" w:rsidR="00923FE1" w:rsidRPr="001768B8" w:rsidRDefault="00923FE1" w:rsidP="00DC145E">
            <w:pPr>
              <w:spacing w:before="120" w:after="120" w:line="240" w:lineRule="auto"/>
              <w:jc w:val="center"/>
              <w:rPr>
                <w:rFonts w:ascii="Times New Roman" w:hAnsi="Times New Roman"/>
                <w:noProof/>
              </w:rPr>
            </w:pPr>
            <w:r>
              <w:rPr>
                <w:rFonts w:ascii="Times New Roman" w:hAnsi="Times New Roman"/>
                <w:noProof/>
              </w:rPr>
              <w:t>A gazdaságilag inaktív személyeknek kiadott kérelmek száma</w:t>
            </w:r>
          </w:p>
        </w:tc>
      </w:tr>
      <w:tr w:rsidR="00923FE1" w:rsidRPr="001768B8" w14:paraId="3308A4D0" w14:textId="77777777" w:rsidTr="00DC145E">
        <w:tc>
          <w:tcPr>
            <w:tcW w:w="1325" w:type="dxa"/>
            <w:shd w:val="clear" w:color="auto" w:fill="auto"/>
          </w:tcPr>
          <w:p w14:paraId="5D240759" w14:textId="77777777" w:rsidR="00923FE1" w:rsidRPr="001768B8" w:rsidRDefault="00923FE1" w:rsidP="00DC145E">
            <w:pPr>
              <w:spacing w:before="120" w:after="120" w:line="240" w:lineRule="auto"/>
              <w:jc w:val="center"/>
              <w:rPr>
                <w:rFonts w:ascii="Times New Roman" w:hAnsi="Times New Roman"/>
                <w:noProof/>
              </w:rPr>
            </w:pPr>
            <w:r>
              <w:rPr>
                <w:rFonts w:ascii="Times New Roman" w:hAnsi="Times New Roman"/>
                <w:noProof/>
              </w:rPr>
              <w:t>2014</w:t>
            </w:r>
          </w:p>
        </w:tc>
        <w:tc>
          <w:tcPr>
            <w:tcW w:w="3583" w:type="dxa"/>
            <w:shd w:val="clear" w:color="auto" w:fill="auto"/>
          </w:tcPr>
          <w:p w14:paraId="4A3ABDA5" w14:textId="77777777" w:rsidR="00923FE1" w:rsidRPr="001768B8" w:rsidRDefault="00923FE1" w:rsidP="00DC145E">
            <w:pPr>
              <w:spacing w:before="120" w:after="120" w:line="240" w:lineRule="auto"/>
              <w:jc w:val="center"/>
              <w:rPr>
                <w:rFonts w:ascii="Times New Roman" w:hAnsi="Times New Roman"/>
                <w:noProof/>
              </w:rPr>
            </w:pPr>
            <w:r>
              <w:rPr>
                <w:rFonts w:ascii="Times New Roman" w:hAnsi="Times New Roman"/>
                <w:noProof/>
              </w:rPr>
              <w:t>70</w:t>
            </w:r>
          </w:p>
        </w:tc>
        <w:tc>
          <w:tcPr>
            <w:tcW w:w="3840" w:type="dxa"/>
            <w:shd w:val="clear" w:color="auto" w:fill="auto"/>
          </w:tcPr>
          <w:p w14:paraId="4A8A3463" w14:textId="77777777" w:rsidR="00923FE1" w:rsidRPr="001768B8" w:rsidRDefault="00923FE1" w:rsidP="00DC145E">
            <w:pPr>
              <w:spacing w:before="120" w:after="120" w:line="240" w:lineRule="auto"/>
              <w:jc w:val="center"/>
              <w:rPr>
                <w:rFonts w:ascii="Times New Roman" w:hAnsi="Times New Roman"/>
                <w:noProof/>
              </w:rPr>
            </w:pPr>
            <w:r>
              <w:rPr>
                <w:rFonts w:ascii="Times New Roman" w:hAnsi="Times New Roman"/>
                <w:noProof/>
              </w:rPr>
              <w:t>17</w:t>
            </w:r>
          </w:p>
        </w:tc>
      </w:tr>
      <w:tr w:rsidR="00923FE1" w:rsidRPr="001768B8" w14:paraId="4F2BD4A4" w14:textId="77777777" w:rsidTr="00DC145E">
        <w:tc>
          <w:tcPr>
            <w:tcW w:w="1325" w:type="dxa"/>
            <w:shd w:val="clear" w:color="auto" w:fill="auto"/>
          </w:tcPr>
          <w:p w14:paraId="6DA79A26" w14:textId="77777777" w:rsidR="00923FE1" w:rsidRPr="001768B8" w:rsidRDefault="00923FE1" w:rsidP="00DC145E">
            <w:pPr>
              <w:spacing w:before="120" w:after="120" w:line="240" w:lineRule="auto"/>
              <w:jc w:val="center"/>
              <w:rPr>
                <w:rFonts w:ascii="Times New Roman" w:hAnsi="Times New Roman"/>
                <w:noProof/>
              </w:rPr>
            </w:pPr>
            <w:r>
              <w:rPr>
                <w:rFonts w:ascii="Times New Roman" w:hAnsi="Times New Roman"/>
                <w:noProof/>
              </w:rPr>
              <w:t>2015</w:t>
            </w:r>
          </w:p>
        </w:tc>
        <w:tc>
          <w:tcPr>
            <w:tcW w:w="3583" w:type="dxa"/>
            <w:shd w:val="clear" w:color="auto" w:fill="auto"/>
          </w:tcPr>
          <w:p w14:paraId="51D194CC" w14:textId="77777777" w:rsidR="00923FE1" w:rsidRPr="001768B8" w:rsidRDefault="00923FE1" w:rsidP="00DC145E">
            <w:pPr>
              <w:spacing w:before="120" w:after="120" w:line="240" w:lineRule="auto"/>
              <w:jc w:val="center"/>
              <w:rPr>
                <w:rFonts w:ascii="Times New Roman" w:hAnsi="Times New Roman"/>
                <w:noProof/>
              </w:rPr>
            </w:pPr>
            <w:r>
              <w:rPr>
                <w:rFonts w:ascii="Times New Roman" w:hAnsi="Times New Roman"/>
                <w:noProof/>
              </w:rPr>
              <w:t>67</w:t>
            </w:r>
          </w:p>
        </w:tc>
        <w:tc>
          <w:tcPr>
            <w:tcW w:w="3840" w:type="dxa"/>
            <w:shd w:val="clear" w:color="auto" w:fill="auto"/>
          </w:tcPr>
          <w:p w14:paraId="70462CA6" w14:textId="77777777" w:rsidR="00923FE1" w:rsidRPr="001768B8" w:rsidRDefault="00923FE1" w:rsidP="00DC145E">
            <w:pPr>
              <w:spacing w:before="120" w:after="120" w:line="240" w:lineRule="auto"/>
              <w:jc w:val="center"/>
              <w:rPr>
                <w:rFonts w:ascii="Times New Roman" w:hAnsi="Times New Roman"/>
                <w:noProof/>
              </w:rPr>
            </w:pPr>
            <w:r>
              <w:rPr>
                <w:rFonts w:ascii="Times New Roman" w:hAnsi="Times New Roman"/>
                <w:noProof/>
              </w:rPr>
              <w:t>22</w:t>
            </w:r>
          </w:p>
        </w:tc>
      </w:tr>
      <w:tr w:rsidR="00923FE1" w:rsidRPr="001768B8" w14:paraId="38BBED7E" w14:textId="77777777" w:rsidTr="00DC145E">
        <w:tc>
          <w:tcPr>
            <w:tcW w:w="1325" w:type="dxa"/>
            <w:shd w:val="clear" w:color="auto" w:fill="auto"/>
          </w:tcPr>
          <w:p w14:paraId="5F8966A0" w14:textId="77777777" w:rsidR="00923FE1" w:rsidRPr="001768B8" w:rsidRDefault="00923FE1" w:rsidP="00DC145E">
            <w:pPr>
              <w:spacing w:before="120" w:after="120" w:line="240" w:lineRule="auto"/>
              <w:jc w:val="center"/>
              <w:rPr>
                <w:rFonts w:ascii="Times New Roman" w:hAnsi="Times New Roman"/>
                <w:noProof/>
              </w:rPr>
            </w:pPr>
            <w:r>
              <w:rPr>
                <w:rFonts w:ascii="Times New Roman" w:hAnsi="Times New Roman"/>
                <w:noProof/>
              </w:rPr>
              <w:t>2016</w:t>
            </w:r>
          </w:p>
        </w:tc>
        <w:tc>
          <w:tcPr>
            <w:tcW w:w="3583" w:type="dxa"/>
            <w:shd w:val="clear" w:color="auto" w:fill="auto"/>
          </w:tcPr>
          <w:p w14:paraId="3532FA2B" w14:textId="77777777" w:rsidR="00923FE1" w:rsidRPr="001768B8" w:rsidRDefault="00923FE1" w:rsidP="00DC145E">
            <w:pPr>
              <w:spacing w:before="120" w:after="120" w:line="240" w:lineRule="auto"/>
              <w:jc w:val="center"/>
              <w:rPr>
                <w:rFonts w:ascii="Times New Roman" w:hAnsi="Times New Roman"/>
                <w:noProof/>
              </w:rPr>
            </w:pPr>
            <w:r>
              <w:rPr>
                <w:rFonts w:ascii="Times New Roman" w:hAnsi="Times New Roman"/>
                <w:noProof/>
              </w:rPr>
              <w:t>58</w:t>
            </w:r>
          </w:p>
        </w:tc>
        <w:tc>
          <w:tcPr>
            <w:tcW w:w="3840" w:type="dxa"/>
            <w:shd w:val="clear" w:color="auto" w:fill="auto"/>
          </w:tcPr>
          <w:p w14:paraId="7FB408A0" w14:textId="77777777" w:rsidR="00923FE1" w:rsidRPr="001768B8" w:rsidRDefault="00923FE1" w:rsidP="00DC145E">
            <w:pPr>
              <w:spacing w:before="120" w:after="120" w:line="240" w:lineRule="auto"/>
              <w:jc w:val="center"/>
              <w:rPr>
                <w:rFonts w:ascii="Times New Roman" w:hAnsi="Times New Roman"/>
                <w:noProof/>
              </w:rPr>
            </w:pPr>
            <w:r>
              <w:rPr>
                <w:rFonts w:ascii="Times New Roman" w:hAnsi="Times New Roman"/>
                <w:noProof/>
              </w:rPr>
              <w:t>16</w:t>
            </w:r>
          </w:p>
        </w:tc>
      </w:tr>
      <w:tr w:rsidR="00923FE1" w:rsidRPr="001768B8" w14:paraId="39E53B42" w14:textId="77777777" w:rsidTr="00DC145E">
        <w:tc>
          <w:tcPr>
            <w:tcW w:w="1325" w:type="dxa"/>
            <w:shd w:val="clear" w:color="auto" w:fill="auto"/>
          </w:tcPr>
          <w:p w14:paraId="1C92CEEC" w14:textId="77777777" w:rsidR="00923FE1" w:rsidRPr="001768B8" w:rsidRDefault="00923FE1" w:rsidP="00DC145E">
            <w:pPr>
              <w:spacing w:before="120" w:after="120" w:line="240" w:lineRule="auto"/>
              <w:jc w:val="center"/>
              <w:rPr>
                <w:rFonts w:ascii="Times New Roman" w:hAnsi="Times New Roman"/>
                <w:noProof/>
              </w:rPr>
            </w:pPr>
            <w:r>
              <w:rPr>
                <w:rFonts w:ascii="Times New Roman" w:hAnsi="Times New Roman"/>
                <w:noProof/>
              </w:rPr>
              <w:t>2017</w:t>
            </w:r>
          </w:p>
        </w:tc>
        <w:tc>
          <w:tcPr>
            <w:tcW w:w="3583" w:type="dxa"/>
            <w:shd w:val="clear" w:color="auto" w:fill="auto"/>
          </w:tcPr>
          <w:p w14:paraId="4718E689" w14:textId="77777777" w:rsidR="00923FE1" w:rsidRPr="001768B8" w:rsidRDefault="00923FE1" w:rsidP="00DC145E">
            <w:pPr>
              <w:spacing w:before="120" w:after="120" w:line="240" w:lineRule="auto"/>
              <w:jc w:val="center"/>
              <w:rPr>
                <w:rFonts w:ascii="Times New Roman" w:hAnsi="Times New Roman"/>
                <w:noProof/>
              </w:rPr>
            </w:pPr>
            <w:r>
              <w:rPr>
                <w:rFonts w:ascii="Times New Roman" w:hAnsi="Times New Roman"/>
                <w:noProof/>
              </w:rPr>
              <w:t>70</w:t>
            </w:r>
          </w:p>
        </w:tc>
        <w:tc>
          <w:tcPr>
            <w:tcW w:w="3840" w:type="dxa"/>
            <w:shd w:val="clear" w:color="auto" w:fill="auto"/>
          </w:tcPr>
          <w:p w14:paraId="2150F575" w14:textId="77777777" w:rsidR="00923FE1" w:rsidRPr="001768B8" w:rsidRDefault="00923FE1" w:rsidP="00DC145E">
            <w:pPr>
              <w:spacing w:before="120" w:after="120" w:line="240" w:lineRule="auto"/>
              <w:jc w:val="center"/>
              <w:rPr>
                <w:rFonts w:ascii="Times New Roman" w:hAnsi="Times New Roman"/>
                <w:noProof/>
              </w:rPr>
            </w:pPr>
            <w:r>
              <w:rPr>
                <w:rFonts w:ascii="Times New Roman" w:hAnsi="Times New Roman"/>
                <w:noProof/>
              </w:rPr>
              <w:t>16</w:t>
            </w:r>
          </w:p>
        </w:tc>
      </w:tr>
      <w:tr w:rsidR="00923FE1" w:rsidRPr="001768B8" w14:paraId="2C70BB21" w14:textId="77777777" w:rsidTr="00DC145E">
        <w:tc>
          <w:tcPr>
            <w:tcW w:w="1325" w:type="dxa"/>
            <w:shd w:val="clear" w:color="auto" w:fill="auto"/>
          </w:tcPr>
          <w:p w14:paraId="2A1F1DD5" w14:textId="77777777" w:rsidR="00923FE1" w:rsidRPr="001768B8" w:rsidRDefault="00923FE1" w:rsidP="00DC145E">
            <w:pPr>
              <w:spacing w:before="120" w:after="120" w:line="240" w:lineRule="auto"/>
              <w:jc w:val="center"/>
              <w:rPr>
                <w:rFonts w:ascii="Times New Roman" w:hAnsi="Times New Roman"/>
                <w:noProof/>
              </w:rPr>
            </w:pPr>
            <w:r>
              <w:rPr>
                <w:rFonts w:ascii="Times New Roman" w:hAnsi="Times New Roman"/>
                <w:noProof/>
              </w:rPr>
              <w:t>2018</w:t>
            </w:r>
          </w:p>
        </w:tc>
        <w:tc>
          <w:tcPr>
            <w:tcW w:w="3583" w:type="dxa"/>
            <w:shd w:val="clear" w:color="auto" w:fill="auto"/>
          </w:tcPr>
          <w:p w14:paraId="06C83977" w14:textId="77777777" w:rsidR="00923FE1" w:rsidRPr="001768B8" w:rsidRDefault="00923FE1" w:rsidP="00DC145E">
            <w:pPr>
              <w:spacing w:before="120" w:after="120" w:line="240" w:lineRule="auto"/>
              <w:jc w:val="center"/>
              <w:rPr>
                <w:rFonts w:ascii="Times New Roman" w:hAnsi="Times New Roman"/>
                <w:noProof/>
              </w:rPr>
            </w:pPr>
            <w:r>
              <w:rPr>
                <w:rFonts w:ascii="Times New Roman" w:hAnsi="Times New Roman"/>
                <w:noProof/>
              </w:rPr>
              <w:t>69</w:t>
            </w:r>
          </w:p>
        </w:tc>
        <w:tc>
          <w:tcPr>
            <w:tcW w:w="3840" w:type="dxa"/>
            <w:shd w:val="clear" w:color="auto" w:fill="auto"/>
          </w:tcPr>
          <w:p w14:paraId="4A514FD7" w14:textId="77777777" w:rsidR="00923FE1" w:rsidRPr="001768B8" w:rsidRDefault="00923FE1" w:rsidP="00DC145E">
            <w:pPr>
              <w:spacing w:before="120" w:after="120" w:line="240" w:lineRule="auto"/>
              <w:jc w:val="center"/>
              <w:rPr>
                <w:rFonts w:ascii="Times New Roman" w:hAnsi="Times New Roman"/>
                <w:noProof/>
              </w:rPr>
            </w:pPr>
            <w:r>
              <w:rPr>
                <w:rFonts w:ascii="Times New Roman" w:hAnsi="Times New Roman"/>
                <w:noProof/>
              </w:rPr>
              <w:t>17</w:t>
            </w:r>
          </w:p>
        </w:tc>
      </w:tr>
    </w:tbl>
    <w:p w14:paraId="7BC7BA86" w14:textId="77777777" w:rsidR="00923FE1" w:rsidRPr="001768B8" w:rsidRDefault="00923FE1" w:rsidP="00923FE1">
      <w:pPr>
        <w:pStyle w:val="ManualHeading1"/>
        <w:rPr>
          <w:noProof/>
        </w:rPr>
      </w:pPr>
      <w:r>
        <w:rPr>
          <w:noProof/>
        </w:rPr>
        <w:t xml:space="preserve">3. </w:t>
      </w:r>
      <w:r>
        <w:rPr>
          <w:noProof/>
        </w:rPr>
        <w:tab/>
        <w:t>A 2019-es felülvizsgálat</w:t>
      </w:r>
    </w:p>
    <w:p w14:paraId="384BA935" w14:textId="77777777" w:rsidR="00923FE1" w:rsidRPr="001768B8" w:rsidRDefault="00923FE1" w:rsidP="00923FE1">
      <w:pPr>
        <w:rPr>
          <w:rFonts w:ascii="Times New Roman" w:hAnsi="Times New Roman"/>
          <w:noProof/>
        </w:rPr>
      </w:pPr>
      <w:r>
        <w:rPr>
          <w:rFonts w:ascii="Times New Roman" w:hAnsi="Times New Roman"/>
          <w:noProof/>
        </w:rPr>
        <w:t>A jelenlegi felülvizsgálati folyamat 2019-ben kezdődött, és a késedelmek miatt 2023-ban fejeződik be annak érdekében, hogy a 2019–2023-as időszakra vonatkozó 2024. évi felülvizsgálat időben megkezdődhessen.</w:t>
      </w:r>
    </w:p>
    <w:p w14:paraId="49A719EA" w14:textId="61AE1038" w:rsidR="00923FE1" w:rsidRPr="001768B8" w:rsidRDefault="00923FE1" w:rsidP="00923FE1">
      <w:pPr>
        <w:jc w:val="both"/>
        <w:rPr>
          <w:rFonts w:ascii="Times New Roman" w:hAnsi="Times New Roman"/>
          <w:noProof/>
        </w:rPr>
      </w:pPr>
      <w:r>
        <w:rPr>
          <w:rFonts w:ascii="Times New Roman" w:hAnsi="Times New Roman"/>
          <w:noProof/>
        </w:rPr>
        <w:t>A Liechtenstein által a 2014–2018 közötti időszakra vonatkozóan szolgáltatott adatok (lásd a fenti 1. táblázatot) azt mutatják, hogy nőtt a gazdaságilag aktív személyek tartózkodási engedély iránti kérelmeinek száma, és jelentősen nőtt az inaktív személyek tartózkodási engedély iránti kérelmeinek száma. A kérelmek száma jelentősen meghaladja az odaítélendő engedélyek minimális kvótáját.</w:t>
      </w:r>
    </w:p>
    <w:p w14:paraId="2A9A00AC" w14:textId="5529D18B" w:rsidR="00923FE1" w:rsidRDefault="00923FE1" w:rsidP="00B125E8">
      <w:pPr>
        <w:jc w:val="both"/>
        <w:rPr>
          <w:rFonts w:ascii="Times New Roman" w:hAnsi="Times New Roman"/>
          <w:noProof/>
        </w:rPr>
      </w:pPr>
      <w:r>
        <w:rPr>
          <w:rFonts w:ascii="Times New Roman" w:hAnsi="Times New Roman"/>
          <w:noProof/>
        </w:rPr>
        <w:t>Az Európai Bizottság és Liechtenstein között a jelenlegi szabályok esetleges megváltoztatásáról szóló megbeszélések során Liechtenstein azzal érvelt, hogy befogadási képessége továbbra is meglehetősen korlátozott, és nem változott a felülvizsgálati időszak folyamán. Liechtenstein véleménye ezért az, hogy a Liechtensteinre vonatkozó különleges szabályozás maradjon változatlan, és a következő, a 2019–2023 közötti időszakra vonatkozó felülvizsgálatot 2024 májusa előtt végezzék el.</w:t>
      </w:r>
    </w:p>
    <w:p w14:paraId="71189814" w14:textId="42CBAF23" w:rsidR="00923FE1" w:rsidRPr="001768B8" w:rsidRDefault="00923FE1" w:rsidP="00B125E8">
      <w:pPr>
        <w:jc w:val="both"/>
        <w:rPr>
          <w:rFonts w:ascii="Times New Roman" w:hAnsi="Times New Roman"/>
          <w:noProof/>
        </w:rPr>
      </w:pPr>
      <w:r>
        <w:rPr>
          <w:rFonts w:ascii="Times New Roman" w:hAnsi="Times New Roman"/>
          <w:noProof/>
        </w:rPr>
        <w:t>A felülvizsgálat során, az EGT-Tanács 1/95 határozatában meghatározottaknak megfelelően a Bizottságnak figyelembe kellett vennie az EGT-Tanács 1/95 határozatában leírt körülményeket, nevezetesen, hogy a) Liechtensteinben a vidéki jellegű lakott terület nagyon kicsi; és b) Liechtensteinben szokatlanul nagy az állampolgársággal nem rendelkező lakosok és alkalmazottak aránya; továbbá Liechtensteinnek létfontosságú érdeke nemzeti identitása megtartása.</w:t>
      </w:r>
    </w:p>
    <w:p w14:paraId="578F300D" w14:textId="053B802A" w:rsidR="00923FE1" w:rsidRPr="001768B8" w:rsidRDefault="00923FE1" w:rsidP="00923FE1">
      <w:pPr>
        <w:jc w:val="both"/>
        <w:rPr>
          <w:rFonts w:ascii="Times New Roman" w:hAnsi="Times New Roman"/>
          <w:noProof/>
        </w:rPr>
      </w:pPr>
      <w:r>
        <w:rPr>
          <w:rFonts w:ascii="Times New Roman" w:hAnsi="Times New Roman"/>
          <w:noProof/>
        </w:rPr>
        <w:t>Mivel az első körülmény a másodikhoz képest állandó, a Bizottság megjegyzi, hogy a 2014–2018 közötti referencia-időszakban Liechtenstein népessége 1014 fővel, 37 366 főről 38 380 főre nőtt, ami 2,7 %-os növekedést jelent. Ugyanebben az időszakban a külföldi lakosok száma a 2014 eleji 6451-ről 2018 elejére 6855-re nőtt, ami 6,3 %-os növekedést jelent. 2018-ban a 38 380 fő 34 %-a külföldi állampolgár volt</w:t>
      </w:r>
      <w:r>
        <w:rPr>
          <w:rStyle w:val="FootnoteReference"/>
          <w:rFonts w:ascii="Times New Roman" w:hAnsi="Times New Roman"/>
          <w:noProof/>
          <w:lang w:val="de-AT"/>
        </w:rPr>
        <w:footnoteReference w:id="6"/>
      </w:r>
      <w:r>
        <w:rPr>
          <w:rFonts w:ascii="Times New Roman" w:hAnsi="Times New Roman"/>
          <w:noProof/>
        </w:rPr>
        <w:t xml:space="preserve">. Ezek az adatok azt mutatják, hogy a liechtensteini külföldi állampolgárok aránya továbbra is magas maradt a referencia-időszakban. </w:t>
      </w:r>
    </w:p>
    <w:p w14:paraId="2B333512" w14:textId="77777777" w:rsidR="00923FE1" w:rsidRPr="001768B8" w:rsidRDefault="00923FE1" w:rsidP="00923FE1">
      <w:pPr>
        <w:jc w:val="both"/>
        <w:rPr>
          <w:rFonts w:ascii="Times New Roman" w:hAnsi="Times New Roman"/>
          <w:noProof/>
        </w:rPr>
      </w:pPr>
      <w:r>
        <w:rPr>
          <w:rFonts w:ascii="Times New Roman" w:hAnsi="Times New Roman"/>
          <w:noProof/>
        </w:rPr>
        <w:t>A Tanács EFTA-munkacsoportját 2023. január 24-én, majd ezt követően 2023. február 7-én tájékoztatták a kérdésről. Egyetlen tagállam sem adott hangot aggodalmának a szabályozás 2014–2018 közötti időszakra vonatkozó fenntartásával kapcsolatosan.</w:t>
      </w:r>
    </w:p>
    <w:p w14:paraId="6687BEEA" w14:textId="77777777" w:rsidR="00923FE1" w:rsidRPr="001768B8" w:rsidRDefault="00923FE1" w:rsidP="00923FE1">
      <w:pPr>
        <w:pStyle w:val="ManualHeading1"/>
        <w:rPr>
          <w:noProof/>
        </w:rPr>
      </w:pPr>
      <w:r>
        <w:rPr>
          <w:noProof/>
        </w:rPr>
        <w:t xml:space="preserve">4. </w:t>
      </w:r>
      <w:r>
        <w:rPr>
          <w:noProof/>
        </w:rPr>
        <w:tab/>
        <w:t>Következtetések</w:t>
      </w:r>
    </w:p>
    <w:p w14:paraId="79CADC0B" w14:textId="31B576C0" w:rsidR="008C59ED" w:rsidRDefault="00923FE1" w:rsidP="008C59ED">
      <w:pPr>
        <w:jc w:val="both"/>
        <w:rPr>
          <w:rFonts w:ascii="Times New Roman" w:hAnsi="Times New Roman"/>
          <w:noProof/>
        </w:rPr>
      </w:pPr>
      <w:r>
        <w:rPr>
          <w:rFonts w:ascii="Times New Roman" w:hAnsi="Times New Roman"/>
          <w:noProof/>
        </w:rPr>
        <w:t xml:space="preserve">A fentiek fényében a Bizottság nem látja szükségesnek a jelenlegi szabályok megváltoztatását, és úgy véli, hogy a szektorális kiigazítások rendelkezései jelenleg változatlanok maradhatnak. Mindazonáltal a Bizottság megjegyzi, hogy az éves kvóta kiszámításához használt képlet és a számítás alapja az elmúlt 24 évben változatlan maradt. </w:t>
      </w:r>
    </w:p>
    <w:p w14:paraId="165E9624" w14:textId="76688250" w:rsidR="00923FE1" w:rsidRDefault="00923FE1" w:rsidP="00923FE1">
      <w:pPr>
        <w:jc w:val="both"/>
        <w:rPr>
          <w:rFonts w:ascii="Times New Roman" w:hAnsi="Times New Roman"/>
          <w:noProof/>
        </w:rPr>
      </w:pPr>
    </w:p>
    <w:p w14:paraId="45B28F5D" w14:textId="77777777" w:rsidR="00923FE1" w:rsidRPr="004114A5" w:rsidRDefault="00923FE1" w:rsidP="00923FE1">
      <w:pPr>
        <w:jc w:val="both"/>
        <w:rPr>
          <w:rFonts w:ascii="Times New Roman" w:hAnsi="Times New Roman"/>
          <w:noProof/>
        </w:rPr>
      </w:pPr>
      <w:r>
        <w:rPr>
          <w:rFonts w:ascii="Times New Roman" w:hAnsi="Times New Roman"/>
          <w:noProof/>
        </w:rPr>
        <w:t>Az EGT-megállapodásban megfogalmazott, a személyek szabad mozgása lehető legteljesebb megvalósításának biztosítására irányuló közös célkitűzés fényében a felek az ágazati kiigazítások 2024-re tervezett negyedik felülvizsgálata keretében megvizsgálhatják, hogy helyénvaló lenne-e az ágazati kiigazítások módosítása.</w:t>
      </w:r>
    </w:p>
    <w:p w14:paraId="6E32AF2C" w14:textId="77777777" w:rsidR="00450746" w:rsidRPr="001768B8" w:rsidRDefault="00450746" w:rsidP="00923FE1">
      <w:pPr>
        <w:pStyle w:val="ManualHeading1"/>
        <w:rPr>
          <w:noProof/>
        </w:rPr>
      </w:pPr>
    </w:p>
    <w:sectPr w:rsidR="00450746" w:rsidRPr="001768B8" w:rsidSect="001513AD">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F1A98D" w14:textId="77777777" w:rsidR="00BF4937" w:rsidRDefault="00BF4937">
      <w:pPr>
        <w:spacing w:after="0" w:line="240" w:lineRule="auto"/>
      </w:pPr>
      <w:r>
        <w:separator/>
      </w:r>
    </w:p>
  </w:endnote>
  <w:endnote w:type="continuationSeparator" w:id="0">
    <w:p w14:paraId="01A7DD70" w14:textId="77777777" w:rsidR="00BF4937" w:rsidRDefault="00BF4937">
      <w:pPr>
        <w:spacing w:after="0" w:line="240" w:lineRule="auto"/>
      </w:pPr>
      <w:r>
        <w:continuationSeparator/>
      </w:r>
    </w:p>
  </w:endnote>
  <w:endnote w:type="continuationNotice" w:id="1">
    <w:p w14:paraId="72BF3295" w14:textId="77777777" w:rsidR="00BF4937" w:rsidRDefault="00BF49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6D1A7" w14:textId="4B04289B" w:rsidR="004040B5" w:rsidRPr="00E61849" w:rsidRDefault="004040B5" w:rsidP="00E61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8A7C8" w14:textId="54284940" w:rsidR="004040B5" w:rsidRPr="00E61849" w:rsidRDefault="00E61849" w:rsidP="00E61849">
    <w:pPr>
      <w:pStyle w:val="FooterCoverPage"/>
      <w:rPr>
        <w:rFonts w:ascii="Arial" w:hAnsi="Arial" w:cs="Arial"/>
        <w:b/>
        <w:sz w:val="48"/>
      </w:rPr>
    </w:pPr>
    <w:r w:rsidRPr="00E61849">
      <w:rPr>
        <w:rFonts w:ascii="Arial" w:hAnsi="Arial" w:cs="Arial"/>
        <w:b/>
        <w:sz w:val="48"/>
      </w:rPr>
      <w:t>HU</w:t>
    </w:r>
    <w:r w:rsidRPr="00E61849">
      <w:rPr>
        <w:rFonts w:ascii="Arial" w:hAnsi="Arial" w:cs="Arial"/>
        <w:b/>
        <w:sz w:val="48"/>
      </w:rPr>
      <w:tab/>
    </w:r>
    <w:r w:rsidRPr="00E61849">
      <w:rPr>
        <w:rFonts w:ascii="Arial" w:hAnsi="Arial" w:cs="Arial"/>
        <w:b/>
        <w:sz w:val="48"/>
      </w:rPr>
      <w:tab/>
    </w:r>
    <w:r w:rsidRPr="00E61849">
      <w:tab/>
    </w:r>
    <w:r w:rsidRPr="00E61849">
      <w:rPr>
        <w:rFonts w:ascii="Arial" w:hAnsi="Arial" w:cs="Arial"/>
        <w:b/>
        <w:sz w:val="48"/>
      </w:rPr>
      <w:t>HU</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8BCD0" w14:textId="77777777" w:rsidR="00E61849" w:rsidRPr="00E61849" w:rsidRDefault="00E61849" w:rsidP="00E61849">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DCC6B" w14:textId="77777777" w:rsidR="0090164C" w:rsidRDefault="0090164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6C658" w14:textId="767391BD" w:rsidR="0090164C" w:rsidRDefault="0090164C">
    <w:pPr>
      <w:pStyle w:val="Footer"/>
      <w:jc w:val="center"/>
    </w:pPr>
    <w:r>
      <w:fldChar w:fldCharType="begin"/>
    </w:r>
    <w:r>
      <w:instrText xml:space="preserve"> PAGE   \* MERGEFORMAT </w:instrText>
    </w:r>
    <w:r>
      <w:fldChar w:fldCharType="separate"/>
    </w:r>
    <w:r w:rsidR="00E61849">
      <w:rPr>
        <w:noProof/>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233EA" w14:textId="77777777" w:rsidR="0090164C" w:rsidRDefault="009016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EE656" w14:textId="77777777" w:rsidR="00BF4937" w:rsidRDefault="00BF4937">
      <w:pPr>
        <w:spacing w:after="0" w:line="240" w:lineRule="auto"/>
      </w:pPr>
      <w:r>
        <w:separator/>
      </w:r>
    </w:p>
  </w:footnote>
  <w:footnote w:type="continuationSeparator" w:id="0">
    <w:p w14:paraId="2E31C445" w14:textId="77777777" w:rsidR="00BF4937" w:rsidRDefault="00BF4937">
      <w:pPr>
        <w:spacing w:after="0" w:line="240" w:lineRule="auto"/>
      </w:pPr>
      <w:r>
        <w:continuationSeparator/>
      </w:r>
    </w:p>
  </w:footnote>
  <w:footnote w:type="continuationNotice" w:id="1">
    <w:p w14:paraId="2027451D" w14:textId="77777777" w:rsidR="00BF4937" w:rsidRDefault="00BF4937">
      <w:pPr>
        <w:spacing w:after="0" w:line="240" w:lineRule="auto"/>
      </w:pPr>
    </w:p>
  </w:footnote>
  <w:footnote w:id="2">
    <w:p w14:paraId="3FDD78A8" w14:textId="55F84ED4" w:rsidR="006203FB" w:rsidRPr="00AE73CC" w:rsidRDefault="006203FB" w:rsidP="006203FB">
      <w:pPr>
        <w:pStyle w:val="FootnoteText"/>
        <w:rPr>
          <w:rFonts w:ascii="Times New Roman" w:hAnsi="Times New Roman"/>
        </w:rPr>
      </w:pPr>
      <w:r>
        <w:rPr>
          <w:rStyle w:val="FootnoteReference"/>
          <w:rFonts w:ascii="Times New Roman" w:hAnsi="Times New Roman"/>
          <w:lang w:val="en-GB"/>
        </w:rPr>
        <w:footnoteRef/>
      </w:r>
      <w:r>
        <w:rPr>
          <w:rFonts w:ascii="Times New Roman" w:hAnsi="Times New Roman"/>
        </w:rPr>
        <w:t xml:space="preserve"> </w:t>
      </w:r>
      <w:r>
        <w:tab/>
      </w:r>
      <w:r>
        <w:rPr>
          <w:rFonts w:ascii="Times New Roman" w:hAnsi="Times New Roman"/>
        </w:rPr>
        <w:t>HL L 1., 1994.1.3., 176. o.</w:t>
      </w:r>
    </w:p>
  </w:footnote>
  <w:footnote w:id="3">
    <w:p w14:paraId="7AE06B10" w14:textId="77777777" w:rsidR="00923FE1" w:rsidRPr="00AE73CC" w:rsidRDefault="00923FE1" w:rsidP="00923FE1">
      <w:pPr>
        <w:pStyle w:val="FootnoteText"/>
        <w:rPr>
          <w:rFonts w:ascii="Times New Roman" w:hAnsi="Times New Roman"/>
        </w:rPr>
      </w:pPr>
      <w:r>
        <w:rPr>
          <w:rStyle w:val="FootnoteReference"/>
          <w:rFonts w:ascii="Times New Roman" w:hAnsi="Times New Roman"/>
          <w:lang w:val="en-GB"/>
        </w:rPr>
        <w:footnoteRef/>
      </w:r>
      <w:r>
        <w:rPr>
          <w:rFonts w:ascii="Times New Roman" w:hAnsi="Times New Roman"/>
        </w:rPr>
        <w:t xml:space="preserve"> </w:t>
      </w:r>
      <w:r>
        <w:tab/>
      </w:r>
      <w:r>
        <w:rPr>
          <w:rFonts w:ascii="Times New Roman" w:hAnsi="Times New Roman"/>
        </w:rPr>
        <w:t>HL L 86., 1995.4.20., 58. o.</w:t>
      </w:r>
    </w:p>
  </w:footnote>
  <w:footnote w:id="4">
    <w:p w14:paraId="0E7840E6" w14:textId="03ECF88E" w:rsidR="00923FE1" w:rsidRPr="00AE73CC" w:rsidRDefault="00923FE1" w:rsidP="00923FE1">
      <w:pPr>
        <w:pStyle w:val="FootnoteText"/>
        <w:jc w:val="both"/>
        <w:rPr>
          <w:rFonts w:ascii="Times New Roman" w:hAnsi="Times New Roman"/>
        </w:rPr>
      </w:pPr>
      <w:r>
        <w:rPr>
          <w:rStyle w:val="FootnoteReference"/>
          <w:rFonts w:ascii="Times New Roman" w:hAnsi="Times New Roman"/>
          <w:lang w:val="en-GB"/>
        </w:rPr>
        <w:footnoteRef/>
      </w:r>
      <w:r>
        <w:rPr>
          <w:rFonts w:ascii="Times New Roman" w:hAnsi="Times New Roman"/>
        </w:rPr>
        <w:t xml:space="preserve"> </w:t>
      </w:r>
      <w:r>
        <w:tab/>
      </w:r>
      <w:r>
        <w:rPr>
          <w:rFonts w:ascii="Times New Roman" w:hAnsi="Times New Roman"/>
        </w:rPr>
        <w:t>AZ EGT Vegyes Bizottság 1999. december 17-i 191/1999 határozata az EGT-megállapodás VIII. mellékletének (Letelepedési jog) és V. mellékletének (A munkavállalók szabad mozgása) módosításáról (HL L 74., 2001.3.15., 29. o.).</w:t>
      </w:r>
    </w:p>
  </w:footnote>
  <w:footnote w:id="5">
    <w:p w14:paraId="365E633D" w14:textId="77777777" w:rsidR="00923FE1" w:rsidRPr="00AE73CC" w:rsidRDefault="00923FE1" w:rsidP="00923FE1">
      <w:pPr>
        <w:pStyle w:val="FootnoteText"/>
        <w:ind w:left="426" w:hanging="426"/>
        <w:rPr>
          <w:rFonts w:ascii="Times New Roman" w:hAnsi="Times New Roman"/>
        </w:rPr>
      </w:pPr>
      <w:r>
        <w:rPr>
          <w:rStyle w:val="FootnoteReference"/>
          <w:rFonts w:ascii="Times New Roman" w:hAnsi="Times New Roman"/>
          <w:lang w:val="en-GB"/>
        </w:rPr>
        <w:footnoteRef/>
      </w:r>
      <w:r>
        <w:tab/>
      </w:r>
      <w:r>
        <w:rPr>
          <w:rFonts w:ascii="Times New Roman" w:hAnsi="Times New Roman"/>
        </w:rPr>
        <w:t>VIII. melléklet (Letelepedési jog):</w:t>
      </w:r>
      <w:r>
        <w:t xml:space="preserve"> </w:t>
      </w:r>
      <w:r>
        <w:br/>
      </w:r>
      <w:r>
        <w:rPr>
          <w:rFonts w:ascii="Times New Roman" w:hAnsi="Times New Roman"/>
        </w:rPr>
        <w:t>„II. cím</w:t>
      </w:r>
    </w:p>
    <w:p w14:paraId="5E11F107" w14:textId="77777777" w:rsidR="00923FE1" w:rsidRPr="00AE73CC" w:rsidRDefault="00923FE1" w:rsidP="00923FE1">
      <w:pPr>
        <w:pStyle w:val="FootnoteText"/>
        <w:numPr>
          <w:ilvl w:val="0"/>
          <w:numId w:val="2"/>
        </w:numPr>
        <w:ind w:left="786"/>
        <w:jc w:val="both"/>
        <w:rPr>
          <w:rFonts w:ascii="Times New Roman" w:hAnsi="Times New Roman"/>
        </w:rPr>
      </w:pPr>
      <w:r>
        <w:rPr>
          <w:rFonts w:ascii="Times New Roman" w:hAnsi="Times New Roman"/>
        </w:rPr>
        <w:t>A Liechtensteinben gazdasági tevékenységet folytató izlandi, norvég vagy EU-tagállambeli állampolgárok számára adható tartózkodási engedélyek számát úgy kell meghatározni, hogy az 1998. január 1-jei szám legalább 1,75 %-ának megfelelő nettó emelkedés történjen az előző évhez képest.</w:t>
      </w:r>
    </w:p>
    <w:p w14:paraId="71587986" w14:textId="77777777" w:rsidR="00923FE1" w:rsidRPr="00AE73CC" w:rsidRDefault="00923FE1" w:rsidP="00923FE1">
      <w:pPr>
        <w:pStyle w:val="FootnoteText"/>
        <w:ind w:left="786" w:firstLine="0"/>
        <w:jc w:val="both"/>
        <w:rPr>
          <w:rFonts w:ascii="Times New Roman" w:hAnsi="Times New Roman"/>
        </w:rPr>
      </w:pPr>
      <w:r>
        <w:rPr>
          <w:rFonts w:ascii="Times New Roman" w:hAnsi="Times New Roman"/>
        </w:rPr>
        <w:t>[…]</w:t>
      </w:r>
    </w:p>
    <w:p w14:paraId="6A3AFDAB" w14:textId="77777777" w:rsidR="00923FE1" w:rsidRPr="00AE73CC" w:rsidRDefault="00923FE1" w:rsidP="00923FE1">
      <w:pPr>
        <w:pStyle w:val="FootnoteText"/>
        <w:numPr>
          <w:ilvl w:val="0"/>
          <w:numId w:val="2"/>
        </w:numPr>
        <w:ind w:left="786"/>
        <w:jc w:val="both"/>
        <w:rPr>
          <w:rFonts w:ascii="Times New Roman" w:hAnsi="Times New Roman"/>
        </w:rPr>
      </w:pPr>
      <w:r>
        <w:rPr>
          <w:rFonts w:ascii="Times New Roman" w:hAnsi="Times New Roman"/>
        </w:rPr>
        <w:t>A liechtensteini hatóságok a tartózkodási engedélyek kiadása során kerülik a hátrányos megkülönböztetést és a verseny torzítását. A nettó növekedésnek megfelelő számú tartózkodási engedélyek felét egy olyan eljárás keretében kell kiadni, amely egyenlő esélyt biztosít valamennyi kérelmező számára.</w:t>
      </w:r>
    </w:p>
    <w:p w14:paraId="742269DA" w14:textId="77777777" w:rsidR="00923FE1" w:rsidRPr="00AE73CC" w:rsidRDefault="00923FE1" w:rsidP="00923FE1">
      <w:pPr>
        <w:pStyle w:val="FootnoteText"/>
        <w:numPr>
          <w:ilvl w:val="0"/>
          <w:numId w:val="2"/>
        </w:numPr>
        <w:ind w:left="786"/>
        <w:jc w:val="both"/>
        <w:rPr>
          <w:rFonts w:ascii="Times New Roman" w:hAnsi="Times New Roman"/>
        </w:rPr>
      </w:pPr>
      <w:r>
        <w:rPr>
          <w:rFonts w:ascii="Times New Roman" w:hAnsi="Times New Roman"/>
        </w:rPr>
        <w:t>Azok a lakóhellyel rendelkező személyek, akiknek tartózkodási engedélye rövid időre szól, és akik gazdasági tevékenységet végeznek, beletartoznak a kvótába.</w:t>
      </w:r>
    </w:p>
    <w:p w14:paraId="6743BD24" w14:textId="77777777" w:rsidR="00923FE1" w:rsidRPr="00AE73CC" w:rsidRDefault="00923FE1" w:rsidP="00923FE1">
      <w:pPr>
        <w:pStyle w:val="FootnoteText"/>
        <w:ind w:left="786" w:firstLine="0"/>
        <w:jc w:val="both"/>
        <w:rPr>
          <w:rFonts w:ascii="Times New Roman" w:hAnsi="Times New Roman"/>
        </w:rPr>
      </w:pPr>
      <w:r>
        <w:rPr>
          <w:rFonts w:ascii="Times New Roman" w:hAnsi="Times New Roman"/>
        </w:rPr>
        <w:t>[…]</w:t>
      </w:r>
    </w:p>
    <w:p w14:paraId="2CBBEC1D" w14:textId="77777777" w:rsidR="00923FE1" w:rsidRPr="00AE73CC" w:rsidRDefault="00923FE1" w:rsidP="00923FE1">
      <w:pPr>
        <w:pStyle w:val="FootnoteText"/>
        <w:ind w:left="786" w:firstLine="0"/>
        <w:jc w:val="both"/>
        <w:rPr>
          <w:rFonts w:ascii="Times New Roman" w:hAnsi="Times New Roman"/>
        </w:rPr>
      </w:pPr>
      <w:r>
        <w:rPr>
          <w:rFonts w:ascii="Times New Roman" w:hAnsi="Times New Roman"/>
        </w:rPr>
        <w:t>A gazdasági tevékenységet folytató személyek számára adható, rövid időre szóló tartózkodási engedélyek száma legfeljebb 10 %-kal térhet el az 1997. évi számtól.</w:t>
      </w:r>
    </w:p>
    <w:p w14:paraId="405DECCD" w14:textId="77777777" w:rsidR="00923FE1" w:rsidRPr="00AE73CC" w:rsidRDefault="00923FE1" w:rsidP="00923FE1">
      <w:pPr>
        <w:pStyle w:val="FootnoteText"/>
        <w:ind w:left="946" w:hanging="426"/>
        <w:rPr>
          <w:rFonts w:ascii="Times New Roman" w:hAnsi="Times New Roman"/>
        </w:rPr>
      </w:pPr>
      <w:r>
        <w:rPr>
          <w:rFonts w:ascii="Times New Roman" w:hAnsi="Times New Roman"/>
        </w:rPr>
        <w:t>III. cím</w:t>
      </w:r>
    </w:p>
    <w:p w14:paraId="6E524D43" w14:textId="77777777" w:rsidR="00923FE1" w:rsidRPr="00AE73CC" w:rsidRDefault="00923FE1" w:rsidP="00923FE1">
      <w:pPr>
        <w:pStyle w:val="FootnoteText"/>
        <w:ind w:left="520" w:firstLine="0"/>
        <w:jc w:val="both"/>
        <w:rPr>
          <w:rFonts w:ascii="Times New Roman" w:hAnsi="Times New Roman"/>
        </w:rPr>
      </w:pPr>
      <w:r>
        <w:rPr>
          <w:rFonts w:ascii="Times New Roman" w:hAnsi="Times New Roman"/>
        </w:rPr>
        <w:t>Izland, Norvégia és az EU-tagállamok Liechtensteinben jogszerűen lakóhellyel rendelkező állampolgárainak hozzátartozói ugyanolyan érvényességű engedélyre jogosultak, mint azé a személyé, akinek a jogán jogosultak. Gazdasági tevékenységbe kezdhetnek, ebben az esetben a gazdasági tevékenységet folytató személyek tartózkodási engedélyeinek kvótájába számítanak bele.</w:t>
      </w:r>
    </w:p>
    <w:p w14:paraId="666AE68B" w14:textId="686F5C39" w:rsidR="00923FE1" w:rsidRPr="00AE73CC" w:rsidRDefault="00923FE1" w:rsidP="00923FE1">
      <w:pPr>
        <w:pStyle w:val="FootnoteText"/>
        <w:ind w:left="946" w:hanging="426"/>
        <w:rPr>
          <w:rFonts w:ascii="Times New Roman" w:hAnsi="Times New Roman"/>
        </w:rPr>
      </w:pPr>
      <w:r>
        <w:rPr>
          <w:rFonts w:ascii="Times New Roman" w:hAnsi="Times New Roman"/>
        </w:rPr>
        <w:t>IV. cím</w:t>
      </w:r>
    </w:p>
    <w:p w14:paraId="2E1B4F38" w14:textId="77777777" w:rsidR="00923FE1" w:rsidRPr="00AE73CC" w:rsidRDefault="00923FE1" w:rsidP="00923FE1">
      <w:pPr>
        <w:pStyle w:val="FootnoteText"/>
        <w:ind w:left="520" w:firstLine="0"/>
        <w:jc w:val="both"/>
        <w:rPr>
          <w:rFonts w:ascii="Times New Roman" w:hAnsi="Times New Roman"/>
        </w:rPr>
      </w:pPr>
      <w:r>
        <w:rPr>
          <w:rFonts w:ascii="Times New Roman" w:hAnsi="Times New Roman"/>
        </w:rPr>
        <w:t>Azon személyek vonatkozásában, akik [...] le akarnak telepedni, egy, a II. pontban említett számítási alapnak a 0,5 %-ában meghatározott, éves kiegészítő kvótát állapítanak meg.”</w:t>
      </w:r>
    </w:p>
  </w:footnote>
  <w:footnote w:id="6">
    <w:p w14:paraId="68BAE052" w14:textId="275BAEAB" w:rsidR="00923FE1" w:rsidRPr="00E70EE8" w:rsidRDefault="00923FE1" w:rsidP="00E70EE8">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Éves jelentések az EGT Vegyes Bizottság 191/1999 határozatának a személyek szabad mozgása területével kapcsolatos liechtensteini alkalmazásáról (2014–2018).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55D62" w14:textId="77777777" w:rsidR="00E61849" w:rsidRPr="00E61849" w:rsidRDefault="00E61849" w:rsidP="00E618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85609" w14:textId="77777777" w:rsidR="00E61849" w:rsidRPr="00E61849" w:rsidRDefault="00E61849" w:rsidP="00E61849">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C5C6E" w14:textId="77777777" w:rsidR="00E61849" w:rsidRPr="00E61849" w:rsidRDefault="00E61849" w:rsidP="00E61849">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02A40" w14:textId="77777777" w:rsidR="0090164C" w:rsidRDefault="0090164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4E23F" w14:textId="77777777" w:rsidR="0090164C" w:rsidRDefault="0090164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2DF8E" w14:textId="77777777" w:rsidR="0090164C" w:rsidRDefault="009016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15EF4"/>
    <w:multiLevelType w:val="hybridMultilevel"/>
    <w:tmpl w:val="A0B267FE"/>
    <w:lvl w:ilvl="0" w:tplc="81D8CD1E">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6334B8"/>
    <w:multiLevelType w:val="hybridMultilevel"/>
    <w:tmpl w:val="8E0A8646"/>
    <w:lvl w:ilvl="0" w:tplc="0809000F">
      <w:start w:val="1"/>
      <w:numFmt w:val="decimal"/>
      <w:lvlText w:val="%1."/>
      <w:lvlJc w:val="left"/>
      <w:pPr>
        <w:ind w:left="880" w:hanging="360"/>
      </w:pPr>
    </w:lvl>
    <w:lvl w:ilvl="1" w:tplc="08090019" w:tentative="1">
      <w:start w:val="1"/>
      <w:numFmt w:val="lowerLetter"/>
      <w:lvlText w:val="%2."/>
      <w:lvlJc w:val="left"/>
      <w:pPr>
        <w:ind w:left="1600" w:hanging="360"/>
      </w:pPr>
    </w:lvl>
    <w:lvl w:ilvl="2" w:tplc="0809001B" w:tentative="1">
      <w:start w:val="1"/>
      <w:numFmt w:val="lowerRoman"/>
      <w:lvlText w:val="%3."/>
      <w:lvlJc w:val="right"/>
      <w:pPr>
        <w:ind w:left="2320" w:hanging="180"/>
      </w:pPr>
    </w:lvl>
    <w:lvl w:ilvl="3" w:tplc="0809000F" w:tentative="1">
      <w:start w:val="1"/>
      <w:numFmt w:val="decimal"/>
      <w:lvlText w:val="%4."/>
      <w:lvlJc w:val="left"/>
      <w:pPr>
        <w:ind w:left="3040" w:hanging="360"/>
      </w:pPr>
    </w:lvl>
    <w:lvl w:ilvl="4" w:tplc="08090019" w:tentative="1">
      <w:start w:val="1"/>
      <w:numFmt w:val="lowerLetter"/>
      <w:lvlText w:val="%5."/>
      <w:lvlJc w:val="left"/>
      <w:pPr>
        <w:ind w:left="3760" w:hanging="360"/>
      </w:pPr>
    </w:lvl>
    <w:lvl w:ilvl="5" w:tplc="0809001B" w:tentative="1">
      <w:start w:val="1"/>
      <w:numFmt w:val="lowerRoman"/>
      <w:lvlText w:val="%6."/>
      <w:lvlJc w:val="right"/>
      <w:pPr>
        <w:ind w:left="4480" w:hanging="180"/>
      </w:pPr>
    </w:lvl>
    <w:lvl w:ilvl="6" w:tplc="0809000F" w:tentative="1">
      <w:start w:val="1"/>
      <w:numFmt w:val="decimal"/>
      <w:lvlText w:val="%7."/>
      <w:lvlJc w:val="left"/>
      <w:pPr>
        <w:ind w:left="5200" w:hanging="360"/>
      </w:pPr>
    </w:lvl>
    <w:lvl w:ilvl="7" w:tplc="08090019" w:tentative="1">
      <w:start w:val="1"/>
      <w:numFmt w:val="lowerLetter"/>
      <w:lvlText w:val="%8."/>
      <w:lvlJc w:val="left"/>
      <w:pPr>
        <w:ind w:left="5920" w:hanging="360"/>
      </w:pPr>
    </w:lvl>
    <w:lvl w:ilvl="8" w:tplc="0809001B" w:tentative="1">
      <w:start w:val="1"/>
      <w:numFmt w:val="lowerRoman"/>
      <w:lvlText w:val="%9."/>
      <w:lvlJc w:val="right"/>
      <w:pPr>
        <w:ind w:left="6640" w:hanging="180"/>
      </w:pPr>
    </w:lvl>
  </w:abstractNum>
  <w:abstractNum w:abstractNumId="2" w15:restartNumberingAfterBreak="0">
    <w:nsid w:val="3A631720"/>
    <w:multiLevelType w:val="hybridMultilevel"/>
    <w:tmpl w:val="494AFA6A"/>
    <w:lvl w:ilvl="0" w:tplc="B6521030">
      <w:start w:val="2"/>
      <w:numFmt w:val="bullet"/>
      <w:lvlText w:val="-"/>
      <w:lvlJc w:val="left"/>
      <w:pPr>
        <w:ind w:left="720" w:hanging="360"/>
      </w:pPr>
      <w:rPr>
        <w:rFonts w:ascii="Calibri" w:eastAsia="Calibr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6A907419"/>
    <w:multiLevelType w:val="hybridMultilevel"/>
    <w:tmpl w:val="F7423716"/>
    <w:lvl w:ilvl="0" w:tplc="3A32F028">
      <w:start w:val="1"/>
      <w:numFmt w:val="decimal"/>
      <w:lvlText w:val="%1."/>
      <w:lvlJc w:val="left"/>
      <w:pPr>
        <w:ind w:left="520" w:hanging="360"/>
      </w:pPr>
      <w:rPr>
        <w:rFonts w:hint="default"/>
      </w:rPr>
    </w:lvl>
    <w:lvl w:ilvl="1" w:tplc="08090019" w:tentative="1">
      <w:start w:val="1"/>
      <w:numFmt w:val="lowerLetter"/>
      <w:lvlText w:val="%2."/>
      <w:lvlJc w:val="left"/>
      <w:pPr>
        <w:ind w:left="1240" w:hanging="360"/>
      </w:pPr>
    </w:lvl>
    <w:lvl w:ilvl="2" w:tplc="0809001B" w:tentative="1">
      <w:start w:val="1"/>
      <w:numFmt w:val="lowerRoman"/>
      <w:lvlText w:val="%3."/>
      <w:lvlJc w:val="right"/>
      <w:pPr>
        <w:ind w:left="1960" w:hanging="180"/>
      </w:pPr>
    </w:lvl>
    <w:lvl w:ilvl="3" w:tplc="0809000F" w:tentative="1">
      <w:start w:val="1"/>
      <w:numFmt w:val="decimal"/>
      <w:lvlText w:val="%4."/>
      <w:lvlJc w:val="left"/>
      <w:pPr>
        <w:ind w:left="2680" w:hanging="360"/>
      </w:pPr>
    </w:lvl>
    <w:lvl w:ilvl="4" w:tplc="08090019" w:tentative="1">
      <w:start w:val="1"/>
      <w:numFmt w:val="lowerLetter"/>
      <w:lvlText w:val="%5."/>
      <w:lvlJc w:val="left"/>
      <w:pPr>
        <w:ind w:left="3400" w:hanging="360"/>
      </w:pPr>
    </w:lvl>
    <w:lvl w:ilvl="5" w:tplc="0809001B" w:tentative="1">
      <w:start w:val="1"/>
      <w:numFmt w:val="lowerRoman"/>
      <w:lvlText w:val="%6."/>
      <w:lvlJc w:val="right"/>
      <w:pPr>
        <w:ind w:left="4120" w:hanging="180"/>
      </w:pPr>
    </w:lvl>
    <w:lvl w:ilvl="6" w:tplc="0809000F" w:tentative="1">
      <w:start w:val="1"/>
      <w:numFmt w:val="decimal"/>
      <w:lvlText w:val="%7."/>
      <w:lvlJc w:val="left"/>
      <w:pPr>
        <w:ind w:left="4840" w:hanging="360"/>
      </w:pPr>
    </w:lvl>
    <w:lvl w:ilvl="7" w:tplc="08090019" w:tentative="1">
      <w:start w:val="1"/>
      <w:numFmt w:val="lowerLetter"/>
      <w:lvlText w:val="%8."/>
      <w:lvlJc w:val="left"/>
      <w:pPr>
        <w:ind w:left="5560" w:hanging="360"/>
      </w:pPr>
    </w:lvl>
    <w:lvl w:ilvl="8" w:tplc="0809001B" w:tentative="1">
      <w:start w:val="1"/>
      <w:numFmt w:val="lowerRoman"/>
      <w:lvlText w:val="%9."/>
      <w:lvlJc w:val="right"/>
      <w:pPr>
        <w:ind w:left="62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de-AT" w:vendorID="64" w:dllVersion="6" w:nlCheck="1" w:checkStyle="0"/>
  <w:activeWritingStyle w:appName="MSWord" w:lang="en-GB" w:vendorID="64" w:dllVersion="6" w:nlCheck="1" w:checkStyle="1"/>
  <w:activeWritingStyle w:appName="MSWord" w:lang="en-GB" w:vendorID="64" w:dllVersion="0" w:nlCheck="1" w:checkStyle="0"/>
  <w:activeWritingStyle w:appName="MSWord" w:lang="de-AT" w:vendorID="64" w:dllVersion="0" w:nlCheck="1" w:checkStyle="0"/>
  <w:activeWritingStyle w:appName="MSWord" w:lang="en-IE" w:vendorID="64" w:dllVersion="6" w:nlCheck="1" w:checkStyle="1"/>
  <w:activeWritingStyle w:appName="MSWord" w:lang="en-IE" w:vendorID="64" w:dllVersion="0" w:nlCheck="1" w:checkStyle="0"/>
  <w:activeWritingStyle w:appName="MSWord" w:lang="de-DE" w:vendorID="64" w:dllVersion="0" w:nlCheck="1" w:checkStyle="0"/>
  <w:revisionView w:markup="0"/>
  <w:doNotTrackMoves/>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DocStatus" w:val="Green"/>
    <w:docVar w:name="LW_CORRIGENDUM" w:val="&lt;UNUSED&gt;"/>
    <w:docVar w:name="LW_COVERPAGE_EXISTS" w:val="True"/>
    <w:docVar w:name="LW_COVERPAGE_GUID" w:val="3843B9D5-3C75-4846-9793-C3A5FCF007DE"/>
    <w:docVar w:name="LW_COVERPAGE_TYPE" w:val="1"/>
    <w:docVar w:name="LW_CROSSREFERENCE" w:val="&lt;UNUSED&gt;"/>
    <w:docVar w:name="LW_DocType" w:val="NORMAL"/>
    <w:docVar w:name="LW_EMISSION" w:val="2023.7.27."/>
    <w:docVar w:name="LW_EMISSION_ISODATE" w:val="2023-07-27"/>
    <w:docVar w:name="LW_EMISSION_LOCATION" w:val="BRX"/>
    <w:docVar w:name="LW_EMISSION_PREFIX" w:val="Brüsszel, "/>
    <w:docVar w:name="LW_EMISSION_SUFFIX" w:val=" "/>
    <w:docVar w:name="LW_ID_DOCTYPE_NONLW" w:val="CP-012"/>
    <w:docVar w:name="LW_LANGUE" w:val="HU"/>
    <w:docVar w:name="LW_LEVEL_OF_SENSITIVITY" w:val="Standard treatment"/>
    <w:docVar w:name="LW_NOM.INST" w:val="EURÓPAI BIZOTTSÁG"/>
    <w:docVar w:name="LW_NOM.INST_JOINTDOC" w:val="&lt;EMPTY&gt;"/>
    <w:docVar w:name="LW_PART_NBR" w:val="1"/>
    <w:docVar w:name="LW_PART_NBR_TOTAL" w:val="1"/>
    <w:docVar w:name="LW_REF.INST.NEW" w:val="COM"/>
    <w:docVar w:name="LW_REF.INST.NEW_ADOPTED" w:val="final"/>
    <w:docVar w:name="LW_REF.INST.NEW_TEXT" w:val="(2023) 45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iechtensteinre vonatkozó szektorális kiigazítások - Felülvizsgálat"/>
    <w:docVar w:name="LW_TYPE.DOC.CP" w:val="A BIZOTTSÁG KÖZLEMÉNYE AZ EURÓPAI PARLAMENTNEK ÉS A TANÁCSNAK"/>
    <w:docVar w:name="LW_TYPE.DOC.CP.USERTEXT" w:val="&lt;EMPTY&gt;"/>
    <w:docVar w:name="LwApiVersions" w:val="LW4CoDe 1.23.2.0; LW 8.0, Build 20211117"/>
    <w:docVar w:name="Stamp" w:val="\\dossiers.dgt.cec.eu.int\dossiers\EEAS\EEAS-2015-00246\EEAS-2015-00246-00-00-EN-REV-00.DOC"/>
  </w:docVars>
  <w:rsids>
    <w:rsidRoot w:val="0040045B"/>
    <w:rsid w:val="00056E2C"/>
    <w:rsid w:val="00064633"/>
    <w:rsid w:val="00076D54"/>
    <w:rsid w:val="000C45BD"/>
    <w:rsid w:val="000C5923"/>
    <w:rsid w:val="000D1026"/>
    <w:rsid w:val="00105CDE"/>
    <w:rsid w:val="001102D4"/>
    <w:rsid w:val="00123913"/>
    <w:rsid w:val="001513AD"/>
    <w:rsid w:val="00155B50"/>
    <w:rsid w:val="001768B8"/>
    <w:rsid w:val="0017720C"/>
    <w:rsid w:val="00187C8A"/>
    <w:rsid w:val="001C380C"/>
    <w:rsid w:val="00326EFB"/>
    <w:rsid w:val="0035002A"/>
    <w:rsid w:val="00364CEC"/>
    <w:rsid w:val="003A5BB1"/>
    <w:rsid w:val="003C760A"/>
    <w:rsid w:val="003D3050"/>
    <w:rsid w:val="003E7663"/>
    <w:rsid w:val="0040045B"/>
    <w:rsid w:val="004040B5"/>
    <w:rsid w:val="0041279F"/>
    <w:rsid w:val="0041564D"/>
    <w:rsid w:val="00450746"/>
    <w:rsid w:val="00464FC6"/>
    <w:rsid w:val="00477A0B"/>
    <w:rsid w:val="0048558E"/>
    <w:rsid w:val="004A1EF7"/>
    <w:rsid w:val="004A3762"/>
    <w:rsid w:val="004A6259"/>
    <w:rsid w:val="004B0F8E"/>
    <w:rsid w:val="005121A4"/>
    <w:rsid w:val="0053253F"/>
    <w:rsid w:val="00551F8C"/>
    <w:rsid w:val="005D4B5B"/>
    <w:rsid w:val="005E2366"/>
    <w:rsid w:val="006203FB"/>
    <w:rsid w:val="0063057C"/>
    <w:rsid w:val="006575A0"/>
    <w:rsid w:val="00687614"/>
    <w:rsid w:val="006A6982"/>
    <w:rsid w:val="006C1B70"/>
    <w:rsid w:val="006D60DE"/>
    <w:rsid w:val="00754CA4"/>
    <w:rsid w:val="00754FE2"/>
    <w:rsid w:val="00756BB6"/>
    <w:rsid w:val="007A3021"/>
    <w:rsid w:val="007B3768"/>
    <w:rsid w:val="007F578F"/>
    <w:rsid w:val="00802950"/>
    <w:rsid w:val="00824C27"/>
    <w:rsid w:val="0084746C"/>
    <w:rsid w:val="008637B9"/>
    <w:rsid w:val="0087385E"/>
    <w:rsid w:val="008B719C"/>
    <w:rsid w:val="008C59ED"/>
    <w:rsid w:val="008D26AB"/>
    <w:rsid w:val="0090164C"/>
    <w:rsid w:val="00923FE1"/>
    <w:rsid w:val="00934C07"/>
    <w:rsid w:val="009513EB"/>
    <w:rsid w:val="00970170"/>
    <w:rsid w:val="00972D8F"/>
    <w:rsid w:val="00975BBB"/>
    <w:rsid w:val="009900B3"/>
    <w:rsid w:val="009A3083"/>
    <w:rsid w:val="009B66F1"/>
    <w:rsid w:val="009C535A"/>
    <w:rsid w:val="009E53E8"/>
    <w:rsid w:val="009F0642"/>
    <w:rsid w:val="00A4264C"/>
    <w:rsid w:val="00A5321A"/>
    <w:rsid w:val="00A804AB"/>
    <w:rsid w:val="00A836E4"/>
    <w:rsid w:val="00A861C6"/>
    <w:rsid w:val="00A9711C"/>
    <w:rsid w:val="00AD1944"/>
    <w:rsid w:val="00AE73CC"/>
    <w:rsid w:val="00AF058C"/>
    <w:rsid w:val="00B02B9F"/>
    <w:rsid w:val="00B125E8"/>
    <w:rsid w:val="00B3622C"/>
    <w:rsid w:val="00BB1CFB"/>
    <w:rsid w:val="00BB62B8"/>
    <w:rsid w:val="00BD3075"/>
    <w:rsid w:val="00BE4C99"/>
    <w:rsid w:val="00BF092B"/>
    <w:rsid w:val="00BF4937"/>
    <w:rsid w:val="00C36486"/>
    <w:rsid w:val="00C5277B"/>
    <w:rsid w:val="00C57AB4"/>
    <w:rsid w:val="00C72ADC"/>
    <w:rsid w:val="00CA2139"/>
    <w:rsid w:val="00CE02D7"/>
    <w:rsid w:val="00CE10B7"/>
    <w:rsid w:val="00CF07DD"/>
    <w:rsid w:val="00D129A6"/>
    <w:rsid w:val="00D25F31"/>
    <w:rsid w:val="00D35ECF"/>
    <w:rsid w:val="00D72277"/>
    <w:rsid w:val="00D87BC3"/>
    <w:rsid w:val="00DA19AA"/>
    <w:rsid w:val="00DC145E"/>
    <w:rsid w:val="00DF3A70"/>
    <w:rsid w:val="00E21AF8"/>
    <w:rsid w:val="00E61849"/>
    <w:rsid w:val="00E70EE8"/>
    <w:rsid w:val="00E75D61"/>
    <w:rsid w:val="00F04682"/>
    <w:rsid w:val="00F242E4"/>
    <w:rsid w:val="00F65601"/>
    <w:rsid w:val="00F767DA"/>
    <w:rsid w:val="00FA1651"/>
    <w:rsid w:val="00FC74EB"/>
    <w:rsid w:val="00FD2209"/>
    <w:rsid w:val="00FF6E8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5EB2BE6"/>
  <w15:chartTrackingRefBased/>
  <w15:docId w15:val="{D388210C-88A9-4136-A2D0-4768A14AF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u-HU"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styleId="Header">
    <w:name w:val="header"/>
    <w:basedOn w:val="Normal"/>
    <w:link w:val="HeaderChar"/>
    <w:uiPriority w:val="99"/>
    <w:unhideWhenUsed/>
    <w:rsid w:val="0040045B"/>
    <w:pPr>
      <w:tabs>
        <w:tab w:val="center" w:pos="4535"/>
        <w:tab w:val="right" w:pos="9071"/>
      </w:tabs>
      <w:spacing w:after="120" w:line="240" w:lineRule="auto"/>
      <w:jc w:val="both"/>
    </w:pPr>
    <w:rPr>
      <w:rFonts w:ascii="Times New Roman" w:hAnsi="Times New Roman"/>
      <w:sz w:val="24"/>
    </w:rPr>
  </w:style>
  <w:style w:type="character" w:customStyle="1" w:styleId="HeaderChar">
    <w:name w:val="Header Char"/>
    <w:link w:val="Header"/>
    <w:uiPriority w:val="99"/>
    <w:rsid w:val="0040045B"/>
    <w:rPr>
      <w:rFonts w:ascii="Times New Roman" w:hAnsi="Times New Roman"/>
      <w:sz w:val="24"/>
      <w:szCs w:val="22"/>
      <w:lang w:eastAsia="en-US"/>
    </w:rPr>
  </w:style>
  <w:style w:type="paragraph" w:styleId="Footer">
    <w:name w:val="footer"/>
    <w:basedOn w:val="Normal"/>
    <w:link w:val="FooterChar"/>
    <w:uiPriority w:val="99"/>
    <w:unhideWhenUsed/>
    <w:rsid w:val="0040045B"/>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har">
    <w:name w:val="Footer Char"/>
    <w:link w:val="Footer"/>
    <w:uiPriority w:val="99"/>
    <w:rsid w:val="0040045B"/>
    <w:rPr>
      <w:rFonts w:ascii="Times New Roman" w:hAnsi="Times New Roman"/>
      <w:sz w:val="24"/>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link w:val="FooterCoverPage"/>
    <w:rPr>
      <w:rFonts w:ascii="Times New Roman" w:hAnsi="Times New Roman"/>
      <w:sz w:val="24"/>
      <w:szCs w:val="22"/>
      <w:lang w:eastAsia="en-US"/>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lang w:eastAsia="en-US"/>
    </w:rPr>
  </w:style>
  <w:style w:type="paragraph" w:customStyle="1" w:styleId="ManualHeading1">
    <w:name w:val="Manual Heading 1"/>
    <w:basedOn w:val="Normal"/>
    <w:next w:val="Normal"/>
    <w:pPr>
      <w:keepNext/>
      <w:tabs>
        <w:tab w:val="left" w:pos="850"/>
      </w:tabs>
      <w:spacing w:before="360" w:after="120" w:line="240" w:lineRule="auto"/>
      <w:ind w:left="850" w:hanging="850"/>
      <w:jc w:val="both"/>
      <w:outlineLvl w:val="0"/>
    </w:pPr>
    <w:rPr>
      <w:rFonts w:ascii="Times New Roman" w:eastAsia="Times New Roman" w:hAnsi="Times New Roman"/>
      <w:b/>
      <w:smallCaps/>
      <w:sz w:val="24"/>
      <w:szCs w:val="24"/>
    </w:rPr>
  </w:style>
  <w:style w:type="paragraph" w:customStyle="1" w:styleId="Exposdesmotifstitre">
    <w:name w:val="Exposé des motifs titre"/>
    <w:basedOn w:val="Normal"/>
    <w:next w:val="Normal"/>
    <w:pPr>
      <w:spacing w:before="120" w:after="120" w:line="240" w:lineRule="auto"/>
      <w:jc w:val="center"/>
    </w:pPr>
    <w:rPr>
      <w:rFonts w:ascii="Times New Roman" w:eastAsia="Times New Roman" w:hAnsi="Times New Roman"/>
      <w:b/>
      <w:sz w:val="24"/>
      <w:szCs w:val="24"/>
      <w:u w:val="single"/>
    </w:rPr>
  </w:style>
  <w:style w:type="paragraph" w:styleId="FootnoteText">
    <w:name w:val="footnote text"/>
    <w:aliases w:val="LLV_Fußnotentext"/>
    <w:basedOn w:val="Normal"/>
    <w:pPr>
      <w:spacing w:after="0" w:line="220" w:lineRule="atLeast"/>
      <w:ind w:left="454" w:hanging="454"/>
    </w:pPr>
    <w:rPr>
      <w:sz w:val="18"/>
      <w:szCs w:val="20"/>
    </w:rPr>
  </w:style>
  <w:style w:type="character" w:customStyle="1" w:styleId="FootnoteTextChar">
    <w:name w:val="Footnote Text Char"/>
    <w:aliases w:val="LLV_Fußnotentext Char"/>
    <w:rPr>
      <w:sz w:val="18"/>
      <w:lang w:val="hu-HU" w:eastAsia="en-US"/>
    </w:rPr>
  </w:style>
  <w:style w:type="character" w:styleId="FootnoteReference">
    <w:name w:val="footnote reference"/>
    <w:semiHidden/>
    <w:rPr>
      <w:vertAlign w:val="superscript"/>
    </w:rPr>
  </w:style>
  <w:style w:type="character" w:customStyle="1" w:styleId="Corpsdutexte">
    <w:name w:val="Corps du texte_"/>
    <w:rPr>
      <w:b w:val="0"/>
      <w:bCs w:val="0"/>
      <w:i w:val="0"/>
      <w:iCs w:val="0"/>
      <w:smallCaps w:val="0"/>
      <w:strike w:val="0"/>
      <w:sz w:val="25"/>
      <w:szCs w:val="25"/>
      <w:u w:val="none"/>
    </w:rPr>
  </w:style>
  <w:style w:type="character" w:customStyle="1" w:styleId="Corpsdutexte0">
    <w:name w:val="Corps du texte"/>
    <w:rPr>
      <w:rFonts w:ascii="Times New Roman" w:eastAsia="Times New Roman" w:hAnsi="Times New Roman" w:cs="Times New Roman"/>
      <w:b w:val="0"/>
      <w:bCs w:val="0"/>
      <w:i w:val="0"/>
      <w:iCs w:val="0"/>
      <w:smallCaps w:val="0"/>
      <w:strike w:val="0"/>
      <w:color w:val="000000"/>
      <w:spacing w:val="0"/>
      <w:w w:val="100"/>
      <w:position w:val="0"/>
      <w:sz w:val="25"/>
      <w:szCs w:val="25"/>
      <w:u w:val="single"/>
      <w:lang w:val="hu-HU"/>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paragraph" w:styleId="ListParagraph">
    <w:name w:val="List Paragraph"/>
    <w:basedOn w:val="Normal"/>
    <w:uiPriority w:val="34"/>
    <w:qFormat/>
    <w:pPr>
      <w:ind w:left="720"/>
      <w:contextualSpacing/>
    </w:pPr>
    <w:rPr>
      <w:rFonts w:eastAsia="Times New Roman"/>
      <w:lang w:eastAsia="en-GB"/>
    </w:rPr>
  </w:style>
  <w:style w:type="paragraph" w:styleId="Revision">
    <w:name w:val="Revision"/>
    <w:hidden/>
    <w:uiPriority w:val="99"/>
    <w:semiHidden/>
    <w:rPr>
      <w:sz w:val="22"/>
      <w:szCs w:val="22"/>
      <w:lang w:eastAsia="en-US"/>
    </w:rPr>
  </w:style>
  <w:style w:type="paragraph" w:customStyle="1" w:styleId="Titreobjet">
    <w:name w:val="Titre objet"/>
    <w:basedOn w:val="Normal"/>
    <w:next w:val="Normal"/>
    <w:rsid w:val="0040045B"/>
    <w:pPr>
      <w:spacing w:before="360" w:after="360" w:line="240" w:lineRule="auto"/>
      <w:jc w:val="center"/>
    </w:pPr>
    <w:rPr>
      <w:rFonts w:ascii="Times New Roman" w:hAnsi="Times New Roman"/>
      <w:b/>
      <w:sz w:val="24"/>
    </w:rPr>
  </w:style>
  <w:style w:type="paragraph" w:customStyle="1" w:styleId="TitreobjetPagedecouverture">
    <w:name w:val="Titre objet (Page de couverture)"/>
    <w:basedOn w:val="Titreobjet"/>
    <w:next w:val="Normal"/>
    <w:rsid w:val="0040045B"/>
  </w:style>
  <w:style w:type="paragraph" w:customStyle="1" w:styleId="Declassification">
    <w:name w:val="Declassification"/>
    <w:basedOn w:val="Normal"/>
    <w:next w:val="Normal"/>
    <w:rsid w:val="0040045B"/>
    <w:pPr>
      <w:spacing w:after="0" w:line="240" w:lineRule="auto"/>
      <w:jc w:val="both"/>
    </w:pPr>
    <w:rPr>
      <w:rFonts w:ascii="Times New Roman" w:hAnsi="Times New Roman"/>
      <w:sz w:val="24"/>
    </w:rPr>
  </w:style>
  <w:style w:type="paragraph" w:customStyle="1" w:styleId="HeaderLandscape">
    <w:name w:val="HeaderLandscape"/>
    <w:basedOn w:val="Normal"/>
    <w:rsid w:val="0040045B"/>
    <w:pPr>
      <w:tabs>
        <w:tab w:val="center" w:pos="7285"/>
        <w:tab w:val="right" w:pos="14003"/>
      </w:tabs>
      <w:spacing w:after="120" w:line="240" w:lineRule="auto"/>
      <w:jc w:val="both"/>
    </w:pPr>
    <w:rPr>
      <w:rFonts w:ascii="Times New Roman" w:hAnsi="Times New Roman"/>
      <w:sz w:val="24"/>
    </w:rPr>
  </w:style>
  <w:style w:type="paragraph" w:customStyle="1" w:styleId="HeaderSensitivity">
    <w:name w:val="Header Sensitivity"/>
    <w:basedOn w:val="Normal"/>
    <w:rsid w:val="0040045B"/>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paragraph" w:customStyle="1" w:styleId="HeaderSensitivityRight">
    <w:name w:val="Header Sensitivity Right"/>
    <w:basedOn w:val="Normal"/>
    <w:rsid w:val="0040045B"/>
    <w:pPr>
      <w:spacing w:after="120" w:line="240" w:lineRule="auto"/>
      <w:jc w:val="right"/>
    </w:pPr>
    <w:rPr>
      <w:rFonts w:ascii="Times New Roman" w:hAnsi="Times New Roman"/>
      <w:sz w:val="28"/>
    </w:rPr>
  </w:style>
  <w:style w:type="paragraph" w:customStyle="1" w:styleId="FooterLandscape">
    <w:name w:val="FooterLandscape"/>
    <w:basedOn w:val="Normal"/>
    <w:rsid w:val="0040045B"/>
    <w:pPr>
      <w:tabs>
        <w:tab w:val="center" w:pos="7285"/>
        <w:tab w:val="center" w:pos="10913"/>
        <w:tab w:val="right" w:pos="15137"/>
      </w:tabs>
      <w:spacing w:before="360" w:after="0" w:line="240" w:lineRule="auto"/>
      <w:ind w:left="-567" w:right="-567"/>
    </w:pPr>
    <w:rPr>
      <w:rFonts w:ascii="Times New Roman" w:hAnsi="Times New Roman"/>
      <w:sz w:val="24"/>
    </w:rPr>
  </w:style>
  <w:style w:type="paragraph" w:customStyle="1" w:styleId="FooterSensitivity">
    <w:name w:val="Footer Sensitivity"/>
    <w:basedOn w:val="Normal"/>
    <w:rsid w:val="0040045B"/>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paragraph" w:customStyle="1" w:styleId="Disclaimer">
    <w:name w:val="Disclaimer"/>
    <w:basedOn w:val="Normal"/>
    <w:rsid w:val="0040045B"/>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sz w:val="24"/>
    </w:rPr>
  </w:style>
  <w:style w:type="paragraph" w:customStyle="1" w:styleId="SecurityMarking">
    <w:name w:val="SecurityMarking"/>
    <w:basedOn w:val="Normal"/>
    <w:rsid w:val="0040045B"/>
    <w:pPr>
      <w:spacing w:after="0"/>
      <w:ind w:left="5103"/>
    </w:pPr>
    <w:rPr>
      <w:rFonts w:ascii="Times New Roman" w:hAnsi="Times New Roman"/>
      <w:sz w:val="28"/>
    </w:rPr>
  </w:style>
  <w:style w:type="paragraph" w:customStyle="1" w:styleId="DateMarking">
    <w:name w:val="DateMarking"/>
    <w:basedOn w:val="Normal"/>
    <w:rsid w:val="0040045B"/>
    <w:pPr>
      <w:spacing w:after="0"/>
      <w:ind w:left="5103"/>
    </w:pPr>
    <w:rPr>
      <w:rFonts w:ascii="Times New Roman" w:hAnsi="Times New Roman"/>
      <w:i/>
      <w:sz w:val="28"/>
    </w:rPr>
  </w:style>
  <w:style w:type="paragraph" w:customStyle="1" w:styleId="ReleasableTo">
    <w:name w:val="ReleasableTo"/>
    <w:basedOn w:val="Normal"/>
    <w:rsid w:val="0040045B"/>
    <w:pPr>
      <w:spacing w:after="0"/>
      <w:ind w:left="5103"/>
    </w:pPr>
    <w:rPr>
      <w:rFonts w:ascii="Times New Roman" w:hAnsi="Times New Roman"/>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663550">
      <w:bodyDiv w:val="1"/>
      <w:marLeft w:val="0"/>
      <w:marRight w:val="0"/>
      <w:marTop w:val="0"/>
      <w:marBottom w:val="0"/>
      <w:divBdr>
        <w:top w:val="none" w:sz="0" w:space="0" w:color="auto"/>
        <w:left w:val="none" w:sz="0" w:space="0" w:color="auto"/>
        <w:bottom w:val="none" w:sz="0" w:space="0" w:color="auto"/>
        <w:right w:val="none" w:sz="0" w:space="0" w:color="auto"/>
      </w:divBdr>
    </w:div>
    <w:div w:id="176194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15CE5-B3C1-4ADE-9410-7DD5647F2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957</Words>
  <Characters>6809</Characters>
  <Application>Microsoft Office Word</Application>
  <DocSecurity>0</DocSecurity>
  <Lines>133</Lines>
  <Paragraphs>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EC CoDe</cp:lastModifiedBy>
  <cp:revision>28</cp:revision>
  <cp:lastPrinted>2023-05-03T11:59:00Z</cp:lastPrinted>
  <dcterms:created xsi:type="dcterms:W3CDTF">2023-07-17T12:30:00Z</dcterms:created>
  <dcterms:modified xsi:type="dcterms:W3CDTF">2023-07-26T13:42:00Z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_NewReviewCycle">
    <vt:lpwstr/>
  </property>
  <property fmtid="{D5CDD505-2E9C-101B-9397-08002B2CF9AE}" pid="6" name="Level of sensitivity">
    <vt:lpwstr>Standard treatment</vt:lpwstr>
  </property>
  <property fmtid="{D5CDD505-2E9C-101B-9397-08002B2CF9AE}" pid="7" name="Last edited using">
    <vt:lpwstr>LW 9.0, Build 20230317</vt:lpwstr>
  </property>
  <property fmtid="{D5CDD505-2E9C-101B-9397-08002B2CF9AE}" pid="8" name="CPTemplateID">
    <vt:lpwstr>CP-012</vt:lpwstr>
  </property>
  <property fmtid="{D5CDD505-2E9C-101B-9397-08002B2CF9AE}" pid="9" name="MSIP_Label_6bd9ddd1-4d20-43f6-abfa-fc3c07406f94_Enabled">
    <vt:lpwstr>true</vt:lpwstr>
  </property>
  <property fmtid="{D5CDD505-2E9C-101B-9397-08002B2CF9AE}" pid="10" name="MSIP_Label_6bd9ddd1-4d20-43f6-abfa-fc3c07406f94_SetDate">
    <vt:lpwstr>2023-04-18T12:23:37Z</vt:lpwstr>
  </property>
  <property fmtid="{D5CDD505-2E9C-101B-9397-08002B2CF9AE}" pid="11" name="MSIP_Label_6bd9ddd1-4d20-43f6-abfa-fc3c07406f94_Method">
    <vt:lpwstr>Privileged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d65f6397-5628-48d5-9bdd-fc0b6a740166</vt:lpwstr>
  </property>
  <property fmtid="{D5CDD505-2E9C-101B-9397-08002B2CF9AE}" pid="15" name="MSIP_Label_6bd9ddd1-4d20-43f6-abfa-fc3c07406f94_ContentBits">
    <vt:lpwstr>0</vt:lpwstr>
  </property>
</Properties>
</file>