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E5E0" w14:textId="5910D1DF" w:rsidR="008B6253" w:rsidRPr="00D3648A" w:rsidRDefault="00F172A8" w:rsidP="00F172A8">
      <w:pPr>
        <w:pStyle w:val="Pagedecouverture"/>
        <w:rPr>
          <w:noProof/>
        </w:rPr>
      </w:pPr>
      <w:bookmarkStart w:id="0" w:name="LW_BM_COVERPAGE"/>
      <w:r>
        <w:rPr>
          <w:noProof/>
        </w:rPr>
        <w:pict w14:anchorId="61A7A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EFA54A7A-56C4-43EC-BE21-2D978D87911C" style="width:455.25pt;height:420.75pt">
            <v:imagedata r:id="rId11" o:title=""/>
          </v:shape>
        </w:pict>
      </w:r>
    </w:p>
    <w:bookmarkEnd w:id="0"/>
    <w:p w14:paraId="01AEB2FF" w14:textId="77777777" w:rsidR="008B6253" w:rsidRPr="00D3648A" w:rsidRDefault="008B6253" w:rsidP="008B6253">
      <w:pPr>
        <w:rPr>
          <w:noProof/>
        </w:rPr>
        <w:sectPr w:rsidR="008B6253" w:rsidRPr="00D3648A" w:rsidSect="00F172A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159457" w14:textId="77777777" w:rsidR="008B6253" w:rsidRPr="00D3648A" w:rsidRDefault="008B6253" w:rsidP="008B6253">
      <w:pPr>
        <w:pStyle w:val="TOCHeading"/>
        <w:rPr>
          <w:rFonts w:eastAsiaTheme="minorHAnsi"/>
          <w:b w:val="0"/>
          <w:noProof/>
          <w:sz w:val="24"/>
          <w:lang w:val="en-IE"/>
        </w:rPr>
      </w:pPr>
      <w:bookmarkStart w:id="1" w:name="_GoBack"/>
      <w:bookmarkEnd w:id="1"/>
    </w:p>
    <w:sdt>
      <w:sdtPr>
        <w:rPr>
          <w:rFonts w:eastAsiaTheme="minorHAnsi"/>
          <w:b w:val="0"/>
          <w:noProof/>
          <w:sz w:val="24"/>
          <w:lang w:val="en-IE"/>
        </w:rPr>
        <w:id w:val="-874687748"/>
        <w:docPartObj>
          <w:docPartGallery w:val="Table of Contents"/>
          <w:docPartUnique/>
        </w:docPartObj>
      </w:sdtPr>
      <w:sdtEndPr>
        <w:rPr>
          <w:bCs/>
        </w:rPr>
      </w:sdtEndPr>
      <w:sdtContent>
        <w:p w14:paraId="24E88DD3" w14:textId="77777777" w:rsidR="008B6253" w:rsidRPr="00D3648A" w:rsidRDefault="008B6253" w:rsidP="008B6253">
          <w:pPr>
            <w:pStyle w:val="TOCHeading"/>
            <w:rPr>
              <w:noProof/>
            </w:rPr>
          </w:pPr>
          <w:r w:rsidRPr="00D3648A">
            <w:rPr>
              <w:noProof/>
            </w:rPr>
            <w:t>Table of Contents</w:t>
          </w:r>
        </w:p>
        <w:p w14:paraId="39A1C41F" w14:textId="3F59B378" w:rsidR="0015107E" w:rsidRDefault="008B6253">
          <w:pPr>
            <w:pStyle w:val="TOC1"/>
            <w:rPr>
              <w:rFonts w:asciiTheme="minorHAnsi" w:eastAsiaTheme="minorEastAsia" w:hAnsiTheme="minorHAnsi" w:cstheme="minorBidi"/>
              <w:noProof/>
              <w:sz w:val="22"/>
              <w:szCs w:val="22"/>
              <w:lang w:val="en-IE" w:eastAsia="en-IE"/>
            </w:rPr>
          </w:pPr>
          <w:r w:rsidRPr="00D3648A">
            <w:rPr>
              <w:noProof/>
            </w:rPr>
            <w:fldChar w:fldCharType="begin"/>
          </w:r>
          <w:r w:rsidRPr="00D3648A">
            <w:rPr>
              <w:noProof/>
            </w:rPr>
            <w:instrText xml:space="preserve"> TOC \o "1-3" \h \z \u </w:instrText>
          </w:r>
          <w:r w:rsidRPr="00D3648A">
            <w:rPr>
              <w:noProof/>
            </w:rPr>
            <w:fldChar w:fldCharType="separate"/>
          </w:r>
          <w:hyperlink w:anchor="_Toc140069408" w:history="1">
            <w:r w:rsidR="0015107E" w:rsidRPr="0010047E">
              <w:rPr>
                <w:rStyle w:val="Hyperlink"/>
                <w:noProof/>
              </w:rPr>
              <w:t>1.</w:t>
            </w:r>
            <w:r w:rsidR="0015107E">
              <w:rPr>
                <w:rFonts w:asciiTheme="minorHAnsi" w:eastAsiaTheme="minorEastAsia" w:hAnsiTheme="minorHAnsi" w:cstheme="minorBidi"/>
                <w:noProof/>
                <w:sz w:val="22"/>
                <w:szCs w:val="22"/>
                <w:lang w:val="en-IE" w:eastAsia="en-IE"/>
              </w:rPr>
              <w:tab/>
            </w:r>
            <w:r w:rsidR="0015107E" w:rsidRPr="0010047E">
              <w:rPr>
                <w:rStyle w:val="Hyperlink"/>
                <w:noProof/>
              </w:rPr>
              <w:t>Introduction</w:t>
            </w:r>
            <w:r w:rsidR="0015107E">
              <w:rPr>
                <w:noProof/>
                <w:webHidden/>
              </w:rPr>
              <w:tab/>
            </w:r>
            <w:r w:rsidR="0015107E">
              <w:rPr>
                <w:noProof/>
                <w:webHidden/>
              </w:rPr>
              <w:fldChar w:fldCharType="begin"/>
            </w:r>
            <w:r w:rsidR="0015107E">
              <w:rPr>
                <w:noProof/>
                <w:webHidden/>
              </w:rPr>
              <w:instrText xml:space="preserve"> PAGEREF _Toc140069408 \h </w:instrText>
            </w:r>
            <w:r w:rsidR="0015107E">
              <w:rPr>
                <w:noProof/>
                <w:webHidden/>
              </w:rPr>
            </w:r>
            <w:r w:rsidR="0015107E">
              <w:rPr>
                <w:noProof/>
                <w:webHidden/>
              </w:rPr>
              <w:fldChar w:fldCharType="separate"/>
            </w:r>
            <w:r w:rsidR="0015107E">
              <w:rPr>
                <w:noProof/>
                <w:webHidden/>
              </w:rPr>
              <w:t>1</w:t>
            </w:r>
            <w:r w:rsidR="0015107E">
              <w:rPr>
                <w:noProof/>
                <w:webHidden/>
              </w:rPr>
              <w:fldChar w:fldCharType="end"/>
            </w:r>
          </w:hyperlink>
        </w:p>
        <w:p w14:paraId="0DEDB6ED" w14:textId="56DC271B" w:rsidR="0015107E" w:rsidRDefault="00F172A8">
          <w:pPr>
            <w:pStyle w:val="TOC1"/>
            <w:rPr>
              <w:rFonts w:asciiTheme="minorHAnsi" w:eastAsiaTheme="minorEastAsia" w:hAnsiTheme="minorHAnsi" w:cstheme="minorBidi"/>
              <w:noProof/>
              <w:sz w:val="22"/>
              <w:szCs w:val="22"/>
              <w:lang w:val="en-IE" w:eastAsia="en-IE"/>
            </w:rPr>
          </w:pPr>
          <w:hyperlink w:anchor="_Toc140069409" w:history="1">
            <w:r w:rsidR="0015107E" w:rsidRPr="0010047E">
              <w:rPr>
                <w:rStyle w:val="Hyperlink"/>
                <w:noProof/>
              </w:rPr>
              <w:t>2.</w:t>
            </w:r>
            <w:r w:rsidR="0015107E">
              <w:rPr>
                <w:rFonts w:asciiTheme="minorHAnsi" w:eastAsiaTheme="minorEastAsia" w:hAnsiTheme="minorHAnsi" w:cstheme="minorBidi"/>
                <w:noProof/>
                <w:sz w:val="22"/>
                <w:szCs w:val="22"/>
                <w:lang w:val="en-IE" w:eastAsia="en-IE"/>
              </w:rPr>
              <w:tab/>
            </w:r>
            <w:r w:rsidR="0015107E" w:rsidRPr="0010047E">
              <w:rPr>
                <w:rStyle w:val="Hyperlink"/>
                <w:noProof/>
              </w:rPr>
              <w:t>Implementation of borrowing operations in first half of 2023</w:t>
            </w:r>
            <w:r w:rsidR="0015107E">
              <w:rPr>
                <w:noProof/>
                <w:webHidden/>
              </w:rPr>
              <w:tab/>
            </w:r>
            <w:r w:rsidR="0015107E">
              <w:rPr>
                <w:noProof/>
                <w:webHidden/>
              </w:rPr>
              <w:fldChar w:fldCharType="begin"/>
            </w:r>
            <w:r w:rsidR="0015107E">
              <w:rPr>
                <w:noProof/>
                <w:webHidden/>
              </w:rPr>
              <w:instrText xml:space="preserve"> PAGEREF _Toc140069409 \h </w:instrText>
            </w:r>
            <w:r w:rsidR="0015107E">
              <w:rPr>
                <w:noProof/>
                <w:webHidden/>
              </w:rPr>
            </w:r>
            <w:r w:rsidR="0015107E">
              <w:rPr>
                <w:noProof/>
                <w:webHidden/>
              </w:rPr>
              <w:fldChar w:fldCharType="separate"/>
            </w:r>
            <w:r w:rsidR="0015107E">
              <w:rPr>
                <w:noProof/>
                <w:webHidden/>
              </w:rPr>
              <w:t>2</w:t>
            </w:r>
            <w:r w:rsidR="0015107E">
              <w:rPr>
                <w:noProof/>
                <w:webHidden/>
              </w:rPr>
              <w:fldChar w:fldCharType="end"/>
            </w:r>
          </w:hyperlink>
        </w:p>
        <w:p w14:paraId="738F5785" w14:textId="34FC0E70" w:rsidR="0015107E" w:rsidRDefault="00F172A8">
          <w:pPr>
            <w:pStyle w:val="TOC1"/>
            <w:rPr>
              <w:rFonts w:asciiTheme="minorHAnsi" w:eastAsiaTheme="minorEastAsia" w:hAnsiTheme="minorHAnsi" w:cstheme="minorBidi"/>
              <w:noProof/>
              <w:sz w:val="22"/>
              <w:szCs w:val="22"/>
              <w:lang w:val="en-IE" w:eastAsia="en-IE"/>
            </w:rPr>
          </w:pPr>
          <w:hyperlink w:anchor="_Toc140069410" w:history="1">
            <w:r w:rsidR="0015107E" w:rsidRPr="0010047E">
              <w:rPr>
                <w:rStyle w:val="Hyperlink"/>
                <w:bCs/>
                <w:noProof/>
              </w:rPr>
              <w:t>3.</w:t>
            </w:r>
            <w:r w:rsidR="0015107E">
              <w:rPr>
                <w:rFonts w:asciiTheme="minorHAnsi" w:eastAsiaTheme="minorEastAsia" w:hAnsiTheme="minorHAnsi" w:cstheme="minorBidi"/>
                <w:noProof/>
                <w:sz w:val="22"/>
                <w:szCs w:val="22"/>
                <w:lang w:val="en-IE" w:eastAsia="en-IE"/>
              </w:rPr>
              <w:tab/>
            </w:r>
            <w:r w:rsidR="0015107E" w:rsidRPr="0010047E">
              <w:rPr>
                <w:rStyle w:val="Hyperlink"/>
                <w:bCs/>
                <w:noProof/>
              </w:rPr>
              <w:t>Cost of funding and liquidity balances</w:t>
            </w:r>
            <w:r w:rsidR="0015107E">
              <w:rPr>
                <w:noProof/>
                <w:webHidden/>
              </w:rPr>
              <w:tab/>
            </w:r>
            <w:r w:rsidR="0015107E">
              <w:rPr>
                <w:noProof/>
                <w:webHidden/>
              </w:rPr>
              <w:fldChar w:fldCharType="begin"/>
            </w:r>
            <w:r w:rsidR="0015107E">
              <w:rPr>
                <w:noProof/>
                <w:webHidden/>
              </w:rPr>
              <w:instrText xml:space="preserve"> PAGEREF _Toc140069410 \h </w:instrText>
            </w:r>
            <w:r w:rsidR="0015107E">
              <w:rPr>
                <w:noProof/>
                <w:webHidden/>
              </w:rPr>
            </w:r>
            <w:r w:rsidR="0015107E">
              <w:rPr>
                <w:noProof/>
                <w:webHidden/>
              </w:rPr>
              <w:fldChar w:fldCharType="separate"/>
            </w:r>
            <w:r w:rsidR="0015107E">
              <w:rPr>
                <w:noProof/>
                <w:webHidden/>
              </w:rPr>
              <w:t>5</w:t>
            </w:r>
            <w:r w:rsidR="0015107E">
              <w:rPr>
                <w:noProof/>
                <w:webHidden/>
              </w:rPr>
              <w:fldChar w:fldCharType="end"/>
            </w:r>
          </w:hyperlink>
        </w:p>
        <w:p w14:paraId="5D1D76B6" w14:textId="48640D5B" w:rsidR="0015107E" w:rsidRDefault="00F172A8">
          <w:pPr>
            <w:pStyle w:val="TOC1"/>
            <w:rPr>
              <w:rFonts w:asciiTheme="minorHAnsi" w:eastAsiaTheme="minorEastAsia" w:hAnsiTheme="minorHAnsi" w:cstheme="minorBidi"/>
              <w:noProof/>
              <w:sz w:val="22"/>
              <w:szCs w:val="22"/>
              <w:lang w:val="en-IE" w:eastAsia="en-IE"/>
            </w:rPr>
          </w:pPr>
          <w:hyperlink w:anchor="_Toc140069411" w:history="1">
            <w:r w:rsidR="0015107E" w:rsidRPr="0010047E">
              <w:rPr>
                <w:rStyle w:val="Hyperlink"/>
                <w:bCs/>
                <w:noProof/>
              </w:rPr>
              <w:t>4.</w:t>
            </w:r>
            <w:r w:rsidR="0015107E">
              <w:rPr>
                <w:rFonts w:asciiTheme="minorHAnsi" w:eastAsiaTheme="minorEastAsia" w:hAnsiTheme="minorHAnsi" w:cstheme="minorBidi"/>
                <w:noProof/>
                <w:sz w:val="22"/>
                <w:szCs w:val="22"/>
                <w:lang w:val="en-IE" w:eastAsia="en-IE"/>
              </w:rPr>
              <w:tab/>
            </w:r>
            <w:r w:rsidR="0015107E" w:rsidRPr="0010047E">
              <w:rPr>
                <w:rStyle w:val="Hyperlink"/>
                <w:bCs/>
                <w:noProof/>
              </w:rPr>
              <w:t>Other milestones in H1 2023</w:t>
            </w:r>
            <w:r w:rsidR="0015107E">
              <w:rPr>
                <w:noProof/>
                <w:webHidden/>
              </w:rPr>
              <w:tab/>
            </w:r>
            <w:r w:rsidR="0015107E">
              <w:rPr>
                <w:noProof/>
                <w:webHidden/>
              </w:rPr>
              <w:fldChar w:fldCharType="begin"/>
            </w:r>
            <w:r w:rsidR="0015107E">
              <w:rPr>
                <w:noProof/>
                <w:webHidden/>
              </w:rPr>
              <w:instrText xml:space="preserve"> PAGEREF _Toc140069411 \h </w:instrText>
            </w:r>
            <w:r w:rsidR="0015107E">
              <w:rPr>
                <w:noProof/>
                <w:webHidden/>
              </w:rPr>
            </w:r>
            <w:r w:rsidR="0015107E">
              <w:rPr>
                <w:noProof/>
                <w:webHidden/>
              </w:rPr>
              <w:fldChar w:fldCharType="separate"/>
            </w:r>
            <w:r w:rsidR="0015107E">
              <w:rPr>
                <w:noProof/>
                <w:webHidden/>
              </w:rPr>
              <w:t>6</w:t>
            </w:r>
            <w:r w:rsidR="0015107E">
              <w:rPr>
                <w:noProof/>
                <w:webHidden/>
              </w:rPr>
              <w:fldChar w:fldCharType="end"/>
            </w:r>
          </w:hyperlink>
        </w:p>
        <w:p w14:paraId="4E600573" w14:textId="0D96C10C" w:rsidR="0015107E" w:rsidRDefault="00F172A8">
          <w:pPr>
            <w:pStyle w:val="TOC1"/>
            <w:rPr>
              <w:rFonts w:asciiTheme="minorHAnsi" w:eastAsiaTheme="minorEastAsia" w:hAnsiTheme="minorHAnsi" w:cstheme="minorBidi"/>
              <w:noProof/>
              <w:sz w:val="22"/>
              <w:szCs w:val="22"/>
              <w:lang w:val="en-IE" w:eastAsia="en-IE"/>
            </w:rPr>
          </w:pPr>
          <w:hyperlink w:anchor="_Toc140069412" w:history="1">
            <w:r w:rsidR="0015107E" w:rsidRPr="0010047E">
              <w:rPr>
                <w:rStyle w:val="Hyperlink"/>
                <w:bCs/>
                <w:noProof/>
              </w:rPr>
              <w:t>5.</w:t>
            </w:r>
            <w:r w:rsidR="0015107E">
              <w:rPr>
                <w:rFonts w:asciiTheme="minorHAnsi" w:eastAsiaTheme="minorEastAsia" w:hAnsiTheme="minorHAnsi" w:cstheme="minorBidi"/>
                <w:noProof/>
                <w:sz w:val="22"/>
                <w:szCs w:val="22"/>
                <w:lang w:val="en-IE" w:eastAsia="en-IE"/>
              </w:rPr>
              <w:tab/>
            </w:r>
            <w:r w:rsidR="0015107E" w:rsidRPr="0010047E">
              <w:rPr>
                <w:rStyle w:val="Hyperlink"/>
                <w:bCs/>
                <w:noProof/>
              </w:rPr>
              <w:t>Steps to further develop the ecosystem of EU-Bonds</w:t>
            </w:r>
            <w:r w:rsidR="0015107E">
              <w:rPr>
                <w:noProof/>
                <w:webHidden/>
              </w:rPr>
              <w:tab/>
            </w:r>
            <w:r w:rsidR="0015107E">
              <w:rPr>
                <w:noProof/>
                <w:webHidden/>
              </w:rPr>
              <w:fldChar w:fldCharType="begin"/>
            </w:r>
            <w:r w:rsidR="0015107E">
              <w:rPr>
                <w:noProof/>
                <w:webHidden/>
              </w:rPr>
              <w:instrText xml:space="preserve"> PAGEREF _Toc140069412 \h </w:instrText>
            </w:r>
            <w:r w:rsidR="0015107E">
              <w:rPr>
                <w:noProof/>
                <w:webHidden/>
              </w:rPr>
            </w:r>
            <w:r w:rsidR="0015107E">
              <w:rPr>
                <w:noProof/>
                <w:webHidden/>
              </w:rPr>
              <w:fldChar w:fldCharType="separate"/>
            </w:r>
            <w:r w:rsidR="0015107E">
              <w:rPr>
                <w:noProof/>
                <w:webHidden/>
              </w:rPr>
              <w:t>7</w:t>
            </w:r>
            <w:r w:rsidR="0015107E">
              <w:rPr>
                <w:noProof/>
                <w:webHidden/>
              </w:rPr>
              <w:fldChar w:fldCharType="end"/>
            </w:r>
          </w:hyperlink>
        </w:p>
        <w:p w14:paraId="54BDE4BE" w14:textId="05F10A2C" w:rsidR="0015107E" w:rsidRDefault="00F172A8">
          <w:pPr>
            <w:pStyle w:val="TOC1"/>
            <w:rPr>
              <w:rFonts w:asciiTheme="minorHAnsi" w:eastAsiaTheme="minorEastAsia" w:hAnsiTheme="minorHAnsi" w:cstheme="minorBidi"/>
              <w:noProof/>
              <w:sz w:val="22"/>
              <w:szCs w:val="22"/>
              <w:lang w:val="en-IE" w:eastAsia="en-IE"/>
            </w:rPr>
          </w:pPr>
          <w:hyperlink w:anchor="_Toc140069413" w:history="1">
            <w:r w:rsidR="0015107E" w:rsidRPr="0010047E">
              <w:rPr>
                <w:rStyle w:val="Hyperlink"/>
                <w:noProof/>
              </w:rPr>
              <w:t>6.</w:t>
            </w:r>
            <w:r w:rsidR="0015107E">
              <w:rPr>
                <w:rFonts w:asciiTheme="minorHAnsi" w:eastAsiaTheme="minorEastAsia" w:hAnsiTheme="minorHAnsi" w:cstheme="minorBidi"/>
                <w:noProof/>
                <w:sz w:val="22"/>
                <w:szCs w:val="22"/>
                <w:lang w:val="en-IE" w:eastAsia="en-IE"/>
              </w:rPr>
              <w:tab/>
            </w:r>
            <w:r w:rsidR="0015107E" w:rsidRPr="0010047E">
              <w:rPr>
                <w:rStyle w:val="Hyperlink"/>
                <w:noProof/>
              </w:rPr>
              <w:t>Issuance outlook for the second half of 2023</w:t>
            </w:r>
            <w:r w:rsidR="0015107E">
              <w:rPr>
                <w:noProof/>
                <w:webHidden/>
              </w:rPr>
              <w:tab/>
            </w:r>
            <w:r w:rsidR="0015107E">
              <w:rPr>
                <w:noProof/>
                <w:webHidden/>
              </w:rPr>
              <w:fldChar w:fldCharType="begin"/>
            </w:r>
            <w:r w:rsidR="0015107E">
              <w:rPr>
                <w:noProof/>
                <w:webHidden/>
              </w:rPr>
              <w:instrText xml:space="preserve"> PAGEREF _Toc140069413 \h </w:instrText>
            </w:r>
            <w:r w:rsidR="0015107E">
              <w:rPr>
                <w:noProof/>
                <w:webHidden/>
              </w:rPr>
            </w:r>
            <w:r w:rsidR="0015107E">
              <w:rPr>
                <w:noProof/>
                <w:webHidden/>
              </w:rPr>
              <w:fldChar w:fldCharType="separate"/>
            </w:r>
            <w:r w:rsidR="0015107E">
              <w:rPr>
                <w:noProof/>
                <w:webHidden/>
              </w:rPr>
              <w:t>8</w:t>
            </w:r>
            <w:r w:rsidR="0015107E">
              <w:rPr>
                <w:noProof/>
                <w:webHidden/>
              </w:rPr>
              <w:fldChar w:fldCharType="end"/>
            </w:r>
          </w:hyperlink>
        </w:p>
        <w:p w14:paraId="13FD304E" w14:textId="19CEFE9D" w:rsidR="0015107E" w:rsidRDefault="00F172A8">
          <w:pPr>
            <w:pStyle w:val="TOC1"/>
            <w:rPr>
              <w:rFonts w:asciiTheme="minorHAnsi" w:eastAsiaTheme="minorEastAsia" w:hAnsiTheme="minorHAnsi" w:cstheme="minorBidi"/>
              <w:noProof/>
              <w:sz w:val="22"/>
              <w:szCs w:val="22"/>
              <w:lang w:val="en-IE" w:eastAsia="en-IE"/>
            </w:rPr>
          </w:pPr>
          <w:hyperlink w:anchor="_Toc140069414" w:history="1">
            <w:r w:rsidR="0015107E" w:rsidRPr="0010047E">
              <w:rPr>
                <w:rStyle w:val="Hyperlink"/>
                <w:noProof/>
              </w:rPr>
              <w:t>7.</w:t>
            </w:r>
            <w:r w:rsidR="0015107E">
              <w:rPr>
                <w:rFonts w:asciiTheme="minorHAnsi" w:eastAsiaTheme="minorEastAsia" w:hAnsiTheme="minorHAnsi" w:cstheme="minorBidi"/>
                <w:noProof/>
                <w:sz w:val="22"/>
                <w:szCs w:val="22"/>
                <w:lang w:val="en-IE" w:eastAsia="en-IE"/>
              </w:rPr>
              <w:tab/>
            </w:r>
            <w:r w:rsidR="0015107E" w:rsidRPr="0010047E">
              <w:rPr>
                <w:rStyle w:val="Hyperlink"/>
                <w:noProof/>
              </w:rPr>
              <w:t>Conclusion</w:t>
            </w:r>
            <w:r w:rsidR="0015107E">
              <w:rPr>
                <w:noProof/>
                <w:webHidden/>
              </w:rPr>
              <w:tab/>
            </w:r>
            <w:r w:rsidR="0015107E">
              <w:rPr>
                <w:noProof/>
                <w:webHidden/>
              </w:rPr>
              <w:fldChar w:fldCharType="begin"/>
            </w:r>
            <w:r w:rsidR="0015107E">
              <w:rPr>
                <w:noProof/>
                <w:webHidden/>
              </w:rPr>
              <w:instrText xml:space="preserve"> PAGEREF _Toc140069414 \h </w:instrText>
            </w:r>
            <w:r w:rsidR="0015107E">
              <w:rPr>
                <w:noProof/>
                <w:webHidden/>
              </w:rPr>
            </w:r>
            <w:r w:rsidR="0015107E">
              <w:rPr>
                <w:noProof/>
                <w:webHidden/>
              </w:rPr>
              <w:fldChar w:fldCharType="separate"/>
            </w:r>
            <w:r w:rsidR="0015107E">
              <w:rPr>
                <w:noProof/>
                <w:webHidden/>
              </w:rPr>
              <w:t>9</w:t>
            </w:r>
            <w:r w:rsidR="0015107E">
              <w:rPr>
                <w:noProof/>
                <w:webHidden/>
              </w:rPr>
              <w:fldChar w:fldCharType="end"/>
            </w:r>
          </w:hyperlink>
        </w:p>
        <w:p w14:paraId="7332EDA9" w14:textId="590DB154" w:rsidR="0015107E" w:rsidRDefault="00F172A8">
          <w:pPr>
            <w:pStyle w:val="TOC1"/>
            <w:rPr>
              <w:rFonts w:asciiTheme="minorHAnsi" w:eastAsiaTheme="minorEastAsia" w:hAnsiTheme="minorHAnsi" w:cstheme="minorBidi"/>
              <w:noProof/>
              <w:sz w:val="22"/>
              <w:szCs w:val="22"/>
              <w:lang w:val="en-IE" w:eastAsia="en-IE"/>
            </w:rPr>
          </w:pPr>
          <w:hyperlink w:anchor="_Toc140069415" w:history="1">
            <w:r w:rsidR="0015107E" w:rsidRPr="0010047E">
              <w:rPr>
                <w:rStyle w:val="Hyperlink"/>
                <w:noProof/>
              </w:rPr>
              <w:t>Annex: EU Funding Strategy – Objectives, Means and Implementation indicators</w:t>
            </w:r>
            <w:r w:rsidR="0015107E">
              <w:rPr>
                <w:noProof/>
                <w:webHidden/>
              </w:rPr>
              <w:tab/>
            </w:r>
            <w:r w:rsidR="0015107E">
              <w:rPr>
                <w:noProof/>
                <w:webHidden/>
              </w:rPr>
              <w:fldChar w:fldCharType="begin"/>
            </w:r>
            <w:r w:rsidR="0015107E">
              <w:rPr>
                <w:noProof/>
                <w:webHidden/>
              </w:rPr>
              <w:instrText xml:space="preserve"> PAGEREF _Toc140069415 \h </w:instrText>
            </w:r>
            <w:r w:rsidR="0015107E">
              <w:rPr>
                <w:noProof/>
                <w:webHidden/>
              </w:rPr>
            </w:r>
            <w:r w:rsidR="0015107E">
              <w:rPr>
                <w:noProof/>
                <w:webHidden/>
              </w:rPr>
              <w:fldChar w:fldCharType="separate"/>
            </w:r>
            <w:r w:rsidR="0015107E">
              <w:rPr>
                <w:noProof/>
                <w:webHidden/>
              </w:rPr>
              <w:t>10</w:t>
            </w:r>
            <w:r w:rsidR="0015107E">
              <w:rPr>
                <w:noProof/>
                <w:webHidden/>
              </w:rPr>
              <w:fldChar w:fldCharType="end"/>
            </w:r>
          </w:hyperlink>
        </w:p>
        <w:p w14:paraId="33097789" w14:textId="03D4579F" w:rsidR="008B6253" w:rsidRPr="00D3648A" w:rsidRDefault="008B6253" w:rsidP="008B6253">
          <w:pPr>
            <w:rPr>
              <w:noProof/>
            </w:rPr>
          </w:pPr>
          <w:r w:rsidRPr="00D3648A">
            <w:rPr>
              <w:b/>
              <w:bCs/>
              <w:noProof/>
            </w:rPr>
            <w:fldChar w:fldCharType="end"/>
          </w:r>
        </w:p>
      </w:sdtContent>
    </w:sdt>
    <w:p w14:paraId="0D3B81B7" w14:textId="77777777" w:rsidR="008B6253" w:rsidRPr="00D3648A" w:rsidRDefault="008B6253" w:rsidP="008B6253">
      <w:pPr>
        <w:rPr>
          <w:noProof/>
        </w:rPr>
      </w:pPr>
    </w:p>
    <w:p w14:paraId="3EEBF846" w14:textId="77777777" w:rsidR="008B6253" w:rsidRPr="00D3648A" w:rsidRDefault="008B6253" w:rsidP="008B6253">
      <w:pPr>
        <w:rPr>
          <w:noProof/>
          <w:u w:val="single"/>
        </w:rPr>
        <w:sectPr w:rsidR="008B6253" w:rsidRPr="00D3648A" w:rsidSect="008B6253">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p w14:paraId="6054F437" w14:textId="7D6D60FE" w:rsidR="001401DA" w:rsidRPr="000123E4" w:rsidRDefault="008B6253" w:rsidP="00D3648A">
      <w:pPr>
        <w:pStyle w:val="Heading1"/>
        <w:spacing w:after="200"/>
        <w:contextualSpacing/>
        <w:rPr>
          <w:rFonts w:cs="Times New Roman"/>
          <w:noProof/>
          <w:color w:val="auto"/>
          <w:sz w:val="24"/>
          <w:szCs w:val="24"/>
        </w:rPr>
      </w:pPr>
      <w:bookmarkStart w:id="2" w:name="_Toc140069408"/>
      <w:r w:rsidRPr="000123E4">
        <w:rPr>
          <w:rFonts w:cs="Times New Roman"/>
          <w:noProof/>
          <w:color w:val="auto"/>
          <w:sz w:val="24"/>
          <w:szCs w:val="24"/>
        </w:rPr>
        <w:t>Introduction</w:t>
      </w:r>
      <w:bookmarkEnd w:id="2"/>
    </w:p>
    <w:p w14:paraId="7DA5330C" w14:textId="229A1356" w:rsidR="004A61C9" w:rsidRPr="000123E4" w:rsidRDefault="0091353C" w:rsidP="004A61C9">
      <w:pPr>
        <w:spacing w:line="240" w:lineRule="auto"/>
        <w:jc w:val="both"/>
        <w:rPr>
          <w:noProof/>
          <w:lang w:val="en-GB"/>
        </w:rPr>
      </w:pPr>
      <w:r>
        <w:rPr>
          <w:noProof/>
          <w:lang w:val="en-GB"/>
        </w:rPr>
        <w:t>T</w:t>
      </w:r>
      <w:r w:rsidR="001401DA" w:rsidRPr="000123E4">
        <w:rPr>
          <w:noProof/>
          <w:lang w:val="en-GB"/>
        </w:rPr>
        <w:t xml:space="preserve">he Commission has been borrowing funds on behalf of the </w:t>
      </w:r>
      <w:r>
        <w:rPr>
          <w:noProof/>
          <w:lang w:val="en-GB"/>
        </w:rPr>
        <w:t xml:space="preserve">European </w:t>
      </w:r>
      <w:r w:rsidR="001401DA" w:rsidRPr="000123E4">
        <w:rPr>
          <w:noProof/>
          <w:lang w:val="en-GB"/>
        </w:rPr>
        <w:t>Union for over 40 years</w:t>
      </w:r>
      <w:r w:rsidR="000830C3" w:rsidRPr="000123E4">
        <w:rPr>
          <w:noProof/>
          <w:lang w:val="en-GB"/>
        </w:rPr>
        <w:t xml:space="preserve">. </w:t>
      </w:r>
      <w:r>
        <w:rPr>
          <w:noProof/>
          <w:lang w:val="en-GB"/>
        </w:rPr>
        <w:t>I</w:t>
      </w:r>
      <w:r w:rsidR="000830C3" w:rsidRPr="000123E4">
        <w:rPr>
          <w:noProof/>
          <w:lang w:val="en-GB"/>
        </w:rPr>
        <w:t xml:space="preserve">n </w:t>
      </w:r>
      <w:r w:rsidR="001401DA" w:rsidRPr="000123E4">
        <w:rPr>
          <w:noProof/>
          <w:lang w:val="en-GB"/>
        </w:rPr>
        <w:t xml:space="preserve">the past </w:t>
      </w:r>
      <w:r>
        <w:rPr>
          <w:noProof/>
          <w:lang w:val="en-GB"/>
        </w:rPr>
        <w:t>3</w:t>
      </w:r>
      <w:r w:rsidR="001401DA" w:rsidRPr="000123E4">
        <w:rPr>
          <w:noProof/>
          <w:lang w:val="en-GB"/>
        </w:rPr>
        <w:t xml:space="preserve"> years</w:t>
      </w:r>
      <w:r>
        <w:rPr>
          <w:noProof/>
          <w:lang w:val="en-GB"/>
        </w:rPr>
        <w:t>, the EU</w:t>
      </w:r>
      <w:r w:rsidR="001401DA" w:rsidRPr="000123E4">
        <w:rPr>
          <w:noProof/>
          <w:lang w:val="en-GB"/>
        </w:rPr>
        <w:t xml:space="preserve"> has seen a profound transformation of </w:t>
      </w:r>
      <w:r w:rsidR="000830C3" w:rsidRPr="000123E4">
        <w:rPr>
          <w:noProof/>
          <w:lang w:val="en-GB"/>
        </w:rPr>
        <w:t>its</w:t>
      </w:r>
      <w:r w:rsidR="00C44890">
        <w:rPr>
          <w:noProof/>
          <w:lang w:val="en-GB"/>
        </w:rPr>
        <w:t xml:space="preserve"> </w:t>
      </w:r>
      <w:r w:rsidR="001401DA" w:rsidRPr="000123E4">
        <w:rPr>
          <w:noProof/>
          <w:lang w:val="en-GB"/>
        </w:rPr>
        <w:t>presence in and use of European capital markets as it implements large programmes such as SURE</w:t>
      </w:r>
      <w:r>
        <w:rPr>
          <w:rStyle w:val="FootnoteReference"/>
          <w:noProof/>
          <w:lang w:val="en-GB"/>
        </w:rPr>
        <w:footnoteReference w:id="2"/>
      </w:r>
      <w:r w:rsidR="001401DA" w:rsidRPr="000123E4">
        <w:rPr>
          <w:noProof/>
          <w:lang w:val="en-GB"/>
        </w:rPr>
        <w:t xml:space="preserve">, NextGenerationEU, and </w:t>
      </w:r>
      <w:r w:rsidRPr="0091353C">
        <w:rPr>
          <w:noProof/>
          <w:lang w:val="en-GB"/>
        </w:rPr>
        <w:t xml:space="preserve">Macro-Financial Assistance </w:t>
      </w:r>
      <w:r>
        <w:rPr>
          <w:noProof/>
          <w:lang w:val="en-GB"/>
        </w:rPr>
        <w:t>(M</w:t>
      </w:r>
      <w:r w:rsidR="001401DA" w:rsidRPr="000123E4">
        <w:rPr>
          <w:noProof/>
          <w:lang w:val="en-GB"/>
        </w:rPr>
        <w:t>FA</w:t>
      </w:r>
      <w:r>
        <w:rPr>
          <w:noProof/>
          <w:lang w:val="en-GB"/>
        </w:rPr>
        <w:t>)</w:t>
      </w:r>
      <w:r w:rsidR="001401DA" w:rsidRPr="000123E4">
        <w:rPr>
          <w:noProof/>
          <w:lang w:val="en-GB"/>
        </w:rPr>
        <w:t xml:space="preserve">+ for Ukraine. </w:t>
      </w:r>
      <w:bookmarkStart w:id="3" w:name="_Hlk139454430"/>
      <w:r w:rsidR="001401DA" w:rsidRPr="000123E4">
        <w:rPr>
          <w:noProof/>
          <w:lang w:val="en-GB"/>
        </w:rPr>
        <w:t xml:space="preserve">The EU currently has </w:t>
      </w:r>
      <w:r w:rsidR="00084648">
        <w:rPr>
          <w:noProof/>
          <w:lang w:val="en-GB"/>
        </w:rPr>
        <w:t>just over</w:t>
      </w:r>
      <w:r w:rsidR="001401DA" w:rsidRPr="000123E4">
        <w:rPr>
          <w:noProof/>
          <w:lang w:val="en-GB"/>
        </w:rPr>
        <w:t xml:space="preserve"> EUR 400 billion in outstanding liabilities resulting from its bond issuance, of which </w:t>
      </w:r>
      <w:r w:rsidR="00084648">
        <w:rPr>
          <w:noProof/>
          <w:lang w:val="en-GB"/>
        </w:rPr>
        <w:t>about</w:t>
      </w:r>
      <w:r w:rsidR="001401DA" w:rsidRPr="000123E4">
        <w:rPr>
          <w:noProof/>
          <w:lang w:val="en-GB"/>
        </w:rPr>
        <w:t xml:space="preserve"> EUR 3</w:t>
      </w:r>
      <w:r w:rsidR="00084648">
        <w:rPr>
          <w:noProof/>
          <w:lang w:val="en-GB"/>
        </w:rPr>
        <w:t>7</w:t>
      </w:r>
      <w:r w:rsidR="001401DA" w:rsidRPr="000123E4">
        <w:rPr>
          <w:noProof/>
          <w:lang w:val="en-GB"/>
        </w:rPr>
        <w:t>0 billion have been issued since 2020.</w:t>
      </w:r>
      <w:bookmarkEnd w:id="3"/>
    </w:p>
    <w:p w14:paraId="1C552C7F" w14:textId="2418C1B4" w:rsidR="004A61C9" w:rsidRPr="001F6191" w:rsidRDefault="001401DA" w:rsidP="004A61C9">
      <w:pPr>
        <w:spacing w:line="240" w:lineRule="auto"/>
        <w:jc w:val="both"/>
        <w:rPr>
          <w:noProof/>
          <w:lang w:val="en-GB"/>
        </w:rPr>
      </w:pPr>
      <w:r w:rsidRPr="000123E4">
        <w:rPr>
          <w:noProof/>
          <w:lang w:val="en-GB"/>
        </w:rPr>
        <w:t>The Commission needed a completely new play-book to successfully</w:t>
      </w:r>
      <w:r w:rsidR="00F37831">
        <w:rPr>
          <w:noProof/>
          <w:lang w:val="en-GB"/>
        </w:rPr>
        <w:t xml:space="preserve"> </w:t>
      </w:r>
      <w:r w:rsidR="00F37831" w:rsidRPr="000123E4">
        <w:rPr>
          <w:noProof/>
          <w:lang w:val="en-GB"/>
        </w:rPr>
        <w:t>finance</w:t>
      </w:r>
      <w:r w:rsidRPr="000123E4">
        <w:rPr>
          <w:noProof/>
          <w:lang w:val="en-GB"/>
        </w:rPr>
        <w:t xml:space="preserve"> bond-issuance</w:t>
      </w:r>
      <w:r w:rsidR="00333383" w:rsidRPr="000123E4">
        <w:rPr>
          <w:noProof/>
          <w:lang w:val="en-GB"/>
        </w:rPr>
        <w:t>s</w:t>
      </w:r>
      <w:r w:rsidRPr="000123E4">
        <w:rPr>
          <w:noProof/>
          <w:lang w:val="en-GB"/>
        </w:rPr>
        <w:t xml:space="preserve"> on this scale. When it set up N</w:t>
      </w:r>
      <w:r w:rsidR="004A61C9" w:rsidRPr="000123E4">
        <w:rPr>
          <w:noProof/>
          <w:lang w:val="en-GB"/>
        </w:rPr>
        <w:t>ext</w:t>
      </w:r>
      <w:r w:rsidRPr="000123E4">
        <w:rPr>
          <w:noProof/>
          <w:lang w:val="en-GB"/>
        </w:rPr>
        <w:t>G</w:t>
      </w:r>
      <w:r w:rsidR="004A61C9" w:rsidRPr="000123E4">
        <w:rPr>
          <w:noProof/>
          <w:lang w:val="en-GB"/>
        </w:rPr>
        <w:t>eneration</w:t>
      </w:r>
      <w:r w:rsidRPr="000123E4">
        <w:rPr>
          <w:noProof/>
          <w:lang w:val="en-GB"/>
        </w:rPr>
        <w:t xml:space="preserve">EU, it </w:t>
      </w:r>
      <w:r w:rsidR="00F37831">
        <w:rPr>
          <w:noProof/>
          <w:lang w:val="en-GB"/>
        </w:rPr>
        <w:t>drew up</w:t>
      </w:r>
      <w:r w:rsidRPr="000123E4">
        <w:rPr>
          <w:noProof/>
          <w:lang w:val="en-GB"/>
        </w:rPr>
        <w:t xml:space="preserve"> a diversified funding strategy of the type implemented by the largest euro-area sovereign issuers. In line with the best practices used by </w:t>
      </w:r>
      <w:r w:rsidR="00333383" w:rsidRPr="000123E4">
        <w:rPr>
          <w:noProof/>
          <w:lang w:val="en-GB"/>
        </w:rPr>
        <w:t>these</w:t>
      </w:r>
      <w:r w:rsidRPr="000123E4">
        <w:rPr>
          <w:noProof/>
          <w:lang w:val="en-GB"/>
        </w:rPr>
        <w:t xml:space="preserve"> issuers, the diversified funding strategy uses different funding instruments (EU-Bonds and EU-Bills) and funding techniques (syndications and auctions) to cover long-term and short-term </w:t>
      </w:r>
      <w:r w:rsidRPr="001F6191">
        <w:rPr>
          <w:noProof/>
          <w:lang w:val="en-GB"/>
        </w:rPr>
        <w:t>funding needs.</w:t>
      </w:r>
    </w:p>
    <w:p w14:paraId="209D8A24" w14:textId="3DB0DEDF" w:rsidR="004A61C9" w:rsidRPr="000123E4" w:rsidRDefault="001401DA" w:rsidP="009E0388">
      <w:pPr>
        <w:spacing w:after="0" w:line="240" w:lineRule="auto"/>
        <w:contextualSpacing/>
        <w:jc w:val="both"/>
        <w:rPr>
          <w:noProof/>
          <w:lang w:val="en-GB"/>
        </w:rPr>
      </w:pPr>
      <w:r w:rsidRPr="001F6191">
        <w:rPr>
          <w:noProof/>
          <w:lang w:val="en-GB"/>
        </w:rPr>
        <w:t>Th</w:t>
      </w:r>
      <w:r w:rsidR="00E24082" w:rsidRPr="001F6191">
        <w:rPr>
          <w:noProof/>
          <w:lang w:val="en-GB"/>
        </w:rPr>
        <w:t>e scope of th</w:t>
      </w:r>
      <w:r w:rsidR="009E0388" w:rsidRPr="001F6191">
        <w:rPr>
          <w:noProof/>
          <w:lang w:val="en-GB"/>
        </w:rPr>
        <w:t>e diversified</w:t>
      </w:r>
      <w:r w:rsidRPr="001F6191">
        <w:rPr>
          <w:noProof/>
          <w:lang w:val="en-GB"/>
        </w:rPr>
        <w:t xml:space="preserve"> funding strategy was expanded in December 2022 to enable the Commission to extend the benefits of this more flexible and cost-efficient debt management </w:t>
      </w:r>
      <w:r w:rsidR="00E24082" w:rsidRPr="001F6191">
        <w:rPr>
          <w:noProof/>
          <w:lang w:val="en-GB"/>
        </w:rPr>
        <w:t xml:space="preserve">strategy </w:t>
      </w:r>
      <w:r w:rsidRPr="001F6191">
        <w:rPr>
          <w:noProof/>
          <w:lang w:val="en-GB"/>
        </w:rPr>
        <w:t>to MFA+ for Ukraine and other potential future borrowing and lending programmes</w:t>
      </w:r>
      <w:r w:rsidR="00052FDD" w:rsidRPr="001F6191">
        <w:rPr>
          <w:noProof/>
          <w:lang w:val="en-GB"/>
        </w:rPr>
        <w:t>,</w:t>
      </w:r>
      <w:r w:rsidR="009E0388" w:rsidRPr="001F6191">
        <w:rPr>
          <w:noProof/>
          <w:lang w:val="en-GB"/>
        </w:rPr>
        <w:t xml:space="preserve"> thereby creating a unified funding approach </w:t>
      </w:r>
      <w:r w:rsidR="00052FDD" w:rsidRPr="001F6191">
        <w:rPr>
          <w:noProof/>
          <w:lang w:val="en-GB"/>
        </w:rPr>
        <w:t>for</w:t>
      </w:r>
      <w:r w:rsidR="009E0388" w:rsidRPr="001F6191">
        <w:rPr>
          <w:noProof/>
          <w:lang w:val="en-GB"/>
        </w:rPr>
        <w:t xml:space="preserve"> all EU borrowing and lending programmes</w:t>
      </w:r>
      <w:r w:rsidRPr="001F6191">
        <w:rPr>
          <w:noProof/>
          <w:lang w:val="en-GB"/>
        </w:rPr>
        <w:t>. Und</w:t>
      </w:r>
      <w:r w:rsidRPr="000123E4">
        <w:rPr>
          <w:noProof/>
          <w:lang w:val="en-GB"/>
        </w:rPr>
        <w:t>er th</w:t>
      </w:r>
      <w:r w:rsidR="00E24082" w:rsidRPr="000123E4">
        <w:rPr>
          <w:noProof/>
          <w:lang w:val="en-GB"/>
        </w:rPr>
        <w:t>is</w:t>
      </w:r>
      <w:r w:rsidRPr="000123E4">
        <w:rPr>
          <w:noProof/>
          <w:lang w:val="en-GB"/>
        </w:rPr>
        <w:t xml:space="preserve"> unified funding approach, the Commission issu</w:t>
      </w:r>
      <w:r w:rsidR="00E24082" w:rsidRPr="000123E4">
        <w:rPr>
          <w:noProof/>
          <w:lang w:val="en-GB"/>
        </w:rPr>
        <w:t>es</w:t>
      </w:r>
      <w:r w:rsidRPr="000123E4">
        <w:rPr>
          <w:noProof/>
          <w:lang w:val="en-GB"/>
        </w:rPr>
        <w:t xml:space="preserve"> single</w:t>
      </w:r>
      <w:r w:rsidR="00E24082" w:rsidRPr="000123E4">
        <w:rPr>
          <w:noProof/>
          <w:lang w:val="en-GB"/>
        </w:rPr>
        <w:t>-</w:t>
      </w:r>
      <w:r w:rsidRPr="000123E4">
        <w:rPr>
          <w:noProof/>
          <w:lang w:val="en-GB"/>
        </w:rPr>
        <w:t xml:space="preserve">branded EU-Bonds, as opposed to running separately designated issuances </w:t>
      </w:r>
      <w:r w:rsidR="00E24082" w:rsidRPr="000123E4">
        <w:rPr>
          <w:noProof/>
          <w:lang w:val="en-GB"/>
        </w:rPr>
        <w:t xml:space="preserve">per policy </w:t>
      </w:r>
      <w:r w:rsidRPr="000123E4">
        <w:rPr>
          <w:noProof/>
          <w:lang w:val="en-GB"/>
        </w:rPr>
        <w:t>as in the past.</w:t>
      </w:r>
    </w:p>
    <w:p w14:paraId="7A70A2EA" w14:textId="77777777" w:rsidR="004A61C9" w:rsidRPr="009E0388" w:rsidRDefault="004A61C9" w:rsidP="004A61C9">
      <w:pPr>
        <w:spacing w:line="240" w:lineRule="auto"/>
        <w:contextualSpacing/>
        <w:jc w:val="both"/>
        <w:rPr>
          <w:noProof/>
          <w:sz w:val="20"/>
          <w:szCs w:val="20"/>
          <w:lang w:val="en-GB"/>
        </w:rPr>
      </w:pPr>
    </w:p>
    <w:p w14:paraId="2394B0E1" w14:textId="354CE10C" w:rsidR="004A61C9" w:rsidRPr="000123E4" w:rsidRDefault="004A61C9" w:rsidP="004A61C9">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b/>
          <w:bCs/>
          <w:noProof/>
          <w:lang w:val="en-GB"/>
        </w:rPr>
      </w:pPr>
      <w:r w:rsidRPr="000123E4">
        <w:rPr>
          <w:b/>
          <w:bCs/>
          <w:noProof/>
          <w:lang w:val="en-GB"/>
        </w:rPr>
        <w:t xml:space="preserve">Box </w:t>
      </w:r>
      <w:r w:rsidR="00333383" w:rsidRPr="000123E4">
        <w:rPr>
          <w:b/>
          <w:bCs/>
          <w:noProof/>
          <w:lang w:val="en-GB"/>
        </w:rPr>
        <w:t>1: U</w:t>
      </w:r>
      <w:r w:rsidRPr="000123E4">
        <w:rPr>
          <w:b/>
          <w:bCs/>
          <w:noProof/>
          <w:lang w:val="en-GB"/>
        </w:rPr>
        <w:t>se of proceeds</w:t>
      </w:r>
      <w:r w:rsidR="00E24082" w:rsidRPr="000123E4">
        <w:rPr>
          <w:b/>
          <w:bCs/>
          <w:noProof/>
          <w:lang w:val="en-GB"/>
        </w:rPr>
        <w:t xml:space="preserve"> of EU Bond issuance</w:t>
      </w:r>
    </w:p>
    <w:p w14:paraId="69397F56" w14:textId="66F27604" w:rsidR="004A61C9" w:rsidRDefault="004A61C9" w:rsidP="004A61C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lang w:val="en-GB"/>
        </w:rPr>
      </w:pPr>
      <w:bookmarkStart w:id="4" w:name="_Hlk138159556"/>
      <w:r w:rsidRPr="000123E4">
        <w:rPr>
          <w:noProof/>
          <w:spacing w:val="-6"/>
          <w:lang w:val="en-GB"/>
        </w:rPr>
        <w:t>Under NextGenerationEU</w:t>
      </w:r>
      <w:r w:rsidR="00F37831">
        <w:rPr>
          <w:noProof/>
          <w:spacing w:val="-6"/>
          <w:lang w:val="en-GB"/>
        </w:rPr>
        <w:t xml:space="preserve"> (NGEU)</w:t>
      </w:r>
      <w:r w:rsidRPr="000123E4">
        <w:rPr>
          <w:noProof/>
          <w:spacing w:val="-6"/>
          <w:lang w:val="en-GB"/>
        </w:rPr>
        <w:t>, the Commission can raise up to EUR</w:t>
      </w:r>
      <w:r w:rsidR="00F37831">
        <w:rPr>
          <w:noProof/>
          <w:spacing w:val="-6"/>
          <w:lang w:val="en-GB"/>
        </w:rPr>
        <w:t xml:space="preserve"> </w:t>
      </w:r>
      <w:r w:rsidRPr="000123E4">
        <w:rPr>
          <w:noProof/>
          <w:spacing w:val="-6"/>
          <w:lang w:val="en-GB"/>
        </w:rPr>
        <w:t>806.9 billion between mid-2021 and 2026 through the issuance of EU-Bonds, making the EU one of the largest issuers of euro-denominated debt</w:t>
      </w:r>
      <w:r w:rsidR="00E24082" w:rsidRPr="000123E4">
        <w:rPr>
          <w:noProof/>
          <w:spacing w:val="-6"/>
          <w:lang w:val="en-GB"/>
        </w:rPr>
        <w:t xml:space="preserve"> in this period</w:t>
      </w:r>
      <w:r w:rsidRPr="000123E4">
        <w:rPr>
          <w:noProof/>
          <w:spacing w:val="-6"/>
          <w:lang w:val="en-GB"/>
        </w:rPr>
        <w:t>. To date, more than</w:t>
      </w:r>
      <w:r w:rsidR="00491B57" w:rsidRPr="000123E4">
        <w:rPr>
          <w:noProof/>
          <w:spacing w:val="-6"/>
          <w:lang w:val="en-GB"/>
        </w:rPr>
        <w:t xml:space="preserve"> EUR</w:t>
      </w:r>
      <w:r w:rsidR="00F37831">
        <w:rPr>
          <w:noProof/>
          <w:spacing w:val="-6"/>
          <w:lang w:val="en-GB"/>
        </w:rPr>
        <w:t xml:space="preserve"> </w:t>
      </w:r>
      <w:r w:rsidR="00491B57" w:rsidRPr="000123E4">
        <w:rPr>
          <w:noProof/>
          <w:spacing w:val="-6"/>
          <w:lang w:val="en-GB"/>
        </w:rPr>
        <w:t>183 billion has been disbursed:</w:t>
      </w:r>
      <w:r w:rsidRPr="000123E4">
        <w:rPr>
          <w:noProof/>
          <w:spacing w:val="-6"/>
          <w:lang w:val="en-GB"/>
        </w:rPr>
        <w:t xml:space="preserve"> EUR 153</w:t>
      </w:r>
      <w:r w:rsidR="00491B57" w:rsidRPr="000123E4">
        <w:rPr>
          <w:noProof/>
          <w:spacing w:val="-6"/>
          <w:lang w:val="en-GB"/>
        </w:rPr>
        <w:t>.4</w:t>
      </w:r>
      <w:r w:rsidRPr="000123E4">
        <w:rPr>
          <w:noProof/>
          <w:spacing w:val="-6"/>
          <w:lang w:val="en-GB"/>
        </w:rPr>
        <w:t xml:space="preserve"> billion to Member States under the Recovery and Resilience Facility (RRF) and </w:t>
      </w:r>
      <w:r w:rsidR="00491B57" w:rsidRPr="000123E4">
        <w:rPr>
          <w:noProof/>
          <w:spacing w:val="-6"/>
          <w:lang w:val="en-GB"/>
        </w:rPr>
        <w:t xml:space="preserve">EUR </w:t>
      </w:r>
      <w:r w:rsidRPr="000123E4">
        <w:rPr>
          <w:noProof/>
          <w:spacing w:val="-6"/>
          <w:lang w:val="en-GB"/>
        </w:rPr>
        <w:t>29</w:t>
      </w:r>
      <w:r w:rsidR="00491B57" w:rsidRPr="000123E4">
        <w:rPr>
          <w:noProof/>
          <w:spacing w:val="-6"/>
          <w:lang w:val="en-GB"/>
        </w:rPr>
        <w:t xml:space="preserve">.8 </w:t>
      </w:r>
      <w:r w:rsidRPr="000123E4">
        <w:rPr>
          <w:noProof/>
          <w:spacing w:val="-6"/>
          <w:lang w:val="en-GB"/>
        </w:rPr>
        <w:t>b</w:t>
      </w:r>
      <w:r w:rsidR="00491B57" w:rsidRPr="000123E4">
        <w:rPr>
          <w:noProof/>
          <w:spacing w:val="-6"/>
          <w:lang w:val="en-GB"/>
        </w:rPr>
        <w:t>illio</w:t>
      </w:r>
      <w:r w:rsidRPr="000123E4">
        <w:rPr>
          <w:noProof/>
          <w:spacing w:val="-6"/>
          <w:lang w:val="en-GB"/>
        </w:rPr>
        <w:t xml:space="preserve">n to </w:t>
      </w:r>
      <w:r w:rsidR="00491B57" w:rsidRPr="000123E4">
        <w:rPr>
          <w:noProof/>
          <w:spacing w:val="-6"/>
          <w:lang w:val="en-GB"/>
        </w:rPr>
        <w:t xml:space="preserve">the </w:t>
      </w:r>
      <w:r w:rsidRPr="000123E4">
        <w:rPr>
          <w:noProof/>
          <w:spacing w:val="-6"/>
          <w:lang w:val="en-GB"/>
        </w:rPr>
        <w:t xml:space="preserve">EU budget. </w:t>
      </w:r>
      <w:bookmarkEnd w:id="4"/>
      <w:r w:rsidR="007B08DA" w:rsidRPr="007B08DA">
        <w:rPr>
          <w:noProof/>
          <w:spacing w:val="-6"/>
          <w:lang w:val="en-GB"/>
        </w:rPr>
        <w:t xml:space="preserve">Member States are currently revising their recovery and resilience plans to, among others, reflect the revised </w:t>
      </w:r>
      <w:r w:rsidR="00CD50EA" w:rsidRPr="00CD50EA">
        <w:rPr>
          <w:noProof/>
          <w:spacing w:val="-6"/>
          <w:lang w:val="en-GB"/>
        </w:rPr>
        <w:t>non-reimbursable support</w:t>
      </w:r>
      <w:r w:rsidR="007B08DA" w:rsidRPr="007B08DA">
        <w:rPr>
          <w:noProof/>
          <w:spacing w:val="-6"/>
          <w:lang w:val="en-GB"/>
        </w:rPr>
        <w:t xml:space="preserve"> allocation, request additional loans if </w:t>
      </w:r>
      <w:r w:rsidR="0069582D">
        <w:rPr>
          <w:noProof/>
          <w:spacing w:val="-6"/>
          <w:lang w:val="en-GB"/>
        </w:rPr>
        <w:t>they wish</w:t>
      </w:r>
      <w:r w:rsidR="007B08DA" w:rsidRPr="007B08DA">
        <w:rPr>
          <w:noProof/>
          <w:spacing w:val="-6"/>
          <w:lang w:val="en-GB"/>
        </w:rPr>
        <w:t>, or adjust to new priorities and additional funding opportunities</w:t>
      </w:r>
      <w:r w:rsidR="00607408">
        <w:rPr>
          <w:noProof/>
          <w:spacing w:val="-6"/>
          <w:lang w:val="en-GB"/>
        </w:rPr>
        <w:t>,</w:t>
      </w:r>
      <w:r w:rsidR="007B08DA" w:rsidRPr="007B08DA">
        <w:rPr>
          <w:noProof/>
          <w:spacing w:val="-6"/>
          <w:lang w:val="en-GB"/>
        </w:rPr>
        <w:t xml:space="preserve"> under REPowerEU. The revision of these plans will lead to an increased take-up </w:t>
      </w:r>
      <w:r w:rsidR="00E02208">
        <w:rPr>
          <w:noProof/>
          <w:spacing w:val="-6"/>
          <w:lang w:val="en-GB"/>
        </w:rPr>
        <w:t>of</w:t>
      </w:r>
      <w:r w:rsidR="007B08DA" w:rsidRPr="007B08DA">
        <w:rPr>
          <w:noProof/>
          <w:spacing w:val="-6"/>
          <w:lang w:val="en-GB"/>
        </w:rPr>
        <w:t xml:space="preserve"> NGEU loans. Upon submission, these plans must be assessed by the Commission and </w:t>
      </w:r>
      <w:r w:rsidR="0069582D">
        <w:rPr>
          <w:noProof/>
          <w:spacing w:val="-6"/>
          <w:lang w:val="en-GB"/>
        </w:rPr>
        <w:t>then</w:t>
      </w:r>
      <w:r w:rsidR="007B08DA" w:rsidRPr="007B08DA">
        <w:rPr>
          <w:noProof/>
          <w:spacing w:val="-6"/>
          <w:lang w:val="en-GB"/>
        </w:rPr>
        <w:t xml:space="preserve"> approved by the Council.</w:t>
      </w:r>
    </w:p>
    <w:p w14:paraId="544E6C1D" w14:textId="77777777" w:rsidR="007B08DA" w:rsidRPr="000123E4" w:rsidRDefault="007B08DA" w:rsidP="004A61C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lang w:val="en-GB"/>
        </w:rPr>
      </w:pPr>
    </w:p>
    <w:p w14:paraId="2602C720" w14:textId="4764817A" w:rsidR="00E24082" w:rsidRPr="000123E4" w:rsidRDefault="004A61C9" w:rsidP="00E9102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rPr>
      </w:pPr>
      <w:r w:rsidRPr="000123E4">
        <w:rPr>
          <w:noProof/>
          <w:spacing w:val="-6"/>
        </w:rPr>
        <w:t>In addition, in 2023, the EU is providing up to EUR 18 billion in highly concessional MFA+ loans to Ukraine. These will be disbursed in regular instalments covering around half of Ukraine</w:t>
      </w:r>
      <w:r w:rsidR="0069582D">
        <w:rPr>
          <w:noProof/>
          <w:spacing w:val="-6"/>
        </w:rPr>
        <w:t>’</w:t>
      </w:r>
      <w:r w:rsidRPr="000123E4">
        <w:rPr>
          <w:noProof/>
          <w:spacing w:val="-6"/>
        </w:rPr>
        <w:t>s short-term funding needs for 2023 as estimated by the Ukrainian authorities and the International Monetary Fund. In the first half of 2023, EUR</w:t>
      </w:r>
      <w:r w:rsidR="0069582D">
        <w:rPr>
          <w:noProof/>
          <w:spacing w:val="-6"/>
        </w:rPr>
        <w:t xml:space="preserve"> </w:t>
      </w:r>
      <w:r w:rsidR="004D4588" w:rsidRPr="000123E4">
        <w:rPr>
          <w:noProof/>
          <w:spacing w:val="-6"/>
        </w:rPr>
        <w:t>9</w:t>
      </w:r>
      <w:r w:rsidRPr="000123E4">
        <w:rPr>
          <w:noProof/>
          <w:spacing w:val="-6"/>
        </w:rPr>
        <w:t xml:space="preserve"> billion has already been disbursed to Ukraine under the MFA+ programme.</w:t>
      </w:r>
      <w:r w:rsidR="00333383" w:rsidRPr="000123E4">
        <w:rPr>
          <w:noProof/>
          <w:spacing w:val="-6"/>
        </w:rPr>
        <w:t xml:space="preserve"> </w:t>
      </w:r>
    </w:p>
    <w:p w14:paraId="686A6D16" w14:textId="77777777" w:rsidR="00E24082" w:rsidRPr="000123E4" w:rsidRDefault="00E24082" w:rsidP="00E9102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rPr>
      </w:pPr>
    </w:p>
    <w:p w14:paraId="37608220" w14:textId="6B9852E8" w:rsidR="00E91029" w:rsidRPr="000123E4" w:rsidRDefault="0069582D" w:rsidP="00E91029">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noProof/>
          <w:spacing w:val="-6"/>
        </w:rPr>
      </w:pPr>
      <w:r>
        <w:rPr>
          <w:noProof/>
          <w:spacing w:val="-6"/>
        </w:rPr>
        <w:t>O</w:t>
      </w:r>
      <w:r w:rsidRPr="000123E4">
        <w:rPr>
          <w:noProof/>
          <w:spacing w:val="-6"/>
        </w:rPr>
        <w:t>n 20 June 2023</w:t>
      </w:r>
      <w:r>
        <w:rPr>
          <w:noProof/>
          <w:spacing w:val="-6"/>
        </w:rPr>
        <w:t>, t</w:t>
      </w:r>
      <w:r w:rsidR="00333383" w:rsidRPr="000123E4">
        <w:rPr>
          <w:noProof/>
          <w:spacing w:val="-6"/>
        </w:rPr>
        <w:t xml:space="preserve">he Commission proposed </w:t>
      </w:r>
      <w:r>
        <w:rPr>
          <w:noProof/>
          <w:spacing w:val="-6"/>
        </w:rPr>
        <w:t>setting up</w:t>
      </w:r>
      <w:r w:rsidR="0009414B" w:rsidRPr="000123E4">
        <w:rPr>
          <w:noProof/>
          <w:spacing w:val="-6"/>
        </w:rPr>
        <w:t xml:space="preserve"> </w:t>
      </w:r>
      <w:r w:rsidR="00333383" w:rsidRPr="000123E4">
        <w:rPr>
          <w:noProof/>
          <w:spacing w:val="-6"/>
        </w:rPr>
        <w:t xml:space="preserve">a dedicated financing instrument for Ukraine </w:t>
      </w:r>
      <w:r>
        <w:rPr>
          <w:noProof/>
          <w:spacing w:val="-6"/>
        </w:rPr>
        <w:t>with</w:t>
      </w:r>
      <w:r w:rsidR="0009414B" w:rsidRPr="000123E4">
        <w:rPr>
          <w:noProof/>
          <w:spacing w:val="-6"/>
        </w:rPr>
        <w:t xml:space="preserve"> up to EUR</w:t>
      </w:r>
      <w:r w:rsidR="00E91029" w:rsidRPr="000123E4">
        <w:rPr>
          <w:noProof/>
          <w:spacing w:val="-6"/>
        </w:rPr>
        <w:t xml:space="preserve"> </w:t>
      </w:r>
      <w:r w:rsidR="0009414B" w:rsidRPr="000123E4">
        <w:rPr>
          <w:noProof/>
          <w:spacing w:val="-6"/>
        </w:rPr>
        <w:t>50 b</w:t>
      </w:r>
      <w:r w:rsidR="00E91029" w:rsidRPr="000123E4">
        <w:rPr>
          <w:noProof/>
          <w:spacing w:val="-6"/>
        </w:rPr>
        <w:t>illio</w:t>
      </w:r>
      <w:r w:rsidR="0009414B" w:rsidRPr="000123E4">
        <w:rPr>
          <w:noProof/>
          <w:spacing w:val="-6"/>
        </w:rPr>
        <w:t>n</w:t>
      </w:r>
      <w:r>
        <w:rPr>
          <w:noProof/>
          <w:spacing w:val="-6"/>
        </w:rPr>
        <w:t xml:space="preserve"> in grants and loans</w:t>
      </w:r>
      <w:r w:rsidR="0009414B" w:rsidRPr="000123E4">
        <w:rPr>
          <w:noProof/>
          <w:spacing w:val="-6"/>
        </w:rPr>
        <w:t xml:space="preserve"> </w:t>
      </w:r>
      <w:r w:rsidR="00333383" w:rsidRPr="000123E4">
        <w:rPr>
          <w:noProof/>
          <w:spacing w:val="-6"/>
        </w:rPr>
        <w:t>for 2024-2027</w:t>
      </w:r>
      <w:r>
        <w:rPr>
          <w:noProof/>
          <w:spacing w:val="-6"/>
        </w:rPr>
        <w:t>.</w:t>
      </w:r>
      <w:r w:rsidR="00E24082" w:rsidRPr="000123E4">
        <w:rPr>
          <w:noProof/>
          <w:spacing w:val="-6"/>
        </w:rPr>
        <w:t xml:space="preserve"> </w:t>
      </w:r>
      <w:r>
        <w:rPr>
          <w:noProof/>
          <w:spacing w:val="-6"/>
        </w:rPr>
        <w:t>It is anticipated that</w:t>
      </w:r>
      <w:r w:rsidR="00E24082" w:rsidRPr="000123E4">
        <w:rPr>
          <w:noProof/>
          <w:spacing w:val="-6"/>
        </w:rPr>
        <w:t xml:space="preserve"> EUR 33 billion will take the form of loans, to be financed by EU-Bond issuance commencing in 2024 subject to </w:t>
      </w:r>
      <w:r>
        <w:rPr>
          <w:noProof/>
          <w:spacing w:val="-6"/>
        </w:rPr>
        <w:t xml:space="preserve">the </w:t>
      </w:r>
      <w:r w:rsidR="00E24082" w:rsidRPr="000123E4">
        <w:rPr>
          <w:noProof/>
          <w:spacing w:val="-6"/>
        </w:rPr>
        <w:t>agreement European Parliament</w:t>
      </w:r>
      <w:r>
        <w:rPr>
          <w:noProof/>
          <w:spacing w:val="-6"/>
        </w:rPr>
        <w:t xml:space="preserve"> and Council</w:t>
      </w:r>
      <w:r w:rsidR="0009414B" w:rsidRPr="000123E4">
        <w:rPr>
          <w:noProof/>
          <w:spacing w:val="-6"/>
        </w:rPr>
        <w:t>.</w:t>
      </w:r>
    </w:p>
    <w:p w14:paraId="76EBC0FA" w14:textId="08C112B2" w:rsidR="006F7559" w:rsidRPr="000123E4" w:rsidRDefault="00E91029" w:rsidP="006F7559">
      <w:pPr>
        <w:spacing w:line="240" w:lineRule="auto"/>
        <w:jc w:val="both"/>
        <w:rPr>
          <w:noProof/>
          <w:lang w:val="en-GB"/>
        </w:rPr>
      </w:pPr>
      <w:r w:rsidRPr="000123E4">
        <w:rPr>
          <w:noProof/>
          <w:lang w:val="en-GB"/>
        </w:rPr>
        <w:t>This half-yearly report</w:t>
      </w:r>
      <w:r w:rsidR="0069582D">
        <w:rPr>
          <w:noProof/>
          <w:lang w:val="en-GB"/>
        </w:rPr>
        <w:t>, produced in line with</w:t>
      </w:r>
      <w:r w:rsidRPr="000123E4">
        <w:rPr>
          <w:noProof/>
          <w:lang w:val="en-GB"/>
        </w:rPr>
        <w:t xml:space="preserve"> Article</w:t>
      </w:r>
      <w:r w:rsidR="0069582D">
        <w:rPr>
          <w:noProof/>
          <w:lang w:val="en-GB"/>
        </w:rPr>
        <w:t xml:space="preserve"> </w:t>
      </w:r>
      <w:r w:rsidRPr="000123E4">
        <w:rPr>
          <w:noProof/>
          <w:lang w:val="en-GB"/>
        </w:rPr>
        <w:t xml:space="preserve">12 of Commission Implementing Decision C(2022)9700 </w:t>
      </w:r>
      <w:r w:rsidR="006F7559" w:rsidRPr="000123E4">
        <w:rPr>
          <w:noProof/>
          <w:lang w:val="en-GB"/>
        </w:rPr>
        <w:t xml:space="preserve">reviews the first </w:t>
      </w:r>
      <w:r w:rsidR="0069582D">
        <w:rPr>
          <w:noProof/>
          <w:lang w:val="en-GB"/>
        </w:rPr>
        <w:t>6</w:t>
      </w:r>
      <w:r w:rsidR="006F7559" w:rsidRPr="000123E4">
        <w:rPr>
          <w:noProof/>
          <w:lang w:val="en-GB"/>
        </w:rPr>
        <w:t xml:space="preserve"> months of</w:t>
      </w:r>
      <w:r w:rsidR="0069582D">
        <w:rPr>
          <w:noProof/>
          <w:lang w:val="en-GB"/>
        </w:rPr>
        <w:t xml:space="preserve"> implementation of the</w:t>
      </w:r>
      <w:r w:rsidR="006F7559" w:rsidRPr="000123E4">
        <w:rPr>
          <w:noProof/>
          <w:lang w:val="en-GB"/>
        </w:rPr>
        <w:t xml:space="preserve"> unified funding approach. It does not evaluate how the proceeds have been used, including for green expenditure, as that will be covered in separate reports </w:t>
      </w:r>
      <w:r w:rsidR="0069582D">
        <w:rPr>
          <w:noProof/>
          <w:lang w:val="en-GB"/>
        </w:rPr>
        <w:t>under</w:t>
      </w:r>
      <w:r w:rsidR="006F7559" w:rsidRPr="000123E4">
        <w:rPr>
          <w:noProof/>
          <w:lang w:val="en-GB"/>
        </w:rPr>
        <w:t xml:space="preserve"> the Regulations </w:t>
      </w:r>
      <w:r w:rsidR="0069582D">
        <w:rPr>
          <w:noProof/>
          <w:lang w:val="en-GB"/>
        </w:rPr>
        <w:t>for</w:t>
      </w:r>
      <w:r w:rsidR="006F7559" w:rsidRPr="000123E4">
        <w:rPr>
          <w:noProof/>
          <w:lang w:val="en-GB"/>
        </w:rPr>
        <w:t xml:space="preserve"> each instrument. It also looks into the steps that the Commission is taking to further develop the EU-Bonds </w:t>
      </w:r>
      <w:r w:rsidR="0069582D">
        <w:rPr>
          <w:noProof/>
          <w:lang w:val="en-GB"/>
        </w:rPr>
        <w:t xml:space="preserve">ecosystem – with the aim of increasing </w:t>
      </w:r>
      <w:r w:rsidR="006F7559" w:rsidRPr="000123E4">
        <w:rPr>
          <w:noProof/>
          <w:lang w:val="en-GB"/>
        </w:rPr>
        <w:t>the liquidity of EU-Bonds and facilitat</w:t>
      </w:r>
      <w:r w:rsidR="0069582D">
        <w:rPr>
          <w:noProof/>
          <w:lang w:val="en-GB"/>
        </w:rPr>
        <w:t>ing</w:t>
      </w:r>
      <w:r w:rsidR="006F7559" w:rsidRPr="000123E4">
        <w:rPr>
          <w:noProof/>
          <w:lang w:val="en-GB"/>
        </w:rPr>
        <w:t xml:space="preserve"> a market treatment that reflects the EU’s issuance volumes and credit strength. Finally, it provides an outlook for EU-Bond issuance in the second half of 2023.</w:t>
      </w:r>
    </w:p>
    <w:p w14:paraId="5512E3DA" w14:textId="67C51812" w:rsidR="00E91029" w:rsidRPr="000123E4" w:rsidRDefault="00E91029" w:rsidP="006F7559">
      <w:pPr>
        <w:spacing w:line="240" w:lineRule="auto"/>
        <w:jc w:val="both"/>
        <w:rPr>
          <w:noProof/>
          <w:lang w:val="en-GB"/>
        </w:rPr>
      </w:pPr>
      <w:r w:rsidRPr="000123E4">
        <w:rPr>
          <w:noProof/>
          <w:lang w:val="en-GB"/>
        </w:rPr>
        <w:t>Th</w:t>
      </w:r>
      <w:r w:rsidR="0069582D">
        <w:rPr>
          <w:noProof/>
          <w:lang w:val="en-GB"/>
        </w:rPr>
        <w:t>e annex to this</w:t>
      </w:r>
      <w:r w:rsidRPr="000123E4">
        <w:rPr>
          <w:noProof/>
          <w:lang w:val="en-GB"/>
        </w:rPr>
        <w:t xml:space="preserve"> report also presents</w:t>
      </w:r>
      <w:r w:rsidR="00E24082" w:rsidRPr="000123E4">
        <w:rPr>
          <w:noProof/>
          <w:lang w:val="en-GB"/>
        </w:rPr>
        <w:t xml:space="preserve"> </w:t>
      </w:r>
      <w:r w:rsidRPr="000123E4">
        <w:rPr>
          <w:noProof/>
          <w:lang w:val="en-GB"/>
        </w:rPr>
        <w:t xml:space="preserve">the overarching debt management strategy </w:t>
      </w:r>
      <w:r w:rsidR="00187563">
        <w:rPr>
          <w:noProof/>
          <w:lang w:val="en-GB"/>
        </w:rPr>
        <w:t>guiding</w:t>
      </w:r>
      <w:r w:rsidRPr="000123E4">
        <w:rPr>
          <w:noProof/>
          <w:lang w:val="en-GB"/>
        </w:rPr>
        <w:t xml:space="preserve"> the Commission</w:t>
      </w:r>
      <w:r w:rsidR="00187563">
        <w:rPr>
          <w:noProof/>
          <w:lang w:val="en-GB"/>
        </w:rPr>
        <w:t>’s</w:t>
      </w:r>
      <w:r w:rsidRPr="000123E4">
        <w:rPr>
          <w:noProof/>
          <w:lang w:val="en-GB"/>
        </w:rPr>
        <w:t xml:space="preserve"> implementation of the unified funding </w:t>
      </w:r>
      <w:r w:rsidR="00212A39">
        <w:rPr>
          <w:noProof/>
          <w:lang w:val="en-GB"/>
        </w:rPr>
        <w:t>approach</w:t>
      </w:r>
      <w:r w:rsidRPr="000123E4">
        <w:rPr>
          <w:noProof/>
          <w:lang w:val="en-GB"/>
        </w:rPr>
        <w:t xml:space="preserve">. </w:t>
      </w:r>
      <w:r w:rsidR="00C92EBC">
        <w:rPr>
          <w:noProof/>
          <w:lang w:val="en-GB"/>
        </w:rPr>
        <w:t>T</w:t>
      </w:r>
      <w:r w:rsidRPr="000123E4">
        <w:rPr>
          <w:noProof/>
          <w:lang w:val="en-GB"/>
        </w:rPr>
        <w:t>he Commission</w:t>
      </w:r>
      <w:r w:rsidR="00C92EBC">
        <w:rPr>
          <w:noProof/>
          <w:lang w:val="en-GB"/>
        </w:rPr>
        <w:t xml:space="preserve"> formulated this</w:t>
      </w:r>
      <w:r w:rsidRPr="000123E4">
        <w:rPr>
          <w:noProof/>
          <w:lang w:val="en-GB"/>
        </w:rPr>
        <w:t xml:space="preserve"> in response to </w:t>
      </w:r>
      <w:r w:rsidR="00C92EBC">
        <w:rPr>
          <w:noProof/>
          <w:lang w:val="en-GB"/>
        </w:rPr>
        <w:t>a</w:t>
      </w:r>
      <w:r w:rsidRPr="000123E4">
        <w:rPr>
          <w:noProof/>
          <w:lang w:val="en-GB"/>
        </w:rPr>
        <w:t xml:space="preserve"> recommendation </w:t>
      </w:r>
      <w:r w:rsidR="00C92EBC">
        <w:rPr>
          <w:noProof/>
          <w:lang w:val="en-GB"/>
        </w:rPr>
        <w:t>from</w:t>
      </w:r>
      <w:r w:rsidRPr="000123E4">
        <w:rPr>
          <w:noProof/>
          <w:lang w:val="en-GB"/>
        </w:rPr>
        <w:t xml:space="preserve"> the European Court of Auditors (ECA) calling for the formulation of such a strategy and the specification of indicators that can be used to monitor its implementation. The objectives and means underpin</w:t>
      </w:r>
      <w:r w:rsidR="00C92EBC">
        <w:rPr>
          <w:noProof/>
          <w:lang w:val="en-GB"/>
        </w:rPr>
        <w:t>ning</w:t>
      </w:r>
      <w:r w:rsidRPr="000123E4">
        <w:rPr>
          <w:noProof/>
          <w:lang w:val="en-GB"/>
        </w:rPr>
        <w:t xml:space="preserve"> the strategy are presented in the annex, along with the indicators that the Commission will use to monitor its implementation.</w:t>
      </w:r>
    </w:p>
    <w:p w14:paraId="3699C473" w14:textId="7534D640" w:rsidR="00E91029" w:rsidRPr="000123E4" w:rsidRDefault="006F7559" w:rsidP="00EC43E1">
      <w:pPr>
        <w:spacing w:line="240" w:lineRule="auto"/>
        <w:jc w:val="both"/>
        <w:rPr>
          <w:noProof/>
          <w:lang w:val="en-GB"/>
        </w:rPr>
      </w:pPr>
      <w:r w:rsidRPr="000123E4">
        <w:rPr>
          <w:noProof/>
          <w:lang w:val="en-GB"/>
        </w:rPr>
        <w:t xml:space="preserve">The half-yearly report </w:t>
      </w:r>
      <w:r w:rsidR="00C92EBC">
        <w:rPr>
          <w:noProof/>
          <w:lang w:val="en-GB"/>
        </w:rPr>
        <w:t>is</w:t>
      </w:r>
      <w:r w:rsidRPr="000123E4">
        <w:rPr>
          <w:noProof/>
          <w:lang w:val="en-GB"/>
        </w:rPr>
        <w:t xml:space="preserve"> </w:t>
      </w:r>
      <w:r w:rsidR="00C92EBC">
        <w:rPr>
          <w:noProof/>
          <w:lang w:val="en-GB"/>
        </w:rPr>
        <w:t>part</w:t>
      </w:r>
      <w:r w:rsidRPr="000123E4">
        <w:rPr>
          <w:noProof/>
          <w:lang w:val="en-GB"/>
        </w:rPr>
        <w:t xml:space="preserve"> of a regular flow of information to Parliament and the Council, providing transparency and accountability on</w:t>
      </w:r>
      <w:r w:rsidR="00C92EBC">
        <w:rPr>
          <w:noProof/>
          <w:lang w:val="en-GB"/>
        </w:rPr>
        <w:t xml:space="preserve"> the</w:t>
      </w:r>
      <w:r w:rsidRPr="000123E4">
        <w:rPr>
          <w:noProof/>
          <w:lang w:val="en-GB"/>
        </w:rPr>
        <w:t xml:space="preserve"> implementation of the EU’s debt management operations. With the diversified funding strategy becoming the central approach for EU borrowing and lending operations in the Financial Regulation, this report and all future reporting is being prepared in accordance with Article 220a of the Financial Regulation</w:t>
      </w:r>
      <w:r w:rsidR="00C92EBC">
        <w:rPr>
          <w:noProof/>
          <w:lang w:val="en-GB"/>
        </w:rPr>
        <w:t>, which</w:t>
      </w:r>
      <w:r w:rsidRPr="000123E4">
        <w:rPr>
          <w:noProof/>
          <w:lang w:val="en-GB"/>
        </w:rPr>
        <w:t xml:space="preserve"> requires regular and comprehensive reporting on all aspects of EU’s borrowing and debt management strategy.</w:t>
      </w:r>
    </w:p>
    <w:p w14:paraId="4FD8F240" w14:textId="2AEDA7CE" w:rsidR="008B6253" w:rsidRPr="000123E4" w:rsidRDefault="00BD5F9F" w:rsidP="00D3648A">
      <w:pPr>
        <w:pStyle w:val="Heading1"/>
        <w:spacing w:after="200"/>
        <w:contextualSpacing/>
        <w:rPr>
          <w:rFonts w:cs="Times New Roman"/>
          <w:noProof/>
          <w:color w:val="auto"/>
          <w:sz w:val="24"/>
          <w:szCs w:val="24"/>
        </w:rPr>
      </w:pPr>
      <w:bookmarkStart w:id="5" w:name="_Toc140069409"/>
      <w:r w:rsidRPr="000123E4">
        <w:rPr>
          <w:rFonts w:cs="Times New Roman"/>
          <w:noProof/>
          <w:color w:val="auto"/>
          <w:sz w:val="24"/>
          <w:szCs w:val="24"/>
        </w:rPr>
        <w:t xml:space="preserve">Implementation of </w:t>
      </w:r>
      <w:r w:rsidR="001401DA" w:rsidRPr="000123E4">
        <w:rPr>
          <w:rFonts w:cs="Times New Roman"/>
          <w:noProof/>
          <w:color w:val="auto"/>
          <w:sz w:val="24"/>
          <w:szCs w:val="24"/>
        </w:rPr>
        <w:t>borrowing operations</w:t>
      </w:r>
      <w:r w:rsidR="00936D60" w:rsidRPr="000123E4">
        <w:rPr>
          <w:rFonts w:cs="Times New Roman"/>
          <w:noProof/>
          <w:color w:val="auto"/>
          <w:sz w:val="24"/>
          <w:szCs w:val="24"/>
        </w:rPr>
        <w:t xml:space="preserve"> in </w:t>
      </w:r>
      <w:r w:rsidR="001401DA" w:rsidRPr="000123E4">
        <w:rPr>
          <w:rFonts w:cs="Times New Roman"/>
          <w:noProof/>
          <w:color w:val="auto"/>
          <w:sz w:val="24"/>
          <w:szCs w:val="24"/>
        </w:rPr>
        <w:t>first</w:t>
      </w:r>
      <w:r w:rsidR="004D0EB0" w:rsidRPr="000123E4">
        <w:rPr>
          <w:rFonts w:cs="Times New Roman"/>
          <w:noProof/>
          <w:color w:val="auto"/>
          <w:sz w:val="24"/>
          <w:szCs w:val="24"/>
        </w:rPr>
        <w:t xml:space="preserve"> </w:t>
      </w:r>
      <w:r w:rsidR="001401DA" w:rsidRPr="000123E4">
        <w:rPr>
          <w:rFonts w:cs="Times New Roman"/>
          <w:noProof/>
          <w:color w:val="auto"/>
          <w:sz w:val="24"/>
          <w:szCs w:val="24"/>
        </w:rPr>
        <w:t>half</w:t>
      </w:r>
      <w:r w:rsidR="004D0EB0" w:rsidRPr="000123E4">
        <w:rPr>
          <w:rFonts w:cs="Times New Roman"/>
          <w:noProof/>
          <w:color w:val="auto"/>
          <w:sz w:val="24"/>
          <w:szCs w:val="24"/>
        </w:rPr>
        <w:t xml:space="preserve"> of</w:t>
      </w:r>
      <w:r w:rsidRPr="000123E4">
        <w:rPr>
          <w:rFonts w:cs="Times New Roman"/>
          <w:noProof/>
          <w:color w:val="auto"/>
          <w:sz w:val="24"/>
          <w:szCs w:val="24"/>
        </w:rPr>
        <w:t xml:space="preserve"> 202</w:t>
      </w:r>
      <w:r w:rsidR="001401DA" w:rsidRPr="000123E4">
        <w:rPr>
          <w:rFonts w:cs="Times New Roman"/>
          <w:noProof/>
          <w:color w:val="auto"/>
          <w:sz w:val="24"/>
          <w:szCs w:val="24"/>
        </w:rPr>
        <w:t>3</w:t>
      </w:r>
      <w:bookmarkEnd w:id="5"/>
    </w:p>
    <w:p w14:paraId="3ED8C977" w14:textId="08494636" w:rsidR="005D6F11" w:rsidRPr="000123E4" w:rsidRDefault="005D6F11" w:rsidP="005D6F11">
      <w:pPr>
        <w:spacing w:line="240" w:lineRule="auto"/>
        <w:jc w:val="both"/>
        <w:rPr>
          <w:noProof/>
          <w:lang w:val="en-GB"/>
        </w:rPr>
      </w:pPr>
      <w:r w:rsidRPr="000123E4">
        <w:rPr>
          <w:noProof/>
          <w:lang w:val="en-GB"/>
        </w:rPr>
        <w:t xml:space="preserve">In the first half of 2023 the Commission continued to pursue its objectives of raising funds in the markets in an effective and efficient way </w:t>
      </w:r>
      <w:r w:rsidR="00D00934">
        <w:rPr>
          <w:noProof/>
          <w:lang w:val="en-GB"/>
        </w:rPr>
        <w:t>by applying</w:t>
      </w:r>
      <w:r w:rsidRPr="000123E4">
        <w:rPr>
          <w:noProof/>
          <w:lang w:val="en-GB"/>
        </w:rPr>
        <w:t xml:space="preserve"> its unified funding approach. In doing so the Commission was able, despite market volatility, to meet all of </w:t>
      </w:r>
      <w:r w:rsidR="00E24082" w:rsidRPr="000123E4">
        <w:rPr>
          <w:noProof/>
          <w:lang w:val="en-GB"/>
        </w:rPr>
        <w:t xml:space="preserve">its disbursement </w:t>
      </w:r>
      <w:r w:rsidRPr="000123E4">
        <w:rPr>
          <w:noProof/>
          <w:lang w:val="en-GB"/>
        </w:rPr>
        <w:t>commitments under NextGenerationEU and MFA+</w:t>
      </w:r>
      <w:r w:rsidR="00D00934">
        <w:rPr>
          <w:noProof/>
          <w:lang w:val="en-GB"/>
        </w:rPr>
        <w:t xml:space="preserve"> on time</w:t>
      </w:r>
      <w:r w:rsidR="00D8633C" w:rsidRPr="000123E4">
        <w:rPr>
          <w:noProof/>
          <w:lang w:val="en-GB"/>
        </w:rPr>
        <w:t>. A</w:t>
      </w:r>
      <w:r w:rsidRPr="000123E4">
        <w:rPr>
          <w:noProof/>
          <w:lang w:val="en-GB"/>
        </w:rPr>
        <w:t>t the same tim</w:t>
      </w:r>
      <w:r w:rsidR="00D8633C" w:rsidRPr="000123E4">
        <w:rPr>
          <w:noProof/>
          <w:lang w:val="en-GB"/>
        </w:rPr>
        <w:t xml:space="preserve">e, issuance amounts and maturities </w:t>
      </w:r>
      <w:r w:rsidR="00E24082" w:rsidRPr="000123E4">
        <w:rPr>
          <w:noProof/>
          <w:lang w:val="en-GB"/>
        </w:rPr>
        <w:t>remain</w:t>
      </w:r>
      <w:r w:rsidR="000830C3" w:rsidRPr="000123E4">
        <w:rPr>
          <w:noProof/>
          <w:lang w:val="en-GB"/>
        </w:rPr>
        <w:t>ed</w:t>
      </w:r>
      <w:r w:rsidR="00E24082" w:rsidRPr="000123E4">
        <w:rPr>
          <w:noProof/>
          <w:lang w:val="en-GB"/>
        </w:rPr>
        <w:t xml:space="preserve"> within the</w:t>
      </w:r>
      <w:r w:rsidRPr="000123E4">
        <w:rPr>
          <w:noProof/>
          <w:lang w:val="en-GB"/>
        </w:rPr>
        <w:t xml:space="preserve"> </w:t>
      </w:r>
      <w:r w:rsidR="00D8633C" w:rsidRPr="000123E4">
        <w:rPr>
          <w:noProof/>
          <w:lang w:val="en-GB"/>
        </w:rPr>
        <w:t>pre-</w:t>
      </w:r>
      <w:r w:rsidR="00D00934">
        <w:rPr>
          <w:noProof/>
          <w:lang w:val="en-GB"/>
        </w:rPr>
        <w:t>set</w:t>
      </w:r>
      <w:r w:rsidR="00E24082" w:rsidRPr="000123E4">
        <w:rPr>
          <w:noProof/>
          <w:lang w:val="en-GB"/>
        </w:rPr>
        <w:t xml:space="preserve"> parameters</w:t>
      </w:r>
      <w:r w:rsidR="00D8633C" w:rsidRPr="000123E4">
        <w:rPr>
          <w:noProof/>
          <w:lang w:val="en-GB"/>
        </w:rPr>
        <w:t>,</w:t>
      </w:r>
      <w:r w:rsidR="00E24082" w:rsidRPr="000123E4">
        <w:rPr>
          <w:noProof/>
          <w:lang w:val="en-GB"/>
        </w:rPr>
        <w:t xml:space="preserve"> </w:t>
      </w:r>
      <w:r w:rsidRPr="000123E4">
        <w:rPr>
          <w:noProof/>
          <w:lang w:val="en-GB"/>
        </w:rPr>
        <w:t>and financing terms</w:t>
      </w:r>
      <w:r w:rsidR="00E24082" w:rsidRPr="000123E4">
        <w:rPr>
          <w:noProof/>
          <w:lang w:val="en-GB"/>
        </w:rPr>
        <w:t xml:space="preserve"> </w:t>
      </w:r>
      <w:r w:rsidR="00D8633C" w:rsidRPr="000123E4">
        <w:rPr>
          <w:noProof/>
          <w:lang w:val="en-GB"/>
        </w:rPr>
        <w:t xml:space="preserve">were in line with those of an issuer of the EU’s size and favourable rating. </w:t>
      </w:r>
      <w:r w:rsidRPr="000123E4">
        <w:rPr>
          <w:noProof/>
          <w:lang w:val="en-GB"/>
        </w:rPr>
        <w:t xml:space="preserve">The sections below present some of the key </w:t>
      </w:r>
      <w:r w:rsidR="00D00934">
        <w:rPr>
          <w:noProof/>
          <w:lang w:val="en-GB"/>
        </w:rPr>
        <w:t>component</w:t>
      </w:r>
      <w:r w:rsidRPr="000123E4">
        <w:rPr>
          <w:noProof/>
          <w:lang w:val="en-GB"/>
        </w:rPr>
        <w:t xml:space="preserve">s of the Commission’s borrowing and lending operations in the first half of 2023. Further details on the execution of the Commission’s funding strategy during that period are </w:t>
      </w:r>
      <w:r w:rsidR="00D00934">
        <w:rPr>
          <w:noProof/>
          <w:lang w:val="en-GB"/>
        </w:rPr>
        <w:t>given</w:t>
      </w:r>
      <w:r w:rsidRPr="000123E4">
        <w:rPr>
          <w:noProof/>
          <w:lang w:val="en-GB"/>
        </w:rPr>
        <w:t xml:space="preserve"> in</w:t>
      </w:r>
      <w:r w:rsidR="00D00934">
        <w:rPr>
          <w:noProof/>
          <w:lang w:val="en-GB"/>
        </w:rPr>
        <w:t xml:space="preserve"> the</w:t>
      </w:r>
      <w:r w:rsidRPr="000123E4">
        <w:rPr>
          <w:noProof/>
          <w:lang w:val="en-GB"/>
        </w:rPr>
        <w:t xml:space="preserve"> Annex.</w:t>
      </w:r>
    </w:p>
    <w:p w14:paraId="0C7AA257" w14:textId="7E172D1A" w:rsidR="005D6F11" w:rsidRPr="000123E4" w:rsidRDefault="003926DF" w:rsidP="005D6F11">
      <w:pPr>
        <w:spacing w:line="240" w:lineRule="auto"/>
        <w:contextualSpacing/>
        <w:jc w:val="both"/>
        <w:rPr>
          <w:i/>
          <w:noProof/>
          <w:spacing w:val="-6"/>
          <w:lang w:val="en-GB"/>
        </w:rPr>
      </w:pPr>
      <w:r w:rsidRPr="000123E4">
        <w:rPr>
          <w:i/>
          <w:noProof/>
          <w:spacing w:val="-6"/>
          <w:lang w:val="en-GB"/>
        </w:rPr>
        <w:t>Execution of funding plan</w:t>
      </w:r>
      <w:r w:rsidR="005D6F11" w:rsidRPr="000123E4">
        <w:rPr>
          <w:i/>
          <w:noProof/>
          <w:spacing w:val="-6"/>
          <w:lang w:val="en-GB"/>
        </w:rPr>
        <w:t xml:space="preserve"> for the first half of 2023</w:t>
      </w:r>
    </w:p>
    <w:p w14:paraId="266023B2" w14:textId="1544C2F1" w:rsidR="005D6F11" w:rsidRPr="000123E4" w:rsidRDefault="005D6F11" w:rsidP="005D6F11">
      <w:pPr>
        <w:spacing w:line="240" w:lineRule="auto"/>
        <w:jc w:val="both"/>
        <w:rPr>
          <w:noProof/>
          <w:lang w:val="en-GB"/>
        </w:rPr>
      </w:pPr>
      <w:bookmarkStart w:id="6" w:name="_Hlk138161421"/>
      <w:r w:rsidRPr="000123E4">
        <w:rPr>
          <w:noProof/>
          <w:lang w:val="en-GB"/>
        </w:rPr>
        <w:t>In December 2022, the Commission announced its funding plan for January to end-June 2023. This was the first funding plan that</w:t>
      </w:r>
      <w:r w:rsidR="00D00934">
        <w:rPr>
          <w:noProof/>
          <w:lang w:val="en-GB"/>
        </w:rPr>
        <w:t xml:space="preserve"> covered</w:t>
      </w:r>
      <w:r w:rsidRPr="000123E4">
        <w:rPr>
          <w:noProof/>
          <w:lang w:val="en-GB"/>
        </w:rPr>
        <w:t xml:space="preserve"> not only NextGenerationEU, but also other borrowing and lending programmes</w:t>
      </w:r>
      <w:r w:rsidR="00D8633C" w:rsidRPr="000123E4">
        <w:rPr>
          <w:noProof/>
          <w:lang w:val="en-GB"/>
        </w:rPr>
        <w:t>, notabl</w:t>
      </w:r>
      <w:r w:rsidR="000830C3" w:rsidRPr="000123E4">
        <w:rPr>
          <w:noProof/>
          <w:lang w:val="en-GB"/>
        </w:rPr>
        <w:t>y</w:t>
      </w:r>
      <w:r w:rsidR="00D8633C" w:rsidRPr="000123E4">
        <w:rPr>
          <w:noProof/>
          <w:lang w:val="en-GB"/>
        </w:rPr>
        <w:t xml:space="preserve"> MFA+ for Ukraine</w:t>
      </w:r>
      <w:r w:rsidRPr="000123E4">
        <w:rPr>
          <w:noProof/>
          <w:lang w:val="en-GB"/>
        </w:rPr>
        <w:t xml:space="preserve">. </w:t>
      </w:r>
    </w:p>
    <w:p w14:paraId="755C7968" w14:textId="1C535E3A" w:rsidR="00B11EE8" w:rsidRPr="000123E4" w:rsidRDefault="005D6F11" w:rsidP="005D6F11">
      <w:pPr>
        <w:spacing w:line="240" w:lineRule="auto"/>
        <w:jc w:val="both"/>
        <w:rPr>
          <w:noProof/>
          <w:lang w:val="en-GB"/>
        </w:rPr>
      </w:pPr>
      <w:r w:rsidRPr="000123E4">
        <w:rPr>
          <w:noProof/>
          <w:lang w:val="en-GB"/>
        </w:rPr>
        <w:t>In the first half of 2023,</w:t>
      </w:r>
      <w:r w:rsidR="0007609D" w:rsidRPr="000123E4">
        <w:rPr>
          <w:noProof/>
          <w:lang w:val="en-GB"/>
        </w:rPr>
        <w:t xml:space="preserve"> the Commission announced long-term funding operations of up to EUR 80 billion and eventually</w:t>
      </w:r>
      <w:r w:rsidRPr="000123E4">
        <w:rPr>
          <w:noProof/>
          <w:lang w:val="en-GB"/>
        </w:rPr>
        <w:t xml:space="preserve"> issued EUR 78 billion in EU-Bonds, </w:t>
      </w:r>
      <w:r w:rsidR="001D446D" w:rsidRPr="000123E4">
        <w:rPr>
          <w:noProof/>
          <w:lang w:val="en-GB"/>
        </w:rPr>
        <w:t xml:space="preserve">with an average maturity of around 14 years. The Commission used </w:t>
      </w:r>
      <w:r w:rsidRPr="000123E4">
        <w:rPr>
          <w:noProof/>
          <w:lang w:val="en-GB"/>
        </w:rPr>
        <w:t>a mix of syndic</w:t>
      </w:r>
      <w:r w:rsidR="001D446D" w:rsidRPr="000123E4">
        <w:rPr>
          <w:noProof/>
          <w:lang w:val="en-GB"/>
        </w:rPr>
        <w:t>ations</w:t>
      </w:r>
      <w:r w:rsidRPr="000123E4">
        <w:rPr>
          <w:noProof/>
          <w:lang w:val="en-GB"/>
        </w:rPr>
        <w:t xml:space="preserve"> (60%) and auctions (40%).</w:t>
      </w:r>
      <w:r w:rsidR="009A7D29" w:rsidRPr="000123E4">
        <w:rPr>
          <w:noProof/>
          <w:lang w:val="en-GB"/>
        </w:rPr>
        <w:t xml:space="preserve"> </w:t>
      </w:r>
      <w:r w:rsidR="00B11EE8" w:rsidRPr="000123E4">
        <w:rPr>
          <w:noProof/>
        </w:rPr>
        <w:t xml:space="preserve">The </w:t>
      </w:r>
      <w:r w:rsidR="00973A8D" w:rsidRPr="000123E4">
        <w:rPr>
          <w:noProof/>
        </w:rPr>
        <w:t>1</w:t>
      </w:r>
      <w:r w:rsidR="00084648">
        <w:rPr>
          <w:noProof/>
        </w:rPr>
        <w:t>5</w:t>
      </w:r>
      <w:r w:rsidR="00973A8D" w:rsidRPr="000123E4">
        <w:rPr>
          <w:noProof/>
        </w:rPr>
        <w:t xml:space="preserve"> </w:t>
      </w:r>
      <w:r w:rsidR="00B11EE8" w:rsidRPr="000123E4">
        <w:rPr>
          <w:noProof/>
        </w:rPr>
        <w:t xml:space="preserve">transactions were spread over the full </w:t>
      </w:r>
      <w:r w:rsidR="00D00934">
        <w:rPr>
          <w:noProof/>
        </w:rPr>
        <w:t>six months</w:t>
      </w:r>
      <w:r w:rsidR="00B11EE8" w:rsidRPr="000123E4">
        <w:rPr>
          <w:noProof/>
        </w:rPr>
        <w:t xml:space="preserve"> to ensure a regular presence in the market. </w:t>
      </w:r>
      <w:r w:rsidR="000A0885">
        <w:rPr>
          <w:noProof/>
        </w:rPr>
        <w:t>In the first half of 2023 (H1 2023)</w:t>
      </w:r>
      <w:r w:rsidR="00B11EE8" w:rsidRPr="000123E4">
        <w:rPr>
          <w:noProof/>
        </w:rPr>
        <w:t xml:space="preserve">, a higher number of transactions was implemented than </w:t>
      </w:r>
      <w:r w:rsidR="000A0885">
        <w:rPr>
          <w:noProof/>
        </w:rPr>
        <w:t>in the</w:t>
      </w:r>
      <w:r w:rsidR="00B11EE8" w:rsidRPr="000123E4">
        <w:rPr>
          <w:noProof/>
        </w:rPr>
        <w:t xml:space="preserve"> </w:t>
      </w:r>
      <w:r w:rsidR="000A0885">
        <w:rPr>
          <w:noProof/>
        </w:rPr>
        <w:t>second half of 2022, reflecting</w:t>
      </w:r>
      <w:r w:rsidR="00B11EE8" w:rsidRPr="000123E4">
        <w:rPr>
          <w:noProof/>
        </w:rPr>
        <w:t xml:space="preserve"> </w:t>
      </w:r>
      <w:r w:rsidR="009A7D29" w:rsidRPr="000123E4">
        <w:rPr>
          <w:noProof/>
        </w:rPr>
        <w:t>the</w:t>
      </w:r>
      <w:r w:rsidR="000A0885">
        <w:rPr>
          <w:noProof/>
        </w:rPr>
        <w:t xml:space="preserve"> higher</w:t>
      </w:r>
      <w:r w:rsidR="009A7D29" w:rsidRPr="000123E4">
        <w:rPr>
          <w:noProof/>
        </w:rPr>
        <w:t xml:space="preserve"> </w:t>
      </w:r>
      <w:r w:rsidR="00B11EE8" w:rsidRPr="000123E4">
        <w:rPr>
          <w:noProof/>
        </w:rPr>
        <w:t>funding target</w:t>
      </w:r>
      <w:r w:rsidR="000A0885">
        <w:rPr>
          <w:noProof/>
        </w:rPr>
        <w:t xml:space="preserve"> in </w:t>
      </w:r>
      <w:r w:rsidR="000A0885" w:rsidRPr="000123E4">
        <w:rPr>
          <w:noProof/>
        </w:rPr>
        <w:t>H1 202</w:t>
      </w:r>
      <w:r w:rsidR="000A0885">
        <w:rPr>
          <w:noProof/>
        </w:rPr>
        <w:t>3</w:t>
      </w:r>
      <w:r w:rsidR="000A0885" w:rsidRPr="000123E4">
        <w:rPr>
          <w:noProof/>
        </w:rPr>
        <w:t xml:space="preserve"> </w:t>
      </w:r>
      <w:r w:rsidR="000A0885">
        <w:rPr>
          <w:noProof/>
        </w:rPr>
        <w:t>(</w:t>
      </w:r>
      <w:r w:rsidR="00B11EE8" w:rsidRPr="000123E4">
        <w:rPr>
          <w:noProof/>
        </w:rPr>
        <w:t>up to</w:t>
      </w:r>
      <w:r w:rsidR="000A0885">
        <w:rPr>
          <w:noProof/>
        </w:rPr>
        <w:t xml:space="preserve"> EUR</w:t>
      </w:r>
      <w:r w:rsidR="00B11EE8" w:rsidRPr="000123E4">
        <w:rPr>
          <w:noProof/>
        </w:rPr>
        <w:t xml:space="preserve"> 80 b</w:t>
      </w:r>
      <w:r w:rsidR="009A7D29" w:rsidRPr="000123E4">
        <w:rPr>
          <w:noProof/>
        </w:rPr>
        <w:t>illion</w:t>
      </w:r>
      <w:r w:rsidR="000A0885">
        <w:rPr>
          <w:noProof/>
        </w:rPr>
        <w:t xml:space="preserve"> in H1 2023 </w:t>
      </w:r>
      <w:r w:rsidR="00B11EE8" w:rsidRPr="000123E4">
        <w:rPr>
          <w:noProof/>
        </w:rPr>
        <w:t>vs</w:t>
      </w:r>
      <w:r w:rsidR="009A7D29" w:rsidRPr="000123E4">
        <w:rPr>
          <w:noProof/>
        </w:rPr>
        <w:t>.</w:t>
      </w:r>
      <w:r w:rsidR="00B11EE8" w:rsidRPr="000123E4">
        <w:rPr>
          <w:noProof/>
        </w:rPr>
        <w:t xml:space="preserve"> EUR 50 b</w:t>
      </w:r>
      <w:r w:rsidR="009A7D29" w:rsidRPr="000123E4">
        <w:rPr>
          <w:noProof/>
        </w:rPr>
        <w:t>illion</w:t>
      </w:r>
      <w:r w:rsidR="00B11EE8" w:rsidRPr="000123E4">
        <w:rPr>
          <w:noProof/>
        </w:rPr>
        <w:t xml:space="preserve"> in H</w:t>
      </w:r>
      <w:r w:rsidR="000A0885">
        <w:rPr>
          <w:noProof/>
        </w:rPr>
        <w:t>2</w:t>
      </w:r>
      <w:r w:rsidR="00B11EE8" w:rsidRPr="000123E4">
        <w:rPr>
          <w:noProof/>
        </w:rPr>
        <w:t xml:space="preserve"> 2022)</w:t>
      </w:r>
      <w:r w:rsidR="00D8633C" w:rsidRPr="000123E4">
        <w:rPr>
          <w:noProof/>
        </w:rPr>
        <w:t>. Transactions were also of</w:t>
      </w:r>
      <w:r w:rsidR="00B11EE8" w:rsidRPr="000123E4">
        <w:rPr>
          <w:noProof/>
        </w:rPr>
        <w:t xml:space="preserve"> lower average size </w:t>
      </w:r>
      <w:r w:rsidR="00D8633C" w:rsidRPr="000123E4">
        <w:rPr>
          <w:noProof/>
        </w:rPr>
        <w:t xml:space="preserve">given </w:t>
      </w:r>
      <w:r w:rsidR="00B11EE8" w:rsidRPr="000123E4">
        <w:rPr>
          <w:noProof/>
        </w:rPr>
        <w:t xml:space="preserve">the challenging and volatile market conditions </w:t>
      </w:r>
      <w:r w:rsidR="00D8633C" w:rsidRPr="000123E4">
        <w:rPr>
          <w:noProof/>
        </w:rPr>
        <w:t xml:space="preserve">prevailing in </w:t>
      </w:r>
      <w:r w:rsidR="00B11EE8" w:rsidRPr="000123E4">
        <w:rPr>
          <w:noProof/>
        </w:rPr>
        <w:t>the first half of 2023.</w:t>
      </w:r>
      <w:bookmarkStart w:id="7" w:name="_Hlk139454398"/>
    </w:p>
    <w:p w14:paraId="71BA18D7" w14:textId="7B6D5F9B" w:rsidR="005D6F11" w:rsidRPr="000123E4" w:rsidRDefault="005D6F11" w:rsidP="005D6F11">
      <w:pPr>
        <w:spacing w:line="240" w:lineRule="auto"/>
        <w:jc w:val="both"/>
        <w:rPr>
          <w:noProof/>
          <w:lang w:val="en-GB"/>
        </w:rPr>
      </w:pPr>
      <w:r w:rsidRPr="000123E4">
        <w:rPr>
          <w:noProof/>
          <w:lang w:val="en-GB"/>
        </w:rPr>
        <w:t>The transactions in the first six months of 2023 have brought the total outstanding amount of EU-Bonds to</w:t>
      </w:r>
      <w:r w:rsidR="00084648">
        <w:rPr>
          <w:noProof/>
          <w:lang w:val="en-GB"/>
        </w:rPr>
        <w:t xml:space="preserve"> just over</w:t>
      </w:r>
      <w:r w:rsidRPr="000123E4">
        <w:rPr>
          <w:noProof/>
          <w:lang w:val="en-GB"/>
        </w:rPr>
        <w:t xml:space="preserve"> EUR 400 billion of which over EUR 44 billion were raised by issuing </w:t>
      </w:r>
      <w:r w:rsidR="00D8633C" w:rsidRPr="000123E4">
        <w:rPr>
          <w:noProof/>
          <w:lang w:val="en-GB"/>
        </w:rPr>
        <w:t xml:space="preserve">NGEU </w:t>
      </w:r>
      <w:r w:rsidRPr="000123E4">
        <w:rPr>
          <w:noProof/>
          <w:lang w:val="en-GB"/>
        </w:rPr>
        <w:t xml:space="preserve">green bonds. In the first half of 2023, the Commission raised EUR 7.732 billion by tapping two existing green bonds. These two transactions increased the outstanding amount of these two bonds and thereby contributed to building a highly liquid NextGenerationEU green bond curve in what is set to be the biggest green bond programme worldwide. </w:t>
      </w:r>
    </w:p>
    <w:p w14:paraId="737E3432" w14:textId="5F0C8A69" w:rsidR="009A7D29" w:rsidRPr="000123E4" w:rsidRDefault="005D6F11" w:rsidP="005D6F11">
      <w:pPr>
        <w:spacing w:line="240" w:lineRule="auto"/>
        <w:jc w:val="both"/>
        <w:rPr>
          <w:noProof/>
          <w:lang w:val="en-GB"/>
        </w:rPr>
      </w:pPr>
      <w:r w:rsidRPr="000123E4">
        <w:rPr>
          <w:noProof/>
          <w:lang w:val="en-GB"/>
        </w:rPr>
        <w:t>In the first half of 2023, the Commission also issued 3-month and 6-month EU-Bills through bi-monthly auctions to meet short-term funding needs, with EUR 1</w:t>
      </w:r>
      <w:r w:rsidR="00084648">
        <w:rPr>
          <w:noProof/>
          <w:lang w:val="en-GB"/>
        </w:rPr>
        <w:t>8</w:t>
      </w:r>
      <w:r w:rsidRPr="000123E4">
        <w:rPr>
          <w:noProof/>
          <w:lang w:val="en-GB"/>
        </w:rPr>
        <w:t>.</w:t>
      </w:r>
      <w:r w:rsidR="00084648">
        <w:rPr>
          <w:noProof/>
          <w:lang w:val="en-GB"/>
        </w:rPr>
        <w:t>7</w:t>
      </w:r>
      <w:r w:rsidRPr="000123E4">
        <w:rPr>
          <w:noProof/>
          <w:lang w:val="en-GB"/>
        </w:rPr>
        <w:t xml:space="preserve"> billion in EU-Bills outstanding at the end of June 2023.</w:t>
      </w:r>
      <w:r w:rsidR="009A7D29" w:rsidRPr="000123E4">
        <w:rPr>
          <w:noProof/>
          <w:lang w:val="en-GB"/>
        </w:rPr>
        <w:t xml:space="preserve"> </w:t>
      </w:r>
      <w:r w:rsidR="006F3037" w:rsidRPr="000123E4">
        <w:rPr>
          <w:noProof/>
          <w:lang w:val="en-GB"/>
        </w:rPr>
        <w:t>Twelve</w:t>
      </w:r>
      <w:r w:rsidR="009A7D29" w:rsidRPr="000123E4">
        <w:rPr>
          <w:noProof/>
          <w:lang w:val="en-GB"/>
        </w:rPr>
        <w:t xml:space="preserve"> auctions</w:t>
      </w:r>
      <w:r w:rsidR="006F3037" w:rsidRPr="000123E4">
        <w:rPr>
          <w:noProof/>
          <w:lang w:val="en-GB"/>
        </w:rPr>
        <w:t xml:space="preserve"> were used to issue 24 EU-Bills, with an av</w:t>
      </w:r>
      <w:r w:rsidR="009A7D29" w:rsidRPr="000123E4">
        <w:rPr>
          <w:noProof/>
          <w:lang w:val="en-GB"/>
        </w:rPr>
        <w:t>erage size of</w:t>
      </w:r>
      <w:r w:rsidR="006F3037" w:rsidRPr="000123E4">
        <w:rPr>
          <w:noProof/>
          <w:lang w:val="en-GB"/>
        </w:rPr>
        <w:t xml:space="preserve"> around EUR 1 billion each. </w:t>
      </w:r>
      <w:bookmarkEnd w:id="7"/>
    </w:p>
    <w:bookmarkEnd w:id="6"/>
    <w:p w14:paraId="1BBD1ABF" w14:textId="7719E7FF" w:rsidR="003926DF" w:rsidRPr="000123E4" w:rsidRDefault="003926DF" w:rsidP="00DC2305">
      <w:pPr>
        <w:spacing w:line="240" w:lineRule="auto"/>
        <w:contextualSpacing/>
        <w:jc w:val="both"/>
        <w:rPr>
          <w:i/>
          <w:noProof/>
          <w:spacing w:val="-6"/>
          <w:lang w:val="en-GB"/>
        </w:rPr>
      </w:pPr>
      <w:r w:rsidRPr="000123E4">
        <w:rPr>
          <w:i/>
          <w:noProof/>
          <w:spacing w:val="-6"/>
          <w:lang w:val="en-GB"/>
        </w:rPr>
        <w:t>Disbursements</w:t>
      </w:r>
    </w:p>
    <w:p w14:paraId="69EA4DF0" w14:textId="10DAF911" w:rsidR="00DC2305" w:rsidRPr="000123E4" w:rsidRDefault="00DC2305" w:rsidP="00DC2305">
      <w:pPr>
        <w:spacing w:line="240" w:lineRule="auto"/>
        <w:jc w:val="both"/>
        <w:rPr>
          <w:noProof/>
          <w:lang w:val="en-GB"/>
        </w:rPr>
      </w:pPr>
      <w:r w:rsidRPr="000123E4">
        <w:rPr>
          <w:noProof/>
          <w:lang w:val="en-GB"/>
        </w:rPr>
        <w:t>On the back of these transactions, the EU has been able to continue the smooth funding of Member States’ recovery</w:t>
      </w:r>
      <w:r w:rsidR="00E02208">
        <w:rPr>
          <w:noProof/>
          <w:lang w:val="en-GB"/>
        </w:rPr>
        <w:t xml:space="preserve"> and resilience</w:t>
      </w:r>
      <w:r w:rsidRPr="000123E4">
        <w:rPr>
          <w:noProof/>
          <w:lang w:val="en-GB"/>
        </w:rPr>
        <w:t xml:space="preserve"> plans through timely disbursement of proceeds. The Commission made all disbursements to Member States under the Recovery and Resilience Facility as soon as they fell due, on average within 6 working days </w:t>
      </w:r>
      <w:r w:rsidR="00D8633C" w:rsidRPr="000123E4">
        <w:rPr>
          <w:noProof/>
          <w:lang w:val="en-GB"/>
        </w:rPr>
        <w:t xml:space="preserve">of </w:t>
      </w:r>
      <w:r w:rsidRPr="000123E4">
        <w:rPr>
          <w:noProof/>
          <w:lang w:val="en-GB"/>
        </w:rPr>
        <w:t xml:space="preserve">authorisation of the disbursement. </w:t>
      </w:r>
      <w:r w:rsidR="00711B9E">
        <w:rPr>
          <w:noProof/>
          <w:lang w:val="en-GB"/>
        </w:rPr>
        <w:t>There were n</w:t>
      </w:r>
      <w:r w:rsidRPr="000123E4">
        <w:rPr>
          <w:noProof/>
          <w:lang w:val="en-GB"/>
        </w:rPr>
        <w:t>o delays.</w:t>
      </w:r>
      <w:r w:rsidR="00171240" w:rsidRPr="000123E4">
        <w:rPr>
          <w:noProof/>
          <w:lang w:val="en-GB"/>
        </w:rPr>
        <w:t xml:space="preserve"> </w:t>
      </w:r>
    </w:p>
    <w:p w14:paraId="5B16C6A9" w14:textId="7FDC52CE" w:rsidR="00030B16" w:rsidRPr="000123E4" w:rsidRDefault="00DC2305" w:rsidP="00DC2305">
      <w:pPr>
        <w:spacing w:line="240" w:lineRule="auto"/>
        <w:jc w:val="both"/>
        <w:rPr>
          <w:noProof/>
          <w:lang w:val="en-GB"/>
        </w:rPr>
      </w:pPr>
      <w:bookmarkStart w:id="8" w:name="_Hlk138163778"/>
      <w:r w:rsidRPr="000123E4">
        <w:rPr>
          <w:noProof/>
          <w:lang w:val="en-GB"/>
        </w:rPr>
        <w:t>In the first half of 2023, the Commission disbursed EUR 14.7 billion to Member States under the R</w:t>
      </w:r>
      <w:r w:rsidR="00030B16" w:rsidRPr="000123E4">
        <w:rPr>
          <w:noProof/>
          <w:lang w:val="en-GB"/>
        </w:rPr>
        <w:t>RF</w:t>
      </w:r>
      <w:r w:rsidRPr="000123E4">
        <w:rPr>
          <w:noProof/>
          <w:lang w:val="en-GB"/>
        </w:rPr>
        <w:t xml:space="preserve">. Of this, EUR 12.7 billion was in the form of </w:t>
      </w:r>
      <w:r w:rsidR="00CD50EA" w:rsidRPr="00CD50EA">
        <w:rPr>
          <w:noProof/>
          <w:lang w:val="en-GB"/>
        </w:rPr>
        <w:t>non-reimbursable support</w:t>
      </w:r>
      <w:r w:rsidRPr="000123E4">
        <w:rPr>
          <w:noProof/>
          <w:lang w:val="en-GB"/>
        </w:rPr>
        <w:t xml:space="preserve"> and EUR 2.0 billion in the form of loans.</w:t>
      </w:r>
      <w:r w:rsidR="00C809F9" w:rsidRPr="000123E4">
        <w:rPr>
          <w:noProof/>
          <w:lang w:val="en-GB"/>
        </w:rPr>
        <w:t xml:space="preserve"> </w:t>
      </w:r>
      <w:r w:rsidR="00030B16" w:rsidRPr="000123E4">
        <w:rPr>
          <w:noProof/>
          <w:lang w:val="en-GB"/>
        </w:rPr>
        <w:t>The Commission also transferred</w:t>
      </w:r>
      <w:r w:rsidR="00D8633C" w:rsidRPr="000123E4">
        <w:rPr>
          <w:noProof/>
          <w:lang w:val="en-GB"/>
        </w:rPr>
        <w:t>,</w:t>
      </w:r>
      <w:r w:rsidR="00030B16" w:rsidRPr="000123E4">
        <w:rPr>
          <w:noProof/>
          <w:lang w:val="en-GB"/>
        </w:rPr>
        <w:t xml:space="preserve"> in the first half of 2023</w:t>
      </w:r>
      <w:r w:rsidR="00D8633C" w:rsidRPr="000123E4">
        <w:rPr>
          <w:noProof/>
          <w:lang w:val="en-GB"/>
        </w:rPr>
        <w:t>,</w:t>
      </w:r>
      <w:r w:rsidR="00030B16" w:rsidRPr="000123E4">
        <w:rPr>
          <w:noProof/>
          <w:lang w:val="en-GB"/>
        </w:rPr>
        <w:t xml:space="preserve"> EUR </w:t>
      </w:r>
      <w:r w:rsidR="00A1683B" w:rsidRPr="00A1683B">
        <w:rPr>
          <w:noProof/>
          <w:lang w:val="en-GB"/>
        </w:rPr>
        <w:t>6</w:t>
      </w:r>
      <w:r w:rsidR="00030B16" w:rsidRPr="00A1683B">
        <w:rPr>
          <w:noProof/>
          <w:lang w:val="en-GB"/>
        </w:rPr>
        <w:t>.9</w:t>
      </w:r>
      <w:r w:rsidR="00030B16" w:rsidRPr="000123E4">
        <w:rPr>
          <w:noProof/>
          <w:lang w:val="en-GB"/>
        </w:rPr>
        <w:t xml:space="preserve"> billion to the EU budget to contribute to programmes such as Horizon Europe, InvestEU Fund, ReactEU, the </w:t>
      </w:r>
      <w:r w:rsidR="00711B9E">
        <w:rPr>
          <w:noProof/>
          <w:lang w:val="en-GB"/>
        </w:rPr>
        <w:t>EU</w:t>
      </w:r>
      <w:r w:rsidR="00030B16" w:rsidRPr="000123E4">
        <w:rPr>
          <w:noProof/>
          <w:lang w:val="en-GB"/>
        </w:rPr>
        <w:t xml:space="preserve"> Civil Protection Mechanism (RescEU), the European Agricultural Fund for Rural Development (EAFRD), and the Just Transition Fund.</w:t>
      </w:r>
    </w:p>
    <w:p w14:paraId="77BA0D3A" w14:textId="3D528E13" w:rsidR="00030B16" w:rsidRPr="000123E4" w:rsidRDefault="00030B16" w:rsidP="00D8633C">
      <w:pPr>
        <w:spacing w:line="240" w:lineRule="auto"/>
        <w:jc w:val="both"/>
        <w:rPr>
          <w:noProof/>
          <w:lang w:val="en-GB"/>
        </w:rPr>
      </w:pPr>
      <w:r w:rsidRPr="000123E4">
        <w:rPr>
          <w:noProof/>
          <w:lang w:val="en-GB"/>
        </w:rPr>
        <w:t>Overall, since the start of NextGenerationEU in the summer of 2021, the Commission has made EUR 18</w:t>
      </w:r>
      <w:r w:rsidR="00A1683B">
        <w:rPr>
          <w:noProof/>
          <w:lang w:val="en-GB"/>
        </w:rPr>
        <w:t>4</w:t>
      </w:r>
      <w:r w:rsidRPr="000123E4">
        <w:rPr>
          <w:noProof/>
          <w:lang w:val="en-GB"/>
        </w:rPr>
        <w:t xml:space="preserve">.2 billion available: EUR 153.4 billion </w:t>
      </w:r>
      <w:r w:rsidR="00CD50EA" w:rsidRPr="00CD50EA">
        <w:rPr>
          <w:noProof/>
          <w:lang w:val="en-GB"/>
        </w:rPr>
        <w:t>non-reimbursable support</w:t>
      </w:r>
      <w:r w:rsidR="00CD50EA">
        <w:rPr>
          <w:noProof/>
          <w:lang w:val="en-GB"/>
        </w:rPr>
        <w:t xml:space="preserve"> and </w:t>
      </w:r>
      <w:r w:rsidRPr="000123E4">
        <w:rPr>
          <w:noProof/>
          <w:lang w:val="en-GB"/>
        </w:rPr>
        <w:t xml:space="preserve">loans for Member States (EUR 106.3 billion in </w:t>
      </w:r>
      <w:r w:rsidR="00CD50EA" w:rsidRPr="00CD50EA">
        <w:rPr>
          <w:noProof/>
          <w:lang w:val="en-GB"/>
        </w:rPr>
        <w:t>non-reimbursable support</w:t>
      </w:r>
      <w:r w:rsidRPr="000123E4">
        <w:rPr>
          <w:noProof/>
          <w:lang w:val="en-GB"/>
        </w:rPr>
        <w:t xml:space="preserve"> and EUR 47.1 billion in loans)</w:t>
      </w:r>
      <w:r w:rsidR="000830C3" w:rsidRPr="000123E4">
        <w:rPr>
          <w:noProof/>
          <w:lang w:val="en-GB"/>
        </w:rPr>
        <w:t xml:space="preserve"> under the Recovery and Resilience Facility</w:t>
      </w:r>
      <w:r w:rsidRPr="000123E4">
        <w:rPr>
          <w:noProof/>
          <w:lang w:val="en-GB"/>
        </w:rPr>
        <w:t xml:space="preserve"> and EUR </w:t>
      </w:r>
      <w:r w:rsidR="00A1683B" w:rsidRPr="00A1683B">
        <w:rPr>
          <w:noProof/>
          <w:lang w:val="en-GB"/>
        </w:rPr>
        <w:t>30</w:t>
      </w:r>
      <w:r w:rsidRPr="00A1683B">
        <w:rPr>
          <w:noProof/>
          <w:lang w:val="en-GB"/>
        </w:rPr>
        <w:t>.</w:t>
      </w:r>
      <w:r w:rsidR="00A1683B" w:rsidRPr="00A1683B">
        <w:rPr>
          <w:noProof/>
          <w:lang w:val="en-GB"/>
        </w:rPr>
        <w:t>9</w:t>
      </w:r>
      <w:r w:rsidRPr="000123E4">
        <w:rPr>
          <w:noProof/>
          <w:lang w:val="en-GB"/>
        </w:rPr>
        <w:t xml:space="preserve"> billion </w:t>
      </w:r>
      <w:r w:rsidR="000830C3" w:rsidRPr="000123E4">
        <w:rPr>
          <w:noProof/>
          <w:lang w:val="en-GB"/>
        </w:rPr>
        <w:t>for</w:t>
      </w:r>
      <w:r w:rsidRPr="000123E4">
        <w:rPr>
          <w:noProof/>
          <w:lang w:val="en-GB"/>
        </w:rPr>
        <w:t xml:space="preserve"> </w:t>
      </w:r>
      <w:r w:rsidR="000830C3" w:rsidRPr="000123E4">
        <w:rPr>
          <w:noProof/>
          <w:lang w:val="en-GB"/>
        </w:rPr>
        <w:t xml:space="preserve">the other </w:t>
      </w:r>
      <w:r w:rsidRPr="000123E4">
        <w:rPr>
          <w:noProof/>
          <w:lang w:val="en-GB"/>
        </w:rPr>
        <w:t>NextGenerationEU-funded spending programmes.</w:t>
      </w:r>
    </w:p>
    <w:p w14:paraId="45C031D0" w14:textId="78C50519" w:rsidR="004C5BE8" w:rsidRPr="000123E4" w:rsidRDefault="00DC2305" w:rsidP="004C5BE8">
      <w:pPr>
        <w:spacing w:line="240" w:lineRule="auto"/>
        <w:jc w:val="both"/>
        <w:rPr>
          <w:noProof/>
        </w:rPr>
      </w:pPr>
      <w:r w:rsidRPr="000123E4">
        <w:rPr>
          <w:noProof/>
        </w:rPr>
        <w:t xml:space="preserve">In addition to these disbursements for NextGenerationEU, </w:t>
      </w:r>
      <w:r w:rsidR="00711B9E" w:rsidRPr="00855953">
        <w:rPr>
          <w:noProof/>
        </w:rPr>
        <w:t>in the first half of 2023</w:t>
      </w:r>
      <w:r w:rsidR="00711B9E">
        <w:rPr>
          <w:noProof/>
        </w:rPr>
        <w:t xml:space="preserve">, </w:t>
      </w:r>
      <w:r w:rsidRPr="00855953">
        <w:rPr>
          <w:noProof/>
        </w:rPr>
        <w:t>the Commission disbursed EUR 9 billion to Ukraine under the MFA+ programme</w:t>
      </w:r>
      <w:r w:rsidR="00030B16" w:rsidRPr="00855953">
        <w:rPr>
          <w:noProof/>
        </w:rPr>
        <w:t>,</w:t>
      </w:r>
      <w:r w:rsidRPr="00855953">
        <w:rPr>
          <w:noProof/>
        </w:rPr>
        <w:t xml:space="preserve"> fund</w:t>
      </w:r>
      <w:r w:rsidR="00030B16" w:rsidRPr="00855953">
        <w:rPr>
          <w:noProof/>
        </w:rPr>
        <w:t>ed</w:t>
      </w:r>
      <w:r w:rsidRPr="00855953">
        <w:rPr>
          <w:noProof/>
        </w:rPr>
        <w:t xml:space="preserve"> by bond issuance under the </w:t>
      </w:r>
      <w:r w:rsidR="00030B16" w:rsidRPr="00855953">
        <w:rPr>
          <w:noProof/>
        </w:rPr>
        <w:t>unified funding approach</w:t>
      </w:r>
      <w:r w:rsidRPr="00855953">
        <w:rPr>
          <w:noProof/>
        </w:rPr>
        <w:t xml:space="preserve">. </w:t>
      </w:r>
      <w:r w:rsidR="00171240" w:rsidRPr="00855953">
        <w:rPr>
          <w:noProof/>
        </w:rPr>
        <w:t>Overall in the first half of 2023 the Commission disbursed</w:t>
      </w:r>
      <w:r w:rsidRPr="00855953">
        <w:rPr>
          <w:noProof/>
        </w:rPr>
        <w:t xml:space="preserve"> a total of around EUR 30</w:t>
      </w:r>
      <w:r w:rsidR="00030B16" w:rsidRPr="00855953">
        <w:rPr>
          <w:noProof/>
        </w:rPr>
        <w:t xml:space="preserve"> </w:t>
      </w:r>
      <w:r w:rsidRPr="00855953">
        <w:rPr>
          <w:noProof/>
        </w:rPr>
        <w:t>b</w:t>
      </w:r>
      <w:r w:rsidR="00030B16" w:rsidRPr="00855953">
        <w:rPr>
          <w:noProof/>
        </w:rPr>
        <w:t>illio</w:t>
      </w:r>
      <w:r w:rsidRPr="00855953">
        <w:rPr>
          <w:noProof/>
        </w:rPr>
        <w:t>n</w:t>
      </w:r>
      <w:r w:rsidR="007F10A6" w:rsidRPr="00855953">
        <w:rPr>
          <w:noProof/>
        </w:rPr>
        <w:t xml:space="preserve"> for NGEU and Ukraine MFA+ combined. </w:t>
      </w:r>
      <w:bookmarkStart w:id="9" w:name="_Hlk138838334"/>
      <w:r w:rsidR="004C5BE8" w:rsidRPr="00855953">
        <w:rPr>
          <w:noProof/>
        </w:rPr>
        <w:t xml:space="preserve">The </w:t>
      </w:r>
      <w:r w:rsidR="00361B1E" w:rsidRPr="00855953">
        <w:rPr>
          <w:noProof/>
        </w:rPr>
        <w:t xml:space="preserve">pace of NGEU disbursements has been influenced by </w:t>
      </w:r>
      <w:r w:rsidR="004C5BE8" w:rsidRPr="00855953">
        <w:rPr>
          <w:noProof/>
        </w:rPr>
        <w:t xml:space="preserve">the ongoing revision of recovery and resilience plans by the Member States. </w:t>
      </w:r>
      <w:bookmarkEnd w:id="9"/>
      <w:r w:rsidR="004C5BE8" w:rsidRPr="00855953">
        <w:rPr>
          <w:noProof/>
        </w:rPr>
        <w:t xml:space="preserve">According to the legal framework, Member States have until August 2023 to request additional loans and the Commission must commit the remaining 30% of the </w:t>
      </w:r>
      <w:r w:rsidR="00CD50EA" w:rsidRPr="00CD50EA">
        <w:rPr>
          <w:noProof/>
        </w:rPr>
        <w:t>non-reimbursable support</w:t>
      </w:r>
      <w:r w:rsidR="004C5BE8" w:rsidRPr="00855953">
        <w:rPr>
          <w:noProof/>
        </w:rPr>
        <w:t xml:space="preserve"> and additional loans </w:t>
      </w:r>
      <w:r w:rsidR="00711B9E">
        <w:rPr>
          <w:noProof/>
        </w:rPr>
        <w:t>by</w:t>
      </w:r>
      <w:r w:rsidR="004C5BE8" w:rsidRPr="00855953">
        <w:rPr>
          <w:noProof/>
        </w:rPr>
        <w:t xml:space="preserve"> the end of 2023. At the same time, the </w:t>
      </w:r>
      <w:r w:rsidR="00EF73A3" w:rsidRPr="00855953">
        <w:rPr>
          <w:noProof/>
        </w:rPr>
        <w:t>new REPowerEU priorities, with the additional resources, need to be reflected as well.</w:t>
      </w:r>
      <w:r w:rsidR="004C5BE8" w:rsidRPr="00855953">
        <w:rPr>
          <w:noProof/>
        </w:rPr>
        <w:t xml:space="preserve"> All Member States are therefore focusing their efforts to revise their plans to meet these legal deadlines</w:t>
      </w:r>
      <w:r w:rsidR="00EF73A3" w:rsidRPr="00855953">
        <w:rPr>
          <w:noProof/>
        </w:rPr>
        <w:t xml:space="preserve"> and new priorities</w:t>
      </w:r>
      <w:r w:rsidR="004C5BE8" w:rsidRPr="00855953">
        <w:rPr>
          <w:noProof/>
        </w:rPr>
        <w:t>.</w:t>
      </w:r>
    </w:p>
    <w:bookmarkEnd w:id="8"/>
    <w:p w14:paraId="450D01E3" w14:textId="77777777" w:rsidR="00DC2305" w:rsidRPr="000123E4" w:rsidRDefault="00DC2305" w:rsidP="00DC2305">
      <w:pPr>
        <w:spacing w:line="240" w:lineRule="auto"/>
        <w:contextualSpacing/>
        <w:jc w:val="both"/>
        <w:rPr>
          <w:noProof/>
          <w:spacing w:val="-6"/>
          <w:lang w:val="en-GB"/>
        </w:rPr>
      </w:pPr>
    </w:p>
    <w:p w14:paraId="53F3E1A0" w14:textId="37D78F80" w:rsidR="003926DF" w:rsidRPr="000123E4" w:rsidRDefault="00352DCC" w:rsidP="00DC2305">
      <w:pPr>
        <w:spacing w:line="240" w:lineRule="auto"/>
        <w:contextualSpacing/>
        <w:jc w:val="both"/>
        <w:rPr>
          <w:i/>
          <w:noProof/>
          <w:spacing w:val="-6"/>
          <w:lang w:val="en-GB"/>
        </w:rPr>
      </w:pPr>
      <w:r w:rsidRPr="000123E4">
        <w:rPr>
          <w:i/>
          <w:noProof/>
          <w:spacing w:val="-6"/>
          <w:lang w:val="en-GB"/>
        </w:rPr>
        <w:t>Investor demand and</w:t>
      </w:r>
      <w:r w:rsidR="001D0900" w:rsidRPr="000123E4">
        <w:rPr>
          <w:i/>
          <w:noProof/>
          <w:spacing w:val="-6"/>
          <w:lang w:val="en-GB"/>
        </w:rPr>
        <w:t xml:space="preserve"> secondary market liquidity</w:t>
      </w:r>
    </w:p>
    <w:p w14:paraId="15738A70" w14:textId="388E892D" w:rsidR="00216746" w:rsidRPr="000123E4" w:rsidRDefault="00216746" w:rsidP="00216746">
      <w:pPr>
        <w:spacing w:line="240" w:lineRule="auto"/>
        <w:jc w:val="both"/>
        <w:rPr>
          <w:noProof/>
          <w:lang w:val="en-GB"/>
        </w:rPr>
      </w:pPr>
      <w:bookmarkStart w:id="10" w:name="_Hlk139454867"/>
      <w:r w:rsidRPr="000123E4">
        <w:rPr>
          <w:noProof/>
          <w:lang w:val="en-GB"/>
        </w:rPr>
        <w:t xml:space="preserve">Despite the volatility in rates observed over the period, transactions continued to enjoy strong market support, with syndicated transactions in the first half of 2023 being between 6 and 15 times oversubscribed. The EU benefits from a well-balanced and diversified investor base with </w:t>
      </w:r>
      <w:r w:rsidR="00A70679">
        <w:rPr>
          <w:noProof/>
          <w:lang w:val="en-GB"/>
        </w:rPr>
        <w:t xml:space="preserve">a </w:t>
      </w:r>
      <w:r w:rsidRPr="000123E4">
        <w:rPr>
          <w:noProof/>
          <w:lang w:val="en-GB"/>
        </w:rPr>
        <w:t>good</w:t>
      </w:r>
      <w:r w:rsidR="00A70679">
        <w:rPr>
          <w:noProof/>
          <w:lang w:val="en-GB"/>
        </w:rPr>
        <w:t xml:space="preserve"> </w:t>
      </w:r>
      <w:r w:rsidRPr="000123E4">
        <w:rPr>
          <w:noProof/>
          <w:lang w:val="en-GB"/>
        </w:rPr>
        <w:t>representation of different types of investors from all across the world</w:t>
      </w:r>
      <w:r w:rsidRPr="000123E4">
        <w:rPr>
          <w:noProof/>
          <w:vertAlign w:val="superscript"/>
          <w:lang w:val="en-GB"/>
        </w:rPr>
        <w:footnoteReference w:id="3"/>
      </w:r>
      <w:r w:rsidRPr="000123E4">
        <w:rPr>
          <w:noProof/>
          <w:lang w:val="en-GB"/>
        </w:rPr>
        <w:t>.</w:t>
      </w:r>
    </w:p>
    <w:bookmarkEnd w:id="10"/>
    <w:p w14:paraId="0C929626" w14:textId="284C13FA" w:rsidR="00216746" w:rsidRPr="000123E4" w:rsidRDefault="00216746" w:rsidP="00216746">
      <w:pPr>
        <w:spacing w:line="240" w:lineRule="auto"/>
        <w:jc w:val="both"/>
        <w:rPr>
          <w:noProof/>
        </w:rPr>
      </w:pPr>
      <w:r w:rsidRPr="000123E4">
        <w:rPr>
          <w:noProof/>
        </w:rPr>
        <w:t>This strong support is reflected in consistently low new issue premiums (NIP</w:t>
      </w:r>
      <w:r w:rsidR="00A70679">
        <w:rPr>
          <w:noProof/>
        </w:rPr>
        <w:t>s</w:t>
      </w:r>
      <w:r w:rsidRPr="000123E4">
        <w:rPr>
          <w:noProof/>
        </w:rPr>
        <w:t>)</w:t>
      </w:r>
      <w:r w:rsidR="002835C6" w:rsidRPr="000123E4">
        <w:rPr>
          <w:noProof/>
          <w:vertAlign w:val="superscript"/>
          <w:lang w:val="en-GB"/>
        </w:rPr>
        <w:footnoteReference w:id="4"/>
      </w:r>
      <w:r w:rsidRPr="000123E4">
        <w:rPr>
          <w:noProof/>
        </w:rPr>
        <w:t xml:space="preserve"> demanded by investors as a concession when the EU issues bonds through syndication. NIPs </w:t>
      </w:r>
      <w:r w:rsidR="00A70679">
        <w:rPr>
          <w:noProof/>
        </w:rPr>
        <w:t xml:space="preserve">were </w:t>
      </w:r>
      <w:r w:rsidRPr="000123E4">
        <w:rPr>
          <w:noProof/>
        </w:rPr>
        <w:t xml:space="preserve">somewhat </w:t>
      </w:r>
      <w:r w:rsidR="00A70679">
        <w:rPr>
          <w:noProof/>
        </w:rPr>
        <w:t xml:space="preserve">lower than in </w:t>
      </w:r>
      <w:r w:rsidRPr="000123E4">
        <w:rPr>
          <w:noProof/>
        </w:rPr>
        <w:t xml:space="preserve">the second half of 2022. For the funding operations in the first half of this year, the average new issue premium was slightly below 2 basis points, with the lowest </w:t>
      </w:r>
      <w:r w:rsidR="008B5224">
        <w:rPr>
          <w:noProof/>
        </w:rPr>
        <w:t>at</w:t>
      </w:r>
      <w:r w:rsidRPr="000123E4">
        <w:rPr>
          <w:noProof/>
        </w:rPr>
        <w:t xml:space="preserve"> 1 basis point and the highest </w:t>
      </w:r>
      <w:r w:rsidR="00D8633C" w:rsidRPr="000123E4">
        <w:rPr>
          <w:noProof/>
        </w:rPr>
        <w:t xml:space="preserve">at </w:t>
      </w:r>
      <w:r w:rsidRPr="000123E4">
        <w:rPr>
          <w:noProof/>
        </w:rPr>
        <w:t>3 basis points. The modest level of the price concession at issuance reflects the fact that the EU remained a regular, predictable issuer throughout this period. This, coupled with the continued strong demand from investors, is a sign of trust from the markets, and provides confidence that the EU can continue to place its bonds successfully.</w:t>
      </w:r>
    </w:p>
    <w:p w14:paraId="035B1447" w14:textId="4B5678D3" w:rsidR="00216746" w:rsidRDefault="00216746" w:rsidP="00216746">
      <w:pPr>
        <w:spacing w:line="240" w:lineRule="auto"/>
        <w:jc w:val="both"/>
        <w:rPr>
          <w:b/>
          <w:bCs/>
          <w:noProof/>
        </w:rPr>
      </w:pPr>
      <w:r w:rsidRPr="000123E4">
        <w:rPr>
          <w:b/>
          <w:bCs/>
          <w:noProof/>
        </w:rPr>
        <w:t>Quarterly secondary market turnover of EU and European government bonds (% of outstanding volume)</w:t>
      </w:r>
    </w:p>
    <w:p w14:paraId="117B5CDA" w14:textId="506FEE90" w:rsidR="00D57DD8" w:rsidRDefault="00D57DD8" w:rsidP="00216746">
      <w:pPr>
        <w:spacing w:line="240" w:lineRule="auto"/>
        <w:jc w:val="both"/>
        <w:rPr>
          <w:noProof/>
        </w:rPr>
      </w:pPr>
      <w:r w:rsidRPr="00102823">
        <w:rPr>
          <w:noProof/>
          <w:lang w:val="en-GB" w:eastAsia="en-GB"/>
        </w:rPr>
        <w:drawing>
          <wp:inline distT="0" distB="0" distL="0" distR="0" wp14:anchorId="711FEAE4" wp14:editId="32279D0D">
            <wp:extent cx="5753100" cy="2819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6EF4BE" w14:textId="77777777" w:rsidR="009E0388" w:rsidRPr="0072000B" w:rsidRDefault="009E0388" w:rsidP="009E0388">
      <w:pPr>
        <w:spacing w:line="240" w:lineRule="auto"/>
        <w:contextualSpacing/>
        <w:jc w:val="both"/>
        <w:rPr>
          <w:noProof/>
          <w:sz w:val="20"/>
          <w:szCs w:val="20"/>
        </w:rPr>
      </w:pPr>
      <w:r w:rsidRPr="0072000B">
        <w:rPr>
          <w:noProof/>
          <w:sz w:val="20"/>
          <w:szCs w:val="20"/>
        </w:rPr>
        <w:t xml:space="preserve">Source: European Commission based on Bloomberg data. </w:t>
      </w:r>
    </w:p>
    <w:p w14:paraId="2BAFFCC9" w14:textId="057C9434" w:rsidR="009E0388" w:rsidRPr="0072000B" w:rsidRDefault="009E0388" w:rsidP="009E0388">
      <w:pPr>
        <w:spacing w:line="240" w:lineRule="auto"/>
        <w:contextualSpacing/>
        <w:jc w:val="both"/>
        <w:rPr>
          <w:noProof/>
          <w:sz w:val="20"/>
          <w:szCs w:val="20"/>
        </w:rPr>
      </w:pPr>
      <w:r w:rsidRPr="0072000B">
        <w:rPr>
          <w:noProof/>
          <w:sz w:val="20"/>
          <w:szCs w:val="20"/>
        </w:rPr>
        <w:t>Note: European government bond (EGB) market here comprises euro-area sovereigns, the European Financial Stability Fund</w:t>
      </w:r>
      <w:r w:rsidR="00D57DD8" w:rsidRPr="0072000B">
        <w:rPr>
          <w:noProof/>
          <w:sz w:val="20"/>
          <w:szCs w:val="20"/>
        </w:rPr>
        <w:t xml:space="preserve"> (EFSF)</w:t>
      </w:r>
      <w:r w:rsidRPr="0072000B">
        <w:rPr>
          <w:noProof/>
          <w:sz w:val="20"/>
          <w:szCs w:val="20"/>
        </w:rPr>
        <w:t xml:space="preserve"> and the European Stability Mechanism</w:t>
      </w:r>
      <w:r w:rsidR="00D57DD8" w:rsidRPr="0072000B">
        <w:rPr>
          <w:noProof/>
          <w:sz w:val="20"/>
          <w:szCs w:val="20"/>
        </w:rPr>
        <w:t xml:space="preserve"> (ESM)</w:t>
      </w:r>
      <w:r w:rsidRPr="0072000B">
        <w:rPr>
          <w:noProof/>
          <w:sz w:val="20"/>
          <w:szCs w:val="20"/>
        </w:rPr>
        <w:t xml:space="preserve">. </w:t>
      </w:r>
    </w:p>
    <w:p w14:paraId="42E2072C" w14:textId="65774594" w:rsidR="009E0388" w:rsidRPr="0072000B" w:rsidRDefault="009E0388" w:rsidP="009E0388">
      <w:pPr>
        <w:spacing w:line="240" w:lineRule="auto"/>
        <w:contextualSpacing/>
        <w:jc w:val="both"/>
        <w:rPr>
          <w:noProof/>
          <w:sz w:val="20"/>
          <w:szCs w:val="20"/>
        </w:rPr>
      </w:pPr>
      <w:r w:rsidRPr="0072000B">
        <w:rPr>
          <w:noProof/>
          <w:sz w:val="20"/>
          <w:szCs w:val="20"/>
        </w:rPr>
        <w:t>Data for this market was not available for Q1 2023.</w:t>
      </w:r>
    </w:p>
    <w:p w14:paraId="403DA48C" w14:textId="3EBB848D" w:rsidR="00C60558" w:rsidRPr="000123E4" w:rsidRDefault="00C60558" w:rsidP="001D446D">
      <w:pPr>
        <w:spacing w:line="240" w:lineRule="auto"/>
        <w:jc w:val="both"/>
        <w:rPr>
          <w:bCs/>
          <w:noProof/>
        </w:rPr>
      </w:pPr>
      <w:r w:rsidRPr="000123E4">
        <w:rPr>
          <w:noProof/>
          <w:lang w:val="en-GB"/>
        </w:rPr>
        <w:t>Secondary market liquidity of EU-Bonds also remained on par with</w:t>
      </w:r>
      <w:r w:rsidRPr="000123E4">
        <w:rPr>
          <w:noProof/>
        </w:rPr>
        <w:t xml:space="preserve"> that observed in the markets for European government bonds (EGBs), relative to the amounts outstanding. This liquidity was </w:t>
      </w:r>
      <w:r w:rsidR="008B5224">
        <w:rPr>
          <w:noProof/>
        </w:rPr>
        <w:t>boosted</w:t>
      </w:r>
      <w:r w:rsidR="002835C6" w:rsidRPr="000123E4">
        <w:rPr>
          <w:noProof/>
        </w:rPr>
        <w:t xml:space="preserve"> in the first half of 2023</w:t>
      </w:r>
      <w:r w:rsidRPr="000123E4">
        <w:rPr>
          <w:noProof/>
        </w:rPr>
        <w:t xml:space="preserve"> by the extensive </w:t>
      </w:r>
      <w:r w:rsidRPr="000123E4">
        <w:rPr>
          <w:bCs/>
          <w:noProof/>
        </w:rPr>
        <w:t>tapping of existing funding lines, with 70% of the funding volume mobilised via taps. New funding lines were also launched to provide the market with new benchmark lines.</w:t>
      </w:r>
    </w:p>
    <w:p w14:paraId="705365E0" w14:textId="77777777" w:rsidR="001D446D" w:rsidRPr="000123E4" w:rsidRDefault="001D446D" w:rsidP="001D446D">
      <w:pPr>
        <w:spacing w:line="240" w:lineRule="auto"/>
        <w:jc w:val="both"/>
        <w:rPr>
          <w:bCs/>
          <w:noProof/>
        </w:rPr>
      </w:pPr>
    </w:p>
    <w:p w14:paraId="0260D5D1" w14:textId="1D8DEE60" w:rsidR="00E81087" w:rsidRPr="000123E4" w:rsidRDefault="00DB3549" w:rsidP="00D3648A">
      <w:pPr>
        <w:pStyle w:val="Heading1"/>
        <w:spacing w:after="200"/>
        <w:contextualSpacing/>
        <w:rPr>
          <w:rFonts w:cs="Times New Roman"/>
          <w:bCs/>
          <w:noProof/>
          <w:color w:val="auto"/>
          <w:sz w:val="24"/>
          <w:szCs w:val="24"/>
        </w:rPr>
      </w:pPr>
      <w:bookmarkStart w:id="11" w:name="_Toc140069410"/>
      <w:r w:rsidRPr="000123E4">
        <w:rPr>
          <w:rFonts w:cs="Times New Roman"/>
          <w:bCs/>
          <w:noProof/>
          <w:color w:val="auto"/>
          <w:sz w:val="24"/>
          <w:szCs w:val="24"/>
        </w:rPr>
        <w:t>C</w:t>
      </w:r>
      <w:r w:rsidR="00330D09" w:rsidRPr="000123E4">
        <w:rPr>
          <w:rFonts w:cs="Times New Roman"/>
          <w:bCs/>
          <w:noProof/>
          <w:color w:val="auto"/>
          <w:sz w:val="24"/>
          <w:szCs w:val="24"/>
        </w:rPr>
        <w:t>ost</w:t>
      </w:r>
      <w:r w:rsidR="00B7261C" w:rsidRPr="000123E4">
        <w:rPr>
          <w:rFonts w:cs="Times New Roman"/>
          <w:bCs/>
          <w:noProof/>
          <w:color w:val="auto"/>
          <w:sz w:val="24"/>
          <w:szCs w:val="24"/>
        </w:rPr>
        <w:t xml:space="preserve"> of funding</w:t>
      </w:r>
      <w:r w:rsidR="00763ACD" w:rsidRPr="000123E4">
        <w:rPr>
          <w:rFonts w:cs="Times New Roman"/>
          <w:bCs/>
          <w:noProof/>
          <w:color w:val="auto"/>
          <w:sz w:val="24"/>
          <w:szCs w:val="24"/>
        </w:rPr>
        <w:t xml:space="preserve"> and</w:t>
      </w:r>
      <w:r w:rsidR="00E922DF" w:rsidRPr="000123E4">
        <w:rPr>
          <w:rFonts w:cs="Times New Roman"/>
          <w:bCs/>
          <w:noProof/>
          <w:color w:val="auto"/>
          <w:sz w:val="24"/>
          <w:szCs w:val="24"/>
        </w:rPr>
        <w:t xml:space="preserve"> liquidity</w:t>
      </w:r>
      <w:r w:rsidR="00763ACD" w:rsidRPr="000123E4">
        <w:rPr>
          <w:rFonts w:cs="Times New Roman"/>
          <w:bCs/>
          <w:noProof/>
          <w:color w:val="auto"/>
          <w:sz w:val="24"/>
          <w:szCs w:val="24"/>
        </w:rPr>
        <w:t xml:space="preserve"> balances</w:t>
      </w:r>
      <w:bookmarkEnd w:id="11"/>
    </w:p>
    <w:p w14:paraId="6EB8EACA" w14:textId="63A8E7EE" w:rsidR="001D0900" w:rsidRPr="000123E4" w:rsidRDefault="001D0900" w:rsidP="00D3648A">
      <w:pPr>
        <w:spacing w:line="240" w:lineRule="auto"/>
        <w:contextualSpacing/>
        <w:jc w:val="both"/>
        <w:rPr>
          <w:i/>
          <w:noProof/>
          <w:spacing w:val="-6"/>
          <w:lang w:val="en-GB"/>
        </w:rPr>
      </w:pPr>
      <w:r w:rsidRPr="000123E4">
        <w:rPr>
          <w:i/>
          <w:noProof/>
          <w:spacing w:val="-6"/>
          <w:lang w:val="en-GB"/>
        </w:rPr>
        <w:t>Cost of funding</w:t>
      </w:r>
    </w:p>
    <w:p w14:paraId="6EC2A528" w14:textId="2CD7ADC7" w:rsidR="000C26FE" w:rsidRPr="000123E4" w:rsidRDefault="000C26FE" w:rsidP="000C26FE">
      <w:pPr>
        <w:spacing w:line="240" w:lineRule="auto"/>
        <w:jc w:val="both"/>
        <w:rPr>
          <w:noProof/>
          <w:lang w:val="en-GB"/>
        </w:rPr>
      </w:pPr>
      <w:r w:rsidRPr="000123E4">
        <w:rPr>
          <w:noProof/>
          <w:lang w:val="en-GB"/>
        </w:rPr>
        <w:t xml:space="preserve">In the first half of 2023, interest and debt management costs increased in line with general market conditions. </w:t>
      </w:r>
      <w:r w:rsidR="00C45C1A">
        <w:rPr>
          <w:noProof/>
          <w:lang w:val="en-GB"/>
        </w:rPr>
        <w:t>The c</w:t>
      </w:r>
      <w:r w:rsidRPr="000123E4">
        <w:rPr>
          <w:noProof/>
          <w:lang w:val="en-GB"/>
        </w:rPr>
        <w:t>ost of funding</w:t>
      </w:r>
      <w:r w:rsidRPr="000123E4">
        <w:rPr>
          <w:noProof/>
          <w:vertAlign w:val="superscript"/>
        </w:rPr>
        <w:footnoteReference w:id="5"/>
      </w:r>
      <w:r w:rsidRPr="000123E4">
        <w:rPr>
          <w:noProof/>
          <w:lang w:val="en-GB"/>
        </w:rPr>
        <w:t xml:space="preserve"> for January to June 2023 is estimated to be close to 3.2%</w:t>
      </w:r>
      <w:r w:rsidR="00C45C1A">
        <w:rPr>
          <w:noProof/>
          <w:lang w:val="en-GB"/>
        </w:rPr>
        <w:t>,</w:t>
      </w:r>
      <w:r w:rsidRPr="000123E4">
        <w:rPr>
          <w:noProof/>
          <w:lang w:val="en-GB"/>
        </w:rPr>
        <w:t xml:space="preserve"> compared to 2.6% in the previous semester.</w:t>
      </w:r>
    </w:p>
    <w:p w14:paraId="30B85E87" w14:textId="1F421EA9" w:rsidR="00EE2C0C" w:rsidRPr="000123E4" w:rsidRDefault="000C26FE" w:rsidP="000C26FE">
      <w:pPr>
        <w:spacing w:line="240" w:lineRule="auto"/>
        <w:jc w:val="both"/>
        <w:rPr>
          <w:noProof/>
          <w:lang w:val="en-GB"/>
        </w:rPr>
      </w:pPr>
      <w:r w:rsidRPr="000123E4">
        <w:rPr>
          <w:noProof/>
          <w:lang w:val="en-GB"/>
        </w:rPr>
        <w:t>Since the start of 2022, the pace of increase in interest rates for all issuers including the EU has been one of the steepest witnessed in financial markets in the past decades. Interest rates on 10-year EU-Bonds have increased from 0.09% at the time of the inaugural 10-year NextGenerationEU bond in June 2021 to 1.53% in May 2022, 2.82% in November 2022, and 3.</w:t>
      </w:r>
      <w:r w:rsidR="00C45C1A">
        <w:rPr>
          <w:noProof/>
          <w:lang w:val="en-GB"/>
        </w:rPr>
        <w:t>05</w:t>
      </w:r>
      <w:r w:rsidRPr="000123E4">
        <w:rPr>
          <w:noProof/>
          <w:lang w:val="en-GB"/>
        </w:rPr>
        <w:t xml:space="preserve">% in the most recent issuance in </w:t>
      </w:r>
      <w:r w:rsidR="00C45C1A">
        <w:rPr>
          <w:noProof/>
          <w:lang w:val="en-GB"/>
        </w:rPr>
        <w:t>June</w:t>
      </w:r>
      <w:r w:rsidRPr="000123E4">
        <w:rPr>
          <w:noProof/>
          <w:lang w:val="en-GB"/>
        </w:rPr>
        <w:t xml:space="preserve"> 2023. Comparable increases have been observed for highly-rated euro-sovereign issuers. For example, interest rates on 10-year German government bonds increased from around -0.20% in June 2021 to close to 1.0% in May 2022, 2.56% at the end of December 2022, and 2.</w:t>
      </w:r>
      <w:r w:rsidR="00B77E6E">
        <w:rPr>
          <w:noProof/>
          <w:lang w:val="en-GB"/>
        </w:rPr>
        <w:t>39</w:t>
      </w:r>
      <w:r w:rsidRPr="000123E4">
        <w:rPr>
          <w:noProof/>
          <w:lang w:val="en-GB"/>
        </w:rPr>
        <w:t>% in June 2023.</w:t>
      </w:r>
      <w:r w:rsidR="00E306EB">
        <w:rPr>
          <w:noProof/>
          <w:lang w:val="en-GB"/>
        </w:rPr>
        <w:t xml:space="preserve"> </w:t>
      </w:r>
      <w:r w:rsidR="00E306EB" w:rsidRPr="00E306EB">
        <w:rPr>
          <w:noProof/>
          <w:lang w:val="en-GB"/>
        </w:rPr>
        <w:t xml:space="preserve">To </w:t>
      </w:r>
      <w:r w:rsidR="00CC5489">
        <w:rPr>
          <w:noProof/>
          <w:lang w:val="en-GB"/>
        </w:rPr>
        <w:t>address</w:t>
      </w:r>
      <w:r w:rsidR="00E306EB" w:rsidRPr="00E306EB">
        <w:rPr>
          <w:noProof/>
          <w:lang w:val="en-GB"/>
        </w:rPr>
        <w:t xml:space="preserve"> the</w:t>
      </w:r>
      <w:r w:rsidR="00CC5489">
        <w:rPr>
          <w:noProof/>
          <w:lang w:val="en-GB"/>
        </w:rPr>
        <w:t xml:space="preserve"> unprecedented</w:t>
      </w:r>
      <w:r w:rsidR="00E306EB" w:rsidRPr="00E306EB">
        <w:rPr>
          <w:noProof/>
          <w:lang w:val="en-GB"/>
        </w:rPr>
        <w:t xml:space="preserve"> sharp increase in borrowing costs, the Commission proposed as part of the mid-term review of the multiannual framework 2021-2027 to establish a special instrument exclusively to cover the interest costs overrun.</w:t>
      </w:r>
      <w:r w:rsidR="002B107F" w:rsidRPr="000123E4">
        <w:rPr>
          <w:noProof/>
          <w:vertAlign w:val="superscript"/>
        </w:rPr>
        <w:footnoteReference w:id="6"/>
      </w:r>
    </w:p>
    <w:p w14:paraId="0011EF84" w14:textId="5DF21804" w:rsidR="000C26FE" w:rsidRPr="000123E4" w:rsidRDefault="000C26FE" w:rsidP="000C26FE">
      <w:pPr>
        <w:spacing w:line="240" w:lineRule="auto"/>
        <w:jc w:val="both"/>
        <w:rPr>
          <w:noProof/>
          <w:lang w:val="en-US"/>
        </w:rPr>
      </w:pPr>
      <w:bookmarkStart w:id="12" w:name="_Hlk137569259"/>
      <w:r w:rsidRPr="000123E4">
        <w:rPr>
          <w:noProof/>
          <w:lang w:val="en-US"/>
        </w:rPr>
        <w:t>The yields on EU-Bonds have been consistently higher than those paid by large sovereign issuers, despite the enhanced liquidity, high creditworthiness, and steady supply of EU-Bonds. The divergence between yields on EU-Bonds and those of large sovereigns can largely be explained by the established market convention of pricing EU</w:t>
      </w:r>
      <w:r w:rsidR="00D8633C" w:rsidRPr="000123E4">
        <w:rPr>
          <w:noProof/>
          <w:lang w:val="en-US"/>
        </w:rPr>
        <w:t xml:space="preserve">-Bonds </w:t>
      </w:r>
      <w:r w:rsidRPr="000123E4">
        <w:rPr>
          <w:noProof/>
          <w:lang w:val="en-US"/>
        </w:rPr>
        <w:t>against the swap curve. Recent analysis by Bruegel</w:t>
      </w:r>
      <w:r w:rsidR="001D446D" w:rsidRPr="000123E4">
        <w:rPr>
          <w:noProof/>
          <w:vertAlign w:val="superscript"/>
        </w:rPr>
        <w:footnoteReference w:id="7"/>
      </w:r>
      <w:r w:rsidRPr="000123E4">
        <w:rPr>
          <w:noProof/>
          <w:lang w:val="en-US"/>
        </w:rPr>
        <w:t xml:space="preserve"> showed that the </w:t>
      </w:r>
      <w:r w:rsidRPr="000123E4">
        <w:rPr>
          <w:noProof/>
        </w:rPr>
        <w:t>swap-pricing is the main driver for most of the premium paid by EU and other similarly priced issuers to EGBs</w:t>
      </w:r>
      <w:r w:rsidR="00D8633C" w:rsidRPr="000123E4">
        <w:rPr>
          <w:noProof/>
        </w:rPr>
        <w:t xml:space="preserve"> with some indications</w:t>
      </w:r>
      <w:r w:rsidRPr="000123E4">
        <w:rPr>
          <w:noProof/>
        </w:rPr>
        <w:t xml:space="preserve"> that this this factor </w:t>
      </w:r>
      <w:r w:rsidR="00C45C1A">
        <w:rPr>
          <w:noProof/>
        </w:rPr>
        <w:t>accounts for</w:t>
      </w:r>
      <w:r w:rsidRPr="000123E4">
        <w:rPr>
          <w:noProof/>
        </w:rPr>
        <w:t xml:space="preserve"> 90% of the premium.</w:t>
      </w:r>
    </w:p>
    <w:p w14:paraId="4B1E3BFF" w14:textId="354E060B" w:rsidR="000C26FE" w:rsidRPr="000123E4" w:rsidRDefault="000C26FE" w:rsidP="000C26FE">
      <w:pPr>
        <w:spacing w:line="240" w:lineRule="auto"/>
        <w:jc w:val="both"/>
        <w:rPr>
          <w:noProof/>
          <w:szCs w:val="22"/>
          <w:lang w:val="en-GB"/>
        </w:rPr>
      </w:pPr>
      <w:r w:rsidRPr="000123E4">
        <w:rPr>
          <w:noProof/>
          <w:lang w:val="en-GB"/>
        </w:rPr>
        <w:t xml:space="preserve">Movements in the swap curve relative to the price of large sovereigns are driven by a range of technical and structural factors </w:t>
      </w:r>
      <w:r w:rsidR="00BA3247" w:rsidRPr="000123E4">
        <w:rPr>
          <w:noProof/>
          <w:lang w:val="en-GB"/>
        </w:rPr>
        <w:t xml:space="preserve">unrelated to </w:t>
      </w:r>
      <w:r w:rsidRPr="000123E4">
        <w:rPr>
          <w:noProof/>
          <w:lang w:val="en-GB"/>
        </w:rPr>
        <w:t xml:space="preserve">the underlying quality of the bonds or efficiency of </w:t>
      </w:r>
      <w:r w:rsidR="00A046A3" w:rsidRPr="000123E4">
        <w:rPr>
          <w:noProof/>
          <w:lang w:val="en-GB"/>
        </w:rPr>
        <w:t xml:space="preserve">EU’s </w:t>
      </w:r>
      <w:r w:rsidRPr="000123E4">
        <w:rPr>
          <w:noProof/>
          <w:lang w:val="en-GB"/>
        </w:rPr>
        <w:t>issuance programme. Foremost amongst these considerations is the investor preference for established sovereign bonds which can be used readily and cheaply as collateral</w:t>
      </w:r>
      <w:r w:rsidR="00BA3247" w:rsidRPr="000123E4">
        <w:rPr>
          <w:noProof/>
          <w:lang w:val="en-GB"/>
        </w:rPr>
        <w:t>, a preference which is accentuated in times of market stress</w:t>
      </w:r>
      <w:r w:rsidRPr="000123E4">
        <w:rPr>
          <w:noProof/>
          <w:lang w:val="en-GB"/>
        </w:rPr>
        <w:t>. These factors were very much in play towards the end of the first quarter, following banking turmoil in the US and</w:t>
      </w:r>
      <w:r w:rsidR="00146211" w:rsidRPr="000123E4">
        <w:rPr>
          <w:noProof/>
          <w:lang w:val="en-GB"/>
        </w:rPr>
        <w:t xml:space="preserve"> the</w:t>
      </w:r>
      <w:r w:rsidRPr="000123E4">
        <w:rPr>
          <w:noProof/>
          <w:lang w:val="en-GB"/>
        </w:rPr>
        <w:t xml:space="preserve"> take-over of Credit Suisse by UBS in Europe</w:t>
      </w:r>
      <w:r w:rsidR="00C45C1A">
        <w:rPr>
          <w:noProof/>
          <w:lang w:val="en-GB"/>
        </w:rPr>
        <w:t>.</w:t>
      </w:r>
      <w:r w:rsidR="001D446D" w:rsidRPr="000123E4">
        <w:rPr>
          <w:noProof/>
          <w:vertAlign w:val="superscript"/>
        </w:rPr>
        <w:footnoteReference w:id="8"/>
      </w:r>
      <w:r w:rsidR="00C45C1A">
        <w:rPr>
          <w:noProof/>
          <w:lang w:val="en-GB"/>
        </w:rPr>
        <w:t xml:space="preserve"> </w:t>
      </w:r>
      <w:r w:rsidRPr="000123E4">
        <w:rPr>
          <w:noProof/>
          <w:lang w:val="en-GB"/>
        </w:rPr>
        <w:t>As financial stability fears receded, the</w:t>
      </w:r>
      <w:r w:rsidR="00C45C1A">
        <w:rPr>
          <w:noProof/>
          <w:lang w:val="en-GB"/>
        </w:rPr>
        <w:t xml:space="preserve"> spread between</w:t>
      </w:r>
      <w:r w:rsidRPr="000123E4">
        <w:rPr>
          <w:noProof/>
          <w:lang w:val="en-GB"/>
        </w:rPr>
        <w:t xml:space="preserve"> </w:t>
      </w:r>
      <w:r w:rsidR="00C45C1A" w:rsidRPr="00C45C1A">
        <w:rPr>
          <w:noProof/>
        </w:rPr>
        <w:t>sub-sovereign or supranational</w:t>
      </w:r>
      <w:r w:rsidR="00C45C1A">
        <w:rPr>
          <w:noProof/>
          <w:lang w:val="en-GB"/>
        </w:rPr>
        <w:t xml:space="preserve"> bonds</w:t>
      </w:r>
      <w:r w:rsidR="00372518">
        <w:rPr>
          <w:noProof/>
          <w:lang w:val="en-GB"/>
        </w:rPr>
        <w:t xml:space="preserve"> (</w:t>
      </w:r>
      <w:r w:rsidR="00372518" w:rsidRPr="000123E4">
        <w:rPr>
          <w:noProof/>
          <w:lang w:val="en-GB"/>
        </w:rPr>
        <w:t>SSA</w:t>
      </w:r>
      <w:r w:rsidR="00372518">
        <w:rPr>
          <w:noProof/>
          <w:lang w:val="en-GB"/>
        </w:rPr>
        <w:t>)</w:t>
      </w:r>
      <w:r w:rsidR="00C45C1A">
        <w:rPr>
          <w:noProof/>
          <w:lang w:val="en-GB"/>
        </w:rPr>
        <w:t xml:space="preserve"> and </w:t>
      </w:r>
      <w:r w:rsidR="00C45C1A" w:rsidRPr="000123E4">
        <w:rPr>
          <w:noProof/>
        </w:rPr>
        <w:t>European government bonds</w:t>
      </w:r>
      <w:r w:rsidR="00C45C1A" w:rsidRPr="000123E4">
        <w:rPr>
          <w:noProof/>
          <w:lang w:val="en-GB"/>
        </w:rPr>
        <w:t xml:space="preserve"> </w:t>
      </w:r>
      <w:r w:rsidRPr="000123E4">
        <w:rPr>
          <w:noProof/>
          <w:lang w:val="en-GB"/>
        </w:rPr>
        <w:t xml:space="preserve">returned to levels observed at the start of the semester. The </w:t>
      </w:r>
      <w:r w:rsidR="00372518">
        <w:rPr>
          <w:noProof/>
          <w:lang w:val="en-GB"/>
        </w:rPr>
        <w:t xml:space="preserve">spread of </w:t>
      </w:r>
      <w:r w:rsidRPr="000123E4">
        <w:rPr>
          <w:noProof/>
          <w:lang w:val="en-GB"/>
        </w:rPr>
        <w:t>10-year EU</w:t>
      </w:r>
      <w:r w:rsidR="00372518">
        <w:rPr>
          <w:noProof/>
          <w:lang w:val="en-GB"/>
        </w:rPr>
        <w:t xml:space="preserve">-Bonds versus 10-year German bunds </w:t>
      </w:r>
      <w:r w:rsidRPr="000123E4">
        <w:rPr>
          <w:noProof/>
          <w:lang w:val="en-GB"/>
        </w:rPr>
        <w:t xml:space="preserve">stood at </w:t>
      </w:r>
      <w:r w:rsidR="00844DD8">
        <w:rPr>
          <w:noProof/>
          <w:lang w:val="en-GB"/>
        </w:rPr>
        <w:t>62</w:t>
      </w:r>
      <w:r w:rsidRPr="000123E4">
        <w:rPr>
          <w:noProof/>
          <w:lang w:val="en-GB"/>
        </w:rPr>
        <w:t xml:space="preserve"> basis points at 3</w:t>
      </w:r>
      <w:r w:rsidR="00372518">
        <w:rPr>
          <w:noProof/>
          <w:lang w:val="en-GB"/>
        </w:rPr>
        <w:t>0</w:t>
      </w:r>
      <w:r w:rsidRPr="000123E4">
        <w:rPr>
          <w:noProof/>
          <w:lang w:val="en-GB"/>
        </w:rPr>
        <w:t xml:space="preserve"> June</w:t>
      </w:r>
      <w:r w:rsidR="00500DC7" w:rsidRPr="000123E4">
        <w:rPr>
          <w:noProof/>
          <w:lang w:val="en-GB"/>
        </w:rPr>
        <w:t xml:space="preserve"> 2023</w:t>
      </w:r>
      <w:r w:rsidRPr="000123E4">
        <w:rPr>
          <w:noProof/>
          <w:lang w:val="en-GB"/>
        </w:rPr>
        <w:t>, down from a peak of 83 basis points in March</w:t>
      </w:r>
      <w:r w:rsidR="00372518">
        <w:rPr>
          <w:noProof/>
          <w:lang w:val="en-GB"/>
        </w:rPr>
        <w:t xml:space="preserve"> 2023</w:t>
      </w:r>
      <w:r w:rsidRPr="000123E4">
        <w:rPr>
          <w:noProof/>
          <w:lang w:val="en-GB"/>
        </w:rPr>
        <w:t>, and in line with levels seen at the start of the semester.</w:t>
      </w:r>
    </w:p>
    <w:p w14:paraId="31E87932" w14:textId="0B2278B8" w:rsidR="000C26FE" w:rsidRPr="000123E4" w:rsidRDefault="000C26FE" w:rsidP="000C26FE">
      <w:pPr>
        <w:autoSpaceDE w:val="0"/>
        <w:autoSpaceDN w:val="0"/>
        <w:spacing w:after="0" w:line="240" w:lineRule="auto"/>
        <w:jc w:val="both"/>
        <w:rPr>
          <w:noProof/>
          <w:spacing w:val="-6"/>
          <w:lang w:val="en-GB"/>
        </w:rPr>
      </w:pPr>
      <w:r w:rsidRPr="000123E4">
        <w:rPr>
          <w:noProof/>
          <w:lang w:val="en-US"/>
        </w:rPr>
        <w:t>In order to bring the pricing of EU</w:t>
      </w:r>
      <w:r w:rsidR="00146211" w:rsidRPr="000123E4">
        <w:rPr>
          <w:noProof/>
          <w:lang w:val="en-US"/>
        </w:rPr>
        <w:t>-B</w:t>
      </w:r>
      <w:r w:rsidRPr="000123E4">
        <w:rPr>
          <w:noProof/>
          <w:lang w:val="en-US"/>
        </w:rPr>
        <w:t xml:space="preserve">onds into line with the underlying volumes, liquidity and creditworthiness of the programme, the Commission is taking steps (see </w:t>
      </w:r>
      <w:r w:rsidR="00372518">
        <w:rPr>
          <w:noProof/>
          <w:lang w:val="en-US"/>
        </w:rPr>
        <w:t>S</w:t>
      </w:r>
      <w:r w:rsidRPr="000123E4">
        <w:rPr>
          <w:noProof/>
          <w:lang w:val="en-US"/>
        </w:rPr>
        <w:t xml:space="preserve">ection 5) to create conditions </w:t>
      </w:r>
      <w:r w:rsidR="00372518">
        <w:rPr>
          <w:noProof/>
          <w:lang w:val="en-US"/>
        </w:rPr>
        <w:t>conducive to</w:t>
      </w:r>
      <w:r w:rsidRPr="000123E4">
        <w:rPr>
          <w:noProof/>
          <w:lang w:val="en-US"/>
        </w:rPr>
        <w:t xml:space="preserve"> the trading and pricing of EU-Bonds similar to that of large, liquid sovereign issuers. Achieving this result </w:t>
      </w:r>
      <w:r w:rsidR="00BA3247" w:rsidRPr="000123E4">
        <w:rPr>
          <w:noProof/>
          <w:lang w:val="en-US"/>
        </w:rPr>
        <w:t xml:space="preserve">also </w:t>
      </w:r>
      <w:r w:rsidRPr="000123E4">
        <w:rPr>
          <w:noProof/>
          <w:lang w:val="en-US"/>
        </w:rPr>
        <w:t>depends on market participants adapting their conventions and assessment of EU</w:t>
      </w:r>
      <w:r w:rsidR="00F37831">
        <w:rPr>
          <w:noProof/>
          <w:lang w:val="en-US"/>
        </w:rPr>
        <w:t>-B</w:t>
      </w:r>
      <w:r w:rsidRPr="000123E4">
        <w:rPr>
          <w:noProof/>
          <w:lang w:val="en-US"/>
        </w:rPr>
        <w:t>onds. While there are encouraging signs that this change is underway, it may take time.</w:t>
      </w:r>
      <w:bookmarkEnd w:id="12"/>
    </w:p>
    <w:p w14:paraId="6D2358C8" w14:textId="77777777" w:rsidR="000C26FE" w:rsidRPr="000123E4" w:rsidRDefault="000C26FE" w:rsidP="002E4FA7">
      <w:pPr>
        <w:autoSpaceDE w:val="0"/>
        <w:autoSpaceDN w:val="0"/>
        <w:spacing w:after="0" w:line="240" w:lineRule="auto"/>
        <w:rPr>
          <w:noProof/>
          <w:spacing w:val="-6"/>
          <w:lang w:val="en-GB"/>
        </w:rPr>
      </w:pPr>
    </w:p>
    <w:p w14:paraId="2054B5FB" w14:textId="51BB1E8E" w:rsidR="00254D4D" w:rsidRPr="000123E4" w:rsidRDefault="001D0900" w:rsidP="00095BFD">
      <w:pPr>
        <w:spacing w:line="240" w:lineRule="auto"/>
        <w:contextualSpacing/>
        <w:jc w:val="both"/>
        <w:rPr>
          <w:i/>
          <w:noProof/>
          <w:spacing w:val="-6"/>
          <w:lang w:val="en-GB"/>
        </w:rPr>
      </w:pPr>
      <w:r w:rsidRPr="000123E4">
        <w:rPr>
          <w:i/>
          <w:noProof/>
          <w:spacing w:val="-6"/>
          <w:lang w:val="en-GB"/>
        </w:rPr>
        <w:t>Liquidity management</w:t>
      </w:r>
    </w:p>
    <w:p w14:paraId="6E1393DB" w14:textId="32C24E67" w:rsidR="00095BFD" w:rsidRPr="000123E4" w:rsidRDefault="00095BFD" w:rsidP="00095BFD">
      <w:pPr>
        <w:spacing w:line="240" w:lineRule="auto"/>
        <w:jc w:val="both"/>
        <w:rPr>
          <w:noProof/>
          <w:lang w:val="en-GB"/>
        </w:rPr>
      </w:pPr>
      <w:r w:rsidRPr="000123E4">
        <w:rPr>
          <w:noProof/>
          <w:lang w:val="en-GB"/>
        </w:rPr>
        <w:t>The Commission maintained a regular and predictable presence in financial markets in line with the funding p</w:t>
      </w:r>
      <w:r w:rsidR="00372518">
        <w:rPr>
          <w:noProof/>
          <w:lang w:val="en-GB"/>
        </w:rPr>
        <w:t>l</w:t>
      </w:r>
      <w:r w:rsidRPr="000123E4">
        <w:rPr>
          <w:noProof/>
          <w:lang w:val="en-GB"/>
        </w:rPr>
        <w:t xml:space="preserve">an </w:t>
      </w:r>
      <w:r w:rsidRPr="007E251D">
        <w:rPr>
          <w:noProof/>
          <w:lang w:val="en-GB"/>
        </w:rPr>
        <w:t>announced in December 2022</w:t>
      </w:r>
      <w:r w:rsidR="00372518">
        <w:rPr>
          <w:noProof/>
          <w:lang w:val="en-GB"/>
        </w:rPr>
        <w:t>, with planned dates for auctions and syndications</w:t>
      </w:r>
      <w:r w:rsidRPr="007E251D">
        <w:rPr>
          <w:noProof/>
          <w:lang w:val="en-GB"/>
        </w:rPr>
        <w:t xml:space="preserve">. However, </w:t>
      </w:r>
      <w:r w:rsidR="000A1136" w:rsidRPr="007E251D">
        <w:rPr>
          <w:noProof/>
          <w:lang w:val="en-GB"/>
        </w:rPr>
        <w:t xml:space="preserve">cash outflows </w:t>
      </w:r>
      <w:r w:rsidR="00372518">
        <w:rPr>
          <w:noProof/>
          <w:lang w:val="en-GB"/>
        </w:rPr>
        <w:t xml:space="preserve">were slower than </w:t>
      </w:r>
      <w:r w:rsidRPr="007E251D">
        <w:rPr>
          <w:noProof/>
          <w:lang w:val="en-GB"/>
        </w:rPr>
        <w:t>initial</w:t>
      </w:r>
      <w:r w:rsidR="00372518">
        <w:rPr>
          <w:noProof/>
          <w:lang w:val="en-GB"/>
        </w:rPr>
        <w:t>ly planned, leading</w:t>
      </w:r>
      <w:r w:rsidRPr="007E251D">
        <w:rPr>
          <w:noProof/>
          <w:lang w:val="en-GB"/>
        </w:rPr>
        <w:t xml:space="preserve"> to higher average cash holdings in the first half of 2023, averaging EUR 3</w:t>
      </w:r>
      <w:r w:rsidR="00A450A6" w:rsidRPr="007E251D">
        <w:rPr>
          <w:noProof/>
          <w:lang w:val="en-GB"/>
        </w:rPr>
        <w:t>6</w:t>
      </w:r>
      <w:r w:rsidRPr="007E251D">
        <w:rPr>
          <w:noProof/>
          <w:lang w:val="en-GB"/>
        </w:rPr>
        <w:t>.</w:t>
      </w:r>
      <w:r w:rsidR="00A450A6" w:rsidRPr="007E251D">
        <w:rPr>
          <w:noProof/>
          <w:lang w:val="en-GB"/>
        </w:rPr>
        <w:t>8</w:t>
      </w:r>
      <w:r w:rsidRPr="007E251D">
        <w:rPr>
          <w:noProof/>
          <w:lang w:val="en-GB"/>
        </w:rPr>
        <w:t xml:space="preserve"> billion compared to EUR 25.1 billion in the previous semester. The</w:t>
      </w:r>
      <w:r w:rsidRPr="000123E4">
        <w:rPr>
          <w:noProof/>
          <w:lang w:val="en-GB"/>
        </w:rPr>
        <w:t xml:space="preserve"> Commission </w:t>
      </w:r>
      <w:r w:rsidR="000A1136" w:rsidRPr="000123E4">
        <w:rPr>
          <w:noProof/>
          <w:lang w:val="en-GB"/>
        </w:rPr>
        <w:t>reduced its cash intake through</w:t>
      </w:r>
      <w:r w:rsidRPr="000123E4">
        <w:rPr>
          <w:noProof/>
          <w:lang w:val="en-GB"/>
        </w:rPr>
        <w:t xml:space="preserve"> Bill issuance to ensure continued market presence while minimising the increase in cash balances. </w:t>
      </w:r>
    </w:p>
    <w:p w14:paraId="58BDF305" w14:textId="4508549E" w:rsidR="00810743" w:rsidRPr="000123E4" w:rsidRDefault="00095BFD" w:rsidP="00095BFD">
      <w:pPr>
        <w:spacing w:line="240" w:lineRule="auto"/>
        <w:contextualSpacing/>
        <w:jc w:val="both"/>
        <w:rPr>
          <w:noProof/>
          <w:lang w:val="en-GB"/>
        </w:rPr>
      </w:pPr>
      <w:r w:rsidRPr="000123E4">
        <w:rPr>
          <w:noProof/>
          <w:lang w:val="en-GB"/>
        </w:rPr>
        <w:t>The higher amounts of liquidity holdings did not translate into material costs for the programmes supported. These amounted to EUR 23.3 million on the cash holdings from January to June 2023. These costs will be shared proportionately between the EU budget and loan beneficiaries at the end of 2023.</w:t>
      </w:r>
    </w:p>
    <w:p w14:paraId="6BA306F7" w14:textId="77777777" w:rsidR="00095BFD" w:rsidRPr="000123E4" w:rsidRDefault="00095BFD" w:rsidP="00095BFD">
      <w:pPr>
        <w:spacing w:line="240" w:lineRule="auto"/>
        <w:contextualSpacing/>
        <w:jc w:val="both"/>
        <w:rPr>
          <w:noProof/>
          <w:lang w:val="en-GB"/>
        </w:rPr>
      </w:pPr>
    </w:p>
    <w:p w14:paraId="6188E4EC" w14:textId="1C9CD30E" w:rsidR="00C44E47" w:rsidRPr="007E251D" w:rsidRDefault="002F7560" w:rsidP="00003760">
      <w:pPr>
        <w:pStyle w:val="Heading1"/>
        <w:spacing w:after="200"/>
        <w:contextualSpacing/>
        <w:rPr>
          <w:rFonts w:cs="Times New Roman"/>
          <w:bCs/>
          <w:noProof/>
          <w:color w:val="auto"/>
          <w:sz w:val="24"/>
          <w:szCs w:val="24"/>
        </w:rPr>
      </w:pPr>
      <w:bookmarkStart w:id="13" w:name="_Toc140069411"/>
      <w:r w:rsidRPr="000123E4">
        <w:rPr>
          <w:rFonts w:cs="Times New Roman"/>
          <w:bCs/>
          <w:noProof/>
          <w:color w:val="auto"/>
          <w:sz w:val="24"/>
          <w:szCs w:val="24"/>
        </w:rPr>
        <w:t>Other milestones in H</w:t>
      </w:r>
      <w:r w:rsidR="001401DA" w:rsidRPr="000123E4">
        <w:rPr>
          <w:rFonts w:cs="Times New Roman"/>
          <w:bCs/>
          <w:noProof/>
          <w:color w:val="auto"/>
          <w:sz w:val="24"/>
          <w:szCs w:val="24"/>
        </w:rPr>
        <w:t>1</w:t>
      </w:r>
      <w:r w:rsidRPr="000123E4">
        <w:rPr>
          <w:rFonts w:cs="Times New Roman"/>
          <w:bCs/>
          <w:noProof/>
          <w:color w:val="auto"/>
          <w:sz w:val="24"/>
          <w:szCs w:val="24"/>
        </w:rPr>
        <w:t xml:space="preserve"> 202</w:t>
      </w:r>
      <w:r w:rsidR="001401DA" w:rsidRPr="000123E4">
        <w:rPr>
          <w:rFonts w:cs="Times New Roman"/>
          <w:bCs/>
          <w:noProof/>
          <w:color w:val="auto"/>
          <w:sz w:val="24"/>
          <w:szCs w:val="24"/>
        </w:rPr>
        <w:t>3</w:t>
      </w:r>
      <w:bookmarkEnd w:id="13"/>
    </w:p>
    <w:p w14:paraId="11DD2326" w14:textId="59983FBA" w:rsidR="00095BFD" w:rsidRPr="000123E4" w:rsidRDefault="00095BFD" w:rsidP="00095BFD">
      <w:pPr>
        <w:spacing w:line="240" w:lineRule="auto"/>
        <w:jc w:val="both"/>
        <w:rPr>
          <w:noProof/>
          <w:lang w:val="en-GB"/>
        </w:rPr>
      </w:pPr>
      <w:r w:rsidRPr="000123E4">
        <w:rPr>
          <w:noProof/>
        </w:rPr>
        <w:t xml:space="preserve">On 12 June 2023, the European Court of Auditors published the findings of its </w:t>
      </w:r>
      <w:r w:rsidRPr="000123E4">
        <w:rPr>
          <w:noProof/>
          <w:lang w:val="en-GB"/>
        </w:rPr>
        <w:t>special report on the NextGenerationEU debt management operations. In this report, the ECA assessed whether the Commission ha</w:t>
      </w:r>
      <w:r w:rsidR="00372518">
        <w:rPr>
          <w:noProof/>
          <w:lang w:val="en-GB"/>
        </w:rPr>
        <w:t>d</w:t>
      </w:r>
      <w:r w:rsidRPr="000123E4">
        <w:rPr>
          <w:noProof/>
          <w:lang w:val="en-GB"/>
        </w:rPr>
        <w:t xml:space="preserve"> developed effective systems to manage the debt raised to finance NextGenerationEU. The report provides a comprehensive review of the set</w:t>
      </w:r>
      <w:r w:rsidR="00372518">
        <w:rPr>
          <w:noProof/>
          <w:lang w:val="en-GB"/>
        </w:rPr>
        <w:t>ting</w:t>
      </w:r>
      <w:r w:rsidRPr="000123E4">
        <w:rPr>
          <w:noProof/>
          <w:lang w:val="en-GB"/>
        </w:rPr>
        <w:t xml:space="preserve"> up and management of EU’s funding operations to date, accompanied by useful recommendations for future actions. </w:t>
      </w:r>
    </w:p>
    <w:p w14:paraId="6B9A1A68" w14:textId="726D7F3C" w:rsidR="00095BFD" w:rsidRPr="000123E4" w:rsidRDefault="00095BFD" w:rsidP="00095BFD">
      <w:pPr>
        <w:spacing w:line="240" w:lineRule="auto"/>
        <w:jc w:val="both"/>
        <w:rPr>
          <w:noProof/>
          <w:lang w:val="en-GB"/>
        </w:rPr>
      </w:pPr>
      <w:r w:rsidRPr="000123E4">
        <w:rPr>
          <w:noProof/>
          <w:lang w:val="en-GB"/>
        </w:rPr>
        <w:t xml:space="preserve">The ECA concluded that </w:t>
      </w:r>
      <w:r w:rsidR="00372518">
        <w:rPr>
          <w:noProof/>
          <w:lang w:val="en-GB"/>
        </w:rPr>
        <w:t>‘</w:t>
      </w:r>
      <w:r w:rsidRPr="000123E4">
        <w:rPr>
          <w:noProof/>
          <w:lang w:val="en-GB"/>
        </w:rPr>
        <w:t>the Commission quickly developed a debt management system which allowed the funds required for NextGenerationEU to be borrowed in a timely fashion (…)</w:t>
      </w:r>
      <w:r w:rsidR="00372518">
        <w:rPr>
          <w:noProof/>
          <w:lang w:val="en-GB"/>
        </w:rPr>
        <w:t>’</w:t>
      </w:r>
      <w:r w:rsidRPr="000123E4">
        <w:rPr>
          <w:noProof/>
          <w:lang w:val="en-GB"/>
        </w:rPr>
        <w:t xml:space="preserve"> and that </w:t>
      </w:r>
      <w:r w:rsidR="00372518">
        <w:rPr>
          <w:noProof/>
          <w:lang w:val="en-GB"/>
        </w:rPr>
        <w:t>‘</w:t>
      </w:r>
      <w:r w:rsidRPr="000123E4">
        <w:rPr>
          <w:noProof/>
          <w:lang w:val="en-GB"/>
        </w:rPr>
        <w:t>(…) borrowing costs reflected the Commission’s market position. The Commission also met all key regulatory requirements concerning debt portfolio and risk management.</w:t>
      </w:r>
      <w:r w:rsidR="00372518">
        <w:rPr>
          <w:noProof/>
          <w:lang w:val="en-GB"/>
        </w:rPr>
        <w:t>’</w:t>
      </w:r>
    </w:p>
    <w:p w14:paraId="11F3EB10" w14:textId="23D57D69" w:rsidR="00095BFD" w:rsidRPr="000123E4" w:rsidRDefault="00095BFD" w:rsidP="00095BFD">
      <w:pPr>
        <w:spacing w:line="240" w:lineRule="auto"/>
        <w:jc w:val="both"/>
        <w:rPr>
          <w:noProof/>
          <w:lang w:val="en-GB"/>
        </w:rPr>
      </w:pPr>
      <w:r w:rsidRPr="000123E4">
        <w:rPr>
          <w:noProof/>
          <w:lang w:val="en-GB"/>
        </w:rPr>
        <w:t xml:space="preserve">The report also included five recommendations for further improvements </w:t>
      </w:r>
      <w:r w:rsidR="00372518">
        <w:rPr>
          <w:noProof/>
          <w:lang w:val="en-GB"/>
        </w:rPr>
        <w:t>in</w:t>
      </w:r>
      <w:r w:rsidRPr="000123E4">
        <w:rPr>
          <w:noProof/>
          <w:lang w:val="en-GB"/>
        </w:rPr>
        <w:t xml:space="preserve"> the Commission’s debt management: (i) establishing a separate middle-office function; (ii) reinforcing the role of the Chief Risk Officer; (iii) implementing a workforce strategy; (iv) formulating clear debt management objectives and related indicators; and (v) ensuring consistency on internal documentation. </w:t>
      </w:r>
    </w:p>
    <w:p w14:paraId="558D9236" w14:textId="3416CCAE" w:rsidR="00095BFD" w:rsidRPr="000123E4" w:rsidRDefault="00095BFD" w:rsidP="00095BFD">
      <w:pPr>
        <w:spacing w:line="240" w:lineRule="auto"/>
        <w:jc w:val="both"/>
        <w:rPr>
          <w:noProof/>
          <w:lang w:val="en-GB"/>
        </w:rPr>
      </w:pPr>
      <w:r w:rsidRPr="000123E4">
        <w:rPr>
          <w:noProof/>
          <w:lang w:val="en-GB"/>
        </w:rPr>
        <w:t xml:space="preserve">The ECA recommendations are welcome input to the Commission’s efforts to improve its standing on capital markets (see </w:t>
      </w:r>
      <w:r w:rsidR="00372518">
        <w:rPr>
          <w:noProof/>
          <w:lang w:val="en-GB"/>
        </w:rPr>
        <w:t>S</w:t>
      </w:r>
      <w:r w:rsidRPr="000123E4">
        <w:rPr>
          <w:noProof/>
          <w:lang w:val="en-GB"/>
        </w:rPr>
        <w:t xml:space="preserve">ection 5 below). The Commission is already working to implement these recommendations in a timely manner. </w:t>
      </w:r>
    </w:p>
    <w:p w14:paraId="332F13CF" w14:textId="6091625D" w:rsidR="00095BFD" w:rsidRPr="000123E4" w:rsidRDefault="00095BFD" w:rsidP="00095BFD">
      <w:pPr>
        <w:spacing w:line="240" w:lineRule="auto"/>
        <w:jc w:val="both"/>
        <w:rPr>
          <w:noProof/>
          <w:lang w:val="en-GB"/>
        </w:rPr>
      </w:pPr>
      <w:r w:rsidRPr="000123E4">
        <w:rPr>
          <w:noProof/>
          <w:lang w:val="en-GB"/>
        </w:rPr>
        <w:t>The present report already responds to ECA’s fourth recommendation</w:t>
      </w:r>
      <w:r w:rsidR="00795578">
        <w:rPr>
          <w:noProof/>
          <w:lang w:val="en-GB"/>
        </w:rPr>
        <w:t>,</w:t>
      </w:r>
      <w:r w:rsidRPr="000123E4">
        <w:rPr>
          <w:noProof/>
          <w:lang w:val="en-GB"/>
        </w:rPr>
        <w:t xml:space="preserve"> which calls for the elaboration of an overarching debt management strategy to inform the Commission’s implementation of its unified funding approach. The annex to this report presents such a debt management strategy, starting from the primary objectives that guide it, and the manner in which the key levers at the Commission’s disposal are implemented. The strategy is supported by a set of indicators which will be used to monitor the way in which the strategy is implemented. These indicators will be updated and commented upon in future editions.</w:t>
      </w:r>
    </w:p>
    <w:p w14:paraId="4FF62A70" w14:textId="77777777" w:rsidR="00095BFD" w:rsidRPr="000123E4" w:rsidRDefault="00095BFD" w:rsidP="00095BFD">
      <w:pPr>
        <w:spacing w:line="240" w:lineRule="auto"/>
        <w:jc w:val="both"/>
        <w:rPr>
          <w:noProof/>
        </w:rPr>
      </w:pPr>
    </w:p>
    <w:p w14:paraId="774AF1B2" w14:textId="3CFFE867" w:rsidR="00232130" w:rsidRPr="000123E4" w:rsidRDefault="001401DA" w:rsidP="00D3648A">
      <w:pPr>
        <w:pStyle w:val="Heading1"/>
        <w:spacing w:after="200"/>
        <w:contextualSpacing/>
        <w:rPr>
          <w:rFonts w:cs="Times New Roman"/>
          <w:bCs/>
          <w:noProof/>
          <w:color w:val="auto"/>
          <w:sz w:val="24"/>
          <w:szCs w:val="24"/>
        </w:rPr>
      </w:pPr>
      <w:bookmarkStart w:id="14" w:name="_Toc140069412"/>
      <w:r w:rsidRPr="000123E4">
        <w:rPr>
          <w:rFonts w:cs="Times New Roman"/>
          <w:bCs/>
          <w:noProof/>
          <w:color w:val="auto"/>
          <w:sz w:val="24"/>
          <w:szCs w:val="24"/>
        </w:rPr>
        <w:t xml:space="preserve">Steps to further develop </w:t>
      </w:r>
      <w:r w:rsidR="00795578">
        <w:rPr>
          <w:rFonts w:cs="Times New Roman"/>
          <w:bCs/>
          <w:noProof/>
          <w:color w:val="auto"/>
          <w:sz w:val="24"/>
          <w:szCs w:val="24"/>
        </w:rPr>
        <w:t xml:space="preserve">the </w:t>
      </w:r>
      <w:r w:rsidRPr="000123E4">
        <w:rPr>
          <w:rFonts w:cs="Times New Roman"/>
          <w:bCs/>
          <w:noProof/>
          <w:color w:val="auto"/>
          <w:sz w:val="24"/>
          <w:szCs w:val="24"/>
        </w:rPr>
        <w:t>ecosystem of EU-Bonds</w:t>
      </w:r>
      <w:bookmarkEnd w:id="14"/>
    </w:p>
    <w:p w14:paraId="372B7CF7" w14:textId="621D2A4F" w:rsidR="00095BFD" w:rsidRPr="000123E4" w:rsidRDefault="00095BFD" w:rsidP="00095BFD">
      <w:pPr>
        <w:spacing w:line="240" w:lineRule="auto"/>
        <w:jc w:val="both"/>
        <w:rPr>
          <w:noProof/>
        </w:rPr>
      </w:pPr>
      <w:r w:rsidRPr="000123E4">
        <w:rPr>
          <w:noProof/>
        </w:rPr>
        <w:t>The establishment of a unified funding approach as of January 2023 represented a key milestone</w:t>
      </w:r>
      <w:r w:rsidR="00795578">
        <w:rPr>
          <w:noProof/>
        </w:rPr>
        <w:t xml:space="preserve"> in</w:t>
      </w:r>
      <w:r w:rsidRPr="000123E4">
        <w:rPr>
          <w:noProof/>
        </w:rPr>
        <w:t xml:space="preserve"> </w:t>
      </w:r>
      <w:r w:rsidR="00BA3247" w:rsidRPr="000123E4">
        <w:rPr>
          <w:noProof/>
        </w:rPr>
        <w:t xml:space="preserve">building </w:t>
      </w:r>
      <w:r w:rsidRPr="000123E4">
        <w:rPr>
          <w:noProof/>
        </w:rPr>
        <w:t xml:space="preserve">a </w:t>
      </w:r>
      <w:r w:rsidR="00BA3247" w:rsidRPr="000123E4">
        <w:rPr>
          <w:noProof/>
        </w:rPr>
        <w:t xml:space="preserve">robust framework </w:t>
      </w:r>
      <w:r w:rsidRPr="000123E4">
        <w:rPr>
          <w:noProof/>
        </w:rPr>
        <w:t xml:space="preserve">for meeting </w:t>
      </w:r>
      <w:r w:rsidR="00BA3247" w:rsidRPr="000123E4">
        <w:rPr>
          <w:noProof/>
        </w:rPr>
        <w:t xml:space="preserve">the </w:t>
      </w:r>
      <w:r w:rsidRPr="000123E4">
        <w:rPr>
          <w:noProof/>
        </w:rPr>
        <w:t xml:space="preserve">EU’s funding needs as efficiently as possible. This approach allows the Commission to plan, execute and communicate all issuances in an agile and coherent way, under a </w:t>
      </w:r>
      <w:r w:rsidR="00795578">
        <w:rPr>
          <w:noProof/>
        </w:rPr>
        <w:t xml:space="preserve">common </w:t>
      </w:r>
      <w:r w:rsidRPr="000123E4">
        <w:rPr>
          <w:noProof/>
        </w:rPr>
        <w:t xml:space="preserve">risk, </w:t>
      </w:r>
      <w:r w:rsidR="00A450A6" w:rsidRPr="000123E4">
        <w:rPr>
          <w:noProof/>
        </w:rPr>
        <w:t>compliance,</w:t>
      </w:r>
      <w:r w:rsidRPr="000123E4">
        <w:rPr>
          <w:noProof/>
        </w:rPr>
        <w:t xml:space="preserve"> and governance framework </w:t>
      </w:r>
      <w:r w:rsidR="00795578">
        <w:rPr>
          <w:noProof/>
        </w:rPr>
        <w:t>for</w:t>
      </w:r>
      <w:r w:rsidRPr="000123E4">
        <w:rPr>
          <w:noProof/>
        </w:rPr>
        <w:t xml:space="preserve"> all borrowing operations.</w:t>
      </w:r>
    </w:p>
    <w:p w14:paraId="4ED8E496" w14:textId="4F59C612" w:rsidR="00095BFD" w:rsidRPr="000123E4" w:rsidRDefault="00095BFD" w:rsidP="00095BFD">
      <w:pPr>
        <w:spacing w:line="240" w:lineRule="auto"/>
        <w:jc w:val="both"/>
        <w:rPr>
          <w:noProof/>
        </w:rPr>
      </w:pPr>
      <w:r w:rsidRPr="000123E4">
        <w:rPr>
          <w:noProof/>
        </w:rPr>
        <w:t>Nevertheless, despite this ongoing transformation of the EU as an issuer and the gradual shift in the treatment of EU</w:t>
      </w:r>
      <w:r w:rsidR="00F37831">
        <w:rPr>
          <w:noProof/>
        </w:rPr>
        <w:t>-</w:t>
      </w:r>
      <w:r w:rsidRPr="000123E4">
        <w:rPr>
          <w:noProof/>
        </w:rPr>
        <w:t>Bonds</w:t>
      </w:r>
      <w:r w:rsidR="002835C6" w:rsidRPr="000123E4">
        <w:rPr>
          <w:noProof/>
          <w:vertAlign w:val="superscript"/>
          <w:lang w:val="en-GB"/>
        </w:rPr>
        <w:footnoteReference w:id="9"/>
      </w:r>
      <w:r w:rsidRPr="000123E4">
        <w:rPr>
          <w:noProof/>
        </w:rPr>
        <w:t>, markets continue to treat and price EU</w:t>
      </w:r>
      <w:r w:rsidR="00F37831">
        <w:rPr>
          <w:noProof/>
        </w:rPr>
        <w:t>-B</w:t>
      </w:r>
      <w:r w:rsidRPr="000123E4">
        <w:rPr>
          <w:noProof/>
        </w:rPr>
        <w:t>onds against the swap curve. In order to support a transition towards a pricing method that better reflects the fundamentals of EU issuances, the Commission is taking a number of actions to support the evolution and liquidity of EU</w:t>
      </w:r>
      <w:r w:rsidR="00F37831">
        <w:rPr>
          <w:noProof/>
        </w:rPr>
        <w:t>-</w:t>
      </w:r>
      <w:r w:rsidRPr="000123E4">
        <w:rPr>
          <w:noProof/>
        </w:rPr>
        <w:t xml:space="preserve">Bonds. </w:t>
      </w:r>
    </w:p>
    <w:p w14:paraId="71C63272" w14:textId="2B660A73" w:rsidR="00095BFD" w:rsidRPr="000123E4" w:rsidRDefault="00795578" w:rsidP="00095BFD">
      <w:pPr>
        <w:spacing w:line="240" w:lineRule="auto"/>
        <w:jc w:val="both"/>
        <w:rPr>
          <w:noProof/>
          <w:lang w:val="en-GB"/>
        </w:rPr>
      </w:pPr>
      <w:r>
        <w:rPr>
          <w:noProof/>
        </w:rPr>
        <w:t>T</w:t>
      </w:r>
      <w:r w:rsidR="00095BFD" w:rsidRPr="000123E4">
        <w:rPr>
          <w:noProof/>
        </w:rPr>
        <w:t xml:space="preserve">o facilitate the trading of EU-Bonds in the secondary market, </w:t>
      </w:r>
      <w:r>
        <w:rPr>
          <w:noProof/>
        </w:rPr>
        <w:t xml:space="preserve">in Q4 2023, </w:t>
      </w:r>
      <w:r w:rsidR="00095BFD" w:rsidRPr="000123E4">
        <w:rPr>
          <w:noProof/>
        </w:rPr>
        <w:t xml:space="preserve">the Commission will implement a framework for providing investors with pricing quotes on EU securities. The framework will be implemented via the EU </w:t>
      </w:r>
      <w:r>
        <w:rPr>
          <w:noProof/>
        </w:rPr>
        <w:t>p</w:t>
      </w:r>
      <w:r w:rsidR="00095BFD" w:rsidRPr="000123E4">
        <w:rPr>
          <w:noProof/>
        </w:rPr>
        <w:t xml:space="preserve">rimary </w:t>
      </w:r>
      <w:r>
        <w:rPr>
          <w:noProof/>
        </w:rPr>
        <w:t>d</w:t>
      </w:r>
      <w:r w:rsidR="00095BFD" w:rsidRPr="000123E4">
        <w:rPr>
          <w:noProof/>
        </w:rPr>
        <w:t xml:space="preserve">ealers who will provide these quotes through widely-used trading platforms, </w:t>
      </w:r>
      <w:r w:rsidR="00095BFD" w:rsidRPr="000123E4">
        <w:rPr>
          <w:noProof/>
          <w:lang w:val="en-GB"/>
        </w:rPr>
        <w:t>thereby enhancing the price discovery of the EU securities and reducing uncertainty on trade execution for dealers and investors. This quoting system will en</w:t>
      </w:r>
      <w:r>
        <w:rPr>
          <w:noProof/>
          <w:lang w:val="en-GB"/>
        </w:rPr>
        <w:t>able</w:t>
      </w:r>
      <w:r w:rsidR="00095BFD" w:rsidRPr="000123E4">
        <w:rPr>
          <w:noProof/>
          <w:lang w:val="en-GB"/>
        </w:rPr>
        <w:t xml:space="preserve"> investors</w:t>
      </w:r>
      <w:r w:rsidR="00C8297A">
        <w:rPr>
          <w:noProof/>
          <w:lang w:val="en-GB"/>
        </w:rPr>
        <w:t xml:space="preserve"> to trust</w:t>
      </w:r>
      <w:r w:rsidR="00095BFD" w:rsidRPr="000123E4">
        <w:rPr>
          <w:noProof/>
          <w:lang w:val="en-GB"/>
        </w:rPr>
        <w:t xml:space="preserve"> that the market prices </w:t>
      </w:r>
      <w:r w:rsidR="00C8297A">
        <w:rPr>
          <w:noProof/>
          <w:lang w:val="en-GB"/>
        </w:rPr>
        <w:t>quoted for</w:t>
      </w:r>
      <w:r w:rsidR="00095BFD" w:rsidRPr="000123E4">
        <w:rPr>
          <w:noProof/>
          <w:lang w:val="en-GB"/>
        </w:rPr>
        <w:t xml:space="preserve"> EU securities on trading platforms are reliable and supported by the EU’s </w:t>
      </w:r>
      <w:r w:rsidR="00C8297A">
        <w:rPr>
          <w:noProof/>
          <w:lang w:val="en-GB"/>
        </w:rPr>
        <w:t>p</w:t>
      </w:r>
      <w:r w:rsidR="00095BFD" w:rsidRPr="000123E4">
        <w:rPr>
          <w:noProof/>
          <w:lang w:val="en-GB"/>
        </w:rPr>
        <w:t xml:space="preserve">rimary </w:t>
      </w:r>
      <w:r w:rsidR="00C8297A">
        <w:rPr>
          <w:noProof/>
          <w:lang w:val="en-GB"/>
        </w:rPr>
        <w:t>d</w:t>
      </w:r>
      <w:r w:rsidR="00095BFD" w:rsidRPr="000123E4">
        <w:rPr>
          <w:noProof/>
          <w:lang w:val="en-GB"/>
        </w:rPr>
        <w:t>ealers. The Commission Decision establishing the Primary Dealer Network has been amended to establish these new arrangements</w:t>
      </w:r>
      <w:r w:rsidR="00A450A6" w:rsidRPr="000123E4">
        <w:rPr>
          <w:noProof/>
          <w:lang w:val="en-GB"/>
        </w:rPr>
        <w:t>.</w:t>
      </w:r>
      <w:r w:rsidR="00095BFD" w:rsidRPr="000123E4">
        <w:rPr>
          <w:noProof/>
          <w:lang w:val="en-GB"/>
        </w:rPr>
        <w:t xml:space="preserve"> These arrangements will take effect in the autumn and be used as part of the system for selecting </w:t>
      </w:r>
      <w:r w:rsidR="00C8297A">
        <w:rPr>
          <w:noProof/>
          <w:lang w:val="en-GB"/>
        </w:rPr>
        <w:t>p</w:t>
      </w:r>
      <w:r w:rsidR="00095BFD" w:rsidRPr="000123E4">
        <w:rPr>
          <w:noProof/>
          <w:lang w:val="en-GB"/>
        </w:rPr>
        <w:t xml:space="preserve">rimary </w:t>
      </w:r>
      <w:r w:rsidR="00C8297A">
        <w:rPr>
          <w:noProof/>
          <w:lang w:val="en-GB"/>
        </w:rPr>
        <w:t>d</w:t>
      </w:r>
      <w:r w:rsidR="00095BFD" w:rsidRPr="000123E4">
        <w:rPr>
          <w:noProof/>
          <w:lang w:val="en-GB"/>
        </w:rPr>
        <w:t xml:space="preserve">ealers </w:t>
      </w:r>
      <w:r w:rsidR="00C8297A">
        <w:rPr>
          <w:noProof/>
          <w:lang w:val="en-GB"/>
        </w:rPr>
        <w:t xml:space="preserve">to be given </w:t>
      </w:r>
      <w:r w:rsidR="00095BFD" w:rsidRPr="000123E4">
        <w:rPr>
          <w:noProof/>
          <w:lang w:val="en-GB"/>
        </w:rPr>
        <w:t>lead and co-lead mandates from next year.</w:t>
      </w:r>
    </w:p>
    <w:p w14:paraId="5B8A2517" w14:textId="67262300" w:rsidR="00095BFD" w:rsidRPr="000123E4" w:rsidRDefault="00095BFD" w:rsidP="00095BFD">
      <w:pPr>
        <w:spacing w:line="240" w:lineRule="auto"/>
        <w:jc w:val="both"/>
        <w:rPr>
          <w:noProof/>
        </w:rPr>
      </w:pPr>
      <w:r w:rsidRPr="000123E4">
        <w:rPr>
          <w:noProof/>
          <w:lang w:val="en-GB"/>
        </w:rPr>
        <w:t xml:space="preserve">In addition, </w:t>
      </w:r>
      <w:r w:rsidRPr="000123E4">
        <w:rPr>
          <w:noProof/>
        </w:rPr>
        <w:t>the Commission has started</w:t>
      </w:r>
      <w:r w:rsidR="00C8297A">
        <w:rPr>
          <w:noProof/>
        </w:rPr>
        <w:t xml:space="preserve"> to</w:t>
      </w:r>
      <w:r w:rsidRPr="000123E4">
        <w:rPr>
          <w:noProof/>
        </w:rPr>
        <w:t xml:space="preserve"> </w:t>
      </w:r>
      <w:r w:rsidR="00C8297A">
        <w:rPr>
          <w:noProof/>
        </w:rPr>
        <w:t xml:space="preserve">make </w:t>
      </w:r>
      <w:r w:rsidR="00BA3247" w:rsidRPr="000123E4">
        <w:rPr>
          <w:noProof/>
        </w:rPr>
        <w:t>prepar</w:t>
      </w:r>
      <w:r w:rsidR="00C8297A">
        <w:rPr>
          <w:noProof/>
        </w:rPr>
        <w:t>ations for</w:t>
      </w:r>
      <w:r w:rsidRPr="000123E4">
        <w:rPr>
          <w:noProof/>
        </w:rPr>
        <w:t xml:space="preserve"> a </w:t>
      </w:r>
      <w:r w:rsidR="00A450A6" w:rsidRPr="000123E4">
        <w:rPr>
          <w:noProof/>
        </w:rPr>
        <w:t>r</w:t>
      </w:r>
      <w:r w:rsidRPr="000123E4">
        <w:rPr>
          <w:noProof/>
        </w:rPr>
        <w:t xml:space="preserve">epurchase </w:t>
      </w:r>
      <w:r w:rsidR="00C8297A">
        <w:rPr>
          <w:noProof/>
        </w:rPr>
        <w:t xml:space="preserve">(‘repo’) </w:t>
      </w:r>
      <w:r w:rsidRPr="000123E4">
        <w:rPr>
          <w:noProof/>
        </w:rPr>
        <w:t xml:space="preserve">facility to support market participants in trading its bonds. Through the repo facility, the Commission will make its securities </w:t>
      </w:r>
      <w:r w:rsidR="00C8297A">
        <w:rPr>
          <w:noProof/>
        </w:rPr>
        <w:t xml:space="preserve">available </w:t>
      </w:r>
      <w:r w:rsidRPr="000123E4">
        <w:rPr>
          <w:noProof/>
        </w:rPr>
        <w:t>on a temporary basis, thus helping EU</w:t>
      </w:r>
      <w:r w:rsidR="00C8297A">
        <w:rPr>
          <w:noProof/>
        </w:rPr>
        <w:t xml:space="preserve"> p</w:t>
      </w:r>
      <w:r w:rsidRPr="000123E4">
        <w:rPr>
          <w:noProof/>
        </w:rPr>
        <w:t xml:space="preserve">rimary </w:t>
      </w:r>
      <w:r w:rsidR="00C8297A">
        <w:rPr>
          <w:noProof/>
        </w:rPr>
        <w:t>d</w:t>
      </w:r>
      <w:r w:rsidRPr="000123E4">
        <w:rPr>
          <w:noProof/>
        </w:rPr>
        <w:t xml:space="preserve">ealers to provide liquidity in EU-Bonds. </w:t>
      </w:r>
      <w:r w:rsidR="00C8297A">
        <w:rPr>
          <w:noProof/>
        </w:rPr>
        <w:t>The Commission first needs to</w:t>
      </w:r>
      <w:r w:rsidRPr="000123E4">
        <w:rPr>
          <w:noProof/>
        </w:rPr>
        <w:t xml:space="preserve"> acquire and build the capacities </w:t>
      </w:r>
      <w:r w:rsidR="00C8297A">
        <w:rPr>
          <w:noProof/>
        </w:rPr>
        <w:t>required</w:t>
      </w:r>
      <w:r w:rsidRPr="000123E4">
        <w:rPr>
          <w:noProof/>
        </w:rPr>
        <w:t xml:space="preserve"> to implement such a repo facility, </w:t>
      </w:r>
      <w:r w:rsidR="00C8297A">
        <w:rPr>
          <w:noProof/>
        </w:rPr>
        <w:t xml:space="preserve">which </w:t>
      </w:r>
      <w:r w:rsidRPr="000123E4">
        <w:rPr>
          <w:noProof/>
        </w:rPr>
        <w:t>will be operational mid-2024.</w:t>
      </w:r>
    </w:p>
    <w:p w14:paraId="5DBDCFED" w14:textId="71354D41" w:rsidR="00095BFD" w:rsidRPr="000123E4" w:rsidRDefault="00095BFD" w:rsidP="00095BFD">
      <w:pPr>
        <w:spacing w:line="240" w:lineRule="auto"/>
        <w:jc w:val="both"/>
        <w:rPr>
          <w:rFonts w:ascii="Calibri" w:hAnsi="Calibri" w:cs="Calibri"/>
          <w:noProof/>
          <w:sz w:val="28"/>
          <w:szCs w:val="28"/>
        </w:rPr>
      </w:pPr>
      <w:r w:rsidRPr="000123E4">
        <w:rPr>
          <w:noProof/>
        </w:rPr>
        <w:t xml:space="preserve">The Commission is also continuing its active engagement with market participants to identify the most effective </w:t>
      </w:r>
      <w:r w:rsidR="00C8297A">
        <w:rPr>
          <w:noProof/>
        </w:rPr>
        <w:t>way</w:t>
      </w:r>
      <w:r w:rsidRPr="000123E4">
        <w:rPr>
          <w:noProof/>
        </w:rPr>
        <w:t xml:space="preserve"> </w:t>
      </w:r>
      <w:r w:rsidR="00C8297A">
        <w:rPr>
          <w:noProof/>
        </w:rPr>
        <w:t>of</w:t>
      </w:r>
      <w:r w:rsidRPr="000123E4">
        <w:rPr>
          <w:noProof/>
        </w:rPr>
        <w:t xml:space="preserve"> further enhancing the liquidity of EU-Bonds and to allow them to </w:t>
      </w:r>
      <w:r w:rsidR="00C8297A">
        <w:rPr>
          <w:noProof/>
        </w:rPr>
        <w:t xml:space="preserve">be </w:t>
      </w:r>
      <w:r w:rsidRPr="000123E4">
        <w:rPr>
          <w:noProof/>
        </w:rPr>
        <w:t>trade</w:t>
      </w:r>
      <w:r w:rsidR="00C8297A">
        <w:rPr>
          <w:noProof/>
        </w:rPr>
        <w:t>d</w:t>
      </w:r>
      <w:r w:rsidRPr="000123E4">
        <w:rPr>
          <w:noProof/>
        </w:rPr>
        <w:t xml:space="preserve"> and price</w:t>
      </w:r>
      <w:r w:rsidR="00C8297A">
        <w:rPr>
          <w:noProof/>
        </w:rPr>
        <w:t>d</w:t>
      </w:r>
      <w:r w:rsidRPr="000123E4">
        <w:rPr>
          <w:noProof/>
        </w:rPr>
        <w:t xml:space="preserve"> in ways similar to European </w:t>
      </w:r>
      <w:r w:rsidR="00C8297A">
        <w:rPr>
          <w:noProof/>
        </w:rPr>
        <w:t>g</w:t>
      </w:r>
      <w:r w:rsidRPr="000123E4">
        <w:rPr>
          <w:noProof/>
        </w:rPr>
        <w:t xml:space="preserve">overnment </w:t>
      </w:r>
      <w:r w:rsidR="00C8297A">
        <w:rPr>
          <w:noProof/>
        </w:rPr>
        <w:t>b</w:t>
      </w:r>
      <w:r w:rsidRPr="000123E4">
        <w:rPr>
          <w:noProof/>
        </w:rPr>
        <w:t>onds. To that effect,</w:t>
      </w:r>
      <w:r w:rsidR="004D4B99">
        <w:rPr>
          <w:noProof/>
        </w:rPr>
        <w:t xml:space="preserve"> in June 2023, the </w:t>
      </w:r>
      <w:r w:rsidRPr="000123E4">
        <w:rPr>
          <w:noProof/>
        </w:rPr>
        <w:t>Commission launched its inaugural investor survey, which sought investor feedback on the role of EGB indices as benchmarks in investors’ investment decisions and on the perceived relevance of the inclusion of EU</w:t>
      </w:r>
      <w:r w:rsidR="00F37831">
        <w:rPr>
          <w:noProof/>
        </w:rPr>
        <w:t>-B</w:t>
      </w:r>
      <w:r w:rsidRPr="000123E4">
        <w:rPr>
          <w:noProof/>
        </w:rPr>
        <w:t xml:space="preserve">onds in such indices. </w:t>
      </w:r>
      <w:r w:rsidR="004D4B99">
        <w:rPr>
          <w:noProof/>
        </w:rPr>
        <w:t xml:space="preserve">The Commission is also continuing to look at ways to </w:t>
      </w:r>
      <w:r w:rsidRPr="000123E4">
        <w:rPr>
          <w:noProof/>
        </w:rPr>
        <w:t>improve the use of EU</w:t>
      </w:r>
      <w:r w:rsidR="00F37831">
        <w:rPr>
          <w:noProof/>
        </w:rPr>
        <w:t>-B</w:t>
      </w:r>
      <w:r w:rsidRPr="000123E4">
        <w:rPr>
          <w:noProof/>
        </w:rPr>
        <w:t>onds as collateral in bilateral secured transactions.</w:t>
      </w:r>
    </w:p>
    <w:p w14:paraId="55DE9881" w14:textId="6AAF3B04" w:rsidR="00095BFD" w:rsidRPr="000123E4" w:rsidRDefault="00095BFD" w:rsidP="00095BFD">
      <w:pPr>
        <w:spacing w:line="240" w:lineRule="auto"/>
        <w:jc w:val="both"/>
        <w:rPr>
          <w:noProof/>
        </w:rPr>
      </w:pPr>
      <w:r w:rsidRPr="000123E4">
        <w:rPr>
          <w:noProof/>
        </w:rPr>
        <w:t xml:space="preserve">Progress is also being made in the implementation of the EU issuance service (EIS), which will go live </w:t>
      </w:r>
      <w:r w:rsidR="00BA3247" w:rsidRPr="000123E4">
        <w:rPr>
          <w:noProof/>
        </w:rPr>
        <w:t xml:space="preserve">in early </w:t>
      </w:r>
      <w:r w:rsidRPr="000123E4">
        <w:rPr>
          <w:noProof/>
        </w:rPr>
        <w:t>January 2024. With this service, the Commission will move from using a settlement system comprising commercial suppliers of settlement services to a Eurosystem-based settlement infrastructure for EU</w:t>
      </w:r>
      <w:r w:rsidR="00F37831">
        <w:rPr>
          <w:noProof/>
        </w:rPr>
        <w:t>-B</w:t>
      </w:r>
      <w:r w:rsidRPr="000123E4">
        <w:rPr>
          <w:noProof/>
        </w:rPr>
        <w:t>onds issued after this date. EU-Bonds settled through</w:t>
      </w:r>
      <w:r w:rsidR="004D4B99">
        <w:rPr>
          <w:noProof/>
        </w:rPr>
        <w:t xml:space="preserve"> the</w:t>
      </w:r>
      <w:r w:rsidRPr="000123E4">
        <w:rPr>
          <w:noProof/>
        </w:rPr>
        <w:t xml:space="preserve"> EIS will benefit from </w:t>
      </w:r>
      <w:r w:rsidR="004D4B99">
        <w:rPr>
          <w:noProof/>
        </w:rPr>
        <w:t>integration into</w:t>
      </w:r>
      <w:r w:rsidRPr="000123E4">
        <w:rPr>
          <w:noProof/>
        </w:rPr>
        <w:t xml:space="preserve"> the</w:t>
      </w:r>
      <w:r w:rsidR="004D4B99">
        <w:rPr>
          <w:noProof/>
        </w:rPr>
        <w:t xml:space="preserve"> Eurosystem</w:t>
      </w:r>
      <w:r w:rsidRPr="000123E4">
        <w:rPr>
          <w:noProof/>
        </w:rPr>
        <w:t xml:space="preserve"> payment and settlement infrastructure</w:t>
      </w:r>
      <w:r w:rsidR="004D4B99">
        <w:rPr>
          <w:noProof/>
        </w:rPr>
        <w:t xml:space="preserve"> </w:t>
      </w:r>
      <w:r w:rsidRPr="000123E4">
        <w:rPr>
          <w:noProof/>
        </w:rPr>
        <w:t xml:space="preserve">(Target/Target2S) – as European </w:t>
      </w:r>
      <w:r w:rsidR="004D4B99">
        <w:rPr>
          <w:noProof/>
        </w:rPr>
        <w:t>g</w:t>
      </w:r>
      <w:r w:rsidRPr="000123E4">
        <w:rPr>
          <w:noProof/>
        </w:rPr>
        <w:t xml:space="preserve">overnment </w:t>
      </w:r>
      <w:r w:rsidR="004D4B99">
        <w:rPr>
          <w:noProof/>
        </w:rPr>
        <w:t>b</w:t>
      </w:r>
      <w:r w:rsidRPr="000123E4">
        <w:rPr>
          <w:noProof/>
        </w:rPr>
        <w:t xml:space="preserve">onds </w:t>
      </w:r>
      <w:r w:rsidR="004D4B99" w:rsidRPr="000123E4">
        <w:rPr>
          <w:noProof/>
        </w:rPr>
        <w:t>–</w:t>
      </w:r>
      <w:r w:rsidRPr="000123E4">
        <w:rPr>
          <w:noProof/>
        </w:rPr>
        <w:t xml:space="preserve"> facilitating their use as collateral in the Eurosystem. </w:t>
      </w:r>
    </w:p>
    <w:p w14:paraId="1199E46A" w14:textId="77777777" w:rsidR="00303954" w:rsidRPr="000123E4" w:rsidRDefault="00303954" w:rsidP="00303954">
      <w:pPr>
        <w:pStyle w:val="Heading1"/>
        <w:numPr>
          <w:ilvl w:val="0"/>
          <w:numId w:val="0"/>
        </w:numPr>
        <w:spacing w:after="200"/>
        <w:ind w:left="502"/>
        <w:contextualSpacing/>
        <w:rPr>
          <w:rFonts w:cs="Times New Roman"/>
          <w:noProof/>
          <w:color w:val="auto"/>
          <w:sz w:val="24"/>
          <w:szCs w:val="24"/>
        </w:rPr>
      </w:pPr>
    </w:p>
    <w:p w14:paraId="15D20713" w14:textId="47598E76" w:rsidR="001401DA" w:rsidRPr="000123E4" w:rsidRDefault="007D6C82" w:rsidP="001401DA">
      <w:pPr>
        <w:pStyle w:val="Heading1"/>
        <w:spacing w:after="200"/>
        <w:contextualSpacing/>
        <w:rPr>
          <w:rFonts w:cs="Times New Roman"/>
          <w:noProof/>
          <w:color w:val="auto"/>
          <w:sz w:val="24"/>
          <w:szCs w:val="24"/>
        </w:rPr>
      </w:pPr>
      <w:bookmarkStart w:id="15" w:name="_Toc140069413"/>
      <w:r w:rsidRPr="000123E4">
        <w:rPr>
          <w:rFonts w:cs="Times New Roman"/>
          <w:noProof/>
          <w:color w:val="auto"/>
          <w:sz w:val="24"/>
          <w:szCs w:val="24"/>
        </w:rPr>
        <w:t>Issuance outlook</w:t>
      </w:r>
      <w:r w:rsidR="003668D8" w:rsidRPr="000123E4">
        <w:rPr>
          <w:rFonts w:cs="Times New Roman"/>
          <w:noProof/>
          <w:color w:val="auto"/>
          <w:sz w:val="24"/>
          <w:szCs w:val="24"/>
        </w:rPr>
        <w:t xml:space="preserve"> for</w:t>
      </w:r>
      <w:r w:rsidR="001401DA" w:rsidRPr="000123E4">
        <w:rPr>
          <w:rFonts w:cs="Times New Roman"/>
          <w:noProof/>
          <w:color w:val="auto"/>
          <w:sz w:val="24"/>
          <w:szCs w:val="24"/>
        </w:rPr>
        <w:t xml:space="preserve"> the second half of</w:t>
      </w:r>
      <w:r w:rsidR="003668D8" w:rsidRPr="000123E4">
        <w:rPr>
          <w:rFonts w:cs="Times New Roman"/>
          <w:noProof/>
          <w:color w:val="auto"/>
          <w:sz w:val="24"/>
          <w:szCs w:val="24"/>
        </w:rPr>
        <w:t xml:space="preserve"> 2023</w:t>
      </w:r>
      <w:bookmarkEnd w:id="15"/>
    </w:p>
    <w:p w14:paraId="3F70045F" w14:textId="0E3B4C5B" w:rsidR="00A450A6" w:rsidRPr="000123E4" w:rsidRDefault="00A450A6" w:rsidP="00A450A6">
      <w:pPr>
        <w:spacing w:line="240" w:lineRule="auto"/>
        <w:jc w:val="both"/>
        <w:rPr>
          <w:noProof/>
        </w:rPr>
      </w:pPr>
      <w:r w:rsidRPr="000123E4">
        <w:rPr>
          <w:noProof/>
          <w:lang w:val="en-GB"/>
        </w:rPr>
        <w:t xml:space="preserve">On </w:t>
      </w:r>
      <w:r w:rsidR="00DE29C3" w:rsidRPr="000123E4">
        <w:rPr>
          <w:noProof/>
          <w:lang w:val="en-GB"/>
        </w:rPr>
        <w:t>2</w:t>
      </w:r>
      <w:r w:rsidR="00BA3247" w:rsidRPr="000123E4">
        <w:rPr>
          <w:noProof/>
          <w:lang w:val="en-GB"/>
        </w:rPr>
        <w:t>8</w:t>
      </w:r>
      <w:r w:rsidRPr="000123E4">
        <w:rPr>
          <w:noProof/>
          <w:lang w:val="en-GB"/>
        </w:rPr>
        <w:t xml:space="preserve"> June 2023, the Commission issued its </w:t>
      </w:r>
      <w:r w:rsidRPr="000123E4">
        <w:rPr>
          <w:noProof/>
        </w:rPr>
        <w:t>half-yearly funding plan for July to end-December 2023. In the second half of 2023, the Commission intends to issue EUR 40 billion in EU-Bonds, complemented by short-term EU-Bills. The Commission will use these funds to finance NextGenerationEU (including possible payments under REPowerEU) and MFA+ for Ukraine. Further issuances o</w:t>
      </w:r>
      <w:r w:rsidR="004D4B99">
        <w:rPr>
          <w:noProof/>
        </w:rPr>
        <w:t>n a</w:t>
      </w:r>
      <w:r w:rsidRPr="000123E4">
        <w:rPr>
          <w:noProof/>
        </w:rPr>
        <w:t xml:space="preserve"> much smaller scale</w:t>
      </w:r>
      <w:r w:rsidR="004D4B99">
        <w:rPr>
          <w:noProof/>
        </w:rPr>
        <w:t xml:space="preserve"> are also possible</w:t>
      </w:r>
      <w:r w:rsidRPr="000123E4">
        <w:rPr>
          <w:noProof/>
        </w:rPr>
        <w:t xml:space="preserve"> under existing MFA and E</w:t>
      </w:r>
      <w:r w:rsidR="00D57DD8">
        <w:rPr>
          <w:noProof/>
        </w:rPr>
        <w:t>SM</w:t>
      </w:r>
      <w:r w:rsidRPr="000123E4">
        <w:rPr>
          <w:noProof/>
        </w:rPr>
        <w:t xml:space="preserve"> programmes.</w:t>
      </w:r>
    </w:p>
    <w:p w14:paraId="4764760C" w14:textId="5878233A" w:rsidR="00A450A6" w:rsidRDefault="00A450A6" w:rsidP="00A450A6">
      <w:pPr>
        <w:spacing w:line="240" w:lineRule="auto"/>
        <w:jc w:val="both"/>
        <w:rPr>
          <w:noProof/>
        </w:rPr>
      </w:pPr>
      <w:r w:rsidRPr="000123E4">
        <w:rPr>
          <w:noProof/>
        </w:rPr>
        <w:t xml:space="preserve">While new issuance to support Ukraine through the Ukraine Finance Facility will involve additional issuance to provide further loans to Ukraine, this issuance </w:t>
      </w:r>
      <w:r w:rsidR="00BA3247" w:rsidRPr="000123E4">
        <w:rPr>
          <w:noProof/>
        </w:rPr>
        <w:t xml:space="preserve">will only start in 2024 once </w:t>
      </w:r>
      <w:r w:rsidRPr="000123E4">
        <w:rPr>
          <w:noProof/>
        </w:rPr>
        <w:t xml:space="preserve">the </w:t>
      </w:r>
      <w:r w:rsidR="00BA3247" w:rsidRPr="000123E4">
        <w:rPr>
          <w:noProof/>
        </w:rPr>
        <w:t xml:space="preserve">legislation establishing the </w:t>
      </w:r>
      <w:r w:rsidRPr="000123E4">
        <w:rPr>
          <w:noProof/>
        </w:rPr>
        <w:t xml:space="preserve">Facility </w:t>
      </w:r>
      <w:r w:rsidR="004D4B99">
        <w:rPr>
          <w:noProof/>
        </w:rPr>
        <w:t>has been</w:t>
      </w:r>
      <w:r w:rsidRPr="000123E4">
        <w:rPr>
          <w:noProof/>
        </w:rPr>
        <w:t xml:space="preserve"> adopted. </w:t>
      </w:r>
    </w:p>
    <w:p w14:paraId="5569521A" w14:textId="26E6AFBF" w:rsidR="00855953" w:rsidRDefault="00855953" w:rsidP="00A450A6">
      <w:pPr>
        <w:spacing w:line="240" w:lineRule="auto"/>
        <w:jc w:val="both"/>
        <w:rPr>
          <w:noProof/>
        </w:rPr>
      </w:pPr>
      <w:r w:rsidRPr="00855953">
        <w:rPr>
          <w:noProof/>
        </w:rPr>
        <w:t>The funding target for the second half of 2023 reflects the expected disbursement needs of various beneficiaries, notably EU Member States under the Recovery and Resilience Facility. Currently</w:t>
      </w:r>
      <w:r w:rsidR="004D4B99">
        <w:rPr>
          <w:noProof/>
        </w:rPr>
        <w:t>,</w:t>
      </w:r>
      <w:r w:rsidRPr="00855953">
        <w:rPr>
          <w:noProof/>
        </w:rPr>
        <w:t xml:space="preserve"> Member States are revising their recovery and resilience plans to reflect the revised </w:t>
      </w:r>
      <w:r w:rsidR="00CD50EA" w:rsidRPr="00CD50EA">
        <w:rPr>
          <w:noProof/>
        </w:rPr>
        <w:t>non-reimbursable support</w:t>
      </w:r>
      <w:r w:rsidRPr="00855953">
        <w:rPr>
          <w:noProof/>
        </w:rPr>
        <w:t xml:space="preserve"> allocations, request additional loans if </w:t>
      </w:r>
      <w:r w:rsidR="004D4B99">
        <w:rPr>
          <w:noProof/>
        </w:rPr>
        <w:t>they wish</w:t>
      </w:r>
      <w:r w:rsidRPr="00855953">
        <w:rPr>
          <w:noProof/>
        </w:rPr>
        <w:t xml:space="preserve">, or adjust to new priorities and additional funding opportunities, under REPowerEU. Against this background, </w:t>
      </w:r>
      <w:r w:rsidR="004D4B99">
        <w:rPr>
          <w:noProof/>
        </w:rPr>
        <w:t xml:space="preserve">a </w:t>
      </w:r>
      <w:r w:rsidRPr="00855953">
        <w:rPr>
          <w:noProof/>
        </w:rPr>
        <w:t xml:space="preserve">bond issuance of EUR 40 billon will </w:t>
      </w:r>
      <w:r w:rsidR="004D4B99">
        <w:rPr>
          <w:noProof/>
        </w:rPr>
        <w:t xml:space="preserve">enable </w:t>
      </w:r>
      <w:r w:rsidRPr="00855953">
        <w:rPr>
          <w:noProof/>
        </w:rPr>
        <w:t>the EU to raise the required amounts while maintaining a regular market presence throughout the second half of the year.</w:t>
      </w:r>
    </w:p>
    <w:p w14:paraId="1C587722" w14:textId="77777777" w:rsidR="007E251D" w:rsidRPr="000123E4" w:rsidRDefault="007E251D" w:rsidP="00A450A6">
      <w:pPr>
        <w:spacing w:line="240" w:lineRule="auto"/>
        <w:jc w:val="both"/>
        <w:rPr>
          <w:noProof/>
        </w:rPr>
      </w:pPr>
    </w:p>
    <w:p w14:paraId="72D57FF2" w14:textId="13C98DBF" w:rsidR="003668D8" w:rsidRPr="000123E4" w:rsidRDefault="0068361C" w:rsidP="00D3648A">
      <w:pPr>
        <w:pStyle w:val="Heading1"/>
        <w:spacing w:after="200"/>
        <w:contextualSpacing/>
        <w:rPr>
          <w:rFonts w:cs="Times New Roman"/>
          <w:noProof/>
          <w:color w:val="auto"/>
          <w:sz w:val="24"/>
          <w:szCs w:val="24"/>
        </w:rPr>
      </w:pPr>
      <w:bookmarkStart w:id="16" w:name="_Toc140069414"/>
      <w:r w:rsidRPr="000123E4">
        <w:rPr>
          <w:rFonts w:cs="Times New Roman"/>
          <w:noProof/>
          <w:color w:val="auto"/>
          <w:sz w:val="24"/>
          <w:szCs w:val="24"/>
        </w:rPr>
        <w:t>Conclusion</w:t>
      </w:r>
      <w:bookmarkEnd w:id="16"/>
    </w:p>
    <w:p w14:paraId="45E288B9" w14:textId="79851A4F" w:rsidR="00A450A6" w:rsidRPr="000123E4" w:rsidRDefault="004D4B99" w:rsidP="00A450A6">
      <w:pPr>
        <w:spacing w:after="0" w:line="240" w:lineRule="auto"/>
        <w:jc w:val="both"/>
        <w:rPr>
          <w:iCs/>
          <w:noProof/>
        </w:rPr>
      </w:pPr>
      <w:r>
        <w:rPr>
          <w:iCs/>
          <w:noProof/>
        </w:rPr>
        <w:t>In</w:t>
      </w:r>
      <w:r w:rsidR="00A450A6" w:rsidRPr="000123E4">
        <w:rPr>
          <w:iCs/>
          <w:noProof/>
        </w:rPr>
        <w:t xml:space="preserve"> the first </w:t>
      </w:r>
      <w:r>
        <w:rPr>
          <w:iCs/>
          <w:noProof/>
        </w:rPr>
        <w:t>6</w:t>
      </w:r>
      <w:r w:rsidR="00A450A6" w:rsidRPr="000123E4">
        <w:rPr>
          <w:iCs/>
          <w:noProof/>
        </w:rPr>
        <w:t xml:space="preserve"> months of 2023, the unified funding approach enabled the Commission to raise </w:t>
      </w:r>
      <w:r w:rsidR="00973A8D" w:rsidRPr="000123E4">
        <w:rPr>
          <w:iCs/>
          <w:noProof/>
        </w:rPr>
        <w:t xml:space="preserve">close to </w:t>
      </w:r>
      <w:r w:rsidR="00A450A6" w:rsidRPr="000123E4">
        <w:rPr>
          <w:iCs/>
          <w:noProof/>
        </w:rPr>
        <w:t xml:space="preserve">EUR 80 billion for NextGenerationEU and MFA+ for Ukraine at rates </w:t>
      </w:r>
      <w:r w:rsidR="00A450A6" w:rsidRPr="007E251D">
        <w:rPr>
          <w:iCs/>
          <w:noProof/>
        </w:rPr>
        <w:t>commensurate to its standing in the market. As of 30 June 2023, a</w:t>
      </w:r>
      <w:r w:rsidR="00084648">
        <w:rPr>
          <w:iCs/>
          <w:noProof/>
        </w:rPr>
        <w:t>lmost</w:t>
      </w:r>
      <w:r w:rsidR="00A450A6" w:rsidRPr="007E251D">
        <w:rPr>
          <w:iCs/>
          <w:noProof/>
        </w:rPr>
        <w:t xml:space="preserve"> EUR </w:t>
      </w:r>
      <w:r w:rsidR="00B47F53" w:rsidRPr="007E251D">
        <w:rPr>
          <w:iCs/>
          <w:noProof/>
        </w:rPr>
        <w:t>2</w:t>
      </w:r>
      <w:r w:rsidR="00501B59">
        <w:rPr>
          <w:iCs/>
          <w:noProof/>
        </w:rPr>
        <w:t>50</w:t>
      </w:r>
      <w:r w:rsidR="00B47F53" w:rsidRPr="007E251D">
        <w:rPr>
          <w:iCs/>
          <w:noProof/>
        </w:rPr>
        <w:t xml:space="preserve"> </w:t>
      </w:r>
      <w:r w:rsidR="00A450A6" w:rsidRPr="007E251D">
        <w:rPr>
          <w:iCs/>
          <w:noProof/>
        </w:rPr>
        <w:t xml:space="preserve">billion has been raised under the unified funding approach to finance NextGenerationEU and MFA+ to Ukraine. </w:t>
      </w:r>
      <w:r w:rsidR="007F10A6" w:rsidRPr="007E251D">
        <w:rPr>
          <w:iCs/>
          <w:noProof/>
        </w:rPr>
        <w:t>The availability of large balances heading into the second half of the year, combined with a temporary slow-down in</w:t>
      </w:r>
      <w:r w:rsidR="009678F3">
        <w:rPr>
          <w:iCs/>
          <w:noProof/>
        </w:rPr>
        <w:t xml:space="preserve"> the</w:t>
      </w:r>
      <w:r w:rsidR="007F10A6" w:rsidRPr="007E251D">
        <w:rPr>
          <w:iCs/>
          <w:noProof/>
        </w:rPr>
        <w:t xml:space="preserve"> pace of disbursements as </w:t>
      </w:r>
      <w:r w:rsidR="000A1136" w:rsidRPr="007E251D">
        <w:rPr>
          <w:iCs/>
          <w:noProof/>
        </w:rPr>
        <w:t>Member States</w:t>
      </w:r>
      <w:r w:rsidR="009678F3">
        <w:rPr>
          <w:iCs/>
          <w:noProof/>
        </w:rPr>
        <w:t xml:space="preserve"> revise their</w:t>
      </w:r>
      <w:r w:rsidR="000A1136" w:rsidRPr="007E251D">
        <w:rPr>
          <w:iCs/>
          <w:noProof/>
        </w:rPr>
        <w:t xml:space="preserve"> </w:t>
      </w:r>
      <w:r w:rsidR="00855953" w:rsidRPr="007E251D">
        <w:rPr>
          <w:iCs/>
          <w:noProof/>
        </w:rPr>
        <w:t>r</w:t>
      </w:r>
      <w:r w:rsidR="000A1136" w:rsidRPr="007E251D">
        <w:rPr>
          <w:iCs/>
          <w:noProof/>
        </w:rPr>
        <w:t xml:space="preserve">ecovery and </w:t>
      </w:r>
      <w:r w:rsidR="00855953" w:rsidRPr="007E251D">
        <w:rPr>
          <w:iCs/>
          <w:noProof/>
        </w:rPr>
        <w:t>r</w:t>
      </w:r>
      <w:r w:rsidR="000A1136" w:rsidRPr="007E251D">
        <w:rPr>
          <w:iCs/>
          <w:noProof/>
        </w:rPr>
        <w:t xml:space="preserve">esilience </w:t>
      </w:r>
      <w:r w:rsidR="00855953" w:rsidRPr="007E251D">
        <w:rPr>
          <w:iCs/>
          <w:noProof/>
        </w:rPr>
        <w:t>p</w:t>
      </w:r>
      <w:r w:rsidR="000A1136" w:rsidRPr="007E251D">
        <w:rPr>
          <w:iCs/>
          <w:noProof/>
        </w:rPr>
        <w:t>lans, is reflected in lower programmed bond issuance (EUR 40 billion) in the second half of the year.</w:t>
      </w:r>
      <w:r w:rsidR="000A1136" w:rsidRPr="000123E4">
        <w:rPr>
          <w:iCs/>
          <w:noProof/>
        </w:rPr>
        <w:t xml:space="preserve"> </w:t>
      </w:r>
    </w:p>
    <w:p w14:paraId="1EA3EC5D" w14:textId="77777777" w:rsidR="00A450A6" w:rsidRPr="000123E4" w:rsidRDefault="00A450A6" w:rsidP="00A450A6">
      <w:pPr>
        <w:spacing w:after="0" w:line="240" w:lineRule="auto"/>
        <w:jc w:val="both"/>
        <w:rPr>
          <w:iCs/>
          <w:noProof/>
        </w:rPr>
      </w:pPr>
    </w:p>
    <w:p w14:paraId="11AF6662" w14:textId="3AFFA7B6" w:rsidR="00A450A6" w:rsidRPr="000123E4" w:rsidRDefault="00A450A6" w:rsidP="00A450A6">
      <w:pPr>
        <w:spacing w:after="0" w:line="240" w:lineRule="auto"/>
        <w:jc w:val="both"/>
        <w:rPr>
          <w:iCs/>
          <w:noProof/>
        </w:rPr>
      </w:pPr>
      <w:r w:rsidRPr="000123E4">
        <w:rPr>
          <w:iCs/>
          <w:noProof/>
        </w:rPr>
        <w:t xml:space="preserve">During </w:t>
      </w:r>
      <w:r w:rsidR="009678F3">
        <w:rPr>
          <w:iCs/>
          <w:noProof/>
        </w:rPr>
        <w:t xml:space="preserve">the </w:t>
      </w:r>
      <w:r w:rsidRPr="000123E4">
        <w:rPr>
          <w:iCs/>
          <w:noProof/>
        </w:rPr>
        <w:t xml:space="preserve">first half of 2023, interest rates </w:t>
      </w:r>
      <w:r w:rsidR="009678F3">
        <w:rPr>
          <w:iCs/>
          <w:noProof/>
        </w:rPr>
        <w:t>rose</w:t>
      </w:r>
      <w:r w:rsidRPr="000123E4">
        <w:rPr>
          <w:iCs/>
          <w:noProof/>
        </w:rPr>
        <w:t xml:space="preserve"> slightly, not only for the EU but for all (sovereign) issuers. The pace of increase </w:t>
      </w:r>
      <w:r w:rsidR="009678F3">
        <w:rPr>
          <w:iCs/>
          <w:noProof/>
        </w:rPr>
        <w:t>is slower than</w:t>
      </w:r>
      <w:r w:rsidRPr="000123E4">
        <w:rPr>
          <w:iCs/>
          <w:noProof/>
        </w:rPr>
        <w:t xml:space="preserve"> last </w:t>
      </w:r>
      <w:r w:rsidR="009678F3" w:rsidRPr="000123E4">
        <w:rPr>
          <w:iCs/>
          <w:noProof/>
        </w:rPr>
        <w:t>year,</w:t>
      </w:r>
      <w:r w:rsidRPr="000123E4">
        <w:rPr>
          <w:iCs/>
          <w:noProof/>
        </w:rPr>
        <w:t xml:space="preserve"> and rates have started to stabilise as market</w:t>
      </w:r>
      <w:r w:rsidR="00BA3247" w:rsidRPr="000123E4">
        <w:rPr>
          <w:iCs/>
          <w:noProof/>
        </w:rPr>
        <w:t>s</w:t>
      </w:r>
      <w:r w:rsidRPr="000123E4">
        <w:rPr>
          <w:iCs/>
          <w:noProof/>
        </w:rPr>
        <w:t xml:space="preserve"> expect</w:t>
      </w:r>
      <w:r w:rsidR="00BA3247" w:rsidRPr="000123E4">
        <w:rPr>
          <w:iCs/>
          <w:noProof/>
        </w:rPr>
        <w:t xml:space="preserve"> </w:t>
      </w:r>
      <w:r w:rsidRPr="000123E4">
        <w:rPr>
          <w:iCs/>
          <w:noProof/>
        </w:rPr>
        <w:t xml:space="preserve">that much of the central-bank rate-hiking needed to tame inflation has been completed. The period has seen considerable volatility in response to changing market expectations about further rate increases. EU bond issuance was met with strong and steady investor demand through this period, </w:t>
      </w:r>
      <w:r w:rsidR="009678F3">
        <w:rPr>
          <w:iCs/>
          <w:noProof/>
        </w:rPr>
        <w:t>despite</w:t>
      </w:r>
      <w:r w:rsidRPr="000123E4">
        <w:rPr>
          <w:iCs/>
          <w:noProof/>
        </w:rPr>
        <w:t xml:space="preserve"> the backdrop of market volatility.</w:t>
      </w:r>
    </w:p>
    <w:p w14:paraId="10F772BB" w14:textId="77777777" w:rsidR="00A450A6" w:rsidRPr="000123E4" w:rsidRDefault="00A450A6" w:rsidP="00A450A6">
      <w:pPr>
        <w:spacing w:after="0" w:line="240" w:lineRule="auto"/>
        <w:jc w:val="both"/>
        <w:rPr>
          <w:iCs/>
          <w:noProof/>
        </w:rPr>
      </w:pPr>
    </w:p>
    <w:p w14:paraId="7FF91B17" w14:textId="03DAF12A" w:rsidR="00A450A6" w:rsidRPr="000123E4" w:rsidRDefault="00A450A6" w:rsidP="00A450A6">
      <w:pPr>
        <w:spacing w:after="0" w:line="240" w:lineRule="auto"/>
        <w:jc w:val="both"/>
        <w:rPr>
          <w:iCs/>
          <w:noProof/>
        </w:rPr>
      </w:pPr>
      <w:r w:rsidRPr="000123E4">
        <w:rPr>
          <w:noProof/>
          <w:lang w:val="en-US"/>
        </w:rPr>
        <w:t xml:space="preserve">The market convention whereby the EU is priced against the swap curve results in the EU paying a premium above the rates paid by sovereign EGB issuers. This has exacerbated the underlying increase in market rates. </w:t>
      </w:r>
      <w:r w:rsidRPr="000123E4">
        <w:rPr>
          <w:noProof/>
        </w:rPr>
        <w:t xml:space="preserve">The new unified funding </w:t>
      </w:r>
      <w:r w:rsidRPr="00772A8D">
        <w:rPr>
          <w:noProof/>
        </w:rPr>
        <w:t>approach for the issuance of EU-Bonds is a</w:t>
      </w:r>
      <w:r w:rsidR="009678F3" w:rsidRPr="00772A8D">
        <w:rPr>
          <w:noProof/>
        </w:rPr>
        <w:t xml:space="preserve"> major step</w:t>
      </w:r>
      <w:r w:rsidRPr="00772A8D">
        <w:rPr>
          <w:noProof/>
        </w:rPr>
        <w:t xml:space="preserve"> forward in consolidating the EU’s market presence. However, the Commission is taking further steps to </w:t>
      </w:r>
      <w:r w:rsidR="00902938" w:rsidRPr="00772A8D">
        <w:rPr>
          <w:noProof/>
        </w:rPr>
        <w:t>encourage</w:t>
      </w:r>
      <w:r w:rsidRPr="00772A8D">
        <w:rPr>
          <w:noProof/>
        </w:rPr>
        <w:t xml:space="preserve"> pricing of EU-Bonds </w:t>
      </w:r>
      <w:r w:rsidR="00902938" w:rsidRPr="00772A8D">
        <w:rPr>
          <w:noProof/>
        </w:rPr>
        <w:t xml:space="preserve">in line </w:t>
      </w:r>
      <w:r w:rsidRPr="00772A8D">
        <w:rPr>
          <w:noProof/>
        </w:rPr>
        <w:t xml:space="preserve">with that </w:t>
      </w:r>
      <w:r w:rsidR="00902938" w:rsidRPr="00772A8D">
        <w:rPr>
          <w:noProof/>
        </w:rPr>
        <w:t>of</w:t>
      </w:r>
      <w:r w:rsidRPr="00772A8D">
        <w:rPr>
          <w:noProof/>
        </w:rPr>
        <w:t xml:space="preserve"> </w:t>
      </w:r>
      <w:r w:rsidRPr="00772A8D">
        <w:rPr>
          <w:noProof/>
          <w:lang w:val="en-US"/>
        </w:rPr>
        <w:t xml:space="preserve">bonds of highly rated sovereign issuers so as to reduce the premium it pays on its issuance. These measures include </w:t>
      </w:r>
      <w:r w:rsidRPr="00772A8D">
        <w:rPr>
          <w:noProof/>
        </w:rPr>
        <w:t>a price quoting system to become operational this autumn</w:t>
      </w:r>
      <w:r w:rsidR="009678F3" w:rsidRPr="00772A8D">
        <w:rPr>
          <w:noProof/>
        </w:rPr>
        <w:t xml:space="preserve"> and</w:t>
      </w:r>
      <w:r w:rsidRPr="00772A8D">
        <w:rPr>
          <w:noProof/>
        </w:rPr>
        <w:t xml:space="preserve"> the establish</w:t>
      </w:r>
      <w:r w:rsidRPr="000123E4">
        <w:rPr>
          <w:noProof/>
        </w:rPr>
        <w:t>ment of a repo facility (mid</w:t>
      </w:r>
      <w:r w:rsidR="009678F3">
        <w:rPr>
          <w:noProof/>
        </w:rPr>
        <w:t>-</w:t>
      </w:r>
      <w:r w:rsidRPr="000123E4">
        <w:rPr>
          <w:noProof/>
        </w:rPr>
        <w:t>2024)</w:t>
      </w:r>
      <w:r w:rsidR="009678F3">
        <w:rPr>
          <w:noProof/>
        </w:rPr>
        <w:t>. It is also</w:t>
      </w:r>
      <w:r w:rsidRPr="000123E4">
        <w:rPr>
          <w:noProof/>
        </w:rPr>
        <w:t xml:space="preserve"> encouraging the market to improve </w:t>
      </w:r>
      <w:r w:rsidR="009678F3">
        <w:rPr>
          <w:noProof/>
        </w:rPr>
        <w:t xml:space="preserve">the </w:t>
      </w:r>
      <w:r w:rsidRPr="000123E4">
        <w:rPr>
          <w:noProof/>
        </w:rPr>
        <w:t>use of EU</w:t>
      </w:r>
      <w:r w:rsidR="004A0271" w:rsidRPr="000123E4">
        <w:rPr>
          <w:noProof/>
        </w:rPr>
        <w:t>-B</w:t>
      </w:r>
      <w:r w:rsidRPr="000123E4">
        <w:rPr>
          <w:noProof/>
        </w:rPr>
        <w:t xml:space="preserve">onds as collateral and recognise them as deserving </w:t>
      </w:r>
      <w:r w:rsidR="009678F3">
        <w:rPr>
          <w:noProof/>
        </w:rPr>
        <w:t xml:space="preserve">of </w:t>
      </w:r>
      <w:r w:rsidRPr="000123E4">
        <w:rPr>
          <w:noProof/>
        </w:rPr>
        <w:t>inclusion in sovereign bond market indices.</w:t>
      </w:r>
    </w:p>
    <w:p w14:paraId="1291332D" w14:textId="77777777" w:rsidR="00A450A6" w:rsidRPr="000123E4" w:rsidRDefault="00A450A6" w:rsidP="00A450A6">
      <w:pPr>
        <w:spacing w:after="0" w:line="240" w:lineRule="auto"/>
        <w:jc w:val="both"/>
        <w:rPr>
          <w:noProof/>
        </w:rPr>
      </w:pPr>
    </w:p>
    <w:p w14:paraId="6DE22895" w14:textId="0018E6EA" w:rsidR="004A0271" w:rsidRPr="000123E4" w:rsidRDefault="00A450A6" w:rsidP="000123E4">
      <w:pPr>
        <w:spacing w:line="240" w:lineRule="auto"/>
        <w:jc w:val="both"/>
        <w:rPr>
          <w:noProof/>
          <w:lang w:val="en-GB"/>
        </w:rPr>
      </w:pPr>
      <w:r w:rsidRPr="000123E4">
        <w:rPr>
          <w:noProof/>
          <w:lang w:val="en-GB"/>
        </w:rPr>
        <w:t xml:space="preserve">The conclusions and recommendations </w:t>
      </w:r>
      <w:r w:rsidR="009678F3">
        <w:rPr>
          <w:noProof/>
          <w:lang w:val="en-GB"/>
        </w:rPr>
        <w:t>in</w:t>
      </w:r>
      <w:r w:rsidRPr="000123E4">
        <w:rPr>
          <w:noProof/>
          <w:lang w:val="en-GB"/>
        </w:rPr>
        <w:t xml:space="preserve"> the ECA special report on the NextGenerationEU debt management operations are welcome input</w:t>
      </w:r>
      <w:r w:rsidR="009678F3">
        <w:rPr>
          <w:noProof/>
          <w:lang w:val="en-GB"/>
        </w:rPr>
        <w:t>s</w:t>
      </w:r>
      <w:r w:rsidRPr="000123E4">
        <w:rPr>
          <w:noProof/>
          <w:lang w:val="en-GB"/>
        </w:rPr>
        <w:t xml:space="preserve"> </w:t>
      </w:r>
      <w:r w:rsidR="009678F3">
        <w:rPr>
          <w:noProof/>
          <w:lang w:val="en-GB"/>
        </w:rPr>
        <w:t>for</w:t>
      </w:r>
      <w:r w:rsidRPr="000123E4">
        <w:rPr>
          <w:noProof/>
          <w:lang w:val="en-GB"/>
        </w:rPr>
        <w:t xml:space="preserve"> the Commission’s efforts to improve the EU’s standing in euro-capital markets. The Commission is already working to implement the recommendations in a timely manner, with t</w:t>
      </w:r>
      <w:r w:rsidRPr="000123E4">
        <w:rPr>
          <w:noProof/>
          <w:lang w:val="en-US"/>
        </w:rPr>
        <w:t xml:space="preserve">he objectives and indicators described in the annex </w:t>
      </w:r>
      <w:r w:rsidR="009678F3">
        <w:rPr>
          <w:noProof/>
          <w:lang w:val="en-US"/>
        </w:rPr>
        <w:t>to</w:t>
      </w:r>
      <w:r w:rsidRPr="000123E4">
        <w:rPr>
          <w:noProof/>
          <w:lang w:val="en-US"/>
        </w:rPr>
        <w:t xml:space="preserve"> this report as a first step.</w:t>
      </w:r>
      <w:r w:rsidRPr="00096802">
        <w:rPr>
          <w:noProof/>
          <w:lang w:val="en-US"/>
        </w:rPr>
        <w:t xml:space="preserve"> </w:t>
      </w:r>
    </w:p>
    <w:p w14:paraId="7757AB37" w14:textId="77777777" w:rsidR="007E251D" w:rsidRDefault="007E251D">
      <w:pPr>
        <w:spacing w:after="160" w:line="259" w:lineRule="auto"/>
        <w:rPr>
          <w:b/>
          <w:bCs/>
          <w:noProof/>
        </w:rPr>
      </w:pPr>
      <w:r>
        <w:rPr>
          <w:b/>
          <w:bCs/>
          <w:noProof/>
        </w:rPr>
        <w:br w:type="page"/>
      </w:r>
    </w:p>
    <w:p w14:paraId="7ABE2925" w14:textId="61FB0E12" w:rsidR="00A046A3" w:rsidRPr="00B12D15" w:rsidRDefault="001401DA" w:rsidP="00B12D15">
      <w:pPr>
        <w:pStyle w:val="Heading1"/>
        <w:numPr>
          <w:ilvl w:val="0"/>
          <w:numId w:val="0"/>
        </w:numPr>
        <w:spacing w:after="200"/>
        <w:contextualSpacing/>
        <w:rPr>
          <w:rFonts w:cs="Times New Roman"/>
          <w:noProof/>
          <w:color w:val="auto"/>
          <w:sz w:val="24"/>
          <w:szCs w:val="24"/>
        </w:rPr>
      </w:pPr>
      <w:bookmarkStart w:id="17" w:name="_Toc140069415"/>
      <w:r w:rsidRPr="00B12D15">
        <w:rPr>
          <w:rFonts w:cs="Times New Roman"/>
          <w:noProof/>
          <w:color w:val="auto"/>
          <w:sz w:val="24"/>
          <w:szCs w:val="24"/>
        </w:rPr>
        <w:t>Annex</w:t>
      </w:r>
      <w:r w:rsidR="00A046A3" w:rsidRPr="00B12D15">
        <w:rPr>
          <w:rFonts w:cs="Times New Roman"/>
          <w:noProof/>
          <w:color w:val="auto"/>
          <w:sz w:val="24"/>
          <w:szCs w:val="24"/>
        </w:rPr>
        <w:t>: EU Funding Strategy – Objectives, Means and Implementation indicators</w:t>
      </w:r>
      <w:bookmarkEnd w:id="17"/>
    </w:p>
    <w:p w14:paraId="1337D809" w14:textId="77777777" w:rsidR="00A046A3" w:rsidRPr="00096802" w:rsidRDefault="00A046A3" w:rsidP="00BE1D7D">
      <w:pPr>
        <w:spacing w:line="240" w:lineRule="auto"/>
        <w:contextualSpacing/>
        <w:rPr>
          <w:b/>
          <w:i/>
          <w:iCs/>
          <w:noProof/>
        </w:rPr>
      </w:pPr>
      <w:r w:rsidRPr="00096802">
        <w:rPr>
          <w:b/>
          <w:i/>
          <w:iCs/>
          <w:noProof/>
        </w:rPr>
        <w:t>Purpose of this annex</w:t>
      </w:r>
    </w:p>
    <w:p w14:paraId="25DC9324" w14:textId="57D23B9A" w:rsidR="00645FB5" w:rsidRPr="00096802" w:rsidRDefault="00A046A3" w:rsidP="00BE1D7D">
      <w:pPr>
        <w:spacing w:line="240" w:lineRule="auto"/>
        <w:contextualSpacing/>
        <w:jc w:val="both"/>
        <w:rPr>
          <w:noProof/>
        </w:rPr>
      </w:pPr>
      <w:r w:rsidRPr="00772A8D">
        <w:rPr>
          <w:noProof/>
        </w:rPr>
        <w:t>This annex frames the primary objectives that guide the Commission</w:t>
      </w:r>
      <w:r w:rsidR="00645FB5" w:rsidRPr="00772A8D">
        <w:rPr>
          <w:noProof/>
        </w:rPr>
        <w:t>’s</w:t>
      </w:r>
      <w:r w:rsidRPr="00772A8D">
        <w:rPr>
          <w:noProof/>
        </w:rPr>
        <w:t xml:space="preserve"> implementation of </w:t>
      </w:r>
      <w:r w:rsidR="00EE2C0C" w:rsidRPr="00772A8D">
        <w:rPr>
          <w:noProof/>
        </w:rPr>
        <w:t xml:space="preserve">its diversified funding strategy to finance all EU borrowing and lending programmes (i.e. the </w:t>
      </w:r>
      <w:r w:rsidRPr="00772A8D">
        <w:rPr>
          <w:noProof/>
        </w:rPr>
        <w:t xml:space="preserve">unified funding </w:t>
      </w:r>
      <w:r w:rsidR="00212A39" w:rsidRPr="00772A8D">
        <w:rPr>
          <w:noProof/>
        </w:rPr>
        <w:t>approach</w:t>
      </w:r>
      <w:r w:rsidR="00EE2C0C" w:rsidRPr="00772A8D">
        <w:rPr>
          <w:noProof/>
        </w:rPr>
        <w:t>)</w:t>
      </w:r>
      <w:r w:rsidRPr="00772A8D">
        <w:rPr>
          <w:noProof/>
        </w:rPr>
        <w:t>. It presents a series of indicators for tracking the implementation of</w:t>
      </w:r>
      <w:r w:rsidR="00645FB5" w:rsidRPr="00772A8D">
        <w:rPr>
          <w:noProof/>
        </w:rPr>
        <w:t xml:space="preserve"> key aspects of</w:t>
      </w:r>
      <w:r w:rsidRPr="00772A8D">
        <w:rPr>
          <w:noProof/>
        </w:rPr>
        <w:t xml:space="preserve"> the</w:t>
      </w:r>
      <w:r w:rsidR="00645FB5" w:rsidRPr="00772A8D">
        <w:rPr>
          <w:noProof/>
        </w:rPr>
        <w:t xml:space="preserve"> strategy, namely bond issuance, bill</w:t>
      </w:r>
      <w:r w:rsidR="00645FB5" w:rsidRPr="00096802">
        <w:rPr>
          <w:noProof/>
        </w:rPr>
        <w:t xml:space="preserve"> issuance, liquidity management,</w:t>
      </w:r>
      <w:r w:rsidR="00645FB5">
        <w:rPr>
          <w:noProof/>
        </w:rPr>
        <w:t xml:space="preserve"> and</w:t>
      </w:r>
      <w:r w:rsidR="00645FB5" w:rsidRPr="00096802">
        <w:rPr>
          <w:noProof/>
        </w:rPr>
        <w:t xml:space="preserve"> communication.</w:t>
      </w:r>
    </w:p>
    <w:p w14:paraId="0408D494" w14:textId="77777777" w:rsidR="00BE1D7D" w:rsidRPr="00096802" w:rsidRDefault="00BE1D7D" w:rsidP="00BE1D7D">
      <w:pPr>
        <w:spacing w:line="240" w:lineRule="auto"/>
        <w:contextualSpacing/>
        <w:jc w:val="both"/>
        <w:rPr>
          <w:noProof/>
        </w:rPr>
      </w:pPr>
    </w:p>
    <w:p w14:paraId="7CC7174A" w14:textId="6CF53FDC" w:rsidR="00A046A3" w:rsidRPr="00096802" w:rsidRDefault="00A046A3" w:rsidP="00BE1D7D">
      <w:pPr>
        <w:spacing w:line="240" w:lineRule="auto"/>
        <w:contextualSpacing/>
        <w:jc w:val="both"/>
        <w:rPr>
          <w:b/>
          <w:i/>
          <w:noProof/>
        </w:rPr>
      </w:pPr>
      <w:r w:rsidRPr="00096802">
        <w:rPr>
          <w:b/>
          <w:i/>
          <w:noProof/>
        </w:rPr>
        <w:t xml:space="preserve">Objectives of EU </w:t>
      </w:r>
      <w:r w:rsidR="00994EDF">
        <w:rPr>
          <w:b/>
          <w:i/>
          <w:noProof/>
        </w:rPr>
        <w:t>f</w:t>
      </w:r>
      <w:r w:rsidRPr="00096802">
        <w:rPr>
          <w:b/>
          <w:i/>
          <w:noProof/>
        </w:rPr>
        <w:t>unding</w:t>
      </w:r>
    </w:p>
    <w:p w14:paraId="7CD57740" w14:textId="7246DDB4" w:rsidR="00A046A3" w:rsidRPr="00096802" w:rsidRDefault="00A046A3" w:rsidP="00BE1D7D">
      <w:pPr>
        <w:spacing w:line="240" w:lineRule="auto"/>
        <w:contextualSpacing/>
        <w:jc w:val="both"/>
        <w:rPr>
          <w:noProof/>
        </w:rPr>
      </w:pPr>
      <w:r w:rsidRPr="00096802">
        <w:rPr>
          <w:noProof/>
        </w:rPr>
        <w:t>The Commission is empowered by the EU legal framework to borrow from international capital markets on behalf of the E</w:t>
      </w:r>
      <w:r w:rsidR="00994EDF">
        <w:rPr>
          <w:noProof/>
        </w:rPr>
        <w:t>U</w:t>
      </w:r>
      <w:r w:rsidRPr="00096802">
        <w:rPr>
          <w:noProof/>
        </w:rPr>
        <w:t xml:space="preserve"> for the implementation of specific EU programmes. The legislation </w:t>
      </w:r>
      <w:r w:rsidR="00994EDF">
        <w:rPr>
          <w:noProof/>
        </w:rPr>
        <w:t>setting up</w:t>
      </w:r>
      <w:r w:rsidRPr="00096802">
        <w:rPr>
          <w:noProof/>
        </w:rPr>
        <w:t xml:space="preserve"> these programmes specifies the amounts and time-frames within which amounts should be raised, and</w:t>
      </w:r>
      <w:r w:rsidR="00645FB5" w:rsidRPr="00645FB5">
        <w:rPr>
          <w:noProof/>
        </w:rPr>
        <w:t xml:space="preserve"> lays down rules on the use of proceeds</w:t>
      </w:r>
      <w:r w:rsidRPr="00096802">
        <w:rPr>
          <w:noProof/>
        </w:rPr>
        <w:t>. In raising funds within this framework, the Commission has two primary objectives:</w:t>
      </w:r>
    </w:p>
    <w:p w14:paraId="244CDEBE" w14:textId="77777777" w:rsidR="00A046A3" w:rsidRPr="00096802" w:rsidRDefault="00A046A3" w:rsidP="00BE1D7D">
      <w:pPr>
        <w:pStyle w:val="ListParagraph"/>
        <w:numPr>
          <w:ilvl w:val="0"/>
          <w:numId w:val="42"/>
        </w:numPr>
        <w:spacing w:line="240" w:lineRule="auto"/>
        <w:ind w:left="360"/>
        <w:jc w:val="both"/>
        <w:rPr>
          <w:rFonts w:ascii="Times New Roman" w:hAnsi="Times New Roman" w:cs="Times New Roman"/>
          <w:noProof/>
          <w:sz w:val="24"/>
          <w:szCs w:val="24"/>
        </w:rPr>
      </w:pPr>
      <w:r w:rsidRPr="00096802">
        <w:rPr>
          <w:rFonts w:ascii="Times New Roman" w:hAnsi="Times New Roman" w:cs="Times New Roman"/>
          <w:b/>
          <w:bCs/>
          <w:noProof/>
          <w:sz w:val="24"/>
          <w:szCs w:val="24"/>
        </w:rPr>
        <w:t>Effectiveness</w:t>
      </w:r>
      <w:r w:rsidRPr="00096802">
        <w:rPr>
          <w:rFonts w:ascii="Times New Roman" w:hAnsi="Times New Roman" w:cs="Times New Roman"/>
          <w:noProof/>
          <w:sz w:val="24"/>
          <w:szCs w:val="24"/>
        </w:rPr>
        <w:t xml:space="preserve">: Ensuring that the EU is able to meet commitments under the related financial assistance programmes as they fall due for payment. </w:t>
      </w:r>
    </w:p>
    <w:p w14:paraId="3409E8AE" w14:textId="77777777" w:rsidR="00A046A3" w:rsidRPr="00096802" w:rsidRDefault="00A046A3" w:rsidP="00BE1D7D">
      <w:pPr>
        <w:pStyle w:val="ListParagraph"/>
        <w:spacing w:line="240" w:lineRule="auto"/>
        <w:ind w:left="0"/>
        <w:jc w:val="both"/>
        <w:rPr>
          <w:rFonts w:ascii="Times New Roman" w:hAnsi="Times New Roman" w:cs="Times New Roman"/>
          <w:noProof/>
          <w:sz w:val="24"/>
          <w:szCs w:val="24"/>
        </w:rPr>
      </w:pPr>
    </w:p>
    <w:p w14:paraId="5D127178" w14:textId="77777777" w:rsidR="00645FB5" w:rsidRPr="00645FB5" w:rsidRDefault="00A046A3" w:rsidP="00645FB5">
      <w:pPr>
        <w:pStyle w:val="ListParagraph"/>
        <w:numPr>
          <w:ilvl w:val="0"/>
          <w:numId w:val="42"/>
        </w:numPr>
        <w:spacing w:line="240" w:lineRule="auto"/>
        <w:ind w:left="360"/>
        <w:jc w:val="both"/>
        <w:rPr>
          <w:rFonts w:ascii="Times New Roman" w:hAnsi="Times New Roman" w:cs="Times New Roman"/>
          <w:noProof/>
          <w:sz w:val="24"/>
          <w:szCs w:val="24"/>
        </w:rPr>
      </w:pPr>
      <w:r w:rsidRPr="00645FB5">
        <w:rPr>
          <w:rFonts w:ascii="Times New Roman" w:hAnsi="Times New Roman" w:cs="Times New Roman"/>
          <w:b/>
          <w:bCs/>
          <w:noProof/>
          <w:sz w:val="24"/>
          <w:szCs w:val="24"/>
        </w:rPr>
        <w:t>Efficiency</w:t>
      </w:r>
      <w:r w:rsidRPr="00645FB5">
        <w:rPr>
          <w:rFonts w:ascii="Times New Roman" w:hAnsi="Times New Roman" w:cs="Times New Roman"/>
          <w:noProof/>
          <w:sz w:val="24"/>
          <w:szCs w:val="24"/>
        </w:rPr>
        <w:t xml:space="preserve">: Obtaining the most advantageous financial conditions for the </w:t>
      </w:r>
      <w:r w:rsidR="00645FB5" w:rsidRPr="00645FB5">
        <w:rPr>
          <w:rFonts w:ascii="Times New Roman" w:hAnsi="Times New Roman" w:cs="Times New Roman"/>
          <w:noProof/>
          <w:sz w:val="24"/>
          <w:szCs w:val="24"/>
        </w:rPr>
        <w:t>EU</w:t>
      </w:r>
      <w:r w:rsidRPr="00645FB5">
        <w:rPr>
          <w:rFonts w:ascii="Times New Roman" w:hAnsi="Times New Roman" w:cs="Times New Roman"/>
          <w:noProof/>
          <w:sz w:val="24"/>
          <w:szCs w:val="24"/>
        </w:rPr>
        <w:t xml:space="preserve"> in the medium to long run:</w:t>
      </w:r>
    </w:p>
    <w:p w14:paraId="27980341" w14:textId="77777777" w:rsidR="00645FB5" w:rsidRPr="00F154AA" w:rsidRDefault="00645FB5" w:rsidP="00F154AA">
      <w:pPr>
        <w:pStyle w:val="ListParagraph"/>
        <w:ind w:left="1020"/>
        <w:rPr>
          <w:rFonts w:ascii="Times New Roman" w:hAnsi="Times New Roman" w:cs="Times New Roman"/>
          <w:noProof/>
          <w:sz w:val="24"/>
          <w:szCs w:val="24"/>
        </w:rPr>
      </w:pPr>
    </w:p>
    <w:p w14:paraId="4414D49D" w14:textId="77777777" w:rsidR="00645FB5" w:rsidRPr="00F154AA" w:rsidRDefault="00645FB5" w:rsidP="00F154AA">
      <w:pPr>
        <w:pStyle w:val="ListParagraph"/>
        <w:numPr>
          <w:ilvl w:val="1"/>
          <w:numId w:val="42"/>
        </w:numPr>
        <w:spacing w:line="240" w:lineRule="auto"/>
        <w:ind w:left="1020"/>
        <w:jc w:val="both"/>
        <w:rPr>
          <w:rFonts w:ascii="Times New Roman" w:hAnsi="Times New Roman" w:cs="Times New Roman"/>
          <w:noProof/>
          <w:sz w:val="24"/>
          <w:szCs w:val="24"/>
        </w:rPr>
      </w:pPr>
      <w:r w:rsidRPr="00F154AA">
        <w:rPr>
          <w:rFonts w:ascii="Times New Roman" w:hAnsi="Times New Roman" w:cs="Times New Roman"/>
          <w:noProof/>
          <w:sz w:val="24"/>
          <w:szCs w:val="24"/>
        </w:rPr>
        <w:t xml:space="preserve">through </w:t>
      </w:r>
      <w:r w:rsidR="00A046A3" w:rsidRPr="00F154AA">
        <w:rPr>
          <w:rFonts w:ascii="Times New Roman" w:hAnsi="Times New Roman" w:cs="Times New Roman"/>
          <w:noProof/>
          <w:sz w:val="24"/>
          <w:szCs w:val="24"/>
        </w:rPr>
        <w:t xml:space="preserve">the sound planning and smooth execution of transactions, </w:t>
      </w:r>
    </w:p>
    <w:p w14:paraId="0D5E579B" w14:textId="3B6E8A14" w:rsidR="00645FB5" w:rsidRPr="00F154AA" w:rsidRDefault="00645FB5" w:rsidP="00F154AA">
      <w:pPr>
        <w:pStyle w:val="ListParagraph"/>
        <w:numPr>
          <w:ilvl w:val="1"/>
          <w:numId w:val="42"/>
        </w:numPr>
        <w:spacing w:line="240" w:lineRule="auto"/>
        <w:ind w:left="1020"/>
        <w:jc w:val="both"/>
        <w:rPr>
          <w:rFonts w:ascii="Times New Roman" w:hAnsi="Times New Roman" w:cs="Times New Roman"/>
          <w:noProof/>
          <w:sz w:val="24"/>
          <w:szCs w:val="24"/>
        </w:rPr>
      </w:pPr>
      <w:r w:rsidRPr="00F154AA">
        <w:rPr>
          <w:rFonts w:ascii="Times New Roman" w:hAnsi="Times New Roman" w:cs="Times New Roman"/>
          <w:noProof/>
          <w:sz w:val="24"/>
          <w:szCs w:val="24"/>
        </w:rPr>
        <w:t xml:space="preserve">by </w:t>
      </w:r>
      <w:r w:rsidR="00A046A3" w:rsidRPr="00F154AA">
        <w:rPr>
          <w:rFonts w:ascii="Times New Roman" w:hAnsi="Times New Roman" w:cs="Times New Roman"/>
          <w:noProof/>
          <w:sz w:val="24"/>
          <w:szCs w:val="24"/>
        </w:rPr>
        <w:t>obtaining the best possible terms in the prevailing market conditions,</w:t>
      </w:r>
    </w:p>
    <w:p w14:paraId="4A068E4B" w14:textId="668EBFBB" w:rsidR="00A046A3" w:rsidRPr="00F154AA" w:rsidRDefault="00645FB5" w:rsidP="00F154AA">
      <w:pPr>
        <w:pStyle w:val="ListParagraph"/>
        <w:numPr>
          <w:ilvl w:val="1"/>
          <w:numId w:val="42"/>
        </w:numPr>
        <w:spacing w:line="240" w:lineRule="auto"/>
        <w:ind w:left="1020"/>
        <w:jc w:val="both"/>
        <w:rPr>
          <w:rFonts w:ascii="Times New Roman" w:hAnsi="Times New Roman" w:cs="Times New Roman"/>
          <w:noProof/>
          <w:sz w:val="24"/>
          <w:szCs w:val="24"/>
        </w:rPr>
      </w:pPr>
      <w:r w:rsidRPr="00F154AA">
        <w:rPr>
          <w:rFonts w:ascii="Times New Roman" w:hAnsi="Times New Roman" w:cs="Times New Roman"/>
          <w:noProof/>
          <w:sz w:val="24"/>
          <w:szCs w:val="24"/>
        </w:rPr>
        <w:t xml:space="preserve">while </w:t>
      </w:r>
      <w:r w:rsidR="00A046A3" w:rsidRPr="00F154AA">
        <w:rPr>
          <w:rFonts w:ascii="Times New Roman" w:hAnsi="Times New Roman" w:cs="Times New Roman"/>
          <w:noProof/>
          <w:sz w:val="24"/>
          <w:szCs w:val="24"/>
        </w:rPr>
        <w:t xml:space="preserve">staying within the risk bearing capacity of the </w:t>
      </w:r>
      <w:r w:rsidRPr="00F154AA">
        <w:rPr>
          <w:rFonts w:ascii="Times New Roman" w:hAnsi="Times New Roman" w:cs="Times New Roman"/>
          <w:noProof/>
          <w:sz w:val="24"/>
          <w:szCs w:val="24"/>
        </w:rPr>
        <w:t>EU</w:t>
      </w:r>
      <w:r w:rsidR="00A046A3" w:rsidRPr="00F154AA">
        <w:rPr>
          <w:rFonts w:ascii="Times New Roman" w:hAnsi="Times New Roman" w:cs="Times New Roman"/>
          <w:noProof/>
          <w:sz w:val="24"/>
          <w:szCs w:val="24"/>
        </w:rPr>
        <w:t xml:space="preserve"> budget as set, notably, by the available budgetary cover for the relevant operations and within the risk management framework for EU financing operations, as </w:t>
      </w:r>
      <w:r w:rsidRPr="00F154AA">
        <w:rPr>
          <w:rFonts w:ascii="Times New Roman" w:hAnsi="Times New Roman" w:cs="Times New Roman"/>
          <w:noProof/>
          <w:sz w:val="24"/>
          <w:szCs w:val="24"/>
        </w:rPr>
        <w:t>set out in the Commission’s</w:t>
      </w:r>
      <w:r w:rsidR="00A046A3" w:rsidRPr="00F154AA">
        <w:rPr>
          <w:rFonts w:ascii="Times New Roman" w:hAnsi="Times New Roman" w:cs="Times New Roman"/>
          <w:noProof/>
          <w:sz w:val="24"/>
          <w:szCs w:val="24"/>
        </w:rPr>
        <w:t xml:space="preserve"> </w:t>
      </w:r>
      <w:r w:rsidRPr="00F154AA">
        <w:rPr>
          <w:rFonts w:ascii="Times New Roman" w:hAnsi="Times New Roman" w:cs="Times New Roman"/>
          <w:noProof/>
          <w:sz w:val="24"/>
          <w:szCs w:val="24"/>
        </w:rPr>
        <w:t>h</w:t>
      </w:r>
      <w:r w:rsidR="00A046A3" w:rsidRPr="00F154AA">
        <w:rPr>
          <w:rFonts w:ascii="Times New Roman" w:hAnsi="Times New Roman" w:cs="Times New Roman"/>
          <w:noProof/>
          <w:sz w:val="24"/>
          <w:szCs w:val="24"/>
        </w:rPr>
        <w:t>igh</w:t>
      </w:r>
      <w:r w:rsidRPr="00F154AA">
        <w:rPr>
          <w:rFonts w:ascii="Times New Roman" w:hAnsi="Times New Roman" w:cs="Times New Roman"/>
          <w:noProof/>
          <w:sz w:val="24"/>
          <w:szCs w:val="24"/>
        </w:rPr>
        <w:t>-l</w:t>
      </w:r>
      <w:r w:rsidR="00A046A3" w:rsidRPr="00F154AA">
        <w:rPr>
          <w:rFonts w:ascii="Times New Roman" w:hAnsi="Times New Roman" w:cs="Times New Roman"/>
          <w:noProof/>
          <w:sz w:val="24"/>
          <w:szCs w:val="24"/>
        </w:rPr>
        <w:t xml:space="preserve">evel </w:t>
      </w:r>
      <w:r w:rsidRPr="00F154AA">
        <w:rPr>
          <w:rFonts w:ascii="Times New Roman" w:hAnsi="Times New Roman" w:cs="Times New Roman"/>
          <w:noProof/>
          <w:sz w:val="24"/>
          <w:szCs w:val="24"/>
        </w:rPr>
        <w:t>r</w:t>
      </w:r>
      <w:r w:rsidR="00A046A3" w:rsidRPr="00F154AA">
        <w:rPr>
          <w:rFonts w:ascii="Times New Roman" w:hAnsi="Times New Roman" w:cs="Times New Roman"/>
          <w:noProof/>
          <w:sz w:val="24"/>
          <w:szCs w:val="24"/>
        </w:rPr>
        <w:t xml:space="preserve">isk and </w:t>
      </w:r>
      <w:r w:rsidRPr="00F154AA">
        <w:rPr>
          <w:rFonts w:ascii="Times New Roman" w:hAnsi="Times New Roman" w:cs="Times New Roman"/>
          <w:noProof/>
          <w:sz w:val="24"/>
          <w:szCs w:val="24"/>
        </w:rPr>
        <w:t>c</w:t>
      </w:r>
      <w:r w:rsidR="00A046A3" w:rsidRPr="00F154AA">
        <w:rPr>
          <w:rFonts w:ascii="Times New Roman" w:hAnsi="Times New Roman" w:cs="Times New Roman"/>
          <w:noProof/>
          <w:sz w:val="24"/>
          <w:szCs w:val="24"/>
        </w:rPr>
        <w:t xml:space="preserve">ompliance </w:t>
      </w:r>
      <w:r w:rsidRPr="00F154AA">
        <w:rPr>
          <w:rFonts w:ascii="Times New Roman" w:hAnsi="Times New Roman" w:cs="Times New Roman"/>
          <w:noProof/>
          <w:sz w:val="24"/>
          <w:szCs w:val="24"/>
        </w:rPr>
        <w:t>P</w:t>
      </w:r>
      <w:r w:rsidR="00A046A3" w:rsidRPr="00F154AA">
        <w:rPr>
          <w:rFonts w:ascii="Times New Roman" w:hAnsi="Times New Roman" w:cs="Times New Roman"/>
          <w:noProof/>
          <w:sz w:val="24"/>
          <w:szCs w:val="24"/>
        </w:rPr>
        <w:t>olicy.</w:t>
      </w:r>
      <w:r w:rsidR="00A046A3" w:rsidRPr="00F154AA">
        <w:rPr>
          <w:rStyle w:val="FootnoteReference"/>
          <w:rFonts w:ascii="Times New Roman" w:hAnsi="Times New Roman" w:cs="Times New Roman"/>
          <w:noProof/>
          <w:sz w:val="24"/>
          <w:szCs w:val="24"/>
        </w:rPr>
        <w:footnoteReference w:id="10"/>
      </w:r>
      <w:r w:rsidR="00A046A3" w:rsidRPr="00F154AA">
        <w:rPr>
          <w:rFonts w:ascii="Times New Roman" w:hAnsi="Times New Roman" w:cs="Times New Roman"/>
          <w:noProof/>
          <w:sz w:val="24"/>
          <w:szCs w:val="24"/>
        </w:rPr>
        <w:t xml:space="preserve"> </w:t>
      </w:r>
    </w:p>
    <w:p w14:paraId="12E0D671" w14:textId="77777777" w:rsidR="00BE1D7D" w:rsidRPr="00096802" w:rsidRDefault="00BE1D7D" w:rsidP="00BE1D7D">
      <w:pPr>
        <w:spacing w:line="240" w:lineRule="auto"/>
        <w:contextualSpacing/>
        <w:jc w:val="both"/>
        <w:rPr>
          <w:noProof/>
        </w:rPr>
      </w:pPr>
    </w:p>
    <w:p w14:paraId="50AA1C35" w14:textId="1633EB31" w:rsidR="00BA3247" w:rsidRPr="00096802" w:rsidRDefault="00F154AA" w:rsidP="00BE1D7D">
      <w:pPr>
        <w:spacing w:line="240" w:lineRule="auto"/>
        <w:contextualSpacing/>
        <w:jc w:val="both"/>
        <w:rPr>
          <w:noProof/>
        </w:rPr>
      </w:pPr>
      <w:r>
        <w:rPr>
          <w:noProof/>
        </w:rPr>
        <w:t>T</w:t>
      </w:r>
      <w:r w:rsidR="00A046A3" w:rsidRPr="00096802">
        <w:rPr>
          <w:noProof/>
        </w:rPr>
        <w:t>o meet these objectives</w:t>
      </w:r>
      <w:r>
        <w:rPr>
          <w:noProof/>
        </w:rPr>
        <w:t>, in 2021,</w:t>
      </w:r>
      <w:r w:rsidR="00A046A3" w:rsidRPr="00096802">
        <w:rPr>
          <w:noProof/>
        </w:rPr>
        <w:t xml:space="preserve"> the Commission put in place a diversified funding strategy for the financing of NextGenerationEU (Commission Implementing Decision C(2021)2502)</w:t>
      </w:r>
      <w:r w:rsidR="00BA3247" w:rsidRPr="00096802">
        <w:rPr>
          <w:noProof/>
        </w:rPr>
        <w:t xml:space="preserve"> as described in the main report</w:t>
      </w:r>
      <w:r w:rsidR="00A046A3" w:rsidRPr="00096802">
        <w:rPr>
          <w:noProof/>
        </w:rPr>
        <w:t xml:space="preserve">. </w:t>
      </w:r>
    </w:p>
    <w:p w14:paraId="596934F7" w14:textId="77777777" w:rsidR="00BA3247" w:rsidRPr="00096802" w:rsidRDefault="00BA3247" w:rsidP="00BE1D7D">
      <w:pPr>
        <w:spacing w:line="240" w:lineRule="auto"/>
        <w:contextualSpacing/>
        <w:jc w:val="both"/>
        <w:rPr>
          <w:noProof/>
        </w:rPr>
      </w:pPr>
    </w:p>
    <w:p w14:paraId="6D52E0E1" w14:textId="16BEBFB5" w:rsidR="00A046A3" w:rsidRPr="00096802" w:rsidRDefault="00A046A3" w:rsidP="00BE1D7D">
      <w:pPr>
        <w:spacing w:line="240" w:lineRule="auto"/>
        <w:contextualSpacing/>
        <w:jc w:val="both"/>
        <w:rPr>
          <w:noProof/>
        </w:rPr>
      </w:pPr>
      <w:r w:rsidRPr="00096802">
        <w:rPr>
          <w:noProof/>
        </w:rPr>
        <w:t>The overarching aim is to create and maintain a complete and highly liquid yield curve across all benchmark maturities which provides investors with an accessible and reliable financial asset for investing and trading. This, in turn, ensures the most advantageous funding conditions for the EU as an issuer while ensuring a</w:t>
      </w:r>
      <w:r w:rsidR="00F154AA">
        <w:rPr>
          <w:noProof/>
        </w:rPr>
        <w:t xml:space="preserve"> proper</w:t>
      </w:r>
      <w:r w:rsidRPr="00096802">
        <w:rPr>
          <w:noProof/>
        </w:rPr>
        <w:t xml:space="preserve"> management of the related risks.  </w:t>
      </w:r>
    </w:p>
    <w:p w14:paraId="07FE4993" w14:textId="77777777" w:rsidR="00BE1D7D" w:rsidRPr="00096802" w:rsidRDefault="00BE1D7D" w:rsidP="00BE1D7D">
      <w:pPr>
        <w:spacing w:line="240" w:lineRule="auto"/>
        <w:contextualSpacing/>
        <w:jc w:val="both"/>
        <w:rPr>
          <w:b/>
          <w:i/>
          <w:noProof/>
        </w:rPr>
      </w:pPr>
    </w:p>
    <w:p w14:paraId="1F8A03DD" w14:textId="761AD715" w:rsidR="00A046A3" w:rsidRPr="00096802" w:rsidRDefault="00F154AA" w:rsidP="00BE1D7D">
      <w:pPr>
        <w:spacing w:line="240" w:lineRule="auto"/>
        <w:contextualSpacing/>
        <w:jc w:val="both"/>
        <w:rPr>
          <w:b/>
          <w:i/>
          <w:noProof/>
        </w:rPr>
      </w:pPr>
      <w:r>
        <w:rPr>
          <w:b/>
          <w:i/>
          <w:noProof/>
        </w:rPr>
        <w:t>The m</w:t>
      </w:r>
      <w:r w:rsidR="00A046A3" w:rsidRPr="00096802">
        <w:rPr>
          <w:b/>
          <w:i/>
          <w:noProof/>
        </w:rPr>
        <w:t xml:space="preserve">eans to </w:t>
      </w:r>
      <w:r>
        <w:rPr>
          <w:b/>
          <w:i/>
          <w:noProof/>
        </w:rPr>
        <w:t>achieve</w:t>
      </w:r>
      <w:r w:rsidR="00A046A3" w:rsidRPr="00096802">
        <w:rPr>
          <w:b/>
          <w:i/>
          <w:noProof/>
        </w:rPr>
        <w:t xml:space="preserve"> the objectives</w:t>
      </w:r>
    </w:p>
    <w:p w14:paraId="0CC2ECF6" w14:textId="0B686A6C" w:rsidR="00A046A3" w:rsidRDefault="00A046A3" w:rsidP="00BE1D7D">
      <w:pPr>
        <w:spacing w:line="240" w:lineRule="auto"/>
        <w:contextualSpacing/>
        <w:jc w:val="both"/>
        <w:rPr>
          <w:noProof/>
        </w:rPr>
      </w:pPr>
      <w:r w:rsidRPr="00096802">
        <w:rPr>
          <w:noProof/>
        </w:rPr>
        <w:t xml:space="preserve">In </w:t>
      </w:r>
      <w:r w:rsidR="00F154AA">
        <w:rPr>
          <w:noProof/>
        </w:rPr>
        <w:t xml:space="preserve">implementing </w:t>
      </w:r>
      <w:r w:rsidRPr="00096802">
        <w:rPr>
          <w:noProof/>
        </w:rPr>
        <w:t>its funding approach, the Commission aim</w:t>
      </w:r>
      <w:r w:rsidR="00F154AA">
        <w:rPr>
          <w:noProof/>
        </w:rPr>
        <w:t xml:space="preserve">s </w:t>
      </w:r>
      <w:r w:rsidRPr="00096802">
        <w:rPr>
          <w:noProof/>
        </w:rPr>
        <w:t>to make best use of</w:t>
      </w:r>
      <w:r w:rsidR="00F154AA">
        <w:rPr>
          <w:noProof/>
        </w:rPr>
        <w:t xml:space="preserve"> </w:t>
      </w:r>
      <w:r w:rsidR="00BA4F5A" w:rsidRPr="003F42A6">
        <w:rPr>
          <w:noProof/>
        </w:rPr>
        <w:t>all elements that are under its control</w:t>
      </w:r>
      <w:r w:rsidR="00BA4F5A">
        <w:rPr>
          <w:noProof/>
        </w:rPr>
        <w:t xml:space="preserve"> </w:t>
      </w:r>
      <w:r w:rsidRPr="00096802">
        <w:rPr>
          <w:noProof/>
        </w:rPr>
        <w:t xml:space="preserve">with a view to achieving its primary objectives of efficiency and effectiveness. These elements span over </w:t>
      </w:r>
      <w:r w:rsidR="00BA4F5A">
        <w:rPr>
          <w:noProof/>
        </w:rPr>
        <w:t>five</w:t>
      </w:r>
      <w:r w:rsidRPr="00096802">
        <w:rPr>
          <w:noProof/>
        </w:rPr>
        <w:t xml:space="preserve"> main dimensions: </w:t>
      </w:r>
    </w:p>
    <w:p w14:paraId="5CE3D628" w14:textId="2B9B93F9" w:rsidR="00F154AA" w:rsidRDefault="00F154AA" w:rsidP="00BE1D7D">
      <w:pPr>
        <w:spacing w:line="240" w:lineRule="auto"/>
        <w:contextualSpacing/>
        <w:jc w:val="both"/>
        <w:rPr>
          <w:noProof/>
        </w:rPr>
      </w:pPr>
    </w:p>
    <w:p w14:paraId="2D094B45" w14:textId="4F69849C" w:rsidR="00A046A3" w:rsidRPr="00096802" w:rsidRDefault="00A046A3" w:rsidP="00BE1D7D">
      <w:pPr>
        <w:pStyle w:val="ListParagraph"/>
        <w:numPr>
          <w:ilvl w:val="0"/>
          <w:numId w:val="29"/>
        </w:numPr>
        <w:spacing w:line="240" w:lineRule="auto"/>
        <w:jc w:val="both"/>
        <w:rPr>
          <w:rFonts w:ascii="Times New Roman" w:hAnsi="Times New Roman" w:cs="Times New Roman"/>
          <w:noProof/>
          <w:sz w:val="24"/>
          <w:szCs w:val="24"/>
        </w:rPr>
      </w:pPr>
      <w:r w:rsidRPr="00096802">
        <w:rPr>
          <w:rFonts w:ascii="Times New Roman" w:hAnsi="Times New Roman" w:cs="Times New Roman"/>
          <w:b/>
          <w:bCs/>
          <w:noProof/>
          <w:sz w:val="24"/>
          <w:szCs w:val="24"/>
        </w:rPr>
        <w:t>The EU-Bond programme</w:t>
      </w:r>
      <w:r w:rsidRPr="00096802">
        <w:rPr>
          <w:rFonts w:ascii="Times New Roman" w:hAnsi="Times New Roman" w:cs="Times New Roman"/>
          <w:noProof/>
          <w:sz w:val="24"/>
          <w:szCs w:val="24"/>
        </w:rPr>
        <w:t>: The Commission organises its bond issuance by making use of all benchmark maturities across the curve (up to 30</w:t>
      </w:r>
      <w:r w:rsidR="00504C75">
        <w:rPr>
          <w:rFonts w:ascii="Times New Roman" w:hAnsi="Times New Roman" w:cs="Times New Roman"/>
          <w:noProof/>
          <w:sz w:val="24"/>
          <w:szCs w:val="24"/>
        </w:rPr>
        <w:t xml:space="preserve"> </w:t>
      </w:r>
      <w:r w:rsidRPr="00096802">
        <w:rPr>
          <w:rFonts w:ascii="Times New Roman" w:hAnsi="Times New Roman" w:cs="Times New Roman"/>
          <w:noProof/>
          <w:sz w:val="24"/>
          <w:szCs w:val="24"/>
        </w:rPr>
        <w:t>y</w:t>
      </w:r>
      <w:r w:rsidR="00504C75">
        <w:rPr>
          <w:rFonts w:ascii="Times New Roman" w:hAnsi="Times New Roman" w:cs="Times New Roman"/>
          <w:noProof/>
          <w:sz w:val="24"/>
          <w:szCs w:val="24"/>
        </w:rPr>
        <w:t>ears</w:t>
      </w:r>
      <w:r w:rsidRPr="00096802">
        <w:rPr>
          <w:rFonts w:ascii="Times New Roman" w:hAnsi="Times New Roman" w:cs="Times New Roman"/>
          <w:noProof/>
          <w:sz w:val="24"/>
          <w:szCs w:val="24"/>
        </w:rPr>
        <w:t>). In choosing the appropriate tenors for the issuances, the Commission must ensure that the resulting future redemption levels remain within the levels needed to protect the EU budget headroom ceilings and EU</w:t>
      </w:r>
      <w:r w:rsidR="0021075C">
        <w:rPr>
          <w:rFonts w:ascii="Times New Roman" w:hAnsi="Times New Roman" w:cs="Times New Roman"/>
          <w:noProof/>
          <w:sz w:val="24"/>
          <w:szCs w:val="24"/>
        </w:rPr>
        <w:t>’s</w:t>
      </w:r>
      <w:r w:rsidRPr="00096802">
        <w:rPr>
          <w:rFonts w:ascii="Times New Roman" w:hAnsi="Times New Roman" w:cs="Times New Roman"/>
          <w:noProof/>
          <w:sz w:val="24"/>
          <w:szCs w:val="24"/>
        </w:rPr>
        <w:t xml:space="preserve"> </w:t>
      </w:r>
      <w:r w:rsidR="0021075C">
        <w:rPr>
          <w:rFonts w:ascii="Times New Roman" w:hAnsi="Times New Roman" w:cs="Times New Roman"/>
          <w:noProof/>
          <w:sz w:val="24"/>
          <w:szCs w:val="24"/>
        </w:rPr>
        <w:t>c</w:t>
      </w:r>
      <w:r w:rsidRPr="00096802">
        <w:rPr>
          <w:rFonts w:ascii="Times New Roman" w:hAnsi="Times New Roman" w:cs="Times New Roman"/>
          <w:noProof/>
          <w:sz w:val="24"/>
          <w:szCs w:val="24"/>
        </w:rPr>
        <w:t>redit rating. At the same time it pays close attention to investor preferences</w:t>
      </w:r>
      <w:r w:rsidR="0021075C">
        <w:rPr>
          <w:rFonts w:ascii="Times New Roman" w:hAnsi="Times New Roman" w:cs="Times New Roman"/>
          <w:noProof/>
          <w:sz w:val="24"/>
          <w:szCs w:val="24"/>
        </w:rPr>
        <w:t xml:space="preserve"> and to</w:t>
      </w:r>
      <w:r w:rsidRPr="00096802">
        <w:rPr>
          <w:rFonts w:ascii="Times New Roman" w:hAnsi="Times New Roman" w:cs="Times New Roman"/>
          <w:noProof/>
          <w:sz w:val="24"/>
          <w:szCs w:val="24"/>
        </w:rPr>
        <w:t xml:space="preserve"> the profile of outstanding bonds, as it supplies the market on a regular basis with a well-balanced set of maturities. In organising the issuance, the Commission uses syndicated transactions and auctions. The different formats have different features but a suitable mix of the two is </w:t>
      </w:r>
      <w:r w:rsidR="0021075C">
        <w:rPr>
          <w:rFonts w:ascii="Times New Roman" w:hAnsi="Times New Roman" w:cs="Times New Roman"/>
          <w:noProof/>
          <w:sz w:val="24"/>
          <w:szCs w:val="24"/>
        </w:rPr>
        <w:t>sought for</w:t>
      </w:r>
      <w:r w:rsidRPr="00096802">
        <w:rPr>
          <w:rFonts w:ascii="Times New Roman" w:hAnsi="Times New Roman" w:cs="Times New Roman"/>
          <w:noProof/>
          <w:sz w:val="24"/>
          <w:szCs w:val="24"/>
        </w:rPr>
        <w:t xml:space="preserve"> the successful execution of the funding programmes. As the issuance programme becomes firmly established, the use of auctions for bond issuances should continue to evolve and grow over time to levels comparable to that of sovereign issuers of the same calibre as the EU and with due respect to market conditions and financing needs. </w:t>
      </w:r>
    </w:p>
    <w:p w14:paraId="58996EDB" w14:textId="011FA436" w:rsidR="00A046A3" w:rsidRPr="00096802" w:rsidRDefault="00A046A3" w:rsidP="00BE1D7D">
      <w:pPr>
        <w:pStyle w:val="ListParagraph"/>
        <w:numPr>
          <w:ilvl w:val="0"/>
          <w:numId w:val="29"/>
        </w:numPr>
        <w:spacing w:line="240" w:lineRule="auto"/>
        <w:jc w:val="both"/>
        <w:rPr>
          <w:rFonts w:ascii="Times New Roman" w:hAnsi="Times New Roman" w:cs="Times New Roman"/>
          <w:noProof/>
          <w:sz w:val="24"/>
          <w:szCs w:val="24"/>
        </w:rPr>
      </w:pPr>
      <w:r w:rsidRPr="00096802">
        <w:rPr>
          <w:rFonts w:ascii="Times New Roman" w:hAnsi="Times New Roman" w:cs="Times New Roman"/>
          <w:b/>
          <w:bCs/>
          <w:noProof/>
          <w:sz w:val="24"/>
          <w:szCs w:val="24"/>
        </w:rPr>
        <w:t>The EU-Bill programme</w:t>
      </w:r>
      <w:r w:rsidRPr="00096802">
        <w:rPr>
          <w:rFonts w:ascii="Times New Roman" w:hAnsi="Times New Roman" w:cs="Times New Roman"/>
          <w:noProof/>
          <w:sz w:val="24"/>
          <w:szCs w:val="24"/>
        </w:rPr>
        <w:t>: The Commission implements a programme of EU-Bills that provides the EU with access to the money market (maturities up to 1</w:t>
      </w:r>
      <w:r w:rsidR="0021075C">
        <w:rPr>
          <w:rFonts w:ascii="Times New Roman" w:hAnsi="Times New Roman" w:cs="Times New Roman"/>
          <w:noProof/>
          <w:sz w:val="24"/>
          <w:szCs w:val="24"/>
        </w:rPr>
        <w:t xml:space="preserve"> year</w:t>
      </w:r>
      <w:r w:rsidRPr="00096802">
        <w:rPr>
          <w:rFonts w:ascii="Times New Roman" w:hAnsi="Times New Roman" w:cs="Times New Roman"/>
          <w:noProof/>
          <w:sz w:val="24"/>
          <w:szCs w:val="24"/>
        </w:rPr>
        <w:t xml:space="preserve"> via auction). This programme is used as an essential risk management tool to maintain sufficient levels of cash at all times and to cope with unpredictable financial market conditions or funding needs.</w:t>
      </w:r>
    </w:p>
    <w:p w14:paraId="113EAAC4" w14:textId="580B89F5" w:rsidR="00A046A3" w:rsidRPr="00096802" w:rsidRDefault="00A046A3" w:rsidP="00BE1D7D">
      <w:pPr>
        <w:pStyle w:val="ListParagraph"/>
        <w:numPr>
          <w:ilvl w:val="0"/>
          <w:numId w:val="29"/>
        </w:numPr>
        <w:spacing w:line="240" w:lineRule="auto"/>
        <w:jc w:val="both"/>
        <w:rPr>
          <w:rFonts w:ascii="Times New Roman" w:hAnsi="Times New Roman" w:cs="Times New Roman"/>
          <w:noProof/>
          <w:sz w:val="24"/>
          <w:szCs w:val="24"/>
        </w:rPr>
      </w:pPr>
      <w:r w:rsidRPr="00096802">
        <w:rPr>
          <w:rFonts w:ascii="Times New Roman" w:hAnsi="Times New Roman" w:cs="Times New Roman"/>
          <w:b/>
          <w:bCs/>
          <w:noProof/>
          <w:sz w:val="24"/>
          <w:szCs w:val="24"/>
        </w:rPr>
        <w:t>Liquidity management</w:t>
      </w:r>
      <w:r w:rsidRPr="00096802">
        <w:rPr>
          <w:rFonts w:ascii="Times New Roman" w:hAnsi="Times New Roman" w:cs="Times New Roman"/>
          <w:noProof/>
          <w:sz w:val="24"/>
          <w:szCs w:val="24"/>
        </w:rPr>
        <w:t xml:space="preserve">: The Commission takes a prudent </w:t>
      </w:r>
      <w:r w:rsidR="0021075C">
        <w:rPr>
          <w:rFonts w:ascii="Times New Roman" w:hAnsi="Times New Roman" w:cs="Times New Roman"/>
          <w:noProof/>
          <w:sz w:val="24"/>
          <w:szCs w:val="24"/>
        </w:rPr>
        <w:t xml:space="preserve">approach to </w:t>
      </w:r>
      <w:r w:rsidRPr="00096802">
        <w:rPr>
          <w:rFonts w:ascii="Times New Roman" w:hAnsi="Times New Roman" w:cs="Times New Roman"/>
          <w:noProof/>
          <w:sz w:val="24"/>
          <w:szCs w:val="24"/>
        </w:rPr>
        <w:t>internal management of cash flows</w:t>
      </w:r>
      <w:r w:rsidR="0021075C">
        <w:rPr>
          <w:rFonts w:ascii="Times New Roman" w:hAnsi="Times New Roman" w:cs="Times New Roman"/>
          <w:noProof/>
          <w:sz w:val="24"/>
          <w:szCs w:val="24"/>
        </w:rPr>
        <w:t>, which</w:t>
      </w:r>
      <w:r w:rsidRPr="00096802">
        <w:rPr>
          <w:rFonts w:ascii="Times New Roman" w:hAnsi="Times New Roman" w:cs="Times New Roman"/>
          <w:noProof/>
          <w:sz w:val="24"/>
          <w:szCs w:val="24"/>
        </w:rPr>
        <w:t xml:space="preserve"> ensures </w:t>
      </w:r>
      <w:r w:rsidR="0021075C">
        <w:rPr>
          <w:rFonts w:ascii="Times New Roman" w:hAnsi="Times New Roman" w:cs="Times New Roman"/>
          <w:noProof/>
          <w:sz w:val="24"/>
          <w:szCs w:val="24"/>
        </w:rPr>
        <w:t xml:space="preserve">that </w:t>
      </w:r>
      <w:r w:rsidRPr="00096802">
        <w:rPr>
          <w:rFonts w:ascii="Times New Roman" w:hAnsi="Times New Roman" w:cs="Times New Roman"/>
          <w:noProof/>
          <w:sz w:val="24"/>
          <w:szCs w:val="24"/>
        </w:rPr>
        <w:t>all payment commitments</w:t>
      </w:r>
      <w:r w:rsidR="0021075C">
        <w:rPr>
          <w:rFonts w:ascii="Times New Roman" w:hAnsi="Times New Roman" w:cs="Times New Roman"/>
          <w:noProof/>
          <w:sz w:val="24"/>
          <w:szCs w:val="24"/>
        </w:rPr>
        <w:t xml:space="preserve"> are honoured on time and avoids</w:t>
      </w:r>
      <w:r w:rsidRPr="00096802">
        <w:rPr>
          <w:rFonts w:ascii="Times New Roman" w:hAnsi="Times New Roman" w:cs="Times New Roman"/>
          <w:noProof/>
          <w:sz w:val="24"/>
          <w:szCs w:val="24"/>
        </w:rPr>
        <w:t xml:space="preserve"> liquidity shortfalls. It also endeavours to manage liquidity balances based on forecast disbursements </w:t>
      </w:r>
      <w:r w:rsidR="0021075C">
        <w:rPr>
          <w:rFonts w:ascii="Times New Roman" w:hAnsi="Times New Roman" w:cs="Times New Roman"/>
          <w:noProof/>
          <w:sz w:val="24"/>
          <w:szCs w:val="24"/>
        </w:rPr>
        <w:t>to keep</w:t>
      </w:r>
      <w:r w:rsidRPr="00096802">
        <w:rPr>
          <w:rFonts w:ascii="Times New Roman" w:hAnsi="Times New Roman" w:cs="Times New Roman"/>
          <w:noProof/>
          <w:sz w:val="24"/>
          <w:szCs w:val="24"/>
        </w:rPr>
        <w:t xml:space="preserve"> liquidity balances in line with needs and</w:t>
      </w:r>
      <w:r w:rsidR="0021075C">
        <w:rPr>
          <w:rFonts w:ascii="Times New Roman" w:hAnsi="Times New Roman" w:cs="Times New Roman"/>
          <w:noProof/>
          <w:sz w:val="24"/>
          <w:szCs w:val="24"/>
        </w:rPr>
        <w:t xml:space="preserve"> to</w:t>
      </w:r>
      <w:r w:rsidRPr="00096802">
        <w:rPr>
          <w:rFonts w:ascii="Times New Roman" w:hAnsi="Times New Roman" w:cs="Times New Roman"/>
          <w:noProof/>
          <w:sz w:val="24"/>
          <w:szCs w:val="24"/>
        </w:rPr>
        <w:t xml:space="preserve"> limit </w:t>
      </w:r>
      <w:r w:rsidR="0021075C">
        <w:rPr>
          <w:rFonts w:ascii="Times New Roman" w:hAnsi="Times New Roman" w:cs="Times New Roman"/>
          <w:noProof/>
          <w:sz w:val="24"/>
          <w:szCs w:val="24"/>
        </w:rPr>
        <w:t xml:space="preserve">any </w:t>
      </w:r>
      <w:r w:rsidRPr="00096802">
        <w:rPr>
          <w:rFonts w:ascii="Times New Roman" w:hAnsi="Times New Roman" w:cs="Times New Roman"/>
          <w:noProof/>
          <w:sz w:val="24"/>
          <w:szCs w:val="24"/>
        </w:rPr>
        <w:t>real or opportunity costs</w:t>
      </w:r>
      <w:r w:rsidR="0021075C">
        <w:rPr>
          <w:rFonts w:ascii="Times New Roman" w:hAnsi="Times New Roman" w:cs="Times New Roman"/>
          <w:noProof/>
          <w:sz w:val="24"/>
          <w:szCs w:val="24"/>
        </w:rPr>
        <w:t xml:space="preserve"> arising from the</w:t>
      </w:r>
      <w:r w:rsidRPr="00096802">
        <w:rPr>
          <w:rFonts w:ascii="Times New Roman" w:hAnsi="Times New Roman" w:cs="Times New Roman"/>
          <w:noProof/>
          <w:sz w:val="24"/>
          <w:szCs w:val="24"/>
        </w:rPr>
        <w:t xml:space="preserve"> balances.</w:t>
      </w:r>
    </w:p>
    <w:p w14:paraId="2C29E790" w14:textId="626E63B9" w:rsidR="00A046A3" w:rsidRPr="00096802" w:rsidRDefault="00A046A3" w:rsidP="00BE1D7D">
      <w:pPr>
        <w:pStyle w:val="ListParagraph"/>
        <w:numPr>
          <w:ilvl w:val="0"/>
          <w:numId w:val="29"/>
        </w:numPr>
        <w:spacing w:line="240" w:lineRule="auto"/>
        <w:jc w:val="both"/>
        <w:rPr>
          <w:rFonts w:ascii="Times New Roman" w:hAnsi="Times New Roman" w:cs="Times New Roman"/>
          <w:noProof/>
          <w:sz w:val="24"/>
          <w:szCs w:val="24"/>
        </w:rPr>
      </w:pPr>
      <w:r w:rsidRPr="00096802">
        <w:rPr>
          <w:rFonts w:ascii="Times New Roman" w:hAnsi="Times New Roman" w:cs="Times New Roman"/>
          <w:b/>
          <w:bCs/>
          <w:noProof/>
          <w:sz w:val="24"/>
          <w:szCs w:val="24"/>
        </w:rPr>
        <w:t xml:space="preserve">Primary Dealer </w:t>
      </w:r>
      <w:r w:rsidR="0021075C">
        <w:rPr>
          <w:rFonts w:ascii="Times New Roman" w:hAnsi="Times New Roman" w:cs="Times New Roman"/>
          <w:b/>
          <w:bCs/>
          <w:noProof/>
          <w:sz w:val="24"/>
          <w:szCs w:val="24"/>
        </w:rPr>
        <w:t>N</w:t>
      </w:r>
      <w:r w:rsidRPr="00096802">
        <w:rPr>
          <w:rFonts w:ascii="Times New Roman" w:hAnsi="Times New Roman" w:cs="Times New Roman"/>
          <w:b/>
          <w:bCs/>
          <w:noProof/>
          <w:sz w:val="24"/>
          <w:szCs w:val="24"/>
        </w:rPr>
        <w:t>etwork</w:t>
      </w:r>
      <w:r w:rsidRPr="00096802">
        <w:rPr>
          <w:rFonts w:ascii="Times New Roman" w:hAnsi="Times New Roman" w:cs="Times New Roman"/>
          <w:noProof/>
          <w:sz w:val="24"/>
          <w:szCs w:val="24"/>
        </w:rPr>
        <w:t xml:space="preserve">: A successful </w:t>
      </w:r>
      <w:r w:rsidR="0021075C">
        <w:rPr>
          <w:rFonts w:ascii="Times New Roman" w:hAnsi="Times New Roman" w:cs="Times New Roman"/>
          <w:noProof/>
          <w:sz w:val="24"/>
          <w:szCs w:val="24"/>
        </w:rPr>
        <w:t>implementation</w:t>
      </w:r>
      <w:r w:rsidRPr="00096802">
        <w:rPr>
          <w:rFonts w:ascii="Times New Roman" w:hAnsi="Times New Roman" w:cs="Times New Roman"/>
          <w:noProof/>
          <w:sz w:val="24"/>
          <w:szCs w:val="24"/>
        </w:rPr>
        <w:t xml:space="preserve"> of the funding strategy requires support from a strong </w:t>
      </w:r>
      <w:r w:rsidR="0021075C">
        <w:rPr>
          <w:rFonts w:ascii="Times New Roman" w:hAnsi="Times New Roman" w:cs="Times New Roman"/>
          <w:noProof/>
          <w:sz w:val="24"/>
          <w:szCs w:val="24"/>
        </w:rPr>
        <w:t>P</w:t>
      </w:r>
      <w:r w:rsidRPr="00096802">
        <w:rPr>
          <w:rFonts w:ascii="Times New Roman" w:hAnsi="Times New Roman" w:cs="Times New Roman"/>
          <w:noProof/>
          <w:sz w:val="24"/>
          <w:szCs w:val="24"/>
        </w:rPr>
        <w:t xml:space="preserve">rimary </w:t>
      </w:r>
      <w:r w:rsidR="0021075C">
        <w:rPr>
          <w:rFonts w:ascii="Times New Roman" w:hAnsi="Times New Roman" w:cs="Times New Roman"/>
          <w:noProof/>
          <w:sz w:val="24"/>
          <w:szCs w:val="24"/>
        </w:rPr>
        <w:t>D</w:t>
      </w:r>
      <w:r w:rsidRPr="00096802">
        <w:rPr>
          <w:rFonts w:ascii="Times New Roman" w:hAnsi="Times New Roman" w:cs="Times New Roman"/>
          <w:noProof/>
          <w:sz w:val="24"/>
          <w:szCs w:val="24"/>
        </w:rPr>
        <w:t xml:space="preserve">ealer </w:t>
      </w:r>
      <w:r w:rsidR="0021075C">
        <w:rPr>
          <w:rFonts w:ascii="Times New Roman" w:hAnsi="Times New Roman" w:cs="Times New Roman"/>
          <w:noProof/>
          <w:sz w:val="24"/>
          <w:szCs w:val="24"/>
        </w:rPr>
        <w:t>N</w:t>
      </w:r>
      <w:r w:rsidRPr="00096802">
        <w:rPr>
          <w:rFonts w:ascii="Times New Roman" w:hAnsi="Times New Roman" w:cs="Times New Roman"/>
          <w:noProof/>
          <w:sz w:val="24"/>
          <w:szCs w:val="24"/>
        </w:rPr>
        <w:t xml:space="preserve">etwork, which is able to distribute the issuances to a global investor base and manage and warehouse the financial risks related to auctions and syndications. The Commission seeks to </w:t>
      </w:r>
      <w:r w:rsidR="0021075C">
        <w:rPr>
          <w:rFonts w:ascii="Times New Roman" w:hAnsi="Times New Roman" w:cs="Times New Roman"/>
          <w:noProof/>
          <w:sz w:val="24"/>
          <w:szCs w:val="24"/>
        </w:rPr>
        <w:t>keep its</w:t>
      </w:r>
      <w:r w:rsidRPr="00096802">
        <w:rPr>
          <w:rFonts w:ascii="Times New Roman" w:hAnsi="Times New Roman" w:cs="Times New Roman"/>
          <w:noProof/>
          <w:sz w:val="24"/>
          <w:szCs w:val="24"/>
        </w:rPr>
        <w:t xml:space="preserve"> Primary Dealer Network open</w:t>
      </w:r>
      <w:r w:rsidR="0021075C">
        <w:rPr>
          <w:rFonts w:ascii="Times New Roman" w:hAnsi="Times New Roman" w:cs="Times New Roman"/>
          <w:noProof/>
          <w:sz w:val="24"/>
          <w:szCs w:val="24"/>
        </w:rPr>
        <w:t>, to enable a wide rang</w:t>
      </w:r>
      <w:r w:rsidRPr="00096802">
        <w:rPr>
          <w:rFonts w:ascii="Times New Roman" w:hAnsi="Times New Roman" w:cs="Times New Roman"/>
          <w:noProof/>
          <w:sz w:val="24"/>
          <w:szCs w:val="24"/>
        </w:rPr>
        <w:t>e of financial institutions to participate</w:t>
      </w:r>
      <w:r w:rsidR="0021075C">
        <w:rPr>
          <w:rFonts w:ascii="Times New Roman" w:hAnsi="Times New Roman" w:cs="Times New Roman"/>
          <w:noProof/>
          <w:sz w:val="24"/>
          <w:szCs w:val="24"/>
        </w:rPr>
        <w:t>. A</w:t>
      </w:r>
      <w:r w:rsidRPr="00096802">
        <w:rPr>
          <w:rFonts w:ascii="Times New Roman" w:hAnsi="Times New Roman" w:cs="Times New Roman"/>
          <w:noProof/>
          <w:sz w:val="24"/>
          <w:szCs w:val="24"/>
        </w:rPr>
        <w:t>t the same time</w:t>
      </w:r>
      <w:r w:rsidR="0021075C">
        <w:rPr>
          <w:rFonts w:ascii="Times New Roman" w:hAnsi="Times New Roman" w:cs="Times New Roman"/>
          <w:noProof/>
          <w:sz w:val="24"/>
          <w:szCs w:val="24"/>
        </w:rPr>
        <w:t>,</w:t>
      </w:r>
      <w:r w:rsidRPr="00096802">
        <w:rPr>
          <w:rFonts w:ascii="Times New Roman" w:hAnsi="Times New Roman" w:cs="Times New Roman"/>
          <w:noProof/>
          <w:sz w:val="24"/>
          <w:szCs w:val="24"/>
        </w:rPr>
        <w:t xml:space="preserve"> it </w:t>
      </w:r>
      <w:r w:rsidR="0021075C">
        <w:rPr>
          <w:rFonts w:ascii="Times New Roman" w:hAnsi="Times New Roman" w:cs="Times New Roman"/>
          <w:noProof/>
          <w:sz w:val="24"/>
          <w:szCs w:val="24"/>
        </w:rPr>
        <w:t xml:space="preserve">aims to </w:t>
      </w:r>
      <w:r w:rsidRPr="00096802">
        <w:rPr>
          <w:rFonts w:ascii="Times New Roman" w:hAnsi="Times New Roman" w:cs="Times New Roman"/>
          <w:noProof/>
          <w:sz w:val="24"/>
          <w:szCs w:val="24"/>
        </w:rPr>
        <w:t xml:space="preserve">sustain competition and leverage skills </w:t>
      </w:r>
      <w:r w:rsidR="0021075C">
        <w:rPr>
          <w:rFonts w:ascii="Times New Roman" w:hAnsi="Times New Roman" w:cs="Times New Roman"/>
          <w:noProof/>
          <w:sz w:val="24"/>
          <w:szCs w:val="24"/>
        </w:rPr>
        <w:t xml:space="preserve">within the </w:t>
      </w:r>
      <w:r w:rsidRPr="00096802">
        <w:rPr>
          <w:rFonts w:ascii="Times New Roman" w:hAnsi="Times New Roman" w:cs="Times New Roman"/>
          <w:noProof/>
          <w:sz w:val="24"/>
          <w:szCs w:val="24"/>
        </w:rPr>
        <w:t xml:space="preserve">group to </w:t>
      </w:r>
      <w:r w:rsidR="0021075C">
        <w:rPr>
          <w:rFonts w:ascii="Times New Roman" w:hAnsi="Times New Roman" w:cs="Times New Roman"/>
          <w:noProof/>
          <w:sz w:val="24"/>
          <w:szCs w:val="24"/>
        </w:rPr>
        <w:t xml:space="preserve">help </w:t>
      </w:r>
      <w:r w:rsidRPr="009236B2">
        <w:rPr>
          <w:rFonts w:ascii="Times New Roman" w:hAnsi="Times New Roman" w:cs="Times New Roman"/>
          <w:noProof/>
          <w:sz w:val="24"/>
          <w:szCs w:val="24"/>
        </w:rPr>
        <w:t xml:space="preserve">ensure the successful </w:t>
      </w:r>
      <w:r w:rsidR="008C40C7" w:rsidRPr="009236B2">
        <w:rPr>
          <w:rFonts w:ascii="Times New Roman" w:hAnsi="Times New Roman" w:cs="Times New Roman"/>
          <w:noProof/>
          <w:sz w:val="24"/>
          <w:szCs w:val="24"/>
        </w:rPr>
        <w:t>implementation and</w:t>
      </w:r>
      <w:r w:rsidRPr="009236B2">
        <w:rPr>
          <w:rFonts w:ascii="Times New Roman" w:hAnsi="Times New Roman" w:cs="Times New Roman"/>
          <w:noProof/>
          <w:sz w:val="24"/>
          <w:szCs w:val="24"/>
        </w:rPr>
        <w:t xml:space="preserve"> development of the funding strategy, including </w:t>
      </w:r>
      <w:r w:rsidR="009236B2" w:rsidRPr="009236B2">
        <w:rPr>
          <w:rFonts w:ascii="Times New Roman" w:hAnsi="Times New Roman" w:cs="Times New Roman"/>
          <w:noProof/>
          <w:sz w:val="24"/>
          <w:szCs w:val="24"/>
        </w:rPr>
        <w:t>supporting</w:t>
      </w:r>
      <w:r w:rsidR="009236B2">
        <w:rPr>
          <w:rFonts w:ascii="Times New Roman" w:hAnsi="Times New Roman" w:cs="Times New Roman"/>
          <w:noProof/>
          <w:sz w:val="24"/>
          <w:szCs w:val="24"/>
        </w:rPr>
        <w:t xml:space="preserve"> </w:t>
      </w:r>
      <w:r w:rsidRPr="00096802">
        <w:rPr>
          <w:rFonts w:ascii="Times New Roman" w:hAnsi="Times New Roman" w:cs="Times New Roman"/>
          <w:noProof/>
          <w:sz w:val="24"/>
          <w:szCs w:val="24"/>
        </w:rPr>
        <w:t>the secondary market liquidity of EU issuances.</w:t>
      </w:r>
    </w:p>
    <w:p w14:paraId="5EA5484B" w14:textId="3C640379" w:rsidR="00A046A3" w:rsidRPr="00D614D2" w:rsidRDefault="00A046A3" w:rsidP="00BE1D7D">
      <w:pPr>
        <w:pStyle w:val="ListParagraph"/>
        <w:numPr>
          <w:ilvl w:val="0"/>
          <w:numId w:val="29"/>
        </w:numPr>
        <w:spacing w:line="240" w:lineRule="auto"/>
        <w:jc w:val="both"/>
        <w:rPr>
          <w:rFonts w:ascii="Times New Roman" w:hAnsi="Times New Roman" w:cs="Times New Roman"/>
          <w:noProof/>
          <w:sz w:val="24"/>
          <w:szCs w:val="24"/>
        </w:rPr>
      </w:pPr>
      <w:r w:rsidRPr="00D614D2">
        <w:rPr>
          <w:rFonts w:ascii="Times New Roman" w:hAnsi="Times New Roman" w:cs="Times New Roman"/>
          <w:b/>
          <w:bCs/>
          <w:noProof/>
          <w:sz w:val="24"/>
          <w:szCs w:val="24"/>
        </w:rPr>
        <w:t>Communication with diverse market stakeholders and peer issuers:</w:t>
      </w:r>
      <w:r w:rsidRPr="00D614D2">
        <w:rPr>
          <w:rFonts w:ascii="Times New Roman" w:hAnsi="Times New Roman" w:cs="Times New Roman"/>
          <w:noProof/>
          <w:sz w:val="24"/>
          <w:szCs w:val="24"/>
        </w:rPr>
        <w:t xml:space="preserve"> The Commission ensures regular, timely and open communication</w:t>
      </w:r>
      <w:r w:rsidR="009236B2">
        <w:rPr>
          <w:rFonts w:ascii="Times New Roman" w:hAnsi="Times New Roman" w:cs="Times New Roman"/>
          <w:noProof/>
          <w:sz w:val="24"/>
          <w:szCs w:val="24"/>
        </w:rPr>
        <w:t xml:space="preserve"> with </w:t>
      </w:r>
      <w:r w:rsidRPr="00D614D2">
        <w:rPr>
          <w:rFonts w:ascii="Times New Roman" w:hAnsi="Times New Roman" w:cs="Times New Roman"/>
          <w:noProof/>
          <w:sz w:val="24"/>
          <w:szCs w:val="24"/>
        </w:rPr>
        <w:t>market participants which is a precondition for remaining a reliable and trusted issuer. The Commission therefore communicates transparently on aspects of its funding plan</w:t>
      </w:r>
      <w:r w:rsidR="009236B2">
        <w:rPr>
          <w:rFonts w:ascii="Times New Roman" w:hAnsi="Times New Roman" w:cs="Times New Roman"/>
          <w:noProof/>
          <w:sz w:val="24"/>
          <w:szCs w:val="24"/>
        </w:rPr>
        <w:t>s</w:t>
      </w:r>
      <w:r w:rsidRPr="00D614D2">
        <w:rPr>
          <w:rFonts w:ascii="Times New Roman" w:hAnsi="Times New Roman" w:cs="Times New Roman"/>
          <w:noProof/>
          <w:sz w:val="24"/>
          <w:szCs w:val="24"/>
        </w:rPr>
        <w:t xml:space="preserve"> and the execution of the funding transactions. The </w:t>
      </w:r>
      <w:r w:rsidR="009236B2">
        <w:rPr>
          <w:rFonts w:ascii="Times New Roman" w:hAnsi="Times New Roman" w:cs="Times New Roman"/>
          <w:noProof/>
          <w:sz w:val="24"/>
          <w:szCs w:val="24"/>
        </w:rPr>
        <w:t>six-monthly funding plans constitute the mainstay of this communication</w:t>
      </w:r>
      <w:r w:rsidRPr="00D614D2">
        <w:rPr>
          <w:rFonts w:ascii="Times New Roman" w:hAnsi="Times New Roman" w:cs="Times New Roman"/>
          <w:noProof/>
          <w:sz w:val="24"/>
          <w:szCs w:val="24"/>
        </w:rPr>
        <w:t xml:space="preserve">, announcing target amounts and </w:t>
      </w:r>
      <w:r w:rsidR="009236B2">
        <w:rPr>
          <w:rFonts w:ascii="Times New Roman" w:hAnsi="Times New Roman" w:cs="Times New Roman"/>
          <w:noProof/>
          <w:sz w:val="24"/>
          <w:szCs w:val="24"/>
        </w:rPr>
        <w:t>dates for</w:t>
      </w:r>
      <w:r w:rsidRPr="00D614D2">
        <w:rPr>
          <w:rFonts w:ascii="Times New Roman" w:hAnsi="Times New Roman" w:cs="Times New Roman"/>
          <w:noProof/>
          <w:sz w:val="24"/>
          <w:szCs w:val="24"/>
        </w:rPr>
        <w:t xml:space="preserve"> syndications and auctions over the subsequent 6 months. Through consistent</w:t>
      </w:r>
      <w:r w:rsidR="009236B2">
        <w:rPr>
          <w:rFonts w:ascii="Times New Roman" w:hAnsi="Times New Roman" w:cs="Times New Roman"/>
          <w:noProof/>
          <w:sz w:val="24"/>
          <w:szCs w:val="24"/>
        </w:rPr>
        <w:t>,</w:t>
      </w:r>
      <w:r w:rsidRPr="00D614D2">
        <w:rPr>
          <w:rFonts w:ascii="Times New Roman" w:hAnsi="Times New Roman" w:cs="Times New Roman"/>
          <w:noProof/>
          <w:sz w:val="24"/>
          <w:szCs w:val="24"/>
        </w:rPr>
        <w:t xml:space="preserve"> effective communication around its activit</w:t>
      </w:r>
      <w:r w:rsidR="009236B2">
        <w:rPr>
          <w:rFonts w:ascii="Times New Roman" w:hAnsi="Times New Roman" w:cs="Times New Roman"/>
          <w:noProof/>
          <w:sz w:val="24"/>
          <w:szCs w:val="24"/>
        </w:rPr>
        <w:t>ies</w:t>
      </w:r>
      <w:r w:rsidRPr="00D614D2">
        <w:rPr>
          <w:rFonts w:ascii="Times New Roman" w:hAnsi="Times New Roman" w:cs="Times New Roman"/>
          <w:noProof/>
          <w:sz w:val="24"/>
          <w:szCs w:val="24"/>
        </w:rPr>
        <w:t xml:space="preserve"> as a regular, large-scale issuer, the EU seeks </w:t>
      </w:r>
      <w:r w:rsidR="009236B2">
        <w:rPr>
          <w:rFonts w:ascii="Times New Roman" w:hAnsi="Times New Roman" w:cs="Times New Roman"/>
          <w:noProof/>
          <w:sz w:val="24"/>
          <w:szCs w:val="24"/>
        </w:rPr>
        <w:t xml:space="preserve">both </w:t>
      </w:r>
      <w:r w:rsidRPr="00D614D2">
        <w:rPr>
          <w:rFonts w:ascii="Times New Roman" w:hAnsi="Times New Roman" w:cs="Times New Roman"/>
          <w:noProof/>
          <w:sz w:val="24"/>
          <w:szCs w:val="24"/>
        </w:rPr>
        <w:t>to deepen its investor base</w:t>
      </w:r>
      <w:r w:rsidR="009236B2">
        <w:rPr>
          <w:rFonts w:ascii="Times New Roman" w:hAnsi="Times New Roman" w:cs="Times New Roman"/>
          <w:noProof/>
          <w:sz w:val="24"/>
          <w:szCs w:val="24"/>
        </w:rPr>
        <w:t xml:space="preserve"> and broaden it</w:t>
      </w:r>
      <w:r w:rsidR="009236B2" w:rsidRPr="00D614D2">
        <w:rPr>
          <w:rFonts w:ascii="Times New Roman" w:hAnsi="Times New Roman" w:cs="Times New Roman"/>
          <w:noProof/>
          <w:sz w:val="24"/>
          <w:szCs w:val="24"/>
        </w:rPr>
        <w:t xml:space="preserve"> (geographically)</w:t>
      </w:r>
      <w:r w:rsidRPr="00D614D2">
        <w:rPr>
          <w:rFonts w:ascii="Times New Roman" w:hAnsi="Times New Roman" w:cs="Times New Roman"/>
          <w:noProof/>
          <w:sz w:val="24"/>
          <w:szCs w:val="24"/>
        </w:rPr>
        <w:t xml:space="preserve">. </w:t>
      </w:r>
      <w:r w:rsidR="009236B2">
        <w:rPr>
          <w:rFonts w:ascii="Times New Roman" w:hAnsi="Times New Roman" w:cs="Times New Roman"/>
          <w:noProof/>
          <w:sz w:val="24"/>
          <w:szCs w:val="24"/>
        </w:rPr>
        <w:t>Through</w:t>
      </w:r>
      <w:r w:rsidRPr="00D614D2">
        <w:rPr>
          <w:rFonts w:ascii="Times New Roman" w:hAnsi="Times New Roman" w:cs="Times New Roman"/>
          <w:noProof/>
          <w:sz w:val="24"/>
          <w:szCs w:val="24"/>
        </w:rPr>
        <w:t xml:space="preserve"> pro-active investor relations management</w:t>
      </w:r>
      <w:r w:rsidR="009236B2">
        <w:rPr>
          <w:rFonts w:ascii="Times New Roman" w:hAnsi="Times New Roman" w:cs="Times New Roman"/>
          <w:noProof/>
          <w:sz w:val="24"/>
          <w:szCs w:val="24"/>
        </w:rPr>
        <w:t>,</w:t>
      </w:r>
      <w:r w:rsidRPr="00D614D2">
        <w:rPr>
          <w:rFonts w:ascii="Times New Roman" w:hAnsi="Times New Roman" w:cs="Times New Roman"/>
          <w:noProof/>
          <w:sz w:val="24"/>
          <w:szCs w:val="24"/>
        </w:rPr>
        <w:t xml:space="preserve"> the C</w:t>
      </w:r>
      <w:r w:rsidR="009236B2">
        <w:rPr>
          <w:rFonts w:ascii="Times New Roman" w:hAnsi="Times New Roman" w:cs="Times New Roman"/>
          <w:noProof/>
          <w:sz w:val="24"/>
          <w:szCs w:val="24"/>
        </w:rPr>
        <w:t>ommission</w:t>
      </w:r>
      <w:r w:rsidRPr="00D614D2">
        <w:rPr>
          <w:rFonts w:ascii="Times New Roman" w:hAnsi="Times New Roman" w:cs="Times New Roman"/>
          <w:noProof/>
          <w:sz w:val="24"/>
          <w:szCs w:val="24"/>
        </w:rPr>
        <w:t xml:space="preserve"> builds and maintains trust with its investor base and obtains a thorough understanding of their needs. </w:t>
      </w:r>
    </w:p>
    <w:p w14:paraId="05D33BF1" w14:textId="24016524" w:rsidR="00A046A3" w:rsidRPr="00D614D2" w:rsidRDefault="00A046A3" w:rsidP="00BE1D7D">
      <w:pPr>
        <w:spacing w:line="240" w:lineRule="auto"/>
        <w:contextualSpacing/>
        <w:jc w:val="both"/>
        <w:rPr>
          <w:noProof/>
        </w:rPr>
      </w:pPr>
      <w:r w:rsidRPr="00D614D2">
        <w:rPr>
          <w:noProof/>
        </w:rPr>
        <w:t xml:space="preserve">Implementation of the above activities is supported by a set of controls, </w:t>
      </w:r>
      <w:r w:rsidR="00724759">
        <w:rPr>
          <w:noProof/>
        </w:rPr>
        <w:t>comprising</w:t>
      </w:r>
      <w:r w:rsidRPr="00D614D2">
        <w:rPr>
          <w:noProof/>
        </w:rPr>
        <w:t xml:space="preserve"> two organisationally independent ‘lines of defen</w:t>
      </w:r>
      <w:r w:rsidR="00724759">
        <w:rPr>
          <w:noProof/>
        </w:rPr>
        <w:t>c</w:t>
      </w:r>
      <w:r w:rsidRPr="00D614D2">
        <w:rPr>
          <w:noProof/>
        </w:rPr>
        <w:t>e’</w:t>
      </w:r>
      <w:r w:rsidR="00724759">
        <w:rPr>
          <w:noProof/>
        </w:rPr>
        <w:t xml:space="preserve">. </w:t>
      </w:r>
      <w:r w:rsidR="00212A39" w:rsidRPr="00212A39">
        <w:rPr>
          <w:noProof/>
        </w:rPr>
        <w:t xml:space="preserve">These enable transactions to be executed and settled efficiently and help frame the behaviour of all parties involved in the programme implementation. </w:t>
      </w:r>
      <w:r w:rsidRPr="00D614D2">
        <w:rPr>
          <w:noProof/>
        </w:rPr>
        <w:t>Th</w:t>
      </w:r>
      <w:r w:rsidR="00724759">
        <w:rPr>
          <w:noProof/>
        </w:rPr>
        <w:t>e</w:t>
      </w:r>
      <w:r w:rsidRPr="00D614D2">
        <w:rPr>
          <w:noProof/>
        </w:rPr>
        <w:t xml:space="preserve"> </w:t>
      </w:r>
      <w:r w:rsidRPr="00724759">
        <w:rPr>
          <w:i/>
          <w:iCs/>
          <w:noProof/>
        </w:rPr>
        <w:t>ex</w:t>
      </w:r>
      <w:r w:rsidR="00724759" w:rsidRPr="00724759">
        <w:rPr>
          <w:i/>
          <w:iCs/>
          <w:noProof/>
        </w:rPr>
        <w:t xml:space="preserve"> </w:t>
      </w:r>
      <w:r w:rsidRPr="00724759">
        <w:rPr>
          <w:i/>
          <w:iCs/>
          <w:noProof/>
        </w:rPr>
        <w:t>ante</w:t>
      </w:r>
      <w:r w:rsidRPr="00D614D2">
        <w:rPr>
          <w:noProof/>
        </w:rPr>
        <w:t xml:space="preserve"> and </w:t>
      </w:r>
      <w:r w:rsidRPr="00724759">
        <w:rPr>
          <w:i/>
          <w:iCs/>
          <w:noProof/>
        </w:rPr>
        <w:t>ex</w:t>
      </w:r>
      <w:r w:rsidR="00724759" w:rsidRPr="00724759">
        <w:rPr>
          <w:i/>
          <w:iCs/>
          <w:noProof/>
        </w:rPr>
        <w:t xml:space="preserve"> </w:t>
      </w:r>
      <w:r w:rsidRPr="00724759">
        <w:rPr>
          <w:i/>
          <w:iCs/>
          <w:noProof/>
        </w:rPr>
        <w:t>post</w:t>
      </w:r>
      <w:r w:rsidRPr="00D614D2">
        <w:rPr>
          <w:noProof/>
        </w:rPr>
        <w:t xml:space="preserve"> controls also ensure that EU issuances are</w:t>
      </w:r>
      <w:r w:rsidR="00724759">
        <w:rPr>
          <w:noProof/>
        </w:rPr>
        <w:t xml:space="preserve"> carried out</w:t>
      </w:r>
      <w:r w:rsidRPr="00D614D2">
        <w:rPr>
          <w:noProof/>
        </w:rPr>
        <w:t xml:space="preserve"> in line with the governance and</w:t>
      </w:r>
      <w:r w:rsidR="00724759">
        <w:rPr>
          <w:noProof/>
        </w:rPr>
        <w:t xml:space="preserve"> take account of</w:t>
      </w:r>
      <w:r w:rsidRPr="00D614D2">
        <w:rPr>
          <w:noProof/>
        </w:rPr>
        <w:t xml:space="preserve"> prevailing market conditions.</w:t>
      </w:r>
    </w:p>
    <w:p w14:paraId="4BDCBEF5" w14:textId="77777777" w:rsidR="00BE1D7D" w:rsidRDefault="00BE1D7D" w:rsidP="00BE1D7D">
      <w:pPr>
        <w:spacing w:line="240" w:lineRule="auto"/>
        <w:contextualSpacing/>
        <w:jc w:val="both"/>
        <w:rPr>
          <w:b/>
          <w:i/>
          <w:noProof/>
        </w:rPr>
      </w:pPr>
    </w:p>
    <w:p w14:paraId="13AF4619" w14:textId="012A3916" w:rsidR="00A046A3" w:rsidRPr="00D614D2" w:rsidRDefault="00A046A3" w:rsidP="00BE1D7D">
      <w:pPr>
        <w:spacing w:line="240" w:lineRule="auto"/>
        <w:contextualSpacing/>
        <w:jc w:val="both"/>
        <w:rPr>
          <w:b/>
          <w:i/>
          <w:noProof/>
        </w:rPr>
      </w:pPr>
      <w:r w:rsidRPr="00D614D2">
        <w:rPr>
          <w:b/>
          <w:i/>
          <w:noProof/>
        </w:rPr>
        <w:t>Final considerations</w:t>
      </w:r>
    </w:p>
    <w:p w14:paraId="4620F3BD" w14:textId="0AE5413A" w:rsidR="00A046A3" w:rsidRPr="00D614D2" w:rsidRDefault="00724759" w:rsidP="00BE1D7D">
      <w:pPr>
        <w:spacing w:line="240" w:lineRule="auto"/>
        <w:contextualSpacing/>
        <w:jc w:val="both"/>
        <w:rPr>
          <w:noProof/>
        </w:rPr>
      </w:pPr>
      <w:r>
        <w:rPr>
          <w:noProof/>
        </w:rPr>
        <w:t>T</w:t>
      </w:r>
      <w:r w:rsidR="00A046A3" w:rsidRPr="00D614D2">
        <w:rPr>
          <w:noProof/>
        </w:rPr>
        <w:t>he</w:t>
      </w:r>
      <w:r>
        <w:rPr>
          <w:noProof/>
        </w:rPr>
        <w:t xml:space="preserve"> programme’s</w:t>
      </w:r>
      <w:r w:rsidR="00A046A3" w:rsidRPr="00D614D2">
        <w:rPr>
          <w:noProof/>
        </w:rPr>
        <w:t xml:space="preserve"> key levers enable the EU to make best use</w:t>
      </w:r>
      <w:r>
        <w:rPr>
          <w:noProof/>
        </w:rPr>
        <w:t xml:space="preserve"> of</w:t>
      </w:r>
      <w:r w:rsidR="00A046A3" w:rsidRPr="00D614D2">
        <w:rPr>
          <w:noProof/>
        </w:rPr>
        <w:t xml:space="preserve"> its high credit rating while providing investors with a regular and predictable sequence of </w:t>
      </w:r>
      <w:r>
        <w:rPr>
          <w:noProof/>
        </w:rPr>
        <w:t xml:space="preserve">sizeable </w:t>
      </w:r>
      <w:r w:rsidR="00A046A3" w:rsidRPr="00D614D2">
        <w:rPr>
          <w:noProof/>
        </w:rPr>
        <w:t xml:space="preserve">issuances. This in turn creates </w:t>
      </w:r>
      <w:r>
        <w:rPr>
          <w:noProof/>
        </w:rPr>
        <w:t>a</w:t>
      </w:r>
      <w:r w:rsidR="00A046A3" w:rsidRPr="00D614D2">
        <w:rPr>
          <w:noProof/>
        </w:rPr>
        <w:t xml:space="preserve"> platform for the EU to attract strong demand from investors with a low risk appetite and large investment needs</w:t>
      </w:r>
      <w:r>
        <w:rPr>
          <w:noProof/>
        </w:rPr>
        <w:t>, and</w:t>
      </w:r>
      <w:r w:rsidR="00A046A3" w:rsidRPr="00D614D2">
        <w:rPr>
          <w:noProof/>
        </w:rPr>
        <w:t xml:space="preserve"> from investors with regulat</w:t>
      </w:r>
      <w:r>
        <w:rPr>
          <w:noProof/>
        </w:rPr>
        <w:t>ion-</w:t>
      </w:r>
      <w:r w:rsidR="00A046A3" w:rsidRPr="00D614D2">
        <w:rPr>
          <w:noProof/>
        </w:rPr>
        <w:t>driven investment needs (</w:t>
      </w:r>
      <w:r>
        <w:rPr>
          <w:noProof/>
        </w:rPr>
        <w:t>c</w:t>
      </w:r>
      <w:r w:rsidR="00A046A3" w:rsidRPr="00D614D2">
        <w:rPr>
          <w:noProof/>
        </w:rPr>
        <w:t xml:space="preserve">entral </w:t>
      </w:r>
      <w:r>
        <w:rPr>
          <w:noProof/>
        </w:rPr>
        <w:t>b</w:t>
      </w:r>
      <w:r w:rsidR="00A046A3" w:rsidRPr="00D614D2">
        <w:rPr>
          <w:noProof/>
        </w:rPr>
        <w:t xml:space="preserve">anks, </w:t>
      </w:r>
      <w:r>
        <w:rPr>
          <w:noProof/>
        </w:rPr>
        <w:t>b</w:t>
      </w:r>
      <w:r w:rsidR="00A046A3" w:rsidRPr="00D614D2">
        <w:rPr>
          <w:noProof/>
        </w:rPr>
        <w:t xml:space="preserve">ank </w:t>
      </w:r>
      <w:r>
        <w:rPr>
          <w:noProof/>
        </w:rPr>
        <w:t>t</w:t>
      </w:r>
      <w:r w:rsidR="00A046A3" w:rsidRPr="00D614D2">
        <w:rPr>
          <w:noProof/>
        </w:rPr>
        <w:t xml:space="preserve">reasuries, </w:t>
      </w:r>
      <w:r>
        <w:rPr>
          <w:noProof/>
        </w:rPr>
        <w:t>a</w:t>
      </w:r>
      <w:r w:rsidR="00A046A3" w:rsidRPr="00D614D2">
        <w:rPr>
          <w:noProof/>
        </w:rPr>
        <w:t xml:space="preserve">sset </w:t>
      </w:r>
      <w:r>
        <w:rPr>
          <w:noProof/>
        </w:rPr>
        <w:t>m</w:t>
      </w:r>
      <w:r w:rsidR="00A046A3" w:rsidRPr="00D614D2">
        <w:rPr>
          <w:noProof/>
        </w:rPr>
        <w:t xml:space="preserve">anagers, </w:t>
      </w:r>
      <w:r>
        <w:rPr>
          <w:noProof/>
        </w:rPr>
        <w:t>p</w:t>
      </w:r>
      <w:r w:rsidR="00A046A3" w:rsidRPr="00D614D2">
        <w:rPr>
          <w:noProof/>
        </w:rPr>
        <w:t xml:space="preserve">ension </w:t>
      </w:r>
      <w:r>
        <w:rPr>
          <w:noProof/>
        </w:rPr>
        <w:t>f</w:t>
      </w:r>
      <w:r w:rsidR="00A046A3" w:rsidRPr="00D614D2">
        <w:rPr>
          <w:noProof/>
        </w:rPr>
        <w:t xml:space="preserve">unds and </w:t>
      </w:r>
      <w:r>
        <w:rPr>
          <w:noProof/>
        </w:rPr>
        <w:t>i</w:t>
      </w:r>
      <w:r w:rsidR="00A046A3" w:rsidRPr="00D614D2">
        <w:rPr>
          <w:noProof/>
        </w:rPr>
        <w:t xml:space="preserve">nsurance companies). </w:t>
      </w:r>
    </w:p>
    <w:p w14:paraId="6F30BD56" w14:textId="77777777" w:rsidR="00BE1D7D" w:rsidRDefault="00BE1D7D" w:rsidP="00BE1D7D">
      <w:pPr>
        <w:spacing w:line="240" w:lineRule="auto"/>
        <w:contextualSpacing/>
        <w:jc w:val="both"/>
        <w:rPr>
          <w:noProof/>
        </w:rPr>
      </w:pPr>
    </w:p>
    <w:p w14:paraId="79337E83" w14:textId="30101000" w:rsidR="00A046A3" w:rsidRPr="00D614D2" w:rsidRDefault="00A046A3" w:rsidP="00BE1D7D">
      <w:pPr>
        <w:spacing w:line="240" w:lineRule="auto"/>
        <w:contextualSpacing/>
        <w:jc w:val="both"/>
        <w:rPr>
          <w:noProof/>
        </w:rPr>
      </w:pPr>
      <w:r w:rsidRPr="00D614D2">
        <w:rPr>
          <w:noProof/>
        </w:rPr>
        <w:t xml:space="preserve">Table 1 below presents some indicators that can be considered when tracking the Commission’s implementation of the five core elements of the EU’s funding approach and hence its progress towards its overarching effectiveness and efficiency objectives. The Commission will report on these indicators </w:t>
      </w:r>
      <w:r w:rsidR="00724759">
        <w:rPr>
          <w:noProof/>
        </w:rPr>
        <w:t>in</w:t>
      </w:r>
      <w:r w:rsidRPr="00D614D2">
        <w:rPr>
          <w:noProof/>
        </w:rPr>
        <w:t xml:space="preserve"> its</w:t>
      </w:r>
      <w:r w:rsidR="00B42064">
        <w:rPr>
          <w:noProof/>
        </w:rPr>
        <w:t xml:space="preserve"> half-yearly</w:t>
      </w:r>
      <w:r w:rsidRPr="00D614D2">
        <w:rPr>
          <w:noProof/>
        </w:rPr>
        <w:t xml:space="preserve"> </w:t>
      </w:r>
      <w:r w:rsidR="00B42064" w:rsidRPr="00B42064">
        <w:rPr>
          <w:noProof/>
        </w:rPr>
        <w:t>report on the implementation of borrowing, debt management and related lending operations pursuant to Article 12 of Commission Implementing Decision C(2022)9700</w:t>
      </w:r>
      <w:r w:rsidR="00B42064">
        <w:rPr>
          <w:noProof/>
        </w:rPr>
        <w:t xml:space="preserve"> and </w:t>
      </w:r>
      <w:r w:rsidRPr="00D614D2">
        <w:rPr>
          <w:noProof/>
        </w:rPr>
        <w:t xml:space="preserve">will comment on any observed noteworthy </w:t>
      </w:r>
      <w:r w:rsidR="00B42064">
        <w:rPr>
          <w:noProof/>
        </w:rPr>
        <w:t>developments</w:t>
      </w:r>
      <w:r w:rsidRPr="00D614D2">
        <w:rPr>
          <w:noProof/>
        </w:rPr>
        <w:t>.</w:t>
      </w:r>
    </w:p>
    <w:p w14:paraId="09B59755" w14:textId="77777777" w:rsidR="00BE1D7D" w:rsidRDefault="00BE1D7D" w:rsidP="00BE1D7D">
      <w:pPr>
        <w:spacing w:line="240" w:lineRule="auto"/>
        <w:contextualSpacing/>
        <w:jc w:val="both"/>
        <w:rPr>
          <w:noProof/>
        </w:rPr>
      </w:pPr>
    </w:p>
    <w:p w14:paraId="19D87F4C" w14:textId="1CDD1577" w:rsidR="00BE1D7D" w:rsidRDefault="00B42064" w:rsidP="00BE1D7D">
      <w:pPr>
        <w:spacing w:line="240" w:lineRule="auto"/>
        <w:contextualSpacing/>
        <w:jc w:val="both"/>
        <w:rPr>
          <w:noProof/>
        </w:rPr>
      </w:pPr>
      <w:r>
        <w:rPr>
          <w:noProof/>
        </w:rPr>
        <w:t xml:space="preserve">By conducting the above activities proficiently, </w:t>
      </w:r>
      <w:r w:rsidR="00A046A3" w:rsidRPr="00D614D2">
        <w:rPr>
          <w:noProof/>
        </w:rPr>
        <w:t xml:space="preserve">the Commission </w:t>
      </w:r>
      <w:r>
        <w:rPr>
          <w:noProof/>
        </w:rPr>
        <w:t xml:space="preserve">can </w:t>
      </w:r>
      <w:r w:rsidR="00A046A3" w:rsidRPr="00D614D2">
        <w:rPr>
          <w:noProof/>
        </w:rPr>
        <w:t xml:space="preserve">deliver the most cost-effective outcomes from its issuance on behalf of beneficiaries, including the </w:t>
      </w:r>
      <w:r>
        <w:rPr>
          <w:noProof/>
        </w:rPr>
        <w:t>E</w:t>
      </w:r>
      <w:r w:rsidR="00A046A3" w:rsidRPr="00D614D2">
        <w:rPr>
          <w:noProof/>
        </w:rPr>
        <w:t>U budget</w:t>
      </w:r>
      <w:r>
        <w:rPr>
          <w:noProof/>
        </w:rPr>
        <w:t>,</w:t>
      </w:r>
      <w:r w:rsidR="00A046A3" w:rsidRPr="00D614D2">
        <w:rPr>
          <w:noProof/>
        </w:rPr>
        <w:t xml:space="preserve"> which bears the costs for </w:t>
      </w:r>
      <w:r w:rsidR="00CD50EA" w:rsidRPr="00CD50EA">
        <w:rPr>
          <w:noProof/>
        </w:rPr>
        <w:t>non-reimbursable support</w:t>
      </w:r>
      <w:r w:rsidR="00A046A3" w:rsidRPr="00D614D2">
        <w:rPr>
          <w:noProof/>
        </w:rPr>
        <w:t xml:space="preserve"> financed by loans. The cost of funding for EU issuance, calculated on the basis of the weighted average of its funding transactions, is determined predominantly by factors beyond the</w:t>
      </w:r>
      <w:r>
        <w:rPr>
          <w:noProof/>
        </w:rPr>
        <w:t xml:space="preserve"> EU’s</w:t>
      </w:r>
      <w:r w:rsidR="00A046A3" w:rsidRPr="00D614D2">
        <w:rPr>
          <w:noProof/>
        </w:rPr>
        <w:t xml:space="preserve"> control – principally, wider market rates but currently also movements in the swap curve relative to the market rate. The absolute cost of funding for EU operations is therefore impacted mainly by factors other than the efficient and effective </w:t>
      </w:r>
      <w:r>
        <w:rPr>
          <w:noProof/>
        </w:rPr>
        <w:t>implementation</w:t>
      </w:r>
      <w:r w:rsidR="00A046A3" w:rsidRPr="00D614D2">
        <w:rPr>
          <w:noProof/>
        </w:rPr>
        <w:t xml:space="preserve"> of the unified funding </w:t>
      </w:r>
      <w:r>
        <w:rPr>
          <w:noProof/>
        </w:rPr>
        <w:t>approach</w:t>
      </w:r>
      <w:r w:rsidR="00A046A3" w:rsidRPr="00D614D2">
        <w:rPr>
          <w:noProof/>
        </w:rPr>
        <w:t>. However, sustained</w:t>
      </w:r>
      <w:r>
        <w:rPr>
          <w:noProof/>
        </w:rPr>
        <w:t>,</w:t>
      </w:r>
      <w:r w:rsidR="00A046A3" w:rsidRPr="00D614D2">
        <w:rPr>
          <w:noProof/>
        </w:rPr>
        <w:t xml:space="preserve"> effective implementation is important for the EU’s standing in the market and for its efforts to </w:t>
      </w:r>
      <w:r>
        <w:rPr>
          <w:noProof/>
        </w:rPr>
        <w:t>graduall</w:t>
      </w:r>
      <w:r w:rsidR="00A046A3" w:rsidRPr="00D614D2">
        <w:rPr>
          <w:noProof/>
        </w:rPr>
        <w:t>y bring the trading and pricing of EU-</w:t>
      </w:r>
      <w:r w:rsidR="00F37831">
        <w:rPr>
          <w:noProof/>
        </w:rPr>
        <w:t>B</w:t>
      </w:r>
      <w:r w:rsidR="00A046A3" w:rsidRPr="00D614D2">
        <w:rPr>
          <w:noProof/>
        </w:rPr>
        <w:t xml:space="preserve">onds more in line with the processes used for liquid EGB sovereigns. It is for this reason that a cost metric is not considered to be an appropriate indicator for assessing the Commission’s </w:t>
      </w:r>
      <w:r>
        <w:rPr>
          <w:noProof/>
        </w:rPr>
        <w:t>use</w:t>
      </w:r>
      <w:r w:rsidR="00A046A3" w:rsidRPr="00D614D2">
        <w:rPr>
          <w:noProof/>
        </w:rPr>
        <w:t xml:space="preserve"> of the means under its control for achieving the primary objectives of efficiency and effectiveness.</w:t>
      </w:r>
    </w:p>
    <w:p w14:paraId="21D505C1" w14:textId="77777777" w:rsidR="00BE1D7D" w:rsidRDefault="00BE1D7D" w:rsidP="00BE1D7D">
      <w:pPr>
        <w:spacing w:line="240" w:lineRule="auto"/>
        <w:contextualSpacing/>
        <w:jc w:val="both"/>
        <w:rPr>
          <w:noProof/>
        </w:rPr>
      </w:pPr>
    </w:p>
    <w:p w14:paraId="47895429" w14:textId="52A86226" w:rsidR="00A046A3" w:rsidRPr="00D614D2" w:rsidRDefault="006C29D5" w:rsidP="00BE1D7D">
      <w:pPr>
        <w:spacing w:line="240" w:lineRule="auto"/>
        <w:contextualSpacing/>
        <w:jc w:val="both"/>
        <w:rPr>
          <w:noProof/>
        </w:rPr>
      </w:pPr>
      <w:r>
        <w:rPr>
          <w:noProof/>
        </w:rPr>
        <w:t>Even though they are not indicators that can be</w:t>
      </w:r>
      <w:r w:rsidR="00096802">
        <w:rPr>
          <w:noProof/>
        </w:rPr>
        <w:t xml:space="preserve"> influenced by the way that the Commission uses the levers at its disposal under the funding strategy</w:t>
      </w:r>
      <w:r w:rsidR="00A046A3" w:rsidRPr="00D614D2">
        <w:rPr>
          <w:noProof/>
        </w:rPr>
        <w:t xml:space="preserve">, information on volumes and costs is clearly of central importance </w:t>
      </w:r>
      <w:r>
        <w:rPr>
          <w:noProof/>
        </w:rPr>
        <w:t>to</w:t>
      </w:r>
      <w:r w:rsidR="00A046A3" w:rsidRPr="00D614D2">
        <w:rPr>
          <w:noProof/>
        </w:rPr>
        <w:t xml:space="preserve"> understanding </w:t>
      </w:r>
      <w:r>
        <w:rPr>
          <w:noProof/>
        </w:rPr>
        <w:t>how</w:t>
      </w:r>
      <w:r w:rsidR="00A046A3" w:rsidRPr="00D614D2">
        <w:rPr>
          <w:noProof/>
        </w:rPr>
        <w:t xml:space="preserve"> the funding programme</w:t>
      </w:r>
      <w:r>
        <w:rPr>
          <w:noProof/>
        </w:rPr>
        <w:t xml:space="preserve"> is evolving</w:t>
      </w:r>
      <w:r w:rsidR="00A046A3" w:rsidRPr="00D614D2">
        <w:rPr>
          <w:noProof/>
        </w:rPr>
        <w:t>. The Commission will therefore</w:t>
      </w:r>
      <w:r w:rsidR="00096802">
        <w:rPr>
          <w:noProof/>
        </w:rPr>
        <w:t xml:space="preserve"> include</w:t>
      </w:r>
      <w:r w:rsidR="00A046A3" w:rsidRPr="00D614D2">
        <w:rPr>
          <w:noProof/>
        </w:rPr>
        <w:t xml:space="preserve"> information on overall volumes and average cost of funding</w:t>
      </w:r>
      <w:r w:rsidR="00096802">
        <w:rPr>
          <w:noProof/>
        </w:rPr>
        <w:t xml:space="preserve"> in its </w:t>
      </w:r>
      <w:r>
        <w:rPr>
          <w:noProof/>
        </w:rPr>
        <w:t>half-yearly</w:t>
      </w:r>
      <w:r w:rsidR="00096802">
        <w:rPr>
          <w:noProof/>
        </w:rPr>
        <w:t xml:space="preserve"> reports</w:t>
      </w:r>
      <w:r w:rsidR="00A046A3" w:rsidRPr="00D614D2">
        <w:rPr>
          <w:noProof/>
        </w:rPr>
        <w:t xml:space="preserve">. </w:t>
      </w:r>
    </w:p>
    <w:p w14:paraId="3BE10FAE" w14:textId="77777777" w:rsidR="00BE1D7D" w:rsidRDefault="00BE1D7D" w:rsidP="00BE1D7D">
      <w:pPr>
        <w:spacing w:line="240" w:lineRule="auto"/>
        <w:contextualSpacing/>
        <w:jc w:val="both"/>
        <w:rPr>
          <w:noProof/>
        </w:rPr>
      </w:pPr>
    </w:p>
    <w:p w14:paraId="7DBF6AC6" w14:textId="5B4BB6EE" w:rsidR="00A046A3" w:rsidRPr="001D446D" w:rsidRDefault="00A046A3" w:rsidP="001D446D">
      <w:pPr>
        <w:spacing w:line="240" w:lineRule="auto"/>
        <w:contextualSpacing/>
        <w:jc w:val="both"/>
        <w:rPr>
          <w:noProof/>
          <w:lang w:val="en-GB"/>
        </w:rPr>
        <w:sectPr w:rsidR="00A046A3" w:rsidRPr="001D446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pPr>
      <w:r w:rsidRPr="00D614D2">
        <w:rPr>
          <w:noProof/>
        </w:rPr>
        <w:t xml:space="preserve">It is recalled that the dimensions of the borrowing and debt management operations to be undertaken are set out in the Commission’s annual borrowing decision and accompanying bi-annual funding plans, which </w:t>
      </w:r>
      <w:r w:rsidR="00212A39">
        <w:rPr>
          <w:noProof/>
        </w:rPr>
        <w:t>limits</w:t>
      </w:r>
      <w:r w:rsidRPr="00D614D2">
        <w:rPr>
          <w:noProof/>
        </w:rPr>
        <w:t xml:space="preserve"> the overall exposure of the </w:t>
      </w:r>
      <w:r w:rsidR="006C29D5">
        <w:rPr>
          <w:noProof/>
        </w:rPr>
        <w:t>EU</w:t>
      </w:r>
      <w:r w:rsidRPr="00D614D2">
        <w:rPr>
          <w:noProof/>
        </w:rPr>
        <w:t>’s budget and of loan beneficiaries.</w:t>
      </w:r>
      <w:r w:rsidRPr="00D614D2">
        <w:rPr>
          <w:rStyle w:val="FootnoteReference"/>
          <w:noProof/>
        </w:rPr>
        <w:footnoteReference w:id="11"/>
      </w:r>
    </w:p>
    <w:p w14:paraId="33702F55" w14:textId="3D7C7C15" w:rsidR="00A046A3" w:rsidRPr="000123E4" w:rsidRDefault="00A046A3" w:rsidP="00A046A3">
      <w:pPr>
        <w:rPr>
          <w:b/>
          <w:bCs/>
          <w:noProof/>
          <w:lang w:val="en-GB"/>
        </w:rPr>
      </w:pPr>
      <w:r w:rsidRPr="200E8EEE">
        <w:rPr>
          <w:b/>
          <w:bCs/>
          <w:noProof/>
        </w:rPr>
        <w:t xml:space="preserve">Table </w:t>
      </w:r>
      <w:r w:rsidRPr="000123E4">
        <w:rPr>
          <w:b/>
          <w:bCs/>
          <w:noProof/>
        </w:rPr>
        <w:t>1: I</w:t>
      </w:r>
      <w:r w:rsidR="006C29D5">
        <w:rPr>
          <w:b/>
          <w:bCs/>
          <w:noProof/>
        </w:rPr>
        <w:t>mplementation i</w:t>
      </w:r>
      <w:r w:rsidRPr="000123E4">
        <w:rPr>
          <w:b/>
          <w:bCs/>
          <w:noProof/>
        </w:rPr>
        <w:t>ndicator</w:t>
      </w:r>
      <w:r w:rsidR="006C29D5">
        <w:rPr>
          <w:b/>
          <w:bCs/>
          <w:noProof/>
        </w:rPr>
        <w:t>s on the</w:t>
      </w:r>
      <w:r w:rsidRPr="000123E4">
        <w:rPr>
          <w:b/>
          <w:bCs/>
          <w:noProof/>
        </w:rPr>
        <w:t xml:space="preserve"> </w:t>
      </w:r>
      <w:r w:rsidR="006C29D5">
        <w:rPr>
          <w:b/>
          <w:bCs/>
          <w:noProof/>
        </w:rPr>
        <w:t>use</w:t>
      </w:r>
      <w:r w:rsidRPr="000123E4">
        <w:rPr>
          <w:b/>
          <w:bCs/>
          <w:noProof/>
        </w:rPr>
        <w:t xml:space="preserve"> </w:t>
      </w:r>
      <w:r w:rsidR="006C29D5">
        <w:rPr>
          <w:b/>
          <w:bCs/>
          <w:noProof/>
        </w:rPr>
        <w:t xml:space="preserve">of </w:t>
      </w:r>
      <w:r w:rsidRPr="000123E4">
        <w:rPr>
          <w:b/>
          <w:bCs/>
          <w:noProof/>
        </w:rPr>
        <w:t xml:space="preserve">the means </w:t>
      </w:r>
      <w:r w:rsidR="006C29D5">
        <w:rPr>
          <w:b/>
          <w:bCs/>
          <w:noProof/>
        </w:rPr>
        <w:t>for</w:t>
      </w:r>
      <w:r w:rsidRPr="000123E4">
        <w:rPr>
          <w:b/>
          <w:bCs/>
          <w:noProof/>
        </w:rPr>
        <w:t xml:space="preserve"> deliver</w:t>
      </w:r>
      <w:r w:rsidR="006C29D5">
        <w:rPr>
          <w:b/>
          <w:bCs/>
          <w:noProof/>
        </w:rPr>
        <w:t>ing</w:t>
      </w:r>
      <w:r w:rsidRPr="000123E4">
        <w:rPr>
          <w:b/>
          <w:bCs/>
          <w:noProof/>
        </w:rPr>
        <w:t xml:space="preserve"> against the Commission’s efficiency and effectiveness objectives</w:t>
      </w:r>
    </w:p>
    <w:tbl>
      <w:tblPr>
        <w:tblStyle w:val="TableGrid"/>
        <w:tblW w:w="5165" w:type="pct"/>
        <w:tblLayout w:type="fixed"/>
        <w:tblLook w:val="04A0" w:firstRow="1" w:lastRow="0" w:firstColumn="1" w:lastColumn="0" w:noHBand="0" w:noVBand="1"/>
      </w:tblPr>
      <w:tblGrid>
        <w:gridCol w:w="2172"/>
        <w:gridCol w:w="2478"/>
        <w:gridCol w:w="2264"/>
        <w:gridCol w:w="2126"/>
        <w:gridCol w:w="6235"/>
      </w:tblGrid>
      <w:tr w:rsidR="009944DB" w:rsidRPr="000123E4" w14:paraId="67380F59" w14:textId="77777777" w:rsidTr="009944DB">
        <w:trPr>
          <w:trHeight w:val="273"/>
        </w:trPr>
        <w:tc>
          <w:tcPr>
            <w:tcW w:w="1522" w:type="pct"/>
            <w:gridSpan w:val="2"/>
            <w:vAlign w:val="center"/>
          </w:tcPr>
          <w:p w14:paraId="71D49E07" w14:textId="77777777" w:rsidR="00A046A3" w:rsidRPr="000123E4" w:rsidRDefault="00A046A3" w:rsidP="00BE1D7D">
            <w:pPr>
              <w:spacing w:line="240" w:lineRule="auto"/>
              <w:jc w:val="center"/>
              <w:rPr>
                <w:b/>
                <w:bCs/>
                <w:noProof/>
              </w:rPr>
            </w:pPr>
            <w:r w:rsidRPr="000123E4">
              <w:rPr>
                <w:b/>
                <w:bCs/>
                <w:noProof/>
              </w:rPr>
              <w:t>Means</w:t>
            </w:r>
          </w:p>
        </w:tc>
        <w:tc>
          <w:tcPr>
            <w:tcW w:w="741" w:type="pct"/>
            <w:vAlign w:val="center"/>
          </w:tcPr>
          <w:p w14:paraId="04BF5DB2" w14:textId="77777777" w:rsidR="00A046A3" w:rsidRPr="000123E4" w:rsidRDefault="00A046A3" w:rsidP="00BE1D7D">
            <w:pPr>
              <w:spacing w:line="240" w:lineRule="auto"/>
              <w:jc w:val="center"/>
              <w:rPr>
                <w:b/>
                <w:bCs/>
                <w:noProof/>
              </w:rPr>
            </w:pPr>
            <w:r w:rsidRPr="000123E4">
              <w:rPr>
                <w:b/>
                <w:bCs/>
                <w:noProof/>
              </w:rPr>
              <w:t>Indicator</w:t>
            </w:r>
          </w:p>
        </w:tc>
        <w:tc>
          <w:tcPr>
            <w:tcW w:w="696" w:type="pct"/>
            <w:vAlign w:val="center"/>
          </w:tcPr>
          <w:p w14:paraId="3C7A1F8D" w14:textId="7108C9B0" w:rsidR="00A046A3" w:rsidRPr="000123E4" w:rsidRDefault="00A046A3" w:rsidP="00BE1D7D">
            <w:pPr>
              <w:spacing w:line="240" w:lineRule="auto"/>
              <w:jc w:val="center"/>
              <w:rPr>
                <w:b/>
                <w:bCs/>
                <w:noProof/>
              </w:rPr>
            </w:pPr>
            <w:r w:rsidRPr="000123E4">
              <w:rPr>
                <w:b/>
                <w:bCs/>
                <w:noProof/>
              </w:rPr>
              <w:t xml:space="preserve">Value in </w:t>
            </w:r>
            <w:r w:rsidR="000571C9" w:rsidRPr="000123E4">
              <w:rPr>
                <w:b/>
                <w:bCs/>
                <w:noProof/>
              </w:rPr>
              <w:t>H1 2023 (unless indicated otherwise)</w:t>
            </w:r>
          </w:p>
        </w:tc>
        <w:tc>
          <w:tcPr>
            <w:tcW w:w="2041" w:type="pct"/>
          </w:tcPr>
          <w:p w14:paraId="44C57C22" w14:textId="7A73D61F" w:rsidR="00A046A3" w:rsidRPr="000123E4" w:rsidRDefault="00A046A3" w:rsidP="00BE1D7D">
            <w:pPr>
              <w:spacing w:line="240" w:lineRule="auto"/>
              <w:jc w:val="center"/>
              <w:rPr>
                <w:b/>
                <w:bCs/>
                <w:noProof/>
              </w:rPr>
            </w:pPr>
            <w:r w:rsidRPr="000123E4">
              <w:rPr>
                <w:b/>
                <w:bCs/>
                <w:noProof/>
              </w:rPr>
              <w:t>Co</w:t>
            </w:r>
            <w:r w:rsidR="00D614D2" w:rsidRPr="000123E4">
              <w:rPr>
                <w:b/>
                <w:bCs/>
                <w:noProof/>
              </w:rPr>
              <w:t>mmentary on execution in H1 2023</w:t>
            </w:r>
          </w:p>
        </w:tc>
      </w:tr>
      <w:tr w:rsidR="000571C9" w:rsidRPr="000123E4" w14:paraId="004D763A" w14:textId="77777777" w:rsidTr="009944DB">
        <w:trPr>
          <w:trHeight w:val="942"/>
        </w:trPr>
        <w:tc>
          <w:tcPr>
            <w:tcW w:w="711" w:type="pct"/>
            <w:vMerge w:val="restart"/>
          </w:tcPr>
          <w:p w14:paraId="6CB1B1DB" w14:textId="433D6826" w:rsidR="000571C9" w:rsidRPr="000123E4" w:rsidRDefault="000571C9" w:rsidP="00BE1D7D">
            <w:pPr>
              <w:pStyle w:val="ListParagraph"/>
              <w:numPr>
                <w:ilvl w:val="0"/>
                <w:numId w:val="30"/>
              </w:numPr>
              <w:spacing w:after="0" w:line="240" w:lineRule="auto"/>
              <w:rPr>
                <w:rFonts w:ascii="Times New Roman" w:hAnsi="Times New Roman" w:cs="Times New Roman"/>
                <w:b/>
                <w:bCs/>
                <w:noProof/>
              </w:rPr>
            </w:pPr>
            <w:r w:rsidRPr="000123E4">
              <w:rPr>
                <w:rFonts w:ascii="Times New Roman" w:hAnsi="Times New Roman" w:cs="Times New Roman"/>
                <w:b/>
                <w:bCs/>
                <w:noProof/>
              </w:rPr>
              <w:t xml:space="preserve">Implementation of the EU-Bond </w:t>
            </w:r>
            <w:r w:rsidR="006C29D5">
              <w:rPr>
                <w:rFonts w:ascii="Times New Roman" w:hAnsi="Times New Roman" w:cs="Times New Roman"/>
                <w:b/>
                <w:bCs/>
                <w:noProof/>
              </w:rPr>
              <w:t>p</w:t>
            </w:r>
            <w:r w:rsidRPr="000123E4">
              <w:rPr>
                <w:rFonts w:ascii="Times New Roman" w:hAnsi="Times New Roman" w:cs="Times New Roman"/>
                <w:b/>
                <w:bCs/>
                <w:noProof/>
              </w:rPr>
              <w:t>rogramme</w:t>
            </w:r>
          </w:p>
          <w:p w14:paraId="7801074E" w14:textId="77777777" w:rsidR="000571C9" w:rsidRPr="000123E4" w:rsidRDefault="000571C9" w:rsidP="00BE1D7D">
            <w:pPr>
              <w:spacing w:line="240" w:lineRule="auto"/>
              <w:rPr>
                <w:noProof/>
              </w:rPr>
            </w:pPr>
          </w:p>
        </w:tc>
        <w:tc>
          <w:tcPr>
            <w:tcW w:w="811" w:type="pct"/>
            <w:vMerge w:val="restart"/>
          </w:tcPr>
          <w:p w14:paraId="5A823924"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r w:rsidRPr="000123E4">
              <w:rPr>
                <w:rFonts w:ascii="Times New Roman" w:hAnsi="Times New Roman" w:cs="Times New Roman"/>
                <w:noProof/>
                <w:u w:val="single"/>
              </w:rPr>
              <w:t>Regular issuances across the curve</w:t>
            </w:r>
          </w:p>
          <w:p w14:paraId="1D480C48" w14:textId="77777777" w:rsidR="000571C9" w:rsidRDefault="000571C9" w:rsidP="00BE1D7D">
            <w:pPr>
              <w:pStyle w:val="ListParagraph"/>
              <w:spacing w:line="240" w:lineRule="auto"/>
              <w:ind w:left="360"/>
              <w:rPr>
                <w:rFonts w:ascii="Times New Roman" w:hAnsi="Times New Roman" w:cs="Times New Roman"/>
                <w:noProof/>
              </w:rPr>
            </w:pPr>
            <w:r w:rsidRPr="000123E4">
              <w:rPr>
                <w:rFonts w:ascii="Times New Roman" w:hAnsi="Times New Roman" w:cs="Times New Roman"/>
                <w:noProof/>
              </w:rPr>
              <w:t xml:space="preserve">Regular EU-Bond (and NGEU </w:t>
            </w:r>
            <w:r w:rsidR="00711B9E">
              <w:rPr>
                <w:rFonts w:ascii="Times New Roman" w:hAnsi="Times New Roman" w:cs="Times New Roman"/>
                <w:noProof/>
              </w:rPr>
              <w:t>g</w:t>
            </w:r>
            <w:r w:rsidRPr="000123E4">
              <w:rPr>
                <w:rFonts w:ascii="Times New Roman" w:hAnsi="Times New Roman" w:cs="Times New Roman"/>
                <w:noProof/>
              </w:rPr>
              <w:t xml:space="preserve">reen </w:t>
            </w:r>
            <w:r w:rsidR="00711B9E">
              <w:rPr>
                <w:rFonts w:ascii="Times New Roman" w:hAnsi="Times New Roman" w:cs="Times New Roman"/>
                <w:noProof/>
              </w:rPr>
              <w:t>b</w:t>
            </w:r>
            <w:r w:rsidRPr="000123E4">
              <w:rPr>
                <w:rFonts w:ascii="Times New Roman" w:hAnsi="Times New Roman" w:cs="Times New Roman"/>
                <w:noProof/>
              </w:rPr>
              <w:t>ond) issuances in all maturities across the curve (up to 30</w:t>
            </w:r>
            <w:r w:rsidR="00FD0EE1">
              <w:rPr>
                <w:rFonts w:ascii="Times New Roman" w:hAnsi="Times New Roman" w:cs="Times New Roman"/>
                <w:noProof/>
              </w:rPr>
              <w:t xml:space="preserve"> </w:t>
            </w:r>
            <w:r w:rsidRPr="000123E4">
              <w:rPr>
                <w:rFonts w:ascii="Times New Roman" w:hAnsi="Times New Roman" w:cs="Times New Roman"/>
                <w:noProof/>
              </w:rPr>
              <w:t>y</w:t>
            </w:r>
            <w:r w:rsidR="00FD0EE1">
              <w:rPr>
                <w:rFonts w:ascii="Times New Roman" w:hAnsi="Times New Roman" w:cs="Times New Roman"/>
                <w:noProof/>
              </w:rPr>
              <w:t>ears</w:t>
            </w:r>
            <w:r w:rsidRPr="000123E4">
              <w:rPr>
                <w:rFonts w:ascii="Times New Roman" w:hAnsi="Times New Roman" w:cs="Times New Roman"/>
                <w:noProof/>
              </w:rPr>
              <w:t xml:space="preserve">) to provide different types of investors </w:t>
            </w:r>
            <w:r w:rsidR="00FD0EE1">
              <w:rPr>
                <w:rFonts w:ascii="Times New Roman" w:hAnsi="Times New Roman" w:cs="Times New Roman"/>
                <w:noProof/>
              </w:rPr>
              <w:t xml:space="preserve">with investment opportunities </w:t>
            </w:r>
            <w:r w:rsidRPr="000123E4">
              <w:rPr>
                <w:rFonts w:ascii="Times New Roman" w:hAnsi="Times New Roman" w:cs="Times New Roman"/>
                <w:noProof/>
              </w:rPr>
              <w:t>as</w:t>
            </w:r>
            <w:r w:rsidR="00FD0EE1">
              <w:rPr>
                <w:rFonts w:ascii="Times New Roman" w:hAnsi="Times New Roman" w:cs="Times New Roman"/>
                <w:noProof/>
              </w:rPr>
              <w:t xml:space="preserve"> way</w:t>
            </w:r>
            <w:r w:rsidRPr="000123E4">
              <w:rPr>
                <w:rFonts w:ascii="Times New Roman" w:hAnsi="Times New Roman" w:cs="Times New Roman"/>
                <w:noProof/>
              </w:rPr>
              <w:t xml:space="preserve"> of maintaining strong investor demand </w:t>
            </w:r>
            <w:r w:rsidR="00FD0EE1">
              <w:rPr>
                <w:rFonts w:ascii="Times New Roman" w:hAnsi="Times New Roman" w:cs="Times New Roman"/>
                <w:noProof/>
              </w:rPr>
              <w:t>and thus the</w:t>
            </w:r>
            <w:r w:rsidRPr="000123E4">
              <w:rPr>
                <w:rFonts w:ascii="Times New Roman" w:hAnsi="Times New Roman" w:cs="Times New Roman"/>
                <w:noProof/>
              </w:rPr>
              <w:t xml:space="preserve"> flexibility to determine issuance volumes and maturities for individual transactions based on market conditions.</w:t>
            </w:r>
          </w:p>
          <w:p w14:paraId="11AEAD45" w14:textId="77777777" w:rsidR="00E6358D" w:rsidRDefault="00E6358D" w:rsidP="00BE1D7D">
            <w:pPr>
              <w:pStyle w:val="ListParagraph"/>
              <w:spacing w:line="240" w:lineRule="auto"/>
              <w:ind w:left="360"/>
              <w:rPr>
                <w:rFonts w:ascii="Times New Roman" w:hAnsi="Times New Roman" w:cs="Times New Roman"/>
                <w:noProof/>
              </w:rPr>
            </w:pPr>
          </w:p>
          <w:p w14:paraId="50D6F304" w14:textId="700BD9C7" w:rsidR="00E6358D" w:rsidRPr="000123E4" w:rsidRDefault="00E6358D" w:rsidP="00BE1D7D">
            <w:pPr>
              <w:pStyle w:val="ListParagraph"/>
              <w:spacing w:line="240" w:lineRule="auto"/>
              <w:ind w:left="360"/>
              <w:rPr>
                <w:rFonts w:ascii="Times New Roman" w:hAnsi="Times New Roman" w:cs="Times New Roman"/>
                <w:noProof/>
              </w:rPr>
            </w:pPr>
          </w:p>
        </w:tc>
        <w:tc>
          <w:tcPr>
            <w:tcW w:w="741" w:type="pct"/>
          </w:tcPr>
          <w:p w14:paraId="6135D198" w14:textId="77777777" w:rsidR="000571C9" w:rsidRPr="00F9742E" w:rsidRDefault="000571C9" w:rsidP="00BE1D7D">
            <w:pPr>
              <w:pStyle w:val="ListParagraph"/>
              <w:numPr>
                <w:ilvl w:val="0"/>
                <w:numId w:val="33"/>
              </w:numPr>
              <w:spacing w:after="0" w:line="240" w:lineRule="auto"/>
              <w:rPr>
                <w:rFonts w:ascii="Times New Roman" w:hAnsi="Times New Roman" w:cs="Times New Roman"/>
                <w:i/>
                <w:iCs/>
                <w:noProof/>
              </w:rPr>
            </w:pPr>
            <w:r w:rsidRPr="00F9742E">
              <w:rPr>
                <w:rFonts w:ascii="Times New Roman" w:hAnsi="Times New Roman" w:cs="Times New Roman"/>
                <w:i/>
                <w:iCs/>
                <w:noProof/>
              </w:rPr>
              <w:t>Maturity split of issuance programme</w:t>
            </w:r>
          </w:p>
        </w:tc>
        <w:tc>
          <w:tcPr>
            <w:tcW w:w="696" w:type="pct"/>
          </w:tcPr>
          <w:p w14:paraId="400CD4C2" w14:textId="4DCD7AD2" w:rsidR="000571C9" w:rsidRPr="00084648" w:rsidRDefault="000571C9" w:rsidP="00BE1D7D">
            <w:pPr>
              <w:spacing w:after="0" w:line="240" w:lineRule="auto"/>
              <w:rPr>
                <w:noProof/>
              </w:rPr>
            </w:pPr>
            <w:r w:rsidRPr="00084648">
              <w:rPr>
                <w:noProof/>
              </w:rPr>
              <w:t>1-4</w:t>
            </w:r>
            <w:r w:rsidR="006C29D5" w:rsidRPr="00084648">
              <w:rPr>
                <w:noProof/>
              </w:rPr>
              <w:t xml:space="preserve"> </w:t>
            </w:r>
            <w:r w:rsidRPr="00084648">
              <w:rPr>
                <w:noProof/>
              </w:rPr>
              <w:t>y</w:t>
            </w:r>
            <w:r w:rsidR="006C29D5" w:rsidRPr="00084648">
              <w:rPr>
                <w:noProof/>
              </w:rPr>
              <w:t>ears</w:t>
            </w:r>
            <w:r w:rsidRPr="00084648">
              <w:rPr>
                <w:noProof/>
              </w:rPr>
              <w:t>: 22%</w:t>
            </w:r>
          </w:p>
          <w:p w14:paraId="474AE620" w14:textId="04A7E724" w:rsidR="000571C9" w:rsidRPr="006C29D5" w:rsidRDefault="000571C9" w:rsidP="00BE1D7D">
            <w:pPr>
              <w:spacing w:after="0" w:line="240" w:lineRule="auto"/>
              <w:rPr>
                <w:noProof/>
              </w:rPr>
            </w:pPr>
            <w:r w:rsidRPr="006C29D5">
              <w:rPr>
                <w:noProof/>
              </w:rPr>
              <w:t>4-8</w:t>
            </w:r>
            <w:r w:rsidR="006C29D5" w:rsidRPr="006C29D5">
              <w:rPr>
                <w:noProof/>
              </w:rPr>
              <w:t xml:space="preserve"> </w:t>
            </w:r>
            <w:r w:rsidRPr="006C29D5">
              <w:rPr>
                <w:noProof/>
              </w:rPr>
              <w:t>y</w:t>
            </w:r>
            <w:r w:rsidR="006C29D5" w:rsidRPr="006C29D5">
              <w:rPr>
                <w:noProof/>
              </w:rPr>
              <w:t>ears</w:t>
            </w:r>
            <w:r w:rsidRPr="006C29D5">
              <w:rPr>
                <w:noProof/>
              </w:rPr>
              <w:t xml:space="preserve">: 15% </w:t>
            </w:r>
          </w:p>
          <w:p w14:paraId="1F6B36B0" w14:textId="0BA96611" w:rsidR="000571C9" w:rsidRPr="006C29D5" w:rsidRDefault="000571C9" w:rsidP="00BE1D7D">
            <w:pPr>
              <w:spacing w:after="0" w:line="240" w:lineRule="auto"/>
              <w:rPr>
                <w:noProof/>
              </w:rPr>
            </w:pPr>
            <w:r w:rsidRPr="006C29D5">
              <w:rPr>
                <w:noProof/>
              </w:rPr>
              <w:t>8-12</w:t>
            </w:r>
            <w:r w:rsidR="006C29D5" w:rsidRPr="006C29D5">
              <w:rPr>
                <w:noProof/>
              </w:rPr>
              <w:t xml:space="preserve"> years</w:t>
            </w:r>
            <w:r w:rsidRPr="006C29D5">
              <w:rPr>
                <w:noProof/>
              </w:rPr>
              <w:t>: 17%</w:t>
            </w:r>
          </w:p>
          <w:p w14:paraId="6F1DC857" w14:textId="64D5A160" w:rsidR="000571C9" w:rsidRPr="006C29D5" w:rsidRDefault="000571C9" w:rsidP="00BE1D7D">
            <w:pPr>
              <w:spacing w:after="0" w:line="240" w:lineRule="auto"/>
              <w:rPr>
                <w:noProof/>
              </w:rPr>
            </w:pPr>
            <w:r w:rsidRPr="006C29D5">
              <w:rPr>
                <w:noProof/>
              </w:rPr>
              <w:t>12y-17</w:t>
            </w:r>
            <w:r w:rsidR="006C29D5" w:rsidRPr="006C29D5">
              <w:rPr>
                <w:noProof/>
              </w:rPr>
              <w:t xml:space="preserve"> </w:t>
            </w:r>
            <w:r w:rsidRPr="006C29D5">
              <w:rPr>
                <w:noProof/>
              </w:rPr>
              <w:t>y</w:t>
            </w:r>
            <w:r w:rsidR="006C29D5" w:rsidRPr="006C29D5">
              <w:rPr>
                <w:noProof/>
              </w:rPr>
              <w:t>ears</w:t>
            </w:r>
            <w:r w:rsidRPr="006C29D5">
              <w:rPr>
                <w:noProof/>
              </w:rPr>
              <w:t>: 11%</w:t>
            </w:r>
          </w:p>
          <w:p w14:paraId="649B999B" w14:textId="618ADD0E" w:rsidR="000571C9" w:rsidRPr="006C29D5" w:rsidRDefault="000571C9" w:rsidP="00BE1D7D">
            <w:pPr>
              <w:spacing w:after="0" w:line="240" w:lineRule="auto"/>
              <w:rPr>
                <w:noProof/>
              </w:rPr>
            </w:pPr>
            <w:r w:rsidRPr="006C29D5">
              <w:rPr>
                <w:noProof/>
              </w:rPr>
              <w:t>17-23</w:t>
            </w:r>
            <w:r w:rsidR="006C29D5" w:rsidRPr="006C29D5">
              <w:rPr>
                <w:noProof/>
              </w:rPr>
              <w:t xml:space="preserve"> </w:t>
            </w:r>
            <w:r w:rsidRPr="006C29D5">
              <w:rPr>
                <w:noProof/>
              </w:rPr>
              <w:t>y</w:t>
            </w:r>
            <w:r w:rsidR="006C29D5">
              <w:rPr>
                <w:noProof/>
              </w:rPr>
              <w:t>ears</w:t>
            </w:r>
            <w:r w:rsidRPr="006C29D5">
              <w:rPr>
                <w:noProof/>
              </w:rPr>
              <w:t>: 16%</w:t>
            </w:r>
          </w:p>
          <w:p w14:paraId="4060ADA5" w14:textId="3394D1ED" w:rsidR="000571C9" w:rsidRPr="000123E4" w:rsidRDefault="000571C9" w:rsidP="00BE1D7D">
            <w:pPr>
              <w:spacing w:after="0" w:line="240" w:lineRule="auto"/>
              <w:rPr>
                <w:noProof/>
                <w:lang w:val="fr-BE"/>
              </w:rPr>
            </w:pPr>
            <w:r w:rsidRPr="000123E4">
              <w:rPr>
                <w:noProof/>
                <w:lang w:val="fr-BE"/>
              </w:rPr>
              <w:t>23-31</w:t>
            </w:r>
            <w:r w:rsidR="006C29D5">
              <w:rPr>
                <w:noProof/>
                <w:lang w:val="fr-BE"/>
              </w:rPr>
              <w:t xml:space="preserve"> </w:t>
            </w:r>
            <w:r w:rsidRPr="000123E4">
              <w:rPr>
                <w:noProof/>
                <w:lang w:val="fr-BE"/>
              </w:rPr>
              <w:t>y</w:t>
            </w:r>
            <w:r w:rsidR="006C29D5">
              <w:rPr>
                <w:noProof/>
                <w:lang w:val="fr-BE"/>
              </w:rPr>
              <w:t>ears</w:t>
            </w:r>
            <w:r w:rsidR="00E6358D">
              <w:rPr>
                <w:noProof/>
                <w:lang w:val="fr-BE"/>
              </w:rPr>
              <w:t>:</w:t>
            </w:r>
            <w:r w:rsidRPr="000123E4">
              <w:rPr>
                <w:noProof/>
                <w:lang w:val="fr-BE"/>
              </w:rPr>
              <w:t xml:space="preserve"> 19%</w:t>
            </w:r>
          </w:p>
        </w:tc>
        <w:tc>
          <w:tcPr>
            <w:tcW w:w="2041" w:type="pct"/>
            <w:vMerge w:val="restart"/>
          </w:tcPr>
          <w:p w14:paraId="57F260B7" w14:textId="2D6DDAFC" w:rsidR="000571C9" w:rsidRPr="000123E4" w:rsidRDefault="000571C9" w:rsidP="00BE1D7D">
            <w:pPr>
              <w:spacing w:line="240" w:lineRule="auto"/>
              <w:rPr>
                <w:bCs/>
                <w:noProof/>
              </w:rPr>
            </w:pPr>
            <w:r w:rsidRPr="000123E4">
              <w:rPr>
                <w:noProof/>
              </w:rPr>
              <w:t xml:space="preserve">In H1 2023 the Commission pursued its objective </w:t>
            </w:r>
            <w:r w:rsidR="00FD0EE1">
              <w:rPr>
                <w:noProof/>
              </w:rPr>
              <w:t>through</w:t>
            </w:r>
            <w:r w:rsidRPr="000123E4">
              <w:rPr>
                <w:noProof/>
              </w:rPr>
              <w:t xml:space="preserve"> r</w:t>
            </w:r>
            <w:r w:rsidRPr="000123E4">
              <w:rPr>
                <w:bCs/>
                <w:noProof/>
              </w:rPr>
              <w:t xml:space="preserve">egular bond issuances across different tenors to provide the EU curve with liquidity on all segments. </w:t>
            </w:r>
            <w:bookmarkStart w:id="18" w:name="_Hlk138241354"/>
            <w:r w:rsidRPr="000123E4">
              <w:rPr>
                <w:bCs/>
                <w:noProof/>
              </w:rPr>
              <w:t xml:space="preserve">The funding transactions were spread over the full semester to ensure a regular presence in the market. Over the semester, a </w:t>
            </w:r>
            <w:r w:rsidR="00FD0EE1">
              <w:rPr>
                <w:bCs/>
                <w:noProof/>
              </w:rPr>
              <w:t>great</w:t>
            </w:r>
            <w:r w:rsidRPr="000123E4">
              <w:rPr>
                <w:bCs/>
                <w:noProof/>
              </w:rPr>
              <w:t>er number of transactions w</w:t>
            </w:r>
            <w:r w:rsidR="00FD0EE1">
              <w:rPr>
                <w:bCs/>
                <w:noProof/>
              </w:rPr>
              <w:t>ere made</w:t>
            </w:r>
            <w:r w:rsidRPr="000123E4">
              <w:rPr>
                <w:bCs/>
                <w:noProof/>
              </w:rPr>
              <w:t xml:space="preserve"> than </w:t>
            </w:r>
            <w:r w:rsidR="00FD0EE1">
              <w:rPr>
                <w:bCs/>
                <w:noProof/>
              </w:rPr>
              <w:t>in</w:t>
            </w:r>
            <w:r w:rsidRPr="000123E4">
              <w:rPr>
                <w:bCs/>
                <w:noProof/>
              </w:rPr>
              <w:t xml:space="preserve"> the previous semester </w:t>
            </w:r>
            <w:r w:rsidR="00FD0EE1">
              <w:rPr>
                <w:bCs/>
                <w:noProof/>
              </w:rPr>
              <w:t>due to</w:t>
            </w:r>
            <w:r w:rsidRPr="000123E4">
              <w:rPr>
                <w:bCs/>
                <w:noProof/>
              </w:rPr>
              <w:t xml:space="preserve"> a) the H1 2022 funding target of up to </w:t>
            </w:r>
            <w:r w:rsidR="00FD0EE1">
              <w:rPr>
                <w:bCs/>
                <w:noProof/>
              </w:rPr>
              <w:t xml:space="preserve">EUR </w:t>
            </w:r>
            <w:r w:rsidRPr="000123E4">
              <w:rPr>
                <w:bCs/>
                <w:noProof/>
              </w:rPr>
              <w:t>80 b</w:t>
            </w:r>
            <w:r w:rsidR="00FD0EE1">
              <w:rPr>
                <w:bCs/>
                <w:noProof/>
              </w:rPr>
              <w:t>illion</w:t>
            </w:r>
            <w:r w:rsidRPr="000123E4">
              <w:rPr>
                <w:bCs/>
                <w:noProof/>
              </w:rPr>
              <w:t xml:space="preserve"> (</w:t>
            </w:r>
            <w:r w:rsidR="00FD0EE1">
              <w:rPr>
                <w:bCs/>
                <w:noProof/>
              </w:rPr>
              <w:t>compared with</w:t>
            </w:r>
            <w:r w:rsidRPr="000123E4">
              <w:rPr>
                <w:bCs/>
                <w:noProof/>
              </w:rPr>
              <w:t xml:space="preserve"> EUR 50 b</w:t>
            </w:r>
            <w:r w:rsidR="00FD0EE1">
              <w:rPr>
                <w:bCs/>
                <w:noProof/>
              </w:rPr>
              <w:t>illio</w:t>
            </w:r>
            <w:r w:rsidRPr="000123E4">
              <w:rPr>
                <w:bCs/>
                <w:noProof/>
              </w:rPr>
              <w:t xml:space="preserve">n in </w:t>
            </w:r>
            <w:r w:rsidR="00084648">
              <w:rPr>
                <w:bCs/>
                <w:noProof/>
              </w:rPr>
              <w:t>H1</w:t>
            </w:r>
            <w:r w:rsidRPr="000123E4">
              <w:rPr>
                <w:bCs/>
                <w:noProof/>
              </w:rPr>
              <w:t xml:space="preserve"> 2022) and b) the lower average size of transactions in light of the challenging and volatile market </w:t>
            </w:r>
            <w:r w:rsidR="00FD0EE1">
              <w:rPr>
                <w:bCs/>
                <w:noProof/>
              </w:rPr>
              <w:t>conditions when</w:t>
            </w:r>
            <w:r w:rsidRPr="000123E4">
              <w:rPr>
                <w:bCs/>
                <w:noProof/>
              </w:rPr>
              <w:t xml:space="preserve"> the funding plan </w:t>
            </w:r>
            <w:r w:rsidR="00FD0EE1">
              <w:rPr>
                <w:bCs/>
                <w:noProof/>
              </w:rPr>
              <w:t>for</w:t>
            </w:r>
            <w:r w:rsidRPr="000123E4">
              <w:rPr>
                <w:bCs/>
                <w:noProof/>
              </w:rPr>
              <w:t xml:space="preserve"> the first half of 2023</w:t>
            </w:r>
            <w:r w:rsidR="00FD0EE1">
              <w:rPr>
                <w:bCs/>
                <w:noProof/>
              </w:rPr>
              <w:t xml:space="preserve"> was drawn up</w:t>
            </w:r>
            <w:r w:rsidRPr="000123E4">
              <w:rPr>
                <w:bCs/>
                <w:noProof/>
              </w:rPr>
              <w:t>.</w:t>
            </w:r>
          </w:p>
          <w:bookmarkEnd w:id="18"/>
          <w:p w14:paraId="146B0583" w14:textId="5D5DB810" w:rsidR="000571C9" w:rsidRPr="000123E4" w:rsidRDefault="000571C9" w:rsidP="00BE1D7D">
            <w:pPr>
              <w:spacing w:line="240" w:lineRule="auto"/>
              <w:rPr>
                <w:bCs/>
                <w:noProof/>
              </w:rPr>
            </w:pPr>
            <w:r w:rsidRPr="000123E4">
              <w:rPr>
                <w:bCs/>
                <w:noProof/>
              </w:rPr>
              <w:t>While ensuring a presence in all benchmark maturity buckets, the issuances were, on average, geared slightly towards the long-end of the curve (with an average maturity of issuances of 13.5</w:t>
            </w:r>
            <w:r w:rsidR="00FD0EE1">
              <w:rPr>
                <w:bCs/>
                <w:noProof/>
              </w:rPr>
              <w:t xml:space="preserve"> </w:t>
            </w:r>
            <w:r w:rsidRPr="000123E4">
              <w:rPr>
                <w:bCs/>
                <w:noProof/>
              </w:rPr>
              <w:t>y</w:t>
            </w:r>
            <w:r w:rsidR="00FD0EE1">
              <w:rPr>
                <w:bCs/>
                <w:noProof/>
              </w:rPr>
              <w:t>ears</w:t>
            </w:r>
            <w:r w:rsidRPr="000123E4">
              <w:rPr>
                <w:bCs/>
                <w:noProof/>
              </w:rPr>
              <w:t>), in light of the ne</w:t>
            </w:r>
            <w:r w:rsidR="00FD0EE1">
              <w:rPr>
                <w:bCs/>
                <w:noProof/>
              </w:rPr>
              <w:t>ed</w:t>
            </w:r>
            <w:r w:rsidRPr="000123E4">
              <w:rPr>
                <w:bCs/>
                <w:noProof/>
              </w:rPr>
              <w:t xml:space="preserve"> to spread redemptions over time but also stronger demand from investors for long</w:t>
            </w:r>
            <w:r w:rsidR="00FD0EE1">
              <w:rPr>
                <w:bCs/>
                <w:noProof/>
              </w:rPr>
              <w:t>-</w:t>
            </w:r>
            <w:r w:rsidRPr="000123E4">
              <w:rPr>
                <w:bCs/>
                <w:noProof/>
              </w:rPr>
              <w:t>dated</w:t>
            </w:r>
            <w:r w:rsidR="00FD0EE1">
              <w:rPr>
                <w:bCs/>
                <w:noProof/>
              </w:rPr>
              <w:t xml:space="preserve"> EU-B</w:t>
            </w:r>
            <w:r w:rsidRPr="000123E4">
              <w:rPr>
                <w:bCs/>
                <w:noProof/>
              </w:rPr>
              <w:t>onds.</w:t>
            </w:r>
          </w:p>
          <w:p w14:paraId="08DC2393" w14:textId="6E5C641D" w:rsidR="000571C9" w:rsidRPr="000123E4" w:rsidRDefault="000571C9" w:rsidP="00BE1D7D">
            <w:pPr>
              <w:spacing w:after="0" w:line="240" w:lineRule="auto"/>
              <w:rPr>
                <w:noProof/>
              </w:rPr>
            </w:pPr>
            <w:r w:rsidRPr="000123E4">
              <w:rPr>
                <w:bCs/>
                <w:noProof/>
              </w:rPr>
              <w:t xml:space="preserve">Green </w:t>
            </w:r>
            <w:r w:rsidR="00711B9E">
              <w:rPr>
                <w:bCs/>
                <w:noProof/>
              </w:rPr>
              <w:t>b</w:t>
            </w:r>
            <w:r w:rsidRPr="000123E4">
              <w:rPr>
                <w:bCs/>
                <w:noProof/>
              </w:rPr>
              <w:t xml:space="preserve">ond issuances were also maintained albeit at a lower level than in past semester, in tune with cumulative </w:t>
            </w:r>
            <w:r w:rsidR="00084648">
              <w:rPr>
                <w:bCs/>
                <w:noProof/>
              </w:rPr>
              <w:t xml:space="preserve">reported </w:t>
            </w:r>
            <w:r w:rsidRPr="000123E4">
              <w:rPr>
                <w:noProof/>
              </w:rPr>
              <w:t>green expenditure</w:t>
            </w:r>
            <w:r w:rsidR="00084648">
              <w:rPr>
                <w:noProof/>
              </w:rPr>
              <w:t>s</w:t>
            </w:r>
            <w:r w:rsidRPr="000123E4">
              <w:rPr>
                <w:noProof/>
              </w:rPr>
              <w:t xml:space="preserve"> by Member States and </w:t>
            </w:r>
            <w:r w:rsidRPr="000123E4">
              <w:rPr>
                <w:bCs/>
                <w:noProof/>
              </w:rPr>
              <w:t>appropriate calibration of green bond issuances</w:t>
            </w:r>
            <w:r w:rsidR="00084648">
              <w:rPr>
                <w:bCs/>
                <w:noProof/>
              </w:rPr>
              <w:t xml:space="preserve"> to these expenditures</w:t>
            </w:r>
            <w:r w:rsidRPr="000123E4">
              <w:rPr>
                <w:bCs/>
                <w:noProof/>
              </w:rPr>
              <w:t xml:space="preserve">. </w:t>
            </w:r>
          </w:p>
        </w:tc>
      </w:tr>
      <w:tr w:rsidR="000571C9" w:rsidRPr="000123E4" w14:paraId="3C458F6C" w14:textId="77777777" w:rsidTr="009944DB">
        <w:trPr>
          <w:trHeight w:val="600"/>
        </w:trPr>
        <w:tc>
          <w:tcPr>
            <w:tcW w:w="711" w:type="pct"/>
            <w:vMerge/>
          </w:tcPr>
          <w:p w14:paraId="36BD4EE9" w14:textId="77777777" w:rsidR="000571C9" w:rsidRPr="000123E4" w:rsidRDefault="000571C9" w:rsidP="00BE1D7D">
            <w:pPr>
              <w:spacing w:line="240" w:lineRule="auto"/>
              <w:rPr>
                <w:b/>
                <w:noProof/>
              </w:rPr>
            </w:pPr>
          </w:p>
        </w:tc>
        <w:tc>
          <w:tcPr>
            <w:tcW w:w="811" w:type="pct"/>
            <w:vMerge/>
          </w:tcPr>
          <w:p w14:paraId="17891132" w14:textId="77777777" w:rsidR="000571C9" w:rsidRPr="000123E4" w:rsidRDefault="000571C9" w:rsidP="00BE1D7D">
            <w:pPr>
              <w:spacing w:line="240" w:lineRule="auto"/>
              <w:rPr>
                <w:noProof/>
                <w:u w:val="single"/>
              </w:rPr>
            </w:pPr>
          </w:p>
        </w:tc>
        <w:tc>
          <w:tcPr>
            <w:tcW w:w="741" w:type="pct"/>
          </w:tcPr>
          <w:p w14:paraId="00657725" w14:textId="77777777" w:rsidR="000571C9" w:rsidRPr="00F9742E" w:rsidRDefault="000571C9" w:rsidP="00BE1D7D">
            <w:pPr>
              <w:pStyle w:val="ListParagraph"/>
              <w:numPr>
                <w:ilvl w:val="0"/>
                <w:numId w:val="33"/>
              </w:numPr>
              <w:spacing w:after="0" w:line="240" w:lineRule="auto"/>
              <w:rPr>
                <w:rFonts w:ascii="Times New Roman" w:hAnsi="Times New Roman" w:cs="Times New Roman"/>
                <w:i/>
                <w:iCs/>
                <w:noProof/>
              </w:rPr>
            </w:pPr>
            <w:r w:rsidRPr="00F9742E">
              <w:rPr>
                <w:rFonts w:ascii="Times New Roman" w:hAnsi="Times New Roman" w:cs="Times New Roman"/>
                <w:i/>
                <w:iCs/>
                <w:noProof/>
              </w:rPr>
              <w:t>Timely distribution of issuances</w:t>
            </w:r>
          </w:p>
          <w:p w14:paraId="4F9880F6" w14:textId="77777777" w:rsidR="000571C9" w:rsidRPr="00F9742E" w:rsidRDefault="000571C9" w:rsidP="00BE1D7D">
            <w:pPr>
              <w:spacing w:line="240" w:lineRule="auto"/>
              <w:rPr>
                <w:i/>
                <w:iCs/>
                <w:noProof/>
              </w:rPr>
            </w:pPr>
          </w:p>
        </w:tc>
        <w:tc>
          <w:tcPr>
            <w:tcW w:w="696" w:type="pct"/>
          </w:tcPr>
          <w:p w14:paraId="289831E4" w14:textId="66A6CE58" w:rsidR="000571C9" w:rsidRPr="000123E4" w:rsidRDefault="00084648" w:rsidP="00BE1D7D">
            <w:pPr>
              <w:spacing w:line="240" w:lineRule="auto"/>
              <w:rPr>
                <w:noProof/>
              </w:rPr>
            </w:pPr>
            <w:r>
              <w:rPr>
                <w:noProof/>
              </w:rPr>
              <w:t>7</w:t>
            </w:r>
            <w:r w:rsidR="00973A8D" w:rsidRPr="000123E4">
              <w:rPr>
                <w:noProof/>
              </w:rPr>
              <w:t xml:space="preserve"> syndications and </w:t>
            </w:r>
            <w:r>
              <w:rPr>
                <w:noProof/>
              </w:rPr>
              <w:t>8</w:t>
            </w:r>
            <w:r w:rsidR="00973A8D" w:rsidRPr="000123E4">
              <w:rPr>
                <w:noProof/>
              </w:rPr>
              <w:t xml:space="preserve"> bond auctions</w:t>
            </w:r>
            <w:r w:rsidR="000571C9" w:rsidRPr="000123E4">
              <w:rPr>
                <w:noProof/>
              </w:rPr>
              <w:t xml:space="preserve">, resulting </w:t>
            </w:r>
            <w:r w:rsidR="00FD0EE1">
              <w:rPr>
                <w:noProof/>
              </w:rPr>
              <w:t>in</w:t>
            </w:r>
            <w:r w:rsidR="000571C9" w:rsidRPr="000123E4">
              <w:rPr>
                <w:noProof/>
              </w:rPr>
              <w:t xml:space="preserve"> 2-3 issuances per month.</w:t>
            </w:r>
          </w:p>
        </w:tc>
        <w:tc>
          <w:tcPr>
            <w:tcW w:w="2041" w:type="pct"/>
            <w:vMerge/>
          </w:tcPr>
          <w:p w14:paraId="71BEB57E" w14:textId="77777777" w:rsidR="000571C9" w:rsidRPr="000123E4" w:rsidRDefault="000571C9" w:rsidP="00BE1D7D">
            <w:pPr>
              <w:spacing w:line="240" w:lineRule="auto"/>
              <w:rPr>
                <w:noProof/>
              </w:rPr>
            </w:pPr>
          </w:p>
        </w:tc>
      </w:tr>
      <w:tr w:rsidR="000571C9" w:rsidRPr="000123E4" w14:paraId="3F1FE54B" w14:textId="77777777" w:rsidTr="009944DB">
        <w:trPr>
          <w:trHeight w:val="600"/>
        </w:trPr>
        <w:tc>
          <w:tcPr>
            <w:tcW w:w="711" w:type="pct"/>
            <w:vMerge/>
          </w:tcPr>
          <w:p w14:paraId="539BE465" w14:textId="77777777" w:rsidR="000571C9" w:rsidRPr="000123E4" w:rsidRDefault="000571C9" w:rsidP="00BE1D7D">
            <w:pPr>
              <w:spacing w:line="240" w:lineRule="auto"/>
              <w:rPr>
                <w:b/>
                <w:noProof/>
              </w:rPr>
            </w:pPr>
          </w:p>
        </w:tc>
        <w:tc>
          <w:tcPr>
            <w:tcW w:w="811" w:type="pct"/>
            <w:vMerge/>
          </w:tcPr>
          <w:p w14:paraId="1E95DF72" w14:textId="77777777" w:rsidR="000571C9" w:rsidRPr="000123E4" w:rsidRDefault="000571C9" w:rsidP="00BE1D7D">
            <w:pPr>
              <w:spacing w:line="240" w:lineRule="auto"/>
              <w:rPr>
                <w:noProof/>
                <w:u w:val="single"/>
              </w:rPr>
            </w:pPr>
          </w:p>
        </w:tc>
        <w:tc>
          <w:tcPr>
            <w:tcW w:w="741" w:type="pct"/>
          </w:tcPr>
          <w:p w14:paraId="76A9C957" w14:textId="77777777" w:rsidR="000571C9" w:rsidRPr="00F9742E" w:rsidRDefault="000571C9" w:rsidP="00BE1D7D">
            <w:pPr>
              <w:pStyle w:val="ListParagraph"/>
              <w:numPr>
                <w:ilvl w:val="0"/>
                <w:numId w:val="33"/>
              </w:numPr>
              <w:spacing w:after="0" w:line="240" w:lineRule="auto"/>
              <w:rPr>
                <w:rFonts w:ascii="Times New Roman" w:hAnsi="Times New Roman" w:cs="Times New Roman"/>
                <w:i/>
                <w:iCs/>
                <w:noProof/>
              </w:rPr>
            </w:pPr>
            <w:r w:rsidRPr="00F9742E">
              <w:rPr>
                <w:rFonts w:ascii="Times New Roman" w:hAnsi="Times New Roman" w:cs="Times New Roman"/>
                <w:i/>
                <w:iCs/>
                <w:noProof/>
              </w:rPr>
              <w:t>Green issuances</w:t>
            </w:r>
            <w:r w:rsidRPr="00F9742E">
              <w:rPr>
                <w:rStyle w:val="FootnoteReference"/>
                <w:rFonts w:ascii="Times New Roman" w:hAnsi="Times New Roman" w:cs="Times New Roman"/>
                <w:i/>
                <w:iCs/>
                <w:noProof/>
              </w:rPr>
              <w:footnoteReference w:id="12"/>
            </w:r>
          </w:p>
        </w:tc>
        <w:tc>
          <w:tcPr>
            <w:tcW w:w="696" w:type="pct"/>
          </w:tcPr>
          <w:p w14:paraId="4A6EE69B" w14:textId="76283D4D" w:rsidR="000571C9" w:rsidRPr="000123E4" w:rsidRDefault="000571C9" w:rsidP="00BE1D7D">
            <w:pPr>
              <w:spacing w:line="240" w:lineRule="auto"/>
              <w:rPr>
                <w:noProof/>
              </w:rPr>
            </w:pPr>
            <w:r w:rsidRPr="000123E4">
              <w:rPr>
                <w:noProof/>
              </w:rPr>
              <w:t>Approx</w:t>
            </w:r>
            <w:r w:rsidR="00FD0EE1">
              <w:rPr>
                <w:noProof/>
              </w:rPr>
              <w:t>imately</w:t>
            </w:r>
            <w:r w:rsidRPr="000123E4">
              <w:rPr>
                <w:noProof/>
              </w:rPr>
              <w:t xml:space="preserve"> EUR 8 b</w:t>
            </w:r>
            <w:r w:rsidR="00FD0EE1">
              <w:rPr>
                <w:noProof/>
              </w:rPr>
              <w:t>illio</w:t>
            </w:r>
            <w:r w:rsidRPr="000123E4">
              <w:rPr>
                <w:noProof/>
              </w:rPr>
              <w:t>n through taps of 2048 and 2033 bonds.</w:t>
            </w:r>
          </w:p>
        </w:tc>
        <w:tc>
          <w:tcPr>
            <w:tcW w:w="2041" w:type="pct"/>
            <w:vMerge/>
          </w:tcPr>
          <w:p w14:paraId="1B91B029" w14:textId="77777777" w:rsidR="000571C9" w:rsidRPr="000123E4" w:rsidRDefault="000571C9" w:rsidP="00BE1D7D">
            <w:pPr>
              <w:spacing w:line="240" w:lineRule="auto"/>
              <w:rPr>
                <w:noProof/>
              </w:rPr>
            </w:pPr>
          </w:p>
        </w:tc>
      </w:tr>
      <w:tr w:rsidR="000571C9" w:rsidRPr="000123E4" w14:paraId="68BF6D12" w14:textId="77777777" w:rsidTr="009944DB">
        <w:trPr>
          <w:trHeight w:val="1204"/>
        </w:trPr>
        <w:tc>
          <w:tcPr>
            <w:tcW w:w="711" w:type="pct"/>
            <w:vMerge/>
          </w:tcPr>
          <w:p w14:paraId="45AC4444" w14:textId="77777777" w:rsidR="000571C9" w:rsidRPr="000123E4" w:rsidRDefault="000571C9" w:rsidP="00BE1D7D">
            <w:pPr>
              <w:spacing w:line="240" w:lineRule="auto"/>
              <w:rPr>
                <w:b/>
                <w:noProof/>
              </w:rPr>
            </w:pPr>
          </w:p>
        </w:tc>
        <w:tc>
          <w:tcPr>
            <w:tcW w:w="811" w:type="pct"/>
          </w:tcPr>
          <w:p w14:paraId="7CC3AC42"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r w:rsidRPr="000123E4">
              <w:rPr>
                <w:rFonts w:ascii="Times New Roman" w:hAnsi="Times New Roman" w:cs="Times New Roman"/>
                <w:noProof/>
                <w:u w:val="single"/>
              </w:rPr>
              <w:t>Achieving a proper balance of auctions and syndications</w:t>
            </w:r>
          </w:p>
          <w:p w14:paraId="79B44BB8" w14:textId="77777777" w:rsidR="000571C9" w:rsidRPr="000123E4" w:rsidRDefault="000571C9" w:rsidP="00BE1D7D">
            <w:pPr>
              <w:spacing w:line="240" w:lineRule="auto"/>
              <w:ind w:left="360"/>
              <w:rPr>
                <w:noProof/>
              </w:rPr>
            </w:pPr>
            <w:r w:rsidRPr="000123E4">
              <w:rPr>
                <w:noProof/>
              </w:rPr>
              <w:t>Use of different funding techniques with a proper balance, depending on total issuance volumes and market conditions, in order to manage execution risks, improve secondary market liquidity and improve borrowing costs.</w:t>
            </w:r>
          </w:p>
        </w:tc>
        <w:tc>
          <w:tcPr>
            <w:tcW w:w="741" w:type="pct"/>
          </w:tcPr>
          <w:p w14:paraId="14C9D9D7" w14:textId="77777777" w:rsidR="000571C9" w:rsidRPr="00F9742E" w:rsidRDefault="000571C9" w:rsidP="00BE1D7D">
            <w:pPr>
              <w:pStyle w:val="ListParagraph"/>
              <w:numPr>
                <w:ilvl w:val="0"/>
                <w:numId w:val="33"/>
              </w:numPr>
              <w:spacing w:after="0" w:line="240" w:lineRule="auto"/>
              <w:rPr>
                <w:rFonts w:ascii="Times New Roman" w:hAnsi="Times New Roman" w:cs="Times New Roman"/>
                <w:i/>
                <w:iCs/>
                <w:noProof/>
              </w:rPr>
            </w:pPr>
            <w:r w:rsidRPr="00F9742E">
              <w:rPr>
                <w:rFonts w:ascii="Times New Roman" w:hAnsi="Times New Roman" w:cs="Times New Roman"/>
                <w:i/>
                <w:iCs/>
                <w:noProof/>
              </w:rPr>
              <w:t xml:space="preserve">Split auction / syndication in % </w:t>
            </w:r>
          </w:p>
        </w:tc>
        <w:tc>
          <w:tcPr>
            <w:tcW w:w="696" w:type="pct"/>
          </w:tcPr>
          <w:p w14:paraId="1EB6DAA9" w14:textId="41357D95" w:rsidR="000571C9" w:rsidRPr="000123E4" w:rsidRDefault="000571C9" w:rsidP="00BE1D7D">
            <w:pPr>
              <w:spacing w:line="240" w:lineRule="auto"/>
              <w:rPr>
                <w:noProof/>
              </w:rPr>
            </w:pPr>
            <w:r w:rsidRPr="000123E4">
              <w:rPr>
                <w:noProof/>
              </w:rPr>
              <w:t>Approx</w:t>
            </w:r>
            <w:r w:rsidR="00E6358D">
              <w:rPr>
                <w:noProof/>
              </w:rPr>
              <w:t>imately</w:t>
            </w:r>
            <w:r w:rsidRPr="000123E4">
              <w:rPr>
                <w:noProof/>
              </w:rPr>
              <w:t xml:space="preserve"> 40 % of bond issuances via auction. </w:t>
            </w:r>
          </w:p>
        </w:tc>
        <w:tc>
          <w:tcPr>
            <w:tcW w:w="2041" w:type="pct"/>
          </w:tcPr>
          <w:p w14:paraId="67EF38CB" w14:textId="54845C7B" w:rsidR="000571C9" w:rsidRPr="000123E4" w:rsidRDefault="000571C9" w:rsidP="00BE1D7D">
            <w:pPr>
              <w:spacing w:line="240" w:lineRule="auto"/>
              <w:rPr>
                <w:noProof/>
              </w:rPr>
            </w:pPr>
            <w:r w:rsidRPr="000123E4">
              <w:rPr>
                <w:noProof/>
              </w:rPr>
              <w:t xml:space="preserve">In H1 2023, the Commission increased the share of bonds issued via auctions to close to 40%, a higher level than in the previous funding semesters. This was in line with the objective </w:t>
            </w:r>
            <w:r w:rsidR="00FD0EE1">
              <w:rPr>
                <w:noProof/>
              </w:rPr>
              <w:t xml:space="preserve">of expanding the use </w:t>
            </w:r>
            <w:r w:rsidRPr="000123E4">
              <w:rPr>
                <w:noProof/>
              </w:rPr>
              <w:t>of this technique, while taking account</w:t>
            </w:r>
            <w:r w:rsidR="000F037D">
              <w:rPr>
                <w:noProof/>
              </w:rPr>
              <w:t xml:space="preserve"> of</w:t>
            </w:r>
            <w:r w:rsidRPr="000123E4">
              <w:rPr>
                <w:noProof/>
              </w:rPr>
              <w:t xml:space="preserve"> market specificities (e.g. market absorption capacity) and issuance needs (e.g. ability to tap existing bonds via auction vs need for issuance of new lines via syndications)</w:t>
            </w:r>
            <w:r w:rsidR="000F037D">
              <w:rPr>
                <w:noProof/>
              </w:rPr>
              <w:t>.</w:t>
            </w:r>
          </w:p>
          <w:p w14:paraId="5F62B4D0" w14:textId="77777777" w:rsidR="000571C9" w:rsidRPr="000123E4" w:rsidRDefault="000571C9" w:rsidP="00BE1D7D">
            <w:pPr>
              <w:spacing w:line="240" w:lineRule="auto"/>
              <w:rPr>
                <w:noProof/>
              </w:rPr>
            </w:pPr>
          </w:p>
        </w:tc>
      </w:tr>
      <w:tr w:rsidR="000F037D" w:rsidRPr="000123E4" w14:paraId="456C607A" w14:textId="77777777" w:rsidTr="000F037D">
        <w:trPr>
          <w:trHeight w:val="1103"/>
        </w:trPr>
        <w:tc>
          <w:tcPr>
            <w:tcW w:w="711" w:type="pct"/>
            <w:vMerge/>
          </w:tcPr>
          <w:p w14:paraId="12C83FC2" w14:textId="77777777" w:rsidR="000F037D" w:rsidRPr="000123E4" w:rsidRDefault="000F037D" w:rsidP="00BE1D7D">
            <w:pPr>
              <w:spacing w:line="240" w:lineRule="auto"/>
              <w:rPr>
                <w:b/>
                <w:noProof/>
              </w:rPr>
            </w:pPr>
          </w:p>
        </w:tc>
        <w:tc>
          <w:tcPr>
            <w:tcW w:w="811" w:type="pct"/>
            <w:vMerge w:val="restart"/>
          </w:tcPr>
          <w:p w14:paraId="27429E64" w14:textId="77777777" w:rsidR="000F037D" w:rsidRPr="000123E4" w:rsidRDefault="000F037D" w:rsidP="00BE1D7D">
            <w:pPr>
              <w:pStyle w:val="ListParagraph"/>
              <w:numPr>
                <w:ilvl w:val="0"/>
                <w:numId w:val="31"/>
              </w:numPr>
              <w:spacing w:after="0" w:line="240" w:lineRule="auto"/>
              <w:rPr>
                <w:rFonts w:ascii="Times New Roman" w:hAnsi="Times New Roman" w:cs="Times New Roman"/>
                <w:noProof/>
                <w:u w:val="single"/>
              </w:rPr>
            </w:pPr>
            <w:r w:rsidRPr="000123E4">
              <w:rPr>
                <w:rFonts w:ascii="Times New Roman" w:hAnsi="Times New Roman" w:cs="Times New Roman"/>
                <w:noProof/>
                <w:u w:val="single"/>
              </w:rPr>
              <w:t>Establishment of large and liquid benchmark bonds</w:t>
            </w:r>
          </w:p>
          <w:p w14:paraId="41C31C8C" w14:textId="77777777" w:rsidR="000F037D" w:rsidRPr="000123E4" w:rsidRDefault="000F037D" w:rsidP="00BE1D7D">
            <w:pPr>
              <w:spacing w:line="240" w:lineRule="auto"/>
              <w:ind w:left="360"/>
              <w:rPr>
                <w:noProof/>
              </w:rPr>
            </w:pPr>
            <w:r w:rsidRPr="000123E4">
              <w:rPr>
                <w:noProof/>
              </w:rPr>
              <w:t>Tapping of EU-Bonds to bring the outstanding volume of different lines to levels commensurate with large and liquid benchmark lines.</w:t>
            </w:r>
          </w:p>
          <w:p w14:paraId="752B05DE" w14:textId="77777777" w:rsidR="000F037D" w:rsidRPr="000123E4" w:rsidRDefault="000F037D" w:rsidP="00BE1D7D">
            <w:pPr>
              <w:pStyle w:val="ListParagraph"/>
              <w:spacing w:line="240" w:lineRule="auto"/>
              <w:ind w:left="360"/>
              <w:rPr>
                <w:rFonts w:ascii="Times New Roman" w:hAnsi="Times New Roman" w:cs="Times New Roman"/>
                <w:noProof/>
                <w:u w:val="single"/>
              </w:rPr>
            </w:pPr>
          </w:p>
        </w:tc>
        <w:tc>
          <w:tcPr>
            <w:tcW w:w="741" w:type="pct"/>
          </w:tcPr>
          <w:p w14:paraId="0EC5433F" w14:textId="31DC780A" w:rsidR="000F037D" w:rsidRPr="00F9742E" w:rsidRDefault="000F037D" w:rsidP="00BE1D7D">
            <w:pPr>
              <w:pStyle w:val="ListParagraph"/>
              <w:numPr>
                <w:ilvl w:val="0"/>
                <w:numId w:val="32"/>
              </w:numPr>
              <w:spacing w:after="0" w:line="240" w:lineRule="auto"/>
              <w:rPr>
                <w:rFonts w:ascii="Times New Roman" w:hAnsi="Times New Roman" w:cs="Times New Roman"/>
                <w:i/>
                <w:iCs/>
                <w:noProof/>
              </w:rPr>
            </w:pPr>
            <w:r w:rsidRPr="00F9742E">
              <w:rPr>
                <w:rFonts w:ascii="Times New Roman" w:hAnsi="Times New Roman" w:cs="Times New Roman"/>
                <w:i/>
                <w:iCs/>
                <w:noProof/>
              </w:rPr>
              <w:t>Issuances via new bonds vs volume issued via taps</w:t>
            </w:r>
          </w:p>
          <w:p w14:paraId="0E8CFBC7" w14:textId="45AA4066" w:rsidR="000F037D" w:rsidRPr="00F9742E" w:rsidRDefault="000F037D" w:rsidP="00BE1D7D">
            <w:pPr>
              <w:spacing w:after="0" w:line="240" w:lineRule="auto"/>
              <w:rPr>
                <w:i/>
                <w:iCs/>
                <w:noProof/>
              </w:rPr>
            </w:pPr>
          </w:p>
        </w:tc>
        <w:tc>
          <w:tcPr>
            <w:tcW w:w="696" w:type="pct"/>
          </w:tcPr>
          <w:p w14:paraId="47D0CACA" w14:textId="2C0BD3E7" w:rsidR="000F037D" w:rsidRPr="000123E4" w:rsidRDefault="000F037D" w:rsidP="00BE1D7D">
            <w:pPr>
              <w:pStyle w:val="ListParagraph"/>
              <w:numPr>
                <w:ilvl w:val="0"/>
                <w:numId w:val="44"/>
              </w:numPr>
              <w:spacing w:after="0" w:line="240" w:lineRule="auto"/>
              <w:rPr>
                <w:rFonts w:ascii="Times New Roman" w:hAnsi="Times New Roman" w:cs="Times New Roman"/>
                <w:noProof/>
                <w:lang w:val="en-IE"/>
              </w:rPr>
            </w:pPr>
            <w:r w:rsidRPr="000123E4">
              <w:rPr>
                <w:rFonts w:ascii="Times New Roman" w:hAnsi="Times New Roman" w:cs="Times New Roman"/>
                <w:noProof/>
                <w:lang w:val="en-IE"/>
              </w:rPr>
              <w:t>EUR 18 b</w:t>
            </w:r>
            <w:r>
              <w:rPr>
                <w:rFonts w:ascii="Times New Roman" w:hAnsi="Times New Roman" w:cs="Times New Roman"/>
                <w:noProof/>
                <w:lang w:val="en-IE"/>
              </w:rPr>
              <w:t>illio</w:t>
            </w:r>
            <w:r w:rsidRPr="000123E4">
              <w:rPr>
                <w:rFonts w:ascii="Times New Roman" w:hAnsi="Times New Roman" w:cs="Times New Roman"/>
                <w:noProof/>
                <w:lang w:val="en-IE"/>
              </w:rPr>
              <w:t xml:space="preserve">n via new bonds </w:t>
            </w:r>
          </w:p>
          <w:p w14:paraId="51A3CAF2" w14:textId="011EA234" w:rsidR="000F037D" w:rsidRPr="000F037D" w:rsidRDefault="000F037D" w:rsidP="00BE1D7D">
            <w:pPr>
              <w:pStyle w:val="ListParagraph"/>
              <w:numPr>
                <w:ilvl w:val="0"/>
                <w:numId w:val="44"/>
              </w:numPr>
              <w:spacing w:after="0" w:line="240" w:lineRule="auto"/>
              <w:rPr>
                <w:rFonts w:ascii="Times New Roman" w:hAnsi="Times New Roman" w:cs="Times New Roman"/>
                <w:noProof/>
                <w:lang w:val="en-IE"/>
              </w:rPr>
            </w:pPr>
            <w:r w:rsidRPr="000123E4">
              <w:rPr>
                <w:rFonts w:ascii="Times New Roman" w:hAnsi="Times New Roman" w:cs="Times New Roman"/>
                <w:noProof/>
                <w:lang w:val="en-IE"/>
              </w:rPr>
              <w:t>EUR 6</w:t>
            </w:r>
            <w:r w:rsidR="00501B59">
              <w:rPr>
                <w:rFonts w:ascii="Times New Roman" w:hAnsi="Times New Roman" w:cs="Times New Roman"/>
                <w:noProof/>
                <w:lang w:val="en-IE"/>
              </w:rPr>
              <w:t>0.2</w:t>
            </w:r>
            <w:r w:rsidRPr="000123E4">
              <w:rPr>
                <w:rFonts w:ascii="Times New Roman" w:hAnsi="Times New Roman" w:cs="Times New Roman"/>
                <w:noProof/>
                <w:lang w:val="en-IE"/>
              </w:rPr>
              <w:t xml:space="preserve"> b</w:t>
            </w:r>
            <w:r>
              <w:rPr>
                <w:rFonts w:ascii="Times New Roman" w:hAnsi="Times New Roman" w:cs="Times New Roman"/>
                <w:noProof/>
                <w:lang w:val="en-IE"/>
              </w:rPr>
              <w:t>illio</w:t>
            </w:r>
            <w:r w:rsidRPr="000123E4">
              <w:rPr>
                <w:rFonts w:ascii="Times New Roman" w:hAnsi="Times New Roman" w:cs="Times New Roman"/>
                <w:noProof/>
                <w:lang w:val="en-IE"/>
              </w:rPr>
              <w:t>n via taps</w:t>
            </w:r>
          </w:p>
        </w:tc>
        <w:tc>
          <w:tcPr>
            <w:tcW w:w="2041" w:type="pct"/>
            <w:vMerge w:val="restart"/>
          </w:tcPr>
          <w:p w14:paraId="13AD94F6" w14:textId="57055EFC" w:rsidR="000F037D" w:rsidRPr="000123E4" w:rsidRDefault="000F037D" w:rsidP="00BE1D7D">
            <w:pPr>
              <w:spacing w:line="240" w:lineRule="auto"/>
              <w:rPr>
                <w:bCs/>
                <w:noProof/>
              </w:rPr>
            </w:pPr>
            <w:r w:rsidRPr="000123E4">
              <w:rPr>
                <w:bCs/>
                <w:noProof/>
              </w:rPr>
              <w:t>With the liquidity of its securities</w:t>
            </w:r>
            <w:r>
              <w:rPr>
                <w:bCs/>
                <w:noProof/>
              </w:rPr>
              <w:t xml:space="preserve"> in mind</w:t>
            </w:r>
            <w:r w:rsidRPr="000123E4">
              <w:rPr>
                <w:bCs/>
                <w:noProof/>
              </w:rPr>
              <w:t>, the Commission used its transactions for tapping existing funding lines, with 70% of the funding volume mobilised via taps.</w:t>
            </w:r>
          </w:p>
          <w:p w14:paraId="03720782" w14:textId="77777777" w:rsidR="00E6358D" w:rsidRDefault="000F037D" w:rsidP="00BE1D7D">
            <w:pPr>
              <w:spacing w:line="240" w:lineRule="auto"/>
              <w:rPr>
                <w:bCs/>
                <w:noProof/>
              </w:rPr>
            </w:pPr>
            <w:r w:rsidRPr="000123E4">
              <w:rPr>
                <w:bCs/>
                <w:noProof/>
              </w:rPr>
              <w:t xml:space="preserve">New funding lines were launched to provide the market with new benchmark lines where needed on the curve and based on the recommendations of the EU primary dealers. </w:t>
            </w:r>
            <w:r>
              <w:rPr>
                <w:bCs/>
                <w:noProof/>
              </w:rPr>
              <w:t>N</w:t>
            </w:r>
            <w:r w:rsidRPr="000123E4">
              <w:rPr>
                <w:bCs/>
                <w:noProof/>
              </w:rPr>
              <w:t>ew 3</w:t>
            </w:r>
            <w:r>
              <w:rPr>
                <w:bCs/>
                <w:noProof/>
              </w:rPr>
              <w:t>-</w:t>
            </w:r>
            <w:r w:rsidRPr="000123E4">
              <w:rPr>
                <w:bCs/>
                <w:noProof/>
              </w:rPr>
              <w:t>y</w:t>
            </w:r>
            <w:r>
              <w:rPr>
                <w:bCs/>
                <w:noProof/>
              </w:rPr>
              <w:t>ear</w:t>
            </w:r>
            <w:r w:rsidRPr="000123E4">
              <w:rPr>
                <w:bCs/>
                <w:noProof/>
              </w:rPr>
              <w:t>, 10</w:t>
            </w:r>
            <w:r>
              <w:rPr>
                <w:bCs/>
                <w:noProof/>
              </w:rPr>
              <w:t>-</w:t>
            </w:r>
            <w:r w:rsidRPr="000123E4">
              <w:rPr>
                <w:bCs/>
                <w:noProof/>
              </w:rPr>
              <w:t>y</w:t>
            </w:r>
            <w:r>
              <w:rPr>
                <w:bCs/>
                <w:noProof/>
              </w:rPr>
              <w:t>ear</w:t>
            </w:r>
            <w:r w:rsidRPr="000123E4">
              <w:rPr>
                <w:bCs/>
                <w:noProof/>
              </w:rPr>
              <w:t xml:space="preserve"> and 15</w:t>
            </w:r>
            <w:r>
              <w:rPr>
                <w:bCs/>
                <w:noProof/>
              </w:rPr>
              <w:t>-</w:t>
            </w:r>
            <w:r w:rsidRPr="000123E4">
              <w:rPr>
                <w:bCs/>
                <w:noProof/>
              </w:rPr>
              <w:t>y</w:t>
            </w:r>
            <w:r>
              <w:rPr>
                <w:bCs/>
                <w:noProof/>
              </w:rPr>
              <w:t>ear</w:t>
            </w:r>
            <w:r w:rsidRPr="000123E4">
              <w:rPr>
                <w:bCs/>
                <w:noProof/>
              </w:rPr>
              <w:t xml:space="preserve"> </w:t>
            </w:r>
            <w:r>
              <w:rPr>
                <w:bCs/>
                <w:noProof/>
              </w:rPr>
              <w:t xml:space="preserve">bonds </w:t>
            </w:r>
            <w:r w:rsidRPr="000123E4">
              <w:rPr>
                <w:bCs/>
                <w:noProof/>
              </w:rPr>
              <w:t>were launched</w:t>
            </w:r>
            <w:r>
              <w:rPr>
                <w:bCs/>
                <w:noProof/>
              </w:rPr>
              <w:t xml:space="preserve"> during</w:t>
            </w:r>
            <w:r w:rsidRPr="000123E4">
              <w:rPr>
                <w:bCs/>
                <w:noProof/>
              </w:rPr>
              <w:t xml:space="preserve"> the semester.</w:t>
            </w:r>
            <w:r w:rsidR="00E6358D">
              <w:rPr>
                <w:bCs/>
                <w:noProof/>
              </w:rPr>
              <w:t xml:space="preserve"> </w:t>
            </w:r>
          </w:p>
          <w:p w14:paraId="43CE57B1" w14:textId="03896E77" w:rsidR="000F037D" w:rsidRPr="000123E4" w:rsidRDefault="000F037D" w:rsidP="00BE1D7D">
            <w:pPr>
              <w:spacing w:line="240" w:lineRule="auto"/>
              <w:rPr>
                <w:bCs/>
                <w:noProof/>
              </w:rPr>
            </w:pPr>
            <w:r w:rsidRPr="000123E4">
              <w:rPr>
                <w:bCs/>
                <w:noProof/>
              </w:rPr>
              <w:t>As a result, the average amount outstanding per bond increased by around EUR 4 b</w:t>
            </w:r>
            <w:r>
              <w:rPr>
                <w:bCs/>
                <w:noProof/>
              </w:rPr>
              <w:t>illion to over</w:t>
            </w:r>
            <w:r w:rsidRPr="000123E4">
              <w:rPr>
                <w:bCs/>
                <w:noProof/>
              </w:rPr>
              <w:t xml:space="preserve"> EUR 13 b</w:t>
            </w:r>
            <w:r>
              <w:rPr>
                <w:bCs/>
                <w:noProof/>
              </w:rPr>
              <w:t>illio</w:t>
            </w:r>
            <w:r w:rsidRPr="000123E4">
              <w:rPr>
                <w:bCs/>
                <w:noProof/>
              </w:rPr>
              <w:t>n</w:t>
            </w:r>
            <w:r>
              <w:rPr>
                <w:bCs/>
                <w:noProof/>
              </w:rPr>
              <w:t xml:space="preserve"> by the end of the semester,</w:t>
            </w:r>
            <w:r w:rsidRPr="000123E4">
              <w:rPr>
                <w:bCs/>
                <w:noProof/>
              </w:rPr>
              <w:t xml:space="preserve"> </w:t>
            </w:r>
            <w:r>
              <w:rPr>
                <w:bCs/>
                <w:noProof/>
              </w:rPr>
              <w:t>which helped</w:t>
            </w:r>
            <w:r w:rsidRPr="000123E4">
              <w:rPr>
                <w:bCs/>
                <w:noProof/>
              </w:rPr>
              <w:t xml:space="preserve"> to improve the liquidity of </w:t>
            </w:r>
            <w:r w:rsidR="00E6358D">
              <w:rPr>
                <w:bCs/>
                <w:noProof/>
              </w:rPr>
              <w:t xml:space="preserve">the </w:t>
            </w:r>
            <w:r w:rsidRPr="000123E4">
              <w:rPr>
                <w:bCs/>
                <w:noProof/>
              </w:rPr>
              <w:t>bonds.</w:t>
            </w:r>
          </w:p>
          <w:p w14:paraId="5E06ED34" w14:textId="77777777" w:rsidR="000F037D" w:rsidRPr="000123E4" w:rsidRDefault="000F037D" w:rsidP="00BE1D7D">
            <w:pPr>
              <w:spacing w:line="240" w:lineRule="auto"/>
              <w:rPr>
                <w:bCs/>
                <w:noProof/>
              </w:rPr>
            </w:pPr>
          </w:p>
          <w:p w14:paraId="4AC6BDCE" w14:textId="77777777" w:rsidR="000F037D" w:rsidRPr="000123E4" w:rsidRDefault="000F037D" w:rsidP="00BE1D7D">
            <w:pPr>
              <w:spacing w:line="240" w:lineRule="auto"/>
              <w:rPr>
                <w:noProof/>
              </w:rPr>
            </w:pPr>
          </w:p>
        </w:tc>
      </w:tr>
      <w:tr w:rsidR="000F037D" w:rsidRPr="000123E4" w14:paraId="77814BAC" w14:textId="77777777" w:rsidTr="009944DB">
        <w:trPr>
          <w:trHeight w:val="954"/>
        </w:trPr>
        <w:tc>
          <w:tcPr>
            <w:tcW w:w="711" w:type="pct"/>
            <w:vMerge/>
          </w:tcPr>
          <w:p w14:paraId="547F5096" w14:textId="77777777" w:rsidR="000F037D" w:rsidRPr="000123E4" w:rsidRDefault="000F037D" w:rsidP="00BE1D7D">
            <w:pPr>
              <w:spacing w:line="240" w:lineRule="auto"/>
              <w:rPr>
                <w:b/>
                <w:noProof/>
              </w:rPr>
            </w:pPr>
          </w:p>
        </w:tc>
        <w:tc>
          <w:tcPr>
            <w:tcW w:w="811" w:type="pct"/>
            <w:vMerge/>
          </w:tcPr>
          <w:p w14:paraId="3343792A" w14:textId="77777777" w:rsidR="000F037D" w:rsidRPr="000123E4" w:rsidRDefault="000F037D" w:rsidP="00BE1D7D">
            <w:pPr>
              <w:pStyle w:val="ListParagraph"/>
              <w:numPr>
                <w:ilvl w:val="0"/>
                <w:numId w:val="31"/>
              </w:numPr>
              <w:spacing w:after="0" w:line="240" w:lineRule="auto"/>
              <w:rPr>
                <w:rFonts w:ascii="Times New Roman" w:hAnsi="Times New Roman" w:cs="Times New Roman"/>
                <w:noProof/>
                <w:u w:val="single"/>
              </w:rPr>
            </w:pPr>
          </w:p>
        </w:tc>
        <w:tc>
          <w:tcPr>
            <w:tcW w:w="741" w:type="pct"/>
          </w:tcPr>
          <w:p w14:paraId="3E8BFE99" w14:textId="7539DAD9" w:rsidR="000F037D" w:rsidRPr="00F9742E" w:rsidRDefault="000F037D" w:rsidP="00F9742E">
            <w:pPr>
              <w:pStyle w:val="ListParagraph"/>
              <w:numPr>
                <w:ilvl w:val="0"/>
                <w:numId w:val="32"/>
              </w:numPr>
              <w:spacing w:after="0" w:line="240" w:lineRule="auto"/>
              <w:rPr>
                <w:rFonts w:ascii="Times New Roman" w:hAnsi="Times New Roman" w:cs="Times New Roman"/>
                <w:i/>
                <w:iCs/>
                <w:noProof/>
                <w:lang w:val="en-IE"/>
              </w:rPr>
            </w:pPr>
            <w:r w:rsidRPr="00F9742E">
              <w:rPr>
                <w:rFonts w:ascii="Times New Roman" w:hAnsi="Times New Roman" w:cs="Times New Roman"/>
                <w:i/>
                <w:iCs/>
                <w:noProof/>
              </w:rPr>
              <w:t>Speed of tapping of new bonds</w:t>
            </w:r>
            <w:r w:rsidRPr="00F9742E">
              <w:rPr>
                <w:rStyle w:val="FootnoteReference"/>
                <w:rFonts w:ascii="Times New Roman" w:hAnsi="Times New Roman" w:cs="Times New Roman"/>
                <w:i/>
                <w:iCs/>
                <w:noProof/>
              </w:rPr>
              <w:footnoteReference w:id="13"/>
            </w:r>
          </w:p>
        </w:tc>
        <w:tc>
          <w:tcPr>
            <w:tcW w:w="696" w:type="pct"/>
          </w:tcPr>
          <w:p w14:paraId="1BB31238" w14:textId="2EB0CA00" w:rsidR="000F037D" w:rsidRPr="000F037D" w:rsidRDefault="000F037D" w:rsidP="000F037D">
            <w:pPr>
              <w:spacing w:line="240" w:lineRule="auto"/>
              <w:rPr>
                <w:noProof/>
              </w:rPr>
            </w:pPr>
            <w:r w:rsidRPr="000F037D">
              <w:rPr>
                <w:noProof/>
              </w:rPr>
              <w:t>2 months</w:t>
            </w:r>
          </w:p>
        </w:tc>
        <w:tc>
          <w:tcPr>
            <w:tcW w:w="2041" w:type="pct"/>
            <w:vMerge/>
          </w:tcPr>
          <w:p w14:paraId="3FCEB1A1" w14:textId="77777777" w:rsidR="000F037D" w:rsidRPr="000123E4" w:rsidRDefault="000F037D" w:rsidP="00BE1D7D">
            <w:pPr>
              <w:spacing w:line="240" w:lineRule="auto"/>
              <w:rPr>
                <w:bCs/>
                <w:noProof/>
              </w:rPr>
            </w:pPr>
          </w:p>
        </w:tc>
      </w:tr>
      <w:tr w:rsidR="000571C9" w:rsidRPr="000123E4" w14:paraId="6C5A1FAB" w14:textId="77777777" w:rsidTr="009944DB">
        <w:trPr>
          <w:trHeight w:val="336"/>
        </w:trPr>
        <w:tc>
          <w:tcPr>
            <w:tcW w:w="711" w:type="pct"/>
            <w:vMerge/>
          </w:tcPr>
          <w:p w14:paraId="69BDFD96" w14:textId="77777777" w:rsidR="000571C9" w:rsidRPr="000123E4" w:rsidRDefault="000571C9" w:rsidP="00BE1D7D">
            <w:pPr>
              <w:spacing w:line="240" w:lineRule="auto"/>
              <w:rPr>
                <w:b/>
                <w:noProof/>
              </w:rPr>
            </w:pPr>
          </w:p>
        </w:tc>
        <w:tc>
          <w:tcPr>
            <w:tcW w:w="811" w:type="pct"/>
            <w:vMerge/>
          </w:tcPr>
          <w:p w14:paraId="38B65875"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p>
        </w:tc>
        <w:tc>
          <w:tcPr>
            <w:tcW w:w="741" w:type="pct"/>
          </w:tcPr>
          <w:p w14:paraId="2112D8D8" w14:textId="77777777" w:rsidR="000571C9" w:rsidRPr="00F9742E" w:rsidRDefault="000571C9" w:rsidP="00F9742E">
            <w:pPr>
              <w:pStyle w:val="ListParagraph"/>
              <w:numPr>
                <w:ilvl w:val="0"/>
                <w:numId w:val="32"/>
              </w:numPr>
              <w:spacing w:after="0" w:line="240" w:lineRule="auto"/>
              <w:rPr>
                <w:rFonts w:ascii="Times New Roman" w:hAnsi="Times New Roman" w:cs="Times New Roman"/>
                <w:i/>
                <w:iCs/>
                <w:noProof/>
              </w:rPr>
            </w:pPr>
            <w:r w:rsidRPr="00F9742E">
              <w:rPr>
                <w:rFonts w:ascii="Times New Roman" w:hAnsi="Times New Roman" w:cs="Times New Roman"/>
                <w:i/>
                <w:iCs/>
                <w:noProof/>
              </w:rPr>
              <w:t>Average size of outstanding bonds</w:t>
            </w:r>
            <w:r w:rsidRPr="00F9742E">
              <w:rPr>
                <w:rStyle w:val="FootnoteReference"/>
                <w:rFonts w:ascii="Times New Roman" w:hAnsi="Times New Roman" w:cs="Times New Roman"/>
                <w:i/>
                <w:iCs/>
                <w:noProof/>
              </w:rPr>
              <w:footnoteReference w:id="14"/>
            </w:r>
          </w:p>
          <w:p w14:paraId="466C48BC" w14:textId="478DAC2B" w:rsidR="00E6358D" w:rsidRPr="00F9742E" w:rsidRDefault="00E6358D" w:rsidP="00E6358D">
            <w:pPr>
              <w:spacing w:after="0" w:line="240" w:lineRule="auto"/>
              <w:ind w:left="360"/>
              <w:rPr>
                <w:i/>
                <w:iCs/>
                <w:noProof/>
              </w:rPr>
            </w:pPr>
          </w:p>
        </w:tc>
        <w:tc>
          <w:tcPr>
            <w:tcW w:w="696" w:type="pct"/>
          </w:tcPr>
          <w:p w14:paraId="432F3208" w14:textId="6B4AF6AD" w:rsidR="000571C9" w:rsidRPr="000123E4" w:rsidRDefault="000571C9" w:rsidP="00BE1D7D">
            <w:pPr>
              <w:spacing w:line="240" w:lineRule="auto"/>
              <w:rPr>
                <w:i/>
                <w:noProof/>
              </w:rPr>
            </w:pPr>
            <w:r w:rsidRPr="000123E4">
              <w:rPr>
                <w:noProof/>
              </w:rPr>
              <w:t>13-14 b</w:t>
            </w:r>
            <w:r w:rsidR="000F037D">
              <w:rPr>
                <w:noProof/>
              </w:rPr>
              <w:t>illion</w:t>
            </w:r>
          </w:p>
        </w:tc>
        <w:tc>
          <w:tcPr>
            <w:tcW w:w="2041" w:type="pct"/>
            <w:vMerge/>
          </w:tcPr>
          <w:p w14:paraId="049F3FAA" w14:textId="77777777" w:rsidR="000571C9" w:rsidRPr="000123E4" w:rsidRDefault="000571C9" w:rsidP="00BE1D7D">
            <w:pPr>
              <w:spacing w:line="240" w:lineRule="auto"/>
              <w:rPr>
                <w:noProof/>
              </w:rPr>
            </w:pPr>
          </w:p>
        </w:tc>
      </w:tr>
      <w:tr w:rsidR="000571C9" w:rsidRPr="000123E4" w14:paraId="143AD1DB" w14:textId="77777777" w:rsidTr="009944DB">
        <w:trPr>
          <w:trHeight w:val="336"/>
        </w:trPr>
        <w:tc>
          <w:tcPr>
            <w:tcW w:w="711" w:type="pct"/>
            <w:vMerge/>
          </w:tcPr>
          <w:p w14:paraId="587DC4D4" w14:textId="77777777" w:rsidR="000571C9" w:rsidRPr="000123E4" w:rsidRDefault="000571C9" w:rsidP="00BE1D7D">
            <w:pPr>
              <w:spacing w:line="240" w:lineRule="auto"/>
              <w:rPr>
                <w:b/>
                <w:noProof/>
              </w:rPr>
            </w:pPr>
          </w:p>
        </w:tc>
        <w:tc>
          <w:tcPr>
            <w:tcW w:w="811" w:type="pct"/>
            <w:vMerge/>
          </w:tcPr>
          <w:p w14:paraId="6BF4CD75"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p>
        </w:tc>
        <w:tc>
          <w:tcPr>
            <w:tcW w:w="741" w:type="pct"/>
          </w:tcPr>
          <w:p w14:paraId="297AF68B" w14:textId="59B2763A" w:rsidR="000571C9" w:rsidRPr="00F9742E" w:rsidRDefault="000571C9" w:rsidP="00F9742E">
            <w:pPr>
              <w:pStyle w:val="ListParagraph"/>
              <w:numPr>
                <w:ilvl w:val="0"/>
                <w:numId w:val="32"/>
              </w:numPr>
              <w:spacing w:after="0" w:line="240" w:lineRule="auto"/>
              <w:rPr>
                <w:rFonts w:ascii="Times New Roman" w:hAnsi="Times New Roman" w:cs="Times New Roman"/>
                <w:i/>
                <w:iCs/>
                <w:noProof/>
              </w:rPr>
            </w:pPr>
            <w:r w:rsidRPr="00F9742E">
              <w:rPr>
                <w:rFonts w:ascii="Times New Roman" w:hAnsi="Times New Roman" w:cs="Times New Roman"/>
                <w:i/>
                <w:iCs/>
                <w:noProof/>
              </w:rPr>
              <w:t>Turnover relative to issuance volume</w:t>
            </w:r>
          </w:p>
        </w:tc>
        <w:tc>
          <w:tcPr>
            <w:tcW w:w="696" w:type="pct"/>
          </w:tcPr>
          <w:p w14:paraId="6D5101D8" w14:textId="06ACD030" w:rsidR="000571C9" w:rsidRPr="000123E4" w:rsidRDefault="00DF5FAE" w:rsidP="00BE1D7D">
            <w:pPr>
              <w:spacing w:line="240" w:lineRule="auto"/>
              <w:rPr>
                <w:noProof/>
              </w:rPr>
            </w:pPr>
            <w:r w:rsidRPr="000123E4">
              <w:rPr>
                <w:noProof/>
              </w:rPr>
              <w:t>Approx</w:t>
            </w:r>
            <w:r w:rsidR="000F037D">
              <w:rPr>
                <w:noProof/>
              </w:rPr>
              <w:t>imately</w:t>
            </w:r>
            <w:r w:rsidR="000571C9" w:rsidRPr="000123E4">
              <w:rPr>
                <w:noProof/>
              </w:rPr>
              <w:t xml:space="preserve"> 80% over H2 2022</w:t>
            </w:r>
          </w:p>
        </w:tc>
        <w:tc>
          <w:tcPr>
            <w:tcW w:w="2041" w:type="pct"/>
            <w:vMerge/>
          </w:tcPr>
          <w:p w14:paraId="57C0A305" w14:textId="77777777" w:rsidR="000571C9" w:rsidRPr="000123E4" w:rsidRDefault="000571C9" w:rsidP="00BE1D7D">
            <w:pPr>
              <w:spacing w:line="240" w:lineRule="auto"/>
              <w:rPr>
                <w:noProof/>
              </w:rPr>
            </w:pPr>
          </w:p>
        </w:tc>
      </w:tr>
      <w:tr w:rsidR="000571C9" w:rsidRPr="00B12D15" w14:paraId="6F1608B5" w14:textId="77777777" w:rsidTr="009944DB">
        <w:trPr>
          <w:trHeight w:val="336"/>
        </w:trPr>
        <w:tc>
          <w:tcPr>
            <w:tcW w:w="711" w:type="pct"/>
            <w:vMerge/>
          </w:tcPr>
          <w:p w14:paraId="2F918CA3" w14:textId="77777777" w:rsidR="000571C9" w:rsidRPr="000123E4" w:rsidRDefault="000571C9" w:rsidP="00BE1D7D">
            <w:pPr>
              <w:spacing w:line="240" w:lineRule="auto"/>
              <w:rPr>
                <w:b/>
                <w:noProof/>
              </w:rPr>
            </w:pPr>
          </w:p>
        </w:tc>
        <w:tc>
          <w:tcPr>
            <w:tcW w:w="811" w:type="pct"/>
            <w:vMerge/>
          </w:tcPr>
          <w:p w14:paraId="7DCD0707" w14:textId="77777777" w:rsidR="000571C9" w:rsidRPr="000123E4" w:rsidRDefault="000571C9" w:rsidP="00BE1D7D">
            <w:pPr>
              <w:pStyle w:val="ListParagraph"/>
              <w:numPr>
                <w:ilvl w:val="0"/>
                <w:numId w:val="31"/>
              </w:numPr>
              <w:spacing w:after="0" w:line="240" w:lineRule="auto"/>
              <w:rPr>
                <w:rFonts w:ascii="Times New Roman" w:hAnsi="Times New Roman" w:cs="Times New Roman"/>
                <w:noProof/>
                <w:u w:val="single"/>
              </w:rPr>
            </w:pPr>
          </w:p>
        </w:tc>
        <w:tc>
          <w:tcPr>
            <w:tcW w:w="741" w:type="pct"/>
          </w:tcPr>
          <w:p w14:paraId="1621F1F6" w14:textId="7A646C58" w:rsidR="000571C9" w:rsidRPr="00F9742E" w:rsidRDefault="000571C9" w:rsidP="00F9742E">
            <w:pPr>
              <w:pStyle w:val="ListParagraph"/>
              <w:numPr>
                <w:ilvl w:val="0"/>
                <w:numId w:val="32"/>
              </w:numPr>
              <w:spacing w:after="0" w:line="240" w:lineRule="auto"/>
              <w:rPr>
                <w:rFonts w:ascii="Times New Roman" w:hAnsi="Times New Roman" w:cs="Times New Roman"/>
                <w:i/>
                <w:iCs/>
                <w:noProof/>
              </w:rPr>
            </w:pPr>
            <w:r w:rsidRPr="00F9742E">
              <w:rPr>
                <w:rFonts w:ascii="Times New Roman" w:hAnsi="Times New Roman" w:cs="Times New Roman"/>
                <w:i/>
                <w:iCs/>
                <w:noProof/>
              </w:rPr>
              <w:t>Absolute turnover</w:t>
            </w:r>
          </w:p>
        </w:tc>
        <w:tc>
          <w:tcPr>
            <w:tcW w:w="696" w:type="pct"/>
          </w:tcPr>
          <w:p w14:paraId="73D28D79" w14:textId="092206FE" w:rsidR="000571C9" w:rsidRPr="000123E4" w:rsidRDefault="000571C9" w:rsidP="00BE1D7D">
            <w:pPr>
              <w:spacing w:after="0" w:line="240" w:lineRule="auto"/>
              <w:rPr>
                <w:noProof/>
                <w:lang w:val="de-DE"/>
              </w:rPr>
            </w:pPr>
            <w:r w:rsidRPr="000123E4">
              <w:rPr>
                <w:noProof/>
                <w:lang w:val="de-DE"/>
              </w:rPr>
              <w:t>EUR 241</w:t>
            </w:r>
            <w:r w:rsidR="000F037D">
              <w:rPr>
                <w:noProof/>
                <w:lang w:val="de-DE"/>
              </w:rPr>
              <w:t xml:space="preserve"> </w:t>
            </w:r>
            <w:r w:rsidR="000F037D" w:rsidRPr="000F037D">
              <w:rPr>
                <w:noProof/>
                <w:lang w:val="de-DE"/>
              </w:rPr>
              <w:t>billion</w:t>
            </w:r>
            <w:r w:rsidR="000F037D" w:rsidRPr="000123E4">
              <w:rPr>
                <w:noProof/>
                <w:lang w:val="de-DE"/>
              </w:rPr>
              <w:t xml:space="preserve"> </w:t>
            </w:r>
            <w:r w:rsidRPr="000123E4">
              <w:rPr>
                <w:noProof/>
                <w:lang w:val="de-DE"/>
              </w:rPr>
              <w:t xml:space="preserve">in H2 2022 </w:t>
            </w:r>
            <w:r w:rsidR="00DF5FAE" w:rsidRPr="000123E4">
              <w:rPr>
                <w:noProof/>
                <w:lang w:val="de-DE"/>
              </w:rPr>
              <w:t>vs EUR 236 b</w:t>
            </w:r>
            <w:r w:rsidR="00C6453D">
              <w:rPr>
                <w:noProof/>
                <w:lang w:val="de-DE"/>
              </w:rPr>
              <w:t>illion</w:t>
            </w:r>
            <w:r w:rsidR="00DF5FAE" w:rsidRPr="000123E4">
              <w:rPr>
                <w:noProof/>
                <w:lang w:val="de-DE"/>
              </w:rPr>
              <w:t xml:space="preserve"> in H1 2022</w:t>
            </w:r>
          </w:p>
          <w:p w14:paraId="15AEBE51" w14:textId="5D4A1BF1" w:rsidR="000571C9" w:rsidRPr="000123E4" w:rsidRDefault="000571C9" w:rsidP="00BE1D7D">
            <w:pPr>
              <w:spacing w:after="0" w:line="240" w:lineRule="auto"/>
              <w:rPr>
                <w:noProof/>
                <w:lang w:val="de-DE"/>
              </w:rPr>
            </w:pPr>
          </w:p>
        </w:tc>
        <w:tc>
          <w:tcPr>
            <w:tcW w:w="2041" w:type="pct"/>
            <w:vMerge/>
          </w:tcPr>
          <w:p w14:paraId="6BC7E7D7" w14:textId="77777777" w:rsidR="000571C9" w:rsidRPr="000123E4" w:rsidRDefault="000571C9" w:rsidP="00BE1D7D">
            <w:pPr>
              <w:spacing w:line="240" w:lineRule="auto"/>
              <w:rPr>
                <w:noProof/>
                <w:lang w:val="de-DE"/>
              </w:rPr>
            </w:pPr>
          </w:p>
        </w:tc>
      </w:tr>
      <w:tr w:rsidR="00931C51" w:rsidRPr="000123E4" w14:paraId="493326C8" w14:textId="77777777" w:rsidTr="009944DB">
        <w:trPr>
          <w:trHeight w:val="698"/>
        </w:trPr>
        <w:tc>
          <w:tcPr>
            <w:tcW w:w="711" w:type="pct"/>
            <w:vMerge w:val="restart"/>
          </w:tcPr>
          <w:p w14:paraId="3B58ED48" w14:textId="34387FF6" w:rsidR="00931C51" w:rsidRPr="000123E4" w:rsidRDefault="00931C51" w:rsidP="00BE1D7D">
            <w:pPr>
              <w:pStyle w:val="ListParagraph"/>
              <w:spacing w:line="240" w:lineRule="auto"/>
              <w:ind w:left="360"/>
              <w:rPr>
                <w:rFonts w:ascii="Times New Roman" w:hAnsi="Times New Roman" w:cs="Times New Roman"/>
                <w:noProof/>
                <w:lang w:val="de-DE"/>
              </w:rPr>
            </w:pPr>
          </w:p>
        </w:tc>
        <w:tc>
          <w:tcPr>
            <w:tcW w:w="811" w:type="pct"/>
            <w:vMerge w:val="restart"/>
          </w:tcPr>
          <w:p w14:paraId="5D93C1CA" w14:textId="042E7E38" w:rsidR="00931C51" w:rsidRPr="000123E4" w:rsidRDefault="00931C51" w:rsidP="00BE1D7D">
            <w:pPr>
              <w:pStyle w:val="ListParagraph"/>
              <w:numPr>
                <w:ilvl w:val="0"/>
                <w:numId w:val="41"/>
              </w:numPr>
              <w:spacing w:after="0" w:line="240" w:lineRule="auto"/>
              <w:rPr>
                <w:rFonts w:ascii="Times New Roman" w:hAnsi="Times New Roman" w:cs="Times New Roman"/>
                <w:noProof/>
                <w:u w:val="single"/>
              </w:rPr>
            </w:pPr>
            <w:r w:rsidRPr="000123E4">
              <w:rPr>
                <w:rFonts w:ascii="Times New Roman" w:hAnsi="Times New Roman" w:cs="Times New Roman"/>
                <w:noProof/>
                <w:u w:val="single"/>
              </w:rPr>
              <w:t>Management of the maturity profile of EU</w:t>
            </w:r>
            <w:r w:rsidR="0056358A">
              <w:rPr>
                <w:rFonts w:ascii="Times New Roman" w:hAnsi="Times New Roman" w:cs="Times New Roman"/>
                <w:noProof/>
                <w:u w:val="single"/>
              </w:rPr>
              <w:t>-</w:t>
            </w:r>
            <w:r w:rsidRPr="000123E4">
              <w:rPr>
                <w:rFonts w:ascii="Times New Roman" w:hAnsi="Times New Roman" w:cs="Times New Roman"/>
                <w:noProof/>
                <w:u w:val="single"/>
              </w:rPr>
              <w:t>Bond issuances with due regard to:</w:t>
            </w:r>
          </w:p>
          <w:p w14:paraId="087E4C09" w14:textId="1BDD4D79" w:rsidR="00931C51" w:rsidRPr="000123E4" w:rsidRDefault="00931C51" w:rsidP="00F9742E">
            <w:pPr>
              <w:pStyle w:val="ListParagraph"/>
              <w:numPr>
                <w:ilvl w:val="0"/>
                <w:numId w:val="35"/>
              </w:numPr>
              <w:spacing w:after="0" w:line="240" w:lineRule="auto"/>
              <w:ind w:left="643"/>
              <w:rPr>
                <w:rFonts w:ascii="Times New Roman" w:hAnsi="Times New Roman" w:cs="Times New Roman"/>
                <w:noProof/>
              </w:rPr>
            </w:pPr>
            <w:r w:rsidRPr="000123E4">
              <w:rPr>
                <w:rFonts w:ascii="Times New Roman" w:hAnsi="Times New Roman" w:cs="Times New Roman"/>
                <w:noProof/>
              </w:rPr>
              <w:t>The temporary additional headroom (for NGEU</w:t>
            </w:r>
            <w:r w:rsidR="00C6453D">
              <w:rPr>
                <w:rFonts w:ascii="Times New Roman" w:hAnsi="Times New Roman" w:cs="Times New Roman"/>
                <w:noProof/>
              </w:rPr>
              <w:t>-</w:t>
            </w:r>
            <w:r w:rsidRPr="000123E4">
              <w:rPr>
                <w:rFonts w:ascii="Times New Roman" w:hAnsi="Times New Roman" w:cs="Times New Roman"/>
                <w:noProof/>
              </w:rPr>
              <w:t>related borrowing) and permanent headroom (for MFA+) under the EU budget</w:t>
            </w:r>
          </w:p>
          <w:p w14:paraId="7037AD17" w14:textId="77777777" w:rsidR="00931C51" w:rsidRPr="000123E4" w:rsidRDefault="00931C51" w:rsidP="00F9742E">
            <w:pPr>
              <w:pStyle w:val="ListParagraph"/>
              <w:numPr>
                <w:ilvl w:val="0"/>
                <w:numId w:val="35"/>
              </w:numPr>
              <w:spacing w:after="0" w:line="240" w:lineRule="auto"/>
              <w:ind w:left="643"/>
              <w:rPr>
                <w:rFonts w:ascii="Times New Roman" w:hAnsi="Times New Roman" w:cs="Times New Roman"/>
                <w:noProof/>
              </w:rPr>
            </w:pPr>
            <w:r w:rsidRPr="000123E4">
              <w:rPr>
                <w:rFonts w:ascii="Times New Roman" w:hAnsi="Times New Roman" w:cs="Times New Roman"/>
                <w:noProof/>
              </w:rPr>
              <w:t xml:space="preserve">Future redemption of disbursements in any given year </w:t>
            </w:r>
          </w:p>
          <w:p w14:paraId="22F8318F" w14:textId="77777777" w:rsidR="00931C51" w:rsidRPr="000123E4" w:rsidRDefault="00931C51" w:rsidP="00F9742E">
            <w:pPr>
              <w:pStyle w:val="ListParagraph"/>
              <w:numPr>
                <w:ilvl w:val="0"/>
                <w:numId w:val="35"/>
              </w:numPr>
              <w:spacing w:after="0" w:line="240" w:lineRule="auto"/>
              <w:ind w:left="643"/>
              <w:rPr>
                <w:rFonts w:ascii="Times New Roman" w:hAnsi="Times New Roman" w:cs="Times New Roman"/>
                <w:noProof/>
              </w:rPr>
            </w:pPr>
            <w:r w:rsidRPr="000123E4">
              <w:rPr>
                <w:rFonts w:ascii="Times New Roman" w:hAnsi="Times New Roman" w:cs="Times New Roman"/>
                <w:noProof/>
              </w:rPr>
              <w:t>Stable future roll-over needs</w:t>
            </w:r>
          </w:p>
          <w:p w14:paraId="26920B80" w14:textId="11B59F66" w:rsidR="00931C51" w:rsidRPr="000123E4" w:rsidRDefault="00C6453D" w:rsidP="00F9742E">
            <w:pPr>
              <w:pStyle w:val="ListParagraph"/>
              <w:numPr>
                <w:ilvl w:val="0"/>
                <w:numId w:val="35"/>
              </w:numPr>
              <w:spacing w:after="0" w:line="240" w:lineRule="auto"/>
              <w:ind w:left="643"/>
              <w:rPr>
                <w:rFonts w:ascii="Times New Roman" w:hAnsi="Times New Roman" w:cs="Times New Roman"/>
                <w:noProof/>
              </w:rPr>
            </w:pPr>
            <w:r>
              <w:rPr>
                <w:rFonts w:ascii="Times New Roman" w:hAnsi="Times New Roman" w:cs="Times New Roman"/>
                <w:noProof/>
              </w:rPr>
              <w:t xml:space="preserve">The need to protect </w:t>
            </w:r>
            <w:r w:rsidR="00931C51" w:rsidRPr="000123E4">
              <w:rPr>
                <w:rFonts w:ascii="Times New Roman" w:hAnsi="Times New Roman" w:cs="Times New Roman"/>
                <w:noProof/>
              </w:rPr>
              <w:t>the</w:t>
            </w:r>
            <w:r>
              <w:rPr>
                <w:rFonts w:ascii="Times New Roman" w:hAnsi="Times New Roman" w:cs="Times New Roman"/>
                <w:noProof/>
              </w:rPr>
              <w:t xml:space="preserve"> EU’s</w:t>
            </w:r>
            <w:r w:rsidR="00931C51" w:rsidRPr="000123E4">
              <w:rPr>
                <w:rFonts w:ascii="Times New Roman" w:hAnsi="Times New Roman" w:cs="Times New Roman"/>
                <w:noProof/>
              </w:rPr>
              <w:t xml:space="preserve"> rating to ensur</w:t>
            </w:r>
            <w:r>
              <w:rPr>
                <w:rFonts w:ascii="Times New Roman" w:hAnsi="Times New Roman" w:cs="Times New Roman"/>
                <w:noProof/>
              </w:rPr>
              <w:t>e</w:t>
            </w:r>
            <w:r w:rsidR="00931C51" w:rsidRPr="000123E4">
              <w:rPr>
                <w:rFonts w:ascii="Times New Roman" w:hAnsi="Times New Roman" w:cs="Times New Roman"/>
                <w:noProof/>
              </w:rPr>
              <w:t xml:space="preserve"> low borrowing costs in the long run and strong demand from core investor base.</w:t>
            </w:r>
          </w:p>
        </w:tc>
        <w:tc>
          <w:tcPr>
            <w:tcW w:w="741" w:type="pct"/>
          </w:tcPr>
          <w:p w14:paraId="4BCFEB17" w14:textId="2D99FAF0" w:rsidR="00931C51" w:rsidRPr="00F9742E" w:rsidRDefault="00931C51" w:rsidP="00BE1D7D">
            <w:pPr>
              <w:pStyle w:val="ListParagraph"/>
              <w:numPr>
                <w:ilvl w:val="0"/>
                <w:numId w:val="37"/>
              </w:numPr>
              <w:spacing w:after="0" w:line="240" w:lineRule="auto"/>
              <w:rPr>
                <w:rFonts w:ascii="Times New Roman" w:hAnsi="Times New Roman" w:cs="Times New Roman"/>
                <w:i/>
                <w:iCs/>
                <w:noProof/>
              </w:rPr>
            </w:pPr>
            <w:r w:rsidRPr="00F9742E">
              <w:rPr>
                <w:rFonts w:ascii="Times New Roman" w:hAnsi="Times New Roman" w:cs="Times New Roman"/>
                <w:i/>
                <w:iCs/>
                <w:noProof/>
              </w:rPr>
              <w:t xml:space="preserve">Average maturity of issuance </w:t>
            </w:r>
          </w:p>
        </w:tc>
        <w:tc>
          <w:tcPr>
            <w:tcW w:w="696" w:type="pct"/>
          </w:tcPr>
          <w:p w14:paraId="027AB70A" w14:textId="77777777" w:rsidR="00931C51" w:rsidRPr="000123E4" w:rsidRDefault="00931C51" w:rsidP="00BE1D7D">
            <w:pPr>
              <w:spacing w:line="240" w:lineRule="auto"/>
              <w:rPr>
                <w:noProof/>
              </w:rPr>
            </w:pPr>
            <w:r w:rsidRPr="000123E4">
              <w:rPr>
                <w:noProof/>
              </w:rPr>
              <w:t xml:space="preserve">13-14 years </w:t>
            </w:r>
          </w:p>
        </w:tc>
        <w:tc>
          <w:tcPr>
            <w:tcW w:w="2041" w:type="pct"/>
            <w:vMerge w:val="restart"/>
          </w:tcPr>
          <w:p w14:paraId="1C4C3BDC" w14:textId="48243402" w:rsidR="00931C51" w:rsidRPr="000123E4" w:rsidRDefault="00931C51" w:rsidP="00BE1D7D">
            <w:pPr>
              <w:spacing w:line="240" w:lineRule="auto"/>
              <w:rPr>
                <w:noProof/>
              </w:rPr>
            </w:pPr>
            <w:r w:rsidRPr="000123E4">
              <w:rPr>
                <w:noProof/>
              </w:rPr>
              <w:t>In H1 2023, the bond issuances had an average maturity of 13-14</w:t>
            </w:r>
            <w:r w:rsidR="00C6453D">
              <w:rPr>
                <w:noProof/>
              </w:rPr>
              <w:t xml:space="preserve"> </w:t>
            </w:r>
            <w:r w:rsidRPr="000123E4">
              <w:rPr>
                <w:noProof/>
              </w:rPr>
              <w:t>y</w:t>
            </w:r>
            <w:r w:rsidR="00C6453D">
              <w:rPr>
                <w:noProof/>
              </w:rPr>
              <w:t>ears</w:t>
            </w:r>
            <w:r w:rsidRPr="000123E4">
              <w:rPr>
                <w:noProof/>
              </w:rPr>
              <w:t>. This reflected the Commission’s objective of spreading the redemptions profile</w:t>
            </w:r>
            <w:r w:rsidR="00C6453D" w:rsidRPr="000123E4">
              <w:rPr>
                <w:noProof/>
              </w:rPr>
              <w:t xml:space="preserve"> over time</w:t>
            </w:r>
            <w:r w:rsidRPr="000123E4">
              <w:rPr>
                <w:noProof/>
              </w:rPr>
              <w:t xml:space="preserve"> while, at the same time, attracting investors to EU primary market transactions. The average maturity remained below the maximum average maturity of 17 years set out in the annual borrowing decision for 2023.</w:t>
            </w:r>
          </w:p>
          <w:p w14:paraId="4B52951E" w14:textId="2FEC1043" w:rsidR="00931C51" w:rsidRPr="000123E4" w:rsidRDefault="00931C51" w:rsidP="00BE1D7D">
            <w:pPr>
              <w:spacing w:line="240" w:lineRule="auto"/>
              <w:rPr>
                <w:noProof/>
              </w:rPr>
            </w:pPr>
            <w:r w:rsidRPr="000123E4">
              <w:rPr>
                <w:noProof/>
              </w:rPr>
              <w:t>The average time to maturity of outstanding debt remained stable (at around 12 years) – driven largely by past issuances.</w:t>
            </w:r>
          </w:p>
          <w:p w14:paraId="3A2F71F2" w14:textId="4159FC80" w:rsidR="00931C51" w:rsidRPr="000123E4" w:rsidRDefault="00931C51" w:rsidP="00BE1D7D">
            <w:pPr>
              <w:spacing w:line="240" w:lineRule="auto"/>
              <w:rPr>
                <w:noProof/>
              </w:rPr>
            </w:pPr>
            <w:r w:rsidRPr="000123E4">
              <w:rPr>
                <w:noProof/>
              </w:rPr>
              <w:t>Refinancing also remained stable, a reflection of the past issuances and related the redemption profile.</w:t>
            </w:r>
            <w:r w:rsidRPr="000123E4">
              <w:rPr>
                <w:noProof/>
                <w:color w:val="1F497D"/>
              </w:rPr>
              <w:t xml:space="preserve"> </w:t>
            </w:r>
          </w:p>
        </w:tc>
      </w:tr>
      <w:tr w:rsidR="00931C51" w:rsidRPr="000123E4" w14:paraId="59CEA6CC" w14:textId="77777777" w:rsidTr="009944DB">
        <w:trPr>
          <w:trHeight w:val="680"/>
        </w:trPr>
        <w:tc>
          <w:tcPr>
            <w:tcW w:w="711" w:type="pct"/>
            <w:vMerge/>
          </w:tcPr>
          <w:p w14:paraId="4A63A6A4" w14:textId="77777777" w:rsidR="00931C51" w:rsidRPr="000123E4" w:rsidRDefault="00931C51" w:rsidP="00BE1D7D">
            <w:pPr>
              <w:pStyle w:val="ListParagraph"/>
              <w:numPr>
                <w:ilvl w:val="0"/>
                <w:numId w:val="30"/>
              </w:numPr>
              <w:spacing w:after="0" w:line="240" w:lineRule="auto"/>
              <w:rPr>
                <w:rFonts w:ascii="Times New Roman" w:hAnsi="Times New Roman" w:cs="Times New Roman"/>
                <w:b/>
                <w:noProof/>
              </w:rPr>
            </w:pPr>
          </w:p>
        </w:tc>
        <w:tc>
          <w:tcPr>
            <w:tcW w:w="811" w:type="pct"/>
            <w:vMerge/>
          </w:tcPr>
          <w:p w14:paraId="6BFCAF34" w14:textId="77777777" w:rsidR="00931C51" w:rsidRPr="000123E4" w:rsidRDefault="00931C51" w:rsidP="00BE1D7D">
            <w:pPr>
              <w:spacing w:line="240" w:lineRule="auto"/>
              <w:rPr>
                <w:noProof/>
              </w:rPr>
            </w:pPr>
          </w:p>
        </w:tc>
        <w:tc>
          <w:tcPr>
            <w:tcW w:w="741" w:type="pct"/>
          </w:tcPr>
          <w:p w14:paraId="57DA3E9F" w14:textId="7968B7A4" w:rsidR="00931C51" w:rsidRPr="00F9742E" w:rsidRDefault="00931C51" w:rsidP="00BE1D7D">
            <w:pPr>
              <w:pStyle w:val="ListParagraph"/>
              <w:numPr>
                <w:ilvl w:val="0"/>
                <w:numId w:val="37"/>
              </w:numPr>
              <w:spacing w:after="0" w:line="240" w:lineRule="auto"/>
              <w:rPr>
                <w:rFonts w:ascii="Times New Roman" w:hAnsi="Times New Roman" w:cs="Times New Roman"/>
                <w:i/>
                <w:iCs/>
                <w:noProof/>
              </w:rPr>
            </w:pPr>
            <w:r w:rsidRPr="00F9742E">
              <w:rPr>
                <w:rFonts w:ascii="Times New Roman" w:hAnsi="Times New Roman" w:cs="Times New Roman"/>
                <w:i/>
                <w:iCs/>
                <w:noProof/>
              </w:rPr>
              <w:t>Average time to maturity of outstanding debt</w:t>
            </w:r>
          </w:p>
        </w:tc>
        <w:tc>
          <w:tcPr>
            <w:tcW w:w="696" w:type="pct"/>
          </w:tcPr>
          <w:p w14:paraId="6AA146C8" w14:textId="4D560E20" w:rsidR="00931C51" w:rsidRPr="000123E4" w:rsidRDefault="00931C51" w:rsidP="00BE1D7D">
            <w:pPr>
              <w:spacing w:line="240" w:lineRule="auto"/>
              <w:rPr>
                <w:noProof/>
              </w:rPr>
            </w:pPr>
            <w:r w:rsidRPr="000123E4">
              <w:rPr>
                <w:noProof/>
              </w:rPr>
              <w:t>Around 12 years.</w:t>
            </w:r>
          </w:p>
        </w:tc>
        <w:tc>
          <w:tcPr>
            <w:tcW w:w="2041" w:type="pct"/>
            <w:vMerge/>
          </w:tcPr>
          <w:p w14:paraId="48254B82" w14:textId="77777777" w:rsidR="00931C51" w:rsidRPr="000123E4" w:rsidRDefault="00931C51" w:rsidP="00BE1D7D">
            <w:pPr>
              <w:spacing w:line="240" w:lineRule="auto"/>
              <w:rPr>
                <w:noProof/>
              </w:rPr>
            </w:pPr>
          </w:p>
        </w:tc>
      </w:tr>
      <w:tr w:rsidR="00931C51" w:rsidRPr="000123E4" w14:paraId="7465F484" w14:textId="77777777" w:rsidTr="009944DB">
        <w:trPr>
          <w:trHeight w:val="680"/>
        </w:trPr>
        <w:tc>
          <w:tcPr>
            <w:tcW w:w="711" w:type="pct"/>
            <w:vMerge/>
          </w:tcPr>
          <w:p w14:paraId="67E1C184" w14:textId="77777777" w:rsidR="00931C51" w:rsidRPr="000123E4" w:rsidRDefault="00931C51" w:rsidP="00BE1D7D">
            <w:pPr>
              <w:pStyle w:val="ListParagraph"/>
              <w:numPr>
                <w:ilvl w:val="0"/>
                <w:numId w:val="30"/>
              </w:numPr>
              <w:spacing w:after="0" w:line="240" w:lineRule="auto"/>
              <w:rPr>
                <w:rFonts w:ascii="Times New Roman" w:hAnsi="Times New Roman" w:cs="Times New Roman"/>
                <w:b/>
                <w:noProof/>
              </w:rPr>
            </w:pPr>
          </w:p>
        </w:tc>
        <w:tc>
          <w:tcPr>
            <w:tcW w:w="811" w:type="pct"/>
            <w:vMerge/>
          </w:tcPr>
          <w:p w14:paraId="5AC9C3E3" w14:textId="77777777" w:rsidR="00931C51" w:rsidRPr="000123E4" w:rsidRDefault="00931C51" w:rsidP="00BE1D7D">
            <w:pPr>
              <w:spacing w:line="240" w:lineRule="auto"/>
              <w:rPr>
                <w:noProof/>
              </w:rPr>
            </w:pPr>
          </w:p>
        </w:tc>
        <w:tc>
          <w:tcPr>
            <w:tcW w:w="741" w:type="pct"/>
          </w:tcPr>
          <w:p w14:paraId="096CBAA1" w14:textId="68DBA501" w:rsidR="00931C51" w:rsidRPr="00F9742E" w:rsidRDefault="00931C51" w:rsidP="00BE1D7D">
            <w:pPr>
              <w:pStyle w:val="ListParagraph"/>
              <w:numPr>
                <w:ilvl w:val="0"/>
                <w:numId w:val="37"/>
              </w:numPr>
              <w:spacing w:after="0" w:line="240" w:lineRule="auto"/>
              <w:rPr>
                <w:rFonts w:ascii="Times New Roman" w:hAnsi="Times New Roman" w:cs="Times New Roman"/>
                <w:i/>
                <w:iCs/>
                <w:noProof/>
              </w:rPr>
            </w:pPr>
            <w:r w:rsidRPr="00F9742E">
              <w:rPr>
                <w:rFonts w:ascii="Times New Roman" w:hAnsi="Times New Roman" w:cs="Times New Roman"/>
                <w:i/>
                <w:iCs/>
                <w:noProof/>
              </w:rPr>
              <w:t>Refinancing in the short term, i.e. percentage of outstanding stock of bonds and bills maturing in the next 12 months</w:t>
            </w:r>
          </w:p>
        </w:tc>
        <w:tc>
          <w:tcPr>
            <w:tcW w:w="696" w:type="pct"/>
          </w:tcPr>
          <w:p w14:paraId="2B4059D4" w14:textId="284E8F49" w:rsidR="00931C51" w:rsidRPr="000123E4" w:rsidRDefault="00931C51" w:rsidP="00BE1D7D">
            <w:pPr>
              <w:spacing w:line="240" w:lineRule="auto"/>
              <w:rPr>
                <w:noProof/>
              </w:rPr>
            </w:pPr>
            <w:r w:rsidRPr="000123E4">
              <w:rPr>
                <w:noProof/>
              </w:rPr>
              <w:t>Less than 10 %</w:t>
            </w:r>
          </w:p>
        </w:tc>
        <w:tc>
          <w:tcPr>
            <w:tcW w:w="2041" w:type="pct"/>
            <w:vMerge/>
          </w:tcPr>
          <w:p w14:paraId="5EC2DB5A" w14:textId="77777777" w:rsidR="00931C51" w:rsidRPr="000123E4" w:rsidRDefault="00931C51" w:rsidP="00BE1D7D">
            <w:pPr>
              <w:spacing w:line="240" w:lineRule="auto"/>
              <w:rPr>
                <w:noProof/>
              </w:rPr>
            </w:pPr>
          </w:p>
        </w:tc>
      </w:tr>
      <w:tr w:rsidR="00931C51" w:rsidRPr="000123E4" w14:paraId="75EA9040" w14:textId="77777777" w:rsidTr="009944DB">
        <w:trPr>
          <w:trHeight w:val="1187"/>
        </w:trPr>
        <w:tc>
          <w:tcPr>
            <w:tcW w:w="711" w:type="pct"/>
            <w:vMerge/>
          </w:tcPr>
          <w:p w14:paraId="06627094" w14:textId="77777777" w:rsidR="00931C51" w:rsidRPr="000123E4" w:rsidRDefault="00931C51" w:rsidP="00BE1D7D">
            <w:pPr>
              <w:pStyle w:val="ListParagraph"/>
              <w:numPr>
                <w:ilvl w:val="0"/>
                <w:numId w:val="30"/>
              </w:numPr>
              <w:spacing w:after="0" w:line="240" w:lineRule="auto"/>
              <w:rPr>
                <w:rFonts w:ascii="Times New Roman" w:hAnsi="Times New Roman" w:cs="Times New Roman"/>
                <w:b/>
                <w:noProof/>
              </w:rPr>
            </w:pPr>
          </w:p>
        </w:tc>
        <w:tc>
          <w:tcPr>
            <w:tcW w:w="811" w:type="pct"/>
            <w:vMerge/>
          </w:tcPr>
          <w:p w14:paraId="0985A4BA" w14:textId="77777777" w:rsidR="00931C51" w:rsidRPr="000123E4" w:rsidRDefault="00931C51" w:rsidP="00BE1D7D">
            <w:pPr>
              <w:spacing w:line="240" w:lineRule="auto"/>
              <w:rPr>
                <w:noProof/>
              </w:rPr>
            </w:pPr>
          </w:p>
        </w:tc>
        <w:tc>
          <w:tcPr>
            <w:tcW w:w="741" w:type="pct"/>
          </w:tcPr>
          <w:p w14:paraId="670D2792" w14:textId="2D54C677" w:rsidR="00931C51" w:rsidRPr="00F9742E" w:rsidRDefault="00931C51" w:rsidP="00BE1D7D">
            <w:pPr>
              <w:pStyle w:val="ListParagraph"/>
              <w:numPr>
                <w:ilvl w:val="0"/>
                <w:numId w:val="37"/>
              </w:numPr>
              <w:spacing w:after="0" w:line="240" w:lineRule="auto"/>
              <w:rPr>
                <w:rFonts w:ascii="Times New Roman" w:hAnsi="Times New Roman" w:cs="Times New Roman"/>
                <w:i/>
                <w:iCs/>
                <w:noProof/>
              </w:rPr>
            </w:pPr>
            <w:r w:rsidRPr="00F9742E">
              <w:rPr>
                <w:rFonts w:ascii="Times New Roman" w:hAnsi="Times New Roman" w:cs="Times New Roman"/>
                <w:i/>
                <w:iCs/>
                <w:noProof/>
              </w:rPr>
              <w:t>Refinancing in the medium term, i.e. percentage of outstanding stock of bonds and bills maturing in the next 5 years</w:t>
            </w:r>
          </w:p>
        </w:tc>
        <w:tc>
          <w:tcPr>
            <w:tcW w:w="696" w:type="pct"/>
          </w:tcPr>
          <w:p w14:paraId="7EB3E81F" w14:textId="2171FF1D" w:rsidR="00931C51" w:rsidRPr="000123E4" w:rsidRDefault="00931C51" w:rsidP="00BE1D7D">
            <w:pPr>
              <w:spacing w:line="240" w:lineRule="auto"/>
              <w:rPr>
                <w:noProof/>
              </w:rPr>
            </w:pPr>
            <w:r w:rsidRPr="000123E4">
              <w:rPr>
                <w:noProof/>
              </w:rPr>
              <w:t>Less than 30 %.</w:t>
            </w:r>
          </w:p>
        </w:tc>
        <w:tc>
          <w:tcPr>
            <w:tcW w:w="2041" w:type="pct"/>
            <w:vMerge/>
          </w:tcPr>
          <w:p w14:paraId="56DCF687" w14:textId="77777777" w:rsidR="00931C51" w:rsidRPr="000123E4" w:rsidRDefault="00931C51" w:rsidP="00BE1D7D">
            <w:pPr>
              <w:spacing w:line="240" w:lineRule="auto"/>
              <w:rPr>
                <w:noProof/>
              </w:rPr>
            </w:pPr>
          </w:p>
        </w:tc>
      </w:tr>
      <w:tr w:rsidR="00931C51" w:rsidRPr="000123E4" w14:paraId="07A8C45B" w14:textId="77777777" w:rsidTr="009944DB">
        <w:trPr>
          <w:trHeight w:val="270"/>
        </w:trPr>
        <w:tc>
          <w:tcPr>
            <w:tcW w:w="711" w:type="pct"/>
            <w:vMerge w:val="restart"/>
          </w:tcPr>
          <w:p w14:paraId="42ACE714" w14:textId="2E0C556A" w:rsidR="00931C51" w:rsidRPr="000123E4" w:rsidRDefault="00931C51" w:rsidP="00BE1D7D">
            <w:pPr>
              <w:pStyle w:val="ListParagraph"/>
              <w:numPr>
                <w:ilvl w:val="0"/>
                <w:numId w:val="30"/>
              </w:numPr>
              <w:spacing w:after="0" w:line="240" w:lineRule="auto"/>
              <w:rPr>
                <w:rFonts w:ascii="Times New Roman" w:hAnsi="Times New Roman" w:cs="Times New Roman"/>
                <w:b/>
                <w:bCs/>
                <w:noProof/>
              </w:rPr>
            </w:pPr>
            <w:r w:rsidRPr="000123E4">
              <w:rPr>
                <w:rFonts w:ascii="Times New Roman" w:hAnsi="Times New Roman" w:cs="Times New Roman"/>
                <w:b/>
                <w:bCs/>
                <w:noProof/>
              </w:rPr>
              <w:t xml:space="preserve">Implementation of the EU-Bill- </w:t>
            </w:r>
            <w:r w:rsidR="00C6453D">
              <w:rPr>
                <w:rFonts w:ascii="Times New Roman" w:hAnsi="Times New Roman" w:cs="Times New Roman"/>
                <w:b/>
                <w:bCs/>
                <w:noProof/>
              </w:rPr>
              <w:t>p</w:t>
            </w:r>
            <w:r w:rsidRPr="000123E4">
              <w:rPr>
                <w:rFonts w:ascii="Times New Roman" w:hAnsi="Times New Roman" w:cs="Times New Roman"/>
                <w:b/>
                <w:bCs/>
                <w:noProof/>
              </w:rPr>
              <w:t>rogramme</w:t>
            </w:r>
          </w:p>
          <w:p w14:paraId="7E29BF9B" w14:textId="77777777" w:rsidR="00931C51" w:rsidRPr="000123E4" w:rsidRDefault="00931C51" w:rsidP="00BE1D7D">
            <w:pPr>
              <w:spacing w:line="240" w:lineRule="auto"/>
              <w:rPr>
                <w:noProof/>
              </w:rPr>
            </w:pPr>
          </w:p>
        </w:tc>
        <w:tc>
          <w:tcPr>
            <w:tcW w:w="811" w:type="pct"/>
            <w:vMerge w:val="restart"/>
          </w:tcPr>
          <w:p w14:paraId="1A04AFD5" w14:textId="77777777" w:rsidR="00931C51" w:rsidRDefault="00931C51" w:rsidP="00BE1D7D">
            <w:pPr>
              <w:spacing w:line="240" w:lineRule="auto"/>
              <w:rPr>
                <w:noProof/>
              </w:rPr>
            </w:pPr>
            <w:r w:rsidRPr="000123E4">
              <w:rPr>
                <w:noProof/>
              </w:rPr>
              <w:t>Regular issuance of EU-Bills with maturities</w:t>
            </w:r>
            <w:r w:rsidR="00C6453D">
              <w:rPr>
                <w:noProof/>
              </w:rPr>
              <w:t xml:space="preserve"> of</w:t>
            </w:r>
            <w:r w:rsidRPr="000123E4">
              <w:rPr>
                <w:noProof/>
              </w:rPr>
              <w:t xml:space="preserve"> up to 1</w:t>
            </w:r>
            <w:r w:rsidR="00C6453D">
              <w:rPr>
                <w:noProof/>
              </w:rPr>
              <w:t xml:space="preserve"> </w:t>
            </w:r>
            <w:r w:rsidRPr="000123E4">
              <w:rPr>
                <w:noProof/>
              </w:rPr>
              <w:t>y</w:t>
            </w:r>
            <w:r w:rsidR="00C6453D">
              <w:rPr>
                <w:noProof/>
              </w:rPr>
              <w:t>ear</w:t>
            </w:r>
            <w:r w:rsidRPr="000123E4">
              <w:rPr>
                <w:noProof/>
              </w:rPr>
              <w:t xml:space="preserve"> via auction to attract additional investors (or additional portfolios of existing investors) and support liquidity management.</w:t>
            </w:r>
          </w:p>
          <w:p w14:paraId="22A8993E" w14:textId="6F047B8D" w:rsidR="00F9742E" w:rsidRPr="000123E4" w:rsidRDefault="00F9742E" w:rsidP="00BE1D7D">
            <w:pPr>
              <w:spacing w:line="240" w:lineRule="auto"/>
              <w:rPr>
                <w:noProof/>
              </w:rPr>
            </w:pPr>
          </w:p>
        </w:tc>
        <w:tc>
          <w:tcPr>
            <w:tcW w:w="741" w:type="pct"/>
          </w:tcPr>
          <w:p w14:paraId="1AF05887" w14:textId="77777777" w:rsidR="00931C51" w:rsidRPr="00F9742E" w:rsidRDefault="00931C51" w:rsidP="00BE1D7D">
            <w:pPr>
              <w:pStyle w:val="ListParagraph"/>
              <w:numPr>
                <w:ilvl w:val="0"/>
                <w:numId w:val="34"/>
              </w:numPr>
              <w:spacing w:after="0" w:line="240" w:lineRule="auto"/>
              <w:rPr>
                <w:rFonts w:ascii="Times New Roman" w:hAnsi="Times New Roman" w:cs="Times New Roman"/>
                <w:i/>
                <w:iCs/>
                <w:noProof/>
              </w:rPr>
            </w:pPr>
            <w:r w:rsidRPr="00F9742E">
              <w:rPr>
                <w:rFonts w:ascii="Times New Roman" w:hAnsi="Times New Roman" w:cs="Times New Roman"/>
                <w:i/>
                <w:iCs/>
                <w:noProof/>
              </w:rPr>
              <w:t>Outstanding volume EU-</w:t>
            </w:r>
            <w:r w:rsidR="00F37831" w:rsidRPr="00F9742E">
              <w:rPr>
                <w:rFonts w:ascii="Times New Roman" w:hAnsi="Times New Roman" w:cs="Times New Roman"/>
                <w:i/>
                <w:iCs/>
                <w:noProof/>
              </w:rPr>
              <w:t>B</w:t>
            </w:r>
            <w:r w:rsidRPr="00F9742E">
              <w:rPr>
                <w:rFonts w:ascii="Times New Roman" w:hAnsi="Times New Roman" w:cs="Times New Roman"/>
                <w:i/>
                <w:iCs/>
                <w:noProof/>
              </w:rPr>
              <w:t>ills</w:t>
            </w:r>
          </w:p>
          <w:p w14:paraId="390BA3C9" w14:textId="7E298C17" w:rsidR="00017F73" w:rsidRPr="00F9742E" w:rsidRDefault="00017F73" w:rsidP="00017F73">
            <w:pPr>
              <w:spacing w:after="0" w:line="240" w:lineRule="auto"/>
              <w:ind w:left="360"/>
              <w:rPr>
                <w:i/>
                <w:iCs/>
                <w:noProof/>
              </w:rPr>
            </w:pPr>
          </w:p>
        </w:tc>
        <w:tc>
          <w:tcPr>
            <w:tcW w:w="696" w:type="pct"/>
          </w:tcPr>
          <w:p w14:paraId="0E971BB5" w14:textId="4C063A08" w:rsidR="00931C51" w:rsidRPr="000123E4" w:rsidRDefault="00DF5FAE" w:rsidP="00BE1D7D">
            <w:pPr>
              <w:spacing w:line="240" w:lineRule="auto"/>
              <w:rPr>
                <w:noProof/>
              </w:rPr>
            </w:pPr>
            <w:r w:rsidRPr="000123E4">
              <w:rPr>
                <w:noProof/>
              </w:rPr>
              <w:t xml:space="preserve">EUR </w:t>
            </w:r>
            <w:r w:rsidR="00931C51" w:rsidRPr="000123E4">
              <w:rPr>
                <w:noProof/>
              </w:rPr>
              <w:t>15-20 b</w:t>
            </w:r>
            <w:r w:rsidR="00C6453D">
              <w:rPr>
                <w:noProof/>
              </w:rPr>
              <w:t>illon</w:t>
            </w:r>
          </w:p>
        </w:tc>
        <w:tc>
          <w:tcPr>
            <w:tcW w:w="2041" w:type="pct"/>
            <w:vMerge w:val="restart"/>
          </w:tcPr>
          <w:p w14:paraId="560E9F62" w14:textId="0EC76093" w:rsidR="00931C51" w:rsidRPr="000123E4" w:rsidRDefault="00931C51" w:rsidP="00BE1D7D">
            <w:pPr>
              <w:spacing w:line="240" w:lineRule="auto"/>
              <w:rPr>
                <w:bCs/>
                <w:noProof/>
              </w:rPr>
            </w:pPr>
            <w:r w:rsidRPr="000123E4">
              <w:rPr>
                <w:bCs/>
                <w:noProof/>
              </w:rPr>
              <w:t>The Commission maintained issuances under the EU-Bills programme at the minimum level in light of low liquidity needs and sufficient long-term funding.</w:t>
            </w:r>
            <w:r w:rsidR="00C6453D">
              <w:rPr>
                <w:bCs/>
                <w:noProof/>
              </w:rPr>
              <w:t xml:space="preserve"> T</w:t>
            </w:r>
            <w:r w:rsidRPr="000123E4">
              <w:rPr>
                <w:bCs/>
                <w:noProof/>
              </w:rPr>
              <w:t>wo auctions</w:t>
            </w:r>
            <w:r w:rsidR="00C6453D">
              <w:rPr>
                <w:bCs/>
                <w:noProof/>
              </w:rPr>
              <w:t xml:space="preserve"> a</w:t>
            </w:r>
            <w:r w:rsidRPr="000123E4">
              <w:rPr>
                <w:bCs/>
                <w:noProof/>
              </w:rPr>
              <w:t xml:space="preserve"> month</w:t>
            </w:r>
            <w:r w:rsidR="00C6453D">
              <w:rPr>
                <w:bCs/>
                <w:noProof/>
              </w:rPr>
              <w:t xml:space="preserve"> were held, just to </w:t>
            </w:r>
            <w:r w:rsidRPr="000123E4">
              <w:rPr>
                <w:bCs/>
                <w:noProof/>
              </w:rPr>
              <w:t>cover redemptions</w:t>
            </w:r>
            <w:r w:rsidR="00C6453D">
              <w:rPr>
                <w:bCs/>
                <w:noProof/>
              </w:rPr>
              <w:t>. O</w:t>
            </w:r>
            <w:r w:rsidRPr="000123E4">
              <w:rPr>
                <w:bCs/>
                <w:noProof/>
              </w:rPr>
              <w:t xml:space="preserve">utstanding debt under the EU-Bill programme </w:t>
            </w:r>
            <w:r w:rsidR="00C6453D">
              <w:rPr>
                <w:bCs/>
                <w:noProof/>
              </w:rPr>
              <w:t xml:space="preserve">thus remained </w:t>
            </w:r>
            <w:r w:rsidRPr="000123E4">
              <w:rPr>
                <w:bCs/>
                <w:noProof/>
              </w:rPr>
              <w:t>stable at around EUR 15-20 b</w:t>
            </w:r>
            <w:r w:rsidR="00C6453D">
              <w:rPr>
                <w:bCs/>
                <w:noProof/>
              </w:rPr>
              <w:t>illion</w:t>
            </w:r>
            <w:r w:rsidRPr="000123E4">
              <w:rPr>
                <w:bCs/>
                <w:noProof/>
              </w:rPr>
              <w:t xml:space="preserve"> over the period. </w:t>
            </w:r>
          </w:p>
          <w:p w14:paraId="0A054806" w14:textId="36D0EA83" w:rsidR="00931C51" w:rsidRPr="000123E4" w:rsidRDefault="00931C51" w:rsidP="00BE1D7D">
            <w:pPr>
              <w:spacing w:line="240" w:lineRule="auto"/>
              <w:rPr>
                <w:noProof/>
              </w:rPr>
            </w:pPr>
          </w:p>
        </w:tc>
      </w:tr>
      <w:tr w:rsidR="00931C51" w:rsidRPr="000123E4" w14:paraId="5725C77D" w14:textId="77777777" w:rsidTr="009944DB">
        <w:trPr>
          <w:trHeight w:val="601"/>
        </w:trPr>
        <w:tc>
          <w:tcPr>
            <w:tcW w:w="711" w:type="pct"/>
            <w:vMerge/>
          </w:tcPr>
          <w:p w14:paraId="7081970B" w14:textId="77777777" w:rsidR="00931C51" w:rsidRPr="000123E4" w:rsidRDefault="00931C51" w:rsidP="00BE1D7D">
            <w:pPr>
              <w:pStyle w:val="ListParagraph"/>
              <w:numPr>
                <w:ilvl w:val="0"/>
                <w:numId w:val="30"/>
              </w:numPr>
              <w:spacing w:after="0" w:line="240" w:lineRule="auto"/>
              <w:rPr>
                <w:rFonts w:ascii="Times New Roman" w:hAnsi="Times New Roman" w:cs="Times New Roman"/>
                <w:b/>
                <w:noProof/>
              </w:rPr>
            </w:pPr>
          </w:p>
        </w:tc>
        <w:tc>
          <w:tcPr>
            <w:tcW w:w="811" w:type="pct"/>
            <w:vMerge/>
          </w:tcPr>
          <w:p w14:paraId="368C85D8" w14:textId="77777777" w:rsidR="00931C51" w:rsidRPr="000123E4" w:rsidRDefault="00931C51" w:rsidP="00BE1D7D">
            <w:pPr>
              <w:spacing w:line="240" w:lineRule="auto"/>
              <w:rPr>
                <w:noProof/>
              </w:rPr>
            </w:pPr>
          </w:p>
        </w:tc>
        <w:tc>
          <w:tcPr>
            <w:tcW w:w="741" w:type="pct"/>
          </w:tcPr>
          <w:p w14:paraId="47F78B41" w14:textId="3AC8722D" w:rsidR="00931C51" w:rsidRPr="00F9742E" w:rsidRDefault="00931C51" w:rsidP="00BE1D7D">
            <w:pPr>
              <w:pStyle w:val="ListParagraph"/>
              <w:numPr>
                <w:ilvl w:val="0"/>
                <w:numId w:val="34"/>
              </w:numPr>
              <w:spacing w:after="0" w:line="240" w:lineRule="auto"/>
              <w:rPr>
                <w:rFonts w:ascii="Times New Roman" w:hAnsi="Times New Roman" w:cs="Times New Roman"/>
                <w:i/>
                <w:iCs/>
                <w:noProof/>
              </w:rPr>
            </w:pPr>
            <w:r w:rsidRPr="00F9742E">
              <w:rPr>
                <w:rFonts w:ascii="Times New Roman" w:hAnsi="Times New Roman" w:cs="Times New Roman"/>
                <w:i/>
                <w:iCs/>
                <w:noProof/>
              </w:rPr>
              <w:t>Number of EU-Bill auctions</w:t>
            </w:r>
          </w:p>
        </w:tc>
        <w:tc>
          <w:tcPr>
            <w:tcW w:w="696" w:type="pct"/>
          </w:tcPr>
          <w:p w14:paraId="7EA62A01" w14:textId="4849B8FC" w:rsidR="00931C51" w:rsidRPr="000123E4" w:rsidRDefault="00931C51" w:rsidP="00BE1D7D">
            <w:pPr>
              <w:spacing w:line="240" w:lineRule="auto"/>
              <w:rPr>
                <w:noProof/>
              </w:rPr>
            </w:pPr>
            <w:r w:rsidRPr="000123E4">
              <w:rPr>
                <w:noProof/>
              </w:rPr>
              <w:t>12</w:t>
            </w:r>
          </w:p>
        </w:tc>
        <w:tc>
          <w:tcPr>
            <w:tcW w:w="2041" w:type="pct"/>
            <w:vMerge/>
          </w:tcPr>
          <w:p w14:paraId="47A6700F" w14:textId="77777777" w:rsidR="00931C51" w:rsidRPr="000123E4" w:rsidRDefault="00931C51" w:rsidP="00BE1D7D">
            <w:pPr>
              <w:spacing w:line="240" w:lineRule="auto"/>
              <w:rPr>
                <w:noProof/>
              </w:rPr>
            </w:pPr>
          </w:p>
        </w:tc>
      </w:tr>
      <w:tr w:rsidR="00931C51" w:rsidRPr="000123E4" w14:paraId="3653C00B" w14:textId="77777777" w:rsidTr="00F9742E">
        <w:trPr>
          <w:trHeight w:val="2014"/>
        </w:trPr>
        <w:tc>
          <w:tcPr>
            <w:tcW w:w="711" w:type="pct"/>
          </w:tcPr>
          <w:p w14:paraId="5F62F0A8" w14:textId="5CE06608" w:rsidR="00931C51" w:rsidRPr="000123E4" w:rsidRDefault="00931C51" w:rsidP="00BE1D7D">
            <w:pPr>
              <w:pStyle w:val="ListParagraph"/>
              <w:numPr>
                <w:ilvl w:val="0"/>
                <w:numId w:val="30"/>
              </w:numPr>
              <w:spacing w:after="0" w:line="240" w:lineRule="auto"/>
              <w:rPr>
                <w:rFonts w:ascii="Times New Roman" w:hAnsi="Times New Roman" w:cs="Times New Roman"/>
                <w:b/>
                <w:bCs/>
                <w:noProof/>
              </w:rPr>
            </w:pPr>
            <w:r w:rsidRPr="000123E4">
              <w:rPr>
                <w:rFonts w:ascii="Times New Roman" w:hAnsi="Times New Roman" w:cs="Times New Roman"/>
                <w:b/>
                <w:bCs/>
                <w:noProof/>
              </w:rPr>
              <w:t>Liquidity Management</w:t>
            </w:r>
          </w:p>
          <w:p w14:paraId="71B74C99" w14:textId="77777777" w:rsidR="00931C51" w:rsidRPr="000123E4" w:rsidRDefault="00931C51" w:rsidP="00BE1D7D">
            <w:pPr>
              <w:spacing w:line="240" w:lineRule="auto"/>
              <w:rPr>
                <w:noProof/>
              </w:rPr>
            </w:pPr>
          </w:p>
        </w:tc>
        <w:tc>
          <w:tcPr>
            <w:tcW w:w="811" w:type="pct"/>
          </w:tcPr>
          <w:p w14:paraId="5206EED0" w14:textId="77777777" w:rsidR="00931C51" w:rsidRDefault="00931C51" w:rsidP="00BE1D7D">
            <w:pPr>
              <w:spacing w:line="240" w:lineRule="auto"/>
              <w:rPr>
                <w:noProof/>
              </w:rPr>
            </w:pPr>
            <w:r w:rsidRPr="000123E4">
              <w:rPr>
                <w:noProof/>
              </w:rPr>
              <w:t>Management of a liquidity pool in view of payment obligations, disbursement needs and costs of cash holding, with due regard to prevailing account market conditions.</w:t>
            </w:r>
          </w:p>
          <w:p w14:paraId="2002752E" w14:textId="6A797EEB" w:rsidR="00F9742E" w:rsidRPr="000123E4" w:rsidRDefault="00F9742E" w:rsidP="00BE1D7D">
            <w:pPr>
              <w:spacing w:line="240" w:lineRule="auto"/>
              <w:rPr>
                <w:noProof/>
              </w:rPr>
            </w:pPr>
          </w:p>
        </w:tc>
        <w:tc>
          <w:tcPr>
            <w:tcW w:w="741" w:type="pct"/>
          </w:tcPr>
          <w:p w14:paraId="1BDF60C3" w14:textId="186B858E" w:rsidR="00931C51" w:rsidRPr="00F9742E" w:rsidRDefault="00931C51" w:rsidP="00BE1D7D">
            <w:pPr>
              <w:pStyle w:val="ListParagraph"/>
              <w:numPr>
                <w:ilvl w:val="0"/>
                <w:numId w:val="36"/>
              </w:numPr>
              <w:spacing w:after="0" w:line="240" w:lineRule="auto"/>
              <w:rPr>
                <w:rFonts w:ascii="Times New Roman" w:hAnsi="Times New Roman" w:cs="Times New Roman"/>
                <w:i/>
                <w:iCs/>
                <w:noProof/>
              </w:rPr>
            </w:pPr>
            <w:r w:rsidRPr="00F9742E">
              <w:rPr>
                <w:rFonts w:ascii="Times New Roman" w:hAnsi="Times New Roman" w:cs="Times New Roman"/>
                <w:i/>
                <w:iCs/>
                <w:noProof/>
              </w:rPr>
              <w:t>Number of payment failures due to lack of liquidity</w:t>
            </w:r>
          </w:p>
        </w:tc>
        <w:tc>
          <w:tcPr>
            <w:tcW w:w="696" w:type="pct"/>
          </w:tcPr>
          <w:p w14:paraId="638FCCC3" w14:textId="1E53D5E8" w:rsidR="00931C51" w:rsidRPr="000123E4" w:rsidRDefault="00DF5FAE" w:rsidP="00BE1D7D">
            <w:pPr>
              <w:spacing w:line="240" w:lineRule="auto"/>
              <w:rPr>
                <w:noProof/>
              </w:rPr>
            </w:pPr>
            <w:r w:rsidRPr="000123E4">
              <w:rPr>
                <w:noProof/>
              </w:rPr>
              <w:t>No</w:t>
            </w:r>
            <w:r w:rsidR="00931C51" w:rsidRPr="000123E4">
              <w:rPr>
                <w:noProof/>
              </w:rPr>
              <w:t>ne</w:t>
            </w:r>
          </w:p>
          <w:p w14:paraId="1EAF5053" w14:textId="77777777" w:rsidR="00931C51" w:rsidRPr="000123E4" w:rsidRDefault="00931C51" w:rsidP="00BE1D7D">
            <w:pPr>
              <w:spacing w:line="240" w:lineRule="auto"/>
              <w:rPr>
                <w:noProof/>
              </w:rPr>
            </w:pPr>
          </w:p>
        </w:tc>
        <w:tc>
          <w:tcPr>
            <w:tcW w:w="2041" w:type="pct"/>
          </w:tcPr>
          <w:p w14:paraId="66286266" w14:textId="6FEF45C4" w:rsidR="00931C51" w:rsidRPr="00F9742E" w:rsidRDefault="00931C51" w:rsidP="00BE1D7D">
            <w:pPr>
              <w:spacing w:line="240" w:lineRule="auto"/>
              <w:rPr>
                <w:bCs/>
                <w:noProof/>
              </w:rPr>
            </w:pPr>
            <w:r w:rsidRPr="000123E4">
              <w:rPr>
                <w:bCs/>
                <w:noProof/>
              </w:rPr>
              <w:t>The Commission successfully met disbursement needs and</w:t>
            </w:r>
            <w:r w:rsidR="00C6453D">
              <w:rPr>
                <w:bCs/>
                <w:noProof/>
              </w:rPr>
              <w:t xml:space="preserve"> there were</w:t>
            </w:r>
            <w:r w:rsidRPr="000123E4">
              <w:rPr>
                <w:bCs/>
                <w:noProof/>
              </w:rPr>
              <w:t xml:space="preserve"> no </w:t>
            </w:r>
            <w:r w:rsidR="00C6453D">
              <w:rPr>
                <w:bCs/>
                <w:noProof/>
              </w:rPr>
              <w:t xml:space="preserve">settlement </w:t>
            </w:r>
            <w:r w:rsidRPr="000123E4">
              <w:rPr>
                <w:bCs/>
                <w:noProof/>
              </w:rPr>
              <w:t>failure</w:t>
            </w:r>
            <w:r w:rsidR="00C6453D">
              <w:rPr>
                <w:bCs/>
                <w:noProof/>
              </w:rPr>
              <w:t>s during</w:t>
            </w:r>
            <w:r w:rsidRPr="000123E4">
              <w:rPr>
                <w:bCs/>
                <w:noProof/>
              </w:rPr>
              <w:t xml:space="preserve"> the semester.</w:t>
            </w:r>
          </w:p>
        </w:tc>
      </w:tr>
      <w:tr w:rsidR="00931C51" w:rsidRPr="000123E4" w14:paraId="162BB5F7" w14:textId="77777777" w:rsidTr="00F9742E">
        <w:trPr>
          <w:trHeight w:val="2315"/>
        </w:trPr>
        <w:tc>
          <w:tcPr>
            <w:tcW w:w="711" w:type="pct"/>
          </w:tcPr>
          <w:p w14:paraId="45FB296E" w14:textId="15BC7D9E" w:rsidR="00931C51" w:rsidRPr="000123E4" w:rsidRDefault="00931C51" w:rsidP="00BE1D7D">
            <w:pPr>
              <w:pStyle w:val="ListParagraph"/>
              <w:numPr>
                <w:ilvl w:val="0"/>
                <w:numId w:val="30"/>
              </w:numPr>
              <w:spacing w:after="0" w:line="240" w:lineRule="auto"/>
              <w:rPr>
                <w:rFonts w:ascii="Times New Roman" w:hAnsi="Times New Roman" w:cs="Times New Roman"/>
                <w:b/>
                <w:bCs/>
                <w:noProof/>
              </w:rPr>
            </w:pPr>
            <w:r w:rsidRPr="000123E4">
              <w:rPr>
                <w:rFonts w:ascii="Times New Roman" w:hAnsi="Times New Roman" w:cs="Times New Roman"/>
                <w:b/>
                <w:bCs/>
                <w:noProof/>
              </w:rPr>
              <w:t>Primary Dealer Network</w:t>
            </w:r>
          </w:p>
        </w:tc>
        <w:tc>
          <w:tcPr>
            <w:tcW w:w="811" w:type="pct"/>
          </w:tcPr>
          <w:p w14:paraId="4F714D15" w14:textId="77777777" w:rsidR="00931C51" w:rsidRPr="000123E4" w:rsidRDefault="00931C51" w:rsidP="00BE1D7D">
            <w:pPr>
              <w:spacing w:line="240" w:lineRule="auto"/>
              <w:rPr>
                <w:noProof/>
              </w:rPr>
            </w:pPr>
            <w:r w:rsidRPr="000123E4">
              <w:rPr>
                <w:noProof/>
              </w:rPr>
              <w:t xml:space="preserve">Attracting a wide range of financial institutions showing strong commitment to support the EU issuances </w:t>
            </w:r>
          </w:p>
        </w:tc>
        <w:tc>
          <w:tcPr>
            <w:tcW w:w="741" w:type="pct"/>
          </w:tcPr>
          <w:p w14:paraId="29DC9652" w14:textId="77777777" w:rsidR="00F9742E" w:rsidRPr="00F9742E" w:rsidRDefault="00931C51" w:rsidP="00F9742E">
            <w:pPr>
              <w:pStyle w:val="ListParagraph"/>
              <w:numPr>
                <w:ilvl w:val="0"/>
                <w:numId w:val="38"/>
              </w:numPr>
              <w:spacing w:after="0" w:line="240" w:lineRule="auto"/>
              <w:rPr>
                <w:rFonts w:ascii="Times New Roman" w:hAnsi="Times New Roman" w:cs="Times New Roman"/>
                <w:i/>
                <w:iCs/>
                <w:noProof/>
              </w:rPr>
            </w:pPr>
            <w:r w:rsidRPr="00F9742E">
              <w:rPr>
                <w:rFonts w:ascii="Times New Roman" w:hAnsi="Times New Roman" w:cs="Times New Roman"/>
                <w:i/>
                <w:iCs/>
                <w:noProof/>
              </w:rPr>
              <w:t>Number of institutions which signed underwriting commitments for transactions over the past 6 month</w:t>
            </w:r>
            <w:r w:rsidR="00F9742E" w:rsidRPr="00F9742E">
              <w:rPr>
                <w:rFonts w:ascii="Times New Roman" w:hAnsi="Times New Roman" w:cs="Times New Roman"/>
                <w:i/>
                <w:iCs/>
                <w:noProof/>
              </w:rPr>
              <w:t>s</w:t>
            </w:r>
          </w:p>
          <w:p w14:paraId="59FDC7EC" w14:textId="77777777" w:rsidR="00F9742E" w:rsidRPr="00F9742E" w:rsidRDefault="00F9742E" w:rsidP="00F9742E">
            <w:pPr>
              <w:spacing w:after="0" w:line="240" w:lineRule="auto"/>
              <w:rPr>
                <w:i/>
                <w:iCs/>
                <w:noProof/>
              </w:rPr>
            </w:pPr>
          </w:p>
          <w:p w14:paraId="24640BE4" w14:textId="77777777" w:rsidR="00F9742E" w:rsidRPr="00F9742E" w:rsidRDefault="00F9742E" w:rsidP="00F9742E">
            <w:pPr>
              <w:spacing w:after="0" w:line="240" w:lineRule="auto"/>
              <w:rPr>
                <w:i/>
                <w:iCs/>
                <w:noProof/>
              </w:rPr>
            </w:pPr>
          </w:p>
          <w:p w14:paraId="16486DC8" w14:textId="77777777" w:rsidR="00F9742E" w:rsidRPr="00F9742E" w:rsidRDefault="00F9742E" w:rsidP="00F9742E">
            <w:pPr>
              <w:spacing w:after="0" w:line="240" w:lineRule="auto"/>
              <w:rPr>
                <w:i/>
                <w:iCs/>
                <w:noProof/>
              </w:rPr>
            </w:pPr>
          </w:p>
          <w:p w14:paraId="1D874BF4" w14:textId="77777777" w:rsidR="00F9742E" w:rsidRPr="00F9742E" w:rsidRDefault="00F9742E" w:rsidP="00F9742E">
            <w:pPr>
              <w:spacing w:after="0" w:line="240" w:lineRule="auto"/>
              <w:rPr>
                <w:i/>
                <w:iCs/>
                <w:noProof/>
              </w:rPr>
            </w:pPr>
          </w:p>
          <w:p w14:paraId="48A6FC97" w14:textId="73A86067" w:rsidR="00F9742E" w:rsidRPr="00F9742E" w:rsidRDefault="00F9742E" w:rsidP="00F9742E">
            <w:pPr>
              <w:spacing w:after="0" w:line="240" w:lineRule="auto"/>
              <w:rPr>
                <w:i/>
                <w:iCs/>
                <w:noProof/>
              </w:rPr>
            </w:pPr>
          </w:p>
        </w:tc>
        <w:tc>
          <w:tcPr>
            <w:tcW w:w="696" w:type="pct"/>
          </w:tcPr>
          <w:p w14:paraId="4934FE27" w14:textId="3628928F" w:rsidR="00931C51" w:rsidRPr="000123E4" w:rsidRDefault="002835C6" w:rsidP="00BE1D7D">
            <w:pPr>
              <w:spacing w:line="240" w:lineRule="auto"/>
              <w:rPr>
                <w:noProof/>
              </w:rPr>
            </w:pPr>
            <w:r w:rsidRPr="000123E4">
              <w:rPr>
                <w:noProof/>
              </w:rPr>
              <w:t>19</w:t>
            </w:r>
          </w:p>
        </w:tc>
        <w:tc>
          <w:tcPr>
            <w:tcW w:w="2041" w:type="pct"/>
          </w:tcPr>
          <w:p w14:paraId="1106FB15" w14:textId="349041B3" w:rsidR="00931C51" w:rsidRPr="000123E4" w:rsidRDefault="00931C51" w:rsidP="00BE1D7D">
            <w:pPr>
              <w:spacing w:line="240" w:lineRule="auto"/>
              <w:rPr>
                <w:bCs/>
                <w:noProof/>
              </w:rPr>
            </w:pPr>
            <w:r w:rsidRPr="000123E4">
              <w:rPr>
                <w:bCs/>
                <w:noProof/>
              </w:rPr>
              <w:t xml:space="preserve">The Commission continued to be supported by EU primary dealers and rotation was at the syndications </w:t>
            </w:r>
            <w:r w:rsidR="00723236">
              <w:rPr>
                <w:bCs/>
                <w:noProof/>
              </w:rPr>
              <w:t xml:space="preserve">helped the Commission </w:t>
            </w:r>
            <w:r w:rsidRPr="000123E4">
              <w:rPr>
                <w:bCs/>
                <w:noProof/>
              </w:rPr>
              <w:t>to make best use of all banks eligible to be part of a syndicate.</w:t>
            </w:r>
          </w:p>
          <w:p w14:paraId="53DB1118" w14:textId="4671C5C2" w:rsidR="00931C51" w:rsidRPr="000123E4" w:rsidRDefault="00931C51" w:rsidP="00BE1D7D">
            <w:pPr>
              <w:spacing w:line="240" w:lineRule="auto"/>
              <w:rPr>
                <w:noProof/>
              </w:rPr>
            </w:pPr>
          </w:p>
        </w:tc>
      </w:tr>
      <w:tr w:rsidR="00931C51" w:rsidRPr="000123E4" w14:paraId="756DFD88" w14:textId="77777777" w:rsidTr="009944DB">
        <w:trPr>
          <w:trHeight w:val="336"/>
        </w:trPr>
        <w:tc>
          <w:tcPr>
            <w:tcW w:w="711" w:type="pct"/>
            <w:vMerge w:val="restart"/>
          </w:tcPr>
          <w:p w14:paraId="25F07BF4" w14:textId="70FA1E85" w:rsidR="00931C51" w:rsidRPr="000123E4" w:rsidRDefault="00931C51" w:rsidP="00BE1D7D">
            <w:pPr>
              <w:pStyle w:val="ListParagraph"/>
              <w:numPr>
                <w:ilvl w:val="0"/>
                <w:numId w:val="30"/>
              </w:numPr>
              <w:spacing w:after="0" w:line="240" w:lineRule="auto"/>
              <w:rPr>
                <w:rFonts w:ascii="Times New Roman" w:hAnsi="Times New Roman" w:cs="Times New Roman"/>
                <w:noProof/>
              </w:rPr>
            </w:pPr>
            <w:r w:rsidRPr="000123E4">
              <w:rPr>
                <w:rFonts w:ascii="Times New Roman" w:hAnsi="Times New Roman" w:cs="Times New Roman"/>
                <w:b/>
                <w:bCs/>
                <w:noProof/>
              </w:rPr>
              <w:t xml:space="preserve">Communication with diverse market stakeholders and peer issuers </w:t>
            </w:r>
          </w:p>
        </w:tc>
        <w:tc>
          <w:tcPr>
            <w:tcW w:w="811" w:type="pct"/>
            <w:vMerge w:val="restart"/>
          </w:tcPr>
          <w:p w14:paraId="15D01476" w14:textId="77777777" w:rsidR="00931C51" w:rsidRPr="000123E4" w:rsidRDefault="00931C51" w:rsidP="00BE1D7D">
            <w:pPr>
              <w:spacing w:line="240" w:lineRule="auto"/>
              <w:rPr>
                <w:noProof/>
              </w:rPr>
            </w:pPr>
            <w:r w:rsidRPr="000123E4">
              <w:rPr>
                <w:noProof/>
              </w:rPr>
              <w:t>Maintaining and building trust with investor base, market participants and peer issuers to support demand for EU debt and improve the EU’s understanding of market dynamics and investor needs</w:t>
            </w:r>
          </w:p>
          <w:p w14:paraId="6AADBE05" w14:textId="77777777" w:rsidR="00931C51" w:rsidRPr="000123E4" w:rsidRDefault="00931C51" w:rsidP="00BE1D7D">
            <w:pPr>
              <w:spacing w:line="240" w:lineRule="auto"/>
              <w:rPr>
                <w:noProof/>
              </w:rPr>
            </w:pPr>
          </w:p>
          <w:p w14:paraId="265FA6C7" w14:textId="77777777" w:rsidR="00931C51" w:rsidRPr="000123E4" w:rsidRDefault="00931C51" w:rsidP="00BE1D7D">
            <w:pPr>
              <w:spacing w:line="240" w:lineRule="auto"/>
              <w:rPr>
                <w:noProof/>
              </w:rPr>
            </w:pPr>
          </w:p>
        </w:tc>
        <w:tc>
          <w:tcPr>
            <w:tcW w:w="741" w:type="pct"/>
          </w:tcPr>
          <w:p w14:paraId="3E8DD56B" w14:textId="5DEA4D17" w:rsidR="00F9742E" w:rsidRPr="00F9742E" w:rsidRDefault="00931C51" w:rsidP="00F9742E">
            <w:pPr>
              <w:pStyle w:val="ListParagraph"/>
              <w:numPr>
                <w:ilvl w:val="0"/>
                <w:numId w:val="46"/>
              </w:numPr>
              <w:spacing w:after="0" w:line="240" w:lineRule="auto"/>
              <w:rPr>
                <w:rFonts w:ascii="Times New Roman" w:hAnsi="Times New Roman" w:cs="Times New Roman"/>
                <w:i/>
                <w:iCs/>
                <w:noProof/>
              </w:rPr>
            </w:pPr>
            <w:r w:rsidRPr="00F9742E">
              <w:rPr>
                <w:rFonts w:ascii="Times New Roman" w:hAnsi="Times New Roman" w:cs="Times New Roman"/>
                <w:i/>
                <w:iCs/>
                <w:noProof/>
              </w:rPr>
              <w:t xml:space="preserve">Deviations from the pre-announced timings for the publication of funding plans </w:t>
            </w:r>
          </w:p>
        </w:tc>
        <w:tc>
          <w:tcPr>
            <w:tcW w:w="696" w:type="pct"/>
          </w:tcPr>
          <w:p w14:paraId="62413B64" w14:textId="1D7FF8B3" w:rsidR="00931C51" w:rsidRPr="001D30CA" w:rsidRDefault="00DF5FAE" w:rsidP="00BE1D7D">
            <w:pPr>
              <w:spacing w:line="240" w:lineRule="auto"/>
              <w:rPr>
                <w:noProof/>
              </w:rPr>
            </w:pPr>
            <w:r w:rsidRPr="001D30CA">
              <w:rPr>
                <w:noProof/>
              </w:rPr>
              <w:t>None</w:t>
            </w:r>
          </w:p>
        </w:tc>
        <w:tc>
          <w:tcPr>
            <w:tcW w:w="2041" w:type="pct"/>
            <w:vMerge w:val="restart"/>
          </w:tcPr>
          <w:p w14:paraId="59B39E04" w14:textId="0DC7696F" w:rsidR="00F9742E" w:rsidRDefault="00931C51" w:rsidP="00BE1D7D">
            <w:pPr>
              <w:spacing w:line="240" w:lineRule="auto"/>
              <w:rPr>
                <w:noProof/>
              </w:rPr>
            </w:pPr>
            <w:r w:rsidRPr="000123E4">
              <w:rPr>
                <w:noProof/>
              </w:rPr>
              <w:t>The Commission maintained regular and predictable communication with the markets, in line with previous announcements. There was no deviation from the initial funding target announced during the semester.</w:t>
            </w:r>
            <w:r w:rsidR="00F9742E">
              <w:rPr>
                <w:noProof/>
              </w:rPr>
              <w:t xml:space="preserve"> </w:t>
            </w:r>
          </w:p>
          <w:p w14:paraId="2744F7CD" w14:textId="5AC1F0D1" w:rsidR="00931C51" w:rsidRPr="000123E4" w:rsidRDefault="00931C51" w:rsidP="00BE1D7D">
            <w:pPr>
              <w:spacing w:line="240" w:lineRule="auto"/>
              <w:rPr>
                <w:noProof/>
              </w:rPr>
            </w:pPr>
            <w:r w:rsidRPr="000123E4">
              <w:rPr>
                <w:noProof/>
              </w:rPr>
              <w:t xml:space="preserve">The Commission </w:t>
            </w:r>
            <w:r w:rsidR="00723236" w:rsidRPr="000123E4">
              <w:rPr>
                <w:noProof/>
              </w:rPr>
              <w:t xml:space="preserve">regularly </w:t>
            </w:r>
            <w:r w:rsidRPr="000123E4">
              <w:rPr>
                <w:noProof/>
              </w:rPr>
              <w:t>published investor statistics which remained stable and continued to see an increase in its diversified investor base.</w:t>
            </w:r>
          </w:p>
          <w:p w14:paraId="1BE32E25" w14:textId="14C1FC56" w:rsidR="00931C51" w:rsidRPr="000123E4" w:rsidRDefault="00931C51" w:rsidP="00BE1D7D">
            <w:pPr>
              <w:spacing w:line="240" w:lineRule="auto"/>
              <w:rPr>
                <w:noProof/>
              </w:rPr>
            </w:pPr>
          </w:p>
        </w:tc>
      </w:tr>
      <w:tr w:rsidR="00931C51" w:rsidRPr="000123E4" w14:paraId="4D990C53" w14:textId="77777777" w:rsidTr="009944DB">
        <w:trPr>
          <w:trHeight w:val="336"/>
        </w:trPr>
        <w:tc>
          <w:tcPr>
            <w:tcW w:w="711" w:type="pct"/>
            <w:vMerge/>
          </w:tcPr>
          <w:p w14:paraId="17A43E2C" w14:textId="77777777" w:rsidR="00931C51" w:rsidRPr="000123E4" w:rsidRDefault="00931C51" w:rsidP="00BE1D7D">
            <w:pPr>
              <w:spacing w:line="240" w:lineRule="auto"/>
              <w:rPr>
                <w:b/>
                <w:noProof/>
              </w:rPr>
            </w:pPr>
          </w:p>
        </w:tc>
        <w:tc>
          <w:tcPr>
            <w:tcW w:w="811" w:type="pct"/>
            <w:vMerge/>
          </w:tcPr>
          <w:p w14:paraId="12F1E9E4" w14:textId="77777777" w:rsidR="00931C51" w:rsidRPr="000123E4" w:rsidRDefault="00931C51" w:rsidP="00BE1D7D">
            <w:pPr>
              <w:spacing w:line="240" w:lineRule="auto"/>
              <w:rPr>
                <w:noProof/>
              </w:rPr>
            </w:pPr>
          </w:p>
        </w:tc>
        <w:tc>
          <w:tcPr>
            <w:tcW w:w="741" w:type="pct"/>
          </w:tcPr>
          <w:p w14:paraId="65A68360" w14:textId="3934B4D8" w:rsidR="00931C51" w:rsidRPr="00F9742E" w:rsidRDefault="00931C51" w:rsidP="00F9742E">
            <w:pPr>
              <w:pStyle w:val="ListParagraph"/>
              <w:numPr>
                <w:ilvl w:val="0"/>
                <w:numId w:val="46"/>
              </w:numPr>
              <w:spacing w:after="0" w:line="240" w:lineRule="auto"/>
              <w:rPr>
                <w:rFonts w:ascii="Times New Roman" w:hAnsi="Times New Roman" w:cs="Times New Roman"/>
                <w:i/>
                <w:iCs/>
                <w:noProof/>
              </w:rPr>
            </w:pPr>
            <w:r w:rsidRPr="00F9742E">
              <w:rPr>
                <w:rFonts w:ascii="Times New Roman" w:hAnsi="Times New Roman" w:cs="Times New Roman"/>
                <w:i/>
                <w:iCs/>
                <w:noProof/>
              </w:rPr>
              <w:t>Deviation from the volumes announced</w:t>
            </w:r>
            <w:r w:rsidR="00723236" w:rsidRPr="00F9742E">
              <w:rPr>
                <w:rFonts w:ascii="Times New Roman" w:hAnsi="Times New Roman" w:cs="Times New Roman"/>
                <w:i/>
                <w:iCs/>
                <w:noProof/>
              </w:rPr>
              <w:t xml:space="preserve"> in the</w:t>
            </w:r>
            <w:r w:rsidRPr="00F9742E">
              <w:rPr>
                <w:rFonts w:ascii="Times New Roman" w:hAnsi="Times New Roman" w:cs="Times New Roman"/>
                <w:i/>
                <w:iCs/>
                <w:noProof/>
              </w:rPr>
              <w:t xml:space="preserve"> funding plan </w:t>
            </w:r>
          </w:p>
        </w:tc>
        <w:tc>
          <w:tcPr>
            <w:tcW w:w="696" w:type="pct"/>
          </w:tcPr>
          <w:p w14:paraId="400AF8E1" w14:textId="73505198" w:rsidR="00931C51" w:rsidRPr="001D30CA" w:rsidRDefault="00DF5FAE" w:rsidP="00BE1D7D">
            <w:pPr>
              <w:spacing w:line="240" w:lineRule="auto"/>
              <w:rPr>
                <w:noProof/>
              </w:rPr>
            </w:pPr>
            <w:r w:rsidRPr="001D30CA">
              <w:rPr>
                <w:noProof/>
              </w:rPr>
              <w:t>L</w:t>
            </w:r>
            <w:r w:rsidR="00931C51" w:rsidRPr="001D30CA">
              <w:rPr>
                <w:noProof/>
              </w:rPr>
              <w:t>ess than</w:t>
            </w:r>
            <w:r w:rsidR="00723236" w:rsidRPr="001D30CA">
              <w:rPr>
                <w:noProof/>
              </w:rPr>
              <w:t xml:space="preserve"> EUR</w:t>
            </w:r>
            <w:r w:rsidR="00931C51" w:rsidRPr="001D30CA">
              <w:rPr>
                <w:noProof/>
              </w:rPr>
              <w:t xml:space="preserve"> 2 </w:t>
            </w:r>
            <w:r w:rsidR="00723236" w:rsidRPr="001D30CA">
              <w:rPr>
                <w:noProof/>
              </w:rPr>
              <w:t>billion</w:t>
            </w:r>
            <w:r w:rsidR="00931C51" w:rsidRPr="001D30CA">
              <w:rPr>
                <w:noProof/>
              </w:rPr>
              <w:t xml:space="preserve"> or less than 2%.</w:t>
            </w:r>
          </w:p>
        </w:tc>
        <w:tc>
          <w:tcPr>
            <w:tcW w:w="2041" w:type="pct"/>
            <w:vMerge/>
          </w:tcPr>
          <w:p w14:paraId="7FFAA501" w14:textId="77777777" w:rsidR="00931C51" w:rsidRPr="000123E4" w:rsidRDefault="00931C51" w:rsidP="00BE1D7D">
            <w:pPr>
              <w:spacing w:line="240" w:lineRule="auto"/>
              <w:rPr>
                <w:noProof/>
              </w:rPr>
            </w:pPr>
          </w:p>
        </w:tc>
      </w:tr>
      <w:tr w:rsidR="00931C51" w:rsidRPr="00BE1D7D" w14:paraId="177ED125" w14:textId="77777777" w:rsidTr="00F9742E">
        <w:trPr>
          <w:trHeight w:val="5711"/>
        </w:trPr>
        <w:tc>
          <w:tcPr>
            <w:tcW w:w="711" w:type="pct"/>
            <w:vMerge/>
          </w:tcPr>
          <w:p w14:paraId="037ABAD3" w14:textId="77777777" w:rsidR="00931C51" w:rsidRPr="000123E4" w:rsidRDefault="00931C51" w:rsidP="00BE1D7D">
            <w:pPr>
              <w:spacing w:line="240" w:lineRule="auto"/>
              <w:rPr>
                <w:b/>
                <w:noProof/>
              </w:rPr>
            </w:pPr>
          </w:p>
        </w:tc>
        <w:tc>
          <w:tcPr>
            <w:tcW w:w="811" w:type="pct"/>
            <w:vMerge/>
          </w:tcPr>
          <w:p w14:paraId="165DEEFF" w14:textId="77777777" w:rsidR="00931C51" w:rsidRPr="000123E4" w:rsidRDefault="00931C51" w:rsidP="00BE1D7D">
            <w:pPr>
              <w:spacing w:line="240" w:lineRule="auto"/>
              <w:rPr>
                <w:noProof/>
              </w:rPr>
            </w:pPr>
          </w:p>
        </w:tc>
        <w:tc>
          <w:tcPr>
            <w:tcW w:w="741" w:type="pct"/>
          </w:tcPr>
          <w:p w14:paraId="2CA664E9" w14:textId="6FC7858C" w:rsidR="00931C51" w:rsidRPr="00F9742E" w:rsidRDefault="00931C51" w:rsidP="00F9742E">
            <w:pPr>
              <w:pStyle w:val="ListParagraph"/>
              <w:numPr>
                <w:ilvl w:val="0"/>
                <w:numId w:val="46"/>
              </w:numPr>
              <w:spacing w:after="0" w:line="240" w:lineRule="auto"/>
              <w:rPr>
                <w:rFonts w:ascii="Times New Roman" w:hAnsi="Times New Roman" w:cs="Times New Roman"/>
                <w:i/>
                <w:iCs/>
                <w:noProof/>
              </w:rPr>
            </w:pPr>
            <w:r w:rsidRPr="00F9742E">
              <w:rPr>
                <w:rFonts w:ascii="Times New Roman" w:hAnsi="Times New Roman" w:cs="Times New Roman"/>
                <w:i/>
                <w:iCs/>
                <w:noProof/>
              </w:rPr>
              <w:t>Investor distribution statistics</w:t>
            </w:r>
          </w:p>
        </w:tc>
        <w:tc>
          <w:tcPr>
            <w:tcW w:w="696" w:type="pct"/>
          </w:tcPr>
          <w:p w14:paraId="7A9B9D74" w14:textId="77777777" w:rsidR="00931C51" w:rsidRPr="001D30CA" w:rsidRDefault="003F775B" w:rsidP="00BE1D7D">
            <w:pPr>
              <w:spacing w:line="240" w:lineRule="auto"/>
              <w:rPr>
                <w:noProof/>
              </w:rPr>
            </w:pPr>
            <w:r w:rsidRPr="001D30CA">
              <w:rPr>
                <w:noProof/>
              </w:rPr>
              <w:t>Per type: fund managers 31.4%, bank treasuries 30.3%, central banks/official institutions 16.4%, insurance and pension funds 14.7%, banks 5.2%, hedge funds 2.0%</w:t>
            </w:r>
            <w:r w:rsidR="00931C51" w:rsidRPr="001D30CA">
              <w:rPr>
                <w:noProof/>
              </w:rPr>
              <w:t xml:space="preserve"> </w:t>
            </w:r>
          </w:p>
          <w:p w14:paraId="067A01EF" w14:textId="0A3DC70A" w:rsidR="003F775B" w:rsidRPr="001D30CA" w:rsidRDefault="003F775B" w:rsidP="00BE1D7D">
            <w:pPr>
              <w:spacing w:line="240" w:lineRule="auto"/>
              <w:rPr>
                <w:noProof/>
              </w:rPr>
            </w:pPr>
            <w:r w:rsidRPr="001D30CA">
              <w:rPr>
                <w:noProof/>
              </w:rPr>
              <w:t>Per country/region: UK 21.0%, Germany 12.9%, France 12.9%, Benelux 9.7%, Nordics 8.7%, Italy 8.4%, A</w:t>
            </w:r>
            <w:r w:rsidR="00723236" w:rsidRPr="001D30CA">
              <w:rPr>
                <w:noProof/>
              </w:rPr>
              <w:t>sia-</w:t>
            </w:r>
            <w:r w:rsidRPr="001D30CA">
              <w:rPr>
                <w:noProof/>
              </w:rPr>
              <w:t>P</w:t>
            </w:r>
            <w:r w:rsidR="00723236" w:rsidRPr="001D30CA">
              <w:rPr>
                <w:noProof/>
              </w:rPr>
              <w:t>acific</w:t>
            </w:r>
            <w:r w:rsidRPr="001D30CA">
              <w:rPr>
                <w:noProof/>
              </w:rPr>
              <w:t xml:space="preserve"> 5.5%, </w:t>
            </w:r>
            <w:r w:rsidR="005C41D9" w:rsidRPr="001D30CA">
              <w:rPr>
                <w:noProof/>
              </w:rPr>
              <w:t>Iberia</w:t>
            </w:r>
            <w:r w:rsidRPr="001D30CA">
              <w:rPr>
                <w:noProof/>
              </w:rPr>
              <w:t xml:space="preserve"> 9.6%, other EU 7.0%, other Europe 2.2, Americas 0.4%, Middle-East and Africa 1.5% </w:t>
            </w:r>
          </w:p>
        </w:tc>
        <w:tc>
          <w:tcPr>
            <w:tcW w:w="2041" w:type="pct"/>
            <w:vMerge/>
          </w:tcPr>
          <w:p w14:paraId="11A8E5A6" w14:textId="77777777" w:rsidR="00931C51" w:rsidRPr="00BE1D7D" w:rsidRDefault="00931C51" w:rsidP="00BE1D7D">
            <w:pPr>
              <w:spacing w:line="240" w:lineRule="auto"/>
              <w:rPr>
                <w:noProof/>
              </w:rPr>
            </w:pPr>
          </w:p>
        </w:tc>
      </w:tr>
    </w:tbl>
    <w:p w14:paraId="67AEA0B4" w14:textId="77777777" w:rsidR="000C63D4" w:rsidRPr="001401DA" w:rsidRDefault="000C63D4" w:rsidP="000C63D4">
      <w:pPr>
        <w:rPr>
          <w:b/>
          <w:bCs/>
          <w:noProof/>
        </w:rPr>
      </w:pPr>
    </w:p>
    <w:sectPr w:rsidR="000C63D4" w:rsidRPr="001401DA" w:rsidSect="000C63D4">
      <w:headerReference w:type="even" r:id="rId31"/>
      <w:headerReference w:type="default" r:id="rId32"/>
      <w:footerReference w:type="even" r:id="rId33"/>
      <w:footerReference w:type="default" r:id="rId34"/>
      <w:headerReference w:type="first" r:id="rId35"/>
      <w:footerReference w:type="first" r:id="rId36"/>
      <w:pgSz w:w="16839" w:h="11907" w:orient="landscape"/>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7CFD" w14:textId="77777777" w:rsidR="00733174" w:rsidRDefault="00733174" w:rsidP="008B6253">
      <w:pPr>
        <w:spacing w:after="0" w:line="240" w:lineRule="auto"/>
      </w:pPr>
      <w:r>
        <w:separator/>
      </w:r>
    </w:p>
  </w:endnote>
  <w:endnote w:type="continuationSeparator" w:id="0">
    <w:p w14:paraId="072B99BE" w14:textId="77777777" w:rsidR="00733174" w:rsidRDefault="00733174" w:rsidP="008B6253">
      <w:pPr>
        <w:spacing w:after="0" w:line="240" w:lineRule="auto"/>
      </w:pPr>
      <w:r>
        <w:continuationSeparator/>
      </w:r>
    </w:p>
  </w:endnote>
  <w:endnote w:type="continuationNotice" w:id="1">
    <w:p w14:paraId="0E909462" w14:textId="77777777" w:rsidR="00733174" w:rsidRDefault="00733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CF00" w14:textId="329A098E" w:rsidR="00B42064" w:rsidRPr="00F172A8" w:rsidRDefault="00B42064" w:rsidP="00F172A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FFC7" w14:textId="77777777" w:rsidR="007D6E3C" w:rsidRDefault="007D6E3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1F71" w14:textId="65A08BFB" w:rsidR="007D6E3C" w:rsidRDefault="007D6E3C">
    <w:pPr>
      <w:pStyle w:val="Footer"/>
      <w:jc w:val="center"/>
      <w:rPr>
        <w:noProof/>
      </w:rPr>
    </w:pPr>
    <w:r>
      <w:fldChar w:fldCharType="begin"/>
    </w:r>
    <w:r>
      <w:instrText xml:space="preserve"> PAGE   \* MERGEFORMAT </w:instrText>
    </w:r>
    <w:r>
      <w:fldChar w:fldCharType="separate"/>
    </w:r>
    <w:r w:rsidR="00F172A8">
      <w:rPr>
        <w:noProof/>
      </w:rPr>
      <w:t>17</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56E" w14:textId="77777777" w:rsidR="007D6E3C" w:rsidRDefault="007D6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66DD" w14:textId="623CB73F" w:rsidR="00B42064" w:rsidRPr="00F172A8" w:rsidRDefault="00F172A8" w:rsidP="00F172A8">
    <w:pPr>
      <w:pStyle w:val="FooterCoverPage"/>
      <w:rPr>
        <w:rFonts w:ascii="Arial" w:hAnsi="Arial" w:cs="Arial"/>
        <w:b/>
        <w:sz w:val="48"/>
      </w:rPr>
    </w:pPr>
    <w:r w:rsidRPr="00F172A8">
      <w:rPr>
        <w:rFonts w:ascii="Arial" w:hAnsi="Arial" w:cs="Arial"/>
        <w:b/>
        <w:sz w:val="48"/>
      </w:rPr>
      <w:t>EN</w:t>
    </w:r>
    <w:r w:rsidRPr="00F172A8">
      <w:rPr>
        <w:rFonts w:ascii="Arial" w:hAnsi="Arial" w:cs="Arial"/>
        <w:b/>
        <w:sz w:val="48"/>
      </w:rPr>
      <w:tab/>
    </w:r>
    <w:r w:rsidRPr="00F172A8">
      <w:rPr>
        <w:rFonts w:ascii="Arial" w:hAnsi="Arial" w:cs="Arial"/>
        <w:b/>
        <w:sz w:val="48"/>
      </w:rPr>
      <w:tab/>
    </w:r>
    <w:r w:rsidRPr="00F172A8">
      <w:tab/>
    </w:r>
    <w:r w:rsidRPr="00F172A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A1B59" w14:textId="77777777" w:rsidR="00F172A8" w:rsidRPr="00F172A8" w:rsidRDefault="00F172A8" w:rsidP="00F172A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73F5" w14:textId="77777777" w:rsidR="007D6E3C" w:rsidRDefault="007D6E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C523" w14:textId="77777777" w:rsidR="007D6E3C" w:rsidRPr="007352EE" w:rsidRDefault="007D6E3C" w:rsidP="00BD68A5">
    <w:pPr>
      <w:pStyle w:val="FooterCoverPage"/>
      <w:rPr>
        <w:rFonts w:ascii="Arial" w:hAnsi="Arial" w:cs="Arial"/>
        <w:b/>
        <w:sz w:val="48"/>
      </w:rPr>
    </w:pPr>
    <w:r w:rsidRPr="007352EE">
      <w:rPr>
        <w:rFonts w:ascii="Arial" w:hAnsi="Arial" w:cs="Arial"/>
        <w:b/>
        <w:sz w:val="48"/>
      </w:rPr>
      <w:t>EN</w:t>
    </w:r>
    <w:r w:rsidRPr="007352EE">
      <w:rPr>
        <w:rFonts w:ascii="Arial" w:hAnsi="Arial" w:cs="Arial"/>
        <w:b/>
        <w:sz w:val="48"/>
      </w:rPr>
      <w:tab/>
    </w:r>
    <w:r w:rsidRPr="007352EE">
      <w:rPr>
        <w:rFonts w:ascii="Arial" w:hAnsi="Arial" w:cs="Arial"/>
        <w:b/>
        <w:sz w:val="48"/>
      </w:rPr>
      <w:tab/>
    </w:r>
    <w:r w:rsidRPr="007352EE">
      <w:tab/>
    </w:r>
    <w:r w:rsidRPr="007352EE">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83E4" w14:textId="77777777" w:rsidR="007D6E3C" w:rsidRDefault="007D6E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B17A" w14:textId="77777777" w:rsidR="00A046A3" w:rsidRDefault="00A046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095215"/>
      <w:docPartObj>
        <w:docPartGallery w:val="Page Numbers (Bottom of Page)"/>
        <w:docPartUnique/>
      </w:docPartObj>
    </w:sdtPr>
    <w:sdtEndPr>
      <w:rPr>
        <w:noProof/>
      </w:rPr>
    </w:sdtEndPr>
    <w:sdtContent>
      <w:p w14:paraId="19D1479D" w14:textId="21C16306" w:rsidR="00A046A3" w:rsidRDefault="00A046A3">
        <w:pPr>
          <w:pStyle w:val="Footer"/>
          <w:jc w:val="right"/>
        </w:pPr>
        <w:r>
          <w:fldChar w:fldCharType="begin"/>
        </w:r>
        <w:r>
          <w:instrText xml:space="preserve"> PAGE   \* MERGEFORMAT </w:instrText>
        </w:r>
        <w:r>
          <w:fldChar w:fldCharType="separate"/>
        </w:r>
        <w:r w:rsidR="00F172A8">
          <w:rPr>
            <w:noProof/>
          </w:rPr>
          <w:t>12</w:t>
        </w:r>
        <w:r>
          <w:rPr>
            <w:noProof/>
          </w:rPr>
          <w:fldChar w:fldCharType="end"/>
        </w:r>
      </w:p>
    </w:sdtContent>
  </w:sdt>
  <w:p w14:paraId="0CB50D4F" w14:textId="77777777" w:rsidR="00A046A3" w:rsidRDefault="00A046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0206" w14:textId="77777777" w:rsidR="00A046A3" w:rsidRDefault="00A04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9E12D" w14:textId="77777777" w:rsidR="00733174" w:rsidRDefault="00733174" w:rsidP="008B6253">
      <w:pPr>
        <w:spacing w:after="0" w:line="240" w:lineRule="auto"/>
      </w:pPr>
      <w:r>
        <w:separator/>
      </w:r>
    </w:p>
  </w:footnote>
  <w:footnote w:type="continuationSeparator" w:id="0">
    <w:p w14:paraId="532E4EF5" w14:textId="77777777" w:rsidR="00733174" w:rsidRDefault="00733174" w:rsidP="008B6253">
      <w:pPr>
        <w:spacing w:after="0" w:line="240" w:lineRule="auto"/>
      </w:pPr>
      <w:r>
        <w:continuationSeparator/>
      </w:r>
    </w:p>
  </w:footnote>
  <w:footnote w:type="continuationNotice" w:id="1">
    <w:p w14:paraId="079128E1" w14:textId="77777777" w:rsidR="00733174" w:rsidRDefault="00733174">
      <w:pPr>
        <w:spacing w:after="0" w:line="240" w:lineRule="auto"/>
      </w:pPr>
    </w:p>
  </w:footnote>
  <w:footnote w:id="2">
    <w:p w14:paraId="1C12DD74" w14:textId="7688BCB8" w:rsidR="0091353C" w:rsidRPr="0091353C" w:rsidRDefault="0091353C">
      <w:pPr>
        <w:pStyle w:val="FootnoteText"/>
      </w:pPr>
      <w:r>
        <w:rPr>
          <w:rStyle w:val="FootnoteReference"/>
        </w:rPr>
        <w:footnoteRef/>
      </w:r>
      <w:r>
        <w:t xml:space="preserve"> </w:t>
      </w:r>
      <w:r w:rsidRPr="0091353C">
        <w:t>The European instrument for temporary Support to mitigate Unemployment Risks in an Emergency</w:t>
      </w:r>
      <w:r>
        <w:t xml:space="preserve"> (SURE).</w:t>
      </w:r>
    </w:p>
  </w:footnote>
  <w:footnote w:id="3">
    <w:p w14:paraId="6E96F0C4" w14:textId="2CA66561" w:rsidR="00216746" w:rsidRPr="00C44E47" w:rsidRDefault="00216746" w:rsidP="00216746">
      <w:pPr>
        <w:pStyle w:val="FootnoteText"/>
        <w:ind w:left="113" w:hanging="113"/>
        <w:rPr>
          <w:lang w:val="en-IE"/>
        </w:rPr>
      </w:pPr>
      <w:r>
        <w:rPr>
          <w:rStyle w:val="FootnoteReference"/>
        </w:rPr>
        <w:footnoteRef/>
      </w:r>
      <w:r>
        <w:t xml:space="preserve"> </w:t>
      </w:r>
      <w:r w:rsidR="00EB3372" w:rsidRPr="00EB3372">
        <w:t>To date, EU issuances have in total attracted more than 1600 different investors from 70 different countries. About 65% of investors are located in the EU, more than 20% are international investors operating from the UK, and the remainder are other international investors, mainly based in Asia. Almost 70% of the EU-Bonds issued have been going to buy-and-hold investors (i.e. fund managers, insurance companies, pension funds and central banks). There is also a good representation of investors demanding different maturities. Central banks and bank treasuries (which usually prefer to invest in maturities up to 10 years) account for about 45% of purchases of EU-Bonds in the primary markets, while pension funds and insurance companies (which prefer maturities above 10 years) account for almost 15%.</w:t>
      </w:r>
    </w:p>
  </w:footnote>
  <w:footnote w:id="4">
    <w:p w14:paraId="4C949212" w14:textId="49932565" w:rsidR="002835C6" w:rsidRPr="002835C6" w:rsidRDefault="002835C6" w:rsidP="002835C6">
      <w:pPr>
        <w:pStyle w:val="FootnoteText"/>
        <w:ind w:left="113" w:hanging="113"/>
        <w:rPr>
          <w:lang w:val="en-US"/>
        </w:rPr>
      </w:pPr>
      <w:r w:rsidRPr="00C44E47">
        <w:rPr>
          <w:rStyle w:val="FootnoteReference"/>
        </w:rPr>
        <w:footnoteRef/>
      </w:r>
      <w:r>
        <w:t xml:space="preserve"> </w:t>
      </w:r>
      <w:r w:rsidRPr="00C44E47">
        <w:t xml:space="preserve">This </w:t>
      </w:r>
      <w:r w:rsidRPr="002835C6">
        <w:rPr>
          <w:lang w:val="en-US"/>
        </w:rPr>
        <w:t xml:space="preserve">new issue premium (NIP) is a premium that the issuer pays in order to persuade investors to buy its bonds in the primary market rather than in the secondary market. </w:t>
      </w:r>
    </w:p>
    <w:p w14:paraId="24050A48" w14:textId="7AB49C12" w:rsidR="002835C6" w:rsidRPr="00BB05DC" w:rsidRDefault="002835C6" w:rsidP="002835C6">
      <w:pPr>
        <w:pStyle w:val="FootnoteText"/>
        <w:ind w:left="113" w:hanging="113"/>
        <w:rPr>
          <w:lang w:val="en-IE"/>
        </w:rPr>
      </w:pPr>
    </w:p>
  </w:footnote>
  <w:footnote w:id="5">
    <w:p w14:paraId="383ECF66" w14:textId="75E89990" w:rsidR="000C26FE" w:rsidRPr="00D3721F" w:rsidRDefault="000C26FE" w:rsidP="000C26FE">
      <w:pPr>
        <w:pStyle w:val="FootnoteText"/>
        <w:ind w:left="113" w:hanging="113"/>
        <w:rPr>
          <w:vertAlign w:val="superscript"/>
        </w:rPr>
      </w:pPr>
      <w:r>
        <w:rPr>
          <w:rStyle w:val="FootnoteReference"/>
        </w:rPr>
        <w:footnoteRef/>
      </w:r>
      <w:r w:rsidRPr="00D3721F">
        <w:rPr>
          <w:rStyle w:val="FootnoteReference"/>
        </w:rPr>
        <w:t xml:space="preserve"> </w:t>
      </w:r>
      <w:r w:rsidRPr="00D3721F">
        <w:t xml:space="preserve">The interest costs incurred are allocated to the budget and the Member States </w:t>
      </w:r>
      <w:r>
        <w:t>receiving</w:t>
      </w:r>
      <w:r w:rsidRPr="00D3721F">
        <w:t xml:space="preserve"> loans in accordance with the methodology set out in Commission Implementing Decision (EU) 2021/1095</w:t>
      </w:r>
      <w:r>
        <w:t xml:space="preserve"> and its successor (EU) 2022/9701.</w:t>
      </w:r>
      <w:r w:rsidRPr="00D3721F">
        <w:t xml:space="preserve"> This methodology distinguishes</w:t>
      </w:r>
      <w:r w:rsidR="00C45C1A">
        <w:t xml:space="preserve"> between</w:t>
      </w:r>
      <w:r w:rsidRPr="00D3721F">
        <w:t xml:space="preserve"> three different cost categories: (i) cost of funding to finance </w:t>
      </w:r>
      <w:r w:rsidR="00CD50EA" w:rsidRPr="00CD50EA">
        <w:t>non-reimbursable support</w:t>
      </w:r>
      <w:r w:rsidRPr="00D3721F">
        <w:t xml:space="preserve"> and loan disbursements calculated for six-monthly time compartments, (ii) cost of holding and managing liquidity, and (iii) administrative costs.</w:t>
      </w:r>
    </w:p>
  </w:footnote>
  <w:footnote w:id="6">
    <w:p w14:paraId="23F08A60" w14:textId="5E355C2D" w:rsidR="002B107F" w:rsidRPr="00D3721F" w:rsidRDefault="002B107F" w:rsidP="002B107F">
      <w:pPr>
        <w:pStyle w:val="FootnoteText"/>
        <w:ind w:left="113" w:hanging="113"/>
        <w:rPr>
          <w:vertAlign w:val="superscript"/>
        </w:rPr>
      </w:pPr>
      <w:r>
        <w:rPr>
          <w:rStyle w:val="FootnoteReference"/>
        </w:rPr>
        <w:footnoteRef/>
      </w:r>
      <w:r w:rsidRPr="00D3721F">
        <w:rPr>
          <w:rStyle w:val="FootnoteReference"/>
        </w:rPr>
        <w:t xml:space="preserve"> </w:t>
      </w:r>
      <w:r w:rsidRPr="00E306EB">
        <w:t>See for more information:</w:t>
      </w:r>
      <w:r w:rsidR="00812772">
        <w:t xml:space="preserve"> </w:t>
      </w:r>
      <w:hyperlink r:id="rId1" w:history="1">
        <w:r w:rsidR="00812772">
          <w:rPr>
            <w:rStyle w:val="Hyperlink"/>
          </w:rPr>
          <w:t>Documents (europa.eu)</w:t>
        </w:r>
      </w:hyperlink>
    </w:p>
  </w:footnote>
  <w:footnote w:id="7">
    <w:p w14:paraId="39DFEAB5" w14:textId="50867414" w:rsidR="001D446D" w:rsidRPr="00D3721F" w:rsidRDefault="001D446D" w:rsidP="001D446D">
      <w:pPr>
        <w:pStyle w:val="FootnoteText"/>
        <w:ind w:left="113" w:hanging="113"/>
        <w:rPr>
          <w:vertAlign w:val="superscript"/>
        </w:rPr>
      </w:pPr>
      <w:r>
        <w:rPr>
          <w:rStyle w:val="FootnoteReference"/>
        </w:rPr>
        <w:footnoteRef/>
      </w:r>
      <w:r w:rsidRPr="00D3721F">
        <w:rPr>
          <w:rStyle w:val="FootnoteReference"/>
        </w:rPr>
        <w:t xml:space="preserve"> </w:t>
      </w:r>
      <w:hyperlink r:id="rId2" w:history="1">
        <w:r>
          <w:rPr>
            <w:rStyle w:val="Hyperlink"/>
            <w:rFonts w:eastAsiaTheme="majorEastAsia"/>
          </w:rPr>
          <w:t>EU borrowing costs: Drivers and dynamics in times of rising rates (europa.eu)</w:t>
        </w:r>
      </w:hyperlink>
    </w:p>
  </w:footnote>
  <w:footnote w:id="8">
    <w:p w14:paraId="3C864516" w14:textId="4AFDB007" w:rsidR="001D446D" w:rsidRPr="00D3721F" w:rsidRDefault="001D446D" w:rsidP="001D446D">
      <w:pPr>
        <w:pStyle w:val="FootnoteText"/>
        <w:ind w:left="113" w:hanging="113"/>
        <w:rPr>
          <w:vertAlign w:val="superscript"/>
        </w:rPr>
      </w:pPr>
      <w:r>
        <w:rPr>
          <w:rStyle w:val="FootnoteReference"/>
        </w:rPr>
        <w:footnoteRef/>
      </w:r>
      <w:r w:rsidRPr="00D3721F">
        <w:rPr>
          <w:rStyle w:val="FootnoteReference"/>
        </w:rPr>
        <w:t xml:space="preserve"> </w:t>
      </w:r>
      <w:r>
        <w:t>Risk-off moves generally tend to lead to a strong re-allocation to traditional safe-haven assets, such as government bonds, hence leading to the SSA-EGB spread to widen.</w:t>
      </w:r>
    </w:p>
  </w:footnote>
  <w:footnote w:id="9">
    <w:p w14:paraId="55B98CDA" w14:textId="67A341CA" w:rsidR="002835C6" w:rsidRPr="002835C6" w:rsidRDefault="002835C6" w:rsidP="002835C6">
      <w:pPr>
        <w:pStyle w:val="FootnoteText"/>
        <w:ind w:left="113" w:hanging="113"/>
        <w:rPr>
          <w:lang w:val="en-US"/>
        </w:rPr>
      </w:pPr>
      <w:r w:rsidRPr="00C44E47">
        <w:rPr>
          <w:rStyle w:val="FootnoteReference"/>
        </w:rPr>
        <w:footnoteRef/>
      </w:r>
      <w:r>
        <w:t xml:space="preserve"> </w:t>
      </w:r>
      <w:r w:rsidRPr="002835C6">
        <w:rPr>
          <w:lang w:val="en-IE"/>
        </w:rPr>
        <w:t>For example, the re-assignment of EU</w:t>
      </w:r>
      <w:r w:rsidR="00F37831">
        <w:rPr>
          <w:lang w:val="en-IE"/>
        </w:rPr>
        <w:t>-</w:t>
      </w:r>
      <w:r w:rsidRPr="002835C6">
        <w:rPr>
          <w:lang w:val="en-IE"/>
        </w:rPr>
        <w:t>Bonds to haircut category I, the same as used for debt instruments issued by central governments, in the ECB’s risk control framework for credit operations as of 29 June 2023.</w:t>
      </w:r>
    </w:p>
    <w:p w14:paraId="4A5D7963" w14:textId="77777777" w:rsidR="002835C6" w:rsidRPr="00BB05DC" w:rsidRDefault="002835C6" w:rsidP="002835C6">
      <w:pPr>
        <w:pStyle w:val="FootnoteText"/>
        <w:ind w:left="113" w:hanging="113"/>
        <w:rPr>
          <w:lang w:val="en-IE"/>
        </w:rPr>
      </w:pPr>
    </w:p>
  </w:footnote>
  <w:footnote w:id="10">
    <w:p w14:paraId="1101E8BD" w14:textId="77777777" w:rsidR="00A046A3" w:rsidRPr="00C30FBC" w:rsidRDefault="00A046A3" w:rsidP="00A046A3">
      <w:pPr>
        <w:pStyle w:val="FootnoteText"/>
      </w:pPr>
      <w:r>
        <w:rPr>
          <w:rStyle w:val="FootnoteReference"/>
        </w:rPr>
        <w:footnoteRef/>
      </w:r>
      <w:r>
        <w:t xml:space="preserve"> </w:t>
      </w:r>
      <w:hyperlink r:id="rId3" w:history="1">
        <w:r>
          <w:rPr>
            <w:rStyle w:val="Hyperlink"/>
          </w:rPr>
          <w:t>NGEU High Level Risk and Compliance Policy (europa.eu)</w:t>
        </w:r>
      </w:hyperlink>
      <w:r>
        <w:t xml:space="preserve"> </w:t>
      </w:r>
    </w:p>
  </w:footnote>
  <w:footnote w:id="11">
    <w:p w14:paraId="114A54F5" w14:textId="77777777" w:rsidR="00A046A3" w:rsidRPr="00AE299E" w:rsidRDefault="00A046A3" w:rsidP="00A046A3">
      <w:pPr>
        <w:pStyle w:val="FootnoteText"/>
        <w:rPr>
          <w:lang w:val="en-IE"/>
        </w:rPr>
      </w:pPr>
      <w:r>
        <w:rPr>
          <w:rStyle w:val="FootnoteReference"/>
        </w:rPr>
        <w:footnoteRef/>
      </w:r>
      <w:r>
        <w:t xml:space="preserve"> </w:t>
      </w:r>
      <w:hyperlink r:id="rId4" w:history="1">
        <w:r>
          <w:rPr>
            <w:rStyle w:val="Hyperlink"/>
          </w:rPr>
          <w:t>C_2022_9702_F1_COMMISSION_IMPLEMENTING_DECISION_EN_V7_P1_2416109.PDF (europa.eu)</w:t>
        </w:r>
      </w:hyperlink>
    </w:p>
  </w:footnote>
  <w:footnote w:id="12">
    <w:p w14:paraId="6BA9FA9E" w14:textId="58DB7B66" w:rsidR="000571C9" w:rsidRPr="00D22BFC" w:rsidRDefault="000571C9" w:rsidP="00A046A3">
      <w:pPr>
        <w:pStyle w:val="FootnoteText"/>
        <w:rPr>
          <w:lang w:val="en-IE"/>
        </w:rPr>
      </w:pPr>
      <w:r w:rsidRPr="00981732">
        <w:rPr>
          <w:rStyle w:val="FootnoteReference"/>
        </w:rPr>
        <w:footnoteRef/>
      </w:r>
      <w:r w:rsidRPr="00981732">
        <w:t xml:space="preserve"> Additional information on the</w:t>
      </w:r>
      <w:r w:rsidRPr="00981732">
        <w:rPr>
          <w:lang w:val="en-IE"/>
        </w:rPr>
        <w:t xml:space="preserve"> NGEU </w:t>
      </w:r>
      <w:r w:rsidR="00711B9E">
        <w:rPr>
          <w:lang w:val="en-IE"/>
        </w:rPr>
        <w:t>g</w:t>
      </w:r>
      <w:r w:rsidRPr="00981732">
        <w:rPr>
          <w:lang w:val="en-IE"/>
        </w:rPr>
        <w:t xml:space="preserve">reen </w:t>
      </w:r>
      <w:r w:rsidR="00711B9E">
        <w:rPr>
          <w:lang w:val="en-IE"/>
        </w:rPr>
        <w:t>b</w:t>
      </w:r>
      <w:r w:rsidRPr="00981732">
        <w:rPr>
          <w:lang w:val="en-IE"/>
        </w:rPr>
        <w:t xml:space="preserve">onds can be found in the NGEU Green Bond Dashboard here: </w:t>
      </w:r>
      <w:hyperlink r:id="rId5" w:history="1">
        <w:r w:rsidRPr="00981732">
          <w:rPr>
            <w:rStyle w:val="Hyperlink"/>
          </w:rPr>
          <w:t>Dashboard (europa.eu)</w:t>
        </w:r>
      </w:hyperlink>
    </w:p>
  </w:footnote>
  <w:footnote w:id="13">
    <w:p w14:paraId="665D56AC" w14:textId="77777777" w:rsidR="000F037D" w:rsidRPr="000571C9" w:rsidRDefault="000F037D" w:rsidP="000571C9">
      <w:pPr>
        <w:spacing w:after="0" w:line="240" w:lineRule="auto"/>
        <w:rPr>
          <w:rFonts w:ascii="EC Square Sans Pro" w:hAnsi="EC Square Sans Pro"/>
          <w:i/>
          <w:iCs/>
        </w:rPr>
      </w:pPr>
      <w:r>
        <w:rPr>
          <w:rStyle w:val="FootnoteReference"/>
        </w:rPr>
        <w:footnoteRef/>
      </w:r>
      <w:r>
        <w:t xml:space="preserve"> </w:t>
      </w:r>
      <w:r w:rsidRPr="000571C9">
        <w:rPr>
          <w:rFonts w:eastAsia="Times New Roman"/>
          <w:lang w:val="en-GB"/>
        </w:rPr>
        <w:t>Based on average number of months between new issuance and first tap when considering the new lines tapped over the semester</w:t>
      </w:r>
    </w:p>
    <w:p w14:paraId="25D2F421" w14:textId="77777777" w:rsidR="000F037D" w:rsidRPr="000571C9" w:rsidRDefault="000F037D" w:rsidP="000571C9">
      <w:pPr>
        <w:pStyle w:val="FootnoteText"/>
      </w:pPr>
    </w:p>
  </w:footnote>
  <w:footnote w:id="14">
    <w:p w14:paraId="31AD8DCC" w14:textId="62215E5E" w:rsidR="000571C9" w:rsidRPr="001A5022" w:rsidRDefault="000571C9" w:rsidP="000571C9">
      <w:pPr>
        <w:pStyle w:val="FootnoteText"/>
        <w:rPr>
          <w:lang w:val="en-IE"/>
        </w:rPr>
      </w:pPr>
      <w:r>
        <w:rPr>
          <w:rStyle w:val="FootnoteReference"/>
        </w:rPr>
        <w:footnoteRef/>
      </w:r>
      <w:r>
        <w:t xml:space="preserve"> </w:t>
      </w:r>
      <w:r w:rsidRPr="000571C9">
        <w:rPr>
          <w:sz w:val="24"/>
          <w:szCs w:val="24"/>
        </w:rPr>
        <w:t>Outstanding bonds over number of bonds as at end of semester. Based on bonds issued under the diversified funding 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6F2C" w14:textId="77777777" w:rsidR="00F172A8" w:rsidRPr="00F172A8" w:rsidRDefault="00F172A8" w:rsidP="00F172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7D7D" w14:textId="77777777" w:rsidR="007D6E3C" w:rsidRDefault="007D6E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54C" w14:textId="77777777" w:rsidR="007D6E3C" w:rsidRDefault="007D6E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6542" w14:textId="77777777" w:rsidR="007D6E3C" w:rsidRDefault="007D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8C6B" w14:textId="77777777" w:rsidR="00F172A8" w:rsidRPr="00F172A8" w:rsidRDefault="00F172A8" w:rsidP="00F172A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CCDE" w14:textId="77777777" w:rsidR="00F172A8" w:rsidRPr="00F172A8" w:rsidRDefault="00F172A8" w:rsidP="00F172A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ED0" w14:textId="77777777" w:rsidR="007D6E3C" w:rsidRDefault="007D6E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EC3" w14:textId="77777777" w:rsidR="007D6E3C" w:rsidRDefault="007D6E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F291" w14:textId="77777777" w:rsidR="007D6E3C" w:rsidRDefault="007D6E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6167" w14:textId="77777777" w:rsidR="00A046A3" w:rsidRDefault="00A046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BCEE" w14:textId="77777777" w:rsidR="00A046A3" w:rsidRPr="00657B16" w:rsidRDefault="00A046A3" w:rsidP="00892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C5B" w14:textId="77777777" w:rsidR="00A046A3" w:rsidRDefault="00A04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2400"/>
    <w:multiLevelType w:val="hybridMultilevel"/>
    <w:tmpl w:val="4D6A70C6"/>
    <w:lvl w:ilvl="0" w:tplc="04090001">
      <w:start w:val="1"/>
      <w:numFmt w:val="bullet"/>
      <w:lvlText w:val=""/>
      <w:lvlJc w:val="left"/>
      <w:pPr>
        <w:ind w:left="1080" w:hanging="360"/>
      </w:pPr>
      <w:rPr>
        <w:rFonts w:ascii="Symbol" w:hAnsi="Symbol" w:hint="default"/>
      </w:rPr>
    </w:lvl>
    <w:lvl w:ilvl="1" w:tplc="1809001B">
      <w:start w:val="1"/>
      <w:numFmt w:val="lowerRoman"/>
      <w:lvlText w:val="%2."/>
      <w:lvlJc w:val="right"/>
      <w:pPr>
        <w:ind w:left="180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083EAD"/>
    <w:multiLevelType w:val="hybridMultilevel"/>
    <w:tmpl w:val="89AAB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B84A96"/>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2947769"/>
    <w:multiLevelType w:val="hybridMultilevel"/>
    <w:tmpl w:val="BB9E4810"/>
    <w:lvl w:ilvl="0" w:tplc="ACC0B9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94ED2"/>
    <w:multiLevelType w:val="hybridMultilevel"/>
    <w:tmpl w:val="2B06D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55A0B"/>
    <w:multiLevelType w:val="hybridMultilevel"/>
    <w:tmpl w:val="04DCAB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3E266B"/>
    <w:multiLevelType w:val="hybridMultilevel"/>
    <w:tmpl w:val="13E23E9E"/>
    <w:lvl w:ilvl="0" w:tplc="080C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F0EBC"/>
    <w:multiLevelType w:val="hybridMultilevel"/>
    <w:tmpl w:val="841CA07A"/>
    <w:lvl w:ilvl="0" w:tplc="05EEC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B1DF1"/>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E0E405D"/>
    <w:multiLevelType w:val="hybridMultilevel"/>
    <w:tmpl w:val="5BEA7DDA"/>
    <w:lvl w:ilvl="0" w:tplc="C98ECE3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05598"/>
    <w:multiLevelType w:val="hybridMultilevel"/>
    <w:tmpl w:val="2C30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8423A5"/>
    <w:multiLevelType w:val="hybridMultilevel"/>
    <w:tmpl w:val="3A5EA9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5614371"/>
    <w:multiLevelType w:val="hybridMultilevel"/>
    <w:tmpl w:val="7C3C86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4C13C1"/>
    <w:multiLevelType w:val="hybridMultilevel"/>
    <w:tmpl w:val="3B220746"/>
    <w:lvl w:ilvl="0" w:tplc="227C73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71202"/>
    <w:multiLevelType w:val="hybridMultilevel"/>
    <w:tmpl w:val="22EA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D042C"/>
    <w:multiLevelType w:val="hybridMultilevel"/>
    <w:tmpl w:val="8A72D582"/>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C976B2A"/>
    <w:multiLevelType w:val="hybridMultilevel"/>
    <w:tmpl w:val="D682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03A90"/>
    <w:multiLevelType w:val="hybridMultilevel"/>
    <w:tmpl w:val="E0ACE6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DF547D"/>
    <w:multiLevelType w:val="hybridMultilevel"/>
    <w:tmpl w:val="559A495C"/>
    <w:lvl w:ilvl="0" w:tplc="DFD462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84BB5"/>
    <w:multiLevelType w:val="hybridMultilevel"/>
    <w:tmpl w:val="DFC08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64626"/>
    <w:multiLevelType w:val="hybridMultilevel"/>
    <w:tmpl w:val="14ECFB70"/>
    <w:lvl w:ilvl="0" w:tplc="EBC2F93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C1CA2"/>
    <w:multiLevelType w:val="hybridMultilevel"/>
    <w:tmpl w:val="3A763906"/>
    <w:lvl w:ilvl="0" w:tplc="EE6E9498">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241DA3"/>
    <w:multiLevelType w:val="hybridMultilevel"/>
    <w:tmpl w:val="433840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E5571"/>
    <w:multiLevelType w:val="hybridMultilevel"/>
    <w:tmpl w:val="B1AA6A68"/>
    <w:lvl w:ilvl="0" w:tplc="5D74A918">
      <w:start w:val="1"/>
      <w:numFmt w:val="decimal"/>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35E24E98"/>
    <w:multiLevelType w:val="hybridMultilevel"/>
    <w:tmpl w:val="E37CC0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473A4"/>
    <w:multiLevelType w:val="hybridMultilevel"/>
    <w:tmpl w:val="8EAA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295ABA"/>
    <w:multiLevelType w:val="hybridMultilevel"/>
    <w:tmpl w:val="3A5406FA"/>
    <w:lvl w:ilvl="0" w:tplc="862608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C2551"/>
    <w:multiLevelType w:val="hybridMultilevel"/>
    <w:tmpl w:val="7C2E5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860561"/>
    <w:multiLevelType w:val="hybridMultilevel"/>
    <w:tmpl w:val="F542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F7A94"/>
    <w:multiLevelType w:val="hybridMultilevel"/>
    <w:tmpl w:val="7FD8063C"/>
    <w:lvl w:ilvl="0" w:tplc="A68CF278">
      <w:numFmt w:val="bullet"/>
      <w:lvlText w:val="•"/>
      <w:lvlJc w:val="left"/>
      <w:pPr>
        <w:ind w:left="720" w:hanging="360"/>
      </w:pPr>
      <w:rPr>
        <w:rFonts w:ascii="EC Square Sans Pro" w:hAnsi="EC Square Sans Pro" w:cs="Times New Roman" w:hint="default"/>
        <w:color w:val="4C4B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121F7"/>
    <w:multiLevelType w:val="hybridMultilevel"/>
    <w:tmpl w:val="58C84688"/>
    <w:lvl w:ilvl="0" w:tplc="A68CF278">
      <w:numFmt w:val="bullet"/>
      <w:lvlText w:val="•"/>
      <w:lvlJc w:val="left"/>
      <w:pPr>
        <w:ind w:left="720" w:hanging="360"/>
      </w:pPr>
      <w:rPr>
        <w:rFonts w:ascii="EC Square Sans Pro" w:hAnsi="EC Square Sans Pro" w:cs="Times New Roman" w:hint="default"/>
        <w:color w:val="4C4B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05736"/>
    <w:multiLevelType w:val="multilevel"/>
    <w:tmpl w:val="FC98DC46"/>
    <w:lvl w:ilvl="0">
      <w:start w:val="1"/>
      <w:numFmt w:val="decimal"/>
      <w:pStyle w:val="Heading1"/>
      <w:lvlText w:val="%1."/>
      <w:lvlJc w:val="left"/>
      <w:pPr>
        <w:ind w:left="502" w:hanging="360"/>
      </w:pPr>
    </w:lvl>
    <w:lvl w:ilvl="1">
      <w:start w:val="2"/>
      <w:numFmt w:val="decimal"/>
      <w:isLgl/>
      <w:lvlText w:val="%1.%2"/>
      <w:lvlJc w:val="left"/>
      <w:pPr>
        <w:ind w:left="720" w:hanging="360"/>
      </w:pPr>
      <w:rPr>
        <w:rFonts w:hint="default"/>
        <w:b/>
      </w:rPr>
    </w:lvl>
    <w:lvl w:ilvl="2">
      <w:start w:val="1"/>
      <w:numFmt w:val="decimalZero"/>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468" w:hanging="1800"/>
      </w:pPr>
      <w:rPr>
        <w:rFonts w:hint="default"/>
        <w:b/>
      </w:rPr>
    </w:lvl>
    <w:lvl w:ilvl="8">
      <w:start w:val="1"/>
      <w:numFmt w:val="decimal"/>
      <w:isLgl/>
      <w:lvlText w:val="%1.%2.%3.%4.%5.%6.%7.%8.%9"/>
      <w:lvlJc w:val="left"/>
      <w:pPr>
        <w:ind w:left="3686" w:hanging="1800"/>
      </w:pPr>
      <w:rPr>
        <w:rFonts w:hint="default"/>
        <w:b/>
      </w:rPr>
    </w:lvl>
  </w:abstractNum>
  <w:abstractNum w:abstractNumId="32" w15:restartNumberingAfterBreak="0">
    <w:nsid w:val="65926EE4"/>
    <w:multiLevelType w:val="hybridMultilevel"/>
    <w:tmpl w:val="D2640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32E50"/>
    <w:multiLevelType w:val="hybridMultilevel"/>
    <w:tmpl w:val="D80CF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8E52C2"/>
    <w:multiLevelType w:val="hybridMultilevel"/>
    <w:tmpl w:val="23386914"/>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707A6"/>
    <w:multiLevelType w:val="hybridMultilevel"/>
    <w:tmpl w:val="344CD7F8"/>
    <w:lvl w:ilvl="0" w:tplc="F51A7858">
      <w:start w:val="1"/>
      <w:numFmt w:val="bullet"/>
      <w:lvlText w:val="•"/>
      <w:lvlJc w:val="left"/>
      <w:pPr>
        <w:tabs>
          <w:tab w:val="num" w:pos="720"/>
        </w:tabs>
        <w:ind w:left="720" w:hanging="360"/>
      </w:pPr>
      <w:rPr>
        <w:rFonts w:ascii="Arial" w:hAnsi="Arial" w:cs="Times New Roman" w:hint="default"/>
      </w:rPr>
    </w:lvl>
    <w:lvl w:ilvl="1" w:tplc="23CE0ACA">
      <w:start w:val="1"/>
      <w:numFmt w:val="bullet"/>
      <w:lvlText w:val="•"/>
      <w:lvlJc w:val="left"/>
      <w:pPr>
        <w:tabs>
          <w:tab w:val="num" w:pos="1440"/>
        </w:tabs>
        <w:ind w:left="1440" w:hanging="360"/>
      </w:pPr>
      <w:rPr>
        <w:rFonts w:ascii="Arial" w:hAnsi="Arial" w:cs="Times New Roman" w:hint="default"/>
      </w:rPr>
    </w:lvl>
    <w:lvl w:ilvl="2" w:tplc="4EB4ABB8">
      <w:start w:val="1"/>
      <w:numFmt w:val="bullet"/>
      <w:lvlText w:val="•"/>
      <w:lvlJc w:val="left"/>
      <w:pPr>
        <w:tabs>
          <w:tab w:val="num" w:pos="2160"/>
        </w:tabs>
        <w:ind w:left="2160" w:hanging="360"/>
      </w:pPr>
      <w:rPr>
        <w:rFonts w:ascii="Arial" w:hAnsi="Arial" w:cs="Times New Roman" w:hint="default"/>
      </w:rPr>
    </w:lvl>
    <w:lvl w:ilvl="3" w:tplc="20220F58">
      <w:start w:val="1"/>
      <w:numFmt w:val="bullet"/>
      <w:lvlText w:val="•"/>
      <w:lvlJc w:val="left"/>
      <w:pPr>
        <w:tabs>
          <w:tab w:val="num" w:pos="2880"/>
        </w:tabs>
        <w:ind w:left="2880" w:hanging="360"/>
      </w:pPr>
      <w:rPr>
        <w:rFonts w:ascii="Arial" w:hAnsi="Arial" w:cs="Times New Roman" w:hint="default"/>
      </w:rPr>
    </w:lvl>
    <w:lvl w:ilvl="4" w:tplc="26E8F24E">
      <w:start w:val="1"/>
      <w:numFmt w:val="bullet"/>
      <w:lvlText w:val="•"/>
      <w:lvlJc w:val="left"/>
      <w:pPr>
        <w:tabs>
          <w:tab w:val="num" w:pos="3600"/>
        </w:tabs>
        <w:ind w:left="3600" w:hanging="360"/>
      </w:pPr>
      <w:rPr>
        <w:rFonts w:ascii="Arial" w:hAnsi="Arial" w:cs="Times New Roman" w:hint="default"/>
      </w:rPr>
    </w:lvl>
    <w:lvl w:ilvl="5" w:tplc="5CB4CCB6">
      <w:start w:val="1"/>
      <w:numFmt w:val="bullet"/>
      <w:lvlText w:val="•"/>
      <w:lvlJc w:val="left"/>
      <w:pPr>
        <w:tabs>
          <w:tab w:val="num" w:pos="4320"/>
        </w:tabs>
        <w:ind w:left="4320" w:hanging="360"/>
      </w:pPr>
      <w:rPr>
        <w:rFonts w:ascii="Arial" w:hAnsi="Arial" w:cs="Times New Roman" w:hint="default"/>
      </w:rPr>
    </w:lvl>
    <w:lvl w:ilvl="6" w:tplc="E3DAD62C">
      <w:start w:val="1"/>
      <w:numFmt w:val="bullet"/>
      <w:lvlText w:val="•"/>
      <w:lvlJc w:val="left"/>
      <w:pPr>
        <w:tabs>
          <w:tab w:val="num" w:pos="5040"/>
        </w:tabs>
        <w:ind w:left="5040" w:hanging="360"/>
      </w:pPr>
      <w:rPr>
        <w:rFonts w:ascii="Arial" w:hAnsi="Arial" w:cs="Times New Roman" w:hint="default"/>
      </w:rPr>
    </w:lvl>
    <w:lvl w:ilvl="7" w:tplc="02A61A02">
      <w:start w:val="1"/>
      <w:numFmt w:val="bullet"/>
      <w:lvlText w:val="•"/>
      <w:lvlJc w:val="left"/>
      <w:pPr>
        <w:tabs>
          <w:tab w:val="num" w:pos="5760"/>
        </w:tabs>
        <w:ind w:left="5760" w:hanging="360"/>
      </w:pPr>
      <w:rPr>
        <w:rFonts w:ascii="Arial" w:hAnsi="Arial" w:cs="Times New Roman" w:hint="default"/>
      </w:rPr>
    </w:lvl>
    <w:lvl w:ilvl="8" w:tplc="41BC282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B25426B"/>
    <w:multiLevelType w:val="hybridMultilevel"/>
    <w:tmpl w:val="04DCA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59008C"/>
    <w:multiLevelType w:val="hybridMultilevel"/>
    <w:tmpl w:val="30B6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27204"/>
    <w:multiLevelType w:val="hybridMultilevel"/>
    <w:tmpl w:val="15F6BF5C"/>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31"/>
  </w:num>
  <w:num w:numId="4">
    <w:abstractNumId w:val="29"/>
  </w:num>
  <w:num w:numId="5">
    <w:abstractNumId w:val="30"/>
  </w:num>
  <w:num w:numId="6">
    <w:abstractNumId w:val="18"/>
  </w:num>
  <w:num w:numId="7">
    <w:abstractNumId w:val="3"/>
  </w:num>
  <w:num w:numId="8">
    <w:abstractNumId w:val="7"/>
  </w:num>
  <w:num w:numId="9">
    <w:abstractNumId w:val="31"/>
    <w:lvlOverride w:ilvl="0">
      <w:startOverride w:val="4"/>
    </w:lvlOverride>
    <w:lvlOverride w:ilvl="1">
      <w:startOverride w:val="1"/>
    </w:lvlOverride>
  </w:num>
  <w:num w:numId="10">
    <w:abstractNumId w:val="34"/>
  </w:num>
  <w:num w:numId="11">
    <w:abstractNumId w:val="20"/>
  </w:num>
  <w:num w:numId="12">
    <w:abstractNumId w:val="21"/>
  </w:num>
  <w:num w:numId="13">
    <w:abstractNumId w:val="31"/>
  </w:num>
  <w:num w:numId="14">
    <w:abstractNumId w:val="31"/>
  </w:num>
  <w:num w:numId="15">
    <w:abstractNumId w:val="31"/>
  </w:num>
  <w:num w:numId="16">
    <w:abstractNumId w:val="1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num>
  <w:num w:numId="20">
    <w:abstractNumId w:val="3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3"/>
  </w:num>
  <w:num w:numId="24">
    <w:abstractNumId w:val="37"/>
  </w:num>
  <w:num w:numId="25">
    <w:abstractNumId w:val="17"/>
  </w:num>
  <w:num w:numId="26">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8"/>
  </w:num>
  <w:num w:numId="29">
    <w:abstractNumId w:val="6"/>
  </w:num>
  <w:num w:numId="30">
    <w:abstractNumId w:val="10"/>
  </w:num>
  <w:num w:numId="31">
    <w:abstractNumId w:val="12"/>
  </w:num>
  <w:num w:numId="32">
    <w:abstractNumId w:val="19"/>
  </w:num>
  <w:num w:numId="33">
    <w:abstractNumId w:val="24"/>
  </w:num>
  <w:num w:numId="34">
    <w:abstractNumId w:val="4"/>
  </w:num>
  <w:num w:numId="35">
    <w:abstractNumId w:val="14"/>
  </w:num>
  <w:num w:numId="36">
    <w:abstractNumId w:val="33"/>
  </w:num>
  <w:num w:numId="37">
    <w:abstractNumId w:val="32"/>
  </w:num>
  <w:num w:numId="38">
    <w:abstractNumId w:val="36"/>
  </w:num>
  <w:num w:numId="39">
    <w:abstractNumId w:val="27"/>
  </w:num>
  <w:num w:numId="40">
    <w:abstractNumId w:val="15"/>
  </w:num>
  <w:num w:numId="41">
    <w:abstractNumId w:val="38"/>
  </w:num>
  <w:num w:numId="42">
    <w:abstractNumId w:val="0"/>
  </w:num>
  <w:num w:numId="43">
    <w:abstractNumId w:val="1"/>
  </w:num>
  <w:num w:numId="44">
    <w:abstractNumId w:val="25"/>
  </w:num>
  <w:num w:numId="45">
    <w:abstractNumId w:val="22"/>
  </w:num>
  <w:num w:numId="46">
    <w:abstractNumId w:val="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EFA54A7A-56C4-43EC-BE21-2D978D87911C"/>
    <w:docVar w:name="LW_COVERPAGE_TYPE" w:val="1"/>
    <w:docVar w:name="LW_CROSSREFERENCE" w:val="&lt;UNUSED&gt;"/>
    <w:docVar w:name="LW_DocType" w:val="NORMAL"/>
    <w:docVar w:name="LW_EMISSION" w:val="28.7.2023"/>
    <w:docVar w:name="LW_EMISSION_ISODATE" w:val="2023-07-28"/>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46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Half-yearly report on the implementation of borrowing, debt management and related lending operations pursuant to Article 12 of Commission Implementing Decision C(2022)9700_x000d__x000d__x000d__x000b__x000d__x000d__x000d__x000b__x000d__x000d__x000d__x000d__x000d__x000d__x000d__x000d__x000d__x000d__x000b__x000d__x000d__x000d__x000d__x000d__x000d__x000d__x000d__x000d__x000b__x000d_1 January 2023 - 30 June 2023_x000d__x000d__x000d__x000d__x000d__x000d__x000d__x000d__x000d__x000d__x000b__x000d__x000d__x000d__x000d__x000d__x000d__x000d__x000d__x000d__x000b__x000d_"/>
    <w:docVar w:name="LW_TYPE.DOC.CP" w:val="REPORT FROM THE COMMISSION TO THE EUROPEAN PARLIAMENT AND THE COUNCIL"/>
    <w:docVar w:name="LwApiVersions" w:val="LW4CoDe 1.23.2.0; LW 8.0, Build 20211117"/>
  </w:docVars>
  <w:rsids>
    <w:rsidRoot w:val="008B6253"/>
    <w:rsid w:val="000025FB"/>
    <w:rsid w:val="000027C3"/>
    <w:rsid w:val="00003760"/>
    <w:rsid w:val="00003B2C"/>
    <w:rsid w:val="00007866"/>
    <w:rsid w:val="000123E4"/>
    <w:rsid w:val="00013AFC"/>
    <w:rsid w:val="00015055"/>
    <w:rsid w:val="0001773F"/>
    <w:rsid w:val="00017F73"/>
    <w:rsid w:val="00026571"/>
    <w:rsid w:val="00030B16"/>
    <w:rsid w:val="00036A07"/>
    <w:rsid w:val="0004137B"/>
    <w:rsid w:val="0004607D"/>
    <w:rsid w:val="00052FDD"/>
    <w:rsid w:val="00055E40"/>
    <w:rsid w:val="00056D87"/>
    <w:rsid w:val="000571C9"/>
    <w:rsid w:val="000623CD"/>
    <w:rsid w:val="0006518B"/>
    <w:rsid w:val="00067AC8"/>
    <w:rsid w:val="0007609D"/>
    <w:rsid w:val="000830C3"/>
    <w:rsid w:val="00084648"/>
    <w:rsid w:val="0009414B"/>
    <w:rsid w:val="00095BFD"/>
    <w:rsid w:val="00096802"/>
    <w:rsid w:val="00097D72"/>
    <w:rsid w:val="000A0545"/>
    <w:rsid w:val="000A0885"/>
    <w:rsid w:val="000A1136"/>
    <w:rsid w:val="000B4EF5"/>
    <w:rsid w:val="000B5255"/>
    <w:rsid w:val="000C26FE"/>
    <w:rsid w:val="000C3CD5"/>
    <w:rsid w:val="000C5D88"/>
    <w:rsid w:val="000C63D4"/>
    <w:rsid w:val="000D008A"/>
    <w:rsid w:val="000D2B51"/>
    <w:rsid w:val="000F037D"/>
    <w:rsid w:val="00102D9B"/>
    <w:rsid w:val="00103A63"/>
    <w:rsid w:val="00113042"/>
    <w:rsid w:val="001137FB"/>
    <w:rsid w:val="00121CE9"/>
    <w:rsid w:val="0013129F"/>
    <w:rsid w:val="001337A8"/>
    <w:rsid w:val="00137822"/>
    <w:rsid w:val="00137CF7"/>
    <w:rsid w:val="001401DA"/>
    <w:rsid w:val="00140C8A"/>
    <w:rsid w:val="00141100"/>
    <w:rsid w:val="00146211"/>
    <w:rsid w:val="0015107E"/>
    <w:rsid w:val="0016009E"/>
    <w:rsid w:val="00165420"/>
    <w:rsid w:val="00166CA0"/>
    <w:rsid w:val="00171240"/>
    <w:rsid w:val="00171F26"/>
    <w:rsid w:val="00181102"/>
    <w:rsid w:val="00187563"/>
    <w:rsid w:val="001A445F"/>
    <w:rsid w:val="001A5022"/>
    <w:rsid w:val="001B2174"/>
    <w:rsid w:val="001B4862"/>
    <w:rsid w:val="001B6959"/>
    <w:rsid w:val="001C0880"/>
    <w:rsid w:val="001C1350"/>
    <w:rsid w:val="001C13F0"/>
    <w:rsid w:val="001C3C2E"/>
    <w:rsid w:val="001C445C"/>
    <w:rsid w:val="001D0900"/>
    <w:rsid w:val="001D30CA"/>
    <w:rsid w:val="001D446D"/>
    <w:rsid w:val="001D5B74"/>
    <w:rsid w:val="001D72F9"/>
    <w:rsid w:val="001E0283"/>
    <w:rsid w:val="001F6191"/>
    <w:rsid w:val="001F6E5E"/>
    <w:rsid w:val="00203B8E"/>
    <w:rsid w:val="002040AE"/>
    <w:rsid w:val="002055AD"/>
    <w:rsid w:val="00207920"/>
    <w:rsid w:val="0021075C"/>
    <w:rsid w:val="00212A39"/>
    <w:rsid w:val="00216746"/>
    <w:rsid w:val="00222159"/>
    <w:rsid w:val="0022595F"/>
    <w:rsid w:val="00231768"/>
    <w:rsid w:val="00232130"/>
    <w:rsid w:val="002338DB"/>
    <w:rsid w:val="0024146E"/>
    <w:rsid w:val="0024722E"/>
    <w:rsid w:val="00254D4D"/>
    <w:rsid w:val="00270C15"/>
    <w:rsid w:val="00275FE6"/>
    <w:rsid w:val="00276737"/>
    <w:rsid w:val="002835C6"/>
    <w:rsid w:val="002955CD"/>
    <w:rsid w:val="002A3A30"/>
    <w:rsid w:val="002A67DD"/>
    <w:rsid w:val="002B107F"/>
    <w:rsid w:val="002B4027"/>
    <w:rsid w:val="002B7257"/>
    <w:rsid w:val="002C134A"/>
    <w:rsid w:val="002C59A6"/>
    <w:rsid w:val="002E4FA7"/>
    <w:rsid w:val="002E56EE"/>
    <w:rsid w:val="002F28D6"/>
    <w:rsid w:val="002F7560"/>
    <w:rsid w:val="002F7768"/>
    <w:rsid w:val="00303954"/>
    <w:rsid w:val="0030418A"/>
    <w:rsid w:val="00307131"/>
    <w:rsid w:val="003130F2"/>
    <w:rsid w:val="003160E0"/>
    <w:rsid w:val="00322997"/>
    <w:rsid w:val="003257E5"/>
    <w:rsid w:val="003277B5"/>
    <w:rsid w:val="00330D09"/>
    <w:rsid w:val="00333383"/>
    <w:rsid w:val="00342348"/>
    <w:rsid w:val="00343D6C"/>
    <w:rsid w:val="00350522"/>
    <w:rsid w:val="00352DCC"/>
    <w:rsid w:val="00361B1E"/>
    <w:rsid w:val="00364E2A"/>
    <w:rsid w:val="003668D8"/>
    <w:rsid w:val="003707F5"/>
    <w:rsid w:val="00372518"/>
    <w:rsid w:val="00374A49"/>
    <w:rsid w:val="003926DF"/>
    <w:rsid w:val="00395373"/>
    <w:rsid w:val="00395DF8"/>
    <w:rsid w:val="003A2408"/>
    <w:rsid w:val="003A4BBC"/>
    <w:rsid w:val="003B0BAD"/>
    <w:rsid w:val="003B6A1C"/>
    <w:rsid w:val="003C0956"/>
    <w:rsid w:val="003C52F3"/>
    <w:rsid w:val="003D0FED"/>
    <w:rsid w:val="003D7999"/>
    <w:rsid w:val="003E1782"/>
    <w:rsid w:val="003E27DC"/>
    <w:rsid w:val="003E3DF4"/>
    <w:rsid w:val="003F19E5"/>
    <w:rsid w:val="003F654D"/>
    <w:rsid w:val="003F775B"/>
    <w:rsid w:val="0040365E"/>
    <w:rsid w:val="004109ED"/>
    <w:rsid w:val="00411F86"/>
    <w:rsid w:val="00417698"/>
    <w:rsid w:val="00425E4F"/>
    <w:rsid w:val="00432655"/>
    <w:rsid w:val="0045555D"/>
    <w:rsid w:val="00470A50"/>
    <w:rsid w:val="00472563"/>
    <w:rsid w:val="004745F2"/>
    <w:rsid w:val="00476FFD"/>
    <w:rsid w:val="00477D1E"/>
    <w:rsid w:val="00483303"/>
    <w:rsid w:val="00491026"/>
    <w:rsid w:val="00491B57"/>
    <w:rsid w:val="0049785D"/>
    <w:rsid w:val="004A0271"/>
    <w:rsid w:val="004A61C9"/>
    <w:rsid w:val="004A73B2"/>
    <w:rsid w:val="004B1671"/>
    <w:rsid w:val="004B58D1"/>
    <w:rsid w:val="004B75BB"/>
    <w:rsid w:val="004C5BE8"/>
    <w:rsid w:val="004C68F8"/>
    <w:rsid w:val="004D0EB0"/>
    <w:rsid w:val="004D4588"/>
    <w:rsid w:val="004D4B99"/>
    <w:rsid w:val="004F0A38"/>
    <w:rsid w:val="004F3029"/>
    <w:rsid w:val="004F4654"/>
    <w:rsid w:val="00500DC7"/>
    <w:rsid w:val="00501B59"/>
    <w:rsid w:val="0050453A"/>
    <w:rsid w:val="00504C75"/>
    <w:rsid w:val="00511532"/>
    <w:rsid w:val="0051433A"/>
    <w:rsid w:val="00526640"/>
    <w:rsid w:val="00533E04"/>
    <w:rsid w:val="0053490A"/>
    <w:rsid w:val="00545F6E"/>
    <w:rsid w:val="00547DE9"/>
    <w:rsid w:val="00547E7D"/>
    <w:rsid w:val="00550CD9"/>
    <w:rsid w:val="005543D6"/>
    <w:rsid w:val="00554456"/>
    <w:rsid w:val="005601D1"/>
    <w:rsid w:val="00560991"/>
    <w:rsid w:val="0056358A"/>
    <w:rsid w:val="00563BBD"/>
    <w:rsid w:val="00564724"/>
    <w:rsid w:val="00567602"/>
    <w:rsid w:val="00570D76"/>
    <w:rsid w:val="00570D82"/>
    <w:rsid w:val="00571587"/>
    <w:rsid w:val="00571A9E"/>
    <w:rsid w:val="00582DDA"/>
    <w:rsid w:val="0058487B"/>
    <w:rsid w:val="00585379"/>
    <w:rsid w:val="005909A6"/>
    <w:rsid w:val="00590CE0"/>
    <w:rsid w:val="00593541"/>
    <w:rsid w:val="00595034"/>
    <w:rsid w:val="005A055B"/>
    <w:rsid w:val="005A2447"/>
    <w:rsid w:val="005A544A"/>
    <w:rsid w:val="005B1F67"/>
    <w:rsid w:val="005B2E50"/>
    <w:rsid w:val="005B4C56"/>
    <w:rsid w:val="005C41D9"/>
    <w:rsid w:val="005C6A1E"/>
    <w:rsid w:val="005D04B7"/>
    <w:rsid w:val="005D297C"/>
    <w:rsid w:val="005D6F11"/>
    <w:rsid w:val="005E77E4"/>
    <w:rsid w:val="005F5F02"/>
    <w:rsid w:val="005F7E9D"/>
    <w:rsid w:val="006012E4"/>
    <w:rsid w:val="00607408"/>
    <w:rsid w:val="0062182B"/>
    <w:rsid w:val="006237D6"/>
    <w:rsid w:val="006263DE"/>
    <w:rsid w:val="006352E7"/>
    <w:rsid w:val="00645FB5"/>
    <w:rsid w:val="00647E00"/>
    <w:rsid w:val="006502DB"/>
    <w:rsid w:val="006601F5"/>
    <w:rsid w:val="00661018"/>
    <w:rsid w:val="006638BA"/>
    <w:rsid w:val="00667E38"/>
    <w:rsid w:val="0067203C"/>
    <w:rsid w:val="00680C46"/>
    <w:rsid w:val="0068361C"/>
    <w:rsid w:val="0069582D"/>
    <w:rsid w:val="0069603F"/>
    <w:rsid w:val="0069675F"/>
    <w:rsid w:val="006C0EC4"/>
    <w:rsid w:val="006C29D5"/>
    <w:rsid w:val="006D00F8"/>
    <w:rsid w:val="006D139D"/>
    <w:rsid w:val="006D23F1"/>
    <w:rsid w:val="006D6C0E"/>
    <w:rsid w:val="006E10F7"/>
    <w:rsid w:val="006F3037"/>
    <w:rsid w:val="006F3103"/>
    <w:rsid w:val="006F65FE"/>
    <w:rsid w:val="006F7559"/>
    <w:rsid w:val="00711B9E"/>
    <w:rsid w:val="0072000B"/>
    <w:rsid w:val="0072040A"/>
    <w:rsid w:val="00723236"/>
    <w:rsid w:val="00724759"/>
    <w:rsid w:val="0072793A"/>
    <w:rsid w:val="00733174"/>
    <w:rsid w:val="00733BD7"/>
    <w:rsid w:val="007352C3"/>
    <w:rsid w:val="00735D8C"/>
    <w:rsid w:val="00737114"/>
    <w:rsid w:val="0075167C"/>
    <w:rsid w:val="00751AE1"/>
    <w:rsid w:val="00751D64"/>
    <w:rsid w:val="00752CE1"/>
    <w:rsid w:val="007557FF"/>
    <w:rsid w:val="00755B19"/>
    <w:rsid w:val="007633EC"/>
    <w:rsid w:val="00763ACD"/>
    <w:rsid w:val="007662F6"/>
    <w:rsid w:val="0077082E"/>
    <w:rsid w:val="00772A8D"/>
    <w:rsid w:val="00786210"/>
    <w:rsid w:val="00792B58"/>
    <w:rsid w:val="00792D94"/>
    <w:rsid w:val="00795578"/>
    <w:rsid w:val="00796DA8"/>
    <w:rsid w:val="007A373F"/>
    <w:rsid w:val="007B08DA"/>
    <w:rsid w:val="007B66F0"/>
    <w:rsid w:val="007B6E38"/>
    <w:rsid w:val="007C4BA8"/>
    <w:rsid w:val="007C76AC"/>
    <w:rsid w:val="007D00A6"/>
    <w:rsid w:val="007D6C82"/>
    <w:rsid w:val="007D6E3C"/>
    <w:rsid w:val="007E251D"/>
    <w:rsid w:val="007E5C6F"/>
    <w:rsid w:val="007F10A6"/>
    <w:rsid w:val="008002D3"/>
    <w:rsid w:val="00804E4F"/>
    <w:rsid w:val="00810743"/>
    <w:rsid w:val="00810E0F"/>
    <w:rsid w:val="00812772"/>
    <w:rsid w:val="008211C8"/>
    <w:rsid w:val="00822FCC"/>
    <w:rsid w:val="00832D8D"/>
    <w:rsid w:val="00833EA8"/>
    <w:rsid w:val="008349E8"/>
    <w:rsid w:val="00837AF0"/>
    <w:rsid w:val="00844DD8"/>
    <w:rsid w:val="00845ED1"/>
    <w:rsid w:val="0085119E"/>
    <w:rsid w:val="00851FBB"/>
    <w:rsid w:val="00855953"/>
    <w:rsid w:val="0087342A"/>
    <w:rsid w:val="00877B96"/>
    <w:rsid w:val="008805AC"/>
    <w:rsid w:val="00881F53"/>
    <w:rsid w:val="0088253F"/>
    <w:rsid w:val="00890FB6"/>
    <w:rsid w:val="008927F4"/>
    <w:rsid w:val="008A02D6"/>
    <w:rsid w:val="008A6BA6"/>
    <w:rsid w:val="008A6DA6"/>
    <w:rsid w:val="008B23B9"/>
    <w:rsid w:val="008B5224"/>
    <w:rsid w:val="008B5BDC"/>
    <w:rsid w:val="008B6253"/>
    <w:rsid w:val="008C0F4B"/>
    <w:rsid w:val="008C383B"/>
    <w:rsid w:val="008C40C7"/>
    <w:rsid w:val="008C687B"/>
    <w:rsid w:val="008D4B79"/>
    <w:rsid w:val="008E17D3"/>
    <w:rsid w:val="008E1D15"/>
    <w:rsid w:val="008E43C3"/>
    <w:rsid w:val="00902938"/>
    <w:rsid w:val="00903DF1"/>
    <w:rsid w:val="00911008"/>
    <w:rsid w:val="0091353C"/>
    <w:rsid w:val="00913EC8"/>
    <w:rsid w:val="00923220"/>
    <w:rsid w:val="009236B2"/>
    <w:rsid w:val="00924D26"/>
    <w:rsid w:val="009266EF"/>
    <w:rsid w:val="00931C51"/>
    <w:rsid w:val="00933FF5"/>
    <w:rsid w:val="009363AD"/>
    <w:rsid w:val="009363CC"/>
    <w:rsid w:val="00936D60"/>
    <w:rsid w:val="0094078E"/>
    <w:rsid w:val="0094267A"/>
    <w:rsid w:val="00945A9D"/>
    <w:rsid w:val="009516E6"/>
    <w:rsid w:val="00956424"/>
    <w:rsid w:val="00965E9A"/>
    <w:rsid w:val="00966166"/>
    <w:rsid w:val="00966269"/>
    <w:rsid w:val="009678F3"/>
    <w:rsid w:val="00973A8D"/>
    <w:rsid w:val="00980D74"/>
    <w:rsid w:val="009938CC"/>
    <w:rsid w:val="009944DB"/>
    <w:rsid w:val="00994EDF"/>
    <w:rsid w:val="009A7D29"/>
    <w:rsid w:val="009B705D"/>
    <w:rsid w:val="009C1073"/>
    <w:rsid w:val="009C2C1E"/>
    <w:rsid w:val="009C4827"/>
    <w:rsid w:val="009C4CA0"/>
    <w:rsid w:val="009C5F8F"/>
    <w:rsid w:val="009C65F9"/>
    <w:rsid w:val="009D6831"/>
    <w:rsid w:val="009E0388"/>
    <w:rsid w:val="009F3413"/>
    <w:rsid w:val="00A00FE6"/>
    <w:rsid w:val="00A046A3"/>
    <w:rsid w:val="00A1084A"/>
    <w:rsid w:val="00A1301D"/>
    <w:rsid w:val="00A1683B"/>
    <w:rsid w:val="00A27A43"/>
    <w:rsid w:val="00A4309F"/>
    <w:rsid w:val="00A450A6"/>
    <w:rsid w:val="00A4558E"/>
    <w:rsid w:val="00A46D38"/>
    <w:rsid w:val="00A50D24"/>
    <w:rsid w:val="00A534AD"/>
    <w:rsid w:val="00A543D6"/>
    <w:rsid w:val="00A547D6"/>
    <w:rsid w:val="00A6763F"/>
    <w:rsid w:val="00A70679"/>
    <w:rsid w:val="00A73AF9"/>
    <w:rsid w:val="00A75719"/>
    <w:rsid w:val="00A80F43"/>
    <w:rsid w:val="00A9084E"/>
    <w:rsid w:val="00A92E5B"/>
    <w:rsid w:val="00A95BD7"/>
    <w:rsid w:val="00AB0F9A"/>
    <w:rsid w:val="00AB311E"/>
    <w:rsid w:val="00AB39BC"/>
    <w:rsid w:val="00AB4AF4"/>
    <w:rsid w:val="00AD08A6"/>
    <w:rsid w:val="00AD3976"/>
    <w:rsid w:val="00AD5911"/>
    <w:rsid w:val="00AD734F"/>
    <w:rsid w:val="00AE6C69"/>
    <w:rsid w:val="00AF3D43"/>
    <w:rsid w:val="00B0090A"/>
    <w:rsid w:val="00B103BF"/>
    <w:rsid w:val="00B10792"/>
    <w:rsid w:val="00B11EE8"/>
    <w:rsid w:val="00B12D15"/>
    <w:rsid w:val="00B163C5"/>
    <w:rsid w:val="00B168E6"/>
    <w:rsid w:val="00B24D55"/>
    <w:rsid w:val="00B25242"/>
    <w:rsid w:val="00B27871"/>
    <w:rsid w:val="00B306B7"/>
    <w:rsid w:val="00B33BCF"/>
    <w:rsid w:val="00B345B6"/>
    <w:rsid w:val="00B4100C"/>
    <w:rsid w:val="00B41195"/>
    <w:rsid w:val="00B42064"/>
    <w:rsid w:val="00B42A25"/>
    <w:rsid w:val="00B47F53"/>
    <w:rsid w:val="00B50B36"/>
    <w:rsid w:val="00B512D0"/>
    <w:rsid w:val="00B568F1"/>
    <w:rsid w:val="00B70F4E"/>
    <w:rsid w:val="00B72277"/>
    <w:rsid w:val="00B7261C"/>
    <w:rsid w:val="00B73527"/>
    <w:rsid w:val="00B77E6E"/>
    <w:rsid w:val="00B80050"/>
    <w:rsid w:val="00B8055A"/>
    <w:rsid w:val="00B921BB"/>
    <w:rsid w:val="00B93895"/>
    <w:rsid w:val="00B96FC3"/>
    <w:rsid w:val="00BA0B58"/>
    <w:rsid w:val="00BA3247"/>
    <w:rsid w:val="00BA4F5A"/>
    <w:rsid w:val="00BB05DC"/>
    <w:rsid w:val="00BD275C"/>
    <w:rsid w:val="00BD2C72"/>
    <w:rsid w:val="00BD3D19"/>
    <w:rsid w:val="00BD3E56"/>
    <w:rsid w:val="00BD50FB"/>
    <w:rsid w:val="00BD5EEB"/>
    <w:rsid w:val="00BD5F9F"/>
    <w:rsid w:val="00BD68A5"/>
    <w:rsid w:val="00BD74EC"/>
    <w:rsid w:val="00BE069B"/>
    <w:rsid w:val="00BE1D7D"/>
    <w:rsid w:val="00BE470E"/>
    <w:rsid w:val="00BF56CF"/>
    <w:rsid w:val="00C05724"/>
    <w:rsid w:val="00C10D28"/>
    <w:rsid w:val="00C13350"/>
    <w:rsid w:val="00C15F2E"/>
    <w:rsid w:val="00C20C72"/>
    <w:rsid w:val="00C2124D"/>
    <w:rsid w:val="00C30399"/>
    <w:rsid w:val="00C30E3F"/>
    <w:rsid w:val="00C3131E"/>
    <w:rsid w:val="00C35CD9"/>
    <w:rsid w:val="00C44890"/>
    <w:rsid w:val="00C44E47"/>
    <w:rsid w:val="00C45C1A"/>
    <w:rsid w:val="00C46220"/>
    <w:rsid w:val="00C60558"/>
    <w:rsid w:val="00C6453D"/>
    <w:rsid w:val="00C77085"/>
    <w:rsid w:val="00C8066F"/>
    <w:rsid w:val="00C809F9"/>
    <w:rsid w:val="00C8297A"/>
    <w:rsid w:val="00C86667"/>
    <w:rsid w:val="00C92EBC"/>
    <w:rsid w:val="00C94584"/>
    <w:rsid w:val="00CB72AD"/>
    <w:rsid w:val="00CC15C9"/>
    <w:rsid w:val="00CC5489"/>
    <w:rsid w:val="00CC5C7F"/>
    <w:rsid w:val="00CC6BA9"/>
    <w:rsid w:val="00CC7E05"/>
    <w:rsid w:val="00CD484C"/>
    <w:rsid w:val="00CD50EA"/>
    <w:rsid w:val="00CD6862"/>
    <w:rsid w:val="00CD6EC6"/>
    <w:rsid w:val="00CD7C4D"/>
    <w:rsid w:val="00CE2886"/>
    <w:rsid w:val="00CE311A"/>
    <w:rsid w:val="00CF040B"/>
    <w:rsid w:val="00CF3BA0"/>
    <w:rsid w:val="00D00934"/>
    <w:rsid w:val="00D05443"/>
    <w:rsid w:val="00D12565"/>
    <w:rsid w:val="00D26CB0"/>
    <w:rsid w:val="00D36031"/>
    <w:rsid w:val="00D3648A"/>
    <w:rsid w:val="00D3721F"/>
    <w:rsid w:val="00D43379"/>
    <w:rsid w:val="00D47568"/>
    <w:rsid w:val="00D50F7F"/>
    <w:rsid w:val="00D554AF"/>
    <w:rsid w:val="00D56CFA"/>
    <w:rsid w:val="00D56EF0"/>
    <w:rsid w:val="00D57DD8"/>
    <w:rsid w:val="00D614D2"/>
    <w:rsid w:val="00D7623A"/>
    <w:rsid w:val="00D7652A"/>
    <w:rsid w:val="00D769F2"/>
    <w:rsid w:val="00D77C83"/>
    <w:rsid w:val="00D815F0"/>
    <w:rsid w:val="00D8633C"/>
    <w:rsid w:val="00DA1B82"/>
    <w:rsid w:val="00DA2349"/>
    <w:rsid w:val="00DB3549"/>
    <w:rsid w:val="00DB761C"/>
    <w:rsid w:val="00DC1E69"/>
    <w:rsid w:val="00DC2305"/>
    <w:rsid w:val="00DD0DB2"/>
    <w:rsid w:val="00DD514E"/>
    <w:rsid w:val="00DE29C3"/>
    <w:rsid w:val="00DF131F"/>
    <w:rsid w:val="00DF5FAE"/>
    <w:rsid w:val="00E01996"/>
    <w:rsid w:val="00E02208"/>
    <w:rsid w:val="00E12F6A"/>
    <w:rsid w:val="00E1511F"/>
    <w:rsid w:val="00E21E50"/>
    <w:rsid w:val="00E24082"/>
    <w:rsid w:val="00E278BD"/>
    <w:rsid w:val="00E306EB"/>
    <w:rsid w:val="00E31443"/>
    <w:rsid w:val="00E336D2"/>
    <w:rsid w:val="00E35D2F"/>
    <w:rsid w:val="00E40C65"/>
    <w:rsid w:val="00E4144D"/>
    <w:rsid w:val="00E445DE"/>
    <w:rsid w:val="00E4536F"/>
    <w:rsid w:val="00E460ED"/>
    <w:rsid w:val="00E462F0"/>
    <w:rsid w:val="00E52306"/>
    <w:rsid w:val="00E561A9"/>
    <w:rsid w:val="00E5667C"/>
    <w:rsid w:val="00E6358D"/>
    <w:rsid w:val="00E6380D"/>
    <w:rsid w:val="00E63E54"/>
    <w:rsid w:val="00E63F2F"/>
    <w:rsid w:val="00E71805"/>
    <w:rsid w:val="00E723D1"/>
    <w:rsid w:val="00E742AE"/>
    <w:rsid w:val="00E7593D"/>
    <w:rsid w:val="00E76992"/>
    <w:rsid w:val="00E81087"/>
    <w:rsid w:val="00E834C5"/>
    <w:rsid w:val="00E87235"/>
    <w:rsid w:val="00E91029"/>
    <w:rsid w:val="00E922DF"/>
    <w:rsid w:val="00E92C01"/>
    <w:rsid w:val="00E9547B"/>
    <w:rsid w:val="00EA0740"/>
    <w:rsid w:val="00EA11EB"/>
    <w:rsid w:val="00EB3372"/>
    <w:rsid w:val="00EB6034"/>
    <w:rsid w:val="00EC0942"/>
    <w:rsid w:val="00EC43E1"/>
    <w:rsid w:val="00EC66B0"/>
    <w:rsid w:val="00ED0806"/>
    <w:rsid w:val="00ED38DC"/>
    <w:rsid w:val="00EE01EE"/>
    <w:rsid w:val="00EE2C0C"/>
    <w:rsid w:val="00EF73A3"/>
    <w:rsid w:val="00F004A0"/>
    <w:rsid w:val="00F006D1"/>
    <w:rsid w:val="00F131F1"/>
    <w:rsid w:val="00F154AA"/>
    <w:rsid w:val="00F172A8"/>
    <w:rsid w:val="00F207BD"/>
    <w:rsid w:val="00F255CC"/>
    <w:rsid w:val="00F26AE1"/>
    <w:rsid w:val="00F33393"/>
    <w:rsid w:val="00F37831"/>
    <w:rsid w:val="00F464A6"/>
    <w:rsid w:val="00F46B6D"/>
    <w:rsid w:val="00F56A08"/>
    <w:rsid w:val="00F64EE3"/>
    <w:rsid w:val="00F70324"/>
    <w:rsid w:val="00F73068"/>
    <w:rsid w:val="00F777EE"/>
    <w:rsid w:val="00F836DC"/>
    <w:rsid w:val="00F867FC"/>
    <w:rsid w:val="00F96BE2"/>
    <w:rsid w:val="00F96DDE"/>
    <w:rsid w:val="00F9742E"/>
    <w:rsid w:val="00FA3C9C"/>
    <w:rsid w:val="00FA612D"/>
    <w:rsid w:val="00FA68C2"/>
    <w:rsid w:val="00FA68E8"/>
    <w:rsid w:val="00FA6ECC"/>
    <w:rsid w:val="00FB2867"/>
    <w:rsid w:val="00FB4B11"/>
    <w:rsid w:val="00FC3CCC"/>
    <w:rsid w:val="00FD0EE1"/>
    <w:rsid w:val="00FE0F8D"/>
    <w:rsid w:val="00FE1C78"/>
    <w:rsid w:val="00FE5D3A"/>
    <w:rsid w:val="00FF6728"/>
    <w:rsid w:val="00FF7D1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96028F"/>
  <w15:docId w15:val="{15B37CD7-D761-4B1B-9251-218608DE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253"/>
    <w:pPr>
      <w:spacing w:after="200" w:line="276" w:lineRule="auto"/>
    </w:pPr>
    <w:rPr>
      <w:rFonts w:ascii="Times New Roman" w:hAnsi="Times New Roman" w:cs="Times New Roman"/>
      <w:sz w:val="24"/>
      <w:szCs w:val="24"/>
      <w:lang w:val="en-IE"/>
    </w:rPr>
  </w:style>
  <w:style w:type="paragraph" w:styleId="Heading1">
    <w:name w:val="heading 1"/>
    <w:basedOn w:val="Normal"/>
    <w:next w:val="Normal"/>
    <w:link w:val="Heading1Char"/>
    <w:uiPriority w:val="9"/>
    <w:qFormat/>
    <w:rsid w:val="008B6253"/>
    <w:pPr>
      <w:keepNext/>
      <w:keepLines/>
      <w:numPr>
        <w:numId w:val="3"/>
      </w:numPr>
      <w:spacing w:before="240" w:after="240" w:line="240" w:lineRule="auto"/>
      <w:outlineLvl w:val="0"/>
    </w:pPr>
    <w:rPr>
      <w:rFonts w:eastAsiaTheme="majorEastAsia" w:cstheme="majorBidi"/>
      <w:b/>
      <w:color w:val="0070C0"/>
      <w:sz w:val="32"/>
      <w:szCs w:val="32"/>
    </w:rPr>
  </w:style>
  <w:style w:type="paragraph" w:styleId="Heading2">
    <w:name w:val="heading 2"/>
    <w:basedOn w:val="Normal"/>
    <w:next w:val="Normal"/>
    <w:link w:val="Heading2Char"/>
    <w:uiPriority w:val="9"/>
    <w:semiHidden/>
    <w:unhideWhenUsed/>
    <w:qFormat/>
    <w:rsid w:val="007516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53"/>
    <w:rPr>
      <w:rFonts w:ascii="Times New Roman" w:eastAsiaTheme="majorEastAsia" w:hAnsi="Times New Roman" w:cstheme="majorBidi"/>
      <w:b/>
      <w:color w:val="0070C0"/>
      <w:sz w:val="32"/>
      <w:szCs w:val="32"/>
      <w:lang w:val="en-IE"/>
    </w:rPr>
  </w:style>
  <w:style w:type="paragraph" w:styleId="Header">
    <w:name w:val="header"/>
    <w:basedOn w:val="Normal"/>
    <w:link w:val="HeaderChar"/>
    <w:uiPriority w:val="99"/>
    <w:unhideWhenUsed/>
    <w:rsid w:val="008B6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253"/>
    <w:rPr>
      <w:rFonts w:ascii="Times New Roman" w:hAnsi="Times New Roman" w:cs="Times New Roman"/>
      <w:sz w:val="24"/>
      <w:szCs w:val="24"/>
      <w:lang w:val="en-IE"/>
    </w:rPr>
  </w:style>
  <w:style w:type="paragraph" w:styleId="Footer">
    <w:name w:val="footer"/>
    <w:basedOn w:val="Normal"/>
    <w:link w:val="FooterChar"/>
    <w:uiPriority w:val="99"/>
    <w:unhideWhenUsed/>
    <w:rsid w:val="008B6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253"/>
    <w:rPr>
      <w:rFonts w:ascii="Times New Roman" w:hAnsi="Times New Roman" w:cs="Times New Roman"/>
      <w:sz w:val="24"/>
      <w:szCs w:val="24"/>
      <w:lang w:val="en-IE"/>
    </w:rPr>
  </w:style>
  <w:style w:type="paragraph" w:customStyle="1" w:styleId="FooterCoverPage">
    <w:name w:val="Footer Cover Page"/>
    <w:basedOn w:val="Normal"/>
    <w:link w:val="FooterCoverPageChar"/>
    <w:rsid w:val="008B6253"/>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8B6253"/>
    <w:rPr>
      <w:rFonts w:ascii="Times New Roman" w:hAnsi="Times New Roman" w:cs="Times New Roman"/>
      <w:sz w:val="24"/>
      <w:szCs w:val="24"/>
      <w:lang w:val="en-IE"/>
    </w:rPr>
  </w:style>
  <w:style w:type="paragraph" w:customStyle="1" w:styleId="HeaderCoverPage">
    <w:name w:val="Header Cover Page"/>
    <w:basedOn w:val="Normal"/>
    <w:link w:val="HeaderCoverPageChar"/>
    <w:rsid w:val="008B6253"/>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8B6253"/>
    <w:rPr>
      <w:rFonts w:ascii="Times New Roman" w:hAnsi="Times New Roman" w:cs="Times New Roman"/>
      <w:sz w:val="24"/>
      <w:szCs w:val="24"/>
      <w:lang w:val="en-IE"/>
    </w:r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sid w:val="008B6253"/>
    <w:rPr>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qFormat/>
    <w:rsid w:val="008B6253"/>
    <w:pPr>
      <w:spacing w:after="0" w:line="240" w:lineRule="auto"/>
      <w:ind w:left="720" w:hanging="720"/>
      <w:jc w:val="both"/>
    </w:pPr>
    <w:rPr>
      <w:rFonts w:eastAsia="Times New Roman"/>
      <w:sz w:val="20"/>
      <w:szCs w:val="20"/>
      <w:lang w:val="en-GB"/>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basedOn w:val="DefaultParagraphFont"/>
    <w:link w:val="FootnoteText"/>
    <w:uiPriority w:val="99"/>
    <w:rsid w:val="008B6253"/>
    <w:rPr>
      <w:rFonts w:ascii="Times New Roman" w:eastAsia="Times New Roman" w:hAnsi="Times New Roman" w:cs="Times New Roman"/>
      <w:sz w:val="20"/>
      <w:szCs w:val="20"/>
      <w:lang w:val="en-GB"/>
    </w:rPr>
  </w:style>
  <w:style w:type="paragraph" w:styleId="TOC1">
    <w:name w:val="toc 1"/>
    <w:basedOn w:val="Normal"/>
    <w:next w:val="Normal"/>
    <w:uiPriority w:val="39"/>
    <w:qFormat/>
    <w:rsid w:val="008B6253"/>
    <w:pPr>
      <w:tabs>
        <w:tab w:val="right" w:leader="dot" w:pos="9071"/>
      </w:tabs>
      <w:spacing w:before="60" w:after="120" w:line="240" w:lineRule="auto"/>
      <w:ind w:left="850" w:hanging="850"/>
    </w:pPr>
    <w:rPr>
      <w:rFonts w:eastAsia="Times New Roman"/>
      <w:lang w:val="en-GB"/>
    </w:rPr>
  </w:style>
  <w:style w:type="paragraph" w:styleId="TOCHeading">
    <w:name w:val="TOC Heading"/>
    <w:basedOn w:val="Normal"/>
    <w:next w:val="Normal"/>
    <w:link w:val="TOCHeadingChar"/>
    <w:uiPriority w:val="39"/>
    <w:qFormat/>
    <w:rsid w:val="008B6253"/>
    <w:pPr>
      <w:spacing w:before="120" w:after="240" w:line="240" w:lineRule="auto"/>
      <w:jc w:val="center"/>
    </w:pPr>
    <w:rPr>
      <w:rFonts w:eastAsia="Times New Roman"/>
      <w:b/>
      <w:sz w:val="28"/>
      <w:lang w:val="en-GB"/>
    </w:rPr>
  </w:style>
  <w:style w:type="character" w:styleId="Hyperlink">
    <w:name w:val="Hyperlink"/>
    <w:uiPriority w:val="99"/>
    <w:rsid w:val="008B6253"/>
    <w:rPr>
      <w:rFonts w:cs="Times New Roman"/>
      <w:color w:val="0000FF"/>
      <w:u w:val="single"/>
      <w:shd w:val="clear" w:color="auto" w:fill="auto"/>
    </w:rPr>
  </w:style>
  <w:style w:type="character" w:customStyle="1" w:styleId="TOCHeadingChar">
    <w:name w:val="TOC Heading Char"/>
    <w:link w:val="TOCHeading"/>
    <w:uiPriority w:val="39"/>
    <w:rsid w:val="008B6253"/>
    <w:rPr>
      <w:rFonts w:ascii="Times New Roman" w:eastAsia="Times New Roman" w:hAnsi="Times New Roman" w:cs="Times New Roman"/>
      <w:b/>
      <w:sz w:val="28"/>
      <w:szCs w:val="24"/>
      <w:lang w:val="en-GB"/>
    </w:rPr>
  </w:style>
  <w:style w:type="paragraph" w:styleId="Subtitle">
    <w:name w:val="Subtitle"/>
    <w:basedOn w:val="Normal"/>
    <w:next w:val="Normal"/>
    <w:link w:val="SubtitleChar"/>
    <w:qFormat/>
    <w:rsid w:val="008B6253"/>
    <w:pPr>
      <w:spacing w:before="120" w:after="60" w:line="240" w:lineRule="auto"/>
      <w:jc w:val="center"/>
      <w:outlineLvl w:val="1"/>
    </w:pPr>
    <w:rPr>
      <w:rFonts w:ascii="Cambria" w:eastAsia="Times New Roman" w:hAnsi="Cambria"/>
      <w:lang w:val="en-GB"/>
    </w:rPr>
  </w:style>
  <w:style w:type="character" w:customStyle="1" w:styleId="SubtitleChar">
    <w:name w:val="Subtitle Char"/>
    <w:basedOn w:val="DefaultParagraphFont"/>
    <w:link w:val="Subtitle"/>
    <w:rsid w:val="008B6253"/>
    <w:rPr>
      <w:rFonts w:ascii="Cambria" w:eastAsia="Times New Roman" w:hAnsi="Cambria" w:cs="Times New Roman"/>
      <w:sz w:val="24"/>
      <w:szCs w:val="24"/>
      <w:lang w:val="en-GB"/>
    </w:rPr>
  </w:style>
  <w:style w:type="paragraph" w:styleId="NormalWeb">
    <w:name w:val="Normal (Web)"/>
    <w:basedOn w:val="Normal"/>
    <w:uiPriority w:val="99"/>
    <w:unhideWhenUsed/>
    <w:rsid w:val="008B6253"/>
    <w:pPr>
      <w:spacing w:before="100" w:beforeAutospacing="1" w:after="100" w:afterAutospacing="1" w:line="240" w:lineRule="auto"/>
    </w:pPr>
    <w:rPr>
      <w:rFonts w:eastAsia="Times New Roman"/>
      <w:lang w:val="en-GB" w:eastAsia="en-GB"/>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rsid w:val="008B6253"/>
    <w:pPr>
      <w:spacing w:after="160" w:line="240" w:lineRule="exact"/>
    </w:pPr>
    <w:rPr>
      <w:rFonts w:asciiTheme="minorHAnsi" w:hAnsiTheme="minorHAnsi" w:cstheme="minorBidi"/>
      <w:sz w:val="22"/>
      <w:szCs w:val="22"/>
      <w:vertAlign w:val="superscript"/>
      <w:lang w:val="en-US"/>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8B6253"/>
    <w:pPr>
      <w:spacing w:after="160" w:line="259" w:lineRule="auto"/>
      <w:ind w:left="720"/>
      <w:contextualSpacing/>
    </w:pPr>
    <w:rPr>
      <w:rFonts w:asciiTheme="minorHAnsi" w:hAnsiTheme="minorHAnsi" w:cstheme="minorBidi"/>
      <w:sz w:val="22"/>
      <w:szCs w:val="22"/>
      <w:lang w:val="en-GB"/>
    </w:rPr>
  </w:style>
  <w:style w:type="character" w:styleId="IntenseReference">
    <w:name w:val="Intense Reference"/>
    <w:basedOn w:val="DefaultParagraphFont"/>
    <w:uiPriority w:val="32"/>
    <w:qFormat/>
    <w:rsid w:val="008B6253"/>
    <w:rPr>
      <w:b/>
      <w:bCs/>
      <w:smallCaps/>
      <w:color w:val="5B9BD5" w:themeColor="accent1"/>
      <w:spacing w:val="5"/>
    </w:rPr>
  </w:style>
  <w:style w:type="table" w:styleId="GridTable1Light-Accent1">
    <w:name w:val="Grid Table 1 Light Accent 1"/>
    <w:basedOn w:val="TableNormal"/>
    <w:uiPriority w:val="46"/>
    <w:rsid w:val="008B6253"/>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locked/>
    <w:rsid w:val="008B6253"/>
    <w:rPr>
      <w:lang w:val="en-GB"/>
    </w:rPr>
  </w:style>
  <w:style w:type="table" w:customStyle="1" w:styleId="TableGrid1">
    <w:name w:val="Table Grid1"/>
    <w:basedOn w:val="TableNormal"/>
    <w:next w:val="TableGrid"/>
    <w:uiPriority w:val="39"/>
    <w:rsid w:val="008B6253"/>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8B6253"/>
    <w:rPr>
      <w:color w:val="0000FF"/>
      <w:shd w:val="clear" w:color="auto" w:fill="auto"/>
    </w:rPr>
  </w:style>
  <w:style w:type="paragraph" w:customStyle="1" w:styleId="Pagedecouverture">
    <w:name w:val="Page de couverture"/>
    <w:basedOn w:val="Normal"/>
    <w:next w:val="Normal"/>
    <w:rsid w:val="008B6253"/>
    <w:pPr>
      <w:spacing w:after="0" w:line="240" w:lineRule="auto"/>
      <w:jc w:val="both"/>
    </w:pPr>
    <w:rPr>
      <w:szCs w:val="22"/>
    </w:rPr>
  </w:style>
  <w:style w:type="paragraph" w:customStyle="1" w:styleId="FooterSensitivity">
    <w:name w:val="Footer Sensitivity"/>
    <w:basedOn w:val="Normal"/>
    <w:link w:val="FooterSensitivityChar"/>
    <w:rsid w:val="008B625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TOCHeadingChar"/>
    <w:link w:val="FooterSensitivity"/>
    <w:rsid w:val="008B6253"/>
    <w:rPr>
      <w:rFonts w:ascii="Times New Roman" w:eastAsia="Times New Roman" w:hAnsi="Times New Roman" w:cs="Times New Roman"/>
      <w:b/>
      <w:sz w:val="32"/>
      <w:szCs w:val="24"/>
      <w:lang w:val="en-IE"/>
    </w:rPr>
  </w:style>
  <w:style w:type="paragraph" w:customStyle="1" w:styleId="HeaderSensitivity">
    <w:name w:val="Header Sensitivity"/>
    <w:basedOn w:val="Normal"/>
    <w:link w:val="HeaderSensitivityChar"/>
    <w:rsid w:val="008B6253"/>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TOCHeadingChar"/>
    <w:link w:val="HeaderSensitivity"/>
    <w:rsid w:val="008B6253"/>
    <w:rPr>
      <w:rFonts w:ascii="Times New Roman" w:eastAsia="Times New Roman" w:hAnsi="Times New Roman" w:cs="Times New Roman"/>
      <w:b/>
      <w:sz w:val="32"/>
      <w:szCs w:val="24"/>
      <w:lang w:val="en-IE"/>
    </w:rPr>
  </w:style>
  <w:style w:type="paragraph" w:customStyle="1" w:styleId="HeaderSensitivityRight">
    <w:name w:val="Header Sensitivity Right"/>
    <w:basedOn w:val="Normal"/>
    <w:link w:val="HeaderSensitivityRightChar"/>
    <w:rsid w:val="008B6253"/>
    <w:pPr>
      <w:spacing w:after="120" w:line="240" w:lineRule="auto"/>
      <w:jc w:val="right"/>
    </w:pPr>
    <w:rPr>
      <w:sz w:val="28"/>
    </w:rPr>
  </w:style>
  <w:style w:type="character" w:customStyle="1" w:styleId="HeaderSensitivityRightChar">
    <w:name w:val="Header Sensitivity Right Char"/>
    <w:basedOn w:val="TOCHeadingChar"/>
    <w:link w:val="HeaderSensitivityRight"/>
    <w:rsid w:val="008B6253"/>
    <w:rPr>
      <w:rFonts w:ascii="Times New Roman" w:eastAsia="Times New Roman" w:hAnsi="Times New Roman" w:cs="Times New Roman"/>
      <w:b w:val="0"/>
      <w:sz w:val="28"/>
      <w:szCs w:val="24"/>
      <w:lang w:val="en-IE"/>
    </w:rPr>
  </w:style>
  <w:style w:type="table" w:customStyle="1" w:styleId="TableGrid11">
    <w:name w:val="Table Grid11"/>
    <w:basedOn w:val="TableNormal"/>
    <w:next w:val="TableGrid"/>
    <w:uiPriority w:val="39"/>
    <w:rsid w:val="00804E4F"/>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54AF"/>
    <w:pPr>
      <w:spacing w:after="100"/>
      <w:ind w:left="240"/>
    </w:pPr>
  </w:style>
  <w:style w:type="character" w:styleId="CommentReference">
    <w:name w:val="annotation reference"/>
    <w:basedOn w:val="DefaultParagraphFont"/>
    <w:uiPriority w:val="99"/>
    <w:semiHidden/>
    <w:unhideWhenUsed/>
    <w:rsid w:val="00D56EF0"/>
    <w:rPr>
      <w:sz w:val="16"/>
      <w:szCs w:val="16"/>
    </w:rPr>
  </w:style>
  <w:style w:type="paragraph" w:styleId="CommentText">
    <w:name w:val="annotation text"/>
    <w:basedOn w:val="Normal"/>
    <w:link w:val="CommentTextChar"/>
    <w:uiPriority w:val="99"/>
    <w:unhideWhenUsed/>
    <w:rsid w:val="00D56EF0"/>
    <w:pPr>
      <w:spacing w:line="240" w:lineRule="auto"/>
    </w:pPr>
    <w:rPr>
      <w:sz w:val="20"/>
      <w:szCs w:val="20"/>
    </w:rPr>
  </w:style>
  <w:style w:type="character" w:customStyle="1" w:styleId="CommentTextChar">
    <w:name w:val="Comment Text Char"/>
    <w:basedOn w:val="DefaultParagraphFont"/>
    <w:link w:val="CommentText"/>
    <w:uiPriority w:val="99"/>
    <w:rsid w:val="00D56EF0"/>
    <w:rPr>
      <w:rFonts w:ascii="Times New Roman" w:hAnsi="Times New Roman" w:cs="Times New Roman"/>
      <w:sz w:val="20"/>
      <w:szCs w:val="20"/>
      <w:lang w:val="en-IE"/>
    </w:rPr>
  </w:style>
  <w:style w:type="paragraph" w:styleId="BalloonText">
    <w:name w:val="Balloon Text"/>
    <w:basedOn w:val="Normal"/>
    <w:link w:val="BalloonTextChar"/>
    <w:uiPriority w:val="99"/>
    <w:semiHidden/>
    <w:unhideWhenUsed/>
    <w:rsid w:val="00D5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0"/>
    <w:rPr>
      <w:rFonts w:ascii="Segoe UI" w:hAnsi="Segoe UI" w:cs="Segoe UI"/>
      <w:sz w:val="18"/>
      <w:szCs w:val="18"/>
      <w:lang w:val="en-IE"/>
    </w:rPr>
  </w:style>
  <w:style w:type="paragraph" w:styleId="CommentSubject">
    <w:name w:val="annotation subject"/>
    <w:basedOn w:val="CommentText"/>
    <w:next w:val="CommentText"/>
    <w:link w:val="CommentSubjectChar"/>
    <w:uiPriority w:val="99"/>
    <w:semiHidden/>
    <w:unhideWhenUsed/>
    <w:rsid w:val="002B7257"/>
    <w:rPr>
      <w:b/>
      <w:bCs/>
    </w:rPr>
  </w:style>
  <w:style w:type="character" w:customStyle="1" w:styleId="CommentSubjectChar">
    <w:name w:val="Comment Subject Char"/>
    <w:basedOn w:val="CommentTextChar"/>
    <w:link w:val="CommentSubject"/>
    <w:uiPriority w:val="99"/>
    <w:semiHidden/>
    <w:rsid w:val="002B7257"/>
    <w:rPr>
      <w:rFonts w:ascii="Times New Roman" w:hAnsi="Times New Roman" w:cs="Times New Roman"/>
      <w:b/>
      <w:bCs/>
      <w:sz w:val="20"/>
      <w:szCs w:val="20"/>
      <w:lang w:val="en-IE"/>
    </w:rPr>
  </w:style>
  <w:style w:type="paragraph" w:styleId="Revision">
    <w:name w:val="Revision"/>
    <w:hidden/>
    <w:uiPriority w:val="99"/>
    <w:semiHidden/>
    <w:rsid w:val="00E834C5"/>
    <w:pPr>
      <w:spacing w:after="0" w:line="240" w:lineRule="auto"/>
    </w:pPr>
    <w:rPr>
      <w:rFonts w:ascii="Times New Roman" w:hAnsi="Times New Roman" w:cs="Times New Roman"/>
      <w:sz w:val="24"/>
      <w:szCs w:val="24"/>
      <w:lang w:val="en-IE"/>
    </w:rPr>
  </w:style>
  <w:style w:type="character" w:styleId="Strong">
    <w:name w:val="Strong"/>
    <w:basedOn w:val="DefaultParagraphFont"/>
    <w:uiPriority w:val="22"/>
    <w:qFormat/>
    <w:rsid w:val="00BD275C"/>
    <w:rPr>
      <w:b/>
      <w:bCs/>
    </w:rPr>
  </w:style>
  <w:style w:type="character" w:customStyle="1" w:styleId="Heading2Char">
    <w:name w:val="Heading 2 Char"/>
    <w:basedOn w:val="DefaultParagraphFont"/>
    <w:link w:val="Heading2"/>
    <w:uiPriority w:val="9"/>
    <w:semiHidden/>
    <w:rsid w:val="0075167C"/>
    <w:rPr>
      <w:rFonts w:asciiTheme="majorHAnsi" w:eastAsiaTheme="majorEastAsia" w:hAnsiTheme="majorHAnsi" w:cstheme="majorBidi"/>
      <w:color w:val="2E74B5" w:themeColor="accent1" w:themeShade="BF"/>
      <w:sz w:val="26"/>
      <w:szCs w:val="26"/>
      <w:lang w:val="en-IE"/>
    </w:rPr>
  </w:style>
  <w:style w:type="character" w:styleId="FollowedHyperlink">
    <w:name w:val="FollowedHyperlink"/>
    <w:basedOn w:val="DefaultParagraphFont"/>
    <w:uiPriority w:val="99"/>
    <w:semiHidden/>
    <w:unhideWhenUsed/>
    <w:rsid w:val="001C3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65">
      <w:bodyDiv w:val="1"/>
      <w:marLeft w:val="0"/>
      <w:marRight w:val="0"/>
      <w:marTop w:val="0"/>
      <w:marBottom w:val="0"/>
      <w:divBdr>
        <w:top w:val="none" w:sz="0" w:space="0" w:color="auto"/>
        <w:left w:val="none" w:sz="0" w:space="0" w:color="auto"/>
        <w:bottom w:val="none" w:sz="0" w:space="0" w:color="auto"/>
        <w:right w:val="none" w:sz="0" w:space="0" w:color="auto"/>
      </w:divBdr>
    </w:div>
    <w:div w:id="34670410">
      <w:bodyDiv w:val="1"/>
      <w:marLeft w:val="0"/>
      <w:marRight w:val="0"/>
      <w:marTop w:val="0"/>
      <w:marBottom w:val="0"/>
      <w:divBdr>
        <w:top w:val="none" w:sz="0" w:space="0" w:color="auto"/>
        <w:left w:val="none" w:sz="0" w:space="0" w:color="auto"/>
        <w:bottom w:val="none" w:sz="0" w:space="0" w:color="auto"/>
        <w:right w:val="none" w:sz="0" w:space="0" w:color="auto"/>
      </w:divBdr>
    </w:div>
    <w:div w:id="84570062">
      <w:bodyDiv w:val="1"/>
      <w:marLeft w:val="0"/>
      <w:marRight w:val="0"/>
      <w:marTop w:val="0"/>
      <w:marBottom w:val="0"/>
      <w:divBdr>
        <w:top w:val="none" w:sz="0" w:space="0" w:color="auto"/>
        <w:left w:val="none" w:sz="0" w:space="0" w:color="auto"/>
        <w:bottom w:val="none" w:sz="0" w:space="0" w:color="auto"/>
        <w:right w:val="none" w:sz="0" w:space="0" w:color="auto"/>
      </w:divBdr>
    </w:div>
    <w:div w:id="115149302">
      <w:bodyDiv w:val="1"/>
      <w:marLeft w:val="0"/>
      <w:marRight w:val="0"/>
      <w:marTop w:val="0"/>
      <w:marBottom w:val="0"/>
      <w:divBdr>
        <w:top w:val="none" w:sz="0" w:space="0" w:color="auto"/>
        <w:left w:val="none" w:sz="0" w:space="0" w:color="auto"/>
        <w:bottom w:val="none" w:sz="0" w:space="0" w:color="auto"/>
        <w:right w:val="none" w:sz="0" w:space="0" w:color="auto"/>
      </w:divBdr>
    </w:div>
    <w:div w:id="204485303">
      <w:bodyDiv w:val="1"/>
      <w:marLeft w:val="0"/>
      <w:marRight w:val="0"/>
      <w:marTop w:val="0"/>
      <w:marBottom w:val="0"/>
      <w:divBdr>
        <w:top w:val="none" w:sz="0" w:space="0" w:color="auto"/>
        <w:left w:val="none" w:sz="0" w:space="0" w:color="auto"/>
        <w:bottom w:val="none" w:sz="0" w:space="0" w:color="auto"/>
        <w:right w:val="none" w:sz="0" w:space="0" w:color="auto"/>
      </w:divBdr>
    </w:div>
    <w:div w:id="210462789">
      <w:bodyDiv w:val="1"/>
      <w:marLeft w:val="0"/>
      <w:marRight w:val="0"/>
      <w:marTop w:val="0"/>
      <w:marBottom w:val="0"/>
      <w:divBdr>
        <w:top w:val="none" w:sz="0" w:space="0" w:color="auto"/>
        <w:left w:val="none" w:sz="0" w:space="0" w:color="auto"/>
        <w:bottom w:val="none" w:sz="0" w:space="0" w:color="auto"/>
        <w:right w:val="none" w:sz="0" w:space="0" w:color="auto"/>
      </w:divBdr>
    </w:div>
    <w:div w:id="226034699">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65578364">
      <w:bodyDiv w:val="1"/>
      <w:marLeft w:val="0"/>
      <w:marRight w:val="0"/>
      <w:marTop w:val="0"/>
      <w:marBottom w:val="0"/>
      <w:divBdr>
        <w:top w:val="none" w:sz="0" w:space="0" w:color="auto"/>
        <w:left w:val="none" w:sz="0" w:space="0" w:color="auto"/>
        <w:bottom w:val="none" w:sz="0" w:space="0" w:color="auto"/>
        <w:right w:val="none" w:sz="0" w:space="0" w:color="auto"/>
      </w:divBdr>
    </w:div>
    <w:div w:id="279189576">
      <w:bodyDiv w:val="1"/>
      <w:marLeft w:val="0"/>
      <w:marRight w:val="0"/>
      <w:marTop w:val="0"/>
      <w:marBottom w:val="0"/>
      <w:divBdr>
        <w:top w:val="none" w:sz="0" w:space="0" w:color="auto"/>
        <w:left w:val="none" w:sz="0" w:space="0" w:color="auto"/>
        <w:bottom w:val="none" w:sz="0" w:space="0" w:color="auto"/>
        <w:right w:val="none" w:sz="0" w:space="0" w:color="auto"/>
      </w:divBdr>
    </w:div>
    <w:div w:id="284119342">
      <w:bodyDiv w:val="1"/>
      <w:marLeft w:val="0"/>
      <w:marRight w:val="0"/>
      <w:marTop w:val="0"/>
      <w:marBottom w:val="0"/>
      <w:divBdr>
        <w:top w:val="none" w:sz="0" w:space="0" w:color="auto"/>
        <w:left w:val="none" w:sz="0" w:space="0" w:color="auto"/>
        <w:bottom w:val="none" w:sz="0" w:space="0" w:color="auto"/>
        <w:right w:val="none" w:sz="0" w:space="0" w:color="auto"/>
      </w:divBdr>
    </w:div>
    <w:div w:id="295723376">
      <w:bodyDiv w:val="1"/>
      <w:marLeft w:val="0"/>
      <w:marRight w:val="0"/>
      <w:marTop w:val="0"/>
      <w:marBottom w:val="0"/>
      <w:divBdr>
        <w:top w:val="none" w:sz="0" w:space="0" w:color="auto"/>
        <w:left w:val="none" w:sz="0" w:space="0" w:color="auto"/>
        <w:bottom w:val="none" w:sz="0" w:space="0" w:color="auto"/>
        <w:right w:val="none" w:sz="0" w:space="0" w:color="auto"/>
      </w:divBdr>
    </w:div>
    <w:div w:id="297810240">
      <w:bodyDiv w:val="1"/>
      <w:marLeft w:val="0"/>
      <w:marRight w:val="0"/>
      <w:marTop w:val="0"/>
      <w:marBottom w:val="0"/>
      <w:divBdr>
        <w:top w:val="none" w:sz="0" w:space="0" w:color="auto"/>
        <w:left w:val="none" w:sz="0" w:space="0" w:color="auto"/>
        <w:bottom w:val="none" w:sz="0" w:space="0" w:color="auto"/>
        <w:right w:val="none" w:sz="0" w:space="0" w:color="auto"/>
      </w:divBdr>
    </w:div>
    <w:div w:id="303391389">
      <w:bodyDiv w:val="1"/>
      <w:marLeft w:val="0"/>
      <w:marRight w:val="0"/>
      <w:marTop w:val="0"/>
      <w:marBottom w:val="0"/>
      <w:divBdr>
        <w:top w:val="none" w:sz="0" w:space="0" w:color="auto"/>
        <w:left w:val="none" w:sz="0" w:space="0" w:color="auto"/>
        <w:bottom w:val="none" w:sz="0" w:space="0" w:color="auto"/>
        <w:right w:val="none" w:sz="0" w:space="0" w:color="auto"/>
      </w:divBdr>
    </w:div>
    <w:div w:id="321785287">
      <w:bodyDiv w:val="1"/>
      <w:marLeft w:val="0"/>
      <w:marRight w:val="0"/>
      <w:marTop w:val="0"/>
      <w:marBottom w:val="0"/>
      <w:divBdr>
        <w:top w:val="none" w:sz="0" w:space="0" w:color="auto"/>
        <w:left w:val="none" w:sz="0" w:space="0" w:color="auto"/>
        <w:bottom w:val="none" w:sz="0" w:space="0" w:color="auto"/>
        <w:right w:val="none" w:sz="0" w:space="0" w:color="auto"/>
      </w:divBdr>
    </w:div>
    <w:div w:id="340161298">
      <w:bodyDiv w:val="1"/>
      <w:marLeft w:val="0"/>
      <w:marRight w:val="0"/>
      <w:marTop w:val="0"/>
      <w:marBottom w:val="0"/>
      <w:divBdr>
        <w:top w:val="none" w:sz="0" w:space="0" w:color="auto"/>
        <w:left w:val="none" w:sz="0" w:space="0" w:color="auto"/>
        <w:bottom w:val="none" w:sz="0" w:space="0" w:color="auto"/>
        <w:right w:val="none" w:sz="0" w:space="0" w:color="auto"/>
      </w:divBdr>
    </w:div>
    <w:div w:id="351421111">
      <w:bodyDiv w:val="1"/>
      <w:marLeft w:val="0"/>
      <w:marRight w:val="0"/>
      <w:marTop w:val="0"/>
      <w:marBottom w:val="0"/>
      <w:divBdr>
        <w:top w:val="none" w:sz="0" w:space="0" w:color="auto"/>
        <w:left w:val="none" w:sz="0" w:space="0" w:color="auto"/>
        <w:bottom w:val="none" w:sz="0" w:space="0" w:color="auto"/>
        <w:right w:val="none" w:sz="0" w:space="0" w:color="auto"/>
      </w:divBdr>
    </w:div>
    <w:div w:id="364604937">
      <w:bodyDiv w:val="1"/>
      <w:marLeft w:val="0"/>
      <w:marRight w:val="0"/>
      <w:marTop w:val="0"/>
      <w:marBottom w:val="0"/>
      <w:divBdr>
        <w:top w:val="none" w:sz="0" w:space="0" w:color="auto"/>
        <w:left w:val="none" w:sz="0" w:space="0" w:color="auto"/>
        <w:bottom w:val="none" w:sz="0" w:space="0" w:color="auto"/>
        <w:right w:val="none" w:sz="0" w:space="0" w:color="auto"/>
      </w:divBdr>
    </w:div>
    <w:div w:id="393508607">
      <w:bodyDiv w:val="1"/>
      <w:marLeft w:val="0"/>
      <w:marRight w:val="0"/>
      <w:marTop w:val="0"/>
      <w:marBottom w:val="0"/>
      <w:divBdr>
        <w:top w:val="none" w:sz="0" w:space="0" w:color="auto"/>
        <w:left w:val="none" w:sz="0" w:space="0" w:color="auto"/>
        <w:bottom w:val="none" w:sz="0" w:space="0" w:color="auto"/>
        <w:right w:val="none" w:sz="0" w:space="0" w:color="auto"/>
      </w:divBdr>
    </w:div>
    <w:div w:id="405684663">
      <w:bodyDiv w:val="1"/>
      <w:marLeft w:val="0"/>
      <w:marRight w:val="0"/>
      <w:marTop w:val="0"/>
      <w:marBottom w:val="0"/>
      <w:divBdr>
        <w:top w:val="none" w:sz="0" w:space="0" w:color="auto"/>
        <w:left w:val="none" w:sz="0" w:space="0" w:color="auto"/>
        <w:bottom w:val="none" w:sz="0" w:space="0" w:color="auto"/>
        <w:right w:val="none" w:sz="0" w:space="0" w:color="auto"/>
      </w:divBdr>
    </w:div>
    <w:div w:id="442266534">
      <w:bodyDiv w:val="1"/>
      <w:marLeft w:val="0"/>
      <w:marRight w:val="0"/>
      <w:marTop w:val="0"/>
      <w:marBottom w:val="0"/>
      <w:divBdr>
        <w:top w:val="none" w:sz="0" w:space="0" w:color="auto"/>
        <w:left w:val="none" w:sz="0" w:space="0" w:color="auto"/>
        <w:bottom w:val="none" w:sz="0" w:space="0" w:color="auto"/>
        <w:right w:val="none" w:sz="0" w:space="0" w:color="auto"/>
      </w:divBdr>
    </w:div>
    <w:div w:id="483670406">
      <w:bodyDiv w:val="1"/>
      <w:marLeft w:val="0"/>
      <w:marRight w:val="0"/>
      <w:marTop w:val="0"/>
      <w:marBottom w:val="0"/>
      <w:divBdr>
        <w:top w:val="none" w:sz="0" w:space="0" w:color="auto"/>
        <w:left w:val="none" w:sz="0" w:space="0" w:color="auto"/>
        <w:bottom w:val="none" w:sz="0" w:space="0" w:color="auto"/>
        <w:right w:val="none" w:sz="0" w:space="0" w:color="auto"/>
      </w:divBdr>
    </w:div>
    <w:div w:id="595789768">
      <w:bodyDiv w:val="1"/>
      <w:marLeft w:val="0"/>
      <w:marRight w:val="0"/>
      <w:marTop w:val="0"/>
      <w:marBottom w:val="0"/>
      <w:divBdr>
        <w:top w:val="none" w:sz="0" w:space="0" w:color="auto"/>
        <w:left w:val="none" w:sz="0" w:space="0" w:color="auto"/>
        <w:bottom w:val="none" w:sz="0" w:space="0" w:color="auto"/>
        <w:right w:val="none" w:sz="0" w:space="0" w:color="auto"/>
      </w:divBdr>
    </w:div>
    <w:div w:id="596213421">
      <w:bodyDiv w:val="1"/>
      <w:marLeft w:val="0"/>
      <w:marRight w:val="0"/>
      <w:marTop w:val="0"/>
      <w:marBottom w:val="0"/>
      <w:divBdr>
        <w:top w:val="none" w:sz="0" w:space="0" w:color="auto"/>
        <w:left w:val="none" w:sz="0" w:space="0" w:color="auto"/>
        <w:bottom w:val="none" w:sz="0" w:space="0" w:color="auto"/>
        <w:right w:val="none" w:sz="0" w:space="0" w:color="auto"/>
      </w:divBdr>
    </w:div>
    <w:div w:id="608927152">
      <w:bodyDiv w:val="1"/>
      <w:marLeft w:val="0"/>
      <w:marRight w:val="0"/>
      <w:marTop w:val="0"/>
      <w:marBottom w:val="0"/>
      <w:divBdr>
        <w:top w:val="none" w:sz="0" w:space="0" w:color="auto"/>
        <w:left w:val="none" w:sz="0" w:space="0" w:color="auto"/>
        <w:bottom w:val="none" w:sz="0" w:space="0" w:color="auto"/>
        <w:right w:val="none" w:sz="0" w:space="0" w:color="auto"/>
      </w:divBdr>
    </w:div>
    <w:div w:id="652418492">
      <w:bodyDiv w:val="1"/>
      <w:marLeft w:val="0"/>
      <w:marRight w:val="0"/>
      <w:marTop w:val="0"/>
      <w:marBottom w:val="0"/>
      <w:divBdr>
        <w:top w:val="none" w:sz="0" w:space="0" w:color="auto"/>
        <w:left w:val="none" w:sz="0" w:space="0" w:color="auto"/>
        <w:bottom w:val="none" w:sz="0" w:space="0" w:color="auto"/>
        <w:right w:val="none" w:sz="0" w:space="0" w:color="auto"/>
      </w:divBdr>
    </w:div>
    <w:div w:id="663120349">
      <w:bodyDiv w:val="1"/>
      <w:marLeft w:val="0"/>
      <w:marRight w:val="0"/>
      <w:marTop w:val="0"/>
      <w:marBottom w:val="0"/>
      <w:divBdr>
        <w:top w:val="none" w:sz="0" w:space="0" w:color="auto"/>
        <w:left w:val="none" w:sz="0" w:space="0" w:color="auto"/>
        <w:bottom w:val="none" w:sz="0" w:space="0" w:color="auto"/>
        <w:right w:val="none" w:sz="0" w:space="0" w:color="auto"/>
      </w:divBdr>
    </w:div>
    <w:div w:id="666787323">
      <w:bodyDiv w:val="1"/>
      <w:marLeft w:val="0"/>
      <w:marRight w:val="0"/>
      <w:marTop w:val="0"/>
      <w:marBottom w:val="0"/>
      <w:divBdr>
        <w:top w:val="none" w:sz="0" w:space="0" w:color="auto"/>
        <w:left w:val="none" w:sz="0" w:space="0" w:color="auto"/>
        <w:bottom w:val="none" w:sz="0" w:space="0" w:color="auto"/>
        <w:right w:val="none" w:sz="0" w:space="0" w:color="auto"/>
      </w:divBdr>
    </w:div>
    <w:div w:id="709035680">
      <w:bodyDiv w:val="1"/>
      <w:marLeft w:val="0"/>
      <w:marRight w:val="0"/>
      <w:marTop w:val="0"/>
      <w:marBottom w:val="0"/>
      <w:divBdr>
        <w:top w:val="none" w:sz="0" w:space="0" w:color="auto"/>
        <w:left w:val="none" w:sz="0" w:space="0" w:color="auto"/>
        <w:bottom w:val="none" w:sz="0" w:space="0" w:color="auto"/>
        <w:right w:val="none" w:sz="0" w:space="0" w:color="auto"/>
      </w:divBdr>
    </w:div>
    <w:div w:id="722288728">
      <w:bodyDiv w:val="1"/>
      <w:marLeft w:val="0"/>
      <w:marRight w:val="0"/>
      <w:marTop w:val="0"/>
      <w:marBottom w:val="0"/>
      <w:divBdr>
        <w:top w:val="none" w:sz="0" w:space="0" w:color="auto"/>
        <w:left w:val="none" w:sz="0" w:space="0" w:color="auto"/>
        <w:bottom w:val="none" w:sz="0" w:space="0" w:color="auto"/>
        <w:right w:val="none" w:sz="0" w:space="0" w:color="auto"/>
      </w:divBdr>
    </w:div>
    <w:div w:id="774792856">
      <w:bodyDiv w:val="1"/>
      <w:marLeft w:val="0"/>
      <w:marRight w:val="0"/>
      <w:marTop w:val="0"/>
      <w:marBottom w:val="0"/>
      <w:divBdr>
        <w:top w:val="none" w:sz="0" w:space="0" w:color="auto"/>
        <w:left w:val="none" w:sz="0" w:space="0" w:color="auto"/>
        <w:bottom w:val="none" w:sz="0" w:space="0" w:color="auto"/>
        <w:right w:val="none" w:sz="0" w:space="0" w:color="auto"/>
      </w:divBdr>
    </w:div>
    <w:div w:id="875892528">
      <w:bodyDiv w:val="1"/>
      <w:marLeft w:val="0"/>
      <w:marRight w:val="0"/>
      <w:marTop w:val="0"/>
      <w:marBottom w:val="0"/>
      <w:divBdr>
        <w:top w:val="none" w:sz="0" w:space="0" w:color="auto"/>
        <w:left w:val="none" w:sz="0" w:space="0" w:color="auto"/>
        <w:bottom w:val="none" w:sz="0" w:space="0" w:color="auto"/>
        <w:right w:val="none" w:sz="0" w:space="0" w:color="auto"/>
      </w:divBdr>
    </w:div>
    <w:div w:id="998536824">
      <w:bodyDiv w:val="1"/>
      <w:marLeft w:val="0"/>
      <w:marRight w:val="0"/>
      <w:marTop w:val="0"/>
      <w:marBottom w:val="0"/>
      <w:divBdr>
        <w:top w:val="none" w:sz="0" w:space="0" w:color="auto"/>
        <w:left w:val="none" w:sz="0" w:space="0" w:color="auto"/>
        <w:bottom w:val="none" w:sz="0" w:space="0" w:color="auto"/>
        <w:right w:val="none" w:sz="0" w:space="0" w:color="auto"/>
      </w:divBdr>
    </w:div>
    <w:div w:id="1010527088">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45788780">
      <w:bodyDiv w:val="1"/>
      <w:marLeft w:val="0"/>
      <w:marRight w:val="0"/>
      <w:marTop w:val="0"/>
      <w:marBottom w:val="0"/>
      <w:divBdr>
        <w:top w:val="none" w:sz="0" w:space="0" w:color="auto"/>
        <w:left w:val="none" w:sz="0" w:space="0" w:color="auto"/>
        <w:bottom w:val="none" w:sz="0" w:space="0" w:color="auto"/>
        <w:right w:val="none" w:sz="0" w:space="0" w:color="auto"/>
      </w:divBdr>
    </w:div>
    <w:div w:id="1126892997">
      <w:bodyDiv w:val="1"/>
      <w:marLeft w:val="0"/>
      <w:marRight w:val="0"/>
      <w:marTop w:val="0"/>
      <w:marBottom w:val="0"/>
      <w:divBdr>
        <w:top w:val="none" w:sz="0" w:space="0" w:color="auto"/>
        <w:left w:val="none" w:sz="0" w:space="0" w:color="auto"/>
        <w:bottom w:val="none" w:sz="0" w:space="0" w:color="auto"/>
        <w:right w:val="none" w:sz="0" w:space="0" w:color="auto"/>
      </w:divBdr>
    </w:div>
    <w:div w:id="1129395399">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228145319">
      <w:bodyDiv w:val="1"/>
      <w:marLeft w:val="0"/>
      <w:marRight w:val="0"/>
      <w:marTop w:val="0"/>
      <w:marBottom w:val="0"/>
      <w:divBdr>
        <w:top w:val="none" w:sz="0" w:space="0" w:color="auto"/>
        <w:left w:val="none" w:sz="0" w:space="0" w:color="auto"/>
        <w:bottom w:val="none" w:sz="0" w:space="0" w:color="auto"/>
        <w:right w:val="none" w:sz="0" w:space="0" w:color="auto"/>
      </w:divBdr>
    </w:div>
    <w:div w:id="1287276350">
      <w:bodyDiv w:val="1"/>
      <w:marLeft w:val="0"/>
      <w:marRight w:val="0"/>
      <w:marTop w:val="0"/>
      <w:marBottom w:val="0"/>
      <w:divBdr>
        <w:top w:val="none" w:sz="0" w:space="0" w:color="auto"/>
        <w:left w:val="none" w:sz="0" w:space="0" w:color="auto"/>
        <w:bottom w:val="none" w:sz="0" w:space="0" w:color="auto"/>
        <w:right w:val="none" w:sz="0" w:space="0" w:color="auto"/>
      </w:divBdr>
    </w:div>
    <w:div w:id="1288388856">
      <w:bodyDiv w:val="1"/>
      <w:marLeft w:val="0"/>
      <w:marRight w:val="0"/>
      <w:marTop w:val="0"/>
      <w:marBottom w:val="0"/>
      <w:divBdr>
        <w:top w:val="none" w:sz="0" w:space="0" w:color="auto"/>
        <w:left w:val="none" w:sz="0" w:space="0" w:color="auto"/>
        <w:bottom w:val="none" w:sz="0" w:space="0" w:color="auto"/>
        <w:right w:val="none" w:sz="0" w:space="0" w:color="auto"/>
      </w:divBdr>
    </w:div>
    <w:div w:id="1318191764">
      <w:bodyDiv w:val="1"/>
      <w:marLeft w:val="0"/>
      <w:marRight w:val="0"/>
      <w:marTop w:val="0"/>
      <w:marBottom w:val="0"/>
      <w:divBdr>
        <w:top w:val="none" w:sz="0" w:space="0" w:color="auto"/>
        <w:left w:val="none" w:sz="0" w:space="0" w:color="auto"/>
        <w:bottom w:val="none" w:sz="0" w:space="0" w:color="auto"/>
        <w:right w:val="none" w:sz="0" w:space="0" w:color="auto"/>
      </w:divBdr>
    </w:div>
    <w:div w:id="1394163210">
      <w:bodyDiv w:val="1"/>
      <w:marLeft w:val="0"/>
      <w:marRight w:val="0"/>
      <w:marTop w:val="0"/>
      <w:marBottom w:val="0"/>
      <w:divBdr>
        <w:top w:val="none" w:sz="0" w:space="0" w:color="auto"/>
        <w:left w:val="none" w:sz="0" w:space="0" w:color="auto"/>
        <w:bottom w:val="none" w:sz="0" w:space="0" w:color="auto"/>
        <w:right w:val="none" w:sz="0" w:space="0" w:color="auto"/>
      </w:divBdr>
    </w:div>
    <w:div w:id="1417903898">
      <w:bodyDiv w:val="1"/>
      <w:marLeft w:val="0"/>
      <w:marRight w:val="0"/>
      <w:marTop w:val="0"/>
      <w:marBottom w:val="0"/>
      <w:divBdr>
        <w:top w:val="none" w:sz="0" w:space="0" w:color="auto"/>
        <w:left w:val="none" w:sz="0" w:space="0" w:color="auto"/>
        <w:bottom w:val="none" w:sz="0" w:space="0" w:color="auto"/>
        <w:right w:val="none" w:sz="0" w:space="0" w:color="auto"/>
      </w:divBdr>
    </w:div>
    <w:div w:id="1450775992">
      <w:bodyDiv w:val="1"/>
      <w:marLeft w:val="0"/>
      <w:marRight w:val="0"/>
      <w:marTop w:val="0"/>
      <w:marBottom w:val="0"/>
      <w:divBdr>
        <w:top w:val="none" w:sz="0" w:space="0" w:color="auto"/>
        <w:left w:val="none" w:sz="0" w:space="0" w:color="auto"/>
        <w:bottom w:val="none" w:sz="0" w:space="0" w:color="auto"/>
        <w:right w:val="none" w:sz="0" w:space="0" w:color="auto"/>
      </w:divBdr>
    </w:div>
    <w:div w:id="1474521589">
      <w:bodyDiv w:val="1"/>
      <w:marLeft w:val="0"/>
      <w:marRight w:val="0"/>
      <w:marTop w:val="0"/>
      <w:marBottom w:val="0"/>
      <w:divBdr>
        <w:top w:val="none" w:sz="0" w:space="0" w:color="auto"/>
        <w:left w:val="none" w:sz="0" w:space="0" w:color="auto"/>
        <w:bottom w:val="none" w:sz="0" w:space="0" w:color="auto"/>
        <w:right w:val="none" w:sz="0" w:space="0" w:color="auto"/>
      </w:divBdr>
    </w:div>
    <w:div w:id="1569226456">
      <w:bodyDiv w:val="1"/>
      <w:marLeft w:val="0"/>
      <w:marRight w:val="0"/>
      <w:marTop w:val="0"/>
      <w:marBottom w:val="0"/>
      <w:divBdr>
        <w:top w:val="none" w:sz="0" w:space="0" w:color="auto"/>
        <w:left w:val="none" w:sz="0" w:space="0" w:color="auto"/>
        <w:bottom w:val="none" w:sz="0" w:space="0" w:color="auto"/>
        <w:right w:val="none" w:sz="0" w:space="0" w:color="auto"/>
      </w:divBdr>
    </w:div>
    <w:div w:id="1614945569">
      <w:bodyDiv w:val="1"/>
      <w:marLeft w:val="0"/>
      <w:marRight w:val="0"/>
      <w:marTop w:val="0"/>
      <w:marBottom w:val="0"/>
      <w:divBdr>
        <w:top w:val="none" w:sz="0" w:space="0" w:color="auto"/>
        <w:left w:val="none" w:sz="0" w:space="0" w:color="auto"/>
        <w:bottom w:val="none" w:sz="0" w:space="0" w:color="auto"/>
        <w:right w:val="none" w:sz="0" w:space="0" w:color="auto"/>
      </w:divBdr>
    </w:div>
    <w:div w:id="1638023686">
      <w:bodyDiv w:val="1"/>
      <w:marLeft w:val="0"/>
      <w:marRight w:val="0"/>
      <w:marTop w:val="0"/>
      <w:marBottom w:val="0"/>
      <w:divBdr>
        <w:top w:val="none" w:sz="0" w:space="0" w:color="auto"/>
        <w:left w:val="none" w:sz="0" w:space="0" w:color="auto"/>
        <w:bottom w:val="none" w:sz="0" w:space="0" w:color="auto"/>
        <w:right w:val="none" w:sz="0" w:space="0" w:color="auto"/>
      </w:divBdr>
    </w:div>
    <w:div w:id="1660497559">
      <w:bodyDiv w:val="1"/>
      <w:marLeft w:val="0"/>
      <w:marRight w:val="0"/>
      <w:marTop w:val="0"/>
      <w:marBottom w:val="0"/>
      <w:divBdr>
        <w:top w:val="none" w:sz="0" w:space="0" w:color="auto"/>
        <w:left w:val="none" w:sz="0" w:space="0" w:color="auto"/>
        <w:bottom w:val="none" w:sz="0" w:space="0" w:color="auto"/>
        <w:right w:val="none" w:sz="0" w:space="0" w:color="auto"/>
      </w:divBdr>
    </w:div>
    <w:div w:id="1660814679">
      <w:bodyDiv w:val="1"/>
      <w:marLeft w:val="0"/>
      <w:marRight w:val="0"/>
      <w:marTop w:val="0"/>
      <w:marBottom w:val="0"/>
      <w:divBdr>
        <w:top w:val="none" w:sz="0" w:space="0" w:color="auto"/>
        <w:left w:val="none" w:sz="0" w:space="0" w:color="auto"/>
        <w:bottom w:val="none" w:sz="0" w:space="0" w:color="auto"/>
        <w:right w:val="none" w:sz="0" w:space="0" w:color="auto"/>
      </w:divBdr>
    </w:div>
    <w:div w:id="1675500195">
      <w:bodyDiv w:val="1"/>
      <w:marLeft w:val="0"/>
      <w:marRight w:val="0"/>
      <w:marTop w:val="0"/>
      <w:marBottom w:val="0"/>
      <w:divBdr>
        <w:top w:val="none" w:sz="0" w:space="0" w:color="auto"/>
        <w:left w:val="none" w:sz="0" w:space="0" w:color="auto"/>
        <w:bottom w:val="none" w:sz="0" w:space="0" w:color="auto"/>
        <w:right w:val="none" w:sz="0" w:space="0" w:color="auto"/>
      </w:divBdr>
    </w:div>
    <w:div w:id="1688209580">
      <w:bodyDiv w:val="1"/>
      <w:marLeft w:val="0"/>
      <w:marRight w:val="0"/>
      <w:marTop w:val="0"/>
      <w:marBottom w:val="0"/>
      <w:divBdr>
        <w:top w:val="none" w:sz="0" w:space="0" w:color="auto"/>
        <w:left w:val="none" w:sz="0" w:space="0" w:color="auto"/>
        <w:bottom w:val="none" w:sz="0" w:space="0" w:color="auto"/>
        <w:right w:val="none" w:sz="0" w:space="0" w:color="auto"/>
      </w:divBdr>
    </w:div>
    <w:div w:id="1706326875">
      <w:bodyDiv w:val="1"/>
      <w:marLeft w:val="0"/>
      <w:marRight w:val="0"/>
      <w:marTop w:val="0"/>
      <w:marBottom w:val="0"/>
      <w:divBdr>
        <w:top w:val="none" w:sz="0" w:space="0" w:color="auto"/>
        <w:left w:val="none" w:sz="0" w:space="0" w:color="auto"/>
        <w:bottom w:val="none" w:sz="0" w:space="0" w:color="auto"/>
        <w:right w:val="none" w:sz="0" w:space="0" w:color="auto"/>
      </w:divBdr>
    </w:div>
    <w:div w:id="1709911429">
      <w:bodyDiv w:val="1"/>
      <w:marLeft w:val="0"/>
      <w:marRight w:val="0"/>
      <w:marTop w:val="0"/>
      <w:marBottom w:val="0"/>
      <w:divBdr>
        <w:top w:val="none" w:sz="0" w:space="0" w:color="auto"/>
        <w:left w:val="none" w:sz="0" w:space="0" w:color="auto"/>
        <w:bottom w:val="none" w:sz="0" w:space="0" w:color="auto"/>
        <w:right w:val="none" w:sz="0" w:space="0" w:color="auto"/>
      </w:divBdr>
    </w:div>
    <w:div w:id="1714383707">
      <w:bodyDiv w:val="1"/>
      <w:marLeft w:val="0"/>
      <w:marRight w:val="0"/>
      <w:marTop w:val="0"/>
      <w:marBottom w:val="0"/>
      <w:divBdr>
        <w:top w:val="none" w:sz="0" w:space="0" w:color="auto"/>
        <w:left w:val="none" w:sz="0" w:space="0" w:color="auto"/>
        <w:bottom w:val="none" w:sz="0" w:space="0" w:color="auto"/>
        <w:right w:val="none" w:sz="0" w:space="0" w:color="auto"/>
      </w:divBdr>
    </w:div>
    <w:div w:id="1723677598">
      <w:bodyDiv w:val="1"/>
      <w:marLeft w:val="0"/>
      <w:marRight w:val="0"/>
      <w:marTop w:val="0"/>
      <w:marBottom w:val="0"/>
      <w:divBdr>
        <w:top w:val="none" w:sz="0" w:space="0" w:color="auto"/>
        <w:left w:val="none" w:sz="0" w:space="0" w:color="auto"/>
        <w:bottom w:val="none" w:sz="0" w:space="0" w:color="auto"/>
        <w:right w:val="none" w:sz="0" w:space="0" w:color="auto"/>
      </w:divBdr>
    </w:div>
    <w:div w:id="1762096944">
      <w:bodyDiv w:val="1"/>
      <w:marLeft w:val="0"/>
      <w:marRight w:val="0"/>
      <w:marTop w:val="0"/>
      <w:marBottom w:val="0"/>
      <w:divBdr>
        <w:top w:val="none" w:sz="0" w:space="0" w:color="auto"/>
        <w:left w:val="none" w:sz="0" w:space="0" w:color="auto"/>
        <w:bottom w:val="none" w:sz="0" w:space="0" w:color="auto"/>
        <w:right w:val="none" w:sz="0" w:space="0" w:color="auto"/>
      </w:divBdr>
    </w:div>
    <w:div w:id="1765687436">
      <w:bodyDiv w:val="1"/>
      <w:marLeft w:val="0"/>
      <w:marRight w:val="0"/>
      <w:marTop w:val="0"/>
      <w:marBottom w:val="0"/>
      <w:divBdr>
        <w:top w:val="none" w:sz="0" w:space="0" w:color="auto"/>
        <w:left w:val="none" w:sz="0" w:space="0" w:color="auto"/>
        <w:bottom w:val="none" w:sz="0" w:space="0" w:color="auto"/>
        <w:right w:val="none" w:sz="0" w:space="0" w:color="auto"/>
      </w:divBdr>
    </w:div>
    <w:div w:id="1775784287">
      <w:bodyDiv w:val="1"/>
      <w:marLeft w:val="0"/>
      <w:marRight w:val="0"/>
      <w:marTop w:val="0"/>
      <w:marBottom w:val="0"/>
      <w:divBdr>
        <w:top w:val="none" w:sz="0" w:space="0" w:color="auto"/>
        <w:left w:val="none" w:sz="0" w:space="0" w:color="auto"/>
        <w:bottom w:val="none" w:sz="0" w:space="0" w:color="auto"/>
        <w:right w:val="none" w:sz="0" w:space="0" w:color="auto"/>
      </w:divBdr>
    </w:div>
    <w:div w:id="1798600179">
      <w:bodyDiv w:val="1"/>
      <w:marLeft w:val="0"/>
      <w:marRight w:val="0"/>
      <w:marTop w:val="0"/>
      <w:marBottom w:val="0"/>
      <w:divBdr>
        <w:top w:val="none" w:sz="0" w:space="0" w:color="auto"/>
        <w:left w:val="none" w:sz="0" w:space="0" w:color="auto"/>
        <w:bottom w:val="none" w:sz="0" w:space="0" w:color="auto"/>
        <w:right w:val="none" w:sz="0" w:space="0" w:color="auto"/>
      </w:divBdr>
    </w:div>
    <w:div w:id="1839616128">
      <w:bodyDiv w:val="1"/>
      <w:marLeft w:val="0"/>
      <w:marRight w:val="0"/>
      <w:marTop w:val="0"/>
      <w:marBottom w:val="0"/>
      <w:divBdr>
        <w:top w:val="none" w:sz="0" w:space="0" w:color="auto"/>
        <w:left w:val="none" w:sz="0" w:space="0" w:color="auto"/>
        <w:bottom w:val="none" w:sz="0" w:space="0" w:color="auto"/>
        <w:right w:val="none" w:sz="0" w:space="0" w:color="auto"/>
      </w:divBdr>
    </w:div>
    <w:div w:id="1840806679">
      <w:bodyDiv w:val="1"/>
      <w:marLeft w:val="0"/>
      <w:marRight w:val="0"/>
      <w:marTop w:val="0"/>
      <w:marBottom w:val="0"/>
      <w:divBdr>
        <w:top w:val="none" w:sz="0" w:space="0" w:color="auto"/>
        <w:left w:val="none" w:sz="0" w:space="0" w:color="auto"/>
        <w:bottom w:val="none" w:sz="0" w:space="0" w:color="auto"/>
        <w:right w:val="none" w:sz="0" w:space="0" w:color="auto"/>
      </w:divBdr>
    </w:div>
    <w:div w:id="1842045491">
      <w:bodyDiv w:val="1"/>
      <w:marLeft w:val="0"/>
      <w:marRight w:val="0"/>
      <w:marTop w:val="0"/>
      <w:marBottom w:val="0"/>
      <w:divBdr>
        <w:top w:val="none" w:sz="0" w:space="0" w:color="auto"/>
        <w:left w:val="none" w:sz="0" w:space="0" w:color="auto"/>
        <w:bottom w:val="none" w:sz="0" w:space="0" w:color="auto"/>
        <w:right w:val="none" w:sz="0" w:space="0" w:color="auto"/>
      </w:divBdr>
    </w:div>
    <w:div w:id="1861240334">
      <w:bodyDiv w:val="1"/>
      <w:marLeft w:val="0"/>
      <w:marRight w:val="0"/>
      <w:marTop w:val="0"/>
      <w:marBottom w:val="0"/>
      <w:divBdr>
        <w:top w:val="none" w:sz="0" w:space="0" w:color="auto"/>
        <w:left w:val="none" w:sz="0" w:space="0" w:color="auto"/>
        <w:bottom w:val="none" w:sz="0" w:space="0" w:color="auto"/>
        <w:right w:val="none" w:sz="0" w:space="0" w:color="auto"/>
      </w:divBdr>
    </w:div>
    <w:div w:id="1894197801">
      <w:bodyDiv w:val="1"/>
      <w:marLeft w:val="0"/>
      <w:marRight w:val="0"/>
      <w:marTop w:val="0"/>
      <w:marBottom w:val="0"/>
      <w:divBdr>
        <w:top w:val="none" w:sz="0" w:space="0" w:color="auto"/>
        <w:left w:val="none" w:sz="0" w:space="0" w:color="auto"/>
        <w:bottom w:val="none" w:sz="0" w:space="0" w:color="auto"/>
        <w:right w:val="none" w:sz="0" w:space="0" w:color="auto"/>
      </w:divBdr>
    </w:div>
    <w:div w:id="1908613594">
      <w:bodyDiv w:val="1"/>
      <w:marLeft w:val="0"/>
      <w:marRight w:val="0"/>
      <w:marTop w:val="0"/>
      <w:marBottom w:val="0"/>
      <w:divBdr>
        <w:top w:val="none" w:sz="0" w:space="0" w:color="auto"/>
        <w:left w:val="none" w:sz="0" w:space="0" w:color="auto"/>
        <w:bottom w:val="none" w:sz="0" w:space="0" w:color="auto"/>
        <w:right w:val="none" w:sz="0" w:space="0" w:color="auto"/>
      </w:divBdr>
    </w:div>
    <w:div w:id="1937863252">
      <w:bodyDiv w:val="1"/>
      <w:marLeft w:val="0"/>
      <w:marRight w:val="0"/>
      <w:marTop w:val="0"/>
      <w:marBottom w:val="0"/>
      <w:divBdr>
        <w:top w:val="none" w:sz="0" w:space="0" w:color="auto"/>
        <w:left w:val="none" w:sz="0" w:space="0" w:color="auto"/>
        <w:bottom w:val="none" w:sz="0" w:space="0" w:color="auto"/>
        <w:right w:val="none" w:sz="0" w:space="0" w:color="auto"/>
      </w:divBdr>
    </w:div>
    <w:div w:id="2024090852">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
    <w:div w:id="2045592944">
      <w:bodyDiv w:val="1"/>
      <w:marLeft w:val="0"/>
      <w:marRight w:val="0"/>
      <w:marTop w:val="0"/>
      <w:marBottom w:val="0"/>
      <w:divBdr>
        <w:top w:val="none" w:sz="0" w:space="0" w:color="auto"/>
        <w:left w:val="none" w:sz="0" w:space="0" w:color="auto"/>
        <w:bottom w:val="none" w:sz="0" w:space="0" w:color="auto"/>
        <w:right w:val="none" w:sz="0" w:space="0" w:color="auto"/>
      </w:divBdr>
    </w:div>
    <w:div w:id="2065176386">
      <w:bodyDiv w:val="1"/>
      <w:marLeft w:val="0"/>
      <w:marRight w:val="0"/>
      <w:marTop w:val="0"/>
      <w:marBottom w:val="0"/>
      <w:divBdr>
        <w:top w:val="none" w:sz="0" w:space="0" w:color="auto"/>
        <w:left w:val="none" w:sz="0" w:space="0" w:color="auto"/>
        <w:bottom w:val="none" w:sz="0" w:space="0" w:color="auto"/>
        <w:right w:val="none" w:sz="0" w:space="0" w:color="auto"/>
      </w:divBdr>
    </w:div>
    <w:div w:id="2086297183">
      <w:bodyDiv w:val="1"/>
      <w:marLeft w:val="0"/>
      <w:marRight w:val="0"/>
      <w:marTop w:val="0"/>
      <w:marBottom w:val="0"/>
      <w:divBdr>
        <w:top w:val="none" w:sz="0" w:space="0" w:color="auto"/>
        <w:left w:val="none" w:sz="0" w:space="0" w:color="auto"/>
        <w:bottom w:val="none" w:sz="0" w:space="0" w:color="auto"/>
        <w:right w:val="none" w:sz="0" w:space="0" w:color="auto"/>
      </w:divBdr>
    </w:div>
    <w:div w:id="2090495717">
      <w:bodyDiv w:val="1"/>
      <w:marLeft w:val="0"/>
      <w:marRight w:val="0"/>
      <w:marTop w:val="0"/>
      <w:marBottom w:val="0"/>
      <w:divBdr>
        <w:top w:val="none" w:sz="0" w:space="0" w:color="auto"/>
        <w:left w:val="none" w:sz="0" w:space="0" w:color="auto"/>
        <w:bottom w:val="none" w:sz="0" w:space="0" w:color="auto"/>
        <w:right w:val="none" w:sz="0" w:space="0" w:color="auto"/>
      </w:divBdr>
    </w:div>
    <w:div w:id="2107459495">
      <w:bodyDiv w:val="1"/>
      <w:marLeft w:val="0"/>
      <w:marRight w:val="0"/>
      <w:marTop w:val="0"/>
      <w:marBottom w:val="0"/>
      <w:divBdr>
        <w:top w:val="none" w:sz="0" w:space="0" w:color="auto"/>
        <w:left w:val="none" w:sz="0" w:space="0" w:color="auto"/>
        <w:bottom w:val="none" w:sz="0" w:space="0" w:color="auto"/>
        <w:right w:val="none" w:sz="0" w:space="0" w:color="auto"/>
      </w:divBdr>
    </w:div>
    <w:div w:id="2110422544">
      <w:bodyDiv w:val="1"/>
      <w:marLeft w:val="0"/>
      <w:marRight w:val="0"/>
      <w:marTop w:val="0"/>
      <w:marBottom w:val="0"/>
      <w:divBdr>
        <w:top w:val="none" w:sz="0" w:space="0" w:color="auto"/>
        <w:left w:val="none" w:sz="0" w:space="0" w:color="auto"/>
        <w:bottom w:val="none" w:sz="0" w:space="0" w:color="auto"/>
        <w:right w:val="none" w:sz="0" w:space="0" w:color="auto"/>
      </w:divBdr>
    </w:div>
    <w:div w:id="212456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1.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ystem/files/2022-01/high_level_risk_and_compliance_policy_hlrcp_formatted.pdf" TargetMode="External"/><Relationship Id="rId2" Type="http://schemas.openxmlformats.org/officeDocument/2006/relationships/hyperlink" Target="https://www.europarl.europa.eu/cmsdata/270275/Claeys%20McCaffrey%20Welslau%20EU%20Borrowing%20Costs.pdf" TargetMode="External"/><Relationship Id="rId1" Type="http://schemas.openxmlformats.org/officeDocument/2006/relationships/hyperlink" Target="https://commission.europa.eu/strategy-and-policy/eu-budget/long-term-eu-budget/2021-2027/documents_en" TargetMode="External"/><Relationship Id="rId5" Type="http://schemas.openxmlformats.org/officeDocument/2006/relationships/hyperlink" Target="https://commission.europa.eu/strategy-and-policy/eu-budget/eu-borrower-investor-relations/nextgenerationeu-green-bonds/dashboard_en" TargetMode="External"/><Relationship Id="rId4" Type="http://schemas.openxmlformats.org/officeDocument/2006/relationships/hyperlink" Target="https://commission.europa.eu/system/files/2022-12/C_2022_9702_F1_COMMISSION_IMPLEMENTING_DECISION_EN_V7_P1_2416109.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007022637408913E-2"/>
          <c:y val="9.1301056489405313E-2"/>
          <c:w val="0.89085656878952968"/>
          <c:h val="0.63725673061044186"/>
        </c:manualLayout>
      </c:layout>
      <c:barChart>
        <c:barDir val="col"/>
        <c:grouping val="clustered"/>
        <c:varyColors val="0"/>
        <c:ser>
          <c:idx val="0"/>
          <c:order val="0"/>
          <c:tx>
            <c:strRef>
              <c:f>turnover!$AA$4</c:f>
              <c:strCache>
                <c:ptCount val="1"/>
                <c:pt idx="0">
                  <c:v>EU market</c:v>
                </c:pt>
              </c:strCache>
            </c:strRef>
          </c:tx>
          <c:spPr>
            <a:solidFill>
              <a:schemeClr val="tx2"/>
            </a:solidFill>
            <a:ln>
              <a:noFill/>
            </a:ln>
            <a:effectLst/>
          </c:spPr>
          <c:invertIfNegative val="0"/>
          <c:cat>
            <c:multiLvlStrRef>
              <c:f>turnover!$A$21:$B$33</c:f>
              <c:multiLvlStrCache>
                <c:ptCount val="13"/>
                <c:lvl>
                  <c:pt idx="0">
                    <c:v>1</c:v>
                  </c:pt>
                  <c:pt idx="1">
                    <c:v>2</c:v>
                  </c:pt>
                  <c:pt idx="2">
                    <c:v>3</c:v>
                  </c:pt>
                  <c:pt idx="3">
                    <c:v>4</c:v>
                  </c:pt>
                  <c:pt idx="4">
                    <c:v>1</c:v>
                  </c:pt>
                  <c:pt idx="5">
                    <c:v>2</c:v>
                  </c:pt>
                  <c:pt idx="6">
                    <c:v>3</c:v>
                  </c:pt>
                  <c:pt idx="7">
                    <c:v>4</c:v>
                  </c:pt>
                  <c:pt idx="8">
                    <c:v>1</c:v>
                  </c:pt>
                  <c:pt idx="9">
                    <c:v>2</c:v>
                  </c:pt>
                  <c:pt idx="10">
                    <c:v>3</c:v>
                  </c:pt>
                  <c:pt idx="11">
                    <c:v>4</c:v>
                  </c:pt>
                  <c:pt idx="12">
                    <c:v>1</c:v>
                  </c:pt>
                </c:lvl>
                <c:lvl>
                  <c:pt idx="0">
                    <c:v>2020</c:v>
                  </c:pt>
                  <c:pt idx="4">
                    <c:v>2021</c:v>
                  </c:pt>
                  <c:pt idx="8">
                    <c:v>2022</c:v>
                  </c:pt>
                  <c:pt idx="12">
                    <c:v>2023</c:v>
                  </c:pt>
                </c:lvl>
              </c:multiLvlStrCache>
            </c:multiLvlStrRef>
          </c:cat>
          <c:val>
            <c:numRef>
              <c:f>turnover!$AA$21:$AA$33</c:f>
              <c:numCache>
                <c:formatCode>0%</c:formatCode>
                <c:ptCount val="13"/>
                <c:pt idx="0">
                  <c:v>2.897861228867351E-2</c:v>
                </c:pt>
                <c:pt idx="1">
                  <c:v>5.9288336573263892E-2</c:v>
                </c:pt>
                <c:pt idx="2">
                  <c:v>4.2181617421884372E-2</c:v>
                </c:pt>
                <c:pt idx="3">
                  <c:v>0.60100667431184907</c:v>
                </c:pt>
                <c:pt idx="4">
                  <c:v>0.56188286903496409</c:v>
                </c:pt>
                <c:pt idx="5">
                  <c:v>0.4305215756953702</c:v>
                </c:pt>
                <c:pt idx="6">
                  <c:v>0.61899459819118208</c:v>
                </c:pt>
                <c:pt idx="7">
                  <c:v>0.45106382978723403</c:v>
                </c:pt>
                <c:pt idx="8">
                  <c:v>0.52734215205658475</c:v>
                </c:pt>
                <c:pt idx="9">
                  <c:v>0.44708706680695853</c:v>
                </c:pt>
                <c:pt idx="10">
                  <c:v>0.40132058854668218</c:v>
                </c:pt>
                <c:pt idx="11">
                  <c:v>0.39621891973117379</c:v>
                </c:pt>
                <c:pt idx="12">
                  <c:v>0.65656462922102543</c:v>
                </c:pt>
              </c:numCache>
            </c:numRef>
          </c:val>
          <c:extLst>
            <c:ext xmlns:c16="http://schemas.microsoft.com/office/drawing/2014/chart" uri="{C3380CC4-5D6E-409C-BE32-E72D297353CC}">
              <c16:uniqueId val="{00000000-F2C0-42BF-8416-ECFCC384B8E3}"/>
            </c:ext>
          </c:extLst>
        </c:ser>
        <c:dLbls>
          <c:showLegendKey val="0"/>
          <c:showVal val="0"/>
          <c:showCatName val="0"/>
          <c:showSerName val="0"/>
          <c:showPercent val="0"/>
          <c:showBubbleSize val="0"/>
        </c:dLbls>
        <c:gapWidth val="219"/>
        <c:overlap val="-27"/>
        <c:axId val="900413560"/>
        <c:axId val="903797920"/>
      </c:barChart>
      <c:lineChart>
        <c:grouping val="standard"/>
        <c:varyColors val="0"/>
        <c:ser>
          <c:idx val="2"/>
          <c:order val="1"/>
          <c:tx>
            <c:strRef>
              <c:f>turnover!$AC$4</c:f>
              <c:strCache>
                <c:ptCount val="1"/>
                <c:pt idx="0">
                  <c:v>EGB market* (average 2020-2022)</c:v>
                </c:pt>
              </c:strCache>
            </c:strRef>
          </c:tx>
          <c:spPr>
            <a:ln w="38100" cap="rnd">
              <a:solidFill>
                <a:srgbClr val="FFC000"/>
              </a:solidFill>
              <a:round/>
            </a:ln>
            <a:effectLst/>
          </c:spPr>
          <c:marker>
            <c:symbol val="none"/>
          </c:marker>
          <c:cat>
            <c:multiLvlStrRef>
              <c:f>turnover!$A$24:$B$32</c:f>
              <c:multiLvlStrCache>
                <c:ptCount val="9"/>
                <c:lvl>
                  <c:pt idx="0">
                    <c:v>4</c:v>
                  </c:pt>
                  <c:pt idx="1">
                    <c:v>1</c:v>
                  </c:pt>
                  <c:pt idx="2">
                    <c:v>2</c:v>
                  </c:pt>
                  <c:pt idx="3">
                    <c:v>3</c:v>
                  </c:pt>
                  <c:pt idx="4">
                    <c:v>4</c:v>
                  </c:pt>
                  <c:pt idx="5">
                    <c:v>1</c:v>
                  </c:pt>
                  <c:pt idx="6">
                    <c:v>2</c:v>
                  </c:pt>
                  <c:pt idx="7">
                    <c:v>3</c:v>
                  </c:pt>
                  <c:pt idx="8">
                    <c:v>4</c:v>
                  </c:pt>
                </c:lvl>
                <c:lvl>
                  <c:pt idx="1">
                    <c:v>2021</c:v>
                  </c:pt>
                  <c:pt idx="5">
                    <c:v>2022</c:v>
                  </c:pt>
                </c:lvl>
              </c:multiLvlStrCache>
            </c:multiLvlStrRef>
          </c:cat>
          <c:val>
            <c:numRef>
              <c:f>turnover!$AC$21:$AC$32</c:f>
              <c:numCache>
                <c:formatCode>0%</c:formatCode>
                <c:ptCount val="12"/>
                <c:pt idx="0">
                  <c:v>0.46418936865486154</c:v>
                </c:pt>
                <c:pt idx="1">
                  <c:v>0.46418936865486154</c:v>
                </c:pt>
                <c:pt idx="2">
                  <c:v>0.46418936865486154</c:v>
                </c:pt>
                <c:pt idx="3">
                  <c:v>0.46418936865486154</c:v>
                </c:pt>
                <c:pt idx="4">
                  <c:v>0.46418936865486154</c:v>
                </c:pt>
                <c:pt idx="5">
                  <c:v>0.46418936865486154</c:v>
                </c:pt>
                <c:pt idx="6">
                  <c:v>0.46418936865486154</c:v>
                </c:pt>
                <c:pt idx="7">
                  <c:v>0.46418936865486154</c:v>
                </c:pt>
                <c:pt idx="8">
                  <c:v>0.46418936865486154</c:v>
                </c:pt>
                <c:pt idx="9">
                  <c:v>0.46418936865486154</c:v>
                </c:pt>
                <c:pt idx="10">
                  <c:v>0.46418936865486154</c:v>
                </c:pt>
                <c:pt idx="11">
                  <c:v>0.46418936865486154</c:v>
                </c:pt>
              </c:numCache>
            </c:numRef>
          </c:val>
          <c:smooth val="0"/>
          <c:extLst>
            <c:ext xmlns:c16="http://schemas.microsoft.com/office/drawing/2014/chart" uri="{C3380CC4-5D6E-409C-BE32-E72D297353CC}">
              <c16:uniqueId val="{00000001-F2C0-42BF-8416-ECFCC384B8E3}"/>
            </c:ext>
          </c:extLst>
        </c:ser>
        <c:dLbls>
          <c:showLegendKey val="0"/>
          <c:showVal val="0"/>
          <c:showCatName val="0"/>
          <c:showSerName val="0"/>
          <c:showPercent val="0"/>
          <c:showBubbleSize val="0"/>
        </c:dLbls>
        <c:marker val="1"/>
        <c:smooth val="0"/>
        <c:axId val="900413560"/>
        <c:axId val="903797920"/>
      </c:lineChart>
      <c:catAx>
        <c:axId val="90041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3797920"/>
        <c:crosses val="autoZero"/>
        <c:auto val="1"/>
        <c:lblAlgn val="ctr"/>
        <c:lblOffset val="100"/>
        <c:noMultiLvlLbl val="0"/>
      </c:catAx>
      <c:valAx>
        <c:axId val="90379792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900413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0.01675</cdr:x>
      <cdr:y>0.04283</cdr:y>
    </cdr:from>
    <cdr:to>
      <cdr:x>0.09716</cdr:x>
      <cdr:y>0.12318</cdr:y>
    </cdr:to>
    <cdr:sp macro="" textlink="">
      <cdr:nvSpPr>
        <cdr:cNvPr id="3" name="TextBox 11"/>
        <cdr:cNvSpPr txBox="1"/>
      </cdr:nvSpPr>
      <cdr:spPr>
        <a:xfrm xmlns:a="http://schemas.openxmlformats.org/drawingml/2006/main">
          <a:off x="96364" y="119939"/>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70%</a:t>
          </a:r>
          <a:endParaRPr lang="en-US" sz="900" dirty="0"/>
        </a:p>
      </cdr:txBody>
    </cdr:sp>
  </cdr:relSizeAnchor>
  <cdr:relSizeAnchor xmlns:cdr="http://schemas.openxmlformats.org/drawingml/2006/chartDrawing">
    <cdr:from>
      <cdr:x>0.01675</cdr:x>
      <cdr:y>0.13553</cdr:y>
    </cdr:from>
    <cdr:to>
      <cdr:x>0.09716</cdr:x>
      <cdr:y>0.21588</cdr:y>
    </cdr:to>
    <cdr:sp macro="" textlink="">
      <cdr:nvSpPr>
        <cdr:cNvPr id="4" name="TextBox 12"/>
        <cdr:cNvSpPr txBox="1"/>
      </cdr:nvSpPr>
      <cdr:spPr>
        <a:xfrm xmlns:a="http://schemas.openxmlformats.org/drawingml/2006/main">
          <a:off x="96364" y="379531"/>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60%</a:t>
          </a:r>
          <a:endParaRPr lang="en-US" sz="900" dirty="0"/>
        </a:p>
      </cdr:txBody>
    </cdr:sp>
  </cdr:relSizeAnchor>
  <cdr:relSizeAnchor xmlns:cdr="http://schemas.openxmlformats.org/drawingml/2006/chartDrawing">
    <cdr:from>
      <cdr:x>0.01675</cdr:x>
      <cdr:y>0.22823</cdr:y>
    </cdr:from>
    <cdr:to>
      <cdr:x>0.09716</cdr:x>
      <cdr:y>0.30858</cdr:y>
    </cdr:to>
    <cdr:sp macro="" textlink="">
      <cdr:nvSpPr>
        <cdr:cNvPr id="5" name="TextBox 13"/>
        <cdr:cNvSpPr txBox="1"/>
      </cdr:nvSpPr>
      <cdr:spPr>
        <a:xfrm xmlns:a="http://schemas.openxmlformats.org/drawingml/2006/main">
          <a:off x="96364" y="639124"/>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50%</a:t>
          </a:r>
          <a:endParaRPr lang="en-US" sz="900" dirty="0"/>
        </a:p>
      </cdr:txBody>
    </cdr:sp>
  </cdr:relSizeAnchor>
  <cdr:relSizeAnchor xmlns:cdr="http://schemas.openxmlformats.org/drawingml/2006/chartDrawing">
    <cdr:from>
      <cdr:x>0.01675</cdr:x>
      <cdr:y>0.32093</cdr:y>
    </cdr:from>
    <cdr:to>
      <cdr:x>0.09716</cdr:x>
      <cdr:y>0.40128</cdr:y>
    </cdr:to>
    <cdr:sp macro="" textlink="">
      <cdr:nvSpPr>
        <cdr:cNvPr id="6" name="TextBox 14"/>
        <cdr:cNvSpPr txBox="1"/>
      </cdr:nvSpPr>
      <cdr:spPr>
        <a:xfrm xmlns:a="http://schemas.openxmlformats.org/drawingml/2006/main">
          <a:off x="96364" y="898716"/>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40%</a:t>
          </a:r>
          <a:endParaRPr lang="en-US" sz="900" dirty="0"/>
        </a:p>
      </cdr:txBody>
    </cdr:sp>
  </cdr:relSizeAnchor>
  <cdr:relSizeAnchor xmlns:cdr="http://schemas.openxmlformats.org/drawingml/2006/chartDrawing">
    <cdr:from>
      <cdr:x>0.01675</cdr:x>
      <cdr:y>0.40554</cdr:y>
    </cdr:from>
    <cdr:to>
      <cdr:x>0.09716</cdr:x>
      <cdr:y>0.48589</cdr:y>
    </cdr:to>
    <cdr:sp macro="" textlink="">
      <cdr:nvSpPr>
        <cdr:cNvPr id="7" name="TextBox 15"/>
        <cdr:cNvSpPr txBox="1"/>
      </cdr:nvSpPr>
      <cdr:spPr>
        <a:xfrm xmlns:a="http://schemas.openxmlformats.org/drawingml/2006/main">
          <a:off x="96364" y="1135654"/>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30%</a:t>
          </a:r>
          <a:endParaRPr lang="en-US" sz="900" dirty="0"/>
        </a:p>
      </cdr:txBody>
    </cdr:sp>
  </cdr:relSizeAnchor>
  <cdr:relSizeAnchor xmlns:cdr="http://schemas.openxmlformats.org/drawingml/2006/chartDrawing">
    <cdr:from>
      <cdr:x>0.01675</cdr:x>
      <cdr:y>0.49794</cdr:y>
    </cdr:from>
    <cdr:to>
      <cdr:x>0.09716</cdr:x>
      <cdr:y>0.57829</cdr:y>
    </cdr:to>
    <cdr:sp macro="" textlink="">
      <cdr:nvSpPr>
        <cdr:cNvPr id="8" name="TextBox 16"/>
        <cdr:cNvSpPr txBox="1"/>
      </cdr:nvSpPr>
      <cdr:spPr>
        <a:xfrm xmlns:a="http://schemas.openxmlformats.org/drawingml/2006/main">
          <a:off x="96364" y="1394406"/>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20%</a:t>
          </a:r>
          <a:endParaRPr lang="en-US" sz="900" dirty="0"/>
        </a:p>
      </cdr:txBody>
    </cdr:sp>
  </cdr:relSizeAnchor>
  <cdr:relSizeAnchor xmlns:cdr="http://schemas.openxmlformats.org/drawingml/2006/chartDrawing">
    <cdr:from>
      <cdr:x>0.01675</cdr:x>
      <cdr:y>0.59035</cdr:y>
    </cdr:from>
    <cdr:to>
      <cdr:x>0.09716</cdr:x>
      <cdr:y>0.6707</cdr:y>
    </cdr:to>
    <cdr:sp macro="" textlink="">
      <cdr:nvSpPr>
        <cdr:cNvPr id="9" name="TextBox 17"/>
        <cdr:cNvSpPr txBox="1"/>
      </cdr:nvSpPr>
      <cdr:spPr>
        <a:xfrm xmlns:a="http://schemas.openxmlformats.org/drawingml/2006/main">
          <a:off x="96364" y="1653187"/>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10%</a:t>
          </a:r>
          <a:endParaRPr lang="en-US" sz="900" dirty="0"/>
        </a:p>
      </cdr:txBody>
    </cdr:sp>
  </cdr:relSizeAnchor>
  <cdr:relSizeAnchor xmlns:cdr="http://schemas.openxmlformats.org/drawingml/2006/chartDrawing">
    <cdr:from>
      <cdr:x>0.01675</cdr:x>
      <cdr:y>0.67734</cdr:y>
    </cdr:from>
    <cdr:to>
      <cdr:x>0.09716</cdr:x>
      <cdr:y>0.75769</cdr:y>
    </cdr:to>
    <cdr:sp macro="" textlink="">
      <cdr:nvSpPr>
        <cdr:cNvPr id="10" name="TextBox 18"/>
        <cdr:cNvSpPr txBox="1"/>
      </cdr:nvSpPr>
      <cdr:spPr>
        <a:xfrm xmlns:a="http://schemas.openxmlformats.org/drawingml/2006/main">
          <a:off x="96364" y="1896789"/>
          <a:ext cx="462607"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r>
            <a:rPr lang="fr-BE" sz="900" dirty="0"/>
            <a:t>0%</a:t>
          </a:r>
          <a:endParaRPr lang="en-US" sz="900" dirty="0"/>
        </a:p>
      </cdr:txBody>
    </cdr:sp>
  </cdr:relSizeAnchor>
  <cdr:relSizeAnchor xmlns:cdr="http://schemas.openxmlformats.org/drawingml/2006/chartDrawing">
    <cdr:from>
      <cdr:x>0.30161</cdr:x>
      <cdr:y>0.93757</cdr:y>
    </cdr:from>
    <cdr:to>
      <cdr:x>0.32772</cdr:x>
      <cdr:y>0.95363</cdr:y>
    </cdr:to>
    <cdr:sp macro="" textlink="">
      <cdr:nvSpPr>
        <cdr:cNvPr id="11" name="Rectangle 10"/>
        <cdr:cNvSpPr/>
      </cdr:nvSpPr>
      <cdr:spPr>
        <a:xfrm xmlns:a="http://schemas.openxmlformats.org/drawingml/2006/main">
          <a:off x="1792649" y="3016687"/>
          <a:ext cx="155188" cy="51673"/>
        </a:xfrm>
        <a:prstGeom xmlns:a="http://schemas.openxmlformats.org/drawingml/2006/main" prst="rect">
          <a:avLst/>
        </a:prstGeom>
        <a:solidFill xmlns:a="http://schemas.openxmlformats.org/drawingml/2006/main">
          <a:srgbClr val="034EA2"/>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en-US"/>
        </a:p>
      </cdr:txBody>
    </cdr:sp>
  </cdr:relSizeAnchor>
  <cdr:relSizeAnchor xmlns:cdr="http://schemas.openxmlformats.org/drawingml/2006/chartDrawing">
    <cdr:from>
      <cdr:x>0.3193</cdr:x>
      <cdr:y>0.90063</cdr:y>
    </cdr:from>
    <cdr:to>
      <cdr:x>0.46695</cdr:x>
      <cdr:y>0.97376</cdr:y>
    </cdr:to>
    <cdr:sp macro="" textlink="">
      <cdr:nvSpPr>
        <cdr:cNvPr id="12" name="TextBox 5"/>
        <cdr:cNvSpPr txBox="1"/>
      </cdr:nvSpPr>
      <cdr:spPr>
        <a:xfrm xmlns:a="http://schemas.openxmlformats.org/drawingml/2006/main">
          <a:off x="1836965" y="2770856"/>
          <a:ext cx="849445"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fr-BE" sz="900" dirty="0">
              <a:latin typeface="Arial" panose="020B0604020202020204" pitchFamily="34" charset="0"/>
              <a:cs typeface="Arial" panose="020B0604020202020204" pitchFamily="34" charset="0"/>
            </a:rPr>
            <a:t>EU </a:t>
          </a:r>
          <a:r>
            <a:rPr lang="fr-BE" sz="900" dirty="0" err="1">
              <a:latin typeface="Arial" panose="020B0604020202020204" pitchFamily="34" charset="0"/>
              <a:cs typeface="Arial" panose="020B0604020202020204" pitchFamily="34" charset="0"/>
            </a:rPr>
            <a:t>market</a:t>
          </a:r>
          <a:endParaRPr lang="en-US" sz="900"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0.51446</cdr:x>
      <cdr:y>0.90233</cdr:y>
    </cdr:from>
    <cdr:to>
      <cdr:x>0.94775</cdr:x>
      <cdr:y>0.97546</cdr:y>
    </cdr:to>
    <cdr:sp macro="" textlink="">
      <cdr:nvSpPr>
        <cdr:cNvPr id="13" name="TextBox 7"/>
        <cdr:cNvSpPr txBox="1"/>
      </cdr:nvSpPr>
      <cdr:spPr>
        <a:xfrm xmlns:a="http://schemas.openxmlformats.org/drawingml/2006/main">
          <a:off x="2959740" y="2776086"/>
          <a:ext cx="2492761" cy="224998"/>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fr-BE" sz="900" dirty="0">
              <a:latin typeface="Arial" panose="020B0604020202020204" pitchFamily="34" charset="0"/>
              <a:cs typeface="Arial" panose="020B0604020202020204" pitchFamily="34" charset="0"/>
            </a:rPr>
            <a:t>EGB </a:t>
          </a:r>
          <a:r>
            <a:rPr lang="fr-BE" sz="900" dirty="0" err="1">
              <a:latin typeface="Arial" panose="020B0604020202020204" pitchFamily="34" charset="0"/>
              <a:cs typeface="Arial" panose="020B0604020202020204" pitchFamily="34" charset="0"/>
            </a:rPr>
            <a:t>market</a:t>
          </a:r>
          <a:r>
            <a:rPr lang="fr-BE" sz="900" dirty="0">
              <a:latin typeface="Arial" panose="020B0604020202020204" pitchFamily="34" charset="0"/>
              <a:cs typeface="Arial" panose="020B0604020202020204" pitchFamily="34" charset="0"/>
            </a:rPr>
            <a:t>* (</a:t>
          </a:r>
          <a:r>
            <a:rPr lang="fr-BE" sz="900" dirty="0" err="1">
              <a:latin typeface="Arial" panose="020B0604020202020204" pitchFamily="34" charset="0"/>
              <a:cs typeface="Arial" panose="020B0604020202020204" pitchFamily="34" charset="0"/>
            </a:rPr>
            <a:t>average</a:t>
          </a:r>
          <a:r>
            <a:rPr lang="fr-BE" sz="900" dirty="0">
              <a:latin typeface="Arial" panose="020B0604020202020204" pitchFamily="34" charset="0"/>
              <a:cs typeface="Arial" panose="020B0604020202020204" pitchFamily="34" charset="0"/>
            </a:rPr>
            <a:t> 2020-2022)</a:t>
          </a:r>
          <a:endParaRPr lang="en-US" sz="900" dirty="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0.49196</cdr:x>
      <cdr:y>0.94616</cdr:y>
    </cdr:from>
    <cdr:to>
      <cdr:x>0.51781</cdr:x>
      <cdr:y>0.94658</cdr:y>
    </cdr:to>
    <cdr:cxnSp macro="">
      <cdr:nvCxnSpPr>
        <cdr:cNvPr id="14" name="Straight Connector 13"/>
        <cdr:cNvCxnSpPr/>
      </cdr:nvCxnSpPr>
      <cdr:spPr>
        <a:xfrm xmlns:a="http://schemas.openxmlformats.org/drawingml/2006/main" flipH="1">
          <a:off x="2924013" y="3044325"/>
          <a:ext cx="153643" cy="1352"/>
        </a:xfrm>
        <a:prstGeom xmlns:a="http://schemas.openxmlformats.org/drawingml/2006/main" prst="line">
          <a:avLst/>
        </a:prstGeom>
        <a:ln xmlns:a="http://schemas.openxmlformats.org/drawingml/2006/main" w="34925" cap="rnd">
          <a:solidFill>
            <a:srgbClr val="FFC000"/>
          </a:solidFill>
          <a:roun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amp;L">
    <a:dk1>
      <a:srgbClr val="4D4D4D"/>
    </a:dk1>
    <a:lt1>
      <a:srgbClr val="FFFFFF"/>
    </a:lt1>
    <a:dk2>
      <a:srgbClr val="034EA2"/>
    </a:dk2>
    <a:lt2>
      <a:srgbClr val="D3E8F9"/>
    </a:lt2>
    <a:accent1>
      <a:srgbClr val="034EA2"/>
    </a:accent1>
    <a:accent2>
      <a:srgbClr val="FFC000"/>
    </a:accent2>
    <a:accent3>
      <a:srgbClr val="4C4B9A"/>
    </a:accent3>
    <a:accent4>
      <a:srgbClr val="45A6DD"/>
    </a:accent4>
    <a:accent5>
      <a:srgbClr val="00833D"/>
    </a:accent5>
    <a:accent6>
      <a:srgbClr val="F58A4B"/>
    </a:accent6>
    <a:hlink>
      <a:srgbClr val="0563C1"/>
    </a:hlink>
    <a:folHlink>
      <a:srgbClr val="24337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5" ma:contentTypeDescription="Crée un document." ma:contentTypeScope="" ma:versionID="6638aecc4ddff8290ff09efe9fd47c8d">
  <xsd:schema xmlns:xsd="http://www.w3.org/2001/XMLSchema" xmlns:xs="http://www.w3.org/2001/XMLSchema" xmlns:p="http://schemas.microsoft.com/office/2006/metadata/properties" xmlns:ns2="f34d8b02-ef1e-468a-baea-6b8502d30466" xmlns:ns3="5641df17-ff07-4a01-b99c-e2ec37129fd4" targetNamespace="http://schemas.microsoft.com/office/2006/metadata/properties" ma:root="true" ma:fieldsID="13cd8f9e58b1593f0f342ef126c2d03c" ns2:_="" ns3:_="">
    <xsd:import namespace="f34d8b02-ef1e-468a-baea-6b8502d30466"/>
    <xsd:import namespace="5641df17-ff07-4a01-b99c-e2ec37129f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RE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RESnumber" ma:index="12" nillable="true" ma:displayName="ARES number" ma:format="Dropdown" ma:internalName="ARES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1df17-ff07-4a01-b99c-e2ec37129fd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ESnumber xmlns="f34d8b02-ef1e-468a-baea-6b8502d304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94C4-E85F-4C7D-86AE-AE48CDBB8582}">
  <ds:schemaRefs>
    <ds:schemaRef ds:uri="http://schemas.microsoft.com/sharepoint/v3/contenttype/forms"/>
  </ds:schemaRefs>
</ds:datastoreItem>
</file>

<file path=customXml/itemProps2.xml><?xml version="1.0" encoding="utf-8"?>
<ds:datastoreItem xmlns:ds="http://schemas.openxmlformats.org/officeDocument/2006/customXml" ds:itemID="{42D604C4-4134-4C86-B9AC-6DCDE96B9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5641df17-ff07-4a01-b99c-e2ec3712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D84AA-26DF-44BD-B729-4DCED448F13E}">
  <ds:schemaRefs>
    <ds:schemaRef ds:uri="http://schemas.microsoft.com/office/2006/metadata/properties"/>
    <ds:schemaRef ds:uri="http://schemas.microsoft.com/office/infopath/2007/PartnerControls"/>
    <ds:schemaRef ds:uri="60dcd645-44db-498c-8858-bc2871a262c1"/>
    <ds:schemaRef ds:uri="b9a1bbf4-3872-40cb-a1a3-b88a292b9176"/>
    <ds:schemaRef ds:uri="f34d8b02-ef1e-468a-baea-6b8502d30466"/>
  </ds:schemaRefs>
</ds:datastoreItem>
</file>

<file path=customXml/itemProps4.xml><?xml version="1.0" encoding="utf-8"?>
<ds:datastoreItem xmlns:ds="http://schemas.openxmlformats.org/officeDocument/2006/customXml" ds:itemID="{86969B91-D3DC-4C55-9DB1-B1987177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19</Pages>
  <Words>6808</Words>
  <Characters>36698</Characters>
  <Application>Microsoft Office Word</Application>
  <DocSecurity>0</DocSecurity>
  <Lines>895</Lines>
  <Paragraphs>221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60</cp:revision>
  <cp:lastPrinted>2023-06-28T07:58:00Z</cp:lastPrinted>
  <dcterms:created xsi:type="dcterms:W3CDTF">2023-06-28T14:10:00Z</dcterms:created>
  <dcterms:modified xsi:type="dcterms:W3CDTF">2023-07-20T08:12:00Z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2023-01-06T16:26:08Z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4805f13c-dee7-466f-8124-a3d55c6ed3fb</vt:lpwstr>
  </property>
  <property fmtid="{D5CDD505-2E9C-101B-9397-08002B2CF9AE}" pid="15" name="MSIP_Label_6bd9ddd1-4d20-43f6-abfa-fc3c07406f94_ContentBits">
    <vt:lpwstr>0</vt:lpwstr>
  </property>
  <property fmtid="{D5CDD505-2E9C-101B-9397-08002B2CF9AE}" pid="16" name="ContentTypeId">
    <vt:lpwstr>0x01010042F58E2EF54E454EA52B55214ED8DE92</vt:lpwstr>
  </property>
  <property fmtid="{D5CDD505-2E9C-101B-9397-08002B2CF9AE}" pid="17" name="_dlc_DocIdItemGuid">
    <vt:lpwstr>db1e2f6f-95af-4d44-836c-7358ec0b13c1</vt:lpwstr>
  </property>
</Properties>
</file>