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A470C" w14:textId="12F05DD2" w:rsidR="0016246B" w:rsidRPr="00FC798F" w:rsidRDefault="00F070F5" w:rsidP="00F070F5">
      <w:pPr>
        <w:pStyle w:val="Pagedecouverture"/>
        <w:rPr>
          <w:noProof/>
        </w:rPr>
      </w:pPr>
      <w:bookmarkStart w:id="0" w:name="LW_BM_COVERPAGE"/>
      <w:r>
        <w:rPr>
          <w:noProof/>
        </w:rPr>
        <w:pict w14:anchorId="21CE1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2D87B29-3FDE-4F35-BE1D-B28B3D36749B" style="width:455.25pt;height:336.75pt">
            <v:imagedata r:id="rId8" o:title=""/>
          </v:shape>
        </w:pict>
      </w:r>
    </w:p>
    <w:bookmarkEnd w:id="0"/>
    <w:p w14:paraId="6E148307" w14:textId="77777777" w:rsidR="0016246B" w:rsidRPr="00FC798F" w:rsidRDefault="0016246B" w:rsidP="0016246B">
      <w:pPr>
        <w:rPr>
          <w:noProof/>
        </w:rPr>
        <w:sectPr w:rsidR="0016246B" w:rsidRPr="00FC798F" w:rsidSect="00F070F5">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703F3DF9" w14:textId="56B573C5" w:rsidR="00D04872" w:rsidRPr="00D04872" w:rsidRDefault="00D04872" w:rsidP="00D04872">
      <w:pPr>
        <w:pStyle w:val="Typedudocument"/>
        <w:rPr>
          <w:noProof/>
        </w:rPr>
      </w:pPr>
      <w:bookmarkStart w:id="1" w:name="_GoBack"/>
      <w:bookmarkEnd w:id="1"/>
      <w:r w:rsidRPr="00D04872">
        <w:rPr>
          <w:noProof/>
        </w:rPr>
        <w:lastRenderedPageBreak/>
        <w:t>REPORT FROM THE COMMISSION TO THE EUROPEAN PARLIAMENT AND THE COUNCIL</w:t>
      </w:r>
    </w:p>
    <w:p w14:paraId="65B649B9" w14:textId="722FA65F" w:rsidR="00D04872" w:rsidRPr="00D04872" w:rsidRDefault="00D04872" w:rsidP="00D04872">
      <w:pPr>
        <w:pStyle w:val="Titreobjet"/>
        <w:rPr>
          <w:noProof/>
        </w:rPr>
      </w:pPr>
      <w:r w:rsidRPr="00D04872">
        <w:rPr>
          <w:noProof/>
        </w:rPr>
        <w:t>on the functioning of Directive 2014/23/EU on the award of concession contracts and on the impact on the internal market of the exclusions set out in Article 12</w:t>
      </w:r>
    </w:p>
    <w:p w14:paraId="36FED9DB" w14:textId="0A9DE065" w:rsidR="00692059" w:rsidRPr="00FC798F" w:rsidRDefault="00692059" w:rsidP="00692059">
      <w:pPr>
        <w:rPr>
          <w:noProof/>
        </w:rPr>
      </w:pPr>
    </w:p>
    <w:p w14:paraId="69F87827" w14:textId="0AFC9337" w:rsidR="0004651C" w:rsidRPr="00FC798F" w:rsidRDefault="00AA331C" w:rsidP="00AA331C">
      <w:pPr>
        <w:pStyle w:val="ManualHeading1"/>
        <w:rPr>
          <w:noProof/>
        </w:rPr>
      </w:pPr>
      <w:r w:rsidRPr="00AA331C">
        <w:t>1.</w:t>
      </w:r>
      <w:r w:rsidRPr="00AA331C">
        <w:tab/>
      </w:r>
      <w:r w:rsidR="002E39E7" w:rsidRPr="00FC798F">
        <w:rPr>
          <w:noProof/>
        </w:rPr>
        <w:t>introduction</w:t>
      </w:r>
    </w:p>
    <w:p w14:paraId="7C2668F3" w14:textId="5BE6DB28" w:rsidR="00671ED4" w:rsidRPr="00FC798F" w:rsidRDefault="00BA6C3D" w:rsidP="00671ED4">
      <w:pPr>
        <w:rPr>
          <w:noProof/>
        </w:rPr>
      </w:pPr>
      <w:r w:rsidRPr="00C25AF2">
        <w:rPr>
          <w:noProof/>
          <w:lang w:val="en-GB"/>
        </w:rPr>
        <w:t>The Commission estimates that the overall value of government procurement in the EU was around EUR 2</w:t>
      </w:r>
      <w:r w:rsidR="0048591C">
        <w:rPr>
          <w:noProof/>
          <w:lang w:val="en-GB"/>
        </w:rPr>
        <w:t> </w:t>
      </w:r>
      <w:r w:rsidRPr="00C25AF2">
        <w:rPr>
          <w:noProof/>
          <w:lang w:val="en-GB"/>
        </w:rPr>
        <w:t>163 billion in 2018 or 13.6% of EU GDP</w:t>
      </w:r>
      <w:r w:rsidRPr="00C25AF2">
        <w:rPr>
          <w:noProof/>
          <w:vertAlign w:val="superscript"/>
          <w:lang w:val="en-GB"/>
        </w:rPr>
        <w:footnoteReference w:id="2"/>
      </w:r>
      <w:r w:rsidRPr="00C25AF2">
        <w:rPr>
          <w:noProof/>
          <w:lang w:val="en-GB"/>
        </w:rPr>
        <w:t>, out of which around EUR 670 billion</w:t>
      </w:r>
      <w:r w:rsidRPr="00C25AF2">
        <w:rPr>
          <w:noProof/>
          <w:vertAlign w:val="superscript"/>
          <w:lang w:val="en-GB"/>
        </w:rPr>
        <w:footnoteReference w:id="3"/>
      </w:r>
      <w:r w:rsidRPr="00C25AF2">
        <w:rPr>
          <w:noProof/>
          <w:lang w:val="en-GB"/>
        </w:rPr>
        <w:t xml:space="preserve"> was covered by the three public procurement Directives</w:t>
      </w:r>
      <w:r w:rsidR="001810F9" w:rsidRPr="00C25AF2">
        <w:rPr>
          <w:noProof/>
        </w:rPr>
        <w:t>.</w:t>
      </w:r>
      <w:r w:rsidR="001810F9" w:rsidRPr="00FC798F">
        <w:rPr>
          <w:noProof/>
        </w:rPr>
        <w:t xml:space="preserve"> </w:t>
      </w:r>
      <w:r w:rsidR="00671ED4" w:rsidRPr="00FC798F">
        <w:rPr>
          <w:noProof/>
        </w:rPr>
        <w:t xml:space="preserve">When public authorities need to mobilise private capital and know-how to complement scarce public resources, concessions </w:t>
      </w:r>
      <w:r w:rsidR="007C2662">
        <w:rPr>
          <w:noProof/>
        </w:rPr>
        <w:t xml:space="preserve">can be </w:t>
      </w:r>
      <w:r w:rsidR="00671ED4" w:rsidRPr="00FC798F">
        <w:rPr>
          <w:noProof/>
        </w:rPr>
        <w:t xml:space="preserve">a very attractive way of carrying out projects of public interest </w:t>
      </w:r>
      <w:r w:rsidR="007C2662">
        <w:rPr>
          <w:noProof/>
        </w:rPr>
        <w:t xml:space="preserve">while limiting </w:t>
      </w:r>
      <w:r w:rsidR="00C66992" w:rsidRPr="00FC798F">
        <w:rPr>
          <w:noProof/>
        </w:rPr>
        <w:t xml:space="preserve">public debt. </w:t>
      </w:r>
      <w:r w:rsidR="00671ED4" w:rsidRPr="00FC798F">
        <w:rPr>
          <w:noProof/>
          <w:color w:val="0E101A"/>
        </w:rPr>
        <w:t xml:space="preserve">Concessions are contractual arrangements where one or </w:t>
      </w:r>
      <w:r w:rsidR="00B749AF" w:rsidRPr="00FC798F">
        <w:rPr>
          <w:noProof/>
          <w:color w:val="0E101A"/>
        </w:rPr>
        <w:t>more</w:t>
      </w:r>
      <w:r w:rsidR="00671ED4" w:rsidRPr="00FC798F">
        <w:rPr>
          <w:noProof/>
          <w:color w:val="0E101A"/>
        </w:rPr>
        <w:t xml:space="preserve"> public contracting authorities or contracting entities entrust the execution of works, or the provision and the management of services, to one or more private economic operators.</w:t>
      </w:r>
      <w:r w:rsidR="00B749AF" w:rsidRPr="00FC798F">
        <w:rPr>
          <w:noProof/>
        </w:rPr>
        <w:t xml:space="preserve"> </w:t>
      </w:r>
      <w:r w:rsidR="007C2662">
        <w:rPr>
          <w:noProof/>
        </w:rPr>
        <w:t>C</w:t>
      </w:r>
      <w:r w:rsidR="007C2662" w:rsidRPr="00FC798F">
        <w:rPr>
          <w:noProof/>
        </w:rPr>
        <w:t xml:space="preserve">oncession </w:t>
      </w:r>
      <w:r w:rsidR="00671ED4" w:rsidRPr="00FC798F">
        <w:rPr>
          <w:noProof/>
        </w:rPr>
        <w:t>contracts</w:t>
      </w:r>
      <w:r w:rsidR="00894CE5">
        <w:rPr>
          <w:noProof/>
        </w:rPr>
        <w:t>,</w:t>
      </w:r>
      <w:r w:rsidR="00671ED4" w:rsidRPr="00FC798F">
        <w:rPr>
          <w:noProof/>
        </w:rPr>
        <w:t xml:space="preserve"> </w:t>
      </w:r>
      <w:r w:rsidR="000B1852">
        <w:rPr>
          <w:noProof/>
        </w:rPr>
        <w:t xml:space="preserve">which amount to an average value of </w:t>
      </w:r>
      <w:r w:rsidR="0048591C">
        <w:rPr>
          <w:noProof/>
        </w:rPr>
        <w:t xml:space="preserve">EUR </w:t>
      </w:r>
      <w:r w:rsidR="000B1852">
        <w:rPr>
          <w:noProof/>
        </w:rPr>
        <w:t xml:space="preserve">63 </w:t>
      </w:r>
      <w:r w:rsidR="0048591C">
        <w:rPr>
          <w:noProof/>
        </w:rPr>
        <w:t xml:space="preserve">billion </w:t>
      </w:r>
      <w:r w:rsidR="000B1852">
        <w:rPr>
          <w:noProof/>
        </w:rPr>
        <w:t>a year</w:t>
      </w:r>
      <w:r w:rsidR="00894CE5">
        <w:rPr>
          <w:noProof/>
        </w:rPr>
        <w:t xml:space="preserve">, </w:t>
      </w:r>
      <w:r w:rsidR="000B1852">
        <w:rPr>
          <w:noProof/>
        </w:rPr>
        <w:t xml:space="preserve">underpin </w:t>
      </w:r>
      <w:r w:rsidR="007C2662" w:rsidRPr="00FC798F">
        <w:rPr>
          <w:noProof/>
        </w:rPr>
        <w:t>partnerships between the public sector and private companies in key strategic sectors</w:t>
      </w:r>
      <w:r w:rsidR="00671ED4" w:rsidRPr="00FC798F">
        <w:rPr>
          <w:noProof/>
        </w:rPr>
        <w:t xml:space="preserve">. This is notably the case for the development of infrastructure, such as </w:t>
      </w:r>
      <w:r w:rsidR="00B749AF" w:rsidRPr="00FC798F">
        <w:rPr>
          <w:noProof/>
        </w:rPr>
        <w:t>port</w:t>
      </w:r>
      <w:r w:rsidR="00E275D7">
        <w:rPr>
          <w:noProof/>
        </w:rPr>
        <w:t>s</w:t>
      </w:r>
      <w:r w:rsidR="00B749AF" w:rsidRPr="00FC798F">
        <w:rPr>
          <w:noProof/>
        </w:rPr>
        <w:t xml:space="preserve"> and</w:t>
      </w:r>
      <w:r w:rsidR="00671ED4" w:rsidRPr="00FC798F">
        <w:rPr>
          <w:noProof/>
        </w:rPr>
        <w:t xml:space="preserve"> </w:t>
      </w:r>
      <w:r w:rsidR="00B749AF" w:rsidRPr="00FC798F">
        <w:rPr>
          <w:noProof/>
        </w:rPr>
        <w:t>airport</w:t>
      </w:r>
      <w:r w:rsidR="00E275D7">
        <w:rPr>
          <w:noProof/>
        </w:rPr>
        <w:t>s</w:t>
      </w:r>
      <w:r w:rsidR="00B749AF" w:rsidRPr="00FC798F">
        <w:rPr>
          <w:noProof/>
        </w:rPr>
        <w:t xml:space="preserve">, </w:t>
      </w:r>
      <w:r w:rsidR="00671ED4" w:rsidRPr="00FC798F">
        <w:rPr>
          <w:noProof/>
        </w:rPr>
        <w:t xml:space="preserve">parking garages, </w:t>
      </w:r>
      <w:r w:rsidR="00B749AF" w:rsidRPr="00FC798F">
        <w:rPr>
          <w:noProof/>
        </w:rPr>
        <w:t xml:space="preserve">toll roads, motorway maintenance, </w:t>
      </w:r>
      <w:r w:rsidR="00671ED4" w:rsidRPr="00FC798F">
        <w:rPr>
          <w:noProof/>
        </w:rPr>
        <w:t>or the provision of services of general economic interest such as energy or waste disposal</w:t>
      </w:r>
      <w:r w:rsidR="00B749AF" w:rsidRPr="00FC798F">
        <w:rPr>
          <w:noProof/>
        </w:rPr>
        <w:t>.</w:t>
      </w:r>
    </w:p>
    <w:p w14:paraId="68952AFC" w14:textId="6491E804" w:rsidR="008A5CDD" w:rsidRPr="00FC798F" w:rsidRDefault="008A5CDD" w:rsidP="008A5CDD">
      <w:pPr>
        <w:pStyle w:val="Text2"/>
        <w:tabs>
          <w:tab w:val="left" w:pos="720"/>
        </w:tabs>
        <w:ind w:left="0" w:right="-133"/>
        <w:rPr>
          <w:noProof/>
          <w:szCs w:val="24"/>
        </w:rPr>
      </w:pPr>
      <w:r w:rsidRPr="00FC798F">
        <w:rPr>
          <w:noProof/>
          <w:color w:val="0E101A"/>
        </w:rPr>
        <w:t xml:space="preserve">Directive </w:t>
      </w:r>
      <w:bookmarkStart w:id="2" w:name="_Hlk120891039"/>
      <w:r w:rsidRPr="00FC798F">
        <w:rPr>
          <w:noProof/>
          <w:color w:val="0E101A"/>
        </w:rPr>
        <w:t>2014/23/EU</w:t>
      </w:r>
      <w:bookmarkEnd w:id="2"/>
      <w:r w:rsidR="00D23EDB">
        <w:rPr>
          <w:rStyle w:val="FootnoteReference"/>
          <w:noProof/>
          <w:color w:val="0E101A"/>
        </w:rPr>
        <w:footnoteReference w:id="4"/>
      </w:r>
      <w:r w:rsidR="00D23EDB">
        <w:rPr>
          <w:noProof/>
          <w:color w:val="0E101A"/>
        </w:rPr>
        <w:t xml:space="preserve"> </w:t>
      </w:r>
      <w:r w:rsidRPr="00FC798F">
        <w:rPr>
          <w:noProof/>
          <w:color w:val="0E101A"/>
        </w:rPr>
        <w:t>on the award of con</w:t>
      </w:r>
      <w:r w:rsidR="004532B2" w:rsidRPr="00FC798F">
        <w:rPr>
          <w:noProof/>
          <w:color w:val="0E101A"/>
        </w:rPr>
        <w:t>cession contracts (hereinafter the “Directive”</w:t>
      </w:r>
      <w:r w:rsidRPr="00FC798F">
        <w:rPr>
          <w:noProof/>
          <w:color w:val="0E101A"/>
        </w:rPr>
        <w:t>) was adopted</w:t>
      </w:r>
      <w:r w:rsidRPr="00FC798F">
        <w:rPr>
          <w:noProof/>
          <w:szCs w:val="24"/>
        </w:rPr>
        <w:t xml:space="preserve"> to ad</w:t>
      </w:r>
      <w:r w:rsidR="006F010B">
        <w:rPr>
          <w:noProof/>
          <w:szCs w:val="24"/>
        </w:rPr>
        <w:t>d</w:t>
      </w:r>
      <w:r w:rsidRPr="00FC798F">
        <w:rPr>
          <w:noProof/>
          <w:szCs w:val="24"/>
        </w:rPr>
        <w:t>ress the absence of a</w:t>
      </w:r>
      <w:r w:rsidR="00477A34" w:rsidRPr="00FC798F">
        <w:rPr>
          <w:noProof/>
          <w:szCs w:val="24"/>
        </w:rPr>
        <w:t xml:space="preserve"> coherent, all-encompassing</w:t>
      </w:r>
      <w:r w:rsidRPr="00FC798F">
        <w:rPr>
          <w:noProof/>
          <w:szCs w:val="24"/>
        </w:rPr>
        <w:t xml:space="preserve"> EU-level framework for concessions</w:t>
      </w:r>
      <w:r w:rsidR="000B1852">
        <w:rPr>
          <w:noProof/>
          <w:szCs w:val="24"/>
        </w:rPr>
        <w:t>.</w:t>
      </w:r>
      <w:r w:rsidRPr="00FC798F">
        <w:rPr>
          <w:noProof/>
          <w:szCs w:val="24"/>
        </w:rPr>
        <w:t xml:space="preserve"> The aim of the Directive </w:t>
      </w:r>
      <w:r w:rsidR="00C04E41" w:rsidRPr="00FC798F">
        <w:rPr>
          <w:noProof/>
          <w:szCs w:val="24"/>
        </w:rPr>
        <w:t>is to</w:t>
      </w:r>
      <w:r w:rsidRPr="00FC798F">
        <w:rPr>
          <w:noProof/>
          <w:szCs w:val="24"/>
        </w:rPr>
        <w:t xml:space="preserve"> provide a clear </w:t>
      </w:r>
      <w:r w:rsidR="00B37C01">
        <w:rPr>
          <w:noProof/>
          <w:szCs w:val="24"/>
        </w:rPr>
        <w:t xml:space="preserve">legal </w:t>
      </w:r>
      <w:r w:rsidRPr="00FC798F">
        <w:rPr>
          <w:noProof/>
          <w:szCs w:val="24"/>
        </w:rPr>
        <w:t xml:space="preserve">framework that promotes </w:t>
      </w:r>
      <w:r w:rsidR="004757A1">
        <w:rPr>
          <w:noProof/>
          <w:szCs w:val="24"/>
        </w:rPr>
        <w:t>the use of concessions</w:t>
      </w:r>
      <w:r w:rsidRPr="00FC798F">
        <w:rPr>
          <w:noProof/>
          <w:szCs w:val="24"/>
        </w:rPr>
        <w:t xml:space="preserve"> while improving market access for businesses by ensuring transparency and fairness in award procedures. </w:t>
      </w:r>
    </w:p>
    <w:p w14:paraId="16848141" w14:textId="3AB51085" w:rsidR="008A5CDD" w:rsidRDefault="00FD231A" w:rsidP="008A5CDD">
      <w:pPr>
        <w:rPr>
          <w:noProof/>
        </w:rPr>
      </w:pPr>
      <w:r>
        <w:rPr>
          <w:noProof/>
        </w:rPr>
        <w:t>The f</w:t>
      </w:r>
      <w:r w:rsidRPr="00FD231A">
        <w:rPr>
          <w:noProof/>
        </w:rPr>
        <w:t xml:space="preserve">ourth paragraph of Article 53 </w:t>
      </w:r>
      <w:r>
        <w:rPr>
          <w:noProof/>
        </w:rPr>
        <w:t xml:space="preserve">of the Directive </w:t>
      </w:r>
      <w:r w:rsidR="00A04ABF">
        <w:rPr>
          <w:noProof/>
        </w:rPr>
        <w:t>mandates the Commission to “review the functioning of this Directive and […] to report to the European Parliament and to the Council</w:t>
      </w:r>
      <w:r>
        <w:rPr>
          <w:noProof/>
        </w:rPr>
        <w:t>”, while</w:t>
      </w:r>
      <w:r w:rsidR="00A04ABF">
        <w:rPr>
          <w:noProof/>
        </w:rPr>
        <w:t xml:space="preserve"> </w:t>
      </w:r>
      <w:r>
        <w:rPr>
          <w:noProof/>
        </w:rPr>
        <w:t>the third paragraph of that</w:t>
      </w:r>
      <w:r w:rsidR="00E360D2">
        <w:rPr>
          <w:noProof/>
        </w:rPr>
        <w:t xml:space="preserve"> Article</w:t>
      </w:r>
      <w:r w:rsidR="00A04ABF">
        <w:rPr>
          <w:noProof/>
        </w:rPr>
        <w:t xml:space="preserve"> requires the Commission to “assess the </w:t>
      </w:r>
      <w:r w:rsidR="00F16F2D" w:rsidRPr="00FC798F">
        <w:rPr>
          <w:noProof/>
        </w:rPr>
        <w:t xml:space="preserve">economic </w:t>
      </w:r>
      <w:r w:rsidR="00C04E41" w:rsidRPr="00FC798F">
        <w:rPr>
          <w:noProof/>
        </w:rPr>
        <w:t xml:space="preserve">effects </w:t>
      </w:r>
      <w:r w:rsidR="00F16F2D" w:rsidRPr="00FC798F">
        <w:rPr>
          <w:noProof/>
        </w:rPr>
        <w:t>on the i</w:t>
      </w:r>
      <w:r w:rsidR="004532B2" w:rsidRPr="00FC798F">
        <w:rPr>
          <w:noProof/>
        </w:rPr>
        <w:t xml:space="preserve">nternal market </w:t>
      </w:r>
      <w:r w:rsidR="00C04E41" w:rsidRPr="00FC798F">
        <w:rPr>
          <w:noProof/>
        </w:rPr>
        <w:t>of</w:t>
      </w:r>
      <w:r w:rsidR="004532B2" w:rsidRPr="00FC798F">
        <w:rPr>
          <w:noProof/>
        </w:rPr>
        <w:t xml:space="preserve"> the exclusion </w:t>
      </w:r>
      <w:r w:rsidR="00A04ABF">
        <w:rPr>
          <w:noProof/>
        </w:rPr>
        <w:t>[</w:t>
      </w:r>
      <w:r w:rsidR="004532B2" w:rsidRPr="00FC798F">
        <w:rPr>
          <w:noProof/>
        </w:rPr>
        <w:t>of the water sector</w:t>
      </w:r>
      <w:r w:rsidR="00A04ABF">
        <w:rPr>
          <w:noProof/>
        </w:rPr>
        <w:t>]”</w:t>
      </w:r>
      <w:r>
        <w:rPr>
          <w:noProof/>
        </w:rPr>
        <w:t xml:space="preserve"> from </w:t>
      </w:r>
      <w:r w:rsidR="00C6282A">
        <w:rPr>
          <w:noProof/>
        </w:rPr>
        <w:t>the</w:t>
      </w:r>
      <w:r>
        <w:rPr>
          <w:noProof/>
        </w:rPr>
        <w:t xml:space="preserve"> scope of the Directive</w:t>
      </w:r>
      <w:r w:rsidR="00812300">
        <w:rPr>
          <w:noProof/>
        </w:rPr>
        <w:t>.</w:t>
      </w:r>
      <w:r>
        <w:rPr>
          <w:noProof/>
        </w:rPr>
        <w:t xml:space="preserve"> </w:t>
      </w:r>
      <w:r w:rsidR="00E360D2">
        <w:rPr>
          <w:noProof/>
        </w:rPr>
        <w:t>This</w:t>
      </w:r>
      <w:r>
        <w:rPr>
          <w:noProof/>
        </w:rPr>
        <w:t xml:space="preserve"> Report </w:t>
      </w:r>
      <w:r w:rsidR="008A5CDD" w:rsidRPr="00FC798F">
        <w:rPr>
          <w:noProof/>
        </w:rPr>
        <w:t>p</w:t>
      </w:r>
      <w:r w:rsidR="00E360D2">
        <w:rPr>
          <w:noProof/>
        </w:rPr>
        <w:t>resents the main findings of that</w:t>
      </w:r>
      <w:r w:rsidR="008A5CDD" w:rsidRPr="00FC798F">
        <w:rPr>
          <w:noProof/>
        </w:rPr>
        <w:t xml:space="preserve"> </w:t>
      </w:r>
      <w:r w:rsidR="00F16F2D" w:rsidRPr="00FC798F">
        <w:rPr>
          <w:noProof/>
        </w:rPr>
        <w:t>review</w:t>
      </w:r>
      <w:r w:rsidR="00E360D2">
        <w:rPr>
          <w:noProof/>
        </w:rPr>
        <w:t xml:space="preserve"> and assessment</w:t>
      </w:r>
      <w:r w:rsidR="008A5CDD" w:rsidRPr="00FC798F">
        <w:rPr>
          <w:noProof/>
        </w:rPr>
        <w:t>. It draws on inform</w:t>
      </w:r>
      <w:r w:rsidR="00C6282A">
        <w:rPr>
          <w:noProof/>
        </w:rPr>
        <w:t>ation from the Commission Staff</w:t>
      </w:r>
      <w:r w:rsidR="00F85EF4">
        <w:rPr>
          <w:noProof/>
        </w:rPr>
        <w:t xml:space="preserve"> </w:t>
      </w:r>
      <w:r w:rsidR="008A5CDD" w:rsidRPr="00FC798F">
        <w:rPr>
          <w:noProof/>
        </w:rPr>
        <w:t xml:space="preserve">Working Document on the </w:t>
      </w:r>
      <w:r w:rsidR="00E57919" w:rsidRPr="00FC798F">
        <w:rPr>
          <w:noProof/>
        </w:rPr>
        <w:t xml:space="preserve">application </w:t>
      </w:r>
      <w:r w:rsidR="004532B2" w:rsidRPr="00FC798F">
        <w:rPr>
          <w:noProof/>
        </w:rPr>
        <w:t xml:space="preserve">of the </w:t>
      </w:r>
      <w:r w:rsidR="005668FC">
        <w:rPr>
          <w:noProof/>
        </w:rPr>
        <w:t>Directive</w:t>
      </w:r>
      <w:r w:rsidR="008A5CDD" w:rsidRPr="00FC798F">
        <w:rPr>
          <w:noProof/>
        </w:rPr>
        <w:t xml:space="preserve"> (“Commission Staff Working Document”), which is to be read in conjunction with this Report</w:t>
      </w:r>
      <w:r w:rsidR="00B44E20">
        <w:rPr>
          <w:noProof/>
        </w:rPr>
        <w:t>.</w:t>
      </w:r>
    </w:p>
    <w:p w14:paraId="1350F345" w14:textId="7CF4367C" w:rsidR="005668FC" w:rsidRDefault="00616927" w:rsidP="0004651C">
      <w:pPr>
        <w:rPr>
          <w:noProof/>
        </w:rPr>
      </w:pPr>
      <w:r>
        <w:rPr>
          <w:noProof/>
        </w:rPr>
        <w:t xml:space="preserve">The Report and Staff Working Document are based on a body of evidence coming from multiple sources, such as data extracted from the </w:t>
      </w:r>
      <w:r w:rsidR="00C20CA8" w:rsidRPr="00C20CA8">
        <w:rPr>
          <w:noProof/>
        </w:rPr>
        <w:t>Te</w:t>
      </w:r>
      <w:r w:rsidR="00C20CA8">
        <w:rPr>
          <w:noProof/>
        </w:rPr>
        <w:t>nders Electronic Daily</w:t>
      </w:r>
      <w:r w:rsidR="00C20CA8" w:rsidRPr="00C20CA8">
        <w:rPr>
          <w:noProof/>
        </w:rPr>
        <w:t xml:space="preserve"> </w:t>
      </w:r>
      <w:r>
        <w:rPr>
          <w:noProof/>
        </w:rPr>
        <w:t>database</w:t>
      </w:r>
      <w:r w:rsidR="00C20CA8">
        <w:rPr>
          <w:noProof/>
        </w:rPr>
        <w:t xml:space="preserve"> (TED)</w:t>
      </w:r>
      <w:r>
        <w:rPr>
          <w:noProof/>
        </w:rPr>
        <w:t xml:space="preserve">; information made available by </w:t>
      </w:r>
      <w:r w:rsidR="005668FC">
        <w:rPr>
          <w:noProof/>
        </w:rPr>
        <w:t>M</w:t>
      </w:r>
      <w:r w:rsidR="00634043">
        <w:rPr>
          <w:noProof/>
        </w:rPr>
        <w:t>ember States</w:t>
      </w:r>
      <w:r>
        <w:rPr>
          <w:noProof/>
        </w:rPr>
        <w:t xml:space="preserve"> in accordance with Article 45 of the Directive</w:t>
      </w:r>
      <w:r w:rsidR="00B37C01">
        <w:rPr>
          <w:rStyle w:val="FootnoteReference"/>
          <w:noProof/>
        </w:rPr>
        <w:footnoteReference w:id="5"/>
      </w:r>
      <w:r>
        <w:rPr>
          <w:noProof/>
        </w:rPr>
        <w:t xml:space="preserve">; the Study on the implementation of the </w:t>
      </w:r>
      <w:r w:rsidR="00A04ABF">
        <w:rPr>
          <w:noProof/>
        </w:rPr>
        <w:t xml:space="preserve">Concessions </w:t>
      </w:r>
      <w:r w:rsidR="005668FC">
        <w:rPr>
          <w:noProof/>
        </w:rPr>
        <w:t>Directive</w:t>
      </w:r>
      <w:r>
        <w:rPr>
          <w:noProof/>
        </w:rPr>
        <w:t xml:space="preserve"> carried out for the Commission by London Economics Europe and Spark Legal (2021)</w:t>
      </w:r>
      <w:r w:rsidR="00E21554">
        <w:rPr>
          <w:rStyle w:val="FootnoteReference"/>
          <w:noProof/>
        </w:rPr>
        <w:footnoteReference w:id="6"/>
      </w:r>
      <w:r>
        <w:rPr>
          <w:noProof/>
        </w:rPr>
        <w:t xml:space="preserve">; a survey launched by the Commission services in 2021 to </w:t>
      </w:r>
      <w:r w:rsidR="005668FC">
        <w:rPr>
          <w:noProof/>
        </w:rPr>
        <w:t xml:space="preserve">collect </w:t>
      </w:r>
      <w:r>
        <w:rPr>
          <w:noProof/>
        </w:rPr>
        <w:t xml:space="preserve">information from </w:t>
      </w:r>
      <w:r w:rsidR="005668FC">
        <w:rPr>
          <w:noProof/>
        </w:rPr>
        <w:t>M</w:t>
      </w:r>
      <w:r w:rsidR="00D462E2">
        <w:rPr>
          <w:noProof/>
        </w:rPr>
        <w:t>em</w:t>
      </w:r>
      <w:r w:rsidR="00A04ABF">
        <w:rPr>
          <w:noProof/>
        </w:rPr>
        <w:t>b</w:t>
      </w:r>
      <w:r w:rsidR="00D462E2">
        <w:rPr>
          <w:noProof/>
        </w:rPr>
        <w:t xml:space="preserve">er </w:t>
      </w:r>
      <w:r w:rsidR="005668FC">
        <w:rPr>
          <w:noProof/>
        </w:rPr>
        <w:t>S</w:t>
      </w:r>
      <w:r w:rsidR="00D462E2">
        <w:rPr>
          <w:noProof/>
        </w:rPr>
        <w:t>tates</w:t>
      </w:r>
      <w:r>
        <w:rPr>
          <w:noProof/>
        </w:rPr>
        <w:t xml:space="preserve"> on the organisation of the water sector and positions expressed by stakeholders during an online stakeholder event </w:t>
      </w:r>
      <w:r w:rsidR="00A04ABF">
        <w:rPr>
          <w:noProof/>
        </w:rPr>
        <w:t xml:space="preserve">organised by the Commission </w:t>
      </w:r>
      <w:r>
        <w:rPr>
          <w:noProof/>
        </w:rPr>
        <w:t xml:space="preserve">on the review of the functioning of the </w:t>
      </w:r>
      <w:r w:rsidR="005668FC">
        <w:rPr>
          <w:noProof/>
        </w:rPr>
        <w:t>Directive</w:t>
      </w:r>
      <w:r>
        <w:rPr>
          <w:noProof/>
        </w:rPr>
        <w:t xml:space="preserve"> and the assessment of water exclusion. </w:t>
      </w:r>
    </w:p>
    <w:p w14:paraId="745F659D" w14:textId="0771760B" w:rsidR="00FC467E" w:rsidRPr="00FC798F" w:rsidRDefault="00616927" w:rsidP="0004651C">
      <w:pPr>
        <w:rPr>
          <w:noProof/>
        </w:rPr>
      </w:pPr>
      <w:r>
        <w:rPr>
          <w:noProof/>
        </w:rPr>
        <w:t xml:space="preserve">The </w:t>
      </w:r>
      <w:r w:rsidR="00E275D7">
        <w:rPr>
          <w:noProof/>
        </w:rPr>
        <w:t>late</w:t>
      </w:r>
      <w:r w:rsidR="00A04ABF">
        <w:rPr>
          <w:noProof/>
        </w:rPr>
        <w:t xml:space="preserve"> transposition of the Directive by all Member States - </w:t>
      </w:r>
      <w:r>
        <w:rPr>
          <w:noProof/>
        </w:rPr>
        <w:t xml:space="preserve">the Directive </w:t>
      </w:r>
      <w:r w:rsidR="005668FC">
        <w:rPr>
          <w:noProof/>
        </w:rPr>
        <w:t>has been</w:t>
      </w:r>
      <w:r>
        <w:rPr>
          <w:noProof/>
        </w:rPr>
        <w:t xml:space="preserve"> </w:t>
      </w:r>
      <w:r w:rsidR="00E275D7">
        <w:rPr>
          <w:noProof/>
        </w:rPr>
        <w:t>applied</w:t>
      </w:r>
      <w:r w:rsidR="005668FC">
        <w:rPr>
          <w:noProof/>
        </w:rPr>
        <w:t xml:space="preserve"> in</w:t>
      </w:r>
      <w:r>
        <w:rPr>
          <w:noProof/>
        </w:rPr>
        <w:t xml:space="preserve"> the </w:t>
      </w:r>
      <w:r w:rsidR="00B37C01">
        <w:rPr>
          <w:noProof/>
        </w:rPr>
        <w:t xml:space="preserve">whole of the </w:t>
      </w:r>
      <w:r>
        <w:rPr>
          <w:noProof/>
        </w:rPr>
        <w:t>EU only since 2020</w:t>
      </w:r>
      <w:r w:rsidR="00122F13">
        <w:rPr>
          <w:noProof/>
        </w:rPr>
        <w:t xml:space="preserve"> -</w:t>
      </w:r>
      <w:r>
        <w:rPr>
          <w:noProof/>
        </w:rPr>
        <w:t xml:space="preserve"> </w:t>
      </w:r>
      <w:r w:rsidR="00535539">
        <w:rPr>
          <w:noProof/>
        </w:rPr>
        <w:t xml:space="preserve">prevents </w:t>
      </w:r>
      <w:r w:rsidR="005668FC">
        <w:rPr>
          <w:noProof/>
        </w:rPr>
        <w:t xml:space="preserve">a </w:t>
      </w:r>
      <w:r w:rsidR="00402A6D">
        <w:rPr>
          <w:noProof/>
        </w:rPr>
        <w:t>full</w:t>
      </w:r>
      <w:r w:rsidR="00B37C01" w:rsidRPr="00FC798F">
        <w:rPr>
          <w:noProof/>
        </w:rPr>
        <w:t xml:space="preserve"> </w:t>
      </w:r>
      <w:r>
        <w:rPr>
          <w:noProof/>
        </w:rPr>
        <w:t>assessment of the functioning of the Directive and the water sector exc</w:t>
      </w:r>
      <w:r w:rsidR="75710040">
        <w:rPr>
          <w:noProof/>
        </w:rPr>
        <w:t>l</w:t>
      </w:r>
      <w:r>
        <w:rPr>
          <w:noProof/>
        </w:rPr>
        <w:t>usion</w:t>
      </w:r>
      <w:r w:rsidR="005668FC">
        <w:rPr>
          <w:noProof/>
        </w:rPr>
        <w:t xml:space="preserve"> at this point in time</w:t>
      </w:r>
      <w:r>
        <w:rPr>
          <w:noProof/>
        </w:rPr>
        <w:t>.</w:t>
      </w:r>
      <w:r w:rsidR="005668FC">
        <w:rPr>
          <w:noProof/>
        </w:rPr>
        <w:t xml:space="preserve"> M</w:t>
      </w:r>
      <w:r w:rsidR="001E23A2" w:rsidRPr="00FC798F">
        <w:rPr>
          <w:noProof/>
        </w:rPr>
        <w:t xml:space="preserve">ore experience with the Directive is necessary to make a </w:t>
      </w:r>
      <w:r w:rsidR="00C6282A">
        <w:rPr>
          <w:noProof/>
        </w:rPr>
        <w:t>fully-fledged</w:t>
      </w:r>
      <w:r w:rsidR="00B37C01">
        <w:rPr>
          <w:noProof/>
        </w:rPr>
        <w:t xml:space="preserve"> </w:t>
      </w:r>
      <w:r w:rsidR="001E23A2" w:rsidRPr="00FC798F">
        <w:rPr>
          <w:noProof/>
        </w:rPr>
        <w:t xml:space="preserve">assessment of </w:t>
      </w:r>
      <w:r w:rsidR="005668FC">
        <w:rPr>
          <w:noProof/>
        </w:rPr>
        <w:t>its</w:t>
      </w:r>
      <w:r w:rsidR="005668FC" w:rsidRPr="00FC798F">
        <w:rPr>
          <w:noProof/>
        </w:rPr>
        <w:t xml:space="preserve"> </w:t>
      </w:r>
      <w:r w:rsidR="001E23A2" w:rsidRPr="00FC798F">
        <w:rPr>
          <w:noProof/>
        </w:rPr>
        <w:t xml:space="preserve">functioning </w:t>
      </w:r>
      <w:r w:rsidR="005668FC">
        <w:rPr>
          <w:noProof/>
        </w:rPr>
        <w:t xml:space="preserve">as well as of </w:t>
      </w:r>
      <w:r w:rsidR="001E23A2" w:rsidRPr="00FC798F">
        <w:rPr>
          <w:noProof/>
        </w:rPr>
        <w:t xml:space="preserve">the impact </w:t>
      </w:r>
      <w:r w:rsidR="006F010B">
        <w:rPr>
          <w:noProof/>
        </w:rPr>
        <w:t xml:space="preserve">of </w:t>
      </w:r>
      <w:r w:rsidR="00C04E41">
        <w:rPr>
          <w:noProof/>
        </w:rPr>
        <w:t xml:space="preserve">excluding </w:t>
      </w:r>
      <w:r w:rsidR="00C04E41" w:rsidRPr="00FC798F">
        <w:rPr>
          <w:noProof/>
        </w:rPr>
        <w:t>the</w:t>
      </w:r>
      <w:r w:rsidR="001E23A2" w:rsidRPr="00FC798F">
        <w:rPr>
          <w:noProof/>
        </w:rPr>
        <w:t xml:space="preserve"> water sector</w:t>
      </w:r>
      <w:r w:rsidR="006F010B">
        <w:rPr>
          <w:noProof/>
        </w:rPr>
        <w:t xml:space="preserve"> from the scope of the Directive</w:t>
      </w:r>
      <w:r w:rsidR="00E9344D">
        <w:rPr>
          <w:noProof/>
        </w:rPr>
        <w:t>.</w:t>
      </w:r>
      <w:r w:rsidR="005B1E59">
        <w:rPr>
          <w:noProof/>
        </w:rPr>
        <w:t xml:space="preserve"> </w:t>
      </w:r>
      <w:r w:rsidRPr="00616927">
        <w:rPr>
          <w:noProof/>
        </w:rPr>
        <w:t xml:space="preserve">Nevertheless, the tendencies observed on the basis of available data </w:t>
      </w:r>
      <w:r w:rsidR="00F85EF4">
        <w:rPr>
          <w:noProof/>
        </w:rPr>
        <w:t xml:space="preserve">point to </w:t>
      </w:r>
      <w:r w:rsidR="004A130B">
        <w:rPr>
          <w:noProof/>
        </w:rPr>
        <w:t>increased transparency</w:t>
      </w:r>
      <w:r w:rsidR="00F85EF4">
        <w:rPr>
          <w:noProof/>
        </w:rPr>
        <w:t xml:space="preserve"> in concessions contracts</w:t>
      </w:r>
      <w:r w:rsidR="004A130B">
        <w:rPr>
          <w:noProof/>
        </w:rPr>
        <w:t>,</w:t>
      </w:r>
      <w:r w:rsidRPr="00616927">
        <w:rPr>
          <w:noProof/>
        </w:rPr>
        <w:t xml:space="preserve"> </w:t>
      </w:r>
      <w:r w:rsidR="0048591C">
        <w:rPr>
          <w:noProof/>
        </w:rPr>
        <w:t xml:space="preserve">increased </w:t>
      </w:r>
      <w:r w:rsidR="00906BFB">
        <w:rPr>
          <w:noProof/>
        </w:rPr>
        <w:t>SME</w:t>
      </w:r>
      <w:r w:rsidR="00122F13">
        <w:rPr>
          <w:noProof/>
        </w:rPr>
        <w:t>’s</w:t>
      </w:r>
      <w:r w:rsidR="00906BFB">
        <w:rPr>
          <w:noProof/>
        </w:rPr>
        <w:t xml:space="preserve"> participation</w:t>
      </w:r>
      <w:r w:rsidR="004A130B">
        <w:rPr>
          <w:noProof/>
        </w:rPr>
        <w:t xml:space="preserve"> </w:t>
      </w:r>
      <w:r w:rsidR="00F85EF4">
        <w:rPr>
          <w:noProof/>
        </w:rPr>
        <w:t xml:space="preserve">to concessions </w:t>
      </w:r>
      <w:r w:rsidR="004A130B">
        <w:rPr>
          <w:noProof/>
        </w:rPr>
        <w:t>and</w:t>
      </w:r>
      <w:r w:rsidR="00906BFB">
        <w:rPr>
          <w:noProof/>
        </w:rPr>
        <w:t xml:space="preserve"> improved administrative capacity to </w:t>
      </w:r>
      <w:r w:rsidR="004A130B">
        <w:rPr>
          <w:noProof/>
        </w:rPr>
        <w:t>oversee</w:t>
      </w:r>
      <w:r w:rsidR="00906BFB">
        <w:rPr>
          <w:noProof/>
        </w:rPr>
        <w:t xml:space="preserve"> public procurement and concessions</w:t>
      </w:r>
      <w:r w:rsidR="004A130B">
        <w:rPr>
          <w:noProof/>
        </w:rPr>
        <w:t xml:space="preserve"> at national level</w:t>
      </w:r>
      <w:r w:rsidR="00906BFB">
        <w:rPr>
          <w:noProof/>
        </w:rPr>
        <w:t>.</w:t>
      </w:r>
    </w:p>
    <w:p w14:paraId="0ACA316C" w14:textId="1B684A71" w:rsidR="00221351" w:rsidRPr="00FC798F" w:rsidRDefault="00AA331C" w:rsidP="00AA331C">
      <w:pPr>
        <w:pStyle w:val="ManualHeading1"/>
        <w:rPr>
          <w:noProof/>
        </w:rPr>
      </w:pPr>
      <w:r w:rsidRPr="00AA331C">
        <w:t>2.</w:t>
      </w:r>
      <w:r w:rsidRPr="00AA331C">
        <w:tab/>
      </w:r>
      <w:r w:rsidR="002E39E7" w:rsidRPr="00FC798F">
        <w:rPr>
          <w:noProof/>
        </w:rPr>
        <w:t>the</w:t>
      </w:r>
      <w:r w:rsidR="00221351" w:rsidRPr="00FC798F">
        <w:rPr>
          <w:noProof/>
        </w:rPr>
        <w:t xml:space="preserve"> </w:t>
      </w:r>
      <w:r w:rsidR="002E39E7" w:rsidRPr="00FC798F">
        <w:rPr>
          <w:noProof/>
        </w:rPr>
        <w:t>eu</w:t>
      </w:r>
      <w:r w:rsidR="00221351" w:rsidRPr="00FC798F">
        <w:rPr>
          <w:noProof/>
        </w:rPr>
        <w:t xml:space="preserve"> concession</w:t>
      </w:r>
      <w:r w:rsidR="004326BB" w:rsidRPr="00FC798F">
        <w:rPr>
          <w:noProof/>
        </w:rPr>
        <w:t>s</w:t>
      </w:r>
      <w:r w:rsidR="00221351" w:rsidRPr="00FC798F">
        <w:rPr>
          <w:noProof/>
        </w:rPr>
        <w:t xml:space="preserve"> market</w:t>
      </w:r>
    </w:p>
    <w:p w14:paraId="09D6B99B" w14:textId="3BC59ADF" w:rsidR="00221351" w:rsidRPr="00FC798F" w:rsidRDefault="64A735EC" w:rsidP="00CB70C7">
      <w:pPr>
        <w:rPr>
          <w:noProof/>
        </w:rPr>
      </w:pPr>
      <w:r>
        <w:rPr>
          <w:noProof/>
        </w:rPr>
        <w:t xml:space="preserve">The total value of concessions </w:t>
      </w:r>
      <w:r w:rsidR="2219C5FB">
        <w:rPr>
          <w:noProof/>
        </w:rPr>
        <w:t xml:space="preserve">covered by the </w:t>
      </w:r>
      <w:r w:rsidR="5C14EF88">
        <w:rPr>
          <w:noProof/>
        </w:rPr>
        <w:t>D</w:t>
      </w:r>
      <w:r w:rsidR="2219C5FB">
        <w:rPr>
          <w:noProof/>
        </w:rPr>
        <w:t xml:space="preserve">irective and </w:t>
      </w:r>
      <w:r>
        <w:rPr>
          <w:noProof/>
        </w:rPr>
        <w:t xml:space="preserve">awarded </w:t>
      </w:r>
      <w:r w:rsidR="2219C5FB">
        <w:rPr>
          <w:noProof/>
        </w:rPr>
        <w:t>between 2016 and 2021</w:t>
      </w:r>
      <w:r>
        <w:rPr>
          <w:noProof/>
        </w:rPr>
        <w:t xml:space="preserve"> </w:t>
      </w:r>
      <w:r w:rsidR="2219C5FB">
        <w:rPr>
          <w:noProof/>
        </w:rPr>
        <w:t xml:space="preserve">is estimated at </w:t>
      </w:r>
      <w:r>
        <w:rPr>
          <w:noProof/>
        </w:rPr>
        <w:t>EUR 377</w:t>
      </w:r>
      <w:r w:rsidR="00074F4E">
        <w:rPr>
          <w:noProof/>
        </w:rPr>
        <w:t>.</w:t>
      </w:r>
      <w:r>
        <w:rPr>
          <w:noProof/>
        </w:rPr>
        <w:t xml:space="preserve">5 </w:t>
      </w:r>
      <w:r w:rsidR="0E9DC250">
        <w:rPr>
          <w:noProof/>
        </w:rPr>
        <w:t>b</w:t>
      </w:r>
      <w:r w:rsidR="00074F4E">
        <w:rPr>
          <w:noProof/>
        </w:rPr>
        <w:t>illio</w:t>
      </w:r>
      <w:r w:rsidR="0E9DC250">
        <w:rPr>
          <w:noProof/>
        </w:rPr>
        <w:t>n</w:t>
      </w:r>
      <w:r w:rsidR="00E360D2">
        <w:rPr>
          <w:noProof/>
        </w:rPr>
        <w:t xml:space="preserve">. </w:t>
      </w:r>
      <w:r w:rsidR="001B0426">
        <w:rPr>
          <w:noProof/>
        </w:rPr>
        <w:t xml:space="preserve">Total value of concessions </w:t>
      </w:r>
      <w:r w:rsidR="5FE89C2F">
        <w:rPr>
          <w:noProof/>
        </w:rPr>
        <w:t>represent</w:t>
      </w:r>
      <w:r w:rsidR="00A84304">
        <w:rPr>
          <w:noProof/>
        </w:rPr>
        <w:t>s</w:t>
      </w:r>
      <w:r w:rsidR="0E9DC250">
        <w:rPr>
          <w:noProof/>
        </w:rPr>
        <w:t xml:space="preserve"> 12</w:t>
      </w:r>
      <w:r w:rsidR="00074F4E">
        <w:rPr>
          <w:noProof/>
        </w:rPr>
        <w:t xml:space="preserve"> </w:t>
      </w:r>
      <w:r w:rsidR="0E9DC250">
        <w:rPr>
          <w:noProof/>
        </w:rPr>
        <w:t xml:space="preserve">% of the </w:t>
      </w:r>
      <w:r w:rsidR="00A84304">
        <w:rPr>
          <w:noProof/>
        </w:rPr>
        <w:t xml:space="preserve">yearly </w:t>
      </w:r>
      <w:r w:rsidR="0E9DC250">
        <w:rPr>
          <w:noProof/>
        </w:rPr>
        <w:t xml:space="preserve">overall public procurement market covered by </w:t>
      </w:r>
      <w:r w:rsidR="00EF6AD1">
        <w:rPr>
          <w:noProof/>
        </w:rPr>
        <w:t xml:space="preserve">the </w:t>
      </w:r>
      <w:r w:rsidR="0E9DC250">
        <w:rPr>
          <w:noProof/>
        </w:rPr>
        <w:t>three public procurement Directives</w:t>
      </w:r>
      <w:r w:rsidR="00EF6AD1">
        <w:rPr>
          <w:noProof/>
        </w:rPr>
        <w:t xml:space="preserve"> combined</w:t>
      </w:r>
      <w:bookmarkStart w:id="3" w:name="_Ref127800085"/>
      <w:r w:rsidR="00D23EDB">
        <w:rPr>
          <w:rStyle w:val="FootnoteReference"/>
          <w:noProof/>
        </w:rPr>
        <w:footnoteReference w:id="7"/>
      </w:r>
      <w:bookmarkEnd w:id="3"/>
      <w:r w:rsidR="0B381EB9" w:rsidRPr="00FC798F">
        <w:rPr>
          <w:noProof/>
        </w:rPr>
        <w:t>.</w:t>
      </w:r>
      <w:r w:rsidR="4C96A44D" w:rsidRPr="00FC798F">
        <w:rPr>
          <w:noProof/>
        </w:rPr>
        <w:t xml:space="preserve"> The</w:t>
      </w:r>
      <w:r w:rsidR="35CD0660" w:rsidRPr="00FC798F">
        <w:rPr>
          <w:noProof/>
        </w:rPr>
        <w:t xml:space="preserve"> </w:t>
      </w:r>
      <w:r w:rsidR="005668FC">
        <w:rPr>
          <w:noProof/>
        </w:rPr>
        <w:t>Directive</w:t>
      </w:r>
      <w:r w:rsidR="4C96A44D" w:rsidRPr="00FC798F">
        <w:rPr>
          <w:noProof/>
        </w:rPr>
        <w:t xml:space="preserve"> applies to concessions with a value equal or greater than </w:t>
      </w:r>
      <w:r w:rsidR="0048591C" w:rsidRPr="00FC798F">
        <w:rPr>
          <w:noProof/>
        </w:rPr>
        <w:t>EUR</w:t>
      </w:r>
      <w:r w:rsidR="0048591C">
        <w:rPr>
          <w:noProof/>
        </w:rPr>
        <w:t> </w:t>
      </w:r>
      <w:r w:rsidR="0048591C" w:rsidRPr="00FC798F">
        <w:rPr>
          <w:noProof/>
        </w:rPr>
        <w:t>5</w:t>
      </w:r>
      <w:r w:rsidR="0048591C">
        <w:rPr>
          <w:noProof/>
        </w:rPr>
        <w:t> </w:t>
      </w:r>
      <w:r w:rsidR="0048591C" w:rsidRPr="00FC798F">
        <w:rPr>
          <w:noProof/>
        </w:rPr>
        <w:t>382</w:t>
      </w:r>
      <w:r w:rsidR="0048591C">
        <w:rPr>
          <w:noProof/>
        </w:rPr>
        <w:t> </w:t>
      </w:r>
      <w:r w:rsidR="4C96A44D" w:rsidRPr="00FC798F">
        <w:rPr>
          <w:noProof/>
        </w:rPr>
        <w:t>000</w:t>
      </w:r>
      <w:r w:rsidR="00A84304">
        <w:rPr>
          <w:rStyle w:val="FootnoteReference"/>
          <w:noProof/>
        </w:rPr>
        <w:footnoteReference w:id="8"/>
      </w:r>
      <w:r w:rsidR="4C96A44D" w:rsidRPr="00FC798F">
        <w:rPr>
          <w:noProof/>
        </w:rPr>
        <w:t>.</w:t>
      </w:r>
    </w:p>
    <w:p w14:paraId="26CA2374" w14:textId="6809F894" w:rsidR="00C84109" w:rsidRDefault="2DC80677" w:rsidP="00E51FED">
      <w:pPr>
        <w:rPr>
          <w:noProof/>
        </w:rPr>
      </w:pPr>
      <w:r>
        <w:rPr>
          <w:noProof/>
        </w:rPr>
        <w:t>The total</w:t>
      </w:r>
      <w:r w:rsidR="06E799B8" w:rsidRPr="00FC798F">
        <w:rPr>
          <w:noProof/>
        </w:rPr>
        <w:t xml:space="preserve"> number of concessions </w:t>
      </w:r>
      <w:r w:rsidR="251EB346" w:rsidRPr="00FC798F">
        <w:rPr>
          <w:noProof/>
        </w:rPr>
        <w:t xml:space="preserve">awarded </w:t>
      </w:r>
      <w:r w:rsidR="06E799B8" w:rsidRPr="00FC798F">
        <w:rPr>
          <w:noProof/>
        </w:rPr>
        <w:t>in the EU</w:t>
      </w:r>
      <w:r w:rsidR="09F16431">
        <w:rPr>
          <w:noProof/>
        </w:rPr>
        <w:t xml:space="preserve"> </w:t>
      </w:r>
      <w:r w:rsidR="06E799B8" w:rsidRPr="00FC798F">
        <w:rPr>
          <w:noProof/>
        </w:rPr>
        <w:t xml:space="preserve">has </w:t>
      </w:r>
      <w:r w:rsidR="35CD0660" w:rsidRPr="00FC798F">
        <w:rPr>
          <w:noProof/>
        </w:rPr>
        <w:t xml:space="preserve">roughly </w:t>
      </w:r>
      <w:r w:rsidR="06E799B8" w:rsidRPr="00FC798F">
        <w:rPr>
          <w:noProof/>
        </w:rPr>
        <w:t xml:space="preserve">doubled since </w:t>
      </w:r>
      <w:r w:rsidR="35CD0660" w:rsidRPr="00FC798F">
        <w:rPr>
          <w:noProof/>
        </w:rPr>
        <w:t xml:space="preserve">the </w:t>
      </w:r>
      <w:r w:rsidR="00FD1A73">
        <w:rPr>
          <w:noProof/>
        </w:rPr>
        <w:t xml:space="preserve">18 April </w:t>
      </w:r>
      <w:r w:rsidR="00A84304">
        <w:rPr>
          <w:noProof/>
        </w:rPr>
        <w:t xml:space="preserve">2016 - the transposition deadline - </w:t>
      </w:r>
      <w:r w:rsidR="06E799B8" w:rsidRPr="00FC798F">
        <w:rPr>
          <w:noProof/>
        </w:rPr>
        <w:t>and continues to increase</w:t>
      </w:r>
      <w:r w:rsidR="00D23EDB">
        <w:rPr>
          <w:rStyle w:val="FootnoteReference"/>
          <w:noProof/>
        </w:rPr>
        <w:footnoteReference w:id="9"/>
      </w:r>
      <w:r w:rsidR="06E799B8" w:rsidRPr="00FC798F">
        <w:rPr>
          <w:noProof/>
        </w:rPr>
        <w:t xml:space="preserve">. </w:t>
      </w:r>
      <w:r w:rsidR="0048591C">
        <w:rPr>
          <w:noProof/>
        </w:rPr>
        <w:t xml:space="preserve">This upwards </w:t>
      </w:r>
      <w:r w:rsidR="00B37C01">
        <w:rPr>
          <w:noProof/>
        </w:rPr>
        <w:t>trend can be observed in most M</w:t>
      </w:r>
      <w:r w:rsidR="002305C1">
        <w:rPr>
          <w:noProof/>
        </w:rPr>
        <w:t xml:space="preserve">ember </w:t>
      </w:r>
      <w:r w:rsidR="00B37C01">
        <w:rPr>
          <w:noProof/>
        </w:rPr>
        <w:t>S</w:t>
      </w:r>
      <w:r w:rsidR="002305C1">
        <w:rPr>
          <w:noProof/>
        </w:rPr>
        <w:t>tates</w:t>
      </w:r>
      <w:r w:rsidR="00B37C01">
        <w:rPr>
          <w:noProof/>
        </w:rPr>
        <w:t>.</w:t>
      </w:r>
    </w:p>
    <w:p w14:paraId="7FD4C5C4" w14:textId="2B571588" w:rsidR="00C84109" w:rsidRDefault="00B44E20" w:rsidP="00A45117">
      <w:pPr>
        <w:jc w:val="left"/>
        <w:rPr>
          <w:noProof/>
        </w:rPr>
      </w:pPr>
      <w:r w:rsidRPr="00B44E20">
        <w:rPr>
          <w:noProof/>
        </w:rPr>
        <w:t>Figure 1: Concession award notices by year [number, value in billion EUR]</w:t>
      </w:r>
      <w:r w:rsidR="003F5BC2">
        <w:rPr>
          <w:noProof/>
        </w:rPr>
        <w:t>, EEA countries</w:t>
      </w:r>
      <w:r w:rsidR="00C84109">
        <w:rPr>
          <w:noProof/>
          <w:lang w:val="en-GB"/>
        </w:rPr>
        <w:drawing>
          <wp:inline distT="0" distB="0" distL="0" distR="0" wp14:anchorId="694DA59A" wp14:editId="131C6BE6">
            <wp:extent cx="5474970" cy="2804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4970" cy="2804160"/>
                    </a:xfrm>
                    <a:prstGeom prst="rect">
                      <a:avLst/>
                    </a:prstGeom>
                    <a:noFill/>
                  </pic:spPr>
                </pic:pic>
              </a:graphicData>
            </a:graphic>
          </wp:inline>
        </w:drawing>
      </w:r>
    </w:p>
    <w:p w14:paraId="37EE6455" w14:textId="4C24110D" w:rsidR="00201DC0" w:rsidRPr="00081275" w:rsidRDefault="00201DC0" w:rsidP="00A45117">
      <w:pPr>
        <w:jc w:val="left"/>
        <w:rPr>
          <w:noProof/>
          <w:sz w:val="20"/>
        </w:rPr>
      </w:pPr>
      <w:r w:rsidRPr="00081275">
        <w:rPr>
          <w:noProof/>
          <w:sz w:val="20"/>
        </w:rPr>
        <w:t xml:space="preserve">Source: Study on the implementation of the </w:t>
      </w:r>
      <w:r w:rsidR="00DB3DF7">
        <w:rPr>
          <w:noProof/>
          <w:sz w:val="20"/>
        </w:rPr>
        <w:t xml:space="preserve">Concessions </w:t>
      </w:r>
      <w:r w:rsidRPr="00081275">
        <w:rPr>
          <w:noProof/>
          <w:sz w:val="20"/>
        </w:rPr>
        <w:t>Directive - London Economics Europe and Spark Legal (2021), figure 41.</w:t>
      </w:r>
    </w:p>
    <w:p w14:paraId="62C06CFB" w14:textId="7944E956" w:rsidR="007D58D4" w:rsidRDefault="005668FC" w:rsidP="00E51FED">
      <w:pPr>
        <w:rPr>
          <w:noProof/>
        </w:rPr>
      </w:pPr>
      <w:r>
        <w:rPr>
          <w:noProof/>
        </w:rPr>
        <w:t>F</w:t>
      </w:r>
      <w:r w:rsidR="002305C1">
        <w:rPr>
          <w:noProof/>
        </w:rPr>
        <w:t>rance</w:t>
      </w:r>
      <w:r>
        <w:rPr>
          <w:noProof/>
        </w:rPr>
        <w:t xml:space="preserve"> </w:t>
      </w:r>
      <w:r w:rsidR="06E799B8">
        <w:rPr>
          <w:noProof/>
        </w:rPr>
        <w:t xml:space="preserve">and </w:t>
      </w:r>
      <w:r>
        <w:rPr>
          <w:noProof/>
        </w:rPr>
        <w:t>I</w:t>
      </w:r>
      <w:r w:rsidR="002305C1">
        <w:rPr>
          <w:noProof/>
        </w:rPr>
        <w:t>taly</w:t>
      </w:r>
      <w:r>
        <w:rPr>
          <w:noProof/>
        </w:rPr>
        <w:t xml:space="preserve"> </w:t>
      </w:r>
      <w:r w:rsidR="06E799B8">
        <w:rPr>
          <w:noProof/>
        </w:rPr>
        <w:t xml:space="preserve">account for more than two thirds of the EU concessions market. Together with </w:t>
      </w:r>
      <w:r w:rsidR="002305C1">
        <w:rPr>
          <w:noProof/>
        </w:rPr>
        <w:t>Spain</w:t>
      </w:r>
      <w:r>
        <w:rPr>
          <w:noProof/>
        </w:rPr>
        <w:t xml:space="preserve"> </w:t>
      </w:r>
      <w:r w:rsidR="06E799B8">
        <w:rPr>
          <w:noProof/>
        </w:rPr>
        <w:t xml:space="preserve">and </w:t>
      </w:r>
      <w:r w:rsidR="002305C1">
        <w:rPr>
          <w:noProof/>
        </w:rPr>
        <w:t>Germany</w:t>
      </w:r>
      <w:r w:rsidR="06E799B8">
        <w:rPr>
          <w:noProof/>
        </w:rPr>
        <w:t xml:space="preserve">, these </w:t>
      </w:r>
      <w:r>
        <w:rPr>
          <w:noProof/>
        </w:rPr>
        <w:t>M</w:t>
      </w:r>
      <w:r w:rsidR="002305C1">
        <w:rPr>
          <w:noProof/>
        </w:rPr>
        <w:t xml:space="preserve">ember </w:t>
      </w:r>
      <w:r>
        <w:rPr>
          <w:noProof/>
        </w:rPr>
        <w:t>S</w:t>
      </w:r>
      <w:r w:rsidR="002305C1">
        <w:rPr>
          <w:noProof/>
        </w:rPr>
        <w:t>tates</w:t>
      </w:r>
      <w:r w:rsidR="06E799B8">
        <w:rPr>
          <w:noProof/>
        </w:rPr>
        <w:t xml:space="preserve"> </w:t>
      </w:r>
      <w:r w:rsidR="7802DBFC">
        <w:rPr>
          <w:noProof/>
        </w:rPr>
        <w:t>make up</w:t>
      </w:r>
      <w:r w:rsidR="06E799B8">
        <w:rPr>
          <w:noProof/>
        </w:rPr>
        <w:t xml:space="preserve"> fo</w:t>
      </w:r>
      <w:r w:rsidR="00C20CA8">
        <w:rPr>
          <w:noProof/>
        </w:rPr>
        <w:t>r 85</w:t>
      </w:r>
      <w:r w:rsidR="00074F4E">
        <w:rPr>
          <w:noProof/>
        </w:rPr>
        <w:t xml:space="preserve"> </w:t>
      </w:r>
      <w:r w:rsidR="00C20CA8">
        <w:rPr>
          <w:noProof/>
        </w:rPr>
        <w:t>%</w:t>
      </w:r>
      <w:r w:rsidR="06E799B8">
        <w:rPr>
          <w:noProof/>
        </w:rPr>
        <w:t xml:space="preserve"> of the total increase of concession</w:t>
      </w:r>
      <w:r w:rsidR="7D2A9A12">
        <w:rPr>
          <w:noProof/>
        </w:rPr>
        <w:t xml:space="preserve"> award</w:t>
      </w:r>
      <w:r w:rsidR="7802DBFC">
        <w:rPr>
          <w:noProof/>
        </w:rPr>
        <w:t xml:space="preserve">s </w:t>
      </w:r>
      <w:r w:rsidR="06E799B8">
        <w:rPr>
          <w:noProof/>
        </w:rPr>
        <w:t xml:space="preserve">in the same period. </w:t>
      </w:r>
      <w:r>
        <w:rPr>
          <w:noProof/>
        </w:rPr>
        <w:t>M</w:t>
      </w:r>
      <w:r w:rsidR="002305C1">
        <w:rPr>
          <w:noProof/>
        </w:rPr>
        <w:t xml:space="preserve">ember </w:t>
      </w:r>
      <w:r>
        <w:rPr>
          <w:noProof/>
        </w:rPr>
        <w:t>S</w:t>
      </w:r>
      <w:r w:rsidR="002305C1">
        <w:rPr>
          <w:noProof/>
        </w:rPr>
        <w:t>tates</w:t>
      </w:r>
      <w:r w:rsidR="364E9863">
        <w:rPr>
          <w:noProof/>
        </w:rPr>
        <w:t xml:space="preserve"> such as </w:t>
      </w:r>
      <w:r w:rsidR="06E799B8">
        <w:rPr>
          <w:noProof/>
        </w:rPr>
        <w:t>A</w:t>
      </w:r>
      <w:r w:rsidR="002305C1">
        <w:rPr>
          <w:noProof/>
        </w:rPr>
        <w:t>ustria</w:t>
      </w:r>
      <w:r w:rsidR="00C20CA8">
        <w:rPr>
          <w:noProof/>
        </w:rPr>
        <w:t>, C</w:t>
      </w:r>
      <w:r w:rsidR="002305C1">
        <w:rPr>
          <w:noProof/>
        </w:rPr>
        <w:t>zech Republic</w:t>
      </w:r>
      <w:r w:rsidR="00C20CA8">
        <w:rPr>
          <w:noProof/>
        </w:rPr>
        <w:t>, F</w:t>
      </w:r>
      <w:r w:rsidR="002305C1">
        <w:rPr>
          <w:noProof/>
        </w:rPr>
        <w:t>inland</w:t>
      </w:r>
      <w:r w:rsidR="00EF6AD1">
        <w:rPr>
          <w:noProof/>
        </w:rPr>
        <w:t>,</w:t>
      </w:r>
      <w:r w:rsidR="00C20CA8">
        <w:rPr>
          <w:noProof/>
        </w:rPr>
        <w:t xml:space="preserve"> H</w:t>
      </w:r>
      <w:r w:rsidR="002305C1">
        <w:rPr>
          <w:noProof/>
        </w:rPr>
        <w:t>ungary</w:t>
      </w:r>
      <w:r w:rsidR="00C20CA8">
        <w:rPr>
          <w:noProof/>
        </w:rPr>
        <w:t xml:space="preserve">, </w:t>
      </w:r>
      <w:r w:rsidR="002305C1">
        <w:rPr>
          <w:noProof/>
        </w:rPr>
        <w:t>Croatia</w:t>
      </w:r>
      <w:r w:rsidR="00C20CA8">
        <w:rPr>
          <w:noProof/>
        </w:rPr>
        <w:t>, M</w:t>
      </w:r>
      <w:r w:rsidR="002305C1">
        <w:rPr>
          <w:noProof/>
        </w:rPr>
        <w:t>alta</w:t>
      </w:r>
      <w:r w:rsidR="00C20CA8">
        <w:rPr>
          <w:noProof/>
        </w:rPr>
        <w:t xml:space="preserve"> and S</w:t>
      </w:r>
      <w:r w:rsidR="002305C1">
        <w:rPr>
          <w:noProof/>
        </w:rPr>
        <w:t>weden</w:t>
      </w:r>
      <w:r w:rsidR="00C20CA8">
        <w:rPr>
          <w:noProof/>
        </w:rPr>
        <w:t xml:space="preserve"> </w:t>
      </w:r>
      <w:r w:rsidR="35CD0660">
        <w:rPr>
          <w:noProof/>
        </w:rPr>
        <w:t xml:space="preserve">have </w:t>
      </w:r>
      <w:r w:rsidR="00B37C01">
        <w:rPr>
          <w:noProof/>
        </w:rPr>
        <w:t xml:space="preserve">also </w:t>
      </w:r>
      <w:r w:rsidR="06E799B8">
        <w:rPr>
          <w:noProof/>
        </w:rPr>
        <w:t xml:space="preserve">registered large increases in the </w:t>
      </w:r>
      <w:r w:rsidR="364E9863">
        <w:rPr>
          <w:noProof/>
        </w:rPr>
        <w:t>use</w:t>
      </w:r>
      <w:r w:rsidR="06E799B8">
        <w:rPr>
          <w:noProof/>
        </w:rPr>
        <w:t xml:space="preserve"> of concessions.</w:t>
      </w:r>
      <w:r w:rsidR="00B37C01" w:rsidRPr="00B37C01">
        <w:rPr>
          <w:noProof/>
        </w:rPr>
        <w:t xml:space="preserve"> </w:t>
      </w:r>
    </w:p>
    <w:p w14:paraId="4A0320E7" w14:textId="747FAAB1" w:rsidR="00B44E20" w:rsidRDefault="00B44E20" w:rsidP="00A45117">
      <w:pPr>
        <w:jc w:val="left"/>
        <w:rPr>
          <w:noProof/>
        </w:rPr>
      </w:pPr>
      <w:r w:rsidRPr="00B44E20">
        <w:rPr>
          <w:noProof/>
        </w:rPr>
        <w:t xml:space="preserve">Figure </w:t>
      </w:r>
      <w:r>
        <w:rPr>
          <w:noProof/>
        </w:rPr>
        <w:t>2</w:t>
      </w:r>
      <w:r w:rsidRPr="00B44E20">
        <w:rPr>
          <w:noProof/>
        </w:rPr>
        <w:t xml:space="preserve">: </w:t>
      </w:r>
      <w:r w:rsidRPr="008A1396">
        <w:rPr>
          <w:noProof/>
        </w:rPr>
        <w:t>Yearly average number of concessions by M</w:t>
      </w:r>
      <w:r w:rsidR="002305C1">
        <w:rPr>
          <w:noProof/>
        </w:rPr>
        <w:t>ember States</w:t>
      </w:r>
      <w:r w:rsidR="00B37C01">
        <w:rPr>
          <w:noProof/>
        </w:rPr>
        <w:t>,</w:t>
      </w:r>
      <w:r w:rsidRPr="008A1396">
        <w:rPr>
          <w:noProof/>
        </w:rPr>
        <w:t xml:space="preserve"> pre- and post-Directive [number]</w:t>
      </w:r>
    </w:p>
    <w:p w14:paraId="1B99A1EE" w14:textId="4D102E0B" w:rsidR="00081275" w:rsidRPr="008A1396" w:rsidRDefault="008E5A03" w:rsidP="00A45117">
      <w:pPr>
        <w:jc w:val="left"/>
        <w:rPr>
          <w:noProof/>
        </w:rPr>
      </w:pPr>
      <w:r>
        <w:rPr>
          <w:noProof/>
          <w:lang w:val="en-GB"/>
        </w:rPr>
        <w:drawing>
          <wp:inline distT="0" distB="0" distL="0" distR="0" wp14:anchorId="74C1BAF5" wp14:editId="5CA3C089">
            <wp:extent cx="5852771" cy="4050267"/>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63702" cy="4057832"/>
                    </a:xfrm>
                    <a:prstGeom prst="rect">
                      <a:avLst/>
                    </a:prstGeom>
                    <a:noFill/>
                  </pic:spPr>
                </pic:pic>
              </a:graphicData>
            </a:graphic>
          </wp:inline>
        </w:drawing>
      </w:r>
    </w:p>
    <w:p w14:paraId="2488971F" w14:textId="03D779A8" w:rsidR="00201DC0" w:rsidRPr="00081275" w:rsidRDefault="00443A10" w:rsidP="00A45117">
      <w:pPr>
        <w:rPr>
          <w:noProof/>
          <w:sz w:val="20"/>
        </w:rPr>
      </w:pPr>
      <w:r>
        <w:rPr>
          <w:noProof/>
          <w:sz w:val="20"/>
        </w:rPr>
        <w:t xml:space="preserve">Source: </w:t>
      </w:r>
      <w:r w:rsidR="00081275">
        <w:rPr>
          <w:noProof/>
          <w:sz w:val="20"/>
        </w:rPr>
        <w:t xml:space="preserve">In-house calculation based on </w:t>
      </w:r>
      <w:r w:rsidR="00081275" w:rsidRPr="00D86407">
        <w:rPr>
          <w:noProof/>
          <w:sz w:val="20"/>
        </w:rPr>
        <w:t>Study on the implementation of the</w:t>
      </w:r>
      <w:r w:rsidR="00DB3DF7">
        <w:rPr>
          <w:noProof/>
          <w:sz w:val="20"/>
        </w:rPr>
        <w:t xml:space="preserve"> Concessions</w:t>
      </w:r>
      <w:r w:rsidR="00081275" w:rsidRPr="00D86407">
        <w:rPr>
          <w:noProof/>
          <w:sz w:val="20"/>
        </w:rPr>
        <w:t xml:space="preserve"> Directive - London Economics Europe and Spark Legal (2021)</w:t>
      </w:r>
      <w:r w:rsidR="00081275">
        <w:rPr>
          <w:noProof/>
          <w:sz w:val="20"/>
        </w:rPr>
        <w:t>, figure 17.</w:t>
      </w:r>
    </w:p>
    <w:p w14:paraId="12367A58" w14:textId="0005EBF2" w:rsidR="00B61D91" w:rsidRPr="00FC798F" w:rsidRDefault="004A7195" w:rsidP="00E51FED">
      <w:pPr>
        <w:rPr>
          <w:noProof/>
        </w:rPr>
      </w:pPr>
      <w:r>
        <w:rPr>
          <w:noProof/>
        </w:rPr>
        <w:t>T</w:t>
      </w:r>
      <w:r w:rsidR="00C14F0B">
        <w:rPr>
          <w:noProof/>
        </w:rPr>
        <w:t xml:space="preserve">he number of </w:t>
      </w:r>
      <w:r w:rsidR="00E51FED" w:rsidRPr="00FC798F">
        <w:rPr>
          <w:noProof/>
        </w:rPr>
        <w:t>service</w:t>
      </w:r>
      <w:r w:rsidR="00B61D91" w:rsidRPr="00FC798F">
        <w:rPr>
          <w:noProof/>
        </w:rPr>
        <w:t xml:space="preserve"> concession</w:t>
      </w:r>
      <w:r w:rsidR="005C61E9" w:rsidRPr="00FC798F">
        <w:rPr>
          <w:noProof/>
        </w:rPr>
        <w:t xml:space="preserve"> award</w:t>
      </w:r>
      <w:r w:rsidR="00B61D91" w:rsidRPr="00FC798F">
        <w:rPr>
          <w:noProof/>
        </w:rPr>
        <w:t xml:space="preserve">s </w:t>
      </w:r>
      <w:r w:rsidR="00E51FED" w:rsidRPr="00FC798F">
        <w:rPr>
          <w:noProof/>
        </w:rPr>
        <w:t>ha</w:t>
      </w:r>
      <w:r w:rsidR="00850A21">
        <w:rPr>
          <w:noProof/>
        </w:rPr>
        <w:t>s</w:t>
      </w:r>
      <w:r w:rsidR="00E51FED" w:rsidRPr="00FC798F">
        <w:rPr>
          <w:noProof/>
        </w:rPr>
        <w:t xml:space="preserve"> sharply </w:t>
      </w:r>
      <w:r w:rsidR="00B61D91" w:rsidRPr="00FC798F">
        <w:rPr>
          <w:noProof/>
        </w:rPr>
        <w:t xml:space="preserve">increased </w:t>
      </w:r>
      <w:r w:rsidR="00E51FED" w:rsidRPr="00FC798F">
        <w:rPr>
          <w:noProof/>
        </w:rPr>
        <w:t xml:space="preserve">since </w:t>
      </w:r>
      <w:r w:rsidR="00A84304">
        <w:rPr>
          <w:noProof/>
        </w:rPr>
        <w:t>18 April 2016</w:t>
      </w:r>
      <w:r w:rsidR="0049654E">
        <w:rPr>
          <w:noProof/>
        </w:rPr>
        <w:t xml:space="preserve"> - the transposition deadline</w:t>
      </w:r>
      <w:r w:rsidR="00C32A8E">
        <w:rPr>
          <w:noProof/>
        </w:rPr>
        <w:t>.</w:t>
      </w:r>
      <w:r>
        <w:rPr>
          <w:noProof/>
        </w:rPr>
        <w:t xml:space="preserve"> </w:t>
      </w:r>
      <w:r w:rsidR="00C32A8E">
        <w:rPr>
          <w:noProof/>
        </w:rPr>
        <w:t>T</w:t>
      </w:r>
      <w:r w:rsidR="00E57919" w:rsidRPr="00FC798F">
        <w:rPr>
          <w:noProof/>
        </w:rPr>
        <w:t xml:space="preserve">he number of </w:t>
      </w:r>
      <w:r w:rsidR="00E51FED" w:rsidRPr="00FC798F">
        <w:rPr>
          <w:noProof/>
        </w:rPr>
        <w:t>works concession</w:t>
      </w:r>
      <w:r w:rsidR="005C61E9" w:rsidRPr="00FC798F">
        <w:rPr>
          <w:noProof/>
        </w:rPr>
        <w:t xml:space="preserve"> award</w:t>
      </w:r>
      <w:r w:rsidR="00E51FED" w:rsidRPr="00FC798F">
        <w:rPr>
          <w:noProof/>
        </w:rPr>
        <w:t>s</w:t>
      </w:r>
      <w:r w:rsidR="00A84304">
        <w:rPr>
          <w:noProof/>
        </w:rPr>
        <w:t xml:space="preserve"> however,</w:t>
      </w:r>
      <w:r w:rsidR="00E51FED" w:rsidRPr="00FC798F">
        <w:rPr>
          <w:noProof/>
        </w:rPr>
        <w:t xml:space="preserve"> </w:t>
      </w:r>
      <w:r>
        <w:rPr>
          <w:noProof/>
        </w:rPr>
        <w:t xml:space="preserve">has </w:t>
      </w:r>
      <w:r w:rsidR="005C61E9" w:rsidRPr="00FC798F">
        <w:rPr>
          <w:noProof/>
        </w:rPr>
        <w:t>been gradually decreasing</w:t>
      </w:r>
      <w:r w:rsidR="00850A21">
        <w:rPr>
          <w:noProof/>
        </w:rPr>
        <w:t xml:space="preserve"> </w:t>
      </w:r>
      <w:r w:rsidR="00A84304">
        <w:rPr>
          <w:noProof/>
        </w:rPr>
        <w:t>before</w:t>
      </w:r>
      <w:r w:rsidR="00E51FED" w:rsidRPr="00FC798F">
        <w:rPr>
          <w:noProof/>
        </w:rPr>
        <w:t xml:space="preserve"> </w:t>
      </w:r>
      <w:r w:rsidR="00B53B80">
        <w:rPr>
          <w:noProof/>
        </w:rPr>
        <w:t xml:space="preserve">and </w:t>
      </w:r>
      <w:r w:rsidR="00E51FED" w:rsidRPr="00FC798F">
        <w:rPr>
          <w:noProof/>
        </w:rPr>
        <w:t>continued</w:t>
      </w:r>
      <w:r w:rsidR="005C61E9" w:rsidRPr="00FC798F">
        <w:rPr>
          <w:noProof/>
        </w:rPr>
        <w:t xml:space="preserve"> </w:t>
      </w:r>
      <w:r>
        <w:rPr>
          <w:noProof/>
        </w:rPr>
        <w:t xml:space="preserve">on the same trend </w:t>
      </w:r>
      <w:r w:rsidR="00A84304">
        <w:rPr>
          <w:noProof/>
        </w:rPr>
        <w:t>after this date.</w:t>
      </w:r>
    </w:p>
    <w:p w14:paraId="4F0034EB" w14:textId="6EB0BA2B" w:rsidR="00B175D6" w:rsidRPr="00FC798F" w:rsidRDefault="00B61D91" w:rsidP="00E51FED">
      <w:pPr>
        <w:rPr>
          <w:noProof/>
        </w:rPr>
      </w:pPr>
      <w:r w:rsidRPr="00FC798F">
        <w:rPr>
          <w:noProof/>
        </w:rPr>
        <w:t>The sectors with the largest number of concession</w:t>
      </w:r>
      <w:r w:rsidR="002667E7" w:rsidRPr="00FC798F">
        <w:rPr>
          <w:noProof/>
        </w:rPr>
        <w:t xml:space="preserve"> award</w:t>
      </w:r>
      <w:r w:rsidRPr="00FC798F">
        <w:rPr>
          <w:noProof/>
        </w:rPr>
        <w:t xml:space="preserve">s since </w:t>
      </w:r>
      <w:r w:rsidR="00122F13">
        <w:rPr>
          <w:noProof/>
        </w:rPr>
        <w:t>2016</w:t>
      </w:r>
      <w:r w:rsidRPr="00FC798F">
        <w:rPr>
          <w:noProof/>
        </w:rPr>
        <w:t xml:space="preserve"> are: (1) hotel, restaurant and retail trade services; (2) </w:t>
      </w:r>
      <w:r w:rsidR="002667E7" w:rsidRPr="00FC798F">
        <w:rPr>
          <w:noProof/>
        </w:rPr>
        <w:t>recreational, cultural and sporting services</w:t>
      </w:r>
      <w:r w:rsidRPr="00FC798F">
        <w:rPr>
          <w:noProof/>
        </w:rPr>
        <w:t xml:space="preserve">; and (3) </w:t>
      </w:r>
      <w:r w:rsidR="002667E7" w:rsidRPr="00FC798F">
        <w:rPr>
          <w:noProof/>
        </w:rPr>
        <w:t>construction work</w:t>
      </w:r>
      <w:r w:rsidRPr="00FC798F">
        <w:rPr>
          <w:noProof/>
        </w:rPr>
        <w:t xml:space="preserve">. </w:t>
      </w:r>
    </w:p>
    <w:p w14:paraId="1A94C826" w14:textId="77D40247" w:rsidR="002E39E7" w:rsidRPr="00FC798F" w:rsidRDefault="00AA331C" w:rsidP="00AA331C">
      <w:pPr>
        <w:pStyle w:val="ManualHeading1"/>
        <w:rPr>
          <w:noProof/>
        </w:rPr>
      </w:pPr>
      <w:r w:rsidRPr="00AA331C">
        <w:t>3.</w:t>
      </w:r>
      <w:r w:rsidRPr="00AA331C">
        <w:tab/>
      </w:r>
      <w:r w:rsidR="002E39E7" w:rsidRPr="00FC798F">
        <w:rPr>
          <w:noProof/>
        </w:rPr>
        <w:t xml:space="preserve">transposition </w:t>
      </w:r>
      <w:r w:rsidR="00C66992" w:rsidRPr="00FC798F">
        <w:rPr>
          <w:noProof/>
        </w:rPr>
        <w:t xml:space="preserve">and </w:t>
      </w:r>
      <w:r w:rsidR="00C04E41" w:rsidRPr="00FC798F">
        <w:rPr>
          <w:noProof/>
        </w:rPr>
        <w:t>infringement</w:t>
      </w:r>
      <w:r w:rsidR="00C66992" w:rsidRPr="00FC798F">
        <w:rPr>
          <w:noProof/>
        </w:rPr>
        <w:t xml:space="preserve"> proceedings</w:t>
      </w:r>
    </w:p>
    <w:p w14:paraId="55EB7887" w14:textId="786C7FB0" w:rsidR="003512BB" w:rsidRDefault="003512BB" w:rsidP="002E39E7">
      <w:pPr>
        <w:rPr>
          <w:noProof/>
        </w:rPr>
      </w:pPr>
      <w:r>
        <w:rPr>
          <w:noProof/>
        </w:rPr>
        <w:t>T</w:t>
      </w:r>
      <w:r w:rsidRPr="003512BB">
        <w:rPr>
          <w:noProof/>
        </w:rPr>
        <w:t xml:space="preserve">he Commission’s objective is to achieve early compliance so that the benefits of EU law are felt by the people and businesses as soon as possible. This is why the Commission has increased its support to Member States over the years to </w:t>
      </w:r>
      <w:r w:rsidR="00C96EEF">
        <w:rPr>
          <w:noProof/>
        </w:rPr>
        <w:t xml:space="preserve">prevent </w:t>
      </w:r>
      <w:r w:rsidRPr="003512BB">
        <w:rPr>
          <w:noProof/>
        </w:rPr>
        <w:t>breaches from happening in the first place</w:t>
      </w:r>
      <w:r w:rsidR="00AB3061">
        <w:rPr>
          <w:noProof/>
        </w:rPr>
        <w:t xml:space="preserve"> </w:t>
      </w:r>
      <w:r w:rsidR="001331AB">
        <w:rPr>
          <w:noProof/>
        </w:rPr>
        <w:t>and</w:t>
      </w:r>
      <w:r w:rsidRPr="003512BB">
        <w:rPr>
          <w:noProof/>
        </w:rPr>
        <w:t xml:space="preserve"> </w:t>
      </w:r>
      <w:r w:rsidR="000B6690">
        <w:rPr>
          <w:noProof/>
        </w:rPr>
        <w:t xml:space="preserve">otherwise </w:t>
      </w:r>
      <w:r w:rsidRPr="003512BB">
        <w:rPr>
          <w:noProof/>
        </w:rPr>
        <w:t xml:space="preserve">to resolve them in the early stages of the procedure, without having to refer a Member State to the Court of Justice. </w:t>
      </w:r>
      <w:r w:rsidR="006D301B">
        <w:rPr>
          <w:noProof/>
        </w:rPr>
        <w:t xml:space="preserve">This has led to a decrease </w:t>
      </w:r>
      <w:r w:rsidRPr="003512BB">
        <w:rPr>
          <w:noProof/>
        </w:rPr>
        <w:t>in the number of cases where the Member States were late in transposing directives</w:t>
      </w:r>
      <w:r w:rsidR="00AB3061">
        <w:rPr>
          <w:noProof/>
        </w:rPr>
        <w:t xml:space="preserve">. </w:t>
      </w:r>
      <w:r w:rsidR="0014576B">
        <w:rPr>
          <w:noProof/>
        </w:rPr>
        <w:t xml:space="preserve">To strengthen this approach, </w:t>
      </w:r>
      <w:r w:rsidR="00AB3061">
        <w:rPr>
          <w:noProof/>
        </w:rPr>
        <w:t>th</w:t>
      </w:r>
      <w:r w:rsidR="00524C86" w:rsidRPr="00524C86">
        <w:rPr>
          <w:noProof/>
        </w:rPr>
        <w:t xml:space="preserve">e Commission </w:t>
      </w:r>
      <w:r w:rsidR="00524C86">
        <w:rPr>
          <w:noProof/>
        </w:rPr>
        <w:t xml:space="preserve">has recently </w:t>
      </w:r>
      <w:r w:rsidR="00524C86" w:rsidRPr="00524C86">
        <w:rPr>
          <w:noProof/>
        </w:rPr>
        <w:t>propose</w:t>
      </w:r>
      <w:r w:rsidR="00524C86">
        <w:rPr>
          <w:noProof/>
        </w:rPr>
        <w:t>d</w:t>
      </w:r>
      <w:r w:rsidR="00524C86" w:rsidRPr="00524C86">
        <w:rPr>
          <w:noProof/>
        </w:rPr>
        <w:t xml:space="preserve"> to set concrete targets on enforcement with the aim of limiting both the transposition as well as conformity deficit to 0.5%</w:t>
      </w:r>
      <w:r w:rsidR="00524C86">
        <w:rPr>
          <w:rStyle w:val="FootnoteReference"/>
          <w:noProof/>
        </w:rPr>
        <w:footnoteReference w:id="10"/>
      </w:r>
      <w:r w:rsidR="00524C86" w:rsidRPr="00524C86">
        <w:rPr>
          <w:noProof/>
        </w:rPr>
        <w:t>.</w:t>
      </w:r>
    </w:p>
    <w:p w14:paraId="58CF2568" w14:textId="5865A98C" w:rsidR="002E39E7" w:rsidRPr="00FC798F" w:rsidRDefault="006974EA" w:rsidP="002E39E7">
      <w:pPr>
        <w:rPr>
          <w:noProof/>
        </w:rPr>
      </w:pPr>
      <w:r>
        <w:rPr>
          <w:noProof/>
        </w:rPr>
        <w:t xml:space="preserve">As regards the Directive, </w:t>
      </w:r>
      <w:r w:rsidR="005668FC">
        <w:rPr>
          <w:noProof/>
        </w:rPr>
        <w:t>M</w:t>
      </w:r>
      <w:r w:rsidR="002305C1">
        <w:rPr>
          <w:noProof/>
        </w:rPr>
        <w:t xml:space="preserve">ember </w:t>
      </w:r>
      <w:r w:rsidR="005668FC">
        <w:rPr>
          <w:noProof/>
        </w:rPr>
        <w:t>S</w:t>
      </w:r>
      <w:r w:rsidR="002305C1">
        <w:rPr>
          <w:noProof/>
        </w:rPr>
        <w:t>tates</w:t>
      </w:r>
      <w:r w:rsidR="52FE6AC9" w:rsidRPr="00FC798F">
        <w:rPr>
          <w:noProof/>
        </w:rPr>
        <w:t xml:space="preserve"> had to transpose</w:t>
      </w:r>
      <w:r w:rsidR="00AB3061">
        <w:rPr>
          <w:noProof/>
        </w:rPr>
        <w:t xml:space="preserve"> </w:t>
      </w:r>
      <w:r>
        <w:rPr>
          <w:noProof/>
        </w:rPr>
        <w:t xml:space="preserve">it </w:t>
      </w:r>
      <w:r w:rsidR="52FE6AC9" w:rsidRPr="00FC798F">
        <w:rPr>
          <w:noProof/>
        </w:rPr>
        <w:t xml:space="preserve">into national law by 18 April 2016. At the expiry of the transposition period, only six </w:t>
      </w:r>
      <w:r w:rsidR="005668FC">
        <w:rPr>
          <w:noProof/>
        </w:rPr>
        <w:t>M</w:t>
      </w:r>
      <w:r w:rsidR="002305C1">
        <w:rPr>
          <w:noProof/>
        </w:rPr>
        <w:t xml:space="preserve">ember </w:t>
      </w:r>
      <w:r w:rsidR="005668FC">
        <w:rPr>
          <w:noProof/>
        </w:rPr>
        <w:t>S</w:t>
      </w:r>
      <w:r w:rsidR="002305C1">
        <w:rPr>
          <w:noProof/>
        </w:rPr>
        <w:t>tates</w:t>
      </w:r>
      <w:r w:rsidR="52FE6AC9" w:rsidRPr="00FC798F">
        <w:rPr>
          <w:noProof/>
        </w:rPr>
        <w:t xml:space="preserve"> had communicated the necess</w:t>
      </w:r>
      <w:r w:rsidR="25E93063" w:rsidRPr="00FC798F">
        <w:rPr>
          <w:noProof/>
        </w:rPr>
        <w:t xml:space="preserve">ary measures to the Commission and infringement cases for non-communication were launched in 2016. </w:t>
      </w:r>
      <w:r w:rsidR="52FE6AC9" w:rsidRPr="00FC798F">
        <w:rPr>
          <w:noProof/>
        </w:rPr>
        <w:t xml:space="preserve">By </w:t>
      </w:r>
      <w:r w:rsidR="251EB346" w:rsidRPr="00FC798F">
        <w:rPr>
          <w:noProof/>
        </w:rPr>
        <w:t>February 2020</w:t>
      </w:r>
      <w:r w:rsidR="00D23EDB">
        <w:rPr>
          <w:rStyle w:val="FootnoteReference"/>
          <w:noProof/>
        </w:rPr>
        <w:footnoteReference w:id="11"/>
      </w:r>
      <w:r w:rsidR="251EB346" w:rsidRPr="00FC798F">
        <w:rPr>
          <w:noProof/>
        </w:rPr>
        <w:t>,</w:t>
      </w:r>
      <w:r w:rsidR="52FE6AC9" w:rsidRPr="00FC798F">
        <w:rPr>
          <w:noProof/>
        </w:rPr>
        <w:t xml:space="preserve"> all EU </w:t>
      </w:r>
      <w:r w:rsidR="005668FC">
        <w:rPr>
          <w:noProof/>
        </w:rPr>
        <w:t>M</w:t>
      </w:r>
      <w:r w:rsidR="00903119">
        <w:rPr>
          <w:noProof/>
        </w:rPr>
        <w:t xml:space="preserve">ember </w:t>
      </w:r>
      <w:r w:rsidR="005668FC">
        <w:rPr>
          <w:noProof/>
        </w:rPr>
        <w:t>S</w:t>
      </w:r>
      <w:r w:rsidR="00903119">
        <w:rPr>
          <w:noProof/>
        </w:rPr>
        <w:t>tates</w:t>
      </w:r>
      <w:r w:rsidR="52FE6AC9" w:rsidRPr="00FC798F">
        <w:rPr>
          <w:noProof/>
        </w:rPr>
        <w:t xml:space="preserve"> had transposed</w:t>
      </w:r>
      <w:r w:rsidR="4A6ED758" w:rsidRPr="00FC798F">
        <w:rPr>
          <w:noProof/>
        </w:rPr>
        <w:t xml:space="preserve"> the </w:t>
      </w:r>
      <w:r w:rsidR="005668FC">
        <w:rPr>
          <w:noProof/>
        </w:rPr>
        <w:t>Directive</w:t>
      </w:r>
      <w:r w:rsidR="004B133A">
        <w:rPr>
          <w:noProof/>
        </w:rPr>
        <w:t xml:space="preserve"> and all </w:t>
      </w:r>
      <w:r w:rsidR="00C6282A">
        <w:rPr>
          <w:noProof/>
        </w:rPr>
        <w:t>infringements</w:t>
      </w:r>
      <w:r w:rsidR="004B133A">
        <w:rPr>
          <w:noProof/>
        </w:rPr>
        <w:t xml:space="preserve"> relating to late transposition have been closed</w:t>
      </w:r>
      <w:r w:rsidR="4A6ED758" w:rsidRPr="00FC798F">
        <w:rPr>
          <w:noProof/>
        </w:rPr>
        <w:t>.</w:t>
      </w:r>
      <w:r w:rsidR="11CCB63F" w:rsidRPr="00FC798F">
        <w:rPr>
          <w:noProof/>
        </w:rPr>
        <w:t xml:space="preserve"> </w:t>
      </w:r>
      <w:r w:rsidR="004B133A">
        <w:rPr>
          <w:noProof/>
        </w:rPr>
        <w:t xml:space="preserve">However, </w:t>
      </w:r>
      <w:r w:rsidR="11CCB63F" w:rsidRPr="00FC798F">
        <w:rPr>
          <w:noProof/>
        </w:rPr>
        <w:t xml:space="preserve">three </w:t>
      </w:r>
      <w:r w:rsidR="005668FC">
        <w:rPr>
          <w:noProof/>
        </w:rPr>
        <w:t>M</w:t>
      </w:r>
      <w:r w:rsidR="008C789D">
        <w:rPr>
          <w:noProof/>
        </w:rPr>
        <w:t xml:space="preserve">ember </w:t>
      </w:r>
      <w:r w:rsidR="005668FC">
        <w:rPr>
          <w:noProof/>
        </w:rPr>
        <w:t>S</w:t>
      </w:r>
      <w:r w:rsidR="008C789D">
        <w:rPr>
          <w:noProof/>
        </w:rPr>
        <w:t>tates</w:t>
      </w:r>
      <w:r w:rsidR="11CCB63F" w:rsidRPr="00FC798F">
        <w:rPr>
          <w:noProof/>
        </w:rPr>
        <w:t xml:space="preserve"> did not transpose the Article which provides for specific exclusions </w:t>
      </w:r>
      <w:r w:rsidR="550990C9" w:rsidRPr="00FC798F">
        <w:rPr>
          <w:noProof/>
        </w:rPr>
        <w:t xml:space="preserve">from the application of the Directive </w:t>
      </w:r>
      <w:r w:rsidR="11CCB63F" w:rsidRPr="00FC798F">
        <w:rPr>
          <w:noProof/>
        </w:rPr>
        <w:t xml:space="preserve">in the field of water, and three </w:t>
      </w:r>
      <w:r w:rsidR="005668FC">
        <w:rPr>
          <w:noProof/>
        </w:rPr>
        <w:t>M</w:t>
      </w:r>
      <w:r w:rsidR="008C789D">
        <w:rPr>
          <w:noProof/>
        </w:rPr>
        <w:t xml:space="preserve">ember </w:t>
      </w:r>
      <w:r w:rsidR="005668FC">
        <w:rPr>
          <w:noProof/>
        </w:rPr>
        <w:t>S</w:t>
      </w:r>
      <w:r w:rsidR="008C789D">
        <w:rPr>
          <w:noProof/>
        </w:rPr>
        <w:t>tates</w:t>
      </w:r>
      <w:r w:rsidR="11CCB63F" w:rsidRPr="00FC798F">
        <w:rPr>
          <w:noProof/>
        </w:rPr>
        <w:t xml:space="preserve"> did so only partially. These </w:t>
      </w:r>
      <w:r w:rsidR="005668FC">
        <w:rPr>
          <w:noProof/>
        </w:rPr>
        <w:t>M</w:t>
      </w:r>
      <w:r w:rsidR="008C789D">
        <w:rPr>
          <w:noProof/>
        </w:rPr>
        <w:t xml:space="preserve">ember </w:t>
      </w:r>
      <w:r w:rsidR="005668FC">
        <w:rPr>
          <w:noProof/>
        </w:rPr>
        <w:t>S</w:t>
      </w:r>
      <w:r w:rsidR="008C789D">
        <w:rPr>
          <w:noProof/>
        </w:rPr>
        <w:t>tates</w:t>
      </w:r>
      <w:r w:rsidR="11CCB63F" w:rsidRPr="00FC798F">
        <w:rPr>
          <w:noProof/>
        </w:rPr>
        <w:t xml:space="preserve"> therefore apply (in full or partially) the </w:t>
      </w:r>
      <w:r w:rsidR="005668FC">
        <w:rPr>
          <w:noProof/>
        </w:rPr>
        <w:t>Directive</w:t>
      </w:r>
      <w:r w:rsidR="11CCB63F" w:rsidRPr="00FC798F">
        <w:rPr>
          <w:noProof/>
        </w:rPr>
        <w:t xml:space="preserve"> also to concessions for work and services in specific fields of </w:t>
      </w:r>
      <w:r w:rsidR="00850A21">
        <w:rPr>
          <w:noProof/>
        </w:rPr>
        <w:t xml:space="preserve">the </w:t>
      </w:r>
      <w:r w:rsidR="11CCB63F" w:rsidRPr="00FC798F">
        <w:rPr>
          <w:noProof/>
        </w:rPr>
        <w:t>water</w:t>
      </w:r>
      <w:r w:rsidR="00850A21">
        <w:rPr>
          <w:noProof/>
        </w:rPr>
        <w:t xml:space="preserve"> sector</w:t>
      </w:r>
      <w:r w:rsidR="11CCB63F" w:rsidRPr="00FC798F">
        <w:rPr>
          <w:noProof/>
        </w:rPr>
        <w:t>.</w:t>
      </w:r>
    </w:p>
    <w:p w14:paraId="1DDAEB30" w14:textId="488D5806" w:rsidR="002E39E7" w:rsidRPr="00FC798F" w:rsidRDefault="52FE6AC9" w:rsidP="00664323">
      <w:pPr>
        <w:rPr>
          <w:noProof/>
        </w:rPr>
      </w:pPr>
      <w:r w:rsidRPr="00FC798F">
        <w:rPr>
          <w:noProof/>
        </w:rPr>
        <w:t xml:space="preserve">An assessment of the national transposition measures identified that only ten </w:t>
      </w:r>
      <w:r w:rsidR="005668FC">
        <w:rPr>
          <w:noProof/>
        </w:rPr>
        <w:t>M</w:t>
      </w:r>
      <w:r w:rsidR="00903119">
        <w:rPr>
          <w:noProof/>
        </w:rPr>
        <w:t xml:space="preserve">ember </w:t>
      </w:r>
      <w:r w:rsidR="005668FC">
        <w:rPr>
          <w:noProof/>
        </w:rPr>
        <w:t>S</w:t>
      </w:r>
      <w:r w:rsidR="00903119">
        <w:rPr>
          <w:noProof/>
        </w:rPr>
        <w:t>tates</w:t>
      </w:r>
      <w:r w:rsidRPr="00FC798F">
        <w:rPr>
          <w:noProof/>
        </w:rPr>
        <w:t xml:space="preserve"> were in </w:t>
      </w:r>
      <w:r w:rsidR="00A36031">
        <w:rPr>
          <w:noProof/>
        </w:rPr>
        <w:t xml:space="preserve">full </w:t>
      </w:r>
      <w:r w:rsidRPr="00FC798F">
        <w:rPr>
          <w:noProof/>
        </w:rPr>
        <w:t xml:space="preserve">conformity with </w:t>
      </w:r>
      <w:r w:rsidR="00A36031">
        <w:rPr>
          <w:noProof/>
        </w:rPr>
        <w:t xml:space="preserve">all </w:t>
      </w:r>
      <w:r w:rsidRPr="00FC798F">
        <w:rPr>
          <w:noProof/>
        </w:rPr>
        <w:t xml:space="preserve">the </w:t>
      </w:r>
      <w:r w:rsidR="00A36031">
        <w:rPr>
          <w:noProof/>
        </w:rPr>
        <w:t xml:space="preserve">obligations </w:t>
      </w:r>
      <w:r w:rsidRPr="00FC798F">
        <w:rPr>
          <w:noProof/>
        </w:rPr>
        <w:t xml:space="preserve">of the </w:t>
      </w:r>
      <w:r w:rsidR="005668FC">
        <w:rPr>
          <w:noProof/>
        </w:rPr>
        <w:t>Directive</w:t>
      </w:r>
      <w:r w:rsidR="00A84304">
        <w:rPr>
          <w:noProof/>
        </w:rPr>
        <w:t xml:space="preserve"> on the date of the expiry of the tr</w:t>
      </w:r>
      <w:r w:rsidR="00215E5F">
        <w:rPr>
          <w:noProof/>
        </w:rPr>
        <w:t>ans</w:t>
      </w:r>
      <w:r w:rsidR="00A84304">
        <w:rPr>
          <w:noProof/>
        </w:rPr>
        <w:t>position deadline.</w:t>
      </w:r>
      <w:r w:rsidRPr="00FC798F">
        <w:rPr>
          <w:noProof/>
        </w:rPr>
        <w:t xml:space="preserve"> The Commission therefore initiated infringement pr</w:t>
      </w:r>
      <w:r w:rsidR="00A36031">
        <w:rPr>
          <w:noProof/>
        </w:rPr>
        <w:t>oceedings against the remaining</w:t>
      </w:r>
      <w:r w:rsidR="00B17CD9">
        <w:rPr>
          <w:noProof/>
        </w:rPr>
        <w:t xml:space="preserve"> </w:t>
      </w:r>
      <w:r w:rsidR="005668FC">
        <w:rPr>
          <w:noProof/>
        </w:rPr>
        <w:t>M</w:t>
      </w:r>
      <w:r w:rsidR="00D462E2">
        <w:rPr>
          <w:noProof/>
        </w:rPr>
        <w:t xml:space="preserve">ember </w:t>
      </w:r>
      <w:r w:rsidR="005668FC">
        <w:rPr>
          <w:noProof/>
        </w:rPr>
        <w:t>S</w:t>
      </w:r>
      <w:r w:rsidR="00D462E2">
        <w:rPr>
          <w:noProof/>
        </w:rPr>
        <w:t>tates</w:t>
      </w:r>
      <w:r w:rsidRPr="00FC798F">
        <w:rPr>
          <w:noProof/>
        </w:rPr>
        <w:t xml:space="preserve"> in </w:t>
      </w:r>
      <w:r w:rsidR="00A36031">
        <w:rPr>
          <w:noProof/>
        </w:rPr>
        <w:t>four successive waves (</w:t>
      </w:r>
      <w:r w:rsidRPr="00FC798F">
        <w:rPr>
          <w:noProof/>
        </w:rPr>
        <w:t>January 2019, October 2019, June 2021 and December 2021</w:t>
      </w:r>
      <w:r w:rsidR="00A36031">
        <w:rPr>
          <w:noProof/>
        </w:rPr>
        <w:t>)</w:t>
      </w:r>
      <w:r w:rsidRPr="00FC798F">
        <w:rPr>
          <w:noProof/>
        </w:rPr>
        <w:t>.</w:t>
      </w:r>
      <w:r w:rsidR="008F2158">
        <w:rPr>
          <w:noProof/>
        </w:rPr>
        <w:t xml:space="preserve"> </w:t>
      </w:r>
      <w:r w:rsidR="00A36031">
        <w:rPr>
          <w:noProof/>
        </w:rPr>
        <w:t>Following notification of national measures and their assessment, t</w:t>
      </w:r>
      <w:r w:rsidRPr="00FC798F">
        <w:rPr>
          <w:noProof/>
        </w:rPr>
        <w:t xml:space="preserve">he proceedings against </w:t>
      </w:r>
      <w:r w:rsidR="002174DF">
        <w:rPr>
          <w:noProof/>
        </w:rPr>
        <w:t>eight</w:t>
      </w:r>
      <w:r w:rsidR="002174DF" w:rsidRPr="00FC798F">
        <w:rPr>
          <w:noProof/>
        </w:rPr>
        <w:t xml:space="preserve"> </w:t>
      </w:r>
      <w:r w:rsidR="005668FC">
        <w:rPr>
          <w:noProof/>
        </w:rPr>
        <w:t>M</w:t>
      </w:r>
      <w:r w:rsidR="00903119">
        <w:rPr>
          <w:noProof/>
        </w:rPr>
        <w:t xml:space="preserve">ember </w:t>
      </w:r>
      <w:r w:rsidR="005668FC">
        <w:rPr>
          <w:noProof/>
        </w:rPr>
        <w:t>S</w:t>
      </w:r>
      <w:r w:rsidR="00903119">
        <w:rPr>
          <w:noProof/>
        </w:rPr>
        <w:t>tates</w:t>
      </w:r>
      <w:r w:rsidR="5E11DBD6" w:rsidRPr="00FC798F">
        <w:rPr>
          <w:noProof/>
        </w:rPr>
        <w:t xml:space="preserve"> </w:t>
      </w:r>
      <w:r w:rsidRPr="00FC798F">
        <w:rPr>
          <w:noProof/>
        </w:rPr>
        <w:t xml:space="preserve">have been formally closed </w:t>
      </w:r>
      <w:r w:rsidR="00A36031">
        <w:rPr>
          <w:noProof/>
        </w:rPr>
        <w:t>as a result of the corrective legislative action taken by them.</w:t>
      </w:r>
      <w:r w:rsidRPr="00FC798F">
        <w:rPr>
          <w:noProof/>
        </w:rPr>
        <w:t xml:space="preserve"> The remaining proceedings are ongoing</w:t>
      </w:r>
      <w:r w:rsidR="009324B9">
        <w:rPr>
          <w:rStyle w:val="FootnoteReference"/>
          <w:noProof/>
        </w:rPr>
        <w:footnoteReference w:id="12"/>
      </w:r>
      <w:r w:rsidRPr="00FC798F">
        <w:rPr>
          <w:noProof/>
        </w:rPr>
        <w:t xml:space="preserve"> and concern elements such as scope, the criteria for exclusion of economic operators</w:t>
      </w:r>
      <w:r w:rsidR="00850A21">
        <w:rPr>
          <w:noProof/>
        </w:rPr>
        <w:t>,</w:t>
      </w:r>
      <w:r w:rsidRPr="00FC798F">
        <w:rPr>
          <w:noProof/>
        </w:rPr>
        <w:t xml:space="preserve"> and modification of contracts.</w:t>
      </w:r>
      <w:r w:rsidR="002174DF">
        <w:rPr>
          <w:noProof/>
        </w:rPr>
        <w:t xml:space="preserve"> </w:t>
      </w:r>
    </w:p>
    <w:p w14:paraId="727D5332" w14:textId="1CD0480D" w:rsidR="003C04A8" w:rsidRPr="00FC798F" w:rsidRDefault="00BC1630" w:rsidP="00664323">
      <w:pPr>
        <w:rPr>
          <w:noProof/>
        </w:rPr>
      </w:pPr>
      <w:r w:rsidRPr="00FC798F">
        <w:rPr>
          <w:noProof/>
        </w:rPr>
        <w:t xml:space="preserve">In several </w:t>
      </w:r>
      <w:r w:rsidR="005668FC">
        <w:rPr>
          <w:noProof/>
        </w:rPr>
        <w:t>M</w:t>
      </w:r>
      <w:r w:rsidR="00903119">
        <w:rPr>
          <w:noProof/>
        </w:rPr>
        <w:t xml:space="preserve">ember </w:t>
      </w:r>
      <w:r w:rsidR="005668FC">
        <w:rPr>
          <w:noProof/>
        </w:rPr>
        <w:t>S</w:t>
      </w:r>
      <w:r w:rsidR="00903119">
        <w:rPr>
          <w:noProof/>
        </w:rPr>
        <w:t>tates</w:t>
      </w:r>
      <w:r w:rsidRPr="00FC798F">
        <w:rPr>
          <w:noProof/>
        </w:rPr>
        <w:t xml:space="preserve">, </w:t>
      </w:r>
      <w:r w:rsidR="00A07C10">
        <w:rPr>
          <w:noProof/>
        </w:rPr>
        <w:t xml:space="preserve">national authorities have issued </w:t>
      </w:r>
      <w:r w:rsidRPr="00FC798F">
        <w:rPr>
          <w:noProof/>
        </w:rPr>
        <w:t xml:space="preserve">guidance </w:t>
      </w:r>
      <w:r w:rsidR="00850A21">
        <w:rPr>
          <w:noProof/>
        </w:rPr>
        <w:t>on</w:t>
      </w:r>
      <w:r w:rsidRPr="00FC798F">
        <w:rPr>
          <w:noProof/>
        </w:rPr>
        <w:t xml:space="preserve"> the rules on concessions</w:t>
      </w:r>
      <w:r w:rsidR="00976E77">
        <w:rPr>
          <w:noProof/>
        </w:rPr>
        <w:t>.</w:t>
      </w:r>
    </w:p>
    <w:p w14:paraId="4CED9F4C" w14:textId="05ED3341" w:rsidR="003E48E5" w:rsidRPr="00FC798F" w:rsidRDefault="00AA331C" w:rsidP="00AA331C">
      <w:pPr>
        <w:pStyle w:val="ManualHeading1"/>
        <w:rPr>
          <w:noProof/>
        </w:rPr>
      </w:pPr>
      <w:r w:rsidRPr="00AA331C">
        <w:t>4.</w:t>
      </w:r>
      <w:r w:rsidRPr="00AA331C">
        <w:tab/>
      </w:r>
      <w:r w:rsidR="00BA204A" w:rsidRPr="00FC798F">
        <w:rPr>
          <w:noProof/>
        </w:rPr>
        <w:t xml:space="preserve">main </w:t>
      </w:r>
      <w:r w:rsidR="002E39E7" w:rsidRPr="00FC798F">
        <w:rPr>
          <w:noProof/>
        </w:rPr>
        <w:t xml:space="preserve">findings of the review of the functioning of the </w:t>
      </w:r>
      <w:r w:rsidR="005668FC">
        <w:rPr>
          <w:noProof/>
        </w:rPr>
        <w:t>Directive</w:t>
      </w:r>
    </w:p>
    <w:p w14:paraId="682C7DBE" w14:textId="0FB36133" w:rsidR="005668FC" w:rsidRDefault="00EF6AD1" w:rsidP="00AB006F">
      <w:pPr>
        <w:pStyle w:val="Heading2"/>
        <w:numPr>
          <w:ilvl w:val="0"/>
          <w:numId w:val="0"/>
        </w:numPr>
        <w:rPr>
          <w:rFonts w:eastAsia="Times New Roman"/>
          <w:b w:val="0"/>
          <w:bCs w:val="0"/>
          <w:noProof/>
          <w:color w:val="0E101A"/>
          <w:szCs w:val="24"/>
          <w:lang w:eastAsia="fr-FR"/>
        </w:rPr>
      </w:pPr>
      <w:r>
        <w:rPr>
          <w:rFonts w:eastAsia="Times New Roman"/>
          <w:b w:val="0"/>
          <w:bCs w:val="0"/>
          <w:noProof/>
          <w:color w:val="0E101A"/>
          <w:szCs w:val="24"/>
          <w:lang w:eastAsia="fr-FR"/>
        </w:rPr>
        <w:t>T</w:t>
      </w:r>
      <w:r w:rsidR="52FE6AC9" w:rsidRPr="00AB006F">
        <w:rPr>
          <w:rFonts w:eastAsia="Times New Roman"/>
          <w:b w:val="0"/>
          <w:bCs w:val="0"/>
          <w:noProof/>
          <w:color w:val="0E101A"/>
          <w:szCs w:val="24"/>
          <w:lang w:eastAsia="fr-FR"/>
        </w:rPr>
        <w:t xml:space="preserve">he </w:t>
      </w:r>
      <w:r w:rsidR="005668FC">
        <w:rPr>
          <w:rFonts w:eastAsia="Times New Roman"/>
          <w:b w:val="0"/>
          <w:bCs w:val="0"/>
          <w:noProof/>
          <w:color w:val="0E101A"/>
          <w:szCs w:val="24"/>
          <w:lang w:eastAsia="fr-FR"/>
        </w:rPr>
        <w:t>Directive</w:t>
      </w:r>
      <w:r w:rsidR="52FE6AC9" w:rsidRPr="00AB006F">
        <w:rPr>
          <w:rFonts w:eastAsia="Times New Roman"/>
          <w:b w:val="0"/>
          <w:bCs w:val="0"/>
          <w:noProof/>
          <w:color w:val="0E101A"/>
          <w:szCs w:val="24"/>
          <w:lang w:eastAsia="fr-FR"/>
        </w:rPr>
        <w:t xml:space="preserve"> pursues two principal objectives: (1) </w:t>
      </w:r>
      <w:r w:rsidR="75414FAE" w:rsidRPr="00AB006F">
        <w:rPr>
          <w:rFonts w:eastAsia="Times New Roman"/>
          <w:b w:val="0"/>
          <w:bCs w:val="0"/>
          <w:noProof/>
          <w:color w:val="0E101A"/>
          <w:szCs w:val="24"/>
          <w:lang w:eastAsia="fr-FR"/>
        </w:rPr>
        <w:t>providing certainty on the</w:t>
      </w:r>
      <w:r w:rsidR="005668FC">
        <w:rPr>
          <w:rFonts w:eastAsia="Times New Roman"/>
          <w:b w:val="0"/>
          <w:bCs w:val="0"/>
          <w:noProof/>
          <w:color w:val="0E101A"/>
          <w:szCs w:val="24"/>
          <w:lang w:eastAsia="fr-FR"/>
        </w:rPr>
        <w:t xml:space="preserve"> </w:t>
      </w:r>
      <w:r w:rsidR="75414FAE" w:rsidRPr="00AB006F">
        <w:rPr>
          <w:rFonts w:eastAsia="Times New Roman"/>
          <w:b w:val="0"/>
          <w:bCs w:val="0"/>
          <w:noProof/>
          <w:color w:val="0E101A"/>
          <w:szCs w:val="24"/>
          <w:lang w:eastAsia="fr-FR"/>
        </w:rPr>
        <w:t>legal framework</w:t>
      </w:r>
      <w:r w:rsidR="202EB84D" w:rsidRPr="00AB006F">
        <w:rPr>
          <w:rFonts w:eastAsia="Times New Roman"/>
          <w:b w:val="0"/>
          <w:bCs w:val="0"/>
          <w:noProof/>
          <w:color w:val="0E101A"/>
          <w:szCs w:val="24"/>
          <w:lang w:eastAsia="fr-FR"/>
        </w:rPr>
        <w:t xml:space="preserve"> by defining certain concepts and codifying certain principles</w:t>
      </w:r>
      <w:r w:rsidR="181DBE15" w:rsidRPr="00AB006F">
        <w:rPr>
          <w:rFonts w:eastAsia="Times New Roman"/>
          <w:b w:val="0"/>
          <w:bCs w:val="0"/>
          <w:noProof/>
          <w:color w:val="0E101A"/>
          <w:szCs w:val="24"/>
          <w:lang w:eastAsia="fr-FR"/>
        </w:rPr>
        <w:t xml:space="preserve"> relating to the award of concessions</w:t>
      </w:r>
      <w:r w:rsidR="00850A21">
        <w:rPr>
          <w:rFonts w:eastAsia="Times New Roman"/>
          <w:b w:val="0"/>
          <w:bCs w:val="0"/>
          <w:noProof/>
          <w:color w:val="0E101A"/>
          <w:szCs w:val="24"/>
          <w:lang w:eastAsia="fr-FR"/>
        </w:rPr>
        <w:t>,</w:t>
      </w:r>
      <w:r w:rsidR="181DBE15" w:rsidRPr="00AB006F">
        <w:rPr>
          <w:rFonts w:eastAsia="Times New Roman"/>
          <w:b w:val="0"/>
          <w:bCs w:val="0"/>
          <w:noProof/>
          <w:color w:val="0E101A"/>
          <w:szCs w:val="24"/>
          <w:lang w:eastAsia="fr-FR"/>
        </w:rPr>
        <w:t xml:space="preserve"> </w:t>
      </w:r>
      <w:r w:rsidR="00850A21">
        <w:rPr>
          <w:rFonts w:eastAsia="Times New Roman"/>
          <w:b w:val="0"/>
          <w:bCs w:val="0"/>
          <w:noProof/>
          <w:color w:val="0E101A"/>
          <w:szCs w:val="24"/>
          <w:lang w:eastAsia="fr-FR"/>
        </w:rPr>
        <w:t>in line with the case</w:t>
      </w:r>
      <w:r w:rsidR="00A40195">
        <w:rPr>
          <w:rFonts w:eastAsia="Times New Roman"/>
          <w:b w:val="0"/>
          <w:bCs w:val="0"/>
          <w:noProof/>
          <w:color w:val="0E101A"/>
          <w:szCs w:val="24"/>
          <w:lang w:eastAsia="fr-FR"/>
        </w:rPr>
        <w:t xml:space="preserve"> </w:t>
      </w:r>
      <w:r w:rsidR="00850A21">
        <w:rPr>
          <w:rFonts w:eastAsia="Times New Roman"/>
          <w:b w:val="0"/>
          <w:bCs w:val="0"/>
          <w:noProof/>
          <w:color w:val="0E101A"/>
          <w:szCs w:val="24"/>
          <w:lang w:eastAsia="fr-FR"/>
        </w:rPr>
        <w:t>law of</w:t>
      </w:r>
      <w:r w:rsidR="202EB84D" w:rsidRPr="00AB006F">
        <w:rPr>
          <w:rFonts w:eastAsia="Times New Roman"/>
          <w:b w:val="0"/>
          <w:bCs w:val="0"/>
          <w:noProof/>
          <w:color w:val="0E101A"/>
          <w:szCs w:val="24"/>
          <w:lang w:eastAsia="fr-FR"/>
        </w:rPr>
        <w:t xml:space="preserve"> the </w:t>
      </w:r>
      <w:r w:rsidR="00850A21">
        <w:rPr>
          <w:rFonts w:eastAsia="Times New Roman"/>
          <w:b w:val="0"/>
          <w:bCs w:val="0"/>
          <w:noProof/>
          <w:color w:val="0E101A"/>
          <w:szCs w:val="24"/>
          <w:lang w:eastAsia="fr-FR"/>
        </w:rPr>
        <w:t xml:space="preserve">European </w:t>
      </w:r>
      <w:r w:rsidR="202EB84D" w:rsidRPr="00AB006F">
        <w:rPr>
          <w:rFonts w:eastAsia="Times New Roman"/>
          <w:b w:val="0"/>
          <w:bCs w:val="0"/>
          <w:noProof/>
          <w:color w:val="0E101A"/>
          <w:szCs w:val="24"/>
          <w:lang w:eastAsia="fr-FR"/>
        </w:rPr>
        <w:t>Court of Justice</w:t>
      </w:r>
      <w:r w:rsidR="00850A21">
        <w:rPr>
          <w:rFonts w:eastAsia="Times New Roman"/>
          <w:b w:val="0"/>
          <w:bCs w:val="0"/>
          <w:noProof/>
          <w:color w:val="0E101A"/>
          <w:szCs w:val="24"/>
          <w:lang w:eastAsia="fr-FR"/>
        </w:rPr>
        <w:t>,</w:t>
      </w:r>
      <w:r w:rsidR="008B03CC" w:rsidRPr="00AB006F">
        <w:rPr>
          <w:rFonts w:eastAsia="Times New Roman"/>
          <w:b w:val="0"/>
          <w:bCs w:val="0"/>
          <w:noProof/>
          <w:color w:val="0E101A"/>
          <w:szCs w:val="24"/>
          <w:lang w:eastAsia="fr-FR"/>
        </w:rPr>
        <w:t xml:space="preserve"> and</w:t>
      </w:r>
      <w:r w:rsidR="4FE814AD" w:rsidRPr="00AB006F">
        <w:rPr>
          <w:rFonts w:eastAsia="Times New Roman"/>
          <w:b w:val="0"/>
          <w:bCs w:val="0"/>
          <w:noProof/>
          <w:color w:val="0E101A"/>
          <w:szCs w:val="24"/>
          <w:lang w:eastAsia="fr-FR"/>
        </w:rPr>
        <w:t xml:space="preserve"> </w:t>
      </w:r>
      <w:r w:rsidR="75414FAE" w:rsidRPr="00AB006F">
        <w:rPr>
          <w:rFonts w:eastAsia="Times New Roman"/>
          <w:b w:val="0"/>
          <w:bCs w:val="0"/>
          <w:noProof/>
          <w:color w:val="0E101A"/>
          <w:szCs w:val="24"/>
          <w:lang w:eastAsia="fr-FR"/>
        </w:rPr>
        <w:t>(2) improv</w:t>
      </w:r>
      <w:r w:rsidR="008B03CC" w:rsidRPr="00AB006F">
        <w:rPr>
          <w:rFonts w:eastAsia="Times New Roman"/>
          <w:b w:val="0"/>
          <w:bCs w:val="0"/>
          <w:noProof/>
          <w:color w:val="0E101A"/>
          <w:szCs w:val="24"/>
          <w:lang w:eastAsia="fr-FR"/>
        </w:rPr>
        <w:t>ing</w:t>
      </w:r>
      <w:r w:rsidR="75414FAE" w:rsidRPr="00AB006F">
        <w:rPr>
          <w:rFonts w:eastAsia="Times New Roman"/>
          <w:b w:val="0"/>
          <w:bCs w:val="0"/>
          <w:noProof/>
          <w:color w:val="0E101A"/>
          <w:szCs w:val="24"/>
          <w:lang w:eastAsia="fr-FR"/>
        </w:rPr>
        <w:t xml:space="preserve"> access to the concessions markets by increasing transparency and fairness in award procedures. </w:t>
      </w:r>
    </w:p>
    <w:p w14:paraId="05E459CC" w14:textId="3D51CB33" w:rsidR="003E48E5" w:rsidRPr="00AB006F" w:rsidRDefault="00AA331C" w:rsidP="00AA331C">
      <w:pPr>
        <w:pStyle w:val="ManualHeading2"/>
        <w:rPr>
          <w:noProof/>
          <w:lang w:eastAsia="fr-FR"/>
        </w:rPr>
      </w:pPr>
      <w:r w:rsidRPr="00AA331C">
        <w:t>4.1.</w:t>
      </w:r>
      <w:r w:rsidRPr="00AA331C">
        <w:tab/>
      </w:r>
      <w:r w:rsidR="00DE7840" w:rsidRPr="00AB006F">
        <w:rPr>
          <w:noProof/>
          <w:lang w:eastAsia="fr-FR"/>
        </w:rPr>
        <w:t>L</w:t>
      </w:r>
      <w:r w:rsidR="00664323" w:rsidRPr="00AB006F">
        <w:rPr>
          <w:noProof/>
          <w:lang w:eastAsia="fr-FR"/>
        </w:rPr>
        <w:t>egal certainty</w:t>
      </w:r>
    </w:p>
    <w:p w14:paraId="0399AF58" w14:textId="72F2686F" w:rsidR="003E48E5" w:rsidRPr="00FC798F" w:rsidRDefault="0049654E" w:rsidP="00664323">
      <w:pPr>
        <w:pStyle w:val="NoSpacing"/>
        <w:spacing w:after="240"/>
        <w:rPr>
          <w:rStyle w:val="normaltextrun"/>
          <w:b/>
          <w:noProof/>
          <w:color w:val="0E101A"/>
          <w:lang w:val="en-US"/>
        </w:rPr>
      </w:pPr>
      <w:r>
        <w:rPr>
          <w:rStyle w:val="normaltextrun"/>
          <w:b/>
          <w:noProof/>
          <w:color w:val="0E101A"/>
          <w:lang w:val="en-US"/>
        </w:rPr>
        <w:t>The definition of “concession</w:t>
      </w:r>
      <w:r w:rsidR="00CB70C7" w:rsidRPr="00FC798F">
        <w:rPr>
          <w:rStyle w:val="normaltextrun"/>
          <w:b/>
          <w:noProof/>
          <w:color w:val="0E101A"/>
          <w:lang w:val="en-US"/>
        </w:rPr>
        <w:t>”</w:t>
      </w:r>
    </w:p>
    <w:p w14:paraId="235314D6" w14:textId="2465EF33" w:rsidR="0028467C" w:rsidRPr="00FC798F" w:rsidRDefault="00877C08" w:rsidP="3A62A1BE">
      <w:pPr>
        <w:pStyle w:val="paragraph"/>
        <w:spacing w:before="0" w:beforeAutospacing="0" w:after="240" w:afterAutospacing="0"/>
        <w:jc w:val="both"/>
        <w:textAlignment w:val="baseline"/>
        <w:rPr>
          <w:noProof/>
          <w:color w:val="0E101A"/>
          <w:lang w:val="en-US"/>
        </w:rPr>
      </w:pPr>
      <w:r>
        <w:rPr>
          <w:noProof/>
          <w:color w:val="0E101A"/>
          <w:lang w:val="en-US"/>
        </w:rPr>
        <w:t>T</w:t>
      </w:r>
      <w:r w:rsidR="03100765" w:rsidRPr="00FC798F">
        <w:rPr>
          <w:noProof/>
          <w:color w:val="0E101A"/>
          <w:lang w:val="en-US"/>
        </w:rPr>
        <w:t xml:space="preserve">he </w:t>
      </w:r>
      <w:r>
        <w:rPr>
          <w:noProof/>
          <w:color w:val="0E101A"/>
          <w:lang w:val="en-US"/>
        </w:rPr>
        <w:t xml:space="preserve">Directive provides a </w:t>
      </w:r>
      <w:r w:rsidR="4735E0D1" w:rsidRPr="00FC798F">
        <w:rPr>
          <w:noProof/>
          <w:color w:val="0E101A"/>
          <w:lang w:val="en-US"/>
        </w:rPr>
        <w:t>definition of concessions</w:t>
      </w:r>
      <w:r w:rsidR="00A07C10">
        <w:rPr>
          <w:noProof/>
          <w:color w:val="0E101A"/>
          <w:lang w:val="en-US"/>
        </w:rPr>
        <w:t xml:space="preserve"> at EU level</w:t>
      </w:r>
      <w:r w:rsidR="00694D1B">
        <w:rPr>
          <w:rStyle w:val="FootnoteReference"/>
          <w:noProof/>
          <w:color w:val="0E101A"/>
          <w:lang w:val="en-US"/>
        </w:rPr>
        <w:footnoteReference w:id="13"/>
      </w:r>
      <w:r>
        <w:rPr>
          <w:noProof/>
          <w:color w:val="0E101A"/>
          <w:lang w:val="en-US"/>
        </w:rPr>
        <w:t xml:space="preserve">. </w:t>
      </w:r>
      <w:r w:rsidR="00402A6D">
        <w:rPr>
          <w:noProof/>
          <w:color w:val="0E101A"/>
          <w:lang w:val="en-US"/>
        </w:rPr>
        <w:t>In practice, it seems that t</w:t>
      </w:r>
      <w:r w:rsidR="00C20CA8">
        <w:rPr>
          <w:noProof/>
          <w:color w:val="0E101A"/>
          <w:lang w:val="en-US"/>
        </w:rPr>
        <w:t xml:space="preserve">he term “concession” </w:t>
      </w:r>
      <w:r w:rsidR="0E571871" w:rsidRPr="00FC798F">
        <w:rPr>
          <w:noProof/>
          <w:color w:val="0E101A"/>
          <w:lang w:val="en-US"/>
        </w:rPr>
        <w:t xml:space="preserve">is </w:t>
      </w:r>
      <w:r w:rsidR="00A07C10">
        <w:rPr>
          <w:noProof/>
          <w:color w:val="0E101A"/>
          <w:lang w:val="en-US"/>
        </w:rPr>
        <w:t xml:space="preserve">often </w:t>
      </w:r>
      <w:r w:rsidR="0E571871" w:rsidRPr="00FC798F">
        <w:rPr>
          <w:noProof/>
          <w:color w:val="0E101A"/>
          <w:lang w:val="en-US"/>
        </w:rPr>
        <w:t xml:space="preserve">used </w:t>
      </w:r>
      <w:r w:rsidR="00A07C10">
        <w:rPr>
          <w:noProof/>
          <w:color w:val="0E101A"/>
          <w:lang w:val="en-US"/>
        </w:rPr>
        <w:t xml:space="preserve">in Member States’ legislation </w:t>
      </w:r>
      <w:r w:rsidR="0E571871" w:rsidRPr="00FC798F">
        <w:rPr>
          <w:noProof/>
          <w:color w:val="0E101A"/>
          <w:lang w:val="en-US"/>
        </w:rPr>
        <w:t xml:space="preserve">for sectors and issues that go beyond the </w:t>
      </w:r>
      <w:r>
        <w:rPr>
          <w:noProof/>
          <w:color w:val="0E101A"/>
          <w:lang w:val="en-US"/>
        </w:rPr>
        <w:t xml:space="preserve">scope of the </w:t>
      </w:r>
      <w:r w:rsidR="005668FC">
        <w:rPr>
          <w:noProof/>
          <w:color w:val="0E101A"/>
          <w:lang w:val="en-US"/>
        </w:rPr>
        <w:t>Directive</w:t>
      </w:r>
      <w:r w:rsidR="0E571871" w:rsidRPr="00FC798F">
        <w:rPr>
          <w:noProof/>
          <w:color w:val="0E101A"/>
          <w:lang w:val="en-US"/>
        </w:rPr>
        <w:t xml:space="preserve">. </w:t>
      </w:r>
      <w:r w:rsidR="244C3B99" w:rsidRPr="23FFF65E">
        <w:rPr>
          <w:noProof/>
          <w:color w:val="0E101A"/>
          <w:lang w:val="en-US"/>
        </w:rPr>
        <w:t xml:space="preserve">Most notably, </w:t>
      </w:r>
      <w:r w:rsidR="2D6EF053" w:rsidRPr="23FFF65E">
        <w:rPr>
          <w:noProof/>
          <w:color w:val="0E101A"/>
          <w:lang w:val="en-US"/>
        </w:rPr>
        <w:t>i</w:t>
      </w:r>
      <w:r w:rsidR="51BDA616" w:rsidRPr="00FC798F">
        <w:rPr>
          <w:noProof/>
          <w:color w:val="0E101A"/>
          <w:lang w:val="en-US"/>
        </w:rPr>
        <w:t xml:space="preserve">n </w:t>
      </w:r>
      <w:r w:rsidR="0E571871" w:rsidRPr="00FC798F">
        <w:rPr>
          <w:noProof/>
          <w:color w:val="0E101A"/>
          <w:lang w:val="en-US"/>
        </w:rPr>
        <w:t>the majority of</w:t>
      </w:r>
      <w:r w:rsidR="51BDA616" w:rsidRPr="00FC798F">
        <w:rPr>
          <w:noProof/>
          <w:color w:val="0E101A"/>
          <w:lang w:val="en-US"/>
        </w:rPr>
        <w:t xml:space="preserve"> </w:t>
      </w:r>
      <w:r w:rsidR="005668FC">
        <w:rPr>
          <w:noProof/>
          <w:color w:val="0E101A"/>
          <w:lang w:val="en-US"/>
        </w:rPr>
        <w:t>M</w:t>
      </w:r>
      <w:r w:rsidR="003F5BC2">
        <w:rPr>
          <w:noProof/>
          <w:color w:val="0E101A"/>
          <w:lang w:val="en-US"/>
        </w:rPr>
        <w:t xml:space="preserve">ember </w:t>
      </w:r>
      <w:r w:rsidR="005668FC">
        <w:rPr>
          <w:noProof/>
          <w:color w:val="0E101A"/>
          <w:lang w:val="en-US"/>
        </w:rPr>
        <w:t>S</w:t>
      </w:r>
      <w:r w:rsidR="003F5BC2">
        <w:rPr>
          <w:noProof/>
          <w:color w:val="0E101A"/>
          <w:lang w:val="en-US"/>
        </w:rPr>
        <w:t>tates</w:t>
      </w:r>
      <w:r w:rsidR="51BDA616" w:rsidRPr="00FC798F">
        <w:rPr>
          <w:noProof/>
          <w:color w:val="0E101A"/>
          <w:lang w:val="en-US"/>
        </w:rPr>
        <w:t xml:space="preserve">, </w:t>
      </w:r>
      <w:r w:rsidR="03100765" w:rsidRPr="00FC798F">
        <w:rPr>
          <w:noProof/>
          <w:color w:val="0E101A"/>
          <w:lang w:val="en-US"/>
        </w:rPr>
        <w:t xml:space="preserve">national legislation </w:t>
      </w:r>
      <w:r w:rsidR="0A5A1BC5">
        <w:rPr>
          <w:noProof/>
          <w:color w:val="0E101A"/>
          <w:lang w:val="en-US"/>
        </w:rPr>
        <w:t>often</w:t>
      </w:r>
      <w:r w:rsidR="03100765" w:rsidRPr="00FC798F">
        <w:rPr>
          <w:noProof/>
          <w:color w:val="0E101A"/>
          <w:lang w:val="en-US"/>
        </w:rPr>
        <w:t xml:space="preserve"> use the term “concession” to refer to other legal concepts, such as authorisations</w:t>
      </w:r>
      <w:r w:rsidR="0A5A1BC5">
        <w:rPr>
          <w:noProof/>
          <w:color w:val="0E101A"/>
          <w:lang w:val="en-US"/>
        </w:rPr>
        <w:t xml:space="preserve"> or</w:t>
      </w:r>
      <w:r w:rsidR="03100765" w:rsidRPr="00FC798F">
        <w:rPr>
          <w:noProof/>
          <w:color w:val="0E101A"/>
          <w:lang w:val="en-US"/>
        </w:rPr>
        <w:t xml:space="preserve"> licences</w:t>
      </w:r>
      <w:r w:rsidR="00694D1B">
        <w:rPr>
          <w:rStyle w:val="FootnoteReference"/>
          <w:noProof/>
          <w:color w:val="0E101A"/>
          <w:lang w:val="en-US"/>
        </w:rPr>
        <w:footnoteReference w:id="14"/>
      </w:r>
      <w:r w:rsidR="03100765" w:rsidRPr="00FC798F">
        <w:rPr>
          <w:noProof/>
          <w:color w:val="0E101A"/>
          <w:lang w:val="en-US"/>
        </w:rPr>
        <w:t>.</w:t>
      </w:r>
    </w:p>
    <w:p w14:paraId="45532A43" w14:textId="79A486B8" w:rsidR="003E48E5" w:rsidRPr="00FC798F" w:rsidRDefault="0075538C" w:rsidP="00CB70C7">
      <w:pPr>
        <w:pStyle w:val="paragraph"/>
        <w:spacing w:before="0" w:beforeAutospacing="0" w:after="240" w:afterAutospacing="0"/>
        <w:jc w:val="both"/>
        <w:textAlignment w:val="baseline"/>
        <w:rPr>
          <w:noProof/>
          <w:color w:val="0E101A"/>
          <w:lang w:val="en-US"/>
        </w:rPr>
      </w:pPr>
      <w:r>
        <w:rPr>
          <w:noProof/>
          <w:color w:val="0E101A"/>
          <w:lang w:val="en-US"/>
        </w:rPr>
        <w:t>T</w:t>
      </w:r>
      <w:r w:rsidR="00FC798F">
        <w:rPr>
          <w:noProof/>
          <w:color w:val="0E101A"/>
          <w:lang w:val="en-US"/>
        </w:rPr>
        <w:t>h</w:t>
      </w:r>
      <w:r w:rsidR="00EF6AD1">
        <w:rPr>
          <w:noProof/>
          <w:color w:val="0E101A"/>
          <w:lang w:val="en-US"/>
        </w:rPr>
        <w:t>o</w:t>
      </w:r>
      <w:r w:rsidR="00FC798F">
        <w:rPr>
          <w:noProof/>
          <w:color w:val="0E101A"/>
          <w:lang w:val="en-US"/>
        </w:rPr>
        <w:t>se discrepa</w:t>
      </w:r>
      <w:r w:rsidR="0028467C" w:rsidRPr="00FC798F">
        <w:rPr>
          <w:noProof/>
          <w:color w:val="0E101A"/>
          <w:lang w:val="en-US"/>
        </w:rPr>
        <w:t xml:space="preserve">ncies </w:t>
      </w:r>
      <w:r>
        <w:rPr>
          <w:noProof/>
          <w:color w:val="0E101A"/>
          <w:lang w:val="en-US"/>
        </w:rPr>
        <w:t>may</w:t>
      </w:r>
      <w:r w:rsidR="0028467C" w:rsidRPr="00FC798F">
        <w:rPr>
          <w:noProof/>
          <w:color w:val="0E101A"/>
          <w:lang w:val="en-US"/>
        </w:rPr>
        <w:t xml:space="preserve"> </w:t>
      </w:r>
      <w:r w:rsidR="009863D5" w:rsidRPr="00FC798F">
        <w:rPr>
          <w:noProof/>
          <w:color w:val="0E101A"/>
          <w:lang w:val="en-US"/>
        </w:rPr>
        <w:t>lead to higher</w:t>
      </w:r>
      <w:r w:rsidR="0028467C" w:rsidRPr="00FC798F">
        <w:rPr>
          <w:noProof/>
          <w:color w:val="0E101A"/>
          <w:lang w:val="en-US"/>
        </w:rPr>
        <w:t xml:space="preserve"> costs as </w:t>
      </w:r>
      <w:r w:rsidR="009863D5" w:rsidRPr="00FC798F">
        <w:rPr>
          <w:noProof/>
          <w:color w:val="0E101A"/>
          <w:lang w:val="en-US"/>
        </w:rPr>
        <w:t xml:space="preserve">economic operators participating in cross-border concessions cannot rely on one </w:t>
      </w:r>
      <w:r w:rsidR="00977A1D">
        <w:rPr>
          <w:noProof/>
          <w:color w:val="0E101A"/>
          <w:lang w:val="en-US"/>
        </w:rPr>
        <w:t xml:space="preserve">single </w:t>
      </w:r>
      <w:r w:rsidR="009863D5" w:rsidRPr="00FC798F">
        <w:rPr>
          <w:noProof/>
          <w:color w:val="0E101A"/>
          <w:lang w:val="en-US"/>
        </w:rPr>
        <w:t xml:space="preserve">meaning of </w:t>
      </w:r>
      <w:r w:rsidR="008F2158">
        <w:rPr>
          <w:noProof/>
          <w:color w:val="0E101A"/>
          <w:lang w:val="en-US"/>
        </w:rPr>
        <w:t>“</w:t>
      </w:r>
      <w:r w:rsidR="009863D5" w:rsidRPr="00FC798F">
        <w:rPr>
          <w:noProof/>
          <w:color w:val="0E101A"/>
          <w:lang w:val="en-US"/>
        </w:rPr>
        <w:t>concession</w:t>
      </w:r>
      <w:r w:rsidR="008F2158">
        <w:rPr>
          <w:noProof/>
          <w:color w:val="0E101A"/>
          <w:lang w:val="en-US"/>
        </w:rPr>
        <w:t>”</w:t>
      </w:r>
      <w:r w:rsidR="009863D5" w:rsidRPr="00FC798F">
        <w:rPr>
          <w:noProof/>
          <w:color w:val="0E101A"/>
          <w:lang w:val="en-US"/>
        </w:rPr>
        <w:t>. It may also lead to time-consuming misunderstanding</w:t>
      </w:r>
      <w:r w:rsidR="0002705A" w:rsidRPr="00FC798F">
        <w:rPr>
          <w:noProof/>
          <w:color w:val="0E101A"/>
          <w:lang w:val="en-US"/>
        </w:rPr>
        <w:t>s</w:t>
      </w:r>
      <w:r w:rsidR="009863D5" w:rsidRPr="00FC798F">
        <w:rPr>
          <w:noProof/>
          <w:color w:val="0E101A"/>
          <w:lang w:val="en-US"/>
        </w:rPr>
        <w:t xml:space="preserve"> on the side of both</w:t>
      </w:r>
      <w:r w:rsidR="00D6134D" w:rsidRPr="00FC798F">
        <w:rPr>
          <w:noProof/>
          <w:color w:val="0E101A"/>
          <w:lang w:val="en-US"/>
        </w:rPr>
        <w:t xml:space="preserve"> contracting authorities</w:t>
      </w:r>
      <w:r w:rsidR="009863D5" w:rsidRPr="00FC798F">
        <w:rPr>
          <w:noProof/>
          <w:color w:val="0E101A"/>
          <w:lang w:val="en-US"/>
        </w:rPr>
        <w:t>/entities</w:t>
      </w:r>
      <w:r w:rsidR="00D6134D" w:rsidRPr="00FC798F">
        <w:rPr>
          <w:noProof/>
          <w:color w:val="0E101A"/>
          <w:lang w:val="en-US"/>
        </w:rPr>
        <w:t xml:space="preserve"> and economic operators</w:t>
      </w:r>
      <w:r w:rsidR="00877C08">
        <w:rPr>
          <w:noProof/>
          <w:color w:val="0E101A"/>
          <w:lang w:val="en-US"/>
        </w:rPr>
        <w:t>,</w:t>
      </w:r>
      <w:r w:rsidR="00D6134D" w:rsidRPr="00FC798F">
        <w:rPr>
          <w:noProof/>
          <w:color w:val="0E101A"/>
          <w:lang w:val="en-US"/>
        </w:rPr>
        <w:t xml:space="preserve"> </w:t>
      </w:r>
      <w:r w:rsidR="00877C08">
        <w:rPr>
          <w:noProof/>
          <w:color w:val="0E101A"/>
          <w:lang w:val="en-US"/>
        </w:rPr>
        <w:t xml:space="preserve">not only </w:t>
      </w:r>
      <w:r w:rsidR="002307C1">
        <w:rPr>
          <w:noProof/>
          <w:color w:val="0E101A"/>
          <w:lang w:val="en-US"/>
        </w:rPr>
        <w:t xml:space="preserve">about the </w:t>
      </w:r>
      <w:r w:rsidR="00877C08">
        <w:rPr>
          <w:noProof/>
          <w:color w:val="0E101A"/>
          <w:lang w:val="en-US"/>
        </w:rPr>
        <w:t>interpretation</w:t>
      </w:r>
      <w:r w:rsidR="00D6134D" w:rsidRPr="00FC798F">
        <w:rPr>
          <w:noProof/>
          <w:color w:val="0E101A"/>
          <w:lang w:val="en-US"/>
        </w:rPr>
        <w:t xml:space="preserve"> of the </w:t>
      </w:r>
      <w:r w:rsidR="009863D5" w:rsidRPr="00FC798F">
        <w:rPr>
          <w:noProof/>
          <w:color w:val="0E101A"/>
          <w:lang w:val="en-US"/>
        </w:rPr>
        <w:t>applicabl</w:t>
      </w:r>
      <w:r w:rsidR="002307C1">
        <w:rPr>
          <w:noProof/>
          <w:color w:val="0E101A"/>
          <w:lang w:val="en-US"/>
        </w:rPr>
        <w:t>e definition</w:t>
      </w:r>
      <w:r w:rsidR="00877C08">
        <w:rPr>
          <w:noProof/>
          <w:color w:val="0E101A"/>
          <w:lang w:val="en-US"/>
        </w:rPr>
        <w:t>,</w:t>
      </w:r>
      <w:r w:rsidR="002307C1">
        <w:rPr>
          <w:noProof/>
          <w:color w:val="0E101A"/>
          <w:lang w:val="en-US"/>
        </w:rPr>
        <w:t xml:space="preserve"> but also about which</w:t>
      </w:r>
      <w:r w:rsidR="009863D5" w:rsidRPr="00FC798F">
        <w:rPr>
          <w:noProof/>
          <w:color w:val="0E101A"/>
          <w:lang w:val="en-US"/>
        </w:rPr>
        <w:t xml:space="preserve"> legislation applies</w:t>
      </w:r>
      <w:r w:rsidR="00D6134D" w:rsidRPr="00FC798F">
        <w:rPr>
          <w:noProof/>
          <w:color w:val="0E101A"/>
          <w:lang w:val="en-US"/>
        </w:rPr>
        <w:t>.</w:t>
      </w:r>
    </w:p>
    <w:p w14:paraId="228921FC" w14:textId="56D9DB9E" w:rsidR="00A07C00" w:rsidRPr="00FC798F" w:rsidRDefault="009863D5" w:rsidP="009863D5">
      <w:pPr>
        <w:rPr>
          <w:noProof/>
        </w:rPr>
      </w:pPr>
      <w:r w:rsidRPr="00FC798F">
        <w:rPr>
          <w:b/>
          <w:noProof/>
        </w:rPr>
        <w:t>The definition of “operati</w:t>
      </w:r>
      <w:r w:rsidR="00B358F0">
        <w:rPr>
          <w:b/>
          <w:noProof/>
        </w:rPr>
        <w:t>ng</w:t>
      </w:r>
      <w:r w:rsidRPr="00FC798F">
        <w:rPr>
          <w:b/>
          <w:noProof/>
        </w:rPr>
        <w:t xml:space="preserve"> risk”</w:t>
      </w:r>
    </w:p>
    <w:p w14:paraId="779E531C" w14:textId="483F32DE" w:rsidR="00C71B98" w:rsidRPr="00FC798F" w:rsidRDefault="0AD45DF4" w:rsidP="000B1A52">
      <w:pPr>
        <w:rPr>
          <w:noProof/>
          <w:color w:val="000000"/>
          <w:shd w:val="clear" w:color="auto" w:fill="FFFFFF"/>
        </w:rPr>
      </w:pPr>
      <w:r>
        <w:rPr>
          <w:noProof/>
          <w:color w:val="000000"/>
          <w:shd w:val="clear" w:color="auto" w:fill="FFFFFF"/>
        </w:rPr>
        <w:t>The presence of an operating</w:t>
      </w:r>
      <w:r w:rsidR="00C20CA8">
        <w:rPr>
          <w:noProof/>
          <w:color w:val="000000"/>
          <w:shd w:val="clear" w:color="auto" w:fill="FFFFFF"/>
        </w:rPr>
        <w:t xml:space="preserve"> risk</w:t>
      </w:r>
      <w:r w:rsidR="00C20CA8">
        <w:rPr>
          <w:rStyle w:val="FootnoteReference"/>
          <w:noProof/>
          <w:color w:val="000000"/>
        </w:rPr>
        <w:footnoteReference w:id="15"/>
      </w:r>
      <w:r w:rsidR="659F4702" w:rsidRPr="00FC798F">
        <w:rPr>
          <w:noProof/>
          <w:color w:val="000000"/>
          <w:shd w:val="clear" w:color="auto" w:fill="FFFFFF"/>
        </w:rPr>
        <w:t xml:space="preserve"> </w:t>
      </w:r>
      <w:r w:rsidR="25E93063" w:rsidRPr="00FC798F">
        <w:rPr>
          <w:noProof/>
          <w:color w:val="000000"/>
          <w:shd w:val="clear" w:color="auto" w:fill="FFFFFF"/>
        </w:rPr>
        <w:t>is what differentiates</w:t>
      </w:r>
      <w:r w:rsidR="677C9BD9" w:rsidRPr="00FC798F">
        <w:rPr>
          <w:noProof/>
          <w:color w:val="000000"/>
          <w:shd w:val="clear" w:color="auto" w:fill="FFFFFF"/>
        </w:rPr>
        <w:t xml:space="preserve"> concession contracts</w:t>
      </w:r>
      <w:r w:rsidR="6BCB2D97" w:rsidRPr="00FC798F">
        <w:rPr>
          <w:noProof/>
          <w:color w:val="000000"/>
          <w:shd w:val="clear" w:color="auto" w:fill="FFFFFF"/>
        </w:rPr>
        <w:t xml:space="preserve"> </w:t>
      </w:r>
      <w:r w:rsidR="25E93063" w:rsidRPr="00FC798F">
        <w:rPr>
          <w:noProof/>
          <w:color w:val="000000"/>
          <w:shd w:val="clear" w:color="auto" w:fill="FFFFFF"/>
        </w:rPr>
        <w:t>from</w:t>
      </w:r>
      <w:r w:rsidR="6BCB2D97" w:rsidRPr="00FC798F">
        <w:rPr>
          <w:noProof/>
          <w:color w:val="000000"/>
          <w:shd w:val="clear" w:color="auto" w:fill="FFFFFF"/>
        </w:rPr>
        <w:t xml:space="preserve"> other types</w:t>
      </w:r>
      <w:r w:rsidR="677C9BD9" w:rsidRPr="00FC798F">
        <w:rPr>
          <w:noProof/>
          <w:color w:val="000000"/>
          <w:shd w:val="clear" w:color="auto" w:fill="FFFFFF"/>
        </w:rPr>
        <w:t xml:space="preserve"> of public </w:t>
      </w:r>
      <w:r w:rsidR="2D175001" w:rsidRPr="00FC798F">
        <w:rPr>
          <w:noProof/>
          <w:color w:val="000000"/>
          <w:shd w:val="clear" w:color="auto" w:fill="FFFFFF"/>
        </w:rPr>
        <w:t>contracts</w:t>
      </w:r>
      <w:r w:rsidR="677C9BD9" w:rsidRPr="00FC798F">
        <w:rPr>
          <w:noProof/>
          <w:color w:val="000000"/>
          <w:shd w:val="clear" w:color="auto" w:fill="FFFFFF"/>
        </w:rPr>
        <w:t xml:space="preserve">. </w:t>
      </w:r>
      <w:r w:rsidR="6C2430C0" w:rsidRPr="00FC798F">
        <w:rPr>
          <w:noProof/>
        </w:rPr>
        <w:t>T</w:t>
      </w:r>
      <w:r w:rsidR="2E2AF25C" w:rsidRPr="00FC798F">
        <w:rPr>
          <w:noProof/>
          <w:color w:val="000000"/>
          <w:shd w:val="clear" w:color="auto" w:fill="FFFFFF"/>
        </w:rPr>
        <w:t>he</w:t>
      </w:r>
      <w:r w:rsidR="677C9BD9" w:rsidRPr="00FC798F">
        <w:rPr>
          <w:noProof/>
          <w:color w:val="000000"/>
          <w:shd w:val="clear" w:color="auto" w:fill="FFFFFF"/>
        </w:rPr>
        <w:t>refore,</w:t>
      </w:r>
      <w:r w:rsidR="2E2AF25C" w:rsidRPr="00FC798F">
        <w:rPr>
          <w:noProof/>
          <w:color w:val="000000"/>
          <w:shd w:val="clear" w:color="auto" w:fill="FFFFFF"/>
        </w:rPr>
        <w:t xml:space="preserve"> </w:t>
      </w:r>
      <w:r w:rsidR="677C9BD9" w:rsidRPr="00FC798F">
        <w:rPr>
          <w:noProof/>
          <w:color w:val="000000"/>
          <w:shd w:val="clear" w:color="auto" w:fill="FFFFFF"/>
        </w:rPr>
        <w:t xml:space="preserve">the </w:t>
      </w:r>
      <w:r w:rsidR="2E2AF25C" w:rsidRPr="00FC798F">
        <w:rPr>
          <w:noProof/>
          <w:color w:val="000000"/>
          <w:shd w:val="clear" w:color="auto" w:fill="FFFFFF"/>
        </w:rPr>
        <w:t>transposit</w:t>
      </w:r>
      <w:r w:rsidR="39943186" w:rsidRPr="00FC798F">
        <w:rPr>
          <w:noProof/>
          <w:color w:val="000000"/>
          <w:shd w:val="clear" w:color="auto" w:fill="FFFFFF"/>
        </w:rPr>
        <w:t>ion of this notion</w:t>
      </w:r>
      <w:r w:rsidR="564C692D" w:rsidRPr="00FC798F">
        <w:rPr>
          <w:noProof/>
          <w:color w:val="000000"/>
          <w:shd w:val="clear" w:color="auto" w:fill="FFFFFF"/>
        </w:rPr>
        <w:t xml:space="preserve"> is key</w:t>
      </w:r>
      <w:r w:rsidR="677C9BD9" w:rsidRPr="00FC798F">
        <w:rPr>
          <w:noProof/>
          <w:color w:val="000000"/>
          <w:shd w:val="clear" w:color="auto" w:fill="FFFFFF"/>
        </w:rPr>
        <w:t xml:space="preserve"> to ensure the </w:t>
      </w:r>
      <w:r w:rsidR="25E93063" w:rsidRPr="00FC798F">
        <w:rPr>
          <w:noProof/>
          <w:color w:val="000000"/>
          <w:shd w:val="clear" w:color="auto" w:fill="FFFFFF"/>
        </w:rPr>
        <w:t>correct</w:t>
      </w:r>
      <w:r w:rsidR="677C9BD9" w:rsidRPr="00FC798F">
        <w:rPr>
          <w:noProof/>
          <w:color w:val="000000"/>
          <w:shd w:val="clear" w:color="auto" w:fill="FFFFFF"/>
        </w:rPr>
        <w:t xml:space="preserve"> implementation</w:t>
      </w:r>
      <w:r w:rsidR="564C692D" w:rsidRPr="00FC798F">
        <w:rPr>
          <w:noProof/>
          <w:color w:val="000000"/>
          <w:shd w:val="clear" w:color="auto" w:fill="FFFFFF"/>
        </w:rPr>
        <w:t xml:space="preserve"> of the </w:t>
      </w:r>
      <w:r w:rsidR="005668FC">
        <w:rPr>
          <w:noProof/>
          <w:color w:val="000000"/>
          <w:shd w:val="clear" w:color="auto" w:fill="FFFFFF"/>
        </w:rPr>
        <w:t>Directive</w:t>
      </w:r>
      <w:r w:rsidR="564C692D" w:rsidRPr="00FC798F">
        <w:rPr>
          <w:noProof/>
          <w:color w:val="000000"/>
          <w:shd w:val="clear" w:color="auto" w:fill="FFFFFF"/>
        </w:rPr>
        <w:t xml:space="preserve">. </w:t>
      </w:r>
      <w:r w:rsidR="3839B3EF" w:rsidRPr="00FC798F">
        <w:rPr>
          <w:noProof/>
          <w:color w:val="000000"/>
          <w:shd w:val="clear" w:color="auto" w:fill="FFFFFF"/>
        </w:rPr>
        <w:t>Yet</w:t>
      </w:r>
      <w:r w:rsidR="008F2158">
        <w:rPr>
          <w:noProof/>
          <w:color w:val="000000"/>
          <w:shd w:val="clear" w:color="auto" w:fill="FFFFFF"/>
        </w:rPr>
        <w:t>,</w:t>
      </w:r>
      <w:r w:rsidR="3839B3EF" w:rsidRPr="00FC798F">
        <w:rPr>
          <w:noProof/>
          <w:color w:val="000000"/>
          <w:shd w:val="clear" w:color="auto" w:fill="FFFFFF"/>
        </w:rPr>
        <w:t xml:space="preserve"> only four </w:t>
      </w:r>
      <w:r w:rsidR="005668FC">
        <w:rPr>
          <w:noProof/>
          <w:color w:val="000000"/>
          <w:shd w:val="clear" w:color="auto" w:fill="FFFFFF"/>
        </w:rPr>
        <w:t>M</w:t>
      </w:r>
      <w:r w:rsidR="00D462E2">
        <w:rPr>
          <w:noProof/>
          <w:color w:val="000000"/>
          <w:shd w:val="clear" w:color="auto" w:fill="FFFFFF"/>
        </w:rPr>
        <w:t xml:space="preserve">ember </w:t>
      </w:r>
      <w:r w:rsidR="005668FC">
        <w:rPr>
          <w:noProof/>
          <w:color w:val="000000"/>
          <w:shd w:val="clear" w:color="auto" w:fill="FFFFFF"/>
        </w:rPr>
        <w:t>S</w:t>
      </w:r>
      <w:r w:rsidR="00D462E2">
        <w:rPr>
          <w:noProof/>
          <w:color w:val="000000"/>
          <w:shd w:val="clear" w:color="auto" w:fill="FFFFFF"/>
        </w:rPr>
        <w:t>tates</w:t>
      </w:r>
      <w:r w:rsidR="3839B3EF" w:rsidRPr="00FC798F">
        <w:rPr>
          <w:noProof/>
          <w:color w:val="000000"/>
          <w:shd w:val="clear" w:color="auto" w:fill="FFFFFF"/>
        </w:rPr>
        <w:t xml:space="preserve"> have transposed the concept </w:t>
      </w:r>
      <w:r w:rsidR="502AAC85" w:rsidRPr="00FC798F">
        <w:rPr>
          <w:noProof/>
          <w:color w:val="000000"/>
          <w:shd w:val="clear" w:color="auto" w:fill="FFFFFF"/>
        </w:rPr>
        <w:t xml:space="preserve">exactly </w:t>
      </w:r>
      <w:r w:rsidR="3839B3EF" w:rsidRPr="00FC798F">
        <w:rPr>
          <w:noProof/>
          <w:color w:val="000000"/>
          <w:shd w:val="clear" w:color="auto" w:fill="FFFFFF"/>
        </w:rPr>
        <w:t xml:space="preserve">as set out in the </w:t>
      </w:r>
      <w:r w:rsidR="005668FC">
        <w:rPr>
          <w:noProof/>
          <w:color w:val="000000"/>
          <w:shd w:val="clear" w:color="auto" w:fill="FFFFFF"/>
        </w:rPr>
        <w:t>Directive</w:t>
      </w:r>
      <w:r w:rsidR="3839B3EF" w:rsidRPr="00FC798F">
        <w:rPr>
          <w:noProof/>
          <w:color w:val="000000"/>
          <w:shd w:val="clear" w:color="auto" w:fill="FFFFFF"/>
        </w:rPr>
        <w:t xml:space="preserve">. Over twenty </w:t>
      </w:r>
      <w:r w:rsidR="005668FC">
        <w:rPr>
          <w:noProof/>
          <w:color w:val="000000"/>
          <w:shd w:val="clear" w:color="auto" w:fill="FFFFFF"/>
        </w:rPr>
        <w:t>M</w:t>
      </w:r>
      <w:r w:rsidR="00C32A8E">
        <w:rPr>
          <w:noProof/>
          <w:color w:val="000000"/>
          <w:shd w:val="clear" w:color="auto" w:fill="FFFFFF"/>
        </w:rPr>
        <w:t xml:space="preserve">ember </w:t>
      </w:r>
      <w:r w:rsidR="005668FC">
        <w:rPr>
          <w:noProof/>
          <w:color w:val="000000"/>
          <w:shd w:val="clear" w:color="auto" w:fill="FFFFFF"/>
        </w:rPr>
        <w:t>S</w:t>
      </w:r>
      <w:r w:rsidR="00C32A8E">
        <w:rPr>
          <w:noProof/>
          <w:color w:val="000000"/>
          <w:shd w:val="clear" w:color="auto" w:fill="FFFFFF"/>
        </w:rPr>
        <w:t>tates</w:t>
      </w:r>
      <w:r w:rsidR="3839B3EF" w:rsidRPr="00FC798F">
        <w:rPr>
          <w:noProof/>
          <w:color w:val="000000"/>
          <w:shd w:val="clear" w:color="auto" w:fill="FFFFFF"/>
        </w:rPr>
        <w:t xml:space="preserve"> trans</w:t>
      </w:r>
      <w:r>
        <w:rPr>
          <w:noProof/>
          <w:color w:val="000000"/>
          <w:shd w:val="clear" w:color="auto" w:fill="FFFFFF"/>
        </w:rPr>
        <w:t xml:space="preserve">posed the concept </w:t>
      </w:r>
      <w:r w:rsidR="3839B3EF" w:rsidRPr="00FC798F">
        <w:rPr>
          <w:noProof/>
          <w:color w:val="000000"/>
          <w:shd w:val="clear" w:color="auto" w:fill="FFFFFF"/>
        </w:rPr>
        <w:t xml:space="preserve">through </w:t>
      </w:r>
      <w:r w:rsidR="00877C08">
        <w:rPr>
          <w:noProof/>
          <w:color w:val="000000"/>
          <w:shd w:val="clear" w:color="auto" w:fill="FFFFFF"/>
        </w:rPr>
        <w:t xml:space="preserve">a </w:t>
      </w:r>
      <w:r w:rsidR="3839B3EF" w:rsidRPr="00FC798F">
        <w:rPr>
          <w:noProof/>
          <w:color w:val="000000"/>
          <w:shd w:val="clear" w:color="auto" w:fill="FFFFFF"/>
        </w:rPr>
        <w:t xml:space="preserve">slightly different wording than the one provided in the Directive, and two </w:t>
      </w:r>
      <w:r w:rsidR="005668FC">
        <w:rPr>
          <w:noProof/>
          <w:color w:val="000000"/>
          <w:shd w:val="clear" w:color="auto" w:fill="FFFFFF"/>
        </w:rPr>
        <w:t>M</w:t>
      </w:r>
      <w:r w:rsidR="00C32A8E">
        <w:rPr>
          <w:noProof/>
          <w:color w:val="000000"/>
          <w:shd w:val="clear" w:color="auto" w:fill="FFFFFF"/>
        </w:rPr>
        <w:t xml:space="preserve">ember </w:t>
      </w:r>
      <w:r w:rsidR="005668FC">
        <w:rPr>
          <w:noProof/>
          <w:color w:val="000000"/>
          <w:shd w:val="clear" w:color="auto" w:fill="FFFFFF"/>
        </w:rPr>
        <w:t>S</w:t>
      </w:r>
      <w:r w:rsidR="00C32A8E">
        <w:rPr>
          <w:noProof/>
          <w:color w:val="000000"/>
          <w:shd w:val="clear" w:color="auto" w:fill="FFFFFF"/>
        </w:rPr>
        <w:t>tates</w:t>
      </w:r>
      <w:r>
        <w:rPr>
          <w:noProof/>
          <w:color w:val="000000"/>
          <w:shd w:val="clear" w:color="auto" w:fill="FFFFFF"/>
        </w:rPr>
        <w:t xml:space="preserve"> did not address the operating</w:t>
      </w:r>
      <w:r w:rsidR="3502AFB1" w:rsidRPr="00FC798F">
        <w:rPr>
          <w:noProof/>
          <w:color w:val="000000"/>
          <w:shd w:val="clear" w:color="auto" w:fill="FFFFFF"/>
        </w:rPr>
        <w:t xml:space="preserve"> risk </w:t>
      </w:r>
      <w:r w:rsidR="3839B3EF" w:rsidRPr="00FC798F">
        <w:rPr>
          <w:noProof/>
          <w:color w:val="000000"/>
          <w:shd w:val="clear" w:color="auto" w:fill="FFFFFF"/>
        </w:rPr>
        <w:t xml:space="preserve">at all </w:t>
      </w:r>
      <w:r w:rsidR="3502AFB1" w:rsidRPr="00FC798F">
        <w:rPr>
          <w:noProof/>
          <w:color w:val="000000"/>
          <w:shd w:val="clear" w:color="auto" w:fill="FFFFFF"/>
        </w:rPr>
        <w:t xml:space="preserve">in </w:t>
      </w:r>
      <w:r w:rsidR="00977A1D">
        <w:rPr>
          <w:noProof/>
          <w:color w:val="000000"/>
          <w:shd w:val="clear" w:color="auto" w:fill="FFFFFF"/>
        </w:rPr>
        <w:t xml:space="preserve">their </w:t>
      </w:r>
      <w:r w:rsidR="3839B3EF" w:rsidRPr="00FC798F">
        <w:rPr>
          <w:noProof/>
          <w:color w:val="000000"/>
          <w:shd w:val="clear" w:color="auto" w:fill="FFFFFF"/>
        </w:rPr>
        <w:t>national legislation.</w:t>
      </w:r>
      <w:r w:rsidR="3DC85BCB" w:rsidRPr="00FC798F">
        <w:rPr>
          <w:noProof/>
          <w:color w:val="000000"/>
          <w:shd w:val="clear" w:color="auto" w:fill="FFFFFF"/>
        </w:rPr>
        <w:t xml:space="preserve"> </w:t>
      </w:r>
      <w:r w:rsidR="3A46DF77" w:rsidRPr="00FC798F">
        <w:rPr>
          <w:noProof/>
          <w:color w:val="000000"/>
          <w:shd w:val="clear" w:color="auto" w:fill="FFFFFF"/>
        </w:rPr>
        <w:t xml:space="preserve">At this stage it is not possible to say </w:t>
      </w:r>
      <w:r w:rsidR="6E84C876" w:rsidRPr="00FC798F">
        <w:rPr>
          <w:noProof/>
          <w:color w:val="000000"/>
          <w:shd w:val="clear" w:color="auto" w:fill="FFFFFF"/>
        </w:rPr>
        <w:t>whether th</w:t>
      </w:r>
      <w:r w:rsidR="00EF6AD1">
        <w:rPr>
          <w:noProof/>
          <w:color w:val="000000"/>
          <w:shd w:val="clear" w:color="auto" w:fill="FFFFFF"/>
        </w:rPr>
        <w:t>o</w:t>
      </w:r>
      <w:r w:rsidR="3A46DF77" w:rsidRPr="00FC798F">
        <w:rPr>
          <w:noProof/>
          <w:color w:val="000000"/>
          <w:shd w:val="clear" w:color="auto" w:fill="FFFFFF"/>
        </w:rPr>
        <w:t>se</w:t>
      </w:r>
      <w:r w:rsidR="3DC85BCB" w:rsidRPr="00FC798F">
        <w:rPr>
          <w:noProof/>
          <w:color w:val="000000"/>
          <w:shd w:val="clear" w:color="auto" w:fill="FFFFFF"/>
        </w:rPr>
        <w:t xml:space="preserve"> </w:t>
      </w:r>
      <w:r w:rsidR="2D175001" w:rsidRPr="00FC798F">
        <w:rPr>
          <w:noProof/>
          <w:color w:val="000000"/>
          <w:shd w:val="clear" w:color="auto" w:fill="FFFFFF"/>
        </w:rPr>
        <w:t>discrepancies</w:t>
      </w:r>
      <w:r w:rsidR="6E84C876" w:rsidRPr="00FC798F">
        <w:rPr>
          <w:noProof/>
          <w:color w:val="000000"/>
          <w:shd w:val="clear" w:color="auto" w:fill="FFFFFF"/>
        </w:rPr>
        <w:t xml:space="preserve"> </w:t>
      </w:r>
      <w:r w:rsidR="00EF6AD1">
        <w:rPr>
          <w:noProof/>
          <w:color w:val="000000"/>
          <w:shd w:val="clear" w:color="auto" w:fill="FFFFFF"/>
        </w:rPr>
        <w:t>have practical economic impact</w:t>
      </w:r>
      <w:r w:rsidR="6E84C876" w:rsidRPr="00FC798F">
        <w:rPr>
          <w:noProof/>
          <w:color w:val="000000"/>
          <w:shd w:val="clear" w:color="auto" w:fill="FFFFFF"/>
        </w:rPr>
        <w:t>. Differen</w:t>
      </w:r>
      <w:r>
        <w:rPr>
          <w:noProof/>
          <w:color w:val="000000"/>
          <w:shd w:val="clear" w:color="auto" w:fill="FFFFFF"/>
        </w:rPr>
        <w:t>t interpretations of operating</w:t>
      </w:r>
      <w:r w:rsidR="6E84C876" w:rsidRPr="00FC798F">
        <w:rPr>
          <w:noProof/>
          <w:color w:val="000000"/>
          <w:shd w:val="clear" w:color="auto" w:fill="FFFFFF"/>
        </w:rPr>
        <w:t xml:space="preserve"> risk </w:t>
      </w:r>
      <w:r w:rsidR="3DC85BCB" w:rsidRPr="00FC798F">
        <w:rPr>
          <w:noProof/>
          <w:color w:val="000000"/>
          <w:shd w:val="clear" w:color="auto" w:fill="FFFFFF"/>
        </w:rPr>
        <w:t xml:space="preserve">could mean that public procurement for the same type of work or service provisions will be treated differently </w:t>
      </w:r>
      <w:r w:rsidR="00AA74D0">
        <w:rPr>
          <w:noProof/>
          <w:color w:val="000000"/>
          <w:shd w:val="clear" w:color="auto" w:fill="FFFFFF"/>
        </w:rPr>
        <w:t xml:space="preserve">across </w:t>
      </w:r>
      <w:r w:rsidR="005668FC">
        <w:rPr>
          <w:noProof/>
          <w:color w:val="000000"/>
          <w:shd w:val="clear" w:color="auto" w:fill="FFFFFF"/>
        </w:rPr>
        <w:t>M</w:t>
      </w:r>
      <w:r w:rsidR="00C32A8E">
        <w:rPr>
          <w:noProof/>
          <w:color w:val="000000"/>
          <w:shd w:val="clear" w:color="auto" w:fill="FFFFFF"/>
        </w:rPr>
        <w:t xml:space="preserve">ember </w:t>
      </w:r>
      <w:r w:rsidR="005668FC">
        <w:rPr>
          <w:noProof/>
          <w:color w:val="000000"/>
          <w:shd w:val="clear" w:color="auto" w:fill="FFFFFF"/>
        </w:rPr>
        <w:t>S</w:t>
      </w:r>
      <w:r w:rsidR="00C32A8E">
        <w:rPr>
          <w:noProof/>
          <w:color w:val="000000"/>
          <w:shd w:val="clear" w:color="auto" w:fill="FFFFFF"/>
        </w:rPr>
        <w:t>tates</w:t>
      </w:r>
      <w:r w:rsidR="00877C08">
        <w:rPr>
          <w:noProof/>
          <w:color w:val="000000"/>
          <w:shd w:val="clear" w:color="auto" w:fill="FFFFFF"/>
        </w:rPr>
        <w:t>,</w:t>
      </w:r>
      <w:r w:rsidR="3DC85BCB" w:rsidRPr="00FC798F">
        <w:rPr>
          <w:noProof/>
          <w:color w:val="000000"/>
          <w:shd w:val="clear" w:color="auto" w:fill="FFFFFF"/>
        </w:rPr>
        <w:t xml:space="preserve"> </w:t>
      </w:r>
      <w:r w:rsidR="00877C08">
        <w:rPr>
          <w:noProof/>
          <w:color w:val="000000"/>
          <w:shd w:val="clear" w:color="auto" w:fill="FFFFFF"/>
        </w:rPr>
        <w:t xml:space="preserve">or </w:t>
      </w:r>
      <w:r w:rsidR="00AA74D0">
        <w:rPr>
          <w:noProof/>
          <w:color w:val="000000"/>
          <w:shd w:val="clear" w:color="auto" w:fill="FFFFFF"/>
        </w:rPr>
        <w:t xml:space="preserve">could </w:t>
      </w:r>
      <w:r w:rsidR="3DC85BCB" w:rsidRPr="00FC798F">
        <w:rPr>
          <w:noProof/>
          <w:color w:val="000000"/>
          <w:shd w:val="clear" w:color="auto" w:fill="FFFFFF"/>
        </w:rPr>
        <w:t>not even be subject to the</w:t>
      </w:r>
      <w:r w:rsidR="00EF6AD1">
        <w:rPr>
          <w:noProof/>
          <w:color w:val="000000"/>
          <w:shd w:val="clear" w:color="auto" w:fill="FFFFFF"/>
        </w:rPr>
        <w:t xml:space="preserve"> provisions transposing the</w:t>
      </w:r>
      <w:r w:rsidR="3DC85BCB" w:rsidRPr="00FC798F">
        <w:rPr>
          <w:noProof/>
          <w:color w:val="000000"/>
          <w:shd w:val="clear" w:color="auto" w:fill="FFFFFF"/>
        </w:rPr>
        <w:t xml:space="preserve"> </w:t>
      </w:r>
      <w:r w:rsidR="005668FC">
        <w:rPr>
          <w:noProof/>
          <w:color w:val="000000"/>
          <w:shd w:val="clear" w:color="auto" w:fill="FFFFFF"/>
        </w:rPr>
        <w:t>Directive</w:t>
      </w:r>
      <w:r w:rsidR="3DC85BCB" w:rsidRPr="00FC798F">
        <w:rPr>
          <w:noProof/>
          <w:color w:val="000000"/>
          <w:shd w:val="clear" w:color="auto" w:fill="FFFFFF"/>
        </w:rPr>
        <w:t>.</w:t>
      </w:r>
    </w:p>
    <w:p w14:paraId="3850806A" w14:textId="77777777" w:rsidR="00DC6585" w:rsidRPr="00FC798F" w:rsidRDefault="00DC6585" w:rsidP="00DC6585">
      <w:pPr>
        <w:rPr>
          <w:b/>
          <w:noProof/>
          <w:color w:val="000000"/>
          <w:shd w:val="clear" w:color="auto" w:fill="FFFFFF"/>
        </w:rPr>
      </w:pPr>
      <w:r w:rsidRPr="00FC798F">
        <w:rPr>
          <w:b/>
          <w:noProof/>
          <w:color w:val="000000"/>
          <w:shd w:val="clear" w:color="auto" w:fill="FFFFFF"/>
        </w:rPr>
        <w:t>Modifications of concession contracts</w:t>
      </w:r>
    </w:p>
    <w:p w14:paraId="035B2BF1" w14:textId="6D1AE95D" w:rsidR="00DC6585" w:rsidRPr="00AB006F" w:rsidRDefault="2D3D02AB" w:rsidP="3A62A1BE">
      <w:pPr>
        <w:rPr>
          <w:noProof/>
          <w:highlight w:val="yellow"/>
        </w:rPr>
      </w:pPr>
      <w:r>
        <w:rPr>
          <w:noProof/>
        </w:rPr>
        <w:t xml:space="preserve">The </w:t>
      </w:r>
      <w:r w:rsidR="005668FC">
        <w:rPr>
          <w:noProof/>
        </w:rPr>
        <w:t>Directive</w:t>
      </w:r>
      <w:r w:rsidR="1DAF484B">
        <w:rPr>
          <w:noProof/>
        </w:rPr>
        <w:t xml:space="preserve"> </w:t>
      </w:r>
      <w:r>
        <w:rPr>
          <w:noProof/>
        </w:rPr>
        <w:t xml:space="preserve">also </w:t>
      </w:r>
      <w:r w:rsidR="1DAF484B">
        <w:rPr>
          <w:noProof/>
        </w:rPr>
        <w:t xml:space="preserve">includes specific provisions on concession contract modification </w:t>
      </w:r>
      <w:r>
        <w:rPr>
          <w:noProof/>
        </w:rPr>
        <w:t xml:space="preserve">developed through case law </w:t>
      </w:r>
      <w:r w:rsidR="1DAF484B">
        <w:rPr>
          <w:noProof/>
        </w:rPr>
        <w:t xml:space="preserve">and provides practical solutions for dealing with unforeseen circumstances requiring a concession to be modified during its term. Contract modifications </w:t>
      </w:r>
      <w:r w:rsidR="00877C08">
        <w:rPr>
          <w:noProof/>
        </w:rPr>
        <w:t>need to be handled carefully</w:t>
      </w:r>
      <w:r w:rsidR="1DAF484B">
        <w:rPr>
          <w:noProof/>
        </w:rPr>
        <w:t>, in particular modification</w:t>
      </w:r>
      <w:r w:rsidR="36FF850A">
        <w:rPr>
          <w:noProof/>
        </w:rPr>
        <w:t>s without a new opening of</w:t>
      </w:r>
      <w:r w:rsidR="1DAF484B">
        <w:rPr>
          <w:noProof/>
        </w:rPr>
        <w:t xml:space="preserve"> competition</w:t>
      </w:r>
      <w:r w:rsidR="00877C08">
        <w:rPr>
          <w:noProof/>
        </w:rPr>
        <w:t xml:space="preserve">, to ensure </w:t>
      </w:r>
      <w:r w:rsidR="1DAF484B">
        <w:rPr>
          <w:noProof/>
        </w:rPr>
        <w:t>effective competition and transparency.</w:t>
      </w:r>
    </w:p>
    <w:p w14:paraId="412F0DB3" w14:textId="0376F906" w:rsidR="00043EAB" w:rsidRPr="00FC798F" w:rsidRDefault="1DAF484B" w:rsidP="00A81DAF">
      <w:pPr>
        <w:rPr>
          <w:noProof/>
        </w:rPr>
      </w:pPr>
      <w:r>
        <w:rPr>
          <w:noProof/>
        </w:rPr>
        <w:t xml:space="preserve">A </w:t>
      </w:r>
      <w:r w:rsidR="46DCAAF5">
        <w:rPr>
          <w:noProof/>
        </w:rPr>
        <w:t>few</w:t>
      </w:r>
      <w:r>
        <w:rPr>
          <w:noProof/>
        </w:rPr>
        <w:t xml:space="preserve"> </w:t>
      </w:r>
      <w:r w:rsidR="005668FC">
        <w:rPr>
          <w:noProof/>
        </w:rPr>
        <w:t>M</w:t>
      </w:r>
      <w:r w:rsidR="00C32A8E">
        <w:rPr>
          <w:noProof/>
        </w:rPr>
        <w:t xml:space="preserve">ember </w:t>
      </w:r>
      <w:r w:rsidR="005668FC">
        <w:rPr>
          <w:noProof/>
        </w:rPr>
        <w:t>S</w:t>
      </w:r>
      <w:r w:rsidR="00C32A8E">
        <w:rPr>
          <w:noProof/>
        </w:rPr>
        <w:t>tates</w:t>
      </w:r>
      <w:r>
        <w:rPr>
          <w:noProof/>
        </w:rPr>
        <w:t xml:space="preserve"> </w:t>
      </w:r>
      <w:r w:rsidR="451BF191">
        <w:rPr>
          <w:noProof/>
        </w:rPr>
        <w:t xml:space="preserve">have developed </w:t>
      </w:r>
      <w:r>
        <w:rPr>
          <w:noProof/>
        </w:rPr>
        <w:t>guidance on contract modifications</w:t>
      </w:r>
      <w:r w:rsidR="451BF191">
        <w:rPr>
          <w:noProof/>
        </w:rPr>
        <w:t>. E</w:t>
      </w:r>
      <w:r>
        <w:rPr>
          <w:noProof/>
        </w:rPr>
        <w:t xml:space="preserve">leven </w:t>
      </w:r>
      <w:r w:rsidR="005668FC">
        <w:rPr>
          <w:noProof/>
        </w:rPr>
        <w:t>M</w:t>
      </w:r>
      <w:r w:rsidR="00C32A8E">
        <w:rPr>
          <w:noProof/>
        </w:rPr>
        <w:t xml:space="preserve">ember </w:t>
      </w:r>
      <w:r w:rsidR="005668FC">
        <w:rPr>
          <w:noProof/>
        </w:rPr>
        <w:t>S</w:t>
      </w:r>
      <w:r w:rsidR="00C32A8E">
        <w:rPr>
          <w:noProof/>
        </w:rPr>
        <w:t>tates</w:t>
      </w:r>
      <w:r>
        <w:rPr>
          <w:noProof/>
        </w:rPr>
        <w:t xml:space="preserve"> have introduced an </w:t>
      </w:r>
      <w:r w:rsidR="3FDA1191">
        <w:rPr>
          <w:noProof/>
        </w:rPr>
        <w:t>explicit</w:t>
      </w:r>
      <w:r w:rsidR="00C20CA8">
        <w:rPr>
          <w:noProof/>
        </w:rPr>
        <w:t xml:space="preserve"> requirement in national</w:t>
      </w:r>
      <w:r>
        <w:rPr>
          <w:noProof/>
        </w:rPr>
        <w:t xml:space="preserve"> legislation that any modifications must be approved by a government authority other than the procuring authority responsible for the initial contract.</w:t>
      </w:r>
      <w:r w:rsidR="2D175001">
        <w:rPr>
          <w:noProof/>
        </w:rPr>
        <w:t xml:space="preserve"> </w:t>
      </w:r>
      <w:r w:rsidR="07D045CD">
        <w:rPr>
          <w:noProof/>
        </w:rPr>
        <w:t>However,</w:t>
      </w:r>
      <w:r w:rsidR="74F2D497">
        <w:rPr>
          <w:noProof/>
        </w:rPr>
        <w:t xml:space="preserve"> m</w:t>
      </w:r>
      <w:r w:rsidR="35F4B941">
        <w:rPr>
          <w:noProof/>
        </w:rPr>
        <w:t>odification of contracts during their term, including wrongful extension of contracts and amendments without a new call for competition are often reported as a source of wrong application</w:t>
      </w:r>
      <w:r w:rsidR="78076344">
        <w:rPr>
          <w:noProof/>
        </w:rPr>
        <w:t xml:space="preserve">. </w:t>
      </w:r>
    </w:p>
    <w:p w14:paraId="7720248B" w14:textId="77777777" w:rsidR="007C5A4F" w:rsidRPr="00FC798F" w:rsidRDefault="007C5A4F" w:rsidP="007C5A4F">
      <w:pPr>
        <w:rPr>
          <w:b/>
          <w:noProof/>
        </w:rPr>
      </w:pPr>
      <w:r w:rsidRPr="00FC798F">
        <w:rPr>
          <w:b/>
          <w:noProof/>
        </w:rPr>
        <w:t>Concessions and other public private partnerships</w:t>
      </w:r>
    </w:p>
    <w:p w14:paraId="2726F2E4" w14:textId="7C6108F4" w:rsidR="007C5A4F" w:rsidRPr="00FC798F" w:rsidRDefault="007C5A4F" w:rsidP="007C5A4F">
      <w:pPr>
        <w:rPr>
          <w:noProof/>
        </w:rPr>
      </w:pPr>
      <w:r w:rsidRPr="00FC798F">
        <w:rPr>
          <w:noProof/>
        </w:rPr>
        <w:t xml:space="preserve">The </w:t>
      </w:r>
      <w:r w:rsidR="005668FC">
        <w:rPr>
          <w:noProof/>
        </w:rPr>
        <w:t>Directive</w:t>
      </w:r>
      <w:r w:rsidRPr="00FC798F">
        <w:rPr>
          <w:noProof/>
        </w:rPr>
        <w:t xml:space="preserve"> clarifies the case</w:t>
      </w:r>
      <w:r w:rsidR="00D7509A">
        <w:rPr>
          <w:noProof/>
        </w:rPr>
        <w:t>s</w:t>
      </w:r>
      <w:r w:rsidRPr="00FC798F">
        <w:rPr>
          <w:noProof/>
        </w:rPr>
        <w:t xml:space="preserve"> in which a contract concluded between a contracting authority and an economic operator is not subject to the concession award rules. This </w:t>
      </w:r>
      <w:r w:rsidR="00D7509A">
        <w:rPr>
          <w:noProof/>
        </w:rPr>
        <w:t>is</w:t>
      </w:r>
      <w:r w:rsidRPr="00FC798F">
        <w:rPr>
          <w:noProof/>
        </w:rPr>
        <w:t xml:space="preserve"> guided by the principles set out in the case law of the European Court of Justice as there is no EU law defining and regulating the concept of public private partnership.</w:t>
      </w:r>
    </w:p>
    <w:p w14:paraId="1C40DB30" w14:textId="04F89E45" w:rsidR="007C5A4F" w:rsidRDefault="005668FC" w:rsidP="00A81DAF">
      <w:pPr>
        <w:rPr>
          <w:noProof/>
        </w:rPr>
      </w:pPr>
      <w:r>
        <w:rPr>
          <w:noProof/>
        </w:rPr>
        <w:t>M</w:t>
      </w:r>
      <w:r w:rsidR="00D462E2">
        <w:rPr>
          <w:noProof/>
        </w:rPr>
        <w:t xml:space="preserve">ember </w:t>
      </w:r>
      <w:r>
        <w:rPr>
          <w:noProof/>
        </w:rPr>
        <w:t>S</w:t>
      </w:r>
      <w:r w:rsidR="00D462E2">
        <w:rPr>
          <w:noProof/>
        </w:rPr>
        <w:t>tates</w:t>
      </w:r>
      <w:r w:rsidR="007C5A4F" w:rsidRPr="00FC798F">
        <w:rPr>
          <w:noProof/>
        </w:rPr>
        <w:t xml:space="preserve"> have taken different approaches </w:t>
      </w:r>
      <w:r w:rsidR="00D7509A">
        <w:rPr>
          <w:noProof/>
        </w:rPr>
        <w:t xml:space="preserve">to </w:t>
      </w:r>
      <w:r w:rsidR="007C5A4F" w:rsidRPr="00FC798F">
        <w:rPr>
          <w:noProof/>
        </w:rPr>
        <w:t xml:space="preserve">legislating </w:t>
      </w:r>
      <w:r w:rsidR="00D7509A">
        <w:rPr>
          <w:noProof/>
        </w:rPr>
        <w:t xml:space="preserve">about </w:t>
      </w:r>
      <w:r w:rsidR="007C5A4F" w:rsidRPr="00FC798F">
        <w:rPr>
          <w:noProof/>
        </w:rPr>
        <w:t xml:space="preserve">public private partnerships. Some national legal frameworks include rules that specify how public private partnerships relate to the rules on concessions, while in other </w:t>
      </w:r>
      <w:r>
        <w:rPr>
          <w:noProof/>
        </w:rPr>
        <w:t>M</w:t>
      </w:r>
      <w:r w:rsidR="00D462E2">
        <w:rPr>
          <w:noProof/>
        </w:rPr>
        <w:t xml:space="preserve">ember </w:t>
      </w:r>
      <w:r>
        <w:rPr>
          <w:noProof/>
        </w:rPr>
        <w:t>S</w:t>
      </w:r>
      <w:r w:rsidR="00D462E2">
        <w:rPr>
          <w:noProof/>
        </w:rPr>
        <w:t>tates</w:t>
      </w:r>
      <w:r w:rsidR="007C5A4F" w:rsidRPr="00FC798F">
        <w:rPr>
          <w:noProof/>
        </w:rPr>
        <w:t xml:space="preserve"> there are diverging definitions of the term public private partners at national level and/or less clarity as to how legislation on this topic refers to the definition of, and rules on, concessions.</w:t>
      </w:r>
    </w:p>
    <w:p w14:paraId="7F25896A" w14:textId="33F0F0C7" w:rsidR="006535E0" w:rsidRDefault="00AA331C" w:rsidP="00AA331C">
      <w:pPr>
        <w:pStyle w:val="ManualHeading2"/>
        <w:rPr>
          <w:noProof/>
        </w:rPr>
      </w:pPr>
      <w:r w:rsidRPr="00AA331C">
        <w:t>4.2.</w:t>
      </w:r>
      <w:r w:rsidRPr="00AA331C">
        <w:tab/>
      </w:r>
      <w:r w:rsidR="003A22EC">
        <w:rPr>
          <w:noProof/>
        </w:rPr>
        <w:t>Application and enforcement - s</w:t>
      </w:r>
      <w:r w:rsidR="003078CD">
        <w:rPr>
          <w:noProof/>
        </w:rPr>
        <w:t xml:space="preserve">ources of </w:t>
      </w:r>
      <w:r w:rsidR="00D850CD">
        <w:rPr>
          <w:noProof/>
        </w:rPr>
        <w:t>incorrect application</w:t>
      </w:r>
      <w:r w:rsidR="006535E0" w:rsidRPr="006535E0">
        <w:rPr>
          <w:noProof/>
        </w:rPr>
        <w:t xml:space="preserve"> </w:t>
      </w:r>
      <w:r w:rsidR="0018701F">
        <w:rPr>
          <w:noProof/>
        </w:rPr>
        <w:t>of the rules for the award of concession contracts</w:t>
      </w:r>
    </w:p>
    <w:p w14:paraId="3719C3C4" w14:textId="70B8C528" w:rsidR="006C6346" w:rsidRDefault="1E18EA96" w:rsidP="23FFF65E">
      <w:pPr>
        <w:rPr>
          <w:noProof/>
          <w:lang w:val="en-GB"/>
        </w:rPr>
      </w:pPr>
      <w:r w:rsidRPr="23FFF65E">
        <w:rPr>
          <w:noProof/>
          <w:lang w:val="en-GB"/>
        </w:rPr>
        <w:t xml:space="preserve">All </w:t>
      </w:r>
      <w:r w:rsidR="005668FC">
        <w:rPr>
          <w:noProof/>
          <w:lang w:val="en-GB"/>
        </w:rPr>
        <w:t>M</w:t>
      </w:r>
      <w:r w:rsidR="00FA31FF">
        <w:rPr>
          <w:noProof/>
          <w:lang w:val="en-GB"/>
        </w:rPr>
        <w:t xml:space="preserve">ember </w:t>
      </w:r>
      <w:r w:rsidR="005668FC">
        <w:rPr>
          <w:noProof/>
          <w:lang w:val="en-GB"/>
        </w:rPr>
        <w:t>S</w:t>
      </w:r>
      <w:r w:rsidR="00FA31FF">
        <w:rPr>
          <w:noProof/>
          <w:lang w:val="en-GB"/>
        </w:rPr>
        <w:t>tates</w:t>
      </w:r>
      <w:r w:rsidRPr="23FFF65E">
        <w:rPr>
          <w:noProof/>
          <w:lang w:val="en-GB"/>
        </w:rPr>
        <w:t xml:space="preserve"> </w:t>
      </w:r>
      <w:r w:rsidR="2D175001" w:rsidRPr="23FFF65E">
        <w:rPr>
          <w:noProof/>
          <w:lang w:val="en-GB"/>
        </w:rPr>
        <w:t>report</w:t>
      </w:r>
      <w:r w:rsidRPr="23FFF65E">
        <w:rPr>
          <w:noProof/>
          <w:lang w:val="en-GB"/>
        </w:rPr>
        <w:t xml:space="preserve"> significant and successful efforts to put in place monitoring authorities and structures to ensure correct an</w:t>
      </w:r>
      <w:r w:rsidR="00D7509A">
        <w:rPr>
          <w:noProof/>
          <w:lang w:val="en-GB"/>
        </w:rPr>
        <w:t>d</w:t>
      </w:r>
      <w:r w:rsidRPr="23FFF65E">
        <w:rPr>
          <w:noProof/>
          <w:lang w:val="en-GB"/>
        </w:rPr>
        <w:t xml:space="preserve"> efficient application of the rules for award of concessions.</w:t>
      </w:r>
      <w:r w:rsidR="327E7712" w:rsidRPr="23FFF65E">
        <w:rPr>
          <w:noProof/>
          <w:lang w:val="en-GB"/>
        </w:rPr>
        <w:t xml:space="preserve"> </w:t>
      </w:r>
      <w:r w:rsidR="190E67F2" w:rsidRPr="23FFF65E">
        <w:rPr>
          <w:noProof/>
          <w:lang w:val="en-GB"/>
        </w:rPr>
        <w:t xml:space="preserve">Most </w:t>
      </w:r>
      <w:r w:rsidR="005668FC">
        <w:rPr>
          <w:noProof/>
          <w:lang w:val="en-GB"/>
        </w:rPr>
        <w:t>M</w:t>
      </w:r>
      <w:r w:rsidR="00FA31FF">
        <w:rPr>
          <w:noProof/>
          <w:lang w:val="en-GB"/>
        </w:rPr>
        <w:t xml:space="preserve">ember </w:t>
      </w:r>
      <w:r w:rsidR="005668FC">
        <w:rPr>
          <w:noProof/>
          <w:lang w:val="en-GB"/>
        </w:rPr>
        <w:t>S</w:t>
      </w:r>
      <w:r w:rsidR="00FA31FF">
        <w:rPr>
          <w:noProof/>
          <w:lang w:val="en-GB"/>
        </w:rPr>
        <w:t>tates</w:t>
      </w:r>
      <w:r w:rsidR="190E67F2" w:rsidRPr="23FFF65E">
        <w:rPr>
          <w:noProof/>
          <w:lang w:val="en-GB"/>
        </w:rPr>
        <w:t xml:space="preserve"> have appointed </w:t>
      </w:r>
      <w:r w:rsidR="641CE715" w:rsidRPr="23FFF65E">
        <w:rPr>
          <w:noProof/>
          <w:lang w:val="en-GB"/>
        </w:rPr>
        <w:t>a single</w:t>
      </w:r>
      <w:r w:rsidR="190E67F2" w:rsidRPr="23FFF65E">
        <w:rPr>
          <w:noProof/>
          <w:lang w:val="en-GB"/>
        </w:rPr>
        <w:t xml:space="preserve"> Public Procurement Monitoring Authority</w:t>
      </w:r>
      <w:r w:rsidR="641CE715" w:rsidRPr="23FFF65E">
        <w:rPr>
          <w:noProof/>
          <w:lang w:val="en-GB"/>
        </w:rPr>
        <w:t xml:space="preserve">. The </w:t>
      </w:r>
      <w:r w:rsidR="3833BE1A" w:rsidRPr="23FFF65E">
        <w:rPr>
          <w:noProof/>
          <w:lang w:val="en-GB"/>
        </w:rPr>
        <w:t xml:space="preserve">reporting </w:t>
      </w:r>
      <w:r w:rsidR="00FA31FF">
        <w:rPr>
          <w:noProof/>
          <w:lang w:val="en-GB"/>
        </w:rPr>
        <w:t xml:space="preserve">by Member States </w:t>
      </w:r>
      <w:r w:rsidR="3833BE1A" w:rsidRPr="23FFF65E">
        <w:rPr>
          <w:noProof/>
          <w:lang w:val="en-GB"/>
        </w:rPr>
        <w:t>does not</w:t>
      </w:r>
      <w:r w:rsidR="190E67F2" w:rsidRPr="23FFF65E">
        <w:rPr>
          <w:noProof/>
          <w:lang w:val="en-GB"/>
        </w:rPr>
        <w:t xml:space="preserve"> </w:t>
      </w:r>
      <w:r w:rsidR="40F31F40" w:rsidRPr="23FFF65E">
        <w:rPr>
          <w:noProof/>
          <w:lang w:val="en-GB"/>
        </w:rPr>
        <w:t>distinguish</w:t>
      </w:r>
      <w:r w:rsidR="190E67F2" w:rsidRPr="23FFF65E">
        <w:rPr>
          <w:noProof/>
          <w:lang w:val="en-GB"/>
        </w:rPr>
        <w:t xml:space="preserve"> between concessions and other types of procurements.</w:t>
      </w:r>
      <w:r w:rsidR="18297490" w:rsidRPr="23FFF65E">
        <w:rPr>
          <w:noProof/>
          <w:lang w:val="en-GB"/>
        </w:rPr>
        <w:t xml:space="preserve"> </w:t>
      </w:r>
      <w:r w:rsidR="641CE715" w:rsidRPr="23FFF65E">
        <w:rPr>
          <w:noProof/>
          <w:lang w:val="en-GB"/>
        </w:rPr>
        <w:t>The</w:t>
      </w:r>
      <w:r w:rsidR="18297490" w:rsidRPr="23FFF65E">
        <w:rPr>
          <w:noProof/>
          <w:lang w:val="en-GB"/>
        </w:rPr>
        <w:t xml:space="preserve"> information on the </w:t>
      </w:r>
      <w:r w:rsidR="74FF441D" w:rsidRPr="23FFF65E">
        <w:rPr>
          <w:noProof/>
          <w:lang w:val="en-GB"/>
        </w:rPr>
        <w:t>causes</w:t>
      </w:r>
      <w:r w:rsidR="18297490" w:rsidRPr="23FFF65E">
        <w:rPr>
          <w:noProof/>
          <w:lang w:val="en-GB"/>
        </w:rPr>
        <w:t xml:space="preserve"> of incorrect application, structural or recurring problems is </w:t>
      </w:r>
      <w:r w:rsidR="641CE715" w:rsidRPr="23FFF65E">
        <w:rPr>
          <w:noProof/>
          <w:lang w:val="en-GB"/>
        </w:rPr>
        <w:t xml:space="preserve">therefore </w:t>
      </w:r>
      <w:r w:rsidR="18297490" w:rsidRPr="23FFF65E">
        <w:rPr>
          <w:noProof/>
          <w:lang w:val="en-GB"/>
        </w:rPr>
        <w:t xml:space="preserve">presented </w:t>
      </w:r>
      <w:r w:rsidR="00DB2319">
        <w:rPr>
          <w:noProof/>
          <w:lang w:val="en-GB"/>
        </w:rPr>
        <w:t>across the board</w:t>
      </w:r>
      <w:r w:rsidR="00DB2319" w:rsidRPr="23FFF65E">
        <w:rPr>
          <w:noProof/>
          <w:lang w:val="en-GB"/>
        </w:rPr>
        <w:t xml:space="preserve"> </w:t>
      </w:r>
      <w:r w:rsidR="18297490" w:rsidRPr="23FFF65E">
        <w:rPr>
          <w:noProof/>
          <w:lang w:val="en-GB"/>
        </w:rPr>
        <w:t>for al</w:t>
      </w:r>
      <w:r w:rsidR="190E67F2" w:rsidRPr="23FFF65E">
        <w:rPr>
          <w:noProof/>
          <w:lang w:val="en-GB"/>
        </w:rPr>
        <w:t>l types of</w:t>
      </w:r>
      <w:r w:rsidR="18297490" w:rsidRPr="23FFF65E">
        <w:rPr>
          <w:noProof/>
          <w:lang w:val="en-GB"/>
        </w:rPr>
        <w:t xml:space="preserve"> procurement.</w:t>
      </w:r>
      <w:r w:rsidR="17F0F896" w:rsidRPr="23FFF65E">
        <w:rPr>
          <w:noProof/>
          <w:lang w:val="en-GB"/>
        </w:rPr>
        <w:t xml:space="preserve"> </w:t>
      </w:r>
    </w:p>
    <w:p w14:paraId="3A99D363" w14:textId="23FB73A3" w:rsidR="000E0711" w:rsidRDefault="006C6346" w:rsidP="23FFF65E">
      <w:pPr>
        <w:rPr>
          <w:noProof/>
          <w:lang w:val="en-GB"/>
        </w:rPr>
      </w:pPr>
      <w:r>
        <w:rPr>
          <w:noProof/>
          <w:lang w:val="en-GB"/>
        </w:rPr>
        <w:t>T</w:t>
      </w:r>
      <w:r w:rsidR="23FFF65E" w:rsidRPr="23FFF65E">
        <w:rPr>
          <w:noProof/>
          <w:lang w:val="en-GB"/>
        </w:rPr>
        <w:t xml:space="preserve">he most frequent cause of </w:t>
      </w:r>
      <w:r w:rsidR="0075538C">
        <w:rPr>
          <w:noProof/>
          <w:lang w:val="en-GB"/>
        </w:rPr>
        <w:t>incorrect</w:t>
      </w:r>
      <w:r w:rsidR="23FFF65E" w:rsidRPr="23FFF65E">
        <w:rPr>
          <w:noProof/>
          <w:lang w:val="en-GB"/>
        </w:rPr>
        <w:t xml:space="preserve"> application or of legal uncertainty, as reported by </w:t>
      </w:r>
      <w:r w:rsidR="005668FC">
        <w:rPr>
          <w:noProof/>
          <w:lang w:val="en-GB"/>
        </w:rPr>
        <w:t>M</w:t>
      </w:r>
      <w:r w:rsidR="00D462E2">
        <w:rPr>
          <w:noProof/>
          <w:lang w:val="en-GB"/>
        </w:rPr>
        <w:t xml:space="preserve">ember </w:t>
      </w:r>
      <w:r w:rsidR="005668FC">
        <w:rPr>
          <w:noProof/>
          <w:lang w:val="en-GB"/>
        </w:rPr>
        <w:t>S</w:t>
      </w:r>
      <w:r w:rsidR="00D462E2">
        <w:rPr>
          <w:noProof/>
          <w:lang w:val="en-GB"/>
        </w:rPr>
        <w:t>tates</w:t>
      </w:r>
      <w:r w:rsidR="00D7509A">
        <w:rPr>
          <w:noProof/>
          <w:lang w:val="en-GB"/>
        </w:rPr>
        <w:t>,</w:t>
      </w:r>
      <w:r w:rsidR="001E4AD9">
        <w:rPr>
          <w:noProof/>
          <w:lang w:val="en-GB"/>
        </w:rPr>
        <w:t xml:space="preserve"> is the</w:t>
      </w:r>
      <w:r w:rsidR="23FFF65E" w:rsidRPr="23FFF65E">
        <w:rPr>
          <w:noProof/>
          <w:lang w:val="en-GB"/>
        </w:rPr>
        <w:t xml:space="preserve"> lack of procurement skills, modification of contracts during their term, calculation of the estimated value of the procurement and artificial splitting into lots. </w:t>
      </w:r>
    </w:p>
    <w:p w14:paraId="3E62F388" w14:textId="37D14BFD" w:rsidR="00951EAD" w:rsidRDefault="00FE66A7" w:rsidP="00323BF8">
      <w:pPr>
        <w:rPr>
          <w:noProof/>
          <w:lang w:val="en-GB"/>
        </w:rPr>
      </w:pPr>
      <w:r>
        <w:rPr>
          <w:noProof/>
          <w:lang w:val="en-GB"/>
        </w:rPr>
        <w:t xml:space="preserve">As regards </w:t>
      </w:r>
      <w:r w:rsidR="00D7509A">
        <w:rPr>
          <w:noProof/>
          <w:lang w:val="en-GB"/>
        </w:rPr>
        <w:t xml:space="preserve">the </w:t>
      </w:r>
      <w:r>
        <w:rPr>
          <w:noProof/>
          <w:lang w:val="en-GB"/>
        </w:rPr>
        <w:t xml:space="preserve">practical application of the rules, </w:t>
      </w:r>
      <w:r w:rsidR="005668FC">
        <w:rPr>
          <w:noProof/>
          <w:lang w:val="en-GB"/>
        </w:rPr>
        <w:t>M</w:t>
      </w:r>
      <w:r w:rsidR="006F569E">
        <w:rPr>
          <w:noProof/>
          <w:lang w:val="en-GB"/>
        </w:rPr>
        <w:t xml:space="preserve">ember </w:t>
      </w:r>
      <w:r w:rsidR="005668FC">
        <w:rPr>
          <w:noProof/>
          <w:lang w:val="en-GB"/>
        </w:rPr>
        <w:t>S</w:t>
      </w:r>
      <w:r w:rsidR="006F569E">
        <w:rPr>
          <w:noProof/>
          <w:lang w:val="en-GB"/>
        </w:rPr>
        <w:t>tates</w:t>
      </w:r>
      <w:r>
        <w:rPr>
          <w:noProof/>
          <w:lang w:val="en-GB"/>
        </w:rPr>
        <w:t xml:space="preserve"> report difficulties linked </w:t>
      </w:r>
      <w:r w:rsidR="00D7509A">
        <w:rPr>
          <w:noProof/>
          <w:lang w:val="en-GB"/>
        </w:rPr>
        <w:t>to</w:t>
      </w:r>
      <w:r w:rsidR="00004E49">
        <w:rPr>
          <w:noProof/>
          <w:lang w:val="en-GB"/>
        </w:rPr>
        <w:t xml:space="preserve"> the</w:t>
      </w:r>
      <w:r>
        <w:rPr>
          <w:noProof/>
          <w:lang w:val="en-GB"/>
        </w:rPr>
        <w:t xml:space="preserve"> interpretation and verification of exclusion grounds, formulation of </w:t>
      </w:r>
      <w:r w:rsidR="00520060">
        <w:rPr>
          <w:noProof/>
          <w:lang w:val="en-GB"/>
        </w:rPr>
        <w:t>meaningful</w:t>
      </w:r>
      <w:r>
        <w:rPr>
          <w:noProof/>
          <w:lang w:val="en-GB"/>
        </w:rPr>
        <w:t xml:space="preserve"> award criteria other </w:t>
      </w:r>
      <w:r w:rsidR="000B22F2">
        <w:rPr>
          <w:noProof/>
          <w:lang w:val="en-GB"/>
        </w:rPr>
        <w:t>than price only,</w:t>
      </w:r>
      <w:r>
        <w:rPr>
          <w:noProof/>
          <w:lang w:val="en-GB"/>
        </w:rPr>
        <w:t xml:space="preserve"> </w:t>
      </w:r>
      <w:r w:rsidR="00A84D92">
        <w:rPr>
          <w:noProof/>
          <w:lang w:val="en-GB"/>
        </w:rPr>
        <w:t xml:space="preserve">including </w:t>
      </w:r>
      <w:r w:rsidR="00520060">
        <w:rPr>
          <w:noProof/>
          <w:lang w:val="en-GB"/>
        </w:rPr>
        <w:t>criteria</w:t>
      </w:r>
      <w:r w:rsidR="00A84D92">
        <w:rPr>
          <w:noProof/>
          <w:lang w:val="en-GB"/>
        </w:rPr>
        <w:t xml:space="preserve"> linked to strategic objectives</w:t>
      </w:r>
      <w:r w:rsidR="00654E08">
        <w:rPr>
          <w:noProof/>
          <w:lang w:val="en-GB"/>
        </w:rPr>
        <w:t xml:space="preserve">, </w:t>
      </w:r>
      <w:r w:rsidR="00A84D92">
        <w:rPr>
          <w:noProof/>
          <w:lang w:val="en-GB"/>
        </w:rPr>
        <w:t xml:space="preserve">use of </w:t>
      </w:r>
      <w:r w:rsidR="00C64539">
        <w:rPr>
          <w:noProof/>
          <w:lang w:val="en-GB"/>
        </w:rPr>
        <w:t>n</w:t>
      </w:r>
      <w:r w:rsidR="00A84D92">
        <w:rPr>
          <w:noProof/>
          <w:lang w:val="en-GB"/>
        </w:rPr>
        <w:t xml:space="preserve">egotiated procedure without publication, classification of contracts as public contracts or concession, and transparency.  </w:t>
      </w:r>
    </w:p>
    <w:p w14:paraId="75256EFC" w14:textId="6263A531" w:rsidR="003278C4" w:rsidRDefault="005668FC" w:rsidP="00323BF8">
      <w:pPr>
        <w:rPr>
          <w:noProof/>
          <w:lang w:val="en-GB"/>
        </w:rPr>
      </w:pPr>
      <w:r>
        <w:rPr>
          <w:noProof/>
          <w:lang w:val="en-GB"/>
        </w:rPr>
        <w:t>M</w:t>
      </w:r>
      <w:r w:rsidR="006F569E">
        <w:rPr>
          <w:noProof/>
          <w:lang w:val="en-GB"/>
        </w:rPr>
        <w:t xml:space="preserve">ember </w:t>
      </w:r>
      <w:r>
        <w:rPr>
          <w:noProof/>
          <w:lang w:val="en-GB"/>
        </w:rPr>
        <w:t>S</w:t>
      </w:r>
      <w:r w:rsidR="006F569E">
        <w:rPr>
          <w:noProof/>
          <w:lang w:val="en-GB"/>
        </w:rPr>
        <w:t>tates</w:t>
      </w:r>
      <w:r w:rsidR="36FF850A" w:rsidRPr="23FFF65E">
        <w:rPr>
          <w:noProof/>
          <w:lang w:val="en-GB"/>
        </w:rPr>
        <w:t xml:space="preserve"> had</w:t>
      </w:r>
      <w:r w:rsidR="0CEF015A" w:rsidRPr="23FFF65E">
        <w:rPr>
          <w:noProof/>
          <w:lang w:val="en-GB"/>
        </w:rPr>
        <w:t xml:space="preserve"> </w:t>
      </w:r>
      <w:r w:rsidR="4547AB99" w:rsidRPr="23FFF65E">
        <w:rPr>
          <w:noProof/>
          <w:lang w:val="en-GB"/>
        </w:rPr>
        <w:t>put in place general anti-</w:t>
      </w:r>
      <w:r w:rsidR="2D175001" w:rsidRPr="23FFF65E">
        <w:rPr>
          <w:noProof/>
          <w:lang w:val="en-GB"/>
        </w:rPr>
        <w:t>corruption</w:t>
      </w:r>
      <w:r w:rsidR="4547AB99" w:rsidRPr="23FFF65E">
        <w:rPr>
          <w:noProof/>
          <w:lang w:val="en-GB"/>
        </w:rPr>
        <w:t xml:space="preserve"> legi</w:t>
      </w:r>
      <w:r w:rsidR="0CEF015A" w:rsidRPr="23FFF65E">
        <w:rPr>
          <w:noProof/>
          <w:lang w:val="en-GB"/>
        </w:rPr>
        <w:t>slation and inst</w:t>
      </w:r>
      <w:r w:rsidR="4547AB99" w:rsidRPr="23FFF65E">
        <w:rPr>
          <w:noProof/>
          <w:lang w:val="en-GB"/>
        </w:rPr>
        <w:t xml:space="preserve">itutions even before the adoption of the Directive. </w:t>
      </w:r>
      <w:r w:rsidR="0CEF015A" w:rsidRPr="23FFF65E">
        <w:rPr>
          <w:noProof/>
          <w:lang w:val="en-GB"/>
        </w:rPr>
        <w:t xml:space="preserve">In most </w:t>
      </w:r>
      <w:r>
        <w:rPr>
          <w:noProof/>
          <w:lang w:val="en-GB"/>
        </w:rPr>
        <w:t>M</w:t>
      </w:r>
      <w:r w:rsidR="006F569E">
        <w:rPr>
          <w:noProof/>
          <w:lang w:val="en-GB"/>
        </w:rPr>
        <w:t xml:space="preserve">ember </w:t>
      </w:r>
      <w:r>
        <w:rPr>
          <w:noProof/>
          <w:lang w:val="en-GB"/>
        </w:rPr>
        <w:t>S</w:t>
      </w:r>
      <w:r w:rsidR="006F569E">
        <w:rPr>
          <w:noProof/>
          <w:lang w:val="en-GB"/>
        </w:rPr>
        <w:t>tates</w:t>
      </w:r>
      <w:r w:rsidR="0CEF015A" w:rsidRPr="23FFF65E">
        <w:rPr>
          <w:noProof/>
          <w:lang w:val="en-GB"/>
        </w:rPr>
        <w:t>, the national</w:t>
      </w:r>
      <w:r w:rsidR="327E7712" w:rsidRPr="23FFF65E">
        <w:rPr>
          <w:noProof/>
          <w:lang w:val="en-GB"/>
        </w:rPr>
        <w:t xml:space="preserve"> </w:t>
      </w:r>
      <w:r w:rsidR="2D175001" w:rsidRPr="23FFF65E">
        <w:rPr>
          <w:noProof/>
          <w:lang w:val="en-GB"/>
        </w:rPr>
        <w:t>competition</w:t>
      </w:r>
      <w:r w:rsidR="0CEF015A" w:rsidRPr="23FFF65E">
        <w:rPr>
          <w:noProof/>
          <w:lang w:val="en-GB"/>
        </w:rPr>
        <w:t xml:space="preserve"> authorities</w:t>
      </w:r>
      <w:r w:rsidR="002328B7">
        <w:rPr>
          <w:noProof/>
          <w:lang w:val="en-GB"/>
        </w:rPr>
        <w:t>, prosecutors and other enforcement agencies</w:t>
      </w:r>
      <w:r w:rsidR="0CEF015A" w:rsidRPr="23FFF65E">
        <w:rPr>
          <w:noProof/>
          <w:lang w:val="en-GB"/>
        </w:rPr>
        <w:t xml:space="preserve"> are primarily </w:t>
      </w:r>
      <w:r w:rsidR="2D175001" w:rsidRPr="23FFF65E">
        <w:rPr>
          <w:noProof/>
          <w:lang w:val="en-GB"/>
        </w:rPr>
        <w:t>responsible</w:t>
      </w:r>
      <w:r w:rsidR="0CEF015A" w:rsidRPr="23FFF65E">
        <w:rPr>
          <w:noProof/>
          <w:lang w:val="en-GB"/>
        </w:rPr>
        <w:t xml:space="preserve"> for carrying out such policies. In addition to that, some </w:t>
      </w:r>
      <w:r>
        <w:rPr>
          <w:noProof/>
          <w:lang w:val="en-GB"/>
        </w:rPr>
        <w:t>M</w:t>
      </w:r>
      <w:r w:rsidR="006F569E">
        <w:rPr>
          <w:noProof/>
          <w:lang w:val="en-GB"/>
        </w:rPr>
        <w:t xml:space="preserve">ember </w:t>
      </w:r>
      <w:r>
        <w:rPr>
          <w:noProof/>
          <w:lang w:val="en-GB"/>
        </w:rPr>
        <w:t>S</w:t>
      </w:r>
      <w:r w:rsidR="006F569E">
        <w:rPr>
          <w:noProof/>
          <w:lang w:val="en-GB"/>
        </w:rPr>
        <w:t>tates</w:t>
      </w:r>
      <w:r w:rsidR="0CEF015A" w:rsidRPr="23FFF65E">
        <w:rPr>
          <w:noProof/>
          <w:lang w:val="en-GB"/>
        </w:rPr>
        <w:t xml:space="preserve"> have specific institutions </w:t>
      </w:r>
      <w:r w:rsidR="00DB2319" w:rsidRPr="23FFF65E">
        <w:rPr>
          <w:noProof/>
          <w:lang w:val="en-GB"/>
        </w:rPr>
        <w:t xml:space="preserve">dedicated </w:t>
      </w:r>
      <w:r w:rsidR="00DB2319">
        <w:rPr>
          <w:noProof/>
          <w:lang w:val="en-GB"/>
        </w:rPr>
        <w:t>to combatting</w:t>
      </w:r>
      <w:r w:rsidR="0CEF015A" w:rsidRPr="23FFF65E">
        <w:rPr>
          <w:noProof/>
          <w:lang w:val="en-GB"/>
        </w:rPr>
        <w:t xml:space="preserve"> fraud </w:t>
      </w:r>
      <w:r w:rsidR="00DB2319">
        <w:rPr>
          <w:noProof/>
          <w:lang w:val="en-GB"/>
        </w:rPr>
        <w:t xml:space="preserve">or </w:t>
      </w:r>
      <w:r w:rsidR="0CEF015A" w:rsidRPr="23FFF65E">
        <w:rPr>
          <w:noProof/>
          <w:lang w:val="en-GB"/>
        </w:rPr>
        <w:t xml:space="preserve">corruption. </w:t>
      </w:r>
    </w:p>
    <w:p w14:paraId="381FBDCC" w14:textId="1C259969" w:rsidR="003278C4" w:rsidRDefault="50D0C0C2" w:rsidP="00323BF8">
      <w:pPr>
        <w:rPr>
          <w:noProof/>
          <w:lang w:val="en-GB"/>
        </w:rPr>
      </w:pPr>
      <w:r>
        <w:rPr>
          <w:noProof/>
          <w:lang w:val="en-GB"/>
        </w:rPr>
        <w:t>In order to mitigate the risks of</w:t>
      </w:r>
      <w:r w:rsidR="12CCFAAF">
        <w:rPr>
          <w:noProof/>
          <w:lang w:val="en-GB"/>
        </w:rPr>
        <w:t xml:space="preserve"> conflict of interest, corruption, collusion and </w:t>
      </w:r>
      <w:r w:rsidR="72F42E58">
        <w:rPr>
          <w:noProof/>
          <w:lang w:val="en-GB"/>
        </w:rPr>
        <w:t>cartels</w:t>
      </w:r>
      <w:r>
        <w:rPr>
          <w:noProof/>
          <w:lang w:val="en-GB"/>
        </w:rPr>
        <w:t>, m</w:t>
      </w:r>
      <w:r w:rsidR="72F42E58">
        <w:rPr>
          <w:noProof/>
          <w:lang w:val="en-GB"/>
        </w:rPr>
        <w:t xml:space="preserve">ost of </w:t>
      </w:r>
      <w:r w:rsidR="005668FC">
        <w:rPr>
          <w:noProof/>
          <w:lang w:val="en-GB"/>
        </w:rPr>
        <w:t>M</w:t>
      </w:r>
      <w:r w:rsidR="006F569E">
        <w:rPr>
          <w:noProof/>
          <w:lang w:val="en-GB"/>
        </w:rPr>
        <w:t xml:space="preserve">ember </w:t>
      </w:r>
      <w:r w:rsidR="005668FC">
        <w:rPr>
          <w:noProof/>
          <w:lang w:val="en-GB"/>
        </w:rPr>
        <w:t>S</w:t>
      </w:r>
      <w:r w:rsidR="006F569E">
        <w:rPr>
          <w:noProof/>
          <w:lang w:val="en-GB"/>
        </w:rPr>
        <w:t>tates</w:t>
      </w:r>
      <w:r w:rsidR="72F42E58">
        <w:rPr>
          <w:noProof/>
          <w:lang w:val="en-GB"/>
        </w:rPr>
        <w:t xml:space="preserve"> </w:t>
      </w:r>
      <w:r>
        <w:rPr>
          <w:noProof/>
          <w:lang w:val="en-GB"/>
        </w:rPr>
        <w:t xml:space="preserve">have </w:t>
      </w:r>
      <w:r w:rsidR="72F42E58">
        <w:rPr>
          <w:noProof/>
          <w:lang w:val="en-GB"/>
        </w:rPr>
        <w:t>adopted soft law measures such as national anti-</w:t>
      </w:r>
      <w:r w:rsidR="2D175001">
        <w:rPr>
          <w:noProof/>
          <w:lang w:val="en-GB"/>
        </w:rPr>
        <w:t>corruption</w:t>
      </w:r>
      <w:r w:rsidR="72F42E58">
        <w:rPr>
          <w:noProof/>
          <w:lang w:val="en-GB"/>
        </w:rPr>
        <w:t xml:space="preserve"> strategies, guidance (e.g. to detect collusive behaviour</w:t>
      </w:r>
      <w:r w:rsidR="73545953">
        <w:rPr>
          <w:noProof/>
          <w:lang w:val="en-GB"/>
        </w:rPr>
        <w:t>,</w:t>
      </w:r>
      <w:r w:rsidR="73545953" w:rsidRPr="00073989">
        <w:rPr>
          <w:noProof/>
          <w:lang w:val="en-IE"/>
        </w:rPr>
        <w:t xml:space="preserve"> </w:t>
      </w:r>
      <w:r w:rsidR="73545953">
        <w:rPr>
          <w:noProof/>
          <w:lang w:val="en-IE"/>
        </w:rPr>
        <w:t>awareness-raising and training</w:t>
      </w:r>
      <w:r w:rsidR="73545953" w:rsidRPr="003278C4">
        <w:rPr>
          <w:noProof/>
          <w:lang w:val="en-IE"/>
        </w:rPr>
        <w:t>, leniency programmes for operators tha</w:t>
      </w:r>
      <w:r w:rsidR="73545953">
        <w:rPr>
          <w:noProof/>
          <w:lang w:val="en-IE"/>
        </w:rPr>
        <w:t>t come forward with information</w:t>
      </w:r>
      <w:r w:rsidR="73545953" w:rsidRPr="003278C4">
        <w:rPr>
          <w:noProof/>
          <w:lang w:val="en-IE"/>
        </w:rPr>
        <w:t xml:space="preserve"> </w:t>
      </w:r>
      <w:r w:rsidR="73545953">
        <w:rPr>
          <w:noProof/>
          <w:lang w:val="en-IE"/>
        </w:rPr>
        <w:t>and prevention activities</w:t>
      </w:r>
      <w:r w:rsidR="72F42E58">
        <w:rPr>
          <w:noProof/>
          <w:lang w:val="en-GB"/>
        </w:rPr>
        <w:t>), code</w:t>
      </w:r>
      <w:r w:rsidR="00DB2319">
        <w:rPr>
          <w:noProof/>
          <w:lang w:val="en-GB"/>
        </w:rPr>
        <w:t>s</w:t>
      </w:r>
      <w:r w:rsidR="72F42E58">
        <w:rPr>
          <w:noProof/>
          <w:lang w:val="en-GB"/>
        </w:rPr>
        <w:t xml:space="preserve"> of conduct </w:t>
      </w:r>
      <w:r w:rsidR="36FF850A">
        <w:rPr>
          <w:noProof/>
          <w:lang w:val="en-GB"/>
        </w:rPr>
        <w:t xml:space="preserve">for civil servants and </w:t>
      </w:r>
      <w:r w:rsidR="72F42E58">
        <w:rPr>
          <w:noProof/>
          <w:lang w:val="en-GB"/>
        </w:rPr>
        <w:t>professionali</w:t>
      </w:r>
      <w:r w:rsidR="00DB2319">
        <w:rPr>
          <w:noProof/>
          <w:lang w:val="en-GB"/>
        </w:rPr>
        <w:t>s</w:t>
      </w:r>
      <w:r w:rsidR="72F42E58">
        <w:rPr>
          <w:noProof/>
          <w:lang w:val="en-GB"/>
        </w:rPr>
        <w:t>ation. Further</w:t>
      </w:r>
      <w:r w:rsidR="00DB2319">
        <w:rPr>
          <w:noProof/>
          <w:lang w:val="en-GB"/>
        </w:rPr>
        <w:t>more</w:t>
      </w:r>
      <w:r w:rsidR="72F42E58">
        <w:rPr>
          <w:noProof/>
          <w:lang w:val="en-GB"/>
        </w:rPr>
        <w:t xml:space="preserve">, most </w:t>
      </w:r>
      <w:r w:rsidR="005668FC">
        <w:rPr>
          <w:noProof/>
          <w:lang w:val="en-GB"/>
        </w:rPr>
        <w:t>M</w:t>
      </w:r>
      <w:r w:rsidR="006F569E">
        <w:rPr>
          <w:noProof/>
          <w:lang w:val="en-GB"/>
        </w:rPr>
        <w:t xml:space="preserve">ember </w:t>
      </w:r>
      <w:r w:rsidR="005668FC">
        <w:rPr>
          <w:noProof/>
          <w:lang w:val="en-GB"/>
        </w:rPr>
        <w:t>S</w:t>
      </w:r>
      <w:r w:rsidR="006F569E">
        <w:rPr>
          <w:noProof/>
          <w:lang w:val="en-GB"/>
        </w:rPr>
        <w:t>tates</w:t>
      </w:r>
      <w:r w:rsidR="72F42E58">
        <w:rPr>
          <w:noProof/>
          <w:lang w:val="en-GB"/>
        </w:rPr>
        <w:t xml:space="preserve"> </w:t>
      </w:r>
      <w:r>
        <w:rPr>
          <w:noProof/>
          <w:lang w:val="en-GB"/>
        </w:rPr>
        <w:t>have adopted measures going beyond the requirements of the Directive, by introducing for instance broader</w:t>
      </w:r>
      <w:r w:rsidR="72F42E58">
        <w:rPr>
          <w:noProof/>
          <w:lang w:val="en-GB"/>
        </w:rPr>
        <w:t xml:space="preserve"> defi</w:t>
      </w:r>
      <w:r w:rsidR="73545953">
        <w:rPr>
          <w:noProof/>
          <w:lang w:val="en-GB"/>
        </w:rPr>
        <w:t>nitions of conflict of interest</w:t>
      </w:r>
      <w:r w:rsidR="72F42E58">
        <w:rPr>
          <w:noProof/>
          <w:lang w:val="en-GB"/>
        </w:rPr>
        <w:t xml:space="preserve">, penalties or even </w:t>
      </w:r>
      <w:r w:rsidR="2D175001">
        <w:rPr>
          <w:noProof/>
          <w:lang w:val="en-GB"/>
        </w:rPr>
        <w:t>annulment</w:t>
      </w:r>
      <w:r w:rsidR="72F42E58">
        <w:rPr>
          <w:noProof/>
          <w:lang w:val="en-GB"/>
        </w:rPr>
        <w:t xml:space="preserve"> of contracts </w:t>
      </w:r>
      <w:r w:rsidR="006C6346" w:rsidRPr="006C6346">
        <w:rPr>
          <w:noProof/>
          <w:lang w:val="en-GB"/>
        </w:rPr>
        <w:t xml:space="preserve">in </w:t>
      </w:r>
      <w:r w:rsidR="0CEF015A" w:rsidRPr="006C6346">
        <w:rPr>
          <w:noProof/>
          <w:lang w:val="en-IE"/>
        </w:rPr>
        <w:t>line with the OECD guidelines</w:t>
      </w:r>
      <w:r w:rsidR="00694D1B">
        <w:rPr>
          <w:rStyle w:val="FootnoteReference"/>
          <w:noProof/>
          <w:lang w:val="en-IE"/>
        </w:rPr>
        <w:footnoteReference w:id="16"/>
      </w:r>
      <w:r w:rsidR="0CEF015A" w:rsidRPr="006C6346">
        <w:rPr>
          <w:noProof/>
          <w:lang w:val="en-IE"/>
        </w:rPr>
        <w:t>.</w:t>
      </w:r>
    </w:p>
    <w:p w14:paraId="0891DE9C" w14:textId="632517D1" w:rsidR="00D7509A" w:rsidRPr="00A45117" w:rsidRDefault="00D7509A" w:rsidP="00AB006F">
      <w:pPr>
        <w:pBdr>
          <w:top w:val="single" w:sz="4" w:space="1" w:color="auto"/>
          <w:left w:val="single" w:sz="4" w:space="4" w:color="auto"/>
          <w:bottom w:val="single" w:sz="4" w:space="1" w:color="auto"/>
          <w:right w:val="single" w:sz="4" w:space="4" w:color="auto"/>
        </w:pBdr>
        <w:rPr>
          <w:b/>
          <w:bCs/>
          <w:i/>
          <w:noProof/>
        </w:rPr>
      </w:pPr>
      <w:r w:rsidRPr="00A45117">
        <w:rPr>
          <w:b/>
          <w:bCs/>
          <w:i/>
          <w:noProof/>
        </w:rPr>
        <w:t>Box 1</w:t>
      </w:r>
      <w:r>
        <w:rPr>
          <w:b/>
          <w:bCs/>
          <w:i/>
          <w:noProof/>
        </w:rPr>
        <w:t>: Guidance on addressing collusion in public procurement and concessions</w:t>
      </w:r>
    </w:p>
    <w:p w14:paraId="6BCE1294" w14:textId="77777777" w:rsidR="00D7509A" w:rsidRDefault="00976E77" w:rsidP="00AB006F">
      <w:pPr>
        <w:pBdr>
          <w:top w:val="single" w:sz="4" w:space="1" w:color="auto"/>
          <w:left w:val="single" w:sz="4" w:space="4" w:color="auto"/>
          <w:bottom w:val="single" w:sz="4" w:space="1" w:color="auto"/>
          <w:right w:val="single" w:sz="4" w:space="4" w:color="auto"/>
        </w:pBdr>
        <w:rPr>
          <w:i/>
          <w:noProof/>
        </w:rPr>
      </w:pPr>
      <w:r w:rsidRPr="00AB006F">
        <w:rPr>
          <w:i/>
          <w:noProof/>
        </w:rPr>
        <w:t>The Commission has recently published new guidance</w:t>
      </w:r>
      <w:r w:rsidR="006C6346">
        <w:rPr>
          <w:rStyle w:val="FootnoteReference"/>
          <w:i/>
          <w:noProof/>
        </w:rPr>
        <w:footnoteReference w:id="17"/>
      </w:r>
      <w:r w:rsidRPr="00AB006F">
        <w:rPr>
          <w:i/>
          <w:noProof/>
        </w:rPr>
        <w:t xml:space="preserve"> for European contracting authorities and entities on how to address suspected cases of collusion in public procurement and concessions. </w:t>
      </w:r>
    </w:p>
    <w:p w14:paraId="093E12D1" w14:textId="10308ED1" w:rsidR="00976E77" w:rsidRPr="00AB006F" w:rsidRDefault="00976E77" w:rsidP="00AB006F">
      <w:pPr>
        <w:pBdr>
          <w:top w:val="single" w:sz="4" w:space="1" w:color="auto"/>
          <w:left w:val="single" w:sz="4" w:space="4" w:color="auto"/>
          <w:bottom w:val="single" w:sz="4" w:space="1" w:color="auto"/>
          <w:right w:val="single" w:sz="4" w:space="4" w:color="auto"/>
        </w:pBdr>
        <w:rPr>
          <w:i/>
          <w:noProof/>
        </w:rPr>
      </w:pPr>
      <w:r w:rsidRPr="00AB006F">
        <w:rPr>
          <w:i/>
          <w:noProof/>
        </w:rPr>
        <w:t>The guidance lists the tools aiming, on one hand, to support M</w:t>
      </w:r>
      <w:r w:rsidR="00E005CB">
        <w:rPr>
          <w:i/>
          <w:noProof/>
        </w:rPr>
        <w:t xml:space="preserve">ember </w:t>
      </w:r>
      <w:r w:rsidRPr="00AB006F">
        <w:rPr>
          <w:i/>
          <w:noProof/>
        </w:rPr>
        <w:t>S</w:t>
      </w:r>
      <w:r w:rsidR="00E005CB">
        <w:rPr>
          <w:i/>
          <w:noProof/>
        </w:rPr>
        <w:t>tates</w:t>
      </w:r>
      <w:r w:rsidRPr="00AB006F">
        <w:rPr>
          <w:i/>
          <w:noProof/>
        </w:rPr>
        <w:t xml:space="preserve"> and contracting authorities in building capacity to address cases of collusion and, on the other hand, to foster cooperation between national central procurement and competition authorities to ensure support to contracting authorities. The guidance also includes user-friendly tips for contracting authorities on how to apply the collusion-related exclusion ground provided for in the public procurement Directives.</w:t>
      </w:r>
    </w:p>
    <w:p w14:paraId="6BFD5A97" w14:textId="7DB21588" w:rsidR="003E48E5" w:rsidRPr="00FC798F" w:rsidRDefault="00AA331C" w:rsidP="00AA331C">
      <w:pPr>
        <w:pStyle w:val="ManualHeading2"/>
        <w:rPr>
          <w:noProof/>
        </w:rPr>
      </w:pPr>
      <w:r w:rsidRPr="00AA331C">
        <w:t>4.3.</w:t>
      </w:r>
      <w:r w:rsidRPr="00AA331C">
        <w:tab/>
      </w:r>
      <w:r w:rsidR="00C9157F" w:rsidRPr="00FC798F">
        <w:rPr>
          <w:noProof/>
        </w:rPr>
        <w:t>Findings related to b</w:t>
      </w:r>
      <w:r w:rsidR="009861A9" w:rsidRPr="00FC798F">
        <w:rPr>
          <w:noProof/>
        </w:rPr>
        <w:t xml:space="preserve">etter </w:t>
      </w:r>
      <w:r w:rsidR="00520060" w:rsidRPr="00FC798F">
        <w:rPr>
          <w:noProof/>
        </w:rPr>
        <w:t>access</w:t>
      </w:r>
      <w:r w:rsidR="009861A9" w:rsidRPr="00FC798F">
        <w:rPr>
          <w:noProof/>
        </w:rPr>
        <w:t xml:space="preserve"> to the </w:t>
      </w:r>
      <w:r w:rsidR="00401D6D" w:rsidRPr="00FC798F">
        <w:rPr>
          <w:noProof/>
        </w:rPr>
        <w:t>concession</w:t>
      </w:r>
      <w:r w:rsidR="00653FC0" w:rsidRPr="00FC798F">
        <w:rPr>
          <w:noProof/>
        </w:rPr>
        <w:t xml:space="preserve"> market</w:t>
      </w:r>
    </w:p>
    <w:p w14:paraId="71893130" w14:textId="0FC39634" w:rsidR="00EC3CFA" w:rsidRPr="00FC798F" w:rsidRDefault="00401D6D" w:rsidP="00EC3CFA">
      <w:pPr>
        <w:rPr>
          <w:noProof/>
        </w:rPr>
      </w:pPr>
      <w:r w:rsidRPr="00FC798F">
        <w:rPr>
          <w:noProof/>
        </w:rPr>
        <w:t xml:space="preserve">The following factors </w:t>
      </w:r>
      <w:r w:rsidR="00EC4893" w:rsidRPr="00FC798F">
        <w:rPr>
          <w:noProof/>
        </w:rPr>
        <w:t>have been considered when a</w:t>
      </w:r>
      <w:r w:rsidRPr="00FC798F">
        <w:rPr>
          <w:noProof/>
        </w:rPr>
        <w:t>ssess</w:t>
      </w:r>
      <w:r w:rsidR="00EC4893" w:rsidRPr="00FC798F">
        <w:rPr>
          <w:noProof/>
        </w:rPr>
        <w:t xml:space="preserve">ing whether </w:t>
      </w:r>
      <w:r w:rsidR="00E005CB">
        <w:rPr>
          <w:noProof/>
        </w:rPr>
        <w:t xml:space="preserve">the Directive improved access to </w:t>
      </w:r>
      <w:r w:rsidRPr="00FC798F">
        <w:rPr>
          <w:noProof/>
        </w:rPr>
        <w:t xml:space="preserve">the concession market: </w:t>
      </w:r>
      <w:r w:rsidR="00EC4893" w:rsidRPr="00FC798F">
        <w:rPr>
          <w:noProof/>
        </w:rPr>
        <w:t xml:space="preserve">(i) </w:t>
      </w:r>
      <w:r w:rsidRPr="00FC798F">
        <w:rPr>
          <w:noProof/>
        </w:rPr>
        <w:t>transparency</w:t>
      </w:r>
      <w:r w:rsidR="005C61E9" w:rsidRPr="00FC798F">
        <w:rPr>
          <w:noProof/>
        </w:rPr>
        <w:t xml:space="preserve"> through publication</w:t>
      </w:r>
      <w:r w:rsidR="00EC4893" w:rsidRPr="00FC798F">
        <w:rPr>
          <w:noProof/>
        </w:rPr>
        <w:t>;</w:t>
      </w:r>
      <w:r w:rsidRPr="00FC798F">
        <w:rPr>
          <w:noProof/>
        </w:rPr>
        <w:t xml:space="preserve"> (</w:t>
      </w:r>
      <w:r w:rsidR="005C61E9" w:rsidRPr="00FC798F">
        <w:rPr>
          <w:noProof/>
        </w:rPr>
        <w:t>ii</w:t>
      </w:r>
      <w:r w:rsidR="00EC4893" w:rsidRPr="00FC798F">
        <w:rPr>
          <w:noProof/>
        </w:rPr>
        <w:t>)</w:t>
      </w:r>
      <w:r w:rsidRPr="00FC798F">
        <w:rPr>
          <w:noProof/>
        </w:rPr>
        <w:t xml:space="preserve"> </w:t>
      </w:r>
      <w:r w:rsidR="0050467D" w:rsidRPr="00FC798F">
        <w:rPr>
          <w:noProof/>
        </w:rPr>
        <w:t>SME</w:t>
      </w:r>
      <w:r w:rsidRPr="00FC798F">
        <w:rPr>
          <w:noProof/>
        </w:rPr>
        <w:t xml:space="preserve"> </w:t>
      </w:r>
      <w:r w:rsidR="00D94A79" w:rsidRPr="00FC798F">
        <w:rPr>
          <w:noProof/>
        </w:rPr>
        <w:t xml:space="preserve">participation in </w:t>
      </w:r>
      <w:r w:rsidRPr="00FC798F">
        <w:rPr>
          <w:noProof/>
        </w:rPr>
        <w:t xml:space="preserve">concession </w:t>
      </w:r>
      <w:r w:rsidR="00D94A79" w:rsidRPr="00FC798F">
        <w:rPr>
          <w:noProof/>
        </w:rPr>
        <w:t>awards</w:t>
      </w:r>
      <w:r w:rsidR="00EC4893" w:rsidRPr="00FC798F">
        <w:rPr>
          <w:noProof/>
        </w:rPr>
        <w:t>;</w:t>
      </w:r>
      <w:r w:rsidRPr="00FC798F">
        <w:rPr>
          <w:noProof/>
        </w:rPr>
        <w:t xml:space="preserve"> (i</w:t>
      </w:r>
      <w:r w:rsidR="005C61E9" w:rsidRPr="00FC798F">
        <w:rPr>
          <w:noProof/>
        </w:rPr>
        <w:t>ii</w:t>
      </w:r>
      <w:r w:rsidRPr="00FC798F">
        <w:rPr>
          <w:noProof/>
        </w:rPr>
        <w:t xml:space="preserve">) number of </w:t>
      </w:r>
      <w:r w:rsidR="00F431F6" w:rsidRPr="00FC798F">
        <w:rPr>
          <w:noProof/>
        </w:rPr>
        <w:t>tender</w:t>
      </w:r>
      <w:r w:rsidR="00D94A79" w:rsidRPr="00FC798F">
        <w:rPr>
          <w:noProof/>
        </w:rPr>
        <w:t xml:space="preserve"> offer</w:t>
      </w:r>
      <w:r w:rsidR="00F431F6" w:rsidRPr="00FC798F">
        <w:rPr>
          <w:noProof/>
        </w:rPr>
        <w:t>s</w:t>
      </w:r>
      <w:r w:rsidR="00EC4893" w:rsidRPr="00FC798F">
        <w:rPr>
          <w:noProof/>
        </w:rPr>
        <w:t>; and (</w:t>
      </w:r>
      <w:r w:rsidR="005C61E9" w:rsidRPr="00FC798F">
        <w:rPr>
          <w:noProof/>
        </w:rPr>
        <w:t>i</w:t>
      </w:r>
      <w:r w:rsidR="00694741" w:rsidRPr="00FC798F">
        <w:rPr>
          <w:noProof/>
        </w:rPr>
        <w:t>v</w:t>
      </w:r>
      <w:r w:rsidR="00EC4893" w:rsidRPr="00FC798F">
        <w:rPr>
          <w:noProof/>
        </w:rPr>
        <w:t>)</w:t>
      </w:r>
      <w:r w:rsidR="000B22F2">
        <w:rPr>
          <w:noProof/>
        </w:rPr>
        <w:t xml:space="preserve"> cross-border</w:t>
      </w:r>
      <w:r w:rsidR="0050467D" w:rsidRPr="00FC798F">
        <w:rPr>
          <w:noProof/>
        </w:rPr>
        <w:t xml:space="preserve"> participation in </w:t>
      </w:r>
      <w:r w:rsidR="00DE30D5" w:rsidRPr="00FC798F">
        <w:rPr>
          <w:noProof/>
        </w:rPr>
        <w:t>the EU concessions market</w:t>
      </w:r>
      <w:r w:rsidR="00EC3CFA" w:rsidRPr="00FC798F">
        <w:rPr>
          <w:noProof/>
        </w:rPr>
        <w:t xml:space="preserve">. </w:t>
      </w:r>
    </w:p>
    <w:p w14:paraId="3730F2A7" w14:textId="77777777" w:rsidR="0050467D" w:rsidRPr="00FC798F" w:rsidRDefault="0050467D" w:rsidP="00C9157F">
      <w:pPr>
        <w:rPr>
          <w:b/>
          <w:noProof/>
        </w:rPr>
      </w:pPr>
      <w:r w:rsidRPr="00FC798F">
        <w:rPr>
          <w:b/>
          <w:noProof/>
        </w:rPr>
        <w:t>Transparency through publication</w:t>
      </w:r>
    </w:p>
    <w:p w14:paraId="351B2535" w14:textId="44C423F0" w:rsidR="00D7509A" w:rsidRDefault="08D6DC56" w:rsidP="009A1CC6">
      <w:pPr>
        <w:rPr>
          <w:noProof/>
        </w:rPr>
      </w:pPr>
      <w:r w:rsidRPr="00FC798F">
        <w:rPr>
          <w:noProof/>
        </w:rPr>
        <w:t xml:space="preserve">Data extracted from </w:t>
      </w:r>
      <w:r w:rsidR="00976E77">
        <w:rPr>
          <w:rStyle w:val="hgkelc"/>
          <w:rFonts w:eastAsiaTheme="majorEastAsia"/>
          <w:noProof/>
        </w:rPr>
        <w:t>TED</w:t>
      </w:r>
      <w:r w:rsidRPr="00FC798F">
        <w:rPr>
          <w:noProof/>
        </w:rPr>
        <w:t xml:space="preserve"> suggests that</w:t>
      </w:r>
      <w:r w:rsidR="00215E5F">
        <w:rPr>
          <w:noProof/>
        </w:rPr>
        <w:t>,</w:t>
      </w:r>
      <w:r w:rsidRPr="00FC798F">
        <w:rPr>
          <w:noProof/>
        </w:rPr>
        <w:t xml:space="preserve"> </w:t>
      </w:r>
      <w:r w:rsidR="00215E5F" w:rsidRPr="00FC798F">
        <w:rPr>
          <w:noProof/>
        </w:rPr>
        <w:t xml:space="preserve">since </w:t>
      </w:r>
      <w:r w:rsidR="00215E5F">
        <w:rPr>
          <w:noProof/>
        </w:rPr>
        <w:t xml:space="preserve">18 April 2016, </w:t>
      </w:r>
      <w:r w:rsidRPr="00FC798F">
        <w:rPr>
          <w:noProof/>
        </w:rPr>
        <w:t>there has been an</w:t>
      </w:r>
      <w:r w:rsidR="0A8A8A6A" w:rsidRPr="00FC798F">
        <w:rPr>
          <w:noProof/>
        </w:rPr>
        <w:t xml:space="preserve"> important</w:t>
      </w:r>
      <w:r w:rsidRPr="00FC798F">
        <w:rPr>
          <w:noProof/>
        </w:rPr>
        <w:t xml:space="preserve"> increase in the number of </w:t>
      </w:r>
      <w:r w:rsidR="0A8A8A6A" w:rsidRPr="00FC798F">
        <w:rPr>
          <w:noProof/>
        </w:rPr>
        <w:t xml:space="preserve">published </w:t>
      </w:r>
      <w:r w:rsidR="006F569E">
        <w:rPr>
          <w:noProof/>
        </w:rPr>
        <w:t>concession</w:t>
      </w:r>
      <w:r w:rsidR="00215E5F">
        <w:rPr>
          <w:noProof/>
        </w:rPr>
        <w:t xml:space="preserve"> notices: </w:t>
      </w:r>
      <w:r w:rsidR="6F9564EA">
        <w:rPr>
          <w:noProof/>
        </w:rPr>
        <w:t>f</w:t>
      </w:r>
      <w:r w:rsidR="00215E5F">
        <w:rPr>
          <w:noProof/>
        </w:rPr>
        <w:t>rom 664 in 2016 to 1</w:t>
      </w:r>
      <w:r w:rsidR="00745DD3">
        <w:rPr>
          <w:noProof/>
        </w:rPr>
        <w:t> </w:t>
      </w:r>
      <w:r w:rsidR="00215E5F">
        <w:rPr>
          <w:noProof/>
        </w:rPr>
        <w:t>877 in 2021</w:t>
      </w:r>
      <w:r w:rsidRPr="00FC798F">
        <w:rPr>
          <w:noProof/>
        </w:rPr>
        <w:t xml:space="preserve">. </w:t>
      </w:r>
      <w:r w:rsidR="36FF850A">
        <w:rPr>
          <w:noProof/>
        </w:rPr>
        <w:t>Similarly,</w:t>
      </w:r>
      <w:r w:rsidR="0A8A8A6A" w:rsidRPr="00FC798F">
        <w:rPr>
          <w:noProof/>
        </w:rPr>
        <w:t xml:space="preserve"> the yearly average of published concession award notices have </w:t>
      </w:r>
      <w:r w:rsidR="4FEA37C8">
        <w:rPr>
          <w:noProof/>
        </w:rPr>
        <w:t>increas</w:t>
      </w:r>
      <w:r w:rsidR="00215E5F">
        <w:rPr>
          <w:noProof/>
        </w:rPr>
        <w:t>ed</w:t>
      </w:r>
      <w:r w:rsidR="6F9564EA" w:rsidRPr="00710B5E">
        <w:rPr>
          <w:noProof/>
        </w:rPr>
        <w:t xml:space="preserve"> </w:t>
      </w:r>
      <w:r w:rsidR="00215E5F">
        <w:rPr>
          <w:noProof/>
        </w:rPr>
        <w:t>from 143 in 2016 to 993 in 2021</w:t>
      </w:r>
      <w:r w:rsidR="36FF850A">
        <w:rPr>
          <w:noProof/>
        </w:rPr>
        <w:t>.</w:t>
      </w:r>
      <w:r w:rsidR="7E2DE266">
        <w:rPr>
          <w:noProof/>
        </w:rPr>
        <w:t xml:space="preserve"> </w:t>
      </w:r>
    </w:p>
    <w:p w14:paraId="0D0FC2B5" w14:textId="735CE839" w:rsidR="004801FA" w:rsidRDefault="36FF850A" w:rsidP="009A1CC6">
      <w:pPr>
        <w:rPr>
          <w:noProof/>
        </w:rPr>
      </w:pPr>
      <w:r>
        <w:rPr>
          <w:noProof/>
        </w:rPr>
        <w:t>It appears</w:t>
      </w:r>
      <w:r w:rsidR="00CB67F3">
        <w:rPr>
          <w:noProof/>
        </w:rPr>
        <w:t>,</w:t>
      </w:r>
      <w:r>
        <w:rPr>
          <w:noProof/>
        </w:rPr>
        <w:t xml:space="preserve"> </w:t>
      </w:r>
      <w:r w:rsidR="7E2DE266">
        <w:rPr>
          <w:noProof/>
        </w:rPr>
        <w:t>however</w:t>
      </w:r>
      <w:r w:rsidR="00CB67F3">
        <w:rPr>
          <w:noProof/>
        </w:rPr>
        <w:t>,</w:t>
      </w:r>
      <w:r w:rsidR="0A8A8A6A" w:rsidRPr="00FC798F">
        <w:rPr>
          <w:noProof/>
        </w:rPr>
        <w:t xml:space="preserve"> </w:t>
      </w:r>
      <w:r w:rsidR="00D7509A">
        <w:rPr>
          <w:noProof/>
        </w:rPr>
        <w:t xml:space="preserve">that </w:t>
      </w:r>
      <w:r w:rsidR="08D6DC56" w:rsidRPr="00FC798F">
        <w:rPr>
          <w:noProof/>
        </w:rPr>
        <w:t>t</w:t>
      </w:r>
      <w:r w:rsidR="006F569E">
        <w:rPr>
          <w:noProof/>
        </w:rPr>
        <w:t>he number of concession</w:t>
      </w:r>
      <w:r w:rsidR="08D6DC56" w:rsidRPr="00FC798F">
        <w:rPr>
          <w:noProof/>
        </w:rPr>
        <w:t xml:space="preserve"> notices is </w:t>
      </w:r>
      <w:r w:rsidR="0A8A8A6A" w:rsidRPr="00FC798F">
        <w:rPr>
          <w:noProof/>
        </w:rPr>
        <w:t xml:space="preserve">still </w:t>
      </w:r>
      <w:r w:rsidR="08D6DC56" w:rsidRPr="00FC798F">
        <w:rPr>
          <w:noProof/>
        </w:rPr>
        <w:t>around twice as high as the n</w:t>
      </w:r>
      <w:r w:rsidR="006F569E">
        <w:rPr>
          <w:noProof/>
        </w:rPr>
        <w:t>umber of concession</w:t>
      </w:r>
      <w:r w:rsidR="6F9564EA">
        <w:rPr>
          <w:noProof/>
        </w:rPr>
        <w:t xml:space="preserve"> award notices</w:t>
      </w:r>
      <w:r w:rsidR="006C6346">
        <w:rPr>
          <w:rStyle w:val="FootnoteReference"/>
          <w:noProof/>
        </w:rPr>
        <w:footnoteReference w:id="18"/>
      </w:r>
      <w:r w:rsidR="53A215AB">
        <w:rPr>
          <w:noProof/>
        </w:rPr>
        <w:t>.</w:t>
      </w:r>
      <w:r w:rsidR="4AA3F0E9">
        <w:rPr>
          <w:noProof/>
        </w:rPr>
        <w:t xml:space="preserve"> </w:t>
      </w:r>
      <w:r w:rsidR="2390EF2E">
        <w:rPr>
          <w:noProof/>
        </w:rPr>
        <w:t xml:space="preserve">This </w:t>
      </w:r>
      <w:r w:rsidR="0A8A8A6A" w:rsidRPr="00FC798F">
        <w:rPr>
          <w:noProof/>
        </w:rPr>
        <w:t>discrepancy between the number of con</w:t>
      </w:r>
      <w:r w:rsidR="006F569E">
        <w:rPr>
          <w:noProof/>
        </w:rPr>
        <w:t>cession</w:t>
      </w:r>
      <w:r w:rsidR="0A8A8A6A" w:rsidRPr="00FC798F">
        <w:rPr>
          <w:noProof/>
        </w:rPr>
        <w:t xml:space="preserve"> notices and</w:t>
      </w:r>
      <w:r w:rsidR="006F569E">
        <w:rPr>
          <w:noProof/>
        </w:rPr>
        <w:t xml:space="preserve"> concession</w:t>
      </w:r>
      <w:r w:rsidR="0A8A8A6A" w:rsidRPr="00FC798F">
        <w:rPr>
          <w:noProof/>
        </w:rPr>
        <w:t xml:space="preserve"> award notices</w:t>
      </w:r>
      <w:r w:rsidR="2390EF2E">
        <w:rPr>
          <w:noProof/>
        </w:rPr>
        <w:t xml:space="preserve">, appears in all </w:t>
      </w:r>
      <w:r w:rsidR="005668FC">
        <w:rPr>
          <w:noProof/>
        </w:rPr>
        <w:t>M</w:t>
      </w:r>
      <w:r w:rsidR="00D462E2">
        <w:rPr>
          <w:noProof/>
        </w:rPr>
        <w:t xml:space="preserve">ember </w:t>
      </w:r>
      <w:r w:rsidR="005668FC">
        <w:rPr>
          <w:noProof/>
        </w:rPr>
        <w:t>S</w:t>
      </w:r>
      <w:r w:rsidR="00D462E2">
        <w:rPr>
          <w:noProof/>
        </w:rPr>
        <w:t>tates</w:t>
      </w:r>
      <w:r w:rsidR="2390EF2E">
        <w:rPr>
          <w:noProof/>
        </w:rPr>
        <w:t xml:space="preserve"> and</w:t>
      </w:r>
      <w:r w:rsidR="0A8A8A6A" w:rsidRPr="00FC798F">
        <w:rPr>
          <w:noProof/>
        </w:rPr>
        <w:t xml:space="preserve"> seems to be dri</w:t>
      </w:r>
      <w:r w:rsidR="006C6346">
        <w:rPr>
          <w:noProof/>
        </w:rPr>
        <w:t>ven by several factors, such as</w:t>
      </w:r>
      <w:r w:rsidR="0A8A8A6A" w:rsidRPr="00FC798F">
        <w:rPr>
          <w:noProof/>
        </w:rPr>
        <w:t>: concessions may be advertised through notices but they might not eventually be awarded</w:t>
      </w:r>
      <w:r w:rsidR="00745DD3">
        <w:rPr>
          <w:noProof/>
        </w:rPr>
        <w:t>,</w:t>
      </w:r>
      <w:r w:rsidR="00745DD3" w:rsidRPr="00FC798F">
        <w:rPr>
          <w:noProof/>
        </w:rPr>
        <w:t xml:space="preserve"> </w:t>
      </w:r>
      <w:r w:rsidR="00D7509A">
        <w:rPr>
          <w:noProof/>
        </w:rPr>
        <w:t xml:space="preserve">and </w:t>
      </w:r>
      <w:r w:rsidR="0A8A8A6A" w:rsidRPr="00FC798F">
        <w:rPr>
          <w:noProof/>
        </w:rPr>
        <w:t xml:space="preserve">multiple contracts notices </w:t>
      </w:r>
      <w:r w:rsidR="00D7509A">
        <w:rPr>
          <w:noProof/>
        </w:rPr>
        <w:t xml:space="preserve">may </w:t>
      </w:r>
      <w:r w:rsidR="0A8A8A6A" w:rsidRPr="00FC798F">
        <w:rPr>
          <w:noProof/>
        </w:rPr>
        <w:t>eventually become a single concession award</w:t>
      </w:r>
      <w:r w:rsidR="00F34AFE">
        <w:rPr>
          <w:rStyle w:val="FootnoteReference"/>
          <w:noProof/>
        </w:rPr>
        <w:footnoteReference w:id="19"/>
      </w:r>
      <w:r w:rsidR="00D7509A">
        <w:rPr>
          <w:noProof/>
        </w:rPr>
        <w:t xml:space="preserve">. </w:t>
      </w:r>
    </w:p>
    <w:p w14:paraId="2A6634E8" w14:textId="6AB7A849" w:rsidR="00D7509A" w:rsidRDefault="00215E5F" w:rsidP="009A1CC6">
      <w:pPr>
        <w:rPr>
          <w:noProof/>
        </w:rPr>
      </w:pPr>
      <w:r w:rsidRPr="00F96047">
        <w:rPr>
          <w:noProof/>
        </w:rPr>
        <w:t xml:space="preserve">Quality of data </w:t>
      </w:r>
      <w:r w:rsidR="004801FA">
        <w:rPr>
          <w:noProof/>
        </w:rPr>
        <w:t xml:space="preserve">reported in TED </w:t>
      </w:r>
      <w:r w:rsidRPr="00F96047">
        <w:rPr>
          <w:noProof/>
        </w:rPr>
        <w:t xml:space="preserve">is expected to increase with the implementation </w:t>
      </w:r>
      <w:r w:rsidR="005205B0">
        <w:rPr>
          <w:noProof/>
        </w:rPr>
        <w:t xml:space="preserve">of </w:t>
      </w:r>
      <w:r w:rsidRPr="00F96047">
        <w:rPr>
          <w:noProof/>
        </w:rPr>
        <w:t>Regulation (EU) 2019/1780</w:t>
      </w:r>
      <w:r w:rsidRPr="00F96047">
        <w:rPr>
          <w:noProof/>
          <w:vertAlign w:val="superscript"/>
        </w:rPr>
        <w:footnoteReference w:id="20"/>
      </w:r>
      <w:r w:rsidRPr="00F96047">
        <w:rPr>
          <w:noProof/>
        </w:rPr>
        <w:t xml:space="preserve"> on new standard forms for notices (e</w:t>
      </w:r>
      <w:r w:rsidR="00717A8D">
        <w:rPr>
          <w:noProof/>
        </w:rPr>
        <w:t>F</w:t>
      </w:r>
      <w:r w:rsidRPr="00F96047">
        <w:rPr>
          <w:noProof/>
        </w:rPr>
        <w:t xml:space="preserve">orms) </w:t>
      </w:r>
      <w:r w:rsidR="00717A8D">
        <w:rPr>
          <w:noProof/>
        </w:rPr>
        <w:t>which will be</w:t>
      </w:r>
      <w:r w:rsidR="003E6A29">
        <w:rPr>
          <w:noProof/>
        </w:rPr>
        <w:t>come</w:t>
      </w:r>
      <w:r w:rsidR="00717A8D">
        <w:rPr>
          <w:noProof/>
        </w:rPr>
        <w:t xml:space="preserve"> mandatory as of 25</w:t>
      </w:r>
      <w:r w:rsidR="00717A8D" w:rsidRPr="00F96047">
        <w:rPr>
          <w:noProof/>
        </w:rPr>
        <w:t xml:space="preserve"> </w:t>
      </w:r>
      <w:r w:rsidR="00717A8D">
        <w:rPr>
          <w:noProof/>
        </w:rPr>
        <w:t>October</w:t>
      </w:r>
      <w:r w:rsidR="00717A8D" w:rsidRPr="00F96047">
        <w:rPr>
          <w:noProof/>
        </w:rPr>
        <w:t xml:space="preserve"> 202</w:t>
      </w:r>
      <w:r w:rsidR="00717A8D">
        <w:rPr>
          <w:noProof/>
        </w:rPr>
        <w:t>3</w:t>
      </w:r>
      <w:r w:rsidRPr="00F96047">
        <w:rPr>
          <w:noProof/>
          <w:vertAlign w:val="superscript"/>
        </w:rPr>
        <w:footnoteReference w:id="21"/>
      </w:r>
      <w:r w:rsidRPr="00F96047">
        <w:rPr>
          <w:noProof/>
        </w:rPr>
        <w:t>.</w:t>
      </w:r>
    </w:p>
    <w:p w14:paraId="5E7DBF4F" w14:textId="0C383132" w:rsidR="00976E77" w:rsidRPr="00FC798F" w:rsidRDefault="6B30D138" w:rsidP="009A1CC6">
      <w:pPr>
        <w:rPr>
          <w:noProof/>
        </w:rPr>
      </w:pPr>
      <w:r w:rsidRPr="00FC798F">
        <w:rPr>
          <w:noProof/>
        </w:rPr>
        <w:t>While the incr</w:t>
      </w:r>
      <w:r w:rsidR="36FF850A">
        <w:rPr>
          <w:noProof/>
        </w:rPr>
        <w:t>eased publication of concession notices and concession award notices</w:t>
      </w:r>
      <w:r w:rsidRPr="00FC798F">
        <w:rPr>
          <w:noProof/>
        </w:rPr>
        <w:t xml:space="preserve"> suggests that transpare</w:t>
      </w:r>
      <w:r w:rsidR="00B46649">
        <w:rPr>
          <w:noProof/>
        </w:rPr>
        <w:t>ncy has improved since 18 April 2016</w:t>
      </w:r>
      <w:r w:rsidRPr="00FC798F">
        <w:rPr>
          <w:noProof/>
        </w:rPr>
        <w:t xml:space="preserve">, it is also notable that there has been an increase in </w:t>
      </w:r>
      <w:r w:rsidR="006F569E">
        <w:rPr>
          <w:noProof/>
        </w:rPr>
        <w:t>concession</w:t>
      </w:r>
      <w:r w:rsidR="46DCAAF5" w:rsidRPr="00FC798F">
        <w:rPr>
          <w:noProof/>
        </w:rPr>
        <w:t xml:space="preserve"> </w:t>
      </w:r>
      <w:r w:rsidRPr="00FC798F">
        <w:rPr>
          <w:noProof/>
        </w:rPr>
        <w:t>awards without a prior publication of a contract notice</w:t>
      </w:r>
      <w:r w:rsidR="00EE6017">
        <w:rPr>
          <w:rStyle w:val="FootnoteReference"/>
          <w:noProof/>
        </w:rPr>
        <w:footnoteReference w:id="22"/>
      </w:r>
      <w:r w:rsidR="00EE6017">
        <w:rPr>
          <w:noProof/>
        </w:rPr>
        <w:t xml:space="preserve"> in</w:t>
      </w:r>
      <w:r w:rsidRPr="00FC798F">
        <w:rPr>
          <w:noProof/>
        </w:rPr>
        <w:t xml:space="preserve"> </w:t>
      </w:r>
      <w:r w:rsidR="00976E77">
        <w:rPr>
          <w:rStyle w:val="hgkelc"/>
          <w:rFonts w:eastAsiaTheme="majorEastAsia"/>
          <w:noProof/>
        </w:rPr>
        <w:t>TED</w:t>
      </w:r>
      <w:r w:rsidR="00EE6017">
        <w:rPr>
          <w:rStyle w:val="hgkelc"/>
          <w:rFonts w:eastAsiaTheme="majorEastAsia"/>
          <w:noProof/>
        </w:rPr>
        <w:t>.</w:t>
      </w:r>
      <w:r w:rsidR="690F00CA" w:rsidRPr="00FC798F">
        <w:rPr>
          <w:noProof/>
        </w:rPr>
        <w:t xml:space="preserve"> </w:t>
      </w:r>
      <w:r w:rsidR="142E9AB9" w:rsidRPr="00FC798F">
        <w:rPr>
          <w:noProof/>
        </w:rPr>
        <w:t>S</w:t>
      </w:r>
      <w:r w:rsidR="2390EF2E">
        <w:rPr>
          <w:noProof/>
        </w:rPr>
        <w:t>ince 201</w:t>
      </w:r>
      <w:r w:rsidR="52E29DF4">
        <w:rPr>
          <w:noProof/>
        </w:rPr>
        <w:t>8</w:t>
      </w:r>
      <w:r w:rsidR="2390EF2E">
        <w:rPr>
          <w:noProof/>
        </w:rPr>
        <w:t xml:space="preserve">, </w:t>
      </w:r>
      <w:r w:rsidRPr="00FC798F">
        <w:rPr>
          <w:noProof/>
        </w:rPr>
        <w:t xml:space="preserve">the </w:t>
      </w:r>
      <w:r w:rsidR="36FF850A">
        <w:rPr>
          <w:noProof/>
        </w:rPr>
        <w:t xml:space="preserve">total yearly </w:t>
      </w:r>
      <w:r w:rsidRPr="00FC798F">
        <w:rPr>
          <w:noProof/>
        </w:rPr>
        <w:t xml:space="preserve">value of concessions </w:t>
      </w:r>
      <w:r w:rsidR="37144404">
        <w:rPr>
          <w:noProof/>
        </w:rPr>
        <w:t xml:space="preserve">awarded without publication of a </w:t>
      </w:r>
      <w:r w:rsidR="36FF850A">
        <w:rPr>
          <w:noProof/>
        </w:rPr>
        <w:t>concession</w:t>
      </w:r>
      <w:r w:rsidR="690F00CA" w:rsidRPr="00FC798F">
        <w:rPr>
          <w:noProof/>
        </w:rPr>
        <w:t xml:space="preserve"> notice </w:t>
      </w:r>
      <w:r w:rsidR="36FF850A">
        <w:rPr>
          <w:noProof/>
        </w:rPr>
        <w:t>have been</w:t>
      </w:r>
      <w:r w:rsidRPr="00FC798F">
        <w:rPr>
          <w:noProof/>
        </w:rPr>
        <w:t xml:space="preserve"> higher than concessions awarded followi</w:t>
      </w:r>
      <w:r w:rsidR="36FF850A">
        <w:rPr>
          <w:noProof/>
        </w:rPr>
        <w:t>ng the publication of a concession</w:t>
      </w:r>
      <w:r w:rsidR="00EE6017">
        <w:rPr>
          <w:noProof/>
        </w:rPr>
        <w:t xml:space="preserve"> notice.</w:t>
      </w:r>
      <w:r w:rsidR="37144404">
        <w:rPr>
          <w:noProof/>
        </w:rPr>
        <w:t xml:space="preserve"> F</w:t>
      </w:r>
      <w:r w:rsidR="52E29DF4">
        <w:rPr>
          <w:noProof/>
        </w:rPr>
        <w:t xml:space="preserve">or instance, in 2021 the total value of concessions awarded without publication </w:t>
      </w:r>
      <w:r w:rsidR="37144404">
        <w:rPr>
          <w:noProof/>
        </w:rPr>
        <w:t xml:space="preserve">of a contract notice </w:t>
      </w:r>
      <w:r w:rsidR="52E29DF4">
        <w:rPr>
          <w:noProof/>
        </w:rPr>
        <w:t xml:space="preserve">was </w:t>
      </w:r>
      <w:r w:rsidR="37144404">
        <w:rPr>
          <w:noProof/>
        </w:rPr>
        <w:t xml:space="preserve">EUR </w:t>
      </w:r>
      <w:r w:rsidR="52E29DF4">
        <w:rPr>
          <w:noProof/>
        </w:rPr>
        <w:t>44</w:t>
      </w:r>
      <w:r w:rsidR="00CB67F3">
        <w:rPr>
          <w:noProof/>
        </w:rPr>
        <w:t xml:space="preserve"> </w:t>
      </w:r>
      <w:r w:rsidR="37144404">
        <w:rPr>
          <w:noProof/>
        </w:rPr>
        <w:t>b</w:t>
      </w:r>
      <w:r w:rsidR="00CB67F3">
        <w:rPr>
          <w:noProof/>
        </w:rPr>
        <w:t>illio</w:t>
      </w:r>
      <w:r w:rsidR="37144404">
        <w:rPr>
          <w:noProof/>
        </w:rPr>
        <w:t>n, while the total value of concessions awarde</w:t>
      </w:r>
      <w:r w:rsidR="36FF850A">
        <w:rPr>
          <w:noProof/>
        </w:rPr>
        <w:t>d with publication of a concession</w:t>
      </w:r>
      <w:r w:rsidR="37144404">
        <w:rPr>
          <w:noProof/>
        </w:rPr>
        <w:t xml:space="preserve"> notice was EUR 37 b</w:t>
      </w:r>
      <w:r w:rsidR="00CB67F3">
        <w:rPr>
          <w:noProof/>
        </w:rPr>
        <w:t>illio</w:t>
      </w:r>
      <w:r w:rsidR="37144404">
        <w:rPr>
          <w:noProof/>
        </w:rPr>
        <w:t>n</w:t>
      </w:r>
      <w:r w:rsidRPr="00FC798F">
        <w:rPr>
          <w:noProof/>
        </w:rPr>
        <w:t>.</w:t>
      </w:r>
      <w:r w:rsidR="690F00CA" w:rsidRPr="00FC798F">
        <w:rPr>
          <w:noProof/>
        </w:rPr>
        <w:t xml:space="preserve"> </w:t>
      </w:r>
      <w:r w:rsidR="200A498A" w:rsidRPr="00FC798F">
        <w:rPr>
          <w:noProof/>
        </w:rPr>
        <w:t>C</w:t>
      </w:r>
      <w:r w:rsidR="690F00CA" w:rsidRPr="00FC798F">
        <w:rPr>
          <w:noProof/>
        </w:rPr>
        <w:t>oncession awards without</w:t>
      </w:r>
      <w:r w:rsidR="36FF850A">
        <w:rPr>
          <w:noProof/>
        </w:rPr>
        <w:t xml:space="preserve"> prior publication </w:t>
      </w:r>
      <w:r w:rsidR="690F00CA" w:rsidRPr="00FC798F">
        <w:rPr>
          <w:noProof/>
        </w:rPr>
        <w:t xml:space="preserve">occur mainly in </w:t>
      </w:r>
      <w:r w:rsidR="2D175001" w:rsidRPr="00FC798F">
        <w:rPr>
          <w:noProof/>
        </w:rPr>
        <w:t>the electricity</w:t>
      </w:r>
      <w:r w:rsidR="690F00CA" w:rsidRPr="00FC798F">
        <w:rPr>
          <w:noProof/>
        </w:rPr>
        <w:t xml:space="preserve"> </w:t>
      </w:r>
      <w:r w:rsidR="37144404">
        <w:rPr>
          <w:noProof/>
        </w:rPr>
        <w:t>distribution</w:t>
      </w:r>
      <w:r w:rsidR="00EE6017">
        <w:rPr>
          <w:noProof/>
        </w:rPr>
        <w:t xml:space="preserve"> sector which</w:t>
      </w:r>
      <w:r w:rsidR="690F00CA" w:rsidRPr="00FC798F">
        <w:rPr>
          <w:noProof/>
        </w:rPr>
        <w:t xml:space="preserve"> is </w:t>
      </w:r>
      <w:r w:rsidR="2D175001" w:rsidRPr="00FC798F">
        <w:rPr>
          <w:noProof/>
        </w:rPr>
        <w:t>characteri</w:t>
      </w:r>
      <w:r w:rsidR="00CB67F3">
        <w:rPr>
          <w:noProof/>
        </w:rPr>
        <w:t>s</w:t>
      </w:r>
      <w:r w:rsidR="2D175001" w:rsidRPr="00FC798F">
        <w:rPr>
          <w:noProof/>
        </w:rPr>
        <w:t>ed</w:t>
      </w:r>
      <w:r w:rsidR="690F00CA" w:rsidRPr="00FC798F">
        <w:rPr>
          <w:noProof/>
        </w:rPr>
        <w:t xml:space="preserve"> </w:t>
      </w:r>
      <w:r w:rsidR="2D175001" w:rsidRPr="00FC798F">
        <w:rPr>
          <w:noProof/>
        </w:rPr>
        <w:t>by few</w:t>
      </w:r>
      <w:r w:rsidR="690F00CA" w:rsidRPr="00FC798F">
        <w:rPr>
          <w:noProof/>
        </w:rPr>
        <w:t xml:space="preserve"> suppliers and</w:t>
      </w:r>
      <w:r w:rsidR="2D2AF8FB" w:rsidRPr="00FC798F">
        <w:rPr>
          <w:noProof/>
        </w:rPr>
        <w:t xml:space="preserve"> </w:t>
      </w:r>
      <w:r w:rsidR="00955013">
        <w:rPr>
          <w:noProof/>
        </w:rPr>
        <w:t xml:space="preserve">where </w:t>
      </w:r>
      <w:r w:rsidR="1FEAB1F3">
        <w:rPr>
          <w:noProof/>
        </w:rPr>
        <w:t xml:space="preserve">technical reasons or the existence </w:t>
      </w:r>
      <w:r w:rsidR="2D175001">
        <w:rPr>
          <w:noProof/>
        </w:rPr>
        <w:t xml:space="preserve">of </w:t>
      </w:r>
      <w:r w:rsidR="2D175001" w:rsidRPr="00FC798F">
        <w:rPr>
          <w:noProof/>
        </w:rPr>
        <w:t>exclusive</w:t>
      </w:r>
      <w:r w:rsidR="690F00CA" w:rsidRPr="00FC798F">
        <w:rPr>
          <w:noProof/>
        </w:rPr>
        <w:t xml:space="preserve"> rights</w:t>
      </w:r>
      <w:r w:rsidR="00955013">
        <w:rPr>
          <w:noProof/>
        </w:rPr>
        <w:t xml:space="preserve"> may explain the absence of competition</w:t>
      </w:r>
      <w:r w:rsidR="690F00CA" w:rsidRPr="00FC798F">
        <w:rPr>
          <w:noProof/>
        </w:rPr>
        <w:t>.</w:t>
      </w:r>
    </w:p>
    <w:p w14:paraId="4B73FCF4" w14:textId="66001615" w:rsidR="0050467D" w:rsidRPr="00FC798F" w:rsidRDefault="0050467D" w:rsidP="00C9157F">
      <w:pPr>
        <w:rPr>
          <w:b/>
          <w:noProof/>
        </w:rPr>
      </w:pPr>
      <w:r w:rsidRPr="00FC798F">
        <w:rPr>
          <w:b/>
          <w:noProof/>
        </w:rPr>
        <w:t>SME</w:t>
      </w:r>
      <w:r w:rsidR="004801FA">
        <w:rPr>
          <w:b/>
          <w:noProof/>
        </w:rPr>
        <w:t>s</w:t>
      </w:r>
      <w:r w:rsidRPr="00FC798F">
        <w:rPr>
          <w:b/>
          <w:noProof/>
        </w:rPr>
        <w:t xml:space="preserve"> participation in concession awards</w:t>
      </w:r>
    </w:p>
    <w:p w14:paraId="3414080E" w14:textId="6FD9C430" w:rsidR="009D1F64" w:rsidRPr="00FC798F" w:rsidRDefault="00A01EC7" w:rsidP="00E8459A">
      <w:pPr>
        <w:rPr>
          <w:noProof/>
        </w:rPr>
      </w:pPr>
      <w:r>
        <w:rPr>
          <w:noProof/>
        </w:rPr>
        <w:t xml:space="preserve">Prior to 18 April 2016, </w:t>
      </w:r>
      <w:r w:rsidR="46DCAAF5">
        <w:rPr>
          <w:noProof/>
        </w:rPr>
        <w:t xml:space="preserve">information about contractors’ size was not recorded </w:t>
      </w:r>
      <w:r>
        <w:rPr>
          <w:noProof/>
        </w:rPr>
        <w:t xml:space="preserve">in TED </w:t>
      </w:r>
      <w:r w:rsidR="46DCAAF5">
        <w:rPr>
          <w:noProof/>
        </w:rPr>
        <w:t xml:space="preserve">and it is therefore not possible to compare the incidence of awards to SMEs </w:t>
      </w:r>
      <w:r w:rsidR="4E01D4FA">
        <w:rPr>
          <w:noProof/>
        </w:rPr>
        <w:t xml:space="preserve">before </w:t>
      </w:r>
      <w:r>
        <w:rPr>
          <w:noProof/>
        </w:rPr>
        <w:t>and after this date</w:t>
      </w:r>
      <w:r w:rsidR="3DE9DA66">
        <w:rPr>
          <w:noProof/>
        </w:rPr>
        <w:t xml:space="preserve">. However, </w:t>
      </w:r>
      <w:r w:rsidR="2CCD7EB5">
        <w:rPr>
          <w:noProof/>
        </w:rPr>
        <w:t xml:space="preserve">since </w:t>
      </w:r>
      <w:r w:rsidR="2D175001">
        <w:rPr>
          <w:noProof/>
        </w:rPr>
        <w:t>2016 there</w:t>
      </w:r>
      <w:r w:rsidR="3DE9DA66">
        <w:rPr>
          <w:noProof/>
        </w:rPr>
        <w:t xml:space="preserve"> has been </w:t>
      </w:r>
      <w:r w:rsidR="00955013">
        <w:rPr>
          <w:noProof/>
        </w:rPr>
        <w:t>a significant increase</w:t>
      </w:r>
      <w:r w:rsidR="3DE9DA66">
        <w:rPr>
          <w:noProof/>
        </w:rPr>
        <w:t xml:space="preserve"> in </w:t>
      </w:r>
      <w:r w:rsidR="6FF81BB1">
        <w:rPr>
          <w:noProof/>
        </w:rPr>
        <w:t xml:space="preserve">the number of </w:t>
      </w:r>
      <w:r w:rsidR="3DE9DA66">
        <w:rPr>
          <w:noProof/>
        </w:rPr>
        <w:t>concessions awarded to SMEs</w:t>
      </w:r>
      <w:r w:rsidR="00955013">
        <w:rPr>
          <w:noProof/>
        </w:rPr>
        <w:t xml:space="preserve">: </w:t>
      </w:r>
      <w:r w:rsidR="00D25A63">
        <w:rPr>
          <w:noProof/>
        </w:rPr>
        <w:t xml:space="preserve">from </w:t>
      </w:r>
      <w:r w:rsidR="00955013">
        <w:rPr>
          <w:noProof/>
        </w:rPr>
        <w:t>22.4</w:t>
      </w:r>
      <w:r w:rsidR="00074F4E">
        <w:rPr>
          <w:noProof/>
        </w:rPr>
        <w:t xml:space="preserve"> </w:t>
      </w:r>
      <w:r w:rsidR="00955013">
        <w:rPr>
          <w:noProof/>
        </w:rPr>
        <w:t xml:space="preserve">% in 2016 </w:t>
      </w:r>
      <w:r w:rsidR="00D25A63">
        <w:rPr>
          <w:noProof/>
        </w:rPr>
        <w:t xml:space="preserve">to </w:t>
      </w:r>
      <w:r w:rsidR="00955013">
        <w:rPr>
          <w:noProof/>
        </w:rPr>
        <w:t>31.6</w:t>
      </w:r>
      <w:r w:rsidR="00074F4E">
        <w:rPr>
          <w:noProof/>
        </w:rPr>
        <w:t xml:space="preserve"> </w:t>
      </w:r>
      <w:r w:rsidR="00955013">
        <w:rPr>
          <w:noProof/>
        </w:rPr>
        <w:t>% in 2021</w:t>
      </w:r>
      <w:r w:rsidR="3DE9DA66">
        <w:rPr>
          <w:noProof/>
        </w:rPr>
        <w:t>.</w:t>
      </w:r>
      <w:r w:rsidR="64E20B1F">
        <w:rPr>
          <w:noProof/>
        </w:rPr>
        <w:t xml:space="preserve"> </w:t>
      </w:r>
      <w:r w:rsidR="404E4654">
        <w:rPr>
          <w:noProof/>
        </w:rPr>
        <w:t xml:space="preserve">There are indications that </w:t>
      </w:r>
      <w:r w:rsidR="005668FC">
        <w:rPr>
          <w:noProof/>
        </w:rPr>
        <w:t>M</w:t>
      </w:r>
      <w:r w:rsidR="0087047D">
        <w:rPr>
          <w:noProof/>
        </w:rPr>
        <w:t xml:space="preserve">ember </w:t>
      </w:r>
      <w:r w:rsidR="005668FC">
        <w:rPr>
          <w:noProof/>
        </w:rPr>
        <w:t>S</w:t>
      </w:r>
      <w:r w:rsidR="0087047D">
        <w:rPr>
          <w:noProof/>
        </w:rPr>
        <w:t>tates</w:t>
      </w:r>
      <w:r w:rsidR="404E4654">
        <w:rPr>
          <w:noProof/>
        </w:rPr>
        <w:t xml:space="preserve"> that provide national guidance </w:t>
      </w:r>
      <w:r w:rsidR="00955013">
        <w:rPr>
          <w:noProof/>
        </w:rPr>
        <w:t xml:space="preserve">on </w:t>
      </w:r>
      <w:r w:rsidR="404E4654">
        <w:rPr>
          <w:noProof/>
        </w:rPr>
        <w:t>concessions</w:t>
      </w:r>
      <w:r w:rsidR="41D204A7">
        <w:rPr>
          <w:noProof/>
        </w:rPr>
        <w:t xml:space="preserve"> </w:t>
      </w:r>
      <w:r w:rsidR="67868559">
        <w:rPr>
          <w:noProof/>
        </w:rPr>
        <w:t>attract more</w:t>
      </w:r>
      <w:r w:rsidR="404E4654">
        <w:rPr>
          <w:noProof/>
        </w:rPr>
        <w:t xml:space="preserve"> SMEs</w:t>
      </w:r>
      <w:r w:rsidR="00DA158C">
        <w:rPr>
          <w:rStyle w:val="FootnoteReference"/>
          <w:noProof/>
        </w:rPr>
        <w:footnoteReference w:id="23"/>
      </w:r>
      <w:r w:rsidR="404E4654">
        <w:rPr>
          <w:noProof/>
        </w:rPr>
        <w:t>.</w:t>
      </w:r>
    </w:p>
    <w:p w14:paraId="1F90301C" w14:textId="08ABC61C" w:rsidR="006C6D29" w:rsidRDefault="404E4654" w:rsidP="7F984F52">
      <w:pPr>
        <w:rPr>
          <w:noProof/>
        </w:rPr>
      </w:pPr>
      <w:r>
        <w:rPr>
          <w:noProof/>
        </w:rPr>
        <w:t>I</w:t>
      </w:r>
      <w:r w:rsidR="3DE9DA66">
        <w:rPr>
          <w:noProof/>
        </w:rPr>
        <w:t>n term</w:t>
      </w:r>
      <w:r>
        <w:rPr>
          <w:noProof/>
        </w:rPr>
        <w:t xml:space="preserve">s of value, however, </w:t>
      </w:r>
      <w:r w:rsidR="1432AF4D">
        <w:rPr>
          <w:noProof/>
        </w:rPr>
        <w:t>SMEs do not account for a similarly important share of contracts</w:t>
      </w:r>
      <w:r w:rsidR="3DE9DA66">
        <w:rPr>
          <w:noProof/>
        </w:rPr>
        <w:t xml:space="preserve"> awarded</w:t>
      </w:r>
      <w:r w:rsidR="00EE6017">
        <w:rPr>
          <w:noProof/>
        </w:rPr>
        <w:t>.</w:t>
      </w:r>
      <w:r w:rsidR="1432AF4D">
        <w:rPr>
          <w:noProof/>
        </w:rPr>
        <w:t xml:space="preserve"> According to </w:t>
      </w:r>
      <w:r w:rsidR="0F52983A">
        <w:rPr>
          <w:noProof/>
        </w:rPr>
        <w:t>TED</w:t>
      </w:r>
      <w:r>
        <w:rPr>
          <w:noProof/>
        </w:rPr>
        <w:t>,</w:t>
      </w:r>
      <w:r w:rsidR="3DE9DA66">
        <w:rPr>
          <w:noProof/>
        </w:rPr>
        <w:t xml:space="preserve"> </w:t>
      </w:r>
      <w:r w:rsidR="1432AF4D">
        <w:rPr>
          <w:noProof/>
        </w:rPr>
        <w:t xml:space="preserve">SMEs </w:t>
      </w:r>
      <w:r>
        <w:rPr>
          <w:noProof/>
        </w:rPr>
        <w:t>were mainly awarded contracts of</w:t>
      </w:r>
      <w:r w:rsidR="1432AF4D">
        <w:rPr>
          <w:noProof/>
        </w:rPr>
        <w:t xml:space="preserve"> low value </w:t>
      </w:r>
      <w:r>
        <w:rPr>
          <w:noProof/>
        </w:rPr>
        <w:t xml:space="preserve">(the SME share has varied from 11.2 </w:t>
      </w:r>
      <w:r w:rsidR="6EC0C94C">
        <w:rPr>
          <w:noProof/>
        </w:rPr>
        <w:t>%</w:t>
      </w:r>
      <w:r>
        <w:rPr>
          <w:noProof/>
        </w:rPr>
        <w:t xml:space="preserve"> in 2017 to 3.9 </w:t>
      </w:r>
      <w:r w:rsidR="285B93AB">
        <w:rPr>
          <w:noProof/>
        </w:rPr>
        <w:t>%</w:t>
      </w:r>
      <w:r w:rsidR="1432AF4D">
        <w:rPr>
          <w:noProof/>
        </w:rPr>
        <w:t xml:space="preserve"> in 2021). Although large </w:t>
      </w:r>
      <w:r w:rsidR="2D175001">
        <w:rPr>
          <w:noProof/>
        </w:rPr>
        <w:t>concessionaires</w:t>
      </w:r>
      <w:r>
        <w:rPr>
          <w:noProof/>
        </w:rPr>
        <w:t xml:space="preserve"> </w:t>
      </w:r>
      <w:r w:rsidR="1432AF4D">
        <w:rPr>
          <w:noProof/>
        </w:rPr>
        <w:t xml:space="preserve">won only </w:t>
      </w:r>
      <w:r>
        <w:rPr>
          <w:noProof/>
        </w:rPr>
        <w:t>two in three</w:t>
      </w:r>
      <w:r w:rsidR="1432AF4D">
        <w:rPr>
          <w:noProof/>
        </w:rPr>
        <w:t xml:space="preserve"> concession</w:t>
      </w:r>
      <w:r>
        <w:rPr>
          <w:noProof/>
        </w:rPr>
        <w:t xml:space="preserve"> contract</w:t>
      </w:r>
      <w:r w:rsidR="1432AF4D">
        <w:rPr>
          <w:noProof/>
        </w:rPr>
        <w:t xml:space="preserve"> in the </w:t>
      </w:r>
      <w:r>
        <w:rPr>
          <w:noProof/>
        </w:rPr>
        <w:t>relevant</w:t>
      </w:r>
      <w:r w:rsidR="1432AF4D">
        <w:rPr>
          <w:noProof/>
        </w:rPr>
        <w:t xml:space="preserve"> period, such co</w:t>
      </w:r>
      <w:r>
        <w:rPr>
          <w:noProof/>
        </w:rPr>
        <w:t>ntracts</w:t>
      </w:r>
      <w:r w:rsidR="00EE6017">
        <w:rPr>
          <w:noProof/>
        </w:rPr>
        <w:t xml:space="preserve"> accounted for nearly 92</w:t>
      </w:r>
      <w:r w:rsidR="00074F4E">
        <w:rPr>
          <w:noProof/>
        </w:rPr>
        <w:t xml:space="preserve"> </w:t>
      </w:r>
      <w:r w:rsidR="00EE6017">
        <w:rPr>
          <w:noProof/>
        </w:rPr>
        <w:t>%</w:t>
      </w:r>
      <w:r w:rsidR="1432AF4D">
        <w:rPr>
          <w:noProof/>
        </w:rPr>
        <w:t xml:space="preserve"> of the </w:t>
      </w:r>
      <w:r>
        <w:rPr>
          <w:noProof/>
        </w:rPr>
        <w:t xml:space="preserve">concessions </w:t>
      </w:r>
      <w:r w:rsidR="1432AF4D">
        <w:rPr>
          <w:noProof/>
        </w:rPr>
        <w:t xml:space="preserve">market in terms of </w:t>
      </w:r>
      <w:r w:rsidR="00C6282A">
        <w:rPr>
          <w:noProof/>
        </w:rPr>
        <w:t>value. The</w:t>
      </w:r>
      <w:r w:rsidR="394CEBAE">
        <w:rPr>
          <w:noProof/>
        </w:rPr>
        <w:t xml:space="preserve"> </w:t>
      </w:r>
      <w:r w:rsidR="4719C932">
        <w:rPr>
          <w:noProof/>
        </w:rPr>
        <w:t xml:space="preserve">number </w:t>
      </w:r>
      <w:r w:rsidR="394CEBAE">
        <w:rPr>
          <w:noProof/>
        </w:rPr>
        <w:t>and</w:t>
      </w:r>
      <w:r w:rsidR="4719C932">
        <w:rPr>
          <w:noProof/>
        </w:rPr>
        <w:t xml:space="preserve"> value of concessions awarded to SMEs </w:t>
      </w:r>
      <w:r w:rsidR="64E20B1F">
        <w:rPr>
          <w:noProof/>
        </w:rPr>
        <w:t xml:space="preserve">is </w:t>
      </w:r>
      <w:r w:rsidR="001EDCC2">
        <w:rPr>
          <w:noProof/>
        </w:rPr>
        <w:t xml:space="preserve">relatively </w:t>
      </w:r>
      <w:r w:rsidR="64E20B1F">
        <w:rPr>
          <w:noProof/>
        </w:rPr>
        <w:t xml:space="preserve">low </w:t>
      </w:r>
      <w:r w:rsidR="00EE6017">
        <w:rPr>
          <w:noProof/>
        </w:rPr>
        <w:t>compared</w:t>
      </w:r>
      <w:r w:rsidR="64E20B1F">
        <w:rPr>
          <w:noProof/>
        </w:rPr>
        <w:t xml:space="preserve"> to their </w:t>
      </w:r>
      <w:r w:rsidR="4719C932">
        <w:rPr>
          <w:noProof/>
        </w:rPr>
        <w:t>over</w:t>
      </w:r>
      <w:r w:rsidR="00EE6017">
        <w:rPr>
          <w:noProof/>
        </w:rPr>
        <w:t xml:space="preserve">all importance in the economy. </w:t>
      </w:r>
    </w:p>
    <w:p w14:paraId="6BF600FB" w14:textId="64C50854" w:rsidR="00955013" w:rsidRPr="00D54BB0" w:rsidRDefault="2176F27C" w:rsidP="7F984F52">
      <w:pPr>
        <w:rPr>
          <w:noProof/>
          <w:lang w:val="en-IE"/>
        </w:rPr>
      </w:pPr>
      <w:r>
        <w:rPr>
          <w:noProof/>
        </w:rPr>
        <w:t>The SME Strategy and Action Plan on Intellectual Property Rights</w:t>
      </w:r>
      <w:r w:rsidR="00EE6017">
        <w:rPr>
          <w:rStyle w:val="FootnoteReference"/>
          <w:noProof/>
        </w:rPr>
        <w:footnoteReference w:id="24"/>
      </w:r>
      <w:r>
        <w:rPr>
          <w:noProof/>
        </w:rPr>
        <w:t xml:space="preserve"> pointed out that innovation procurement offers untapped opportunities for startups and the development of innovative solutions</w:t>
      </w:r>
      <w:r w:rsidR="3BE407CF">
        <w:rPr>
          <w:noProof/>
        </w:rPr>
        <w:t xml:space="preserve">. </w:t>
      </w:r>
      <w:r w:rsidR="35FAD83A">
        <w:rPr>
          <w:noProof/>
        </w:rPr>
        <w:t xml:space="preserve">Public investment and innovation are two essential ways to meet the challenges of the recovery, the green and digital transition and the creation of a more resilient economy in the EU. </w:t>
      </w:r>
      <w:r w:rsidR="00D54BB0" w:rsidRPr="00D54BB0">
        <w:rPr>
          <w:noProof/>
          <w:lang w:val="en-IE"/>
        </w:rPr>
        <w:t>The Commission considers green public procurement as an important instrument to stimulate the demand for net-zero products at large scale</w:t>
      </w:r>
      <w:r w:rsidR="00D54BB0">
        <w:rPr>
          <w:noProof/>
          <w:lang w:val="en-IE"/>
        </w:rPr>
        <w:t xml:space="preserve"> as reflected in th</w:t>
      </w:r>
      <w:r w:rsidR="00D54BB0" w:rsidRPr="00D54BB0">
        <w:rPr>
          <w:noProof/>
          <w:lang w:val="en-IE"/>
        </w:rPr>
        <w:t>e Green Deal Industrial Plan</w:t>
      </w:r>
      <w:r w:rsidR="00D54BB0" w:rsidRPr="00D54BB0">
        <w:rPr>
          <w:noProof/>
          <w:vertAlign w:val="superscript"/>
          <w:lang w:val="en-IE"/>
        </w:rPr>
        <w:footnoteReference w:id="25"/>
      </w:r>
      <w:r w:rsidR="00D54BB0" w:rsidRPr="00D54BB0">
        <w:rPr>
          <w:noProof/>
          <w:lang w:val="en-IE"/>
        </w:rPr>
        <w:t>.</w:t>
      </w:r>
    </w:p>
    <w:p w14:paraId="237A1704" w14:textId="7A165BAB" w:rsidR="00D54BB0" w:rsidRDefault="00D54BB0" w:rsidP="7F984F52">
      <w:pPr>
        <w:rPr>
          <w:noProof/>
        </w:rPr>
      </w:pPr>
      <w:r>
        <w:rPr>
          <w:noProof/>
        </w:rPr>
        <w:t>Additionally</w:t>
      </w:r>
      <w:r w:rsidR="4101496C">
        <w:rPr>
          <w:noProof/>
        </w:rPr>
        <w:t>,</w:t>
      </w:r>
      <w:r w:rsidR="08822AB1">
        <w:rPr>
          <w:noProof/>
        </w:rPr>
        <w:t xml:space="preserve"> in 2021</w:t>
      </w:r>
      <w:r w:rsidR="5FF21C16">
        <w:rPr>
          <w:noProof/>
        </w:rPr>
        <w:t>,</w:t>
      </w:r>
      <w:r w:rsidR="08822AB1">
        <w:rPr>
          <w:noProof/>
        </w:rPr>
        <w:t xml:space="preserve"> the </w:t>
      </w:r>
      <w:r w:rsidR="4CA0B003">
        <w:rPr>
          <w:noProof/>
        </w:rPr>
        <w:t>C</w:t>
      </w:r>
      <w:r w:rsidR="3BE407CF">
        <w:rPr>
          <w:noProof/>
        </w:rPr>
        <w:t>ommission</w:t>
      </w:r>
      <w:r w:rsidR="23F4D136">
        <w:rPr>
          <w:noProof/>
        </w:rPr>
        <w:t xml:space="preserve"> adopted a</w:t>
      </w:r>
      <w:r w:rsidR="3BE407CF">
        <w:rPr>
          <w:noProof/>
        </w:rPr>
        <w:t xml:space="preserve"> Guidance </w:t>
      </w:r>
      <w:r w:rsidR="00CB67F3">
        <w:rPr>
          <w:noProof/>
        </w:rPr>
        <w:t xml:space="preserve">notice </w:t>
      </w:r>
      <w:r w:rsidR="3BE407CF">
        <w:rPr>
          <w:noProof/>
        </w:rPr>
        <w:t xml:space="preserve">on </w:t>
      </w:r>
      <w:r w:rsidR="45F0347C">
        <w:rPr>
          <w:noProof/>
        </w:rPr>
        <w:t>i</w:t>
      </w:r>
      <w:r w:rsidR="3BE407CF">
        <w:rPr>
          <w:noProof/>
        </w:rPr>
        <w:t>nnovation procurement</w:t>
      </w:r>
      <w:r w:rsidR="00EE6017">
        <w:rPr>
          <w:rStyle w:val="FootnoteReference"/>
          <w:noProof/>
        </w:rPr>
        <w:footnoteReference w:id="26"/>
      </w:r>
      <w:r w:rsidR="040E2F00">
        <w:rPr>
          <w:noProof/>
        </w:rPr>
        <w:t xml:space="preserve"> intended</w:t>
      </w:r>
      <w:r w:rsidR="49A19B47">
        <w:rPr>
          <w:noProof/>
        </w:rPr>
        <w:t xml:space="preserve"> to boost innovation procurement and help economic operators to develop innovative solutions in key industrial ecosystems, in particular where public buyers are critical investors.</w:t>
      </w:r>
    </w:p>
    <w:p w14:paraId="28B4ED85" w14:textId="77777777" w:rsidR="0050467D" w:rsidRPr="00FC798F" w:rsidRDefault="0050467D" w:rsidP="006443E6">
      <w:pPr>
        <w:rPr>
          <w:b/>
          <w:noProof/>
        </w:rPr>
      </w:pPr>
      <w:r w:rsidRPr="00FC798F">
        <w:rPr>
          <w:b/>
          <w:noProof/>
        </w:rPr>
        <w:t>Number of tender offers</w:t>
      </w:r>
    </w:p>
    <w:p w14:paraId="37A00177" w14:textId="4A3CA96B" w:rsidR="00372796" w:rsidRPr="00FC798F" w:rsidRDefault="00520060" w:rsidP="00694741">
      <w:pPr>
        <w:rPr>
          <w:noProof/>
        </w:rPr>
      </w:pPr>
      <w:r>
        <w:rPr>
          <w:noProof/>
        </w:rPr>
        <w:t>Analysis</w:t>
      </w:r>
      <w:r w:rsidR="007D31EF">
        <w:rPr>
          <w:noProof/>
        </w:rPr>
        <w:t xml:space="preserve"> of data collected from </w:t>
      </w:r>
      <w:r w:rsidR="00976E77">
        <w:rPr>
          <w:noProof/>
        </w:rPr>
        <w:t>TED</w:t>
      </w:r>
      <w:r w:rsidR="006C6D29">
        <w:rPr>
          <w:noProof/>
        </w:rPr>
        <w:t xml:space="preserve"> since 18 April </w:t>
      </w:r>
      <w:r w:rsidR="00AA0404" w:rsidRPr="00FC798F">
        <w:rPr>
          <w:noProof/>
        </w:rPr>
        <w:t xml:space="preserve">2016 </w:t>
      </w:r>
      <w:r w:rsidR="00CB67F3" w:rsidRPr="00FC798F">
        <w:rPr>
          <w:noProof/>
        </w:rPr>
        <w:t>show</w:t>
      </w:r>
      <w:r w:rsidR="00CB67F3">
        <w:rPr>
          <w:noProof/>
        </w:rPr>
        <w:t>s</w:t>
      </w:r>
      <w:r w:rsidR="00CB67F3" w:rsidRPr="00FC798F">
        <w:rPr>
          <w:noProof/>
        </w:rPr>
        <w:t xml:space="preserve"> that </w:t>
      </w:r>
      <w:r w:rsidR="00D94A79" w:rsidRPr="00FC798F">
        <w:rPr>
          <w:noProof/>
        </w:rPr>
        <w:t>the yearly</w:t>
      </w:r>
      <w:r w:rsidR="00372796" w:rsidRPr="00FC798F">
        <w:rPr>
          <w:noProof/>
        </w:rPr>
        <w:t xml:space="preserve"> average </w:t>
      </w:r>
      <w:r w:rsidR="00D94A79" w:rsidRPr="00FC798F">
        <w:rPr>
          <w:noProof/>
        </w:rPr>
        <w:t xml:space="preserve">of </w:t>
      </w:r>
      <w:r w:rsidR="006D0418">
        <w:rPr>
          <w:noProof/>
        </w:rPr>
        <w:t xml:space="preserve">number of </w:t>
      </w:r>
      <w:r w:rsidR="00D94A79" w:rsidRPr="00FC798F">
        <w:rPr>
          <w:noProof/>
        </w:rPr>
        <w:t xml:space="preserve">tender </w:t>
      </w:r>
      <w:r w:rsidR="00372796" w:rsidRPr="00FC798F">
        <w:rPr>
          <w:noProof/>
        </w:rPr>
        <w:t xml:space="preserve">offers per concession award notice </w:t>
      </w:r>
      <w:r w:rsidR="00AA0404" w:rsidRPr="00FC798F">
        <w:rPr>
          <w:noProof/>
        </w:rPr>
        <w:t>ha</w:t>
      </w:r>
      <w:r w:rsidR="00CB67F3">
        <w:rPr>
          <w:noProof/>
        </w:rPr>
        <w:t>s</w:t>
      </w:r>
      <w:r w:rsidR="00AA0404" w:rsidRPr="00FC798F">
        <w:rPr>
          <w:noProof/>
        </w:rPr>
        <w:t xml:space="preserve"> decreased between 2016 and 2019. In 2020</w:t>
      </w:r>
      <w:r w:rsidR="00051F84">
        <w:rPr>
          <w:noProof/>
        </w:rPr>
        <w:t xml:space="preserve"> and 2021</w:t>
      </w:r>
      <w:r w:rsidR="00955013">
        <w:rPr>
          <w:noProof/>
        </w:rPr>
        <w:t>,</w:t>
      </w:r>
      <w:r w:rsidR="00AA0404" w:rsidRPr="00FC798F">
        <w:rPr>
          <w:noProof/>
        </w:rPr>
        <w:t xml:space="preserve"> </w:t>
      </w:r>
      <w:r w:rsidR="006D0418">
        <w:rPr>
          <w:noProof/>
        </w:rPr>
        <w:t xml:space="preserve">the average number of </w:t>
      </w:r>
      <w:r w:rsidR="00AA0404" w:rsidRPr="00FC798F">
        <w:rPr>
          <w:noProof/>
        </w:rPr>
        <w:t>offers increase</w:t>
      </w:r>
      <w:r w:rsidR="00CB67F3">
        <w:rPr>
          <w:noProof/>
        </w:rPr>
        <w:t>d,</w:t>
      </w:r>
      <w:r w:rsidR="00AA0404" w:rsidRPr="00FC798F">
        <w:rPr>
          <w:noProof/>
        </w:rPr>
        <w:t xml:space="preserve"> but the 2021 </w:t>
      </w:r>
      <w:r w:rsidR="00955013">
        <w:rPr>
          <w:noProof/>
        </w:rPr>
        <w:t>figure</w:t>
      </w:r>
      <w:r w:rsidR="00AA0404" w:rsidRPr="00FC798F">
        <w:rPr>
          <w:noProof/>
        </w:rPr>
        <w:t xml:space="preserve"> (2</w:t>
      </w:r>
      <w:r w:rsidR="002849CC">
        <w:rPr>
          <w:noProof/>
        </w:rPr>
        <w:t>.</w:t>
      </w:r>
      <w:r w:rsidRPr="00FC798F">
        <w:rPr>
          <w:noProof/>
        </w:rPr>
        <w:t>44</w:t>
      </w:r>
      <w:r w:rsidR="00AA0404" w:rsidRPr="00FC798F">
        <w:rPr>
          <w:noProof/>
        </w:rPr>
        <w:t xml:space="preserve"> tender offers per award) remain</w:t>
      </w:r>
      <w:r w:rsidR="006D0418">
        <w:rPr>
          <w:noProof/>
        </w:rPr>
        <w:t>s</w:t>
      </w:r>
      <w:r w:rsidR="00051F84">
        <w:rPr>
          <w:noProof/>
        </w:rPr>
        <w:t xml:space="preserve"> below 2016</w:t>
      </w:r>
      <w:r w:rsidR="00AA0404" w:rsidRPr="00FC798F">
        <w:rPr>
          <w:noProof/>
        </w:rPr>
        <w:t xml:space="preserve"> values. </w:t>
      </w:r>
    </w:p>
    <w:p w14:paraId="10C911FD" w14:textId="4FE95AFC" w:rsidR="0050467D" w:rsidRPr="00FC798F" w:rsidRDefault="00ABAF2E" w:rsidP="004A2DB9">
      <w:pPr>
        <w:rPr>
          <w:b/>
          <w:noProof/>
        </w:rPr>
      </w:pPr>
      <w:r w:rsidRPr="7F984F52">
        <w:rPr>
          <w:b/>
          <w:bCs/>
          <w:noProof/>
        </w:rPr>
        <w:t>C</w:t>
      </w:r>
      <w:r w:rsidR="10B7B150" w:rsidRPr="7F984F52">
        <w:rPr>
          <w:b/>
          <w:bCs/>
          <w:noProof/>
        </w:rPr>
        <w:t>ross-</w:t>
      </w:r>
      <w:r w:rsidRPr="7F984F52">
        <w:rPr>
          <w:b/>
          <w:bCs/>
          <w:noProof/>
        </w:rPr>
        <w:t>border</w:t>
      </w:r>
      <w:r w:rsidR="00EE6017">
        <w:rPr>
          <w:rStyle w:val="FootnoteReference"/>
          <w:b/>
          <w:bCs/>
          <w:noProof/>
        </w:rPr>
        <w:footnoteReference w:id="27"/>
      </w:r>
      <w:r w:rsidR="631C9D8A" w:rsidRPr="7F984F52">
        <w:rPr>
          <w:b/>
          <w:bCs/>
          <w:noProof/>
        </w:rPr>
        <w:t xml:space="preserve"> participation in</w:t>
      </w:r>
      <w:r w:rsidR="16E51770" w:rsidRPr="7F984F52">
        <w:rPr>
          <w:b/>
          <w:bCs/>
          <w:noProof/>
        </w:rPr>
        <w:t xml:space="preserve"> the EU</w:t>
      </w:r>
      <w:r w:rsidR="631C9D8A" w:rsidRPr="7F984F52">
        <w:rPr>
          <w:b/>
          <w:bCs/>
          <w:noProof/>
        </w:rPr>
        <w:t xml:space="preserve"> </w:t>
      </w:r>
      <w:r w:rsidR="16E51770" w:rsidRPr="7F984F52">
        <w:rPr>
          <w:b/>
          <w:bCs/>
          <w:noProof/>
        </w:rPr>
        <w:t>concessions market</w:t>
      </w:r>
    </w:p>
    <w:p w14:paraId="67F5FA10" w14:textId="75DD6191" w:rsidR="00955013" w:rsidRDefault="3DCAFDA4" w:rsidP="00C04E41">
      <w:pPr>
        <w:rPr>
          <w:noProof/>
        </w:rPr>
      </w:pPr>
      <w:r w:rsidRPr="00C04E41">
        <w:rPr>
          <w:noProof/>
        </w:rPr>
        <w:t>F</w:t>
      </w:r>
      <w:r w:rsidR="4C1395B6" w:rsidRPr="00C04E41">
        <w:rPr>
          <w:noProof/>
        </w:rPr>
        <w:t>or low</w:t>
      </w:r>
      <w:r w:rsidR="00CB67F3">
        <w:rPr>
          <w:noProof/>
        </w:rPr>
        <w:t>-</w:t>
      </w:r>
      <w:r w:rsidR="4C1395B6" w:rsidRPr="00C04E41">
        <w:rPr>
          <w:noProof/>
        </w:rPr>
        <w:t xml:space="preserve">value concessions falling under the </w:t>
      </w:r>
      <w:r w:rsidR="005668FC">
        <w:rPr>
          <w:noProof/>
        </w:rPr>
        <w:t>Directive</w:t>
      </w:r>
      <w:r w:rsidR="4C1395B6" w:rsidRPr="00C04E41">
        <w:rPr>
          <w:noProof/>
        </w:rPr>
        <w:t xml:space="preserve">, the share of </w:t>
      </w:r>
      <w:r w:rsidR="67089609">
        <w:rPr>
          <w:noProof/>
        </w:rPr>
        <w:t>economic operators</w:t>
      </w:r>
      <w:r w:rsidR="4C1395B6" w:rsidRPr="00C04E41">
        <w:rPr>
          <w:noProof/>
        </w:rPr>
        <w:t xml:space="preserve"> bidding from their ho</w:t>
      </w:r>
      <w:r w:rsidR="002656F5">
        <w:rPr>
          <w:noProof/>
        </w:rPr>
        <w:t>me market to win a concession</w:t>
      </w:r>
      <w:r w:rsidR="1BBF6F85">
        <w:rPr>
          <w:noProof/>
        </w:rPr>
        <w:t xml:space="preserve"> in another</w:t>
      </w:r>
      <w:r w:rsidR="4C1395B6" w:rsidRPr="00C04E41">
        <w:rPr>
          <w:noProof/>
        </w:rPr>
        <w:t xml:space="preserve"> Member State</w:t>
      </w:r>
      <w:r w:rsidR="002656F5">
        <w:rPr>
          <w:noProof/>
        </w:rPr>
        <w:t xml:space="preserve"> (direct cross-border)</w:t>
      </w:r>
      <w:r w:rsidR="4C1395B6" w:rsidRPr="00C04E41">
        <w:rPr>
          <w:noProof/>
        </w:rPr>
        <w:t xml:space="preserve"> is </w:t>
      </w:r>
      <w:r w:rsidR="002C58BB">
        <w:rPr>
          <w:noProof/>
        </w:rPr>
        <w:t>2.4 %</w:t>
      </w:r>
      <w:r w:rsidR="00A01EC7">
        <w:rPr>
          <w:noProof/>
        </w:rPr>
        <w:t xml:space="preserve">. The </w:t>
      </w:r>
      <w:r w:rsidR="00745DD3">
        <w:rPr>
          <w:noProof/>
        </w:rPr>
        <w:t xml:space="preserve">share </w:t>
      </w:r>
      <w:r w:rsidR="00A01EC7">
        <w:rPr>
          <w:noProof/>
        </w:rPr>
        <w:t>of e</w:t>
      </w:r>
      <w:r w:rsidR="67089609">
        <w:rPr>
          <w:noProof/>
        </w:rPr>
        <w:t>conomic operators</w:t>
      </w:r>
      <w:r w:rsidR="4C1395B6" w:rsidRPr="00C04E41">
        <w:rPr>
          <w:noProof/>
        </w:rPr>
        <w:t xml:space="preserve"> bidding </w:t>
      </w:r>
      <w:r w:rsidR="002656F5">
        <w:rPr>
          <w:noProof/>
        </w:rPr>
        <w:t xml:space="preserve">and winning </w:t>
      </w:r>
      <w:r w:rsidR="00C6282A" w:rsidRPr="00C04E41">
        <w:rPr>
          <w:noProof/>
        </w:rPr>
        <w:t>through</w:t>
      </w:r>
      <w:r w:rsidR="4C1395B6" w:rsidRPr="00C04E41">
        <w:rPr>
          <w:noProof/>
        </w:rPr>
        <w:t xml:space="preserve"> local subsidiaries </w:t>
      </w:r>
      <w:r w:rsidR="002656F5">
        <w:rPr>
          <w:noProof/>
        </w:rPr>
        <w:t>(indirect cross-border)</w:t>
      </w:r>
      <w:r w:rsidR="4C1395B6" w:rsidRPr="00C04E41">
        <w:rPr>
          <w:noProof/>
        </w:rPr>
        <w:t xml:space="preserve"> </w:t>
      </w:r>
      <w:r w:rsidR="00A01EC7">
        <w:rPr>
          <w:noProof/>
        </w:rPr>
        <w:t xml:space="preserve">is </w:t>
      </w:r>
      <w:r w:rsidR="002656F5">
        <w:rPr>
          <w:noProof/>
        </w:rPr>
        <w:t>15.5%.</w:t>
      </w:r>
      <w:r w:rsidR="4C1395B6" w:rsidRPr="00C04E41">
        <w:rPr>
          <w:noProof/>
        </w:rPr>
        <w:t xml:space="preserve"> Cross-border awards for high</w:t>
      </w:r>
      <w:r w:rsidR="00CB67F3">
        <w:rPr>
          <w:noProof/>
        </w:rPr>
        <w:t>-</w:t>
      </w:r>
      <w:r w:rsidR="4C1395B6" w:rsidRPr="00C04E41">
        <w:rPr>
          <w:noProof/>
        </w:rPr>
        <w:t>valu</w:t>
      </w:r>
      <w:r w:rsidR="002656F5">
        <w:rPr>
          <w:noProof/>
        </w:rPr>
        <w:t>e concession stands at 3.4% for direct cross-border and 8.5% for indirect cross border</w:t>
      </w:r>
      <w:r w:rsidR="002656F5">
        <w:rPr>
          <w:rStyle w:val="FootnoteReference"/>
          <w:noProof/>
        </w:rPr>
        <w:footnoteReference w:id="28"/>
      </w:r>
      <w:r w:rsidR="002656F5">
        <w:rPr>
          <w:noProof/>
        </w:rPr>
        <w:t>.</w:t>
      </w:r>
    </w:p>
    <w:p w14:paraId="3F0AF1FC" w14:textId="3F5A86EB" w:rsidR="00C04E41" w:rsidRDefault="4C1395B6" w:rsidP="00C04E41">
      <w:pPr>
        <w:rPr>
          <w:noProof/>
        </w:rPr>
      </w:pPr>
      <w:r w:rsidRPr="00C04E41">
        <w:rPr>
          <w:noProof/>
        </w:rPr>
        <w:t xml:space="preserve">Regarding intra-EU </w:t>
      </w:r>
      <w:r w:rsidR="00CB67F3" w:rsidRPr="00CB67F3">
        <w:rPr>
          <w:noProof/>
        </w:rPr>
        <w:t xml:space="preserve">(cross-border) </w:t>
      </w:r>
      <w:r w:rsidRPr="00C04E41">
        <w:rPr>
          <w:noProof/>
        </w:rPr>
        <w:t xml:space="preserve">awards, firms headquartered in France but with subsidiaries in other </w:t>
      </w:r>
      <w:r w:rsidR="005668FC">
        <w:rPr>
          <w:noProof/>
        </w:rPr>
        <w:t>M</w:t>
      </w:r>
      <w:r w:rsidR="0087047D">
        <w:rPr>
          <w:noProof/>
        </w:rPr>
        <w:t xml:space="preserve">ember </w:t>
      </w:r>
      <w:r w:rsidR="005668FC">
        <w:rPr>
          <w:noProof/>
        </w:rPr>
        <w:t>S</w:t>
      </w:r>
      <w:r w:rsidR="0087047D">
        <w:rPr>
          <w:noProof/>
        </w:rPr>
        <w:t>tates</w:t>
      </w:r>
      <w:r w:rsidRPr="00C04E41">
        <w:rPr>
          <w:noProof/>
        </w:rPr>
        <w:t xml:space="preserve"> are among the mos</w:t>
      </w:r>
      <w:r w:rsidR="00F50373">
        <w:rPr>
          <w:noProof/>
        </w:rPr>
        <w:t>t frequent winners of intra-EU (</w:t>
      </w:r>
      <w:r w:rsidRPr="00C04E41">
        <w:rPr>
          <w:noProof/>
        </w:rPr>
        <w:t>cross-border) concession contract, followed b</w:t>
      </w:r>
      <w:r w:rsidR="00EE6017">
        <w:rPr>
          <w:noProof/>
        </w:rPr>
        <w:t xml:space="preserve">y </w:t>
      </w:r>
      <w:r w:rsidR="00C6282A">
        <w:rPr>
          <w:noProof/>
        </w:rPr>
        <w:t>firms from</w:t>
      </w:r>
      <w:r w:rsidR="00CB67F3">
        <w:rPr>
          <w:noProof/>
        </w:rPr>
        <w:t xml:space="preserve"> </w:t>
      </w:r>
      <w:r w:rsidR="00EE6017">
        <w:rPr>
          <w:noProof/>
        </w:rPr>
        <w:t>Luxembourg, Germany and Sweden</w:t>
      </w:r>
      <w:r w:rsidR="00EE6017">
        <w:rPr>
          <w:rStyle w:val="FootnoteReference"/>
          <w:noProof/>
        </w:rPr>
        <w:footnoteReference w:id="29"/>
      </w:r>
      <w:r w:rsidRPr="00C04E41">
        <w:rPr>
          <w:noProof/>
        </w:rPr>
        <w:t>.</w:t>
      </w:r>
    </w:p>
    <w:p w14:paraId="49E78BEB" w14:textId="70B37A09" w:rsidR="00C46D50" w:rsidRDefault="00C46D50" w:rsidP="00C04E41">
      <w:pPr>
        <w:rPr>
          <w:noProof/>
        </w:rPr>
      </w:pPr>
      <w:r w:rsidRPr="00C46D50">
        <w:rPr>
          <w:iCs/>
          <w:noProof/>
          <w:lang w:val="en-GB"/>
        </w:rPr>
        <w:t xml:space="preserve">A survey made as part of </w:t>
      </w:r>
      <w:r w:rsidR="00C6282A" w:rsidRPr="00C46D50">
        <w:rPr>
          <w:iCs/>
          <w:noProof/>
          <w:lang w:val="en-GB"/>
        </w:rPr>
        <w:t>a</w:t>
      </w:r>
      <w:r w:rsidRPr="00C46D50">
        <w:rPr>
          <w:iCs/>
          <w:noProof/>
          <w:lang w:val="en-GB"/>
        </w:rPr>
        <w:t xml:space="preserve"> recent study</w:t>
      </w:r>
      <w:r w:rsidRPr="00C46D50">
        <w:rPr>
          <w:iCs/>
          <w:noProof/>
          <w:vertAlign w:val="superscript"/>
          <w:lang w:val="en-GB"/>
        </w:rPr>
        <w:footnoteReference w:id="30"/>
      </w:r>
      <w:r w:rsidRPr="00C46D50">
        <w:rPr>
          <w:iCs/>
          <w:noProof/>
          <w:lang w:val="en-GB"/>
        </w:rPr>
        <w:t xml:space="preserve"> indicated that the companies perceive the following barriers in respect to the process of cross-border and foreign participation and contract implementation: burdensome administrative requirements and legal framework, difficult access to procurement information, and language</w:t>
      </w:r>
      <w:r w:rsidRPr="00C46D50">
        <w:rPr>
          <w:b/>
          <w:bCs/>
          <w:iCs/>
          <w:noProof/>
          <w:lang w:val="en-GB"/>
        </w:rPr>
        <w:t>.</w:t>
      </w:r>
    </w:p>
    <w:p w14:paraId="36B8ACC1" w14:textId="6F176331" w:rsidR="00073EF7" w:rsidRDefault="00955013" w:rsidP="00AB006F">
      <w:pPr>
        <w:pBdr>
          <w:top w:val="single" w:sz="4" w:space="1" w:color="auto"/>
          <w:left w:val="single" w:sz="4" w:space="4" w:color="auto"/>
          <w:bottom w:val="single" w:sz="4" w:space="1" w:color="auto"/>
          <w:right w:val="single" w:sz="4" w:space="4" w:color="auto"/>
        </w:pBdr>
        <w:rPr>
          <w:b/>
          <w:bCs/>
          <w:i/>
          <w:noProof/>
        </w:rPr>
      </w:pPr>
      <w:r w:rsidRPr="00D67EB1">
        <w:rPr>
          <w:b/>
          <w:bCs/>
          <w:i/>
          <w:noProof/>
        </w:rPr>
        <w:t xml:space="preserve">Box </w:t>
      </w:r>
      <w:r w:rsidR="005205B0">
        <w:rPr>
          <w:b/>
          <w:bCs/>
          <w:i/>
          <w:noProof/>
        </w:rPr>
        <w:t>2</w:t>
      </w:r>
      <w:r w:rsidR="00C6282A" w:rsidRPr="00D67EB1">
        <w:rPr>
          <w:b/>
          <w:bCs/>
          <w:i/>
          <w:noProof/>
        </w:rPr>
        <w:t>: Foreign</w:t>
      </w:r>
      <w:r w:rsidRPr="00D67EB1">
        <w:rPr>
          <w:b/>
          <w:bCs/>
          <w:i/>
          <w:noProof/>
        </w:rPr>
        <w:t xml:space="preserve"> </w:t>
      </w:r>
      <w:r w:rsidR="00894CE5">
        <w:rPr>
          <w:b/>
          <w:bCs/>
          <w:i/>
          <w:noProof/>
        </w:rPr>
        <w:t xml:space="preserve">participation to the </w:t>
      </w:r>
      <w:r w:rsidR="00745DD3">
        <w:rPr>
          <w:b/>
          <w:bCs/>
          <w:i/>
          <w:noProof/>
        </w:rPr>
        <w:t xml:space="preserve">EU </w:t>
      </w:r>
      <w:r w:rsidR="00894CE5">
        <w:rPr>
          <w:b/>
          <w:bCs/>
          <w:i/>
          <w:noProof/>
        </w:rPr>
        <w:t>concessions market</w:t>
      </w:r>
    </w:p>
    <w:p w14:paraId="3CBA3417" w14:textId="43C4102B" w:rsidR="00073EF7" w:rsidRPr="00073EF7" w:rsidRDefault="00073EF7" w:rsidP="00AB006F">
      <w:pPr>
        <w:pBdr>
          <w:top w:val="single" w:sz="4" w:space="1" w:color="auto"/>
          <w:left w:val="single" w:sz="4" w:space="4" w:color="auto"/>
          <w:bottom w:val="single" w:sz="4" w:space="1" w:color="auto"/>
          <w:right w:val="single" w:sz="4" w:space="4" w:color="auto"/>
        </w:pBdr>
        <w:rPr>
          <w:b/>
          <w:bCs/>
          <w:i/>
          <w:noProof/>
        </w:rPr>
      </w:pPr>
      <w:r>
        <w:rPr>
          <w:bCs/>
          <w:i/>
          <w:noProof/>
        </w:rPr>
        <w:t xml:space="preserve">When </w:t>
      </w:r>
      <w:r w:rsidRPr="00073EF7">
        <w:rPr>
          <w:i/>
          <w:noProof/>
        </w:rPr>
        <w:t>comparing the number of intra-EU (cross-border) with non-EU (foreign)</w:t>
      </w:r>
      <w:r w:rsidR="00694DF5">
        <w:rPr>
          <w:rStyle w:val="FootnoteReference"/>
          <w:i/>
          <w:noProof/>
        </w:rPr>
        <w:footnoteReference w:id="31"/>
      </w:r>
      <w:r w:rsidRPr="00073EF7">
        <w:rPr>
          <w:i/>
          <w:noProof/>
        </w:rPr>
        <w:t xml:space="preserve"> awards, concessionaires coming from non-EU countries prevail. Regarding non-EU awards, firms headquartered in the United Kingdom and the United States but with subsidiaries within the EU are the most frequent foreign winners of concession contracts.</w:t>
      </w:r>
    </w:p>
    <w:p w14:paraId="66C0D1D4" w14:textId="47C4A5B2" w:rsidR="00561AE5" w:rsidRPr="00AB3061" w:rsidRDefault="2298B78A" w:rsidP="533CB439">
      <w:pPr>
        <w:pBdr>
          <w:top w:val="single" w:sz="4" w:space="1" w:color="auto"/>
          <w:left w:val="single" w:sz="4" w:space="4" w:color="auto"/>
          <w:bottom w:val="single" w:sz="4" w:space="1" w:color="auto"/>
          <w:right w:val="single" w:sz="4" w:space="4" w:color="auto"/>
        </w:pBdr>
        <w:rPr>
          <w:i/>
          <w:iCs/>
          <w:noProof/>
          <w:szCs w:val="24"/>
        </w:rPr>
      </w:pPr>
      <w:r w:rsidRPr="533CB439">
        <w:rPr>
          <w:i/>
          <w:iCs/>
          <w:noProof/>
        </w:rPr>
        <w:t xml:space="preserve">The Commission </w:t>
      </w:r>
      <w:r w:rsidR="00955013" w:rsidRPr="533CB439">
        <w:rPr>
          <w:i/>
          <w:iCs/>
          <w:noProof/>
        </w:rPr>
        <w:t xml:space="preserve">has </w:t>
      </w:r>
      <w:r w:rsidR="004970FD" w:rsidRPr="533CB439">
        <w:rPr>
          <w:i/>
          <w:iCs/>
          <w:noProof/>
        </w:rPr>
        <w:t xml:space="preserve">adopted </w:t>
      </w:r>
      <w:r w:rsidR="00985CCD" w:rsidRPr="533CB439">
        <w:rPr>
          <w:i/>
          <w:iCs/>
          <w:noProof/>
        </w:rPr>
        <w:t xml:space="preserve">measures </w:t>
      </w:r>
      <w:r w:rsidR="000E7E30" w:rsidRPr="533CB439">
        <w:rPr>
          <w:i/>
          <w:iCs/>
          <w:noProof/>
        </w:rPr>
        <w:t xml:space="preserve"> to prevent</w:t>
      </w:r>
      <w:r w:rsidR="00955013" w:rsidRPr="533CB439">
        <w:rPr>
          <w:i/>
          <w:iCs/>
          <w:noProof/>
        </w:rPr>
        <w:t xml:space="preserve"> distortion of the internal market</w:t>
      </w:r>
      <w:r w:rsidR="00985CCD" w:rsidRPr="533CB439">
        <w:rPr>
          <w:i/>
          <w:iCs/>
          <w:noProof/>
        </w:rPr>
        <w:t xml:space="preserve"> due to foreign subsidies, including in the public procurement and concessions market</w:t>
      </w:r>
      <w:r w:rsidRPr="533CB439">
        <w:rPr>
          <w:i/>
          <w:iCs/>
          <w:noProof/>
        </w:rPr>
        <w:t>. In this respect</w:t>
      </w:r>
      <w:r w:rsidR="00955013" w:rsidRPr="533CB439">
        <w:rPr>
          <w:i/>
          <w:iCs/>
          <w:noProof/>
        </w:rPr>
        <w:t xml:space="preserve">, </w:t>
      </w:r>
      <w:r w:rsidRPr="533CB439">
        <w:rPr>
          <w:i/>
          <w:iCs/>
          <w:noProof/>
        </w:rPr>
        <w:t xml:space="preserve">the </w:t>
      </w:r>
      <w:r w:rsidR="5114C80A" w:rsidRPr="533CB439">
        <w:rPr>
          <w:i/>
          <w:iCs/>
          <w:noProof/>
        </w:rPr>
        <w:t>Regulation on foreign subsidies</w:t>
      </w:r>
      <w:r w:rsidR="00D67EB1" w:rsidRPr="533CB439">
        <w:rPr>
          <w:rStyle w:val="FootnoteReference"/>
          <w:i/>
          <w:iCs/>
          <w:noProof/>
        </w:rPr>
        <w:footnoteReference w:id="32"/>
      </w:r>
      <w:r w:rsidRPr="533CB439">
        <w:rPr>
          <w:i/>
          <w:iCs/>
          <w:noProof/>
        </w:rPr>
        <w:t xml:space="preserve"> </w:t>
      </w:r>
      <w:r w:rsidR="2B47EBC2" w:rsidRPr="533CB439">
        <w:rPr>
          <w:i/>
          <w:iCs/>
          <w:noProof/>
        </w:rPr>
        <w:t xml:space="preserve">adopted on 14 December 2022 </w:t>
      </w:r>
      <w:r w:rsidR="00955013" w:rsidRPr="533CB439">
        <w:rPr>
          <w:i/>
          <w:iCs/>
          <w:noProof/>
        </w:rPr>
        <w:t xml:space="preserve">aims </w:t>
      </w:r>
      <w:r w:rsidRPr="533CB439">
        <w:rPr>
          <w:i/>
          <w:iCs/>
          <w:noProof/>
        </w:rPr>
        <w:t xml:space="preserve">to tackle adequately </w:t>
      </w:r>
      <w:r w:rsidR="00985CCD" w:rsidRPr="533CB439">
        <w:rPr>
          <w:i/>
          <w:iCs/>
          <w:noProof/>
        </w:rPr>
        <w:t xml:space="preserve">tenders benefiting from </w:t>
      </w:r>
      <w:r w:rsidRPr="533CB439">
        <w:rPr>
          <w:i/>
          <w:iCs/>
          <w:noProof/>
        </w:rPr>
        <w:t>foreign subsidi</w:t>
      </w:r>
      <w:r w:rsidR="00985CCD" w:rsidRPr="533CB439">
        <w:rPr>
          <w:i/>
          <w:iCs/>
          <w:noProof/>
        </w:rPr>
        <w:t xml:space="preserve">es </w:t>
      </w:r>
      <w:r w:rsidRPr="533CB439">
        <w:rPr>
          <w:i/>
          <w:iCs/>
          <w:noProof/>
        </w:rPr>
        <w:t>in public procurement contracts and concessions which cause distortions in the internal market.</w:t>
      </w:r>
      <w:r w:rsidR="43A1B776" w:rsidRPr="533CB439">
        <w:rPr>
          <w:i/>
          <w:iCs/>
          <w:noProof/>
        </w:rPr>
        <w:t xml:space="preserve"> </w:t>
      </w:r>
      <w:r w:rsidR="43A1B776" w:rsidRPr="00AB3061">
        <w:rPr>
          <w:i/>
          <w:iCs/>
          <w:noProof/>
          <w:color w:val="333333"/>
          <w:szCs w:val="24"/>
        </w:rPr>
        <w:t>The Commission has the power, upon notification prior to the award of a contract, to examine information on foreign financial contributions to the participating economic operator in the context of a public procurement</w:t>
      </w:r>
      <w:r w:rsidR="43A1B776" w:rsidRPr="533CB439">
        <w:rPr>
          <w:i/>
          <w:iCs/>
          <w:noProof/>
          <w:color w:val="333333"/>
          <w:szCs w:val="24"/>
        </w:rPr>
        <w:t xml:space="preserve"> and concession</w:t>
      </w:r>
      <w:r w:rsidR="43BEA763" w:rsidRPr="533CB439">
        <w:rPr>
          <w:i/>
          <w:iCs/>
          <w:noProof/>
          <w:color w:val="333333"/>
          <w:szCs w:val="24"/>
        </w:rPr>
        <w:t xml:space="preserve"> tender procedure</w:t>
      </w:r>
      <w:r w:rsidR="43A1B776" w:rsidRPr="00AB3061">
        <w:rPr>
          <w:i/>
          <w:iCs/>
          <w:noProof/>
          <w:color w:val="333333"/>
          <w:szCs w:val="24"/>
        </w:rPr>
        <w:t xml:space="preserve">. Prior notifications </w:t>
      </w:r>
      <w:r w:rsidR="7838F4B4" w:rsidRPr="533CB439">
        <w:rPr>
          <w:i/>
          <w:iCs/>
          <w:noProof/>
          <w:color w:val="333333"/>
          <w:szCs w:val="24"/>
        </w:rPr>
        <w:t>are</w:t>
      </w:r>
      <w:r w:rsidR="43A1B776" w:rsidRPr="00AB3061">
        <w:rPr>
          <w:i/>
          <w:iCs/>
          <w:noProof/>
          <w:color w:val="333333"/>
          <w:szCs w:val="24"/>
        </w:rPr>
        <w:t xml:space="preserve"> mandatory above a threshold</w:t>
      </w:r>
      <w:r w:rsidR="21EC7F21" w:rsidRPr="533CB439">
        <w:rPr>
          <w:i/>
          <w:iCs/>
          <w:noProof/>
          <w:color w:val="333333"/>
          <w:szCs w:val="24"/>
        </w:rPr>
        <w:t xml:space="preserve"> of EUR 250 Million,</w:t>
      </w:r>
      <w:r w:rsidR="43A1B776" w:rsidRPr="00AB3061">
        <w:rPr>
          <w:i/>
          <w:iCs/>
          <w:noProof/>
          <w:color w:val="333333"/>
          <w:szCs w:val="24"/>
        </w:rPr>
        <w:t xml:space="preserve"> to capture economically significant cases</w:t>
      </w:r>
      <w:r w:rsidR="5BA250F3" w:rsidRPr="533CB439">
        <w:rPr>
          <w:i/>
          <w:iCs/>
          <w:noProof/>
          <w:color w:val="333333"/>
          <w:szCs w:val="24"/>
        </w:rPr>
        <w:t>.</w:t>
      </w:r>
      <w:r w:rsidR="00CD21BE">
        <w:rPr>
          <w:i/>
          <w:iCs/>
          <w:noProof/>
          <w:color w:val="333333"/>
          <w:szCs w:val="24"/>
        </w:rPr>
        <w:t xml:space="preserve"> The Regulation will apply from 12 July 2023. </w:t>
      </w:r>
    </w:p>
    <w:p w14:paraId="6CF9BE37" w14:textId="79415952" w:rsidR="002F6E1A" w:rsidRDefault="002F6E1A" w:rsidP="00AB006F">
      <w:pPr>
        <w:pBdr>
          <w:top w:val="single" w:sz="4" w:space="1" w:color="auto"/>
          <w:left w:val="single" w:sz="4" w:space="4" w:color="auto"/>
          <w:bottom w:val="single" w:sz="4" w:space="1" w:color="auto"/>
          <w:right w:val="single" w:sz="4" w:space="4" w:color="auto"/>
        </w:pBdr>
        <w:rPr>
          <w:i/>
          <w:noProof/>
        </w:rPr>
      </w:pPr>
      <w:r w:rsidRPr="533CB439">
        <w:rPr>
          <w:i/>
          <w:iCs/>
          <w:noProof/>
        </w:rPr>
        <w:t>The International Procurement Instrument Regulation (IPI)</w:t>
      </w:r>
      <w:r w:rsidRPr="533CB439">
        <w:rPr>
          <w:rStyle w:val="FootnoteReference"/>
          <w:i/>
          <w:iCs/>
          <w:noProof/>
        </w:rPr>
        <w:footnoteReference w:id="33"/>
      </w:r>
      <w:r w:rsidRPr="533CB439">
        <w:rPr>
          <w:i/>
          <w:iCs/>
          <w:noProof/>
        </w:rPr>
        <w:t xml:space="preserve"> aims to open up the procurement and concession markets of third countries that restrict access of EU economic operators, goods or services by enabling the Commission to investigate cases and simultaneously hold consultations with the third country concerned on removing the alleged restrictions. However, if the consultations with that third country fail, the Commission can adopt IPI measures to restrict access of operators, goods and services of that third country to the EU procurement and concessions markets. </w:t>
      </w:r>
    </w:p>
    <w:p w14:paraId="21F21961" w14:textId="4AC4DF29" w:rsidR="00401D6D" w:rsidRPr="00FC798F" w:rsidRDefault="00AA331C" w:rsidP="00AA331C">
      <w:pPr>
        <w:pStyle w:val="ManualHeading1"/>
        <w:rPr>
          <w:noProof/>
        </w:rPr>
      </w:pPr>
      <w:r w:rsidRPr="00AA331C">
        <w:t>5.</w:t>
      </w:r>
      <w:r w:rsidRPr="00AA331C">
        <w:tab/>
      </w:r>
      <w:r w:rsidR="00F73C8F" w:rsidRPr="00FC798F">
        <w:rPr>
          <w:noProof/>
        </w:rPr>
        <w:t xml:space="preserve">findings on the impact of the </w:t>
      </w:r>
      <w:r w:rsidR="005668FC">
        <w:rPr>
          <w:noProof/>
        </w:rPr>
        <w:t>Directive</w:t>
      </w:r>
      <w:r w:rsidR="00F73C8F" w:rsidRPr="00FC798F">
        <w:rPr>
          <w:noProof/>
        </w:rPr>
        <w:t xml:space="preserve"> on </w:t>
      </w:r>
      <w:r w:rsidR="000D4647" w:rsidRPr="00FC798F">
        <w:rPr>
          <w:noProof/>
        </w:rPr>
        <w:t>the water sector</w:t>
      </w:r>
      <w:r w:rsidR="00C469FB" w:rsidRPr="00FC798F">
        <w:rPr>
          <w:noProof/>
        </w:rPr>
        <w:t xml:space="preserve"> </w:t>
      </w:r>
    </w:p>
    <w:p w14:paraId="31A45E94" w14:textId="77B9F4E0" w:rsidR="00F50373" w:rsidRDefault="00581ECA" w:rsidP="00E9344D">
      <w:pPr>
        <w:rPr>
          <w:noProof/>
        </w:rPr>
      </w:pPr>
      <w:r>
        <w:rPr>
          <w:noProof/>
        </w:rPr>
        <w:t>T</w:t>
      </w:r>
      <w:r w:rsidR="222354B8" w:rsidRPr="23FFF65E">
        <w:rPr>
          <w:noProof/>
        </w:rPr>
        <w:t xml:space="preserve">he </w:t>
      </w:r>
      <w:r w:rsidR="005668FC">
        <w:rPr>
          <w:noProof/>
        </w:rPr>
        <w:t>Directive</w:t>
      </w:r>
      <w:r w:rsidR="222354B8" w:rsidRPr="23FFF65E">
        <w:rPr>
          <w:noProof/>
        </w:rPr>
        <w:t xml:space="preserve"> excludes concessions for the provision or operation of networks intended to provide production, distribution or transport of water as a service to the public. All concessions regarding the supply of water to these networks are excluded</w:t>
      </w:r>
      <w:r w:rsidR="00D67EB1">
        <w:rPr>
          <w:noProof/>
        </w:rPr>
        <w:t>,</w:t>
      </w:r>
      <w:r w:rsidR="222354B8" w:rsidRPr="23FFF65E">
        <w:rPr>
          <w:noProof/>
        </w:rPr>
        <w:t xml:space="preserve"> as are those regarding the disposal or treatment of sewage. However, some </w:t>
      </w:r>
      <w:r w:rsidR="005668FC">
        <w:rPr>
          <w:noProof/>
        </w:rPr>
        <w:t>M</w:t>
      </w:r>
      <w:r w:rsidR="0087047D">
        <w:rPr>
          <w:noProof/>
        </w:rPr>
        <w:t xml:space="preserve">ember </w:t>
      </w:r>
      <w:r w:rsidR="005668FC">
        <w:rPr>
          <w:noProof/>
        </w:rPr>
        <w:t>S</w:t>
      </w:r>
      <w:r w:rsidR="0087047D">
        <w:rPr>
          <w:noProof/>
        </w:rPr>
        <w:t>tates</w:t>
      </w:r>
      <w:r w:rsidR="222354B8" w:rsidRPr="23FFF65E">
        <w:rPr>
          <w:noProof/>
        </w:rPr>
        <w:t xml:space="preserve"> </w:t>
      </w:r>
      <w:r w:rsidR="4C1395B6" w:rsidRPr="23FFF65E">
        <w:rPr>
          <w:noProof/>
        </w:rPr>
        <w:t>have decided</w:t>
      </w:r>
      <w:r w:rsidR="222354B8" w:rsidRPr="23FFF65E">
        <w:rPr>
          <w:noProof/>
        </w:rPr>
        <w:t xml:space="preserve"> to include all th</w:t>
      </w:r>
      <w:r w:rsidR="00CB67F3">
        <w:rPr>
          <w:noProof/>
        </w:rPr>
        <w:t>o</w:t>
      </w:r>
      <w:r w:rsidR="222354B8" w:rsidRPr="23FFF65E">
        <w:rPr>
          <w:noProof/>
        </w:rPr>
        <w:t xml:space="preserve">se </w:t>
      </w:r>
      <w:r w:rsidR="4C1395B6" w:rsidRPr="23FFF65E">
        <w:rPr>
          <w:noProof/>
        </w:rPr>
        <w:t xml:space="preserve">activities </w:t>
      </w:r>
      <w:r w:rsidR="222354B8" w:rsidRPr="23FFF65E">
        <w:rPr>
          <w:noProof/>
        </w:rPr>
        <w:t>in their national transposition measures</w:t>
      </w:r>
      <w:r w:rsidR="00F50373">
        <w:rPr>
          <w:noProof/>
        </w:rPr>
        <w:t>.</w:t>
      </w:r>
    </w:p>
    <w:p w14:paraId="0CB0066D" w14:textId="17A8612B" w:rsidR="00BE6CF9" w:rsidRPr="00FC798F" w:rsidRDefault="00164CD0" w:rsidP="00E9344D">
      <w:pPr>
        <w:rPr>
          <w:i/>
          <w:noProof/>
        </w:rPr>
      </w:pPr>
      <w:r>
        <w:rPr>
          <w:b/>
          <w:noProof/>
        </w:rPr>
        <w:t xml:space="preserve">Overview of the water sector in the EU </w:t>
      </w:r>
    </w:p>
    <w:p w14:paraId="614A92E5" w14:textId="73454B3A" w:rsidR="00D236DE" w:rsidRPr="00D236DE" w:rsidRDefault="00D236DE" w:rsidP="00D236DE">
      <w:pPr>
        <w:rPr>
          <w:noProof/>
        </w:rPr>
      </w:pPr>
      <w:r w:rsidRPr="00D236DE">
        <w:rPr>
          <w:noProof/>
        </w:rPr>
        <w:t>In 2021, the EU water industry supplie</w:t>
      </w:r>
      <w:r w:rsidR="00CB67F3">
        <w:rPr>
          <w:noProof/>
        </w:rPr>
        <w:t>d</w:t>
      </w:r>
      <w:r w:rsidRPr="00D236DE">
        <w:rPr>
          <w:noProof/>
        </w:rPr>
        <w:t xml:space="preserve"> drinking water to approximately 450 million EU residents. According to Eurostat, almost </w:t>
      </w:r>
      <w:r w:rsidR="009D30EA" w:rsidRPr="00D236DE">
        <w:rPr>
          <w:noProof/>
        </w:rPr>
        <w:t>15</w:t>
      </w:r>
      <w:r w:rsidR="009D30EA">
        <w:rPr>
          <w:noProof/>
        </w:rPr>
        <w:t> </w:t>
      </w:r>
      <w:r w:rsidRPr="00D236DE">
        <w:rPr>
          <w:noProof/>
        </w:rPr>
        <w:t xml:space="preserve">500 companies are active in the collection, treatment and supply of water and around </w:t>
      </w:r>
      <w:r w:rsidR="009D30EA" w:rsidRPr="00D236DE">
        <w:rPr>
          <w:noProof/>
        </w:rPr>
        <w:t>11</w:t>
      </w:r>
      <w:r w:rsidR="009D30EA">
        <w:rPr>
          <w:noProof/>
        </w:rPr>
        <w:t> </w:t>
      </w:r>
      <w:r w:rsidRPr="00D236DE">
        <w:rPr>
          <w:noProof/>
        </w:rPr>
        <w:t>000 in sewage</w:t>
      </w:r>
      <w:r w:rsidR="00983EEF">
        <w:rPr>
          <w:noProof/>
        </w:rPr>
        <w:t>.</w:t>
      </w:r>
      <w:r w:rsidRPr="00D236DE">
        <w:rPr>
          <w:noProof/>
        </w:rPr>
        <w:t xml:space="preserve"> While companies active in the water sector operate mainly at the domestic level, there is some cross-border participation mainly indirectly, through foreign</w:t>
      </w:r>
      <w:r w:rsidR="009207E2">
        <w:rPr>
          <w:noProof/>
        </w:rPr>
        <w:t>-</w:t>
      </w:r>
      <w:r w:rsidRPr="00D236DE">
        <w:rPr>
          <w:noProof/>
        </w:rPr>
        <w:t>owned local subsidiaries.</w:t>
      </w:r>
    </w:p>
    <w:p w14:paraId="5EDDF6C9" w14:textId="64BC08C8" w:rsidR="004019AD" w:rsidRDefault="004019AD" w:rsidP="00D236DE">
      <w:pPr>
        <w:rPr>
          <w:noProof/>
        </w:rPr>
      </w:pPr>
      <w:r w:rsidRPr="004019AD">
        <w:rPr>
          <w:noProof/>
        </w:rPr>
        <w:t>From an economic perspecti</w:t>
      </w:r>
      <w:r>
        <w:rPr>
          <w:noProof/>
        </w:rPr>
        <w:t xml:space="preserve">ve, water </w:t>
      </w:r>
      <w:r w:rsidRPr="004019AD">
        <w:rPr>
          <w:noProof/>
        </w:rPr>
        <w:t>is a highly ca</w:t>
      </w:r>
      <w:r>
        <w:rPr>
          <w:noProof/>
        </w:rPr>
        <w:t>pital-intensive sector, with</w:t>
      </w:r>
      <w:r w:rsidRPr="004019AD">
        <w:rPr>
          <w:noProof/>
        </w:rPr>
        <w:t xml:space="preserve"> market failur</w:t>
      </w:r>
      <w:r>
        <w:rPr>
          <w:noProof/>
        </w:rPr>
        <w:t>es which may require</w:t>
      </w:r>
      <w:r w:rsidRPr="004019AD">
        <w:rPr>
          <w:noProof/>
        </w:rPr>
        <w:t xml:space="preserve"> </w:t>
      </w:r>
      <w:r w:rsidR="009D30EA">
        <w:rPr>
          <w:noProof/>
        </w:rPr>
        <w:t>S</w:t>
      </w:r>
      <w:r w:rsidRPr="004019AD">
        <w:rPr>
          <w:noProof/>
        </w:rPr>
        <w:t>tate</w:t>
      </w:r>
      <w:r>
        <w:rPr>
          <w:noProof/>
        </w:rPr>
        <w:t xml:space="preserve"> </w:t>
      </w:r>
      <w:r w:rsidR="009D30EA">
        <w:rPr>
          <w:noProof/>
        </w:rPr>
        <w:t>intervention</w:t>
      </w:r>
      <w:r>
        <w:rPr>
          <w:noProof/>
        </w:rPr>
        <w:t>. They include,</w:t>
      </w:r>
      <w:r w:rsidRPr="004019AD">
        <w:rPr>
          <w:noProof/>
        </w:rPr>
        <w:t xml:space="preserve"> </w:t>
      </w:r>
      <w:r>
        <w:rPr>
          <w:noProof/>
        </w:rPr>
        <w:t xml:space="preserve">on the one hand, </w:t>
      </w:r>
      <w:r w:rsidRPr="004019AD">
        <w:rPr>
          <w:noProof/>
        </w:rPr>
        <w:t>t</w:t>
      </w:r>
      <w:r>
        <w:rPr>
          <w:noProof/>
        </w:rPr>
        <w:t xml:space="preserve">he essential nature of water and on the other hand, </w:t>
      </w:r>
      <w:r w:rsidRPr="004019AD">
        <w:rPr>
          <w:noProof/>
        </w:rPr>
        <w:t xml:space="preserve">the scale of the sunk investments </w:t>
      </w:r>
      <w:r>
        <w:rPr>
          <w:noProof/>
        </w:rPr>
        <w:t xml:space="preserve">in networks notably in remote </w:t>
      </w:r>
      <w:r w:rsidR="0074417C">
        <w:rPr>
          <w:noProof/>
        </w:rPr>
        <w:t xml:space="preserve">or scarcely populated </w:t>
      </w:r>
      <w:r>
        <w:rPr>
          <w:noProof/>
        </w:rPr>
        <w:t>are</w:t>
      </w:r>
      <w:r w:rsidR="0074417C">
        <w:rPr>
          <w:noProof/>
        </w:rPr>
        <w:t>a</w:t>
      </w:r>
      <w:r>
        <w:rPr>
          <w:noProof/>
        </w:rPr>
        <w:t>s which involve long timeframe to be recouped and substantial risks</w:t>
      </w:r>
      <w:r w:rsidRPr="004019AD">
        <w:rPr>
          <w:noProof/>
        </w:rPr>
        <w:t>. The recognition of societal significance and prevention of market failures in the water sector has led to the special treatment in the Concessions Directive.</w:t>
      </w:r>
    </w:p>
    <w:p w14:paraId="04F238DB" w14:textId="0EF1F5EF" w:rsidR="00D236DE" w:rsidRPr="00D236DE" w:rsidRDefault="005668FC" w:rsidP="00D236DE">
      <w:pPr>
        <w:rPr>
          <w:noProof/>
        </w:rPr>
      </w:pPr>
      <w:r>
        <w:rPr>
          <w:noProof/>
        </w:rPr>
        <w:t>M</w:t>
      </w:r>
      <w:r w:rsidR="006B22D6">
        <w:rPr>
          <w:noProof/>
        </w:rPr>
        <w:t xml:space="preserve">ember </w:t>
      </w:r>
      <w:r>
        <w:rPr>
          <w:noProof/>
        </w:rPr>
        <w:t>S</w:t>
      </w:r>
      <w:r w:rsidR="006B22D6">
        <w:rPr>
          <w:noProof/>
        </w:rPr>
        <w:t>tates</w:t>
      </w:r>
      <w:r w:rsidR="4C1395B6">
        <w:rPr>
          <w:noProof/>
        </w:rPr>
        <w:t xml:space="preserve"> apply</w:t>
      </w:r>
      <w:r w:rsidR="222354B8">
        <w:rPr>
          <w:noProof/>
        </w:rPr>
        <w:t xml:space="preserve"> various management models for the provision of </w:t>
      </w:r>
      <w:r w:rsidR="00D0BB3B">
        <w:rPr>
          <w:noProof/>
        </w:rPr>
        <w:t>water</w:t>
      </w:r>
      <w:r w:rsidR="222354B8">
        <w:rPr>
          <w:noProof/>
        </w:rPr>
        <w:t xml:space="preserve"> services. The ways water services are </w:t>
      </w:r>
      <w:r w:rsidR="4C1395B6">
        <w:rPr>
          <w:noProof/>
        </w:rPr>
        <w:t>organi</w:t>
      </w:r>
      <w:r w:rsidR="009207E2">
        <w:rPr>
          <w:noProof/>
        </w:rPr>
        <w:t>s</w:t>
      </w:r>
      <w:r w:rsidR="4C1395B6">
        <w:rPr>
          <w:noProof/>
        </w:rPr>
        <w:t>ed</w:t>
      </w:r>
      <w:r w:rsidR="222354B8">
        <w:rPr>
          <w:noProof/>
        </w:rPr>
        <w:t xml:space="preserve"> depend on a combination of historical, cultural, </w:t>
      </w:r>
      <w:r w:rsidR="4C1395B6">
        <w:rPr>
          <w:noProof/>
        </w:rPr>
        <w:t>economic</w:t>
      </w:r>
      <w:r w:rsidR="006F2C6B">
        <w:rPr>
          <w:noProof/>
        </w:rPr>
        <w:t xml:space="preserve"> and societal factors.</w:t>
      </w:r>
      <w:r w:rsidR="00581ECA">
        <w:rPr>
          <w:noProof/>
        </w:rPr>
        <w:t xml:space="preserve"> </w:t>
      </w:r>
    </w:p>
    <w:p w14:paraId="5B7BDEFB" w14:textId="7993FBF2" w:rsidR="00D236DE" w:rsidRPr="00D236DE" w:rsidRDefault="222354B8" w:rsidP="00D236DE">
      <w:pPr>
        <w:rPr>
          <w:noProof/>
        </w:rPr>
      </w:pPr>
      <w:r w:rsidRPr="00D236DE">
        <w:rPr>
          <w:noProof/>
        </w:rPr>
        <w:t xml:space="preserve">Different forms of </w:t>
      </w:r>
      <w:r w:rsidR="4C1395B6" w:rsidRPr="00D236DE">
        <w:rPr>
          <w:noProof/>
        </w:rPr>
        <w:t>private</w:t>
      </w:r>
      <w:r w:rsidRPr="00D236DE">
        <w:rPr>
          <w:noProof/>
        </w:rPr>
        <w:t xml:space="preserve"> sector </w:t>
      </w:r>
      <w:r w:rsidR="4C1395B6" w:rsidRPr="00D236DE">
        <w:rPr>
          <w:noProof/>
        </w:rPr>
        <w:t>involvement</w:t>
      </w:r>
      <w:r w:rsidRPr="00D236DE">
        <w:rPr>
          <w:noProof/>
        </w:rPr>
        <w:t xml:space="preserve"> in the water sector </w:t>
      </w:r>
      <w:r w:rsidR="00D67EB1" w:rsidRPr="00D236DE">
        <w:rPr>
          <w:noProof/>
        </w:rPr>
        <w:t xml:space="preserve">in Europe </w:t>
      </w:r>
      <w:r w:rsidR="009207E2" w:rsidRPr="00D236DE">
        <w:rPr>
          <w:noProof/>
        </w:rPr>
        <w:t xml:space="preserve">can </w:t>
      </w:r>
      <w:r w:rsidRPr="00D236DE">
        <w:rPr>
          <w:noProof/>
        </w:rPr>
        <w:t xml:space="preserve">be traced back </w:t>
      </w:r>
      <w:r w:rsidR="37EB9D26" w:rsidRPr="00D236DE">
        <w:rPr>
          <w:noProof/>
        </w:rPr>
        <w:t xml:space="preserve">to </w:t>
      </w:r>
      <w:r w:rsidRPr="00D236DE">
        <w:rPr>
          <w:noProof/>
        </w:rPr>
        <w:t xml:space="preserve">the 19th century. The number of contracts involving private </w:t>
      </w:r>
      <w:r w:rsidR="4C1395B6" w:rsidRPr="00D236DE">
        <w:rPr>
          <w:noProof/>
        </w:rPr>
        <w:t>partners started</w:t>
      </w:r>
      <w:r w:rsidRPr="00D236DE">
        <w:rPr>
          <w:noProof/>
        </w:rPr>
        <w:t xml:space="preserve"> </w:t>
      </w:r>
      <w:r w:rsidR="00D0BB3B">
        <w:rPr>
          <w:noProof/>
        </w:rPr>
        <w:t>to increase</w:t>
      </w:r>
      <w:r w:rsidRPr="00D236DE">
        <w:rPr>
          <w:noProof/>
        </w:rPr>
        <w:t xml:space="preserve"> significantly after 1980</w:t>
      </w:r>
      <w:r w:rsidR="4C1395B6">
        <w:rPr>
          <w:noProof/>
        </w:rPr>
        <w:t>.</w:t>
      </w:r>
      <w:r w:rsidRPr="00D236DE">
        <w:rPr>
          <w:noProof/>
        </w:rPr>
        <w:t xml:space="preserve"> Factors which may have </w:t>
      </w:r>
      <w:r w:rsidR="00C6282A" w:rsidRPr="00D236DE">
        <w:rPr>
          <w:noProof/>
        </w:rPr>
        <w:t>favo</w:t>
      </w:r>
      <w:r w:rsidR="00C6282A">
        <w:rPr>
          <w:noProof/>
        </w:rPr>
        <w:t>r</w:t>
      </w:r>
      <w:r w:rsidR="00C6282A" w:rsidRPr="00D236DE">
        <w:rPr>
          <w:noProof/>
        </w:rPr>
        <w:t>ed</w:t>
      </w:r>
      <w:r w:rsidRPr="00D236DE">
        <w:rPr>
          <w:noProof/>
        </w:rPr>
        <w:t xml:space="preserve"> </w:t>
      </w:r>
      <w:r w:rsidR="4C1395B6" w:rsidRPr="00D236DE">
        <w:rPr>
          <w:noProof/>
        </w:rPr>
        <w:t>the involvement</w:t>
      </w:r>
      <w:r w:rsidRPr="00D236DE">
        <w:rPr>
          <w:noProof/>
        </w:rPr>
        <w:t xml:space="preserve"> of the private sector would include</w:t>
      </w:r>
      <w:r w:rsidR="5F045AA8">
        <w:rPr>
          <w:noProof/>
        </w:rPr>
        <w:t xml:space="preserve"> </w:t>
      </w:r>
      <w:r w:rsidRPr="00D236DE">
        <w:rPr>
          <w:noProof/>
        </w:rPr>
        <w:t>possible improved service quality and efficiency, improved management efficiency (i.e. easier access to capital markets). Public involvement remained nevertheless important to cat</w:t>
      </w:r>
      <w:r w:rsidR="00F50373">
        <w:rPr>
          <w:noProof/>
        </w:rPr>
        <w:t>er for wider societal needs.</w:t>
      </w:r>
    </w:p>
    <w:p w14:paraId="3A263094" w14:textId="5ED650EB" w:rsidR="00164CD0" w:rsidRPr="00164CD0" w:rsidRDefault="00164CD0" w:rsidP="00164CD0">
      <w:pPr>
        <w:rPr>
          <w:b/>
          <w:noProof/>
        </w:rPr>
      </w:pPr>
      <w:r w:rsidRPr="00164CD0">
        <w:rPr>
          <w:b/>
          <w:noProof/>
        </w:rPr>
        <w:t>The water sector si</w:t>
      </w:r>
      <w:r w:rsidR="00B46649">
        <w:rPr>
          <w:b/>
          <w:noProof/>
        </w:rPr>
        <w:t>nce 18 April 2016</w:t>
      </w:r>
    </w:p>
    <w:p w14:paraId="5472BA0C" w14:textId="0D1077D2" w:rsidR="00D236DE" w:rsidRPr="00D236DE" w:rsidRDefault="6B5DC703" w:rsidP="00D236DE">
      <w:pPr>
        <w:rPr>
          <w:noProof/>
        </w:rPr>
      </w:pPr>
      <w:r>
        <w:rPr>
          <w:noProof/>
        </w:rPr>
        <w:t>Three</w:t>
      </w:r>
      <w:r w:rsidR="222354B8">
        <w:rPr>
          <w:noProof/>
        </w:rPr>
        <w:t xml:space="preserve"> </w:t>
      </w:r>
      <w:r w:rsidR="005668FC">
        <w:rPr>
          <w:noProof/>
        </w:rPr>
        <w:t>M</w:t>
      </w:r>
      <w:r w:rsidR="006B22D6">
        <w:rPr>
          <w:noProof/>
        </w:rPr>
        <w:t xml:space="preserve">ember </w:t>
      </w:r>
      <w:r w:rsidR="005668FC">
        <w:rPr>
          <w:noProof/>
        </w:rPr>
        <w:t>S</w:t>
      </w:r>
      <w:r w:rsidR="006B22D6">
        <w:rPr>
          <w:noProof/>
        </w:rPr>
        <w:t>tates</w:t>
      </w:r>
      <w:r w:rsidR="222354B8">
        <w:rPr>
          <w:noProof/>
        </w:rPr>
        <w:t xml:space="preserve"> </w:t>
      </w:r>
      <w:r w:rsidR="28D094D0">
        <w:rPr>
          <w:noProof/>
        </w:rPr>
        <w:t xml:space="preserve">fully </w:t>
      </w:r>
      <w:r w:rsidR="222354B8">
        <w:rPr>
          <w:noProof/>
        </w:rPr>
        <w:t xml:space="preserve">apply the provisions of the </w:t>
      </w:r>
      <w:r w:rsidR="005668FC">
        <w:rPr>
          <w:noProof/>
        </w:rPr>
        <w:t>Directive</w:t>
      </w:r>
      <w:r w:rsidR="222354B8">
        <w:rPr>
          <w:noProof/>
        </w:rPr>
        <w:t xml:space="preserve"> for concessions in the water sector</w:t>
      </w:r>
      <w:r w:rsidR="244D64AB">
        <w:rPr>
          <w:noProof/>
        </w:rPr>
        <w:t xml:space="preserve"> (C</w:t>
      </w:r>
      <w:r w:rsidR="006B22D6">
        <w:rPr>
          <w:noProof/>
        </w:rPr>
        <w:t>zech Republic</w:t>
      </w:r>
      <w:r w:rsidR="244D64AB">
        <w:rPr>
          <w:noProof/>
        </w:rPr>
        <w:t>, P</w:t>
      </w:r>
      <w:r w:rsidR="006B22D6">
        <w:rPr>
          <w:noProof/>
        </w:rPr>
        <w:t>oland</w:t>
      </w:r>
      <w:r w:rsidR="244D64AB">
        <w:rPr>
          <w:noProof/>
        </w:rPr>
        <w:t>, R</w:t>
      </w:r>
      <w:r w:rsidR="006B22D6">
        <w:rPr>
          <w:noProof/>
        </w:rPr>
        <w:t>omania</w:t>
      </w:r>
      <w:r w:rsidR="244D64AB">
        <w:rPr>
          <w:noProof/>
        </w:rPr>
        <w:t>)</w:t>
      </w:r>
      <w:r w:rsidR="006B22D6">
        <w:rPr>
          <w:noProof/>
        </w:rPr>
        <w:t>, while three others</w:t>
      </w:r>
      <w:r w:rsidR="3F63FF3B">
        <w:rPr>
          <w:noProof/>
        </w:rPr>
        <w:t xml:space="preserve"> (B</w:t>
      </w:r>
      <w:r w:rsidR="006B22D6">
        <w:rPr>
          <w:noProof/>
        </w:rPr>
        <w:t>ulgaria</w:t>
      </w:r>
      <w:r w:rsidR="3F63FF3B">
        <w:rPr>
          <w:noProof/>
        </w:rPr>
        <w:t>, F</w:t>
      </w:r>
      <w:r w:rsidR="006B22D6">
        <w:rPr>
          <w:noProof/>
        </w:rPr>
        <w:t>rance</w:t>
      </w:r>
      <w:r w:rsidR="3F63FF3B">
        <w:rPr>
          <w:noProof/>
        </w:rPr>
        <w:t xml:space="preserve">, </w:t>
      </w:r>
      <w:r w:rsidR="006B22D6">
        <w:rPr>
          <w:noProof/>
        </w:rPr>
        <w:t>Spain</w:t>
      </w:r>
      <w:r w:rsidR="3F63FF3B">
        <w:rPr>
          <w:noProof/>
        </w:rPr>
        <w:t xml:space="preserve">) </w:t>
      </w:r>
      <w:r w:rsidR="222354B8">
        <w:rPr>
          <w:noProof/>
        </w:rPr>
        <w:t xml:space="preserve">apply it partially. </w:t>
      </w:r>
    </w:p>
    <w:p w14:paraId="505841A4" w14:textId="24FBA214" w:rsidR="00D236DE" w:rsidRPr="008A1396" w:rsidRDefault="00D236DE" w:rsidP="00D236DE">
      <w:pPr>
        <w:rPr>
          <w:noProof/>
          <w:lang w:val="en-GB"/>
        </w:rPr>
      </w:pPr>
      <w:r w:rsidRPr="00D236DE">
        <w:rPr>
          <w:noProof/>
          <w:lang w:val="en-GB"/>
        </w:rPr>
        <w:t>Based on GWI WaterData</w:t>
      </w:r>
      <w:r w:rsidR="00FD55C3">
        <w:rPr>
          <w:rStyle w:val="FootnoteReference"/>
          <w:noProof/>
          <w:lang w:val="en-GB"/>
        </w:rPr>
        <w:footnoteReference w:id="34"/>
      </w:r>
      <w:r w:rsidRPr="00D236DE">
        <w:rPr>
          <w:noProof/>
          <w:lang w:val="en-GB"/>
        </w:rPr>
        <w:t xml:space="preserve"> historical data on the water sector, </w:t>
      </w:r>
      <w:r w:rsidR="005668FC">
        <w:rPr>
          <w:noProof/>
          <w:lang w:val="en-GB"/>
        </w:rPr>
        <w:t>M</w:t>
      </w:r>
      <w:r w:rsidR="006B22D6">
        <w:rPr>
          <w:noProof/>
          <w:lang w:val="en-GB"/>
        </w:rPr>
        <w:t xml:space="preserve">ember </w:t>
      </w:r>
      <w:r w:rsidR="005668FC">
        <w:rPr>
          <w:noProof/>
          <w:lang w:val="en-GB"/>
        </w:rPr>
        <w:t>S</w:t>
      </w:r>
      <w:r w:rsidR="006B22D6">
        <w:rPr>
          <w:noProof/>
          <w:lang w:val="en-GB"/>
        </w:rPr>
        <w:t>tates</w:t>
      </w:r>
      <w:r w:rsidRPr="00D236DE">
        <w:rPr>
          <w:noProof/>
          <w:lang w:val="en-GB"/>
        </w:rPr>
        <w:t xml:space="preserve"> that have decided to apply the </w:t>
      </w:r>
      <w:r w:rsidR="005668FC">
        <w:rPr>
          <w:noProof/>
          <w:lang w:val="en-GB"/>
        </w:rPr>
        <w:t>Directive</w:t>
      </w:r>
      <w:r w:rsidRPr="00D236DE">
        <w:rPr>
          <w:noProof/>
          <w:lang w:val="en-GB"/>
        </w:rPr>
        <w:t xml:space="preserve"> in the field of water already had significant experience with similar private pa</w:t>
      </w:r>
      <w:r w:rsidR="002576CB">
        <w:rPr>
          <w:noProof/>
          <w:lang w:val="en-GB"/>
        </w:rPr>
        <w:t>rticipation in the past. Conversely</w:t>
      </w:r>
      <w:r w:rsidRPr="00D236DE">
        <w:rPr>
          <w:noProof/>
          <w:lang w:val="en-GB"/>
        </w:rPr>
        <w:t xml:space="preserve">, </w:t>
      </w:r>
      <w:r w:rsidR="00C04E41" w:rsidRPr="00D236DE">
        <w:rPr>
          <w:noProof/>
          <w:lang w:val="en-GB"/>
        </w:rPr>
        <w:t xml:space="preserve">some </w:t>
      </w:r>
      <w:r w:rsidR="005668FC">
        <w:rPr>
          <w:noProof/>
          <w:lang w:val="en-GB"/>
        </w:rPr>
        <w:t>M</w:t>
      </w:r>
      <w:r w:rsidR="006B22D6">
        <w:rPr>
          <w:noProof/>
          <w:lang w:val="en-GB"/>
        </w:rPr>
        <w:t xml:space="preserve">ember </w:t>
      </w:r>
      <w:r w:rsidR="005668FC">
        <w:rPr>
          <w:noProof/>
          <w:lang w:val="en-GB"/>
        </w:rPr>
        <w:t>S</w:t>
      </w:r>
      <w:r w:rsidR="006B22D6">
        <w:rPr>
          <w:noProof/>
          <w:lang w:val="en-GB"/>
        </w:rPr>
        <w:t>tates</w:t>
      </w:r>
      <w:r w:rsidRPr="00D236DE">
        <w:rPr>
          <w:noProof/>
          <w:lang w:val="en-GB"/>
        </w:rPr>
        <w:t xml:space="preserve"> </w:t>
      </w:r>
      <w:r w:rsidR="00C04E41" w:rsidRPr="00D236DE">
        <w:rPr>
          <w:noProof/>
          <w:lang w:val="en-GB"/>
        </w:rPr>
        <w:t>which decided</w:t>
      </w:r>
      <w:r w:rsidRPr="00D236DE">
        <w:rPr>
          <w:noProof/>
          <w:lang w:val="en-GB"/>
        </w:rPr>
        <w:t xml:space="preserve"> to keep the water sector outside their national transposition measures had some record </w:t>
      </w:r>
      <w:r w:rsidR="00C04E41" w:rsidRPr="00D236DE">
        <w:rPr>
          <w:noProof/>
          <w:lang w:val="en-GB"/>
        </w:rPr>
        <w:t>of private</w:t>
      </w:r>
      <w:r w:rsidRPr="00D236DE">
        <w:rPr>
          <w:noProof/>
          <w:lang w:val="en-GB"/>
        </w:rPr>
        <w:t xml:space="preserve"> sector participation, </w:t>
      </w:r>
      <w:r w:rsidR="009207E2">
        <w:rPr>
          <w:noProof/>
          <w:lang w:val="en-GB"/>
        </w:rPr>
        <w:t>notably</w:t>
      </w:r>
      <w:r w:rsidRPr="00D236DE">
        <w:rPr>
          <w:noProof/>
          <w:lang w:val="en-GB"/>
        </w:rPr>
        <w:t xml:space="preserve"> I</w:t>
      </w:r>
      <w:r w:rsidR="006B22D6">
        <w:rPr>
          <w:noProof/>
          <w:lang w:val="en-GB"/>
        </w:rPr>
        <w:t xml:space="preserve">taly, Germany </w:t>
      </w:r>
      <w:r w:rsidR="002D6530">
        <w:rPr>
          <w:noProof/>
          <w:lang w:val="en-GB"/>
        </w:rPr>
        <w:t xml:space="preserve">and </w:t>
      </w:r>
      <w:r w:rsidRPr="00D236DE">
        <w:rPr>
          <w:noProof/>
          <w:lang w:val="en-GB"/>
        </w:rPr>
        <w:t>P</w:t>
      </w:r>
      <w:r w:rsidR="006B22D6">
        <w:rPr>
          <w:noProof/>
          <w:lang w:val="en-GB"/>
        </w:rPr>
        <w:t>ortugal</w:t>
      </w:r>
      <w:r w:rsidRPr="008A1396">
        <w:rPr>
          <w:noProof/>
          <w:lang w:val="en-GB"/>
        </w:rPr>
        <w:t>.</w:t>
      </w:r>
    </w:p>
    <w:p w14:paraId="64DAFDE7" w14:textId="7181C82F" w:rsidR="0018591A" w:rsidRPr="008A1396" w:rsidRDefault="0043589E" w:rsidP="00F73C8F">
      <w:pPr>
        <w:rPr>
          <w:i/>
          <w:noProof/>
        </w:rPr>
      </w:pPr>
      <w:r w:rsidRPr="0043589E">
        <w:rPr>
          <w:noProof/>
        </w:rPr>
        <w:t>Si</w:t>
      </w:r>
      <w:r w:rsidR="00A01EC7">
        <w:rPr>
          <w:noProof/>
        </w:rPr>
        <w:t>nce April 2016</w:t>
      </w:r>
      <w:r w:rsidRPr="0043589E">
        <w:rPr>
          <w:noProof/>
        </w:rPr>
        <w:t xml:space="preserve">, there is more transparency regarding concession contracts in the water sector. According to </w:t>
      </w:r>
      <w:r w:rsidR="00976E77">
        <w:rPr>
          <w:noProof/>
        </w:rPr>
        <w:t>TED</w:t>
      </w:r>
      <w:r w:rsidR="00D67EB1">
        <w:rPr>
          <w:noProof/>
        </w:rPr>
        <w:t>,</w:t>
      </w:r>
      <w:r w:rsidRPr="0043589E">
        <w:rPr>
          <w:noProof/>
        </w:rPr>
        <w:t xml:space="preserve"> there have been around 225 concessions award notices </w:t>
      </w:r>
      <w:r w:rsidR="00983EEF">
        <w:rPr>
          <w:noProof/>
        </w:rPr>
        <w:t>in the period 2016 to 2021</w:t>
      </w:r>
      <w:r w:rsidR="00847A4A">
        <w:rPr>
          <w:noProof/>
        </w:rPr>
        <w:t>,</w:t>
      </w:r>
      <w:r w:rsidR="00655101">
        <w:rPr>
          <w:noProof/>
        </w:rPr>
        <w:t xml:space="preserve"> increasing in number from 3 </w:t>
      </w:r>
      <w:r w:rsidR="00C04E41">
        <w:rPr>
          <w:noProof/>
        </w:rPr>
        <w:t>concession</w:t>
      </w:r>
      <w:r w:rsidR="00655101">
        <w:rPr>
          <w:noProof/>
        </w:rPr>
        <w:t xml:space="preserve"> </w:t>
      </w:r>
      <w:r w:rsidR="00E93F9A">
        <w:rPr>
          <w:noProof/>
        </w:rPr>
        <w:t>award notices</w:t>
      </w:r>
      <w:r w:rsidR="00655101">
        <w:rPr>
          <w:noProof/>
        </w:rPr>
        <w:t xml:space="preserve"> in 2016 to 66 </w:t>
      </w:r>
      <w:r w:rsidR="00E93F9A">
        <w:rPr>
          <w:noProof/>
        </w:rPr>
        <w:t>concession</w:t>
      </w:r>
      <w:r w:rsidR="00655101">
        <w:rPr>
          <w:noProof/>
        </w:rPr>
        <w:t xml:space="preserve"> awa</w:t>
      </w:r>
      <w:r w:rsidR="00E93F9A">
        <w:rPr>
          <w:noProof/>
        </w:rPr>
        <w:t xml:space="preserve">rd notices </w:t>
      </w:r>
      <w:r w:rsidR="00655101">
        <w:rPr>
          <w:noProof/>
        </w:rPr>
        <w:t>in 2021.</w:t>
      </w:r>
      <w:r w:rsidR="00E93F9A">
        <w:rPr>
          <w:noProof/>
        </w:rPr>
        <w:t xml:space="preserve"> </w:t>
      </w:r>
      <w:r w:rsidR="00655101">
        <w:rPr>
          <w:noProof/>
        </w:rPr>
        <w:t>T</w:t>
      </w:r>
      <w:r w:rsidRPr="0043589E">
        <w:rPr>
          <w:noProof/>
        </w:rPr>
        <w:t xml:space="preserve">he vast majority </w:t>
      </w:r>
      <w:r w:rsidR="00655101">
        <w:rPr>
          <w:noProof/>
        </w:rPr>
        <w:t xml:space="preserve">of concessions </w:t>
      </w:r>
      <w:r w:rsidRPr="0043589E">
        <w:rPr>
          <w:noProof/>
        </w:rPr>
        <w:t xml:space="preserve">(194) </w:t>
      </w:r>
      <w:r w:rsidR="009207E2">
        <w:rPr>
          <w:noProof/>
        </w:rPr>
        <w:t xml:space="preserve">were </w:t>
      </w:r>
      <w:r w:rsidRPr="0043589E">
        <w:rPr>
          <w:noProof/>
        </w:rPr>
        <w:t>concluded by French contracting authorities</w:t>
      </w:r>
      <w:r w:rsidR="006B22D6">
        <w:rPr>
          <w:noProof/>
        </w:rPr>
        <w:t>, followed by authorities in the Czech Republic</w:t>
      </w:r>
      <w:r w:rsidR="002D6530">
        <w:rPr>
          <w:noProof/>
        </w:rPr>
        <w:t xml:space="preserve"> (18), </w:t>
      </w:r>
      <w:r w:rsidR="006B22D6">
        <w:rPr>
          <w:noProof/>
        </w:rPr>
        <w:t>Spain</w:t>
      </w:r>
      <w:r w:rsidR="002D6530">
        <w:rPr>
          <w:noProof/>
        </w:rPr>
        <w:t>, P</w:t>
      </w:r>
      <w:r w:rsidR="006B22D6">
        <w:rPr>
          <w:noProof/>
        </w:rPr>
        <w:t xml:space="preserve">oland </w:t>
      </w:r>
      <w:r w:rsidR="002D6530">
        <w:rPr>
          <w:noProof/>
        </w:rPr>
        <w:t>and R</w:t>
      </w:r>
      <w:r w:rsidR="006B22D6">
        <w:rPr>
          <w:noProof/>
        </w:rPr>
        <w:t>omania</w:t>
      </w:r>
      <w:r w:rsidRPr="0043589E">
        <w:rPr>
          <w:noProof/>
        </w:rPr>
        <w:t>.</w:t>
      </w:r>
    </w:p>
    <w:p w14:paraId="404B7224" w14:textId="3ADBD15B" w:rsidR="004E24F5" w:rsidRDefault="004E24F5" w:rsidP="00F73C8F">
      <w:pPr>
        <w:rPr>
          <w:noProof/>
        </w:rPr>
      </w:pPr>
      <w:r w:rsidRPr="004E24F5">
        <w:rPr>
          <w:noProof/>
        </w:rPr>
        <w:t xml:space="preserve">The total value of concessions award notices </w:t>
      </w:r>
      <w:r w:rsidR="009D30EA">
        <w:rPr>
          <w:noProof/>
        </w:rPr>
        <w:t xml:space="preserve">as recorded in TED </w:t>
      </w:r>
      <w:r w:rsidRPr="004E24F5">
        <w:rPr>
          <w:noProof/>
        </w:rPr>
        <w:t>in the water sector amounted to almost EUR</w:t>
      </w:r>
      <w:r w:rsidR="00FD35A3">
        <w:rPr>
          <w:noProof/>
        </w:rPr>
        <w:t> </w:t>
      </w:r>
      <w:r w:rsidRPr="004E24F5">
        <w:rPr>
          <w:noProof/>
        </w:rPr>
        <w:t>7</w:t>
      </w:r>
      <w:r w:rsidR="00FD35A3">
        <w:rPr>
          <w:noProof/>
        </w:rPr>
        <w:t> </w:t>
      </w:r>
      <w:r w:rsidRPr="004E24F5">
        <w:rPr>
          <w:noProof/>
        </w:rPr>
        <w:t>billion between 2016 and 2021. Compared to the total value of concessions awarded over the same period (EUR 377</w:t>
      </w:r>
      <w:r w:rsidR="00F800A1">
        <w:rPr>
          <w:noProof/>
        </w:rPr>
        <w:t>.</w:t>
      </w:r>
      <w:r w:rsidRPr="004E24F5">
        <w:rPr>
          <w:noProof/>
        </w:rPr>
        <w:t>5</w:t>
      </w:r>
      <w:r w:rsidR="00F800A1">
        <w:rPr>
          <w:noProof/>
        </w:rPr>
        <w:t> </w:t>
      </w:r>
      <w:r w:rsidRPr="004E24F5">
        <w:rPr>
          <w:noProof/>
        </w:rPr>
        <w:t>b</w:t>
      </w:r>
      <w:r w:rsidR="00074F4E">
        <w:rPr>
          <w:noProof/>
        </w:rPr>
        <w:t>illio</w:t>
      </w:r>
      <w:r w:rsidRPr="004E24F5">
        <w:rPr>
          <w:noProof/>
        </w:rPr>
        <w:t>n)</w:t>
      </w:r>
      <w:r w:rsidR="00FD35A3">
        <w:rPr>
          <w:noProof/>
        </w:rPr>
        <w:t>,</w:t>
      </w:r>
      <w:r w:rsidRPr="004E24F5">
        <w:rPr>
          <w:noProof/>
        </w:rPr>
        <w:t xml:space="preserve"> the value of concessions in the water sector </w:t>
      </w:r>
      <w:r w:rsidR="00C04E41" w:rsidRPr="004E24F5">
        <w:rPr>
          <w:noProof/>
        </w:rPr>
        <w:t>represent</w:t>
      </w:r>
      <w:r w:rsidR="009B4167">
        <w:rPr>
          <w:noProof/>
        </w:rPr>
        <w:t>s</w:t>
      </w:r>
      <w:r w:rsidR="00C04E41" w:rsidRPr="004E24F5">
        <w:rPr>
          <w:noProof/>
        </w:rPr>
        <w:t xml:space="preserve"> less</w:t>
      </w:r>
      <w:r w:rsidRPr="004E24F5">
        <w:rPr>
          <w:noProof/>
        </w:rPr>
        <w:t xml:space="preserve"> than 2</w:t>
      </w:r>
      <w:r w:rsidR="00074F4E">
        <w:rPr>
          <w:noProof/>
        </w:rPr>
        <w:t xml:space="preserve"> </w:t>
      </w:r>
      <w:r w:rsidRPr="004E24F5">
        <w:rPr>
          <w:noProof/>
        </w:rPr>
        <w:t>%. Also, when compared to another important utility sector, the electricity sector,</w:t>
      </w:r>
      <w:r w:rsidR="00C04E41" w:rsidRPr="004E24F5">
        <w:rPr>
          <w:noProof/>
        </w:rPr>
        <w:t xml:space="preserve"> the</w:t>
      </w:r>
      <w:r w:rsidRPr="004E24F5">
        <w:rPr>
          <w:noProof/>
        </w:rPr>
        <w:t xml:space="preserve"> value of concessions in the water sector represent</w:t>
      </w:r>
      <w:r w:rsidR="009B4167">
        <w:rPr>
          <w:noProof/>
        </w:rPr>
        <w:t>s</w:t>
      </w:r>
      <w:r w:rsidRPr="004E24F5">
        <w:rPr>
          <w:noProof/>
        </w:rPr>
        <w:t xml:space="preserve"> only 3</w:t>
      </w:r>
      <w:r w:rsidR="00074F4E">
        <w:rPr>
          <w:noProof/>
        </w:rPr>
        <w:t>.</w:t>
      </w:r>
      <w:r w:rsidR="009D30EA" w:rsidRPr="004E24F5">
        <w:rPr>
          <w:noProof/>
        </w:rPr>
        <w:t>6</w:t>
      </w:r>
      <w:r w:rsidR="009D30EA">
        <w:rPr>
          <w:noProof/>
        </w:rPr>
        <w:t> </w:t>
      </w:r>
      <w:r w:rsidRPr="004E24F5">
        <w:rPr>
          <w:noProof/>
        </w:rPr>
        <w:t>%. T</w:t>
      </w:r>
      <w:r w:rsidR="0053546C">
        <w:rPr>
          <w:noProof/>
        </w:rPr>
        <w:t>he</w:t>
      </w:r>
      <w:r w:rsidRPr="004E24F5">
        <w:rPr>
          <w:noProof/>
        </w:rPr>
        <w:t xml:space="preserve"> yearly total value of the concession award notices in the water sector increased in the early years of </w:t>
      </w:r>
      <w:r w:rsidR="00DF1115">
        <w:rPr>
          <w:noProof/>
        </w:rPr>
        <w:t xml:space="preserve">the Directive, increasing more than </w:t>
      </w:r>
      <w:r w:rsidR="009B4167">
        <w:rPr>
          <w:noProof/>
        </w:rPr>
        <w:t>ten</w:t>
      </w:r>
      <w:r w:rsidR="00DF1115">
        <w:rPr>
          <w:noProof/>
        </w:rPr>
        <w:t>fold</w:t>
      </w:r>
      <w:r w:rsidRPr="004E24F5">
        <w:rPr>
          <w:noProof/>
        </w:rPr>
        <w:t xml:space="preserve"> between 2016 and 2018. It decreased slightly in the two following years</w:t>
      </w:r>
      <w:r w:rsidR="009B4167">
        <w:rPr>
          <w:noProof/>
        </w:rPr>
        <w:t>,</w:t>
      </w:r>
      <w:r w:rsidRPr="004E24F5">
        <w:rPr>
          <w:noProof/>
        </w:rPr>
        <w:t xml:space="preserve"> </w:t>
      </w:r>
      <w:r w:rsidR="00DF1115">
        <w:rPr>
          <w:noProof/>
        </w:rPr>
        <w:t>but the increase in 2021 compensated that decline.</w:t>
      </w:r>
    </w:p>
    <w:p w14:paraId="2966A626" w14:textId="0EBB573C" w:rsidR="00C65ABC" w:rsidRPr="00FC798F" w:rsidRDefault="004E24F5" w:rsidP="00F73C8F">
      <w:pPr>
        <w:rPr>
          <w:noProof/>
        </w:rPr>
      </w:pPr>
      <w:r w:rsidRPr="004E24F5">
        <w:rPr>
          <w:noProof/>
        </w:rPr>
        <w:t>The average number of offers received per tender for concessions in the water sector and the SME participation w</w:t>
      </w:r>
      <w:r w:rsidR="009B4167">
        <w:rPr>
          <w:noProof/>
        </w:rPr>
        <w:t>ere</w:t>
      </w:r>
      <w:r w:rsidRPr="004E24F5">
        <w:rPr>
          <w:noProof/>
        </w:rPr>
        <w:t xml:space="preserve"> slightly lower than the average in other sectors. This can be explained by the fact that the water sector is highly speciali</w:t>
      </w:r>
      <w:r w:rsidR="009B4167">
        <w:rPr>
          <w:noProof/>
        </w:rPr>
        <w:t>s</w:t>
      </w:r>
      <w:r w:rsidRPr="004E24F5">
        <w:rPr>
          <w:noProof/>
        </w:rPr>
        <w:t>ed and highly capital</w:t>
      </w:r>
      <w:r w:rsidR="009B4167">
        <w:rPr>
          <w:noProof/>
        </w:rPr>
        <w:t>-</w:t>
      </w:r>
      <w:r w:rsidRPr="004E24F5">
        <w:rPr>
          <w:noProof/>
        </w:rPr>
        <w:t>intensive compare</w:t>
      </w:r>
      <w:r w:rsidR="002D6530">
        <w:rPr>
          <w:noProof/>
        </w:rPr>
        <w:t>d to other sectors. Additionally,</w:t>
      </w:r>
      <w:r w:rsidRPr="004E24F5">
        <w:rPr>
          <w:noProof/>
        </w:rPr>
        <w:t xml:space="preserve"> the </w:t>
      </w:r>
      <w:r w:rsidR="00C04E41" w:rsidRPr="004E24F5">
        <w:rPr>
          <w:noProof/>
        </w:rPr>
        <w:t>concessionaire</w:t>
      </w:r>
      <w:r w:rsidRPr="004E24F5">
        <w:rPr>
          <w:noProof/>
        </w:rPr>
        <w:t xml:space="preserve"> needs to have the financial capacity to bear upfront the total cost of investment as well as the operating risks.</w:t>
      </w:r>
    </w:p>
    <w:p w14:paraId="6200B5D4" w14:textId="6FCF3CFB" w:rsidR="004E24F5" w:rsidRDefault="75B96580" w:rsidP="00AC26C5">
      <w:pPr>
        <w:rPr>
          <w:noProof/>
        </w:rPr>
      </w:pPr>
      <w:r>
        <w:rPr>
          <w:noProof/>
        </w:rPr>
        <w:t>As regards cross</w:t>
      </w:r>
      <w:r w:rsidR="009B4167">
        <w:rPr>
          <w:noProof/>
        </w:rPr>
        <w:t>-</w:t>
      </w:r>
      <w:r>
        <w:rPr>
          <w:noProof/>
        </w:rPr>
        <w:t xml:space="preserve">border participation, there seems to </w:t>
      </w:r>
      <w:r w:rsidR="00D67EB1">
        <w:rPr>
          <w:noProof/>
        </w:rPr>
        <w:t>be a</w:t>
      </w:r>
      <w:r w:rsidR="595B7175">
        <w:rPr>
          <w:noProof/>
        </w:rPr>
        <w:t xml:space="preserve"> </w:t>
      </w:r>
      <w:r>
        <w:rPr>
          <w:noProof/>
        </w:rPr>
        <w:t>relatively high incidence of cross-border participation in tenders through local</w:t>
      </w:r>
      <w:r w:rsidR="00D67EB1">
        <w:rPr>
          <w:noProof/>
        </w:rPr>
        <w:t>,</w:t>
      </w:r>
      <w:r>
        <w:rPr>
          <w:noProof/>
        </w:rPr>
        <w:t xml:space="preserve"> but foreign</w:t>
      </w:r>
      <w:r w:rsidR="00D67EB1">
        <w:rPr>
          <w:noProof/>
        </w:rPr>
        <w:t>-</w:t>
      </w:r>
      <w:r w:rsidR="0053226A">
        <w:rPr>
          <w:noProof/>
        </w:rPr>
        <w:t>owned subsidiaries.</w:t>
      </w:r>
    </w:p>
    <w:p w14:paraId="1CCF88B1" w14:textId="43A7E2EB" w:rsidR="00731E5D" w:rsidRDefault="75B96580" w:rsidP="00AC26C5">
      <w:pPr>
        <w:rPr>
          <w:noProof/>
        </w:rPr>
      </w:pPr>
      <w:r>
        <w:rPr>
          <w:noProof/>
        </w:rPr>
        <w:t xml:space="preserve">Most stakeholders </w:t>
      </w:r>
      <w:r w:rsidR="3A954A1B">
        <w:rPr>
          <w:noProof/>
        </w:rPr>
        <w:t xml:space="preserve">are of the opinion </w:t>
      </w:r>
      <w:r w:rsidR="00D0BB3B">
        <w:rPr>
          <w:noProof/>
        </w:rPr>
        <w:t>that</w:t>
      </w:r>
      <w:r>
        <w:rPr>
          <w:noProof/>
        </w:rPr>
        <w:t xml:space="preserve"> the c</w:t>
      </w:r>
      <w:r w:rsidR="00D0BB3B">
        <w:rPr>
          <w:noProof/>
        </w:rPr>
        <w:t xml:space="preserve">urrent systems in place in the </w:t>
      </w:r>
      <w:r w:rsidR="005668FC">
        <w:rPr>
          <w:noProof/>
        </w:rPr>
        <w:t>M</w:t>
      </w:r>
      <w:r w:rsidR="00D462E2">
        <w:rPr>
          <w:noProof/>
        </w:rPr>
        <w:t xml:space="preserve">ember </w:t>
      </w:r>
      <w:r w:rsidR="005668FC">
        <w:rPr>
          <w:noProof/>
        </w:rPr>
        <w:t>S</w:t>
      </w:r>
      <w:r w:rsidR="00D462E2">
        <w:rPr>
          <w:noProof/>
        </w:rPr>
        <w:t>tates</w:t>
      </w:r>
      <w:r>
        <w:rPr>
          <w:noProof/>
        </w:rPr>
        <w:t xml:space="preserve"> work well and support the exclusion of the water sector from the scope of the Directive. </w:t>
      </w:r>
      <w:r w:rsidR="00D67EB1">
        <w:rPr>
          <w:noProof/>
        </w:rPr>
        <w:t>Invoking examples of re-municipalisation of water services</w:t>
      </w:r>
      <w:r w:rsidR="4C1395B6">
        <w:rPr>
          <w:noProof/>
        </w:rPr>
        <w:t xml:space="preserve">, </w:t>
      </w:r>
      <w:r w:rsidR="00D67EB1">
        <w:rPr>
          <w:noProof/>
        </w:rPr>
        <w:t xml:space="preserve">they argue that </w:t>
      </w:r>
      <w:r w:rsidR="4C1395B6">
        <w:rPr>
          <w:noProof/>
        </w:rPr>
        <w:t>involvement</w:t>
      </w:r>
      <w:r>
        <w:rPr>
          <w:noProof/>
        </w:rPr>
        <w:t xml:space="preserve"> of </w:t>
      </w:r>
      <w:r w:rsidR="00D67EB1">
        <w:rPr>
          <w:noProof/>
        </w:rPr>
        <w:t xml:space="preserve">the </w:t>
      </w:r>
      <w:r>
        <w:rPr>
          <w:noProof/>
        </w:rPr>
        <w:t xml:space="preserve">private sector is not considered necessary. On the other hand, representatives of the business sector </w:t>
      </w:r>
      <w:r w:rsidR="00D67EB1">
        <w:rPr>
          <w:noProof/>
        </w:rPr>
        <w:t>highlighted</w:t>
      </w:r>
      <w:r>
        <w:rPr>
          <w:noProof/>
        </w:rPr>
        <w:t xml:space="preserve"> their positive experiences brought about by the Directive. </w:t>
      </w:r>
      <w:r w:rsidR="004E24F5" w:rsidRPr="004E24F5">
        <w:rPr>
          <w:noProof/>
        </w:rPr>
        <w:t xml:space="preserve">The overall conclusion was that </w:t>
      </w:r>
      <w:r w:rsidR="00171221">
        <w:rPr>
          <w:noProof/>
        </w:rPr>
        <w:t>t</w:t>
      </w:r>
      <w:r w:rsidR="00171221" w:rsidRPr="004E24F5">
        <w:rPr>
          <w:noProof/>
        </w:rPr>
        <w:t xml:space="preserve">he choice of management system is contextual depending on local societal </w:t>
      </w:r>
      <w:r w:rsidR="00D67EB1">
        <w:rPr>
          <w:noProof/>
        </w:rPr>
        <w:t>factors</w:t>
      </w:r>
      <w:r w:rsidR="00171221" w:rsidRPr="004E24F5">
        <w:rPr>
          <w:noProof/>
        </w:rPr>
        <w:t xml:space="preserve"> (operating efficiency</w:t>
      </w:r>
      <w:r w:rsidR="000E7E30">
        <w:rPr>
          <w:noProof/>
        </w:rPr>
        <w:t>,</w:t>
      </w:r>
      <w:r w:rsidR="000E7E30" w:rsidRPr="004E24F5">
        <w:rPr>
          <w:noProof/>
        </w:rPr>
        <w:t xml:space="preserve"> </w:t>
      </w:r>
      <w:r w:rsidR="00171221" w:rsidRPr="004E24F5">
        <w:rPr>
          <w:noProof/>
        </w:rPr>
        <w:t>long-term investment, affordability, water conservation, security of supply, public health,</w:t>
      </w:r>
      <w:r w:rsidR="00171221">
        <w:rPr>
          <w:noProof/>
        </w:rPr>
        <w:t xml:space="preserve"> </w:t>
      </w:r>
      <w:r w:rsidR="00C04E41">
        <w:rPr>
          <w:noProof/>
        </w:rPr>
        <w:t>etc.</w:t>
      </w:r>
      <w:r w:rsidR="00171221">
        <w:rPr>
          <w:noProof/>
        </w:rPr>
        <w:t>)</w:t>
      </w:r>
      <w:r w:rsidR="004E24F5" w:rsidRPr="004E24F5">
        <w:rPr>
          <w:noProof/>
        </w:rPr>
        <w:t xml:space="preserve">. </w:t>
      </w:r>
    </w:p>
    <w:p w14:paraId="60BBA2E6" w14:textId="23831FAE" w:rsidR="00584517" w:rsidRPr="00FC798F" w:rsidRDefault="002D6530" w:rsidP="00AC26C5">
      <w:pPr>
        <w:rPr>
          <w:noProof/>
        </w:rPr>
      </w:pPr>
      <w:r>
        <w:rPr>
          <w:noProof/>
        </w:rPr>
        <w:t>Due to limited data it is</w:t>
      </w:r>
      <w:r w:rsidR="6461327B">
        <w:rPr>
          <w:noProof/>
        </w:rPr>
        <w:t xml:space="preserve"> not possible to draw any </w:t>
      </w:r>
      <w:r>
        <w:rPr>
          <w:noProof/>
        </w:rPr>
        <w:t>firm</w:t>
      </w:r>
      <w:r w:rsidR="6461327B">
        <w:rPr>
          <w:noProof/>
        </w:rPr>
        <w:t xml:space="preserve"> conclusions </w:t>
      </w:r>
      <w:r w:rsidR="009B4167">
        <w:rPr>
          <w:noProof/>
        </w:rPr>
        <w:t xml:space="preserve">yet </w:t>
      </w:r>
      <w:r w:rsidR="6461327B">
        <w:rPr>
          <w:noProof/>
        </w:rPr>
        <w:t xml:space="preserve">regarding the impact of the </w:t>
      </w:r>
      <w:r w:rsidR="005668FC">
        <w:rPr>
          <w:noProof/>
        </w:rPr>
        <w:t>Directive</w:t>
      </w:r>
      <w:r w:rsidR="6461327B">
        <w:rPr>
          <w:noProof/>
        </w:rPr>
        <w:t xml:space="preserve"> on the water sector.</w:t>
      </w:r>
    </w:p>
    <w:p w14:paraId="228E2263" w14:textId="0711A3C8" w:rsidR="003754B8" w:rsidRDefault="00AA331C" w:rsidP="00AA331C">
      <w:pPr>
        <w:pStyle w:val="ManualHeading1"/>
        <w:rPr>
          <w:noProof/>
        </w:rPr>
      </w:pPr>
      <w:r w:rsidRPr="00AA331C">
        <w:t>6.</w:t>
      </w:r>
      <w:r w:rsidRPr="00AA331C">
        <w:tab/>
      </w:r>
      <w:r w:rsidR="003754B8">
        <w:rPr>
          <w:noProof/>
        </w:rPr>
        <w:t xml:space="preserve">Outlook </w:t>
      </w:r>
    </w:p>
    <w:p w14:paraId="4031195C" w14:textId="6FEE7132" w:rsidR="23629CA2" w:rsidRDefault="648262CA" w:rsidP="0B58D628">
      <w:pPr>
        <w:rPr>
          <w:noProof/>
          <w:sz w:val="22"/>
          <w:szCs w:val="22"/>
        </w:rPr>
      </w:pPr>
      <w:r w:rsidRPr="00AB3061">
        <w:rPr>
          <w:noProof/>
          <w:szCs w:val="24"/>
        </w:rPr>
        <w:t>The Commission is working to improve the functioning of the Directive, in particular through new initiatives on transparency and quality of da</w:t>
      </w:r>
      <w:r w:rsidRPr="00AB3061">
        <w:rPr>
          <w:noProof/>
          <w:sz w:val="22"/>
          <w:szCs w:val="22"/>
        </w:rPr>
        <w:t>ta</w:t>
      </w:r>
      <w:r w:rsidRPr="0B58D628">
        <w:rPr>
          <w:noProof/>
          <w:sz w:val="22"/>
          <w:szCs w:val="22"/>
        </w:rPr>
        <w:t>.</w:t>
      </w:r>
    </w:p>
    <w:p w14:paraId="29796D3F" w14:textId="6F5C256A" w:rsidR="00AB3061" w:rsidRPr="00FD5C90" w:rsidRDefault="00AB3061" w:rsidP="0B58D628">
      <w:pPr>
        <w:rPr>
          <w:noProof/>
        </w:rPr>
      </w:pPr>
      <w:r>
        <w:rPr>
          <w:noProof/>
        </w:rPr>
        <w:t xml:space="preserve">Transparency of concessions’ tenders and results it is key to meet the objectives of the Directive. It relies on quality data on concessions awarded by Member States, easily accessible to all actors in the internal market. The Commission is planning a number of actions and initiatives to improve transparency and the overall quality of data regarding the Directive and its implementation. </w:t>
      </w:r>
    </w:p>
    <w:p w14:paraId="3B77A372" w14:textId="0481CBA1" w:rsidR="003754B8" w:rsidRDefault="05C07A51">
      <w:pPr>
        <w:rPr>
          <w:noProof/>
        </w:rPr>
      </w:pPr>
      <w:r>
        <w:rPr>
          <w:noProof/>
        </w:rPr>
        <w:t xml:space="preserve">On 16 March 2023 the Commission announced the creation of the </w:t>
      </w:r>
      <w:r w:rsidRPr="00AB3061">
        <w:rPr>
          <w:b/>
          <w:bCs/>
          <w:noProof/>
        </w:rPr>
        <w:t>Public Procurement Data Space (PPDS)</w:t>
      </w:r>
      <w:r w:rsidR="00174EAA" w:rsidRPr="00174EAA">
        <w:rPr>
          <w:rStyle w:val="FootnoteReference"/>
          <w:bCs/>
          <w:noProof/>
        </w:rPr>
        <w:footnoteReference w:id="35"/>
      </w:r>
      <w:r>
        <w:rPr>
          <w:noProof/>
        </w:rPr>
        <w:t>. PPDS will connect European databases, including TED data on public procurement</w:t>
      </w:r>
      <w:r w:rsidR="00D85DA7">
        <w:rPr>
          <w:noProof/>
        </w:rPr>
        <w:t xml:space="preserve"> and concessions</w:t>
      </w:r>
      <w:r>
        <w:rPr>
          <w:noProof/>
        </w:rPr>
        <w:t xml:space="preserve">, and national procurement data sets available in national portals and will be at the core of the digital transformation of public procurement </w:t>
      </w:r>
      <w:r w:rsidR="00D85DA7">
        <w:rPr>
          <w:noProof/>
        </w:rPr>
        <w:t xml:space="preserve">and concessions </w:t>
      </w:r>
      <w:r>
        <w:rPr>
          <w:noProof/>
        </w:rPr>
        <w:t xml:space="preserve">in the EU. </w:t>
      </w:r>
      <w:r w:rsidR="00D85DA7">
        <w:rPr>
          <w:noProof/>
        </w:rPr>
        <w:t xml:space="preserve">PPDS will </w:t>
      </w:r>
      <w:r w:rsidR="00C12E07">
        <w:rPr>
          <w:noProof/>
        </w:rPr>
        <w:t xml:space="preserve">allow for </w:t>
      </w:r>
      <w:r w:rsidR="00D85DA7">
        <w:rPr>
          <w:noProof/>
        </w:rPr>
        <w:t xml:space="preserve">data-driven policy making. Additionally, public buyers will benefit </w:t>
      </w:r>
      <w:r w:rsidR="3443FEFF">
        <w:rPr>
          <w:noProof/>
        </w:rPr>
        <w:t xml:space="preserve">from PPDS </w:t>
      </w:r>
      <w:r w:rsidR="00D85DA7">
        <w:rPr>
          <w:noProof/>
        </w:rPr>
        <w:t xml:space="preserve">through better planning of calls for tenders, benchmarking and knowledge-sharing, increased digitalisation, easier detection of fraud and collusion. PPSD will </w:t>
      </w:r>
      <w:r w:rsidR="419436B4">
        <w:rPr>
          <w:noProof/>
        </w:rPr>
        <w:t>also improve</w:t>
      </w:r>
      <w:r w:rsidR="00D85DA7">
        <w:rPr>
          <w:noProof/>
        </w:rPr>
        <w:t xml:space="preserve"> access to calls</w:t>
      </w:r>
      <w:r w:rsidR="0051095B">
        <w:rPr>
          <w:noProof/>
        </w:rPr>
        <w:t xml:space="preserve"> for tender</w:t>
      </w:r>
      <w:r w:rsidR="00D85DA7">
        <w:rPr>
          <w:noProof/>
        </w:rPr>
        <w:t>, in particular for SMEs.</w:t>
      </w:r>
      <w:r w:rsidR="00174EAA">
        <w:rPr>
          <w:noProof/>
        </w:rPr>
        <w:t xml:space="preserve"> </w:t>
      </w:r>
      <w:r w:rsidR="003754B8">
        <w:rPr>
          <w:noProof/>
        </w:rPr>
        <w:t>Transparency is also central to the</w:t>
      </w:r>
      <w:r w:rsidR="7963E384">
        <w:rPr>
          <w:noProof/>
        </w:rPr>
        <w:t xml:space="preserve"> EU</w:t>
      </w:r>
      <w:r w:rsidR="003754B8">
        <w:rPr>
          <w:noProof/>
        </w:rPr>
        <w:t xml:space="preserve"> Publications Office</w:t>
      </w:r>
      <w:r w:rsidR="7963E384">
        <w:rPr>
          <w:noProof/>
        </w:rPr>
        <w:t xml:space="preserve">’s </w:t>
      </w:r>
      <w:r w:rsidR="003754B8" w:rsidRPr="00F11D56">
        <w:rPr>
          <w:b/>
          <w:bCs/>
          <w:noProof/>
        </w:rPr>
        <w:t>Preparatory Action “Transparency in Public Procurement</w:t>
      </w:r>
      <w:r w:rsidR="003754B8">
        <w:rPr>
          <w:noProof/>
        </w:rPr>
        <w:t>”</w:t>
      </w:r>
      <w:r w:rsidR="00022317">
        <w:rPr>
          <w:rStyle w:val="FootnoteReference"/>
          <w:noProof/>
        </w:rPr>
        <w:footnoteReference w:id="36"/>
      </w:r>
      <w:r w:rsidR="003754B8">
        <w:rPr>
          <w:noProof/>
        </w:rPr>
        <w:t>. The Publications office identified four areas of activity that revolve around TED data: availability, quality, readability and interoperability. A number of projects are foreseen to contribute to implement</w:t>
      </w:r>
      <w:r w:rsidR="00F11D56">
        <w:rPr>
          <w:noProof/>
        </w:rPr>
        <w:t xml:space="preserve"> </w:t>
      </w:r>
      <w:r w:rsidR="003754B8">
        <w:rPr>
          <w:noProof/>
        </w:rPr>
        <w:t>the Preparatory Action.</w:t>
      </w:r>
    </w:p>
    <w:p w14:paraId="30C040AE" w14:textId="0330E3DD" w:rsidR="003754B8" w:rsidRPr="00F63DAF" w:rsidRDefault="00D353CB" w:rsidP="00080134">
      <w:pPr>
        <w:rPr>
          <w:noProof/>
        </w:rPr>
      </w:pPr>
      <w:r>
        <w:rPr>
          <w:noProof/>
        </w:rPr>
        <w:t>Additionally</w:t>
      </w:r>
      <w:r w:rsidR="008B3979">
        <w:rPr>
          <w:noProof/>
        </w:rPr>
        <w:t>, on the 17</w:t>
      </w:r>
      <w:r w:rsidR="008B3979" w:rsidRPr="533CB439">
        <w:rPr>
          <w:noProof/>
          <w:vertAlign w:val="superscript"/>
        </w:rPr>
        <w:t>th</w:t>
      </w:r>
      <w:r w:rsidR="008B3979">
        <w:rPr>
          <w:noProof/>
        </w:rPr>
        <w:t xml:space="preserve"> of April 2023 the Commission launched the Public Buyers Community</w:t>
      </w:r>
      <w:r w:rsidR="008B3979">
        <w:rPr>
          <w:rStyle w:val="FootnoteReference"/>
          <w:noProof/>
        </w:rPr>
        <w:footnoteReference w:id="37"/>
      </w:r>
      <w:r w:rsidR="008B3979">
        <w:rPr>
          <w:noProof/>
        </w:rPr>
        <w:t xml:space="preserve">. The </w:t>
      </w:r>
      <w:r w:rsidR="008B3979" w:rsidRPr="533CB439">
        <w:rPr>
          <w:b/>
          <w:bCs/>
          <w:noProof/>
        </w:rPr>
        <w:t>Public Buyers Platform</w:t>
      </w:r>
      <w:r w:rsidR="008B3979">
        <w:rPr>
          <w:noProof/>
        </w:rPr>
        <w:t xml:space="preserve"> is an initiative to enhance collaboration in public procurement. </w:t>
      </w:r>
      <w:r w:rsidR="00D825A4">
        <w:rPr>
          <w:noProof/>
        </w:rPr>
        <w:t xml:space="preserve">Public </w:t>
      </w:r>
      <w:r w:rsidR="0051095B">
        <w:rPr>
          <w:noProof/>
        </w:rPr>
        <w:t xml:space="preserve">buyers </w:t>
      </w:r>
      <w:r w:rsidR="008B3979">
        <w:rPr>
          <w:noProof/>
        </w:rPr>
        <w:t>can benefit from the exchange of knowledge and best practices across the EU</w:t>
      </w:r>
      <w:r w:rsidR="0051095B">
        <w:rPr>
          <w:noProof/>
        </w:rPr>
        <w:t xml:space="preserve"> instead of working individually on complex issues</w:t>
      </w:r>
      <w:r w:rsidR="00174EAA">
        <w:rPr>
          <w:noProof/>
        </w:rPr>
        <w:t xml:space="preserve">. </w:t>
      </w:r>
      <w:r w:rsidR="008B3979">
        <w:rPr>
          <w:noProof/>
        </w:rPr>
        <w:t>The community aims to empower public buyers and those working in public procurement (buyers, suppliers, academia and other stakeholders</w:t>
      </w:r>
      <w:r w:rsidR="0051095B">
        <w:rPr>
          <w:noProof/>
        </w:rPr>
        <w:t>)</w:t>
      </w:r>
      <w:r w:rsidR="008B3979">
        <w:rPr>
          <w:noProof/>
        </w:rPr>
        <w:t xml:space="preserve"> to join together and connect with the European Commission to foster the exchange of cutting-edge market intelligence and know-how on public procurement and encourage joint action and systematic collaboration in public procurement.</w:t>
      </w:r>
      <w:r w:rsidR="00D03E2E">
        <w:rPr>
          <w:noProof/>
        </w:rPr>
        <w:t xml:space="preserve"> One of the aims of this collaboration is to improve SME’s access to public procurement and concession </w:t>
      </w:r>
      <w:r w:rsidR="00D825A4">
        <w:rPr>
          <w:noProof/>
        </w:rPr>
        <w:t>market</w:t>
      </w:r>
      <w:r w:rsidR="00D03E2E">
        <w:rPr>
          <w:noProof/>
        </w:rPr>
        <w:t xml:space="preserve">. </w:t>
      </w:r>
    </w:p>
    <w:p w14:paraId="19653F07" w14:textId="000626F8" w:rsidR="00344FC2" w:rsidRPr="00FC798F" w:rsidRDefault="00AA331C" w:rsidP="00AA331C">
      <w:pPr>
        <w:pStyle w:val="ManualHeading1"/>
        <w:rPr>
          <w:noProof/>
        </w:rPr>
      </w:pPr>
      <w:r w:rsidRPr="00AA331C">
        <w:t>7.</w:t>
      </w:r>
      <w:r w:rsidRPr="00AA331C">
        <w:tab/>
      </w:r>
      <w:r w:rsidR="00344FC2" w:rsidRPr="00FC798F">
        <w:rPr>
          <w:noProof/>
        </w:rPr>
        <w:t>conclusions</w:t>
      </w:r>
    </w:p>
    <w:p w14:paraId="7E888361" w14:textId="1D15F2E6" w:rsidR="00BA0278" w:rsidRPr="00AB006F" w:rsidRDefault="0075538C" w:rsidP="00AB006F">
      <w:pPr>
        <w:rPr>
          <w:b/>
          <w:bCs/>
          <w:i/>
          <w:iCs/>
          <w:noProof/>
          <w:lang w:val="en-GB"/>
        </w:rPr>
      </w:pPr>
      <w:r>
        <w:rPr>
          <w:noProof/>
        </w:rPr>
        <w:t>T</w:t>
      </w:r>
      <w:r w:rsidR="75B96580">
        <w:rPr>
          <w:noProof/>
        </w:rPr>
        <w:t xml:space="preserve">he </w:t>
      </w:r>
      <w:r w:rsidR="005668FC">
        <w:rPr>
          <w:noProof/>
        </w:rPr>
        <w:t>Directive</w:t>
      </w:r>
      <w:r w:rsidR="75B96580">
        <w:rPr>
          <w:noProof/>
        </w:rPr>
        <w:t xml:space="preserve"> has only been applied in all </w:t>
      </w:r>
      <w:r w:rsidR="005668FC">
        <w:rPr>
          <w:noProof/>
        </w:rPr>
        <w:t>M</w:t>
      </w:r>
      <w:r w:rsidR="005443B8">
        <w:rPr>
          <w:noProof/>
        </w:rPr>
        <w:t xml:space="preserve">ember </w:t>
      </w:r>
      <w:r w:rsidR="005668FC">
        <w:rPr>
          <w:noProof/>
        </w:rPr>
        <w:t>S</w:t>
      </w:r>
      <w:r w:rsidR="005443B8">
        <w:rPr>
          <w:noProof/>
        </w:rPr>
        <w:t>tates</w:t>
      </w:r>
      <w:r w:rsidR="75B96580">
        <w:rPr>
          <w:noProof/>
        </w:rPr>
        <w:t xml:space="preserve"> </w:t>
      </w:r>
      <w:r w:rsidR="00713B83">
        <w:rPr>
          <w:noProof/>
        </w:rPr>
        <w:t>for three</w:t>
      </w:r>
      <w:r w:rsidR="75B96580">
        <w:rPr>
          <w:noProof/>
        </w:rPr>
        <w:t xml:space="preserve"> years and </w:t>
      </w:r>
      <w:r w:rsidR="00BA0278">
        <w:rPr>
          <w:noProof/>
        </w:rPr>
        <w:t xml:space="preserve">therefore </w:t>
      </w:r>
      <w:r w:rsidR="75B96580">
        <w:rPr>
          <w:noProof/>
        </w:rPr>
        <w:t>there is little information</w:t>
      </w:r>
      <w:r w:rsidR="00BA0278">
        <w:rPr>
          <w:noProof/>
        </w:rPr>
        <w:t>,</w:t>
      </w:r>
      <w:r w:rsidR="75B96580">
        <w:rPr>
          <w:noProof/>
        </w:rPr>
        <w:t xml:space="preserve"> </w:t>
      </w:r>
      <w:r w:rsidR="000E7E30">
        <w:rPr>
          <w:noProof/>
        </w:rPr>
        <w:t xml:space="preserve">preventing </w:t>
      </w:r>
      <w:r w:rsidR="75B96580">
        <w:rPr>
          <w:noProof/>
        </w:rPr>
        <w:t>a</w:t>
      </w:r>
      <w:r w:rsidR="3E5A54F1">
        <w:rPr>
          <w:noProof/>
        </w:rPr>
        <w:t xml:space="preserve"> </w:t>
      </w:r>
      <w:r w:rsidR="00C6282A">
        <w:rPr>
          <w:noProof/>
        </w:rPr>
        <w:t>fully-fledged</w:t>
      </w:r>
      <w:r w:rsidR="75B96580">
        <w:rPr>
          <w:noProof/>
        </w:rPr>
        <w:t xml:space="preserve"> </w:t>
      </w:r>
      <w:r w:rsidR="4C1395B6">
        <w:rPr>
          <w:noProof/>
        </w:rPr>
        <w:t>comparison</w:t>
      </w:r>
      <w:r w:rsidR="75B96580">
        <w:rPr>
          <w:noProof/>
        </w:rPr>
        <w:t xml:space="preserve"> with the period prior to the existence of the </w:t>
      </w:r>
      <w:r w:rsidR="005668FC">
        <w:rPr>
          <w:noProof/>
        </w:rPr>
        <w:t>Directive</w:t>
      </w:r>
      <w:r w:rsidR="75B96580">
        <w:rPr>
          <w:noProof/>
        </w:rPr>
        <w:t xml:space="preserve">. </w:t>
      </w:r>
    </w:p>
    <w:p w14:paraId="5C2FB17A" w14:textId="74EAF76E" w:rsidR="004E24F5" w:rsidRPr="00AB006F" w:rsidRDefault="75B96580" w:rsidP="00AB006F">
      <w:pPr>
        <w:pStyle w:val="NoSpacing"/>
        <w:spacing w:after="240"/>
        <w:rPr>
          <w:rFonts w:eastAsiaTheme="majorEastAsia"/>
          <w:b/>
          <w:bCs/>
          <w:i/>
          <w:iCs/>
          <w:noProof/>
          <w:color w:val="0E101A"/>
          <w:lang w:val="en-US"/>
        </w:rPr>
      </w:pPr>
      <w:r>
        <w:rPr>
          <w:noProof/>
        </w:rPr>
        <w:t xml:space="preserve">At this stage, it </w:t>
      </w:r>
      <w:r w:rsidR="0075538C">
        <w:rPr>
          <w:noProof/>
        </w:rPr>
        <w:t>seems</w:t>
      </w:r>
      <w:r>
        <w:rPr>
          <w:noProof/>
        </w:rPr>
        <w:t xml:space="preserve"> too soon to conclude whether the Directive has achieved its objectives to increase legal certainty and ensure better access to the EU concessions </w:t>
      </w:r>
      <w:r w:rsidR="00C6282A">
        <w:rPr>
          <w:noProof/>
        </w:rPr>
        <w:t>market. Nevertheless</w:t>
      </w:r>
      <w:r w:rsidR="00C46D50">
        <w:rPr>
          <w:noProof/>
        </w:rPr>
        <w:t xml:space="preserve"> a number of preliminary conclusions can be drawn, as summarized below.</w:t>
      </w:r>
    </w:p>
    <w:p w14:paraId="1ABE6A07" w14:textId="4AFB1C77" w:rsidR="00485126" w:rsidRDefault="00485126" w:rsidP="004E24F5">
      <w:pPr>
        <w:rPr>
          <w:noProof/>
        </w:rPr>
      </w:pPr>
      <w:r w:rsidRPr="00AB006F">
        <w:rPr>
          <w:noProof/>
        </w:rPr>
        <w:t>All M</w:t>
      </w:r>
      <w:r w:rsidR="00D462E2">
        <w:rPr>
          <w:noProof/>
        </w:rPr>
        <w:t xml:space="preserve">ember </w:t>
      </w:r>
      <w:r w:rsidRPr="00AB006F">
        <w:rPr>
          <w:noProof/>
        </w:rPr>
        <w:t>S</w:t>
      </w:r>
      <w:r w:rsidR="00D462E2">
        <w:rPr>
          <w:noProof/>
        </w:rPr>
        <w:t>tates</w:t>
      </w:r>
      <w:r w:rsidRPr="00AB006F">
        <w:rPr>
          <w:noProof/>
        </w:rPr>
        <w:t xml:space="preserve"> have </w:t>
      </w:r>
      <w:r w:rsidR="00012971">
        <w:rPr>
          <w:noProof/>
        </w:rPr>
        <w:t xml:space="preserve">transposed the Directive and have </w:t>
      </w:r>
      <w:r w:rsidRPr="00AB006F">
        <w:rPr>
          <w:noProof/>
        </w:rPr>
        <w:t xml:space="preserve">put in place </w:t>
      </w:r>
      <w:r w:rsidRPr="00AB006F">
        <w:rPr>
          <w:b/>
          <w:noProof/>
        </w:rPr>
        <w:t>monitoring authorities and structures to ensure correct and efficient implementation of the rules</w:t>
      </w:r>
      <w:r w:rsidRPr="00AB006F">
        <w:rPr>
          <w:noProof/>
        </w:rPr>
        <w:t xml:space="preserve"> for the award of concession contracts</w:t>
      </w:r>
      <w:r w:rsidR="00012971">
        <w:rPr>
          <w:noProof/>
        </w:rPr>
        <w:t>. Nevertheless,</w:t>
      </w:r>
      <w:r>
        <w:rPr>
          <w:noProof/>
        </w:rPr>
        <w:t xml:space="preserve"> </w:t>
      </w:r>
      <w:r w:rsidRPr="00AB006F">
        <w:rPr>
          <w:noProof/>
        </w:rPr>
        <w:t>unclear interpretation and incorrect application of the rules are still detected by the vast majority of M</w:t>
      </w:r>
      <w:r w:rsidR="00D462E2">
        <w:rPr>
          <w:noProof/>
        </w:rPr>
        <w:t xml:space="preserve">ember </w:t>
      </w:r>
      <w:r w:rsidRPr="00AB006F">
        <w:rPr>
          <w:noProof/>
        </w:rPr>
        <w:t>S</w:t>
      </w:r>
      <w:r w:rsidR="00D462E2">
        <w:rPr>
          <w:noProof/>
        </w:rPr>
        <w:t>tates</w:t>
      </w:r>
      <w:r w:rsidRPr="00AB006F">
        <w:rPr>
          <w:noProof/>
        </w:rPr>
        <w:t>.</w:t>
      </w:r>
      <w:r>
        <w:rPr>
          <w:noProof/>
        </w:rPr>
        <w:t xml:space="preserve"> </w:t>
      </w:r>
    </w:p>
    <w:p w14:paraId="5B129F8A" w14:textId="288E6406" w:rsidR="00485126" w:rsidRPr="004E46CD" w:rsidRDefault="004E46CD" w:rsidP="004E24F5">
      <w:pPr>
        <w:rPr>
          <w:noProof/>
        </w:rPr>
      </w:pPr>
      <w:r w:rsidRPr="004E46CD">
        <w:rPr>
          <w:noProof/>
        </w:rPr>
        <w:t xml:space="preserve">The Directive </w:t>
      </w:r>
      <w:r w:rsidRPr="004E46CD">
        <w:rPr>
          <w:b/>
          <w:noProof/>
        </w:rPr>
        <w:t>has also brought more transparency into the award process</w:t>
      </w:r>
      <w:r>
        <w:rPr>
          <w:noProof/>
        </w:rPr>
        <w:t xml:space="preserve">. </w:t>
      </w:r>
      <w:r w:rsidR="007C3ED7" w:rsidRPr="00C46D50">
        <w:rPr>
          <w:b/>
          <w:noProof/>
        </w:rPr>
        <w:t>T</w:t>
      </w:r>
      <w:r w:rsidR="007C3ED7" w:rsidRPr="00AB006F">
        <w:rPr>
          <w:b/>
          <w:noProof/>
        </w:rPr>
        <w:t xml:space="preserve">he number of concessions published has gradually increased </w:t>
      </w:r>
      <w:r w:rsidR="007C3ED7" w:rsidRPr="00C46D50">
        <w:rPr>
          <w:noProof/>
        </w:rPr>
        <w:t>since 2016</w:t>
      </w:r>
      <w:r w:rsidR="007C3ED7">
        <w:rPr>
          <w:noProof/>
        </w:rPr>
        <w:t xml:space="preserve">. </w:t>
      </w:r>
      <w:r w:rsidRPr="004E46CD">
        <w:rPr>
          <w:noProof/>
        </w:rPr>
        <w:t>A</w:t>
      </w:r>
      <w:r>
        <w:rPr>
          <w:noProof/>
        </w:rPr>
        <w:t>lthough</w:t>
      </w:r>
      <w:r w:rsidRPr="004E46CD">
        <w:rPr>
          <w:noProof/>
        </w:rPr>
        <w:t xml:space="preserve"> the highest value concessions are mainly awarded without the publication of a contract notice, hence without a call for competition, this situation can be explained by the fact that those concessions correspond mainly to the electricity distribution which, in certain M</w:t>
      </w:r>
      <w:r w:rsidR="00D462E2">
        <w:rPr>
          <w:noProof/>
        </w:rPr>
        <w:t xml:space="preserve">ember </w:t>
      </w:r>
      <w:r w:rsidRPr="004E46CD">
        <w:rPr>
          <w:noProof/>
        </w:rPr>
        <w:t>S</w:t>
      </w:r>
      <w:r w:rsidR="00D462E2">
        <w:rPr>
          <w:noProof/>
        </w:rPr>
        <w:t>tates</w:t>
      </w:r>
      <w:r w:rsidRPr="004E46CD">
        <w:rPr>
          <w:noProof/>
        </w:rPr>
        <w:t>, is characteri</w:t>
      </w:r>
      <w:r w:rsidR="009B4167">
        <w:rPr>
          <w:noProof/>
        </w:rPr>
        <w:t>s</w:t>
      </w:r>
      <w:r w:rsidRPr="004E46CD">
        <w:rPr>
          <w:noProof/>
        </w:rPr>
        <w:t>ed by the existence of special or exclusive rights</w:t>
      </w:r>
      <w:r w:rsidR="000E7E30">
        <w:rPr>
          <w:noProof/>
        </w:rPr>
        <w:t xml:space="preserve"> or </w:t>
      </w:r>
      <w:r w:rsidRPr="004E46CD">
        <w:rPr>
          <w:noProof/>
        </w:rPr>
        <w:t>legal monopoly. Consequently, those awards do not raise concerns from the perspective of compliance with the Concessions Directive.</w:t>
      </w:r>
    </w:p>
    <w:p w14:paraId="1C84FE3A" w14:textId="7124DDBD" w:rsidR="00485126" w:rsidRPr="00AB006F" w:rsidRDefault="00C46D50" w:rsidP="004E24F5">
      <w:pPr>
        <w:rPr>
          <w:b/>
          <w:bCs/>
          <w:iCs/>
          <w:noProof/>
        </w:rPr>
      </w:pPr>
      <w:r>
        <w:rPr>
          <w:noProof/>
        </w:rPr>
        <w:t>R</w:t>
      </w:r>
      <w:r w:rsidR="00906BFB">
        <w:rPr>
          <w:noProof/>
        </w:rPr>
        <w:t xml:space="preserve">egarding </w:t>
      </w:r>
      <w:r w:rsidR="004E24F5" w:rsidRPr="00FC798F">
        <w:rPr>
          <w:noProof/>
        </w:rPr>
        <w:t>the level of co</w:t>
      </w:r>
      <w:r>
        <w:rPr>
          <w:noProof/>
        </w:rPr>
        <w:t>mpetition for concessions</w:t>
      </w:r>
      <w:r w:rsidR="00BA0278">
        <w:rPr>
          <w:noProof/>
        </w:rPr>
        <w:t xml:space="preserve">, it has been observed that </w:t>
      </w:r>
      <w:r w:rsidR="00BA0278" w:rsidRPr="00AB006F">
        <w:rPr>
          <w:noProof/>
        </w:rPr>
        <w:t xml:space="preserve">the </w:t>
      </w:r>
      <w:r w:rsidR="00BA0278" w:rsidRPr="00AB006F">
        <w:rPr>
          <w:b/>
          <w:noProof/>
        </w:rPr>
        <w:t>Directive did not have a consistent impact on the level of participation in competitions for concession contracts</w:t>
      </w:r>
      <w:r w:rsidR="00BA0278" w:rsidRPr="00AB006F">
        <w:rPr>
          <w:b/>
          <w:i/>
          <w:noProof/>
        </w:rPr>
        <w:t>.</w:t>
      </w:r>
      <w:r w:rsidR="00485126" w:rsidRPr="00AB006F">
        <w:rPr>
          <w:b/>
          <w:bCs/>
          <w:iCs/>
          <w:noProof/>
        </w:rPr>
        <w:t xml:space="preserve"> </w:t>
      </w:r>
    </w:p>
    <w:p w14:paraId="3F6711B3" w14:textId="06A5E91D" w:rsidR="004E24F5" w:rsidRPr="004E46CD" w:rsidRDefault="004E46CD" w:rsidP="004E24F5">
      <w:pPr>
        <w:rPr>
          <w:b/>
          <w:bCs/>
          <w:iCs/>
          <w:noProof/>
          <w:lang w:val="en-GB"/>
        </w:rPr>
      </w:pPr>
      <w:r w:rsidRPr="004E46CD">
        <w:rPr>
          <w:iCs/>
          <w:noProof/>
          <w:lang w:val="en-IE"/>
        </w:rPr>
        <w:t>Furthermore, d</w:t>
      </w:r>
      <w:r w:rsidRPr="004E46CD">
        <w:rPr>
          <w:iCs/>
          <w:noProof/>
          <w:lang w:val="en-GB"/>
        </w:rPr>
        <w:t xml:space="preserve">espite </w:t>
      </w:r>
      <w:r w:rsidRPr="004E46CD">
        <w:rPr>
          <w:iCs/>
          <w:noProof/>
          <w:lang w:val="en-IE"/>
        </w:rPr>
        <w:t>being</w:t>
      </w:r>
      <w:r w:rsidR="00C46D50">
        <w:rPr>
          <w:iCs/>
          <w:noProof/>
          <w:lang w:val="en-GB"/>
        </w:rPr>
        <w:t xml:space="preserve"> open to</w:t>
      </w:r>
      <w:r w:rsidRPr="004E46CD">
        <w:rPr>
          <w:iCs/>
          <w:noProof/>
          <w:lang w:val="en-GB"/>
        </w:rPr>
        <w:t xml:space="preserve"> bidders</w:t>
      </w:r>
      <w:r w:rsidR="00C46D50">
        <w:rPr>
          <w:iCs/>
          <w:noProof/>
          <w:lang w:val="en-GB"/>
        </w:rPr>
        <w:t xml:space="preserve"> from other </w:t>
      </w:r>
      <w:r w:rsidR="00C6282A">
        <w:rPr>
          <w:iCs/>
          <w:noProof/>
          <w:lang w:val="en-GB"/>
        </w:rPr>
        <w:t>Member</w:t>
      </w:r>
      <w:r w:rsidR="00C46D50">
        <w:rPr>
          <w:iCs/>
          <w:noProof/>
          <w:lang w:val="en-GB"/>
        </w:rPr>
        <w:t xml:space="preserve"> States</w:t>
      </w:r>
      <w:r w:rsidRPr="004E46CD">
        <w:rPr>
          <w:iCs/>
          <w:noProof/>
          <w:lang w:val="en-GB"/>
        </w:rPr>
        <w:t xml:space="preserve">, </w:t>
      </w:r>
      <w:r w:rsidRPr="004E46CD">
        <w:rPr>
          <w:b/>
          <w:bCs/>
          <w:iCs/>
          <w:noProof/>
          <w:lang w:val="en-GB"/>
        </w:rPr>
        <w:t xml:space="preserve">the EU concessions market has so far not attracted much </w:t>
      </w:r>
      <w:r w:rsidR="00A533DF">
        <w:rPr>
          <w:b/>
          <w:bCs/>
          <w:iCs/>
          <w:noProof/>
          <w:lang w:val="en-GB"/>
        </w:rPr>
        <w:t>cross-border</w:t>
      </w:r>
      <w:r w:rsidRPr="004E46CD">
        <w:rPr>
          <w:b/>
          <w:bCs/>
          <w:iCs/>
          <w:noProof/>
          <w:lang w:val="en-GB"/>
        </w:rPr>
        <w:t xml:space="preserve"> participation</w:t>
      </w:r>
      <w:r w:rsidRPr="004E46CD">
        <w:rPr>
          <w:iCs/>
          <w:noProof/>
          <w:lang w:val="en-GB"/>
        </w:rPr>
        <w:t>. This situation is not specific to the concession market but rather common to public procurement in general and varies greatly between M</w:t>
      </w:r>
      <w:r w:rsidR="00D462E2">
        <w:rPr>
          <w:iCs/>
          <w:noProof/>
          <w:lang w:val="en-GB"/>
        </w:rPr>
        <w:t xml:space="preserve">ember </w:t>
      </w:r>
      <w:r w:rsidRPr="004E46CD">
        <w:rPr>
          <w:iCs/>
          <w:noProof/>
          <w:lang w:val="en-GB"/>
        </w:rPr>
        <w:t>S</w:t>
      </w:r>
      <w:r w:rsidR="00D462E2">
        <w:rPr>
          <w:iCs/>
          <w:noProof/>
          <w:lang w:val="en-GB"/>
        </w:rPr>
        <w:t>tates</w:t>
      </w:r>
      <w:r w:rsidRPr="004E46CD">
        <w:rPr>
          <w:b/>
          <w:bCs/>
          <w:iCs/>
          <w:noProof/>
          <w:lang w:val="en-GB"/>
        </w:rPr>
        <w:t xml:space="preserve">. </w:t>
      </w:r>
    </w:p>
    <w:p w14:paraId="5E7BE4D1" w14:textId="77777777" w:rsidR="004D10C8" w:rsidRDefault="004D10C8" w:rsidP="004D10C8">
      <w:pPr>
        <w:rPr>
          <w:noProof/>
        </w:rPr>
      </w:pPr>
      <w:r w:rsidRPr="00AB006F">
        <w:rPr>
          <w:b/>
          <w:noProof/>
        </w:rPr>
        <w:t>The level of SME participation appears to have</w:t>
      </w:r>
      <w:r>
        <w:rPr>
          <w:b/>
          <w:noProof/>
        </w:rPr>
        <w:t xml:space="preserve"> </w:t>
      </w:r>
      <w:r w:rsidRPr="00AB006F">
        <w:rPr>
          <w:b/>
          <w:noProof/>
        </w:rPr>
        <w:t>increased over the past 5 years</w:t>
      </w:r>
      <w:r>
        <w:rPr>
          <w:noProof/>
        </w:rPr>
        <w:t xml:space="preserve">, although </w:t>
      </w:r>
      <w:r w:rsidRPr="00AB006F">
        <w:rPr>
          <w:b/>
          <w:noProof/>
        </w:rPr>
        <w:t xml:space="preserve">the share of SMEs in the concession market is </w:t>
      </w:r>
      <w:r>
        <w:rPr>
          <w:b/>
          <w:noProof/>
        </w:rPr>
        <w:t xml:space="preserve">relatively </w:t>
      </w:r>
      <w:r w:rsidRPr="00AB006F">
        <w:rPr>
          <w:b/>
          <w:noProof/>
        </w:rPr>
        <w:t>low</w:t>
      </w:r>
      <w:r>
        <w:rPr>
          <w:noProof/>
        </w:rPr>
        <w:t xml:space="preserve"> as compared to their share in the overall economy.</w:t>
      </w:r>
      <w:r w:rsidRPr="00FC798F">
        <w:rPr>
          <w:noProof/>
        </w:rPr>
        <w:t xml:space="preserve"> </w:t>
      </w:r>
    </w:p>
    <w:p w14:paraId="4173B92D" w14:textId="77777777" w:rsidR="00947142" w:rsidRDefault="004E24F5" w:rsidP="00947142">
      <w:pPr>
        <w:rPr>
          <w:noProof/>
        </w:rPr>
      </w:pPr>
      <w:r w:rsidRPr="004E24F5">
        <w:rPr>
          <w:noProof/>
        </w:rPr>
        <w:t xml:space="preserve">Considering the importance of SMEs to the EU economy, the limited evidence available suggests that </w:t>
      </w:r>
      <w:r w:rsidRPr="00B36712">
        <w:rPr>
          <w:b/>
          <w:bCs/>
          <w:noProof/>
        </w:rPr>
        <w:t>greater focus on SMEs in the context of concessions awards should be a priority</w:t>
      </w:r>
      <w:r w:rsidRPr="004E24F5">
        <w:rPr>
          <w:noProof/>
        </w:rPr>
        <w:t xml:space="preserve"> for </w:t>
      </w:r>
      <w:r w:rsidR="005668FC">
        <w:rPr>
          <w:noProof/>
        </w:rPr>
        <w:t>M</w:t>
      </w:r>
      <w:r w:rsidR="00D462E2">
        <w:rPr>
          <w:noProof/>
        </w:rPr>
        <w:t xml:space="preserve">ember </w:t>
      </w:r>
      <w:r w:rsidR="005668FC">
        <w:rPr>
          <w:noProof/>
        </w:rPr>
        <w:t>S</w:t>
      </w:r>
      <w:r w:rsidR="00D462E2">
        <w:rPr>
          <w:noProof/>
        </w:rPr>
        <w:t>tates</w:t>
      </w:r>
      <w:r w:rsidRPr="004E24F5">
        <w:rPr>
          <w:noProof/>
        </w:rPr>
        <w:t xml:space="preserve"> and contracting authorities/entities.</w:t>
      </w:r>
    </w:p>
    <w:p w14:paraId="6831C6FE" w14:textId="2B6147CA" w:rsidR="004E24F5" w:rsidRDefault="00947142" w:rsidP="004E24F5">
      <w:pPr>
        <w:rPr>
          <w:noProof/>
        </w:rPr>
      </w:pPr>
      <w:r>
        <w:rPr>
          <w:noProof/>
        </w:rPr>
        <w:t xml:space="preserve">Regarding the water sector, the limited data from a handful of Member States also does not allow for drawing firm conclusions on the impact of the Directive on the broader water sector. </w:t>
      </w:r>
    </w:p>
    <w:p w14:paraId="16917EDC" w14:textId="508B8901" w:rsidR="0044136D" w:rsidRPr="004E24F5" w:rsidRDefault="006563CA" w:rsidP="004E24F5">
      <w:pPr>
        <w:rPr>
          <w:noProof/>
        </w:rPr>
      </w:pPr>
      <w:r>
        <w:rPr>
          <w:noProof/>
        </w:rPr>
        <w:t xml:space="preserve">The Commission has recently launched several initiatives, such as </w:t>
      </w:r>
      <w:r w:rsidR="00617BCD">
        <w:rPr>
          <w:noProof/>
        </w:rPr>
        <w:t xml:space="preserve">the Public Procurement Data Space, the Preparatory Action on Transparency in Public Procurement and the Public Buyers Platform to further promote transparency and quality of data in public procurement and concession markets. </w:t>
      </w:r>
    </w:p>
    <w:p w14:paraId="58ABFD93" w14:textId="40BF9E35" w:rsidR="004E24F5" w:rsidRPr="004E24F5" w:rsidRDefault="004E24F5" w:rsidP="004E24F5">
      <w:pPr>
        <w:rPr>
          <w:noProof/>
        </w:rPr>
      </w:pPr>
      <w:r w:rsidRPr="004E24F5">
        <w:rPr>
          <w:noProof/>
        </w:rPr>
        <w:t xml:space="preserve">With time, experience gained with the </w:t>
      </w:r>
      <w:r w:rsidR="005668FC">
        <w:rPr>
          <w:noProof/>
        </w:rPr>
        <w:t>Directive</w:t>
      </w:r>
      <w:r w:rsidRPr="004E24F5">
        <w:rPr>
          <w:noProof/>
        </w:rPr>
        <w:t xml:space="preserve"> will allow to make more </w:t>
      </w:r>
      <w:r w:rsidR="0075538C">
        <w:rPr>
          <w:noProof/>
        </w:rPr>
        <w:t xml:space="preserve">detailed </w:t>
      </w:r>
      <w:r w:rsidRPr="004E24F5">
        <w:rPr>
          <w:noProof/>
        </w:rPr>
        <w:t xml:space="preserve">assessments. The next report to be prepared by the Commission </w:t>
      </w:r>
      <w:r w:rsidR="0075538C">
        <w:rPr>
          <w:noProof/>
        </w:rPr>
        <w:t>should</w:t>
      </w:r>
      <w:r w:rsidRPr="004E24F5">
        <w:rPr>
          <w:noProof/>
        </w:rPr>
        <w:t xml:space="preserve"> shed more light on the real impact of the Directive on the concession market. </w:t>
      </w:r>
    </w:p>
    <w:sectPr w:rsidR="004E24F5" w:rsidRPr="004E24F5" w:rsidSect="0075720B">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46AD81" w16cex:dateUtc="2023-06-28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FB96DD" w16cid:durableId="2846AD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7A9C5" w14:textId="77777777" w:rsidR="006E102E" w:rsidRDefault="006E102E" w:rsidP="0016246B">
      <w:pPr>
        <w:spacing w:after="0"/>
      </w:pPr>
      <w:r>
        <w:separator/>
      </w:r>
    </w:p>
  </w:endnote>
  <w:endnote w:type="continuationSeparator" w:id="0">
    <w:p w14:paraId="2096E2E6" w14:textId="77777777" w:rsidR="006E102E" w:rsidRDefault="006E102E" w:rsidP="0016246B">
      <w:pPr>
        <w:spacing w:after="0"/>
      </w:pPr>
      <w:r>
        <w:continuationSeparator/>
      </w:r>
    </w:p>
  </w:endnote>
  <w:endnote w:type="continuationNotice" w:id="1">
    <w:p w14:paraId="1936C3CA" w14:textId="77777777" w:rsidR="006E102E" w:rsidRDefault="006E10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2D41B" w14:textId="11F89003" w:rsidR="00D04872" w:rsidRPr="00F070F5" w:rsidRDefault="00D04872" w:rsidP="00F07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05A3F" w14:textId="007E35B5" w:rsidR="00D04872" w:rsidRPr="00F070F5" w:rsidRDefault="00F070F5" w:rsidP="00F070F5">
    <w:pPr>
      <w:pStyle w:val="FooterCoverPage"/>
      <w:rPr>
        <w:rFonts w:ascii="Arial" w:hAnsi="Arial" w:cs="Arial"/>
        <w:b/>
        <w:sz w:val="48"/>
      </w:rPr>
    </w:pPr>
    <w:r w:rsidRPr="00F070F5">
      <w:rPr>
        <w:rFonts w:ascii="Arial" w:hAnsi="Arial" w:cs="Arial"/>
        <w:b/>
        <w:sz w:val="48"/>
      </w:rPr>
      <w:t>EN</w:t>
    </w:r>
    <w:r w:rsidRPr="00F070F5">
      <w:rPr>
        <w:rFonts w:ascii="Arial" w:hAnsi="Arial" w:cs="Arial"/>
        <w:b/>
        <w:sz w:val="48"/>
      </w:rPr>
      <w:tab/>
    </w:r>
    <w:r w:rsidRPr="00F070F5">
      <w:rPr>
        <w:rFonts w:ascii="Arial" w:hAnsi="Arial" w:cs="Arial"/>
        <w:b/>
        <w:sz w:val="48"/>
      </w:rPr>
      <w:tab/>
    </w:r>
    <w:r w:rsidRPr="00F070F5">
      <w:tab/>
    </w:r>
    <w:r w:rsidRPr="00F070F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4B1A" w14:textId="77777777" w:rsidR="00F070F5" w:rsidRPr="00F070F5" w:rsidRDefault="00F070F5" w:rsidP="00F070F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B98EC" w14:textId="77777777" w:rsidR="00DA5C86" w:rsidRDefault="00DA5C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C1667" w14:textId="77777777" w:rsidR="00DA5C86" w:rsidRDefault="00DA5C86" w:rsidP="54694B53">
    <w:pPr>
      <w:pStyle w:val="Footer"/>
      <w:rPr>
        <w:rFonts w:ascii="Arial" w:hAnsi="Arial" w:cs="Arial"/>
        <w:b/>
        <w:bCs/>
        <w:sz w:val="48"/>
        <w:szCs w:val="48"/>
      </w:rPr>
    </w:pPr>
    <w:r w:rsidRPr="0075720B">
      <w:rPr>
        <w:rFonts w:ascii="Arial" w:hAnsi="Arial" w:cs="Arial"/>
        <w:b/>
        <w:bCs/>
        <w:sz w:val="48"/>
        <w:szCs w:val="48"/>
      </w:rPr>
      <w:t>EN</w:t>
    </w:r>
    <w:r>
      <w:rPr>
        <w:rFonts w:ascii="Arial" w:hAnsi="Arial" w:cs="Arial"/>
        <w:b/>
        <w:bCs/>
        <w:sz w:val="48"/>
        <w:szCs w:val="48"/>
      </w:rPr>
      <w:t>.</w:t>
    </w:r>
  </w:p>
  <w:p w14:paraId="31D456FE" w14:textId="797AC4A0" w:rsidR="00DA5C86" w:rsidRPr="00133C7F" w:rsidRDefault="00DA5C86" w:rsidP="54694B53">
    <w:pPr>
      <w:pStyle w:val="Footer"/>
      <w:rPr>
        <w:rFonts w:ascii="Arial" w:hAnsi="Arial" w:cs="Arial"/>
        <w:b/>
        <w:bCs/>
        <w:sz w:val="48"/>
        <w:szCs w:val="48"/>
      </w:rPr>
    </w:pPr>
    <w:r w:rsidRPr="00FC2652">
      <w:rPr>
        <w:rFonts w:ascii="Arial" w:hAnsi="Arial" w:cs="Arial"/>
        <w:b/>
        <w:sz w:val="48"/>
      </w:rPr>
      <w:tab/>
    </w:r>
    <w:r w:rsidRPr="00133C7F">
      <w:rPr>
        <w:noProof/>
      </w:rPr>
      <w:fldChar w:fldCharType="begin"/>
    </w:r>
    <w:r>
      <w:instrText xml:space="preserve"> PAGE  \* MERGEFORMAT </w:instrText>
    </w:r>
    <w:r w:rsidRPr="00133C7F">
      <w:fldChar w:fldCharType="separate"/>
    </w:r>
    <w:r w:rsidR="00F070F5">
      <w:rPr>
        <w:noProof/>
      </w:rPr>
      <w:t>3</w:t>
    </w:r>
    <w:r w:rsidRPr="00133C7F">
      <w:rPr>
        <w:noProof/>
      </w:rPr>
      <w:fldChar w:fldCharType="end"/>
    </w:r>
    <w:r>
      <w:tab/>
    </w:r>
    <w:r w:rsidRPr="00FC2652">
      <w:tab/>
    </w:r>
    <w:r w:rsidRPr="0075720B">
      <w:rPr>
        <w:rFonts w:ascii="Arial" w:hAnsi="Arial" w:cs="Arial"/>
        <w:b/>
        <w:bCs/>
        <w:sz w:val="48"/>
        <w:szCs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EB511" w14:textId="77777777" w:rsidR="00DA5C86" w:rsidRDefault="00DA5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AF131" w14:textId="77777777" w:rsidR="006E102E" w:rsidRDefault="006E102E" w:rsidP="0016246B">
      <w:pPr>
        <w:spacing w:after="0"/>
      </w:pPr>
      <w:r>
        <w:separator/>
      </w:r>
    </w:p>
  </w:footnote>
  <w:footnote w:type="continuationSeparator" w:id="0">
    <w:p w14:paraId="16091D9C" w14:textId="77777777" w:rsidR="006E102E" w:rsidRDefault="006E102E" w:rsidP="0016246B">
      <w:pPr>
        <w:spacing w:after="0"/>
      </w:pPr>
      <w:r>
        <w:continuationSeparator/>
      </w:r>
    </w:p>
  </w:footnote>
  <w:footnote w:type="continuationNotice" w:id="1">
    <w:p w14:paraId="7F2EF005" w14:textId="77777777" w:rsidR="006E102E" w:rsidRDefault="006E102E">
      <w:pPr>
        <w:spacing w:after="0"/>
      </w:pPr>
    </w:p>
  </w:footnote>
  <w:footnote w:id="2">
    <w:p w14:paraId="6E1D26A8" w14:textId="77777777" w:rsidR="00BA6C3D" w:rsidRPr="001A6B42" w:rsidRDefault="00BA6C3D" w:rsidP="00BA6C3D">
      <w:pPr>
        <w:pStyle w:val="FootnoteText"/>
      </w:pPr>
      <w:r>
        <w:rPr>
          <w:rStyle w:val="FootnoteReference"/>
        </w:rPr>
        <w:footnoteRef/>
      </w:r>
      <w:r>
        <w:tab/>
        <w:t>Public Procurement Indicators 2018, DG GROW, May 17, 2021 (</w:t>
      </w:r>
      <w:hyperlink r:id="rId1" w:history="1">
        <w:r w:rsidRPr="00053785">
          <w:rPr>
            <w:rStyle w:val="Hyperlink"/>
          </w:rPr>
          <w:t>https://ec.europa.eu/docsroom/documents/48156</w:t>
        </w:r>
      </w:hyperlink>
      <w:r>
        <w:t>).</w:t>
      </w:r>
    </w:p>
  </w:footnote>
  <w:footnote w:id="3">
    <w:p w14:paraId="6F60DB89" w14:textId="79A01238" w:rsidR="00BA6C3D" w:rsidRPr="00F15FA8" w:rsidRDefault="00BA6C3D" w:rsidP="00BA6C3D">
      <w:pPr>
        <w:pStyle w:val="FootnoteText"/>
        <w:rPr>
          <w:lang w:val="pl-PL"/>
        </w:rPr>
      </w:pPr>
      <w:r>
        <w:rPr>
          <w:rStyle w:val="FootnoteReference"/>
        </w:rPr>
        <w:footnoteRef/>
      </w:r>
      <w:r>
        <w:tab/>
      </w:r>
      <w:r w:rsidR="0048591C">
        <w:t>See note 1, page 1</w:t>
      </w:r>
      <w:r>
        <w:t>.</w:t>
      </w:r>
    </w:p>
  </w:footnote>
  <w:footnote w:id="4">
    <w:p w14:paraId="07639CC2" w14:textId="4D456FA1" w:rsidR="00D23EDB" w:rsidRPr="00D23EDB" w:rsidRDefault="00D23EDB">
      <w:pPr>
        <w:pStyle w:val="FootnoteText"/>
      </w:pPr>
      <w:r>
        <w:rPr>
          <w:rStyle w:val="FootnoteReference"/>
        </w:rPr>
        <w:footnoteRef/>
      </w:r>
      <w:r w:rsidRPr="00D23EDB">
        <w:tab/>
      </w:r>
      <w:r w:rsidRPr="00E8459A">
        <w:rPr>
          <w:bCs/>
          <w:lang w:val="en-IE"/>
        </w:rPr>
        <w:t>Directive 2014/23/EU of the European Parliament and of the Council of 26 February 2014 on the award of concession c</w:t>
      </w:r>
      <w:r>
        <w:rPr>
          <w:bCs/>
          <w:lang w:val="en-IE"/>
        </w:rPr>
        <w:t>ontracts</w:t>
      </w:r>
      <w:r w:rsidRPr="00E8459A">
        <w:rPr>
          <w:bCs/>
          <w:lang w:val="en-IE"/>
        </w:rPr>
        <w:t xml:space="preserve">, </w:t>
      </w:r>
      <w:r w:rsidRPr="00E8459A">
        <w:rPr>
          <w:iCs/>
          <w:lang w:val="en-IE"/>
        </w:rPr>
        <w:t>OJ L 94, 28.3.2014, p. 1–64.</w:t>
      </w:r>
      <w:r>
        <w:rPr>
          <w:i/>
          <w:iCs/>
          <w:lang w:val="en-IE"/>
        </w:rPr>
        <w:t xml:space="preserve"> </w:t>
      </w:r>
    </w:p>
  </w:footnote>
  <w:footnote w:id="5">
    <w:p w14:paraId="5916207D" w14:textId="2304D517" w:rsidR="00B37C01" w:rsidRPr="00D23EDB" w:rsidRDefault="00B37C01" w:rsidP="00B37C01">
      <w:pPr>
        <w:pStyle w:val="FootnoteText"/>
      </w:pPr>
      <w:r>
        <w:rPr>
          <w:rStyle w:val="FootnoteReference"/>
        </w:rPr>
        <w:footnoteRef/>
      </w:r>
      <w:r w:rsidRPr="00D23EDB">
        <w:tab/>
      </w:r>
      <w:r>
        <w:t>Fourth paragraph of Article 53 of the Directive indicates that the review of the functioning of the Directive shall be based on information that M</w:t>
      </w:r>
      <w:r w:rsidR="00D462E2">
        <w:t xml:space="preserve">ember </w:t>
      </w:r>
      <w:r>
        <w:t>S</w:t>
      </w:r>
      <w:r w:rsidR="00D462E2">
        <w:t>tates</w:t>
      </w:r>
      <w:r>
        <w:t xml:space="preserve"> provide in accordance with Article 45(3).</w:t>
      </w:r>
    </w:p>
  </w:footnote>
  <w:footnote w:id="6">
    <w:p w14:paraId="3FDB290F" w14:textId="2A362F05" w:rsidR="00E21554" w:rsidRPr="00E21554" w:rsidRDefault="00E21554">
      <w:pPr>
        <w:pStyle w:val="FootnoteText"/>
        <w:rPr>
          <w:lang w:val="en-GB"/>
        </w:rPr>
      </w:pPr>
      <w:r>
        <w:rPr>
          <w:rStyle w:val="FootnoteReference"/>
        </w:rPr>
        <w:footnoteRef/>
      </w:r>
      <w:r>
        <w:t xml:space="preserve"> </w:t>
      </w:r>
      <w:r w:rsidRPr="00E21554">
        <w:rPr>
          <w:lang w:val="en-GB"/>
        </w:rPr>
        <w:tab/>
        <w:t xml:space="preserve">The Study is going to be published together with this </w:t>
      </w:r>
      <w:r>
        <w:rPr>
          <w:lang w:val="en-GB"/>
        </w:rPr>
        <w:t>Report.</w:t>
      </w:r>
    </w:p>
  </w:footnote>
  <w:footnote w:id="7">
    <w:p w14:paraId="6FD7235A" w14:textId="2018920B" w:rsidR="00D23EDB" w:rsidRPr="00D23EDB" w:rsidRDefault="00D23EDB">
      <w:pPr>
        <w:pStyle w:val="FootnoteText"/>
      </w:pPr>
      <w:r>
        <w:rPr>
          <w:rStyle w:val="FootnoteReference"/>
        </w:rPr>
        <w:footnoteRef/>
      </w:r>
      <w:r w:rsidRPr="00D23EDB">
        <w:tab/>
      </w:r>
      <w:r w:rsidR="001B0426">
        <w:t xml:space="preserve">2018 data referring to </w:t>
      </w:r>
      <w:r w:rsidR="00571F27">
        <w:t>Directive 201</w:t>
      </w:r>
      <w:r w:rsidRPr="008C0805">
        <w:t>4/23</w:t>
      </w:r>
      <w:r w:rsidR="00571F27">
        <w:t>/</w:t>
      </w:r>
      <w:r w:rsidRPr="008C0805">
        <w:t xml:space="preserve">EU, Directive 2014/24/EU of the European Parliament and of the Council of 26 February 2014 on public procurement and repealing Directive 2004/18/EC, </w:t>
      </w:r>
      <w:r w:rsidRPr="008C0805">
        <w:rPr>
          <w:iCs/>
          <w:color w:val="333333"/>
        </w:rPr>
        <w:t>OJ L 94, 28.3.2014, p. 65–242</w:t>
      </w:r>
      <w:r w:rsidRPr="008C0805">
        <w:rPr>
          <w:i/>
          <w:iCs/>
          <w:color w:val="333333"/>
        </w:rPr>
        <w:t> </w:t>
      </w:r>
      <w:r>
        <w:rPr>
          <w:iCs/>
          <w:color w:val="333333"/>
        </w:rPr>
        <w:t xml:space="preserve">and </w:t>
      </w:r>
      <w:r w:rsidRPr="008C0805">
        <w:rPr>
          <w:iCs/>
          <w:color w:val="333333"/>
        </w:rPr>
        <w:t>Directive 2014/25/EU of the European Parliament and of the Council of 26 February 2014 on procurement by entities operating in the water, energy, transport and postal services sectors and repealing Directive 200</w:t>
      </w:r>
      <w:r>
        <w:rPr>
          <w:iCs/>
          <w:color w:val="333333"/>
        </w:rPr>
        <w:t xml:space="preserve">4/17/EC, </w:t>
      </w:r>
      <w:r w:rsidRPr="008C0805">
        <w:rPr>
          <w:iCs/>
          <w:color w:val="333333"/>
        </w:rPr>
        <w:t>OJ L 94, 28.3.2014, p. 243–374</w:t>
      </w:r>
      <w:r>
        <w:rPr>
          <w:iCs/>
          <w:color w:val="333333"/>
        </w:rPr>
        <w:t>.</w:t>
      </w:r>
      <w:r w:rsidR="001B0426">
        <w:rPr>
          <w:iCs/>
          <w:color w:val="333333"/>
        </w:rPr>
        <w:t xml:space="preserve"> </w:t>
      </w:r>
    </w:p>
  </w:footnote>
  <w:footnote w:id="8">
    <w:p w14:paraId="095DD7DC" w14:textId="59902D9F" w:rsidR="00A84304" w:rsidRPr="00A84304" w:rsidRDefault="00A84304">
      <w:pPr>
        <w:pStyle w:val="FootnoteText"/>
        <w:rPr>
          <w:lang w:val="en-GB"/>
        </w:rPr>
      </w:pPr>
      <w:r>
        <w:rPr>
          <w:rStyle w:val="FootnoteReference"/>
        </w:rPr>
        <w:footnoteRef/>
      </w:r>
      <w:r>
        <w:t xml:space="preserve"> </w:t>
      </w:r>
      <w:r w:rsidR="00E360D2">
        <w:tab/>
      </w:r>
      <w:r w:rsidRPr="00A84304">
        <w:rPr>
          <w:lang w:val="en-GB"/>
        </w:rPr>
        <w:t xml:space="preserve">Concessions with values lower than this threshold are often published in </w:t>
      </w:r>
      <w:r>
        <w:rPr>
          <w:lang w:val="en-GB"/>
        </w:rPr>
        <w:t>TED.</w:t>
      </w:r>
    </w:p>
  </w:footnote>
  <w:footnote w:id="9">
    <w:p w14:paraId="77C51287" w14:textId="4A0BCD4F" w:rsidR="00D23EDB" w:rsidRPr="00C70C94" w:rsidRDefault="00D23EDB">
      <w:pPr>
        <w:pStyle w:val="FootnoteText"/>
      </w:pPr>
      <w:r>
        <w:rPr>
          <w:rStyle w:val="FootnoteReference"/>
        </w:rPr>
        <w:footnoteRef/>
      </w:r>
      <w:r w:rsidRPr="00D23EDB">
        <w:tab/>
      </w:r>
      <w:r w:rsidRPr="0083052B">
        <w:t xml:space="preserve">Comparison between </w:t>
      </w:r>
      <w:r>
        <w:t>total numbers of concessions awarded in the</w:t>
      </w:r>
      <w:r w:rsidRPr="0083052B">
        <w:t xml:space="preserve"> period 2012</w:t>
      </w:r>
      <w:r w:rsidR="00330C70">
        <w:t xml:space="preserve"> </w:t>
      </w:r>
      <w:r w:rsidRPr="0083052B">
        <w:t xml:space="preserve">- </w:t>
      </w:r>
      <w:r>
        <w:t>18 April 2016 and the period 19 April 2016</w:t>
      </w:r>
      <w:r w:rsidR="00330C70">
        <w:t xml:space="preserve"> </w:t>
      </w:r>
      <w:r>
        <w:t>- 2019. For more details see Chapter 3 of the Commission Staff Working Document.</w:t>
      </w:r>
    </w:p>
  </w:footnote>
  <w:footnote w:id="10">
    <w:p w14:paraId="40C7A630" w14:textId="115DD759" w:rsidR="00524C86" w:rsidRPr="00AB3061" w:rsidRDefault="00524C86" w:rsidP="00524C86">
      <w:pPr>
        <w:pStyle w:val="FootnoteText"/>
        <w:rPr>
          <w:lang w:val="en-IE"/>
        </w:rPr>
      </w:pPr>
      <w:r>
        <w:rPr>
          <w:rStyle w:val="FootnoteReference"/>
        </w:rPr>
        <w:footnoteRef/>
      </w:r>
      <w:r>
        <w:t xml:space="preserve"> </w:t>
      </w:r>
      <w:r w:rsidRPr="00FD5C90">
        <w:rPr>
          <w:lang w:val="en-IE"/>
        </w:rPr>
        <w:tab/>
      </w:r>
      <w:r>
        <w:rPr>
          <w:lang w:val="en-IE"/>
        </w:rPr>
        <w:t>C</w:t>
      </w:r>
      <w:r w:rsidRPr="00524C86">
        <w:rPr>
          <w:lang w:val="en-IE"/>
        </w:rPr>
        <w:t xml:space="preserve">ommunication from the </w:t>
      </w:r>
      <w:r>
        <w:rPr>
          <w:lang w:val="en-IE"/>
        </w:rPr>
        <w:t>C</w:t>
      </w:r>
      <w:r w:rsidRPr="00524C86">
        <w:rPr>
          <w:lang w:val="en-IE"/>
        </w:rPr>
        <w:t xml:space="preserve">ommission to the </w:t>
      </w:r>
      <w:r>
        <w:rPr>
          <w:lang w:val="en-IE"/>
        </w:rPr>
        <w:t>E</w:t>
      </w:r>
      <w:r w:rsidRPr="00524C86">
        <w:rPr>
          <w:lang w:val="en-IE"/>
        </w:rPr>
        <w:t xml:space="preserve">uropean </w:t>
      </w:r>
      <w:r>
        <w:rPr>
          <w:lang w:val="en-IE"/>
        </w:rPr>
        <w:t>P</w:t>
      </w:r>
      <w:r w:rsidRPr="00524C86">
        <w:rPr>
          <w:lang w:val="en-IE"/>
        </w:rPr>
        <w:t xml:space="preserve">arliament, the </w:t>
      </w:r>
      <w:r>
        <w:rPr>
          <w:lang w:val="en-IE"/>
        </w:rPr>
        <w:t>C</w:t>
      </w:r>
      <w:r w:rsidRPr="00524C86">
        <w:rPr>
          <w:lang w:val="en-IE"/>
        </w:rPr>
        <w:t xml:space="preserve">ouncil, the </w:t>
      </w:r>
      <w:r>
        <w:rPr>
          <w:lang w:val="en-IE"/>
        </w:rPr>
        <w:t>E</w:t>
      </w:r>
      <w:r w:rsidRPr="00524C86">
        <w:rPr>
          <w:lang w:val="en-IE"/>
        </w:rPr>
        <w:t xml:space="preserve">uropean </w:t>
      </w:r>
      <w:r>
        <w:rPr>
          <w:lang w:val="en-IE"/>
        </w:rPr>
        <w:t>E</w:t>
      </w:r>
      <w:r w:rsidRPr="00524C86">
        <w:rPr>
          <w:lang w:val="en-IE"/>
        </w:rPr>
        <w:t xml:space="preserve">conomic and </w:t>
      </w:r>
      <w:r>
        <w:rPr>
          <w:lang w:val="en-IE"/>
        </w:rPr>
        <w:t>S</w:t>
      </w:r>
      <w:r w:rsidRPr="00524C86">
        <w:rPr>
          <w:lang w:val="en-IE"/>
        </w:rPr>
        <w:t xml:space="preserve">ocial </w:t>
      </w:r>
      <w:r>
        <w:rPr>
          <w:lang w:val="en-IE"/>
        </w:rPr>
        <w:t>C</w:t>
      </w:r>
      <w:r w:rsidRPr="00524C86">
        <w:rPr>
          <w:lang w:val="en-IE"/>
        </w:rPr>
        <w:t xml:space="preserve">ommittee and the </w:t>
      </w:r>
      <w:r>
        <w:rPr>
          <w:lang w:val="en-IE"/>
        </w:rPr>
        <w:t>C</w:t>
      </w:r>
      <w:r w:rsidRPr="00524C86">
        <w:rPr>
          <w:lang w:val="en-IE"/>
        </w:rPr>
        <w:t xml:space="preserve">ommittee of the </w:t>
      </w:r>
      <w:r>
        <w:rPr>
          <w:lang w:val="en-IE"/>
        </w:rPr>
        <w:t>R</w:t>
      </w:r>
      <w:r w:rsidRPr="00524C86">
        <w:rPr>
          <w:lang w:val="en-IE"/>
        </w:rPr>
        <w:t>egions</w:t>
      </w:r>
      <w:r>
        <w:rPr>
          <w:lang w:val="en-IE"/>
        </w:rPr>
        <w:t xml:space="preserve"> - </w:t>
      </w:r>
      <w:r w:rsidRPr="00AB3061">
        <w:rPr>
          <w:lang w:val="en-IE"/>
        </w:rPr>
        <w:t>The Single Market at 30</w:t>
      </w:r>
      <w:r>
        <w:rPr>
          <w:lang w:val="en-IE"/>
        </w:rPr>
        <w:t xml:space="preserve"> (</w:t>
      </w:r>
      <w:r w:rsidRPr="00AB3061">
        <w:rPr>
          <w:lang w:val="en-IE"/>
        </w:rPr>
        <w:t>COM</w:t>
      </w:r>
      <w:r w:rsidR="00174EAA">
        <w:rPr>
          <w:lang w:val="en-IE"/>
        </w:rPr>
        <w:t>(2023) 162 final of 16 March 202</w:t>
      </w:r>
      <w:r w:rsidRPr="00AB3061">
        <w:rPr>
          <w:lang w:val="en-IE"/>
        </w:rPr>
        <w:t>3</w:t>
      </w:r>
      <w:r>
        <w:rPr>
          <w:lang w:val="en-IE"/>
        </w:rPr>
        <w:t>)</w:t>
      </w:r>
      <w:r w:rsidRPr="00AB3061">
        <w:rPr>
          <w:lang w:val="en-IE"/>
        </w:rPr>
        <w:t>.</w:t>
      </w:r>
    </w:p>
  </w:footnote>
  <w:footnote w:id="11">
    <w:p w14:paraId="155E0796" w14:textId="68F5FBDD" w:rsidR="00D23EDB" w:rsidRPr="009324B9" w:rsidRDefault="00D23EDB">
      <w:pPr>
        <w:pStyle w:val="FootnoteText"/>
      </w:pPr>
      <w:r>
        <w:rPr>
          <w:rStyle w:val="FootnoteReference"/>
        </w:rPr>
        <w:footnoteRef/>
      </w:r>
      <w:r w:rsidRPr="00D23EDB">
        <w:tab/>
      </w:r>
      <w:r w:rsidRPr="009324B9">
        <w:t>The last M</w:t>
      </w:r>
      <w:r w:rsidR="008C789D">
        <w:t xml:space="preserve">ember </w:t>
      </w:r>
      <w:r w:rsidRPr="009324B9">
        <w:t>S</w:t>
      </w:r>
      <w:r w:rsidR="008C789D">
        <w:t>tate</w:t>
      </w:r>
      <w:r w:rsidRPr="009324B9">
        <w:t xml:space="preserve"> transposed the Directive on 26.02.2020.</w:t>
      </w:r>
    </w:p>
  </w:footnote>
  <w:footnote w:id="12">
    <w:p w14:paraId="577EE14A" w14:textId="1D625D59" w:rsidR="009324B9" w:rsidRPr="00C70C94" w:rsidRDefault="009324B9">
      <w:pPr>
        <w:pStyle w:val="FootnoteText"/>
      </w:pPr>
      <w:r>
        <w:rPr>
          <w:rStyle w:val="FootnoteReference"/>
        </w:rPr>
        <w:footnoteRef/>
      </w:r>
      <w:r w:rsidRPr="009324B9">
        <w:tab/>
        <w:t xml:space="preserve">Some of the infringement procedures concern all three public procurement Directives, and will therefore be formally closed only when all issues (pertaining to </w:t>
      </w:r>
      <w:r w:rsidR="00EF6AD1">
        <w:t>the</w:t>
      </w:r>
      <w:r w:rsidR="00EF6AD1" w:rsidRPr="009324B9">
        <w:t xml:space="preserve"> </w:t>
      </w:r>
      <w:r w:rsidRPr="009324B9">
        <w:t>three Directives</w:t>
      </w:r>
      <w:r w:rsidR="00EF6AD1">
        <w:t xml:space="preserve"> referred to in footnote </w:t>
      </w:r>
      <w:r w:rsidR="00EF6AD1">
        <w:fldChar w:fldCharType="begin"/>
      </w:r>
      <w:r w:rsidR="00EF6AD1">
        <w:instrText xml:space="preserve"> NOTEREF _Ref127800085 \h </w:instrText>
      </w:r>
      <w:r w:rsidR="00EF6AD1">
        <w:fldChar w:fldCharType="separate"/>
      </w:r>
      <w:r w:rsidR="00DB3DF7">
        <w:t>3</w:t>
      </w:r>
      <w:r w:rsidR="00EF6AD1">
        <w:fldChar w:fldCharType="end"/>
      </w:r>
      <w:r w:rsidRPr="009324B9">
        <w:t>) have been solved. In this respect, it may appear that some M</w:t>
      </w:r>
      <w:r w:rsidR="00D462E2">
        <w:t xml:space="preserve">ember </w:t>
      </w:r>
      <w:r w:rsidRPr="009324B9">
        <w:t>S</w:t>
      </w:r>
      <w:r w:rsidR="00D462E2">
        <w:t>tates</w:t>
      </w:r>
      <w:r w:rsidRPr="009324B9">
        <w:t xml:space="preserve"> have ongoing infringements even if, strictly speaking, issues related to the implementation of the Directive may have been solved in the meantime.</w:t>
      </w:r>
    </w:p>
  </w:footnote>
  <w:footnote w:id="13">
    <w:p w14:paraId="5075F0E5" w14:textId="7588B3D3" w:rsidR="00694D1B" w:rsidRPr="00694D1B" w:rsidRDefault="00694D1B">
      <w:pPr>
        <w:pStyle w:val="FootnoteText"/>
      </w:pPr>
      <w:r>
        <w:rPr>
          <w:rStyle w:val="FootnoteReference"/>
        </w:rPr>
        <w:footnoteRef/>
      </w:r>
      <w:r w:rsidRPr="00694D1B">
        <w:tab/>
      </w:r>
      <w:r w:rsidRPr="00D776F6">
        <w:t xml:space="preserve">The </w:t>
      </w:r>
      <w:r>
        <w:t>Directive</w:t>
      </w:r>
      <w:r w:rsidRPr="00D776F6">
        <w:t xml:space="preserve"> defines concessions as written contracts between one or more contracting authorities or contracting entities and one or more economic operators (concessionaire), where the latter is entrusted with the execution of works or the provision and management of services and is remunerated by being given the right to exploit the respective works or service, or by being given this right together with payment.</w:t>
      </w:r>
      <w:r w:rsidRPr="23FFF65E">
        <w:t xml:space="preserve"> </w:t>
      </w:r>
    </w:p>
  </w:footnote>
  <w:footnote w:id="14">
    <w:p w14:paraId="396BD8F3" w14:textId="511EC0F5" w:rsidR="00694D1B" w:rsidRPr="00C70C94" w:rsidRDefault="00694D1B">
      <w:pPr>
        <w:pStyle w:val="FootnoteText"/>
      </w:pPr>
      <w:r>
        <w:rPr>
          <w:rStyle w:val="FootnoteReference"/>
        </w:rPr>
        <w:footnoteRef/>
      </w:r>
      <w:r w:rsidRPr="00694D1B">
        <w:tab/>
      </w:r>
      <w:r w:rsidRPr="23FFF65E">
        <w:t xml:space="preserve">This is to be </w:t>
      </w:r>
      <w:r>
        <w:t>distinguish</w:t>
      </w:r>
      <w:r w:rsidR="00D7509A">
        <w:t>ed</w:t>
      </w:r>
      <w:r>
        <w:t xml:space="preserve"> from “authorisations</w:t>
      </w:r>
      <w:r w:rsidR="008F2158">
        <w:t>”</w:t>
      </w:r>
      <w:r>
        <w:t xml:space="preserve"> or </w:t>
      </w:r>
      <w:r w:rsidR="008F2158">
        <w:t>“</w:t>
      </w:r>
      <w:r>
        <w:t xml:space="preserve">licences” which involve a public authority establishing conditions for a contractor to carry out a certain operation. Whereas an authorisation or licence provides a contractor with the right to exploit that authorisation or licence, a concessionaire is under an obligation. </w:t>
      </w:r>
      <w:r w:rsidRPr="23FFF65E">
        <w:rPr>
          <w:lang w:val="en-IE"/>
        </w:rPr>
        <w:t>Directive 2006/123/EC of the European Parliament and of the Council of 12 December 2006 on services in the internal market (OJ L 376, 27.12.2006, p. 36) applies to authorisations and licences.</w:t>
      </w:r>
    </w:p>
  </w:footnote>
  <w:footnote w:id="15">
    <w:p w14:paraId="59A2EED5" w14:textId="0B3A23A4" w:rsidR="00C20CA8" w:rsidRPr="00C20CA8" w:rsidRDefault="00C20CA8">
      <w:pPr>
        <w:pStyle w:val="FootnoteText"/>
      </w:pPr>
      <w:r>
        <w:rPr>
          <w:rStyle w:val="FootnoteReference"/>
        </w:rPr>
        <w:footnoteRef/>
      </w:r>
      <w:r w:rsidRPr="00C20CA8">
        <w:tab/>
        <w:t>The Directive defines the notion of “operating risk.” Concession contracts always involve the transfer to the concessionaire of an operating risk of economic nature. This means that the concessionaire may not recoup investments made and the costs incurred in operating the works or services awarded under normal operating conditions, even if a part of the risk remains with the contracting authority or contracting entity.</w:t>
      </w:r>
    </w:p>
  </w:footnote>
  <w:footnote w:id="16">
    <w:p w14:paraId="294E84CD" w14:textId="21DB2EB2" w:rsidR="00694D1B" w:rsidRPr="00694D1B" w:rsidRDefault="00694D1B">
      <w:pPr>
        <w:pStyle w:val="FootnoteText"/>
      </w:pPr>
      <w:r>
        <w:rPr>
          <w:rStyle w:val="FootnoteReference"/>
        </w:rPr>
        <w:footnoteRef/>
      </w:r>
      <w:r w:rsidRPr="00694D1B">
        <w:tab/>
      </w:r>
      <w:r w:rsidRPr="00CE252B">
        <w:rPr>
          <w:rFonts w:eastAsiaTheme="majorEastAsia"/>
        </w:rPr>
        <w:t xml:space="preserve">OECD </w:t>
      </w:r>
      <w:r w:rsidRPr="009324B9">
        <w:rPr>
          <w:rFonts w:eastAsiaTheme="majorEastAsia"/>
          <w:i/>
        </w:rPr>
        <w:t>Recommendation on Fighting Bid Rigging in Public Procurement</w:t>
      </w:r>
      <w:r w:rsidRPr="00CE252B">
        <w:rPr>
          <w:rFonts w:eastAsiaTheme="majorEastAsia"/>
        </w:rPr>
        <w:t xml:space="preserve"> available at: </w:t>
      </w:r>
      <w:hyperlink r:id="rId2" w:history="1">
        <w:r w:rsidRPr="00CE252B">
          <w:rPr>
            <w:rStyle w:val="Hyperlink"/>
          </w:rPr>
          <w:t>https://www.oecd.org/daf/competition/oecdrecommendationonfightingbidrigginginpublicprocurement.htm</w:t>
        </w:r>
      </w:hyperlink>
      <w:r w:rsidRPr="00CE252B">
        <w:rPr>
          <w:rFonts w:eastAsiaTheme="majorEastAsia"/>
          <w:color w:val="0563C1"/>
          <w:u w:val="single"/>
        </w:rPr>
        <w:t xml:space="preserve">. </w:t>
      </w:r>
    </w:p>
  </w:footnote>
  <w:footnote w:id="17">
    <w:p w14:paraId="092C55DE" w14:textId="6FBCB157" w:rsidR="006C6346" w:rsidRPr="006C6346" w:rsidRDefault="006C6346">
      <w:pPr>
        <w:pStyle w:val="FootnoteText"/>
      </w:pPr>
      <w:r>
        <w:rPr>
          <w:rStyle w:val="FootnoteReference"/>
        </w:rPr>
        <w:footnoteRef/>
      </w:r>
      <w:r w:rsidRPr="006C6346">
        <w:tab/>
      </w:r>
      <w:r w:rsidRPr="009324B9">
        <w:rPr>
          <w:i/>
        </w:rPr>
        <w:t>Notice on tools to fight collusion in public procurement and on guidance on how to apply the related exclusion ground</w:t>
      </w:r>
      <w:r>
        <w:t xml:space="preserve">, </w:t>
      </w:r>
      <w:r w:rsidR="00C6282A" w:rsidRPr="0076248D">
        <w:t>C (</w:t>
      </w:r>
      <w:r w:rsidRPr="0076248D">
        <w:t>2021) 1631</w:t>
      </w:r>
      <w:r>
        <w:t xml:space="preserve"> of 15.03.2021.</w:t>
      </w:r>
    </w:p>
  </w:footnote>
  <w:footnote w:id="18">
    <w:p w14:paraId="68744927" w14:textId="0CE7D898" w:rsidR="006C6346" w:rsidRPr="006C6346" w:rsidRDefault="006C6346" w:rsidP="001B1567">
      <w:pPr>
        <w:pStyle w:val="FootnoteText"/>
      </w:pPr>
      <w:r>
        <w:rPr>
          <w:rStyle w:val="FootnoteReference"/>
        </w:rPr>
        <w:footnoteRef/>
      </w:r>
      <w:r w:rsidRPr="006C6346">
        <w:tab/>
      </w:r>
      <w:r w:rsidR="001B1567">
        <w:t>Concession notices are published in the Official Journal at the beginning of the tender procedure in order to ensure</w:t>
      </w:r>
      <w:r w:rsidR="001B1567" w:rsidRPr="001B1567">
        <w:t xml:space="preserve"> adequate a</w:t>
      </w:r>
      <w:r w:rsidR="001B1567">
        <w:t>dvertising</w:t>
      </w:r>
      <w:r w:rsidR="001B1567" w:rsidRPr="001B1567">
        <w:t xml:space="preserve"> </w:t>
      </w:r>
      <w:r w:rsidR="001B1567">
        <w:t xml:space="preserve">of the tender while concession award notices are published at the end and contains information </w:t>
      </w:r>
      <w:r w:rsidR="00745DD3">
        <w:t xml:space="preserve">on </w:t>
      </w:r>
      <w:r w:rsidR="001B1567">
        <w:t xml:space="preserve">the outcome of the tender procedure. </w:t>
      </w:r>
      <w:r>
        <w:t>For more details please refer to Chapter 5.2 Providing Better Access to the concessions market of the Staff Working Document accompanying the Report.</w:t>
      </w:r>
    </w:p>
  </w:footnote>
  <w:footnote w:id="19">
    <w:p w14:paraId="33A8AD03" w14:textId="5C891B0F" w:rsidR="00F34AFE" w:rsidRPr="00F34AFE" w:rsidRDefault="00F34AFE">
      <w:pPr>
        <w:pStyle w:val="FootnoteText"/>
        <w:rPr>
          <w:lang w:val="en-GB"/>
        </w:rPr>
      </w:pPr>
      <w:r>
        <w:rPr>
          <w:rStyle w:val="FootnoteReference"/>
        </w:rPr>
        <w:footnoteRef/>
      </w:r>
      <w:r>
        <w:t xml:space="preserve"> </w:t>
      </w:r>
      <w:r w:rsidR="005205B0">
        <w:tab/>
      </w:r>
      <w:r>
        <w:t>T</w:t>
      </w:r>
      <w:r w:rsidRPr="00FC798F">
        <w:t xml:space="preserve">he difference may also be methodological as non-awarded and cancelled </w:t>
      </w:r>
      <w:r>
        <w:t>concessions</w:t>
      </w:r>
      <w:r w:rsidRPr="00FC798F">
        <w:t xml:space="preserve"> have been removed from the database registering award notices but not from th</w:t>
      </w:r>
      <w:r>
        <w:t>e database registering concession</w:t>
      </w:r>
      <w:r w:rsidRPr="00FC798F">
        <w:t xml:space="preserve"> notices</w:t>
      </w:r>
      <w:r w:rsidR="00174EAA">
        <w:t>.</w:t>
      </w:r>
    </w:p>
  </w:footnote>
  <w:footnote w:id="20">
    <w:p w14:paraId="5B3BFBF8" w14:textId="37C68ACF" w:rsidR="00215E5F" w:rsidRPr="006C6346" w:rsidRDefault="00215E5F" w:rsidP="00215E5F">
      <w:pPr>
        <w:pStyle w:val="FootnoteText"/>
      </w:pPr>
      <w:r>
        <w:rPr>
          <w:rStyle w:val="FootnoteReference"/>
        </w:rPr>
        <w:footnoteRef/>
      </w:r>
      <w:r w:rsidRPr="006C6346">
        <w:tab/>
      </w:r>
      <w:r>
        <w:t xml:space="preserve">Commission Implementing Regulation (EU) </w:t>
      </w:r>
      <w:r w:rsidR="00717A8D">
        <w:t xml:space="preserve">2022/2303 of 24 November 2022 </w:t>
      </w:r>
      <w:r w:rsidR="00717A8D" w:rsidRPr="0091068B">
        <w:t xml:space="preserve">amending Implementing Regulation </w:t>
      </w:r>
      <w:r w:rsidR="00717A8D">
        <w:t xml:space="preserve">(EU) </w:t>
      </w:r>
      <w:r>
        <w:t xml:space="preserve">2019/1780 of 23 September 2019 establishing standard forms for the publication of notices in the field of public procurement  OJ L </w:t>
      </w:r>
      <w:r w:rsidR="00717A8D">
        <w:t>305</w:t>
      </w:r>
      <w:r>
        <w:t>, 25.1</w:t>
      </w:r>
      <w:r w:rsidR="00717A8D">
        <w:t>1</w:t>
      </w:r>
      <w:r>
        <w:t>.20</w:t>
      </w:r>
      <w:r w:rsidR="00717A8D">
        <w:t>22</w:t>
      </w:r>
      <w:r>
        <w:t xml:space="preserve">, p. </w:t>
      </w:r>
      <w:r w:rsidR="00717A8D">
        <w:t>12</w:t>
      </w:r>
      <w:r>
        <w:t>.</w:t>
      </w:r>
    </w:p>
  </w:footnote>
  <w:footnote w:id="21">
    <w:p w14:paraId="273E34BC" w14:textId="11E4F933" w:rsidR="00215E5F" w:rsidRPr="009324B9" w:rsidRDefault="00215E5F" w:rsidP="00215E5F">
      <w:pPr>
        <w:pStyle w:val="FootnoteText"/>
      </w:pPr>
      <w:r>
        <w:rPr>
          <w:rStyle w:val="FootnoteReference"/>
        </w:rPr>
        <w:footnoteRef/>
      </w:r>
      <w:r w:rsidRPr="006C6346">
        <w:tab/>
      </w:r>
      <w:r>
        <w:t>The</w:t>
      </w:r>
      <w:r w:rsidRPr="00C14F0B">
        <w:t xml:space="preserve"> Regulation </w:t>
      </w:r>
      <w:r>
        <w:t>(EU) 20</w:t>
      </w:r>
      <w:r w:rsidR="000869CF">
        <w:t>22/2303</w:t>
      </w:r>
      <w:r>
        <w:t xml:space="preserve"> </w:t>
      </w:r>
      <w:r w:rsidRPr="00C14F0B">
        <w:t xml:space="preserve">applies from 14 November 2022. Between that date and 24 October 2023, the use of eForms by buyers is </w:t>
      </w:r>
      <w:r>
        <w:t xml:space="preserve">only </w:t>
      </w:r>
      <w:r w:rsidRPr="00C14F0B">
        <w:t>optional</w:t>
      </w:r>
      <w:r>
        <w:t>.</w:t>
      </w:r>
      <w:r w:rsidR="000869CF">
        <w:t xml:space="preserve"> Most Member States will switch at the end of the transition period.</w:t>
      </w:r>
    </w:p>
  </w:footnote>
  <w:footnote w:id="22">
    <w:p w14:paraId="72ED568C" w14:textId="66B5888E" w:rsidR="00EE6017" w:rsidRPr="00EE6017" w:rsidRDefault="00EE6017">
      <w:pPr>
        <w:pStyle w:val="FootnoteText"/>
      </w:pPr>
      <w:r>
        <w:rPr>
          <w:rStyle w:val="FootnoteReference"/>
        </w:rPr>
        <w:footnoteRef/>
      </w:r>
      <w:r w:rsidRPr="00EE6017">
        <w:tab/>
      </w:r>
      <w:r w:rsidRPr="009324B9">
        <w:t xml:space="preserve">According to </w:t>
      </w:r>
      <w:r w:rsidR="00CB67F3">
        <w:t xml:space="preserve">Article </w:t>
      </w:r>
      <w:r w:rsidR="00051F84">
        <w:t xml:space="preserve">31(4) </w:t>
      </w:r>
      <w:r w:rsidR="00CB67F3">
        <w:t xml:space="preserve">of </w:t>
      </w:r>
      <w:r w:rsidRPr="009324B9">
        <w:t xml:space="preserve">the Directive, a public buyer is not obliged under certain circumstances and for certain sectors to </w:t>
      </w:r>
      <w:r w:rsidR="00051F84">
        <w:t>publish a concession notice</w:t>
      </w:r>
      <w:r w:rsidRPr="00C575C6">
        <w:rPr>
          <w:sz w:val="18"/>
          <w:szCs w:val="18"/>
        </w:rPr>
        <w:t>.</w:t>
      </w:r>
    </w:p>
  </w:footnote>
  <w:footnote w:id="23">
    <w:p w14:paraId="6E69A3BA" w14:textId="24B51054" w:rsidR="00DA158C" w:rsidRPr="00DA158C" w:rsidRDefault="00DA158C">
      <w:pPr>
        <w:pStyle w:val="FootnoteText"/>
        <w:rPr>
          <w:lang w:val="en-GB"/>
        </w:rPr>
      </w:pPr>
      <w:r>
        <w:rPr>
          <w:rStyle w:val="FootnoteReference"/>
        </w:rPr>
        <w:footnoteRef/>
      </w:r>
      <w:r>
        <w:t xml:space="preserve"> </w:t>
      </w:r>
      <w:r>
        <w:tab/>
      </w:r>
      <w:r w:rsidRPr="00DA158C">
        <w:t>Study on the implementation of the Concessions Directive - London Economics Europe and Spark Legal (2021)</w:t>
      </w:r>
      <w:r>
        <w:t>, p. 108.</w:t>
      </w:r>
    </w:p>
  </w:footnote>
  <w:footnote w:id="24">
    <w:p w14:paraId="3594CF8D" w14:textId="432971FE" w:rsidR="00EE6017" w:rsidRPr="00EE6017" w:rsidRDefault="00EE6017">
      <w:pPr>
        <w:pStyle w:val="FootnoteText"/>
      </w:pPr>
      <w:r>
        <w:rPr>
          <w:rStyle w:val="FootnoteReference"/>
        </w:rPr>
        <w:footnoteRef/>
      </w:r>
      <w:r w:rsidRPr="00EE6017">
        <w:tab/>
        <w:t xml:space="preserve">Communication from the Commission. </w:t>
      </w:r>
      <w:r w:rsidRPr="009324B9">
        <w:rPr>
          <w:i/>
        </w:rPr>
        <w:t>Making the most of the EU’s innovative potential – An intellectual property action plan to support the EU’s recovery and resilience</w:t>
      </w:r>
      <w:r w:rsidRPr="00EE6017">
        <w:t xml:space="preserve">. COM (2020)760 final, 25.11.2020. </w:t>
      </w:r>
    </w:p>
  </w:footnote>
  <w:footnote w:id="25">
    <w:p w14:paraId="2A1CC7AB" w14:textId="20FCC9FE" w:rsidR="00D54BB0" w:rsidRPr="00A743DC" w:rsidRDefault="00D54BB0" w:rsidP="00D54BB0">
      <w:pPr>
        <w:pStyle w:val="FootnoteText"/>
        <w:rPr>
          <w:lang w:val="en-GB"/>
        </w:rPr>
      </w:pPr>
      <w:r>
        <w:rPr>
          <w:rStyle w:val="FootnoteReference"/>
        </w:rPr>
        <w:footnoteRef/>
      </w:r>
      <w:r>
        <w:tab/>
        <w:t>Communication from the Commission to the European Parliament, the European Council, the Council, the Economic and Social Committee and the Committee of the Regions</w:t>
      </w:r>
      <w:r w:rsidR="00745DD3">
        <w:t xml:space="preserve">, </w:t>
      </w:r>
      <w:r w:rsidRPr="009147AB">
        <w:rPr>
          <w:i/>
        </w:rPr>
        <w:t>A Green Deal Industrial Plan for the Net-Zero Age</w:t>
      </w:r>
      <w:r>
        <w:t>, COM(2023) 62 final</w:t>
      </w:r>
      <w:r w:rsidR="00684357">
        <w:t xml:space="preserve"> of 1.2.2023.</w:t>
      </w:r>
    </w:p>
  </w:footnote>
  <w:footnote w:id="26">
    <w:p w14:paraId="5CC41112" w14:textId="3D659C1B" w:rsidR="00EE6017" w:rsidRPr="00EE6017" w:rsidRDefault="00EE6017">
      <w:pPr>
        <w:pStyle w:val="FootnoteText"/>
      </w:pPr>
      <w:r>
        <w:rPr>
          <w:rStyle w:val="FootnoteReference"/>
        </w:rPr>
        <w:footnoteRef/>
      </w:r>
      <w:r w:rsidRPr="00C70C94">
        <w:tab/>
      </w:r>
      <w:r w:rsidRPr="00EE6017">
        <w:t xml:space="preserve">Commission </w:t>
      </w:r>
      <w:r w:rsidRPr="009324B9">
        <w:rPr>
          <w:i/>
        </w:rPr>
        <w:t>Notice Guidance on Innovation Procurement</w:t>
      </w:r>
      <w:r w:rsidRPr="00EE6017">
        <w:t xml:space="preserve">, </w:t>
      </w:r>
      <w:r w:rsidR="00C6282A" w:rsidRPr="00EE6017">
        <w:t>C (</w:t>
      </w:r>
      <w:r w:rsidRPr="00EE6017">
        <w:t>202</w:t>
      </w:r>
      <w:r w:rsidR="00571F27">
        <w:t>1</w:t>
      </w:r>
      <w:r w:rsidRPr="00EE6017">
        <w:t>) 4320, of 18.6.2021</w:t>
      </w:r>
      <w:r>
        <w:t>.</w:t>
      </w:r>
    </w:p>
  </w:footnote>
  <w:footnote w:id="27">
    <w:p w14:paraId="6AC0BF25" w14:textId="32EEC293" w:rsidR="00EE6017" w:rsidRPr="00EE6017" w:rsidRDefault="00EE6017">
      <w:pPr>
        <w:pStyle w:val="FootnoteText"/>
      </w:pPr>
      <w:r>
        <w:rPr>
          <w:rStyle w:val="FootnoteReference"/>
        </w:rPr>
        <w:footnoteRef/>
      </w:r>
      <w:r w:rsidRPr="00EE6017">
        <w:tab/>
      </w:r>
      <w:r>
        <w:t>Contracts awarded i</w:t>
      </w:r>
      <w:r w:rsidRPr="007F23EC">
        <w:t xml:space="preserve">ntra-EU by a </w:t>
      </w:r>
      <w:r>
        <w:t>contracting authority or contracting entity in one Member State to an economic operator from another Member State.</w:t>
      </w:r>
    </w:p>
  </w:footnote>
  <w:footnote w:id="28">
    <w:p w14:paraId="5E881FC5" w14:textId="7095E30D" w:rsidR="002656F5" w:rsidRPr="002656F5" w:rsidRDefault="002656F5">
      <w:pPr>
        <w:pStyle w:val="FootnoteText"/>
        <w:rPr>
          <w:lang w:val="en-GB"/>
        </w:rPr>
      </w:pPr>
      <w:r>
        <w:rPr>
          <w:rStyle w:val="FootnoteReference"/>
        </w:rPr>
        <w:footnoteRef/>
      </w:r>
      <w:r>
        <w:t xml:space="preserve"> </w:t>
      </w:r>
      <w:r>
        <w:tab/>
      </w:r>
      <w:r w:rsidRPr="005205B0">
        <w:t>Study on the measurement of cross-border penetration in the EU public procurement market, Final report, Prometeia SpA, BIP Business Integration Partners– Spa, Economics for Policy a knowledge Center of Nova School of Business and Economics Lisboa, March 2021</w:t>
      </w:r>
      <w:r>
        <w:t>, p.</w:t>
      </w:r>
      <w:r w:rsidR="00174EAA">
        <w:t xml:space="preserve"> </w:t>
      </w:r>
      <w:r>
        <w:t>66 and 78.</w:t>
      </w:r>
    </w:p>
  </w:footnote>
  <w:footnote w:id="29">
    <w:p w14:paraId="63D40114" w14:textId="0CAB4CB5" w:rsidR="00EE6017" w:rsidRPr="00EE6017" w:rsidRDefault="00EE6017">
      <w:pPr>
        <w:pStyle w:val="FootnoteText"/>
      </w:pPr>
      <w:r>
        <w:rPr>
          <w:rStyle w:val="FootnoteReference"/>
        </w:rPr>
        <w:footnoteRef/>
      </w:r>
      <w:r w:rsidRPr="00EE6017">
        <w:tab/>
      </w:r>
      <w:r>
        <w:t>For more details please refer to Chapter 5.3 Cross-border and foreign participation in the EU concessions market of the Staff Working Document accompanying the Report.</w:t>
      </w:r>
    </w:p>
  </w:footnote>
  <w:footnote w:id="30">
    <w:p w14:paraId="3904BACA" w14:textId="3AFDEAB1" w:rsidR="00C46D50" w:rsidRPr="005205B0" w:rsidRDefault="00C46D50" w:rsidP="00C46D50">
      <w:pPr>
        <w:pStyle w:val="FootnoteText"/>
        <w:ind w:left="0" w:hanging="142"/>
      </w:pPr>
      <w:r>
        <w:rPr>
          <w:rStyle w:val="FootnoteReference"/>
        </w:rPr>
        <w:footnoteRef/>
      </w:r>
      <w:r>
        <w:t xml:space="preserve"> </w:t>
      </w:r>
      <w:r w:rsidR="005205B0">
        <w:tab/>
      </w:r>
      <w:r w:rsidR="00745DD3">
        <w:t>See footnote 25, p</w:t>
      </w:r>
      <w:r w:rsidR="00174EAA">
        <w:t xml:space="preserve">. </w:t>
      </w:r>
      <w:r w:rsidR="00745DD3">
        <w:t>10.</w:t>
      </w:r>
    </w:p>
  </w:footnote>
  <w:footnote w:id="31">
    <w:p w14:paraId="53AD1BD5" w14:textId="20C50046" w:rsidR="00694DF5" w:rsidRPr="00694DF5" w:rsidRDefault="00694DF5">
      <w:pPr>
        <w:pStyle w:val="FootnoteText"/>
        <w:rPr>
          <w:lang w:val="en-GB"/>
        </w:rPr>
      </w:pPr>
      <w:r>
        <w:rPr>
          <w:rStyle w:val="FootnoteReference"/>
        </w:rPr>
        <w:footnoteRef/>
      </w:r>
      <w:r>
        <w:t xml:space="preserve"> </w:t>
      </w:r>
      <w:r>
        <w:tab/>
      </w:r>
      <w:r w:rsidRPr="007F23EC">
        <w:t>Contract</w:t>
      </w:r>
      <w:r>
        <w:t>s</w:t>
      </w:r>
      <w:r w:rsidRPr="007F23EC">
        <w:t xml:space="preserve"> awarded by a contracting authority or contracting entity in one Member State</w:t>
      </w:r>
      <w:r>
        <w:t xml:space="preserve"> to an economic operator from a third country</w:t>
      </w:r>
      <w:r w:rsidR="000E7E30">
        <w:t>.</w:t>
      </w:r>
    </w:p>
  </w:footnote>
  <w:footnote w:id="32">
    <w:p w14:paraId="59337FA0" w14:textId="7F08DBE1" w:rsidR="00D67EB1" w:rsidRPr="00201DC0" w:rsidRDefault="00D67EB1" w:rsidP="00D67EB1">
      <w:pPr>
        <w:pStyle w:val="FootnoteText"/>
        <w:rPr>
          <w:lang w:val="en-IE"/>
        </w:rPr>
      </w:pPr>
      <w:r>
        <w:rPr>
          <w:rStyle w:val="FootnoteReference"/>
        </w:rPr>
        <w:footnoteRef/>
      </w:r>
      <w:r w:rsidRPr="00201DC0">
        <w:rPr>
          <w:lang w:val="en-IE"/>
        </w:rPr>
        <w:tab/>
      </w:r>
      <w:r w:rsidR="00726F77">
        <w:rPr>
          <w:lang w:val="en-IE"/>
        </w:rPr>
        <w:t xml:space="preserve">Regulation </w:t>
      </w:r>
      <w:r w:rsidR="007954F8">
        <w:rPr>
          <w:lang w:val="en-IE"/>
        </w:rPr>
        <w:t xml:space="preserve">(EU)2022/2560 </w:t>
      </w:r>
      <w:r w:rsidR="00726F77">
        <w:rPr>
          <w:lang w:val="en-IE"/>
        </w:rPr>
        <w:t xml:space="preserve">of the European Parliament and of the Council </w:t>
      </w:r>
      <w:r w:rsidR="007954F8">
        <w:rPr>
          <w:lang w:val="en-IE"/>
        </w:rPr>
        <w:t xml:space="preserve">of 14 December 2022 </w:t>
      </w:r>
      <w:r w:rsidR="00726F77">
        <w:rPr>
          <w:lang w:val="en-IE"/>
        </w:rPr>
        <w:t>on foreign subsidies dist</w:t>
      </w:r>
      <w:r w:rsidR="007954F8">
        <w:rPr>
          <w:lang w:val="en-IE"/>
        </w:rPr>
        <w:t>orting the internal market, OJ L</w:t>
      </w:r>
      <w:r w:rsidR="000E7E30">
        <w:rPr>
          <w:lang w:val="en-IE"/>
        </w:rPr>
        <w:t>.</w:t>
      </w:r>
      <w:r w:rsidR="007954F8">
        <w:rPr>
          <w:lang w:val="en-IE"/>
        </w:rPr>
        <w:t>330 of 23.12.2022, p.1.</w:t>
      </w:r>
    </w:p>
  </w:footnote>
  <w:footnote w:id="33">
    <w:p w14:paraId="5B0C9BEB" w14:textId="64D6AC46" w:rsidR="002F6E1A" w:rsidRPr="002F6E1A" w:rsidRDefault="002F6E1A">
      <w:pPr>
        <w:pStyle w:val="FootnoteText"/>
      </w:pPr>
      <w:r>
        <w:rPr>
          <w:rStyle w:val="FootnoteReference"/>
        </w:rPr>
        <w:footnoteRef/>
      </w:r>
      <w:r>
        <w:t xml:space="preserve"> </w:t>
      </w:r>
      <w:r w:rsidR="000E7E30">
        <w:tab/>
      </w:r>
      <w:r>
        <w:t>Regulation (EU) 2022/1031 of the European Parliament and of the Council of 23 June 2022 on the access of third-country economic operators, goods and services to the Union’s public procurement and concession markets and procedures supporting negotiations on access of Union economic operators, goods and services to the public procurement and concession markets of third countries (International Procurement Instrument – IPI) OJ L 173, 30.6.2022, p. 1</w:t>
      </w:r>
      <w:r w:rsidR="000E7E30">
        <w:t>.</w:t>
      </w:r>
    </w:p>
  </w:footnote>
  <w:footnote w:id="34">
    <w:p w14:paraId="64858EC3" w14:textId="2EB6BCD8" w:rsidR="00FD55C3" w:rsidRPr="00FD55C3" w:rsidRDefault="00FD55C3">
      <w:pPr>
        <w:pStyle w:val="FootnoteText"/>
      </w:pPr>
      <w:r>
        <w:rPr>
          <w:rStyle w:val="FootnoteReference"/>
        </w:rPr>
        <w:footnoteRef/>
      </w:r>
      <w:r>
        <w:t xml:space="preserve"> </w:t>
      </w:r>
      <w:r w:rsidR="000E7E30">
        <w:tab/>
      </w:r>
      <w:r w:rsidRPr="00BC56BB">
        <w:rPr>
          <w:sz w:val="18"/>
          <w:szCs w:val="18"/>
        </w:rPr>
        <w:t xml:space="preserve">The GWI Global Ultimate Owners database contains details of municipal water and wastewater treatment projects where all or part of the capital investment cost was borne by the private sector. </w:t>
      </w:r>
    </w:p>
  </w:footnote>
  <w:footnote w:id="35">
    <w:p w14:paraId="5AEA164B" w14:textId="224EB6B4" w:rsidR="00174EAA" w:rsidRPr="00174EAA" w:rsidRDefault="00174EAA">
      <w:pPr>
        <w:pStyle w:val="FootnoteText"/>
        <w:rPr>
          <w:lang w:val="en-GB"/>
        </w:rPr>
      </w:pPr>
      <w:r>
        <w:rPr>
          <w:rStyle w:val="FootnoteReference"/>
        </w:rPr>
        <w:footnoteRef/>
      </w:r>
      <w:r w:rsidRPr="00174EAA">
        <w:rPr>
          <w:lang w:val="en-GB"/>
        </w:rPr>
        <w:tab/>
      </w:r>
      <w:r w:rsidRPr="00F11D56">
        <w:rPr>
          <w:lang w:val="en-GB"/>
        </w:rPr>
        <w:t xml:space="preserve">Communication from the Commission </w:t>
      </w:r>
      <w:r>
        <w:rPr>
          <w:lang w:val="en-GB"/>
        </w:rPr>
        <w:t>“</w:t>
      </w:r>
      <w:r w:rsidRPr="00F11D56">
        <w:rPr>
          <w:lang w:val="en-GB"/>
        </w:rPr>
        <w:t>Public Procurement: A data space to</w:t>
      </w:r>
      <w:r w:rsidRPr="00856228">
        <w:rPr>
          <w:lang w:val="en-GB"/>
        </w:rPr>
        <w:t xml:space="preserve"> improve public spending, boost</w:t>
      </w:r>
      <w:r>
        <w:rPr>
          <w:lang w:val="en-GB"/>
        </w:rPr>
        <w:t xml:space="preserve"> </w:t>
      </w:r>
      <w:r w:rsidRPr="00F11D56">
        <w:rPr>
          <w:lang w:val="en-GB"/>
        </w:rPr>
        <w:t>data-driven policy-making and improve access t</w:t>
      </w:r>
      <w:r w:rsidRPr="00D85DA7">
        <w:rPr>
          <w:lang w:val="en-GB"/>
        </w:rPr>
        <w:t>o tenders for SMEs</w:t>
      </w:r>
      <w:r>
        <w:rPr>
          <w:lang w:val="en-GB"/>
        </w:rPr>
        <w:t>”</w:t>
      </w:r>
      <w:r w:rsidRPr="00D85DA7">
        <w:rPr>
          <w:lang w:val="en-GB"/>
        </w:rPr>
        <w:t xml:space="preserve"> </w:t>
      </w:r>
      <w:r>
        <w:rPr>
          <w:lang w:val="en-GB"/>
        </w:rPr>
        <w:t xml:space="preserve"> (</w:t>
      </w:r>
      <w:r w:rsidRPr="00F11D56">
        <w:rPr>
          <w:lang w:val="en-GB"/>
        </w:rPr>
        <w:t>2023/</w:t>
      </w:r>
      <w:r>
        <w:rPr>
          <w:lang w:val="en-GB"/>
        </w:rPr>
        <w:t xml:space="preserve">C98I/01), </w:t>
      </w:r>
      <w:r w:rsidRPr="00D85DA7">
        <w:rPr>
          <w:lang w:val="en-GB"/>
        </w:rPr>
        <w:t>OJ C 98I , 16.3.2023, p. 1</w:t>
      </w:r>
      <w:r>
        <w:rPr>
          <w:lang w:val="en-GB"/>
        </w:rPr>
        <w:t>.</w:t>
      </w:r>
    </w:p>
  </w:footnote>
  <w:footnote w:id="36">
    <w:p w14:paraId="4C2179DD" w14:textId="0C5F0CC4" w:rsidR="00022317" w:rsidRPr="00FD5C90" w:rsidRDefault="00022317">
      <w:pPr>
        <w:pStyle w:val="FootnoteText"/>
        <w:rPr>
          <w:lang w:val="en-GB"/>
        </w:rPr>
      </w:pPr>
      <w:r>
        <w:rPr>
          <w:rStyle w:val="FootnoteReference"/>
        </w:rPr>
        <w:footnoteRef/>
      </w:r>
      <w:r w:rsidRPr="00FD5C90">
        <w:rPr>
          <w:lang w:val="en-GB"/>
        </w:rPr>
        <w:tab/>
        <w:t>https://simap.ted.europa.eu/web/simap/preparatory-action-on-transparency-in-public-procurement</w:t>
      </w:r>
      <w:r w:rsidR="00174EAA">
        <w:rPr>
          <w:lang w:val="en-GB"/>
        </w:rPr>
        <w:t>.</w:t>
      </w:r>
    </w:p>
  </w:footnote>
  <w:footnote w:id="37">
    <w:p w14:paraId="440F0FE3" w14:textId="39C1B34F" w:rsidR="008B3979" w:rsidRPr="00F11D56" w:rsidRDefault="008B3979">
      <w:pPr>
        <w:pStyle w:val="FootnoteText"/>
        <w:rPr>
          <w:lang w:val="en-GB"/>
        </w:rPr>
      </w:pPr>
      <w:r>
        <w:rPr>
          <w:rStyle w:val="FootnoteReference"/>
        </w:rPr>
        <w:footnoteRef/>
      </w:r>
      <w:r>
        <w:t xml:space="preserve"> </w:t>
      </w:r>
      <w:hyperlink r:id="rId3" w:history="1">
        <w:r>
          <w:rPr>
            <w:rStyle w:val="Hyperlink"/>
            <w:rFonts w:eastAsiaTheme="majorEastAsia"/>
          </w:rPr>
          <w:t>Homepage | Public Buyers Community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0F933" w14:textId="77777777" w:rsidR="00F070F5" w:rsidRPr="00F070F5" w:rsidRDefault="00F070F5" w:rsidP="00F07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92ED2" w14:textId="77777777" w:rsidR="00F070F5" w:rsidRPr="00F070F5" w:rsidRDefault="00F070F5" w:rsidP="00F070F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16C6F" w14:textId="77777777" w:rsidR="00F070F5" w:rsidRPr="00F070F5" w:rsidRDefault="00F070F5" w:rsidP="00F070F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2301E" w14:textId="77777777" w:rsidR="00DA5C86" w:rsidRDefault="00DA5C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0BAEF" w14:textId="77777777" w:rsidR="00DA5C86" w:rsidRDefault="00DA5C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D16BC" w14:textId="77777777" w:rsidR="00DA5C86" w:rsidRDefault="00DA5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EFA"/>
    <w:multiLevelType w:val="hybridMultilevel"/>
    <w:tmpl w:val="4B3E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E7919"/>
    <w:multiLevelType w:val="hybridMultilevel"/>
    <w:tmpl w:val="136C7802"/>
    <w:lvl w:ilvl="0" w:tplc="080C000F">
      <w:start w:val="1"/>
      <w:numFmt w:val="decimal"/>
      <w:lvlText w:val="%1."/>
      <w:lvlJc w:val="left"/>
      <w:pPr>
        <w:ind w:left="1202" w:hanging="360"/>
      </w:pPr>
      <w:rPr>
        <w:rFonts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 w15:restartNumberingAfterBreak="0">
    <w:nsid w:val="048A4FD8"/>
    <w:multiLevelType w:val="hybridMultilevel"/>
    <w:tmpl w:val="1E4468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873AE8"/>
    <w:multiLevelType w:val="hybridMultilevel"/>
    <w:tmpl w:val="B1BE7508"/>
    <w:lvl w:ilvl="0" w:tplc="08090001">
      <w:start w:val="1"/>
      <w:numFmt w:val="bullet"/>
      <w:lvlText w:val=""/>
      <w:lvlJc w:val="left"/>
      <w:pPr>
        <w:ind w:left="3479"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7675E"/>
    <w:multiLevelType w:val="hybridMultilevel"/>
    <w:tmpl w:val="118A5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2900F7"/>
    <w:multiLevelType w:val="multilevel"/>
    <w:tmpl w:val="961EAC74"/>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0A551A59"/>
    <w:multiLevelType w:val="hybridMultilevel"/>
    <w:tmpl w:val="E48A3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7F6D66"/>
    <w:multiLevelType w:val="hybridMultilevel"/>
    <w:tmpl w:val="87B2504A"/>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8" w15:restartNumberingAfterBreak="0">
    <w:nsid w:val="0D837F85"/>
    <w:multiLevelType w:val="multilevel"/>
    <w:tmpl w:val="E230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8922DF"/>
    <w:multiLevelType w:val="hybridMultilevel"/>
    <w:tmpl w:val="F35EF1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212665CF"/>
    <w:multiLevelType w:val="hybridMultilevel"/>
    <w:tmpl w:val="015216FC"/>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513602"/>
    <w:multiLevelType w:val="hybridMultilevel"/>
    <w:tmpl w:val="75246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F63B9"/>
    <w:multiLevelType w:val="hybridMultilevel"/>
    <w:tmpl w:val="0BEA71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ABF2F31"/>
    <w:multiLevelType w:val="hybridMultilevel"/>
    <w:tmpl w:val="14DCB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255C5"/>
    <w:multiLevelType w:val="hybridMultilevel"/>
    <w:tmpl w:val="3D5086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F842981"/>
    <w:multiLevelType w:val="hybridMultilevel"/>
    <w:tmpl w:val="E91C98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07F3CFB"/>
    <w:multiLevelType w:val="hybridMultilevel"/>
    <w:tmpl w:val="687A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030589"/>
    <w:multiLevelType w:val="hybridMultilevel"/>
    <w:tmpl w:val="E49E1E46"/>
    <w:lvl w:ilvl="0" w:tplc="AB7AD87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78C39C7"/>
    <w:multiLevelType w:val="hybridMultilevel"/>
    <w:tmpl w:val="11E61A4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0827676"/>
    <w:multiLevelType w:val="multilevel"/>
    <w:tmpl w:val="B3A2E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5F0BC4"/>
    <w:multiLevelType w:val="hybridMultilevel"/>
    <w:tmpl w:val="57A6FB86"/>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1" w15:restartNumberingAfterBreak="0">
    <w:nsid w:val="46BA7E17"/>
    <w:multiLevelType w:val="hybridMultilevel"/>
    <w:tmpl w:val="C3121752"/>
    <w:lvl w:ilvl="0" w:tplc="3C46DAF0">
      <w:start w:val="1"/>
      <w:numFmt w:val="bullet"/>
      <w:lvlText w:val="-"/>
      <w:lvlJc w:val="left"/>
      <w:pPr>
        <w:ind w:left="360" w:hanging="360"/>
      </w:pPr>
      <w:rPr>
        <w:rFonts w:ascii="Times New Roman" w:eastAsia="Times New Roman" w:hAnsi="Times New Roman" w:cs="Times New Roman" w:hint="default"/>
        <w:color w:val="auto"/>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480067F5"/>
    <w:multiLevelType w:val="hybridMultilevel"/>
    <w:tmpl w:val="F4CAA130"/>
    <w:lvl w:ilvl="0" w:tplc="8B585B38">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FBB0C11"/>
    <w:multiLevelType w:val="multilevel"/>
    <w:tmpl w:val="26B0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FC3B8A"/>
    <w:multiLevelType w:val="hybridMultilevel"/>
    <w:tmpl w:val="EB28E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1D32E7"/>
    <w:multiLevelType w:val="multilevel"/>
    <w:tmpl w:val="1846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A97BF6"/>
    <w:multiLevelType w:val="hybridMultilevel"/>
    <w:tmpl w:val="D9123E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91B196B"/>
    <w:multiLevelType w:val="hybridMultilevel"/>
    <w:tmpl w:val="02B430DC"/>
    <w:lvl w:ilvl="0" w:tplc="080C0001">
      <w:start w:val="12"/>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96B2C83"/>
    <w:multiLevelType w:val="hybridMultilevel"/>
    <w:tmpl w:val="AAA046D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BB03843"/>
    <w:multiLevelType w:val="hybridMultilevel"/>
    <w:tmpl w:val="DBA26D7E"/>
    <w:lvl w:ilvl="0" w:tplc="75EA2CFA">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BF9188A"/>
    <w:multiLevelType w:val="hybridMultilevel"/>
    <w:tmpl w:val="1D5003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5E095A20"/>
    <w:multiLevelType w:val="hybridMultilevel"/>
    <w:tmpl w:val="90EEA7D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2" w15:restartNumberingAfterBreak="0">
    <w:nsid w:val="5EBF028E"/>
    <w:multiLevelType w:val="hybridMultilevel"/>
    <w:tmpl w:val="7842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CE0C6F"/>
    <w:multiLevelType w:val="hybridMultilevel"/>
    <w:tmpl w:val="4AFAE0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4" w15:restartNumberingAfterBreak="0">
    <w:nsid w:val="616E12AE"/>
    <w:multiLevelType w:val="multilevel"/>
    <w:tmpl w:val="B0E2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BA3A27"/>
    <w:multiLevelType w:val="hybridMultilevel"/>
    <w:tmpl w:val="6936B5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3173F5A"/>
    <w:multiLevelType w:val="multilevel"/>
    <w:tmpl w:val="5BE6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A12FA4"/>
    <w:multiLevelType w:val="multilevel"/>
    <w:tmpl w:val="CF662466"/>
    <w:lvl w:ilvl="0">
      <w:start w:val="1"/>
      <w:numFmt w:val="decimal"/>
      <w:lvlRestart w:val="0"/>
      <w:pStyle w:val="Heading1"/>
      <w:lvlText w:val="%1."/>
      <w:lvlJc w:val="left"/>
      <w:pPr>
        <w:tabs>
          <w:tab w:val="num" w:pos="850"/>
        </w:tabs>
        <w:ind w:left="850" w:hanging="850"/>
      </w:pPr>
      <w:rPr>
        <w:b/>
      </w:r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7F72BFA"/>
    <w:multiLevelType w:val="hybridMultilevel"/>
    <w:tmpl w:val="EA8A44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86C396E"/>
    <w:multiLevelType w:val="multilevel"/>
    <w:tmpl w:val="EE049A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1921DF"/>
    <w:multiLevelType w:val="hybridMultilevel"/>
    <w:tmpl w:val="49B2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134E46"/>
    <w:multiLevelType w:val="hybridMultilevel"/>
    <w:tmpl w:val="C7FE0992"/>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88164B"/>
    <w:multiLevelType w:val="hybridMultilevel"/>
    <w:tmpl w:val="5126A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7"/>
  </w:num>
  <w:num w:numId="2">
    <w:abstractNumId w:val="15"/>
  </w:num>
  <w:num w:numId="3">
    <w:abstractNumId w:val="28"/>
  </w:num>
  <w:num w:numId="4">
    <w:abstractNumId w:val="41"/>
  </w:num>
  <w:num w:numId="5">
    <w:abstractNumId w:val="0"/>
  </w:num>
  <w:num w:numId="6">
    <w:abstractNumId w:val="13"/>
  </w:num>
  <w:num w:numId="7">
    <w:abstractNumId w:val="3"/>
  </w:num>
  <w:num w:numId="8">
    <w:abstractNumId w:val="11"/>
  </w:num>
  <w:num w:numId="9">
    <w:abstractNumId w:val="40"/>
  </w:num>
  <w:num w:numId="10">
    <w:abstractNumId w:val="4"/>
  </w:num>
  <w:num w:numId="11">
    <w:abstractNumId w:val="20"/>
  </w:num>
  <w:num w:numId="12">
    <w:abstractNumId w:val="39"/>
  </w:num>
  <w:num w:numId="13">
    <w:abstractNumId w:val="31"/>
  </w:num>
  <w:num w:numId="14">
    <w:abstractNumId w:val="38"/>
  </w:num>
  <w:num w:numId="15">
    <w:abstractNumId w:val="37"/>
  </w:num>
  <w:num w:numId="16">
    <w:abstractNumId w:val="35"/>
  </w:num>
  <w:num w:numId="17">
    <w:abstractNumId w:val="26"/>
  </w:num>
  <w:num w:numId="18">
    <w:abstractNumId w:val="24"/>
  </w:num>
  <w:num w:numId="19">
    <w:abstractNumId w:val="9"/>
  </w:num>
  <w:num w:numId="20">
    <w:abstractNumId w:val="30"/>
  </w:num>
  <w:num w:numId="21">
    <w:abstractNumId w:val="33"/>
  </w:num>
  <w:num w:numId="22">
    <w:abstractNumId w:val="32"/>
  </w:num>
  <w:num w:numId="23">
    <w:abstractNumId w:val="19"/>
  </w:num>
  <w:num w:numId="24">
    <w:abstractNumId w:val="36"/>
  </w:num>
  <w:num w:numId="25">
    <w:abstractNumId w:val="8"/>
  </w:num>
  <w:num w:numId="26">
    <w:abstractNumId w:val="34"/>
  </w:num>
  <w:num w:numId="27">
    <w:abstractNumId w:val="6"/>
  </w:num>
  <w:num w:numId="28">
    <w:abstractNumId w:val="25"/>
  </w:num>
  <w:num w:numId="29">
    <w:abstractNumId w:val="23"/>
  </w:num>
  <w:num w:numId="30">
    <w:abstractNumId w:val="16"/>
  </w:num>
  <w:num w:numId="31">
    <w:abstractNumId w:val="37"/>
  </w:num>
  <w:num w:numId="32">
    <w:abstractNumId w:val="7"/>
  </w:num>
  <w:num w:numId="33">
    <w:abstractNumId w:val="5"/>
  </w:num>
  <w:num w:numId="34">
    <w:abstractNumId w:val="29"/>
  </w:num>
  <w:num w:numId="35">
    <w:abstractNumId w:val="37"/>
  </w:num>
  <w:num w:numId="36">
    <w:abstractNumId w:val="1"/>
  </w:num>
  <w:num w:numId="37">
    <w:abstractNumId w:val="37"/>
  </w:num>
  <w:num w:numId="38">
    <w:abstractNumId w:val="12"/>
  </w:num>
  <w:num w:numId="39">
    <w:abstractNumId w:val="2"/>
  </w:num>
  <w:num w:numId="40">
    <w:abstractNumId w:val="18"/>
  </w:num>
  <w:num w:numId="41">
    <w:abstractNumId w:val="42"/>
  </w:num>
  <w:num w:numId="42">
    <w:abstractNumId w:val="14"/>
  </w:num>
  <w:num w:numId="43">
    <w:abstractNumId w:val="21"/>
  </w:num>
  <w:num w:numId="44">
    <w:abstractNumId w:val="27"/>
  </w:num>
  <w:num w:numId="45">
    <w:abstractNumId w:val="22"/>
  </w:num>
  <w:num w:numId="46">
    <w:abstractNumId w:val="10"/>
  </w:num>
  <w:num w:numId="47">
    <w:abstractNumId w:val="17"/>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en-I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92D87B29-3FDE-4F35-BE1D-B28B3D36749B"/>
    <w:docVar w:name="LW_COVERPAGE_TYPE" w:val="1"/>
    <w:docVar w:name="LW_CROSSREFERENCE" w:val="{SWD(2023) 267 final}"/>
    <w:docVar w:name="LW_DocType" w:val="NORMAL"/>
    <w:docVar w:name="LW_EMISSION" w:val="28.7.2023"/>
    <w:docVar w:name="LW_EMISSION_ISODATE" w:val="2023-07-28"/>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3) 4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functioning of Directive 2014/23/EU on the award of concession contracts and on the impact on the internal market of the exclusions set out in Article 12"/>
    <w:docVar w:name="LW_TYPE.DOC.CP" w:val="REPORT FROM THE COMMISSION TO THE EUROPEAN PARLIAMENT AND THE COUNCIL"/>
    <w:docVar w:name="LwApiVersions" w:val="LW4CoDe 1.23.2.0; LW 8.0, Build 20211117"/>
  </w:docVars>
  <w:rsids>
    <w:rsidRoot w:val="0016246B"/>
    <w:rsid w:val="00000419"/>
    <w:rsid w:val="00000533"/>
    <w:rsid w:val="0000073C"/>
    <w:rsid w:val="00001B4E"/>
    <w:rsid w:val="00001DF0"/>
    <w:rsid w:val="0000201B"/>
    <w:rsid w:val="000024FC"/>
    <w:rsid w:val="00002C5F"/>
    <w:rsid w:val="00002F74"/>
    <w:rsid w:val="00003191"/>
    <w:rsid w:val="000032FD"/>
    <w:rsid w:val="000034D1"/>
    <w:rsid w:val="000039ED"/>
    <w:rsid w:val="00003B89"/>
    <w:rsid w:val="00004E49"/>
    <w:rsid w:val="00006203"/>
    <w:rsid w:val="00006797"/>
    <w:rsid w:val="00007FDA"/>
    <w:rsid w:val="00010C1D"/>
    <w:rsid w:val="00011EDD"/>
    <w:rsid w:val="0001292A"/>
    <w:rsid w:val="00012971"/>
    <w:rsid w:val="00012B94"/>
    <w:rsid w:val="0001305B"/>
    <w:rsid w:val="000135BD"/>
    <w:rsid w:val="00015517"/>
    <w:rsid w:val="000179CA"/>
    <w:rsid w:val="00017F19"/>
    <w:rsid w:val="00020FE6"/>
    <w:rsid w:val="0002156E"/>
    <w:rsid w:val="000217EE"/>
    <w:rsid w:val="000218D2"/>
    <w:rsid w:val="00021CC4"/>
    <w:rsid w:val="00022317"/>
    <w:rsid w:val="000225E5"/>
    <w:rsid w:val="0002278D"/>
    <w:rsid w:val="000228D1"/>
    <w:rsid w:val="00022C9B"/>
    <w:rsid w:val="00024BAD"/>
    <w:rsid w:val="000252FE"/>
    <w:rsid w:val="000255D7"/>
    <w:rsid w:val="0002705A"/>
    <w:rsid w:val="00027766"/>
    <w:rsid w:val="00027900"/>
    <w:rsid w:val="00030131"/>
    <w:rsid w:val="00030454"/>
    <w:rsid w:val="00030AA5"/>
    <w:rsid w:val="00030D50"/>
    <w:rsid w:val="00030E67"/>
    <w:rsid w:val="00031C05"/>
    <w:rsid w:val="00033D72"/>
    <w:rsid w:val="0003486E"/>
    <w:rsid w:val="00034A5A"/>
    <w:rsid w:val="00034C36"/>
    <w:rsid w:val="00036226"/>
    <w:rsid w:val="00036969"/>
    <w:rsid w:val="00037667"/>
    <w:rsid w:val="00040465"/>
    <w:rsid w:val="00040B5D"/>
    <w:rsid w:val="00040FEF"/>
    <w:rsid w:val="0004134B"/>
    <w:rsid w:val="00041C2C"/>
    <w:rsid w:val="000423BF"/>
    <w:rsid w:val="00042674"/>
    <w:rsid w:val="0004299E"/>
    <w:rsid w:val="00042C4F"/>
    <w:rsid w:val="0004333B"/>
    <w:rsid w:val="00043726"/>
    <w:rsid w:val="00043EAB"/>
    <w:rsid w:val="00043FFA"/>
    <w:rsid w:val="000445E5"/>
    <w:rsid w:val="00044759"/>
    <w:rsid w:val="00044823"/>
    <w:rsid w:val="000454EA"/>
    <w:rsid w:val="000454F6"/>
    <w:rsid w:val="0004651C"/>
    <w:rsid w:val="000466DC"/>
    <w:rsid w:val="00050081"/>
    <w:rsid w:val="000509DD"/>
    <w:rsid w:val="000517A9"/>
    <w:rsid w:val="000519D9"/>
    <w:rsid w:val="00051F84"/>
    <w:rsid w:val="00052D0B"/>
    <w:rsid w:val="0005338D"/>
    <w:rsid w:val="00053525"/>
    <w:rsid w:val="00053BDB"/>
    <w:rsid w:val="00053E05"/>
    <w:rsid w:val="0005503A"/>
    <w:rsid w:val="00055D7E"/>
    <w:rsid w:val="00055FC4"/>
    <w:rsid w:val="00056077"/>
    <w:rsid w:val="000564CE"/>
    <w:rsid w:val="00056550"/>
    <w:rsid w:val="00056607"/>
    <w:rsid w:val="000578BD"/>
    <w:rsid w:val="00057C1B"/>
    <w:rsid w:val="00057EA3"/>
    <w:rsid w:val="00057FA4"/>
    <w:rsid w:val="00057FC9"/>
    <w:rsid w:val="00061B65"/>
    <w:rsid w:val="00061E3F"/>
    <w:rsid w:val="000629A5"/>
    <w:rsid w:val="00062BB1"/>
    <w:rsid w:val="00062E8C"/>
    <w:rsid w:val="00063557"/>
    <w:rsid w:val="00063F06"/>
    <w:rsid w:val="00064267"/>
    <w:rsid w:val="00065133"/>
    <w:rsid w:val="00065C00"/>
    <w:rsid w:val="0006635A"/>
    <w:rsid w:val="00066685"/>
    <w:rsid w:val="000677F5"/>
    <w:rsid w:val="0007011C"/>
    <w:rsid w:val="00070448"/>
    <w:rsid w:val="00070F8B"/>
    <w:rsid w:val="000717D2"/>
    <w:rsid w:val="00071884"/>
    <w:rsid w:val="00073989"/>
    <w:rsid w:val="00073EF7"/>
    <w:rsid w:val="000744B4"/>
    <w:rsid w:val="00074BF3"/>
    <w:rsid w:val="00074F4E"/>
    <w:rsid w:val="000750E1"/>
    <w:rsid w:val="00075427"/>
    <w:rsid w:val="000759F9"/>
    <w:rsid w:val="00076220"/>
    <w:rsid w:val="00077024"/>
    <w:rsid w:val="00077E14"/>
    <w:rsid w:val="00077E7A"/>
    <w:rsid w:val="000800FC"/>
    <w:rsid w:val="00080134"/>
    <w:rsid w:val="0008051C"/>
    <w:rsid w:val="0008087A"/>
    <w:rsid w:val="00080F55"/>
    <w:rsid w:val="00081275"/>
    <w:rsid w:val="00082B8E"/>
    <w:rsid w:val="00082F00"/>
    <w:rsid w:val="000834CC"/>
    <w:rsid w:val="00083B5C"/>
    <w:rsid w:val="00084218"/>
    <w:rsid w:val="000844C8"/>
    <w:rsid w:val="00084A77"/>
    <w:rsid w:val="00084B00"/>
    <w:rsid w:val="0008571F"/>
    <w:rsid w:val="00086721"/>
    <w:rsid w:val="000869CF"/>
    <w:rsid w:val="00087690"/>
    <w:rsid w:val="000876D6"/>
    <w:rsid w:val="0008794D"/>
    <w:rsid w:val="00087BFB"/>
    <w:rsid w:val="00087DE0"/>
    <w:rsid w:val="000909F9"/>
    <w:rsid w:val="00090AC1"/>
    <w:rsid w:val="000912BB"/>
    <w:rsid w:val="00091E13"/>
    <w:rsid w:val="000921BE"/>
    <w:rsid w:val="000928A6"/>
    <w:rsid w:val="00092F46"/>
    <w:rsid w:val="0009318A"/>
    <w:rsid w:val="00093195"/>
    <w:rsid w:val="0009365D"/>
    <w:rsid w:val="0009408C"/>
    <w:rsid w:val="00094695"/>
    <w:rsid w:val="000958F1"/>
    <w:rsid w:val="0009622E"/>
    <w:rsid w:val="0009624C"/>
    <w:rsid w:val="00096318"/>
    <w:rsid w:val="00097303"/>
    <w:rsid w:val="00097753"/>
    <w:rsid w:val="00097912"/>
    <w:rsid w:val="00097920"/>
    <w:rsid w:val="000A0239"/>
    <w:rsid w:val="000A137D"/>
    <w:rsid w:val="000A1911"/>
    <w:rsid w:val="000A1F11"/>
    <w:rsid w:val="000A22C6"/>
    <w:rsid w:val="000A2A99"/>
    <w:rsid w:val="000A2AC0"/>
    <w:rsid w:val="000A5027"/>
    <w:rsid w:val="000A5274"/>
    <w:rsid w:val="000A57D4"/>
    <w:rsid w:val="000A5911"/>
    <w:rsid w:val="000A5C22"/>
    <w:rsid w:val="000A796A"/>
    <w:rsid w:val="000A79F7"/>
    <w:rsid w:val="000B14B3"/>
    <w:rsid w:val="000B1834"/>
    <w:rsid w:val="000B1852"/>
    <w:rsid w:val="000B1A52"/>
    <w:rsid w:val="000B22F2"/>
    <w:rsid w:val="000B23DD"/>
    <w:rsid w:val="000B2FFF"/>
    <w:rsid w:val="000B3434"/>
    <w:rsid w:val="000B4D21"/>
    <w:rsid w:val="000B5229"/>
    <w:rsid w:val="000B543F"/>
    <w:rsid w:val="000B5A82"/>
    <w:rsid w:val="000B6690"/>
    <w:rsid w:val="000B6F56"/>
    <w:rsid w:val="000B7084"/>
    <w:rsid w:val="000B711B"/>
    <w:rsid w:val="000B719A"/>
    <w:rsid w:val="000B7594"/>
    <w:rsid w:val="000B7EDD"/>
    <w:rsid w:val="000C022B"/>
    <w:rsid w:val="000C0DB0"/>
    <w:rsid w:val="000C15FF"/>
    <w:rsid w:val="000C1C3C"/>
    <w:rsid w:val="000C1DA0"/>
    <w:rsid w:val="000C2516"/>
    <w:rsid w:val="000C28F0"/>
    <w:rsid w:val="000C33CE"/>
    <w:rsid w:val="000C34C7"/>
    <w:rsid w:val="000C3D66"/>
    <w:rsid w:val="000C3D88"/>
    <w:rsid w:val="000C55CE"/>
    <w:rsid w:val="000C69D4"/>
    <w:rsid w:val="000C6FD4"/>
    <w:rsid w:val="000C7154"/>
    <w:rsid w:val="000C74EF"/>
    <w:rsid w:val="000C77A8"/>
    <w:rsid w:val="000D0DDC"/>
    <w:rsid w:val="000D1201"/>
    <w:rsid w:val="000D1450"/>
    <w:rsid w:val="000D1783"/>
    <w:rsid w:val="000D1C04"/>
    <w:rsid w:val="000D2883"/>
    <w:rsid w:val="000D2BAC"/>
    <w:rsid w:val="000D3A5F"/>
    <w:rsid w:val="000D3B55"/>
    <w:rsid w:val="000D4647"/>
    <w:rsid w:val="000D4938"/>
    <w:rsid w:val="000D4ECA"/>
    <w:rsid w:val="000D5CEC"/>
    <w:rsid w:val="000D5F36"/>
    <w:rsid w:val="000D61FD"/>
    <w:rsid w:val="000D6C2A"/>
    <w:rsid w:val="000D6EE5"/>
    <w:rsid w:val="000D7221"/>
    <w:rsid w:val="000E0711"/>
    <w:rsid w:val="000E0A45"/>
    <w:rsid w:val="000E136B"/>
    <w:rsid w:val="000E1391"/>
    <w:rsid w:val="000E1428"/>
    <w:rsid w:val="000E1838"/>
    <w:rsid w:val="000E1E5B"/>
    <w:rsid w:val="000E213F"/>
    <w:rsid w:val="000E2505"/>
    <w:rsid w:val="000E28A2"/>
    <w:rsid w:val="000E2D21"/>
    <w:rsid w:val="000E3512"/>
    <w:rsid w:val="000E46E4"/>
    <w:rsid w:val="000E4EF9"/>
    <w:rsid w:val="000E53E2"/>
    <w:rsid w:val="000E6599"/>
    <w:rsid w:val="000E68DE"/>
    <w:rsid w:val="000E6F6D"/>
    <w:rsid w:val="000E6FA9"/>
    <w:rsid w:val="000E739C"/>
    <w:rsid w:val="000E79E2"/>
    <w:rsid w:val="000E7E30"/>
    <w:rsid w:val="000F01A7"/>
    <w:rsid w:val="000F057D"/>
    <w:rsid w:val="000F06B1"/>
    <w:rsid w:val="000F07D4"/>
    <w:rsid w:val="000F0FBE"/>
    <w:rsid w:val="000F1484"/>
    <w:rsid w:val="000F1736"/>
    <w:rsid w:val="000F2726"/>
    <w:rsid w:val="000F2FBE"/>
    <w:rsid w:val="000F43DD"/>
    <w:rsid w:val="000F506A"/>
    <w:rsid w:val="000F5190"/>
    <w:rsid w:val="000F5A59"/>
    <w:rsid w:val="000F5C74"/>
    <w:rsid w:val="000F6008"/>
    <w:rsid w:val="000F6B41"/>
    <w:rsid w:val="000F6D85"/>
    <w:rsid w:val="000F6DB9"/>
    <w:rsid w:val="000F6EFF"/>
    <w:rsid w:val="000F73ED"/>
    <w:rsid w:val="000F7867"/>
    <w:rsid w:val="00100298"/>
    <w:rsid w:val="0010029F"/>
    <w:rsid w:val="00100E62"/>
    <w:rsid w:val="00101148"/>
    <w:rsid w:val="001015FB"/>
    <w:rsid w:val="00101C41"/>
    <w:rsid w:val="001024CC"/>
    <w:rsid w:val="00102820"/>
    <w:rsid w:val="00102D72"/>
    <w:rsid w:val="00103615"/>
    <w:rsid w:val="0010430B"/>
    <w:rsid w:val="001047F4"/>
    <w:rsid w:val="00104D9A"/>
    <w:rsid w:val="00106584"/>
    <w:rsid w:val="001075A8"/>
    <w:rsid w:val="001077B3"/>
    <w:rsid w:val="00107863"/>
    <w:rsid w:val="00107904"/>
    <w:rsid w:val="00110AB5"/>
    <w:rsid w:val="0011189B"/>
    <w:rsid w:val="001124FE"/>
    <w:rsid w:val="00114083"/>
    <w:rsid w:val="00114216"/>
    <w:rsid w:val="001171E6"/>
    <w:rsid w:val="00117BA6"/>
    <w:rsid w:val="00120259"/>
    <w:rsid w:val="00120513"/>
    <w:rsid w:val="00121158"/>
    <w:rsid w:val="00121174"/>
    <w:rsid w:val="001212B7"/>
    <w:rsid w:val="001213D4"/>
    <w:rsid w:val="0012167F"/>
    <w:rsid w:val="001219DF"/>
    <w:rsid w:val="00121DF0"/>
    <w:rsid w:val="00122709"/>
    <w:rsid w:val="00122C80"/>
    <w:rsid w:val="00122F13"/>
    <w:rsid w:val="00122FDA"/>
    <w:rsid w:val="001233CD"/>
    <w:rsid w:val="001241DA"/>
    <w:rsid w:val="00124661"/>
    <w:rsid w:val="001249D2"/>
    <w:rsid w:val="00124CD0"/>
    <w:rsid w:val="00124D95"/>
    <w:rsid w:val="00125DA9"/>
    <w:rsid w:val="00125F2C"/>
    <w:rsid w:val="001270B6"/>
    <w:rsid w:val="001272C8"/>
    <w:rsid w:val="00127531"/>
    <w:rsid w:val="0012788A"/>
    <w:rsid w:val="00130102"/>
    <w:rsid w:val="001305D5"/>
    <w:rsid w:val="001311BC"/>
    <w:rsid w:val="00131C64"/>
    <w:rsid w:val="00132A8B"/>
    <w:rsid w:val="0013313D"/>
    <w:rsid w:val="001331AB"/>
    <w:rsid w:val="001336E4"/>
    <w:rsid w:val="00133C7F"/>
    <w:rsid w:val="00134497"/>
    <w:rsid w:val="00135CFD"/>
    <w:rsid w:val="001376FB"/>
    <w:rsid w:val="0013776B"/>
    <w:rsid w:val="001403C3"/>
    <w:rsid w:val="00140F6C"/>
    <w:rsid w:val="001419AA"/>
    <w:rsid w:val="0014248C"/>
    <w:rsid w:val="00142848"/>
    <w:rsid w:val="001436B1"/>
    <w:rsid w:val="0014440E"/>
    <w:rsid w:val="00144C73"/>
    <w:rsid w:val="00145442"/>
    <w:rsid w:val="0014576B"/>
    <w:rsid w:val="00145E23"/>
    <w:rsid w:val="00146410"/>
    <w:rsid w:val="00146706"/>
    <w:rsid w:val="00146D8E"/>
    <w:rsid w:val="00146EDF"/>
    <w:rsid w:val="00150005"/>
    <w:rsid w:val="0015026A"/>
    <w:rsid w:val="00150C32"/>
    <w:rsid w:val="00150E04"/>
    <w:rsid w:val="001514DB"/>
    <w:rsid w:val="001516A8"/>
    <w:rsid w:val="00151E54"/>
    <w:rsid w:val="0015225C"/>
    <w:rsid w:val="00152521"/>
    <w:rsid w:val="00152A07"/>
    <w:rsid w:val="0015395D"/>
    <w:rsid w:val="00153B88"/>
    <w:rsid w:val="001547FF"/>
    <w:rsid w:val="00154910"/>
    <w:rsid w:val="0015491E"/>
    <w:rsid w:val="00154BD5"/>
    <w:rsid w:val="00154FF6"/>
    <w:rsid w:val="00155840"/>
    <w:rsid w:val="00156253"/>
    <w:rsid w:val="0015757E"/>
    <w:rsid w:val="0015771D"/>
    <w:rsid w:val="00157B7D"/>
    <w:rsid w:val="00160547"/>
    <w:rsid w:val="00161B2B"/>
    <w:rsid w:val="00161CFA"/>
    <w:rsid w:val="0016246B"/>
    <w:rsid w:val="0016259A"/>
    <w:rsid w:val="001628DD"/>
    <w:rsid w:val="00162A39"/>
    <w:rsid w:val="00162D36"/>
    <w:rsid w:val="0016312F"/>
    <w:rsid w:val="001640B6"/>
    <w:rsid w:val="001641DA"/>
    <w:rsid w:val="00164387"/>
    <w:rsid w:val="00164A64"/>
    <w:rsid w:val="00164CD0"/>
    <w:rsid w:val="001655BC"/>
    <w:rsid w:val="001669C2"/>
    <w:rsid w:val="00166EA3"/>
    <w:rsid w:val="0016751C"/>
    <w:rsid w:val="0016793D"/>
    <w:rsid w:val="00170704"/>
    <w:rsid w:val="00170718"/>
    <w:rsid w:val="00170CAB"/>
    <w:rsid w:val="0017114B"/>
    <w:rsid w:val="00171221"/>
    <w:rsid w:val="00171E60"/>
    <w:rsid w:val="0017209D"/>
    <w:rsid w:val="00172202"/>
    <w:rsid w:val="00172A8B"/>
    <w:rsid w:val="00172BED"/>
    <w:rsid w:val="00174EAA"/>
    <w:rsid w:val="00174F98"/>
    <w:rsid w:val="001752BA"/>
    <w:rsid w:val="001755A1"/>
    <w:rsid w:val="001758E3"/>
    <w:rsid w:val="00175DB6"/>
    <w:rsid w:val="0017627E"/>
    <w:rsid w:val="001768DE"/>
    <w:rsid w:val="00176916"/>
    <w:rsid w:val="00177002"/>
    <w:rsid w:val="00177714"/>
    <w:rsid w:val="0018006A"/>
    <w:rsid w:val="0018008F"/>
    <w:rsid w:val="00180A82"/>
    <w:rsid w:val="001810F9"/>
    <w:rsid w:val="001812B5"/>
    <w:rsid w:val="00181622"/>
    <w:rsid w:val="00183162"/>
    <w:rsid w:val="00183786"/>
    <w:rsid w:val="00183CD0"/>
    <w:rsid w:val="00183E38"/>
    <w:rsid w:val="0018406E"/>
    <w:rsid w:val="00184363"/>
    <w:rsid w:val="0018591A"/>
    <w:rsid w:val="00185D08"/>
    <w:rsid w:val="00186962"/>
    <w:rsid w:val="00186C44"/>
    <w:rsid w:val="0018701F"/>
    <w:rsid w:val="00187643"/>
    <w:rsid w:val="00187DAF"/>
    <w:rsid w:val="001902B1"/>
    <w:rsid w:val="00191B50"/>
    <w:rsid w:val="0019293D"/>
    <w:rsid w:val="00193387"/>
    <w:rsid w:val="001935E8"/>
    <w:rsid w:val="001943FA"/>
    <w:rsid w:val="00194C8A"/>
    <w:rsid w:val="00194F9B"/>
    <w:rsid w:val="00196073"/>
    <w:rsid w:val="00196B58"/>
    <w:rsid w:val="001977BF"/>
    <w:rsid w:val="00197F36"/>
    <w:rsid w:val="001A0400"/>
    <w:rsid w:val="001A0498"/>
    <w:rsid w:val="001A2095"/>
    <w:rsid w:val="001A22B7"/>
    <w:rsid w:val="001A2343"/>
    <w:rsid w:val="001A3312"/>
    <w:rsid w:val="001A3E0A"/>
    <w:rsid w:val="001A43B5"/>
    <w:rsid w:val="001A48E8"/>
    <w:rsid w:val="001A5E43"/>
    <w:rsid w:val="001A71BE"/>
    <w:rsid w:val="001B0426"/>
    <w:rsid w:val="001B04B1"/>
    <w:rsid w:val="001B07AD"/>
    <w:rsid w:val="001B07B9"/>
    <w:rsid w:val="001B0B0D"/>
    <w:rsid w:val="001B0BED"/>
    <w:rsid w:val="001B0F93"/>
    <w:rsid w:val="001B1165"/>
    <w:rsid w:val="001B12AF"/>
    <w:rsid w:val="001B1567"/>
    <w:rsid w:val="001B1661"/>
    <w:rsid w:val="001B1A02"/>
    <w:rsid w:val="001B1F67"/>
    <w:rsid w:val="001B238F"/>
    <w:rsid w:val="001B25C8"/>
    <w:rsid w:val="001B2C46"/>
    <w:rsid w:val="001B37AD"/>
    <w:rsid w:val="001B37F7"/>
    <w:rsid w:val="001B4151"/>
    <w:rsid w:val="001B46ED"/>
    <w:rsid w:val="001B48D0"/>
    <w:rsid w:val="001B4E64"/>
    <w:rsid w:val="001B5878"/>
    <w:rsid w:val="001B612C"/>
    <w:rsid w:val="001B6402"/>
    <w:rsid w:val="001B6F54"/>
    <w:rsid w:val="001B7BB9"/>
    <w:rsid w:val="001C04E6"/>
    <w:rsid w:val="001C05D1"/>
    <w:rsid w:val="001C08B4"/>
    <w:rsid w:val="001C0BFD"/>
    <w:rsid w:val="001C17BB"/>
    <w:rsid w:val="001C1EFF"/>
    <w:rsid w:val="001C2185"/>
    <w:rsid w:val="001C27F3"/>
    <w:rsid w:val="001C3353"/>
    <w:rsid w:val="001C3C2E"/>
    <w:rsid w:val="001C40ED"/>
    <w:rsid w:val="001C5A42"/>
    <w:rsid w:val="001C5AE8"/>
    <w:rsid w:val="001C5DB4"/>
    <w:rsid w:val="001C634D"/>
    <w:rsid w:val="001C68C9"/>
    <w:rsid w:val="001C7755"/>
    <w:rsid w:val="001D1513"/>
    <w:rsid w:val="001D1679"/>
    <w:rsid w:val="001D1C3A"/>
    <w:rsid w:val="001D1D16"/>
    <w:rsid w:val="001D239F"/>
    <w:rsid w:val="001D2B6D"/>
    <w:rsid w:val="001D2C37"/>
    <w:rsid w:val="001D2D00"/>
    <w:rsid w:val="001D4474"/>
    <w:rsid w:val="001D482C"/>
    <w:rsid w:val="001D592F"/>
    <w:rsid w:val="001D5C08"/>
    <w:rsid w:val="001D5CBC"/>
    <w:rsid w:val="001D60D4"/>
    <w:rsid w:val="001D7184"/>
    <w:rsid w:val="001D76AA"/>
    <w:rsid w:val="001E0F7E"/>
    <w:rsid w:val="001E12BD"/>
    <w:rsid w:val="001E1A71"/>
    <w:rsid w:val="001E1F0D"/>
    <w:rsid w:val="001E2198"/>
    <w:rsid w:val="001E23A2"/>
    <w:rsid w:val="001E29DC"/>
    <w:rsid w:val="001E2C05"/>
    <w:rsid w:val="001E33EC"/>
    <w:rsid w:val="001E36D7"/>
    <w:rsid w:val="001E3D27"/>
    <w:rsid w:val="001E3FC3"/>
    <w:rsid w:val="001E48AF"/>
    <w:rsid w:val="001E4AD9"/>
    <w:rsid w:val="001E4C08"/>
    <w:rsid w:val="001E5B8F"/>
    <w:rsid w:val="001E6CFD"/>
    <w:rsid w:val="001E7D36"/>
    <w:rsid w:val="001EDCC2"/>
    <w:rsid w:val="001F0DFE"/>
    <w:rsid w:val="001F2F10"/>
    <w:rsid w:val="001F3392"/>
    <w:rsid w:val="001F36E5"/>
    <w:rsid w:val="001F4A81"/>
    <w:rsid w:val="001F4C5F"/>
    <w:rsid w:val="001F5C90"/>
    <w:rsid w:val="001F5D0E"/>
    <w:rsid w:val="001F60C8"/>
    <w:rsid w:val="001F74B5"/>
    <w:rsid w:val="001F7685"/>
    <w:rsid w:val="001F7AEB"/>
    <w:rsid w:val="002005C1"/>
    <w:rsid w:val="00200E63"/>
    <w:rsid w:val="0020136E"/>
    <w:rsid w:val="0020186C"/>
    <w:rsid w:val="00201DC0"/>
    <w:rsid w:val="00201F45"/>
    <w:rsid w:val="002022F8"/>
    <w:rsid w:val="00202AFE"/>
    <w:rsid w:val="002039F3"/>
    <w:rsid w:val="00203B9F"/>
    <w:rsid w:val="00204EF7"/>
    <w:rsid w:val="00205482"/>
    <w:rsid w:val="00205FB8"/>
    <w:rsid w:val="00206235"/>
    <w:rsid w:val="00206553"/>
    <w:rsid w:val="00206B35"/>
    <w:rsid w:val="00210A23"/>
    <w:rsid w:val="00210ABB"/>
    <w:rsid w:val="002113E3"/>
    <w:rsid w:val="00214A5D"/>
    <w:rsid w:val="00214CC5"/>
    <w:rsid w:val="002151F7"/>
    <w:rsid w:val="002156F2"/>
    <w:rsid w:val="00215E5F"/>
    <w:rsid w:val="00216901"/>
    <w:rsid w:val="0021718E"/>
    <w:rsid w:val="002174DF"/>
    <w:rsid w:val="00217832"/>
    <w:rsid w:val="00217AD4"/>
    <w:rsid w:val="002203D0"/>
    <w:rsid w:val="0022072D"/>
    <w:rsid w:val="0022132E"/>
    <w:rsid w:val="00221351"/>
    <w:rsid w:val="002214D5"/>
    <w:rsid w:val="0022230C"/>
    <w:rsid w:val="00222B2A"/>
    <w:rsid w:val="00223343"/>
    <w:rsid w:val="00223BAA"/>
    <w:rsid w:val="002241FD"/>
    <w:rsid w:val="00224AE7"/>
    <w:rsid w:val="00224CDC"/>
    <w:rsid w:val="002273A6"/>
    <w:rsid w:val="00230243"/>
    <w:rsid w:val="002305C1"/>
    <w:rsid w:val="002307C1"/>
    <w:rsid w:val="002309CC"/>
    <w:rsid w:val="002319AE"/>
    <w:rsid w:val="00231CD0"/>
    <w:rsid w:val="00231F6F"/>
    <w:rsid w:val="00232519"/>
    <w:rsid w:val="002328B7"/>
    <w:rsid w:val="00232C5C"/>
    <w:rsid w:val="00233103"/>
    <w:rsid w:val="002332E2"/>
    <w:rsid w:val="002335D6"/>
    <w:rsid w:val="00234295"/>
    <w:rsid w:val="00234BE4"/>
    <w:rsid w:val="00235BDB"/>
    <w:rsid w:val="00235FC9"/>
    <w:rsid w:val="002366DB"/>
    <w:rsid w:val="00236848"/>
    <w:rsid w:val="002368A6"/>
    <w:rsid w:val="00236CBB"/>
    <w:rsid w:val="00236F8A"/>
    <w:rsid w:val="002372E2"/>
    <w:rsid w:val="00240483"/>
    <w:rsid w:val="002406C5"/>
    <w:rsid w:val="00240F7A"/>
    <w:rsid w:val="00240FED"/>
    <w:rsid w:val="0024154B"/>
    <w:rsid w:val="00241948"/>
    <w:rsid w:val="002419F6"/>
    <w:rsid w:val="00241A76"/>
    <w:rsid w:val="00241DF7"/>
    <w:rsid w:val="0024286F"/>
    <w:rsid w:val="0024294B"/>
    <w:rsid w:val="00242C7D"/>
    <w:rsid w:val="00242E03"/>
    <w:rsid w:val="002430A4"/>
    <w:rsid w:val="002431CC"/>
    <w:rsid w:val="002433A6"/>
    <w:rsid w:val="0024351F"/>
    <w:rsid w:val="00243716"/>
    <w:rsid w:val="002437BF"/>
    <w:rsid w:val="00243CD7"/>
    <w:rsid w:val="00243E65"/>
    <w:rsid w:val="0024457C"/>
    <w:rsid w:val="00244BD4"/>
    <w:rsid w:val="002458A1"/>
    <w:rsid w:val="00245990"/>
    <w:rsid w:val="00245E5E"/>
    <w:rsid w:val="00245EAE"/>
    <w:rsid w:val="0024638E"/>
    <w:rsid w:val="0024660A"/>
    <w:rsid w:val="00247DF5"/>
    <w:rsid w:val="002502C1"/>
    <w:rsid w:val="002504FE"/>
    <w:rsid w:val="00250E0B"/>
    <w:rsid w:val="00251B8B"/>
    <w:rsid w:val="00251D60"/>
    <w:rsid w:val="00251DC0"/>
    <w:rsid w:val="0025211A"/>
    <w:rsid w:val="00252178"/>
    <w:rsid w:val="002521A6"/>
    <w:rsid w:val="00253097"/>
    <w:rsid w:val="002537E1"/>
    <w:rsid w:val="00253F6C"/>
    <w:rsid w:val="00253FCE"/>
    <w:rsid w:val="00254BF0"/>
    <w:rsid w:val="00254CFE"/>
    <w:rsid w:val="00255A33"/>
    <w:rsid w:val="0025635F"/>
    <w:rsid w:val="002573D2"/>
    <w:rsid w:val="002576CB"/>
    <w:rsid w:val="0025772C"/>
    <w:rsid w:val="002578A4"/>
    <w:rsid w:val="00257A26"/>
    <w:rsid w:val="00257B35"/>
    <w:rsid w:val="00257B63"/>
    <w:rsid w:val="002605F9"/>
    <w:rsid w:val="00260D2C"/>
    <w:rsid w:val="00260EB6"/>
    <w:rsid w:val="0026135D"/>
    <w:rsid w:val="00261F6F"/>
    <w:rsid w:val="00262A1C"/>
    <w:rsid w:val="00263000"/>
    <w:rsid w:val="0026380B"/>
    <w:rsid w:val="0026423E"/>
    <w:rsid w:val="00264BC1"/>
    <w:rsid w:val="00264CEE"/>
    <w:rsid w:val="00264E18"/>
    <w:rsid w:val="00265031"/>
    <w:rsid w:val="002656F5"/>
    <w:rsid w:val="002663C7"/>
    <w:rsid w:val="002667E7"/>
    <w:rsid w:val="00266B01"/>
    <w:rsid w:val="00267F9F"/>
    <w:rsid w:val="00270070"/>
    <w:rsid w:val="00270452"/>
    <w:rsid w:val="00270D24"/>
    <w:rsid w:val="0027128B"/>
    <w:rsid w:val="0027167F"/>
    <w:rsid w:val="0027229F"/>
    <w:rsid w:val="00273C99"/>
    <w:rsid w:val="00273ED7"/>
    <w:rsid w:val="00274A68"/>
    <w:rsid w:val="00274E38"/>
    <w:rsid w:val="00275856"/>
    <w:rsid w:val="00275BBE"/>
    <w:rsid w:val="00275E36"/>
    <w:rsid w:val="00276558"/>
    <w:rsid w:val="002767C5"/>
    <w:rsid w:val="002767E1"/>
    <w:rsid w:val="0027689B"/>
    <w:rsid w:val="00276A63"/>
    <w:rsid w:val="00277907"/>
    <w:rsid w:val="0028039B"/>
    <w:rsid w:val="00280FFC"/>
    <w:rsid w:val="00281008"/>
    <w:rsid w:val="00281050"/>
    <w:rsid w:val="002810B7"/>
    <w:rsid w:val="00281463"/>
    <w:rsid w:val="002818FA"/>
    <w:rsid w:val="00282A51"/>
    <w:rsid w:val="00282ED8"/>
    <w:rsid w:val="002832CE"/>
    <w:rsid w:val="0028377E"/>
    <w:rsid w:val="0028380B"/>
    <w:rsid w:val="0028420A"/>
    <w:rsid w:val="0028467C"/>
    <w:rsid w:val="0028474A"/>
    <w:rsid w:val="002847AB"/>
    <w:rsid w:val="002849CC"/>
    <w:rsid w:val="00284F01"/>
    <w:rsid w:val="00285096"/>
    <w:rsid w:val="00285E39"/>
    <w:rsid w:val="00286083"/>
    <w:rsid w:val="0028665A"/>
    <w:rsid w:val="00286EB7"/>
    <w:rsid w:val="00286F43"/>
    <w:rsid w:val="00290540"/>
    <w:rsid w:val="00290A8D"/>
    <w:rsid w:val="00291A87"/>
    <w:rsid w:val="002929A6"/>
    <w:rsid w:val="00293EB6"/>
    <w:rsid w:val="0029598D"/>
    <w:rsid w:val="00295EC6"/>
    <w:rsid w:val="00296427"/>
    <w:rsid w:val="00296CAC"/>
    <w:rsid w:val="00296DCE"/>
    <w:rsid w:val="00296E88"/>
    <w:rsid w:val="00297670"/>
    <w:rsid w:val="0029774A"/>
    <w:rsid w:val="0029798F"/>
    <w:rsid w:val="00297FB6"/>
    <w:rsid w:val="002A04F3"/>
    <w:rsid w:val="002A0760"/>
    <w:rsid w:val="002A183C"/>
    <w:rsid w:val="002A1CAA"/>
    <w:rsid w:val="002A200E"/>
    <w:rsid w:val="002A2055"/>
    <w:rsid w:val="002A2C0D"/>
    <w:rsid w:val="002A33CF"/>
    <w:rsid w:val="002A3724"/>
    <w:rsid w:val="002A3FF9"/>
    <w:rsid w:val="002A414A"/>
    <w:rsid w:val="002A46F2"/>
    <w:rsid w:val="002A4B3D"/>
    <w:rsid w:val="002A4F5B"/>
    <w:rsid w:val="002A5588"/>
    <w:rsid w:val="002A58CA"/>
    <w:rsid w:val="002A5955"/>
    <w:rsid w:val="002A7381"/>
    <w:rsid w:val="002A7713"/>
    <w:rsid w:val="002A7D8F"/>
    <w:rsid w:val="002B02B7"/>
    <w:rsid w:val="002B128C"/>
    <w:rsid w:val="002B19B1"/>
    <w:rsid w:val="002B1C67"/>
    <w:rsid w:val="002B3BB6"/>
    <w:rsid w:val="002B41A4"/>
    <w:rsid w:val="002B42EC"/>
    <w:rsid w:val="002B4FFC"/>
    <w:rsid w:val="002B5667"/>
    <w:rsid w:val="002B5C08"/>
    <w:rsid w:val="002B604F"/>
    <w:rsid w:val="002B68F5"/>
    <w:rsid w:val="002B697B"/>
    <w:rsid w:val="002B72ED"/>
    <w:rsid w:val="002C085A"/>
    <w:rsid w:val="002C0ADF"/>
    <w:rsid w:val="002C0BC4"/>
    <w:rsid w:val="002C0FD2"/>
    <w:rsid w:val="002C1427"/>
    <w:rsid w:val="002C15E8"/>
    <w:rsid w:val="002C1A9B"/>
    <w:rsid w:val="002C2C55"/>
    <w:rsid w:val="002C30C4"/>
    <w:rsid w:val="002C34FA"/>
    <w:rsid w:val="002C3B5D"/>
    <w:rsid w:val="002C5055"/>
    <w:rsid w:val="002C515E"/>
    <w:rsid w:val="002C567A"/>
    <w:rsid w:val="002C58BB"/>
    <w:rsid w:val="002C5973"/>
    <w:rsid w:val="002C5E25"/>
    <w:rsid w:val="002C6458"/>
    <w:rsid w:val="002C66AB"/>
    <w:rsid w:val="002C6D96"/>
    <w:rsid w:val="002C7652"/>
    <w:rsid w:val="002C7DF7"/>
    <w:rsid w:val="002D01FE"/>
    <w:rsid w:val="002D12C8"/>
    <w:rsid w:val="002D161A"/>
    <w:rsid w:val="002D19F3"/>
    <w:rsid w:val="002D2242"/>
    <w:rsid w:val="002D26DF"/>
    <w:rsid w:val="002D270C"/>
    <w:rsid w:val="002D29E4"/>
    <w:rsid w:val="002D39CB"/>
    <w:rsid w:val="002D3DA4"/>
    <w:rsid w:val="002D48CA"/>
    <w:rsid w:val="002D5272"/>
    <w:rsid w:val="002D6295"/>
    <w:rsid w:val="002D6302"/>
    <w:rsid w:val="002D64B4"/>
    <w:rsid w:val="002D6530"/>
    <w:rsid w:val="002D685F"/>
    <w:rsid w:val="002D6989"/>
    <w:rsid w:val="002D6B5E"/>
    <w:rsid w:val="002D769C"/>
    <w:rsid w:val="002D76D1"/>
    <w:rsid w:val="002E048C"/>
    <w:rsid w:val="002E0A3D"/>
    <w:rsid w:val="002E138A"/>
    <w:rsid w:val="002E1AE2"/>
    <w:rsid w:val="002E39E7"/>
    <w:rsid w:val="002E50FB"/>
    <w:rsid w:val="002E5409"/>
    <w:rsid w:val="002E57E7"/>
    <w:rsid w:val="002E6F38"/>
    <w:rsid w:val="002E7D09"/>
    <w:rsid w:val="002E7EC4"/>
    <w:rsid w:val="002F04F2"/>
    <w:rsid w:val="002F0674"/>
    <w:rsid w:val="002F0A1A"/>
    <w:rsid w:val="002F1359"/>
    <w:rsid w:val="002F13AB"/>
    <w:rsid w:val="002F16B5"/>
    <w:rsid w:val="002F1A6D"/>
    <w:rsid w:val="002F1DF2"/>
    <w:rsid w:val="002F2BB9"/>
    <w:rsid w:val="002F2C6F"/>
    <w:rsid w:val="002F3053"/>
    <w:rsid w:val="002F3273"/>
    <w:rsid w:val="002F38D3"/>
    <w:rsid w:val="002F3F25"/>
    <w:rsid w:val="002F3FD9"/>
    <w:rsid w:val="002F4702"/>
    <w:rsid w:val="002F4823"/>
    <w:rsid w:val="002F59A4"/>
    <w:rsid w:val="002F5F2C"/>
    <w:rsid w:val="002F6155"/>
    <w:rsid w:val="002F67F6"/>
    <w:rsid w:val="002F6812"/>
    <w:rsid w:val="002F6E1A"/>
    <w:rsid w:val="002F76C8"/>
    <w:rsid w:val="0030004D"/>
    <w:rsid w:val="00300747"/>
    <w:rsid w:val="00300824"/>
    <w:rsid w:val="00301E01"/>
    <w:rsid w:val="00301E6C"/>
    <w:rsid w:val="00302D99"/>
    <w:rsid w:val="00302EDD"/>
    <w:rsid w:val="00302EE1"/>
    <w:rsid w:val="00303306"/>
    <w:rsid w:val="00303B92"/>
    <w:rsid w:val="00305434"/>
    <w:rsid w:val="00305982"/>
    <w:rsid w:val="0030621A"/>
    <w:rsid w:val="003078CD"/>
    <w:rsid w:val="00310B68"/>
    <w:rsid w:val="003117EF"/>
    <w:rsid w:val="00311A09"/>
    <w:rsid w:val="0031242D"/>
    <w:rsid w:val="00312C9A"/>
    <w:rsid w:val="00313222"/>
    <w:rsid w:val="00313246"/>
    <w:rsid w:val="003138AE"/>
    <w:rsid w:val="00314048"/>
    <w:rsid w:val="00314176"/>
    <w:rsid w:val="00314BE6"/>
    <w:rsid w:val="00315143"/>
    <w:rsid w:val="00315549"/>
    <w:rsid w:val="0031574D"/>
    <w:rsid w:val="0031658D"/>
    <w:rsid w:val="0031689F"/>
    <w:rsid w:val="00317C80"/>
    <w:rsid w:val="00317DA7"/>
    <w:rsid w:val="00317DC6"/>
    <w:rsid w:val="00320134"/>
    <w:rsid w:val="0032077C"/>
    <w:rsid w:val="00321E79"/>
    <w:rsid w:val="0032207D"/>
    <w:rsid w:val="00323B18"/>
    <w:rsid w:val="00323BF8"/>
    <w:rsid w:val="00325175"/>
    <w:rsid w:val="003269DB"/>
    <w:rsid w:val="0032755F"/>
    <w:rsid w:val="00327653"/>
    <w:rsid w:val="00327769"/>
    <w:rsid w:val="003278C4"/>
    <w:rsid w:val="0032793B"/>
    <w:rsid w:val="00327FB2"/>
    <w:rsid w:val="00330537"/>
    <w:rsid w:val="00330871"/>
    <w:rsid w:val="00330BEE"/>
    <w:rsid w:val="00330C70"/>
    <w:rsid w:val="00331B97"/>
    <w:rsid w:val="00331E42"/>
    <w:rsid w:val="00332913"/>
    <w:rsid w:val="00332F56"/>
    <w:rsid w:val="003332D1"/>
    <w:rsid w:val="00333944"/>
    <w:rsid w:val="00334087"/>
    <w:rsid w:val="003354E5"/>
    <w:rsid w:val="00335704"/>
    <w:rsid w:val="00335796"/>
    <w:rsid w:val="00335AE6"/>
    <w:rsid w:val="00335DD3"/>
    <w:rsid w:val="003365C4"/>
    <w:rsid w:val="00337C44"/>
    <w:rsid w:val="0034074D"/>
    <w:rsid w:val="00341308"/>
    <w:rsid w:val="00341E99"/>
    <w:rsid w:val="00342562"/>
    <w:rsid w:val="003425DC"/>
    <w:rsid w:val="003426CA"/>
    <w:rsid w:val="00343267"/>
    <w:rsid w:val="00343988"/>
    <w:rsid w:val="00343E30"/>
    <w:rsid w:val="00343F7A"/>
    <w:rsid w:val="0034416E"/>
    <w:rsid w:val="00344372"/>
    <w:rsid w:val="00344420"/>
    <w:rsid w:val="003444E5"/>
    <w:rsid w:val="00344FC2"/>
    <w:rsid w:val="0034548F"/>
    <w:rsid w:val="0034621A"/>
    <w:rsid w:val="00346537"/>
    <w:rsid w:val="00346C87"/>
    <w:rsid w:val="0034775E"/>
    <w:rsid w:val="003512BB"/>
    <w:rsid w:val="003535A9"/>
    <w:rsid w:val="00353C31"/>
    <w:rsid w:val="00353E9F"/>
    <w:rsid w:val="00354096"/>
    <w:rsid w:val="00355A2D"/>
    <w:rsid w:val="00355E2E"/>
    <w:rsid w:val="00356BF0"/>
    <w:rsid w:val="0036039E"/>
    <w:rsid w:val="00360433"/>
    <w:rsid w:val="0036092E"/>
    <w:rsid w:val="00360A4A"/>
    <w:rsid w:val="00360F01"/>
    <w:rsid w:val="003611C1"/>
    <w:rsid w:val="003612B0"/>
    <w:rsid w:val="003619A5"/>
    <w:rsid w:val="00361C18"/>
    <w:rsid w:val="00362206"/>
    <w:rsid w:val="00362289"/>
    <w:rsid w:val="00362C9E"/>
    <w:rsid w:val="00364243"/>
    <w:rsid w:val="00364337"/>
    <w:rsid w:val="0036485C"/>
    <w:rsid w:val="00364C16"/>
    <w:rsid w:val="00365021"/>
    <w:rsid w:val="00365C9A"/>
    <w:rsid w:val="00366084"/>
    <w:rsid w:val="0036697D"/>
    <w:rsid w:val="00366B46"/>
    <w:rsid w:val="003676D6"/>
    <w:rsid w:val="00367E68"/>
    <w:rsid w:val="00371313"/>
    <w:rsid w:val="00371E36"/>
    <w:rsid w:val="00372796"/>
    <w:rsid w:val="00374196"/>
    <w:rsid w:val="00375240"/>
    <w:rsid w:val="003754B8"/>
    <w:rsid w:val="00375694"/>
    <w:rsid w:val="00375E6E"/>
    <w:rsid w:val="0037684C"/>
    <w:rsid w:val="003769DA"/>
    <w:rsid w:val="00376D0F"/>
    <w:rsid w:val="0037785C"/>
    <w:rsid w:val="003807EF"/>
    <w:rsid w:val="00380CB0"/>
    <w:rsid w:val="003819CB"/>
    <w:rsid w:val="00381C43"/>
    <w:rsid w:val="00381F0E"/>
    <w:rsid w:val="00382054"/>
    <w:rsid w:val="003820B4"/>
    <w:rsid w:val="00382421"/>
    <w:rsid w:val="00382BEE"/>
    <w:rsid w:val="003836DB"/>
    <w:rsid w:val="00383AAD"/>
    <w:rsid w:val="0038594B"/>
    <w:rsid w:val="00385A08"/>
    <w:rsid w:val="00385A48"/>
    <w:rsid w:val="003865BB"/>
    <w:rsid w:val="00386724"/>
    <w:rsid w:val="00386CFB"/>
    <w:rsid w:val="003874A2"/>
    <w:rsid w:val="003878CD"/>
    <w:rsid w:val="003878D4"/>
    <w:rsid w:val="00387ACD"/>
    <w:rsid w:val="00390125"/>
    <w:rsid w:val="003902D7"/>
    <w:rsid w:val="003914CA"/>
    <w:rsid w:val="003927A4"/>
    <w:rsid w:val="00392B47"/>
    <w:rsid w:val="00393803"/>
    <w:rsid w:val="00394D72"/>
    <w:rsid w:val="00395454"/>
    <w:rsid w:val="003958FF"/>
    <w:rsid w:val="003963F5"/>
    <w:rsid w:val="00396A42"/>
    <w:rsid w:val="00396CA4"/>
    <w:rsid w:val="00396EB6"/>
    <w:rsid w:val="003A0344"/>
    <w:rsid w:val="003A0DF1"/>
    <w:rsid w:val="003A1051"/>
    <w:rsid w:val="003A1305"/>
    <w:rsid w:val="003A1997"/>
    <w:rsid w:val="003A22EC"/>
    <w:rsid w:val="003A25BE"/>
    <w:rsid w:val="003A287E"/>
    <w:rsid w:val="003A2EDE"/>
    <w:rsid w:val="003A2F58"/>
    <w:rsid w:val="003A3254"/>
    <w:rsid w:val="003A467D"/>
    <w:rsid w:val="003A4B1F"/>
    <w:rsid w:val="003A50FE"/>
    <w:rsid w:val="003A5545"/>
    <w:rsid w:val="003A56A0"/>
    <w:rsid w:val="003A6381"/>
    <w:rsid w:val="003A6512"/>
    <w:rsid w:val="003A6EB0"/>
    <w:rsid w:val="003A71AB"/>
    <w:rsid w:val="003A7740"/>
    <w:rsid w:val="003A7FF0"/>
    <w:rsid w:val="003B0366"/>
    <w:rsid w:val="003B0C1D"/>
    <w:rsid w:val="003B0E38"/>
    <w:rsid w:val="003B0FAF"/>
    <w:rsid w:val="003B1127"/>
    <w:rsid w:val="003B265E"/>
    <w:rsid w:val="003B2D24"/>
    <w:rsid w:val="003B33A3"/>
    <w:rsid w:val="003B39E1"/>
    <w:rsid w:val="003B3AFC"/>
    <w:rsid w:val="003B4996"/>
    <w:rsid w:val="003B52DE"/>
    <w:rsid w:val="003B5F36"/>
    <w:rsid w:val="003B6A98"/>
    <w:rsid w:val="003B71CF"/>
    <w:rsid w:val="003C04A8"/>
    <w:rsid w:val="003C0B8B"/>
    <w:rsid w:val="003C1A95"/>
    <w:rsid w:val="003C1C21"/>
    <w:rsid w:val="003C2A95"/>
    <w:rsid w:val="003C2B31"/>
    <w:rsid w:val="003C2B3F"/>
    <w:rsid w:val="003C2E89"/>
    <w:rsid w:val="003C3643"/>
    <w:rsid w:val="003C3916"/>
    <w:rsid w:val="003C3C40"/>
    <w:rsid w:val="003C695B"/>
    <w:rsid w:val="003C71D9"/>
    <w:rsid w:val="003C7255"/>
    <w:rsid w:val="003D0177"/>
    <w:rsid w:val="003D0375"/>
    <w:rsid w:val="003D05DC"/>
    <w:rsid w:val="003D0A6B"/>
    <w:rsid w:val="003D266C"/>
    <w:rsid w:val="003D281A"/>
    <w:rsid w:val="003D2B6F"/>
    <w:rsid w:val="003D300D"/>
    <w:rsid w:val="003D3F7A"/>
    <w:rsid w:val="003D53AB"/>
    <w:rsid w:val="003D59DD"/>
    <w:rsid w:val="003D6C7E"/>
    <w:rsid w:val="003D714C"/>
    <w:rsid w:val="003D724D"/>
    <w:rsid w:val="003D7867"/>
    <w:rsid w:val="003E046B"/>
    <w:rsid w:val="003E0DAF"/>
    <w:rsid w:val="003E119D"/>
    <w:rsid w:val="003E2130"/>
    <w:rsid w:val="003E32E0"/>
    <w:rsid w:val="003E3AEE"/>
    <w:rsid w:val="003E44D5"/>
    <w:rsid w:val="003E46E1"/>
    <w:rsid w:val="003E48E5"/>
    <w:rsid w:val="003E48FE"/>
    <w:rsid w:val="003E558D"/>
    <w:rsid w:val="003E58C3"/>
    <w:rsid w:val="003E5AA1"/>
    <w:rsid w:val="003E6727"/>
    <w:rsid w:val="003E6A29"/>
    <w:rsid w:val="003E765C"/>
    <w:rsid w:val="003F05AB"/>
    <w:rsid w:val="003F0958"/>
    <w:rsid w:val="003F0EA2"/>
    <w:rsid w:val="003F1116"/>
    <w:rsid w:val="003F11AF"/>
    <w:rsid w:val="003F1958"/>
    <w:rsid w:val="003F1BFA"/>
    <w:rsid w:val="003F1F59"/>
    <w:rsid w:val="003F202D"/>
    <w:rsid w:val="003F232D"/>
    <w:rsid w:val="003F27AC"/>
    <w:rsid w:val="003F2961"/>
    <w:rsid w:val="003F360B"/>
    <w:rsid w:val="003F377B"/>
    <w:rsid w:val="003F37E4"/>
    <w:rsid w:val="003F43AD"/>
    <w:rsid w:val="003F4603"/>
    <w:rsid w:val="003F490F"/>
    <w:rsid w:val="003F5B6A"/>
    <w:rsid w:val="003F5BC2"/>
    <w:rsid w:val="003F5DBB"/>
    <w:rsid w:val="003F62BD"/>
    <w:rsid w:val="003F658B"/>
    <w:rsid w:val="003F674C"/>
    <w:rsid w:val="003F681E"/>
    <w:rsid w:val="003F68AE"/>
    <w:rsid w:val="003F767B"/>
    <w:rsid w:val="003F778E"/>
    <w:rsid w:val="003F7CFD"/>
    <w:rsid w:val="003FE219"/>
    <w:rsid w:val="00400255"/>
    <w:rsid w:val="00400330"/>
    <w:rsid w:val="0040185C"/>
    <w:rsid w:val="004019AD"/>
    <w:rsid w:val="00401D6D"/>
    <w:rsid w:val="00401E95"/>
    <w:rsid w:val="00401EBB"/>
    <w:rsid w:val="004021A8"/>
    <w:rsid w:val="004025BE"/>
    <w:rsid w:val="00402A6D"/>
    <w:rsid w:val="0040425B"/>
    <w:rsid w:val="0040472D"/>
    <w:rsid w:val="00404F0C"/>
    <w:rsid w:val="004059C5"/>
    <w:rsid w:val="00405AF8"/>
    <w:rsid w:val="00405D97"/>
    <w:rsid w:val="00406A35"/>
    <w:rsid w:val="00406BA8"/>
    <w:rsid w:val="00406D44"/>
    <w:rsid w:val="00410C6F"/>
    <w:rsid w:val="004117FD"/>
    <w:rsid w:val="00411CCC"/>
    <w:rsid w:val="00412723"/>
    <w:rsid w:val="00413405"/>
    <w:rsid w:val="00413FDB"/>
    <w:rsid w:val="0041433B"/>
    <w:rsid w:val="004143C2"/>
    <w:rsid w:val="004144A5"/>
    <w:rsid w:val="00415406"/>
    <w:rsid w:val="00415D5B"/>
    <w:rsid w:val="00415E78"/>
    <w:rsid w:val="00416320"/>
    <w:rsid w:val="00416358"/>
    <w:rsid w:val="00416F49"/>
    <w:rsid w:val="00417005"/>
    <w:rsid w:val="004177DD"/>
    <w:rsid w:val="004179C8"/>
    <w:rsid w:val="00417D59"/>
    <w:rsid w:val="004202C9"/>
    <w:rsid w:val="0042100B"/>
    <w:rsid w:val="0042192D"/>
    <w:rsid w:val="00421E60"/>
    <w:rsid w:val="004224E2"/>
    <w:rsid w:val="00422B62"/>
    <w:rsid w:val="00423683"/>
    <w:rsid w:val="00423EBB"/>
    <w:rsid w:val="00424621"/>
    <w:rsid w:val="004246D2"/>
    <w:rsid w:val="00424B00"/>
    <w:rsid w:val="0042517F"/>
    <w:rsid w:val="0042559A"/>
    <w:rsid w:val="00425B84"/>
    <w:rsid w:val="00426012"/>
    <w:rsid w:val="004265C1"/>
    <w:rsid w:val="00426DF3"/>
    <w:rsid w:val="00426F77"/>
    <w:rsid w:val="00427E4B"/>
    <w:rsid w:val="004303A7"/>
    <w:rsid w:val="00430DC0"/>
    <w:rsid w:val="004326BB"/>
    <w:rsid w:val="0043370E"/>
    <w:rsid w:val="004344B2"/>
    <w:rsid w:val="00434803"/>
    <w:rsid w:val="00435712"/>
    <w:rsid w:val="0043587E"/>
    <w:rsid w:val="0043589E"/>
    <w:rsid w:val="004360EA"/>
    <w:rsid w:val="0043633F"/>
    <w:rsid w:val="0043639D"/>
    <w:rsid w:val="00436AD5"/>
    <w:rsid w:val="00436CC4"/>
    <w:rsid w:val="00437A30"/>
    <w:rsid w:val="00440AA7"/>
    <w:rsid w:val="00440B4F"/>
    <w:rsid w:val="00440DBA"/>
    <w:rsid w:val="00440FBC"/>
    <w:rsid w:val="0044136D"/>
    <w:rsid w:val="00441833"/>
    <w:rsid w:val="00441BF0"/>
    <w:rsid w:val="00441D04"/>
    <w:rsid w:val="00442F15"/>
    <w:rsid w:val="00443A10"/>
    <w:rsid w:val="004440B2"/>
    <w:rsid w:val="004443A9"/>
    <w:rsid w:val="00444756"/>
    <w:rsid w:val="00444F4B"/>
    <w:rsid w:val="004461BD"/>
    <w:rsid w:val="004470A5"/>
    <w:rsid w:val="0044761C"/>
    <w:rsid w:val="00450F2C"/>
    <w:rsid w:val="00451177"/>
    <w:rsid w:val="00451284"/>
    <w:rsid w:val="00451306"/>
    <w:rsid w:val="004522C5"/>
    <w:rsid w:val="0045241E"/>
    <w:rsid w:val="00452A8D"/>
    <w:rsid w:val="00452C94"/>
    <w:rsid w:val="00452FC4"/>
    <w:rsid w:val="004532B2"/>
    <w:rsid w:val="00453AE8"/>
    <w:rsid w:val="00454846"/>
    <w:rsid w:val="00454C43"/>
    <w:rsid w:val="004550C4"/>
    <w:rsid w:val="0045549F"/>
    <w:rsid w:val="00455BB3"/>
    <w:rsid w:val="00455EBF"/>
    <w:rsid w:val="00456082"/>
    <w:rsid w:val="0045635C"/>
    <w:rsid w:val="00457C89"/>
    <w:rsid w:val="00460334"/>
    <w:rsid w:val="00460B79"/>
    <w:rsid w:val="00461B35"/>
    <w:rsid w:val="0046319F"/>
    <w:rsid w:val="00463875"/>
    <w:rsid w:val="00463CB0"/>
    <w:rsid w:val="00464042"/>
    <w:rsid w:val="00464692"/>
    <w:rsid w:val="00465330"/>
    <w:rsid w:val="00465482"/>
    <w:rsid w:val="00465C34"/>
    <w:rsid w:val="00466C97"/>
    <w:rsid w:val="0046791B"/>
    <w:rsid w:val="00467B3A"/>
    <w:rsid w:val="00467C25"/>
    <w:rsid w:val="00467E5E"/>
    <w:rsid w:val="00470CB8"/>
    <w:rsid w:val="00471A65"/>
    <w:rsid w:val="00472BC9"/>
    <w:rsid w:val="0047383D"/>
    <w:rsid w:val="00474C81"/>
    <w:rsid w:val="00474E72"/>
    <w:rsid w:val="004757A1"/>
    <w:rsid w:val="00475E0A"/>
    <w:rsid w:val="00476102"/>
    <w:rsid w:val="0047683E"/>
    <w:rsid w:val="004770E7"/>
    <w:rsid w:val="004774A5"/>
    <w:rsid w:val="00477A0F"/>
    <w:rsid w:val="00477A34"/>
    <w:rsid w:val="0048008F"/>
    <w:rsid w:val="004801FA"/>
    <w:rsid w:val="00480B35"/>
    <w:rsid w:val="00480DBD"/>
    <w:rsid w:val="00481749"/>
    <w:rsid w:val="0048344E"/>
    <w:rsid w:val="004836BD"/>
    <w:rsid w:val="004838A8"/>
    <w:rsid w:val="00483B10"/>
    <w:rsid w:val="00483D02"/>
    <w:rsid w:val="00485126"/>
    <w:rsid w:val="0048591C"/>
    <w:rsid w:val="00485D79"/>
    <w:rsid w:val="00485E61"/>
    <w:rsid w:val="0048642E"/>
    <w:rsid w:val="004864BD"/>
    <w:rsid w:val="00486D5F"/>
    <w:rsid w:val="00487B10"/>
    <w:rsid w:val="004906AE"/>
    <w:rsid w:val="004926EC"/>
    <w:rsid w:val="00492B5B"/>
    <w:rsid w:val="00492FE9"/>
    <w:rsid w:val="0049348B"/>
    <w:rsid w:val="00493DBF"/>
    <w:rsid w:val="00494E33"/>
    <w:rsid w:val="00494E52"/>
    <w:rsid w:val="004951AA"/>
    <w:rsid w:val="0049654E"/>
    <w:rsid w:val="00496C68"/>
    <w:rsid w:val="00496D9C"/>
    <w:rsid w:val="0049708A"/>
    <w:rsid w:val="004970FD"/>
    <w:rsid w:val="00497325"/>
    <w:rsid w:val="00497665"/>
    <w:rsid w:val="004979F0"/>
    <w:rsid w:val="00497B53"/>
    <w:rsid w:val="00497EF8"/>
    <w:rsid w:val="004A0A6D"/>
    <w:rsid w:val="004A0EA2"/>
    <w:rsid w:val="004A1184"/>
    <w:rsid w:val="004A130B"/>
    <w:rsid w:val="004A13D5"/>
    <w:rsid w:val="004A1D68"/>
    <w:rsid w:val="004A1E9E"/>
    <w:rsid w:val="004A2780"/>
    <w:rsid w:val="004A2DB9"/>
    <w:rsid w:val="004A335E"/>
    <w:rsid w:val="004A337D"/>
    <w:rsid w:val="004A3927"/>
    <w:rsid w:val="004A46D7"/>
    <w:rsid w:val="004A53B9"/>
    <w:rsid w:val="004A7195"/>
    <w:rsid w:val="004A7D0E"/>
    <w:rsid w:val="004A7DF7"/>
    <w:rsid w:val="004A7EB3"/>
    <w:rsid w:val="004B133A"/>
    <w:rsid w:val="004B1AA0"/>
    <w:rsid w:val="004B21A7"/>
    <w:rsid w:val="004B2A8A"/>
    <w:rsid w:val="004B2BFD"/>
    <w:rsid w:val="004B2F2C"/>
    <w:rsid w:val="004B3A82"/>
    <w:rsid w:val="004B432E"/>
    <w:rsid w:val="004B4548"/>
    <w:rsid w:val="004B4779"/>
    <w:rsid w:val="004B4869"/>
    <w:rsid w:val="004B4986"/>
    <w:rsid w:val="004B4D42"/>
    <w:rsid w:val="004B52F3"/>
    <w:rsid w:val="004B549A"/>
    <w:rsid w:val="004B5D70"/>
    <w:rsid w:val="004B5FDD"/>
    <w:rsid w:val="004B6807"/>
    <w:rsid w:val="004B6F73"/>
    <w:rsid w:val="004B6F89"/>
    <w:rsid w:val="004B71D6"/>
    <w:rsid w:val="004B7719"/>
    <w:rsid w:val="004B7C4B"/>
    <w:rsid w:val="004B7D4D"/>
    <w:rsid w:val="004C18E3"/>
    <w:rsid w:val="004C1CB1"/>
    <w:rsid w:val="004C2482"/>
    <w:rsid w:val="004C3030"/>
    <w:rsid w:val="004C303A"/>
    <w:rsid w:val="004C3104"/>
    <w:rsid w:val="004C327D"/>
    <w:rsid w:val="004C3512"/>
    <w:rsid w:val="004C3568"/>
    <w:rsid w:val="004C3FD2"/>
    <w:rsid w:val="004C4187"/>
    <w:rsid w:val="004C4248"/>
    <w:rsid w:val="004C4EA8"/>
    <w:rsid w:val="004C5586"/>
    <w:rsid w:val="004C5611"/>
    <w:rsid w:val="004C57CB"/>
    <w:rsid w:val="004C6291"/>
    <w:rsid w:val="004C66BC"/>
    <w:rsid w:val="004C679B"/>
    <w:rsid w:val="004C6B00"/>
    <w:rsid w:val="004C6EED"/>
    <w:rsid w:val="004C77C2"/>
    <w:rsid w:val="004C785B"/>
    <w:rsid w:val="004D0512"/>
    <w:rsid w:val="004D0B35"/>
    <w:rsid w:val="004D0FF3"/>
    <w:rsid w:val="004D10C8"/>
    <w:rsid w:val="004D1643"/>
    <w:rsid w:val="004D2F0E"/>
    <w:rsid w:val="004D2F55"/>
    <w:rsid w:val="004D33A7"/>
    <w:rsid w:val="004D34E5"/>
    <w:rsid w:val="004D3E4B"/>
    <w:rsid w:val="004D42F4"/>
    <w:rsid w:val="004D45D4"/>
    <w:rsid w:val="004D58F7"/>
    <w:rsid w:val="004D5A59"/>
    <w:rsid w:val="004D5D71"/>
    <w:rsid w:val="004D6775"/>
    <w:rsid w:val="004D6845"/>
    <w:rsid w:val="004D7ACB"/>
    <w:rsid w:val="004D7CFC"/>
    <w:rsid w:val="004E00B9"/>
    <w:rsid w:val="004E0C91"/>
    <w:rsid w:val="004E0EC3"/>
    <w:rsid w:val="004E21BD"/>
    <w:rsid w:val="004E24F5"/>
    <w:rsid w:val="004E2D2C"/>
    <w:rsid w:val="004E31CD"/>
    <w:rsid w:val="004E418E"/>
    <w:rsid w:val="004E46CD"/>
    <w:rsid w:val="004E5B48"/>
    <w:rsid w:val="004E614C"/>
    <w:rsid w:val="004E6D1C"/>
    <w:rsid w:val="004E6F42"/>
    <w:rsid w:val="004E6F68"/>
    <w:rsid w:val="004E753A"/>
    <w:rsid w:val="004E7547"/>
    <w:rsid w:val="004E757E"/>
    <w:rsid w:val="004F06E6"/>
    <w:rsid w:val="004F0781"/>
    <w:rsid w:val="004F09AA"/>
    <w:rsid w:val="004F11D6"/>
    <w:rsid w:val="004F15F7"/>
    <w:rsid w:val="004F2145"/>
    <w:rsid w:val="004F224E"/>
    <w:rsid w:val="004F2DE4"/>
    <w:rsid w:val="004F3E77"/>
    <w:rsid w:val="004F40D9"/>
    <w:rsid w:val="004F4748"/>
    <w:rsid w:val="004F4D7F"/>
    <w:rsid w:val="004F619D"/>
    <w:rsid w:val="004F646D"/>
    <w:rsid w:val="004F7F5C"/>
    <w:rsid w:val="0050083A"/>
    <w:rsid w:val="00500C90"/>
    <w:rsid w:val="00500D4C"/>
    <w:rsid w:val="00500F5C"/>
    <w:rsid w:val="005013C7"/>
    <w:rsid w:val="00501ACE"/>
    <w:rsid w:val="005021C8"/>
    <w:rsid w:val="0050262D"/>
    <w:rsid w:val="00502679"/>
    <w:rsid w:val="0050298F"/>
    <w:rsid w:val="00502C24"/>
    <w:rsid w:val="00503787"/>
    <w:rsid w:val="0050467D"/>
    <w:rsid w:val="005052EE"/>
    <w:rsid w:val="00505A0A"/>
    <w:rsid w:val="00505BD6"/>
    <w:rsid w:val="00505DB2"/>
    <w:rsid w:val="005066CA"/>
    <w:rsid w:val="005068C7"/>
    <w:rsid w:val="00506B4D"/>
    <w:rsid w:val="00506C29"/>
    <w:rsid w:val="00506E0D"/>
    <w:rsid w:val="00507B14"/>
    <w:rsid w:val="00507DBD"/>
    <w:rsid w:val="0051095B"/>
    <w:rsid w:val="0051176E"/>
    <w:rsid w:val="0051214C"/>
    <w:rsid w:val="0051230C"/>
    <w:rsid w:val="005124EA"/>
    <w:rsid w:val="00512580"/>
    <w:rsid w:val="00512C16"/>
    <w:rsid w:val="00512F87"/>
    <w:rsid w:val="0051391B"/>
    <w:rsid w:val="00513E19"/>
    <w:rsid w:val="00514471"/>
    <w:rsid w:val="00514C70"/>
    <w:rsid w:val="00515742"/>
    <w:rsid w:val="00515D21"/>
    <w:rsid w:val="00515D44"/>
    <w:rsid w:val="00516BF5"/>
    <w:rsid w:val="00517440"/>
    <w:rsid w:val="00517B69"/>
    <w:rsid w:val="00517D69"/>
    <w:rsid w:val="0052003A"/>
    <w:rsid w:val="00520060"/>
    <w:rsid w:val="005205B0"/>
    <w:rsid w:val="005207C0"/>
    <w:rsid w:val="00520B44"/>
    <w:rsid w:val="005211F9"/>
    <w:rsid w:val="00521395"/>
    <w:rsid w:val="00522397"/>
    <w:rsid w:val="005226CD"/>
    <w:rsid w:val="00522AA0"/>
    <w:rsid w:val="00522D2E"/>
    <w:rsid w:val="00522DE9"/>
    <w:rsid w:val="00523356"/>
    <w:rsid w:val="00524003"/>
    <w:rsid w:val="0052420C"/>
    <w:rsid w:val="00524381"/>
    <w:rsid w:val="00524592"/>
    <w:rsid w:val="00524C86"/>
    <w:rsid w:val="005256B9"/>
    <w:rsid w:val="00525839"/>
    <w:rsid w:val="00525CD0"/>
    <w:rsid w:val="005260D2"/>
    <w:rsid w:val="00527601"/>
    <w:rsid w:val="005278F8"/>
    <w:rsid w:val="00530A97"/>
    <w:rsid w:val="005311AF"/>
    <w:rsid w:val="005312C1"/>
    <w:rsid w:val="00531543"/>
    <w:rsid w:val="00531A7A"/>
    <w:rsid w:val="00531E3B"/>
    <w:rsid w:val="00531E50"/>
    <w:rsid w:val="0053226A"/>
    <w:rsid w:val="005323C1"/>
    <w:rsid w:val="0053289D"/>
    <w:rsid w:val="00532ADB"/>
    <w:rsid w:val="00534E7C"/>
    <w:rsid w:val="0053546C"/>
    <w:rsid w:val="00535539"/>
    <w:rsid w:val="005358C8"/>
    <w:rsid w:val="00535FD6"/>
    <w:rsid w:val="005362B1"/>
    <w:rsid w:val="00536DCD"/>
    <w:rsid w:val="00540D33"/>
    <w:rsid w:val="00541081"/>
    <w:rsid w:val="005424D9"/>
    <w:rsid w:val="00542B71"/>
    <w:rsid w:val="005437BB"/>
    <w:rsid w:val="0054391A"/>
    <w:rsid w:val="005443B8"/>
    <w:rsid w:val="005445ED"/>
    <w:rsid w:val="00544B30"/>
    <w:rsid w:val="00544C5F"/>
    <w:rsid w:val="00544F36"/>
    <w:rsid w:val="00545A57"/>
    <w:rsid w:val="00546930"/>
    <w:rsid w:val="00547AB4"/>
    <w:rsid w:val="00550153"/>
    <w:rsid w:val="005504A7"/>
    <w:rsid w:val="005507BB"/>
    <w:rsid w:val="00550881"/>
    <w:rsid w:val="00550B27"/>
    <w:rsid w:val="00550EC5"/>
    <w:rsid w:val="00550EEF"/>
    <w:rsid w:val="005511C7"/>
    <w:rsid w:val="00552272"/>
    <w:rsid w:val="00552522"/>
    <w:rsid w:val="00552E20"/>
    <w:rsid w:val="00554269"/>
    <w:rsid w:val="005546AD"/>
    <w:rsid w:val="005546EB"/>
    <w:rsid w:val="005548CE"/>
    <w:rsid w:val="00554B6A"/>
    <w:rsid w:val="00554DC3"/>
    <w:rsid w:val="00554F1E"/>
    <w:rsid w:val="00555220"/>
    <w:rsid w:val="005555C6"/>
    <w:rsid w:val="00556A13"/>
    <w:rsid w:val="00556D8B"/>
    <w:rsid w:val="005573DE"/>
    <w:rsid w:val="005578E3"/>
    <w:rsid w:val="00557B94"/>
    <w:rsid w:val="00560620"/>
    <w:rsid w:val="0056065E"/>
    <w:rsid w:val="00560801"/>
    <w:rsid w:val="00561556"/>
    <w:rsid w:val="00561AE5"/>
    <w:rsid w:val="005630C0"/>
    <w:rsid w:val="00563CF3"/>
    <w:rsid w:val="005640E8"/>
    <w:rsid w:val="0056431A"/>
    <w:rsid w:val="005647BA"/>
    <w:rsid w:val="00564E78"/>
    <w:rsid w:val="00565420"/>
    <w:rsid w:val="00565553"/>
    <w:rsid w:val="00565939"/>
    <w:rsid w:val="00565D42"/>
    <w:rsid w:val="005661A4"/>
    <w:rsid w:val="005661CA"/>
    <w:rsid w:val="005668FC"/>
    <w:rsid w:val="00566D69"/>
    <w:rsid w:val="00567560"/>
    <w:rsid w:val="00567A90"/>
    <w:rsid w:val="00567EB4"/>
    <w:rsid w:val="00571034"/>
    <w:rsid w:val="00571041"/>
    <w:rsid w:val="005714BE"/>
    <w:rsid w:val="0057161D"/>
    <w:rsid w:val="00571CFE"/>
    <w:rsid w:val="00571EC9"/>
    <w:rsid w:val="00571EE4"/>
    <w:rsid w:val="00571F27"/>
    <w:rsid w:val="00573B13"/>
    <w:rsid w:val="00573E7E"/>
    <w:rsid w:val="00574919"/>
    <w:rsid w:val="00574B35"/>
    <w:rsid w:val="0057598A"/>
    <w:rsid w:val="00577B44"/>
    <w:rsid w:val="0058165E"/>
    <w:rsid w:val="00581C90"/>
    <w:rsid w:val="00581ECA"/>
    <w:rsid w:val="005823B6"/>
    <w:rsid w:val="00582D72"/>
    <w:rsid w:val="00583C66"/>
    <w:rsid w:val="00583DBC"/>
    <w:rsid w:val="00583EEF"/>
    <w:rsid w:val="00584517"/>
    <w:rsid w:val="005845F9"/>
    <w:rsid w:val="00584722"/>
    <w:rsid w:val="005859BD"/>
    <w:rsid w:val="00585E0B"/>
    <w:rsid w:val="00586187"/>
    <w:rsid w:val="0058688A"/>
    <w:rsid w:val="005868E1"/>
    <w:rsid w:val="005874FF"/>
    <w:rsid w:val="005879FC"/>
    <w:rsid w:val="00587ACD"/>
    <w:rsid w:val="00590897"/>
    <w:rsid w:val="0059102F"/>
    <w:rsid w:val="005911AC"/>
    <w:rsid w:val="00591477"/>
    <w:rsid w:val="0059173F"/>
    <w:rsid w:val="005922E5"/>
    <w:rsid w:val="00592731"/>
    <w:rsid w:val="00592EDD"/>
    <w:rsid w:val="00593649"/>
    <w:rsid w:val="00595807"/>
    <w:rsid w:val="00595A6B"/>
    <w:rsid w:val="00596A6C"/>
    <w:rsid w:val="00596AFC"/>
    <w:rsid w:val="00596FCA"/>
    <w:rsid w:val="00597112"/>
    <w:rsid w:val="005A0195"/>
    <w:rsid w:val="005A0269"/>
    <w:rsid w:val="005A046E"/>
    <w:rsid w:val="005A0F70"/>
    <w:rsid w:val="005A229E"/>
    <w:rsid w:val="005A2E68"/>
    <w:rsid w:val="005A344A"/>
    <w:rsid w:val="005A3D77"/>
    <w:rsid w:val="005A4204"/>
    <w:rsid w:val="005A4539"/>
    <w:rsid w:val="005A4EC3"/>
    <w:rsid w:val="005A57D4"/>
    <w:rsid w:val="005A5F35"/>
    <w:rsid w:val="005A615B"/>
    <w:rsid w:val="005A6AC5"/>
    <w:rsid w:val="005A76B0"/>
    <w:rsid w:val="005A7B92"/>
    <w:rsid w:val="005A7F9A"/>
    <w:rsid w:val="005B0256"/>
    <w:rsid w:val="005B0270"/>
    <w:rsid w:val="005B0284"/>
    <w:rsid w:val="005B03D3"/>
    <w:rsid w:val="005B0553"/>
    <w:rsid w:val="005B06AC"/>
    <w:rsid w:val="005B085B"/>
    <w:rsid w:val="005B0DB6"/>
    <w:rsid w:val="005B1E59"/>
    <w:rsid w:val="005B2374"/>
    <w:rsid w:val="005B26F8"/>
    <w:rsid w:val="005B2CE3"/>
    <w:rsid w:val="005B3C37"/>
    <w:rsid w:val="005B4820"/>
    <w:rsid w:val="005B4A7B"/>
    <w:rsid w:val="005B5054"/>
    <w:rsid w:val="005B506A"/>
    <w:rsid w:val="005B51B8"/>
    <w:rsid w:val="005B58FF"/>
    <w:rsid w:val="005B5BB0"/>
    <w:rsid w:val="005B619B"/>
    <w:rsid w:val="005B6A8B"/>
    <w:rsid w:val="005B6B42"/>
    <w:rsid w:val="005B70E5"/>
    <w:rsid w:val="005C02D9"/>
    <w:rsid w:val="005C08AC"/>
    <w:rsid w:val="005C0A35"/>
    <w:rsid w:val="005C133D"/>
    <w:rsid w:val="005C1509"/>
    <w:rsid w:val="005C189E"/>
    <w:rsid w:val="005C1A80"/>
    <w:rsid w:val="005C2A86"/>
    <w:rsid w:val="005C2C8D"/>
    <w:rsid w:val="005C300E"/>
    <w:rsid w:val="005C4387"/>
    <w:rsid w:val="005C4DC4"/>
    <w:rsid w:val="005C4F65"/>
    <w:rsid w:val="005C5306"/>
    <w:rsid w:val="005C54B2"/>
    <w:rsid w:val="005C575F"/>
    <w:rsid w:val="005C5EAD"/>
    <w:rsid w:val="005C61E9"/>
    <w:rsid w:val="005D196F"/>
    <w:rsid w:val="005D2082"/>
    <w:rsid w:val="005D2411"/>
    <w:rsid w:val="005D2764"/>
    <w:rsid w:val="005D3209"/>
    <w:rsid w:val="005D3D68"/>
    <w:rsid w:val="005D450F"/>
    <w:rsid w:val="005D4906"/>
    <w:rsid w:val="005D5557"/>
    <w:rsid w:val="005D7E20"/>
    <w:rsid w:val="005E0507"/>
    <w:rsid w:val="005E0A0B"/>
    <w:rsid w:val="005E1A88"/>
    <w:rsid w:val="005E1D35"/>
    <w:rsid w:val="005E318B"/>
    <w:rsid w:val="005E338B"/>
    <w:rsid w:val="005E3F5F"/>
    <w:rsid w:val="005E42B4"/>
    <w:rsid w:val="005E448E"/>
    <w:rsid w:val="005E587D"/>
    <w:rsid w:val="005E6018"/>
    <w:rsid w:val="005E62DC"/>
    <w:rsid w:val="005E70F6"/>
    <w:rsid w:val="005E7522"/>
    <w:rsid w:val="005F00BE"/>
    <w:rsid w:val="005F06A6"/>
    <w:rsid w:val="005F07CF"/>
    <w:rsid w:val="005F18C7"/>
    <w:rsid w:val="005F2634"/>
    <w:rsid w:val="005F3C37"/>
    <w:rsid w:val="005F3EC4"/>
    <w:rsid w:val="005F4322"/>
    <w:rsid w:val="005F47DE"/>
    <w:rsid w:val="005F4E92"/>
    <w:rsid w:val="005F5555"/>
    <w:rsid w:val="005F5B4C"/>
    <w:rsid w:val="005F5F01"/>
    <w:rsid w:val="005F63CA"/>
    <w:rsid w:val="005F63F5"/>
    <w:rsid w:val="005F65E0"/>
    <w:rsid w:val="005F6B45"/>
    <w:rsid w:val="005F6C0F"/>
    <w:rsid w:val="005F75BD"/>
    <w:rsid w:val="005F7E26"/>
    <w:rsid w:val="006003EE"/>
    <w:rsid w:val="00600596"/>
    <w:rsid w:val="00600A9C"/>
    <w:rsid w:val="006012AD"/>
    <w:rsid w:val="006016F3"/>
    <w:rsid w:val="00601A98"/>
    <w:rsid w:val="00602528"/>
    <w:rsid w:val="00602CEF"/>
    <w:rsid w:val="006037C4"/>
    <w:rsid w:val="00603989"/>
    <w:rsid w:val="0060402A"/>
    <w:rsid w:val="00604DF7"/>
    <w:rsid w:val="006051FE"/>
    <w:rsid w:val="0060536B"/>
    <w:rsid w:val="00605469"/>
    <w:rsid w:val="00605DD9"/>
    <w:rsid w:val="006062E7"/>
    <w:rsid w:val="00606755"/>
    <w:rsid w:val="0061074B"/>
    <w:rsid w:val="006108D2"/>
    <w:rsid w:val="00610A79"/>
    <w:rsid w:val="00611993"/>
    <w:rsid w:val="00612941"/>
    <w:rsid w:val="00612A75"/>
    <w:rsid w:val="00612C9A"/>
    <w:rsid w:val="00613609"/>
    <w:rsid w:val="0061401E"/>
    <w:rsid w:val="00614EF6"/>
    <w:rsid w:val="00615ABC"/>
    <w:rsid w:val="00616927"/>
    <w:rsid w:val="00616A6A"/>
    <w:rsid w:val="00616E37"/>
    <w:rsid w:val="00616FF9"/>
    <w:rsid w:val="00617608"/>
    <w:rsid w:val="00617BCD"/>
    <w:rsid w:val="006200A9"/>
    <w:rsid w:val="006200AD"/>
    <w:rsid w:val="006218A9"/>
    <w:rsid w:val="00622B52"/>
    <w:rsid w:val="00622E1D"/>
    <w:rsid w:val="00623FA0"/>
    <w:rsid w:val="00624D8E"/>
    <w:rsid w:val="00625509"/>
    <w:rsid w:val="006255E7"/>
    <w:rsid w:val="00625AAD"/>
    <w:rsid w:val="006271C5"/>
    <w:rsid w:val="006273C5"/>
    <w:rsid w:val="006274AB"/>
    <w:rsid w:val="0062780F"/>
    <w:rsid w:val="00630200"/>
    <w:rsid w:val="00630A89"/>
    <w:rsid w:val="00630D1C"/>
    <w:rsid w:val="00630ECE"/>
    <w:rsid w:val="0063102B"/>
    <w:rsid w:val="00631CC2"/>
    <w:rsid w:val="0063235E"/>
    <w:rsid w:val="006323EE"/>
    <w:rsid w:val="00632B83"/>
    <w:rsid w:val="00632F06"/>
    <w:rsid w:val="006333CE"/>
    <w:rsid w:val="00633976"/>
    <w:rsid w:val="00633C08"/>
    <w:rsid w:val="00633D86"/>
    <w:rsid w:val="00634043"/>
    <w:rsid w:val="006340E6"/>
    <w:rsid w:val="0063445E"/>
    <w:rsid w:val="00634804"/>
    <w:rsid w:val="00634B5C"/>
    <w:rsid w:val="0063519F"/>
    <w:rsid w:val="006357EA"/>
    <w:rsid w:val="00636153"/>
    <w:rsid w:val="00637469"/>
    <w:rsid w:val="006378C9"/>
    <w:rsid w:val="00640643"/>
    <w:rsid w:val="00641493"/>
    <w:rsid w:val="006414BA"/>
    <w:rsid w:val="00641B49"/>
    <w:rsid w:val="00641B6F"/>
    <w:rsid w:val="00641EDC"/>
    <w:rsid w:val="00641F8D"/>
    <w:rsid w:val="00642802"/>
    <w:rsid w:val="00642B6A"/>
    <w:rsid w:val="00642C13"/>
    <w:rsid w:val="00642DE6"/>
    <w:rsid w:val="00643697"/>
    <w:rsid w:val="00643727"/>
    <w:rsid w:val="006443E6"/>
    <w:rsid w:val="006446A9"/>
    <w:rsid w:val="00645495"/>
    <w:rsid w:val="0064633D"/>
    <w:rsid w:val="006464E4"/>
    <w:rsid w:val="00646A20"/>
    <w:rsid w:val="00646FF7"/>
    <w:rsid w:val="006476BB"/>
    <w:rsid w:val="00647F30"/>
    <w:rsid w:val="00647F83"/>
    <w:rsid w:val="0065031D"/>
    <w:rsid w:val="006505BE"/>
    <w:rsid w:val="0065074B"/>
    <w:rsid w:val="00651471"/>
    <w:rsid w:val="006518B7"/>
    <w:rsid w:val="00651E60"/>
    <w:rsid w:val="00652F72"/>
    <w:rsid w:val="0065329A"/>
    <w:rsid w:val="006535E0"/>
    <w:rsid w:val="00653680"/>
    <w:rsid w:val="00653FC0"/>
    <w:rsid w:val="0065437B"/>
    <w:rsid w:val="00654961"/>
    <w:rsid w:val="00654E08"/>
    <w:rsid w:val="00654ED9"/>
    <w:rsid w:val="00655101"/>
    <w:rsid w:val="0065521B"/>
    <w:rsid w:val="006554D5"/>
    <w:rsid w:val="006563CA"/>
    <w:rsid w:val="00656695"/>
    <w:rsid w:val="00656A75"/>
    <w:rsid w:val="006574AC"/>
    <w:rsid w:val="00657738"/>
    <w:rsid w:val="00660102"/>
    <w:rsid w:val="00660316"/>
    <w:rsid w:val="006603E1"/>
    <w:rsid w:val="00660C1A"/>
    <w:rsid w:val="00662AA5"/>
    <w:rsid w:val="00663619"/>
    <w:rsid w:val="00663DAE"/>
    <w:rsid w:val="00664136"/>
    <w:rsid w:val="006642C5"/>
    <w:rsid w:val="00664323"/>
    <w:rsid w:val="00664329"/>
    <w:rsid w:val="00664A41"/>
    <w:rsid w:val="00664F46"/>
    <w:rsid w:val="006655D5"/>
    <w:rsid w:val="00665C93"/>
    <w:rsid w:val="00666239"/>
    <w:rsid w:val="00666619"/>
    <w:rsid w:val="00667312"/>
    <w:rsid w:val="0066751A"/>
    <w:rsid w:val="0066780E"/>
    <w:rsid w:val="00670512"/>
    <w:rsid w:val="00670ADD"/>
    <w:rsid w:val="00671C62"/>
    <w:rsid w:val="00671CFD"/>
    <w:rsid w:val="00671ED4"/>
    <w:rsid w:val="0067276C"/>
    <w:rsid w:val="00672915"/>
    <w:rsid w:val="0067319A"/>
    <w:rsid w:val="006735BC"/>
    <w:rsid w:val="00675297"/>
    <w:rsid w:val="0067560C"/>
    <w:rsid w:val="00675F9C"/>
    <w:rsid w:val="0067618E"/>
    <w:rsid w:val="0067643F"/>
    <w:rsid w:val="006764B5"/>
    <w:rsid w:val="00676B93"/>
    <w:rsid w:val="006775DF"/>
    <w:rsid w:val="00677ACB"/>
    <w:rsid w:val="00680084"/>
    <w:rsid w:val="00680280"/>
    <w:rsid w:val="006808A0"/>
    <w:rsid w:val="00680B76"/>
    <w:rsid w:val="00680C16"/>
    <w:rsid w:val="00681B31"/>
    <w:rsid w:val="00682841"/>
    <w:rsid w:val="00682B43"/>
    <w:rsid w:val="00682E37"/>
    <w:rsid w:val="00682F8C"/>
    <w:rsid w:val="0068303B"/>
    <w:rsid w:val="0068312B"/>
    <w:rsid w:val="0068341C"/>
    <w:rsid w:val="006834E2"/>
    <w:rsid w:val="0068419D"/>
    <w:rsid w:val="006842D6"/>
    <w:rsid w:val="00684357"/>
    <w:rsid w:val="006844DB"/>
    <w:rsid w:val="0068540F"/>
    <w:rsid w:val="00685684"/>
    <w:rsid w:val="00685EEB"/>
    <w:rsid w:val="006861AA"/>
    <w:rsid w:val="00686779"/>
    <w:rsid w:val="00686ABF"/>
    <w:rsid w:val="00686BBB"/>
    <w:rsid w:val="0068711B"/>
    <w:rsid w:val="00687368"/>
    <w:rsid w:val="006878FC"/>
    <w:rsid w:val="00690B46"/>
    <w:rsid w:val="00690BEB"/>
    <w:rsid w:val="00691A2B"/>
    <w:rsid w:val="00692059"/>
    <w:rsid w:val="00692630"/>
    <w:rsid w:val="00692D1B"/>
    <w:rsid w:val="00693275"/>
    <w:rsid w:val="00694646"/>
    <w:rsid w:val="0069470E"/>
    <w:rsid w:val="00694741"/>
    <w:rsid w:val="00694D1B"/>
    <w:rsid w:val="00694DF5"/>
    <w:rsid w:val="00695F7E"/>
    <w:rsid w:val="006960D3"/>
    <w:rsid w:val="0069662D"/>
    <w:rsid w:val="006974EA"/>
    <w:rsid w:val="00697D65"/>
    <w:rsid w:val="006A105B"/>
    <w:rsid w:val="006A1AC3"/>
    <w:rsid w:val="006A26E0"/>
    <w:rsid w:val="006A3366"/>
    <w:rsid w:val="006A3FD7"/>
    <w:rsid w:val="006A4242"/>
    <w:rsid w:val="006A445C"/>
    <w:rsid w:val="006A50B6"/>
    <w:rsid w:val="006A5A69"/>
    <w:rsid w:val="006A5DC5"/>
    <w:rsid w:val="006A7BAA"/>
    <w:rsid w:val="006A7EEB"/>
    <w:rsid w:val="006B0170"/>
    <w:rsid w:val="006B0897"/>
    <w:rsid w:val="006B157B"/>
    <w:rsid w:val="006B1C2E"/>
    <w:rsid w:val="006B228A"/>
    <w:rsid w:val="006B22D6"/>
    <w:rsid w:val="006B29B0"/>
    <w:rsid w:val="006B2D18"/>
    <w:rsid w:val="006B31FC"/>
    <w:rsid w:val="006B36A9"/>
    <w:rsid w:val="006B3AF3"/>
    <w:rsid w:val="006B3D68"/>
    <w:rsid w:val="006B4372"/>
    <w:rsid w:val="006B5655"/>
    <w:rsid w:val="006B6615"/>
    <w:rsid w:val="006B66F9"/>
    <w:rsid w:val="006B707E"/>
    <w:rsid w:val="006B7C32"/>
    <w:rsid w:val="006C0597"/>
    <w:rsid w:val="006C0909"/>
    <w:rsid w:val="006C10A3"/>
    <w:rsid w:val="006C15A3"/>
    <w:rsid w:val="006C15FB"/>
    <w:rsid w:val="006C1614"/>
    <w:rsid w:val="006C16F5"/>
    <w:rsid w:val="006C18EE"/>
    <w:rsid w:val="006C4395"/>
    <w:rsid w:val="006C4E05"/>
    <w:rsid w:val="006C5327"/>
    <w:rsid w:val="006C5D9E"/>
    <w:rsid w:val="006C6346"/>
    <w:rsid w:val="006C6460"/>
    <w:rsid w:val="006C6D29"/>
    <w:rsid w:val="006C6E51"/>
    <w:rsid w:val="006C7EDF"/>
    <w:rsid w:val="006C7F85"/>
    <w:rsid w:val="006D0418"/>
    <w:rsid w:val="006D135E"/>
    <w:rsid w:val="006D1710"/>
    <w:rsid w:val="006D1FD3"/>
    <w:rsid w:val="006D2147"/>
    <w:rsid w:val="006D234A"/>
    <w:rsid w:val="006D2FC7"/>
    <w:rsid w:val="006D301B"/>
    <w:rsid w:val="006D3373"/>
    <w:rsid w:val="006D35EE"/>
    <w:rsid w:val="006D3DCB"/>
    <w:rsid w:val="006D3EA0"/>
    <w:rsid w:val="006D43E3"/>
    <w:rsid w:val="006D45B1"/>
    <w:rsid w:val="006D48F2"/>
    <w:rsid w:val="006D491E"/>
    <w:rsid w:val="006D5190"/>
    <w:rsid w:val="006D5207"/>
    <w:rsid w:val="006D5467"/>
    <w:rsid w:val="006D57FB"/>
    <w:rsid w:val="006D5DCD"/>
    <w:rsid w:val="006E0984"/>
    <w:rsid w:val="006E102E"/>
    <w:rsid w:val="006E2717"/>
    <w:rsid w:val="006E2CAF"/>
    <w:rsid w:val="006E2DBF"/>
    <w:rsid w:val="006E30DC"/>
    <w:rsid w:val="006E4B23"/>
    <w:rsid w:val="006E502C"/>
    <w:rsid w:val="006E5A49"/>
    <w:rsid w:val="006E5C19"/>
    <w:rsid w:val="006E65EC"/>
    <w:rsid w:val="006E6B6B"/>
    <w:rsid w:val="006E7178"/>
    <w:rsid w:val="006E75FF"/>
    <w:rsid w:val="006F010B"/>
    <w:rsid w:val="006F06A5"/>
    <w:rsid w:val="006F0A58"/>
    <w:rsid w:val="006F0BCA"/>
    <w:rsid w:val="006F0D30"/>
    <w:rsid w:val="006F1071"/>
    <w:rsid w:val="006F12D2"/>
    <w:rsid w:val="006F1E82"/>
    <w:rsid w:val="006F2C6B"/>
    <w:rsid w:val="006F3296"/>
    <w:rsid w:val="006F3CEF"/>
    <w:rsid w:val="006F569E"/>
    <w:rsid w:val="006F5CA9"/>
    <w:rsid w:val="006F71D8"/>
    <w:rsid w:val="006F75D1"/>
    <w:rsid w:val="00702E7E"/>
    <w:rsid w:val="007032B0"/>
    <w:rsid w:val="00703440"/>
    <w:rsid w:val="00703761"/>
    <w:rsid w:val="00704479"/>
    <w:rsid w:val="007050BD"/>
    <w:rsid w:val="00705F31"/>
    <w:rsid w:val="00705FDE"/>
    <w:rsid w:val="0070619E"/>
    <w:rsid w:val="007063FA"/>
    <w:rsid w:val="007068A0"/>
    <w:rsid w:val="00707415"/>
    <w:rsid w:val="00707776"/>
    <w:rsid w:val="00707DAA"/>
    <w:rsid w:val="00707F98"/>
    <w:rsid w:val="0071032B"/>
    <w:rsid w:val="00710B5E"/>
    <w:rsid w:val="007112C8"/>
    <w:rsid w:val="00711B56"/>
    <w:rsid w:val="00711C93"/>
    <w:rsid w:val="00712636"/>
    <w:rsid w:val="00713B83"/>
    <w:rsid w:val="0071468C"/>
    <w:rsid w:val="0071499E"/>
    <w:rsid w:val="00714B26"/>
    <w:rsid w:val="0071582F"/>
    <w:rsid w:val="00716587"/>
    <w:rsid w:val="00716604"/>
    <w:rsid w:val="007168D9"/>
    <w:rsid w:val="00716F5A"/>
    <w:rsid w:val="00717A8D"/>
    <w:rsid w:val="00720041"/>
    <w:rsid w:val="00720539"/>
    <w:rsid w:val="0072068E"/>
    <w:rsid w:val="0072096C"/>
    <w:rsid w:val="007242E7"/>
    <w:rsid w:val="007253F7"/>
    <w:rsid w:val="0072576B"/>
    <w:rsid w:val="007258DF"/>
    <w:rsid w:val="00725E9A"/>
    <w:rsid w:val="00726162"/>
    <w:rsid w:val="00726366"/>
    <w:rsid w:val="0072637B"/>
    <w:rsid w:val="00726AAA"/>
    <w:rsid w:val="00726F77"/>
    <w:rsid w:val="00727116"/>
    <w:rsid w:val="00727864"/>
    <w:rsid w:val="0073063D"/>
    <w:rsid w:val="00730C35"/>
    <w:rsid w:val="00731501"/>
    <w:rsid w:val="00731914"/>
    <w:rsid w:val="00731978"/>
    <w:rsid w:val="00731B97"/>
    <w:rsid w:val="00731E5D"/>
    <w:rsid w:val="00732133"/>
    <w:rsid w:val="0073221D"/>
    <w:rsid w:val="007327AD"/>
    <w:rsid w:val="00732AE5"/>
    <w:rsid w:val="00734B05"/>
    <w:rsid w:val="00734BAD"/>
    <w:rsid w:val="007355BC"/>
    <w:rsid w:val="007360C8"/>
    <w:rsid w:val="007367C9"/>
    <w:rsid w:val="00736ABA"/>
    <w:rsid w:val="00737447"/>
    <w:rsid w:val="0073747D"/>
    <w:rsid w:val="00740B52"/>
    <w:rsid w:val="007411CA"/>
    <w:rsid w:val="00741690"/>
    <w:rsid w:val="007417B9"/>
    <w:rsid w:val="00742084"/>
    <w:rsid w:val="007421F4"/>
    <w:rsid w:val="00742232"/>
    <w:rsid w:val="00742314"/>
    <w:rsid w:val="007423B3"/>
    <w:rsid w:val="00742484"/>
    <w:rsid w:val="00742D22"/>
    <w:rsid w:val="00743002"/>
    <w:rsid w:val="00743364"/>
    <w:rsid w:val="0074343E"/>
    <w:rsid w:val="0074417C"/>
    <w:rsid w:val="007441D9"/>
    <w:rsid w:val="00744AF3"/>
    <w:rsid w:val="00744E4A"/>
    <w:rsid w:val="0074501A"/>
    <w:rsid w:val="007459FA"/>
    <w:rsid w:val="00745BE7"/>
    <w:rsid w:val="00745DD3"/>
    <w:rsid w:val="007466D2"/>
    <w:rsid w:val="0074682F"/>
    <w:rsid w:val="007468A3"/>
    <w:rsid w:val="00746CA6"/>
    <w:rsid w:val="00747913"/>
    <w:rsid w:val="007479E5"/>
    <w:rsid w:val="00747C3F"/>
    <w:rsid w:val="0075029A"/>
    <w:rsid w:val="0075125A"/>
    <w:rsid w:val="00751337"/>
    <w:rsid w:val="00752CB6"/>
    <w:rsid w:val="0075328E"/>
    <w:rsid w:val="00753EED"/>
    <w:rsid w:val="00754D73"/>
    <w:rsid w:val="0075516D"/>
    <w:rsid w:val="0075538C"/>
    <w:rsid w:val="00755A3C"/>
    <w:rsid w:val="00755E1B"/>
    <w:rsid w:val="00755FA4"/>
    <w:rsid w:val="007566D4"/>
    <w:rsid w:val="0075720B"/>
    <w:rsid w:val="00757C00"/>
    <w:rsid w:val="00757C36"/>
    <w:rsid w:val="00760139"/>
    <w:rsid w:val="00760193"/>
    <w:rsid w:val="00760943"/>
    <w:rsid w:val="00760DDA"/>
    <w:rsid w:val="00761C14"/>
    <w:rsid w:val="0076248D"/>
    <w:rsid w:val="007624C8"/>
    <w:rsid w:val="007628F0"/>
    <w:rsid w:val="00763318"/>
    <w:rsid w:val="00763711"/>
    <w:rsid w:val="00763D03"/>
    <w:rsid w:val="00765068"/>
    <w:rsid w:val="00766A07"/>
    <w:rsid w:val="0077048C"/>
    <w:rsid w:val="00770A4D"/>
    <w:rsid w:val="00770A92"/>
    <w:rsid w:val="00771199"/>
    <w:rsid w:val="007717B3"/>
    <w:rsid w:val="00771C6B"/>
    <w:rsid w:val="0077319D"/>
    <w:rsid w:val="00773CA0"/>
    <w:rsid w:val="00774030"/>
    <w:rsid w:val="0077474E"/>
    <w:rsid w:val="00774961"/>
    <w:rsid w:val="00774D38"/>
    <w:rsid w:val="00774D6E"/>
    <w:rsid w:val="00775394"/>
    <w:rsid w:val="007757F9"/>
    <w:rsid w:val="00775D0B"/>
    <w:rsid w:val="00775DFE"/>
    <w:rsid w:val="007768D9"/>
    <w:rsid w:val="00777205"/>
    <w:rsid w:val="00777871"/>
    <w:rsid w:val="00780703"/>
    <w:rsid w:val="00781445"/>
    <w:rsid w:val="0078174A"/>
    <w:rsid w:val="00782DC7"/>
    <w:rsid w:val="00782F44"/>
    <w:rsid w:val="00784124"/>
    <w:rsid w:val="00785563"/>
    <w:rsid w:val="007855AF"/>
    <w:rsid w:val="007857AC"/>
    <w:rsid w:val="00785CC9"/>
    <w:rsid w:val="007863D4"/>
    <w:rsid w:val="00787003"/>
    <w:rsid w:val="0078707E"/>
    <w:rsid w:val="00787128"/>
    <w:rsid w:val="0078749B"/>
    <w:rsid w:val="007875C0"/>
    <w:rsid w:val="007877EC"/>
    <w:rsid w:val="007878B2"/>
    <w:rsid w:val="00787A61"/>
    <w:rsid w:val="007900DC"/>
    <w:rsid w:val="00792136"/>
    <w:rsid w:val="007924F5"/>
    <w:rsid w:val="00792603"/>
    <w:rsid w:val="00793ACF"/>
    <w:rsid w:val="00793DED"/>
    <w:rsid w:val="00794CCE"/>
    <w:rsid w:val="00795224"/>
    <w:rsid w:val="007954F8"/>
    <w:rsid w:val="00796601"/>
    <w:rsid w:val="0079678F"/>
    <w:rsid w:val="00796C58"/>
    <w:rsid w:val="0079702A"/>
    <w:rsid w:val="00797044"/>
    <w:rsid w:val="007A0A5C"/>
    <w:rsid w:val="007A1128"/>
    <w:rsid w:val="007A17B1"/>
    <w:rsid w:val="007A1B09"/>
    <w:rsid w:val="007A24A8"/>
    <w:rsid w:val="007A3587"/>
    <w:rsid w:val="007A3B75"/>
    <w:rsid w:val="007A45DB"/>
    <w:rsid w:val="007A4C55"/>
    <w:rsid w:val="007A4EBD"/>
    <w:rsid w:val="007A4F05"/>
    <w:rsid w:val="007A62B0"/>
    <w:rsid w:val="007A6F84"/>
    <w:rsid w:val="007B00DC"/>
    <w:rsid w:val="007B0DEC"/>
    <w:rsid w:val="007B1169"/>
    <w:rsid w:val="007B1DC9"/>
    <w:rsid w:val="007B261F"/>
    <w:rsid w:val="007B2A88"/>
    <w:rsid w:val="007B2E97"/>
    <w:rsid w:val="007B3714"/>
    <w:rsid w:val="007B3771"/>
    <w:rsid w:val="007B490B"/>
    <w:rsid w:val="007B535F"/>
    <w:rsid w:val="007B5777"/>
    <w:rsid w:val="007B5D02"/>
    <w:rsid w:val="007B63A4"/>
    <w:rsid w:val="007B64EF"/>
    <w:rsid w:val="007B64F7"/>
    <w:rsid w:val="007B6549"/>
    <w:rsid w:val="007B655B"/>
    <w:rsid w:val="007B6614"/>
    <w:rsid w:val="007B69B1"/>
    <w:rsid w:val="007B759C"/>
    <w:rsid w:val="007C03FE"/>
    <w:rsid w:val="007C0845"/>
    <w:rsid w:val="007C166C"/>
    <w:rsid w:val="007C21DE"/>
    <w:rsid w:val="007C2662"/>
    <w:rsid w:val="007C2DC3"/>
    <w:rsid w:val="007C3C9F"/>
    <w:rsid w:val="007C3E20"/>
    <w:rsid w:val="007C3ED7"/>
    <w:rsid w:val="007C466F"/>
    <w:rsid w:val="007C4B7E"/>
    <w:rsid w:val="007C4DBA"/>
    <w:rsid w:val="007C4FF1"/>
    <w:rsid w:val="007C5A4F"/>
    <w:rsid w:val="007C5ACD"/>
    <w:rsid w:val="007C5ED1"/>
    <w:rsid w:val="007C6EC9"/>
    <w:rsid w:val="007C71E9"/>
    <w:rsid w:val="007C7953"/>
    <w:rsid w:val="007C7B37"/>
    <w:rsid w:val="007D02DA"/>
    <w:rsid w:val="007D1F70"/>
    <w:rsid w:val="007D2D7D"/>
    <w:rsid w:val="007D2E52"/>
    <w:rsid w:val="007D31EF"/>
    <w:rsid w:val="007D3A14"/>
    <w:rsid w:val="007D3E34"/>
    <w:rsid w:val="007D4100"/>
    <w:rsid w:val="007D4165"/>
    <w:rsid w:val="007D460D"/>
    <w:rsid w:val="007D4BE9"/>
    <w:rsid w:val="007D503A"/>
    <w:rsid w:val="007D5476"/>
    <w:rsid w:val="007D58D4"/>
    <w:rsid w:val="007D5FFA"/>
    <w:rsid w:val="007D69F5"/>
    <w:rsid w:val="007D76DC"/>
    <w:rsid w:val="007D7772"/>
    <w:rsid w:val="007D78F8"/>
    <w:rsid w:val="007D7FCE"/>
    <w:rsid w:val="007E0217"/>
    <w:rsid w:val="007E0D82"/>
    <w:rsid w:val="007E0DF3"/>
    <w:rsid w:val="007E1306"/>
    <w:rsid w:val="007E1CDD"/>
    <w:rsid w:val="007E2161"/>
    <w:rsid w:val="007E31C4"/>
    <w:rsid w:val="007E3503"/>
    <w:rsid w:val="007E3B56"/>
    <w:rsid w:val="007E4273"/>
    <w:rsid w:val="007E46EF"/>
    <w:rsid w:val="007E4770"/>
    <w:rsid w:val="007E4F08"/>
    <w:rsid w:val="007E5132"/>
    <w:rsid w:val="007E6461"/>
    <w:rsid w:val="007E71BD"/>
    <w:rsid w:val="007E73B9"/>
    <w:rsid w:val="007E77DA"/>
    <w:rsid w:val="007E7D28"/>
    <w:rsid w:val="007F01DA"/>
    <w:rsid w:val="007F0D46"/>
    <w:rsid w:val="007F1F8D"/>
    <w:rsid w:val="007F222F"/>
    <w:rsid w:val="007F22A8"/>
    <w:rsid w:val="007F2307"/>
    <w:rsid w:val="007F23EC"/>
    <w:rsid w:val="007F26A1"/>
    <w:rsid w:val="007F4621"/>
    <w:rsid w:val="007F4A68"/>
    <w:rsid w:val="007F5B29"/>
    <w:rsid w:val="007F75E6"/>
    <w:rsid w:val="007F7654"/>
    <w:rsid w:val="007F79C3"/>
    <w:rsid w:val="007F7FE7"/>
    <w:rsid w:val="008006F4"/>
    <w:rsid w:val="00800C84"/>
    <w:rsid w:val="00800D32"/>
    <w:rsid w:val="0080194C"/>
    <w:rsid w:val="008027FF"/>
    <w:rsid w:val="00804CAE"/>
    <w:rsid w:val="00804D37"/>
    <w:rsid w:val="00804DAC"/>
    <w:rsid w:val="00804EE2"/>
    <w:rsid w:val="008051A0"/>
    <w:rsid w:val="00806DA4"/>
    <w:rsid w:val="0080760C"/>
    <w:rsid w:val="008077C7"/>
    <w:rsid w:val="00807ADF"/>
    <w:rsid w:val="008100EA"/>
    <w:rsid w:val="008104AD"/>
    <w:rsid w:val="008121C6"/>
    <w:rsid w:val="0081222B"/>
    <w:rsid w:val="00812300"/>
    <w:rsid w:val="00813716"/>
    <w:rsid w:val="008137AD"/>
    <w:rsid w:val="00813E46"/>
    <w:rsid w:val="00814C41"/>
    <w:rsid w:val="0081511C"/>
    <w:rsid w:val="00815D97"/>
    <w:rsid w:val="00815F3C"/>
    <w:rsid w:val="00820009"/>
    <w:rsid w:val="0082005F"/>
    <w:rsid w:val="00820930"/>
    <w:rsid w:val="00820B00"/>
    <w:rsid w:val="00820B7B"/>
    <w:rsid w:val="00820BFE"/>
    <w:rsid w:val="0082142F"/>
    <w:rsid w:val="0082167A"/>
    <w:rsid w:val="008229EE"/>
    <w:rsid w:val="00822DEF"/>
    <w:rsid w:val="00822EE3"/>
    <w:rsid w:val="0082354E"/>
    <w:rsid w:val="00823635"/>
    <w:rsid w:val="0082387B"/>
    <w:rsid w:val="008245ED"/>
    <w:rsid w:val="00824837"/>
    <w:rsid w:val="00824B9C"/>
    <w:rsid w:val="00824C4D"/>
    <w:rsid w:val="00825680"/>
    <w:rsid w:val="00825857"/>
    <w:rsid w:val="008261C4"/>
    <w:rsid w:val="00826434"/>
    <w:rsid w:val="00826DC5"/>
    <w:rsid w:val="008273C1"/>
    <w:rsid w:val="00827559"/>
    <w:rsid w:val="00827568"/>
    <w:rsid w:val="00827A85"/>
    <w:rsid w:val="0083052B"/>
    <w:rsid w:val="00830DD9"/>
    <w:rsid w:val="00830F2A"/>
    <w:rsid w:val="00830F56"/>
    <w:rsid w:val="00833620"/>
    <w:rsid w:val="00833DDF"/>
    <w:rsid w:val="0083408E"/>
    <w:rsid w:val="00834CE1"/>
    <w:rsid w:val="00834ED7"/>
    <w:rsid w:val="008350BC"/>
    <w:rsid w:val="00835CD2"/>
    <w:rsid w:val="00835DC8"/>
    <w:rsid w:val="00836EEB"/>
    <w:rsid w:val="00837664"/>
    <w:rsid w:val="00841246"/>
    <w:rsid w:val="0084141D"/>
    <w:rsid w:val="00841AB2"/>
    <w:rsid w:val="00841B7C"/>
    <w:rsid w:val="00841C5C"/>
    <w:rsid w:val="00842B0F"/>
    <w:rsid w:val="00843384"/>
    <w:rsid w:val="00843A0E"/>
    <w:rsid w:val="00844344"/>
    <w:rsid w:val="008454B0"/>
    <w:rsid w:val="0084573E"/>
    <w:rsid w:val="0084778E"/>
    <w:rsid w:val="00847A4A"/>
    <w:rsid w:val="00847A5B"/>
    <w:rsid w:val="00847C94"/>
    <w:rsid w:val="00847E9B"/>
    <w:rsid w:val="00850275"/>
    <w:rsid w:val="008506CA"/>
    <w:rsid w:val="00850A21"/>
    <w:rsid w:val="00850DB9"/>
    <w:rsid w:val="0085134A"/>
    <w:rsid w:val="00851EAF"/>
    <w:rsid w:val="00852198"/>
    <w:rsid w:val="00852257"/>
    <w:rsid w:val="0085226A"/>
    <w:rsid w:val="00852540"/>
    <w:rsid w:val="00853442"/>
    <w:rsid w:val="00853C36"/>
    <w:rsid w:val="00854E0D"/>
    <w:rsid w:val="0085567E"/>
    <w:rsid w:val="00855E5C"/>
    <w:rsid w:val="00856228"/>
    <w:rsid w:val="008572F3"/>
    <w:rsid w:val="008574B2"/>
    <w:rsid w:val="008574F9"/>
    <w:rsid w:val="00857B90"/>
    <w:rsid w:val="00857DAD"/>
    <w:rsid w:val="00857E25"/>
    <w:rsid w:val="00860245"/>
    <w:rsid w:val="008605D6"/>
    <w:rsid w:val="00860A33"/>
    <w:rsid w:val="008613DD"/>
    <w:rsid w:val="008623C0"/>
    <w:rsid w:val="0086273B"/>
    <w:rsid w:val="00862F8B"/>
    <w:rsid w:val="0086325F"/>
    <w:rsid w:val="00863278"/>
    <w:rsid w:val="00863BE0"/>
    <w:rsid w:val="008640C4"/>
    <w:rsid w:val="00864150"/>
    <w:rsid w:val="008644F8"/>
    <w:rsid w:val="00864CC4"/>
    <w:rsid w:val="0086659B"/>
    <w:rsid w:val="00866A23"/>
    <w:rsid w:val="0087023C"/>
    <w:rsid w:val="00870448"/>
    <w:rsid w:val="0087047D"/>
    <w:rsid w:val="00871796"/>
    <w:rsid w:val="00872393"/>
    <w:rsid w:val="008726EB"/>
    <w:rsid w:val="0087301A"/>
    <w:rsid w:val="008731FB"/>
    <w:rsid w:val="00873C6C"/>
    <w:rsid w:val="008743A0"/>
    <w:rsid w:val="008750F6"/>
    <w:rsid w:val="00875D15"/>
    <w:rsid w:val="00875FE6"/>
    <w:rsid w:val="00876B31"/>
    <w:rsid w:val="00876CCF"/>
    <w:rsid w:val="008775AE"/>
    <w:rsid w:val="00877C08"/>
    <w:rsid w:val="0088000A"/>
    <w:rsid w:val="00880324"/>
    <w:rsid w:val="00883ACD"/>
    <w:rsid w:val="008845C2"/>
    <w:rsid w:val="00884760"/>
    <w:rsid w:val="00884A22"/>
    <w:rsid w:val="00884C58"/>
    <w:rsid w:val="0088546B"/>
    <w:rsid w:val="008855F2"/>
    <w:rsid w:val="008857EC"/>
    <w:rsid w:val="0088764B"/>
    <w:rsid w:val="00887B67"/>
    <w:rsid w:val="00890320"/>
    <w:rsid w:val="00890ABF"/>
    <w:rsid w:val="00890C08"/>
    <w:rsid w:val="00890DA5"/>
    <w:rsid w:val="008911EF"/>
    <w:rsid w:val="00892A36"/>
    <w:rsid w:val="00892A5E"/>
    <w:rsid w:val="00892B10"/>
    <w:rsid w:val="00892B3F"/>
    <w:rsid w:val="00892CF5"/>
    <w:rsid w:val="00893E28"/>
    <w:rsid w:val="008948D0"/>
    <w:rsid w:val="008949E4"/>
    <w:rsid w:val="00894A73"/>
    <w:rsid w:val="00894C1C"/>
    <w:rsid w:val="00894CE5"/>
    <w:rsid w:val="00896865"/>
    <w:rsid w:val="00896C58"/>
    <w:rsid w:val="00896C6D"/>
    <w:rsid w:val="00897678"/>
    <w:rsid w:val="008976FC"/>
    <w:rsid w:val="008A00BD"/>
    <w:rsid w:val="008A1396"/>
    <w:rsid w:val="008A22EF"/>
    <w:rsid w:val="008A23AE"/>
    <w:rsid w:val="008A2434"/>
    <w:rsid w:val="008A36D0"/>
    <w:rsid w:val="008A3787"/>
    <w:rsid w:val="008A4413"/>
    <w:rsid w:val="008A4B1B"/>
    <w:rsid w:val="008A4DB7"/>
    <w:rsid w:val="008A50CB"/>
    <w:rsid w:val="008A565E"/>
    <w:rsid w:val="008A5CDD"/>
    <w:rsid w:val="008A6311"/>
    <w:rsid w:val="008A67D2"/>
    <w:rsid w:val="008A6AF7"/>
    <w:rsid w:val="008A6DA9"/>
    <w:rsid w:val="008A7188"/>
    <w:rsid w:val="008B01A8"/>
    <w:rsid w:val="008B03CC"/>
    <w:rsid w:val="008B12D9"/>
    <w:rsid w:val="008B1398"/>
    <w:rsid w:val="008B20BC"/>
    <w:rsid w:val="008B258E"/>
    <w:rsid w:val="008B2BCF"/>
    <w:rsid w:val="008B34FA"/>
    <w:rsid w:val="008B3979"/>
    <w:rsid w:val="008B3F13"/>
    <w:rsid w:val="008B5308"/>
    <w:rsid w:val="008B53A6"/>
    <w:rsid w:val="008B5EC5"/>
    <w:rsid w:val="008B740B"/>
    <w:rsid w:val="008B7F14"/>
    <w:rsid w:val="008C0805"/>
    <w:rsid w:val="008C095F"/>
    <w:rsid w:val="008C1797"/>
    <w:rsid w:val="008C2FEB"/>
    <w:rsid w:val="008C34B3"/>
    <w:rsid w:val="008C35AD"/>
    <w:rsid w:val="008C36FF"/>
    <w:rsid w:val="008C3ED5"/>
    <w:rsid w:val="008C4048"/>
    <w:rsid w:val="008C421E"/>
    <w:rsid w:val="008C42BE"/>
    <w:rsid w:val="008C5283"/>
    <w:rsid w:val="008C59A3"/>
    <w:rsid w:val="008C60D1"/>
    <w:rsid w:val="008C6237"/>
    <w:rsid w:val="008C62A8"/>
    <w:rsid w:val="008C75C3"/>
    <w:rsid w:val="008C789D"/>
    <w:rsid w:val="008C79D4"/>
    <w:rsid w:val="008C7D79"/>
    <w:rsid w:val="008D1D48"/>
    <w:rsid w:val="008D30E9"/>
    <w:rsid w:val="008D327D"/>
    <w:rsid w:val="008D33E3"/>
    <w:rsid w:val="008D387D"/>
    <w:rsid w:val="008D3AE4"/>
    <w:rsid w:val="008D3B05"/>
    <w:rsid w:val="008D3EA6"/>
    <w:rsid w:val="008D3F72"/>
    <w:rsid w:val="008D41D6"/>
    <w:rsid w:val="008D43C0"/>
    <w:rsid w:val="008D48BE"/>
    <w:rsid w:val="008D4AE6"/>
    <w:rsid w:val="008D57E7"/>
    <w:rsid w:val="008D5B73"/>
    <w:rsid w:val="008D5D7E"/>
    <w:rsid w:val="008D62C2"/>
    <w:rsid w:val="008D632B"/>
    <w:rsid w:val="008D63FA"/>
    <w:rsid w:val="008D678D"/>
    <w:rsid w:val="008D7EA5"/>
    <w:rsid w:val="008E0324"/>
    <w:rsid w:val="008E1369"/>
    <w:rsid w:val="008E1878"/>
    <w:rsid w:val="008E2C91"/>
    <w:rsid w:val="008E320E"/>
    <w:rsid w:val="008E4008"/>
    <w:rsid w:val="008E457E"/>
    <w:rsid w:val="008E4FA7"/>
    <w:rsid w:val="008E5060"/>
    <w:rsid w:val="008E510F"/>
    <w:rsid w:val="008E55D1"/>
    <w:rsid w:val="008E5A03"/>
    <w:rsid w:val="008E5AE6"/>
    <w:rsid w:val="008E5D28"/>
    <w:rsid w:val="008E5F55"/>
    <w:rsid w:val="008E6029"/>
    <w:rsid w:val="008E79B0"/>
    <w:rsid w:val="008F02CD"/>
    <w:rsid w:val="008F0B63"/>
    <w:rsid w:val="008F15DB"/>
    <w:rsid w:val="008F1787"/>
    <w:rsid w:val="008F1CE5"/>
    <w:rsid w:val="008F2158"/>
    <w:rsid w:val="008F26E5"/>
    <w:rsid w:val="008F2E99"/>
    <w:rsid w:val="008F426B"/>
    <w:rsid w:val="008F5703"/>
    <w:rsid w:val="008F5F19"/>
    <w:rsid w:val="008F6193"/>
    <w:rsid w:val="008F6574"/>
    <w:rsid w:val="008F6996"/>
    <w:rsid w:val="008F6E06"/>
    <w:rsid w:val="008F70B4"/>
    <w:rsid w:val="008F79F3"/>
    <w:rsid w:val="008F7DE2"/>
    <w:rsid w:val="008F7E66"/>
    <w:rsid w:val="00900A34"/>
    <w:rsid w:val="0090182F"/>
    <w:rsid w:val="00901E30"/>
    <w:rsid w:val="00901ECB"/>
    <w:rsid w:val="00901F38"/>
    <w:rsid w:val="009022B8"/>
    <w:rsid w:val="0090290C"/>
    <w:rsid w:val="00903119"/>
    <w:rsid w:val="009034DE"/>
    <w:rsid w:val="00903710"/>
    <w:rsid w:val="00904D11"/>
    <w:rsid w:val="00904D28"/>
    <w:rsid w:val="00905185"/>
    <w:rsid w:val="0090615E"/>
    <w:rsid w:val="00906BFB"/>
    <w:rsid w:val="00906DC6"/>
    <w:rsid w:val="00907C5B"/>
    <w:rsid w:val="00907ED6"/>
    <w:rsid w:val="00910F53"/>
    <w:rsid w:val="00911A1A"/>
    <w:rsid w:val="00911E66"/>
    <w:rsid w:val="00911F64"/>
    <w:rsid w:val="0091278E"/>
    <w:rsid w:val="00912E01"/>
    <w:rsid w:val="00913097"/>
    <w:rsid w:val="00913814"/>
    <w:rsid w:val="0091413D"/>
    <w:rsid w:val="009147AB"/>
    <w:rsid w:val="009159BD"/>
    <w:rsid w:val="009166AC"/>
    <w:rsid w:val="009166D5"/>
    <w:rsid w:val="00917835"/>
    <w:rsid w:val="009207E2"/>
    <w:rsid w:val="00921BC2"/>
    <w:rsid w:val="00922812"/>
    <w:rsid w:val="00922C83"/>
    <w:rsid w:val="00922F8E"/>
    <w:rsid w:val="009231DB"/>
    <w:rsid w:val="00923A9B"/>
    <w:rsid w:val="00923E3E"/>
    <w:rsid w:val="009242D5"/>
    <w:rsid w:val="009252A2"/>
    <w:rsid w:val="00926527"/>
    <w:rsid w:val="0092708D"/>
    <w:rsid w:val="00930851"/>
    <w:rsid w:val="009323AA"/>
    <w:rsid w:val="009324B9"/>
    <w:rsid w:val="009331CF"/>
    <w:rsid w:val="009333A1"/>
    <w:rsid w:val="00933504"/>
    <w:rsid w:val="00933B03"/>
    <w:rsid w:val="009349A3"/>
    <w:rsid w:val="009349FF"/>
    <w:rsid w:val="00934B8E"/>
    <w:rsid w:val="009350B0"/>
    <w:rsid w:val="00935B1A"/>
    <w:rsid w:val="0093682F"/>
    <w:rsid w:val="00936839"/>
    <w:rsid w:val="009369BF"/>
    <w:rsid w:val="0094067A"/>
    <w:rsid w:val="00941648"/>
    <w:rsid w:val="00942814"/>
    <w:rsid w:val="009454C9"/>
    <w:rsid w:val="0094562A"/>
    <w:rsid w:val="00945B01"/>
    <w:rsid w:val="00946A28"/>
    <w:rsid w:val="00947142"/>
    <w:rsid w:val="009471D1"/>
    <w:rsid w:val="009475AA"/>
    <w:rsid w:val="00947602"/>
    <w:rsid w:val="0095077C"/>
    <w:rsid w:val="00950C2E"/>
    <w:rsid w:val="009513AE"/>
    <w:rsid w:val="00951EAD"/>
    <w:rsid w:val="00952357"/>
    <w:rsid w:val="00952E4B"/>
    <w:rsid w:val="009539C1"/>
    <w:rsid w:val="00953A2A"/>
    <w:rsid w:val="0095443C"/>
    <w:rsid w:val="009544E3"/>
    <w:rsid w:val="00955013"/>
    <w:rsid w:val="0095571E"/>
    <w:rsid w:val="00955D71"/>
    <w:rsid w:val="009562B7"/>
    <w:rsid w:val="009566CB"/>
    <w:rsid w:val="009569F8"/>
    <w:rsid w:val="00957747"/>
    <w:rsid w:val="00957CF9"/>
    <w:rsid w:val="009608F0"/>
    <w:rsid w:val="00960A74"/>
    <w:rsid w:val="009610C0"/>
    <w:rsid w:val="00961242"/>
    <w:rsid w:val="009618FE"/>
    <w:rsid w:val="00961C86"/>
    <w:rsid w:val="00962BD9"/>
    <w:rsid w:val="00963DFA"/>
    <w:rsid w:val="00965229"/>
    <w:rsid w:val="00965567"/>
    <w:rsid w:val="00965D4E"/>
    <w:rsid w:val="00965D57"/>
    <w:rsid w:val="00965DB9"/>
    <w:rsid w:val="00965E58"/>
    <w:rsid w:val="0096637E"/>
    <w:rsid w:val="00966493"/>
    <w:rsid w:val="00966926"/>
    <w:rsid w:val="00966DBC"/>
    <w:rsid w:val="0096710F"/>
    <w:rsid w:val="0096755A"/>
    <w:rsid w:val="009676A1"/>
    <w:rsid w:val="00967F90"/>
    <w:rsid w:val="009702CA"/>
    <w:rsid w:val="00970E37"/>
    <w:rsid w:val="009711A5"/>
    <w:rsid w:val="009711F7"/>
    <w:rsid w:val="00971B66"/>
    <w:rsid w:val="00971F39"/>
    <w:rsid w:val="009721F4"/>
    <w:rsid w:val="00972403"/>
    <w:rsid w:val="0097253D"/>
    <w:rsid w:val="00972DCA"/>
    <w:rsid w:val="00972FFA"/>
    <w:rsid w:val="00973304"/>
    <w:rsid w:val="00973362"/>
    <w:rsid w:val="00973ABB"/>
    <w:rsid w:val="0097477A"/>
    <w:rsid w:val="009747DB"/>
    <w:rsid w:val="00974ABD"/>
    <w:rsid w:val="009752C6"/>
    <w:rsid w:val="00975659"/>
    <w:rsid w:val="009762D7"/>
    <w:rsid w:val="009769A3"/>
    <w:rsid w:val="00976C8A"/>
    <w:rsid w:val="00976E77"/>
    <w:rsid w:val="00977A1D"/>
    <w:rsid w:val="00977BC5"/>
    <w:rsid w:val="00977DE0"/>
    <w:rsid w:val="00980409"/>
    <w:rsid w:val="00980E9C"/>
    <w:rsid w:val="00980F9E"/>
    <w:rsid w:val="00981291"/>
    <w:rsid w:val="00981879"/>
    <w:rsid w:val="00982107"/>
    <w:rsid w:val="009825C0"/>
    <w:rsid w:val="00983257"/>
    <w:rsid w:val="00983EEF"/>
    <w:rsid w:val="00984AB1"/>
    <w:rsid w:val="00984F3E"/>
    <w:rsid w:val="00985303"/>
    <w:rsid w:val="00985CCD"/>
    <w:rsid w:val="00985FB7"/>
    <w:rsid w:val="009861A9"/>
    <w:rsid w:val="009863D5"/>
    <w:rsid w:val="00986AF1"/>
    <w:rsid w:val="009873E3"/>
    <w:rsid w:val="00987A71"/>
    <w:rsid w:val="009904AD"/>
    <w:rsid w:val="00990FF4"/>
    <w:rsid w:val="00991D76"/>
    <w:rsid w:val="00991F3C"/>
    <w:rsid w:val="0099223D"/>
    <w:rsid w:val="009944D7"/>
    <w:rsid w:val="009947C0"/>
    <w:rsid w:val="00994E66"/>
    <w:rsid w:val="009953A1"/>
    <w:rsid w:val="00995521"/>
    <w:rsid w:val="009958C5"/>
    <w:rsid w:val="00995D7E"/>
    <w:rsid w:val="009961B5"/>
    <w:rsid w:val="009966B5"/>
    <w:rsid w:val="00996AD6"/>
    <w:rsid w:val="00996C9F"/>
    <w:rsid w:val="009971F1"/>
    <w:rsid w:val="00997D83"/>
    <w:rsid w:val="009A03AF"/>
    <w:rsid w:val="009A0EDF"/>
    <w:rsid w:val="009A0F9F"/>
    <w:rsid w:val="009A1058"/>
    <w:rsid w:val="009A152D"/>
    <w:rsid w:val="009A17C9"/>
    <w:rsid w:val="009A19C3"/>
    <w:rsid w:val="009A1AFF"/>
    <w:rsid w:val="009A1CC6"/>
    <w:rsid w:val="009A2739"/>
    <w:rsid w:val="009A2858"/>
    <w:rsid w:val="009A2ADD"/>
    <w:rsid w:val="009A357E"/>
    <w:rsid w:val="009A3A92"/>
    <w:rsid w:val="009A4B15"/>
    <w:rsid w:val="009A5A47"/>
    <w:rsid w:val="009A63B1"/>
    <w:rsid w:val="009A666A"/>
    <w:rsid w:val="009A6EC2"/>
    <w:rsid w:val="009A71CF"/>
    <w:rsid w:val="009A76D1"/>
    <w:rsid w:val="009A7952"/>
    <w:rsid w:val="009B07E2"/>
    <w:rsid w:val="009B19DE"/>
    <w:rsid w:val="009B2095"/>
    <w:rsid w:val="009B210A"/>
    <w:rsid w:val="009B2768"/>
    <w:rsid w:val="009B2D54"/>
    <w:rsid w:val="009B3809"/>
    <w:rsid w:val="009B4167"/>
    <w:rsid w:val="009B45AC"/>
    <w:rsid w:val="009B47ED"/>
    <w:rsid w:val="009B4E4B"/>
    <w:rsid w:val="009B4FE2"/>
    <w:rsid w:val="009B5822"/>
    <w:rsid w:val="009B5A9F"/>
    <w:rsid w:val="009B5FAA"/>
    <w:rsid w:val="009B61FD"/>
    <w:rsid w:val="009B63A2"/>
    <w:rsid w:val="009C0E1A"/>
    <w:rsid w:val="009C13A2"/>
    <w:rsid w:val="009C1E40"/>
    <w:rsid w:val="009C28C8"/>
    <w:rsid w:val="009C2E5E"/>
    <w:rsid w:val="009C3325"/>
    <w:rsid w:val="009C3857"/>
    <w:rsid w:val="009C3CB1"/>
    <w:rsid w:val="009C49D4"/>
    <w:rsid w:val="009C4F06"/>
    <w:rsid w:val="009C54C9"/>
    <w:rsid w:val="009C568A"/>
    <w:rsid w:val="009D09A0"/>
    <w:rsid w:val="009D0CB8"/>
    <w:rsid w:val="009D1715"/>
    <w:rsid w:val="009D1F64"/>
    <w:rsid w:val="009D1FC4"/>
    <w:rsid w:val="009D2363"/>
    <w:rsid w:val="009D23C4"/>
    <w:rsid w:val="009D2418"/>
    <w:rsid w:val="009D2AFF"/>
    <w:rsid w:val="009D30EA"/>
    <w:rsid w:val="009D32BC"/>
    <w:rsid w:val="009D4556"/>
    <w:rsid w:val="009D46B7"/>
    <w:rsid w:val="009D4D6D"/>
    <w:rsid w:val="009D5371"/>
    <w:rsid w:val="009D6369"/>
    <w:rsid w:val="009D7884"/>
    <w:rsid w:val="009E0332"/>
    <w:rsid w:val="009E0B3F"/>
    <w:rsid w:val="009E14F4"/>
    <w:rsid w:val="009E1705"/>
    <w:rsid w:val="009E2BF8"/>
    <w:rsid w:val="009E3CC8"/>
    <w:rsid w:val="009E465E"/>
    <w:rsid w:val="009E4CAB"/>
    <w:rsid w:val="009E4DCF"/>
    <w:rsid w:val="009E4E39"/>
    <w:rsid w:val="009E4F53"/>
    <w:rsid w:val="009E5DB9"/>
    <w:rsid w:val="009E5DD0"/>
    <w:rsid w:val="009E6501"/>
    <w:rsid w:val="009E6AF7"/>
    <w:rsid w:val="009E6F65"/>
    <w:rsid w:val="009F07AF"/>
    <w:rsid w:val="009F0864"/>
    <w:rsid w:val="009F1196"/>
    <w:rsid w:val="009F2427"/>
    <w:rsid w:val="009F2702"/>
    <w:rsid w:val="009F39FA"/>
    <w:rsid w:val="009F4526"/>
    <w:rsid w:val="009F48EF"/>
    <w:rsid w:val="009F55A0"/>
    <w:rsid w:val="009F6288"/>
    <w:rsid w:val="009F634E"/>
    <w:rsid w:val="009F7128"/>
    <w:rsid w:val="009F7448"/>
    <w:rsid w:val="009F7BD7"/>
    <w:rsid w:val="009F7CB2"/>
    <w:rsid w:val="009F7E91"/>
    <w:rsid w:val="00A0121A"/>
    <w:rsid w:val="00A01D9C"/>
    <w:rsid w:val="00A01EC7"/>
    <w:rsid w:val="00A0232C"/>
    <w:rsid w:val="00A025CC"/>
    <w:rsid w:val="00A02CA3"/>
    <w:rsid w:val="00A02D5B"/>
    <w:rsid w:val="00A03324"/>
    <w:rsid w:val="00A04ABF"/>
    <w:rsid w:val="00A05380"/>
    <w:rsid w:val="00A0588D"/>
    <w:rsid w:val="00A059A0"/>
    <w:rsid w:val="00A05A61"/>
    <w:rsid w:val="00A05EB9"/>
    <w:rsid w:val="00A06DDE"/>
    <w:rsid w:val="00A071CB"/>
    <w:rsid w:val="00A0792B"/>
    <w:rsid w:val="00A0794D"/>
    <w:rsid w:val="00A07C00"/>
    <w:rsid w:val="00A07C10"/>
    <w:rsid w:val="00A102D5"/>
    <w:rsid w:val="00A10884"/>
    <w:rsid w:val="00A115F0"/>
    <w:rsid w:val="00A1197D"/>
    <w:rsid w:val="00A11DEF"/>
    <w:rsid w:val="00A1205A"/>
    <w:rsid w:val="00A1207E"/>
    <w:rsid w:val="00A122B6"/>
    <w:rsid w:val="00A1273B"/>
    <w:rsid w:val="00A1281C"/>
    <w:rsid w:val="00A12B95"/>
    <w:rsid w:val="00A14A96"/>
    <w:rsid w:val="00A15185"/>
    <w:rsid w:val="00A1546F"/>
    <w:rsid w:val="00A15AD8"/>
    <w:rsid w:val="00A15C99"/>
    <w:rsid w:val="00A160BF"/>
    <w:rsid w:val="00A178B1"/>
    <w:rsid w:val="00A20605"/>
    <w:rsid w:val="00A20D16"/>
    <w:rsid w:val="00A2125B"/>
    <w:rsid w:val="00A21985"/>
    <w:rsid w:val="00A21EC1"/>
    <w:rsid w:val="00A22175"/>
    <w:rsid w:val="00A22212"/>
    <w:rsid w:val="00A22F2C"/>
    <w:rsid w:val="00A231E0"/>
    <w:rsid w:val="00A23593"/>
    <w:rsid w:val="00A240A8"/>
    <w:rsid w:val="00A24405"/>
    <w:rsid w:val="00A24636"/>
    <w:rsid w:val="00A24A1A"/>
    <w:rsid w:val="00A24ED0"/>
    <w:rsid w:val="00A25CA4"/>
    <w:rsid w:val="00A25E0D"/>
    <w:rsid w:val="00A25EB6"/>
    <w:rsid w:val="00A2676E"/>
    <w:rsid w:val="00A274A5"/>
    <w:rsid w:val="00A308BC"/>
    <w:rsid w:val="00A30E83"/>
    <w:rsid w:val="00A31818"/>
    <w:rsid w:val="00A31C3C"/>
    <w:rsid w:val="00A32162"/>
    <w:rsid w:val="00A3253D"/>
    <w:rsid w:val="00A3272E"/>
    <w:rsid w:val="00A33649"/>
    <w:rsid w:val="00A33B06"/>
    <w:rsid w:val="00A33DB0"/>
    <w:rsid w:val="00A33E7A"/>
    <w:rsid w:val="00A3417F"/>
    <w:rsid w:val="00A350A5"/>
    <w:rsid w:val="00A36031"/>
    <w:rsid w:val="00A36878"/>
    <w:rsid w:val="00A36952"/>
    <w:rsid w:val="00A36A9A"/>
    <w:rsid w:val="00A377BF"/>
    <w:rsid w:val="00A37EC8"/>
    <w:rsid w:val="00A400AD"/>
    <w:rsid w:val="00A40195"/>
    <w:rsid w:val="00A40506"/>
    <w:rsid w:val="00A406F9"/>
    <w:rsid w:val="00A40BFA"/>
    <w:rsid w:val="00A41FB4"/>
    <w:rsid w:val="00A42A44"/>
    <w:rsid w:val="00A42F79"/>
    <w:rsid w:val="00A438F2"/>
    <w:rsid w:val="00A43968"/>
    <w:rsid w:val="00A43A19"/>
    <w:rsid w:val="00A43C6B"/>
    <w:rsid w:val="00A44DCE"/>
    <w:rsid w:val="00A44F5F"/>
    <w:rsid w:val="00A4501E"/>
    <w:rsid w:val="00A45117"/>
    <w:rsid w:val="00A457A3"/>
    <w:rsid w:val="00A45F45"/>
    <w:rsid w:val="00A464C6"/>
    <w:rsid w:val="00A464C7"/>
    <w:rsid w:val="00A471F4"/>
    <w:rsid w:val="00A478FD"/>
    <w:rsid w:val="00A502F8"/>
    <w:rsid w:val="00A50BD2"/>
    <w:rsid w:val="00A5111B"/>
    <w:rsid w:val="00A51238"/>
    <w:rsid w:val="00A5165B"/>
    <w:rsid w:val="00A529D6"/>
    <w:rsid w:val="00A52CB6"/>
    <w:rsid w:val="00A533DF"/>
    <w:rsid w:val="00A53BED"/>
    <w:rsid w:val="00A53C8C"/>
    <w:rsid w:val="00A53FAA"/>
    <w:rsid w:val="00A5512C"/>
    <w:rsid w:val="00A606A5"/>
    <w:rsid w:val="00A60DEC"/>
    <w:rsid w:val="00A613E1"/>
    <w:rsid w:val="00A61E76"/>
    <w:rsid w:val="00A6334D"/>
    <w:rsid w:val="00A633BC"/>
    <w:rsid w:val="00A6366C"/>
    <w:rsid w:val="00A63C53"/>
    <w:rsid w:val="00A642A5"/>
    <w:rsid w:val="00A65A4F"/>
    <w:rsid w:val="00A65C23"/>
    <w:rsid w:val="00A65D40"/>
    <w:rsid w:val="00A660F9"/>
    <w:rsid w:val="00A66431"/>
    <w:rsid w:val="00A67707"/>
    <w:rsid w:val="00A67876"/>
    <w:rsid w:val="00A67C6E"/>
    <w:rsid w:val="00A703C2"/>
    <w:rsid w:val="00A70CF9"/>
    <w:rsid w:val="00A71381"/>
    <w:rsid w:val="00A71B65"/>
    <w:rsid w:val="00A71BCD"/>
    <w:rsid w:val="00A72E84"/>
    <w:rsid w:val="00A732B1"/>
    <w:rsid w:val="00A7335F"/>
    <w:rsid w:val="00A73D98"/>
    <w:rsid w:val="00A73DBC"/>
    <w:rsid w:val="00A73F10"/>
    <w:rsid w:val="00A74898"/>
    <w:rsid w:val="00A74FAF"/>
    <w:rsid w:val="00A75010"/>
    <w:rsid w:val="00A750A3"/>
    <w:rsid w:val="00A7541E"/>
    <w:rsid w:val="00A757DB"/>
    <w:rsid w:val="00A75A17"/>
    <w:rsid w:val="00A75E84"/>
    <w:rsid w:val="00A75FA9"/>
    <w:rsid w:val="00A760D1"/>
    <w:rsid w:val="00A760DD"/>
    <w:rsid w:val="00A76CA0"/>
    <w:rsid w:val="00A772A2"/>
    <w:rsid w:val="00A7783F"/>
    <w:rsid w:val="00A77AA8"/>
    <w:rsid w:val="00A77C2E"/>
    <w:rsid w:val="00A80DCC"/>
    <w:rsid w:val="00A81719"/>
    <w:rsid w:val="00A81A87"/>
    <w:rsid w:val="00A81B72"/>
    <w:rsid w:val="00A81DAF"/>
    <w:rsid w:val="00A820FC"/>
    <w:rsid w:val="00A82B44"/>
    <w:rsid w:val="00A82FC2"/>
    <w:rsid w:val="00A8338B"/>
    <w:rsid w:val="00A837A8"/>
    <w:rsid w:val="00A84304"/>
    <w:rsid w:val="00A84307"/>
    <w:rsid w:val="00A84AA0"/>
    <w:rsid w:val="00A84D92"/>
    <w:rsid w:val="00A84EE9"/>
    <w:rsid w:val="00A85056"/>
    <w:rsid w:val="00A859EF"/>
    <w:rsid w:val="00A85B26"/>
    <w:rsid w:val="00A85D0D"/>
    <w:rsid w:val="00A87165"/>
    <w:rsid w:val="00A877FA"/>
    <w:rsid w:val="00A9019C"/>
    <w:rsid w:val="00A91C8A"/>
    <w:rsid w:val="00A926BD"/>
    <w:rsid w:val="00A92C3D"/>
    <w:rsid w:val="00A92C55"/>
    <w:rsid w:val="00A92F76"/>
    <w:rsid w:val="00A93B51"/>
    <w:rsid w:val="00A93F4F"/>
    <w:rsid w:val="00A9448E"/>
    <w:rsid w:val="00A94A5F"/>
    <w:rsid w:val="00A955BC"/>
    <w:rsid w:val="00A9625F"/>
    <w:rsid w:val="00A963F1"/>
    <w:rsid w:val="00A96583"/>
    <w:rsid w:val="00A96815"/>
    <w:rsid w:val="00A96FB6"/>
    <w:rsid w:val="00A97583"/>
    <w:rsid w:val="00A97C37"/>
    <w:rsid w:val="00AA0404"/>
    <w:rsid w:val="00AA159E"/>
    <w:rsid w:val="00AA1795"/>
    <w:rsid w:val="00AA181A"/>
    <w:rsid w:val="00AA18AD"/>
    <w:rsid w:val="00AA1B55"/>
    <w:rsid w:val="00AA2059"/>
    <w:rsid w:val="00AA225E"/>
    <w:rsid w:val="00AA28DB"/>
    <w:rsid w:val="00AA2C5C"/>
    <w:rsid w:val="00AA2F80"/>
    <w:rsid w:val="00AA331C"/>
    <w:rsid w:val="00AA3A86"/>
    <w:rsid w:val="00AA3CCB"/>
    <w:rsid w:val="00AA4006"/>
    <w:rsid w:val="00AA44F7"/>
    <w:rsid w:val="00AA4C06"/>
    <w:rsid w:val="00AA4C6E"/>
    <w:rsid w:val="00AA4F52"/>
    <w:rsid w:val="00AA504C"/>
    <w:rsid w:val="00AA520E"/>
    <w:rsid w:val="00AA62A9"/>
    <w:rsid w:val="00AA70E1"/>
    <w:rsid w:val="00AA74D0"/>
    <w:rsid w:val="00AA7592"/>
    <w:rsid w:val="00AA7AFD"/>
    <w:rsid w:val="00AA7D6F"/>
    <w:rsid w:val="00AB006F"/>
    <w:rsid w:val="00AB0541"/>
    <w:rsid w:val="00AB0B60"/>
    <w:rsid w:val="00AB111F"/>
    <w:rsid w:val="00AB2151"/>
    <w:rsid w:val="00AB3061"/>
    <w:rsid w:val="00AB31C9"/>
    <w:rsid w:val="00AB31FA"/>
    <w:rsid w:val="00AB339C"/>
    <w:rsid w:val="00AB37EC"/>
    <w:rsid w:val="00AB4692"/>
    <w:rsid w:val="00AB47BB"/>
    <w:rsid w:val="00AB48F8"/>
    <w:rsid w:val="00AB4988"/>
    <w:rsid w:val="00AB4CA5"/>
    <w:rsid w:val="00AB4D04"/>
    <w:rsid w:val="00AB5C9A"/>
    <w:rsid w:val="00AB609F"/>
    <w:rsid w:val="00AB6909"/>
    <w:rsid w:val="00AB72E5"/>
    <w:rsid w:val="00AB7962"/>
    <w:rsid w:val="00ABAF2E"/>
    <w:rsid w:val="00AC00E8"/>
    <w:rsid w:val="00AC01F9"/>
    <w:rsid w:val="00AC047C"/>
    <w:rsid w:val="00AC117E"/>
    <w:rsid w:val="00AC12FD"/>
    <w:rsid w:val="00AC206F"/>
    <w:rsid w:val="00AC26C5"/>
    <w:rsid w:val="00AC2D52"/>
    <w:rsid w:val="00AC3934"/>
    <w:rsid w:val="00AC4E69"/>
    <w:rsid w:val="00AC52C7"/>
    <w:rsid w:val="00AC6943"/>
    <w:rsid w:val="00AC6B2B"/>
    <w:rsid w:val="00AC7A45"/>
    <w:rsid w:val="00AD0859"/>
    <w:rsid w:val="00AD0E87"/>
    <w:rsid w:val="00AD1869"/>
    <w:rsid w:val="00AD1EEE"/>
    <w:rsid w:val="00AD2343"/>
    <w:rsid w:val="00AD3206"/>
    <w:rsid w:val="00AD44BA"/>
    <w:rsid w:val="00AD49B6"/>
    <w:rsid w:val="00AD4B3A"/>
    <w:rsid w:val="00AD4C00"/>
    <w:rsid w:val="00AD4DA1"/>
    <w:rsid w:val="00AD4FC6"/>
    <w:rsid w:val="00AD5651"/>
    <w:rsid w:val="00AD5AB4"/>
    <w:rsid w:val="00AD5D70"/>
    <w:rsid w:val="00AD5DDD"/>
    <w:rsid w:val="00AD5F6A"/>
    <w:rsid w:val="00AD7605"/>
    <w:rsid w:val="00AD7E48"/>
    <w:rsid w:val="00AD7FF6"/>
    <w:rsid w:val="00AE0157"/>
    <w:rsid w:val="00AE0D2F"/>
    <w:rsid w:val="00AE16F0"/>
    <w:rsid w:val="00AE1E87"/>
    <w:rsid w:val="00AE2350"/>
    <w:rsid w:val="00AE243E"/>
    <w:rsid w:val="00AE2C53"/>
    <w:rsid w:val="00AE39AC"/>
    <w:rsid w:val="00AE3D20"/>
    <w:rsid w:val="00AE4710"/>
    <w:rsid w:val="00AE5A9B"/>
    <w:rsid w:val="00AE5D33"/>
    <w:rsid w:val="00AE5EE4"/>
    <w:rsid w:val="00AE5FFD"/>
    <w:rsid w:val="00AE6A3A"/>
    <w:rsid w:val="00AE6B9E"/>
    <w:rsid w:val="00AE7706"/>
    <w:rsid w:val="00AF10B0"/>
    <w:rsid w:val="00AF14A7"/>
    <w:rsid w:val="00AF14FF"/>
    <w:rsid w:val="00AF154F"/>
    <w:rsid w:val="00AF1C8B"/>
    <w:rsid w:val="00AF2D1D"/>
    <w:rsid w:val="00AF35AE"/>
    <w:rsid w:val="00AF417D"/>
    <w:rsid w:val="00AF43C1"/>
    <w:rsid w:val="00AF4B65"/>
    <w:rsid w:val="00AF4E36"/>
    <w:rsid w:val="00AF51F3"/>
    <w:rsid w:val="00AF5496"/>
    <w:rsid w:val="00AF56F1"/>
    <w:rsid w:val="00AF69A8"/>
    <w:rsid w:val="00AF7047"/>
    <w:rsid w:val="00AF7F4A"/>
    <w:rsid w:val="00B009D1"/>
    <w:rsid w:val="00B00AA0"/>
    <w:rsid w:val="00B00BA6"/>
    <w:rsid w:val="00B00D03"/>
    <w:rsid w:val="00B00DA9"/>
    <w:rsid w:val="00B00FFE"/>
    <w:rsid w:val="00B01324"/>
    <w:rsid w:val="00B0141B"/>
    <w:rsid w:val="00B01845"/>
    <w:rsid w:val="00B01F6B"/>
    <w:rsid w:val="00B03026"/>
    <w:rsid w:val="00B033C1"/>
    <w:rsid w:val="00B03A75"/>
    <w:rsid w:val="00B03DAB"/>
    <w:rsid w:val="00B03E78"/>
    <w:rsid w:val="00B03EC8"/>
    <w:rsid w:val="00B042DB"/>
    <w:rsid w:val="00B04733"/>
    <w:rsid w:val="00B050C4"/>
    <w:rsid w:val="00B05275"/>
    <w:rsid w:val="00B054BE"/>
    <w:rsid w:val="00B054E9"/>
    <w:rsid w:val="00B05736"/>
    <w:rsid w:val="00B0672E"/>
    <w:rsid w:val="00B06984"/>
    <w:rsid w:val="00B06C3A"/>
    <w:rsid w:val="00B072FD"/>
    <w:rsid w:val="00B07A4A"/>
    <w:rsid w:val="00B07D52"/>
    <w:rsid w:val="00B107EC"/>
    <w:rsid w:val="00B10BB3"/>
    <w:rsid w:val="00B1108E"/>
    <w:rsid w:val="00B118B3"/>
    <w:rsid w:val="00B11DBF"/>
    <w:rsid w:val="00B11E19"/>
    <w:rsid w:val="00B11E87"/>
    <w:rsid w:val="00B11EB8"/>
    <w:rsid w:val="00B12EF1"/>
    <w:rsid w:val="00B12F3E"/>
    <w:rsid w:val="00B14AAA"/>
    <w:rsid w:val="00B1515D"/>
    <w:rsid w:val="00B1527B"/>
    <w:rsid w:val="00B15510"/>
    <w:rsid w:val="00B15977"/>
    <w:rsid w:val="00B16169"/>
    <w:rsid w:val="00B16CC2"/>
    <w:rsid w:val="00B16E0B"/>
    <w:rsid w:val="00B175D6"/>
    <w:rsid w:val="00B1796F"/>
    <w:rsid w:val="00B17CD9"/>
    <w:rsid w:val="00B2025E"/>
    <w:rsid w:val="00B222D3"/>
    <w:rsid w:val="00B2254E"/>
    <w:rsid w:val="00B225DC"/>
    <w:rsid w:val="00B22662"/>
    <w:rsid w:val="00B22823"/>
    <w:rsid w:val="00B22DC8"/>
    <w:rsid w:val="00B2303A"/>
    <w:rsid w:val="00B23A45"/>
    <w:rsid w:val="00B23F8C"/>
    <w:rsid w:val="00B24A16"/>
    <w:rsid w:val="00B24F21"/>
    <w:rsid w:val="00B25237"/>
    <w:rsid w:val="00B2554B"/>
    <w:rsid w:val="00B256A1"/>
    <w:rsid w:val="00B25B3B"/>
    <w:rsid w:val="00B260A4"/>
    <w:rsid w:val="00B261A2"/>
    <w:rsid w:val="00B26454"/>
    <w:rsid w:val="00B27058"/>
    <w:rsid w:val="00B271FF"/>
    <w:rsid w:val="00B27243"/>
    <w:rsid w:val="00B27A9E"/>
    <w:rsid w:val="00B27BD9"/>
    <w:rsid w:val="00B30214"/>
    <w:rsid w:val="00B30BF9"/>
    <w:rsid w:val="00B30FC4"/>
    <w:rsid w:val="00B338DC"/>
    <w:rsid w:val="00B33ACF"/>
    <w:rsid w:val="00B340B0"/>
    <w:rsid w:val="00B3418A"/>
    <w:rsid w:val="00B343F6"/>
    <w:rsid w:val="00B3457B"/>
    <w:rsid w:val="00B34580"/>
    <w:rsid w:val="00B346B0"/>
    <w:rsid w:val="00B348C6"/>
    <w:rsid w:val="00B354C9"/>
    <w:rsid w:val="00B358F0"/>
    <w:rsid w:val="00B36147"/>
    <w:rsid w:val="00B36712"/>
    <w:rsid w:val="00B36CE4"/>
    <w:rsid w:val="00B36EB8"/>
    <w:rsid w:val="00B3729D"/>
    <w:rsid w:val="00B372D6"/>
    <w:rsid w:val="00B373EF"/>
    <w:rsid w:val="00B379C0"/>
    <w:rsid w:val="00B37C01"/>
    <w:rsid w:val="00B40B20"/>
    <w:rsid w:val="00B40FE7"/>
    <w:rsid w:val="00B41FDC"/>
    <w:rsid w:val="00B42C37"/>
    <w:rsid w:val="00B42D82"/>
    <w:rsid w:val="00B44545"/>
    <w:rsid w:val="00B4487F"/>
    <w:rsid w:val="00B44AD7"/>
    <w:rsid w:val="00B44E20"/>
    <w:rsid w:val="00B456AB"/>
    <w:rsid w:val="00B45863"/>
    <w:rsid w:val="00B46649"/>
    <w:rsid w:val="00B4737B"/>
    <w:rsid w:val="00B47393"/>
    <w:rsid w:val="00B4750A"/>
    <w:rsid w:val="00B47F68"/>
    <w:rsid w:val="00B500A4"/>
    <w:rsid w:val="00B50417"/>
    <w:rsid w:val="00B50426"/>
    <w:rsid w:val="00B51D80"/>
    <w:rsid w:val="00B521B6"/>
    <w:rsid w:val="00B52315"/>
    <w:rsid w:val="00B53B80"/>
    <w:rsid w:val="00B5450E"/>
    <w:rsid w:val="00B558BC"/>
    <w:rsid w:val="00B55DA1"/>
    <w:rsid w:val="00B55EB8"/>
    <w:rsid w:val="00B56018"/>
    <w:rsid w:val="00B561B6"/>
    <w:rsid w:val="00B57785"/>
    <w:rsid w:val="00B57C86"/>
    <w:rsid w:val="00B57F05"/>
    <w:rsid w:val="00B57F37"/>
    <w:rsid w:val="00B60681"/>
    <w:rsid w:val="00B60860"/>
    <w:rsid w:val="00B61D91"/>
    <w:rsid w:val="00B63319"/>
    <w:rsid w:val="00B6346F"/>
    <w:rsid w:val="00B6353E"/>
    <w:rsid w:val="00B6491C"/>
    <w:rsid w:val="00B64B53"/>
    <w:rsid w:val="00B650DC"/>
    <w:rsid w:val="00B6631A"/>
    <w:rsid w:val="00B666DA"/>
    <w:rsid w:val="00B66B83"/>
    <w:rsid w:val="00B67662"/>
    <w:rsid w:val="00B67922"/>
    <w:rsid w:val="00B67B78"/>
    <w:rsid w:val="00B67D80"/>
    <w:rsid w:val="00B713EE"/>
    <w:rsid w:val="00B71498"/>
    <w:rsid w:val="00B71E54"/>
    <w:rsid w:val="00B7233B"/>
    <w:rsid w:val="00B72E8E"/>
    <w:rsid w:val="00B731C0"/>
    <w:rsid w:val="00B7348D"/>
    <w:rsid w:val="00B73889"/>
    <w:rsid w:val="00B738DA"/>
    <w:rsid w:val="00B73BEF"/>
    <w:rsid w:val="00B74012"/>
    <w:rsid w:val="00B7433A"/>
    <w:rsid w:val="00B747F7"/>
    <w:rsid w:val="00B749AF"/>
    <w:rsid w:val="00B749E3"/>
    <w:rsid w:val="00B75B9B"/>
    <w:rsid w:val="00B760BC"/>
    <w:rsid w:val="00B760DD"/>
    <w:rsid w:val="00B76664"/>
    <w:rsid w:val="00B76A4B"/>
    <w:rsid w:val="00B779A5"/>
    <w:rsid w:val="00B77E44"/>
    <w:rsid w:val="00B80FEA"/>
    <w:rsid w:val="00B8149C"/>
    <w:rsid w:val="00B81F2A"/>
    <w:rsid w:val="00B81FBC"/>
    <w:rsid w:val="00B83681"/>
    <w:rsid w:val="00B83740"/>
    <w:rsid w:val="00B83788"/>
    <w:rsid w:val="00B8447E"/>
    <w:rsid w:val="00B84890"/>
    <w:rsid w:val="00B8569D"/>
    <w:rsid w:val="00B86495"/>
    <w:rsid w:val="00B86963"/>
    <w:rsid w:val="00B86F16"/>
    <w:rsid w:val="00B873E8"/>
    <w:rsid w:val="00B875B9"/>
    <w:rsid w:val="00B87F98"/>
    <w:rsid w:val="00B905AA"/>
    <w:rsid w:val="00B9080D"/>
    <w:rsid w:val="00B90BB4"/>
    <w:rsid w:val="00B90CFA"/>
    <w:rsid w:val="00B910D2"/>
    <w:rsid w:val="00B923E0"/>
    <w:rsid w:val="00B926CD"/>
    <w:rsid w:val="00B934D8"/>
    <w:rsid w:val="00B93746"/>
    <w:rsid w:val="00B94567"/>
    <w:rsid w:val="00B9487D"/>
    <w:rsid w:val="00B95823"/>
    <w:rsid w:val="00B95977"/>
    <w:rsid w:val="00B95E4D"/>
    <w:rsid w:val="00B963F8"/>
    <w:rsid w:val="00B9659A"/>
    <w:rsid w:val="00BA00F8"/>
    <w:rsid w:val="00BA0278"/>
    <w:rsid w:val="00BA0545"/>
    <w:rsid w:val="00BA1922"/>
    <w:rsid w:val="00BA1DE7"/>
    <w:rsid w:val="00BA204A"/>
    <w:rsid w:val="00BA24CF"/>
    <w:rsid w:val="00BA2650"/>
    <w:rsid w:val="00BA426A"/>
    <w:rsid w:val="00BA4828"/>
    <w:rsid w:val="00BA55CF"/>
    <w:rsid w:val="00BA59B5"/>
    <w:rsid w:val="00BA5F1A"/>
    <w:rsid w:val="00BA5FC7"/>
    <w:rsid w:val="00BA6BB4"/>
    <w:rsid w:val="00BA6C3D"/>
    <w:rsid w:val="00BA6DAF"/>
    <w:rsid w:val="00BA7804"/>
    <w:rsid w:val="00BA7BFA"/>
    <w:rsid w:val="00BA7D9B"/>
    <w:rsid w:val="00BB14D6"/>
    <w:rsid w:val="00BB16E9"/>
    <w:rsid w:val="00BB1DD6"/>
    <w:rsid w:val="00BB1FD6"/>
    <w:rsid w:val="00BB1FDC"/>
    <w:rsid w:val="00BB25F4"/>
    <w:rsid w:val="00BB274B"/>
    <w:rsid w:val="00BB29BB"/>
    <w:rsid w:val="00BB2DA2"/>
    <w:rsid w:val="00BB2ECE"/>
    <w:rsid w:val="00BB3846"/>
    <w:rsid w:val="00BB3849"/>
    <w:rsid w:val="00BB4819"/>
    <w:rsid w:val="00BB6216"/>
    <w:rsid w:val="00BB6711"/>
    <w:rsid w:val="00BB70F3"/>
    <w:rsid w:val="00BB77C5"/>
    <w:rsid w:val="00BC0410"/>
    <w:rsid w:val="00BC1630"/>
    <w:rsid w:val="00BC1DF3"/>
    <w:rsid w:val="00BC25B0"/>
    <w:rsid w:val="00BC267E"/>
    <w:rsid w:val="00BC2974"/>
    <w:rsid w:val="00BC3395"/>
    <w:rsid w:val="00BC348A"/>
    <w:rsid w:val="00BC34DD"/>
    <w:rsid w:val="00BC3677"/>
    <w:rsid w:val="00BC53AA"/>
    <w:rsid w:val="00BC55B8"/>
    <w:rsid w:val="00BC5E4C"/>
    <w:rsid w:val="00BC5F44"/>
    <w:rsid w:val="00BC6413"/>
    <w:rsid w:val="00BC66FC"/>
    <w:rsid w:val="00BC6C94"/>
    <w:rsid w:val="00BC7C99"/>
    <w:rsid w:val="00BD15D2"/>
    <w:rsid w:val="00BD200E"/>
    <w:rsid w:val="00BD213F"/>
    <w:rsid w:val="00BD2795"/>
    <w:rsid w:val="00BD27A7"/>
    <w:rsid w:val="00BD2A50"/>
    <w:rsid w:val="00BD2B5E"/>
    <w:rsid w:val="00BD31FA"/>
    <w:rsid w:val="00BD50E4"/>
    <w:rsid w:val="00BD5C97"/>
    <w:rsid w:val="00BD5E5C"/>
    <w:rsid w:val="00BD6ABB"/>
    <w:rsid w:val="00BD6C3C"/>
    <w:rsid w:val="00BD6D98"/>
    <w:rsid w:val="00BD6ED8"/>
    <w:rsid w:val="00BD7AC8"/>
    <w:rsid w:val="00BE02A5"/>
    <w:rsid w:val="00BE11AA"/>
    <w:rsid w:val="00BE11D5"/>
    <w:rsid w:val="00BE1292"/>
    <w:rsid w:val="00BE1B55"/>
    <w:rsid w:val="00BE1B5B"/>
    <w:rsid w:val="00BE2E27"/>
    <w:rsid w:val="00BE3166"/>
    <w:rsid w:val="00BE3406"/>
    <w:rsid w:val="00BE3514"/>
    <w:rsid w:val="00BE39FB"/>
    <w:rsid w:val="00BE3CC0"/>
    <w:rsid w:val="00BE5255"/>
    <w:rsid w:val="00BE5871"/>
    <w:rsid w:val="00BE5A8B"/>
    <w:rsid w:val="00BE5B11"/>
    <w:rsid w:val="00BE62D0"/>
    <w:rsid w:val="00BE660E"/>
    <w:rsid w:val="00BE6A61"/>
    <w:rsid w:val="00BE6CF9"/>
    <w:rsid w:val="00BE6F79"/>
    <w:rsid w:val="00BE7F1A"/>
    <w:rsid w:val="00BF02E4"/>
    <w:rsid w:val="00BF0529"/>
    <w:rsid w:val="00BF05DD"/>
    <w:rsid w:val="00BF0C7D"/>
    <w:rsid w:val="00BF116E"/>
    <w:rsid w:val="00BF236A"/>
    <w:rsid w:val="00BF2929"/>
    <w:rsid w:val="00BF3A5A"/>
    <w:rsid w:val="00BF44EE"/>
    <w:rsid w:val="00BF4549"/>
    <w:rsid w:val="00BF471E"/>
    <w:rsid w:val="00BF4F35"/>
    <w:rsid w:val="00BF5619"/>
    <w:rsid w:val="00BF56CD"/>
    <w:rsid w:val="00BF5B8C"/>
    <w:rsid w:val="00BF6210"/>
    <w:rsid w:val="00BF63F9"/>
    <w:rsid w:val="00BF6FA5"/>
    <w:rsid w:val="00BF7FF3"/>
    <w:rsid w:val="00C003CE"/>
    <w:rsid w:val="00C00E59"/>
    <w:rsid w:val="00C01775"/>
    <w:rsid w:val="00C025F6"/>
    <w:rsid w:val="00C029E1"/>
    <w:rsid w:val="00C03951"/>
    <w:rsid w:val="00C039B9"/>
    <w:rsid w:val="00C03DCC"/>
    <w:rsid w:val="00C041AC"/>
    <w:rsid w:val="00C04E41"/>
    <w:rsid w:val="00C04EFC"/>
    <w:rsid w:val="00C04F8B"/>
    <w:rsid w:val="00C052EC"/>
    <w:rsid w:val="00C057EA"/>
    <w:rsid w:val="00C05E66"/>
    <w:rsid w:val="00C05EF3"/>
    <w:rsid w:val="00C063A6"/>
    <w:rsid w:val="00C0680D"/>
    <w:rsid w:val="00C06C5D"/>
    <w:rsid w:val="00C07724"/>
    <w:rsid w:val="00C07E10"/>
    <w:rsid w:val="00C107DD"/>
    <w:rsid w:val="00C114FC"/>
    <w:rsid w:val="00C11B4C"/>
    <w:rsid w:val="00C12404"/>
    <w:rsid w:val="00C12E07"/>
    <w:rsid w:val="00C1309D"/>
    <w:rsid w:val="00C1336A"/>
    <w:rsid w:val="00C13881"/>
    <w:rsid w:val="00C13A1E"/>
    <w:rsid w:val="00C14127"/>
    <w:rsid w:val="00C14F0B"/>
    <w:rsid w:val="00C16226"/>
    <w:rsid w:val="00C162C5"/>
    <w:rsid w:val="00C16831"/>
    <w:rsid w:val="00C17849"/>
    <w:rsid w:val="00C20455"/>
    <w:rsid w:val="00C20A86"/>
    <w:rsid w:val="00C20CA8"/>
    <w:rsid w:val="00C22513"/>
    <w:rsid w:val="00C22650"/>
    <w:rsid w:val="00C227C7"/>
    <w:rsid w:val="00C22F3F"/>
    <w:rsid w:val="00C230EE"/>
    <w:rsid w:val="00C232F6"/>
    <w:rsid w:val="00C24235"/>
    <w:rsid w:val="00C2457D"/>
    <w:rsid w:val="00C2470B"/>
    <w:rsid w:val="00C24DE3"/>
    <w:rsid w:val="00C25024"/>
    <w:rsid w:val="00C25341"/>
    <w:rsid w:val="00C253A0"/>
    <w:rsid w:val="00C25951"/>
    <w:rsid w:val="00C25AF2"/>
    <w:rsid w:val="00C26040"/>
    <w:rsid w:val="00C2678D"/>
    <w:rsid w:val="00C2688A"/>
    <w:rsid w:val="00C26A4A"/>
    <w:rsid w:val="00C27A24"/>
    <w:rsid w:val="00C300E7"/>
    <w:rsid w:val="00C30313"/>
    <w:rsid w:val="00C30610"/>
    <w:rsid w:val="00C31841"/>
    <w:rsid w:val="00C31E8A"/>
    <w:rsid w:val="00C31FD1"/>
    <w:rsid w:val="00C323A0"/>
    <w:rsid w:val="00C32A8E"/>
    <w:rsid w:val="00C32D13"/>
    <w:rsid w:val="00C3321F"/>
    <w:rsid w:val="00C33775"/>
    <w:rsid w:val="00C33917"/>
    <w:rsid w:val="00C34AF3"/>
    <w:rsid w:val="00C35252"/>
    <w:rsid w:val="00C358D5"/>
    <w:rsid w:val="00C35B5A"/>
    <w:rsid w:val="00C3641F"/>
    <w:rsid w:val="00C36641"/>
    <w:rsid w:val="00C368B6"/>
    <w:rsid w:val="00C37033"/>
    <w:rsid w:val="00C3768B"/>
    <w:rsid w:val="00C40236"/>
    <w:rsid w:val="00C40B6B"/>
    <w:rsid w:val="00C42234"/>
    <w:rsid w:val="00C42A8B"/>
    <w:rsid w:val="00C42F51"/>
    <w:rsid w:val="00C433EB"/>
    <w:rsid w:val="00C44565"/>
    <w:rsid w:val="00C44857"/>
    <w:rsid w:val="00C4522E"/>
    <w:rsid w:val="00C45A75"/>
    <w:rsid w:val="00C45C02"/>
    <w:rsid w:val="00C46618"/>
    <w:rsid w:val="00C469FB"/>
    <w:rsid w:val="00C46D50"/>
    <w:rsid w:val="00C46EC2"/>
    <w:rsid w:val="00C46F76"/>
    <w:rsid w:val="00C47A04"/>
    <w:rsid w:val="00C50A9D"/>
    <w:rsid w:val="00C50CF5"/>
    <w:rsid w:val="00C513A0"/>
    <w:rsid w:val="00C5168C"/>
    <w:rsid w:val="00C51F34"/>
    <w:rsid w:val="00C51F38"/>
    <w:rsid w:val="00C52980"/>
    <w:rsid w:val="00C52F27"/>
    <w:rsid w:val="00C54582"/>
    <w:rsid w:val="00C54EAE"/>
    <w:rsid w:val="00C55718"/>
    <w:rsid w:val="00C56058"/>
    <w:rsid w:val="00C56B0B"/>
    <w:rsid w:val="00C56B4C"/>
    <w:rsid w:val="00C56D94"/>
    <w:rsid w:val="00C575C6"/>
    <w:rsid w:val="00C575E0"/>
    <w:rsid w:val="00C57A24"/>
    <w:rsid w:val="00C57C27"/>
    <w:rsid w:val="00C60573"/>
    <w:rsid w:val="00C61365"/>
    <w:rsid w:val="00C621D8"/>
    <w:rsid w:val="00C62649"/>
    <w:rsid w:val="00C6277C"/>
    <w:rsid w:val="00C6282A"/>
    <w:rsid w:val="00C6301F"/>
    <w:rsid w:val="00C64539"/>
    <w:rsid w:val="00C648C4"/>
    <w:rsid w:val="00C6578B"/>
    <w:rsid w:val="00C65ABC"/>
    <w:rsid w:val="00C66992"/>
    <w:rsid w:val="00C673C9"/>
    <w:rsid w:val="00C67ADC"/>
    <w:rsid w:val="00C7023A"/>
    <w:rsid w:val="00C70C94"/>
    <w:rsid w:val="00C71192"/>
    <w:rsid w:val="00C71B98"/>
    <w:rsid w:val="00C71EFA"/>
    <w:rsid w:val="00C726B6"/>
    <w:rsid w:val="00C72AA3"/>
    <w:rsid w:val="00C7322E"/>
    <w:rsid w:val="00C738F9"/>
    <w:rsid w:val="00C73E84"/>
    <w:rsid w:val="00C74637"/>
    <w:rsid w:val="00C7496F"/>
    <w:rsid w:val="00C74D9F"/>
    <w:rsid w:val="00C755D5"/>
    <w:rsid w:val="00C758CC"/>
    <w:rsid w:val="00C75FB1"/>
    <w:rsid w:val="00C761E3"/>
    <w:rsid w:val="00C7680A"/>
    <w:rsid w:val="00C773A7"/>
    <w:rsid w:val="00C77840"/>
    <w:rsid w:val="00C8039B"/>
    <w:rsid w:val="00C809EF"/>
    <w:rsid w:val="00C80EE7"/>
    <w:rsid w:val="00C814DD"/>
    <w:rsid w:val="00C81993"/>
    <w:rsid w:val="00C8263E"/>
    <w:rsid w:val="00C82F58"/>
    <w:rsid w:val="00C832D8"/>
    <w:rsid w:val="00C83398"/>
    <w:rsid w:val="00C83527"/>
    <w:rsid w:val="00C835CF"/>
    <w:rsid w:val="00C83904"/>
    <w:rsid w:val="00C83E87"/>
    <w:rsid w:val="00C84109"/>
    <w:rsid w:val="00C8479B"/>
    <w:rsid w:val="00C84864"/>
    <w:rsid w:val="00C84A22"/>
    <w:rsid w:val="00C864E8"/>
    <w:rsid w:val="00C8666D"/>
    <w:rsid w:val="00C8690D"/>
    <w:rsid w:val="00C86DDD"/>
    <w:rsid w:val="00C86FE7"/>
    <w:rsid w:val="00C87835"/>
    <w:rsid w:val="00C906A5"/>
    <w:rsid w:val="00C9157F"/>
    <w:rsid w:val="00C91A24"/>
    <w:rsid w:val="00C91DCA"/>
    <w:rsid w:val="00C92225"/>
    <w:rsid w:val="00C930F8"/>
    <w:rsid w:val="00C9334C"/>
    <w:rsid w:val="00C93809"/>
    <w:rsid w:val="00C9392A"/>
    <w:rsid w:val="00C93CA1"/>
    <w:rsid w:val="00C94D3F"/>
    <w:rsid w:val="00C96E96"/>
    <w:rsid w:val="00C96EEF"/>
    <w:rsid w:val="00C9736F"/>
    <w:rsid w:val="00CA014D"/>
    <w:rsid w:val="00CA03A4"/>
    <w:rsid w:val="00CA0BE8"/>
    <w:rsid w:val="00CA0FFE"/>
    <w:rsid w:val="00CA1CB6"/>
    <w:rsid w:val="00CA1E79"/>
    <w:rsid w:val="00CA1FED"/>
    <w:rsid w:val="00CA2761"/>
    <w:rsid w:val="00CA278B"/>
    <w:rsid w:val="00CA3433"/>
    <w:rsid w:val="00CA3464"/>
    <w:rsid w:val="00CA46AF"/>
    <w:rsid w:val="00CA4C64"/>
    <w:rsid w:val="00CA4F56"/>
    <w:rsid w:val="00CA5722"/>
    <w:rsid w:val="00CA6440"/>
    <w:rsid w:val="00CA676B"/>
    <w:rsid w:val="00CA6F89"/>
    <w:rsid w:val="00CA709F"/>
    <w:rsid w:val="00CA73C0"/>
    <w:rsid w:val="00CA762A"/>
    <w:rsid w:val="00CA7E60"/>
    <w:rsid w:val="00CB014E"/>
    <w:rsid w:val="00CB0E68"/>
    <w:rsid w:val="00CB136D"/>
    <w:rsid w:val="00CB1C25"/>
    <w:rsid w:val="00CB1D18"/>
    <w:rsid w:val="00CB2222"/>
    <w:rsid w:val="00CB26F1"/>
    <w:rsid w:val="00CB2C5D"/>
    <w:rsid w:val="00CB2FB2"/>
    <w:rsid w:val="00CB3E92"/>
    <w:rsid w:val="00CB3F48"/>
    <w:rsid w:val="00CB47B9"/>
    <w:rsid w:val="00CB52F0"/>
    <w:rsid w:val="00CB67F3"/>
    <w:rsid w:val="00CB6B48"/>
    <w:rsid w:val="00CB6D29"/>
    <w:rsid w:val="00CB70C7"/>
    <w:rsid w:val="00CB76ED"/>
    <w:rsid w:val="00CB77D5"/>
    <w:rsid w:val="00CB78CA"/>
    <w:rsid w:val="00CB7C7A"/>
    <w:rsid w:val="00CC115F"/>
    <w:rsid w:val="00CC2022"/>
    <w:rsid w:val="00CC284C"/>
    <w:rsid w:val="00CC2C1C"/>
    <w:rsid w:val="00CC43A0"/>
    <w:rsid w:val="00CC454F"/>
    <w:rsid w:val="00CC46F1"/>
    <w:rsid w:val="00CC4924"/>
    <w:rsid w:val="00CC54B4"/>
    <w:rsid w:val="00CC5CF7"/>
    <w:rsid w:val="00CC67FF"/>
    <w:rsid w:val="00CC7311"/>
    <w:rsid w:val="00CC77E7"/>
    <w:rsid w:val="00CC7FCD"/>
    <w:rsid w:val="00CD0B5B"/>
    <w:rsid w:val="00CD10BE"/>
    <w:rsid w:val="00CD19DF"/>
    <w:rsid w:val="00CD1F73"/>
    <w:rsid w:val="00CD21BE"/>
    <w:rsid w:val="00CD25C7"/>
    <w:rsid w:val="00CD3074"/>
    <w:rsid w:val="00CD4317"/>
    <w:rsid w:val="00CD490A"/>
    <w:rsid w:val="00CD4CA8"/>
    <w:rsid w:val="00CD4E56"/>
    <w:rsid w:val="00CD561F"/>
    <w:rsid w:val="00CD5977"/>
    <w:rsid w:val="00CD7A37"/>
    <w:rsid w:val="00CD7AB8"/>
    <w:rsid w:val="00CD7BB4"/>
    <w:rsid w:val="00CD7C42"/>
    <w:rsid w:val="00CD7D24"/>
    <w:rsid w:val="00CE03DB"/>
    <w:rsid w:val="00CE0791"/>
    <w:rsid w:val="00CE0B14"/>
    <w:rsid w:val="00CE0C28"/>
    <w:rsid w:val="00CE128C"/>
    <w:rsid w:val="00CE147A"/>
    <w:rsid w:val="00CE2099"/>
    <w:rsid w:val="00CE2624"/>
    <w:rsid w:val="00CE2B2B"/>
    <w:rsid w:val="00CE3361"/>
    <w:rsid w:val="00CE3D07"/>
    <w:rsid w:val="00CE3DE4"/>
    <w:rsid w:val="00CE413B"/>
    <w:rsid w:val="00CE4301"/>
    <w:rsid w:val="00CE483C"/>
    <w:rsid w:val="00CE4B1E"/>
    <w:rsid w:val="00CE579B"/>
    <w:rsid w:val="00CE66DA"/>
    <w:rsid w:val="00CE777E"/>
    <w:rsid w:val="00CE7B5C"/>
    <w:rsid w:val="00CE7DC9"/>
    <w:rsid w:val="00CE7FEB"/>
    <w:rsid w:val="00CF00A7"/>
    <w:rsid w:val="00CF1591"/>
    <w:rsid w:val="00CF24EA"/>
    <w:rsid w:val="00CF3611"/>
    <w:rsid w:val="00CF3A27"/>
    <w:rsid w:val="00CF42BF"/>
    <w:rsid w:val="00CF46AE"/>
    <w:rsid w:val="00CF4DCB"/>
    <w:rsid w:val="00CF4E95"/>
    <w:rsid w:val="00CF52E5"/>
    <w:rsid w:val="00CF5518"/>
    <w:rsid w:val="00CF59F1"/>
    <w:rsid w:val="00CF6544"/>
    <w:rsid w:val="00CF65B6"/>
    <w:rsid w:val="00CF7108"/>
    <w:rsid w:val="00CF7619"/>
    <w:rsid w:val="00D002C0"/>
    <w:rsid w:val="00D0123B"/>
    <w:rsid w:val="00D0125D"/>
    <w:rsid w:val="00D020E0"/>
    <w:rsid w:val="00D02237"/>
    <w:rsid w:val="00D02FD7"/>
    <w:rsid w:val="00D0351A"/>
    <w:rsid w:val="00D03A69"/>
    <w:rsid w:val="00D03E2E"/>
    <w:rsid w:val="00D04356"/>
    <w:rsid w:val="00D04747"/>
    <w:rsid w:val="00D04872"/>
    <w:rsid w:val="00D04877"/>
    <w:rsid w:val="00D05165"/>
    <w:rsid w:val="00D05191"/>
    <w:rsid w:val="00D067BE"/>
    <w:rsid w:val="00D06D71"/>
    <w:rsid w:val="00D06DCF"/>
    <w:rsid w:val="00D0BB3B"/>
    <w:rsid w:val="00D10B55"/>
    <w:rsid w:val="00D117D6"/>
    <w:rsid w:val="00D11AD1"/>
    <w:rsid w:val="00D1278C"/>
    <w:rsid w:val="00D13B05"/>
    <w:rsid w:val="00D13FD1"/>
    <w:rsid w:val="00D1459B"/>
    <w:rsid w:val="00D14921"/>
    <w:rsid w:val="00D14AB9"/>
    <w:rsid w:val="00D14B84"/>
    <w:rsid w:val="00D1568C"/>
    <w:rsid w:val="00D1585B"/>
    <w:rsid w:val="00D15948"/>
    <w:rsid w:val="00D15CE1"/>
    <w:rsid w:val="00D16F4E"/>
    <w:rsid w:val="00D1760B"/>
    <w:rsid w:val="00D179DC"/>
    <w:rsid w:val="00D17A70"/>
    <w:rsid w:val="00D17AC8"/>
    <w:rsid w:val="00D17CAB"/>
    <w:rsid w:val="00D2027B"/>
    <w:rsid w:val="00D21262"/>
    <w:rsid w:val="00D2152A"/>
    <w:rsid w:val="00D2172E"/>
    <w:rsid w:val="00D21932"/>
    <w:rsid w:val="00D2232E"/>
    <w:rsid w:val="00D22586"/>
    <w:rsid w:val="00D22973"/>
    <w:rsid w:val="00D2367F"/>
    <w:rsid w:val="00D236DE"/>
    <w:rsid w:val="00D237AF"/>
    <w:rsid w:val="00D23D49"/>
    <w:rsid w:val="00D23EDB"/>
    <w:rsid w:val="00D24381"/>
    <w:rsid w:val="00D24FC0"/>
    <w:rsid w:val="00D250F3"/>
    <w:rsid w:val="00D253A9"/>
    <w:rsid w:val="00D25554"/>
    <w:rsid w:val="00D25A63"/>
    <w:rsid w:val="00D25B80"/>
    <w:rsid w:val="00D25E29"/>
    <w:rsid w:val="00D25F16"/>
    <w:rsid w:val="00D2610B"/>
    <w:rsid w:val="00D26D0C"/>
    <w:rsid w:val="00D274DB"/>
    <w:rsid w:val="00D30231"/>
    <w:rsid w:val="00D302E0"/>
    <w:rsid w:val="00D30D51"/>
    <w:rsid w:val="00D3133B"/>
    <w:rsid w:val="00D31F49"/>
    <w:rsid w:val="00D32094"/>
    <w:rsid w:val="00D32355"/>
    <w:rsid w:val="00D324E3"/>
    <w:rsid w:val="00D33821"/>
    <w:rsid w:val="00D3396B"/>
    <w:rsid w:val="00D33E4C"/>
    <w:rsid w:val="00D3498F"/>
    <w:rsid w:val="00D34E76"/>
    <w:rsid w:val="00D35395"/>
    <w:rsid w:val="00D353CB"/>
    <w:rsid w:val="00D35682"/>
    <w:rsid w:val="00D35720"/>
    <w:rsid w:val="00D361AA"/>
    <w:rsid w:val="00D363B7"/>
    <w:rsid w:val="00D37C98"/>
    <w:rsid w:val="00D41319"/>
    <w:rsid w:val="00D43AB6"/>
    <w:rsid w:val="00D4404B"/>
    <w:rsid w:val="00D4413B"/>
    <w:rsid w:val="00D44D7E"/>
    <w:rsid w:val="00D45350"/>
    <w:rsid w:val="00D457B1"/>
    <w:rsid w:val="00D462E2"/>
    <w:rsid w:val="00D46780"/>
    <w:rsid w:val="00D46CC6"/>
    <w:rsid w:val="00D47A5C"/>
    <w:rsid w:val="00D47B34"/>
    <w:rsid w:val="00D50895"/>
    <w:rsid w:val="00D50927"/>
    <w:rsid w:val="00D51B60"/>
    <w:rsid w:val="00D5212B"/>
    <w:rsid w:val="00D52FB5"/>
    <w:rsid w:val="00D53225"/>
    <w:rsid w:val="00D53BEC"/>
    <w:rsid w:val="00D543F1"/>
    <w:rsid w:val="00D547FF"/>
    <w:rsid w:val="00D54BB0"/>
    <w:rsid w:val="00D554C3"/>
    <w:rsid w:val="00D56F29"/>
    <w:rsid w:val="00D572B8"/>
    <w:rsid w:val="00D5753A"/>
    <w:rsid w:val="00D576E2"/>
    <w:rsid w:val="00D57DC5"/>
    <w:rsid w:val="00D600C0"/>
    <w:rsid w:val="00D6038B"/>
    <w:rsid w:val="00D6038D"/>
    <w:rsid w:val="00D60A7C"/>
    <w:rsid w:val="00D60CBC"/>
    <w:rsid w:val="00D60DA4"/>
    <w:rsid w:val="00D6134D"/>
    <w:rsid w:val="00D6159A"/>
    <w:rsid w:val="00D618FD"/>
    <w:rsid w:val="00D61944"/>
    <w:rsid w:val="00D61C12"/>
    <w:rsid w:val="00D622AC"/>
    <w:rsid w:val="00D62B0F"/>
    <w:rsid w:val="00D6343C"/>
    <w:rsid w:val="00D634E9"/>
    <w:rsid w:val="00D634F5"/>
    <w:rsid w:val="00D63B21"/>
    <w:rsid w:val="00D640BC"/>
    <w:rsid w:val="00D650B7"/>
    <w:rsid w:val="00D6607D"/>
    <w:rsid w:val="00D67EB1"/>
    <w:rsid w:val="00D70809"/>
    <w:rsid w:val="00D717ED"/>
    <w:rsid w:val="00D71E0F"/>
    <w:rsid w:val="00D726B9"/>
    <w:rsid w:val="00D73013"/>
    <w:rsid w:val="00D73081"/>
    <w:rsid w:val="00D73540"/>
    <w:rsid w:val="00D73F74"/>
    <w:rsid w:val="00D7509A"/>
    <w:rsid w:val="00D75412"/>
    <w:rsid w:val="00D75B8A"/>
    <w:rsid w:val="00D76416"/>
    <w:rsid w:val="00D7641B"/>
    <w:rsid w:val="00D76CF1"/>
    <w:rsid w:val="00D76F32"/>
    <w:rsid w:val="00D76FD3"/>
    <w:rsid w:val="00D77307"/>
    <w:rsid w:val="00D77D14"/>
    <w:rsid w:val="00D77DC0"/>
    <w:rsid w:val="00D77DFA"/>
    <w:rsid w:val="00D804EE"/>
    <w:rsid w:val="00D80DAD"/>
    <w:rsid w:val="00D811BD"/>
    <w:rsid w:val="00D814BC"/>
    <w:rsid w:val="00D81BB2"/>
    <w:rsid w:val="00D821AC"/>
    <w:rsid w:val="00D825A4"/>
    <w:rsid w:val="00D82663"/>
    <w:rsid w:val="00D82A59"/>
    <w:rsid w:val="00D82E07"/>
    <w:rsid w:val="00D831DA"/>
    <w:rsid w:val="00D8359A"/>
    <w:rsid w:val="00D83609"/>
    <w:rsid w:val="00D8375C"/>
    <w:rsid w:val="00D843D3"/>
    <w:rsid w:val="00D846D1"/>
    <w:rsid w:val="00D84935"/>
    <w:rsid w:val="00D849EA"/>
    <w:rsid w:val="00D850CD"/>
    <w:rsid w:val="00D8564C"/>
    <w:rsid w:val="00D85DA7"/>
    <w:rsid w:val="00D8671D"/>
    <w:rsid w:val="00D86A9A"/>
    <w:rsid w:val="00D86AC4"/>
    <w:rsid w:val="00D878A1"/>
    <w:rsid w:val="00D87F77"/>
    <w:rsid w:val="00D90122"/>
    <w:rsid w:val="00D90479"/>
    <w:rsid w:val="00D90AC0"/>
    <w:rsid w:val="00D90B39"/>
    <w:rsid w:val="00D91B11"/>
    <w:rsid w:val="00D91CA1"/>
    <w:rsid w:val="00D91FAB"/>
    <w:rsid w:val="00D922F0"/>
    <w:rsid w:val="00D92800"/>
    <w:rsid w:val="00D9334D"/>
    <w:rsid w:val="00D93355"/>
    <w:rsid w:val="00D93395"/>
    <w:rsid w:val="00D93804"/>
    <w:rsid w:val="00D9387A"/>
    <w:rsid w:val="00D93CD0"/>
    <w:rsid w:val="00D941BD"/>
    <w:rsid w:val="00D944CF"/>
    <w:rsid w:val="00D94778"/>
    <w:rsid w:val="00D94992"/>
    <w:rsid w:val="00D94A79"/>
    <w:rsid w:val="00D94E78"/>
    <w:rsid w:val="00D963A8"/>
    <w:rsid w:val="00D975D8"/>
    <w:rsid w:val="00DA02EF"/>
    <w:rsid w:val="00DA158C"/>
    <w:rsid w:val="00DA2330"/>
    <w:rsid w:val="00DA30ED"/>
    <w:rsid w:val="00DA36D9"/>
    <w:rsid w:val="00DA3CB7"/>
    <w:rsid w:val="00DA43FA"/>
    <w:rsid w:val="00DA4E7A"/>
    <w:rsid w:val="00DA4FB7"/>
    <w:rsid w:val="00DA4FD4"/>
    <w:rsid w:val="00DA557D"/>
    <w:rsid w:val="00DA561A"/>
    <w:rsid w:val="00DA5622"/>
    <w:rsid w:val="00DA5654"/>
    <w:rsid w:val="00DA59BC"/>
    <w:rsid w:val="00DA5C86"/>
    <w:rsid w:val="00DA5E0B"/>
    <w:rsid w:val="00DA5F78"/>
    <w:rsid w:val="00DA637B"/>
    <w:rsid w:val="00DA6613"/>
    <w:rsid w:val="00DA6CFB"/>
    <w:rsid w:val="00DA6F05"/>
    <w:rsid w:val="00DA7703"/>
    <w:rsid w:val="00DB015A"/>
    <w:rsid w:val="00DB022A"/>
    <w:rsid w:val="00DB069D"/>
    <w:rsid w:val="00DB06BE"/>
    <w:rsid w:val="00DB086C"/>
    <w:rsid w:val="00DB097B"/>
    <w:rsid w:val="00DB0B8B"/>
    <w:rsid w:val="00DB1756"/>
    <w:rsid w:val="00DB19EC"/>
    <w:rsid w:val="00DB1CF9"/>
    <w:rsid w:val="00DB2319"/>
    <w:rsid w:val="00DB2787"/>
    <w:rsid w:val="00DB3802"/>
    <w:rsid w:val="00DB3DF7"/>
    <w:rsid w:val="00DB439D"/>
    <w:rsid w:val="00DB4AAD"/>
    <w:rsid w:val="00DB4EB7"/>
    <w:rsid w:val="00DB64E3"/>
    <w:rsid w:val="00DB692C"/>
    <w:rsid w:val="00DC06EE"/>
    <w:rsid w:val="00DC0962"/>
    <w:rsid w:val="00DC0965"/>
    <w:rsid w:val="00DC0CA0"/>
    <w:rsid w:val="00DC10B0"/>
    <w:rsid w:val="00DC1F8A"/>
    <w:rsid w:val="00DC24E0"/>
    <w:rsid w:val="00DC25ED"/>
    <w:rsid w:val="00DC2CD8"/>
    <w:rsid w:val="00DC2D89"/>
    <w:rsid w:val="00DC3087"/>
    <w:rsid w:val="00DC38C4"/>
    <w:rsid w:val="00DC3D39"/>
    <w:rsid w:val="00DC3F76"/>
    <w:rsid w:val="00DC4B0C"/>
    <w:rsid w:val="00DC6585"/>
    <w:rsid w:val="00DC700D"/>
    <w:rsid w:val="00DC7290"/>
    <w:rsid w:val="00DC7AC3"/>
    <w:rsid w:val="00DC7EB0"/>
    <w:rsid w:val="00DD0372"/>
    <w:rsid w:val="00DD048F"/>
    <w:rsid w:val="00DD0646"/>
    <w:rsid w:val="00DD14E9"/>
    <w:rsid w:val="00DD15F2"/>
    <w:rsid w:val="00DD18B3"/>
    <w:rsid w:val="00DD193F"/>
    <w:rsid w:val="00DD486B"/>
    <w:rsid w:val="00DD4A77"/>
    <w:rsid w:val="00DD5EED"/>
    <w:rsid w:val="00DD5F7C"/>
    <w:rsid w:val="00DD6192"/>
    <w:rsid w:val="00DD66CC"/>
    <w:rsid w:val="00DD6CCF"/>
    <w:rsid w:val="00DD7105"/>
    <w:rsid w:val="00DD7C91"/>
    <w:rsid w:val="00DE09D0"/>
    <w:rsid w:val="00DE1ECB"/>
    <w:rsid w:val="00DE2586"/>
    <w:rsid w:val="00DE30D5"/>
    <w:rsid w:val="00DE3FB7"/>
    <w:rsid w:val="00DE450D"/>
    <w:rsid w:val="00DE484C"/>
    <w:rsid w:val="00DE4A8E"/>
    <w:rsid w:val="00DE4E4C"/>
    <w:rsid w:val="00DE4FB2"/>
    <w:rsid w:val="00DE5C28"/>
    <w:rsid w:val="00DE5D16"/>
    <w:rsid w:val="00DE64E3"/>
    <w:rsid w:val="00DE66D7"/>
    <w:rsid w:val="00DE6787"/>
    <w:rsid w:val="00DE7840"/>
    <w:rsid w:val="00DF0251"/>
    <w:rsid w:val="00DF03F1"/>
    <w:rsid w:val="00DF0D7F"/>
    <w:rsid w:val="00DF1115"/>
    <w:rsid w:val="00DF26F1"/>
    <w:rsid w:val="00DF28D0"/>
    <w:rsid w:val="00DF3067"/>
    <w:rsid w:val="00DF35F3"/>
    <w:rsid w:val="00DF36E9"/>
    <w:rsid w:val="00DF387C"/>
    <w:rsid w:val="00DF4002"/>
    <w:rsid w:val="00DF4199"/>
    <w:rsid w:val="00DF4580"/>
    <w:rsid w:val="00DF4641"/>
    <w:rsid w:val="00DF4E69"/>
    <w:rsid w:val="00DF5CF5"/>
    <w:rsid w:val="00DF5E02"/>
    <w:rsid w:val="00DF6132"/>
    <w:rsid w:val="00DF64A5"/>
    <w:rsid w:val="00DF6A1D"/>
    <w:rsid w:val="00DF7BF9"/>
    <w:rsid w:val="00E005CB"/>
    <w:rsid w:val="00E01290"/>
    <w:rsid w:val="00E01DB0"/>
    <w:rsid w:val="00E01F34"/>
    <w:rsid w:val="00E01F78"/>
    <w:rsid w:val="00E02255"/>
    <w:rsid w:val="00E02926"/>
    <w:rsid w:val="00E02EE5"/>
    <w:rsid w:val="00E033C4"/>
    <w:rsid w:val="00E04905"/>
    <w:rsid w:val="00E04AC1"/>
    <w:rsid w:val="00E05889"/>
    <w:rsid w:val="00E062DD"/>
    <w:rsid w:val="00E06B4C"/>
    <w:rsid w:val="00E079E0"/>
    <w:rsid w:val="00E07EB3"/>
    <w:rsid w:val="00E10FAA"/>
    <w:rsid w:val="00E11564"/>
    <w:rsid w:val="00E124D7"/>
    <w:rsid w:val="00E1267B"/>
    <w:rsid w:val="00E12702"/>
    <w:rsid w:val="00E14081"/>
    <w:rsid w:val="00E14283"/>
    <w:rsid w:val="00E1444C"/>
    <w:rsid w:val="00E147A8"/>
    <w:rsid w:val="00E14A1F"/>
    <w:rsid w:val="00E14DB3"/>
    <w:rsid w:val="00E15682"/>
    <w:rsid w:val="00E156EB"/>
    <w:rsid w:val="00E15B14"/>
    <w:rsid w:val="00E15FE1"/>
    <w:rsid w:val="00E1600A"/>
    <w:rsid w:val="00E16618"/>
    <w:rsid w:val="00E16CDF"/>
    <w:rsid w:val="00E16F58"/>
    <w:rsid w:val="00E17EF8"/>
    <w:rsid w:val="00E17FDB"/>
    <w:rsid w:val="00E20223"/>
    <w:rsid w:val="00E20698"/>
    <w:rsid w:val="00E2142D"/>
    <w:rsid w:val="00E214E2"/>
    <w:rsid w:val="00E21554"/>
    <w:rsid w:val="00E21CC2"/>
    <w:rsid w:val="00E22FCF"/>
    <w:rsid w:val="00E24304"/>
    <w:rsid w:val="00E24993"/>
    <w:rsid w:val="00E24C77"/>
    <w:rsid w:val="00E24F2A"/>
    <w:rsid w:val="00E252D1"/>
    <w:rsid w:val="00E254C0"/>
    <w:rsid w:val="00E269EF"/>
    <w:rsid w:val="00E26DF5"/>
    <w:rsid w:val="00E275D7"/>
    <w:rsid w:val="00E313A2"/>
    <w:rsid w:val="00E3168E"/>
    <w:rsid w:val="00E3235F"/>
    <w:rsid w:val="00E32FB0"/>
    <w:rsid w:val="00E3354E"/>
    <w:rsid w:val="00E3410E"/>
    <w:rsid w:val="00E34612"/>
    <w:rsid w:val="00E3467A"/>
    <w:rsid w:val="00E34687"/>
    <w:rsid w:val="00E35505"/>
    <w:rsid w:val="00E35A59"/>
    <w:rsid w:val="00E35A90"/>
    <w:rsid w:val="00E360D2"/>
    <w:rsid w:val="00E364CB"/>
    <w:rsid w:val="00E37B78"/>
    <w:rsid w:val="00E401C0"/>
    <w:rsid w:val="00E4061F"/>
    <w:rsid w:val="00E40AE5"/>
    <w:rsid w:val="00E40EC0"/>
    <w:rsid w:val="00E412CD"/>
    <w:rsid w:val="00E41581"/>
    <w:rsid w:val="00E41A96"/>
    <w:rsid w:val="00E428D4"/>
    <w:rsid w:val="00E42C0E"/>
    <w:rsid w:val="00E42CBD"/>
    <w:rsid w:val="00E431EF"/>
    <w:rsid w:val="00E4466D"/>
    <w:rsid w:val="00E449ED"/>
    <w:rsid w:val="00E44F72"/>
    <w:rsid w:val="00E45403"/>
    <w:rsid w:val="00E46E3E"/>
    <w:rsid w:val="00E47255"/>
    <w:rsid w:val="00E4739B"/>
    <w:rsid w:val="00E47C72"/>
    <w:rsid w:val="00E51011"/>
    <w:rsid w:val="00E510D7"/>
    <w:rsid w:val="00E51FED"/>
    <w:rsid w:val="00E52002"/>
    <w:rsid w:val="00E532A6"/>
    <w:rsid w:val="00E532BB"/>
    <w:rsid w:val="00E53361"/>
    <w:rsid w:val="00E53BEB"/>
    <w:rsid w:val="00E53EB0"/>
    <w:rsid w:val="00E547B0"/>
    <w:rsid w:val="00E54F24"/>
    <w:rsid w:val="00E55BAE"/>
    <w:rsid w:val="00E55BF4"/>
    <w:rsid w:val="00E57400"/>
    <w:rsid w:val="00E57919"/>
    <w:rsid w:val="00E57C0B"/>
    <w:rsid w:val="00E60D76"/>
    <w:rsid w:val="00E61323"/>
    <w:rsid w:val="00E61CB6"/>
    <w:rsid w:val="00E62231"/>
    <w:rsid w:val="00E62279"/>
    <w:rsid w:val="00E62295"/>
    <w:rsid w:val="00E628EC"/>
    <w:rsid w:val="00E6318F"/>
    <w:rsid w:val="00E636BF"/>
    <w:rsid w:val="00E64020"/>
    <w:rsid w:val="00E6440F"/>
    <w:rsid w:val="00E645D0"/>
    <w:rsid w:val="00E657ED"/>
    <w:rsid w:val="00E66750"/>
    <w:rsid w:val="00E67C28"/>
    <w:rsid w:val="00E67EA5"/>
    <w:rsid w:val="00E71115"/>
    <w:rsid w:val="00E711D4"/>
    <w:rsid w:val="00E71DC2"/>
    <w:rsid w:val="00E7245C"/>
    <w:rsid w:val="00E72534"/>
    <w:rsid w:val="00E72F2A"/>
    <w:rsid w:val="00E73933"/>
    <w:rsid w:val="00E73C58"/>
    <w:rsid w:val="00E73CE5"/>
    <w:rsid w:val="00E74584"/>
    <w:rsid w:val="00E749F5"/>
    <w:rsid w:val="00E75118"/>
    <w:rsid w:val="00E751DA"/>
    <w:rsid w:val="00E7607F"/>
    <w:rsid w:val="00E76B03"/>
    <w:rsid w:val="00E8025D"/>
    <w:rsid w:val="00E8106A"/>
    <w:rsid w:val="00E812DF"/>
    <w:rsid w:val="00E818BA"/>
    <w:rsid w:val="00E82893"/>
    <w:rsid w:val="00E82BC5"/>
    <w:rsid w:val="00E833A0"/>
    <w:rsid w:val="00E8423B"/>
    <w:rsid w:val="00E843BB"/>
    <w:rsid w:val="00E84435"/>
    <w:rsid w:val="00E8459A"/>
    <w:rsid w:val="00E851E5"/>
    <w:rsid w:val="00E8548C"/>
    <w:rsid w:val="00E870EC"/>
    <w:rsid w:val="00E876A3"/>
    <w:rsid w:val="00E87851"/>
    <w:rsid w:val="00E87986"/>
    <w:rsid w:val="00E87C5E"/>
    <w:rsid w:val="00E87D49"/>
    <w:rsid w:val="00E87E21"/>
    <w:rsid w:val="00E900B4"/>
    <w:rsid w:val="00E9023E"/>
    <w:rsid w:val="00E905C3"/>
    <w:rsid w:val="00E9062C"/>
    <w:rsid w:val="00E917B1"/>
    <w:rsid w:val="00E9211A"/>
    <w:rsid w:val="00E92CE1"/>
    <w:rsid w:val="00E93106"/>
    <w:rsid w:val="00E9344D"/>
    <w:rsid w:val="00E93DB1"/>
    <w:rsid w:val="00E93F9A"/>
    <w:rsid w:val="00E94318"/>
    <w:rsid w:val="00E9461A"/>
    <w:rsid w:val="00E948D0"/>
    <w:rsid w:val="00E94F17"/>
    <w:rsid w:val="00E95574"/>
    <w:rsid w:val="00E9647A"/>
    <w:rsid w:val="00E96A78"/>
    <w:rsid w:val="00E96BEA"/>
    <w:rsid w:val="00E97018"/>
    <w:rsid w:val="00EA0319"/>
    <w:rsid w:val="00EA0953"/>
    <w:rsid w:val="00EA0D5E"/>
    <w:rsid w:val="00EA1494"/>
    <w:rsid w:val="00EA1D73"/>
    <w:rsid w:val="00EA20B0"/>
    <w:rsid w:val="00EA22F4"/>
    <w:rsid w:val="00EA2705"/>
    <w:rsid w:val="00EA2766"/>
    <w:rsid w:val="00EA2898"/>
    <w:rsid w:val="00EA2C64"/>
    <w:rsid w:val="00EA2D8D"/>
    <w:rsid w:val="00EA2F2A"/>
    <w:rsid w:val="00EA302D"/>
    <w:rsid w:val="00EA326A"/>
    <w:rsid w:val="00EA3F44"/>
    <w:rsid w:val="00EA4C29"/>
    <w:rsid w:val="00EA4C9F"/>
    <w:rsid w:val="00EA58FB"/>
    <w:rsid w:val="00EA6B7B"/>
    <w:rsid w:val="00EA6F3C"/>
    <w:rsid w:val="00EA7ABA"/>
    <w:rsid w:val="00EA7B6F"/>
    <w:rsid w:val="00EA7BCD"/>
    <w:rsid w:val="00EA7DA0"/>
    <w:rsid w:val="00EB0056"/>
    <w:rsid w:val="00EB0110"/>
    <w:rsid w:val="00EB0715"/>
    <w:rsid w:val="00EB0DB6"/>
    <w:rsid w:val="00EB10DA"/>
    <w:rsid w:val="00EB18AE"/>
    <w:rsid w:val="00EB1E13"/>
    <w:rsid w:val="00EB28D1"/>
    <w:rsid w:val="00EB3435"/>
    <w:rsid w:val="00EB3B74"/>
    <w:rsid w:val="00EB4440"/>
    <w:rsid w:val="00EB4753"/>
    <w:rsid w:val="00EB4909"/>
    <w:rsid w:val="00EB56ED"/>
    <w:rsid w:val="00EB6490"/>
    <w:rsid w:val="00EC162D"/>
    <w:rsid w:val="00EC17A7"/>
    <w:rsid w:val="00EC19A9"/>
    <w:rsid w:val="00EC1AC8"/>
    <w:rsid w:val="00EC23E6"/>
    <w:rsid w:val="00EC3AAD"/>
    <w:rsid w:val="00EC3CFA"/>
    <w:rsid w:val="00EC3E5E"/>
    <w:rsid w:val="00EC41F4"/>
    <w:rsid w:val="00EC4893"/>
    <w:rsid w:val="00EC6875"/>
    <w:rsid w:val="00EC6A9E"/>
    <w:rsid w:val="00EC6F2E"/>
    <w:rsid w:val="00EC721D"/>
    <w:rsid w:val="00EC74A6"/>
    <w:rsid w:val="00EC7BBE"/>
    <w:rsid w:val="00ED1C05"/>
    <w:rsid w:val="00ED2162"/>
    <w:rsid w:val="00ED3707"/>
    <w:rsid w:val="00ED47A5"/>
    <w:rsid w:val="00ED48B7"/>
    <w:rsid w:val="00ED4F03"/>
    <w:rsid w:val="00ED597F"/>
    <w:rsid w:val="00ED7060"/>
    <w:rsid w:val="00ED70C8"/>
    <w:rsid w:val="00ED781D"/>
    <w:rsid w:val="00EE0176"/>
    <w:rsid w:val="00EE0658"/>
    <w:rsid w:val="00EE1CD5"/>
    <w:rsid w:val="00EE28CA"/>
    <w:rsid w:val="00EE39DF"/>
    <w:rsid w:val="00EE3E51"/>
    <w:rsid w:val="00EE41AC"/>
    <w:rsid w:val="00EE43ED"/>
    <w:rsid w:val="00EE457E"/>
    <w:rsid w:val="00EE4812"/>
    <w:rsid w:val="00EE4CA7"/>
    <w:rsid w:val="00EE554F"/>
    <w:rsid w:val="00EE56E3"/>
    <w:rsid w:val="00EE5949"/>
    <w:rsid w:val="00EE6017"/>
    <w:rsid w:val="00EE671F"/>
    <w:rsid w:val="00EE6905"/>
    <w:rsid w:val="00EE6B2A"/>
    <w:rsid w:val="00EE6EFC"/>
    <w:rsid w:val="00EE71EB"/>
    <w:rsid w:val="00EE72B1"/>
    <w:rsid w:val="00EE738E"/>
    <w:rsid w:val="00EE760F"/>
    <w:rsid w:val="00EE7BD7"/>
    <w:rsid w:val="00EE7C88"/>
    <w:rsid w:val="00EE7DEE"/>
    <w:rsid w:val="00EF147E"/>
    <w:rsid w:val="00EF2135"/>
    <w:rsid w:val="00EF219B"/>
    <w:rsid w:val="00EF2235"/>
    <w:rsid w:val="00EF29B5"/>
    <w:rsid w:val="00EF2FE4"/>
    <w:rsid w:val="00EF3BBA"/>
    <w:rsid w:val="00EF405A"/>
    <w:rsid w:val="00EF436E"/>
    <w:rsid w:val="00EF45A7"/>
    <w:rsid w:val="00EF481F"/>
    <w:rsid w:val="00EF522F"/>
    <w:rsid w:val="00EF6781"/>
    <w:rsid w:val="00EF68D6"/>
    <w:rsid w:val="00EF6AD1"/>
    <w:rsid w:val="00EF71EE"/>
    <w:rsid w:val="00EF7665"/>
    <w:rsid w:val="00F00509"/>
    <w:rsid w:val="00F00889"/>
    <w:rsid w:val="00F019B1"/>
    <w:rsid w:val="00F02F04"/>
    <w:rsid w:val="00F02FC0"/>
    <w:rsid w:val="00F04781"/>
    <w:rsid w:val="00F04E8C"/>
    <w:rsid w:val="00F061BA"/>
    <w:rsid w:val="00F0624C"/>
    <w:rsid w:val="00F06CD0"/>
    <w:rsid w:val="00F07044"/>
    <w:rsid w:val="00F070F5"/>
    <w:rsid w:val="00F072AC"/>
    <w:rsid w:val="00F074ED"/>
    <w:rsid w:val="00F07588"/>
    <w:rsid w:val="00F10030"/>
    <w:rsid w:val="00F104B6"/>
    <w:rsid w:val="00F104C4"/>
    <w:rsid w:val="00F10514"/>
    <w:rsid w:val="00F11223"/>
    <w:rsid w:val="00F11229"/>
    <w:rsid w:val="00F1171F"/>
    <w:rsid w:val="00F11AEC"/>
    <w:rsid w:val="00F11C33"/>
    <w:rsid w:val="00F11D56"/>
    <w:rsid w:val="00F12692"/>
    <w:rsid w:val="00F12721"/>
    <w:rsid w:val="00F135CE"/>
    <w:rsid w:val="00F1382F"/>
    <w:rsid w:val="00F13EFA"/>
    <w:rsid w:val="00F14DDA"/>
    <w:rsid w:val="00F1513C"/>
    <w:rsid w:val="00F1579A"/>
    <w:rsid w:val="00F16AEA"/>
    <w:rsid w:val="00F16EA5"/>
    <w:rsid w:val="00F16F2D"/>
    <w:rsid w:val="00F1717A"/>
    <w:rsid w:val="00F17364"/>
    <w:rsid w:val="00F204C3"/>
    <w:rsid w:val="00F21B73"/>
    <w:rsid w:val="00F220E0"/>
    <w:rsid w:val="00F22110"/>
    <w:rsid w:val="00F23037"/>
    <w:rsid w:val="00F23220"/>
    <w:rsid w:val="00F2325B"/>
    <w:rsid w:val="00F239A5"/>
    <w:rsid w:val="00F25CC0"/>
    <w:rsid w:val="00F26179"/>
    <w:rsid w:val="00F26577"/>
    <w:rsid w:val="00F26889"/>
    <w:rsid w:val="00F26E70"/>
    <w:rsid w:val="00F2765E"/>
    <w:rsid w:val="00F27DB7"/>
    <w:rsid w:val="00F31516"/>
    <w:rsid w:val="00F31A15"/>
    <w:rsid w:val="00F31B68"/>
    <w:rsid w:val="00F31C22"/>
    <w:rsid w:val="00F3278F"/>
    <w:rsid w:val="00F32CF8"/>
    <w:rsid w:val="00F32E54"/>
    <w:rsid w:val="00F3379A"/>
    <w:rsid w:val="00F337FA"/>
    <w:rsid w:val="00F33EEA"/>
    <w:rsid w:val="00F33F81"/>
    <w:rsid w:val="00F341E3"/>
    <w:rsid w:val="00F34AFE"/>
    <w:rsid w:val="00F35B71"/>
    <w:rsid w:val="00F3609A"/>
    <w:rsid w:val="00F361A5"/>
    <w:rsid w:val="00F36673"/>
    <w:rsid w:val="00F37019"/>
    <w:rsid w:val="00F37230"/>
    <w:rsid w:val="00F3761C"/>
    <w:rsid w:val="00F37BB3"/>
    <w:rsid w:val="00F37C84"/>
    <w:rsid w:val="00F3D729"/>
    <w:rsid w:val="00F40008"/>
    <w:rsid w:val="00F40B06"/>
    <w:rsid w:val="00F40C8D"/>
    <w:rsid w:val="00F41295"/>
    <w:rsid w:val="00F4167D"/>
    <w:rsid w:val="00F42192"/>
    <w:rsid w:val="00F423D0"/>
    <w:rsid w:val="00F4256E"/>
    <w:rsid w:val="00F42978"/>
    <w:rsid w:val="00F431F6"/>
    <w:rsid w:val="00F43492"/>
    <w:rsid w:val="00F436A2"/>
    <w:rsid w:val="00F43F66"/>
    <w:rsid w:val="00F444EA"/>
    <w:rsid w:val="00F455F6"/>
    <w:rsid w:val="00F45CDB"/>
    <w:rsid w:val="00F46B9E"/>
    <w:rsid w:val="00F46D40"/>
    <w:rsid w:val="00F4759D"/>
    <w:rsid w:val="00F47D84"/>
    <w:rsid w:val="00F5002D"/>
    <w:rsid w:val="00F50373"/>
    <w:rsid w:val="00F504C1"/>
    <w:rsid w:val="00F51378"/>
    <w:rsid w:val="00F51599"/>
    <w:rsid w:val="00F51B51"/>
    <w:rsid w:val="00F537BF"/>
    <w:rsid w:val="00F54A95"/>
    <w:rsid w:val="00F54AF2"/>
    <w:rsid w:val="00F55848"/>
    <w:rsid w:val="00F55BA6"/>
    <w:rsid w:val="00F55C81"/>
    <w:rsid w:val="00F56541"/>
    <w:rsid w:val="00F57110"/>
    <w:rsid w:val="00F5712F"/>
    <w:rsid w:val="00F57396"/>
    <w:rsid w:val="00F603BC"/>
    <w:rsid w:val="00F615B9"/>
    <w:rsid w:val="00F61B5A"/>
    <w:rsid w:val="00F6273E"/>
    <w:rsid w:val="00F62B94"/>
    <w:rsid w:val="00F62E6F"/>
    <w:rsid w:val="00F63244"/>
    <w:rsid w:val="00F6387A"/>
    <w:rsid w:val="00F63DAF"/>
    <w:rsid w:val="00F6435B"/>
    <w:rsid w:val="00F658A1"/>
    <w:rsid w:val="00F6593E"/>
    <w:rsid w:val="00F6635B"/>
    <w:rsid w:val="00F66456"/>
    <w:rsid w:val="00F66C10"/>
    <w:rsid w:val="00F66DE4"/>
    <w:rsid w:val="00F67BAB"/>
    <w:rsid w:val="00F70BCE"/>
    <w:rsid w:val="00F718A9"/>
    <w:rsid w:val="00F729D0"/>
    <w:rsid w:val="00F72C8C"/>
    <w:rsid w:val="00F72D35"/>
    <w:rsid w:val="00F73C8F"/>
    <w:rsid w:val="00F7409D"/>
    <w:rsid w:val="00F74230"/>
    <w:rsid w:val="00F75094"/>
    <w:rsid w:val="00F75374"/>
    <w:rsid w:val="00F7561F"/>
    <w:rsid w:val="00F75ACE"/>
    <w:rsid w:val="00F7684F"/>
    <w:rsid w:val="00F7714D"/>
    <w:rsid w:val="00F77523"/>
    <w:rsid w:val="00F77D4A"/>
    <w:rsid w:val="00F800A1"/>
    <w:rsid w:val="00F804F2"/>
    <w:rsid w:val="00F8062F"/>
    <w:rsid w:val="00F80644"/>
    <w:rsid w:val="00F80DB1"/>
    <w:rsid w:val="00F81164"/>
    <w:rsid w:val="00F8118F"/>
    <w:rsid w:val="00F82A4B"/>
    <w:rsid w:val="00F8327B"/>
    <w:rsid w:val="00F83377"/>
    <w:rsid w:val="00F83A3D"/>
    <w:rsid w:val="00F84157"/>
    <w:rsid w:val="00F841F5"/>
    <w:rsid w:val="00F85476"/>
    <w:rsid w:val="00F85543"/>
    <w:rsid w:val="00F85D6D"/>
    <w:rsid w:val="00F85EF4"/>
    <w:rsid w:val="00F862A9"/>
    <w:rsid w:val="00F867BD"/>
    <w:rsid w:val="00F871D9"/>
    <w:rsid w:val="00F907E2"/>
    <w:rsid w:val="00F909E8"/>
    <w:rsid w:val="00F90BDA"/>
    <w:rsid w:val="00F90F8C"/>
    <w:rsid w:val="00F916B5"/>
    <w:rsid w:val="00F92AE2"/>
    <w:rsid w:val="00F96047"/>
    <w:rsid w:val="00F96856"/>
    <w:rsid w:val="00F96C15"/>
    <w:rsid w:val="00F96CA0"/>
    <w:rsid w:val="00F97FFD"/>
    <w:rsid w:val="00FA131F"/>
    <w:rsid w:val="00FA1867"/>
    <w:rsid w:val="00FA1AEF"/>
    <w:rsid w:val="00FA2105"/>
    <w:rsid w:val="00FA233D"/>
    <w:rsid w:val="00FA2ECA"/>
    <w:rsid w:val="00FA31FF"/>
    <w:rsid w:val="00FA3D04"/>
    <w:rsid w:val="00FA3F75"/>
    <w:rsid w:val="00FA4DEB"/>
    <w:rsid w:val="00FA5256"/>
    <w:rsid w:val="00FA5703"/>
    <w:rsid w:val="00FA5820"/>
    <w:rsid w:val="00FA5EE4"/>
    <w:rsid w:val="00FA64DB"/>
    <w:rsid w:val="00FA651B"/>
    <w:rsid w:val="00FA6CBA"/>
    <w:rsid w:val="00FA73E6"/>
    <w:rsid w:val="00FA7FB5"/>
    <w:rsid w:val="00FB1A25"/>
    <w:rsid w:val="00FB22A7"/>
    <w:rsid w:val="00FB27AF"/>
    <w:rsid w:val="00FB30CA"/>
    <w:rsid w:val="00FB3309"/>
    <w:rsid w:val="00FB337F"/>
    <w:rsid w:val="00FB34D6"/>
    <w:rsid w:val="00FB358D"/>
    <w:rsid w:val="00FB397A"/>
    <w:rsid w:val="00FB3FA6"/>
    <w:rsid w:val="00FB4206"/>
    <w:rsid w:val="00FB5690"/>
    <w:rsid w:val="00FB58B8"/>
    <w:rsid w:val="00FB5E93"/>
    <w:rsid w:val="00FB664C"/>
    <w:rsid w:val="00FB669F"/>
    <w:rsid w:val="00FB6DB5"/>
    <w:rsid w:val="00FB71D0"/>
    <w:rsid w:val="00FB74FA"/>
    <w:rsid w:val="00FB763E"/>
    <w:rsid w:val="00FB7EB2"/>
    <w:rsid w:val="00FC0168"/>
    <w:rsid w:val="00FC07C2"/>
    <w:rsid w:val="00FC0F65"/>
    <w:rsid w:val="00FC184C"/>
    <w:rsid w:val="00FC1DBE"/>
    <w:rsid w:val="00FC20C9"/>
    <w:rsid w:val="00FC2DFE"/>
    <w:rsid w:val="00FC2E68"/>
    <w:rsid w:val="00FC2F17"/>
    <w:rsid w:val="00FC2F42"/>
    <w:rsid w:val="00FC359C"/>
    <w:rsid w:val="00FC3B75"/>
    <w:rsid w:val="00FC42F3"/>
    <w:rsid w:val="00FC467E"/>
    <w:rsid w:val="00FC4D2B"/>
    <w:rsid w:val="00FC5150"/>
    <w:rsid w:val="00FC5640"/>
    <w:rsid w:val="00FC58A1"/>
    <w:rsid w:val="00FC5B6F"/>
    <w:rsid w:val="00FC64F8"/>
    <w:rsid w:val="00FC6BB7"/>
    <w:rsid w:val="00FC6DED"/>
    <w:rsid w:val="00FC6EB6"/>
    <w:rsid w:val="00FC6FDF"/>
    <w:rsid w:val="00FC7188"/>
    <w:rsid w:val="00FC76B4"/>
    <w:rsid w:val="00FC798F"/>
    <w:rsid w:val="00FC7EAD"/>
    <w:rsid w:val="00FC7F88"/>
    <w:rsid w:val="00FD1061"/>
    <w:rsid w:val="00FD13C7"/>
    <w:rsid w:val="00FD144D"/>
    <w:rsid w:val="00FD1A73"/>
    <w:rsid w:val="00FD231A"/>
    <w:rsid w:val="00FD35A3"/>
    <w:rsid w:val="00FD3645"/>
    <w:rsid w:val="00FD51DF"/>
    <w:rsid w:val="00FD55C3"/>
    <w:rsid w:val="00FD5C90"/>
    <w:rsid w:val="00FD6C02"/>
    <w:rsid w:val="00FD72F1"/>
    <w:rsid w:val="00FD760B"/>
    <w:rsid w:val="00FD7CBB"/>
    <w:rsid w:val="00FD7D40"/>
    <w:rsid w:val="00FE01A2"/>
    <w:rsid w:val="00FE0C62"/>
    <w:rsid w:val="00FE36D7"/>
    <w:rsid w:val="00FE3976"/>
    <w:rsid w:val="00FE57A4"/>
    <w:rsid w:val="00FE66A7"/>
    <w:rsid w:val="00FE6A6E"/>
    <w:rsid w:val="00FE707E"/>
    <w:rsid w:val="00FE77DC"/>
    <w:rsid w:val="00FE7FD3"/>
    <w:rsid w:val="00FF016E"/>
    <w:rsid w:val="00FF0A68"/>
    <w:rsid w:val="00FF1B00"/>
    <w:rsid w:val="00FF260F"/>
    <w:rsid w:val="00FF2EDC"/>
    <w:rsid w:val="00FF33D6"/>
    <w:rsid w:val="00FF3904"/>
    <w:rsid w:val="00FF3C9D"/>
    <w:rsid w:val="00FF402F"/>
    <w:rsid w:val="00FF4923"/>
    <w:rsid w:val="00FF4AE9"/>
    <w:rsid w:val="00FF4B75"/>
    <w:rsid w:val="00FF4FB9"/>
    <w:rsid w:val="00FF5B26"/>
    <w:rsid w:val="00FF5E6F"/>
    <w:rsid w:val="00FF7CE0"/>
    <w:rsid w:val="00FF7D24"/>
    <w:rsid w:val="018D7416"/>
    <w:rsid w:val="01AFD855"/>
    <w:rsid w:val="026DC590"/>
    <w:rsid w:val="03100765"/>
    <w:rsid w:val="03E5486C"/>
    <w:rsid w:val="03F23E94"/>
    <w:rsid w:val="040E2F00"/>
    <w:rsid w:val="04A1703A"/>
    <w:rsid w:val="04CF6550"/>
    <w:rsid w:val="05C07A51"/>
    <w:rsid w:val="063E7AD1"/>
    <w:rsid w:val="06E799B8"/>
    <w:rsid w:val="070E2CD0"/>
    <w:rsid w:val="07D045CD"/>
    <w:rsid w:val="07D8D337"/>
    <w:rsid w:val="08373324"/>
    <w:rsid w:val="08822AB1"/>
    <w:rsid w:val="089764C4"/>
    <w:rsid w:val="08D6DC56"/>
    <w:rsid w:val="09059A83"/>
    <w:rsid w:val="0930F2FC"/>
    <w:rsid w:val="09F16431"/>
    <w:rsid w:val="0A5A1BC5"/>
    <w:rsid w:val="0A6F1C8E"/>
    <w:rsid w:val="0A78D775"/>
    <w:rsid w:val="0A8A8A6A"/>
    <w:rsid w:val="0AD45DF4"/>
    <w:rsid w:val="0B10B1BE"/>
    <w:rsid w:val="0B381EB9"/>
    <w:rsid w:val="0B3D923E"/>
    <w:rsid w:val="0B58D628"/>
    <w:rsid w:val="0B65A325"/>
    <w:rsid w:val="0CEF015A"/>
    <w:rsid w:val="0D2D2C4C"/>
    <w:rsid w:val="0E571871"/>
    <w:rsid w:val="0E9DC250"/>
    <w:rsid w:val="0EB3327E"/>
    <w:rsid w:val="0F13086D"/>
    <w:rsid w:val="0F158BBD"/>
    <w:rsid w:val="0F52983A"/>
    <w:rsid w:val="0FBFA808"/>
    <w:rsid w:val="10B4E5B5"/>
    <w:rsid w:val="10B7B150"/>
    <w:rsid w:val="111838B4"/>
    <w:rsid w:val="11CCB63F"/>
    <w:rsid w:val="12285841"/>
    <w:rsid w:val="127B972D"/>
    <w:rsid w:val="12CCFAAF"/>
    <w:rsid w:val="13029B46"/>
    <w:rsid w:val="13D3877B"/>
    <w:rsid w:val="142E9AB9"/>
    <w:rsid w:val="1432AF4D"/>
    <w:rsid w:val="14749553"/>
    <w:rsid w:val="14832754"/>
    <w:rsid w:val="149E6BA7"/>
    <w:rsid w:val="14CC20E1"/>
    <w:rsid w:val="15469E17"/>
    <w:rsid w:val="15995669"/>
    <w:rsid w:val="15BF9BBF"/>
    <w:rsid w:val="16E51770"/>
    <w:rsid w:val="16E9C51B"/>
    <w:rsid w:val="17D60C69"/>
    <w:rsid w:val="17EF34C6"/>
    <w:rsid w:val="17F0F896"/>
    <w:rsid w:val="181DBE15"/>
    <w:rsid w:val="18297490"/>
    <w:rsid w:val="190E67F2"/>
    <w:rsid w:val="1971DCCA"/>
    <w:rsid w:val="1978429A"/>
    <w:rsid w:val="19B0CDFD"/>
    <w:rsid w:val="1A1772B0"/>
    <w:rsid w:val="1A6DA294"/>
    <w:rsid w:val="1A83E786"/>
    <w:rsid w:val="1AE3D6D7"/>
    <w:rsid w:val="1B10B1AD"/>
    <w:rsid w:val="1BBF6F85"/>
    <w:rsid w:val="1BD9A7D7"/>
    <w:rsid w:val="1BE0F5CF"/>
    <w:rsid w:val="1BEF38CC"/>
    <w:rsid w:val="1C1FB7E7"/>
    <w:rsid w:val="1C466901"/>
    <w:rsid w:val="1C7DA367"/>
    <w:rsid w:val="1C8D35AB"/>
    <w:rsid w:val="1CA97D8C"/>
    <w:rsid w:val="1D9E09CD"/>
    <w:rsid w:val="1DAF484B"/>
    <w:rsid w:val="1DC93073"/>
    <w:rsid w:val="1E18EA96"/>
    <w:rsid w:val="1FE1D5BF"/>
    <w:rsid w:val="1FEAB1F3"/>
    <w:rsid w:val="1FEF5F9E"/>
    <w:rsid w:val="200A498A"/>
    <w:rsid w:val="202EB84D"/>
    <w:rsid w:val="20C6B6A4"/>
    <w:rsid w:val="2176F27C"/>
    <w:rsid w:val="21EC7F21"/>
    <w:rsid w:val="2219C5FB"/>
    <w:rsid w:val="222354B8"/>
    <w:rsid w:val="2275D10E"/>
    <w:rsid w:val="2276C341"/>
    <w:rsid w:val="2298B78A"/>
    <w:rsid w:val="22B4B104"/>
    <w:rsid w:val="23629CA2"/>
    <w:rsid w:val="2381C989"/>
    <w:rsid w:val="2390EF2E"/>
    <w:rsid w:val="23AFCBF0"/>
    <w:rsid w:val="23E0D78D"/>
    <w:rsid w:val="23F4D136"/>
    <w:rsid w:val="23FFF65E"/>
    <w:rsid w:val="244C3B99"/>
    <w:rsid w:val="244D64AB"/>
    <w:rsid w:val="248ED6CF"/>
    <w:rsid w:val="24991364"/>
    <w:rsid w:val="251EB346"/>
    <w:rsid w:val="25E93063"/>
    <w:rsid w:val="26D4EA04"/>
    <w:rsid w:val="277F06AC"/>
    <w:rsid w:val="285B93AB"/>
    <w:rsid w:val="288073B3"/>
    <w:rsid w:val="28D094D0"/>
    <w:rsid w:val="2905B7E7"/>
    <w:rsid w:val="295ECC91"/>
    <w:rsid w:val="29ED841D"/>
    <w:rsid w:val="2B27EC73"/>
    <w:rsid w:val="2B47EBC2"/>
    <w:rsid w:val="2B9C1EBD"/>
    <w:rsid w:val="2BE8DA1D"/>
    <w:rsid w:val="2C10FC90"/>
    <w:rsid w:val="2C5B5A22"/>
    <w:rsid w:val="2CA8155F"/>
    <w:rsid w:val="2CCD7EB5"/>
    <w:rsid w:val="2D175001"/>
    <w:rsid w:val="2D2AF8FB"/>
    <w:rsid w:val="2D3D02AB"/>
    <w:rsid w:val="2D57BBEC"/>
    <w:rsid w:val="2D6EF053"/>
    <w:rsid w:val="2DC80677"/>
    <w:rsid w:val="2E2AF25C"/>
    <w:rsid w:val="2E31811C"/>
    <w:rsid w:val="2EA7F08A"/>
    <w:rsid w:val="2EC771DB"/>
    <w:rsid w:val="2FAB28FE"/>
    <w:rsid w:val="308C7E39"/>
    <w:rsid w:val="30AA3CA0"/>
    <w:rsid w:val="30BD5530"/>
    <w:rsid w:val="318506C2"/>
    <w:rsid w:val="3187E298"/>
    <w:rsid w:val="31A5CF78"/>
    <w:rsid w:val="31C3DEC6"/>
    <w:rsid w:val="3243D6BB"/>
    <w:rsid w:val="327E7712"/>
    <w:rsid w:val="34219E1B"/>
    <w:rsid w:val="342B5CA1"/>
    <w:rsid w:val="34409336"/>
    <w:rsid w:val="3443FEFF"/>
    <w:rsid w:val="34899260"/>
    <w:rsid w:val="34FD02FA"/>
    <w:rsid w:val="3502AFB1"/>
    <w:rsid w:val="35855026"/>
    <w:rsid w:val="35869A13"/>
    <w:rsid w:val="35CD0660"/>
    <w:rsid w:val="35F4B941"/>
    <w:rsid w:val="35FAD83A"/>
    <w:rsid w:val="364E9863"/>
    <w:rsid w:val="366894D6"/>
    <w:rsid w:val="36FF850A"/>
    <w:rsid w:val="37144404"/>
    <w:rsid w:val="371747DE"/>
    <w:rsid w:val="37EB9D26"/>
    <w:rsid w:val="3833BE1A"/>
    <w:rsid w:val="3839B3EF"/>
    <w:rsid w:val="3868F075"/>
    <w:rsid w:val="394CEBAE"/>
    <w:rsid w:val="39943186"/>
    <w:rsid w:val="3A310449"/>
    <w:rsid w:val="3A46DF77"/>
    <w:rsid w:val="3A62A1BE"/>
    <w:rsid w:val="3A78BEF4"/>
    <w:rsid w:val="3A954A1B"/>
    <w:rsid w:val="3AB6880E"/>
    <w:rsid w:val="3ACB9C48"/>
    <w:rsid w:val="3B1D1CA2"/>
    <w:rsid w:val="3BE407CF"/>
    <w:rsid w:val="3C317D8D"/>
    <w:rsid w:val="3C52586F"/>
    <w:rsid w:val="3DC85BCB"/>
    <w:rsid w:val="3DCAFDA4"/>
    <w:rsid w:val="3DE9DA66"/>
    <w:rsid w:val="3DEE28D0"/>
    <w:rsid w:val="3E466D91"/>
    <w:rsid w:val="3E5A54F1"/>
    <w:rsid w:val="3EAFEEA7"/>
    <w:rsid w:val="3F3E3426"/>
    <w:rsid w:val="3F63FF3B"/>
    <w:rsid w:val="3F8740D3"/>
    <w:rsid w:val="3F9A7964"/>
    <w:rsid w:val="3FC9ADEB"/>
    <w:rsid w:val="3FDA1191"/>
    <w:rsid w:val="401CEE7C"/>
    <w:rsid w:val="404E4654"/>
    <w:rsid w:val="40F31F40"/>
    <w:rsid w:val="4101496C"/>
    <w:rsid w:val="419436B4"/>
    <w:rsid w:val="41A01AC8"/>
    <w:rsid w:val="41D204A7"/>
    <w:rsid w:val="4232337E"/>
    <w:rsid w:val="42A25F40"/>
    <w:rsid w:val="42A8B834"/>
    <w:rsid w:val="435CAA94"/>
    <w:rsid w:val="43A1B776"/>
    <w:rsid w:val="43BEA763"/>
    <w:rsid w:val="44A9A988"/>
    <w:rsid w:val="451BF191"/>
    <w:rsid w:val="4547AB99"/>
    <w:rsid w:val="458992A6"/>
    <w:rsid w:val="45D7BA4F"/>
    <w:rsid w:val="45F0347C"/>
    <w:rsid w:val="46DCAAF5"/>
    <w:rsid w:val="47017A6A"/>
    <w:rsid w:val="47165D52"/>
    <w:rsid w:val="4719C932"/>
    <w:rsid w:val="472D7683"/>
    <w:rsid w:val="4735E0D1"/>
    <w:rsid w:val="478C1002"/>
    <w:rsid w:val="4791830E"/>
    <w:rsid w:val="4808063E"/>
    <w:rsid w:val="48A44F04"/>
    <w:rsid w:val="48D9A23F"/>
    <w:rsid w:val="48EE7E60"/>
    <w:rsid w:val="49A19B47"/>
    <w:rsid w:val="49AECBBA"/>
    <w:rsid w:val="4A6ED758"/>
    <w:rsid w:val="4AA3F0E9"/>
    <w:rsid w:val="4B4BAD4B"/>
    <w:rsid w:val="4BDB4A10"/>
    <w:rsid w:val="4C1395B6"/>
    <w:rsid w:val="4C32A0A5"/>
    <w:rsid w:val="4C96A44D"/>
    <w:rsid w:val="4CA0B003"/>
    <w:rsid w:val="4D40319C"/>
    <w:rsid w:val="4D4829D3"/>
    <w:rsid w:val="4DA44535"/>
    <w:rsid w:val="4DED8581"/>
    <w:rsid w:val="4E01D4FA"/>
    <w:rsid w:val="4EC75365"/>
    <w:rsid w:val="4F5A0705"/>
    <w:rsid w:val="4FC30E1A"/>
    <w:rsid w:val="4FE814AD"/>
    <w:rsid w:val="4FEA37C8"/>
    <w:rsid w:val="500DEE5C"/>
    <w:rsid w:val="502AAC85"/>
    <w:rsid w:val="503931B8"/>
    <w:rsid w:val="505178B5"/>
    <w:rsid w:val="50D0C0C2"/>
    <w:rsid w:val="50FF7A70"/>
    <w:rsid w:val="5114C80A"/>
    <w:rsid w:val="516063B1"/>
    <w:rsid w:val="51BDA616"/>
    <w:rsid w:val="51DD66D7"/>
    <w:rsid w:val="51FEF427"/>
    <w:rsid w:val="528BBE4E"/>
    <w:rsid w:val="52E29DF4"/>
    <w:rsid w:val="52E9E4CE"/>
    <w:rsid w:val="52FDE938"/>
    <w:rsid w:val="52FE6AC9"/>
    <w:rsid w:val="533CB439"/>
    <w:rsid w:val="53A215AB"/>
    <w:rsid w:val="53C947DD"/>
    <w:rsid w:val="54694B53"/>
    <w:rsid w:val="54F20F4F"/>
    <w:rsid w:val="550990C9"/>
    <w:rsid w:val="550D59CE"/>
    <w:rsid w:val="553BF1BE"/>
    <w:rsid w:val="55E58A2D"/>
    <w:rsid w:val="564C692D"/>
    <w:rsid w:val="56B3E018"/>
    <w:rsid w:val="573050CA"/>
    <w:rsid w:val="5730BA2D"/>
    <w:rsid w:val="584FEDE2"/>
    <w:rsid w:val="5870F188"/>
    <w:rsid w:val="595B7175"/>
    <w:rsid w:val="5A6E3367"/>
    <w:rsid w:val="5AEBE014"/>
    <w:rsid w:val="5B0D077C"/>
    <w:rsid w:val="5BA250F3"/>
    <w:rsid w:val="5BB8B6AA"/>
    <w:rsid w:val="5C14EF88"/>
    <w:rsid w:val="5C378998"/>
    <w:rsid w:val="5D1D1919"/>
    <w:rsid w:val="5DA222FF"/>
    <w:rsid w:val="5DF44B3A"/>
    <w:rsid w:val="5E075C87"/>
    <w:rsid w:val="5E11DBD6"/>
    <w:rsid w:val="5F045AA8"/>
    <w:rsid w:val="5FB2B4F0"/>
    <w:rsid w:val="5FE89C2F"/>
    <w:rsid w:val="5FE8CDED"/>
    <w:rsid w:val="5FF17A38"/>
    <w:rsid w:val="5FF21C16"/>
    <w:rsid w:val="612ECB53"/>
    <w:rsid w:val="6131E5BA"/>
    <w:rsid w:val="6144E933"/>
    <w:rsid w:val="614E8551"/>
    <w:rsid w:val="6199A656"/>
    <w:rsid w:val="61F6D028"/>
    <w:rsid w:val="631C9D8A"/>
    <w:rsid w:val="635687AC"/>
    <w:rsid w:val="641CE715"/>
    <w:rsid w:val="6439743C"/>
    <w:rsid w:val="6461327B"/>
    <w:rsid w:val="648262CA"/>
    <w:rsid w:val="64A735EC"/>
    <w:rsid w:val="64E20B1F"/>
    <w:rsid w:val="64F2580D"/>
    <w:rsid w:val="659F4702"/>
    <w:rsid w:val="66A4C9CB"/>
    <w:rsid w:val="66ACE025"/>
    <w:rsid w:val="66CA414B"/>
    <w:rsid w:val="67089609"/>
    <w:rsid w:val="677C9BD9"/>
    <w:rsid w:val="67868559"/>
    <w:rsid w:val="68915FCB"/>
    <w:rsid w:val="690F00CA"/>
    <w:rsid w:val="692F3B03"/>
    <w:rsid w:val="69406ED9"/>
    <w:rsid w:val="69BEE35C"/>
    <w:rsid w:val="69C7E4D2"/>
    <w:rsid w:val="69D1AFF7"/>
    <w:rsid w:val="6A00DA5B"/>
    <w:rsid w:val="6AA74C80"/>
    <w:rsid w:val="6B30D138"/>
    <w:rsid w:val="6B3AD240"/>
    <w:rsid w:val="6B5DC703"/>
    <w:rsid w:val="6B8735EA"/>
    <w:rsid w:val="6BCB2D97"/>
    <w:rsid w:val="6C2430C0"/>
    <w:rsid w:val="6C6939E9"/>
    <w:rsid w:val="6E47CD0D"/>
    <w:rsid w:val="6E84C876"/>
    <w:rsid w:val="6E92547F"/>
    <w:rsid w:val="6E9DD236"/>
    <w:rsid w:val="6EC0C94C"/>
    <w:rsid w:val="6F9564EA"/>
    <w:rsid w:val="6FB50D32"/>
    <w:rsid w:val="6FB8CC38"/>
    <w:rsid w:val="6FBA06A3"/>
    <w:rsid w:val="6FF0BEC7"/>
    <w:rsid w:val="6FF81BB1"/>
    <w:rsid w:val="70AC726A"/>
    <w:rsid w:val="72375E27"/>
    <w:rsid w:val="72B1EDFF"/>
    <w:rsid w:val="72F42E58"/>
    <w:rsid w:val="73545953"/>
    <w:rsid w:val="73B09B72"/>
    <w:rsid w:val="74F2D497"/>
    <w:rsid w:val="74FF441D"/>
    <w:rsid w:val="75414FAE"/>
    <w:rsid w:val="75710040"/>
    <w:rsid w:val="75B96580"/>
    <w:rsid w:val="76374FF5"/>
    <w:rsid w:val="768023EF"/>
    <w:rsid w:val="76BC7876"/>
    <w:rsid w:val="77DCDEDC"/>
    <w:rsid w:val="7802DBFC"/>
    <w:rsid w:val="78076344"/>
    <w:rsid w:val="7838F4B4"/>
    <w:rsid w:val="789FA9D5"/>
    <w:rsid w:val="790DA461"/>
    <w:rsid w:val="7963E384"/>
    <w:rsid w:val="796EF0B7"/>
    <w:rsid w:val="7AF7BFD9"/>
    <w:rsid w:val="7B300A3D"/>
    <w:rsid w:val="7C36466E"/>
    <w:rsid w:val="7D2A9A12"/>
    <w:rsid w:val="7D7CDEAF"/>
    <w:rsid w:val="7DD97515"/>
    <w:rsid w:val="7DEE22CD"/>
    <w:rsid w:val="7DF9289A"/>
    <w:rsid w:val="7E2DE266"/>
    <w:rsid w:val="7E531FF6"/>
    <w:rsid w:val="7E680A49"/>
    <w:rsid w:val="7E8EBA25"/>
    <w:rsid w:val="7F23238E"/>
    <w:rsid w:val="7F496A76"/>
    <w:rsid w:val="7F984F5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28375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9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0"/>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0"/>
    <w:qFormat/>
    <w:rsid w:val="00F46D40"/>
    <w:pPr>
      <w:spacing w:after="240" w:line="240" w:lineRule="auto"/>
      <w:jc w:val="both"/>
    </w:pPr>
    <w:rPr>
      <w:rFonts w:ascii="Times New Roman" w:eastAsia="Times New Roman" w:hAnsi="Times New Roman" w:cs="Times New Roman"/>
      <w:sz w:val="24"/>
      <w:szCs w:val="20"/>
      <w:lang w:val="en-US" w:eastAsia="en-GB"/>
    </w:rPr>
  </w:style>
  <w:style w:type="paragraph" w:styleId="Heading1">
    <w:name w:val="heading 1"/>
    <w:basedOn w:val="Normal"/>
    <w:next w:val="Normal"/>
    <w:link w:val="Heading1Char"/>
    <w:uiPriority w:val="9"/>
    <w:qFormat/>
    <w:rsid w:val="0016246B"/>
    <w:pPr>
      <w:keepNext/>
      <w:numPr>
        <w:numId w:val="1"/>
      </w:numPr>
      <w:spacing w:before="360"/>
      <w:outlineLvl w:val="0"/>
    </w:pPr>
    <w:rPr>
      <w:rFonts w:eastAsiaTheme="majorEastAsia"/>
      <w:b/>
      <w:bCs/>
      <w:smallCaps/>
      <w:szCs w:val="28"/>
    </w:rPr>
  </w:style>
  <w:style w:type="paragraph" w:styleId="Heading2">
    <w:name w:val="heading 2"/>
    <w:basedOn w:val="Normal"/>
    <w:next w:val="Normal"/>
    <w:link w:val="Heading2Char"/>
    <w:uiPriority w:val="9"/>
    <w:unhideWhenUsed/>
    <w:qFormat/>
    <w:rsid w:val="0016246B"/>
    <w:pPr>
      <w:keepNext/>
      <w:numPr>
        <w:ilvl w:val="1"/>
        <w:numId w:val="1"/>
      </w:numPr>
      <w:outlineLvl w:val="1"/>
    </w:pPr>
    <w:rPr>
      <w:rFonts w:eastAsiaTheme="majorEastAsia"/>
      <w:b/>
      <w:bCs/>
      <w:szCs w:val="26"/>
    </w:rPr>
  </w:style>
  <w:style w:type="paragraph" w:styleId="Heading3">
    <w:name w:val="heading 3"/>
    <w:basedOn w:val="Normal"/>
    <w:next w:val="Normal"/>
    <w:link w:val="Heading3Char"/>
    <w:uiPriority w:val="9"/>
    <w:unhideWhenUsed/>
    <w:qFormat/>
    <w:rsid w:val="0016246B"/>
    <w:pPr>
      <w:keepNext/>
      <w:numPr>
        <w:ilvl w:val="2"/>
        <w:numId w:val="1"/>
      </w:numPr>
      <w:outlineLvl w:val="2"/>
    </w:pPr>
    <w:rPr>
      <w:rFonts w:eastAsiaTheme="majorEastAsia"/>
      <w:bCs/>
      <w:i/>
    </w:rPr>
  </w:style>
  <w:style w:type="paragraph" w:styleId="Heading4">
    <w:name w:val="heading 4"/>
    <w:basedOn w:val="Normal"/>
    <w:next w:val="Normal"/>
    <w:link w:val="Heading4Char"/>
    <w:uiPriority w:val="9"/>
    <w:semiHidden/>
    <w:unhideWhenUsed/>
    <w:qFormat/>
    <w:rsid w:val="0016246B"/>
    <w:pPr>
      <w:keepNext/>
      <w:numPr>
        <w:ilvl w:val="3"/>
        <w:numId w:val="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46B"/>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rsid w:val="0016246B"/>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sid w:val="0016246B"/>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sid w:val="0016246B"/>
    <w:rPr>
      <w:rFonts w:ascii="Times New Roman" w:eastAsiaTheme="majorEastAsia" w:hAnsi="Times New Roman" w:cs="Times New Roman"/>
      <w:bCs/>
      <w:iCs/>
      <w:sz w:val="24"/>
    </w:rPr>
  </w:style>
  <w:style w:type="paragraph" w:styleId="Footer">
    <w:name w:val="footer"/>
    <w:basedOn w:val="Normal"/>
    <w:link w:val="FooterChar"/>
    <w:uiPriority w:val="99"/>
    <w:unhideWhenUsed/>
    <w:rsid w:val="0016246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6246B"/>
    <w:rPr>
      <w:rFonts w:ascii="Times New Roman" w:hAnsi="Times New Roman" w:cs="Times New Roman"/>
      <w:sz w:val="24"/>
    </w:rPr>
  </w:style>
  <w:style w:type="paragraph" w:styleId="FootnoteText">
    <w:name w:val="footnote text"/>
    <w:aliases w:val="Fotnotetekst Tegn1,Fotnotetekst Tegn Tegn,Fotnotetekst Tegn1 Tegn Tegn,Fotnotetekst Tegn Tegn Tegn Tegn,Fotnotetekst Tegn2 Tegn Tegn Tegn Tegn,Fotnotetekst Tegn1 Tegn Tegn Tegn Tegn Tegn,Footnote,fn,Footnote Text Char Char,FOOTNOTES"/>
    <w:basedOn w:val="Normal"/>
    <w:link w:val="FootnoteTextChar"/>
    <w:unhideWhenUsed/>
    <w:qFormat/>
    <w:rsid w:val="0016246B"/>
    <w:pPr>
      <w:spacing w:after="0"/>
      <w:ind w:left="720" w:hanging="720"/>
    </w:pPr>
    <w:rPr>
      <w:sz w:val="20"/>
    </w:rPr>
  </w:style>
  <w:style w:type="character" w:customStyle="1" w:styleId="FootnoteTextChar">
    <w:name w:val="Footnote Text Char"/>
    <w:aliases w:val="Fotnotetekst Tegn1 Char,Fotnotetekst Tegn Tegn Char,Fotnotetekst Tegn1 Tegn Tegn Char,Fotnotetekst Tegn Tegn Tegn Tegn Char,Fotnotetekst Tegn2 Tegn Tegn Tegn Tegn Char,Fotnotetekst Tegn1 Tegn Tegn Tegn Tegn Tegn Char,Footnote Char"/>
    <w:basedOn w:val="DefaultParagraphFont"/>
    <w:link w:val="FootnoteText"/>
    <w:qFormat/>
    <w:rsid w:val="0016246B"/>
    <w:rPr>
      <w:rFonts w:ascii="Times New Roman" w:hAnsi="Times New Roman" w:cs="Times New Roman"/>
      <w:sz w:val="20"/>
      <w:szCs w:val="20"/>
    </w:rPr>
  </w:style>
  <w:style w:type="character" w:styleId="FootnoteReference">
    <w:name w:val="footnote reference"/>
    <w:aliases w:val="Footnote Reference Superscript,Footnote reference number,Times 10 Point,Exposant 3 Point,Footnote symbol,Footnote Reference Number,Footnote Reference_LVL6,Footnote Reference_LVL61,Footnote Reference_LVL62,Footnote Reference_LVL63,Ref"/>
    <w:basedOn w:val="DefaultParagraphFont"/>
    <w:link w:val="CharCharChar"/>
    <w:unhideWhenUsed/>
    <w:qFormat/>
    <w:rsid w:val="0016246B"/>
    <w:rPr>
      <w:shd w:val="clear" w:color="auto" w:fill="auto"/>
      <w:vertAlign w:val="superscript"/>
    </w:rPr>
  </w:style>
  <w:style w:type="paragraph" w:customStyle="1" w:styleId="ManualHeading1">
    <w:name w:val="Manual Heading 1"/>
    <w:basedOn w:val="Normal"/>
    <w:next w:val="Normal"/>
    <w:rsid w:val="0016246B"/>
    <w:pPr>
      <w:keepNext/>
      <w:tabs>
        <w:tab w:val="left" w:pos="850"/>
      </w:tabs>
      <w:spacing w:before="360"/>
      <w:ind w:left="850" w:hanging="850"/>
      <w:outlineLvl w:val="0"/>
    </w:pPr>
    <w:rPr>
      <w:b/>
      <w:smallCaps/>
    </w:rPr>
  </w:style>
  <w:style w:type="paragraph" w:customStyle="1" w:styleId="ManualHeading2">
    <w:name w:val="Manual Heading 2"/>
    <w:basedOn w:val="Normal"/>
    <w:next w:val="Normal"/>
    <w:rsid w:val="0016246B"/>
    <w:pPr>
      <w:keepNext/>
      <w:tabs>
        <w:tab w:val="left" w:pos="850"/>
      </w:tabs>
      <w:ind w:left="850" w:hanging="850"/>
      <w:outlineLvl w:val="1"/>
    </w:pPr>
    <w:rPr>
      <w:b/>
    </w:rPr>
  </w:style>
  <w:style w:type="paragraph" w:customStyle="1" w:styleId="Annexetitre">
    <w:name w:val="Annexe titre"/>
    <w:basedOn w:val="Normal"/>
    <w:next w:val="Normal"/>
    <w:rsid w:val="0016246B"/>
    <w:pPr>
      <w:jc w:val="center"/>
    </w:pPr>
    <w:rPr>
      <w:b/>
      <w:u w:val="single"/>
    </w:rPr>
  </w:style>
  <w:style w:type="paragraph" w:customStyle="1" w:styleId="Copies">
    <w:name w:val="Copies"/>
    <w:basedOn w:val="Normal"/>
    <w:next w:val="Normal"/>
    <w:link w:val="CopiesChar"/>
    <w:rsid w:val="0016246B"/>
    <w:pPr>
      <w:tabs>
        <w:tab w:val="left" w:pos="2552"/>
        <w:tab w:val="left" w:pos="2835"/>
        <w:tab w:val="left" w:pos="5670"/>
        <w:tab w:val="left" w:pos="6379"/>
        <w:tab w:val="left" w:pos="6804"/>
      </w:tabs>
      <w:spacing w:before="480" w:after="0"/>
      <w:ind w:left="1985" w:hanging="1985"/>
      <w:jc w:val="left"/>
    </w:pPr>
  </w:style>
  <w:style w:type="character" w:customStyle="1" w:styleId="CopiesChar">
    <w:name w:val="Copies Char"/>
    <w:link w:val="Copies"/>
    <w:rsid w:val="0016246B"/>
    <w:rPr>
      <w:rFonts w:ascii="Times New Roman" w:eastAsia="Times New Roman" w:hAnsi="Times New Roman" w:cs="Times New Roman"/>
      <w:sz w:val="24"/>
      <w:szCs w:val="20"/>
    </w:rPr>
  </w:style>
  <w:style w:type="paragraph" w:styleId="ListParagraph">
    <w:name w:val="List Paragraph"/>
    <w:basedOn w:val="Normal"/>
    <w:uiPriority w:val="34"/>
    <w:qFormat/>
    <w:rsid w:val="0016246B"/>
    <w:pPr>
      <w:ind w:left="720"/>
      <w:contextualSpacing/>
    </w:pPr>
  </w:style>
  <w:style w:type="character" w:styleId="Hyperlink">
    <w:name w:val="Hyperlink"/>
    <w:basedOn w:val="DefaultParagraphFont"/>
    <w:uiPriority w:val="99"/>
    <w:unhideWhenUsed/>
    <w:rsid w:val="0016246B"/>
    <w:rPr>
      <w:color w:val="0563C1" w:themeColor="hyperlink"/>
      <w:u w:val="single"/>
    </w:rPr>
  </w:style>
  <w:style w:type="character" w:customStyle="1" w:styleId="Marker">
    <w:name w:val="Marker"/>
    <w:basedOn w:val="DefaultParagraphFont"/>
    <w:rsid w:val="0016246B"/>
    <w:rPr>
      <w:color w:val="0000FF"/>
      <w:shd w:val="clear" w:color="auto" w:fill="auto"/>
    </w:rPr>
  </w:style>
  <w:style w:type="paragraph" w:customStyle="1" w:styleId="Pagedecouverture">
    <w:name w:val="Page de couverture"/>
    <w:basedOn w:val="Normal"/>
    <w:next w:val="Normal"/>
    <w:rsid w:val="0016246B"/>
    <w:pPr>
      <w:spacing w:after="0"/>
    </w:pPr>
  </w:style>
  <w:style w:type="paragraph" w:styleId="Header">
    <w:name w:val="header"/>
    <w:basedOn w:val="Normal"/>
    <w:link w:val="HeaderChar"/>
    <w:uiPriority w:val="99"/>
    <w:unhideWhenUsed/>
    <w:rsid w:val="0016246B"/>
    <w:pPr>
      <w:tabs>
        <w:tab w:val="center" w:pos="4680"/>
        <w:tab w:val="right" w:pos="9360"/>
      </w:tabs>
      <w:spacing w:after="0"/>
    </w:pPr>
  </w:style>
  <w:style w:type="character" w:customStyle="1" w:styleId="HeaderChar">
    <w:name w:val="Header Char"/>
    <w:basedOn w:val="DefaultParagraphFont"/>
    <w:link w:val="Header"/>
    <w:uiPriority w:val="99"/>
    <w:rsid w:val="0016246B"/>
    <w:rPr>
      <w:rFonts w:ascii="Times New Roman" w:hAnsi="Times New Roman" w:cs="Times New Roman"/>
      <w:sz w:val="24"/>
    </w:rPr>
  </w:style>
  <w:style w:type="paragraph" w:customStyle="1" w:styleId="FooterCoverPage">
    <w:name w:val="Footer Cover Page"/>
    <w:basedOn w:val="Normal"/>
    <w:link w:val="FooterCoverPageChar"/>
    <w:rsid w:val="0016246B"/>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sid w:val="0016246B"/>
    <w:rPr>
      <w:rFonts w:ascii="Times New Roman" w:eastAsia="Times New Roman" w:hAnsi="Times New Roman" w:cs="Times New Roman"/>
      <w:b w:val="0"/>
      <w:bCs w:val="0"/>
      <w:smallCaps w:val="0"/>
      <w:sz w:val="24"/>
      <w:szCs w:val="20"/>
      <w:lang w:val="en-US" w:eastAsia="en-GB"/>
    </w:rPr>
  </w:style>
  <w:style w:type="paragraph" w:customStyle="1" w:styleId="FooterSensitivity">
    <w:name w:val="Footer Sensitivity"/>
    <w:basedOn w:val="Normal"/>
    <w:link w:val="FooterSensitivityChar"/>
    <w:rsid w:val="0016246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1Char"/>
    <w:link w:val="FooterSensitivity"/>
    <w:rsid w:val="0016246B"/>
    <w:rPr>
      <w:rFonts w:ascii="Times New Roman" w:eastAsia="Times New Roman" w:hAnsi="Times New Roman" w:cs="Times New Roman"/>
      <w:b/>
      <w:bCs w:val="0"/>
      <w:smallCaps w:val="0"/>
      <w:sz w:val="32"/>
      <w:szCs w:val="20"/>
      <w:lang w:val="en-US" w:eastAsia="en-GB"/>
    </w:rPr>
  </w:style>
  <w:style w:type="paragraph" w:customStyle="1" w:styleId="HeaderCoverPage">
    <w:name w:val="Header Cover Page"/>
    <w:basedOn w:val="Normal"/>
    <w:link w:val="HeaderCoverPageChar"/>
    <w:rsid w:val="0016246B"/>
    <w:pPr>
      <w:tabs>
        <w:tab w:val="center" w:pos="4535"/>
        <w:tab w:val="right" w:pos="9071"/>
      </w:tabs>
      <w:spacing w:after="120"/>
    </w:pPr>
  </w:style>
  <w:style w:type="character" w:customStyle="1" w:styleId="HeaderCoverPageChar">
    <w:name w:val="Header Cover Page Char"/>
    <w:basedOn w:val="Heading1Char"/>
    <w:link w:val="HeaderCoverPage"/>
    <w:rsid w:val="0016246B"/>
    <w:rPr>
      <w:rFonts w:ascii="Times New Roman" w:eastAsia="Times New Roman" w:hAnsi="Times New Roman" w:cs="Times New Roman"/>
      <w:b w:val="0"/>
      <w:bCs w:val="0"/>
      <w:smallCaps w:val="0"/>
      <w:sz w:val="24"/>
      <w:szCs w:val="20"/>
      <w:lang w:val="en-US" w:eastAsia="en-GB"/>
    </w:rPr>
  </w:style>
  <w:style w:type="paragraph" w:customStyle="1" w:styleId="HeaderSensitivity">
    <w:name w:val="Header Sensitivity"/>
    <w:basedOn w:val="Normal"/>
    <w:link w:val="HeaderSensitivityChar"/>
    <w:rsid w:val="0016246B"/>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sid w:val="0016246B"/>
    <w:rPr>
      <w:rFonts w:ascii="Times New Roman" w:eastAsia="Times New Roman" w:hAnsi="Times New Roman" w:cs="Times New Roman"/>
      <w:b/>
      <w:bCs w:val="0"/>
      <w:smallCaps w:val="0"/>
      <w:sz w:val="32"/>
      <w:szCs w:val="20"/>
      <w:lang w:val="en-US" w:eastAsia="en-GB"/>
    </w:rPr>
  </w:style>
  <w:style w:type="paragraph" w:customStyle="1" w:styleId="HeaderSensitivityRight">
    <w:name w:val="Header Sensitivity Right"/>
    <w:basedOn w:val="Normal"/>
    <w:link w:val="HeaderSensitivityRightChar"/>
    <w:rsid w:val="0016246B"/>
    <w:pPr>
      <w:spacing w:after="120"/>
      <w:jc w:val="right"/>
    </w:pPr>
    <w:rPr>
      <w:sz w:val="28"/>
    </w:rPr>
  </w:style>
  <w:style w:type="character" w:customStyle="1" w:styleId="HeaderSensitivityRightChar">
    <w:name w:val="Header Sensitivity Right Char"/>
    <w:basedOn w:val="Heading1Char"/>
    <w:link w:val="HeaderSensitivityRight"/>
    <w:rsid w:val="0016246B"/>
    <w:rPr>
      <w:rFonts w:ascii="Times New Roman" w:eastAsia="Times New Roman" w:hAnsi="Times New Roman" w:cs="Times New Roman"/>
      <w:b w:val="0"/>
      <w:bCs w:val="0"/>
      <w:smallCaps w:val="0"/>
      <w:sz w:val="28"/>
      <w:szCs w:val="20"/>
      <w:lang w:val="en-US" w:eastAsia="en-GB"/>
    </w:rPr>
  </w:style>
  <w:style w:type="paragraph" w:customStyle="1" w:styleId="Typedudocument">
    <w:name w:val="Type du document"/>
    <w:basedOn w:val="Normal"/>
    <w:next w:val="Normal"/>
    <w:rsid w:val="00251B8B"/>
    <w:pPr>
      <w:spacing w:before="360" w:after="0"/>
      <w:jc w:val="center"/>
    </w:pPr>
    <w:rPr>
      <w:b/>
    </w:rPr>
  </w:style>
  <w:style w:type="paragraph" w:customStyle="1" w:styleId="Titreobjet">
    <w:name w:val="Titre objet"/>
    <w:basedOn w:val="Normal"/>
    <w:next w:val="Normal"/>
    <w:rsid w:val="00251B8B"/>
    <w:pPr>
      <w:spacing w:before="360" w:after="360"/>
      <w:jc w:val="center"/>
    </w:pPr>
    <w:rPr>
      <w:b/>
    </w:rPr>
  </w:style>
  <w:style w:type="paragraph" w:styleId="BalloonText">
    <w:name w:val="Balloon Text"/>
    <w:basedOn w:val="Normal"/>
    <w:link w:val="BalloonTextChar"/>
    <w:uiPriority w:val="99"/>
    <w:semiHidden/>
    <w:unhideWhenUsed/>
    <w:rsid w:val="00C20A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A86"/>
    <w:rPr>
      <w:rFonts w:ascii="Segoe UI" w:hAnsi="Segoe UI" w:cs="Segoe UI"/>
      <w:sz w:val="18"/>
      <w:szCs w:val="18"/>
    </w:rPr>
  </w:style>
  <w:style w:type="character" w:styleId="FollowedHyperlink">
    <w:name w:val="FollowedHyperlink"/>
    <w:basedOn w:val="DefaultParagraphFont"/>
    <w:uiPriority w:val="99"/>
    <w:semiHidden/>
    <w:unhideWhenUsed/>
    <w:rsid w:val="00C20A86"/>
    <w:rPr>
      <w:color w:val="954F72" w:themeColor="followedHyperlink"/>
      <w:u w:val="single"/>
    </w:rPr>
  </w:style>
  <w:style w:type="character" w:styleId="CommentReference">
    <w:name w:val="annotation reference"/>
    <w:basedOn w:val="DefaultParagraphFont"/>
    <w:semiHidden/>
    <w:unhideWhenUsed/>
    <w:rsid w:val="00CF6544"/>
    <w:rPr>
      <w:sz w:val="16"/>
      <w:szCs w:val="16"/>
    </w:rPr>
  </w:style>
  <w:style w:type="paragraph" w:styleId="CommentText">
    <w:name w:val="annotation text"/>
    <w:basedOn w:val="Normal"/>
    <w:link w:val="CommentTextChar"/>
    <w:unhideWhenUsed/>
    <w:rsid w:val="00CF6544"/>
    <w:rPr>
      <w:sz w:val="20"/>
    </w:rPr>
  </w:style>
  <w:style w:type="character" w:customStyle="1" w:styleId="CommentTextChar">
    <w:name w:val="Comment Text Char"/>
    <w:basedOn w:val="DefaultParagraphFont"/>
    <w:link w:val="CommentText"/>
    <w:rsid w:val="00CF654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6544"/>
    <w:rPr>
      <w:b/>
      <w:bCs/>
    </w:rPr>
  </w:style>
  <w:style w:type="character" w:customStyle="1" w:styleId="CommentSubjectChar">
    <w:name w:val="Comment Subject Char"/>
    <w:basedOn w:val="CommentTextChar"/>
    <w:link w:val="CommentSubject"/>
    <w:uiPriority w:val="99"/>
    <w:semiHidden/>
    <w:rsid w:val="00CF6544"/>
    <w:rPr>
      <w:rFonts w:ascii="Times New Roman" w:hAnsi="Times New Roman" w:cs="Times New Roman"/>
      <w:b/>
      <w:bCs/>
      <w:sz w:val="20"/>
      <w:szCs w:val="20"/>
    </w:rPr>
  </w:style>
  <w:style w:type="paragraph" w:styleId="NormalWeb">
    <w:name w:val="Normal (Web)"/>
    <w:basedOn w:val="Normal"/>
    <w:uiPriority w:val="99"/>
    <w:unhideWhenUsed/>
    <w:rsid w:val="00255A33"/>
    <w:rPr>
      <w:szCs w:val="24"/>
    </w:rPr>
  </w:style>
  <w:style w:type="paragraph" w:styleId="Revision">
    <w:name w:val="Revision"/>
    <w:hidden/>
    <w:uiPriority w:val="99"/>
    <w:semiHidden/>
    <w:rsid w:val="00FB58B8"/>
    <w:pPr>
      <w:spacing w:after="0" w:line="240" w:lineRule="auto"/>
    </w:pPr>
    <w:rPr>
      <w:rFonts w:ascii="Times New Roman" w:eastAsia="Times New Roman" w:hAnsi="Times New Roman" w:cs="Times New Roman"/>
      <w:sz w:val="24"/>
      <w:szCs w:val="20"/>
      <w:lang w:eastAsia="en-GB"/>
    </w:rPr>
  </w:style>
  <w:style w:type="paragraph" w:customStyle="1" w:styleId="CharCharChar">
    <w:name w:val="Char Char Char"/>
    <w:basedOn w:val="Normal"/>
    <w:link w:val="FootnoteReference"/>
    <w:uiPriority w:val="99"/>
    <w:rsid w:val="00C253A0"/>
    <w:pPr>
      <w:spacing w:after="160" w:line="240" w:lineRule="exact"/>
      <w:jc w:val="left"/>
    </w:pPr>
    <w:rPr>
      <w:rFonts w:asciiTheme="minorHAnsi" w:eastAsiaTheme="minorHAnsi" w:hAnsiTheme="minorHAnsi" w:cstheme="minorBidi"/>
      <w:sz w:val="22"/>
      <w:szCs w:val="22"/>
      <w:vertAlign w:val="superscript"/>
      <w:lang w:eastAsia="en-US"/>
    </w:rPr>
  </w:style>
  <w:style w:type="paragraph" w:styleId="NoSpacing">
    <w:name w:val="No Spacing"/>
    <w:uiPriority w:val="1"/>
    <w:qFormat/>
    <w:rsid w:val="00C45A75"/>
    <w:pPr>
      <w:spacing w:after="0" w:line="240" w:lineRule="auto"/>
      <w:jc w:val="both"/>
    </w:pPr>
    <w:rPr>
      <w:rFonts w:ascii="Times New Roman" w:eastAsia="Times New Roman" w:hAnsi="Times New Roman" w:cs="Times New Roman"/>
      <w:sz w:val="24"/>
      <w:szCs w:val="20"/>
      <w:lang w:eastAsia="en-GB"/>
    </w:rPr>
  </w:style>
  <w:style w:type="paragraph" w:customStyle="1" w:styleId="ListDash4">
    <w:name w:val="List Dash 4"/>
    <w:basedOn w:val="Normal"/>
    <w:uiPriority w:val="1"/>
    <w:rsid w:val="0025635F"/>
    <w:pPr>
      <w:numPr>
        <w:numId w:val="33"/>
      </w:numPr>
    </w:pPr>
  </w:style>
  <w:style w:type="paragraph" w:customStyle="1" w:styleId="ListDash4Level2">
    <w:name w:val="List Dash 4 (Level 2)"/>
    <w:basedOn w:val="Normal"/>
    <w:uiPriority w:val="1"/>
    <w:rsid w:val="0025635F"/>
    <w:pPr>
      <w:numPr>
        <w:ilvl w:val="1"/>
        <w:numId w:val="33"/>
      </w:numPr>
    </w:pPr>
  </w:style>
  <w:style w:type="paragraph" w:customStyle="1" w:styleId="ListDash4Level3">
    <w:name w:val="List Dash 4 (Level 3)"/>
    <w:basedOn w:val="Normal"/>
    <w:uiPriority w:val="1"/>
    <w:semiHidden/>
    <w:unhideWhenUsed/>
    <w:rsid w:val="0025635F"/>
    <w:pPr>
      <w:numPr>
        <w:ilvl w:val="2"/>
        <w:numId w:val="33"/>
      </w:numPr>
    </w:pPr>
  </w:style>
  <w:style w:type="paragraph" w:customStyle="1" w:styleId="ListDash4Level4">
    <w:name w:val="List Dash 4 (Level 4)"/>
    <w:basedOn w:val="Normal"/>
    <w:uiPriority w:val="1"/>
    <w:semiHidden/>
    <w:unhideWhenUsed/>
    <w:rsid w:val="0025635F"/>
    <w:pPr>
      <w:numPr>
        <w:ilvl w:val="3"/>
        <w:numId w:val="33"/>
      </w:numPr>
    </w:pPr>
  </w:style>
  <w:style w:type="paragraph" w:styleId="TOC3">
    <w:name w:val="toc 3"/>
    <w:basedOn w:val="Normal"/>
    <w:next w:val="Normal"/>
    <w:autoRedefine/>
    <w:uiPriority w:val="39"/>
    <w:semiHidden/>
    <w:unhideWhenUsed/>
    <w:rsid w:val="00B666DA"/>
    <w:pPr>
      <w:spacing w:after="100"/>
      <w:ind w:left="480"/>
    </w:pPr>
  </w:style>
  <w:style w:type="paragraph" w:styleId="Caption">
    <w:name w:val="caption"/>
    <w:basedOn w:val="Normal"/>
    <w:next w:val="Normal"/>
    <w:rsid w:val="00151E54"/>
    <w:pPr>
      <w:spacing w:before="160"/>
    </w:pPr>
    <w:rPr>
      <w:i/>
      <w:sz w:val="22"/>
    </w:rPr>
  </w:style>
  <w:style w:type="paragraph" w:customStyle="1" w:styleId="source">
    <w:name w:val="source"/>
    <w:basedOn w:val="Normal"/>
    <w:link w:val="sourceChar"/>
    <w:uiPriority w:val="90"/>
    <w:qFormat/>
    <w:rsid w:val="00151E54"/>
    <w:rPr>
      <w:i/>
      <w:sz w:val="20"/>
    </w:rPr>
  </w:style>
  <w:style w:type="character" w:customStyle="1" w:styleId="sourceChar">
    <w:name w:val="source Char"/>
    <w:basedOn w:val="DefaultParagraphFont"/>
    <w:link w:val="source"/>
    <w:uiPriority w:val="90"/>
    <w:rsid w:val="00151E54"/>
    <w:rPr>
      <w:rFonts w:ascii="Times New Roman" w:eastAsia="Times New Roman" w:hAnsi="Times New Roman" w:cs="Times New Roman"/>
      <w:i/>
      <w:sz w:val="20"/>
      <w:szCs w:val="20"/>
      <w:lang w:eastAsia="en-GB"/>
    </w:rPr>
  </w:style>
  <w:style w:type="table" w:styleId="GridTable1Light-Accent1">
    <w:name w:val="Grid Table 1 Light Accent 1"/>
    <w:basedOn w:val="TableNormal"/>
    <w:rsid w:val="0004651C"/>
    <w:pPr>
      <w:spacing w:after="0" w:line="240" w:lineRule="auto"/>
    </w:pPr>
    <w:rPr>
      <w:rFonts w:ascii="Times New Roman" w:eastAsia="Times New Roman" w:hAnsi="Times New Roman" w:cs="Times New Roman"/>
      <w:sz w:val="24"/>
      <w:szCs w:val="20"/>
      <w:lang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paragraph">
    <w:name w:val="paragraph"/>
    <w:basedOn w:val="Normal"/>
    <w:rsid w:val="003E48E5"/>
    <w:pPr>
      <w:spacing w:before="100" w:beforeAutospacing="1" w:after="100" w:afterAutospacing="1"/>
      <w:jc w:val="left"/>
    </w:pPr>
    <w:rPr>
      <w:szCs w:val="24"/>
      <w:lang w:val="fr-FR" w:eastAsia="fr-FR"/>
    </w:rPr>
  </w:style>
  <w:style w:type="character" w:customStyle="1" w:styleId="normaltextrun">
    <w:name w:val="normaltextrun"/>
    <w:basedOn w:val="DefaultParagraphFont"/>
    <w:rsid w:val="003E48E5"/>
  </w:style>
  <w:style w:type="character" w:customStyle="1" w:styleId="eop">
    <w:name w:val="eop"/>
    <w:basedOn w:val="DefaultParagraphFont"/>
    <w:rsid w:val="003E48E5"/>
  </w:style>
  <w:style w:type="character" w:customStyle="1" w:styleId="superscript">
    <w:name w:val="superscript"/>
    <w:basedOn w:val="DefaultParagraphFont"/>
    <w:rsid w:val="003E48E5"/>
  </w:style>
  <w:style w:type="paragraph" w:customStyle="1" w:styleId="TableSource4">
    <w:name w:val="Table Source 4"/>
    <w:basedOn w:val="Normal"/>
    <w:next w:val="Normal"/>
    <w:semiHidden/>
    <w:unhideWhenUsed/>
    <w:rsid w:val="00D6134D"/>
    <w:pPr>
      <w:ind w:left="1202"/>
    </w:pPr>
    <w:rPr>
      <w:sz w:val="20"/>
    </w:rPr>
  </w:style>
  <w:style w:type="paragraph" w:customStyle="1" w:styleId="EASME-SMEFOOTNOTE">
    <w:name w:val="EASME-SME FOOTNOTE"/>
    <w:basedOn w:val="Normal"/>
    <w:uiPriority w:val="99"/>
    <w:qFormat/>
    <w:rsid w:val="00F11223"/>
    <w:pPr>
      <w:spacing w:before="60" w:after="160" w:line="240" w:lineRule="exact"/>
    </w:pPr>
    <w:rPr>
      <w:vertAlign w:val="superscript"/>
    </w:rPr>
  </w:style>
  <w:style w:type="paragraph" w:customStyle="1" w:styleId="Text2">
    <w:name w:val="Text 2"/>
    <w:basedOn w:val="Normal"/>
    <w:rsid w:val="00671ED4"/>
    <w:pPr>
      <w:tabs>
        <w:tab w:val="left" w:pos="3237"/>
      </w:tabs>
      <w:suppressAutoHyphens/>
      <w:ind w:left="1077"/>
    </w:pPr>
    <w:rPr>
      <w:lang w:eastAsia="ar-SA"/>
    </w:rPr>
  </w:style>
  <w:style w:type="character" w:customStyle="1" w:styleId="markedcontent">
    <w:name w:val="markedcontent"/>
    <w:basedOn w:val="DefaultParagraphFont"/>
    <w:rsid w:val="00C66992"/>
  </w:style>
  <w:style w:type="character" w:customStyle="1" w:styleId="hgkelc">
    <w:name w:val="hgkelc"/>
    <w:basedOn w:val="DefaultParagraphFont"/>
    <w:rsid w:val="00EC4893"/>
  </w:style>
  <w:style w:type="paragraph" w:customStyle="1" w:styleId="Text3">
    <w:name w:val="Text 3"/>
    <w:basedOn w:val="Normal"/>
    <w:uiPriority w:val="1"/>
    <w:qFormat/>
    <w:rsid w:val="0018591A"/>
    <w:pPr>
      <w:ind w:left="1202"/>
    </w:pPr>
    <w:rPr>
      <w:lang w:val="en-GB"/>
    </w:rPr>
  </w:style>
  <w:style w:type="paragraph" w:customStyle="1" w:styleId="title-bold">
    <w:name w:val="title-bold"/>
    <w:basedOn w:val="Normal"/>
    <w:rsid w:val="008C0805"/>
    <w:pPr>
      <w:spacing w:before="100" w:beforeAutospacing="1" w:after="100" w:afterAutospacing="1"/>
      <w:jc w:val="left"/>
    </w:pPr>
    <w:rPr>
      <w:szCs w:val="24"/>
      <w:lang w:val="fr-BE" w:eastAsia="fr-BE"/>
    </w:rPr>
  </w:style>
  <w:style w:type="character" w:styleId="Emphasis">
    <w:name w:val="Emphasis"/>
    <w:basedOn w:val="DefaultParagraphFont"/>
    <w:uiPriority w:val="20"/>
    <w:qFormat/>
    <w:rsid w:val="008C08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7249">
      <w:bodyDiv w:val="1"/>
      <w:marLeft w:val="0"/>
      <w:marRight w:val="0"/>
      <w:marTop w:val="0"/>
      <w:marBottom w:val="0"/>
      <w:divBdr>
        <w:top w:val="none" w:sz="0" w:space="0" w:color="auto"/>
        <w:left w:val="none" w:sz="0" w:space="0" w:color="auto"/>
        <w:bottom w:val="none" w:sz="0" w:space="0" w:color="auto"/>
        <w:right w:val="none" w:sz="0" w:space="0" w:color="auto"/>
      </w:divBdr>
    </w:div>
    <w:div w:id="56319096">
      <w:bodyDiv w:val="1"/>
      <w:marLeft w:val="0"/>
      <w:marRight w:val="0"/>
      <w:marTop w:val="0"/>
      <w:marBottom w:val="0"/>
      <w:divBdr>
        <w:top w:val="none" w:sz="0" w:space="0" w:color="auto"/>
        <w:left w:val="none" w:sz="0" w:space="0" w:color="auto"/>
        <w:bottom w:val="none" w:sz="0" w:space="0" w:color="auto"/>
        <w:right w:val="none" w:sz="0" w:space="0" w:color="auto"/>
      </w:divBdr>
    </w:div>
    <w:div w:id="90324878">
      <w:bodyDiv w:val="1"/>
      <w:marLeft w:val="0"/>
      <w:marRight w:val="0"/>
      <w:marTop w:val="0"/>
      <w:marBottom w:val="0"/>
      <w:divBdr>
        <w:top w:val="none" w:sz="0" w:space="0" w:color="auto"/>
        <w:left w:val="none" w:sz="0" w:space="0" w:color="auto"/>
        <w:bottom w:val="none" w:sz="0" w:space="0" w:color="auto"/>
        <w:right w:val="none" w:sz="0" w:space="0" w:color="auto"/>
      </w:divBdr>
    </w:div>
    <w:div w:id="100540151">
      <w:bodyDiv w:val="1"/>
      <w:marLeft w:val="0"/>
      <w:marRight w:val="0"/>
      <w:marTop w:val="0"/>
      <w:marBottom w:val="0"/>
      <w:divBdr>
        <w:top w:val="none" w:sz="0" w:space="0" w:color="auto"/>
        <w:left w:val="none" w:sz="0" w:space="0" w:color="auto"/>
        <w:bottom w:val="none" w:sz="0" w:space="0" w:color="auto"/>
        <w:right w:val="none" w:sz="0" w:space="0" w:color="auto"/>
      </w:divBdr>
    </w:div>
    <w:div w:id="127090588">
      <w:bodyDiv w:val="1"/>
      <w:marLeft w:val="0"/>
      <w:marRight w:val="0"/>
      <w:marTop w:val="0"/>
      <w:marBottom w:val="0"/>
      <w:divBdr>
        <w:top w:val="none" w:sz="0" w:space="0" w:color="auto"/>
        <w:left w:val="none" w:sz="0" w:space="0" w:color="auto"/>
        <w:bottom w:val="none" w:sz="0" w:space="0" w:color="auto"/>
        <w:right w:val="none" w:sz="0" w:space="0" w:color="auto"/>
      </w:divBdr>
    </w:div>
    <w:div w:id="201138399">
      <w:bodyDiv w:val="1"/>
      <w:marLeft w:val="0"/>
      <w:marRight w:val="0"/>
      <w:marTop w:val="0"/>
      <w:marBottom w:val="0"/>
      <w:divBdr>
        <w:top w:val="none" w:sz="0" w:space="0" w:color="auto"/>
        <w:left w:val="none" w:sz="0" w:space="0" w:color="auto"/>
        <w:bottom w:val="none" w:sz="0" w:space="0" w:color="auto"/>
        <w:right w:val="none" w:sz="0" w:space="0" w:color="auto"/>
      </w:divBdr>
    </w:div>
    <w:div w:id="276760027">
      <w:bodyDiv w:val="1"/>
      <w:marLeft w:val="0"/>
      <w:marRight w:val="0"/>
      <w:marTop w:val="0"/>
      <w:marBottom w:val="0"/>
      <w:divBdr>
        <w:top w:val="none" w:sz="0" w:space="0" w:color="auto"/>
        <w:left w:val="none" w:sz="0" w:space="0" w:color="auto"/>
        <w:bottom w:val="none" w:sz="0" w:space="0" w:color="auto"/>
        <w:right w:val="none" w:sz="0" w:space="0" w:color="auto"/>
      </w:divBdr>
    </w:div>
    <w:div w:id="290788467">
      <w:bodyDiv w:val="1"/>
      <w:marLeft w:val="0"/>
      <w:marRight w:val="0"/>
      <w:marTop w:val="0"/>
      <w:marBottom w:val="0"/>
      <w:divBdr>
        <w:top w:val="none" w:sz="0" w:space="0" w:color="auto"/>
        <w:left w:val="none" w:sz="0" w:space="0" w:color="auto"/>
        <w:bottom w:val="none" w:sz="0" w:space="0" w:color="auto"/>
        <w:right w:val="none" w:sz="0" w:space="0" w:color="auto"/>
      </w:divBdr>
    </w:div>
    <w:div w:id="322507710">
      <w:bodyDiv w:val="1"/>
      <w:marLeft w:val="0"/>
      <w:marRight w:val="0"/>
      <w:marTop w:val="0"/>
      <w:marBottom w:val="0"/>
      <w:divBdr>
        <w:top w:val="none" w:sz="0" w:space="0" w:color="auto"/>
        <w:left w:val="none" w:sz="0" w:space="0" w:color="auto"/>
        <w:bottom w:val="none" w:sz="0" w:space="0" w:color="auto"/>
        <w:right w:val="none" w:sz="0" w:space="0" w:color="auto"/>
      </w:divBdr>
    </w:div>
    <w:div w:id="328288244">
      <w:bodyDiv w:val="1"/>
      <w:marLeft w:val="0"/>
      <w:marRight w:val="0"/>
      <w:marTop w:val="0"/>
      <w:marBottom w:val="0"/>
      <w:divBdr>
        <w:top w:val="none" w:sz="0" w:space="0" w:color="auto"/>
        <w:left w:val="none" w:sz="0" w:space="0" w:color="auto"/>
        <w:bottom w:val="none" w:sz="0" w:space="0" w:color="auto"/>
        <w:right w:val="none" w:sz="0" w:space="0" w:color="auto"/>
      </w:divBdr>
    </w:div>
    <w:div w:id="357509286">
      <w:bodyDiv w:val="1"/>
      <w:marLeft w:val="0"/>
      <w:marRight w:val="0"/>
      <w:marTop w:val="0"/>
      <w:marBottom w:val="0"/>
      <w:divBdr>
        <w:top w:val="none" w:sz="0" w:space="0" w:color="auto"/>
        <w:left w:val="none" w:sz="0" w:space="0" w:color="auto"/>
        <w:bottom w:val="none" w:sz="0" w:space="0" w:color="auto"/>
        <w:right w:val="none" w:sz="0" w:space="0" w:color="auto"/>
      </w:divBdr>
    </w:div>
    <w:div w:id="369454970">
      <w:bodyDiv w:val="1"/>
      <w:marLeft w:val="0"/>
      <w:marRight w:val="0"/>
      <w:marTop w:val="0"/>
      <w:marBottom w:val="0"/>
      <w:divBdr>
        <w:top w:val="none" w:sz="0" w:space="0" w:color="auto"/>
        <w:left w:val="none" w:sz="0" w:space="0" w:color="auto"/>
        <w:bottom w:val="none" w:sz="0" w:space="0" w:color="auto"/>
        <w:right w:val="none" w:sz="0" w:space="0" w:color="auto"/>
      </w:divBdr>
    </w:div>
    <w:div w:id="433749887">
      <w:bodyDiv w:val="1"/>
      <w:marLeft w:val="0"/>
      <w:marRight w:val="0"/>
      <w:marTop w:val="0"/>
      <w:marBottom w:val="0"/>
      <w:divBdr>
        <w:top w:val="none" w:sz="0" w:space="0" w:color="auto"/>
        <w:left w:val="none" w:sz="0" w:space="0" w:color="auto"/>
        <w:bottom w:val="none" w:sz="0" w:space="0" w:color="auto"/>
        <w:right w:val="none" w:sz="0" w:space="0" w:color="auto"/>
      </w:divBdr>
    </w:div>
    <w:div w:id="457914368">
      <w:bodyDiv w:val="1"/>
      <w:marLeft w:val="0"/>
      <w:marRight w:val="0"/>
      <w:marTop w:val="0"/>
      <w:marBottom w:val="0"/>
      <w:divBdr>
        <w:top w:val="none" w:sz="0" w:space="0" w:color="auto"/>
        <w:left w:val="none" w:sz="0" w:space="0" w:color="auto"/>
        <w:bottom w:val="none" w:sz="0" w:space="0" w:color="auto"/>
        <w:right w:val="none" w:sz="0" w:space="0" w:color="auto"/>
      </w:divBdr>
    </w:div>
    <w:div w:id="501970688">
      <w:bodyDiv w:val="1"/>
      <w:marLeft w:val="0"/>
      <w:marRight w:val="0"/>
      <w:marTop w:val="0"/>
      <w:marBottom w:val="0"/>
      <w:divBdr>
        <w:top w:val="none" w:sz="0" w:space="0" w:color="auto"/>
        <w:left w:val="none" w:sz="0" w:space="0" w:color="auto"/>
        <w:bottom w:val="none" w:sz="0" w:space="0" w:color="auto"/>
        <w:right w:val="none" w:sz="0" w:space="0" w:color="auto"/>
      </w:divBdr>
    </w:div>
    <w:div w:id="533352377">
      <w:bodyDiv w:val="1"/>
      <w:marLeft w:val="0"/>
      <w:marRight w:val="0"/>
      <w:marTop w:val="0"/>
      <w:marBottom w:val="0"/>
      <w:divBdr>
        <w:top w:val="none" w:sz="0" w:space="0" w:color="auto"/>
        <w:left w:val="none" w:sz="0" w:space="0" w:color="auto"/>
        <w:bottom w:val="none" w:sz="0" w:space="0" w:color="auto"/>
        <w:right w:val="none" w:sz="0" w:space="0" w:color="auto"/>
      </w:divBdr>
      <w:divsChild>
        <w:div w:id="284386846">
          <w:marLeft w:val="0"/>
          <w:marRight w:val="0"/>
          <w:marTop w:val="0"/>
          <w:marBottom w:val="0"/>
          <w:divBdr>
            <w:top w:val="none" w:sz="0" w:space="0" w:color="auto"/>
            <w:left w:val="none" w:sz="0" w:space="0" w:color="auto"/>
            <w:bottom w:val="none" w:sz="0" w:space="0" w:color="auto"/>
            <w:right w:val="none" w:sz="0" w:space="0" w:color="auto"/>
          </w:divBdr>
        </w:div>
        <w:div w:id="286664847">
          <w:marLeft w:val="0"/>
          <w:marRight w:val="0"/>
          <w:marTop w:val="0"/>
          <w:marBottom w:val="0"/>
          <w:divBdr>
            <w:top w:val="none" w:sz="0" w:space="0" w:color="auto"/>
            <w:left w:val="none" w:sz="0" w:space="0" w:color="auto"/>
            <w:bottom w:val="none" w:sz="0" w:space="0" w:color="auto"/>
            <w:right w:val="none" w:sz="0" w:space="0" w:color="auto"/>
          </w:divBdr>
        </w:div>
        <w:div w:id="670719974">
          <w:marLeft w:val="0"/>
          <w:marRight w:val="0"/>
          <w:marTop w:val="0"/>
          <w:marBottom w:val="0"/>
          <w:divBdr>
            <w:top w:val="none" w:sz="0" w:space="0" w:color="auto"/>
            <w:left w:val="none" w:sz="0" w:space="0" w:color="auto"/>
            <w:bottom w:val="none" w:sz="0" w:space="0" w:color="auto"/>
            <w:right w:val="none" w:sz="0" w:space="0" w:color="auto"/>
          </w:divBdr>
        </w:div>
        <w:div w:id="1101679078">
          <w:marLeft w:val="0"/>
          <w:marRight w:val="0"/>
          <w:marTop w:val="0"/>
          <w:marBottom w:val="0"/>
          <w:divBdr>
            <w:top w:val="none" w:sz="0" w:space="0" w:color="auto"/>
            <w:left w:val="none" w:sz="0" w:space="0" w:color="auto"/>
            <w:bottom w:val="none" w:sz="0" w:space="0" w:color="auto"/>
            <w:right w:val="none" w:sz="0" w:space="0" w:color="auto"/>
          </w:divBdr>
        </w:div>
      </w:divsChild>
    </w:div>
    <w:div w:id="542138934">
      <w:bodyDiv w:val="1"/>
      <w:marLeft w:val="0"/>
      <w:marRight w:val="0"/>
      <w:marTop w:val="0"/>
      <w:marBottom w:val="0"/>
      <w:divBdr>
        <w:top w:val="none" w:sz="0" w:space="0" w:color="auto"/>
        <w:left w:val="none" w:sz="0" w:space="0" w:color="auto"/>
        <w:bottom w:val="none" w:sz="0" w:space="0" w:color="auto"/>
        <w:right w:val="none" w:sz="0" w:space="0" w:color="auto"/>
      </w:divBdr>
    </w:div>
    <w:div w:id="573396368">
      <w:bodyDiv w:val="1"/>
      <w:marLeft w:val="0"/>
      <w:marRight w:val="0"/>
      <w:marTop w:val="0"/>
      <w:marBottom w:val="0"/>
      <w:divBdr>
        <w:top w:val="none" w:sz="0" w:space="0" w:color="auto"/>
        <w:left w:val="none" w:sz="0" w:space="0" w:color="auto"/>
        <w:bottom w:val="none" w:sz="0" w:space="0" w:color="auto"/>
        <w:right w:val="none" w:sz="0" w:space="0" w:color="auto"/>
      </w:divBdr>
    </w:div>
    <w:div w:id="637148489">
      <w:bodyDiv w:val="1"/>
      <w:marLeft w:val="0"/>
      <w:marRight w:val="0"/>
      <w:marTop w:val="0"/>
      <w:marBottom w:val="0"/>
      <w:divBdr>
        <w:top w:val="none" w:sz="0" w:space="0" w:color="auto"/>
        <w:left w:val="none" w:sz="0" w:space="0" w:color="auto"/>
        <w:bottom w:val="none" w:sz="0" w:space="0" w:color="auto"/>
        <w:right w:val="none" w:sz="0" w:space="0" w:color="auto"/>
      </w:divBdr>
    </w:div>
    <w:div w:id="673533794">
      <w:bodyDiv w:val="1"/>
      <w:marLeft w:val="0"/>
      <w:marRight w:val="0"/>
      <w:marTop w:val="0"/>
      <w:marBottom w:val="0"/>
      <w:divBdr>
        <w:top w:val="none" w:sz="0" w:space="0" w:color="auto"/>
        <w:left w:val="none" w:sz="0" w:space="0" w:color="auto"/>
        <w:bottom w:val="none" w:sz="0" w:space="0" w:color="auto"/>
        <w:right w:val="none" w:sz="0" w:space="0" w:color="auto"/>
      </w:divBdr>
    </w:div>
    <w:div w:id="695689686">
      <w:bodyDiv w:val="1"/>
      <w:marLeft w:val="0"/>
      <w:marRight w:val="0"/>
      <w:marTop w:val="0"/>
      <w:marBottom w:val="0"/>
      <w:divBdr>
        <w:top w:val="none" w:sz="0" w:space="0" w:color="auto"/>
        <w:left w:val="none" w:sz="0" w:space="0" w:color="auto"/>
        <w:bottom w:val="none" w:sz="0" w:space="0" w:color="auto"/>
        <w:right w:val="none" w:sz="0" w:space="0" w:color="auto"/>
      </w:divBdr>
    </w:div>
    <w:div w:id="731461845">
      <w:bodyDiv w:val="1"/>
      <w:marLeft w:val="0"/>
      <w:marRight w:val="0"/>
      <w:marTop w:val="0"/>
      <w:marBottom w:val="0"/>
      <w:divBdr>
        <w:top w:val="none" w:sz="0" w:space="0" w:color="auto"/>
        <w:left w:val="none" w:sz="0" w:space="0" w:color="auto"/>
        <w:bottom w:val="none" w:sz="0" w:space="0" w:color="auto"/>
        <w:right w:val="none" w:sz="0" w:space="0" w:color="auto"/>
      </w:divBdr>
    </w:div>
    <w:div w:id="748304626">
      <w:bodyDiv w:val="1"/>
      <w:marLeft w:val="0"/>
      <w:marRight w:val="0"/>
      <w:marTop w:val="0"/>
      <w:marBottom w:val="0"/>
      <w:divBdr>
        <w:top w:val="none" w:sz="0" w:space="0" w:color="auto"/>
        <w:left w:val="none" w:sz="0" w:space="0" w:color="auto"/>
        <w:bottom w:val="none" w:sz="0" w:space="0" w:color="auto"/>
        <w:right w:val="none" w:sz="0" w:space="0" w:color="auto"/>
      </w:divBdr>
    </w:div>
    <w:div w:id="764039583">
      <w:bodyDiv w:val="1"/>
      <w:marLeft w:val="0"/>
      <w:marRight w:val="0"/>
      <w:marTop w:val="0"/>
      <w:marBottom w:val="0"/>
      <w:divBdr>
        <w:top w:val="none" w:sz="0" w:space="0" w:color="auto"/>
        <w:left w:val="none" w:sz="0" w:space="0" w:color="auto"/>
        <w:bottom w:val="none" w:sz="0" w:space="0" w:color="auto"/>
        <w:right w:val="none" w:sz="0" w:space="0" w:color="auto"/>
      </w:divBdr>
    </w:div>
    <w:div w:id="783235654">
      <w:bodyDiv w:val="1"/>
      <w:marLeft w:val="0"/>
      <w:marRight w:val="0"/>
      <w:marTop w:val="0"/>
      <w:marBottom w:val="0"/>
      <w:divBdr>
        <w:top w:val="none" w:sz="0" w:space="0" w:color="auto"/>
        <w:left w:val="none" w:sz="0" w:space="0" w:color="auto"/>
        <w:bottom w:val="none" w:sz="0" w:space="0" w:color="auto"/>
        <w:right w:val="none" w:sz="0" w:space="0" w:color="auto"/>
      </w:divBdr>
    </w:div>
    <w:div w:id="811290018">
      <w:bodyDiv w:val="1"/>
      <w:marLeft w:val="0"/>
      <w:marRight w:val="0"/>
      <w:marTop w:val="0"/>
      <w:marBottom w:val="0"/>
      <w:divBdr>
        <w:top w:val="none" w:sz="0" w:space="0" w:color="auto"/>
        <w:left w:val="none" w:sz="0" w:space="0" w:color="auto"/>
        <w:bottom w:val="none" w:sz="0" w:space="0" w:color="auto"/>
        <w:right w:val="none" w:sz="0" w:space="0" w:color="auto"/>
      </w:divBdr>
    </w:div>
    <w:div w:id="826552797">
      <w:bodyDiv w:val="1"/>
      <w:marLeft w:val="0"/>
      <w:marRight w:val="0"/>
      <w:marTop w:val="0"/>
      <w:marBottom w:val="0"/>
      <w:divBdr>
        <w:top w:val="none" w:sz="0" w:space="0" w:color="auto"/>
        <w:left w:val="none" w:sz="0" w:space="0" w:color="auto"/>
        <w:bottom w:val="none" w:sz="0" w:space="0" w:color="auto"/>
        <w:right w:val="none" w:sz="0" w:space="0" w:color="auto"/>
      </w:divBdr>
    </w:div>
    <w:div w:id="842361572">
      <w:bodyDiv w:val="1"/>
      <w:marLeft w:val="0"/>
      <w:marRight w:val="0"/>
      <w:marTop w:val="0"/>
      <w:marBottom w:val="0"/>
      <w:divBdr>
        <w:top w:val="none" w:sz="0" w:space="0" w:color="auto"/>
        <w:left w:val="none" w:sz="0" w:space="0" w:color="auto"/>
        <w:bottom w:val="none" w:sz="0" w:space="0" w:color="auto"/>
        <w:right w:val="none" w:sz="0" w:space="0" w:color="auto"/>
      </w:divBdr>
    </w:div>
    <w:div w:id="1003166452">
      <w:bodyDiv w:val="1"/>
      <w:marLeft w:val="0"/>
      <w:marRight w:val="0"/>
      <w:marTop w:val="0"/>
      <w:marBottom w:val="0"/>
      <w:divBdr>
        <w:top w:val="none" w:sz="0" w:space="0" w:color="auto"/>
        <w:left w:val="none" w:sz="0" w:space="0" w:color="auto"/>
        <w:bottom w:val="none" w:sz="0" w:space="0" w:color="auto"/>
        <w:right w:val="none" w:sz="0" w:space="0" w:color="auto"/>
      </w:divBdr>
    </w:div>
    <w:div w:id="1030111491">
      <w:bodyDiv w:val="1"/>
      <w:marLeft w:val="0"/>
      <w:marRight w:val="0"/>
      <w:marTop w:val="0"/>
      <w:marBottom w:val="0"/>
      <w:divBdr>
        <w:top w:val="none" w:sz="0" w:space="0" w:color="auto"/>
        <w:left w:val="none" w:sz="0" w:space="0" w:color="auto"/>
        <w:bottom w:val="none" w:sz="0" w:space="0" w:color="auto"/>
        <w:right w:val="none" w:sz="0" w:space="0" w:color="auto"/>
      </w:divBdr>
    </w:div>
    <w:div w:id="1035732113">
      <w:bodyDiv w:val="1"/>
      <w:marLeft w:val="0"/>
      <w:marRight w:val="0"/>
      <w:marTop w:val="0"/>
      <w:marBottom w:val="0"/>
      <w:divBdr>
        <w:top w:val="none" w:sz="0" w:space="0" w:color="auto"/>
        <w:left w:val="none" w:sz="0" w:space="0" w:color="auto"/>
        <w:bottom w:val="none" w:sz="0" w:space="0" w:color="auto"/>
        <w:right w:val="none" w:sz="0" w:space="0" w:color="auto"/>
      </w:divBdr>
    </w:div>
    <w:div w:id="1041712117">
      <w:bodyDiv w:val="1"/>
      <w:marLeft w:val="0"/>
      <w:marRight w:val="0"/>
      <w:marTop w:val="0"/>
      <w:marBottom w:val="0"/>
      <w:divBdr>
        <w:top w:val="none" w:sz="0" w:space="0" w:color="auto"/>
        <w:left w:val="none" w:sz="0" w:space="0" w:color="auto"/>
        <w:bottom w:val="none" w:sz="0" w:space="0" w:color="auto"/>
        <w:right w:val="none" w:sz="0" w:space="0" w:color="auto"/>
      </w:divBdr>
    </w:div>
    <w:div w:id="1070883336">
      <w:bodyDiv w:val="1"/>
      <w:marLeft w:val="0"/>
      <w:marRight w:val="0"/>
      <w:marTop w:val="0"/>
      <w:marBottom w:val="0"/>
      <w:divBdr>
        <w:top w:val="none" w:sz="0" w:space="0" w:color="auto"/>
        <w:left w:val="none" w:sz="0" w:space="0" w:color="auto"/>
        <w:bottom w:val="none" w:sz="0" w:space="0" w:color="auto"/>
        <w:right w:val="none" w:sz="0" w:space="0" w:color="auto"/>
      </w:divBdr>
    </w:div>
    <w:div w:id="1099521640">
      <w:bodyDiv w:val="1"/>
      <w:marLeft w:val="0"/>
      <w:marRight w:val="0"/>
      <w:marTop w:val="0"/>
      <w:marBottom w:val="0"/>
      <w:divBdr>
        <w:top w:val="none" w:sz="0" w:space="0" w:color="auto"/>
        <w:left w:val="none" w:sz="0" w:space="0" w:color="auto"/>
        <w:bottom w:val="none" w:sz="0" w:space="0" w:color="auto"/>
        <w:right w:val="none" w:sz="0" w:space="0" w:color="auto"/>
      </w:divBdr>
    </w:div>
    <w:div w:id="1225026934">
      <w:bodyDiv w:val="1"/>
      <w:marLeft w:val="0"/>
      <w:marRight w:val="0"/>
      <w:marTop w:val="0"/>
      <w:marBottom w:val="0"/>
      <w:divBdr>
        <w:top w:val="none" w:sz="0" w:space="0" w:color="auto"/>
        <w:left w:val="none" w:sz="0" w:space="0" w:color="auto"/>
        <w:bottom w:val="none" w:sz="0" w:space="0" w:color="auto"/>
        <w:right w:val="none" w:sz="0" w:space="0" w:color="auto"/>
      </w:divBdr>
    </w:div>
    <w:div w:id="1309550265">
      <w:bodyDiv w:val="1"/>
      <w:marLeft w:val="0"/>
      <w:marRight w:val="0"/>
      <w:marTop w:val="0"/>
      <w:marBottom w:val="0"/>
      <w:divBdr>
        <w:top w:val="none" w:sz="0" w:space="0" w:color="auto"/>
        <w:left w:val="none" w:sz="0" w:space="0" w:color="auto"/>
        <w:bottom w:val="none" w:sz="0" w:space="0" w:color="auto"/>
        <w:right w:val="none" w:sz="0" w:space="0" w:color="auto"/>
      </w:divBdr>
    </w:div>
    <w:div w:id="1327825942">
      <w:bodyDiv w:val="1"/>
      <w:marLeft w:val="0"/>
      <w:marRight w:val="0"/>
      <w:marTop w:val="0"/>
      <w:marBottom w:val="0"/>
      <w:divBdr>
        <w:top w:val="none" w:sz="0" w:space="0" w:color="auto"/>
        <w:left w:val="none" w:sz="0" w:space="0" w:color="auto"/>
        <w:bottom w:val="none" w:sz="0" w:space="0" w:color="auto"/>
        <w:right w:val="none" w:sz="0" w:space="0" w:color="auto"/>
      </w:divBdr>
      <w:divsChild>
        <w:div w:id="28378995">
          <w:marLeft w:val="0"/>
          <w:marRight w:val="0"/>
          <w:marTop w:val="0"/>
          <w:marBottom w:val="120"/>
          <w:divBdr>
            <w:top w:val="none" w:sz="0" w:space="0" w:color="auto"/>
            <w:left w:val="none" w:sz="0" w:space="0" w:color="auto"/>
            <w:bottom w:val="none" w:sz="0" w:space="0" w:color="auto"/>
            <w:right w:val="none" w:sz="0" w:space="0" w:color="auto"/>
          </w:divBdr>
          <w:divsChild>
            <w:div w:id="1828547752">
              <w:marLeft w:val="0"/>
              <w:marRight w:val="0"/>
              <w:marTop w:val="0"/>
              <w:marBottom w:val="0"/>
              <w:divBdr>
                <w:top w:val="none" w:sz="0" w:space="0" w:color="auto"/>
                <w:left w:val="none" w:sz="0" w:space="0" w:color="auto"/>
                <w:bottom w:val="none" w:sz="0" w:space="0" w:color="auto"/>
                <w:right w:val="none" w:sz="0" w:space="0" w:color="auto"/>
              </w:divBdr>
              <w:divsChild>
                <w:div w:id="68455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9666">
          <w:marLeft w:val="0"/>
          <w:marRight w:val="0"/>
          <w:marTop w:val="0"/>
          <w:marBottom w:val="0"/>
          <w:divBdr>
            <w:top w:val="none" w:sz="0" w:space="0" w:color="auto"/>
            <w:left w:val="none" w:sz="0" w:space="0" w:color="auto"/>
            <w:bottom w:val="none" w:sz="0" w:space="0" w:color="auto"/>
            <w:right w:val="none" w:sz="0" w:space="0" w:color="auto"/>
          </w:divBdr>
          <w:divsChild>
            <w:div w:id="1006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1451">
      <w:bodyDiv w:val="1"/>
      <w:marLeft w:val="0"/>
      <w:marRight w:val="0"/>
      <w:marTop w:val="0"/>
      <w:marBottom w:val="0"/>
      <w:divBdr>
        <w:top w:val="none" w:sz="0" w:space="0" w:color="auto"/>
        <w:left w:val="none" w:sz="0" w:space="0" w:color="auto"/>
        <w:bottom w:val="none" w:sz="0" w:space="0" w:color="auto"/>
        <w:right w:val="none" w:sz="0" w:space="0" w:color="auto"/>
      </w:divBdr>
    </w:div>
    <w:div w:id="1420176545">
      <w:bodyDiv w:val="1"/>
      <w:marLeft w:val="0"/>
      <w:marRight w:val="0"/>
      <w:marTop w:val="0"/>
      <w:marBottom w:val="0"/>
      <w:divBdr>
        <w:top w:val="none" w:sz="0" w:space="0" w:color="auto"/>
        <w:left w:val="none" w:sz="0" w:space="0" w:color="auto"/>
        <w:bottom w:val="none" w:sz="0" w:space="0" w:color="auto"/>
        <w:right w:val="none" w:sz="0" w:space="0" w:color="auto"/>
      </w:divBdr>
    </w:div>
    <w:div w:id="1461454763">
      <w:bodyDiv w:val="1"/>
      <w:marLeft w:val="0"/>
      <w:marRight w:val="0"/>
      <w:marTop w:val="0"/>
      <w:marBottom w:val="0"/>
      <w:divBdr>
        <w:top w:val="none" w:sz="0" w:space="0" w:color="auto"/>
        <w:left w:val="none" w:sz="0" w:space="0" w:color="auto"/>
        <w:bottom w:val="none" w:sz="0" w:space="0" w:color="auto"/>
        <w:right w:val="none" w:sz="0" w:space="0" w:color="auto"/>
      </w:divBdr>
    </w:div>
    <w:div w:id="1494489298">
      <w:bodyDiv w:val="1"/>
      <w:marLeft w:val="0"/>
      <w:marRight w:val="0"/>
      <w:marTop w:val="0"/>
      <w:marBottom w:val="0"/>
      <w:divBdr>
        <w:top w:val="none" w:sz="0" w:space="0" w:color="auto"/>
        <w:left w:val="none" w:sz="0" w:space="0" w:color="auto"/>
        <w:bottom w:val="none" w:sz="0" w:space="0" w:color="auto"/>
        <w:right w:val="none" w:sz="0" w:space="0" w:color="auto"/>
      </w:divBdr>
    </w:div>
    <w:div w:id="1597402979">
      <w:bodyDiv w:val="1"/>
      <w:marLeft w:val="0"/>
      <w:marRight w:val="0"/>
      <w:marTop w:val="0"/>
      <w:marBottom w:val="0"/>
      <w:divBdr>
        <w:top w:val="none" w:sz="0" w:space="0" w:color="auto"/>
        <w:left w:val="none" w:sz="0" w:space="0" w:color="auto"/>
        <w:bottom w:val="none" w:sz="0" w:space="0" w:color="auto"/>
        <w:right w:val="none" w:sz="0" w:space="0" w:color="auto"/>
      </w:divBdr>
    </w:div>
    <w:div w:id="1615944767">
      <w:bodyDiv w:val="1"/>
      <w:marLeft w:val="0"/>
      <w:marRight w:val="0"/>
      <w:marTop w:val="0"/>
      <w:marBottom w:val="0"/>
      <w:divBdr>
        <w:top w:val="none" w:sz="0" w:space="0" w:color="auto"/>
        <w:left w:val="none" w:sz="0" w:space="0" w:color="auto"/>
        <w:bottom w:val="none" w:sz="0" w:space="0" w:color="auto"/>
        <w:right w:val="none" w:sz="0" w:space="0" w:color="auto"/>
      </w:divBdr>
    </w:div>
    <w:div w:id="1643921124">
      <w:bodyDiv w:val="1"/>
      <w:marLeft w:val="0"/>
      <w:marRight w:val="0"/>
      <w:marTop w:val="0"/>
      <w:marBottom w:val="0"/>
      <w:divBdr>
        <w:top w:val="none" w:sz="0" w:space="0" w:color="auto"/>
        <w:left w:val="none" w:sz="0" w:space="0" w:color="auto"/>
        <w:bottom w:val="none" w:sz="0" w:space="0" w:color="auto"/>
        <w:right w:val="none" w:sz="0" w:space="0" w:color="auto"/>
      </w:divBdr>
    </w:div>
    <w:div w:id="1649284426">
      <w:bodyDiv w:val="1"/>
      <w:marLeft w:val="0"/>
      <w:marRight w:val="0"/>
      <w:marTop w:val="0"/>
      <w:marBottom w:val="0"/>
      <w:divBdr>
        <w:top w:val="none" w:sz="0" w:space="0" w:color="auto"/>
        <w:left w:val="none" w:sz="0" w:space="0" w:color="auto"/>
        <w:bottom w:val="none" w:sz="0" w:space="0" w:color="auto"/>
        <w:right w:val="none" w:sz="0" w:space="0" w:color="auto"/>
      </w:divBdr>
    </w:div>
    <w:div w:id="1700666654">
      <w:bodyDiv w:val="1"/>
      <w:marLeft w:val="0"/>
      <w:marRight w:val="0"/>
      <w:marTop w:val="0"/>
      <w:marBottom w:val="0"/>
      <w:divBdr>
        <w:top w:val="none" w:sz="0" w:space="0" w:color="auto"/>
        <w:left w:val="none" w:sz="0" w:space="0" w:color="auto"/>
        <w:bottom w:val="none" w:sz="0" w:space="0" w:color="auto"/>
        <w:right w:val="none" w:sz="0" w:space="0" w:color="auto"/>
      </w:divBdr>
    </w:div>
    <w:div w:id="1789663331">
      <w:bodyDiv w:val="1"/>
      <w:marLeft w:val="0"/>
      <w:marRight w:val="0"/>
      <w:marTop w:val="0"/>
      <w:marBottom w:val="0"/>
      <w:divBdr>
        <w:top w:val="none" w:sz="0" w:space="0" w:color="auto"/>
        <w:left w:val="none" w:sz="0" w:space="0" w:color="auto"/>
        <w:bottom w:val="none" w:sz="0" w:space="0" w:color="auto"/>
        <w:right w:val="none" w:sz="0" w:space="0" w:color="auto"/>
      </w:divBdr>
    </w:div>
    <w:div w:id="1796017738">
      <w:bodyDiv w:val="1"/>
      <w:marLeft w:val="0"/>
      <w:marRight w:val="0"/>
      <w:marTop w:val="0"/>
      <w:marBottom w:val="0"/>
      <w:divBdr>
        <w:top w:val="none" w:sz="0" w:space="0" w:color="auto"/>
        <w:left w:val="none" w:sz="0" w:space="0" w:color="auto"/>
        <w:bottom w:val="none" w:sz="0" w:space="0" w:color="auto"/>
        <w:right w:val="none" w:sz="0" w:space="0" w:color="auto"/>
      </w:divBdr>
    </w:div>
    <w:div w:id="1914967270">
      <w:bodyDiv w:val="1"/>
      <w:marLeft w:val="0"/>
      <w:marRight w:val="0"/>
      <w:marTop w:val="0"/>
      <w:marBottom w:val="0"/>
      <w:divBdr>
        <w:top w:val="none" w:sz="0" w:space="0" w:color="auto"/>
        <w:left w:val="none" w:sz="0" w:space="0" w:color="auto"/>
        <w:bottom w:val="none" w:sz="0" w:space="0" w:color="auto"/>
        <w:right w:val="none" w:sz="0" w:space="0" w:color="auto"/>
      </w:divBdr>
    </w:div>
    <w:div w:id="2002930951">
      <w:bodyDiv w:val="1"/>
      <w:marLeft w:val="0"/>
      <w:marRight w:val="0"/>
      <w:marTop w:val="0"/>
      <w:marBottom w:val="0"/>
      <w:divBdr>
        <w:top w:val="none" w:sz="0" w:space="0" w:color="auto"/>
        <w:left w:val="none" w:sz="0" w:space="0" w:color="auto"/>
        <w:bottom w:val="none" w:sz="0" w:space="0" w:color="auto"/>
        <w:right w:val="none" w:sz="0" w:space="0" w:color="auto"/>
      </w:divBdr>
    </w:div>
    <w:div w:id="2003661652">
      <w:bodyDiv w:val="1"/>
      <w:marLeft w:val="0"/>
      <w:marRight w:val="0"/>
      <w:marTop w:val="0"/>
      <w:marBottom w:val="0"/>
      <w:divBdr>
        <w:top w:val="none" w:sz="0" w:space="0" w:color="auto"/>
        <w:left w:val="none" w:sz="0" w:space="0" w:color="auto"/>
        <w:bottom w:val="none" w:sz="0" w:space="0" w:color="auto"/>
        <w:right w:val="none" w:sz="0" w:space="0" w:color="auto"/>
      </w:divBdr>
    </w:div>
    <w:div w:id="2009674609">
      <w:bodyDiv w:val="1"/>
      <w:marLeft w:val="0"/>
      <w:marRight w:val="0"/>
      <w:marTop w:val="0"/>
      <w:marBottom w:val="0"/>
      <w:divBdr>
        <w:top w:val="none" w:sz="0" w:space="0" w:color="auto"/>
        <w:left w:val="none" w:sz="0" w:space="0" w:color="auto"/>
        <w:bottom w:val="none" w:sz="0" w:space="0" w:color="auto"/>
        <w:right w:val="none" w:sz="0" w:space="0" w:color="auto"/>
      </w:divBdr>
    </w:div>
    <w:div w:id="2011448218">
      <w:bodyDiv w:val="1"/>
      <w:marLeft w:val="0"/>
      <w:marRight w:val="0"/>
      <w:marTop w:val="0"/>
      <w:marBottom w:val="0"/>
      <w:divBdr>
        <w:top w:val="none" w:sz="0" w:space="0" w:color="auto"/>
        <w:left w:val="none" w:sz="0" w:space="0" w:color="auto"/>
        <w:bottom w:val="none" w:sz="0" w:space="0" w:color="auto"/>
        <w:right w:val="none" w:sz="0" w:space="0" w:color="auto"/>
      </w:divBdr>
    </w:div>
    <w:div w:id="201722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public-buyers-community.ec.europa.eu/" TargetMode="External"/><Relationship Id="rId2" Type="http://schemas.openxmlformats.org/officeDocument/2006/relationships/hyperlink" Target="https://www.oecd.org/daf/competition/oecdrecommendationonfightingbidrigginginpublicprocurement.htm" TargetMode="External"/><Relationship Id="rId1" Type="http://schemas.openxmlformats.org/officeDocument/2006/relationships/hyperlink" Target="https://ec.europa.eu/docsroom/documents/481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CFC59F5-A211-442F-A4BD-643D9A89B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5108</Words>
  <Characters>28554</Characters>
  <Application>Microsoft Office Word</Application>
  <DocSecurity>0</DocSecurity>
  <Lines>432</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2023-07-10T15:32:00Z</dcterms:created>
  <dcterms:modified xsi:type="dcterms:W3CDTF">2023-07-25T10:08:00Z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9.0, Build 20230317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