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BE5E0" w14:textId="568E8F42" w:rsidR="008B6253" w:rsidRPr="00577995" w:rsidRDefault="00C14D1B" w:rsidP="00C14D1B">
      <w:pPr>
        <w:pStyle w:val="Pagedecouverture"/>
        <w:rPr>
          <w:noProof/>
        </w:rPr>
      </w:pPr>
      <w:bookmarkStart w:id="0" w:name="LW_BM_COVERPAGE"/>
      <w:r>
        <w:rPr>
          <w:noProof/>
        </w:rPr>
        <w:pict w14:anchorId="0CFE9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29785146-8602-4BC2-9242-8BEB58E7C87F" style="width:455.25pt;height:405.75pt">
            <v:imagedata r:id="rId11" o:title=""/>
          </v:shape>
        </w:pict>
      </w:r>
    </w:p>
    <w:bookmarkEnd w:id="0"/>
    <w:p w14:paraId="01AEB2FF" w14:textId="77777777" w:rsidR="008B6253" w:rsidRPr="00577995" w:rsidRDefault="008B6253" w:rsidP="008B6253">
      <w:pPr>
        <w:rPr>
          <w:noProof/>
        </w:rPr>
        <w:sectPr w:rsidR="008B6253" w:rsidRPr="00577995" w:rsidSect="00C14D1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6159457" w14:textId="77777777" w:rsidR="008B6253" w:rsidRPr="00577995" w:rsidRDefault="008B6253" w:rsidP="008B6253">
      <w:pPr>
        <w:pStyle w:val="TOCHeading"/>
        <w:rPr>
          <w:rFonts w:eastAsiaTheme="minorHAnsi"/>
          <w:b w:val="0"/>
          <w:noProof/>
          <w:sz w:val="24"/>
        </w:rPr>
      </w:pPr>
      <w:bookmarkStart w:id="1" w:name="_GoBack"/>
      <w:bookmarkEnd w:id="1"/>
    </w:p>
    <w:sdt>
      <w:sdtPr>
        <w:rPr>
          <w:rFonts w:eastAsiaTheme="minorHAnsi"/>
          <w:b w:val="0"/>
          <w:noProof/>
          <w:sz w:val="24"/>
        </w:rPr>
        <w:id w:val="-874687748"/>
        <w:docPartObj>
          <w:docPartGallery w:val="Table of Contents"/>
          <w:docPartUnique/>
        </w:docPartObj>
      </w:sdtPr>
      <w:sdtEndPr>
        <w:rPr>
          <w:bCs/>
        </w:rPr>
      </w:sdtEndPr>
      <w:sdtContent>
        <w:p w14:paraId="24E88DD3" w14:textId="77777777" w:rsidR="008B6253" w:rsidRPr="00577995" w:rsidRDefault="008B6253" w:rsidP="008B6253">
          <w:pPr>
            <w:pStyle w:val="TOCHeading"/>
            <w:rPr>
              <w:noProof/>
            </w:rPr>
          </w:pPr>
          <w:r w:rsidRPr="00577995">
            <w:rPr>
              <w:noProof/>
            </w:rPr>
            <w:t>Obsah</w:t>
          </w:r>
        </w:p>
        <w:p w14:paraId="25F87864" w14:textId="1BD0C8B7" w:rsidR="00577995" w:rsidRPr="00577995" w:rsidRDefault="008B6253">
          <w:pPr>
            <w:pStyle w:val="TOC1"/>
            <w:rPr>
              <w:rFonts w:asciiTheme="minorHAnsi" w:eastAsiaTheme="minorEastAsia" w:hAnsiTheme="minorHAnsi" w:cstheme="minorBidi"/>
              <w:noProof/>
              <w:sz w:val="22"/>
              <w:szCs w:val="22"/>
              <w:lang w:eastAsia="en-GB"/>
            </w:rPr>
          </w:pPr>
          <w:r w:rsidRPr="00577995">
            <w:rPr>
              <w:noProof/>
            </w:rPr>
            <w:fldChar w:fldCharType="begin"/>
          </w:r>
          <w:r w:rsidRPr="00577995">
            <w:rPr>
              <w:noProof/>
            </w:rPr>
            <w:instrText xml:space="preserve"> TOC \o "1-3" \h \z \u </w:instrText>
          </w:r>
          <w:r w:rsidRPr="00577995">
            <w:rPr>
              <w:noProof/>
            </w:rPr>
            <w:fldChar w:fldCharType="separate"/>
          </w:r>
          <w:hyperlink w:anchor="_Toc142300675" w:history="1">
            <w:r w:rsidR="00577995" w:rsidRPr="00577995">
              <w:rPr>
                <w:rStyle w:val="Hyperlink"/>
                <w:noProof/>
              </w:rPr>
              <w:t>1.</w:t>
            </w:r>
            <w:r w:rsidR="00577995" w:rsidRPr="00577995">
              <w:rPr>
                <w:rFonts w:asciiTheme="minorHAnsi" w:eastAsiaTheme="minorEastAsia" w:hAnsiTheme="minorHAnsi" w:cstheme="minorBidi"/>
                <w:noProof/>
                <w:sz w:val="22"/>
                <w:szCs w:val="22"/>
                <w:lang w:eastAsia="en-GB"/>
              </w:rPr>
              <w:tab/>
            </w:r>
            <w:r w:rsidR="00577995" w:rsidRPr="00577995">
              <w:rPr>
                <w:rStyle w:val="Hyperlink"/>
                <w:noProof/>
              </w:rPr>
              <w:t>Úvod</w:t>
            </w:r>
            <w:r w:rsidR="00577995" w:rsidRPr="00577995">
              <w:rPr>
                <w:noProof/>
                <w:webHidden/>
              </w:rPr>
              <w:tab/>
            </w:r>
            <w:r w:rsidR="00577995" w:rsidRPr="00577995">
              <w:rPr>
                <w:noProof/>
                <w:webHidden/>
              </w:rPr>
              <w:fldChar w:fldCharType="begin"/>
            </w:r>
            <w:r w:rsidR="00577995" w:rsidRPr="00577995">
              <w:rPr>
                <w:noProof/>
                <w:webHidden/>
              </w:rPr>
              <w:instrText xml:space="preserve"> PAGEREF _Toc142300675 \h </w:instrText>
            </w:r>
            <w:r w:rsidR="00577995" w:rsidRPr="00577995">
              <w:rPr>
                <w:noProof/>
                <w:webHidden/>
              </w:rPr>
            </w:r>
            <w:r w:rsidR="00577995" w:rsidRPr="00577995">
              <w:rPr>
                <w:noProof/>
                <w:webHidden/>
              </w:rPr>
              <w:fldChar w:fldCharType="separate"/>
            </w:r>
            <w:r w:rsidR="00577995" w:rsidRPr="00577995">
              <w:rPr>
                <w:noProof/>
                <w:webHidden/>
              </w:rPr>
              <w:t>1</w:t>
            </w:r>
            <w:r w:rsidR="00577995" w:rsidRPr="00577995">
              <w:rPr>
                <w:noProof/>
                <w:webHidden/>
              </w:rPr>
              <w:fldChar w:fldCharType="end"/>
            </w:r>
          </w:hyperlink>
        </w:p>
        <w:p w14:paraId="482F51B2" w14:textId="18DC41DD" w:rsidR="00577995" w:rsidRPr="00577995" w:rsidRDefault="00C14D1B">
          <w:pPr>
            <w:pStyle w:val="TOC1"/>
            <w:rPr>
              <w:rFonts w:asciiTheme="minorHAnsi" w:eastAsiaTheme="minorEastAsia" w:hAnsiTheme="minorHAnsi" w:cstheme="minorBidi"/>
              <w:noProof/>
              <w:sz w:val="22"/>
              <w:szCs w:val="22"/>
              <w:lang w:eastAsia="en-GB"/>
            </w:rPr>
          </w:pPr>
          <w:hyperlink w:anchor="_Toc142300676" w:history="1">
            <w:r w:rsidR="00577995" w:rsidRPr="00577995">
              <w:rPr>
                <w:rStyle w:val="Hyperlink"/>
                <w:noProof/>
              </w:rPr>
              <w:t>2.</w:t>
            </w:r>
            <w:r w:rsidR="00577995" w:rsidRPr="00577995">
              <w:rPr>
                <w:rFonts w:asciiTheme="minorHAnsi" w:eastAsiaTheme="minorEastAsia" w:hAnsiTheme="minorHAnsi" w:cstheme="minorBidi"/>
                <w:noProof/>
                <w:sz w:val="22"/>
                <w:szCs w:val="22"/>
                <w:lang w:eastAsia="en-GB"/>
              </w:rPr>
              <w:tab/>
            </w:r>
            <w:r w:rsidR="00577995" w:rsidRPr="00577995">
              <w:rPr>
                <w:rStyle w:val="Hyperlink"/>
                <w:noProof/>
              </w:rPr>
              <w:t>Vykonávanie operácií vypožičiavania si prostriedkov v prvom polroku 2023</w:t>
            </w:r>
            <w:r w:rsidR="00577995" w:rsidRPr="00577995">
              <w:rPr>
                <w:noProof/>
                <w:webHidden/>
              </w:rPr>
              <w:tab/>
            </w:r>
            <w:r w:rsidR="00577995" w:rsidRPr="00577995">
              <w:rPr>
                <w:noProof/>
                <w:webHidden/>
              </w:rPr>
              <w:fldChar w:fldCharType="begin"/>
            </w:r>
            <w:r w:rsidR="00577995" w:rsidRPr="00577995">
              <w:rPr>
                <w:noProof/>
                <w:webHidden/>
              </w:rPr>
              <w:instrText xml:space="preserve"> PAGEREF _Toc142300676 \h </w:instrText>
            </w:r>
            <w:r w:rsidR="00577995" w:rsidRPr="00577995">
              <w:rPr>
                <w:noProof/>
                <w:webHidden/>
              </w:rPr>
            </w:r>
            <w:r w:rsidR="00577995" w:rsidRPr="00577995">
              <w:rPr>
                <w:noProof/>
                <w:webHidden/>
              </w:rPr>
              <w:fldChar w:fldCharType="separate"/>
            </w:r>
            <w:r w:rsidR="00577995" w:rsidRPr="00577995">
              <w:rPr>
                <w:noProof/>
                <w:webHidden/>
              </w:rPr>
              <w:t>2</w:t>
            </w:r>
            <w:r w:rsidR="00577995" w:rsidRPr="00577995">
              <w:rPr>
                <w:noProof/>
                <w:webHidden/>
              </w:rPr>
              <w:fldChar w:fldCharType="end"/>
            </w:r>
          </w:hyperlink>
        </w:p>
        <w:p w14:paraId="5A5DEA6F" w14:textId="4E577E0A" w:rsidR="00577995" w:rsidRPr="00577995" w:rsidRDefault="00C14D1B">
          <w:pPr>
            <w:pStyle w:val="TOC1"/>
            <w:rPr>
              <w:rFonts w:asciiTheme="minorHAnsi" w:eastAsiaTheme="minorEastAsia" w:hAnsiTheme="minorHAnsi" w:cstheme="minorBidi"/>
              <w:noProof/>
              <w:sz w:val="22"/>
              <w:szCs w:val="22"/>
              <w:lang w:eastAsia="en-GB"/>
            </w:rPr>
          </w:pPr>
          <w:hyperlink w:anchor="_Toc142300677" w:history="1">
            <w:r w:rsidR="00577995" w:rsidRPr="00577995">
              <w:rPr>
                <w:rStyle w:val="Hyperlink"/>
                <w:bCs/>
                <w:noProof/>
              </w:rPr>
              <w:t>3.</w:t>
            </w:r>
            <w:r w:rsidR="00577995" w:rsidRPr="00577995">
              <w:rPr>
                <w:rFonts w:asciiTheme="minorHAnsi" w:eastAsiaTheme="minorEastAsia" w:hAnsiTheme="minorHAnsi" w:cstheme="minorBidi"/>
                <w:noProof/>
                <w:sz w:val="22"/>
                <w:szCs w:val="22"/>
                <w:lang w:eastAsia="en-GB"/>
              </w:rPr>
              <w:tab/>
            </w:r>
            <w:r w:rsidR="00577995" w:rsidRPr="00577995">
              <w:rPr>
                <w:rStyle w:val="Hyperlink"/>
                <w:noProof/>
              </w:rPr>
              <w:t>Náklady na financovanie a zostatky likvidity</w:t>
            </w:r>
            <w:r w:rsidR="00577995" w:rsidRPr="00577995">
              <w:rPr>
                <w:noProof/>
                <w:webHidden/>
              </w:rPr>
              <w:tab/>
            </w:r>
            <w:r w:rsidR="00577995" w:rsidRPr="00577995">
              <w:rPr>
                <w:noProof/>
                <w:webHidden/>
              </w:rPr>
              <w:fldChar w:fldCharType="begin"/>
            </w:r>
            <w:r w:rsidR="00577995" w:rsidRPr="00577995">
              <w:rPr>
                <w:noProof/>
                <w:webHidden/>
              </w:rPr>
              <w:instrText xml:space="preserve"> PAGEREF _Toc142300677 \h </w:instrText>
            </w:r>
            <w:r w:rsidR="00577995" w:rsidRPr="00577995">
              <w:rPr>
                <w:noProof/>
                <w:webHidden/>
              </w:rPr>
            </w:r>
            <w:r w:rsidR="00577995" w:rsidRPr="00577995">
              <w:rPr>
                <w:noProof/>
                <w:webHidden/>
              </w:rPr>
              <w:fldChar w:fldCharType="separate"/>
            </w:r>
            <w:r w:rsidR="00577995" w:rsidRPr="00577995">
              <w:rPr>
                <w:noProof/>
                <w:webHidden/>
              </w:rPr>
              <w:t>5</w:t>
            </w:r>
            <w:r w:rsidR="00577995" w:rsidRPr="00577995">
              <w:rPr>
                <w:noProof/>
                <w:webHidden/>
              </w:rPr>
              <w:fldChar w:fldCharType="end"/>
            </w:r>
          </w:hyperlink>
        </w:p>
        <w:p w14:paraId="5FF79D2F" w14:textId="1453B5D5" w:rsidR="00577995" w:rsidRPr="00577995" w:rsidRDefault="00C14D1B">
          <w:pPr>
            <w:pStyle w:val="TOC1"/>
            <w:rPr>
              <w:rFonts w:asciiTheme="minorHAnsi" w:eastAsiaTheme="minorEastAsia" w:hAnsiTheme="minorHAnsi" w:cstheme="minorBidi"/>
              <w:noProof/>
              <w:sz w:val="22"/>
              <w:szCs w:val="22"/>
              <w:lang w:eastAsia="en-GB"/>
            </w:rPr>
          </w:pPr>
          <w:hyperlink w:anchor="_Toc142300678" w:history="1">
            <w:r w:rsidR="00577995" w:rsidRPr="00577995">
              <w:rPr>
                <w:rStyle w:val="Hyperlink"/>
                <w:bCs/>
                <w:noProof/>
              </w:rPr>
              <w:t>4.</w:t>
            </w:r>
            <w:r w:rsidR="00577995" w:rsidRPr="00577995">
              <w:rPr>
                <w:rFonts w:asciiTheme="minorHAnsi" w:eastAsiaTheme="minorEastAsia" w:hAnsiTheme="minorHAnsi" w:cstheme="minorBidi"/>
                <w:noProof/>
                <w:sz w:val="22"/>
                <w:szCs w:val="22"/>
                <w:lang w:eastAsia="en-GB"/>
              </w:rPr>
              <w:tab/>
            </w:r>
            <w:r w:rsidR="00577995" w:rsidRPr="00577995">
              <w:rPr>
                <w:rStyle w:val="Hyperlink"/>
                <w:noProof/>
              </w:rPr>
              <w:t>Ďalšie míľniky v prvom polroku 2023</w:t>
            </w:r>
            <w:r w:rsidR="00577995" w:rsidRPr="00577995">
              <w:rPr>
                <w:noProof/>
                <w:webHidden/>
              </w:rPr>
              <w:tab/>
            </w:r>
            <w:r w:rsidR="00577995" w:rsidRPr="00577995">
              <w:rPr>
                <w:noProof/>
                <w:webHidden/>
              </w:rPr>
              <w:fldChar w:fldCharType="begin"/>
            </w:r>
            <w:r w:rsidR="00577995" w:rsidRPr="00577995">
              <w:rPr>
                <w:noProof/>
                <w:webHidden/>
              </w:rPr>
              <w:instrText xml:space="preserve"> PAGEREF _Toc142300678 \h </w:instrText>
            </w:r>
            <w:r w:rsidR="00577995" w:rsidRPr="00577995">
              <w:rPr>
                <w:noProof/>
                <w:webHidden/>
              </w:rPr>
            </w:r>
            <w:r w:rsidR="00577995" w:rsidRPr="00577995">
              <w:rPr>
                <w:noProof/>
                <w:webHidden/>
              </w:rPr>
              <w:fldChar w:fldCharType="separate"/>
            </w:r>
            <w:r w:rsidR="00577995" w:rsidRPr="00577995">
              <w:rPr>
                <w:noProof/>
                <w:webHidden/>
              </w:rPr>
              <w:t>7</w:t>
            </w:r>
            <w:r w:rsidR="00577995" w:rsidRPr="00577995">
              <w:rPr>
                <w:noProof/>
                <w:webHidden/>
              </w:rPr>
              <w:fldChar w:fldCharType="end"/>
            </w:r>
          </w:hyperlink>
        </w:p>
        <w:p w14:paraId="3955ED64" w14:textId="2A90AD6A" w:rsidR="00577995" w:rsidRPr="00577995" w:rsidRDefault="00C14D1B">
          <w:pPr>
            <w:pStyle w:val="TOC1"/>
            <w:rPr>
              <w:rFonts w:asciiTheme="minorHAnsi" w:eastAsiaTheme="minorEastAsia" w:hAnsiTheme="minorHAnsi" w:cstheme="minorBidi"/>
              <w:noProof/>
              <w:sz w:val="22"/>
              <w:szCs w:val="22"/>
              <w:lang w:eastAsia="en-GB"/>
            </w:rPr>
          </w:pPr>
          <w:hyperlink w:anchor="_Toc142300679" w:history="1">
            <w:r w:rsidR="00577995" w:rsidRPr="00577995">
              <w:rPr>
                <w:rStyle w:val="Hyperlink"/>
                <w:bCs/>
                <w:noProof/>
              </w:rPr>
              <w:t>5.</w:t>
            </w:r>
            <w:r w:rsidR="00577995" w:rsidRPr="00577995">
              <w:rPr>
                <w:rFonts w:asciiTheme="minorHAnsi" w:eastAsiaTheme="minorEastAsia" w:hAnsiTheme="minorHAnsi" w:cstheme="minorBidi"/>
                <w:noProof/>
                <w:sz w:val="22"/>
                <w:szCs w:val="22"/>
                <w:lang w:eastAsia="en-GB"/>
              </w:rPr>
              <w:tab/>
            </w:r>
            <w:r w:rsidR="00577995" w:rsidRPr="00577995">
              <w:rPr>
                <w:rStyle w:val="Hyperlink"/>
                <w:noProof/>
              </w:rPr>
              <w:t>Kroky na ďalší rozvoj ekosystému dlhopisov EÚ</w:t>
            </w:r>
            <w:r w:rsidR="00577995" w:rsidRPr="00577995">
              <w:rPr>
                <w:noProof/>
                <w:webHidden/>
              </w:rPr>
              <w:tab/>
            </w:r>
            <w:r w:rsidR="00577995" w:rsidRPr="00577995">
              <w:rPr>
                <w:noProof/>
                <w:webHidden/>
              </w:rPr>
              <w:fldChar w:fldCharType="begin"/>
            </w:r>
            <w:r w:rsidR="00577995" w:rsidRPr="00577995">
              <w:rPr>
                <w:noProof/>
                <w:webHidden/>
              </w:rPr>
              <w:instrText xml:space="preserve"> PAGEREF _Toc142300679 \h </w:instrText>
            </w:r>
            <w:r w:rsidR="00577995" w:rsidRPr="00577995">
              <w:rPr>
                <w:noProof/>
                <w:webHidden/>
              </w:rPr>
            </w:r>
            <w:r w:rsidR="00577995" w:rsidRPr="00577995">
              <w:rPr>
                <w:noProof/>
                <w:webHidden/>
              </w:rPr>
              <w:fldChar w:fldCharType="separate"/>
            </w:r>
            <w:r w:rsidR="00577995" w:rsidRPr="00577995">
              <w:rPr>
                <w:noProof/>
                <w:webHidden/>
              </w:rPr>
              <w:t>7</w:t>
            </w:r>
            <w:r w:rsidR="00577995" w:rsidRPr="00577995">
              <w:rPr>
                <w:noProof/>
                <w:webHidden/>
              </w:rPr>
              <w:fldChar w:fldCharType="end"/>
            </w:r>
          </w:hyperlink>
        </w:p>
        <w:p w14:paraId="3080DC96" w14:textId="6176750C" w:rsidR="00577995" w:rsidRPr="00577995" w:rsidRDefault="00C14D1B">
          <w:pPr>
            <w:pStyle w:val="TOC1"/>
            <w:rPr>
              <w:rFonts w:asciiTheme="minorHAnsi" w:eastAsiaTheme="minorEastAsia" w:hAnsiTheme="minorHAnsi" w:cstheme="minorBidi"/>
              <w:noProof/>
              <w:sz w:val="22"/>
              <w:szCs w:val="22"/>
              <w:lang w:eastAsia="en-GB"/>
            </w:rPr>
          </w:pPr>
          <w:hyperlink w:anchor="_Toc142300680" w:history="1">
            <w:r w:rsidR="00577995" w:rsidRPr="00577995">
              <w:rPr>
                <w:rStyle w:val="Hyperlink"/>
                <w:noProof/>
              </w:rPr>
              <w:t>6.</w:t>
            </w:r>
            <w:r w:rsidR="00577995" w:rsidRPr="00577995">
              <w:rPr>
                <w:rFonts w:asciiTheme="minorHAnsi" w:eastAsiaTheme="minorEastAsia" w:hAnsiTheme="minorHAnsi" w:cstheme="minorBidi"/>
                <w:noProof/>
                <w:sz w:val="22"/>
                <w:szCs w:val="22"/>
                <w:lang w:eastAsia="en-GB"/>
              </w:rPr>
              <w:tab/>
            </w:r>
            <w:r w:rsidR="00577995" w:rsidRPr="00577995">
              <w:rPr>
                <w:rStyle w:val="Hyperlink"/>
                <w:noProof/>
              </w:rPr>
              <w:t>Výhľad týkajúci sa emisií na druhý polrok 2023</w:t>
            </w:r>
            <w:r w:rsidR="00577995" w:rsidRPr="00577995">
              <w:rPr>
                <w:noProof/>
                <w:webHidden/>
              </w:rPr>
              <w:tab/>
            </w:r>
            <w:r w:rsidR="00577995" w:rsidRPr="00577995">
              <w:rPr>
                <w:noProof/>
                <w:webHidden/>
              </w:rPr>
              <w:fldChar w:fldCharType="begin"/>
            </w:r>
            <w:r w:rsidR="00577995" w:rsidRPr="00577995">
              <w:rPr>
                <w:noProof/>
                <w:webHidden/>
              </w:rPr>
              <w:instrText xml:space="preserve"> PAGEREF _Toc142300680 \h </w:instrText>
            </w:r>
            <w:r w:rsidR="00577995" w:rsidRPr="00577995">
              <w:rPr>
                <w:noProof/>
                <w:webHidden/>
              </w:rPr>
            </w:r>
            <w:r w:rsidR="00577995" w:rsidRPr="00577995">
              <w:rPr>
                <w:noProof/>
                <w:webHidden/>
              </w:rPr>
              <w:fldChar w:fldCharType="separate"/>
            </w:r>
            <w:r w:rsidR="00577995" w:rsidRPr="00577995">
              <w:rPr>
                <w:noProof/>
                <w:webHidden/>
              </w:rPr>
              <w:t>9</w:t>
            </w:r>
            <w:r w:rsidR="00577995" w:rsidRPr="00577995">
              <w:rPr>
                <w:noProof/>
                <w:webHidden/>
              </w:rPr>
              <w:fldChar w:fldCharType="end"/>
            </w:r>
          </w:hyperlink>
        </w:p>
        <w:p w14:paraId="5A9B365D" w14:textId="1552ED42" w:rsidR="00577995" w:rsidRPr="00577995" w:rsidRDefault="00C14D1B">
          <w:pPr>
            <w:pStyle w:val="TOC1"/>
            <w:rPr>
              <w:rFonts w:asciiTheme="minorHAnsi" w:eastAsiaTheme="minorEastAsia" w:hAnsiTheme="minorHAnsi" w:cstheme="minorBidi"/>
              <w:noProof/>
              <w:sz w:val="22"/>
              <w:szCs w:val="22"/>
              <w:lang w:eastAsia="en-GB"/>
            </w:rPr>
          </w:pPr>
          <w:hyperlink w:anchor="_Toc142300681" w:history="1">
            <w:r w:rsidR="00577995" w:rsidRPr="00577995">
              <w:rPr>
                <w:rStyle w:val="Hyperlink"/>
                <w:noProof/>
              </w:rPr>
              <w:t>7.</w:t>
            </w:r>
            <w:r w:rsidR="00577995" w:rsidRPr="00577995">
              <w:rPr>
                <w:rFonts w:asciiTheme="minorHAnsi" w:eastAsiaTheme="minorEastAsia" w:hAnsiTheme="minorHAnsi" w:cstheme="minorBidi"/>
                <w:noProof/>
                <w:sz w:val="22"/>
                <w:szCs w:val="22"/>
                <w:lang w:eastAsia="en-GB"/>
              </w:rPr>
              <w:tab/>
            </w:r>
            <w:r w:rsidR="00577995" w:rsidRPr="00577995">
              <w:rPr>
                <w:rStyle w:val="Hyperlink"/>
                <w:noProof/>
              </w:rPr>
              <w:t>Záver</w:t>
            </w:r>
            <w:r w:rsidR="00577995" w:rsidRPr="00577995">
              <w:rPr>
                <w:noProof/>
                <w:webHidden/>
              </w:rPr>
              <w:tab/>
            </w:r>
            <w:r w:rsidR="00577995" w:rsidRPr="00577995">
              <w:rPr>
                <w:noProof/>
                <w:webHidden/>
              </w:rPr>
              <w:fldChar w:fldCharType="begin"/>
            </w:r>
            <w:r w:rsidR="00577995" w:rsidRPr="00577995">
              <w:rPr>
                <w:noProof/>
                <w:webHidden/>
              </w:rPr>
              <w:instrText xml:space="preserve"> PAGEREF _Toc142300681 \h </w:instrText>
            </w:r>
            <w:r w:rsidR="00577995" w:rsidRPr="00577995">
              <w:rPr>
                <w:noProof/>
                <w:webHidden/>
              </w:rPr>
            </w:r>
            <w:r w:rsidR="00577995" w:rsidRPr="00577995">
              <w:rPr>
                <w:noProof/>
                <w:webHidden/>
              </w:rPr>
              <w:fldChar w:fldCharType="separate"/>
            </w:r>
            <w:r w:rsidR="00577995" w:rsidRPr="00577995">
              <w:rPr>
                <w:noProof/>
                <w:webHidden/>
              </w:rPr>
              <w:t>9</w:t>
            </w:r>
            <w:r w:rsidR="00577995" w:rsidRPr="00577995">
              <w:rPr>
                <w:noProof/>
                <w:webHidden/>
              </w:rPr>
              <w:fldChar w:fldCharType="end"/>
            </w:r>
          </w:hyperlink>
        </w:p>
        <w:p w14:paraId="0F817FC1" w14:textId="0D2E05D1" w:rsidR="00577995" w:rsidRPr="00577995" w:rsidRDefault="00C14D1B">
          <w:pPr>
            <w:pStyle w:val="TOC1"/>
            <w:rPr>
              <w:rFonts w:asciiTheme="minorHAnsi" w:eastAsiaTheme="minorEastAsia" w:hAnsiTheme="minorHAnsi" w:cstheme="minorBidi"/>
              <w:noProof/>
              <w:sz w:val="22"/>
              <w:szCs w:val="22"/>
              <w:lang w:eastAsia="en-GB"/>
            </w:rPr>
          </w:pPr>
          <w:hyperlink w:anchor="_Toc142300682" w:history="1">
            <w:r w:rsidR="00577995" w:rsidRPr="00577995">
              <w:rPr>
                <w:rStyle w:val="Hyperlink"/>
                <w:noProof/>
              </w:rPr>
              <w:t>Príloha: Stratégia financovania EÚ – ciele, prostriedky a ukazovatele vykonávania</w:t>
            </w:r>
            <w:r w:rsidR="00577995" w:rsidRPr="00577995">
              <w:rPr>
                <w:noProof/>
                <w:webHidden/>
              </w:rPr>
              <w:tab/>
            </w:r>
            <w:r w:rsidR="00577995" w:rsidRPr="00577995">
              <w:rPr>
                <w:noProof/>
                <w:webHidden/>
              </w:rPr>
              <w:fldChar w:fldCharType="begin"/>
            </w:r>
            <w:r w:rsidR="00577995" w:rsidRPr="00577995">
              <w:rPr>
                <w:noProof/>
                <w:webHidden/>
              </w:rPr>
              <w:instrText xml:space="preserve"> PAGEREF _Toc142300682 \h </w:instrText>
            </w:r>
            <w:r w:rsidR="00577995" w:rsidRPr="00577995">
              <w:rPr>
                <w:noProof/>
                <w:webHidden/>
              </w:rPr>
            </w:r>
            <w:r w:rsidR="00577995" w:rsidRPr="00577995">
              <w:rPr>
                <w:noProof/>
                <w:webHidden/>
              </w:rPr>
              <w:fldChar w:fldCharType="separate"/>
            </w:r>
            <w:r w:rsidR="00577995" w:rsidRPr="00577995">
              <w:rPr>
                <w:noProof/>
                <w:webHidden/>
              </w:rPr>
              <w:t>11</w:t>
            </w:r>
            <w:r w:rsidR="00577995" w:rsidRPr="00577995">
              <w:rPr>
                <w:noProof/>
                <w:webHidden/>
              </w:rPr>
              <w:fldChar w:fldCharType="end"/>
            </w:r>
          </w:hyperlink>
        </w:p>
        <w:p w14:paraId="33097789" w14:textId="6C918717" w:rsidR="008B6253" w:rsidRPr="00577995" w:rsidRDefault="008B6253" w:rsidP="008B6253">
          <w:pPr>
            <w:rPr>
              <w:noProof/>
            </w:rPr>
          </w:pPr>
          <w:r w:rsidRPr="00577995">
            <w:rPr>
              <w:b/>
              <w:noProof/>
            </w:rPr>
            <w:fldChar w:fldCharType="end"/>
          </w:r>
        </w:p>
      </w:sdtContent>
    </w:sdt>
    <w:p w14:paraId="0D3B81B7" w14:textId="77777777" w:rsidR="008B6253" w:rsidRPr="00577995" w:rsidRDefault="008B6253" w:rsidP="008B6253">
      <w:pPr>
        <w:rPr>
          <w:noProof/>
        </w:rPr>
      </w:pPr>
    </w:p>
    <w:p w14:paraId="3EEBF846" w14:textId="77777777" w:rsidR="008B6253" w:rsidRPr="00577995" w:rsidRDefault="008B6253" w:rsidP="008B6253">
      <w:pPr>
        <w:rPr>
          <w:noProof/>
          <w:u w:val="single"/>
        </w:rPr>
        <w:sectPr w:rsidR="008B6253" w:rsidRPr="00577995" w:rsidSect="008B6253">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0"/>
          <w:cols w:space="720"/>
          <w:docGrid w:linePitch="360"/>
        </w:sectPr>
      </w:pPr>
    </w:p>
    <w:p w14:paraId="6054F437" w14:textId="7D6D60FE" w:rsidR="001401DA" w:rsidRPr="00577995" w:rsidRDefault="008B6253" w:rsidP="00D3648A">
      <w:pPr>
        <w:pStyle w:val="Heading1"/>
        <w:spacing w:after="200"/>
        <w:contextualSpacing/>
        <w:rPr>
          <w:rFonts w:cs="Times New Roman"/>
          <w:noProof/>
          <w:color w:val="auto"/>
          <w:sz w:val="24"/>
          <w:szCs w:val="24"/>
        </w:rPr>
      </w:pPr>
      <w:bookmarkStart w:id="2" w:name="_Toc142300675"/>
      <w:r w:rsidRPr="00577995">
        <w:rPr>
          <w:noProof/>
          <w:color w:val="auto"/>
          <w:sz w:val="24"/>
        </w:rPr>
        <w:t>Úvod</w:t>
      </w:r>
      <w:bookmarkEnd w:id="2"/>
    </w:p>
    <w:p w14:paraId="7DA5330C" w14:textId="4B92F3AF" w:rsidR="004A61C9" w:rsidRPr="00577995" w:rsidRDefault="0091353C" w:rsidP="004A61C9">
      <w:pPr>
        <w:spacing w:line="240" w:lineRule="auto"/>
        <w:jc w:val="both"/>
        <w:rPr>
          <w:noProof/>
        </w:rPr>
      </w:pPr>
      <w:r w:rsidRPr="00577995">
        <w:rPr>
          <w:noProof/>
        </w:rPr>
        <w:t>Komisia si</w:t>
      </w:r>
      <w:r w:rsidR="00577995" w:rsidRPr="00577995">
        <w:rPr>
          <w:noProof/>
        </w:rPr>
        <w:t xml:space="preserve"> v </w:t>
      </w:r>
      <w:r w:rsidRPr="00577995">
        <w:rPr>
          <w:noProof/>
        </w:rPr>
        <w:t>mene Európskej únie vypožičiava finančné prostriedky už viac ako 40 rokov. EÚ za posledné tri roky zaznamenala hlbokú transformáciu svojej prítomnosti na európskych kapitálových trhoch</w:t>
      </w:r>
      <w:r w:rsidR="00577995" w:rsidRPr="00577995">
        <w:rPr>
          <w:noProof/>
        </w:rPr>
        <w:t xml:space="preserve"> a </w:t>
      </w:r>
      <w:r w:rsidRPr="00577995">
        <w:rPr>
          <w:noProof/>
        </w:rPr>
        <w:t>ich využívania pri vykonávaní rozsiahlych programov, ako sú nástroj SURE</w:t>
      </w:r>
      <w:r w:rsidRPr="00577995">
        <w:rPr>
          <w:rStyle w:val="FootnoteReference"/>
          <w:noProof/>
        </w:rPr>
        <w:footnoteReference w:id="2"/>
      </w:r>
      <w:r w:rsidRPr="00577995">
        <w:rPr>
          <w:noProof/>
        </w:rPr>
        <w:t>, nástroj NextGenerationEU</w:t>
      </w:r>
      <w:r w:rsidR="00577995" w:rsidRPr="00577995">
        <w:rPr>
          <w:noProof/>
        </w:rPr>
        <w:t xml:space="preserve"> a </w:t>
      </w:r>
      <w:r w:rsidRPr="00577995">
        <w:rPr>
          <w:noProof/>
        </w:rPr>
        <w:t>nástroj makrofinančnej pomoci+ Ukrajine.</w:t>
      </w:r>
      <w:r w:rsidR="00577995" w:rsidRPr="00577995">
        <w:rPr>
          <w:noProof/>
        </w:rPr>
        <w:t xml:space="preserve"> V </w:t>
      </w:r>
      <w:bookmarkStart w:id="3" w:name="_Hlk139454430"/>
      <w:r w:rsidRPr="00577995">
        <w:rPr>
          <w:noProof/>
        </w:rPr>
        <w:t>dôsledku emisie dlhopisov má EÚ</w:t>
      </w:r>
      <w:r w:rsidR="00577995" w:rsidRPr="00577995">
        <w:rPr>
          <w:noProof/>
        </w:rPr>
        <w:t xml:space="preserve"> v </w:t>
      </w:r>
      <w:r w:rsidRPr="00577995">
        <w:rPr>
          <w:noProof/>
        </w:rPr>
        <w:t>súčasnosti nesplatené záväzky vo výške</w:t>
      </w:r>
      <w:r w:rsidR="00577995" w:rsidRPr="00577995">
        <w:rPr>
          <w:noProof/>
        </w:rPr>
        <w:t xml:space="preserve"> o </w:t>
      </w:r>
      <w:r w:rsidRPr="00577995">
        <w:rPr>
          <w:noProof/>
        </w:rPr>
        <w:t>niečo viac ako 400 mld. EUR,</w:t>
      </w:r>
      <w:r w:rsidR="00577995" w:rsidRPr="00577995">
        <w:rPr>
          <w:noProof/>
        </w:rPr>
        <w:t xml:space="preserve"> z </w:t>
      </w:r>
      <w:r w:rsidRPr="00577995">
        <w:rPr>
          <w:noProof/>
        </w:rPr>
        <w:t>toho približne 370 mld. EUR bolo emitovaných od roku 2020.</w:t>
      </w:r>
      <w:bookmarkEnd w:id="3"/>
    </w:p>
    <w:p w14:paraId="1C552C7F" w14:textId="194A5D90" w:rsidR="004A61C9" w:rsidRPr="00577995" w:rsidRDefault="001401DA" w:rsidP="004A61C9">
      <w:pPr>
        <w:spacing w:line="240" w:lineRule="auto"/>
        <w:jc w:val="both"/>
        <w:rPr>
          <w:noProof/>
        </w:rPr>
      </w:pPr>
      <w:r w:rsidRPr="00577995">
        <w:rPr>
          <w:noProof/>
        </w:rPr>
        <w:t>Komisia potrebovala úplne novú stratégiu na úspešné financovanie emisií dlhopisov</w:t>
      </w:r>
      <w:r w:rsidR="00577995" w:rsidRPr="00577995">
        <w:rPr>
          <w:noProof/>
        </w:rPr>
        <w:t xml:space="preserve"> v </w:t>
      </w:r>
      <w:r w:rsidRPr="00577995">
        <w:rPr>
          <w:noProof/>
        </w:rPr>
        <w:t>tomto rozsahu. Pri vytváraní nástroja NextGenerationEU vypracovala diverzifikovanú stratégiu financovania, ktorá bola podobná stratégii uplatňovanej najväčšími štátnymi emitentmi eurozóny.</w:t>
      </w:r>
      <w:r w:rsidR="00577995" w:rsidRPr="00577995">
        <w:rPr>
          <w:noProof/>
        </w:rPr>
        <w:t xml:space="preserve"> V </w:t>
      </w:r>
      <w:r w:rsidRPr="00577995">
        <w:rPr>
          <w:noProof/>
        </w:rPr>
        <w:t>súlade</w:t>
      </w:r>
      <w:r w:rsidR="00577995" w:rsidRPr="00577995">
        <w:rPr>
          <w:noProof/>
        </w:rPr>
        <w:t xml:space="preserve"> s </w:t>
      </w:r>
      <w:r w:rsidRPr="00577995">
        <w:rPr>
          <w:noProof/>
        </w:rPr>
        <w:t>najlepšími postupmi, ktoré používajú títo emitenti, sa</w:t>
      </w:r>
      <w:r w:rsidR="00577995" w:rsidRPr="00577995">
        <w:rPr>
          <w:noProof/>
        </w:rPr>
        <w:t xml:space="preserve"> v </w:t>
      </w:r>
      <w:r w:rsidRPr="00577995">
        <w:rPr>
          <w:noProof/>
        </w:rPr>
        <w:t>diverzifikovanej stratégii financovania využívajú rôzne nástroje financovania (dlhopisy EÚ</w:t>
      </w:r>
      <w:r w:rsidR="00577995" w:rsidRPr="00577995">
        <w:rPr>
          <w:noProof/>
        </w:rPr>
        <w:t xml:space="preserve"> a </w:t>
      </w:r>
      <w:r w:rsidRPr="00577995">
        <w:rPr>
          <w:noProof/>
        </w:rPr>
        <w:t>poukážky EÚ)</w:t>
      </w:r>
      <w:r w:rsidR="00577995" w:rsidRPr="00577995">
        <w:rPr>
          <w:noProof/>
        </w:rPr>
        <w:t xml:space="preserve"> a </w:t>
      </w:r>
      <w:r w:rsidRPr="00577995">
        <w:rPr>
          <w:noProof/>
        </w:rPr>
        <w:t>techniky financovania (syndikácie</w:t>
      </w:r>
      <w:r w:rsidR="00577995" w:rsidRPr="00577995">
        <w:rPr>
          <w:noProof/>
        </w:rPr>
        <w:t xml:space="preserve"> a </w:t>
      </w:r>
      <w:r w:rsidRPr="00577995">
        <w:rPr>
          <w:noProof/>
        </w:rPr>
        <w:t>aukcie) na pokrytie dlhodobých</w:t>
      </w:r>
      <w:r w:rsidR="00577995" w:rsidRPr="00577995">
        <w:rPr>
          <w:noProof/>
        </w:rPr>
        <w:t xml:space="preserve"> a </w:t>
      </w:r>
      <w:r w:rsidRPr="00577995">
        <w:rPr>
          <w:noProof/>
        </w:rPr>
        <w:t>krátkodobých potrieb financovania.</w:t>
      </w:r>
    </w:p>
    <w:p w14:paraId="209D8A24" w14:textId="350386B9" w:rsidR="004A61C9" w:rsidRPr="00577995" w:rsidRDefault="001401DA" w:rsidP="009E0388">
      <w:pPr>
        <w:spacing w:after="0" w:line="240" w:lineRule="auto"/>
        <w:contextualSpacing/>
        <w:jc w:val="both"/>
        <w:rPr>
          <w:noProof/>
        </w:rPr>
      </w:pPr>
      <w:r w:rsidRPr="00577995">
        <w:rPr>
          <w:noProof/>
        </w:rPr>
        <w:t>Rozsah diverzifikovanej stratégie financovania sa</w:t>
      </w:r>
      <w:r w:rsidR="00577995" w:rsidRPr="00577995">
        <w:rPr>
          <w:noProof/>
        </w:rPr>
        <w:t xml:space="preserve"> v </w:t>
      </w:r>
      <w:r w:rsidRPr="00577995">
        <w:rPr>
          <w:noProof/>
        </w:rPr>
        <w:t>decembri 2022 zväčšil, aby Komisia mohla rozšíriť výhody tejto flexibilnejšej</w:t>
      </w:r>
      <w:r w:rsidR="00577995" w:rsidRPr="00577995">
        <w:rPr>
          <w:noProof/>
        </w:rPr>
        <w:t xml:space="preserve"> a </w:t>
      </w:r>
      <w:r w:rsidRPr="00577995">
        <w:rPr>
          <w:noProof/>
        </w:rPr>
        <w:t>nákladovo efektívnejšej stratégie riadenia dlhu na nástroj makrofinančnej pomoci+ Ukrajine</w:t>
      </w:r>
      <w:r w:rsidR="00577995" w:rsidRPr="00577995">
        <w:rPr>
          <w:noProof/>
        </w:rPr>
        <w:t xml:space="preserve"> a </w:t>
      </w:r>
      <w:r w:rsidRPr="00577995">
        <w:rPr>
          <w:noProof/>
        </w:rPr>
        <w:t>iné potenciálne budúce programy týkajúce sa vypožičiavania si prostriedkov</w:t>
      </w:r>
      <w:r w:rsidR="00577995" w:rsidRPr="00577995">
        <w:rPr>
          <w:noProof/>
        </w:rPr>
        <w:t xml:space="preserve"> a </w:t>
      </w:r>
      <w:r w:rsidRPr="00577995">
        <w:rPr>
          <w:noProof/>
        </w:rPr>
        <w:t>poskytovania úverov, čím sa vytvoril jednotný prístup</w:t>
      </w:r>
      <w:r w:rsidR="00577995" w:rsidRPr="00577995">
        <w:rPr>
          <w:noProof/>
        </w:rPr>
        <w:t xml:space="preserve"> k </w:t>
      </w:r>
      <w:r w:rsidRPr="00577995">
        <w:rPr>
          <w:noProof/>
        </w:rPr>
        <w:t>financovaniu pre všetky programy EÚ týkajúce sa vypožičiavania si prostriedkov</w:t>
      </w:r>
      <w:r w:rsidR="00577995" w:rsidRPr="00577995">
        <w:rPr>
          <w:noProof/>
        </w:rPr>
        <w:t xml:space="preserve"> a </w:t>
      </w:r>
      <w:r w:rsidRPr="00577995">
        <w:rPr>
          <w:noProof/>
        </w:rPr>
        <w:t>poskytovania úverov.</w:t>
      </w:r>
      <w:r w:rsidR="00577995" w:rsidRPr="00577995">
        <w:rPr>
          <w:noProof/>
        </w:rPr>
        <w:t xml:space="preserve"> V </w:t>
      </w:r>
      <w:r w:rsidRPr="00577995">
        <w:rPr>
          <w:noProof/>
        </w:rPr>
        <w:t>rámci tohto jednotného prístupu</w:t>
      </w:r>
      <w:r w:rsidR="00577995" w:rsidRPr="00577995">
        <w:rPr>
          <w:noProof/>
        </w:rPr>
        <w:t xml:space="preserve"> k </w:t>
      </w:r>
      <w:r w:rsidRPr="00577995">
        <w:rPr>
          <w:noProof/>
        </w:rPr>
        <w:t>financovaniu Komisia emituje dlhopisy EÚ</w:t>
      </w:r>
      <w:r w:rsidR="00577995" w:rsidRPr="00577995">
        <w:rPr>
          <w:noProof/>
        </w:rPr>
        <w:t xml:space="preserve"> s </w:t>
      </w:r>
      <w:r w:rsidRPr="00577995">
        <w:rPr>
          <w:noProof/>
        </w:rPr>
        <w:t>jednotným označením namiesto využívania samostatne určených emisií podľa jednotlivých politík ako</w:t>
      </w:r>
      <w:r w:rsidR="00577995" w:rsidRPr="00577995">
        <w:rPr>
          <w:noProof/>
        </w:rPr>
        <w:t xml:space="preserve"> v </w:t>
      </w:r>
      <w:r w:rsidRPr="00577995">
        <w:rPr>
          <w:noProof/>
        </w:rPr>
        <w:t>minulosti.</w:t>
      </w:r>
    </w:p>
    <w:p w14:paraId="7A70A2EA" w14:textId="77777777" w:rsidR="004A61C9" w:rsidRPr="00577995" w:rsidRDefault="004A61C9" w:rsidP="004A61C9">
      <w:pPr>
        <w:spacing w:line="240" w:lineRule="auto"/>
        <w:contextualSpacing/>
        <w:jc w:val="both"/>
        <w:rPr>
          <w:noProof/>
          <w:sz w:val="20"/>
          <w:szCs w:val="20"/>
        </w:rPr>
      </w:pPr>
    </w:p>
    <w:p w14:paraId="2394B0E1" w14:textId="21DAE41C" w:rsidR="004A61C9" w:rsidRPr="00577995" w:rsidRDefault="004A61C9" w:rsidP="004A61C9">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b/>
          <w:bCs/>
          <w:noProof/>
        </w:rPr>
      </w:pPr>
      <w:r w:rsidRPr="00577995">
        <w:rPr>
          <w:b/>
          <w:noProof/>
        </w:rPr>
        <w:t>Rámček 1: Použitie výnosov</w:t>
      </w:r>
      <w:r w:rsidR="00577995" w:rsidRPr="00577995">
        <w:rPr>
          <w:b/>
          <w:noProof/>
        </w:rPr>
        <w:t xml:space="preserve"> z </w:t>
      </w:r>
      <w:r w:rsidRPr="00577995">
        <w:rPr>
          <w:b/>
          <w:noProof/>
        </w:rPr>
        <w:t>emisie dlhopisov EÚ</w:t>
      </w:r>
    </w:p>
    <w:p w14:paraId="69397F56" w14:textId="0988BFF4" w:rsidR="004A61C9" w:rsidRPr="00577995" w:rsidRDefault="004A61C9" w:rsidP="004A61C9">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noProof/>
          <w:spacing w:val="-6"/>
        </w:rPr>
      </w:pPr>
      <w:bookmarkStart w:id="4" w:name="_Hlk138159556"/>
      <w:r w:rsidRPr="00577995">
        <w:rPr>
          <w:noProof/>
        </w:rPr>
        <w:t>V rámci nástroja NextGenerationEU môže Komisia od polovice roku 2021 do roku 2026 získať až 806,9 mld. EUR prostredníctvom emisie dlhopisov EÚ,</w:t>
      </w:r>
      <w:r w:rsidR="00577995" w:rsidRPr="00577995">
        <w:rPr>
          <w:noProof/>
        </w:rPr>
        <w:t xml:space="preserve"> v </w:t>
      </w:r>
      <w:r w:rsidRPr="00577995">
        <w:rPr>
          <w:noProof/>
        </w:rPr>
        <w:t>dôsledku čoho sa EÚ</w:t>
      </w:r>
      <w:r w:rsidR="00577995" w:rsidRPr="00577995">
        <w:rPr>
          <w:noProof/>
        </w:rPr>
        <w:t xml:space="preserve"> v </w:t>
      </w:r>
      <w:r w:rsidRPr="00577995">
        <w:rPr>
          <w:noProof/>
        </w:rPr>
        <w:t>tomto období stane jedným</w:t>
      </w:r>
      <w:r w:rsidR="00577995" w:rsidRPr="00577995">
        <w:rPr>
          <w:noProof/>
        </w:rPr>
        <w:t xml:space="preserve"> z </w:t>
      </w:r>
      <w:r w:rsidRPr="00577995">
        <w:rPr>
          <w:noProof/>
        </w:rPr>
        <w:t>najväčších emitentov dlhu denominovaného</w:t>
      </w:r>
      <w:r w:rsidR="00577995" w:rsidRPr="00577995">
        <w:rPr>
          <w:noProof/>
        </w:rPr>
        <w:t xml:space="preserve"> v </w:t>
      </w:r>
      <w:r w:rsidRPr="00577995">
        <w:rPr>
          <w:noProof/>
        </w:rPr>
        <w:t>eurách.</w:t>
      </w:r>
      <w:r w:rsidR="00577995" w:rsidRPr="00577995">
        <w:rPr>
          <w:noProof/>
        </w:rPr>
        <w:t xml:space="preserve"> K </w:t>
      </w:r>
      <w:r w:rsidRPr="00577995">
        <w:rPr>
          <w:noProof/>
        </w:rPr>
        <w:t>dnešnému dňu bolo vyplatených viac ako 183 mld. EUR: 153,4 mld. EUR členským štátom</w:t>
      </w:r>
      <w:r w:rsidR="00577995" w:rsidRPr="00577995">
        <w:rPr>
          <w:noProof/>
        </w:rPr>
        <w:t xml:space="preserve"> v </w:t>
      </w:r>
      <w:r w:rsidRPr="00577995">
        <w:rPr>
          <w:noProof/>
        </w:rPr>
        <w:t>rámci Mechanizmu na podporu obnovy</w:t>
      </w:r>
      <w:r w:rsidR="00577995" w:rsidRPr="00577995">
        <w:rPr>
          <w:noProof/>
        </w:rPr>
        <w:t xml:space="preserve"> a </w:t>
      </w:r>
      <w:r w:rsidRPr="00577995">
        <w:rPr>
          <w:noProof/>
        </w:rPr>
        <w:t>odolnosti</w:t>
      </w:r>
      <w:r w:rsidR="00577995" w:rsidRPr="00577995">
        <w:rPr>
          <w:noProof/>
        </w:rPr>
        <w:t xml:space="preserve"> a </w:t>
      </w:r>
      <w:r w:rsidRPr="00577995">
        <w:rPr>
          <w:noProof/>
        </w:rPr>
        <w:t xml:space="preserve">29,8 mld. EUR do rozpočtu EÚ. </w:t>
      </w:r>
      <w:bookmarkEnd w:id="4"/>
      <w:r w:rsidRPr="00577995">
        <w:rPr>
          <w:noProof/>
        </w:rPr>
        <w:t>Členské štáty</w:t>
      </w:r>
      <w:r w:rsidR="00577995" w:rsidRPr="00577995">
        <w:rPr>
          <w:noProof/>
        </w:rPr>
        <w:t xml:space="preserve"> v </w:t>
      </w:r>
      <w:r w:rsidRPr="00577995">
        <w:rPr>
          <w:noProof/>
        </w:rPr>
        <w:t>súčasnosti revidujú svoje plány obnovy</w:t>
      </w:r>
      <w:r w:rsidR="00577995" w:rsidRPr="00577995">
        <w:rPr>
          <w:noProof/>
        </w:rPr>
        <w:t xml:space="preserve"> a </w:t>
      </w:r>
      <w:r w:rsidRPr="00577995">
        <w:rPr>
          <w:noProof/>
        </w:rPr>
        <w:t>odolnosti</w:t>
      </w:r>
      <w:r w:rsidR="00577995" w:rsidRPr="00577995">
        <w:rPr>
          <w:noProof/>
        </w:rPr>
        <w:t xml:space="preserve"> s </w:t>
      </w:r>
      <w:r w:rsidRPr="00577995">
        <w:rPr>
          <w:noProof/>
        </w:rPr>
        <w:t>cieľom okrem iného zohľadniť revidovanú alokáciu nenávratnej podpory, požiadať</w:t>
      </w:r>
      <w:r w:rsidR="00577995" w:rsidRPr="00577995">
        <w:rPr>
          <w:noProof/>
        </w:rPr>
        <w:t xml:space="preserve"> o </w:t>
      </w:r>
      <w:r w:rsidRPr="00577995">
        <w:rPr>
          <w:noProof/>
        </w:rPr>
        <w:t>dodatočné úvery, ak si to želajú, alebo sa prispôsobiť novým prioritám</w:t>
      </w:r>
      <w:r w:rsidR="00577995" w:rsidRPr="00577995">
        <w:rPr>
          <w:noProof/>
        </w:rPr>
        <w:t xml:space="preserve"> a </w:t>
      </w:r>
      <w:r w:rsidRPr="00577995">
        <w:rPr>
          <w:noProof/>
        </w:rPr>
        <w:t>dodatočným možnostiam financovania</w:t>
      </w:r>
      <w:r w:rsidR="00577995" w:rsidRPr="00577995">
        <w:rPr>
          <w:noProof/>
        </w:rPr>
        <w:t xml:space="preserve"> v </w:t>
      </w:r>
      <w:r w:rsidRPr="00577995">
        <w:rPr>
          <w:noProof/>
        </w:rPr>
        <w:t>rámci plánu REPowerEU. Revízia týchto plánov povedie</w:t>
      </w:r>
      <w:r w:rsidR="00577995" w:rsidRPr="00577995">
        <w:rPr>
          <w:noProof/>
        </w:rPr>
        <w:t xml:space="preserve"> k </w:t>
      </w:r>
      <w:r w:rsidRPr="00577995">
        <w:rPr>
          <w:noProof/>
        </w:rPr>
        <w:t>zvýšenému využívaniu úverov</w:t>
      </w:r>
      <w:r w:rsidR="00577995" w:rsidRPr="00577995">
        <w:rPr>
          <w:noProof/>
        </w:rPr>
        <w:t xml:space="preserve"> z </w:t>
      </w:r>
      <w:r w:rsidRPr="00577995">
        <w:rPr>
          <w:noProof/>
        </w:rPr>
        <w:t>nástroja NextGenerationEU. Po predložení musí tieto plány posúdiť Komisia</w:t>
      </w:r>
      <w:r w:rsidR="00577995" w:rsidRPr="00577995">
        <w:rPr>
          <w:noProof/>
        </w:rPr>
        <w:t xml:space="preserve"> a </w:t>
      </w:r>
      <w:r w:rsidRPr="00577995">
        <w:rPr>
          <w:noProof/>
        </w:rPr>
        <w:t>následne ich musí schváliť Rada.</w:t>
      </w:r>
    </w:p>
    <w:p w14:paraId="544E6C1D" w14:textId="77777777" w:rsidR="007B08DA" w:rsidRPr="00577995" w:rsidRDefault="007B08DA" w:rsidP="004A61C9">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noProof/>
          <w:spacing w:val="-6"/>
        </w:rPr>
      </w:pPr>
    </w:p>
    <w:p w14:paraId="2602C720" w14:textId="3313B23D" w:rsidR="00E24082" w:rsidRPr="00577995" w:rsidRDefault="004A61C9" w:rsidP="00E91029">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noProof/>
          <w:spacing w:val="-6"/>
        </w:rPr>
      </w:pPr>
      <w:r w:rsidRPr="00577995">
        <w:rPr>
          <w:noProof/>
        </w:rPr>
        <w:t>EÚ navyše poskytne Ukrajine</w:t>
      </w:r>
      <w:r w:rsidR="00577995" w:rsidRPr="00577995">
        <w:rPr>
          <w:noProof/>
        </w:rPr>
        <w:t xml:space="preserve"> v </w:t>
      </w:r>
      <w:r w:rsidRPr="00577995">
        <w:rPr>
          <w:noProof/>
        </w:rPr>
        <w:t>roku 2023 až 18 mld. EUR vo forme veľmi zvýhodnených úverov poskytovaných</w:t>
      </w:r>
      <w:r w:rsidR="00577995" w:rsidRPr="00577995">
        <w:rPr>
          <w:noProof/>
        </w:rPr>
        <w:t xml:space="preserve"> v </w:t>
      </w:r>
      <w:r w:rsidRPr="00577995">
        <w:rPr>
          <w:noProof/>
        </w:rPr>
        <w:t>rámci nástroja makrofinančnej pomoci+. Tieto prostriedky sa budú vyplácať</w:t>
      </w:r>
      <w:r w:rsidR="00577995" w:rsidRPr="00577995">
        <w:rPr>
          <w:noProof/>
        </w:rPr>
        <w:t xml:space="preserve"> v </w:t>
      </w:r>
      <w:r w:rsidRPr="00577995">
        <w:rPr>
          <w:noProof/>
        </w:rPr>
        <w:t>pravidelných splátkach, pričom sa pokryje približne polovica krátkodobých potrieb Ukrajiny</w:t>
      </w:r>
      <w:r w:rsidR="00577995" w:rsidRPr="00577995">
        <w:rPr>
          <w:noProof/>
        </w:rPr>
        <w:t xml:space="preserve"> v </w:t>
      </w:r>
      <w:r w:rsidRPr="00577995">
        <w:rPr>
          <w:noProof/>
        </w:rPr>
        <w:t>oblasti financovania na rok 2023, ako ich odhadli ukrajinské orgány</w:t>
      </w:r>
      <w:r w:rsidR="00577995" w:rsidRPr="00577995">
        <w:rPr>
          <w:noProof/>
        </w:rPr>
        <w:t xml:space="preserve"> a </w:t>
      </w:r>
      <w:r w:rsidRPr="00577995">
        <w:rPr>
          <w:noProof/>
        </w:rPr>
        <w:t>Medzinárodný menový fond.</w:t>
      </w:r>
      <w:r w:rsidR="00577995" w:rsidRPr="00577995">
        <w:rPr>
          <w:noProof/>
        </w:rPr>
        <w:t xml:space="preserve"> V </w:t>
      </w:r>
      <w:r w:rsidRPr="00577995">
        <w:rPr>
          <w:noProof/>
        </w:rPr>
        <w:t>prvom polroku 2023 sa Ukrajine</w:t>
      </w:r>
      <w:r w:rsidR="00577995" w:rsidRPr="00577995">
        <w:rPr>
          <w:noProof/>
        </w:rPr>
        <w:t xml:space="preserve"> v </w:t>
      </w:r>
      <w:r w:rsidRPr="00577995">
        <w:rPr>
          <w:noProof/>
        </w:rPr>
        <w:t xml:space="preserve">rámci programu makrofinančnej pomoci+ už vyplatilo 9 mld. EUR. </w:t>
      </w:r>
    </w:p>
    <w:p w14:paraId="686A6D16" w14:textId="77777777" w:rsidR="00E24082" w:rsidRPr="00577995" w:rsidRDefault="00E24082" w:rsidP="00E91029">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noProof/>
          <w:spacing w:val="-6"/>
        </w:rPr>
      </w:pPr>
    </w:p>
    <w:p w14:paraId="37608220" w14:textId="32F2DE74" w:rsidR="00E91029" w:rsidRPr="00577995" w:rsidRDefault="0069582D" w:rsidP="00E91029">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noProof/>
          <w:spacing w:val="-6"/>
        </w:rPr>
      </w:pPr>
      <w:r w:rsidRPr="00577995">
        <w:rPr>
          <w:noProof/>
        </w:rPr>
        <w:t>Komisia 20. júna 2023 navrhla zriadiť osobitný finančný nástroj pre Ukrajinu, ktorý by zahŕňal granty</w:t>
      </w:r>
      <w:r w:rsidR="00577995" w:rsidRPr="00577995">
        <w:rPr>
          <w:noProof/>
        </w:rPr>
        <w:t xml:space="preserve"> a </w:t>
      </w:r>
      <w:r w:rsidRPr="00577995">
        <w:rPr>
          <w:noProof/>
        </w:rPr>
        <w:t>úvery na roky 2024 – 2027</w:t>
      </w:r>
      <w:r w:rsidR="00577995" w:rsidRPr="00577995">
        <w:rPr>
          <w:noProof/>
        </w:rPr>
        <w:t xml:space="preserve"> v </w:t>
      </w:r>
      <w:r w:rsidRPr="00577995">
        <w:rPr>
          <w:noProof/>
        </w:rPr>
        <w:t>objeme až 50 mld. EUR. Očakáva sa, že 33 mld. EUR bude vo forme úverov financovaných emisiou dlhopisov EÚ, ktorá sa začne</w:t>
      </w:r>
      <w:r w:rsidR="00577995" w:rsidRPr="00577995">
        <w:rPr>
          <w:noProof/>
        </w:rPr>
        <w:t xml:space="preserve"> v </w:t>
      </w:r>
      <w:r w:rsidRPr="00577995">
        <w:rPr>
          <w:noProof/>
        </w:rPr>
        <w:t>roku 2024 po dohode</w:t>
      </w:r>
      <w:r w:rsidR="00577995" w:rsidRPr="00577995">
        <w:rPr>
          <w:noProof/>
        </w:rPr>
        <w:t xml:space="preserve"> s </w:t>
      </w:r>
      <w:r w:rsidRPr="00577995">
        <w:rPr>
          <w:noProof/>
        </w:rPr>
        <w:t>Európskym parlamentom</w:t>
      </w:r>
      <w:r w:rsidR="00577995" w:rsidRPr="00577995">
        <w:rPr>
          <w:noProof/>
        </w:rPr>
        <w:t xml:space="preserve"> a </w:t>
      </w:r>
      <w:r w:rsidRPr="00577995">
        <w:rPr>
          <w:noProof/>
        </w:rPr>
        <w:t>Radou.</w:t>
      </w:r>
    </w:p>
    <w:p w14:paraId="76EBC0FA" w14:textId="518EF7C0" w:rsidR="006F7559" w:rsidRPr="00577995" w:rsidRDefault="00E91029" w:rsidP="006F7559">
      <w:pPr>
        <w:spacing w:line="240" w:lineRule="auto"/>
        <w:jc w:val="both"/>
        <w:rPr>
          <w:noProof/>
        </w:rPr>
      </w:pPr>
      <w:r w:rsidRPr="00577995">
        <w:rPr>
          <w:noProof/>
        </w:rPr>
        <w:t>V tejto polročnej správe vypracovanej</w:t>
      </w:r>
      <w:r w:rsidR="00577995" w:rsidRPr="00577995">
        <w:rPr>
          <w:noProof/>
        </w:rPr>
        <w:t xml:space="preserve"> v </w:t>
      </w:r>
      <w:r w:rsidRPr="00577995">
        <w:rPr>
          <w:noProof/>
        </w:rPr>
        <w:t>súlade</w:t>
      </w:r>
      <w:r w:rsidR="00577995" w:rsidRPr="00577995">
        <w:rPr>
          <w:noProof/>
        </w:rPr>
        <w:t xml:space="preserve"> s </w:t>
      </w:r>
      <w:r w:rsidRPr="00577995">
        <w:rPr>
          <w:noProof/>
        </w:rPr>
        <w:t>článkom 12 vykonávacieho rozhodnutia Komisie C(2022) 9700 sa skúma prvých šesť mesiacov vykonávania jednotného prístupu</w:t>
      </w:r>
      <w:r w:rsidR="00577995" w:rsidRPr="00577995">
        <w:rPr>
          <w:noProof/>
        </w:rPr>
        <w:t xml:space="preserve"> k </w:t>
      </w:r>
      <w:r w:rsidRPr="00577995">
        <w:rPr>
          <w:noProof/>
        </w:rPr>
        <w:t>financovaniu. Nehodnotí sa</w:t>
      </w:r>
      <w:r w:rsidR="00577995" w:rsidRPr="00577995">
        <w:rPr>
          <w:noProof/>
        </w:rPr>
        <w:t xml:space="preserve"> v </w:t>
      </w:r>
      <w:r w:rsidRPr="00577995">
        <w:rPr>
          <w:noProof/>
        </w:rPr>
        <w:t>nej, ako boli výnosy použité, vrátane zelených výdavkov, pretože to bude predmetom samostatných správ podľa nariadení pre jednotlivé nástroje. Skúmajú sa</w:t>
      </w:r>
      <w:r w:rsidR="00577995" w:rsidRPr="00577995">
        <w:rPr>
          <w:noProof/>
        </w:rPr>
        <w:t xml:space="preserve"> v </w:t>
      </w:r>
      <w:r w:rsidRPr="00577995">
        <w:rPr>
          <w:noProof/>
        </w:rPr>
        <w:t>nej aj kroky, ktoré Komisia podniká na ďalší rozvoj ekosystému dlhopisov EÚ</w:t>
      </w:r>
      <w:r w:rsidR="00577995" w:rsidRPr="00577995">
        <w:rPr>
          <w:noProof/>
        </w:rPr>
        <w:t xml:space="preserve"> s </w:t>
      </w:r>
      <w:r w:rsidRPr="00577995">
        <w:rPr>
          <w:noProof/>
        </w:rPr>
        <w:t>cieľom zvýšiť likviditu dlhopisov EÚ</w:t>
      </w:r>
      <w:r w:rsidR="00577995" w:rsidRPr="00577995">
        <w:rPr>
          <w:noProof/>
        </w:rPr>
        <w:t xml:space="preserve"> a </w:t>
      </w:r>
      <w:r w:rsidRPr="00577995">
        <w:rPr>
          <w:noProof/>
        </w:rPr>
        <w:t>uľahčiť trhové zaobchádzanie, ktoré odzrkadľuje objemy emisií</w:t>
      </w:r>
      <w:r w:rsidR="00577995" w:rsidRPr="00577995">
        <w:rPr>
          <w:noProof/>
        </w:rPr>
        <w:t xml:space="preserve"> a </w:t>
      </w:r>
      <w:r w:rsidRPr="00577995">
        <w:rPr>
          <w:noProof/>
        </w:rPr>
        <w:t>úverovú silu EÚ. Napokon sa</w:t>
      </w:r>
      <w:r w:rsidR="00577995" w:rsidRPr="00577995">
        <w:rPr>
          <w:noProof/>
        </w:rPr>
        <w:t xml:space="preserve"> v </w:t>
      </w:r>
      <w:r w:rsidRPr="00577995">
        <w:rPr>
          <w:noProof/>
        </w:rPr>
        <w:t>nej uvádza výhľad pre emisie dlhopisov EÚ</w:t>
      </w:r>
      <w:r w:rsidR="00577995" w:rsidRPr="00577995">
        <w:rPr>
          <w:noProof/>
        </w:rPr>
        <w:t xml:space="preserve"> v </w:t>
      </w:r>
      <w:r w:rsidRPr="00577995">
        <w:rPr>
          <w:noProof/>
        </w:rPr>
        <w:t>druhej polovici roku 2023.</w:t>
      </w:r>
    </w:p>
    <w:p w14:paraId="5512E3DA" w14:textId="06AD9690" w:rsidR="00E91029" w:rsidRPr="00577995" w:rsidRDefault="00E91029" w:rsidP="006F7559">
      <w:pPr>
        <w:spacing w:line="240" w:lineRule="auto"/>
        <w:jc w:val="both"/>
        <w:rPr>
          <w:noProof/>
        </w:rPr>
      </w:pPr>
      <w:r w:rsidRPr="00577995">
        <w:rPr>
          <w:noProof/>
        </w:rPr>
        <w:t>V prílohe</w:t>
      </w:r>
      <w:r w:rsidR="00577995" w:rsidRPr="00577995">
        <w:rPr>
          <w:noProof/>
        </w:rPr>
        <w:t xml:space="preserve"> k </w:t>
      </w:r>
      <w:r w:rsidRPr="00577995">
        <w:rPr>
          <w:noProof/>
        </w:rPr>
        <w:t>tejto správe sa predkladá aj zastrešujúca stratégia riadenia dlhu, ktorou sa riadi vykonávanie jednotného prístupu</w:t>
      </w:r>
      <w:r w:rsidR="00577995" w:rsidRPr="00577995">
        <w:rPr>
          <w:noProof/>
        </w:rPr>
        <w:t xml:space="preserve"> k </w:t>
      </w:r>
      <w:r w:rsidRPr="00577995">
        <w:rPr>
          <w:noProof/>
        </w:rPr>
        <w:t>financovaniu zo strany Komisie. Komisia ju sformulovala</w:t>
      </w:r>
      <w:r w:rsidR="00577995" w:rsidRPr="00577995">
        <w:rPr>
          <w:noProof/>
        </w:rPr>
        <w:t xml:space="preserve"> v </w:t>
      </w:r>
      <w:r w:rsidRPr="00577995">
        <w:rPr>
          <w:noProof/>
        </w:rPr>
        <w:t>reakcii na odporúčanie Európskeho dvora audítorov (EDA),</w:t>
      </w:r>
      <w:r w:rsidR="00577995" w:rsidRPr="00577995">
        <w:rPr>
          <w:noProof/>
        </w:rPr>
        <w:t xml:space="preserve"> v </w:t>
      </w:r>
      <w:r w:rsidRPr="00577995">
        <w:rPr>
          <w:noProof/>
        </w:rPr>
        <w:t>ktorom sa vyzvalo na vypracovanie takejto stratégie</w:t>
      </w:r>
      <w:r w:rsidR="00577995" w:rsidRPr="00577995">
        <w:rPr>
          <w:noProof/>
        </w:rPr>
        <w:t xml:space="preserve"> a </w:t>
      </w:r>
      <w:r w:rsidRPr="00577995">
        <w:rPr>
          <w:noProof/>
        </w:rPr>
        <w:t>na stanovenie ukazovateľov, ktoré možno použiť na monitorovanie jej vykonávania. Ciele</w:t>
      </w:r>
      <w:r w:rsidR="00577995" w:rsidRPr="00577995">
        <w:rPr>
          <w:noProof/>
        </w:rPr>
        <w:t xml:space="preserve"> a </w:t>
      </w:r>
      <w:r w:rsidRPr="00577995">
        <w:rPr>
          <w:noProof/>
        </w:rPr>
        <w:t>prostriedky, na ktorých je stratégia založená, sú uvedené</w:t>
      </w:r>
      <w:r w:rsidR="00577995" w:rsidRPr="00577995">
        <w:rPr>
          <w:noProof/>
        </w:rPr>
        <w:t xml:space="preserve"> v </w:t>
      </w:r>
      <w:r w:rsidRPr="00577995">
        <w:rPr>
          <w:noProof/>
        </w:rPr>
        <w:t>prílohe spolu</w:t>
      </w:r>
      <w:r w:rsidR="00577995" w:rsidRPr="00577995">
        <w:rPr>
          <w:noProof/>
        </w:rPr>
        <w:t xml:space="preserve"> s </w:t>
      </w:r>
      <w:r w:rsidRPr="00577995">
        <w:rPr>
          <w:noProof/>
        </w:rPr>
        <w:t>ukazovateľmi, ktoré Komisia použije na monitorovanie jej vykonávania.</w:t>
      </w:r>
    </w:p>
    <w:p w14:paraId="3699C473" w14:textId="5F708E30" w:rsidR="00E91029" w:rsidRPr="00577995" w:rsidRDefault="006F7559" w:rsidP="00EC43E1">
      <w:pPr>
        <w:spacing w:line="240" w:lineRule="auto"/>
        <w:jc w:val="both"/>
        <w:rPr>
          <w:noProof/>
        </w:rPr>
      </w:pPr>
      <w:r w:rsidRPr="00577995">
        <w:rPr>
          <w:noProof/>
        </w:rPr>
        <w:t>Polročná správa je súčasťou pravidelného toku informácií pre Parlament</w:t>
      </w:r>
      <w:r w:rsidR="00577995" w:rsidRPr="00577995">
        <w:rPr>
          <w:noProof/>
        </w:rPr>
        <w:t xml:space="preserve"> a </w:t>
      </w:r>
      <w:r w:rsidRPr="00577995">
        <w:rPr>
          <w:noProof/>
        </w:rPr>
        <w:t>Radu</w:t>
      </w:r>
      <w:r w:rsidR="00577995" w:rsidRPr="00577995">
        <w:rPr>
          <w:noProof/>
        </w:rPr>
        <w:t xml:space="preserve"> a </w:t>
      </w:r>
      <w:r w:rsidRPr="00577995">
        <w:rPr>
          <w:noProof/>
        </w:rPr>
        <w:t>zabezpečuje transparentnosť</w:t>
      </w:r>
      <w:r w:rsidR="00577995" w:rsidRPr="00577995">
        <w:rPr>
          <w:noProof/>
        </w:rPr>
        <w:t xml:space="preserve"> a </w:t>
      </w:r>
      <w:r w:rsidRPr="00577995">
        <w:rPr>
          <w:noProof/>
        </w:rPr>
        <w:t>zodpovednosť pri vykonávaní operácií riadenia dlhu EÚ. Keďže diverzifikovaná stratégia financovania sa stáva</w:t>
      </w:r>
      <w:r w:rsidR="00577995" w:rsidRPr="00577995">
        <w:rPr>
          <w:noProof/>
        </w:rPr>
        <w:t xml:space="preserve"> v </w:t>
      </w:r>
      <w:r w:rsidRPr="00577995">
        <w:rPr>
          <w:noProof/>
        </w:rPr>
        <w:t>nariadení</w:t>
      </w:r>
      <w:r w:rsidR="00577995" w:rsidRPr="00577995">
        <w:rPr>
          <w:noProof/>
        </w:rPr>
        <w:t xml:space="preserve"> o </w:t>
      </w:r>
      <w:r w:rsidRPr="00577995">
        <w:rPr>
          <w:noProof/>
        </w:rPr>
        <w:t>rozpočtových pravidlách ústredným prístupom</w:t>
      </w:r>
      <w:r w:rsidR="00577995" w:rsidRPr="00577995">
        <w:rPr>
          <w:noProof/>
        </w:rPr>
        <w:t xml:space="preserve"> k </w:t>
      </w:r>
      <w:r w:rsidRPr="00577995">
        <w:rPr>
          <w:noProof/>
        </w:rPr>
        <w:t>operáciám EÚ týkajúcim sa vypožičiavania si prostriedkov</w:t>
      </w:r>
      <w:r w:rsidR="00577995" w:rsidRPr="00577995">
        <w:rPr>
          <w:noProof/>
        </w:rPr>
        <w:t xml:space="preserve"> a </w:t>
      </w:r>
      <w:r w:rsidRPr="00577995">
        <w:rPr>
          <w:noProof/>
        </w:rPr>
        <w:t>poskytovania úverov, táto správa</w:t>
      </w:r>
      <w:r w:rsidR="00577995" w:rsidRPr="00577995">
        <w:rPr>
          <w:noProof/>
        </w:rPr>
        <w:t xml:space="preserve"> a </w:t>
      </w:r>
      <w:r w:rsidRPr="00577995">
        <w:rPr>
          <w:noProof/>
        </w:rPr>
        <w:t>všetky budúce správy sa vypracujú</w:t>
      </w:r>
      <w:r w:rsidR="00577995" w:rsidRPr="00577995">
        <w:rPr>
          <w:noProof/>
        </w:rPr>
        <w:t xml:space="preserve"> v </w:t>
      </w:r>
      <w:r w:rsidRPr="00577995">
        <w:rPr>
          <w:noProof/>
        </w:rPr>
        <w:t>súlade</w:t>
      </w:r>
      <w:r w:rsidR="00577995" w:rsidRPr="00577995">
        <w:rPr>
          <w:noProof/>
        </w:rPr>
        <w:t xml:space="preserve"> s </w:t>
      </w:r>
      <w:r w:rsidRPr="00577995">
        <w:rPr>
          <w:noProof/>
        </w:rPr>
        <w:t>článkom 220a nariadenia</w:t>
      </w:r>
      <w:r w:rsidR="00577995" w:rsidRPr="00577995">
        <w:rPr>
          <w:noProof/>
        </w:rPr>
        <w:t xml:space="preserve"> o </w:t>
      </w:r>
      <w:r w:rsidRPr="00577995">
        <w:rPr>
          <w:noProof/>
        </w:rPr>
        <w:t>rozpočtových pravidlách,</w:t>
      </w:r>
      <w:r w:rsidR="00577995" w:rsidRPr="00577995">
        <w:rPr>
          <w:noProof/>
        </w:rPr>
        <w:t xml:space="preserve"> v </w:t>
      </w:r>
      <w:r w:rsidRPr="00577995">
        <w:rPr>
          <w:noProof/>
        </w:rPr>
        <w:t>ktorom sa vyžaduje pravidelné</w:t>
      </w:r>
      <w:r w:rsidR="00577995" w:rsidRPr="00577995">
        <w:rPr>
          <w:noProof/>
        </w:rPr>
        <w:t xml:space="preserve"> a </w:t>
      </w:r>
      <w:r w:rsidRPr="00577995">
        <w:rPr>
          <w:noProof/>
        </w:rPr>
        <w:t>komplexné podávanie správ</w:t>
      </w:r>
      <w:r w:rsidR="00577995" w:rsidRPr="00577995">
        <w:rPr>
          <w:noProof/>
        </w:rPr>
        <w:t xml:space="preserve"> o </w:t>
      </w:r>
      <w:r w:rsidRPr="00577995">
        <w:rPr>
          <w:noProof/>
        </w:rPr>
        <w:t>všetkých aspektoch stratégie EÚ</w:t>
      </w:r>
      <w:r w:rsidR="00577995" w:rsidRPr="00577995">
        <w:rPr>
          <w:noProof/>
        </w:rPr>
        <w:t xml:space="preserve"> v </w:t>
      </w:r>
      <w:r w:rsidRPr="00577995">
        <w:rPr>
          <w:noProof/>
        </w:rPr>
        <w:t>oblasti vypožičiavania si prostriedkov</w:t>
      </w:r>
      <w:r w:rsidR="00577995" w:rsidRPr="00577995">
        <w:rPr>
          <w:noProof/>
        </w:rPr>
        <w:t xml:space="preserve"> a </w:t>
      </w:r>
      <w:r w:rsidRPr="00577995">
        <w:rPr>
          <w:noProof/>
        </w:rPr>
        <w:t>riadenia dlhu.</w:t>
      </w:r>
    </w:p>
    <w:p w14:paraId="4FD8F240" w14:textId="09E43A08" w:rsidR="008B6253" w:rsidRPr="00577995" w:rsidRDefault="00BD5F9F" w:rsidP="00D3648A">
      <w:pPr>
        <w:pStyle w:val="Heading1"/>
        <w:spacing w:after="200"/>
        <w:contextualSpacing/>
        <w:rPr>
          <w:rFonts w:cs="Times New Roman"/>
          <w:noProof/>
          <w:color w:val="auto"/>
          <w:sz w:val="24"/>
          <w:szCs w:val="24"/>
        </w:rPr>
      </w:pPr>
      <w:bookmarkStart w:id="5" w:name="_Toc142300676"/>
      <w:r w:rsidRPr="00577995">
        <w:rPr>
          <w:noProof/>
          <w:color w:val="auto"/>
          <w:sz w:val="24"/>
        </w:rPr>
        <w:t>Vykonávanie operácií vypožičiavania si prostriedkov</w:t>
      </w:r>
      <w:r w:rsidR="00577995" w:rsidRPr="00577995">
        <w:rPr>
          <w:noProof/>
          <w:color w:val="auto"/>
          <w:sz w:val="24"/>
        </w:rPr>
        <w:t xml:space="preserve"> v </w:t>
      </w:r>
      <w:r w:rsidRPr="00577995">
        <w:rPr>
          <w:noProof/>
          <w:color w:val="auto"/>
          <w:sz w:val="24"/>
        </w:rPr>
        <w:t>prvom polroku 2023</w:t>
      </w:r>
      <w:bookmarkEnd w:id="5"/>
    </w:p>
    <w:p w14:paraId="3ED8C977" w14:textId="26CD2EA0" w:rsidR="005D6F11" w:rsidRPr="00577995" w:rsidRDefault="005D6F11" w:rsidP="005D6F11">
      <w:pPr>
        <w:spacing w:line="240" w:lineRule="auto"/>
        <w:jc w:val="both"/>
        <w:rPr>
          <w:noProof/>
        </w:rPr>
      </w:pPr>
      <w:r w:rsidRPr="00577995">
        <w:rPr>
          <w:noProof/>
        </w:rPr>
        <w:t>V prvom polroku 2023 Komisia pokračovala</w:t>
      </w:r>
      <w:r w:rsidR="00577995" w:rsidRPr="00577995">
        <w:rPr>
          <w:noProof/>
        </w:rPr>
        <w:t xml:space="preserve"> v </w:t>
      </w:r>
      <w:r w:rsidRPr="00577995">
        <w:rPr>
          <w:noProof/>
        </w:rPr>
        <w:t>plnení svojich cieľov, pokiaľ ide</w:t>
      </w:r>
      <w:r w:rsidR="00577995" w:rsidRPr="00577995">
        <w:rPr>
          <w:noProof/>
        </w:rPr>
        <w:t xml:space="preserve"> o </w:t>
      </w:r>
      <w:r w:rsidRPr="00577995">
        <w:rPr>
          <w:noProof/>
        </w:rPr>
        <w:t>účinné</w:t>
      </w:r>
      <w:r w:rsidR="00577995" w:rsidRPr="00577995">
        <w:rPr>
          <w:noProof/>
        </w:rPr>
        <w:t xml:space="preserve"> a </w:t>
      </w:r>
      <w:r w:rsidRPr="00577995">
        <w:rPr>
          <w:noProof/>
        </w:rPr>
        <w:t>efektívne získavanie finančných prostriedkov na trhoch uplatňovaním jednotného prístupu</w:t>
      </w:r>
      <w:r w:rsidR="00577995" w:rsidRPr="00577995">
        <w:rPr>
          <w:noProof/>
        </w:rPr>
        <w:t xml:space="preserve"> k </w:t>
      </w:r>
      <w:r w:rsidRPr="00577995">
        <w:rPr>
          <w:noProof/>
        </w:rPr>
        <w:t>financovaniu. Komisia tak napriek volatilite trhu dokázala včas splniť všetky svoje záväzky vyplácania</w:t>
      </w:r>
      <w:r w:rsidR="00577995" w:rsidRPr="00577995">
        <w:rPr>
          <w:noProof/>
        </w:rPr>
        <w:t xml:space="preserve"> v </w:t>
      </w:r>
      <w:r w:rsidRPr="00577995">
        <w:rPr>
          <w:noProof/>
        </w:rPr>
        <w:t>rámci nástroja NextGenerationEU</w:t>
      </w:r>
      <w:r w:rsidR="00577995" w:rsidRPr="00577995">
        <w:rPr>
          <w:noProof/>
        </w:rPr>
        <w:t xml:space="preserve"> a </w:t>
      </w:r>
      <w:r w:rsidRPr="00577995">
        <w:rPr>
          <w:noProof/>
        </w:rPr>
        <w:t>nástroja makrofinančnej pomoci+. Sumy emisií</w:t>
      </w:r>
      <w:r w:rsidR="00577995" w:rsidRPr="00577995">
        <w:rPr>
          <w:noProof/>
        </w:rPr>
        <w:t xml:space="preserve"> a </w:t>
      </w:r>
      <w:r w:rsidRPr="00577995">
        <w:rPr>
          <w:noProof/>
        </w:rPr>
        <w:t>splatnosti boli zároveň naďalej</w:t>
      </w:r>
      <w:r w:rsidR="00577995" w:rsidRPr="00577995">
        <w:rPr>
          <w:noProof/>
        </w:rPr>
        <w:t xml:space="preserve"> v </w:t>
      </w:r>
      <w:r w:rsidRPr="00577995">
        <w:rPr>
          <w:noProof/>
        </w:rPr>
        <w:t>rámci vopred stanovených parametrov</w:t>
      </w:r>
      <w:r w:rsidR="00577995" w:rsidRPr="00577995">
        <w:rPr>
          <w:noProof/>
        </w:rPr>
        <w:t xml:space="preserve"> a </w:t>
      </w:r>
      <w:r w:rsidRPr="00577995">
        <w:rPr>
          <w:noProof/>
        </w:rPr>
        <w:t>podmienky financovania boli</w:t>
      </w:r>
      <w:r w:rsidR="00577995" w:rsidRPr="00577995">
        <w:rPr>
          <w:noProof/>
        </w:rPr>
        <w:t xml:space="preserve"> v </w:t>
      </w:r>
      <w:r w:rsidRPr="00577995">
        <w:rPr>
          <w:noProof/>
        </w:rPr>
        <w:t>súlade</w:t>
      </w:r>
      <w:r w:rsidR="00577995" w:rsidRPr="00577995">
        <w:rPr>
          <w:noProof/>
        </w:rPr>
        <w:t xml:space="preserve"> s </w:t>
      </w:r>
      <w:r w:rsidRPr="00577995">
        <w:rPr>
          <w:noProof/>
        </w:rPr>
        <w:t>podmienkami platnými pre emitenta takej veľkosti</w:t>
      </w:r>
      <w:r w:rsidR="00577995" w:rsidRPr="00577995">
        <w:rPr>
          <w:noProof/>
        </w:rPr>
        <w:t xml:space="preserve"> a s </w:t>
      </w:r>
      <w:r w:rsidRPr="00577995">
        <w:rPr>
          <w:noProof/>
        </w:rPr>
        <w:t>takým priaznivým ratingom, aké má EÚ.</w:t>
      </w:r>
      <w:r w:rsidR="00577995" w:rsidRPr="00577995">
        <w:rPr>
          <w:noProof/>
        </w:rPr>
        <w:t xml:space="preserve"> V </w:t>
      </w:r>
      <w:r w:rsidRPr="00577995">
        <w:rPr>
          <w:noProof/>
        </w:rPr>
        <w:t>nasledujúcich oddieloch sa uvádzajú niektoré kľúčové zložky operácií Komisie týkajúcich sa vypožičiavania si prostriedkov</w:t>
      </w:r>
      <w:r w:rsidR="00577995" w:rsidRPr="00577995">
        <w:rPr>
          <w:noProof/>
        </w:rPr>
        <w:t xml:space="preserve"> a </w:t>
      </w:r>
      <w:r w:rsidRPr="00577995">
        <w:rPr>
          <w:noProof/>
        </w:rPr>
        <w:t>poskytovania úverov</w:t>
      </w:r>
      <w:r w:rsidR="00577995" w:rsidRPr="00577995">
        <w:rPr>
          <w:noProof/>
        </w:rPr>
        <w:t xml:space="preserve"> v </w:t>
      </w:r>
      <w:r w:rsidRPr="00577995">
        <w:rPr>
          <w:noProof/>
        </w:rPr>
        <w:t>prvom polroku 2023. Ďalšie podrobnosti</w:t>
      </w:r>
      <w:r w:rsidR="00577995" w:rsidRPr="00577995">
        <w:rPr>
          <w:noProof/>
        </w:rPr>
        <w:t xml:space="preserve"> o </w:t>
      </w:r>
      <w:r w:rsidRPr="00577995">
        <w:rPr>
          <w:noProof/>
        </w:rPr>
        <w:t>vykonávaní stratégie financovania Komisie počas tohto obdobia sú uvedené</w:t>
      </w:r>
      <w:r w:rsidR="00577995" w:rsidRPr="00577995">
        <w:rPr>
          <w:noProof/>
        </w:rPr>
        <w:t xml:space="preserve"> v </w:t>
      </w:r>
      <w:r w:rsidRPr="00577995">
        <w:rPr>
          <w:noProof/>
        </w:rPr>
        <w:t>prílohe.</w:t>
      </w:r>
    </w:p>
    <w:p w14:paraId="0C7AA257" w14:textId="7E172D1A" w:rsidR="005D6F11" w:rsidRPr="00577995" w:rsidRDefault="003926DF" w:rsidP="00BB3A2B">
      <w:pPr>
        <w:keepNext/>
        <w:keepLines/>
        <w:spacing w:line="240" w:lineRule="auto"/>
        <w:contextualSpacing/>
        <w:jc w:val="both"/>
        <w:rPr>
          <w:i/>
          <w:noProof/>
          <w:spacing w:val="-6"/>
        </w:rPr>
      </w:pPr>
      <w:r w:rsidRPr="00577995">
        <w:rPr>
          <w:i/>
          <w:noProof/>
        </w:rPr>
        <w:t>Vykonávanie plánu financovania na prvý polrok 2023</w:t>
      </w:r>
    </w:p>
    <w:p w14:paraId="266023B2" w14:textId="12E49F0E" w:rsidR="005D6F11" w:rsidRPr="00577995" w:rsidRDefault="005D6F11" w:rsidP="00BB3A2B">
      <w:pPr>
        <w:keepNext/>
        <w:keepLines/>
        <w:spacing w:line="240" w:lineRule="auto"/>
        <w:jc w:val="both"/>
        <w:rPr>
          <w:noProof/>
        </w:rPr>
      </w:pPr>
      <w:bookmarkStart w:id="6" w:name="_Hlk138161421"/>
      <w:r w:rsidRPr="00577995">
        <w:rPr>
          <w:noProof/>
        </w:rPr>
        <w:t>V decembri 2022 Komisia oznámila plán financovania na obdobie od januára do konca júna 2023. Bol to prvý plán financovania, ktorý sa vzťahoval nielen na nástroj NextGenerationEU, ale aj na iné programy týkajúce sa vypožičiavania si prostriedkov</w:t>
      </w:r>
      <w:r w:rsidR="00577995" w:rsidRPr="00577995">
        <w:rPr>
          <w:noProof/>
        </w:rPr>
        <w:t xml:space="preserve"> a </w:t>
      </w:r>
      <w:r w:rsidRPr="00577995">
        <w:rPr>
          <w:noProof/>
        </w:rPr>
        <w:t xml:space="preserve">poskytovania úverov, najmä na nástroj makrofinančnej pomoci+ Ukrajine. </w:t>
      </w:r>
    </w:p>
    <w:p w14:paraId="755C7968" w14:textId="2F72C2C1" w:rsidR="00B11EE8" w:rsidRPr="00577995" w:rsidRDefault="005D6F11" w:rsidP="005D6F11">
      <w:pPr>
        <w:spacing w:line="240" w:lineRule="auto"/>
        <w:jc w:val="both"/>
        <w:rPr>
          <w:noProof/>
        </w:rPr>
      </w:pPr>
      <w:r w:rsidRPr="00577995">
        <w:rPr>
          <w:noProof/>
        </w:rPr>
        <w:t>V prvom polroku 2023 Komisia oznámila dlhodobé operácie financovania až do výšky 80 mld. EUR</w:t>
      </w:r>
      <w:r w:rsidR="00577995" w:rsidRPr="00577995">
        <w:rPr>
          <w:noProof/>
        </w:rPr>
        <w:t xml:space="preserve"> a </w:t>
      </w:r>
      <w:r w:rsidRPr="00577995">
        <w:rPr>
          <w:noProof/>
        </w:rPr>
        <w:t>nakoniec emitovala dlhopisy EÚ vo výške 78 mld. EUR</w:t>
      </w:r>
      <w:r w:rsidR="00577995" w:rsidRPr="00577995">
        <w:rPr>
          <w:noProof/>
        </w:rPr>
        <w:t xml:space="preserve"> s </w:t>
      </w:r>
      <w:r w:rsidRPr="00577995">
        <w:rPr>
          <w:noProof/>
        </w:rPr>
        <w:t>priemernou splatnosťou približne 14 rokov. Komisia použila kombináciu syndikácií (60 %)</w:t>
      </w:r>
      <w:r w:rsidR="00577995" w:rsidRPr="00577995">
        <w:rPr>
          <w:noProof/>
        </w:rPr>
        <w:t xml:space="preserve"> a </w:t>
      </w:r>
      <w:r w:rsidRPr="00577995">
        <w:rPr>
          <w:noProof/>
        </w:rPr>
        <w:t>aukcií (40 %). Pätnásť transakcií bolo rozložených na celých šesť mesiacov, aby sa zabezpečila pravidelná prítomnosť na trhu.</w:t>
      </w:r>
      <w:r w:rsidR="00577995" w:rsidRPr="00577995">
        <w:rPr>
          <w:noProof/>
        </w:rPr>
        <w:t xml:space="preserve"> V </w:t>
      </w:r>
      <w:r w:rsidRPr="00577995">
        <w:rPr>
          <w:noProof/>
        </w:rPr>
        <w:t>prvom polroku 2023 sa vykonal vyšší počet transakcií ako</w:t>
      </w:r>
      <w:r w:rsidR="00577995" w:rsidRPr="00577995">
        <w:rPr>
          <w:noProof/>
        </w:rPr>
        <w:t xml:space="preserve"> v </w:t>
      </w:r>
      <w:r w:rsidRPr="00577995">
        <w:rPr>
          <w:noProof/>
        </w:rPr>
        <w:t>druhom polroku 2022, čo odzrkadľuje vyšší cieľ financovania</w:t>
      </w:r>
      <w:r w:rsidR="00577995" w:rsidRPr="00577995">
        <w:rPr>
          <w:noProof/>
        </w:rPr>
        <w:t xml:space="preserve"> v </w:t>
      </w:r>
      <w:r w:rsidRPr="00577995">
        <w:rPr>
          <w:noProof/>
        </w:rPr>
        <w:t>prvom polroku 2023 (až 80 mld. EUR</w:t>
      </w:r>
      <w:r w:rsidR="00577995" w:rsidRPr="00577995">
        <w:rPr>
          <w:noProof/>
        </w:rPr>
        <w:t xml:space="preserve"> v </w:t>
      </w:r>
      <w:r w:rsidRPr="00577995">
        <w:rPr>
          <w:noProof/>
        </w:rPr>
        <w:t>prvom polroku 2023</w:t>
      </w:r>
      <w:r w:rsidR="00577995" w:rsidRPr="00577995">
        <w:rPr>
          <w:noProof/>
        </w:rPr>
        <w:t xml:space="preserve"> v </w:t>
      </w:r>
      <w:r w:rsidRPr="00577995">
        <w:rPr>
          <w:noProof/>
        </w:rPr>
        <w:t>porovnaní</w:t>
      </w:r>
      <w:r w:rsidR="00577995" w:rsidRPr="00577995">
        <w:rPr>
          <w:noProof/>
        </w:rPr>
        <w:t xml:space="preserve"> s </w:t>
      </w:r>
      <w:r w:rsidRPr="00577995">
        <w:rPr>
          <w:noProof/>
        </w:rPr>
        <w:t>50 mld. EUR</w:t>
      </w:r>
      <w:r w:rsidR="00577995" w:rsidRPr="00577995">
        <w:rPr>
          <w:noProof/>
        </w:rPr>
        <w:t xml:space="preserve"> v </w:t>
      </w:r>
      <w:r w:rsidRPr="00577995">
        <w:rPr>
          <w:noProof/>
        </w:rPr>
        <w:t>druhom polroku 2022). Vzhľadom na náročné</w:t>
      </w:r>
      <w:r w:rsidR="00577995" w:rsidRPr="00577995">
        <w:rPr>
          <w:noProof/>
        </w:rPr>
        <w:t xml:space="preserve"> a </w:t>
      </w:r>
      <w:r w:rsidRPr="00577995">
        <w:rPr>
          <w:noProof/>
        </w:rPr>
        <w:t>nestále podmienky na trhu prevládajúce</w:t>
      </w:r>
      <w:r w:rsidR="00577995" w:rsidRPr="00577995">
        <w:rPr>
          <w:noProof/>
        </w:rPr>
        <w:t xml:space="preserve"> v </w:t>
      </w:r>
      <w:r w:rsidRPr="00577995">
        <w:rPr>
          <w:noProof/>
        </w:rPr>
        <w:t>prvom polroku 2023 mali transakcie zároveň nižšiu priemernú veľkosť.</w:t>
      </w:r>
      <w:bookmarkStart w:id="7" w:name="_Hlk139454398"/>
    </w:p>
    <w:p w14:paraId="71BA18D7" w14:textId="62162629" w:rsidR="005D6F11" w:rsidRPr="00577995" w:rsidRDefault="005D6F11" w:rsidP="005D6F11">
      <w:pPr>
        <w:spacing w:line="240" w:lineRule="auto"/>
        <w:jc w:val="both"/>
        <w:rPr>
          <w:noProof/>
        </w:rPr>
      </w:pPr>
      <w:r w:rsidRPr="00577995">
        <w:rPr>
          <w:noProof/>
        </w:rPr>
        <w:t>Transakciami za prvých šesť mesiacov roku 2023 sa celková nesplatená suma dlhopisov EÚ zvýšila na</w:t>
      </w:r>
      <w:r w:rsidR="00577995" w:rsidRPr="00577995">
        <w:rPr>
          <w:noProof/>
        </w:rPr>
        <w:t xml:space="preserve"> o </w:t>
      </w:r>
      <w:r w:rsidRPr="00577995">
        <w:rPr>
          <w:noProof/>
        </w:rPr>
        <w:t>niečo viac ako 400 mld. EUR,</w:t>
      </w:r>
      <w:r w:rsidR="00577995" w:rsidRPr="00577995">
        <w:rPr>
          <w:noProof/>
        </w:rPr>
        <w:t xml:space="preserve"> z </w:t>
      </w:r>
      <w:r w:rsidRPr="00577995">
        <w:rPr>
          <w:noProof/>
        </w:rPr>
        <w:t>toho 44 mld. EUR sa získalo emisiou zelených dlhopisov nástroja NextGenerationEU.</w:t>
      </w:r>
      <w:r w:rsidR="00577995" w:rsidRPr="00577995">
        <w:rPr>
          <w:noProof/>
        </w:rPr>
        <w:t xml:space="preserve"> V </w:t>
      </w:r>
      <w:r w:rsidRPr="00577995">
        <w:rPr>
          <w:noProof/>
        </w:rPr>
        <w:t>prvom polroku 2023 Komisia získala 7,732 mld. EUR navýšením dvoch existujúcich zelených dlhopisov. Tieto dve transakcie zvýšili nesplatenú sumu daných dvoch dlhopisov, čím prispeli</w:t>
      </w:r>
      <w:r w:rsidR="00577995" w:rsidRPr="00577995">
        <w:rPr>
          <w:noProof/>
        </w:rPr>
        <w:t xml:space="preserve"> k </w:t>
      </w:r>
      <w:r w:rsidRPr="00577995">
        <w:rPr>
          <w:noProof/>
        </w:rPr>
        <w:t>budovaniu vysokolikvidnej krivky zelených dlhopisov nástroja NextGenerationEU</w:t>
      </w:r>
      <w:r w:rsidR="00577995" w:rsidRPr="00577995">
        <w:rPr>
          <w:noProof/>
        </w:rPr>
        <w:t xml:space="preserve"> v </w:t>
      </w:r>
      <w:r w:rsidRPr="00577995">
        <w:rPr>
          <w:noProof/>
        </w:rPr>
        <w:t xml:space="preserve">rámci tohto programu, ktorý bude najväčším programom pre zelené dlhopisy na svete. </w:t>
      </w:r>
    </w:p>
    <w:p w14:paraId="737E3432" w14:textId="0400265F" w:rsidR="009A7D29" w:rsidRPr="00577995" w:rsidRDefault="005D6F11" w:rsidP="005D6F11">
      <w:pPr>
        <w:spacing w:line="240" w:lineRule="auto"/>
        <w:jc w:val="both"/>
        <w:rPr>
          <w:noProof/>
        </w:rPr>
      </w:pPr>
      <w:r w:rsidRPr="00577995">
        <w:rPr>
          <w:noProof/>
        </w:rPr>
        <w:t>V prvom polroku 2023 Komisia okrem toho prostredníctvom aukcií uskutočňovaných raz za dva mesiace emitovala troj-</w:t>
      </w:r>
      <w:r w:rsidR="00577995" w:rsidRPr="00577995">
        <w:rPr>
          <w:noProof/>
        </w:rPr>
        <w:t xml:space="preserve"> a </w:t>
      </w:r>
      <w:r w:rsidRPr="00577995">
        <w:rPr>
          <w:noProof/>
        </w:rPr>
        <w:t>šesťmesačné poukážky EÚ</w:t>
      </w:r>
      <w:r w:rsidR="00577995" w:rsidRPr="00577995">
        <w:rPr>
          <w:noProof/>
        </w:rPr>
        <w:t xml:space="preserve"> s </w:t>
      </w:r>
      <w:r w:rsidRPr="00577995">
        <w:rPr>
          <w:noProof/>
        </w:rPr>
        <w:t>cieľom uspokojiť krátkodobé potreby financovania, pričom ku koncu júna 2023 dosahovali nesplatené poukážky EÚ objem 18,7 mld. EUR. Na emitovanie 24 poukážok EÚ sa použilo 12 aukcií, pričom každá</w:t>
      </w:r>
      <w:r w:rsidR="00577995" w:rsidRPr="00577995">
        <w:rPr>
          <w:noProof/>
        </w:rPr>
        <w:t xml:space="preserve"> z </w:t>
      </w:r>
      <w:r w:rsidRPr="00577995">
        <w:rPr>
          <w:noProof/>
        </w:rPr>
        <w:t xml:space="preserve">nich mala priemernú hodnotu približne 1 mld. EUR. </w:t>
      </w:r>
      <w:bookmarkEnd w:id="7"/>
    </w:p>
    <w:bookmarkEnd w:id="6"/>
    <w:p w14:paraId="1BBD1ABF" w14:textId="7719E7FF" w:rsidR="003926DF" w:rsidRPr="00577995" w:rsidRDefault="003926DF" w:rsidP="00DC2305">
      <w:pPr>
        <w:spacing w:line="240" w:lineRule="auto"/>
        <w:contextualSpacing/>
        <w:jc w:val="both"/>
        <w:rPr>
          <w:i/>
          <w:noProof/>
          <w:spacing w:val="-6"/>
        </w:rPr>
      </w:pPr>
      <w:r w:rsidRPr="00577995">
        <w:rPr>
          <w:i/>
          <w:noProof/>
        </w:rPr>
        <w:t>Vyplatené prostriedky</w:t>
      </w:r>
    </w:p>
    <w:p w14:paraId="69EA4DF0" w14:textId="566522D8" w:rsidR="00DC2305" w:rsidRPr="00577995" w:rsidRDefault="00DC2305" w:rsidP="00DC2305">
      <w:pPr>
        <w:spacing w:line="240" w:lineRule="auto"/>
        <w:jc w:val="both"/>
        <w:rPr>
          <w:noProof/>
        </w:rPr>
      </w:pPr>
      <w:r w:rsidRPr="00577995">
        <w:rPr>
          <w:noProof/>
        </w:rPr>
        <w:t>Na základe týchto transakcií bola EÚ schopná pokračovať</w:t>
      </w:r>
      <w:r w:rsidR="00577995" w:rsidRPr="00577995">
        <w:rPr>
          <w:noProof/>
        </w:rPr>
        <w:t xml:space="preserve"> v </w:t>
      </w:r>
      <w:r w:rsidRPr="00577995">
        <w:rPr>
          <w:noProof/>
        </w:rPr>
        <w:t>bezproblémovom financovaní plánov obnovy</w:t>
      </w:r>
      <w:r w:rsidR="00577995" w:rsidRPr="00577995">
        <w:rPr>
          <w:noProof/>
        </w:rPr>
        <w:t xml:space="preserve"> a </w:t>
      </w:r>
      <w:r w:rsidRPr="00577995">
        <w:rPr>
          <w:noProof/>
        </w:rPr>
        <w:t>odolnosti členských štátov prostredníctvom včasného vyplácania výnosov. Komisia vyplatila členským štátom</w:t>
      </w:r>
      <w:r w:rsidR="00577995" w:rsidRPr="00577995">
        <w:rPr>
          <w:noProof/>
        </w:rPr>
        <w:t xml:space="preserve"> v </w:t>
      </w:r>
      <w:r w:rsidRPr="00577995">
        <w:rPr>
          <w:noProof/>
        </w:rPr>
        <w:t>rámci Mechanizmu na podporu obnovy</w:t>
      </w:r>
      <w:r w:rsidR="00577995" w:rsidRPr="00577995">
        <w:rPr>
          <w:noProof/>
        </w:rPr>
        <w:t xml:space="preserve"> a </w:t>
      </w:r>
      <w:r w:rsidRPr="00577995">
        <w:rPr>
          <w:noProof/>
        </w:rPr>
        <w:t>odolnosti všetky prostriedky hneď, ako dosiahli splatnosť,</w:t>
      </w:r>
      <w:r w:rsidR="00577995" w:rsidRPr="00577995">
        <w:rPr>
          <w:noProof/>
        </w:rPr>
        <w:t xml:space="preserve"> a </w:t>
      </w:r>
      <w:r w:rsidRPr="00577995">
        <w:rPr>
          <w:noProof/>
        </w:rPr>
        <w:t>to</w:t>
      </w:r>
      <w:r w:rsidR="00577995" w:rsidRPr="00577995">
        <w:rPr>
          <w:noProof/>
        </w:rPr>
        <w:t xml:space="preserve"> v </w:t>
      </w:r>
      <w:r w:rsidRPr="00577995">
        <w:rPr>
          <w:noProof/>
        </w:rPr>
        <w:t>priemere do šiestich pracovných dní po schválení vyplatenia. Nedošlo</w:t>
      </w:r>
      <w:r w:rsidR="00577995" w:rsidRPr="00577995">
        <w:rPr>
          <w:noProof/>
        </w:rPr>
        <w:t xml:space="preserve"> k </w:t>
      </w:r>
      <w:r w:rsidRPr="00577995">
        <w:rPr>
          <w:noProof/>
        </w:rPr>
        <w:t xml:space="preserve">žiadnym oneskoreniam. </w:t>
      </w:r>
    </w:p>
    <w:p w14:paraId="5B16C6A9" w14:textId="4417CEE4" w:rsidR="00030B16" w:rsidRPr="00577995" w:rsidRDefault="00DC2305" w:rsidP="00DC2305">
      <w:pPr>
        <w:spacing w:line="240" w:lineRule="auto"/>
        <w:jc w:val="both"/>
        <w:rPr>
          <w:noProof/>
        </w:rPr>
      </w:pPr>
      <w:bookmarkStart w:id="8" w:name="_Hlk138163778"/>
      <w:r w:rsidRPr="00577995">
        <w:rPr>
          <w:noProof/>
        </w:rPr>
        <w:t>V prvom polroku 2023 Komisia vyplatila členským štátom</w:t>
      </w:r>
      <w:r w:rsidR="00577995" w:rsidRPr="00577995">
        <w:rPr>
          <w:noProof/>
        </w:rPr>
        <w:t xml:space="preserve"> v </w:t>
      </w:r>
      <w:r w:rsidRPr="00577995">
        <w:rPr>
          <w:noProof/>
        </w:rPr>
        <w:t>rámci Mechanizmu na podporu obnovy</w:t>
      </w:r>
      <w:r w:rsidR="00577995" w:rsidRPr="00577995">
        <w:rPr>
          <w:noProof/>
        </w:rPr>
        <w:t xml:space="preserve"> a </w:t>
      </w:r>
      <w:r w:rsidRPr="00577995">
        <w:rPr>
          <w:noProof/>
        </w:rPr>
        <w:t>odolnosti 14,7 mld. EUR.</w:t>
      </w:r>
      <w:r w:rsidR="00577995" w:rsidRPr="00577995">
        <w:rPr>
          <w:noProof/>
        </w:rPr>
        <w:t xml:space="preserve"> Z </w:t>
      </w:r>
      <w:r w:rsidRPr="00577995">
        <w:rPr>
          <w:noProof/>
        </w:rPr>
        <w:t>toho 12,7 mld. EUR bolo vo forme nenávratnej podpory</w:t>
      </w:r>
      <w:r w:rsidR="00577995" w:rsidRPr="00577995">
        <w:rPr>
          <w:noProof/>
        </w:rPr>
        <w:t xml:space="preserve"> a </w:t>
      </w:r>
      <w:r w:rsidRPr="00577995">
        <w:rPr>
          <w:noProof/>
        </w:rPr>
        <w:t>2,0 mld. EUR vo forme úverov. Komisia</w:t>
      </w:r>
      <w:r w:rsidR="00577995" w:rsidRPr="00577995">
        <w:rPr>
          <w:noProof/>
        </w:rPr>
        <w:t xml:space="preserve"> v </w:t>
      </w:r>
      <w:r w:rsidRPr="00577995">
        <w:rPr>
          <w:noProof/>
        </w:rPr>
        <w:t>prvom polroku 2023 presunula do rozpočtu EÚ aj 6,9 mld. EUR</w:t>
      </w:r>
      <w:r w:rsidR="00577995" w:rsidRPr="00577995">
        <w:rPr>
          <w:noProof/>
        </w:rPr>
        <w:t xml:space="preserve"> s </w:t>
      </w:r>
      <w:r w:rsidRPr="00577995">
        <w:rPr>
          <w:noProof/>
        </w:rPr>
        <w:t>cieľom prispieť na programy, ako sú Horizont Európa, Fond InvestEU, REACT-EU, mechanizmus Únie</w:t>
      </w:r>
      <w:r w:rsidR="00577995" w:rsidRPr="00577995">
        <w:rPr>
          <w:noProof/>
        </w:rPr>
        <w:t xml:space="preserve"> v </w:t>
      </w:r>
      <w:r w:rsidRPr="00577995">
        <w:rPr>
          <w:noProof/>
        </w:rPr>
        <w:t>oblasti civilnej ochrany (rescEU), Európsky poľnohospodársky fond pre rozvoj vidieka (EPFRV)</w:t>
      </w:r>
      <w:r w:rsidR="00577995" w:rsidRPr="00577995">
        <w:rPr>
          <w:noProof/>
        </w:rPr>
        <w:t xml:space="preserve"> a </w:t>
      </w:r>
      <w:r w:rsidRPr="00577995">
        <w:rPr>
          <w:noProof/>
        </w:rPr>
        <w:t>Fond na spravodlivú transformáciu.</w:t>
      </w:r>
    </w:p>
    <w:p w14:paraId="77BA0D3A" w14:textId="247A8EF3" w:rsidR="00030B16" w:rsidRPr="00577995" w:rsidRDefault="00030B16" w:rsidP="00D8633C">
      <w:pPr>
        <w:spacing w:line="240" w:lineRule="auto"/>
        <w:jc w:val="both"/>
        <w:rPr>
          <w:noProof/>
        </w:rPr>
      </w:pPr>
      <w:r w:rsidRPr="00577995">
        <w:rPr>
          <w:noProof/>
        </w:rPr>
        <w:t>Od spustenia nástroja NextGenerationEU</w:t>
      </w:r>
      <w:r w:rsidR="00577995" w:rsidRPr="00577995">
        <w:rPr>
          <w:noProof/>
        </w:rPr>
        <w:t xml:space="preserve"> v </w:t>
      </w:r>
      <w:r w:rsidRPr="00577995">
        <w:rPr>
          <w:noProof/>
        </w:rPr>
        <w:t>lete 2021 poskytla Komisia celkovo 184,2 mld. EUR: nenávratnú podporu</w:t>
      </w:r>
      <w:r w:rsidR="00577995" w:rsidRPr="00577995">
        <w:rPr>
          <w:noProof/>
        </w:rPr>
        <w:t xml:space="preserve"> a </w:t>
      </w:r>
      <w:r w:rsidRPr="00577995">
        <w:rPr>
          <w:noProof/>
        </w:rPr>
        <w:t>úvery pre členské štáty vo výške 153,4 mld. EUR (106,3 mld. EUR vo forme nenávratnej podpory</w:t>
      </w:r>
      <w:r w:rsidR="00577995" w:rsidRPr="00577995">
        <w:rPr>
          <w:noProof/>
        </w:rPr>
        <w:t xml:space="preserve"> a </w:t>
      </w:r>
      <w:r w:rsidRPr="00577995">
        <w:rPr>
          <w:noProof/>
        </w:rPr>
        <w:t>47,1 mld. EUR vo forme úverov)</w:t>
      </w:r>
      <w:r w:rsidR="00577995" w:rsidRPr="00577995">
        <w:rPr>
          <w:noProof/>
        </w:rPr>
        <w:t xml:space="preserve"> v </w:t>
      </w:r>
      <w:r w:rsidRPr="00577995">
        <w:rPr>
          <w:noProof/>
        </w:rPr>
        <w:t>rámci Mechanizmu na podporu obnovy</w:t>
      </w:r>
      <w:r w:rsidR="00577995" w:rsidRPr="00577995">
        <w:rPr>
          <w:noProof/>
        </w:rPr>
        <w:t xml:space="preserve"> a </w:t>
      </w:r>
      <w:r w:rsidRPr="00577995">
        <w:rPr>
          <w:noProof/>
        </w:rPr>
        <w:t>odolnosti</w:t>
      </w:r>
      <w:r w:rsidR="00577995" w:rsidRPr="00577995">
        <w:rPr>
          <w:noProof/>
        </w:rPr>
        <w:t xml:space="preserve"> a </w:t>
      </w:r>
      <w:r w:rsidRPr="00577995">
        <w:rPr>
          <w:noProof/>
        </w:rPr>
        <w:t>30,9 mld. EUR na ostatné výdavkové programy financované</w:t>
      </w:r>
      <w:r w:rsidR="00577995" w:rsidRPr="00577995">
        <w:rPr>
          <w:noProof/>
        </w:rPr>
        <w:t xml:space="preserve"> z </w:t>
      </w:r>
      <w:r w:rsidRPr="00577995">
        <w:rPr>
          <w:noProof/>
        </w:rPr>
        <w:t>nástroja NextGenerationEU.</w:t>
      </w:r>
    </w:p>
    <w:p w14:paraId="45C031D0" w14:textId="3B35BFB6" w:rsidR="004C5BE8" w:rsidRPr="00577995" w:rsidRDefault="00DC2305" w:rsidP="004C5BE8">
      <w:pPr>
        <w:spacing w:line="240" w:lineRule="auto"/>
        <w:jc w:val="both"/>
        <w:rPr>
          <w:noProof/>
        </w:rPr>
      </w:pPr>
      <w:r w:rsidRPr="00577995">
        <w:rPr>
          <w:noProof/>
        </w:rPr>
        <w:t>Okrem týchto vyplatených prostriedkov</w:t>
      </w:r>
      <w:r w:rsidR="00577995" w:rsidRPr="00577995">
        <w:rPr>
          <w:noProof/>
        </w:rPr>
        <w:t xml:space="preserve"> v </w:t>
      </w:r>
      <w:r w:rsidRPr="00577995">
        <w:rPr>
          <w:noProof/>
        </w:rPr>
        <w:t>rámci nástroja NextGenerationEU Komisia</w:t>
      </w:r>
      <w:r w:rsidR="00577995" w:rsidRPr="00577995">
        <w:rPr>
          <w:noProof/>
        </w:rPr>
        <w:t xml:space="preserve"> v </w:t>
      </w:r>
      <w:r w:rsidRPr="00577995">
        <w:rPr>
          <w:noProof/>
        </w:rPr>
        <w:t>prvom polroku 2023 vyplatila Ukrajine 9 mld. EUR</w:t>
      </w:r>
      <w:r w:rsidR="00577995" w:rsidRPr="00577995">
        <w:rPr>
          <w:noProof/>
        </w:rPr>
        <w:t xml:space="preserve"> v </w:t>
      </w:r>
      <w:r w:rsidRPr="00577995">
        <w:rPr>
          <w:noProof/>
        </w:rPr>
        <w:t>rámci programu makrofinančnej pomoci+, ktorý je financovaný emisiou dlhopisov</w:t>
      </w:r>
      <w:r w:rsidR="00577995" w:rsidRPr="00577995">
        <w:rPr>
          <w:noProof/>
        </w:rPr>
        <w:t xml:space="preserve"> v </w:t>
      </w:r>
      <w:r w:rsidRPr="00577995">
        <w:rPr>
          <w:noProof/>
        </w:rPr>
        <w:t>rámci jednotného prístupu</w:t>
      </w:r>
      <w:r w:rsidR="00577995" w:rsidRPr="00577995">
        <w:rPr>
          <w:noProof/>
        </w:rPr>
        <w:t xml:space="preserve"> k </w:t>
      </w:r>
      <w:r w:rsidRPr="00577995">
        <w:rPr>
          <w:noProof/>
        </w:rPr>
        <w:t>financovaniu.</w:t>
      </w:r>
      <w:r w:rsidR="00577995" w:rsidRPr="00577995">
        <w:rPr>
          <w:noProof/>
        </w:rPr>
        <w:t xml:space="preserve"> V </w:t>
      </w:r>
      <w:r w:rsidRPr="00577995">
        <w:rPr>
          <w:noProof/>
        </w:rPr>
        <w:t>prvom polroku 2023 Komisia celkovo vyplatila na účely nástroja NextGenerationEU</w:t>
      </w:r>
      <w:r w:rsidR="00577995" w:rsidRPr="00577995">
        <w:rPr>
          <w:noProof/>
        </w:rPr>
        <w:t xml:space="preserve"> a </w:t>
      </w:r>
      <w:r w:rsidRPr="00577995">
        <w:rPr>
          <w:noProof/>
        </w:rPr>
        <w:t xml:space="preserve">nástroja makrofinančnej pomoci+ Ukrajine spolu približne 30 mld. EUR. </w:t>
      </w:r>
      <w:bookmarkStart w:id="9" w:name="_Hlk138838334"/>
      <w:r w:rsidRPr="00577995">
        <w:rPr>
          <w:noProof/>
        </w:rPr>
        <w:t>Tempo vyplácania prostriedkov</w:t>
      </w:r>
      <w:r w:rsidR="00577995" w:rsidRPr="00577995">
        <w:rPr>
          <w:noProof/>
        </w:rPr>
        <w:t xml:space="preserve"> z </w:t>
      </w:r>
      <w:r w:rsidRPr="00577995">
        <w:rPr>
          <w:noProof/>
        </w:rPr>
        <w:t>nástroja NextGenerationEU bolo ovplyvnené prebiehajúcou revíziou plánov obnovy</w:t>
      </w:r>
      <w:r w:rsidR="00577995" w:rsidRPr="00577995">
        <w:rPr>
          <w:noProof/>
        </w:rPr>
        <w:t xml:space="preserve"> a </w:t>
      </w:r>
      <w:r w:rsidRPr="00577995">
        <w:rPr>
          <w:noProof/>
        </w:rPr>
        <w:t xml:space="preserve">odolnosti zo strany členských štátov. </w:t>
      </w:r>
      <w:bookmarkEnd w:id="9"/>
      <w:r w:rsidRPr="00577995">
        <w:rPr>
          <w:noProof/>
        </w:rPr>
        <w:t>Podľa právneho rámca môžu členské štáty požiadať</w:t>
      </w:r>
      <w:r w:rsidR="00577995" w:rsidRPr="00577995">
        <w:rPr>
          <w:noProof/>
        </w:rPr>
        <w:t xml:space="preserve"> o </w:t>
      </w:r>
      <w:r w:rsidRPr="00577995">
        <w:rPr>
          <w:noProof/>
        </w:rPr>
        <w:t>dodatočné úvery do augusta 2023</w:t>
      </w:r>
      <w:r w:rsidR="00577995" w:rsidRPr="00577995">
        <w:rPr>
          <w:noProof/>
        </w:rPr>
        <w:t xml:space="preserve"> a </w:t>
      </w:r>
      <w:r w:rsidRPr="00577995">
        <w:rPr>
          <w:noProof/>
        </w:rPr>
        <w:t>Komisia musí do konca roka 2023 vyčleniť zvyšných 30 % nenávratnej podpory</w:t>
      </w:r>
      <w:r w:rsidR="00577995" w:rsidRPr="00577995">
        <w:rPr>
          <w:noProof/>
        </w:rPr>
        <w:t xml:space="preserve"> a </w:t>
      </w:r>
      <w:r w:rsidRPr="00577995">
        <w:rPr>
          <w:noProof/>
        </w:rPr>
        <w:t>dodatočných úverov. Zároveň treba zohľadniť aj nové priority plánu REPowerEU vrátane dodatočných zdrojov. Všetky členské štáty preto zameriavajú úsilie na revíziu svojich plánov</w:t>
      </w:r>
      <w:r w:rsidR="00577995" w:rsidRPr="00577995">
        <w:rPr>
          <w:noProof/>
        </w:rPr>
        <w:t xml:space="preserve"> s </w:t>
      </w:r>
      <w:r w:rsidRPr="00577995">
        <w:rPr>
          <w:noProof/>
        </w:rPr>
        <w:t>cieľom dodržať tieto zákonné lehoty</w:t>
      </w:r>
      <w:r w:rsidR="00577995" w:rsidRPr="00577995">
        <w:rPr>
          <w:noProof/>
        </w:rPr>
        <w:t xml:space="preserve"> a </w:t>
      </w:r>
      <w:r w:rsidRPr="00577995">
        <w:rPr>
          <w:noProof/>
        </w:rPr>
        <w:t>splniť nové priority.</w:t>
      </w:r>
    </w:p>
    <w:bookmarkEnd w:id="8"/>
    <w:p w14:paraId="450D01E3" w14:textId="77777777" w:rsidR="00DC2305" w:rsidRPr="00577995" w:rsidRDefault="00DC2305" w:rsidP="00DC2305">
      <w:pPr>
        <w:spacing w:line="240" w:lineRule="auto"/>
        <w:contextualSpacing/>
        <w:jc w:val="both"/>
        <w:rPr>
          <w:noProof/>
          <w:spacing w:val="-6"/>
        </w:rPr>
      </w:pPr>
    </w:p>
    <w:p w14:paraId="53F3E1A0" w14:textId="53313208" w:rsidR="003926DF" w:rsidRPr="00577995" w:rsidRDefault="00352DCC" w:rsidP="00DC2305">
      <w:pPr>
        <w:spacing w:line="240" w:lineRule="auto"/>
        <w:contextualSpacing/>
        <w:jc w:val="both"/>
        <w:rPr>
          <w:i/>
          <w:noProof/>
          <w:spacing w:val="-6"/>
        </w:rPr>
      </w:pPr>
      <w:r w:rsidRPr="00577995">
        <w:rPr>
          <w:i/>
          <w:noProof/>
        </w:rPr>
        <w:t>Dopyt investorov</w:t>
      </w:r>
      <w:r w:rsidR="00577995" w:rsidRPr="00577995">
        <w:rPr>
          <w:i/>
          <w:noProof/>
        </w:rPr>
        <w:t xml:space="preserve"> a </w:t>
      </w:r>
      <w:r w:rsidRPr="00577995">
        <w:rPr>
          <w:i/>
          <w:noProof/>
        </w:rPr>
        <w:t>likvidita na sekundárnom trhu</w:t>
      </w:r>
    </w:p>
    <w:p w14:paraId="15738A70" w14:textId="796D72D3" w:rsidR="00216746" w:rsidRPr="00577995" w:rsidRDefault="00216746" w:rsidP="00216746">
      <w:pPr>
        <w:spacing w:line="240" w:lineRule="auto"/>
        <w:jc w:val="both"/>
        <w:rPr>
          <w:noProof/>
        </w:rPr>
      </w:pPr>
      <w:bookmarkStart w:id="10" w:name="_Hlk139454867"/>
      <w:r w:rsidRPr="00577995">
        <w:rPr>
          <w:noProof/>
        </w:rPr>
        <w:t>Napriek volatilite sadzieb zaznamenanej počas tohto obdobia mali transakcie naďalej výraznú podporu na trhu, pričom pri syndikovaných transakciách dosiahol</w:t>
      </w:r>
      <w:r w:rsidR="00577995" w:rsidRPr="00577995">
        <w:rPr>
          <w:noProof/>
        </w:rPr>
        <w:t xml:space="preserve"> v </w:t>
      </w:r>
      <w:r w:rsidRPr="00577995">
        <w:rPr>
          <w:noProof/>
        </w:rPr>
        <w:t>prvom polroku 2023 dopyt 6- až 15-násobné prevýšenie ponuky. EÚ profituje</w:t>
      </w:r>
      <w:r w:rsidR="00577995" w:rsidRPr="00577995">
        <w:rPr>
          <w:noProof/>
        </w:rPr>
        <w:t xml:space="preserve"> z </w:t>
      </w:r>
      <w:r w:rsidRPr="00577995">
        <w:rPr>
          <w:noProof/>
        </w:rPr>
        <w:t>vyváženej</w:t>
      </w:r>
      <w:r w:rsidR="00577995" w:rsidRPr="00577995">
        <w:rPr>
          <w:noProof/>
        </w:rPr>
        <w:t xml:space="preserve"> a </w:t>
      </w:r>
      <w:r w:rsidRPr="00577995">
        <w:rPr>
          <w:noProof/>
        </w:rPr>
        <w:t>diverzifikovanej základne investorov</w:t>
      </w:r>
      <w:r w:rsidR="00577995" w:rsidRPr="00577995">
        <w:rPr>
          <w:noProof/>
        </w:rPr>
        <w:t xml:space="preserve"> s </w:t>
      </w:r>
      <w:r w:rsidRPr="00577995">
        <w:rPr>
          <w:noProof/>
        </w:rPr>
        <w:t>dobrým zastúpením rôznych typov investorov pochádzajúcich</w:t>
      </w:r>
      <w:r w:rsidR="00577995" w:rsidRPr="00577995">
        <w:rPr>
          <w:noProof/>
        </w:rPr>
        <w:t xml:space="preserve"> z </w:t>
      </w:r>
      <w:r w:rsidRPr="00577995">
        <w:rPr>
          <w:noProof/>
        </w:rPr>
        <w:t>celého sveta</w:t>
      </w:r>
      <w:r w:rsidRPr="00577995">
        <w:rPr>
          <w:noProof/>
          <w:vertAlign w:val="superscript"/>
        </w:rPr>
        <w:footnoteReference w:id="3"/>
      </w:r>
      <w:r w:rsidRPr="00577995">
        <w:rPr>
          <w:noProof/>
        </w:rPr>
        <w:t>.</w:t>
      </w:r>
    </w:p>
    <w:bookmarkEnd w:id="10"/>
    <w:p w14:paraId="0C929626" w14:textId="2579C280" w:rsidR="00216746" w:rsidRPr="00577995" w:rsidRDefault="00216746" w:rsidP="00216746">
      <w:pPr>
        <w:spacing w:line="240" w:lineRule="auto"/>
        <w:jc w:val="both"/>
        <w:rPr>
          <w:noProof/>
        </w:rPr>
      </w:pPr>
      <w:r w:rsidRPr="00577995">
        <w:rPr>
          <w:noProof/>
        </w:rPr>
        <w:t>Táto silná podpora sa odráža</w:t>
      </w:r>
      <w:r w:rsidR="00577995" w:rsidRPr="00577995">
        <w:rPr>
          <w:noProof/>
        </w:rPr>
        <w:t xml:space="preserve"> v </w:t>
      </w:r>
      <w:r w:rsidRPr="00577995">
        <w:rPr>
          <w:noProof/>
        </w:rPr>
        <w:t>neustále nízkych nových emisných ážiách</w:t>
      </w:r>
      <w:r w:rsidRPr="00577995">
        <w:rPr>
          <w:noProof/>
          <w:vertAlign w:val="superscript"/>
        </w:rPr>
        <w:footnoteReference w:id="4"/>
      </w:r>
      <w:r w:rsidRPr="00577995">
        <w:rPr>
          <w:noProof/>
        </w:rPr>
        <w:t>, ktoré investori požadujú ako koncesiu, keď EÚ emituje dlhopisy prostredníctvom syndikácie. Nové emisné ážiá boli</w:t>
      </w:r>
      <w:r w:rsidR="00577995" w:rsidRPr="00577995">
        <w:rPr>
          <w:noProof/>
        </w:rPr>
        <w:t xml:space="preserve"> o </w:t>
      </w:r>
      <w:r w:rsidRPr="00577995">
        <w:rPr>
          <w:noProof/>
        </w:rPr>
        <w:t>niečo nižšie ako</w:t>
      </w:r>
      <w:r w:rsidR="00577995" w:rsidRPr="00577995">
        <w:rPr>
          <w:noProof/>
        </w:rPr>
        <w:t xml:space="preserve"> v </w:t>
      </w:r>
      <w:r w:rsidRPr="00577995">
        <w:rPr>
          <w:noProof/>
        </w:rPr>
        <w:t>druhom polroku 2022.</w:t>
      </w:r>
      <w:r w:rsidR="00577995" w:rsidRPr="00577995">
        <w:rPr>
          <w:noProof/>
        </w:rPr>
        <w:t xml:space="preserve"> V </w:t>
      </w:r>
      <w:r w:rsidRPr="00577995">
        <w:rPr>
          <w:noProof/>
        </w:rPr>
        <w:t>prípade operácií financovania</w:t>
      </w:r>
      <w:r w:rsidR="00577995" w:rsidRPr="00577995">
        <w:rPr>
          <w:noProof/>
        </w:rPr>
        <w:t xml:space="preserve"> v </w:t>
      </w:r>
      <w:r w:rsidRPr="00577995">
        <w:rPr>
          <w:noProof/>
        </w:rPr>
        <w:t>prvej polovici tohto roka bolo priemerné nové emisné ážio mierne pod úrovňou 2 bázických bodov, pričom najnižšie bolo na úrovni 1 bázického bodu</w:t>
      </w:r>
      <w:r w:rsidR="00577995" w:rsidRPr="00577995">
        <w:rPr>
          <w:noProof/>
        </w:rPr>
        <w:t xml:space="preserve"> a </w:t>
      </w:r>
      <w:r w:rsidRPr="00577995">
        <w:rPr>
          <w:noProof/>
        </w:rPr>
        <w:t>najvyššie na úrovni 3 bázických bodov. Nízka úroveň cenovej koncesie pri emitovaní odráža skutočnosť, že EÚ zostala počas tohto obdobia pravidelným</w:t>
      </w:r>
      <w:r w:rsidR="00577995" w:rsidRPr="00577995">
        <w:rPr>
          <w:noProof/>
        </w:rPr>
        <w:t xml:space="preserve"> a </w:t>
      </w:r>
      <w:r w:rsidRPr="00577995">
        <w:rPr>
          <w:noProof/>
        </w:rPr>
        <w:t>predvídateľným emitentom. Spolu</w:t>
      </w:r>
      <w:r w:rsidR="00577995" w:rsidRPr="00577995">
        <w:rPr>
          <w:noProof/>
        </w:rPr>
        <w:t xml:space="preserve"> s </w:t>
      </w:r>
      <w:r w:rsidRPr="00577995">
        <w:rPr>
          <w:noProof/>
        </w:rPr>
        <w:t>pretrvávajúcim výrazným dopytom investorov ide</w:t>
      </w:r>
      <w:r w:rsidR="00577995" w:rsidRPr="00577995">
        <w:rPr>
          <w:noProof/>
        </w:rPr>
        <w:t xml:space="preserve"> o </w:t>
      </w:r>
      <w:r w:rsidRPr="00577995">
        <w:rPr>
          <w:noProof/>
        </w:rPr>
        <w:t>prejav dôvery na trhoch, čo zároveň vyvoláva dôveru</w:t>
      </w:r>
      <w:r w:rsidR="00577995" w:rsidRPr="00577995">
        <w:rPr>
          <w:noProof/>
        </w:rPr>
        <w:t xml:space="preserve"> v </w:t>
      </w:r>
      <w:r w:rsidRPr="00577995">
        <w:rPr>
          <w:noProof/>
        </w:rPr>
        <w:t>schopnosť EÚ naďalej úspešné umiestňovať svoje dlhopisy.</w:t>
      </w:r>
    </w:p>
    <w:p w14:paraId="035B1447" w14:textId="23A8FCFC" w:rsidR="00216746" w:rsidRPr="00577995" w:rsidRDefault="00216746" w:rsidP="00577995">
      <w:pPr>
        <w:keepNext/>
        <w:spacing w:line="240" w:lineRule="auto"/>
        <w:jc w:val="both"/>
        <w:rPr>
          <w:b/>
          <w:bCs/>
          <w:noProof/>
        </w:rPr>
      </w:pPr>
      <w:r w:rsidRPr="00577995">
        <w:rPr>
          <w:b/>
          <w:noProof/>
        </w:rPr>
        <w:t>Štvrťročný obrat na sekundárnom trhu</w:t>
      </w:r>
      <w:r w:rsidR="00577995" w:rsidRPr="00577995">
        <w:rPr>
          <w:b/>
          <w:noProof/>
        </w:rPr>
        <w:t xml:space="preserve"> s </w:t>
      </w:r>
      <w:r w:rsidRPr="00577995">
        <w:rPr>
          <w:b/>
          <w:noProof/>
        </w:rPr>
        <w:t>dlhopismi EÚ</w:t>
      </w:r>
      <w:r w:rsidR="00577995" w:rsidRPr="00577995">
        <w:rPr>
          <w:b/>
          <w:noProof/>
        </w:rPr>
        <w:t xml:space="preserve"> a </w:t>
      </w:r>
      <w:r w:rsidRPr="00577995">
        <w:rPr>
          <w:b/>
          <w:noProof/>
        </w:rPr>
        <w:t>európskymi štátnymi dlhopismi (v % nesplateného objemu)</w:t>
      </w:r>
    </w:p>
    <w:p w14:paraId="117B5CDA" w14:textId="506FEE90" w:rsidR="00D57DD8" w:rsidRPr="00577995" w:rsidRDefault="00D57DD8" w:rsidP="00577995">
      <w:pPr>
        <w:keepNext/>
        <w:spacing w:line="240" w:lineRule="auto"/>
        <w:jc w:val="both"/>
        <w:rPr>
          <w:noProof/>
        </w:rPr>
      </w:pPr>
      <w:r w:rsidRPr="00577995">
        <w:rPr>
          <w:noProof/>
          <w:lang w:val="en-GB" w:eastAsia="en-GB"/>
        </w:rPr>
        <w:drawing>
          <wp:inline distT="0" distB="0" distL="0" distR="0" wp14:anchorId="711FEAE4" wp14:editId="581F42BC">
            <wp:extent cx="5753100" cy="2819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06EF4BE" w14:textId="77777777" w:rsidR="009E0388" w:rsidRPr="00577995" w:rsidRDefault="009E0388" w:rsidP="00577995">
      <w:pPr>
        <w:keepNext/>
        <w:spacing w:line="240" w:lineRule="auto"/>
        <w:contextualSpacing/>
        <w:jc w:val="both"/>
        <w:rPr>
          <w:noProof/>
          <w:sz w:val="20"/>
          <w:szCs w:val="20"/>
        </w:rPr>
      </w:pPr>
      <w:r w:rsidRPr="00577995">
        <w:rPr>
          <w:noProof/>
          <w:sz w:val="20"/>
        </w:rPr>
        <w:t xml:space="preserve">Zdroj: Európska komisia na základe údajov spoločnosti Bloomberg. </w:t>
      </w:r>
    </w:p>
    <w:p w14:paraId="2BAFFCC9" w14:textId="4378844E" w:rsidR="009E0388" w:rsidRPr="00577995" w:rsidRDefault="009E0388" w:rsidP="009E0388">
      <w:pPr>
        <w:spacing w:line="240" w:lineRule="auto"/>
        <w:contextualSpacing/>
        <w:jc w:val="both"/>
        <w:rPr>
          <w:noProof/>
          <w:sz w:val="20"/>
          <w:szCs w:val="20"/>
        </w:rPr>
      </w:pPr>
      <w:r w:rsidRPr="00577995">
        <w:rPr>
          <w:noProof/>
          <w:sz w:val="20"/>
        </w:rPr>
        <w:t>Poznámka: Trh</w:t>
      </w:r>
      <w:r w:rsidR="00577995" w:rsidRPr="00577995">
        <w:rPr>
          <w:noProof/>
          <w:sz w:val="20"/>
        </w:rPr>
        <w:t xml:space="preserve"> s </w:t>
      </w:r>
      <w:r w:rsidRPr="00577995">
        <w:rPr>
          <w:noProof/>
          <w:sz w:val="20"/>
        </w:rPr>
        <w:t>európskymi štátnymi dlhopismi tu zahŕňa štáty eurozóny, Európsky fond finančnej stability (EFNS)</w:t>
      </w:r>
      <w:r w:rsidR="00577995" w:rsidRPr="00577995">
        <w:rPr>
          <w:noProof/>
          <w:sz w:val="20"/>
        </w:rPr>
        <w:t xml:space="preserve"> a </w:t>
      </w:r>
      <w:r w:rsidRPr="00577995">
        <w:rPr>
          <w:noProof/>
          <w:sz w:val="20"/>
        </w:rPr>
        <w:t xml:space="preserve">Európsky mechanizmus pre stabilitu (EMS). </w:t>
      </w:r>
    </w:p>
    <w:p w14:paraId="42E2072C" w14:textId="25AD702D" w:rsidR="009E0388" w:rsidRPr="00577995" w:rsidRDefault="009E0388" w:rsidP="009E0388">
      <w:pPr>
        <w:spacing w:line="240" w:lineRule="auto"/>
        <w:contextualSpacing/>
        <w:jc w:val="both"/>
        <w:rPr>
          <w:noProof/>
          <w:sz w:val="20"/>
          <w:szCs w:val="20"/>
        </w:rPr>
      </w:pPr>
      <w:r w:rsidRPr="00577995">
        <w:rPr>
          <w:noProof/>
          <w:sz w:val="20"/>
        </w:rPr>
        <w:t>Údaje</w:t>
      </w:r>
      <w:r w:rsidR="00577995" w:rsidRPr="00577995">
        <w:rPr>
          <w:noProof/>
          <w:sz w:val="20"/>
        </w:rPr>
        <w:t xml:space="preserve"> o </w:t>
      </w:r>
      <w:r w:rsidRPr="00577995">
        <w:rPr>
          <w:noProof/>
          <w:sz w:val="20"/>
        </w:rPr>
        <w:t>tomto trhu za prvý štvrťrok 2023 neboli</w:t>
      </w:r>
      <w:r w:rsidR="00577995" w:rsidRPr="00577995">
        <w:rPr>
          <w:noProof/>
          <w:sz w:val="20"/>
        </w:rPr>
        <w:t xml:space="preserve"> k </w:t>
      </w:r>
      <w:r w:rsidRPr="00577995">
        <w:rPr>
          <w:noProof/>
          <w:sz w:val="20"/>
        </w:rPr>
        <w:t>dispozícii.</w:t>
      </w:r>
    </w:p>
    <w:p w14:paraId="403DA48C" w14:textId="368865F6" w:rsidR="00C60558" w:rsidRPr="00577995" w:rsidRDefault="00C60558" w:rsidP="001D446D">
      <w:pPr>
        <w:spacing w:line="240" w:lineRule="auto"/>
        <w:jc w:val="both"/>
        <w:rPr>
          <w:bCs/>
          <w:noProof/>
        </w:rPr>
      </w:pPr>
      <w:r w:rsidRPr="00577995">
        <w:rPr>
          <w:noProof/>
        </w:rPr>
        <w:t>Vo vzťahu</w:t>
      </w:r>
      <w:r w:rsidR="00577995" w:rsidRPr="00577995">
        <w:rPr>
          <w:noProof/>
        </w:rPr>
        <w:t xml:space="preserve"> k </w:t>
      </w:r>
      <w:r w:rsidRPr="00577995">
        <w:rPr>
          <w:noProof/>
        </w:rPr>
        <w:t>nesplateným sumám bola likvidita sekundárneho trhu</w:t>
      </w:r>
      <w:r w:rsidR="00577995" w:rsidRPr="00577995">
        <w:rPr>
          <w:noProof/>
        </w:rPr>
        <w:t xml:space="preserve"> s </w:t>
      </w:r>
      <w:r w:rsidRPr="00577995">
        <w:rPr>
          <w:noProof/>
        </w:rPr>
        <w:t>dlhopismi EÚ takisto naďalej porovnateľná</w:t>
      </w:r>
      <w:r w:rsidR="00577995" w:rsidRPr="00577995">
        <w:rPr>
          <w:noProof/>
        </w:rPr>
        <w:t xml:space="preserve"> s </w:t>
      </w:r>
      <w:r w:rsidRPr="00577995">
        <w:rPr>
          <w:noProof/>
        </w:rPr>
        <w:t>likviditou pozorovanou na trhoch</w:t>
      </w:r>
      <w:r w:rsidR="00577995" w:rsidRPr="00577995">
        <w:rPr>
          <w:noProof/>
        </w:rPr>
        <w:t xml:space="preserve"> s </w:t>
      </w:r>
      <w:r w:rsidRPr="00577995">
        <w:rPr>
          <w:noProof/>
        </w:rPr>
        <w:t>európskymi štátnymi dlhopismi. Táto likvidita bola</w:t>
      </w:r>
      <w:r w:rsidR="00577995" w:rsidRPr="00577995">
        <w:rPr>
          <w:noProof/>
        </w:rPr>
        <w:t xml:space="preserve"> v </w:t>
      </w:r>
      <w:r w:rsidRPr="00577995">
        <w:rPr>
          <w:noProof/>
        </w:rPr>
        <w:t>prvom polroku 2023 posilnená rozsiahlym navyšovaním existujúcich zdrojov financovania, pričom 70 % objemu financovania sa mobilizovalo prostredníctvom navýšení. Zaviedli sa aj nové zdroje financovania</w:t>
      </w:r>
      <w:r w:rsidR="00577995" w:rsidRPr="00577995">
        <w:rPr>
          <w:noProof/>
        </w:rPr>
        <w:t xml:space="preserve"> s </w:t>
      </w:r>
      <w:r w:rsidRPr="00577995">
        <w:rPr>
          <w:noProof/>
        </w:rPr>
        <w:t>cieľom poskytnúť trhu nové referenčné zdroje.</w:t>
      </w:r>
    </w:p>
    <w:p w14:paraId="705365E0" w14:textId="77777777" w:rsidR="001D446D" w:rsidRPr="00577995" w:rsidRDefault="001D446D" w:rsidP="001D446D">
      <w:pPr>
        <w:spacing w:line="240" w:lineRule="auto"/>
        <w:jc w:val="both"/>
        <w:rPr>
          <w:bCs/>
          <w:noProof/>
        </w:rPr>
      </w:pPr>
    </w:p>
    <w:p w14:paraId="0260D5D1" w14:textId="231BD3BD" w:rsidR="00E81087" w:rsidRPr="00577995" w:rsidRDefault="00DB3549" w:rsidP="00D3648A">
      <w:pPr>
        <w:pStyle w:val="Heading1"/>
        <w:spacing w:after="200"/>
        <w:contextualSpacing/>
        <w:rPr>
          <w:rFonts w:cs="Times New Roman"/>
          <w:bCs/>
          <w:noProof/>
          <w:color w:val="auto"/>
          <w:sz w:val="24"/>
          <w:szCs w:val="24"/>
        </w:rPr>
      </w:pPr>
      <w:bookmarkStart w:id="11" w:name="_Toc142300677"/>
      <w:r w:rsidRPr="00577995">
        <w:rPr>
          <w:noProof/>
          <w:color w:val="auto"/>
          <w:sz w:val="24"/>
        </w:rPr>
        <w:t>Náklady na financovanie</w:t>
      </w:r>
      <w:r w:rsidR="00577995" w:rsidRPr="00577995">
        <w:rPr>
          <w:noProof/>
          <w:color w:val="auto"/>
          <w:sz w:val="24"/>
        </w:rPr>
        <w:t xml:space="preserve"> a </w:t>
      </w:r>
      <w:r w:rsidRPr="00577995">
        <w:rPr>
          <w:noProof/>
          <w:color w:val="auto"/>
          <w:sz w:val="24"/>
        </w:rPr>
        <w:t>zostatky likvidity</w:t>
      </w:r>
      <w:bookmarkEnd w:id="11"/>
    </w:p>
    <w:p w14:paraId="6EB8EACA" w14:textId="63A8E7EE" w:rsidR="001D0900" w:rsidRPr="00577995" w:rsidRDefault="001D0900" w:rsidP="00D3648A">
      <w:pPr>
        <w:spacing w:line="240" w:lineRule="auto"/>
        <w:contextualSpacing/>
        <w:jc w:val="both"/>
        <w:rPr>
          <w:i/>
          <w:noProof/>
          <w:spacing w:val="-6"/>
        </w:rPr>
      </w:pPr>
      <w:r w:rsidRPr="00577995">
        <w:rPr>
          <w:i/>
          <w:noProof/>
        </w:rPr>
        <w:t>Náklady na financovanie</w:t>
      </w:r>
    </w:p>
    <w:p w14:paraId="6EC2A528" w14:textId="3D71F9DB" w:rsidR="000C26FE" w:rsidRPr="00577995" w:rsidRDefault="000C26FE" w:rsidP="000C26FE">
      <w:pPr>
        <w:spacing w:line="240" w:lineRule="auto"/>
        <w:jc w:val="both"/>
        <w:rPr>
          <w:noProof/>
        </w:rPr>
      </w:pPr>
      <w:r w:rsidRPr="00577995">
        <w:rPr>
          <w:noProof/>
        </w:rPr>
        <w:t>V prvom polroku 2023 sa náklady na riadenie úrokov</w:t>
      </w:r>
      <w:r w:rsidR="00577995" w:rsidRPr="00577995">
        <w:rPr>
          <w:noProof/>
        </w:rPr>
        <w:t xml:space="preserve"> a </w:t>
      </w:r>
      <w:r w:rsidRPr="00577995">
        <w:rPr>
          <w:noProof/>
        </w:rPr>
        <w:t>dlhu zvýšili</w:t>
      </w:r>
      <w:r w:rsidR="00577995" w:rsidRPr="00577995">
        <w:rPr>
          <w:noProof/>
        </w:rPr>
        <w:t xml:space="preserve"> v </w:t>
      </w:r>
      <w:r w:rsidRPr="00577995">
        <w:rPr>
          <w:noProof/>
        </w:rPr>
        <w:t>súlade so všeobecnými trhovými podmienkami. Náklady na financovanie</w:t>
      </w:r>
      <w:r w:rsidRPr="00577995">
        <w:rPr>
          <w:noProof/>
          <w:vertAlign w:val="superscript"/>
        </w:rPr>
        <w:footnoteReference w:id="5"/>
      </w:r>
      <w:r w:rsidRPr="00577995">
        <w:rPr>
          <w:noProof/>
        </w:rPr>
        <w:t xml:space="preserve"> na obdobie od januára do júna 2023 sa odhadujú približne na 3,2 %</w:t>
      </w:r>
      <w:r w:rsidR="00577995" w:rsidRPr="00577995">
        <w:rPr>
          <w:noProof/>
        </w:rPr>
        <w:t xml:space="preserve"> v </w:t>
      </w:r>
      <w:r w:rsidRPr="00577995">
        <w:rPr>
          <w:noProof/>
        </w:rPr>
        <w:t>porovnaní</w:t>
      </w:r>
      <w:r w:rsidR="00577995" w:rsidRPr="00577995">
        <w:rPr>
          <w:noProof/>
        </w:rPr>
        <w:t xml:space="preserve"> s </w:t>
      </w:r>
      <w:r w:rsidRPr="00577995">
        <w:rPr>
          <w:noProof/>
        </w:rPr>
        <w:t>2,6 %</w:t>
      </w:r>
      <w:r w:rsidR="00577995" w:rsidRPr="00577995">
        <w:rPr>
          <w:noProof/>
        </w:rPr>
        <w:t xml:space="preserve"> v </w:t>
      </w:r>
      <w:r w:rsidRPr="00577995">
        <w:rPr>
          <w:noProof/>
        </w:rPr>
        <w:t>predchádzajúcom polroku.</w:t>
      </w:r>
    </w:p>
    <w:p w14:paraId="30B85E87" w14:textId="02FB5F31" w:rsidR="00EE2C0C" w:rsidRPr="00577995" w:rsidRDefault="000C26FE" w:rsidP="000C26FE">
      <w:pPr>
        <w:spacing w:line="240" w:lineRule="auto"/>
        <w:jc w:val="both"/>
        <w:rPr>
          <w:noProof/>
        </w:rPr>
      </w:pPr>
      <w:r w:rsidRPr="00577995">
        <w:rPr>
          <w:noProof/>
        </w:rPr>
        <w:t>Od začiatku roka 2022 bolo tempo zvyšovania úrokových sadzieb pre všetkých emitentov vrátane EÚ jedným</w:t>
      </w:r>
      <w:r w:rsidR="00577995" w:rsidRPr="00577995">
        <w:rPr>
          <w:noProof/>
        </w:rPr>
        <w:t xml:space="preserve"> z </w:t>
      </w:r>
      <w:r w:rsidRPr="00577995">
        <w:rPr>
          <w:noProof/>
        </w:rPr>
        <w:t>najprudších, aké sa zaznamenali na finančných trhoch za posledné desaťročia. Úrokové sadzby</w:t>
      </w:r>
      <w:r w:rsidR="00577995" w:rsidRPr="00577995">
        <w:rPr>
          <w:noProof/>
        </w:rPr>
        <w:t xml:space="preserve"> v </w:t>
      </w:r>
      <w:r w:rsidRPr="00577995">
        <w:rPr>
          <w:noProof/>
        </w:rPr>
        <w:t>prípade desaťročných dlhopisov EÚ sa zvýšili</w:t>
      </w:r>
      <w:r w:rsidR="00577995" w:rsidRPr="00577995">
        <w:rPr>
          <w:noProof/>
        </w:rPr>
        <w:t xml:space="preserve"> z </w:t>
      </w:r>
      <w:r w:rsidRPr="00577995">
        <w:rPr>
          <w:noProof/>
        </w:rPr>
        <w:t>0,09 %</w:t>
      </w:r>
      <w:r w:rsidR="00577995" w:rsidRPr="00577995">
        <w:rPr>
          <w:noProof/>
        </w:rPr>
        <w:t xml:space="preserve"> v </w:t>
      </w:r>
      <w:r w:rsidRPr="00577995">
        <w:rPr>
          <w:noProof/>
        </w:rPr>
        <w:t>čase inauguračného desaťročného dlhopisu nástroja NextGenerationEU</w:t>
      </w:r>
      <w:r w:rsidR="00577995" w:rsidRPr="00577995">
        <w:rPr>
          <w:noProof/>
        </w:rPr>
        <w:t xml:space="preserve"> v </w:t>
      </w:r>
      <w:r w:rsidRPr="00577995">
        <w:rPr>
          <w:noProof/>
        </w:rPr>
        <w:t>júni 2021 na 1,53 %</w:t>
      </w:r>
      <w:r w:rsidR="00577995" w:rsidRPr="00577995">
        <w:rPr>
          <w:noProof/>
        </w:rPr>
        <w:t xml:space="preserve"> v </w:t>
      </w:r>
      <w:r w:rsidRPr="00577995">
        <w:rPr>
          <w:noProof/>
        </w:rPr>
        <w:t>máji 2022, na 2,82 %</w:t>
      </w:r>
      <w:r w:rsidR="00577995" w:rsidRPr="00577995">
        <w:rPr>
          <w:noProof/>
        </w:rPr>
        <w:t xml:space="preserve"> v </w:t>
      </w:r>
      <w:r w:rsidRPr="00577995">
        <w:rPr>
          <w:noProof/>
        </w:rPr>
        <w:t>novembri 2022</w:t>
      </w:r>
      <w:r w:rsidR="00577995" w:rsidRPr="00577995">
        <w:rPr>
          <w:noProof/>
        </w:rPr>
        <w:t xml:space="preserve"> a </w:t>
      </w:r>
      <w:r w:rsidRPr="00577995">
        <w:rPr>
          <w:noProof/>
        </w:rPr>
        <w:t>na 3,05 % pri poslednej emisii</w:t>
      </w:r>
      <w:r w:rsidR="00577995" w:rsidRPr="00577995">
        <w:rPr>
          <w:noProof/>
        </w:rPr>
        <w:t xml:space="preserve"> v </w:t>
      </w:r>
      <w:r w:rsidRPr="00577995">
        <w:rPr>
          <w:noProof/>
        </w:rPr>
        <w:t>júni 2022. Porovnateľné zvýšenia sa zaznamenali</w:t>
      </w:r>
      <w:r w:rsidR="00577995" w:rsidRPr="00577995">
        <w:rPr>
          <w:noProof/>
        </w:rPr>
        <w:t xml:space="preserve"> v </w:t>
      </w:r>
      <w:r w:rsidRPr="00577995">
        <w:rPr>
          <w:noProof/>
        </w:rPr>
        <w:t>prípade štátnych emitentov</w:t>
      </w:r>
      <w:r w:rsidR="00577995" w:rsidRPr="00577995">
        <w:rPr>
          <w:noProof/>
        </w:rPr>
        <w:t xml:space="preserve"> v </w:t>
      </w:r>
      <w:r w:rsidRPr="00577995">
        <w:rPr>
          <w:noProof/>
        </w:rPr>
        <w:t>eurozóne</w:t>
      </w:r>
      <w:r w:rsidR="00577995" w:rsidRPr="00577995">
        <w:rPr>
          <w:noProof/>
        </w:rPr>
        <w:t xml:space="preserve"> s </w:t>
      </w:r>
      <w:r w:rsidRPr="00577995">
        <w:rPr>
          <w:noProof/>
        </w:rPr>
        <w:t>vysokým ratingom. Napríklad úrokové sadzby na desaťročné nemecké štátne dlhopisy sa zvýšili</w:t>
      </w:r>
      <w:r w:rsidR="00577995" w:rsidRPr="00577995">
        <w:rPr>
          <w:noProof/>
        </w:rPr>
        <w:t xml:space="preserve"> z </w:t>
      </w:r>
      <w:r w:rsidRPr="00577995">
        <w:rPr>
          <w:noProof/>
        </w:rPr>
        <w:t>približne −0,20 %</w:t>
      </w:r>
      <w:r w:rsidR="00577995" w:rsidRPr="00577995">
        <w:rPr>
          <w:noProof/>
        </w:rPr>
        <w:t xml:space="preserve"> v </w:t>
      </w:r>
      <w:r w:rsidRPr="00577995">
        <w:rPr>
          <w:noProof/>
        </w:rPr>
        <w:t>júni 2021 na takmer 1,0 %</w:t>
      </w:r>
      <w:r w:rsidR="00577995" w:rsidRPr="00577995">
        <w:rPr>
          <w:noProof/>
        </w:rPr>
        <w:t xml:space="preserve"> v </w:t>
      </w:r>
      <w:r w:rsidRPr="00577995">
        <w:rPr>
          <w:noProof/>
        </w:rPr>
        <w:t>máji 2022, na 2,56 % na konci decembra 2022</w:t>
      </w:r>
      <w:r w:rsidR="00577995" w:rsidRPr="00577995">
        <w:rPr>
          <w:noProof/>
        </w:rPr>
        <w:t xml:space="preserve"> a </w:t>
      </w:r>
      <w:r w:rsidRPr="00577995">
        <w:rPr>
          <w:noProof/>
        </w:rPr>
        <w:t>na 2,39 %</w:t>
      </w:r>
      <w:r w:rsidR="00577995" w:rsidRPr="00577995">
        <w:rPr>
          <w:noProof/>
        </w:rPr>
        <w:t xml:space="preserve"> v </w:t>
      </w:r>
      <w:r w:rsidRPr="00577995">
        <w:rPr>
          <w:noProof/>
        </w:rPr>
        <w:t>júni 2023.</w:t>
      </w:r>
      <w:r w:rsidR="00577995" w:rsidRPr="00577995">
        <w:rPr>
          <w:noProof/>
        </w:rPr>
        <w:t xml:space="preserve"> S </w:t>
      </w:r>
      <w:r w:rsidRPr="00577995">
        <w:rPr>
          <w:noProof/>
        </w:rPr>
        <w:t>cieľom riešiť bezprecedentný prudký nárast nákladov na prijaté úvery</w:t>
      </w:r>
      <w:r w:rsidR="00577995" w:rsidRPr="00577995">
        <w:rPr>
          <w:noProof/>
        </w:rPr>
        <w:t xml:space="preserve"> a </w:t>
      </w:r>
      <w:r w:rsidRPr="00577995">
        <w:rPr>
          <w:noProof/>
        </w:rPr>
        <w:t>pôžičky Komisia</w:t>
      </w:r>
      <w:r w:rsidR="00577995" w:rsidRPr="00577995">
        <w:rPr>
          <w:noProof/>
        </w:rPr>
        <w:t xml:space="preserve"> v </w:t>
      </w:r>
      <w:r w:rsidRPr="00577995">
        <w:rPr>
          <w:noProof/>
        </w:rPr>
        <w:t>rámci preskúmania viacročného rámca na roky 2021 – 2027</w:t>
      </w:r>
      <w:r w:rsidR="00577995" w:rsidRPr="00577995">
        <w:rPr>
          <w:noProof/>
        </w:rPr>
        <w:t xml:space="preserve"> v </w:t>
      </w:r>
      <w:r w:rsidRPr="00577995">
        <w:rPr>
          <w:noProof/>
        </w:rPr>
        <w:t>polovici trvania navrhla vytvoriť osobitný nástroj výlučne na pokrytie prekročenia nákladov na úroky</w:t>
      </w:r>
      <w:r w:rsidRPr="00577995">
        <w:rPr>
          <w:noProof/>
          <w:vertAlign w:val="superscript"/>
        </w:rPr>
        <w:footnoteReference w:id="6"/>
      </w:r>
      <w:r w:rsidRPr="00577995">
        <w:rPr>
          <w:noProof/>
        </w:rPr>
        <w:t>.</w:t>
      </w:r>
    </w:p>
    <w:p w14:paraId="0011EF84" w14:textId="79A48D44" w:rsidR="000C26FE" w:rsidRPr="00577995" w:rsidRDefault="000C26FE" w:rsidP="000C26FE">
      <w:pPr>
        <w:spacing w:line="240" w:lineRule="auto"/>
        <w:jc w:val="both"/>
        <w:rPr>
          <w:noProof/>
        </w:rPr>
      </w:pPr>
      <w:bookmarkStart w:id="12" w:name="_Hlk137569259"/>
      <w:r w:rsidRPr="00577995">
        <w:rPr>
          <w:noProof/>
        </w:rPr>
        <w:t>Výnosy</w:t>
      </w:r>
      <w:r w:rsidR="00577995" w:rsidRPr="00577995">
        <w:rPr>
          <w:noProof/>
        </w:rPr>
        <w:t xml:space="preserve"> z </w:t>
      </w:r>
      <w:r w:rsidRPr="00577995">
        <w:rPr>
          <w:noProof/>
        </w:rPr>
        <w:t>dlhopisov EÚ sú stále vyššie ako výnosy</w:t>
      </w:r>
      <w:r w:rsidR="00577995" w:rsidRPr="00577995">
        <w:rPr>
          <w:noProof/>
        </w:rPr>
        <w:t xml:space="preserve"> z </w:t>
      </w:r>
      <w:r w:rsidRPr="00577995">
        <w:rPr>
          <w:noProof/>
        </w:rPr>
        <w:t>veľkých štátnych dlhopisov,</w:t>
      </w:r>
      <w:r w:rsidR="00577995" w:rsidRPr="00577995">
        <w:rPr>
          <w:noProof/>
        </w:rPr>
        <w:t xml:space="preserve"> a </w:t>
      </w:r>
      <w:r w:rsidRPr="00577995">
        <w:rPr>
          <w:noProof/>
        </w:rPr>
        <w:t>to aj napriek zvýšenej likvidite, vysokej úverovej bonite</w:t>
      </w:r>
      <w:r w:rsidR="00577995" w:rsidRPr="00577995">
        <w:rPr>
          <w:noProof/>
        </w:rPr>
        <w:t xml:space="preserve"> a </w:t>
      </w:r>
      <w:r w:rsidRPr="00577995">
        <w:rPr>
          <w:noProof/>
        </w:rPr>
        <w:t>stabilnej ponuke dlhopisov EÚ. Rozdiel medzi výnosmi</w:t>
      </w:r>
      <w:r w:rsidR="00577995" w:rsidRPr="00577995">
        <w:rPr>
          <w:noProof/>
        </w:rPr>
        <w:t xml:space="preserve"> z </w:t>
      </w:r>
      <w:r w:rsidRPr="00577995">
        <w:rPr>
          <w:noProof/>
        </w:rPr>
        <w:t>dlhopisov EÚ</w:t>
      </w:r>
      <w:r w:rsidR="00577995" w:rsidRPr="00577995">
        <w:rPr>
          <w:noProof/>
        </w:rPr>
        <w:t xml:space="preserve"> a </w:t>
      </w:r>
      <w:r w:rsidRPr="00577995">
        <w:rPr>
          <w:noProof/>
        </w:rPr>
        <w:t>výnosmi</w:t>
      </w:r>
      <w:r w:rsidR="00577995" w:rsidRPr="00577995">
        <w:rPr>
          <w:noProof/>
        </w:rPr>
        <w:t xml:space="preserve"> z </w:t>
      </w:r>
      <w:r w:rsidRPr="00577995">
        <w:rPr>
          <w:noProof/>
        </w:rPr>
        <w:t>veľkých štátnych dlhopisov možno do značnej miery vysvetliť zavedenou trhovou konvenciou týkajúcou sa oceňovania dlhopisov EÚ na základe swapovej krivky.</w:t>
      </w:r>
      <w:r w:rsidR="00577995" w:rsidRPr="00577995">
        <w:rPr>
          <w:noProof/>
        </w:rPr>
        <w:t xml:space="preserve"> Z </w:t>
      </w:r>
      <w:r w:rsidRPr="00577995">
        <w:rPr>
          <w:noProof/>
        </w:rPr>
        <w:t>nedávnej analýzy laboratória Bruegel</w:t>
      </w:r>
      <w:r w:rsidRPr="00577995">
        <w:rPr>
          <w:noProof/>
          <w:vertAlign w:val="superscript"/>
        </w:rPr>
        <w:footnoteReference w:id="7"/>
      </w:r>
      <w:r w:rsidRPr="00577995">
        <w:rPr>
          <w:noProof/>
        </w:rPr>
        <w:t xml:space="preserve"> vyplynulo, že swapové oceňovanie je hlavnou hnacou silou pre väčšinu ážia plateného emitentmi</w:t>
      </w:r>
      <w:r w:rsidR="00577995" w:rsidRPr="00577995">
        <w:rPr>
          <w:noProof/>
        </w:rPr>
        <w:t xml:space="preserve"> z </w:t>
      </w:r>
      <w:r w:rsidRPr="00577995">
        <w:rPr>
          <w:noProof/>
        </w:rPr>
        <w:t>EÚ</w:t>
      </w:r>
      <w:r w:rsidR="00577995" w:rsidRPr="00577995">
        <w:rPr>
          <w:noProof/>
        </w:rPr>
        <w:t xml:space="preserve"> a </w:t>
      </w:r>
      <w:r w:rsidRPr="00577995">
        <w:rPr>
          <w:noProof/>
        </w:rPr>
        <w:t>inými podobne oceňovanými emitentmi európskych štátnych dlhopisov, pričom existujú určité náznaky, že tento faktor predstavuje 90 % ážia.</w:t>
      </w:r>
    </w:p>
    <w:p w14:paraId="4B1E3BFF" w14:textId="3A5DDEC9" w:rsidR="000C26FE" w:rsidRPr="00577995" w:rsidRDefault="000C26FE" w:rsidP="000C26FE">
      <w:pPr>
        <w:spacing w:line="240" w:lineRule="auto"/>
        <w:jc w:val="both"/>
        <w:rPr>
          <w:noProof/>
          <w:szCs w:val="22"/>
        </w:rPr>
      </w:pPr>
      <w:r w:rsidRPr="00577995">
        <w:rPr>
          <w:noProof/>
        </w:rPr>
        <w:t>Pohyby swapovej krivky vo vzťahu</w:t>
      </w:r>
      <w:r w:rsidR="00577995" w:rsidRPr="00577995">
        <w:rPr>
          <w:noProof/>
        </w:rPr>
        <w:t xml:space="preserve"> k </w:t>
      </w:r>
      <w:r w:rsidRPr="00577995">
        <w:rPr>
          <w:noProof/>
        </w:rPr>
        <w:t>cene veľkých štátnych dlhopisov sú spôsobené celým radom technických</w:t>
      </w:r>
      <w:r w:rsidR="00577995" w:rsidRPr="00577995">
        <w:rPr>
          <w:noProof/>
        </w:rPr>
        <w:t xml:space="preserve"> a </w:t>
      </w:r>
      <w:r w:rsidRPr="00577995">
        <w:rPr>
          <w:noProof/>
        </w:rPr>
        <w:t>štrukturálnych faktorov, ktoré nesúvisia so základnou kvalitou dlhopisov alebo</w:t>
      </w:r>
      <w:r w:rsidR="00577995" w:rsidRPr="00577995">
        <w:rPr>
          <w:noProof/>
        </w:rPr>
        <w:t xml:space="preserve"> s </w:t>
      </w:r>
      <w:r w:rsidRPr="00577995">
        <w:rPr>
          <w:noProof/>
        </w:rPr>
        <w:t>efektívnosťou emisného programu EÚ. Dôraz sa</w:t>
      </w:r>
      <w:r w:rsidR="00577995" w:rsidRPr="00577995">
        <w:rPr>
          <w:noProof/>
        </w:rPr>
        <w:t xml:space="preserve"> v </w:t>
      </w:r>
      <w:r w:rsidRPr="00577995">
        <w:rPr>
          <w:noProof/>
        </w:rPr>
        <w:t>súvislosti</w:t>
      </w:r>
      <w:r w:rsidR="00577995" w:rsidRPr="00577995">
        <w:rPr>
          <w:noProof/>
        </w:rPr>
        <w:t xml:space="preserve"> s </w:t>
      </w:r>
      <w:r w:rsidRPr="00577995">
        <w:rPr>
          <w:noProof/>
        </w:rPr>
        <w:t>týmito úvahami kladie predovšetkým na to, že investori uprednostňujú etablované štátne dlhopisy, ktoré možno ľahko</w:t>
      </w:r>
      <w:r w:rsidR="00577995" w:rsidRPr="00577995">
        <w:rPr>
          <w:noProof/>
        </w:rPr>
        <w:t xml:space="preserve"> a </w:t>
      </w:r>
      <w:r w:rsidRPr="00577995">
        <w:rPr>
          <w:noProof/>
        </w:rPr>
        <w:t>lacno použiť ako kolaterál, pričom ide</w:t>
      </w:r>
      <w:r w:rsidR="00577995" w:rsidRPr="00577995">
        <w:rPr>
          <w:noProof/>
        </w:rPr>
        <w:t xml:space="preserve"> o </w:t>
      </w:r>
      <w:r w:rsidRPr="00577995">
        <w:rPr>
          <w:noProof/>
        </w:rPr>
        <w:t>výraznú preferenciu</w:t>
      </w:r>
      <w:r w:rsidR="00577995" w:rsidRPr="00577995">
        <w:rPr>
          <w:noProof/>
        </w:rPr>
        <w:t xml:space="preserve"> v </w:t>
      </w:r>
      <w:r w:rsidRPr="00577995">
        <w:rPr>
          <w:noProof/>
        </w:rPr>
        <w:t>časoch napätia na trhu. Tieto faktory boli veľmi dôležité ku koncu prvého štvrťroka,</w:t>
      </w:r>
      <w:r w:rsidR="00577995" w:rsidRPr="00577995">
        <w:rPr>
          <w:noProof/>
        </w:rPr>
        <w:t xml:space="preserve"> a </w:t>
      </w:r>
      <w:r w:rsidRPr="00577995">
        <w:rPr>
          <w:noProof/>
        </w:rPr>
        <w:t>to po turbulenciách</w:t>
      </w:r>
      <w:r w:rsidR="00577995" w:rsidRPr="00577995">
        <w:rPr>
          <w:noProof/>
        </w:rPr>
        <w:t xml:space="preserve"> v </w:t>
      </w:r>
      <w:r w:rsidRPr="00577995">
        <w:rPr>
          <w:noProof/>
        </w:rPr>
        <w:t>bankovom sektore</w:t>
      </w:r>
      <w:r w:rsidR="00577995" w:rsidRPr="00577995">
        <w:rPr>
          <w:noProof/>
        </w:rPr>
        <w:t xml:space="preserve"> v </w:t>
      </w:r>
      <w:r w:rsidRPr="00577995">
        <w:rPr>
          <w:noProof/>
        </w:rPr>
        <w:t>USA</w:t>
      </w:r>
      <w:r w:rsidR="00577995" w:rsidRPr="00577995">
        <w:rPr>
          <w:noProof/>
        </w:rPr>
        <w:t xml:space="preserve"> a </w:t>
      </w:r>
      <w:r w:rsidRPr="00577995">
        <w:rPr>
          <w:noProof/>
        </w:rPr>
        <w:t>po prevzatí banky Credit Suisse bankou UBS</w:t>
      </w:r>
      <w:r w:rsidR="00577995" w:rsidRPr="00577995">
        <w:rPr>
          <w:noProof/>
        </w:rPr>
        <w:t xml:space="preserve"> v </w:t>
      </w:r>
      <w:r w:rsidRPr="00577995">
        <w:rPr>
          <w:noProof/>
        </w:rPr>
        <w:t>Európe.</w:t>
      </w:r>
      <w:r w:rsidRPr="00577995">
        <w:rPr>
          <w:noProof/>
          <w:vertAlign w:val="superscript"/>
        </w:rPr>
        <w:footnoteReference w:id="8"/>
      </w:r>
      <w:r w:rsidRPr="00577995">
        <w:rPr>
          <w:noProof/>
        </w:rPr>
        <w:t xml:space="preserve"> Keďže obavy</w:t>
      </w:r>
      <w:r w:rsidR="00577995" w:rsidRPr="00577995">
        <w:rPr>
          <w:noProof/>
        </w:rPr>
        <w:t xml:space="preserve"> z </w:t>
      </w:r>
      <w:r w:rsidRPr="00577995">
        <w:rPr>
          <w:noProof/>
        </w:rPr>
        <w:t>finančnej stability ustúpili, rozpätie medzi dlhopismi na nižšej ako štátnej úrovni alebo na nadnárodnej úrovni</w:t>
      </w:r>
      <w:r w:rsidR="00577995" w:rsidRPr="00577995">
        <w:rPr>
          <w:noProof/>
        </w:rPr>
        <w:t xml:space="preserve"> a </w:t>
      </w:r>
      <w:r w:rsidRPr="00577995">
        <w:rPr>
          <w:noProof/>
        </w:rPr>
        <w:t>európskymi štátnymi dlhopismi sa vrátilo na úroveň zaznamenanú na začiatku polroka. Rozpätie desaťročných dlhopisov EÚ</w:t>
      </w:r>
      <w:r w:rsidR="00577995" w:rsidRPr="00577995">
        <w:rPr>
          <w:noProof/>
        </w:rPr>
        <w:t xml:space="preserve"> v </w:t>
      </w:r>
      <w:r w:rsidRPr="00577995">
        <w:rPr>
          <w:noProof/>
        </w:rPr>
        <w:t>porovnaní</w:t>
      </w:r>
      <w:r w:rsidR="00577995" w:rsidRPr="00577995">
        <w:rPr>
          <w:noProof/>
        </w:rPr>
        <w:t xml:space="preserve"> s </w:t>
      </w:r>
      <w:r w:rsidRPr="00577995">
        <w:rPr>
          <w:noProof/>
        </w:rPr>
        <w:t>desaťročnými nemeckými dlhopismi bolo</w:t>
      </w:r>
      <w:r w:rsidR="00577995" w:rsidRPr="00577995">
        <w:rPr>
          <w:noProof/>
        </w:rPr>
        <w:t xml:space="preserve"> k </w:t>
      </w:r>
      <w:r w:rsidRPr="00577995">
        <w:rPr>
          <w:noProof/>
        </w:rPr>
        <w:t>30. júnu 2023 na úrovni 62 bázických bodov, čo predstavuje pokles</w:t>
      </w:r>
      <w:r w:rsidR="00577995" w:rsidRPr="00577995">
        <w:rPr>
          <w:noProof/>
        </w:rPr>
        <w:t xml:space="preserve"> z </w:t>
      </w:r>
      <w:r w:rsidRPr="00577995">
        <w:rPr>
          <w:noProof/>
        </w:rPr>
        <w:t>vrcholu 83 bázických bodov</w:t>
      </w:r>
      <w:r w:rsidR="00577995" w:rsidRPr="00577995">
        <w:rPr>
          <w:noProof/>
        </w:rPr>
        <w:t xml:space="preserve"> v </w:t>
      </w:r>
      <w:r w:rsidRPr="00577995">
        <w:rPr>
          <w:noProof/>
        </w:rPr>
        <w:t>marci 2023,</w:t>
      </w:r>
      <w:r w:rsidR="00577995" w:rsidRPr="00577995">
        <w:rPr>
          <w:noProof/>
        </w:rPr>
        <w:t xml:space="preserve"> a v </w:t>
      </w:r>
      <w:r w:rsidRPr="00577995">
        <w:rPr>
          <w:noProof/>
        </w:rPr>
        <w:t>súlade</w:t>
      </w:r>
      <w:r w:rsidR="00577995" w:rsidRPr="00577995">
        <w:rPr>
          <w:noProof/>
        </w:rPr>
        <w:t xml:space="preserve"> s </w:t>
      </w:r>
      <w:r w:rsidRPr="00577995">
        <w:rPr>
          <w:noProof/>
        </w:rPr>
        <w:t>úrovňami zaznamenanými na začiatku polroka.</w:t>
      </w:r>
    </w:p>
    <w:p w14:paraId="31E87932" w14:textId="1998791C" w:rsidR="000C26FE" w:rsidRPr="00577995" w:rsidRDefault="000C26FE" w:rsidP="000C26FE">
      <w:pPr>
        <w:autoSpaceDE w:val="0"/>
        <w:autoSpaceDN w:val="0"/>
        <w:spacing w:after="0" w:line="240" w:lineRule="auto"/>
        <w:jc w:val="both"/>
        <w:rPr>
          <w:noProof/>
          <w:spacing w:val="-6"/>
        </w:rPr>
      </w:pPr>
      <w:r w:rsidRPr="00577995">
        <w:rPr>
          <w:noProof/>
        </w:rPr>
        <w:t>S cieľom zosúladiť oceňovanie dlhopisov EÚ so základnými objemami,</w:t>
      </w:r>
      <w:r w:rsidR="00577995" w:rsidRPr="00577995">
        <w:rPr>
          <w:noProof/>
        </w:rPr>
        <w:t xml:space="preserve"> s </w:t>
      </w:r>
      <w:r w:rsidRPr="00577995">
        <w:rPr>
          <w:noProof/>
        </w:rPr>
        <w:t>likviditou</w:t>
      </w:r>
      <w:r w:rsidR="00577995" w:rsidRPr="00577995">
        <w:rPr>
          <w:noProof/>
        </w:rPr>
        <w:t xml:space="preserve"> a </w:t>
      </w:r>
      <w:r w:rsidRPr="00577995">
        <w:rPr>
          <w:noProof/>
        </w:rPr>
        <w:t>úverovou bonitou programu Komisia podniká kroky (pozri oddiel 5) na vytvorenie podmienok priaznivých pre obchodovanie</w:t>
      </w:r>
      <w:r w:rsidR="00577995" w:rsidRPr="00577995">
        <w:rPr>
          <w:noProof/>
        </w:rPr>
        <w:t xml:space="preserve"> a </w:t>
      </w:r>
      <w:r w:rsidRPr="00577995">
        <w:rPr>
          <w:noProof/>
        </w:rPr>
        <w:t>oceňovanie dlhopisov EÚ, ktoré sú podobné podmienkam platným pre veľkých likvidných štátnych emitentov. Dosiahnutie tohto výsledku závisí aj od toho, či účastníci trhu prispôsobia svoje zvyklosti</w:t>
      </w:r>
      <w:r w:rsidR="00577995" w:rsidRPr="00577995">
        <w:rPr>
          <w:noProof/>
        </w:rPr>
        <w:t xml:space="preserve"> a </w:t>
      </w:r>
      <w:r w:rsidRPr="00577995">
        <w:rPr>
          <w:noProof/>
        </w:rPr>
        <w:t>posudzovanie dlhopisov EÚ. Aj keď existujú povzbudzujúce signály, že táto zmena prebieha, môže to trvať určitý čas.</w:t>
      </w:r>
      <w:bookmarkEnd w:id="12"/>
    </w:p>
    <w:p w14:paraId="6D2358C8" w14:textId="77777777" w:rsidR="000C26FE" w:rsidRPr="00577995" w:rsidRDefault="000C26FE" w:rsidP="002E4FA7">
      <w:pPr>
        <w:autoSpaceDE w:val="0"/>
        <w:autoSpaceDN w:val="0"/>
        <w:spacing w:after="0" w:line="240" w:lineRule="auto"/>
        <w:rPr>
          <w:noProof/>
          <w:spacing w:val="-6"/>
        </w:rPr>
      </w:pPr>
    </w:p>
    <w:p w14:paraId="2054B5FB" w14:textId="51BB1E8E" w:rsidR="00254D4D" w:rsidRPr="00577995" w:rsidRDefault="001D0900" w:rsidP="00BB3A2B">
      <w:pPr>
        <w:keepNext/>
        <w:keepLines/>
        <w:spacing w:line="240" w:lineRule="auto"/>
        <w:contextualSpacing/>
        <w:jc w:val="both"/>
        <w:rPr>
          <w:i/>
          <w:noProof/>
          <w:spacing w:val="-6"/>
        </w:rPr>
      </w:pPr>
      <w:r w:rsidRPr="00577995">
        <w:rPr>
          <w:i/>
          <w:noProof/>
        </w:rPr>
        <w:t>Riadenie likvidity</w:t>
      </w:r>
    </w:p>
    <w:p w14:paraId="6E1393DB" w14:textId="5FD36E8B" w:rsidR="00095BFD" w:rsidRPr="00577995" w:rsidRDefault="00095BFD" w:rsidP="00BB3A2B">
      <w:pPr>
        <w:keepNext/>
        <w:keepLines/>
        <w:spacing w:line="240" w:lineRule="auto"/>
        <w:jc w:val="both"/>
        <w:rPr>
          <w:noProof/>
        </w:rPr>
      </w:pPr>
      <w:r w:rsidRPr="00577995">
        <w:rPr>
          <w:noProof/>
        </w:rPr>
        <w:t>Komisia si zachovala pravidelnú</w:t>
      </w:r>
      <w:r w:rsidR="00577995" w:rsidRPr="00577995">
        <w:rPr>
          <w:noProof/>
        </w:rPr>
        <w:t xml:space="preserve"> a </w:t>
      </w:r>
      <w:r w:rsidRPr="00577995">
        <w:rPr>
          <w:noProof/>
        </w:rPr>
        <w:t>predvídateľnú prítomnosť na finančných trhoch</w:t>
      </w:r>
      <w:r w:rsidR="00577995" w:rsidRPr="00577995">
        <w:rPr>
          <w:noProof/>
        </w:rPr>
        <w:t xml:space="preserve"> v </w:t>
      </w:r>
      <w:r w:rsidRPr="00577995">
        <w:rPr>
          <w:noProof/>
        </w:rPr>
        <w:t>súlade</w:t>
      </w:r>
      <w:r w:rsidR="00577995" w:rsidRPr="00577995">
        <w:rPr>
          <w:noProof/>
        </w:rPr>
        <w:t xml:space="preserve"> s </w:t>
      </w:r>
      <w:r w:rsidRPr="00577995">
        <w:rPr>
          <w:noProof/>
        </w:rPr>
        <w:t>plánom financovania oznámeným</w:t>
      </w:r>
      <w:r w:rsidR="00577995" w:rsidRPr="00577995">
        <w:rPr>
          <w:noProof/>
        </w:rPr>
        <w:t xml:space="preserve"> v </w:t>
      </w:r>
      <w:r w:rsidRPr="00577995">
        <w:rPr>
          <w:noProof/>
        </w:rPr>
        <w:t>decembri 2022, ktorý obsahuje plánované dátumy aukcií</w:t>
      </w:r>
      <w:r w:rsidR="00577995" w:rsidRPr="00577995">
        <w:rPr>
          <w:noProof/>
        </w:rPr>
        <w:t xml:space="preserve"> a </w:t>
      </w:r>
      <w:r w:rsidRPr="00577995">
        <w:rPr>
          <w:noProof/>
        </w:rPr>
        <w:t>syndikácií. Úbytok peňažných tokov bol však pomalší, než sa pôvodne plánovalo, čo viedlo</w:t>
      </w:r>
      <w:r w:rsidR="00577995" w:rsidRPr="00577995">
        <w:rPr>
          <w:noProof/>
        </w:rPr>
        <w:t xml:space="preserve"> k </w:t>
      </w:r>
      <w:r w:rsidRPr="00577995">
        <w:rPr>
          <w:noProof/>
        </w:rPr>
        <w:t>vyššej priemernej držbe hotovosti</w:t>
      </w:r>
      <w:r w:rsidR="00577995" w:rsidRPr="00577995">
        <w:rPr>
          <w:noProof/>
        </w:rPr>
        <w:t xml:space="preserve"> v </w:t>
      </w:r>
      <w:r w:rsidRPr="00577995">
        <w:rPr>
          <w:noProof/>
        </w:rPr>
        <w:t>prvej polovici roka 2023,</w:t>
      </w:r>
      <w:r w:rsidR="00577995" w:rsidRPr="00577995">
        <w:rPr>
          <w:noProof/>
        </w:rPr>
        <w:t xml:space="preserve"> a </w:t>
      </w:r>
      <w:r w:rsidRPr="00577995">
        <w:rPr>
          <w:noProof/>
        </w:rPr>
        <w:t>to</w:t>
      </w:r>
      <w:r w:rsidR="00577995" w:rsidRPr="00577995">
        <w:rPr>
          <w:noProof/>
        </w:rPr>
        <w:t xml:space="preserve"> v </w:t>
      </w:r>
      <w:r w:rsidRPr="00577995">
        <w:rPr>
          <w:noProof/>
        </w:rPr>
        <w:t>priemere 36,8 mld. EUR</w:t>
      </w:r>
      <w:r w:rsidR="00577995" w:rsidRPr="00577995">
        <w:rPr>
          <w:noProof/>
        </w:rPr>
        <w:t xml:space="preserve"> v </w:t>
      </w:r>
      <w:r w:rsidRPr="00577995">
        <w:rPr>
          <w:noProof/>
        </w:rPr>
        <w:t>porovnaní</w:t>
      </w:r>
      <w:r w:rsidR="00577995" w:rsidRPr="00577995">
        <w:rPr>
          <w:noProof/>
        </w:rPr>
        <w:t xml:space="preserve"> s </w:t>
      </w:r>
      <w:r w:rsidRPr="00577995">
        <w:rPr>
          <w:noProof/>
        </w:rPr>
        <w:t>25,1 mld. EUR</w:t>
      </w:r>
      <w:r w:rsidR="00577995" w:rsidRPr="00577995">
        <w:rPr>
          <w:noProof/>
        </w:rPr>
        <w:t xml:space="preserve"> v </w:t>
      </w:r>
      <w:r w:rsidRPr="00577995">
        <w:rPr>
          <w:noProof/>
        </w:rPr>
        <w:t>predchádzajúcom polroku. Komisia znížila svoj peňažný príjem emisiou poukážok, aby si zabezpečila nepretržitú prítomnosť na trhu</w:t>
      </w:r>
      <w:r w:rsidR="00577995" w:rsidRPr="00577995">
        <w:rPr>
          <w:noProof/>
        </w:rPr>
        <w:t xml:space="preserve"> a </w:t>
      </w:r>
      <w:r w:rsidRPr="00577995">
        <w:rPr>
          <w:noProof/>
        </w:rPr>
        <w:t xml:space="preserve">zároveň minimalizovala nárast hotovostných zostatkov. </w:t>
      </w:r>
    </w:p>
    <w:p w14:paraId="58BDF305" w14:textId="42113FB2" w:rsidR="00810743" w:rsidRPr="00577995" w:rsidRDefault="00095BFD" w:rsidP="00095BFD">
      <w:pPr>
        <w:spacing w:line="240" w:lineRule="auto"/>
        <w:contextualSpacing/>
        <w:jc w:val="both"/>
        <w:rPr>
          <w:noProof/>
        </w:rPr>
      </w:pPr>
      <w:r w:rsidRPr="00577995">
        <w:rPr>
          <w:noProof/>
        </w:rPr>
        <w:t>Vyššie miery držby likvidity sa nepremietli do významných nákladov na podporované programy.</w:t>
      </w:r>
      <w:r w:rsidR="00577995" w:rsidRPr="00577995">
        <w:rPr>
          <w:noProof/>
        </w:rPr>
        <w:t xml:space="preserve"> V </w:t>
      </w:r>
      <w:r w:rsidRPr="00577995">
        <w:rPr>
          <w:noProof/>
        </w:rPr>
        <w:t>prípade hotovosti</w:t>
      </w:r>
      <w:r w:rsidR="00577995" w:rsidRPr="00577995">
        <w:rPr>
          <w:noProof/>
        </w:rPr>
        <w:t xml:space="preserve"> v </w:t>
      </w:r>
      <w:r w:rsidRPr="00577995">
        <w:rPr>
          <w:noProof/>
        </w:rPr>
        <w:t>držbe od januára do júna 2023 predstavovali 23,3 mil. EUR. Tieto náklady sa úmerne rozdelia medzi rozpočet EÚ</w:t>
      </w:r>
      <w:r w:rsidR="00577995" w:rsidRPr="00577995">
        <w:rPr>
          <w:noProof/>
        </w:rPr>
        <w:t xml:space="preserve"> a </w:t>
      </w:r>
      <w:r w:rsidRPr="00577995">
        <w:rPr>
          <w:noProof/>
        </w:rPr>
        <w:t>prijímateľov úverov na konci roka 2023.</w:t>
      </w:r>
    </w:p>
    <w:p w14:paraId="6BA306F7" w14:textId="77777777" w:rsidR="00095BFD" w:rsidRPr="00577995" w:rsidRDefault="00095BFD" w:rsidP="00095BFD">
      <w:pPr>
        <w:spacing w:line="240" w:lineRule="auto"/>
        <w:contextualSpacing/>
        <w:jc w:val="both"/>
        <w:rPr>
          <w:noProof/>
        </w:rPr>
      </w:pPr>
    </w:p>
    <w:p w14:paraId="6188E4EC" w14:textId="1CFFE63E" w:rsidR="00C44E47" w:rsidRPr="00577995" w:rsidRDefault="002F7560" w:rsidP="00003760">
      <w:pPr>
        <w:pStyle w:val="Heading1"/>
        <w:spacing w:after="200"/>
        <w:contextualSpacing/>
        <w:rPr>
          <w:rFonts w:cs="Times New Roman"/>
          <w:bCs/>
          <w:noProof/>
          <w:color w:val="auto"/>
          <w:sz w:val="24"/>
          <w:szCs w:val="24"/>
        </w:rPr>
      </w:pPr>
      <w:bookmarkStart w:id="13" w:name="_Toc142300678"/>
      <w:r w:rsidRPr="00577995">
        <w:rPr>
          <w:noProof/>
          <w:color w:val="auto"/>
          <w:sz w:val="24"/>
        </w:rPr>
        <w:t>Ďalšie míľniky</w:t>
      </w:r>
      <w:r w:rsidR="00577995" w:rsidRPr="00577995">
        <w:rPr>
          <w:noProof/>
          <w:color w:val="auto"/>
          <w:sz w:val="24"/>
        </w:rPr>
        <w:t xml:space="preserve"> v </w:t>
      </w:r>
      <w:r w:rsidRPr="00577995">
        <w:rPr>
          <w:noProof/>
          <w:color w:val="auto"/>
          <w:sz w:val="24"/>
        </w:rPr>
        <w:t>prvom polroku 2023</w:t>
      </w:r>
      <w:bookmarkEnd w:id="13"/>
    </w:p>
    <w:p w14:paraId="11DD2326" w14:textId="5FC3CA4F" w:rsidR="00095BFD" w:rsidRPr="00577995" w:rsidRDefault="00095BFD" w:rsidP="00095BFD">
      <w:pPr>
        <w:spacing w:line="240" w:lineRule="auto"/>
        <w:jc w:val="both"/>
        <w:rPr>
          <w:noProof/>
        </w:rPr>
      </w:pPr>
      <w:r w:rsidRPr="00577995">
        <w:rPr>
          <w:noProof/>
        </w:rPr>
        <w:t>Európsky dvor audítorov 12. júna 2023 uverejnil zistenia vo svojej osobitnej správe</w:t>
      </w:r>
      <w:r w:rsidR="00577995" w:rsidRPr="00577995">
        <w:rPr>
          <w:noProof/>
        </w:rPr>
        <w:t xml:space="preserve"> o </w:t>
      </w:r>
      <w:r w:rsidRPr="00577995">
        <w:rPr>
          <w:noProof/>
        </w:rPr>
        <w:t>operáciách riadenia dlhu</w:t>
      </w:r>
      <w:r w:rsidR="00577995" w:rsidRPr="00577995">
        <w:rPr>
          <w:noProof/>
        </w:rPr>
        <w:t xml:space="preserve"> v </w:t>
      </w:r>
      <w:r w:rsidRPr="00577995">
        <w:rPr>
          <w:noProof/>
        </w:rPr>
        <w:t>rámci nástroja NextGenerationEU.</w:t>
      </w:r>
      <w:r w:rsidR="00577995" w:rsidRPr="00577995">
        <w:rPr>
          <w:noProof/>
        </w:rPr>
        <w:t xml:space="preserve"> V </w:t>
      </w:r>
      <w:r w:rsidRPr="00577995">
        <w:rPr>
          <w:noProof/>
        </w:rPr>
        <w:t>tejto správe EDA posúdil, či Komisia vyvinula účinné systémy na riadenie dlhu získaného na financovanie nástroja NextGenerationEU.</w:t>
      </w:r>
      <w:r w:rsidR="00577995" w:rsidRPr="00577995">
        <w:rPr>
          <w:noProof/>
        </w:rPr>
        <w:t xml:space="preserve"> V </w:t>
      </w:r>
      <w:r w:rsidRPr="00577995">
        <w:rPr>
          <w:noProof/>
        </w:rPr>
        <w:t>správe sa uvádza komplexné preskúmanie spustenia</w:t>
      </w:r>
      <w:r w:rsidR="00577995" w:rsidRPr="00577995">
        <w:rPr>
          <w:noProof/>
        </w:rPr>
        <w:t xml:space="preserve"> a </w:t>
      </w:r>
      <w:r w:rsidRPr="00577995">
        <w:rPr>
          <w:noProof/>
        </w:rPr>
        <w:t>doterajšieho riadenia operácií financovania EÚ</w:t>
      </w:r>
      <w:r w:rsidR="00577995" w:rsidRPr="00577995">
        <w:rPr>
          <w:noProof/>
        </w:rPr>
        <w:t xml:space="preserve"> a </w:t>
      </w:r>
      <w:r w:rsidRPr="00577995">
        <w:rPr>
          <w:noProof/>
        </w:rPr>
        <w:t xml:space="preserve">užitočné odporúčania na účely budúcich opatrení. </w:t>
      </w:r>
    </w:p>
    <w:p w14:paraId="6B9A1A68" w14:textId="60F0FD62" w:rsidR="00095BFD" w:rsidRPr="00577995" w:rsidRDefault="00095BFD" w:rsidP="00095BFD">
      <w:pPr>
        <w:spacing w:line="240" w:lineRule="auto"/>
        <w:jc w:val="both"/>
        <w:rPr>
          <w:noProof/>
        </w:rPr>
      </w:pPr>
      <w:r w:rsidRPr="00577995">
        <w:rPr>
          <w:noProof/>
        </w:rPr>
        <w:t>EDA dospel</w:t>
      </w:r>
      <w:r w:rsidR="00577995" w:rsidRPr="00577995">
        <w:rPr>
          <w:noProof/>
        </w:rPr>
        <w:t xml:space="preserve"> k </w:t>
      </w:r>
      <w:r w:rsidRPr="00577995">
        <w:rPr>
          <w:noProof/>
        </w:rPr>
        <w:t>záveru, že „Komisia rýchlo vyvinula systém riadenia dlhu, ktorý umožnil včasné vypožičanie si finančných prostriedkov potrebných na nástroj NextGenerationEU […]“</w:t>
      </w:r>
      <w:r w:rsidR="00577995" w:rsidRPr="00577995">
        <w:rPr>
          <w:noProof/>
        </w:rPr>
        <w:t xml:space="preserve"> a </w:t>
      </w:r>
      <w:r w:rsidRPr="00577995">
        <w:rPr>
          <w:noProof/>
        </w:rPr>
        <w:t>že „[…] náklady na prijaté úvery</w:t>
      </w:r>
      <w:r w:rsidR="00577995" w:rsidRPr="00577995">
        <w:rPr>
          <w:noProof/>
        </w:rPr>
        <w:t xml:space="preserve"> a </w:t>
      </w:r>
      <w:r w:rsidRPr="00577995">
        <w:rPr>
          <w:noProof/>
        </w:rPr>
        <w:t>pôžičky odrážajú postavenie Komisie na trhu. Komisia takisto splnila všetky kľúčové regulačné požiadavky týkajúce sa dlhového portfólia</w:t>
      </w:r>
      <w:r w:rsidR="00577995" w:rsidRPr="00577995">
        <w:rPr>
          <w:noProof/>
        </w:rPr>
        <w:t xml:space="preserve"> a </w:t>
      </w:r>
      <w:r w:rsidRPr="00577995">
        <w:rPr>
          <w:noProof/>
        </w:rPr>
        <w:t>riadenia rizík.“</w:t>
      </w:r>
    </w:p>
    <w:p w14:paraId="11F3EB10" w14:textId="501EA9ED" w:rsidR="00095BFD" w:rsidRPr="00577995" w:rsidRDefault="00095BFD" w:rsidP="00095BFD">
      <w:pPr>
        <w:spacing w:line="240" w:lineRule="auto"/>
        <w:jc w:val="both"/>
        <w:rPr>
          <w:noProof/>
        </w:rPr>
      </w:pPr>
      <w:r w:rsidRPr="00577995">
        <w:rPr>
          <w:noProof/>
        </w:rPr>
        <w:t>Správa obsahovala aj päť odporúčaní na účely ďalšieho zlepšenia riadenia dlhu Komisiou: i) vytvorenie samostatnej funkcie middle office; ii) posilnenie úlohy vedúceho pracovníka zodpovedného za riadenie rizík; iii) zavedenie personálnej stratégie; iv) vypracovanie jasných cieľov</w:t>
      </w:r>
      <w:r w:rsidR="00577995" w:rsidRPr="00577995">
        <w:rPr>
          <w:noProof/>
        </w:rPr>
        <w:t xml:space="preserve"> v </w:t>
      </w:r>
      <w:r w:rsidRPr="00577995">
        <w:rPr>
          <w:noProof/>
        </w:rPr>
        <w:t>oblasti riadenia dlhu</w:t>
      </w:r>
      <w:r w:rsidR="00577995" w:rsidRPr="00577995">
        <w:rPr>
          <w:noProof/>
        </w:rPr>
        <w:t xml:space="preserve"> a </w:t>
      </w:r>
      <w:r w:rsidRPr="00577995">
        <w:rPr>
          <w:noProof/>
        </w:rPr>
        <w:t>súvisiacich ukazovateľov</w:t>
      </w:r>
      <w:r w:rsidR="00577995" w:rsidRPr="00577995">
        <w:rPr>
          <w:noProof/>
        </w:rPr>
        <w:t xml:space="preserve"> a </w:t>
      </w:r>
      <w:r w:rsidRPr="00577995">
        <w:rPr>
          <w:noProof/>
        </w:rPr>
        <w:t xml:space="preserve">v) zabezpečenie konzistentnosti internej dokumentácie. </w:t>
      </w:r>
    </w:p>
    <w:p w14:paraId="558D9236" w14:textId="355CD4F4" w:rsidR="00095BFD" w:rsidRPr="00577995" w:rsidRDefault="00095BFD" w:rsidP="00095BFD">
      <w:pPr>
        <w:spacing w:line="240" w:lineRule="auto"/>
        <w:jc w:val="both"/>
        <w:rPr>
          <w:noProof/>
        </w:rPr>
      </w:pPr>
      <w:r w:rsidRPr="00577995">
        <w:rPr>
          <w:noProof/>
        </w:rPr>
        <w:t>Odporúčania EDA sú vítaným príspevkom</w:t>
      </w:r>
      <w:r w:rsidR="00577995" w:rsidRPr="00577995">
        <w:rPr>
          <w:noProof/>
        </w:rPr>
        <w:t xml:space="preserve"> k </w:t>
      </w:r>
      <w:r w:rsidRPr="00577995">
        <w:rPr>
          <w:noProof/>
        </w:rPr>
        <w:t>úsiliu Komisie</w:t>
      </w:r>
      <w:r w:rsidR="00577995" w:rsidRPr="00577995">
        <w:rPr>
          <w:noProof/>
        </w:rPr>
        <w:t xml:space="preserve"> o </w:t>
      </w:r>
      <w:r w:rsidRPr="00577995">
        <w:rPr>
          <w:noProof/>
        </w:rPr>
        <w:t xml:space="preserve">zlepšenie jej postavenia na kapitálových trhoch (pozri oddiel 5). Komisia už pracuje na včasnom vykonaní týchto odporúčaní. </w:t>
      </w:r>
    </w:p>
    <w:p w14:paraId="332F13CF" w14:textId="12179E1F" w:rsidR="00095BFD" w:rsidRPr="00577995" w:rsidRDefault="00095BFD" w:rsidP="00095BFD">
      <w:pPr>
        <w:spacing w:line="240" w:lineRule="auto"/>
        <w:jc w:val="both"/>
        <w:rPr>
          <w:noProof/>
        </w:rPr>
      </w:pPr>
      <w:r w:rsidRPr="00577995">
        <w:rPr>
          <w:noProof/>
        </w:rPr>
        <w:t>V tejto správe sa už reaguje na štvrté odporúčanie EDA, ktorým sa požaduje vypracovanie zastrešujúcej stratégie riadenia dlhu</w:t>
      </w:r>
      <w:r w:rsidR="00577995" w:rsidRPr="00577995">
        <w:rPr>
          <w:noProof/>
        </w:rPr>
        <w:t xml:space="preserve"> s </w:t>
      </w:r>
      <w:r w:rsidRPr="00577995">
        <w:rPr>
          <w:noProof/>
        </w:rPr>
        <w:t>cieľom vytvoriť základy pre vykonávanie jednotného prístupu Komisie</w:t>
      </w:r>
      <w:r w:rsidR="00577995" w:rsidRPr="00577995">
        <w:rPr>
          <w:noProof/>
        </w:rPr>
        <w:t xml:space="preserve"> k </w:t>
      </w:r>
      <w:r w:rsidRPr="00577995">
        <w:rPr>
          <w:noProof/>
        </w:rPr>
        <w:t>financovaniu.</w:t>
      </w:r>
      <w:r w:rsidR="00577995" w:rsidRPr="00577995">
        <w:rPr>
          <w:noProof/>
        </w:rPr>
        <w:t xml:space="preserve"> V </w:t>
      </w:r>
      <w:r w:rsidRPr="00577995">
        <w:rPr>
          <w:noProof/>
        </w:rPr>
        <w:t>prílohe</w:t>
      </w:r>
      <w:r w:rsidR="00577995" w:rsidRPr="00577995">
        <w:rPr>
          <w:noProof/>
        </w:rPr>
        <w:t xml:space="preserve"> k </w:t>
      </w:r>
      <w:r w:rsidRPr="00577995">
        <w:rPr>
          <w:noProof/>
        </w:rPr>
        <w:t>tejto správe sa uvádza daná stratégia riadenia dlhu, pričom sa najprv stanovujú hlavné ciele, ktorými sa riadi,</w:t>
      </w:r>
      <w:r w:rsidR="00577995" w:rsidRPr="00577995">
        <w:rPr>
          <w:noProof/>
        </w:rPr>
        <w:t xml:space="preserve"> a </w:t>
      </w:r>
      <w:r w:rsidRPr="00577995">
        <w:rPr>
          <w:noProof/>
        </w:rPr>
        <w:t>spôsob, akým sa uplatňujú kľúčové hybné sily, ktoré má Komisia</w:t>
      </w:r>
      <w:r w:rsidR="00577995" w:rsidRPr="00577995">
        <w:rPr>
          <w:noProof/>
        </w:rPr>
        <w:t xml:space="preserve"> k </w:t>
      </w:r>
      <w:r w:rsidRPr="00577995">
        <w:rPr>
          <w:noProof/>
        </w:rPr>
        <w:t>dispozícii. Táto stratégia je podporená súborom ukazovateľov, ktoré sa použijú na monitorovanie spôsobu jej vykonávania. Tieto ukazovatele sa aktualizujú</w:t>
      </w:r>
      <w:r w:rsidR="00577995" w:rsidRPr="00577995">
        <w:rPr>
          <w:noProof/>
        </w:rPr>
        <w:t xml:space="preserve"> v </w:t>
      </w:r>
      <w:r w:rsidRPr="00577995">
        <w:rPr>
          <w:noProof/>
        </w:rPr>
        <w:t>budúcich vydaniach, pričom sa vyjadria príslušné pripomienky.</w:t>
      </w:r>
    </w:p>
    <w:p w14:paraId="4FF62A70" w14:textId="77777777" w:rsidR="00095BFD" w:rsidRPr="00577995" w:rsidRDefault="00095BFD" w:rsidP="00095BFD">
      <w:pPr>
        <w:spacing w:line="240" w:lineRule="auto"/>
        <w:jc w:val="both"/>
        <w:rPr>
          <w:noProof/>
        </w:rPr>
      </w:pPr>
    </w:p>
    <w:p w14:paraId="774AF1B2" w14:textId="3CFFE867" w:rsidR="00232130" w:rsidRPr="00577995" w:rsidRDefault="001401DA" w:rsidP="00D3648A">
      <w:pPr>
        <w:pStyle w:val="Heading1"/>
        <w:spacing w:after="200"/>
        <w:contextualSpacing/>
        <w:rPr>
          <w:rFonts w:cs="Times New Roman"/>
          <w:bCs/>
          <w:noProof/>
          <w:color w:val="auto"/>
          <w:sz w:val="24"/>
          <w:szCs w:val="24"/>
        </w:rPr>
      </w:pPr>
      <w:bookmarkStart w:id="14" w:name="_Toc142300679"/>
      <w:r w:rsidRPr="00577995">
        <w:rPr>
          <w:noProof/>
          <w:color w:val="auto"/>
          <w:sz w:val="24"/>
        </w:rPr>
        <w:t>Kroky na ďalší rozvoj ekosystému dlhopisov EÚ</w:t>
      </w:r>
      <w:bookmarkEnd w:id="14"/>
    </w:p>
    <w:p w14:paraId="372B7CF7" w14:textId="12C2EFDB" w:rsidR="00095BFD" w:rsidRPr="00577995" w:rsidRDefault="00095BFD" w:rsidP="00095BFD">
      <w:pPr>
        <w:spacing w:line="240" w:lineRule="auto"/>
        <w:jc w:val="both"/>
        <w:rPr>
          <w:noProof/>
        </w:rPr>
      </w:pPr>
      <w:r w:rsidRPr="00577995">
        <w:rPr>
          <w:noProof/>
        </w:rPr>
        <w:t>Zavedenie jednotného prístupu</w:t>
      </w:r>
      <w:r w:rsidR="00577995" w:rsidRPr="00577995">
        <w:rPr>
          <w:noProof/>
        </w:rPr>
        <w:t xml:space="preserve"> k </w:t>
      </w:r>
      <w:r w:rsidRPr="00577995">
        <w:rPr>
          <w:noProof/>
        </w:rPr>
        <w:t>financovaniu od januára 2023 predstavovalo kľúčový míľnik pri budovaní spoľahlivého rámca na čo najefektívnejšie plnenie potrieb financovania EÚ. Tento prístup umožňuje Komisii pružne</w:t>
      </w:r>
      <w:r w:rsidR="00577995" w:rsidRPr="00577995">
        <w:rPr>
          <w:noProof/>
        </w:rPr>
        <w:t xml:space="preserve"> a </w:t>
      </w:r>
      <w:r w:rsidRPr="00577995">
        <w:rPr>
          <w:noProof/>
        </w:rPr>
        <w:t>súvislo plánovať, vykonávať</w:t>
      </w:r>
      <w:r w:rsidR="00577995" w:rsidRPr="00577995">
        <w:rPr>
          <w:noProof/>
        </w:rPr>
        <w:t xml:space="preserve"> a </w:t>
      </w:r>
      <w:r w:rsidRPr="00577995">
        <w:rPr>
          <w:noProof/>
        </w:rPr>
        <w:t>oznamovať všetky emisie,</w:t>
      </w:r>
      <w:r w:rsidR="00577995" w:rsidRPr="00577995">
        <w:rPr>
          <w:noProof/>
        </w:rPr>
        <w:t xml:space="preserve"> a </w:t>
      </w:r>
      <w:r w:rsidRPr="00577995">
        <w:rPr>
          <w:noProof/>
        </w:rPr>
        <w:t>to na základe spoločného rámca pre riziká, dodržiavanie právnych predpisov</w:t>
      </w:r>
      <w:r w:rsidR="00577995" w:rsidRPr="00577995">
        <w:rPr>
          <w:noProof/>
        </w:rPr>
        <w:t xml:space="preserve"> a </w:t>
      </w:r>
      <w:r w:rsidRPr="00577995">
        <w:rPr>
          <w:noProof/>
        </w:rPr>
        <w:t>riadenie</w:t>
      </w:r>
      <w:r w:rsidR="00577995" w:rsidRPr="00577995">
        <w:rPr>
          <w:noProof/>
        </w:rPr>
        <w:t xml:space="preserve"> v </w:t>
      </w:r>
      <w:r w:rsidRPr="00577995">
        <w:rPr>
          <w:noProof/>
        </w:rPr>
        <w:t>súvislosti so všetkými operáciami vypožičiavania si.</w:t>
      </w:r>
    </w:p>
    <w:p w14:paraId="4ED8E496" w14:textId="39EF1B0B" w:rsidR="00095BFD" w:rsidRPr="00577995" w:rsidRDefault="00095BFD" w:rsidP="00095BFD">
      <w:pPr>
        <w:spacing w:line="240" w:lineRule="auto"/>
        <w:jc w:val="both"/>
        <w:rPr>
          <w:noProof/>
        </w:rPr>
      </w:pPr>
      <w:r w:rsidRPr="00577995">
        <w:rPr>
          <w:noProof/>
        </w:rPr>
        <w:t>Napriek tejto prebiehajúcej transformácii EÚ ako emitenta</w:t>
      </w:r>
      <w:r w:rsidR="00577995" w:rsidRPr="00577995">
        <w:rPr>
          <w:noProof/>
        </w:rPr>
        <w:t xml:space="preserve"> a </w:t>
      </w:r>
      <w:r w:rsidRPr="00577995">
        <w:rPr>
          <w:noProof/>
        </w:rPr>
        <w:t>postupnému posunu</w:t>
      </w:r>
      <w:r w:rsidR="00577995" w:rsidRPr="00577995">
        <w:rPr>
          <w:noProof/>
        </w:rPr>
        <w:t xml:space="preserve"> v </w:t>
      </w:r>
      <w:r w:rsidRPr="00577995">
        <w:rPr>
          <w:noProof/>
        </w:rPr>
        <w:t>zaobchádzaní</w:t>
      </w:r>
      <w:r w:rsidR="00577995" w:rsidRPr="00577995">
        <w:rPr>
          <w:noProof/>
        </w:rPr>
        <w:t xml:space="preserve"> s </w:t>
      </w:r>
      <w:r w:rsidRPr="00577995">
        <w:rPr>
          <w:noProof/>
        </w:rPr>
        <w:t>dlhopismi EÚ</w:t>
      </w:r>
      <w:r w:rsidRPr="00577995">
        <w:rPr>
          <w:noProof/>
          <w:vertAlign w:val="superscript"/>
        </w:rPr>
        <w:footnoteReference w:id="9"/>
      </w:r>
      <w:r w:rsidRPr="00577995">
        <w:rPr>
          <w:noProof/>
        </w:rPr>
        <w:t xml:space="preserve"> sa však na trhoch naďalej zaobchádza</w:t>
      </w:r>
      <w:r w:rsidR="00577995" w:rsidRPr="00577995">
        <w:rPr>
          <w:noProof/>
        </w:rPr>
        <w:t xml:space="preserve"> s </w:t>
      </w:r>
      <w:r w:rsidRPr="00577995">
        <w:rPr>
          <w:noProof/>
        </w:rPr>
        <w:t>dlhopismi EÚ</w:t>
      </w:r>
      <w:r w:rsidR="00577995" w:rsidRPr="00577995">
        <w:rPr>
          <w:noProof/>
        </w:rPr>
        <w:t xml:space="preserve"> a </w:t>
      </w:r>
      <w:r w:rsidRPr="00577995">
        <w:rPr>
          <w:noProof/>
        </w:rPr>
        <w:t>oceňujú sa na základe swapovej krivky.</w:t>
      </w:r>
      <w:r w:rsidR="00577995" w:rsidRPr="00577995">
        <w:rPr>
          <w:noProof/>
        </w:rPr>
        <w:t xml:space="preserve"> S </w:t>
      </w:r>
      <w:r w:rsidRPr="00577995">
        <w:rPr>
          <w:noProof/>
        </w:rPr>
        <w:t>cieľom podporiť prechod na metódu oceňovania, ktorá lepšie odráža základy emisií EÚ, Komisia prijíma niekoľko opatrení na podporu vývoja</w:t>
      </w:r>
      <w:r w:rsidR="00577995" w:rsidRPr="00577995">
        <w:rPr>
          <w:noProof/>
        </w:rPr>
        <w:t xml:space="preserve"> a </w:t>
      </w:r>
      <w:r w:rsidRPr="00577995">
        <w:rPr>
          <w:noProof/>
        </w:rPr>
        <w:t xml:space="preserve">likvidity dlhopisov EÚ. </w:t>
      </w:r>
    </w:p>
    <w:p w14:paraId="71C63272" w14:textId="42A8EB9B" w:rsidR="00095BFD" w:rsidRPr="00577995" w:rsidRDefault="00795578" w:rsidP="00095BFD">
      <w:pPr>
        <w:spacing w:line="240" w:lineRule="auto"/>
        <w:jc w:val="both"/>
        <w:rPr>
          <w:noProof/>
        </w:rPr>
      </w:pPr>
      <w:r w:rsidRPr="00577995">
        <w:rPr>
          <w:noProof/>
        </w:rPr>
        <w:t>S cieľom uľahčiť obchodovanie</w:t>
      </w:r>
      <w:r w:rsidR="00577995" w:rsidRPr="00577995">
        <w:rPr>
          <w:noProof/>
        </w:rPr>
        <w:t xml:space="preserve"> s </w:t>
      </w:r>
      <w:r w:rsidRPr="00577995">
        <w:rPr>
          <w:noProof/>
        </w:rPr>
        <w:t>dlhopismi EÚ na sekundárnom trhu Komisia</w:t>
      </w:r>
      <w:r w:rsidR="00577995" w:rsidRPr="00577995">
        <w:rPr>
          <w:noProof/>
        </w:rPr>
        <w:t xml:space="preserve"> v </w:t>
      </w:r>
      <w:r w:rsidRPr="00577995">
        <w:rPr>
          <w:noProof/>
        </w:rPr>
        <w:t>štvrtom štvrťroku 2023 zavedie rámec na poskytovanie cenových ponúk investorom týkajúcich sa cenných papierov EÚ. Rámec sa bude vykonávať využitím primárnych dílerov EÚ, ktorí budú tieto ponuky poskytovať prostredníctvom bežne používaných obchodných platforiem, čím sa zlepší určovanie cien cenných papierov EÚ</w:t>
      </w:r>
      <w:r w:rsidR="00577995" w:rsidRPr="00577995">
        <w:rPr>
          <w:noProof/>
        </w:rPr>
        <w:t xml:space="preserve"> a </w:t>
      </w:r>
      <w:r w:rsidRPr="00577995">
        <w:rPr>
          <w:noProof/>
        </w:rPr>
        <w:t>zníži neistota obchodníkov</w:t>
      </w:r>
      <w:r w:rsidR="00577995" w:rsidRPr="00577995">
        <w:rPr>
          <w:noProof/>
        </w:rPr>
        <w:t xml:space="preserve"> a </w:t>
      </w:r>
      <w:r w:rsidRPr="00577995">
        <w:rPr>
          <w:noProof/>
        </w:rPr>
        <w:t>investorov pri obchodovaní. Tento systém ponúk umožní investorom dôverovať tomu, že trhové ceny cenných papierov EÚ ponúkané na obchodných platformách sú spoľahlivé</w:t>
      </w:r>
      <w:r w:rsidR="00577995" w:rsidRPr="00577995">
        <w:rPr>
          <w:noProof/>
        </w:rPr>
        <w:t xml:space="preserve"> a </w:t>
      </w:r>
      <w:r w:rsidRPr="00577995">
        <w:rPr>
          <w:noProof/>
        </w:rPr>
        <w:t>podporované primárnymi dílermi EÚ. Rozhodnutie Komisie</w:t>
      </w:r>
      <w:r w:rsidR="00577995" w:rsidRPr="00577995">
        <w:rPr>
          <w:noProof/>
        </w:rPr>
        <w:t xml:space="preserve"> o </w:t>
      </w:r>
      <w:r w:rsidRPr="00577995">
        <w:rPr>
          <w:noProof/>
        </w:rPr>
        <w:t>zriadení siete primárnych dílerov bolo zmenené</w:t>
      </w:r>
      <w:r w:rsidR="00577995" w:rsidRPr="00577995">
        <w:rPr>
          <w:noProof/>
        </w:rPr>
        <w:t xml:space="preserve"> s </w:t>
      </w:r>
      <w:r w:rsidRPr="00577995">
        <w:rPr>
          <w:noProof/>
        </w:rPr>
        <w:t>cieľom zaviesť tieto nové opatrenia. Tieto opatrenia nadobudnú účinnosť na jeseň</w:t>
      </w:r>
      <w:r w:rsidR="00577995" w:rsidRPr="00577995">
        <w:rPr>
          <w:noProof/>
        </w:rPr>
        <w:t xml:space="preserve"> a </w:t>
      </w:r>
      <w:r w:rsidRPr="00577995">
        <w:rPr>
          <w:noProof/>
        </w:rPr>
        <w:t>použijú sa ako súčasť systému na výber primárnych dílerov, ktorí budú mať od budúceho roka mandát na vedenie</w:t>
      </w:r>
      <w:r w:rsidR="00577995" w:rsidRPr="00577995">
        <w:rPr>
          <w:noProof/>
        </w:rPr>
        <w:t xml:space="preserve"> a </w:t>
      </w:r>
      <w:r w:rsidRPr="00577995">
        <w:rPr>
          <w:noProof/>
        </w:rPr>
        <w:t>spoluvedenie.</w:t>
      </w:r>
    </w:p>
    <w:p w14:paraId="5B8A2517" w14:textId="31E0DA84" w:rsidR="00095BFD" w:rsidRPr="00577995" w:rsidRDefault="00095BFD" w:rsidP="00095BFD">
      <w:pPr>
        <w:spacing w:line="240" w:lineRule="auto"/>
        <w:jc w:val="both"/>
        <w:rPr>
          <w:noProof/>
        </w:rPr>
      </w:pPr>
      <w:r w:rsidRPr="00577995">
        <w:rPr>
          <w:noProof/>
        </w:rPr>
        <w:t>Okrem toho Komisia začala pripravovať spätné odkúpenie repo nástroja</w:t>
      </w:r>
      <w:r w:rsidR="00577995" w:rsidRPr="00577995">
        <w:rPr>
          <w:noProof/>
        </w:rPr>
        <w:t xml:space="preserve"> v </w:t>
      </w:r>
      <w:r w:rsidRPr="00577995">
        <w:rPr>
          <w:noProof/>
        </w:rPr>
        <w:t>záujme podpory účastníkov trhu pri obchodovaní</w:t>
      </w:r>
      <w:r w:rsidR="00577995" w:rsidRPr="00577995">
        <w:rPr>
          <w:noProof/>
        </w:rPr>
        <w:t xml:space="preserve"> s </w:t>
      </w:r>
      <w:r w:rsidRPr="00577995">
        <w:rPr>
          <w:noProof/>
        </w:rPr>
        <w:t>dlhopismi. Komisia dočasne sprístupní svoje cenné papiere prostredníctvom repo nástroja, čím pomôže primárnym dílerom EÚ zabezpečiť likviditu dlhopisov EÚ. Komisia musí najprv získať</w:t>
      </w:r>
      <w:r w:rsidR="00577995" w:rsidRPr="00577995">
        <w:rPr>
          <w:noProof/>
        </w:rPr>
        <w:t xml:space="preserve"> a </w:t>
      </w:r>
      <w:r w:rsidRPr="00577995">
        <w:rPr>
          <w:noProof/>
        </w:rPr>
        <w:t>vybudovať kapacity potrebné na zavedenie takéhoto repo nástroja, ktorý bude funkčný</w:t>
      </w:r>
      <w:r w:rsidR="00577995" w:rsidRPr="00577995">
        <w:rPr>
          <w:noProof/>
        </w:rPr>
        <w:t xml:space="preserve"> v </w:t>
      </w:r>
      <w:r w:rsidRPr="00577995">
        <w:rPr>
          <w:noProof/>
        </w:rPr>
        <w:t>polovici roka 2024.</w:t>
      </w:r>
    </w:p>
    <w:p w14:paraId="5DBDCFED" w14:textId="2909970F" w:rsidR="00095BFD" w:rsidRPr="00577995" w:rsidRDefault="00095BFD" w:rsidP="00095BFD">
      <w:pPr>
        <w:spacing w:line="240" w:lineRule="auto"/>
        <w:jc w:val="both"/>
        <w:rPr>
          <w:rFonts w:ascii="Calibri" w:hAnsi="Calibri" w:cs="Calibri"/>
          <w:noProof/>
          <w:sz w:val="28"/>
          <w:szCs w:val="28"/>
        </w:rPr>
      </w:pPr>
      <w:r w:rsidRPr="00577995">
        <w:rPr>
          <w:noProof/>
        </w:rPr>
        <w:t>Komisia takisto pokračuje</w:t>
      </w:r>
      <w:r w:rsidR="00577995" w:rsidRPr="00577995">
        <w:rPr>
          <w:noProof/>
        </w:rPr>
        <w:t xml:space="preserve"> v </w:t>
      </w:r>
      <w:r w:rsidRPr="00577995">
        <w:rPr>
          <w:noProof/>
        </w:rPr>
        <w:t>aktívnej spolupráci</w:t>
      </w:r>
      <w:r w:rsidR="00577995" w:rsidRPr="00577995">
        <w:rPr>
          <w:noProof/>
        </w:rPr>
        <w:t xml:space="preserve"> s </w:t>
      </w:r>
      <w:r w:rsidRPr="00577995">
        <w:rPr>
          <w:noProof/>
        </w:rPr>
        <w:t>účastníkmi trhu</w:t>
      </w:r>
      <w:r w:rsidR="00577995" w:rsidRPr="00577995">
        <w:rPr>
          <w:noProof/>
        </w:rPr>
        <w:t xml:space="preserve"> s </w:t>
      </w:r>
      <w:r w:rsidRPr="00577995">
        <w:rPr>
          <w:noProof/>
        </w:rPr>
        <w:t>cieľom identifikovať najúčinnejší spôsob ďalšieho zvyšovania likvidity dlhopisov EÚ</w:t>
      </w:r>
      <w:r w:rsidR="00577995" w:rsidRPr="00577995">
        <w:rPr>
          <w:noProof/>
        </w:rPr>
        <w:t xml:space="preserve"> a </w:t>
      </w:r>
      <w:r w:rsidRPr="00577995">
        <w:rPr>
          <w:noProof/>
        </w:rPr>
        <w:t>umožniť obchodovanie</w:t>
      </w:r>
      <w:r w:rsidR="00577995" w:rsidRPr="00577995">
        <w:rPr>
          <w:noProof/>
        </w:rPr>
        <w:t xml:space="preserve"> s </w:t>
      </w:r>
      <w:r w:rsidRPr="00577995">
        <w:rPr>
          <w:noProof/>
        </w:rPr>
        <w:t>nimi</w:t>
      </w:r>
      <w:r w:rsidR="00577995" w:rsidRPr="00577995">
        <w:rPr>
          <w:noProof/>
        </w:rPr>
        <w:t xml:space="preserve"> a </w:t>
      </w:r>
      <w:r w:rsidRPr="00577995">
        <w:rPr>
          <w:noProof/>
        </w:rPr>
        <w:t>ich oceňovanie podobne ako</w:t>
      </w:r>
      <w:r w:rsidR="00577995" w:rsidRPr="00577995">
        <w:rPr>
          <w:noProof/>
        </w:rPr>
        <w:t xml:space="preserve"> v </w:t>
      </w:r>
      <w:r w:rsidRPr="00577995">
        <w:rPr>
          <w:noProof/>
        </w:rPr>
        <w:t>prípade európskych štátnych dlhopisov. Na tento účel Komisia</w:t>
      </w:r>
      <w:r w:rsidR="00577995" w:rsidRPr="00577995">
        <w:rPr>
          <w:noProof/>
        </w:rPr>
        <w:t xml:space="preserve"> v </w:t>
      </w:r>
      <w:r w:rsidRPr="00577995">
        <w:rPr>
          <w:noProof/>
        </w:rPr>
        <w:t>júni 2023 začala úvodný prieskum pre investorov, ktorého cieľom bolo získať spätnú väzbu od investorov</w:t>
      </w:r>
      <w:r w:rsidR="00577995" w:rsidRPr="00577995">
        <w:rPr>
          <w:noProof/>
        </w:rPr>
        <w:t xml:space="preserve"> o </w:t>
      </w:r>
      <w:r w:rsidRPr="00577995">
        <w:rPr>
          <w:noProof/>
        </w:rPr>
        <w:t>úlohe indexov európskych štátnych dlhopisov ako referenčných indexov</w:t>
      </w:r>
      <w:r w:rsidR="00577995" w:rsidRPr="00577995">
        <w:rPr>
          <w:noProof/>
        </w:rPr>
        <w:t xml:space="preserve"> v </w:t>
      </w:r>
      <w:r w:rsidRPr="00577995">
        <w:rPr>
          <w:noProof/>
        </w:rPr>
        <w:t>rámci investičných rozhodnutí investorov</w:t>
      </w:r>
      <w:r w:rsidR="00577995" w:rsidRPr="00577995">
        <w:rPr>
          <w:noProof/>
        </w:rPr>
        <w:t xml:space="preserve"> a o </w:t>
      </w:r>
      <w:r w:rsidRPr="00577995">
        <w:rPr>
          <w:noProof/>
        </w:rPr>
        <w:t>vnímanej relevantnosti zahrnutia dlhopisov EÚ do takýchto indexov. Komisia takisto naďalej skúma spôsoby, ako zlepšiť využívanie dlhopisov EÚ ako kolaterálu</w:t>
      </w:r>
      <w:r w:rsidR="00577995" w:rsidRPr="00577995">
        <w:rPr>
          <w:noProof/>
        </w:rPr>
        <w:t xml:space="preserve"> v </w:t>
      </w:r>
      <w:r w:rsidRPr="00577995">
        <w:rPr>
          <w:noProof/>
        </w:rPr>
        <w:t>prípade dvojstranných zabezpečených transakcií.</w:t>
      </w:r>
    </w:p>
    <w:p w14:paraId="55DE9881" w14:textId="43B2F8B3" w:rsidR="00095BFD" w:rsidRPr="00577995" w:rsidRDefault="00095BFD" w:rsidP="00095BFD">
      <w:pPr>
        <w:spacing w:line="240" w:lineRule="auto"/>
        <w:jc w:val="both"/>
        <w:rPr>
          <w:noProof/>
        </w:rPr>
      </w:pPr>
      <w:r w:rsidRPr="00577995">
        <w:rPr>
          <w:noProof/>
        </w:rPr>
        <w:t>Pokrok sa dosiahol aj vo vykonávaní emisnej služby EÚ (EIS), ktorá začne fungovať začiatkom januára 2024. Vďaka tejto službe prejde Komisia</w:t>
      </w:r>
      <w:r w:rsidR="00577995" w:rsidRPr="00577995">
        <w:rPr>
          <w:noProof/>
        </w:rPr>
        <w:t xml:space="preserve"> v </w:t>
      </w:r>
      <w:r w:rsidRPr="00577995">
        <w:rPr>
          <w:noProof/>
        </w:rPr>
        <w:t>prípade dlhopisov EÚ emitovaných po uvedenom dátume</w:t>
      </w:r>
      <w:r w:rsidR="00577995" w:rsidRPr="00577995">
        <w:rPr>
          <w:noProof/>
        </w:rPr>
        <w:t xml:space="preserve"> z </w:t>
      </w:r>
      <w:r w:rsidRPr="00577995">
        <w:rPr>
          <w:noProof/>
        </w:rPr>
        <w:t>využívania vyrovnávacieho systému zahŕňajúceho komerčných poskytovateľov služieb vyrovnania na infraštruktúru vyrovnania založenú na Eurosystéme. Pre dlhopisy EÚ, ktoré sa vyrovnávajú prostredníctvom služby EIS, bude prínosné, že sa začlenia – ako európske štátne dlhopisy – do platobnej infraštruktúry</w:t>
      </w:r>
      <w:r w:rsidR="00577995" w:rsidRPr="00577995">
        <w:rPr>
          <w:noProof/>
        </w:rPr>
        <w:t xml:space="preserve"> a </w:t>
      </w:r>
      <w:r w:rsidRPr="00577995">
        <w:rPr>
          <w:noProof/>
        </w:rPr>
        <w:t>infraštruktúry vyrovnania</w:t>
      </w:r>
      <w:r w:rsidR="00577995" w:rsidRPr="00577995">
        <w:rPr>
          <w:noProof/>
        </w:rPr>
        <w:t xml:space="preserve"> v </w:t>
      </w:r>
      <w:r w:rsidRPr="00577995">
        <w:rPr>
          <w:noProof/>
        </w:rPr>
        <w:t>rámci Eurosystému (Target/Target2S), vďaka čomu ich bude možné ľahšie použiť ako kolaterál</w:t>
      </w:r>
      <w:r w:rsidR="00577995" w:rsidRPr="00577995">
        <w:rPr>
          <w:noProof/>
        </w:rPr>
        <w:t xml:space="preserve"> v </w:t>
      </w:r>
      <w:r w:rsidRPr="00577995">
        <w:rPr>
          <w:noProof/>
        </w:rPr>
        <w:t xml:space="preserve">Eurosystéme. </w:t>
      </w:r>
    </w:p>
    <w:p w14:paraId="1199E46A" w14:textId="77777777" w:rsidR="00303954" w:rsidRPr="00577995" w:rsidRDefault="00303954" w:rsidP="00303954">
      <w:pPr>
        <w:pStyle w:val="Heading1"/>
        <w:numPr>
          <w:ilvl w:val="0"/>
          <w:numId w:val="0"/>
        </w:numPr>
        <w:spacing w:after="200"/>
        <w:ind w:left="502"/>
        <w:contextualSpacing/>
        <w:rPr>
          <w:rFonts w:cs="Times New Roman"/>
          <w:noProof/>
          <w:color w:val="auto"/>
          <w:sz w:val="24"/>
          <w:szCs w:val="24"/>
        </w:rPr>
      </w:pPr>
    </w:p>
    <w:p w14:paraId="15D20713" w14:textId="47598E76" w:rsidR="001401DA" w:rsidRPr="00577995" w:rsidRDefault="007D6C82" w:rsidP="001401DA">
      <w:pPr>
        <w:pStyle w:val="Heading1"/>
        <w:spacing w:after="200"/>
        <w:contextualSpacing/>
        <w:rPr>
          <w:rFonts w:cs="Times New Roman"/>
          <w:noProof/>
          <w:color w:val="auto"/>
          <w:sz w:val="24"/>
          <w:szCs w:val="24"/>
        </w:rPr>
      </w:pPr>
      <w:bookmarkStart w:id="15" w:name="_Toc142300680"/>
      <w:r w:rsidRPr="00577995">
        <w:rPr>
          <w:noProof/>
          <w:color w:val="auto"/>
          <w:sz w:val="24"/>
        </w:rPr>
        <w:t>Výhľad týkajúci sa emisií na druhý polrok 2023</w:t>
      </w:r>
      <w:bookmarkEnd w:id="15"/>
    </w:p>
    <w:p w14:paraId="3F70045F" w14:textId="192196E1" w:rsidR="00A450A6" w:rsidRPr="00577995" w:rsidRDefault="00A450A6" w:rsidP="00A450A6">
      <w:pPr>
        <w:spacing w:line="240" w:lineRule="auto"/>
        <w:jc w:val="both"/>
        <w:rPr>
          <w:noProof/>
        </w:rPr>
      </w:pPr>
      <w:r w:rsidRPr="00577995">
        <w:rPr>
          <w:noProof/>
        </w:rPr>
        <w:t>Komisia vydala 28. júna 2023 polročný plán financovania na obdobie od júla do konca decembra 2023.</w:t>
      </w:r>
      <w:r w:rsidR="00577995" w:rsidRPr="00577995">
        <w:rPr>
          <w:noProof/>
        </w:rPr>
        <w:t xml:space="preserve"> V </w:t>
      </w:r>
      <w:r w:rsidRPr="00577995">
        <w:rPr>
          <w:noProof/>
        </w:rPr>
        <w:t>druhom polroku 2023 má Komisia</w:t>
      </w:r>
      <w:r w:rsidR="00577995" w:rsidRPr="00577995">
        <w:rPr>
          <w:noProof/>
        </w:rPr>
        <w:t xml:space="preserve"> v </w:t>
      </w:r>
      <w:r w:rsidRPr="00577995">
        <w:rPr>
          <w:noProof/>
        </w:rPr>
        <w:t>úmysle emitovať dlhopisy EÚ</w:t>
      </w:r>
      <w:r w:rsidR="00577995" w:rsidRPr="00577995">
        <w:rPr>
          <w:noProof/>
        </w:rPr>
        <w:t xml:space="preserve"> v </w:t>
      </w:r>
      <w:r w:rsidRPr="00577995">
        <w:rPr>
          <w:noProof/>
        </w:rPr>
        <w:t>objeme 40 mld. EUR doplnené krátkodobými poukážkami EÚ. Komisia použije tieto finančné prostriedky na financovanie nástroja NextGenerationEU (vrátane možných platieb</w:t>
      </w:r>
      <w:r w:rsidR="00577995" w:rsidRPr="00577995">
        <w:rPr>
          <w:noProof/>
        </w:rPr>
        <w:t xml:space="preserve"> v </w:t>
      </w:r>
      <w:r w:rsidRPr="00577995">
        <w:rPr>
          <w:noProof/>
        </w:rPr>
        <w:t>rámci plánu REPowerEU)</w:t>
      </w:r>
      <w:r w:rsidR="00577995" w:rsidRPr="00577995">
        <w:rPr>
          <w:noProof/>
        </w:rPr>
        <w:t xml:space="preserve"> a </w:t>
      </w:r>
      <w:r w:rsidRPr="00577995">
        <w:rPr>
          <w:noProof/>
        </w:rPr>
        <w:t>nástroja makrofinančnej pomoci+ Ukrajine.</w:t>
      </w:r>
      <w:r w:rsidR="00577995" w:rsidRPr="00577995">
        <w:rPr>
          <w:noProof/>
        </w:rPr>
        <w:t xml:space="preserve"> V </w:t>
      </w:r>
      <w:r w:rsidRPr="00577995">
        <w:rPr>
          <w:noProof/>
        </w:rPr>
        <w:t>rámci existujúcich programov makrofinančnej pomoci</w:t>
      </w:r>
      <w:r w:rsidR="00577995" w:rsidRPr="00577995">
        <w:rPr>
          <w:noProof/>
        </w:rPr>
        <w:t xml:space="preserve"> a </w:t>
      </w:r>
      <w:r w:rsidRPr="00577995">
        <w:rPr>
          <w:noProof/>
        </w:rPr>
        <w:t>EMS sú možné aj ďalšie emisie</w:t>
      </w:r>
      <w:r w:rsidR="00577995" w:rsidRPr="00577995">
        <w:rPr>
          <w:noProof/>
        </w:rPr>
        <w:t xml:space="preserve"> v </w:t>
      </w:r>
      <w:r w:rsidRPr="00577995">
        <w:rPr>
          <w:noProof/>
        </w:rPr>
        <w:t>oveľa menšom rozsahu.</w:t>
      </w:r>
    </w:p>
    <w:p w14:paraId="4764760C" w14:textId="27D39BA1" w:rsidR="00A450A6" w:rsidRPr="00577995" w:rsidRDefault="00A450A6" w:rsidP="00A450A6">
      <w:pPr>
        <w:spacing w:line="240" w:lineRule="auto"/>
        <w:jc w:val="both"/>
        <w:rPr>
          <w:noProof/>
        </w:rPr>
      </w:pPr>
      <w:r w:rsidRPr="00577995">
        <w:rPr>
          <w:noProof/>
        </w:rPr>
        <w:t>Hoci nová emisia na podporu Ukrajiny prostredníctvom finančného nástroja pre Ukrajinu bude zahŕňať dodatočnú emisiu na poskytnutie ďalších úverov Ukrajine, táto emisia sa začne až</w:t>
      </w:r>
      <w:r w:rsidR="00577995" w:rsidRPr="00577995">
        <w:rPr>
          <w:noProof/>
        </w:rPr>
        <w:t xml:space="preserve"> v </w:t>
      </w:r>
      <w:r w:rsidRPr="00577995">
        <w:rPr>
          <w:noProof/>
        </w:rPr>
        <w:t xml:space="preserve">roku 2024 po prijatí právnych predpisov, ktorými sa zriaďuje tento nástroj. </w:t>
      </w:r>
    </w:p>
    <w:p w14:paraId="5569521A" w14:textId="532C8F68" w:rsidR="00855953" w:rsidRPr="00577995" w:rsidRDefault="00855953" w:rsidP="00A450A6">
      <w:pPr>
        <w:spacing w:line="240" w:lineRule="auto"/>
        <w:jc w:val="both"/>
        <w:rPr>
          <w:noProof/>
        </w:rPr>
      </w:pPr>
      <w:r w:rsidRPr="00577995">
        <w:rPr>
          <w:noProof/>
        </w:rPr>
        <w:t>Cieľ financovania na druhý polrok 2023 odráža očakávané potreby vyplácania prostriedkov rôznym prijímateľom, najmä členským štátom EÚ</w:t>
      </w:r>
      <w:r w:rsidR="00577995" w:rsidRPr="00577995">
        <w:rPr>
          <w:noProof/>
        </w:rPr>
        <w:t xml:space="preserve"> v </w:t>
      </w:r>
      <w:r w:rsidRPr="00577995">
        <w:rPr>
          <w:noProof/>
        </w:rPr>
        <w:t>rámci Mechanizmu na podporu obnovy</w:t>
      </w:r>
      <w:r w:rsidR="00577995" w:rsidRPr="00577995">
        <w:rPr>
          <w:noProof/>
        </w:rPr>
        <w:t xml:space="preserve"> a </w:t>
      </w:r>
      <w:r w:rsidRPr="00577995">
        <w:rPr>
          <w:noProof/>
        </w:rPr>
        <w:t>odolnosti. Členské štáty</w:t>
      </w:r>
      <w:r w:rsidR="00577995" w:rsidRPr="00577995">
        <w:rPr>
          <w:noProof/>
        </w:rPr>
        <w:t xml:space="preserve"> v </w:t>
      </w:r>
      <w:r w:rsidRPr="00577995">
        <w:rPr>
          <w:noProof/>
        </w:rPr>
        <w:t>súčasnosti revidujú svoje plány obnovy</w:t>
      </w:r>
      <w:r w:rsidR="00577995" w:rsidRPr="00577995">
        <w:rPr>
          <w:noProof/>
        </w:rPr>
        <w:t xml:space="preserve"> a </w:t>
      </w:r>
      <w:r w:rsidRPr="00577995">
        <w:rPr>
          <w:noProof/>
        </w:rPr>
        <w:t>odolnosti</w:t>
      </w:r>
      <w:r w:rsidR="00577995" w:rsidRPr="00577995">
        <w:rPr>
          <w:noProof/>
        </w:rPr>
        <w:t xml:space="preserve"> s </w:t>
      </w:r>
      <w:r w:rsidRPr="00577995">
        <w:rPr>
          <w:noProof/>
        </w:rPr>
        <w:t>cieľom zohľadniť revidované alokácie nenávratnej podpory, požiadať</w:t>
      </w:r>
      <w:r w:rsidR="00577995" w:rsidRPr="00577995">
        <w:rPr>
          <w:noProof/>
        </w:rPr>
        <w:t xml:space="preserve"> o </w:t>
      </w:r>
      <w:r w:rsidRPr="00577995">
        <w:rPr>
          <w:noProof/>
        </w:rPr>
        <w:t>dodatočné úvery, ak si to želajú, alebo sa prispôsobiť novým prioritám</w:t>
      </w:r>
      <w:r w:rsidR="00577995" w:rsidRPr="00577995">
        <w:rPr>
          <w:noProof/>
        </w:rPr>
        <w:t xml:space="preserve"> a </w:t>
      </w:r>
      <w:r w:rsidRPr="00577995">
        <w:rPr>
          <w:noProof/>
        </w:rPr>
        <w:t>dodatočným možnostiam financovania</w:t>
      </w:r>
      <w:r w:rsidR="00577995" w:rsidRPr="00577995">
        <w:rPr>
          <w:noProof/>
        </w:rPr>
        <w:t xml:space="preserve"> v </w:t>
      </w:r>
      <w:r w:rsidRPr="00577995">
        <w:rPr>
          <w:noProof/>
        </w:rPr>
        <w:t>rámci plánu REPowerEU.</w:t>
      </w:r>
      <w:r w:rsidR="00577995" w:rsidRPr="00577995">
        <w:rPr>
          <w:noProof/>
        </w:rPr>
        <w:t xml:space="preserve"> V </w:t>
      </w:r>
      <w:r w:rsidRPr="00577995">
        <w:rPr>
          <w:noProof/>
        </w:rPr>
        <w:t>tejto súvislosti emisia dlhopisov</w:t>
      </w:r>
      <w:r w:rsidR="00577995" w:rsidRPr="00577995">
        <w:rPr>
          <w:noProof/>
        </w:rPr>
        <w:t xml:space="preserve"> v </w:t>
      </w:r>
      <w:r w:rsidRPr="00577995">
        <w:rPr>
          <w:noProof/>
        </w:rPr>
        <w:t>objeme 40 mld. EUR umožní EÚ zvýšiť požadované sumy</w:t>
      </w:r>
      <w:r w:rsidR="00577995" w:rsidRPr="00577995">
        <w:rPr>
          <w:noProof/>
        </w:rPr>
        <w:t xml:space="preserve"> a </w:t>
      </w:r>
      <w:r w:rsidRPr="00577995">
        <w:rPr>
          <w:noProof/>
        </w:rPr>
        <w:t>zároveň si zachovať pravidelnú prítomnosť na trhu počas druhej polovice roka.</w:t>
      </w:r>
    </w:p>
    <w:p w14:paraId="1C587722" w14:textId="77777777" w:rsidR="007E251D" w:rsidRPr="00577995" w:rsidRDefault="007E251D" w:rsidP="00A450A6">
      <w:pPr>
        <w:spacing w:line="240" w:lineRule="auto"/>
        <w:jc w:val="both"/>
        <w:rPr>
          <w:noProof/>
        </w:rPr>
      </w:pPr>
    </w:p>
    <w:p w14:paraId="72D57FF2" w14:textId="13C98DBF" w:rsidR="003668D8" w:rsidRPr="00577995" w:rsidRDefault="0068361C" w:rsidP="00D3648A">
      <w:pPr>
        <w:pStyle w:val="Heading1"/>
        <w:spacing w:after="200"/>
        <w:contextualSpacing/>
        <w:rPr>
          <w:rFonts w:cs="Times New Roman"/>
          <w:noProof/>
          <w:color w:val="auto"/>
          <w:sz w:val="24"/>
          <w:szCs w:val="24"/>
        </w:rPr>
      </w:pPr>
      <w:bookmarkStart w:id="16" w:name="_Toc142300681"/>
      <w:r w:rsidRPr="00577995">
        <w:rPr>
          <w:noProof/>
          <w:color w:val="auto"/>
          <w:sz w:val="24"/>
        </w:rPr>
        <w:t>Záver</w:t>
      </w:r>
      <w:bookmarkEnd w:id="16"/>
    </w:p>
    <w:p w14:paraId="45E288B9" w14:textId="4E1152D1" w:rsidR="00A450A6" w:rsidRPr="00577995" w:rsidRDefault="004D4B99" w:rsidP="00A450A6">
      <w:pPr>
        <w:spacing w:after="0" w:line="240" w:lineRule="auto"/>
        <w:jc w:val="both"/>
        <w:rPr>
          <w:iCs/>
          <w:noProof/>
        </w:rPr>
      </w:pPr>
      <w:r w:rsidRPr="00577995">
        <w:rPr>
          <w:noProof/>
        </w:rPr>
        <w:t>V prvých šiestich mesiacoch roku 2023 jednotný prístup</w:t>
      </w:r>
      <w:r w:rsidR="00577995" w:rsidRPr="00577995">
        <w:rPr>
          <w:noProof/>
        </w:rPr>
        <w:t xml:space="preserve"> k </w:t>
      </w:r>
      <w:r w:rsidRPr="00577995">
        <w:rPr>
          <w:noProof/>
        </w:rPr>
        <w:t>financovaniu umožnil Komisii získať takmer 80 mld. EUR na účely nástroja NextGenerationEU</w:t>
      </w:r>
      <w:r w:rsidR="00577995" w:rsidRPr="00577995">
        <w:rPr>
          <w:noProof/>
        </w:rPr>
        <w:t xml:space="preserve"> a </w:t>
      </w:r>
      <w:r w:rsidRPr="00577995">
        <w:rPr>
          <w:noProof/>
        </w:rPr>
        <w:t>nástroja makrofinančnej pomoci+ Ukrajine so sadzbami zodpovedajúcimi jej postaveniu na trhu.</w:t>
      </w:r>
      <w:r w:rsidR="00577995" w:rsidRPr="00577995">
        <w:rPr>
          <w:noProof/>
        </w:rPr>
        <w:t xml:space="preserve"> K </w:t>
      </w:r>
      <w:r w:rsidRPr="00577995">
        <w:rPr>
          <w:noProof/>
        </w:rPr>
        <w:t>30. júnu 2023 sa</w:t>
      </w:r>
      <w:r w:rsidR="00577995" w:rsidRPr="00577995">
        <w:rPr>
          <w:noProof/>
        </w:rPr>
        <w:t xml:space="preserve"> v </w:t>
      </w:r>
      <w:r w:rsidRPr="00577995">
        <w:rPr>
          <w:noProof/>
        </w:rPr>
        <w:t>rámci jednotného prístupu</w:t>
      </w:r>
      <w:r w:rsidR="00577995" w:rsidRPr="00577995">
        <w:rPr>
          <w:noProof/>
        </w:rPr>
        <w:t xml:space="preserve"> k </w:t>
      </w:r>
      <w:r w:rsidRPr="00577995">
        <w:rPr>
          <w:noProof/>
        </w:rPr>
        <w:t>financovaniu</w:t>
      </w:r>
      <w:r w:rsidR="00577995" w:rsidRPr="00577995">
        <w:rPr>
          <w:noProof/>
        </w:rPr>
        <w:t xml:space="preserve"> s </w:t>
      </w:r>
      <w:r w:rsidRPr="00577995">
        <w:rPr>
          <w:noProof/>
        </w:rPr>
        <w:t>cieľom financovať nástroj NextGenerationEU</w:t>
      </w:r>
      <w:r w:rsidR="00577995" w:rsidRPr="00577995">
        <w:rPr>
          <w:noProof/>
        </w:rPr>
        <w:t xml:space="preserve"> a </w:t>
      </w:r>
      <w:r w:rsidRPr="00577995">
        <w:rPr>
          <w:noProof/>
        </w:rPr>
        <w:t>nástroj makrofinančnej pomoci+ Ukrajine získalo takmer 250 mld. EUR. Prítomnosť veľkých zostatkov na prahu druhej polovice roka spolu</w:t>
      </w:r>
      <w:r w:rsidR="00577995" w:rsidRPr="00577995">
        <w:rPr>
          <w:noProof/>
        </w:rPr>
        <w:t xml:space="preserve"> s </w:t>
      </w:r>
      <w:r w:rsidRPr="00577995">
        <w:rPr>
          <w:noProof/>
        </w:rPr>
        <w:t>dočasným spomalením tempa vyplácania prostriedkov, keďže členské štáty revidujú svoje plány obnovy</w:t>
      </w:r>
      <w:r w:rsidR="00577995" w:rsidRPr="00577995">
        <w:rPr>
          <w:noProof/>
        </w:rPr>
        <w:t xml:space="preserve"> a </w:t>
      </w:r>
      <w:r w:rsidRPr="00577995">
        <w:rPr>
          <w:noProof/>
        </w:rPr>
        <w:t>odolnosti, sa odzrkadľuje</w:t>
      </w:r>
      <w:r w:rsidR="00577995" w:rsidRPr="00577995">
        <w:rPr>
          <w:noProof/>
        </w:rPr>
        <w:t xml:space="preserve"> v </w:t>
      </w:r>
      <w:r w:rsidRPr="00577995">
        <w:rPr>
          <w:noProof/>
        </w:rPr>
        <w:t>nižšej plánovanej emisii dlhopisov (40 mld. EUR)</w:t>
      </w:r>
      <w:r w:rsidR="00577995" w:rsidRPr="00577995">
        <w:rPr>
          <w:noProof/>
        </w:rPr>
        <w:t xml:space="preserve"> v </w:t>
      </w:r>
      <w:r w:rsidRPr="00577995">
        <w:rPr>
          <w:noProof/>
        </w:rPr>
        <w:t xml:space="preserve">druhej polovici roka. </w:t>
      </w:r>
    </w:p>
    <w:p w14:paraId="1EA3EC5D" w14:textId="77777777" w:rsidR="00A450A6" w:rsidRPr="00577995" w:rsidRDefault="00A450A6" w:rsidP="00A450A6">
      <w:pPr>
        <w:spacing w:after="0" w:line="240" w:lineRule="auto"/>
        <w:jc w:val="both"/>
        <w:rPr>
          <w:iCs/>
          <w:noProof/>
        </w:rPr>
      </w:pPr>
    </w:p>
    <w:p w14:paraId="11AF6662" w14:textId="11CCFC13" w:rsidR="00A450A6" w:rsidRPr="00577995" w:rsidRDefault="00A450A6" w:rsidP="00A450A6">
      <w:pPr>
        <w:spacing w:after="0" w:line="240" w:lineRule="auto"/>
        <w:jc w:val="both"/>
        <w:rPr>
          <w:iCs/>
          <w:noProof/>
        </w:rPr>
      </w:pPr>
      <w:r w:rsidRPr="00577995">
        <w:rPr>
          <w:noProof/>
        </w:rPr>
        <w:t>V prvom polroku 2023 sa úrokové sadzby mierne zvýšili,</w:t>
      </w:r>
      <w:r w:rsidR="00577995" w:rsidRPr="00577995">
        <w:rPr>
          <w:noProof/>
        </w:rPr>
        <w:t xml:space="preserve"> a </w:t>
      </w:r>
      <w:r w:rsidRPr="00577995">
        <w:rPr>
          <w:noProof/>
        </w:rPr>
        <w:t>to nielen pre EÚ, ale pre všetkých (štátnych) emitentov. Tempo zvyšovania je pomalšie ako</w:t>
      </w:r>
      <w:r w:rsidR="00577995" w:rsidRPr="00577995">
        <w:rPr>
          <w:noProof/>
        </w:rPr>
        <w:t xml:space="preserve"> v </w:t>
      </w:r>
      <w:r w:rsidRPr="00577995">
        <w:rPr>
          <w:noProof/>
        </w:rPr>
        <w:t>minulom roku</w:t>
      </w:r>
      <w:r w:rsidR="00577995" w:rsidRPr="00577995">
        <w:rPr>
          <w:noProof/>
        </w:rPr>
        <w:t xml:space="preserve"> a </w:t>
      </w:r>
      <w:r w:rsidRPr="00577995">
        <w:rPr>
          <w:noProof/>
        </w:rPr>
        <w:t>sadzby sa začali stabilizovať, keďže podľa očakávaní na trhoch sa zvyšovanie sadzieb centrálnych bánk, ktoré bolo potrebné na zmiernenie inflácie,</w:t>
      </w:r>
      <w:r w:rsidR="00577995" w:rsidRPr="00577995">
        <w:rPr>
          <w:noProof/>
        </w:rPr>
        <w:t xml:space="preserve"> z </w:t>
      </w:r>
      <w:r w:rsidRPr="00577995">
        <w:rPr>
          <w:noProof/>
        </w:rPr>
        <w:t>veľkej časti už skončilo.</w:t>
      </w:r>
      <w:r w:rsidR="00577995" w:rsidRPr="00577995">
        <w:rPr>
          <w:noProof/>
        </w:rPr>
        <w:t xml:space="preserve"> V </w:t>
      </w:r>
      <w:r w:rsidRPr="00577995">
        <w:rPr>
          <w:noProof/>
        </w:rPr>
        <w:t>tomto období sa zaznamenala značná volatilita</w:t>
      </w:r>
      <w:r w:rsidR="00577995" w:rsidRPr="00577995">
        <w:rPr>
          <w:noProof/>
        </w:rPr>
        <w:t xml:space="preserve"> v </w:t>
      </w:r>
      <w:r w:rsidRPr="00577995">
        <w:rPr>
          <w:noProof/>
        </w:rPr>
        <w:t>reakcii na meniace sa očakávania trhu týkajúce sa ďalšieho zvyšovania sadzieb. Toto obdobie sa vyznačovalo veľkým</w:t>
      </w:r>
      <w:r w:rsidR="00577995" w:rsidRPr="00577995">
        <w:rPr>
          <w:noProof/>
        </w:rPr>
        <w:t xml:space="preserve"> a </w:t>
      </w:r>
      <w:r w:rsidRPr="00577995">
        <w:rPr>
          <w:noProof/>
        </w:rPr>
        <w:t>konštantným dopytom investorov po emisii dlhopisov EÚ,</w:t>
      </w:r>
      <w:r w:rsidR="00577995" w:rsidRPr="00577995">
        <w:rPr>
          <w:noProof/>
        </w:rPr>
        <w:t xml:space="preserve"> a </w:t>
      </w:r>
      <w:r w:rsidRPr="00577995">
        <w:rPr>
          <w:noProof/>
        </w:rPr>
        <w:t>to aj napriek volatilite trhu.</w:t>
      </w:r>
    </w:p>
    <w:p w14:paraId="10F772BB" w14:textId="77777777" w:rsidR="00A450A6" w:rsidRPr="00577995" w:rsidRDefault="00A450A6" w:rsidP="00A450A6">
      <w:pPr>
        <w:spacing w:after="0" w:line="240" w:lineRule="auto"/>
        <w:jc w:val="both"/>
        <w:rPr>
          <w:iCs/>
          <w:noProof/>
        </w:rPr>
      </w:pPr>
    </w:p>
    <w:p w14:paraId="7FF91B17" w14:textId="33EF7240" w:rsidR="00A450A6" w:rsidRPr="00577995" w:rsidRDefault="00A450A6" w:rsidP="00A450A6">
      <w:pPr>
        <w:spacing w:after="0" w:line="240" w:lineRule="auto"/>
        <w:jc w:val="both"/>
        <w:rPr>
          <w:iCs/>
          <w:noProof/>
        </w:rPr>
      </w:pPr>
      <w:r w:rsidRPr="00577995">
        <w:rPr>
          <w:noProof/>
        </w:rPr>
        <w:t>Trhové zvyklosti, podľa ktorých sa oceňovanie</w:t>
      </w:r>
      <w:r w:rsidR="00577995" w:rsidRPr="00577995">
        <w:rPr>
          <w:noProof/>
        </w:rPr>
        <w:t xml:space="preserve"> v </w:t>
      </w:r>
      <w:r w:rsidRPr="00577995">
        <w:rPr>
          <w:noProof/>
        </w:rPr>
        <w:t>súvislosti</w:t>
      </w:r>
      <w:r w:rsidR="00577995" w:rsidRPr="00577995">
        <w:rPr>
          <w:noProof/>
        </w:rPr>
        <w:t xml:space="preserve"> s </w:t>
      </w:r>
      <w:r w:rsidRPr="00577995">
        <w:rPr>
          <w:noProof/>
        </w:rPr>
        <w:t>EÚ uskutočňuje na základe swapovej krivky, vedú</w:t>
      </w:r>
      <w:r w:rsidR="00577995" w:rsidRPr="00577995">
        <w:rPr>
          <w:noProof/>
        </w:rPr>
        <w:t xml:space="preserve"> k </w:t>
      </w:r>
      <w:r w:rsidRPr="00577995">
        <w:rPr>
          <w:noProof/>
        </w:rPr>
        <w:t>tomu, že EÚ platí ážio nad rámec sadzieb platených štátnymi emitentmi európskych štátnych dlhopisov. To zhoršilo príslušný nárast trhových sadzieb. Nový jednotný prístup</w:t>
      </w:r>
      <w:r w:rsidR="00577995" w:rsidRPr="00577995">
        <w:rPr>
          <w:noProof/>
        </w:rPr>
        <w:t xml:space="preserve"> k </w:t>
      </w:r>
      <w:r w:rsidRPr="00577995">
        <w:rPr>
          <w:noProof/>
        </w:rPr>
        <w:t>financovaniu emisii dlhopisov EÚ je významným krokom vpred pri konsolidácii prítomnosti EÚ na trhu. Komisia však podniká ďalšie kroky na podporu oceňovania dlhopisov EÚ</w:t>
      </w:r>
      <w:r w:rsidR="00577995" w:rsidRPr="00577995">
        <w:rPr>
          <w:noProof/>
        </w:rPr>
        <w:t xml:space="preserve"> v </w:t>
      </w:r>
      <w:r w:rsidRPr="00577995">
        <w:rPr>
          <w:noProof/>
        </w:rPr>
        <w:t>súlade</w:t>
      </w:r>
      <w:r w:rsidR="00577995" w:rsidRPr="00577995">
        <w:rPr>
          <w:noProof/>
        </w:rPr>
        <w:t xml:space="preserve"> s </w:t>
      </w:r>
      <w:r w:rsidRPr="00577995">
        <w:rPr>
          <w:noProof/>
        </w:rPr>
        <w:t>oceňovaním dlhopisov štátnych emitentov</w:t>
      </w:r>
      <w:r w:rsidR="00577995" w:rsidRPr="00577995">
        <w:rPr>
          <w:noProof/>
        </w:rPr>
        <w:t xml:space="preserve"> s </w:t>
      </w:r>
      <w:r w:rsidRPr="00577995">
        <w:rPr>
          <w:noProof/>
        </w:rPr>
        <w:t>vysokým ratingom</w:t>
      </w:r>
      <w:r w:rsidR="00577995" w:rsidRPr="00577995">
        <w:rPr>
          <w:noProof/>
        </w:rPr>
        <w:t xml:space="preserve"> s </w:t>
      </w:r>
      <w:r w:rsidRPr="00577995">
        <w:rPr>
          <w:noProof/>
        </w:rPr>
        <w:t>cieľom znížiť ážio, ktoré platí pri ich emisii. Tieto opatrenia zahŕňajú systém cenových ponúk, ktorý má začať fungovať na jeseň tohto roku,</w:t>
      </w:r>
      <w:r w:rsidR="00577995" w:rsidRPr="00577995">
        <w:rPr>
          <w:noProof/>
        </w:rPr>
        <w:t xml:space="preserve"> a </w:t>
      </w:r>
      <w:r w:rsidRPr="00577995">
        <w:rPr>
          <w:noProof/>
        </w:rPr>
        <w:t>zriadenie repo nástroja (v polovici roka 2024). Zároveň sa trh vyzýva, aby zlepšil používanie dlhopisov EÚ ako kolaterálu</w:t>
      </w:r>
      <w:r w:rsidR="00577995" w:rsidRPr="00577995">
        <w:rPr>
          <w:noProof/>
        </w:rPr>
        <w:t xml:space="preserve"> a </w:t>
      </w:r>
      <w:r w:rsidRPr="00577995">
        <w:rPr>
          <w:noProof/>
        </w:rPr>
        <w:t>uznal, že si vyžadujú začlenenie do indexov trhu so štátnymi dlhopismi.</w:t>
      </w:r>
    </w:p>
    <w:p w14:paraId="1291332D" w14:textId="77777777" w:rsidR="00A450A6" w:rsidRPr="00577995" w:rsidRDefault="00A450A6" w:rsidP="00A450A6">
      <w:pPr>
        <w:spacing w:after="0" w:line="240" w:lineRule="auto"/>
        <w:jc w:val="both"/>
        <w:rPr>
          <w:noProof/>
        </w:rPr>
      </w:pPr>
    </w:p>
    <w:p w14:paraId="6DE22895" w14:textId="7151074A" w:rsidR="004A0271" w:rsidRPr="00577995" w:rsidRDefault="00A450A6" w:rsidP="000123E4">
      <w:pPr>
        <w:spacing w:line="240" w:lineRule="auto"/>
        <w:jc w:val="both"/>
        <w:rPr>
          <w:noProof/>
        </w:rPr>
      </w:pPr>
      <w:r w:rsidRPr="00577995">
        <w:rPr>
          <w:noProof/>
        </w:rPr>
        <w:t>Závery</w:t>
      </w:r>
      <w:r w:rsidR="00577995" w:rsidRPr="00577995">
        <w:rPr>
          <w:noProof/>
        </w:rPr>
        <w:t xml:space="preserve"> a </w:t>
      </w:r>
      <w:r w:rsidRPr="00577995">
        <w:rPr>
          <w:noProof/>
        </w:rPr>
        <w:t>odporúčania uvedené</w:t>
      </w:r>
      <w:r w:rsidR="00577995" w:rsidRPr="00577995">
        <w:rPr>
          <w:noProof/>
        </w:rPr>
        <w:t xml:space="preserve"> v </w:t>
      </w:r>
      <w:r w:rsidRPr="00577995">
        <w:rPr>
          <w:noProof/>
        </w:rPr>
        <w:t>osobitnej správe EDA týkajúce sa operácií riadenia dlhu</w:t>
      </w:r>
      <w:r w:rsidR="00577995" w:rsidRPr="00577995">
        <w:rPr>
          <w:noProof/>
        </w:rPr>
        <w:t xml:space="preserve"> v </w:t>
      </w:r>
      <w:r w:rsidRPr="00577995">
        <w:rPr>
          <w:noProof/>
        </w:rPr>
        <w:t>rámci nástroja NextGenerationEU sú vítanými vstupmi pre úsilie Komisie</w:t>
      </w:r>
      <w:r w:rsidR="00577995" w:rsidRPr="00577995">
        <w:rPr>
          <w:noProof/>
        </w:rPr>
        <w:t xml:space="preserve"> o </w:t>
      </w:r>
      <w:r w:rsidRPr="00577995">
        <w:rPr>
          <w:noProof/>
        </w:rPr>
        <w:t>zlepšenie postavenia EÚ na európskych kapitálových trhoch. Komisia už pracuje na včasnom vykonávaní odporúčaní, pričom prvým krokom sú ciele</w:t>
      </w:r>
      <w:r w:rsidR="00577995" w:rsidRPr="00577995">
        <w:rPr>
          <w:noProof/>
        </w:rPr>
        <w:t xml:space="preserve"> a </w:t>
      </w:r>
      <w:r w:rsidRPr="00577995">
        <w:rPr>
          <w:noProof/>
        </w:rPr>
        <w:t>ukazovatele opísané</w:t>
      </w:r>
      <w:r w:rsidR="00577995" w:rsidRPr="00577995">
        <w:rPr>
          <w:noProof/>
        </w:rPr>
        <w:t xml:space="preserve"> v </w:t>
      </w:r>
      <w:r w:rsidRPr="00577995">
        <w:rPr>
          <w:noProof/>
        </w:rPr>
        <w:t>prílohe</w:t>
      </w:r>
      <w:r w:rsidR="00577995" w:rsidRPr="00577995">
        <w:rPr>
          <w:noProof/>
        </w:rPr>
        <w:t xml:space="preserve"> k </w:t>
      </w:r>
      <w:r w:rsidRPr="00577995">
        <w:rPr>
          <w:noProof/>
        </w:rPr>
        <w:t xml:space="preserve">tejto správe. </w:t>
      </w:r>
    </w:p>
    <w:p w14:paraId="7757AB37" w14:textId="77777777" w:rsidR="007E251D" w:rsidRPr="00577995" w:rsidRDefault="007E251D">
      <w:pPr>
        <w:spacing w:after="160" w:line="259" w:lineRule="auto"/>
        <w:rPr>
          <w:b/>
          <w:bCs/>
          <w:noProof/>
        </w:rPr>
      </w:pPr>
      <w:r w:rsidRPr="00577995">
        <w:rPr>
          <w:noProof/>
        </w:rPr>
        <w:br w:type="page"/>
      </w:r>
    </w:p>
    <w:p w14:paraId="7ABE2925" w14:textId="08158DFD" w:rsidR="00A046A3" w:rsidRPr="00577995" w:rsidRDefault="001401DA" w:rsidP="00B12D15">
      <w:pPr>
        <w:pStyle w:val="Heading1"/>
        <w:numPr>
          <w:ilvl w:val="0"/>
          <w:numId w:val="0"/>
        </w:numPr>
        <w:spacing w:after="200"/>
        <w:contextualSpacing/>
        <w:rPr>
          <w:rFonts w:cs="Times New Roman"/>
          <w:noProof/>
          <w:color w:val="auto"/>
          <w:sz w:val="24"/>
          <w:szCs w:val="24"/>
        </w:rPr>
      </w:pPr>
      <w:bookmarkStart w:id="17" w:name="_Toc142300682"/>
      <w:r w:rsidRPr="00577995">
        <w:rPr>
          <w:noProof/>
          <w:color w:val="auto"/>
          <w:sz w:val="24"/>
        </w:rPr>
        <w:t>Príloha: Stratégia financovania EÚ – ciele, prostriedky</w:t>
      </w:r>
      <w:r w:rsidR="00577995" w:rsidRPr="00577995">
        <w:rPr>
          <w:noProof/>
          <w:color w:val="auto"/>
          <w:sz w:val="24"/>
        </w:rPr>
        <w:t xml:space="preserve"> a </w:t>
      </w:r>
      <w:r w:rsidRPr="00577995">
        <w:rPr>
          <w:noProof/>
          <w:color w:val="auto"/>
          <w:sz w:val="24"/>
        </w:rPr>
        <w:t>ukazovatele vykonávania</w:t>
      </w:r>
      <w:bookmarkEnd w:id="17"/>
    </w:p>
    <w:p w14:paraId="1337D809" w14:textId="77777777" w:rsidR="00A046A3" w:rsidRPr="00577995" w:rsidRDefault="00A046A3" w:rsidP="00BE1D7D">
      <w:pPr>
        <w:spacing w:line="240" w:lineRule="auto"/>
        <w:contextualSpacing/>
        <w:rPr>
          <w:b/>
          <w:i/>
          <w:iCs/>
          <w:noProof/>
        </w:rPr>
      </w:pPr>
      <w:r w:rsidRPr="00577995">
        <w:rPr>
          <w:b/>
          <w:i/>
          <w:noProof/>
        </w:rPr>
        <w:t>Účel tejto prílohy</w:t>
      </w:r>
    </w:p>
    <w:p w14:paraId="25DC9324" w14:textId="5E2A3A3F" w:rsidR="00645FB5" w:rsidRPr="00577995" w:rsidRDefault="00A046A3" w:rsidP="00BE1D7D">
      <w:pPr>
        <w:spacing w:line="240" w:lineRule="auto"/>
        <w:contextualSpacing/>
        <w:jc w:val="both"/>
        <w:rPr>
          <w:noProof/>
        </w:rPr>
      </w:pPr>
      <w:r w:rsidRPr="00577995">
        <w:rPr>
          <w:noProof/>
        </w:rPr>
        <w:t>V tejto prílohe sa stanovujú hlavné ciele, ktorými sa riadi Komisia pri vykonávaní diverzifikovanej stratégie financovania zameranej na financovanie všetkých programov týkajúcich sa vypožičiavania si prostriedkov</w:t>
      </w:r>
      <w:r w:rsidR="00577995" w:rsidRPr="00577995">
        <w:rPr>
          <w:noProof/>
        </w:rPr>
        <w:t xml:space="preserve"> a </w:t>
      </w:r>
      <w:r w:rsidRPr="00577995">
        <w:rPr>
          <w:noProof/>
        </w:rPr>
        <w:t>poskytovania úverov EÚ (t. j. jednotný prístup</w:t>
      </w:r>
      <w:r w:rsidR="00577995" w:rsidRPr="00577995">
        <w:rPr>
          <w:noProof/>
        </w:rPr>
        <w:t xml:space="preserve"> k </w:t>
      </w:r>
      <w:r w:rsidRPr="00577995">
        <w:rPr>
          <w:noProof/>
        </w:rPr>
        <w:t>financovaniu). Uvádza sa</w:t>
      </w:r>
      <w:r w:rsidR="00577995" w:rsidRPr="00577995">
        <w:rPr>
          <w:noProof/>
        </w:rPr>
        <w:t xml:space="preserve"> v </w:t>
      </w:r>
      <w:r w:rsidRPr="00577995">
        <w:rPr>
          <w:noProof/>
        </w:rPr>
        <w:t>nej súbor ukazovateľov na sledovanie vykonávania kľúčových aspektov stratégie, konkrétne emisie dlhopisov, emisie poukážok, riadenia likvidity</w:t>
      </w:r>
      <w:r w:rsidR="00577995" w:rsidRPr="00577995">
        <w:rPr>
          <w:noProof/>
        </w:rPr>
        <w:t xml:space="preserve"> a </w:t>
      </w:r>
      <w:r w:rsidRPr="00577995">
        <w:rPr>
          <w:noProof/>
        </w:rPr>
        <w:t>komunikácie.</w:t>
      </w:r>
    </w:p>
    <w:p w14:paraId="0408D494" w14:textId="77777777" w:rsidR="00BE1D7D" w:rsidRPr="00577995" w:rsidRDefault="00BE1D7D" w:rsidP="00BE1D7D">
      <w:pPr>
        <w:spacing w:line="240" w:lineRule="auto"/>
        <w:contextualSpacing/>
        <w:jc w:val="both"/>
        <w:rPr>
          <w:noProof/>
        </w:rPr>
      </w:pPr>
    </w:p>
    <w:p w14:paraId="7CC7174A" w14:textId="6CF53FDC" w:rsidR="00A046A3" w:rsidRPr="00577995" w:rsidRDefault="00A046A3" w:rsidP="00BE1D7D">
      <w:pPr>
        <w:spacing w:line="240" w:lineRule="auto"/>
        <w:contextualSpacing/>
        <w:jc w:val="both"/>
        <w:rPr>
          <w:b/>
          <w:i/>
          <w:noProof/>
        </w:rPr>
      </w:pPr>
      <w:r w:rsidRPr="00577995">
        <w:rPr>
          <w:b/>
          <w:i/>
          <w:noProof/>
        </w:rPr>
        <w:t>Ciele financovania EÚ</w:t>
      </w:r>
    </w:p>
    <w:p w14:paraId="7CD57740" w14:textId="13A685FB" w:rsidR="00A046A3" w:rsidRPr="00577995" w:rsidRDefault="00A046A3" w:rsidP="00BE1D7D">
      <w:pPr>
        <w:spacing w:line="240" w:lineRule="auto"/>
        <w:contextualSpacing/>
        <w:jc w:val="both"/>
        <w:rPr>
          <w:noProof/>
        </w:rPr>
      </w:pPr>
      <w:r w:rsidRPr="00577995">
        <w:rPr>
          <w:noProof/>
        </w:rPr>
        <w:t>Komisia je na základe právneho rámca EÚ splnomocnená vypožičiavať si prostriedky na medzinárodných kapitálových trhoch</w:t>
      </w:r>
      <w:r w:rsidR="00577995" w:rsidRPr="00577995">
        <w:rPr>
          <w:noProof/>
        </w:rPr>
        <w:t xml:space="preserve"> v </w:t>
      </w:r>
      <w:r w:rsidRPr="00577995">
        <w:rPr>
          <w:noProof/>
        </w:rPr>
        <w:t>mene EÚ</w:t>
      </w:r>
      <w:r w:rsidR="00577995" w:rsidRPr="00577995">
        <w:rPr>
          <w:noProof/>
        </w:rPr>
        <w:t xml:space="preserve"> v </w:t>
      </w:r>
      <w:r w:rsidRPr="00577995">
        <w:rPr>
          <w:noProof/>
        </w:rPr>
        <w:t>záujme vykonávania osobitných programov EÚ.</w:t>
      </w:r>
      <w:r w:rsidR="00577995" w:rsidRPr="00577995">
        <w:rPr>
          <w:noProof/>
        </w:rPr>
        <w:t xml:space="preserve"> V </w:t>
      </w:r>
      <w:r w:rsidRPr="00577995">
        <w:rPr>
          <w:noProof/>
        </w:rPr>
        <w:t>právnych predpisoch, ktorými sa stanovujú tieto programy, sa uvádzajú sumy</w:t>
      </w:r>
      <w:r w:rsidR="00577995" w:rsidRPr="00577995">
        <w:rPr>
          <w:noProof/>
        </w:rPr>
        <w:t xml:space="preserve"> a </w:t>
      </w:r>
      <w:r w:rsidRPr="00577995">
        <w:rPr>
          <w:noProof/>
        </w:rPr>
        <w:t>časové rámce,</w:t>
      </w:r>
      <w:r w:rsidR="00577995" w:rsidRPr="00577995">
        <w:rPr>
          <w:noProof/>
        </w:rPr>
        <w:t xml:space="preserve"> v </w:t>
      </w:r>
      <w:r w:rsidRPr="00577995">
        <w:rPr>
          <w:noProof/>
        </w:rPr>
        <w:t>ktorých by sa mali sumy získať,</w:t>
      </w:r>
      <w:r w:rsidR="00577995" w:rsidRPr="00577995">
        <w:rPr>
          <w:noProof/>
        </w:rPr>
        <w:t xml:space="preserve"> a </w:t>
      </w:r>
      <w:r w:rsidRPr="00577995">
        <w:rPr>
          <w:noProof/>
        </w:rPr>
        <w:t>stanovujú sa pravidlá používania výnosov. Pri získavaní finančných prostriedkov</w:t>
      </w:r>
      <w:r w:rsidR="00577995" w:rsidRPr="00577995">
        <w:rPr>
          <w:noProof/>
        </w:rPr>
        <w:t xml:space="preserve"> v </w:t>
      </w:r>
      <w:r w:rsidRPr="00577995">
        <w:rPr>
          <w:noProof/>
        </w:rPr>
        <w:t>tomto rámci má Komisia dva hlavné ciele:</w:t>
      </w:r>
    </w:p>
    <w:p w14:paraId="244CDEBE" w14:textId="7E1E1010" w:rsidR="00A046A3" w:rsidRPr="00577995" w:rsidRDefault="00A046A3" w:rsidP="00BB3A2B">
      <w:pPr>
        <w:pStyle w:val="ListParagraph"/>
        <w:numPr>
          <w:ilvl w:val="0"/>
          <w:numId w:val="8"/>
        </w:numPr>
        <w:spacing w:line="240" w:lineRule="auto"/>
        <w:ind w:left="360"/>
        <w:jc w:val="both"/>
        <w:rPr>
          <w:rFonts w:ascii="Times New Roman" w:hAnsi="Times New Roman" w:cs="Times New Roman"/>
          <w:noProof/>
          <w:sz w:val="24"/>
          <w:szCs w:val="24"/>
        </w:rPr>
      </w:pPr>
      <w:r w:rsidRPr="00577995">
        <w:rPr>
          <w:rFonts w:ascii="Times New Roman" w:hAnsi="Times New Roman"/>
          <w:b/>
          <w:noProof/>
          <w:sz w:val="24"/>
        </w:rPr>
        <w:t>účinnosť</w:t>
      </w:r>
      <w:r w:rsidRPr="00577995">
        <w:rPr>
          <w:rFonts w:ascii="Times New Roman" w:hAnsi="Times New Roman"/>
          <w:noProof/>
          <w:sz w:val="24"/>
        </w:rPr>
        <w:t>: zabezpečiť, aby EÚ bola schopná splniť záväzky</w:t>
      </w:r>
      <w:r w:rsidR="00577995" w:rsidRPr="00577995">
        <w:rPr>
          <w:rFonts w:ascii="Times New Roman" w:hAnsi="Times New Roman"/>
          <w:noProof/>
          <w:sz w:val="24"/>
        </w:rPr>
        <w:t xml:space="preserve"> v </w:t>
      </w:r>
      <w:r w:rsidRPr="00577995">
        <w:rPr>
          <w:rFonts w:ascii="Times New Roman" w:hAnsi="Times New Roman"/>
          <w:noProof/>
          <w:sz w:val="24"/>
        </w:rPr>
        <w:t>rámci súvisiacich programov finančnej pomoci</w:t>
      </w:r>
      <w:r w:rsidR="00577995" w:rsidRPr="00577995">
        <w:rPr>
          <w:rFonts w:ascii="Times New Roman" w:hAnsi="Times New Roman"/>
          <w:noProof/>
          <w:sz w:val="24"/>
        </w:rPr>
        <w:t xml:space="preserve"> v </w:t>
      </w:r>
      <w:r w:rsidRPr="00577995">
        <w:rPr>
          <w:rFonts w:ascii="Times New Roman" w:hAnsi="Times New Roman"/>
          <w:noProof/>
          <w:sz w:val="24"/>
        </w:rPr>
        <w:t xml:space="preserve">čase ich splatnosti, </w:t>
      </w:r>
    </w:p>
    <w:p w14:paraId="3409E8AE" w14:textId="77777777" w:rsidR="00A046A3" w:rsidRPr="00577995" w:rsidRDefault="00A046A3" w:rsidP="00BE1D7D">
      <w:pPr>
        <w:pStyle w:val="ListParagraph"/>
        <w:spacing w:line="240" w:lineRule="auto"/>
        <w:ind w:left="0"/>
        <w:jc w:val="both"/>
        <w:rPr>
          <w:rFonts w:ascii="Times New Roman" w:hAnsi="Times New Roman" w:cs="Times New Roman"/>
          <w:noProof/>
          <w:sz w:val="24"/>
          <w:szCs w:val="24"/>
        </w:rPr>
      </w:pPr>
    </w:p>
    <w:p w14:paraId="5D127178" w14:textId="5F6232B7" w:rsidR="00645FB5" w:rsidRPr="00577995" w:rsidRDefault="00A046A3" w:rsidP="00BB3A2B">
      <w:pPr>
        <w:pStyle w:val="ListParagraph"/>
        <w:numPr>
          <w:ilvl w:val="0"/>
          <w:numId w:val="8"/>
        </w:numPr>
        <w:spacing w:line="240" w:lineRule="auto"/>
        <w:ind w:left="360"/>
        <w:jc w:val="both"/>
        <w:rPr>
          <w:rFonts w:ascii="Times New Roman" w:hAnsi="Times New Roman" w:cs="Times New Roman"/>
          <w:noProof/>
          <w:sz w:val="24"/>
          <w:szCs w:val="24"/>
        </w:rPr>
      </w:pPr>
      <w:r w:rsidRPr="00577995">
        <w:rPr>
          <w:rFonts w:ascii="Times New Roman" w:hAnsi="Times New Roman"/>
          <w:b/>
          <w:noProof/>
          <w:sz w:val="24"/>
        </w:rPr>
        <w:t>efektívnosť</w:t>
      </w:r>
      <w:r w:rsidRPr="00577995">
        <w:rPr>
          <w:rFonts w:ascii="Times New Roman" w:hAnsi="Times New Roman"/>
          <w:noProof/>
          <w:sz w:val="24"/>
        </w:rPr>
        <w:t>: získať najvýhodnejšie finančné podmienky pre EÚ</w:t>
      </w:r>
      <w:r w:rsidR="00577995" w:rsidRPr="00577995">
        <w:rPr>
          <w:rFonts w:ascii="Times New Roman" w:hAnsi="Times New Roman"/>
          <w:noProof/>
          <w:sz w:val="24"/>
        </w:rPr>
        <w:t xml:space="preserve"> v </w:t>
      </w:r>
      <w:r w:rsidRPr="00577995">
        <w:rPr>
          <w:rFonts w:ascii="Times New Roman" w:hAnsi="Times New Roman"/>
          <w:noProof/>
          <w:sz w:val="24"/>
        </w:rPr>
        <w:t>strednodobom až dlhodobom horizonte:</w:t>
      </w:r>
    </w:p>
    <w:p w14:paraId="27980341" w14:textId="77777777" w:rsidR="00645FB5" w:rsidRPr="00577995" w:rsidRDefault="00645FB5" w:rsidP="00F154AA">
      <w:pPr>
        <w:pStyle w:val="ListParagraph"/>
        <w:ind w:left="1020"/>
        <w:rPr>
          <w:rFonts w:ascii="Times New Roman" w:hAnsi="Times New Roman" w:cs="Times New Roman"/>
          <w:noProof/>
          <w:sz w:val="24"/>
          <w:szCs w:val="24"/>
        </w:rPr>
      </w:pPr>
    </w:p>
    <w:p w14:paraId="4414D49D" w14:textId="79BF0D07" w:rsidR="00645FB5" w:rsidRPr="00577995" w:rsidRDefault="00645FB5" w:rsidP="00BB3A2B">
      <w:pPr>
        <w:pStyle w:val="ListParagraph"/>
        <w:numPr>
          <w:ilvl w:val="1"/>
          <w:numId w:val="8"/>
        </w:numPr>
        <w:spacing w:line="240" w:lineRule="auto"/>
        <w:ind w:left="1020"/>
        <w:jc w:val="both"/>
        <w:rPr>
          <w:rFonts w:ascii="Times New Roman" w:hAnsi="Times New Roman" w:cs="Times New Roman"/>
          <w:noProof/>
          <w:sz w:val="24"/>
          <w:szCs w:val="24"/>
        </w:rPr>
      </w:pPr>
      <w:r w:rsidRPr="00577995">
        <w:rPr>
          <w:rFonts w:ascii="Times New Roman" w:hAnsi="Times New Roman"/>
          <w:noProof/>
          <w:sz w:val="24"/>
        </w:rPr>
        <w:t>prostredníctvom riadneho plánovania</w:t>
      </w:r>
      <w:r w:rsidR="00577995" w:rsidRPr="00577995">
        <w:rPr>
          <w:rFonts w:ascii="Times New Roman" w:hAnsi="Times New Roman"/>
          <w:noProof/>
          <w:sz w:val="24"/>
        </w:rPr>
        <w:t xml:space="preserve"> a </w:t>
      </w:r>
      <w:r w:rsidRPr="00577995">
        <w:rPr>
          <w:rFonts w:ascii="Times New Roman" w:hAnsi="Times New Roman"/>
          <w:noProof/>
          <w:sz w:val="24"/>
        </w:rPr>
        <w:t xml:space="preserve">bezproblémového vykonávania transakcií; </w:t>
      </w:r>
    </w:p>
    <w:p w14:paraId="0D5E579B" w14:textId="3B6E8A14" w:rsidR="00645FB5" w:rsidRPr="00577995" w:rsidRDefault="00645FB5" w:rsidP="00BB3A2B">
      <w:pPr>
        <w:pStyle w:val="ListParagraph"/>
        <w:numPr>
          <w:ilvl w:val="1"/>
          <w:numId w:val="8"/>
        </w:numPr>
        <w:spacing w:line="240" w:lineRule="auto"/>
        <w:ind w:left="1020"/>
        <w:jc w:val="both"/>
        <w:rPr>
          <w:rFonts w:ascii="Times New Roman" w:hAnsi="Times New Roman" w:cs="Times New Roman"/>
          <w:noProof/>
          <w:sz w:val="24"/>
          <w:szCs w:val="24"/>
        </w:rPr>
      </w:pPr>
      <w:r w:rsidRPr="00577995">
        <w:rPr>
          <w:rFonts w:ascii="Times New Roman" w:hAnsi="Times New Roman"/>
          <w:noProof/>
          <w:sz w:val="24"/>
        </w:rPr>
        <w:t>získaním čo najlepších podmienok za prevládajúcich trhových podmienok;</w:t>
      </w:r>
    </w:p>
    <w:p w14:paraId="4A068E4B" w14:textId="601FB5F2" w:rsidR="00A046A3" w:rsidRPr="00577995" w:rsidRDefault="00645FB5" w:rsidP="00BB3A2B">
      <w:pPr>
        <w:pStyle w:val="ListParagraph"/>
        <w:numPr>
          <w:ilvl w:val="1"/>
          <w:numId w:val="8"/>
        </w:numPr>
        <w:spacing w:line="240" w:lineRule="auto"/>
        <w:ind w:left="1020"/>
        <w:jc w:val="both"/>
        <w:rPr>
          <w:rFonts w:ascii="Times New Roman" w:hAnsi="Times New Roman" w:cs="Times New Roman"/>
          <w:noProof/>
          <w:sz w:val="24"/>
          <w:szCs w:val="24"/>
        </w:rPr>
      </w:pPr>
      <w:r w:rsidRPr="00577995">
        <w:rPr>
          <w:rFonts w:ascii="Times New Roman" w:hAnsi="Times New Roman"/>
          <w:noProof/>
          <w:sz w:val="24"/>
        </w:rPr>
        <w:t>v rámci schopnosti rozpočtu EÚ znášať riziko, ako sa stanovuje najmä dostupným rozpočtovým krytím pre príslušné operácie</w:t>
      </w:r>
      <w:r w:rsidR="00577995" w:rsidRPr="00577995">
        <w:rPr>
          <w:rFonts w:ascii="Times New Roman" w:hAnsi="Times New Roman"/>
          <w:noProof/>
          <w:sz w:val="24"/>
        </w:rPr>
        <w:t xml:space="preserve"> a v </w:t>
      </w:r>
      <w:r w:rsidRPr="00577995">
        <w:rPr>
          <w:rFonts w:ascii="Times New Roman" w:hAnsi="Times New Roman"/>
          <w:noProof/>
          <w:sz w:val="24"/>
        </w:rPr>
        <w:t>rámci riadenia rizík pre finančné operácie EÚ, ako sa uvádza</w:t>
      </w:r>
      <w:r w:rsidR="00577995" w:rsidRPr="00577995">
        <w:rPr>
          <w:rFonts w:ascii="Times New Roman" w:hAnsi="Times New Roman"/>
          <w:noProof/>
          <w:sz w:val="24"/>
        </w:rPr>
        <w:t xml:space="preserve"> v </w:t>
      </w:r>
      <w:r w:rsidRPr="00577995">
        <w:rPr>
          <w:rFonts w:ascii="Times New Roman" w:hAnsi="Times New Roman"/>
          <w:noProof/>
          <w:sz w:val="24"/>
        </w:rPr>
        <w:t>politike Komisie na vysokej úrovni</w:t>
      </w:r>
      <w:r w:rsidR="00577995" w:rsidRPr="00577995">
        <w:rPr>
          <w:rFonts w:ascii="Times New Roman" w:hAnsi="Times New Roman"/>
          <w:noProof/>
          <w:sz w:val="24"/>
        </w:rPr>
        <w:t xml:space="preserve"> v </w:t>
      </w:r>
      <w:r w:rsidRPr="00577995">
        <w:rPr>
          <w:rFonts w:ascii="Times New Roman" w:hAnsi="Times New Roman"/>
          <w:noProof/>
          <w:sz w:val="24"/>
        </w:rPr>
        <w:t>oblasti riadenia rizík</w:t>
      </w:r>
      <w:r w:rsidR="00577995" w:rsidRPr="00577995">
        <w:rPr>
          <w:rFonts w:ascii="Times New Roman" w:hAnsi="Times New Roman"/>
          <w:noProof/>
          <w:sz w:val="24"/>
        </w:rPr>
        <w:t xml:space="preserve"> a </w:t>
      </w:r>
      <w:r w:rsidRPr="00577995">
        <w:rPr>
          <w:rFonts w:ascii="Times New Roman" w:hAnsi="Times New Roman"/>
          <w:noProof/>
          <w:sz w:val="24"/>
        </w:rPr>
        <w:t>dodržiavania súladu</w:t>
      </w:r>
      <w:r w:rsidR="00577995" w:rsidRPr="00577995">
        <w:rPr>
          <w:rFonts w:ascii="Times New Roman" w:hAnsi="Times New Roman"/>
          <w:noProof/>
          <w:sz w:val="24"/>
        </w:rPr>
        <w:t xml:space="preserve"> s </w:t>
      </w:r>
      <w:r w:rsidRPr="00577995">
        <w:rPr>
          <w:rFonts w:ascii="Times New Roman" w:hAnsi="Times New Roman"/>
          <w:noProof/>
          <w:sz w:val="24"/>
        </w:rPr>
        <w:t>predpismi</w:t>
      </w:r>
      <w:r w:rsidRPr="00577995">
        <w:rPr>
          <w:rStyle w:val="FootnoteReference"/>
          <w:rFonts w:ascii="Times New Roman" w:hAnsi="Times New Roman" w:cs="Times New Roman"/>
          <w:noProof/>
          <w:sz w:val="24"/>
          <w:szCs w:val="24"/>
        </w:rPr>
        <w:footnoteReference w:id="10"/>
      </w:r>
      <w:r w:rsidRPr="00577995">
        <w:rPr>
          <w:noProof/>
        </w:rPr>
        <w:t>.</w:t>
      </w:r>
      <w:r w:rsidRPr="00577995">
        <w:rPr>
          <w:rFonts w:ascii="Times New Roman" w:hAnsi="Times New Roman"/>
          <w:noProof/>
          <w:sz w:val="24"/>
        </w:rPr>
        <w:t xml:space="preserve"> </w:t>
      </w:r>
    </w:p>
    <w:p w14:paraId="12E0D671" w14:textId="77777777" w:rsidR="00BE1D7D" w:rsidRPr="00577995" w:rsidRDefault="00BE1D7D" w:rsidP="00BE1D7D">
      <w:pPr>
        <w:spacing w:line="240" w:lineRule="auto"/>
        <w:contextualSpacing/>
        <w:jc w:val="both"/>
        <w:rPr>
          <w:noProof/>
        </w:rPr>
      </w:pPr>
    </w:p>
    <w:p w14:paraId="50AA1C35" w14:textId="424BEFC8" w:rsidR="00BA3247" w:rsidRPr="00577995" w:rsidRDefault="00F154AA" w:rsidP="00BE1D7D">
      <w:pPr>
        <w:spacing w:line="240" w:lineRule="auto"/>
        <w:contextualSpacing/>
        <w:jc w:val="both"/>
        <w:rPr>
          <w:noProof/>
        </w:rPr>
      </w:pPr>
      <w:r w:rsidRPr="00577995">
        <w:rPr>
          <w:noProof/>
        </w:rPr>
        <w:t>Na splnenie týchto cieľov Komisia</w:t>
      </w:r>
      <w:r w:rsidR="00577995" w:rsidRPr="00577995">
        <w:rPr>
          <w:noProof/>
        </w:rPr>
        <w:t xml:space="preserve"> v </w:t>
      </w:r>
      <w:r w:rsidRPr="00577995">
        <w:rPr>
          <w:noProof/>
        </w:rPr>
        <w:t>roku 2021 zaviedla diverzifikovanú stratégiu financovania na účely financovania nástroja NextGenerationEU [vykonávacie rozhodnutie Komisie C(2021) 2502], ako sa opisuje</w:t>
      </w:r>
      <w:r w:rsidR="00577995" w:rsidRPr="00577995">
        <w:rPr>
          <w:noProof/>
        </w:rPr>
        <w:t xml:space="preserve"> v </w:t>
      </w:r>
      <w:r w:rsidRPr="00577995">
        <w:rPr>
          <w:noProof/>
        </w:rPr>
        <w:t xml:space="preserve">hlavnej správe. </w:t>
      </w:r>
    </w:p>
    <w:p w14:paraId="596934F7" w14:textId="77777777" w:rsidR="00BA3247" w:rsidRPr="00577995" w:rsidRDefault="00BA3247" w:rsidP="00BE1D7D">
      <w:pPr>
        <w:spacing w:line="240" w:lineRule="auto"/>
        <w:contextualSpacing/>
        <w:jc w:val="both"/>
        <w:rPr>
          <w:noProof/>
        </w:rPr>
      </w:pPr>
    </w:p>
    <w:p w14:paraId="6D52E0E1" w14:textId="28F6C360" w:rsidR="00A046A3" w:rsidRPr="00577995" w:rsidRDefault="00A046A3" w:rsidP="00BE1D7D">
      <w:pPr>
        <w:spacing w:line="240" w:lineRule="auto"/>
        <w:contextualSpacing/>
        <w:jc w:val="both"/>
        <w:rPr>
          <w:noProof/>
        </w:rPr>
      </w:pPr>
      <w:r w:rsidRPr="00577995">
        <w:rPr>
          <w:noProof/>
        </w:rPr>
        <w:t>Hlavným cieľom je vytvoriť</w:t>
      </w:r>
      <w:r w:rsidR="00577995" w:rsidRPr="00577995">
        <w:rPr>
          <w:noProof/>
        </w:rPr>
        <w:t xml:space="preserve"> a </w:t>
      </w:r>
      <w:r w:rsidRPr="00577995">
        <w:rPr>
          <w:noProof/>
        </w:rPr>
        <w:t>udržiavať úplnú</w:t>
      </w:r>
      <w:r w:rsidR="00577995" w:rsidRPr="00577995">
        <w:rPr>
          <w:noProof/>
        </w:rPr>
        <w:t xml:space="preserve"> a </w:t>
      </w:r>
      <w:r w:rsidRPr="00577995">
        <w:rPr>
          <w:noProof/>
        </w:rPr>
        <w:t>vysoko likvidnú krivku výnosov pri všetkých referenčných splatnostiach, ktorá investorom poskytuje dostupné</w:t>
      </w:r>
      <w:r w:rsidR="00577995" w:rsidRPr="00577995">
        <w:rPr>
          <w:noProof/>
        </w:rPr>
        <w:t xml:space="preserve"> a </w:t>
      </w:r>
      <w:r w:rsidRPr="00577995">
        <w:rPr>
          <w:noProof/>
        </w:rPr>
        <w:t>spoľahlivé finančné aktívum na investovanie</w:t>
      </w:r>
      <w:r w:rsidR="00577995" w:rsidRPr="00577995">
        <w:rPr>
          <w:noProof/>
        </w:rPr>
        <w:t xml:space="preserve"> a </w:t>
      </w:r>
      <w:r w:rsidRPr="00577995">
        <w:rPr>
          <w:noProof/>
        </w:rPr>
        <w:t>obchodovanie. Tým sa zasa zabezpečia najvýhodnejšie podmienky financovania pre EÚ ako emitenta</w:t>
      </w:r>
      <w:r w:rsidR="00577995" w:rsidRPr="00577995">
        <w:rPr>
          <w:noProof/>
        </w:rPr>
        <w:t xml:space="preserve"> a </w:t>
      </w:r>
      <w:r w:rsidRPr="00577995">
        <w:rPr>
          <w:noProof/>
        </w:rPr>
        <w:t>zároveň sa zabezpečí riadne riadenie súvisiacich rizík.</w:t>
      </w:r>
      <w:r w:rsidR="00577995" w:rsidRPr="00577995">
        <w:rPr>
          <w:noProof/>
        </w:rPr>
        <w:t xml:space="preserve"> </w:t>
      </w:r>
    </w:p>
    <w:p w14:paraId="07FE4993" w14:textId="77777777" w:rsidR="00BE1D7D" w:rsidRPr="00577995" w:rsidRDefault="00BE1D7D" w:rsidP="00BE1D7D">
      <w:pPr>
        <w:spacing w:line="240" w:lineRule="auto"/>
        <w:contextualSpacing/>
        <w:jc w:val="both"/>
        <w:rPr>
          <w:b/>
          <w:i/>
          <w:noProof/>
        </w:rPr>
      </w:pPr>
    </w:p>
    <w:p w14:paraId="1F8A03DD" w14:textId="761AD715" w:rsidR="00A046A3" w:rsidRPr="00577995" w:rsidRDefault="00F154AA" w:rsidP="00BE1D7D">
      <w:pPr>
        <w:spacing w:line="240" w:lineRule="auto"/>
        <w:contextualSpacing/>
        <w:jc w:val="both"/>
        <w:rPr>
          <w:b/>
          <w:i/>
          <w:noProof/>
        </w:rPr>
      </w:pPr>
      <w:r w:rsidRPr="00577995">
        <w:rPr>
          <w:b/>
          <w:i/>
          <w:noProof/>
        </w:rPr>
        <w:t>Prostriedky na dosiahnutie cieľov</w:t>
      </w:r>
    </w:p>
    <w:p w14:paraId="0CC2ECF6" w14:textId="53382A53" w:rsidR="00A046A3" w:rsidRPr="00577995" w:rsidRDefault="00A046A3" w:rsidP="00BE1D7D">
      <w:pPr>
        <w:spacing w:line="240" w:lineRule="auto"/>
        <w:contextualSpacing/>
        <w:jc w:val="both"/>
        <w:rPr>
          <w:noProof/>
        </w:rPr>
      </w:pPr>
      <w:r w:rsidRPr="00577995">
        <w:rPr>
          <w:noProof/>
        </w:rPr>
        <w:t>Komisia sa pri vykonávaní prístupu</w:t>
      </w:r>
      <w:r w:rsidR="00577995" w:rsidRPr="00577995">
        <w:rPr>
          <w:noProof/>
        </w:rPr>
        <w:t xml:space="preserve"> k </w:t>
      </w:r>
      <w:r w:rsidRPr="00577995">
        <w:rPr>
          <w:noProof/>
        </w:rPr>
        <w:t>financovaniu usiluje čo najlepšie využiť všetky prvky, ktoré sú pod jej kontrolou, na dosiahnutie svojich hlavných cieľov efektívnosti</w:t>
      </w:r>
      <w:r w:rsidR="00577995" w:rsidRPr="00577995">
        <w:rPr>
          <w:noProof/>
        </w:rPr>
        <w:t xml:space="preserve"> a </w:t>
      </w:r>
      <w:r w:rsidRPr="00577995">
        <w:rPr>
          <w:noProof/>
        </w:rPr>
        <w:t xml:space="preserve">účinnosti. Tieto prvky sa vzťahujú na päť hlavných aspektov: </w:t>
      </w:r>
    </w:p>
    <w:p w14:paraId="5CE3D628" w14:textId="2B9B93F9" w:rsidR="00F154AA" w:rsidRPr="00577995" w:rsidRDefault="00F154AA" w:rsidP="00BE1D7D">
      <w:pPr>
        <w:spacing w:line="240" w:lineRule="auto"/>
        <w:contextualSpacing/>
        <w:jc w:val="both"/>
        <w:rPr>
          <w:noProof/>
        </w:rPr>
      </w:pPr>
    </w:p>
    <w:p w14:paraId="2D094B45" w14:textId="32C9E44E" w:rsidR="00A046A3" w:rsidRPr="00577995" w:rsidRDefault="00A046A3" w:rsidP="00BB3A2B">
      <w:pPr>
        <w:pStyle w:val="ListParagraph"/>
        <w:numPr>
          <w:ilvl w:val="0"/>
          <w:numId w:val="2"/>
        </w:numPr>
        <w:spacing w:line="240" w:lineRule="auto"/>
        <w:jc w:val="both"/>
        <w:rPr>
          <w:rFonts w:ascii="Times New Roman" w:hAnsi="Times New Roman" w:cs="Times New Roman"/>
          <w:noProof/>
          <w:sz w:val="24"/>
          <w:szCs w:val="24"/>
        </w:rPr>
      </w:pPr>
      <w:r w:rsidRPr="00577995">
        <w:rPr>
          <w:rFonts w:ascii="Times New Roman" w:hAnsi="Times New Roman"/>
          <w:b/>
          <w:noProof/>
          <w:sz w:val="24"/>
        </w:rPr>
        <w:t>Program dlhopisov EÚ</w:t>
      </w:r>
      <w:r w:rsidRPr="00577995">
        <w:rPr>
          <w:rFonts w:ascii="Times New Roman" w:hAnsi="Times New Roman"/>
          <w:noProof/>
          <w:sz w:val="24"/>
        </w:rPr>
        <w:t>: Komisia organizuje emisiu dlhopisov využitím všetkých referenčných splatností</w:t>
      </w:r>
      <w:r w:rsidR="00577995" w:rsidRPr="00577995">
        <w:rPr>
          <w:rFonts w:ascii="Times New Roman" w:hAnsi="Times New Roman"/>
          <w:noProof/>
          <w:sz w:val="24"/>
        </w:rPr>
        <w:t xml:space="preserve"> v </w:t>
      </w:r>
      <w:r w:rsidRPr="00577995">
        <w:rPr>
          <w:rFonts w:ascii="Times New Roman" w:hAnsi="Times New Roman"/>
          <w:noProof/>
          <w:sz w:val="24"/>
        </w:rPr>
        <w:t>rámci celej krivky (do 30 rokov). Pri výbere primeraných lehôt splatnosti emisií musí Komisia zabezpečiť, aby výsledné budúce úrovne splácania zostali</w:t>
      </w:r>
      <w:r w:rsidR="00577995" w:rsidRPr="00577995">
        <w:rPr>
          <w:rFonts w:ascii="Times New Roman" w:hAnsi="Times New Roman"/>
          <w:noProof/>
          <w:sz w:val="24"/>
        </w:rPr>
        <w:t xml:space="preserve"> v </w:t>
      </w:r>
      <w:r w:rsidRPr="00577995">
        <w:rPr>
          <w:rFonts w:ascii="Times New Roman" w:hAnsi="Times New Roman"/>
          <w:noProof/>
          <w:sz w:val="24"/>
        </w:rPr>
        <w:t>rámci úrovní potrebných na ochranu stropov manévrovacieho priestoru</w:t>
      </w:r>
      <w:r w:rsidR="00577995" w:rsidRPr="00577995">
        <w:rPr>
          <w:rFonts w:ascii="Times New Roman" w:hAnsi="Times New Roman"/>
          <w:noProof/>
          <w:sz w:val="24"/>
        </w:rPr>
        <w:t xml:space="preserve"> v </w:t>
      </w:r>
      <w:r w:rsidRPr="00577995">
        <w:rPr>
          <w:rFonts w:ascii="Times New Roman" w:hAnsi="Times New Roman"/>
          <w:noProof/>
          <w:sz w:val="24"/>
        </w:rPr>
        <w:t>rozpočte EÚ</w:t>
      </w:r>
      <w:r w:rsidR="00577995" w:rsidRPr="00577995">
        <w:rPr>
          <w:rFonts w:ascii="Times New Roman" w:hAnsi="Times New Roman"/>
          <w:noProof/>
          <w:sz w:val="24"/>
        </w:rPr>
        <w:t xml:space="preserve"> a </w:t>
      </w:r>
      <w:r w:rsidRPr="00577995">
        <w:rPr>
          <w:rFonts w:ascii="Times New Roman" w:hAnsi="Times New Roman"/>
          <w:noProof/>
          <w:sz w:val="24"/>
        </w:rPr>
        <w:t>úverového ratingu EÚ. Zároveň venuje veľkú pozornosť preferenciám investorov</w:t>
      </w:r>
      <w:r w:rsidR="00577995" w:rsidRPr="00577995">
        <w:rPr>
          <w:rFonts w:ascii="Times New Roman" w:hAnsi="Times New Roman"/>
          <w:noProof/>
          <w:sz w:val="24"/>
        </w:rPr>
        <w:t xml:space="preserve"> a </w:t>
      </w:r>
      <w:r w:rsidRPr="00577995">
        <w:rPr>
          <w:rFonts w:ascii="Times New Roman" w:hAnsi="Times New Roman"/>
          <w:noProof/>
          <w:sz w:val="24"/>
        </w:rPr>
        <w:t>profilu nesplatených dlhopisov, pretože pravidelne dodáva trhu dobre vyvážený súbor splatností. Pri organizovaní emisie Komisia využíva syndikované transakcie</w:t>
      </w:r>
      <w:r w:rsidR="00577995" w:rsidRPr="00577995">
        <w:rPr>
          <w:rFonts w:ascii="Times New Roman" w:hAnsi="Times New Roman"/>
          <w:noProof/>
          <w:sz w:val="24"/>
        </w:rPr>
        <w:t xml:space="preserve"> a </w:t>
      </w:r>
      <w:r w:rsidRPr="00577995">
        <w:rPr>
          <w:rFonts w:ascii="Times New Roman" w:hAnsi="Times New Roman"/>
          <w:noProof/>
          <w:sz w:val="24"/>
        </w:rPr>
        <w:t>aukcie. Rôzne formáty majú rôzne vlastnosti, ale na úspešné vykonávanie programov financovania sa hľadá ich vhodná kombinácia. Keďže sa upevňuje emisný program, používanie aukcií na účely emisií dlhopisov by sa malo naďalej vyvíjať</w:t>
      </w:r>
      <w:r w:rsidR="00577995" w:rsidRPr="00577995">
        <w:rPr>
          <w:rFonts w:ascii="Times New Roman" w:hAnsi="Times New Roman"/>
          <w:noProof/>
          <w:sz w:val="24"/>
        </w:rPr>
        <w:t xml:space="preserve"> a v </w:t>
      </w:r>
      <w:r w:rsidRPr="00577995">
        <w:rPr>
          <w:rFonts w:ascii="Times New Roman" w:hAnsi="Times New Roman"/>
          <w:noProof/>
          <w:sz w:val="24"/>
        </w:rPr>
        <w:t>priebehu času dosiahnuť úrovne porovnateľné</w:t>
      </w:r>
      <w:r w:rsidR="00577995" w:rsidRPr="00577995">
        <w:rPr>
          <w:rFonts w:ascii="Times New Roman" w:hAnsi="Times New Roman"/>
          <w:noProof/>
          <w:sz w:val="24"/>
        </w:rPr>
        <w:t xml:space="preserve"> s </w:t>
      </w:r>
      <w:r w:rsidRPr="00577995">
        <w:rPr>
          <w:rFonts w:ascii="Times New Roman" w:hAnsi="Times New Roman"/>
          <w:noProof/>
          <w:sz w:val="24"/>
        </w:rPr>
        <w:t>úrovňami štátnych emitentov rovnakého formátu ako EÚ,</w:t>
      </w:r>
      <w:r w:rsidR="00577995" w:rsidRPr="00577995">
        <w:rPr>
          <w:rFonts w:ascii="Times New Roman" w:hAnsi="Times New Roman"/>
          <w:noProof/>
          <w:sz w:val="24"/>
        </w:rPr>
        <w:t xml:space="preserve"> a </w:t>
      </w:r>
      <w:r w:rsidRPr="00577995">
        <w:rPr>
          <w:rFonts w:ascii="Times New Roman" w:hAnsi="Times New Roman"/>
          <w:noProof/>
          <w:sz w:val="24"/>
        </w:rPr>
        <w:t>to aj pri náležitom zohľadnení trhových podmienok</w:t>
      </w:r>
      <w:r w:rsidR="00577995" w:rsidRPr="00577995">
        <w:rPr>
          <w:rFonts w:ascii="Times New Roman" w:hAnsi="Times New Roman"/>
          <w:noProof/>
          <w:sz w:val="24"/>
        </w:rPr>
        <w:t xml:space="preserve"> a </w:t>
      </w:r>
      <w:r w:rsidRPr="00577995">
        <w:rPr>
          <w:rFonts w:ascii="Times New Roman" w:hAnsi="Times New Roman"/>
          <w:noProof/>
          <w:sz w:val="24"/>
        </w:rPr>
        <w:t xml:space="preserve">potrieb financovania. </w:t>
      </w:r>
    </w:p>
    <w:p w14:paraId="58996EDB" w14:textId="2A314FEF" w:rsidR="00A046A3" w:rsidRPr="00577995" w:rsidRDefault="00A046A3" w:rsidP="00BB3A2B">
      <w:pPr>
        <w:pStyle w:val="ListParagraph"/>
        <w:numPr>
          <w:ilvl w:val="0"/>
          <w:numId w:val="2"/>
        </w:numPr>
        <w:spacing w:line="240" w:lineRule="auto"/>
        <w:jc w:val="both"/>
        <w:rPr>
          <w:rFonts w:ascii="Times New Roman" w:hAnsi="Times New Roman" w:cs="Times New Roman"/>
          <w:noProof/>
          <w:sz w:val="24"/>
          <w:szCs w:val="24"/>
        </w:rPr>
      </w:pPr>
      <w:r w:rsidRPr="00577995">
        <w:rPr>
          <w:rFonts w:ascii="Times New Roman" w:hAnsi="Times New Roman"/>
          <w:b/>
          <w:noProof/>
          <w:sz w:val="24"/>
        </w:rPr>
        <w:t>Program poukážok EÚ</w:t>
      </w:r>
      <w:r w:rsidRPr="00577995">
        <w:rPr>
          <w:rFonts w:ascii="Times New Roman" w:hAnsi="Times New Roman"/>
          <w:noProof/>
          <w:sz w:val="24"/>
        </w:rPr>
        <w:t>: Komisia vykonáva program poukážok EÚ, ktorý poskytuje EÚ prístup na peňažný trh (splatnosti do jedného roka prostredníctvom aukcie). Tento program sa používa ako základný nástroj na riadenie rizika</w:t>
      </w:r>
      <w:r w:rsidR="00577995" w:rsidRPr="00577995">
        <w:rPr>
          <w:rFonts w:ascii="Times New Roman" w:hAnsi="Times New Roman"/>
          <w:noProof/>
          <w:sz w:val="24"/>
        </w:rPr>
        <w:t xml:space="preserve"> v </w:t>
      </w:r>
      <w:r w:rsidRPr="00577995">
        <w:rPr>
          <w:rFonts w:ascii="Times New Roman" w:hAnsi="Times New Roman"/>
          <w:noProof/>
          <w:sz w:val="24"/>
        </w:rPr>
        <w:t>záujme zachovania dostatočnej úrovne hotovosti za každých okolností</w:t>
      </w:r>
      <w:r w:rsidR="00577995" w:rsidRPr="00577995">
        <w:rPr>
          <w:rFonts w:ascii="Times New Roman" w:hAnsi="Times New Roman"/>
          <w:noProof/>
          <w:sz w:val="24"/>
        </w:rPr>
        <w:t xml:space="preserve"> a </w:t>
      </w:r>
      <w:r w:rsidRPr="00577995">
        <w:rPr>
          <w:rFonts w:ascii="Times New Roman" w:hAnsi="Times New Roman"/>
          <w:noProof/>
          <w:sz w:val="24"/>
        </w:rPr>
        <w:t>zvládnutia nepredvídateľných podmienok na finančnom trhu alebo potrieb financovania.</w:t>
      </w:r>
    </w:p>
    <w:p w14:paraId="113EAAC4" w14:textId="636BDE0E" w:rsidR="00A046A3" w:rsidRPr="00577995" w:rsidRDefault="00A046A3" w:rsidP="00BB3A2B">
      <w:pPr>
        <w:pStyle w:val="ListParagraph"/>
        <w:numPr>
          <w:ilvl w:val="0"/>
          <w:numId w:val="2"/>
        </w:numPr>
        <w:spacing w:line="240" w:lineRule="auto"/>
        <w:jc w:val="both"/>
        <w:rPr>
          <w:rFonts w:ascii="Times New Roman" w:hAnsi="Times New Roman" w:cs="Times New Roman"/>
          <w:noProof/>
          <w:sz w:val="24"/>
          <w:szCs w:val="24"/>
        </w:rPr>
      </w:pPr>
      <w:r w:rsidRPr="00577995">
        <w:rPr>
          <w:rFonts w:ascii="Times New Roman" w:hAnsi="Times New Roman"/>
          <w:b/>
          <w:noProof/>
          <w:sz w:val="24"/>
        </w:rPr>
        <w:t>Riadenie likvidity</w:t>
      </w:r>
      <w:r w:rsidRPr="00577995">
        <w:rPr>
          <w:rFonts w:ascii="Times New Roman" w:hAnsi="Times New Roman"/>
          <w:noProof/>
          <w:sz w:val="24"/>
        </w:rPr>
        <w:t>: Komisia uplatňuje obozretný prístup</w:t>
      </w:r>
      <w:r w:rsidR="00577995" w:rsidRPr="00577995">
        <w:rPr>
          <w:rFonts w:ascii="Times New Roman" w:hAnsi="Times New Roman"/>
          <w:noProof/>
          <w:sz w:val="24"/>
        </w:rPr>
        <w:t xml:space="preserve"> k </w:t>
      </w:r>
      <w:r w:rsidRPr="00577995">
        <w:rPr>
          <w:rFonts w:ascii="Times New Roman" w:hAnsi="Times New Roman"/>
          <w:noProof/>
          <w:sz w:val="24"/>
        </w:rPr>
        <w:t>vnútornému riadeniu peňažných tokov, ktorý zabezpečuje včasné plnenie všetkých platobných záväzkov</w:t>
      </w:r>
      <w:r w:rsidR="00577995" w:rsidRPr="00577995">
        <w:rPr>
          <w:rFonts w:ascii="Times New Roman" w:hAnsi="Times New Roman"/>
          <w:noProof/>
          <w:sz w:val="24"/>
        </w:rPr>
        <w:t xml:space="preserve"> a </w:t>
      </w:r>
      <w:r w:rsidRPr="00577995">
        <w:rPr>
          <w:rFonts w:ascii="Times New Roman" w:hAnsi="Times New Roman"/>
          <w:noProof/>
          <w:sz w:val="24"/>
        </w:rPr>
        <w:t>zabraňuje nedostatku likvidity. Takisto sa snaží riadiť zostatky likvidity na základe predpokladaného vyplácania prostriedkov</w:t>
      </w:r>
      <w:r w:rsidR="00577995" w:rsidRPr="00577995">
        <w:rPr>
          <w:rFonts w:ascii="Times New Roman" w:hAnsi="Times New Roman"/>
          <w:noProof/>
          <w:sz w:val="24"/>
        </w:rPr>
        <w:t xml:space="preserve"> s </w:t>
      </w:r>
      <w:r w:rsidRPr="00577995">
        <w:rPr>
          <w:rFonts w:ascii="Times New Roman" w:hAnsi="Times New Roman"/>
          <w:noProof/>
          <w:sz w:val="24"/>
        </w:rPr>
        <w:t>cieľom udržať zostatky likvidity</w:t>
      </w:r>
      <w:r w:rsidR="00577995" w:rsidRPr="00577995">
        <w:rPr>
          <w:rFonts w:ascii="Times New Roman" w:hAnsi="Times New Roman"/>
          <w:noProof/>
          <w:sz w:val="24"/>
        </w:rPr>
        <w:t xml:space="preserve"> v </w:t>
      </w:r>
      <w:r w:rsidRPr="00577995">
        <w:rPr>
          <w:rFonts w:ascii="Times New Roman" w:hAnsi="Times New Roman"/>
          <w:noProof/>
          <w:sz w:val="24"/>
        </w:rPr>
        <w:t>súlade</w:t>
      </w:r>
      <w:r w:rsidR="00577995" w:rsidRPr="00577995">
        <w:rPr>
          <w:rFonts w:ascii="Times New Roman" w:hAnsi="Times New Roman"/>
          <w:noProof/>
          <w:sz w:val="24"/>
        </w:rPr>
        <w:t xml:space="preserve"> s </w:t>
      </w:r>
      <w:r w:rsidRPr="00577995">
        <w:rPr>
          <w:rFonts w:ascii="Times New Roman" w:hAnsi="Times New Roman"/>
          <w:noProof/>
          <w:sz w:val="24"/>
        </w:rPr>
        <w:t>potrebami</w:t>
      </w:r>
      <w:r w:rsidR="00577995" w:rsidRPr="00577995">
        <w:rPr>
          <w:rFonts w:ascii="Times New Roman" w:hAnsi="Times New Roman"/>
          <w:noProof/>
          <w:sz w:val="24"/>
        </w:rPr>
        <w:t xml:space="preserve"> a </w:t>
      </w:r>
      <w:r w:rsidRPr="00577995">
        <w:rPr>
          <w:rFonts w:ascii="Times New Roman" w:hAnsi="Times New Roman"/>
          <w:noProof/>
          <w:sz w:val="24"/>
        </w:rPr>
        <w:t>obmedziť akékoľvek reálne alebo príležitostné náklady vyplývajúce zo zostatkov.</w:t>
      </w:r>
    </w:p>
    <w:p w14:paraId="2C29E790" w14:textId="2B47D28D" w:rsidR="00A046A3" w:rsidRPr="00577995" w:rsidRDefault="00A046A3" w:rsidP="00BB3A2B">
      <w:pPr>
        <w:pStyle w:val="ListParagraph"/>
        <w:numPr>
          <w:ilvl w:val="0"/>
          <w:numId w:val="2"/>
        </w:numPr>
        <w:spacing w:line="240" w:lineRule="auto"/>
        <w:jc w:val="both"/>
        <w:rPr>
          <w:rFonts w:ascii="Times New Roman" w:hAnsi="Times New Roman" w:cs="Times New Roman"/>
          <w:noProof/>
          <w:sz w:val="24"/>
          <w:szCs w:val="24"/>
        </w:rPr>
      </w:pPr>
      <w:r w:rsidRPr="00577995">
        <w:rPr>
          <w:rFonts w:ascii="Times New Roman" w:hAnsi="Times New Roman"/>
          <w:b/>
          <w:noProof/>
          <w:sz w:val="24"/>
        </w:rPr>
        <w:t>Sieť primárnych dílerov</w:t>
      </w:r>
      <w:r w:rsidRPr="00577995">
        <w:rPr>
          <w:rFonts w:ascii="Times New Roman" w:hAnsi="Times New Roman"/>
          <w:noProof/>
          <w:sz w:val="24"/>
        </w:rPr>
        <w:t>: Úspešné vykonávanie stratégie financovania si vyžaduje podporu silnej siete primárnych dílerov, ktorá je schopná distribuovať emisie globálnej základni investorov</w:t>
      </w:r>
      <w:r w:rsidR="00577995" w:rsidRPr="00577995">
        <w:rPr>
          <w:rFonts w:ascii="Times New Roman" w:hAnsi="Times New Roman"/>
          <w:noProof/>
          <w:sz w:val="24"/>
        </w:rPr>
        <w:t xml:space="preserve"> a </w:t>
      </w:r>
      <w:r w:rsidRPr="00577995">
        <w:rPr>
          <w:rFonts w:ascii="Times New Roman" w:hAnsi="Times New Roman"/>
          <w:noProof/>
          <w:sz w:val="24"/>
        </w:rPr>
        <w:t>riadiť</w:t>
      </w:r>
      <w:r w:rsidR="00577995" w:rsidRPr="00577995">
        <w:rPr>
          <w:rFonts w:ascii="Times New Roman" w:hAnsi="Times New Roman"/>
          <w:noProof/>
          <w:sz w:val="24"/>
        </w:rPr>
        <w:t xml:space="preserve"> a </w:t>
      </w:r>
      <w:r w:rsidRPr="00577995">
        <w:rPr>
          <w:rFonts w:ascii="Times New Roman" w:hAnsi="Times New Roman"/>
          <w:noProof/>
          <w:sz w:val="24"/>
        </w:rPr>
        <w:t>uchovávať finančné riziká súvisiace</w:t>
      </w:r>
      <w:r w:rsidR="00577995" w:rsidRPr="00577995">
        <w:rPr>
          <w:rFonts w:ascii="Times New Roman" w:hAnsi="Times New Roman"/>
          <w:noProof/>
          <w:sz w:val="24"/>
        </w:rPr>
        <w:t xml:space="preserve"> s </w:t>
      </w:r>
      <w:r w:rsidRPr="00577995">
        <w:rPr>
          <w:rFonts w:ascii="Times New Roman" w:hAnsi="Times New Roman"/>
          <w:noProof/>
          <w:sz w:val="24"/>
        </w:rPr>
        <w:t>aukciou</w:t>
      </w:r>
      <w:r w:rsidR="00577995" w:rsidRPr="00577995">
        <w:rPr>
          <w:rFonts w:ascii="Times New Roman" w:hAnsi="Times New Roman"/>
          <w:noProof/>
          <w:sz w:val="24"/>
        </w:rPr>
        <w:t xml:space="preserve"> a </w:t>
      </w:r>
      <w:r w:rsidRPr="00577995">
        <w:rPr>
          <w:rFonts w:ascii="Times New Roman" w:hAnsi="Times New Roman"/>
          <w:noProof/>
          <w:sz w:val="24"/>
        </w:rPr>
        <w:t>so syndikáciami. Komisia sa snaží zachovať otvorenú sieť primárnych dílerov</w:t>
      </w:r>
      <w:r w:rsidR="00577995" w:rsidRPr="00577995">
        <w:rPr>
          <w:rFonts w:ascii="Times New Roman" w:hAnsi="Times New Roman"/>
          <w:noProof/>
          <w:sz w:val="24"/>
        </w:rPr>
        <w:t xml:space="preserve"> s </w:t>
      </w:r>
      <w:r w:rsidRPr="00577995">
        <w:rPr>
          <w:rFonts w:ascii="Times New Roman" w:hAnsi="Times New Roman"/>
          <w:noProof/>
          <w:sz w:val="24"/>
        </w:rPr>
        <w:t>cieľom umožniť účasť širokej škály finančných inštitúcií. Zároveň sa zameriava na udržanie hospodárskej súťaže</w:t>
      </w:r>
      <w:r w:rsidR="00577995" w:rsidRPr="00577995">
        <w:rPr>
          <w:rFonts w:ascii="Times New Roman" w:hAnsi="Times New Roman"/>
          <w:noProof/>
          <w:sz w:val="24"/>
        </w:rPr>
        <w:t xml:space="preserve"> a </w:t>
      </w:r>
      <w:r w:rsidRPr="00577995">
        <w:rPr>
          <w:rFonts w:ascii="Times New Roman" w:hAnsi="Times New Roman"/>
          <w:noProof/>
          <w:sz w:val="24"/>
        </w:rPr>
        <w:t>využitie zručností</w:t>
      </w:r>
      <w:r w:rsidR="00577995" w:rsidRPr="00577995">
        <w:rPr>
          <w:rFonts w:ascii="Times New Roman" w:hAnsi="Times New Roman"/>
          <w:noProof/>
          <w:sz w:val="24"/>
        </w:rPr>
        <w:t xml:space="preserve"> v </w:t>
      </w:r>
      <w:r w:rsidRPr="00577995">
        <w:rPr>
          <w:rFonts w:ascii="Times New Roman" w:hAnsi="Times New Roman"/>
          <w:noProof/>
          <w:sz w:val="24"/>
        </w:rPr>
        <w:t>rámci skupiny</w:t>
      </w:r>
      <w:r w:rsidR="00577995" w:rsidRPr="00577995">
        <w:rPr>
          <w:rFonts w:ascii="Times New Roman" w:hAnsi="Times New Roman"/>
          <w:noProof/>
          <w:sz w:val="24"/>
        </w:rPr>
        <w:t xml:space="preserve"> s </w:t>
      </w:r>
      <w:r w:rsidRPr="00577995">
        <w:rPr>
          <w:rFonts w:ascii="Times New Roman" w:hAnsi="Times New Roman"/>
          <w:noProof/>
          <w:sz w:val="24"/>
        </w:rPr>
        <w:t>cieľom pomôcť zabezpečiť úspešné vykonávanie</w:t>
      </w:r>
      <w:r w:rsidR="00577995" w:rsidRPr="00577995">
        <w:rPr>
          <w:rFonts w:ascii="Times New Roman" w:hAnsi="Times New Roman"/>
          <w:noProof/>
          <w:sz w:val="24"/>
        </w:rPr>
        <w:t xml:space="preserve"> a </w:t>
      </w:r>
      <w:r w:rsidRPr="00577995">
        <w:rPr>
          <w:rFonts w:ascii="Times New Roman" w:hAnsi="Times New Roman"/>
          <w:noProof/>
          <w:sz w:val="24"/>
        </w:rPr>
        <w:t>rozvoj stratégie financovania vrátane podpory likvidity emisií EÚ na sekundárnom trhu.</w:t>
      </w:r>
    </w:p>
    <w:p w14:paraId="5EA5484B" w14:textId="20ED79D7" w:rsidR="00A046A3" w:rsidRPr="00577995" w:rsidRDefault="00A046A3" w:rsidP="00BB3A2B">
      <w:pPr>
        <w:pStyle w:val="ListParagraph"/>
        <w:numPr>
          <w:ilvl w:val="0"/>
          <w:numId w:val="2"/>
        </w:numPr>
        <w:spacing w:line="240" w:lineRule="auto"/>
        <w:jc w:val="both"/>
        <w:rPr>
          <w:rFonts w:ascii="Times New Roman" w:hAnsi="Times New Roman" w:cs="Times New Roman"/>
          <w:noProof/>
          <w:sz w:val="24"/>
          <w:szCs w:val="24"/>
        </w:rPr>
      </w:pPr>
      <w:r w:rsidRPr="00577995">
        <w:rPr>
          <w:rFonts w:ascii="Times New Roman" w:hAnsi="Times New Roman"/>
          <w:b/>
          <w:noProof/>
          <w:sz w:val="24"/>
        </w:rPr>
        <w:t>Komunikácia</w:t>
      </w:r>
      <w:r w:rsidR="00577995" w:rsidRPr="00577995">
        <w:rPr>
          <w:rFonts w:ascii="Times New Roman" w:hAnsi="Times New Roman"/>
          <w:b/>
          <w:noProof/>
          <w:sz w:val="24"/>
        </w:rPr>
        <w:t xml:space="preserve"> s </w:t>
      </w:r>
      <w:r w:rsidRPr="00577995">
        <w:rPr>
          <w:rFonts w:ascii="Times New Roman" w:hAnsi="Times New Roman"/>
          <w:b/>
          <w:noProof/>
          <w:sz w:val="24"/>
        </w:rPr>
        <w:t>rôznymi zainteresovanými stranami na trhu</w:t>
      </w:r>
      <w:r w:rsidR="00577995" w:rsidRPr="00577995">
        <w:rPr>
          <w:rFonts w:ascii="Times New Roman" w:hAnsi="Times New Roman"/>
          <w:b/>
          <w:noProof/>
          <w:sz w:val="24"/>
        </w:rPr>
        <w:t xml:space="preserve"> a s </w:t>
      </w:r>
      <w:r w:rsidRPr="00577995">
        <w:rPr>
          <w:rFonts w:ascii="Times New Roman" w:hAnsi="Times New Roman"/>
          <w:b/>
          <w:noProof/>
          <w:sz w:val="24"/>
        </w:rPr>
        <w:t>porovnateľnými emitentmi:</w:t>
      </w:r>
      <w:r w:rsidRPr="00577995">
        <w:rPr>
          <w:rFonts w:ascii="Times New Roman" w:hAnsi="Times New Roman"/>
          <w:noProof/>
          <w:sz w:val="24"/>
        </w:rPr>
        <w:t xml:space="preserve"> Komisia zabezpečuje pravidelnú, včasnú</w:t>
      </w:r>
      <w:r w:rsidR="00577995" w:rsidRPr="00577995">
        <w:rPr>
          <w:rFonts w:ascii="Times New Roman" w:hAnsi="Times New Roman"/>
          <w:noProof/>
          <w:sz w:val="24"/>
        </w:rPr>
        <w:t xml:space="preserve"> a </w:t>
      </w:r>
      <w:r w:rsidRPr="00577995">
        <w:rPr>
          <w:rFonts w:ascii="Times New Roman" w:hAnsi="Times New Roman"/>
          <w:noProof/>
          <w:sz w:val="24"/>
        </w:rPr>
        <w:t>otvorenú komunikáciu</w:t>
      </w:r>
      <w:r w:rsidR="00577995" w:rsidRPr="00577995">
        <w:rPr>
          <w:rFonts w:ascii="Times New Roman" w:hAnsi="Times New Roman"/>
          <w:noProof/>
          <w:sz w:val="24"/>
        </w:rPr>
        <w:t xml:space="preserve"> s </w:t>
      </w:r>
      <w:r w:rsidRPr="00577995">
        <w:rPr>
          <w:rFonts w:ascii="Times New Roman" w:hAnsi="Times New Roman"/>
          <w:noProof/>
          <w:sz w:val="24"/>
        </w:rPr>
        <w:t>účastníkmi trhu, ktorá je predpokladom pre zachovanie spoľahlivého</w:t>
      </w:r>
      <w:r w:rsidR="00577995" w:rsidRPr="00577995">
        <w:rPr>
          <w:rFonts w:ascii="Times New Roman" w:hAnsi="Times New Roman"/>
          <w:noProof/>
          <w:sz w:val="24"/>
        </w:rPr>
        <w:t xml:space="preserve"> a </w:t>
      </w:r>
      <w:r w:rsidRPr="00577995">
        <w:rPr>
          <w:rFonts w:ascii="Times New Roman" w:hAnsi="Times New Roman"/>
          <w:noProof/>
          <w:sz w:val="24"/>
        </w:rPr>
        <w:t>dôveryhodného emitenta. Komisia preto transparentne informuje</w:t>
      </w:r>
      <w:r w:rsidR="00577995" w:rsidRPr="00577995">
        <w:rPr>
          <w:rFonts w:ascii="Times New Roman" w:hAnsi="Times New Roman"/>
          <w:noProof/>
          <w:sz w:val="24"/>
        </w:rPr>
        <w:t xml:space="preserve"> o </w:t>
      </w:r>
      <w:r w:rsidRPr="00577995">
        <w:rPr>
          <w:rFonts w:ascii="Times New Roman" w:hAnsi="Times New Roman"/>
          <w:noProof/>
          <w:sz w:val="24"/>
        </w:rPr>
        <w:t>aspektoch svojich plánov financovania</w:t>
      </w:r>
      <w:r w:rsidR="00577995" w:rsidRPr="00577995">
        <w:rPr>
          <w:rFonts w:ascii="Times New Roman" w:hAnsi="Times New Roman"/>
          <w:noProof/>
          <w:sz w:val="24"/>
        </w:rPr>
        <w:t xml:space="preserve"> a o </w:t>
      </w:r>
      <w:r w:rsidRPr="00577995">
        <w:rPr>
          <w:rFonts w:ascii="Times New Roman" w:hAnsi="Times New Roman"/>
          <w:noProof/>
          <w:sz w:val="24"/>
        </w:rPr>
        <w:t>vykonávaní transakcií financovania. Šesťmesačné plány financovania predstavujú základ tejto komunikácie, pričom sa oznamujú cieľové sumy</w:t>
      </w:r>
      <w:r w:rsidR="00577995" w:rsidRPr="00577995">
        <w:rPr>
          <w:rFonts w:ascii="Times New Roman" w:hAnsi="Times New Roman"/>
          <w:noProof/>
          <w:sz w:val="24"/>
        </w:rPr>
        <w:t xml:space="preserve"> a </w:t>
      </w:r>
      <w:r w:rsidRPr="00577995">
        <w:rPr>
          <w:rFonts w:ascii="Times New Roman" w:hAnsi="Times New Roman"/>
          <w:noProof/>
          <w:sz w:val="24"/>
        </w:rPr>
        <w:t>dátumy, pokiaľ ide</w:t>
      </w:r>
      <w:r w:rsidR="00577995" w:rsidRPr="00577995">
        <w:rPr>
          <w:rFonts w:ascii="Times New Roman" w:hAnsi="Times New Roman"/>
          <w:noProof/>
          <w:sz w:val="24"/>
        </w:rPr>
        <w:t xml:space="preserve"> o </w:t>
      </w:r>
      <w:r w:rsidRPr="00577995">
        <w:rPr>
          <w:rFonts w:ascii="Times New Roman" w:hAnsi="Times New Roman"/>
          <w:noProof/>
          <w:sz w:val="24"/>
        </w:rPr>
        <w:t>syndikácie</w:t>
      </w:r>
      <w:r w:rsidR="00577995" w:rsidRPr="00577995">
        <w:rPr>
          <w:rFonts w:ascii="Times New Roman" w:hAnsi="Times New Roman"/>
          <w:noProof/>
          <w:sz w:val="24"/>
        </w:rPr>
        <w:t xml:space="preserve"> a </w:t>
      </w:r>
      <w:r w:rsidRPr="00577995">
        <w:rPr>
          <w:rFonts w:ascii="Times New Roman" w:hAnsi="Times New Roman"/>
          <w:noProof/>
          <w:sz w:val="24"/>
        </w:rPr>
        <w:t>aukcie počas nasledujúcich šiestich mesiacov. Prostredníctvom konzistentnej</w:t>
      </w:r>
      <w:r w:rsidR="00577995" w:rsidRPr="00577995">
        <w:rPr>
          <w:rFonts w:ascii="Times New Roman" w:hAnsi="Times New Roman"/>
          <w:noProof/>
          <w:sz w:val="24"/>
        </w:rPr>
        <w:t xml:space="preserve"> a </w:t>
      </w:r>
      <w:r w:rsidRPr="00577995">
        <w:rPr>
          <w:rFonts w:ascii="Times New Roman" w:hAnsi="Times New Roman"/>
          <w:noProof/>
          <w:sz w:val="24"/>
        </w:rPr>
        <w:t>účinnej komunikácie</w:t>
      </w:r>
      <w:r w:rsidR="00577995" w:rsidRPr="00577995">
        <w:rPr>
          <w:rFonts w:ascii="Times New Roman" w:hAnsi="Times New Roman"/>
          <w:noProof/>
          <w:sz w:val="24"/>
        </w:rPr>
        <w:t xml:space="preserve"> o </w:t>
      </w:r>
      <w:r w:rsidRPr="00577995">
        <w:rPr>
          <w:rFonts w:ascii="Times New Roman" w:hAnsi="Times New Roman"/>
          <w:noProof/>
          <w:sz w:val="24"/>
        </w:rPr>
        <w:t>svojich činnostiach sa EÚ ako pravidelný</w:t>
      </w:r>
      <w:r w:rsidR="00577995" w:rsidRPr="00577995">
        <w:rPr>
          <w:rFonts w:ascii="Times New Roman" w:hAnsi="Times New Roman"/>
          <w:noProof/>
          <w:sz w:val="24"/>
        </w:rPr>
        <w:t xml:space="preserve"> a </w:t>
      </w:r>
      <w:r w:rsidRPr="00577995">
        <w:rPr>
          <w:rFonts w:ascii="Times New Roman" w:hAnsi="Times New Roman"/>
          <w:noProof/>
          <w:sz w:val="24"/>
        </w:rPr>
        <w:t>veľký emitent snaží prehĺbiť svoju základňu investorov</w:t>
      </w:r>
      <w:r w:rsidR="00577995" w:rsidRPr="00577995">
        <w:rPr>
          <w:rFonts w:ascii="Times New Roman" w:hAnsi="Times New Roman"/>
          <w:noProof/>
          <w:sz w:val="24"/>
        </w:rPr>
        <w:t xml:space="preserve"> a </w:t>
      </w:r>
      <w:r w:rsidRPr="00577995">
        <w:rPr>
          <w:rFonts w:ascii="Times New Roman" w:hAnsi="Times New Roman"/>
          <w:noProof/>
          <w:sz w:val="24"/>
        </w:rPr>
        <w:t>takisto ju (geograficky) rozšíriť. Vďaka proaktívnemu riadeniu vzťahov</w:t>
      </w:r>
      <w:r w:rsidR="00577995" w:rsidRPr="00577995">
        <w:rPr>
          <w:rFonts w:ascii="Times New Roman" w:hAnsi="Times New Roman"/>
          <w:noProof/>
          <w:sz w:val="24"/>
        </w:rPr>
        <w:t xml:space="preserve"> s </w:t>
      </w:r>
      <w:r w:rsidRPr="00577995">
        <w:rPr>
          <w:rFonts w:ascii="Times New Roman" w:hAnsi="Times New Roman"/>
          <w:noProof/>
          <w:sz w:val="24"/>
        </w:rPr>
        <w:t>investormi Komisia buduje</w:t>
      </w:r>
      <w:r w:rsidR="00577995" w:rsidRPr="00577995">
        <w:rPr>
          <w:rFonts w:ascii="Times New Roman" w:hAnsi="Times New Roman"/>
          <w:noProof/>
          <w:sz w:val="24"/>
        </w:rPr>
        <w:t xml:space="preserve"> a </w:t>
      </w:r>
      <w:r w:rsidRPr="00577995">
        <w:rPr>
          <w:rFonts w:ascii="Times New Roman" w:hAnsi="Times New Roman"/>
          <w:noProof/>
          <w:sz w:val="24"/>
        </w:rPr>
        <w:t>udržiava dôveru so svojou základňou investorov</w:t>
      </w:r>
      <w:r w:rsidR="00577995" w:rsidRPr="00577995">
        <w:rPr>
          <w:rFonts w:ascii="Times New Roman" w:hAnsi="Times New Roman"/>
          <w:noProof/>
          <w:sz w:val="24"/>
        </w:rPr>
        <w:t xml:space="preserve"> a </w:t>
      </w:r>
      <w:r w:rsidRPr="00577995">
        <w:rPr>
          <w:rFonts w:ascii="Times New Roman" w:hAnsi="Times New Roman"/>
          <w:noProof/>
          <w:sz w:val="24"/>
        </w:rPr>
        <w:t xml:space="preserve">presne chápe ich potreby. </w:t>
      </w:r>
    </w:p>
    <w:p w14:paraId="05D33BF1" w14:textId="1B52EC75" w:rsidR="00A046A3" w:rsidRPr="00577995" w:rsidRDefault="00A046A3" w:rsidP="00BE1D7D">
      <w:pPr>
        <w:spacing w:line="240" w:lineRule="auto"/>
        <w:contextualSpacing/>
        <w:jc w:val="both"/>
        <w:rPr>
          <w:noProof/>
        </w:rPr>
      </w:pPr>
      <w:r w:rsidRPr="00577995">
        <w:rPr>
          <w:noProof/>
        </w:rPr>
        <w:t>Vykonávanie uvedených činností je podporené súborom kontrol, ktorý sa skladá</w:t>
      </w:r>
      <w:r w:rsidR="00577995" w:rsidRPr="00577995">
        <w:rPr>
          <w:noProof/>
        </w:rPr>
        <w:t xml:space="preserve"> z </w:t>
      </w:r>
      <w:r w:rsidRPr="00577995">
        <w:rPr>
          <w:noProof/>
        </w:rPr>
        <w:t>dvoch organizačne nezávislých „obranných línií“. Umožňujú efektívne vykonávanie</w:t>
      </w:r>
      <w:r w:rsidR="00577995" w:rsidRPr="00577995">
        <w:rPr>
          <w:noProof/>
        </w:rPr>
        <w:t xml:space="preserve"> a </w:t>
      </w:r>
      <w:r w:rsidRPr="00577995">
        <w:rPr>
          <w:noProof/>
        </w:rPr>
        <w:t>vyrovnanie transakcií</w:t>
      </w:r>
      <w:r w:rsidR="00577995" w:rsidRPr="00577995">
        <w:rPr>
          <w:noProof/>
        </w:rPr>
        <w:t xml:space="preserve"> a </w:t>
      </w:r>
      <w:r w:rsidRPr="00577995">
        <w:rPr>
          <w:noProof/>
        </w:rPr>
        <w:t xml:space="preserve">pomáhajú formovať správanie všetkých strán zapojených do vykonávania programu. Kontroly </w:t>
      </w:r>
      <w:r w:rsidRPr="00577995">
        <w:rPr>
          <w:i/>
          <w:noProof/>
        </w:rPr>
        <w:t>ex ante</w:t>
      </w:r>
      <w:r w:rsidR="00577995" w:rsidRPr="00577995">
        <w:rPr>
          <w:noProof/>
        </w:rPr>
        <w:t xml:space="preserve"> a </w:t>
      </w:r>
      <w:r w:rsidRPr="00577995">
        <w:rPr>
          <w:i/>
          <w:noProof/>
        </w:rPr>
        <w:t>ex post</w:t>
      </w:r>
      <w:r w:rsidRPr="00577995">
        <w:rPr>
          <w:noProof/>
        </w:rPr>
        <w:t xml:space="preserve"> takisto zabezpečujú, že emisie EÚ sú</w:t>
      </w:r>
      <w:r w:rsidR="00577995" w:rsidRPr="00577995">
        <w:rPr>
          <w:noProof/>
        </w:rPr>
        <w:t xml:space="preserve"> v </w:t>
      </w:r>
      <w:r w:rsidRPr="00577995">
        <w:rPr>
          <w:noProof/>
        </w:rPr>
        <w:t>súlade</w:t>
      </w:r>
      <w:r w:rsidR="00577995" w:rsidRPr="00577995">
        <w:rPr>
          <w:noProof/>
        </w:rPr>
        <w:t xml:space="preserve"> s </w:t>
      </w:r>
      <w:r w:rsidRPr="00577995">
        <w:rPr>
          <w:noProof/>
        </w:rPr>
        <w:t>riadením</w:t>
      </w:r>
      <w:r w:rsidR="00577995" w:rsidRPr="00577995">
        <w:rPr>
          <w:noProof/>
        </w:rPr>
        <w:t xml:space="preserve"> a </w:t>
      </w:r>
      <w:r w:rsidRPr="00577995">
        <w:rPr>
          <w:noProof/>
        </w:rPr>
        <w:t>zohľadňujú prevládajúce trhové podmienky.</w:t>
      </w:r>
    </w:p>
    <w:p w14:paraId="4BDCBEF5" w14:textId="77777777" w:rsidR="00BE1D7D" w:rsidRPr="00577995" w:rsidRDefault="00BE1D7D" w:rsidP="00BE1D7D">
      <w:pPr>
        <w:spacing w:line="240" w:lineRule="auto"/>
        <w:contextualSpacing/>
        <w:jc w:val="both"/>
        <w:rPr>
          <w:b/>
          <w:i/>
          <w:noProof/>
        </w:rPr>
      </w:pPr>
    </w:p>
    <w:p w14:paraId="13AF4619" w14:textId="012A3916" w:rsidR="00A046A3" w:rsidRPr="00577995" w:rsidRDefault="00A046A3" w:rsidP="00BE1D7D">
      <w:pPr>
        <w:spacing w:line="240" w:lineRule="auto"/>
        <w:contextualSpacing/>
        <w:jc w:val="both"/>
        <w:rPr>
          <w:b/>
          <w:i/>
          <w:noProof/>
        </w:rPr>
      </w:pPr>
      <w:r w:rsidRPr="00577995">
        <w:rPr>
          <w:b/>
          <w:i/>
          <w:noProof/>
        </w:rPr>
        <w:t>Záverečné úvahy</w:t>
      </w:r>
    </w:p>
    <w:p w14:paraId="4620F3BD" w14:textId="6C05849B" w:rsidR="00A046A3" w:rsidRPr="00577995" w:rsidRDefault="00724759" w:rsidP="00BE1D7D">
      <w:pPr>
        <w:spacing w:line="240" w:lineRule="auto"/>
        <w:contextualSpacing/>
        <w:jc w:val="both"/>
        <w:rPr>
          <w:noProof/>
        </w:rPr>
      </w:pPr>
      <w:r w:rsidRPr="00577995">
        <w:rPr>
          <w:noProof/>
        </w:rPr>
        <w:t>Kľúčové hybné sily programu umožňujú EÚ čo najlepšie využívať svoj vysoký úverový rating</w:t>
      </w:r>
      <w:r w:rsidR="00577995" w:rsidRPr="00577995">
        <w:rPr>
          <w:noProof/>
        </w:rPr>
        <w:t xml:space="preserve"> a </w:t>
      </w:r>
      <w:r w:rsidRPr="00577995">
        <w:rPr>
          <w:noProof/>
        </w:rPr>
        <w:t>zároveň poskytovať investorom pravidelnú</w:t>
      </w:r>
      <w:r w:rsidR="00577995" w:rsidRPr="00577995">
        <w:rPr>
          <w:noProof/>
        </w:rPr>
        <w:t xml:space="preserve"> a </w:t>
      </w:r>
      <w:r w:rsidRPr="00577995">
        <w:rPr>
          <w:noProof/>
        </w:rPr>
        <w:t>predvídateľnú sériu značných emisií. To zase vytvára platformu pre EÚ na prilákanie silného dopytu investorov</w:t>
      </w:r>
      <w:r w:rsidR="00577995" w:rsidRPr="00577995">
        <w:rPr>
          <w:noProof/>
        </w:rPr>
        <w:t xml:space="preserve"> s </w:t>
      </w:r>
      <w:r w:rsidRPr="00577995">
        <w:rPr>
          <w:noProof/>
        </w:rPr>
        <w:t>nízkou ochotou podstupovať riziká</w:t>
      </w:r>
      <w:r w:rsidR="00577995" w:rsidRPr="00577995">
        <w:rPr>
          <w:noProof/>
        </w:rPr>
        <w:t xml:space="preserve"> a </w:t>
      </w:r>
      <w:r w:rsidRPr="00577995">
        <w:rPr>
          <w:noProof/>
        </w:rPr>
        <w:t>rozsiahlymi investičnými potrebami, ako aj investorov</w:t>
      </w:r>
      <w:r w:rsidR="00577995" w:rsidRPr="00577995">
        <w:rPr>
          <w:noProof/>
        </w:rPr>
        <w:t xml:space="preserve"> s </w:t>
      </w:r>
      <w:r w:rsidRPr="00577995">
        <w:rPr>
          <w:noProof/>
        </w:rPr>
        <w:t>investičnými potrebami založenými na regulácii (centrálne banky, treasury útvary bánk, správcovia aktív, dôchodkové fondy</w:t>
      </w:r>
      <w:r w:rsidR="00577995" w:rsidRPr="00577995">
        <w:rPr>
          <w:noProof/>
        </w:rPr>
        <w:t xml:space="preserve"> a </w:t>
      </w:r>
      <w:r w:rsidRPr="00577995">
        <w:rPr>
          <w:noProof/>
        </w:rPr>
        <w:t xml:space="preserve">poisťovne). </w:t>
      </w:r>
    </w:p>
    <w:p w14:paraId="6F30BD56" w14:textId="77777777" w:rsidR="00BE1D7D" w:rsidRPr="00577995" w:rsidRDefault="00BE1D7D" w:rsidP="00BE1D7D">
      <w:pPr>
        <w:spacing w:line="240" w:lineRule="auto"/>
        <w:contextualSpacing/>
        <w:jc w:val="both"/>
        <w:rPr>
          <w:noProof/>
        </w:rPr>
      </w:pPr>
    </w:p>
    <w:p w14:paraId="79337E83" w14:textId="019022E3" w:rsidR="00A046A3" w:rsidRPr="00577995" w:rsidRDefault="00A046A3" w:rsidP="00BE1D7D">
      <w:pPr>
        <w:spacing w:line="240" w:lineRule="auto"/>
        <w:contextualSpacing/>
        <w:jc w:val="both"/>
        <w:rPr>
          <w:noProof/>
        </w:rPr>
      </w:pPr>
      <w:r w:rsidRPr="00577995">
        <w:rPr>
          <w:noProof/>
        </w:rPr>
        <w:t>V tabuľke 1 sú uvedené niektoré ukazovatele, ktoré možno zohľadniť pri sledovaní vykonávania piatich základných prvkov prístupu EÚ</w:t>
      </w:r>
      <w:r w:rsidR="00577995" w:rsidRPr="00577995">
        <w:rPr>
          <w:noProof/>
        </w:rPr>
        <w:t xml:space="preserve"> k </w:t>
      </w:r>
      <w:r w:rsidRPr="00577995">
        <w:rPr>
          <w:noProof/>
        </w:rPr>
        <w:t>financovaniu zo strany Komisie,</w:t>
      </w:r>
      <w:r w:rsidR="00577995" w:rsidRPr="00577995">
        <w:rPr>
          <w:noProof/>
        </w:rPr>
        <w:t xml:space="preserve"> a </w:t>
      </w:r>
      <w:r w:rsidRPr="00577995">
        <w:rPr>
          <w:noProof/>
        </w:rPr>
        <w:t>teda jej pokroku pri dosahovaní zastrešujúcich cieľov účinnosti</w:t>
      </w:r>
      <w:r w:rsidR="00577995" w:rsidRPr="00577995">
        <w:rPr>
          <w:noProof/>
        </w:rPr>
        <w:t xml:space="preserve"> a </w:t>
      </w:r>
      <w:r w:rsidRPr="00577995">
        <w:rPr>
          <w:noProof/>
        </w:rPr>
        <w:t>efektívnosti. Komisia bude poskytovať informácie</w:t>
      </w:r>
      <w:r w:rsidR="00577995" w:rsidRPr="00577995">
        <w:rPr>
          <w:noProof/>
        </w:rPr>
        <w:t xml:space="preserve"> o </w:t>
      </w:r>
      <w:r w:rsidRPr="00577995">
        <w:rPr>
          <w:noProof/>
        </w:rPr>
        <w:t>týchto ukazovateľoch vo svojej polročnej správe</w:t>
      </w:r>
      <w:r w:rsidR="00577995" w:rsidRPr="00577995">
        <w:rPr>
          <w:noProof/>
        </w:rPr>
        <w:t xml:space="preserve"> o </w:t>
      </w:r>
      <w:r w:rsidRPr="00577995">
        <w:rPr>
          <w:noProof/>
        </w:rPr>
        <w:t>vykonávaní operácií vypožičiavania si prostriedkov, riadenia dlhu</w:t>
      </w:r>
      <w:r w:rsidR="00577995" w:rsidRPr="00577995">
        <w:rPr>
          <w:noProof/>
        </w:rPr>
        <w:t xml:space="preserve"> a </w:t>
      </w:r>
      <w:r w:rsidRPr="00577995">
        <w:rPr>
          <w:noProof/>
        </w:rPr>
        <w:t>súvisiacich operácií poskytovania úverov podľa článku 12 vykonávacieho rozhodnutia Komisie C(2022) 9700</w:t>
      </w:r>
      <w:r w:rsidR="00577995" w:rsidRPr="00577995">
        <w:rPr>
          <w:noProof/>
        </w:rPr>
        <w:t xml:space="preserve"> a </w:t>
      </w:r>
      <w:r w:rsidRPr="00577995">
        <w:rPr>
          <w:noProof/>
        </w:rPr>
        <w:t>vyjadrí sa</w:t>
      </w:r>
      <w:r w:rsidR="00577995" w:rsidRPr="00577995">
        <w:rPr>
          <w:noProof/>
        </w:rPr>
        <w:t xml:space="preserve"> k </w:t>
      </w:r>
      <w:r w:rsidRPr="00577995">
        <w:rPr>
          <w:noProof/>
        </w:rPr>
        <w:t>akémukoľvek spozorovanému významnému vývoju.</w:t>
      </w:r>
    </w:p>
    <w:p w14:paraId="09B59755" w14:textId="77777777" w:rsidR="00BE1D7D" w:rsidRPr="00577995" w:rsidRDefault="00BE1D7D" w:rsidP="00BE1D7D">
      <w:pPr>
        <w:spacing w:line="240" w:lineRule="auto"/>
        <w:contextualSpacing/>
        <w:jc w:val="both"/>
        <w:rPr>
          <w:noProof/>
        </w:rPr>
      </w:pPr>
    </w:p>
    <w:p w14:paraId="19D87F4C" w14:textId="0B04FC0F" w:rsidR="00BE1D7D" w:rsidRPr="00577995" w:rsidRDefault="00B42064" w:rsidP="00BE1D7D">
      <w:pPr>
        <w:spacing w:line="240" w:lineRule="auto"/>
        <w:contextualSpacing/>
        <w:jc w:val="both"/>
        <w:rPr>
          <w:noProof/>
        </w:rPr>
      </w:pPr>
      <w:r w:rsidRPr="00577995">
        <w:rPr>
          <w:noProof/>
        </w:rPr>
        <w:t>Kvalifikovaným vykonávaním uvedených činností môže Komisia dosiahnuť nákladovo najefektívnejšie výsledky svojej emisie</w:t>
      </w:r>
      <w:r w:rsidR="00577995" w:rsidRPr="00577995">
        <w:rPr>
          <w:noProof/>
        </w:rPr>
        <w:t xml:space="preserve"> v </w:t>
      </w:r>
      <w:r w:rsidRPr="00577995">
        <w:rPr>
          <w:noProof/>
        </w:rPr>
        <w:t>mene prijímateľov vrátane rozpočtu EÚ, ktorý znáša náklady na nenávratnú podporu financovanú</w:t>
      </w:r>
      <w:r w:rsidR="00577995" w:rsidRPr="00577995">
        <w:rPr>
          <w:noProof/>
        </w:rPr>
        <w:t xml:space="preserve"> z </w:t>
      </w:r>
      <w:r w:rsidRPr="00577995">
        <w:rPr>
          <w:noProof/>
        </w:rPr>
        <w:t>úverov. Náklady na financovanie emisie EÚ vypočítané na základe váženého priemeru jej transakcií financovania sú určené najmä faktormi, nad ktorými EÚ nemá kontrolu – najmä trhovými sadzbami na širšom trhu, ale</w:t>
      </w:r>
      <w:r w:rsidR="00577995" w:rsidRPr="00577995">
        <w:rPr>
          <w:noProof/>
        </w:rPr>
        <w:t xml:space="preserve"> v </w:t>
      </w:r>
      <w:r w:rsidRPr="00577995">
        <w:rPr>
          <w:noProof/>
        </w:rPr>
        <w:t>súčasnosti aj pohybmi swapovej krivky</w:t>
      </w:r>
      <w:r w:rsidR="00577995" w:rsidRPr="00577995">
        <w:rPr>
          <w:noProof/>
        </w:rPr>
        <w:t xml:space="preserve"> v </w:t>
      </w:r>
      <w:r w:rsidRPr="00577995">
        <w:rPr>
          <w:noProof/>
        </w:rPr>
        <w:t>pomere</w:t>
      </w:r>
      <w:r w:rsidR="00577995" w:rsidRPr="00577995">
        <w:rPr>
          <w:noProof/>
        </w:rPr>
        <w:t xml:space="preserve"> k </w:t>
      </w:r>
      <w:r w:rsidRPr="00577995">
        <w:rPr>
          <w:noProof/>
        </w:rPr>
        <w:t>trhovej sadzbe. Na absolútne náklady na financovanie operácií EÚ preto majú vplyv najmä iné faktory, než je efektívne</w:t>
      </w:r>
      <w:r w:rsidR="00577995" w:rsidRPr="00577995">
        <w:rPr>
          <w:noProof/>
        </w:rPr>
        <w:t xml:space="preserve"> a </w:t>
      </w:r>
      <w:r w:rsidRPr="00577995">
        <w:rPr>
          <w:noProof/>
        </w:rPr>
        <w:t>účinné vykonávanie jednotného prístupu</w:t>
      </w:r>
      <w:r w:rsidR="00577995" w:rsidRPr="00577995">
        <w:rPr>
          <w:noProof/>
        </w:rPr>
        <w:t xml:space="preserve"> k </w:t>
      </w:r>
      <w:r w:rsidRPr="00577995">
        <w:rPr>
          <w:noProof/>
        </w:rPr>
        <w:t>financovaniu. Trvalé</w:t>
      </w:r>
      <w:r w:rsidR="00577995" w:rsidRPr="00577995">
        <w:rPr>
          <w:noProof/>
        </w:rPr>
        <w:t xml:space="preserve"> a </w:t>
      </w:r>
      <w:r w:rsidRPr="00577995">
        <w:rPr>
          <w:noProof/>
        </w:rPr>
        <w:t>účinné vykonávanie je však dôležité pre postavenie EÚ na trhu</w:t>
      </w:r>
      <w:r w:rsidR="00577995" w:rsidRPr="00577995">
        <w:rPr>
          <w:noProof/>
        </w:rPr>
        <w:t xml:space="preserve"> a </w:t>
      </w:r>
      <w:r w:rsidRPr="00577995">
        <w:rPr>
          <w:noProof/>
        </w:rPr>
        <w:t>pre jej úsilie</w:t>
      </w:r>
      <w:r w:rsidR="00577995" w:rsidRPr="00577995">
        <w:rPr>
          <w:noProof/>
        </w:rPr>
        <w:t xml:space="preserve"> o </w:t>
      </w:r>
      <w:r w:rsidRPr="00577995">
        <w:rPr>
          <w:noProof/>
        </w:rPr>
        <w:t>postupné zosúladenie obchodovania</w:t>
      </w:r>
      <w:r w:rsidR="00577995" w:rsidRPr="00577995">
        <w:rPr>
          <w:noProof/>
        </w:rPr>
        <w:t xml:space="preserve"> s </w:t>
      </w:r>
      <w:r w:rsidRPr="00577995">
        <w:rPr>
          <w:noProof/>
        </w:rPr>
        <w:t>dlhopismi EÚ</w:t>
      </w:r>
      <w:r w:rsidR="00577995" w:rsidRPr="00577995">
        <w:rPr>
          <w:noProof/>
        </w:rPr>
        <w:t xml:space="preserve"> a </w:t>
      </w:r>
      <w:r w:rsidRPr="00577995">
        <w:rPr>
          <w:noProof/>
        </w:rPr>
        <w:t>ich oceňovania</w:t>
      </w:r>
      <w:r w:rsidR="00577995" w:rsidRPr="00577995">
        <w:rPr>
          <w:noProof/>
        </w:rPr>
        <w:t xml:space="preserve"> s </w:t>
      </w:r>
      <w:r w:rsidRPr="00577995">
        <w:rPr>
          <w:noProof/>
        </w:rPr>
        <w:t>procesmi používanými pre likvidné európske štátne dlhopisy.</w:t>
      </w:r>
      <w:r w:rsidR="00577995" w:rsidRPr="00577995">
        <w:rPr>
          <w:noProof/>
        </w:rPr>
        <w:t xml:space="preserve"> Z </w:t>
      </w:r>
      <w:r w:rsidRPr="00577995">
        <w:rPr>
          <w:noProof/>
        </w:rPr>
        <w:t>tohto dôvodu sa metrika nákladov nepovažuje za vhodný ukazovateľ na posúdenie toho, ako Komisia používa prostriedky, ktoré má pod kontrolou, na dosiahnutie primárnych cieľov efektívnosti</w:t>
      </w:r>
      <w:r w:rsidR="00577995" w:rsidRPr="00577995">
        <w:rPr>
          <w:noProof/>
        </w:rPr>
        <w:t xml:space="preserve"> a </w:t>
      </w:r>
      <w:r w:rsidRPr="00577995">
        <w:rPr>
          <w:noProof/>
        </w:rPr>
        <w:t>účinnosti.</w:t>
      </w:r>
    </w:p>
    <w:p w14:paraId="21D505C1" w14:textId="77777777" w:rsidR="00BE1D7D" w:rsidRPr="00577995" w:rsidRDefault="00BE1D7D" w:rsidP="00BE1D7D">
      <w:pPr>
        <w:spacing w:line="240" w:lineRule="auto"/>
        <w:contextualSpacing/>
        <w:jc w:val="both"/>
        <w:rPr>
          <w:noProof/>
        </w:rPr>
      </w:pPr>
    </w:p>
    <w:p w14:paraId="47895429" w14:textId="5D6899C9" w:rsidR="00A046A3" w:rsidRPr="00577995" w:rsidRDefault="006C29D5" w:rsidP="00BE1D7D">
      <w:pPr>
        <w:spacing w:line="240" w:lineRule="auto"/>
        <w:contextualSpacing/>
        <w:jc w:val="both"/>
        <w:rPr>
          <w:noProof/>
        </w:rPr>
      </w:pPr>
      <w:r w:rsidRPr="00577995">
        <w:rPr>
          <w:noProof/>
        </w:rPr>
        <w:t>Hoci informácie</w:t>
      </w:r>
      <w:r w:rsidR="00577995" w:rsidRPr="00577995">
        <w:rPr>
          <w:noProof/>
        </w:rPr>
        <w:t xml:space="preserve"> o </w:t>
      </w:r>
      <w:r w:rsidRPr="00577995">
        <w:rPr>
          <w:noProof/>
        </w:rPr>
        <w:t>objemoch</w:t>
      </w:r>
      <w:r w:rsidR="00577995" w:rsidRPr="00577995">
        <w:rPr>
          <w:noProof/>
        </w:rPr>
        <w:t xml:space="preserve"> a </w:t>
      </w:r>
      <w:r w:rsidRPr="00577995">
        <w:rPr>
          <w:noProof/>
        </w:rPr>
        <w:t>nákladoch nepredstavujú ukazovatele, ktoré môžu byť ovplyvnené spôsobom, akým Komisia využíva hybné sily, ktoré má</w:t>
      </w:r>
      <w:r w:rsidR="00577995" w:rsidRPr="00577995">
        <w:rPr>
          <w:noProof/>
        </w:rPr>
        <w:t xml:space="preserve"> k </w:t>
      </w:r>
      <w:r w:rsidRPr="00577995">
        <w:rPr>
          <w:noProof/>
        </w:rPr>
        <w:t>dispozícii</w:t>
      </w:r>
      <w:r w:rsidR="00577995" w:rsidRPr="00577995">
        <w:rPr>
          <w:noProof/>
        </w:rPr>
        <w:t xml:space="preserve"> v </w:t>
      </w:r>
      <w:r w:rsidRPr="00577995">
        <w:rPr>
          <w:noProof/>
        </w:rPr>
        <w:t>rámci stratégie financovania, majú jednoznačne kľúčový význam pre pochopenie toho, ako sa program financovania vyvíja. Komisia preto do svojich polročných správ zahrnie informácie</w:t>
      </w:r>
      <w:r w:rsidR="00577995" w:rsidRPr="00577995">
        <w:rPr>
          <w:noProof/>
        </w:rPr>
        <w:t xml:space="preserve"> o </w:t>
      </w:r>
      <w:r w:rsidRPr="00577995">
        <w:rPr>
          <w:noProof/>
        </w:rPr>
        <w:t>celkových objemoch</w:t>
      </w:r>
      <w:r w:rsidR="00577995" w:rsidRPr="00577995">
        <w:rPr>
          <w:noProof/>
        </w:rPr>
        <w:t xml:space="preserve"> a </w:t>
      </w:r>
      <w:r w:rsidRPr="00577995">
        <w:rPr>
          <w:noProof/>
        </w:rPr>
        <w:t xml:space="preserve">priemerných nákladoch na financovanie. </w:t>
      </w:r>
    </w:p>
    <w:p w14:paraId="3BE10FAE" w14:textId="77777777" w:rsidR="00BE1D7D" w:rsidRPr="00577995" w:rsidRDefault="00BE1D7D" w:rsidP="00BE1D7D">
      <w:pPr>
        <w:spacing w:line="240" w:lineRule="auto"/>
        <w:contextualSpacing/>
        <w:jc w:val="both"/>
        <w:rPr>
          <w:noProof/>
        </w:rPr>
      </w:pPr>
    </w:p>
    <w:p w14:paraId="7DBF6AC6" w14:textId="1FE31D52" w:rsidR="00BB3A2B" w:rsidRDefault="00A046A3" w:rsidP="00BB3A2B">
      <w:pPr>
        <w:spacing w:line="240" w:lineRule="auto"/>
        <w:contextualSpacing/>
        <w:jc w:val="both"/>
        <w:rPr>
          <w:noProof/>
        </w:rPr>
      </w:pPr>
      <w:r w:rsidRPr="00577995">
        <w:rPr>
          <w:noProof/>
        </w:rPr>
        <w:t>Pripomína sa, že rozmery operácií vypožičiavania si prostriedkov</w:t>
      </w:r>
      <w:r w:rsidR="00577995" w:rsidRPr="00577995">
        <w:rPr>
          <w:noProof/>
        </w:rPr>
        <w:t xml:space="preserve"> a </w:t>
      </w:r>
      <w:r w:rsidRPr="00577995">
        <w:rPr>
          <w:noProof/>
        </w:rPr>
        <w:t>riadenia dlhu, ktoré sa majú vykonať, sú stanovené</w:t>
      </w:r>
      <w:r w:rsidR="00577995" w:rsidRPr="00577995">
        <w:rPr>
          <w:noProof/>
        </w:rPr>
        <w:t xml:space="preserve"> v </w:t>
      </w:r>
      <w:r w:rsidRPr="00577995">
        <w:rPr>
          <w:noProof/>
        </w:rPr>
        <w:t>ročnom rozhodnutí Komisie</w:t>
      </w:r>
      <w:r w:rsidR="00577995" w:rsidRPr="00577995">
        <w:rPr>
          <w:noProof/>
        </w:rPr>
        <w:t xml:space="preserve"> o </w:t>
      </w:r>
      <w:r w:rsidRPr="00577995">
        <w:rPr>
          <w:noProof/>
        </w:rPr>
        <w:t>vypožičaní si prostriedkov</w:t>
      </w:r>
      <w:r w:rsidR="00577995" w:rsidRPr="00577995">
        <w:rPr>
          <w:noProof/>
        </w:rPr>
        <w:t xml:space="preserve"> a v </w:t>
      </w:r>
      <w:r w:rsidRPr="00577995">
        <w:rPr>
          <w:noProof/>
        </w:rPr>
        <w:t>sprievodných polročných plánoch financovania, čím sa obmedzuje celková expozícia rozpočtu EÚ</w:t>
      </w:r>
      <w:r w:rsidR="00577995" w:rsidRPr="00577995">
        <w:rPr>
          <w:noProof/>
        </w:rPr>
        <w:t xml:space="preserve"> a </w:t>
      </w:r>
      <w:r w:rsidRPr="00577995">
        <w:rPr>
          <w:noProof/>
        </w:rPr>
        <w:t>prijímateľov úverov</w:t>
      </w:r>
      <w:r w:rsidRPr="00577995">
        <w:rPr>
          <w:rStyle w:val="FootnoteReference"/>
          <w:noProof/>
        </w:rPr>
        <w:footnoteReference w:id="11"/>
      </w:r>
      <w:r w:rsidRPr="00577995">
        <w:rPr>
          <w:noProof/>
        </w:rPr>
        <w:t>.</w:t>
      </w:r>
    </w:p>
    <w:p w14:paraId="66E891F4" w14:textId="77777777" w:rsidR="00BB3A2B" w:rsidRDefault="00BB3A2B">
      <w:pPr>
        <w:spacing w:after="160" w:line="259" w:lineRule="auto"/>
        <w:rPr>
          <w:noProof/>
        </w:rPr>
      </w:pPr>
      <w:r>
        <w:rPr>
          <w:noProof/>
        </w:rPr>
        <w:br w:type="page"/>
      </w:r>
    </w:p>
    <w:p w14:paraId="5BF34D23" w14:textId="77777777" w:rsidR="00A046A3" w:rsidRPr="00577995" w:rsidRDefault="00A046A3" w:rsidP="00BB3A2B">
      <w:pPr>
        <w:spacing w:line="240" w:lineRule="auto"/>
        <w:contextualSpacing/>
        <w:jc w:val="both"/>
        <w:rPr>
          <w:noProof/>
        </w:rPr>
        <w:sectPr w:rsidR="00A046A3" w:rsidRPr="00577995">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pPr>
    </w:p>
    <w:p w14:paraId="33702F55" w14:textId="6C072B6E" w:rsidR="00A046A3" w:rsidRPr="00577995" w:rsidRDefault="00A046A3" w:rsidP="00A046A3">
      <w:pPr>
        <w:rPr>
          <w:b/>
          <w:bCs/>
          <w:noProof/>
        </w:rPr>
      </w:pPr>
      <w:r w:rsidRPr="00577995">
        <w:rPr>
          <w:b/>
          <w:noProof/>
        </w:rPr>
        <w:t>Tabuľka 1: Ukazovatele vykonávania týkajúce sa využívania prostriedkov na plnenie cieľov Komisie</w:t>
      </w:r>
      <w:r w:rsidR="00577995" w:rsidRPr="00577995">
        <w:rPr>
          <w:b/>
          <w:noProof/>
        </w:rPr>
        <w:t xml:space="preserve"> v </w:t>
      </w:r>
      <w:r w:rsidRPr="00577995">
        <w:rPr>
          <w:b/>
          <w:noProof/>
        </w:rPr>
        <w:t>oblasti efektívnosti</w:t>
      </w:r>
      <w:r w:rsidR="00577995" w:rsidRPr="00577995">
        <w:rPr>
          <w:b/>
          <w:noProof/>
        </w:rPr>
        <w:t xml:space="preserve"> a </w:t>
      </w:r>
      <w:r w:rsidRPr="00577995">
        <w:rPr>
          <w:b/>
          <w:noProof/>
        </w:rPr>
        <w:t>účinnosti</w:t>
      </w:r>
    </w:p>
    <w:tbl>
      <w:tblPr>
        <w:tblStyle w:val="TableGrid"/>
        <w:tblW w:w="5165" w:type="pct"/>
        <w:tblLayout w:type="fixed"/>
        <w:tblLook w:val="04A0" w:firstRow="1" w:lastRow="0" w:firstColumn="1" w:lastColumn="0" w:noHBand="0" w:noVBand="1"/>
      </w:tblPr>
      <w:tblGrid>
        <w:gridCol w:w="2376"/>
        <w:gridCol w:w="2273"/>
        <w:gridCol w:w="2548"/>
        <w:gridCol w:w="2695"/>
        <w:gridCol w:w="5383"/>
      </w:tblGrid>
      <w:tr w:rsidR="009944DB" w:rsidRPr="00577995" w14:paraId="67380F59" w14:textId="77777777" w:rsidTr="001D0E63">
        <w:trPr>
          <w:trHeight w:val="273"/>
        </w:trPr>
        <w:tc>
          <w:tcPr>
            <w:tcW w:w="1522" w:type="pct"/>
            <w:gridSpan w:val="2"/>
            <w:vAlign w:val="center"/>
          </w:tcPr>
          <w:p w14:paraId="71D49E07" w14:textId="77777777" w:rsidR="00A046A3" w:rsidRPr="00577995" w:rsidRDefault="00A046A3" w:rsidP="00BE1D7D">
            <w:pPr>
              <w:spacing w:line="240" w:lineRule="auto"/>
              <w:jc w:val="center"/>
              <w:rPr>
                <w:b/>
                <w:bCs/>
                <w:noProof/>
              </w:rPr>
            </w:pPr>
            <w:r w:rsidRPr="00577995">
              <w:rPr>
                <w:b/>
                <w:noProof/>
              </w:rPr>
              <w:t>Prostriedky</w:t>
            </w:r>
          </w:p>
        </w:tc>
        <w:tc>
          <w:tcPr>
            <w:tcW w:w="834" w:type="pct"/>
            <w:vAlign w:val="center"/>
          </w:tcPr>
          <w:p w14:paraId="04BF5DB2" w14:textId="77777777" w:rsidR="00A046A3" w:rsidRPr="00577995" w:rsidRDefault="00A046A3" w:rsidP="00BE1D7D">
            <w:pPr>
              <w:spacing w:line="240" w:lineRule="auto"/>
              <w:jc w:val="center"/>
              <w:rPr>
                <w:b/>
                <w:bCs/>
                <w:noProof/>
              </w:rPr>
            </w:pPr>
            <w:r w:rsidRPr="00577995">
              <w:rPr>
                <w:b/>
                <w:noProof/>
              </w:rPr>
              <w:t>Ukazovateľ</w:t>
            </w:r>
          </w:p>
        </w:tc>
        <w:tc>
          <w:tcPr>
            <w:tcW w:w="882" w:type="pct"/>
            <w:vAlign w:val="center"/>
          </w:tcPr>
          <w:p w14:paraId="3C7A1F8D" w14:textId="6BFF605F" w:rsidR="00A046A3" w:rsidRPr="00577995" w:rsidRDefault="00A046A3" w:rsidP="00BE1D7D">
            <w:pPr>
              <w:spacing w:line="240" w:lineRule="auto"/>
              <w:jc w:val="center"/>
              <w:rPr>
                <w:b/>
                <w:bCs/>
                <w:noProof/>
              </w:rPr>
            </w:pPr>
            <w:r w:rsidRPr="00577995">
              <w:rPr>
                <w:b/>
                <w:noProof/>
              </w:rPr>
              <w:t>Hodnota</w:t>
            </w:r>
            <w:r w:rsidR="00577995" w:rsidRPr="00577995">
              <w:rPr>
                <w:b/>
                <w:noProof/>
              </w:rPr>
              <w:t xml:space="preserve"> v </w:t>
            </w:r>
            <w:r w:rsidRPr="00577995">
              <w:rPr>
                <w:b/>
                <w:noProof/>
              </w:rPr>
              <w:t>prvom polroku 2023 (ak nie je uvedené inak)</w:t>
            </w:r>
          </w:p>
        </w:tc>
        <w:tc>
          <w:tcPr>
            <w:tcW w:w="1763" w:type="pct"/>
          </w:tcPr>
          <w:p w14:paraId="44C57C22" w14:textId="747428EE" w:rsidR="00A046A3" w:rsidRPr="00577995" w:rsidRDefault="00A046A3" w:rsidP="00BE1D7D">
            <w:pPr>
              <w:spacing w:line="240" w:lineRule="auto"/>
              <w:jc w:val="center"/>
              <w:rPr>
                <w:b/>
                <w:bCs/>
                <w:noProof/>
              </w:rPr>
            </w:pPr>
            <w:r w:rsidRPr="00577995">
              <w:rPr>
                <w:b/>
                <w:noProof/>
              </w:rPr>
              <w:t>Komentár</w:t>
            </w:r>
            <w:r w:rsidR="00577995" w:rsidRPr="00577995">
              <w:rPr>
                <w:b/>
                <w:noProof/>
              </w:rPr>
              <w:t xml:space="preserve"> k </w:t>
            </w:r>
            <w:r w:rsidRPr="00577995">
              <w:rPr>
                <w:b/>
                <w:noProof/>
              </w:rPr>
              <w:t>vykonávaniu</w:t>
            </w:r>
            <w:r w:rsidR="00577995" w:rsidRPr="00577995">
              <w:rPr>
                <w:b/>
                <w:noProof/>
              </w:rPr>
              <w:t xml:space="preserve"> v </w:t>
            </w:r>
            <w:r w:rsidRPr="00577995">
              <w:rPr>
                <w:b/>
                <w:noProof/>
              </w:rPr>
              <w:t>prvom polroku 2023</w:t>
            </w:r>
          </w:p>
        </w:tc>
      </w:tr>
      <w:tr w:rsidR="000571C9" w:rsidRPr="00577995" w14:paraId="004D763A" w14:textId="77777777" w:rsidTr="001D0E63">
        <w:trPr>
          <w:trHeight w:val="942"/>
        </w:trPr>
        <w:tc>
          <w:tcPr>
            <w:tcW w:w="778" w:type="pct"/>
            <w:vMerge w:val="restart"/>
          </w:tcPr>
          <w:p w14:paraId="6CB1B1DB" w14:textId="433D6826" w:rsidR="000571C9" w:rsidRPr="00577995" w:rsidRDefault="000571C9" w:rsidP="00BB3A2B">
            <w:pPr>
              <w:pStyle w:val="ListParagraph"/>
              <w:numPr>
                <w:ilvl w:val="0"/>
                <w:numId w:val="3"/>
              </w:numPr>
              <w:spacing w:after="0" w:line="240" w:lineRule="auto"/>
              <w:rPr>
                <w:rFonts w:ascii="Times New Roman" w:hAnsi="Times New Roman" w:cs="Times New Roman"/>
                <w:b/>
                <w:bCs/>
                <w:noProof/>
              </w:rPr>
            </w:pPr>
            <w:r w:rsidRPr="00577995">
              <w:rPr>
                <w:rFonts w:ascii="Times New Roman" w:hAnsi="Times New Roman"/>
                <w:b/>
                <w:noProof/>
              </w:rPr>
              <w:t>Vykonávanie programu dlhopisov EÚ</w:t>
            </w:r>
          </w:p>
          <w:p w14:paraId="7801074E" w14:textId="77777777" w:rsidR="000571C9" w:rsidRPr="00577995" w:rsidRDefault="000571C9" w:rsidP="00BE1D7D">
            <w:pPr>
              <w:spacing w:line="240" w:lineRule="auto"/>
              <w:rPr>
                <w:noProof/>
              </w:rPr>
            </w:pPr>
          </w:p>
        </w:tc>
        <w:tc>
          <w:tcPr>
            <w:tcW w:w="744" w:type="pct"/>
            <w:vMerge w:val="restart"/>
          </w:tcPr>
          <w:p w14:paraId="5A823924" w14:textId="3E584F18" w:rsidR="000571C9" w:rsidRPr="00577995" w:rsidRDefault="000571C9" w:rsidP="00BB3A2B">
            <w:pPr>
              <w:pStyle w:val="ListParagraph"/>
              <w:numPr>
                <w:ilvl w:val="0"/>
                <w:numId w:val="4"/>
              </w:numPr>
              <w:spacing w:after="0" w:line="240" w:lineRule="auto"/>
              <w:rPr>
                <w:rFonts w:ascii="Times New Roman" w:hAnsi="Times New Roman" w:cs="Times New Roman"/>
                <w:noProof/>
                <w:u w:val="single"/>
              </w:rPr>
            </w:pPr>
            <w:r w:rsidRPr="00577995">
              <w:rPr>
                <w:rFonts w:ascii="Times New Roman" w:hAnsi="Times New Roman"/>
                <w:noProof/>
                <w:u w:val="single"/>
              </w:rPr>
              <w:t>Pravidelné emisie</w:t>
            </w:r>
            <w:r w:rsidR="00577995" w:rsidRPr="00577995">
              <w:rPr>
                <w:rFonts w:ascii="Times New Roman" w:hAnsi="Times New Roman"/>
                <w:noProof/>
                <w:u w:val="single"/>
              </w:rPr>
              <w:t xml:space="preserve"> v </w:t>
            </w:r>
            <w:r w:rsidRPr="00577995">
              <w:rPr>
                <w:rFonts w:ascii="Times New Roman" w:hAnsi="Times New Roman"/>
                <w:noProof/>
                <w:u w:val="single"/>
              </w:rPr>
              <w:t>rámci celej krivky</w:t>
            </w:r>
          </w:p>
          <w:p w14:paraId="1D480C48" w14:textId="02AD0F00" w:rsidR="000571C9" w:rsidRPr="00577995" w:rsidRDefault="000571C9" w:rsidP="00BE1D7D">
            <w:pPr>
              <w:pStyle w:val="ListParagraph"/>
              <w:spacing w:line="240" w:lineRule="auto"/>
              <w:ind w:left="360"/>
              <w:rPr>
                <w:rFonts w:ascii="Times New Roman" w:hAnsi="Times New Roman" w:cs="Times New Roman"/>
                <w:noProof/>
              </w:rPr>
            </w:pPr>
            <w:r w:rsidRPr="00577995">
              <w:rPr>
                <w:rFonts w:ascii="Times New Roman" w:hAnsi="Times New Roman"/>
                <w:noProof/>
              </w:rPr>
              <w:t>Pravidelné emisie dlhopisov EÚ (a zelených dlhopisov nástroja NextGenerationEU) vo všetkých splatnostiach</w:t>
            </w:r>
            <w:r w:rsidR="00577995" w:rsidRPr="00577995">
              <w:rPr>
                <w:rFonts w:ascii="Times New Roman" w:hAnsi="Times New Roman"/>
                <w:noProof/>
              </w:rPr>
              <w:t xml:space="preserve"> v </w:t>
            </w:r>
            <w:r w:rsidRPr="00577995">
              <w:rPr>
                <w:rFonts w:ascii="Times New Roman" w:hAnsi="Times New Roman"/>
                <w:noProof/>
              </w:rPr>
              <w:t>rámci celej krivky (do 30 rokov)</w:t>
            </w:r>
            <w:r w:rsidR="00577995" w:rsidRPr="00577995">
              <w:rPr>
                <w:rFonts w:ascii="Times New Roman" w:hAnsi="Times New Roman"/>
                <w:noProof/>
              </w:rPr>
              <w:t xml:space="preserve"> s </w:t>
            </w:r>
            <w:r w:rsidRPr="00577995">
              <w:rPr>
                <w:rFonts w:ascii="Times New Roman" w:hAnsi="Times New Roman"/>
                <w:noProof/>
              </w:rPr>
              <w:t>cieľom poskytnúť rôznym typom investorov investičné príležitosti, pričom ide</w:t>
            </w:r>
            <w:r w:rsidR="00577995" w:rsidRPr="00577995">
              <w:rPr>
                <w:rFonts w:ascii="Times New Roman" w:hAnsi="Times New Roman"/>
                <w:noProof/>
              </w:rPr>
              <w:t xml:space="preserve"> o </w:t>
            </w:r>
            <w:r w:rsidRPr="00577995">
              <w:rPr>
                <w:rFonts w:ascii="Times New Roman" w:hAnsi="Times New Roman"/>
                <w:noProof/>
              </w:rPr>
              <w:t>spôsob zachovania silného dopytu investorov,</w:t>
            </w:r>
            <w:r w:rsidR="00577995" w:rsidRPr="00577995">
              <w:rPr>
                <w:rFonts w:ascii="Times New Roman" w:hAnsi="Times New Roman"/>
                <w:noProof/>
              </w:rPr>
              <w:t xml:space="preserve"> a </w:t>
            </w:r>
            <w:r w:rsidRPr="00577995">
              <w:rPr>
                <w:rFonts w:ascii="Times New Roman" w:hAnsi="Times New Roman"/>
                <w:noProof/>
              </w:rPr>
              <w:t>tým aj flexibility pri určovaní objemu emisií</w:t>
            </w:r>
            <w:r w:rsidR="00577995" w:rsidRPr="00577995">
              <w:rPr>
                <w:rFonts w:ascii="Times New Roman" w:hAnsi="Times New Roman"/>
                <w:noProof/>
              </w:rPr>
              <w:t xml:space="preserve"> a </w:t>
            </w:r>
            <w:r w:rsidRPr="00577995">
              <w:rPr>
                <w:rFonts w:ascii="Times New Roman" w:hAnsi="Times New Roman"/>
                <w:noProof/>
              </w:rPr>
              <w:t>splatností pre jednotlivé transakcie na základe trhových podmienok.</w:t>
            </w:r>
          </w:p>
          <w:p w14:paraId="11AEAD45" w14:textId="77777777" w:rsidR="00E6358D" w:rsidRPr="00577995" w:rsidRDefault="00E6358D" w:rsidP="00BE1D7D">
            <w:pPr>
              <w:pStyle w:val="ListParagraph"/>
              <w:spacing w:line="240" w:lineRule="auto"/>
              <w:ind w:left="360"/>
              <w:rPr>
                <w:rFonts w:ascii="Times New Roman" w:hAnsi="Times New Roman" w:cs="Times New Roman"/>
                <w:noProof/>
              </w:rPr>
            </w:pPr>
          </w:p>
          <w:p w14:paraId="50D6F304" w14:textId="700BD9C7" w:rsidR="00E6358D" w:rsidRPr="00577995" w:rsidRDefault="00E6358D" w:rsidP="00BE1D7D">
            <w:pPr>
              <w:pStyle w:val="ListParagraph"/>
              <w:spacing w:line="240" w:lineRule="auto"/>
              <w:ind w:left="360"/>
              <w:rPr>
                <w:rFonts w:ascii="Times New Roman" w:hAnsi="Times New Roman" w:cs="Times New Roman"/>
                <w:noProof/>
              </w:rPr>
            </w:pPr>
          </w:p>
        </w:tc>
        <w:tc>
          <w:tcPr>
            <w:tcW w:w="834" w:type="pct"/>
          </w:tcPr>
          <w:p w14:paraId="6135D198" w14:textId="77777777" w:rsidR="000571C9" w:rsidRPr="00577995" w:rsidRDefault="000571C9" w:rsidP="00BB3A2B">
            <w:pPr>
              <w:pStyle w:val="ListParagraph"/>
              <w:numPr>
                <w:ilvl w:val="0"/>
                <w:numId w:val="5"/>
              </w:numPr>
              <w:spacing w:after="0" w:line="240" w:lineRule="auto"/>
              <w:ind w:left="313"/>
              <w:rPr>
                <w:rFonts w:ascii="Times New Roman" w:hAnsi="Times New Roman" w:cs="Times New Roman"/>
                <w:i/>
                <w:iCs/>
                <w:noProof/>
              </w:rPr>
            </w:pPr>
            <w:r w:rsidRPr="00577995">
              <w:rPr>
                <w:rFonts w:ascii="Times New Roman" w:hAnsi="Times New Roman"/>
                <w:i/>
                <w:noProof/>
              </w:rPr>
              <w:t>Rozdelenie programu emisie podľa splatnosti</w:t>
            </w:r>
          </w:p>
        </w:tc>
        <w:tc>
          <w:tcPr>
            <w:tcW w:w="882" w:type="pct"/>
          </w:tcPr>
          <w:p w14:paraId="400CD4C2" w14:textId="4DCD7AD2" w:rsidR="000571C9" w:rsidRPr="00577995" w:rsidRDefault="000571C9" w:rsidP="00BE1D7D">
            <w:pPr>
              <w:spacing w:after="0" w:line="240" w:lineRule="auto"/>
              <w:rPr>
                <w:noProof/>
              </w:rPr>
            </w:pPr>
            <w:r w:rsidRPr="00577995">
              <w:rPr>
                <w:noProof/>
              </w:rPr>
              <w:t>1 – 4 roky: 22 %</w:t>
            </w:r>
          </w:p>
          <w:p w14:paraId="474AE620" w14:textId="04A7E724" w:rsidR="000571C9" w:rsidRPr="00577995" w:rsidRDefault="000571C9" w:rsidP="00BE1D7D">
            <w:pPr>
              <w:spacing w:after="0" w:line="240" w:lineRule="auto"/>
              <w:rPr>
                <w:noProof/>
              </w:rPr>
            </w:pPr>
            <w:r w:rsidRPr="00577995">
              <w:rPr>
                <w:noProof/>
              </w:rPr>
              <w:t xml:space="preserve">4 – 8 rokov: 15 % </w:t>
            </w:r>
          </w:p>
          <w:p w14:paraId="1F6B36B0" w14:textId="0BA96611" w:rsidR="000571C9" w:rsidRPr="00577995" w:rsidRDefault="000571C9" w:rsidP="00BE1D7D">
            <w:pPr>
              <w:spacing w:after="0" w:line="240" w:lineRule="auto"/>
              <w:rPr>
                <w:noProof/>
              </w:rPr>
            </w:pPr>
            <w:r w:rsidRPr="00577995">
              <w:rPr>
                <w:noProof/>
              </w:rPr>
              <w:t>8 – 12 rokov: 17 %</w:t>
            </w:r>
          </w:p>
          <w:p w14:paraId="6F1DC857" w14:textId="64D5A160" w:rsidR="000571C9" w:rsidRPr="00577995" w:rsidRDefault="000571C9" w:rsidP="00BE1D7D">
            <w:pPr>
              <w:spacing w:after="0" w:line="240" w:lineRule="auto"/>
              <w:rPr>
                <w:noProof/>
              </w:rPr>
            </w:pPr>
            <w:r w:rsidRPr="00577995">
              <w:rPr>
                <w:noProof/>
              </w:rPr>
              <w:t>12 – 17 rokov: 11 %</w:t>
            </w:r>
          </w:p>
          <w:p w14:paraId="649B999B" w14:textId="618ADD0E" w:rsidR="000571C9" w:rsidRPr="00577995" w:rsidRDefault="000571C9" w:rsidP="00BE1D7D">
            <w:pPr>
              <w:spacing w:after="0" w:line="240" w:lineRule="auto"/>
              <w:rPr>
                <w:noProof/>
              </w:rPr>
            </w:pPr>
            <w:r w:rsidRPr="00577995">
              <w:rPr>
                <w:noProof/>
              </w:rPr>
              <w:t>17 – 23 rokov: 16 %</w:t>
            </w:r>
          </w:p>
          <w:p w14:paraId="4060ADA5" w14:textId="3394D1ED" w:rsidR="000571C9" w:rsidRPr="00577995" w:rsidRDefault="000571C9" w:rsidP="00BE1D7D">
            <w:pPr>
              <w:spacing w:after="0" w:line="240" w:lineRule="auto"/>
              <w:rPr>
                <w:noProof/>
              </w:rPr>
            </w:pPr>
            <w:r w:rsidRPr="00577995">
              <w:rPr>
                <w:noProof/>
              </w:rPr>
              <w:t>23 – 31 rokov: 19 %</w:t>
            </w:r>
          </w:p>
        </w:tc>
        <w:tc>
          <w:tcPr>
            <w:tcW w:w="1763" w:type="pct"/>
            <w:vMerge w:val="restart"/>
          </w:tcPr>
          <w:p w14:paraId="57F260B7" w14:textId="651B4598" w:rsidR="000571C9" w:rsidRPr="00577995" w:rsidRDefault="000571C9" w:rsidP="00BE1D7D">
            <w:pPr>
              <w:spacing w:line="240" w:lineRule="auto"/>
              <w:rPr>
                <w:bCs/>
                <w:noProof/>
              </w:rPr>
            </w:pPr>
            <w:r w:rsidRPr="00577995">
              <w:rPr>
                <w:noProof/>
              </w:rPr>
              <w:t>V prvom polroku 2023 Komisia sledovala cieľ zabezpečiť</w:t>
            </w:r>
            <w:r w:rsidR="00577995" w:rsidRPr="00577995">
              <w:rPr>
                <w:noProof/>
              </w:rPr>
              <w:t xml:space="preserve"> v </w:t>
            </w:r>
            <w:r w:rsidRPr="00577995">
              <w:rPr>
                <w:noProof/>
              </w:rPr>
              <w:t>rámci krivky EÚ likviditu vo všetkých segmentoch,</w:t>
            </w:r>
            <w:r w:rsidR="00577995" w:rsidRPr="00577995">
              <w:rPr>
                <w:noProof/>
              </w:rPr>
              <w:t xml:space="preserve"> a </w:t>
            </w:r>
            <w:r w:rsidRPr="00577995">
              <w:rPr>
                <w:noProof/>
              </w:rPr>
              <w:t>to prostredníctvom pravidelných emisií dlhopisov</w:t>
            </w:r>
            <w:r w:rsidR="00577995" w:rsidRPr="00577995">
              <w:rPr>
                <w:noProof/>
              </w:rPr>
              <w:t xml:space="preserve"> s </w:t>
            </w:r>
            <w:r w:rsidRPr="00577995">
              <w:rPr>
                <w:noProof/>
              </w:rPr>
              <w:t xml:space="preserve">rôznymi lehotami splatnosti. </w:t>
            </w:r>
            <w:bookmarkStart w:id="18" w:name="_Hlk138241354"/>
            <w:r w:rsidRPr="00577995">
              <w:rPr>
                <w:noProof/>
              </w:rPr>
              <w:t>Transakcie financovania boli rozložené na celý polrok, aby sa zabezpečila pravidelná prítomnosť na trhu.</w:t>
            </w:r>
            <w:r w:rsidR="00577995" w:rsidRPr="00577995">
              <w:rPr>
                <w:noProof/>
              </w:rPr>
              <w:t xml:space="preserve"> V </w:t>
            </w:r>
            <w:r w:rsidRPr="00577995">
              <w:rPr>
                <w:noProof/>
              </w:rPr>
              <w:t>priebehu polroka sa uskutočnil väčší počet transakcií ako</w:t>
            </w:r>
            <w:r w:rsidR="00577995" w:rsidRPr="00577995">
              <w:rPr>
                <w:noProof/>
              </w:rPr>
              <w:t xml:space="preserve"> v </w:t>
            </w:r>
            <w:r w:rsidRPr="00577995">
              <w:rPr>
                <w:noProof/>
              </w:rPr>
              <w:t>predchádzajúcom polroku,</w:t>
            </w:r>
            <w:r w:rsidR="00577995" w:rsidRPr="00577995">
              <w:rPr>
                <w:noProof/>
              </w:rPr>
              <w:t xml:space="preserve"> a </w:t>
            </w:r>
            <w:r w:rsidRPr="00577995">
              <w:rPr>
                <w:noProof/>
              </w:rPr>
              <w:t>to</w:t>
            </w:r>
            <w:r w:rsidR="00577995" w:rsidRPr="00577995">
              <w:rPr>
                <w:noProof/>
              </w:rPr>
              <w:t xml:space="preserve"> z </w:t>
            </w:r>
            <w:r w:rsidRPr="00577995">
              <w:rPr>
                <w:noProof/>
              </w:rPr>
              <w:t>dôvodu a) cieľa financovania</w:t>
            </w:r>
            <w:r w:rsidR="00577995" w:rsidRPr="00577995">
              <w:rPr>
                <w:noProof/>
              </w:rPr>
              <w:t xml:space="preserve"> v </w:t>
            </w:r>
            <w:r w:rsidRPr="00577995">
              <w:rPr>
                <w:noProof/>
              </w:rPr>
              <w:t>prvom polroku 2022 vo výške až 80 mld. EUR (v porovnaní</w:t>
            </w:r>
            <w:r w:rsidR="00577995" w:rsidRPr="00577995">
              <w:rPr>
                <w:noProof/>
              </w:rPr>
              <w:t xml:space="preserve"> s </w:t>
            </w:r>
            <w:r w:rsidRPr="00577995">
              <w:rPr>
                <w:noProof/>
              </w:rPr>
              <w:t>50 mld. EUR</w:t>
            </w:r>
            <w:r w:rsidR="00577995" w:rsidRPr="00577995">
              <w:rPr>
                <w:noProof/>
              </w:rPr>
              <w:t xml:space="preserve"> v </w:t>
            </w:r>
            <w:r w:rsidRPr="00577995">
              <w:rPr>
                <w:noProof/>
              </w:rPr>
              <w:t>prvom polroku 2022)</w:t>
            </w:r>
            <w:r w:rsidR="00577995" w:rsidRPr="00577995">
              <w:rPr>
                <w:noProof/>
              </w:rPr>
              <w:t xml:space="preserve"> a </w:t>
            </w:r>
            <w:r w:rsidRPr="00577995">
              <w:rPr>
                <w:noProof/>
              </w:rPr>
              <w:t>b) nižšej priemernej veľkosti transakcií vzhľadom na náročné</w:t>
            </w:r>
            <w:r w:rsidR="00577995" w:rsidRPr="00577995">
              <w:rPr>
                <w:noProof/>
              </w:rPr>
              <w:t xml:space="preserve"> a </w:t>
            </w:r>
            <w:r w:rsidRPr="00577995">
              <w:rPr>
                <w:noProof/>
              </w:rPr>
              <w:t>nestále trhové podmienky</w:t>
            </w:r>
            <w:r w:rsidR="00577995" w:rsidRPr="00577995">
              <w:rPr>
                <w:noProof/>
              </w:rPr>
              <w:t xml:space="preserve"> v </w:t>
            </w:r>
            <w:r w:rsidRPr="00577995">
              <w:rPr>
                <w:noProof/>
              </w:rPr>
              <w:t>čase, keď bol vypracovaný plán financovania na prvý polrok 2023.</w:t>
            </w:r>
          </w:p>
          <w:bookmarkEnd w:id="18"/>
          <w:p w14:paraId="146B0583" w14:textId="441F7228" w:rsidR="000571C9" w:rsidRPr="00577995" w:rsidRDefault="000571C9" w:rsidP="00BE1D7D">
            <w:pPr>
              <w:spacing w:line="240" w:lineRule="auto"/>
              <w:rPr>
                <w:bCs/>
                <w:noProof/>
              </w:rPr>
            </w:pPr>
            <w:r w:rsidRPr="00577995">
              <w:rPr>
                <w:noProof/>
              </w:rPr>
              <w:t>Hoci boli emisie zastúpené vo všetkých skupinách referenčných splatností,</w:t>
            </w:r>
            <w:r w:rsidR="00577995" w:rsidRPr="00577995">
              <w:rPr>
                <w:noProof/>
              </w:rPr>
              <w:t xml:space="preserve"> v </w:t>
            </w:r>
            <w:r w:rsidRPr="00577995">
              <w:rPr>
                <w:noProof/>
              </w:rPr>
              <w:t>priemere boli</w:t>
            </w:r>
            <w:r w:rsidR="00577995" w:rsidRPr="00577995">
              <w:rPr>
                <w:noProof/>
              </w:rPr>
              <w:t xml:space="preserve"> o </w:t>
            </w:r>
            <w:r w:rsidRPr="00577995">
              <w:rPr>
                <w:noProof/>
              </w:rPr>
              <w:t>niečo viac sústredené na dlhom konci krivky (s priemernou splatnosťou emisií 13,5 roka),</w:t>
            </w:r>
            <w:r w:rsidR="00577995" w:rsidRPr="00577995">
              <w:rPr>
                <w:noProof/>
              </w:rPr>
              <w:t xml:space="preserve"> a </w:t>
            </w:r>
            <w:r w:rsidRPr="00577995">
              <w:rPr>
                <w:noProof/>
              </w:rPr>
              <w:t>to vzhľadom na potrebu rozložiť splácanie</w:t>
            </w:r>
            <w:r w:rsidR="00577995" w:rsidRPr="00577995">
              <w:rPr>
                <w:noProof/>
              </w:rPr>
              <w:t xml:space="preserve"> v </w:t>
            </w:r>
            <w:r w:rsidRPr="00577995">
              <w:rPr>
                <w:noProof/>
              </w:rPr>
              <w:t>priebehu času, ale aj na vyšší dopyt investorov po dlhodobých dlhopisoch EÚ.</w:t>
            </w:r>
          </w:p>
          <w:p w14:paraId="08DC2393" w14:textId="2864A4E6" w:rsidR="000571C9" w:rsidRPr="00577995" w:rsidRDefault="000571C9" w:rsidP="00BE1D7D">
            <w:pPr>
              <w:spacing w:after="0" w:line="240" w:lineRule="auto"/>
              <w:rPr>
                <w:noProof/>
              </w:rPr>
            </w:pPr>
            <w:r w:rsidRPr="00577995">
              <w:rPr>
                <w:noProof/>
              </w:rPr>
              <w:t>Zachovali sa aj emisie zelených dlhopisov, hoci na nižšej úrovni ako</w:t>
            </w:r>
            <w:r w:rsidR="00577995" w:rsidRPr="00577995">
              <w:rPr>
                <w:noProof/>
              </w:rPr>
              <w:t xml:space="preserve"> v </w:t>
            </w:r>
            <w:r w:rsidRPr="00577995">
              <w:rPr>
                <w:noProof/>
              </w:rPr>
              <w:t>minulom polroku,</w:t>
            </w:r>
            <w:r w:rsidR="00577995" w:rsidRPr="00577995">
              <w:rPr>
                <w:noProof/>
              </w:rPr>
              <w:t xml:space="preserve"> a </w:t>
            </w:r>
            <w:r w:rsidRPr="00577995">
              <w:rPr>
                <w:noProof/>
              </w:rPr>
              <w:t>to</w:t>
            </w:r>
            <w:r w:rsidR="00577995" w:rsidRPr="00577995">
              <w:rPr>
                <w:noProof/>
              </w:rPr>
              <w:t xml:space="preserve"> v </w:t>
            </w:r>
            <w:r w:rsidRPr="00577995">
              <w:rPr>
                <w:noProof/>
              </w:rPr>
              <w:t>súlade</w:t>
            </w:r>
            <w:r w:rsidR="00577995" w:rsidRPr="00577995">
              <w:rPr>
                <w:noProof/>
              </w:rPr>
              <w:t xml:space="preserve"> s </w:t>
            </w:r>
            <w:r w:rsidRPr="00577995">
              <w:rPr>
                <w:noProof/>
              </w:rPr>
              <w:t>kumulatívnymi vykázanými zelenými výdavkami členských štátov</w:t>
            </w:r>
            <w:r w:rsidR="00577995" w:rsidRPr="00577995">
              <w:rPr>
                <w:noProof/>
              </w:rPr>
              <w:t xml:space="preserve"> a </w:t>
            </w:r>
            <w:r w:rsidRPr="00577995">
              <w:rPr>
                <w:noProof/>
              </w:rPr>
              <w:t xml:space="preserve">primeranou kalibráciou emisií zelených dlhopisov na tieto výdavky. </w:t>
            </w:r>
          </w:p>
        </w:tc>
      </w:tr>
      <w:tr w:rsidR="000571C9" w:rsidRPr="00577995" w14:paraId="3C458F6C" w14:textId="77777777" w:rsidTr="001D0E63">
        <w:trPr>
          <w:trHeight w:val="600"/>
        </w:trPr>
        <w:tc>
          <w:tcPr>
            <w:tcW w:w="778" w:type="pct"/>
            <w:vMerge/>
          </w:tcPr>
          <w:p w14:paraId="36BD4EE9" w14:textId="77777777" w:rsidR="000571C9" w:rsidRPr="00577995" w:rsidRDefault="000571C9" w:rsidP="00BE1D7D">
            <w:pPr>
              <w:spacing w:line="240" w:lineRule="auto"/>
              <w:rPr>
                <w:b/>
                <w:noProof/>
              </w:rPr>
            </w:pPr>
          </w:p>
        </w:tc>
        <w:tc>
          <w:tcPr>
            <w:tcW w:w="744" w:type="pct"/>
            <w:vMerge/>
          </w:tcPr>
          <w:p w14:paraId="17891132" w14:textId="77777777" w:rsidR="000571C9" w:rsidRPr="00577995" w:rsidRDefault="000571C9" w:rsidP="00BE1D7D">
            <w:pPr>
              <w:spacing w:line="240" w:lineRule="auto"/>
              <w:rPr>
                <w:noProof/>
                <w:u w:val="single"/>
              </w:rPr>
            </w:pPr>
          </w:p>
        </w:tc>
        <w:tc>
          <w:tcPr>
            <w:tcW w:w="834" w:type="pct"/>
          </w:tcPr>
          <w:p w14:paraId="00657725" w14:textId="77777777" w:rsidR="000571C9" w:rsidRPr="00577995" w:rsidRDefault="000571C9" w:rsidP="00BB3A2B">
            <w:pPr>
              <w:pStyle w:val="ListParagraph"/>
              <w:numPr>
                <w:ilvl w:val="0"/>
                <w:numId w:val="5"/>
              </w:numPr>
              <w:spacing w:after="0" w:line="240" w:lineRule="auto"/>
              <w:ind w:left="313"/>
              <w:rPr>
                <w:rFonts w:ascii="Times New Roman" w:hAnsi="Times New Roman" w:cs="Times New Roman"/>
                <w:i/>
                <w:iCs/>
                <w:noProof/>
              </w:rPr>
            </w:pPr>
            <w:r w:rsidRPr="00577995">
              <w:rPr>
                <w:rFonts w:ascii="Times New Roman" w:hAnsi="Times New Roman"/>
                <w:i/>
                <w:noProof/>
              </w:rPr>
              <w:t>Včasná distribúcia emisií</w:t>
            </w:r>
          </w:p>
          <w:p w14:paraId="4F9880F6" w14:textId="77777777" w:rsidR="000571C9" w:rsidRPr="00577995" w:rsidRDefault="000571C9" w:rsidP="00BB3A2B">
            <w:pPr>
              <w:spacing w:line="240" w:lineRule="auto"/>
              <w:ind w:left="313"/>
              <w:rPr>
                <w:i/>
                <w:iCs/>
                <w:noProof/>
              </w:rPr>
            </w:pPr>
          </w:p>
        </w:tc>
        <w:tc>
          <w:tcPr>
            <w:tcW w:w="882" w:type="pct"/>
          </w:tcPr>
          <w:p w14:paraId="289831E4" w14:textId="5343E883" w:rsidR="000571C9" w:rsidRPr="00577995" w:rsidRDefault="00084648" w:rsidP="00BE1D7D">
            <w:pPr>
              <w:spacing w:line="240" w:lineRule="auto"/>
              <w:rPr>
                <w:noProof/>
              </w:rPr>
            </w:pPr>
            <w:r w:rsidRPr="00577995">
              <w:rPr>
                <w:noProof/>
              </w:rPr>
              <w:t>Sedem syndikácií</w:t>
            </w:r>
            <w:r w:rsidR="00577995" w:rsidRPr="00577995">
              <w:rPr>
                <w:noProof/>
              </w:rPr>
              <w:t xml:space="preserve"> a </w:t>
            </w:r>
            <w:r w:rsidRPr="00577995">
              <w:rPr>
                <w:noProof/>
              </w:rPr>
              <w:t>osem aukcií dlhopisov, teda dve až tri emisie mesačne.</w:t>
            </w:r>
          </w:p>
        </w:tc>
        <w:tc>
          <w:tcPr>
            <w:tcW w:w="1763" w:type="pct"/>
            <w:vMerge/>
          </w:tcPr>
          <w:p w14:paraId="71BEB57E" w14:textId="77777777" w:rsidR="000571C9" w:rsidRPr="00577995" w:rsidRDefault="000571C9" w:rsidP="00BE1D7D">
            <w:pPr>
              <w:spacing w:line="240" w:lineRule="auto"/>
              <w:rPr>
                <w:noProof/>
              </w:rPr>
            </w:pPr>
          </w:p>
        </w:tc>
      </w:tr>
      <w:tr w:rsidR="000571C9" w:rsidRPr="00577995" w14:paraId="3F1FE54B" w14:textId="77777777" w:rsidTr="001D0E63">
        <w:trPr>
          <w:trHeight w:val="600"/>
        </w:trPr>
        <w:tc>
          <w:tcPr>
            <w:tcW w:w="778" w:type="pct"/>
            <w:vMerge/>
          </w:tcPr>
          <w:p w14:paraId="539BE465" w14:textId="77777777" w:rsidR="000571C9" w:rsidRPr="00577995" w:rsidRDefault="000571C9" w:rsidP="00BE1D7D">
            <w:pPr>
              <w:spacing w:line="240" w:lineRule="auto"/>
              <w:rPr>
                <w:b/>
                <w:noProof/>
              </w:rPr>
            </w:pPr>
          </w:p>
        </w:tc>
        <w:tc>
          <w:tcPr>
            <w:tcW w:w="744" w:type="pct"/>
            <w:vMerge/>
          </w:tcPr>
          <w:p w14:paraId="1E95DF72" w14:textId="77777777" w:rsidR="000571C9" w:rsidRPr="00577995" w:rsidRDefault="000571C9" w:rsidP="00BE1D7D">
            <w:pPr>
              <w:spacing w:line="240" w:lineRule="auto"/>
              <w:rPr>
                <w:noProof/>
                <w:u w:val="single"/>
              </w:rPr>
            </w:pPr>
          </w:p>
        </w:tc>
        <w:tc>
          <w:tcPr>
            <w:tcW w:w="834" w:type="pct"/>
          </w:tcPr>
          <w:p w14:paraId="76A9C957" w14:textId="77777777" w:rsidR="000571C9" w:rsidRPr="00577995" w:rsidRDefault="000571C9" w:rsidP="00BB3A2B">
            <w:pPr>
              <w:pStyle w:val="ListParagraph"/>
              <w:numPr>
                <w:ilvl w:val="0"/>
                <w:numId w:val="5"/>
              </w:numPr>
              <w:spacing w:after="0" w:line="240" w:lineRule="auto"/>
              <w:ind w:left="313"/>
              <w:rPr>
                <w:rFonts w:ascii="Times New Roman" w:hAnsi="Times New Roman" w:cs="Times New Roman"/>
                <w:i/>
                <w:iCs/>
                <w:noProof/>
              </w:rPr>
            </w:pPr>
            <w:r w:rsidRPr="00577995">
              <w:rPr>
                <w:rFonts w:ascii="Times New Roman" w:hAnsi="Times New Roman"/>
                <w:i/>
                <w:noProof/>
              </w:rPr>
              <w:t>Zelené emisie</w:t>
            </w:r>
            <w:r w:rsidRPr="00577995">
              <w:rPr>
                <w:rStyle w:val="FootnoteReference"/>
                <w:rFonts w:ascii="Times New Roman" w:hAnsi="Times New Roman" w:cs="Times New Roman"/>
                <w:i/>
                <w:iCs/>
                <w:noProof/>
              </w:rPr>
              <w:footnoteReference w:id="12"/>
            </w:r>
          </w:p>
        </w:tc>
        <w:tc>
          <w:tcPr>
            <w:tcW w:w="882" w:type="pct"/>
          </w:tcPr>
          <w:p w14:paraId="4A6EE69B" w14:textId="65E177CF" w:rsidR="000571C9" w:rsidRPr="00577995" w:rsidRDefault="000571C9" w:rsidP="00BE1D7D">
            <w:pPr>
              <w:spacing w:line="240" w:lineRule="auto"/>
              <w:rPr>
                <w:noProof/>
              </w:rPr>
            </w:pPr>
            <w:r w:rsidRPr="00577995">
              <w:rPr>
                <w:noProof/>
              </w:rPr>
              <w:t>Približne 8 mld. EUR prostredníctvom navýšení dlhopisov na roky 2048</w:t>
            </w:r>
            <w:r w:rsidR="00577995" w:rsidRPr="00577995">
              <w:rPr>
                <w:noProof/>
              </w:rPr>
              <w:t xml:space="preserve"> a </w:t>
            </w:r>
            <w:r w:rsidRPr="00577995">
              <w:rPr>
                <w:noProof/>
              </w:rPr>
              <w:t>2033.</w:t>
            </w:r>
          </w:p>
        </w:tc>
        <w:tc>
          <w:tcPr>
            <w:tcW w:w="1763" w:type="pct"/>
            <w:vMerge/>
          </w:tcPr>
          <w:p w14:paraId="1B91B029" w14:textId="77777777" w:rsidR="000571C9" w:rsidRPr="00577995" w:rsidRDefault="000571C9" w:rsidP="00BE1D7D">
            <w:pPr>
              <w:spacing w:line="240" w:lineRule="auto"/>
              <w:rPr>
                <w:noProof/>
              </w:rPr>
            </w:pPr>
          </w:p>
        </w:tc>
      </w:tr>
      <w:tr w:rsidR="000571C9" w:rsidRPr="00577995" w14:paraId="68BF6D12" w14:textId="77777777" w:rsidTr="001D0E63">
        <w:trPr>
          <w:trHeight w:val="1204"/>
        </w:trPr>
        <w:tc>
          <w:tcPr>
            <w:tcW w:w="778" w:type="pct"/>
            <w:vMerge/>
          </w:tcPr>
          <w:p w14:paraId="45AC4444" w14:textId="77777777" w:rsidR="000571C9" w:rsidRPr="00577995" w:rsidRDefault="000571C9" w:rsidP="00BE1D7D">
            <w:pPr>
              <w:spacing w:line="240" w:lineRule="auto"/>
              <w:rPr>
                <w:b/>
                <w:noProof/>
              </w:rPr>
            </w:pPr>
          </w:p>
        </w:tc>
        <w:tc>
          <w:tcPr>
            <w:tcW w:w="744" w:type="pct"/>
          </w:tcPr>
          <w:p w14:paraId="7CC3AC42" w14:textId="3EB98117" w:rsidR="000571C9" w:rsidRPr="00577995" w:rsidRDefault="000571C9" w:rsidP="00BB3A2B">
            <w:pPr>
              <w:pStyle w:val="ListParagraph"/>
              <w:numPr>
                <w:ilvl w:val="0"/>
                <w:numId w:val="4"/>
              </w:numPr>
              <w:spacing w:after="0" w:line="240" w:lineRule="auto"/>
              <w:rPr>
                <w:rFonts w:ascii="Times New Roman" w:hAnsi="Times New Roman" w:cs="Times New Roman"/>
                <w:noProof/>
                <w:u w:val="single"/>
              </w:rPr>
            </w:pPr>
            <w:r w:rsidRPr="00577995">
              <w:rPr>
                <w:rFonts w:ascii="Times New Roman" w:hAnsi="Times New Roman"/>
                <w:noProof/>
                <w:u w:val="single"/>
              </w:rPr>
              <w:t>Dosiahnutie správnej rovnováhy aukcií</w:t>
            </w:r>
            <w:r w:rsidR="00577995" w:rsidRPr="00577995">
              <w:rPr>
                <w:rFonts w:ascii="Times New Roman" w:hAnsi="Times New Roman"/>
                <w:noProof/>
                <w:u w:val="single"/>
              </w:rPr>
              <w:t xml:space="preserve"> a </w:t>
            </w:r>
            <w:r w:rsidRPr="00577995">
              <w:rPr>
                <w:rFonts w:ascii="Times New Roman" w:hAnsi="Times New Roman"/>
                <w:noProof/>
                <w:u w:val="single"/>
              </w:rPr>
              <w:t>syndikácií</w:t>
            </w:r>
          </w:p>
          <w:p w14:paraId="79B44BB8" w14:textId="3E1AE1BA" w:rsidR="000571C9" w:rsidRPr="00577995" w:rsidRDefault="000571C9" w:rsidP="00BE1D7D">
            <w:pPr>
              <w:spacing w:line="240" w:lineRule="auto"/>
              <w:ind w:left="360"/>
              <w:rPr>
                <w:noProof/>
              </w:rPr>
            </w:pPr>
            <w:r w:rsidRPr="00577995">
              <w:rPr>
                <w:noProof/>
              </w:rPr>
              <w:t>Používanie rôznych techník financovania</w:t>
            </w:r>
            <w:r w:rsidR="00577995" w:rsidRPr="00577995">
              <w:rPr>
                <w:noProof/>
              </w:rPr>
              <w:t xml:space="preserve"> s </w:t>
            </w:r>
            <w:r w:rsidRPr="00577995">
              <w:rPr>
                <w:noProof/>
              </w:rPr>
              <w:t>náležitou rovnováhou</w:t>
            </w:r>
            <w:r w:rsidR="00577995" w:rsidRPr="00577995">
              <w:rPr>
                <w:noProof/>
              </w:rPr>
              <w:t xml:space="preserve"> v </w:t>
            </w:r>
            <w:r w:rsidRPr="00577995">
              <w:rPr>
                <w:noProof/>
              </w:rPr>
              <w:t>závislosti od celkových objemov emisií</w:t>
            </w:r>
            <w:r w:rsidR="00577995" w:rsidRPr="00577995">
              <w:rPr>
                <w:noProof/>
              </w:rPr>
              <w:t xml:space="preserve"> a </w:t>
            </w:r>
            <w:r w:rsidRPr="00577995">
              <w:rPr>
                <w:noProof/>
              </w:rPr>
              <w:t>trhových podmienok</w:t>
            </w:r>
            <w:r w:rsidR="00577995" w:rsidRPr="00577995">
              <w:rPr>
                <w:noProof/>
              </w:rPr>
              <w:t xml:space="preserve"> s </w:t>
            </w:r>
            <w:r w:rsidRPr="00577995">
              <w:rPr>
                <w:noProof/>
              </w:rPr>
              <w:t>cieľom riadiť riziká vyplývajúce</w:t>
            </w:r>
            <w:r w:rsidR="00577995" w:rsidRPr="00577995">
              <w:rPr>
                <w:noProof/>
              </w:rPr>
              <w:t xml:space="preserve"> z </w:t>
            </w:r>
            <w:r w:rsidRPr="00577995">
              <w:rPr>
                <w:noProof/>
              </w:rPr>
              <w:t>vykonávania, zlepšiť likviditu na sekundárnom trhu</w:t>
            </w:r>
            <w:r w:rsidR="00577995" w:rsidRPr="00577995">
              <w:rPr>
                <w:noProof/>
              </w:rPr>
              <w:t xml:space="preserve"> a </w:t>
            </w:r>
            <w:r w:rsidRPr="00577995">
              <w:rPr>
                <w:noProof/>
              </w:rPr>
              <w:t>zlepšiť náklady na prijaté úvery</w:t>
            </w:r>
            <w:r w:rsidR="00577995" w:rsidRPr="00577995">
              <w:rPr>
                <w:noProof/>
              </w:rPr>
              <w:t xml:space="preserve"> a </w:t>
            </w:r>
            <w:r w:rsidRPr="00577995">
              <w:rPr>
                <w:noProof/>
              </w:rPr>
              <w:t>pôžičky.</w:t>
            </w:r>
          </w:p>
        </w:tc>
        <w:tc>
          <w:tcPr>
            <w:tcW w:w="834" w:type="pct"/>
          </w:tcPr>
          <w:p w14:paraId="14C9D9D7" w14:textId="3D99EEE3" w:rsidR="000571C9" w:rsidRPr="00577995" w:rsidRDefault="000571C9" w:rsidP="00BB3A2B">
            <w:pPr>
              <w:pStyle w:val="ListParagraph"/>
              <w:numPr>
                <w:ilvl w:val="0"/>
                <w:numId w:val="5"/>
              </w:numPr>
              <w:spacing w:after="0" w:line="240" w:lineRule="auto"/>
              <w:ind w:left="313"/>
              <w:rPr>
                <w:rFonts w:ascii="Times New Roman" w:hAnsi="Times New Roman" w:cs="Times New Roman"/>
                <w:i/>
                <w:iCs/>
                <w:noProof/>
              </w:rPr>
            </w:pPr>
            <w:r w:rsidRPr="00577995">
              <w:rPr>
                <w:rFonts w:ascii="Times New Roman" w:hAnsi="Times New Roman"/>
                <w:i/>
                <w:noProof/>
              </w:rPr>
              <w:t>Rozdelenie aukcií/syndikácií</w:t>
            </w:r>
            <w:r w:rsidR="00577995" w:rsidRPr="00577995">
              <w:rPr>
                <w:rFonts w:ascii="Times New Roman" w:hAnsi="Times New Roman"/>
                <w:i/>
                <w:noProof/>
              </w:rPr>
              <w:t xml:space="preserve"> v </w:t>
            </w:r>
            <w:r w:rsidRPr="00577995">
              <w:rPr>
                <w:rFonts w:ascii="Times New Roman" w:hAnsi="Times New Roman"/>
                <w:i/>
                <w:noProof/>
              </w:rPr>
              <w:t xml:space="preserve">% </w:t>
            </w:r>
          </w:p>
        </w:tc>
        <w:tc>
          <w:tcPr>
            <w:tcW w:w="882" w:type="pct"/>
          </w:tcPr>
          <w:p w14:paraId="1EB6DAA9" w14:textId="41357D95" w:rsidR="000571C9" w:rsidRPr="00577995" w:rsidRDefault="000571C9" w:rsidP="00BE1D7D">
            <w:pPr>
              <w:spacing w:line="240" w:lineRule="auto"/>
              <w:rPr>
                <w:noProof/>
              </w:rPr>
            </w:pPr>
            <w:r w:rsidRPr="00577995">
              <w:rPr>
                <w:noProof/>
              </w:rPr>
              <w:t xml:space="preserve">Približne 40 % emisií dlhopisov prostredníctvom aukcie. </w:t>
            </w:r>
          </w:p>
        </w:tc>
        <w:tc>
          <w:tcPr>
            <w:tcW w:w="1763" w:type="pct"/>
          </w:tcPr>
          <w:p w14:paraId="67EF38CB" w14:textId="43E627FC" w:rsidR="000571C9" w:rsidRPr="00577995" w:rsidRDefault="000571C9" w:rsidP="00BE1D7D">
            <w:pPr>
              <w:spacing w:line="240" w:lineRule="auto"/>
              <w:rPr>
                <w:noProof/>
              </w:rPr>
            </w:pPr>
            <w:r w:rsidRPr="00577995">
              <w:rPr>
                <w:noProof/>
              </w:rPr>
              <w:t>V prvom polroku 2023 Komisia zvýšila podiel dlhopisov emitovaných prostredníctvom aukcií na takmer 40 %, čo je vyššia úroveň ako</w:t>
            </w:r>
            <w:r w:rsidR="00577995" w:rsidRPr="00577995">
              <w:rPr>
                <w:noProof/>
              </w:rPr>
              <w:t xml:space="preserve"> v </w:t>
            </w:r>
            <w:r w:rsidRPr="00577995">
              <w:rPr>
                <w:noProof/>
              </w:rPr>
              <w:t>predchádzajúcich polrokoch financovania. Bolo to</w:t>
            </w:r>
            <w:r w:rsidR="00577995" w:rsidRPr="00577995">
              <w:rPr>
                <w:noProof/>
              </w:rPr>
              <w:t xml:space="preserve"> v </w:t>
            </w:r>
            <w:r w:rsidRPr="00577995">
              <w:rPr>
                <w:noProof/>
              </w:rPr>
              <w:t>súlade</w:t>
            </w:r>
            <w:r w:rsidR="00577995" w:rsidRPr="00577995">
              <w:rPr>
                <w:noProof/>
              </w:rPr>
              <w:t xml:space="preserve"> s </w:t>
            </w:r>
            <w:r w:rsidRPr="00577995">
              <w:rPr>
                <w:noProof/>
              </w:rPr>
              <w:t>cieľom rozšíriť používanie tejto techniky, pričom sa zohľadnili špecifiká trhu (napr. absorpčná kapacita trhu)</w:t>
            </w:r>
            <w:r w:rsidR="00577995" w:rsidRPr="00577995">
              <w:rPr>
                <w:noProof/>
              </w:rPr>
              <w:t xml:space="preserve"> a </w:t>
            </w:r>
            <w:r w:rsidRPr="00577995">
              <w:rPr>
                <w:noProof/>
              </w:rPr>
              <w:t>potreby emisie (napr. schopnosť navýšiť existujúce dlhopisy prostredníctvom aukcie</w:t>
            </w:r>
            <w:r w:rsidR="00577995" w:rsidRPr="00577995">
              <w:rPr>
                <w:noProof/>
              </w:rPr>
              <w:t xml:space="preserve"> v </w:t>
            </w:r>
            <w:r w:rsidRPr="00577995">
              <w:rPr>
                <w:noProof/>
              </w:rPr>
              <w:t>porovnaní</w:t>
            </w:r>
            <w:r w:rsidR="00577995" w:rsidRPr="00577995">
              <w:rPr>
                <w:noProof/>
              </w:rPr>
              <w:t xml:space="preserve"> s </w:t>
            </w:r>
            <w:r w:rsidRPr="00577995">
              <w:rPr>
                <w:noProof/>
              </w:rPr>
              <w:t>potrebou emisie nových zdrojov prostredníctvom syndikácií).</w:t>
            </w:r>
          </w:p>
          <w:p w14:paraId="5F62B4D0" w14:textId="77777777" w:rsidR="000571C9" w:rsidRPr="00577995" w:rsidRDefault="000571C9" w:rsidP="00BE1D7D">
            <w:pPr>
              <w:spacing w:line="240" w:lineRule="auto"/>
              <w:rPr>
                <w:noProof/>
              </w:rPr>
            </w:pPr>
          </w:p>
        </w:tc>
      </w:tr>
      <w:tr w:rsidR="000F037D" w:rsidRPr="00577995" w14:paraId="456C607A" w14:textId="77777777" w:rsidTr="001D0E63">
        <w:trPr>
          <w:trHeight w:val="1103"/>
        </w:trPr>
        <w:tc>
          <w:tcPr>
            <w:tcW w:w="778" w:type="pct"/>
            <w:vMerge/>
          </w:tcPr>
          <w:p w14:paraId="12C83FC2" w14:textId="77777777" w:rsidR="000F037D" w:rsidRPr="00577995" w:rsidRDefault="000F037D" w:rsidP="00BE1D7D">
            <w:pPr>
              <w:spacing w:line="240" w:lineRule="auto"/>
              <w:rPr>
                <w:b/>
                <w:noProof/>
              </w:rPr>
            </w:pPr>
          </w:p>
        </w:tc>
        <w:tc>
          <w:tcPr>
            <w:tcW w:w="744" w:type="pct"/>
            <w:vMerge w:val="restart"/>
          </w:tcPr>
          <w:p w14:paraId="27429E64" w14:textId="305F16FB" w:rsidR="000F037D" w:rsidRPr="00577995" w:rsidRDefault="000F037D" w:rsidP="00BB3A2B">
            <w:pPr>
              <w:pStyle w:val="ListParagraph"/>
              <w:numPr>
                <w:ilvl w:val="0"/>
                <w:numId w:val="4"/>
              </w:numPr>
              <w:spacing w:after="0" w:line="240" w:lineRule="auto"/>
              <w:rPr>
                <w:rFonts w:ascii="Times New Roman" w:hAnsi="Times New Roman" w:cs="Times New Roman"/>
                <w:noProof/>
                <w:u w:val="single"/>
              </w:rPr>
            </w:pPr>
            <w:r w:rsidRPr="00577995">
              <w:rPr>
                <w:rFonts w:ascii="Times New Roman" w:hAnsi="Times New Roman"/>
                <w:noProof/>
                <w:u w:val="single"/>
              </w:rPr>
              <w:t>Zriadenie veľkých</w:t>
            </w:r>
            <w:r w:rsidR="00577995" w:rsidRPr="00577995">
              <w:rPr>
                <w:rFonts w:ascii="Times New Roman" w:hAnsi="Times New Roman"/>
                <w:noProof/>
                <w:u w:val="single"/>
              </w:rPr>
              <w:t xml:space="preserve"> a </w:t>
            </w:r>
            <w:r w:rsidRPr="00577995">
              <w:rPr>
                <w:rFonts w:ascii="Times New Roman" w:hAnsi="Times New Roman"/>
                <w:noProof/>
                <w:u w:val="single"/>
              </w:rPr>
              <w:t>likvidných referenčných dlhopisov</w:t>
            </w:r>
          </w:p>
          <w:p w14:paraId="41C31C8C" w14:textId="0F699615" w:rsidR="000F037D" w:rsidRPr="00577995" w:rsidRDefault="000F037D" w:rsidP="00BE1D7D">
            <w:pPr>
              <w:spacing w:line="240" w:lineRule="auto"/>
              <w:ind w:left="360"/>
              <w:rPr>
                <w:noProof/>
              </w:rPr>
            </w:pPr>
            <w:r w:rsidRPr="00577995">
              <w:rPr>
                <w:noProof/>
              </w:rPr>
              <w:t>Navýšením dlhopisov EÚ, aby sa nesplatený objem rôznych zdrojov dostal na úroveň úmernú veľkým</w:t>
            </w:r>
            <w:r w:rsidR="00577995" w:rsidRPr="00577995">
              <w:rPr>
                <w:noProof/>
              </w:rPr>
              <w:t xml:space="preserve"> a </w:t>
            </w:r>
            <w:r w:rsidRPr="00577995">
              <w:rPr>
                <w:noProof/>
              </w:rPr>
              <w:t>likvidným referenčným zdrojom.</w:t>
            </w:r>
          </w:p>
          <w:p w14:paraId="752B05DE" w14:textId="77777777" w:rsidR="000F037D" w:rsidRPr="00577995" w:rsidRDefault="000F037D" w:rsidP="00BE1D7D">
            <w:pPr>
              <w:pStyle w:val="ListParagraph"/>
              <w:spacing w:line="240" w:lineRule="auto"/>
              <w:ind w:left="360"/>
              <w:rPr>
                <w:rFonts w:ascii="Times New Roman" w:hAnsi="Times New Roman" w:cs="Times New Roman"/>
                <w:noProof/>
                <w:u w:val="single"/>
              </w:rPr>
            </w:pPr>
          </w:p>
        </w:tc>
        <w:tc>
          <w:tcPr>
            <w:tcW w:w="834" w:type="pct"/>
          </w:tcPr>
          <w:p w14:paraId="0EC5433F" w14:textId="53BC6A98" w:rsidR="000F037D" w:rsidRPr="00577995" w:rsidRDefault="000F037D" w:rsidP="00BB3A2B">
            <w:pPr>
              <w:pStyle w:val="ListParagraph"/>
              <w:numPr>
                <w:ilvl w:val="0"/>
                <w:numId w:val="10"/>
              </w:numPr>
              <w:spacing w:after="0" w:line="240" w:lineRule="auto"/>
              <w:ind w:left="313"/>
              <w:rPr>
                <w:rFonts w:ascii="Times New Roman" w:hAnsi="Times New Roman" w:cs="Times New Roman"/>
                <w:i/>
                <w:iCs/>
                <w:noProof/>
              </w:rPr>
            </w:pPr>
            <w:r w:rsidRPr="00577995">
              <w:rPr>
                <w:rFonts w:ascii="Times New Roman" w:hAnsi="Times New Roman"/>
                <w:i/>
                <w:noProof/>
              </w:rPr>
              <w:t>Emisie prostredníctvom nových dlhopisov</w:t>
            </w:r>
            <w:r w:rsidR="00577995" w:rsidRPr="00577995">
              <w:rPr>
                <w:rFonts w:ascii="Times New Roman" w:hAnsi="Times New Roman"/>
                <w:i/>
                <w:noProof/>
              </w:rPr>
              <w:t xml:space="preserve"> v </w:t>
            </w:r>
            <w:r w:rsidRPr="00577995">
              <w:rPr>
                <w:rFonts w:ascii="Times New Roman" w:hAnsi="Times New Roman"/>
                <w:i/>
                <w:noProof/>
              </w:rPr>
              <w:t>porovnaní</w:t>
            </w:r>
            <w:r w:rsidR="00577995" w:rsidRPr="00577995">
              <w:rPr>
                <w:rFonts w:ascii="Times New Roman" w:hAnsi="Times New Roman"/>
                <w:i/>
                <w:noProof/>
              </w:rPr>
              <w:t xml:space="preserve"> s </w:t>
            </w:r>
            <w:r w:rsidRPr="00577995">
              <w:rPr>
                <w:rFonts w:ascii="Times New Roman" w:hAnsi="Times New Roman"/>
                <w:i/>
                <w:noProof/>
              </w:rPr>
              <w:t>objemom emitovaným prostredníctvom navýšení</w:t>
            </w:r>
          </w:p>
          <w:p w14:paraId="0E8CFBC7" w14:textId="45AA4066" w:rsidR="000F037D" w:rsidRPr="00577995" w:rsidRDefault="000F037D" w:rsidP="00BB3A2B">
            <w:pPr>
              <w:spacing w:after="0" w:line="240" w:lineRule="auto"/>
              <w:ind w:left="313"/>
              <w:rPr>
                <w:i/>
                <w:iCs/>
                <w:noProof/>
              </w:rPr>
            </w:pPr>
          </w:p>
        </w:tc>
        <w:tc>
          <w:tcPr>
            <w:tcW w:w="882" w:type="pct"/>
          </w:tcPr>
          <w:p w14:paraId="47D0CACA" w14:textId="2C0BD3E7" w:rsidR="000F037D" w:rsidRPr="00577995" w:rsidRDefault="000F037D" w:rsidP="00BB3A2B">
            <w:pPr>
              <w:pStyle w:val="ListParagraph"/>
              <w:numPr>
                <w:ilvl w:val="0"/>
                <w:numId w:val="9"/>
              </w:numPr>
              <w:spacing w:after="0" w:line="240" w:lineRule="auto"/>
              <w:rPr>
                <w:rFonts w:ascii="Times New Roman" w:hAnsi="Times New Roman" w:cs="Times New Roman"/>
                <w:noProof/>
              </w:rPr>
            </w:pPr>
            <w:r w:rsidRPr="00577995">
              <w:rPr>
                <w:rFonts w:ascii="Times New Roman" w:hAnsi="Times New Roman"/>
                <w:noProof/>
              </w:rPr>
              <w:t xml:space="preserve">18 mld. EUR prostredníctvom nových dlhopisov, </w:t>
            </w:r>
          </w:p>
          <w:p w14:paraId="51A3CAF2" w14:textId="011EA234" w:rsidR="000F037D" w:rsidRPr="00577995" w:rsidRDefault="000F037D" w:rsidP="00BB3A2B">
            <w:pPr>
              <w:pStyle w:val="ListParagraph"/>
              <w:numPr>
                <w:ilvl w:val="0"/>
                <w:numId w:val="9"/>
              </w:numPr>
              <w:spacing w:after="0" w:line="240" w:lineRule="auto"/>
              <w:rPr>
                <w:rFonts w:ascii="Times New Roman" w:hAnsi="Times New Roman" w:cs="Times New Roman"/>
                <w:noProof/>
              </w:rPr>
            </w:pPr>
            <w:r w:rsidRPr="00577995">
              <w:rPr>
                <w:rFonts w:ascii="Times New Roman" w:hAnsi="Times New Roman"/>
                <w:noProof/>
              </w:rPr>
              <w:t>60,2 mld. EUR prostredníctvom navýšení.</w:t>
            </w:r>
          </w:p>
        </w:tc>
        <w:tc>
          <w:tcPr>
            <w:tcW w:w="1763" w:type="pct"/>
            <w:vMerge w:val="restart"/>
          </w:tcPr>
          <w:p w14:paraId="13AD94F6" w14:textId="57055EFC" w:rsidR="000F037D" w:rsidRPr="00577995" w:rsidRDefault="000F037D" w:rsidP="00BE1D7D">
            <w:pPr>
              <w:spacing w:line="240" w:lineRule="auto"/>
              <w:rPr>
                <w:bCs/>
                <w:noProof/>
              </w:rPr>
            </w:pPr>
            <w:r w:rsidRPr="00577995">
              <w:rPr>
                <w:noProof/>
              </w:rPr>
              <w:t>Vzhľadom na likviditu svojich cenných papierov Komisia využila svoje transakcie na navýšenie existujúcich zdrojov financovania, pričom prostredníctvom navýšení mobilizovala 70 % objemu financovania.</w:t>
            </w:r>
          </w:p>
          <w:p w14:paraId="03720782" w14:textId="2EF29550" w:rsidR="00E6358D" w:rsidRPr="00577995" w:rsidRDefault="000F037D" w:rsidP="00BE1D7D">
            <w:pPr>
              <w:spacing w:line="240" w:lineRule="auto"/>
              <w:rPr>
                <w:bCs/>
                <w:noProof/>
              </w:rPr>
            </w:pPr>
            <w:r w:rsidRPr="00577995">
              <w:rPr>
                <w:noProof/>
              </w:rPr>
              <w:t>Zaviedli sa nové zdroje financovania</w:t>
            </w:r>
            <w:r w:rsidR="00577995" w:rsidRPr="00577995">
              <w:rPr>
                <w:noProof/>
              </w:rPr>
              <w:t xml:space="preserve"> s </w:t>
            </w:r>
            <w:r w:rsidRPr="00577995">
              <w:rPr>
                <w:noProof/>
              </w:rPr>
              <w:t>cieľom poskytnúť trhu nové referenčné zdroje podľa potreby na krivke</w:t>
            </w:r>
            <w:r w:rsidR="00577995" w:rsidRPr="00577995">
              <w:rPr>
                <w:noProof/>
              </w:rPr>
              <w:t xml:space="preserve"> a </w:t>
            </w:r>
            <w:r w:rsidRPr="00577995">
              <w:rPr>
                <w:noProof/>
              </w:rPr>
              <w:t>na základe odporúčaní primárnych dílerov EÚ. Počas polroka sa zaviedli nové trojročné, desaťročné</w:t>
            </w:r>
            <w:r w:rsidR="00577995" w:rsidRPr="00577995">
              <w:rPr>
                <w:noProof/>
              </w:rPr>
              <w:t xml:space="preserve"> a </w:t>
            </w:r>
            <w:r w:rsidRPr="00577995">
              <w:rPr>
                <w:noProof/>
              </w:rPr>
              <w:t xml:space="preserve">15-ročné dlhopisy. </w:t>
            </w:r>
          </w:p>
          <w:p w14:paraId="43CE57B1" w14:textId="00BAE4F9" w:rsidR="000F037D" w:rsidRPr="00577995" w:rsidRDefault="000F037D" w:rsidP="00BE1D7D">
            <w:pPr>
              <w:spacing w:line="240" w:lineRule="auto"/>
              <w:rPr>
                <w:bCs/>
                <w:noProof/>
              </w:rPr>
            </w:pPr>
            <w:r w:rsidRPr="00577995">
              <w:rPr>
                <w:noProof/>
              </w:rPr>
              <w:t>V dôsledku toho sa priemerná nesplatená suma za dlhopis do konca polroka zvýšila približne</w:t>
            </w:r>
            <w:r w:rsidR="00577995" w:rsidRPr="00577995">
              <w:rPr>
                <w:noProof/>
              </w:rPr>
              <w:t xml:space="preserve"> o </w:t>
            </w:r>
            <w:r w:rsidRPr="00577995">
              <w:rPr>
                <w:noProof/>
              </w:rPr>
              <w:t>4 mld. EUR na viac ako 13 mld. EUR, čo pomohlo zlepšiť likviditu dlhopisov.</w:t>
            </w:r>
          </w:p>
          <w:p w14:paraId="5E06ED34" w14:textId="77777777" w:rsidR="000F037D" w:rsidRPr="00577995" w:rsidRDefault="000F037D" w:rsidP="00BE1D7D">
            <w:pPr>
              <w:spacing w:line="240" w:lineRule="auto"/>
              <w:rPr>
                <w:bCs/>
                <w:noProof/>
              </w:rPr>
            </w:pPr>
          </w:p>
          <w:p w14:paraId="4AC6BDCE" w14:textId="77777777" w:rsidR="000F037D" w:rsidRPr="00577995" w:rsidRDefault="000F037D" w:rsidP="00BE1D7D">
            <w:pPr>
              <w:spacing w:line="240" w:lineRule="auto"/>
              <w:rPr>
                <w:noProof/>
              </w:rPr>
            </w:pPr>
          </w:p>
        </w:tc>
      </w:tr>
      <w:tr w:rsidR="000F037D" w:rsidRPr="00577995" w14:paraId="77814BAC" w14:textId="77777777" w:rsidTr="001D0E63">
        <w:trPr>
          <w:trHeight w:val="954"/>
        </w:trPr>
        <w:tc>
          <w:tcPr>
            <w:tcW w:w="778" w:type="pct"/>
            <w:vMerge/>
          </w:tcPr>
          <w:p w14:paraId="547F5096" w14:textId="77777777" w:rsidR="000F037D" w:rsidRPr="00577995" w:rsidRDefault="000F037D" w:rsidP="00BE1D7D">
            <w:pPr>
              <w:spacing w:line="240" w:lineRule="auto"/>
              <w:rPr>
                <w:b/>
                <w:noProof/>
              </w:rPr>
            </w:pPr>
          </w:p>
        </w:tc>
        <w:tc>
          <w:tcPr>
            <w:tcW w:w="744" w:type="pct"/>
            <w:vMerge/>
          </w:tcPr>
          <w:p w14:paraId="3343792A" w14:textId="77777777" w:rsidR="000F037D" w:rsidRPr="00577995" w:rsidRDefault="000F037D" w:rsidP="00BB3A2B">
            <w:pPr>
              <w:pStyle w:val="ListParagraph"/>
              <w:numPr>
                <w:ilvl w:val="0"/>
                <w:numId w:val="4"/>
              </w:numPr>
              <w:spacing w:after="0" w:line="240" w:lineRule="auto"/>
              <w:rPr>
                <w:rFonts w:ascii="Times New Roman" w:hAnsi="Times New Roman" w:cs="Times New Roman"/>
                <w:noProof/>
                <w:u w:val="single"/>
              </w:rPr>
            </w:pPr>
          </w:p>
        </w:tc>
        <w:tc>
          <w:tcPr>
            <w:tcW w:w="834" w:type="pct"/>
          </w:tcPr>
          <w:p w14:paraId="3E8BFE99" w14:textId="7539DAD9" w:rsidR="000F037D" w:rsidRPr="00577995" w:rsidRDefault="000F037D" w:rsidP="00BB3A2B">
            <w:pPr>
              <w:pStyle w:val="ListParagraph"/>
              <w:numPr>
                <w:ilvl w:val="0"/>
                <w:numId w:val="10"/>
              </w:numPr>
              <w:spacing w:after="0" w:line="240" w:lineRule="auto"/>
              <w:ind w:left="313"/>
              <w:rPr>
                <w:rFonts w:ascii="Times New Roman" w:hAnsi="Times New Roman" w:cs="Times New Roman"/>
                <w:i/>
                <w:iCs/>
                <w:noProof/>
              </w:rPr>
            </w:pPr>
            <w:r w:rsidRPr="00577995">
              <w:rPr>
                <w:rFonts w:ascii="Times New Roman" w:hAnsi="Times New Roman"/>
                <w:i/>
                <w:noProof/>
              </w:rPr>
              <w:t>Rýchlosť navýšenia nových dlhopisov</w:t>
            </w:r>
            <w:r w:rsidRPr="00577995">
              <w:rPr>
                <w:rStyle w:val="FootnoteReference"/>
                <w:rFonts w:ascii="Times New Roman" w:hAnsi="Times New Roman" w:cs="Times New Roman"/>
                <w:i/>
                <w:iCs/>
                <w:noProof/>
              </w:rPr>
              <w:footnoteReference w:id="13"/>
            </w:r>
          </w:p>
        </w:tc>
        <w:tc>
          <w:tcPr>
            <w:tcW w:w="882" w:type="pct"/>
          </w:tcPr>
          <w:p w14:paraId="1BB31238" w14:textId="2EB0CA00" w:rsidR="000F037D" w:rsidRPr="00577995" w:rsidRDefault="000F037D" w:rsidP="000F037D">
            <w:pPr>
              <w:spacing w:line="240" w:lineRule="auto"/>
              <w:rPr>
                <w:noProof/>
              </w:rPr>
            </w:pPr>
            <w:r w:rsidRPr="00577995">
              <w:rPr>
                <w:noProof/>
              </w:rPr>
              <w:t>Dva mesiace</w:t>
            </w:r>
          </w:p>
        </w:tc>
        <w:tc>
          <w:tcPr>
            <w:tcW w:w="1763" w:type="pct"/>
            <w:vMerge/>
          </w:tcPr>
          <w:p w14:paraId="3FCEB1A1" w14:textId="77777777" w:rsidR="000F037D" w:rsidRPr="00577995" w:rsidRDefault="000F037D" w:rsidP="00BE1D7D">
            <w:pPr>
              <w:spacing w:line="240" w:lineRule="auto"/>
              <w:rPr>
                <w:bCs/>
                <w:noProof/>
              </w:rPr>
            </w:pPr>
          </w:p>
        </w:tc>
      </w:tr>
      <w:tr w:rsidR="000571C9" w:rsidRPr="00577995" w14:paraId="6C5A1FAB" w14:textId="77777777" w:rsidTr="001D0E63">
        <w:trPr>
          <w:trHeight w:val="336"/>
        </w:trPr>
        <w:tc>
          <w:tcPr>
            <w:tcW w:w="778" w:type="pct"/>
            <w:vMerge/>
          </w:tcPr>
          <w:p w14:paraId="69BDFD96" w14:textId="77777777" w:rsidR="000571C9" w:rsidRPr="00577995" w:rsidRDefault="000571C9" w:rsidP="00BE1D7D">
            <w:pPr>
              <w:spacing w:line="240" w:lineRule="auto"/>
              <w:rPr>
                <w:b/>
                <w:noProof/>
              </w:rPr>
            </w:pPr>
          </w:p>
        </w:tc>
        <w:tc>
          <w:tcPr>
            <w:tcW w:w="744" w:type="pct"/>
            <w:vMerge/>
          </w:tcPr>
          <w:p w14:paraId="38B65875" w14:textId="77777777" w:rsidR="000571C9" w:rsidRPr="00577995" w:rsidRDefault="000571C9" w:rsidP="00BB3A2B">
            <w:pPr>
              <w:pStyle w:val="ListParagraph"/>
              <w:numPr>
                <w:ilvl w:val="0"/>
                <w:numId w:val="4"/>
              </w:numPr>
              <w:spacing w:after="0" w:line="240" w:lineRule="auto"/>
              <w:rPr>
                <w:rFonts w:ascii="Times New Roman" w:hAnsi="Times New Roman" w:cs="Times New Roman"/>
                <w:noProof/>
                <w:u w:val="single"/>
              </w:rPr>
            </w:pPr>
          </w:p>
        </w:tc>
        <w:tc>
          <w:tcPr>
            <w:tcW w:w="834" w:type="pct"/>
          </w:tcPr>
          <w:p w14:paraId="2112D8D8" w14:textId="77777777" w:rsidR="000571C9" w:rsidRPr="001D0E63" w:rsidRDefault="000571C9" w:rsidP="001D0E63">
            <w:pPr>
              <w:pStyle w:val="ListParagraph"/>
              <w:numPr>
                <w:ilvl w:val="0"/>
                <w:numId w:val="10"/>
              </w:numPr>
              <w:spacing w:after="0" w:line="240" w:lineRule="auto"/>
              <w:ind w:left="313"/>
              <w:rPr>
                <w:rFonts w:ascii="Times New Roman" w:hAnsi="Times New Roman"/>
                <w:i/>
                <w:noProof/>
              </w:rPr>
            </w:pPr>
            <w:r w:rsidRPr="00577995">
              <w:rPr>
                <w:rFonts w:ascii="Times New Roman" w:hAnsi="Times New Roman"/>
                <w:i/>
                <w:noProof/>
              </w:rPr>
              <w:t>Priemerná hodnota nesplatených dlhopisov</w:t>
            </w:r>
            <w:r w:rsidRPr="001D0E63">
              <w:rPr>
                <w:noProof/>
              </w:rPr>
              <w:footnoteReference w:id="14"/>
            </w:r>
          </w:p>
          <w:p w14:paraId="466C48BC" w14:textId="478DAC2B" w:rsidR="00E6358D" w:rsidRPr="001D0E63" w:rsidRDefault="00E6358D" w:rsidP="001D0E63">
            <w:pPr>
              <w:spacing w:after="0" w:line="240" w:lineRule="auto"/>
              <w:ind w:left="313" w:hanging="360"/>
              <w:rPr>
                <w:rFonts w:cstheme="minorBidi"/>
                <w:i/>
                <w:noProof/>
              </w:rPr>
            </w:pPr>
          </w:p>
        </w:tc>
        <w:tc>
          <w:tcPr>
            <w:tcW w:w="882" w:type="pct"/>
          </w:tcPr>
          <w:p w14:paraId="432F3208" w14:textId="6B4AF6AD" w:rsidR="000571C9" w:rsidRPr="00577995" w:rsidRDefault="000571C9" w:rsidP="00BE1D7D">
            <w:pPr>
              <w:spacing w:line="240" w:lineRule="auto"/>
              <w:rPr>
                <w:i/>
                <w:noProof/>
              </w:rPr>
            </w:pPr>
            <w:r w:rsidRPr="00577995">
              <w:rPr>
                <w:noProof/>
              </w:rPr>
              <w:t>13 – 14 mld.</w:t>
            </w:r>
          </w:p>
        </w:tc>
        <w:tc>
          <w:tcPr>
            <w:tcW w:w="1763" w:type="pct"/>
            <w:vMerge/>
          </w:tcPr>
          <w:p w14:paraId="049F3FAA" w14:textId="77777777" w:rsidR="000571C9" w:rsidRPr="00577995" w:rsidRDefault="000571C9" w:rsidP="00BE1D7D">
            <w:pPr>
              <w:spacing w:line="240" w:lineRule="auto"/>
              <w:rPr>
                <w:noProof/>
              </w:rPr>
            </w:pPr>
          </w:p>
        </w:tc>
      </w:tr>
      <w:tr w:rsidR="000571C9" w:rsidRPr="00577995" w14:paraId="143AD1DB" w14:textId="77777777" w:rsidTr="001D0E63">
        <w:trPr>
          <w:trHeight w:val="336"/>
        </w:trPr>
        <w:tc>
          <w:tcPr>
            <w:tcW w:w="778" w:type="pct"/>
            <w:vMerge/>
          </w:tcPr>
          <w:p w14:paraId="587DC4D4" w14:textId="77777777" w:rsidR="000571C9" w:rsidRPr="00577995" w:rsidRDefault="000571C9" w:rsidP="00BE1D7D">
            <w:pPr>
              <w:spacing w:line="240" w:lineRule="auto"/>
              <w:rPr>
                <w:b/>
                <w:noProof/>
              </w:rPr>
            </w:pPr>
          </w:p>
        </w:tc>
        <w:tc>
          <w:tcPr>
            <w:tcW w:w="744" w:type="pct"/>
            <w:vMerge/>
          </w:tcPr>
          <w:p w14:paraId="6BF4CD75" w14:textId="77777777" w:rsidR="000571C9" w:rsidRPr="00577995" w:rsidRDefault="000571C9" w:rsidP="00BB3A2B">
            <w:pPr>
              <w:pStyle w:val="ListParagraph"/>
              <w:numPr>
                <w:ilvl w:val="0"/>
                <w:numId w:val="4"/>
              </w:numPr>
              <w:spacing w:after="0" w:line="240" w:lineRule="auto"/>
              <w:rPr>
                <w:rFonts w:ascii="Times New Roman" w:hAnsi="Times New Roman" w:cs="Times New Roman"/>
                <w:noProof/>
                <w:u w:val="single"/>
              </w:rPr>
            </w:pPr>
          </w:p>
        </w:tc>
        <w:tc>
          <w:tcPr>
            <w:tcW w:w="834" w:type="pct"/>
          </w:tcPr>
          <w:p w14:paraId="297AF68B" w14:textId="255F92B2" w:rsidR="000571C9" w:rsidRPr="001D0E63" w:rsidRDefault="000571C9" w:rsidP="001D0E63">
            <w:pPr>
              <w:pStyle w:val="ListParagraph"/>
              <w:numPr>
                <w:ilvl w:val="0"/>
                <w:numId w:val="10"/>
              </w:numPr>
              <w:spacing w:after="0" w:line="240" w:lineRule="auto"/>
              <w:ind w:left="313"/>
              <w:rPr>
                <w:rFonts w:ascii="Times New Roman" w:hAnsi="Times New Roman"/>
                <w:i/>
                <w:noProof/>
              </w:rPr>
            </w:pPr>
            <w:r w:rsidRPr="00577995">
              <w:rPr>
                <w:rFonts w:ascii="Times New Roman" w:hAnsi="Times New Roman"/>
                <w:i/>
                <w:noProof/>
              </w:rPr>
              <w:t>Obrat vo vzťahu</w:t>
            </w:r>
            <w:r w:rsidR="00577995" w:rsidRPr="00577995">
              <w:rPr>
                <w:rFonts w:ascii="Times New Roman" w:hAnsi="Times New Roman"/>
                <w:i/>
                <w:noProof/>
              </w:rPr>
              <w:t xml:space="preserve"> k </w:t>
            </w:r>
            <w:r w:rsidRPr="00577995">
              <w:rPr>
                <w:rFonts w:ascii="Times New Roman" w:hAnsi="Times New Roman"/>
                <w:i/>
                <w:noProof/>
              </w:rPr>
              <w:t>objemu emisie</w:t>
            </w:r>
          </w:p>
        </w:tc>
        <w:tc>
          <w:tcPr>
            <w:tcW w:w="882" w:type="pct"/>
          </w:tcPr>
          <w:p w14:paraId="6D5101D8" w14:textId="06ACD030" w:rsidR="000571C9" w:rsidRPr="00577995" w:rsidRDefault="00DF5FAE" w:rsidP="00BE1D7D">
            <w:pPr>
              <w:spacing w:line="240" w:lineRule="auto"/>
              <w:rPr>
                <w:noProof/>
              </w:rPr>
            </w:pPr>
            <w:r w:rsidRPr="00577995">
              <w:rPr>
                <w:noProof/>
              </w:rPr>
              <w:t>Približne 80 % počas druhého polroka 2022</w:t>
            </w:r>
          </w:p>
        </w:tc>
        <w:tc>
          <w:tcPr>
            <w:tcW w:w="1763" w:type="pct"/>
            <w:vMerge/>
          </w:tcPr>
          <w:p w14:paraId="57C0A305" w14:textId="77777777" w:rsidR="000571C9" w:rsidRPr="00577995" w:rsidRDefault="000571C9" w:rsidP="00BE1D7D">
            <w:pPr>
              <w:spacing w:line="240" w:lineRule="auto"/>
              <w:rPr>
                <w:noProof/>
              </w:rPr>
            </w:pPr>
          </w:p>
        </w:tc>
      </w:tr>
      <w:tr w:rsidR="000571C9" w:rsidRPr="00577995" w14:paraId="6F1608B5" w14:textId="77777777" w:rsidTr="001D0E63">
        <w:trPr>
          <w:trHeight w:val="336"/>
        </w:trPr>
        <w:tc>
          <w:tcPr>
            <w:tcW w:w="778" w:type="pct"/>
            <w:vMerge/>
          </w:tcPr>
          <w:p w14:paraId="2F918CA3" w14:textId="77777777" w:rsidR="000571C9" w:rsidRPr="00577995" w:rsidRDefault="000571C9" w:rsidP="00BE1D7D">
            <w:pPr>
              <w:spacing w:line="240" w:lineRule="auto"/>
              <w:rPr>
                <w:b/>
                <w:noProof/>
              </w:rPr>
            </w:pPr>
          </w:p>
        </w:tc>
        <w:tc>
          <w:tcPr>
            <w:tcW w:w="744" w:type="pct"/>
            <w:vMerge/>
          </w:tcPr>
          <w:p w14:paraId="7DCD0707" w14:textId="77777777" w:rsidR="000571C9" w:rsidRPr="00577995" w:rsidRDefault="000571C9" w:rsidP="00BB3A2B">
            <w:pPr>
              <w:pStyle w:val="ListParagraph"/>
              <w:numPr>
                <w:ilvl w:val="0"/>
                <w:numId w:val="4"/>
              </w:numPr>
              <w:spacing w:after="0" w:line="240" w:lineRule="auto"/>
              <w:rPr>
                <w:rFonts w:ascii="Times New Roman" w:hAnsi="Times New Roman" w:cs="Times New Roman"/>
                <w:noProof/>
                <w:u w:val="single"/>
              </w:rPr>
            </w:pPr>
          </w:p>
        </w:tc>
        <w:tc>
          <w:tcPr>
            <w:tcW w:w="834" w:type="pct"/>
          </w:tcPr>
          <w:p w14:paraId="1621F1F6" w14:textId="7A646C58" w:rsidR="000571C9" w:rsidRPr="001D0E63" w:rsidRDefault="000571C9" w:rsidP="001D0E63">
            <w:pPr>
              <w:pStyle w:val="ListParagraph"/>
              <w:numPr>
                <w:ilvl w:val="0"/>
                <w:numId w:val="10"/>
              </w:numPr>
              <w:spacing w:after="0" w:line="240" w:lineRule="auto"/>
              <w:ind w:left="313"/>
              <w:rPr>
                <w:rFonts w:ascii="Times New Roman" w:hAnsi="Times New Roman"/>
                <w:i/>
                <w:noProof/>
              </w:rPr>
            </w:pPr>
            <w:r w:rsidRPr="00577995">
              <w:rPr>
                <w:rFonts w:ascii="Times New Roman" w:hAnsi="Times New Roman"/>
                <w:i/>
                <w:noProof/>
              </w:rPr>
              <w:t>Absolútny obrat</w:t>
            </w:r>
          </w:p>
        </w:tc>
        <w:tc>
          <w:tcPr>
            <w:tcW w:w="882" w:type="pct"/>
          </w:tcPr>
          <w:p w14:paraId="73D28D79" w14:textId="4220AE36" w:rsidR="000571C9" w:rsidRPr="00577995" w:rsidRDefault="000571C9" w:rsidP="00BE1D7D">
            <w:pPr>
              <w:spacing w:after="0" w:line="240" w:lineRule="auto"/>
              <w:rPr>
                <w:noProof/>
              </w:rPr>
            </w:pPr>
            <w:r w:rsidRPr="00577995">
              <w:rPr>
                <w:noProof/>
              </w:rPr>
              <w:t>241 mld. EUR</w:t>
            </w:r>
            <w:r w:rsidR="00577995" w:rsidRPr="00577995">
              <w:rPr>
                <w:noProof/>
              </w:rPr>
              <w:t xml:space="preserve"> v </w:t>
            </w:r>
            <w:r w:rsidRPr="00577995">
              <w:rPr>
                <w:noProof/>
              </w:rPr>
              <w:t>druhom polroku 2022</w:t>
            </w:r>
            <w:r w:rsidR="00577995" w:rsidRPr="00577995">
              <w:rPr>
                <w:noProof/>
              </w:rPr>
              <w:t xml:space="preserve"> v </w:t>
            </w:r>
            <w:r w:rsidRPr="00577995">
              <w:rPr>
                <w:noProof/>
              </w:rPr>
              <w:t>porovnaní</w:t>
            </w:r>
            <w:r w:rsidR="00577995" w:rsidRPr="00577995">
              <w:rPr>
                <w:noProof/>
              </w:rPr>
              <w:t xml:space="preserve"> s </w:t>
            </w:r>
            <w:r w:rsidRPr="00577995">
              <w:rPr>
                <w:noProof/>
              </w:rPr>
              <w:t>236 mld. EUR</w:t>
            </w:r>
            <w:r w:rsidR="00577995" w:rsidRPr="00577995">
              <w:rPr>
                <w:noProof/>
              </w:rPr>
              <w:t xml:space="preserve"> v </w:t>
            </w:r>
            <w:r w:rsidRPr="00577995">
              <w:rPr>
                <w:noProof/>
              </w:rPr>
              <w:t>prvom polroku 2022</w:t>
            </w:r>
          </w:p>
          <w:p w14:paraId="15AEBE51" w14:textId="5D4A1BF1" w:rsidR="000571C9" w:rsidRPr="00577995" w:rsidRDefault="000571C9" w:rsidP="00BE1D7D">
            <w:pPr>
              <w:spacing w:after="0" w:line="240" w:lineRule="auto"/>
              <w:rPr>
                <w:noProof/>
              </w:rPr>
            </w:pPr>
          </w:p>
        </w:tc>
        <w:tc>
          <w:tcPr>
            <w:tcW w:w="1763" w:type="pct"/>
            <w:vMerge/>
          </w:tcPr>
          <w:p w14:paraId="6BC7E7D7" w14:textId="77777777" w:rsidR="000571C9" w:rsidRPr="00577995" w:rsidRDefault="000571C9" w:rsidP="00BE1D7D">
            <w:pPr>
              <w:spacing w:line="240" w:lineRule="auto"/>
              <w:rPr>
                <w:noProof/>
              </w:rPr>
            </w:pPr>
          </w:p>
        </w:tc>
      </w:tr>
      <w:tr w:rsidR="00931C51" w:rsidRPr="00577995" w14:paraId="493326C8" w14:textId="77777777" w:rsidTr="001D0E63">
        <w:trPr>
          <w:trHeight w:val="698"/>
        </w:trPr>
        <w:tc>
          <w:tcPr>
            <w:tcW w:w="778" w:type="pct"/>
            <w:vMerge w:val="restart"/>
          </w:tcPr>
          <w:p w14:paraId="3B58ED48" w14:textId="34387FF6" w:rsidR="00931C51" w:rsidRPr="00577995" w:rsidRDefault="00931C51" w:rsidP="00BE1D7D">
            <w:pPr>
              <w:pStyle w:val="ListParagraph"/>
              <w:spacing w:line="240" w:lineRule="auto"/>
              <w:ind w:left="360"/>
              <w:rPr>
                <w:rFonts w:ascii="Times New Roman" w:hAnsi="Times New Roman" w:cs="Times New Roman"/>
                <w:noProof/>
              </w:rPr>
            </w:pPr>
          </w:p>
        </w:tc>
        <w:tc>
          <w:tcPr>
            <w:tcW w:w="744" w:type="pct"/>
            <w:vMerge w:val="restart"/>
          </w:tcPr>
          <w:p w14:paraId="5D93C1CA" w14:textId="6B98C56F" w:rsidR="00931C51" w:rsidRPr="00577995" w:rsidRDefault="00931C51" w:rsidP="00BB3A2B">
            <w:pPr>
              <w:pStyle w:val="ListParagraph"/>
              <w:numPr>
                <w:ilvl w:val="0"/>
                <w:numId w:val="7"/>
              </w:numPr>
              <w:spacing w:after="0" w:line="240" w:lineRule="auto"/>
              <w:rPr>
                <w:rFonts w:ascii="Times New Roman" w:hAnsi="Times New Roman" w:cs="Times New Roman"/>
                <w:noProof/>
                <w:u w:val="single"/>
              </w:rPr>
            </w:pPr>
            <w:r w:rsidRPr="00577995">
              <w:rPr>
                <w:rFonts w:ascii="Times New Roman" w:hAnsi="Times New Roman"/>
                <w:noProof/>
                <w:u w:val="single"/>
              </w:rPr>
              <w:t>Riadenie profilu splatnosti emisií dlhopisov EÚ</w:t>
            </w:r>
            <w:r w:rsidR="00577995" w:rsidRPr="00577995">
              <w:rPr>
                <w:rFonts w:ascii="Times New Roman" w:hAnsi="Times New Roman"/>
                <w:noProof/>
                <w:u w:val="single"/>
              </w:rPr>
              <w:t xml:space="preserve"> s </w:t>
            </w:r>
            <w:r w:rsidRPr="00577995">
              <w:rPr>
                <w:rFonts w:ascii="Times New Roman" w:hAnsi="Times New Roman"/>
                <w:noProof/>
                <w:u w:val="single"/>
              </w:rPr>
              <w:t>náležitým ohľadom na:</w:t>
            </w:r>
          </w:p>
          <w:p w14:paraId="087E4C09" w14:textId="15BFC88F" w:rsidR="00931C51" w:rsidRPr="00577995" w:rsidRDefault="00931C51" w:rsidP="00BB3A2B">
            <w:pPr>
              <w:pStyle w:val="ListParagraph"/>
              <w:numPr>
                <w:ilvl w:val="0"/>
                <w:numId w:val="6"/>
              </w:numPr>
              <w:spacing w:after="0" w:line="240" w:lineRule="auto"/>
              <w:ind w:left="643"/>
              <w:rPr>
                <w:rFonts w:ascii="Times New Roman" w:hAnsi="Times New Roman" w:cs="Times New Roman"/>
                <w:noProof/>
              </w:rPr>
            </w:pPr>
            <w:r w:rsidRPr="00577995">
              <w:rPr>
                <w:rFonts w:ascii="Times New Roman" w:hAnsi="Times New Roman"/>
                <w:noProof/>
              </w:rPr>
              <w:t>dočasný dodatočný manévrovací priestor (na vypožičanie si prostriedkov</w:t>
            </w:r>
            <w:r w:rsidR="00577995" w:rsidRPr="00577995">
              <w:rPr>
                <w:rFonts w:ascii="Times New Roman" w:hAnsi="Times New Roman"/>
                <w:noProof/>
              </w:rPr>
              <w:t xml:space="preserve"> v </w:t>
            </w:r>
            <w:r w:rsidRPr="00577995">
              <w:rPr>
                <w:rFonts w:ascii="Times New Roman" w:hAnsi="Times New Roman"/>
                <w:noProof/>
              </w:rPr>
              <w:t>súvislosti</w:t>
            </w:r>
            <w:r w:rsidR="00577995" w:rsidRPr="00577995">
              <w:rPr>
                <w:rFonts w:ascii="Times New Roman" w:hAnsi="Times New Roman"/>
                <w:noProof/>
              </w:rPr>
              <w:t xml:space="preserve"> s </w:t>
            </w:r>
            <w:r w:rsidRPr="00577995">
              <w:rPr>
                <w:rFonts w:ascii="Times New Roman" w:hAnsi="Times New Roman"/>
                <w:noProof/>
              </w:rPr>
              <w:t>nástrojom NextGenerationEU)</w:t>
            </w:r>
            <w:r w:rsidR="00577995" w:rsidRPr="00577995">
              <w:rPr>
                <w:rFonts w:ascii="Times New Roman" w:hAnsi="Times New Roman"/>
                <w:noProof/>
              </w:rPr>
              <w:t xml:space="preserve"> a </w:t>
            </w:r>
            <w:r w:rsidRPr="00577995">
              <w:rPr>
                <w:rFonts w:ascii="Times New Roman" w:hAnsi="Times New Roman"/>
                <w:noProof/>
              </w:rPr>
              <w:t>trvalý manévrovací priestor (pre nástroj makrofinančnej pomoci+)</w:t>
            </w:r>
            <w:r w:rsidR="00577995" w:rsidRPr="00577995">
              <w:rPr>
                <w:rFonts w:ascii="Times New Roman" w:hAnsi="Times New Roman"/>
                <w:noProof/>
              </w:rPr>
              <w:t xml:space="preserve"> v </w:t>
            </w:r>
            <w:r w:rsidRPr="00577995">
              <w:rPr>
                <w:rFonts w:ascii="Times New Roman" w:hAnsi="Times New Roman"/>
                <w:noProof/>
              </w:rPr>
              <w:t>rámci rozpočtu EÚ,</w:t>
            </w:r>
          </w:p>
          <w:p w14:paraId="7037AD17" w14:textId="03940B4E" w:rsidR="00931C51" w:rsidRPr="00577995" w:rsidRDefault="00931C51" w:rsidP="00BB3A2B">
            <w:pPr>
              <w:pStyle w:val="ListParagraph"/>
              <w:numPr>
                <w:ilvl w:val="0"/>
                <w:numId w:val="6"/>
              </w:numPr>
              <w:spacing w:after="0" w:line="240" w:lineRule="auto"/>
              <w:ind w:left="643"/>
              <w:rPr>
                <w:rFonts w:ascii="Times New Roman" w:hAnsi="Times New Roman" w:cs="Times New Roman"/>
                <w:noProof/>
              </w:rPr>
            </w:pPr>
            <w:r w:rsidRPr="00577995">
              <w:rPr>
                <w:rFonts w:ascii="Times New Roman" w:hAnsi="Times New Roman"/>
                <w:noProof/>
              </w:rPr>
              <w:t>budúce splácanie vyplatených prostriedkov</w:t>
            </w:r>
            <w:r w:rsidR="00577995" w:rsidRPr="00577995">
              <w:rPr>
                <w:rFonts w:ascii="Times New Roman" w:hAnsi="Times New Roman"/>
                <w:noProof/>
              </w:rPr>
              <w:t xml:space="preserve"> v </w:t>
            </w:r>
            <w:r w:rsidRPr="00577995">
              <w:rPr>
                <w:rFonts w:ascii="Times New Roman" w:hAnsi="Times New Roman"/>
                <w:noProof/>
              </w:rPr>
              <w:t xml:space="preserve">ktoromkoľvek danom roku, </w:t>
            </w:r>
          </w:p>
          <w:p w14:paraId="22F8318F" w14:textId="77777777" w:rsidR="00931C51" w:rsidRPr="00577995" w:rsidRDefault="00931C51" w:rsidP="00BB3A2B">
            <w:pPr>
              <w:pStyle w:val="ListParagraph"/>
              <w:numPr>
                <w:ilvl w:val="0"/>
                <w:numId w:val="6"/>
              </w:numPr>
              <w:spacing w:after="0" w:line="240" w:lineRule="auto"/>
              <w:ind w:left="643"/>
              <w:rPr>
                <w:rFonts w:ascii="Times New Roman" w:hAnsi="Times New Roman" w:cs="Times New Roman"/>
                <w:noProof/>
              </w:rPr>
            </w:pPr>
            <w:r w:rsidRPr="00577995">
              <w:rPr>
                <w:rFonts w:ascii="Times New Roman" w:hAnsi="Times New Roman"/>
                <w:noProof/>
              </w:rPr>
              <w:t>stabilné budúce potreby obnovenia,</w:t>
            </w:r>
          </w:p>
          <w:p w14:paraId="26920B80" w14:textId="69A24C66" w:rsidR="00931C51" w:rsidRPr="00577995" w:rsidRDefault="00C6453D" w:rsidP="00BB3A2B">
            <w:pPr>
              <w:pStyle w:val="ListParagraph"/>
              <w:numPr>
                <w:ilvl w:val="0"/>
                <w:numId w:val="6"/>
              </w:numPr>
              <w:spacing w:after="0" w:line="240" w:lineRule="auto"/>
              <w:ind w:left="643"/>
              <w:rPr>
                <w:rFonts w:ascii="Times New Roman" w:hAnsi="Times New Roman" w:cs="Times New Roman"/>
                <w:noProof/>
              </w:rPr>
            </w:pPr>
            <w:r w:rsidRPr="00577995">
              <w:rPr>
                <w:rFonts w:ascii="Times New Roman" w:hAnsi="Times New Roman"/>
                <w:noProof/>
              </w:rPr>
              <w:t>potrebu chrániť rating EÚ</w:t>
            </w:r>
            <w:r w:rsidR="00577995" w:rsidRPr="00577995">
              <w:rPr>
                <w:rFonts w:ascii="Times New Roman" w:hAnsi="Times New Roman"/>
                <w:noProof/>
              </w:rPr>
              <w:t xml:space="preserve"> s </w:t>
            </w:r>
            <w:r w:rsidRPr="00577995">
              <w:rPr>
                <w:rFonts w:ascii="Times New Roman" w:hAnsi="Times New Roman"/>
                <w:noProof/>
              </w:rPr>
              <w:t>cieľom zabezpečiť nízke náklady na prijaté úvery</w:t>
            </w:r>
            <w:r w:rsidR="00577995" w:rsidRPr="00577995">
              <w:rPr>
                <w:rFonts w:ascii="Times New Roman" w:hAnsi="Times New Roman"/>
                <w:noProof/>
              </w:rPr>
              <w:t xml:space="preserve"> a </w:t>
            </w:r>
            <w:r w:rsidRPr="00577995">
              <w:rPr>
                <w:rFonts w:ascii="Times New Roman" w:hAnsi="Times New Roman"/>
                <w:noProof/>
              </w:rPr>
              <w:t>pôžičky</w:t>
            </w:r>
            <w:r w:rsidR="00577995" w:rsidRPr="00577995">
              <w:rPr>
                <w:rFonts w:ascii="Times New Roman" w:hAnsi="Times New Roman"/>
                <w:noProof/>
              </w:rPr>
              <w:t xml:space="preserve"> z </w:t>
            </w:r>
            <w:r w:rsidRPr="00577995">
              <w:rPr>
                <w:rFonts w:ascii="Times New Roman" w:hAnsi="Times New Roman"/>
                <w:noProof/>
              </w:rPr>
              <w:t>dlhodobého hľadiska</w:t>
            </w:r>
            <w:r w:rsidR="00577995" w:rsidRPr="00577995">
              <w:rPr>
                <w:rFonts w:ascii="Times New Roman" w:hAnsi="Times New Roman"/>
                <w:noProof/>
              </w:rPr>
              <w:t xml:space="preserve"> a </w:t>
            </w:r>
            <w:r w:rsidRPr="00577995">
              <w:rPr>
                <w:rFonts w:ascii="Times New Roman" w:hAnsi="Times New Roman"/>
                <w:noProof/>
              </w:rPr>
              <w:t>silný dopyt zo strany základne hlavných investorov.</w:t>
            </w:r>
          </w:p>
        </w:tc>
        <w:tc>
          <w:tcPr>
            <w:tcW w:w="834" w:type="pct"/>
          </w:tcPr>
          <w:p w14:paraId="4BCFEB17" w14:textId="2D99FAF0" w:rsidR="00931C51" w:rsidRPr="00577995" w:rsidRDefault="00931C51" w:rsidP="00BB3A2B">
            <w:pPr>
              <w:pStyle w:val="ListParagraph"/>
              <w:numPr>
                <w:ilvl w:val="0"/>
                <w:numId w:val="12"/>
              </w:numPr>
              <w:spacing w:after="0" w:line="240" w:lineRule="auto"/>
              <w:ind w:left="313"/>
              <w:rPr>
                <w:rFonts w:ascii="Times New Roman" w:hAnsi="Times New Roman" w:cs="Times New Roman"/>
                <w:i/>
                <w:iCs/>
                <w:noProof/>
              </w:rPr>
            </w:pPr>
            <w:r w:rsidRPr="00577995">
              <w:rPr>
                <w:rFonts w:ascii="Times New Roman" w:hAnsi="Times New Roman"/>
                <w:i/>
                <w:noProof/>
              </w:rPr>
              <w:t xml:space="preserve">Priemerná splatnosť emisie </w:t>
            </w:r>
          </w:p>
        </w:tc>
        <w:tc>
          <w:tcPr>
            <w:tcW w:w="882" w:type="pct"/>
          </w:tcPr>
          <w:p w14:paraId="027AB70A" w14:textId="77777777" w:rsidR="00931C51" w:rsidRPr="00577995" w:rsidRDefault="00931C51" w:rsidP="00BE1D7D">
            <w:pPr>
              <w:spacing w:line="240" w:lineRule="auto"/>
              <w:rPr>
                <w:noProof/>
              </w:rPr>
            </w:pPr>
            <w:r w:rsidRPr="00577995">
              <w:rPr>
                <w:noProof/>
              </w:rPr>
              <w:t xml:space="preserve">13 – 14 rokov </w:t>
            </w:r>
          </w:p>
        </w:tc>
        <w:tc>
          <w:tcPr>
            <w:tcW w:w="1763" w:type="pct"/>
            <w:vMerge w:val="restart"/>
          </w:tcPr>
          <w:p w14:paraId="1C4C3BDC" w14:textId="2F52EE67" w:rsidR="00931C51" w:rsidRPr="00577995" w:rsidRDefault="00931C51" w:rsidP="00BE1D7D">
            <w:pPr>
              <w:spacing w:line="240" w:lineRule="auto"/>
              <w:rPr>
                <w:noProof/>
              </w:rPr>
            </w:pPr>
            <w:r w:rsidRPr="00577995">
              <w:rPr>
                <w:noProof/>
              </w:rPr>
              <w:t>V prvom polroku 2023 mali emisie dlhopisov priemernú splatnosť 13 – 14 rokov. To odrážalo cieľ Komisie rozložiť profil splácania</w:t>
            </w:r>
            <w:r w:rsidR="00577995" w:rsidRPr="00577995">
              <w:rPr>
                <w:noProof/>
              </w:rPr>
              <w:t xml:space="preserve"> v </w:t>
            </w:r>
            <w:r w:rsidRPr="00577995">
              <w:rPr>
                <w:noProof/>
              </w:rPr>
              <w:t>priebehu času</w:t>
            </w:r>
            <w:r w:rsidR="00577995" w:rsidRPr="00577995">
              <w:rPr>
                <w:noProof/>
              </w:rPr>
              <w:t xml:space="preserve"> a </w:t>
            </w:r>
            <w:r w:rsidRPr="00577995">
              <w:rPr>
                <w:noProof/>
              </w:rPr>
              <w:t>zároveň prilákať investorov na základe transakcií na primárnom trhu EÚ. Priemerná splatnosť zostala pod maximálnou priemernou splatnosťou 17 rokov stanovenou</w:t>
            </w:r>
            <w:r w:rsidR="00577995" w:rsidRPr="00577995">
              <w:rPr>
                <w:noProof/>
              </w:rPr>
              <w:t xml:space="preserve"> v </w:t>
            </w:r>
            <w:r w:rsidRPr="00577995">
              <w:rPr>
                <w:noProof/>
              </w:rPr>
              <w:t>ročnom rozhodnutí</w:t>
            </w:r>
            <w:r w:rsidR="00577995" w:rsidRPr="00577995">
              <w:rPr>
                <w:noProof/>
              </w:rPr>
              <w:t xml:space="preserve"> o </w:t>
            </w:r>
            <w:r w:rsidRPr="00577995">
              <w:rPr>
                <w:noProof/>
              </w:rPr>
              <w:t>vypožičaní si prostriedkov na rok 2023.</w:t>
            </w:r>
          </w:p>
          <w:p w14:paraId="4B52951E" w14:textId="19CFA69E" w:rsidR="00931C51" w:rsidRPr="00577995" w:rsidRDefault="00931C51" w:rsidP="00BE1D7D">
            <w:pPr>
              <w:spacing w:line="240" w:lineRule="auto"/>
              <w:rPr>
                <w:noProof/>
              </w:rPr>
            </w:pPr>
            <w:r w:rsidRPr="00577995">
              <w:rPr>
                <w:noProof/>
              </w:rPr>
              <w:t>Priemerný čas do splatnosti nesplateného dlhu zostal stabilný (približne 12 rokov),</w:t>
            </w:r>
            <w:r w:rsidR="00577995" w:rsidRPr="00577995">
              <w:rPr>
                <w:noProof/>
              </w:rPr>
              <w:t xml:space="preserve"> a </w:t>
            </w:r>
            <w:r w:rsidRPr="00577995">
              <w:rPr>
                <w:noProof/>
              </w:rPr>
              <w:t>to najmä</w:t>
            </w:r>
            <w:r w:rsidR="00577995" w:rsidRPr="00577995">
              <w:rPr>
                <w:noProof/>
              </w:rPr>
              <w:t xml:space="preserve"> v </w:t>
            </w:r>
            <w:r w:rsidRPr="00577995">
              <w:rPr>
                <w:noProof/>
              </w:rPr>
              <w:t>dôsledku minulých emisií.</w:t>
            </w:r>
          </w:p>
          <w:p w14:paraId="3A2F71F2" w14:textId="4CA0B1FD" w:rsidR="00931C51" w:rsidRPr="00577995" w:rsidRDefault="00931C51" w:rsidP="00BE1D7D">
            <w:pPr>
              <w:spacing w:line="240" w:lineRule="auto"/>
              <w:rPr>
                <w:noProof/>
              </w:rPr>
            </w:pPr>
            <w:r w:rsidRPr="00577995">
              <w:rPr>
                <w:noProof/>
              </w:rPr>
              <w:t>Refinancovanie takisto zostalo stabilné, čo je odrazom minulých emisií</w:t>
            </w:r>
            <w:r w:rsidR="00577995" w:rsidRPr="00577995">
              <w:rPr>
                <w:noProof/>
              </w:rPr>
              <w:t xml:space="preserve"> a </w:t>
            </w:r>
            <w:r w:rsidRPr="00577995">
              <w:rPr>
                <w:noProof/>
              </w:rPr>
              <w:t>súvisiaceho profilu splácania.</w:t>
            </w:r>
            <w:r w:rsidRPr="00577995">
              <w:rPr>
                <w:noProof/>
                <w:color w:val="1F497D"/>
              </w:rPr>
              <w:t xml:space="preserve"> </w:t>
            </w:r>
          </w:p>
        </w:tc>
      </w:tr>
      <w:tr w:rsidR="00931C51" w:rsidRPr="00577995" w14:paraId="59CEA6CC" w14:textId="77777777" w:rsidTr="001D0E63">
        <w:trPr>
          <w:trHeight w:val="680"/>
        </w:trPr>
        <w:tc>
          <w:tcPr>
            <w:tcW w:w="778" w:type="pct"/>
            <w:vMerge/>
          </w:tcPr>
          <w:p w14:paraId="4A63A6A4" w14:textId="77777777" w:rsidR="00931C51" w:rsidRPr="00577995" w:rsidRDefault="00931C51" w:rsidP="00BB3A2B">
            <w:pPr>
              <w:pStyle w:val="ListParagraph"/>
              <w:numPr>
                <w:ilvl w:val="0"/>
                <w:numId w:val="3"/>
              </w:numPr>
              <w:spacing w:after="0" w:line="240" w:lineRule="auto"/>
              <w:rPr>
                <w:rFonts w:ascii="Times New Roman" w:hAnsi="Times New Roman" w:cs="Times New Roman"/>
                <w:b/>
                <w:noProof/>
              </w:rPr>
            </w:pPr>
          </w:p>
        </w:tc>
        <w:tc>
          <w:tcPr>
            <w:tcW w:w="744" w:type="pct"/>
            <w:vMerge/>
          </w:tcPr>
          <w:p w14:paraId="6BFCAF34" w14:textId="77777777" w:rsidR="00931C51" w:rsidRPr="00577995" w:rsidRDefault="00931C51" w:rsidP="00BE1D7D">
            <w:pPr>
              <w:spacing w:line="240" w:lineRule="auto"/>
              <w:rPr>
                <w:noProof/>
              </w:rPr>
            </w:pPr>
          </w:p>
        </w:tc>
        <w:tc>
          <w:tcPr>
            <w:tcW w:w="834" w:type="pct"/>
          </w:tcPr>
          <w:p w14:paraId="57DA3E9F" w14:textId="7968B7A4" w:rsidR="00931C51" w:rsidRPr="00577995" w:rsidRDefault="00931C51" w:rsidP="00BB3A2B">
            <w:pPr>
              <w:pStyle w:val="ListParagraph"/>
              <w:numPr>
                <w:ilvl w:val="0"/>
                <w:numId w:val="12"/>
              </w:numPr>
              <w:spacing w:after="0" w:line="240" w:lineRule="auto"/>
              <w:ind w:left="313"/>
              <w:rPr>
                <w:rFonts w:ascii="Times New Roman" w:hAnsi="Times New Roman" w:cs="Times New Roman"/>
                <w:i/>
                <w:iCs/>
                <w:noProof/>
              </w:rPr>
            </w:pPr>
            <w:r w:rsidRPr="00577995">
              <w:rPr>
                <w:rFonts w:ascii="Times New Roman" w:hAnsi="Times New Roman"/>
                <w:i/>
                <w:noProof/>
              </w:rPr>
              <w:t>Priemerný čas do splatnosti nesplateného dlhu</w:t>
            </w:r>
          </w:p>
        </w:tc>
        <w:tc>
          <w:tcPr>
            <w:tcW w:w="882" w:type="pct"/>
          </w:tcPr>
          <w:p w14:paraId="6AA146C8" w14:textId="4D560E20" w:rsidR="00931C51" w:rsidRPr="00577995" w:rsidRDefault="00931C51" w:rsidP="00BE1D7D">
            <w:pPr>
              <w:spacing w:line="240" w:lineRule="auto"/>
              <w:rPr>
                <w:noProof/>
              </w:rPr>
            </w:pPr>
            <w:r w:rsidRPr="00577995">
              <w:rPr>
                <w:noProof/>
              </w:rPr>
              <w:t>Približne 12 rokov.</w:t>
            </w:r>
          </w:p>
        </w:tc>
        <w:tc>
          <w:tcPr>
            <w:tcW w:w="1763" w:type="pct"/>
            <w:vMerge/>
          </w:tcPr>
          <w:p w14:paraId="48254B82" w14:textId="77777777" w:rsidR="00931C51" w:rsidRPr="00577995" w:rsidRDefault="00931C51" w:rsidP="00BE1D7D">
            <w:pPr>
              <w:spacing w:line="240" w:lineRule="auto"/>
              <w:rPr>
                <w:noProof/>
              </w:rPr>
            </w:pPr>
          </w:p>
        </w:tc>
      </w:tr>
      <w:tr w:rsidR="00931C51" w:rsidRPr="00577995" w14:paraId="7465F484" w14:textId="77777777" w:rsidTr="001D0E63">
        <w:trPr>
          <w:trHeight w:val="680"/>
        </w:trPr>
        <w:tc>
          <w:tcPr>
            <w:tcW w:w="778" w:type="pct"/>
            <w:vMerge/>
          </w:tcPr>
          <w:p w14:paraId="67E1C184" w14:textId="77777777" w:rsidR="00931C51" w:rsidRPr="00577995" w:rsidRDefault="00931C51" w:rsidP="00BB3A2B">
            <w:pPr>
              <w:pStyle w:val="ListParagraph"/>
              <w:numPr>
                <w:ilvl w:val="0"/>
                <w:numId w:val="3"/>
              </w:numPr>
              <w:spacing w:after="0" w:line="240" w:lineRule="auto"/>
              <w:rPr>
                <w:rFonts w:ascii="Times New Roman" w:hAnsi="Times New Roman" w:cs="Times New Roman"/>
                <w:b/>
                <w:noProof/>
              </w:rPr>
            </w:pPr>
          </w:p>
        </w:tc>
        <w:tc>
          <w:tcPr>
            <w:tcW w:w="744" w:type="pct"/>
            <w:vMerge/>
          </w:tcPr>
          <w:p w14:paraId="5AC9C3E3" w14:textId="77777777" w:rsidR="00931C51" w:rsidRPr="00577995" w:rsidRDefault="00931C51" w:rsidP="00BE1D7D">
            <w:pPr>
              <w:spacing w:line="240" w:lineRule="auto"/>
              <w:rPr>
                <w:noProof/>
              </w:rPr>
            </w:pPr>
          </w:p>
        </w:tc>
        <w:tc>
          <w:tcPr>
            <w:tcW w:w="834" w:type="pct"/>
          </w:tcPr>
          <w:p w14:paraId="096CBAA1" w14:textId="64894335" w:rsidR="00931C51" w:rsidRPr="00577995" w:rsidRDefault="00931C51" w:rsidP="00BB3A2B">
            <w:pPr>
              <w:pStyle w:val="ListParagraph"/>
              <w:numPr>
                <w:ilvl w:val="0"/>
                <w:numId w:val="12"/>
              </w:numPr>
              <w:spacing w:after="0" w:line="240" w:lineRule="auto"/>
              <w:ind w:left="313"/>
              <w:rPr>
                <w:rFonts w:ascii="Times New Roman" w:hAnsi="Times New Roman" w:cs="Times New Roman"/>
                <w:i/>
                <w:iCs/>
                <w:noProof/>
              </w:rPr>
            </w:pPr>
            <w:r w:rsidRPr="00577995">
              <w:rPr>
                <w:rFonts w:ascii="Times New Roman" w:hAnsi="Times New Roman"/>
                <w:i/>
                <w:noProof/>
              </w:rPr>
              <w:t>Krátkodobé refinancovanie, t. j. percentuálny podiel objemu nesplatených dlhopisov</w:t>
            </w:r>
            <w:r w:rsidR="00577995" w:rsidRPr="00577995">
              <w:rPr>
                <w:rFonts w:ascii="Times New Roman" w:hAnsi="Times New Roman"/>
                <w:i/>
                <w:noProof/>
              </w:rPr>
              <w:t xml:space="preserve"> a </w:t>
            </w:r>
            <w:r w:rsidRPr="00577995">
              <w:rPr>
                <w:rFonts w:ascii="Times New Roman" w:hAnsi="Times New Roman"/>
                <w:i/>
                <w:noProof/>
              </w:rPr>
              <w:t>poukážok splatných</w:t>
            </w:r>
            <w:r w:rsidR="00577995" w:rsidRPr="00577995">
              <w:rPr>
                <w:rFonts w:ascii="Times New Roman" w:hAnsi="Times New Roman"/>
                <w:i/>
                <w:noProof/>
              </w:rPr>
              <w:t xml:space="preserve"> v </w:t>
            </w:r>
            <w:r w:rsidRPr="00577995">
              <w:rPr>
                <w:rFonts w:ascii="Times New Roman" w:hAnsi="Times New Roman"/>
                <w:i/>
                <w:noProof/>
              </w:rPr>
              <w:t>nasledujúcich 12 mesiacoch</w:t>
            </w:r>
          </w:p>
        </w:tc>
        <w:tc>
          <w:tcPr>
            <w:tcW w:w="882" w:type="pct"/>
          </w:tcPr>
          <w:p w14:paraId="2B4059D4" w14:textId="284E8F49" w:rsidR="00931C51" w:rsidRPr="00577995" w:rsidRDefault="00931C51" w:rsidP="00BE1D7D">
            <w:pPr>
              <w:spacing w:line="240" w:lineRule="auto"/>
              <w:rPr>
                <w:noProof/>
              </w:rPr>
            </w:pPr>
            <w:r w:rsidRPr="00577995">
              <w:rPr>
                <w:noProof/>
              </w:rPr>
              <w:t>Menej ako 10 %</w:t>
            </w:r>
          </w:p>
        </w:tc>
        <w:tc>
          <w:tcPr>
            <w:tcW w:w="1763" w:type="pct"/>
            <w:vMerge/>
          </w:tcPr>
          <w:p w14:paraId="5EC2DB5A" w14:textId="77777777" w:rsidR="00931C51" w:rsidRPr="00577995" w:rsidRDefault="00931C51" w:rsidP="00BE1D7D">
            <w:pPr>
              <w:spacing w:line="240" w:lineRule="auto"/>
              <w:rPr>
                <w:noProof/>
              </w:rPr>
            </w:pPr>
          </w:p>
        </w:tc>
      </w:tr>
      <w:tr w:rsidR="00931C51" w:rsidRPr="00577995" w14:paraId="75EA9040" w14:textId="77777777" w:rsidTr="001D0E63">
        <w:trPr>
          <w:trHeight w:val="1187"/>
        </w:trPr>
        <w:tc>
          <w:tcPr>
            <w:tcW w:w="778" w:type="pct"/>
            <w:vMerge/>
          </w:tcPr>
          <w:p w14:paraId="06627094" w14:textId="77777777" w:rsidR="00931C51" w:rsidRPr="00577995" w:rsidRDefault="00931C51" w:rsidP="00BB3A2B">
            <w:pPr>
              <w:pStyle w:val="ListParagraph"/>
              <w:numPr>
                <w:ilvl w:val="0"/>
                <w:numId w:val="3"/>
              </w:numPr>
              <w:spacing w:after="0" w:line="240" w:lineRule="auto"/>
              <w:rPr>
                <w:rFonts w:ascii="Times New Roman" w:hAnsi="Times New Roman" w:cs="Times New Roman"/>
                <w:b/>
                <w:noProof/>
              </w:rPr>
            </w:pPr>
          </w:p>
        </w:tc>
        <w:tc>
          <w:tcPr>
            <w:tcW w:w="744" w:type="pct"/>
            <w:vMerge/>
          </w:tcPr>
          <w:p w14:paraId="0985A4BA" w14:textId="77777777" w:rsidR="00931C51" w:rsidRPr="00577995" w:rsidRDefault="00931C51" w:rsidP="00BE1D7D">
            <w:pPr>
              <w:spacing w:line="240" w:lineRule="auto"/>
              <w:rPr>
                <w:noProof/>
              </w:rPr>
            </w:pPr>
          </w:p>
        </w:tc>
        <w:tc>
          <w:tcPr>
            <w:tcW w:w="834" w:type="pct"/>
          </w:tcPr>
          <w:p w14:paraId="670D2792" w14:textId="50384820" w:rsidR="00931C51" w:rsidRPr="00577995" w:rsidRDefault="00931C51" w:rsidP="001D0E63">
            <w:pPr>
              <w:pStyle w:val="ListParagraph"/>
              <w:numPr>
                <w:ilvl w:val="0"/>
                <w:numId w:val="12"/>
              </w:numPr>
              <w:spacing w:after="0" w:line="240" w:lineRule="auto"/>
              <w:ind w:left="313"/>
              <w:rPr>
                <w:rFonts w:ascii="Times New Roman" w:hAnsi="Times New Roman" w:cs="Times New Roman"/>
                <w:i/>
                <w:iCs/>
                <w:noProof/>
              </w:rPr>
            </w:pPr>
            <w:r w:rsidRPr="00577995">
              <w:rPr>
                <w:rFonts w:ascii="Times New Roman" w:hAnsi="Times New Roman"/>
                <w:i/>
                <w:noProof/>
              </w:rPr>
              <w:t>Refinancovanie</w:t>
            </w:r>
            <w:r w:rsidR="00577995" w:rsidRPr="00577995">
              <w:rPr>
                <w:rFonts w:ascii="Times New Roman" w:hAnsi="Times New Roman"/>
                <w:i/>
                <w:noProof/>
              </w:rPr>
              <w:t xml:space="preserve"> v </w:t>
            </w:r>
            <w:r w:rsidRPr="00577995">
              <w:rPr>
                <w:rFonts w:ascii="Times New Roman" w:hAnsi="Times New Roman"/>
                <w:i/>
                <w:noProof/>
              </w:rPr>
              <w:t>strednodobom horizonte, t. j. percentuálny podiel objemu nesplatených dlhopisov</w:t>
            </w:r>
            <w:r w:rsidR="00577995" w:rsidRPr="00577995">
              <w:rPr>
                <w:rFonts w:ascii="Times New Roman" w:hAnsi="Times New Roman"/>
                <w:i/>
                <w:noProof/>
              </w:rPr>
              <w:t xml:space="preserve"> a </w:t>
            </w:r>
            <w:r w:rsidRPr="00577995">
              <w:rPr>
                <w:rFonts w:ascii="Times New Roman" w:hAnsi="Times New Roman"/>
                <w:i/>
                <w:noProof/>
              </w:rPr>
              <w:t>poukážok splatných</w:t>
            </w:r>
            <w:r w:rsidR="00577995" w:rsidRPr="00577995">
              <w:rPr>
                <w:rFonts w:ascii="Times New Roman" w:hAnsi="Times New Roman"/>
                <w:i/>
                <w:noProof/>
              </w:rPr>
              <w:t xml:space="preserve"> v </w:t>
            </w:r>
            <w:r w:rsidRPr="00577995">
              <w:rPr>
                <w:rFonts w:ascii="Times New Roman" w:hAnsi="Times New Roman"/>
                <w:i/>
                <w:noProof/>
              </w:rPr>
              <w:t>nasledujúcich piatich rokoch</w:t>
            </w:r>
          </w:p>
        </w:tc>
        <w:tc>
          <w:tcPr>
            <w:tcW w:w="882" w:type="pct"/>
          </w:tcPr>
          <w:p w14:paraId="7EB3E81F" w14:textId="2171FF1D" w:rsidR="00931C51" w:rsidRPr="00577995" w:rsidRDefault="00931C51" w:rsidP="00BE1D7D">
            <w:pPr>
              <w:spacing w:line="240" w:lineRule="auto"/>
              <w:rPr>
                <w:noProof/>
              </w:rPr>
            </w:pPr>
            <w:r w:rsidRPr="00577995">
              <w:rPr>
                <w:noProof/>
              </w:rPr>
              <w:t>Menej ako 30 %.</w:t>
            </w:r>
          </w:p>
        </w:tc>
        <w:tc>
          <w:tcPr>
            <w:tcW w:w="1763" w:type="pct"/>
            <w:vMerge/>
          </w:tcPr>
          <w:p w14:paraId="56DCF687" w14:textId="77777777" w:rsidR="00931C51" w:rsidRPr="00577995" w:rsidRDefault="00931C51" w:rsidP="00BE1D7D">
            <w:pPr>
              <w:spacing w:line="240" w:lineRule="auto"/>
              <w:rPr>
                <w:noProof/>
              </w:rPr>
            </w:pPr>
          </w:p>
        </w:tc>
      </w:tr>
      <w:tr w:rsidR="00931C51" w:rsidRPr="00577995" w14:paraId="07A8C45B" w14:textId="77777777" w:rsidTr="001D0E63">
        <w:trPr>
          <w:trHeight w:val="270"/>
        </w:trPr>
        <w:tc>
          <w:tcPr>
            <w:tcW w:w="778" w:type="pct"/>
            <w:vMerge w:val="restart"/>
          </w:tcPr>
          <w:p w14:paraId="42ACE714" w14:textId="2E0C556A" w:rsidR="00931C51" w:rsidRPr="00577995" w:rsidRDefault="00931C51" w:rsidP="00BB3A2B">
            <w:pPr>
              <w:pStyle w:val="ListParagraph"/>
              <w:numPr>
                <w:ilvl w:val="0"/>
                <w:numId w:val="3"/>
              </w:numPr>
              <w:spacing w:after="0" w:line="240" w:lineRule="auto"/>
              <w:rPr>
                <w:rFonts w:ascii="Times New Roman" w:hAnsi="Times New Roman" w:cs="Times New Roman"/>
                <w:b/>
                <w:bCs/>
                <w:noProof/>
              </w:rPr>
            </w:pPr>
            <w:r w:rsidRPr="00577995">
              <w:rPr>
                <w:rFonts w:ascii="Times New Roman" w:hAnsi="Times New Roman"/>
                <w:b/>
                <w:noProof/>
              </w:rPr>
              <w:t>Vykonávanie programu poukážok EÚ</w:t>
            </w:r>
          </w:p>
          <w:p w14:paraId="7E29BF9B" w14:textId="77777777" w:rsidR="00931C51" w:rsidRPr="00577995" w:rsidRDefault="00931C51" w:rsidP="00BE1D7D">
            <w:pPr>
              <w:spacing w:line="240" w:lineRule="auto"/>
              <w:rPr>
                <w:noProof/>
              </w:rPr>
            </w:pPr>
          </w:p>
        </w:tc>
        <w:tc>
          <w:tcPr>
            <w:tcW w:w="744" w:type="pct"/>
            <w:vMerge w:val="restart"/>
          </w:tcPr>
          <w:p w14:paraId="1A04AFD5" w14:textId="188CE266" w:rsidR="00931C51" w:rsidRPr="00577995" w:rsidRDefault="00931C51" w:rsidP="00BE1D7D">
            <w:pPr>
              <w:spacing w:line="240" w:lineRule="auto"/>
              <w:rPr>
                <w:noProof/>
              </w:rPr>
            </w:pPr>
            <w:r w:rsidRPr="00577995">
              <w:rPr>
                <w:noProof/>
              </w:rPr>
              <w:t>Pravidelná emisia poukážok EÚ so splatnosťou do jedného roka prostredníctvom aukcie</w:t>
            </w:r>
            <w:r w:rsidR="00577995" w:rsidRPr="00577995">
              <w:rPr>
                <w:noProof/>
              </w:rPr>
              <w:t xml:space="preserve"> s </w:t>
            </w:r>
            <w:r w:rsidRPr="00577995">
              <w:rPr>
                <w:noProof/>
              </w:rPr>
              <w:t>cieľom prilákať ďalších investorov (alebo dodatočné portfóliá existujúcich investorov)</w:t>
            </w:r>
            <w:r w:rsidR="00577995" w:rsidRPr="00577995">
              <w:rPr>
                <w:noProof/>
              </w:rPr>
              <w:t xml:space="preserve"> a </w:t>
            </w:r>
            <w:r w:rsidRPr="00577995">
              <w:rPr>
                <w:noProof/>
              </w:rPr>
              <w:t>podporiť riadenie likvidity.</w:t>
            </w:r>
          </w:p>
          <w:p w14:paraId="22A8993E" w14:textId="6F047B8D" w:rsidR="00F9742E" w:rsidRPr="00577995" w:rsidRDefault="00F9742E" w:rsidP="00BE1D7D">
            <w:pPr>
              <w:spacing w:line="240" w:lineRule="auto"/>
              <w:rPr>
                <w:noProof/>
              </w:rPr>
            </w:pPr>
          </w:p>
        </w:tc>
        <w:tc>
          <w:tcPr>
            <w:tcW w:w="834" w:type="pct"/>
          </w:tcPr>
          <w:p w14:paraId="1AF05887" w14:textId="77777777" w:rsidR="00931C51" w:rsidRPr="00577995" w:rsidRDefault="00931C51" w:rsidP="00BB3A2B">
            <w:pPr>
              <w:pStyle w:val="ListParagraph"/>
              <w:numPr>
                <w:ilvl w:val="0"/>
                <w:numId w:val="14"/>
              </w:numPr>
              <w:spacing w:after="0" w:line="240" w:lineRule="auto"/>
              <w:ind w:left="313"/>
              <w:rPr>
                <w:rFonts w:ascii="Times New Roman" w:hAnsi="Times New Roman" w:cs="Times New Roman"/>
                <w:i/>
                <w:iCs/>
                <w:noProof/>
              </w:rPr>
            </w:pPr>
            <w:r w:rsidRPr="00577995">
              <w:rPr>
                <w:rFonts w:ascii="Times New Roman" w:hAnsi="Times New Roman"/>
                <w:i/>
                <w:noProof/>
              </w:rPr>
              <w:t>Nesplatený objem poukážok EÚ</w:t>
            </w:r>
          </w:p>
          <w:p w14:paraId="390BA3C9" w14:textId="7E298C17" w:rsidR="00017F73" w:rsidRPr="00577995" w:rsidRDefault="00017F73" w:rsidP="00BB3A2B">
            <w:pPr>
              <w:spacing w:after="0" w:line="240" w:lineRule="auto"/>
              <w:ind w:left="313"/>
              <w:rPr>
                <w:i/>
                <w:iCs/>
                <w:noProof/>
              </w:rPr>
            </w:pPr>
          </w:p>
        </w:tc>
        <w:tc>
          <w:tcPr>
            <w:tcW w:w="882" w:type="pct"/>
          </w:tcPr>
          <w:p w14:paraId="0E971BB5" w14:textId="4C063A08" w:rsidR="00931C51" w:rsidRPr="00577995" w:rsidRDefault="00DF5FAE" w:rsidP="00BE1D7D">
            <w:pPr>
              <w:spacing w:line="240" w:lineRule="auto"/>
              <w:rPr>
                <w:noProof/>
              </w:rPr>
            </w:pPr>
            <w:r w:rsidRPr="00577995">
              <w:rPr>
                <w:noProof/>
              </w:rPr>
              <w:t>15 – 20 mld. EUR</w:t>
            </w:r>
          </w:p>
        </w:tc>
        <w:tc>
          <w:tcPr>
            <w:tcW w:w="1763" w:type="pct"/>
            <w:vMerge w:val="restart"/>
          </w:tcPr>
          <w:p w14:paraId="560E9F62" w14:textId="4FD5DEFF" w:rsidR="00931C51" w:rsidRPr="00577995" w:rsidRDefault="00931C51" w:rsidP="00BE1D7D">
            <w:pPr>
              <w:spacing w:line="240" w:lineRule="auto"/>
              <w:rPr>
                <w:bCs/>
                <w:noProof/>
              </w:rPr>
            </w:pPr>
            <w:r w:rsidRPr="00577995">
              <w:rPr>
                <w:noProof/>
              </w:rPr>
              <w:t>Komisia zachovala emisie</w:t>
            </w:r>
            <w:r w:rsidR="00577995" w:rsidRPr="00577995">
              <w:rPr>
                <w:noProof/>
              </w:rPr>
              <w:t xml:space="preserve"> v </w:t>
            </w:r>
            <w:r w:rsidRPr="00577995">
              <w:rPr>
                <w:noProof/>
              </w:rPr>
              <w:t>rámci programu poukážok EÚ na minimálnej úrovni vzhľadom na nízke potreby likvidity</w:t>
            </w:r>
            <w:r w:rsidR="00577995" w:rsidRPr="00577995">
              <w:rPr>
                <w:noProof/>
              </w:rPr>
              <w:t xml:space="preserve"> a </w:t>
            </w:r>
            <w:r w:rsidRPr="00577995">
              <w:rPr>
                <w:noProof/>
              </w:rPr>
              <w:t>dostatočné dlhodobé financovanie. Za mesiac sa uskutočnili dve aukcie,</w:t>
            </w:r>
            <w:r w:rsidR="00577995" w:rsidRPr="00577995">
              <w:rPr>
                <w:noProof/>
              </w:rPr>
              <w:t xml:space="preserve"> a </w:t>
            </w:r>
            <w:r w:rsidRPr="00577995">
              <w:rPr>
                <w:noProof/>
              </w:rPr>
              <w:t>to len na pokrytie splácania. Nesplatený dlh</w:t>
            </w:r>
            <w:r w:rsidR="00577995" w:rsidRPr="00577995">
              <w:rPr>
                <w:noProof/>
              </w:rPr>
              <w:t xml:space="preserve"> v </w:t>
            </w:r>
            <w:r w:rsidRPr="00577995">
              <w:rPr>
                <w:noProof/>
              </w:rPr>
              <w:t xml:space="preserve">rámci programu poukážok EÚ tak zostal počas tohto obdobia stabilný na úrovni približne 15 – 20 mld. EUR. </w:t>
            </w:r>
          </w:p>
          <w:p w14:paraId="0A054806" w14:textId="36D0EA83" w:rsidR="00931C51" w:rsidRPr="00577995" w:rsidRDefault="00931C51" w:rsidP="00BE1D7D">
            <w:pPr>
              <w:spacing w:line="240" w:lineRule="auto"/>
              <w:rPr>
                <w:noProof/>
              </w:rPr>
            </w:pPr>
          </w:p>
        </w:tc>
      </w:tr>
      <w:tr w:rsidR="00931C51" w:rsidRPr="00577995" w14:paraId="5725C77D" w14:textId="77777777" w:rsidTr="001D0E63">
        <w:trPr>
          <w:trHeight w:val="601"/>
        </w:trPr>
        <w:tc>
          <w:tcPr>
            <w:tcW w:w="778" w:type="pct"/>
            <w:vMerge/>
          </w:tcPr>
          <w:p w14:paraId="7081970B" w14:textId="77777777" w:rsidR="00931C51" w:rsidRPr="00577995" w:rsidRDefault="00931C51" w:rsidP="00BB3A2B">
            <w:pPr>
              <w:pStyle w:val="ListParagraph"/>
              <w:numPr>
                <w:ilvl w:val="0"/>
                <w:numId w:val="3"/>
              </w:numPr>
              <w:spacing w:after="0" w:line="240" w:lineRule="auto"/>
              <w:rPr>
                <w:rFonts w:ascii="Times New Roman" w:hAnsi="Times New Roman" w:cs="Times New Roman"/>
                <w:b/>
                <w:noProof/>
              </w:rPr>
            </w:pPr>
          </w:p>
        </w:tc>
        <w:tc>
          <w:tcPr>
            <w:tcW w:w="744" w:type="pct"/>
            <w:vMerge/>
          </w:tcPr>
          <w:p w14:paraId="368C85D8" w14:textId="77777777" w:rsidR="00931C51" w:rsidRPr="00577995" w:rsidRDefault="00931C51" w:rsidP="00BE1D7D">
            <w:pPr>
              <w:spacing w:line="240" w:lineRule="auto"/>
              <w:rPr>
                <w:noProof/>
              </w:rPr>
            </w:pPr>
          </w:p>
        </w:tc>
        <w:tc>
          <w:tcPr>
            <w:tcW w:w="834" w:type="pct"/>
          </w:tcPr>
          <w:p w14:paraId="47F78B41" w14:textId="3AC8722D" w:rsidR="00931C51" w:rsidRPr="00577995" w:rsidRDefault="00931C51" w:rsidP="00BB3A2B">
            <w:pPr>
              <w:pStyle w:val="ListParagraph"/>
              <w:numPr>
                <w:ilvl w:val="0"/>
                <w:numId w:val="14"/>
              </w:numPr>
              <w:spacing w:after="0" w:line="240" w:lineRule="auto"/>
              <w:ind w:left="313"/>
              <w:rPr>
                <w:rFonts w:ascii="Times New Roman" w:hAnsi="Times New Roman" w:cs="Times New Roman"/>
                <w:i/>
                <w:iCs/>
                <w:noProof/>
              </w:rPr>
            </w:pPr>
            <w:r w:rsidRPr="00577995">
              <w:rPr>
                <w:rFonts w:ascii="Times New Roman" w:hAnsi="Times New Roman"/>
                <w:i/>
                <w:noProof/>
              </w:rPr>
              <w:t>Počet aukcií poukážok EÚ</w:t>
            </w:r>
          </w:p>
        </w:tc>
        <w:tc>
          <w:tcPr>
            <w:tcW w:w="882" w:type="pct"/>
          </w:tcPr>
          <w:p w14:paraId="7EA62A01" w14:textId="4849B8FC" w:rsidR="00931C51" w:rsidRPr="00577995" w:rsidRDefault="00931C51" w:rsidP="00BE1D7D">
            <w:pPr>
              <w:spacing w:line="240" w:lineRule="auto"/>
              <w:rPr>
                <w:noProof/>
              </w:rPr>
            </w:pPr>
            <w:r w:rsidRPr="00577995">
              <w:rPr>
                <w:noProof/>
              </w:rPr>
              <w:t>12</w:t>
            </w:r>
          </w:p>
        </w:tc>
        <w:tc>
          <w:tcPr>
            <w:tcW w:w="1763" w:type="pct"/>
            <w:vMerge/>
          </w:tcPr>
          <w:p w14:paraId="47A6700F" w14:textId="77777777" w:rsidR="00931C51" w:rsidRPr="00577995" w:rsidRDefault="00931C51" w:rsidP="00BE1D7D">
            <w:pPr>
              <w:spacing w:line="240" w:lineRule="auto"/>
              <w:rPr>
                <w:noProof/>
              </w:rPr>
            </w:pPr>
          </w:p>
        </w:tc>
      </w:tr>
      <w:tr w:rsidR="00931C51" w:rsidRPr="00577995" w14:paraId="3653C00B" w14:textId="77777777" w:rsidTr="001D0E63">
        <w:trPr>
          <w:trHeight w:val="2014"/>
        </w:trPr>
        <w:tc>
          <w:tcPr>
            <w:tcW w:w="778" w:type="pct"/>
          </w:tcPr>
          <w:p w14:paraId="5F62F0A8" w14:textId="5CE06608" w:rsidR="00931C51" w:rsidRPr="00577995" w:rsidRDefault="00931C51" w:rsidP="00BB3A2B">
            <w:pPr>
              <w:pStyle w:val="ListParagraph"/>
              <w:numPr>
                <w:ilvl w:val="0"/>
                <w:numId w:val="3"/>
              </w:numPr>
              <w:spacing w:after="0" w:line="240" w:lineRule="auto"/>
              <w:rPr>
                <w:rFonts w:ascii="Times New Roman" w:hAnsi="Times New Roman" w:cs="Times New Roman"/>
                <w:b/>
                <w:bCs/>
                <w:noProof/>
              </w:rPr>
            </w:pPr>
            <w:r w:rsidRPr="00577995">
              <w:rPr>
                <w:rFonts w:ascii="Times New Roman" w:hAnsi="Times New Roman"/>
                <w:b/>
                <w:noProof/>
              </w:rPr>
              <w:t>Riadenie likvidity</w:t>
            </w:r>
          </w:p>
          <w:p w14:paraId="71B74C99" w14:textId="77777777" w:rsidR="00931C51" w:rsidRPr="00577995" w:rsidRDefault="00931C51" w:rsidP="00BE1D7D">
            <w:pPr>
              <w:spacing w:line="240" w:lineRule="auto"/>
              <w:rPr>
                <w:noProof/>
              </w:rPr>
            </w:pPr>
          </w:p>
        </w:tc>
        <w:tc>
          <w:tcPr>
            <w:tcW w:w="744" w:type="pct"/>
          </w:tcPr>
          <w:p w14:paraId="5206EED0" w14:textId="484D2770" w:rsidR="00931C51" w:rsidRPr="00577995" w:rsidRDefault="00931C51" w:rsidP="00BE1D7D">
            <w:pPr>
              <w:spacing w:line="240" w:lineRule="auto"/>
              <w:rPr>
                <w:noProof/>
              </w:rPr>
            </w:pPr>
            <w:r w:rsidRPr="00577995">
              <w:rPr>
                <w:noProof/>
              </w:rPr>
              <w:t>Riadenie fondu likvidity vzhľadom na platobné záväzky, potreby vyplácania prostriedkov</w:t>
            </w:r>
            <w:r w:rsidR="00577995" w:rsidRPr="00577995">
              <w:rPr>
                <w:noProof/>
              </w:rPr>
              <w:t xml:space="preserve"> a </w:t>
            </w:r>
            <w:r w:rsidRPr="00577995">
              <w:rPr>
                <w:noProof/>
              </w:rPr>
              <w:t>náklady na držbu hotovosti pri náležitom zohľadnení prevládajúcich trhových podmienok účtov.</w:t>
            </w:r>
          </w:p>
          <w:p w14:paraId="2002752E" w14:textId="6A797EEB" w:rsidR="00F9742E" w:rsidRPr="00577995" w:rsidRDefault="00F9742E" w:rsidP="00BE1D7D">
            <w:pPr>
              <w:spacing w:line="240" w:lineRule="auto"/>
              <w:rPr>
                <w:noProof/>
              </w:rPr>
            </w:pPr>
          </w:p>
        </w:tc>
        <w:tc>
          <w:tcPr>
            <w:tcW w:w="834" w:type="pct"/>
          </w:tcPr>
          <w:p w14:paraId="1BDF60C3" w14:textId="7D5B7A2D" w:rsidR="00931C51" w:rsidRPr="00577995" w:rsidRDefault="00931C51" w:rsidP="001D0E63">
            <w:pPr>
              <w:pStyle w:val="ListParagraph"/>
              <w:numPr>
                <w:ilvl w:val="0"/>
                <w:numId w:val="16"/>
              </w:numPr>
              <w:spacing w:after="0" w:line="240" w:lineRule="auto"/>
              <w:ind w:left="313"/>
              <w:rPr>
                <w:rFonts w:ascii="Times New Roman" w:hAnsi="Times New Roman" w:cs="Times New Roman"/>
                <w:i/>
                <w:iCs/>
                <w:noProof/>
              </w:rPr>
            </w:pPr>
            <w:r w:rsidRPr="00577995">
              <w:rPr>
                <w:rFonts w:ascii="Times New Roman" w:hAnsi="Times New Roman"/>
                <w:i/>
                <w:noProof/>
              </w:rPr>
              <w:t>Počet neuskutočnených platieb</w:t>
            </w:r>
            <w:r w:rsidR="00577995" w:rsidRPr="00577995">
              <w:rPr>
                <w:rFonts w:ascii="Times New Roman" w:hAnsi="Times New Roman"/>
                <w:i/>
                <w:noProof/>
              </w:rPr>
              <w:t xml:space="preserve"> z </w:t>
            </w:r>
            <w:r w:rsidRPr="00577995">
              <w:rPr>
                <w:rFonts w:ascii="Times New Roman" w:hAnsi="Times New Roman"/>
                <w:i/>
                <w:noProof/>
              </w:rPr>
              <w:t>dôvodu nedostatku likvidity</w:t>
            </w:r>
          </w:p>
        </w:tc>
        <w:tc>
          <w:tcPr>
            <w:tcW w:w="882" w:type="pct"/>
          </w:tcPr>
          <w:p w14:paraId="638FCCC3" w14:textId="1E53D5E8" w:rsidR="00931C51" w:rsidRPr="00577995" w:rsidRDefault="00DF5FAE" w:rsidP="00BE1D7D">
            <w:pPr>
              <w:spacing w:line="240" w:lineRule="auto"/>
              <w:rPr>
                <w:noProof/>
              </w:rPr>
            </w:pPr>
            <w:r w:rsidRPr="00577995">
              <w:rPr>
                <w:noProof/>
              </w:rPr>
              <w:t>Žiadne</w:t>
            </w:r>
          </w:p>
          <w:p w14:paraId="1EAF5053" w14:textId="77777777" w:rsidR="00931C51" w:rsidRPr="00577995" w:rsidRDefault="00931C51" w:rsidP="00BE1D7D">
            <w:pPr>
              <w:spacing w:line="240" w:lineRule="auto"/>
              <w:rPr>
                <w:noProof/>
              </w:rPr>
            </w:pPr>
          </w:p>
        </w:tc>
        <w:tc>
          <w:tcPr>
            <w:tcW w:w="1763" w:type="pct"/>
          </w:tcPr>
          <w:p w14:paraId="66286266" w14:textId="2FAE35F0" w:rsidR="00931C51" w:rsidRPr="00577995" w:rsidRDefault="00931C51" w:rsidP="00BE1D7D">
            <w:pPr>
              <w:spacing w:line="240" w:lineRule="auto"/>
              <w:rPr>
                <w:bCs/>
                <w:noProof/>
              </w:rPr>
            </w:pPr>
            <w:r w:rsidRPr="00577995">
              <w:rPr>
                <w:noProof/>
              </w:rPr>
              <w:t>Komisia úspešne uspokojila potreby vyplácania prostriedkov</w:t>
            </w:r>
            <w:r w:rsidR="00577995" w:rsidRPr="00577995">
              <w:rPr>
                <w:noProof/>
              </w:rPr>
              <w:t xml:space="preserve"> a </w:t>
            </w:r>
            <w:r w:rsidRPr="00577995">
              <w:rPr>
                <w:noProof/>
              </w:rPr>
              <w:t>počas polroka sa uskutočnili všetky vyrovnania.</w:t>
            </w:r>
          </w:p>
        </w:tc>
      </w:tr>
      <w:tr w:rsidR="00931C51" w:rsidRPr="00577995" w14:paraId="162BB5F7" w14:textId="77777777" w:rsidTr="001D0E63">
        <w:trPr>
          <w:trHeight w:val="2315"/>
        </w:trPr>
        <w:tc>
          <w:tcPr>
            <w:tcW w:w="778" w:type="pct"/>
          </w:tcPr>
          <w:p w14:paraId="45FB296E" w14:textId="15BC7D9E" w:rsidR="00931C51" w:rsidRPr="00577995" w:rsidRDefault="00931C51" w:rsidP="00BB3A2B">
            <w:pPr>
              <w:pStyle w:val="ListParagraph"/>
              <w:numPr>
                <w:ilvl w:val="0"/>
                <w:numId w:val="3"/>
              </w:numPr>
              <w:spacing w:after="0" w:line="240" w:lineRule="auto"/>
              <w:rPr>
                <w:rFonts w:ascii="Times New Roman" w:hAnsi="Times New Roman" w:cs="Times New Roman"/>
                <w:b/>
                <w:bCs/>
                <w:noProof/>
              </w:rPr>
            </w:pPr>
            <w:r w:rsidRPr="00577995">
              <w:rPr>
                <w:rFonts w:ascii="Times New Roman" w:hAnsi="Times New Roman"/>
                <w:b/>
                <w:noProof/>
              </w:rPr>
              <w:t>Sieť primárnych dílerov</w:t>
            </w:r>
          </w:p>
        </w:tc>
        <w:tc>
          <w:tcPr>
            <w:tcW w:w="744" w:type="pct"/>
          </w:tcPr>
          <w:p w14:paraId="4F714D15" w14:textId="77777777" w:rsidR="00931C51" w:rsidRPr="00577995" w:rsidRDefault="00931C51" w:rsidP="00BE1D7D">
            <w:pPr>
              <w:spacing w:line="240" w:lineRule="auto"/>
              <w:rPr>
                <w:noProof/>
              </w:rPr>
            </w:pPr>
            <w:r w:rsidRPr="00577995">
              <w:rPr>
                <w:noProof/>
              </w:rPr>
              <w:t xml:space="preserve">Prilákať širokú škálu finančných inštitúcií, ktoré preukázali pevné odhodlanie podporovať emisie EÚ </w:t>
            </w:r>
          </w:p>
        </w:tc>
        <w:tc>
          <w:tcPr>
            <w:tcW w:w="834" w:type="pct"/>
          </w:tcPr>
          <w:p w14:paraId="48A6FC97" w14:textId="2C1AB68D" w:rsidR="00F9742E" w:rsidRPr="001D0E63" w:rsidRDefault="00931C51" w:rsidP="001D0E63">
            <w:pPr>
              <w:pStyle w:val="ListParagraph"/>
              <w:numPr>
                <w:ilvl w:val="0"/>
                <w:numId w:val="15"/>
              </w:numPr>
              <w:spacing w:after="0" w:line="240" w:lineRule="auto"/>
              <w:ind w:left="313"/>
              <w:rPr>
                <w:rFonts w:ascii="Times New Roman" w:hAnsi="Times New Roman" w:cs="Times New Roman"/>
                <w:i/>
                <w:iCs/>
                <w:noProof/>
              </w:rPr>
            </w:pPr>
            <w:r w:rsidRPr="00577995">
              <w:rPr>
                <w:rFonts w:ascii="Times New Roman" w:hAnsi="Times New Roman"/>
                <w:i/>
                <w:noProof/>
              </w:rPr>
              <w:t>Počet inštitúcií, ktoré podpísali upisovacie záväzky týkajúce sa transakcií za posledných šesť mesiacov</w:t>
            </w:r>
          </w:p>
        </w:tc>
        <w:tc>
          <w:tcPr>
            <w:tcW w:w="882" w:type="pct"/>
          </w:tcPr>
          <w:p w14:paraId="4934FE27" w14:textId="3628928F" w:rsidR="00931C51" w:rsidRPr="00577995" w:rsidRDefault="002835C6" w:rsidP="00BE1D7D">
            <w:pPr>
              <w:spacing w:line="240" w:lineRule="auto"/>
              <w:rPr>
                <w:noProof/>
              </w:rPr>
            </w:pPr>
            <w:r w:rsidRPr="00577995">
              <w:rPr>
                <w:noProof/>
              </w:rPr>
              <w:t>19</w:t>
            </w:r>
          </w:p>
        </w:tc>
        <w:tc>
          <w:tcPr>
            <w:tcW w:w="1763" w:type="pct"/>
          </w:tcPr>
          <w:p w14:paraId="1106FB15" w14:textId="520BEFF9" w:rsidR="00931C51" w:rsidRPr="00577995" w:rsidRDefault="00931C51" w:rsidP="00BE1D7D">
            <w:pPr>
              <w:spacing w:line="240" w:lineRule="auto"/>
              <w:rPr>
                <w:bCs/>
                <w:noProof/>
              </w:rPr>
            </w:pPr>
            <w:r w:rsidRPr="00577995">
              <w:rPr>
                <w:noProof/>
              </w:rPr>
              <w:t>Komisiu naďalej podporovali primárni díleri EÚ</w:t>
            </w:r>
            <w:r w:rsidR="00577995" w:rsidRPr="00577995">
              <w:rPr>
                <w:noProof/>
              </w:rPr>
              <w:t xml:space="preserve"> a </w:t>
            </w:r>
            <w:r w:rsidRPr="00577995">
              <w:rPr>
                <w:noProof/>
              </w:rPr>
              <w:t>rotácia</w:t>
            </w:r>
            <w:r w:rsidR="00577995" w:rsidRPr="00577995">
              <w:rPr>
                <w:noProof/>
              </w:rPr>
              <w:t xml:space="preserve"> v </w:t>
            </w:r>
            <w:r w:rsidRPr="00577995">
              <w:rPr>
                <w:noProof/>
              </w:rPr>
              <w:t>rámci syndikácií pomohla Komisii čo najlepšie využiť všetky banky oprávnené byť súčasťou syndikátu.</w:t>
            </w:r>
          </w:p>
          <w:p w14:paraId="53DB1118" w14:textId="4671C5C2" w:rsidR="00931C51" w:rsidRPr="00577995" w:rsidRDefault="00931C51" w:rsidP="00BE1D7D">
            <w:pPr>
              <w:spacing w:line="240" w:lineRule="auto"/>
              <w:rPr>
                <w:noProof/>
              </w:rPr>
            </w:pPr>
          </w:p>
        </w:tc>
      </w:tr>
      <w:tr w:rsidR="00931C51" w:rsidRPr="00577995" w14:paraId="756DFD88" w14:textId="77777777" w:rsidTr="001D0E63">
        <w:trPr>
          <w:trHeight w:val="336"/>
        </w:trPr>
        <w:tc>
          <w:tcPr>
            <w:tcW w:w="778" w:type="pct"/>
            <w:vMerge w:val="restart"/>
          </w:tcPr>
          <w:p w14:paraId="25F07BF4" w14:textId="4B46AC12" w:rsidR="00931C51" w:rsidRPr="00577995" w:rsidRDefault="00931C51" w:rsidP="00BB3A2B">
            <w:pPr>
              <w:pStyle w:val="ListParagraph"/>
              <w:numPr>
                <w:ilvl w:val="0"/>
                <w:numId w:val="3"/>
              </w:numPr>
              <w:spacing w:after="0" w:line="240" w:lineRule="auto"/>
              <w:rPr>
                <w:rFonts w:ascii="Times New Roman" w:hAnsi="Times New Roman" w:cs="Times New Roman"/>
                <w:noProof/>
              </w:rPr>
            </w:pPr>
            <w:r w:rsidRPr="00577995">
              <w:rPr>
                <w:rFonts w:ascii="Times New Roman" w:hAnsi="Times New Roman"/>
                <w:b/>
                <w:noProof/>
              </w:rPr>
              <w:t>Komunikácia</w:t>
            </w:r>
            <w:r w:rsidR="00577995" w:rsidRPr="00577995">
              <w:rPr>
                <w:rFonts w:ascii="Times New Roman" w:hAnsi="Times New Roman"/>
                <w:b/>
                <w:noProof/>
              </w:rPr>
              <w:t xml:space="preserve"> s </w:t>
            </w:r>
            <w:r w:rsidRPr="00577995">
              <w:rPr>
                <w:rFonts w:ascii="Times New Roman" w:hAnsi="Times New Roman"/>
                <w:b/>
                <w:noProof/>
              </w:rPr>
              <w:t>rôznymi zainteresovanými stranami na trhu</w:t>
            </w:r>
            <w:r w:rsidR="00577995" w:rsidRPr="00577995">
              <w:rPr>
                <w:rFonts w:ascii="Times New Roman" w:hAnsi="Times New Roman"/>
                <w:b/>
                <w:noProof/>
              </w:rPr>
              <w:t xml:space="preserve"> a s </w:t>
            </w:r>
            <w:r w:rsidRPr="00577995">
              <w:rPr>
                <w:rFonts w:ascii="Times New Roman" w:hAnsi="Times New Roman"/>
                <w:b/>
                <w:noProof/>
              </w:rPr>
              <w:t xml:space="preserve">porovnateľnými emitentmi </w:t>
            </w:r>
          </w:p>
        </w:tc>
        <w:tc>
          <w:tcPr>
            <w:tcW w:w="744" w:type="pct"/>
            <w:vMerge w:val="restart"/>
          </w:tcPr>
          <w:p w14:paraId="15D01476" w14:textId="5B99F813" w:rsidR="00931C51" w:rsidRPr="00577995" w:rsidRDefault="00931C51" w:rsidP="00BE1D7D">
            <w:pPr>
              <w:spacing w:line="240" w:lineRule="auto"/>
              <w:rPr>
                <w:noProof/>
              </w:rPr>
            </w:pPr>
            <w:r w:rsidRPr="00577995">
              <w:rPr>
                <w:noProof/>
              </w:rPr>
              <w:t>Zachovanie</w:t>
            </w:r>
            <w:r w:rsidR="00577995" w:rsidRPr="00577995">
              <w:rPr>
                <w:noProof/>
              </w:rPr>
              <w:t xml:space="preserve"> a </w:t>
            </w:r>
            <w:r w:rsidRPr="00577995">
              <w:rPr>
                <w:noProof/>
              </w:rPr>
              <w:t>budovanie dôvery so základňou investorov,</w:t>
            </w:r>
            <w:r w:rsidR="00577995" w:rsidRPr="00577995">
              <w:rPr>
                <w:noProof/>
              </w:rPr>
              <w:t xml:space="preserve"> s </w:t>
            </w:r>
            <w:r w:rsidRPr="00577995">
              <w:rPr>
                <w:noProof/>
              </w:rPr>
              <w:t>účastníkmi trhu</w:t>
            </w:r>
            <w:r w:rsidR="00577995" w:rsidRPr="00577995">
              <w:rPr>
                <w:noProof/>
              </w:rPr>
              <w:t xml:space="preserve"> a </w:t>
            </w:r>
            <w:r w:rsidRPr="00577995">
              <w:rPr>
                <w:noProof/>
              </w:rPr>
              <w:t>porovnateľnými emitentmi</w:t>
            </w:r>
            <w:r w:rsidR="00577995" w:rsidRPr="00577995">
              <w:rPr>
                <w:noProof/>
              </w:rPr>
              <w:t xml:space="preserve"> s </w:t>
            </w:r>
            <w:r w:rsidRPr="00577995">
              <w:rPr>
                <w:noProof/>
              </w:rPr>
              <w:t>cieľom podporiť dopyt po dlhu EÚ</w:t>
            </w:r>
            <w:r w:rsidR="00577995" w:rsidRPr="00577995">
              <w:rPr>
                <w:noProof/>
              </w:rPr>
              <w:t xml:space="preserve"> a </w:t>
            </w:r>
            <w:r w:rsidRPr="00577995">
              <w:rPr>
                <w:noProof/>
              </w:rPr>
              <w:t>zlepšiť chápanie dynamiky trhu</w:t>
            </w:r>
            <w:r w:rsidR="00577995" w:rsidRPr="00577995">
              <w:rPr>
                <w:noProof/>
              </w:rPr>
              <w:t xml:space="preserve"> a </w:t>
            </w:r>
            <w:r w:rsidRPr="00577995">
              <w:rPr>
                <w:noProof/>
              </w:rPr>
              <w:t>potrieb investorov zo strany EÚ</w:t>
            </w:r>
          </w:p>
          <w:p w14:paraId="6AADBE05" w14:textId="77777777" w:rsidR="00931C51" w:rsidRPr="00577995" w:rsidRDefault="00931C51" w:rsidP="00BE1D7D">
            <w:pPr>
              <w:spacing w:line="240" w:lineRule="auto"/>
              <w:rPr>
                <w:noProof/>
              </w:rPr>
            </w:pPr>
          </w:p>
          <w:p w14:paraId="265FA6C7" w14:textId="77777777" w:rsidR="00931C51" w:rsidRPr="00577995" w:rsidRDefault="00931C51" w:rsidP="00BE1D7D">
            <w:pPr>
              <w:spacing w:line="240" w:lineRule="auto"/>
              <w:rPr>
                <w:noProof/>
              </w:rPr>
            </w:pPr>
          </w:p>
        </w:tc>
        <w:tc>
          <w:tcPr>
            <w:tcW w:w="834" w:type="pct"/>
          </w:tcPr>
          <w:p w14:paraId="3E8DD56B" w14:textId="5DEA4D17" w:rsidR="00F9742E" w:rsidRPr="00577995" w:rsidRDefault="00931C51" w:rsidP="001D0E63">
            <w:pPr>
              <w:pStyle w:val="ListParagraph"/>
              <w:numPr>
                <w:ilvl w:val="0"/>
                <w:numId w:val="17"/>
              </w:numPr>
              <w:spacing w:after="0" w:line="240" w:lineRule="auto"/>
              <w:ind w:left="313"/>
              <w:rPr>
                <w:rFonts w:ascii="Times New Roman" w:hAnsi="Times New Roman" w:cs="Times New Roman"/>
                <w:i/>
                <w:iCs/>
                <w:noProof/>
              </w:rPr>
            </w:pPr>
            <w:r w:rsidRPr="00577995">
              <w:rPr>
                <w:rFonts w:ascii="Times New Roman" w:hAnsi="Times New Roman"/>
                <w:i/>
                <w:noProof/>
              </w:rPr>
              <w:t xml:space="preserve">Odchýlky od vopred oznámených harmonogramov uverejňovania plánov financovania </w:t>
            </w:r>
          </w:p>
        </w:tc>
        <w:tc>
          <w:tcPr>
            <w:tcW w:w="882" w:type="pct"/>
          </w:tcPr>
          <w:p w14:paraId="62413B64" w14:textId="1D7FF8B3" w:rsidR="00931C51" w:rsidRPr="00577995" w:rsidRDefault="00DF5FAE" w:rsidP="00BE1D7D">
            <w:pPr>
              <w:spacing w:line="240" w:lineRule="auto"/>
              <w:rPr>
                <w:noProof/>
              </w:rPr>
            </w:pPr>
            <w:r w:rsidRPr="00577995">
              <w:rPr>
                <w:noProof/>
              </w:rPr>
              <w:t>Žiadne</w:t>
            </w:r>
          </w:p>
        </w:tc>
        <w:tc>
          <w:tcPr>
            <w:tcW w:w="1763" w:type="pct"/>
            <w:vMerge w:val="restart"/>
          </w:tcPr>
          <w:p w14:paraId="59B39E04" w14:textId="6F76A636" w:rsidR="00F9742E" w:rsidRPr="00577995" w:rsidRDefault="00931C51" w:rsidP="00BE1D7D">
            <w:pPr>
              <w:spacing w:line="240" w:lineRule="auto"/>
              <w:rPr>
                <w:noProof/>
              </w:rPr>
            </w:pPr>
            <w:r w:rsidRPr="00577995">
              <w:rPr>
                <w:noProof/>
              </w:rPr>
              <w:t>Komisia udržiavala pravidelnú</w:t>
            </w:r>
            <w:r w:rsidR="00577995" w:rsidRPr="00577995">
              <w:rPr>
                <w:noProof/>
              </w:rPr>
              <w:t xml:space="preserve"> a </w:t>
            </w:r>
            <w:r w:rsidRPr="00577995">
              <w:rPr>
                <w:noProof/>
              </w:rPr>
              <w:t>predvídateľnú komunikáciu</w:t>
            </w:r>
            <w:r w:rsidR="00577995" w:rsidRPr="00577995">
              <w:rPr>
                <w:noProof/>
              </w:rPr>
              <w:t xml:space="preserve"> s </w:t>
            </w:r>
            <w:r w:rsidRPr="00577995">
              <w:rPr>
                <w:noProof/>
              </w:rPr>
              <w:t>trhmi</w:t>
            </w:r>
            <w:r w:rsidR="00577995" w:rsidRPr="00577995">
              <w:rPr>
                <w:noProof/>
              </w:rPr>
              <w:t xml:space="preserve"> v </w:t>
            </w:r>
            <w:r w:rsidRPr="00577995">
              <w:rPr>
                <w:noProof/>
              </w:rPr>
              <w:t>súlade</w:t>
            </w:r>
            <w:r w:rsidR="00577995" w:rsidRPr="00577995">
              <w:rPr>
                <w:noProof/>
              </w:rPr>
              <w:t xml:space="preserve"> s </w:t>
            </w:r>
            <w:r w:rsidRPr="00577995">
              <w:rPr>
                <w:noProof/>
              </w:rPr>
              <w:t>predchádzajúcimi oznámeniami. Nedošlo</w:t>
            </w:r>
            <w:r w:rsidR="00577995" w:rsidRPr="00577995">
              <w:rPr>
                <w:noProof/>
              </w:rPr>
              <w:t xml:space="preserve"> k </w:t>
            </w:r>
            <w:r w:rsidRPr="00577995">
              <w:rPr>
                <w:noProof/>
              </w:rPr>
              <w:t xml:space="preserve">žiadnej odchýlke od pôvodného cieľa financovania oznámeného počas polroka. </w:t>
            </w:r>
          </w:p>
          <w:p w14:paraId="2744F7CD" w14:textId="37397882" w:rsidR="00931C51" w:rsidRPr="00577995" w:rsidRDefault="00931C51" w:rsidP="00BE1D7D">
            <w:pPr>
              <w:spacing w:line="240" w:lineRule="auto"/>
              <w:rPr>
                <w:noProof/>
              </w:rPr>
            </w:pPr>
            <w:r w:rsidRPr="00577995">
              <w:rPr>
                <w:noProof/>
              </w:rPr>
              <w:t>Komisia pravidelne uverejňovala štatistiky</w:t>
            </w:r>
            <w:r w:rsidR="00577995" w:rsidRPr="00577995">
              <w:rPr>
                <w:noProof/>
              </w:rPr>
              <w:t xml:space="preserve"> o </w:t>
            </w:r>
            <w:r w:rsidRPr="00577995">
              <w:rPr>
                <w:noProof/>
              </w:rPr>
              <w:t>investoroch, ktoré zostali stabilné, pričom jej diverzifikovaná základňa investorov naďalej rástla.</w:t>
            </w:r>
          </w:p>
          <w:p w14:paraId="1BE32E25" w14:textId="14C1FC56" w:rsidR="00931C51" w:rsidRPr="00577995" w:rsidRDefault="00931C51" w:rsidP="00BE1D7D">
            <w:pPr>
              <w:spacing w:line="240" w:lineRule="auto"/>
              <w:rPr>
                <w:noProof/>
              </w:rPr>
            </w:pPr>
          </w:p>
        </w:tc>
      </w:tr>
      <w:tr w:rsidR="00931C51" w:rsidRPr="00577995" w14:paraId="4D990C53" w14:textId="77777777" w:rsidTr="001D0E63">
        <w:trPr>
          <w:trHeight w:val="336"/>
        </w:trPr>
        <w:tc>
          <w:tcPr>
            <w:tcW w:w="778" w:type="pct"/>
            <w:vMerge/>
          </w:tcPr>
          <w:p w14:paraId="17A43E2C" w14:textId="77777777" w:rsidR="00931C51" w:rsidRPr="00577995" w:rsidRDefault="00931C51" w:rsidP="00BE1D7D">
            <w:pPr>
              <w:spacing w:line="240" w:lineRule="auto"/>
              <w:rPr>
                <w:b/>
                <w:noProof/>
              </w:rPr>
            </w:pPr>
          </w:p>
        </w:tc>
        <w:tc>
          <w:tcPr>
            <w:tcW w:w="744" w:type="pct"/>
            <w:vMerge/>
          </w:tcPr>
          <w:p w14:paraId="12F1E9E4" w14:textId="77777777" w:rsidR="00931C51" w:rsidRPr="00577995" w:rsidRDefault="00931C51" w:rsidP="00BE1D7D">
            <w:pPr>
              <w:spacing w:line="240" w:lineRule="auto"/>
              <w:rPr>
                <w:noProof/>
              </w:rPr>
            </w:pPr>
          </w:p>
        </w:tc>
        <w:tc>
          <w:tcPr>
            <w:tcW w:w="834" w:type="pct"/>
          </w:tcPr>
          <w:p w14:paraId="65A68360" w14:textId="747E926F" w:rsidR="00931C51" w:rsidRPr="00577995" w:rsidRDefault="00931C51" w:rsidP="001D0E63">
            <w:pPr>
              <w:pStyle w:val="ListParagraph"/>
              <w:numPr>
                <w:ilvl w:val="0"/>
                <w:numId w:val="17"/>
              </w:numPr>
              <w:spacing w:after="0" w:line="240" w:lineRule="auto"/>
              <w:ind w:left="313"/>
              <w:rPr>
                <w:rFonts w:ascii="Times New Roman" w:hAnsi="Times New Roman" w:cs="Times New Roman"/>
                <w:i/>
                <w:iCs/>
                <w:noProof/>
              </w:rPr>
            </w:pPr>
            <w:r w:rsidRPr="00577995">
              <w:rPr>
                <w:rFonts w:ascii="Times New Roman" w:hAnsi="Times New Roman"/>
                <w:i/>
                <w:noProof/>
              </w:rPr>
              <w:t>Odchýlka od objemov oznámených</w:t>
            </w:r>
            <w:r w:rsidR="00577995" w:rsidRPr="00577995">
              <w:rPr>
                <w:rFonts w:ascii="Times New Roman" w:hAnsi="Times New Roman"/>
                <w:i/>
                <w:noProof/>
              </w:rPr>
              <w:t xml:space="preserve"> v </w:t>
            </w:r>
            <w:r w:rsidRPr="00577995">
              <w:rPr>
                <w:rFonts w:ascii="Times New Roman" w:hAnsi="Times New Roman"/>
                <w:i/>
                <w:noProof/>
              </w:rPr>
              <w:t xml:space="preserve">pláne financovania </w:t>
            </w:r>
          </w:p>
        </w:tc>
        <w:tc>
          <w:tcPr>
            <w:tcW w:w="882" w:type="pct"/>
          </w:tcPr>
          <w:p w14:paraId="400AF8E1" w14:textId="73505198" w:rsidR="00931C51" w:rsidRPr="00577995" w:rsidRDefault="00DF5FAE" w:rsidP="00BE1D7D">
            <w:pPr>
              <w:spacing w:line="240" w:lineRule="auto"/>
              <w:rPr>
                <w:noProof/>
              </w:rPr>
            </w:pPr>
            <w:r w:rsidRPr="00577995">
              <w:rPr>
                <w:noProof/>
              </w:rPr>
              <w:t>Menej ako 2 mld. EUR alebo menej ako 2 %.</w:t>
            </w:r>
          </w:p>
        </w:tc>
        <w:tc>
          <w:tcPr>
            <w:tcW w:w="1763" w:type="pct"/>
            <w:vMerge/>
          </w:tcPr>
          <w:p w14:paraId="7FFAA501" w14:textId="77777777" w:rsidR="00931C51" w:rsidRPr="00577995" w:rsidRDefault="00931C51" w:rsidP="00BE1D7D">
            <w:pPr>
              <w:spacing w:line="240" w:lineRule="auto"/>
              <w:rPr>
                <w:noProof/>
              </w:rPr>
            </w:pPr>
          </w:p>
        </w:tc>
      </w:tr>
      <w:tr w:rsidR="00931C51" w:rsidRPr="00577995" w14:paraId="177ED125" w14:textId="77777777" w:rsidTr="001D0E63">
        <w:trPr>
          <w:trHeight w:val="5711"/>
        </w:trPr>
        <w:tc>
          <w:tcPr>
            <w:tcW w:w="778" w:type="pct"/>
            <w:vMerge/>
          </w:tcPr>
          <w:p w14:paraId="037ABAD3" w14:textId="77777777" w:rsidR="00931C51" w:rsidRPr="00577995" w:rsidRDefault="00931C51" w:rsidP="00BE1D7D">
            <w:pPr>
              <w:spacing w:line="240" w:lineRule="auto"/>
              <w:rPr>
                <w:b/>
                <w:noProof/>
              </w:rPr>
            </w:pPr>
          </w:p>
        </w:tc>
        <w:tc>
          <w:tcPr>
            <w:tcW w:w="744" w:type="pct"/>
            <w:vMerge/>
          </w:tcPr>
          <w:p w14:paraId="165DEEFF" w14:textId="77777777" w:rsidR="00931C51" w:rsidRPr="00577995" w:rsidRDefault="00931C51" w:rsidP="00BE1D7D">
            <w:pPr>
              <w:spacing w:line="240" w:lineRule="auto"/>
              <w:rPr>
                <w:noProof/>
              </w:rPr>
            </w:pPr>
          </w:p>
        </w:tc>
        <w:tc>
          <w:tcPr>
            <w:tcW w:w="834" w:type="pct"/>
          </w:tcPr>
          <w:p w14:paraId="2CA664E9" w14:textId="13C1BB3F" w:rsidR="00931C51" w:rsidRPr="00577995" w:rsidRDefault="00931C51" w:rsidP="001D0E63">
            <w:pPr>
              <w:pStyle w:val="ListParagraph"/>
              <w:numPr>
                <w:ilvl w:val="0"/>
                <w:numId w:val="17"/>
              </w:numPr>
              <w:spacing w:after="0" w:line="240" w:lineRule="auto"/>
              <w:ind w:left="313"/>
              <w:rPr>
                <w:rFonts w:ascii="Times New Roman" w:hAnsi="Times New Roman" w:cs="Times New Roman"/>
                <w:i/>
                <w:iCs/>
                <w:noProof/>
              </w:rPr>
            </w:pPr>
            <w:r w:rsidRPr="00577995">
              <w:rPr>
                <w:rFonts w:ascii="Times New Roman" w:hAnsi="Times New Roman"/>
                <w:i/>
                <w:noProof/>
              </w:rPr>
              <w:t>Štatistika</w:t>
            </w:r>
            <w:r w:rsidR="00577995" w:rsidRPr="00577995">
              <w:rPr>
                <w:rFonts w:ascii="Times New Roman" w:hAnsi="Times New Roman"/>
                <w:i/>
                <w:noProof/>
              </w:rPr>
              <w:t xml:space="preserve"> o </w:t>
            </w:r>
            <w:r w:rsidRPr="00577995">
              <w:rPr>
                <w:rFonts w:ascii="Times New Roman" w:hAnsi="Times New Roman"/>
                <w:i/>
                <w:noProof/>
              </w:rPr>
              <w:t>rozdelení investorov</w:t>
            </w:r>
          </w:p>
        </w:tc>
        <w:tc>
          <w:tcPr>
            <w:tcW w:w="882" w:type="pct"/>
          </w:tcPr>
          <w:p w14:paraId="7A9B9D74" w14:textId="64F014CC" w:rsidR="00931C51" w:rsidRPr="00577995" w:rsidRDefault="003F775B" w:rsidP="00BE1D7D">
            <w:pPr>
              <w:spacing w:line="240" w:lineRule="auto"/>
              <w:rPr>
                <w:noProof/>
              </w:rPr>
            </w:pPr>
            <w:r w:rsidRPr="00577995">
              <w:rPr>
                <w:noProof/>
              </w:rPr>
              <w:t>Podľa typu: 31,4 % správcovia fondov, 30,3 % treasury útvary bánk, 16,4 % centrálne banky/oficiálne inštitúcie, 14,7 % poisťovne</w:t>
            </w:r>
            <w:r w:rsidR="00577995" w:rsidRPr="00577995">
              <w:rPr>
                <w:noProof/>
              </w:rPr>
              <w:t xml:space="preserve"> a </w:t>
            </w:r>
            <w:r w:rsidRPr="00577995">
              <w:rPr>
                <w:noProof/>
              </w:rPr>
              <w:t xml:space="preserve">dôchodkové fondy, 5,2 % banky, 2,0 % hedgeové fondy </w:t>
            </w:r>
          </w:p>
          <w:p w14:paraId="067A01EF" w14:textId="5CBA0E49" w:rsidR="003F775B" w:rsidRPr="00577995" w:rsidRDefault="003F775B" w:rsidP="00BE1D7D">
            <w:pPr>
              <w:spacing w:line="240" w:lineRule="auto"/>
              <w:rPr>
                <w:noProof/>
              </w:rPr>
            </w:pPr>
            <w:r w:rsidRPr="00577995">
              <w:rPr>
                <w:noProof/>
              </w:rPr>
              <w:t>Podľa krajiny/regiónu: 21,0 % Spojené kráľovstvo, 12,9 % Nemecko, 12,9 % Francúzsko, 9,7 % Benelux, 8,7 % severské krajiny, 8,4 %, Taliansko, 5,5 % Ázia – Tichomorie, 9,6 % Pyrenejský polostrov, 7,0 % ostatné krajiny EÚ, 2,2 % ostatné európske krajiny, 0,4 % americký kontinent, 1,5 % Stredný východ</w:t>
            </w:r>
            <w:r w:rsidR="00577995" w:rsidRPr="00577995">
              <w:rPr>
                <w:noProof/>
              </w:rPr>
              <w:t xml:space="preserve"> a </w:t>
            </w:r>
            <w:r w:rsidRPr="00577995">
              <w:rPr>
                <w:noProof/>
              </w:rPr>
              <w:t xml:space="preserve">Afrika </w:t>
            </w:r>
          </w:p>
        </w:tc>
        <w:tc>
          <w:tcPr>
            <w:tcW w:w="1763" w:type="pct"/>
            <w:vMerge/>
          </w:tcPr>
          <w:p w14:paraId="11A8E5A6" w14:textId="77777777" w:rsidR="00931C51" w:rsidRPr="00577995" w:rsidRDefault="00931C51" w:rsidP="00BE1D7D">
            <w:pPr>
              <w:spacing w:line="240" w:lineRule="auto"/>
              <w:rPr>
                <w:noProof/>
              </w:rPr>
            </w:pPr>
          </w:p>
        </w:tc>
      </w:tr>
    </w:tbl>
    <w:p w14:paraId="67AEA0B4" w14:textId="77777777" w:rsidR="000C63D4" w:rsidRPr="00577995" w:rsidRDefault="000C63D4" w:rsidP="000C63D4">
      <w:pPr>
        <w:rPr>
          <w:b/>
          <w:bCs/>
          <w:noProof/>
        </w:rPr>
      </w:pPr>
    </w:p>
    <w:sectPr w:rsidR="000C63D4" w:rsidRPr="00577995" w:rsidSect="000C63D4">
      <w:headerReference w:type="even" r:id="rId31"/>
      <w:headerReference w:type="default" r:id="rId32"/>
      <w:footerReference w:type="even" r:id="rId33"/>
      <w:footerReference w:type="default" r:id="rId34"/>
      <w:headerReference w:type="first" r:id="rId35"/>
      <w:footerReference w:type="first" r:id="rId36"/>
      <w:pgSz w:w="16839" w:h="11907" w:orient="landscape"/>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4ABF5" w14:textId="77777777" w:rsidR="00307FF2" w:rsidRDefault="00307FF2" w:rsidP="008B6253">
      <w:pPr>
        <w:spacing w:after="0" w:line="240" w:lineRule="auto"/>
      </w:pPr>
      <w:r>
        <w:separator/>
      </w:r>
    </w:p>
  </w:endnote>
  <w:endnote w:type="continuationSeparator" w:id="0">
    <w:p w14:paraId="216C28B4" w14:textId="77777777" w:rsidR="00307FF2" w:rsidRDefault="00307FF2" w:rsidP="008B6253">
      <w:pPr>
        <w:spacing w:after="0" w:line="240" w:lineRule="auto"/>
      </w:pPr>
      <w:r>
        <w:continuationSeparator/>
      </w:r>
    </w:p>
  </w:endnote>
  <w:endnote w:type="continuationNotice" w:id="1">
    <w:p w14:paraId="4F10F219" w14:textId="77777777" w:rsidR="00307FF2" w:rsidRDefault="00307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w:altName w:val="Bahnschrift Light"/>
    <w:charset w:val="00"/>
    <w:family w:val="swiss"/>
    <w:pitch w:val="variable"/>
    <w:sig w:usb0="00000001"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DD46D" w14:textId="660D13DC" w:rsidR="002F2928" w:rsidRPr="00C14D1B" w:rsidRDefault="002F2928" w:rsidP="00C14D1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2FFC7" w14:textId="77777777" w:rsidR="007D6E3C" w:rsidRDefault="007D6E3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1F71" w14:textId="7AAC6F69" w:rsidR="007D6E3C" w:rsidRDefault="007D6E3C">
    <w:pPr>
      <w:pStyle w:val="Footer"/>
      <w:jc w:val="center"/>
      <w:rPr>
        <w:noProof/>
      </w:rPr>
    </w:pPr>
    <w:r>
      <w:fldChar w:fldCharType="begin"/>
    </w:r>
    <w:r>
      <w:instrText xml:space="preserve"> PAGE   \* MERGEFORMAT </w:instrText>
    </w:r>
    <w:r>
      <w:fldChar w:fldCharType="separate"/>
    </w:r>
    <w:r w:rsidR="00C14D1B">
      <w:rPr>
        <w:noProof/>
      </w:rPr>
      <w:t>19</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856E" w14:textId="77777777" w:rsidR="007D6E3C" w:rsidRDefault="007D6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9670" w14:textId="68602F31" w:rsidR="002F2928" w:rsidRPr="00C14D1B" w:rsidRDefault="00C14D1B" w:rsidP="00C14D1B">
    <w:pPr>
      <w:pStyle w:val="FooterCoverPage"/>
      <w:rPr>
        <w:rFonts w:ascii="Arial" w:hAnsi="Arial" w:cs="Arial"/>
        <w:b/>
        <w:sz w:val="48"/>
      </w:rPr>
    </w:pPr>
    <w:r w:rsidRPr="00C14D1B">
      <w:rPr>
        <w:rFonts w:ascii="Arial" w:hAnsi="Arial" w:cs="Arial"/>
        <w:b/>
        <w:sz w:val="48"/>
      </w:rPr>
      <w:t>SK</w:t>
    </w:r>
    <w:r w:rsidRPr="00C14D1B">
      <w:rPr>
        <w:rFonts w:ascii="Arial" w:hAnsi="Arial" w:cs="Arial"/>
        <w:b/>
        <w:sz w:val="48"/>
      </w:rPr>
      <w:tab/>
    </w:r>
    <w:r w:rsidRPr="00C14D1B">
      <w:rPr>
        <w:rFonts w:ascii="Arial" w:hAnsi="Arial" w:cs="Arial"/>
        <w:b/>
        <w:sz w:val="48"/>
      </w:rPr>
      <w:tab/>
    </w:r>
    <w:r w:rsidRPr="00C14D1B">
      <w:tab/>
    </w:r>
    <w:r w:rsidRPr="00C14D1B">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53DA3" w14:textId="77777777" w:rsidR="00C14D1B" w:rsidRPr="00C14D1B" w:rsidRDefault="00C14D1B" w:rsidP="00C14D1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73F5" w14:textId="77777777" w:rsidR="007D6E3C" w:rsidRDefault="007D6E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C523" w14:textId="77777777" w:rsidR="007D6E3C" w:rsidRPr="007352EE" w:rsidRDefault="007D6E3C" w:rsidP="00BD68A5">
    <w:pPr>
      <w:pStyle w:val="FooterCoverPage"/>
      <w:rPr>
        <w:rFonts w:ascii="Arial" w:hAnsi="Arial" w:cs="Arial"/>
        <w:b/>
        <w:sz w:val="48"/>
      </w:rPr>
    </w:pPr>
    <w:r>
      <w:rPr>
        <w:rFonts w:ascii="Arial" w:hAnsi="Arial"/>
        <w:b/>
        <w:sz w:val="48"/>
      </w:rPr>
      <w:t>SK</w:t>
    </w:r>
    <w:r>
      <w:tab/>
    </w:r>
    <w:r>
      <w:tab/>
    </w:r>
    <w:r>
      <w:tab/>
    </w:r>
    <w:r>
      <w:rPr>
        <w:rFonts w:ascii="Arial" w:hAnsi="Arial"/>
        <w:b/>
        <w:sz w:val="48"/>
      </w:rPr>
      <w:t>SK</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E83E4" w14:textId="77777777" w:rsidR="007D6E3C" w:rsidRDefault="007D6E3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B17A" w14:textId="77777777" w:rsidR="00A046A3" w:rsidRDefault="00A046A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095215"/>
      <w:docPartObj>
        <w:docPartGallery w:val="Page Numbers (Bottom of Page)"/>
        <w:docPartUnique/>
      </w:docPartObj>
    </w:sdtPr>
    <w:sdtEndPr>
      <w:rPr>
        <w:noProof/>
      </w:rPr>
    </w:sdtEndPr>
    <w:sdtContent>
      <w:p w14:paraId="19D1479D" w14:textId="5ED6EEDA" w:rsidR="00A046A3" w:rsidRDefault="00A046A3">
        <w:pPr>
          <w:pStyle w:val="Footer"/>
          <w:jc w:val="right"/>
        </w:pPr>
        <w:r>
          <w:fldChar w:fldCharType="begin"/>
        </w:r>
        <w:r>
          <w:instrText xml:space="preserve"> PAGE   \* MERGEFORMAT </w:instrText>
        </w:r>
        <w:r>
          <w:fldChar w:fldCharType="separate"/>
        </w:r>
        <w:r w:rsidR="00C14D1B">
          <w:rPr>
            <w:noProof/>
          </w:rPr>
          <w:t>13</w:t>
        </w:r>
        <w:r>
          <w:fldChar w:fldCharType="end"/>
        </w:r>
      </w:p>
    </w:sdtContent>
  </w:sdt>
  <w:p w14:paraId="0CB50D4F" w14:textId="77777777" w:rsidR="00A046A3" w:rsidRDefault="00A046A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D0206" w14:textId="77777777" w:rsidR="00A046A3" w:rsidRDefault="00A04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50401" w14:textId="77777777" w:rsidR="00307FF2" w:rsidRDefault="00307FF2" w:rsidP="008B6253">
      <w:pPr>
        <w:spacing w:after="0" w:line="240" w:lineRule="auto"/>
      </w:pPr>
      <w:r>
        <w:separator/>
      </w:r>
    </w:p>
  </w:footnote>
  <w:footnote w:type="continuationSeparator" w:id="0">
    <w:p w14:paraId="6D17B637" w14:textId="77777777" w:rsidR="00307FF2" w:rsidRDefault="00307FF2" w:rsidP="008B6253">
      <w:pPr>
        <w:spacing w:after="0" w:line="240" w:lineRule="auto"/>
      </w:pPr>
      <w:r>
        <w:continuationSeparator/>
      </w:r>
    </w:p>
  </w:footnote>
  <w:footnote w:type="continuationNotice" w:id="1">
    <w:p w14:paraId="0885F0A8" w14:textId="77777777" w:rsidR="00307FF2" w:rsidRDefault="00307FF2">
      <w:pPr>
        <w:spacing w:after="0" w:line="240" w:lineRule="auto"/>
      </w:pPr>
    </w:p>
  </w:footnote>
  <w:footnote w:id="2">
    <w:p w14:paraId="1C12DD74" w14:textId="7688BCB8" w:rsidR="0091353C" w:rsidRPr="0091353C" w:rsidRDefault="0091353C">
      <w:pPr>
        <w:pStyle w:val="FootnoteText"/>
      </w:pPr>
      <w:r>
        <w:rPr>
          <w:rStyle w:val="FootnoteReference"/>
        </w:rPr>
        <w:footnoteRef/>
      </w:r>
      <w:r>
        <w:t xml:space="preserve"> Európsky nástroj dočasnej podpory na zmiernenie rizík nezamestnanosti v núdzovej situácii (SURE).</w:t>
      </w:r>
    </w:p>
  </w:footnote>
  <w:footnote w:id="3">
    <w:p w14:paraId="6E96F0C4" w14:textId="2CA66561" w:rsidR="00216746" w:rsidRPr="00C44E47" w:rsidRDefault="00216746" w:rsidP="00216746">
      <w:pPr>
        <w:pStyle w:val="FootnoteText"/>
        <w:ind w:left="113" w:hanging="113"/>
      </w:pPr>
      <w:r>
        <w:rPr>
          <w:rStyle w:val="FootnoteReference"/>
        </w:rPr>
        <w:footnoteRef/>
      </w:r>
      <w:r>
        <w:t xml:space="preserve"> Emisie EÚ doteraz prilákali celkovo viac ako 1 600 rôznych investorov zo 70 rôznych krajín. Približne 65 % investorov má sídlo v EÚ, viac ako 20 % tvoria medzinárodní investori vykonávajúci operácie zo Spojeného kráľovstva a zvyšok sú ďalší medzinárodní investori, najmä so sídlom v Ázii. Takmer 70 % emitovaných dlhopisov EÚ získali investori typu „kúp a drž“ (</w:t>
      </w:r>
      <w:r>
        <w:rPr>
          <w:i/>
        </w:rPr>
        <w:t>buy and hold</w:t>
      </w:r>
      <w:r>
        <w:t>) (t. j. správcovia fondov, poisťovne, dôchodkové fondy a centrálne banky). Takisto existuje náležité zastúpenie investorov požadujúcich rôzne splatnosti. Približne 45 % nákupov dlhopisov EÚ na primárnych trhoch vykonali centrálne banky a treasury útvary bánk (ktoré zvyčajne uprednostňujú investície so splatnosťou do desať rokov) a takmer 15 % vykonali dôchodkové fondy a poisťovne (ktoré uprednostňujú investície so splatnosťou nad desať rokov).</w:t>
      </w:r>
    </w:p>
  </w:footnote>
  <w:footnote w:id="4">
    <w:p w14:paraId="4C949212" w14:textId="49932565" w:rsidR="002835C6" w:rsidRPr="002835C6" w:rsidRDefault="002835C6" w:rsidP="002835C6">
      <w:pPr>
        <w:pStyle w:val="FootnoteText"/>
        <w:ind w:left="113" w:hanging="113"/>
      </w:pPr>
      <w:r>
        <w:rPr>
          <w:rStyle w:val="FootnoteReference"/>
        </w:rPr>
        <w:footnoteRef/>
      </w:r>
      <w:r>
        <w:t xml:space="preserve"> Toto nové emisné ážio je ážio, ktoré emitent platí, aby presvedčil investorov o kúpe svojich dlhopisov na primárnom trhu, a nie na sekundárnom trhu. </w:t>
      </w:r>
    </w:p>
    <w:p w14:paraId="24050A48" w14:textId="7AB49C12" w:rsidR="002835C6" w:rsidRPr="004271E2" w:rsidRDefault="002835C6" w:rsidP="002835C6">
      <w:pPr>
        <w:pStyle w:val="FootnoteText"/>
        <w:ind w:left="113" w:hanging="113"/>
      </w:pPr>
    </w:p>
  </w:footnote>
  <w:footnote w:id="5">
    <w:p w14:paraId="383ECF66" w14:textId="75E89990" w:rsidR="000C26FE" w:rsidRPr="00D3721F" w:rsidRDefault="000C26FE" w:rsidP="000C26FE">
      <w:pPr>
        <w:pStyle w:val="FootnoteText"/>
        <w:ind w:left="113" w:hanging="113"/>
        <w:rPr>
          <w:vertAlign w:val="superscript"/>
        </w:rPr>
      </w:pPr>
      <w:r>
        <w:rPr>
          <w:rStyle w:val="FootnoteReference"/>
        </w:rPr>
        <w:footnoteRef/>
      </w:r>
      <w:r>
        <w:rPr>
          <w:rStyle w:val="FootnoteReference"/>
        </w:rPr>
        <w:t xml:space="preserve"> </w:t>
      </w:r>
      <w:r>
        <w:t>Vzniknuté náklady na úroky sa alokujú rozpočtu a členským štátom prijímajúcim úvery v súlade s metodikou stanovenou vo vykonávacom rozhodnutí Komisie (EÚ) 2021/1095 a v jeho nástupcovi (EÚ) 2022/9701. V tejto metodike sa rozlišujú tri rôzne kategórie nákladov: i) náklady na financovanie nenávratnej podpory a vyplatených úverov vypočítané pre šesťmesačné časové komponenty; ii) náklady na držbu a riadenie likvidity a iii) administratívne náklady.</w:t>
      </w:r>
    </w:p>
  </w:footnote>
  <w:footnote w:id="6">
    <w:p w14:paraId="23F08A60" w14:textId="5E355C2D" w:rsidR="002B107F" w:rsidRPr="00D3721F" w:rsidRDefault="002B107F" w:rsidP="002B107F">
      <w:pPr>
        <w:pStyle w:val="FootnoteText"/>
        <w:ind w:left="113" w:hanging="113"/>
        <w:rPr>
          <w:vertAlign w:val="superscript"/>
        </w:rPr>
      </w:pPr>
      <w:r>
        <w:rPr>
          <w:rStyle w:val="FootnoteReference"/>
        </w:rPr>
        <w:footnoteRef/>
      </w:r>
      <w:r>
        <w:rPr>
          <w:rStyle w:val="FootnoteReference"/>
        </w:rPr>
        <w:t xml:space="preserve"> </w:t>
      </w:r>
      <w:r>
        <w:t xml:space="preserve">Viac informácií je uvedených na lokalite: </w:t>
      </w:r>
      <w:hyperlink r:id="rId1" w:history="1">
        <w:r>
          <w:rPr>
            <w:rStyle w:val="Hyperlink"/>
          </w:rPr>
          <w:t>Dokumenty (europa.eu)</w:t>
        </w:r>
      </w:hyperlink>
      <w:r>
        <w:t>.</w:t>
      </w:r>
    </w:p>
  </w:footnote>
  <w:footnote w:id="7">
    <w:p w14:paraId="39DFEAB5" w14:textId="50867414" w:rsidR="001D446D" w:rsidRPr="00D3721F" w:rsidRDefault="001D446D" w:rsidP="001D446D">
      <w:pPr>
        <w:pStyle w:val="FootnoteText"/>
        <w:ind w:left="113" w:hanging="113"/>
        <w:rPr>
          <w:vertAlign w:val="superscript"/>
        </w:rPr>
      </w:pPr>
      <w:r>
        <w:rPr>
          <w:rStyle w:val="FootnoteReference"/>
        </w:rPr>
        <w:footnoteRef/>
      </w:r>
      <w:r>
        <w:rPr>
          <w:rStyle w:val="FootnoteReference"/>
        </w:rPr>
        <w:t xml:space="preserve"> </w:t>
      </w:r>
      <w:hyperlink r:id="rId2" w:history="1">
        <w:r>
          <w:rPr>
            <w:rStyle w:val="Hyperlink"/>
          </w:rPr>
          <w:t>Náklady EÚ na prijaté úvery a pôžičky:</w:t>
        </w:r>
      </w:hyperlink>
      <w:hyperlink r:id="rId3" w:history="1">
        <w:r>
          <w:rPr>
            <w:rStyle w:val="Hyperlink"/>
          </w:rPr>
          <w:t xml:space="preserve"> hnacie sily a dynamika v čase rastúcich sadzieb (europa.eu)</w:t>
        </w:r>
      </w:hyperlink>
      <w:r>
        <w:t>.</w:t>
      </w:r>
    </w:p>
  </w:footnote>
  <w:footnote w:id="8">
    <w:p w14:paraId="3C864516" w14:textId="4AFDB007" w:rsidR="001D446D" w:rsidRPr="00D3721F" w:rsidRDefault="001D446D" w:rsidP="001D446D">
      <w:pPr>
        <w:pStyle w:val="FootnoteText"/>
        <w:ind w:left="113" w:hanging="113"/>
        <w:rPr>
          <w:vertAlign w:val="superscript"/>
        </w:rPr>
      </w:pPr>
      <w:r>
        <w:rPr>
          <w:rStyle w:val="FootnoteReference"/>
        </w:rPr>
        <w:footnoteRef/>
      </w:r>
      <w:r>
        <w:rPr>
          <w:rStyle w:val="FootnoteReference"/>
        </w:rPr>
        <w:t xml:space="preserve"> </w:t>
      </w:r>
      <w:r>
        <w:t>Rizikové presuny zvyčajne vedú k výraznej realokácii tradičných aktív, ktoré ľudia považujú za bezpečné investície, ako sú štátne dlhopisy, čo vedie k zväčšeniu rozpätia medzi dlhopismi na nižšej ako štátnej úrovni alebo na nadnárodnej úrovni a európskymi štátnymi dlhopismi.</w:t>
      </w:r>
    </w:p>
  </w:footnote>
  <w:footnote w:id="9">
    <w:p w14:paraId="55B98CDA" w14:textId="67A341CA" w:rsidR="002835C6" w:rsidRPr="002835C6" w:rsidRDefault="002835C6" w:rsidP="002835C6">
      <w:pPr>
        <w:pStyle w:val="FootnoteText"/>
        <w:ind w:left="113" w:hanging="113"/>
      </w:pPr>
      <w:r>
        <w:rPr>
          <w:rStyle w:val="FootnoteReference"/>
        </w:rPr>
        <w:footnoteRef/>
      </w:r>
      <w:r>
        <w:t xml:space="preserve"> Napríklad preradenie dlhopisov EÚ do kategórie zrážok I, rovnakej ako v prípade dlhových nástrojov emitovaných ústrednými vládami, a to v rámci ECB na kontrolu rizika pre úverové operácie k 29. júnu 2023.</w:t>
      </w:r>
    </w:p>
    <w:p w14:paraId="4A5D7963" w14:textId="77777777" w:rsidR="002835C6" w:rsidRPr="004271E2" w:rsidRDefault="002835C6" w:rsidP="002835C6">
      <w:pPr>
        <w:pStyle w:val="FootnoteText"/>
        <w:ind w:left="113" w:hanging="113"/>
      </w:pPr>
    </w:p>
  </w:footnote>
  <w:footnote w:id="10">
    <w:p w14:paraId="1101E8BD" w14:textId="77777777" w:rsidR="00A046A3" w:rsidRPr="00C30FBC" w:rsidRDefault="00A046A3" w:rsidP="00A046A3">
      <w:pPr>
        <w:pStyle w:val="FootnoteText"/>
      </w:pPr>
      <w:r>
        <w:rPr>
          <w:rStyle w:val="FootnoteReference"/>
        </w:rPr>
        <w:footnoteRef/>
      </w:r>
      <w:r>
        <w:t xml:space="preserve"> </w:t>
      </w:r>
      <w:hyperlink r:id="rId4" w:history="1">
        <w:r>
          <w:rPr>
            <w:rStyle w:val="Hyperlink"/>
          </w:rPr>
          <w:t>Politika v rámci nástroja NextGenerationEU na vysokej úrovni v oblasti riadenia rizík a dodržiavania súladu s predpismi (europa.eu)</w:t>
        </w:r>
      </w:hyperlink>
      <w:r>
        <w:t xml:space="preserve">. </w:t>
      </w:r>
    </w:p>
  </w:footnote>
  <w:footnote w:id="11">
    <w:p w14:paraId="114A54F5" w14:textId="77777777" w:rsidR="00A046A3" w:rsidRPr="00AE299E" w:rsidRDefault="00A046A3" w:rsidP="00A046A3">
      <w:pPr>
        <w:pStyle w:val="FootnoteText"/>
      </w:pPr>
      <w:r>
        <w:rPr>
          <w:rStyle w:val="FootnoteReference"/>
        </w:rPr>
        <w:footnoteRef/>
      </w:r>
      <w:r>
        <w:t xml:space="preserve"> </w:t>
      </w:r>
      <w:hyperlink r:id="rId5" w:history="1">
        <w:r>
          <w:rPr>
            <w:rStyle w:val="Hyperlink"/>
          </w:rPr>
          <w:t>C_2022_9702_F1_COMMISSION_IMPLEMENTING_DECISION_EN_V7_P1_2416109.PDF (europa.eu)</w:t>
        </w:r>
      </w:hyperlink>
      <w:r>
        <w:t>.</w:t>
      </w:r>
    </w:p>
  </w:footnote>
  <w:footnote w:id="12">
    <w:p w14:paraId="6BA9FA9E" w14:textId="58DB7B66" w:rsidR="000571C9" w:rsidRPr="00D22BFC" w:rsidRDefault="000571C9" w:rsidP="00A046A3">
      <w:pPr>
        <w:pStyle w:val="FootnoteText"/>
      </w:pPr>
      <w:r>
        <w:rPr>
          <w:rStyle w:val="FootnoteReference"/>
        </w:rPr>
        <w:footnoteRef/>
      </w:r>
      <w:r>
        <w:t xml:space="preserve"> Ďalšie informácie o zelených dlhopisoch nástroja NextGenerationEU možno nájsť v prehľade zelených dlhopisov nástroja NextGenerationEU: </w:t>
      </w:r>
      <w:hyperlink r:id="rId6" w:history="1">
        <w:r>
          <w:rPr>
            <w:rStyle w:val="Hyperlink"/>
          </w:rPr>
          <w:t>Prehľad (europa.eu)</w:t>
        </w:r>
      </w:hyperlink>
      <w:r>
        <w:t>.</w:t>
      </w:r>
    </w:p>
  </w:footnote>
  <w:footnote w:id="13">
    <w:p w14:paraId="665D56AC" w14:textId="77777777" w:rsidR="000F037D" w:rsidRPr="000571C9" w:rsidRDefault="000F037D" w:rsidP="000571C9">
      <w:pPr>
        <w:spacing w:after="0" w:line="240" w:lineRule="auto"/>
        <w:rPr>
          <w:rFonts w:ascii="EC Square Sans Pro" w:hAnsi="EC Square Sans Pro"/>
          <w:i/>
          <w:iCs/>
        </w:rPr>
      </w:pPr>
      <w:r>
        <w:rPr>
          <w:rStyle w:val="FootnoteReference"/>
        </w:rPr>
        <w:footnoteRef/>
      </w:r>
      <w:r>
        <w:t xml:space="preserve"> Na základe priemerného počtu mesiacov medzi novou emisiou a prvým navýšením pri zohľadnení nových zdrojov navýšených počas polroka.</w:t>
      </w:r>
    </w:p>
    <w:p w14:paraId="25D2F421" w14:textId="77777777" w:rsidR="000F037D" w:rsidRPr="000571C9" w:rsidRDefault="000F037D" w:rsidP="000571C9">
      <w:pPr>
        <w:pStyle w:val="FootnoteText"/>
      </w:pPr>
    </w:p>
  </w:footnote>
  <w:footnote w:id="14">
    <w:p w14:paraId="31AD8DCC" w14:textId="62215E5E" w:rsidR="000571C9" w:rsidRPr="001A5022" w:rsidRDefault="000571C9" w:rsidP="000571C9">
      <w:pPr>
        <w:pStyle w:val="FootnoteText"/>
      </w:pPr>
      <w:r>
        <w:rPr>
          <w:rStyle w:val="FootnoteReference"/>
        </w:rPr>
        <w:footnoteRef/>
      </w:r>
      <w:r>
        <w:t xml:space="preserve"> </w:t>
      </w:r>
      <w:r>
        <w:rPr>
          <w:sz w:val="24"/>
        </w:rPr>
        <w:t>Nesplatené dlhopisy na počet dlhopisov na konci polroka. Na základe dlhopisov emitovaných v rámci diverzifikovanej stratégie financovania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EB556" w14:textId="77777777" w:rsidR="00C14D1B" w:rsidRPr="00C14D1B" w:rsidRDefault="00C14D1B" w:rsidP="00C14D1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F7D7D" w14:textId="77777777" w:rsidR="007D6E3C" w:rsidRDefault="007D6E3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54C" w14:textId="77777777" w:rsidR="007D6E3C" w:rsidRDefault="007D6E3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6542" w14:textId="77777777" w:rsidR="007D6E3C" w:rsidRDefault="007D6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A4721" w14:textId="77777777" w:rsidR="00C14D1B" w:rsidRPr="00C14D1B" w:rsidRDefault="00C14D1B" w:rsidP="00C14D1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4A99" w14:textId="77777777" w:rsidR="00C14D1B" w:rsidRPr="00C14D1B" w:rsidRDefault="00C14D1B" w:rsidP="00C14D1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2ED0" w14:textId="77777777" w:rsidR="007D6E3C" w:rsidRDefault="007D6E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83EC3" w14:textId="77777777" w:rsidR="007D6E3C" w:rsidRDefault="007D6E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5F291" w14:textId="77777777" w:rsidR="007D6E3C" w:rsidRDefault="007D6E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06167" w14:textId="77777777" w:rsidR="00A046A3" w:rsidRDefault="00A046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BCEE" w14:textId="77777777" w:rsidR="00A046A3" w:rsidRPr="00657B16" w:rsidRDefault="00A046A3" w:rsidP="008927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9C5B" w14:textId="77777777" w:rsidR="00A046A3" w:rsidRDefault="00A04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2400"/>
    <w:multiLevelType w:val="hybridMultilevel"/>
    <w:tmpl w:val="DB723D36"/>
    <w:lvl w:ilvl="0" w:tplc="04090001">
      <w:start w:val="1"/>
      <w:numFmt w:val="bullet"/>
      <w:lvlText w:val=""/>
      <w:lvlJc w:val="left"/>
      <w:pPr>
        <w:ind w:left="1080" w:hanging="360"/>
      </w:pPr>
      <w:rPr>
        <w:rFonts w:ascii="Symbol" w:hAnsi="Symbol" w:hint="default"/>
      </w:rPr>
    </w:lvl>
    <w:lvl w:ilvl="1" w:tplc="8D1877DE">
      <w:start w:val="1"/>
      <w:numFmt w:val="lowerRoman"/>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3E266B"/>
    <w:multiLevelType w:val="hybridMultilevel"/>
    <w:tmpl w:val="13E23E9E"/>
    <w:lvl w:ilvl="0" w:tplc="080C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05598"/>
    <w:multiLevelType w:val="hybridMultilevel"/>
    <w:tmpl w:val="38E289D2"/>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614371"/>
    <w:multiLevelType w:val="hybridMultilevel"/>
    <w:tmpl w:val="7C3C86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B555F9"/>
    <w:multiLevelType w:val="hybridMultilevel"/>
    <w:tmpl w:val="CA9C6FBE"/>
    <w:lvl w:ilvl="0" w:tplc="8D1877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71202"/>
    <w:multiLevelType w:val="hybridMultilevel"/>
    <w:tmpl w:val="22EA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24E98"/>
    <w:multiLevelType w:val="hybridMultilevel"/>
    <w:tmpl w:val="958200CE"/>
    <w:lvl w:ilvl="0" w:tplc="8D1877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645B6"/>
    <w:multiLevelType w:val="hybridMultilevel"/>
    <w:tmpl w:val="203ABA7C"/>
    <w:lvl w:ilvl="0" w:tplc="8D1877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473A4"/>
    <w:multiLevelType w:val="hybridMultilevel"/>
    <w:tmpl w:val="8EAA9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280A30"/>
    <w:multiLevelType w:val="hybridMultilevel"/>
    <w:tmpl w:val="1A082E0C"/>
    <w:lvl w:ilvl="0" w:tplc="8D1877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05736"/>
    <w:multiLevelType w:val="multilevel"/>
    <w:tmpl w:val="FC98DC46"/>
    <w:lvl w:ilvl="0">
      <w:start w:val="1"/>
      <w:numFmt w:val="decimal"/>
      <w:pStyle w:val="Heading1"/>
      <w:lvlText w:val="%1."/>
      <w:lvlJc w:val="left"/>
      <w:pPr>
        <w:ind w:left="502" w:hanging="360"/>
      </w:pPr>
    </w:lvl>
    <w:lvl w:ilvl="1">
      <w:start w:val="2"/>
      <w:numFmt w:val="decimal"/>
      <w:isLgl/>
      <w:lvlText w:val="%1.%2"/>
      <w:lvlJc w:val="left"/>
      <w:pPr>
        <w:ind w:left="720" w:hanging="360"/>
      </w:pPr>
      <w:rPr>
        <w:rFonts w:hint="default"/>
        <w:b/>
      </w:rPr>
    </w:lvl>
    <w:lvl w:ilvl="2">
      <w:start w:val="1"/>
      <w:numFmt w:val="decimalZero"/>
      <w:isLgl/>
      <w:lvlText w:val="%1.%2.%3"/>
      <w:lvlJc w:val="left"/>
      <w:pPr>
        <w:ind w:left="1298" w:hanging="720"/>
      </w:pPr>
      <w:rPr>
        <w:rFonts w:hint="default"/>
        <w:b/>
      </w:rPr>
    </w:lvl>
    <w:lvl w:ilvl="3">
      <w:start w:val="1"/>
      <w:numFmt w:val="decimal"/>
      <w:isLgl/>
      <w:lvlText w:val="%1.%2.%3.%4"/>
      <w:lvlJc w:val="left"/>
      <w:pPr>
        <w:ind w:left="1516" w:hanging="720"/>
      </w:pPr>
      <w:rPr>
        <w:rFonts w:hint="default"/>
        <w:b/>
      </w:rPr>
    </w:lvl>
    <w:lvl w:ilvl="4">
      <w:start w:val="1"/>
      <w:numFmt w:val="decimal"/>
      <w:isLgl/>
      <w:lvlText w:val="%1.%2.%3.%4.%5"/>
      <w:lvlJc w:val="left"/>
      <w:pPr>
        <w:ind w:left="2094" w:hanging="1080"/>
      </w:pPr>
      <w:rPr>
        <w:rFonts w:hint="default"/>
        <w:b/>
      </w:rPr>
    </w:lvl>
    <w:lvl w:ilvl="5">
      <w:start w:val="1"/>
      <w:numFmt w:val="decimal"/>
      <w:isLgl/>
      <w:lvlText w:val="%1.%2.%3.%4.%5.%6"/>
      <w:lvlJc w:val="left"/>
      <w:pPr>
        <w:ind w:left="2312" w:hanging="1080"/>
      </w:pPr>
      <w:rPr>
        <w:rFonts w:hint="default"/>
        <w:b/>
      </w:rPr>
    </w:lvl>
    <w:lvl w:ilvl="6">
      <w:start w:val="1"/>
      <w:numFmt w:val="decimal"/>
      <w:isLgl/>
      <w:lvlText w:val="%1.%2.%3.%4.%5.%6.%7"/>
      <w:lvlJc w:val="left"/>
      <w:pPr>
        <w:ind w:left="2890" w:hanging="1440"/>
      </w:pPr>
      <w:rPr>
        <w:rFonts w:hint="default"/>
        <w:b/>
      </w:rPr>
    </w:lvl>
    <w:lvl w:ilvl="7">
      <w:start w:val="1"/>
      <w:numFmt w:val="decimal"/>
      <w:isLgl/>
      <w:lvlText w:val="%1.%2.%3.%4.%5.%6.%7.%8"/>
      <w:lvlJc w:val="left"/>
      <w:pPr>
        <w:ind w:left="3468" w:hanging="1800"/>
      </w:pPr>
      <w:rPr>
        <w:rFonts w:hint="default"/>
        <w:b/>
      </w:rPr>
    </w:lvl>
    <w:lvl w:ilvl="8">
      <w:start w:val="1"/>
      <w:numFmt w:val="decimal"/>
      <w:isLgl/>
      <w:lvlText w:val="%1.%2.%3.%4.%5.%6.%7.%8.%9"/>
      <w:lvlJc w:val="left"/>
      <w:pPr>
        <w:ind w:left="3686" w:hanging="1800"/>
      </w:pPr>
      <w:rPr>
        <w:rFonts w:hint="default"/>
        <w:b/>
      </w:rPr>
    </w:lvl>
  </w:abstractNum>
  <w:abstractNum w:abstractNumId="11" w15:restartNumberingAfterBreak="0">
    <w:nsid w:val="62AD60F2"/>
    <w:multiLevelType w:val="hybridMultilevel"/>
    <w:tmpl w:val="FD4878AA"/>
    <w:lvl w:ilvl="0" w:tplc="8D1877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7F26C3"/>
    <w:multiLevelType w:val="hybridMultilevel"/>
    <w:tmpl w:val="7902DA3C"/>
    <w:lvl w:ilvl="0" w:tplc="8D1877D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F1FB9"/>
    <w:multiLevelType w:val="hybridMultilevel"/>
    <w:tmpl w:val="7902DA3C"/>
    <w:lvl w:ilvl="0" w:tplc="8D1877D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B25471"/>
    <w:multiLevelType w:val="hybridMultilevel"/>
    <w:tmpl w:val="7902DA3C"/>
    <w:lvl w:ilvl="0" w:tplc="8D1877D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8F32A8"/>
    <w:multiLevelType w:val="hybridMultilevel"/>
    <w:tmpl w:val="7902DA3C"/>
    <w:lvl w:ilvl="0" w:tplc="8D1877D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B27204"/>
    <w:multiLevelType w:val="hybridMultilevel"/>
    <w:tmpl w:val="15F6BF5C"/>
    <w:lvl w:ilvl="0" w:tplc="04090017">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
  </w:num>
  <w:num w:numId="3">
    <w:abstractNumId w:val="2"/>
  </w:num>
  <w:num w:numId="4">
    <w:abstractNumId w:val="3"/>
  </w:num>
  <w:num w:numId="5">
    <w:abstractNumId w:val="6"/>
  </w:num>
  <w:num w:numId="6">
    <w:abstractNumId w:val="5"/>
  </w:num>
  <w:num w:numId="7">
    <w:abstractNumId w:val="16"/>
  </w:num>
  <w:num w:numId="8">
    <w:abstractNumId w:val="0"/>
  </w:num>
  <w:num w:numId="9">
    <w:abstractNumId w:val="8"/>
  </w:num>
  <w:num w:numId="10">
    <w:abstractNumId w:val="4"/>
  </w:num>
  <w:num w:numId="11">
    <w:abstractNumId w:val="7"/>
  </w:num>
  <w:num w:numId="12">
    <w:abstractNumId w:val="11"/>
  </w:num>
  <w:num w:numId="13">
    <w:abstractNumId w:val="9"/>
  </w:num>
  <w:num w:numId="14">
    <w:abstractNumId w:val="13"/>
  </w:num>
  <w:num w:numId="15">
    <w:abstractNumId w:val="14"/>
  </w:num>
  <w:num w:numId="16">
    <w:abstractNumId w:val="15"/>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29785146-8602-4BC2-9242-8BEB58E7C87F"/>
    <w:docVar w:name="LW_COVERPAGE_TYPE" w:val="1"/>
    <w:docVar w:name="LW_CROSSREFERENCE" w:val="&lt;UNUSED&gt;"/>
    <w:docVar w:name="LW_DocType" w:val="NORMAL"/>
    <w:docVar w:name="LW_EMISSION" w:val="28. 7. 2023"/>
    <w:docVar w:name="LW_EMISSION_ISODATE" w:val="2023-07-28"/>
    <w:docVar w:name="LW_EMISSION_LOCATION" w:val="BRX"/>
    <w:docVar w:name="LW_EMISSION_PREFIX" w:val="V Bruseli"/>
    <w:docVar w:name="LW_EMISSION_SUFFIX" w:val=" "/>
    <w:docVar w:name="LW_ID_DOCTYPE_NONLW" w:val="CP-006"/>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3) 46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lročná správa o vykonávaní operácií vypožičiavania si prostriedkov, riadenia dlhu a súvisiacich operácií poskytovania úverov podľa článku 12 vykonávacieho rozhodnutia Komisie C(2022) 9700_x000d__x000d__x000d__x000d__x000b__x000d__x000d__x000d__x000d__x000d__x000d__x000b__x000d__x000d__x000d__x000d__x000d__x000d__x000d__x000d__x000d__x000d__x000d__x000d__x000d__x000b__x000d__x000d__x000d__x000d__x000d__x000d__x000d__x000d__x000d__x000d__x000d__x000d__x000b__x000d_1. január 2023 – 30. jún 2023_x000d__x000d__x000d__x000d__x000d__x000d__x000d__x000d__x000d__x000d__x000d__x000d__x000d__x000b__x000d__x000d__x000d__x000d__x000d__x000d__x000d__x000d__x000d__x000d__x000d__x000d__x000b__x000d_"/>
    <w:docVar w:name="LW_TYPE.DOC.CP" w:val="SPRÁVA KOMISIE EURÓPSKEMU PARLAMENTU A RADE"/>
    <w:docVar w:name="LwApiVersions" w:val="LW4CoDe 1.23.2.0; LW 8.0, Build 20211117"/>
  </w:docVars>
  <w:rsids>
    <w:rsidRoot w:val="008B6253"/>
    <w:rsid w:val="000025FB"/>
    <w:rsid w:val="000027C3"/>
    <w:rsid w:val="00003760"/>
    <w:rsid w:val="00003B2C"/>
    <w:rsid w:val="00007866"/>
    <w:rsid w:val="000123E4"/>
    <w:rsid w:val="00013AFC"/>
    <w:rsid w:val="00015055"/>
    <w:rsid w:val="0001773F"/>
    <w:rsid w:val="00017F73"/>
    <w:rsid w:val="00026571"/>
    <w:rsid w:val="00030B16"/>
    <w:rsid w:val="00036A07"/>
    <w:rsid w:val="0004137B"/>
    <w:rsid w:val="0004607D"/>
    <w:rsid w:val="00052FDD"/>
    <w:rsid w:val="00055E40"/>
    <w:rsid w:val="00056D87"/>
    <w:rsid w:val="000571C9"/>
    <w:rsid w:val="000623CD"/>
    <w:rsid w:val="0006518B"/>
    <w:rsid w:val="00067AC8"/>
    <w:rsid w:val="00067FE8"/>
    <w:rsid w:val="0007609D"/>
    <w:rsid w:val="000830C3"/>
    <w:rsid w:val="00084648"/>
    <w:rsid w:val="0009414B"/>
    <w:rsid w:val="00095BFD"/>
    <w:rsid w:val="00096802"/>
    <w:rsid w:val="00097D72"/>
    <w:rsid w:val="000A0545"/>
    <w:rsid w:val="000A0885"/>
    <w:rsid w:val="000A08F9"/>
    <w:rsid w:val="000A1136"/>
    <w:rsid w:val="000B4EF5"/>
    <w:rsid w:val="000B5255"/>
    <w:rsid w:val="000C26FE"/>
    <w:rsid w:val="000C3CD5"/>
    <w:rsid w:val="000C5D88"/>
    <w:rsid w:val="000C63D4"/>
    <w:rsid w:val="000D008A"/>
    <w:rsid w:val="000D2B51"/>
    <w:rsid w:val="000E2EF9"/>
    <w:rsid w:val="000F037D"/>
    <w:rsid w:val="00102D9B"/>
    <w:rsid w:val="00103A63"/>
    <w:rsid w:val="00113042"/>
    <w:rsid w:val="001137FB"/>
    <w:rsid w:val="00121CE9"/>
    <w:rsid w:val="0013129F"/>
    <w:rsid w:val="001337A8"/>
    <w:rsid w:val="00137822"/>
    <w:rsid w:val="00137CF7"/>
    <w:rsid w:val="001401DA"/>
    <w:rsid w:val="00140C8A"/>
    <w:rsid w:val="00141100"/>
    <w:rsid w:val="00146211"/>
    <w:rsid w:val="0015107E"/>
    <w:rsid w:val="0016009E"/>
    <w:rsid w:val="00165420"/>
    <w:rsid w:val="00166CA0"/>
    <w:rsid w:val="001673D4"/>
    <w:rsid w:val="00171240"/>
    <w:rsid w:val="00171F26"/>
    <w:rsid w:val="00181102"/>
    <w:rsid w:val="00187563"/>
    <w:rsid w:val="001A445F"/>
    <w:rsid w:val="001A5022"/>
    <w:rsid w:val="001B4862"/>
    <w:rsid w:val="001B6959"/>
    <w:rsid w:val="001C0880"/>
    <w:rsid w:val="001C1350"/>
    <w:rsid w:val="001C13F0"/>
    <w:rsid w:val="001C3C2E"/>
    <w:rsid w:val="001C445C"/>
    <w:rsid w:val="001D0900"/>
    <w:rsid w:val="001D0E63"/>
    <w:rsid w:val="001D30CA"/>
    <w:rsid w:val="001D446D"/>
    <w:rsid w:val="001D5B74"/>
    <w:rsid w:val="001D72F9"/>
    <w:rsid w:val="001E0283"/>
    <w:rsid w:val="001F1256"/>
    <w:rsid w:val="001F6191"/>
    <w:rsid w:val="001F6E5E"/>
    <w:rsid w:val="00203B8E"/>
    <w:rsid w:val="002040AE"/>
    <w:rsid w:val="002055AD"/>
    <w:rsid w:val="00207920"/>
    <w:rsid w:val="0021075C"/>
    <w:rsid w:val="00212A39"/>
    <w:rsid w:val="0021323A"/>
    <w:rsid w:val="00216746"/>
    <w:rsid w:val="0022595F"/>
    <w:rsid w:val="00231768"/>
    <w:rsid w:val="00232130"/>
    <w:rsid w:val="002338DB"/>
    <w:rsid w:val="0024146E"/>
    <w:rsid w:val="0024722E"/>
    <w:rsid w:val="00254D4D"/>
    <w:rsid w:val="002664C3"/>
    <w:rsid w:val="00270C15"/>
    <w:rsid w:val="00275FE6"/>
    <w:rsid w:val="00276737"/>
    <w:rsid w:val="002835C6"/>
    <w:rsid w:val="002955CD"/>
    <w:rsid w:val="002A3A30"/>
    <w:rsid w:val="002A67DD"/>
    <w:rsid w:val="002B107F"/>
    <w:rsid w:val="002B4027"/>
    <w:rsid w:val="002B7257"/>
    <w:rsid w:val="002C134A"/>
    <w:rsid w:val="002C59A6"/>
    <w:rsid w:val="002E4FA7"/>
    <w:rsid w:val="002E56EE"/>
    <w:rsid w:val="002F28D6"/>
    <w:rsid w:val="002F2928"/>
    <w:rsid w:val="002F7560"/>
    <w:rsid w:val="002F7768"/>
    <w:rsid w:val="00303954"/>
    <w:rsid w:val="0030418A"/>
    <w:rsid w:val="00307FF2"/>
    <w:rsid w:val="003130F2"/>
    <w:rsid w:val="003160E0"/>
    <w:rsid w:val="00322997"/>
    <w:rsid w:val="003257E5"/>
    <w:rsid w:val="003277B5"/>
    <w:rsid w:val="00330D09"/>
    <w:rsid w:val="00333383"/>
    <w:rsid w:val="00342348"/>
    <w:rsid w:val="00343D6C"/>
    <w:rsid w:val="003454F5"/>
    <w:rsid w:val="00350522"/>
    <w:rsid w:val="00352DCC"/>
    <w:rsid w:val="00361B1E"/>
    <w:rsid w:val="00364E2A"/>
    <w:rsid w:val="003668D8"/>
    <w:rsid w:val="003707F5"/>
    <w:rsid w:val="00372518"/>
    <w:rsid w:val="00374A49"/>
    <w:rsid w:val="003926DF"/>
    <w:rsid w:val="00395373"/>
    <w:rsid w:val="00395DF8"/>
    <w:rsid w:val="003A2408"/>
    <w:rsid w:val="003A4BBC"/>
    <w:rsid w:val="003B0BAD"/>
    <w:rsid w:val="003B6A1C"/>
    <w:rsid w:val="003C0956"/>
    <w:rsid w:val="003C52F3"/>
    <w:rsid w:val="003D0FED"/>
    <w:rsid w:val="003D7999"/>
    <w:rsid w:val="003E1782"/>
    <w:rsid w:val="003E27DC"/>
    <w:rsid w:val="003E3DF4"/>
    <w:rsid w:val="003F19E5"/>
    <w:rsid w:val="003F654D"/>
    <w:rsid w:val="003F775B"/>
    <w:rsid w:val="0040365E"/>
    <w:rsid w:val="004109ED"/>
    <w:rsid w:val="00411F86"/>
    <w:rsid w:val="00417698"/>
    <w:rsid w:val="00425E4F"/>
    <w:rsid w:val="004271E2"/>
    <w:rsid w:val="00432655"/>
    <w:rsid w:val="0045555D"/>
    <w:rsid w:val="00470A50"/>
    <w:rsid w:val="00472563"/>
    <w:rsid w:val="004745F2"/>
    <w:rsid w:val="00476FFD"/>
    <w:rsid w:val="00477D1E"/>
    <w:rsid w:val="00483303"/>
    <w:rsid w:val="00491026"/>
    <w:rsid w:val="00491B57"/>
    <w:rsid w:val="0049785D"/>
    <w:rsid w:val="004A0271"/>
    <w:rsid w:val="004A61C9"/>
    <w:rsid w:val="004A73B2"/>
    <w:rsid w:val="004B1671"/>
    <w:rsid w:val="004B58D1"/>
    <w:rsid w:val="004B75BB"/>
    <w:rsid w:val="004C4ABC"/>
    <w:rsid w:val="004C5BE8"/>
    <w:rsid w:val="004C68F8"/>
    <w:rsid w:val="004D0EB0"/>
    <w:rsid w:val="004D4588"/>
    <w:rsid w:val="004D4B99"/>
    <w:rsid w:val="004F0A38"/>
    <w:rsid w:val="004F3029"/>
    <w:rsid w:val="004F4654"/>
    <w:rsid w:val="00500DC7"/>
    <w:rsid w:val="00501B59"/>
    <w:rsid w:val="0050453A"/>
    <w:rsid w:val="00504C75"/>
    <w:rsid w:val="00511532"/>
    <w:rsid w:val="0051433A"/>
    <w:rsid w:val="00526640"/>
    <w:rsid w:val="00533E04"/>
    <w:rsid w:val="0053490A"/>
    <w:rsid w:val="00545F6E"/>
    <w:rsid w:val="00547DE9"/>
    <w:rsid w:val="00547E7D"/>
    <w:rsid w:val="00550CD9"/>
    <w:rsid w:val="005543D6"/>
    <w:rsid w:val="00554456"/>
    <w:rsid w:val="005601D1"/>
    <w:rsid w:val="00560991"/>
    <w:rsid w:val="0056358A"/>
    <w:rsid w:val="00563BBD"/>
    <w:rsid w:val="00564724"/>
    <w:rsid w:val="00567602"/>
    <w:rsid w:val="00570D76"/>
    <w:rsid w:val="00570D82"/>
    <w:rsid w:val="00571587"/>
    <w:rsid w:val="00571A9E"/>
    <w:rsid w:val="00577995"/>
    <w:rsid w:val="00582DDA"/>
    <w:rsid w:val="0058487B"/>
    <w:rsid w:val="00585379"/>
    <w:rsid w:val="005909A6"/>
    <w:rsid w:val="00590CE0"/>
    <w:rsid w:val="00593541"/>
    <w:rsid w:val="00595034"/>
    <w:rsid w:val="005A055B"/>
    <w:rsid w:val="005A2447"/>
    <w:rsid w:val="005A544A"/>
    <w:rsid w:val="005A6D5F"/>
    <w:rsid w:val="005B1F67"/>
    <w:rsid w:val="005B2E50"/>
    <w:rsid w:val="005B4C56"/>
    <w:rsid w:val="005C41D9"/>
    <w:rsid w:val="005C6A1E"/>
    <w:rsid w:val="005D04B7"/>
    <w:rsid w:val="005D297C"/>
    <w:rsid w:val="005D6F11"/>
    <w:rsid w:val="005E77E4"/>
    <w:rsid w:val="005F5F02"/>
    <w:rsid w:val="005F7E9D"/>
    <w:rsid w:val="006012E4"/>
    <w:rsid w:val="00607408"/>
    <w:rsid w:val="0062182B"/>
    <w:rsid w:val="006237D6"/>
    <w:rsid w:val="006263DE"/>
    <w:rsid w:val="006352E7"/>
    <w:rsid w:val="00645FB5"/>
    <w:rsid w:val="00647E00"/>
    <w:rsid w:val="006502DB"/>
    <w:rsid w:val="006601F5"/>
    <w:rsid w:val="00661018"/>
    <w:rsid w:val="006638BA"/>
    <w:rsid w:val="00667E38"/>
    <w:rsid w:val="00680C46"/>
    <w:rsid w:val="0068361C"/>
    <w:rsid w:val="0069582D"/>
    <w:rsid w:val="0069603F"/>
    <w:rsid w:val="0069675F"/>
    <w:rsid w:val="006C0EC4"/>
    <w:rsid w:val="006C29D5"/>
    <w:rsid w:val="006D00F8"/>
    <w:rsid w:val="006D139D"/>
    <w:rsid w:val="006D23F1"/>
    <w:rsid w:val="006D6C0E"/>
    <w:rsid w:val="006E10F7"/>
    <w:rsid w:val="006F3037"/>
    <w:rsid w:val="006F3103"/>
    <w:rsid w:val="006F65FE"/>
    <w:rsid w:val="006F7559"/>
    <w:rsid w:val="00711B9E"/>
    <w:rsid w:val="0072000B"/>
    <w:rsid w:val="0072040A"/>
    <w:rsid w:val="00723236"/>
    <w:rsid w:val="00724759"/>
    <w:rsid w:val="00733174"/>
    <w:rsid w:val="00733BD7"/>
    <w:rsid w:val="007352C3"/>
    <w:rsid w:val="00735D8C"/>
    <w:rsid w:val="00737114"/>
    <w:rsid w:val="0075167C"/>
    <w:rsid w:val="00751AE1"/>
    <w:rsid w:val="00751D64"/>
    <w:rsid w:val="00752CE1"/>
    <w:rsid w:val="00755B19"/>
    <w:rsid w:val="007633EC"/>
    <w:rsid w:val="00763ACD"/>
    <w:rsid w:val="007662F6"/>
    <w:rsid w:val="0077082E"/>
    <w:rsid w:val="00772A8D"/>
    <w:rsid w:val="00786210"/>
    <w:rsid w:val="00792B58"/>
    <w:rsid w:val="00792D94"/>
    <w:rsid w:val="00795578"/>
    <w:rsid w:val="00796DA8"/>
    <w:rsid w:val="007A373F"/>
    <w:rsid w:val="007B08DA"/>
    <w:rsid w:val="007B66F0"/>
    <w:rsid w:val="007C4BA8"/>
    <w:rsid w:val="007C76AC"/>
    <w:rsid w:val="007D00A6"/>
    <w:rsid w:val="007D6C82"/>
    <w:rsid w:val="007D6E3C"/>
    <w:rsid w:val="007E251D"/>
    <w:rsid w:val="007E5C6F"/>
    <w:rsid w:val="007F10A6"/>
    <w:rsid w:val="008002D3"/>
    <w:rsid w:val="00804E4F"/>
    <w:rsid w:val="00810743"/>
    <w:rsid w:val="00810E0F"/>
    <w:rsid w:val="00812772"/>
    <w:rsid w:val="008211C8"/>
    <w:rsid w:val="00822FCC"/>
    <w:rsid w:val="00832D8D"/>
    <w:rsid w:val="008349E8"/>
    <w:rsid w:val="00837AF0"/>
    <w:rsid w:val="00844DD8"/>
    <w:rsid w:val="00845ED1"/>
    <w:rsid w:val="0085119E"/>
    <w:rsid w:val="00851FBB"/>
    <w:rsid w:val="00855953"/>
    <w:rsid w:val="0087342A"/>
    <w:rsid w:val="00877B96"/>
    <w:rsid w:val="008805AC"/>
    <w:rsid w:val="008807BD"/>
    <w:rsid w:val="00881F53"/>
    <w:rsid w:val="0088253F"/>
    <w:rsid w:val="00890FB6"/>
    <w:rsid w:val="008927F4"/>
    <w:rsid w:val="008A02D6"/>
    <w:rsid w:val="008A6BA6"/>
    <w:rsid w:val="008A6DA6"/>
    <w:rsid w:val="008B23B9"/>
    <w:rsid w:val="008B5224"/>
    <w:rsid w:val="008B5BDC"/>
    <w:rsid w:val="008B6253"/>
    <w:rsid w:val="008C0F4B"/>
    <w:rsid w:val="008C383B"/>
    <w:rsid w:val="008C40C7"/>
    <w:rsid w:val="008C687B"/>
    <w:rsid w:val="008D4B79"/>
    <w:rsid w:val="008E17D3"/>
    <w:rsid w:val="008E1D15"/>
    <w:rsid w:val="008E43C3"/>
    <w:rsid w:val="00902938"/>
    <w:rsid w:val="00903DF1"/>
    <w:rsid w:val="00911008"/>
    <w:rsid w:val="0091353C"/>
    <w:rsid w:val="00913EC8"/>
    <w:rsid w:val="00923220"/>
    <w:rsid w:val="009236B2"/>
    <w:rsid w:val="00924D26"/>
    <w:rsid w:val="009266EF"/>
    <w:rsid w:val="00931C51"/>
    <w:rsid w:val="00933FF5"/>
    <w:rsid w:val="0093595E"/>
    <w:rsid w:val="009363AD"/>
    <w:rsid w:val="009363CC"/>
    <w:rsid w:val="00936D60"/>
    <w:rsid w:val="0094078E"/>
    <w:rsid w:val="0094267A"/>
    <w:rsid w:val="00945A9D"/>
    <w:rsid w:val="009516E6"/>
    <w:rsid w:val="00956424"/>
    <w:rsid w:val="00965E9A"/>
    <w:rsid w:val="00966166"/>
    <w:rsid w:val="00966269"/>
    <w:rsid w:val="009678F3"/>
    <w:rsid w:val="00973A8D"/>
    <w:rsid w:val="00980D74"/>
    <w:rsid w:val="009938CC"/>
    <w:rsid w:val="009944DB"/>
    <w:rsid w:val="00994EDF"/>
    <w:rsid w:val="009A7D29"/>
    <w:rsid w:val="009B705D"/>
    <w:rsid w:val="009C1073"/>
    <w:rsid w:val="009C2C1E"/>
    <w:rsid w:val="009C4827"/>
    <w:rsid w:val="009C4CA0"/>
    <w:rsid w:val="009C5F8F"/>
    <w:rsid w:val="009C65F9"/>
    <w:rsid w:val="009D6831"/>
    <w:rsid w:val="009E0388"/>
    <w:rsid w:val="009F3413"/>
    <w:rsid w:val="00A00FE6"/>
    <w:rsid w:val="00A046A3"/>
    <w:rsid w:val="00A1084A"/>
    <w:rsid w:val="00A1301D"/>
    <w:rsid w:val="00A1683B"/>
    <w:rsid w:val="00A27A43"/>
    <w:rsid w:val="00A4309F"/>
    <w:rsid w:val="00A450A6"/>
    <w:rsid w:val="00A4558E"/>
    <w:rsid w:val="00A46D38"/>
    <w:rsid w:val="00A50D24"/>
    <w:rsid w:val="00A534AD"/>
    <w:rsid w:val="00A543D6"/>
    <w:rsid w:val="00A547D6"/>
    <w:rsid w:val="00A6763F"/>
    <w:rsid w:val="00A70679"/>
    <w:rsid w:val="00A73AF9"/>
    <w:rsid w:val="00A75719"/>
    <w:rsid w:val="00A80F43"/>
    <w:rsid w:val="00A9084E"/>
    <w:rsid w:val="00A95BD7"/>
    <w:rsid w:val="00AB0F9A"/>
    <w:rsid w:val="00AB311E"/>
    <w:rsid w:val="00AB39BC"/>
    <w:rsid w:val="00AB4AF4"/>
    <w:rsid w:val="00AD08A6"/>
    <w:rsid w:val="00AD3976"/>
    <w:rsid w:val="00AD5911"/>
    <w:rsid w:val="00AD734F"/>
    <w:rsid w:val="00AE6C69"/>
    <w:rsid w:val="00AF3D43"/>
    <w:rsid w:val="00B0090A"/>
    <w:rsid w:val="00B103BF"/>
    <w:rsid w:val="00B10792"/>
    <w:rsid w:val="00B11EE8"/>
    <w:rsid w:val="00B12D15"/>
    <w:rsid w:val="00B163C5"/>
    <w:rsid w:val="00B168E6"/>
    <w:rsid w:val="00B24D55"/>
    <w:rsid w:val="00B27871"/>
    <w:rsid w:val="00B306B7"/>
    <w:rsid w:val="00B33BCF"/>
    <w:rsid w:val="00B345B6"/>
    <w:rsid w:val="00B4100C"/>
    <w:rsid w:val="00B41195"/>
    <w:rsid w:val="00B42064"/>
    <w:rsid w:val="00B42A25"/>
    <w:rsid w:val="00B47F53"/>
    <w:rsid w:val="00B50B36"/>
    <w:rsid w:val="00B512D0"/>
    <w:rsid w:val="00B568F1"/>
    <w:rsid w:val="00B70F4E"/>
    <w:rsid w:val="00B72277"/>
    <w:rsid w:val="00B7261C"/>
    <w:rsid w:val="00B73527"/>
    <w:rsid w:val="00B77E6E"/>
    <w:rsid w:val="00B80050"/>
    <w:rsid w:val="00B8055A"/>
    <w:rsid w:val="00B921BB"/>
    <w:rsid w:val="00B93895"/>
    <w:rsid w:val="00B96FC3"/>
    <w:rsid w:val="00BA0B58"/>
    <w:rsid w:val="00BA3247"/>
    <w:rsid w:val="00BA4F5A"/>
    <w:rsid w:val="00BB05DC"/>
    <w:rsid w:val="00BB3A2B"/>
    <w:rsid w:val="00BD275C"/>
    <w:rsid w:val="00BD2C72"/>
    <w:rsid w:val="00BD3D19"/>
    <w:rsid w:val="00BD3E56"/>
    <w:rsid w:val="00BD50FB"/>
    <w:rsid w:val="00BD5EEB"/>
    <w:rsid w:val="00BD5F9F"/>
    <w:rsid w:val="00BD68A5"/>
    <w:rsid w:val="00BD74EC"/>
    <w:rsid w:val="00BE069B"/>
    <w:rsid w:val="00BE1D7D"/>
    <w:rsid w:val="00BE470E"/>
    <w:rsid w:val="00BF56CF"/>
    <w:rsid w:val="00C05724"/>
    <w:rsid w:val="00C10D28"/>
    <w:rsid w:val="00C13350"/>
    <w:rsid w:val="00C14D1B"/>
    <w:rsid w:val="00C15F2E"/>
    <w:rsid w:val="00C20C72"/>
    <w:rsid w:val="00C2124D"/>
    <w:rsid w:val="00C30399"/>
    <w:rsid w:val="00C30E3F"/>
    <w:rsid w:val="00C3131E"/>
    <w:rsid w:val="00C35CD9"/>
    <w:rsid w:val="00C44890"/>
    <w:rsid w:val="00C44E47"/>
    <w:rsid w:val="00C45C1A"/>
    <w:rsid w:val="00C46220"/>
    <w:rsid w:val="00C60558"/>
    <w:rsid w:val="00C6453D"/>
    <w:rsid w:val="00C77085"/>
    <w:rsid w:val="00C8066F"/>
    <w:rsid w:val="00C809F9"/>
    <w:rsid w:val="00C8297A"/>
    <w:rsid w:val="00C86667"/>
    <w:rsid w:val="00C92EBC"/>
    <w:rsid w:val="00C94584"/>
    <w:rsid w:val="00CB72AD"/>
    <w:rsid w:val="00CC15C9"/>
    <w:rsid w:val="00CC5489"/>
    <w:rsid w:val="00CC5C7F"/>
    <w:rsid w:val="00CC6BA9"/>
    <w:rsid w:val="00CC7E05"/>
    <w:rsid w:val="00CD484C"/>
    <w:rsid w:val="00CD50EA"/>
    <w:rsid w:val="00CD6862"/>
    <w:rsid w:val="00CD6EC6"/>
    <w:rsid w:val="00CD7C4D"/>
    <w:rsid w:val="00CE2886"/>
    <w:rsid w:val="00CE311A"/>
    <w:rsid w:val="00CF040B"/>
    <w:rsid w:val="00CF3BA0"/>
    <w:rsid w:val="00D00934"/>
    <w:rsid w:val="00D05443"/>
    <w:rsid w:val="00D12565"/>
    <w:rsid w:val="00D26CB0"/>
    <w:rsid w:val="00D36031"/>
    <w:rsid w:val="00D3648A"/>
    <w:rsid w:val="00D3721F"/>
    <w:rsid w:val="00D43379"/>
    <w:rsid w:val="00D47568"/>
    <w:rsid w:val="00D50F7F"/>
    <w:rsid w:val="00D554AF"/>
    <w:rsid w:val="00D56CFA"/>
    <w:rsid w:val="00D56EF0"/>
    <w:rsid w:val="00D57DD8"/>
    <w:rsid w:val="00D614D2"/>
    <w:rsid w:val="00D7623A"/>
    <w:rsid w:val="00D7652A"/>
    <w:rsid w:val="00D769F2"/>
    <w:rsid w:val="00D77C83"/>
    <w:rsid w:val="00D815F0"/>
    <w:rsid w:val="00D8633C"/>
    <w:rsid w:val="00DA1B82"/>
    <w:rsid w:val="00DA2349"/>
    <w:rsid w:val="00DB3549"/>
    <w:rsid w:val="00DB761C"/>
    <w:rsid w:val="00DC1E69"/>
    <w:rsid w:val="00DC2305"/>
    <w:rsid w:val="00DD0DB2"/>
    <w:rsid w:val="00DD514E"/>
    <w:rsid w:val="00DE29C3"/>
    <w:rsid w:val="00DF131F"/>
    <w:rsid w:val="00DF2273"/>
    <w:rsid w:val="00DF5FAE"/>
    <w:rsid w:val="00E01996"/>
    <w:rsid w:val="00E02208"/>
    <w:rsid w:val="00E12F6A"/>
    <w:rsid w:val="00E1511F"/>
    <w:rsid w:val="00E21E50"/>
    <w:rsid w:val="00E24082"/>
    <w:rsid w:val="00E278BD"/>
    <w:rsid w:val="00E306EB"/>
    <w:rsid w:val="00E31443"/>
    <w:rsid w:val="00E336D2"/>
    <w:rsid w:val="00E35D2F"/>
    <w:rsid w:val="00E40C65"/>
    <w:rsid w:val="00E4144D"/>
    <w:rsid w:val="00E445DE"/>
    <w:rsid w:val="00E4536F"/>
    <w:rsid w:val="00E460ED"/>
    <w:rsid w:val="00E462F0"/>
    <w:rsid w:val="00E52306"/>
    <w:rsid w:val="00E561A9"/>
    <w:rsid w:val="00E5667C"/>
    <w:rsid w:val="00E6358D"/>
    <w:rsid w:val="00E6380D"/>
    <w:rsid w:val="00E63E54"/>
    <w:rsid w:val="00E63F2F"/>
    <w:rsid w:val="00E71805"/>
    <w:rsid w:val="00E723D1"/>
    <w:rsid w:val="00E742AE"/>
    <w:rsid w:val="00E7593D"/>
    <w:rsid w:val="00E76992"/>
    <w:rsid w:val="00E81087"/>
    <w:rsid w:val="00E834C5"/>
    <w:rsid w:val="00E87235"/>
    <w:rsid w:val="00E91029"/>
    <w:rsid w:val="00E922DF"/>
    <w:rsid w:val="00E92C01"/>
    <w:rsid w:val="00E92C06"/>
    <w:rsid w:val="00E9547B"/>
    <w:rsid w:val="00EA0740"/>
    <w:rsid w:val="00EA11EB"/>
    <w:rsid w:val="00EB3372"/>
    <w:rsid w:val="00EB6034"/>
    <w:rsid w:val="00EC0942"/>
    <w:rsid w:val="00EC43E1"/>
    <w:rsid w:val="00EC66B0"/>
    <w:rsid w:val="00ED0806"/>
    <w:rsid w:val="00ED38DC"/>
    <w:rsid w:val="00EE01EE"/>
    <w:rsid w:val="00EE2C0C"/>
    <w:rsid w:val="00EF73A3"/>
    <w:rsid w:val="00F004A0"/>
    <w:rsid w:val="00F006D1"/>
    <w:rsid w:val="00F131F1"/>
    <w:rsid w:val="00F154AA"/>
    <w:rsid w:val="00F255CC"/>
    <w:rsid w:val="00F26AE1"/>
    <w:rsid w:val="00F33393"/>
    <w:rsid w:val="00F37831"/>
    <w:rsid w:val="00F464A6"/>
    <w:rsid w:val="00F46B6D"/>
    <w:rsid w:val="00F56A08"/>
    <w:rsid w:val="00F64EE3"/>
    <w:rsid w:val="00F70324"/>
    <w:rsid w:val="00F73068"/>
    <w:rsid w:val="00F777EE"/>
    <w:rsid w:val="00F836DC"/>
    <w:rsid w:val="00F867FC"/>
    <w:rsid w:val="00F96BE2"/>
    <w:rsid w:val="00F96DDE"/>
    <w:rsid w:val="00F9742E"/>
    <w:rsid w:val="00FA3C9C"/>
    <w:rsid w:val="00FA612D"/>
    <w:rsid w:val="00FA68C2"/>
    <w:rsid w:val="00FA68E8"/>
    <w:rsid w:val="00FA6ECC"/>
    <w:rsid w:val="00FB2867"/>
    <w:rsid w:val="00FB4B11"/>
    <w:rsid w:val="00FC3CCC"/>
    <w:rsid w:val="00FD0EE1"/>
    <w:rsid w:val="00FE0F8D"/>
    <w:rsid w:val="00FE5D3A"/>
    <w:rsid w:val="00FF6728"/>
    <w:rsid w:val="00FF7D13"/>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96028F"/>
  <w15:docId w15:val="{15B37CD7-D761-4B1B-9251-218608DE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53"/>
    <w:pPr>
      <w:spacing w:after="200" w:line="276"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B6253"/>
    <w:pPr>
      <w:keepNext/>
      <w:keepLines/>
      <w:numPr>
        <w:numId w:val="1"/>
      </w:numPr>
      <w:spacing w:before="240" w:after="240" w:line="240" w:lineRule="auto"/>
      <w:outlineLvl w:val="0"/>
    </w:pPr>
    <w:rPr>
      <w:rFonts w:eastAsiaTheme="majorEastAsia" w:cstheme="majorBidi"/>
      <w:b/>
      <w:color w:val="0070C0"/>
      <w:sz w:val="32"/>
      <w:szCs w:val="32"/>
    </w:rPr>
  </w:style>
  <w:style w:type="paragraph" w:styleId="Heading2">
    <w:name w:val="heading 2"/>
    <w:basedOn w:val="Normal"/>
    <w:next w:val="Normal"/>
    <w:link w:val="Heading2Char"/>
    <w:uiPriority w:val="9"/>
    <w:semiHidden/>
    <w:unhideWhenUsed/>
    <w:qFormat/>
    <w:rsid w:val="007516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253"/>
    <w:rPr>
      <w:rFonts w:ascii="Times New Roman" w:eastAsiaTheme="majorEastAsia" w:hAnsi="Times New Roman" w:cstheme="majorBidi"/>
      <w:b/>
      <w:color w:val="0070C0"/>
      <w:sz w:val="32"/>
      <w:szCs w:val="32"/>
    </w:rPr>
  </w:style>
  <w:style w:type="paragraph" w:styleId="Header">
    <w:name w:val="header"/>
    <w:basedOn w:val="Normal"/>
    <w:link w:val="HeaderChar"/>
    <w:uiPriority w:val="99"/>
    <w:unhideWhenUsed/>
    <w:rsid w:val="008B6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253"/>
    <w:rPr>
      <w:rFonts w:ascii="Times New Roman" w:hAnsi="Times New Roman" w:cs="Times New Roman"/>
      <w:sz w:val="24"/>
      <w:szCs w:val="24"/>
      <w:lang w:val="sk-SK"/>
    </w:rPr>
  </w:style>
  <w:style w:type="paragraph" w:styleId="Footer">
    <w:name w:val="footer"/>
    <w:basedOn w:val="Normal"/>
    <w:link w:val="FooterChar"/>
    <w:uiPriority w:val="99"/>
    <w:unhideWhenUsed/>
    <w:rsid w:val="008B6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253"/>
    <w:rPr>
      <w:rFonts w:ascii="Times New Roman" w:hAnsi="Times New Roman" w:cs="Times New Roman"/>
      <w:sz w:val="24"/>
      <w:szCs w:val="24"/>
      <w:lang w:val="sk-SK"/>
    </w:rPr>
  </w:style>
  <w:style w:type="paragraph" w:customStyle="1" w:styleId="FooterCoverPage">
    <w:name w:val="Footer Cover Page"/>
    <w:basedOn w:val="Normal"/>
    <w:link w:val="FooterCoverPageChar"/>
    <w:rsid w:val="008B6253"/>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sid w:val="008B6253"/>
    <w:rPr>
      <w:rFonts w:ascii="Times New Roman" w:hAnsi="Times New Roman" w:cs="Times New Roman"/>
      <w:sz w:val="24"/>
      <w:szCs w:val="24"/>
    </w:rPr>
  </w:style>
  <w:style w:type="paragraph" w:customStyle="1" w:styleId="HeaderCoverPage">
    <w:name w:val="Header Cover Page"/>
    <w:basedOn w:val="Normal"/>
    <w:link w:val="HeaderCoverPageChar"/>
    <w:rsid w:val="008B6253"/>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8B6253"/>
    <w:rPr>
      <w:rFonts w:ascii="Times New Roman" w:hAnsi="Times New Roman" w:cs="Times New Roman"/>
      <w:sz w:val="24"/>
      <w:szCs w:val="24"/>
    </w:rPr>
  </w:style>
  <w:style w:type="character" w:styleId="FootnoteReference">
    <w:name w:val="footnote reference"/>
    <w:aliases w:val="BVI fnr,number,SUPERS,Footnote Reference Superscript,-E Fuﬂnotenzeichen,-E Fuûnotenzeichen,-E Fußnotenzeichen,EN Footnote Reference,Footnote number,stylish,Footnote symbol,(Footnote Reference),Footnote reference number,note TESI,ftref"/>
    <w:link w:val="BVIfnrChar"/>
    <w:uiPriority w:val="99"/>
    <w:qFormat/>
    <w:rsid w:val="008B6253"/>
    <w:rPr>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t"/>
    <w:basedOn w:val="Normal"/>
    <w:link w:val="FootnoteTextChar"/>
    <w:uiPriority w:val="99"/>
    <w:qFormat/>
    <w:rsid w:val="008B6253"/>
    <w:pPr>
      <w:spacing w:after="0" w:line="240" w:lineRule="auto"/>
      <w:ind w:left="720" w:hanging="720"/>
      <w:jc w:val="both"/>
    </w:pPr>
    <w:rPr>
      <w:rFonts w:eastAsia="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t Char"/>
    <w:basedOn w:val="DefaultParagraphFont"/>
    <w:link w:val="FootnoteText"/>
    <w:uiPriority w:val="99"/>
    <w:rsid w:val="008B6253"/>
    <w:rPr>
      <w:rFonts w:ascii="Times New Roman" w:eastAsia="Times New Roman" w:hAnsi="Times New Roman" w:cs="Times New Roman"/>
      <w:sz w:val="20"/>
      <w:szCs w:val="20"/>
      <w:lang w:val="sk-SK"/>
    </w:rPr>
  </w:style>
  <w:style w:type="paragraph" w:styleId="TOC1">
    <w:name w:val="toc 1"/>
    <w:basedOn w:val="Normal"/>
    <w:next w:val="Normal"/>
    <w:uiPriority w:val="39"/>
    <w:qFormat/>
    <w:rsid w:val="008B6253"/>
    <w:pPr>
      <w:tabs>
        <w:tab w:val="right" w:leader="dot" w:pos="9071"/>
      </w:tabs>
      <w:spacing w:before="60" w:after="120" w:line="240" w:lineRule="auto"/>
      <w:ind w:left="850" w:hanging="850"/>
    </w:pPr>
    <w:rPr>
      <w:rFonts w:eastAsia="Times New Roman"/>
    </w:rPr>
  </w:style>
  <w:style w:type="paragraph" w:styleId="TOCHeading">
    <w:name w:val="TOC Heading"/>
    <w:basedOn w:val="Normal"/>
    <w:next w:val="Normal"/>
    <w:link w:val="TOCHeadingChar"/>
    <w:uiPriority w:val="39"/>
    <w:qFormat/>
    <w:rsid w:val="008B6253"/>
    <w:pPr>
      <w:spacing w:before="120" w:after="240" w:line="240" w:lineRule="auto"/>
      <w:jc w:val="center"/>
    </w:pPr>
    <w:rPr>
      <w:rFonts w:eastAsia="Times New Roman"/>
      <w:b/>
      <w:sz w:val="28"/>
    </w:rPr>
  </w:style>
  <w:style w:type="character" w:styleId="Hyperlink">
    <w:name w:val="Hyperlink"/>
    <w:uiPriority w:val="99"/>
    <w:rsid w:val="008B6253"/>
    <w:rPr>
      <w:rFonts w:cs="Times New Roman"/>
      <w:color w:val="0000FF"/>
      <w:u w:val="single"/>
      <w:shd w:val="clear" w:color="auto" w:fill="auto"/>
    </w:rPr>
  </w:style>
  <w:style w:type="character" w:customStyle="1" w:styleId="TOCHeadingChar">
    <w:name w:val="TOC Heading Char"/>
    <w:link w:val="TOCHeading"/>
    <w:uiPriority w:val="39"/>
    <w:rsid w:val="008B6253"/>
    <w:rPr>
      <w:rFonts w:ascii="Times New Roman" w:eastAsia="Times New Roman" w:hAnsi="Times New Roman" w:cs="Times New Roman"/>
      <w:b/>
      <w:sz w:val="28"/>
      <w:szCs w:val="24"/>
      <w:lang w:val="sk-SK"/>
    </w:rPr>
  </w:style>
  <w:style w:type="paragraph" w:styleId="Subtitle">
    <w:name w:val="Subtitle"/>
    <w:basedOn w:val="Normal"/>
    <w:next w:val="Normal"/>
    <w:link w:val="SubtitleChar"/>
    <w:qFormat/>
    <w:rsid w:val="008B6253"/>
    <w:pPr>
      <w:spacing w:before="120" w:after="60" w:line="240" w:lineRule="auto"/>
      <w:jc w:val="center"/>
      <w:outlineLvl w:val="1"/>
    </w:pPr>
    <w:rPr>
      <w:rFonts w:ascii="Cambria" w:eastAsia="Times New Roman" w:hAnsi="Cambria"/>
    </w:rPr>
  </w:style>
  <w:style w:type="character" w:customStyle="1" w:styleId="SubtitleChar">
    <w:name w:val="Subtitle Char"/>
    <w:basedOn w:val="DefaultParagraphFont"/>
    <w:link w:val="Subtitle"/>
    <w:rsid w:val="008B6253"/>
    <w:rPr>
      <w:rFonts w:ascii="Cambria" w:eastAsia="Times New Roman" w:hAnsi="Cambria" w:cs="Times New Roman"/>
      <w:sz w:val="24"/>
      <w:szCs w:val="24"/>
      <w:lang w:val="sk-SK"/>
    </w:rPr>
  </w:style>
  <w:style w:type="paragraph" w:styleId="NormalWeb">
    <w:name w:val="Normal (Web)"/>
    <w:basedOn w:val="Normal"/>
    <w:uiPriority w:val="99"/>
    <w:unhideWhenUsed/>
    <w:rsid w:val="008B6253"/>
    <w:pPr>
      <w:spacing w:before="100" w:beforeAutospacing="1" w:after="100" w:afterAutospacing="1" w:line="240" w:lineRule="auto"/>
    </w:pPr>
    <w:rPr>
      <w:rFonts w:eastAsia="Times New Roman"/>
      <w:lang w:eastAsia="en-GB"/>
    </w:rPr>
  </w:style>
  <w:style w:type="paragraph" w:customStyle="1" w:styleId="BVIfnrChar">
    <w:name w:val="BVI fnr Char"/>
    <w:aliases w:val="Appel note de bas de p.;BVI fnr Car Car Car Car, BVI fnr Car Car,BVI fnr Car, BVI fnr Car Car Car Car, BVI fnr Car Car Car Car Char,Appel note de bas de p..BVI fnr Car Car Car Car, BVI fnr Char,Appel note de bas de p."/>
    <w:basedOn w:val="Normal"/>
    <w:link w:val="FootnoteReference"/>
    <w:uiPriority w:val="99"/>
    <w:rsid w:val="008B6253"/>
    <w:pPr>
      <w:spacing w:after="160" w:line="240" w:lineRule="exact"/>
    </w:pPr>
    <w:rPr>
      <w:rFonts w:asciiTheme="minorHAnsi" w:hAnsiTheme="minorHAnsi" w:cstheme="minorBidi"/>
      <w:sz w:val="22"/>
      <w:szCs w:val="22"/>
      <w:vertAlign w:val="superscript"/>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rsid w:val="008B6253"/>
    <w:pPr>
      <w:spacing w:after="160" w:line="259" w:lineRule="auto"/>
      <w:ind w:left="720"/>
      <w:contextualSpacing/>
    </w:pPr>
    <w:rPr>
      <w:rFonts w:asciiTheme="minorHAnsi" w:hAnsiTheme="minorHAnsi" w:cstheme="minorBidi"/>
      <w:sz w:val="22"/>
      <w:szCs w:val="22"/>
    </w:rPr>
  </w:style>
  <w:style w:type="character" w:styleId="IntenseReference">
    <w:name w:val="Intense Reference"/>
    <w:basedOn w:val="DefaultParagraphFont"/>
    <w:uiPriority w:val="32"/>
    <w:qFormat/>
    <w:rsid w:val="008B6253"/>
    <w:rPr>
      <w:b/>
      <w:bCs/>
      <w:smallCaps/>
      <w:color w:val="5B9BD5" w:themeColor="accent1"/>
      <w:spacing w:val="5"/>
    </w:rPr>
  </w:style>
  <w:style w:type="table" w:styleId="GridTable1Light-Accent1">
    <w:name w:val="Grid Table 1 Light Accent 1"/>
    <w:basedOn w:val="TableNormal"/>
    <w:uiPriority w:val="46"/>
    <w:rsid w:val="008B625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basedOn w:val="DefaultParagraphFont"/>
    <w:link w:val="ListParagraph"/>
    <w:uiPriority w:val="34"/>
    <w:locked/>
    <w:rsid w:val="008B6253"/>
    <w:rPr>
      <w:lang w:val="sk-SK"/>
    </w:rPr>
  </w:style>
  <w:style w:type="table" w:customStyle="1" w:styleId="TableGrid1">
    <w:name w:val="Table Grid1"/>
    <w:basedOn w:val="TableNormal"/>
    <w:next w:val="TableGrid"/>
    <w:uiPriority w:val="39"/>
    <w:rsid w:val="008B625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8B6253"/>
    <w:rPr>
      <w:color w:val="0000FF"/>
      <w:shd w:val="clear" w:color="auto" w:fill="auto"/>
    </w:rPr>
  </w:style>
  <w:style w:type="paragraph" w:customStyle="1" w:styleId="Pagedecouverture">
    <w:name w:val="Page de couverture"/>
    <w:basedOn w:val="Normal"/>
    <w:next w:val="Normal"/>
    <w:rsid w:val="008B6253"/>
    <w:pPr>
      <w:spacing w:after="0" w:line="240" w:lineRule="auto"/>
      <w:jc w:val="both"/>
    </w:pPr>
    <w:rPr>
      <w:szCs w:val="22"/>
    </w:rPr>
  </w:style>
  <w:style w:type="paragraph" w:customStyle="1" w:styleId="FooterSensitivity">
    <w:name w:val="Footer Sensitivity"/>
    <w:basedOn w:val="Normal"/>
    <w:link w:val="FooterSensitivityChar"/>
    <w:rsid w:val="008B625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TOCHeadingChar"/>
    <w:link w:val="FooterSensitivity"/>
    <w:rsid w:val="008B6253"/>
    <w:rPr>
      <w:rFonts w:ascii="Times New Roman" w:eastAsia="Times New Roman" w:hAnsi="Times New Roman" w:cs="Times New Roman"/>
      <w:b/>
      <w:sz w:val="32"/>
      <w:szCs w:val="24"/>
      <w:lang w:val="sk-SK"/>
    </w:rPr>
  </w:style>
  <w:style w:type="paragraph" w:customStyle="1" w:styleId="HeaderSensitivity">
    <w:name w:val="Header Sensitivity"/>
    <w:basedOn w:val="Normal"/>
    <w:link w:val="HeaderSensitivityChar"/>
    <w:rsid w:val="008B6253"/>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TOCHeadingChar"/>
    <w:link w:val="HeaderSensitivity"/>
    <w:rsid w:val="008B6253"/>
    <w:rPr>
      <w:rFonts w:ascii="Times New Roman" w:eastAsia="Times New Roman" w:hAnsi="Times New Roman" w:cs="Times New Roman"/>
      <w:b/>
      <w:sz w:val="32"/>
      <w:szCs w:val="24"/>
      <w:lang w:val="sk-SK"/>
    </w:rPr>
  </w:style>
  <w:style w:type="paragraph" w:customStyle="1" w:styleId="HeaderSensitivityRight">
    <w:name w:val="Header Sensitivity Right"/>
    <w:basedOn w:val="Normal"/>
    <w:link w:val="HeaderSensitivityRightChar"/>
    <w:rsid w:val="008B6253"/>
    <w:pPr>
      <w:spacing w:after="120" w:line="240" w:lineRule="auto"/>
      <w:jc w:val="right"/>
    </w:pPr>
    <w:rPr>
      <w:sz w:val="28"/>
    </w:rPr>
  </w:style>
  <w:style w:type="character" w:customStyle="1" w:styleId="HeaderSensitivityRightChar">
    <w:name w:val="Header Sensitivity Right Char"/>
    <w:basedOn w:val="TOCHeadingChar"/>
    <w:link w:val="HeaderSensitivityRight"/>
    <w:rsid w:val="008B6253"/>
    <w:rPr>
      <w:rFonts w:ascii="Times New Roman" w:eastAsia="Times New Roman" w:hAnsi="Times New Roman" w:cs="Times New Roman"/>
      <w:b w:val="0"/>
      <w:sz w:val="28"/>
      <w:szCs w:val="24"/>
      <w:lang w:val="sk-SK"/>
    </w:rPr>
  </w:style>
  <w:style w:type="table" w:customStyle="1" w:styleId="TableGrid11">
    <w:name w:val="Table Grid11"/>
    <w:basedOn w:val="TableNormal"/>
    <w:next w:val="TableGrid"/>
    <w:uiPriority w:val="39"/>
    <w:rsid w:val="00804E4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554AF"/>
    <w:pPr>
      <w:spacing w:after="100"/>
      <w:ind w:left="240"/>
    </w:pPr>
  </w:style>
  <w:style w:type="character" w:styleId="CommentReference">
    <w:name w:val="annotation reference"/>
    <w:basedOn w:val="DefaultParagraphFont"/>
    <w:uiPriority w:val="99"/>
    <w:semiHidden/>
    <w:unhideWhenUsed/>
    <w:rsid w:val="00D56EF0"/>
    <w:rPr>
      <w:sz w:val="16"/>
      <w:szCs w:val="16"/>
    </w:rPr>
  </w:style>
  <w:style w:type="paragraph" w:styleId="CommentText">
    <w:name w:val="annotation text"/>
    <w:basedOn w:val="Normal"/>
    <w:link w:val="CommentTextChar"/>
    <w:uiPriority w:val="99"/>
    <w:unhideWhenUsed/>
    <w:rsid w:val="00D56EF0"/>
    <w:pPr>
      <w:spacing w:line="240" w:lineRule="auto"/>
    </w:pPr>
    <w:rPr>
      <w:sz w:val="20"/>
      <w:szCs w:val="20"/>
    </w:rPr>
  </w:style>
  <w:style w:type="character" w:customStyle="1" w:styleId="CommentTextChar">
    <w:name w:val="Comment Text Char"/>
    <w:basedOn w:val="DefaultParagraphFont"/>
    <w:link w:val="CommentText"/>
    <w:uiPriority w:val="99"/>
    <w:rsid w:val="00D56EF0"/>
    <w:rPr>
      <w:rFonts w:ascii="Times New Roman" w:hAnsi="Times New Roman" w:cs="Times New Roman"/>
      <w:sz w:val="20"/>
      <w:szCs w:val="20"/>
      <w:lang w:val="sk-SK"/>
    </w:rPr>
  </w:style>
  <w:style w:type="paragraph" w:styleId="BalloonText">
    <w:name w:val="Balloon Text"/>
    <w:basedOn w:val="Normal"/>
    <w:link w:val="BalloonTextChar"/>
    <w:uiPriority w:val="99"/>
    <w:semiHidden/>
    <w:unhideWhenUsed/>
    <w:rsid w:val="00D56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EF0"/>
    <w:rPr>
      <w:rFonts w:ascii="Segoe UI" w:hAnsi="Segoe UI" w:cs="Segoe UI"/>
      <w:sz w:val="18"/>
      <w:szCs w:val="18"/>
      <w:lang w:val="sk-SK"/>
    </w:rPr>
  </w:style>
  <w:style w:type="paragraph" w:styleId="CommentSubject">
    <w:name w:val="annotation subject"/>
    <w:basedOn w:val="CommentText"/>
    <w:next w:val="CommentText"/>
    <w:link w:val="CommentSubjectChar"/>
    <w:uiPriority w:val="99"/>
    <w:semiHidden/>
    <w:unhideWhenUsed/>
    <w:rsid w:val="002B7257"/>
    <w:rPr>
      <w:b/>
      <w:bCs/>
    </w:rPr>
  </w:style>
  <w:style w:type="character" w:customStyle="1" w:styleId="CommentSubjectChar">
    <w:name w:val="Comment Subject Char"/>
    <w:basedOn w:val="CommentTextChar"/>
    <w:link w:val="CommentSubject"/>
    <w:uiPriority w:val="99"/>
    <w:semiHidden/>
    <w:rsid w:val="002B7257"/>
    <w:rPr>
      <w:rFonts w:ascii="Times New Roman" w:hAnsi="Times New Roman" w:cs="Times New Roman"/>
      <w:b/>
      <w:bCs/>
      <w:sz w:val="20"/>
      <w:szCs w:val="20"/>
      <w:lang w:val="sk-SK"/>
    </w:rPr>
  </w:style>
  <w:style w:type="paragraph" w:styleId="Revision">
    <w:name w:val="Revision"/>
    <w:hidden/>
    <w:uiPriority w:val="99"/>
    <w:semiHidden/>
    <w:rsid w:val="00E834C5"/>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BD275C"/>
    <w:rPr>
      <w:b/>
      <w:bCs/>
    </w:rPr>
  </w:style>
  <w:style w:type="character" w:customStyle="1" w:styleId="Heading2Char">
    <w:name w:val="Heading 2 Char"/>
    <w:basedOn w:val="DefaultParagraphFont"/>
    <w:link w:val="Heading2"/>
    <w:uiPriority w:val="9"/>
    <w:semiHidden/>
    <w:rsid w:val="0075167C"/>
    <w:rPr>
      <w:rFonts w:asciiTheme="majorHAnsi" w:eastAsiaTheme="majorEastAsia" w:hAnsiTheme="majorHAnsi" w:cstheme="majorBidi"/>
      <w:color w:val="2E74B5" w:themeColor="accent1" w:themeShade="BF"/>
      <w:sz w:val="26"/>
      <w:szCs w:val="26"/>
      <w:lang w:val="sk-SK"/>
    </w:rPr>
  </w:style>
  <w:style w:type="character" w:styleId="FollowedHyperlink">
    <w:name w:val="FollowedHyperlink"/>
    <w:basedOn w:val="DefaultParagraphFont"/>
    <w:uiPriority w:val="99"/>
    <w:semiHidden/>
    <w:unhideWhenUsed/>
    <w:rsid w:val="001C3C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865">
      <w:bodyDiv w:val="1"/>
      <w:marLeft w:val="0"/>
      <w:marRight w:val="0"/>
      <w:marTop w:val="0"/>
      <w:marBottom w:val="0"/>
      <w:divBdr>
        <w:top w:val="none" w:sz="0" w:space="0" w:color="auto"/>
        <w:left w:val="none" w:sz="0" w:space="0" w:color="auto"/>
        <w:bottom w:val="none" w:sz="0" w:space="0" w:color="auto"/>
        <w:right w:val="none" w:sz="0" w:space="0" w:color="auto"/>
      </w:divBdr>
    </w:div>
    <w:div w:id="34670410">
      <w:bodyDiv w:val="1"/>
      <w:marLeft w:val="0"/>
      <w:marRight w:val="0"/>
      <w:marTop w:val="0"/>
      <w:marBottom w:val="0"/>
      <w:divBdr>
        <w:top w:val="none" w:sz="0" w:space="0" w:color="auto"/>
        <w:left w:val="none" w:sz="0" w:space="0" w:color="auto"/>
        <w:bottom w:val="none" w:sz="0" w:space="0" w:color="auto"/>
        <w:right w:val="none" w:sz="0" w:space="0" w:color="auto"/>
      </w:divBdr>
    </w:div>
    <w:div w:id="84570062">
      <w:bodyDiv w:val="1"/>
      <w:marLeft w:val="0"/>
      <w:marRight w:val="0"/>
      <w:marTop w:val="0"/>
      <w:marBottom w:val="0"/>
      <w:divBdr>
        <w:top w:val="none" w:sz="0" w:space="0" w:color="auto"/>
        <w:left w:val="none" w:sz="0" w:space="0" w:color="auto"/>
        <w:bottom w:val="none" w:sz="0" w:space="0" w:color="auto"/>
        <w:right w:val="none" w:sz="0" w:space="0" w:color="auto"/>
      </w:divBdr>
    </w:div>
    <w:div w:id="115149302">
      <w:bodyDiv w:val="1"/>
      <w:marLeft w:val="0"/>
      <w:marRight w:val="0"/>
      <w:marTop w:val="0"/>
      <w:marBottom w:val="0"/>
      <w:divBdr>
        <w:top w:val="none" w:sz="0" w:space="0" w:color="auto"/>
        <w:left w:val="none" w:sz="0" w:space="0" w:color="auto"/>
        <w:bottom w:val="none" w:sz="0" w:space="0" w:color="auto"/>
        <w:right w:val="none" w:sz="0" w:space="0" w:color="auto"/>
      </w:divBdr>
    </w:div>
    <w:div w:id="204485303">
      <w:bodyDiv w:val="1"/>
      <w:marLeft w:val="0"/>
      <w:marRight w:val="0"/>
      <w:marTop w:val="0"/>
      <w:marBottom w:val="0"/>
      <w:divBdr>
        <w:top w:val="none" w:sz="0" w:space="0" w:color="auto"/>
        <w:left w:val="none" w:sz="0" w:space="0" w:color="auto"/>
        <w:bottom w:val="none" w:sz="0" w:space="0" w:color="auto"/>
        <w:right w:val="none" w:sz="0" w:space="0" w:color="auto"/>
      </w:divBdr>
    </w:div>
    <w:div w:id="210462789">
      <w:bodyDiv w:val="1"/>
      <w:marLeft w:val="0"/>
      <w:marRight w:val="0"/>
      <w:marTop w:val="0"/>
      <w:marBottom w:val="0"/>
      <w:divBdr>
        <w:top w:val="none" w:sz="0" w:space="0" w:color="auto"/>
        <w:left w:val="none" w:sz="0" w:space="0" w:color="auto"/>
        <w:bottom w:val="none" w:sz="0" w:space="0" w:color="auto"/>
        <w:right w:val="none" w:sz="0" w:space="0" w:color="auto"/>
      </w:divBdr>
    </w:div>
    <w:div w:id="226034699">
      <w:bodyDiv w:val="1"/>
      <w:marLeft w:val="0"/>
      <w:marRight w:val="0"/>
      <w:marTop w:val="0"/>
      <w:marBottom w:val="0"/>
      <w:divBdr>
        <w:top w:val="none" w:sz="0" w:space="0" w:color="auto"/>
        <w:left w:val="none" w:sz="0" w:space="0" w:color="auto"/>
        <w:bottom w:val="none" w:sz="0" w:space="0" w:color="auto"/>
        <w:right w:val="none" w:sz="0" w:space="0" w:color="auto"/>
      </w:divBdr>
    </w:div>
    <w:div w:id="238760014">
      <w:bodyDiv w:val="1"/>
      <w:marLeft w:val="0"/>
      <w:marRight w:val="0"/>
      <w:marTop w:val="0"/>
      <w:marBottom w:val="0"/>
      <w:divBdr>
        <w:top w:val="none" w:sz="0" w:space="0" w:color="auto"/>
        <w:left w:val="none" w:sz="0" w:space="0" w:color="auto"/>
        <w:bottom w:val="none" w:sz="0" w:space="0" w:color="auto"/>
        <w:right w:val="none" w:sz="0" w:space="0" w:color="auto"/>
      </w:divBdr>
    </w:div>
    <w:div w:id="265578364">
      <w:bodyDiv w:val="1"/>
      <w:marLeft w:val="0"/>
      <w:marRight w:val="0"/>
      <w:marTop w:val="0"/>
      <w:marBottom w:val="0"/>
      <w:divBdr>
        <w:top w:val="none" w:sz="0" w:space="0" w:color="auto"/>
        <w:left w:val="none" w:sz="0" w:space="0" w:color="auto"/>
        <w:bottom w:val="none" w:sz="0" w:space="0" w:color="auto"/>
        <w:right w:val="none" w:sz="0" w:space="0" w:color="auto"/>
      </w:divBdr>
    </w:div>
    <w:div w:id="279189576">
      <w:bodyDiv w:val="1"/>
      <w:marLeft w:val="0"/>
      <w:marRight w:val="0"/>
      <w:marTop w:val="0"/>
      <w:marBottom w:val="0"/>
      <w:divBdr>
        <w:top w:val="none" w:sz="0" w:space="0" w:color="auto"/>
        <w:left w:val="none" w:sz="0" w:space="0" w:color="auto"/>
        <w:bottom w:val="none" w:sz="0" w:space="0" w:color="auto"/>
        <w:right w:val="none" w:sz="0" w:space="0" w:color="auto"/>
      </w:divBdr>
    </w:div>
    <w:div w:id="284119342">
      <w:bodyDiv w:val="1"/>
      <w:marLeft w:val="0"/>
      <w:marRight w:val="0"/>
      <w:marTop w:val="0"/>
      <w:marBottom w:val="0"/>
      <w:divBdr>
        <w:top w:val="none" w:sz="0" w:space="0" w:color="auto"/>
        <w:left w:val="none" w:sz="0" w:space="0" w:color="auto"/>
        <w:bottom w:val="none" w:sz="0" w:space="0" w:color="auto"/>
        <w:right w:val="none" w:sz="0" w:space="0" w:color="auto"/>
      </w:divBdr>
    </w:div>
    <w:div w:id="295723376">
      <w:bodyDiv w:val="1"/>
      <w:marLeft w:val="0"/>
      <w:marRight w:val="0"/>
      <w:marTop w:val="0"/>
      <w:marBottom w:val="0"/>
      <w:divBdr>
        <w:top w:val="none" w:sz="0" w:space="0" w:color="auto"/>
        <w:left w:val="none" w:sz="0" w:space="0" w:color="auto"/>
        <w:bottom w:val="none" w:sz="0" w:space="0" w:color="auto"/>
        <w:right w:val="none" w:sz="0" w:space="0" w:color="auto"/>
      </w:divBdr>
    </w:div>
    <w:div w:id="297810240">
      <w:bodyDiv w:val="1"/>
      <w:marLeft w:val="0"/>
      <w:marRight w:val="0"/>
      <w:marTop w:val="0"/>
      <w:marBottom w:val="0"/>
      <w:divBdr>
        <w:top w:val="none" w:sz="0" w:space="0" w:color="auto"/>
        <w:left w:val="none" w:sz="0" w:space="0" w:color="auto"/>
        <w:bottom w:val="none" w:sz="0" w:space="0" w:color="auto"/>
        <w:right w:val="none" w:sz="0" w:space="0" w:color="auto"/>
      </w:divBdr>
    </w:div>
    <w:div w:id="303391389">
      <w:bodyDiv w:val="1"/>
      <w:marLeft w:val="0"/>
      <w:marRight w:val="0"/>
      <w:marTop w:val="0"/>
      <w:marBottom w:val="0"/>
      <w:divBdr>
        <w:top w:val="none" w:sz="0" w:space="0" w:color="auto"/>
        <w:left w:val="none" w:sz="0" w:space="0" w:color="auto"/>
        <w:bottom w:val="none" w:sz="0" w:space="0" w:color="auto"/>
        <w:right w:val="none" w:sz="0" w:space="0" w:color="auto"/>
      </w:divBdr>
    </w:div>
    <w:div w:id="321785287">
      <w:bodyDiv w:val="1"/>
      <w:marLeft w:val="0"/>
      <w:marRight w:val="0"/>
      <w:marTop w:val="0"/>
      <w:marBottom w:val="0"/>
      <w:divBdr>
        <w:top w:val="none" w:sz="0" w:space="0" w:color="auto"/>
        <w:left w:val="none" w:sz="0" w:space="0" w:color="auto"/>
        <w:bottom w:val="none" w:sz="0" w:space="0" w:color="auto"/>
        <w:right w:val="none" w:sz="0" w:space="0" w:color="auto"/>
      </w:divBdr>
    </w:div>
    <w:div w:id="340161298">
      <w:bodyDiv w:val="1"/>
      <w:marLeft w:val="0"/>
      <w:marRight w:val="0"/>
      <w:marTop w:val="0"/>
      <w:marBottom w:val="0"/>
      <w:divBdr>
        <w:top w:val="none" w:sz="0" w:space="0" w:color="auto"/>
        <w:left w:val="none" w:sz="0" w:space="0" w:color="auto"/>
        <w:bottom w:val="none" w:sz="0" w:space="0" w:color="auto"/>
        <w:right w:val="none" w:sz="0" w:space="0" w:color="auto"/>
      </w:divBdr>
    </w:div>
    <w:div w:id="351421111">
      <w:bodyDiv w:val="1"/>
      <w:marLeft w:val="0"/>
      <w:marRight w:val="0"/>
      <w:marTop w:val="0"/>
      <w:marBottom w:val="0"/>
      <w:divBdr>
        <w:top w:val="none" w:sz="0" w:space="0" w:color="auto"/>
        <w:left w:val="none" w:sz="0" w:space="0" w:color="auto"/>
        <w:bottom w:val="none" w:sz="0" w:space="0" w:color="auto"/>
        <w:right w:val="none" w:sz="0" w:space="0" w:color="auto"/>
      </w:divBdr>
    </w:div>
    <w:div w:id="364604937">
      <w:bodyDiv w:val="1"/>
      <w:marLeft w:val="0"/>
      <w:marRight w:val="0"/>
      <w:marTop w:val="0"/>
      <w:marBottom w:val="0"/>
      <w:divBdr>
        <w:top w:val="none" w:sz="0" w:space="0" w:color="auto"/>
        <w:left w:val="none" w:sz="0" w:space="0" w:color="auto"/>
        <w:bottom w:val="none" w:sz="0" w:space="0" w:color="auto"/>
        <w:right w:val="none" w:sz="0" w:space="0" w:color="auto"/>
      </w:divBdr>
    </w:div>
    <w:div w:id="393508607">
      <w:bodyDiv w:val="1"/>
      <w:marLeft w:val="0"/>
      <w:marRight w:val="0"/>
      <w:marTop w:val="0"/>
      <w:marBottom w:val="0"/>
      <w:divBdr>
        <w:top w:val="none" w:sz="0" w:space="0" w:color="auto"/>
        <w:left w:val="none" w:sz="0" w:space="0" w:color="auto"/>
        <w:bottom w:val="none" w:sz="0" w:space="0" w:color="auto"/>
        <w:right w:val="none" w:sz="0" w:space="0" w:color="auto"/>
      </w:divBdr>
    </w:div>
    <w:div w:id="405684663">
      <w:bodyDiv w:val="1"/>
      <w:marLeft w:val="0"/>
      <w:marRight w:val="0"/>
      <w:marTop w:val="0"/>
      <w:marBottom w:val="0"/>
      <w:divBdr>
        <w:top w:val="none" w:sz="0" w:space="0" w:color="auto"/>
        <w:left w:val="none" w:sz="0" w:space="0" w:color="auto"/>
        <w:bottom w:val="none" w:sz="0" w:space="0" w:color="auto"/>
        <w:right w:val="none" w:sz="0" w:space="0" w:color="auto"/>
      </w:divBdr>
    </w:div>
    <w:div w:id="442266534">
      <w:bodyDiv w:val="1"/>
      <w:marLeft w:val="0"/>
      <w:marRight w:val="0"/>
      <w:marTop w:val="0"/>
      <w:marBottom w:val="0"/>
      <w:divBdr>
        <w:top w:val="none" w:sz="0" w:space="0" w:color="auto"/>
        <w:left w:val="none" w:sz="0" w:space="0" w:color="auto"/>
        <w:bottom w:val="none" w:sz="0" w:space="0" w:color="auto"/>
        <w:right w:val="none" w:sz="0" w:space="0" w:color="auto"/>
      </w:divBdr>
    </w:div>
    <w:div w:id="483670406">
      <w:bodyDiv w:val="1"/>
      <w:marLeft w:val="0"/>
      <w:marRight w:val="0"/>
      <w:marTop w:val="0"/>
      <w:marBottom w:val="0"/>
      <w:divBdr>
        <w:top w:val="none" w:sz="0" w:space="0" w:color="auto"/>
        <w:left w:val="none" w:sz="0" w:space="0" w:color="auto"/>
        <w:bottom w:val="none" w:sz="0" w:space="0" w:color="auto"/>
        <w:right w:val="none" w:sz="0" w:space="0" w:color="auto"/>
      </w:divBdr>
    </w:div>
    <w:div w:id="595789768">
      <w:bodyDiv w:val="1"/>
      <w:marLeft w:val="0"/>
      <w:marRight w:val="0"/>
      <w:marTop w:val="0"/>
      <w:marBottom w:val="0"/>
      <w:divBdr>
        <w:top w:val="none" w:sz="0" w:space="0" w:color="auto"/>
        <w:left w:val="none" w:sz="0" w:space="0" w:color="auto"/>
        <w:bottom w:val="none" w:sz="0" w:space="0" w:color="auto"/>
        <w:right w:val="none" w:sz="0" w:space="0" w:color="auto"/>
      </w:divBdr>
    </w:div>
    <w:div w:id="596213421">
      <w:bodyDiv w:val="1"/>
      <w:marLeft w:val="0"/>
      <w:marRight w:val="0"/>
      <w:marTop w:val="0"/>
      <w:marBottom w:val="0"/>
      <w:divBdr>
        <w:top w:val="none" w:sz="0" w:space="0" w:color="auto"/>
        <w:left w:val="none" w:sz="0" w:space="0" w:color="auto"/>
        <w:bottom w:val="none" w:sz="0" w:space="0" w:color="auto"/>
        <w:right w:val="none" w:sz="0" w:space="0" w:color="auto"/>
      </w:divBdr>
    </w:div>
    <w:div w:id="608927152">
      <w:bodyDiv w:val="1"/>
      <w:marLeft w:val="0"/>
      <w:marRight w:val="0"/>
      <w:marTop w:val="0"/>
      <w:marBottom w:val="0"/>
      <w:divBdr>
        <w:top w:val="none" w:sz="0" w:space="0" w:color="auto"/>
        <w:left w:val="none" w:sz="0" w:space="0" w:color="auto"/>
        <w:bottom w:val="none" w:sz="0" w:space="0" w:color="auto"/>
        <w:right w:val="none" w:sz="0" w:space="0" w:color="auto"/>
      </w:divBdr>
    </w:div>
    <w:div w:id="652418492">
      <w:bodyDiv w:val="1"/>
      <w:marLeft w:val="0"/>
      <w:marRight w:val="0"/>
      <w:marTop w:val="0"/>
      <w:marBottom w:val="0"/>
      <w:divBdr>
        <w:top w:val="none" w:sz="0" w:space="0" w:color="auto"/>
        <w:left w:val="none" w:sz="0" w:space="0" w:color="auto"/>
        <w:bottom w:val="none" w:sz="0" w:space="0" w:color="auto"/>
        <w:right w:val="none" w:sz="0" w:space="0" w:color="auto"/>
      </w:divBdr>
    </w:div>
    <w:div w:id="663120349">
      <w:bodyDiv w:val="1"/>
      <w:marLeft w:val="0"/>
      <w:marRight w:val="0"/>
      <w:marTop w:val="0"/>
      <w:marBottom w:val="0"/>
      <w:divBdr>
        <w:top w:val="none" w:sz="0" w:space="0" w:color="auto"/>
        <w:left w:val="none" w:sz="0" w:space="0" w:color="auto"/>
        <w:bottom w:val="none" w:sz="0" w:space="0" w:color="auto"/>
        <w:right w:val="none" w:sz="0" w:space="0" w:color="auto"/>
      </w:divBdr>
    </w:div>
    <w:div w:id="666787323">
      <w:bodyDiv w:val="1"/>
      <w:marLeft w:val="0"/>
      <w:marRight w:val="0"/>
      <w:marTop w:val="0"/>
      <w:marBottom w:val="0"/>
      <w:divBdr>
        <w:top w:val="none" w:sz="0" w:space="0" w:color="auto"/>
        <w:left w:val="none" w:sz="0" w:space="0" w:color="auto"/>
        <w:bottom w:val="none" w:sz="0" w:space="0" w:color="auto"/>
        <w:right w:val="none" w:sz="0" w:space="0" w:color="auto"/>
      </w:divBdr>
    </w:div>
    <w:div w:id="709035680">
      <w:bodyDiv w:val="1"/>
      <w:marLeft w:val="0"/>
      <w:marRight w:val="0"/>
      <w:marTop w:val="0"/>
      <w:marBottom w:val="0"/>
      <w:divBdr>
        <w:top w:val="none" w:sz="0" w:space="0" w:color="auto"/>
        <w:left w:val="none" w:sz="0" w:space="0" w:color="auto"/>
        <w:bottom w:val="none" w:sz="0" w:space="0" w:color="auto"/>
        <w:right w:val="none" w:sz="0" w:space="0" w:color="auto"/>
      </w:divBdr>
    </w:div>
    <w:div w:id="722288728">
      <w:bodyDiv w:val="1"/>
      <w:marLeft w:val="0"/>
      <w:marRight w:val="0"/>
      <w:marTop w:val="0"/>
      <w:marBottom w:val="0"/>
      <w:divBdr>
        <w:top w:val="none" w:sz="0" w:space="0" w:color="auto"/>
        <w:left w:val="none" w:sz="0" w:space="0" w:color="auto"/>
        <w:bottom w:val="none" w:sz="0" w:space="0" w:color="auto"/>
        <w:right w:val="none" w:sz="0" w:space="0" w:color="auto"/>
      </w:divBdr>
    </w:div>
    <w:div w:id="774792856">
      <w:bodyDiv w:val="1"/>
      <w:marLeft w:val="0"/>
      <w:marRight w:val="0"/>
      <w:marTop w:val="0"/>
      <w:marBottom w:val="0"/>
      <w:divBdr>
        <w:top w:val="none" w:sz="0" w:space="0" w:color="auto"/>
        <w:left w:val="none" w:sz="0" w:space="0" w:color="auto"/>
        <w:bottom w:val="none" w:sz="0" w:space="0" w:color="auto"/>
        <w:right w:val="none" w:sz="0" w:space="0" w:color="auto"/>
      </w:divBdr>
    </w:div>
    <w:div w:id="875892528">
      <w:bodyDiv w:val="1"/>
      <w:marLeft w:val="0"/>
      <w:marRight w:val="0"/>
      <w:marTop w:val="0"/>
      <w:marBottom w:val="0"/>
      <w:divBdr>
        <w:top w:val="none" w:sz="0" w:space="0" w:color="auto"/>
        <w:left w:val="none" w:sz="0" w:space="0" w:color="auto"/>
        <w:bottom w:val="none" w:sz="0" w:space="0" w:color="auto"/>
        <w:right w:val="none" w:sz="0" w:space="0" w:color="auto"/>
      </w:divBdr>
    </w:div>
    <w:div w:id="998536824">
      <w:bodyDiv w:val="1"/>
      <w:marLeft w:val="0"/>
      <w:marRight w:val="0"/>
      <w:marTop w:val="0"/>
      <w:marBottom w:val="0"/>
      <w:divBdr>
        <w:top w:val="none" w:sz="0" w:space="0" w:color="auto"/>
        <w:left w:val="none" w:sz="0" w:space="0" w:color="auto"/>
        <w:bottom w:val="none" w:sz="0" w:space="0" w:color="auto"/>
        <w:right w:val="none" w:sz="0" w:space="0" w:color="auto"/>
      </w:divBdr>
    </w:div>
    <w:div w:id="1010527088">
      <w:bodyDiv w:val="1"/>
      <w:marLeft w:val="0"/>
      <w:marRight w:val="0"/>
      <w:marTop w:val="0"/>
      <w:marBottom w:val="0"/>
      <w:divBdr>
        <w:top w:val="none" w:sz="0" w:space="0" w:color="auto"/>
        <w:left w:val="none" w:sz="0" w:space="0" w:color="auto"/>
        <w:bottom w:val="none" w:sz="0" w:space="0" w:color="auto"/>
        <w:right w:val="none" w:sz="0" w:space="0" w:color="auto"/>
      </w:divBdr>
    </w:div>
    <w:div w:id="1012679696">
      <w:bodyDiv w:val="1"/>
      <w:marLeft w:val="0"/>
      <w:marRight w:val="0"/>
      <w:marTop w:val="0"/>
      <w:marBottom w:val="0"/>
      <w:divBdr>
        <w:top w:val="none" w:sz="0" w:space="0" w:color="auto"/>
        <w:left w:val="none" w:sz="0" w:space="0" w:color="auto"/>
        <w:bottom w:val="none" w:sz="0" w:space="0" w:color="auto"/>
        <w:right w:val="none" w:sz="0" w:space="0" w:color="auto"/>
      </w:divBdr>
    </w:div>
    <w:div w:id="1045788780">
      <w:bodyDiv w:val="1"/>
      <w:marLeft w:val="0"/>
      <w:marRight w:val="0"/>
      <w:marTop w:val="0"/>
      <w:marBottom w:val="0"/>
      <w:divBdr>
        <w:top w:val="none" w:sz="0" w:space="0" w:color="auto"/>
        <w:left w:val="none" w:sz="0" w:space="0" w:color="auto"/>
        <w:bottom w:val="none" w:sz="0" w:space="0" w:color="auto"/>
        <w:right w:val="none" w:sz="0" w:space="0" w:color="auto"/>
      </w:divBdr>
    </w:div>
    <w:div w:id="1126892997">
      <w:bodyDiv w:val="1"/>
      <w:marLeft w:val="0"/>
      <w:marRight w:val="0"/>
      <w:marTop w:val="0"/>
      <w:marBottom w:val="0"/>
      <w:divBdr>
        <w:top w:val="none" w:sz="0" w:space="0" w:color="auto"/>
        <w:left w:val="none" w:sz="0" w:space="0" w:color="auto"/>
        <w:bottom w:val="none" w:sz="0" w:space="0" w:color="auto"/>
        <w:right w:val="none" w:sz="0" w:space="0" w:color="auto"/>
      </w:divBdr>
    </w:div>
    <w:div w:id="1129395399">
      <w:bodyDiv w:val="1"/>
      <w:marLeft w:val="0"/>
      <w:marRight w:val="0"/>
      <w:marTop w:val="0"/>
      <w:marBottom w:val="0"/>
      <w:divBdr>
        <w:top w:val="none" w:sz="0" w:space="0" w:color="auto"/>
        <w:left w:val="none" w:sz="0" w:space="0" w:color="auto"/>
        <w:bottom w:val="none" w:sz="0" w:space="0" w:color="auto"/>
        <w:right w:val="none" w:sz="0" w:space="0" w:color="auto"/>
      </w:divBdr>
    </w:div>
    <w:div w:id="1156337307">
      <w:bodyDiv w:val="1"/>
      <w:marLeft w:val="0"/>
      <w:marRight w:val="0"/>
      <w:marTop w:val="0"/>
      <w:marBottom w:val="0"/>
      <w:divBdr>
        <w:top w:val="none" w:sz="0" w:space="0" w:color="auto"/>
        <w:left w:val="none" w:sz="0" w:space="0" w:color="auto"/>
        <w:bottom w:val="none" w:sz="0" w:space="0" w:color="auto"/>
        <w:right w:val="none" w:sz="0" w:space="0" w:color="auto"/>
      </w:divBdr>
    </w:div>
    <w:div w:id="1228145319">
      <w:bodyDiv w:val="1"/>
      <w:marLeft w:val="0"/>
      <w:marRight w:val="0"/>
      <w:marTop w:val="0"/>
      <w:marBottom w:val="0"/>
      <w:divBdr>
        <w:top w:val="none" w:sz="0" w:space="0" w:color="auto"/>
        <w:left w:val="none" w:sz="0" w:space="0" w:color="auto"/>
        <w:bottom w:val="none" w:sz="0" w:space="0" w:color="auto"/>
        <w:right w:val="none" w:sz="0" w:space="0" w:color="auto"/>
      </w:divBdr>
    </w:div>
    <w:div w:id="1287276350">
      <w:bodyDiv w:val="1"/>
      <w:marLeft w:val="0"/>
      <w:marRight w:val="0"/>
      <w:marTop w:val="0"/>
      <w:marBottom w:val="0"/>
      <w:divBdr>
        <w:top w:val="none" w:sz="0" w:space="0" w:color="auto"/>
        <w:left w:val="none" w:sz="0" w:space="0" w:color="auto"/>
        <w:bottom w:val="none" w:sz="0" w:space="0" w:color="auto"/>
        <w:right w:val="none" w:sz="0" w:space="0" w:color="auto"/>
      </w:divBdr>
    </w:div>
    <w:div w:id="1288388856">
      <w:bodyDiv w:val="1"/>
      <w:marLeft w:val="0"/>
      <w:marRight w:val="0"/>
      <w:marTop w:val="0"/>
      <w:marBottom w:val="0"/>
      <w:divBdr>
        <w:top w:val="none" w:sz="0" w:space="0" w:color="auto"/>
        <w:left w:val="none" w:sz="0" w:space="0" w:color="auto"/>
        <w:bottom w:val="none" w:sz="0" w:space="0" w:color="auto"/>
        <w:right w:val="none" w:sz="0" w:space="0" w:color="auto"/>
      </w:divBdr>
    </w:div>
    <w:div w:id="1318191764">
      <w:bodyDiv w:val="1"/>
      <w:marLeft w:val="0"/>
      <w:marRight w:val="0"/>
      <w:marTop w:val="0"/>
      <w:marBottom w:val="0"/>
      <w:divBdr>
        <w:top w:val="none" w:sz="0" w:space="0" w:color="auto"/>
        <w:left w:val="none" w:sz="0" w:space="0" w:color="auto"/>
        <w:bottom w:val="none" w:sz="0" w:space="0" w:color="auto"/>
        <w:right w:val="none" w:sz="0" w:space="0" w:color="auto"/>
      </w:divBdr>
    </w:div>
    <w:div w:id="1394163210">
      <w:bodyDiv w:val="1"/>
      <w:marLeft w:val="0"/>
      <w:marRight w:val="0"/>
      <w:marTop w:val="0"/>
      <w:marBottom w:val="0"/>
      <w:divBdr>
        <w:top w:val="none" w:sz="0" w:space="0" w:color="auto"/>
        <w:left w:val="none" w:sz="0" w:space="0" w:color="auto"/>
        <w:bottom w:val="none" w:sz="0" w:space="0" w:color="auto"/>
        <w:right w:val="none" w:sz="0" w:space="0" w:color="auto"/>
      </w:divBdr>
    </w:div>
    <w:div w:id="1417903898">
      <w:bodyDiv w:val="1"/>
      <w:marLeft w:val="0"/>
      <w:marRight w:val="0"/>
      <w:marTop w:val="0"/>
      <w:marBottom w:val="0"/>
      <w:divBdr>
        <w:top w:val="none" w:sz="0" w:space="0" w:color="auto"/>
        <w:left w:val="none" w:sz="0" w:space="0" w:color="auto"/>
        <w:bottom w:val="none" w:sz="0" w:space="0" w:color="auto"/>
        <w:right w:val="none" w:sz="0" w:space="0" w:color="auto"/>
      </w:divBdr>
    </w:div>
    <w:div w:id="1450775992">
      <w:bodyDiv w:val="1"/>
      <w:marLeft w:val="0"/>
      <w:marRight w:val="0"/>
      <w:marTop w:val="0"/>
      <w:marBottom w:val="0"/>
      <w:divBdr>
        <w:top w:val="none" w:sz="0" w:space="0" w:color="auto"/>
        <w:left w:val="none" w:sz="0" w:space="0" w:color="auto"/>
        <w:bottom w:val="none" w:sz="0" w:space="0" w:color="auto"/>
        <w:right w:val="none" w:sz="0" w:space="0" w:color="auto"/>
      </w:divBdr>
    </w:div>
    <w:div w:id="1474521589">
      <w:bodyDiv w:val="1"/>
      <w:marLeft w:val="0"/>
      <w:marRight w:val="0"/>
      <w:marTop w:val="0"/>
      <w:marBottom w:val="0"/>
      <w:divBdr>
        <w:top w:val="none" w:sz="0" w:space="0" w:color="auto"/>
        <w:left w:val="none" w:sz="0" w:space="0" w:color="auto"/>
        <w:bottom w:val="none" w:sz="0" w:space="0" w:color="auto"/>
        <w:right w:val="none" w:sz="0" w:space="0" w:color="auto"/>
      </w:divBdr>
    </w:div>
    <w:div w:id="1569226456">
      <w:bodyDiv w:val="1"/>
      <w:marLeft w:val="0"/>
      <w:marRight w:val="0"/>
      <w:marTop w:val="0"/>
      <w:marBottom w:val="0"/>
      <w:divBdr>
        <w:top w:val="none" w:sz="0" w:space="0" w:color="auto"/>
        <w:left w:val="none" w:sz="0" w:space="0" w:color="auto"/>
        <w:bottom w:val="none" w:sz="0" w:space="0" w:color="auto"/>
        <w:right w:val="none" w:sz="0" w:space="0" w:color="auto"/>
      </w:divBdr>
    </w:div>
    <w:div w:id="1614945569">
      <w:bodyDiv w:val="1"/>
      <w:marLeft w:val="0"/>
      <w:marRight w:val="0"/>
      <w:marTop w:val="0"/>
      <w:marBottom w:val="0"/>
      <w:divBdr>
        <w:top w:val="none" w:sz="0" w:space="0" w:color="auto"/>
        <w:left w:val="none" w:sz="0" w:space="0" w:color="auto"/>
        <w:bottom w:val="none" w:sz="0" w:space="0" w:color="auto"/>
        <w:right w:val="none" w:sz="0" w:space="0" w:color="auto"/>
      </w:divBdr>
    </w:div>
    <w:div w:id="1638023686">
      <w:bodyDiv w:val="1"/>
      <w:marLeft w:val="0"/>
      <w:marRight w:val="0"/>
      <w:marTop w:val="0"/>
      <w:marBottom w:val="0"/>
      <w:divBdr>
        <w:top w:val="none" w:sz="0" w:space="0" w:color="auto"/>
        <w:left w:val="none" w:sz="0" w:space="0" w:color="auto"/>
        <w:bottom w:val="none" w:sz="0" w:space="0" w:color="auto"/>
        <w:right w:val="none" w:sz="0" w:space="0" w:color="auto"/>
      </w:divBdr>
    </w:div>
    <w:div w:id="1660497559">
      <w:bodyDiv w:val="1"/>
      <w:marLeft w:val="0"/>
      <w:marRight w:val="0"/>
      <w:marTop w:val="0"/>
      <w:marBottom w:val="0"/>
      <w:divBdr>
        <w:top w:val="none" w:sz="0" w:space="0" w:color="auto"/>
        <w:left w:val="none" w:sz="0" w:space="0" w:color="auto"/>
        <w:bottom w:val="none" w:sz="0" w:space="0" w:color="auto"/>
        <w:right w:val="none" w:sz="0" w:space="0" w:color="auto"/>
      </w:divBdr>
    </w:div>
    <w:div w:id="1660814679">
      <w:bodyDiv w:val="1"/>
      <w:marLeft w:val="0"/>
      <w:marRight w:val="0"/>
      <w:marTop w:val="0"/>
      <w:marBottom w:val="0"/>
      <w:divBdr>
        <w:top w:val="none" w:sz="0" w:space="0" w:color="auto"/>
        <w:left w:val="none" w:sz="0" w:space="0" w:color="auto"/>
        <w:bottom w:val="none" w:sz="0" w:space="0" w:color="auto"/>
        <w:right w:val="none" w:sz="0" w:space="0" w:color="auto"/>
      </w:divBdr>
    </w:div>
    <w:div w:id="1675500195">
      <w:bodyDiv w:val="1"/>
      <w:marLeft w:val="0"/>
      <w:marRight w:val="0"/>
      <w:marTop w:val="0"/>
      <w:marBottom w:val="0"/>
      <w:divBdr>
        <w:top w:val="none" w:sz="0" w:space="0" w:color="auto"/>
        <w:left w:val="none" w:sz="0" w:space="0" w:color="auto"/>
        <w:bottom w:val="none" w:sz="0" w:space="0" w:color="auto"/>
        <w:right w:val="none" w:sz="0" w:space="0" w:color="auto"/>
      </w:divBdr>
    </w:div>
    <w:div w:id="1688209580">
      <w:bodyDiv w:val="1"/>
      <w:marLeft w:val="0"/>
      <w:marRight w:val="0"/>
      <w:marTop w:val="0"/>
      <w:marBottom w:val="0"/>
      <w:divBdr>
        <w:top w:val="none" w:sz="0" w:space="0" w:color="auto"/>
        <w:left w:val="none" w:sz="0" w:space="0" w:color="auto"/>
        <w:bottom w:val="none" w:sz="0" w:space="0" w:color="auto"/>
        <w:right w:val="none" w:sz="0" w:space="0" w:color="auto"/>
      </w:divBdr>
    </w:div>
    <w:div w:id="1706326875">
      <w:bodyDiv w:val="1"/>
      <w:marLeft w:val="0"/>
      <w:marRight w:val="0"/>
      <w:marTop w:val="0"/>
      <w:marBottom w:val="0"/>
      <w:divBdr>
        <w:top w:val="none" w:sz="0" w:space="0" w:color="auto"/>
        <w:left w:val="none" w:sz="0" w:space="0" w:color="auto"/>
        <w:bottom w:val="none" w:sz="0" w:space="0" w:color="auto"/>
        <w:right w:val="none" w:sz="0" w:space="0" w:color="auto"/>
      </w:divBdr>
    </w:div>
    <w:div w:id="1709911429">
      <w:bodyDiv w:val="1"/>
      <w:marLeft w:val="0"/>
      <w:marRight w:val="0"/>
      <w:marTop w:val="0"/>
      <w:marBottom w:val="0"/>
      <w:divBdr>
        <w:top w:val="none" w:sz="0" w:space="0" w:color="auto"/>
        <w:left w:val="none" w:sz="0" w:space="0" w:color="auto"/>
        <w:bottom w:val="none" w:sz="0" w:space="0" w:color="auto"/>
        <w:right w:val="none" w:sz="0" w:space="0" w:color="auto"/>
      </w:divBdr>
    </w:div>
    <w:div w:id="1714383707">
      <w:bodyDiv w:val="1"/>
      <w:marLeft w:val="0"/>
      <w:marRight w:val="0"/>
      <w:marTop w:val="0"/>
      <w:marBottom w:val="0"/>
      <w:divBdr>
        <w:top w:val="none" w:sz="0" w:space="0" w:color="auto"/>
        <w:left w:val="none" w:sz="0" w:space="0" w:color="auto"/>
        <w:bottom w:val="none" w:sz="0" w:space="0" w:color="auto"/>
        <w:right w:val="none" w:sz="0" w:space="0" w:color="auto"/>
      </w:divBdr>
    </w:div>
    <w:div w:id="1723677598">
      <w:bodyDiv w:val="1"/>
      <w:marLeft w:val="0"/>
      <w:marRight w:val="0"/>
      <w:marTop w:val="0"/>
      <w:marBottom w:val="0"/>
      <w:divBdr>
        <w:top w:val="none" w:sz="0" w:space="0" w:color="auto"/>
        <w:left w:val="none" w:sz="0" w:space="0" w:color="auto"/>
        <w:bottom w:val="none" w:sz="0" w:space="0" w:color="auto"/>
        <w:right w:val="none" w:sz="0" w:space="0" w:color="auto"/>
      </w:divBdr>
    </w:div>
    <w:div w:id="1762096944">
      <w:bodyDiv w:val="1"/>
      <w:marLeft w:val="0"/>
      <w:marRight w:val="0"/>
      <w:marTop w:val="0"/>
      <w:marBottom w:val="0"/>
      <w:divBdr>
        <w:top w:val="none" w:sz="0" w:space="0" w:color="auto"/>
        <w:left w:val="none" w:sz="0" w:space="0" w:color="auto"/>
        <w:bottom w:val="none" w:sz="0" w:space="0" w:color="auto"/>
        <w:right w:val="none" w:sz="0" w:space="0" w:color="auto"/>
      </w:divBdr>
    </w:div>
    <w:div w:id="1765687436">
      <w:bodyDiv w:val="1"/>
      <w:marLeft w:val="0"/>
      <w:marRight w:val="0"/>
      <w:marTop w:val="0"/>
      <w:marBottom w:val="0"/>
      <w:divBdr>
        <w:top w:val="none" w:sz="0" w:space="0" w:color="auto"/>
        <w:left w:val="none" w:sz="0" w:space="0" w:color="auto"/>
        <w:bottom w:val="none" w:sz="0" w:space="0" w:color="auto"/>
        <w:right w:val="none" w:sz="0" w:space="0" w:color="auto"/>
      </w:divBdr>
    </w:div>
    <w:div w:id="1775784287">
      <w:bodyDiv w:val="1"/>
      <w:marLeft w:val="0"/>
      <w:marRight w:val="0"/>
      <w:marTop w:val="0"/>
      <w:marBottom w:val="0"/>
      <w:divBdr>
        <w:top w:val="none" w:sz="0" w:space="0" w:color="auto"/>
        <w:left w:val="none" w:sz="0" w:space="0" w:color="auto"/>
        <w:bottom w:val="none" w:sz="0" w:space="0" w:color="auto"/>
        <w:right w:val="none" w:sz="0" w:space="0" w:color="auto"/>
      </w:divBdr>
    </w:div>
    <w:div w:id="1798600179">
      <w:bodyDiv w:val="1"/>
      <w:marLeft w:val="0"/>
      <w:marRight w:val="0"/>
      <w:marTop w:val="0"/>
      <w:marBottom w:val="0"/>
      <w:divBdr>
        <w:top w:val="none" w:sz="0" w:space="0" w:color="auto"/>
        <w:left w:val="none" w:sz="0" w:space="0" w:color="auto"/>
        <w:bottom w:val="none" w:sz="0" w:space="0" w:color="auto"/>
        <w:right w:val="none" w:sz="0" w:space="0" w:color="auto"/>
      </w:divBdr>
    </w:div>
    <w:div w:id="1839616128">
      <w:bodyDiv w:val="1"/>
      <w:marLeft w:val="0"/>
      <w:marRight w:val="0"/>
      <w:marTop w:val="0"/>
      <w:marBottom w:val="0"/>
      <w:divBdr>
        <w:top w:val="none" w:sz="0" w:space="0" w:color="auto"/>
        <w:left w:val="none" w:sz="0" w:space="0" w:color="auto"/>
        <w:bottom w:val="none" w:sz="0" w:space="0" w:color="auto"/>
        <w:right w:val="none" w:sz="0" w:space="0" w:color="auto"/>
      </w:divBdr>
    </w:div>
    <w:div w:id="1840806679">
      <w:bodyDiv w:val="1"/>
      <w:marLeft w:val="0"/>
      <w:marRight w:val="0"/>
      <w:marTop w:val="0"/>
      <w:marBottom w:val="0"/>
      <w:divBdr>
        <w:top w:val="none" w:sz="0" w:space="0" w:color="auto"/>
        <w:left w:val="none" w:sz="0" w:space="0" w:color="auto"/>
        <w:bottom w:val="none" w:sz="0" w:space="0" w:color="auto"/>
        <w:right w:val="none" w:sz="0" w:space="0" w:color="auto"/>
      </w:divBdr>
    </w:div>
    <w:div w:id="1842045491">
      <w:bodyDiv w:val="1"/>
      <w:marLeft w:val="0"/>
      <w:marRight w:val="0"/>
      <w:marTop w:val="0"/>
      <w:marBottom w:val="0"/>
      <w:divBdr>
        <w:top w:val="none" w:sz="0" w:space="0" w:color="auto"/>
        <w:left w:val="none" w:sz="0" w:space="0" w:color="auto"/>
        <w:bottom w:val="none" w:sz="0" w:space="0" w:color="auto"/>
        <w:right w:val="none" w:sz="0" w:space="0" w:color="auto"/>
      </w:divBdr>
    </w:div>
    <w:div w:id="1861240334">
      <w:bodyDiv w:val="1"/>
      <w:marLeft w:val="0"/>
      <w:marRight w:val="0"/>
      <w:marTop w:val="0"/>
      <w:marBottom w:val="0"/>
      <w:divBdr>
        <w:top w:val="none" w:sz="0" w:space="0" w:color="auto"/>
        <w:left w:val="none" w:sz="0" w:space="0" w:color="auto"/>
        <w:bottom w:val="none" w:sz="0" w:space="0" w:color="auto"/>
        <w:right w:val="none" w:sz="0" w:space="0" w:color="auto"/>
      </w:divBdr>
    </w:div>
    <w:div w:id="1894197801">
      <w:bodyDiv w:val="1"/>
      <w:marLeft w:val="0"/>
      <w:marRight w:val="0"/>
      <w:marTop w:val="0"/>
      <w:marBottom w:val="0"/>
      <w:divBdr>
        <w:top w:val="none" w:sz="0" w:space="0" w:color="auto"/>
        <w:left w:val="none" w:sz="0" w:space="0" w:color="auto"/>
        <w:bottom w:val="none" w:sz="0" w:space="0" w:color="auto"/>
        <w:right w:val="none" w:sz="0" w:space="0" w:color="auto"/>
      </w:divBdr>
    </w:div>
    <w:div w:id="1908613594">
      <w:bodyDiv w:val="1"/>
      <w:marLeft w:val="0"/>
      <w:marRight w:val="0"/>
      <w:marTop w:val="0"/>
      <w:marBottom w:val="0"/>
      <w:divBdr>
        <w:top w:val="none" w:sz="0" w:space="0" w:color="auto"/>
        <w:left w:val="none" w:sz="0" w:space="0" w:color="auto"/>
        <w:bottom w:val="none" w:sz="0" w:space="0" w:color="auto"/>
        <w:right w:val="none" w:sz="0" w:space="0" w:color="auto"/>
      </w:divBdr>
    </w:div>
    <w:div w:id="1937863252">
      <w:bodyDiv w:val="1"/>
      <w:marLeft w:val="0"/>
      <w:marRight w:val="0"/>
      <w:marTop w:val="0"/>
      <w:marBottom w:val="0"/>
      <w:divBdr>
        <w:top w:val="none" w:sz="0" w:space="0" w:color="auto"/>
        <w:left w:val="none" w:sz="0" w:space="0" w:color="auto"/>
        <w:bottom w:val="none" w:sz="0" w:space="0" w:color="auto"/>
        <w:right w:val="none" w:sz="0" w:space="0" w:color="auto"/>
      </w:divBdr>
    </w:div>
    <w:div w:id="2024090852">
      <w:bodyDiv w:val="1"/>
      <w:marLeft w:val="0"/>
      <w:marRight w:val="0"/>
      <w:marTop w:val="0"/>
      <w:marBottom w:val="0"/>
      <w:divBdr>
        <w:top w:val="none" w:sz="0" w:space="0" w:color="auto"/>
        <w:left w:val="none" w:sz="0" w:space="0" w:color="auto"/>
        <w:bottom w:val="none" w:sz="0" w:space="0" w:color="auto"/>
        <w:right w:val="none" w:sz="0" w:space="0" w:color="auto"/>
      </w:divBdr>
    </w:div>
    <w:div w:id="2034918745">
      <w:bodyDiv w:val="1"/>
      <w:marLeft w:val="0"/>
      <w:marRight w:val="0"/>
      <w:marTop w:val="0"/>
      <w:marBottom w:val="0"/>
      <w:divBdr>
        <w:top w:val="none" w:sz="0" w:space="0" w:color="auto"/>
        <w:left w:val="none" w:sz="0" w:space="0" w:color="auto"/>
        <w:bottom w:val="none" w:sz="0" w:space="0" w:color="auto"/>
        <w:right w:val="none" w:sz="0" w:space="0" w:color="auto"/>
      </w:divBdr>
    </w:div>
    <w:div w:id="2045592944">
      <w:bodyDiv w:val="1"/>
      <w:marLeft w:val="0"/>
      <w:marRight w:val="0"/>
      <w:marTop w:val="0"/>
      <w:marBottom w:val="0"/>
      <w:divBdr>
        <w:top w:val="none" w:sz="0" w:space="0" w:color="auto"/>
        <w:left w:val="none" w:sz="0" w:space="0" w:color="auto"/>
        <w:bottom w:val="none" w:sz="0" w:space="0" w:color="auto"/>
        <w:right w:val="none" w:sz="0" w:space="0" w:color="auto"/>
      </w:divBdr>
    </w:div>
    <w:div w:id="2065176386">
      <w:bodyDiv w:val="1"/>
      <w:marLeft w:val="0"/>
      <w:marRight w:val="0"/>
      <w:marTop w:val="0"/>
      <w:marBottom w:val="0"/>
      <w:divBdr>
        <w:top w:val="none" w:sz="0" w:space="0" w:color="auto"/>
        <w:left w:val="none" w:sz="0" w:space="0" w:color="auto"/>
        <w:bottom w:val="none" w:sz="0" w:space="0" w:color="auto"/>
        <w:right w:val="none" w:sz="0" w:space="0" w:color="auto"/>
      </w:divBdr>
    </w:div>
    <w:div w:id="2086297183">
      <w:bodyDiv w:val="1"/>
      <w:marLeft w:val="0"/>
      <w:marRight w:val="0"/>
      <w:marTop w:val="0"/>
      <w:marBottom w:val="0"/>
      <w:divBdr>
        <w:top w:val="none" w:sz="0" w:space="0" w:color="auto"/>
        <w:left w:val="none" w:sz="0" w:space="0" w:color="auto"/>
        <w:bottom w:val="none" w:sz="0" w:space="0" w:color="auto"/>
        <w:right w:val="none" w:sz="0" w:space="0" w:color="auto"/>
      </w:divBdr>
    </w:div>
    <w:div w:id="2090495717">
      <w:bodyDiv w:val="1"/>
      <w:marLeft w:val="0"/>
      <w:marRight w:val="0"/>
      <w:marTop w:val="0"/>
      <w:marBottom w:val="0"/>
      <w:divBdr>
        <w:top w:val="none" w:sz="0" w:space="0" w:color="auto"/>
        <w:left w:val="none" w:sz="0" w:space="0" w:color="auto"/>
        <w:bottom w:val="none" w:sz="0" w:space="0" w:color="auto"/>
        <w:right w:val="none" w:sz="0" w:space="0" w:color="auto"/>
      </w:divBdr>
    </w:div>
    <w:div w:id="2107459495">
      <w:bodyDiv w:val="1"/>
      <w:marLeft w:val="0"/>
      <w:marRight w:val="0"/>
      <w:marTop w:val="0"/>
      <w:marBottom w:val="0"/>
      <w:divBdr>
        <w:top w:val="none" w:sz="0" w:space="0" w:color="auto"/>
        <w:left w:val="none" w:sz="0" w:space="0" w:color="auto"/>
        <w:bottom w:val="none" w:sz="0" w:space="0" w:color="auto"/>
        <w:right w:val="none" w:sz="0" w:space="0" w:color="auto"/>
      </w:divBdr>
    </w:div>
    <w:div w:id="2110422544">
      <w:bodyDiv w:val="1"/>
      <w:marLeft w:val="0"/>
      <w:marRight w:val="0"/>
      <w:marTop w:val="0"/>
      <w:marBottom w:val="0"/>
      <w:divBdr>
        <w:top w:val="none" w:sz="0" w:space="0" w:color="auto"/>
        <w:left w:val="none" w:sz="0" w:space="0" w:color="auto"/>
        <w:bottom w:val="none" w:sz="0" w:space="0" w:color="auto"/>
        <w:right w:val="none" w:sz="0" w:space="0" w:color="auto"/>
      </w:divBdr>
    </w:div>
    <w:div w:id="2124568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cmsdata/270275/Claeys%20McCaffrey%20Welslau%20EU%20Borrowing%20Costs.pdf" TargetMode="External"/><Relationship Id="rId2" Type="http://schemas.openxmlformats.org/officeDocument/2006/relationships/hyperlink" Target="https://www.europarl.europa.eu/cmsdata/270275/Claeys%20McCaffrey%20Welslau%20EU%20Borrowing%20Costs.pdf" TargetMode="External"/><Relationship Id="rId1" Type="http://schemas.openxmlformats.org/officeDocument/2006/relationships/hyperlink" Target="https://commission.europa.eu/strategy-and-policy/eu-budget/long-term-eu-budget/2021-2027/documents_en" TargetMode="External"/><Relationship Id="rId6" Type="http://schemas.openxmlformats.org/officeDocument/2006/relationships/hyperlink" Target="https://commission.europa.eu/strategy-and-policy/eu-budget/eu-borrower-investor-relations/nextgenerationeu-green-bonds/dashboard_en" TargetMode="External"/><Relationship Id="rId5" Type="http://schemas.openxmlformats.org/officeDocument/2006/relationships/hyperlink" Target="https://commission.europa.eu/system/files/2022-12/C_2022_9702_F1_COMMISSION_IMPLEMENTING_DECISION_EN_V7_P1_2416109.PDF" TargetMode="External"/><Relationship Id="rId4" Type="http://schemas.openxmlformats.org/officeDocument/2006/relationships/hyperlink" Target="https://commission.europa.eu/system/files/2022-01/high_level_risk_and_compliance_policy_hlrcp_formatted.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007022637408913E-2"/>
          <c:y val="9.1301056489405313E-2"/>
          <c:w val="0.89085656878952968"/>
          <c:h val="0.63725673061044186"/>
        </c:manualLayout>
      </c:layout>
      <c:barChart>
        <c:barDir val="col"/>
        <c:grouping val="clustered"/>
        <c:varyColors val="0"/>
        <c:ser>
          <c:idx val="0"/>
          <c:order val="0"/>
          <c:tx>
            <c:strRef>
              <c:f>turnover!$AA$4</c:f>
              <c:strCache>
                <c:ptCount val="1"/>
                <c:pt idx="0">
                  <c:v>EU market</c:v>
                </c:pt>
              </c:strCache>
            </c:strRef>
          </c:tx>
          <c:spPr>
            <a:solidFill>
              <a:schemeClr val="tx2"/>
            </a:solidFill>
            <a:ln>
              <a:noFill/>
            </a:ln>
            <a:effectLst/>
          </c:spPr>
          <c:invertIfNegative val="0"/>
          <c:cat>
            <c:multiLvlStrRef>
              <c:f>turnover!$A$21:$B$33</c:f>
              <c:multiLvlStrCache>
                <c:ptCount val="13"/>
                <c:lvl>
                  <c:pt idx="0">
                    <c:v>1</c:v>
                  </c:pt>
                  <c:pt idx="1">
                    <c:v>2</c:v>
                  </c:pt>
                  <c:pt idx="2">
                    <c:v>3</c:v>
                  </c:pt>
                  <c:pt idx="3">
                    <c:v>4</c:v>
                  </c:pt>
                  <c:pt idx="4">
                    <c:v>1</c:v>
                  </c:pt>
                  <c:pt idx="5">
                    <c:v>2</c:v>
                  </c:pt>
                  <c:pt idx="6">
                    <c:v>3</c:v>
                  </c:pt>
                  <c:pt idx="7">
                    <c:v>4</c:v>
                  </c:pt>
                  <c:pt idx="8">
                    <c:v>1</c:v>
                  </c:pt>
                  <c:pt idx="9">
                    <c:v>2</c:v>
                  </c:pt>
                  <c:pt idx="10">
                    <c:v>3</c:v>
                  </c:pt>
                  <c:pt idx="11">
                    <c:v>4</c:v>
                  </c:pt>
                  <c:pt idx="12">
                    <c:v>1</c:v>
                  </c:pt>
                </c:lvl>
                <c:lvl>
                  <c:pt idx="0">
                    <c:v>2020</c:v>
                  </c:pt>
                  <c:pt idx="4">
                    <c:v>2021</c:v>
                  </c:pt>
                  <c:pt idx="8">
                    <c:v>2022</c:v>
                  </c:pt>
                  <c:pt idx="12">
                    <c:v>2023</c:v>
                  </c:pt>
                </c:lvl>
              </c:multiLvlStrCache>
            </c:multiLvlStrRef>
          </c:cat>
          <c:val>
            <c:numRef>
              <c:f>turnover!$AA$21:$AA$33</c:f>
              <c:numCache>
                <c:formatCode>0%</c:formatCode>
                <c:ptCount val="13"/>
                <c:pt idx="0">
                  <c:v>2.897861228867351E-2</c:v>
                </c:pt>
                <c:pt idx="1">
                  <c:v>5.9288336573263892E-2</c:v>
                </c:pt>
                <c:pt idx="2">
                  <c:v>4.2181617421884372E-2</c:v>
                </c:pt>
                <c:pt idx="3">
                  <c:v>0.60100667431184907</c:v>
                </c:pt>
                <c:pt idx="4">
                  <c:v>0.56188286903496409</c:v>
                </c:pt>
                <c:pt idx="5">
                  <c:v>0.4305215756953702</c:v>
                </c:pt>
                <c:pt idx="6">
                  <c:v>0.61899459819118208</c:v>
                </c:pt>
                <c:pt idx="7">
                  <c:v>0.45106382978723403</c:v>
                </c:pt>
                <c:pt idx="8">
                  <c:v>0.52734215205658475</c:v>
                </c:pt>
                <c:pt idx="9">
                  <c:v>0.44708706680695853</c:v>
                </c:pt>
                <c:pt idx="10">
                  <c:v>0.40132058854668218</c:v>
                </c:pt>
                <c:pt idx="11">
                  <c:v>0.39621891973117379</c:v>
                </c:pt>
                <c:pt idx="12">
                  <c:v>0.65656462922102543</c:v>
                </c:pt>
              </c:numCache>
            </c:numRef>
          </c:val>
          <c:extLst>
            <c:ext xmlns:c16="http://schemas.microsoft.com/office/drawing/2014/chart" uri="{C3380CC4-5D6E-409C-BE32-E72D297353CC}">
              <c16:uniqueId val="{00000000-F2C0-42BF-8416-ECFCC384B8E3}"/>
            </c:ext>
          </c:extLst>
        </c:ser>
        <c:dLbls>
          <c:showLegendKey val="0"/>
          <c:showVal val="0"/>
          <c:showCatName val="0"/>
          <c:showSerName val="0"/>
          <c:showPercent val="0"/>
          <c:showBubbleSize val="0"/>
        </c:dLbls>
        <c:gapWidth val="219"/>
        <c:overlap val="-27"/>
        <c:axId val="900413560"/>
        <c:axId val="903797920"/>
      </c:barChart>
      <c:lineChart>
        <c:grouping val="standard"/>
        <c:varyColors val="0"/>
        <c:ser>
          <c:idx val="2"/>
          <c:order val="1"/>
          <c:tx>
            <c:strRef>
              <c:f>turnover!$AC$4</c:f>
              <c:strCache>
                <c:ptCount val="1"/>
                <c:pt idx="0">
                  <c:v>EGB market* (average 2020-2022)</c:v>
                </c:pt>
              </c:strCache>
            </c:strRef>
          </c:tx>
          <c:spPr>
            <a:ln w="38100" cap="rnd">
              <a:solidFill>
                <a:srgbClr val="FFC000"/>
              </a:solidFill>
              <a:round/>
            </a:ln>
            <a:effectLst/>
          </c:spPr>
          <c:marker>
            <c:symbol val="none"/>
          </c:marker>
          <c:cat>
            <c:multiLvlStrRef>
              <c:f>turnover!$A$24:$B$32</c:f>
              <c:multiLvlStrCache>
                <c:ptCount val="9"/>
                <c:lvl>
                  <c:pt idx="0">
                    <c:v>4</c:v>
                  </c:pt>
                  <c:pt idx="1">
                    <c:v>1</c:v>
                  </c:pt>
                  <c:pt idx="2">
                    <c:v>2</c:v>
                  </c:pt>
                  <c:pt idx="3">
                    <c:v>3</c:v>
                  </c:pt>
                  <c:pt idx="4">
                    <c:v>4</c:v>
                  </c:pt>
                  <c:pt idx="5">
                    <c:v>1</c:v>
                  </c:pt>
                  <c:pt idx="6">
                    <c:v>2</c:v>
                  </c:pt>
                  <c:pt idx="7">
                    <c:v>3</c:v>
                  </c:pt>
                  <c:pt idx="8">
                    <c:v>4</c:v>
                  </c:pt>
                </c:lvl>
                <c:lvl>
                  <c:pt idx="1">
                    <c:v>2021</c:v>
                  </c:pt>
                  <c:pt idx="5">
                    <c:v>2022</c:v>
                  </c:pt>
                </c:lvl>
              </c:multiLvlStrCache>
            </c:multiLvlStrRef>
          </c:cat>
          <c:val>
            <c:numRef>
              <c:f>turnover!$AC$21:$AC$32</c:f>
              <c:numCache>
                <c:formatCode>0%</c:formatCode>
                <c:ptCount val="12"/>
                <c:pt idx="0">
                  <c:v>0.46418936865486154</c:v>
                </c:pt>
                <c:pt idx="1">
                  <c:v>0.46418936865486154</c:v>
                </c:pt>
                <c:pt idx="2">
                  <c:v>0.46418936865486154</c:v>
                </c:pt>
                <c:pt idx="3">
                  <c:v>0.46418936865486154</c:v>
                </c:pt>
                <c:pt idx="4">
                  <c:v>0.46418936865486154</c:v>
                </c:pt>
                <c:pt idx="5">
                  <c:v>0.46418936865486154</c:v>
                </c:pt>
                <c:pt idx="6">
                  <c:v>0.46418936865486154</c:v>
                </c:pt>
                <c:pt idx="7">
                  <c:v>0.46418936865486154</c:v>
                </c:pt>
                <c:pt idx="8">
                  <c:v>0.46418936865486154</c:v>
                </c:pt>
                <c:pt idx="9">
                  <c:v>0.46418936865486154</c:v>
                </c:pt>
                <c:pt idx="10">
                  <c:v>0.46418936865486154</c:v>
                </c:pt>
                <c:pt idx="11">
                  <c:v>0.46418936865486154</c:v>
                </c:pt>
              </c:numCache>
            </c:numRef>
          </c:val>
          <c:smooth val="0"/>
          <c:extLst>
            <c:ext xmlns:c16="http://schemas.microsoft.com/office/drawing/2014/chart" uri="{C3380CC4-5D6E-409C-BE32-E72D297353CC}">
              <c16:uniqueId val="{00000001-F2C0-42BF-8416-ECFCC384B8E3}"/>
            </c:ext>
          </c:extLst>
        </c:ser>
        <c:dLbls>
          <c:showLegendKey val="0"/>
          <c:showVal val="0"/>
          <c:showCatName val="0"/>
          <c:showSerName val="0"/>
          <c:showPercent val="0"/>
          <c:showBubbleSize val="0"/>
        </c:dLbls>
        <c:marker val="1"/>
        <c:smooth val="0"/>
        <c:axId val="900413560"/>
        <c:axId val="903797920"/>
      </c:lineChart>
      <c:catAx>
        <c:axId val="900413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03797920"/>
        <c:crosses val="autoZero"/>
        <c:auto val="1"/>
        <c:lblAlgn val="ctr"/>
        <c:lblOffset val="100"/>
        <c:noMultiLvlLbl val="0"/>
      </c:catAx>
      <c:valAx>
        <c:axId val="90379792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900413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0.01675</cdr:x>
      <cdr:y>0.04283</cdr:y>
    </cdr:from>
    <cdr:to>
      <cdr:x>0.09716</cdr:x>
      <cdr:y>0.12318</cdr:y>
    </cdr:to>
    <cdr:sp macro="" textlink="">
      <cdr:nvSpPr>
        <cdr:cNvPr id="3" name="TextBox 11"/>
        <cdr:cNvSpPr txBox="1"/>
      </cdr:nvSpPr>
      <cdr:spPr>
        <a:xfrm xmlns:a="http://schemas.openxmlformats.org/drawingml/2006/main">
          <a:off x="96364" y="119939"/>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70%</a:t>
          </a:r>
          <a:endParaRPr lang="en-US" sz="900" dirty="0"/>
        </a:p>
      </cdr:txBody>
    </cdr:sp>
  </cdr:relSizeAnchor>
  <cdr:relSizeAnchor xmlns:cdr="http://schemas.openxmlformats.org/drawingml/2006/chartDrawing">
    <cdr:from>
      <cdr:x>0.01675</cdr:x>
      <cdr:y>0.13553</cdr:y>
    </cdr:from>
    <cdr:to>
      <cdr:x>0.09716</cdr:x>
      <cdr:y>0.21588</cdr:y>
    </cdr:to>
    <cdr:sp macro="" textlink="">
      <cdr:nvSpPr>
        <cdr:cNvPr id="4" name="TextBox 12"/>
        <cdr:cNvSpPr txBox="1"/>
      </cdr:nvSpPr>
      <cdr:spPr>
        <a:xfrm xmlns:a="http://schemas.openxmlformats.org/drawingml/2006/main">
          <a:off x="96364" y="379531"/>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60%</a:t>
          </a:r>
          <a:endParaRPr lang="en-US" sz="900" dirty="0"/>
        </a:p>
      </cdr:txBody>
    </cdr:sp>
  </cdr:relSizeAnchor>
  <cdr:relSizeAnchor xmlns:cdr="http://schemas.openxmlformats.org/drawingml/2006/chartDrawing">
    <cdr:from>
      <cdr:x>0.01675</cdr:x>
      <cdr:y>0.22823</cdr:y>
    </cdr:from>
    <cdr:to>
      <cdr:x>0.09716</cdr:x>
      <cdr:y>0.30858</cdr:y>
    </cdr:to>
    <cdr:sp macro="" textlink="">
      <cdr:nvSpPr>
        <cdr:cNvPr id="5" name="TextBox 13"/>
        <cdr:cNvSpPr txBox="1"/>
      </cdr:nvSpPr>
      <cdr:spPr>
        <a:xfrm xmlns:a="http://schemas.openxmlformats.org/drawingml/2006/main">
          <a:off x="96364" y="639124"/>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50%</a:t>
          </a:r>
          <a:endParaRPr lang="en-US" sz="900" dirty="0"/>
        </a:p>
      </cdr:txBody>
    </cdr:sp>
  </cdr:relSizeAnchor>
  <cdr:relSizeAnchor xmlns:cdr="http://schemas.openxmlformats.org/drawingml/2006/chartDrawing">
    <cdr:from>
      <cdr:x>0.01675</cdr:x>
      <cdr:y>0.32093</cdr:y>
    </cdr:from>
    <cdr:to>
      <cdr:x>0.09716</cdr:x>
      <cdr:y>0.40128</cdr:y>
    </cdr:to>
    <cdr:sp macro="" textlink="">
      <cdr:nvSpPr>
        <cdr:cNvPr id="6" name="TextBox 14"/>
        <cdr:cNvSpPr txBox="1"/>
      </cdr:nvSpPr>
      <cdr:spPr>
        <a:xfrm xmlns:a="http://schemas.openxmlformats.org/drawingml/2006/main">
          <a:off x="96364" y="898716"/>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40%</a:t>
          </a:r>
          <a:endParaRPr lang="en-US" sz="900" dirty="0"/>
        </a:p>
      </cdr:txBody>
    </cdr:sp>
  </cdr:relSizeAnchor>
  <cdr:relSizeAnchor xmlns:cdr="http://schemas.openxmlformats.org/drawingml/2006/chartDrawing">
    <cdr:from>
      <cdr:x>0.01675</cdr:x>
      <cdr:y>0.40554</cdr:y>
    </cdr:from>
    <cdr:to>
      <cdr:x>0.09716</cdr:x>
      <cdr:y>0.48589</cdr:y>
    </cdr:to>
    <cdr:sp macro="" textlink="">
      <cdr:nvSpPr>
        <cdr:cNvPr id="7" name="TextBox 15"/>
        <cdr:cNvSpPr txBox="1"/>
      </cdr:nvSpPr>
      <cdr:spPr>
        <a:xfrm xmlns:a="http://schemas.openxmlformats.org/drawingml/2006/main">
          <a:off x="96364" y="1135654"/>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30%</a:t>
          </a:r>
          <a:endParaRPr lang="en-US" sz="900" dirty="0"/>
        </a:p>
      </cdr:txBody>
    </cdr:sp>
  </cdr:relSizeAnchor>
  <cdr:relSizeAnchor xmlns:cdr="http://schemas.openxmlformats.org/drawingml/2006/chartDrawing">
    <cdr:from>
      <cdr:x>0.01675</cdr:x>
      <cdr:y>0.49794</cdr:y>
    </cdr:from>
    <cdr:to>
      <cdr:x>0.09716</cdr:x>
      <cdr:y>0.57829</cdr:y>
    </cdr:to>
    <cdr:sp macro="" textlink="">
      <cdr:nvSpPr>
        <cdr:cNvPr id="8" name="TextBox 16"/>
        <cdr:cNvSpPr txBox="1"/>
      </cdr:nvSpPr>
      <cdr:spPr>
        <a:xfrm xmlns:a="http://schemas.openxmlformats.org/drawingml/2006/main">
          <a:off x="96364" y="1394406"/>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20%</a:t>
          </a:r>
          <a:endParaRPr lang="en-US" sz="900" dirty="0"/>
        </a:p>
      </cdr:txBody>
    </cdr:sp>
  </cdr:relSizeAnchor>
  <cdr:relSizeAnchor xmlns:cdr="http://schemas.openxmlformats.org/drawingml/2006/chartDrawing">
    <cdr:from>
      <cdr:x>0.01675</cdr:x>
      <cdr:y>0.59035</cdr:y>
    </cdr:from>
    <cdr:to>
      <cdr:x>0.09716</cdr:x>
      <cdr:y>0.6707</cdr:y>
    </cdr:to>
    <cdr:sp macro="" textlink="">
      <cdr:nvSpPr>
        <cdr:cNvPr id="9" name="TextBox 17"/>
        <cdr:cNvSpPr txBox="1"/>
      </cdr:nvSpPr>
      <cdr:spPr>
        <a:xfrm xmlns:a="http://schemas.openxmlformats.org/drawingml/2006/main">
          <a:off x="96364" y="1653187"/>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10%</a:t>
          </a:r>
          <a:endParaRPr lang="en-US" sz="900" dirty="0"/>
        </a:p>
      </cdr:txBody>
    </cdr:sp>
  </cdr:relSizeAnchor>
  <cdr:relSizeAnchor xmlns:cdr="http://schemas.openxmlformats.org/drawingml/2006/chartDrawing">
    <cdr:from>
      <cdr:x>0.01675</cdr:x>
      <cdr:y>0.67734</cdr:y>
    </cdr:from>
    <cdr:to>
      <cdr:x>0.09716</cdr:x>
      <cdr:y>0.75769</cdr:y>
    </cdr:to>
    <cdr:sp macro="" textlink="">
      <cdr:nvSpPr>
        <cdr:cNvPr id="10" name="TextBox 18"/>
        <cdr:cNvSpPr txBox="1"/>
      </cdr:nvSpPr>
      <cdr:spPr>
        <a:xfrm xmlns:a="http://schemas.openxmlformats.org/drawingml/2006/main">
          <a:off x="96364" y="1896789"/>
          <a:ext cx="462607"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fr-BE" sz="900" dirty="0"/>
            <a:t>0%</a:t>
          </a:r>
          <a:endParaRPr lang="en-US" sz="900" dirty="0"/>
        </a:p>
      </cdr:txBody>
    </cdr:sp>
  </cdr:relSizeAnchor>
  <cdr:relSizeAnchor xmlns:cdr="http://schemas.openxmlformats.org/drawingml/2006/chartDrawing">
    <cdr:from>
      <cdr:x>0.30161</cdr:x>
      <cdr:y>0.93757</cdr:y>
    </cdr:from>
    <cdr:to>
      <cdr:x>0.32772</cdr:x>
      <cdr:y>0.95363</cdr:y>
    </cdr:to>
    <cdr:sp macro="" textlink="">
      <cdr:nvSpPr>
        <cdr:cNvPr id="11" name="Rectangle 10"/>
        <cdr:cNvSpPr/>
      </cdr:nvSpPr>
      <cdr:spPr>
        <a:xfrm xmlns:a="http://schemas.openxmlformats.org/drawingml/2006/main">
          <a:off x="1792649" y="3016687"/>
          <a:ext cx="155188" cy="51673"/>
        </a:xfrm>
        <a:prstGeom xmlns:a="http://schemas.openxmlformats.org/drawingml/2006/main" prst="rect">
          <a:avLst/>
        </a:prstGeom>
        <a:solidFill xmlns:a="http://schemas.openxmlformats.org/drawingml/2006/main">
          <a:srgbClr val="034EA2"/>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xmlns:a="http://schemas.openxmlformats.org/drawingml/2006/main">
          <a:pPr algn="ctr"/>
          <a:endParaRPr lang="en-US"/>
        </a:p>
      </cdr:txBody>
    </cdr:sp>
  </cdr:relSizeAnchor>
  <cdr:relSizeAnchor xmlns:cdr="http://schemas.openxmlformats.org/drawingml/2006/chartDrawing">
    <cdr:from>
      <cdr:x>0.3193</cdr:x>
      <cdr:y>0.87314</cdr:y>
    </cdr:from>
    <cdr:to>
      <cdr:x>0.46695</cdr:x>
      <cdr:y>0.95295</cdr:y>
    </cdr:to>
    <cdr:sp macro="" textlink="">
      <cdr:nvSpPr>
        <cdr:cNvPr id="12" name="TextBox 5"/>
        <cdr:cNvSpPr txBox="1"/>
      </cdr:nvSpPr>
      <cdr:spPr>
        <a:xfrm xmlns:a="http://schemas.openxmlformats.org/drawingml/2006/main">
          <a:off x="1836965" y="2461738"/>
          <a:ext cx="849445" cy="224998"/>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sk-SK" sz="900" dirty="0">
              <a:latin typeface="Arial" panose="020B0604020202020204" pitchFamily="34" charset="0"/>
              <a:cs typeface="Arial" panose="020B0604020202020204" pitchFamily="34" charset="0"/>
            </a:rPr>
            <a:t>trh EÚ</a:t>
          </a:r>
          <a:endParaRPr lang="en-US" sz="900" dirty="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0.51446</cdr:x>
      <cdr:y>0.87314</cdr:y>
    </cdr:from>
    <cdr:to>
      <cdr:x>0.94775</cdr:x>
      <cdr:y>1</cdr:y>
    </cdr:to>
    <cdr:sp macro="" textlink="">
      <cdr:nvSpPr>
        <cdr:cNvPr id="13" name="TextBox 7"/>
        <cdr:cNvSpPr txBox="1"/>
      </cdr:nvSpPr>
      <cdr:spPr>
        <a:xfrm xmlns:a="http://schemas.openxmlformats.org/drawingml/2006/main">
          <a:off x="2959740" y="2544029"/>
          <a:ext cx="2492761" cy="357662"/>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sk-SK" sz="900" dirty="0">
              <a:latin typeface="Arial" panose="020B0604020202020204" pitchFamily="34" charset="0"/>
              <a:cs typeface="Arial" panose="020B0604020202020204" pitchFamily="34" charset="0"/>
            </a:rPr>
            <a:t>t</a:t>
          </a:r>
          <a:r>
            <a:rPr lang="fr-BE" sz="900" dirty="0">
              <a:latin typeface="Arial" panose="020B0604020202020204" pitchFamily="34" charset="0"/>
              <a:cs typeface="Arial" panose="020B0604020202020204" pitchFamily="34" charset="0"/>
            </a:rPr>
            <a:t>rh s európskymi štátnymi dlhopismi* (</a:t>
          </a:r>
          <a:r>
            <a:rPr lang="sk-SK" sz="900" dirty="0">
              <a:latin typeface="Arial" panose="020B0604020202020204" pitchFamily="34" charset="0"/>
              <a:cs typeface="Arial" panose="020B0604020202020204" pitchFamily="34" charset="0"/>
            </a:rPr>
            <a:t>priemer</a:t>
          </a:r>
          <a:r>
            <a:rPr lang="fr-BE" sz="900" dirty="0">
              <a:latin typeface="Arial" panose="020B0604020202020204" pitchFamily="34" charset="0"/>
              <a:cs typeface="Arial" panose="020B0604020202020204" pitchFamily="34" charset="0"/>
            </a:rPr>
            <a:t> 2020</a:t>
          </a:r>
          <a:r>
            <a:rPr lang="sk-SK" sz="900" baseline="0" dirty="0">
              <a:latin typeface="Arial" panose="020B0604020202020204" pitchFamily="34" charset="0"/>
              <a:cs typeface="Arial" panose="020B0604020202020204" pitchFamily="34" charset="0"/>
            </a:rPr>
            <a:t> – </a:t>
          </a:r>
          <a:r>
            <a:rPr lang="fr-BE" sz="900" dirty="0">
              <a:latin typeface="Arial" panose="020B0604020202020204" pitchFamily="34" charset="0"/>
              <a:cs typeface="Arial" panose="020B0604020202020204" pitchFamily="34" charset="0"/>
            </a:rPr>
            <a:t>2022)</a:t>
          </a:r>
          <a:endParaRPr lang="en-US" sz="900" dirty="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0.49196</cdr:x>
      <cdr:y>0.94616</cdr:y>
    </cdr:from>
    <cdr:to>
      <cdr:x>0.51781</cdr:x>
      <cdr:y>0.94658</cdr:y>
    </cdr:to>
    <cdr:cxnSp macro="">
      <cdr:nvCxnSpPr>
        <cdr:cNvPr id="14" name="Straight Connector 13"/>
        <cdr:cNvCxnSpPr/>
      </cdr:nvCxnSpPr>
      <cdr:spPr>
        <a:xfrm xmlns:a="http://schemas.openxmlformats.org/drawingml/2006/main" flipH="1">
          <a:off x="2924013" y="3044325"/>
          <a:ext cx="153643" cy="1352"/>
        </a:xfrm>
        <a:prstGeom xmlns:a="http://schemas.openxmlformats.org/drawingml/2006/main" prst="line">
          <a:avLst/>
        </a:prstGeom>
        <a:ln xmlns:a="http://schemas.openxmlformats.org/drawingml/2006/main" w="34925" cap="rnd">
          <a:solidFill>
            <a:srgbClr val="FFC000"/>
          </a:solidFill>
          <a:roun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B&amp;L">
    <a:dk1>
      <a:srgbClr val="4D4D4D"/>
    </a:dk1>
    <a:lt1>
      <a:srgbClr val="FFFFFF"/>
    </a:lt1>
    <a:dk2>
      <a:srgbClr val="034EA2"/>
    </a:dk2>
    <a:lt2>
      <a:srgbClr val="D3E8F9"/>
    </a:lt2>
    <a:accent1>
      <a:srgbClr val="034EA2"/>
    </a:accent1>
    <a:accent2>
      <a:srgbClr val="FFC000"/>
    </a:accent2>
    <a:accent3>
      <a:srgbClr val="4C4B9A"/>
    </a:accent3>
    <a:accent4>
      <a:srgbClr val="45A6DD"/>
    </a:accent4>
    <a:accent5>
      <a:srgbClr val="00833D"/>
    </a:accent5>
    <a:accent6>
      <a:srgbClr val="F58A4B"/>
    </a:accent6>
    <a:hlink>
      <a:srgbClr val="0563C1"/>
    </a:hlink>
    <a:folHlink>
      <a:srgbClr val="24337E"/>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5" ma:contentTypeDescription="Crée un document." ma:contentTypeScope="" ma:versionID="6638aecc4ddff8290ff09efe9fd47c8d">
  <xsd:schema xmlns:xsd="http://www.w3.org/2001/XMLSchema" xmlns:xs="http://www.w3.org/2001/XMLSchema" xmlns:p="http://schemas.microsoft.com/office/2006/metadata/properties" xmlns:ns2="f34d8b02-ef1e-468a-baea-6b8502d30466" xmlns:ns3="5641df17-ff07-4a01-b99c-e2ec37129fd4" targetNamespace="http://schemas.microsoft.com/office/2006/metadata/properties" ma:root="true" ma:fieldsID="13cd8f9e58b1593f0f342ef126c2d03c" ns2:_="" ns3:_="">
    <xsd:import namespace="f34d8b02-ef1e-468a-baea-6b8502d30466"/>
    <xsd:import namespace="5641df17-ff07-4a01-b99c-e2ec37129f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RES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RESnumber" ma:index="12" nillable="true" ma:displayName="ARES number" ma:format="Dropdown" ma:internalName="ARES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1df17-ff07-4a01-b99c-e2ec37129fd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ESnumber xmlns="f34d8b02-ef1e-468a-baea-6b8502d3046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A94C4-E85F-4C7D-86AE-AE48CDBB8582}">
  <ds:schemaRefs>
    <ds:schemaRef ds:uri="http://schemas.microsoft.com/sharepoint/v3/contenttype/forms"/>
  </ds:schemaRefs>
</ds:datastoreItem>
</file>

<file path=customXml/itemProps2.xml><?xml version="1.0" encoding="utf-8"?>
<ds:datastoreItem xmlns:ds="http://schemas.openxmlformats.org/officeDocument/2006/customXml" ds:itemID="{42D604C4-4134-4C86-B9AC-6DCDE96B9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5641df17-ff07-4a01-b99c-e2ec37129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D84AA-26DF-44BD-B729-4DCED448F13E}">
  <ds:schemaRefs>
    <ds:schemaRef ds:uri="http://schemas.microsoft.com/office/2006/metadata/properties"/>
    <ds:schemaRef ds:uri="http://schemas.microsoft.com/office/infopath/2007/PartnerControls"/>
    <ds:schemaRef ds:uri="f34d8b02-ef1e-468a-baea-6b8502d30466"/>
  </ds:schemaRefs>
</ds:datastoreItem>
</file>

<file path=customXml/itemProps4.xml><?xml version="1.0" encoding="utf-8"?>
<ds:datastoreItem xmlns:ds="http://schemas.openxmlformats.org/officeDocument/2006/customXml" ds:itemID="{3C5C9FA2-ABDC-4DB6-9199-C6AE21DB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21</Pages>
  <Words>6413</Words>
  <Characters>38613</Characters>
  <Application>Microsoft Office Word</Application>
  <DocSecurity>0</DocSecurity>
  <Lines>941</Lines>
  <Paragraphs>217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67</cp:revision>
  <cp:lastPrinted>2023-06-28T07:58:00Z</cp:lastPrinted>
  <dcterms:created xsi:type="dcterms:W3CDTF">2023-06-28T14:10:00Z</dcterms:created>
  <dcterms:modified xsi:type="dcterms:W3CDTF">2023-08-08T07:03:00Z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7.0.1, Build 20200226</vt:lpwstr>
  </property>
  <property fmtid="{D5CDD505-2E9C-101B-9397-08002B2CF9AE}" pid="9" name="MSIP_Label_6bd9ddd1-4d20-43f6-abfa-fc3c07406f94_Enabled">
    <vt:lpwstr>true</vt:lpwstr>
  </property>
  <property fmtid="{D5CDD505-2E9C-101B-9397-08002B2CF9AE}" pid="10" name="MSIP_Label_6bd9ddd1-4d20-43f6-abfa-fc3c07406f94_SetDate">
    <vt:lpwstr>2023-01-06T16:26:08Z</vt:lpwstr>
  </property>
  <property fmtid="{D5CDD505-2E9C-101B-9397-08002B2CF9AE}" pid="11" name="MSIP_Label_6bd9ddd1-4d20-43f6-abfa-fc3c07406f94_Method">
    <vt:lpwstr>Privileged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4805f13c-dee7-466f-8124-a3d55c6ed3fb</vt:lpwstr>
  </property>
  <property fmtid="{D5CDD505-2E9C-101B-9397-08002B2CF9AE}" pid="15" name="MSIP_Label_6bd9ddd1-4d20-43f6-abfa-fc3c07406f94_ContentBits">
    <vt:lpwstr>0</vt:lpwstr>
  </property>
  <property fmtid="{D5CDD505-2E9C-101B-9397-08002B2CF9AE}" pid="16" name="ContentTypeId">
    <vt:lpwstr>0x01010042F58E2EF54E454EA52B55214ED8DE92</vt:lpwstr>
  </property>
  <property fmtid="{D5CDD505-2E9C-101B-9397-08002B2CF9AE}" pid="17" name="_dlc_DocIdItemGuid">
    <vt:lpwstr>db1e2f6f-95af-4d44-836c-7358ec0b13c1</vt:lpwstr>
  </property>
</Properties>
</file>