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198D2" w14:textId="604C45D3" w:rsidR="000B439B" w:rsidRDefault="00D1039A" w:rsidP="00D1039A">
      <w:pPr>
        <w:pStyle w:val="Pagedecouverture"/>
        <w:rPr>
          <w:noProof/>
        </w:rPr>
      </w:pPr>
      <w:bookmarkStart w:id="0" w:name="LW_BM_COVERPAGE"/>
      <w:r>
        <w:rPr>
          <w:noProof/>
        </w:rPr>
        <w:pict w14:anchorId="621D6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E92D652-D7E5-4FA7-A9B9-CD6C7929CD09" style="width:455.25pt;height:310.5pt">
            <v:imagedata r:id="rId14" o:title=""/>
          </v:shape>
        </w:pict>
      </w:r>
    </w:p>
    <w:bookmarkEnd w:id="0"/>
    <w:p w14:paraId="41B5B704" w14:textId="77777777" w:rsidR="000B439B" w:rsidRDefault="000B439B" w:rsidP="000B439B">
      <w:pPr>
        <w:rPr>
          <w:noProof/>
        </w:rPr>
        <w:sectPr w:rsidR="000B439B" w:rsidSect="00D1039A">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imes New Roman" w:hAnsi="Times New Roman"/>
          <w:b w:val="0"/>
          <w:caps w:val="0"/>
          <w:noProof/>
          <w:color w:val="2B579A"/>
          <w:shd w:val="clear" w:color="auto" w:fill="E6E6E6"/>
        </w:rPr>
        <w:alias w:val="Tartalomjegyzék"/>
        <w:tag w:val="2OIKVGtmzwJ66PTlFMFRa4"/>
        <w:id w:val="604303555"/>
      </w:sdtPr>
      <w:sdtEndPr/>
      <w:sdtContent>
        <w:p w14:paraId="7D55100F" w14:textId="58F1E1FF" w:rsidR="00D62E28" w:rsidRDefault="00D1039A">
          <w:pPr>
            <w:pStyle w:val="TOCHeading"/>
            <w:rPr>
              <w:noProof/>
            </w:rPr>
          </w:pPr>
          <w:sdt>
            <w:sdtPr>
              <w:rPr>
                <w:noProof/>
                <w:color w:val="2B579A"/>
                <w:shd w:val="clear" w:color="auto" w:fill="E6E6E6"/>
              </w:rPr>
              <w:id w:val="-675576560"/>
              <w:dataBinding w:xpath="/Texts/TOCHeading" w:storeItemID="{4EF90DE6-88B6-4264-9629-4D8DFDFE87D2}"/>
              <w:text w:multiLine="1"/>
            </w:sdtPr>
            <w:sdtEndPr>
              <w:rPr>
                <w:color w:val="auto"/>
                <w:shd w:val="clear" w:color="auto" w:fill="auto"/>
              </w:rPr>
            </w:sdtEndPr>
            <w:sdtContent>
              <w:r w:rsidR="00BD4EB2">
                <w:rPr>
                  <w:noProof/>
                </w:rPr>
                <w:t>Tartalomjegyzék</w:t>
              </w:r>
            </w:sdtContent>
          </w:sdt>
        </w:p>
        <w:p w14:paraId="7A7653C5" w14:textId="1443D64D" w:rsidR="003C34D4" w:rsidRDefault="00D62E28">
          <w:pPr>
            <w:pStyle w:val="TOC1"/>
            <w:rPr>
              <w:rFonts w:asciiTheme="minorHAnsi" w:eastAsiaTheme="minorEastAsia" w:hAnsiTheme="minorHAnsi" w:cstheme="minorBidi"/>
              <w:noProof/>
              <w:sz w:val="22"/>
              <w:szCs w:val="22"/>
              <w:lang w:val="en-US" w:eastAsia="en-US"/>
            </w:rPr>
          </w:pPr>
          <w:r>
            <w:rPr>
              <w:noProof/>
              <w:color w:val="2B579A"/>
              <w:shd w:val="clear" w:color="auto" w:fill="E6E6E6"/>
            </w:rPr>
            <w:fldChar w:fldCharType="begin"/>
          </w:r>
          <w:r>
            <w:rPr>
              <w:noProof/>
            </w:rPr>
            <w:instrText>TOC \o "1-4" \h \t "Article;1;ChapterTitle;5;PartTitle;5;SectionTitle;5;AnnexTitle;6"</w:instrText>
          </w:r>
          <w:r>
            <w:rPr>
              <w:noProof/>
              <w:color w:val="2B579A"/>
              <w:shd w:val="clear" w:color="auto" w:fill="E6E6E6"/>
            </w:rPr>
            <w:fldChar w:fldCharType="separate"/>
          </w:r>
          <w:hyperlink w:anchor="_Toc143599863" w:history="1">
            <w:r w:rsidR="003C34D4" w:rsidRPr="008F6140">
              <w:rPr>
                <w:rStyle w:val="Hyperlink"/>
                <w:bCs/>
                <w:noProof/>
                <w:spacing w:val="5"/>
              </w:rPr>
              <w:t>Bevezetés</w:t>
            </w:r>
            <w:r w:rsidR="003C34D4">
              <w:rPr>
                <w:noProof/>
              </w:rPr>
              <w:tab/>
            </w:r>
            <w:r w:rsidR="003C34D4">
              <w:rPr>
                <w:noProof/>
              </w:rPr>
              <w:fldChar w:fldCharType="begin"/>
            </w:r>
            <w:r w:rsidR="003C34D4">
              <w:rPr>
                <w:noProof/>
              </w:rPr>
              <w:instrText xml:space="preserve"> PAGEREF _Toc143599863 \h </w:instrText>
            </w:r>
            <w:r w:rsidR="003C34D4">
              <w:rPr>
                <w:noProof/>
              </w:rPr>
            </w:r>
            <w:r w:rsidR="003C34D4">
              <w:rPr>
                <w:noProof/>
              </w:rPr>
              <w:fldChar w:fldCharType="separate"/>
            </w:r>
            <w:r w:rsidR="003C34D4">
              <w:rPr>
                <w:noProof/>
              </w:rPr>
              <w:t>2</w:t>
            </w:r>
            <w:r w:rsidR="003C34D4">
              <w:rPr>
                <w:noProof/>
              </w:rPr>
              <w:fldChar w:fldCharType="end"/>
            </w:r>
          </w:hyperlink>
        </w:p>
        <w:p w14:paraId="28789C5C" w14:textId="1A5BD957" w:rsidR="003C34D4" w:rsidRDefault="00D1039A">
          <w:pPr>
            <w:pStyle w:val="TOC1"/>
            <w:rPr>
              <w:rFonts w:asciiTheme="minorHAnsi" w:eastAsiaTheme="minorEastAsia" w:hAnsiTheme="minorHAnsi" w:cstheme="minorBidi"/>
              <w:noProof/>
              <w:sz w:val="22"/>
              <w:szCs w:val="22"/>
              <w:lang w:val="en-US" w:eastAsia="en-US"/>
            </w:rPr>
          </w:pPr>
          <w:hyperlink w:anchor="_Toc143599864" w:history="1">
            <w:r w:rsidR="003C34D4" w:rsidRPr="008F6140">
              <w:rPr>
                <w:rStyle w:val="Hyperlink"/>
                <w:bCs/>
                <w:noProof/>
                <w:spacing w:val="5"/>
              </w:rPr>
              <w:t>A segítségnyújtás globális kontextusa</w:t>
            </w:r>
            <w:r w:rsidR="003C34D4">
              <w:rPr>
                <w:noProof/>
              </w:rPr>
              <w:tab/>
            </w:r>
            <w:r w:rsidR="003C34D4">
              <w:rPr>
                <w:noProof/>
              </w:rPr>
              <w:fldChar w:fldCharType="begin"/>
            </w:r>
            <w:r w:rsidR="003C34D4">
              <w:rPr>
                <w:noProof/>
              </w:rPr>
              <w:instrText xml:space="preserve"> PAGEREF _Toc143599864 \h </w:instrText>
            </w:r>
            <w:r w:rsidR="003C34D4">
              <w:rPr>
                <w:noProof/>
              </w:rPr>
            </w:r>
            <w:r w:rsidR="003C34D4">
              <w:rPr>
                <w:noProof/>
              </w:rPr>
              <w:fldChar w:fldCharType="separate"/>
            </w:r>
            <w:r w:rsidR="003C34D4">
              <w:rPr>
                <w:noProof/>
              </w:rPr>
              <w:t>2</w:t>
            </w:r>
            <w:r w:rsidR="003C34D4">
              <w:rPr>
                <w:noProof/>
              </w:rPr>
              <w:fldChar w:fldCharType="end"/>
            </w:r>
          </w:hyperlink>
        </w:p>
        <w:p w14:paraId="36134F90" w14:textId="092C86B8" w:rsidR="003C34D4" w:rsidRDefault="00D1039A">
          <w:pPr>
            <w:pStyle w:val="TOC1"/>
            <w:rPr>
              <w:rFonts w:asciiTheme="minorHAnsi" w:eastAsiaTheme="minorEastAsia" w:hAnsiTheme="minorHAnsi" w:cstheme="minorBidi"/>
              <w:noProof/>
              <w:sz w:val="22"/>
              <w:szCs w:val="22"/>
              <w:lang w:val="en-US" w:eastAsia="en-US"/>
            </w:rPr>
          </w:pPr>
          <w:hyperlink w:anchor="_Toc143599865" w:history="1">
            <w:r w:rsidR="003C34D4" w:rsidRPr="008F6140">
              <w:rPr>
                <w:rStyle w:val="Hyperlink"/>
                <w:bCs/>
                <w:noProof/>
                <w:spacing w:val="5"/>
              </w:rPr>
              <w:t>Megfelelő és hatékony humanitárius segítségnyújtás az érintett lakosság számára</w:t>
            </w:r>
            <w:r w:rsidR="003C34D4">
              <w:rPr>
                <w:noProof/>
              </w:rPr>
              <w:tab/>
            </w:r>
            <w:r w:rsidR="003C34D4">
              <w:rPr>
                <w:noProof/>
              </w:rPr>
              <w:fldChar w:fldCharType="begin"/>
            </w:r>
            <w:r w:rsidR="003C34D4">
              <w:rPr>
                <w:noProof/>
              </w:rPr>
              <w:instrText xml:space="preserve"> PAGEREF _Toc143599865 \h </w:instrText>
            </w:r>
            <w:r w:rsidR="003C34D4">
              <w:rPr>
                <w:noProof/>
              </w:rPr>
            </w:r>
            <w:r w:rsidR="003C34D4">
              <w:rPr>
                <w:noProof/>
              </w:rPr>
              <w:fldChar w:fldCharType="separate"/>
            </w:r>
            <w:r w:rsidR="003C34D4">
              <w:rPr>
                <w:noProof/>
              </w:rPr>
              <w:t>6</w:t>
            </w:r>
            <w:r w:rsidR="003C34D4">
              <w:rPr>
                <w:noProof/>
              </w:rPr>
              <w:fldChar w:fldCharType="end"/>
            </w:r>
          </w:hyperlink>
        </w:p>
        <w:p w14:paraId="1DE00E7F" w14:textId="6711414E" w:rsidR="003C34D4" w:rsidRDefault="00D1039A">
          <w:pPr>
            <w:pStyle w:val="TOC1"/>
            <w:rPr>
              <w:rFonts w:asciiTheme="minorHAnsi" w:eastAsiaTheme="minorEastAsia" w:hAnsiTheme="minorHAnsi" w:cstheme="minorBidi"/>
              <w:noProof/>
              <w:sz w:val="22"/>
              <w:szCs w:val="22"/>
              <w:lang w:val="en-US" w:eastAsia="en-US"/>
            </w:rPr>
          </w:pPr>
          <w:hyperlink w:anchor="_Toc143599866" w:history="1">
            <w:r w:rsidR="003C34D4" w:rsidRPr="008F6140">
              <w:rPr>
                <w:rStyle w:val="Hyperlink"/>
                <w:bCs/>
                <w:noProof/>
                <w:spacing w:val="5"/>
              </w:rPr>
              <w:t>A konkrét műveletekkel kapcsolatban végzett külső értékelések felülvizsgálata</w:t>
            </w:r>
            <w:r w:rsidR="003C34D4">
              <w:rPr>
                <w:noProof/>
              </w:rPr>
              <w:tab/>
            </w:r>
            <w:r w:rsidR="003C34D4">
              <w:rPr>
                <w:noProof/>
              </w:rPr>
              <w:fldChar w:fldCharType="begin"/>
            </w:r>
            <w:r w:rsidR="003C34D4">
              <w:rPr>
                <w:noProof/>
              </w:rPr>
              <w:instrText xml:space="preserve"> PAGEREF _Toc143599866 \h </w:instrText>
            </w:r>
            <w:r w:rsidR="003C34D4">
              <w:rPr>
                <w:noProof/>
              </w:rPr>
            </w:r>
            <w:r w:rsidR="003C34D4">
              <w:rPr>
                <w:noProof/>
              </w:rPr>
              <w:fldChar w:fldCharType="separate"/>
            </w:r>
            <w:r w:rsidR="003C34D4">
              <w:rPr>
                <w:noProof/>
              </w:rPr>
              <w:t>9</w:t>
            </w:r>
            <w:r w:rsidR="003C34D4">
              <w:rPr>
                <w:noProof/>
              </w:rPr>
              <w:fldChar w:fldCharType="end"/>
            </w:r>
          </w:hyperlink>
        </w:p>
        <w:p w14:paraId="3798E70B" w14:textId="11B41627" w:rsidR="003C34D4" w:rsidRDefault="00D1039A">
          <w:pPr>
            <w:pStyle w:val="TOC1"/>
            <w:rPr>
              <w:rFonts w:asciiTheme="minorHAnsi" w:eastAsiaTheme="minorEastAsia" w:hAnsiTheme="minorHAnsi" w:cstheme="minorBidi"/>
              <w:noProof/>
              <w:sz w:val="22"/>
              <w:szCs w:val="22"/>
              <w:lang w:val="en-US" w:eastAsia="en-US"/>
            </w:rPr>
          </w:pPr>
          <w:hyperlink w:anchor="_Toc143599867" w:history="1">
            <w:r w:rsidR="003C34D4" w:rsidRPr="008F6140">
              <w:rPr>
                <w:rStyle w:val="Hyperlink"/>
                <w:bCs/>
                <w:noProof/>
                <w:spacing w:val="5"/>
              </w:rPr>
              <w:t>KAPCSOLÓDÓ LINKEK</w:t>
            </w:r>
            <w:r w:rsidR="003C34D4">
              <w:rPr>
                <w:noProof/>
              </w:rPr>
              <w:tab/>
            </w:r>
            <w:r w:rsidR="003C34D4">
              <w:rPr>
                <w:noProof/>
              </w:rPr>
              <w:fldChar w:fldCharType="begin"/>
            </w:r>
            <w:r w:rsidR="003C34D4">
              <w:rPr>
                <w:noProof/>
              </w:rPr>
              <w:instrText xml:space="preserve"> PAGEREF _Toc143599867 \h </w:instrText>
            </w:r>
            <w:r w:rsidR="003C34D4">
              <w:rPr>
                <w:noProof/>
              </w:rPr>
            </w:r>
            <w:r w:rsidR="003C34D4">
              <w:rPr>
                <w:noProof/>
              </w:rPr>
              <w:fldChar w:fldCharType="separate"/>
            </w:r>
            <w:r w:rsidR="003C34D4">
              <w:rPr>
                <w:noProof/>
              </w:rPr>
              <w:t>11</w:t>
            </w:r>
            <w:r w:rsidR="003C34D4">
              <w:rPr>
                <w:noProof/>
              </w:rPr>
              <w:fldChar w:fldCharType="end"/>
            </w:r>
          </w:hyperlink>
        </w:p>
        <w:p w14:paraId="4355FE7E" w14:textId="6A3E7E0B" w:rsidR="00D62E28" w:rsidRDefault="00D62E28">
          <w:pPr>
            <w:rPr>
              <w:noProof/>
            </w:rPr>
          </w:pPr>
          <w:r>
            <w:rPr>
              <w:noProof/>
              <w:color w:val="2B579A"/>
              <w:shd w:val="clear" w:color="auto" w:fill="E6E6E6"/>
            </w:rPr>
            <w:fldChar w:fldCharType="end"/>
          </w:r>
        </w:p>
      </w:sdtContent>
    </w:sdt>
    <w:p w14:paraId="4BEB54C7" w14:textId="4550F358" w:rsidR="00B42F26" w:rsidRDefault="00B42F26" w:rsidP="00B42F26">
      <w:pPr>
        <w:tabs>
          <w:tab w:val="left" w:pos="6181"/>
        </w:tabs>
        <w:spacing w:after="0"/>
        <w:jc w:val="left"/>
        <w:rPr>
          <w:noProof/>
        </w:rPr>
      </w:pPr>
      <w:r>
        <w:rPr>
          <w:noProof/>
        </w:rPr>
        <w:tab/>
      </w:r>
    </w:p>
    <w:p w14:paraId="7CC4B052" w14:textId="5593C82B" w:rsidR="00D62E28" w:rsidRDefault="00D62E28" w:rsidP="00474003">
      <w:pPr>
        <w:pStyle w:val="Heading1"/>
        <w:numPr>
          <w:ilvl w:val="0"/>
          <w:numId w:val="0"/>
        </w:numPr>
        <w:ind w:left="482" w:hanging="482"/>
        <w:rPr>
          <w:rStyle w:val="IntenseReference"/>
          <w:bCs w:val="0"/>
          <w:noProof/>
        </w:rPr>
      </w:pPr>
      <w:r>
        <w:rPr>
          <w:noProof/>
        </w:rPr>
        <w:br w:type="page"/>
      </w:r>
      <w:bookmarkStart w:id="2" w:name="_Toc139283302"/>
      <w:bookmarkStart w:id="3" w:name="_Toc143599863"/>
      <w:r>
        <w:rPr>
          <w:rStyle w:val="IntenseReference"/>
          <w:b/>
          <w:noProof/>
        </w:rPr>
        <w:t>Bevezetés</w:t>
      </w:r>
      <w:bookmarkEnd w:id="2"/>
      <w:bookmarkEnd w:id="3"/>
    </w:p>
    <w:p w14:paraId="20AD2FE1" w14:textId="77777777" w:rsidR="00D62E28" w:rsidRDefault="00D62E28" w:rsidP="00D62E28">
      <w:pPr>
        <w:rPr>
          <w:noProof/>
        </w:rPr>
      </w:pPr>
      <w:r>
        <w:rPr>
          <w:noProof/>
        </w:rPr>
        <w:t>Ez a jelentés az Unió 2022-es fő tevékenységeit és szakpolitikai eredményeit mutatja be a humanitárius segítségnyújtás területén, ahogy ezekre az Európai Bizottság Európai Polgári Védelem és Humanitárius Segítségnyújtási Műveletek Főigazgatóságán (a továbbiakban: DG ECHO) keresztül sor került. A jelentés a humanitárius segítségnyújtásról szóló, 1996. június 20-i 1257/96/EK tanácsi rendelet 19. cikkének megfelelően készült, amely előírja a Bizottság számára, hogy nyújtsa be az adott év során finanszírozott műveletek összefoglalóját tartalmazó jelentést az Európai Parlamentnek és a Tanácsnak.</w:t>
      </w:r>
    </w:p>
    <w:p w14:paraId="2F128868" w14:textId="56EE0B15" w:rsidR="00D62E28" w:rsidRDefault="00D62E28" w:rsidP="00D62E28">
      <w:pPr>
        <w:rPr>
          <w:rFonts w:eastAsia="EC Square Sans Pro" w:cs="EC Square Sans Pro"/>
          <w:noProof/>
        </w:rPr>
      </w:pPr>
      <w:r>
        <w:rPr>
          <w:noProof/>
        </w:rPr>
        <w:t xml:space="preserve">A DG ECHO megbízatása </w:t>
      </w:r>
      <w:r>
        <w:rPr>
          <w:b/>
          <w:noProof/>
        </w:rPr>
        <w:t>az életmentés és -megőrzés elősegítése, az emberi szenvedés megelőzése és enyhítése, valamint a természeti veszélyek vagy ember okozta katasztrófák által érintett lakosság integritásának és emberi méltóságának védelme</w:t>
      </w:r>
      <w:r>
        <w:rPr>
          <w:noProof/>
        </w:rPr>
        <w:t xml:space="preserve"> az EU-n belül és kívül egyaránt. E közös átfogó célkitűzés keretében a DG ECHO az uniós polgári védelmi mechanizmuson (UCPM) keresztül egyszerre jár el uniós humanitárius segítségnyújtóként, reagál a vészhelyzetekre, valamint koordinálja és segíti az uniós szintű polgári védelmi műveleteket.</w:t>
      </w:r>
    </w:p>
    <w:p w14:paraId="7507C410" w14:textId="052C0969" w:rsidR="00D62E28" w:rsidRDefault="00B204BA" w:rsidP="00D62E28">
      <w:pPr>
        <w:rPr>
          <w:noProof/>
        </w:rPr>
      </w:pPr>
      <w:r>
        <w:rPr>
          <w:noProof/>
        </w:rPr>
        <w:t xml:space="preserve">Az EU – a DG ECHO-n keresztül – az egész világon humanitárius segítséget nyújt a rászorulóknak az </w:t>
      </w:r>
      <w:r>
        <w:rPr>
          <w:b/>
          <w:noProof/>
        </w:rPr>
        <w:t>emberiesség, a pártatlanság, a függetlenség és a semlegesség</w:t>
      </w:r>
      <w:r>
        <w:rPr>
          <w:noProof/>
        </w:rPr>
        <w:t xml:space="preserve"> humanitárius elvei alapján, amelyeket az Európai Unió működéséről szóló szerződés(</w:t>
      </w:r>
      <w:r>
        <w:rPr>
          <w:rStyle w:val="FootnoteReference"/>
          <w:noProof/>
        </w:rPr>
        <w:footnoteReference w:id="2"/>
      </w:r>
      <w:r>
        <w:rPr>
          <w:noProof/>
        </w:rPr>
        <w:t>) 214. cikke, valamint a humanitárius segítségnyújtással kapcsolatos európai konszenzus(</w:t>
      </w:r>
      <w:r>
        <w:rPr>
          <w:rStyle w:val="FootnoteReference"/>
          <w:noProof/>
        </w:rPr>
        <w:footnoteReference w:id="3"/>
      </w:r>
      <w:r>
        <w:rPr>
          <w:noProof/>
        </w:rPr>
        <w:t>) rögzít. Az EU humanitárius segítségnyújtása politikai szándéktól független, és kivétel nélkül a leginkább rászorulók megsegítésére irányul, állampolgárságuktól, vallásuktól, nemüktől, etnikai származásuktól vagy politikai hovatartozásuktól függetlenül.</w:t>
      </w:r>
    </w:p>
    <w:p w14:paraId="45F98230" w14:textId="0571C063" w:rsidR="00D62E28" w:rsidRPr="00D62E28" w:rsidRDefault="00D62E28" w:rsidP="00D62E28">
      <w:pPr>
        <w:pStyle w:val="Heading1"/>
        <w:numPr>
          <w:ilvl w:val="0"/>
          <w:numId w:val="0"/>
        </w:numPr>
        <w:ind w:left="482" w:hanging="482"/>
        <w:rPr>
          <w:rStyle w:val="IntenseReference"/>
          <w:b/>
          <w:bCs w:val="0"/>
          <w:noProof/>
        </w:rPr>
      </w:pPr>
      <w:bookmarkStart w:id="4" w:name="_Toc139283303"/>
      <w:bookmarkStart w:id="5" w:name="_Toc143599864"/>
      <w:r>
        <w:rPr>
          <w:rStyle w:val="IntenseReference"/>
          <w:b/>
          <w:noProof/>
        </w:rPr>
        <w:t>A segítségnyújtás globális kontextusa</w:t>
      </w:r>
      <w:bookmarkEnd w:id="4"/>
      <w:bookmarkEnd w:id="5"/>
    </w:p>
    <w:p w14:paraId="1833E763" w14:textId="77EE5520" w:rsidR="00E33511" w:rsidRDefault="00D62E28" w:rsidP="00D62E28">
      <w:pPr>
        <w:rPr>
          <w:b/>
          <w:noProof/>
        </w:rPr>
      </w:pPr>
      <w:r>
        <w:rPr>
          <w:noProof/>
        </w:rPr>
        <w:t xml:space="preserve">A 2022-es év meghatározó eseménye volt </w:t>
      </w:r>
      <w:r>
        <w:rPr>
          <w:b/>
          <w:noProof/>
        </w:rPr>
        <w:t>Oroszország Ukrajna elleni agressziós háborúja</w:t>
      </w:r>
      <w:r>
        <w:rPr>
          <w:noProof/>
        </w:rPr>
        <w:t xml:space="preserve">, amely példátlan humanitárius katasztrófát okozott Európa területén. Ennek következtében az EU jelentős humanitárius segítségnyújtási műveletet szervezett, valamint sor került az uniós polgári védelmi mechanizmus létrehozása óta a legnagyobb, leghosszabb ideig tartó és legösszetettebb polgári védelmi reagálási műveletre. Ez </w:t>
      </w:r>
      <w:r>
        <w:rPr>
          <w:b/>
          <w:noProof/>
        </w:rPr>
        <w:t>jelentősen megváltoztatta</w:t>
      </w:r>
      <w:r>
        <w:rPr>
          <w:noProof/>
        </w:rPr>
        <w:t xml:space="preserve"> a humanitárius segítségnyújtás és a polgári védelmi válaszlépések összefonódását, köszönhetően annak, hogy mind a 27 uniós tagállam és az uniós</w:t>
      </w:r>
      <w:r>
        <w:rPr>
          <w:noProof/>
          <w:color w:val="2B579A"/>
          <w:shd w:val="clear" w:color="auto" w:fill="E6E6E6"/>
        </w:rPr>
        <w:t xml:space="preserve"> </w:t>
      </w:r>
      <w:r>
        <w:rPr>
          <w:noProof/>
        </w:rPr>
        <w:t>polgári védelmi mechanizmusban részt vevő négy állam(</w:t>
      </w:r>
      <w:r>
        <w:rPr>
          <w:rStyle w:val="FootnoteReference"/>
          <w:noProof/>
        </w:rPr>
        <w:footnoteReference w:id="4"/>
      </w:r>
      <w:r>
        <w:rPr>
          <w:noProof/>
        </w:rPr>
        <w:t xml:space="preserve">) </w:t>
      </w:r>
      <w:r>
        <w:rPr>
          <w:b/>
          <w:noProof/>
        </w:rPr>
        <w:t>példátlan válaszintézkedéseket hozott</w:t>
      </w:r>
      <w:r>
        <w:rPr>
          <w:noProof/>
        </w:rPr>
        <w:t>.</w:t>
      </w:r>
    </w:p>
    <w:p w14:paraId="408FCB8A" w14:textId="239C546E" w:rsidR="00D62E28" w:rsidRDefault="00BC1A68" w:rsidP="00D62E28">
      <w:pPr>
        <w:rPr>
          <w:noProof/>
        </w:rPr>
      </w:pPr>
      <w:r>
        <w:rPr>
          <w:noProof/>
        </w:rPr>
        <w:t xml:space="preserve">A tartós konfliktusok és a bizonytalanság, az éghajlatváltozás hatása, a rossz kormányzás, a Covid19-világjárvány és más járványok tartós hatása, valamint Oroszország Ukrajna elleni agressziós háborújának közvetett hatása miatt a </w:t>
      </w:r>
      <w:r>
        <w:rPr>
          <w:b/>
          <w:noProof/>
        </w:rPr>
        <w:t>humanitárius helyzet a világ számos más részén is drasztikusan romlott</w:t>
      </w:r>
      <w:r>
        <w:rPr>
          <w:noProof/>
        </w:rPr>
        <w:t xml:space="preserve">, ami </w:t>
      </w:r>
      <w:r>
        <w:rPr>
          <w:b/>
          <w:noProof/>
        </w:rPr>
        <w:t>példátlan mértékű humanitárius szükségleteket</w:t>
      </w:r>
      <w:r>
        <w:rPr>
          <w:noProof/>
        </w:rPr>
        <w:t xml:space="preserve"> eredményezett. Az ENSZ Humanitárius Ügyeket Koordináló Hivatala (OCHA) legfrissebb, 2022. évi globális humanitárius áttekintésének(</w:t>
      </w:r>
      <w:r>
        <w:rPr>
          <w:rStyle w:val="FootnoteReference"/>
          <w:noProof/>
        </w:rPr>
        <w:footnoteReference w:id="5"/>
      </w:r>
      <w:r>
        <w:rPr>
          <w:noProof/>
        </w:rPr>
        <w:t xml:space="preserve">) becslése szerint 2022 végén 326 millió ember szorult humanitárius segítségre és védelemre, ami 2021-hez képest 30,4 %-os növekedést jelent. Az afganisztáni, etiópiai és szudáni humanitárius helyzet további romlása, illetve a nyári hónapokban bekövetkezett számos nagyszabású katasztrófa – például a pusztító áradások Burkina Fasóban, Csádban, Hondurasban vagy Pakisztánban – csak néhány egyértelmű példa a humanitárius szükségletek tartós növekedésére. A humanitárius tevékenység támogatására rendelkezésre álló források nem tudták fedezni ezeket a gyorsan növekvő szükségleteket, sőt, </w:t>
      </w:r>
      <w:r>
        <w:rPr>
          <w:b/>
          <w:noProof/>
        </w:rPr>
        <w:t>a szükségletek és a globális humanitárius finanszírozás közötti különbség 2022-ben tulajdonképpen még tovább nőtt</w:t>
      </w:r>
      <w:r>
        <w:rPr>
          <w:noProof/>
        </w:rPr>
        <w:t>: a szükségletek és a mozgósított források közötti különbség 2021 végéről 2022 végére 11,3 milliárd USD-ról 18,3 milliárd USD-ra emelkedett(</w:t>
      </w:r>
      <w:r>
        <w:rPr>
          <w:rStyle w:val="FootnoteReference"/>
          <w:noProof/>
        </w:rPr>
        <w:footnoteReference w:id="6"/>
      </w:r>
      <w:r>
        <w:rPr>
          <w:noProof/>
        </w:rPr>
        <w:t>).</w:t>
      </w:r>
    </w:p>
    <w:p w14:paraId="3FB13432" w14:textId="4A52743D" w:rsidR="00D62E28" w:rsidRDefault="44242E04" w:rsidP="00D62E28">
      <w:pPr>
        <w:rPr>
          <w:noProof/>
        </w:rPr>
      </w:pPr>
      <w:r>
        <w:rPr>
          <w:noProof/>
        </w:rPr>
        <w:t xml:space="preserve">Emellett a humanitárius segítségnyújtásra gyakran nagyon nehéz körülmények között kerül sor, amelyeket </w:t>
      </w:r>
      <w:r>
        <w:rPr>
          <w:b/>
          <w:noProof/>
        </w:rPr>
        <w:t>kiszámíthatatlanság, volatilitás és bizonytalanság</w:t>
      </w:r>
      <w:r>
        <w:rPr>
          <w:noProof/>
        </w:rPr>
        <w:t xml:space="preserve"> jellemez. Konfliktusövezetek jelennek meg és tűnnek el, illetve alakulnak át folyamatosan, ami jelentős biztonsági kockázatot jelent a DG ECHO helyszíni hálózata (50 iroda, 160 fős nemzetközi személyzet és 300 nemzeti alkalmazott) és a kiküldetésben lévő személyzet számára, és akadályozza a humanitárius segélyek célba juttatását a humanitárius segítségnyújtásra szorulókhoz való korlátozott vagy </w:t>
      </w:r>
      <w:r>
        <w:rPr>
          <w:b/>
          <w:noProof/>
        </w:rPr>
        <w:t>megtagadott hozzáférés</w:t>
      </w:r>
      <w:r>
        <w:rPr>
          <w:noProof/>
        </w:rPr>
        <w:t xml:space="preserve"> miatt. Ez hatással van az elvégzendő ellenőrzésekre (azaz a finanszírozott intézkedések helyszíni nyomon követésére és a helyszíni ellenőrzésekre), valamint a humanitárius szükségletek értékelésére is. A </w:t>
      </w:r>
      <w:r>
        <w:rPr>
          <w:b/>
          <w:noProof/>
        </w:rPr>
        <w:t>nemzetközi humanitárius jog egyre nagyobb mértékű megsértése</w:t>
      </w:r>
      <w:r>
        <w:rPr>
          <w:noProof/>
        </w:rPr>
        <w:t xml:space="preserve"> még nehezebbé és veszélyesebbé tette a humanitárius segítségnyújtás célba juttatását.</w:t>
      </w:r>
    </w:p>
    <w:p w14:paraId="181370D4" w14:textId="3F5FCB1D" w:rsidR="00D62E28" w:rsidRDefault="00D62E28" w:rsidP="00D62E28">
      <w:pPr>
        <w:rPr>
          <w:noProof/>
        </w:rPr>
      </w:pPr>
      <w:r>
        <w:rPr>
          <w:noProof/>
        </w:rPr>
        <w:t xml:space="preserve">E </w:t>
      </w:r>
      <w:r>
        <w:rPr>
          <w:b/>
          <w:noProof/>
        </w:rPr>
        <w:t>kihívások</w:t>
      </w:r>
      <w:r>
        <w:rPr>
          <w:noProof/>
        </w:rPr>
        <w:t xml:space="preserve"> ellenére a DG ECHO-nak </w:t>
      </w:r>
      <w:r>
        <w:rPr>
          <w:b/>
          <w:noProof/>
        </w:rPr>
        <w:t>sikerült elérnie célkitűzéseit</w:t>
      </w:r>
      <w:r>
        <w:rPr>
          <w:noProof/>
        </w:rPr>
        <w:t xml:space="preserve"> a 2021 márciusában elfogadott</w:t>
      </w:r>
      <w:r>
        <w:rPr>
          <w:b/>
          <w:noProof/>
        </w:rPr>
        <w:t xml:space="preserve"> </w:t>
      </w:r>
      <w:r>
        <w:rPr>
          <w:noProof/>
        </w:rPr>
        <w:t>„Uniós humanitárius segítségnyújtás: új kihívások, régi elvek” című bizottsági közleményben(</w:t>
      </w:r>
      <w:r>
        <w:rPr>
          <w:noProof/>
          <w:vertAlign w:val="superscript"/>
        </w:rPr>
        <w:footnoteReference w:id="7"/>
      </w:r>
      <w:r>
        <w:rPr>
          <w:noProof/>
        </w:rPr>
        <w:t xml:space="preserve">) felvázolt prioritásokkal és kulcsfontosságú intézkedésekkel összhangban. Az </w:t>
      </w:r>
      <w:r>
        <w:rPr>
          <w:b/>
          <w:noProof/>
        </w:rPr>
        <w:t>EU</w:t>
      </w:r>
      <w:r>
        <w:rPr>
          <w:noProof/>
        </w:rPr>
        <w:t xml:space="preserve"> </w:t>
      </w:r>
      <w:r>
        <w:rPr>
          <w:b/>
          <w:noProof/>
        </w:rPr>
        <w:t>továbbra is kulcsfontosságú globális humanitárius donor maradt</w:t>
      </w:r>
      <w:r>
        <w:rPr>
          <w:noProof/>
        </w:rPr>
        <w:t>, és 83 országban nyújtott humanitárius segítséget elvi alapon és a szükségletek alapján, lefedve a globális humanitárius rendszerben mozgósított teljes finanszírozás 8,2 %-át(</w:t>
      </w:r>
      <w:r>
        <w:rPr>
          <w:rStyle w:val="FootnoteReference"/>
          <w:noProof/>
        </w:rPr>
        <w:footnoteReference w:id="8"/>
      </w:r>
      <w:r>
        <w:rPr>
          <w:noProof/>
        </w:rPr>
        <w:t>). Az EU célja annak biztosítása, hogy a lehető legtöbb országban rendelkezésre álljon a rászorulók megsegítéséhez szükséges finanszírozás, valamint hogy gyors, hatékony és átfogó válaszintézkedéseket lehessen tenni.</w:t>
      </w:r>
    </w:p>
    <w:p w14:paraId="3CDC35D4" w14:textId="6C004301" w:rsidR="00D62E28" w:rsidRDefault="00D62E28" w:rsidP="00EE7768">
      <w:pPr>
        <w:rPr>
          <w:rFonts w:eastAsia="EC Square Sans Pro" w:cs="EC Square Sans Pro"/>
          <w:noProof/>
        </w:rPr>
      </w:pPr>
      <w:r>
        <w:rPr>
          <w:noProof/>
        </w:rPr>
        <w:t xml:space="preserve">A </w:t>
      </w:r>
      <w:r>
        <w:rPr>
          <w:b/>
          <w:noProof/>
        </w:rPr>
        <w:t>2022. évi végleges humanitárius költségvetés</w:t>
      </w:r>
      <w:r>
        <w:rPr>
          <w:noProof/>
        </w:rPr>
        <w:t xml:space="preserve"> </w:t>
      </w:r>
      <w:r>
        <w:rPr>
          <w:b/>
          <w:noProof/>
        </w:rPr>
        <w:t>2,6 milliárd EUR</w:t>
      </w:r>
      <w:r>
        <w:rPr>
          <w:noProof/>
        </w:rPr>
        <w:t xml:space="preserve">-t tett ki, ami lehetővé tette a DG ECHO számára, hogy ne csak nagyszabású humanitárius válságok – például Ukrajna, Szíria, Afganisztán vagy Etiópia – esetében avatkozzon be, hanem elfelejtett/elhanyagolt válságok esetében is, azaz olyan súlyos és elhúzódó válságoknál, amelyek nem kapnak médiafigyelmet, és amelyeknél az érintett lakosságnak nyújtott nemzetközi segély szintje elégtelen, </w:t>
      </w:r>
      <w:bookmarkStart w:id="6" w:name="_Hlk136941588"/>
      <w:r>
        <w:rPr>
          <w:noProof/>
        </w:rPr>
        <w:t>például Haitin vagy a rohindzsa válság esetében</w:t>
      </w:r>
      <w:bookmarkEnd w:id="6"/>
      <w:r>
        <w:rPr>
          <w:noProof/>
        </w:rPr>
        <w:t>.</w:t>
      </w:r>
    </w:p>
    <w:p w14:paraId="6709E46C" w14:textId="78111F27" w:rsidR="00D62E28" w:rsidRDefault="7364D44A" w:rsidP="003B0CC5">
      <w:pPr>
        <w:rPr>
          <w:rFonts w:eastAsia="EC Square Sans Pro" w:cs="EC Square Sans Pro"/>
          <w:noProof/>
        </w:rPr>
      </w:pPr>
      <w:r>
        <w:rPr>
          <w:noProof/>
        </w:rPr>
        <w:t>A 2022. évi kezdeti humanitárius költségvetést 1 794,4 millió EUR-ban(</w:t>
      </w:r>
      <w:r>
        <w:rPr>
          <w:rFonts w:eastAsia="EC Square Sans Pro" w:cs="EC Square Sans Pro"/>
          <w:noProof/>
          <w:vertAlign w:val="superscript"/>
        </w:rPr>
        <w:footnoteReference w:id="9"/>
      </w:r>
      <w:r>
        <w:rPr>
          <w:noProof/>
        </w:rPr>
        <w:t>) határozták meg (ebben szerepel 211 millió EUR összegű előreütemezés a szolidaritási és sürgősségisegély-tartalékból [SEAR]). Az év során számos költségvetési emelésre került sor, amelyek a következő forrásokból származtak:</w:t>
      </w:r>
    </w:p>
    <w:p w14:paraId="018CFE58" w14:textId="2649A8C6" w:rsidR="00D62E28" w:rsidRPr="003C09BF" w:rsidRDefault="00D62E28" w:rsidP="35F9A81C">
      <w:pPr>
        <w:pStyle w:val="ListParagraph"/>
        <w:numPr>
          <w:ilvl w:val="0"/>
          <w:numId w:val="31"/>
        </w:numPr>
        <w:spacing w:after="240" w:line="240" w:lineRule="auto"/>
        <w:ind w:left="714" w:hanging="357"/>
        <w:jc w:val="both"/>
        <w:rPr>
          <w:rFonts w:ascii="Times New Roman" w:eastAsia="EC Square Sans Pro" w:hAnsi="Times New Roman" w:cs="Times New Roman"/>
          <w:noProof/>
          <w:sz w:val="24"/>
          <w:szCs w:val="24"/>
        </w:rPr>
      </w:pPr>
      <w:r>
        <w:rPr>
          <w:rFonts w:ascii="Times New Roman" w:hAnsi="Times New Roman"/>
          <w:noProof/>
          <w:sz w:val="24"/>
        </w:rPr>
        <w:t>SEAR: több válság, többek között ukrajnai háború és az élelmiszer-ellátás világszinten fokozódó bizonytalanságának fedezésére (539 millió EUR)(</w:t>
      </w:r>
      <w:r>
        <w:rPr>
          <w:rStyle w:val="FootnoteReference"/>
          <w:rFonts w:ascii="Times New Roman" w:eastAsia="EC Square Sans Pro" w:hAnsi="Times New Roman" w:cs="Times New Roman"/>
          <w:noProof/>
          <w:sz w:val="24"/>
          <w:szCs w:val="24"/>
        </w:rPr>
        <w:footnoteReference w:id="10"/>
      </w:r>
      <w:r>
        <w:rPr>
          <w:rFonts w:ascii="Times New Roman" w:hAnsi="Times New Roman"/>
          <w:noProof/>
          <w:sz w:val="24"/>
        </w:rPr>
        <w:t>),</w:t>
      </w:r>
    </w:p>
    <w:p w14:paraId="19063A28" w14:textId="6EECD542" w:rsidR="00D62E28" w:rsidRPr="003C09BF" w:rsidRDefault="00D62E28" w:rsidP="007E741B">
      <w:pPr>
        <w:pStyle w:val="ListParagraph"/>
        <w:numPr>
          <w:ilvl w:val="0"/>
          <w:numId w:val="31"/>
        </w:numPr>
        <w:spacing w:after="0" w:line="240" w:lineRule="auto"/>
        <w:ind w:left="714" w:hanging="357"/>
        <w:contextualSpacing w:val="0"/>
        <w:jc w:val="both"/>
        <w:rPr>
          <w:rFonts w:ascii="Times New Roman" w:eastAsia="EC Square Sans Pro" w:hAnsi="Times New Roman" w:cs="Times New Roman"/>
          <w:noProof/>
          <w:sz w:val="24"/>
          <w:szCs w:val="24"/>
        </w:rPr>
      </w:pPr>
      <w:r>
        <w:rPr>
          <w:rFonts w:ascii="Times New Roman" w:hAnsi="Times New Roman"/>
          <w:noProof/>
          <w:sz w:val="24"/>
        </w:rPr>
        <w:t>átcsoportosítások a VI. fejezet eszközeiből az Oroszország Ukrajna elleni agressziós háborúja és a dominóhatásaként jelentkező szükségletek kielégítése érdekében (134,8 millió EUR),</w:t>
      </w:r>
    </w:p>
    <w:p w14:paraId="617F7348" w14:textId="0EBE3CDD" w:rsidR="003B07BD" w:rsidRDefault="7364D44A" w:rsidP="003B07BD">
      <w:pPr>
        <w:pStyle w:val="ListParagraph"/>
        <w:numPr>
          <w:ilvl w:val="0"/>
          <w:numId w:val="31"/>
        </w:numPr>
        <w:spacing w:after="240" w:line="240" w:lineRule="auto"/>
        <w:ind w:left="714" w:hanging="357"/>
        <w:jc w:val="both"/>
        <w:rPr>
          <w:rFonts w:ascii="Times New Roman" w:eastAsia="EC Square Sans Pro" w:hAnsi="Times New Roman" w:cs="Times New Roman"/>
          <w:noProof/>
          <w:sz w:val="24"/>
          <w:szCs w:val="24"/>
        </w:rPr>
      </w:pPr>
      <w:r>
        <w:rPr>
          <w:rFonts w:ascii="Times New Roman" w:hAnsi="Times New Roman"/>
          <w:i/>
          <w:noProof/>
          <w:sz w:val="24"/>
        </w:rPr>
        <w:t>átcsoportosítás humanitárius segítségnyújtásra</w:t>
      </w:r>
      <w:r>
        <w:rPr>
          <w:rFonts w:ascii="Times New Roman" w:hAnsi="Times New Roman"/>
          <w:noProof/>
          <w:sz w:val="24"/>
        </w:rPr>
        <w:t xml:space="preserve"> (a költségvetési rendelet 30. cikkének (2) bekezdése); a Kongói Demokratikus Köztársaság (KDK) számára elkülönített összeg (2,3 millió EUR),</w:t>
      </w:r>
    </w:p>
    <w:p w14:paraId="05D63432" w14:textId="5E6A0A34" w:rsidR="00D62E28" w:rsidRPr="003C09BF" w:rsidRDefault="003B07BD" w:rsidP="003B0CC5">
      <w:pPr>
        <w:pStyle w:val="ListParagraph"/>
        <w:numPr>
          <w:ilvl w:val="0"/>
          <w:numId w:val="31"/>
        </w:numPr>
        <w:spacing w:after="240" w:line="240" w:lineRule="auto"/>
        <w:ind w:left="714" w:hanging="357"/>
        <w:contextualSpacing w:val="0"/>
        <w:jc w:val="both"/>
        <w:rPr>
          <w:rFonts w:ascii="Times New Roman" w:eastAsia="EC Square Sans Pro" w:hAnsi="Times New Roman" w:cs="Times New Roman"/>
          <w:noProof/>
          <w:sz w:val="24"/>
          <w:szCs w:val="24"/>
        </w:rPr>
      </w:pPr>
      <w:r>
        <w:rPr>
          <w:rFonts w:ascii="Times New Roman" w:hAnsi="Times New Roman"/>
          <w:noProof/>
          <w:sz w:val="24"/>
        </w:rPr>
        <w:t>Európai Fejlesztési Alap (145,5 millió EUR)(</w:t>
      </w:r>
      <w:r>
        <w:rPr>
          <w:rStyle w:val="FootnoteReference"/>
          <w:rFonts w:ascii="Times New Roman" w:eastAsia="EC Square Sans Pro" w:hAnsi="Times New Roman" w:cs="Times New Roman"/>
          <w:noProof/>
          <w:sz w:val="24"/>
          <w:szCs w:val="24"/>
        </w:rPr>
        <w:footnoteReference w:id="11"/>
      </w:r>
      <w:r>
        <w:rPr>
          <w:rFonts w:ascii="Times New Roman" w:hAnsi="Times New Roman"/>
          <w:noProof/>
          <w:sz w:val="24"/>
        </w:rPr>
        <w:t>); átcsoportosított bevételek (3,8 millió EUR).</w:t>
      </w:r>
    </w:p>
    <w:p w14:paraId="7753DABD" w14:textId="3331B5BD" w:rsidR="00D62E28" w:rsidRDefault="7364D44A" w:rsidP="00D62E28">
      <w:pPr>
        <w:rPr>
          <w:noProof/>
        </w:rPr>
      </w:pPr>
      <w:r>
        <w:rPr>
          <w:noProof/>
        </w:rPr>
        <w:t>Az I. melléklet áttekintést nyújt a DG ECHO 2022. évi intézkedései által lefedett főbb válságokra elkülönített költségvetésről. A világ különböző régióiban végrehajtott főbb intézkedések a következőképpen foglalhatók össze:</w:t>
      </w:r>
    </w:p>
    <w:p w14:paraId="66FB6EE8" w14:textId="1515EA21" w:rsidR="00D62E28" w:rsidRPr="003C09BF" w:rsidRDefault="44242E04" w:rsidP="00063C9A">
      <w:pPr>
        <w:pStyle w:val="ListParagraph"/>
        <w:numPr>
          <w:ilvl w:val="0"/>
          <w:numId w:val="26"/>
        </w:numPr>
        <w:ind w:left="283" w:hanging="357"/>
        <w:jc w:val="both"/>
        <w:rPr>
          <w:rFonts w:ascii="Times New Roman" w:hAnsi="Times New Roman" w:cs="Times New Roman"/>
          <w:noProof/>
          <w:sz w:val="24"/>
          <w:szCs w:val="24"/>
        </w:rPr>
      </w:pPr>
      <w:r>
        <w:rPr>
          <w:rFonts w:ascii="Times New Roman" w:hAnsi="Times New Roman"/>
          <w:b/>
          <w:noProof/>
          <w:sz w:val="24"/>
        </w:rPr>
        <w:t>Nyugat- és Közép-Afrika:</w:t>
      </w:r>
      <w:r>
        <w:rPr>
          <w:rFonts w:ascii="Times New Roman" w:hAnsi="Times New Roman"/>
          <w:noProof/>
          <w:sz w:val="24"/>
        </w:rPr>
        <w:t xml:space="preserve"> A növekvő szükségletek közepette a DG ECHO kezdeti költségvetéséből több mint 175 millió EUR-t különített el az élelmiszer-ellátás bizonytalanságának és az alultápláltságnak a kezelésére, az alapvető szociális szolgáltatások (egészségügy, oktatás, vízellátás és megfelelő higiéniás körülmények) biztosítására, valamint a katasztrófavédelmi felkészültség támogatására a Száhel-övezet középső részén, a Csád-tó medencéjében, Északnyugat- és Délnyugat-Kamerunban, Északnyugat-Nigériában és a Közép-afrikai Köztársaságban. A DG ECHO arra is törekedett, hogy előmozdítsa a nemzetközi humanitárius jog betartását, és biztosítsa a civil lakosság és a humanitárius segélyszervezetek munkatársainak védelmét. Emellett további forrásokat mozgósított, különösen az élelmiszer-ellátás bizonytalanságának kezelése érdekében, ami több mint 330 millió EUR összegű végleges költségvetést eredményezett a régió számára.</w:t>
      </w:r>
    </w:p>
    <w:p w14:paraId="56DAAA00" w14:textId="6482E94B"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Pr>
          <w:rFonts w:ascii="Times New Roman" w:hAnsi="Times New Roman"/>
          <w:b/>
          <w:noProof/>
          <w:sz w:val="24"/>
        </w:rPr>
        <w:t>Kelet- és Dél-Afrika:</w:t>
      </w:r>
      <w:r>
        <w:rPr>
          <w:rFonts w:ascii="Times New Roman" w:hAnsi="Times New Roman"/>
          <w:noProof/>
          <w:sz w:val="24"/>
        </w:rPr>
        <w:t xml:space="preserve"> A régiót konfliktusok és jelentősen romló humanitárius helyzet jellemezte, elsősorban Szudánban, a Kongói Demokratikus Köztársaságban, Afrika szarván (Szomália, Etiópia, Kenya), Dél-Szudánban és Mozambikban. Számos területet súlyos aszályok vagy intenzív ciklonok is sújtottak, különösen Dél-Afrikában és az Indiai-óceán térségében (Madagaszkár/Mozambik), ami az élelmiszer-ellátás általános bizonytalanságához és a megélhetés elvesztéséhez vezetett. A kezdeti 294 millió EUR összegű költségvetés több mint 540 millió EUR-ra növelése lehetővé tette a DG ECHO számára, hogy kezelje ezeket a problémákat és a régió egyéb sürgető humanitárius szükségleteit.</w:t>
      </w:r>
    </w:p>
    <w:p w14:paraId="1DB8952C" w14:textId="0D3CC5FB"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Pr>
          <w:rFonts w:ascii="Times New Roman" w:hAnsi="Times New Roman"/>
          <w:b/>
          <w:noProof/>
          <w:sz w:val="24"/>
        </w:rPr>
        <w:t>Észak-Afrika, Irak és az Arab-félsziget:</w:t>
      </w:r>
      <w:r>
        <w:rPr>
          <w:rFonts w:ascii="Times New Roman" w:hAnsi="Times New Roman"/>
          <w:noProof/>
          <w:sz w:val="24"/>
        </w:rPr>
        <w:t xml:space="preserve"> A DG ECHO 128 millió EUR-t különített el a lakóhelyüket elhagyni kényszerült észak-afrikai és iraki lakosság, valamint a jemeni konfliktus által érintett személyek szükségleteinek kezelésére a víz, szanitáció és higiénia, az élelmiszer és a táplálkozás, az oktatás és az egészségügy területén. A főként a jemeni konfliktusra való reagálás megerősítését célzó további finanszírozás révén e régió 215 millió EUR összegű végleges allokációhoz juthatott.</w:t>
      </w:r>
    </w:p>
    <w:p w14:paraId="4D3F8449" w14:textId="301911B7" w:rsidR="00D62E28" w:rsidRPr="003C09BF" w:rsidRDefault="00D62E28" w:rsidP="00946B31">
      <w:pPr>
        <w:pStyle w:val="ListParagraph"/>
        <w:numPr>
          <w:ilvl w:val="0"/>
          <w:numId w:val="26"/>
        </w:numPr>
        <w:ind w:left="284"/>
        <w:jc w:val="both"/>
        <w:rPr>
          <w:rFonts w:ascii="Times New Roman" w:hAnsi="Times New Roman" w:cs="Times New Roman"/>
          <w:noProof/>
          <w:sz w:val="24"/>
          <w:szCs w:val="24"/>
        </w:rPr>
      </w:pPr>
      <w:r>
        <w:rPr>
          <w:rFonts w:ascii="Times New Roman" w:hAnsi="Times New Roman"/>
          <w:b/>
          <w:noProof/>
          <w:sz w:val="24"/>
        </w:rPr>
        <w:t>Közel-Kelet:</w:t>
      </w:r>
      <w:r>
        <w:rPr>
          <w:rFonts w:ascii="Times New Roman" w:hAnsi="Times New Roman"/>
          <w:noProof/>
          <w:sz w:val="24"/>
        </w:rPr>
        <w:t xml:space="preserve"> A DG ECHO 197 millió EUR összegű kezdeti költségvetést különített el arra, hogy életmentő segítséget nyújtson Szíriában a konfliktus sújtotta polgárok millióinak, valamint hogy fedezze Jordániában és Libanonban a lakóhelyüket elhagyni kényszerült és menekült lakosság, valamint a kiszolgáltatott helyzetben lévő libanoni lakosság alapvető szükségleteit. A végleges költségvetés 2022 végén elérte a 240 millió EUR-t. Palesztinában(</w:t>
      </w:r>
      <w:r>
        <w:rPr>
          <w:rStyle w:val="FootnoteReference"/>
          <w:rFonts w:ascii="Times New Roman" w:hAnsi="Times New Roman" w:cs="Times New Roman"/>
          <w:noProof/>
          <w:sz w:val="24"/>
          <w:szCs w:val="24"/>
        </w:rPr>
        <w:footnoteReference w:id="12"/>
      </w:r>
      <w:r>
        <w:rPr>
          <w:rFonts w:ascii="Times New Roman" w:hAnsi="Times New Roman"/>
          <w:noProof/>
          <w:sz w:val="24"/>
        </w:rPr>
        <w:t>) a DG ECHO továbbra is biztosította a folyamatos megszállásból és a Gázai övezet lezárásából eredő humanitárius szükségletek kielégítését. Az erre a válságra szánt költségvetés 2022 folyamán 25 millió EUR-ról 26,5 millió EUR-ra nőtt.</w:t>
      </w:r>
    </w:p>
    <w:p w14:paraId="18C2D36B" w14:textId="0273290E" w:rsidR="00D62E28" w:rsidRPr="003C09BF" w:rsidRDefault="57D4CB5A" w:rsidP="00946B31">
      <w:pPr>
        <w:pStyle w:val="ListParagraph"/>
        <w:numPr>
          <w:ilvl w:val="0"/>
          <w:numId w:val="26"/>
        </w:numPr>
        <w:ind w:left="284"/>
        <w:jc w:val="both"/>
        <w:rPr>
          <w:rFonts w:ascii="Times New Roman" w:hAnsi="Times New Roman" w:cs="Times New Roman"/>
          <w:noProof/>
          <w:sz w:val="24"/>
          <w:szCs w:val="24"/>
        </w:rPr>
      </w:pPr>
      <w:r>
        <w:rPr>
          <w:rFonts w:ascii="Times New Roman" w:hAnsi="Times New Roman"/>
          <w:b/>
          <w:noProof/>
          <w:sz w:val="24"/>
        </w:rPr>
        <w:t>Délkelet-Európa, keleti szomszédság és Törökország:</w:t>
      </w:r>
      <w:r>
        <w:rPr>
          <w:rFonts w:ascii="Times New Roman" w:hAnsi="Times New Roman"/>
          <w:noProof/>
          <w:sz w:val="24"/>
        </w:rPr>
        <w:t xml:space="preserve"> A régióban folytatott humanitárius tevékenységet nagymértékben meghatározta Oroszország 2022. február 24-én Ukrajna ellen indított agressziós háborúja. Az Ukrajnának, a Nyugat-Balkánnak és a keleti szomszédságnak elkülönített 27 millió EUR összegű kezdeti finanszírozás több mint 529 millió EUR-ra emelkedett. Ebből az összegből 485 millió EUR arra szolgált, hogy a humanitárius segítségnyújtásra szoruló 17,7 millió ukránból közel 16 millió segítséget kapjon, 38 millió EUR pedig a Moldovai Köztársaságba menekült ukránok megsegítésére, valamint a moldovai befogadó családok támogatására. Törökországban a Bizottság 125 millió EUR összegű finanszírozással továbbra is támogatta a humanitárius segítségnyújtásra szoruló, kiszolgáltatott helyzetben lévő menekülteket. Emellett 2022 októberében a feltételes iskoláztatási készpénztámogatási kiemelt program sikeresen átkerült az Európai Szomszédságpolitika és a Csatlakozási Tárgyalások Főigazgatóságához (DG NEAR), összhangban a humanitárius és a fejlesztési törekvések összekapcsolására vonatkozó stratégiával.</w:t>
      </w:r>
    </w:p>
    <w:p w14:paraId="05355CC2" w14:textId="41678AB2" w:rsidR="00D62E28" w:rsidRPr="003C09BF" w:rsidRDefault="00D62E28" w:rsidP="00946B31">
      <w:pPr>
        <w:pStyle w:val="ListParagraph"/>
        <w:numPr>
          <w:ilvl w:val="0"/>
          <w:numId w:val="26"/>
        </w:numPr>
        <w:ind w:left="284"/>
        <w:jc w:val="both"/>
        <w:rPr>
          <w:rFonts w:ascii="Times New Roman" w:hAnsi="Times New Roman" w:cs="Times New Roman"/>
          <w:b/>
          <w:bCs/>
          <w:noProof/>
          <w:sz w:val="24"/>
          <w:szCs w:val="24"/>
        </w:rPr>
      </w:pPr>
      <w:r>
        <w:rPr>
          <w:rFonts w:ascii="Times New Roman" w:hAnsi="Times New Roman"/>
          <w:b/>
          <w:noProof/>
          <w:sz w:val="24"/>
        </w:rPr>
        <w:t xml:space="preserve">Ázsia és csendes-óceáni térség: </w:t>
      </w:r>
      <w:r>
        <w:rPr>
          <w:rFonts w:ascii="Times New Roman" w:hAnsi="Times New Roman"/>
          <w:noProof/>
          <w:sz w:val="24"/>
        </w:rPr>
        <w:t>A DG ECHO 2022-ben eredetileg több mint 114 millió EUR-t különített el a régió számára, hogy kielégítse elsősorban a 2021. évi afganisztáni tálib hatalomátvétel miatt lakóhelyüket elhagyni kényszerült lakosság szükségleteit, valamint a 2021. évi mianmari államcsíny által érintett személyek – köztük a rohindzsák – és a Bangladesben tartózkodó rohindzsa menekültek szükségleteit. Az EU és tagállamai jelentős mértékben támogatták Pakisztánt a 2022. júniusi pusztító áradásokat követően, valamint a katasztrófa utáni igényfelmérési és helyreállítási keret kidolgozásában. A Bizottság a Mindano-konfliktusból és a Fülöp-szigeteken bekövetkezett természeti katasztrófákból eredő szükségletekkel is foglalkozott. E régió végleges költségvetése 2022 végén 313 millió EUR volt.</w:t>
      </w:r>
    </w:p>
    <w:p w14:paraId="6B342A62" w14:textId="292A621F" w:rsidR="00D62E28" w:rsidRPr="003C09BF" w:rsidRDefault="00D62E28" w:rsidP="00946B31">
      <w:pPr>
        <w:pStyle w:val="ListParagraph"/>
        <w:numPr>
          <w:ilvl w:val="0"/>
          <w:numId w:val="26"/>
        </w:numPr>
        <w:spacing w:after="240" w:line="240" w:lineRule="auto"/>
        <w:ind w:left="284" w:hanging="357"/>
        <w:jc w:val="both"/>
        <w:rPr>
          <w:rFonts w:ascii="Times New Roman" w:hAnsi="Times New Roman" w:cs="Times New Roman"/>
          <w:b/>
          <w:bCs/>
          <w:noProof/>
          <w:sz w:val="24"/>
          <w:szCs w:val="24"/>
        </w:rPr>
      </w:pPr>
      <w:r>
        <w:rPr>
          <w:rFonts w:ascii="Times New Roman" w:hAnsi="Times New Roman"/>
          <w:b/>
          <w:noProof/>
          <w:sz w:val="24"/>
        </w:rPr>
        <w:t xml:space="preserve">Amerika és karib-tengeri térség: </w:t>
      </w:r>
      <w:r>
        <w:rPr>
          <w:rFonts w:ascii="Times New Roman" w:hAnsi="Times New Roman"/>
          <w:noProof/>
          <w:sz w:val="24"/>
        </w:rPr>
        <w:t xml:space="preserve">A Bizottság intézkedései arra összpontosítottak, hogy segítséget nyújtsanak a venezuelai belső és regionális válság, a kolumbiai fegyveres konfliktus, valamint Haitin, Közép-Amerikában és Mexikóban a kiterjedt szervezett bűnözés által érintett lakosságnak. Az intézkedések emellett reagáltak a lakóhelyüket elhagyni kényszerült személyek humanitárius szükségleteire a kontinensen, továbbá támogatták a katasztrófavédelmi felkészültséget. A Bizottság eredetileg 74 millió EUR-t különített el a régió számára; ez az összeg az év végére 155 millió EUR-ra emelkedett. </w:t>
      </w:r>
    </w:p>
    <w:p w14:paraId="4B4ADC60" w14:textId="4CC972DF" w:rsidR="00D62E28" w:rsidRDefault="004C5002" w:rsidP="7F439249">
      <w:pPr>
        <w:rPr>
          <w:noProof/>
        </w:rPr>
      </w:pPr>
      <w:r>
        <w:rPr>
          <w:noProof/>
        </w:rPr>
        <w:t>A DG ECHO általában nem közvetlenül, hanem a mintegy 200 partnernek (a teljes lista a II. mellékletben található) biztosított finanszírozás révén nyújt humanitárius segítséget. 2022-ben a finanszírozás az alábbiak szerint oszlott meg a DG ECHO partnerei között: 38,6 % a nem kormányzati szervezetek, 49,6 % az ENSZ-ügynökségek, 11,2 % a nemzetközi szervezetek és 0,6 % a kormányzati szervezetek számára.</w:t>
      </w:r>
    </w:p>
    <w:p w14:paraId="11F52293" w14:textId="26269595" w:rsidR="00D62E28" w:rsidRPr="00D62E28" w:rsidRDefault="00D62E28" w:rsidP="003B0CC5">
      <w:pPr>
        <w:pStyle w:val="Heading1"/>
        <w:numPr>
          <w:ilvl w:val="0"/>
          <w:numId w:val="0"/>
        </w:numPr>
        <w:rPr>
          <w:rStyle w:val="IntenseReference"/>
          <w:b/>
          <w:bCs w:val="0"/>
          <w:noProof/>
        </w:rPr>
      </w:pPr>
      <w:bookmarkStart w:id="7" w:name="_Toc139283304"/>
      <w:bookmarkStart w:id="8" w:name="_Toc143599865"/>
      <w:r>
        <w:rPr>
          <w:rStyle w:val="IntenseReference"/>
          <w:b/>
          <w:noProof/>
        </w:rPr>
        <w:t>Megfelelő és hatékony humanitárius segítségnyújtás az érintett lakosság számára</w:t>
      </w:r>
      <w:bookmarkEnd w:id="7"/>
      <w:bookmarkEnd w:id="8"/>
    </w:p>
    <w:p w14:paraId="206C7D29" w14:textId="75C4627D" w:rsidR="004C5002" w:rsidRDefault="004C5002" w:rsidP="2F1F91F7">
      <w:pPr>
        <w:rPr>
          <w:noProof/>
        </w:rPr>
      </w:pPr>
      <w:r>
        <w:rPr>
          <w:noProof/>
        </w:rPr>
        <w:t xml:space="preserve">2022-ben a DG ECHO világszerte jelentős mértékben hozzájárult a megfelelő és hatékony humanitárius segítségnyújtáshoz. A </w:t>
      </w:r>
      <w:r>
        <w:rPr>
          <w:b/>
          <w:noProof/>
        </w:rPr>
        <w:t>multilateralizmus és a szabályokon alapuló globális rendnek</w:t>
      </w:r>
      <w:r>
        <w:rPr>
          <w:noProof/>
        </w:rPr>
        <w:t xml:space="preserve"> a nemzetközi színtéren vállalt tevékenyebb és meghatározóbb uniós szerep révén történő előmozdítása érdekében a DG ECHO aktívan részt vett a humanitárius érdekérvényesítés és a szakpolitikák európai és globális szintű alakításában. Jelentős előrelépés történt a </w:t>
      </w:r>
      <w:r>
        <w:rPr>
          <w:b/>
          <w:noProof/>
        </w:rPr>
        <w:t>Nagyszabású egyezség</w:t>
      </w:r>
      <w:r>
        <w:rPr>
          <w:noProof/>
        </w:rPr>
        <w:t>(</w:t>
      </w:r>
      <w:r>
        <w:rPr>
          <w:noProof/>
          <w:vertAlign w:val="superscript"/>
        </w:rPr>
        <w:footnoteReference w:id="13"/>
      </w:r>
      <w:r>
        <w:rPr>
          <w:noProof/>
        </w:rPr>
        <w:t>) keretében tett kötelezettségvállalások végrehajtása terén, nevezetesen a rugalmas finanszírozás, a közös és pártatlan igényfelmérés, valamint a jelentéstétel egyszerűsítése terén, azzal a végső céllal, hogy javuljon a humanitárius reagálás hatékonysága és eredményessége.</w:t>
      </w:r>
    </w:p>
    <w:p w14:paraId="0BE69D9B" w14:textId="6748A33C" w:rsidR="00D62E28" w:rsidRPr="00A265E8" w:rsidRDefault="7364D44A" w:rsidP="274B8BBE">
      <w:pPr>
        <w:rPr>
          <w:rFonts w:eastAsia="Calibri"/>
          <w:noProof/>
        </w:rPr>
      </w:pPr>
      <w:r>
        <w:rPr>
          <w:noProof/>
        </w:rPr>
        <w:t xml:space="preserve">A DG ECHO továbbra is hozzájárult az </w:t>
      </w:r>
      <w:r>
        <w:rPr>
          <w:b/>
          <w:noProof/>
        </w:rPr>
        <w:t>országspecifikus összevont forrásokhoz</w:t>
      </w:r>
      <w:r>
        <w:rPr>
          <w:noProof/>
          <w:vertAlign w:val="superscript"/>
        </w:rPr>
        <w:footnoteReference w:id="14"/>
      </w:r>
      <w:r>
        <w:rPr>
          <w:noProof/>
        </w:rPr>
        <w:t xml:space="preserve"> a </w:t>
      </w:r>
      <w:r>
        <w:rPr>
          <w:b/>
          <w:noProof/>
        </w:rPr>
        <w:t>lokalizáció</w:t>
      </w:r>
      <w:r>
        <w:rPr>
          <w:noProof/>
        </w:rPr>
        <w:t xml:space="preserve"> és a nem meghatározott rendeltetésű finanszírozás használatának további </w:t>
      </w:r>
      <w:r>
        <w:rPr>
          <w:b/>
          <w:noProof/>
        </w:rPr>
        <w:t>előmozdítása</w:t>
      </w:r>
      <w:r>
        <w:rPr>
          <w:noProof/>
        </w:rPr>
        <w:t xml:space="preserve"> érdekében. Továbbá a DG ECHO fokozottan támogatta a jelentősen megnövekedett humanitárius finanszírozási erőfeszítéseket, az ezzel kapcsolatos figyelemfelkeltést és a felelősségnek a donorok – köztük a tagállamok – közötti jobb megosztását. A főigazgatóság tovább erősítette a kiválasztott ENSZ- és nemzetközi szervezetekkel kialakított hosszabb távú </w:t>
      </w:r>
      <w:r>
        <w:rPr>
          <w:b/>
          <w:noProof/>
        </w:rPr>
        <w:t>programalapú partnerségeket</w:t>
      </w:r>
      <w:r>
        <w:rPr>
          <w:noProof/>
        </w:rPr>
        <w:t>(</w:t>
      </w:r>
      <w:r>
        <w:rPr>
          <w:noProof/>
          <w:vertAlign w:val="superscript"/>
        </w:rPr>
        <w:footnoteReference w:id="15"/>
      </w:r>
      <w:r>
        <w:rPr>
          <w:noProof/>
        </w:rPr>
        <w:t>) a hatékonyabb és eredményesebb munkamódszerek tesztelése érdekében, miközben felkészült a modell 2023-as bevezetésére. Az innovatív programalapú partnerségek közé tartozik például a Vöröskereszt Nemzetközi Bizottságához (ICRC) fűződő, a nemzetközi humanitárius jog megsértésének megelőzésére irányuló program (három év, gyengén meghatározott rendeltetésű finanszírozás, évi 10 millió EUR), valamint a Vöröskereszt és Vörösfélhold Társaságok Nemzetközi Szövetsége (IFRC) és a lokalizációs menetrend (több országra és több ágazatra kiterjedő, ambiciózus hároméves program, évi 67 millió EUR) támogatására létrehozott partnerség.</w:t>
      </w:r>
    </w:p>
    <w:p w14:paraId="0F5BB487" w14:textId="65E25E7A" w:rsidR="00D62E28" w:rsidRPr="00D709A9" w:rsidRDefault="1AD6CCD0" w:rsidP="00D62E28">
      <w:pPr>
        <w:rPr>
          <w:noProof/>
          <w:color w:val="242424"/>
        </w:rPr>
      </w:pPr>
      <w:r>
        <w:rPr>
          <w:noProof/>
        </w:rPr>
        <w:t xml:space="preserve">A DG ECHO 2022 februárjában útjára indította a </w:t>
      </w:r>
      <w:r>
        <w:rPr>
          <w:b/>
          <w:noProof/>
        </w:rPr>
        <w:t>humanitárius logisztikai politikát</w:t>
      </w:r>
      <w:r>
        <w:rPr>
          <w:noProof/>
        </w:rPr>
        <w:t>(</w:t>
      </w:r>
      <w:r>
        <w:rPr>
          <w:noProof/>
          <w:vertAlign w:val="superscript"/>
        </w:rPr>
        <w:footnoteReference w:id="16"/>
      </w:r>
      <w:r>
        <w:rPr>
          <w:noProof/>
        </w:rPr>
        <w:t xml:space="preserve">) azzal az elsődleges céllal, hogy a humanitárius tevékenységek hatékonyságának, eredményességének és hatásának fokozása révén még több életet lehessen megmenteni. E szakpolitika részeként a 2022 márciusában elindított </w:t>
      </w:r>
      <w:r>
        <w:rPr>
          <w:b/>
          <w:noProof/>
        </w:rPr>
        <w:t>európai humanitárius reagálási kapacitás</w:t>
      </w:r>
      <w:r>
        <w:rPr>
          <w:noProof/>
        </w:rPr>
        <w:t>(</w:t>
      </w:r>
      <w:r>
        <w:rPr>
          <w:noProof/>
          <w:vertAlign w:val="superscript"/>
        </w:rPr>
        <w:footnoteReference w:id="17"/>
      </w:r>
      <w:r>
        <w:rPr>
          <w:noProof/>
        </w:rPr>
        <w:t xml:space="preserve">) olyan operatív eszközöket tartalmaz, amelyek gyors, de ideiglenes támogatást nyújtanak a partnereknek a humanitárius reagálás hiányosságainak megszüntetéséhez, ugyanakkor biztosítják a humanitárius segítség eredményesebb és költséghatékonyabb célba érését. Az eszközök magukban foglalják </w:t>
      </w:r>
      <w:r>
        <w:rPr>
          <w:b/>
          <w:noProof/>
        </w:rPr>
        <w:t>közös logisztikai szolgáltatások</w:t>
      </w:r>
      <w:r>
        <w:rPr>
          <w:noProof/>
        </w:rPr>
        <w:t xml:space="preserve"> biztosítását a humanitárius partnerek számára nemzetközi és országon belüli szállítási műveletek (különböző szállítási módokon keresztül, beleértve az EU</w:t>
      </w:r>
      <w:r>
        <w:rPr>
          <w:b/>
          <w:noProof/>
        </w:rPr>
        <w:t xml:space="preserve"> </w:t>
      </w:r>
      <w:r>
        <w:rPr>
          <w:noProof/>
        </w:rPr>
        <w:t xml:space="preserve">humanitárius légi hídját és a humanitárius légi járatot), raktározási kapacitások, vészhelyzeti készletek, egyéb logisztikai támogatás és koordináció, valamint orvosi szakértelem formájában. </w:t>
      </w:r>
      <w:r>
        <w:rPr>
          <w:noProof/>
          <w:color w:val="242424"/>
        </w:rPr>
        <w:t>A Bizottság 2022-ben összesen 9 európai humanitárius reagálási kapacitási műveletet indított a következő országokban: Madagaszkár (itt kettőt), Ukrajna, Moldova, Szomália, Afganisztán, Mozambik, Uganda és Burkina Faso. Emellett folytatódtak a humanitárius légi járatok műveletei Kenyában, a Kongói Demokratikus Köztársaságban és Maliban. A humanitárius légi híd keretében 60 uniós járatot szerveztek, amelyek 24 partnernek nyújtottak támogatást 4 országban (Afganisztánban, Szomáliában, Madagaszkáron és a Moldovai Köztársaságban), és 842 tonnányi humanitárius felszerelést szállítottak. Végül Ukrajna és a Moldovai Köztársaság esetében 660 közúti szállítási műveletet szerveztek és 3 raktárt nyitottak meg 49 humanitárius partner támogatása érdekében. 2022-ben 23,5 millió EUR-t különítettek el ezekre a tevékenységekre.</w:t>
      </w:r>
    </w:p>
    <w:p w14:paraId="4C294E8C" w14:textId="384F6A54" w:rsidR="00D62E28" w:rsidRDefault="7364D44A" w:rsidP="00063C9A">
      <w:pPr>
        <w:rPr>
          <w:rFonts w:eastAsia="EC Square Sans Pro" w:cs="EC Square Sans Pro"/>
          <w:noProof/>
          <w:color w:val="242424"/>
        </w:rPr>
      </w:pPr>
      <w:r>
        <w:rPr>
          <w:noProof/>
          <w:color w:val="242424"/>
        </w:rPr>
        <w:t>A DG ECHO teljes mértékben kihasználta</w:t>
      </w:r>
      <w:r>
        <w:rPr>
          <w:noProof/>
        </w:rPr>
        <w:t xml:space="preserve"> a </w:t>
      </w:r>
      <w:r>
        <w:rPr>
          <w:b/>
          <w:noProof/>
        </w:rPr>
        <w:t>szükséghelyzeti eszköztárát</w:t>
      </w:r>
      <w:r>
        <w:rPr>
          <w:noProof/>
        </w:rPr>
        <w:t xml:space="preserve">, amely </w:t>
      </w:r>
      <w:r>
        <w:rPr>
          <w:noProof/>
          <w:color w:val="242424"/>
        </w:rPr>
        <w:t>a jelentős szükséghelyzetre létrehozott sürgősségi reagálási eszközből (ALERT), a járványügyi eszközből, a kisléptékű reagálási eszközből és a katasztrófaelhárítási szükséghelyzeti alapból (DREF) áll, és 36,5 millió EUR összegű, első vonalbeli sürgősségi humanitárius segítséget nyújtott a hirtelen bekövetkezett válságokra, amelyeket a humanitárius végrehajtási terveiben nem lehetett előre látni. Néhány példa a pénzeszközök elosztására:  a kisléptékű reagálási eszközt és később az ALERT-et a Pakisztánt sújtó áradásokra való azonnali reagálásra, valamint a Fülöp-szigeteken, Madagaszkáron, Mozambikban és Kubában pusztító trópusi ciklonok, továbbá az afganisztáni és a Fülöp-szigeteki földrengések esetében használták; a járványügyi eszköz támogatta az ugandai ebolajárványra való reagálást, valamint a libanoni, szíriai, haiti, nigériai és malawi kolerajárvány elleni reagálást. A DG ECHO a Vöröskereszt és Vörösfélhold Társaságok Nemzetközi Szövetsége által 52 országban végrehajtott 67 DREF-műveletet finanszírozott, többek között az afrikai éhínséggel, valamint a Délkelet-Ázsiában és Dél-Amerikában bekövetkezett áradásokkal és földrengésekkel kapcsolatban.</w:t>
      </w:r>
    </w:p>
    <w:p w14:paraId="67B730D7" w14:textId="59AEE398" w:rsidR="00D62E28" w:rsidRDefault="00D62E28" w:rsidP="00063C9A">
      <w:pPr>
        <w:rPr>
          <w:rFonts w:eastAsia="EC Square Sans Pro" w:cs="EC Square Sans Pro"/>
          <w:noProof/>
          <w:color w:val="242424"/>
        </w:rPr>
      </w:pPr>
      <w:r>
        <w:rPr>
          <w:noProof/>
          <w:color w:val="242424"/>
        </w:rPr>
        <w:t xml:space="preserve">Emellett 2022-ben a DG ECHO folytatta </w:t>
      </w:r>
      <w:r>
        <w:rPr>
          <w:b/>
          <w:noProof/>
          <w:color w:val="242424"/>
        </w:rPr>
        <w:t>a Bizottság kulcsfontosságú kérdésekkel kapcsolatos álláspontját felvázoló szakpolitikák és iránymutatások</w:t>
      </w:r>
      <w:r>
        <w:rPr>
          <w:noProof/>
          <w:color w:val="242424"/>
        </w:rPr>
        <w:t xml:space="preserve"> kidolgozását, konkrét ajánlásokat fogalmazva meg végrehajtó partnerei számára az uniós finanszírozású humanitárius tevékenységek minőségének, koherenciájának és elszámoltathatóságának biztosítása érdekében.</w:t>
      </w:r>
    </w:p>
    <w:p w14:paraId="79D99C17" w14:textId="48A96F5F" w:rsidR="00D62E28" w:rsidRDefault="00D62E28" w:rsidP="00063C9A">
      <w:pPr>
        <w:rPr>
          <w:rFonts w:eastAsia="EC Square Sans Pro" w:cs="EC Square Sans Pro"/>
          <w:noProof/>
          <w:color w:val="242424"/>
        </w:rPr>
      </w:pPr>
      <w:r>
        <w:rPr>
          <w:noProof/>
          <w:color w:val="242424"/>
        </w:rPr>
        <w:t xml:space="preserve">Ami </w:t>
      </w:r>
      <w:r>
        <w:rPr>
          <w:b/>
          <w:noProof/>
          <w:color w:val="242424"/>
        </w:rPr>
        <w:t>az élelmezési segélyt, a táplálkozást és az éhínség megelőzését</w:t>
      </w:r>
      <w:r>
        <w:rPr>
          <w:noProof/>
          <w:color w:val="242424"/>
        </w:rPr>
        <w:t xml:space="preserve"> illeti</w:t>
      </w:r>
      <w:r>
        <w:rPr>
          <w:noProof/>
        </w:rPr>
        <w:t>, ezeken a területeken a helyzetet tovább súlyosbították Oroszország Ukrajna elleni agressziós háborújának közvetlen hatásai az élelmiszerek, az energia és a műtrágya árának emelkedése miatt, ezért a DG ECHO jelentős mértékben, több mint egymilliárd EUR-ra növelte támogatását (ami így több mint 75 %-kal meghaladta a 2021-es szintet). A DG ECHO fontos szerepet játszott az EU és tagállamai által 2022 júniusában elfogadott átfogó „Európa együtt” reagálási stratégia kialakításában és elősegítésében is. Ezenkívül a „Táplálkozás a növekedésért” elszámoltathatósági keret(</w:t>
      </w:r>
      <w:r>
        <w:rPr>
          <w:noProof/>
          <w:vertAlign w:val="superscript"/>
        </w:rPr>
        <w:footnoteReference w:id="18"/>
      </w:r>
      <w:r>
        <w:rPr>
          <w:noProof/>
        </w:rPr>
        <w:t xml:space="preserve">) szerinti jelentés megerősíti, hogy a DG ECHO és az EU jó úton halad afelé, hogy az „Európa együtt” 2021-es vállalását megvalósítva </w:t>
      </w:r>
      <w:r>
        <w:rPr>
          <w:noProof/>
          <w:color w:val="242424"/>
        </w:rPr>
        <w:t>2024-ig legalább 4,2 milliárd EUR</w:t>
      </w:r>
      <w:r>
        <w:rPr>
          <w:noProof/>
        </w:rPr>
        <w:t xml:space="preserve"> költségvetéssel támogassa a táplálkozási célkitűzéseket.</w:t>
      </w:r>
    </w:p>
    <w:p w14:paraId="7F1A89EE" w14:textId="3BC7F83D" w:rsidR="006D76B9" w:rsidRPr="00AD269B" w:rsidRDefault="5D00A8B0" w:rsidP="00063C9A">
      <w:pPr>
        <w:rPr>
          <w:rFonts w:eastAsia="EC Square Sans Pro" w:cs="EC Square Sans Pro"/>
          <w:noProof/>
          <w:color w:val="242424"/>
        </w:rPr>
      </w:pPr>
      <w:r>
        <w:rPr>
          <w:noProof/>
          <w:color w:val="242424"/>
        </w:rPr>
        <w:t xml:space="preserve">2022-ben az </w:t>
      </w:r>
      <w:r>
        <w:rPr>
          <w:b/>
          <w:noProof/>
          <w:color w:val="242424"/>
        </w:rPr>
        <w:t>egészségügyet</w:t>
      </w:r>
      <w:r>
        <w:rPr>
          <w:noProof/>
          <w:color w:val="242424"/>
        </w:rPr>
        <w:t xml:space="preserve"> mint elsődleges ágazatot célzó projektek</w:t>
      </w:r>
      <w:r>
        <w:rPr>
          <w:b/>
          <w:noProof/>
          <w:color w:val="242424"/>
        </w:rPr>
        <w:t xml:space="preserve"> </w:t>
      </w:r>
      <w:r>
        <w:rPr>
          <w:noProof/>
          <w:color w:val="242424"/>
        </w:rPr>
        <w:t>csaknem 300 millió EUR támogatásban részesültek. Tekintettel a sok esetben elhúzódó humanitárius válságok egyre összetettebb jellegére, a segítségnyújtás fő célkitűzése továbbra is az alapvető egészségügyi szükségletek megfelelő kezelésének biztosítása egy szükségleteken alapuló, több ágazatot átfogó megközelítés révén, amely minden szakpolitikában érvényesíti az egészségügyi szempontokat. A DG ECHO a Covid19-világjárvány tanulságai alapján prioritásként kezelte a járványokkal/világjárványokkal kapcsolatos megelőzést, felkészültséget és reagálást is, különös figyelmet fordítva a minőségi ellátáshoz és az egészségügyi ellenintézkedésekhez való méltányos hozzáférésre az alacsony jövedelmű országokban és a humanitárius helyzetekben. Emellett a DG ECHO támogatta a globális egészségügyi politika ágazatokon átívelő vonatkozásait, hogy holisztikus megközelítést biztosítson, különösen a mentálhigiénés és pszichoszociális támogatás, a szexuális és reprodukciós egészség és jogok, valamint az egészségügy és lakóhelyelhagyás területén.</w:t>
      </w:r>
    </w:p>
    <w:p w14:paraId="7F6CC25A" w14:textId="255E1836" w:rsidR="00D62E28" w:rsidRPr="00A265E8" w:rsidRDefault="1E0EF25E" w:rsidP="00063C9A">
      <w:pPr>
        <w:rPr>
          <w:rFonts w:ascii="Calibri" w:eastAsia="Calibri" w:hAnsi="Calibri" w:cs="Calibri"/>
          <w:noProof/>
          <w:sz w:val="22"/>
          <w:szCs w:val="22"/>
        </w:rPr>
      </w:pPr>
      <w:r>
        <w:rPr>
          <w:noProof/>
        </w:rPr>
        <w:t xml:space="preserve">2022-ben a DG ECHO folytatta szisztematikus nyilvános érdekképviseletét a </w:t>
      </w:r>
      <w:r>
        <w:rPr>
          <w:b/>
          <w:noProof/>
        </w:rPr>
        <w:t>nemzetközi humanitárius joggal</w:t>
      </w:r>
      <w:r>
        <w:rPr>
          <w:noProof/>
        </w:rPr>
        <w:t xml:space="preserve"> kapcsolatos, többoldalú fórumokon elhangzó nyilvános nyilatkozatok és felszólalások révén. A DG ECHO az ENSZ Közgyűlésének miniszteri hete alkalmával magas szintű kísérő rendezvényt szervezett a nemzetközi humanitárius jog megsértésével, különösen a szexuális és nemi alapú erőszakkal kapcsolatos elszámoltathatóság előmozdításáról. A nemzetközi humanitárius jog a 2022 márciusában megrendezett első európai humanitárius fórumon is kiemelt szerepet kapott. A DG ECHO továbbra is támogatta és szorgalmazta a humanitárius és egészségügyi dolgozók, valamint az oktatási ágazat védelmét a támadásokkal szemben, ezenkívül intézkedéseket hajtott végre a fegyveres konfliktusokban érintett gyermekek érdekében. A DG ECHO – különösen a nemzetközi humanitárius joggal foglalkozó szolgálatközi csoport révén – elősegítette az érintett uniós szereplők közötti koordinációt, és támogatta az erősebb uniós humanitárius diplomáciát. A DG ECHO az első tematikus programalapú partnerségén keresztül finanszírozást bocsátott rendelkezésre a nemzetközi humanitárius joggal kapcsolatos projektek – főként a Vöröskereszt Nemzetközi Bizottsága által kezdeményezett, a nemzetközi humanitárius jog megsértésének megelőzésére irányuló program – számára.</w:t>
      </w:r>
    </w:p>
    <w:p w14:paraId="2C462574" w14:textId="5D11629D" w:rsidR="00D62E28" w:rsidRPr="00895341" w:rsidRDefault="00D62E28" w:rsidP="00063C9A">
      <w:pPr>
        <w:rPr>
          <w:rFonts w:eastAsia="EC Square Sans Pro" w:cs="EC Square Sans Pro"/>
          <w:noProof/>
          <w:color w:val="242424"/>
        </w:rPr>
      </w:pPr>
      <w:r>
        <w:rPr>
          <w:noProof/>
          <w:color w:val="242424"/>
        </w:rPr>
        <w:t xml:space="preserve">Tekintettel a nemzetközi humanitárius jog folyamatos megsértésére, valamint a mai válságok során előforduló erőszak, nélkülözés és bántalmazás széles körű kockázataira és eseteire, a DG ECHO továbbra is prioritásként kezeli a </w:t>
      </w:r>
      <w:r>
        <w:rPr>
          <w:b/>
          <w:noProof/>
          <w:color w:val="242424"/>
        </w:rPr>
        <w:t>védelmet</w:t>
      </w:r>
      <w:r>
        <w:rPr>
          <w:noProof/>
          <w:color w:val="242424"/>
        </w:rPr>
        <w:t>, a beavatkozások valamennyi ágazatában érvényesítve a nemek és a különböző életkorúak közötti egyenlőséget,</w:t>
      </w:r>
      <w:r>
        <w:rPr>
          <w:noProof/>
        </w:rPr>
        <w:t xml:space="preserve"> továbbá a „</w:t>
      </w:r>
      <w:r>
        <w:rPr>
          <w:i/>
          <w:noProof/>
        </w:rPr>
        <w:t>Nemek: Különböző szükségletek, testre szabott segítségnyújtás</w:t>
      </w:r>
      <w:r>
        <w:rPr>
          <w:noProof/>
        </w:rPr>
        <w:t>” című bizottsági szolgálati munkadokumentumban(</w:t>
      </w:r>
      <w:r>
        <w:rPr>
          <w:noProof/>
          <w:vertAlign w:val="superscript"/>
        </w:rPr>
        <w:footnoteReference w:id="19"/>
      </w:r>
      <w:r>
        <w:rPr>
          <w:noProof/>
        </w:rPr>
        <w:t>) felvázolta a humanitárius válságok összefüggésében a nemek közötti egyenlőséggel és a nemi alapú erőszakkal kapcsolatos megközelítést. A DG ECHO, amely továbbra is aktív tagja a vészhelyzetekben elkövetett nemi alapú erőszakkal szembeni védelem biztosítására irányuló cselekvési felhívásnak(</w:t>
      </w:r>
      <w:r>
        <w:rPr>
          <w:rStyle w:val="FootnoteReference"/>
          <w:noProof/>
        </w:rPr>
        <w:footnoteReference w:id="20"/>
      </w:r>
      <w:r>
        <w:rPr>
          <w:noProof/>
        </w:rPr>
        <w:t>), beszámolt a 2021–2025-ös ütemtervhez kapcsolódóan(</w:t>
      </w:r>
      <w:r>
        <w:rPr>
          <w:rStyle w:val="FootnoteReference"/>
          <w:noProof/>
        </w:rPr>
        <w:footnoteReference w:id="21"/>
      </w:r>
      <w:r>
        <w:rPr>
          <w:noProof/>
        </w:rPr>
        <w:t xml:space="preserve">) tett kötelezettségvállalásokról. A DG ECHO ezenkívül – több közelmúltbeli és jelenlegi válság vonatkozásában tett megfigyelésre reagálva – nagyobb figyelmet fordított a konfliktushelyzetekhez kapcsolódó szexuális erőszakra. A 2021. évi </w:t>
      </w:r>
      <w:r>
        <w:rPr>
          <w:noProof/>
          <w:color w:val="242424"/>
        </w:rPr>
        <w:t>gyermekjogi(</w:t>
      </w:r>
      <w:r>
        <w:rPr>
          <w:rFonts w:eastAsia="EC Square Sans Pro" w:cs="EC Square Sans Pro"/>
          <w:noProof/>
          <w:color w:val="242424"/>
          <w:vertAlign w:val="superscript"/>
        </w:rPr>
        <w:footnoteReference w:id="22"/>
      </w:r>
      <w:r>
        <w:rPr>
          <w:noProof/>
          <w:color w:val="242424"/>
        </w:rPr>
        <w:t>) stratégiával összhangban a DG ECHO megerősítette gyermekvédelmi tevékenységeit, többek között érdekképviseleti tevékenységek révén. A DG ECHO ezenkívül különös figyelmet fordított a fogyatékossággal élő személyek szükségleteinek kezelésére, összhangban a fogyatékossággal élők uniós finanszírozású humanitárius segítségnyújtási műveletekbe való bevonásáról szóló iránymutatással, valamint a fogyatékossággal élő személyek jogairól szóló, a 2021–2030-as időszakra vonatkozó stratégiával.</w:t>
      </w:r>
    </w:p>
    <w:p w14:paraId="1A1799CD" w14:textId="25D388DD" w:rsidR="00D62E28" w:rsidRPr="00895341" w:rsidRDefault="57D4CB5A" w:rsidP="00063C9A">
      <w:pPr>
        <w:rPr>
          <w:rFonts w:eastAsia="EC Square Sans Pro" w:cs="EC Square Sans Pro"/>
          <w:noProof/>
          <w:color w:val="242424"/>
        </w:rPr>
      </w:pPr>
      <w:r>
        <w:rPr>
          <w:noProof/>
          <w:color w:val="242424"/>
        </w:rPr>
        <w:t xml:space="preserve">A DG ECHO továbbra is hangsúlyt fektetett </w:t>
      </w:r>
      <w:r>
        <w:rPr>
          <w:b/>
          <w:noProof/>
          <w:color w:val="242424"/>
        </w:rPr>
        <w:t>a szükséghelyzetben lévők oktatására</w:t>
      </w:r>
      <w:r>
        <w:rPr>
          <w:noProof/>
          <w:color w:val="242424"/>
        </w:rPr>
        <w:t>, és továbbra is elkötelezett amellett, hogy a kezdeti éves uniós humanitárius segítségnyújtási költségvetésből 10 %-ot kitevő ambiciózus szintű beruházással támogassa az oktatást. 2022-ben a szükséghelyzetben lévők oktatásába történő teljes beruházás több mint 220 millió EUR-t tett ki, azzal a céllal, hogy több mint 6 millió gyermek és fiatal számára biztosítson közvetlen vagy közvetett oktatási támogatást.</w:t>
      </w:r>
    </w:p>
    <w:p w14:paraId="16740BF7" w14:textId="1AA04091" w:rsidR="00D62E28" w:rsidRDefault="00D62E28" w:rsidP="00063C9A">
      <w:pPr>
        <w:rPr>
          <w:noProof/>
        </w:rPr>
      </w:pPr>
      <w:r>
        <w:rPr>
          <w:noProof/>
          <w:color w:val="242424"/>
        </w:rPr>
        <w:t xml:space="preserve">Ami a </w:t>
      </w:r>
      <w:r>
        <w:rPr>
          <w:b/>
          <w:noProof/>
          <w:color w:val="242424"/>
        </w:rPr>
        <w:t>humanitárius célú készpénztámogatásokat</w:t>
      </w:r>
      <w:r>
        <w:rPr>
          <w:noProof/>
          <w:color w:val="242424"/>
        </w:rPr>
        <w:t>(</w:t>
      </w:r>
      <w:r>
        <w:rPr>
          <w:rFonts w:eastAsia="EC Square Sans Pro" w:cs="EC Square Sans Pro"/>
          <w:noProof/>
          <w:color w:val="242424"/>
          <w:vertAlign w:val="superscript"/>
        </w:rPr>
        <w:footnoteReference w:id="23"/>
      </w:r>
      <w:r>
        <w:rPr>
          <w:noProof/>
          <w:color w:val="242424"/>
        </w:rPr>
        <w:t xml:space="preserve">) illeti, a DG ECHO 2022 márciusában közzétette politikáját, amelyet széles körben terjesztett a készpénzprogramok minőségének és hatékonyságának javítása érdekében. Ez a politika minőségi ugrást jelent a készpénztámogatások és a szociális védelem összekapcsolásában, és szinergiákat tesz lehetővé a digitalizáció és a humanitárius segítségnyújtás környezetbarátabbá tétele terén végbement kulcsfontosságú fejleményekkel. Az Egyesült Államokkal </w:t>
      </w:r>
      <w:r>
        <w:rPr>
          <w:noProof/>
        </w:rPr>
        <w:t>(Humanitárius Segélyek Hivatala és Népesedési, Menekültügyi és Migrációs Iroda) együtt a DG ECHO képviselte a készpénzalapú donorfórumot a készpénzkoordinációval foglalkozó frakcióban a „Nagyszabású egyezség 2.0” keretében. Az új modellt az Ügynökségközi Állandó Bizottság hagyta jóvá, és az jelentős lépést jelentett a humanitárius koordinációs struktúrában, beleértve a helyi szereplők határozott részvételét is.</w:t>
      </w:r>
    </w:p>
    <w:p w14:paraId="78628195" w14:textId="3F36576F" w:rsidR="004D03F8" w:rsidRPr="004D03F8" w:rsidRDefault="00D62E28" w:rsidP="00D62E28">
      <w:pPr>
        <w:rPr>
          <w:i/>
          <w:iCs/>
          <w:noProof/>
          <w:highlight w:val="yellow"/>
        </w:rPr>
      </w:pPr>
      <w:r>
        <w:rPr>
          <w:noProof/>
          <w:color w:val="242424"/>
        </w:rPr>
        <w:t xml:space="preserve">Az </w:t>
      </w:r>
      <w:r>
        <w:rPr>
          <w:b/>
          <w:noProof/>
        </w:rPr>
        <w:t>éghajlatváltozást és a környezetkárosodást</w:t>
      </w:r>
      <w:r>
        <w:rPr>
          <w:noProof/>
        </w:rPr>
        <w:t xml:space="preserve"> illetően a DG ECHO a humanitárius reagálását még jobban a növekvő és változó szükségletekhez igazította. A humanitárius tevékenységekben most már figyelembe veszik az éghajlati kockázatokat. 2022-ben minimális környezetvédelmi követelményeket és kapcsolódó iránymutatásokat(</w:t>
      </w:r>
      <w:r>
        <w:rPr>
          <w:rFonts w:eastAsiaTheme="minorEastAsia"/>
          <w:noProof/>
          <w:vertAlign w:val="superscript"/>
        </w:rPr>
        <w:footnoteReference w:id="24"/>
      </w:r>
      <w:r>
        <w:rPr>
          <w:noProof/>
        </w:rPr>
        <w:t>) tettek közzé a humanitárius segítségnyújtás szénlábnyomának és az általa okozott környezeti károk csökkentése érdekében. Technikai segítségnyújtást és támogatást biztosítottak a partnereknek és a DG ECHO személyzetének annak érdekében, hogy a környezetvédelmi megfontolásokat beépítsék a DG ECHO és partnerei humanitárius segítségnyújtási műveleteibe. Ezen túlmenően a DG ECHO tovább erősítette a katasztrófavédelmi felkészültséghez(</w:t>
      </w:r>
      <w:r>
        <w:rPr>
          <w:noProof/>
          <w:vertAlign w:val="superscript"/>
        </w:rPr>
        <w:footnoteReference w:id="25"/>
      </w:r>
      <w:r>
        <w:rPr>
          <w:noProof/>
        </w:rPr>
        <w:t>) nyújtott támogatását, ami előmozdítja a több veszélyre való felkészültséget és a megelőző intézkedéseket. 2022-ben 77 millió EUR-t különítettek el célzott felkészültségi tevékenységekre (további részletekért lásd az I. mellékletet), és az uniós finanszírozású humanitárius tevékenységek 32 %-a tartalmazott katasztrófavédelmi felkészültséggel kapcsolatos elemeket(</w:t>
      </w:r>
      <w:r>
        <w:rPr>
          <w:noProof/>
          <w:vertAlign w:val="superscript"/>
        </w:rPr>
        <w:footnoteReference w:id="26"/>
      </w:r>
      <w:r>
        <w:rPr>
          <w:noProof/>
        </w:rPr>
        <w:t>).</w:t>
      </w:r>
    </w:p>
    <w:p w14:paraId="4199B15D" w14:textId="22C50C4D" w:rsidR="46E93EA6" w:rsidRDefault="3FDC9EC6" w:rsidP="46E93EA6">
      <w:pPr>
        <w:rPr>
          <w:noProof/>
        </w:rPr>
      </w:pPr>
      <w:r>
        <w:rPr>
          <w:noProof/>
        </w:rPr>
        <w:t>A DG ECHO az uniós szolidaritás narratíváján alapuló kommunikációs tevékenységek kombinációját dolgozta ki, amelyek célja az uniós humanitárius segítségnyújtás és a polgári védelem magas szintű lakossági és politikai támogatásának fenntartása volt. A DG ECHO például egy sor központi és helyi sajtóközleményt tett közzé, és újraindította az európai újságírókkal folytatott sikeres helyszíni látogatásokat, valamint a Janez Lenarčič biztost kísérő újságírók utazásait. A DG ECHO 2022-ben számos figyelemfelkeltő kampányt folytatott, például a „Climate Connect” kampányt, amely az éghajlatváltozás humanitárius hatásait mutatta be, és több mint 36 millió fiatalt ért el a tagállamokban.</w:t>
      </w:r>
    </w:p>
    <w:p w14:paraId="76121D8C" w14:textId="7C75AAAE" w:rsidR="004D03F8" w:rsidRPr="00D62E28" w:rsidRDefault="003B0CC5" w:rsidP="004D03F8">
      <w:pPr>
        <w:pStyle w:val="Heading1"/>
        <w:numPr>
          <w:ilvl w:val="0"/>
          <w:numId w:val="0"/>
        </w:numPr>
        <w:ind w:left="482" w:hanging="482"/>
        <w:rPr>
          <w:rStyle w:val="IntenseReference"/>
          <w:b/>
          <w:bCs w:val="0"/>
          <w:noProof/>
        </w:rPr>
      </w:pPr>
      <w:bookmarkStart w:id="9" w:name="_Toc139283305"/>
      <w:bookmarkStart w:id="10" w:name="_Toc143599866"/>
      <w:r>
        <w:rPr>
          <w:rStyle w:val="IntenseReference"/>
          <w:b/>
          <w:noProof/>
        </w:rPr>
        <w:t>A konkrét műveletekkel kapcsolatban végzett külső értékelések felülvizsgálata</w:t>
      </w:r>
      <w:bookmarkEnd w:id="9"/>
      <w:bookmarkEnd w:id="10"/>
    </w:p>
    <w:p w14:paraId="38FA9FC5" w14:textId="211D4BAB" w:rsidR="004D03F8" w:rsidRDefault="004D03F8" w:rsidP="004D03F8">
      <w:pPr>
        <w:rPr>
          <w:noProof/>
        </w:rPr>
        <w:sectPr w:rsidR="004D03F8" w:rsidSect="000B439B">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1906" w:h="16838"/>
          <w:pgMar w:top="1020" w:right="1701" w:bottom="1020" w:left="1587" w:header="601" w:footer="1077" w:gutter="0"/>
          <w:cols w:space="720"/>
          <w:titlePg/>
          <w:docGrid w:linePitch="326"/>
        </w:sectPr>
      </w:pPr>
      <w:r>
        <w:rPr>
          <w:noProof/>
        </w:rPr>
        <w:t xml:space="preserve">A Bizottság értékelő szolgálatai felelősek az értékelési funkció irányításáért, koordinálásáért, nyomon követéséért és az azzal kapcsolatos jelentésért. A megalapozott döntéshozatalt és az elszámoltathatóságot időszerű, magas színvonalú értékelési eredményekkel biztosítják. Az értékelések lehetnek földrajzi, tematikus vagy konkrét partnerségre összpontosító értékelések. A III. melléklet tartalmazza a 2022-ben elvégzett és a folyamatban lévő értékelések jegyzékét. </w:t>
      </w:r>
    </w:p>
    <w:p w14:paraId="4BD22057" w14:textId="47AA335D" w:rsidR="00204559" w:rsidRPr="00474003" w:rsidRDefault="00204559" w:rsidP="00474003">
      <w:pPr>
        <w:pStyle w:val="Heading1"/>
        <w:numPr>
          <w:ilvl w:val="0"/>
          <w:numId w:val="0"/>
        </w:numPr>
        <w:ind w:left="482" w:hanging="482"/>
        <w:rPr>
          <w:rStyle w:val="IntenseReference"/>
          <w:b/>
          <w:bCs w:val="0"/>
          <w:noProof/>
        </w:rPr>
      </w:pPr>
      <w:bookmarkStart w:id="11" w:name="_Toc143599867"/>
      <w:bookmarkStart w:id="12" w:name="_Hlk136958827"/>
      <w:r>
        <w:rPr>
          <w:rStyle w:val="IntenseReference"/>
          <w:b/>
          <w:noProof/>
        </w:rPr>
        <w:t>KAPCSOLÓDÓ LINKEK</w:t>
      </w:r>
      <w:bookmarkEnd w:id="11"/>
    </w:p>
    <w:p w14:paraId="62BDA879" w14:textId="678148FB" w:rsidR="00204559" w:rsidRPr="00204559" w:rsidRDefault="00204559" w:rsidP="00204559">
      <w:pPr>
        <w:pStyle w:val="ListParagraph"/>
        <w:numPr>
          <w:ilvl w:val="0"/>
          <w:numId w:val="36"/>
        </w:numPr>
        <w:rPr>
          <w:rFonts w:ascii="Times New Roman" w:hAnsi="Times New Roman" w:cs="Times New Roman"/>
          <w:noProof/>
          <w:sz w:val="24"/>
          <w:szCs w:val="24"/>
        </w:rPr>
      </w:pPr>
      <w:bookmarkStart w:id="13" w:name="bookmark15"/>
      <w:r>
        <w:rPr>
          <w:rFonts w:ascii="Times New Roman" w:hAnsi="Times New Roman"/>
          <w:noProof/>
          <w:sz w:val="24"/>
        </w:rPr>
        <w:t>A DG ECHO-ra vonatkozó általános információk:</w:t>
      </w:r>
      <w:bookmarkEnd w:id="13"/>
    </w:p>
    <w:p w14:paraId="218203E4" w14:textId="65D9A8FC" w:rsidR="00204559" w:rsidRPr="00204559" w:rsidRDefault="00D1039A" w:rsidP="00204559">
      <w:pPr>
        <w:pStyle w:val="ListParagraph"/>
        <w:rPr>
          <w:rStyle w:val="Bodytext20"/>
          <w:rFonts w:eastAsiaTheme="minorHAnsi"/>
          <w:noProof/>
          <w:color w:val="0000FF"/>
        </w:rPr>
      </w:pPr>
      <w:hyperlink r:id="rId27" w:history="1">
        <w:r w:rsidR="00BD4EB2">
          <w:rPr>
            <w:rStyle w:val="Hyperlink"/>
            <w:rFonts w:ascii="Times New Roman" w:hAnsi="Times New Roman"/>
            <w:noProof/>
            <w:sz w:val="24"/>
            <w:shd w:val="clear" w:color="auto" w:fill="FFFFFF"/>
          </w:rPr>
          <w:t>http://ec.europa.eu/echo/hu</w:t>
        </w:r>
      </w:hyperlink>
    </w:p>
    <w:p w14:paraId="5F3A3FA6" w14:textId="77777777" w:rsidR="00204559" w:rsidRPr="00204559" w:rsidRDefault="00204559" w:rsidP="00204559">
      <w:pPr>
        <w:pStyle w:val="ListParagraph"/>
        <w:rPr>
          <w:rStyle w:val="Bodytext20"/>
          <w:rFonts w:eastAsiaTheme="minorHAnsi"/>
          <w:noProof/>
          <w:color w:val="0000FF"/>
          <w:lang w:val="en-GB"/>
        </w:rPr>
      </w:pPr>
    </w:p>
    <w:p w14:paraId="38C3BFFB" w14:textId="06F300AD" w:rsidR="00204559" w:rsidRPr="00204559" w:rsidRDefault="00204559" w:rsidP="00204559">
      <w:pPr>
        <w:pStyle w:val="ListParagraph"/>
        <w:numPr>
          <w:ilvl w:val="0"/>
          <w:numId w:val="36"/>
        </w:numPr>
        <w:rPr>
          <w:rFonts w:ascii="Times New Roman" w:hAnsi="Times New Roman" w:cs="Times New Roman"/>
          <w:noProof/>
          <w:sz w:val="24"/>
          <w:szCs w:val="24"/>
        </w:rPr>
      </w:pPr>
      <w:r>
        <w:rPr>
          <w:rFonts w:ascii="Times New Roman" w:hAnsi="Times New Roman"/>
          <w:noProof/>
          <w:sz w:val="24"/>
        </w:rPr>
        <w:t>Az Európai Bizottság 2022. évi humanitárius segítségnyújtási tevékenységére vonatkozó pénzügyi információk:</w:t>
      </w:r>
    </w:p>
    <w:p w14:paraId="596A718D" w14:textId="6A34C9A6" w:rsidR="00204559" w:rsidRDefault="00D1039A" w:rsidP="00204559">
      <w:pPr>
        <w:pStyle w:val="ListParagraph"/>
        <w:rPr>
          <w:rFonts w:ascii="Times New Roman" w:hAnsi="Times New Roman" w:cs="Times New Roman"/>
          <w:noProof/>
          <w:sz w:val="24"/>
          <w:szCs w:val="24"/>
        </w:rPr>
      </w:pPr>
      <w:hyperlink r:id="rId28" w:history="1">
        <w:r w:rsidR="00BD4EB2">
          <w:rPr>
            <w:rStyle w:val="Hyperlink"/>
            <w:rFonts w:ascii="Times New Roman" w:hAnsi="Times New Roman"/>
            <w:noProof/>
            <w:sz w:val="24"/>
          </w:rPr>
          <w:t>2022-es finanszírozási határozatok (humanitárius végrehajtási tervek) (europa.eu)</w:t>
        </w:r>
      </w:hyperlink>
    </w:p>
    <w:p w14:paraId="502D3AB3" w14:textId="77777777" w:rsidR="004D03F8" w:rsidRPr="001C043F" w:rsidRDefault="004D03F8" w:rsidP="00204559">
      <w:pPr>
        <w:pStyle w:val="ListParagraph"/>
        <w:rPr>
          <w:rFonts w:ascii="Times New Roman" w:hAnsi="Times New Roman" w:cs="Times New Roman"/>
          <w:noProof/>
          <w:sz w:val="24"/>
          <w:szCs w:val="24"/>
        </w:rPr>
      </w:pPr>
    </w:p>
    <w:p w14:paraId="2E178A9C" w14:textId="0628DA0C" w:rsidR="00204559" w:rsidRPr="00204559" w:rsidRDefault="00204559" w:rsidP="00204559">
      <w:pPr>
        <w:pStyle w:val="ListParagraph"/>
        <w:numPr>
          <w:ilvl w:val="0"/>
          <w:numId w:val="36"/>
        </w:numPr>
        <w:rPr>
          <w:rFonts w:ascii="Times New Roman" w:hAnsi="Times New Roman" w:cs="Times New Roman"/>
          <w:noProof/>
          <w:color w:val="000000" w:themeColor="text1"/>
          <w:sz w:val="24"/>
          <w:szCs w:val="24"/>
          <w:u w:val="single"/>
        </w:rPr>
      </w:pPr>
      <w:r>
        <w:rPr>
          <w:rFonts w:ascii="Times New Roman" w:hAnsi="Times New Roman"/>
          <w:noProof/>
          <w:sz w:val="24"/>
        </w:rPr>
        <w:t>Korábbi években végrehajtott műveletekre vonatkozó információk:</w:t>
      </w:r>
    </w:p>
    <w:p w14:paraId="5A823466" w14:textId="6841B1AF" w:rsidR="00204559" w:rsidRPr="00204559" w:rsidRDefault="00D1039A" w:rsidP="00204559">
      <w:pPr>
        <w:pStyle w:val="ListParagraph"/>
        <w:rPr>
          <w:rStyle w:val="Hyperlink"/>
          <w:rFonts w:ascii="Times New Roman" w:hAnsi="Times New Roman" w:cs="Times New Roman"/>
          <w:noProof/>
          <w:sz w:val="24"/>
          <w:szCs w:val="24"/>
        </w:rPr>
      </w:pPr>
      <w:hyperlink r:id="rId29" w:anchor="department_plans" w:history="1">
        <w:r w:rsidR="00BD4EB2">
          <w:rPr>
            <w:rStyle w:val="Hyperlink"/>
            <w:rFonts w:ascii="Times New Roman" w:hAnsi="Times New Roman"/>
            <w:noProof/>
            <w:sz w:val="24"/>
          </w:rPr>
          <w:t>Európai polgári védelmi és humanitárius segítségnyújtási műveletek |</w:t>
        </w:r>
      </w:hyperlink>
      <w:hyperlink r:id="rId30" w:anchor="department_plans" w:history="1">
        <w:r w:rsidR="00BD4EB2">
          <w:rPr>
            <w:rStyle w:val="Hyperlink"/>
            <w:rFonts w:ascii="Times New Roman" w:hAnsi="Times New Roman"/>
            <w:noProof/>
            <w:sz w:val="24"/>
          </w:rPr>
          <w:t xml:space="preserve"> Európai Bizottság (europa.eu)</w:t>
        </w:r>
      </w:hyperlink>
    </w:p>
    <w:p w14:paraId="4C4E3DDE" w14:textId="77777777" w:rsidR="00204559" w:rsidRPr="00204559" w:rsidRDefault="00204559" w:rsidP="00204559">
      <w:pPr>
        <w:pStyle w:val="ListParagraph"/>
        <w:rPr>
          <w:rStyle w:val="Hyperlink"/>
          <w:rFonts w:ascii="Times New Roman" w:hAnsi="Times New Roman" w:cs="Times New Roman"/>
          <w:noProof/>
          <w:sz w:val="24"/>
          <w:szCs w:val="24"/>
        </w:rPr>
      </w:pPr>
    </w:p>
    <w:p w14:paraId="01FB8870" w14:textId="3B4A70AC" w:rsidR="00204559" w:rsidRPr="00204559" w:rsidRDefault="00204559" w:rsidP="00204559">
      <w:pPr>
        <w:pStyle w:val="ListParagraph"/>
        <w:numPr>
          <w:ilvl w:val="0"/>
          <w:numId w:val="36"/>
        </w:numPr>
        <w:rPr>
          <w:rFonts w:ascii="Times New Roman" w:hAnsi="Times New Roman" w:cs="Times New Roman"/>
          <w:noProof/>
          <w:sz w:val="24"/>
          <w:szCs w:val="24"/>
        </w:rPr>
      </w:pPr>
      <w:r>
        <w:rPr>
          <w:rFonts w:ascii="Times New Roman" w:hAnsi="Times New Roman"/>
          <w:noProof/>
          <w:sz w:val="24"/>
        </w:rPr>
        <w:t>2022. évi éves tevékenységi jelentés, DG ECHO:</w:t>
      </w:r>
    </w:p>
    <w:p w14:paraId="7BBE8D4E" w14:textId="659B3E37" w:rsidR="001C043F" w:rsidRPr="001C043F" w:rsidRDefault="00D1039A" w:rsidP="001C043F">
      <w:pPr>
        <w:pStyle w:val="ListParagraph"/>
        <w:rPr>
          <w:rFonts w:ascii="Times New Roman" w:hAnsi="Times New Roman" w:cs="Times New Roman"/>
          <w:noProof/>
          <w:sz w:val="24"/>
          <w:szCs w:val="24"/>
        </w:rPr>
      </w:pPr>
      <w:hyperlink r:id="rId31" w:history="1">
        <w:r w:rsidR="00BD4EB2">
          <w:rPr>
            <w:rStyle w:val="Hyperlink"/>
            <w:rFonts w:ascii="Times New Roman" w:hAnsi="Times New Roman"/>
            <w:noProof/>
            <w:sz w:val="24"/>
          </w:rPr>
          <w:t>2022. évi éves tevékenységi jelentés – Európai polgári védelmi és humanitárius segítségnyújtási műveletek (ECHO) (europa.eu)</w:t>
        </w:r>
      </w:hyperlink>
    </w:p>
    <w:p w14:paraId="12C5D092" w14:textId="77777777" w:rsidR="00204559" w:rsidRPr="00204559" w:rsidRDefault="00204559" w:rsidP="00204559">
      <w:pPr>
        <w:pStyle w:val="ListParagraph"/>
        <w:rPr>
          <w:rFonts w:ascii="Times New Roman" w:hAnsi="Times New Roman" w:cs="Times New Roman"/>
          <w:noProof/>
          <w:sz w:val="24"/>
          <w:szCs w:val="24"/>
        </w:rPr>
      </w:pPr>
    </w:p>
    <w:p w14:paraId="3F76CD76" w14:textId="31D1581E" w:rsidR="00204559" w:rsidRPr="00204559" w:rsidRDefault="00204559" w:rsidP="00204559">
      <w:pPr>
        <w:pStyle w:val="ListParagraph"/>
        <w:numPr>
          <w:ilvl w:val="0"/>
          <w:numId w:val="36"/>
        </w:numPr>
        <w:rPr>
          <w:rFonts w:ascii="Times New Roman" w:hAnsi="Times New Roman" w:cs="Times New Roman"/>
          <w:noProof/>
          <w:sz w:val="24"/>
          <w:szCs w:val="24"/>
        </w:rPr>
      </w:pPr>
      <w:r>
        <w:rPr>
          <w:rFonts w:ascii="Times New Roman" w:hAnsi="Times New Roman"/>
          <w:noProof/>
          <w:sz w:val="24"/>
        </w:rPr>
        <w:t>2022. évi éves irányítási és teljesítményjelentés:</w:t>
      </w:r>
    </w:p>
    <w:p w14:paraId="68D1D2C0" w14:textId="472E4460" w:rsidR="00204559" w:rsidRDefault="00D1039A" w:rsidP="00F65D00">
      <w:pPr>
        <w:pStyle w:val="ListParagraph"/>
        <w:rPr>
          <w:rFonts w:ascii="Times New Roman" w:hAnsi="Times New Roman" w:cs="Times New Roman"/>
          <w:noProof/>
          <w:sz w:val="24"/>
          <w:szCs w:val="24"/>
        </w:rPr>
      </w:pPr>
      <w:hyperlink r:id="rId32" w:history="1">
        <w:r w:rsidR="00BD4EB2">
          <w:rPr>
            <w:rStyle w:val="Hyperlink"/>
            <w:rFonts w:ascii="Times New Roman" w:hAnsi="Times New Roman"/>
            <w:noProof/>
            <w:sz w:val="24"/>
          </w:rPr>
          <w:t>2022. évi éves irányítási és teljesítményjelentés (europa.eu)</w:t>
        </w:r>
      </w:hyperlink>
    </w:p>
    <w:p w14:paraId="67840B2C" w14:textId="77777777" w:rsidR="001C043F" w:rsidRPr="00204559" w:rsidRDefault="001C043F" w:rsidP="00204559">
      <w:pPr>
        <w:pStyle w:val="ListParagraph"/>
        <w:rPr>
          <w:rFonts w:ascii="Times New Roman" w:hAnsi="Times New Roman" w:cs="Times New Roman"/>
          <w:noProof/>
          <w:sz w:val="24"/>
          <w:szCs w:val="24"/>
        </w:rPr>
      </w:pPr>
    </w:p>
    <w:p w14:paraId="79DE709F" w14:textId="5501E9AB" w:rsidR="00204559" w:rsidRPr="00204559" w:rsidRDefault="00204559" w:rsidP="00204559">
      <w:pPr>
        <w:pStyle w:val="ListParagraph"/>
        <w:numPr>
          <w:ilvl w:val="0"/>
          <w:numId w:val="36"/>
        </w:numPr>
        <w:rPr>
          <w:rFonts w:ascii="Times New Roman" w:hAnsi="Times New Roman" w:cs="Times New Roman"/>
          <w:noProof/>
          <w:sz w:val="24"/>
          <w:szCs w:val="24"/>
        </w:rPr>
      </w:pPr>
      <w:r>
        <w:rPr>
          <w:rFonts w:ascii="Times New Roman" w:hAnsi="Times New Roman"/>
          <w:noProof/>
          <w:sz w:val="24"/>
        </w:rPr>
        <w:t>A DG ECHO értékelő jelentései:</w:t>
      </w:r>
    </w:p>
    <w:p w14:paraId="65937CD8" w14:textId="456E3A4F" w:rsidR="00204559" w:rsidRPr="00204559" w:rsidRDefault="00D1039A" w:rsidP="00204559">
      <w:pPr>
        <w:pStyle w:val="ListParagraph"/>
        <w:rPr>
          <w:rFonts w:ascii="Times New Roman" w:hAnsi="Times New Roman" w:cs="Times New Roman"/>
          <w:noProof/>
          <w:sz w:val="24"/>
          <w:szCs w:val="24"/>
        </w:rPr>
      </w:pPr>
      <w:hyperlink r:id="rId33" w:history="1">
        <w:r w:rsidR="00BD4EB2">
          <w:rPr>
            <w:rStyle w:val="Hyperlink"/>
            <w:rFonts w:ascii="Times New Roman" w:hAnsi="Times New Roman"/>
            <w:noProof/>
            <w:sz w:val="24"/>
          </w:rPr>
          <w:t>https://ec.europa.eu/echo/funding-evaluations/evaluations_hu</w:t>
        </w:r>
      </w:hyperlink>
    </w:p>
    <w:p w14:paraId="6CFC7331" w14:textId="77777777" w:rsidR="00204559" w:rsidRPr="00204559" w:rsidRDefault="00204559" w:rsidP="00204559">
      <w:pPr>
        <w:pStyle w:val="ListParagraph"/>
        <w:rPr>
          <w:rFonts w:ascii="Times New Roman" w:hAnsi="Times New Roman" w:cs="Times New Roman"/>
          <w:noProof/>
          <w:sz w:val="24"/>
          <w:szCs w:val="24"/>
          <w:lang w:val="en-GB"/>
        </w:rPr>
      </w:pPr>
    </w:p>
    <w:p w14:paraId="662958B0" w14:textId="30BFC5D6" w:rsidR="00204559" w:rsidRPr="00204559" w:rsidRDefault="00204559" w:rsidP="00204559">
      <w:pPr>
        <w:pStyle w:val="ListParagraph"/>
        <w:numPr>
          <w:ilvl w:val="0"/>
          <w:numId w:val="36"/>
        </w:numPr>
        <w:rPr>
          <w:rFonts w:ascii="Times New Roman" w:hAnsi="Times New Roman" w:cs="Times New Roman"/>
          <w:noProof/>
          <w:sz w:val="24"/>
          <w:szCs w:val="24"/>
          <w:u w:val="single"/>
        </w:rPr>
      </w:pPr>
      <w:r>
        <w:rPr>
          <w:rFonts w:ascii="Times New Roman" w:hAnsi="Times New Roman"/>
          <w:noProof/>
          <w:sz w:val="24"/>
        </w:rPr>
        <w:t xml:space="preserve">Az Európai Bizottság és a tagállamok által biztosított humanitárius segítségnyújtásra vonatkozó pénzügyi adatok: </w:t>
      </w:r>
      <w:bookmarkEnd w:id="12"/>
      <w:r>
        <w:rPr>
          <w:noProof/>
          <w:color w:val="2B579A"/>
          <w:shd w:val="clear" w:color="auto" w:fill="E6E6E6"/>
        </w:rPr>
        <w:fldChar w:fldCharType="begin"/>
      </w:r>
      <w:r>
        <w:rPr>
          <w:noProof/>
        </w:rPr>
        <w:instrText>HYPERLINK "https://webgate.ec.europa.eu/hac/"</w:instrText>
      </w:r>
      <w:r>
        <w:rPr>
          <w:noProof/>
          <w:color w:val="2B579A"/>
          <w:shd w:val="clear" w:color="auto" w:fill="E6E6E6"/>
        </w:rPr>
        <w:fldChar w:fldCharType="separate"/>
      </w:r>
      <w:r>
        <w:rPr>
          <w:rStyle w:val="Hyperlink"/>
          <w:rFonts w:ascii="Times New Roman" w:hAnsi="Times New Roman"/>
          <w:noProof/>
          <w:sz w:val="24"/>
        </w:rPr>
        <w:t>https://webgate.ec.europa.eu/hac/</w:t>
      </w:r>
      <w:r>
        <w:rPr>
          <w:rStyle w:val="Hyperlink"/>
          <w:rFonts w:ascii="Times New Roman" w:hAnsi="Times New Roman" w:cs="Times New Roman"/>
          <w:noProof/>
          <w:sz w:val="24"/>
        </w:rPr>
        <w:fldChar w:fldCharType="end"/>
      </w:r>
    </w:p>
    <w:p w14:paraId="00D3187B" w14:textId="2C803A0A" w:rsidR="0032243F" w:rsidRPr="00204559" w:rsidRDefault="0032243F" w:rsidP="0032243F">
      <w:pPr>
        <w:rPr>
          <w:noProof/>
        </w:rPr>
      </w:pPr>
    </w:p>
    <w:sectPr w:rsidR="0032243F" w:rsidRPr="00204559" w:rsidSect="00204559">
      <w:headerReference w:type="even" r:id="rId34"/>
      <w:headerReference w:type="default" r:id="rId35"/>
      <w:footerReference w:type="even" r:id="rId36"/>
      <w:footerReference w:type="default" r:id="rId37"/>
      <w:headerReference w:type="first" r:id="rId38"/>
      <w:footerReference w:type="first" r:id="rId3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76BB2" w14:textId="77777777" w:rsidR="000712FA" w:rsidRDefault="000712FA">
      <w:pPr>
        <w:spacing w:after="0"/>
      </w:pPr>
      <w:r>
        <w:separator/>
      </w:r>
    </w:p>
  </w:endnote>
  <w:endnote w:type="continuationSeparator" w:id="0">
    <w:p w14:paraId="2F485A1F" w14:textId="77777777" w:rsidR="000712FA" w:rsidRDefault="000712FA">
      <w:pPr>
        <w:spacing w:after="0"/>
      </w:pPr>
      <w:r>
        <w:continuationSeparator/>
      </w:r>
    </w:p>
  </w:endnote>
  <w:endnote w:type="continuationNotice" w:id="1">
    <w:p w14:paraId="3A4FBB11" w14:textId="77777777" w:rsidR="000712FA" w:rsidRDefault="000712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C Square Sans Pro">
    <w:charset w:val="00"/>
    <w:family w:val="swiss"/>
    <w:pitch w:val="variable"/>
    <w:sig w:usb0="A00002BF" w:usb1="5000E0FB"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84B2" w14:textId="1AEE659C" w:rsidR="00F072EA" w:rsidRPr="00D1039A" w:rsidRDefault="00F072EA" w:rsidP="00D10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2CD8" w14:textId="0D843C34" w:rsidR="00F072EA" w:rsidRPr="00D1039A" w:rsidRDefault="00D1039A" w:rsidP="00D1039A">
    <w:pPr>
      <w:pStyle w:val="FooterCoverPage"/>
      <w:rPr>
        <w:rFonts w:ascii="Arial" w:hAnsi="Arial" w:cs="Arial"/>
        <w:b/>
        <w:sz w:val="48"/>
      </w:rPr>
    </w:pPr>
    <w:r w:rsidRPr="00D1039A">
      <w:rPr>
        <w:rFonts w:ascii="Arial" w:hAnsi="Arial" w:cs="Arial"/>
        <w:b/>
        <w:sz w:val="48"/>
      </w:rPr>
      <w:t>HU</w:t>
    </w:r>
    <w:r w:rsidRPr="00D1039A">
      <w:rPr>
        <w:rFonts w:ascii="Arial" w:hAnsi="Arial" w:cs="Arial"/>
        <w:b/>
        <w:sz w:val="48"/>
      </w:rPr>
      <w:tab/>
    </w:r>
    <w:r w:rsidRPr="00D1039A">
      <w:rPr>
        <w:rFonts w:ascii="Arial" w:hAnsi="Arial" w:cs="Arial"/>
        <w:b/>
        <w:sz w:val="48"/>
      </w:rPr>
      <w:tab/>
    </w:r>
    <w:r w:rsidRPr="00D1039A">
      <w:tab/>
    </w:r>
    <w:r w:rsidRPr="00D1039A">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0630" w14:textId="77777777" w:rsidR="00D1039A" w:rsidRPr="00D1039A" w:rsidRDefault="00D1039A" w:rsidP="00D1039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210C"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6CAC" w14:textId="428B086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rsidR="00D1039A">
      <w:rPr>
        <w:noProof/>
      </w:rPr>
      <w:t>10</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685" w14:textId="77777777" w:rsidR="000B439B" w:rsidRDefault="000B439B">
    <w:pPr>
      <w:pStyle w:val="Footer"/>
      <w:rPr>
        <w:sz w:val="24"/>
      </w:rPr>
    </w:pPr>
  </w:p>
  <w:p w14:paraId="02B408AE" w14:textId="77777777" w:rsidR="000B439B" w:rsidRDefault="00D1039A">
    <w:pPr>
      <w:pStyle w:val="Footer"/>
    </w:pPr>
    <w:sdt>
      <w:sdtPr>
        <w:id w:val="1557209356"/>
        <w:dataBinding w:xpath="/Author/Addresses/Address[Id = 'f03b5801-04c9-4931-aa17-c6d6c70bc579']/Footer" w:storeItemID="{60200E2F-7EB8-4DBE-8ADC-2077EA094298}"/>
        <w:text w:multiLine="1"/>
      </w:sdtPr>
      <w:sdtEndPr/>
      <w:sdtContent>
        <w:r w:rsidR="00BD4EB2">
          <w:t>Commission européenne/Europese Commissie, 1049 Bruxelles/Brussel, BELGIQUE/BELGIË – Tel. +32 22991111</w:t>
        </w:r>
      </w:sdtContent>
    </w:sdt>
  </w:p>
  <w:p w14:paraId="4FBD9CB4" w14:textId="77777777" w:rsidR="000B439B" w:rsidRDefault="000B43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CBDA"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w:t>
    </w:r>
    <w:r>
      <w:rPr>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451B" w14:textId="77777777" w:rsidR="000B439B" w:rsidRDefault="000B439B">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4</w:t>
    </w:r>
    <w:r>
      <w:rPr>
        <w:color w:val="2B579A"/>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7E7D" w14:textId="621CABCE" w:rsidR="00A838DA" w:rsidRDefault="00A838DA">
    <w:pPr>
      <w:pStyle w:val="Footer"/>
      <w:jc w:val="center"/>
    </w:pPr>
    <w:r>
      <w:fldChar w:fldCharType="begin"/>
    </w:r>
    <w:r>
      <w:instrText xml:space="preserve"> PAGE   \* MERGEFORMAT </w:instrText>
    </w:r>
    <w:r>
      <w:fldChar w:fldCharType="separate"/>
    </w:r>
    <w:r w:rsidR="00D1039A">
      <w:rPr>
        <w:noProof/>
      </w:rPr>
      <w:t>11</w:t>
    </w:r>
    <w:r>
      <w:fldChar w:fldCharType="end"/>
    </w:r>
  </w:p>
  <w:p w14:paraId="1035437F" w14:textId="77777777" w:rsidR="000B439B" w:rsidRDefault="000B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339A" w14:textId="77777777" w:rsidR="000712FA" w:rsidRDefault="000712FA">
      <w:pPr>
        <w:spacing w:after="0"/>
      </w:pPr>
      <w:r>
        <w:separator/>
      </w:r>
    </w:p>
  </w:footnote>
  <w:footnote w:type="continuationSeparator" w:id="0">
    <w:p w14:paraId="1B495D3B" w14:textId="77777777" w:rsidR="000712FA" w:rsidRDefault="000712FA">
      <w:pPr>
        <w:spacing w:after="0"/>
      </w:pPr>
      <w:r>
        <w:continuationSeparator/>
      </w:r>
    </w:p>
  </w:footnote>
  <w:footnote w:type="continuationNotice" w:id="1">
    <w:p w14:paraId="1E34F526" w14:textId="77777777" w:rsidR="000712FA" w:rsidRDefault="000712FA">
      <w:pPr>
        <w:spacing w:after="0"/>
      </w:pPr>
    </w:p>
  </w:footnote>
  <w:footnote w:id="2">
    <w:p w14:paraId="2F0C8EC8" w14:textId="0D44B18D" w:rsidR="00C77635" w:rsidRPr="00474003" w:rsidRDefault="00411067" w:rsidP="00474003">
      <w:pPr>
        <w:pStyle w:val="FootnoteText"/>
        <w:spacing w:after="0"/>
        <w:ind w:left="130"/>
        <w:contextualSpacing/>
        <w:rPr>
          <w:sz w:val="18"/>
          <w:szCs w:val="18"/>
        </w:rPr>
      </w:pPr>
      <w:r>
        <w:rPr>
          <w:sz w:val="18"/>
        </w:rPr>
        <w:t>(</w:t>
      </w:r>
      <w:r>
        <w:rPr>
          <w:rStyle w:val="FootnoteReference"/>
          <w:sz w:val="18"/>
          <w:szCs w:val="18"/>
        </w:rPr>
        <w:footnoteRef/>
      </w:r>
      <w:r>
        <w:rPr>
          <w:sz w:val="18"/>
        </w:rPr>
        <w:t xml:space="preserve">) </w:t>
      </w:r>
      <w:hyperlink r:id="rId1" w:history="1">
        <w:r>
          <w:rPr>
            <w:rStyle w:val="Hyperlink"/>
            <w:color w:val="auto"/>
            <w:sz w:val="18"/>
          </w:rPr>
          <w:t>EUR-Lex – 12016ME/TXT – HU – EUR-Lex (europa.eu)</w:t>
        </w:r>
      </w:hyperlink>
    </w:p>
  </w:footnote>
  <w:footnote w:id="3">
    <w:p w14:paraId="07BE2B9D" w14:textId="1F5C2AB1" w:rsidR="00C77635" w:rsidRPr="00474003" w:rsidRDefault="00411067" w:rsidP="00474003">
      <w:pPr>
        <w:pStyle w:val="FootnoteText"/>
        <w:spacing w:after="0"/>
        <w:ind w:left="130" w:hanging="227"/>
        <w:contextualSpacing/>
        <w:rPr>
          <w:sz w:val="18"/>
          <w:szCs w:val="18"/>
        </w:rPr>
      </w:pPr>
      <w:r>
        <w:rPr>
          <w:sz w:val="18"/>
        </w:rPr>
        <w:t>(</w:t>
      </w:r>
      <w:r>
        <w:rPr>
          <w:rStyle w:val="FootnoteReference"/>
          <w:sz w:val="18"/>
          <w:szCs w:val="18"/>
        </w:rPr>
        <w:footnoteRef/>
      </w:r>
      <w:r>
        <w:rPr>
          <w:sz w:val="18"/>
        </w:rPr>
        <w:t xml:space="preserve">) </w:t>
      </w:r>
      <w:hyperlink r:id="rId2" w:history="1">
        <w:r>
          <w:rPr>
            <w:rStyle w:val="Hyperlink"/>
            <w:color w:val="auto"/>
            <w:sz w:val="18"/>
          </w:rPr>
          <w:t>A Tanács és a tagállamok kormányainak a Tanács keretében ülésező képviselői, az Európai Parlament és az Európai Bizottság által elfogadott együttes nyilatkozat (2008/C 25/01)</w:t>
        </w:r>
      </w:hyperlink>
      <w:r>
        <w:t>.</w:t>
      </w:r>
    </w:p>
  </w:footnote>
  <w:footnote w:id="4">
    <w:p w14:paraId="04A72197" w14:textId="2DDE922E" w:rsidR="00EC19D4" w:rsidRPr="00474003" w:rsidRDefault="00411067" w:rsidP="00474003">
      <w:pPr>
        <w:pStyle w:val="FootnoteText"/>
        <w:spacing w:after="0"/>
        <w:ind w:left="130" w:hanging="227"/>
        <w:contextualSpacing/>
        <w:rPr>
          <w:sz w:val="18"/>
          <w:szCs w:val="18"/>
        </w:rPr>
      </w:pPr>
      <w:r>
        <w:rPr>
          <w:sz w:val="18"/>
        </w:rPr>
        <w:t>(</w:t>
      </w:r>
      <w:r>
        <w:rPr>
          <w:rStyle w:val="FootnoteReference"/>
          <w:sz w:val="18"/>
          <w:szCs w:val="18"/>
        </w:rPr>
        <w:footnoteRef/>
      </w:r>
      <w:r>
        <w:rPr>
          <w:sz w:val="18"/>
        </w:rPr>
        <w:t>) Izland, Észak-Macedónia, Norvégia és Törökország.</w:t>
      </w:r>
    </w:p>
  </w:footnote>
  <w:footnote w:id="5">
    <w:p w14:paraId="0A0FC069" w14:textId="4E9ACC4C" w:rsidR="00D62E28" w:rsidRPr="00474003" w:rsidRDefault="00411067" w:rsidP="00474003">
      <w:pPr>
        <w:pStyle w:val="FootnoteText"/>
        <w:spacing w:after="0"/>
        <w:ind w:left="130" w:hanging="227"/>
        <w:contextualSpacing/>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r>
        <w:rPr>
          <w:rStyle w:val="FootnoteReference"/>
          <w:sz w:val="18"/>
          <w:vertAlign w:val="baseline"/>
        </w:rPr>
        <w:t>ENSZ OCHA</w:t>
      </w:r>
      <w:r>
        <w:t xml:space="preserve">, </w:t>
      </w:r>
      <w:hyperlink r:id="rId3" w:history="1">
        <w:r>
          <w:rPr>
            <w:rStyle w:val="FootnoteReference"/>
            <w:sz w:val="18"/>
            <w:u w:val="single"/>
            <w:vertAlign w:val="baseline"/>
          </w:rPr>
          <w:t>2022. évi globális humanitárius áttekintés,</w:t>
        </w:r>
      </w:hyperlink>
      <w:r>
        <w:rPr>
          <w:rStyle w:val="FootnoteReference"/>
          <w:sz w:val="18"/>
          <w:u w:val="single"/>
          <w:vertAlign w:val="baseline"/>
        </w:rPr>
        <w:t xml:space="preserve"> decemberi frissítés</w:t>
      </w:r>
      <w:r>
        <w:rPr>
          <w:rStyle w:val="FootnoteReference"/>
          <w:sz w:val="18"/>
          <w:vertAlign w:val="baseline"/>
        </w:rPr>
        <w:t xml:space="preserve"> (2022. december 31-i aktuális helyzet), 2023. január 10.</w:t>
      </w:r>
    </w:p>
  </w:footnote>
  <w:footnote w:id="6">
    <w:p w14:paraId="195520DD" w14:textId="444EE873"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r>
        <w:rPr>
          <w:sz w:val="18"/>
        </w:rPr>
        <w:t xml:space="preserve"> </w:t>
      </w:r>
      <w:r>
        <w:rPr>
          <w:rStyle w:val="FootnoteReference"/>
          <w:sz w:val="18"/>
          <w:vertAlign w:val="baseline"/>
        </w:rPr>
        <w:t>ENSZ OCHA</w:t>
      </w:r>
      <w:r>
        <w:t xml:space="preserve">, </w:t>
      </w:r>
      <w:hyperlink r:id="rId4" w:history="1">
        <w:r>
          <w:rPr>
            <w:rStyle w:val="FootnoteReference"/>
            <w:sz w:val="18"/>
            <w:u w:val="single"/>
            <w:vertAlign w:val="baseline"/>
          </w:rPr>
          <w:t>2022. évi globális humanitárius áttekintés</w:t>
        </w:r>
      </w:hyperlink>
      <w:r>
        <w:rPr>
          <w:rStyle w:val="FootnoteReference"/>
          <w:sz w:val="18"/>
          <w:vertAlign w:val="baseline"/>
        </w:rPr>
        <w:t xml:space="preserve"> és ENSZ OCHA, </w:t>
      </w:r>
      <w:hyperlink r:id="rId5" w:history="1">
        <w:r>
          <w:rPr>
            <w:rStyle w:val="FootnoteReference"/>
            <w:sz w:val="18"/>
            <w:u w:val="single"/>
            <w:vertAlign w:val="baseline"/>
          </w:rPr>
          <w:t>2021. évi globális humanitárius áttekintés</w:t>
        </w:r>
      </w:hyperlink>
      <w:r>
        <w:rPr>
          <w:rStyle w:val="FootnoteReference"/>
          <w:sz w:val="18"/>
          <w:vertAlign w:val="baseline"/>
        </w:rPr>
        <w:t>, decemberi frissítés (2021. december 31-i aktuális helyzet), 2022. január 17.</w:t>
      </w:r>
    </w:p>
  </w:footnote>
  <w:footnote w:id="7">
    <w:p w14:paraId="71DA71E8" w14:textId="367856EA" w:rsidR="00D62E28" w:rsidRPr="00474003" w:rsidRDefault="00411067" w:rsidP="00474003">
      <w:pPr>
        <w:pStyle w:val="FootnoteText"/>
        <w:spacing w:after="0"/>
        <w:ind w:left="130" w:hanging="227"/>
        <w:rPr>
          <w:rStyle w:val="FootnoteReference"/>
          <w:sz w:val="18"/>
          <w:szCs w:val="18"/>
        </w:rPr>
      </w:pPr>
      <w:r>
        <w:rPr>
          <w:sz w:val="18"/>
          <w:shd w:val="clear" w:color="auto" w:fill="E6E6E6"/>
        </w:rPr>
        <w:t>(</w:t>
      </w:r>
      <w:r>
        <w:rPr>
          <w:rStyle w:val="FootnoteReference"/>
          <w:sz w:val="18"/>
          <w:szCs w:val="18"/>
        </w:rPr>
        <w:footnoteRef/>
      </w:r>
      <w:r>
        <w:rPr>
          <w:sz w:val="18"/>
          <w:shd w:val="clear" w:color="auto" w:fill="E6E6E6"/>
        </w:rPr>
        <w:t xml:space="preserve">) </w:t>
      </w:r>
      <w:r>
        <w:rPr>
          <w:rStyle w:val="FootnoteReference"/>
          <w:sz w:val="18"/>
          <w:vertAlign w:val="baseline"/>
        </w:rPr>
        <w:t>A BIZOTTSÁG KÖZLEMÉNYE AZ EURÓPAI PARLAMENTNEK ÉS A TANÁCSNAK Uniós humanitárius segítségnyújtás: új kihívások, régi elvek (COM(2021) 110) final.</w:t>
      </w:r>
    </w:p>
  </w:footnote>
  <w:footnote w:id="8">
    <w:p w14:paraId="6450D740" w14:textId="45FAD2B6"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hyperlink r:id="rId6" w:history="1">
        <w:r>
          <w:rPr>
            <w:rStyle w:val="FootnoteReference"/>
            <w:sz w:val="18"/>
            <w:u w:val="single"/>
            <w:vertAlign w:val="baseline"/>
          </w:rPr>
          <w:t>Az ENSZ pénzügyi követő rendszere</w:t>
        </w:r>
        <w:r>
          <w:rPr>
            <w:rStyle w:val="FootnoteReference"/>
            <w:sz w:val="18"/>
            <w:vertAlign w:val="baseline"/>
          </w:rPr>
          <w:t>, Globális finanszírozásáttekintő összefoglaló, 2022</w:t>
        </w:r>
      </w:hyperlink>
      <w:r>
        <w:rPr>
          <w:rStyle w:val="FootnoteReference"/>
          <w:sz w:val="18"/>
          <w:vertAlign w:val="baseline"/>
        </w:rPr>
        <w:t>.</w:t>
      </w:r>
    </w:p>
  </w:footnote>
  <w:footnote w:id="9">
    <w:p w14:paraId="7614BCD4" w14:textId="58FFF87E" w:rsidR="35F9A81C" w:rsidRPr="00474003" w:rsidRDefault="00411067" w:rsidP="00474003">
      <w:pPr>
        <w:spacing w:after="0"/>
        <w:ind w:left="130" w:hanging="227"/>
        <w:rPr>
          <w:sz w:val="18"/>
          <w:szCs w:val="18"/>
        </w:rPr>
      </w:pPr>
      <w:r>
        <w:rPr>
          <w:sz w:val="18"/>
          <w:vertAlign w:val="superscript"/>
        </w:rPr>
        <w:t>(</w:t>
      </w:r>
      <w:r>
        <w:rPr>
          <w:sz w:val="18"/>
          <w:szCs w:val="18"/>
          <w:vertAlign w:val="superscript"/>
        </w:rPr>
        <w:footnoteRef/>
      </w:r>
      <w:r>
        <w:rPr>
          <w:sz w:val="18"/>
          <w:vertAlign w:val="superscript"/>
        </w:rPr>
        <w:t xml:space="preserve">) </w:t>
      </w:r>
      <w:r>
        <w:rPr>
          <w:sz w:val="18"/>
        </w:rPr>
        <w:t>Ez az összeg nem tartalmazza a támogatási kiadásokat (BA-tételek). Az ilyen kiadásokat is beleszámítva a teljes eszköz kezdeti összege 2022-ben 1 806,06 millió EUR-t tett ki.</w:t>
      </w:r>
    </w:p>
  </w:footnote>
  <w:footnote w:id="10">
    <w:p w14:paraId="4861E05C" w14:textId="27E69374" w:rsidR="00CB09F2" w:rsidRPr="00474003" w:rsidRDefault="00411067" w:rsidP="00474003">
      <w:pPr>
        <w:pStyle w:val="FootnoteText"/>
        <w:spacing w:after="0"/>
        <w:ind w:left="130" w:hanging="227"/>
        <w:rPr>
          <w:sz w:val="18"/>
          <w:szCs w:val="18"/>
        </w:rPr>
      </w:pPr>
      <w:r>
        <w:rPr>
          <w:sz w:val="18"/>
        </w:rPr>
        <w:t>(</w:t>
      </w:r>
      <w:r>
        <w:rPr>
          <w:rStyle w:val="FootnoteReference"/>
          <w:sz w:val="18"/>
          <w:szCs w:val="18"/>
        </w:rPr>
        <w:footnoteRef/>
      </w:r>
      <w:r>
        <w:rPr>
          <w:sz w:val="18"/>
        </w:rPr>
        <w:t>) Ebből 39 millió EUR 2021-ről áthozott összeg.</w:t>
      </w:r>
    </w:p>
  </w:footnote>
  <w:footnote w:id="11">
    <w:p w14:paraId="41FB8640" w14:textId="3D212547" w:rsidR="005B5A90" w:rsidRPr="00474003" w:rsidRDefault="00411067" w:rsidP="00474003">
      <w:pPr>
        <w:pStyle w:val="FootnoteText"/>
        <w:spacing w:after="0"/>
        <w:ind w:left="130" w:firstLine="0"/>
        <w:rPr>
          <w:sz w:val="18"/>
          <w:szCs w:val="18"/>
        </w:rPr>
      </w:pPr>
      <w:r>
        <w:rPr>
          <w:sz w:val="18"/>
        </w:rPr>
        <w:t>(</w:t>
      </w:r>
      <w:r>
        <w:rPr>
          <w:rStyle w:val="FootnoteReference"/>
          <w:sz w:val="18"/>
          <w:szCs w:val="18"/>
        </w:rPr>
        <w:footnoteRef/>
      </w:r>
      <w:r>
        <w:rPr>
          <w:sz w:val="18"/>
        </w:rPr>
        <w:t>) Finanszírozása a 10. és 11. Európai Fejlesztési Alapból történik.</w:t>
      </w:r>
    </w:p>
  </w:footnote>
  <w:footnote w:id="12">
    <w:p w14:paraId="0037BF55" w14:textId="6C59CA11" w:rsidR="00411067" w:rsidRPr="007E741B" w:rsidRDefault="00411067">
      <w:pPr>
        <w:pStyle w:val="FootnoteText"/>
        <w:rPr>
          <w:sz w:val="18"/>
          <w:szCs w:val="18"/>
        </w:rPr>
      </w:pPr>
      <w:r>
        <w:t>(</w:t>
      </w:r>
      <w:r>
        <w:rPr>
          <w:rStyle w:val="FootnoteReference"/>
        </w:rPr>
        <w:footnoteRef/>
      </w:r>
      <w:r>
        <w:t>)</w:t>
      </w:r>
      <w:r>
        <w:tab/>
      </w:r>
      <w:r>
        <w:rPr>
          <w:sz w:val="18"/>
        </w:rPr>
        <w:t>Ez a megnevezés nem értelmezhető a palesztin állam elismeréseként és nem érinti az egyes tagállamok e kérdésre vonatkozó álláspontjait.</w:t>
      </w:r>
    </w:p>
  </w:footnote>
  <w:footnote w:id="13">
    <w:p w14:paraId="0C5EA9C4" w14:textId="7C295A7E" w:rsidR="00D62E28" w:rsidRPr="00474003" w:rsidRDefault="00411067" w:rsidP="00474003">
      <w:pPr>
        <w:pStyle w:val="FootnoteText"/>
        <w:spacing w:after="0"/>
        <w:ind w:left="130" w:hanging="227"/>
        <w:rPr>
          <w:rStyle w:val="FootnoteReference"/>
          <w:rFonts w:eastAsiaTheme="minorEastAsia"/>
          <w:sz w:val="18"/>
          <w:szCs w:val="18"/>
        </w:rPr>
      </w:pPr>
      <w:r>
        <w:rPr>
          <w:sz w:val="18"/>
        </w:rPr>
        <w:t>(</w:t>
      </w:r>
      <w:r>
        <w:rPr>
          <w:rStyle w:val="FootnoteReference"/>
          <w:sz w:val="18"/>
          <w:szCs w:val="18"/>
        </w:rPr>
        <w:footnoteRef/>
      </w:r>
      <w:r>
        <w:rPr>
          <w:sz w:val="18"/>
        </w:rPr>
        <w:t>)</w:t>
      </w:r>
      <w:r>
        <w:rPr>
          <w:rStyle w:val="FootnoteReference"/>
          <w:sz w:val="18"/>
        </w:rPr>
        <w:t xml:space="preserve"> </w:t>
      </w:r>
      <w:hyperlink r:id="rId7" w:history="1">
        <w:r>
          <w:rPr>
            <w:rStyle w:val="Hyperlink"/>
            <w:color w:val="auto"/>
            <w:sz w:val="18"/>
          </w:rPr>
          <w:t>A Nagyszabású egyezség</w:t>
        </w:r>
      </w:hyperlink>
      <w:hyperlink r:id="rId8" w:history="1">
        <w:r>
          <w:rPr>
            <w:rStyle w:val="Hyperlink"/>
            <w:color w:val="auto"/>
            <w:sz w:val="18"/>
          </w:rPr>
          <w:t>.</w:t>
        </w:r>
      </w:hyperlink>
    </w:p>
  </w:footnote>
  <w:footnote w:id="14">
    <w:p w14:paraId="26A36CD1" w14:textId="1AE0495F" w:rsidR="00D62E28" w:rsidRPr="00474003" w:rsidRDefault="00411067" w:rsidP="00474003">
      <w:pPr>
        <w:pStyle w:val="FootnoteText"/>
        <w:spacing w:after="0"/>
        <w:ind w:left="130" w:hanging="227"/>
        <w:rPr>
          <w:rStyle w:val="FootnoteReference"/>
          <w:rFonts w:eastAsiaTheme="minorEastAsia"/>
          <w:sz w:val="18"/>
          <w:szCs w:val="18"/>
        </w:rPr>
      </w:pPr>
      <w:r>
        <w:rPr>
          <w:sz w:val="18"/>
        </w:rPr>
        <w:t>(</w:t>
      </w:r>
      <w:r>
        <w:rPr>
          <w:rStyle w:val="FootnoteReference"/>
          <w:rFonts w:eastAsiaTheme="minorEastAsia"/>
          <w:sz w:val="18"/>
          <w:szCs w:val="18"/>
        </w:rPr>
        <w:footnoteRef/>
      </w:r>
      <w:r>
        <w:rPr>
          <w:sz w:val="18"/>
        </w:rPr>
        <w:t>)</w:t>
      </w:r>
      <w:r>
        <w:rPr>
          <w:rStyle w:val="FootnoteReference"/>
          <w:sz w:val="18"/>
        </w:rPr>
        <w:t xml:space="preserve"> </w:t>
      </w:r>
      <w:r>
        <w:rPr>
          <w:sz w:val="18"/>
        </w:rPr>
        <w:t xml:space="preserve"> </w:t>
      </w:r>
      <w:r>
        <w:rPr>
          <w:rStyle w:val="FootnoteReference"/>
          <w:sz w:val="18"/>
          <w:vertAlign w:val="baseline"/>
        </w:rPr>
        <w:t>Afganisztán, Dél-Szudán és Venezuela.</w:t>
      </w:r>
    </w:p>
  </w:footnote>
  <w:footnote w:id="15">
    <w:p w14:paraId="669252A2" w14:textId="68AB26E9"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w:t>
      </w:r>
      <w:r>
        <w:rPr>
          <w:rStyle w:val="FootnoteReference"/>
          <w:sz w:val="18"/>
          <w:vertAlign w:val="baseline"/>
        </w:rPr>
        <w:t xml:space="preserve"> </w:t>
      </w:r>
      <w:hyperlink r:id="rId9" w:history="1">
        <w:r>
          <w:rPr>
            <w:rStyle w:val="FootnoteReference"/>
            <w:sz w:val="18"/>
            <w:u w:val="single"/>
            <w:vertAlign w:val="baseline"/>
          </w:rPr>
          <w:t>Programalapú partnerségek.</w:t>
        </w:r>
      </w:hyperlink>
    </w:p>
  </w:footnote>
  <w:footnote w:id="16">
    <w:p w14:paraId="16790059" w14:textId="0900AAFD"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hyperlink r:id="rId10" w:history="1">
        <w:r>
          <w:rPr>
            <w:rStyle w:val="FootnoteReference"/>
            <w:sz w:val="18"/>
            <w:u w:val="single"/>
            <w:vertAlign w:val="baseline"/>
          </w:rPr>
          <w:t xml:space="preserve">A DG ECHO tematikus szakpolitikai dokumentuma: </w:t>
        </w:r>
      </w:hyperlink>
      <w:hyperlink r:id="rId11" w:history="1">
        <w:r>
          <w:rPr>
            <w:rStyle w:val="FootnoteReference"/>
            <w:sz w:val="18"/>
            <w:u w:val="single"/>
            <w:vertAlign w:val="baseline"/>
          </w:rPr>
          <w:t>Humanitárius logisztikai politika.</w:t>
        </w:r>
      </w:hyperlink>
    </w:p>
  </w:footnote>
  <w:footnote w:id="17">
    <w:p w14:paraId="3B0F1499" w14:textId="79AC666D" w:rsidR="00D62E28" w:rsidRPr="00474003" w:rsidRDefault="00411067" w:rsidP="00474003">
      <w:pPr>
        <w:pStyle w:val="FootnoteText"/>
        <w:spacing w:after="0"/>
        <w:ind w:left="130" w:hanging="227"/>
        <w:rPr>
          <w:rStyle w:val="FootnoteReference"/>
          <w:rFonts w:eastAsia="Calibri"/>
          <w:sz w:val="18"/>
          <w:szCs w:val="18"/>
        </w:rPr>
      </w:pPr>
      <w:r>
        <w:rPr>
          <w:sz w:val="18"/>
        </w:rPr>
        <w:t>(</w:t>
      </w:r>
      <w:r>
        <w:rPr>
          <w:rStyle w:val="FootnoteReference"/>
          <w:sz w:val="18"/>
          <w:szCs w:val="18"/>
        </w:rPr>
        <w:footnoteRef/>
      </w:r>
      <w:r>
        <w:rPr>
          <w:sz w:val="18"/>
        </w:rPr>
        <w:t>)</w:t>
      </w:r>
      <w:r>
        <w:rPr>
          <w:rStyle w:val="FootnoteReference"/>
          <w:sz w:val="18"/>
        </w:rPr>
        <w:t xml:space="preserve"> </w:t>
      </w:r>
      <w:r>
        <w:rPr>
          <w:sz w:val="18"/>
        </w:rPr>
        <w:t xml:space="preserve"> </w:t>
      </w:r>
      <w:hyperlink r:id="rId12" w:history="1">
        <w:r>
          <w:rPr>
            <w:rStyle w:val="FootnoteReference"/>
            <w:sz w:val="18"/>
            <w:u w:val="single"/>
            <w:vertAlign w:val="baseline"/>
          </w:rPr>
          <w:t xml:space="preserve">DG ECHO: </w:t>
        </w:r>
      </w:hyperlink>
      <w:hyperlink r:id="rId13" w:history="1">
        <w:r>
          <w:rPr>
            <w:rStyle w:val="FootnoteReference"/>
            <w:sz w:val="18"/>
            <w:u w:val="single"/>
            <w:vertAlign w:val="baseline"/>
          </w:rPr>
          <w:t>Tájékoztató az európai humanitárius reagálási kapacitásról.</w:t>
        </w:r>
      </w:hyperlink>
    </w:p>
  </w:footnote>
  <w:footnote w:id="18">
    <w:p w14:paraId="4C96093F" w14:textId="103051CE" w:rsidR="00D62E28" w:rsidRPr="00474003" w:rsidRDefault="00411067" w:rsidP="00474003">
      <w:pPr>
        <w:pStyle w:val="FootnoteText"/>
        <w:spacing w:after="0"/>
        <w:ind w:left="130" w:hanging="227"/>
        <w:rPr>
          <w:rStyle w:val="FootnoteReference"/>
          <w:rFonts w:eastAsia="EC Square Sans Pro"/>
          <w:sz w:val="18"/>
          <w:szCs w:val="18"/>
        </w:rPr>
      </w:pPr>
      <w:r>
        <w:rPr>
          <w:sz w:val="18"/>
        </w:rPr>
        <w:t>(</w:t>
      </w:r>
      <w:r>
        <w:rPr>
          <w:rStyle w:val="FootnoteReference"/>
          <w:sz w:val="18"/>
          <w:szCs w:val="18"/>
        </w:rPr>
        <w:footnoteRef/>
      </w:r>
      <w:r>
        <w:rPr>
          <w:sz w:val="18"/>
        </w:rPr>
        <w:t>)</w:t>
      </w:r>
      <w:r>
        <w:rPr>
          <w:rStyle w:val="FootnoteReference"/>
          <w:sz w:val="18"/>
          <w:vertAlign w:val="baseline"/>
        </w:rPr>
        <w:t xml:space="preserve"> </w:t>
      </w:r>
      <w:hyperlink r:id="rId14" w:history="1">
        <w:r>
          <w:rPr>
            <w:rStyle w:val="FootnoteReference"/>
            <w:sz w:val="18"/>
            <w:u w:val="single"/>
            <w:vertAlign w:val="baseline"/>
          </w:rPr>
          <w:t>2022-es világélelmezési jelentés – világélelmezési jelentés.</w:t>
        </w:r>
      </w:hyperlink>
    </w:p>
  </w:footnote>
  <w:footnote w:id="19">
    <w:p w14:paraId="32EDA3A8" w14:textId="66FE7D18"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 xml:space="preserve">) </w:t>
      </w:r>
      <w:hyperlink r:id="rId15" w:history="1">
        <w:r>
          <w:rPr>
            <w:rStyle w:val="Hyperlink"/>
            <w:color w:val="auto"/>
            <w:sz w:val="18"/>
          </w:rPr>
          <w:t>https://ec.europa.eu/echo/files/policies/sectoral/gender_thematic_policy_document_en.pdf</w:t>
        </w:r>
      </w:hyperlink>
    </w:p>
  </w:footnote>
  <w:footnote w:id="20">
    <w:p w14:paraId="61AC41D7" w14:textId="585B8A19"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r>
        <w:rPr>
          <w:sz w:val="18"/>
        </w:rPr>
        <w:t xml:space="preserve"> </w:t>
      </w:r>
      <w:hyperlink r:id="rId16" w:history="1">
        <w:r>
          <w:rPr>
            <w:rStyle w:val="Hyperlink"/>
            <w:color w:val="auto"/>
            <w:sz w:val="18"/>
          </w:rPr>
          <w:t>https://www.calltoactiongbv.com/</w:t>
        </w:r>
      </w:hyperlink>
      <w:r>
        <w:rPr>
          <w:rStyle w:val="FootnoteReference"/>
          <w:sz w:val="18"/>
        </w:rPr>
        <w:t xml:space="preserve"> </w:t>
      </w:r>
    </w:p>
  </w:footnote>
  <w:footnote w:id="21">
    <w:p w14:paraId="2866BED5" w14:textId="3EEB5C11"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 xml:space="preserve">) </w:t>
      </w:r>
      <w:r>
        <w:rPr>
          <w:rStyle w:val="FootnoteReference"/>
          <w:sz w:val="18"/>
        </w:rPr>
        <w:t xml:space="preserve"> </w:t>
      </w:r>
      <w:hyperlink r:id="rId17" w:history="1">
        <w:r>
          <w:rPr>
            <w:rStyle w:val="FootnoteReference"/>
            <w:sz w:val="18"/>
            <w:u w:val="single"/>
            <w:vertAlign w:val="baseline"/>
          </w:rPr>
          <w:t>https://www.calltoactiongbv.com/what-we-do</w:t>
        </w:r>
      </w:hyperlink>
      <w:r>
        <w:rPr>
          <w:rStyle w:val="FootnoteReference"/>
          <w:sz w:val="18"/>
        </w:rPr>
        <w:t xml:space="preserve"> </w:t>
      </w:r>
    </w:p>
  </w:footnote>
  <w:footnote w:id="22">
    <w:p w14:paraId="08B3B02C" w14:textId="4D7B6036" w:rsidR="00D62E28" w:rsidRPr="00474003" w:rsidRDefault="00411067" w:rsidP="00474003">
      <w:pPr>
        <w:pStyle w:val="FootnoteText"/>
        <w:spacing w:after="0"/>
        <w:ind w:left="130" w:hanging="227"/>
        <w:rPr>
          <w:rStyle w:val="FootnoteReference"/>
          <w:sz w:val="18"/>
          <w:szCs w:val="18"/>
        </w:rPr>
      </w:pPr>
      <w:r>
        <w:rPr>
          <w:sz w:val="18"/>
        </w:rPr>
        <w:t>(</w:t>
      </w:r>
      <w:r>
        <w:rPr>
          <w:rStyle w:val="FootnoteReference"/>
          <w:sz w:val="18"/>
          <w:szCs w:val="18"/>
        </w:rPr>
        <w:footnoteRef/>
      </w:r>
      <w:r>
        <w:rPr>
          <w:sz w:val="18"/>
        </w:rPr>
        <w:t>)</w:t>
      </w:r>
      <w:r>
        <w:rPr>
          <w:rStyle w:val="FootnoteReference"/>
          <w:sz w:val="18"/>
        </w:rPr>
        <w:t xml:space="preserve"> </w:t>
      </w:r>
      <w:r>
        <w:rPr>
          <w:sz w:val="18"/>
        </w:rPr>
        <w:t xml:space="preserve"> </w:t>
      </w:r>
      <w:r>
        <w:rPr>
          <w:rStyle w:val="FootnoteReference"/>
          <w:sz w:val="18"/>
          <w:vertAlign w:val="baseline"/>
        </w:rPr>
        <w:t>COM(2021) 142 final.</w:t>
      </w:r>
    </w:p>
  </w:footnote>
  <w:footnote w:id="23">
    <w:p w14:paraId="707A43B3" w14:textId="7CA100D7" w:rsidR="00D62E28" w:rsidRPr="00474003" w:rsidRDefault="00411067" w:rsidP="00474003">
      <w:pPr>
        <w:pStyle w:val="FootnoteText"/>
        <w:spacing w:after="0"/>
        <w:ind w:left="130" w:hanging="227"/>
        <w:rPr>
          <w:rStyle w:val="FootnoteReference"/>
          <w:rFonts w:eastAsia="Calibri"/>
          <w:sz w:val="18"/>
          <w:szCs w:val="18"/>
        </w:rPr>
      </w:pPr>
      <w:r>
        <w:rPr>
          <w:sz w:val="18"/>
        </w:rPr>
        <w:t>(</w:t>
      </w:r>
      <w:r>
        <w:rPr>
          <w:rStyle w:val="FootnoteReference"/>
          <w:sz w:val="18"/>
          <w:szCs w:val="18"/>
        </w:rPr>
        <w:footnoteRef/>
      </w:r>
      <w:r>
        <w:rPr>
          <w:sz w:val="18"/>
        </w:rPr>
        <w:t>)</w:t>
      </w:r>
      <w:r>
        <w:rPr>
          <w:rStyle w:val="FootnoteReference"/>
          <w:sz w:val="18"/>
        </w:rPr>
        <w:t xml:space="preserve"> </w:t>
      </w:r>
      <w:r>
        <w:rPr>
          <w:sz w:val="18"/>
        </w:rPr>
        <w:t xml:space="preserve"> </w:t>
      </w:r>
      <w:hyperlink r:id="rId18" w:history="1">
        <w:r>
          <w:rPr>
            <w:rStyle w:val="FootnoteReference"/>
            <w:sz w:val="18"/>
            <w:u w:val="single"/>
            <w:vertAlign w:val="baseline"/>
          </w:rPr>
          <w:t>A DG ECHO 3. tematikus szakpolitikai dokumentuma:</w:t>
        </w:r>
      </w:hyperlink>
      <w:hyperlink r:id="rId19" w:history="1">
        <w:r>
          <w:rPr>
            <w:rStyle w:val="FootnoteReference"/>
            <w:sz w:val="18"/>
            <w:u w:val="single"/>
            <w:vertAlign w:val="baseline"/>
          </w:rPr>
          <w:t xml:space="preserve"> Készpénztámogatások.</w:t>
        </w:r>
      </w:hyperlink>
    </w:p>
  </w:footnote>
  <w:footnote w:id="24">
    <w:p w14:paraId="1D842151" w14:textId="63EA0434" w:rsidR="00D62E28" w:rsidRPr="00474003" w:rsidRDefault="00411067" w:rsidP="00474003">
      <w:pPr>
        <w:pStyle w:val="FootnoteText"/>
        <w:spacing w:after="0"/>
        <w:ind w:left="130" w:hanging="227"/>
        <w:rPr>
          <w:rStyle w:val="FootnoteReference"/>
          <w:rFonts w:eastAsia="EC Square Sans Pro"/>
          <w:sz w:val="18"/>
          <w:szCs w:val="18"/>
        </w:rPr>
      </w:pPr>
      <w:r>
        <w:rPr>
          <w:sz w:val="18"/>
          <w:u w:val="single"/>
        </w:rPr>
        <w:t>(</w:t>
      </w:r>
      <w:r>
        <w:rPr>
          <w:rStyle w:val="FootnoteReference"/>
          <w:sz w:val="18"/>
          <w:szCs w:val="18"/>
        </w:rPr>
        <w:footnoteRef/>
      </w:r>
      <w:r>
        <w:rPr>
          <w:sz w:val="18"/>
          <w:u w:val="single"/>
        </w:rPr>
        <w:t>)</w:t>
      </w:r>
      <w:r>
        <w:rPr>
          <w:rStyle w:val="FootnoteReference"/>
          <w:sz w:val="18"/>
          <w:u w:val="single"/>
        </w:rPr>
        <w:t xml:space="preserve"> </w:t>
      </w:r>
      <w:r>
        <w:rPr>
          <w:sz w:val="18"/>
          <w:u w:val="single"/>
        </w:rPr>
        <w:t xml:space="preserve"> </w:t>
      </w:r>
      <w:hyperlink r:id="rId20" w:history="1">
        <w:r>
          <w:rPr>
            <w:rStyle w:val="FootnoteReference"/>
            <w:sz w:val="18"/>
            <w:u w:val="single"/>
            <w:vertAlign w:val="baseline"/>
          </w:rPr>
          <w:t>guidance_on_the_operationalisation_of_the_mers_for_eu-funded_humanitarian_aid_operations.pdf (europa.eu).</w:t>
        </w:r>
      </w:hyperlink>
    </w:p>
  </w:footnote>
  <w:footnote w:id="25">
    <w:p w14:paraId="70FEDA7E" w14:textId="5EB4F572" w:rsidR="00D62E28" w:rsidRPr="00474003" w:rsidRDefault="00411067" w:rsidP="00474003">
      <w:pPr>
        <w:pStyle w:val="FootnoteText"/>
        <w:spacing w:after="0"/>
        <w:ind w:left="130" w:hanging="227"/>
        <w:rPr>
          <w:rFonts w:asciiTheme="minorHAnsi" w:eastAsia="EC Square Sans Pro" w:hAnsiTheme="minorHAnsi" w:cs="EC Square Sans Pro"/>
          <w:sz w:val="18"/>
          <w:szCs w:val="18"/>
        </w:rPr>
      </w:pPr>
      <w:r>
        <w:rPr>
          <w:sz w:val="18"/>
        </w:rPr>
        <w:t>(</w:t>
      </w:r>
      <w:r>
        <w:rPr>
          <w:rStyle w:val="FootnoteReference"/>
          <w:sz w:val="18"/>
          <w:szCs w:val="18"/>
        </w:rPr>
        <w:footnoteRef/>
      </w:r>
      <w:r>
        <w:rPr>
          <w:sz w:val="18"/>
        </w:rPr>
        <w:t>)</w:t>
      </w:r>
      <w:r>
        <w:rPr>
          <w:rStyle w:val="FootnoteReference"/>
          <w:sz w:val="18"/>
        </w:rPr>
        <w:t xml:space="preserve"> </w:t>
      </w:r>
      <w:r>
        <w:rPr>
          <w:sz w:val="18"/>
        </w:rPr>
        <w:t xml:space="preserve"> </w:t>
      </w:r>
      <w:r>
        <w:rPr>
          <w:rStyle w:val="FootnoteReference"/>
          <w:sz w:val="18"/>
          <w:vertAlign w:val="baseline"/>
        </w:rPr>
        <w:t>A 2021-ben elfogadott megközelítés végrehajtása (</w:t>
      </w:r>
      <w:hyperlink r:id="rId21" w:history="1">
        <w:r>
          <w:rPr>
            <w:rStyle w:val="FootnoteReference"/>
            <w:sz w:val="18"/>
            <w:u w:val="single"/>
            <w:vertAlign w:val="baseline"/>
          </w:rPr>
          <w:t>a DG ECHO iránymutató feljegyzése a katasztrófavédelmi felkészültségről</w:t>
        </w:r>
      </w:hyperlink>
      <w:r>
        <w:rPr>
          <w:rStyle w:val="FootnoteReference"/>
          <w:sz w:val="18"/>
          <w:vertAlign w:val="baseline"/>
        </w:rPr>
        <w:t>).</w:t>
      </w:r>
    </w:p>
  </w:footnote>
  <w:footnote w:id="26">
    <w:p w14:paraId="42F7EC7A" w14:textId="46249348" w:rsidR="04315D96" w:rsidRPr="00474003" w:rsidRDefault="00411067" w:rsidP="00474003">
      <w:pPr>
        <w:spacing w:after="0"/>
        <w:ind w:left="130" w:hanging="227"/>
        <w:rPr>
          <w:sz w:val="18"/>
          <w:szCs w:val="18"/>
        </w:rPr>
      </w:pPr>
      <w:r>
        <w:rPr>
          <w:sz w:val="18"/>
        </w:rPr>
        <w:t>(</w:t>
      </w:r>
      <w:r>
        <w:rPr>
          <w:sz w:val="18"/>
          <w:szCs w:val="18"/>
          <w:vertAlign w:val="superscript"/>
        </w:rPr>
        <w:footnoteRef/>
      </w:r>
      <w:r>
        <w:rPr>
          <w:sz w:val="18"/>
        </w:rPr>
        <w:t>) Ez az adat egy felülvizsgált módszertanból származik, amely kizárólag az EU humanitárius partnereinek jelentéseire támaszkodik, és nem feltétlenül foglalja magában a felkészültség általános érvényesítésére irányuló erőfeszítéseket más műveleti ágazatokban.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3D6A" w14:textId="77777777" w:rsidR="00D1039A" w:rsidRPr="00D1039A" w:rsidRDefault="00D1039A" w:rsidP="00D10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D596" w14:textId="77777777" w:rsidR="00D1039A" w:rsidRPr="00D1039A" w:rsidRDefault="00D1039A" w:rsidP="00D1039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3A08" w14:textId="77777777" w:rsidR="00D1039A" w:rsidRPr="00D1039A" w:rsidRDefault="00D1039A" w:rsidP="00D1039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7D4A" w14:textId="77777777" w:rsidR="000B439B" w:rsidRDefault="000B43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AD46" w14:textId="77777777" w:rsidR="000B439B" w:rsidRDefault="000B43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0A03" w14:textId="77777777" w:rsidR="000B439B" w:rsidRDefault="000B43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CAE8" w14:textId="77777777" w:rsidR="000B439B" w:rsidRDefault="000B43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3E44" w14:textId="77777777" w:rsidR="000B439B" w:rsidRDefault="000B43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AB33" w14:textId="77777777" w:rsidR="000B439B" w:rsidRDefault="000B439B">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QM94MT0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E8F45D2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BCE146D"/>
    <w:multiLevelType w:val="hybridMultilevel"/>
    <w:tmpl w:val="AA3C7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48A2F78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228C97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4FE477EA"/>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BB0B2B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06A4134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9AC2771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AA26178"/>
    <w:multiLevelType w:val="hybridMultilevel"/>
    <w:tmpl w:val="22DCA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B624F"/>
    <w:multiLevelType w:val="multilevel"/>
    <w:tmpl w:val="AF70FA80"/>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07E372F"/>
    <w:multiLevelType w:val="hybridMultilevel"/>
    <w:tmpl w:val="77A20FD6"/>
    <w:lvl w:ilvl="0" w:tplc="FFFFFFFF">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7580D72"/>
    <w:multiLevelType w:val="hybridMultilevel"/>
    <w:tmpl w:val="FCD41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6E36830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1BBEB3A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DC124B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5303FA3"/>
    <w:multiLevelType w:val="hybridMultilevel"/>
    <w:tmpl w:val="2AA8F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B2AC0F7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E95053E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C0588E9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EE93559"/>
    <w:multiLevelType w:val="multilevel"/>
    <w:tmpl w:val="26FC02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FDF1522"/>
    <w:multiLevelType w:val="hybridMultilevel"/>
    <w:tmpl w:val="0C986D4C"/>
    <w:lvl w:ilvl="0" w:tplc="521ED59A">
      <w:numFmt w:val="bullet"/>
      <w:lvlText w:val="-"/>
      <w:lvlJc w:val="left"/>
      <w:pPr>
        <w:ind w:left="720" w:hanging="360"/>
      </w:pPr>
      <w:rPr>
        <w:rFonts w:ascii="Calibri" w:eastAsia="EC Square Sans Pro"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1C18237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9BF6F28"/>
    <w:multiLevelType w:val="hybridMultilevel"/>
    <w:tmpl w:val="1F5C4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5F6B50"/>
    <w:multiLevelType w:val="hybridMultilevel"/>
    <w:tmpl w:val="28FEE12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1A63DF"/>
    <w:multiLevelType w:val="multilevel"/>
    <w:tmpl w:val="CC1AAF5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E1A982C"/>
    <w:multiLevelType w:val="multilevel"/>
    <w:tmpl w:val="D4263FB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20DC0E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9B52"/>
    <w:multiLevelType w:val="multilevel"/>
    <w:tmpl w:val="4D982B2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66767AB"/>
    <w:multiLevelType w:val="hybridMultilevel"/>
    <w:tmpl w:val="131A3CAA"/>
    <w:lvl w:ilvl="0" w:tplc="1B588664">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7A58E9"/>
    <w:multiLevelType w:val="hybridMultilevel"/>
    <w:tmpl w:val="6BE47138"/>
    <w:lvl w:ilvl="0" w:tplc="316C49C4">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30" w15:restartNumberingAfterBreak="0">
    <w:nsid w:val="6977472E"/>
    <w:multiLevelType w:val="multilevel"/>
    <w:tmpl w:val="B220E59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6EE92521"/>
    <w:multiLevelType w:val="hybridMultilevel"/>
    <w:tmpl w:val="BD62E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5BD9D9"/>
    <w:multiLevelType w:val="hybridMultilevel"/>
    <w:tmpl w:val="43A224CC"/>
    <w:lvl w:ilvl="0" w:tplc="22243D4E">
      <w:start w:val="1"/>
      <w:numFmt w:val="upperRoman"/>
      <w:lvlText w:val="Annex %1"/>
      <w:lvlJc w:val="left"/>
      <w:pPr>
        <w:ind w:left="720" w:hanging="360"/>
      </w:pPr>
    </w:lvl>
    <w:lvl w:ilvl="1" w:tplc="4788BF80">
      <w:start w:val="1"/>
      <w:numFmt w:val="lowerLetter"/>
      <w:lvlText w:val="%2."/>
      <w:lvlJc w:val="left"/>
      <w:pPr>
        <w:ind w:left="1440" w:hanging="360"/>
      </w:pPr>
    </w:lvl>
    <w:lvl w:ilvl="2" w:tplc="011AB5B0">
      <w:start w:val="1"/>
      <w:numFmt w:val="lowerRoman"/>
      <w:lvlText w:val="%3."/>
      <w:lvlJc w:val="right"/>
      <w:pPr>
        <w:ind w:left="2160" w:hanging="180"/>
      </w:pPr>
    </w:lvl>
    <w:lvl w:ilvl="3" w:tplc="CCF09B78">
      <w:start w:val="1"/>
      <w:numFmt w:val="decimal"/>
      <w:lvlText w:val="%4."/>
      <w:lvlJc w:val="left"/>
      <w:pPr>
        <w:ind w:left="2880" w:hanging="360"/>
      </w:pPr>
    </w:lvl>
    <w:lvl w:ilvl="4" w:tplc="DBE0B1EA">
      <w:start w:val="1"/>
      <w:numFmt w:val="lowerLetter"/>
      <w:lvlText w:val="%5."/>
      <w:lvlJc w:val="left"/>
      <w:pPr>
        <w:ind w:left="3600" w:hanging="360"/>
      </w:pPr>
    </w:lvl>
    <w:lvl w:ilvl="5" w:tplc="DE1A1028">
      <w:start w:val="1"/>
      <w:numFmt w:val="lowerRoman"/>
      <w:lvlText w:val="%6."/>
      <w:lvlJc w:val="right"/>
      <w:pPr>
        <w:ind w:left="4320" w:hanging="180"/>
      </w:pPr>
    </w:lvl>
    <w:lvl w:ilvl="6" w:tplc="4CF6E10E">
      <w:start w:val="1"/>
      <w:numFmt w:val="decimal"/>
      <w:lvlText w:val="%7."/>
      <w:lvlJc w:val="left"/>
      <w:pPr>
        <w:ind w:left="5040" w:hanging="360"/>
      </w:pPr>
    </w:lvl>
    <w:lvl w:ilvl="7" w:tplc="911C56E4">
      <w:start w:val="1"/>
      <w:numFmt w:val="lowerLetter"/>
      <w:lvlText w:val="%8."/>
      <w:lvlJc w:val="left"/>
      <w:pPr>
        <w:ind w:left="5760" w:hanging="360"/>
      </w:pPr>
    </w:lvl>
    <w:lvl w:ilvl="8" w:tplc="02DE5992">
      <w:start w:val="1"/>
      <w:numFmt w:val="lowerRoman"/>
      <w:lvlText w:val="%9."/>
      <w:lvlJc w:val="right"/>
      <w:pPr>
        <w:ind w:left="6480" w:hanging="180"/>
      </w:pPr>
    </w:lvl>
  </w:abstractNum>
  <w:abstractNum w:abstractNumId="33" w15:restartNumberingAfterBreak="0">
    <w:nsid w:val="7C65145E"/>
    <w:multiLevelType w:val="multilevel"/>
    <w:tmpl w:val="9C9E029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singleLevel"/>
    <w:tmpl w:val="6E7E65A4"/>
    <w:name w:val="AnnexNumbering"/>
    <w:lvl w:ilvl="0">
      <w:start w:val="1"/>
      <w:numFmt w:val="upperRoman"/>
      <w:pStyle w:val="AnnexTitle"/>
      <w:lvlText w:val="Annex %1"/>
      <w:lvlJc w:val="left"/>
      <w:pPr>
        <w:tabs>
          <w:tab w:val="num" w:pos="2268"/>
        </w:tabs>
        <w:ind w:left="2268" w:hanging="2268"/>
      </w:pPr>
      <w:rPr>
        <w:rFonts w:hint="default"/>
      </w:rPr>
    </w:lvl>
  </w:abstractNum>
  <w:num w:numId="1">
    <w:abstractNumId w:val="32"/>
  </w:num>
  <w:num w:numId="2">
    <w:abstractNumId w:val="0"/>
  </w:num>
  <w:num w:numId="3">
    <w:abstractNumId w:val="16"/>
  </w:num>
  <w:num w:numId="4">
    <w:abstractNumId w:val="9"/>
  </w:num>
  <w:num w:numId="5">
    <w:abstractNumId w:val="17"/>
  </w:num>
  <w:num w:numId="6">
    <w:abstractNumId w:val="26"/>
  </w:num>
  <w:num w:numId="7">
    <w:abstractNumId w:val="30"/>
  </w:num>
  <w:num w:numId="8">
    <w:abstractNumId w:val="2"/>
  </w:num>
  <w:num w:numId="9">
    <w:abstractNumId w:val="7"/>
  </w:num>
  <w:num w:numId="10">
    <w:abstractNumId w:val="21"/>
  </w:num>
  <w:num w:numId="11">
    <w:abstractNumId w:val="3"/>
  </w:num>
  <w:num w:numId="12">
    <w:abstractNumId w:val="5"/>
  </w:num>
  <w:num w:numId="13">
    <w:abstractNumId w:val="6"/>
  </w:num>
  <w:num w:numId="14">
    <w:abstractNumId w:val="12"/>
  </w:num>
  <w:num w:numId="15">
    <w:abstractNumId w:val="18"/>
  </w:num>
  <w:num w:numId="16">
    <w:abstractNumId w:val="25"/>
  </w:num>
  <w:num w:numId="17">
    <w:abstractNumId w:val="33"/>
  </w:num>
  <w:num w:numId="18">
    <w:abstractNumId w:val="13"/>
  </w:num>
  <w:num w:numId="19">
    <w:abstractNumId w:val="14"/>
  </w:num>
  <w:num w:numId="20">
    <w:abstractNumId w:val="34"/>
  </w:num>
  <w:num w:numId="21">
    <w:abstractNumId w:val="24"/>
  </w:num>
  <w:num w:numId="22">
    <w:abstractNumId w:val="27"/>
  </w:num>
  <w:num w:numId="23">
    <w:abstractNumId w:val="4"/>
  </w:num>
  <w:num w:numId="24">
    <w:abstractNumId w:val="20"/>
  </w:num>
  <w:num w:numId="25">
    <w:abstractNumId w:val="10"/>
  </w:num>
  <w:num w:numId="26">
    <w:abstractNumId w:val="8"/>
  </w:num>
  <w:num w:numId="27">
    <w:abstractNumId w:val="33"/>
  </w:num>
  <w:num w:numId="28">
    <w:abstractNumId w:val="11"/>
  </w:num>
  <w:num w:numId="29">
    <w:abstractNumId w:val="22"/>
  </w:num>
  <w:num w:numId="30">
    <w:abstractNumId w:val="1"/>
  </w:num>
  <w:num w:numId="31">
    <w:abstractNumId w:val="23"/>
  </w:num>
  <w:num w:numId="32">
    <w:abstractNumId w:val="29"/>
  </w:num>
  <w:num w:numId="33">
    <w:abstractNumId w:val="28"/>
  </w:num>
  <w:num w:numId="34">
    <w:abstractNumId w:val="15"/>
  </w:num>
  <w:num w:numId="35">
    <w:abstractNumId w:val="19"/>
  </w:num>
  <w:num w:numId="36">
    <w:abstractNumId w:val="31"/>
  </w:num>
  <w:num w:numId="37">
    <w:abstractNumId w:val="33"/>
  </w:num>
  <w:num w:numId="38">
    <w:abstractNumId w:val="34"/>
  </w:num>
  <w:num w:numId="39">
    <w:abstractNumId w:val="3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hu-HU"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5E92D652-D7E5-4FA7-A9B9-CD6C7929CD09"/>
    <w:docVar w:name="LW_COVERPAGE_TYPE" w:val="1"/>
    <w:docVar w:name="LW_CROSSREFERENCE" w:val="&lt;UNUSED&gt;"/>
    <w:docVar w:name="LW_DocType" w:val="EUROLOOK"/>
    <w:docVar w:name="LW_EMISSION" w:val="2023.8.31."/>
    <w:docVar w:name="LW_EMISSION_ISODATE" w:val="2023-08-31"/>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3) 50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es jelentés az Európai Unió 2022-ben finanszírozott humanitárius segítségnyújtási műveleteiről"/>
    <w:docVar w:name="LW_TYPE.DOC.CP" w:val="A BIZOTTSÁG JELENTÉSE AZ EURÓPAI PARLAMENTNEK ÉS A TANÁCSNAK"/>
    <w:docVar w:name="LwApiVersions" w:val="LW4CoDe 1.23.2.0; LW 8.0, Build 20211117"/>
  </w:docVars>
  <w:rsids>
    <w:rsidRoot w:val="006E4A9D"/>
    <w:rsid w:val="0000098F"/>
    <w:rsid w:val="00004C97"/>
    <w:rsid w:val="0000519B"/>
    <w:rsid w:val="000056D4"/>
    <w:rsid w:val="00011610"/>
    <w:rsid w:val="0001325E"/>
    <w:rsid w:val="00015FBE"/>
    <w:rsid w:val="00016CDA"/>
    <w:rsid w:val="00020923"/>
    <w:rsid w:val="0003196B"/>
    <w:rsid w:val="00031B41"/>
    <w:rsid w:val="00034E67"/>
    <w:rsid w:val="00035E86"/>
    <w:rsid w:val="00036227"/>
    <w:rsid w:val="000461F9"/>
    <w:rsid w:val="000468BE"/>
    <w:rsid w:val="0004741B"/>
    <w:rsid w:val="00047A36"/>
    <w:rsid w:val="00050CBD"/>
    <w:rsid w:val="00051DAD"/>
    <w:rsid w:val="0006117E"/>
    <w:rsid w:val="00061685"/>
    <w:rsid w:val="00061B6A"/>
    <w:rsid w:val="000622B6"/>
    <w:rsid w:val="000637CE"/>
    <w:rsid w:val="00063C9A"/>
    <w:rsid w:val="000712FA"/>
    <w:rsid w:val="00074347"/>
    <w:rsid w:val="00075275"/>
    <w:rsid w:val="00075972"/>
    <w:rsid w:val="00076602"/>
    <w:rsid w:val="00076CCC"/>
    <w:rsid w:val="00083C84"/>
    <w:rsid w:val="000846E4"/>
    <w:rsid w:val="00094488"/>
    <w:rsid w:val="00094795"/>
    <w:rsid w:val="00094F14"/>
    <w:rsid w:val="000A1464"/>
    <w:rsid w:val="000A14DC"/>
    <w:rsid w:val="000A6121"/>
    <w:rsid w:val="000A6CD8"/>
    <w:rsid w:val="000B112C"/>
    <w:rsid w:val="000B35C4"/>
    <w:rsid w:val="000B439B"/>
    <w:rsid w:val="000B4841"/>
    <w:rsid w:val="000B6738"/>
    <w:rsid w:val="000C15B5"/>
    <w:rsid w:val="000D0F75"/>
    <w:rsid w:val="000D396E"/>
    <w:rsid w:val="000D3F32"/>
    <w:rsid w:val="000D5522"/>
    <w:rsid w:val="000D7077"/>
    <w:rsid w:val="000E077D"/>
    <w:rsid w:val="000F1244"/>
    <w:rsid w:val="000F4ACA"/>
    <w:rsid w:val="000F678A"/>
    <w:rsid w:val="000F68C8"/>
    <w:rsid w:val="000F7C15"/>
    <w:rsid w:val="00100D53"/>
    <w:rsid w:val="0010152E"/>
    <w:rsid w:val="0010194C"/>
    <w:rsid w:val="001027D7"/>
    <w:rsid w:val="00103F1D"/>
    <w:rsid w:val="001053B5"/>
    <w:rsid w:val="0010580C"/>
    <w:rsid w:val="00106AED"/>
    <w:rsid w:val="00112B09"/>
    <w:rsid w:val="0011622E"/>
    <w:rsid w:val="00116F3B"/>
    <w:rsid w:val="001178B9"/>
    <w:rsid w:val="001231A9"/>
    <w:rsid w:val="00123446"/>
    <w:rsid w:val="00124855"/>
    <w:rsid w:val="0013206D"/>
    <w:rsid w:val="00132AA8"/>
    <w:rsid w:val="00136146"/>
    <w:rsid w:val="00137C1B"/>
    <w:rsid w:val="00140EB2"/>
    <w:rsid w:val="00142986"/>
    <w:rsid w:val="00147805"/>
    <w:rsid w:val="0015014E"/>
    <w:rsid w:val="00151F86"/>
    <w:rsid w:val="00152319"/>
    <w:rsid w:val="0015233A"/>
    <w:rsid w:val="00153291"/>
    <w:rsid w:val="00153609"/>
    <w:rsid w:val="0015457C"/>
    <w:rsid w:val="00155BAE"/>
    <w:rsid w:val="00156603"/>
    <w:rsid w:val="001609D3"/>
    <w:rsid w:val="00161559"/>
    <w:rsid w:val="001635BD"/>
    <w:rsid w:val="00163F84"/>
    <w:rsid w:val="0016412A"/>
    <w:rsid w:val="0016529C"/>
    <w:rsid w:val="001653CD"/>
    <w:rsid w:val="0017003F"/>
    <w:rsid w:val="00170BC1"/>
    <w:rsid w:val="00170BFC"/>
    <w:rsid w:val="00175C67"/>
    <w:rsid w:val="00182456"/>
    <w:rsid w:val="00191193"/>
    <w:rsid w:val="001923F3"/>
    <w:rsid w:val="00194BC1"/>
    <w:rsid w:val="001952A5"/>
    <w:rsid w:val="001A17E8"/>
    <w:rsid w:val="001A4F33"/>
    <w:rsid w:val="001A5176"/>
    <w:rsid w:val="001A621C"/>
    <w:rsid w:val="001A6BC4"/>
    <w:rsid w:val="001B0D62"/>
    <w:rsid w:val="001B4B9F"/>
    <w:rsid w:val="001B5FC9"/>
    <w:rsid w:val="001C043F"/>
    <w:rsid w:val="001C1E56"/>
    <w:rsid w:val="001C413D"/>
    <w:rsid w:val="001C4E1A"/>
    <w:rsid w:val="001C674E"/>
    <w:rsid w:val="001D00CC"/>
    <w:rsid w:val="001D0C5D"/>
    <w:rsid w:val="001D0CED"/>
    <w:rsid w:val="001D1439"/>
    <w:rsid w:val="001D17E4"/>
    <w:rsid w:val="001D31E2"/>
    <w:rsid w:val="001D379F"/>
    <w:rsid w:val="001D3C83"/>
    <w:rsid w:val="001D527A"/>
    <w:rsid w:val="001D594C"/>
    <w:rsid w:val="001D622C"/>
    <w:rsid w:val="001D738F"/>
    <w:rsid w:val="001E227B"/>
    <w:rsid w:val="001E310B"/>
    <w:rsid w:val="001E5035"/>
    <w:rsid w:val="001E5CDC"/>
    <w:rsid w:val="001F03D8"/>
    <w:rsid w:val="001F085D"/>
    <w:rsid w:val="001F08B1"/>
    <w:rsid w:val="001F0AF0"/>
    <w:rsid w:val="001F0C4A"/>
    <w:rsid w:val="001F1EDA"/>
    <w:rsid w:val="001F505C"/>
    <w:rsid w:val="00200E8D"/>
    <w:rsid w:val="002016CC"/>
    <w:rsid w:val="00202751"/>
    <w:rsid w:val="00204544"/>
    <w:rsid w:val="00204559"/>
    <w:rsid w:val="00207249"/>
    <w:rsid w:val="00210785"/>
    <w:rsid w:val="0021149B"/>
    <w:rsid w:val="00213A41"/>
    <w:rsid w:val="00215EF3"/>
    <w:rsid w:val="002170CC"/>
    <w:rsid w:val="00217A4D"/>
    <w:rsid w:val="00217E7C"/>
    <w:rsid w:val="00217EAB"/>
    <w:rsid w:val="00222420"/>
    <w:rsid w:val="00224A03"/>
    <w:rsid w:val="00224A9C"/>
    <w:rsid w:val="002276EB"/>
    <w:rsid w:val="00230804"/>
    <w:rsid w:val="002317DA"/>
    <w:rsid w:val="00233310"/>
    <w:rsid w:val="00233486"/>
    <w:rsid w:val="00233729"/>
    <w:rsid w:val="00237A29"/>
    <w:rsid w:val="002479A9"/>
    <w:rsid w:val="00251185"/>
    <w:rsid w:val="00251C46"/>
    <w:rsid w:val="00253E5B"/>
    <w:rsid w:val="00253F64"/>
    <w:rsid w:val="00255DC6"/>
    <w:rsid w:val="00257F63"/>
    <w:rsid w:val="002604B9"/>
    <w:rsid w:val="00260BC5"/>
    <w:rsid w:val="002615E7"/>
    <w:rsid w:val="0026521E"/>
    <w:rsid w:val="00266F8E"/>
    <w:rsid w:val="0027150F"/>
    <w:rsid w:val="0027220D"/>
    <w:rsid w:val="00272AD5"/>
    <w:rsid w:val="00276C25"/>
    <w:rsid w:val="00277E19"/>
    <w:rsid w:val="0028060D"/>
    <w:rsid w:val="00280F04"/>
    <w:rsid w:val="00285658"/>
    <w:rsid w:val="00285FD5"/>
    <w:rsid w:val="00295611"/>
    <w:rsid w:val="00296B29"/>
    <w:rsid w:val="0029730B"/>
    <w:rsid w:val="002A3009"/>
    <w:rsid w:val="002A557D"/>
    <w:rsid w:val="002A5968"/>
    <w:rsid w:val="002A5BD1"/>
    <w:rsid w:val="002B0CCF"/>
    <w:rsid w:val="002B0E08"/>
    <w:rsid w:val="002B5C9D"/>
    <w:rsid w:val="002B6243"/>
    <w:rsid w:val="002C0CF9"/>
    <w:rsid w:val="002C2B21"/>
    <w:rsid w:val="002C3092"/>
    <w:rsid w:val="002D08A9"/>
    <w:rsid w:val="002D139D"/>
    <w:rsid w:val="002D3130"/>
    <w:rsid w:val="002D3D1C"/>
    <w:rsid w:val="002D5BE6"/>
    <w:rsid w:val="002D7061"/>
    <w:rsid w:val="002D732D"/>
    <w:rsid w:val="002E0110"/>
    <w:rsid w:val="002E434B"/>
    <w:rsid w:val="002F1740"/>
    <w:rsid w:val="002F22C1"/>
    <w:rsid w:val="002F263F"/>
    <w:rsid w:val="00300345"/>
    <w:rsid w:val="00300A82"/>
    <w:rsid w:val="00305191"/>
    <w:rsid w:val="00311212"/>
    <w:rsid w:val="00311C9C"/>
    <w:rsid w:val="00314FD0"/>
    <w:rsid w:val="00320163"/>
    <w:rsid w:val="0032243F"/>
    <w:rsid w:val="00322A30"/>
    <w:rsid w:val="00325A28"/>
    <w:rsid w:val="00325B92"/>
    <w:rsid w:val="00326502"/>
    <w:rsid w:val="0032741E"/>
    <w:rsid w:val="0033360D"/>
    <w:rsid w:val="00335313"/>
    <w:rsid w:val="003355C6"/>
    <w:rsid w:val="00335A29"/>
    <w:rsid w:val="003361B1"/>
    <w:rsid w:val="00337338"/>
    <w:rsid w:val="00341151"/>
    <w:rsid w:val="0034312D"/>
    <w:rsid w:val="00344DF6"/>
    <w:rsid w:val="00345F10"/>
    <w:rsid w:val="00346954"/>
    <w:rsid w:val="003514C2"/>
    <w:rsid w:val="00355AFE"/>
    <w:rsid w:val="00366C6B"/>
    <w:rsid w:val="00374CFC"/>
    <w:rsid w:val="0037567B"/>
    <w:rsid w:val="00377E53"/>
    <w:rsid w:val="003805CA"/>
    <w:rsid w:val="00381D39"/>
    <w:rsid w:val="00384833"/>
    <w:rsid w:val="00390A1A"/>
    <w:rsid w:val="003961A7"/>
    <w:rsid w:val="00396671"/>
    <w:rsid w:val="003A0A19"/>
    <w:rsid w:val="003A4774"/>
    <w:rsid w:val="003A7644"/>
    <w:rsid w:val="003B002E"/>
    <w:rsid w:val="003B07BD"/>
    <w:rsid w:val="003B0CC5"/>
    <w:rsid w:val="003B33B1"/>
    <w:rsid w:val="003B5740"/>
    <w:rsid w:val="003B671A"/>
    <w:rsid w:val="003B7A4E"/>
    <w:rsid w:val="003C09BF"/>
    <w:rsid w:val="003C0FA2"/>
    <w:rsid w:val="003C237B"/>
    <w:rsid w:val="003C265B"/>
    <w:rsid w:val="003C34D4"/>
    <w:rsid w:val="003C38E1"/>
    <w:rsid w:val="003C4E53"/>
    <w:rsid w:val="003C6EED"/>
    <w:rsid w:val="003C7791"/>
    <w:rsid w:val="003D0CBB"/>
    <w:rsid w:val="003D228B"/>
    <w:rsid w:val="003D2C1E"/>
    <w:rsid w:val="003D564A"/>
    <w:rsid w:val="003E0F55"/>
    <w:rsid w:val="003E1C66"/>
    <w:rsid w:val="003E2E20"/>
    <w:rsid w:val="003E4CAE"/>
    <w:rsid w:val="003F0590"/>
    <w:rsid w:val="003F0DF8"/>
    <w:rsid w:val="003F2788"/>
    <w:rsid w:val="003F522F"/>
    <w:rsid w:val="003F5284"/>
    <w:rsid w:val="003F63A6"/>
    <w:rsid w:val="003F6607"/>
    <w:rsid w:val="003F7735"/>
    <w:rsid w:val="00402EFE"/>
    <w:rsid w:val="00410301"/>
    <w:rsid w:val="00411067"/>
    <w:rsid w:val="00411C85"/>
    <w:rsid w:val="00413712"/>
    <w:rsid w:val="00413AE6"/>
    <w:rsid w:val="004153CD"/>
    <w:rsid w:val="004166C5"/>
    <w:rsid w:val="004168DB"/>
    <w:rsid w:val="004234B9"/>
    <w:rsid w:val="004241B4"/>
    <w:rsid w:val="004241C0"/>
    <w:rsid w:val="00425F7A"/>
    <w:rsid w:val="004273EA"/>
    <w:rsid w:val="00431016"/>
    <w:rsid w:val="004319C2"/>
    <w:rsid w:val="004346CF"/>
    <w:rsid w:val="00435C7C"/>
    <w:rsid w:val="0043777E"/>
    <w:rsid w:val="004430DA"/>
    <w:rsid w:val="00444473"/>
    <w:rsid w:val="00446882"/>
    <w:rsid w:val="0045168B"/>
    <w:rsid w:val="0045189F"/>
    <w:rsid w:val="00453EAE"/>
    <w:rsid w:val="0046017F"/>
    <w:rsid w:val="004621D6"/>
    <w:rsid w:val="004623D3"/>
    <w:rsid w:val="00463A90"/>
    <w:rsid w:val="00464083"/>
    <w:rsid w:val="00467CD7"/>
    <w:rsid w:val="00470432"/>
    <w:rsid w:val="004713AC"/>
    <w:rsid w:val="00473EEC"/>
    <w:rsid w:val="00474003"/>
    <w:rsid w:val="00475EF2"/>
    <w:rsid w:val="004760FC"/>
    <w:rsid w:val="00476E00"/>
    <w:rsid w:val="00480A8A"/>
    <w:rsid w:val="00482C66"/>
    <w:rsid w:val="00484BE9"/>
    <w:rsid w:val="00495667"/>
    <w:rsid w:val="00495A16"/>
    <w:rsid w:val="00496F7E"/>
    <w:rsid w:val="004A1BF1"/>
    <w:rsid w:val="004A2067"/>
    <w:rsid w:val="004A57C8"/>
    <w:rsid w:val="004A7EB1"/>
    <w:rsid w:val="004B0C8F"/>
    <w:rsid w:val="004B223B"/>
    <w:rsid w:val="004B2D88"/>
    <w:rsid w:val="004B38EA"/>
    <w:rsid w:val="004B5927"/>
    <w:rsid w:val="004C3616"/>
    <w:rsid w:val="004C36E2"/>
    <w:rsid w:val="004C4181"/>
    <w:rsid w:val="004C4D7A"/>
    <w:rsid w:val="004C5002"/>
    <w:rsid w:val="004C5AE9"/>
    <w:rsid w:val="004C669C"/>
    <w:rsid w:val="004C7BD3"/>
    <w:rsid w:val="004D03F8"/>
    <w:rsid w:val="004D0472"/>
    <w:rsid w:val="004D0CA2"/>
    <w:rsid w:val="004D14BD"/>
    <w:rsid w:val="004D1DB4"/>
    <w:rsid w:val="004D3B07"/>
    <w:rsid w:val="004D5A5E"/>
    <w:rsid w:val="004E2A9D"/>
    <w:rsid w:val="004E3532"/>
    <w:rsid w:val="004E3BB0"/>
    <w:rsid w:val="004E3CB9"/>
    <w:rsid w:val="004E6223"/>
    <w:rsid w:val="004F346B"/>
    <w:rsid w:val="004F6D03"/>
    <w:rsid w:val="004F7258"/>
    <w:rsid w:val="005040DF"/>
    <w:rsid w:val="00505F59"/>
    <w:rsid w:val="00507271"/>
    <w:rsid w:val="00510D0B"/>
    <w:rsid w:val="00510FAA"/>
    <w:rsid w:val="0051146C"/>
    <w:rsid w:val="00511969"/>
    <w:rsid w:val="00511D0F"/>
    <w:rsid w:val="0051297E"/>
    <w:rsid w:val="005137B4"/>
    <w:rsid w:val="00517A8F"/>
    <w:rsid w:val="00520B9C"/>
    <w:rsid w:val="005220C0"/>
    <w:rsid w:val="00522AD3"/>
    <w:rsid w:val="00524AA3"/>
    <w:rsid w:val="00530BD5"/>
    <w:rsid w:val="00532FE0"/>
    <w:rsid w:val="0053393A"/>
    <w:rsid w:val="005367E0"/>
    <w:rsid w:val="00541239"/>
    <w:rsid w:val="00546E89"/>
    <w:rsid w:val="005530D6"/>
    <w:rsid w:val="00553936"/>
    <w:rsid w:val="00553C5A"/>
    <w:rsid w:val="005557EF"/>
    <w:rsid w:val="00556313"/>
    <w:rsid w:val="005603A9"/>
    <w:rsid w:val="0056064B"/>
    <w:rsid w:val="00564FA6"/>
    <w:rsid w:val="005654F7"/>
    <w:rsid w:val="00572967"/>
    <w:rsid w:val="00573565"/>
    <w:rsid w:val="00575C63"/>
    <w:rsid w:val="005814A0"/>
    <w:rsid w:val="0058186A"/>
    <w:rsid w:val="00582A00"/>
    <w:rsid w:val="00583E49"/>
    <w:rsid w:val="00585AA4"/>
    <w:rsid w:val="00587386"/>
    <w:rsid w:val="00592153"/>
    <w:rsid w:val="005932E5"/>
    <w:rsid w:val="005937B8"/>
    <w:rsid w:val="005960DA"/>
    <w:rsid w:val="005A139E"/>
    <w:rsid w:val="005A446D"/>
    <w:rsid w:val="005A5ACF"/>
    <w:rsid w:val="005A6F98"/>
    <w:rsid w:val="005A71CA"/>
    <w:rsid w:val="005A71F2"/>
    <w:rsid w:val="005A73F2"/>
    <w:rsid w:val="005B0D70"/>
    <w:rsid w:val="005B3927"/>
    <w:rsid w:val="005B3D62"/>
    <w:rsid w:val="005B53AA"/>
    <w:rsid w:val="005B5A90"/>
    <w:rsid w:val="005B5C69"/>
    <w:rsid w:val="005C0DE7"/>
    <w:rsid w:val="005C1C09"/>
    <w:rsid w:val="005C2681"/>
    <w:rsid w:val="005C531A"/>
    <w:rsid w:val="005C7A01"/>
    <w:rsid w:val="005D1099"/>
    <w:rsid w:val="005D1DC7"/>
    <w:rsid w:val="005D5350"/>
    <w:rsid w:val="005E039B"/>
    <w:rsid w:val="005E11B4"/>
    <w:rsid w:val="005E36BE"/>
    <w:rsid w:val="005E3BCF"/>
    <w:rsid w:val="005E5B5C"/>
    <w:rsid w:val="005E7A06"/>
    <w:rsid w:val="005E7B6D"/>
    <w:rsid w:val="005F35BC"/>
    <w:rsid w:val="005F3643"/>
    <w:rsid w:val="006028C3"/>
    <w:rsid w:val="006035CE"/>
    <w:rsid w:val="00606D2F"/>
    <w:rsid w:val="00606FC8"/>
    <w:rsid w:val="00612BCC"/>
    <w:rsid w:val="00614EAC"/>
    <w:rsid w:val="0061529B"/>
    <w:rsid w:val="006154B6"/>
    <w:rsid w:val="006178B6"/>
    <w:rsid w:val="00620A14"/>
    <w:rsid w:val="00624B03"/>
    <w:rsid w:val="00624B8C"/>
    <w:rsid w:val="00625238"/>
    <w:rsid w:val="00627C97"/>
    <w:rsid w:val="0063059D"/>
    <w:rsid w:val="00631B73"/>
    <w:rsid w:val="0063466A"/>
    <w:rsid w:val="00634A0E"/>
    <w:rsid w:val="00634E26"/>
    <w:rsid w:val="006460E4"/>
    <w:rsid w:val="00651205"/>
    <w:rsid w:val="00652B1D"/>
    <w:rsid w:val="00653230"/>
    <w:rsid w:val="00657864"/>
    <w:rsid w:val="0066022D"/>
    <w:rsid w:val="00662183"/>
    <w:rsid w:val="00663849"/>
    <w:rsid w:val="00671BF7"/>
    <w:rsid w:val="00671F27"/>
    <w:rsid w:val="006722A6"/>
    <w:rsid w:val="0067431D"/>
    <w:rsid w:val="006769A4"/>
    <w:rsid w:val="006816F3"/>
    <w:rsid w:val="00681AE6"/>
    <w:rsid w:val="00682E53"/>
    <w:rsid w:val="00684AED"/>
    <w:rsid w:val="00685E58"/>
    <w:rsid w:val="006917B7"/>
    <w:rsid w:val="006A7549"/>
    <w:rsid w:val="006A7670"/>
    <w:rsid w:val="006B525D"/>
    <w:rsid w:val="006B5282"/>
    <w:rsid w:val="006B5990"/>
    <w:rsid w:val="006B6616"/>
    <w:rsid w:val="006C2E62"/>
    <w:rsid w:val="006C50D5"/>
    <w:rsid w:val="006D0AB8"/>
    <w:rsid w:val="006D3880"/>
    <w:rsid w:val="006D76B9"/>
    <w:rsid w:val="006D7FCC"/>
    <w:rsid w:val="006E055F"/>
    <w:rsid w:val="006E1A1D"/>
    <w:rsid w:val="006E1C2D"/>
    <w:rsid w:val="006E1D16"/>
    <w:rsid w:val="006E4A9D"/>
    <w:rsid w:val="006E4ED3"/>
    <w:rsid w:val="006F21F8"/>
    <w:rsid w:val="006F441E"/>
    <w:rsid w:val="006F75E3"/>
    <w:rsid w:val="006F7C69"/>
    <w:rsid w:val="007000C2"/>
    <w:rsid w:val="00700118"/>
    <w:rsid w:val="00703AA1"/>
    <w:rsid w:val="007046DE"/>
    <w:rsid w:val="007054B5"/>
    <w:rsid w:val="00706AB6"/>
    <w:rsid w:val="0071030F"/>
    <w:rsid w:val="007116F5"/>
    <w:rsid w:val="0071177E"/>
    <w:rsid w:val="0071626F"/>
    <w:rsid w:val="00721444"/>
    <w:rsid w:val="007238CE"/>
    <w:rsid w:val="0072533D"/>
    <w:rsid w:val="007270A5"/>
    <w:rsid w:val="00730227"/>
    <w:rsid w:val="00731248"/>
    <w:rsid w:val="00731733"/>
    <w:rsid w:val="00732489"/>
    <w:rsid w:val="00732704"/>
    <w:rsid w:val="0073272F"/>
    <w:rsid w:val="00734E4D"/>
    <w:rsid w:val="00742805"/>
    <w:rsid w:val="00745903"/>
    <w:rsid w:val="00745CD6"/>
    <w:rsid w:val="00746D97"/>
    <w:rsid w:val="0075032D"/>
    <w:rsid w:val="00752D81"/>
    <w:rsid w:val="00754AF1"/>
    <w:rsid w:val="0075631F"/>
    <w:rsid w:val="00757643"/>
    <w:rsid w:val="007628E5"/>
    <w:rsid w:val="00764B1C"/>
    <w:rsid w:val="00767CAA"/>
    <w:rsid w:val="00771D8A"/>
    <w:rsid w:val="007725E1"/>
    <w:rsid w:val="00773ACB"/>
    <w:rsid w:val="007747BF"/>
    <w:rsid w:val="0078239B"/>
    <w:rsid w:val="007844E0"/>
    <w:rsid w:val="00786285"/>
    <w:rsid w:val="00793CC0"/>
    <w:rsid w:val="0079441A"/>
    <w:rsid w:val="007A00D6"/>
    <w:rsid w:val="007A216B"/>
    <w:rsid w:val="007A30E0"/>
    <w:rsid w:val="007A36E7"/>
    <w:rsid w:val="007A3CAD"/>
    <w:rsid w:val="007A4B01"/>
    <w:rsid w:val="007A6579"/>
    <w:rsid w:val="007B0748"/>
    <w:rsid w:val="007B453E"/>
    <w:rsid w:val="007B5DDA"/>
    <w:rsid w:val="007B7F5A"/>
    <w:rsid w:val="007C00CF"/>
    <w:rsid w:val="007C1B37"/>
    <w:rsid w:val="007C1C40"/>
    <w:rsid w:val="007C4B9A"/>
    <w:rsid w:val="007D0E26"/>
    <w:rsid w:val="007D3B25"/>
    <w:rsid w:val="007D44B0"/>
    <w:rsid w:val="007D5C90"/>
    <w:rsid w:val="007D7C39"/>
    <w:rsid w:val="007E08FA"/>
    <w:rsid w:val="007E0913"/>
    <w:rsid w:val="007E10CC"/>
    <w:rsid w:val="007E25F6"/>
    <w:rsid w:val="007E3107"/>
    <w:rsid w:val="007E741B"/>
    <w:rsid w:val="007F0B0D"/>
    <w:rsid w:val="007F1163"/>
    <w:rsid w:val="007F1FFE"/>
    <w:rsid w:val="007F247B"/>
    <w:rsid w:val="007F2518"/>
    <w:rsid w:val="007F31FA"/>
    <w:rsid w:val="007F756B"/>
    <w:rsid w:val="008028E6"/>
    <w:rsid w:val="00806B69"/>
    <w:rsid w:val="00806D0D"/>
    <w:rsid w:val="00806FE0"/>
    <w:rsid w:val="00807EC5"/>
    <w:rsid w:val="0080E93B"/>
    <w:rsid w:val="00811F94"/>
    <w:rsid w:val="008126D1"/>
    <w:rsid w:val="00813B01"/>
    <w:rsid w:val="008159E8"/>
    <w:rsid w:val="008204E6"/>
    <w:rsid w:val="008225DD"/>
    <w:rsid w:val="0082482C"/>
    <w:rsid w:val="00825FA1"/>
    <w:rsid w:val="0083044A"/>
    <w:rsid w:val="00830E49"/>
    <w:rsid w:val="00832571"/>
    <w:rsid w:val="00832F84"/>
    <w:rsid w:val="008342AF"/>
    <w:rsid w:val="00834D73"/>
    <w:rsid w:val="00835D8F"/>
    <w:rsid w:val="00836373"/>
    <w:rsid w:val="008411FF"/>
    <w:rsid w:val="00842382"/>
    <w:rsid w:val="00844906"/>
    <w:rsid w:val="008478C4"/>
    <w:rsid w:val="0085469B"/>
    <w:rsid w:val="00855024"/>
    <w:rsid w:val="00857E18"/>
    <w:rsid w:val="00862545"/>
    <w:rsid w:val="00863777"/>
    <w:rsid w:val="008649C5"/>
    <w:rsid w:val="00864A9E"/>
    <w:rsid w:val="00867987"/>
    <w:rsid w:val="00867AC0"/>
    <w:rsid w:val="00867F05"/>
    <w:rsid w:val="0087365D"/>
    <w:rsid w:val="00874225"/>
    <w:rsid w:val="00874AEF"/>
    <w:rsid w:val="00876407"/>
    <w:rsid w:val="00877365"/>
    <w:rsid w:val="00880334"/>
    <w:rsid w:val="0088167B"/>
    <w:rsid w:val="00882567"/>
    <w:rsid w:val="00882D2F"/>
    <w:rsid w:val="008834A3"/>
    <w:rsid w:val="0088355F"/>
    <w:rsid w:val="008855F2"/>
    <w:rsid w:val="00886225"/>
    <w:rsid w:val="008865BE"/>
    <w:rsid w:val="00886BBE"/>
    <w:rsid w:val="00886C59"/>
    <w:rsid w:val="00887690"/>
    <w:rsid w:val="00890DE1"/>
    <w:rsid w:val="008923D4"/>
    <w:rsid w:val="00893578"/>
    <w:rsid w:val="00895FDB"/>
    <w:rsid w:val="00896696"/>
    <w:rsid w:val="008A103C"/>
    <w:rsid w:val="008A12B1"/>
    <w:rsid w:val="008A2255"/>
    <w:rsid w:val="008B0316"/>
    <w:rsid w:val="008B529E"/>
    <w:rsid w:val="008B6142"/>
    <w:rsid w:val="008C3651"/>
    <w:rsid w:val="008C4439"/>
    <w:rsid w:val="008C585F"/>
    <w:rsid w:val="008C69F8"/>
    <w:rsid w:val="008C72D7"/>
    <w:rsid w:val="008C7428"/>
    <w:rsid w:val="008D6266"/>
    <w:rsid w:val="008E1516"/>
    <w:rsid w:val="008E4D44"/>
    <w:rsid w:val="008E52A6"/>
    <w:rsid w:val="008E5927"/>
    <w:rsid w:val="008F20F1"/>
    <w:rsid w:val="008F4008"/>
    <w:rsid w:val="008F5211"/>
    <w:rsid w:val="008F7304"/>
    <w:rsid w:val="008F7620"/>
    <w:rsid w:val="009001E3"/>
    <w:rsid w:val="00900CC5"/>
    <w:rsid w:val="009011A5"/>
    <w:rsid w:val="00903EDE"/>
    <w:rsid w:val="00905899"/>
    <w:rsid w:val="009063AD"/>
    <w:rsid w:val="00910CC6"/>
    <w:rsid w:val="009169AD"/>
    <w:rsid w:val="00921DA8"/>
    <w:rsid w:val="0092506D"/>
    <w:rsid w:val="00930FC3"/>
    <w:rsid w:val="009311F3"/>
    <w:rsid w:val="00931C63"/>
    <w:rsid w:val="00932AFD"/>
    <w:rsid w:val="0093398D"/>
    <w:rsid w:val="00936091"/>
    <w:rsid w:val="00937F58"/>
    <w:rsid w:val="009435E4"/>
    <w:rsid w:val="00946B31"/>
    <w:rsid w:val="00950265"/>
    <w:rsid w:val="00951F57"/>
    <w:rsid w:val="009542FC"/>
    <w:rsid w:val="00955913"/>
    <w:rsid w:val="00960083"/>
    <w:rsid w:val="00961091"/>
    <w:rsid w:val="00961BB8"/>
    <w:rsid w:val="00966C3F"/>
    <w:rsid w:val="00977622"/>
    <w:rsid w:val="009803AF"/>
    <w:rsid w:val="0098169A"/>
    <w:rsid w:val="00982AF0"/>
    <w:rsid w:val="009864B3"/>
    <w:rsid w:val="009922C1"/>
    <w:rsid w:val="00992E01"/>
    <w:rsid w:val="00992F89"/>
    <w:rsid w:val="00993101"/>
    <w:rsid w:val="009937C1"/>
    <w:rsid w:val="00995D2B"/>
    <w:rsid w:val="00996C6D"/>
    <w:rsid w:val="009A1A7C"/>
    <w:rsid w:val="009A1C7F"/>
    <w:rsid w:val="009A317C"/>
    <w:rsid w:val="009A7CC1"/>
    <w:rsid w:val="009B1D6D"/>
    <w:rsid w:val="009B2E12"/>
    <w:rsid w:val="009B3604"/>
    <w:rsid w:val="009B4162"/>
    <w:rsid w:val="009B4202"/>
    <w:rsid w:val="009B4254"/>
    <w:rsid w:val="009B6B23"/>
    <w:rsid w:val="009C3F51"/>
    <w:rsid w:val="009C48C9"/>
    <w:rsid w:val="009C7C86"/>
    <w:rsid w:val="009D1BF3"/>
    <w:rsid w:val="009D1EEA"/>
    <w:rsid w:val="009D2B6C"/>
    <w:rsid w:val="009D3386"/>
    <w:rsid w:val="009D3C5B"/>
    <w:rsid w:val="009D3C66"/>
    <w:rsid w:val="009D3D60"/>
    <w:rsid w:val="009D62CE"/>
    <w:rsid w:val="009D6369"/>
    <w:rsid w:val="009E0A25"/>
    <w:rsid w:val="009E7565"/>
    <w:rsid w:val="009F0487"/>
    <w:rsid w:val="009F2AD0"/>
    <w:rsid w:val="009F43A3"/>
    <w:rsid w:val="009F4ED0"/>
    <w:rsid w:val="009F4EE6"/>
    <w:rsid w:val="009F5BD8"/>
    <w:rsid w:val="009F69A3"/>
    <w:rsid w:val="00A012AB"/>
    <w:rsid w:val="00A060E3"/>
    <w:rsid w:val="00A11D01"/>
    <w:rsid w:val="00A11EA8"/>
    <w:rsid w:val="00A12C66"/>
    <w:rsid w:val="00A141CA"/>
    <w:rsid w:val="00A159E2"/>
    <w:rsid w:val="00A20C46"/>
    <w:rsid w:val="00A21548"/>
    <w:rsid w:val="00A21E6F"/>
    <w:rsid w:val="00A22FD5"/>
    <w:rsid w:val="00A23424"/>
    <w:rsid w:val="00A265E8"/>
    <w:rsid w:val="00A34257"/>
    <w:rsid w:val="00A3544A"/>
    <w:rsid w:val="00A37195"/>
    <w:rsid w:val="00A37631"/>
    <w:rsid w:val="00A4098F"/>
    <w:rsid w:val="00A42184"/>
    <w:rsid w:val="00A435BE"/>
    <w:rsid w:val="00A4477F"/>
    <w:rsid w:val="00A45D4A"/>
    <w:rsid w:val="00A4646C"/>
    <w:rsid w:val="00A467DA"/>
    <w:rsid w:val="00A5195B"/>
    <w:rsid w:val="00A51C33"/>
    <w:rsid w:val="00A5355C"/>
    <w:rsid w:val="00A55E26"/>
    <w:rsid w:val="00A60C8F"/>
    <w:rsid w:val="00A611F3"/>
    <w:rsid w:val="00A6202E"/>
    <w:rsid w:val="00A6353F"/>
    <w:rsid w:val="00A63A17"/>
    <w:rsid w:val="00A6402D"/>
    <w:rsid w:val="00A64794"/>
    <w:rsid w:val="00A65085"/>
    <w:rsid w:val="00A66B87"/>
    <w:rsid w:val="00A70366"/>
    <w:rsid w:val="00A70D8C"/>
    <w:rsid w:val="00A74063"/>
    <w:rsid w:val="00A76CD3"/>
    <w:rsid w:val="00A77004"/>
    <w:rsid w:val="00A8093F"/>
    <w:rsid w:val="00A8297D"/>
    <w:rsid w:val="00A838DA"/>
    <w:rsid w:val="00A840BB"/>
    <w:rsid w:val="00A92637"/>
    <w:rsid w:val="00AA0935"/>
    <w:rsid w:val="00AA11B6"/>
    <w:rsid w:val="00AA5324"/>
    <w:rsid w:val="00AA6830"/>
    <w:rsid w:val="00AA6CAB"/>
    <w:rsid w:val="00AA7E9C"/>
    <w:rsid w:val="00AB095F"/>
    <w:rsid w:val="00AB401F"/>
    <w:rsid w:val="00AB5A28"/>
    <w:rsid w:val="00AB5E0B"/>
    <w:rsid w:val="00AC41D5"/>
    <w:rsid w:val="00AC4B99"/>
    <w:rsid w:val="00AC5D76"/>
    <w:rsid w:val="00AC75DA"/>
    <w:rsid w:val="00AD0679"/>
    <w:rsid w:val="00AD1F8D"/>
    <w:rsid w:val="00AD269B"/>
    <w:rsid w:val="00AD2904"/>
    <w:rsid w:val="00AD4066"/>
    <w:rsid w:val="00AD4597"/>
    <w:rsid w:val="00AD4B86"/>
    <w:rsid w:val="00AE524C"/>
    <w:rsid w:val="00AE7582"/>
    <w:rsid w:val="00AE773A"/>
    <w:rsid w:val="00AE7EF7"/>
    <w:rsid w:val="00AF11AF"/>
    <w:rsid w:val="00AF270F"/>
    <w:rsid w:val="00AF2A70"/>
    <w:rsid w:val="00AF40F8"/>
    <w:rsid w:val="00B00405"/>
    <w:rsid w:val="00B04A16"/>
    <w:rsid w:val="00B05889"/>
    <w:rsid w:val="00B11A4F"/>
    <w:rsid w:val="00B15F28"/>
    <w:rsid w:val="00B2008A"/>
    <w:rsid w:val="00B204BA"/>
    <w:rsid w:val="00B21040"/>
    <w:rsid w:val="00B234B2"/>
    <w:rsid w:val="00B301B2"/>
    <w:rsid w:val="00B3350D"/>
    <w:rsid w:val="00B3519D"/>
    <w:rsid w:val="00B351BE"/>
    <w:rsid w:val="00B35CE5"/>
    <w:rsid w:val="00B37DBB"/>
    <w:rsid w:val="00B40E32"/>
    <w:rsid w:val="00B42F26"/>
    <w:rsid w:val="00B4376D"/>
    <w:rsid w:val="00B47FB5"/>
    <w:rsid w:val="00B50102"/>
    <w:rsid w:val="00B50304"/>
    <w:rsid w:val="00B52693"/>
    <w:rsid w:val="00B531F9"/>
    <w:rsid w:val="00B54C3B"/>
    <w:rsid w:val="00B56C1D"/>
    <w:rsid w:val="00B57531"/>
    <w:rsid w:val="00B64748"/>
    <w:rsid w:val="00B678DF"/>
    <w:rsid w:val="00B70F3C"/>
    <w:rsid w:val="00B721EA"/>
    <w:rsid w:val="00B72BD4"/>
    <w:rsid w:val="00B756F3"/>
    <w:rsid w:val="00B76F0B"/>
    <w:rsid w:val="00B81E48"/>
    <w:rsid w:val="00B93FA2"/>
    <w:rsid w:val="00B946DE"/>
    <w:rsid w:val="00B94970"/>
    <w:rsid w:val="00B96FB5"/>
    <w:rsid w:val="00B97C69"/>
    <w:rsid w:val="00BA09D9"/>
    <w:rsid w:val="00BA1016"/>
    <w:rsid w:val="00BB0CC2"/>
    <w:rsid w:val="00BB0EE1"/>
    <w:rsid w:val="00BB3844"/>
    <w:rsid w:val="00BB7766"/>
    <w:rsid w:val="00BB7F28"/>
    <w:rsid w:val="00BB7F6A"/>
    <w:rsid w:val="00BC144D"/>
    <w:rsid w:val="00BC1A68"/>
    <w:rsid w:val="00BC1B9E"/>
    <w:rsid w:val="00BC4A5A"/>
    <w:rsid w:val="00BC5C5B"/>
    <w:rsid w:val="00BC5D51"/>
    <w:rsid w:val="00BC60B7"/>
    <w:rsid w:val="00BC71A6"/>
    <w:rsid w:val="00BD1E3A"/>
    <w:rsid w:val="00BD2E99"/>
    <w:rsid w:val="00BD2F65"/>
    <w:rsid w:val="00BD4EB2"/>
    <w:rsid w:val="00BD7074"/>
    <w:rsid w:val="00BE0193"/>
    <w:rsid w:val="00BE1D6A"/>
    <w:rsid w:val="00BE3ACE"/>
    <w:rsid w:val="00BE3BF9"/>
    <w:rsid w:val="00BE595C"/>
    <w:rsid w:val="00BE68C7"/>
    <w:rsid w:val="00BE6AD2"/>
    <w:rsid w:val="00BE7094"/>
    <w:rsid w:val="00BE731C"/>
    <w:rsid w:val="00BF2072"/>
    <w:rsid w:val="00BF2A7C"/>
    <w:rsid w:val="00BF2B69"/>
    <w:rsid w:val="00BF4356"/>
    <w:rsid w:val="00BF4974"/>
    <w:rsid w:val="00BF5410"/>
    <w:rsid w:val="00BF5490"/>
    <w:rsid w:val="00BF5D19"/>
    <w:rsid w:val="00C00BA4"/>
    <w:rsid w:val="00C01507"/>
    <w:rsid w:val="00C01A4A"/>
    <w:rsid w:val="00C05991"/>
    <w:rsid w:val="00C1091C"/>
    <w:rsid w:val="00C11B03"/>
    <w:rsid w:val="00C13A9B"/>
    <w:rsid w:val="00C20C46"/>
    <w:rsid w:val="00C21869"/>
    <w:rsid w:val="00C22C28"/>
    <w:rsid w:val="00C338B2"/>
    <w:rsid w:val="00C37096"/>
    <w:rsid w:val="00C37709"/>
    <w:rsid w:val="00C377AB"/>
    <w:rsid w:val="00C37967"/>
    <w:rsid w:val="00C40096"/>
    <w:rsid w:val="00C4036D"/>
    <w:rsid w:val="00C40886"/>
    <w:rsid w:val="00C41F3D"/>
    <w:rsid w:val="00C42C36"/>
    <w:rsid w:val="00C438E7"/>
    <w:rsid w:val="00C449EC"/>
    <w:rsid w:val="00C473C0"/>
    <w:rsid w:val="00C47B21"/>
    <w:rsid w:val="00C50A27"/>
    <w:rsid w:val="00C52EC8"/>
    <w:rsid w:val="00C530DE"/>
    <w:rsid w:val="00C542E0"/>
    <w:rsid w:val="00C60E42"/>
    <w:rsid w:val="00C62B8E"/>
    <w:rsid w:val="00C6389B"/>
    <w:rsid w:val="00C63CC8"/>
    <w:rsid w:val="00C6579E"/>
    <w:rsid w:val="00C6776A"/>
    <w:rsid w:val="00C753B5"/>
    <w:rsid w:val="00C75448"/>
    <w:rsid w:val="00C768BC"/>
    <w:rsid w:val="00C77635"/>
    <w:rsid w:val="00C77ADC"/>
    <w:rsid w:val="00C818A3"/>
    <w:rsid w:val="00C821EC"/>
    <w:rsid w:val="00C83018"/>
    <w:rsid w:val="00C84827"/>
    <w:rsid w:val="00C85C0F"/>
    <w:rsid w:val="00C90080"/>
    <w:rsid w:val="00C901B1"/>
    <w:rsid w:val="00C915DE"/>
    <w:rsid w:val="00C92652"/>
    <w:rsid w:val="00C945DC"/>
    <w:rsid w:val="00C9773D"/>
    <w:rsid w:val="00C97D5B"/>
    <w:rsid w:val="00CA0FBE"/>
    <w:rsid w:val="00CA2487"/>
    <w:rsid w:val="00CA2545"/>
    <w:rsid w:val="00CA3210"/>
    <w:rsid w:val="00CA5B14"/>
    <w:rsid w:val="00CB09F2"/>
    <w:rsid w:val="00CB3F4F"/>
    <w:rsid w:val="00CB4E2E"/>
    <w:rsid w:val="00CC05B7"/>
    <w:rsid w:val="00CC0818"/>
    <w:rsid w:val="00CC6345"/>
    <w:rsid w:val="00CD3E59"/>
    <w:rsid w:val="00CD4392"/>
    <w:rsid w:val="00CD4E80"/>
    <w:rsid w:val="00CD6720"/>
    <w:rsid w:val="00CD6DEB"/>
    <w:rsid w:val="00CE02CB"/>
    <w:rsid w:val="00CE69CB"/>
    <w:rsid w:val="00CE7122"/>
    <w:rsid w:val="00CE7DB9"/>
    <w:rsid w:val="00CE7DC1"/>
    <w:rsid w:val="00CF0D13"/>
    <w:rsid w:val="00CF2FA1"/>
    <w:rsid w:val="00CF3416"/>
    <w:rsid w:val="00CF5CC4"/>
    <w:rsid w:val="00CF6B9D"/>
    <w:rsid w:val="00CF7C11"/>
    <w:rsid w:val="00D00D4F"/>
    <w:rsid w:val="00D01E47"/>
    <w:rsid w:val="00D0200B"/>
    <w:rsid w:val="00D04A4A"/>
    <w:rsid w:val="00D068D4"/>
    <w:rsid w:val="00D1039A"/>
    <w:rsid w:val="00D126A4"/>
    <w:rsid w:val="00D13591"/>
    <w:rsid w:val="00D16ABA"/>
    <w:rsid w:val="00D17E87"/>
    <w:rsid w:val="00D21074"/>
    <w:rsid w:val="00D21956"/>
    <w:rsid w:val="00D22E89"/>
    <w:rsid w:val="00D25B6B"/>
    <w:rsid w:val="00D26500"/>
    <w:rsid w:val="00D30252"/>
    <w:rsid w:val="00D304F8"/>
    <w:rsid w:val="00D325CF"/>
    <w:rsid w:val="00D34EDC"/>
    <w:rsid w:val="00D35973"/>
    <w:rsid w:val="00D375C6"/>
    <w:rsid w:val="00D40DAD"/>
    <w:rsid w:val="00D40FE7"/>
    <w:rsid w:val="00D47641"/>
    <w:rsid w:val="00D47F41"/>
    <w:rsid w:val="00D51671"/>
    <w:rsid w:val="00D53780"/>
    <w:rsid w:val="00D5455F"/>
    <w:rsid w:val="00D54C84"/>
    <w:rsid w:val="00D554CB"/>
    <w:rsid w:val="00D57C86"/>
    <w:rsid w:val="00D60A94"/>
    <w:rsid w:val="00D61484"/>
    <w:rsid w:val="00D6183D"/>
    <w:rsid w:val="00D62E28"/>
    <w:rsid w:val="00D634CA"/>
    <w:rsid w:val="00D6399E"/>
    <w:rsid w:val="00D64660"/>
    <w:rsid w:val="00D654D0"/>
    <w:rsid w:val="00D66653"/>
    <w:rsid w:val="00D7073B"/>
    <w:rsid w:val="00D709A9"/>
    <w:rsid w:val="00D75627"/>
    <w:rsid w:val="00D846C2"/>
    <w:rsid w:val="00D87F93"/>
    <w:rsid w:val="00D97151"/>
    <w:rsid w:val="00D972EB"/>
    <w:rsid w:val="00DA1569"/>
    <w:rsid w:val="00DA2409"/>
    <w:rsid w:val="00DA53C2"/>
    <w:rsid w:val="00DA6B13"/>
    <w:rsid w:val="00DA7F7E"/>
    <w:rsid w:val="00DB0003"/>
    <w:rsid w:val="00DB221A"/>
    <w:rsid w:val="00DB243B"/>
    <w:rsid w:val="00DB2710"/>
    <w:rsid w:val="00DB2894"/>
    <w:rsid w:val="00DB4150"/>
    <w:rsid w:val="00DB510D"/>
    <w:rsid w:val="00DB563D"/>
    <w:rsid w:val="00DC07A8"/>
    <w:rsid w:val="00DC0FEA"/>
    <w:rsid w:val="00DC14E6"/>
    <w:rsid w:val="00DC2151"/>
    <w:rsid w:val="00DC7417"/>
    <w:rsid w:val="00DD12E4"/>
    <w:rsid w:val="00DD3CE4"/>
    <w:rsid w:val="00DD56C3"/>
    <w:rsid w:val="00DD6428"/>
    <w:rsid w:val="00DD78A2"/>
    <w:rsid w:val="00DE064B"/>
    <w:rsid w:val="00DE23D8"/>
    <w:rsid w:val="00DE3DD6"/>
    <w:rsid w:val="00DE4C3E"/>
    <w:rsid w:val="00DE624E"/>
    <w:rsid w:val="00DF459F"/>
    <w:rsid w:val="00E02D07"/>
    <w:rsid w:val="00E079C3"/>
    <w:rsid w:val="00E07BE9"/>
    <w:rsid w:val="00E10010"/>
    <w:rsid w:val="00E104A5"/>
    <w:rsid w:val="00E126FB"/>
    <w:rsid w:val="00E12F78"/>
    <w:rsid w:val="00E15887"/>
    <w:rsid w:val="00E163A9"/>
    <w:rsid w:val="00E200A0"/>
    <w:rsid w:val="00E214C6"/>
    <w:rsid w:val="00E2193D"/>
    <w:rsid w:val="00E2405F"/>
    <w:rsid w:val="00E27723"/>
    <w:rsid w:val="00E30E97"/>
    <w:rsid w:val="00E33511"/>
    <w:rsid w:val="00E34EB4"/>
    <w:rsid w:val="00E37E45"/>
    <w:rsid w:val="00E42A2F"/>
    <w:rsid w:val="00E430E1"/>
    <w:rsid w:val="00E453E7"/>
    <w:rsid w:val="00E45CF7"/>
    <w:rsid w:val="00E475D1"/>
    <w:rsid w:val="00E47CA9"/>
    <w:rsid w:val="00E529DA"/>
    <w:rsid w:val="00E57CC3"/>
    <w:rsid w:val="00E61277"/>
    <w:rsid w:val="00E61EAC"/>
    <w:rsid w:val="00E63582"/>
    <w:rsid w:val="00E65F8C"/>
    <w:rsid w:val="00E70378"/>
    <w:rsid w:val="00E71721"/>
    <w:rsid w:val="00E74F57"/>
    <w:rsid w:val="00E75977"/>
    <w:rsid w:val="00E77FA3"/>
    <w:rsid w:val="00E83C31"/>
    <w:rsid w:val="00E85FBA"/>
    <w:rsid w:val="00E86284"/>
    <w:rsid w:val="00E9605A"/>
    <w:rsid w:val="00EA0F18"/>
    <w:rsid w:val="00EA1E1B"/>
    <w:rsid w:val="00EA1E4C"/>
    <w:rsid w:val="00EA470D"/>
    <w:rsid w:val="00EA66E3"/>
    <w:rsid w:val="00EB04E4"/>
    <w:rsid w:val="00EB06B4"/>
    <w:rsid w:val="00EB2204"/>
    <w:rsid w:val="00EB366C"/>
    <w:rsid w:val="00EB55BC"/>
    <w:rsid w:val="00EB58E9"/>
    <w:rsid w:val="00EB6298"/>
    <w:rsid w:val="00EC19D4"/>
    <w:rsid w:val="00EC1B8B"/>
    <w:rsid w:val="00EC34CB"/>
    <w:rsid w:val="00EC376A"/>
    <w:rsid w:val="00EC41D7"/>
    <w:rsid w:val="00EC4A0A"/>
    <w:rsid w:val="00EC504D"/>
    <w:rsid w:val="00EC6774"/>
    <w:rsid w:val="00EC7E61"/>
    <w:rsid w:val="00ED0731"/>
    <w:rsid w:val="00ED0970"/>
    <w:rsid w:val="00EE38BC"/>
    <w:rsid w:val="00EE5833"/>
    <w:rsid w:val="00EE7768"/>
    <w:rsid w:val="00EF2037"/>
    <w:rsid w:val="00EF2560"/>
    <w:rsid w:val="00EF2C28"/>
    <w:rsid w:val="00EF4C8D"/>
    <w:rsid w:val="00EF6049"/>
    <w:rsid w:val="00EF64C6"/>
    <w:rsid w:val="00EF71D1"/>
    <w:rsid w:val="00EF79EE"/>
    <w:rsid w:val="00F00E44"/>
    <w:rsid w:val="00F01E67"/>
    <w:rsid w:val="00F04008"/>
    <w:rsid w:val="00F06617"/>
    <w:rsid w:val="00F072EA"/>
    <w:rsid w:val="00F1051A"/>
    <w:rsid w:val="00F10684"/>
    <w:rsid w:val="00F10DE1"/>
    <w:rsid w:val="00F113E6"/>
    <w:rsid w:val="00F123A9"/>
    <w:rsid w:val="00F12DE2"/>
    <w:rsid w:val="00F13E70"/>
    <w:rsid w:val="00F143BB"/>
    <w:rsid w:val="00F20082"/>
    <w:rsid w:val="00F2064A"/>
    <w:rsid w:val="00F212A0"/>
    <w:rsid w:val="00F24B7D"/>
    <w:rsid w:val="00F24C2E"/>
    <w:rsid w:val="00F2571A"/>
    <w:rsid w:val="00F26832"/>
    <w:rsid w:val="00F34824"/>
    <w:rsid w:val="00F34BCC"/>
    <w:rsid w:val="00F35223"/>
    <w:rsid w:val="00F35A2E"/>
    <w:rsid w:val="00F36495"/>
    <w:rsid w:val="00F371D4"/>
    <w:rsid w:val="00F37BCD"/>
    <w:rsid w:val="00F41036"/>
    <w:rsid w:val="00F4647D"/>
    <w:rsid w:val="00F47468"/>
    <w:rsid w:val="00F52174"/>
    <w:rsid w:val="00F539FB"/>
    <w:rsid w:val="00F54321"/>
    <w:rsid w:val="00F5434A"/>
    <w:rsid w:val="00F54E50"/>
    <w:rsid w:val="00F55615"/>
    <w:rsid w:val="00F6037D"/>
    <w:rsid w:val="00F63E77"/>
    <w:rsid w:val="00F64906"/>
    <w:rsid w:val="00F653C8"/>
    <w:rsid w:val="00F65D00"/>
    <w:rsid w:val="00F65FB7"/>
    <w:rsid w:val="00F66548"/>
    <w:rsid w:val="00F66841"/>
    <w:rsid w:val="00F725FC"/>
    <w:rsid w:val="00F8287A"/>
    <w:rsid w:val="00F84B0D"/>
    <w:rsid w:val="00F8612E"/>
    <w:rsid w:val="00F8756F"/>
    <w:rsid w:val="00F9431E"/>
    <w:rsid w:val="00F97A3F"/>
    <w:rsid w:val="00FA05AF"/>
    <w:rsid w:val="00FA0FB1"/>
    <w:rsid w:val="00FA2FEC"/>
    <w:rsid w:val="00FB019F"/>
    <w:rsid w:val="00FB02CA"/>
    <w:rsid w:val="00FB199F"/>
    <w:rsid w:val="00FB1B01"/>
    <w:rsid w:val="00FB4F8D"/>
    <w:rsid w:val="00FC216E"/>
    <w:rsid w:val="00FC40C9"/>
    <w:rsid w:val="00FC51ED"/>
    <w:rsid w:val="00FC522A"/>
    <w:rsid w:val="00FD3546"/>
    <w:rsid w:val="00FD6394"/>
    <w:rsid w:val="00FE201E"/>
    <w:rsid w:val="00FE2A3D"/>
    <w:rsid w:val="00FE3FD3"/>
    <w:rsid w:val="00FE5564"/>
    <w:rsid w:val="00FF2292"/>
    <w:rsid w:val="00FF31C9"/>
    <w:rsid w:val="00FF4C2D"/>
    <w:rsid w:val="00FF6879"/>
    <w:rsid w:val="00FF7EC8"/>
    <w:rsid w:val="012ACF62"/>
    <w:rsid w:val="012B5673"/>
    <w:rsid w:val="019EE966"/>
    <w:rsid w:val="01C1D9DA"/>
    <w:rsid w:val="01DFD64D"/>
    <w:rsid w:val="01E00823"/>
    <w:rsid w:val="02040AA3"/>
    <w:rsid w:val="020A0CB0"/>
    <w:rsid w:val="020C0464"/>
    <w:rsid w:val="023231D3"/>
    <w:rsid w:val="02484382"/>
    <w:rsid w:val="02746357"/>
    <w:rsid w:val="029C2B63"/>
    <w:rsid w:val="02AEFAB6"/>
    <w:rsid w:val="02B1ED4D"/>
    <w:rsid w:val="037BD884"/>
    <w:rsid w:val="03947401"/>
    <w:rsid w:val="03C1B6A5"/>
    <w:rsid w:val="03C5E527"/>
    <w:rsid w:val="03CAAFDE"/>
    <w:rsid w:val="03EC8532"/>
    <w:rsid w:val="04315D96"/>
    <w:rsid w:val="0436DBF5"/>
    <w:rsid w:val="0467DE7D"/>
    <w:rsid w:val="04C6BE26"/>
    <w:rsid w:val="04D5E799"/>
    <w:rsid w:val="04E511C8"/>
    <w:rsid w:val="04EA3443"/>
    <w:rsid w:val="04F53677"/>
    <w:rsid w:val="0516BAAD"/>
    <w:rsid w:val="0517A8E5"/>
    <w:rsid w:val="0528E3A8"/>
    <w:rsid w:val="055FD43B"/>
    <w:rsid w:val="05CD6CF2"/>
    <w:rsid w:val="05DD1A14"/>
    <w:rsid w:val="06519F14"/>
    <w:rsid w:val="0656CB62"/>
    <w:rsid w:val="066639D9"/>
    <w:rsid w:val="06B90F3E"/>
    <w:rsid w:val="06CEE16A"/>
    <w:rsid w:val="07028C48"/>
    <w:rsid w:val="071BB4A5"/>
    <w:rsid w:val="071F0E3E"/>
    <w:rsid w:val="078F74C2"/>
    <w:rsid w:val="0793CF39"/>
    <w:rsid w:val="07A5BECA"/>
    <w:rsid w:val="0800B5ED"/>
    <w:rsid w:val="0837572A"/>
    <w:rsid w:val="08719E0C"/>
    <w:rsid w:val="089E5CA9"/>
    <w:rsid w:val="08D8DEE5"/>
    <w:rsid w:val="092B3E31"/>
    <w:rsid w:val="0956A2A7"/>
    <w:rsid w:val="0983929D"/>
    <w:rsid w:val="09A3C5C4"/>
    <w:rsid w:val="09B901CC"/>
    <w:rsid w:val="09EB0332"/>
    <w:rsid w:val="09F90559"/>
    <w:rsid w:val="09FECC23"/>
    <w:rsid w:val="0A8EAA46"/>
    <w:rsid w:val="0AADC908"/>
    <w:rsid w:val="0AF91EEF"/>
    <w:rsid w:val="0B132633"/>
    <w:rsid w:val="0B139423"/>
    <w:rsid w:val="0B18F7FC"/>
    <w:rsid w:val="0B2009B8"/>
    <w:rsid w:val="0B3CA0B4"/>
    <w:rsid w:val="0B9DDBF0"/>
    <w:rsid w:val="0BA36460"/>
    <w:rsid w:val="0BB1E3CA"/>
    <w:rsid w:val="0BB45BD5"/>
    <w:rsid w:val="0BB7ADF5"/>
    <w:rsid w:val="0BD47E60"/>
    <w:rsid w:val="0C2A7A56"/>
    <w:rsid w:val="0CA48A4B"/>
    <w:rsid w:val="0CDACF0E"/>
    <w:rsid w:val="0CF3F88E"/>
    <w:rsid w:val="0D05CC5E"/>
    <w:rsid w:val="0D1EFBB4"/>
    <w:rsid w:val="0D51D370"/>
    <w:rsid w:val="0D5D2059"/>
    <w:rsid w:val="0D7B5B4D"/>
    <w:rsid w:val="0D94F952"/>
    <w:rsid w:val="0DAF3204"/>
    <w:rsid w:val="0E1C0CF3"/>
    <w:rsid w:val="0E3386AE"/>
    <w:rsid w:val="0E84514C"/>
    <w:rsid w:val="0E9E89C6"/>
    <w:rsid w:val="0ECAD70A"/>
    <w:rsid w:val="0EDE85BE"/>
    <w:rsid w:val="0EE2CE74"/>
    <w:rsid w:val="0F23E2E4"/>
    <w:rsid w:val="0F36E0B9"/>
    <w:rsid w:val="0F83431A"/>
    <w:rsid w:val="0F8F817B"/>
    <w:rsid w:val="0FD2C5C9"/>
    <w:rsid w:val="100FB1E5"/>
    <w:rsid w:val="101E785B"/>
    <w:rsid w:val="102168E7"/>
    <w:rsid w:val="1031167E"/>
    <w:rsid w:val="10332F5A"/>
    <w:rsid w:val="105441A5"/>
    <w:rsid w:val="1080425F"/>
    <w:rsid w:val="109CC71B"/>
    <w:rsid w:val="10AA7468"/>
    <w:rsid w:val="10C90B06"/>
    <w:rsid w:val="10D5EA67"/>
    <w:rsid w:val="10E5B458"/>
    <w:rsid w:val="110329C7"/>
    <w:rsid w:val="114C2764"/>
    <w:rsid w:val="1182D5A7"/>
    <w:rsid w:val="11A22CDB"/>
    <w:rsid w:val="11C1AEF5"/>
    <w:rsid w:val="11CCDDA7"/>
    <w:rsid w:val="11CDE6A3"/>
    <w:rsid w:val="11E5F160"/>
    <w:rsid w:val="11E88884"/>
    <w:rsid w:val="11FCF001"/>
    <w:rsid w:val="1296C79F"/>
    <w:rsid w:val="12A54BBE"/>
    <w:rsid w:val="12C02464"/>
    <w:rsid w:val="130A848C"/>
    <w:rsid w:val="133FD929"/>
    <w:rsid w:val="1344B0C3"/>
    <w:rsid w:val="13450EEF"/>
    <w:rsid w:val="136442FC"/>
    <w:rsid w:val="136E038A"/>
    <w:rsid w:val="1380DF2F"/>
    <w:rsid w:val="13A280B7"/>
    <w:rsid w:val="13AA0053"/>
    <w:rsid w:val="13D21203"/>
    <w:rsid w:val="13F1D224"/>
    <w:rsid w:val="142EC8F0"/>
    <w:rsid w:val="143191E1"/>
    <w:rsid w:val="1436CD86"/>
    <w:rsid w:val="14597E3C"/>
    <w:rsid w:val="14658B47"/>
    <w:rsid w:val="14E3DEF4"/>
    <w:rsid w:val="155FFB25"/>
    <w:rsid w:val="157DE58B"/>
    <w:rsid w:val="15C1564C"/>
    <w:rsid w:val="15F60EC6"/>
    <w:rsid w:val="16079F5F"/>
    <w:rsid w:val="161318A6"/>
    <w:rsid w:val="1637695D"/>
    <w:rsid w:val="167A40E8"/>
    <w:rsid w:val="16E5D3B5"/>
    <w:rsid w:val="16EA2613"/>
    <w:rsid w:val="1720BEA4"/>
    <w:rsid w:val="1755A138"/>
    <w:rsid w:val="17C3638B"/>
    <w:rsid w:val="17D0C8B4"/>
    <w:rsid w:val="17DA90DC"/>
    <w:rsid w:val="1823C7C2"/>
    <w:rsid w:val="188D0F5D"/>
    <w:rsid w:val="18B719C4"/>
    <w:rsid w:val="18F57F03"/>
    <w:rsid w:val="193DC4A1"/>
    <w:rsid w:val="193F4021"/>
    <w:rsid w:val="194694C7"/>
    <w:rsid w:val="197D27F9"/>
    <w:rsid w:val="19830648"/>
    <w:rsid w:val="199AC9EA"/>
    <w:rsid w:val="19B35D1E"/>
    <w:rsid w:val="19FA59AD"/>
    <w:rsid w:val="1A2F5C39"/>
    <w:rsid w:val="1A62C456"/>
    <w:rsid w:val="1A6F2C58"/>
    <w:rsid w:val="1A81AA7F"/>
    <w:rsid w:val="1A993D7D"/>
    <w:rsid w:val="1AAF95E8"/>
    <w:rsid w:val="1AD6CCD0"/>
    <w:rsid w:val="1ADF5B34"/>
    <w:rsid w:val="1B369A4B"/>
    <w:rsid w:val="1BD26CF2"/>
    <w:rsid w:val="1C2BFED7"/>
    <w:rsid w:val="1CA6308A"/>
    <w:rsid w:val="1CB49175"/>
    <w:rsid w:val="1CC42E8C"/>
    <w:rsid w:val="1CF52228"/>
    <w:rsid w:val="1CFA1663"/>
    <w:rsid w:val="1D88F770"/>
    <w:rsid w:val="1DEFD238"/>
    <w:rsid w:val="1E00AA4C"/>
    <w:rsid w:val="1E00DD8D"/>
    <w:rsid w:val="1E0EF25E"/>
    <w:rsid w:val="1E5D7043"/>
    <w:rsid w:val="1E883A54"/>
    <w:rsid w:val="1E893F42"/>
    <w:rsid w:val="1EE84555"/>
    <w:rsid w:val="1EF89614"/>
    <w:rsid w:val="1F2C8E2A"/>
    <w:rsid w:val="1F644E05"/>
    <w:rsid w:val="1F7DCEAD"/>
    <w:rsid w:val="1F926177"/>
    <w:rsid w:val="1FA3BC15"/>
    <w:rsid w:val="1FF7DD9F"/>
    <w:rsid w:val="200B439D"/>
    <w:rsid w:val="20250FA3"/>
    <w:rsid w:val="20952DF5"/>
    <w:rsid w:val="20C6A790"/>
    <w:rsid w:val="20D965B4"/>
    <w:rsid w:val="20F0EC03"/>
    <w:rsid w:val="21091D0C"/>
    <w:rsid w:val="21199F0E"/>
    <w:rsid w:val="211C81FD"/>
    <w:rsid w:val="2143D945"/>
    <w:rsid w:val="21ADFE95"/>
    <w:rsid w:val="21D4296F"/>
    <w:rsid w:val="2213E74D"/>
    <w:rsid w:val="22333D0F"/>
    <w:rsid w:val="223A9853"/>
    <w:rsid w:val="225A374C"/>
    <w:rsid w:val="228D07B4"/>
    <w:rsid w:val="2296EF45"/>
    <w:rsid w:val="23154794"/>
    <w:rsid w:val="2315DD9E"/>
    <w:rsid w:val="235089FF"/>
    <w:rsid w:val="23635B31"/>
    <w:rsid w:val="23760B18"/>
    <w:rsid w:val="23AE8550"/>
    <w:rsid w:val="23B3626A"/>
    <w:rsid w:val="23D94C0A"/>
    <w:rsid w:val="242CB444"/>
    <w:rsid w:val="24320167"/>
    <w:rsid w:val="2435CD4F"/>
    <w:rsid w:val="2448C76E"/>
    <w:rsid w:val="24EF5DDD"/>
    <w:rsid w:val="250586C9"/>
    <w:rsid w:val="254F5712"/>
    <w:rsid w:val="2564E708"/>
    <w:rsid w:val="258F9100"/>
    <w:rsid w:val="25D19DB0"/>
    <w:rsid w:val="267F83E7"/>
    <w:rsid w:val="26FF2C7B"/>
    <w:rsid w:val="27158A30"/>
    <w:rsid w:val="274B8BBE"/>
    <w:rsid w:val="2750B7B3"/>
    <w:rsid w:val="27AE564C"/>
    <w:rsid w:val="27DD73B9"/>
    <w:rsid w:val="27E18AF1"/>
    <w:rsid w:val="28508209"/>
    <w:rsid w:val="28881EB5"/>
    <w:rsid w:val="28B6D943"/>
    <w:rsid w:val="28BA0D0E"/>
    <w:rsid w:val="28D15D91"/>
    <w:rsid w:val="28E2D58B"/>
    <w:rsid w:val="28EC9EDF"/>
    <w:rsid w:val="29700A42"/>
    <w:rsid w:val="29D01836"/>
    <w:rsid w:val="2A3F45A7"/>
    <w:rsid w:val="2A5FB3EA"/>
    <w:rsid w:val="2A64B8C3"/>
    <w:rsid w:val="2A9BE215"/>
    <w:rsid w:val="2AFD2428"/>
    <w:rsid w:val="2B13A935"/>
    <w:rsid w:val="2B67C319"/>
    <w:rsid w:val="2B7E5143"/>
    <w:rsid w:val="2C22D3F5"/>
    <w:rsid w:val="2C3F40BF"/>
    <w:rsid w:val="2C40E18C"/>
    <w:rsid w:val="2C7A663D"/>
    <w:rsid w:val="2D48EE50"/>
    <w:rsid w:val="2D6EF3E9"/>
    <w:rsid w:val="2DA31F40"/>
    <w:rsid w:val="2DE96BED"/>
    <w:rsid w:val="2DECC0F0"/>
    <w:rsid w:val="2E2B8A19"/>
    <w:rsid w:val="2E55C541"/>
    <w:rsid w:val="2EC7E50B"/>
    <w:rsid w:val="2ED7D870"/>
    <w:rsid w:val="2EE11415"/>
    <w:rsid w:val="2F1F91F7"/>
    <w:rsid w:val="2F388AAA"/>
    <w:rsid w:val="2F5D83A1"/>
    <w:rsid w:val="2F82A9BB"/>
    <w:rsid w:val="2FD1F0C7"/>
    <w:rsid w:val="2FDA2DF1"/>
    <w:rsid w:val="3005C1B1"/>
    <w:rsid w:val="30171727"/>
    <w:rsid w:val="3028580D"/>
    <w:rsid w:val="30287AEA"/>
    <w:rsid w:val="303CBE2D"/>
    <w:rsid w:val="305F2F59"/>
    <w:rsid w:val="3083730A"/>
    <w:rsid w:val="30BF2495"/>
    <w:rsid w:val="30D44562"/>
    <w:rsid w:val="30ECCDD8"/>
    <w:rsid w:val="3139C896"/>
    <w:rsid w:val="31457A45"/>
    <w:rsid w:val="31506541"/>
    <w:rsid w:val="3163BA8C"/>
    <w:rsid w:val="318029C3"/>
    <w:rsid w:val="3194A53D"/>
    <w:rsid w:val="31C57106"/>
    <w:rsid w:val="31DB6BE3"/>
    <w:rsid w:val="32206FCF"/>
    <w:rsid w:val="3225AD56"/>
    <w:rsid w:val="32435D46"/>
    <w:rsid w:val="3298CF98"/>
    <w:rsid w:val="32A79650"/>
    <w:rsid w:val="32B951AB"/>
    <w:rsid w:val="32DF0F63"/>
    <w:rsid w:val="3349667D"/>
    <w:rsid w:val="33505741"/>
    <w:rsid w:val="3423C9DE"/>
    <w:rsid w:val="342FBE12"/>
    <w:rsid w:val="346560A9"/>
    <w:rsid w:val="347B06E9"/>
    <w:rsid w:val="34817883"/>
    <w:rsid w:val="34C37857"/>
    <w:rsid w:val="34E9F1D1"/>
    <w:rsid w:val="34F0B696"/>
    <w:rsid w:val="34F27CFE"/>
    <w:rsid w:val="355A91CE"/>
    <w:rsid w:val="357A05CE"/>
    <w:rsid w:val="359A65BD"/>
    <w:rsid w:val="35A83CD8"/>
    <w:rsid w:val="35B941BA"/>
    <w:rsid w:val="35D9903B"/>
    <w:rsid w:val="35DBB46D"/>
    <w:rsid w:val="35F9A81C"/>
    <w:rsid w:val="3637BD19"/>
    <w:rsid w:val="367BB7DB"/>
    <w:rsid w:val="36F885E2"/>
    <w:rsid w:val="36FD881F"/>
    <w:rsid w:val="370DB369"/>
    <w:rsid w:val="372E6619"/>
    <w:rsid w:val="375E79D0"/>
    <w:rsid w:val="3760A724"/>
    <w:rsid w:val="376C211E"/>
    <w:rsid w:val="37A6F1E2"/>
    <w:rsid w:val="38321E84"/>
    <w:rsid w:val="3846C5F2"/>
    <w:rsid w:val="3856495B"/>
    <w:rsid w:val="386645BE"/>
    <w:rsid w:val="3892F810"/>
    <w:rsid w:val="38D22400"/>
    <w:rsid w:val="390DAFFA"/>
    <w:rsid w:val="3925F39F"/>
    <w:rsid w:val="395068AB"/>
    <w:rsid w:val="39553B15"/>
    <w:rsid w:val="396B09D3"/>
    <w:rsid w:val="39AB1049"/>
    <w:rsid w:val="39CF0399"/>
    <w:rsid w:val="3A109EEE"/>
    <w:rsid w:val="3A344E94"/>
    <w:rsid w:val="3A75DD82"/>
    <w:rsid w:val="3AB38D60"/>
    <w:rsid w:val="3AFDD795"/>
    <w:rsid w:val="3B3CC346"/>
    <w:rsid w:val="3B4D4F23"/>
    <w:rsid w:val="3B70BF4F"/>
    <w:rsid w:val="3B76E8F8"/>
    <w:rsid w:val="3BAB58B1"/>
    <w:rsid w:val="3BD01EF5"/>
    <w:rsid w:val="3BD62CAA"/>
    <w:rsid w:val="3C102BFE"/>
    <w:rsid w:val="3C38879D"/>
    <w:rsid w:val="3C48087C"/>
    <w:rsid w:val="3C5EF084"/>
    <w:rsid w:val="3C67A15D"/>
    <w:rsid w:val="3C6BD201"/>
    <w:rsid w:val="3C719B5F"/>
    <w:rsid w:val="3C74CE93"/>
    <w:rsid w:val="3CC3D575"/>
    <w:rsid w:val="3CF59A2F"/>
    <w:rsid w:val="3D09A1B5"/>
    <w:rsid w:val="3D0AB937"/>
    <w:rsid w:val="3D167654"/>
    <w:rsid w:val="3D4DDAAF"/>
    <w:rsid w:val="3D56E405"/>
    <w:rsid w:val="3DDB86E2"/>
    <w:rsid w:val="3E450F7C"/>
    <w:rsid w:val="3E7D956B"/>
    <w:rsid w:val="3E7F17BD"/>
    <w:rsid w:val="3E8649F4"/>
    <w:rsid w:val="3E96C146"/>
    <w:rsid w:val="3EB6A916"/>
    <w:rsid w:val="3EB6B44D"/>
    <w:rsid w:val="3ED6842F"/>
    <w:rsid w:val="3EF62DCE"/>
    <w:rsid w:val="3F1065CD"/>
    <w:rsid w:val="3F44A214"/>
    <w:rsid w:val="3F7518C4"/>
    <w:rsid w:val="3F788F15"/>
    <w:rsid w:val="3FA294C4"/>
    <w:rsid w:val="3FA46A0E"/>
    <w:rsid w:val="3FAADF65"/>
    <w:rsid w:val="3FD5358C"/>
    <w:rsid w:val="3FDC9EC6"/>
    <w:rsid w:val="4023945A"/>
    <w:rsid w:val="402C9F32"/>
    <w:rsid w:val="40420CC0"/>
    <w:rsid w:val="4049118B"/>
    <w:rsid w:val="40D1E8C1"/>
    <w:rsid w:val="40F124BB"/>
    <w:rsid w:val="411B2B23"/>
    <w:rsid w:val="412C131D"/>
    <w:rsid w:val="41403A6F"/>
    <w:rsid w:val="41939815"/>
    <w:rsid w:val="41A0FFD2"/>
    <w:rsid w:val="41DF528C"/>
    <w:rsid w:val="4210B209"/>
    <w:rsid w:val="4220AACF"/>
    <w:rsid w:val="42313D37"/>
    <w:rsid w:val="423D1AF0"/>
    <w:rsid w:val="42493B3E"/>
    <w:rsid w:val="4294167D"/>
    <w:rsid w:val="42B509AB"/>
    <w:rsid w:val="42BD349A"/>
    <w:rsid w:val="42D95BA6"/>
    <w:rsid w:val="42E58397"/>
    <w:rsid w:val="4312E10F"/>
    <w:rsid w:val="43151F2C"/>
    <w:rsid w:val="433F5603"/>
    <w:rsid w:val="43520FE6"/>
    <w:rsid w:val="441096E6"/>
    <w:rsid w:val="44242E04"/>
    <w:rsid w:val="44301C8F"/>
    <w:rsid w:val="44A83DD8"/>
    <w:rsid w:val="44AF1935"/>
    <w:rsid w:val="44B2C035"/>
    <w:rsid w:val="44DC8408"/>
    <w:rsid w:val="450FCFB1"/>
    <w:rsid w:val="4526BE43"/>
    <w:rsid w:val="45516099"/>
    <w:rsid w:val="456872FD"/>
    <w:rsid w:val="457EEEC1"/>
    <w:rsid w:val="4605871F"/>
    <w:rsid w:val="466E4689"/>
    <w:rsid w:val="466FC3BB"/>
    <w:rsid w:val="4671D57B"/>
    <w:rsid w:val="46A323EA"/>
    <w:rsid w:val="46E93EA6"/>
    <w:rsid w:val="46EA02FA"/>
    <w:rsid w:val="46FBDFE1"/>
    <w:rsid w:val="47208693"/>
    <w:rsid w:val="47405272"/>
    <w:rsid w:val="4749BAD7"/>
    <w:rsid w:val="478089B5"/>
    <w:rsid w:val="47836414"/>
    <w:rsid w:val="47CFE5CC"/>
    <w:rsid w:val="47F61CFE"/>
    <w:rsid w:val="4802A474"/>
    <w:rsid w:val="4808CFFC"/>
    <w:rsid w:val="484CF934"/>
    <w:rsid w:val="487EA21C"/>
    <w:rsid w:val="48A62140"/>
    <w:rsid w:val="48DC22D3"/>
    <w:rsid w:val="48E15B03"/>
    <w:rsid w:val="49103BA3"/>
    <w:rsid w:val="49140A75"/>
    <w:rsid w:val="49485C05"/>
    <w:rsid w:val="4956E831"/>
    <w:rsid w:val="496E8E37"/>
    <w:rsid w:val="49CBEC14"/>
    <w:rsid w:val="49D69047"/>
    <w:rsid w:val="49E0B96A"/>
    <w:rsid w:val="4A525FE4"/>
    <w:rsid w:val="4A806AAE"/>
    <w:rsid w:val="4ABFBD64"/>
    <w:rsid w:val="4B5D21CB"/>
    <w:rsid w:val="4BA5E36D"/>
    <w:rsid w:val="4BBC87F6"/>
    <w:rsid w:val="4BCB24F2"/>
    <w:rsid w:val="4BDECD62"/>
    <w:rsid w:val="4BE5766E"/>
    <w:rsid w:val="4C2BD513"/>
    <w:rsid w:val="4C652EB9"/>
    <w:rsid w:val="4C681C8E"/>
    <w:rsid w:val="4CA0ED51"/>
    <w:rsid w:val="4CBB2671"/>
    <w:rsid w:val="4CBE8C00"/>
    <w:rsid w:val="4D01D14D"/>
    <w:rsid w:val="4D083CBC"/>
    <w:rsid w:val="4D25D23F"/>
    <w:rsid w:val="4DA2D949"/>
    <w:rsid w:val="4DC97615"/>
    <w:rsid w:val="4DF75E26"/>
    <w:rsid w:val="4E0F534F"/>
    <w:rsid w:val="4E398A3B"/>
    <w:rsid w:val="4E4879D3"/>
    <w:rsid w:val="4E56F6D2"/>
    <w:rsid w:val="4E5CA555"/>
    <w:rsid w:val="4EC30478"/>
    <w:rsid w:val="4F2431C9"/>
    <w:rsid w:val="4FAC32D7"/>
    <w:rsid w:val="4FB6F226"/>
    <w:rsid w:val="503A8C39"/>
    <w:rsid w:val="505F738B"/>
    <w:rsid w:val="5077BCE3"/>
    <w:rsid w:val="50DB0B97"/>
    <w:rsid w:val="50F19C56"/>
    <w:rsid w:val="5104E198"/>
    <w:rsid w:val="5124BDDC"/>
    <w:rsid w:val="512E6A93"/>
    <w:rsid w:val="517CFC5A"/>
    <w:rsid w:val="519B7F79"/>
    <w:rsid w:val="51E6DD00"/>
    <w:rsid w:val="5231BA07"/>
    <w:rsid w:val="523E9288"/>
    <w:rsid w:val="525D4F05"/>
    <w:rsid w:val="527411DE"/>
    <w:rsid w:val="527F1FB4"/>
    <w:rsid w:val="52897399"/>
    <w:rsid w:val="52A3207E"/>
    <w:rsid w:val="52C02642"/>
    <w:rsid w:val="52C5439A"/>
    <w:rsid w:val="52D5651F"/>
    <w:rsid w:val="52DF92A1"/>
    <w:rsid w:val="5335C2F2"/>
    <w:rsid w:val="537B37B9"/>
    <w:rsid w:val="5385E88E"/>
    <w:rsid w:val="54251B75"/>
    <w:rsid w:val="5450C79A"/>
    <w:rsid w:val="54A5C1CE"/>
    <w:rsid w:val="54AF87F4"/>
    <w:rsid w:val="54DB9423"/>
    <w:rsid w:val="55059507"/>
    <w:rsid w:val="552504A5"/>
    <w:rsid w:val="55EAE59F"/>
    <w:rsid w:val="55F7C704"/>
    <w:rsid w:val="563D9AC8"/>
    <w:rsid w:val="563EF9C2"/>
    <w:rsid w:val="5656D33A"/>
    <w:rsid w:val="5685E8A1"/>
    <w:rsid w:val="56950BF4"/>
    <w:rsid w:val="56AF1F02"/>
    <w:rsid w:val="56BF22EF"/>
    <w:rsid w:val="56DEC07E"/>
    <w:rsid w:val="56E54A80"/>
    <w:rsid w:val="571203AB"/>
    <w:rsid w:val="57269422"/>
    <w:rsid w:val="575D1740"/>
    <w:rsid w:val="5770344D"/>
    <w:rsid w:val="57A7CF8B"/>
    <w:rsid w:val="57D4CB5A"/>
    <w:rsid w:val="58352C95"/>
    <w:rsid w:val="583D35C9"/>
    <w:rsid w:val="5858D136"/>
    <w:rsid w:val="585EA13D"/>
    <w:rsid w:val="585ED1A3"/>
    <w:rsid w:val="58C60ADF"/>
    <w:rsid w:val="58DD7B44"/>
    <w:rsid w:val="58F52571"/>
    <w:rsid w:val="58F52F5F"/>
    <w:rsid w:val="58FAEA57"/>
    <w:rsid w:val="594B16BE"/>
    <w:rsid w:val="59D9062A"/>
    <w:rsid w:val="59E47576"/>
    <w:rsid w:val="5A047D67"/>
    <w:rsid w:val="5A2FFA7F"/>
    <w:rsid w:val="5A7CD0F2"/>
    <w:rsid w:val="5A90F5D2"/>
    <w:rsid w:val="5ACB3827"/>
    <w:rsid w:val="5B0DA711"/>
    <w:rsid w:val="5B18DFC4"/>
    <w:rsid w:val="5B426A64"/>
    <w:rsid w:val="5B74D68B"/>
    <w:rsid w:val="5BA40CFC"/>
    <w:rsid w:val="5BCA6C33"/>
    <w:rsid w:val="5BD4F960"/>
    <w:rsid w:val="5BEC41DF"/>
    <w:rsid w:val="5C61FB70"/>
    <w:rsid w:val="5C87D609"/>
    <w:rsid w:val="5C897189"/>
    <w:rsid w:val="5C914DE1"/>
    <w:rsid w:val="5D00A8B0"/>
    <w:rsid w:val="5D27E378"/>
    <w:rsid w:val="5D2CF168"/>
    <w:rsid w:val="5D44C56C"/>
    <w:rsid w:val="5D5A80D6"/>
    <w:rsid w:val="5D70FC4C"/>
    <w:rsid w:val="5D88DA2B"/>
    <w:rsid w:val="5DE3B588"/>
    <w:rsid w:val="5DE9AAF4"/>
    <w:rsid w:val="5E5CAAD7"/>
    <w:rsid w:val="5EA88566"/>
    <w:rsid w:val="5EBF9C67"/>
    <w:rsid w:val="5EDE29DA"/>
    <w:rsid w:val="5EE81C86"/>
    <w:rsid w:val="5F225E94"/>
    <w:rsid w:val="5F98579C"/>
    <w:rsid w:val="5F99B321"/>
    <w:rsid w:val="5FC6D9B8"/>
    <w:rsid w:val="5FF37EC5"/>
    <w:rsid w:val="6018F45B"/>
    <w:rsid w:val="604847AE"/>
    <w:rsid w:val="6072B32F"/>
    <w:rsid w:val="60FB1FD7"/>
    <w:rsid w:val="610AE9D2"/>
    <w:rsid w:val="61210A9F"/>
    <w:rsid w:val="61558019"/>
    <w:rsid w:val="61662270"/>
    <w:rsid w:val="6191157D"/>
    <w:rsid w:val="61CE2C42"/>
    <w:rsid w:val="622559BB"/>
    <w:rsid w:val="624768FF"/>
    <w:rsid w:val="625BD568"/>
    <w:rsid w:val="6264E963"/>
    <w:rsid w:val="62723811"/>
    <w:rsid w:val="627B2221"/>
    <w:rsid w:val="628AFE03"/>
    <w:rsid w:val="629159B0"/>
    <w:rsid w:val="62D64A0C"/>
    <w:rsid w:val="62FC0507"/>
    <w:rsid w:val="631D7401"/>
    <w:rsid w:val="6348089B"/>
    <w:rsid w:val="63639D08"/>
    <w:rsid w:val="6365AAF0"/>
    <w:rsid w:val="637FE870"/>
    <w:rsid w:val="63B472A2"/>
    <w:rsid w:val="6473AB63"/>
    <w:rsid w:val="6483412A"/>
    <w:rsid w:val="64B9F7E3"/>
    <w:rsid w:val="64D9BF24"/>
    <w:rsid w:val="64FF9072"/>
    <w:rsid w:val="6502FAA1"/>
    <w:rsid w:val="6517B007"/>
    <w:rsid w:val="65315FF1"/>
    <w:rsid w:val="658D133F"/>
    <w:rsid w:val="659D05C3"/>
    <w:rsid w:val="65A59BA9"/>
    <w:rsid w:val="65E8A220"/>
    <w:rsid w:val="65FB569D"/>
    <w:rsid w:val="65FEEE00"/>
    <w:rsid w:val="661845C2"/>
    <w:rsid w:val="6696D682"/>
    <w:rsid w:val="66ADCBA0"/>
    <w:rsid w:val="66C1E1C6"/>
    <w:rsid w:val="67529D3F"/>
    <w:rsid w:val="67808FAB"/>
    <w:rsid w:val="67F45FA2"/>
    <w:rsid w:val="6856BAE9"/>
    <w:rsid w:val="692C6333"/>
    <w:rsid w:val="694F0441"/>
    <w:rsid w:val="6983B8DA"/>
    <w:rsid w:val="69C23C7A"/>
    <w:rsid w:val="6A061755"/>
    <w:rsid w:val="6A0ED37E"/>
    <w:rsid w:val="6A944C5D"/>
    <w:rsid w:val="6A95716A"/>
    <w:rsid w:val="6AC83394"/>
    <w:rsid w:val="6B11CEBF"/>
    <w:rsid w:val="6B64FAA7"/>
    <w:rsid w:val="6BAAAD68"/>
    <w:rsid w:val="6BECC280"/>
    <w:rsid w:val="6C031BD9"/>
    <w:rsid w:val="6C2BE535"/>
    <w:rsid w:val="6C2F81E3"/>
    <w:rsid w:val="6C39EE77"/>
    <w:rsid w:val="6C59C59B"/>
    <w:rsid w:val="6C6594EB"/>
    <w:rsid w:val="6CF5126F"/>
    <w:rsid w:val="6DB8AA8E"/>
    <w:rsid w:val="6DD0447D"/>
    <w:rsid w:val="6E333938"/>
    <w:rsid w:val="6E9B90D3"/>
    <w:rsid w:val="6F1C0A36"/>
    <w:rsid w:val="6F977000"/>
    <w:rsid w:val="6F99DB3E"/>
    <w:rsid w:val="6FB80386"/>
    <w:rsid w:val="6FD33148"/>
    <w:rsid w:val="6FEF39B3"/>
    <w:rsid w:val="6FF8EFBC"/>
    <w:rsid w:val="700FF7BD"/>
    <w:rsid w:val="70159F04"/>
    <w:rsid w:val="7085A181"/>
    <w:rsid w:val="70B8F967"/>
    <w:rsid w:val="70C84C0B"/>
    <w:rsid w:val="70CFF448"/>
    <w:rsid w:val="713371E1"/>
    <w:rsid w:val="7160F91D"/>
    <w:rsid w:val="7163681D"/>
    <w:rsid w:val="71B721B7"/>
    <w:rsid w:val="71F68478"/>
    <w:rsid w:val="71FFE1A7"/>
    <w:rsid w:val="72226D62"/>
    <w:rsid w:val="723C6860"/>
    <w:rsid w:val="723DCE98"/>
    <w:rsid w:val="7244646C"/>
    <w:rsid w:val="725B5A6D"/>
    <w:rsid w:val="72676D6A"/>
    <w:rsid w:val="72DB0ADF"/>
    <w:rsid w:val="72ECE6B1"/>
    <w:rsid w:val="72FC384F"/>
    <w:rsid w:val="7311BA38"/>
    <w:rsid w:val="73250974"/>
    <w:rsid w:val="7334CE62"/>
    <w:rsid w:val="7364D44A"/>
    <w:rsid w:val="73B15A72"/>
    <w:rsid w:val="73C85B3C"/>
    <w:rsid w:val="7402B9FE"/>
    <w:rsid w:val="74770360"/>
    <w:rsid w:val="7505022D"/>
    <w:rsid w:val="7513C8E4"/>
    <w:rsid w:val="752DBA01"/>
    <w:rsid w:val="752E5B5E"/>
    <w:rsid w:val="75D1C6E5"/>
    <w:rsid w:val="769666B8"/>
    <w:rsid w:val="769E588A"/>
    <w:rsid w:val="76B31FFA"/>
    <w:rsid w:val="76DC75C8"/>
    <w:rsid w:val="772FF0BE"/>
    <w:rsid w:val="77394E19"/>
    <w:rsid w:val="779EA0FB"/>
    <w:rsid w:val="77AD3D9F"/>
    <w:rsid w:val="77F16647"/>
    <w:rsid w:val="783D6B2B"/>
    <w:rsid w:val="788A7668"/>
    <w:rsid w:val="78958958"/>
    <w:rsid w:val="78AD6E48"/>
    <w:rsid w:val="78CB466A"/>
    <w:rsid w:val="78EF3EB7"/>
    <w:rsid w:val="79125FAC"/>
    <w:rsid w:val="795B2B69"/>
    <w:rsid w:val="798D36A8"/>
    <w:rsid w:val="79A2BCC6"/>
    <w:rsid w:val="79B5C4E2"/>
    <w:rsid w:val="7A2D1044"/>
    <w:rsid w:val="7AFB83C1"/>
    <w:rsid w:val="7B319615"/>
    <w:rsid w:val="7BCC3ED7"/>
    <w:rsid w:val="7BE6158D"/>
    <w:rsid w:val="7C0D3F1F"/>
    <w:rsid w:val="7C2C8640"/>
    <w:rsid w:val="7C4CEE47"/>
    <w:rsid w:val="7C519A63"/>
    <w:rsid w:val="7C83484C"/>
    <w:rsid w:val="7CDE3EAC"/>
    <w:rsid w:val="7D2744E0"/>
    <w:rsid w:val="7D5C62F3"/>
    <w:rsid w:val="7DD76CB6"/>
    <w:rsid w:val="7E3DE326"/>
    <w:rsid w:val="7E7ADA06"/>
    <w:rsid w:val="7EFCAD77"/>
    <w:rsid w:val="7F439249"/>
    <w:rsid w:val="7F7514CE"/>
    <w:rsid w:val="7FC5D2F8"/>
    <w:rsid w:val="7FE77C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6F6190"/>
  <w15:docId w15:val="{18F10EEC-FD9D-43D5-A021-6ACE74CF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hu-HU"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uiPriority="39"/>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uiPriority="99"/>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qFormat="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uiPriority="32" w:qFormat="1"/>
    <w:lsdException w:name="Book Title" w:semiHidden="1"/>
    <w:lsdException w:name="Bibliography" w:semiHidden="1" w:unhideWhenUsed="1"/>
    <w:lsdException w:name="TOC Heading" w:semiHidden="1" w:uiPriority="39" w:unhideWhenUsed="1" w:qFormat="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pPr>
  </w:style>
  <w:style w:type="paragraph" w:customStyle="1" w:styleId="ListNumberLevel4">
    <w:name w:val="List Number (Level 4)"/>
    <w:basedOn w:val="Normal"/>
    <w:uiPriority w:val="1"/>
    <w:semiHidden/>
    <w:unhideWhenUsed/>
    <w:pPr>
      <w:numPr>
        <w:ilvl w:val="3"/>
        <w:numId w:val="11"/>
      </w:numPr>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uiPriority w:val="39"/>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uiPriority w:val="39"/>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202" w:type="dxa"/>
    </w:tblPr>
    <w:tblStylePr w:type="firstRow">
      <w:rPr>
        <w:b/>
      </w:rPr>
      <w:tblPr/>
      <w:trPr>
        <w:cantSplit/>
        <w:tblHeader/>
      </w:trPr>
    </w:tblStylePr>
  </w:style>
  <w:style w:type="table" w:customStyle="1" w:styleId="EurolookTable3">
    <w:name w:val="Eurolook Table 3"/>
    <w:basedOn w:val="EurolookTable"/>
    <w:semiHidden/>
    <w:unhideWhenUsed/>
    <w:tblPr>
      <w:tblInd w:w="1202" w:type="dxa"/>
    </w:tblPr>
    <w:tblStylePr w:type="firstRow">
      <w:rPr>
        <w:b/>
      </w:rPr>
      <w:tblPr/>
      <w:trPr>
        <w:cantSplit/>
        <w:tblHeader/>
      </w:trPr>
    </w:tblStylePr>
  </w:style>
  <w:style w:type="table" w:customStyle="1" w:styleId="EurolookTable4">
    <w:name w:val="Eurolook Table 4"/>
    <w:basedOn w:val="EurolookTable"/>
    <w:semiHidden/>
    <w:unhideWhenUsed/>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IntenseReference">
    <w:name w:val="Intense Reference"/>
    <w:basedOn w:val="DefaultParagraphFont"/>
    <w:uiPriority w:val="32"/>
    <w:qFormat/>
    <w:locked/>
    <w:rsid w:val="00D62E28"/>
    <w:rPr>
      <w:b/>
      <w:bCs/>
      <w:smallCaps/>
      <w:color w:val="4472C4" w:themeColor="accent1"/>
      <w:spacing w:val="5"/>
    </w:rPr>
  </w:style>
  <w:style w:type="paragraph" w:styleId="ListParagraph">
    <w:name w:val="List Paragraph"/>
    <w:basedOn w:val="Normal"/>
    <w:uiPriority w:val="34"/>
    <w:qFormat/>
    <w:locked/>
    <w:rsid w:val="00D62E28"/>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uiPriority w:val="99"/>
    <w:unhideWhenUsed/>
    <w:locked/>
    <w:rsid w:val="00D62E28"/>
    <w:rPr>
      <w:noProof w:val="0"/>
      <w:color w:val="0E4194"/>
      <w:u w:val="single"/>
      <w:lang w:val="hu-HU"/>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qFormat/>
    <w:locked/>
    <w:rsid w:val="00D62E28"/>
    <w:rPr>
      <w:sz w:val="20"/>
    </w:rPr>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BVI f"/>
    <w:basedOn w:val="DefaultParagraphFont"/>
    <w:link w:val="Nota"/>
    <w:uiPriority w:val="99"/>
    <w:unhideWhenUsed/>
    <w:qFormat/>
    <w:locked/>
    <w:rsid w:val="00D62E28"/>
    <w:rPr>
      <w:vertAlign w:val="superscript"/>
    </w:rPr>
  </w:style>
  <w:style w:type="paragraph" w:customStyle="1" w:styleId="Nota">
    <w:name w:val="Nota"/>
    <w:aliases w:val="Char1,(NECG) Footnote Reference,fr,Appel note de bas de p,o,Style 6,Signature Ch, Char1"/>
    <w:basedOn w:val="Normal"/>
    <w:link w:val="FootnoteReference"/>
    <w:uiPriority w:val="99"/>
    <w:rsid w:val="00D62E28"/>
    <w:pPr>
      <w:spacing w:after="160" w:line="240" w:lineRule="exact"/>
    </w:pPr>
    <w:rPr>
      <w:vertAlign w:val="superscript"/>
    </w:rPr>
  </w:style>
  <w:style w:type="paragraph" w:styleId="CommentText">
    <w:name w:val="annotation text"/>
    <w:basedOn w:val="Normal"/>
    <w:link w:val="CommentTextChar"/>
    <w:uiPriority w:val="99"/>
    <w:unhideWhenUsed/>
    <w:locked/>
    <w:rsid w:val="00D62E28"/>
    <w:rPr>
      <w:rFonts w:ascii="EC Square Sans Pro" w:eastAsiaTheme="minorEastAsia" w:hAnsi="EC Square Sans Pro" w:cstheme="minorBidi"/>
      <w:sz w:val="20"/>
      <w:lang w:eastAsia="nl-BE"/>
    </w:rPr>
  </w:style>
  <w:style w:type="character" w:customStyle="1" w:styleId="CommentTextChar">
    <w:name w:val="Comment Text Char"/>
    <w:basedOn w:val="DefaultParagraphFont"/>
    <w:link w:val="CommentText"/>
    <w:uiPriority w:val="99"/>
    <w:rsid w:val="00D62E28"/>
    <w:rPr>
      <w:rFonts w:ascii="EC Square Sans Pro" w:eastAsiaTheme="minorEastAsia" w:hAnsi="EC Square Sans Pro" w:cstheme="minorBidi"/>
      <w:sz w:val="20"/>
      <w:lang w:eastAsia="nl-BE"/>
    </w:rPr>
  </w:style>
  <w:style w:type="character" w:styleId="CommentReference">
    <w:name w:val="annotation reference"/>
    <w:basedOn w:val="DefaultParagraphFont"/>
    <w:uiPriority w:val="99"/>
    <w:semiHidden/>
    <w:unhideWhenUsed/>
    <w:locked/>
    <w:rsid w:val="00D62E28"/>
    <w:rPr>
      <w:noProof w:val="0"/>
      <w:sz w:val="16"/>
      <w:szCs w:val="16"/>
      <w:lang w:val="hu-HU"/>
    </w:rPr>
  </w:style>
  <w:style w:type="character" w:customStyle="1" w:styleId="FootnoteTextChar0">
    <w:name w:val="Footnote_Text Char"/>
    <w:basedOn w:val="DefaultParagraphFont"/>
    <w:link w:val="FootnoteText0"/>
    <w:locked/>
    <w:rsid w:val="00D62E28"/>
    <w:rPr>
      <w:rFonts w:ascii="SimSun" w:eastAsiaTheme="minorEastAsia" w:hAnsi="SimSun"/>
      <w:sz w:val="20"/>
      <w:lang w:eastAsia="nl-BE"/>
    </w:rPr>
  </w:style>
  <w:style w:type="paragraph" w:customStyle="1" w:styleId="FootnoteText0">
    <w:name w:val="Footnote_Text"/>
    <w:basedOn w:val="FootnoteText"/>
    <w:link w:val="FootnoteTextChar0"/>
    <w:qFormat/>
    <w:rsid w:val="00D62E28"/>
    <w:pPr>
      <w:spacing w:after="0"/>
      <w:ind w:left="0" w:firstLine="0"/>
      <w:jc w:val="left"/>
    </w:pPr>
    <w:rPr>
      <w:rFonts w:ascii="SimSun" w:eastAsiaTheme="minorEastAsia" w:hAnsi="SimSun"/>
      <w:lang w:eastAsia="nl-BE"/>
    </w:rPr>
  </w:style>
  <w:style w:type="character" w:styleId="FollowedHyperlink">
    <w:name w:val="FollowedHyperlink"/>
    <w:basedOn w:val="DefaultParagraphFont"/>
    <w:semiHidden/>
    <w:locked/>
    <w:rsid w:val="00D62E28"/>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3C09BF"/>
    <w:pPr>
      <w:spacing w:after="160"/>
      <w:jc w:val="left"/>
    </w:pPr>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sid w:val="003C09BF"/>
    <w:rPr>
      <w:rFonts w:asciiTheme="minorHAnsi" w:eastAsiaTheme="minorHAnsi" w:hAnsiTheme="minorHAnsi" w:cstheme="minorBidi"/>
      <w:b/>
      <w:bCs/>
      <w:sz w:val="20"/>
      <w:lang w:val="hu-HU" w:eastAsia="en-U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semiHidden/>
    <w:locked/>
    <w:rsid w:val="005C7A01"/>
  </w:style>
  <w:style w:type="character" w:customStyle="1" w:styleId="UnresolvedMention1">
    <w:name w:val="Unresolved Mention1"/>
    <w:basedOn w:val="DefaultParagraphFont"/>
    <w:semiHidden/>
    <w:locked/>
    <w:rsid w:val="00992F89"/>
    <w:rPr>
      <w:color w:val="605E5C"/>
      <w:shd w:val="clear" w:color="auto" w:fill="E1DFDD"/>
    </w:rPr>
  </w:style>
  <w:style w:type="character" w:customStyle="1" w:styleId="Bodytext2">
    <w:name w:val="Body text|2_"/>
    <w:basedOn w:val="DefaultParagraphFont"/>
    <w:link w:val="Bodytext22"/>
    <w:locked/>
    <w:rsid w:val="00204559"/>
    <w:rPr>
      <w:shd w:val="clear" w:color="auto" w:fill="FFFFFF"/>
    </w:rPr>
  </w:style>
  <w:style w:type="paragraph" w:customStyle="1" w:styleId="Bodytext22">
    <w:name w:val="Body text|22"/>
    <w:basedOn w:val="Normal"/>
    <w:link w:val="Bodytext2"/>
    <w:qFormat/>
    <w:rsid w:val="00204559"/>
    <w:pPr>
      <w:widowControl w:val="0"/>
      <w:shd w:val="clear" w:color="auto" w:fill="FFFFFF"/>
      <w:spacing w:after="1440" w:line="269" w:lineRule="exact"/>
      <w:ind w:hanging="360"/>
      <w:jc w:val="left"/>
    </w:pPr>
  </w:style>
  <w:style w:type="character" w:customStyle="1" w:styleId="Bodytext20">
    <w:name w:val="Body text|2"/>
    <w:basedOn w:val="Bodytext2"/>
    <w:semiHidden/>
    <w:rsid w:val="00204559"/>
    <w:rPr>
      <w:rFonts w:ascii="Times New Roman" w:eastAsia="Times New Roman" w:hAnsi="Times New Roman" w:cs="Times New Roman" w:hint="default"/>
      <w:color w:val="000000"/>
      <w:spacing w:val="0"/>
      <w:w w:val="100"/>
      <w:position w:val="0"/>
      <w:sz w:val="24"/>
      <w:szCs w:val="24"/>
      <w:u w:val="single"/>
      <w:shd w:val="clear" w:color="auto" w:fill="FFFFFF"/>
      <w:lang w:val="hu-HU" w:eastAsia="en-US" w:bidi="en-US"/>
    </w:rPr>
  </w:style>
  <w:style w:type="paragraph" w:styleId="BalloonText">
    <w:name w:val="Balloon Text"/>
    <w:basedOn w:val="Normal"/>
    <w:link w:val="BalloonTextChar"/>
    <w:semiHidden/>
    <w:locked/>
    <w:rsid w:val="00A4646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4646C"/>
    <w:rPr>
      <w:rFonts w:ascii="Segoe UI" w:hAnsi="Segoe UI" w:cs="Segoe UI"/>
      <w:sz w:val="18"/>
      <w:szCs w:val="18"/>
    </w:rPr>
  </w:style>
  <w:style w:type="character" w:customStyle="1" w:styleId="Mention2">
    <w:name w:val="Mention2"/>
    <w:basedOn w:val="DefaultParagraphFont"/>
    <w:uiPriority w:val="99"/>
    <w:unhideWhenUsed/>
    <w:rsid w:val="00553C5A"/>
    <w:rPr>
      <w:color w:val="2B579A"/>
      <w:shd w:val="clear" w:color="auto" w:fill="E6E6E6"/>
    </w:rPr>
  </w:style>
  <w:style w:type="character" w:customStyle="1" w:styleId="UnresolvedMention2">
    <w:name w:val="Unresolved Mention2"/>
    <w:basedOn w:val="DefaultParagraphFont"/>
    <w:uiPriority w:val="99"/>
    <w:semiHidden/>
    <w:unhideWhenUsed/>
    <w:rsid w:val="008C4439"/>
    <w:rPr>
      <w:color w:val="605E5C"/>
      <w:shd w:val="clear" w:color="auto" w:fill="E1DFDD"/>
    </w:rPr>
  </w:style>
  <w:style w:type="character" w:customStyle="1" w:styleId="Marker">
    <w:name w:val="Marker"/>
    <w:basedOn w:val="DefaultParagraphFont"/>
    <w:rsid w:val="000B439B"/>
    <w:rPr>
      <w:color w:val="0000FF"/>
      <w:shd w:val="clear" w:color="auto" w:fill="auto"/>
    </w:rPr>
  </w:style>
  <w:style w:type="paragraph" w:customStyle="1" w:styleId="Pagedecouverture">
    <w:name w:val="Page de couverture"/>
    <w:basedOn w:val="Normal"/>
    <w:next w:val="Normal"/>
    <w:link w:val="PagedecouvertureChar"/>
    <w:rsid w:val="000B439B"/>
    <w:pPr>
      <w:spacing w:after="0"/>
    </w:pPr>
    <w:rPr>
      <w:rFonts w:eastAsiaTheme="minorHAnsi"/>
      <w:szCs w:val="22"/>
      <w:lang w:eastAsia="en-US"/>
    </w:rPr>
  </w:style>
  <w:style w:type="paragraph" w:customStyle="1" w:styleId="FooterCoverPage">
    <w:name w:val="Footer Cover Page"/>
    <w:basedOn w:val="Normal"/>
    <w:link w:val="FooterCoverPageChar"/>
    <w:rsid w:val="000B439B"/>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0B439B"/>
    <w:rPr>
      <w:rFonts w:eastAsiaTheme="minorHAnsi"/>
      <w:szCs w:val="22"/>
      <w:lang w:eastAsia="en-US"/>
    </w:rPr>
  </w:style>
  <w:style w:type="character" w:customStyle="1" w:styleId="FooterCoverPageChar">
    <w:name w:val="Footer Cover Page Char"/>
    <w:basedOn w:val="PagedecouvertureChar"/>
    <w:link w:val="FooterCoverPage"/>
    <w:rsid w:val="000B439B"/>
    <w:rPr>
      <w:rFonts w:eastAsiaTheme="minorHAnsi"/>
      <w:szCs w:val="22"/>
      <w:lang w:eastAsia="en-US"/>
    </w:rPr>
  </w:style>
  <w:style w:type="paragraph" w:customStyle="1" w:styleId="FooterSensitivity">
    <w:name w:val="Footer Sensitivity"/>
    <w:basedOn w:val="Normal"/>
    <w:link w:val="FooterSensitivityChar"/>
    <w:rsid w:val="000B439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0B439B"/>
    <w:rPr>
      <w:rFonts w:eastAsiaTheme="minorHAnsi"/>
      <w:b/>
      <w:sz w:val="32"/>
      <w:szCs w:val="22"/>
      <w:lang w:eastAsia="en-US"/>
    </w:rPr>
  </w:style>
  <w:style w:type="paragraph" w:customStyle="1" w:styleId="HeaderCoverPage">
    <w:name w:val="Header Cover Page"/>
    <w:basedOn w:val="Normal"/>
    <w:link w:val="HeaderCoverPageChar"/>
    <w:rsid w:val="000B439B"/>
    <w:pPr>
      <w:tabs>
        <w:tab w:val="center" w:pos="4535"/>
        <w:tab w:val="right" w:pos="9071"/>
      </w:tabs>
      <w:spacing w:after="120"/>
    </w:pPr>
  </w:style>
  <w:style w:type="character" w:customStyle="1" w:styleId="HeaderCoverPageChar">
    <w:name w:val="Header Cover Page Char"/>
    <w:basedOn w:val="PagedecouvertureChar"/>
    <w:link w:val="HeaderCoverPage"/>
    <w:rsid w:val="000B439B"/>
    <w:rPr>
      <w:rFonts w:eastAsiaTheme="minorHAnsi"/>
      <w:szCs w:val="22"/>
      <w:lang w:eastAsia="en-US"/>
    </w:rPr>
  </w:style>
  <w:style w:type="paragraph" w:customStyle="1" w:styleId="HeaderSensitivity">
    <w:name w:val="Header Sensitivity"/>
    <w:basedOn w:val="Normal"/>
    <w:link w:val="HeaderSensitivityChar"/>
    <w:rsid w:val="000B439B"/>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0B439B"/>
    <w:rPr>
      <w:rFonts w:eastAsiaTheme="minorHAnsi"/>
      <w:b/>
      <w:sz w:val="32"/>
      <w:szCs w:val="22"/>
      <w:lang w:eastAsia="en-US"/>
    </w:rPr>
  </w:style>
  <w:style w:type="paragraph" w:customStyle="1" w:styleId="HeaderSensitivityRight">
    <w:name w:val="Header Sensitivity Right"/>
    <w:basedOn w:val="Normal"/>
    <w:link w:val="HeaderSensitivityRightChar"/>
    <w:rsid w:val="000B439B"/>
    <w:pPr>
      <w:spacing w:after="120"/>
      <w:jc w:val="right"/>
    </w:pPr>
    <w:rPr>
      <w:sz w:val="28"/>
    </w:rPr>
  </w:style>
  <w:style w:type="character" w:customStyle="1" w:styleId="HeaderSensitivityRightChar">
    <w:name w:val="Header Sensitivity Right Char"/>
    <w:basedOn w:val="PagedecouvertureChar"/>
    <w:link w:val="HeaderSensitivityRight"/>
    <w:rsid w:val="000B439B"/>
    <w:rPr>
      <w:rFonts w:eastAsiaTheme="minorHAnsi"/>
      <w:sz w:val="28"/>
      <w:szCs w:val="22"/>
      <w:lang w:eastAsia="en-US"/>
    </w:rPr>
  </w:style>
  <w:style w:type="character" w:customStyle="1" w:styleId="FooterChar">
    <w:name w:val="Footer Char"/>
    <w:basedOn w:val="DefaultParagraphFont"/>
    <w:link w:val="Footer"/>
    <w:uiPriority w:val="99"/>
    <w:rsid w:val="00A838DA"/>
    <w:rPr>
      <w:sz w:val="16"/>
    </w:rPr>
  </w:style>
  <w:style w:type="character" w:customStyle="1" w:styleId="UnresolvedMention3">
    <w:name w:val="Unresolved Mention3"/>
    <w:basedOn w:val="DefaultParagraphFont"/>
    <w:uiPriority w:val="99"/>
    <w:semiHidden/>
    <w:unhideWhenUsed/>
    <w:rsid w:val="00474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98068">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213983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7.xml"/><Relationship Id="rId42"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ec.europa.eu/echo/funding-evaluations/evaluations_hu"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departments/european-civil-protection-and-humanitarian-aid-operations_h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yperlink" Target="https://commission.europa.eu/publications/annual-management-and-performance-report-2022-0_hu"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civil-protection-humanitarian-aid.ec.europa.eu/funding-evaluations/funding-humanitarian-aid/financing-decisions-hips-2022_hu" TargetMode="Externa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commission.europa.eu/publications/annual-activity-report-2022-european-civil-protection-and-humanitarian-aid-operations-echo_h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hyperlink" Target="http://ec.europa.eu/echo/hu" TargetMode="External"/><Relationship Id="rId30" Type="http://schemas.openxmlformats.org/officeDocument/2006/relationships/hyperlink" Target="https://ec.europa.eu/info/departments/european-civil-protection-and-humanitarian-aid-operations_hu" TargetMode="Externa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file:///C:/Users/vanmeci/n" TargetMode="External"/><Relationship Id="rId13" Type="http://schemas.openxmlformats.org/officeDocument/2006/relationships/hyperlink" Target="https://civil-protection-humanitarian-aid.ec.europa.eu/what/humanitarian-aid/european-humanitarian-response-capacity-ehrc_en" TargetMode="External"/><Relationship Id="rId18" Type="http://schemas.openxmlformats.org/officeDocument/2006/relationships/hyperlink" Target="https://ec.europa.eu/echo/files/policies/sectoral/thematic_policy_document_no_3_cash_transfers_en.pdf" TargetMode="External"/><Relationship Id="rId3" Type="http://schemas.openxmlformats.org/officeDocument/2006/relationships/hyperlink" Target="https://reliefweb.int/attachments/bf1ad41f-88c6-4d79-8e25-0ef4cbb4f594/GHO%20December%20Update%202022.pdf%20." TargetMode="External"/><Relationship Id="rId21" Type="http://schemas.openxmlformats.org/officeDocument/2006/relationships/hyperlink" Target="https://ec.europa.eu/echo/files/policies/sectoral/dg_echo_guidance_note_-_disaster_preparedness_en.pdf" TargetMode="External"/><Relationship Id="rId7" Type="http://schemas.openxmlformats.org/officeDocument/2006/relationships/hyperlink" Target="https://interagencystandingcommittee.org/grand-bargain" TargetMode="External"/><Relationship Id="rId12" Type="http://schemas.openxmlformats.org/officeDocument/2006/relationships/hyperlink" Target="https://civil-protection-humanitarian-aid.ec.europa.eu/what/humanitarian-aid/european-humanitarian-response-capacity-ehrc_en" TargetMode="External"/><Relationship Id="rId17" Type="http://schemas.openxmlformats.org/officeDocument/2006/relationships/hyperlink" Target="https://www.calltoactiongbv.com/what-we-do" TargetMode="External"/><Relationship Id="rId2" Type="http://schemas.openxmlformats.org/officeDocument/2006/relationships/hyperlink" Target="https://eur-lex.europa.eu/LexUriServ/LexUriServ.do?uri=OJ:C:2008:025:0001:0012:HU:PDF" TargetMode="External"/><Relationship Id="rId16" Type="http://schemas.openxmlformats.org/officeDocument/2006/relationships/hyperlink" Target="https://www.calltoactiongbv.com/" TargetMode="External"/><Relationship Id="rId20" Type="http://schemas.openxmlformats.org/officeDocument/2006/relationships/hyperlink" Target="https://ec.europa.eu/echo/files/policies/environment/guidance_on_the_operationalisation_of_the_mers_for_eu-funded_humanitarian_aid_operations.pdf" TargetMode="External"/><Relationship Id="rId1" Type="http://schemas.openxmlformats.org/officeDocument/2006/relationships/hyperlink" Target="https://eur-lex.europa.eu/legal-content/HU/TXT/?uri=celex%3A12016ME%2FTXT" TargetMode="External"/><Relationship Id="rId6" Type="http://schemas.openxmlformats.org/officeDocument/2006/relationships/hyperlink" Target="https://fts.unocha.org/global-funding/overview/2022" TargetMode="External"/><Relationship Id="rId11" Type="http://schemas.openxmlformats.org/officeDocument/2006/relationships/hyperlink" Target="https://op.europa.eu/hu/publication-detail/-/publication/06cfb220-8818-11ec-8c40-01aa75ed71a1/language-hu" TargetMode="External"/><Relationship Id="rId5" Type="http://schemas.openxmlformats.org/officeDocument/2006/relationships/hyperlink" Target="https://reliefweb.int/attachments/16451492-1d8a-3d80-992e-5a487dc01fdf/Global%20Humanitarian%20Overview%202021%2C%20December%20Update.pdf" TargetMode="External"/><Relationship Id="rId15" Type="http://schemas.openxmlformats.org/officeDocument/2006/relationships/hyperlink" Target="https://ec.europa.eu/echo/files/policies/sectoral/gender_thematic_policy_document_en.pdf" TargetMode="External"/><Relationship Id="rId10" Type="http://schemas.openxmlformats.org/officeDocument/2006/relationships/hyperlink" Target="https://op.europa.eu/hu/publication-detail/-/publication/06cfb220-8818-11ec-8c40-01aa75ed71a1/language-hu" TargetMode="External"/><Relationship Id="rId19" Type="http://schemas.openxmlformats.org/officeDocument/2006/relationships/hyperlink" Target="https://ec.europa.eu/echo/files/policies/sectoral/thematic_policy_document_no_3_cash_transfers_en.pdf" TargetMode="External"/><Relationship Id="rId4" Type="http://schemas.openxmlformats.org/officeDocument/2006/relationships/hyperlink" Target="https://reliefweb.int/attachments/bf1ad41f-88c6-4d79-8e25-0ef4cbb4f594/GHO%20December%20Update%202022.pdf%20." TargetMode="External"/><Relationship Id="rId9" Type="http://schemas.openxmlformats.org/officeDocument/2006/relationships/hyperlink" Target="https://www.dgecho-partners-helpdesk.eu/programmatic-partnership/programmatic-partnership" TargetMode="External"/><Relationship Id="rId14" Type="http://schemas.openxmlformats.org/officeDocument/2006/relationships/hyperlink" Target="https://globalnutritionreport.org/reports/2022-global-nutritio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530ff-ae8d-4383-9420-67306a01619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d0b4669b-3562-445a-a428-e501203eb641" xsi:nil="true"/>
  </documentManagement>
</p:properties>
</file>

<file path=customXml/item2.xml><?xml version="1.0" encoding="utf-8"?>
<Author Role="Creator" AuthorRoleName="Writer" AuthorRoleId="a4fbaff4-b07c-48b4-a21e-e7b9eedf3796">
  <Id>68a621fe-fc2c-4e4c-b111-0bff8a3dc4e7</Id>
  <Names>
    <Latin>
      <FirstName>Rafael</FirstName>
      <LastName>ALAMAR OLIVER</LastName>
    </Latin>
    <Greek>
      <FirstName/>
      <LastName/>
    </Greek>
    <Cyrillic>
      <FirstName/>
      <LastName/>
    </Cyrillic>
    <DocumentScript>
      <FirstName>Rafael</FirstName>
      <LastName>ALAMAR OLIVER</LastName>
      <FullName>Rafael ALAMAR OLIVER</FullName>
    </DocumentScript>
  </Names>
  <Initials>RAO</Initials>
  <Gender>m</Gender>
  <Email>Rafael.ALAMAR-OLIVER@ec.europa.eu</Email>
  <Service>ECHO.E.2</Service>
  <Function ADCode="" ShowInSignature="true" ShowInHeader="false" HeaderText=""/>
  <WebAddress/>
  <FunctionalMailbox/>
  <InheritedWebAddress>WebAddress</InheritedWebAddress>
  <OrgaEntity1>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1>
  <OrgaEntity2>
    <Id>e6395c89-3d79-4b56-99aa-b1d1d13483ca</Id>
    <LogicalLevel>2</LogicalLevel>
    <Name>ECHO.E</Name>
    <HeadLine1>General Affairs</HeadLine1>
    <HeadLine2/>
    <PrimaryAddressId>f03b5801-04c9-4931-aa17-c6d6c70bc579</PrimaryAddressId>
    <SecondaryAddressId/>
    <WebAddress/>
    <InheritedWebAddress>WebAddress</InheritedWebAddress>
    <ShowInHeader>true</ShowInHeader>
  </OrgaEntity2>
  <OrgaEntity3>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3>
  <Hierarchy>
    <OrgaEntity>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
    <OrgaEntity>
      <Id>e6395c89-3d79-4b56-99aa-b1d1d13483ca</Id>
      <LogicalLevel>2</LogicalLevel>
      <Name>ECHO.E</Name>
      <HeadLine1>General Affairs</HeadLine1>
      <HeadLine2/>
      <PrimaryAddressId>f03b5801-04c9-4931-aa17-c6d6c70bc579</PrimaryAddressId>
      <SecondaryAddressId/>
      <WebAddress/>
      <InheritedWebAddress>WebAddress</InheritedWebAddress>
      <ShowInHeader>true</ShowInHeader>
    </OrgaEntity>
    <OrgaEntity>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+32 229-62849</Phone>
    <Office>L-86 04/056</Office>
  </MainWorkplace>
  <Workplaces>
    <Workplace IsMain="true">
      <AddressId>f03b5801-04c9-4931-aa17-c6d6c70bc579</AddressId>
      <Fax/>
      <Phone>+32 229-62849</Phone>
      <Office>L-86 04/056</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2023-05-04T09:21:56</Date>
    <Language>EN</Language>
    <Note/>
  </Created>
  <Edited>
    <Version/>
    <Date/>
  </Edited>
  <DocumentModel>
    <Id>6cbda13a-4db2-46c6-876a-ef72275827ef</Id>
    <Name>Report</Name>
  </DocumentModel>
  <CustomTemplate>
    <Id/>
    <Name/>
  </CustomTemplate>
  <DocumentDate>2023-05-04T09:21:56</DocumentDate>
  <DocumentVersion>0.1</DocumentVersion>
  <CompatibilityMode>Eurolook10</CompatibilityMode>
  <DocumentMetadata>
    <EC_SecurityDateMarkingEvent MetadataSerializationType="SimpleValue"/>
    <EC_SecurityDistributionWorkingGroup MetadataSerializationType="SimpleValue"/>
    <EC_SecurityDistributionSpecialHandling MetadataSerializationType="SimpleValue"/>
    <EC_SecurityDistributionSensitive MetadataSerializationType="SimpleValue"/>
    <EC_SecurityDistributionDG MetadataSerializationType="SimpleValue"/>
    <EC_SecurityDateMarkingDate MetadataSerializationType="SimpleValue"/>
    <EC_SecurityMarking MetadataSerializationType="SimpleValue"/>
    <EC_SecurityReleasability MetadataSerializationType="SimpleValue"/>
    <EC_SecurityDateMark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15" ma:contentTypeDescription="Create a new document." ma:contentTypeScope="" ma:versionID="96f66992379882525ce1617ec178c7b8">
  <xsd:schema xmlns:xsd="http://www.w3.org/2001/XMLSchema" xmlns:xs="http://www.w3.org/2001/XMLSchema" xmlns:p="http://schemas.microsoft.com/office/2006/metadata/properties" xmlns:ns2="d07530ff-ae8d-4383-9420-67306a016191" xmlns:ns3="d0b4669b-3562-445a-a428-e501203eb641" targetNamespace="http://schemas.microsoft.com/office/2006/metadata/properties" ma:root="true" ma:fieldsID="d2f6025f22f4fbc568639e614ccf857c" ns2:_="" ns3:_="">
    <xsd:import namespace="d07530ff-ae8d-4383-9420-67306a016191"/>
    <xsd:import namespace="d0b4669b-3562-445a-a428-e501203eb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4669b-3562-445a-a428-e501203eb6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6d8ba7-8bd2-494a-891f-35f3883725b5}" ma:internalName="TaxCatchAll" ma:showField="CatchAllData" ma:web="d0b4669b-3562-445a-a428-e501203eb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Tartalomjegyzék</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A9C6-406A-4BC2-9C13-5DBD576EAE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b4669b-3562-445a-a428-e501203eb641"/>
    <ds:schemaRef ds:uri="http://purl.org/dc/elements/1.1/"/>
    <ds:schemaRef ds:uri="http://schemas.microsoft.com/office/2006/metadata/properties"/>
    <ds:schemaRef ds:uri="d07530ff-ae8d-4383-9420-67306a016191"/>
    <ds:schemaRef ds:uri="http://www.w3.org/XML/1998/namespace"/>
    <ds:schemaRef ds:uri="http://purl.org/dc/dcmitype/"/>
  </ds:schemaRefs>
</ds:datastoreItem>
</file>

<file path=customXml/itemProps2.xml><?xml version="1.0" encoding="utf-8"?>
<ds:datastoreItem xmlns:ds="http://schemas.openxmlformats.org/officeDocument/2006/customXml" ds:itemID="{60200E2F-7EB8-4DBE-8ADC-2077EA094298}">
  <ds:schemaRefs/>
</ds:datastoreItem>
</file>

<file path=customXml/itemProps3.xml><?xml version="1.0" encoding="utf-8"?>
<ds:datastoreItem xmlns:ds="http://schemas.openxmlformats.org/officeDocument/2006/customXml" ds:itemID="{0C39C6AC-3EB5-4E66-A720-75C4FA2AD98F}">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681470FC-B37C-42E6-9B45-2C314915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d0b4669b-3562-445a-a428-e501203eb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9A3B4ABB-12AD-4442-8C0A-8B70D0DB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3529</Words>
  <Characters>25767</Characters>
  <Application>Microsoft Office Word</Application>
  <DocSecurity>0</DocSecurity>
  <PresentationFormat>Microsoft Word 14.0</PresentationFormat>
  <Lines>396</Lines>
  <Paragraphs>71</Paragraphs>
  <ScaleCrop>true</ScaleCrop>
  <HeadingPairs>
    <vt:vector size="2" baseType="variant">
      <vt:variant>
        <vt:lpstr>Title</vt:lpstr>
      </vt:variant>
      <vt:variant>
        <vt:i4>1</vt:i4>
      </vt:variant>
    </vt:vector>
  </HeadingPairs>
  <TitlesOfParts>
    <vt:vector size="1" baseType="lpstr">
      <vt:lpstr>REPORT FROM THE COMMISSION TO THE EUROPEAN PARLIAMENT AND THE COUNCIL</vt:lpstr>
    </vt:vector>
  </TitlesOfParts>
  <Manager/>
  <Company/>
  <LinksUpToDate>false</LinksUpToDate>
  <CharactersWithSpaces>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THE COUNCIL</dc:title>
  <dc:subject>Annual Report on the European Union´s humanitarian aid operations financed in 2022</dc:subject>
  <dc:creator/>
  <cp:keywords/>
  <dc:description/>
  <cp:lastModifiedBy>EC CoDe</cp:lastModifiedBy>
  <cp:revision>31</cp:revision>
  <dcterms:created xsi:type="dcterms:W3CDTF">2023-08-21T06:05:00Z</dcterms:created>
  <dcterms:modified xsi:type="dcterms:W3CDTF">2023-08-30T08:08:00Z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2023-05-04T08:02:43Z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10803b20-ff0d-4300-b748-cbb1927c56d6</vt:lpwstr>
  </property>
  <property fmtid="{D5CDD505-2E9C-101B-9397-08002B2CF9AE}" pid="8" name="MSIP_Label_6bd9ddd1-4d20-43f6-abfa-fc3c07406f94_ContentBits">
    <vt:lpwstr>0</vt:lpwstr>
  </property>
  <property fmtid="{D5CDD505-2E9C-101B-9397-08002B2CF9AE}" pid="9" name="ContentTypeId">
    <vt:lpwstr>0x01010043D24022E66C1540A3B1E037465E0CE3</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_LW_INVALIDATED_EurolookVersion">
    <vt:lpwstr>10.0</vt:lpwstr>
  </property>
  <property fmtid="{D5CDD505-2E9C-101B-9397-08002B2CF9AE}" pid="13" name="_LW_INVALIDATED_ELDocType">
    <vt:lpwstr>rep.dot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PTemplateID">
    <vt:lpwstr>CP-006</vt:lpwstr>
  </property>
  <property fmtid="{D5CDD505-2E9C-101B-9397-08002B2CF9AE}" pid="18" name="Last edited using">
    <vt:lpwstr>LW 9.0, Build 20230317</vt:lpwstr>
  </property>
  <property fmtid="{D5CDD505-2E9C-101B-9397-08002B2CF9AE}" pid="19" name="Created using">
    <vt:lpwstr>LW 9.0, Build 20230317</vt:lpwstr>
  </property>
</Properties>
</file>