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98D2" w14:textId="7354BA4E" w:rsidR="000B439B" w:rsidRDefault="004A3FDE" w:rsidP="004A3FDE">
      <w:pPr>
        <w:pStyle w:val="Pagedecouverture"/>
        <w:rPr>
          <w:noProof/>
        </w:rPr>
      </w:pPr>
      <w:bookmarkStart w:id="0" w:name="LW_BM_COVERPAGE"/>
      <w:r>
        <w:rPr>
          <w:noProof/>
        </w:rPr>
        <w:pict w14:anchorId="55FBB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06402F9A-FE4C-407F-8A08-AF39B0756AD6" style="width:455.25pt;height:310.5pt">
            <v:imagedata r:id="rId14" o:title=""/>
          </v:shape>
        </w:pict>
      </w:r>
    </w:p>
    <w:bookmarkEnd w:id="0"/>
    <w:p w14:paraId="41B5B704" w14:textId="77777777" w:rsidR="000B439B" w:rsidRDefault="000B439B" w:rsidP="000B439B">
      <w:pPr>
        <w:rPr>
          <w:noProof/>
        </w:rPr>
        <w:sectPr w:rsidR="000B439B" w:rsidSect="004A3FDE">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134" w:right="1417" w:bottom="1134" w:left="1417" w:header="709" w:footer="709" w:gutter="0"/>
          <w:pgNumType w:start="0"/>
          <w:cols w:space="720"/>
          <w:docGrid w:linePitch="326"/>
        </w:sectPr>
      </w:pPr>
    </w:p>
    <w:bookmarkStart w:id="1" w:name="_GoBack" w:displacedByCustomXml="next"/>
    <w:bookmarkEnd w:id="1" w:displacedByCustomXml="next"/>
    <w:sdt>
      <w:sdtPr>
        <w:rPr>
          <w:rFonts w:ascii="Times New Roman" w:hAnsi="Times New Roman"/>
          <w:b w:val="0"/>
          <w:caps w:val="0"/>
          <w:noProof/>
          <w:color w:val="2B579A"/>
          <w:shd w:val="clear" w:color="auto" w:fill="E6E6E6"/>
        </w:rPr>
        <w:alias w:val="Table of Contents"/>
        <w:tag w:val="2OIKVGtmzwJ66PTlFMFRa4"/>
        <w:id w:val="604303555"/>
      </w:sdtPr>
      <w:sdtEndPr/>
      <w:sdtContent>
        <w:p w14:paraId="7D55100F" w14:textId="58F1E1FF" w:rsidR="00D62E28" w:rsidRDefault="004A3FDE">
          <w:pPr>
            <w:pStyle w:val="TOCHeading"/>
            <w:rPr>
              <w:noProof/>
            </w:rPr>
          </w:pPr>
          <w:sdt>
            <w:sdtPr>
              <w:rPr>
                <w:noProof/>
                <w:color w:val="2B579A"/>
                <w:shd w:val="clear" w:color="auto" w:fill="E6E6E6"/>
              </w:rPr>
              <w:id w:val="-675576560"/>
              <w:dataBinding w:xpath="/Texts/TOCHeading" w:storeItemID="{4EF90DE6-88B6-4264-9629-4D8DFDFE87D2}"/>
              <w:text w:multiLine="1"/>
            </w:sdtPr>
            <w:sdtEndPr>
              <w:rPr>
                <w:color w:val="auto"/>
                <w:shd w:val="clear" w:color="auto" w:fill="auto"/>
              </w:rPr>
            </w:sdtEndPr>
            <w:sdtContent>
              <w:r w:rsidR="00D62E28">
                <w:rPr>
                  <w:noProof/>
                </w:rPr>
                <w:t>Table of Contents</w:t>
              </w:r>
            </w:sdtContent>
          </w:sdt>
        </w:p>
        <w:p w14:paraId="055C2CBD" w14:textId="05635C9E" w:rsidR="00474003" w:rsidRDefault="00D62E28">
          <w:pPr>
            <w:pStyle w:val="TOC1"/>
            <w:rPr>
              <w:rFonts w:asciiTheme="minorHAnsi" w:eastAsiaTheme="minorEastAsia" w:hAnsiTheme="minorHAnsi" w:cstheme="minorBidi"/>
              <w:noProof/>
              <w:sz w:val="22"/>
              <w:szCs w:val="22"/>
              <w:lang w:val="en-IE"/>
            </w:rPr>
          </w:pPr>
          <w:r>
            <w:rPr>
              <w:noProof/>
              <w:color w:val="2B579A"/>
              <w:shd w:val="clear" w:color="auto" w:fill="E6E6E6"/>
            </w:rPr>
            <w:fldChar w:fldCharType="begin"/>
          </w:r>
          <w:r>
            <w:rPr>
              <w:noProof/>
            </w:rPr>
            <w:instrText>TOC \o "1-4" \h \t "Article;1;ChapterTitle;5;PartTitle;5;SectionTitle;5;AnnexTitle;6"</w:instrText>
          </w:r>
          <w:r>
            <w:rPr>
              <w:noProof/>
              <w:color w:val="2B579A"/>
              <w:shd w:val="clear" w:color="auto" w:fill="E6E6E6"/>
            </w:rPr>
            <w:fldChar w:fldCharType="separate"/>
          </w:r>
          <w:hyperlink w:anchor="_Toc140765901" w:history="1">
            <w:r w:rsidR="00474003" w:rsidRPr="00D168D7">
              <w:rPr>
                <w:rStyle w:val="Hyperlink"/>
                <w:noProof/>
                <w:spacing w:val="5"/>
              </w:rPr>
              <w:t>Introduction</w:t>
            </w:r>
            <w:r w:rsidR="00474003">
              <w:rPr>
                <w:noProof/>
              </w:rPr>
              <w:tab/>
            </w:r>
            <w:r w:rsidR="00474003">
              <w:rPr>
                <w:noProof/>
              </w:rPr>
              <w:fldChar w:fldCharType="begin"/>
            </w:r>
            <w:r w:rsidR="00474003">
              <w:rPr>
                <w:noProof/>
              </w:rPr>
              <w:instrText xml:space="preserve"> PAGEREF _Toc140765901 \h </w:instrText>
            </w:r>
            <w:r w:rsidR="00474003">
              <w:rPr>
                <w:noProof/>
              </w:rPr>
            </w:r>
            <w:r w:rsidR="00474003">
              <w:rPr>
                <w:noProof/>
              </w:rPr>
              <w:fldChar w:fldCharType="separate"/>
            </w:r>
            <w:r w:rsidR="00474003">
              <w:rPr>
                <w:noProof/>
              </w:rPr>
              <w:t>2</w:t>
            </w:r>
            <w:r w:rsidR="00474003">
              <w:rPr>
                <w:noProof/>
              </w:rPr>
              <w:fldChar w:fldCharType="end"/>
            </w:r>
          </w:hyperlink>
        </w:p>
        <w:p w14:paraId="3C2D0C40" w14:textId="0BEB2963" w:rsidR="00474003" w:rsidRDefault="004A3FDE">
          <w:pPr>
            <w:pStyle w:val="TOC1"/>
            <w:rPr>
              <w:rFonts w:asciiTheme="minorHAnsi" w:eastAsiaTheme="minorEastAsia" w:hAnsiTheme="minorHAnsi" w:cstheme="minorBidi"/>
              <w:noProof/>
              <w:sz w:val="22"/>
              <w:szCs w:val="22"/>
              <w:lang w:val="en-IE"/>
            </w:rPr>
          </w:pPr>
          <w:hyperlink w:anchor="_Toc140765902" w:history="1">
            <w:r w:rsidR="00474003" w:rsidRPr="00D168D7">
              <w:rPr>
                <w:rStyle w:val="Hyperlink"/>
                <w:noProof/>
                <w:spacing w:val="5"/>
              </w:rPr>
              <w:t>The global context within which assistance is delivered</w:t>
            </w:r>
            <w:r w:rsidR="00474003">
              <w:rPr>
                <w:noProof/>
              </w:rPr>
              <w:tab/>
            </w:r>
            <w:r w:rsidR="00474003">
              <w:rPr>
                <w:noProof/>
              </w:rPr>
              <w:fldChar w:fldCharType="begin"/>
            </w:r>
            <w:r w:rsidR="00474003">
              <w:rPr>
                <w:noProof/>
              </w:rPr>
              <w:instrText xml:space="preserve"> PAGEREF _Toc140765902 \h </w:instrText>
            </w:r>
            <w:r w:rsidR="00474003">
              <w:rPr>
                <w:noProof/>
              </w:rPr>
            </w:r>
            <w:r w:rsidR="00474003">
              <w:rPr>
                <w:noProof/>
              </w:rPr>
              <w:fldChar w:fldCharType="separate"/>
            </w:r>
            <w:r w:rsidR="00474003">
              <w:rPr>
                <w:noProof/>
              </w:rPr>
              <w:t>2</w:t>
            </w:r>
            <w:r w:rsidR="00474003">
              <w:rPr>
                <w:noProof/>
              </w:rPr>
              <w:fldChar w:fldCharType="end"/>
            </w:r>
          </w:hyperlink>
        </w:p>
        <w:p w14:paraId="273BD8EE" w14:textId="703206BE" w:rsidR="00474003" w:rsidRDefault="004A3FDE">
          <w:pPr>
            <w:pStyle w:val="TOC1"/>
            <w:rPr>
              <w:rFonts w:asciiTheme="minorHAnsi" w:eastAsiaTheme="minorEastAsia" w:hAnsiTheme="minorHAnsi" w:cstheme="minorBidi"/>
              <w:noProof/>
              <w:sz w:val="22"/>
              <w:szCs w:val="22"/>
              <w:lang w:val="en-IE"/>
            </w:rPr>
          </w:pPr>
          <w:hyperlink w:anchor="_Toc140765903" w:history="1">
            <w:r w:rsidR="00474003" w:rsidRPr="00D168D7">
              <w:rPr>
                <w:rStyle w:val="Hyperlink"/>
                <w:noProof/>
                <w:spacing w:val="5"/>
              </w:rPr>
              <w:t>Delivery of adequate and effective humanitarian assistance to affected populations</w:t>
            </w:r>
            <w:r w:rsidR="00474003">
              <w:rPr>
                <w:noProof/>
              </w:rPr>
              <w:tab/>
            </w:r>
            <w:r w:rsidR="00474003">
              <w:rPr>
                <w:noProof/>
              </w:rPr>
              <w:fldChar w:fldCharType="begin"/>
            </w:r>
            <w:r w:rsidR="00474003">
              <w:rPr>
                <w:noProof/>
              </w:rPr>
              <w:instrText xml:space="preserve"> PAGEREF _Toc140765903 \h </w:instrText>
            </w:r>
            <w:r w:rsidR="00474003">
              <w:rPr>
                <w:noProof/>
              </w:rPr>
            </w:r>
            <w:r w:rsidR="00474003">
              <w:rPr>
                <w:noProof/>
              </w:rPr>
              <w:fldChar w:fldCharType="separate"/>
            </w:r>
            <w:r w:rsidR="00474003">
              <w:rPr>
                <w:noProof/>
              </w:rPr>
              <w:t>5</w:t>
            </w:r>
            <w:r w:rsidR="00474003">
              <w:rPr>
                <w:noProof/>
              </w:rPr>
              <w:fldChar w:fldCharType="end"/>
            </w:r>
          </w:hyperlink>
        </w:p>
        <w:p w14:paraId="3DFDE898" w14:textId="60948CE3" w:rsidR="00474003" w:rsidRDefault="004A3FDE">
          <w:pPr>
            <w:pStyle w:val="TOC1"/>
            <w:rPr>
              <w:rFonts w:asciiTheme="minorHAnsi" w:eastAsiaTheme="minorEastAsia" w:hAnsiTheme="minorHAnsi" w:cstheme="minorBidi"/>
              <w:noProof/>
              <w:sz w:val="22"/>
              <w:szCs w:val="22"/>
              <w:lang w:val="en-IE"/>
            </w:rPr>
          </w:pPr>
          <w:hyperlink w:anchor="_Toc140765904" w:history="1">
            <w:r w:rsidR="00474003" w:rsidRPr="00D168D7">
              <w:rPr>
                <w:rStyle w:val="Hyperlink"/>
                <w:noProof/>
                <w:spacing w:val="5"/>
              </w:rPr>
              <w:t>Review of any outside assessment conducted on specific operations</w:t>
            </w:r>
            <w:r w:rsidR="00474003">
              <w:rPr>
                <w:noProof/>
              </w:rPr>
              <w:tab/>
            </w:r>
            <w:r w:rsidR="00474003">
              <w:rPr>
                <w:noProof/>
              </w:rPr>
              <w:fldChar w:fldCharType="begin"/>
            </w:r>
            <w:r w:rsidR="00474003">
              <w:rPr>
                <w:noProof/>
              </w:rPr>
              <w:instrText xml:space="preserve"> PAGEREF _Toc140765904 \h </w:instrText>
            </w:r>
            <w:r w:rsidR="00474003">
              <w:rPr>
                <w:noProof/>
              </w:rPr>
            </w:r>
            <w:r w:rsidR="00474003">
              <w:rPr>
                <w:noProof/>
              </w:rPr>
              <w:fldChar w:fldCharType="separate"/>
            </w:r>
            <w:r w:rsidR="00474003">
              <w:rPr>
                <w:noProof/>
              </w:rPr>
              <w:t>8</w:t>
            </w:r>
            <w:r w:rsidR="00474003">
              <w:rPr>
                <w:noProof/>
              </w:rPr>
              <w:fldChar w:fldCharType="end"/>
            </w:r>
          </w:hyperlink>
        </w:p>
        <w:p w14:paraId="50D0E9A8" w14:textId="63CC3DCA" w:rsidR="00474003" w:rsidRDefault="004A3FDE">
          <w:pPr>
            <w:pStyle w:val="TOC1"/>
            <w:rPr>
              <w:rFonts w:asciiTheme="minorHAnsi" w:eastAsiaTheme="minorEastAsia" w:hAnsiTheme="minorHAnsi" w:cstheme="minorBidi"/>
              <w:noProof/>
              <w:sz w:val="22"/>
              <w:szCs w:val="22"/>
              <w:lang w:val="en-IE"/>
            </w:rPr>
          </w:pPr>
          <w:hyperlink w:anchor="_Toc140765905" w:history="1">
            <w:r w:rsidR="00474003" w:rsidRPr="00D168D7">
              <w:rPr>
                <w:rStyle w:val="Hyperlink"/>
                <w:noProof/>
                <w:spacing w:val="5"/>
              </w:rPr>
              <w:t>RELEVANT LINKS</w:t>
            </w:r>
            <w:r w:rsidR="00474003">
              <w:rPr>
                <w:noProof/>
              </w:rPr>
              <w:tab/>
            </w:r>
            <w:r w:rsidR="00474003">
              <w:rPr>
                <w:noProof/>
              </w:rPr>
              <w:fldChar w:fldCharType="begin"/>
            </w:r>
            <w:r w:rsidR="00474003">
              <w:rPr>
                <w:noProof/>
              </w:rPr>
              <w:instrText xml:space="preserve"> PAGEREF _Toc140765905 \h </w:instrText>
            </w:r>
            <w:r w:rsidR="00474003">
              <w:rPr>
                <w:noProof/>
              </w:rPr>
            </w:r>
            <w:r w:rsidR="00474003">
              <w:rPr>
                <w:noProof/>
              </w:rPr>
              <w:fldChar w:fldCharType="separate"/>
            </w:r>
            <w:r w:rsidR="00474003">
              <w:rPr>
                <w:noProof/>
              </w:rPr>
              <w:t>9</w:t>
            </w:r>
            <w:r w:rsidR="00474003">
              <w:rPr>
                <w:noProof/>
              </w:rPr>
              <w:fldChar w:fldCharType="end"/>
            </w:r>
          </w:hyperlink>
        </w:p>
        <w:p w14:paraId="4355FE7E" w14:textId="79A0B515" w:rsidR="00D62E28" w:rsidRDefault="00D62E28">
          <w:pPr>
            <w:rPr>
              <w:noProof/>
            </w:rPr>
          </w:pPr>
          <w:r>
            <w:rPr>
              <w:noProof/>
              <w:color w:val="2B579A"/>
              <w:shd w:val="clear" w:color="auto" w:fill="E6E6E6"/>
            </w:rPr>
            <w:fldChar w:fldCharType="end"/>
          </w:r>
        </w:p>
      </w:sdtContent>
    </w:sdt>
    <w:p w14:paraId="4BEB54C7" w14:textId="4550F358" w:rsidR="00B42F26" w:rsidRDefault="00B42F26" w:rsidP="00B42F26">
      <w:pPr>
        <w:tabs>
          <w:tab w:val="left" w:pos="6181"/>
        </w:tabs>
        <w:spacing w:after="0"/>
        <w:jc w:val="left"/>
        <w:rPr>
          <w:noProof/>
        </w:rPr>
      </w:pPr>
      <w:r>
        <w:rPr>
          <w:noProof/>
        </w:rPr>
        <w:tab/>
      </w:r>
    </w:p>
    <w:p w14:paraId="7CC4B052" w14:textId="5593C82B" w:rsidR="00D62E28" w:rsidRDefault="00D62E28" w:rsidP="00474003">
      <w:pPr>
        <w:pStyle w:val="Heading1"/>
        <w:numPr>
          <w:ilvl w:val="0"/>
          <w:numId w:val="0"/>
        </w:numPr>
        <w:ind w:left="482" w:hanging="482"/>
        <w:rPr>
          <w:rStyle w:val="IntenseReference"/>
          <w:bCs w:val="0"/>
          <w:noProof/>
        </w:rPr>
      </w:pPr>
      <w:r w:rsidRPr="00B42F26">
        <w:rPr>
          <w:noProof/>
        </w:rPr>
        <w:br w:type="page"/>
      </w:r>
      <w:bookmarkStart w:id="2" w:name="_Toc139283302"/>
      <w:bookmarkStart w:id="3" w:name="_Toc140765901"/>
      <w:r w:rsidR="00EA66E3" w:rsidRPr="00474003">
        <w:rPr>
          <w:rStyle w:val="IntenseReference"/>
          <w:b/>
          <w:bCs w:val="0"/>
          <w:noProof/>
        </w:rPr>
        <w:t>Introduction</w:t>
      </w:r>
      <w:bookmarkEnd w:id="2"/>
      <w:bookmarkEnd w:id="3"/>
    </w:p>
    <w:p w14:paraId="20AD2FE1" w14:textId="77777777" w:rsidR="00D62E28" w:rsidRDefault="00D62E28" w:rsidP="00D62E28">
      <w:pPr>
        <w:rPr>
          <w:noProof/>
        </w:rPr>
      </w:pPr>
      <w:r>
        <w:rPr>
          <w:noProof/>
        </w:rPr>
        <w:t>This report presents the Union's main activities and policy outcomes in 2022 in the field of humanitarian aid, as carried out through the Directorate-General for European Civil Protection and Humanitarian Aid Operations (DG ECHO) of the European Commission. It is prepared pursuant to Article 19 of Council Regulation (EC) No 1257/96 of 20 June 1996 concerning humanitarian aid, which requires the Commission to submit an annual report to the European Parliament and to the Council with a summary of the operations financed in the course of the preceding year.</w:t>
      </w:r>
    </w:p>
    <w:p w14:paraId="2F128868" w14:textId="26083D52" w:rsidR="00D62E28" w:rsidRDefault="00D62E28" w:rsidP="00D62E28">
      <w:pPr>
        <w:rPr>
          <w:rFonts w:eastAsia="EC Square Sans Pro" w:cs="EC Square Sans Pro"/>
          <w:noProof/>
        </w:rPr>
      </w:pPr>
      <w:r>
        <w:rPr>
          <w:rFonts w:eastAsia="EC Square Sans Pro" w:cs="EC Square Sans Pro"/>
          <w:noProof/>
        </w:rPr>
        <w:t xml:space="preserve">The mandate of the Directorate-General for European Civil Protection and Humanitarian Aid Operations (DG ECHO) is </w:t>
      </w:r>
      <w:r w:rsidRPr="00344BCA">
        <w:rPr>
          <w:rFonts w:eastAsia="EC Square Sans Pro" w:cs="EC Square Sans Pro"/>
          <w:b/>
          <w:bCs/>
          <w:noProof/>
        </w:rPr>
        <w:t xml:space="preserve">to help save and preserve life, prevent and alleviate human suffering and safeguard the integrity and human dignity of populations affected by </w:t>
      </w:r>
      <w:r w:rsidRPr="00344BCA">
        <w:rPr>
          <w:b/>
          <w:bCs/>
          <w:noProof/>
        </w:rPr>
        <w:t xml:space="preserve">natural </w:t>
      </w:r>
      <w:r w:rsidR="0010580C">
        <w:rPr>
          <w:b/>
          <w:bCs/>
          <w:noProof/>
        </w:rPr>
        <w:t xml:space="preserve">hazards </w:t>
      </w:r>
      <w:r w:rsidRPr="00344BCA">
        <w:rPr>
          <w:b/>
          <w:bCs/>
          <w:noProof/>
        </w:rPr>
        <w:t xml:space="preserve">or </w:t>
      </w:r>
      <w:r w:rsidR="0010580C">
        <w:rPr>
          <w:b/>
          <w:bCs/>
          <w:noProof/>
        </w:rPr>
        <w:t>human</w:t>
      </w:r>
      <w:r w:rsidRPr="00344BCA">
        <w:rPr>
          <w:b/>
          <w:bCs/>
          <w:noProof/>
        </w:rPr>
        <w:t>-</w:t>
      </w:r>
      <w:r w:rsidR="004166C5">
        <w:rPr>
          <w:b/>
          <w:bCs/>
          <w:noProof/>
        </w:rPr>
        <w:t xml:space="preserve">induced </w:t>
      </w:r>
      <w:r w:rsidRPr="00344BCA">
        <w:rPr>
          <w:b/>
          <w:bCs/>
          <w:noProof/>
        </w:rPr>
        <w:t>disasters</w:t>
      </w:r>
      <w:r>
        <w:rPr>
          <w:noProof/>
        </w:rPr>
        <w:t xml:space="preserve"> occurring inside or outside the EU.</w:t>
      </w:r>
      <w:r>
        <w:rPr>
          <w:rFonts w:eastAsia="EC Square Sans Pro" w:cs="EC Square Sans Pro"/>
          <w:noProof/>
        </w:rPr>
        <w:t xml:space="preserve"> Under this common overarching objective, DG ECHO acts both as the EU humanitarian aid donor and emergency responder as well as a coordinator and facilitator of civil protection operations at EU level through the Union Civil Protection Mechanism (UCPM). </w:t>
      </w:r>
    </w:p>
    <w:p w14:paraId="7507C410" w14:textId="009893E1" w:rsidR="00D62E28" w:rsidRDefault="00B204BA" w:rsidP="00D62E28">
      <w:pPr>
        <w:rPr>
          <w:noProof/>
        </w:rPr>
      </w:pPr>
      <w:r>
        <w:rPr>
          <w:rFonts w:eastAsia="EC Square Sans Pro" w:cs="EC Square Sans Pro"/>
          <w:noProof/>
        </w:rPr>
        <w:t>T</w:t>
      </w:r>
      <w:r w:rsidR="57D4CB5A" w:rsidRPr="28D15D91">
        <w:rPr>
          <w:rFonts w:eastAsia="EC Square Sans Pro" w:cs="EC Square Sans Pro"/>
          <w:noProof/>
        </w:rPr>
        <w:t xml:space="preserve">he EU </w:t>
      </w:r>
      <w:r w:rsidR="00A92637" w:rsidRPr="008201C1">
        <w:rPr>
          <w:noProof/>
        </w:rPr>
        <w:t xml:space="preserve">– </w:t>
      </w:r>
      <w:r w:rsidR="57D4CB5A" w:rsidRPr="28D15D91">
        <w:rPr>
          <w:rFonts w:eastAsia="EC Square Sans Pro" w:cs="EC Square Sans Pro"/>
          <w:noProof/>
        </w:rPr>
        <w:t xml:space="preserve">through DG ECHO </w:t>
      </w:r>
      <w:r w:rsidR="00A92637" w:rsidRPr="008201C1">
        <w:rPr>
          <w:noProof/>
        </w:rPr>
        <w:t xml:space="preserve">– </w:t>
      </w:r>
      <w:r w:rsidR="57D4CB5A" w:rsidRPr="28D15D91">
        <w:rPr>
          <w:rFonts w:eastAsia="EC Square Sans Pro" w:cs="EC Square Sans Pro"/>
          <w:noProof/>
        </w:rPr>
        <w:t>provides humanitarian assistance to people in need around the globe</w:t>
      </w:r>
      <w:r w:rsidR="57D4CB5A">
        <w:rPr>
          <w:noProof/>
        </w:rPr>
        <w:t xml:space="preserve">, based on the humanitarian principles </w:t>
      </w:r>
      <w:r w:rsidR="57D4CB5A" w:rsidRPr="28D15D91">
        <w:rPr>
          <w:b/>
          <w:bCs/>
          <w:noProof/>
        </w:rPr>
        <w:t>of humanity, impartiality, independence and neutrality</w:t>
      </w:r>
      <w:r w:rsidR="004D5A5E">
        <w:rPr>
          <w:b/>
          <w:bCs/>
          <w:noProof/>
        </w:rPr>
        <w:t xml:space="preserve"> </w:t>
      </w:r>
      <w:r w:rsidR="00A92637" w:rsidRPr="008201C1">
        <w:rPr>
          <w:noProof/>
        </w:rPr>
        <w:t xml:space="preserve">– </w:t>
      </w:r>
      <w:r w:rsidR="007A36E7">
        <w:rPr>
          <w:noProof/>
        </w:rPr>
        <w:t>anchored in Article 214 of the Treaty on the Functioning of the European Union</w:t>
      </w:r>
      <w:r w:rsidR="00411067" w:rsidRPr="00411067">
        <w:rPr>
          <w:noProof/>
        </w:rPr>
        <w:t> (</w:t>
      </w:r>
      <w:r w:rsidR="00C77635">
        <w:rPr>
          <w:rStyle w:val="FootnoteReference"/>
          <w:noProof/>
        </w:rPr>
        <w:footnoteReference w:id="2"/>
      </w:r>
      <w:r w:rsidR="00411067">
        <w:rPr>
          <w:noProof/>
        </w:rPr>
        <w:t>)</w:t>
      </w:r>
      <w:r w:rsidR="004D5A5E">
        <w:rPr>
          <w:noProof/>
        </w:rPr>
        <w:t xml:space="preserve"> </w:t>
      </w:r>
      <w:r w:rsidR="00A92637" w:rsidRPr="008201C1">
        <w:rPr>
          <w:noProof/>
        </w:rPr>
        <w:t xml:space="preserve">– </w:t>
      </w:r>
      <w:r w:rsidR="007A36E7" w:rsidRPr="009B4162">
        <w:rPr>
          <w:noProof/>
        </w:rPr>
        <w:t>as well as in the European Consensus on Humanitarian Aid</w:t>
      </w:r>
      <w:r w:rsidR="00411067" w:rsidRPr="00411067">
        <w:rPr>
          <w:noProof/>
        </w:rPr>
        <w:t> (</w:t>
      </w:r>
      <w:r w:rsidR="00C77635">
        <w:rPr>
          <w:rStyle w:val="FootnoteReference"/>
          <w:noProof/>
        </w:rPr>
        <w:footnoteReference w:id="3"/>
      </w:r>
      <w:r w:rsidR="00411067">
        <w:rPr>
          <w:noProof/>
        </w:rPr>
        <w:t>)</w:t>
      </w:r>
      <w:r w:rsidR="57D4CB5A" w:rsidRPr="007A36E7">
        <w:rPr>
          <w:noProof/>
        </w:rPr>
        <w:t>.</w:t>
      </w:r>
      <w:r w:rsidR="57D4CB5A">
        <w:rPr>
          <w:noProof/>
        </w:rPr>
        <w:t xml:space="preserve"> EU humanitarian </w:t>
      </w:r>
      <w:r w:rsidR="00936091">
        <w:rPr>
          <w:noProof/>
        </w:rPr>
        <w:t>assistance</w:t>
      </w:r>
      <w:r w:rsidR="57D4CB5A">
        <w:rPr>
          <w:noProof/>
        </w:rPr>
        <w:t xml:space="preserve"> is distributed without regard to any political agendas and seeks without exception to help those in the greatest need, irrespective of their nationality, religion, gender, ethnic origin or political affiliation. </w:t>
      </w:r>
    </w:p>
    <w:p w14:paraId="45F98230" w14:textId="1B2154A9" w:rsidR="00D62E28" w:rsidRPr="00D62E28" w:rsidRDefault="00D62E28" w:rsidP="00D62E28">
      <w:pPr>
        <w:pStyle w:val="Heading1"/>
        <w:numPr>
          <w:ilvl w:val="0"/>
          <w:numId w:val="0"/>
        </w:numPr>
        <w:ind w:left="482" w:hanging="482"/>
        <w:rPr>
          <w:rStyle w:val="IntenseReference"/>
          <w:b/>
          <w:bCs w:val="0"/>
          <w:noProof/>
        </w:rPr>
      </w:pPr>
      <w:bookmarkStart w:id="4" w:name="_Toc139283303"/>
      <w:bookmarkStart w:id="5" w:name="_Toc140765902"/>
      <w:r w:rsidRPr="00D62E28">
        <w:rPr>
          <w:rStyle w:val="IntenseReference"/>
          <w:b/>
          <w:bCs w:val="0"/>
          <w:noProof/>
        </w:rPr>
        <w:t>T</w:t>
      </w:r>
      <w:r w:rsidR="003B0CC5">
        <w:rPr>
          <w:rStyle w:val="IntenseReference"/>
          <w:b/>
          <w:bCs w:val="0"/>
          <w:noProof/>
        </w:rPr>
        <w:t>he global context within which assistance is delivered</w:t>
      </w:r>
      <w:bookmarkEnd w:id="4"/>
      <w:bookmarkEnd w:id="5"/>
      <w:r w:rsidRPr="00D62E28">
        <w:rPr>
          <w:rStyle w:val="IntenseReference"/>
          <w:b/>
          <w:bCs w:val="0"/>
          <w:noProof/>
        </w:rPr>
        <w:t xml:space="preserve"> </w:t>
      </w:r>
    </w:p>
    <w:p w14:paraId="1833E763" w14:textId="23C4B2F0" w:rsidR="00E33511" w:rsidRDefault="00D62E28" w:rsidP="00D62E28">
      <w:pPr>
        <w:rPr>
          <w:b/>
          <w:noProof/>
        </w:rPr>
      </w:pPr>
      <w:r w:rsidRPr="00344BCA">
        <w:rPr>
          <w:noProof/>
        </w:rPr>
        <w:t xml:space="preserve">The year 2022 was largely marked by </w:t>
      </w:r>
      <w:r w:rsidRPr="00344BCA">
        <w:rPr>
          <w:b/>
          <w:noProof/>
        </w:rPr>
        <w:t>Russia’s war of aggression against Ukraine,</w:t>
      </w:r>
      <w:r w:rsidRPr="00344BCA">
        <w:rPr>
          <w:noProof/>
        </w:rPr>
        <w:t xml:space="preserve"> which caused a</w:t>
      </w:r>
      <w:r w:rsidR="00BC1A68">
        <w:rPr>
          <w:noProof/>
        </w:rPr>
        <w:t>n unprecedented</w:t>
      </w:r>
      <w:r w:rsidRPr="00344BCA">
        <w:rPr>
          <w:noProof/>
        </w:rPr>
        <w:t xml:space="preserve"> humanitarian catastrophe on European soil. </w:t>
      </w:r>
      <w:r w:rsidR="004D5A5E">
        <w:rPr>
          <w:noProof/>
        </w:rPr>
        <w:t xml:space="preserve">As a consequence, the EU organised a </w:t>
      </w:r>
      <w:r w:rsidRPr="00344BCA">
        <w:rPr>
          <w:noProof/>
        </w:rPr>
        <w:t xml:space="preserve">major humanitarian aid operation </w:t>
      </w:r>
      <w:r w:rsidR="004D5A5E">
        <w:rPr>
          <w:noProof/>
        </w:rPr>
        <w:t xml:space="preserve">and </w:t>
      </w:r>
      <w:r w:rsidRPr="00344BCA">
        <w:rPr>
          <w:noProof/>
        </w:rPr>
        <w:t xml:space="preserve">the largest, longest and most complex civil protection response operation since the creation of the UCPM. </w:t>
      </w:r>
      <w:r w:rsidR="004D5A5E">
        <w:rPr>
          <w:noProof/>
        </w:rPr>
        <w:t>This represented</w:t>
      </w:r>
      <w:r w:rsidRPr="00344BCA">
        <w:rPr>
          <w:noProof/>
        </w:rPr>
        <w:t xml:space="preserve"> a </w:t>
      </w:r>
      <w:r w:rsidRPr="00344BCA">
        <w:rPr>
          <w:b/>
          <w:noProof/>
        </w:rPr>
        <w:t>significant game changer</w:t>
      </w:r>
      <w:r w:rsidRPr="00344BCA">
        <w:rPr>
          <w:noProof/>
        </w:rPr>
        <w:t xml:space="preserve"> in the way humanitarian </w:t>
      </w:r>
      <w:r w:rsidR="00E529DA">
        <w:rPr>
          <w:noProof/>
        </w:rPr>
        <w:t>assistance</w:t>
      </w:r>
      <w:r w:rsidRPr="00344BCA">
        <w:rPr>
          <w:noProof/>
        </w:rPr>
        <w:t xml:space="preserve"> and civil protection responses intertwine, </w:t>
      </w:r>
      <w:r w:rsidR="00A92637">
        <w:rPr>
          <w:noProof/>
        </w:rPr>
        <w:t>thanks to the</w:t>
      </w:r>
      <w:r w:rsidRPr="00344BCA">
        <w:rPr>
          <w:noProof/>
        </w:rPr>
        <w:t xml:space="preserve"> </w:t>
      </w:r>
      <w:r w:rsidRPr="00344BCA">
        <w:rPr>
          <w:b/>
          <w:noProof/>
        </w:rPr>
        <w:t xml:space="preserve">unprecedented response from </w:t>
      </w:r>
      <w:r w:rsidR="00E33511" w:rsidRPr="00E2193D">
        <w:rPr>
          <w:noProof/>
        </w:rPr>
        <w:t xml:space="preserve">all </w:t>
      </w:r>
      <w:r w:rsidR="00EC19D4">
        <w:rPr>
          <w:noProof/>
        </w:rPr>
        <w:t xml:space="preserve">27 </w:t>
      </w:r>
      <w:r w:rsidR="00E33511" w:rsidRPr="00E2193D">
        <w:rPr>
          <w:noProof/>
        </w:rPr>
        <w:t>EU</w:t>
      </w:r>
      <w:r w:rsidR="00E33511" w:rsidRPr="00DB563D">
        <w:rPr>
          <w:noProof/>
          <w:color w:val="2B579A"/>
          <w:shd w:val="clear" w:color="auto" w:fill="E6E6E6"/>
        </w:rPr>
        <w:t xml:space="preserve"> </w:t>
      </w:r>
      <w:r w:rsidR="00EC19D4">
        <w:rPr>
          <w:noProof/>
        </w:rPr>
        <w:t>Member States and four UCPM participating states</w:t>
      </w:r>
      <w:r w:rsidR="00EC19D4" w:rsidRPr="00EC19D4">
        <w:rPr>
          <w:noProof/>
        </w:rPr>
        <w:t> </w:t>
      </w:r>
      <w:r w:rsidR="00411067" w:rsidRPr="00411067">
        <w:rPr>
          <w:noProof/>
        </w:rPr>
        <w:t>(</w:t>
      </w:r>
      <w:r w:rsidR="00EC19D4">
        <w:rPr>
          <w:rStyle w:val="FootnoteReference"/>
          <w:noProof/>
        </w:rPr>
        <w:footnoteReference w:id="4"/>
      </w:r>
      <w:r w:rsidR="00411067">
        <w:rPr>
          <w:noProof/>
        </w:rPr>
        <w:t>)</w:t>
      </w:r>
      <w:r w:rsidR="00EC19D4">
        <w:rPr>
          <w:noProof/>
        </w:rPr>
        <w:t xml:space="preserve"> </w:t>
      </w:r>
      <w:r w:rsidR="00E33511" w:rsidRPr="00E2193D">
        <w:rPr>
          <w:noProof/>
        </w:rPr>
        <w:t>to the mechanism</w:t>
      </w:r>
      <w:r w:rsidR="00EC19D4">
        <w:rPr>
          <w:noProof/>
        </w:rPr>
        <w:t xml:space="preserve">. </w:t>
      </w:r>
    </w:p>
    <w:p w14:paraId="408FCB8A" w14:textId="3EB7F759" w:rsidR="00D62E28" w:rsidRDefault="00BC1A68" w:rsidP="00D62E28">
      <w:pPr>
        <w:rPr>
          <w:noProof/>
        </w:rPr>
      </w:pPr>
      <w:r>
        <w:rPr>
          <w:noProof/>
        </w:rPr>
        <w:t>T</w:t>
      </w:r>
      <w:r w:rsidR="00D62E28" w:rsidRPr="00E16FAC">
        <w:rPr>
          <w:noProof/>
        </w:rPr>
        <w:t xml:space="preserve">he </w:t>
      </w:r>
      <w:r w:rsidR="00D62E28" w:rsidRPr="0793CF39">
        <w:rPr>
          <w:b/>
          <w:bCs/>
          <w:noProof/>
        </w:rPr>
        <w:t>humanitarian situation continued to drastically deteriorate also in many other parts of the world,</w:t>
      </w:r>
      <w:r w:rsidR="00D62E28" w:rsidRPr="00E16FAC">
        <w:rPr>
          <w:noProof/>
        </w:rPr>
        <w:t xml:space="preserve"> due to persistent conflict and insecurity, the impact of climate change, failed governance, the persisting impact of COVID-19 and other epidemiological outbreaks, as well as the indirect impact of Russia’s war of aggression against Ukraine, resulting in </w:t>
      </w:r>
      <w:r w:rsidR="00D62E28" w:rsidRPr="0793CF39">
        <w:rPr>
          <w:b/>
          <w:bCs/>
          <w:noProof/>
        </w:rPr>
        <w:t>unprecedented levels of humanitarian needs.</w:t>
      </w:r>
      <w:r w:rsidR="00D62E28" w:rsidRPr="00E16FAC">
        <w:rPr>
          <w:noProof/>
        </w:rPr>
        <w:t xml:space="preserve"> </w:t>
      </w:r>
      <w:r w:rsidR="00A92637">
        <w:rPr>
          <w:noProof/>
        </w:rPr>
        <w:t>T</w:t>
      </w:r>
      <w:r w:rsidR="00D62E28">
        <w:rPr>
          <w:noProof/>
        </w:rPr>
        <w:t xml:space="preserve">he latest </w:t>
      </w:r>
      <w:r w:rsidR="370DB369">
        <w:rPr>
          <w:noProof/>
        </w:rPr>
        <w:t>United Nations (</w:t>
      </w:r>
      <w:r w:rsidR="00D62E28">
        <w:rPr>
          <w:noProof/>
        </w:rPr>
        <w:t>UN</w:t>
      </w:r>
      <w:r w:rsidR="09FECC23">
        <w:rPr>
          <w:noProof/>
        </w:rPr>
        <w:t>) Office for the Coordination of Humanitarian Affairs</w:t>
      </w:r>
      <w:r w:rsidR="00D62E28">
        <w:rPr>
          <w:noProof/>
        </w:rPr>
        <w:t xml:space="preserve"> </w:t>
      </w:r>
      <w:r w:rsidR="6696D682">
        <w:rPr>
          <w:noProof/>
        </w:rPr>
        <w:t>(</w:t>
      </w:r>
      <w:r w:rsidR="00D62E28">
        <w:rPr>
          <w:noProof/>
        </w:rPr>
        <w:t>OCHA</w:t>
      </w:r>
      <w:r w:rsidR="423D1AF0">
        <w:rPr>
          <w:noProof/>
        </w:rPr>
        <w:t>)</w:t>
      </w:r>
      <w:r w:rsidR="00D62E28">
        <w:rPr>
          <w:noProof/>
        </w:rPr>
        <w:t xml:space="preserve"> Global Humanitarian Overview 2022</w:t>
      </w:r>
      <w:r w:rsidR="00411067" w:rsidRPr="00411067">
        <w:rPr>
          <w:noProof/>
        </w:rPr>
        <w:t> (</w:t>
      </w:r>
      <w:r w:rsidR="00D62E28">
        <w:rPr>
          <w:rStyle w:val="FootnoteReference"/>
          <w:noProof/>
        </w:rPr>
        <w:footnoteReference w:id="5"/>
      </w:r>
      <w:r w:rsidR="00411067">
        <w:rPr>
          <w:noProof/>
        </w:rPr>
        <w:t>)</w:t>
      </w:r>
      <w:r w:rsidR="00A92637">
        <w:rPr>
          <w:noProof/>
        </w:rPr>
        <w:t xml:space="preserve"> estimated that</w:t>
      </w:r>
      <w:r w:rsidR="00D62E28">
        <w:rPr>
          <w:noProof/>
        </w:rPr>
        <w:t xml:space="preserve"> 326 million people were in need of humanitarian assistance and protection at the end of 2022, an increase of 30.4% compared to 2021.</w:t>
      </w:r>
      <w:r w:rsidR="00D62E28" w:rsidRPr="00E16FAC">
        <w:rPr>
          <w:noProof/>
        </w:rPr>
        <w:t xml:space="preserve"> The further deterioration of the humanitarian situation in Afghanistan, Ethiopia </w:t>
      </w:r>
      <w:r w:rsidR="00A92637">
        <w:rPr>
          <w:noProof/>
        </w:rPr>
        <w:t>and</w:t>
      </w:r>
      <w:r w:rsidR="00A92637" w:rsidRPr="00E16FAC">
        <w:rPr>
          <w:noProof/>
        </w:rPr>
        <w:t xml:space="preserve"> </w:t>
      </w:r>
      <w:r w:rsidR="00D62E28" w:rsidRPr="00E16FAC">
        <w:rPr>
          <w:noProof/>
        </w:rPr>
        <w:t>Sudan</w:t>
      </w:r>
      <w:r w:rsidR="00A92637">
        <w:rPr>
          <w:noProof/>
        </w:rPr>
        <w:t>,</w:t>
      </w:r>
      <w:r w:rsidR="00D62E28" w:rsidRPr="00E16FAC">
        <w:rPr>
          <w:noProof/>
        </w:rPr>
        <w:t xml:space="preserve"> or the large-scale disasters that occurred during the summer months, such as the devastating floods in </w:t>
      </w:r>
      <w:r w:rsidR="001C674E">
        <w:rPr>
          <w:noProof/>
        </w:rPr>
        <w:t xml:space="preserve">Burkina Faso, </w:t>
      </w:r>
      <w:r w:rsidR="00D62E28" w:rsidRPr="00E16FAC">
        <w:rPr>
          <w:noProof/>
        </w:rPr>
        <w:t xml:space="preserve">Chad, Honduras or </w:t>
      </w:r>
      <w:r w:rsidR="001C674E">
        <w:rPr>
          <w:noProof/>
        </w:rPr>
        <w:t>Pakistan</w:t>
      </w:r>
      <w:r w:rsidR="00D62E28" w:rsidRPr="00E16FAC">
        <w:rPr>
          <w:noProof/>
        </w:rPr>
        <w:t xml:space="preserve">, are only a few of the many visible examples of </w:t>
      </w:r>
      <w:r w:rsidR="00A92637">
        <w:rPr>
          <w:noProof/>
        </w:rPr>
        <w:t xml:space="preserve">the </w:t>
      </w:r>
      <w:r w:rsidR="00D62E28" w:rsidRPr="00E16FAC">
        <w:rPr>
          <w:noProof/>
        </w:rPr>
        <w:t xml:space="preserve">sustained </w:t>
      </w:r>
      <w:r w:rsidR="00D62E28" w:rsidRPr="003B0CC5">
        <w:rPr>
          <w:noProof/>
        </w:rPr>
        <w:t xml:space="preserve">increase in humanitarian needs. The resources available to support humanitarian action </w:t>
      </w:r>
      <w:r w:rsidR="00946B31" w:rsidRPr="003B0CC5">
        <w:rPr>
          <w:noProof/>
        </w:rPr>
        <w:t>did</w:t>
      </w:r>
      <w:r w:rsidR="00D62E28" w:rsidRPr="003B0CC5">
        <w:rPr>
          <w:noProof/>
        </w:rPr>
        <w:t xml:space="preserve"> not keep up with</w:t>
      </w:r>
      <w:r w:rsidR="00D62E28" w:rsidRPr="008201C1">
        <w:rPr>
          <w:noProof/>
        </w:rPr>
        <w:t xml:space="preserve"> the</w:t>
      </w:r>
      <w:r w:rsidR="00D62E28">
        <w:rPr>
          <w:noProof/>
        </w:rPr>
        <w:t>se</w:t>
      </w:r>
      <w:r w:rsidR="00D62E28" w:rsidRPr="008201C1">
        <w:rPr>
          <w:noProof/>
        </w:rPr>
        <w:t xml:space="preserve"> rapidly-expanding needs – in fact the </w:t>
      </w:r>
      <w:r w:rsidR="00D62E28" w:rsidRPr="008201C1">
        <w:rPr>
          <w:b/>
          <w:bCs/>
          <w:noProof/>
        </w:rPr>
        <w:t>gap between needs and global humanitarian funding widen</w:t>
      </w:r>
      <w:r w:rsidR="00D62E28">
        <w:rPr>
          <w:b/>
          <w:bCs/>
          <w:noProof/>
        </w:rPr>
        <w:t xml:space="preserve">ed </w:t>
      </w:r>
      <w:r w:rsidR="00D62E28" w:rsidRPr="008201C1">
        <w:rPr>
          <w:noProof/>
        </w:rPr>
        <w:t>further in 2022</w:t>
      </w:r>
      <w:r w:rsidR="00A92637">
        <w:rPr>
          <w:noProof/>
        </w:rPr>
        <w:t>,</w:t>
      </w:r>
      <w:r w:rsidR="00D62E28">
        <w:rPr>
          <w:noProof/>
        </w:rPr>
        <w:t xml:space="preserve"> increasing from a USD 11.3 billion difference between requirements and funds mobilised at the end of 202</w:t>
      </w:r>
      <w:r w:rsidR="007C1C40">
        <w:rPr>
          <w:noProof/>
        </w:rPr>
        <w:t>1</w:t>
      </w:r>
      <w:r w:rsidR="00D62E28">
        <w:rPr>
          <w:noProof/>
        </w:rPr>
        <w:t>, to a USD 18.3 billion gap at the end of 2022</w:t>
      </w:r>
      <w:r w:rsidR="00411067" w:rsidRPr="00411067">
        <w:rPr>
          <w:noProof/>
        </w:rPr>
        <w:t> (</w:t>
      </w:r>
      <w:r w:rsidR="00D62E28">
        <w:rPr>
          <w:rStyle w:val="FootnoteReference"/>
          <w:noProof/>
        </w:rPr>
        <w:footnoteReference w:id="6"/>
      </w:r>
      <w:r w:rsidR="00411067">
        <w:rPr>
          <w:noProof/>
        </w:rPr>
        <w:t>)</w:t>
      </w:r>
      <w:r w:rsidR="00D62E28" w:rsidRPr="008201C1">
        <w:rPr>
          <w:noProof/>
        </w:rPr>
        <w:t xml:space="preserve">. </w:t>
      </w:r>
    </w:p>
    <w:p w14:paraId="3FB13432" w14:textId="4A52743D" w:rsidR="00D62E28" w:rsidRDefault="44242E04" w:rsidP="00D62E28">
      <w:pPr>
        <w:rPr>
          <w:noProof/>
        </w:rPr>
      </w:pPr>
      <w:r>
        <w:rPr>
          <w:noProof/>
        </w:rPr>
        <w:t xml:space="preserve">Moreover, </w:t>
      </w:r>
      <w:r w:rsidR="02AEFAB6">
        <w:rPr>
          <w:noProof/>
        </w:rPr>
        <w:t>h</w:t>
      </w:r>
      <w:r w:rsidR="019EE966">
        <w:rPr>
          <w:noProof/>
        </w:rPr>
        <w:t xml:space="preserve">umanitarian assistance is often delivered under very difficult circumstances, characterised by </w:t>
      </w:r>
      <w:r w:rsidR="019EE966" w:rsidRPr="28D15D91">
        <w:rPr>
          <w:b/>
          <w:bCs/>
          <w:noProof/>
        </w:rPr>
        <w:t>unpredictability, volatility and insecurity</w:t>
      </w:r>
      <w:r w:rsidR="019EE966">
        <w:rPr>
          <w:noProof/>
        </w:rPr>
        <w:t xml:space="preserve">. Conflict zones appear and disappear, and are in constant transformation, posing a significant security risk for DG ECHO's field network (50 offices, 160 </w:t>
      </w:r>
      <w:r w:rsidR="0D7B5B4D">
        <w:rPr>
          <w:noProof/>
        </w:rPr>
        <w:t xml:space="preserve">international staff and </w:t>
      </w:r>
      <w:r w:rsidR="019EE966">
        <w:rPr>
          <w:noProof/>
        </w:rPr>
        <w:t xml:space="preserve">300 </w:t>
      </w:r>
      <w:r w:rsidR="32206FCF">
        <w:rPr>
          <w:noProof/>
        </w:rPr>
        <w:t>national staff</w:t>
      </w:r>
      <w:r w:rsidR="019EE966">
        <w:rPr>
          <w:noProof/>
        </w:rPr>
        <w:t xml:space="preserve">) and the staff on mission, </w:t>
      </w:r>
      <w:r w:rsidR="00217E7C">
        <w:rPr>
          <w:noProof/>
        </w:rPr>
        <w:t>and</w:t>
      </w:r>
      <w:r w:rsidR="019EE966">
        <w:rPr>
          <w:noProof/>
        </w:rPr>
        <w:t xml:space="preserve"> hamper</w:t>
      </w:r>
      <w:r w:rsidR="00217E7C">
        <w:rPr>
          <w:noProof/>
        </w:rPr>
        <w:t>ing</w:t>
      </w:r>
      <w:r w:rsidR="019EE966">
        <w:rPr>
          <w:noProof/>
        </w:rPr>
        <w:t xml:space="preserve"> the delivery of humanitarian aid due to restricted or </w:t>
      </w:r>
      <w:r w:rsidR="019EE966" w:rsidRPr="28D15D91">
        <w:rPr>
          <w:b/>
          <w:bCs/>
          <w:noProof/>
        </w:rPr>
        <w:t>denied access</w:t>
      </w:r>
      <w:r w:rsidR="019EE966">
        <w:rPr>
          <w:noProof/>
        </w:rPr>
        <w:t xml:space="preserve"> to the people </w:t>
      </w:r>
      <w:r w:rsidR="00657864">
        <w:rPr>
          <w:noProof/>
        </w:rPr>
        <w:t>in need of humanitarian assistance</w:t>
      </w:r>
      <w:r w:rsidR="00217E7C">
        <w:rPr>
          <w:noProof/>
        </w:rPr>
        <w:t>. This also</w:t>
      </w:r>
      <w:r w:rsidR="019EE966">
        <w:rPr>
          <w:noProof/>
        </w:rPr>
        <w:t xml:space="preserve"> impacts the controls to be performed (i.e. field monitoring of funded actions and on-the-spot audits) as well as</w:t>
      </w:r>
      <w:r w:rsidR="00217E7C">
        <w:rPr>
          <w:noProof/>
        </w:rPr>
        <w:t xml:space="preserve"> the assessments of</w:t>
      </w:r>
      <w:r w:rsidR="019EE966">
        <w:rPr>
          <w:noProof/>
        </w:rPr>
        <w:t xml:space="preserve"> humanitarian needs.</w:t>
      </w:r>
      <w:r w:rsidR="1FA3BC15">
        <w:rPr>
          <w:noProof/>
        </w:rPr>
        <w:t xml:space="preserve"> </w:t>
      </w:r>
      <w:r w:rsidR="342FBE12">
        <w:rPr>
          <w:noProof/>
        </w:rPr>
        <w:t>T</w:t>
      </w:r>
      <w:r w:rsidR="1FA3BC15">
        <w:rPr>
          <w:noProof/>
        </w:rPr>
        <w:t xml:space="preserve">he growing </w:t>
      </w:r>
      <w:r w:rsidR="1FA3BC15" w:rsidRPr="28D15D91">
        <w:rPr>
          <w:b/>
          <w:bCs/>
          <w:noProof/>
        </w:rPr>
        <w:t>violations of International Humanitarian Law</w:t>
      </w:r>
      <w:r w:rsidR="1FA3BC15">
        <w:rPr>
          <w:noProof/>
        </w:rPr>
        <w:t xml:space="preserve"> </w:t>
      </w:r>
      <w:r w:rsidR="00A74063">
        <w:rPr>
          <w:noProof/>
        </w:rPr>
        <w:t>(IHL)</w:t>
      </w:r>
      <w:r w:rsidR="1FA3BC15">
        <w:rPr>
          <w:noProof/>
        </w:rPr>
        <w:t xml:space="preserve"> made the delivery of humanitarian </w:t>
      </w:r>
      <w:r w:rsidR="11CCDDA7">
        <w:rPr>
          <w:noProof/>
        </w:rPr>
        <w:t xml:space="preserve">assistance </w:t>
      </w:r>
      <w:r w:rsidR="1FA3BC15">
        <w:rPr>
          <w:noProof/>
        </w:rPr>
        <w:t>even more difficult and dangerous</w:t>
      </w:r>
      <w:r w:rsidR="100FB1E5">
        <w:rPr>
          <w:noProof/>
        </w:rPr>
        <w:t>.</w:t>
      </w:r>
    </w:p>
    <w:p w14:paraId="181370D4" w14:textId="1E1F1C31" w:rsidR="00D62E28" w:rsidRDefault="00D62E28" w:rsidP="00D62E28">
      <w:pPr>
        <w:rPr>
          <w:noProof/>
        </w:rPr>
      </w:pPr>
      <w:r>
        <w:rPr>
          <w:noProof/>
        </w:rPr>
        <w:t>Despite these</w:t>
      </w:r>
      <w:r w:rsidRPr="00E16FAC">
        <w:rPr>
          <w:b/>
          <w:noProof/>
        </w:rPr>
        <w:t xml:space="preserve"> challenges</w:t>
      </w:r>
      <w:r>
        <w:rPr>
          <w:noProof/>
        </w:rPr>
        <w:t xml:space="preserve">, DG ECHO </w:t>
      </w:r>
      <w:r w:rsidRPr="00E16FAC">
        <w:rPr>
          <w:b/>
          <w:noProof/>
        </w:rPr>
        <w:t>managed to reach its objectives</w:t>
      </w:r>
      <w:r>
        <w:rPr>
          <w:noProof/>
        </w:rPr>
        <w:t>, in line with the priorities and key actions outlined in the Commission Communication on the</w:t>
      </w:r>
      <w:r w:rsidRPr="00E16FAC">
        <w:rPr>
          <w:noProof/>
        </w:rPr>
        <w:t xml:space="preserve"> EU’s Humanitarian Action</w:t>
      </w:r>
      <w:r w:rsidRPr="00E16FAC">
        <w:rPr>
          <w:b/>
          <w:noProof/>
        </w:rPr>
        <w:t xml:space="preserve"> </w:t>
      </w:r>
      <w:r w:rsidRPr="00E16FAC">
        <w:rPr>
          <w:noProof/>
        </w:rPr>
        <w:t xml:space="preserve">‘New challenges, same principles’ </w:t>
      </w:r>
      <w:r>
        <w:rPr>
          <w:noProof/>
        </w:rPr>
        <w:t>adopted in March 2021</w:t>
      </w:r>
      <w:r w:rsidR="00411067" w:rsidRPr="00411067">
        <w:rPr>
          <w:noProof/>
        </w:rPr>
        <w:t> (</w:t>
      </w:r>
      <w:r w:rsidRPr="00C45AF4">
        <w:rPr>
          <w:noProof/>
          <w:vertAlign w:val="superscript"/>
        </w:rPr>
        <w:footnoteReference w:id="7"/>
      </w:r>
      <w:r w:rsidR="00411067">
        <w:rPr>
          <w:noProof/>
        </w:rPr>
        <w:t>)</w:t>
      </w:r>
      <w:r>
        <w:rPr>
          <w:noProof/>
        </w:rPr>
        <w:t>. The</w:t>
      </w:r>
      <w:r w:rsidRPr="00C45AF4">
        <w:rPr>
          <w:b/>
          <w:bCs/>
          <w:noProof/>
        </w:rPr>
        <w:t xml:space="preserve"> EU</w:t>
      </w:r>
      <w:r w:rsidRPr="00E16FAC">
        <w:rPr>
          <w:noProof/>
        </w:rPr>
        <w:t xml:space="preserve"> </w:t>
      </w:r>
      <w:r w:rsidRPr="00E16FAC">
        <w:rPr>
          <w:b/>
          <w:noProof/>
        </w:rPr>
        <w:t>remained a key global humanitarian donor</w:t>
      </w:r>
      <w:r w:rsidRPr="00E16FAC">
        <w:rPr>
          <w:noProof/>
        </w:rPr>
        <w:t xml:space="preserve">, providing humanitarian assistance in 83 countries, </w:t>
      </w:r>
      <w:r>
        <w:rPr>
          <w:noProof/>
        </w:rPr>
        <w:t>in a principled and needs-based manner, covering an 8.2% share of the total funding mobilised in the global humanitarian system</w:t>
      </w:r>
      <w:r w:rsidR="00411067" w:rsidRPr="00411067">
        <w:rPr>
          <w:noProof/>
        </w:rPr>
        <w:t> (</w:t>
      </w:r>
      <w:r>
        <w:rPr>
          <w:rStyle w:val="FootnoteReference"/>
          <w:noProof/>
        </w:rPr>
        <w:footnoteReference w:id="8"/>
      </w:r>
      <w:r w:rsidR="00411067">
        <w:rPr>
          <w:noProof/>
        </w:rPr>
        <w:t>)</w:t>
      </w:r>
      <w:r>
        <w:rPr>
          <w:noProof/>
        </w:rPr>
        <w:t xml:space="preserve">. </w:t>
      </w:r>
      <w:r w:rsidR="00217E7C">
        <w:rPr>
          <w:noProof/>
        </w:rPr>
        <w:t xml:space="preserve">The EU </w:t>
      </w:r>
      <w:r w:rsidRPr="00474D62">
        <w:rPr>
          <w:noProof/>
        </w:rPr>
        <w:t>aims to ensure that funding is available to assist as many people in need in the greatest number of countries as possible</w:t>
      </w:r>
      <w:r>
        <w:rPr>
          <w:noProof/>
        </w:rPr>
        <w:t xml:space="preserve">, and that a swift, efficient and comprehensive response is provided. </w:t>
      </w:r>
    </w:p>
    <w:p w14:paraId="3CDC35D4" w14:textId="6C004301" w:rsidR="00D62E28" w:rsidRDefault="00D62E28" w:rsidP="00EE7768">
      <w:pPr>
        <w:rPr>
          <w:rFonts w:eastAsia="EC Square Sans Pro" w:cs="EC Square Sans Pro"/>
          <w:noProof/>
        </w:rPr>
      </w:pPr>
      <w:r w:rsidRPr="3E7D956B">
        <w:rPr>
          <w:rFonts w:eastAsia="EC Square Sans Pro" w:cs="EC Square Sans Pro"/>
          <w:noProof/>
        </w:rPr>
        <w:t xml:space="preserve">The final </w:t>
      </w:r>
      <w:r w:rsidRPr="3E7D956B">
        <w:rPr>
          <w:rFonts w:eastAsia="EC Square Sans Pro" w:cs="EC Square Sans Pro"/>
          <w:b/>
          <w:bCs/>
          <w:noProof/>
        </w:rPr>
        <w:t>2022 humanitarian budget</w:t>
      </w:r>
      <w:r w:rsidRPr="3E7D956B">
        <w:rPr>
          <w:rFonts w:eastAsia="EC Square Sans Pro" w:cs="EC Square Sans Pro"/>
          <w:noProof/>
        </w:rPr>
        <w:t xml:space="preserve"> amounted to </w:t>
      </w:r>
      <w:r w:rsidRPr="3E7D956B">
        <w:rPr>
          <w:rFonts w:eastAsia="EC Square Sans Pro" w:cs="EC Square Sans Pro"/>
          <w:b/>
          <w:bCs/>
          <w:noProof/>
        </w:rPr>
        <w:t>EUR 2</w:t>
      </w:r>
      <w:r w:rsidR="347B06E9" w:rsidRPr="3E7D956B">
        <w:rPr>
          <w:rFonts w:eastAsia="EC Square Sans Pro" w:cs="EC Square Sans Pro"/>
          <w:b/>
          <w:bCs/>
          <w:noProof/>
        </w:rPr>
        <w:t>.</w:t>
      </w:r>
      <w:r w:rsidRPr="3E7D956B">
        <w:rPr>
          <w:rFonts w:eastAsia="EC Square Sans Pro" w:cs="EC Square Sans Pro"/>
          <w:b/>
          <w:bCs/>
          <w:noProof/>
        </w:rPr>
        <w:t xml:space="preserve">6 </w:t>
      </w:r>
      <w:r w:rsidR="6DB8AA8E" w:rsidRPr="3E7D956B">
        <w:rPr>
          <w:rFonts w:eastAsia="EC Square Sans Pro" w:cs="EC Square Sans Pro"/>
          <w:b/>
          <w:bCs/>
          <w:noProof/>
        </w:rPr>
        <w:t>b</w:t>
      </w:r>
      <w:r w:rsidRPr="3E7D956B">
        <w:rPr>
          <w:rFonts w:eastAsia="EC Square Sans Pro" w:cs="EC Square Sans Pro"/>
          <w:b/>
          <w:bCs/>
          <w:noProof/>
        </w:rPr>
        <w:t>illion</w:t>
      </w:r>
      <w:r w:rsidRPr="3E7D956B">
        <w:rPr>
          <w:rFonts w:eastAsia="EC Square Sans Pro" w:cs="EC Square Sans Pro"/>
          <w:noProof/>
        </w:rPr>
        <w:t xml:space="preserve">, enabling DG ECHO to intervene not only in large-scale humanitarian crises – like Ukraine, Syria, Afghanistan or </w:t>
      </w:r>
      <w:r w:rsidRPr="00EE7768">
        <w:rPr>
          <w:noProof/>
        </w:rPr>
        <w:t>Ethiopia</w:t>
      </w:r>
      <w:r w:rsidRPr="3E7D956B">
        <w:rPr>
          <w:rFonts w:eastAsia="EC Square Sans Pro" w:cs="EC Square Sans Pro"/>
          <w:noProof/>
        </w:rPr>
        <w:t xml:space="preserve"> – but also in forgotten</w:t>
      </w:r>
      <w:r w:rsidR="006028C3">
        <w:rPr>
          <w:rFonts w:eastAsia="EC Square Sans Pro" w:cs="EC Square Sans Pro"/>
          <w:noProof/>
        </w:rPr>
        <w:t xml:space="preserve">/neglected </w:t>
      </w:r>
      <w:r w:rsidRPr="3E7D956B">
        <w:rPr>
          <w:rFonts w:eastAsia="EC Square Sans Pro" w:cs="EC Square Sans Pro"/>
          <w:noProof/>
        </w:rPr>
        <w:t>crises, i.e. those of severe and protracted character that do not attract media attention, and where the level of international aid to affected populations is insufficient</w:t>
      </w:r>
      <w:r w:rsidR="00946B31">
        <w:rPr>
          <w:rFonts w:eastAsia="EC Square Sans Pro" w:cs="EC Square Sans Pro"/>
          <w:noProof/>
        </w:rPr>
        <w:t xml:space="preserve">, such </w:t>
      </w:r>
      <w:bookmarkStart w:id="6" w:name="_Hlk136941588"/>
      <w:r w:rsidR="009B4162">
        <w:rPr>
          <w:rFonts w:eastAsia="EC Square Sans Pro" w:cs="EC Square Sans Pro"/>
          <w:noProof/>
        </w:rPr>
        <w:t>as</w:t>
      </w:r>
      <w:r w:rsidR="00CF5CC4">
        <w:rPr>
          <w:rFonts w:eastAsia="EC Square Sans Pro" w:cs="EC Square Sans Pro"/>
          <w:noProof/>
        </w:rPr>
        <w:t xml:space="preserve"> </w:t>
      </w:r>
      <w:r w:rsidR="00946B31">
        <w:rPr>
          <w:rFonts w:eastAsia="EC Square Sans Pro" w:cs="EC Square Sans Pro"/>
          <w:noProof/>
        </w:rPr>
        <w:t xml:space="preserve">in </w:t>
      </w:r>
      <w:r w:rsidR="00CF5CC4">
        <w:rPr>
          <w:rFonts w:eastAsia="EC Square Sans Pro" w:cs="EC Square Sans Pro"/>
          <w:noProof/>
        </w:rPr>
        <w:t>Haiti</w:t>
      </w:r>
      <w:r w:rsidR="00946B31">
        <w:rPr>
          <w:rFonts w:eastAsia="EC Square Sans Pro" w:cs="EC Square Sans Pro"/>
          <w:noProof/>
        </w:rPr>
        <w:t xml:space="preserve"> or</w:t>
      </w:r>
      <w:r w:rsidR="00CF5CC4">
        <w:rPr>
          <w:rFonts w:eastAsia="EC Square Sans Pro" w:cs="EC Square Sans Pro"/>
          <w:noProof/>
        </w:rPr>
        <w:t xml:space="preserve"> the Roh</w:t>
      </w:r>
      <w:r w:rsidR="00520B9C">
        <w:rPr>
          <w:rFonts w:eastAsia="EC Square Sans Pro" w:cs="EC Square Sans Pro"/>
          <w:noProof/>
        </w:rPr>
        <w:t>i</w:t>
      </w:r>
      <w:r w:rsidR="00CF5CC4">
        <w:rPr>
          <w:rFonts w:eastAsia="EC Square Sans Pro" w:cs="EC Square Sans Pro"/>
          <w:noProof/>
        </w:rPr>
        <w:t>ng</w:t>
      </w:r>
      <w:r w:rsidR="00520B9C">
        <w:rPr>
          <w:rFonts w:eastAsia="EC Square Sans Pro" w:cs="EC Square Sans Pro"/>
          <w:noProof/>
        </w:rPr>
        <w:t>y</w:t>
      </w:r>
      <w:r w:rsidR="00CF5CC4">
        <w:rPr>
          <w:rFonts w:eastAsia="EC Square Sans Pro" w:cs="EC Square Sans Pro"/>
          <w:noProof/>
        </w:rPr>
        <w:t>a</w:t>
      </w:r>
      <w:r w:rsidR="009B4162">
        <w:rPr>
          <w:rFonts w:eastAsia="EC Square Sans Pro" w:cs="EC Square Sans Pro"/>
          <w:noProof/>
        </w:rPr>
        <w:t xml:space="preserve"> crisis</w:t>
      </w:r>
      <w:bookmarkEnd w:id="6"/>
      <w:r w:rsidR="00946B31">
        <w:rPr>
          <w:rFonts w:eastAsia="EC Square Sans Pro" w:cs="EC Square Sans Pro"/>
          <w:noProof/>
        </w:rPr>
        <w:t>.</w:t>
      </w:r>
    </w:p>
    <w:p w14:paraId="6709E46C" w14:textId="78111F27" w:rsidR="00D62E28" w:rsidRDefault="7364D44A" w:rsidP="003B0CC5">
      <w:pPr>
        <w:rPr>
          <w:rFonts w:eastAsia="EC Square Sans Pro" w:cs="EC Square Sans Pro"/>
          <w:noProof/>
        </w:rPr>
      </w:pPr>
      <w:r w:rsidRPr="31506541">
        <w:rPr>
          <w:rFonts w:eastAsia="EC Square Sans Pro" w:cs="EC Square Sans Pro"/>
          <w:noProof/>
        </w:rPr>
        <w:t xml:space="preserve">The initial 2022 humanitarian budget </w:t>
      </w:r>
      <w:r w:rsidR="44301C8F" w:rsidRPr="31506541">
        <w:rPr>
          <w:rFonts w:eastAsia="EC Square Sans Pro" w:cs="EC Square Sans Pro"/>
          <w:noProof/>
        </w:rPr>
        <w:t>was set at</w:t>
      </w:r>
      <w:r w:rsidRPr="31506541">
        <w:rPr>
          <w:rFonts w:eastAsia="EC Square Sans Pro" w:cs="EC Square Sans Pro"/>
          <w:noProof/>
        </w:rPr>
        <w:t xml:space="preserve"> EUR 1 794.4 million</w:t>
      </w:r>
      <w:r w:rsidR="00CB09F2" w:rsidRPr="00CB09F2">
        <w:rPr>
          <w:rFonts w:eastAsia="EC Square Sans Pro"/>
          <w:noProof/>
        </w:rPr>
        <w:t> </w:t>
      </w:r>
      <w:r w:rsidR="00411067" w:rsidRPr="00411067">
        <w:rPr>
          <w:rFonts w:eastAsia="EC Square Sans Pro"/>
          <w:noProof/>
        </w:rPr>
        <w:t>(</w:t>
      </w:r>
      <w:r w:rsidRPr="00063C9A">
        <w:rPr>
          <w:rFonts w:eastAsia="EC Square Sans Pro" w:cs="EC Square Sans Pro"/>
          <w:noProof/>
          <w:vertAlign w:val="superscript"/>
        </w:rPr>
        <w:footnoteReference w:id="9"/>
      </w:r>
      <w:r w:rsidR="00411067">
        <w:rPr>
          <w:rFonts w:eastAsia="EC Square Sans Pro"/>
          <w:noProof/>
        </w:rPr>
        <w:t>)</w:t>
      </w:r>
      <w:r w:rsidRPr="31506541">
        <w:rPr>
          <w:rFonts w:eastAsia="EC Square Sans Pro" w:cs="EC Square Sans Pro"/>
          <w:noProof/>
        </w:rPr>
        <w:t xml:space="preserve"> (including </w:t>
      </w:r>
      <w:r w:rsidR="00D22E89">
        <w:rPr>
          <w:rFonts w:eastAsia="EC Square Sans Pro" w:cs="EC Square Sans Pro"/>
          <w:noProof/>
        </w:rPr>
        <w:t xml:space="preserve">a </w:t>
      </w:r>
      <w:r w:rsidRPr="31506541">
        <w:rPr>
          <w:rFonts w:eastAsia="EC Square Sans Pro" w:cs="EC Square Sans Pro"/>
          <w:noProof/>
        </w:rPr>
        <w:t xml:space="preserve">frontload from </w:t>
      </w:r>
      <w:r w:rsidR="109CC71B" w:rsidRPr="31506541">
        <w:rPr>
          <w:rFonts w:eastAsia="EC Square Sans Pro" w:cs="EC Square Sans Pro"/>
          <w:noProof/>
        </w:rPr>
        <w:t xml:space="preserve">the </w:t>
      </w:r>
      <w:r w:rsidR="006028C3" w:rsidRPr="35F9A81C">
        <w:rPr>
          <w:rFonts w:eastAsia="EC Square Sans Pro"/>
          <w:noProof/>
        </w:rPr>
        <w:t>Solidarity and Emergency Aid Reserve (</w:t>
      </w:r>
      <w:r w:rsidRPr="31506541">
        <w:rPr>
          <w:rFonts w:eastAsia="EC Square Sans Pro" w:cs="EC Square Sans Pro"/>
          <w:noProof/>
        </w:rPr>
        <w:t>SEAR</w:t>
      </w:r>
      <w:r w:rsidR="006028C3">
        <w:rPr>
          <w:rFonts w:eastAsia="EC Square Sans Pro" w:cs="EC Square Sans Pro"/>
          <w:noProof/>
        </w:rPr>
        <w:t>)</w:t>
      </w:r>
      <w:r w:rsidRPr="31506541">
        <w:rPr>
          <w:rFonts w:eastAsia="EC Square Sans Pro" w:cs="EC Square Sans Pro"/>
          <w:noProof/>
        </w:rPr>
        <w:t xml:space="preserve"> of EUR 211 million). Several budget reinforcements were received throughout the year, originat</w:t>
      </w:r>
      <w:r w:rsidR="00946B31">
        <w:rPr>
          <w:rFonts w:eastAsia="EC Square Sans Pro" w:cs="EC Square Sans Pro"/>
          <w:noProof/>
        </w:rPr>
        <w:t>ing</w:t>
      </w:r>
      <w:r w:rsidRPr="31506541">
        <w:rPr>
          <w:rFonts w:eastAsia="EC Square Sans Pro" w:cs="EC Square Sans Pro"/>
          <w:noProof/>
        </w:rPr>
        <w:t xml:space="preserve"> from the </w:t>
      </w:r>
      <w:r w:rsidR="00217E7C">
        <w:rPr>
          <w:rFonts w:eastAsia="EC Square Sans Pro" w:cs="EC Square Sans Pro"/>
          <w:noProof/>
        </w:rPr>
        <w:t>following sources:</w:t>
      </w:r>
    </w:p>
    <w:p w14:paraId="018CFE58" w14:textId="2649A8C6" w:rsidR="00D62E28" w:rsidRPr="003C09BF" w:rsidRDefault="00D62E28" w:rsidP="35F9A81C">
      <w:pPr>
        <w:pStyle w:val="ListParagraph"/>
        <w:numPr>
          <w:ilvl w:val="0"/>
          <w:numId w:val="31"/>
        </w:numPr>
        <w:spacing w:after="240" w:line="240" w:lineRule="auto"/>
        <w:ind w:left="714" w:hanging="357"/>
        <w:jc w:val="both"/>
        <w:rPr>
          <w:rFonts w:ascii="Times New Roman" w:eastAsia="EC Square Sans Pro" w:hAnsi="Times New Roman" w:cs="Times New Roman"/>
          <w:noProof/>
          <w:sz w:val="24"/>
          <w:szCs w:val="24"/>
        </w:rPr>
      </w:pPr>
      <w:r w:rsidRPr="003C09BF">
        <w:rPr>
          <w:rFonts w:ascii="Times New Roman" w:eastAsia="EC Square Sans Pro" w:hAnsi="Times New Roman" w:cs="Times New Roman"/>
          <w:noProof/>
          <w:sz w:val="24"/>
          <w:szCs w:val="24"/>
        </w:rPr>
        <w:t>SEAR to cover several crises, including Ukraine and the worldwide deterioration of food insecurity (EUR 539 million)</w:t>
      </w:r>
      <w:r w:rsidR="00CB09F2" w:rsidRPr="00CB09F2">
        <w:rPr>
          <w:rFonts w:ascii="Times New Roman" w:eastAsia="EC Square Sans Pro" w:hAnsi="Times New Roman" w:cs="Times New Roman"/>
          <w:noProof/>
          <w:sz w:val="24"/>
          <w:szCs w:val="24"/>
        </w:rPr>
        <w:t> </w:t>
      </w:r>
      <w:r w:rsidR="00411067" w:rsidRPr="00411067">
        <w:rPr>
          <w:rFonts w:ascii="Times New Roman" w:eastAsia="EC Square Sans Pro" w:hAnsi="Times New Roman" w:cs="Times New Roman"/>
          <w:noProof/>
          <w:sz w:val="24"/>
          <w:szCs w:val="24"/>
        </w:rPr>
        <w:t>(</w:t>
      </w:r>
      <w:r w:rsidR="00CB09F2">
        <w:rPr>
          <w:rStyle w:val="FootnoteReference"/>
          <w:rFonts w:ascii="Times New Roman" w:eastAsia="EC Square Sans Pro" w:hAnsi="Times New Roman" w:cs="Times New Roman"/>
          <w:noProof/>
          <w:sz w:val="24"/>
          <w:szCs w:val="24"/>
        </w:rPr>
        <w:footnoteReference w:id="10"/>
      </w:r>
      <w:r w:rsidR="00411067">
        <w:rPr>
          <w:rFonts w:ascii="Times New Roman" w:eastAsia="EC Square Sans Pro" w:hAnsi="Times New Roman" w:cs="Times New Roman"/>
          <w:noProof/>
          <w:sz w:val="24"/>
          <w:szCs w:val="24"/>
        </w:rPr>
        <w:t>)</w:t>
      </w:r>
      <w:r w:rsidRPr="003C09BF">
        <w:rPr>
          <w:rFonts w:ascii="Times New Roman" w:eastAsia="EC Square Sans Pro" w:hAnsi="Times New Roman" w:cs="Times New Roman"/>
          <w:noProof/>
          <w:sz w:val="24"/>
          <w:szCs w:val="24"/>
        </w:rPr>
        <w:t>;</w:t>
      </w:r>
    </w:p>
    <w:p w14:paraId="19063A28" w14:textId="1D7BECB3" w:rsidR="00D62E28" w:rsidRPr="003C09BF" w:rsidRDefault="00D62E28" w:rsidP="007E741B">
      <w:pPr>
        <w:pStyle w:val="ListParagraph"/>
        <w:numPr>
          <w:ilvl w:val="0"/>
          <w:numId w:val="31"/>
        </w:numPr>
        <w:spacing w:after="0" w:line="240" w:lineRule="auto"/>
        <w:ind w:left="714" w:hanging="357"/>
        <w:contextualSpacing w:val="0"/>
        <w:jc w:val="both"/>
        <w:rPr>
          <w:rFonts w:ascii="Times New Roman" w:eastAsia="EC Square Sans Pro" w:hAnsi="Times New Roman" w:cs="Times New Roman"/>
          <w:noProof/>
          <w:sz w:val="24"/>
          <w:szCs w:val="24"/>
        </w:rPr>
      </w:pPr>
      <w:r w:rsidRPr="003C09BF">
        <w:rPr>
          <w:rFonts w:ascii="Times New Roman" w:eastAsia="EC Square Sans Pro" w:hAnsi="Times New Roman" w:cs="Times New Roman"/>
          <w:noProof/>
          <w:sz w:val="24"/>
          <w:szCs w:val="24"/>
        </w:rPr>
        <w:t>Redeployments from Heading VI instruments to cater for the needs</w:t>
      </w:r>
      <w:r w:rsidR="00931C63">
        <w:rPr>
          <w:rFonts w:ascii="Times New Roman" w:eastAsia="EC Square Sans Pro" w:hAnsi="Times New Roman" w:cs="Times New Roman"/>
          <w:noProof/>
          <w:sz w:val="24"/>
          <w:szCs w:val="24"/>
        </w:rPr>
        <w:t xml:space="preserve"> due to the </w:t>
      </w:r>
      <w:r w:rsidR="006028C3">
        <w:rPr>
          <w:rFonts w:ascii="Times New Roman" w:eastAsia="EC Square Sans Pro" w:hAnsi="Times New Roman" w:cs="Times New Roman"/>
          <w:noProof/>
          <w:sz w:val="24"/>
          <w:szCs w:val="24"/>
        </w:rPr>
        <w:t xml:space="preserve">Russia’s </w:t>
      </w:r>
      <w:r w:rsidR="00931C63">
        <w:rPr>
          <w:rFonts w:ascii="Times New Roman" w:eastAsia="EC Square Sans Pro" w:hAnsi="Times New Roman" w:cs="Times New Roman"/>
          <w:noProof/>
          <w:sz w:val="24"/>
          <w:szCs w:val="24"/>
        </w:rPr>
        <w:t>war</w:t>
      </w:r>
      <w:r w:rsidRPr="003C09BF">
        <w:rPr>
          <w:rFonts w:ascii="Times New Roman" w:eastAsia="EC Square Sans Pro" w:hAnsi="Times New Roman" w:cs="Times New Roman"/>
          <w:noProof/>
          <w:sz w:val="24"/>
          <w:szCs w:val="24"/>
        </w:rPr>
        <w:t xml:space="preserve"> </w:t>
      </w:r>
      <w:r w:rsidR="00EE7768">
        <w:rPr>
          <w:rFonts w:ascii="Times New Roman" w:eastAsia="EC Square Sans Pro" w:hAnsi="Times New Roman" w:cs="Times New Roman"/>
          <w:noProof/>
          <w:sz w:val="24"/>
          <w:szCs w:val="24"/>
        </w:rPr>
        <w:t>of aggression against</w:t>
      </w:r>
      <w:r w:rsidRPr="003C09BF">
        <w:rPr>
          <w:rFonts w:ascii="Times New Roman" w:eastAsia="EC Square Sans Pro" w:hAnsi="Times New Roman" w:cs="Times New Roman"/>
          <w:noProof/>
          <w:sz w:val="24"/>
          <w:szCs w:val="24"/>
        </w:rPr>
        <w:t xml:space="preserve"> Ukraine and </w:t>
      </w:r>
      <w:r w:rsidR="00931C63">
        <w:rPr>
          <w:rFonts w:ascii="Times New Roman" w:eastAsia="EC Square Sans Pro" w:hAnsi="Times New Roman" w:cs="Times New Roman"/>
          <w:noProof/>
          <w:sz w:val="24"/>
          <w:szCs w:val="24"/>
        </w:rPr>
        <w:t xml:space="preserve">its </w:t>
      </w:r>
      <w:r w:rsidRPr="003C09BF">
        <w:rPr>
          <w:rFonts w:ascii="Times New Roman" w:eastAsia="EC Square Sans Pro" w:hAnsi="Times New Roman" w:cs="Times New Roman"/>
          <w:noProof/>
          <w:sz w:val="24"/>
          <w:szCs w:val="24"/>
        </w:rPr>
        <w:t xml:space="preserve">cascading effects (EUR 134.8 million); </w:t>
      </w:r>
    </w:p>
    <w:p w14:paraId="617F7348" w14:textId="0B2D6B9E" w:rsidR="003B07BD" w:rsidRDefault="7364D44A" w:rsidP="003B07BD">
      <w:pPr>
        <w:pStyle w:val="ListParagraph"/>
        <w:numPr>
          <w:ilvl w:val="0"/>
          <w:numId w:val="31"/>
        </w:numPr>
        <w:spacing w:after="240" w:line="240" w:lineRule="auto"/>
        <w:ind w:left="714" w:hanging="357"/>
        <w:jc w:val="both"/>
        <w:rPr>
          <w:rFonts w:ascii="Times New Roman" w:eastAsia="EC Square Sans Pro" w:hAnsi="Times New Roman" w:cs="Times New Roman"/>
          <w:noProof/>
          <w:sz w:val="24"/>
          <w:szCs w:val="24"/>
        </w:rPr>
      </w:pPr>
      <w:r w:rsidRPr="274B8BBE">
        <w:rPr>
          <w:rFonts w:ascii="Times New Roman" w:eastAsia="EC Square Sans Pro" w:hAnsi="Times New Roman" w:cs="Times New Roman"/>
          <w:i/>
          <w:iCs/>
          <w:noProof/>
          <w:sz w:val="24"/>
          <w:szCs w:val="24"/>
        </w:rPr>
        <w:t>Virement Aide Humanitaire</w:t>
      </w:r>
      <w:r w:rsidRPr="274B8BBE">
        <w:rPr>
          <w:rFonts w:ascii="Times New Roman" w:eastAsia="EC Square Sans Pro" w:hAnsi="Times New Roman" w:cs="Times New Roman"/>
          <w:noProof/>
          <w:sz w:val="24"/>
          <w:szCs w:val="24"/>
        </w:rPr>
        <w:t xml:space="preserve"> (VAH - Art 30</w:t>
      </w:r>
      <w:r w:rsidR="73C85B3C" w:rsidRPr="274B8BBE">
        <w:rPr>
          <w:rFonts w:ascii="Times New Roman" w:eastAsia="EC Square Sans Pro" w:hAnsi="Times New Roman" w:cs="Times New Roman"/>
          <w:noProof/>
          <w:sz w:val="24"/>
          <w:szCs w:val="24"/>
        </w:rPr>
        <w:t>(</w:t>
      </w:r>
      <w:r w:rsidRPr="274B8BBE">
        <w:rPr>
          <w:rFonts w:ascii="Times New Roman" w:eastAsia="EC Square Sans Pro" w:hAnsi="Times New Roman" w:cs="Times New Roman"/>
          <w:noProof/>
          <w:sz w:val="24"/>
          <w:szCs w:val="24"/>
        </w:rPr>
        <w:t>2</w:t>
      </w:r>
      <w:r w:rsidR="537B37B9" w:rsidRPr="274B8BBE">
        <w:rPr>
          <w:rFonts w:ascii="Times New Roman" w:eastAsia="EC Square Sans Pro" w:hAnsi="Times New Roman" w:cs="Times New Roman"/>
          <w:noProof/>
          <w:sz w:val="24"/>
          <w:szCs w:val="24"/>
        </w:rPr>
        <w:t>)</w:t>
      </w:r>
      <w:r w:rsidRPr="274B8BBE">
        <w:rPr>
          <w:rFonts w:ascii="Times New Roman" w:eastAsia="EC Square Sans Pro" w:hAnsi="Times New Roman" w:cs="Times New Roman"/>
          <w:noProof/>
          <w:sz w:val="24"/>
          <w:szCs w:val="24"/>
        </w:rPr>
        <w:t xml:space="preserve"> FR); allocated for the Democratic Republic of the Congo</w:t>
      </w:r>
      <w:r w:rsidR="0516BAAD" w:rsidRPr="274B8BBE">
        <w:rPr>
          <w:rFonts w:ascii="Times New Roman" w:eastAsia="EC Square Sans Pro" w:hAnsi="Times New Roman" w:cs="Times New Roman"/>
          <w:noProof/>
          <w:sz w:val="24"/>
          <w:szCs w:val="24"/>
        </w:rPr>
        <w:t xml:space="preserve"> (DRC)</w:t>
      </w:r>
      <w:r w:rsidRPr="274B8BBE">
        <w:rPr>
          <w:rFonts w:ascii="Times New Roman" w:eastAsia="EC Square Sans Pro" w:hAnsi="Times New Roman" w:cs="Times New Roman"/>
          <w:noProof/>
          <w:sz w:val="24"/>
          <w:szCs w:val="24"/>
        </w:rPr>
        <w:t xml:space="preserve"> (EUR 2.3 million);</w:t>
      </w:r>
      <w:r w:rsidR="003B07BD" w:rsidRPr="274B8BBE">
        <w:rPr>
          <w:rFonts w:ascii="Times New Roman" w:eastAsia="EC Square Sans Pro" w:hAnsi="Times New Roman" w:cs="Times New Roman"/>
          <w:noProof/>
          <w:sz w:val="24"/>
          <w:szCs w:val="24"/>
        </w:rPr>
        <w:t xml:space="preserve"> </w:t>
      </w:r>
    </w:p>
    <w:p w14:paraId="05D63432" w14:textId="5E6A0A34" w:rsidR="00D62E28" w:rsidRPr="003C09BF" w:rsidRDefault="003B07BD" w:rsidP="003B0CC5">
      <w:pPr>
        <w:pStyle w:val="ListParagraph"/>
        <w:numPr>
          <w:ilvl w:val="0"/>
          <w:numId w:val="31"/>
        </w:numPr>
        <w:spacing w:after="240" w:line="240" w:lineRule="auto"/>
        <w:ind w:left="714" w:hanging="357"/>
        <w:contextualSpacing w:val="0"/>
        <w:jc w:val="both"/>
        <w:rPr>
          <w:rFonts w:ascii="Times New Roman" w:eastAsia="EC Square Sans Pro" w:hAnsi="Times New Roman" w:cs="Times New Roman"/>
          <w:noProof/>
          <w:sz w:val="24"/>
          <w:szCs w:val="24"/>
        </w:rPr>
      </w:pPr>
      <w:r w:rsidRPr="003B07BD">
        <w:rPr>
          <w:rFonts w:ascii="Times New Roman" w:eastAsia="EC Square Sans Pro" w:hAnsi="Times New Roman" w:cs="Times New Roman"/>
          <w:noProof/>
          <w:sz w:val="24"/>
          <w:szCs w:val="24"/>
        </w:rPr>
        <w:t>European Development Fund (EUR 145.5 million)</w:t>
      </w:r>
      <w:r w:rsidR="00411067" w:rsidRPr="00411067">
        <w:rPr>
          <w:rFonts w:ascii="Times New Roman" w:eastAsia="EC Square Sans Pro" w:hAnsi="Times New Roman" w:cs="Times New Roman"/>
          <w:noProof/>
          <w:sz w:val="24"/>
          <w:szCs w:val="24"/>
        </w:rPr>
        <w:t> (</w:t>
      </w:r>
      <w:r w:rsidR="005B5A90">
        <w:rPr>
          <w:rStyle w:val="FootnoteReference"/>
          <w:rFonts w:ascii="Times New Roman" w:eastAsia="EC Square Sans Pro" w:hAnsi="Times New Roman" w:cs="Times New Roman"/>
          <w:noProof/>
          <w:sz w:val="24"/>
          <w:szCs w:val="24"/>
        </w:rPr>
        <w:footnoteReference w:id="11"/>
      </w:r>
      <w:r w:rsidR="00411067">
        <w:rPr>
          <w:rFonts w:ascii="Times New Roman" w:eastAsia="EC Square Sans Pro" w:hAnsi="Times New Roman" w:cs="Times New Roman"/>
          <w:noProof/>
          <w:sz w:val="24"/>
          <w:szCs w:val="24"/>
        </w:rPr>
        <w:t>)</w:t>
      </w:r>
      <w:r w:rsidRPr="003B07BD">
        <w:rPr>
          <w:rFonts w:ascii="Times New Roman" w:eastAsia="EC Square Sans Pro" w:hAnsi="Times New Roman" w:cs="Times New Roman"/>
          <w:noProof/>
          <w:sz w:val="24"/>
          <w:szCs w:val="24"/>
        </w:rPr>
        <w:t xml:space="preserve">; </w:t>
      </w:r>
      <w:r w:rsidR="3C6BD201" w:rsidRPr="00BC144D">
        <w:rPr>
          <w:rFonts w:ascii="Times New Roman" w:eastAsia="EC Square Sans Pro" w:hAnsi="Times New Roman" w:cs="Times New Roman"/>
          <w:noProof/>
          <w:sz w:val="24"/>
          <w:szCs w:val="24"/>
        </w:rPr>
        <w:t>R</w:t>
      </w:r>
      <w:r w:rsidR="1AD6CCD0" w:rsidRPr="00BC144D">
        <w:rPr>
          <w:rFonts w:ascii="Times New Roman" w:eastAsia="EC Square Sans Pro" w:hAnsi="Times New Roman" w:cs="Times New Roman"/>
          <w:noProof/>
          <w:sz w:val="24"/>
          <w:szCs w:val="24"/>
        </w:rPr>
        <w:t>e-assigned revenue</w:t>
      </w:r>
      <w:r w:rsidR="1AD6CCD0" w:rsidRPr="0983929D">
        <w:rPr>
          <w:rFonts w:ascii="Times New Roman" w:eastAsia="EC Square Sans Pro" w:hAnsi="Times New Roman" w:cs="Times New Roman"/>
          <w:noProof/>
          <w:sz w:val="24"/>
          <w:szCs w:val="24"/>
        </w:rPr>
        <w:t xml:space="preserve"> (EUR 3.8 million).</w:t>
      </w:r>
    </w:p>
    <w:p w14:paraId="7753DABD" w14:textId="1A15DD4B" w:rsidR="00D62E28" w:rsidRDefault="7364D44A" w:rsidP="00D62E28">
      <w:pPr>
        <w:rPr>
          <w:noProof/>
        </w:rPr>
      </w:pPr>
      <w:r>
        <w:rPr>
          <w:noProof/>
        </w:rPr>
        <w:t xml:space="preserve">Annex </w:t>
      </w:r>
      <w:r w:rsidR="002B6243">
        <w:rPr>
          <w:noProof/>
        </w:rPr>
        <w:t>I</w:t>
      </w:r>
      <w:r>
        <w:rPr>
          <w:noProof/>
        </w:rPr>
        <w:t xml:space="preserve"> provides an overview of </w:t>
      </w:r>
      <w:r w:rsidR="00946B31">
        <w:rPr>
          <w:noProof/>
        </w:rPr>
        <w:t xml:space="preserve">the </w:t>
      </w:r>
      <w:r>
        <w:rPr>
          <w:noProof/>
        </w:rPr>
        <w:t xml:space="preserve">budget allocated to the main crises covered by DG ECHO´s actions in 2022. </w:t>
      </w:r>
      <w:r w:rsidR="00931C63">
        <w:rPr>
          <w:noProof/>
        </w:rPr>
        <w:t>The m</w:t>
      </w:r>
      <w:r w:rsidR="1EF89614">
        <w:rPr>
          <w:noProof/>
        </w:rPr>
        <w:t>ain</w:t>
      </w:r>
      <w:r>
        <w:rPr>
          <w:noProof/>
        </w:rPr>
        <w:t xml:space="preserve"> actions </w:t>
      </w:r>
      <w:r w:rsidR="00931C63">
        <w:rPr>
          <w:noProof/>
        </w:rPr>
        <w:t xml:space="preserve">in the different regions of the world </w:t>
      </w:r>
      <w:r>
        <w:rPr>
          <w:noProof/>
        </w:rPr>
        <w:t xml:space="preserve">can be summarised as follows: </w:t>
      </w:r>
    </w:p>
    <w:p w14:paraId="66FB6EE8" w14:textId="61C69A34" w:rsidR="00D62E28" w:rsidRPr="003C09BF" w:rsidRDefault="44242E04" w:rsidP="00063C9A">
      <w:pPr>
        <w:pStyle w:val="ListParagraph"/>
        <w:numPr>
          <w:ilvl w:val="0"/>
          <w:numId w:val="26"/>
        </w:numPr>
        <w:ind w:left="283" w:hanging="357"/>
        <w:jc w:val="both"/>
        <w:rPr>
          <w:rFonts w:ascii="Times New Roman" w:hAnsi="Times New Roman" w:cs="Times New Roman"/>
          <w:noProof/>
          <w:sz w:val="24"/>
          <w:szCs w:val="24"/>
        </w:rPr>
      </w:pPr>
      <w:r w:rsidRPr="228D07B4">
        <w:rPr>
          <w:rFonts w:ascii="Times New Roman" w:hAnsi="Times New Roman" w:cs="Times New Roman"/>
          <w:b/>
          <w:bCs/>
          <w:noProof/>
          <w:sz w:val="24"/>
          <w:szCs w:val="24"/>
        </w:rPr>
        <w:t>West and Central Africa:</w:t>
      </w:r>
      <w:r w:rsidRPr="228D07B4">
        <w:rPr>
          <w:rFonts w:ascii="Times New Roman" w:hAnsi="Times New Roman" w:cs="Times New Roman"/>
          <w:noProof/>
          <w:sz w:val="24"/>
          <w:szCs w:val="24"/>
        </w:rPr>
        <w:t xml:space="preserve"> </w:t>
      </w:r>
      <w:r w:rsidR="0B139423" w:rsidRPr="228D07B4">
        <w:rPr>
          <w:rFonts w:ascii="Times New Roman" w:hAnsi="Times New Roman" w:cs="Times New Roman"/>
          <w:noProof/>
          <w:sz w:val="24"/>
          <w:szCs w:val="24"/>
        </w:rPr>
        <w:t xml:space="preserve">in a context of increasing needs, </w:t>
      </w:r>
      <w:r w:rsidRPr="228D07B4">
        <w:rPr>
          <w:rFonts w:ascii="Times New Roman" w:hAnsi="Times New Roman" w:cs="Times New Roman"/>
          <w:noProof/>
          <w:sz w:val="24"/>
          <w:szCs w:val="24"/>
        </w:rPr>
        <w:t xml:space="preserve">DG ECHO allocated over EUR </w:t>
      </w:r>
      <w:r w:rsidR="1823C7C2" w:rsidRPr="228D07B4">
        <w:rPr>
          <w:rFonts w:ascii="Times New Roman" w:hAnsi="Times New Roman" w:cs="Times New Roman"/>
          <w:noProof/>
          <w:sz w:val="24"/>
          <w:szCs w:val="24"/>
        </w:rPr>
        <w:t>175</w:t>
      </w:r>
      <w:r w:rsidRPr="228D07B4">
        <w:rPr>
          <w:rFonts w:ascii="Times New Roman" w:hAnsi="Times New Roman" w:cs="Times New Roman"/>
          <w:noProof/>
          <w:sz w:val="24"/>
          <w:szCs w:val="24"/>
        </w:rPr>
        <w:t xml:space="preserve"> million of </w:t>
      </w:r>
      <w:r w:rsidR="02746357" w:rsidRPr="228D07B4">
        <w:rPr>
          <w:rFonts w:ascii="Times New Roman" w:hAnsi="Times New Roman" w:cs="Times New Roman"/>
          <w:noProof/>
          <w:sz w:val="24"/>
          <w:szCs w:val="24"/>
        </w:rPr>
        <w:t xml:space="preserve">its </w:t>
      </w:r>
      <w:r w:rsidRPr="228D07B4">
        <w:rPr>
          <w:rFonts w:ascii="Times New Roman" w:hAnsi="Times New Roman" w:cs="Times New Roman"/>
          <w:noProof/>
          <w:sz w:val="24"/>
          <w:szCs w:val="24"/>
        </w:rPr>
        <w:t xml:space="preserve">initial budget </w:t>
      </w:r>
      <w:r w:rsidR="0C2A7A56" w:rsidRPr="228D07B4">
        <w:rPr>
          <w:rFonts w:ascii="Times New Roman" w:hAnsi="Times New Roman" w:cs="Times New Roman"/>
          <w:noProof/>
          <w:sz w:val="24"/>
          <w:szCs w:val="24"/>
        </w:rPr>
        <w:t xml:space="preserve">to </w:t>
      </w:r>
      <w:r w:rsidR="1A81AA7F" w:rsidRPr="228D07B4">
        <w:rPr>
          <w:rFonts w:ascii="Times New Roman" w:hAnsi="Times New Roman" w:cs="Times New Roman"/>
          <w:noProof/>
          <w:sz w:val="24"/>
          <w:szCs w:val="24"/>
        </w:rPr>
        <w:t xml:space="preserve">address food insecurity and malnutrition, </w:t>
      </w:r>
      <w:r w:rsidR="1182D5A7" w:rsidRPr="228D07B4">
        <w:rPr>
          <w:rFonts w:ascii="Times New Roman" w:hAnsi="Times New Roman" w:cs="Times New Roman"/>
          <w:noProof/>
          <w:sz w:val="24"/>
          <w:szCs w:val="24"/>
        </w:rPr>
        <w:t>ensure</w:t>
      </w:r>
      <w:r w:rsidR="1A81AA7F" w:rsidRPr="228D07B4">
        <w:rPr>
          <w:rFonts w:ascii="Times New Roman" w:hAnsi="Times New Roman" w:cs="Times New Roman"/>
          <w:noProof/>
          <w:sz w:val="24"/>
          <w:szCs w:val="24"/>
        </w:rPr>
        <w:t xml:space="preserve"> the delivery of basic social services (health, education, water and sanitation) and </w:t>
      </w:r>
      <w:r w:rsidR="6983B8DA" w:rsidRPr="228D07B4">
        <w:rPr>
          <w:rFonts w:ascii="Times New Roman" w:hAnsi="Times New Roman" w:cs="Times New Roman"/>
          <w:noProof/>
          <w:sz w:val="24"/>
          <w:szCs w:val="24"/>
        </w:rPr>
        <w:t xml:space="preserve">support </w:t>
      </w:r>
      <w:r w:rsidR="1A81AA7F" w:rsidRPr="228D07B4">
        <w:rPr>
          <w:rFonts w:ascii="Times New Roman" w:hAnsi="Times New Roman" w:cs="Times New Roman"/>
          <w:noProof/>
          <w:sz w:val="24"/>
          <w:szCs w:val="24"/>
        </w:rPr>
        <w:t xml:space="preserve">disaster preparedness </w:t>
      </w:r>
      <w:r w:rsidR="28B6D943" w:rsidRPr="228D07B4">
        <w:rPr>
          <w:rFonts w:ascii="Times New Roman" w:hAnsi="Times New Roman" w:cs="Times New Roman"/>
          <w:noProof/>
          <w:sz w:val="24"/>
          <w:szCs w:val="24"/>
        </w:rPr>
        <w:t>in Central Sahel, the Lake Chad Basin, North</w:t>
      </w:r>
      <w:r w:rsidR="00946B31">
        <w:rPr>
          <w:rFonts w:ascii="Times New Roman" w:hAnsi="Times New Roman" w:cs="Times New Roman"/>
          <w:noProof/>
          <w:sz w:val="24"/>
          <w:szCs w:val="24"/>
        </w:rPr>
        <w:t>-</w:t>
      </w:r>
      <w:r w:rsidR="28B6D943" w:rsidRPr="228D07B4">
        <w:rPr>
          <w:rFonts w:ascii="Times New Roman" w:hAnsi="Times New Roman" w:cs="Times New Roman"/>
          <w:noProof/>
          <w:sz w:val="24"/>
          <w:szCs w:val="24"/>
        </w:rPr>
        <w:t xml:space="preserve">West </w:t>
      </w:r>
      <w:r w:rsidR="00C62B8E">
        <w:rPr>
          <w:rFonts w:ascii="Times New Roman" w:hAnsi="Times New Roman" w:cs="Times New Roman"/>
          <w:noProof/>
          <w:sz w:val="24"/>
          <w:szCs w:val="24"/>
        </w:rPr>
        <w:t xml:space="preserve">and </w:t>
      </w:r>
      <w:r w:rsidR="28B6D943" w:rsidRPr="228D07B4">
        <w:rPr>
          <w:rFonts w:ascii="Times New Roman" w:hAnsi="Times New Roman" w:cs="Times New Roman"/>
          <w:noProof/>
          <w:sz w:val="24"/>
          <w:szCs w:val="24"/>
        </w:rPr>
        <w:t>South</w:t>
      </w:r>
      <w:r w:rsidR="00946B31">
        <w:rPr>
          <w:rFonts w:ascii="Times New Roman" w:hAnsi="Times New Roman" w:cs="Times New Roman"/>
          <w:noProof/>
          <w:sz w:val="24"/>
          <w:szCs w:val="24"/>
        </w:rPr>
        <w:t>-</w:t>
      </w:r>
      <w:r w:rsidR="28B6D943" w:rsidRPr="228D07B4">
        <w:rPr>
          <w:rFonts w:ascii="Times New Roman" w:hAnsi="Times New Roman" w:cs="Times New Roman"/>
          <w:noProof/>
          <w:sz w:val="24"/>
          <w:szCs w:val="24"/>
        </w:rPr>
        <w:t>West Cameroon, North</w:t>
      </w:r>
      <w:r w:rsidR="00946B31">
        <w:rPr>
          <w:rFonts w:ascii="Times New Roman" w:hAnsi="Times New Roman" w:cs="Times New Roman"/>
          <w:noProof/>
          <w:sz w:val="24"/>
          <w:szCs w:val="24"/>
        </w:rPr>
        <w:t>-</w:t>
      </w:r>
      <w:r w:rsidR="28B6D943" w:rsidRPr="228D07B4">
        <w:rPr>
          <w:rFonts w:ascii="Times New Roman" w:hAnsi="Times New Roman" w:cs="Times New Roman"/>
          <w:noProof/>
          <w:sz w:val="24"/>
          <w:szCs w:val="24"/>
        </w:rPr>
        <w:t xml:space="preserve">West Nigeria, and the Central African Republic. DG ECHO </w:t>
      </w:r>
      <w:r w:rsidR="00C62B8E">
        <w:rPr>
          <w:rFonts w:ascii="Times New Roman" w:hAnsi="Times New Roman" w:cs="Times New Roman"/>
          <w:noProof/>
          <w:sz w:val="24"/>
          <w:szCs w:val="24"/>
        </w:rPr>
        <w:t xml:space="preserve">also </w:t>
      </w:r>
      <w:r w:rsidR="28B6D943" w:rsidRPr="228D07B4">
        <w:rPr>
          <w:rFonts w:ascii="Times New Roman" w:hAnsi="Times New Roman" w:cs="Times New Roman"/>
          <w:noProof/>
          <w:sz w:val="24"/>
          <w:szCs w:val="24"/>
        </w:rPr>
        <w:t>sought</w:t>
      </w:r>
      <w:r w:rsidR="20F0EC03" w:rsidRPr="228D07B4">
        <w:rPr>
          <w:rFonts w:ascii="Times New Roman" w:hAnsi="Times New Roman" w:cs="Times New Roman"/>
          <w:noProof/>
          <w:sz w:val="24"/>
          <w:szCs w:val="24"/>
        </w:rPr>
        <w:t xml:space="preserve"> </w:t>
      </w:r>
      <w:r w:rsidR="03CAAFDE" w:rsidRPr="228D07B4">
        <w:rPr>
          <w:rFonts w:ascii="Times New Roman" w:hAnsi="Times New Roman" w:cs="Times New Roman"/>
          <w:noProof/>
          <w:sz w:val="24"/>
          <w:szCs w:val="24"/>
        </w:rPr>
        <w:t xml:space="preserve">to </w:t>
      </w:r>
      <w:r w:rsidR="15F60EC6" w:rsidRPr="228D07B4">
        <w:rPr>
          <w:rFonts w:ascii="Times New Roman" w:hAnsi="Times New Roman" w:cs="Times New Roman"/>
          <w:noProof/>
          <w:sz w:val="24"/>
          <w:szCs w:val="24"/>
        </w:rPr>
        <w:t xml:space="preserve">promote compliance with IHL and ensure </w:t>
      </w:r>
      <w:r w:rsidR="6E9B90D3" w:rsidRPr="228D07B4">
        <w:rPr>
          <w:rFonts w:ascii="Times New Roman" w:hAnsi="Times New Roman" w:cs="Times New Roman"/>
          <w:noProof/>
          <w:sz w:val="24"/>
          <w:szCs w:val="24"/>
        </w:rPr>
        <w:t xml:space="preserve">the </w:t>
      </w:r>
      <w:r w:rsidR="15F60EC6" w:rsidRPr="228D07B4">
        <w:rPr>
          <w:rFonts w:ascii="Times New Roman" w:hAnsi="Times New Roman" w:cs="Times New Roman"/>
          <w:noProof/>
          <w:sz w:val="24"/>
          <w:szCs w:val="24"/>
        </w:rPr>
        <w:t xml:space="preserve">protection of civil populations and humanitarian </w:t>
      </w:r>
      <w:r w:rsidR="00A74063">
        <w:rPr>
          <w:rFonts w:ascii="Times New Roman" w:hAnsi="Times New Roman" w:cs="Times New Roman"/>
          <w:noProof/>
          <w:sz w:val="24"/>
          <w:szCs w:val="24"/>
        </w:rPr>
        <w:t xml:space="preserve">aid </w:t>
      </w:r>
      <w:r w:rsidR="15F60EC6" w:rsidRPr="228D07B4">
        <w:rPr>
          <w:rFonts w:ascii="Times New Roman" w:hAnsi="Times New Roman" w:cs="Times New Roman"/>
          <w:noProof/>
          <w:sz w:val="24"/>
          <w:szCs w:val="24"/>
        </w:rPr>
        <w:t>workers</w:t>
      </w:r>
      <w:r w:rsidR="00AE524C">
        <w:rPr>
          <w:rFonts w:ascii="Times New Roman" w:hAnsi="Times New Roman" w:cs="Times New Roman"/>
          <w:noProof/>
          <w:sz w:val="24"/>
          <w:szCs w:val="24"/>
        </w:rPr>
        <w:t>.</w:t>
      </w:r>
      <w:r w:rsidRPr="228D07B4">
        <w:rPr>
          <w:rFonts w:ascii="Times New Roman" w:hAnsi="Times New Roman" w:cs="Times New Roman"/>
          <w:noProof/>
          <w:sz w:val="24"/>
          <w:szCs w:val="24"/>
        </w:rPr>
        <w:t xml:space="preserve"> Reinforcements</w:t>
      </w:r>
      <w:r w:rsidR="6BAAAD68" w:rsidRPr="228D07B4">
        <w:rPr>
          <w:rFonts w:ascii="Times New Roman" w:hAnsi="Times New Roman" w:cs="Times New Roman"/>
          <w:noProof/>
          <w:sz w:val="24"/>
          <w:szCs w:val="24"/>
        </w:rPr>
        <w:t>,</w:t>
      </w:r>
      <w:r w:rsidR="00EC376A">
        <w:rPr>
          <w:rFonts w:ascii="Times New Roman" w:hAnsi="Times New Roman" w:cs="Times New Roman"/>
          <w:noProof/>
          <w:sz w:val="24"/>
          <w:szCs w:val="24"/>
        </w:rPr>
        <w:t xml:space="preserve"> </w:t>
      </w:r>
      <w:r w:rsidRPr="228D07B4">
        <w:rPr>
          <w:rFonts w:ascii="Times New Roman" w:hAnsi="Times New Roman" w:cs="Times New Roman"/>
          <w:noProof/>
          <w:sz w:val="24"/>
          <w:szCs w:val="24"/>
        </w:rPr>
        <w:t>especially to address food insecurity</w:t>
      </w:r>
      <w:r w:rsidR="355A91CE" w:rsidRPr="228D07B4">
        <w:rPr>
          <w:rFonts w:ascii="Times New Roman" w:hAnsi="Times New Roman" w:cs="Times New Roman"/>
          <w:noProof/>
          <w:sz w:val="24"/>
          <w:szCs w:val="24"/>
        </w:rPr>
        <w:t>,</w:t>
      </w:r>
      <w:r w:rsidRPr="228D07B4">
        <w:rPr>
          <w:rFonts w:ascii="Times New Roman" w:hAnsi="Times New Roman" w:cs="Times New Roman"/>
          <w:noProof/>
          <w:sz w:val="24"/>
          <w:szCs w:val="24"/>
        </w:rPr>
        <w:t xml:space="preserve"> were mobilised, </w:t>
      </w:r>
      <w:r w:rsidR="63639D08" w:rsidRPr="228D07B4">
        <w:rPr>
          <w:rFonts w:ascii="Times New Roman" w:hAnsi="Times New Roman" w:cs="Times New Roman"/>
          <w:noProof/>
          <w:sz w:val="24"/>
          <w:szCs w:val="24"/>
        </w:rPr>
        <w:t>resulting in a</w:t>
      </w:r>
      <w:r w:rsidRPr="228D07B4">
        <w:rPr>
          <w:rFonts w:ascii="Times New Roman" w:hAnsi="Times New Roman" w:cs="Times New Roman"/>
          <w:noProof/>
          <w:sz w:val="24"/>
          <w:szCs w:val="24"/>
        </w:rPr>
        <w:t xml:space="preserve"> final budget for the region </w:t>
      </w:r>
      <w:r w:rsidR="1755A138" w:rsidRPr="228D07B4">
        <w:rPr>
          <w:rFonts w:ascii="Times New Roman" w:hAnsi="Times New Roman" w:cs="Times New Roman"/>
          <w:noProof/>
          <w:sz w:val="24"/>
          <w:szCs w:val="24"/>
        </w:rPr>
        <w:t>of</w:t>
      </w:r>
      <w:r w:rsidRPr="228D07B4">
        <w:rPr>
          <w:rFonts w:ascii="Times New Roman" w:hAnsi="Times New Roman" w:cs="Times New Roman"/>
          <w:noProof/>
          <w:sz w:val="24"/>
          <w:szCs w:val="24"/>
        </w:rPr>
        <w:t xml:space="preserve"> over EUR 3</w:t>
      </w:r>
      <w:r w:rsidR="41DF528C" w:rsidRPr="228D07B4">
        <w:rPr>
          <w:rFonts w:ascii="Times New Roman" w:hAnsi="Times New Roman" w:cs="Times New Roman"/>
          <w:noProof/>
          <w:sz w:val="24"/>
          <w:szCs w:val="24"/>
        </w:rPr>
        <w:t>30</w:t>
      </w:r>
      <w:r w:rsidRPr="228D07B4">
        <w:rPr>
          <w:rFonts w:ascii="Times New Roman" w:hAnsi="Times New Roman" w:cs="Times New Roman"/>
          <w:noProof/>
          <w:sz w:val="24"/>
          <w:szCs w:val="24"/>
        </w:rPr>
        <w:t xml:space="preserve"> million. </w:t>
      </w:r>
    </w:p>
    <w:p w14:paraId="56DAAA00" w14:textId="1DAD01F9" w:rsidR="00D62E28" w:rsidRPr="003C09BF" w:rsidRDefault="00D62E28" w:rsidP="00946B31">
      <w:pPr>
        <w:pStyle w:val="ListParagraph"/>
        <w:numPr>
          <w:ilvl w:val="0"/>
          <w:numId w:val="26"/>
        </w:numPr>
        <w:ind w:left="284"/>
        <w:jc w:val="both"/>
        <w:rPr>
          <w:rFonts w:ascii="Times New Roman" w:hAnsi="Times New Roman" w:cs="Times New Roman"/>
          <w:noProof/>
          <w:sz w:val="24"/>
          <w:szCs w:val="24"/>
        </w:rPr>
      </w:pPr>
      <w:r w:rsidRPr="274B8BBE">
        <w:rPr>
          <w:rFonts w:ascii="Times New Roman" w:hAnsi="Times New Roman" w:cs="Times New Roman"/>
          <w:b/>
          <w:bCs/>
          <w:noProof/>
          <w:sz w:val="24"/>
          <w:szCs w:val="24"/>
        </w:rPr>
        <w:t>East and South</w:t>
      </w:r>
      <w:r w:rsidR="00C62B8E" w:rsidRPr="274B8BBE">
        <w:rPr>
          <w:rFonts w:ascii="Times New Roman" w:hAnsi="Times New Roman" w:cs="Times New Roman"/>
          <w:b/>
          <w:bCs/>
          <w:noProof/>
          <w:sz w:val="24"/>
          <w:szCs w:val="24"/>
        </w:rPr>
        <w:t>ern</w:t>
      </w:r>
      <w:r w:rsidRPr="274B8BBE">
        <w:rPr>
          <w:rFonts w:ascii="Times New Roman" w:hAnsi="Times New Roman" w:cs="Times New Roman"/>
          <w:b/>
          <w:bCs/>
          <w:noProof/>
          <w:sz w:val="24"/>
          <w:szCs w:val="24"/>
        </w:rPr>
        <w:t xml:space="preserve"> Africa:</w:t>
      </w:r>
      <w:r w:rsidRPr="274B8BBE">
        <w:rPr>
          <w:rFonts w:ascii="Times New Roman" w:hAnsi="Times New Roman" w:cs="Times New Roman"/>
          <w:noProof/>
          <w:sz w:val="24"/>
          <w:szCs w:val="24"/>
        </w:rPr>
        <w:t xml:space="preserve"> </w:t>
      </w:r>
      <w:r w:rsidR="58F52F5F" w:rsidRPr="274B8BBE">
        <w:rPr>
          <w:rFonts w:ascii="Times New Roman" w:hAnsi="Times New Roman" w:cs="Times New Roman"/>
          <w:noProof/>
          <w:sz w:val="24"/>
          <w:szCs w:val="24"/>
        </w:rPr>
        <w:t>The</w:t>
      </w:r>
      <w:r w:rsidR="1EE84555" w:rsidRPr="274B8BBE">
        <w:rPr>
          <w:rFonts w:ascii="Times New Roman" w:hAnsi="Times New Roman" w:cs="Times New Roman"/>
          <w:noProof/>
          <w:sz w:val="24"/>
          <w:szCs w:val="24"/>
        </w:rPr>
        <w:t xml:space="preserve"> region</w:t>
      </w:r>
      <w:r w:rsidRPr="274B8BBE">
        <w:rPr>
          <w:rFonts w:ascii="Times New Roman" w:hAnsi="Times New Roman" w:cs="Times New Roman"/>
          <w:noProof/>
          <w:sz w:val="24"/>
          <w:szCs w:val="24"/>
        </w:rPr>
        <w:t xml:space="preserve"> was marked by conflicts and a </w:t>
      </w:r>
      <w:r w:rsidR="6264E963" w:rsidRPr="274B8BBE">
        <w:rPr>
          <w:rFonts w:ascii="Times New Roman" w:hAnsi="Times New Roman" w:cs="Times New Roman"/>
          <w:noProof/>
          <w:sz w:val="24"/>
          <w:szCs w:val="24"/>
        </w:rPr>
        <w:t>significant</w:t>
      </w:r>
      <w:r w:rsidR="00C62B8E" w:rsidRPr="274B8BBE">
        <w:rPr>
          <w:rFonts w:ascii="Times New Roman" w:hAnsi="Times New Roman" w:cs="Times New Roman"/>
          <w:noProof/>
          <w:sz w:val="24"/>
          <w:szCs w:val="24"/>
        </w:rPr>
        <w:t>ly</w:t>
      </w:r>
      <w:r w:rsidR="6264E963" w:rsidRPr="274B8BBE">
        <w:rPr>
          <w:rFonts w:ascii="Times New Roman" w:hAnsi="Times New Roman" w:cs="Times New Roman"/>
          <w:noProof/>
          <w:sz w:val="24"/>
          <w:szCs w:val="24"/>
        </w:rPr>
        <w:t xml:space="preserve"> </w:t>
      </w:r>
      <w:r w:rsidRPr="274B8BBE">
        <w:rPr>
          <w:rFonts w:ascii="Times New Roman" w:hAnsi="Times New Roman" w:cs="Times New Roman"/>
          <w:noProof/>
          <w:sz w:val="24"/>
          <w:szCs w:val="24"/>
        </w:rPr>
        <w:t xml:space="preserve">deteriorating </w:t>
      </w:r>
      <w:r w:rsidR="79A2BCC6" w:rsidRPr="274B8BBE">
        <w:rPr>
          <w:rFonts w:ascii="Times New Roman" w:hAnsi="Times New Roman" w:cs="Times New Roman"/>
          <w:noProof/>
          <w:sz w:val="24"/>
          <w:szCs w:val="24"/>
        </w:rPr>
        <w:t xml:space="preserve">humanitarian </w:t>
      </w:r>
      <w:r w:rsidRPr="274B8BBE">
        <w:rPr>
          <w:rFonts w:ascii="Times New Roman" w:hAnsi="Times New Roman" w:cs="Times New Roman"/>
          <w:noProof/>
          <w:sz w:val="24"/>
          <w:szCs w:val="24"/>
        </w:rPr>
        <w:t>situation</w:t>
      </w:r>
      <w:r w:rsidR="39AB1049" w:rsidRPr="274B8BBE">
        <w:rPr>
          <w:rFonts w:ascii="Times New Roman" w:hAnsi="Times New Roman" w:cs="Times New Roman"/>
          <w:noProof/>
          <w:sz w:val="24"/>
          <w:szCs w:val="24"/>
        </w:rPr>
        <w:t>, mainly</w:t>
      </w:r>
      <w:r w:rsidRPr="274B8BBE">
        <w:rPr>
          <w:rFonts w:ascii="Times New Roman" w:hAnsi="Times New Roman" w:cs="Times New Roman"/>
          <w:noProof/>
          <w:sz w:val="24"/>
          <w:szCs w:val="24"/>
        </w:rPr>
        <w:t xml:space="preserve"> in Sudan</w:t>
      </w:r>
      <w:r w:rsidR="47405272" w:rsidRPr="274B8BBE">
        <w:rPr>
          <w:rFonts w:ascii="Times New Roman" w:hAnsi="Times New Roman" w:cs="Times New Roman"/>
          <w:noProof/>
          <w:sz w:val="24"/>
          <w:szCs w:val="24"/>
        </w:rPr>
        <w:t xml:space="preserve">, </w:t>
      </w:r>
      <w:r w:rsidR="00C62B8E" w:rsidRPr="274B8BBE">
        <w:rPr>
          <w:rFonts w:ascii="Times New Roman" w:hAnsi="Times New Roman" w:cs="Times New Roman"/>
          <w:noProof/>
          <w:sz w:val="24"/>
          <w:szCs w:val="24"/>
        </w:rPr>
        <w:t xml:space="preserve">the </w:t>
      </w:r>
      <w:r w:rsidR="47405272" w:rsidRPr="274B8BBE">
        <w:rPr>
          <w:rFonts w:ascii="Times New Roman" w:hAnsi="Times New Roman" w:cs="Times New Roman"/>
          <w:noProof/>
          <w:sz w:val="24"/>
          <w:szCs w:val="24"/>
        </w:rPr>
        <w:t>DRC, the Horn of Africa (Somalia, Ethiopia, Kenya)</w:t>
      </w:r>
      <w:r w:rsidR="00946B31" w:rsidRPr="274B8BBE">
        <w:rPr>
          <w:rFonts w:ascii="Times New Roman" w:hAnsi="Times New Roman" w:cs="Times New Roman"/>
          <w:noProof/>
          <w:sz w:val="24"/>
          <w:szCs w:val="24"/>
        </w:rPr>
        <w:t>,</w:t>
      </w:r>
      <w:r w:rsidRPr="274B8BBE">
        <w:rPr>
          <w:rFonts w:ascii="Times New Roman" w:hAnsi="Times New Roman" w:cs="Times New Roman"/>
          <w:noProof/>
          <w:sz w:val="24"/>
          <w:szCs w:val="24"/>
        </w:rPr>
        <w:t xml:space="preserve"> South Sudan</w:t>
      </w:r>
      <w:r w:rsidR="10332F5A" w:rsidRPr="274B8BBE">
        <w:rPr>
          <w:rFonts w:ascii="Times New Roman" w:hAnsi="Times New Roman" w:cs="Times New Roman"/>
          <w:noProof/>
          <w:sz w:val="24"/>
          <w:szCs w:val="24"/>
        </w:rPr>
        <w:t xml:space="preserve"> and</w:t>
      </w:r>
      <w:r w:rsidRPr="274B8BBE">
        <w:rPr>
          <w:rFonts w:ascii="Times New Roman" w:hAnsi="Times New Roman" w:cs="Times New Roman"/>
          <w:noProof/>
          <w:sz w:val="24"/>
          <w:szCs w:val="24"/>
        </w:rPr>
        <w:t xml:space="preserve"> Mozambique</w:t>
      </w:r>
      <w:r w:rsidR="4BDECD62" w:rsidRPr="274B8BBE">
        <w:rPr>
          <w:rFonts w:ascii="Times New Roman" w:hAnsi="Times New Roman" w:cs="Times New Roman"/>
          <w:noProof/>
          <w:sz w:val="24"/>
          <w:szCs w:val="24"/>
        </w:rPr>
        <w:t>. Many areas w</w:t>
      </w:r>
      <w:r w:rsidR="57269422" w:rsidRPr="274B8BBE">
        <w:rPr>
          <w:rFonts w:ascii="Times New Roman" w:hAnsi="Times New Roman" w:cs="Times New Roman"/>
          <w:noProof/>
          <w:sz w:val="24"/>
          <w:szCs w:val="24"/>
        </w:rPr>
        <w:t>ere</w:t>
      </w:r>
      <w:r w:rsidR="4BDECD62" w:rsidRPr="274B8BBE">
        <w:rPr>
          <w:rFonts w:ascii="Times New Roman" w:hAnsi="Times New Roman" w:cs="Times New Roman"/>
          <w:noProof/>
          <w:sz w:val="24"/>
          <w:szCs w:val="24"/>
        </w:rPr>
        <w:t xml:space="preserve"> </w:t>
      </w:r>
      <w:r w:rsidR="0436DBF5" w:rsidRPr="274B8BBE">
        <w:rPr>
          <w:rFonts w:ascii="Times New Roman" w:hAnsi="Times New Roman" w:cs="Times New Roman"/>
          <w:noProof/>
          <w:sz w:val="24"/>
          <w:szCs w:val="24"/>
        </w:rPr>
        <w:t xml:space="preserve">also </w:t>
      </w:r>
      <w:r w:rsidR="4BDECD62" w:rsidRPr="274B8BBE">
        <w:rPr>
          <w:rFonts w:ascii="Times New Roman" w:hAnsi="Times New Roman" w:cs="Times New Roman"/>
          <w:noProof/>
          <w:sz w:val="24"/>
          <w:szCs w:val="24"/>
        </w:rPr>
        <w:t>affected by severe droughts</w:t>
      </w:r>
      <w:r w:rsidR="00A74063" w:rsidRPr="274B8BBE">
        <w:rPr>
          <w:rFonts w:ascii="Times New Roman" w:hAnsi="Times New Roman" w:cs="Times New Roman"/>
          <w:noProof/>
          <w:sz w:val="24"/>
          <w:szCs w:val="24"/>
        </w:rPr>
        <w:t xml:space="preserve"> or the intense cyclonic season particularly in the Southern Africa and Indian Ocean region</w:t>
      </w:r>
      <w:r w:rsidR="00D30252" w:rsidRPr="274B8BBE">
        <w:rPr>
          <w:rFonts w:ascii="Times New Roman" w:hAnsi="Times New Roman" w:cs="Times New Roman"/>
          <w:noProof/>
          <w:sz w:val="24"/>
          <w:szCs w:val="24"/>
        </w:rPr>
        <w:t xml:space="preserve"> (Madagascar/Mozambique)</w:t>
      </w:r>
      <w:r w:rsidR="4BDECD62" w:rsidRPr="274B8BBE">
        <w:rPr>
          <w:rFonts w:ascii="Times New Roman" w:hAnsi="Times New Roman" w:cs="Times New Roman"/>
          <w:noProof/>
          <w:sz w:val="24"/>
          <w:szCs w:val="24"/>
        </w:rPr>
        <w:t xml:space="preserve">, </w:t>
      </w:r>
      <w:r w:rsidR="00C62B8E" w:rsidRPr="274B8BBE">
        <w:rPr>
          <w:rFonts w:ascii="Times New Roman" w:hAnsi="Times New Roman" w:cs="Times New Roman"/>
          <w:noProof/>
          <w:sz w:val="24"/>
          <w:szCs w:val="24"/>
        </w:rPr>
        <w:t xml:space="preserve">which </w:t>
      </w:r>
      <w:r w:rsidR="4BDECD62" w:rsidRPr="274B8BBE">
        <w:rPr>
          <w:rFonts w:ascii="Times New Roman" w:hAnsi="Times New Roman" w:cs="Times New Roman"/>
          <w:noProof/>
          <w:sz w:val="24"/>
          <w:szCs w:val="24"/>
        </w:rPr>
        <w:t>result</w:t>
      </w:r>
      <w:r w:rsidR="00C62B8E" w:rsidRPr="274B8BBE">
        <w:rPr>
          <w:rFonts w:ascii="Times New Roman" w:hAnsi="Times New Roman" w:cs="Times New Roman"/>
          <w:noProof/>
          <w:sz w:val="24"/>
          <w:szCs w:val="24"/>
        </w:rPr>
        <w:t>ed</w:t>
      </w:r>
      <w:r w:rsidR="4BDECD62" w:rsidRPr="274B8BBE">
        <w:rPr>
          <w:rFonts w:ascii="Times New Roman" w:hAnsi="Times New Roman" w:cs="Times New Roman"/>
          <w:noProof/>
          <w:sz w:val="24"/>
          <w:szCs w:val="24"/>
        </w:rPr>
        <w:t xml:space="preserve"> in </w:t>
      </w:r>
      <w:r w:rsidRPr="274B8BBE">
        <w:rPr>
          <w:rFonts w:ascii="Times New Roman" w:hAnsi="Times New Roman" w:cs="Times New Roman"/>
          <w:noProof/>
          <w:sz w:val="24"/>
          <w:szCs w:val="24"/>
        </w:rPr>
        <w:t>a generalised food insecurity situation</w:t>
      </w:r>
      <w:r w:rsidR="00A74063" w:rsidRPr="274B8BBE">
        <w:rPr>
          <w:rFonts w:ascii="Times New Roman" w:hAnsi="Times New Roman" w:cs="Times New Roman"/>
          <w:noProof/>
          <w:sz w:val="24"/>
          <w:szCs w:val="24"/>
        </w:rPr>
        <w:t xml:space="preserve"> and in a loss of livelihood. </w:t>
      </w:r>
      <w:r w:rsidR="5B18DFC4" w:rsidRPr="274B8BBE">
        <w:rPr>
          <w:rFonts w:ascii="Times New Roman" w:hAnsi="Times New Roman" w:cs="Times New Roman"/>
          <w:noProof/>
          <w:sz w:val="24"/>
          <w:szCs w:val="24"/>
        </w:rPr>
        <w:t>The initial budget of</w:t>
      </w:r>
      <w:r w:rsidRPr="274B8BBE">
        <w:rPr>
          <w:rFonts w:ascii="Times New Roman" w:hAnsi="Times New Roman" w:cs="Times New Roman"/>
          <w:noProof/>
          <w:sz w:val="24"/>
          <w:szCs w:val="24"/>
        </w:rPr>
        <w:t xml:space="preserve"> EUR 294 million </w:t>
      </w:r>
      <w:r w:rsidR="38321E84" w:rsidRPr="274B8BBE">
        <w:rPr>
          <w:rFonts w:ascii="Times New Roman" w:hAnsi="Times New Roman" w:cs="Times New Roman"/>
          <w:noProof/>
          <w:sz w:val="24"/>
          <w:szCs w:val="24"/>
        </w:rPr>
        <w:t>was increased to over EUR 540 million</w:t>
      </w:r>
      <w:r w:rsidR="16E5D3B5" w:rsidRPr="274B8BBE">
        <w:rPr>
          <w:rFonts w:ascii="Times New Roman" w:hAnsi="Times New Roman" w:cs="Times New Roman"/>
          <w:noProof/>
          <w:sz w:val="24"/>
          <w:szCs w:val="24"/>
        </w:rPr>
        <w:t>,</w:t>
      </w:r>
      <w:r w:rsidR="5A7CD0F2" w:rsidRPr="274B8BBE">
        <w:rPr>
          <w:rFonts w:ascii="Times New Roman" w:hAnsi="Times New Roman" w:cs="Times New Roman"/>
          <w:noProof/>
          <w:sz w:val="24"/>
          <w:szCs w:val="24"/>
        </w:rPr>
        <w:t xml:space="preserve"> </w:t>
      </w:r>
      <w:r w:rsidR="40D1E8C1" w:rsidRPr="274B8BBE">
        <w:rPr>
          <w:rFonts w:ascii="Times New Roman" w:hAnsi="Times New Roman" w:cs="Times New Roman"/>
          <w:noProof/>
          <w:sz w:val="24"/>
          <w:szCs w:val="24"/>
        </w:rPr>
        <w:t xml:space="preserve">which </w:t>
      </w:r>
      <w:r w:rsidR="24320167" w:rsidRPr="274B8BBE">
        <w:rPr>
          <w:rFonts w:ascii="Times New Roman" w:hAnsi="Times New Roman" w:cs="Times New Roman"/>
          <w:noProof/>
          <w:sz w:val="24"/>
          <w:szCs w:val="24"/>
        </w:rPr>
        <w:t xml:space="preserve">enabled </w:t>
      </w:r>
      <w:r w:rsidR="066639D9" w:rsidRPr="274B8BBE">
        <w:rPr>
          <w:rFonts w:ascii="Times New Roman" w:hAnsi="Times New Roman" w:cs="Times New Roman"/>
          <w:noProof/>
          <w:sz w:val="24"/>
          <w:szCs w:val="24"/>
        </w:rPr>
        <w:t xml:space="preserve">DG ECHO </w:t>
      </w:r>
      <w:r w:rsidRPr="274B8BBE">
        <w:rPr>
          <w:rFonts w:ascii="Times New Roman" w:hAnsi="Times New Roman" w:cs="Times New Roman"/>
          <w:noProof/>
          <w:sz w:val="24"/>
          <w:szCs w:val="24"/>
        </w:rPr>
        <w:t xml:space="preserve">to address </w:t>
      </w:r>
      <w:r w:rsidR="7EFCAD77" w:rsidRPr="274B8BBE">
        <w:rPr>
          <w:rFonts w:ascii="Times New Roman" w:hAnsi="Times New Roman" w:cs="Times New Roman"/>
          <w:noProof/>
          <w:sz w:val="24"/>
          <w:szCs w:val="24"/>
        </w:rPr>
        <w:t>these</w:t>
      </w:r>
      <w:r w:rsidRPr="274B8BBE">
        <w:rPr>
          <w:rFonts w:ascii="Times New Roman" w:hAnsi="Times New Roman" w:cs="Times New Roman"/>
          <w:noProof/>
          <w:sz w:val="24"/>
          <w:szCs w:val="24"/>
        </w:rPr>
        <w:t xml:space="preserve"> and other pressing humanitarian needs in the region.  </w:t>
      </w:r>
    </w:p>
    <w:p w14:paraId="1DB8952C" w14:textId="21ED626D" w:rsidR="00D62E28" w:rsidRPr="003C09BF" w:rsidRDefault="00D62E28" w:rsidP="00946B31">
      <w:pPr>
        <w:pStyle w:val="ListParagraph"/>
        <w:numPr>
          <w:ilvl w:val="0"/>
          <w:numId w:val="26"/>
        </w:numPr>
        <w:ind w:left="284"/>
        <w:jc w:val="both"/>
        <w:rPr>
          <w:rFonts w:ascii="Times New Roman" w:hAnsi="Times New Roman" w:cs="Times New Roman"/>
          <w:noProof/>
          <w:sz w:val="24"/>
          <w:szCs w:val="24"/>
        </w:rPr>
      </w:pPr>
      <w:r w:rsidRPr="228D07B4">
        <w:rPr>
          <w:rFonts w:ascii="Times New Roman" w:hAnsi="Times New Roman" w:cs="Times New Roman"/>
          <w:b/>
          <w:bCs/>
          <w:noProof/>
          <w:sz w:val="24"/>
          <w:szCs w:val="24"/>
        </w:rPr>
        <w:t xml:space="preserve">North Africa, Iraq and </w:t>
      </w:r>
      <w:r w:rsidR="00C62B8E">
        <w:rPr>
          <w:rFonts w:ascii="Times New Roman" w:hAnsi="Times New Roman" w:cs="Times New Roman"/>
          <w:b/>
          <w:bCs/>
          <w:noProof/>
          <w:sz w:val="24"/>
          <w:szCs w:val="24"/>
        </w:rPr>
        <w:t xml:space="preserve">the </w:t>
      </w:r>
      <w:r w:rsidRPr="228D07B4">
        <w:rPr>
          <w:rFonts w:ascii="Times New Roman" w:hAnsi="Times New Roman" w:cs="Times New Roman"/>
          <w:b/>
          <w:bCs/>
          <w:noProof/>
          <w:sz w:val="24"/>
          <w:szCs w:val="24"/>
        </w:rPr>
        <w:t>Arab Peninsula:</w:t>
      </w:r>
      <w:r w:rsidRPr="228D07B4">
        <w:rPr>
          <w:rFonts w:ascii="Times New Roman" w:hAnsi="Times New Roman" w:cs="Times New Roman"/>
          <w:noProof/>
          <w:sz w:val="24"/>
          <w:szCs w:val="24"/>
        </w:rPr>
        <w:t xml:space="preserve"> DG ECHO committed </w:t>
      </w:r>
      <w:r w:rsidR="21091D0C" w:rsidRPr="228D07B4">
        <w:rPr>
          <w:rFonts w:ascii="Times New Roman" w:hAnsi="Times New Roman" w:cs="Times New Roman"/>
          <w:noProof/>
          <w:sz w:val="24"/>
          <w:szCs w:val="24"/>
        </w:rPr>
        <w:t xml:space="preserve">EUR </w:t>
      </w:r>
      <w:r w:rsidRPr="228D07B4">
        <w:rPr>
          <w:rFonts w:ascii="Times New Roman" w:hAnsi="Times New Roman" w:cs="Times New Roman"/>
          <w:noProof/>
          <w:sz w:val="24"/>
          <w:szCs w:val="24"/>
        </w:rPr>
        <w:t xml:space="preserve">128 million to address the needs of displaced populations </w:t>
      </w:r>
      <w:r w:rsidR="15C1564C" w:rsidRPr="228D07B4">
        <w:rPr>
          <w:rFonts w:ascii="Times New Roman" w:hAnsi="Times New Roman" w:cs="Times New Roman"/>
          <w:noProof/>
          <w:sz w:val="24"/>
          <w:szCs w:val="24"/>
        </w:rPr>
        <w:t>in North Africa and Iraq</w:t>
      </w:r>
      <w:r w:rsidR="7513C8E4" w:rsidRPr="228D07B4">
        <w:rPr>
          <w:rFonts w:ascii="Times New Roman" w:hAnsi="Times New Roman" w:cs="Times New Roman"/>
          <w:noProof/>
          <w:sz w:val="24"/>
          <w:szCs w:val="24"/>
        </w:rPr>
        <w:t xml:space="preserve">, </w:t>
      </w:r>
      <w:r w:rsidR="00C62B8E">
        <w:rPr>
          <w:rFonts w:ascii="Times New Roman" w:hAnsi="Times New Roman" w:cs="Times New Roman"/>
          <w:noProof/>
          <w:sz w:val="24"/>
          <w:szCs w:val="24"/>
        </w:rPr>
        <w:t>and of</w:t>
      </w:r>
      <w:r w:rsidR="00C62B8E" w:rsidRPr="228D07B4">
        <w:rPr>
          <w:rFonts w:ascii="Times New Roman" w:hAnsi="Times New Roman" w:cs="Times New Roman"/>
          <w:noProof/>
          <w:sz w:val="24"/>
          <w:szCs w:val="24"/>
        </w:rPr>
        <w:t xml:space="preserve"> </w:t>
      </w:r>
      <w:r w:rsidR="7513C8E4" w:rsidRPr="228D07B4">
        <w:rPr>
          <w:rFonts w:ascii="Times New Roman" w:hAnsi="Times New Roman" w:cs="Times New Roman"/>
          <w:noProof/>
          <w:sz w:val="24"/>
          <w:szCs w:val="24"/>
        </w:rPr>
        <w:t>those affected by conflict in Yemen</w:t>
      </w:r>
      <w:r w:rsidR="0CA48A4B" w:rsidRPr="228D07B4">
        <w:rPr>
          <w:rFonts w:ascii="Times New Roman" w:hAnsi="Times New Roman" w:cs="Times New Roman"/>
          <w:noProof/>
          <w:sz w:val="24"/>
          <w:szCs w:val="24"/>
        </w:rPr>
        <w:t xml:space="preserve">, </w:t>
      </w:r>
      <w:r w:rsidR="3F1065CD" w:rsidRPr="228D07B4">
        <w:rPr>
          <w:rFonts w:ascii="Times New Roman" w:hAnsi="Times New Roman" w:cs="Times New Roman"/>
          <w:noProof/>
          <w:sz w:val="24"/>
          <w:szCs w:val="24"/>
        </w:rPr>
        <w:t>covering</w:t>
      </w:r>
      <w:r w:rsidR="0CA48A4B" w:rsidRPr="228D07B4">
        <w:rPr>
          <w:rFonts w:ascii="Times New Roman" w:hAnsi="Times New Roman" w:cs="Times New Roman"/>
          <w:noProof/>
          <w:sz w:val="24"/>
          <w:szCs w:val="24"/>
        </w:rPr>
        <w:t xml:space="preserve"> areas such as</w:t>
      </w:r>
      <w:r w:rsidRPr="228D07B4">
        <w:rPr>
          <w:rFonts w:ascii="Times New Roman" w:hAnsi="Times New Roman" w:cs="Times New Roman"/>
          <w:noProof/>
          <w:sz w:val="24"/>
          <w:szCs w:val="24"/>
        </w:rPr>
        <w:t xml:space="preserve"> water, sanitation and hygiene, food and nutrition, education and health</w:t>
      </w:r>
      <w:r w:rsidR="3349667D" w:rsidRPr="228D07B4">
        <w:rPr>
          <w:rFonts w:ascii="Times New Roman" w:hAnsi="Times New Roman" w:cs="Times New Roman"/>
          <w:noProof/>
          <w:sz w:val="24"/>
          <w:szCs w:val="24"/>
        </w:rPr>
        <w:t xml:space="preserve">. </w:t>
      </w:r>
      <w:r w:rsidRPr="228D07B4">
        <w:rPr>
          <w:rFonts w:ascii="Times New Roman" w:hAnsi="Times New Roman" w:cs="Times New Roman"/>
          <w:noProof/>
          <w:sz w:val="24"/>
          <w:szCs w:val="24"/>
        </w:rPr>
        <w:t>Additional funding</w:t>
      </w:r>
      <w:r w:rsidR="00AC5D76" w:rsidRPr="228D07B4">
        <w:rPr>
          <w:rFonts w:ascii="Times New Roman" w:hAnsi="Times New Roman" w:cs="Times New Roman"/>
          <w:noProof/>
          <w:sz w:val="24"/>
          <w:szCs w:val="24"/>
        </w:rPr>
        <w:t>,</w:t>
      </w:r>
      <w:r w:rsidRPr="228D07B4">
        <w:rPr>
          <w:rFonts w:ascii="Times New Roman" w:hAnsi="Times New Roman" w:cs="Times New Roman"/>
          <w:noProof/>
          <w:sz w:val="24"/>
          <w:szCs w:val="24"/>
        </w:rPr>
        <w:t xml:space="preserve"> </w:t>
      </w:r>
      <w:r w:rsidR="00AC5D76" w:rsidRPr="228D07B4">
        <w:rPr>
          <w:rFonts w:ascii="Times New Roman" w:hAnsi="Times New Roman" w:cs="Times New Roman"/>
          <w:noProof/>
          <w:sz w:val="24"/>
          <w:szCs w:val="24"/>
        </w:rPr>
        <w:t xml:space="preserve">mainly reinforcing the response to the conflict in Yemen, allowed to reach a final allocation of </w:t>
      </w:r>
      <w:r w:rsidR="49103BA3" w:rsidRPr="228D07B4">
        <w:rPr>
          <w:rFonts w:ascii="Times New Roman" w:hAnsi="Times New Roman" w:cs="Times New Roman"/>
          <w:noProof/>
          <w:sz w:val="24"/>
          <w:szCs w:val="24"/>
        </w:rPr>
        <w:t>EUR 215 million</w:t>
      </w:r>
      <w:r w:rsidR="00AC5D76" w:rsidRPr="228D07B4">
        <w:rPr>
          <w:rFonts w:ascii="Times New Roman" w:hAnsi="Times New Roman" w:cs="Times New Roman"/>
          <w:noProof/>
          <w:sz w:val="24"/>
          <w:szCs w:val="24"/>
        </w:rPr>
        <w:t xml:space="preserve"> for this region</w:t>
      </w:r>
      <w:r w:rsidRPr="228D07B4">
        <w:rPr>
          <w:rFonts w:ascii="Times New Roman" w:hAnsi="Times New Roman" w:cs="Times New Roman"/>
          <w:noProof/>
          <w:sz w:val="24"/>
          <w:szCs w:val="24"/>
        </w:rPr>
        <w:t xml:space="preserve">. </w:t>
      </w:r>
    </w:p>
    <w:p w14:paraId="4D3F8449" w14:textId="5462B9DD" w:rsidR="00D62E28" w:rsidRPr="003C09BF" w:rsidRDefault="00D62E28" w:rsidP="00946B31">
      <w:pPr>
        <w:pStyle w:val="ListParagraph"/>
        <w:numPr>
          <w:ilvl w:val="0"/>
          <w:numId w:val="26"/>
        </w:numPr>
        <w:ind w:left="284"/>
        <w:jc w:val="both"/>
        <w:rPr>
          <w:rFonts w:ascii="Times New Roman" w:hAnsi="Times New Roman" w:cs="Times New Roman"/>
          <w:noProof/>
          <w:sz w:val="24"/>
          <w:szCs w:val="24"/>
        </w:rPr>
      </w:pPr>
      <w:r w:rsidRPr="228D07B4">
        <w:rPr>
          <w:rFonts w:ascii="Times New Roman" w:hAnsi="Times New Roman" w:cs="Times New Roman"/>
          <w:b/>
          <w:bCs/>
          <w:noProof/>
          <w:sz w:val="24"/>
          <w:szCs w:val="24"/>
        </w:rPr>
        <w:t>Middle East:</w:t>
      </w:r>
      <w:r w:rsidRPr="228D07B4">
        <w:rPr>
          <w:rFonts w:ascii="Times New Roman" w:hAnsi="Times New Roman" w:cs="Times New Roman"/>
          <w:noProof/>
          <w:sz w:val="24"/>
          <w:szCs w:val="24"/>
        </w:rPr>
        <w:t xml:space="preserve"> </w:t>
      </w:r>
      <w:r w:rsidR="00867AC0" w:rsidRPr="228D07B4">
        <w:rPr>
          <w:rFonts w:ascii="Times New Roman" w:hAnsi="Times New Roman" w:cs="Times New Roman"/>
          <w:noProof/>
          <w:sz w:val="24"/>
          <w:szCs w:val="24"/>
        </w:rPr>
        <w:t xml:space="preserve">DG ECHO allocated </w:t>
      </w:r>
      <w:r w:rsidR="00867AC0">
        <w:rPr>
          <w:rFonts w:ascii="Times New Roman" w:hAnsi="Times New Roman" w:cs="Times New Roman"/>
          <w:noProof/>
          <w:sz w:val="24"/>
          <w:szCs w:val="24"/>
        </w:rPr>
        <w:t xml:space="preserve">an initial budget of </w:t>
      </w:r>
      <w:r w:rsidR="00867AC0" w:rsidRPr="228D07B4">
        <w:rPr>
          <w:rFonts w:ascii="Times New Roman" w:hAnsi="Times New Roman" w:cs="Times New Roman"/>
          <w:noProof/>
          <w:sz w:val="24"/>
          <w:szCs w:val="24"/>
        </w:rPr>
        <w:t xml:space="preserve">EUR </w:t>
      </w:r>
      <w:r w:rsidR="00867AC0">
        <w:rPr>
          <w:rFonts w:ascii="Times New Roman" w:hAnsi="Times New Roman" w:cs="Times New Roman"/>
          <w:noProof/>
          <w:sz w:val="24"/>
          <w:szCs w:val="24"/>
        </w:rPr>
        <w:t>197</w:t>
      </w:r>
      <w:r w:rsidR="00867AC0" w:rsidRPr="228D07B4">
        <w:rPr>
          <w:rFonts w:ascii="Times New Roman" w:hAnsi="Times New Roman" w:cs="Times New Roman"/>
          <w:noProof/>
          <w:sz w:val="24"/>
          <w:szCs w:val="24"/>
        </w:rPr>
        <w:t xml:space="preserve"> million to deliver life-saving assistance to millions of conflict</w:t>
      </w:r>
      <w:r w:rsidR="000A6121">
        <w:rPr>
          <w:rFonts w:ascii="Times New Roman" w:hAnsi="Times New Roman" w:cs="Times New Roman"/>
          <w:noProof/>
          <w:sz w:val="24"/>
          <w:szCs w:val="24"/>
        </w:rPr>
        <w:t>-</w:t>
      </w:r>
      <w:r w:rsidR="00867AC0" w:rsidRPr="228D07B4">
        <w:rPr>
          <w:rFonts w:ascii="Times New Roman" w:hAnsi="Times New Roman" w:cs="Times New Roman"/>
          <w:noProof/>
          <w:sz w:val="24"/>
          <w:szCs w:val="24"/>
        </w:rPr>
        <w:t xml:space="preserve">affected people in Syria </w:t>
      </w:r>
      <w:r w:rsidR="008A2255">
        <w:rPr>
          <w:rFonts w:ascii="Times New Roman" w:hAnsi="Times New Roman" w:cs="Times New Roman"/>
          <w:noProof/>
          <w:sz w:val="24"/>
          <w:szCs w:val="24"/>
        </w:rPr>
        <w:t xml:space="preserve">and </w:t>
      </w:r>
      <w:r w:rsidR="00867AC0" w:rsidRPr="228D07B4">
        <w:rPr>
          <w:rFonts w:ascii="Times New Roman" w:hAnsi="Times New Roman" w:cs="Times New Roman"/>
          <w:noProof/>
          <w:sz w:val="24"/>
          <w:szCs w:val="24"/>
        </w:rPr>
        <w:t>to cover basic needs of displaced and refugee populations in Jordan and Lebanon, as well as vulnerable Lebanese</w:t>
      </w:r>
      <w:r w:rsidR="00867AC0">
        <w:rPr>
          <w:rFonts w:ascii="Times New Roman" w:hAnsi="Times New Roman" w:cs="Times New Roman"/>
          <w:noProof/>
          <w:sz w:val="24"/>
          <w:szCs w:val="24"/>
        </w:rPr>
        <w:t>, reaching a final budget of EUR 240 million at the end of 2022.</w:t>
      </w:r>
      <w:r w:rsidR="00867AC0" w:rsidRPr="228D07B4">
        <w:rPr>
          <w:rFonts w:ascii="Times New Roman" w:hAnsi="Times New Roman" w:cs="Times New Roman"/>
          <w:noProof/>
          <w:sz w:val="24"/>
          <w:szCs w:val="24"/>
        </w:rPr>
        <w:t xml:space="preserve"> In </w:t>
      </w:r>
      <w:r w:rsidR="00867AC0" w:rsidRPr="00411067">
        <w:rPr>
          <w:rFonts w:ascii="Times New Roman" w:hAnsi="Times New Roman" w:cs="Times New Roman"/>
          <w:noProof/>
          <w:sz w:val="24"/>
          <w:szCs w:val="24"/>
        </w:rPr>
        <w:t>Palestine</w:t>
      </w:r>
      <w:r w:rsidR="00411067" w:rsidRPr="00411067">
        <w:rPr>
          <w:rFonts w:ascii="Times New Roman" w:hAnsi="Times New Roman" w:cs="Times New Roman"/>
          <w:noProof/>
          <w:sz w:val="24"/>
          <w:szCs w:val="24"/>
        </w:rPr>
        <w:t> (</w:t>
      </w:r>
      <w:r w:rsidR="00411067" w:rsidRPr="00411067">
        <w:rPr>
          <w:rStyle w:val="FootnoteReference"/>
          <w:rFonts w:ascii="Times New Roman" w:hAnsi="Times New Roman" w:cs="Times New Roman"/>
          <w:noProof/>
          <w:sz w:val="24"/>
          <w:szCs w:val="24"/>
        </w:rPr>
        <w:footnoteReference w:id="12"/>
      </w:r>
      <w:r w:rsidR="00411067" w:rsidRPr="00411067">
        <w:rPr>
          <w:rFonts w:ascii="Times New Roman" w:hAnsi="Times New Roman" w:cs="Times New Roman"/>
          <w:noProof/>
          <w:sz w:val="24"/>
          <w:szCs w:val="24"/>
        </w:rPr>
        <w:t>)</w:t>
      </w:r>
      <w:r w:rsidR="00867AC0" w:rsidRPr="228D07B4">
        <w:rPr>
          <w:rFonts w:ascii="Times New Roman" w:hAnsi="Times New Roman" w:cs="Times New Roman"/>
          <w:noProof/>
          <w:sz w:val="24"/>
          <w:szCs w:val="24"/>
        </w:rPr>
        <w:t xml:space="preserve">, DG ECHO continued to respond to the humanitarian needs resulting from the </w:t>
      </w:r>
      <w:r w:rsidR="29D01836" w:rsidRPr="35F9A81C">
        <w:rPr>
          <w:rFonts w:ascii="Times New Roman" w:hAnsi="Times New Roman" w:cs="Times New Roman"/>
          <w:noProof/>
          <w:sz w:val="24"/>
          <w:szCs w:val="24"/>
        </w:rPr>
        <w:t xml:space="preserve">continued </w:t>
      </w:r>
      <w:r w:rsidR="00867AC0" w:rsidRPr="228D07B4">
        <w:rPr>
          <w:rFonts w:ascii="Times New Roman" w:hAnsi="Times New Roman" w:cs="Times New Roman"/>
          <w:noProof/>
          <w:sz w:val="24"/>
          <w:szCs w:val="24"/>
        </w:rPr>
        <w:t xml:space="preserve">occupation and the </w:t>
      </w:r>
      <w:r w:rsidR="3FAADF65" w:rsidRPr="35F9A81C">
        <w:rPr>
          <w:rFonts w:ascii="Times New Roman" w:hAnsi="Times New Roman" w:cs="Times New Roman"/>
          <w:noProof/>
          <w:sz w:val="24"/>
          <w:szCs w:val="24"/>
        </w:rPr>
        <w:t>closure</w:t>
      </w:r>
      <w:r w:rsidR="00867AC0" w:rsidRPr="228D07B4">
        <w:rPr>
          <w:rFonts w:ascii="Times New Roman" w:hAnsi="Times New Roman" w:cs="Times New Roman"/>
          <w:noProof/>
          <w:sz w:val="24"/>
          <w:szCs w:val="24"/>
        </w:rPr>
        <w:t xml:space="preserve"> imposed on the Gaza Strip. The budget </w:t>
      </w:r>
      <w:r w:rsidR="00867AC0">
        <w:rPr>
          <w:rFonts w:ascii="Times New Roman" w:hAnsi="Times New Roman" w:cs="Times New Roman"/>
          <w:noProof/>
          <w:sz w:val="24"/>
          <w:szCs w:val="24"/>
        </w:rPr>
        <w:t>for such crisis increased from EUR 25 million to EUR 26.5</w:t>
      </w:r>
      <w:r w:rsidR="00411067">
        <w:rPr>
          <w:rFonts w:ascii="Times New Roman" w:hAnsi="Times New Roman" w:cs="Times New Roman"/>
          <w:noProof/>
          <w:sz w:val="24"/>
          <w:szCs w:val="24"/>
        </w:rPr>
        <w:t xml:space="preserve"> million</w:t>
      </w:r>
      <w:r w:rsidR="00867AC0">
        <w:rPr>
          <w:rFonts w:ascii="Times New Roman" w:hAnsi="Times New Roman" w:cs="Times New Roman"/>
          <w:noProof/>
          <w:sz w:val="24"/>
          <w:szCs w:val="24"/>
        </w:rPr>
        <w:t xml:space="preserve"> </w:t>
      </w:r>
      <w:r w:rsidR="008A2255">
        <w:rPr>
          <w:rFonts w:ascii="Times New Roman" w:hAnsi="Times New Roman" w:cs="Times New Roman"/>
          <w:noProof/>
          <w:sz w:val="24"/>
          <w:szCs w:val="24"/>
        </w:rPr>
        <w:t xml:space="preserve">in the course of </w:t>
      </w:r>
      <w:r w:rsidR="00867AC0">
        <w:rPr>
          <w:rFonts w:ascii="Times New Roman" w:hAnsi="Times New Roman" w:cs="Times New Roman"/>
          <w:noProof/>
          <w:sz w:val="24"/>
          <w:szCs w:val="24"/>
        </w:rPr>
        <w:t xml:space="preserve">2022. </w:t>
      </w:r>
      <w:r w:rsidR="00867AC0" w:rsidRPr="228D07B4">
        <w:rPr>
          <w:rFonts w:ascii="Times New Roman" w:hAnsi="Times New Roman" w:cs="Times New Roman"/>
          <w:noProof/>
          <w:sz w:val="24"/>
          <w:szCs w:val="24"/>
        </w:rPr>
        <w:t xml:space="preserve"> </w:t>
      </w:r>
    </w:p>
    <w:p w14:paraId="18C2D36B" w14:textId="0273290E" w:rsidR="00D62E28" w:rsidRPr="003C09BF" w:rsidRDefault="57D4CB5A" w:rsidP="00946B31">
      <w:pPr>
        <w:pStyle w:val="ListParagraph"/>
        <w:numPr>
          <w:ilvl w:val="0"/>
          <w:numId w:val="26"/>
        </w:numPr>
        <w:ind w:left="284"/>
        <w:jc w:val="both"/>
        <w:rPr>
          <w:rFonts w:ascii="Times New Roman" w:hAnsi="Times New Roman" w:cs="Times New Roman"/>
          <w:noProof/>
          <w:sz w:val="24"/>
          <w:szCs w:val="24"/>
        </w:rPr>
      </w:pPr>
      <w:r w:rsidRPr="274B8BBE">
        <w:rPr>
          <w:rFonts w:ascii="Times New Roman" w:hAnsi="Times New Roman" w:cs="Times New Roman"/>
          <w:b/>
          <w:bCs/>
          <w:noProof/>
          <w:sz w:val="24"/>
          <w:szCs w:val="24"/>
        </w:rPr>
        <w:t>Southeast Europe</w:t>
      </w:r>
      <w:r w:rsidR="00C11B03" w:rsidRPr="274B8BBE">
        <w:rPr>
          <w:rFonts w:ascii="Times New Roman" w:hAnsi="Times New Roman" w:cs="Times New Roman"/>
          <w:b/>
          <w:bCs/>
          <w:noProof/>
          <w:sz w:val="24"/>
          <w:szCs w:val="24"/>
        </w:rPr>
        <w:t>,</w:t>
      </w:r>
      <w:r w:rsidRPr="274B8BBE">
        <w:rPr>
          <w:rFonts w:ascii="Times New Roman" w:hAnsi="Times New Roman" w:cs="Times New Roman"/>
          <w:b/>
          <w:bCs/>
          <w:noProof/>
          <w:sz w:val="24"/>
          <w:szCs w:val="24"/>
        </w:rPr>
        <w:t xml:space="preserve"> Eastern Neighbourhood</w:t>
      </w:r>
      <w:r w:rsidR="00C11B03" w:rsidRPr="274B8BBE">
        <w:rPr>
          <w:rFonts w:ascii="Times New Roman" w:hAnsi="Times New Roman" w:cs="Times New Roman"/>
          <w:b/>
          <w:bCs/>
          <w:noProof/>
          <w:sz w:val="24"/>
          <w:szCs w:val="24"/>
        </w:rPr>
        <w:t xml:space="preserve"> and</w:t>
      </w:r>
      <w:r w:rsidR="3FD5358C" w:rsidRPr="274B8BBE">
        <w:rPr>
          <w:rFonts w:ascii="Times New Roman" w:hAnsi="Times New Roman" w:cs="Times New Roman"/>
          <w:b/>
          <w:bCs/>
          <w:noProof/>
          <w:sz w:val="24"/>
          <w:szCs w:val="24"/>
        </w:rPr>
        <w:t xml:space="preserve"> Türkiye</w:t>
      </w:r>
      <w:r w:rsidRPr="274B8BBE">
        <w:rPr>
          <w:rFonts w:ascii="Times New Roman" w:hAnsi="Times New Roman" w:cs="Times New Roman"/>
          <w:b/>
          <w:bCs/>
          <w:noProof/>
          <w:sz w:val="24"/>
          <w:szCs w:val="24"/>
        </w:rPr>
        <w:t>:</w:t>
      </w:r>
      <w:r w:rsidRPr="274B8BBE">
        <w:rPr>
          <w:rFonts w:ascii="Times New Roman" w:hAnsi="Times New Roman" w:cs="Times New Roman"/>
          <w:noProof/>
          <w:sz w:val="24"/>
          <w:szCs w:val="24"/>
        </w:rPr>
        <w:t xml:space="preserve"> Humanitarian action in the region was strongly marked by</w:t>
      </w:r>
      <w:r w:rsidR="136442FC" w:rsidRPr="274B8BBE">
        <w:rPr>
          <w:rFonts w:ascii="Times New Roman" w:hAnsi="Times New Roman" w:cs="Times New Roman"/>
          <w:noProof/>
          <w:sz w:val="24"/>
          <w:szCs w:val="24"/>
        </w:rPr>
        <w:t xml:space="preserve"> </w:t>
      </w:r>
      <w:r w:rsidR="5A2FFA7F" w:rsidRPr="274B8BBE">
        <w:rPr>
          <w:rFonts w:ascii="Times New Roman" w:hAnsi="Times New Roman" w:cs="Times New Roman"/>
          <w:noProof/>
          <w:sz w:val="24"/>
          <w:szCs w:val="24"/>
        </w:rPr>
        <w:t>Russia’s war of aggression against Ukraine</w:t>
      </w:r>
      <w:r w:rsidR="008A2255" w:rsidRPr="274B8BBE">
        <w:rPr>
          <w:rFonts w:ascii="Times New Roman" w:hAnsi="Times New Roman" w:cs="Times New Roman"/>
          <w:noProof/>
          <w:sz w:val="24"/>
          <w:szCs w:val="24"/>
        </w:rPr>
        <w:t>, which started</w:t>
      </w:r>
      <w:r w:rsidR="5A2FFA7F" w:rsidRPr="274B8BBE">
        <w:rPr>
          <w:rFonts w:ascii="Times New Roman" w:hAnsi="Times New Roman" w:cs="Times New Roman"/>
          <w:noProof/>
          <w:sz w:val="24"/>
          <w:szCs w:val="24"/>
        </w:rPr>
        <w:t xml:space="preserve"> </w:t>
      </w:r>
      <w:r w:rsidRPr="274B8BBE">
        <w:rPr>
          <w:rFonts w:ascii="Times New Roman" w:hAnsi="Times New Roman" w:cs="Times New Roman"/>
          <w:noProof/>
          <w:sz w:val="24"/>
          <w:szCs w:val="24"/>
        </w:rPr>
        <w:t xml:space="preserve">on 24 February 2022. The initial funding </w:t>
      </w:r>
      <w:r w:rsidR="5D88DA2B" w:rsidRPr="274B8BBE">
        <w:rPr>
          <w:rFonts w:ascii="Times New Roman" w:hAnsi="Times New Roman" w:cs="Times New Roman"/>
          <w:noProof/>
          <w:sz w:val="24"/>
          <w:szCs w:val="24"/>
        </w:rPr>
        <w:t xml:space="preserve">of EUR 27 million allocated </w:t>
      </w:r>
      <w:r w:rsidRPr="274B8BBE">
        <w:rPr>
          <w:rFonts w:ascii="Times New Roman" w:hAnsi="Times New Roman" w:cs="Times New Roman"/>
          <w:noProof/>
          <w:sz w:val="24"/>
          <w:szCs w:val="24"/>
        </w:rPr>
        <w:t xml:space="preserve">to the Ukraine, Western Balkans and Eastern Neighbourhood </w:t>
      </w:r>
      <w:r w:rsidR="04D5E799" w:rsidRPr="274B8BBE">
        <w:rPr>
          <w:rFonts w:ascii="Times New Roman" w:hAnsi="Times New Roman" w:cs="Times New Roman"/>
          <w:noProof/>
          <w:sz w:val="24"/>
          <w:szCs w:val="24"/>
        </w:rPr>
        <w:t>region</w:t>
      </w:r>
      <w:r w:rsidRPr="274B8BBE">
        <w:rPr>
          <w:rFonts w:ascii="Times New Roman" w:hAnsi="Times New Roman" w:cs="Times New Roman"/>
          <w:noProof/>
          <w:sz w:val="24"/>
          <w:szCs w:val="24"/>
        </w:rPr>
        <w:t xml:space="preserve"> was reinforced to</w:t>
      </w:r>
      <w:r w:rsidR="3FD5358C" w:rsidRPr="274B8BBE">
        <w:rPr>
          <w:rFonts w:ascii="Times New Roman" w:hAnsi="Times New Roman" w:cs="Times New Roman"/>
          <w:noProof/>
          <w:sz w:val="24"/>
          <w:szCs w:val="24"/>
        </w:rPr>
        <w:t xml:space="preserve"> reach </w:t>
      </w:r>
      <w:r w:rsidRPr="274B8BBE">
        <w:rPr>
          <w:rFonts w:ascii="Times New Roman" w:hAnsi="Times New Roman" w:cs="Times New Roman"/>
          <w:noProof/>
          <w:sz w:val="24"/>
          <w:szCs w:val="24"/>
        </w:rPr>
        <w:t xml:space="preserve">over </w:t>
      </w:r>
      <w:r w:rsidR="772FF0BE" w:rsidRPr="274B8BBE">
        <w:rPr>
          <w:rFonts w:ascii="Times New Roman" w:hAnsi="Times New Roman" w:cs="Times New Roman"/>
          <w:noProof/>
          <w:sz w:val="24"/>
          <w:szCs w:val="24"/>
        </w:rPr>
        <w:t xml:space="preserve">EUR </w:t>
      </w:r>
      <w:r w:rsidRPr="274B8BBE">
        <w:rPr>
          <w:rFonts w:ascii="Times New Roman" w:hAnsi="Times New Roman" w:cs="Times New Roman"/>
          <w:noProof/>
          <w:sz w:val="24"/>
          <w:szCs w:val="24"/>
        </w:rPr>
        <w:t>52</w:t>
      </w:r>
      <w:r w:rsidR="005E36BE" w:rsidRPr="274B8BBE">
        <w:rPr>
          <w:rFonts w:ascii="Times New Roman" w:hAnsi="Times New Roman" w:cs="Times New Roman"/>
          <w:noProof/>
          <w:sz w:val="24"/>
          <w:szCs w:val="24"/>
        </w:rPr>
        <w:t>9</w:t>
      </w:r>
      <w:r w:rsidRPr="274B8BBE">
        <w:rPr>
          <w:rFonts w:ascii="Times New Roman" w:hAnsi="Times New Roman" w:cs="Times New Roman"/>
          <w:noProof/>
          <w:sz w:val="24"/>
          <w:szCs w:val="24"/>
        </w:rPr>
        <w:t xml:space="preserve"> million</w:t>
      </w:r>
      <w:r w:rsidR="0098169A" w:rsidRPr="274B8BBE">
        <w:rPr>
          <w:rFonts w:ascii="Times New Roman" w:hAnsi="Times New Roman" w:cs="Times New Roman"/>
          <w:noProof/>
          <w:sz w:val="24"/>
          <w:szCs w:val="24"/>
        </w:rPr>
        <w:t>.</w:t>
      </w:r>
      <w:r w:rsidR="008A2255" w:rsidRPr="274B8BBE">
        <w:rPr>
          <w:rFonts w:ascii="Times New Roman" w:hAnsi="Times New Roman" w:cs="Times New Roman"/>
          <w:noProof/>
          <w:sz w:val="24"/>
          <w:szCs w:val="24"/>
        </w:rPr>
        <w:t xml:space="preserve"> </w:t>
      </w:r>
      <w:r w:rsidR="0098169A" w:rsidRPr="274B8BBE">
        <w:rPr>
          <w:rFonts w:ascii="Times New Roman" w:hAnsi="Times New Roman" w:cs="Times New Roman"/>
          <w:noProof/>
          <w:sz w:val="24"/>
          <w:szCs w:val="24"/>
        </w:rPr>
        <w:t>Out of that amount,</w:t>
      </w:r>
      <w:r w:rsidR="143191E1" w:rsidRPr="274B8BBE">
        <w:rPr>
          <w:rFonts w:ascii="Times New Roman" w:hAnsi="Times New Roman" w:cs="Times New Roman"/>
          <w:noProof/>
          <w:sz w:val="24"/>
          <w:szCs w:val="24"/>
        </w:rPr>
        <w:t xml:space="preserve"> </w:t>
      </w:r>
      <w:r w:rsidR="6365AAF0" w:rsidRPr="274B8BBE">
        <w:rPr>
          <w:rFonts w:ascii="Times New Roman" w:hAnsi="Times New Roman" w:cs="Times New Roman"/>
          <w:noProof/>
          <w:sz w:val="24"/>
          <w:szCs w:val="24"/>
        </w:rPr>
        <w:t xml:space="preserve">EUR 485 million </w:t>
      </w:r>
      <w:r w:rsidR="2DECC0F0" w:rsidRPr="274B8BBE">
        <w:rPr>
          <w:rFonts w:ascii="Times New Roman" w:hAnsi="Times New Roman" w:cs="Times New Roman"/>
          <w:noProof/>
          <w:sz w:val="24"/>
          <w:szCs w:val="24"/>
        </w:rPr>
        <w:t xml:space="preserve">contributed to reach </w:t>
      </w:r>
      <w:r w:rsidR="694F0441" w:rsidRPr="274B8BBE">
        <w:rPr>
          <w:rFonts w:ascii="Times New Roman" w:hAnsi="Times New Roman" w:cs="Times New Roman"/>
          <w:noProof/>
          <w:sz w:val="24"/>
          <w:szCs w:val="24"/>
        </w:rPr>
        <w:t xml:space="preserve">nearly 16 of </w:t>
      </w:r>
      <w:r w:rsidR="008A2255" w:rsidRPr="274B8BBE">
        <w:rPr>
          <w:rFonts w:ascii="Times New Roman" w:hAnsi="Times New Roman" w:cs="Times New Roman"/>
          <w:noProof/>
          <w:sz w:val="24"/>
          <w:szCs w:val="24"/>
        </w:rPr>
        <w:t xml:space="preserve">the </w:t>
      </w:r>
      <w:r w:rsidRPr="274B8BBE">
        <w:rPr>
          <w:rFonts w:ascii="Times New Roman" w:hAnsi="Times New Roman" w:cs="Times New Roman"/>
          <w:noProof/>
          <w:sz w:val="24"/>
          <w:szCs w:val="24"/>
        </w:rPr>
        <w:t>17.7 million Ukrainians in need of humanitarian assistance</w:t>
      </w:r>
      <w:r w:rsidR="0098169A" w:rsidRPr="274B8BBE">
        <w:rPr>
          <w:rFonts w:ascii="Times New Roman" w:hAnsi="Times New Roman" w:cs="Times New Roman"/>
          <w:noProof/>
          <w:sz w:val="24"/>
          <w:szCs w:val="24"/>
        </w:rPr>
        <w:t>, while</w:t>
      </w:r>
      <w:r w:rsidR="34817883" w:rsidRPr="274B8BBE">
        <w:rPr>
          <w:rFonts w:ascii="Times New Roman" w:hAnsi="Times New Roman" w:cs="Times New Roman"/>
          <w:noProof/>
          <w:sz w:val="24"/>
          <w:szCs w:val="24"/>
        </w:rPr>
        <w:t xml:space="preserve"> EUR 38 million </w:t>
      </w:r>
      <w:r w:rsidR="0098169A" w:rsidRPr="274B8BBE">
        <w:rPr>
          <w:rFonts w:ascii="Times New Roman" w:hAnsi="Times New Roman" w:cs="Times New Roman"/>
          <w:noProof/>
          <w:sz w:val="24"/>
          <w:szCs w:val="24"/>
        </w:rPr>
        <w:t>was allocated to help</w:t>
      </w:r>
      <w:r w:rsidR="34817883" w:rsidRPr="274B8BBE">
        <w:rPr>
          <w:rFonts w:ascii="Times New Roman" w:hAnsi="Times New Roman" w:cs="Times New Roman"/>
          <w:noProof/>
          <w:sz w:val="24"/>
          <w:szCs w:val="24"/>
        </w:rPr>
        <w:t xml:space="preserve"> the Ukrainian refugees who fled to</w:t>
      </w:r>
      <w:r w:rsidR="00411067">
        <w:rPr>
          <w:rFonts w:ascii="Times New Roman" w:hAnsi="Times New Roman" w:cs="Times New Roman"/>
          <w:noProof/>
          <w:sz w:val="24"/>
          <w:szCs w:val="24"/>
        </w:rPr>
        <w:t xml:space="preserve"> the Republic of</w:t>
      </w:r>
      <w:r w:rsidR="34817883" w:rsidRPr="274B8BBE">
        <w:rPr>
          <w:rFonts w:ascii="Times New Roman" w:hAnsi="Times New Roman" w:cs="Times New Roman"/>
          <w:noProof/>
          <w:sz w:val="24"/>
          <w:szCs w:val="24"/>
        </w:rPr>
        <w:t xml:space="preserve"> </w:t>
      </w:r>
      <w:r w:rsidR="34817883" w:rsidRPr="00411067">
        <w:rPr>
          <w:rFonts w:ascii="Times New Roman" w:hAnsi="Times New Roman" w:cs="Times New Roman"/>
          <w:noProof/>
          <w:sz w:val="24"/>
          <w:szCs w:val="24"/>
        </w:rPr>
        <w:t>Moldova;</w:t>
      </w:r>
      <w:r w:rsidR="34817883" w:rsidRPr="274B8BBE">
        <w:rPr>
          <w:rFonts w:ascii="Times New Roman" w:hAnsi="Times New Roman" w:cs="Times New Roman"/>
          <w:noProof/>
          <w:sz w:val="24"/>
          <w:szCs w:val="24"/>
        </w:rPr>
        <w:t xml:space="preserve"> assistance was also provided to Moldovan host families</w:t>
      </w:r>
      <w:r w:rsidRPr="274B8BBE">
        <w:rPr>
          <w:rFonts w:ascii="Times New Roman" w:hAnsi="Times New Roman" w:cs="Times New Roman"/>
          <w:noProof/>
          <w:sz w:val="24"/>
          <w:szCs w:val="24"/>
        </w:rPr>
        <w:t xml:space="preserve">. </w:t>
      </w:r>
      <w:r w:rsidR="6502FAA1" w:rsidRPr="274B8BBE">
        <w:rPr>
          <w:rFonts w:ascii="Times New Roman" w:hAnsi="Times New Roman" w:cs="Times New Roman"/>
          <w:noProof/>
          <w:sz w:val="24"/>
          <w:szCs w:val="24"/>
        </w:rPr>
        <w:t>I</w:t>
      </w:r>
      <w:r w:rsidR="1E883A54" w:rsidRPr="274B8BBE">
        <w:rPr>
          <w:rFonts w:ascii="Times New Roman" w:hAnsi="Times New Roman" w:cs="Times New Roman"/>
          <w:noProof/>
          <w:sz w:val="24"/>
          <w:szCs w:val="24"/>
        </w:rPr>
        <w:t>n Türkiye</w:t>
      </w:r>
      <w:r w:rsidR="72ECE6B1" w:rsidRPr="274B8BBE">
        <w:rPr>
          <w:rFonts w:ascii="Times New Roman" w:hAnsi="Times New Roman" w:cs="Times New Roman"/>
          <w:noProof/>
          <w:sz w:val="24"/>
          <w:szCs w:val="24"/>
        </w:rPr>
        <w:t>,</w:t>
      </w:r>
      <w:r w:rsidR="1E883A54" w:rsidRPr="274B8BBE">
        <w:rPr>
          <w:rFonts w:ascii="Times New Roman" w:hAnsi="Times New Roman" w:cs="Times New Roman"/>
          <w:noProof/>
          <w:sz w:val="24"/>
          <w:szCs w:val="24"/>
        </w:rPr>
        <w:t xml:space="preserve"> </w:t>
      </w:r>
      <w:r w:rsidRPr="274B8BBE">
        <w:rPr>
          <w:rFonts w:ascii="Times New Roman" w:hAnsi="Times New Roman" w:cs="Times New Roman"/>
          <w:noProof/>
          <w:sz w:val="24"/>
          <w:szCs w:val="24"/>
        </w:rPr>
        <w:t xml:space="preserve">the Commission continued to support </w:t>
      </w:r>
      <w:r w:rsidR="11E88884" w:rsidRPr="274B8BBE">
        <w:rPr>
          <w:rFonts w:ascii="Times New Roman" w:hAnsi="Times New Roman" w:cs="Times New Roman"/>
          <w:noProof/>
          <w:sz w:val="24"/>
          <w:szCs w:val="24"/>
        </w:rPr>
        <w:t xml:space="preserve">vulnerable refugees </w:t>
      </w:r>
      <w:r w:rsidR="1031167E" w:rsidRPr="274B8BBE">
        <w:rPr>
          <w:rFonts w:ascii="Times New Roman" w:hAnsi="Times New Roman" w:cs="Times New Roman"/>
          <w:noProof/>
          <w:sz w:val="24"/>
          <w:szCs w:val="24"/>
        </w:rPr>
        <w:t>in need of humanitarian support</w:t>
      </w:r>
      <w:r w:rsidR="3FD5358C" w:rsidRPr="274B8BBE">
        <w:rPr>
          <w:rFonts w:ascii="Times New Roman" w:hAnsi="Times New Roman" w:cs="Times New Roman"/>
          <w:noProof/>
          <w:sz w:val="24"/>
          <w:szCs w:val="24"/>
        </w:rPr>
        <w:t xml:space="preserve"> with funding amounting to EUR 125 million</w:t>
      </w:r>
      <w:r w:rsidR="1031167E" w:rsidRPr="274B8BBE">
        <w:rPr>
          <w:rFonts w:ascii="Times New Roman" w:hAnsi="Times New Roman" w:cs="Times New Roman"/>
          <w:noProof/>
          <w:sz w:val="24"/>
          <w:szCs w:val="24"/>
        </w:rPr>
        <w:t>.</w:t>
      </w:r>
      <w:r w:rsidR="4DC97615" w:rsidRPr="274B8BBE">
        <w:rPr>
          <w:rFonts w:ascii="Times New Roman" w:hAnsi="Times New Roman" w:cs="Times New Roman"/>
          <w:noProof/>
          <w:sz w:val="24"/>
          <w:szCs w:val="24"/>
        </w:rPr>
        <w:t xml:space="preserve"> </w:t>
      </w:r>
      <w:r w:rsidR="0098169A" w:rsidRPr="274B8BBE">
        <w:rPr>
          <w:rFonts w:ascii="Times New Roman" w:hAnsi="Times New Roman" w:cs="Times New Roman"/>
          <w:noProof/>
          <w:sz w:val="24"/>
          <w:szCs w:val="24"/>
        </w:rPr>
        <w:t>Moreover</w:t>
      </w:r>
      <w:r w:rsidR="11E5F160" w:rsidRPr="274B8BBE">
        <w:rPr>
          <w:rFonts w:ascii="Times New Roman" w:hAnsi="Times New Roman" w:cs="Times New Roman"/>
          <w:noProof/>
          <w:sz w:val="24"/>
          <w:szCs w:val="24"/>
        </w:rPr>
        <w:t>, i</w:t>
      </w:r>
      <w:r w:rsidR="4DC97615" w:rsidRPr="274B8BBE">
        <w:rPr>
          <w:rFonts w:ascii="Times New Roman" w:hAnsi="Times New Roman" w:cs="Times New Roman"/>
          <w:noProof/>
          <w:sz w:val="24"/>
          <w:szCs w:val="24"/>
        </w:rPr>
        <w:t xml:space="preserve">n October 2022 the </w:t>
      </w:r>
      <w:r w:rsidR="54251B75" w:rsidRPr="274B8BBE">
        <w:rPr>
          <w:rFonts w:ascii="Times New Roman" w:hAnsi="Times New Roman" w:cs="Times New Roman"/>
          <w:noProof/>
          <w:sz w:val="24"/>
          <w:szCs w:val="24"/>
        </w:rPr>
        <w:t xml:space="preserve">flagship </w:t>
      </w:r>
      <w:r w:rsidR="11FCF001" w:rsidRPr="274B8BBE">
        <w:rPr>
          <w:rFonts w:ascii="Times New Roman" w:hAnsi="Times New Roman" w:cs="Times New Roman"/>
          <w:noProof/>
          <w:sz w:val="24"/>
          <w:szCs w:val="24"/>
        </w:rPr>
        <w:t>Conditional</w:t>
      </w:r>
      <w:r w:rsidR="4DC97615" w:rsidRPr="274B8BBE">
        <w:rPr>
          <w:rFonts w:ascii="Times New Roman" w:hAnsi="Times New Roman" w:cs="Times New Roman"/>
          <w:noProof/>
          <w:sz w:val="24"/>
          <w:szCs w:val="24"/>
        </w:rPr>
        <w:t xml:space="preserve"> Cash Transfer for Education (CCTE) Programme </w:t>
      </w:r>
      <w:r w:rsidR="00411067">
        <w:rPr>
          <w:rFonts w:ascii="Times New Roman" w:hAnsi="Times New Roman" w:cs="Times New Roman"/>
          <w:noProof/>
          <w:sz w:val="24"/>
          <w:szCs w:val="24"/>
        </w:rPr>
        <w:t xml:space="preserve">was </w:t>
      </w:r>
      <w:r w:rsidR="071F0E3E" w:rsidRPr="274B8BBE">
        <w:rPr>
          <w:rFonts w:ascii="Times New Roman" w:hAnsi="Times New Roman" w:cs="Times New Roman"/>
          <w:noProof/>
          <w:sz w:val="24"/>
          <w:szCs w:val="24"/>
        </w:rPr>
        <w:t>successfully</w:t>
      </w:r>
      <w:r w:rsidR="00295611">
        <w:rPr>
          <w:rFonts w:ascii="Times New Roman" w:hAnsi="Times New Roman" w:cs="Times New Roman"/>
          <w:noProof/>
          <w:sz w:val="24"/>
          <w:szCs w:val="24"/>
        </w:rPr>
        <w:t xml:space="preserve"> handed over</w:t>
      </w:r>
      <w:r w:rsidR="4DC97615" w:rsidRPr="274B8BBE">
        <w:rPr>
          <w:rFonts w:ascii="Times New Roman" w:hAnsi="Times New Roman" w:cs="Times New Roman"/>
          <w:noProof/>
          <w:sz w:val="24"/>
          <w:szCs w:val="24"/>
        </w:rPr>
        <w:t xml:space="preserve"> to </w:t>
      </w:r>
      <w:r w:rsidR="28508209" w:rsidRPr="274B8BBE">
        <w:rPr>
          <w:rFonts w:ascii="Times New Roman" w:hAnsi="Times New Roman" w:cs="Times New Roman"/>
          <w:noProof/>
          <w:sz w:val="24"/>
          <w:szCs w:val="24"/>
        </w:rPr>
        <w:t>DG NEAR</w:t>
      </w:r>
      <w:r w:rsidR="4DC97615" w:rsidRPr="274B8BBE">
        <w:rPr>
          <w:rFonts w:ascii="Times New Roman" w:hAnsi="Times New Roman" w:cs="Times New Roman"/>
          <w:noProof/>
          <w:sz w:val="24"/>
          <w:szCs w:val="24"/>
        </w:rPr>
        <w:t>, in line with the humanitarian-development nexus</w:t>
      </w:r>
      <w:r w:rsidR="23B3626A" w:rsidRPr="274B8BBE">
        <w:rPr>
          <w:rFonts w:ascii="Times New Roman" w:hAnsi="Times New Roman" w:cs="Times New Roman"/>
          <w:noProof/>
          <w:sz w:val="24"/>
          <w:szCs w:val="24"/>
        </w:rPr>
        <w:t xml:space="preserve"> strategy</w:t>
      </w:r>
      <w:r w:rsidR="005654F7" w:rsidRPr="274B8BBE">
        <w:rPr>
          <w:rFonts w:ascii="Times New Roman" w:hAnsi="Times New Roman" w:cs="Times New Roman"/>
          <w:noProof/>
          <w:sz w:val="24"/>
          <w:szCs w:val="24"/>
        </w:rPr>
        <w:t>.</w:t>
      </w:r>
    </w:p>
    <w:p w14:paraId="05355CC2" w14:textId="41678AB2" w:rsidR="00D62E28" w:rsidRPr="003C09BF" w:rsidRDefault="00D62E28" w:rsidP="00946B31">
      <w:pPr>
        <w:pStyle w:val="ListParagraph"/>
        <w:numPr>
          <w:ilvl w:val="0"/>
          <w:numId w:val="26"/>
        </w:numPr>
        <w:ind w:left="284"/>
        <w:jc w:val="both"/>
        <w:rPr>
          <w:rFonts w:ascii="Times New Roman" w:hAnsi="Times New Roman" w:cs="Times New Roman"/>
          <w:b/>
          <w:bCs/>
          <w:noProof/>
          <w:sz w:val="24"/>
          <w:szCs w:val="24"/>
        </w:rPr>
      </w:pPr>
      <w:r w:rsidRPr="228D07B4">
        <w:rPr>
          <w:rFonts w:ascii="Times New Roman" w:hAnsi="Times New Roman" w:cs="Times New Roman"/>
          <w:b/>
          <w:bCs/>
          <w:noProof/>
          <w:sz w:val="24"/>
          <w:szCs w:val="24"/>
        </w:rPr>
        <w:t xml:space="preserve">Asia and the Pacific: </w:t>
      </w:r>
      <w:r w:rsidR="5BA40CFC" w:rsidRPr="228D07B4">
        <w:rPr>
          <w:rFonts w:ascii="Times New Roman" w:hAnsi="Times New Roman" w:cs="Times New Roman"/>
          <w:noProof/>
          <w:sz w:val="24"/>
          <w:szCs w:val="24"/>
        </w:rPr>
        <w:t>DG ECHO</w:t>
      </w:r>
      <w:r w:rsidRPr="228D07B4">
        <w:rPr>
          <w:rFonts w:ascii="Times New Roman" w:hAnsi="Times New Roman" w:cs="Times New Roman"/>
          <w:noProof/>
          <w:sz w:val="24"/>
          <w:szCs w:val="24"/>
        </w:rPr>
        <w:t xml:space="preserve"> </w:t>
      </w:r>
      <w:r w:rsidR="41403A6F" w:rsidRPr="228D07B4">
        <w:rPr>
          <w:rFonts w:ascii="Times New Roman" w:hAnsi="Times New Roman" w:cs="Times New Roman"/>
          <w:noProof/>
          <w:sz w:val="24"/>
          <w:szCs w:val="24"/>
        </w:rPr>
        <w:t xml:space="preserve">initially </w:t>
      </w:r>
      <w:r w:rsidRPr="228D07B4">
        <w:rPr>
          <w:rFonts w:ascii="Times New Roman" w:hAnsi="Times New Roman" w:cs="Times New Roman"/>
          <w:noProof/>
          <w:sz w:val="24"/>
          <w:szCs w:val="24"/>
        </w:rPr>
        <w:t xml:space="preserve">allocated over EUR 114 million </w:t>
      </w:r>
      <w:r w:rsidR="1ADF5B34" w:rsidRPr="228D07B4">
        <w:rPr>
          <w:rFonts w:ascii="Times New Roman" w:hAnsi="Times New Roman" w:cs="Times New Roman"/>
          <w:noProof/>
          <w:sz w:val="24"/>
          <w:szCs w:val="24"/>
        </w:rPr>
        <w:t>to</w:t>
      </w:r>
      <w:r w:rsidRPr="228D07B4">
        <w:rPr>
          <w:rFonts w:ascii="Times New Roman" w:hAnsi="Times New Roman" w:cs="Times New Roman"/>
          <w:noProof/>
          <w:sz w:val="24"/>
          <w:szCs w:val="24"/>
        </w:rPr>
        <w:t xml:space="preserve"> the region</w:t>
      </w:r>
      <w:r w:rsidR="000B6738" w:rsidRPr="228D07B4">
        <w:rPr>
          <w:rFonts w:ascii="Times New Roman" w:hAnsi="Times New Roman" w:cs="Times New Roman"/>
          <w:noProof/>
          <w:sz w:val="24"/>
          <w:szCs w:val="24"/>
        </w:rPr>
        <w:t xml:space="preserve"> in 2022</w:t>
      </w:r>
      <w:r w:rsidR="4D01D14D" w:rsidRPr="228D07B4">
        <w:rPr>
          <w:rFonts w:ascii="Times New Roman" w:hAnsi="Times New Roman" w:cs="Times New Roman"/>
          <w:noProof/>
          <w:sz w:val="24"/>
          <w:szCs w:val="24"/>
        </w:rPr>
        <w:t>,</w:t>
      </w:r>
      <w:r w:rsidRPr="228D07B4">
        <w:rPr>
          <w:rFonts w:ascii="Times New Roman" w:hAnsi="Times New Roman" w:cs="Times New Roman"/>
          <w:noProof/>
          <w:sz w:val="24"/>
          <w:szCs w:val="24"/>
        </w:rPr>
        <w:t xml:space="preserve"> mainly targeting the needs of populations</w:t>
      </w:r>
      <w:r w:rsidR="42B509AB" w:rsidRPr="228D07B4">
        <w:rPr>
          <w:rFonts w:ascii="Times New Roman" w:hAnsi="Times New Roman" w:cs="Times New Roman"/>
          <w:noProof/>
          <w:sz w:val="24"/>
          <w:szCs w:val="24"/>
        </w:rPr>
        <w:t xml:space="preserve"> displaced by the 2021 Taliban takeover</w:t>
      </w:r>
      <w:r w:rsidRPr="228D07B4">
        <w:rPr>
          <w:rFonts w:ascii="Times New Roman" w:hAnsi="Times New Roman" w:cs="Times New Roman"/>
          <w:noProof/>
          <w:sz w:val="24"/>
          <w:szCs w:val="24"/>
        </w:rPr>
        <w:t xml:space="preserve"> in Afghanistan, </w:t>
      </w:r>
      <w:r w:rsidR="00AE524C">
        <w:rPr>
          <w:rFonts w:ascii="Times New Roman" w:hAnsi="Times New Roman" w:cs="Times New Roman"/>
          <w:noProof/>
          <w:sz w:val="24"/>
          <w:szCs w:val="24"/>
        </w:rPr>
        <w:t>as well as</w:t>
      </w:r>
      <w:r w:rsidR="0098169A">
        <w:rPr>
          <w:rFonts w:ascii="Times New Roman" w:hAnsi="Times New Roman" w:cs="Times New Roman"/>
          <w:noProof/>
          <w:sz w:val="24"/>
          <w:szCs w:val="24"/>
        </w:rPr>
        <w:t xml:space="preserve"> the needs</w:t>
      </w:r>
      <w:r w:rsidR="00AE524C">
        <w:rPr>
          <w:rFonts w:ascii="Times New Roman" w:hAnsi="Times New Roman" w:cs="Times New Roman"/>
          <w:noProof/>
          <w:sz w:val="24"/>
          <w:szCs w:val="24"/>
        </w:rPr>
        <w:t xml:space="preserve"> of</w:t>
      </w:r>
      <w:r w:rsidRPr="228D07B4">
        <w:rPr>
          <w:rFonts w:ascii="Times New Roman" w:hAnsi="Times New Roman" w:cs="Times New Roman"/>
          <w:noProof/>
          <w:sz w:val="24"/>
          <w:szCs w:val="24"/>
        </w:rPr>
        <w:t xml:space="preserve"> </w:t>
      </w:r>
      <w:r w:rsidR="2435CD4F" w:rsidRPr="228D07B4">
        <w:rPr>
          <w:rFonts w:ascii="Times New Roman" w:hAnsi="Times New Roman" w:cs="Times New Roman"/>
          <w:noProof/>
          <w:sz w:val="24"/>
          <w:szCs w:val="24"/>
        </w:rPr>
        <w:t>p</w:t>
      </w:r>
      <w:r w:rsidR="00AE524C">
        <w:rPr>
          <w:rFonts w:ascii="Times New Roman" w:hAnsi="Times New Roman" w:cs="Times New Roman"/>
          <w:noProof/>
          <w:sz w:val="24"/>
          <w:szCs w:val="24"/>
        </w:rPr>
        <w:t>eople</w:t>
      </w:r>
      <w:r w:rsidR="2435CD4F" w:rsidRPr="228D07B4">
        <w:rPr>
          <w:rFonts w:ascii="Times New Roman" w:hAnsi="Times New Roman" w:cs="Times New Roman"/>
          <w:noProof/>
          <w:sz w:val="24"/>
          <w:szCs w:val="24"/>
        </w:rPr>
        <w:t xml:space="preserve"> </w:t>
      </w:r>
      <w:r w:rsidRPr="228D07B4">
        <w:rPr>
          <w:rFonts w:ascii="Times New Roman" w:hAnsi="Times New Roman" w:cs="Times New Roman"/>
          <w:noProof/>
          <w:sz w:val="24"/>
          <w:szCs w:val="24"/>
        </w:rPr>
        <w:t>affected by the 2021 coup d´état in Myanmar</w:t>
      </w:r>
      <w:r w:rsidR="3C5EF084" w:rsidRPr="228D07B4">
        <w:rPr>
          <w:rFonts w:ascii="Times New Roman" w:hAnsi="Times New Roman" w:cs="Times New Roman"/>
          <w:noProof/>
          <w:sz w:val="24"/>
          <w:szCs w:val="24"/>
        </w:rPr>
        <w:t>, including</w:t>
      </w:r>
      <w:r w:rsidR="0098169A">
        <w:rPr>
          <w:rFonts w:ascii="Times New Roman" w:hAnsi="Times New Roman" w:cs="Times New Roman"/>
          <w:noProof/>
          <w:sz w:val="24"/>
          <w:szCs w:val="24"/>
        </w:rPr>
        <w:t xml:space="preserve"> the</w:t>
      </w:r>
      <w:r w:rsidR="3C5EF084" w:rsidRPr="228D07B4">
        <w:rPr>
          <w:rFonts w:ascii="Times New Roman" w:hAnsi="Times New Roman" w:cs="Times New Roman"/>
          <w:noProof/>
          <w:sz w:val="24"/>
          <w:szCs w:val="24"/>
        </w:rPr>
        <w:t xml:space="preserve"> Rohingyas, and</w:t>
      </w:r>
      <w:r w:rsidR="00F9431E">
        <w:rPr>
          <w:rFonts w:ascii="Times New Roman" w:hAnsi="Times New Roman" w:cs="Times New Roman"/>
          <w:noProof/>
          <w:sz w:val="24"/>
          <w:szCs w:val="24"/>
        </w:rPr>
        <w:t xml:space="preserve"> </w:t>
      </w:r>
      <w:r w:rsidR="0098169A">
        <w:rPr>
          <w:rFonts w:ascii="Times New Roman" w:hAnsi="Times New Roman" w:cs="Times New Roman"/>
          <w:noProof/>
          <w:sz w:val="24"/>
          <w:szCs w:val="24"/>
        </w:rPr>
        <w:t xml:space="preserve">the needs </w:t>
      </w:r>
      <w:r w:rsidR="3C5EF084" w:rsidRPr="228D07B4">
        <w:rPr>
          <w:rFonts w:ascii="Times New Roman" w:hAnsi="Times New Roman" w:cs="Times New Roman"/>
          <w:noProof/>
          <w:sz w:val="24"/>
          <w:szCs w:val="24"/>
        </w:rPr>
        <w:t xml:space="preserve">of </w:t>
      </w:r>
      <w:r w:rsidR="0098169A">
        <w:rPr>
          <w:rFonts w:ascii="Times New Roman" w:hAnsi="Times New Roman" w:cs="Times New Roman"/>
          <w:noProof/>
          <w:sz w:val="24"/>
          <w:szCs w:val="24"/>
        </w:rPr>
        <w:t xml:space="preserve">the </w:t>
      </w:r>
      <w:r w:rsidR="3C5EF084" w:rsidRPr="228D07B4">
        <w:rPr>
          <w:rFonts w:ascii="Times New Roman" w:hAnsi="Times New Roman" w:cs="Times New Roman"/>
          <w:noProof/>
          <w:sz w:val="24"/>
          <w:szCs w:val="24"/>
        </w:rPr>
        <w:t>Rohingya refugees in Bangladesh</w:t>
      </w:r>
      <w:r w:rsidRPr="228D07B4">
        <w:rPr>
          <w:rFonts w:ascii="Times New Roman" w:hAnsi="Times New Roman" w:cs="Times New Roman"/>
          <w:noProof/>
          <w:sz w:val="24"/>
          <w:szCs w:val="24"/>
        </w:rPr>
        <w:t xml:space="preserve">. </w:t>
      </w:r>
      <w:r w:rsidR="00882D2F">
        <w:rPr>
          <w:rFonts w:ascii="Times New Roman" w:hAnsi="Times New Roman" w:cs="Times New Roman"/>
          <w:noProof/>
          <w:sz w:val="24"/>
          <w:szCs w:val="24"/>
        </w:rPr>
        <w:t>The EU and its M</w:t>
      </w:r>
      <w:r w:rsidR="0046017F">
        <w:rPr>
          <w:rFonts w:ascii="Times New Roman" w:hAnsi="Times New Roman" w:cs="Times New Roman"/>
          <w:noProof/>
          <w:sz w:val="24"/>
          <w:szCs w:val="24"/>
        </w:rPr>
        <w:t xml:space="preserve">ember States </w:t>
      </w:r>
      <w:r w:rsidR="00A3544A">
        <w:rPr>
          <w:rFonts w:ascii="Times New Roman" w:hAnsi="Times New Roman" w:cs="Times New Roman"/>
          <w:noProof/>
          <w:sz w:val="24"/>
          <w:szCs w:val="24"/>
        </w:rPr>
        <w:t xml:space="preserve">supported </w:t>
      </w:r>
      <w:r w:rsidR="002604B9">
        <w:rPr>
          <w:rFonts w:ascii="Times New Roman" w:hAnsi="Times New Roman" w:cs="Times New Roman"/>
          <w:noProof/>
          <w:sz w:val="24"/>
          <w:szCs w:val="24"/>
        </w:rPr>
        <w:t>substantial</w:t>
      </w:r>
      <w:r w:rsidR="00A3544A">
        <w:rPr>
          <w:rFonts w:ascii="Times New Roman" w:hAnsi="Times New Roman" w:cs="Times New Roman"/>
          <w:noProof/>
          <w:sz w:val="24"/>
          <w:szCs w:val="24"/>
        </w:rPr>
        <w:t>ly</w:t>
      </w:r>
      <w:r w:rsidR="002604B9">
        <w:rPr>
          <w:rFonts w:ascii="Times New Roman" w:hAnsi="Times New Roman" w:cs="Times New Roman"/>
          <w:noProof/>
          <w:sz w:val="24"/>
          <w:szCs w:val="24"/>
        </w:rPr>
        <w:t xml:space="preserve"> Pakistan</w:t>
      </w:r>
      <w:r w:rsidR="00905899">
        <w:rPr>
          <w:rFonts w:ascii="Times New Roman" w:hAnsi="Times New Roman" w:cs="Times New Roman"/>
          <w:noProof/>
          <w:sz w:val="24"/>
          <w:szCs w:val="24"/>
        </w:rPr>
        <w:t xml:space="preserve"> followi</w:t>
      </w:r>
      <w:r w:rsidR="002A5968">
        <w:rPr>
          <w:rFonts w:ascii="Times New Roman" w:hAnsi="Times New Roman" w:cs="Times New Roman"/>
          <w:noProof/>
          <w:sz w:val="24"/>
          <w:szCs w:val="24"/>
        </w:rPr>
        <w:t>ng the devastating floods</w:t>
      </w:r>
      <w:r w:rsidR="0027220D">
        <w:rPr>
          <w:rFonts w:ascii="Times New Roman" w:hAnsi="Times New Roman" w:cs="Times New Roman"/>
          <w:noProof/>
          <w:sz w:val="24"/>
          <w:szCs w:val="24"/>
        </w:rPr>
        <w:t xml:space="preserve"> in June 2022</w:t>
      </w:r>
      <w:r w:rsidR="00F64906">
        <w:rPr>
          <w:rFonts w:ascii="Times New Roman" w:hAnsi="Times New Roman" w:cs="Times New Roman"/>
          <w:noProof/>
          <w:sz w:val="24"/>
          <w:szCs w:val="24"/>
        </w:rPr>
        <w:t xml:space="preserve"> </w:t>
      </w:r>
      <w:r w:rsidR="009D3C5B">
        <w:rPr>
          <w:rFonts w:ascii="Times New Roman" w:hAnsi="Times New Roman" w:cs="Times New Roman"/>
          <w:noProof/>
          <w:sz w:val="24"/>
          <w:szCs w:val="24"/>
        </w:rPr>
        <w:t xml:space="preserve">as well as </w:t>
      </w:r>
      <w:r w:rsidR="00886225">
        <w:rPr>
          <w:rFonts w:ascii="Times New Roman" w:hAnsi="Times New Roman" w:cs="Times New Roman"/>
          <w:noProof/>
          <w:sz w:val="24"/>
          <w:szCs w:val="24"/>
        </w:rPr>
        <w:t xml:space="preserve">in </w:t>
      </w:r>
      <w:r w:rsidR="009D3C5B">
        <w:rPr>
          <w:rFonts w:ascii="Times New Roman" w:hAnsi="Times New Roman" w:cs="Times New Roman"/>
          <w:noProof/>
          <w:sz w:val="24"/>
          <w:szCs w:val="24"/>
        </w:rPr>
        <w:t xml:space="preserve">the </w:t>
      </w:r>
      <w:r w:rsidR="00886225">
        <w:rPr>
          <w:rFonts w:ascii="Times New Roman" w:hAnsi="Times New Roman" w:cs="Times New Roman"/>
          <w:noProof/>
          <w:sz w:val="24"/>
          <w:szCs w:val="24"/>
        </w:rPr>
        <w:t xml:space="preserve">drafting </w:t>
      </w:r>
      <w:r w:rsidR="009D3C5B">
        <w:rPr>
          <w:rFonts w:ascii="Times New Roman" w:hAnsi="Times New Roman" w:cs="Times New Roman"/>
          <w:noProof/>
          <w:sz w:val="24"/>
          <w:szCs w:val="24"/>
        </w:rPr>
        <w:t xml:space="preserve">of </w:t>
      </w:r>
      <w:r w:rsidR="00886225">
        <w:rPr>
          <w:rFonts w:ascii="Times New Roman" w:hAnsi="Times New Roman" w:cs="Times New Roman"/>
          <w:noProof/>
          <w:sz w:val="24"/>
          <w:szCs w:val="24"/>
        </w:rPr>
        <w:t>its post disaster needs assessment and recove</w:t>
      </w:r>
      <w:r w:rsidR="007B7F5A">
        <w:rPr>
          <w:rFonts w:ascii="Times New Roman" w:hAnsi="Times New Roman" w:cs="Times New Roman"/>
          <w:noProof/>
          <w:sz w:val="24"/>
          <w:szCs w:val="24"/>
        </w:rPr>
        <w:t>r</w:t>
      </w:r>
      <w:r w:rsidR="00886225">
        <w:rPr>
          <w:rFonts w:ascii="Times New Roman" w:hAnsi="Times New Roman" w:cs="Times New Roman"/>
          <w:noProof/>
          <w:sz w:val="24"/>
          <w:szCs w:val="24"/>
        </w:rPr>
        <w:t xml:space="preserve">y framework. </w:t>
      </w:r>
      <w:r w:rsidR="30287AEA" w:rsidRPr="228D07B4">
        <w:rPr>
          <w:rFonts w:ascii="Times New Roman" w:hAnsi="Times New Roman" w:cs="Times New Roman"/>
          <w:noProof/>
          <w:sz w:val="24"/>
          <w:szCs w:val="24"/>
        </w:rPr>
        <w:t>T</w:t>
      </w:r>
      <w:r w:rsidRPr="228D07B4">
        <w:rPr>
          <w:rFonts w:ascii="Times New Roman" w:hAnsi="Times New Roman" w:cs="Times New Roman"/>
          <w:noProof/>
          <w:sz w:val="24"/>
          <w:szCs w:val="24"/>
        </w:rPr>
        <w:t xml:space="preserve">he Commission also addressed the needs arising from the Mindanao conflict and </w:t>
      </w:r>
      <w:r w:rsidR="223A9853" w:rsidRPr="228D07B4">
        <w:rPr>
          <w:rFonts w:ascii="Times New Roman" w:hAnsi="Times New Roman" w:cs="Times New Roman"/>
          <w:noProof/>
          <w:sz w:val="24"/>
          <w:szCs w:val="24"/>
        </w:rPr>
        <w:t xml:space="preserve">from </w:t>
      </w:r>
      <w:r w:rsidRPr="228D07B4">
        <w:rPr>
          <w:rFonts w:ascii="Times New Roman" w:hAnsi="Times New Roman" w:cs="Times New Roman"/>
          <w:noProof/>
          <w:sz w:val="24"/>
          <w:szCs w:val="24"/>
        </w:rPr>
        <w:t xml:space="preserve">natural disasters in the Philippines. </w:t>
      </w:r>
      <w:r w:rsidR="7334CE62" w:rsidRPr="228D07B4">
        <w:rPr>
          <w:rFonts w:ascii="Times New Roman" w:hAnsi="Times New Roman" w:cs="Times New Roman"/>
          <w:noProof/>
          <w:sz w:val="24"/>
          <w:szCs w:val="24"/>
        </w:rPr>
        <w:t>The</w:t>
      </w:r>
      <w:r w:rsidRPr="228D07B4">
        <w:rPr>
          <w:rFonts w:ascii="Times New Roman" w:hAnsi="Times New Roman" w:cs="Times New Roman"/>
          <w:noProof/>
          <w:sz w:val="24"/>
          <w:szCs w:val="24"/>
        </w:rPr>
        <w:t xml:space="preserve"> final budget </w:t>
      </w:r>
      <w:r w:rsidR="376C211E" w:rsidRPr="228D07B4">
        <w:rPr>
          <w:rFonts w:ascii="Times New Roman" w:hAnsi="Times New Roman" w:cs="Times New Roman"/>
          <w:noProof/>
          <w:sz w:val="24"/>
          <w:szCs w:val="24"/>
        </w:rPr>
        <w:t xml:space="preserve">for this region </w:t>
      </w:r>
      <w:r w:rsidR="3FA46A0E" w:rsidRPr="228D07B4">
        <w:rPr>
          <w:rFonts w:ascii="Times New Roman" w:hAnsi="Times New Roman" w:cs="Times New Roman"/>
          <w:noProof/>
          <w:sz w:val="24"/>
          <w:szCs w:val="24"/>
        </w:rPr>
        <w:t>at the end of</w:t>
      </w:r>
      <w:r w:rsidR="06519F14" w:rsidRPr="228D07B4">
        <w:rPr>
          <w:rFonts w:ascii="Times New Roman" w:hAnsi="Times New Roman" w:cs="Times New Roman"/>
          <w:noProof/>
          <w:sz w:val="24"/>
          <w:szCs w:val="24"/>
        </w:rPr>
        <w:t xml:space="preserve"> </w:t>
      </w:r>
      <w:r w:rsidR="5BEC41DF" w:rsidRPr="228D07B4">
        <w:rPr>
          <w:rFonts w:ascii="Times New Roman" w:hAnsi="Times New Roman" w:cs="Times New Roman"/>
          <w:noProof/>
          <w:sz w:val="24"/>
          <w:szCs w:val="24"/>
        </w:rPr>
        <w:t>2022</w:t>
      </w:r>
      <w:r w:rsidR="0032741E" w:rsidRPr="228D07B4">
        <w:rPr>
          <w:rFonts w:ascii="Times New Roman" w:hAnsi="Times New Roman" w:cs="Times New Roman"/>
          <w:noProof/>
          <w:sz w:val="24"/>
          <w:szCs w:val="24"/>
        </w:rPr>
        <w:t xml:space="preserve"> </w:t>
      </w:r>
      <w:r w:rsidR="65A59BA9" w:rsidRPr="228D07B4">
        <w:rPr>
          <w:rFonts w:ascii="Times New Roman" w:hAnsi="Times New Roman" w:cs="Times New Roman"/>
          <w:noProof/>
          <w:sz w:val="24"/>
          <w:szCs w:val="24"/>
        </w:rPr>
        <w:t>amounted</w:t>
      </w:r>
      <w:r w:rsidR="376C211E" w:rsidRPr="228D07B4">
        <w:rPr>
          <w:rFonts w:ascii="Times New Roman" w:hAnsi="Times New Roman" w:cs="Times New Roman"/>
          <w:noProof/>
          <w:sz w:val="24"/>
          <w:szCs w:val="24"/>
        </w:rPr>
        <w:t xml:space="preserve"> to </w:t>
      </w:r>
      <w:r w:rsidRPr="228D07B4">
        <w:rPr>
          <w:rFonts w:ascii="Times New Roman" w:hAnsi="Times New Roman" w:cs="Times New Roman"/>
          <w:noProof/>
          <w:sz w:val="24"/>
          <w:szCs w:val="24"/>
        </w:rPr>
        <w:t>EUR 31</w:t>
      </w:r>
      <w:r w:rsidR="00D972EB" w:rsidRPr="228D07B4">
        <w:rPr>
          <w:rFonts w:ascii="Times New Roman" w:hAnsi="Times New Roman" w:cs="Times New Roman"/>
          <w:noProof/>
          <w:sz w:val="24"/>
          <w:szCs w:val="24"/>
        </w:rPr>
        <w:t>3</w:t>
      </w:r>
      <w:r w:rsidRPr="228D07B4">
        <w:rPr>
          <w:rFonts w:ascii="Times New Roman" w:hAnsi="Times New Roman" w:cs="Times New Roman"/>
          <w:noProof/>
          <w:sz w:val="24"/>
          <w:szCs w:val="24"/>
        </w:rPr>
        <w:t xml:space="preserve"> million.</w:t>
      </w:r>
    </w:p>
    <w:p w14:paraId="6B342A62" w14:textId="292A621F" w:rsidR="00D62E28" w:rsidRPr="003C09BF" w:rsidRDefault="00D62E28" w:rsidP="00946B31">
      <w:pPr>
        <w:pStyle w:val="ListParagraph"/>
        <w:numPr>
          <w:ilvl w:val="0"/>
          <w:numId w:val="26"/>
        </w:numPr>
        <w:spacing w:after="240" w:line="240" w:lineRule="auto"/>
        <w:ind w:left="284" w:hanging="357"/>
        <w:jc w:val="both"/>
        <w:rPr>
          <w:rFonts w:ascii="Times New Roman" w:hAnsi="Times New Roman" w:cs="Times New Roman"/>
          <w:b/>
          <w:bCs/>
          <w:noProof/>
          <w:sz w:val="24"/>
          <w:szCs w:val="24"/>
        </w:rPr>
      </w:pPr>
      <w:r w:rsidRPr="228D07B4">
        <w:rPr>
          <w:rFonts w:ascii="Times New Roman" w:hAnsi="Times New Roman" w:cs="Times New Roman"/>
          <w:b/>
          <w:bCs/>
          <w:noProof/>
          <w:sz w:val="24"/>
          <w:szCs w:val="24"/>
        </w:rPr>
        <w:t xml:space="preserve">Americas and the Caribbean: </w:t>
      </w:r>
      <w:r w:rsidR="00BA1016">
        <w:rPr>
          <w:rFonts w:ascii="Times New Roman" w:hAnsi="Times New Roman" w:cs="Times New Roman"/>
          <w:bCs/>
          <w:noProof/>
          <w:sz w:val="24"/>
          <w:szCs w:val="24"/>
        </w:rPr>
        <w:t xml:space="preserve">The </w:t>
      </w:r>
      <w:r w:rsidRPr="228D07B4">
        <w:rPr>
          <w:rFonts w:ascii="Times New Roman" w:hAnsi="Times New Roman" w:cs="Times New Roman"/>
          <w:noProof/>
          <w:sz w:val="24"/>
          <w:szCs w:val="24"/>
        </w:rPr>
        <w:t>Commission</w:t>
      </w:r>
      <w:r w:rsidR="00BA1016">
        <w:rPr>
          <w:rFonts w:ascii="Times New Roman" w:hAnsi="Times New Roman" w:cs="Times New Roman"/>
          <w:noProof/>
          <w:sz w:val="24"/>
          <w:szCs w:val="24"/>
        </w:rPr>
        <w:t>’s</w:t>
      </w:r>
      <w:r w:rsidRPr="228D07B4">
        <w:rPr>
          <w:rFonts w:ascii="Times New Roman" w:hAnsi="Times New Roman" w:cs="Times New Roman"/>
          <w:noProof/>
          <w:sz w:val="24"/>
          <w:szCs w:val="24"/>
        </w:rPr>
        <w:t xml:space="preserve"> action</w:t>
      </w:r>
      <w:r w:rsidR="02040AA3" w:rsidRPr="228D07B4">
        <w:rPr>
          <w:rFonts w:ascii="Times New Roman" w:hAnsi="Times New Roman" w:cs="Times New Roman"/>
          <w:noProof/>
          <w:sz w:val="24"/>
          <w:szCs w:val="24"/>
        </w:rPr>
        <w:t>s</w:t>
      </w:r>
      <w:r w:rsidRPr="228D07B4">
        <w:rPr>
          <w:rFonts w:ascii="Times New Roman" w:hAnsi="Times New Roman" w:cs="Times New Roman"/>
          <w:noProof/>
          <w:sz w:val="24"/>
          <w:szCs w:val="24"/>
        </w:rPr>
        <w:t xml:space="preserve"> focused on </w:t>
      </w:r>
      <w:r w:rsidR="4BBC87F6" w:rsidRPr="228D07B4">
        <w:rPr>
          <w:rFonts w:ascii="Times New Roman" w:hAnsi="Times New Roman" w:cs="Times New Roman"/>
          <w:noProof/>
          <w:sz w:val="24"/>
          <w:szCs w:val="24"/>
        </w:rPr>
        <w:t>providing relie</w:t>
      </w:r>
      <w:r w:rsidR="4BA5E36D" w:rsidRPr="228D07B4">
        <w:rPr>
          <w:rFonts w:ascii="Times New Roman" w:hAnsi="Times New Roman" w:cs="Times New Roman"/>
          <w:noProof/>
          <w:sz w:val="24"/>
          <w:szCs w:val="24"/>
        </w:rPr>
        <w:t>f</w:t>
      </w:r>
      <w:r w:rsidR="4BBC87F6" w:rsidRPr="228D07B4">
        <w:rPr>
          <w:rFonts w:ascii="Times New Roman" w:hAnsi="Times New Roman" w:cs="Times New Roman"/>
          <w:noProof/>
          <w:sz w:val="24"/>
          <w:szCs w:val="24"/>
        </w:rPr>
        <w:t xml:space="preserve"> to </w:t>
      </w:r>
      <w:r w:rsidR="000F4ACA">
        <w:rPr>
          <w:rFonts w:ascii="Times New Roman" w:hAnsi="Times New Roman" w:cs="Times New Roman"/>
          <w:noProof/>
          <w:sz w:val="24"/>
          <w:szCs w:val="24"/>
        </w:rPr>
        <w:t>people</w:t>
      </w:r>
      <w:r w:rsidR="000F4ACA" w:rsidRPr="228D07B4">
        <w:rPr>
          <w:rFonts w:ascii="Times New Roman" w:hAnsi="Times New Roman" w:cs="Times New Roman"/>
          <w:noProof/>
          <w:sz w:val="24"/>
          <w:szCs w:val="24"/>
        </w:rPr>
        <w:t xml:space="preserve"> </w:t>
      </w:r>
      <w:r w:rsidR="4BBC87F6" w:rsidRPr="228D07B4">
        <w:rPr>
          <w:rFonts w:ascii="Times New Roman" w:hAnsi="Times New Roman" w:cs="Times New Roman"/>
          <w:noProof/>
          <w:sz w:val="24"/>
          <w:szCs w:val="24"/>
        </w:rPr>
        <w:t xml:space="preserve">affected by </w:t>
      </w:r>
      <w:r w:rsidR="258F9100" w:rsidRPr="228D07B4">
        <w:rPr>
          <w:rFonts w:ascii="Times New Roman" w:hAnsi="Times New Roman" w:cs="Times New Roman"/>
          <w:noProof/>
          <w:sz w:val="24"/>
          <w:szCs w:val="24"/>
        </w:rPr>
        <w:t xml:space="preserve">the </w:t>
      </w:r>
      <w:r w:rsidRPr="228D07B4">
        <w:rPr>
          <w:rFonts w:ascii="Times New Roman" w:hAnsi="Times New Roman" w:cs="Times New Roman"/>
          <w:noProof/>
          <w:sz w:val="24"/>
          <w:szCs w:val="24"/>
        </w:rPr>
        <w:t xml:space="preserve">internal and regional crisis in Venezuela, the armed conflict in Colombia as well as the pervasive </w:t>
      </w:r>
      <w:r w:rsidR="65FB569D" w:rsidRPr="228D07B4">
        <w:rPr>
          <w:rFonts w:ascii="Times New Roman" w:hAnsi="Times New Roman" w:cs="Times New Roman"/>
          <w:noProof/>
          <w:sz w:val="24"/>
          <w:szCs w:val="24"/>
        </w:rPr>
        <w:t xml:space="preserve">organised </w:t>
      </w:r>
      <w:r w:rsidRPr="228D07B4">
        <w:rPr>
          <w:rFonts w:ascii="Times New Roman" w:hAnsi="Times New Roman" w:cs="Times New Roman"/>
          <w:noProof/>
          <w:sz w:val="24"/>
          <w:szCs w:val="24"/>
        </w:rPr>
        <w:t xml:space="preserve">violence in Haiti, Central America and Mexico. </w:t>
      </w:r>
      <w:r w:rsidR="000F4ACA">
        <w:rPr>
          <w:rFonts w:ascii="Times New Roman" w:hAnsi="Times New Roman" w:cs="Times New Roman"/>
          <w:noProof/>
          <w:sz w:val="24"/>
          <w:szCs w:val="24"/>
        </w:rPr>
        <w:t>They</w:t>
      </w:r>
      <w:r w:rsidR="000F4ACA" w:rsidRPr="228D07B4">
        <w:rPr>
          <w:rFonts w:ascii="Times New Roman" w:hAnsi="Times New Roman" w:cs="Times New Roman"/>
          <w:noProof/>
          <w:sz w:val="24"/>
          <w:szCs w:val="24"/>
        </w:rPr>
        <w:t xml:space="preserve"> </w:t>
      </w:r>
      <w:r w:rsidR="466FC3BB" w:rsidRPr="228D07B4">
        <w:rPr>
          <w:rFonts w:ascii="Times New Roman" w:hAnsi="Times New Roman" w:cs="Times New Roman"/>
          <w:noProof/>
          <w:sz w:val="24"/>
          <w:szCs w:val="24"/>
        </w:rPr>
        <w:t xml:space="preserve">also </w:t>
      </w:r>
      <w:r w:rsidR="66C1E1C6" w:rsidRPr="228D07B4">
        <w:rPr>
          <w:rFonts w:ascii="Times New Roman" w:hAnsi="Times New Roman" w:cs="Times New Roman"/>
          <w:noProof/>
          <w:sz w:val="24"/>
          <w:szCs w:val="24"/>
        </w:rPr>
        <w:t xml:space="preserve">responded to the </w:t>
      </w:r>
      <w:r w:rsidR="466FC3BB" w:rsidRPr="228D07B4">
        <w:rPr>
          <w:rFonts w:ascii="Times New Roman" w:hAnsi="Times New Roman" w:cs="Times New Roman"/>
          <w:noProof/>
          <w:sz w:val="24"/>
          <w:szCs w:val="24"/>
        </w:rPr>
        <w:t xml:space="preserve">humanitarian needs of </w:t>
      </w:r>
      <w:r w:rsidR="525D4F05" w:rsidRPr="228D07B4">
        <w:rPr>
          <w:rFonts w:ascii="Times New Roman" w:hAnsi="Times New Roman" w:cs="Times New Roman"/>
          <w:noProof/>
          <w:sz w:val="24"/>
          <w:szCs w:val="24"/>
        </w:rPr>
        <w:t xml:space="preserve">displaced </w:t>
      </w:r>
      <w:r w:rsidR="466FC3BB" w:rsidRPr="228D07B4">
        <w:rPr>
          <w:rFonts w:ascii="Times New Roman" w:hAnsi="Times New Roman" w:cs="Times New Roman"/>
          <w:noProof/>
          <w:sz w:val="24"/>
          <w:szCs w:val="24"/>
        </w:rPr>
        <w:t xml:space="preserve">people throughout the continent and </w:t>
      </w:r>
      <w:r w:rsidR="2FD1F0C7" w:rsidRPr="228D07B4">
        <w:rPr>
          <w:rFonts w:ascii="Times New Roman" w:hAnsi="Times New Roman" w:cs="Times New Roman"/>
          <w:noProof/>
          <w:sz w:val="24"/>
          <w:szCs w:val="24"/>
        </w:rPr>
        <w:t xml:space="preserve">supported </w:t>
      </w:r>
      <w:r w:rsidR="466FC3BB" w:rsidRPr="228D07B4">
        <w:rPr>
          <w:rFonts w:ascii="Times New Roman" w:hAnsi="Times New Roman" w:cs="Times New Roman"/>
          <w:noProof/>
          <w:sz w:val="24"/>
          <w:szCs w:val="24"/>
        </w:rPr>
        <w:t>disaster preparedness</w:t>
      </w:r>
      <w:r w:rsidR="4802A474" w:rsidRPr="228D07B4">
        <w:rPr>
          <w:rFonts w:ascii="Times New Roman" w:hAnsi="Times New Roman" w:cs="Times New Roman"/>
          <w:noProof/>
          <w:sz w:val="24"/>
          <w:szCs w:val="24"/>
        </w:rPr>
        <w:t xml:space="preserve">. </w:t>
      </w:r>
      <w:r w:rsidRPr="228D07B4">
        <w:rPr>
          <w:rFonts w:ascii="Times New Roman" w:hAnsi="Times New Roman" w:cs="Times New Roman"/>
          <w:noProof/>
          <w:sz w:val="24"/>
          <w:szCs w:val="24"/>
        </w:rPr>
        <w:t xml:space="preserve">The </w:t>
      </w:r>
      <w:r w:rsidR="56DEC07E" w:rsidRPr="228D07B4">
        <w:rPr>
          <w:rFonts w:ascii="Times New Roman" w:hAnsi="Times New Roman" w:cs="Times New Roman"/>
          <w:noProof/>
          <w:sz w:val="24"/>
          <w:szCs w:val="24"/>
        </w:rPr>
        <w:t>C</w:t>
      </w:r>
      <w:r w:rsidRPr="228D07B4">
        <w:rPr>
          <w:rFonts w:ascii="Times New Roman" w:hAnsi="Times New Roman" w:cs="Times New Roman"/>
          <w:noProof/>
          <w:sz w:val="24"/>
          <w:szCs w:val="24"/>
        </w:rPr>
        <w:t xml:space="preserve">ommission initially allocated over EUR 74 million </w:t>
      </w:r>
      <w:r w:rsidR="136E038A" w:rsidRPr="228D07B4">
        <w:rPr>
          <w:rFonts w:ascii="Times New Roman" w:hAnsi="Times New Roman" w:cs="Times New Roman"/>
          <w:noProof/>
          <w:sz w:val="24"/>
          <w:szCs w:val="24"/>
        </w:rPr>
        <w:t>to</w:t>
      </w:r>
      <w:r w:rsidRPr="228D07B4">
        <w:rPr>
          <w:rFonts w:ascii="Times New Roman" w:hAnsi="Times New Roman" w:cs="Times New Roman"/>
          <w:noProof/>
          <w:sz w:val="24"/>
          <w:szCs w:val="24"/>
        </w:rPr>
        <w:t xml:space="preserve"> the region</w:t>
      </w:r>
      <w:r w:rsidR="00295611">
        <w:rPr>
          <w:rFonts w:ascii="Times New Roman" w:hAnsi="Times New Roman" w:cs="Times New Roman"/>
          <w:noProof/>
          <w:sz w:val="24"/>
          <w:szCs w:val="24"/>
        </w:rPr>
        <w:t xml:space="preserve"> which</w:t>
      </w:r>
      <w:r w:rsidR="6FD33148" w:rsidRPr="228D07B4">
        <w:rPr>
          <w:rFonts w:ascii="Times New Roman" w:hAnsi="Times New Roman" w:cs="Times New Roman"/>
          <w:noProof/>
          <w:sz w:val="24"/>
          <w:szCs w:val="24"/>
        </w:rPr>
        <w:t xml:space="preserve"> was</w:t>
      </w:r>
      <w:r w:rsidRPr="228D07B4">
        <w:rPr>
          <w:rFonts w:ascii="Times New Roman" w:hAnsi="Times New Roman" w:cs="Times New Roman"/>
          <w:noProof/>
          <w:sz w:val="24"/>
          <w:szCs w:val="24"/>
        </w:rPr>
        <w:t xml:space="preserve"> increased to </w:t>
      </w:r>
      <w:r w:rsidR="0DAF3204" w:rsidRPr="228D07B4">
        <w:rPr>
          <w:rFonts w:ascii="Times New Roman" w:hAnsi="Times New Roman" w:cs="Times New Roman"/>
          <w:noProof/>
          <w:sz w:val="24"/>
          <w:szCs w:val="24"/>
        </w:rPr>
        <w:t xml:space="preserve">reach </w:t>
      </w:r>
      <w:r w:rsidRPr="228D07B4">
        <w:rPr>
          <w:rFonts w:ascii="Times New Roman" w:hAnsi="Times New Roman" w:cs="Times New Roman"/>
          <w:noProof/>
          <w:sz w:val="24"/>
          <w:szCs w:val="24"/>
        </w:rPr>
        <w:t>EUR 15</w:t>
      </w:r>
      <w:r w:rsidR="29700A42" w:rsidRPr="228D07B4">
        <w:rPr>
          <w:rFonts w:ascii="Times New Roman" w:hAnsi="Times New Roman" w:cs="Times New Roman"/>
          <w:noProof/>
          <w:sz w:val="24"/>
          <w:szCs w:val="24"/>
        </w:rPr>
        <w:t>5</w:t>
      </w:r>
      <w:r w:rsidRPr="228D07B4">
        <w:rPr>
          <w:rFonts w:ascii="Times New Roman" w:hAnsi="Times New Roman" w:cs="Times New Roman"/>
          <w:noProof/>
          <w:sz w:val="24"/>
          <w:szCs w:val="24"/>
        </w:rPr>
        <w:t xml:space="preserve"> million </w:t>
      </w:r>
      <w:r w:rsidR="0DAF3204" w:rsidRPr="228D07B4">
        <w:rPr>
          <w:rFonts w:ascii="Times New Roman" w:hAnsi="Times New Roman" w:cs="Times New Roman"/>
          <w:noProof/>
          <w:sz w:val="24"/>
          <w:szCs w:val="24"/>
        </w:rPr>
        <w:t>at the end of</w:t>
      </w:r>
      <w:r w:rsidRPr="228D07B4">
        <w:rPr>
          <w:rFonts w:ascii="Times New Roman" w:hAnsi="Times New Roman" w:cs="Times New Roman"/>
          <w:noProof/>
          <w:sz w:val="24"/>
          <w:szCs w:val="24"/>
        </w:rPr>
        <w:t xml:space="preserve"> the year. </w:t>
      </w:r>
    </w:p>
    <w:p w14:paraId="4B4ADC60" w14:textId="27B3A2BE" w:rsidR="00D62E28" w:rsidRDefault="004C5002" w:rsidP="7F439249">
      <w:pPr>
        <w:rPr>
          <w:noProof/>
        </w:rPr>
      </w:pPr>
      <w:r>
        <w:rPr>
          <w:noProof/>
        </w:rPr>
        <w:t>In general</w:t>
      </w:r>
      <w:r w:rsidR="00295611">
        <w:rPr>
          <w:noProof/>
        </w:rPr>
        <w:t>,</w:t>
      </w:r>
      <w:r>
        <w:rPr>
          <w:noProof/>
        </w:rPr>
        <w:t xml:space="preserve"> </w:t>
      </w:r>
      <w:r w:rsidR="7364D44A">
        <w:rPr>
          <w:noProof/>
        </w:rPr>
        <w:t>DG ECHO does not deliver its humanitarian a</w:t>
      </w:r>
      <w:r w:rsidR="00FD3546">
        <w:rPr>
          <w:noProof/>
        </w:rPr>
        <w:t>ssistance</w:t>
      </w:r>
      <w:r w:rsidR="7364D44A">
        <w:rPr>
          <w:noProof/>
        </w:rPr>
        <w:t xml:space="preserve"> directly but fulfils its mandate by providing funding to about 200 partners </w:t>
      </w:r>
      <w:r w:rsidR="1F926177">
        <w:rPr>
          <w:noProof/>
        </w:rPr>
        <w:t>(</w:t>
      </w:r>
      <w:r w:rsidR="629159B0">
        <w:rPr>
          <w:noProof/>
        </w:rPr>
        <w:t xml:space="preserve">complete list included </w:t>
      </w:r>
      <w:r w:rsidR="629159B0" w:rsidRPr="00063C9A">
        <w:rPr>
          <w:noProof/>
        </w:rPr>
        <w:t xml:space="preserve">in </w:t>
      </w:r>
      <w:r w:rsidR="1F926177" w:rsidRPr="00063C9A">
        <w:rPr>
          <w:noProof/>
        </w:rPr>
        <w:t xml:space="preserve">Annex </w:t>
      </w:r>
      <w:r w:rsidR="002B6243" w:rsidRPr="00063C9A">
        <w:rPr>
          <w:noProof/>
        </w:rPr>
        <w:t>II</w:t>
      </w:r>
      <w:r w:rsidR="1380DF2F" w:rsidRPr="00063C9A">
        <w:rPr>
          <w:noProof/>
        </w:rPr>
        <w:t>)</w:t>
      </w:r>
      <w:r w:rsidR="7364D44A" w:rsidRPr="00063C9A">
        <w:rPr>
          <w:noProof/>
        </w:rPr>
        <w:t>.</w:t>
      </w:r>
      <w:r w:rsidR="7364D44A">
        <w:rPr>
          <w:noProof/>
        </w:rPr>
        <w:t xml:space="preserve"> In 2022, funding was distributed among DG ECHO’s partners as follows: </w:t>
      </w:r>
      <w:r w:rsidR="3083730A">
        <w:rPr>
          <w:noProof/>
        </w:rPr>
        <w:t>3</w:t>
      </w:r>
      <w:r w:rsidR="01C1D9DA">
        <w:rPr>
          <w:noProof/>
        </w:rPr>
        <w:t>8.</w:t>
      </w:r>
      <w:r w:rsidR="00076602">
        <w:rPr>
          <w:noProof/>
        </w:rPr>
        <w:t>6</w:t>
      </w:r>
      <w:r w:rsidR="48E15B03">
        <w:rPr>
          <w:noProof/>
        </w:rPr>
        <w:t xml:space="preserve">% to </w:t>
      </w:r>
      <w:r w:rsidR="7364D44A">
        <w:rPr>
          <w:noProof/>
        </w:rPr>
        <w:t>N</w:t>
      </w:r>
      <w:r w:rsidR="2213E74D">
        <w:rPr>
          <w:noProof/>
        </w:rPr>
        <w:t>on-</w:t>
      </w:r>
      <w:r w:rsidR="7364D44A">
        <w:rPr>
          <w:noProof/>
        </w:rPr>
        <w:t>G</w:t>
      </w:r>
      <w:r w:rsidR="3BD62CAA">
        <w:rPr>
          <w:noProof/>
        </w:rPr>
        <w:t xml:space="preserve">overnmental </w:t>
      </w:r>
      <w:r w:rsidR="7364D44A">
        <w:rPr>
          <w:noProof/>
        </w:rPr>
        <w:t>O</w:t>
      </w:r>
      <w:r w:rsidR="7FC5D2F8">
        <w:rPr>
          <w:noProof/>
        </w:rPr>
        <w:t>rganisation</w:t>
      </w:r>
      <w:r w:rsidR="7364D44A">
        <w:rPr>
          <w:noProof/>
        </w:rPr>
        <w:t>s</w:t>
      </w:r>
      <w:r w:rsidR="6C59C59B">
        <w:rPr>
          <w:noProof/>
        </w:rPr>
        <w:t xml:space="preserve"> (NGOs)</w:t>
      </w:r>
      <w:r w:rsidR="7364D44A">
        <w:rPr>
          <w:noProof/>
        </w:rPr>
        <w:t xml:space="preserve">, </w:t>
      </w:r>
      <w:r w:rsidR="3005C1B1">
        <w:rPr>
          <w:noProof/>
        </w:rPr>
        <w:t>49.6</w:t>
      </w:r>
      <w:r w:rsidR="06CEE16A">
        <w:rPr>
          <w:noProof/>
        </w:rPr>
        <w:t xml:space="preserve">% to </w:t>
      </w:r>
      <w:r w:rsidR="7364D44A">
        <w:rPr>
          <w:noProof/>
        </w:rPr>
        <w:t>UN agencies</w:t>
      </w:r>
      <w:r w:rsidR="12A54BBE">
        <w:rPr>
          <w:noProof/>
        </w:rPr>
        <w:t>,</w:t>
      </w:r>
      <w:r w:rsidR="7364D44A">
        <w:rPr>
          <w:noProof/>
        </w:rPr>
        <w:t xml:space="preserve"> </w:t>
      </w:r>
      <w:r w:rsidR="1720BEA4">
        <w:rPr>
          <w:noProof/>
        </w:rPr>
        <w:t>11</w:t>
      </w:r>
      <w:r w:rsidR="70C84C0B">
        <w:rPr>
          <w:noProof/>
        </w:rPr>
        <w:t>.</w:t>
      </w:r>
      <w:r w:rsidR="009C48C9">
        <w:rPr>
          <w:noProof/>
        </w:rPr>
        <w:t>2</w:t>
      </w:r>
      <w:r w:rsidR="1720BEA4">
        <w:rPr>
          <w:noProof/>
        </w:rPr>
        <w:t xml:space="preserve">% to </w:t>
      </w:r>
      <w:r w:rsidR="7364D44A">
        <w:rPr>
          <w:noProof/>
        </w:rPr>
        <w:t>international organisations</w:t>
      </w:r>
      <w:r w:rsidR="12A54BBE">
        <w:rPr>
          <w:noProof/>
        </w:rPr>
        <w:t xml:space="preserve"> and 0.6% to </w:t>
      </w:r>
      <w:r>
        <w:rPr>
          <w:noProof/>
        </w:rPr>
        <w:t>g</w:t>
      </w:r>
      <w:r w:rsidR="12A54BBE">
        <w:rPr>
          <w:noProof/>
        </w:rPr>
        <w:t>overnmental organisations</w:t>
      </w:r>
      <w:r>
        <w:rPr>
          <w:noProof/>
        </w:rPr>
        <w:t>.</w:t>
      </w:r>
      <w:r w:rsidR="1F926177">
        <w:rPr>
          <w:noProof/>
        </w:rPr>
        <w:t xml:space="preserve"> </w:t>
      </w:r>
    </w:p>
    <w:p w14:paraId="11F52293" w14:textId="26269595" w:rsidR="00D62E28" w:rsidRPr="00D62E28" w:rsidRDefault="00D62E28" w:rsidP="003B0CC5">
      <w:pPr>
        <w:pStyle w:val="Heading1"/>
        <w:numPr>
          <w:ilvl w:val="0"/>
          <w:numId w:val="0"/>
        </w:numPr>
        <w:rPr>
          <w:rStyle w:val="IntenseReference"/>
          <w:b/>
          <w:bCs w:val="0"/>
          <w:noProof/>
        </w:rPr>
      </w:pPr>
      <w:bookmarkStart w:id="7" w:name="_Toc139283304"/>
      <w:bookmarkStart w:id="8" w:name="_Toc140765903"/>
      <w:r w:rsidRPr="00D62E28">
        <w:rPr>
          <w:rStyle w:val="IntenseReference"/>
          <w:b/>
          <w:bCs w:val="0"/>
          <w:noProof/>
        </w:rPr>
        <w:t>D</w:t>
      </w:r>
      <w:r w:rsidR="003B0CC5" w:rsidRPr="00D62E28">
        <w:rPr>
          <w:rStyle w:val="IntenseReference"/>
          <w:b/>
          <w:bCs w:val="0"/>
          <w:noProof/>
        </w:rPr>
        <w:t>elivery</w:t>
      </w:r>
      <w:r w:rsidRPr="00D62E28">
        <w:rPr>
          <w:rStyle w:val="IntenseReference"/>
          <w:b/>
          <w:bCs w:val="0"/>
          <w:noProof/>
        </w:rPr>
        <w:t xml:space="preserve"> </w:t>
      </w:r>
      <w:r w:rsidR="003B0CC5" w:rsidRPr="00D62E28">
        <w:rPr>
          <w:rStyle w:val="IntenseReference"/>
          <w:b/>
          <w:bCs w:val="0"/>
          <w:noProof/>
        </w:rPr>
        <w:t>of adequate and effective humanitarian assistance to affected populations</w:t>
      </w:r>
      <w:bookmarkEnd w:id="7"/>
      <w:bookmarkEnd w:id="8"/>
    </w:p>
    <w:p w14:paraId="206C7D29" w14:textId="75C4627D" w:rsidR="004C5002" w:rsidRDefault="004C5002" w:rsidP="2F1F91F7">
      <w:pPr>
        <w:rPr>
          <w:noProof/>
        </w:rPr>
      </w:pPr>
      <w:r>
        <w:rPr>
          <w:noProof/>
        </w:rPr>
        <w:t xml:space="preserve">In 2022 </w:t>
      </w:r>
      <w:r w:rsidR="7364D44A">
        <w:rPr>
          <w:noProof/>
        </w:rPr>
        <w:t xml:space="preserve">DG ECHO contributed significantly to the delivery of adequate and effective humanitarian </w:t>
      </w:r>
      <w:r w:rsidR="00FD3546">
        <w:rPr>
          <w:noProof/>
        </w:rPr>
        <w:t>assistance</w:t>
      </w:r>
      <w:r w:rsidR="00295611">
        <w:rPr>
          <w:noProof/>
        </w:rPr>
        <w:t xml:space="preserve"> worldwide</w:t>
      </w:r>
      <w:r w:rsidR="7364D44A">
        <w:rPr>
          <w:noProof/>
        </w:rPr>
        <w:t xml:space="preserve">. </w:t>
      </w:r>
      <w:r>
        <w:rPr>
          <w:noProof/>
        </w:rPr>
        <w:t xml:space="preserve">In order </w:t>
      </w:r>
      <w:r w:rsidR="7364D44A">
        <w:rPr>
          <w:noProof/>
        </w:rPr>
        <w:t>to</w:t>
      </w:r>
      <w:r w:rsidR="7364D44A" w:rsidRPr="006C4DC7">
        <w:rPr>
          <w:noProof/>
        </w:rPr>
        <w:t xml:space="preserve"> </w:t>
      </w:r>
      <w:r w:rsidR="7364D44A" w:rsidRPr="00853AC0">
        <w:rPr>
          <w:noProof/>
        </w:rPr>
        <w:t>champion</w:t>
      </w:r>
      <w:r w:rsidR="7364D44A" w:rsidRPr="00C45AF4">
        <w:rPr>
          <w:b/>
          <w:bCs/>
          <w:noProof/>
        </w:rPr>
        <w:t xml:space="preserve"> multilateralism and a rules-based global order</w:t>
      </w:r>
      <w:r w:rsidR="7364D44A" w:rsidRPr="006C4DC7">
        <w:rPr>
          <w:noProof/>
        </w:rPr>
        <w:t xml:space="preserve"> through a more active role and a stronger voice for the EU in the world, DG ECHO</w:t>
      </w:r>
      <w:r>
        <w:rPr>
          <w:noProof/>
        </w:rPr>
        <w:t xml:space="preserve"> actively</w:t>
      </w:r>
      <w:r w:rsidR="7364D44A" w:rsidRPr="006C4DC7">
        <w:rPr>
          <w:noProof/>
        </w:rPr>
        <w:t xml:space="preserve"> participated in shaping humanitarian advocacy and policy at the European and global levels.</w:t>
      </w:r>
      <w:r w:rsidR="7364D44A">
        <w:rPr>
          <w:noProof/>
        </w:rPr>
        <w:t xml:space="preserve"> S</w:t>
      </w:r>
      <w:r w:rsidR="7364D44A" w:rsidRPr="006C4DC7">
        <w:rPr>
          <w:noProof/>
        </w:rPr>
        <w:t xml:space="preserve">ignificant progress was made on the implementation of commitments taken under the </w:t>
      </w:r>
      <w:r w:rsidR="7364D44A" w:rsidRPr="00C45AF4">
        <w:rPr>
          <w:b/>
          <w:bCs/>
          <w:noProof/>
        </w:rPr>
        <w:t>Grand Bargain</w:t>
      </w:r>
      <w:r w:rsidR="00411067" w:rsidRPr="00411067">
        <w:rPr>
          <w:bCs/>
          <w:noProof/>
        </w:rPr>
        <w:t> (</w:t>
      </w:r>
      <w:r w:rsidR="00D62E28" w:rsidRPr="006C4DC7">
        <w:rPr>
          <w:noProof/>
          <w:vertAlign w:val="superscript"/>
        </w:rPr>
        <w:footnoteReference w:id="13"/>
      </w:r>
      <w:r w:rsidR="00411067">
        <w:rPr>
          <w:bCs/>
          <w:noProof/>
        </w:rPr>
        <w:t>)</w:t>
      </w:r>
      <w:r w:rsidR="4605871F" w:rsidRPr="006C4DC7">
        <w:rPr>
          <w:noProof/>
        </w:rPr>
        <w:t>,</w:t>
      </w:r>
      <w:r>
        <w:rPr>
          <w:noProof/>
        </w:rPr>
        <w:t xml:space="preserve"> </w:t>
      </w:r>
      <w:r w:rsidR="7364D44A" w:rsidRPr="006C4DC7">
        <w:rPr>
          <w:noProof/>
        </w:rPr>
        <w:t>notably on flexible funding, joint and impartial needs assessment</w:t>
      </w:r>
      <w:r w:rsidR="70159F04" w:rsidRPr="006C4DC7">
        <w:rPr>
          <w:noProof/>
        </w:rPr>
        <w:t>s</w:t>
      </w:r>
      <w:r w:rsidR="7364D44A" w:rsidRPr="006C4DC7">
        <w:rPr>
          <w:noProof/>
        </w:rPr>
        <w:t>, and simplification of reporting, with the ultimate goal of enhancing the efficiency and effectiveness of the humanitarian response</w:t>
      </w:r>
      <w:r w:rsidR="7364D44A">
        <w:rPr>
          <w:noProof/>
        </w:rPr>
        <w:t>.</w:t>
      </w:r>
    </w:p>
    <w:p w14:paraId="0BE69D9B" w14:textId="2A8D8CF3" w:rsidR="00D62E28" w:rsidRPr="00A265E8" w:rsidRDefault="7364D44A" w:rsidP="274B8BBE">
      <w:pPr>
        <w:rPr>
          <w:rFonts w:eastAsia="Calibri"/>
          <w:noProof/>
          <w:lang w:val="en-US"/>
        </w:rPr>
      </w:pPr>
      <w:r w:rsidRPr="006C4DC7">
        <w:rPr>
          <w:noProof/>
        </w:rPr>
        <w:t xml:space="preserve">DG ECHO continued to contribute </w:t>
      </w:r>
      <w:r w:rsidR="2C22D3F5">
        <w:rPr>
          <w:noProof/>
        </w:rPr>
        <w:t xml:space="preserve">to </w:t>
      </w:r>
      <w:r w:rsidRPr="00C45AF4">
        <w:rPr>
          <w:b/>
          <w:bCs/>
          <w:noProof/>
        </w:rPr>
        <w:t>Country-Based Pooled Funds</w:t>
      </w:r>
      <w:r w:rsidR="00C77635" w:rsidRPr="00A265E8">
        <w:rPr>
          <w:bCs/>
          <w:noProof/>
        </w:rPr>
        <w:t> </w:t>
      </w:r>
      <w:r w:rsidR="00411067" w:rsidRPr="00411067">
        <w:rPr>
          <w:bCs/>
          <w:noProof/>
        </w:rPr>
        <w:t>(</w:t>
      </w:r>
      <w:r w:rsidR="00D62E28" w:rsidRPr="006C4DC7">
        <w:rPr>
          <w:noProof/>
          <w:vertAlign w:val="superscript"/>
        </w:rPr>
        <w:footnoteReference w:id="14"/>
      </w:r>
      <w:r w:rsidR="00411067">
        <w:rPr>
          <w:bCs/>
          <w:noProof/>
        </w:rPr>
        <w:t>)</w:t>
      </w:r>
      <w:r w:rsidRPr="006C4DC7">
        <w:rPr>
          <w:noProof/>
        </w:rPr>
        <w:t xml:space="preserve">, to further </w:t>
      </w:r>
      <w:r w:rsidRPr="00C45AF4">
        <w:rPr>
          <w:b/>
          <w:bCs/>
          <w:noProof/>
        </w:rPr>
        <w:t>promote locali</w:t>
      </w:r>
      <w:r w:rsidR="7E3DE326" w:rsidRPr="2F1F91F7">
        <w:rPr>
          <w:b/>
          <w:bCs/>
          <w:noProof/>
        </w:rPr>
        <w:t>s</w:t>
      </w:r>
      <w:r w:rsidRPr="00C45AF4">
        <w:rPr>
          <w:b/>
          <w:bCs/>
          <w:noProof/>
        </w:rPr>
        <w:t>ation</w:t>
      </w:r>
      <w:r w:rsidRPr="006C4DC7">
        <w:rPr>
          <w:noProof/>
        </w:rPr>
        <w:t xml:space="preserve"> and </w:t>
      </w:r>
      <w:r w:rsidR="00295611">
        <w:rPr>
          <w:noProof/>
        </w:rPr>
        <w:t>t</w:t>
      </w:r>
      <w:r w:rsidR="00DC0FEA">
        <w:rPr>
          <w:noProof/>
        </w:rPr>
        <w:t>he use of non-</w:t>
      </w:r>
      <w:r w:rsidRPr="006C4DC7">
        <w:rPr>
          <w:noProof/>
        </w:rPr>
        <w:t>earmarked funding. Furthermore, DG ECHO increased its advocacy and outreach for a substantially enhanced humanitarian financing effort and a better sharing of responsibility among donors, including Member States</w:t>
      </w:r>
      <w:r w:rsidR="004C5002">
        <w:rPr>
          <w:noProof/>
        </w:rPr>
        <w:t xml:space="preserve">. It </w:t>
      </w:r>
      <w:r w:rsidRPr="006C4DC7">
        <w:rPr>
          <w:noProof/>
        </w:rPr>
        <w:t xml:space="preserve">further strengthened the longer-term </w:t>
      </w:r>
      <w:r w:rsidRPr="00FD4FC0">
        <w:rPr>
          <w:b/>
          <w:bCs/>
          <w:noProof/>
        </w:rPr>
        <w:t>Programmatic Partnerships</w:t>
      </w:r>
      <w:r w:rsidR="00411067" w:rsidRPr="00411067">
        <w:rPr>
          <w:bCs/>
          <w:noProof/>
        </w:rPr>
        <w:t> (</w:t>
      </w:r>
      <w:r w:rsidR="00D62E28" w:rsidRPr="00FD4FC0">
        <w:rPr>
          <w:noProof/>
          <w:vertAlign w:val="superscript"/>
        </w:rPr>
        <w:footnoteReference w:id="15"/>
      </w:r>
      <w:r w:rsidR="00411067">
        <w:rPr>
          <w:bCs/>
          <w:noProof/>
        </w:rPr>
        <w:t>)</w:t>
      </w:r>
      <w:r w:rsidRPr="006C4DC7">
        <w:rPr>
          <w:noProof/>
        </w:rPr>
        <w:t xml:space="preserve"> with selected UN and </w:t>
      </w:r>
      <w:r w:rsidR="2EE11415" w:rsidRPr="006C4DC7">
        <w:rPr>
          <w:noProof/>
        </w:rPr>
        <w:t>i</w:t>
      </w:r>
      <w:r w:rsidRPr="006C4DC7">
        <w:rPr>
          <w:noProof/>
        </w:rPr>
        <w:t xml:space="preserve">nternational </w:t>
      </w:r>
      <w:r w:rsidR="11CDE6A3" w:rsidRPr="006C4DC7">
        <w:rPr>
          <w:noProof/>
        </w:rPr>
        <w:t>o</w:t>
      </w:r>
      <w:r w:rsidRPr="006C4DC7">
        <w:rPr>
          <w:noProof/>
        </w:rPr>
        <w:t xml:space="preserve">rganisations, to test more efficient and effective ways of working, while preparing for the roll out of the model in 2023. </w:t>
      </w:r>
      <w:r w:rsidR="5335C2F2" w:rsidRPr="00A265E8">
        <w:rPr>
          <w:rFonts w:eastAsia="Calibri"/>
          <w:noProof/>
          <w:lang w:val="en-US"/>
        </w:rPr>
        <w:t xml:space="preserve">Examples of innovative Programmatic </w:t>
      </w:r>
      <w:r w:rsidR="5335C2F2" w:rsidRPr="000E077D">
        <w:rPr>
          <w:rFonts w:eastAsia="Calibri"/>
          <w:noProof/>
          <w:lang w:val="en-US"/>
        </w:rPr>
        <w:t xml:space="preserve">Partnerships are the one in support of </w:t>
      </w:r>
      <w:r w:rsidR="004C5002">
        <w:rPr>
          <w:rFonts w:eastAsia="Calibri"/>
          <w:noProof/>
          <w:lang w:val="en-US"/>
        </w:rPr>
        <w:t>the</w:t>
      </w:r>
      <w:r w:rsidR="0E3386AE">
        <w:rPr>
          <w:rFonts w:eastAsia="Calibri"/>
          <w:noProof/>
          <w:lang w:val="en-US"/>
        </w:rPr>
        <w:t xml:space="preserve"> </w:t>
      </w:r>
      <w:r w:rsidR="0E3386AE">
        <w:rPr>
          <w:noProof/>
        </w:rPr>
        <w:t>International Committee of the Red Cross</w:t>
      </w:r>
      <w:r w:rsidR="004C5002">
        <w:rPr>
          <w:rFonts w:eastAsia="Calibri"/>
          <w:noProof/>
          <w:lang w:val="en-US"/>
        </w:rPr>
        <w:t xml:space="preserve"> </w:t>
      </w:r>
      <w:r w:rsidR="5450C79A">
        <w:rPr>
          <w:rFonts w:eastAsia="Calibri"/>
          <w:noProof/>
          <w:lang w:val="en-US"/>
        </w:rPr>
        <w:t>(</w:t>
      </w:r>
      <w:r w:rsidR="5335C2F2" w:rsidRPr="000E077D">
        <w:rPr>
          <w:rFonts w:eastAsia="Calibri"/>
          <w:noProof/>
          <w:lang w:val="en-US"/>
        </w:rPr>
        <w:t>ICRC</w:t>
      </w:r>
      <w:r w:rsidR="28EC9EDF" w:rsidRPr="000E077D">
        <w:rPr>
          <w:rFonts w:eastAsia="Calibri"/>
          <w:noProof/>
          <w:lang w:val="en-US"/>
        </w:rPr>
        <w:t>)</w:t>
      </w:r>
      <w:r w:rsidR="5335C2F2" w:rsidRPr="000E077D">
        <w:rPr>
          <w:rFonts w:eastAsia="Calibri"/>
          <w:noProof/>
          <w:lang w:val="en-US"/>
        </w:rPr>
        <w:t xml:space="preserve"> prevention against IHL violation programme (three years, softly earmarked, EUR 10 million per year)</w:t>
      </w:r>
      <w:r w:rsidR="004C5002">
        <w:rPr>
          <w:rFonts w:eastAsia="Calibri"/>
          <w:noProof/>
          <w:lang w:val="en-US"/>
        </w:rPr>
        <w:t>,</w:t>
      </w:r>
      <w:r w:rsidR="5335C2F2" w:rsidRPr="000E077D">
        <w:rPr>
          <w:rFonts w:eastAsia="Calibri"/>
          <w:noProof/>
          <w:lang w:val="en-US"/>
        </w:rPr>
        <w:t xml:space="preserve"> and the one in support to </w:t>
      </w:r>
      <w:r w:rsidR="004C5002">
        <w:rPr>
          <w:rFonts w:eastAsia="Calibri"/>
          <w:noProof/>
          <w:lang w:val="en-US"/>
        </w:rPr>
        <w:t xml:space="preserve">the </w:t>
      </w:r>
      <w:r w:rsidR="0067431D">
        <w:rPr>
          <w:rFonts w:eastAsia="Calibri"/>
          <w:noProof/>
          <w:lang w:val="en-US"/>
        </w:rPr>
        <w:t xml:space="preserve">International </w:t>
      </w:r>
      <w:r w:rsidR="00D709A9">
        <w:rPr>
          <w:rFonts w:eastAsia="Calibri"/>
          <w:noProof/>
          <w:lang w:val="en-US"/>
        </w:rPr>
        <w:t>F</w:t>
      </w:r>
      <w:r w:rsidR="0067431D">
        <w:rPr>
          <w:rFonts w:eastAsia="Calibri"/>
          <w:noProof/>
          <w:lang w:val="en-US"/>
        </w:rPr>
        <w:t xml:space="preserve">ederation </w:t>
      </w:r>
      <w:r w:rsidR="0067431D" w:rsidRPr="0067431D">
        <w:rPr>
          <w:rFonts w:eastAsia="Calibri"/>
          <w:noProof/>
          <w:lang w:val="en-US"/>
        </w:rPr>
        <w:t>of Red Cross and Red Crescent Societies</w:t>
      </w:r>
      <w:r w:rsidR="0067431D">
        <w:rPr>
          <w:rFonts w:eastAsia="Calibri"/>
          <w:noProof/>
          <w:lang w:val="en-US"/>
        </w:rPr>
        <w:t xml:space="preserve"> (</w:t>
      </w:r>
      <w:r w:rsidR="5335C2F2" w:rsidRPr="000E077D">
        <w:rPr>
          <w:rFonts w:eastAsia="Calibri"/>
          <w:noProof/>
          <w:lang w:val="en-US"/>
        </w:rPr>
        <w:t>IFRC</w:t>
      </w:r>
      <w:r w:rsidR="0067431D">
        <w:rPr>
          <w:rFonts w:eastAsia="Calibri"/>
          <w:noProof/>
          <w:lang w:val="en-US"/>
        </w:rPr>
        <w:t>)</w:t>
      </w:r>
      <w:r w:rsidR="5335C2F2" w:rsidRPr="000E077D">
        <w:rPr>
          <w:rFonts w:eastAsia="Calibri"/>
          <w:noProof/>
          <w:lang w:val="en-US"/>
        </w:rPr>
        <w:t xml:space="preserve"> and the localisation agenda (multi-country, multi-sector three</w:t>
      </w:r>
      <w:r w:rsidR="1A2F5C39" w:rsidRPr="000E077D">
        <w:rPr>
          <w:noProof/>
          <w:lang w:val="en-US"/>
        </w:rPr>
        <w:t>-</w:t>
      </w:r>
      <w:r w:rsidR="5335C2F2" w:rsidRPr="000E077D">
        <w:rPr>
          <w:rFonts w:eastAsia="Calibri"/>
          <w:noProof/>
          <w:lang w:val="en-US"/>
        </w:rPr>
        <w:t>year ambitious programme, EUR 67 million per year).</w:t>
      </w:r>
      <w:r w:rsidR="7DD76CB6" w:rsidRPr="4FB6F226">
        <w:rPr>
          <w:rFonts w:eastAsia="Calibri"/>
          <w:noProof/>
          <w:lang w:val="en-US"/>
        </w:rPr>
        <w:t xml:space="preserve"> </w:t>
      </w:r>
    </w:p>
    <w:p w14:paraId="0F5BB487" w14:textId="755111DC" w:rsidR="00D62E28" w:rsidRPr="00D709A9" w:rsidRDefault="1AD6CCD0" w:rsidP="00D62E28">
      <w:pPr>
        <w:rPr>
          <w:noProof/>
          <w:color w:val="242424"/>
        </w:rPr>
      </w:pPr>
      <w:r>
        <w:rPr>
          <w:noProof/>
        </w:rPr>
        <w:t>T</w:t>
      </w:r>
      <w:r w:rsidRPr="00902DF8">
        <w:rPr>
          <w:noProof/>
        </w:rPr>
        <w:t xml:space="preserve">he </w:t>
      </w:r>
      <w:r w:rsidRPr="00902DF8">
        <w:rPr>
          <w:b/>
          <w:bCs/>
          <w:noProof/>
        </w:rPr>
        <w:t>Humanitarian Logistics Policy</w:t>
      </w:r>
      <w:r w:rsidR="5231BA07" w:rsidRPr="00A265E8">
        <w:rPr>
          <w:bCs/>
          <w:noProof/>
        </w:rPr>
        <w:t> </w:t>
      </w:r>
      <w:r w:rsidR="00411067" w:rsidRPr="00411067">
        <w:rPr>
          <w:bCs/>
          <w:noProof/>
        </w:rPr>
        <w:t>(</w:t>
      </w:r>
      <w:r w:rsidR="00D62E28" w:rsidRPr="00902DF8">
        <w:rPr>
          <w:noProof/>
          <w:vertAlign w:val="superscript"/>
        </w:rPr>
        <w:footnoteReference w:id="16"/>
      </w:r>
      <w:r w:rsidR="00411067">
        <w:rPr>
          <w:bCs/>
          <w:noProof/>
        </w:rPr>
        <w:t>)</w:t>
      </w:r>
      <w:r w:rsidRPr="00902DF8">
        <w:rPr>
          <w:noProof/>
        </w:rPr>
        <w:t xml:space="preserve"> </w:t>
      </w:r>
      <w:r>
        <w:rPr>
          <w:noProof/>
        </w:rPr>
        <w:t xml:space="preserve">was launched </w:t>
      </w:r>
      <w:r w:rsidRPr="00902DF8">
        <w:rPr>
          <w:noProof/>
        </w:rPr>
        <w:t xml:space="preserve">in February 2022, with the primary objective of saving lives through greater efficiency, effectiveness and impact of humanitarian operations. As part of this policy, the </w:t>
      </w:r>
      <w:r w:rsidRPr="00902DF8">
        <w:rPr>
          <w:b/>
          <w:bCs/>
          <w:noProof/>
        </w:rPr>
        <w:t>European Humanitarian Response Capacity</w:t>
      </w:r>
      <w:r w:rsidRPr="00902DF8">
        <w:rPr>
          <w:noProof/>
        </w:rPr>
        <w:t xml:space="preserve"> (EHRC)</w:t>
      </w:r>
      <w:r w:rsidR="2750B7B3">
        <w:rPr>
          <w:noProof/>
        </w:rPr>
        <w:t>,</w:t>
      </w:r>
      <w:r w:rsidR="5231BA07" w:rsidRPr="00C77635">
        <w:rPr>
          <w:noProof/>
        </w:rPr>
        <w:t> </w:t>
      </w:r>
      <w:r w:rsidR="00411067" w:rsidRPr="00411067">
        <w:rPr>
          <w:noProof/>
        </w:rPr>
        <w:t>(</w:t>
      </w:r>
      <w:r w:rsidR="00D62E28" w:rsidRPr="00902DF8">
        <w:rPr>
          <w:noProof/>
          <w:vertAlign w:val="superscript"/>
        </w:rPr>
        <w:footnoteReference w:id="17"/>
      </w:r>
      <w:r w:rsidR="00411067">
        <w:rPr>
          <w:noProof/>
        </w:rPr>
        <w:t>)</w:t>
      </w:r>
      <w:r w:rsidRPr="00902DF8">
        <w:rPr>
          <w:noProof/>
        </w:rPr>
        <w:t xml:space="preserve"> </w:t>
      </w:r>
      <w:r w:rsidR="2750B7B3">
        <w:rPr>
          <w:noProof/>
        </w:rPr>
        <w:t xml:space="preserve">which </w:t>
      </w:r>
      <w:r w:rsidRPr="00CB41D2">
        <w:rPr>
          <w:noProof/>
        </w:rPr>
        <w:t xml:space="preserve">was </w:t>
      </w:r>
      <w:r w:rsidR="5D2CF168">
        <w:rPr>
          <w:noProof/>
        </w:rPr>
        <w:t>launch</w:t>
      </w:r>
      <w:r>
        <w:rPr>
          <w:noProof/>
        </w:rPr>
        <w:t>ed in March 2022, contain</w:t>
      </w:r>
      <w:r w:rsidR="2750B7B3">
        <w:rPr>
          <w:noProof/>
        </w:rPr>
        <w:t>s</w:t>
      </w:r>
      <w:r>
        <w:rPr>
          <w:noProof/>
        </w:rPr>
        <w:t xml:space="preserve"> operational tools designed to provide rapid but temporary support to partners to fill gaps in the humanitarian response, while ensuring greater effectiveness and cost efficiency in the delivery of aid. The </w:t>
      </w:r>
      <w:r w:rsidRPr="00902DF8">
        <w:rPr>
          <w:noProof/>
        </w:rPr>
        <w:t xml:space="preserve">instruments include </w:t>
      </w:r>
      <w:r>
        <w:rPr>
          <w:noProof/>
        </w:rPr>
        <w:t xml:space="preserve">the provision of </w:t>
      </w:r>
      <w:r w:rsidRPr="00B225C0">
        <w:rPr>
          <w:b/>
          <w:bCs/>
          <w:noProof/>
        </w:rPr>
        <w:t>common logistics services</w:t>
      </w:r>
      <w:r w:rsidRPr="00902DF8">
        <w:rPr>
          <w:noProof/>
        </w:rPr>
        <w:t xml:space="preserve"> </w:t>
      </w:r>
      <w:r>
        <w:rPr>
          <w:noProof/>
        </w:rPr>
        <w:t>to humanitarian partners in the form of international and in-country transport operations (across various modes of transport</w:t>
      </w:r>
      <w:r w:rsidR="2750B7B3">
        <w:rPr>
          <w:noProof/>
        </w:rPr>
        <w:t>,</w:t>
      </w:r>
      <w:r>
        <w:rPr>
          <w:noProof/>
        </w:rPr>
        <w:t xml:space="preserve"> including the </w:t>
      </w:r>
      <w:r w:rsidRPr="00B225C0">
        <w:rPr>
          <w:noProof/>
        </w:rPr>
        <w:t>EU</w:t>
      </w:r>
      <w:r w:rsidRPr="00B225C0">
        <w:rPr>
          <w:b/>
          <w:bCs/>
          <w:noProof/>
        </w:rPr>
        <w:t xml:space="preserve"> </w:t>
      </w:r>
      <w:r w:rsidRPr="00B225C0">
        <w:rPr>
          <w:noProof/>
        </w:rPr>
        <w:t>Humanitarian Air Bridge</w:t>
      </w:r>
      <w:r>
        <w:rPr>
          <w:noProof/>
        </w:rPr>
        <w:t xml:space="preserve"> (HAB)</w:t>
      </w:r>
      <w:r w:rsidRPr="00B225C0">
        <w:rPr>
          <w:noProof/>
        </w:rPr>
        <w:t xml:space="preserve"> and </w:t>
      </w:r>
      <w:r w:rsidR="2750B7B3">
        <w:rPr>
          <w:noProof/>
        </w:rPr>
        <w:t xml:space="preserve">the </w:t>
      </w:r>
      <w:r w:rsidRPr="00B225C0">
        <w:rPr>
          <w:noProof/>
        </w:rPr>
        <w:t>Humanitarian Aid Flight), warehousing capacities, emergency stockpiles, and other logistical support and coordination, as</w:t>
      </w:r>
      <w:r>
        <w:rPr>
          <w:noProof/>
        </w:rPr>
        <w:t xml:space="preserve"> well as</w:t>
      </w:r>
      <w:r w:rsidRPr="00902DF8">
        <w:rPr>
          <w:noProof/>
        </w:rPr>
        <w:t xml:space="preserve"> medical expertise.</w:t>
      </w:r>
      <w:r w:rsidDel="001E5CDC">
        <w:rPr>
          <w:noProof/>
        </w:rPr>
        <w:t xml:space="preserve"> </w:t>
      </w:r>
      <w:r w:rsidRPr="331F3F31">
        <w:rPr>
          <w:noProof/>
          <w:color w:val="242424"/>
        </w:rPr>
        <w:t>In 2022</w:t>
      </w:r>
      <w:r w:rsidR="00BB3844">
        <w:rPr>
          <w:noProof/>
          <w:color w:val="242424"/>
        </w:rPr>
        <w:t>,</w:t>
      </w:r>
      <w:r w:rsidRPr="331F3F31">
        <w:rPr>
          <w:noProof/>
          <w:color w:val="242424"/>
        </w:rPr>
        <w:t xml:space="preserve"> the Commission deployed 9 EHRC operations in Madagascar (twice), Ukraine, Moldova, Somalia, Afghanistan, Mozambique, Uganda and Burkina Faso. In addition, the Humanitarian Aid Flight operations continued in Kenya, </w:t>
      </w:r>
      <w:r w:rsidR="7D2744E0">
        <w:rPr>
          <w:noProof/>
          <w:color w:val="242424"/>
        </w:rPr>
        <w:t xml:space="preserve">the </w:t>
      </w:r>
      <w:r w:rsidRPr="331F3F31">
        <w:rPr>
          <w:noProof/>
          <w:color w:val="242424"/>
        </w:rPr>
        <w:t>DR</w:t>
      </w:r>
      <w:r w:rsidR="628AFE03">
        <w:rPr>
          <w:noProof/>
          <w:color w:val="242424"/>
        </w:rPr>
        <w:t>C</w:t>
      </w:r>
      <w:r w:rsidRPr="331F3F31">
        <w:rPr>
          <w:noProof/>
          <w:color w:val="242424"/>
        </w:rPr>
        <w:t xml:space="preserve"> and Mali. 60 EU H</w:t>
      </w:r>
      <w:r>
        <w:rPr>
          <w:noProof/>
          <w:color w:val="242424"/>
        </w:rPr>
        <w:t>AB</w:t>
      </w:r>
      <w:r w:rsidRPr="331F3F31">
        <w:rPr>
          <w:noProof/>
          <w:color w:val="242424"/>
        </w:rPr>
        <w:t xml:space="preserve"> flights were organised, supporting 24 partners in 4 countries (Afghanistan, Somalia, Madagascar and </w:t>
      </w:r>
      <w:r w:rsidR="001A5176">
        <w:rPr>
          <w:noProof/>
          <w:color w:val="242424"/>
        </w:rPr>
        <w:t xml:space="preserve">the Republic of </w:t>
      </w:r>
      <w:r w:rsidRPr="001A5176">
        <w:rPr>
          <w:noProof/>
          <w:color w:val="242424"/>
        </w:rPr>
        <w:t>Moldova</w:t>
      </w:r>
      <w:r w:rsidRPr="331F3F31">
        <w:rPr>
          <w:noProof/>
          <w:color w:val="242424"/>
        </w:rPr>
        <w:t>), transporting 842 tonnes of humanitarian material.</w:t>
      </w:r>
      <w:r w:rsidRPr="001E5D84">
        <w:rPr>
          <w:noProof/>
          <w:color w:val="242424"/>
        </w:rPr>
        <w:t xml:space="preserve"> Finally, in </w:t>
      </w:r>
      <w:r w:rsidRPr="7F439249">
        <w:rPr>
          <w:noProof/>
          <w:color w:val="242424"/>
        </w:rPr>
        <w:t>Ukraine</w:t>
      </w:r>
      <w:r w:rsidRPr="001E5D84">
        <w:rPr>
          <w:noProof/>
          <w:color w:val="242424"/>
        </w:rPr>
        <w:t xml:space="preserve"> and </w:t>
      </w:r>
      <w:r w:rsidR="001A5176">
        <w:rPr>
          <w:noProof/>
          <w:color w:val="242424"/>
        </w:rPr>
        <w:t xml:space="preserve">the Republic of </w:t>
      </w:r>
      <w:r w:rsidRPr="001A5176">
        <w:rPr>
          <w:noProof/>
          <w:color w:val="242424"/>
        </w:rPr>
        <w:t>Moldova</w:t>
      </w:r>
      <w:r w:rsidRPr="001E5D84">
        <w:rPr>
          <w:noProof/>
          <w:color w:val="242424"/>
        </w:rPr>
        <w:t xml:space="preserve">, 660 road </w:t>
      </w:r>
      <w:r w:rsidRPr="003B0CC5">
        <w:rPr>
          <w:noProof/>
          <w:color w:val="242424"/>
        </w:rPr>
        <w:t>transport operations were organised and 3 warehouses were opened</w:t>
      </w:r>
      <w:r w:rsidR="7D2744E0">
        <w:rPr>
          <w:noProof/>
          <w:color w:val="242424"/>
        </w:rPr>
        <w:t>,</w:t>
      </w:r>
      <w:r w:rsidRPr="003B0CC5">
        <w:rPr>
          <w:noProof/>
          <w:color w:val="242424"/>
        </w:rPr>
        <w:t xml:space="preserve"> supporting 49 humanitarian partners. </w:t>
      </w:r>
      <w:r w:rsidR="114C2764" w:rsidRPr="003B0CC5">
        <w:rPr>
          <w:noProof/>
          <w:color w:val="242424"/>
        </w:rPr>
        <w:t>EUR 23.5 million w</w:t>
      </w:r>
      <w:r w:rsidR="00DC0FEA">
        <w:rPr>
          <w:noProof/>
          <w:color w:val="242424"/>
        </w:rPr>
        <w:t>ere</w:t>
      </w:r>
      <w:r w:rsidR="114C2764" w:rsidRPr="003B0CC5">
        <w:rPr>
          <w:noProof/>
          <w:color w:val="242424"/>
        </w:rPr>
        <w:t xml:space="preserve"> allocated in 2022 to these activities.</w:t>
      </w:r>
      <w:r w:rsidR="114C2764">
        <w:rPr>
          <w:noProof/>
          <w:color w:val="242424"/>
        </w:rPr>
        <w:t xml:space="preserve"> </w:t>
      </w:r>
    </w:p>
    <w:p w14:paraId="4C294E8C" w14:textId="73240A3B" w:rsidR="00D62E28" w:rsidRDefault="7364D44A" w:rsidP="00063C9A">
      <w:pPr>
        <w:rPr>
          <w:rFonts w:eastAsia="EC Square Sans Pro" w:cs="EC Square Sans Pro"/>
          <w:noProof/>
          <w:color w:val="242424"/>
        </w:rPr>
      </w:pPr>
      <w:r w:rsidRPr="274B8BBE">
        <w:rPr>
          <w:rFonts w:eastAsia="EC Square Sans Pro" w:cs="EC Square Sans Pro"/>
          <w:noProof/>
          <w:color w:val="242424"/>
        </w:rPr>
        <w:t xml:space="preserve">DG ECHO made full use of </w:t>
      </w:r>
      <w:r w:rsidRPr="274B8BBE">
        <w:rPr>
          <w:rFonts w:eastAsia="EC Square Sans Pro" w:cs="EC Square Sans Pro"/>
          <w:noProof/>
        </w:rPr>
        <w:t xml:space="preserve">its </w:t>
      </w:r>
      <w:r w:rsidRPr="274B8BBE">
        <w:rPr>
          <w:rFonts w:eastAsia="EC Square Sans Pro" w:cs="EC Square Sans Pro"/>
          <w:b/>
          <w:bCs/>
          <w:noProof/>
        </w:rPr>
        <w:t>Emergency Toolbox,</w:t>
      </w:r>
      <w:r w:rsidRPr="274B8BBE">
        <w:rPr>
          <w:rFonts w:eastAsia="EC Square Sans Pro" w:cs="EC Square Sans Pro"/>
          <w:noProof/>
        </w:rPr>
        <w:t xml:space="preserve"> composed </w:t>
      </w:r>
      <w:r w:rsidRPr="274B8BBE">
        <w:rPr>
          <w:rFonts w:eastAsia="EC Square Sans Pro" w:cs="EC Square Sans Pro"/>
          <w:noProof/>
          <w:color w:val="242424"/>
        </w:rPr>
        <w:t>of</w:t>
      </w:r>
      <w:r w:rsidR="0BB1E3CA" w:rsidRPr="274B8BBE">
        <w:rPr>
          <w:rFonts w:eastAsia="EC Square Sans Pro" w:cs="EC Square Sans Pro"/>
          <w:noProof/>
          <w:color w:val="242424"/>
        </w:rPr>
        <w:t xml:space="preserve"> the </w:t>
      </w:r>
      <w:r w:rsidRPr="274B8BBE">
        <w:rPr>
          <w:rFonts w:eastAsia="EC Square Sans Pro" w:cs="EC Square Sans Pro"/>
          <w:noProof/>
          <w:color w:val="242424"/>
        </w:rPr>
        <w:t>Acute Large Emergency Response Tool</w:t>
      </w:r>
      <w:r w:rsidR="496E8E37" w:rsidRPr="274B8BBE">
        <w:rPr>
          <w:rFonts w:eastAsia="EC Square Sans Pro" w:cs="EC Square Sans Pro"/>
          <w:noProof/>
          <w:color w:val="242424"/>
        </w:rPr>
        <w:t xml:space="preserve"> (ALERT</w:t>
      </w:r>
      <w:r w:rsidRPr="274B8BBE">
        <w:rPr>
          <w:rFonts w:eastAsia="EC Square Sans Pro" w:cs="EC Square Sans Pro"/>
          <w:noProof/>
          <w:color w:val="242424"/>
        </w:rPr>
        <w:t>), Epidemics tool, Small-scale tool and Disaster Response Emergency Fund</w:t>
      </w:r>
      <w:r w:rsidR="2B7E5143" w:rsidRPr="274B8BBE">
        <w:rPr>
          <w:rFonts w:eastAsia="EC Square Sans Pro" w:cs="EC Square Sans Pro"/>
          <w:noProof/>
          <w:color w:val="242424"/>
        </w:rPr>
        <w:t xml:space="preserve"> (DREF</w:t>
      </w:r>
      <w:r w:rsidRPr="274B8BBE">
        <w:rPr>
          <w:rFonts w:eastAsia="EC Square Sans Pro" w:cs="EC Square Sans Pro"/>
          <w:noProof/>
          <w:color w:val="242424"/>
        </w:rPr>
        <w:t>), provid</w:t>
      </w:r>
      <w:r w:rsidR="00D709A9" w:rsidRPr="274B8BBE">
        <w:rPr>
          <w:rFonts w:eastAsia="EC Square Sans Pro" w:cs="EC Square Sans Pro"/>
          <w:noProof/>
          <w:color w:val="242424"/>
        </w:rPr>
        <w:t>ing</w:t>
      </w:r>
      <w:r w:rsidRPr="274B8BBE">
        <w:rPr>
          <w:rFonts w:eastAsia="EC Square Sans Pro" w:cs="EC Square Sans Pro"/>
          <w:noProof/>
          <w:color w:val="242424"/>
        </w:rPr>
        <w:t xml:space="preserve"> first line emergency humanitarian assistance </w:t>
      </w:r>
      <w:r w:rsidR="00D709A9" w:rsidRPr="274B8BBE">
        <w:rPr>
          <w:rFonts w:eastAsia="EC Square Sans Pro" w:cs="EC Square Sans Pro"/>
          <w:noProof/>
          <w:color w:val="242424"/>
        </w:rPr>
        <w:t xml:space="preserve">amounting to EUR 36.5 million </w:t>
      </w:r>
      <w:r w:rsidRPr="274B8BBE">
        <w:rPr>
          <w:rFonts w:eastAsia="EC Square Sans Pro" w:cs="EC Square Sans Pro"/>
          <w:noProof/>
          <w:color w:val="242424"/>
        </w:rPr>
        <w:t>to sudden-onset crises that could not be foreseen in its humanitarian implementation plans</w:t>
      </w:r>
      <w:r w:rsidR="00D709A9" w:rsidRPr="274B8BBE">
        <w:rPr>
          <w:rFonts w:eastAsia="EC Square Sans Pro" w:cs="EC Square Sans Pro"/>
          <w:noProof/>
          <w:color w:val="242424"/>
        </w:rPr>
        <w:t xml:space="preserve">. </w:t>
      </w:r>
      <w:r w:rsidR="00B47FB5" w:rsidRPr="274B8BBE">
        <w:rPr>
          <w:rFonts w:eastAsia="EC Square Sans Pro" w:cs="EC Square Sans Pro"/>
          <w:noProof/>
          <w:color w:val="242424"/>
        </w:rPr>
        <w:t xml:space="preserve">Some examples of the allocation of funds are: </w:t>
      </w:r>
      <w:r w:rsidRPr="274B8BBE">
        <w:rPr>
          <w:rFonts w:eastAsia="EC Square Sans Pro" w:cs="EC Square Sans Pro"/>
          <w:noProof/>
          <w:color w:val="242424"/>
        </w:rPr>
        <w:t xml:space="preserve"> the small-scale tool and </w:t>
      </w:r>
      <w:r w:rsidR="00B47FB5" w:rsidRPr="274B8BBE">
        <w:rPr>
          <w:rFonts w:eastAsia="EC Square Sans Pro" w:cs="EC Square Sans Pro"/>
          <w:noProof/>
          <w:color w:val="242424"/>
        </w:rPr>
        <w:t>later</w:t>
      </w:r>
      <w:r w:rsidRPr="274B8BBE">
        <w:rPr>
          <w:rFonts w:eastAsia="EC Square Sans Pro" w:cs="EC Square Sans Pro"/>
          <w:noProof/>
          <w:color w:val="242424"/>
        </w:rPr>
        <w:t xml:space="preserve"> ALERT </w:t>
      </w:r>
      <w:r w:rsidR="00B47FB5" w:rsidRPr="274B8BBE">
        <w:rPr>
          <w:rFonts w:eastAsia="EC Square Sans Pro" w:cs="EC Square Sans Pro"/>
          <w:noProof/>
          <w:color w:val="242424"/>
        </w:rPr>
        <w:t xml:space="preserve">were used </w:t>
      </w:r>
      <w:r w:rsidRPr="274B8BBE">
        <w:rPr>
          <w:rFonts w:eastAsia="EC Square Sans Pro" w:cs="EC Square Sans Pro"/>
          <w:noProof/>
          <w:color w:val="242424"/>
        </w:rPr>
        <w:t xml:space="preserve">for </w:t>
      </w:r>
      <w:r w:rsidR="00B47FB5" w:rsidRPr="274B8BBE">
        <w:rPr>
          <w:rFonts w:eastAsia="EC Square Sans Pro" w:cs="EC Square Sans Pro"/>
          <w:noProof/>
          <w:color w:val="242424"/>
        </w:rPr>
        <w:t xml:space="preserve">the </w:t>
      </w:r>
      <w:r w:rsidRPr="274B8BBE">
        <w:rPr>
          <w:rFonts w:eastAsia="EC Square Sans Pro" w:cs="EC Square Sans Pro"/>
          <w:noProof/>
          <w:color w:val="242424"/>
        </w:rPr>
        <w:t>immediate response to the floods which affected Pakistan</w:t>
      </w:r>
      <w:r w:rsidR="00B47FB5" w:rsidRPr="274B8BBE">
        <w:rPr>
          <w:rFonts w:eastAsia="EC Square Sans Pro" w:cs="EC Square Sans Pro"/>
          <w:noProof/>
          <w:color w:val="242424"/>
        </w:rPr>
        <w:t>;</w:t>
      </w:r>
      <w:r w:rsidRPr="274B8BBE">
        <w:rPr>
          <w:rFonts w:eastAsia="EC Square Sans Pro" w:cs="EC Square Sans Pro"/>
          <w:noProof/>
          <w:color w:val="242424"/>
        </w:rPr>
        <w:t xml:space="preserve"> for the tropical cyclones in the Philippines, Madagascar, Mozambique</w:t>
      </w:r>
      <w:r w:rsidR="00D709A9" w:rsidRPr="274B8BBE">
        <w:rPr>
          <w:rFonts w:eastAsia="EC Square Sans Pro" w:cs="EC Square Sans Pro"/>
          <w:noProof/>
          <w:color w:val="242424"/>
        </w:rPr>
        <w:t xml:space="preserve"> </w:t>
      </w:r>
      <w:r w:rsidR="00B47FB5" w:rsidRPr="274B8BBE">
        <w:rPr>
          <w:rFonts w:eastAsia="EC Square Sans Pro" w:cs="EC Square Sans Pro"/>
          <w:noProof/>
          <w:color w:val="242424"/>
        </w:rPr>
        <w:t xml:space="preserve">and </w:t>
      </w:r>
      <w:r w:rsidRPr="274B8BBE">
        <w:rPr>
          <w:rFonts w:eastAsia="EC Square Sans Pro" w:cs="EC Square Sans Pro"/>
          <w:noProof/>
          <w:color w:val="242424"/>
        </w:rPr>
        <w:t xml:space="preserve">Cuba, </w:t>
      </w:r>
      <w:r w:rsidR="0000519B" w:rsidRPr="274B8BBE">
        <w:rPr>
          <w:rFonts w:eastAsia="EC Square Sans Pro" w:cs="EC Square Sans Pro"/>
          <w:noProof/>
          <w:color w:val="242424"/>
        </w:rPr>
        <w:t>as well as for</w:t>
      </w:r>
      <w:r w:rsidR="00D709A9" w:rsidRPr="274B8BBE">
        <w:rPr>
          <w:rFonts w:eastAsia="EC Square Sans Pro" w:cs="EC Square Sans Pro"/>
          <w:noProof/>
          <w:color w:val="242424"/>
        </w:rPr>
        <w:t xml:space="preserve"> </w:t>
      </w:r>
      <w:r w:rsidRPr="274B8BBE">
        <w:rPr>
          <w:rFonts w:eastAsia="EC Square Sans Pro" w:cs="EC Square Sans Pro"/>
          <w:noProof/>
          <w:color w:val="242424"/>
        </w:rPr>
        <w:t>the earthquakes in Afghanistan and the Philippines</w:t>
      </w:r>
      <w:r w:rsidR="00B47FB5" w:rsidRPr="274B8BBE">
        <w:rPr>
          <w:rFonts w:eastAsia="EC Square Sans Pro" w:cs="EC Square Sans Pro"/>
          <w:noProof/>
          <w:color w:val="242424"/>
        </w:rPr>
        <w:t>;</w:t>
      </w:r>
      <w:r w:rsidRPr="274B8BBE">
        <w:rPr>
          <w:rFonts w:eastAsia="EC Square Sans Pro" w:cs="EC Square Sans Pro"/>
          <w:noProof/>
          <w:color w:val="242424"/>
        </w:rPr>
        <w:t xml:space="preserve"> </w:t>
      </w:r>
      <w:r w:rsidR="00B47FB5" w:rsidRPr="274B8BBE">
        <w:rPr>
          <w:rFonts w:eastAsia="EC Square Sans Pro" w:cs="EC Square Sans Pro"/>
          <w:noProof/>
          <w:color w:val="242424"/>
        </w:rPr>
        <w:t xml:space="preserve">the Epidemics tool </w:t>
      </w:r>
      <w:r w:rsidRPr="274B8BBE">
        <w:rPr>
          <w:rFonts w:eastAsia="EC Square Sans Pro" w:cs="EC Square Sans Pro"/>
          <w:noProof/>
          <w:color w:val="242424"/>
        </w:rPr>
        <w:t>support</w:t>
      </w:r>
      <w:r w:rsidR="00B47FB5" w:rsidRPr="274B8BBE">
        <w:rPr>
          <w:rFonts w:eastAsia="EC Square Sans Pro" w:cs="EC Square Sans Pro"/>
          <w:noProof/>
          <w:color w:val="242424"/>
        </w:rPr>
        <w:t>ed</w:t>
      </w:r>
      <w:r w:rsidRPr="274B8BBE">
        <w:rPr>
          <w:rFonts w:eastAsia="EC Square Sans Pro" w:cs="EC Square Sans Pro"/>
          <w:noProof/>
          <w:color w:val="242424"/>
        </w:rPr>
        <w:t xml:space="preserve"> the response to the Ebola virus disease in Uganda</w:t>
      </w:r>
      <w:r w:rsidR="00B47FB5" w:rsidRPr="274B8BBE">
        <w:rPr>
          <w:rFonts w:eastAsia="EC Square Sans Pro" w:cs="EC Square Sans Pro"/>
          <w:noProof/>
          <w:color w:val="242424"/>
        </w:rPr>
        <w:t xml:space="preserve"> </w:t>
      </w:r>
      <w:r w:rsidRPr="274B8BBE">
        <w:rPr>
          <w:rFonts w:eastAsia="EC Square Sans Pro" w:cs="EC Square Sans Pro"/>
          <w:noProof/>
          <w:color w:val="242424"/>
        </w:rPr>
        <w:t>a</w:t>
      </w:r>
      <w:r w:rsidR="0000519B" w:rsidRPr="274B8BBE">
        <w:rPr>
          <w:rFonts w:eastAsia="EC Square Sans Pro" w:cs="EC Square Sans Pro"/>
          <w:noProof/>
          <w:color w:val="242424"/>
        </w:rPr>
        <w:t xml:space="preserve">nd the response </w:t>
      </w:r>
      <w:r w:rsidRPr="274B8BBE">
        <w:rPr>
          <w:rFonts w:eastAsia="EC Square Sans Pro" w:cs="EC Square Sans Pro"/>
          <w:noProof/>
          <w:color w:val="242424"/>
        </w:rPr>
        <w:t xml:space="preserve">to </w:t>
      </w:r>
      <w:r w:rsidR="00B47FB5" w:rsidRPr="274B8BBE">
        <w:rPr>
          <w:rFonts w:eastAsia="EC Square Sans Pro" w:cs="EC Square Sans Pro"/>
          <w:noProof/>
          <w:color w:val="242424"/>
        </w:rPr>
        <w:t>c</w:t>
      </w:r>
      <w:r w:rsidRPr="274B8BBE">
        <w:rPr>
          <w:rFonts w:eastAsia="EC Square Sans Pro" w:cs="EC Square Sans Pro"/>
          <w:noProof/>
          <w:color w:val="242424"/>
        </w:rPr>
        <w:t>holera in Lebanon, Syria, Haiti, Nigeria</w:t>
      </w:r>
      <w:r w:rsidR="00D709A9" w:rsidRPr="274B8BBE">
        <w:rPr>
          <w:rFonts w:eastAsia="EC Square Sans Pro" w:cs="EC Square Sans Pro"/>
          <w:noProof/>
          <w:color w:val="242424"/>
        </w:rPr>
        <w:t xml:space="preserve"> </w:t>
      </w:r>
      <w:r w:rsidR="00B47FB5" w:rsidRPr="274B8BBE">
        <w:rPr>
          <w:rFonts w:eastAsia="EC Square Sans Pro" w:cs="EC Square Sans Pro"/>
          <w:noProof/>
          <w:color w:val="242424"/>
        </w:rPr>
        <w:t xml:space="preserve">and </w:t>
      </w:r>
      <w:r w:rsidRPr="274B8BBE">
        <w:rPr>
          <w:rFonts w:eastAsia="EC Square Sans Pro" w:cs="EC Square Sans Pro"/>
          <w:noProof/>
          <w:color w:val="242424"/>
        </w:rPr>
        <w:t>Malawi. DG ECHO replenished 67 DREF operations implemented by</w:t>
      </w:r>
      <w:r w:rsidR="00B47FB5" w:rsidRPr="274B8BBE">
        <w:rPr>
          <w:rFonts w:eastAsia="EC Square Sans Pro" w:cs="EC Square Sans Pro"/>
          <w:noProof/>
          <w:color w:val="242424"/>
        </w:rPr>
        <w:t xml:space="preserve"> the</w:t>
      </w:r>
      <w:r w:rsidRPr="274B8BBE">
        <w:rPr>
          <w:rFonts w:eastAsia="EC Square Sans Pro" w:cs="EC Square Sans Pro"/>
          <w:noProof/>
          <w:color w:val="242424"/>
        </w:rPr>
        <w:t xml:space="preserve"> IFRC in 52 countries, including in relation to the hunger crisis in Africa, and </w:t>
      </w:r>
      <w:r w:rsidR="00B47FB5" w:rsidRPr="274B8BBE">
        <w:rPr>
          <w:rFonts w:eastAsia="EC Square Sans Pro" w:cs="EC Square Sans Pro"/>
          <w:noProof/>
          <w:color w:val="242424"/>
        </w:rPr>
        <w:t xml:space="preserve">to </w:t>
      </w:r>
      <w:r w:rsidRPr="274B8BBE">
        <w:rPr>
          <w:rFonts w:eastAsia="EC Square Sans Pro" w:cs="EC Square Sans Pro"/>
          <w:noProof/>
          <w:color w:val="242424"/>
        </w:rPr>
        <w:t>floods and earthquakes in Southeast Asia and South America.</w:t>
      </w:r>
      <w:r w:rsidR="00903EDE" w:rsidRPr="274B8BBE">
        <w:rPr>
          <w:rFonts w:eastAsia="EC Square Sans Pro" w:cs="EC Square Sans Pro"/>
          <w:noProof/>
          <w:color w:val="242424"/>
        </w:rPr>
        <w:t xml:space="preserve"> </w:t>
      </w:r>
    </w:p>
    <w:p w14:paraId="67B730D7" w14:textId="64D4EBFC" w:rsidR="00D62E28" w:rsidRDefault="00D62E28" w:rsidP="00063C9A">
      <w:pPr>
        <w:rPr>
          <w:rFonts w:eastAsia="EC Square Sans Pro" w:cs="EC Square Sans Pro"/>
          <w:noProof/>
          <w:color w:val="242424"/>
        </w:rPr>
      </w:pPr>
      <w:r w:rsidRPr="00295A92">
        <w:rPr>
          <w:rFonts w:eastAsia="EC Square Sans Pro" w:cs="EC Square Sans Pro"/>
          <w:noProof/>
          <w:color w:val="242424"/>
        </w:rPr>
        <w:t xml:space="preserve">Furthermore, </w:t>
      </w:r>
      <w:r w:rsidR="00B47FB5">
        <w:rPr>
          <w:rFonts w:eastAsia="EC Square Sans Pro" w:cs="EC Square Sans Pro"/>
          <w:noProof/>
          <w:color w:val="242424"/>
        </w:rPr>
        <w:t xml:space="preserve">in 2022 </w:t>
      </w:r>
      <w:r w:rsidRPr="00295A92">
        <w:rPr>
          <w:rFonts w:eastAsia="EC Square Sans Pro" w:cs="EC Square Sans Pro"/>
          <w:noProof/>
          <w:color w:val="242424"/>
        </w:rPr>
        <w:t xml:space="preserve">DG ECHO continued to </w:t>
      </w:r>
      <w:r w:rsidRPr="00895341">
        <w:rPr>
          <w:rFonts w:eastAsia="EC Square Sans Pro" w:cs="EC Square Sans Pro"/>
          <w:noProof/>
          <w:color w:val="242424"/>
        </w:rPr>
        <w:t xml:space="preserve">work </w:t>
      </w:r>
      <w:r w:rsidRPr="00295A92">
        <w:rPr>
          <w:rFonts w:eastAsia="EC Square Sans Pro" w:cs="EC Square Sans Pro"/>
          <w:b/>
          <w:bCs/>
          <w:noProof/>
          <w:color w:val="242424"/>
        </w:rPr>
        <w:t>on policies and guidance that outline the Commission’s position on key issues</w:t>
      </w:r>
      <w:r>
        <w:rPr>
          <w:rFonts w:eastAsia="EC Square Sans Pro" w:cs="EC Square Sans Pro"/>
          <w:b/>
          <w:bCs/>
          <w:noProof/>
          <w:color w:val="242424"/>
        </w:rPr>
        <w:t xml:space="preserve">, </w:t>
      </w:r>
      <w:r w:rsidRPr="00295A92">
        <w:rPr>
          <w:rFonts w:eastAsia="EC Square Sans Pro" w:cs="EC Square Sans Pro"/>
          <w:noProof/>
          <w:color w:val="242424"/>
        </w:rPr>
        <w:t>provid</w:t>
      </w:r>
      <w:r>
        <w:rPr>
          <w:rFonts w:eastAsia="EC Square Sans Pro" w:cs="EC Square Sans Pro"/>
          <w:noProof/>
          <w:color w:val="242424"/>
        </w:rPr>
        <w:t>ing</w:t>
      </w:r>
      <w:r w:rsidRPr="00295A92">
        <w:rPr>
          <w:rFonts w:eastAsia="EC Square Sans Pro" w:cs="EC Square Sans Pro"/>
          <w:noProof/>
          <w:color w:val="242424"/>
        </w:rPr>
        <w:t xml:space="preserve"> concrete recommendations to its implementing partners</w:t>
      </w:r>
      <w:r>
        <w:rPr>
          <w:rFonts w:eastAsia="EC Square Sans Pro" w:cs="EC Square Sans Pro"/>
          <w:noProof/>
          <w:color w:val="242424"/>
        </w:rPr>
        <w:t>,</w:t>
      </w:r>
      <w:r w:rsidRPr="00295A92">
        <w:rPr>
          <w:rFonts w:eastAsia="EC Square Sans Pro" w:cs="EC Square Sans Pro"/>
          <w:noProof/>
          <w:color w:val="242424"/>
        </w:rPr>
        <w:t xml:space="preserve"> to ensure quality, coherence and accountability of EU</w:t>
      </w:r>
      <w:r w:rsidR="00B47FB5">
        <w:rPr>
          <w:rFonts w:eastAsia="EC Square Sans Pro" w:cs="EC Square Sans Pro"/>
          <w:noProof/>
          <w:color w:val="242424"/>
        </w:rPr>
        <w:t>-</w:t>
      </w:r>
      <w:r w:rsidRPr="00295A92">
        <w:rPr>
          <w:rFonts w:eastAsia="EC Square Sans Pro" w:cs="EC Square Sans Pro"/>
          <w:noProof/>
          <w:color w:val="242424"/>
        </w:rPr>
        <w:t>funded humanitarian operations.</w:t>
      </w:r>
      <w:r>
        <w:rPr>
          <w:rFonts w:eastAsia="EC Square Sans Pro" w:cs="EC Square Sans Pro"/>
          <w:noProof/>
          <w:color w:val="242424"/>
        </w:rPr>
        <w:t xml:space="preserve"> </w:t>
      </w:r>
    </w:p>
    <w:p w14:paraId="79D99C17" w14:textId="48A96F5F" w:rsidR="00D62E28" w:rsidRDefault="00D62E28" w:rsidP="00063C9A">
      <w:pPr>
        <w:rPr>
          <w:rFonts w:eastAsia="EC Square Sans Pro" w:cs="EC Square Sans Pro"/>
          <w:noProof/>
          <w:color w:val="242424"/>
        </w:rPr>
      </w:pPr>
      <w:r>
        <w:rPr>
          <w:rFonts w:eastAsia="EC Square Sans Pro" w:cs="EC Square Sans Pro"/>
          <w:noProof/>
          <w:color w:val="242424"/>
        </w:rPr>
        <w:t xml:space="preserve">As regards </w:t>
      </w:r>
      <w:r w:rsidRPr="00295A92">
        <w:rPr>
          <w:rFonts w:eastAsia="EC Square Sans Pro" w:cs="EC Square Sans Pro"/>
          <w:b/>
          <w:bCs/>
          <w:noProof/>
          <w:color w:val="242424"/>
        </w:rPr>
        <w:t>food assistance, nutrition and famine prevention</w:t>
      </w:r>
      <w:r>
        <w:rPr>
          <w:rFonts w:eastAsia="EC Square Sans Pro" w:cs="EC Square Sans Pro"/>
          <w:noProof/>
          <w:color w:val="242424"/>
        </w:rPr>
        <w:t xml:space="preserve">, </w:t>
      </w:r>
      <w:r w:rsidR="00B47FB5">
        <w:rPr>
          <w:noProof/>
        </w:rPr>
        <w:t xml:space="preserve">areas in which </w:t>
      </w:r>
      <w:r>
        <w:rPr>
          <w:noProof/>
        </w:rPr>
        <w:t>the situation was further</w:t>
      </w:r>
      <w:r w:rsidRPr="003821A6">
        <w:rPr>
          <w:noProof/>
        </w:rPr>
        <w:t xml:space="preserve"> exacerbated by the direct effects of Russia’s </w:t>
      </w:r>
      <w:r w:rsidR="00DD56C3">
        <w:rPr>
          <w:noProof/>
        </w:rPr>
        <w:t xml:space="preserve">war of aggression against </w:t>
      </w:r>
      <w:r w:rsidRPr="003821A6">
        <w:rPr>
          <w:noProof/>
        </w:rPr>
        <w:t xml:space="preserve">Ukraine </w:t>
      </w:r>
      <w:r>
        <w:rPr>
          <w:noProof/>
        </w:rPr>
        <w:t>due to increased</w:t>
      </w:r>
      <w:r w:rsidRPr="003821A6">
        <w:rPr>
          <w:noProof/>
        </w:rPr>
        <w:t xml:space="preserve"> prices of food, energy and fertilizers</w:t>
      </w:r>
      <w:r>
        <w:rPr>
          <w:noProof/>
        </w:rPr>
        <w:t xml:space="preserve">, DG ECHO significantly increased its assistance to </w:t>
      </w:r>
      <w:r w:rsidR="012B5673">
        <w:rPr>
          <w:noProof/>
        </w:rPr>
        <w:t>over one</w:t>
      </w:r>
      <w:r>
        <w:rPr>
          <w:noProof/>
        </w:rPr>
        <w:t xml:space="preserve"> </w:t>
      </w:r>
      <w:r w:rsidR="7A2D1044">
        <w:rPr>
          <w:noProof/>
        </w:rPr>
        <w:t>b</w:t>
      </w:r>
      <w:r>
        <w:rPr>
          <w:noProof/>
        </w:rPr>
        <w:t xml:space="preserve">illion (i.e. over </w:t>
      </w:r>
      <w:r w:rsidR="70CFF448">
        <w:rPr>
          <w:noProof/>
        </w:rPr>
        <w:t>75</w:t>
      </w:r>
      <w:r>
        <w:rPr>
          <w:noProof/>
        </w:rPr>
        <w:t>% more than in 2021)</w:t>
      </w:r>
      <w:r w:rsidR="00B47FB5">
        <w:rPr>
          <w:noProof/>
        </w:rPr>
        <w:t xml:space="preserve">. DG ECHO was also </w:t>
      </w:r>
      <w:r>
        <w:rPr>
          <w:noProof/>
        </w:rPr>
        <w:t>instrumental in setting up and facilitating a comprehensive Team Europe Response strategy adopted by the EU and its Member States in June 2022. Furthermore, the reporting under the Nutrition for Growth Accountability Framework</w:t>
      </w:r>
      <w:r w:rsidR="00411067" w:rsidRPr="00411067">
        <w:rPr>
          <w:noProof/>
        </w:rPr>
        <w:t> (</w:t>
      </w:r>
      <w:r w:rsidRPr="43B8CCB4">
        <w:rPr>
          <w:noProof/>
          <w:vertAlign w:val="superscript"/>
        </w:rPr>
        <w:footnoteReference w:id="18"/>
      </w:r>
      <w:r w:rsidR="00411067">
        <w:rPr>
          <w:noProof/>
        </w:rPr>
        <w:t>)</w:t>
      </w:r>
      <w:r>
        <w:rPr>
          <w:noProof/>
        </w:rPr>
        <w:t xml:space="preserve"> confirms that DG ECHO and the EU are on track to fulfil the 2021 Team Europe pledge of supporting nutrition objectives with a budget of at least EUR 4.</w:t>
      </w:r>
      <w:r w:rsidRPr="00295A92">
        <w:rPr>
          <w:rFonts w:eastAsia="EC Square Sans Pro" w:cs="EC Square Sans Pro"/>
          <w:noProof/>
          <w:color w:val="242424"/>
        </w:rPr>
        <w:t>2 billion until 2024.</w:t>
      </w:r>
    </w:p>
    <w:p w14:paraId="7F1A89EE" w14:textId="3BC7F83D" w:rsidR="006D76B9" w:rsidRPr="00AD269B" w:rsidRDefault="5D00A8B0" w:rsidP="00063C9A">
      <w:pPr>
        <w:rPr>
          <w:rFonts w:eastAsia="EC Square Sans Pro" w:cs="EC Square Sans Pro"/>
          <w:noProof/>
          <w:color w:val="242424"/>
        </w:rPr>
      </w:pPr>
      <w:r w:rsidRPr="5D70FC4C">
        <w:rPr>
          <w:rFonts w:eastAsia="EC Square Sans Pro" w:cs="EC Square Sans Pro"/>
          <w:noProof/>
          <w:color w:val="242424"/>
        </w:rPr>
        <w:t xml:space="preserve">In 2022, projects </w:t>
      </w:r>
      <w:r w:rsidR="56950BF4" w:rsidRPr="5D70FC4C">
        <w:rPr>
          <w:rFonts w:eastAsia="EC Square Sans Pro" w:cs="EC Square Sans Pro"/>
          <w:noProof/>
          <w:color w:val="242424"/>
        </w:rPr>
        <w:t xml:space="preserve">targeting </w:t>
      </w:r>
      <w:r w:rsidR="56950BF4" w:rsidRPr="00A265E8">
        <w:rPr>
          <w:rFonts w:eastAsia="EC Square Sans Pro" w:cs="EC Square Sans Pro"/>
          <w:b/>
          <w:bCs/>
          <w:noProof/>
          <w:color w:val="242424"/>
        </w:rPr>
        <w:t xml:space="preserve">health </w:t>
      </w:r>
      <w:r w:rsidR="56950BF4" w:rsidRPr="5D70FC4C">
        <w:rPr>
          <w:rFonts w:eastAsia="EC Square Sans Pro" w:cs="EC Square Sans Pro"/>
          <w:noProof/>
          <w:color w:val="242424"/>
        </w:rPr>
        <w:t xml:space="preserve">as primary sector </w:t>
      </w:r>
      <w:r w:rsidR="4BCB24F2" w:rsidRPr="00A265E8">
        <w:rPr>
          <w:rFonts w:eastAsia="EC Square Sans Pro" w:cs="EC Square Sans Pro"/>
          <w:noProof/>
          <w:color w:val="242424"/>
        </w:rPr>
        <w:t>were supported with</w:t>
      </w:r>
      <w:r w:rsidR="4BCB24F2" w:rsidRPr="5D70FC4C">
        <w:rPr>
          <w:rFonts w:eastAsia="EC Square Sans Pro" w:cs="EC Square Sans Pro"/>
          <w:b/>
          <w:bCs/>
          <w:noProof/>
          <w:color w:val="242424"/>
        </w:rPr>
        <w:t xml:space="preserve"> </w:t>
      </w:r>
      <w:r w:rsidR="61662270" w:rsidRPr="5D70FC4C">
        <w:rPr>
          <w:rFonts w:eastAsia="EC Square Sans Pro" w:cs="EC Square Sans Pro"/>
          <w:noProof/>
          <w:color w:val="242424"/>
        </w:rPr>
        <w:t>almost EUR 300 million.</w:t>
      </w:r>
      <w:r w:rsidR="512E6A93" w:rsidRPr="5D70FC4C">
        <w:rPr>
          <w:rFonts w:eastAsia="EC Square Sans Pro" w:cs="EC Square Sans Pro"/>
          <w:noProof/>
          <w:color w:val="242424"/>
        </w:rPr>
        <w:t xml:space="preserve"> </w:t>
      </w:r>
      <w:r w:rsidR="00703AA1">
        <w:rPr>
          <w:rFonts w:eastAsia="EC Square Sans Pro" w:cs="EC Square Sans Pro"/>
          <w:noProof/>
          <w:color w:val="242424"/>
        </w:rPr>
        <w:t>Given the</w:t>
      </w:r>
      <w:r w:rsidR="04E511C8" w:rsidRPr="5D70FC4C">
        <w:rPr>
          <w:rFonts w:eastAsia="EC Square Sans Pro" w:cs="EC Square Sans Pro"/>
          <w:noProof/>
          <w:color w:val="242424"/>
        </w:rPr>
        <w:t xml:space="preserve"> increased complexity</w:t>
      </w:r>
      <w:r w:rsidR="386645BE" w:rsidRPr="5D70FC4C">
        <w:rPr>
          <w:rFonts w:eastAsia="EC Square Sans Pro" w:cs="EC Square Sans Pro"/>
          <w:noProof/>
          <w:color w:val="242424"/>
        </w:rPr>
        <w:t xml:space="preserve"> of humanitarian cris</w:t>
      </w:r>
      <w:r w:rsidR="73250974" w:rsidRPr="5D70FC4C">
        <w:rPr>
          <w:rFonts w:eastAsia="EC Square Sans Pro" w:cs="EC Square Sans Pro"/>
          <w:noProof/>
          <w:color w:val="242424"/>
        </w:rPr>
        <w:t>e</w:t>
      </w:r>
      <w:r w:rsidR="386645BE" w:rsidRPr="5D70FC4C">
        <w:rPr>
          <w:rFonts w:eastAsia="EC Square Sans Pro" w:cs="EC Square Sans Pro"/>
          <w:noProof/>
          <w:color w:val="242424"/>
        </w:rPr>
        <w:t>s</w:t>
      </w:r>
      <w:r w:rsidR="517CFC5A" w:rsidRPr="5D70FC4C">
        <w:rPr>
          <w:rFonts w:eastAsia="EC Square Sans Pro" w:cs="EC Square Sans Pro"/>
          <w:noProof/>
          <w:color w:val="242424"/>
        </w:rPr>
        <w:t xml:space="preserve">, many with a protracted nature, </w:t>
      </w:r>
      <w:r w:rsidR="5D44C56C" w:rsidRPr="5D70FC4C">
        <w:rPr>
          <w:rFonts w:eastAsia="EC Square Sans Pro" w:cs="EC Square Sans Pro"/>
          <w:noProof/>
          <w:color w:val="242424"/>
        </w:rPr>
        <w:t xml:space="preserve">the main objective </w:t>
      </w:r>
      <w:r w:rsidR="66ADCBA0" w:rsidRPr="5D70FC4C">
        <w:rPr>
          <w:rFonts w:eastAsia="EC Square Sans Pro" w:cs="EC Square Sans Pro"/>
          <w:noProof/>
          <w:color w:val="242424"/>
        </w:rPr>
        <w:t xml:space="preserve">of the assistance </w:t>
      </w:r>
      <w:r w:rsidR="5D44C56C" w:rsidRPr="5D70FC4C">
        <w:rPr>
          <w:rFonts w:eastAsia="EC Square Sans Pro" w:cs="EC Square Sans Pro"/>
          <w:noProof/>
          <w:color w:val="242424"/>
        </w:rPr>
        <w:t>remained</w:t>
      </w:r>
      <w:r w:rsidR="52A3207E" w:rsidRPr="5D70FC4C">
        <w:rPr>
          <w:rFonts w:eastAsia="EC Square Sans Pro" w:cs="EC Square Sans Pro"/>
          <w:noProof/>
          <w:color w:val="242424"/>
        </w:rPr>
        <w:t xml:space="preserve"> to</w:t>
      </w:r>
      <w:r w:rsidR="66ADCBA0" w:rsidRPr="5D70FC4C">
        <w:rPr>
          <w:rFonts w:eastAsia="EC Square Sans Pro" w:cs="EC Square Sans Pro"/>
          <w:noProof/>
          <w:color w:val="242424"/>
        </w:rPr>
        <w:t xml:space="preserve"> ensure</w:t>
      </w:r>
      <w:r w:rsidR="627B2221" w:rsidRPr="5D70FC4C">
        <w:rPr>
          <w:rFonts w:eastAsia="EC Square Sans Pro" w:cs="EC Square Sans Pro"/>
          <w:noProof/>
          <w:color w:val="242424"/>
        </w:rPr>
        <w:t xml:space="preserve"> that basic</w:t>
      </w:r>
      <w:r w:rsidR="478089B5" w:rsidRPr="5D70FC4C">
        <w:rPr>
          <w:rFonts w:eastAsia="EC Square Sans Pro" w:cs="EC Square Sans Pro"/>
          <w:noProof/>
          <w:color w:val="242424"/>
        </w:rPr>
        <w:t xml:space="preserve"> health needs </w:t>
      </w:r>
      <w:r w:rsidR="7C2C8640" w:rsidRPr="5D70FC4C">
        <w:rPr>
          <w:rFonts w:eastAsia="EC Square Sans Pro" w:cs="EC Square Sans Pro"/>
          <w:noProof/>
          <w:color w:val="242424"/>
        </w:rPr>
        <w:t xml:space="preserve">are </w:t>
      </w:r>
      <w:r w:rsidR="478089B5" w:rsidRPr="5D70FC4C">
        <w:rPr>
          <w:rFonts w:eastAsia="EC Square Sans Pro" w:cs="EC Square Sans Pro"/>
          <w:noProof/>
          <w:color w:val="242424"/>
        </w:rPr>
        <w:t>adequately addressed through a</w:t>
      </w:r>
      <w:r w:rsidR="00B04A16">
        <w:rPr>
          <w:rFonts w:eastAsia="EC Square Sans Pro" w:cs="EC Square Sans Pro"/>
          <w:noProof/>
          <w:color w:val="242424"/>
        </w:rPr>
        <w:t>n approach that is</w:t>
      </w:r>
      <w:r w:rsidR="478089B5" w:rsidRPr="5D70FC4C">
        <w:rPr>
          <w:rFonts w:eastAsia="EC Square Sans Pro" w:cs="EC Square Sans Pro"/>
          <w:noProof/>
          <w:color w:val="242424"/>
        </w:rPr>
        <w:t xml:space="preserve"> </w:t>
      </w:r>
      <w:r w:rsidR="585ED1A3" w:rsidRPr="5D70FC4C">
        <w:rPr>
          <w:rFonts w:eastAsia="EC Square Sans Pro" w:cs="EC Square Sans Pro"/>
          <w:noProof/>
          <w:color w:val="242424"/>
        </w:rPr>
        <w:t>need</w:t>
      </w:r>
      <w:r w:rsidR="00B04A16">
        <w:rPr>
          <w:rFonts w:eastAsia="EC Square Sans Pro" w:cs="EC Square Sans Pro"/>
          <w:noProof/>
          <w:color w:val="242424"/>
        </w:rPr>
        <w:t>s</w:t>
      </w:r>
      <w:r w:rsidR="585ED1A3" w:rsidRPr="5D70FC4C">
        <w:rPr>
          <w:rFonts w:eastAsia="EC Square Sans Pro" w:cs="EC Square Sans Pro"/>
          <w:noProof/>
          <w:color w:val="242424"/>
        </w:rPr>
        <w:t xml:space="preserve">-based, </w:t>
      </w:r>
      <w:r w:rsidR="478089B5" w:rsidRPr="5D70FC4C">
        <w:rPr>
          <w:rFonts w:eastAsia="EC Square Sans Pro" w:cs="EC Square Sans Pro"/>
          <w:noProof/>
          <w:color w:val="242424"/>
        </w:rPr>
        <w:t>multi-sector</w:t>
      </w:r>
      <w:r w:rsidR="00B04A16">
        <w:rPr>
          <w:rFonts w:eastAsia="EC Square Sans Pro" w:cs="EC Square Sans Pro"/>
          <w:noProof/>
          <w:color w:val="242424"/>
        </w:rPr>
        <w:t>al</w:t>
      </w:r>
      <w:r w:rsidR="478089B5" w:rsidRPr="5D70FC4C">
        <w:rPr>
          <w:rFonts w:eastAsia="EC Square Sans Pro" w:cs="EC Square Sans Pro"/>
          <w:noProof/>
          <w:color w:val="242424"/>
        </w:rPr>
        <w:t xml:space="preserve"> and </w:t>
      </w:r>
      <w:r w:rsidR="00B04A16">
        <w:rPr>
          <w:rFonts w:eastAsia="EC Square Sans Pro" w:cs="EC Square Sans Pro"/>
          <w:noProof/>
          <w:color w:val="242424"/>
        </w:rPr>
        <w:t xml:space="preserve">in line with </w:t>
      </w:r>
      <w:r w:rsidR="478089B5" w:rsidRPr="5D70FC4C">
        <w:rPr>
          <w:rFonts w:eastAsia="EC Square Sans Pro" w:cs="EC Square Sans Pro"/>
          <w:noProof/>
          <w:color w:val="242424"/>
        </w:rPr>
        <w:t>Health in All Policies.</w:t>
      </w:r>
      <w:r w:rsidR="5F99B321" w:rsidRPr="5D70FC4C">
        <w:rPr>
          <w:rFonts w:eastAsia="EC Square Sans Pro" w:cs="EC Square Sans Pro"/>
          <w:noProof/>
          <w:color w:val="242424"/>
        </w:rPr>
        <w:t xml:space="preserve"> </w:t>
      </w:r>
      <w:r w:rsidR="47CFE5CC" w:rsidRPr="5D70FC4C">
        <w:rPr>
          <w:rFonts w:eastAsia="EC Square Sans Pro" w:cs="EC Square Sans Pro"/>
          <w:noProof/>
          <w:color w:val="242424"/>
        </w:rPr>
        <w:t xml:space="preserve">DG ECHO </w:t>
      </w:r>
      <w:r w:rsidR="2143D945" w:rsidRPr="5D70FC4C">
        <w:rPr>
          <w:rFonts w:eastAsia="EC Square Sans Pro" w:cs="EC Square Sans Pro"/>
          <w:noProof/>
          <w:color w:val="242424"/>
        </w:rPr>
        <w:t xml:space="preserve">has also </w:t>
      </w:r>
      <w:r w:rsidR="5D5A80D6" w:rsidRPr="5D70FC4C">
        <w:rPr>
          <w:rFonts w:eastAsia="EC Square Sans Pro" w:cs="EC Square Sans Pro"/>
          <w:noProof/>
          <w:color w:val="242424"/>
        </w:rPr>
        <w:t>prioriti</w:t>
      </w:r>
      <w:r w:rsidR="2143D945" w:rsidRPr="5D70FC4C">
        <w:rPr>
          <w:rFonts w:eastAsia="EC Square Sans Pro" w:cs="EC Square Sans Pro"/>
          <w:noProof/>
          <w:color w:val="242424"/>
        </w:rPr>
        <w:t>sed</w:t>
      </w:r>
      <w:r w:rsidR="5D5A80D6" w:rsidRPr="5D70FC4C">
        <w:rPr>
          <w:rFonts w:eastAsia="EC Square Sans Pro" w:cs="EC Square Sans Pro"/>
          <w:noProof/>
          <w:color w:val="242424"/>
        </w:rPr>
        <w:t xml:space="preserve"> epidemic/pandemic prevention, preparedness and response</w:t>
      </w:r>
      <w:r w:rsidR="4220AACF" w:rsidRPr="5D70FC4C">
        <w:rPr>
          <w:rFonts w:eastAsia="EC Square Sans Pro" w:cs="EC Square Sans Pro"/>
          <w:noProof/>
          <w:color w:val="242424"/>
        </w:rPr>
        <w:t xml:space="preserve">, </w:t>
      </w:r>
      <w:r w:rsidR="0956A2A7" w:rsidRPr="5D70FC4C">
        <w:rPr>
          <w:rFonts w:eastAsia="EC Square Sans Pro" w:cs="EC Square Sans Pro"/>
          <w:noProof/>
          <w:color w:val="242424"/>
        </w:rPr>
        <w:t xml:space="preserve">driven by the lessons learnt </w:t>
      </w:r>
      <w:r w:rsidR="00A141CA">
        <w:rPr>
          <w:rFonts w:eastAsia="EC Square Sans Pro" w:cs="EC Square Sans Pro"/>
          <w:noProof/>
          <w:color w:val="242424"/>
        </w:rPr>
        <w:t>from</w:t>
      </w:r>
      <w:r w:rsidR="0956A2A7" w:rsidRPr="5D70FC4C">
        <w:rPr>
          <w:rFonts w:eastAsia="EC Square Sans Pro" w:cs="EC Square Sans Pro"/>
          <w:noProof/>
          <w:color w:val="242424"/>
        </w:rPr>
        <w:t xml:space="preserve"> the COVID-19 pandemic</w:t>
      </w:r>
      <w:r w:rsidR="18B719C4" w:rsidRPr="5D70FC4C">
        <w:rPr>
          <w:rFonts w:eastAsia="EC Square Sans Pro" w:cs="EC Square Sans Pro"/>
          <w:noProof/>
          <w:color w:val="242424"/>
        </w:rPr>
        <w:t>,</w:t>
      </w:r>
      <w:r w:rsidR="0956A2A7" w:rsidRPr="5D70FC4C">
        <w:rPr>
          <w:rFonts w:eastAsia="EC Square Sans Pro" w:cs="EC Square Sans Pro"/>
          <w:noProof/>
          <w:color w:val="242424"/>
        </w:rPr>
        <w:t xml:space="preserve"> with a particular focus on equitable access</w:t>
      </w:r>
      <w:r w:rsidR="13F1D224" w:rsidRPr="5D70FC4C">
        <w:rPr>
          <w:rFonts w:eastAsia="EC Square Sans Pro" w:cs="EC Square Sans Pro"/>
          <w:noProof/>
          <w:color w:val="242424"/>
        </w:rPr>
        <w:t xml:space="preserve"> to </w:t>
      </w:r>
      <w:r w:rsidR="18B719C4" w:rsidRPr="5D70FC4C">
        <w:rPr>
          <w:rFonts w:eastAsia="EC Square Sans Pro" w:cs="EC Square Sans Pro"/>
          <w:noProof/>
          <w:color w:val="242424"/>
        </w:rPr>
        <w:t xml:space="preserve">quality care and </w:t>
      </w:r>
      <w:r w:rsidR="13F1D224" w:rsidRPr="5D70FC4C">
        <w:rPr>
          <w:rFonts w:eastAsia="EC Square Sans Pro" w:cs="EC Square Sans Pro"/>
          <w:noProof/>
          <w:color w:val="242424"/>
        </w:rPr>
        <w:t>medical countermeasures</w:t>
      </w:r>
      <w:r w:rsidR="7BE6158D" w:rsidRPr="5D70FC4C">
        <w:rPr>
          <w:rFonts w:eastAsia="EC Square Sans Pro" w:cs="EC Square Sans Pro"/>
          <w:noProof/>
          <w:color w:val="242424"/>
        </w:rPr>
        <w:t xml:space="preserve"> </w:t>
      </w:r>
      <w:r w:rsidR="1CB49175" w:rsidRPr="5D70FC4C">
        <w:rPr>
          <w:rFonts w:eastAsia="EC Square Sans Pro" w:cs="EC Square Sans Pro"/>
          <w:noProof/>
          <w:color w:val="242424"/>
        </w:rPr>
        <w:t xml:space="preserve">in </w:t>
      </w:r>
      <w:r w:rsidR="7BE6158D" w:rsidRPr="5D70FC4C">
        <w:rPr>
          <w:rFonts w:eastAsia="EC Square Sans Pro" w:cs="EC Square Sans Pro"/>
          <w:noProof/>
          <w:color w:val="242424"/>
        </w:rPr>
        <w:t>low</w:t>
      </w:r>
      <w:r w:rsidR="0000519B">
        <w:rPr>
          <w:rFonts w:eastAsia="EC Square Sans Pro" w:cs="EC Square Sans Pro"/>
          <w:noProof/>
          <w:color w:val="242424"/>
        </w:rPr>
        <w:t>-</w:t>
      </w:r>
      <w:r w:rsidR="7BE6158D" w:rsidRPr="5D70FC4C">
        <w:rPr>
          <w:rFonts w:eastAsia="EC Square Sans Pro" w:cs="EC Square Sans Pro"/>
          <w:noProof/>
          <w:color w:val="242424"/>
        </w:rPr>
        <w:t>income countries and humanitarian settings</w:t>
      </w:r>
      <w:r w:rsidR="2564E708" w:rsidRPr="5D70FC4C">
        <w:rPr>
          <w:rFonts w:eastAsia="EC Square Sans Pro" w:cs="EC Square Sans Pro"/>
          <w:noProof/>
          <w:color w:val="242424"/>
        </w:rPr>
        <w:t xml:space="preserve">. Besides, DG ECHO has </w:t>
      </w:r>
      <w:r w:rsidR="1BD26CF2" w:rsidRPr="5D70FC4C">
        <w:rPr>
          <w:rFonts w:eastAsia="EC Square Sans Pro" w:cs="EC Square Sans Pro"/>
          <w:noProof/>
          <w:color w:val="242424"/>
        </w:rPr>
        <w:t xml:space="preserve">supported </w:t>
      </w:r>
      <w:r w:rsidR="6A061755" w:rsidRPr="5D70FC4C">
        <w:rPr>
          <w:rFonts w:eastAsia="EC Square Sans Pro" w:cs="EC Square Sans Pro"/>
          <w:noProof/>
          <w:color w:val="242424"/>
        </w:rPr>
        <w:t>cross-sectoral aspects of global health policy</w:t>
      </w:r>
      <w:r w:rsidR="3D0AB937" w:rsidRPr="5D70FC4C">
        <w:rPr>
          <w:rFonts w:eastAsia="EC Square Sans Pro" w:cs="EC Square Sans Pro"/>
          <w:noProof/>
          <w:color w:val="242424"/>
        </w:rPr>
        <w:t xml:space="preserve">, </w:t>
      </w:r>
      <w:r w:rsidR="552504A5" w:rsidRPr="5D70FC4C">
        <w:rPr>
          <w:rFonts w:eastAsia="EC Square Sans Pro" w:cs="EC Square Sans Pro"/>
          <w:noProof/>
          <w:color w:val="242424"/>
        </w:rPr>
        <w:t xml:space="preserve">to </w:t>
      </w:r>
      <w:r w:rsidR="04C6BE26" w:rsidRPr="5D70FC4C">
        <w:rPr>
          <w:rFonts w:eastAsia="EC Square Sans Pro" w:cs="EC Square Sans Pro"/>
          <w:noProof/>
          <w:color w:val="242424"/>
        </w:rPr>
        <w:t xml:space="preserve">provide a </w:t>
      </w:r>
      <w:r w:rsidR="3D0AB937" w:rsidRPr="5D70FC4C">
        <w:rPr>
          <w:rFonts w:eastAsia="EC Square Sans Pro" w:cs="EC Square Sans Pro"/>
          <w:noProof/>
          <w:color w:val="242424"/>
        </w:rPr>
        <w:t>holistic approach</w:t>
      </w:r>
      <w:r w:rsidR="519B7F79" w:rsidRPr="5D70FC4C">
        <w:rPr>
          <w:rFonts w:eastAsia="EC Square Sans Pro" w:cs="EC Square Sans Pro"/>
          <w:noProof/>
          <w:color w:val="242424"/>
        </w:rPr>
        <w:t xml:space="preserve"> particularly </w:t>
      </w:r>
      <w:r w:rsidR="04C6BE26" w:rsidRPr="5D70FC4C">
        <w:rPr>
          <w:rFonts w:eastAsia="EC Square Sans Pro" w:cs="EC Square Sans Pro"/>
          <w:noProof/>
          <w:color w:val="242424"/>
        </w:rPr>
        <w:t>in the areas of</w:t>
      </w:r>
      <w:r w:rsidR="5EBF9C67" w:rsidRPr="5D70FC4C">
        <w:rPr>
          <w:rFonts w:eastAsia="EC Square Sans Pro" w:cs="EC Square Sans Pro"/>
          <w:noProof/>
          <w:color w:val="242424"/>
        </w:rPr>
        <w:t xml:space="preserve"> </w:t>
      </w:r>
      <w:r w:rsidR="00A141CA">
        <w:rPr>
          <w:rFonts w:eastAsia="EC Square Sans Pro" w:cs="EC Square Sans Pro"/>
          <w:noProof/>
          <w:color w:val="242424"/>
        </w:rPr>
        <w:t>m</w:t>
      </w:r>
      <w:r w:rsidR="5EBF9C67" w:rsidRPr="5D70FC4C">
        <w:rPr>
          <w:rFonts w:eastAsia="EC Square Sans Pro" w:cs="EC Square Sans Pro"/>
          <w:noProof/>
          <w:color w:val="242424"/>
        </w:rPr>
        <w:t xml:space="preserve">ental </w:t>
      </w:r>
      <w:r w:rsidR="00A141CA">
        <w:rPr>
          <w:rFonts w:eastAsia="EC Square Sans Pro" w:cs="EC Square Sans Pro"/>
          <w:noProof/>
          <w:color w:val="242424"/>
        </w:rPr>
        <w:t>h</w:t>
      </w:r>
      <w:r w:rsidR="5EBF9C67" w:rsidRPr="5D70FC4C">
        <w:rPr>
          <w:rFonts w:eastAsia="EC Square Sans Pro" w:cs="EC Square Sans Pro"/>
          <w:noProof/>
          <w:color w:val="242424"/>
        </w:rPr>
        <w:t xml:space="preserve">ealth and </w:t>
      </w:r>
      <w:r w:rsidR="00A141CA">
        <w:rPr>
          <w:rFonts w:eastAsia="EC Square Sans Pro" w:cs="EC Square Sans Pro"/>
          <w:noProof/>
          <w:color w:val="242424"/>
        </w:rPr>
        <w:t>p</w:t>
      </w:r>
      <w:r w:rsidR="5EBF9C67" w:rsidRPr="5D70FC4C">
        <w:rPr>
          <w:rFonts w:eastAsia="EC Square Sans Pro" w:cs="EC Square Sans Pro"/>
          <w:noProof/>
          <w:color w:val="242424"/>
        </w:rPr>
        <w:t xml:space="preserve">sychosocial </w:t>
      </w:r>
      <w:r w:rsidR="00A141CA">
        <w:rPr>
          <w:rFonts w:eastAsia="EC Square Sans Pro" w:cs="EC Square Sans Pro"/>
          <w:noProof/>
          <w:color w:val="242424"/>
        </w:rPr>
        <w:t>s</w:t>
      </w:r>
      <w:r w:rsidR="5EBF9C67" w:rsidRPr="5D70FC4C">
        <w:rPr>
          <w:rFonts w:eastAsia="EC Square Sans Pro" w:cs="EC Square Sans Pro"/>
          <w:noProof/>
          <w:color w:val="242424"/>
        </w:rPr>
        <w:t xml:space="preserve">upport, </w:t>
      </w:r>
      <w:r w:rsidR="00A141CA">
        <w:rPr>
          <w:rFonts w:eastAsia="EC Square Sans Pro" w:cs="EC Square Sans Pro"/>
          <w:noProof/>
          <w:color w:val="242424"/>
        </w:rPr>
        <w:t>s</w:t>
      </w:r>
      <w:r w:rsidR="5EBF9C67" w:rsidRPr="5D70FC4C">
        <w:rPr>
          <w:rFonts w:eastAsia="EC Square Sans Pro" w:cs="EC Square Sans Pro"/>
          <w:noProof/>
          <w:color w:val="242424"/>
        </w:rPr>
        <w:t xml:space="preserve">exual and </w:t>
      </w:r>
      <w:r w:rsidR="00A141CA">
        <w:rPr>
          <w:rFonts w:eastAsia="EC Square Sans Pro" w:cs="EC Square Sans Pro"/>
          <w:noProof/>
          <w:color w:val="242424"/>
        </w:rPr>
        <w:t>r</w:t>
      </w:r>
      <w:r w:rsidR="5EBF9C67" w:rsidRPr="5D70FC4C">
        <w:rPr>
          <w:rFonts w:eastAsia="EC Square Sans Pro" w:cs="EC Square Sans Pro"/>
          <w:noProof/>
          <w:color w:val="242424"/>
        </w:rPr>
        <w:t xml:space="preserve">eproductive </w:t>
      </w:r>
      <w:r w:rsidR="00A141CA">
        <w:rPr>
          <w:rFonts w:eastAsia="EC Square Sans Pro" w:cs="EC Square Sans Pro"/>
          <w:noProof/>
          <w:color w:val="242424"/>
        </w:rPr>
        <w:t>h</w:t>
      </w:r>
      <w:r w:rsidR="5EBF9C67" w:rsidRPr="5D70FC4C">
        <w:rPr>
          <w:rFonts w:eastAsia="EC Square Sans Pro" w:cs="EC Square Sans Pro"/>
          <w:noProof/>
          <w:color w:val="242424"/>
        </w:rPr>
        <w:t xml:space="preserve">ealth </w:t>
      </w:r>
      <w:r w:rsidR="11C1AEF5" w:rsidRPr="5D70FC4C">
        <w:rPr>
          <w:rFonts w:eastAsia="EC Square Sans Pro" w:cs="EC Square Sans Pro"/>
          <w:noProof/>
          <w:color w:val="242424"/>
        </w:rPr>
        <w:t xml:space="preserve">and </w:t>
      </w:r>
      <w:r w:rsidR="00A141CA">
        <w:rPr>
          <w:rFonts w:eastAsia="EC Square Sans Pro" w:cs="EC Square Sans Pro"/>
          <w:noProof/>
          <w:color w:val="242424"/>
        </w:rPr>
        <w:t>r</w:t>
      </w:r>
      <w:r w:rsidR="11C1AEF5" w:rsidRPr="5D70FC4C">
        <w:rPr>
          <w:rFonts w:eastAsia="EC Square Sans Pro" w:cs="EC Square Sans Pro"/>
          <w:noProof/>
          <w:color w:val="242424"/>
        </w:rPr>
        <w:t>ights</w:t>
      </w:r>
      <w:r w:rsidR="00703AA1">
        <w:rPr>
          <w:rFonts w:eastAsia="EC Square Sans Pro" w:cs="EC Square Sans Pro"/>
          <w:noProof/>
          <w:color w:val="242424"/>
        </w:rPr>
        <w:t>,</w:t>
      </w:r>
      <w:r w:rsidR="11C1AEF5" w:rsidRPr="5D70FC4C">
        <w:rPr>
          <w:rFonts w:eastAsia="EC Square Sans Pro" w:cs="EC Square Sans Pro"/>
          <w:noProof/>
          <w:color w:val="242424"/>
        </w:rPr>
        <w:t xml:space="preserve"> and </w:t>
      </w:r>
      <w:r w:rsidR="00A141CA">
        <w:rPr>
          <w:rFonts w:eastAsia="EC Square Sans Pro" w:cs="EC Square Sans Pro"/>
          <w:noProof/>
          <w:color w:val="242424"/>
        </w:rPr>
        <w:t>h</w:t>
      </w:r>
      <w:r w:rsidR="50DB0B97" w:rsidRPr="5D70FC4C">
        <w:rPr>
          <w:rFonts w:eastAsia="EC Square Sans Pro" w:cs="EC Square Sans Pro"/>
          <w:noProof/>
          <w:color w:val="242424"/>
        </w:rPr>
        <w:t xml:space="preserve">ealth and </w:t>
      </w:r>
      <w:r w:rsidR="00A141CA">
        <w:rPr>
          <w:rFonts w:eastAsia="EC Square Sans Pro" w:cs="EC Square Sans Pro"/>
          <w:noProof/>
          <w:color w:val="242424"/>
        </w:rPr>
        <w:t>d</w:t>
      </w:r>
      <w:r w:rsidR="50DB0B97" w:rsidRPr="5D70FC4C">
        <w:rPr>
          <w:rFonts w:eastAsia="EC Square Sans Pro" w:cs="EC Square Sans Pro"/>
          <w:noProof/>
          <w:color w:val="242424"/>
        </w:rPr>
        <w:t>isplacement</w:t>
      </w:r>
      <w:r w:rsidR="04C6BE26" w:rsidRPr="5D70FC4C">
        <w:rPr>
          <w:rFonts w:eastAsia="EC Square Sans Pro" w:cs="EC Square Sans Pro"/>
          <w:noProof/>
          <w:color w:val="242424"/>
        </w:rPr>
        <w:t>.</w:t>
      </w:r>
    </w:p>
    <w:p w14:paraId="7F6CC25A" w14:textId="018B0751" w:rsidR="00D62E28" w:rsidRPr="00A265E8" w:rsidRDefault="1E0EF25E" w:rsidP="00063C9A">
      <w:pPr>
        <w:rPr>
          <w:rFonts w:ascii="Calibri" w:eastAsia="Calibri" w:hAnsi="Calibri" w:cs="Calibri"/>
          <w:noProof/>
          <w:sz w:val="22"/>
          <w:szCs w:val="22"/>
        </w:rPr>
      </w:pPr>
      <w:r>
        <w:rPr>
          <w:noProof/>
        </w:rPr>
        <w:t xml:space="preserve">In 2022, DG ECHO </w:t>
      </w:r>
      <w:r w:rsidR="51E6DD00">
        <w:rPr>
          <w:noProof/>
        </w:rPr>
        <w:t xml:space="preserve">continued </w:t>
      </w:r>
      <w:r>
        <w:rPr>
          <w:noProof/>
        </w:rPr>
        <w:t xml:space="preserve">its systematic public advocacy through public statements and interventions on </w:t>
      </w:r>
      <w:r w:rsidR="0067431D" w:rsidRPr="00063C9A">
        <w:rPr>
          <w:b/>
          <w:bCs/>
          <w:noProof/>
        </w:rPr>
        <w:t>IHL</w:t>
      </w:r>
      <w:r>
        <w:rPr>
          <w:noProof/>
        </w:rPr>
        <w:t xml:space="preserve"> in multilateral </w:t>
      </w:r>
      <w:r w:rsidR="00703AA1">
        <w:rPr>
          <w:noProof/>
        </w:rPr>
        <w:t>forums</w:t>
      </w:r>
      <w:r>
        <w:rPr>
          <w:noProof/>
        </w:rPr>
        <w:t xml:space="preserve">. </w:t>
      </w:r>
      <w:r w:rsidR="49CBEC14">
        <w:rPr>
          <w:noProof/>
        </w:rPr>
        <w:t xml:space="preserve">DG ECHO co-organised a high-level side event in the margins of the UN General Assembly Ministerial Week on promoting accountability for IHL violations, especially sexual and gender-based violence. </w:t>
      </w:r>
      <w:r>
        <w:rPr>
          <w:noProof/>
        </w:rPr>
        <w:t xml:space="preserve">IHL </w:t>
      </w:r>
      <w:r w:rsidR="4F2431C9">
        <w:rPr>
          <w:noProof/>
        </w:rPr>
        <w:t xml:space="preserve">also </w:t>
      </w:r>
      <w:r>
        <w:rPr>
          <w:noProof/>
        </w:rPr>
        <w:t>featured prominently at the first European Humanitarian Forum in March 2022. DG ECHO continued to support and advocate for the protection of humanitarian and healthcare workers and</w:t>
      </w:r>
      <w:r w:rsidR="002A3009">
        <w:rPr>
          <w:noProof/>
        </w:rPr>
        <w:t xml:space="preserve"> the</w:t>
      </w:r>
      <w:r>
        <w:rPr>
          <w:noProof/>
        </w:rPr>
        <w:t xml:space="preserve"> education </w:t>
      </w:r>
      <w:r w:rsidR="002A3009">
        <w:rPr>
          <w:noProof/>
        </w:rPr>
        <w:t xml:space="preserve">sector </w:t>
      </w:r>
      <w:r>
        <w:rPr>
          <w:noProof/>
        </w:rPr>
        <w:t xml:space="preserve">from attacks and </w:t>
      </w:r>
      <w:r w:rsidR="00E42A2F">
        <w:rPr>
          <w:noProof/>
        </w:rPr>
        <w:t>implemented</w:t>
      </w:r>
      <w:r>
        <w:rPr>
          <w:noProof/>
        </w:rPr>
        <w:t xml:space="preserve"> actions for children associated with armed conflict. DG ECHO facilitated the coordination of relevant EU actors, notably through the Interservice Group on IHL, and supported stronger EU humanitarian diplomacy. DG ECHO also made funding available to IHL-related projects</w:t>
      </w:r>
      <w:r w:rsidR="0067431D">
        <w:rPr>
          <w:noProof/>
        </w:rPr>
        <w:t xml:space="preserve">, </w:t>
      </w:r>
      <w:r>
        <w:rPr>
          <w:noProof/>
        </w:rPr>
        <w:t>notably support</w:t>
      </w:r>
      <w:r w:rsidR="0067431D">
        <w:rPr>
          <w:noProof/>
        </w:rPr>
        <w:t>ing</w:t>
      </w:r>
      <w:r>
        <w:rPr>
          <w:noProof/>
        </w:rPr>
        <w:t xml:space="preserve"> the programme for the Prevention of IHL violations of the ICRC through its first thematic Programmatic Partnership.</w:t>
      </w:r>
      <w:r w:rsidRPr="274B8BBE">
        <w:rPr>
          <w:rFonts w:ascii="Calibri" w:eastAsia="Calibri" w:hAnsi="Calibri" w:cs="Calibri"/>
          <w:noProof/>
          <w:sz w:val="22"/>
          <w:szCs w:val="22"/>
        </w:rPr>
        <w:t xml:space="preserve">  </w:t>
      </w:r>
    </w:p>
    <w:p w14:paraId="2C462574" w14:textId="5D11629D" w:rsidR="00D62E28" w:rsidRPr="00895341" w:rsidRDefault="00D62E28" w:rsidP="00063C9A">
      <w:pPr>
        <w:rPr>
          <w:rFonts w:eastAsia="EC Square Sans Pro" w:cs="EC Square Sans Pro"/>
          <w:noProof/>
          <w:color w:val="242424"/>
        </w:rPr>
      </w:pPr>
      <w:r>
        <w:rPr>
          <w:rFonts w:eastAsia="EC Square Sans Pro" w:cs="EC Square Sans Pro"/>
          <w:noProof/>
          <w:color w:val="242424"/>
        </w:rPr>
        <w:t>In a context of continued</w:t>
      </w:r>
      <w:r w:rsidR="2D48EE50" w:rsidRPr="7C0D3F1F">
        <w:rPr>
          <w:rFonts w:eastAsia="EC Square Sans Pro" w:cs="EC Square Sans Pro"/>
          <w:noProof/>
          <w:color w:val="242424"/>
        </w:rPr>
        <w:t xml:space="preserve"> IHL </w:t>
      </w:r>
      <w:r w:rsidRPr="00295A92">
        <w:rPr>
          <w:rFonts w:eastAsia="EC Square Sans Pro" w:cs="EC Square Sans Pro"/>
          <w:noProof/>
          <w:color w:val="242424"/>
        </w:rPr>
        <w:t>breaches and the widespread risks and instances of violence, deprivation and abuse in today’s crises</w:t>
      </w:r>
      <w:r>
        <w:rPr>
          <w:rFonts w:eastAsia="EC Square Sans Pro" w:cs="EC Square Sans Pro"/>
          <w:noProof/>
          <w:color w:val="242424"/>
        </w:rPr>
        <w:t>,</w:t>
      </w:r>
      <w:r w:rsidRPr="00295A92">
        <w:rPr>
          <w:rFonts w:eastAsia="EC Square Sans Pro" w:cs="EC Square Sans Pro"/>
          <w:noProof/>
          <w:color w:val="242424"/>
        </w:rPr>
        <w:t xml:space="preserve"> DG ECHO ma</w:t>
      </w:r>
      <w:r>
        <w:rPr>
          <w:rFonts w:eastAsia="EC Square Sans Pro" w:cs="EC Square Sans Pro"/>
          <w:noProof/>
          <w:color w:val="242424"/>
        </w:rPr>
        <w:t>intained</w:t>
      </w:r>
      <w:r w:rsidRPr="00295A92">
        <w:rPr>
          <w:rFonts w:eastAsia="EC Square Sans Pro" w:cs="EC Square Sans Pro"/>
          <w:noProof/>
          <w:color w:val="242424"/>
        </w:rPr>
        <w:t xml:space="preserve"> </w:t>
      </w:r>
      <w:r w:rsidRPr="2F1F91F7">
        <w:rPr>
          <w:rFonts w:eastAsia="EC Square Sans Pro" w:cs="EC Square Sans Pro"/>
          <w:b/>
          <w:bCs/>
          <w:noProof/>
          <w:color w:val="242424"/>
        </w:rPr>
        <w:t xml:space="preserve">protection </w:t>
      </w:r>
      <w:r w:rsidRPr="007E741B">
        <w:rPr>
          <w:rFonts w:eastAsia="EC Square Sans Pro" w:cs="EC Square Sans Pro"/>
          <w:bCs/>
          <w:noProof/>
          <w:color w:val="242424"/>
        </w:rPr>
        <w:t>as</w:t>
      </w:r>
      <w:r w:rsidRPr="2F1F91F7">
        <w:rPr>
          <w:rFonts w:eastAsia="EC Square Sans Pro" w:cs="EC Square Sans Pro"/>
          <w:b/>
          <w:bCs/>
          <w:noProof/>
          <w:color w:val="242424"/>
        </w:rPr>
        <w:t xml:space="preserve"> </w:t>
      </w:r>
      <w:r w:rsidRPr="00295A92">
        <w:rPr>
          <w:rFonts w:eastAsia="EC Square Sans Pro" w:cs="EC Square Sans Pro"/>
          <w:noProof/>
          <w:color w:val="242424"/>
        </w:rPr>
        <w:t>a priority</w:t>
      </w:r>
      <w:r>
        <w:rPr>
          <w:rFonts w:eastAsia="EC Square Sans Pro" w:cs="EC Square Sans Pro"/>
          <w:noProof/>
          <w:color w:val="242424"/>
        </w:rPr>
        <w:t>, mainstreaming gender and age</w:t>
      </w:r>
      <w:r w:rsidRPr="00295A92">
        <w:rPr>
          <w:rFonts w:eastAsia="EC Square Sans Pro" w:cs="EC Square Sans Pro"/>
          <w:noProof/>
          <w:color w:val="242424"/>
        </w:rPr>
        <w:t xml:space="preserve"> across all sectors of </w:t>
      </w:r>
      <w:r>
        <w:rPr>
          <w:rFonts w:eastAsia="EC Square Sans Pro" w:cs="EC Square Sans Pro"/>
          <w:noProof/>
          <w:color w:val="242424"/>
        </w:rPr>
        <w:t>interventions</w:t>
      </w:r>
      <w:r>
        <w:rPr>
          <w:noProof/>
        </w:rPr>
        <w:t xml:space="preserve">, outlining the approach to gender and gender-based violence in humanitarian crises </w:t>
      </w:r>
      <w:r>
        <w:rPr>
          <w:rFonts w:eastAsia="EC Square Sans Pro" w:cs="EC Square Sans Pro"/>
          <w:noProof/>
        </w:rPr>
        <w:t xml:space="preserve">in the Staff Working Document </w:t>
      </w:r>
      <w:r w:rsidRPr="53DFD361">
        <w:rPr>
          <w:rFonts w:eastAsia="EC Square Sans Pro" w:cs="EC Square Sans Pro"/>
          <w:noProof/>
        </w:rPr>
        <w:t>‘</w:t>
      </w:r>
      <w:r w:rsidRPr="7C0D3F1F">
        <w:rPr>
          <w:rFonts w:eastAsia="EC Square Sans Pro" w:cs="EC Square Sans Pro"/>
          <w:i/>
          <w:iCs/>
          <w:noProof/>
        </w:rPr>
        <w:t>Gender: Different Needs, Adapted Assistance’</w:t>
      </w:r>
      <w:r w:rsidR="00411067" w:rsidRPr="00411067">
        <w:rPr>
          <w:rFonts w:eastAsia="EC Square Sans Pro"/>
          <w:noProof/>
        </w:rPr>
        <w:t> (</w:t>
      </w:r>
      <w:r>
        <w:rPr>
          <w:noProof/>
          <w:vertAlign w:val="superscript"/>
        </w:rPr>
        <w:footnoteReference w:id="19"/>
      </w:r>
      <w:r w:rsidR="00411067">
        <w:rPr>
          <w:rFonts w:eastAsia="EC Square Sans Pro"/>
          <w:noProof/>
        </w:rPr>
        <w:t>)</w:t>
      </w:r>
      <w:r>
        <w:rPr>
          <w:rFonts w:eastAsia="EC Square Sans Pro" w:cs="EC Square Sans Pro"/>
          <w:noProof/>
        </w:rPr>
        <w:t xml:space="preserve">. </w:t>
      </w:r>
      <w:r>
        <w:rPr>
          <w:noProof/>
        </w:rPr>
        <w:t>DG ECHO remained an active member of the Call to Action on Protection from Gender-Based Violence in Emergencies</w:t>
      </w:r>
      <w:r w:rsidR="00411067" w:rsidRPr="00411067">
        <w:rPr>
          <w:noProof/>
        </w:rPr>
        <w:t> (</w:t>
      </w:r>
      <w:r>
        <w:rPr>
          <w:rStyle w:val="FootnoteReference"/>
          <w:noProof/>
        </w:rPr>
        <w:footnoteReference w:id="20"/>
      </w:r>
      <w:r w:rsidR="00411067">
        <w:rPr>
          <w:noProof/>
        </w:rPr>
        <w:t>)</w:t>
      </w:r>
      <w:r>
        <w:rPr>
          <w:noProof/>
        </w:rPr>
        <w:t xml:space="preserve"> and reported </w:t>
      </w:r>
      <w:r w:rsidR="00A141CA">
        <w:rPr>
          <w:noProof/>
        </w:rPr>
        <w:t xml:space="preserve">on </w:t>
      </w:r>
      <w:r>
        <w:rPr>
          <w:noProof/>
        </w:rPr>
        <w:t>the commitments made to the Road map 2021-2025</w:t>
      </w:r>
      <w:r w:rsidR="00411067" w:rsidRPr="00411067">
        <w:rPr>
          <w:noProof/>
        </w:rPr>
        <w:t> (</w:t>
      </w:r>
      <w:r>
        <w:rPr>
          <w:rStyle w:val="FootnoteReference"/>
          <w:noProof/>
        </w:rPr>
        <w:footnoteReference w:id="21"/>
      </w:r>
      <w:r w:rsidR="00411067">
        <w:rPr>
          <w:noProof/>
        </w:rPr>
        <w:t>)</w:t>
      </w:r>
      <w:r>
        <w:rPr>
          <w:noProof/>
        </w:rPr>
        <w:t xml:space="preserve">. Furthermore, DG ECHO increased its focus on conflict-related sexual violence in response to observations in several recent and ongoing crises. In line with the 2021 Strategy on the </w:t>
      </w:r>
      <w:r w:rsidRPr="00895341">
        <w:rPr>
          <w:rFonts w:eastAsia="EC Square Sans Pro" w:cs="EC Square Sans Pro"/>
          <w:noProof/>
          <w:color w:val="242424"/>
        </w:rPr>
        <w:t>Rights of the Child</w:t>
      </w:r>
      <w:r w:rsidR="00411067" w:rsidRPr="00411067">
        <w:rPr>
          <w:rFonts w:eastAsia="EC Square Sans Pro"/>
          <w:noProof/>
          <w:color w:val="242424"/>
        </w:rPr>
        <w:t> (</w:t>
      </w:r>
      <w:r w:rsidRPr="0032243F">
        <w:rPr>
          <w:rFonts w:eastAsia="EC Square Sans Pro" w:cs="EC Square Sans Pro"/>
          <w:noProof/>
          <w:color w:val="242424"/>
          <w:vertAlign w:val="superscript"/>
        </w:rPr>
        <w:footnoteReference w:id="22"/>
      </w:r>
      <w:r w:rsidR="00411067">
        <w:rPr>
          <w:rFonts w:eastAsia="EC Square Sans Pro"/>
          <w:noProof/>
          <w:color w:val="242424"/>
        </w:rPr>
        <w:t>)</w:t>
      </w:r>
      <w:r w:rsidRPr="00895341">
        <w:rPr>
          <w:rFonts w:eastAsia="EC Square Sans Pro" w:cs="EC Square Sans Pro"/>
          <w:noProof/>
          <w:color w:val="242424"/>
        </w:rPr>
        <w:t>, DG ECHO strengthened its activities for child protection, including with advocacy activities.</w:t>
      </w:r>
      <w:r w:rsidR="7BCC3ED7" w:rsidRPr="7244646C">
        <w:rPr>
          <w:rFonts w:eastAsia="EC Square Sans Pro" w:cs="EC Square Sans Pro"/>
          <w:noProof/>
          <w:color w:val="242424"/>
        </w:rPr>
        <w:t xml:space="preserve"> DG ECHO also paid specific attention to addressing the needs of persons with disabilities, in line with the Guidance on the Inclusion of Persons with Disabilities in EU-funded Humanitarian Aid Operations and </w:t>
      </w:r>
      <w:r w:rsidR="004273EA">
        <w:rPr>
          <w:rFonts w:eastAsia="EC Square Sans Pro" w:cs="EC Square Sans Pro"/>
          <w:noProof/>
          <w:color w:val="242424"/>
        </w:rPr>
        <w:t xml:space="preserve">with </w:t>
      </w:r>
      <w:r w:rsidR="7BCC3ED7" w:rsidRPr="7244646C">
        <w:rPr>
          <w:rFonts w:eastAsia="EC Square Sans Pro" w:cs="EC Square Sans Pro"/>
          <w:noProof/>
          <w:color w:val="242424"/>
        </w:rPr>
        <w:t>the Strategy for the Rights of Persons wit</w:t>
      </w:r>
      <w:r w:rsidR="00E61277">
        <w:rPr>
          <w:rFonts w:eastAsia="EC Square Sans Pro" w:cs="EC Square Sans Pro"/>
          <w:noProof/>
          <w:color w:val="242424"/>
        </w:rPr>
        <w:t>h Disabilities 2021-2030</w:t>
      </w:r>
      <w:r w:rsidR="7BCC3ED7" w:rsidRPr="7244646C">
        <w:rPr>
          <w:rFonts w:eastAsia="EC Square Sans Pro" w:cs="EC Square Sans Pro"/>
          <w:noProof/>
          <w:color w:val="242424"/>
        </w:rPr>
        <w:t>.</w:t>
      </w:r>
    </w:p>
    <w:p w14:paraId="1A1799CD" w14:textId="4F8805F4" w:rsidR="00D62E28" w:rsidRPr="00895341" w:rsidRDefault="57D4CB5A" w:rsidP="00063C9A">
      <w:pPr>
        <w:rPr>
          <w:rFonts w:eastAsia="EC Square Sans Pro" w:cs="EC Square Sans Pro"/>
          <w:noProof/>
          <w:color w:val="242424"/>
        </w:rPr>
      </w:pPr>
      <w:r w:rsidRPr="5D70FC4C">
        <w:rPr>
          <w:rFonts w:eastAsia="EC Square Sans Pro" w:cs="EC Square Sans Pro"/>
          <w:noProof/>
          <w:color w:val="242424"/>
        </w:rPr>
        <w:t xml:space="preserve">DG ECHO continued to place emphasis on </w:t>
      </w:r>
      <w:r w:rsidRPr="5D70FC4C">
        <w:rPr>
          <w:rFonts w:eastAsia="EC Square Sans Pro" w:cs="EC Square Sans Pro"/>
          <w:b/>
          <w:bCs/>
          <w:noProof/>
          <w:color w:val="242424"/>
        </w:rPr>
        <w:t>education in emergenc</w:t>
      </w:r>
      <w:r w:rsidR="3D4DDAAF" w:rsidRPr="5D70FC4C">
        <w:rPr>
          <w:rFonts w:eastAsia="EC Square Sans Pro" w:cs="EC Square Sans Pro"/>
          <w:b/>
          <w:bCs/>
          <w:noProof/>
          <w:color w:val="242424"/>
        </w:rPr>
        <w:t>ies</w:t>
      </w:r>
      <w:r w:rsidR="004273EA" w:rsidRPr="008B529E">
        <w:rPr>
          <w:rFonts w:eastAsia="EC Square Sans Pro" w:cs="EC Square Sans Pro"/>
          <w:noProof/>
          <w:color w:val="242424"/>
        </w:rPr>
        <w:t xml:space="preserve"> (EiE)</w:t>
      </w:r>
      <w:r w:rsidRPr="5D70FC4C">
        <w:rPr>
          <w:rFonts w:eastAsia="EC Square Sans Pro" w:cs="EC Square Sans Pro"/>
          <w:noProof/>
          <w:color w:val="242424"/>
        </w:rPr>
        <w:t>, maintaining</w:t>
      </w:r>
      <w:r w:rsidR="00895FDB">
        <w:rPr>
          <w:rFonts w:eastAsia="EC Square Sans Pro" w:cs="EC Square Sans Pro"/>
          <w:noProof/>
          <w:color w:val="242424"/>
        </w:rPr>
        <w:t xml:space="preserve"> its commitment to</w:t>
      </w:r>
      <w:r w:rsidRPr="5D70FC4C">
        <w:rPr>
          <w:rFonts w:eastAsia="EC Square Sans Pro" w:cs="EC Square Sans Pro"/>
          <w:noProof/>
          <w:color w:val="242424"/>
        </w:rPr>
        <w:t xml:space="preserve"> invest in education at the ambitious level of 10% of the annual initial EU humanitarian aid budget</w:t>
      </w:r>
      <w:r w:rsidR="72676D6A" w:rsidRPr="5D70FC4C">
        <w:rPr>
          <w:rFonts w:eastAsia="EC Square Sans Pro" w:cs="EC Square Sans Pro"/>
          <w:noProof/>
          <w:color w:val="242424"/>
        </w:rPr>
        <w:t xml:space="preserve">. In 2022, the </w:t>
      </w:r>
      <w:r w:rsidR="00895FDB">
        <w:rPr>
          <w:rFonts w:eastAsia="EC Square Sans Pro" w:cs="EC Square Sans Pro"/>
          <w:noProof/>
          <w:color w:val="242424"/>
        </w:rPr>
        <w:t xml:space="preserve">total </w:t>
      </w:r>
      <w:r w:rsidR="72676D6A" w:rsidRPr="5D70FC4C">
        <w:rPr>
          <w:rFonts w:eastAsia="EC Square Sans Pro" w:cs="EC Square Sans Pro"/>
          <w:noProof/>
          <w:color w:val="242424"/>
        </w:rPr>
        <w:t xml:space="preserve">investment in EiE </w:t>
      </w:r>
      <w:r w:rsidR="200B439D" w:rsidRPr="5D70FC4C">
        <w:rPr>
          <w:rFonts w:eastAsia="EC Square Sans Pro" w:cs="EC Square Sans Pro"/>
          <w:noProof/>
          <w:color w:val="242424"/>
        </w:rPr>
        <w:t>a</w:t>
      </w:r>
      <w:r w:rsidR="72676D6A" w:rsidRPr="5D70FC4C">
        <w:rPr>
          <w:rFonts w:eastAsia="EC Square Sans Pro" w:cs="EC Square Sans Pro"/>
          <w:noProof/>
          <w:color w:val="242424"/>
        </w:rPr>
        <w:t>mounted to</w:t>
      </w:r>
      <w:r w:rsidRPr="5D70FC4C">
        <w:rPr>
          <w:rFonts w:eastAsia="EC Square Sans Pro" w:cs="EC Square Sans Pro"/>
          <w:noProof/>
          <w:color w:val="242424"/>
        </w:rPr>
        <w:t xml:space="preserve"> over</w:t>
      </w:r>
      <w:r w:rsidR="47F61CFE" w:rsidRPr="5D70FC4C">
        <w:rPr>
          <w:rFonts w:eastAsia="EC Square Sans Pro" w:cs="EC Square Sans Pro"/>
          <w:noProof/>
          <w:color w:val="242424"/>
        </w:rPr>
        <w:t xml:space="preserve"> </w:t>
      </w:r>
      <w:r w:rsidRPr="5D70FC4C">
        <w:rPr>
          <w:rFonts w:eastAsia="EC Square Sans Pro" w:cs="EC Square Sans Pro"/>
          <w:noProof/>
          <w:color w:val="242424"/>
        </w:rPr>
        <w:t xml:space="preserve">EUR 220 million, aiming to reach over 6 million children </w:t>
      </w:r>
      <w:r w:rsidR="6018F45B" w:rsidRPr="5D70FC4C">
        <w:rPr>
          <w:rFonts w:eastAsia="EC Square Sans Pro" w:cs="EC Square Sans Pro"/>
          <w:noProof/>
          <w:color w:val="242424"/>
        </w:rPr>
        <w:t xml:space="preserve">and young adolescents </w:t>
      </w:r>
      <w:r w:rsidRPr="5D70FC4C">
        <w:rPr>
          <w:rFonts w:eastAsia="EC Square Sans Pro" w:cs="EC Square Sans Pro"/>
          <w:noProof/>
          <w:color w:val="242424"/>
        </w:rPr>
        <w:t xml:space="preserve">with direct or indirect education support. </w:t>
      </w:r>
    </w:p>
    <w:p w14:paraId="16740BF7" w14:textId="1AA04091" w:rsidR="00D62E28" w:rsidRDefault="00D62E28" w:rsidP="00063C9A">
      <w:pPr>
        <w:rPr>
          <w:noProof/>
        </w:rPr>
      </w:pPr>
      <w:r w:rsidRPr="007669F1">
        <w:rPr>
          <w:rFonts w:eastAsia="EC Square Sans Pro" w:cs="EC Square Sans Pro"/>
          <w:bCs/>
          <w:noProof/>
          <w:color w:val="242424"/>
        </w:rPr>
        <w:t>As regards</w:t>
      </w:r>
      <w:r>
        <w:rPr>
          <w:rFonts w:eastAsia="EC Square Sans Pro" w:cs="EC Square Sans Pro"/>
          <w:b/>
          <w:noProof/>
          <w:color w:val="242424"/>
        </w:rPr>
        <w:t xml:space="preserve"> </w:t>
      </w:r>
      <w:r w:rsidRPr="007669F1">
        <w:rPr>
          <w:rFonts w:eastAsia="EC Square Sans Pro" w:cs="EC Square Sans Pro"/>
          <w:b/>
          <w:noProof/>
          <w:color w:val="242424"/>
        </w:rPr>
        <w:t>humanitarian cash transfers</w:t>
      </w:r>
      <w:r w:rsidR="00C77635" w:rsidRPr="00A265E8">
        <w:rPr>
          <w:rFonts w:eastAsia="EC Square Sans Pro"/>
          <w:noProof/>
          <w:color w:val="242424"/>
        </w:rPr>
        <w:t> </w:t>
      </w:r>
      <w:r w:rsidR="00411067" w:rsidRPr="00411067">
        <w:rPr>
          <w:rFonts w:eastAsia="EC Square Sans Pro"/>
          <w:noProof/>
          <w:color w:val="242424"/>
        </w:rPr>
        <w:t>(</w:t>
      </w:r>
      <w:r w:rsidRPr="003C09BF">
        <w:rPr>
          <w:rFonts w:eastAsia="EC Square Sans Pro" w:cs="EC Square Sans Pro"/>
          <w:noProof/>
          <w:color w:val="242424"/>
          <w:vertAlign w:val="superscript"/>
        </w:rPr>
        <w:footnoteReference w:id="23"/>
      </w:r>
      <w:r w:rsidR="00411067">
        <w:rPr>
          <w:rFonts w:eastAsia="EC Square Sans Pro"/>
          <w:noProof/>
          <w:color w:val="242424"/>
        </w:rPr>
        <w:t>)</w:t>
      </w:r>
      <w:r>
        <w:rPr>
          <w:rFonts w:eastAsia="EC Square Sans Pro" w:cs="EC Square Sans Pro"/>
          <w:noProof/>
          <w:color w:val="242424"/>
        </w:rPr>
        <w:t>,</w:t>
      </w:r>
      <w:r w:rsidRPr="007669F1">
        <w:rPr>
          <w:rFonts w:eastAsia="EC Square Sans Pro" w:cs="EC Square Sans Pro"/>
          <w:noProof/>
          <w:color w:val="242424"/>
        </w:rPr>
        <w:t xml:space="preserve"> DG ECHO published its policy in March 2022</w:t>
      </w:r>
      <w:r>
        <w:rPr>
          <w:rFonts w:eastAsia="EC Square Sans Pro" w:cs="EC Square Sans Pro"/>
          <w:noProof/>
          <w:color w:val="242424"/>
        </w:rPr>
        <w:t>,</w:t>
      </w:r>
      <w:r w:rsidRPr="007669F1">
        <w:rPr>
          <w:rFonts w:eastAsia="EC Square Sans Pro" w:cs="EC Square Sans Pro"/>
          <w:noProof/>
          <w:color w:val="242424"/>
        </w:rPr>
        <w:t xml:space="preserve"> disseminat</w:t>
      </w:r>
      <w:r>
        <w:rPr>
          <w:rFonts w:eastAsia="EC Square Sans Pro" w:cs="EC Square Sans Pro"/>
          <w:noProof/>
          <w:color w:val="242424"/>
        </w:rPr>
        <w:t>ing</w:t>
      </w:r>
      <w:r w:rsidRPr="007669F1">
        <w:rPr>
          <w:rFonts w:eastAsia="EC Square Sans Pro" w:cs="EC Square Sans Pro"/>
          <w:noProof/>
          <w:color w:val="242424"/>
        </w:rPr>
        <w:t xml:space="preserve"> it widely </w:t>
      </w:r>
      <w:r w:rsidR="002B6243">
        <w:rPr>
          <w:rFonts w:eastAsia="EC Square Sans Pro" w:cs="EC Square Sans Pro"/>
          <w:noProof/>
          <w:color w:val="242424"/>
        </w:rPr>
        <w:t>to</w:t>
      </w:r>
      <w:r w:rsidRPr="007669F1">
        <w:rPr>
          <w:rFonts w:eastAsia="EC Square Sans Pro" w:cs="EC Square Sans Pro"/>
          <w:noProof/>
          <w:color w:val="242424"/>
        </w:rPr>
        <w:t xml:space="preserve"> </w:t>
      </w:r>
      <w:r w:rsidR="002B6243">
        <w:rPr>
          <w:rFonts w:eastAsia="EC Square Sans Pro" w:cs="EC Square Sans Pro"/>
          <w:noProof/>
          <w:color w:val="242424"/>
        </w:rPr>
        <w:t>increase</w:t>
      </w:r>
      <w:r w:rsidRPr="007669F1">
        <w:rPr>
          <w:rFonts w:eastAsia="EC Square Sans Pro" w:cs="EC Square Sans Pro"/>
          <w:noProof/>
          <w:color w:val="242424"/>
        </w:rPr>
        <w:t xml:space="preserve"> the quality and efficiency of cash programmes. This policy marks a step-change in linking cash transfers and social protection and enables synergies with key developments in the field of digitalisation and greening of humanitarian assistance.</w:t>
      </w:r>
      <w:r>
        <w:rPr>
          <w:rFonts w:eastAsia="EC Square Sans Pro" w:cs="EC Square Sans Pro"/>
          <w:noProof/>
          <w:color w:val="242424"/>
        </w:rPr>
        <w:t xml:space="preserve"> </w:t>
      </w:r>
      <w:r w:rsidRPr="007669F1">
        <w:rPr>
          <w:rFonts w:eastAsia="EC Square Sans Pro" w:cs="EC Square Sans Pro"/>
          <w:noProof/>
          <w:color w:val="242424"/>
        </w:rPr>
        <w:t>Together with the United States (Bureau for</w:t>
      </w:r>
      <w:r w:rsidRPr="302B0F43">
        <w:rPr>
          <w:rFonts w:eastAsiaTheme="minorEastAsia"/>
          <w:noProof/>
        </w:rPr>
        <w:t xml:space="preserve"> Humanitarian Assistance and Bureau of Population, Refugees and Migration)</w:t>
      </w:r>
      <w:r>
        <w:rPr>
          <w:rFonts w:eastAsiaTheme="minorEastAsia"/>
          <w:noProof/>
        </w:rPr>
        <w:t>,</w:t>
      </w:r>
      <w:r w:rsidRPr="302B0F43">
        <w:rPr>
          <w:rFonts w:eastAsiaTheme="minorEastAsia"/>
          <w:noProof/>
        </w:rPr>
        <w:t xml:space="preserve"> DG ECHO represented the Donor Cash Forum in the caucus on cash coordination under the Grand Bargain 2.0.</w:t>
      </w:r>
      <w:r>
        <w:rPr>
          <w:noProof/>
        </w:rPr>
        <w:t xml:space="preserve"> The new model was endorsed by the Inter Agency Standing Committee (IASC), </w:t>
      </w:r>
      <w:r w:rsidR="002B6243">
        <w:rPr>
          <w:noProof/>
        </w:rPr>
        <w:t xml:space="preserve">which </w:t>
      </w:r>
      <w:r>
        <w:rPr>
          <w:noProof/>
        </w:rPr>
        <w:t>represent</w:t>
      </w:r>
      <w:r w:rsidR="002B6243">
        <w:rPr>
          <w:noProof/>
        </w:rPr>
        <w:t>ed</w:t>
      </w:r>
      <w:r>
        <w:rPr>
          <w:noProof/>
        </w:rPr>
        <w:t xml:space="preserve"> a major step in the humanitarian coordination architecture, including a strong participation from local actors.</w:t>
      </w:r>
    </w:p>
    <w:p w14:paraId="78628195" w14:textId="64434DEF" w:rsidR="004D03F8" w:rsidRPr="004D03F8" w:rsidRDefault="00D62E28" w:rsidP="00D62E28">
      <w:pPr>
        <w:rPr>
          <w:i/>
          <w:iCs/>
          <w:noProof/>
          <w:highlight w:val="yellow"/>
        </w:rPr>
      </w:pPr>
      <w:r>
        <w:rPr>
          <w:rFonts w:eastAsia="EC Square Sans Pro" w:cs="EC Square Sans Pro"/>
          <w:noProof/>
          <w:color w:val="242424"/>
        </w:rPr>
        <w:t xml:space="preserve">On </w:t>
      </w:r>
      <w:r w:rsidRPr="00295A92">
        <w:rPr>
          <w:b/>
          <w:bCs/>
          <w:noProof/>
        </w:rPr>
        <w:t>climate change</w:t>
      </w:r>
      <w:r w:rsidR="002D5BE6">
        <w:rPr>
          <w:b/>
          <w:bCs/>
          <w:noProof/>
        </w:rPr>
        <w:t xml:space="preserve"> and environmental degradation</w:t>
      </w:r>
      <w:r>
        <w:rPr>
          <w:b/>
          <w:bCs/>
          <w:noProof/>
        </w:rPr>
        <w:t xml:space="preserve">, </w:t>
      </w:r>
      <w:r>
        <w:rPr>
          <w:noProof/>
        </w:rPr>
        <w:t xml:space="preserve">DG ECHO </w:t>
      </w:r>
      <w:r w:rsidRPr="008201C1">
        <w:rPr>
          <w:noProof/>
        </w:rPr>
        <w:t xml:space="preserve">further adapted its humanitarian response to the growing and shifting needs. Climate risks are now factored in </w:t>
      </w:r>
      <w:r w:rsidRPr="00887FC4">
        <w:rPr>
          <w:noProof/>
        </w:rPr>
        <w:t>humanitarian operations. Minimum Environmental Requirements and associated guidance were published in 2022</w:t>
      </w:r>
      <w:r w:rsidR="00C77635" w:rsidRPr="00C77635">
        <w:rPr>
          <w:noProof/>
        </w:rPr>
        <w:t> </w:t>
      </w:r>
      <w:r w:rsidR="00411067" w:rsidRPr="00411067">
        <w:rPr>
          <w:noProof/>
        </w:rPr>
        <w:t>(</w:t>
      </w:r>
      <w:r w:rsidRPr="04315D96">
        <w:rPr>
          <w:rFonts w:eastAsiaTheme="minorEastAsia"/>
          <w:noProof/>
          <w:vertAlign w:val="superscript"/>
        </w:rPr>
        <w:footnoteReference w:id="24"/>
      </w:r>
      <w:r w:rsidR="00411067">
        <w:rPr>
          <w:noProof/>
        </w:rPr>
        <w:t>)</w:t>
      </w:r>
      <w:r w:rsidRPr="00887FC4">
        <w:rPr>
          <w:noProof/>
        </w:rPr>
        <w:t xml:space="preserve"> to reduce the carbon footprint and the environmental damage of humanitarian a</w:t>
      </w:r>
      <w:r w:rsidR="00D40FE7">
        <w:rPr>
          <w:noProof/>
        </w:rPr>
        <w:t>ssistance</w:t>
      </w:r>
      <w:r w:rsidRPr="00887FC4">
        <w:rPr>
          <w:noProof/>
        </w:rPr>
        <w:t xml:space="preserve">. Technical assistance and support </w:t>
      </w:r>
      <w:r w:rsidR="002B6243">
        <w:rPr>
          <w:noProof/>
        </w:rPr>
        <w:t>were</w:t>
      </w:r>
      <w:r w:rsidR="002B6243" w:rsidRPr="00887FC4">
        <w:rPr>
          <w:noProof/>
        </w:rPr>
        <w:t xml:space="preserve"> </w:t>
      </w:r>
      <w:r w:rsidRPr="00887FC4">
        <w:rPr>
          <w:noProof/>
        </w:rPr>
        <w:t>provided to partners and DG ECHO’s staff</w:t>
      </w:r>
      <w:r w:rsidR="002D5BE6">
        <w:rPr>
          <w:noProof/>
        </w:rPr>
        <w:t>,</w:t>
      </w:r>
      <w:r w:rsidRPr="00887FC4">
        <w:rPr>
          <w:noProof/>
        </w:rPr>
        <w:t xml:space="preserve"> in order to integrate environmental considerations in DG ECHO’s humanitarian aid operations and those of its partners. </w:t>
      </w:r>
      <w:r w:rsidR="002B6243">
        <w:rPr>
          <w:noProof/>
        </w:rPr>
        <w:t>Moreover</w:t>
      </w:r>
      <w:r w:rsidRPr="00887FC4">
        <w:rPr>
          <w:noProof/>
        </w:rPr>
        <w:t>, DG ECHO further strengthened its support to disaster preparedness</w:t>
      </w:r>
      <w:r w:rsidR="00411067" w:rsidRPr="00411067">
        <w:rPr>
          <w:noProof/>
        </w:rPr>
        <w:t> (</w:t>
      </w:r>
      <w:r w:rsidRPr="00887FC4">
        <w:rPr>
          <w:noProof/>
          <w:vertAlign w:val="superscript"/>
        </w:rPr>
        <w:footnoteReference w:id="25"/>
      </w:r>
      <w:r w:rsidR="00411067">
        <w:rPr>
          <w:noProof/>
        </w:rPr>
        <w:t>)</w:t>
      </w:r>
      <w:r w:rsidRPr="00887FC4">
        <w:rPr>
          <w:noProof/>
        </w:rPr>
        <w:t>, which promotes multi-hazard preparedness and anticipatory action</w:t>
      </w:r>
      <w:r w:rsidRPr="0000519B">
        <w:rPr>
          <w:noProof/>
        </w:rPr>
        <w:t xml:space="preserve">. </w:t>
      </w:r>
      <w:r w:rsidR="101E785B" w:rsidRPr="0000519B">
        <w:rPr>
          <w:noProof/>
        </w:rPr>
        <w:t>In 2022,</w:t>
      </w:r>
      <w:r w:rsidR="00D35973" w:rsidRPr="0000519B">
        <w:rPr>
          <w:noProof/>
        </w:rPr>
        <w:t xml:space="preserve"> </w:t>
      </w:r>
      <w:r w:rsidR="101E785B" w:rsidRPr="0000519B">
        <w:rPr>
          <w:noProof/>
        </w:rPr>
        <w:t>EUR 7</w:t>
      </w:r>
      <w:r w:rsidR="00F66841" w:rsidRPr="0000519B">
        <w:rPr>
          <w:noProof/>
        </w:rPr>
        <w:t>7</w:t>
      </w:r>
      <w:r w:rsidR="101E785B" w:rsidRPr="0000519B">
        <w:rPr>
          <w:noProof/>
        </w:rPr>
        <w:t xml:space="preserve"> million </w:t>
      </w:r>
      <w:r w:rsidR="002B6243">
        <w:rPr>
          <w:noProof/>
        </w:rPr>
        <w:t>w</w:t>
      </w:r>
      <w:r w:rsidR="00A141CA">
        <w:rPr>
          <w:noProof/>
        </w:rPr>
        <w:t>ere</w:t>
      </w:r>
      <w:r w:rsidR="002B6243" w:rsidRPr="0000519B">
        <w:rPr>
          <w:noProof/>
        </w:rPr>
        <w:t xml:space="preserve"> </w:t>
      </w:r>
      <w:r w:rsidR="101E785B" w:rsidRPr="0000519B">
        <w:rPr>
          <w:noProof/>
        </w:rPr>
        <w:t xml:space="preserve">allocated to </w:t>
      </w:r>
      <w:r w:rsidR="54A5C1CE" w:rsidRPr="0000519B">
        <w:rPr>
          <w:noProof/>
        </w:rPr>
        <w:t>targeted preparedness activities</w:t>
      </w:r>
      <w:r w:rsidR="001609D3" w:rsidRPr="0000519B">
        <w:rPr>
          <w:noProof/>
        </w:rPr>
        <w:t xml:space="preserve"> (see Annex </w:t>
      </w:r>
      <w:r w:rsidR="002B6243">
        <w:rPr>
          <w:noProof/>
        </w:rPr>
        <w:t>I</w:t>
      </w:r>
      <w:r w:rsidR="001609D3" w:rsidRPr="0000519B">
        <w:rPr>
          <w:noProof/>
        </w:rPr>
        <w:t xml:space="preserve"> for more detail</w:t>
      </w:r>
      <w:r w:rsidR="002B6243">
        <w:rPr>
          <w:noProof/>
        </w:rPr>
        <w:t>s</w:t>
      </w:r>
      <w:r w:rsidR="001609D3" w:rsidRPr="0000519B">
        <w:rPr>
          <w:noProof/>
        </w:rPr>
        <w:t>)</w:t>
      </w:r>
      <w:r w:rsidR="70B8F967" w:rsidRPr="0000519B">
        <w:rPr>
          <w:noProof/>
        </w:rPr>
        <w:t xml:space="preserve"> and 32% of EU-funded humanitarian operations included elements of disaster preparedness</w:t>
      </w:r>
      <w:r w:rsidR="00C77635" w:rsidRPr="0000519B">
        <w:rPr>
          <w:noProof/>
        </w:rPr>
        <w:t> </w:t>
      </w:r>
      <w:r w:rsidR="00411067" w:rsidRPr="00411067">
        <w:rPr>
          <w:noProof/>
        </w:rPr>
        <w:t>(</w:t>
      </w:r>
      <w:r w:rsidRPr="0000519B">
        <w:rPr>
          <w:noProof/>
          <w:vertAlign w:val="superscript"/>
        </w:rPr>
        <w:footnoteReference w:id="26"/>
      </w:r>
      <w:r w:rsidR="00411067">
        <w:rPr>
          <w:noProof/>
        </w:rPr>
        <w:t>)</w:t>
      </w:r>
      <w:r w:rsidR="54A5C1CE" w:rsidRPr="0000519B">
        <w:rPr>
          <w:noProof/>
        </w:rPr>
        <w:t xml:space="preserve">. </w:t>
      </w:r>
    </w:p>
    <w:p w14:paraId="4199B15D" w14:textId="2D37A7FC" w:rsidR="46E93EA6" w:rsidRDefault="3FDC9EC6" w:rsidP="46E93EA6">
      <w:pPr>
        <w:rPr>
          <w:noProof/>
        </w:rPr>
      </w:pPr>
      <w:r>
        <w:rPr>
          <w:noProof/>
        </w:rPr>
        <w:t xml:space="preserve">DG ECHO developed a mix of communication activities that aimed at maintaining a high level of public support and political backing of EU humanitarian aid and civil protection, based on the narrative of EU solidarity. </w:t>
      </w:r>
      <w:r w:rsidR="08719E0C">
        <w:rPr>
          <w:noProof/>
        </w:rPr>
        <w:t xml:space="preserve">For instance, </w:t>
      </w:r>
      <w:r w:rsidR="723C6860">
        <w:rPr>
          <w:noProof/>
        </w:rPr>
        <w:t>DG</w:t>
      </w:r>
      <w:r w:rsidR="08719E0C">
        <w:rPr>
          <w:noProof/>
        </w:rPr>
        <w:t xml:space="preserve"> ECHO</w:t>
      </w:r>
      <w:r w:rsidR="004E3BB0">
        <w:rPr>
          <w:noProof/>
        </w:rPr>
        <w:t xml:space="preserve"> </w:t>
      </w:r>
      <w:r w:rsidR="08719E0C">
        <w:rPr>
          <w:noProof/>
        </w:rPr>
        <w:t xml:space="preserve">published a series of </w:t>
      </w:r>
      <w:r w:rsidR="00874225">
        <w:rPr>
          <w:noProof/>
        </w:rPr>
        <w:t xml:space="preserve">central and </w:t>
      </w:r>
      <w:r w:rsidR="08719E0C">
        <w:rPr>
          <w:noProof/>
        </w:rPr>
        <w:t>local press releases and</w:t>
      </w:r>
      <w:r w:rsidR="5124BDDC">
        <w:rPr>
          <w:noProof/>
        </w:rPr>
        <w:t xml:space="preserve"> resumed its successful series of field visits with European journalists, as well as trips for journalists accompanying Commissioner</w:t>
      </w:r>
      <w:r w:rsidR="00CF0D13">
        <w:rPr>
          <w:noProof/>
        </w:rPr>
        <w:t xml:space="preserve"> Lenar</w:t>
      </w:r>
      <w:r w:rsidR="002D7061">
        <w:rPr>
          <w:noProof/>
        </w:rPr>
        <w:t>č</w:t>
      </w:r>
      <w:r w:rsidR="00CF0D13">
        <w:rPr>
          <w:noProof/>
        </w:rPr>
        <w:t>i</w:t>
      </w:r>
      <w:r w:rsidR="002D7061">
        <w:rPr>
          <w:noProof/>
        </w:rPr>
        <w:t>č</w:t>
      </w:r>
      <w:r w:rsidR="5124BDDC">
        <w:rPr>
          <w:noProof/>
        </w:rPr>
        <w:t>.</w:t>
      </w:r>
      <w:r w:rsidR="0B18F7FC">
        <w:rPr>
          <w:noProof/>
        </w:rPr>
        <w:t xml:space="preserve"> DG ECHO ran several awareness-raising campaigns in 2022 such as “Climate Connect”, </w:t>
      </w:r>
      <w:r w:rsidR="00CF0D13">
        <w:rPr>
          <w:noProof/>
        </w:rPr>
        <w:t>illustrating</w:t>
      </w:r>
      <w:r w:rsidR="0B18F7FC">
        <w:rPr>
          <w:noProof/>
        </w:rPr>
        <w:t xml:space="preserve"> the humanitarian impact of climate change</w:t>
      </w:r>
      <w:r w:rsidR="00CF0D13">
        <w:rPr>
          <w:noProof/>
        </w:rPr>
        <w:t xml:space="preserve"> and</w:t>
      </w:r>
      <w:r w:rsidR="0B18F7FC">
        <w:rPr>
          <w:noProof/>
        </w:rPr>
        <w:t xml:space="preserve"> reach</w:t>
      </w:r>
      <w:r w:rsidR="2ED7D870">
        <w:rPr>
          <w:noProof/>
        </w:rPr>
        <w:t>ing</w:t>
      </w:r>
      <w:r w:rsidR="0B18F7FC">
        <w:rPr>
          <w:noProof/>
        </w:rPr>
        <w:t xml:space="preserve"> more than 36 million youngsters </w:t>
      </w:r>
      <w:r w:rsidR="4749BAD7">
        <w:rPr>
          <w:noProof/>
        </w:rPr>
        <w:t>in Member States</w:t>
      </w:r>
      <w:r w:rsidR="0B18F7FC">
        <w:rPr>
          <w:noProof/>
        </w:rPr>
        <w:t xml:space="preserve">. </w:t>
      </w:r>
    </w:p>
    <w:p w14:paraId="76121D8C" w14:textId="3AE0C3ED" w:rsidR="004D03F8" w:rsidRPr="00D62E28" w:rsidRDefault="003B0CC5" w:rsidP="004D03F8">
      <w:pPr>
        <w:pStyle w:val="Heading1"/>
        <w:numPr>
          <w:ilvl w:val="0"/>
          <w:numId w:val="0"/>
        </w:numPr>
        <w:ind w:left="482" w:hanging="482"/>
        <w:rPr>
          <w:rStyle w:val="IntenseReference"/>
          <w:b/>
          <w:bCs w:val="0"/>
          <w:noProof/>
        </w:rPr>
      </w:pPr>
      <w:bookmarkStart w:id="9" w:name="_Toc139283305"/>
      <w:bookmarkStart w:id="10" w:name="_Toc140765904"/>
      <w:r>
        <w:rPr>
          <w:rStyle w:val="IntenseReference"/>
          <w:b/>
          <w:bCs w:val="0"/>
          <w:noProof/>
        </w:rPr>
        <w:t>R</w:t>
      </w:r>
      <w:r w:rsidRPr="00D62E28">
        <w:rPr>
          <w:rStyle w:val="IntenseReference"/>
          <w:b/>
          <w:bCs w:val="0"/>
          <w:noProof/>
        </w:rPr>
        <w:t>eview of any outside assessment conducted on specific operations</w:t>
      </w:r>
      <w:bookmarkEnd w:id="9"/>
      <w:bookmarkEnd w:id="10"/>
      <w:r w:rsidRPr="00D62E28">
        <w:rPr>
          <w:rStyle w:val="IntenseReference"/>
          <w:b/>
          <w:bCs w:val="0"/>
          <w:noProof/>
        </w:rPr>
        <w:t xml:space="preserve"> </w:t>
      </w:r>
    </w:p>
    <w:p w14:paraId="38FA9FC5" w14:textId="211D4BAB" w:rsidR="004D03F8" w:rsidRDefault="004D03F8" w:rsidP="004D03F8">
      <w:pPr>
        <w:rPr>
          <w:noProof/>
        </w:rPr>
        <w:sectPr w:rsidR="004D03F8" w:rsidSect="000B439B">
          <w:headerReference w:type="even" r:id="rId21"/>
          <w:headerReference w:type="default" r:id="rId22"/>
          <w:footerReference w:type="even" r:id="rId23"/>
          <w:footerReference w:type="default" r:id="rId24"/>
          <w:headerReference w:type="first" r:id="rId25"/>
          <w:footerReference w:type="first" r:id="rId26"/>
          <w:endnotePr>
            <w:numFmt w:val="lowerLetter"/>
          </w:endnotePr>
          <w:pgSz w:w="11906" w:h="16838"/>
          <w:pgMar w:top="1020" w:right="1701" w:bottom="1020" w:left="1587" w:header="601" w:footer="1077" w:gutter="0"/>
          <w:cols w:space="720"/>
          <w:titlePg/>
          <w:docGrid w:linePitch="326"/>
        </w:sectPr>
      </w:pPr>
      <w:r w:rsidRPr="002D7061">
        <w:rPr>
          <w:noProof/>
        </w:rPr>
        <w:t>Commission evaluation services are responsible for steering, coordinati</w:t>
      </w:r>
      <w:r w:rsidR="002B6243" w:rsidRPr="002D7061">
        <w:rPr>
          <w:noProof/>
        </w:rPr>
        <w:t>ng</w:t>
      </w:r>
      <w:r w:rsidRPr="002D7061">
        <w:rPr>
          <w:noProof/>
        </w:rPr>
        <w:t xml:space="preserve">, monitoring and reporting of the </w:t>
      </w:r>
      <w:r w:rsidRPr="007E741B">
        <w:rPr>
          <w:noProof/>
        </w:rPr>
        <w:t xml:space="preserve">evaluation function. They produce timely, high-quality evaluation results to ensure evidence for informed decision-making and accountability. The evaluations can be geographic, thematic or focused on </w:t>
      </w:r>
      <w:r w:rsidR="002B6243" w:rsidRPr="007E741B">
        <w:rPr>
          <w:noProof/>
        </w:rPr>
        <w:t xml:space="preserve">a </w:t>
      </w:r>
      <w:r w:rsidRPr="007E741B">
        <w:rPr>
          <w:noProof/>
        </w:rPr>
        <w:t>specific partnership.</w:t>
      </w:r>
      <w:r w:rsidR="002D7061">
        <w:rPr>
          <w:noProof/>
        </w:rPr>
        <w:t xml:space="preserve"> </w:t>
      </w:r>
      <w:r>
        <w:rPr>
          <w:noProof/>
        </w:rPr>
        <w:t xml:space="preserve">Annex </w:t>
      </w:r>
      <w:r w:rsidR="002B6243">
        <w:rPr>
          <w:noProof/>
        </w:rPr>
        <w:t>III</w:t>
      </w:r>
      <w:r>
        <w:rPr>
          <w:noProof/>
        </w:rPr>
        <w:t xml:space="preserve"> provides a list of evaluations </w:t>
      </w:r>
      <w:r w:rsidR="008B529E">
        <w:rPr>
          <w:noProof/>
        </w:rPr>
        <w:t xml:space="preserve">completed </w:t>
      </w:r>
      <w:r>
        <w:rPr>
          <w:noProof/>
        </w:rPr>
        <w:t>in 2022</w:t>
      </w:r>
      <w:r w:rsidR="008B529E">
        <w:rPr>
          <w:noProof/>
        </w:rPr>
        <w:t xml:space="preserve"> and of ongoing evaluations</w:t>
      </w:r>
      <w:r>
        <w:rPr>
          <w:noProof/>
        </w:rPr>
        <w:t xml:space="preserve">. </w:t>
      </w:r>
    </w:p>
    <w:p w14:paraId="4BD22057" w14:textId="78FBE71F" w:rsidR="00204559" w:rsidRPr="00474003" w:rsidRDefault="00204559" w:rsidP="00474003">
      <w:pPr>
        <w:pStyle w:val="Heading1"/>
        <w:numPr>
          <w:ilvl w:val="0"/>
          <w:numId w:val="0"/>
        </w:numPr>
        <w:ind w:left="482" w:hanging="482"/>
        <w:rPr>
          <w:rStyle w:val="IntenseReference"/>
          <w:b/>
          <w:bCs w:val="0"/>
          <w:noProof/>
        </w:rPr>
      </w:pPr>
      <w:bookmarkStart w:id="11" w:name="_Toc140765905"/>
      <w:bookmarkStart w:id="12" w:name="_Hlk136958827"/>
      <w:r w:rsidRPr="00474003">
        <w:rPr>
          <w:rStyle w:val="IntenseReference"/>
          <w:b/>
          <w:bCs w:val="0"/>
          <w:noProof/>
        </w:rPr>
        <w:t>RELEVANT LINKS</w:t>
      </w:r>
      <w:bookmarkEnd w:id="11"/>
      <w:r w:rsidRPr="00474003">
        <w:rPr>
          <w:rStyle w:val="IntenseReference"/>
          <w:b/>
          <w:bCs w:val="0"/>
          <w:noProof/>
        </w:rPr>
        <w:t xml:space="preserve"> </w:t>
      </w:r>
    </w:p>
    <w:p w14:paraId="62BDA879" w14:textId="77777777" w:rsidR="00204559" w:rsidRPr="00204559" w:rsidRDefault="00204559" w:rsidP="00204559">
      <w:pPr>
        <w:pStyle w:val="ListParagraph"/>
        <w:numPr>
          <w:ilvl w:val="0"/>
          <w:numId w:val="36"/>
        </w:numPr>
        <w:rPr>
          <w:rFonts w:ascii="Times New Roman" w:hAnsi="Times New Roman" w:cs="Times New Roman"/>
          <w:noProof/>
          <w:sz w:val="24"/>
          <w:szCs w:val="24"/>
        </w:rPr>
      </w:pPr>
      <w:bookmarkStart w:id="13" w:name="bookmark15"/>
      <w:r w:rsidRPr="00204559">
        <w:rPr>
          <w:rFonts w:ascii="Times New Roman" w:hAnsi="Times New Roman" w:cs="Times New Roman"/>
          <w:noProof/>
          <w:sz w:val="24"/>
          <w:szCs w:val="24"/>
        </w:rPr>
        <w:t xml:space="preserve">General information on DG ECHO: </w:t>
      </w:r>
      <w:bookmarkEnd w:id="13"/>
    </w:p>
    <w:p w14:paraId="218203E4" w14:textId="582D5C49" w:rsidR="00204559" w:rsidRPr="00204559" w:rsidRDefault="004A3FDE" w:rsidP="00204559">
      <w:pPr>
        <w:pStyle w:val="ListParagraph"/>
        <w:rPr>
          <w:rStyle w:val="Bodytext20"/>
          <w:rFonts w:eastAsiaTheme="minorHAnsi"/>
          <w:noProof/>
          <w:color w:val="0000FF"/>
          <w:lang w:val="en-GB"/>
        </w:rPr>
      </w:pPr>
      <w:hyperlink r:id="rId27" w:history="1">
        <w:r w:rsidR="00204559" w:rsidRPr="00204559">
          <w:rPr>
            <w:rStyle w:val="Hyperlink"/>
            <w:rFonts w:ascii="Times New Roman" w:hAnsi="Times New Roman" w:cs="Times New Roman"/>
            <w:noProof/>
            <w:sz w:val="24"/>
            <w:szCs w:val="24"/>
            <w:shd w:val="clear" w:color="auto" w:fill="FFFFFF"/>
            <w:lang w:bidi="en-US"/>
          </w:rPr>
          <w:t>http://ec.europa.eu/echo/en</w:t>
        </w:r>
      </w:hyperlink>
      <w:r w:rsidR="00204559" w:rsidRPr="00204559">
        <w:rPr>
          <w:rStyle w:val="Bodytext20"/>
          <w:rFonts w:eastAsiaTheme="minorHAnsi"/>
          <w:noProof/>
          <w:color w:val="0000FF"/>
          <w:lang w:val="en-GB"/>
        </w:rPr>
        <w:t xml:space="preserve">    </w:t>
      </w:r>
    </w:p>
    <w:p w14:paraId="5F3A3FA6" w14:textId="77777777" w:rsidR="00204559" w:rsidRPr="00204559" w:rsidRDefault="00204559" w:rsidP="00204559">
      <w:pPr>
        <w:pStyle w:val="ListParagraph"/>
        <w:rPr>
          <w:rStyle w:val="Bodytext20"/>
          <w:rFonts w:eastAsiaTheme="minorHAnsi"/>
          <w:noProof/>
          <w:color w:val="0000FF"/>
          <w:lang w:val="en-GB"/>
        </w:rPr>
      </w:pPr>
    </w:p>
    <w:p w14:paraId="38C3BFFB" w14:textId="06F300AD" w:rsidR="00204559" w:rsidRPr="00204559" w:rsidRDefault="00204559" w:rsidP="00204559">
      <w:pPr>
        <w:pStyle w:val="ListParagraph"/>
        <w:numPr>
          <w:ilvl w:val="0"/>
          <w:numId w:val="36"/>
        </w:numPr>
        <w:rPr>
          <w:rFonts w:ascii="Times New Roman" w:hAnsi="Times New Roman" w:cs="Times New Roman"/>
          <w:noProof/>
          <w:sz w:val="24"/>
          <w:szCs w:val="24"/>
        </w:rPr>
      </w:pPr>
      <w:r w:rsidRPr="00204559">
        <w:rPr>
          <w:rFonts w:ascii="Times New Roman" w:hAnsi="Times New Roman" w:cs="Times New Roman"/>
          <w:noProof/>
          <w:sz w:val="24"/>
          <w:szCs w:val="24"/>
        </w:rPr>
        <w:t>Financial information on the European Commission's humanitarian aid activities in 202</w:t>
      </w:r>
      <w:r w:rsidR="001C043F">
        <w:rPr>
          <w:rFonts w:ascii="Times New Roman" w:hAnsi="Times New Roman" w:cs="Times New Roman"/>
          <w:noProof/>
          <w:sz w:val="24"/>
          <w:szCs w:val="24"/>
        </w:rPr>
        <w:t>2</w:t>
      </w:r>
      <w:r w:rsidRPr="00204559">
        <w:rPr>
          <w:rFonts w:ascii="Times New Roman" w:hAnsi="Times New Roman" w:cs="Times New Roman"/>
          <w:noProof/>
          <w:sz w:val="24"/>
          <w:szCs w:val="24"/>
        </w:rPr>
        <w:t>:</w:t>
      </w:r>
    </w:p>
    <w:p w14:paraId="596A718D" w14:textId="5BB880AC" w:rsidR="00204559" w:rsidRDefault="004A3FDE" w:rsidP="00204559">
      <w:pPr>
        <w:pStyle w:val="ListParagraph"/>
        <w:rPr>
          <w:rFonts w:ascii="Times New Roman" w:hAnsi="Times New Roman" w:cs="Times New Roman"/>
          <w:noProof/>
          <w:sz w:val="24"/>
          <w:szCs w:val="24"/>
        </w:rPr>
      </w:pPr>
      <w:hyperlink r:id="rId28" w:history="1">
        <w:r w:rsidR="001C043F" w:rsidRPr="001C043F">
          <w:rPr>
            <w:rStyle w:val="Hyperlink"/>
            <w:rFonts w:ascii="Times New Roman" w:hAnsi="Times New Roman" w:cs="Times New Roman"/>
            <w:noProof/>
            <w:sz w:val="24"/>
            <w:szCs w:val="24"/>
          </w:rPr>
          <w:t>Financing decisions (HIPs) 2022 (europa.eu)</w:t>
        </w:r>
      </w:hyperlink>
      <w:r w:rsidR="001C043F" w:rsidRPr="001C043F">
        <w:rPr>
          <w:rFonts w:ascii="Times New Roman" w:hAnsi="Times New Roman" w:cs="Times New Roman"/>
          <w:noProof/>
          <w:sz w:val="24"/>
          <w:szCs w:val="24"/>
        </w:rPr>
        <w:t xml:space="preserve"> </w:t>
      </w:r>
    </w:p>
    <w:p w14:paraId="502D3AB3" w14:textId="77777777" w:rsidR="004D03F8" w:rsidRPr="001C043F" w:rsidRDefault="004D03F8" w:rsidP="00204559">
      <w:pPr>
        <w:pStyle w:val="ListParagraph"/>
        <w:rPr>
          <w:rFonts w:ascii="Times New Roman" w:hAnsi="Times New Roman" w:cs="Times New Roman"/>
          <w:noProof/>
          <w:sz w:val="24"/>
          <w:szCs w:val="24"/>
        </w:rPr>
      </w:pPr>
    </w:p>
    <w:p w14:paraId="2E178A9C" w14:textId="77777777" w:rsidR="00204559" w:rsidRPr="00204559" w:rsidRDefault="00204559" w:rsidP="00204559">
      <w:pPr>
        <w:pStyle w:val="ListParagraph"/>
        <w:numPr>
          <w:ilvl w:val="0"/>
          <w:numId w:val="36"/>
        </w:numPr>
        <w:rPr>
          <w:rFonts w:ascii="Times New Roman" w:hAnsi="Times New Roman" w:cs="Times New Roman"/>
          <w:noProof/>
          <w:color w:val="000000" w:themeColor="text1"/>
          <w:sz w:val="24"/>
          <w:szCs w:val="24"/>
          <w:u w:val="single"/>
        </w:rPr>
      </w:pPr>
      <w:r w:rsidRPr="00204559">
        <w:rPr>
          <w:rFonts w:ascii="Times New Roman" w:hAnsi="Times New Roman" w:cs="Times New Roman"/>
          <w:noProof/>
          <w:sz w:val="24"/>
          <w:szCs w:val="24"/>
        </w:rPr>
        <w:t xml:space="preserve">Operational information from previous years: </w:t>
      </w:r>
    </w:p>
    <w:p w14:paraId="5A823466" w14:textId="6D395A68" w:rsidR="00204559" w:rsidRPr="00204559" w:rsidRDefault="004A3FDE" w:rsidP="00204559">
      <w:pPr>
        <w:pStyle w:val="ListParagraph"/>
        <w:rPr>
          <w:rStyle w:val="Hyperlink"/>
          <w:rFonts w:ascii="Times New Roman" w:hAnsi="Times New Roman" w:cs="Times New Roman"/>
          <w:noProof/>
          <w:sz w:val="24"/>
          <w:szCs w:val="24"/>
        </w:rPr>
      </w:pPr>
      <w:hyperlink r:id="rId29" w:anchor="department_plans" w:history="1">
        <w:r w:rsidR="00204559" w:rsidRPr="00204559">
          <w:rPr>
            <w:rStyle w:val="Hyperlink"/>
            <w:rFonts w:ascii="Times New Roman" w:hAnsi="Times New Roman" w:cs="Times New Roman"/>
            <w:noProof/>
            <w:sz w:val="24"/>
            <w:szCs w:val="24"/>
          </w:rPr>
          <w:t>European Civil Protection and Humanitarian Aid Operations | European Commission (europa.eu)</w:t>
        </w:r>
      </w:hyperlink>
      <w:r w:rsidR="00204559" w:rsidRPr="00204559">
        <w:rPr>
          <w:rStyle w:val="Hyperlink"/>
          <w:rFonts w:ascii="Times New Roman" w:hAnsi="Times New Roman" w:cs="Times New Roman"/>
          <w:noProof/>
          <w:sz w:val="24"/>
          <w:szCs w:val="24"/>
        </w:rPr>
        <w:t xml:space="preserve"> </w:t>
      </w:r>
    </w:p>
    <w:p w14:paraId="4C4E3DDE" w14:textId="77777777" w:rsidR="00204559" w:rsidRPr="00204559" w:rsidRDefault="00204559" w:rsidP="00204559">
      <w:pPr>
        <w:pStyle w:val="ListParagraph"/>
        <w:rPr>
          <w:rStyle w:val="Hyperlink"/>
          <w:rFonts w:ascii="Times New Roman" w:hAnsi="Times New Roman" w:cs="Times New Roman"/>
          <w:noProof/>
          <w:sz w:val="24"/>
          <w:szCs w:val="24"/>
        </w:rPr>
      </w:pPr>
    </w:p>
    <w:p w14:paraId="01FB8870" w14:textId="15637D07" w:rsidR="00204559" w:rsidRPr="00204559" w:rsidRDefault="00204559" w:rsidP="00204559">
      <w:pPr>
        <w:pStyle w:val="ListParagraph"/>
        <w:numPr>
          <w:ilvl w:val="0"/>
          <w:numId w:val="36"/>
        </w:numPr>
        <w:rPr>
          <w:rFonts w:ascii="Times New Roman" w:hAnsi="Times New Roman" w:cs="Times New Roman"/>
          <w:noProof/>
          <w:sz w:val="24"/>
          <w:szCs w:val="24"/>
        </w:rPr>
      </w:pPr>
      <w:r w:rsidRPr="00204559">
        <w:rPr>
          <w:rFonts w:ascii="Times New Roman" w:hAnsi="Times New Roman" w:cs="Times New Roman"/>
          <w:noProof/>
          <w:sz w:val="24"/>
          <w:szCs w:val="24"/>
        </w:rPr>
        <w:t>202</w:t>
      </w:r>
      <w:r w:rsidR="001C043F">
        <w:rPr>
          <w:rFonts w:ascii="Times New Roman" w:hAnsi="Times New Roman" w:cs="Times New Roman"/>
          <w:noProof/>
          <w:sz w:val="24"/>
          <w:szCs w:val="24"/>
        </w:rPr>
        <w:t>2</w:t>
      </w:r>
      <w:r w:rsidRPr="00204559">
        <w:rPr>
          <w:rFonts w:ascii="Times New Roman" w:hAnsi="Times New Roman" w:cs="Times New Roman"/>
          <w:noProof/>
          <w:sz w:val="24"/>
          <w:szCs w:val="24"/>
        </w:rPr>
        <w:t xml:space="preserve"> Annual Activity Report, DG ECHO: </w:t>
      </w:r>
    </w:p>
    <w:p w14:paraId="7BBE8D4E" w14:textId="659B3E37" w:rsidR="001C043F" w:rsidRPr="001C043F" w:rsidRDefault="004A3FDE" w:rsidP="001C043F">
      <w:pPr>
        <w:pStyle w:val="ListParagraph"/>
        <w:rPr>
          <w:rFonts w:ascii="Times New Roman" w:hAnsi="Times New Roman" w:cs="Times New Roman"/>
          <w:noProof/>
          <w:sz w:val="24"/>
          <w:szCs w:val="24"/>
        </w:rPr>
      </w:pPr>
      <w:hyperlink r:id="rId30" w:history="1">
        <w:r w:rsidR="00F34BCC" w:rsidRPr="00DB563D">
          <w:rPr>
            <w:rStyle w:val="Hyperlink"/>
            <w:rFonts w:ascii="Times New Roman" w:hAnsi="Times New Roman" w:cs="Times New Roman"/>
            <w:noProof/>
            <w:sz w:val="24"/>
            <w:szCs w:val="24"/>
          </w:rPr>
          <w:t>Annual activity report 2022 - European Civil Protection and Humanitarian Aid Operations (ECHO) (europa.eu)</w:t>
        </w:r>
      </w:hyperlink>
    </w:p>
    <w:p w14:paraId="12C5D092" w14:textId="77777777" w:rsidR="00204559" w:rsidRPr="00204559" w:rsidRDefault="00204559" w:rsidP="00204559">
      <w:pPr>
        <w:pStyle w:val="ListParagraph"/>
        <w:rPr>
          <w:rFonts w:ascii="Times New Roman" w:hAnsi="Times New Roman" w:cs="Times New Roman"/>
          <w:noProof/>
          <w:sz w:val="24"/>
          <w:szCs w:val="24"/>
        </w:rPr>
      </w:pPr>
    </w:p>
    <w:p w14:paraId="3F76CD76" w14:textId="30AAA515" w:rsidR="00204559" w:rsidRPr="00204559" w:rsidRDefault="00204559" w:rsidP="00204559">
      <w:pPr>
        <w:pStyle w:val="ListParagraph"/>
        <w:numPr>
          <w:ilvl w:val="0"/>
          <w:numId w:val="36"/>
        </w:numPr>
        <w:rPr>
          <w:rFonts w:ascii="Times New Roman" w:hAnsi="Times New Roman" w:cs="Times New Roman"/>
          <w:noProof/>
          <w:sz w:val="24"/>
          <w:szCs w:val="24"/>
        </w:rPr>
      </w:pPr>
      <w:r w:rsidRPr="003B0CC5">
        <w:rPr>
          <w:rFonts w:ascii="Times New Roman" w:hAnsi="Times New Roman" w:cs="Times New Roman"/>
          <w:noProof/>
          <w:sz w:val="24"/>
          <w:szCs w:val="24"/>
        </w:rPr>
        <w:t>202</w:t>
      </w:r>
      <w:r w:rsidR="003B0CC5" w:rsidRPr="003B0CC5">
        <w:rPr>
          <w:rFonts w:ascii="Times New Roman" w:hAnsi="Times New Roman" w:cs="Times New Roman"/>
          <w:noProof/>
          <w:sz w:val="24"/>
          <w:szCs w:val="24"/>
        </w:rPr>
        <w:t>2</w:t>
      </w:r>
      <w:r w:rsidRPr="003B0CC5">
        <w:rPr>
          <w:rFonts w:ascii="Times New Roman" w:hAnsi="Times New Roman" w:cs="Times New Roman"/>
          <w:noProof/>
          <w:sz w:val="24"/>
          <w:szCs w:val="24"/>
        </w:rPr>
        <w:t xml:space="preserve"> Annual</w:t>
      </w:r>
      <w:r w:rsidRPr="00204559">
        <w:rPr>
          <w:rFonts w:ascii="Times New Roman" w:hAnsi="Times New Roman" w:cs="Times New Roman"/>
          <w:noProof/>
          <w:sz w:val="24"/>
          <w:szCs w:val="24"/>
        </w:rPr>
        <w:t xml:space="preserve"> Management and Performance Report: </w:t>
      </w:r>
    </w:p>
    <w:p w14:paraId="68D1D2C0" w14:textId="17E130F8" w:rsidR="00204559" w:rsidRDefault="004A3FDE" w:rsidP="00F65D00">
      <w:pPr>
        <w:pStyle w:val="ListParagraph"/>
        <w:rPr>
          <w:rFonts w:ascii="Times New Roman" w:hAnsi="Times New Roman" w:cs="Times New Roman"/>
          <w:noProof/>
          <w:sz w:val="24"/>
          <w:szCs w:val="24"/>
        </w:rPr>
      </w:pPr>
      <w:hyperlink r:id="rId31" w:history="1">
        <w:r w:rsidR="008C7428" w:rsidRPr="008C7428">
          <w:rPr>
            <w:rStyle w:val="Hyperlink"/>
            <w:rFonts w:ascii="Times New Roman" w:hAnsi="Times New Roman" w:cs="Times New Roman"/>
            <w:noProof/>
            <w:sz w:val="24"/>
            <w:szCs w:val="24"/>
          </w:rPr>
          <w:t>Annual management and performance report 2022 (europa.eu)</w:t>
        </w:r>
      </w:hyperlink>
      <w:r w:rsidR="001C043F">
        <w:rPr>
          <w:rFonts w:ascii="Times New Roman" w:hAnsi="Times New Roman" w:cs="Times New Roman"/>
          <w:noProof/>
          <w:sz w:val="24"/>
          <w:szCs w:val="24"/>
        </w:rPr>
        <w:t xml:space="preserve"> </w:t>
      </w:r>
    </w:p>
    <w:p w14:paraId="67840B2C" w14:textId="77777777" w:rsidR="001C043F" w:rsidRPr="00204559" w:rsidRDefault="001C043F" w:rsidP="00204559">
      <w:pPr>
        <w:pStyle w:val="ListParagraph"/>
        <w:rPr>
          <w:rFonts w:ascii="Times New Roman" w:hAnsi="Times New Roman" w:cs="Times New Roman"/>
          <w:noProof/>
          <w:sz w:val="24"/>
          <w:szCs w:val="24"/>
        </w:rPr>
      </w:pPr>
    </w:p>
    <w:p w14:paraId="79DE709F" w14:textId="77777777" w:rsidR="00204559" w:rsidRPr="00204559" w:rsidRDefault="00204559" w:rsidP="00204559">
      <w:pPr>
        <w:pStyle w:val="ListParagraph"/>
        <w:numPr>
          <w:ilvl w:val="0"/>
          <w:numId w:val="36"/>
        </w:numPr>
        <w:rPr>
          <w:rFonts w:ascii="Times New Roman" w:hAnsi="Times New Roman" w:cs="Times New Roman"/>
          <w:noProof/>
          <w:sz w:val="24"/>
          <w:szCs w:val="24"/>
        </w:rPr>
      </w:pPr>
      <w:r w:rsidRPr="00204559">
        <w:rPr>
          <w:rFonts w:ascii="Times New Roman" w:hAnsi="Times New Roman" w:cs="Times New Roman"/>
          <w:noProof/>
          <w:sz w:val="24"/>
          <w:szCs w:val="24"/>
        </w:rPr>
        <w:t xml:space="preserve">DG ECHO evaluation reports: </w:t>
      </w:r>
    </w:p>
    <w:p w14:paraId="65937CD8" w14:textId="4B21DBDC" w:rsidR="00204559" w:rsidRPr="00204559" w:rsidRDefault="004A3FDE" w:rsidP="00204559">
      <w:pPr>
        <w:pStyle w:val="ListParagraph"/>
        <w:rPr>
          <w:rFonts w:ascii="Times New Roman" w:hAnsi="Times New Roman" w:cs="Times New Roman"/>
          <w:noProof/>
          <w:sz w:val="24"/>
          <w:szCs w:val="24"/>
          <w:lang w:val="en-GB"/>
        </w:rPr>
      </w:pPr>
      <w:hyperlink r:id="rId32" w:history="1">
        <w:r w:rsidR="00204559" w:rsidRPr="00204559">
          <w:rPr>
            <w:rStyle w:val="Hyperlink"/>
            <w:rFonts w:ascii="Times New Roman" w:hAnsi="Times New Roman" w:cs="Times New Roman"/>
            <w:noProof/>
            <w:sz w:val="24"/>
            <w:szCs w:val="24"/>
          </w:rPr>
          <w:t>https://ec.europa.eu/echo/funding-evaluations/evaluations_en</w:t>
        </w:r>
      </w:hyperlink>
      <w:r w:rsidR="00204559" w:rsidRPr="00204559">
        <w:rPr>
          <w:rFonts w:ascii="Times New Roman" w:hAnsi="Times New Roman" w:cs="Times New Roman"/>
          <w:noProof/>
          <w:sz w:val="24"/>
          <w:szCs w:val="24"/>
          <w:lang w:val="en-GB"/>
        </w:rPr>
        <w:t xml:space="preserve"> </w:t>
      </w:r>
    </w:p>
    <w:p w14:paraId="6CFC7331" w14:textId="77777777" w:rsidR="00204559" w:rsidRPr="00204559" w:rsidRDefault="00204559" w:rsidP="00204559">
      <w:pPr>
        <w:pStyle w:val="ListParagraph"/>
        <w:rPr>
          <w:rFonts w:ascii="Times New Roman" w:hAnsi="Times New Roman" w:cs="Times New Roman"/>
          <w:noProof/>
          <w:sz w:val="24"/>
          <w:szCs w:val="24"/>
          <w:lang w:val="en-GB"/>
        </w:rPr>
      </w:pPr>
    </w:p>
    <w:p w14:paraId="662958B0" w14:textId="77777777" w:rsidR="00204559" w:rsidRPr="00204559" w:rsidRDefault="00204559" w:rsidP="00204559">
      <w:pPr>
        <w:pStyle w:val="ListParagraph"/>
        <w:numPr>
          <w:ilvl w:val="0"/>
          <w:numId w:val="36"/>
        </w:numPr>
        <w:rPr>
          <w:rFonts w:ascii="Times New Roman" w:hAnsi="Times New Roman" w:cs="Times New Roman"/>
          <w:noProof/>
          <w:sz w:val="24"/>
          <w:szCs w:val="24"/>
          <w:u w:val="single"/>
        </w:rPr>
      </w:pPr>
      <w:r w:rsidRPr="00204559">
        <w:rPr>
          <w:rFonts w:ascii="Times New Roman" w:hAnsi="Times New Roman" w:cs="Times New Roman"/>
          <w:noProof/>
          <w:sz w:val="24"/>
          <w:szCs w:val="24"/>
          <w:lang w:eastAsia="fr-FR" w:bidi="fr-FR"/>
        </w:rPr>
        <w:t xml:space="preserve">European Commission and Member States' humanitarian </w:t>
      </w:r>
      <w:r w:rsidRPr="00204559">
        <w:rPr>
          <w:rFonts w:ascii="Times New Roman" w:hAnsi="Times New Roman" w:cs="Times New Roman"/>
          <w:noProof/>
          <w:sz w:val="24"/>
          <w:szCs w:val="24"/>
          <w:lang w:eastAsia="cs-CZ" w:bidi="cs-CZ"/>
        </w:rPr>
        <w:t xml:space="preserve">aid </w:t>
      </w:r>
      <w:r w:rsidRPr="00204559">
        <w:rPr>
          <w:rFonts w:ascii="Times New Roman" w:hAnsi="Times New Roman" w:cs="Times New Roman"/>
          <w:noProof/>
          <w:sz w:val="24"/>
          <w:szCs w:val="24"/>
          <w:lang w:eastAsia="fr-FR" w:bidi="fr-FR"/>
        </w:rPr>
        <w:t xml:space="preserve">funding data: </w:t>
      </w:r>
      <w:bookmarkEnd w:id="12"/>
      <w:r w:rsidR="00F4647D">
        <w:rPr>
          <w:noProof/>
          <w:color w:val="2B579A"/>
          <w:shd w:val="clear" w:color="auto" w:fill="E6E6E6"/>
        </w:rPr>
        <w:fldChar w:fldCharType="begin"/>
      </w:r>
      <w:r w:rsidR="00F4647D">
        <w:rPr>
          <w:noProof/>
        </w:rPr>
        <w:instrText>HYPERLINK "https://webgate.ec.europa.eu/hac/"</w:instrText>
      </w:r>
      <w:r w:rsidR="00F4647D">
        <w:rPr>
          <w:noProof/>
          <w:color w:val="2B579A"/>
          <w:shd w:val="clear" w:color="auto" w:fill="E6E6E6"/>
        </w:rPr>
        <w:fldChar w:fldCharType="separate"/>
      </w:r>
      <w:r w:rsidRPr="00204559">
        <w:rPr>
          <w:rStyle w:val="Hyperlink"/>
          <w:rFonts w:ascii="Times New Roman" w:hAnsi="Times New Roman" w:cs="Times New Roman"/>
          <w:noProof/>
          <w:sz w:val="24"/>
          <w:szCs w:val="24"/>
          <w:lang w:eastAsia="fr-FR" w:bidi="fr-FR"/>
        </w:rPr>
        <w:t>https://webgate.ec.europa.eu/hac/</w:t>
      </w:r>
      <w:r w:rsidR="00F4647D">
        <w:rPr>
          <w:rStyle w:val="Hyperlink"/>
          <w:rFonts w:ascii="Times New Roman" w:hAnsi="Times New Roman" w:cs="Times New Roman"/>
          <w:noProof/>
          <w:sz w:val="24"/>
          <w:szCs w:val="24"/>
          <w:lang w:eastAsia="fr-FR" w:bidi="fr-FR"/>
        </w:rPr>
        <w:fldChar w:fldCharType="end"/>
      </w:r>
      <w:r w:rsidRPr="00204559">
        <w:rPr>
          <w:rFonts w:ascii="Times New Roman" w:hAnsi="Times New Roman" w:cs="Times New Roman"/>
          <w:noProof/>
          <w:sz w:val="24"/>
          <w:szCs w:val="24"/>
          <w:lang w:eastAsia="fr-FR" w:bidi="fr-FR"/>
        </w:rPr>
        <w:t xml:space="preserve"> </w:t>
      </w:r>
    </w:p>
    <w:p w14:paraId="00D3187B" w14:textId="2C803A0A" w:rsidR="0032243F" w:rsidRPr="00204559" w:rsidRDefault="0032243F" w:rsidP="0032243F">
      <w:pPr>
        <w:rPr>
          <w:noProof/>
        </w:rPr>
      </w:pPr>
    </w:p>
    <w:sectPr w:rsidR="0032243F" w:rsidRPr="00204559" w:rsidSect="00204559">
      <w:headerReference w:type="even" r:id="rId33"/>
      <w:headerReference w:type="default" r:id="rId34"/>
      <w:footerReference w:type="even" r:id="rId35"/>
      <w:footerReference w:type="default" r:id="rId36"/>
      <w:headerReference w:type="first" r:id="rId37"/>
      <w:footerReference w:type="first" r:id="rId38"/>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76BB2" w14:textId="77777777" w:rsidR="000712FA" w:rsidRDefault="000712FA">
      <w:pPr>
        <w:spacing w:after="0"/>
      </w:pPr>
      <w:r>
        <w:separator/>
      </w:r>
    </w:p>
  </w:endnote>
  <w:endnote w:type="continuationSeparator" w:id="0">
    <w:p w14:paraId="2F485A1F" w14:textId="77777777" w:rsidR="000712FA" w:rsidRDefault="000712FA">
      <w:pPr>
        <w:spacing w:after="0"/>
      </w:pPr>
      <w:r>
        <w:continuationSeparator/>
      </w:r>
    </w:p>
  </w:endnote>
  <w:endnote w:type="continuationNotice" w:id="1">
    <w:p w14:paraId="3A4FBB11" w14:textId="77777777" w:rsidR="000712FA" w:rsidRDefault="000712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C Square Sans Pro">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348B" w14:textId="2674AE76" w:rsidR="00BD4EB2" w:rsidRPr="004A3FDE" w:rsidRDefault="00BD4EB2" w:rsidP="004A3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584BF" w14:textId="4A2779E2" w:rsidR="00BD4EB2" w:rsidRPr="004A3FDE" w:rsidRDefault="004A3FDE" w:rsidP="004A3FDE">
    <w:pPr>
      <w:pStyle w:val="FooterCoverPage"/>
      <w:rPr>
        <w:rFonts w:ascii="Arial" w:hAnsi="Arial" w:cs="Arial"/>
        <w:b/>
        <w:sz w:val="48"/>
      </w:rPr>
    </w:pPr>
    <w:r w:rsidRPr="004A3FDE">
      <w:rPr>
        <w:rFonts w:ascii="Arial" w:hAnsi="Arial" w:cs="Arial"/>
        <w:b/>
        <w:sz w:val="48"/>
      </w:rPr>
      <w:t>EN</w:t>
    </w:r>
    <w:r w:rsidRPr="004A3FDE">
      <w:rPr>
        <w:rFonts w:ascii="Arial" w:hAnsi="Arial" w:cs="Arial"/>
        <w:b/>
        <w:sz w:val="48"/>
      </w:rPr>
      <w:tab/>
    </w:r>
    <w:r w:rsidRPr="004A3FDE">
      <w:rPr>
        <w:rFonts w:ascii="Arial" w:hAnsi="Arial" w:cs="Arial"/>
        <w:b/>
        <w:sz w:val="48"/>
      </w:rPr>
      <w:tab/>
    </w:r>
    <w:r w:rsidRPr="004A3FDE">
      <w:tab/>
    </w:r>
    <w:r w:rsidRPr="004A3FD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BB4E" w14:textId="77777777" w:rsidR="004A3FDE" w:rsidRPr="004A3FDE" w:rsidRDefault="004A3FDE" w:rsidP="004A3FD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210C" w14:textId="77777777" w:rsidR="000B439B" w:rsidRDefault="000B439B">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1</w:t>
    </w:r>
    <w:r>
      <w:rPr>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26CAC" w14:textId="64BC0CC5" w:rsidR="000B439B" w:rsidRDefault="000B439B">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rsidR="004A3FDE">
      <w:rPr>
        <w:noProof/>
      </w:rPr>
      <w:t>8</w:t>
    </w:r>
    <w:r>
      <w:rPr>
        <w:color w:val="2B579A"/>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4685" w14:textId="77777777" w:rsidR="000B439B" w:rsidRDefault="000B439B">
    <w:pPr>
      <w:pStyle w:val="Footer"/>
      <w:rPr>
        <w:sz w:val="24"/>
      </w:rPr>
    </w:pPr>
  </w:p>
  <w:p w14:paraId="02B408AE" w14:textId="77777777" w:rsidR="000B439B" w:rsidRDefault="004A3FDE">
    <w:pPr>
      <w:pStyle w:val="Footer"/>
    </w:pPr>
    <w:sdt>
      <w:sdtPr>
        <w:rPr>
          <w:lang w:val="fr-BE"/>
        </w:rPr>
        <w:id w:val="1557209356"/>
        <w:dataBinding w:xpath="/Author/Addresses/Address[Id = 'f03b5801-04c9-4931-aa17-c6d6c70bc579']/Footer" w:storeItemID="{60200E2F-7EB8-4DBE-8ADC-2077EA094298}"/>
        <w:text w:multiLine="1"/>
      </w:sdtPr>
      <w:sdtEndPr/>
      <w:sdtContent>
        <w:r w:rsidR="000B439B" w:rsidRPr="004E2A9D">
          <w:rPr>
            <w:lang w:val="fr-BE"/>
          </w:rPr>
          <w:t>Commission européenne/Europese Commissie, 1049 Bruxelles/Brussel, BELGIQUE/BELGIË – Tel. +32 22991111</w:t>
        </w:r>
      </w:sdtContent>
    </w:sdt>
  </w:p>
  <w:p w14:paraId="4FBD9CB4" w14:textId="77777777" w:rsidR="000B439B" w:rsidRDefault="000B439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ACBDA" w14:textId="77777777" w:rsidR="000B439B" w:rsidRDefault="000B439B">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1</w:t>
    </w:r>
    <w:r>
      <w:rPr>
        <w:color w:val="2B579A"/>
        <w:shd w:val="clear" w:color="auto" w:fill="E6E6E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451B" w14:textId="77777777" w:rsidR="000B439B" w:rsidRDefault="000B439B">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4</w:t>
    </w:r>
    <w:r>
      <w:rPr>
        <w:color w:val="2B579A"/>
        <w:shd w:val="clear" w:color="auto" w:fill="E6E6E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47E7D" w14:textId="17A197B2" w:rsidR="00A838DA" w:rsidRDefault="00A838DA">
    <w:pPr>
      <w:pStyle w:val="Footer"/>
      <w:jc w:val="center"/>
    </w:pPr>
    <w:r>
      <w:fldChar w:fldCharType="begin"/>
    </w:r>
    <w:r>
      <w:instrText xml:space="preserve"> PAGE   \* MERGEFORMAT </w:instrText>
    </w:r>
    <w:r>
      <w:fldChar w:fldCharType="separate"/>
    </w:r>
    <w:r w:rsidR="004A3FDE">
      <w:rPr>
        <w:noProof/>
      </w:rPr>
      <w:t>9</w:t>
    </w:r>
    <w:r>
      <w:rPr>
        <w:noProof/>
      </w:rPr>
      <w:fldChar w:fldCharType="end"/>
    </w:r>
  </w:p>
  <w:p w14:paraId="1035437F" w14:textId="77777777" w:rsidR="000B439B" w:rsidRDefault="000B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2339A" w14:textId="77777777" w:rsidR="000712FA" w:rsidRDefault="000712FA">
      <w:pPr>
        <w:spacing w:after="0"/>
      </w:pPr>
      <w:r>
        <w:separator/>
      </w:r>
    </w:p>
  </w:footnote>
  <w:footnote w:type="continuationSeparator" w:id="0">
    <w:p w14:paraId="1B495D3B" w14:textId="77777777" w:rsidR="000712FA" w:rsidRDefault="000712FA">
      <w:pPr>
        <w:spacing w:after="0"/>
      </w:pPr>
      <w:r>
        <w:continuationSeparator/>
      </w:r>
    </w:p>
  </w:footnote>
  <w:footnote w:type="continuationNotice" w:id="1">
    <w:p w14:paraId="1E34F526" w14:textId="77777777" w:rsidR="000712FA" w:rsidRDefault="000712FA">
      <w:pPr>
        <w:spacing w:after="0"/>
      </w:pPr>
    </w:p>
  </w:footnote>
  <w:footnote w:id="2">
    <w:p w14:paraId="2F0C8EC8" w14:textId="08F10D5E" w:rsidR="00C77635" w:rsidRPr="00474003" w:rsidRDefault="00411067" w:rsidP="00474003">
      <w:pPr>
        <w:pStyle w:val="FootnoteText"/>
        <w:spacing w:after="0"/>
        <w:ind w:left="130"/>
        <w:contextualSpacing/>
        <w:rPr>
          <w:sz w:val="18"/>
          <w:szCs w:val="18"/>
          <w:lang w:val="fr-BE"/>
        </w:rPr>
      </w:pPr>
      <w:r>
        <w:rPr>
          <w:sz w:val="18"/>
          <w:szCs w:val="18"/>
          <w:lang w:val="fr-BE"/>
        </w:rPr>
        <w:t>(</w:t>
      </w:r>
      <w:r w:rsidR="00C77635" w:rsidRPr="00474003">
        <w:rPr>
          <w:rStyle w:val="FootnoteReference"/>
          <w:sz w:val="18"/>
          <w:szCs w:val="18"/>
        </w:rPr>
        <w:footnoteRef/>
      </w:r>
      <w:r>
        <w:rPr>
          <w:sz w:val="18"/>
          <w:szCs w:val="18"/>
          <w:lang w:val="fr-BE"/>
        </w:rPr>
        <w:t>)</w:t>
      </w:r>
      <w:r w:rsidR="00895FDB" w:rsidRPr="00474003">
        <w:rPr>
          <w:sz w:val="18"/>
          <w:szCs w:val="18"/>
          <w:lang w:val="fr-BE"/>
        </w:rPr>
        <w:t xml:space="preserve"> </w:t>
      </w:r>
      <w:hyperlink r:id="rId1" w:history="1">
        <w:r w:rsidR="004F6D03" w:rsidRPr="00474003">
          <w:rPr>
            <w:rStyle w:val="Hyperlink"/>
            <w:color w:val="auto"/>
            <w:sz w:val="18"/>
            <w:szCs w:val="18"/>
            <w:lang w:val="fr-BE"/>
          </w:rPr>
          <w:t>EUR-Lex - 12016ME/TXT - EN - EUR-Lex (europa.eu)</w:t>
        </w:r>
      </w:hyperlink>
      <w:r w:rsidR="004F6D03" w:rsidRPr="00474003">
        <w:rPr>
          <w:sz w:val="18"/>
          <w:szCs w:val="18"/>
          <w:lang w:val="fr-BE"/>
        </w:rPr>
        <w:t xml:space="preserve"> </w:t>
      </w:r>
    </w:p>
  </w:footnote>
  <w:footnote w:id="3">
    <w:p w14:paraId="07BE2B9D" w14:textId="06F570BB" w:rsidR="00C77635" w:rsidRPr="00474003" w:rsidRDefault="00411067" w:rsidP="00474003">
      <w:pPr>
        <w:pStyle w:val="FootnoteText"/>
        <w:spacing w:after="0"/>
        <w:ind w:left="130" w:hanging="227"/>
        <w:contextualSpacing/>
        <w:rPr>
          <w:sz w:val="18"/>
          <w:szCs w:val="18"/>
          <w:lang w:val="en-IE"/>
        </w:rPr>
      </w:pPr>
      <w:r>
        <w:rPr>
          <w:sz w:val="18"/>
          <w:szCs w:val="18"/>
          <w:lang w:val="en-IE"/>
        </w:rPr>
        <w:t>(</w:t>
      </w:r>
      <w:r w:rsidR="00C77635" w:rsidRPr="00474003">
        <w:rPr>
          <w:rStyle w:val="FootnoteReference"/>
          <w:sz w:val="18"/>
          <w:szCs w:val="18"/>
        </w:rPr>
        <w:footnoteRef/>
      </w:r>
      <w:r>
        <w:rPr>
          <w:sz w:val="18"/>
          <w:szCs w:val="18"/>
          <w:lang w:val="en-IE"/>
        </w:rPr>
        <w:t>)</w:t>
      </w:r>
      <w:r w:rsidR="00830E49" w:rsidRPr="00474003">
        <w:rPr>
          <w:sz w:val="18"/>
          <w:szCs w:val="18"/>
          <w:lang w:val="en-IE"/>
        </w:rPr>
        <w:t xml:space="preserve"> </w:t>
      </w:r>
      <w:hyperlink r:id="rId2" w:history="1">
        <w:r w:rsidR="00DA53C2" w:rsidRPr="00474003">
          <w:rPr>
            <w:rStyle w:val="Hyperlink"/>
            <w:color w:val="auto"/>
            <w:sz w:val="18"/>
            <w:szCs w:val="18"/>
            <w:lang w:val="en-IE"/>
          </w:rPr>
          <w:t>J</w:t>
        </w:r>
        <w:r w:rsidR="00DA53C2" w:rsidRPr="00474003">
          <w:rPr>
            <w:rStyle w:val="Hyperlink"/>
            <w:color w:val="auto"/>
            <w:sz w:val="18"/>
            <w:szCs w:val="18"/>
          </w:rPr>
          <w:t>oint Statement by the Council and the Representatives of the Governments of the Member States meeting within the Council, the European Parliament and the European Commission (2008/C 25/01)</w:t>
        </w:r>
      </w:hyperlink>
      <w:r w:rsidR="00C821EC" w:rsidRPr="00474003">
        <w:rPr>
          <w:sz w:val="18"/>
          <w:szCs w:val="18"/>
        </w:rPr>
        <w:t xml:space="preserve"> </w:t>
      </w:r>
    </w:p>
  </w:footnote>
  <w:footnote w:id="4">
    <w:p w14:paraId="04A72197" w14:textId="5759CD46" w:rsidR="00EC19D4" w:rsidRPr="00474003" w:rsidRDefault="00411067" w:rsidP="00474003">
      <w:pPr>
        <w:pStyle w:val="FootnoteText"/>
        <w:spacing w:after="0"/>
        <w:ind w:left="130" w:hanging="227"/>
        <w:contextualSpacing/>
        <w:rPr>
          <w:sz w:val="18"/>
          <w:szCs w:val="18"/>
          <w:lang w:val="en-US"/>
        </w:rPr>
      </w:pPr>
      <w:r>
        <w:rPr>
          <w:sz w:val="18"/>
          <w:szCs w:val="18"/>
        </w:rPr>
        <w:t>(</w:t>
      </w:r>
      <w:r w:rsidR="00EC19D4" w:rsidRPr="00474003">
        <w:rPr>
          <w:rStyle w:val="FootnoteReference"/>
          <w:sz w:val="18"/>
          <w:szCs w:val="18"/>
        </w:rPr>
        <w:footnoteRef/>
      </w:r>
      <w:r>
        <w:rPr>
          <w:sz w:val="18"/>
          <w:szCs w:val="18"/>
        </w:rPr>
        <w:t>)</w:t>
      </w:r>
      <w:r w:rsidR="00063C9A" w:rsidRPr="00474003">
        <w:rPr>
          <w:sz w:val="18"/>
          <w:szCs w:val="18"/>
        </w:rPr>
        <w:t xml:space="preserve"> </w:t>
      </w:r>
      <w:r w:rsidR="00EC19D4" w:rsidRPr="00474003">
        <w:rPr>
          <w:sz w:val="18"/>
          <w:szCs w:val="18"/>
        </w:rPr>
        <w:t xml:space="preserve">Iceland, North Macedonia, Norway and Türkiye </w:t>
      </w:r>
    </w:p>
  </w:footnote>
  <w:footnote w:id="5">
    <w:p w14:paraId="0A0FC069" w14:textId="36F0505B" w:rsidR="00D62E28" w:rsidRPr="00474003" w:rsidRDefault="00411067" w:rsidP="00474003">
      <w:pPr>
        <w:pStyle w:val="FootnoteText"/>
        <w:spacing w:after="0"/>
        <w:ind w:left="130" w:hanging="227"/>
        <w:contextualSpacing/>
        <w:rPr>
          <w:rStyle w:val="FootnoteReference"/>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Pr>
          <w:rStyle w:val="FootnoteReference"/>
          <w:sz w:val="18"/>
          <w:szCs w:val="18"/>
          <w:lang w:val="en-US"/>
        </w:rPr>
        <w:t xml:space="preserve"> </w:t>
      </w:r>
      <w:r w:rsidR="00063C9A" w:rsidRPr="00474003">
        <w:rPr>
          <w:sz w:val="18"/>
          <w:szCs w:val="18"/>
          <w:lang w:val="en-US"/>
        </w:rPr>
        <w:t xml:space="preserve"> </w:t>
      </w:r>
      <w:r w:rsidR="00D62E28" w:rsidRPr="00474003">
        <w:rPr>
          <w:rStyle w:val="FootnoteReference"/>
          <w:sz w:val="18"/>
          <w:szCs w:val="18"/>
          <w:vertAlign w:val="baseline"/>
          <w:lang w:val="en-US"/>
        </w:rPr>
        <w:t>UN OCHA</w:t>
      </w:r>
      <w:hyperlink r:id="rId3" w:history="1">
        <w:r w:rsidR="00D62E28" w:rsidRPr="00474003">
          <w:rPr>
            <w:rStyle w:val="FootnoteReference"/>
            <w:sz w:val="18"/>
            <w:szCs w:val="18"/>
            <w:u w:val="single"/>
            <w:vertAlign w:val="baseline"/>
            <w:lang w:val="en-US"/>
          </w:rPr>
          <w:t>, Global Humanitarian Overview 2022</w:t>
        </w:r>
      </w:hyperlink>
      <w:r w:rsidR="00D62E28" w:rsidRPr="00474003">
        <w:rPr>
          <w:rStyle w:val="FootnoteReference"/>
          <w:sz w:val="18"/>
          <w:szCs w:val="18"/>
          <w:u w:val="single"/>
          <w:vertAlign w:val="baseline"/>
          <w:lang w:val="en-US"/>
        </w:rPr>
        <w:t>, December Update</w:t>
      </w:r>
      <w:r w:rsidR="00D62E28" w:rsidRPr="00474003">
        <w:rPr>
          <w:rStyle w:val="FootnoteReference"/>
          <w:sz w:val="18"/>
          <w:szCs w:val="18"/>
          <w:vertAlign w:val="baseline"/>
          <w:lang w:val="en-US"/>
        </w:rPr>
        <w:t xml:space="preserve"> (Snapshot as of 31 December 2022), 10 January 2023.</w:t>
      </w:r>
      <w:r w:rsidR="00D62E28" w:rsidRPr="00474003">
        <w:rPr>
          <w:rStyle w:val="FootnoteReference"/>
          <w:sz w:val="18"/>
          <w:szCs w:val="18"/>
          <w:lang w:val="en-US"/>
        </w:rPr>
        <w:t xml:space="preserve"> </w:t>
      </w:r>
    </w:p>
  </w:footnote>
  <w:footnote w:id="6">
    <w:p w14:paraId="195520DD" w14:textId="444EE873" w:rsidR="00D62E28" w:rsidRPr="00474003" w:rsidRDefault="00411067" w:rsidP="00474003">
      <w:pPr>
        <w:pStyle w:val="FootnoteText"/>
        <w:spacing w:after="0"/>
        <w:ind w:left="130" w:hanging="227"/>
        <w:rPr>
          <w:rStyle w:val="FootnoteReference"/>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Pr>
          <w:rStyle w:val="FootnoteReference"/>
          <w:sz w:val="18"/>
          <w:szCs w:val="18"/>
          <w:lang w:val="en-US"/>
        </w:rPr>
        <w:t xml:space="preserve"> </w:t>
      </w:r>
      <w:r w:rsidR="00063C9A" w:rsidRPr="00474003">
        <w:rPr>
          <w:sz w:val="18"/>
          <w:szCs w:val="18"/>
          <w:lang w:val="en-US"/>
        </w:rPr>
        <w:t xml:space="preserve"> </w:t>
      </w:r>
      <w:r w:rsidR="00D62E28" w:rsidRPr="00474003">
        <w:rPr>
          <w:rStyle w:val="FootnoteReference"/>
          <w:sz w:val="18"/>
          <w:szCs w:val="18"/>
          <w:vertAlign w:val="baseline"/>
          <w:lang w:val="en-US"/>
        </w:rPr>
        <w:t>UN OCHA</w:t>
      </w:r>
      <w:hyperlink r:id="rId4" w:history="1">
        <w:r w:rsidR="00D62E28" w:rsidRPr="00474003">
          <w:rPr>
            <w:rStyle w:val="FootnoteReference"/>
            <w:sz w:val="18"/>
            <w:szCs w:val="18"/>
            <w:u w:val="single"/>
            <w:vertAlign w:val="baseline"/>
            <w:lang w:val="en-US"/>
          </w:rPr>
          <w:t>, Global Humanitarian Overview 2022</w:t>
        </w:r>
      </w:hyperlink>
      <w:r w:rsidR="00D62E28" w:rsidRPr="00474003">
        <w:rPr>
          <w:rStyle w:val="FootnoteReference"/>
          <w:sz w:val="18"/>
          <w:szCs w:val="18"/>
          <w:vertAlign w:val="baseline"/>
          <w:lang w:val="en-US"/>
        </w:rPr>
        <w:t xml:space="preserve"> and UN OCHA, </w:t>
      </w:r>
      <w:hyperlink r:id="rId5" w:history="1">
        <w:r w:rsidR="00D62E28" w:rsidRPr="00474003">
          <w:rPr>
            <w:rStyle w:val="FootnoteReference"/>
            <w:sz w:val="18"/>
            <w:szCs w:val="18"/>
            <w:u w:val="single"/>
            <w:vertAlign w:val="baseline"/>
            <w:lang w:val="en-US"/>
          </w:rPr>
          <w:t>Global Humanitarian Overview 2021</w:t>
        </w:r>
      </w:hyperlink>
      <w:r w:rsidR="00D62E28" w:rsidRPr="00474003">
        <w:rPr>
          <w:rStyle w:val="FootnoteReference"/>
          <w:sz w:val="18"/>
          <w:szCs w:val="18"/>
          <w:vertAlign w:val="baseline"/>
          <w:lang w:val="en-US"/>
        </w:rPr>
        <w:t>, December Update (Snapshot as of 31 December 2021), 17 January 2022.</w:t>
      </w:r>
    </w:p>
  </w:footnote>
  <w:footnote w:id="7">
    <w:p w14:paraId="71DA71E8" w14:textId="367856EA" w:rsidR="00D62E28" w:rsidRPr="00474003" w:rsidRDefault="00411067" w:rsidP="00474003">
      <w:pPr>
        <w:pStyle w:val="FootnoteText"/>
        <w:spacing w:after="0"/>
        <w:ind w:left="130" w:hanging="227"/>
        <w:rPr>
          <w:rStyle w:val="FootnoteReference"/>
          <w:sz w:val="18"/>
          <w:szCs w:val="18"/>
          <w:lang w:val="en-US"/>
        </w:rPr>
      </w:pPr>
      <w:r>
        <w:rPr>
          <w:rFonts w:eastAsia="EC Square Sans Pro"/>
          <w:sz w:val="18"/>
          <w:szCs w:val="18"/>
          <w:shd w:val="clear" w:color="auto" w:fill="E6E6E6"/>
          <w:lang w:val="en-US"/>
        </w:rPr>
        <w:t>(</w:t>
      </w:r>
      <w:r w:rsidR="00D62E28" w:rsidRPr="00474003">
        <w:rPr>
          <w:rStyle w:val="FootnoteReference"/>
          <w:sz w:val="18"/>
          <w:szCs w:val="18"/>
        </w:rPr>
        <w:footnoteRef/>
      </w:r>
      <w:r>
        <w:rPr>
          <w:rFonts w:eastAsia="EC Square Sans Pro"/>
          <w:sz w:val="18"/>
          <w:szCs w:val="18"/>
          <w:shd w:val="clear" w:color="auto" w:fill="E6E6E6"/>
          <w:lang w:val="en-US"/>
        </w:rPr>
        <w:t>)</w:t>
      </w:r>
      <w:r w:rsidR="00895FDB" w:rsidRPr="00474003">
        <w:rPr>
          <w:rFonts w:eastAsia="EC Square Sans Pro"/>
          <w:sz w:val="18"/>
          <w:szCs w:val="18"/>
          <w:shd w:val="clear" w:color="auto" w:fill="E6E6E6"/>
          <w:lang w:val="en-US"/>
        </w:rPr>
        <w:t xml:space="preserve"> </w:t>
      </w:r>
      <w:r w:rsidR="00D62E28" w:rsidRPr="00474003">
        <w:rPr>
          <w:rStyle w:val="FootnoteReference"/>
          <w:rFonts w:eastAsia="EC Square Sans Pro"/>
          <w:sz w:val="18"/>
          <w:szCs w:val="18"/>
          <w:vertAlign w:val="baseline"/>
          <w:lang w:val="en-US"/>
        </w:rPr>
        <w:t>COMMUNICATION FROM THE COMMISSION TO THE EUROPEAN PARLIAMENT AND THE COUNCIL on the EU’s humanitarian action: new challenges, same principles COM(2021) 110 final</w:t>
      </w:r>
    </w:p>
  </w:footnote>
  <w:footnote w:id="8">
    <w:p w14:paraId="6450D740" w14:textId="45FAD2B6" w:rsidR="00D62E28" w:rsidRPr="00474003" w:rsidRDefault="00411067" w:rsidP="00474003">
      <w:pPr>
        <w:pStyle w:val="FootnoteText"/>
        <w:spacing w:after="0"/>
        <w:ind w:left="130" w:hanging="227"/>
        <w:rPr>
          <w:rStyle w:val="FootnoteReference"/>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Pr>
          <w:rStyle w:val="FootnoteReference"/>
          <w:sz w:val="18"/>
          <w:szCs w:val="18"/>
          <w:lang w:val="en-US"/>
        </w:rPr>
        <w:t xml:space="preserve"> </w:t>
      </w:r>
      <w:hyperlink r:id="rId6" w:history="1">
        <w:r w:rsidR="00D62E28" w:rsidRPr="00474003">
          <w:rPr>
            <w:rStyle w:val="FootnoteReference"/>
            <w:sz w:val="18"/>
            <w:szCs w:val="18"/>
            <w:u w:val="single"/>
            <w:vertAlign w:val="baseline"/>
            <w:lang w:val="en-US"/>
          </w:rPr>
          <w:t>UN Financial Tracking System</w:t>
        </w:r>
        <w:r w:rsidR="00D62E28" w:rsidRPr="00474003">
          <w:rPr>
            <w:rStyle w:val="FootnoteReference"/>
            <w:sz w:val="18"/>
            <w:szCs w:val="18"/>
            <w:vertAlign w:val="baseline"/>
            <w:lang w:val="en-US"/>
          </w:rPr>
          <w:t>, Global Funding Overview Summary 2022</w:t>
        </w:r>
      </w:hyperlink>
      <w:r w:rsidR="00D62E28" w:rsidRPr="00474003">
        <w:rPr>
          <w:rStyle w:val="FootnoteReference"/>
          <w:sz w:val="18"/>
          <w:szCs w:val="18"/>
          <w:vertAlign w:val="baseline"/>
          <w:lang w:val="en-US"/>
        </w:rPr>
        <w:t>.</w:t>
      </w:r>
    </w:p>
  </w:footnote>
  <w:footnote w:id="9">
    <w:p w14:paraId="7614BCD4" w14:textId="34BF61FA" w:rsidR="35F9A81C" w:rsidRPr="00474003" w:rsidRDefault="00411067" w:rsidP="00474003">
      <w:pPr>
        <w:spacing w:after="0"/>
        <w:ind w:left="130" w:hanging="227"/>
        <w:rPr>
          <w:sz w:val="18"/>
          <w:szCs w:val="18"/>
        </w:rPr>
      </w:pPr>
      <w:r>
        <w:rPr>
          <w:sz w:val="18"/>
          <w:szCs w:val="18"/>
          <w:vertAlign w:val="superscript"/>
        </w:rPr>
        <w:t>(</w:t>
      </w:r>
      <w:r w:rsidR="35F9A81C" w:rsidRPr="00474003">
        <w:rPr>
          <w:sz w:val="18"/>
          <w:szCs w:val="18"/>
          <w:vertAlign w:val="superscript"/>
        </w:rPr>
        <w:footnoteRef/>
      </w:r>
      <w:r>
        <w:rPr>
          <w:sz w:val="18"/>
          <w:szCs w:val="18"/>
          <w:vertAlign w:val="superscript"/>
        </w:rPr>
        <w:t>)</w:t>
      </w:r>
      <w:r w:rsidR="35F9A81C" w:rsidRPr="00474003">
        <w:rPr>
          <w:sz w:val="18"/>
          <w:szCs w:val="18"/>
          <w:vertAlign w:val="superscript"/>
        </w:rPr>
        <w:t xml:space="preserve"> </w:t>
      </w:r>
      <w:r w:rsidR="35F9A81C" w:rsidRPr="00474003">
        <w:rPr>
          <w:sz w:val="18"/>
          <w:szCs w:val="18"/>
        </w:rPr>
        <w:t xml:space="preserve">This amount does not include support expenditure (BA lines). Including such expenditure, the initial amount for the whole instrument amounted to EUR 1806.06 million in 2022. </w:t>
      </w:r>
    </w:p>
  </w:footnote>
  <w:footnote w:id="10">
    <w:p w14:paraId="4861E05C" w14:textId="27E69374" w:rsidR="00CB09F2" w:rsidRPr="00474003" w:rsidRDefault="00411067" w:rsidP="00474003">
      <w:pPr>
        <w:pStyle w:val="FootnoteText"/>
        <w:spacing w:after="0"/>
        <w:ind w:left="130" w:hanging="227"/>
        <w:rPr>
          <w:sz w:val="18"/>
          <w:szCs w:val="18"/>
          <w:lang w:val="en-IE"/>
        </w:rPr>
      </w:pPr>
      <w:r>
        <w:rPr>
          <w:sz w:val="18"/>
          <w:szCs w:val="18"/>
        </w:rPr>
        <w:t>(</w:t>
      </w:r>
      <w:r w:rsidR="00CB09F2" w:rsidRPr="00474003">
        <w:rPr>
          <w:rStyle w:val="FootnoteReference"/>
          <w:sz w:val="18"/>
          <w:szCs w:val="18"/>
        </w:rPr>
        <w:footnoteRef/>
      </w:r>
      <w:r>
        <w:rPr>
          <w:sz w:val="18"/>
          <w:szCs w:val="18"/>
        </w:rPr>
        <w:t>)</w:t>
      </w:r>
      <w:r w:rsidR="00474003" w:rsidRPr="00474003">
        <w:rPr>
          <w:sz w:val="18"/>
          <w:szCs w:val="18"/>
        </w:rPr>
        <w:t xml:space="preserve"> </w:t>
      </w:r>
      <w:r w:rsidR="00CB09F2" w:rsidRPr="00474003">
        <w:rPr>
          <w:sz w:val="18"/>
          <w:szCs w:val="18"/>
        </w:rPr>
        <w:t xml:space="preserve">Including EUR 39 million carried over from </w:t>
      </w:r>
      <w:r w:rsidR="00EF71D1" w:rsidRPr="00474003">
        <w:rPr>
          <w:sz w:val="18"/>
          <w:szCs w:val="18"/>
        </w:rPr>
        <w:t>2021.</w:t>
      </w:r>
    </w:p>
  </w:footnote>
  <w:footnote w:id="11">
    <w:p w14:paraId="41FB8640" w14:textId="3D212547" w:rsidR="005B5A90" w:rsidRPr="00474003" w:rsidRDefault="00411067" w:rsidP="00474003">
      <w:pPr>
        <w:pStyle w:val="FootnoteText"/>
        <w:spacing w:after="0"/>
        <w:ind w:left="130" w:firstLine="0"/>
        <w:rPr>
          <w:sz w:val="18"/>
          <w:szCs w:val="18"/>
          <w:lang w:val="en-IE"/>
        </w:rPr>
      </w:pPr>
      <w:r>
        <w:rPr>
          <w:sz w:val="18"/>
          <w:szCs w:val="18"/>
        </w:rPr>
        <w:t>(</w:t>
      </w:r>
      <w:r w:rsidR="005B5A90" w:rsidRPr="00474003">
        <w:rPr>
          <w:rStyle w:val="FootnoteReference"/>
          <w:sz w:val="18"/>
          <w:szCs w:val="18"/>
        </w:rPr>
        <w:footnoteRef/>
      </w:r>
      <w:r>
        <w:rPr>
          <w:sz w:val="18"/>
          <w:szCs w:val="18"/>
        </w:rPr>
        <w:t>)</w:t>
      </w:r>
      <w:r w:rsidR="00474003" w:rsidRPr="00474003">
        <w:rPr>
          <w:sz w:val="18"/>
          <w:szCs w:val="18"/>
        </w:rPr>
        <w:t xml:space="preserve"> </w:t>
      </w:r>
      <w:r w:rsidR="005B5A90" w:rsidRPr="00474003">
        <w:rPr>
          <w:sz w:val="18"/>
          <w:szCs w:val="18"/>
        </w:rPr>
        <w:t>Financed from the 10th and 11th European Development Funds.</w:t>
      </w:r>
    </w:p>
  </w:footnote>
  <w:footnote w:id="12">
    <w:p w14:paraId="0037BF55" w14:textId="6C59CA11" w:rsidR="00411067" w:rsidRPr="007E741B" w:rsidRDefault="00411067">
      <w:pPr>
        <w:pStyle w:val="FootnoteText"/>
        <w:rPr>
          <w:sz w:val="18"/>
          <w:szCs w:val="18"/>
          <w:lang w:val="en-IE"/>
        </w:rPr>
      </w:pPr>
      <w:r>
        <w:t>(</w:t>
      </w:r>
      <w:r>
        <w:rPr>
          <w:rStyle w:val="FootnoteReference"/>
        </w:rPr>
        <w:footnoteRef/>
      </w:r>
      <w:r>
        <w:t>)</w:t>
      </w:r>
      <w:r>
        <w:tab/>
      </w:r>
      <w:r w:rsidRPr="007E741B">
        <w:rPr>
          <w:sz w:val="18"/>
          <w:szCs w:val="18"/>
        </w:rPr>
        <w:t>This designation shall not be construed as recognition of a State of Palestine and is without prejudice to the individual positions of the</w:t>
      </w:r>
      <w:r>
        <w:rPr>
          <w:sz w:val="18"/>
          <w:szCs w:val="18"/>
        </w:rPr>
        <w:t xml:space="preserve"> Member States on this issue.</w:t>
      </w:r>
    </w:p>
  </w:footnote>
  <w:footnote w:id="13">
    <w:p w14:paraId="0C5EA9C4" w14:textId="7C295A7E" w:rsidR="00D62E28" w:rsidRPr="00474003" w:rsidRDefault="00411067" w:rsidP="00474003">
      <w:pPr>
        <w:pStyle w:val="FootnoteText"/>
        <w:spacing w:after="0"/>
        <w:ind w:left="130" w:hanging="227"/>
        <w:rPr>
          <w:rStyle w:val="FootnoteReference"/>
          <w:rFonts w:eastAsiaTheme="minorEastAsia"/>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Pr>
          <w:rStyle w:val="FootnoteReference"/>
          <w:sz w:val="18"/>
          <w:szCs w:val="18"/>
          <w:lang w:val="en-US"/>
        </w:rPr>
        <w:t xml:space="preserve"> </w:t>
      </w:r>
      <w:hyperlink r:id="rId7" w:history="1">
        <w:r w:rsidR="0063466A" w:rsidRPr="00474003">
          <w:rPr>
            <w:rStyle w:val="Hyperlink"/>
            <w:color w:val="auto"/>
            <w:sz w:val="18"/>
            <w:szCs w:val="18"/>
            <w:lang w:val="en-US"/>
          </w:rPr>
          <w:t>The Grand Bargai</w:t>
        </w:r>
      </w:hyperlink>
      <w:hyperlink r:id="rId8" w:history="1">
        <w:r w:rsidR="0066022D" w:rsidRPr="00474003">
          <w:rPr>
            <w:rStyle w:val="Hyperlink"/>
            <w:color w:val="auto"/>
            <w:sz w:val="18"/>
            <w:szCs w:val="18"/>
            <w:lang w:val="en-US"/>
          </w:rPr>
          <w:t>n</w:t>
        </w:r>
      </w:hyperlink>
    </w:p>
  </w:footnote>
  <w:footnote w:id="14">
    <w:p w14:paraId="26A36CD1" w14:textId="1AE0495F" w:rsidR="00D62E28" w:rsidRPr="00474003" w:rsidRDefault="00411067" w:rsidP="00474003">
      <w:pPr>
        <w:pStyle w:val="FootnoteText"/>
        <w:spacing w:after="0"/>
        <w:ind w:left="130" w:hanging="227"/>
        <w:rPr>
          <w:rStyle w:val="FootnoteReference"/>
          <w:rFonts w:eastAsiaTheme="minorEastAsia"/>
          <w:sz w:val="18"/>
          <w:szCs w:val="18"/>
          <w:lang w:val="en-US"/>
        </w:rPr>
      </w:pPr>
      <w:r>
        <w:rPr>
          <w:rFonts w:eastAsiaTheme="minorEastAsia"/>
          <w:sz w:val="18"/>
          <w:szCs w:val="18"/>
          <w:lang w:val="en-US"/>
        </w:rPr>
        <w:t>(</w:t>
      </w:r>
      <w:r w:rsidR="00D62E28" w:rsidRPr="00474003">
        <w:rPr>
          <w:rStyle w:val="FootnoteReference"/>
          <w:rFonts w:eastAsiaTheme="minorEastAsia"/>
          <w:sz w:val="18"/>
          <w:szCs w:val="18"/>
        </w:rPr>
        <w:footnoteRef/>
      </w:r>
      <w:r>
        <w:rPr>
          <w:rFonts w:eastAsiaTheme="minorEastAsia"/>
          <w:sz w:val="18"/>
          <w:szCs w:val="18"/>
          <w:lang w:val="en-US"/>
        </w:rPr>
        <w:t>)</w:t>
      </w:r>
      <w:r w:rsidR="00D62E28" w:rsidRPr="00474003">
        <w:rPr>
          <w:rStyle w:val="FootnoteReference"/>
          <w:rFonts w:eastAsiaTheme="minorEastAsia"/>
          <w:sz w:val="18"/>
          <w:szCs w:val="18"/>
          <w:lang w:val="en-US"/>
        </w:rPr>
        <w:t xml:space="preserve"> </w:t>
      </w:r>
      <w:r w:rsidR="00474003" w:rsidRPr="00474003">
        <w:rPr>
          <w:rFonts w:eastAsiaTheme="minorEastAsia"/>
          <w:sz w:val="18"/>
          <w:szCs w:val="18"/>
          <w:lang w:val="en-US"/>
        </w:rPr>
        <w:t xml:space="preserve"> </w:t>
      </w:r>
      <w:r w:rsidR="00D62E28" w:rsidRPr="00474003">
        <w:rPr>
          <w:rStyle w:val="FootnoteReference"/>
          <w:rFonts w:eastAsiaTheme="minorEastAsia"/>
          <w:sz w:val="18"/>
          <w:szCs w:val="18"/>
          <w:vertAlign w:val="baseline"/>
          <w:lang w:val="en-US"/>
        </w:rPr>
        <w:t>Afghanistan, South Sudan and Venezuela</w:t>
      </w:r>
    </w:p>
  </w:footnote>
  <w:footnote w:id="15">
    <w:p w14:paraId="669252A2" w14:textId="73A21323" w:rsidR="00D62E28" w:rsidRPr="00474003" w:rsidRDefault="00411067" w:rsidP="00474003">
      <w:pPr>
        <w:pStyle w:val="FootnoteText"/>
        <w:spacing w:after="0"/>
        <w:ind w:left="130" w:hanging="227"/>
        <w:rPr>
          <w:rStyle w:val="FootnoteReference"/>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Pr>
          <w:rStyle w:val="FootnoteReference"/>
          <w:sz w:val="18"/>
          <w:szCs w:val="18"/>
          <w:vertAlign w:val="baseline"/>
          <w:lang w:val="en-US"/>
        </w:rPr>
        <w:t xml:space="preserve"> </w:t>
      </w:r>
      <w:hyperlink r:id="rId9" w:history="1">
        <w:r w:rsidR="00D62E28" w:rsidRPr="00474003">
          <w:rPr>
            <w:rStyle w:val="FootnoteReference"/>
            <w:sz w:val="18"/>
            <w:szCs w:val="18"/>
            <w:u w:val="single"/>
            <w:vertAlign w:val="baseline"/>
            <w:lang w:val="en-US"/>
          </w:rPr>
          <w:t>Programmatic Partnerships</w:t>
        </w:r>
      </w:hyperlink>
      <w:r w:rsidR="00D62E28" w:rsidRPr="00474003">
        <w:rPr>
          <w:rStyle w:val="FootnoteReference"/>
          <w:sz w:val="18"/>
          <w:szCs w:val="18"/>
          <w:lang w:val="en-US"/>
        </w:rPr>
        <w:t xml:space="preserve"> </w:t>
      </w:r>
    </w:p>
  </w:footnote>
  <w:footnote w:id="16">
    <w:p w14:paraId="16790059" w14:textId="5F5E5C07" w:rsidR="00D62E28" w:rsidRPr="00474003" w:rsidRDefault="00411067" w:rsidP="00474003">
      <w:pPr>
        <w:pStyle w:val="FootnoteText"/>
        <w:spacing w:after="0"/>
        <w:ind w:left="130" w:hanging="227"/>
        <w:rPr>
          <w:rStyle w:val="FootnoteReference"/>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474003" w:rsidRPr="00474003">
        <w:rPr>
          <w:rStyle w:val="FootnoteReference"/>
          <w:sz w:val="18"/>
          <w:szCs w:val="18"/>
          <w:lang w:val="en-US"/>
        </w:rPr>
        <w:t xml:space="preserve"> </w:t>
      </w:r>
      <w:r w:rsidR="00D62E28" w:rsidRPr="00474003">
        <w:rPr>
          <w:rStyle w:val="FootnoteReference"/>
          <w:sz w:val="18"/>
          <w:szCs w:val="18"/>
          <w:lang w:val="en-US"/>
        </w:rPr>
        <w:t xml:space="preserve"> </w:t>
      </w:r>
      <w:hyperlink r:id="rId10" w:history="1">
        <w:r w:rsidR="00D62E28" w:rsidRPr="00474003">
          <w:rPr>
            <w:rStyle w:val="FootnoteReference"/>
            <w:sz w:val="18"/>
            <w:szCs w:val="18"/>
            <w:u w:val="single"/>
            <w:vertAlign w:val="baseline"/>
            <w:lang w:val="en-US"/>
          </w:rPr>
          <w:t>DG ECHO thematic policy document: Humanitarian logistics polic</w:t>
        </w:r>
      </w:hyperlink>
      <w:r w:rsidR="00D62E28" w:rsidRPr="00474003">
        <w:rPr>
          <w:rStyle w:val="FootnoteReference"/>
          <w:sz w:val="18"/>
          <w:szCs w:val="18"/>
          <w:u w:val="single"/>
          <w:vertAlign w:val="baseline"/>
          <w:lang w:val="en-US"/>
        </w:rPr>
        <w:t xml:space="preserve">y </w:t>
      </w:r>
    </w:p>
  </w:footnote>
  <w:footnote w:id="17">
    <w:p w14:paraId="3B0F1499" w14:textId="294C7CD6" w:rsidR="00D62E28" w:rsidRPr="00474003" w:rsidRDefault="00411067" w:rsidP="00474003">
      <w:pPr>
        <w:pStyle w:val="FootnoteText"/>
        <w:spacing w:after="0"/>
        <w:ind w:left="130" w:hanging="227"/>
        <w:rPr>
          <w:rStyle w:val="FootnoteReference"/>
          <w:rFonts w:eastAsia="Calibri"/>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Pr>
          <w:rStyle w:val="FootnoteReference"/>
          <w:sz w:val="18"/>
          <w:szCs w:val="18"/>
          <w:lang w:val="en-US"/>
        </w:rPr>
        <w:t xml:space="preserve"> </w:t>
      </w:r>
      <w:r w:rsidR="00474003" w:rsidRPr="00474003">
        <w:rPr>
          <w:sz w:val="18"/>
          <w:szCs w:val="18"/>
          <w:lang w:val="en-US"/>
        </w:rPr>
        <w:t xml:space="preserve"> </w:t>
      </w:r>
      <w:hyperlink r:id="rId11" w:history="1">
        <w:r w:rsidR="00D62E28" w:rsidRPr="00474003">
          <w:rPr>
            <w:rStyle w:val="FootnoteReference"/>
            <w:sz w:val="18"/>
            <w:szCs w:val="18"/>
            <w:u w:val="single"/>
            <w:vertAlign w:val="baseline"/>
            <w:lang w:val="en-US"/>
          </w:rPr>
          <w:t xml:space="preserve">DG ECHO: </w:t>
        </w:r>
        <w:r w:rsidR="00D62E28" w:rsidRPr="00474003">
          <w:rPr>
            <w:rStyle w:val="FootnoteReference"/>
            <w:rFonts w:eastAsia="Arial"/>
            <w:sz w:val="18"/>
            <w:szCs w:val="18"/>
            <w:u w:val="single"/>
            <w:vertAlign w:val="baseline"/>
            <w:lang w:val="en-US"/>
          </w:rPr>
          <w:t>European Humanitarian Response Capacity (EHRC</w:t>
        </w:r>
        <w:r w:rsidR="00D62E28" w:rsidRPr="00474003">
          <w:rPr>
            <w:rStyle w:val="FootnoteReference"/>
            <w:rFonts w:eastAsia="EC Square Sans Pro"/>
            <w:sz w:val="18"/>
            <w:szCs w:val="18"/>
            <w:u w:val="single"/>
            <w:vertAlign w:val="baseline"/>
            <w:lang w:val="en-US"/>
          </w:rPr>
          <w:t>) Factsheet</w:t>
        </w:r>
      </w:hyperlink>
      <w:r w:rsidR="00D62E28" w:rsidRPr="00474003">
        <w:rPr>
          <w:rStyle w:val="FootnoteReference"/>
          <w:rFonts w:eastAsia="EC Square Sans Pro"/>
          <w:sz w:val="18"/>
          <w:szCs w:val="18"/>
          <w:lang w:val="en-US"/>
        </w:rPr>
        <w:t xml:space="preserve"> </w:t>
      </w:r>
    </w:p>
  </w:footnote>
  <w:footnote w:id="18">
    <w:p w14:paraId="4C96093F" w14:textId="103051CE" w:rsidR="00D62E28" w:rsidRPr="00474003" w:rsidRDefault="00411067" w:rsidP="00474003">
      <w:pPr>
        <w:pStyle w:val="FootnoteText"/>
        <w:spacing w:after="0"/>
        <w:ind w:left="130" w:hanging="227"/>
        <w:rPr>
          <w:rStyle w:val="FootnoteReference"/>
          <w:rFonts w:eastAsia="EC Square Sans Pro"/>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Pr>
          <w:rStyle w:val="FootnoteReference"/>
          <w:sz w:val="18"/>
          <w:szCs w:val="18"/>
          <w:vertAlign w:val="baseline"/>
          <w:lang w:val="en-US"/>
        </w:rPr>
        <w:t xml:space="preserve"> </w:t>
      </w:r>
      <w:hyperlink r:id="rId12" w:history="1">
        <w:r w:rsidR="00D62E28" w:rsidRPr="00474003">
          <w:rPr>
            <w:rStyle w:val="FootnoteReference"/>
            <w:rFonts w:eastAsia="EC Square Sans Pro"/>
            <w:sz w:val="18"/>
            <w:szCs w:val="18"/>
            <w:u w:val="single"/>
            <w:vertAlign w:val="baseline"/>
            <w:lang w:val="en-US"/>
          </w:rPr>
          <w:t>2022 Global Nutrition Report - Global Nutrition Report</w:t>
        </w:r>
      </w:hyperlink>
    </w:p>
  </w:footnote>
  <w:footnote w:id="19">
    <w:p w14:paraId="32EDA3A8" w14:textId="66FE7D18" w:rsidR="00D62E28" w:rsidRPr="00474003" w:rsidRDefault="00411067" w:rsidP="00474003">
      <w:pPr>
        <w:pStyle w:val="FootnoteText"/>
        <w:spacing w:after="0"/>
        <w:ind w:left="130" w:hanging="227"/>
        <w:rPr>
          <w:rStyle w:val="FootnoteReference"/>
          <w:sz w:val="18"/>
          <w:szCs w:val="18"/>
          <w:lang w:val="en-US"/>
        </w:rPr>
      </w:pPr>
      <w:r>
        <w:rPr>
          <w:sz w:val="18"/>
          <w:szCs w:val="18"/>
        </w:rPr>
        <w:t>(</w:t>
      </w:r>
      <w:r w:rsidR="00D62E28" w:rsidRPr="00474003">
        <w:rPr>
          <w:rStyle w:val="FootnoteReference"/>
          <w:sz w:val="18"/>
          <w:szCs w:val="18"/>
        </w:rPr>
        <w:footnoteRef/>
      </w:r>
      <w:r>
        <w:rPr>
          <w:sz w:val="18"/>
          <w:szCs w:val="18"/>
        </w:rPr>
        <w:t>)</w:t>
      </w:r>
      <w:r w:rsidR="00474003" w:rsidRPr="00474003">
        <w:rPr>
          <w:sz w:val="18"/>
          <w:szCs w:val="18"/>
        </w:rPr>
        <w:t xml:space="preserve"> </w:t>
      </w:r>
      <w:hyperlink r:id="rId13" w:history="1">
        <w:r w:rsidR="00474003" w:rsidRPr="00474003">
          <w:rPr>
            <w:rStyle w:val="Hyperlink"/>
            <w:color w:val="auto"/>
            <w:sz w:val="18"/>
            <w:szCs w:val="18"/>
            <w:lang w:val="en-US"/>
          </w:rPr>
          <w:t>https://ec.europa.eu/echo/files/policies/sectoral/gender_thematic_policy_document_en.pdf</w:t>
        </w:r>
      </w:hyperlink>
    </w:p>
  </w:footnote>
  <w:footnote w:id="20">
    <w:p w14:paraId="61AC41D7" w14:textId="585B8A19" w:rsidR="00D62E28" w:rsidRPr="00474003" w:rsidRDefault="00411067" w:rsidP="00474003">
      <w:pPr>
        <w:pStyle w:val="FootnoteText"/>
        <w:spacing w:after="0"/>
        <w:ind w:left="130" w:hanging="227"/>
        <w:rPr>
          <w:rStyle w:val="FootnoteReference"/>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Pr>
          <w:rStyle w:val="FootnoteReference"/>
          <w:sz w:val="18"/>
          <w:szCs w:val="18"/>
          <w:lang w:val="en-US"/>
        </w:rPr>
        <w:t xml:space="preserve"> </w:t>
      </w:r>
      <w:r w:rsidR="00474003" w:rsidRPr="00474003">
        <w:rPr>
          <w:sz w:val="18"/>
          <w:szCs w:val="18"/>
          <w:lang w:val="en-US"/>
        </w:rPr>
        <w:t xml:space="preserve"> </w:t>
      </w:r>
      <w:hyperlink r:id="rId14" w:history="1">
        <w:r w:rsidR="00474003" w:rsidRPr="00474003">
          <w:rPr>
            <w:rStyle w:val="Hyperlink"/>
            <w:color w:val="auto"/>
            <w:sz w:val="18"/>
            <w:szCs w:val="18"/>
            <w:lang w:val="en-US"/>
          </w:rPr>
          <w:t>https://www.calltoactiongbv.com/</w:t>
        </w:r>
      </w:hyperlink>
      <w:r w:rsidR="00D62E28" w:rsidRPr="00474003">
        <w:rPr>
          <w:rStyle w:val="FootnoteReference"/>
          <w:sz w:val="18"/>
          <w:szCs w:val="18"/>
          <w:lang w:val="en-US"/>
        </w:rPr>
        <w:t xml:space="preserve"> </w:t>
      </w:r>
    </w:p>
  </w:footnote>
  <w:footnote w:id="21">
    <w:p w14:paraId="2866BED5" w14:textId="3EEB5C11" w:rsidR="00D62E28" w:rsidRPr="00474003" w:rsidRDefault="00411067" w:rsidP="00474003">
      <w:pPr>
        <w:pStyle w:val="FootnoteText"/>
        <w:spacing w:after="0"/>
        <w:ind w:left="130" w:hanging="227"/>
        <w:rPr>
          <w:rStyle w:val="FootnoteReference"/>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474003" w:rsidRPr="00474003">
        <w:rPr>
          <w:sz w:val="18"/>
          <w:szCs w:val="18"/>
          <w:lang w:val="en-US"/>
        </w:rPr>
        <w:t xml:space="preserve"> </w:t>
      </w:r>
      <w:r w:rsidR="00D62E28" w:rsidRPr="00474003">
        <w:rPr>
          <w:rStyle w:val="FootnoteReference"/>
          <w:sz w:val="18"/>
          <w:szCs w:val="18"/>
          <w:lang w:val="en-US"/>
        </w:rPr>
        <w:t xml:space="preserve"> </w:t>
      </w:r>
      <w:hyperlink r:id="rId15" w:history="1">
        <w:r w:rsidR="00D62E28" w:rsidRPr="00474003">
          <w:rPr>
            <w:rStyle w:val="FootnoteReference"/>
            <w:sz w:val="18"/>
            <w:szCs w:val="18"/>
            <w:u w:val="single"/>
            <w:vertAlign w:val="baseline"/>
            <w:lang w:val="en-US"/>
          </w:rPr>
          <w:t>https://www.calltoactiongbv.com/what-we-do</w:t>
        </w:r>
      </w:hyperlink>
      <w:r w:rsidR="00D62E28" w:rsidRPr="00474003">
        <w:rPr>
          <w:rStyle w:val="FootnoteReference"/>
          <w:sz w:val="18"/>
          <w:szCs w:val="18"/>
          <w:lang w:val="en-US"/>
        </w:rPr>
        <w:t xml:space="preserve"> </w:t>
      </w:r>
    </w:p>
  </w:footnote>
  <w:footnote w:id="22">
    <w:p w14:paraId="08B3B02C" w14:textId="4D7B6036" w:rsidR="00D62E28" w:rsidRPr="00474003" w:rsidRDefault="00411067" w:rsidP="00474003">
      <w:pPr>
        <w:pStyle w:val="FootnoteText"/>
        <w:spacing w:after="0"/>
        <w:ind w:left="130" w:hanging="227"/>
        <w:rPr>
          <w:rStyle w:val="FootnoteReference"/>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Pr>
          <w:rStyle w:val="FootnoteReference"/>
          <w:sz w:val="18"/>
          <w:szCs w:val="18"/>
          <w:lang w:val="en-US"/>
        </w:rPr>
        <w:t xml:space="preserve"> </w:t>
      </w:r>
      <w:r w:rsidR="00474003" w:rsidRPr="00474003">
        <w:rPr>
          <w:sz w:val="18"/>
          <w:szCs w:val="18"/>
          <w:lang w:val="en-US"/>
        </w:rPr>
        <w:t xml:space="preserve"> </w:t>
      </w:r>
      <w:r w:rsidR="00D62E28" w:rsidRPr="00474003">
        <w:rPr>
          <w:rStyle w:val="FootnoteReference"/>
          <w:sz w:val="18"/>
          <w:szCs w:val="18"/>
          <w:vertAlign w:val="baseline"/>
          <w:lang w:val="en-US"/>
        </w:rPr>
        <w:t>COM(2021) 142 final.</w:t>
      </w:r>
    </w:p>
  </w:footnote>
  <w:footnote w:id="23">
    <w:p w14:paraId="707A43B3" w14:textId="7C559294" w:rsidR="00D62E28" w:rsidRPr="00474003" w:rsidRDefault="00411067" w:rsidP="00474003">
      <w:pPr>
        <w:pStyle w:val="FootnoteText"/>
        <w:spacing w:after="0"/>
        <w:ind w:left="130" w:hanging="227"/>
        <w:rPr>
          <w:rStyle w:val="FootnoteReference"/>
          <w:rFonts w:eastAsia="Calibri"/>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sidDel="16E668A6">
        <w:rPr>
          <w:rStyle w:val="FootnoteReference"/>
          <w:sz w:val="18"/>
          <w:szCs w:val="18"/>
          <w:lang w:val="en-US"/>
        </w:rPr>
        <w:t xml:space="preserve"> </w:t>
      </w:r>
      <w:r w:rsidR="00474003" w:rsidRPr="00474003">
        <w:rPr>
          <w:sz w:val="18"/>
          <w:szCs w:val="18"/>
          <w:lang w:val="en-US"/>
        </w:rPr>
        <w:t xml:space="preserve"> </w:t>
      </w:r>
      <w:hyperlink r:id="rId16" w:history="1">
        <w:r w:rsidR="00D62E28" w:rsidRPr="00474003">
          <w:rPr>
            <w:rStyle w:val="FootnoteReference"/>
            <w:rFonts w:eastAsia="EC Square Sans Pro"/>
            <w:sz w:val="18"/>
            <w:szCs w:val="18"/>
            <w:u w:val="single"/>
            <w:vertAlign w:val="baseline"/>
            <w:lang w:val="en-US"/>
          </w:rPr>
          <w:t>DG ECHO Thematic Policy Document No 3: Cash Transfers</w:t>
        </w:r>
      </w:hyperlink>
      <w:r w:rsidR="00D62E28" w:rsidRPr="00474003" w:rsidDel="16E668A6">
        <w:rPr>
          <w:rStyle w:val="FootnoteReference"/>
          <w:sz w:val="18"/>
          <w:szCs w:val="18"/>
          <w:lang w:val="en-US"/>
        </w:rPr>
        <w:t xml:space="preserve"> </w:t>
      </w:r>
    </w:p>
  </w:footnote>
  <w:footnote w:id="24">
    <w:p w14:paraId="1D842151" w14:textId="63EA0434" w:rsidR="00D62E28" w:rsidRPr="00474003" w:rsidRDefault="00411067" w:rsidP="00474003">
      <w:pPr>
        <w:pStyle w:val="FootnoteText"/>
        <w:spacing w:after="0"/>
        <w:ind w:left="130" w:hanging="227"/>
        <w:rPr>
          <w:rStyle w:val="FootnoteReference"/>
          <w:rFonts w:eastAsia="EC Square Sans Pro"/>
          <w:sz w:val="18"/>
          <w:szCs w:val="18"/>
          <w:lang w:val="en-US"/>
        </w:rPr>
      </w:pPr>
      <w:r>
        <w:rPr>
          <w:sz w:val="18"/>
          <w:szCs w:val="18"/>
          <w:u w:val="single"/>
          <w:lang w:val="en-US"/>
        </w:rPr>
        <w:t>(</w:t>
      </w:r>
      <w:r w:rsidR="00D62E28" w:rsidRPr="00474003">
        <w:rPr>
          <w:rStyle w:val="FootnoteReference"/>
          <w:sz w:val="18"/>
          <w:szCs w:val="18"/>
        </w:rPr>
        <w:footnoteRef/>
      </w:r>
      <w:r>
        <w:rPr>
          <w:sz w:val="18"/>
          <w:szCs w:val="18"/>
          <w:u w:val="single"/>
          <w:lang w:val="en-US"/>
        </w:rPr>
        <w:t>)</w:t>
      </w:r>
      <w:r w:rsidR="00D62E28" w:rsidRPr="00474003">
        <w:rPr>
          <w:rStyle w:val="FootnoteReference"/>
          <w:sz w:val="18"/>
          <w:szCs w:val="18"/>
          <w:u w:val="single"/>
          <w:lang w:val="en-US"/>
        </w:rPr>
        <w:t xml:space="preserve"> </w:t>
      </w:r>
      <w:r w:rsidR="00474003" w:rsidRPr="00474003">
        <w:rPr>
          <w:sz w:val="18"/>
          <w:szCs w:val="18"/>
          <w:u w:val="single"/>
          <w:lang w:val="en-US"/>
        </w:rPr>
        <w:t xml:space="preserve"> </w:t>
      </w:r>
      <w:hyperlink r:id="rId17" w:history="1">
        <w:r w:rsidR="00D62E28" w:rsidRPr="00474003">
          <w:rPr>
            <w:rStyle w:val="FootnoteReference"/>
            <w:rFonts w:eastAsia="EC Square Sans Pro"/>
            <w:sz w:val="18"/>
            <w:szCs w:val="18"/>
            <w:u w:val="single"/>
            <w:vertAlign w:val="baseline"/>
            <w:lang w:val="en-US"/>
          </w:rPr>
          <w:t>guidance_on_the_operationalisation_of_the_mers_for_eu-funded_humanitarian_aid_operations.pdf (europa.eu)</w:t>
        </w:r>
      </w:hyperlink>
    </w:p>
  </w:footnote>
  <w:footnote w:id="25">
    <w:p w14:paraId="70FEDA7E" w14:textId="5EB4F572" w:rsidR="00D62E28" w:rsidRPr="00474003" w:rsidRDefault="00411067" w:rsidP="00474003">
      <w:pPr>
        <w:pStyle w:val="FootnoteText"/>
        <w:spacing w:after="0"/>
        <w:ind w:left="130" w:hanging="227"/>
        <w:rPr>
          <w:rFonts w:asciiTheme="minorHAnsi" w:eastAsia="EC Square Sans Pro" w:hAnsiTheme="minorHAnsi" w:cs="EC Square Sans Pro"/>
          <w:sz w:val="18"/>
          <w:szCs w:val="18"/>
          <w:lang w:val="en-US"/>
        </w:rPr>
      </w:pPr>
      <w:r>
        <w:rPr>
          <w:sz w:val="18"/>
          <w:szCs w:val="18"/>
          <w:lang w:val="en-US"/>
        </w:rPr>
        <w:t>(</w:t>
      </w:r>
      <w:r w:rsidR="00D62E28" w:rsidRPr="00474003">
        <w:rPr>
          <w:rStyle w:val="FootnoteReference"/>
          <w:sz w:val="18"/>
          <w:szCs w:val="18"/>
        </w:rPr>
        <w:footnoteRef/>
      </w:r>
      <w:r>
        <w:rPr>
          <w:sz w:val="18"/>
          <w:szCs w:val="18"/>
          <w:lang w:val="en-US"/>
        </w:rPr>
        <w:t>)</w:t>
      </w:r>
      <w:r w:rsidR="00D62E28" w:rsidRPr="00474003">
        <w:rPr>
          <w:rStyle w:val="FootnoteReference"/>
          <w:sz w:val="18"/>
          <w:szCs w:val="18"/>
          <w:lang w:val="en-US"/>
        </w:rPr>
        <w:t xml:space="preserve"> </w:t>
      </w:r>
      <w:r w:rsidR="00474003" w:rsidRPr="00474003">
        <w:rPr>
          <w:sz w:val="18"/>
          <w:szCs w:val="18"/>
          <w:lang w:val="en-US"/>
        </w:rPr>
        <w:t xml:space="preserve"> </w:t>
      </w:r>
      <w:r w:rsidR="00D62E28" w:rsidRPr="00474003">
        <w:rPr>
          <w:rStyle w:val="FootnoteReference"/>
          <w:sz w:val="18"/>
          <w:szCs w:val="18"/>
          <w:vertAlign w:val="baseline"/>
          <w:lang w:val="en-US"/>
        </w:rPr>
        <w:t>Implementing the approach adopted in 2021 (</w:t>
      </w:r>
      <w:hyperlink r:id="rId18" w:history="1">
        <w:r w:rsidR="00D62E28" w:rsidRPr="00474003">
          <w:rPr>
            <w:rStyle w:val="FootnoteReference"/>
            <w:sz w:val="18"/>
            <w:szCs w:val="18"/>
            <w:u w:val="single"/>
            <w:vertAlign w:val="baseline"/>
            <w:lang w:val="en-US"/>
          </w:rPr>
          <w:t>DG ECHO Guidance Note on Disaster Preparedness</w:t>
        </w:r>
      </w:hyperlink>
      <w:r w:rsidR="00D62E28" w:rsidRPr="00474003">
        <w:rPr>
          <w:rStyle w:val="FootnoteReference"/>
          <w:sz w:val="18"/>
          <w:szCs w:val="18"/>
          <w:vertAlign w:val="baseline"/>
          <w:lang w:val="en-US"/>
        </w:rPr>
        <w:t>)</w:t>
      </w:r>
    </w:p>
  </w:footnote>
  <w:footnote w:id="26">
    <w:p w14:paraId="42F7EC7A" w14:textId="46249348" w:rsidR="04315D96" w:rsidRPr="00474003" w:rsidRDefault="00411067" w:rsidP="00474003">
      <w:pPr>
        <w:spacing w:after="0"/>
        <w:ind w:left="130" w:hanging="227"/>
        <w:rPr>
          <w:sz w:val="18"/>
          <w:szCs w:val="18"/>
        </w:rPr>
      </w:pPr>
      <w:r>
        <w:rPr>
          <w:sz w:val="18"/>
          <w:szCs w:val="18"/>
        </w:rPr>
        <w:t>(</w:t>
      </w:r>
      <w:r w:rsidR="04315D96" w:rsidRPr="00474003">
        <w:rPr>
          <w:sz w:val="18"/>
          <w:szCs w:val="18"/>
          <w:vertAlign w:val="superscript"/>
        </w:rPr>
        <w:footnoteRef/>
      </w:r>
      <w:r>
        <w:rPr>
          <w:sz w:val="18"/>
          <w:szCs w:val="18"/>
        </w:rPr>
        <w:t>)</w:t>
      </w:r>
      <w:r w:rsidR="04315D96" w:rsidRPr="00474003">
        <w:rPr>
          <w:sz w:val="18"/>
          <w:szCs w:val="18"/>
        </w:rPr>
        <w:t xml:space="preserve"> This figure derives from a revised methodology, which solely relies on the reporting by the EU’s Humanitarian Partners and may</w:t>
      </w:r>
      <w:r w:rsidR="00BB0CC2" w:rsidRPr="00474003">
        <w:rPr>
          <w:sz w:val="18"/>
          <w:szCs w:val="18"/>
        </w:rPr>
        <w:t xml:space="preserve"> </w:t>
      </w:r>
      <w:r w:rsidR="04315D96" w:rsidRPr="00474003">
        <w:rPr>
          <w:sz w:val="18"/>
          <w:szCs w:val="18"/>
        </w:rPr>
        <w:t>not include preparedness mainstreaming efforts in other sectors of 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19AFC" w14:textId="77777777" w:rsidR="004A3FDE" w:rsidRPr="004A3FDE" w:rsidRDefault="004A3FDE" w:rsidP="004A3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A8E6E" w14:textId="77777777" w:rsidR="004A3FDE" w:rsidRPr="004A3FDE" w:rsidRDefault="004A3FDE" w:rsidP="004A3FD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A9DD" w14:textId="77777777" w:rsidR="004A3FDE" w:rsidRPr="004A3FDE" w:rsidRDefault="004A3FDE" w:rsidP="004A3FD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57D4A" w14:textId="77777777" w:rsidR="000B439B" w:rsidRDefault="000B43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AD46" w14:textId="77777777" w:rsidR="000B439B" w:rsidRDefault="000B43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E0A03" w14:textId="77777777" w:rsidR="000B439B" w:rsidRDefault="000B43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CAE8" w14:textId="77777777" w:rsidR="000B439B" w:rsidRDefault="000B43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3E44" w14:textId="77777777" w:rsidR="000B439B" w:rsidRDefault="000B43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DAB33" w14:textId="77777777" w:rsidR="000B439B" w:rsidRDefault="000B439B">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QM94MT0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E8F45D2C"/>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BCE146D"/>
    <w:multiLevelType w:val="hybridMultilevel"/>
    <w:tmpl w:val="AA3C7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FB7115"/>
    <w:multiLevelType w:val="multilevel"/>
    <w:tmpl w:val="48A2F788"/>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228C973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4FE477EA"/>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BB0B2BC"/>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06A4134C"/>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9AC2771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AA26178"/>
    <w:multiLevelType w:val="hybridMultilevel"/>
    <w:tmpl w:val="22DCA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7B624F"/>
    <w:multiLevelType w:val="multilevel"/>
    <w:tmpl w:val="AF70FA80"/>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07E372F"/>
    <w:multiLevelType w:val="hybridMultilevel"/>
    <w:tmpl w:val="77A20FD6"/>
    <w:lvl w:ilvl="0" w:tplc="FFFFFFFF">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7580D72"/>
    <w:multiLevelType w:val="hybridMultilevel"/>
    <w:tmpl w:val="FCD417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6E368306"/>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1BBEB3A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DC124B7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5303FA3"/>
    <w:multiLevelType w:val="hybridMultilevel"/>
    <w:tmpl w:val="2AA8F3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324F1E"/>
    <w:multiLevelType w:val="multilevel"/>
    <w:tmpl w:val="B2AC0F72"/>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E95053E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C0588E9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EE93559"/>
    <w:multiLevelType w:val="multilevel"/>
    <w:tmpl w:val="26FC029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FDF1522"/>
    <w:multiLevelType w:val="hybridMultilevel"/>
    <w:tmpl w:val="0C986D4C"/>
    <w:lvl w:ilvl="0" w:tplc="521ED59A">
      <w:numFmt w:val="bullet"/>
      <w:lvlText w:val="-"/>
      <w:lvlJc w:val="left"/>
      <w:pPr>
        <w:ind w:left="720" w:hanging="360"/>
      </w:pPr>
      <w:rPr>
        <w:rFonts w:ascii="Calibri" w:eastAsia="EC Square Sans Pro"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9E662A"/>
    <w:multiLevelType w:val="multilevel"/>
    <w:tmpl w:val="1C18237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9BF6F28"/>
    <w:multiLevelType w:val="hybridMultilevel"/>
    <w:tmpl w:val="1F5C4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5F6B50"/>
    <w:multiLevelType w:val="hybridMultilevel"/>
    <w:tmpl w:val="28FEE12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A63DF"/>
    <w:multiLevelType w:val="multilevel"/>
    <w:tmpl w:val="CC1AAF5A"/>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4E1A982C"/>
    <w:multiLevelType w:val="multilevel"/>
    <w:tmpl w:val="D4263FB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072619B"/>
    <w:multiLevelType w:val="multilevel"/>
    <w:tmpl w:val="20DC0E78"/>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50729B52"/>
    <w:multiLevelType w:val="multilevel"/>
    <w:tmpl w:val="4D982B2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566767AB"/>
    <w:multiLevelType w:val="hybridMultilevel"/>
    <w:tmpl w:val="131A3CAA"/>
    <w:lvl w:ilvl="0" w:tplc="1B588664">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D7A58E9"/>
    <w:multiLevelType w:val="hybridMultilevel"/>
    <w:tmpl w:val="6BE47138"/>
    <w:lvl w:ilvl="0" w:tplc="316C49C4">
      <w:numFmt w:val="bullet"/>
      <w:lvlText w:val="-"/>
      <w:lvlJc w:val="left"/>
      <w:pPr>
        <w:ind w:left="410" w:hanging="360"/>
      </w:pPr>
      <w:rPr>
        <w:rFonts w:ascii="Calibri" w:eastAsiaTheme="minorHAnsi"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30" w15:restartNumberingAfterBreak="0">
    <w:nsid w:val="6977472E"/>
    <w:multiLevelType w:val="multilevel"/>
    <w:tmpl w:val="B220E596"/>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6EE92521"/>
    <w:multiLevelType w:val="hybridMultilevel"/>
    <w:tmpl w:val="BD62EE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C5BD9D9"/>
    <w:multiLevelType w:val="hybridMultilevel"/>
    <w:tmpl w:val="43A224CC"/>
    <w:lvl w:ilvl="0" w:tplc="22243D4E">
      <w:start w:val="1"/>
      <w:numFmt w:val="upperRoman"/>
      <w:lvlText w:val="Annex %1"/>
      <w:lvlJc w:val="left"/>
      <w:pPr>
        <w:ind w:left="720" w:hanging="360"/>
      </w:pPr>
    </w:lvl>
    <w:lvl w:ilvl="1" w:tplc="4788BF80">
      <w:start w:val="1"/>
      <w:numFmt w:val="lowerLetter"/>
      <w:lvlText w:val="%2."/>
      <w:lvlJc w:val="left"/>
      <w:pPr>
        <w:ind w:left="1440" w:hanging="360"/>
      </w:pPr>
    </w:lvl>
    <w:lvl w:ilvl="2" w:tplc="011AB5B0">
      <w:start w:val="1"/>
      <w:numFmt w:val="lowerRoman"/>
      <w:lvlText w:val="%3."/>
      <w:lvlJc w:val="right"/>
      <w:pPr>
        <w:ind w:left="2160" w:hanging="180"/>
      </w:pPr>
    </w:lvl>
    <w:lvl w:ilvl="3" w:tplc="CCF09B78">
      <w:start w:val="1"/>
      <w:numFmt w:val="decimal"/>
      <w:lvlText w:val="%4."/>
      <w:lvlJc w:val="left"/>
      <w:pPr>
        <w:ind w:left="2880" w:hanging="360"/>
      </w:pPr>
    </w:lvl>
    <w:lvl w:ilvl="4" w:tplc="DBE0B1EA">
      <w:start w:val="1"/>
      <w:numFmt w:val="lowerLetter"/>
      <w:lvlText w:val="%5."/>
      <w:lvlJc w:val="left"/>
      <w:pPr>
        <w:ind w:left="3600" w:hanging="360"/>
      </w:pPr>
    </w:lvl>
    <w:lvl w:ilvl="5" w:tplc="DE1A1028">
      <w:start w:val="1"/>
      <w:numFmt w:val="lowerRoman"/>
      <w:lvlText w:val="%6."/>
      <w:lvlJc w:val="right"/>
      <w:pPr>
        <w:ind w:left="4320" w:hanging="180"/>
      </w:pPr>
    </w:lvl>
    <w:lvl w:ilvl="6" w:tplc="4CF6E10E">
      <w:start w:val="1"/>
      <w:numFmt w:val="decimal"/>
      <w:lvlText w:val="%7."/>
      <w:lvlJc w:val="left"/>
      <w:pPr>
        <w:ind w:left="5040" w:hanging="360"/>
      </w:pPr>
    </w:lvl>
    <w:lvl w:ilvl="7" w:tplc="911C56E4">
      <w:start w:val="1"/>
      <w:numFmt w:val="lowerLetter"/>
      <w:lvlText w:val="%8."/>
      <w:lvlJc w:val="left"/>
      <w:pPr>
        <w:ind w:left="5760" w:hanging="360"/>
      </w:pPr>
    </w:lvl>
    <w:lvl w:ilvl="8" w:tplc="02DE5992">
      <w:start w:val="1"/>
      <w:numFmt w:val="lowerRoman"/>
      <w:lvlText w:val="%9."/>
      <w:lvlJc w:val="right"/>
      <w:pPr>
        <w:ind w:left="6480" w:hanging="180"/>
      </w:pPr>
    </w:lvl>
  </w:abstractNum>
  <w:abstractNum w:abstractNumId="33" w15:restartNumberingAfterBreak="0">
    <w:nsid w:val="7C65145E"/>
    <w:multiLevelType w:val="multilevel"/>
    <w:tmpl w:val="9C9E029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4" w15:restartNumberingAfterBreak="0">
    <w:nsid w:val="7C651460"/>
    <w:multiLevelType w:val="singleLevel"/>
    <w:tmpl w:val="6E7E65A4"/>
    <w:name w:val="AnnexNumbering"/>
    <w:lvl w:ilvl="0">
      <w:start w:val="1"/>
      <w:numFmt w:val="upperRoman"/>
      <w:pStyle w:val="AnnexTitle"/>
      <w:lvlText w:val="Annex %1"/>
      <w:lvlJc w:val="left"/>
      <w:pPr>
        <w:tabs>
          <w:tab w:val="num" w:pos="2268"/>
        </w:tabs>
        <w:ind w:left="2268" w:hanging="2268"/>
      </w:pPr>
      <w:rPr>
        <w:rFonts w:hint="default"/>
      </w:rPr>
    </w:lvl>
  </w:abstractNum>
  <w:num w:numId="1">
    <w:abstractNumId w:val="32"/>
  </w:num>
  <w:num w:numId="2">
    <w:abstractNumId w:val="0"/>
  </w:num>
  <w:num w:numId="3">
    <w:abstractNumId w:val="16"/>
  </w:num>
  <w:num w:numId="4">
    <w:abstractNumId w:val="9"/>
  </w:num>
  <w:num w:numId="5">
    <w:abstractNumId w:val="17"/>
  </w:num>
  <w:num w:numId="6">
    <w:abstractNumId w:val="26"/>
  </w:num>
  <w:num w:numId="7">
    <w:abstractNumId w:val="30"/>
  </w:num>
  <w:num w:numId="8">
    <w:abstractNumId w:val="2"/>
  </w:num>
  <w:num w:numId="9">
    <w:abstractNumId w:val="7"/>
  </w:num>
  <w:num w:numId="10">
    <w:abstractNumId w:val="21"/>
  </w:num>
  <w:num w:numId="11">
    <w:abstractNumId w:val="3"/>
  </w:num>
  <w:num w:numId="12">
    <w:abstractNumId w:val="5"/>
  </w:num>
  <w:num w:numId="13">
    <w:abstractNumId w:val="6"/>
  </w:num>
  <w:num w:numId="14">
    <w:abstractNumId w:val="12"/>
  </w:num>
  <w:num w:numId="15">
    <w:abstractNumId w:val="18"/>
  </w:num>
  <w:num w:numId="16">
    <w:abstractNumId w:val="25"/>
  </w:num>
  <w:num w:numId="17">
    <w:abstractNumId w:val="33"/>
  </w:num>
  <w:num w:numId="18">
    <w:abstractNumId w:val="13"/>
  </w:num>
  <w:num w:numId="19">
    <w:abstractNumId w:val="14"/>
  </w:num>
  <w:num w:numId="20">
    <w:abstractNumId w:val="34"/>
  </w:num>
  <w:num w:numId="21">
    <w:abstractNumId w:val="24"/>
  </w:num>
  <w:num w:numId="22">
    <w:abstractNumId w:val="27"/>
  </w:num>
  <w:num w:numId="23">
    <w:abstractNumId w:val="4"/>
  </w:num>
  <w:num w:numId="24">
    <w:abstractNumId w:val="20"/>
  </w:num>
  <w:num w:numId="25">
    <w:abstractNumId w:val="10"/>
  </w:num>
  <w:num w:numId="26">
    <w:abstractNumId w:val="8"/>
  </w:num>
  <w:num w:numId="27">
    <w:abstractNumId w:val="33"/>
  </w:num>
  <w:num w:numId="28">
    <w:abstractNumId w:val="11"/>
  </w:num>
  <w:num w:numId="29">
    <w:abstractNumId w:val="22"/>
  </w:num>
  <w:num w:numId="30">
    <w:abstractNumId w:val="1"/>
  </w:num>
  <w:num w:numId="31">
    <w:abstractNumId w:val="23"/>
  </w:num>
  <w:num w:numId="32">
    <w:abstractNumId w:val="29"/>
  </w:num>
  <w:num w:numId="33">
    <w:abstractNumId w:val="28"/>
  </w:num>
  <w:num w:numId="34">
    <w:abstractNumId w:val="15"/>
  </w:num>
  <w:num w:numId="35">
    <w:abstractNumId w:val="19"/>
  </w:num>
  <w:num w:numId="36">
    <w:abstractNumId w:val="31"/>
  </w:num>
  <w:num w:numId="37">
    <w:abstractNumId w:val="33"/>
  </w:num>
  <w:num w:numId="38">
    <w:abstractNumId w:val="34"/>
  </w:num>
  <w:num w:numId="39">
    <w:abstractNumId w:val="3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06402F9A-FE4C-407F-8A08-AF39B0756AD6"/>
    <w:docVar w:name="LW_COVERPAGE_TYPE" w:val="1"/>
    <w:docVar w:name="LW_CROSSREFERENCE" w:val="&lt;UNUSED&gt;"/>
    <w:docVar w:name="LW_DocType" w:val="EUROLOOK"/>
    <w:docVar w:name="LW_EMISSION" w:val="31.8.2023"/>
    <w:docVar w:name="LW_EMISSION_ISODATE" w:val="2023-08-31"/>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50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nnual Report on the European Union´s humanitarian aid operations financed in 2022"/>
    <w:docVar w:name="LW_TYPE.DOC.CP" w:val="REPORT FROM THE COMMISSION TO THE EUROPEAN PARLIAMENT AND THE COUNCIL"/>
    <w:docVar w:name="LwApiVersions" w:val="LW4CoDe 1.23.2.0; LW 8.0, Build 20211117"/>
  </w:docVars>
  <w:rsids>
    <w:rsidRoot w:val="006E4A9D"/>
    <w:rsid w:val="0000098F"/>
    <w:rsid w:val="00004C97"/>
    <w:rsid w:val="0000519B"/>
    <w:rsid w:val="000056D4"/>
    <w:rsid w:val="00011610"/>
    <w:rsid w:val="0001325E"/>
    <w:rsid w:val="00015FBE"/>
    <w:rsid w:val="00016CDA"/>
    <w:rsid w:val="00020923"/>
    <w:rsid w:val="0003196B"/>
    <w:rsid w:val="00031B41"/>
    <w:rsid w:val="00034E67"/>
    <w:rsid w:val="00035E86"/>
    <w:rsid w:val="00036227"/>
    <w:rsid w:val="000461F9"/>
    <w:rsid w:val="000468BE"/>
    <w:rsid w:val="0004741B"/>
    <w:rsid w:val="00047A36"/>
    <w:rsid w:val="00050CBD"/>
    <w:rsid w:val="00051DAD"/>
    <w:rsid w:val="0006117E"/>
    <w:rsid w:val="00061685"/>
    <w:rsid w:val="00061B6A"/>
    <w:rsid w:val="000622B6"/>
    <w:rsid w:val="000637CE"/>
    <w:rsid w:val="00063C9A"/>
    <w:rsid w:val="000712FA"/>
    <w:rsid w:val="000737B4"/>
    <w:rsid w:val="00074347"/>
    <w:rsid w:val="00075275"/>
    <w:rsid w:val="00075972"/>
    <w:rsid w:val="00076602"/>
    <w:rsid w:val="00076CCC"/>
    <w:rsid w:val="00083C84"/>
    <w:rsid w:val="000846E4"/>
    <w:rsid w:val="00094488"/>
    <w:rsid w:val="00094795"/>
    <w:rsid w:val="00094F14"/>
    <w:rsid w:val="000A1464"/>
    <w:rsid w:val="000A14DC"/>
    <w:rsid w:val="000A6121"/>
    <w:rsid w:val="000A6CD8"/>
    <w:rsid w:val="000B112C"/>
    <w:rsid w:val="000B35C4"/>
    <w:rsid w:val="000B439B"/>
    <w:rsid w:val="000B4841"/>
    <w:rsid w:val="000B6738"/>
    <w:rsid w:val="000C15B5"/>
    <w:rsid w:val="000D0F75"/>
    <w:rsid w:val="000D396E"/>
    <w:rsid w:val="000D3F32"/>
    <w:rsid w:val="000D5522"/>
    <w:rsid w:val="000D7077"/>
    <w:rsid w:val="000E077D"/>
    <w:rsid w:val="000F1244"/>
    <w:rsid w:val="000F4ACA"/>
    <w:rsid w:val="000F678A"/>
    <w:rsid w:val="000F68C8"/>
    <w:rsid w:val="000F7C15"/>
    <w:rsid w:val="00100D53"/>
    <w:rsid w:val="0010152E"/>
    <w:rsid w:val="0010194C"/>
    <w:rsid w:val="001027D7"/>
    <w:rsid w:val="00103F1D"/>
    <w:rsid w:val="001053B5"/>
    <w:rsid w:val="0010580C"/>
    <w:rsid w:val="00106AED"/>
    <w:rsid w:val="00112B09"/>
    <w:rsid w:val="0011622E"/>
    <w:rsid w:val="00116F3B"/>
    <w:rsid w:val="001178B9"/>
    <w:rsid w:val="001231A9"/>
    <w:rsid w:val="00123446"/>
    <w:rsid w:val="00124855"/>
    <w:rsid w:val="0013206D"/>
    <w:rsid w:val="00132AA8"/>
    <w:rsid w:val="00136146"/>
    <w:rsid w:val="00137C1B"/>
    <w:rsid w:val="00140EB2"/>
    <w:rsid w:val="00142986"/>
    <w:rsid w:val="00147805"/>
    <w:rsid w:val="0015014E"/>
    <w:rsid w:val="00151F86"/>
    <w:rsid w:val="00152319"/>
    <w:rsid w:val="0015233A"/>
    <w:rsid w:val="00153291"/>
    <w:rsid w:val="00153609"/>
    <w:rsid w:val="0015457C"/>
    <w:rsid w:val="00155BAE"/>
    <w:rsid w:val="00156603"/>
    <w:rsid w:val="001609D3"/>
    <w:rsid w:val="001635BD"/>
    <w:rsid w:val="00163F84"/>
    <w:rsid w:val="0016412A"/>
    <w:rsid w:val="0016529C"/>
    <w:rsid w:val="001653CD"/>
    <w:rsid w:val="0017003F"/>
    <w:rsid w:val="00170BC1"/>
    <w:rsid w:val="00170BFC"/>
    <w:rsid w:val="00175C67"/>
    <w:rsid w:val="00182456"/>
    <w:rsid w:val="00191193"/>
    <w:rsid w:val="001923F3"/>
    <w:rsid w:val="00194BC1"/>
    <w:rsid w:val="001952A5"/>
    <w:rsid w:val="001A17E8"/>
    <w:rsid w:val="001A4F33"/>
    <w:rsid w:val="001A5176"/>
    <w:rsid w:val="001A621C"/>
    <w:rsid w:val="001A6BC4"/>
    <w:rsid w:val="001B0D62"/>
    <w:rsid w:val="001B4B9F"/>
    <w:rsid w:val="001B5FC9"/>
    <w:rsid w:val="001C043F"/>
    <w:rsid w:val="001C1E56"/>
    <w:rsid w:val="001C413D"/>
    <w:rsid w:val="001C4E1A"/>
    <w:rsid w:val="001C674E"/>
    <w:rsid w:val="001D00CC"/>
    <w:rsid w:val="001D0C5D"/>
    <w:rsid w:val="001D0CED"/>
    <w:rsid w:val="001D1439"/>
    <w:rsid w:val="001D17E4"/>
    <w:rsid w:val="001D31E2"/>
    <w:rsid w:val="001D379F"/>
    <w:rsid w:val="001D3C83"/>
    <w:rsid w:val="001D527A"/>
    <w:rsid w:val="001D594C"/>
    <w:rsid w:val="001D622C"/>
    <w:rsid w:val="001D738F"/>
    <w:rsid w:val="001E227B"/>
    <w:rsid w:val="001E310B"/>
    <w:rsid w:val="001E5035"/>
    <w:rsid w:val="001E5CDC"/>
    <w:rsid w:val="001F03D8"/>
    <w:rsid w:val="001F085D"/>
    <w:rsid w:val="001F08B1"/>
    <w:rsid w:val="001F0AF0"/>
    <w:rsid w:val="001F0C4A"/>
    <w:rsid w:val="001F1EDA"/>
    <w:rsid w:val="001F505C"/>
    <w:rsid w:val="00200E8D"/>
    <w:rsid w:val="002016CC"/>
    <w:rsid w:val="00202751"/>
    <w:rsid w:val="00204544"/>
    <w:rsid w:val="00204559"/>
    <w:rsid w:val="00207249"/>
    <w:rsid w:val="00210785"/>
    <w:rsid w:val="0021149B"/>
    <w:rsid w:val="00213A41"/>
    <w:rsid w:val="00215EF3"/>
    <w:rsid w:val="002170CC"/>
    <w:rsid w:val="00217A4D"/>
    <w:rsid w:val="00217E7C"/>
    <w:rsid w:val="00217EAB"/>
    <w:rsid w:val="00222420"/>
    <w:rsid w:val="00224A03"/>
    <w:rsid w:val="00224A9C"/>
    <w:rsid w:val="002276EB"/>
    <w:rsid w:val="00230804"/>
    <w:rsid w:val="002317DA"/>
    <w:rsid w:val="00233310"/>
    <w:rsid w:val="00233486"/>
    <w:rsid w:val="00233729"/>
    <w:rsid w:val="00237A29"/>
    <w:rsid w:val="002479A9"/>
    <w:rsid w:val="00251185"/>
    <w:rsid w:val="00251C46"/>
    <w:rsid w:val="00253E5B"/>
    <w:rsid w:val="00253F64"/>
    <w:rsid w:val="00255DC6"/>
    <w:rsid w:val="00257F63"/>
    <w:rsid w:val="002604B9"/>
    <w:rsid w:val="00260BC5"/>
    <w:rsid w:val="002615E7"/>
    <w:rsid w:val="0026521E"/>
    <w:rsid w:val="00266F8E"/>
    <w:rsid w:val="0027150F"/>
    <w:rsid w:val="0027220D"/>
    <w:rsid w:val="00272AD5"/>
    <w:rsid w:val="00276C25"/>
    <w:rsid w:val="00277E19"/>
    <w:rsid w:val="0028060D"/>
    <w:rsid w:val="00280F04"/>
    <w:rsid w:val="00282C15"/>
    <w:rsid w:val="00285658"/>
    <w:rsid w:val="00285FD5"/>
    <w:rsid w:val="00295611"/>
    <w:rsid w:val="00296B29"/>
    <w:rsid w:val="0029730B"/>
    <w:rsid w:val="002A3009"/>
    <w:rsid w:val="002A557D"/>
    <w:rsid w:val="002A5968"/>
    <w:rsid w:val="002A5BD1"/>
    <w:rsid w:val="002B0CCF"/>
    <w:rsid w:val="002B0E08"/>
    <w:rsid w:val="002B5C9D"/>
    <w:rsid w:val="002B6243"/>
    <w:rsid w:val="002C0CF9"/>
    <w:rsid w:val="002C2B21"/>
    <w:rsid w:val="002C3092"/>
    <w:rsid w:val="002D08A9"/>
    <w:rsid w:val="002D139D"/>
    <w:rsid w:val="002D3130"/>
    <w:rsid w:val="002D3D1C"/>
    <w:rsid w:val="002D5BE6"/>
    <w:rsid w:val="002D7061"/>
    <w:rsid w:val="002D732D"/>
    <w:rsid w:val="002E0110"/>
    <w:rsid w:val="002E434B"/>
    <w:rsid w:val="002F1740"/>
    <w:rsid w:val="002F22C1"/>
    <w:rsid w:val="002F263F"/>
    <w:rsid w:val="002F2913"/>
    <w:rsid w:val="00300345"/>
    <w:rsid w:val="00300A82"/>
    <w:rsid w:val="00305191"/>
    <w:rsid w:val="00311212"/>
    <w:rsid w:val="00311C9C"/>
    <w:rsid w:val="00314FD0"/>
    <w:rsid w:val="00320163"/>
    <w:rsid w:val="0032243F"/>
    <w:rsid w:val="00322A30"/>
    <w:rsid w:val="00325A28"/>
    <w:rsid w:val="00325B92"/>
    <w:rsid w:val="00326502"/>
    <w:rsid w:val="0032741E"/>
    <w:rsid w:val="0033360D"/>
    <w:rsid w:val="00335313"/>
    <w:rsid w:val="003355C6"/>
    <w:rsid w:val="00335A29"/>
    <w:rsid w:val="003361B1"/>
    <w:rsid w:val="00337338"/>
    <w:rsid w:val="00341151"/>
    <w:rsid w:val="0034312D"/>
    <w:rsid w:val="00344DF6"/>
    <w:rsid w:val="00345F10"/>
    <w:rsid w:val="00346954"/>
    <w:rsid w:val="003514C2"/>
    <w:rsid w:val="00355AFE"/>
    <w:rsid w:val="00366C6B"/>
    <w:rsid w:val="00374CFC"/>
    <w:rsid w:val="0037567B"/>
    <w:rsid w:val="00377E53"/>
    <w:rsid w:val="003805CA"/>
    <w:rsid w:val="00381D39"/>
    <w:rsid w:val="00384833"/>
    <w:rsid w:val="00390A1A"/>
    <w:rsid w:val="003961A7"/>
    <w:rsid w:val="00396671"/>
    <w:rsid w:val="003A0A19"/>
    <w:rsid w:val="003A4774"/>
    <w:rsid w:val="003A7644"/>
    <w:rsid w:val="003B002E"/>
    <w:rsid w:val="003B07BD"/>
    <w:rsid w:val="003B0CC5"/>
    <w:rsid w:val="003B33B1"/>
    <w:rsid w:val="003B5740"/>
    <w:rsid w:val="003B671A"/>
    <w:rsid w:val="003B7A4E"/>
    <w:rsid w:val="003C09BF"/>
    <w:rsid w:val="003C0FA2"/>
    <w:rsid w:val="003C237B"/>
    <w:rsid w:val="003C265B"/>
    <w:rsid w:val="003C38E1"/>
    <w:rsid w:val="003C4887"/>
    <w:rsid w:val="003C4E53"/>
    <w:rsid w:val="003C6EED"/>
    <w:rsid w:val="003C7791"/>
    <w:rsid w:val="003D0CBB"/>
    <w:rsid w:val="003D228B"/>
    <w:rsid w:val="003D2C1E"/>
    <w:rsid w:val="003D564A"/>
    <w:rsid w:val="003E0F55"/>
    <w:rsid w:val="003E1C66"/>
    <w:rsid w:val="003E2E20"/>
    <w:rsid w:val="003E4CAE"/>
    <w:rsid w:val="003F0590"/>
    <w:rsid w:val="003F0DF8"/>
    <w:rsid w:val="003F2788"/>
    <w:rsid w:val="003F522F"/>
    <w:rsid w:val="003F5284"/>
    <w:rsid w:val="003F63A6"/>
    <w:rsid w:val="003F6607"/>
    <w:rsid w:val="003F7735"/>
    <w:rsid w:val="00402EFE"/>
    <w:rsid w:val="00410301"/>
    <w:rsid w:val="00411067"/>
    <w:rsid w:val="00411C85"/>
    <w:rsid w:val="00413712"/>
    <w:rsid w:val="00413AE6"/>
    <w:rsid w:val="004153CD"/>
    <w:rsid w:val="004166C5"/>
    <w:rsid w:val="004168DB"/>
    <w:rsid w:val="004234B9"/>
    <w:rsid w:val="004241B4"/>
    <w:rsid w:val="004241C0"/>
    <w:rsid w:val="00425F7A"/>
    <w:rsid w:val="004273EA"/>
    <w:rsid w:val="00431016"/>
    <w:rsid w:val="004319C2"/>
    <w:rsid w:val="004346CF"/>
    <w:rsid w:val="00435C7C"/>
    <w:rsid w:val="0043777E"/>
    <w:rsid w:val="004430DA"/>
    <w:rsid w:val="00444473"/>
    <w:rsid w:val="00446882"/>
    <w:rsid w:val="0045168B"/>
    <w:rsid w:val="0045189F"/>
    <w:rsid w:val="00453EAE"/>
    <w:rsid w:val="0046017F"/>
    <w:rsid w:val="004621D6"/>
    <w:rsid w:val="004623D3"/>
    <w:rsid w:val="00463A90"/>
    <w:rsid w:val="00464083"/>
    <w:rsid w:val="00467CD7"/>
    <w:rsid w:val="00470432"/>
    <w:rsid w:val="004713AC"/>
    <w:rsid w:val="00473EEC"/>
    <w:rsid w:val="00474003"/>
    <w:rsid w:val="00475EF2"/>
    <w:rsid w:val="004760FC"/>
    <w:rsid w:val="00476E00"/>
    <w:rsid w:val="00480A8A"/>
    <w:rsid w:val="00482C66"/>
    <w:rsid w:val="00484BE9"/>
    <w:rsid w:val="00495667"/>
    <w:rsid w:val="00495A16"/>
    <w:rsid w:val="00496F7E"/>
    <w:rsid w:val="004A1BF1"/>
    <w:rsid w:val="004A2067"/>
    <w:rsid w:val="004A3FDE"/>
    <w:rsid w:val="004A57C8"/>
    <w:rsid w:val="004A7EB1"/>
    <w:rsid w:val="004B0C8F"/>
    <w:rsid w:val="004B223B"/>
    <w:rsid w:val="004B38EA"/>
    <w:rsid w:val="004B5927"/>
    <w:rsid w:val="004C3616"/>
    <w:rsid w:val="004C36E2"/>
    <w:rsid w:val="004C4181"/>
    <w:rsid w:val="004C4D7A"/>
    <w:rsid w:val="004C5002"/>
    <w:rsid w:val="004C5AE9"/>
    <w:rsid w:val="004C669C"/>
    <w:rsid w:val="004C7BD3"/>
    <w:rsid w:val="004D03F8"/>
    <w:rsid w:val="004D0472"/>
    <w:rsid w:val="004D0CA2"/>
    <w:rsid w:val="004D14BD"/>
    <w:rsid w:val="004D1DB4"/>
    <w:rsid w:val="004D3B07"/>
    <w:rsid w:val="004D5A5E"/>
    <w:rsid w:val="004E2A9D"/>
    <w:rsid w:val="004E3532"/>
    <w:rsid w:val="004E3BB0"/>
    <w:rsid w:val="004E3CB9"/>
    <w:rsid w:val="004E6223"/>
    <w:rsid w:val="004F346B"/>
    <w:rsid w:val="004F6D03"/>
    <w:rsid w:val="004F7258"/>
    <w:rsid w:val="005040DF"/>
    <w:rsid w:val="00505F59"/>
    <w:rsid w:val="00507271"/>
    <w:rsid w:val="00510D0B"/>
    <w:rsid w:val="00510FAA"/>
    <w:rsid w:val="0051146C"/>
    <w:rsid w:val="00511969"/>
    <w:rsid w:val="00511D0F"/>
    <w:rsid w:val="0051297E"/>
    <w:rsid w:val="005137B4"/>
    <w:rsid w:val="00517A8F"/>
    <w:rsid w:val="00520B9C"/>
    <w:rsid w:val="005220C0"/>
    <w:rsid w:val="00522AD3"/>
    <w:rsid w:val="00524AA3"/>
    <w:rsid w:val="00530BD5"/>
    <w:rsid w:val="00532FE0"/>
    <w:rsid w:val="0053393A"/>
    <w:rsid w:val="005367E0"/>
    <w:rsid w:val="00541239"/>
    <w:rsid w:val="00546E89"/>
    <w:rsid w:val="005530D6"/>
    <w:rsid w:val="00553936"/>
    <w:rsid w:val="00553C5A"/>
    <w:rsid w:val="005557EF"/>
    <w:rsid w:val="00556313"/>
    <w:rsid w:val="005603A9"/>
    <w:rsid w:val="0056064B"/>
    <w:rsid w:val="00564FA6"/>
    <w:rsid w:val="005654F7"/>
    <w:rsid w:val="00572967"/>
    <w:rsid w:val="00573565"/>
    <w:rsid w:val="00575C63"/>
    <w:rsid w:val="005814A0"/>
    <w:rsid w:val="0058186A"/>
    <w:rsid w:val="00582A00"/>
    <w:rsid w:val="00583E49"/>
    <w:rsid w:val="00585AA4"/>
    <w:rsid w:val="00587386"/>
    <w:rsid w:val="00592153"/>
    <w:rsid w:val="005932E5"/>
    <w:rsid w:val="005937B8"/>
    <w:rsid w:val="005960DA"/>
    <w:rsid w:val="005A139E"/>
    <w:rsid w:val="005A446D"/>
    <w:rsid w:val="005A5ACF"/>
    <w:rsid w:val="005A6F98"/>
    <w:rsid w:val="005A71CA"/>
    <w:rsid w:val="005A71F2"/>
    <w:rsid w:val="005A73F2"/>
    <w:rsid w:val="005B0D70"/>
    <w:rsid w:val="005B3927"/>
    <w:rsid w:val="005B3D62"/>
    <w:rsid w:val="005B53AA"/>
    <w:rsid w:val="005B5A90"/>
    <w:rsid w:val="005B5C69"/>
    <w:rsid w:val="005C0DE7"/>
    <w:rsid w:val="005C1C09"/>
    <w:rsid w:val="005C2681"/>
    <w:rsid w:val="005C531A"/>
    <w:rsid w:val="005C7A01"/>
    <w:rsid w:val="005D1099"/>
    <w:rsid w:val="005D1DC7"/>
    <w:rsid w:val="005D5350"/>
    <w:rsid w:val="005E039B"/>
    <w:rsid w:val="005E11B4"/>
    <w:rsid w:val="005E36BE"/>
    <w:rsid w:val="005E3BCF"/>
    <w:rsid w:val="005E5B5C"/>
    <w:rsid w:val="005E7A06"/>
    <w:rsid w:val="005E7B6D"/>
    <w:rsid w:val="005F35BC"/>
    <w:rsid w:val="005F3643"/>
    <w:rsid w:val="006028C3"/>
    <w:rsid w:val="006035CE"/>
    <w:rsid w:val="00606D2F"/>
    <w:rsid w:val="00606FC8"/>
    <w:rsid w:val="00612BCC"/>
    <w:rsid w:val="00614EAC"/>
    <w:rsid w:val="0061529B"/>
    <w:rsid w:val="006154B6"/>
    <w:rsid w:val="006178B6"/>
    <w:rsid w:val="00620A14"/>
    <w:rsid w:val="00624B03"/>
    <w:rsid w:val="00624B8C"/>
    <w:rsid w:val="00625238"/>
    <w:rsid w:val="00627C97"/>
    <w:rsid w:val="0063059D"/>
    <w:rsid w:val="00631B73"/>
    <w:rsid w:val="0063466A"/>
    <w:rsid w:val="00634A0E"/>
    <w:rsid w:val="00634E26"/>
    <w:rsid w:val="006460E4"/>
    <w:rsid w:val="00651205"/>
    <w:rsid w:val="00652B1D"/>
    <w:rsid w:val="00653230"/>
    <w:rsid w:val="00657864"/>
    <w:rsid w:val="0066022D"/>
    <w:rsid w:val="00662183"/>
    <w:rsid w:val="00663849"/>
    <w:rsid w:val="00671BF7"/>
    <w:rsid w:val="00671F27"/>
    <w:rsid w:val="006722A6"/>
    <w:rsid w:val="0067431D"/>
    <w:rsid w:val="006769A4"/>
    <w:rsid w:val="006816F3"/>
    <w:rsid w:val="00681AE6"/>
    <w:rsid w:val="00682E53"/>
    <w:rsid w:val="00684AED"/>
    <w:rsid w:val="00685E58"/>
    <w:rsid w:val="006917B7"/>
    <w:rsid w:val="006A7549"/>
    <w:rsid w:val="006A7670"/>
    <w:rsid w:val="006B525D"/>
    <w:rsid w:val="006B5282"/>
    <w:rsid w:val="006B5990"/>
    <w:rsid w:val="006B6616"/>
    <w:rsid w:val="006C2E62"/>
    <w:rsid w:val="006C50D5"/>
    <w:rsid w:val="006D0AB8"/>
    <w:rsid w:val="006D3880"/>
    <w:rsid w:val="006D76B9"/>
    <w:rsid w:val="006D7FCC"/>
    <w:rsid w:val="006E055F"/>
    <w:rsid w:val="006E1A1D"/>
    <w:rsid w:val="006E1C2D"/>
    <w:rsid w:val="006E1D16"/>
    <w:rsid w:val="006E4A9D"/>
    <w:rsid w:val="006E4ED3"/>
    <w:rsid w:val="006F21F8"/>
    <w:rsid w:val="006F441E"/>
    <w:rsid w:val="006F75E3"/>
    <w:rsid w:val="006F7C69"/>
    <w:rsid w:val="007000C2"/>
    <w:rsid w:val="00700118"/>
    <w:rsid w:val="00703AA1"/>
    <w:rsid w:val="007046DE"/>
    <w:rsid w:val="007054B5"/>
    <w:rsid w:val="00706AB6"/>
    <w:rsid w:val="0071030F"/>
    <w:rsid w:val="007116F5"/>
    <w:rsid w:val="0071177E"/>
    <w:rsid w:val="0071626F"/>
    <w:rsid w:val="00721444"/>
    <w:rsid w:val="007238CE"/>
    <w:rsid w:val="0072533D"/>
    <w:rsid w:val="007270A5"/>
    <w:rsid w:val="00730227"/>
    <w:rsid w:val="00731248"/>
    <w:rsid w:val="00731733"/>
    <w:rsid w:val="00732489"/>
    <w:rsid w:val="00732704"/>
    <w:rsid w:val="0073272F"/>
    <w:rsid w:val="00734E4D"/>
    <w:rsid w:val="00742805"/>
    <w:rsid w:val="00745903"/>
    <w:rsid w:val="00745CD6"/>
    <w:rsid w:val="00746D97"/>
    <w:rsid w:val="0075032D"/>
    <w:rsid w:val="00752D81"/>
    <w:rsid w:val="00754AF1"/>
    <w:rsid w:val="0075631F"/>
    <w:rsid w:val="00757643"/>
    <w:rsid w:val="007628E5"/>
    <w:rsid w:val="00764B1C"/>
    <w:rsid w:val="00767CAA"/>
    <w:rsid w:val="00771D8A"/>
    <w:rsid w:val="007725E1"/>
    <w:rsid w:val="00773ACB"/>
    <w:rsid w:val="007747BF"/>
    <w:rsid w:val="0078239B"/>
    <w:rsid w:val="007844E0"/>
    <w:rsid w:val="00786285"/>
    <w:rsid w:val="00793CC0"/>
    <w:rsid w:val="0079441A"/>
    <w:rsid w:val="007A00D6"/>
    <w:rsid w:val="007A216B"/>
    <w:rsid w:val="007A30E0"/>
    <w:rsid w:val="007A36E7"/>
    <w:rsid w:val="007A3CAD"/>
    <w:rsid w:val="007A4B01"/>
    <w:rsid w:val="007A6579"/>
    <w:rsid w:val="007B0748"/>
    <w:rsid w:val="007B453E"/>
    <w:rsid w:val="007B5DDA"/>
    <w:rsid w:val="007B7F5A"/>
    <w:rsid w:val="007C00CF"/>
    <w:rsid w:val="007C1B37"/>
    <w:rsid w:val="007C1C40"/>
    <w:rsid w:val="007C4B9A"/>
    <w:rsid w:val="007D0E26"/>
    <w:rsid w:val="007D3B25"/>
    <w:rsid w:val="007D44B0"/>
    <w:rsid w:val="007D5C90"/>
    <w:rsid w:val="007D66CD"/>
    <w:rsid w:val="007D7C39"/>
    <w:rsid w:val="007E08FA"/>
    <w:rsid w:val="007E0913"/>
    <w:rsid w:val="007E10CC"/>
    <w:rsid w:val="007E25F6"/>
    <w:rsid w:val="007E3107"/>
    <w:rsid w:val="007E741B"/>
    <w:rsid w:val="007F0B0D"/>
    <w:rsid w:val="007F1163"/>
    <w:rsid w:val="007F1FFE"/>
    <w:rsid w:val="007F247B"/>
    <w:rsid w:val="007F2518"/>
    <w:rsid w:val="007F31FA"/>
    <w:rsid w:val="007F756B"/>
    <w:rsid w:val="008028E6"/>
    <w:rsid w:val="00806B69"/>
    <w:rsid w:val="00806D0D"/>
    <w:rsid w:val="00806FE0"/>
    <w:rsid w:val="00807EC5"/>
    <w:rsid w:val="0080E93B"/>
    <w:rsid w:val="00811F94"/>
    <w:rsid w:val="008126D1"/>
    <w:rsid w:val="00812767"/>
    <w:rsid w:val="00813B01"/>
    <w:rsid w:val="008159E8"/>
    <w:rsid w:val="008204E6"/>
    <w:rsid w:val="008225DD"/>
    <w:rsid w:val="0082482C"/>
    <w:rsid w:val="00825FA1"/>
    <w:rsid w:val="0083044A"/>
    <w:rsid w:val="00830E49"/>
    <w:rsid w:val="00832571"/>
    <w:rsid w:val="00832F84"/>
    <w:rsid w:val="008342AF"/>
    <w:rsid w:val="00834D73"/>
    <w:rsid w:val="00835D8F"/>
    <w:rsid w:val="00836373"/>
    <w:rsid w:val="008411FF"/>
    <w:rsid w:val="00842382"/>
    <w:rsid w:val="00844906"/>
    <w:rsid w:val="008478C4"/>
    <w:rsid w:val="0085469B"/>
    <w:rsid w:val="00855024"/>
    <w:rsid w:val="00857E18"/>
    <w:rsid w:val="00862545"/>
    <w:rsid w:val="00863777"/>
    <w:rsid w:val="008649C5"/>
    <w:rsid w:val="00864A9E"/>
    <w:rsid w:val="00867987"/>
    <w:rsid w:val="00867AC0"/>
    <w:rsid w:val="00867F05"/>
    <w:rsid w:val="0087365D"/>
    <w:rsid w:val="00874225"/>
    <w:rsid w:val="00874AEF"/>
    <w:rsid w:val="00876407"/>
    <w:rsid w:val="00877365"/>
    <w:rsid w:val="00880334"/>
    <w:rsid w:val="0088167B"/>
    <w:rsid w:val="00882567"/>
    <w:rsid w:val="00882D2F"/>
    <w:rsid w:val="008834A3"/>
    <w:rsid w:val="0088355F"/>
    <w:rsid w:val="008855F2"/>
    <w:rsid w:val="00886225"/>
    <w:rsid w:val="008865BE"/>
    <w:rsid w:val="00886BBE"/>
    <w:rsid w:val="00886C59"/>
    <w:rsid w:val="00887690"/>
    <w:rsid w:val="00890DE1"/>
    <w:rsid w:val="008923D4"/>
    <w:rsid w:val="00893578"/>
    <w:rsid w:val="00895FDB"/>
    <w:rsid w:val="00896696"/>
    <w:rsid w:val="008A103C"/>
    <w:rsid w:val="008A12B1"/>
    <w:rsid w:val="008A2255"/>
    <w:rsid w:val="008B0316"/>
    <w:rsid w:val="008B529E"/>
    <w:rsid w:val="008B6142"/>
    <w:rsid w:val="008C3651"/>
    <w:rsid w:val="008C4439"/>
    <w:rsid w:val="008C585F"/>
    <w:rsid w:val="008C69F8"/>
    <w:rsid w:val="008C72D7"/>
    <w:rsid w:val="008C7428"/>
    <w:rsid w:val="008D6266"/>
    <w:rsid w:val="008E1516"/>
    <w:rsid w:val="008E4D44"/>
    <w:rsid w:val="008E52A6"/>
    <w:rsid w:val="008E5927"/>
    <w:rsid w:val="008F20F1"/>
    <w:rsid w:val="008F4008"/>
    <w:rsid w:val="008F5211"/>
    <w:rsid w:val="008F7304"/>
    <w:rsid w:val="008F7620"/>
    <w:rsid w:val="009001E3"/>
    <w:rsid w:val="00900CC5"/>
    <w:rsid w:val="009011A5"/>
    <w:rsid w:val="00902DB0"/>
    <w:rsid w:val="00903EDE"/>
    <w:rsid w:val="00905899"/>
    <w:rsid w:val="009063AD"/>
    <w:rsid w:val="00910CC6"/>
    <w:rsid w:val="009169AD"/>
    <w:rsid w:val="00921DA8"/>
    <w:rsid w:val="0092506D"/>
    <w:rsid w:val="00930FC3"/>
    <w:rsid w:val="009311F3"/>
    <w:rsid w:val="00931C63"/>
    <w:rsid w:val="00932AFD"/>
    <w:rsid w:val="0093398D"/>
    <w:rsid w:val="00936091"/>
    <w:rsid w:val="00937F58"/>
    <w:rsid w:val="009435E4"/>
    <w:rsid w:val="00946B31"/>
    <w:rsid w:val="00950265"/>
    <w:rsid w:val="00951F57"/>
    <w:rsid w:val="009542FC"/>
    <w:rsid w:val="00955913"/>
    <w:rsid w:val="00960083"/>
    <w:rsid w:val="00961091"/>
    <w:rsid w:val="00961BB8"/>
    <w:rsid w:val="00966C3F"/>
    <w:rsid w:val="00977622"/>
    <w:rsid w:val="009803AF"/>
    <w:rsid w:val="0098169A"/>
    <w:rsid w:val="00982AF0"/>
    <w:rsid w:val="009864B3"/>
    <w:rsid w:val="009922C1"/>
    <w:rsid w:val="00992E01"/>
    <w:rsid w:val="00992F89"/>
    <w:rsid w:val="00993101"/>
    <w:rsid w:val="009937C1"/>
    <w:rsid w:val="00995D2B"/>
    <w:rsid w:val="00996C6D"/>
    <w:rsid w:val="009A1A7C"/>
    <w:rsid w:val="009A1C7F"/>
    <w:rsid w:val="009A317C"/>
    <w:rsid w:val="009A7CC1"/>
    <w:rsid w:val="009B1D6D"/>
    <w:rsid w:val="009B2E12"/>
    <w:rsid w:val="009B3604"/>
    <w:rsid w:val="009B4162"/>
    <w:rsid w:val="009B4202"/>
    <w:rsid w:val="009B6B23"/>
    <w:rsid w:val="009C3F51"/>
    <w:rsid w:val="009C48C9"/>
    <w:rsid w:val="009C7C86"/>
    <w:rsid w:val="009D1BF3"/>
    <w:rsid w:val="009D1EEA"/>
    <w:rsid w:val="009D2B6C"/>
    <w:rsid w:val="009D3386"/>
    <w:rsid w:val="009D3C5B"/>
    <w:rsid w:val="009D3C66"/>
    <w:rsid w:val="009D3D60"/>
    <w:rsid w:val="009D62CE"/>
    <w:rsid w:val="009D6369"/>
    <w:rsid w:val="009E7565"/>
    <w:rsid w:val="009F0487"/>
    <w:rsid w:val="009F2AD0"/>
    <w:rsid w:val="009F43A3"/>
    <w:rsid w:val="009F4ED0"/>
    <w:rsid w:val="009F4EE6"/>
    <w:rsid w:val="009F5BD8"/>
    <w:rsid w:val="009F69A3"/>
    <w:rsid w:val="00A012AB"/>
    <w:rsid w:val="00A03C49"/>
    <w:rsid w:val="00A060E3"/>
    <w:rsid w:val="00A11D01"/>
    <w:rsid w:val="00A11EA8"/>
    <w:rsid w:val="00A12C66"/>
    <w:rsid w:val="00A141CA"/>
    <w:rsid w:val="00A159E2"/>
    <w:rsid w:val="00A20C46"/>
    <w:rsid w:val="00A21548"/>
    <w:rsid w:val="00A21E6F"/>
    <w:rsid w:val="00A22FD5"/>
    <w:rsid w:val="00A23424"/>
    <w:rsid w:val="00A265E8"/>
    <w:rsid w:val="00A34257"/>
    <w:rsid w:val="00A3544A"/>
    <w:rsid w:val="00A37195"/>
    <w:rsid w:val="00A37631"/>
    <w:rsid w:val="00A4098F"/>
    <w:rsid w:val="00A42184"/>
    <w:rsid w:val="00A435BE"/>
    <w:rsid w:val="00A4477F"/>
    <w:rsid w:val="00A45D4A"/>
    <w:rsid w:val="00A4646C"/>
    <w:rsid w:val="00A467DA"/>
    <w:rsid w:val="00A5195B"/>
    <w:rsid w:val="00A51C33"/>
    <w:rsid w:val="00A5355C"/>
    <w:rsid w:val="00A55E26"/>
    <w:rsid w:val="00A60C8F"/>
    <w:rsid w:val="00A611F3"/>
    <w:rsid w:val="00A6202E"/>
    <w:rsid w:val="00A6353F"/>
    <w:rsid w:val="00A63A17"/>
    <w:rsid w:val="00A6402D"/>
    <w:rsid w:val="00A64794"/>
    <w:rsid w:val="00A66B87"/>
    <w:rsid w:val="00A70366"/>
    <w:rsid w:val="00A70D8C"/>
    <w:rsid w:val="00A74063"/>
    <w:rsid w:val="00A76CD3"/>
    <w:rsid w:val="00A77004"/>
    <w:rsid w:val="00A8093F"/>
    <w:rsid w:val="00A8297D"/>
    <w:rsid w:val="00A838DA"/>
    <w:rsid w:val="00A840BB"/>
    <w:rsid w:val="00A92637"/>
    <w:rsid w:val="00AA0935"/>
    <w:rsid w:val="00AA11B6"/>
    <w:rsid w:val="00AA5324"/>
    <w:rsid w:val="00AA6830"/>
    <w:rsid w:val="00AA6CAB"/>
    <w:rsid w:val="00AA7E9C"/>
    <w:rsid w:val="00AB095F"/>
    <w:rsid w:val="00AB401F"/>
    <w:rsid w:val="00AB5A28"/>
    <w:rsid w:val="00AB5E0B"/>
    <w:rsid w:val="00AC41D5"/>
    <w:rsid w:val="00AC4B99"/>
    <w:rsid w:val="00AC5D76"/>
    <w:rsid w:val="00AC75DA"/>
    <w:rsid w:val="00AD0679"/>
    <w:rsid w:val="00AD1F8D"/>
    <w:rsid w:val="00AD269B"/>
    <w:rsid w:val="00AD2904"/>
    <w:rsid w:val="00AD4066"/>
    <w:rsid w:val="00AD4597"/>
    <w:rsid w:val="00AD4B86"/>
    <w:rsid w:val="00AE524C"/>
    <w:rsid w:val="00AE7582"/>
    <w:rsid w:val="00AE773A"/>
    <w:rsid w:val="00AE7EF7"/>
    <w:rsid w:val="00AF11AF"/>
    <w:rsid w:val="00AF270F"/>
    <w:rsid w:val="00AF2A70"/>
    <w:rsid w:val="00AF40F8"/>
    <w:rsid w:val="00B00405"/>
    <w:rsid w:val="00B04A16"/>
    <w:rsid w:val="00B05889"/>
    <w:rsid w:val="00B11A4F"/>
    <w:rsid w:val="00B2008A"/>
    <w:rsid w:val="00B204BA"/>
    <w:rsid w:val="00B21040"/>
    <w:rsid w:val="00B234B2"/>
    <w:rsid w:val="00B301B2"/>
    <w:rsid w:val="00B3350D"/>
    <w:rsid w:val="00B3519D"/>
    <w:rsid w:val="00B35CE5"/>
    <w:rsid w:val="00B37DBB"/>
    <w:rsid w:val="00B40E32"/>
    <w:rsid w:val="00B42F26"/>
    <w:rsid w:val="00B4376D"/>
    <w:rsid w:val="00B47FB5"/>
    <w:rsid w:val="00B50102"/>
    <w:rsid w:val="00B50304"/>
    <w:rsid w:val="00B52693"/>
    <w:rsid w:val="00B531F9"/>
    <w:rsid w:val="00B54C3B"/>
    <w:rsid w:val="00B56C1D"/>
    <w:rsid w:val="00B57531"/>
    <w:rsid w:val="00B64748"/>
    <w:rsid w:val="00B678DF"/>
    <w:rsid w:val="00B70F3C"/>
    <w:rsid w:val="00B721EA"/>
    <w:rsid w:val="00B72BD4"/>
    <w:rsid w:val="00B756F3"/>
    <w:rsid w:val="00B76F0B"/>
    <w:rsid w:val="00B81E48"/>
    <w:rsid w:val="00B93FA2"/>
    <w:rsid w:val="00B946DE"/>
    <w:rsid w:val="00B94970"/>
    <w:rsid w:val="00B96FB5"/>
    <w:rsid w:val="00B97C69"/>
    <w:rsid w:val="00BA09D9"/>
    <w:rsid w:val="00BA1016"/>
    <w:rsid w:val="00BB0CC2"/>
    <w:rsid w:val="00BB0EE1"/>
    <w:rsid w:val="00BB3844"/>
    <w:rsid w:val="00BB7766"/>
    <w:rsid w:val="00BB7F28"/>
    <w:rsid w:val="00BB7F6A"/>
    <w:rsid w:val="00BC144D"/>
    <w:rsid w:val="00BC1A68"/>
    <w:rsid w:val="00BC1B9E"/>
    <w:rsid w:val="00BC4A5A"/>
    <w:rsid w:val="00BC5C5B"/>
    <w:rsid w:val="00BC5D51"/>
    <w:rsid w:val="00BC60B7"/>
    <w:rsid w:val="00BC71A6"/>
    <w:rsid w:val="00BD1E3A"/>
    <w:rsid w:val="00BD2E99"/>
    <w:rsid w:val="00BD2F65"/>
    <w:rsid w:val="00BD4EB2"/>
    <w:rsid w:val="00BD7074"/>
    <w:rsid w:val="00BE0193"/>
    <w:rsid w:val="00BE1D6A"/>
    <w:rsid w:val="00BE27C5"/>
    <w:rsid w:val="00BE3ACE"/>
    <w:rsid w:val="00BE3BF9"/>
    <w:rsid w:val="00BE595C"/>
    <w:rsid w:val="00BE68C7"/>
    <w:rsid w:val="00BE6AD2"/>
    <w:rsid w:val="00BE7094"/>
    <w:rsid w:val="00BE731C"/>
    <w:rsid w:val="00BF2072"/>
    <w:rsid w:val="00BF2A7C"/>
    <w:rsid w:val="00BF2B69"/>
    <w:rsid w:val="00BF4356"/>
    <w:rsid w:val="00BF4974"/>
    <w:rsid w:val="00BF5410"/>
    <w:rsid w:val="00BF5490"/>
    <w:rsid w:val="00BF5D19"/>
    <w:rsid w:val="00C00BA4"/>
    <w:rsid w:val="00C01507"/>
    <w:rsid w:val="00C01A4A"/>
    <w:rsid w:val="00C05991"/>
    <w:rsid w:val="00C1091C"/>
    <w:rsid w:val="00C11B03"/>
    <w:rsid w:val="00C13A9B"/>
    <w:rsid w:val="00C20C46"/>
    <w:rsid w:val="00C21869"/>
    <w:rsid w:val="00C22C28"/>
    <w:rsid w:val="00C338B2"/>
    <w:rsid w:val="00C37096"/>
    <w:rsid w:val="00C37709"/>
    <w:rsid w:val="00C377AB"/>
    <w:rsid w:val="00C37967"/>
    <w:rsid w:val="00C40096"/>
    <w:rsid w:val="00C4036D"/>
    <w:rsid w:val="00C40886"/>
    <w:rsid w:val="00C41F3D"/>
    <w:rsid w:val="00C42C36"/>
    <w:rsid w:val="00C438E7"/>
    <w:rsid w:val="00C449EC"/>
    <w:rsid w:val="00C473C0"/>
    <w:rsid w:val="00C47B21"/>
    <w:rsid w:val="00C50A27"/>
    <w:rsid w:val="00C52EC8"/>
    <w:rsid w:val="00C530DE"/>
    <w:rsid w:val="00C542E0"/>
    <w:rsid w:val="00C60E42"/>
    <w:rsid w:val="00C62B8E"/>
    <w:rsid w:val="00C6389B"/>
    <w:rsid w:val="00C63CC8"/>
    <w:rsid w:val="00C6579E"/>
    <w:rsid w:val="00C6776A"/>
    <w:rsid w:val="00C753B5"/>
    <w:rsid w:val="00C75448"/>
    <w:rsid w:val="00C768BC"/>
    <w:rsid w:val="00C77635"/>
    <w:rsid w:val="00C77ADC"/>
    <w:rsid w:val="00C818A3"/>
    <w:rsid w:val="00C821EC"/>
    <w:rsid w:val="00C83018"/>
    <w:rsid w:val="00C84827"/>
    <w:rsid w:val="00C85C0F"/>
    <w:rsid w:val="00C901B1"/>
    <w:rsid w:val="00C915DE"/>
    <w:rsid w:val="00C92652"/>
    <w:rsid w:val="00C945DC"/>
    <w:rsid w:val="00C9773D"/>
    <w:rsid w:val="00C97D5B"/>
    <w:rsid w:val="00CA0FBE"/>
    <w:rsid w:val="00CA2487"/>
    <w:rsid w:val="00CA2545"/>
    <w:rsid w:val="00CA3210"/>
    <w:rsid w:val="00CA5B14"/>
    <w:rsid w:val="00CB09F2"/>
    <w:rsid w:val="00CB3F4F"/>
    <w:rsid w:val="00CB4E2E"/>
    <w:rsid w:val="00CC05B7"/>
    <w:rsid w:val="00CC0818"/>
    <w:rsid w:val="00CC6345"/>
    <w:rsid w:val="00CD3E59"/>
    <w:rsid w:val="00CD4392"/>
    <w:rsid w:val="00CD4E80"/>
    <w:rsid w:val="00CD6720"/>
    <w:rsid w:val="00CD6DEB"/>
    <w:rsid w:val="00CE02CB"/>
    <w:rsid w:val="00CE69CB"/>
    <w:rsid w:val="00CE7122"/>
    <w:rsid w:val="00CE7DB9"/>
    <w:rsid w:val="00CE7DC1"/>
    <w:rsid w:val="00CF0D13"/>
    <w:rsid w:val="00CF2FA1"/>
    <w:rsid w:val="00CF5CC4"/>
    <w:rsid w:val="00CF6B9D"/>
    <w:rsid w:val="00CF7C11"/>
    <w:rsid w:val="00D00D4F"/>
    <w:rsid w:val="00D01E47"/>
    <w:rsid w:val="00D0200B"/>
    <w:rsid w:val="00D04A4A"/>
    <w:rsid w:val="00D068D4"/>
    <w:rsid w:val="00D126A4"/>
    <w:rsid w:val="00D16ABA"/>
    <w:rsid w:val="00D17E87"/>
    <w:rsid w:val="00D21956"/>
    <w:rsid w:val="00D22E89"/>
    <w:rsid w:val="00D25B6B"/>
    <w:rsid w:val="00D26500"/>
    <w:rsid w:val="00D30252"/>
    <w:rsid w:val="00D304F8"/>
    <w:rsid w:val="00D325CF"/>
    <w:rsid w:val="00D34EDC"/>
    <w:rsid w:val="00D35973"/>
    <w:rsid w:val="00D375C6"/>
    <w:rsid w:val="00D40DAD"/>
    <w:rsid w:val="00D40FE7"/>
    <w:rsid w:val="00D47641"/>
    <w:rsid w:val="00D47F41"/>
    <w:rsid w:val="00D51671"/>
    <w:rsid w:val="00D53780"/>
    <w:rsid w:val="00D5455F"/>
    <w:rsid w:val="00D54C84"/>
    <w:rsid w:val="00D554CB"/>
    <w:rsid w:val="00D57C86"/>
    <w:rsid w:val="00D60A94"/>
    <w:rsid w:val="00D61484"/>
    <w:rsid w:val="00D6183D"/>
    <w:rsid w:val="00D62E28"/>
    <w:rsid w:val="00D634CA"/>
    <w:rsid w:val="00D6399E"/>
    <w:rsid w:val="00D64660"/>
    <w:rsid w:val="00D654D0"/>
    <w:rsid w:val="00D66653"/>
    <w:rsid w:val="00D7073B"/>
    <w:rsid w:val="00D709A9"/>
    <w:rsid w:val="00D75627"/>
    <w:rsid w:val="00D846C2"/>
    <w:rsid w:val="00D87F93"/>
    <w:rsid w:val="00D95500"/>
    <w:rsid w:val="00D97151"/>
    <w:rsid w:val="00D972EB"/>
    <w:rsid w:val="00DA1569"/>
    <w:rsid w:val="00DA2409"/>
    <w:rsid w:val="00DA53C2"/>
    <w:rsid w:val="00DA6B13"/>
    <w:rsid w:val="00DA7F7E"/>
    <w:rsid w:val="00DB0003"/>
    <w:rsid w:val="00DB221A"/>
    <w:rsid w:val="00DB243B"/>
    <w:rsid w:val="00DB2710"/>
    <w:rsid w:val="00DB2894"/>
    <w:rsid w:val="00DB4150"/>
    <w:rsid w:val="00DB510D"/>
    <w:rsid w:val="00DB563D"/>
    <w:rsid w:val="00DC07A8"/>
    <w:rsid w:val="00DC0FEA"/>
    <w:rsid w:val="00DC2151"/>
    <w:rsid w:val="00DC7417"/>
    <w:rsid w:val="00DD12E4"/>
    <w:rsid w:val="00DD3CE4"/>
    <w:rsid w:val="00DD56C3"/>
    <w:rsid w:val="00DD6428"/>
    <w:rsid w:val="00DD78A2"/>
    <w:rsid w:val="00DE064B"/>
    <w:rsid w:val="00DE23D8"/>
    <w:rsid w:val="00DE3DD6"/>
    <w:rsid w:val="00DE4C3E"/>
    <w:rsid w:val="00DE624E"/>
    <w:rsid w:val="00DF459F"/>
    <w:rsid w:val="00E02D07"/>
    <w:rsid w:val="00E079C3"/>
    <w:rsid w:val="00E07BE9"/>
    <w:rsid w:val="00E10010"/>
    <w:rsid w:val="00E104A5"/>
    <w:rsid w:val="00E126FB"/>
    <w:rsid w:val="00E12F78"/>
    <w:rsid w:val="00E15887"/>
    <w:rsid w:val="00E163A9"/>
    <w:rsid w:val="00E200A0"/>
    <w:rsid w:val="00E214C6"/>
    <w:rsid w:val="00E2193D"/>
    <w:rsid w:val="00E2405F"/>
    <w:rsid w:val="00E27723"/>
    <w:rsid w:val="00E30E97"/>
    <w:rsid w:val="00E33511"/>
    <w:rsid w:val="00E34EB4"/>
    <w:rsid w:val="00E37E45"/>
    <w:rsid w:val="00E42A2F"/>
    <w:rsid w:val="00E430E1"/>
    <w:rsid w:val="00E453E7"/>
    <w:rsid w:val="00E45CF7"/>
    <w:rsid w:val="00E475D1"/>
    <w:rsid w:val="00E47CA9"/>
    <w:rsid w:val="00E529DA"/>
    <w:rsid w:val="00E57CC3"/>
    <w:rsid w:val="00E61277"/>
    <w:rsid w:val="00E61EAC"/>
    <w:rsid w:val="00E63582"/>
    <w:rsid w:val="00E65F8C"/>
    <w:rsid w:val="00E70378"/>
    <w:rsid w:val="00E71721"/>
    <w:rsid w:val="00E74F57"/>
    <w:rsid w:val="00E75977"/>
    <w:rsid w:val="00E77FA3"/>
    <w:rsid w:val="00E83C31"/>
    <w:rsid w:val="00E85FBA"/>
    <w:rsid w:val="00E86284"/>
    <w:rsid w:val="00E9605A"/>
    <w:rsid w:val="00EA0F18"/>
    <w:rsid w:val="00EA1E1B"/>
    <w:rsid w:val="00EA1E4C"/>
    <w:rsid w:val="00EA470D"/>
    <w:rsid w:val="00EA66E3"/>
    <w:rsid w:val="00EB04E4"/>
    <w:rsid w:val="00EB06B4"/>
    <w:rsid w:val="00EB2204"/>
    <w:rsid w:val="00EB366C"/>
    <w:rsid w:val="00EB55BC"/>
    <w:rsid w:val="00EB58E9"/>
    <w:rsid w:val="00EB6298"/>
    <w:rsid w:val="00EC19D4"/>
    <w:rsid w:val="00EC1B8B"/>
    <w:rsid w:val="00EC34CB"/>
    <w:rsid w:val="00EC376A"/>
    <w:rsid w:val="00EC41D7"/>
    <w:rsid w:val="00EC4A0A"/>
    <w:rsid w:val="00EC504D"/>
    <w:rsid w:val="00EC6774"/>
    <w:rsid w:val="00EC7E61"/>
    <w:rsid w:val="00ED0731"/>
    <w:rsid w:val="00ED0970"/>
    <w:rsid w:val="00EE38BC"/>
    <w:rsid w:val="00EE5833"/>
    <w:rsid w:val="00EE7768"/>
    <w:rsid w:val="00EF2037"/>
    <w:rsid w:val="00EF2560"/>
    <w:rsid w:val="00EF2C28"/>
    <w:rsid w:val="00EF4C8D"/>
    <w:rsid w:val="00EF6049"/>
    <w:rsid w:val="00EF64C6"/>
    <w:rsid w:val="00EF71D1"/>
    <w:rsid w:val="00F00E44"/>
    <w:rsid w:val="00F01E67"/>
    <w:rsid w:val="00F04008"/>
    <w:rsid w:val="00F06617"/>
    <w:rsid w:val="00F1051A"/>
    <w:rsid w:val="00F10684"/>
    <w:rsid w:val="00F10DE1"/>
    <w:rsid w:val="00F113E6"/>
    <w:rsid w:val="00F123A9"/>
    <w:rsid w:val="00F12DE2"/>
    <w:rsid w:val="00F13E70"/>
    <w:rsid w:val="00F143BB"/>
    <w:rsid w:val="00F20082"/>
    <w:rsid w:val="00F2064A"/>
    <w:rsid w:val="00F212A0"/>
    <w:rsid w:val="00F24B7D"/>
    <w:rsid w:val="00F24C2E"/>
    <w:rsid w:val="00F2571A"/>
    <w:rsid w:val="00F26832"/>
    <w:rsid w:val="00F34824"/>
    <w:rsid w:val="00F34BCC"/>
    <w:rsid w:val="00F35223"/>
    <w:rsid w:val="00F35A2E"/>
    <w:rsid w:val="00F36495"/>
    <w:rsid w:val="00F371D4"/>
    <w:rsid w:val="00F37BCD"/>
    <w:rsid w:val="00F41036"/>
    <w:rsid w:val="00F4647D"/>
    <w:rsid w:val="00F47468"/>
    <w:rsid w:val="00F52174"/>
    <w:rsid w:val="00F539FB"/>
    <w:rsid w:val="00F54321"/>
    <w:rsid w:val="00F5434A"/>
    <w:rsid w:val="00F54E50"/>
    <w:rsid w:val="00F55615"/>
    <w:rsid w:val="00F6037D"/>
    <w:rsid w:val="00F63E77"/>
    <w:rsid w:val="00F64906"/>
    <w:rsid w:val="00F653C8"/>
    <w:rsid w:val="00F65D00"/>
    <w:rsid w:val="00F65FB7"/>
    <w:rsid w:val="00F66548"/>
    <w:rsid w:val="00F66841"/>
    <w:rsid w:val="00F725FC"/>
    <w:rsid w:val="00F8287A"/>
    <w:rsid w:val="00F84B0D"/>
    <w:rsid w:val="00F8612E"/>
    <w:rsid w:val="00F8756F"/>
    <w:rsid w:val="00F9431E"/>
    <w:rsid w:val="00F97A3F"/>
    <w:rsid w:val="00FA05AF"/>
    <w:rsid w:val="00FA0FB1"/>
    <w:rsid w:val="00FA2FEC"/>
    <w:rsid w:val="00FB019F"/>
    <w:rsid w:val="00FB02CA"/>
    <w:rsid w:val="00FB199F"/>
    <w:rsid w:val="00FB1B01"/>
    <w:rsid w:val="00FB4F8D"/>
    <w:rsid w:val="00FC216E"/>
    <w:rsid w:val="00FC404A"/>
    <w:rsid w:val="00FC40C9"/>
    <w:rsid w:val="00FC51ED"/>
    <w:rsid w:val="00FC522A"/>
    <w:rsid w:val="00FD3546"/>
    <w:rsid w:val="00FD6394"/>
    <w:rsid w:val="00FE201E"/>
    <w:rsid w:val="00FE2A3D"/>
    <w:rsid w:val="00FE37D5"/>
    <w:rsid w:val="00FE3FD3"/>
    <w:rsid w:val="00FE5564"/>
    <w:rsid w:val="00FF2292"/>
    <w:rsid w:val="00FF31C9"/>
    <w:rsid w:val="00FF4C2D"/>
    <w:rsid w:val="00FF6879"/>
    <w:rsid w:val="00FF7EC8"/>
    <w:rsid w:val="012ACF62"/>
    <w:rsid w:val="012B5673"/>
    <w:rsid w:val="019EE966"/>
    <w:rsid w:val="01C1D9DA"/>
    <w:rsid w:val="01DFD64D"/>
    <w:rsid w:val="01E00823"/>
    <w:rsid w:val="02040AA3"/>
    <w:rsid w:val="020A0CB0"/>
    <w:rsid w:val="020C0464"/>
    <w:rsid w:val="023231D3"/>
    <w:rsid w:val="02484382"/>
    <w:rsid w:val="02746357"/>
    <w:rsid w:val="029C2B63"/>
    <w:rsid w:val="02AEFAB6"/>
    <w:rsid w:val="02B1ED4D"/>
    <w:rsid w:val="037BD884"/>
    <w:rsid w:val="03947401"/>
    <w:rsid w:val="03C1B6A5"/>
    <w:rsid w:val="03C5E527"/>
    <w:rsid w:val="03CAAFDE"/>
    <w:rsid w:val="03EC8532"/>
    <w:rsid w:val="04315D96"/>
    <w:rsid w:val="0436DBF5"/>
    <w:rsid w:val="0467DE7D"/>
    <w:rsid w:val="04C6BE26"/>
    <w:rsid w:val="04D5E799"/>
    <w:rsid w:val="04E511C8"/>
    <w:rsid w:val="04EA3443"/>
    <w:rsid w:val="04F53677"/>
    <w:rsid w:val="0516BAAD"/>
    <w:rsid w:val="0517A8E5"/>
    <w:rsid w:val="0528E3A8"/>
    <w:rsid w:val="055FD43B"/>
    <w:rsid w:val="05CD6CF2"/>
    <w:rsid w:val="05DD1A14"/>
    <w:rsid w:val="06519F14"/>
    <w:rsid w:val="0656CB62"/>
    <w:rsid w:val="066639D9"/>
    <w:rsid w:val="06B90F3E"/>
    <w:rsid w:val="06CEE16A"/>
    <w:rsid w:val="07028C48"/>
    <w:rsid w:val="071BB4A5"/>
    <w:rsid w:val="071F0E3E"/>
    <w:rsid w:val="078F74C2"/>
    <w:rsid w:val="0793CF39"/>
    <w:rsid w:val="07A5BECA"/>
    <w:rsid w:val="0800B5ED"/>
    <w:rsid w:val="0837572A"/>
    <w:rsid w:val="08719E0C"/>
    <w:rsid w:val="089E5CA9"/>
    <w:rsid w:val="08D8DEE5"/>
    <w:rsid w:val="092B3E31"/>
    <w:rsid w:val="0956A2A7"/>
    <w:rsid w:val="0983929D"/>
    <w:rsid w:val="09A3C5C4"/>
    <w:rsid w:val="09B901CC"/>
    <w:rsid w:val="09EB0332"/>
    <w:rsid w:val="09F90559"/>
    <w:rsid w:val="09FECC23"/>
    <w:rsid w:val="0A8EAA46"/>
    <w:rsid w:val="0AADC908"/>
    <w:rsid w:val="0AF91EEF"/>
    <w:rsid w:val="0B132633"/>
    <w:rsid w:val="0B139423"/>
    <w:rsid w:val="0B18F7FC"/>
    <w:rsid w:val="0B2009B8"/>
    <w:rsid w:val="0B3CA0B4"/>
    <w:rsid w:val="0B9DDBF0"/>
    <w:rsid w:val="0BA36460"/>
    <w:rsid w:val="0BB1E3CA"/>
    <w:rsid w:val="0BB45BD5"/>
    <w:rsid w:val="0BB7ADF5"/>
    <w:rsid w:val="0BD47E60"/>
    <w:rsid w:val="0C2A7A56"/>
    <w:rsid w:val="0CA48A4B"/>
    <w:rsid w:val="0CDACF0E"/>
    <w:rsid w:val="0CF3F88E"/>
    <w:rsid w:val="0D05CC5E"/>
    <w:rsid w:val="0D1EFBB4"/>
    <w:rsid w:val="0D51D370"/>
    <w:rsid w:val="0D5D2059"/>
    <w:rsid w:val="0D7B5B4D"/>
    <w:rsid w:val="0D94F952"/>
    <w:rsid w:val="0DAF3204"/>
    <w:rsid w:val="0E1C0CF3"/>
    <w:rsid w:val="0E3386AE"/>
    <w:rsid w:val="0E84514C"/>
    <w:rsid w:val="0E9E89C6"/>
    <w:rsid w:val="0ECAD70A"/>
    <w:rsid w:val="0EDE85BE"/>
    <w:rsid w:val="0EE2CE74"/>
    <w:rsid w:val="0F23E2E4"/>
    <w:rsid w:val="0F36E0B9"/>
    <w:rsid w:val="0F83431A"/>
    <w:rsid w:val="0F8F817B"/>
    <w:rsid w:val="0FD2C5C9"/>
    <w:rsid w:val="100FB1E5"/>
    <w:rsid w:val="101E785B"/>
    <w:rsid w:val="102168E7"/>
    <w:rsid w:val="1031167E"/>
    <w:rsid w:val="10332F5A"/>
    <w:rsid w:val="105441A5"/>
    <w:rsid w:val="1080425F"/>
    <w:rsid w:val="109CC71B"/>
    <w:rsid w:val="10AA7468"/>
    <w:rsid w:val="10C90B06"/>
    <w:rsid w:val="10D5EA67"/>
    <w:rsid w:val="10E5B458"/>
    <w:rsid w:val="110329C7"/>
    <w:rsid w:val="114C2764"/>
    <w:rsid w:val="1182D5A7"/>
    <w:rsid w:val="11A22CDB"/>
    <w:rsid w:val="11C1AEF5"/>
    <w:rsid w:val="11CCDDA7"/>
    <w:rsid w:val="11CDE6A3"/>
    <w:rsid w:val="11E5F160"/>
    <w:rsid w:val="11E88884"/>
    <w:rsid w:val="11FCF001"/>
    <w:rsid w:val="1296C79F"/>
    <w:rsid w:val="12A54BBE"/>
    <w:rsid w:val="12C02464"/>
    <w:rsid w:val="130A848C"/>
    <w:rsid w:val="133FD929"/>
    <w:rsid w:val="1344B0C3"/>
    <w:rsid w:val="13450EEF"/>
    <w:rsid w:val="136442FC"/>
    <w:rsid w:val="136E038A"/>
    <w:rsid w:val="1380DF2F"/>
    <w:rsid w:val="13A280B7"/>
    <w:rsid w:val="13AA0053"/>
    <w:rsid w:val="13D21203"/>
    <w:rsid w:val="13F1D224"/>
    <w:rsid w:val="142EC8F0"/>
    <w:rsid w:val="143191E1"/>
    <w:rsid w:val="1436CD86"/>
    <w:rsid w:val="14597E3C"/>
    <w:rsid w:val="14658B47"/>
    <w:rsid w:val="14E3DEF4"/>
    <w:rsid w:val="155FFB25"/>
    <w:rsid w:val="157DE58B"/>
    <w:rsid w:val="15C1564C"/>
    <w:rsid w:val="15F60EC6"/>
    <w:rsid w:val="16079F5F"/>
    <w:rsid w:val="161318A6"/>
    <w:rsid w:val="1637695D"/>
    <w:rsid w:val="167A40E8"/>
    <w:rsid w:val="16E5D3B5"/>
    <w:rsid w:val="16EA2613"/>
    <w:rsid w:val="1720BEA4"/>
    <w:rsid w:val="1755A138"/>
    <w:rsid w:val="17C3638B"/>
    <w:rsid w:val="17D0C8B4"/>
    <w:rsid w:val="17DA90DC"/>
    <w:rsid w:val="1823C7C2"/>
    <w:rsid w:val="188D0F5D"/>
    <w:rsid w:val="18B719C4"/>
    <w:rsid w:val="18F57F03"/>
    <w:rsid w:val="193DC4A1"/>
    <w:rsid w:val="193F4021"/>
    <w:rsid w:val="194694C7"/>
    <w:rsid w:val="197D27F9"/>
    <w:rsid w:val="19830648"/>
    <w:rsid w:val="199AC9EA"/>
    <w:rsid w:val="19B35D1E"/>
    <w:rsid w:val="19FA59AD"/>
    <w:rsid w:val="1A2F5C39"/>
    <w:rsid w:val="1A62C456"/>
    <w:rsid w:val="1A6F2C58"/>
    <w:rsid w:val="1A81AA7F"/>
    <w:rsid w:val="1A993D7D"/>
    <w:rsid w:val="1AAF95E8"/>
    <w:rsid w:val="1AD6CCD0"/>
    <w:rsid w:val="1ADF5B34"/>
    <w:rsid w:val="1B369A4B"/>
    <w:rsid w:val="1BD26CF2"/>
    <w:rsid w:val="1C2BFED7"/>
    <w:rsid w:val="1CA6308A"/>
    <w:rsid w:val="1CB49175"/>
    <w:rsid w:val="1CC42E8C"/>
    <w:rsid w:val="1CF52228"/>
    <w:rsid w:val="1CFA1663"/>
    <w:rsid w:val="1D88F770"/>
    <w:rsid w:val="1DEFD238"/>
    <w:rsid w:val="1E00AA4C"/>
    <w:rsid w:val="1E00DD8D"/>
    <w:rsid w:val="1E0EF25E"/>
    <w:rsid w:val="1E5D7043"/>
    <w:rsid w:val="1E883A54"/>
    <w:rsid w:val="1E893F42"/>
    <w:rsid w:val="1EE84555"/>
    <w:rsid w:val="1EF89614"/>
    <w:rsid w:val="1F2C8E2A"/>
    <w:rsid w:val="1F644E05"/>
    <w:rsid w:val="1F7DCEAD"/>
    <w:rsid w:val="1F926177"/>
    <w:rsid w:val="1FA3BC15"/>
    <w:rsid w:val="1FF7DD9F"/>
    <w:rsid w:val="200B439D"/>
    <w:rsid w:val="20250FA3"/>
    <w:rsid w:val="20952DF5"/>
    <w:rsid w:val="20C6A790"/>
    <w:rsid w:val="20D965B4"/>
    <w:rsid w:val="20F0EC03"/>
    <w:rsid w:val="21091D0C"/>
    <w:rsid w:val="21199F0E"/>
    <w:rsid w:val="211C81FD"/>
    <w:rsid w:val="2143D945"/>
    <w:rsid w:val="21ADFE95"/>
    <w:rsid w:val="21D4296F"/>
    <w:rsid w:val="2213E74D"/>
    <w:rsid w:val="22333D0F"/>
    <w:rsid w:val="223A9853"/>
    <w:rsid w:val="225A374C"/>
    <w:rsid w:val="228D07B4"/>
    <w:rsid w:val="2296EF45"/>
    <w:rsid w:val="23154794"/>
    <w:rsid w:val="2315DD9E"/>
    <w:rsid w:val="235089FF"/>
    <w:rsid w:val="23635B31"/>
    <w:rsid w:val="23760B18"/>
    <w:rsid w:val="23AE8550"/>
    <w:rsid w:val="23B3626A"/>
    <w:rsid w:val="23D94C0A"/>
    <w:rsid w:val="242CB444"/>
    <w:rsid w:val="24320167"/>
    <w:rsid w:val="2435CD4F"/>
    <w:rsid w:val="2448C76E"/>
    <w:rsid w:val="24EF5DDD"/>
    <w:rsid w:val="250586C9"/>
    <w:rsid w:val="254F5712"/>
    <w:rsid w:val="2564E708"/>
    <w:rsid w:val="258F9100"/>
    <w:rsid w:val="25D19DB0"/>
    <w:rsid w:val="267F83E7"/>
    <w:rsid w:val="26FF2C7B"/>
    <w:rsid w:val="27158A30"/>
    <w:rsid w:val="274B8BBE"/>
    <w:rsid w:val="2750B7B3"/>
    <w:rsid w:val="27AE564C"/>
    <w:rsid w:val="27DD73B9"/>
    <w:rsid w:val="27E18AF1"/>
    <w:rsid w:val="28508209"/>
    <w:rsid w:val="28881EB5"/>
    <w:rsid w:val="28B6D943"/>
    <w:rsid w:val="28BA0D0E"/>
    <w:rsid w:val="28D15D91"/>
    <w:rsid w:val="28E2D58B"/>
    <w:rsid w:val="28EC9EDF"/>
    <w:rsid w:val="29700A42"/>
    <w:rsid w:val="29D01836"/>
    <w:rsid w:val="2A3F45A7"/>
    <w:rsid w:val="2A5FB3EA"/>
    <w:rsid w:val="2A64B8C3"/>
    <w:rsid w:val="2A9BE215"/>
    <w:rsid w:val="2AFD2428"/>
    <w:rsid w:val="2B13A935"/>
    <w:rsid w:val="2B67C319"/>
    <w:rsid w:val="2B7E5143"/>
    <w:rsid w:val="2C22D3F5"/>
    <w:rsid w:val="2C3F40BF"/>
    <w:rsid w:val="2C40E18C"/>
    <w:rsid w:val="2C7A663D"/>
    <w:rsid w:val="2D48EE50"/>
    <w:rsid w:val="2D6EF3E9"/>
    <w:rsid w:val="2DA31F40"/>
    <w:rsid w:val="2DE96BED"/>
    <w:rsid w:val="2DECC0F0"/>
    <w:rsid w:val="2E2B8A19"/>
    <w:rsid w:val="2E55C541"/>
    <w:rsid w:val="2EC7E50B"/>
    <w:rsid w:val="2ED7D870"/>
    <w:rsid w:val="2EE11415"/>
    <w:rsid w:val="2F1F91F7"/>
    <w:rsid w:val="2F388AAA"/>
    <w:rsid w:val="2F5D83A1"/>
    <w:rsid w:val="2F82A9BB"/>
    <w:rsid w:val="2FD1F0C7"/>
    <w:rsid w:val="2FDA2DF1"/>
    <w:rsid w:val="3005C1B1"/>
    <w:rsid w:val="30171727"/>
    <w:rsid w:val="3028580D"/>
    <w:rsid w:val="30287AEA"/>
    <w:rsid w:val="303CBE2D"/>
    <w:rsid w:val="305F2F59"/>
    <w:rsid w:val="3083730A"/>
    <w:rsid w:val="30BF2495"/>
    <w:rsid w:val="30D44562"/>
    <w:rsid w:val="30ECCDD8"/>
    <w:rsid w:val="3139C896"/>
    <w:rsid w:val="31457A45"/>
    <w:rsid w:val="31506541"/>
    <w:rsid w:val="3163BA8C"/>
    <w:rsid w:val="318029C3"/>
    <w:rsid w:val="3194A53D"/>
    <w:rsid w:val="31C57106"/>
    <w:rsid w:val="31DB6BE3"/>
    <w:rsid w:val="32206FCF"/>
    <w:rsid w:val="3225AD56"/>
    <w:rsid w:val="32435D46"/>
    <w:rsid w:val="3298CF98"/>
    <w:rsid w:val="32A79650"/>
    <w:rsid w:val="32B951AB"/>
    <w:rsid w:val="32DF0F63"/>
    <w:rsid w:val="3349667D"/>
    <w:rsid w:val="33505741"/>
    <w:rsid w:val="3423C9DE"/>
    <w:rsid w:val="342FBE12"/>
    <w:rsid w:val="346560A9"/>
    <w:rsid w:val="347B06E9"/>
    <w:rsid w:val="34817883"/>
    <w:rsid w:val="34C37857"/>
    <w:rsid w:val="34E9F1D1"/>
    <w:rsid w:val="34F0B696"/>
    <w:rsid w:val="34F27CFE"/>
    <w:rsid w:val="355A91CE"/>
    <w:rsid w:val="357A05CE"/>
    <w:rsid w:val="359A65BD"/>
    <w:rsid w:val="35A83CD8"/>
    <w:rsid w:val="35B941BA"/>
    <w:rsid w:val="35D9903B"/>
    <w:rsid w:val="35DBB46D"/>
    <w:rsid w:val="35F9A81C"/>
    <w:rsid w:val="3637BD19"/>
    <w:rsid w:val="367BB7DB"/>
    <w:rsid w:val="36F885E2"/>
    <w:rsid w:val="36FD881F"/>
    <w:rsid w:val="370DB369"/>
    <w:rsid w:val="372E6619"/>
    <w:rsid w:val="375E79D0"/>
    <w:rsid w:val="3760A724"/>
    <w:rsid w:val="376C211E"/>
    <w:rsid w:val="37A6F1E2"/>
    <w:rsid w:val="38321E84"/>
    <w:rsid w:val="3846C5F2"/>
    <w:rsid w:val="3856495B"/>
    <w:rsid w:val="386645BE"/>
    <w:rsid w:val="3892F810"/>
    <w:rsid w:val="38D22400"/>
    <w:rsid w:val="390DAFFA"/>
    <w:rsid w:val="3925F39F"/>
    <w:rsid w:val="395068AB"/>
    <w:rsid w:val="39553B15"/>
    <w:rsid w:val="396B09D3"/>
    <w:rsid w:val="39AB1049"/>
    <w:rsid w:val="39CF0399"/>
    <w:rsid w:val="3A109EEE"/>
    <w:rsid w:val="3A344E94"/>
    <w:rsid w:val="3A75DD82"/>
    <w:rsid w:val="3AB38D60"/>
    <w:rsid w:val="3AFDD795"/>
    <w:rsid w:val="3B3CC346"/>
    <w:rsid w:val="3B4D4F23"/>
    <w:rsid w:val="3B70BF4F"/>
    <w:rsid w:val="3B76E8F8"/>
    <w:rsid w:val="3BAB58B1"/>
    <w:rsid w:val="3BD01EF5"/>
    <w:rsid w:val="3BD62CAA"/>
    <w:rsid w:val="3C102BFE"/>
    <w:rsid w:val="3C38879D"/>
    <w:rsid w:val="3C48087C"/>
    <w:rsid w:val="3C5EF084"/>
    <w:rsid w:val="3C67A15D"/>
    <w:rsid w:val="3C6BD201"/>
    <w:rsid w:val="3C719B5F"/>
    <w:rsid w:val="3C74CE93"/>
    <w:rsid w:val="3CC3D575"/>
    <w:rsid w:val="3CF59A2F"/>
    <w:rsid w:val="3D09A1B5"/>
    <w:rsid w:val="3D0AB937"/>
    <w:rsid w:val="3D167654"/>
    <w:rsid w:val="3D4DDAAF"/>
    <w:rsid w:val="3D56E405"/>
    <w:rsid w:val="3DDB86E2"/>
    <w:rsid w:val="3E450F7C"/>
    <w:rsid w:val="3E7D956B"/>
    <w:rsid w:val="3E7F17BD"/>
    <w:rsid w:val="3E8649F4"/>
    <w:rsid w:val="3E96C146"/>
    <w:rsid w:val="3EB6A916"/>
    <w:rsid w:val="3EB6B44D"/>
    <w:rsid w:val="3ED6842F"/>
    <w:rsid w:val="3EF62DCE"/>
    <w:rsid w:val="3F1065CD"/>
    <w:rsid w:val="3F44A214"/>
    <w:rsid w:val="3F7518C4"/>
    <w:rsid w:val="3F788F15"/>
    <w:rsid w:val="3FA294C4"/>
    <w:rsid w:val="3FA46A0E"/>
    <w:rsid w:val="3FAADF65"/>
    <w:rsid w:val="3FD5358C"/>
    <w:rsid w:val="3FDC9EC6"/>
    <w:rsid w:val="4023945A"/>
    <w:rsid w:val="402C9F32"/>
    <w:rsid w:val="40420CC0"/>
    <w:rsid w:val="4049118B"/>
    <w:rsid w:val="40D1E8C1"/>
    <w:rsid w:val="40F124BB"/>
    <w:rsid w:val="411B2B23"/>
    <w:rsid w:val="412C131D"/>
    <w:rsid w:val="41403A6F"/>
    <w:rsid w:val="41939815"/>
    <w:rsid w:val="41A0FFD2"/>
    <w:rsid w:val="41DF528C"/>
    <w:rsid w:val="4210B209"/>
    <w:rsid w:val="4220AACF"/>
    <w:rsid w:val="42313D37"/>
    <w:rsid w:val="423D1AF0"/>
    <w:rsid w:val="42493B3E"/>
    <w:rsid w:val="4294167D"/>
    <w:rsid w:val="42B509AB"/>
    <w:rsid w:val="42BD349A"/>
    <w:rsid w:val="42D95BA6"/>
    <w:rsid w:val="42E58397"/>
    <w:rsid w:val="4312E10F"/>
    <w:rsid w:val="43151F2C"/>
    <w:rsid w:val="433F5603"/>
    <w:rsid w:val="43520FE6"/>
    <w:rsid w:val="441096E6"/>
    <w:rsid w:val="44242E04"/>
    <w:rsid w:val="44301C8F"/>
    <w:rsid w:val="44A83DD8"/>
    <w:rsid w:val="44AF1935"/>
    <w:rsid w:val="44B2C035"/>
    <w:rsid w:val="44DC8408"/>
    <w:rsid w:val="450FCFB1"/>
    <w:rsid w:val="4526BE43"/>
    <w:rsid w:val="45516099"/>
    <w:rsid w:val="456872FD"/>
    <w:rsid w:val="457EEEC1"/>
    <w:rsid w:val="4605871F"/>
    <w:rsid w:val="466E4689"/>
    <w:rsid w:val="466FC3BB"/>
    <w:rsid w:val="4671D57B"/>
    <w:rsid w:val="46A323EA"/>
    <w:rsid w:val="46E93EA6"/>
    <w:rsid w:val="46EA02FA"/>
    <w:rsid w:val="46FBDFE1"/>
    <w:rsid w:val="47208693"/>
    <w:rsid w:val="47405272"/>
    <w:rsid w:val="4749BAD7"/>
    <w:rsid w:val="478089B5"/>
    <w:rsid w:val="47836414"/>
    <w:rsid w:val="47CFE5CC"/>
    <w:rsid w:val="47F61CFE"/>
    <w:rsid w:val="4802A474"/>
    <w:rsid w:val="4808CFFC"/>
    <w:rsid w:val="484CF934"/>
    <w:rsid w:val="487EA21C"/>
    <w:rsid w:val="48A62140"/>
    <w:rsid w:val="48DC22D3"/>
    <w:rsid w:val="48E15B03"/>
    <w:rsid w:val="49103BA3"/>
    <w:rsid w:val="49140A75"/>
    <w:rsid w:val="49485C05"/>
    <w:rsid w:val="4956E831"/>
    <w:rsid w:val="496E8E37"/>
    <w:rsid w:val="49CBEC14"/>
    <w:rsid w:val="49D69047"/>
    <w:rsid w:val="49E0B96A"/>
    <w:rsid w:val="4A525FE4"/>
    <w:rsid w:val="4A806AAE"/>
    <w:rsid w:val="4ABFBD64"/>
    <w:rsid w:val="4B5D21CB"/>
    <w:rsid w:val="4BA5E36D"/>
    <w:rsid w:val="4BBC87F6"/>
    <w:rsid w:val="4BCB24F2"/>
    <w:rsid w:val="4BDECD62"/>
    <w:rsid w:val="4BE5766E"/>
    <w:rsid w:val="4C2BD513"/>
    <w:rsid w:val="4C652EB9"/>
    <w:rsid w:val="4C681C8E"/>
    <w:rsid w:val="4CA0ED51"/>
    <w:rsid w:val="4CBB2671"/>
    <w:rsid w:val="4CBE8C00"/>
    <w:rsid w:val="4D01D14D"/>
    <w:rsid w:val="4D083CBC"/>
    <w:rsid w:val="4D25D23F"/>
    <w:rsid w:val="4DA2D949"/>
    <w:rsid w:val="4DC97615"/>
    <w:rsid w:val="4DF75E26"/>
    <w:rsid w:val="4E0F534F"/>
    <w:rsid w:val="4E398A3B"/>
    <w:rsid w:val="4E4879D3"/>
    <w:rsid w:val="4E56F6D2"/>
    <w:rsid w:val="4E5CA555"/>
    <w:rsid w:val="4EC30478"/>
    <w:rsid w:val="4F2431C9"/>
    <w:rsid w:val="4FAC32D7"/>
    <w:rsid w:val="4FB6F226"/>
    <w:rsid w:val="503A8C39"/>
    <w:rsid w:val="505F738B"/>
    <w:rsid w:val="5077BCE3"/>
    <w:rsid w:val="50DB0B97"/>
    <w:rsid w:val="50F19C56"/>
    <w:rsid w:val="5104E198"/>
    <w:rsid w:val="5124BDDC"/>
    <w:rsid w:val="512E6A93"/>
    <w:rsid w:val="517CFC5A"/>
    <w:rsid w:val="519B7F79"/>
    <w:rsid w:val="51E6DD00"/>
    <w:rsid w:val="5231BA07"/>
    <w:rsid w:val="523E9288"/>
    <w:rsid w:val="525D4F05"/>
    <w:rsid w:val="527411DE"/>
    <w:rsid w:val="527F1FB4"/>
    <w:rsid w:val="52897399"/>
    <w:rsid w:val="52A3207E"/>
    <w:rsid w:val="52C02642"/>
    <w:rsid w:val="52C5439A"/>
    <w:rsid w:val="52D5651F"/>
    <w:rsid w:val="52DF92A1"/>
    <w:rsid w:val="5335C2F2"/>
    <w:rsid w:val="537B37B9"/>
    <w:rsid w:val="5385E88E"/>
    <w:rsid w:val="54251B75"/>
    <w:rsid w:val="5450C79A"/>
    <w:rsid w:val="54A5C1CE"/>
    <w:rsid w:val="54AF87F4"/>
    <w:rsid w:val="54DB9423"/>
    <w:rsid w:val="55059507"/>
    <w:rsid w:val="552504A5"/>
    <w:rsid w:val="55EAE59F"/>
    <w:rsid w:val="55F7C704"/>
    <w:rsid w:val="563D9AC8"/>
    <w:rsid w:val="563EF9C2"/>
    <w:rsid w:val="5656D33A"/>
    <w:rsid w:val="5685E8A1"/>
    <w:rsid w:val="56950BF4"/>
    <w:rsid w:val="56AF1F02"/>
    <w:rsid w:val="56BF22EF"/>
    <w:rsid w:val="56DEC07E"/>
    <w:rsid w:val="56E54A80"/>
    <w:rsid w:val="571203AB"/>
    <w:rsid w:val="57269422"/>
    <w:rsid w:val="575D1740"/>
    <w:rsid w:val="5770344D"/>
    <w:rsid w:val="57A7CF8B"/>
    <w:rsid w:val="57D4CB5A"/>
    <w:rsid w:val="58352C95"/>
    <w:rsid w:val="583D35C9"/>
    <w:rsid w:val="5858D136"/>
    <w:rsid w:val="585EA13D"/>
    <w:rsid w:val="585ED1A3"/>
    <w:rsid w:val="58C60ADF"/>
    <w:rsid w:val="58DD7B44"/>
    <w:rsid w:val="58F52571"/>
    <w:rsid w:val="58F52F5F"/>
    <w:rsid w:val="58FAEA57"/>
    <w:rsid w:val="594B16BE"/>
    <w:rsid w:val="59D9062A"/>
    <w:rsid w:val="59E47576"/>
    <w:rsid w:val="5A047D67"/>
    <w:rsid w:val="5A2FFA7F"/>
    <w:rsid w:val="5A7CD0F2"/>
    <w:rsid w:val="5A90F5D2"/>
    <w:rsid w:val="5ACB3827"/>
    <w:rsid w:val="5B0DA711"/>
    <w:rsid w:val="5B18DFC4"/>
    <w:rsid w:val="5B426A64"/>
    <w:rsid w:val="5B74D68B"/>
    <w:rsid w:val="5BA40CFC"/>
    <w:rsid w:val="5BCA6C33"/>
    <w:rsid w:val="5BD4F960"/>
    <w:rsid w:val="5BEC41DF"/>
    <w:rsid w:val="5C61FB70"/>
    <w:rsid w:val="5C87D609"/>
    <w:rsid w:val="5C897189"/>
    <w:rsid w:val="5C914DE1"/>
    <w:rsid w:val="5D00A8B0"/>
    <w:rsid w:val="5D27E378"/>
    <w:rsid w:val="5D2CF168"/>
    <w:rsid w:val="5D44C56C"/>
    <w:rsid w:val="5D5A80D6"/>
    <w:rsid w:val="5D70FC4C"/>
    <w:rsid w:val="5D88DA2B"/>
    <w:rsid w:val="5DE3B588"/>
    <w:rsid w:val="5DE9AAF4"/>
    <w:rsid w:val="5E5CAAD7"/>
    <w:rsid w:val="5EA88566"/>
    <w:rsid w:val="5EBF9C67"/>
    <w:rsid w:val="5EDE29DA"/>
    <w:rsid w:val="5EE81C86"/>
    <w:rsid w:val="5F225E94"/>
    <w:rsid w:val="5F98579C"/>
    <w:rsid w:val="5F99B321"/>
    <w:rsid w:val="5FC6D9B8"/>
    <w:rsid w:val="5FF37EC5"/>
    <w:rsid w:val="6018F45B"/>
    <w:rsid w:val="604847AE"/>
    <w:rsid w:val="6072B32F"/>
    <w:rsid w:val="60FB1FD7"/>
    <w:rsid w:val="610AE9D2"/>
    <w:rsid w:val="61210A9F"/>
    <w:rsid w:val="61558019"/>
    <w:rsid w:val="61662270"/>
    <w:rsid w:val="6191157D"/>
    <w:rsid w:val="61CE2C42"/>
    <w:rsid w:val="622559BB"/>
    <w:rsid w:val="624768FF"/>
    <w:rsid w:val="625BD568"/>
    <w:rsid w:val="6264E963"/>
    <w:rsid w:val="62723811"/>
    <w:rsid w:val="627B2221"/>
    <w:rsid w:val="628AFE03"/>
    <w:rsid w:val="629159B0"/>
    <w:rsid w:val="62D64A0C"/>
    <w:rsid w:val="62FC0507"/>
    <w:rsid w:val="631D7401"/>
    <w:rsid w:val="6348089B"/>
    <w:rsid w:val="63639D08"/>
    <w:rsid w:val="6365AAF0"/>
    <w:rsid w:val="637FE870"/>
    <w:rsid w:val="63B472A2"/>
    <w:rsid w:val="6473AB63"/>
    <w:rsid w:val="6483412A"/>
    <w:rsid w:val="64B9F7E3"/>
    <w:rsid w:val="64D9BF24"/>
    <w:rsid w:val="64FF9072"/>
    <w:rsid w:val="6502FAA1"/>
    <w:rsid w:val="6517B007"/>
    <w:rsid w:val="65315FF1"/>
    <w:rsid w:val="658D133F"/>
    <w:rsid w:val="659D05C3"/>
    <w:rsid w:val="65A59BA9"/>
    <w:rsid w:val="65E8A220"/>
    <w:rsid w:val="65FB569D"/>
    <w:rsid w:val="65FEEE00"/>
    <w:rsid w:val="661845C2"/>
    <w:rsid w:val="6696D682"/>
    <w:rsid w:val="66ADCBA0"/>
    <w:rsid w:val="66C1E1C6"/>
    <w:rsid w:val="67529D3F"/>
    <w:rsid w:val="67808FAB"/>
    <w:rsid w:val="67F45FA2"/>
    <w:rsid w:val="6856BAE9"/>
    <w:rsid w:val="692C6333"/>
    <w:rsid w:val="694F0441"/>
    <w:rsid w:val="6983B8DA"/>
    <w:rsid w:val="69C23C7A"/>
    <w:rsid w:val="6A061755"/>
    <w:rsid w:val="6A0ED37E"/>
    <w:rsid w:val="6A944C5D"/>
    <w:rsid w:val="6A95716A"/>
    <w:rsid w:val="6AC83394"/>
    <w:rsid w:val="6B11CEBF"/>
    <w:rsid w:val="6B64FAA7"/>
    <w:rsid w:val="6BAAAD68"/>
    <w:rsid w:val="6BECC280"/>
    <w:rsid w:val="6C031BD9"/>
    <w:rsid w:val="6C2BE535"/>
    <w:rsid w:val="6C2F81E3"/>
    <w:rsid w:val="6C39EE77"/>
    <w:rsid w:val="6C59C59B"/>
    <w:rsid w:val="6C6594EB"/>
    <w:rsid w:val="6CF5126F"/>
    <w:rsid w:val="6DB8AA8E"/>
    <w:rsid w:val="6DD0447D"/>
    <w:rsid w:val="6E333938"/>
    <w:rsid w:val="6E9B90D3"/>
    <w:rsid w:val="6F1C0A36"/>
    <w:rsid w:val="6F977000"/>
    <w:rsid w:val="6F99DB3E"/>
    <w:rsid w:val="6FB80386"/>
    <w:rsid w:val="6FD33148"/>
    <w:rsid w:val="6FEF39B3"/>
    <w:rsid w:val="6FF8EFBC"/>
    <w:rsid w:val="700FF7BD"/>
    <w:rsid w:val="70159F04"/>
    <w:rsid w:val="7085A181"/>
    <w:rsid w:val="70B8F967"/>
    <w:rsid w:val="70C84C0B"/>
    <w:rsid w:val="70CFF448"/>
    <w:rsid w:val="713371E1"/>
    <w:rsid w:val="7160F91D"/>
    <w:rsid w:val="7163681D"/>
    <w:rsid w:val="71B721B7"/>
    <w:rsid w:val="71F68478"/>
    <w:rsid w:val="71FFE1A7"/>
    <w:rsid w:val="72226D62"/>
    <w:rsid w:val="723C6860"/>
    <w:rsid w:val="723DCE98"/>
    <w:rsid w:val="7244646C"/>
    <w:rsid w:val="725B5A6D"/>
    <w:rsid w:val="72676D6A"/>
    <w:rsid w:val="72DB0ADF"/>
    <w:rsid w:val="72ECE6B1"/>
    <w:rsid w:val="72FC384F"/>
    <w:rsid w:val="7311BA38"/>
    <w:rsid w:val="73250974"/>
    <w:rsid w:val="7334CE62"/>
    <w:rsid w:val="7364D44A"/>
    <w:rsid w:val="73B15A72"/>
    <w:rsid w:val="73C85B3C"/>
    <w:rsid w:val="7402B9FE"/>
    <w:rsid w:val="74770360"/>
    <w:rsid w:val="7505022D"/>
    <w:rsid w:val="7513C8E4"/>
    <w:rsid w:val="752DBA01"/>
    <w:rsid w:val="752E5B5E"/>
    <w:rsid w:val="75D1C6E5"/>
    <w:rsid w:val="769666B8"/>
    <w:rsid w:val="769E588A"/>
    <w:rsid w:val="76B31FFA"/>
    <w:rsid w:val="76DC75C8"/>
    <w:rsid w:val="772FF0BE"/>
    <w:rsid w:val="77394E19"/>
    <w:rsid w:val="779EA0FB"/>
    <w:rsid w:val="77AD3D9F"/>
    <w:rsid w:val="77F16647"/>
    <w:rsid w:val="783D6B2B"/>
    <w:rsid w:val="788A7668"/>
    <w:rsid w:val="78958958"/>
    <w:rsid w:val="78AD6E48"/>
    <w:rsid w:val="78CB466A"/>
    <w:rsid w:val="78EF3EB7"/>
    <w:rsid w:val="79125FAC"/>
    <w:rsid w:val="795B2B69"/>
    <w:rsid w:val="798D36A8"/>
    <w:rsid w:val="79A2BCC6"/>
    <w:rsid w:val="79B5C4E2"/>
    <w:rsid w:val="7A2D1044"/>
    <w:rsid w:val="7AFB83C1"/>
    <w:rsid w:val="7B319615"/>
    <w:rsid w:val="7BCC3ED7"/>
    <w:rsid w:val="7BE6158D"/>
    <w:rsid w:val="7C0D3F1F"/>
    <w:rsid w:val="7C2C8640"/>
    <w:rsid w:val="7C4CEE47"/>
    <w:rsid w:val="7C519A63"/>
    <w:rsid w:val="7C83484C"/>
    <w:rsid w:val="7CDE3EAC"/>
    <w:rsid w:val="7D2744E0"/>
    <w:rsid w:val="7D5C62F3"/>
    <w:rsid w:val="7DD76CB6"/>
    <w:rsid w:val="7E3DE326"/>
    <w:rsid w:val="7E7ADA06"/>
    <w:rsid w:val="7EFCAD77"/>
    <w:rsid w:val="7F439249"/>
    <w:rsid w:val="7F7514CE"/>
    <w:rsid w:val="7FC5D2F8"/>
    <w:rsid w:val="7FE77C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6F6190"/>
  <w15:docId w15:val="{18F10EEC-FD9D-43D5-A021-6ACE74CF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uiPriority="39"/>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uiPriority="32" w:qFormat="1"/>
    <w:lsdException w:name="Book Title" w:semiHidden="1"/>
    <w:lsdException w:name="Bibliography" w:semiHidden="1" w:unhideWhenUsed="1"/>
    <w:lsdException w:name="TOC Heading" w:semiHidden="1" w:uiPriority="39" w:unhideWhenUsed="1" w:qFormat="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7"/>
      </w:numPr>
      <w:spacing w:before="240"/>
      <w:outlineLvl w:val="0"/>
    </w:pPr>
    <w:rPr>
      <w:b/>
      <w:smallCaps/>
    </w:rPr>
  </w:style>
  <w:style w:type="paragraph" w:styleId="Heading2">
    <w:name w:val="heading 2"/>
    <w:basedOn w:val="Normal"/>
    <w:next w:val="Text2"/>
    <w:uiPriority w:val="1"/>
    <w:qFormat/>
    <w:pPr>
      <w:keepNext/>
      <w:numPr>
        <w:ilvl w:val="1"/>
        <w:numId w:val="17"/>
      </w:numPr>
      <w:outlineLvl w:val="1"/>
    </w:pPr>
    <w:rPr>
      <w:b/>
    </w:rPr>
  </w:style>
  <w:style w:type="paragraph" w:styleId="Heading3">
    <w:name w:val="heading 3"/>
    <w:basedOn w:val="Normal"/>
    <w:next w:val="Text3"/>
    <w:uiPriority w:val="1"/>
    <w:qFormat/>
    <w:pPr>
      <w:keepNext/>
      <w:numPr>
        <w:ilvl w:val="2"/>
        <w:numId w:val="17"/>
      </w:numPr>
      <w:outlineLvl w:val="2"/>
    </w:pPr>
    <w:rPr>
      <w:i/>
    </w:rPr>
  </w:style>
  <w:style w:type="paragraph" w:styleId="Heading4">
    <w:name w:val="heading 4"/>
    <w:basedOn w:val="Normal"/>
    <w:next w:val="Text4"/>
    <w:uiPriority w:val="1"/>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ootnote text1,Fußnote,fn,Footnotes"/>
    <w:basedOn w:val="Normal"/>
    <w:link w:val="FootnoteTextChar"/>
    <w:uiPriority w:val="99"/>
    <w:unhideWhenUsed/>
    <w:qFormat/>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styleId="ListBullet">
    <w:name w:val="List Bullet"/>
    <w:basedOn w:val="Normal"/>
    <w:uiPriority w:val="1"/>
    <w:pPr>
      <w:numPr>
        <w:numId w:val="16"/>
      </w:numPr>
    </w:pPr>
  </w:style>
  <w:style w:type="paragraph" w:customStyle="1" w:styleId="ListBulletLevel2">
    <w:name w:val="List Bullet (Level 2)"/>
    <w:basedOn w:val="Normal"/>
    <w:uiPriority w:val="1"/>
    <w:pPr>
      <w:numPr>
        <w:ilvl w:val="1"/>
        <w:numId w:val="16"/>
      </w:numPr>
    </w:pPr>
  </w:style>
  <w:style w:type="paragraph" w:customStyle="1" w:styleId="ListBulletLevel3">
    <w:name w:val="List Bullet (Level 3)"/>
    <w:basedOn w:val="Normal"/>
    <w:uiPriority w:val="1"/>
    <w:semiHidden/>
    <w:unhideWhenUsed/>
    <w:pPr>
      <w:numPr>
        <w:ilvl w:val="2"/>
        <w:numId w:val="16"/>
      </w:numPr>
    </w:pPr>
  </w:style>
  <w:style w:type="paragraph" w:customStyle="1" w:styleId="ListBulletLevel4">
    <w:name w:val="List Bullet (Level 4)"/>
    <w:basedOn w:val="Normal"/>
    <w:uiPriority w:val="1"/>
    <w:semiHidden/>
    <w:unhideWhenUsed/>
    <w:pPr>
      <w:numPr>
        <w:ilvl w:val="3"/>
        <w:numId w:val="16"/>
      </w:numPr>
    </w:pPr>
  </w:style>
  <w:style w:type="paragraph" w:customStyle="1" w:styleId="ListBullet1">
    <w:name w:val="List Bullet 1"/>
    <w:basedOn w:val="Text1"/>
    <w:uiPriority w:val="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pPr>
  </w:style>
  <w:style w:type="paragraph" w:customStyle="1" w:styleId="ListNumberLevel4">
    <w:name w:val="List Number (Level 4)"/>
    <w:basedOn w:val="Normal"/>
    <w:uiPriority w:val="1"/>
    <w:semiHidden/>
    <w:unhideWhenUsed/>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21"/>
      </w:numPr>
    </w:pPr>
  </w:style>
  <w:style w:type="paragraph" w:customStyle="1" w:styleId="TableListBulletLevel2">
    <w:name w:val="Table List Bullet (Level 2)"/>
    <w:basedOn w:val="TableText"/>
    <w:uiPriority w:val="1"/>
    <w:pPr>
      <w:numPr>
        <w:ilvl w:val="1"/>
        <w:numId w:val="21"/>
      </w:numPr>
    </w:pPr>
  </w:style>
  <w:style w:type="paragraph" w:customStyle="1" w:styleId="TableListBulletLevel3">
    <w:name w:val="Table List Bullet (Level 3)"/>
    <w:basedOn w:val="TableText"/>
    <w:uiPriority w:val="1"/>
    <w:semiHidden/>
    <w:unhideWhenUsed/>
    <w:pPr>
      <w:numPr>
        <w:ilvl w:val="2"/>
        <w:numId w:val="21"/>
      </w:numPr>
    </w:pPr>
  </w:style>
  <w:style w:type="paragraph" w:customStyle="1" w:styleId="TableListBulletLevel4">
    <w:name w:val="Table List Bullet (Level 4)"/>
    <w:basedOn w:val="TableText"/>
    <w:uiPriority w:val="1"/>
    <w:semiHidden/>
    <w:unhideWhenUsed/>
    <w:pPr>
      <w:numPr>
        <w:ilvl w:val="3"/>
        <w:numId w:val="21"/>
      </w:numPr>
    </w:pPr>
  </w:style>
  <w:style w:type="paragraph" w:customStyle="1" w:styleId="TableListDash">
    <w:name w:val="Table List Dash"/>
    <w:basedOn w:val="TableText"/>
    <w:uiPriority w:val="1"/>
    <w:pPr>
      <w:numPr>
        <w:numId w:val="22"/>
      </w:numPr>
    </w:pPr>
  </w:style>
  <w:style w:type="paragraph" w:customStyle="1" w:styleId="TableListDashLevel2">
    <w:name w:val="Table List Dash (Level 2)"/>
    <w:basedOn w:val="TableText"/>
    <w:uiPriority w:val="1"/>
    <w:pPr>
      <w:numPr>
        <w:ilvl w:val="1"/>
        <w:numId w:val="22"/>
      </w:numPr>
    </w:pPr>
  </w:style>
  <w:style w:type="paragraph" w:customStyle="1" w:styleId="TableListDashLevel3">
    <w:name w:val="Table List Dash (Level 3)"/>
    <w:basedOn w:val="TableText"/>
    <w:uiPriority w:val="1"/>
    <w:semiHidden/>
    <w:unhideWhenUsed/>
    <w:pPr>
      <w:numPr>
        <w:ilvl w:val="2"/>
        <w:numId w:val="22"/>
      </w:numPr>
    </w:pPr>
  </w:style>
  <w:style w:type="paragraph" w:customStyle="1" w:styleId="TableListDashLevel4">
    <w:name w:val="Table List Dash (Level 4)"/>
    <w:basedOn w:val="TableText"/>
    <w:uiPriority w:val="1"/>
    <w:semiHidden/>
    <w:unhideWhenUsed/>
    <w:pPr>
      <w:numPr>
        <w:ilvl w:val="3"/>
        <w:numId w:val="22"/>
      </w:numPr>
    </w:pPr>
  </w:style>
  <w:style w:type="paragraph" w:customStyle="1" w:styleId="TableListNumber">
    <w:name w:val="Table List Number"/>
    <w:basedOn w:val="TableText"/>
    <w:uiPriority w:val="1"/>
    <w:pPr>
      <w:numPr>
        <w:numId w:val="23"/>
      </w:numPr>
    </w:pPr>
  </w:style>
  <w:style w:type="paragraph" w:customStyle="1" w:styleId="TableListNumberLevel2">
    <w:name w:val="Table List Number (Level 2)"/>
    <w:basedOn w:val="TableText"/>
    <w:uiPriority w:val="1"/>
    <w:pPr>
      <w:numPr>
        <w:ilvl w:val="1"/>
        <w:numId w:val="23"/>
      </w:numPr>
    </w:pPr>
  </w:style>
  <w:style w:type="paragraph" w:customStyle="1" w:styleId="TableListNumberLevel3">
    <w:name w:val="Table List Number (Level 3)"/>
    <w:basedOn w:val="TableText"/>
    <w:uiPriority w:val="1"/>
    <w:semiHidden/>
    <w:unhideWhenUsed/>
    <w:pPr>
      <w:numPr>
        <w:ilvl w:val="2"/>
        <w:numId w:val="23"/>
      </w:numPr>
    </w:pPr>
  </w:style>
  <w:style w:type="paragraph" w:customStyle="1" w:styleId="TableListNumberLevel4">
    <w:name w:val="Table List Number (Level 4)"/>
    <w:basedOn w:val="TableText"/>
    <w:uiPriority w:val="1"/>
    <w:semiHidden/>
    <w:unhideWhenUsed/>
    <w:pPr>
      <w:numPr>
        <w:ilvl w:val="3"/>
        <w:numId w:val="23"/>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uiPriority w:val="39"/>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uiPriority w:val="39"/>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uiPriority w:val="39"/>
    <w:qFormat/>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202" w:type="dxa"/>
    </w:tblPr>
    <w:tblStylePr w:type="firstRow">
      <w:rPr>
        <w:b/>
      </w:rPr>
      <w:tblPr/>
      <w:trPr>
        <w:cantSplit/>
        <w:tblHeader/>
      </w:trPr>
    </w:tblStylePr>
  </w:style>
  <w:style w:type="table" w:customStyle="1" w:styleId="EurolookTable3">
    <w:name w:val="Eurolook Table 3"/>
    <w:basedOn w:val="EurolookTable"/>
    <w:semiHidden/>
    <w:unhideWhenUsed/>
    <w:tblPr>
      <w:tblInd w:w="1202" w:type="dxa"/>
    </w:tblPr>
    <w:tblStylePr w:type="firstRow">
      <w:rPr>
        <w:b/>
      </w:rPr>
      <w:tblPr/>
      <w:trPr>
        <w:cantSplit/>
        <w:tblHeader/>
      </w:trPr>
    </w:tblStylePr>
  </w:style>
  <w:style w:type="table" w:customStyle="1" w:styleId="EurolookTable4">
    <w:name w:val="Eurolook Table 4"/>
    <w:basedOn w:val="EurolookTable"/>
    <w:semiHidden/>
    <w:unhideWhenUsed/>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IntenseReference">
    <w:name w:val="Intense Reference"/>
    <w:basedOn w:val="DefaultParagraphFont"/>
    <w:uiPriority w:val="32"/>
    <w:qFormat/>
    <w:locked/>
    <w:rsid w:val="00D62E28"/>
    <w:rPr>
      <w:b/>
      <w:bCs/>
      <w:smallCaps/>
      <w:color w:val="4472C4" w:themeColor="accent1"/>
      <w:spacing w:val="5"/>
    </w:rPr>
  </w:style>
  <w:style w:type="paragraph" w:styleId="ListParagraph">
    <w:name w:val="List Paragraph"/>
    <w:basedOn w:val="Normal"/>
    <w:uiPriority w:val="34"/>
    <w:qFormat/>
    <w:locked/>
    <w:rsid w:val="00D62E28"/>
    <w:pPr>
      <w:spacing w:after="160" w:line="259" w:lineRule="auto"/>
      <w:ind w:left="720"/>
      <w:contextualSpacing/>
      <w:jc w:val="left"/>
    </w:pPr>
    <w:rPr>
      <w:rFonts w:asciiTheme="minorHAnsi" w:eastAsiaTheme="minorHAnsi" w:hAnsiTheme="minorHAnsi" w:cstheme="minorBidi"/>
      <w:sz w:val="22"/>
      <w:szCs w:val="22"/>
      <w:lang w:val="en-IE" w:eastAsia="en-US"/>
    </w:rPr>
  </w:style>
  <w:style w:type="character" w:styleId="Hyperlink">
    <w:name w:val="Hyperlink"/>
    <w:uiPriority w:val="99"/>
    <w:unhideWhenUsed/>
    <w:locked/>
    <w:rsid w:val="00D62E28"/>
    <w:rPr>
      <w:noProof w:val="0"/>
      <w:color w:val="0E4194"/>
      <w:u w:val="single"/>
      <w:lang w:val="en-GB"/>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basedOn w:val="DefaultParagraphFont"/>
    <w:link w:val="FootnoteText"/>
    <w:uiPriority w:val="99"/>
    <w:qFormat/>
    <w:locked/>
    <w:rsid w:val="00D62E28"/>
    <w:rPr>
      <w:sz w:val="20"/>
    </w:rPr>
  </w:style>
  <w:style w:type="character" w:styleId="FootnoteReference">
    <w:name w:val="footnote reference"/>
    <w:aliases w:val="Footnote symbol,Footnote reference number,Footnote,Times 10 Point,Exposant 3 Point,Ref,de nota al pie,note TESI,SUPERS,EN Footnote Reference,EN Footnote text,-E Fußnotenzeichen,BVI fnr,Footnote number,Footnote Reference Number,BVI f"/>
    <w:basedOn w:val="DefaultParagraphFont"/>
    <w:link w:val="Nota"/>
    <w:uiPriority w:val="99"/>
    <w:unhideWhenUsed/>
    <w:qFormat/>
    <w:locked/>
    <w:rsid w:val="00D62E28"/>
    <w:rPr>
      <w:vertAlign w:val="superscript"/>
    </w:rPr>
  </w:style>
  <w:style w:type="paragraph" w:customStyle="1" w:styleId="Nota">
    <w:name w:val="Nota"/>
    <w:aliases w:val="Char1,(NECG) Footnote Reference,fr,Appel note de bas de p,o,Style 6,Signature Ch, Char1"/>
    <w:basedOn w:val="Normal"/>
    <w:link w:val="FootnoteReference"/>
    <w:uiPriority w:val="99"/>
    <w:rsid w:val="00D62E28"/>
    <w:pPr>
      <w:spacing w:after="160" w:line="240" w:lineRule="exact"/>
    </w:pPr>
    <w:rPr>
      <w:vertAlign w:val="superscript"/>
    </w:rPr>
  </w:style>
  <w:style w:type="paragraph" w:styleId="CommentText">
    <w:name w:val="annotation text"/>
    <w:basedOn w:val="Normal"/>
    <w:link w:val="CommentTextChar"/>
    <w:uiPriority w:val="99"/>
    <w:unhideWhenUsed/>
    <w:locked/>
    <w:rsid w:val="00D62E28"/>
    <w:rPr>
      <w:rFonts w:ascii="EC Square Sans Pro" w:eastAsiaTheme="minorEastAsia" w:hAnsi="EC Square Sans Pro" w:cstheme="minorBidi"/>
      <w:sz w:val="20"/>
      <w:lang w:eastAsia="nl-BE"/>
    </w:rPr>
  </w:style>
  <w:style w:type="character" w:customStyle="1" w:styleId="CommentTextChar">
    <w:name w:val="Comment Text Char"/>
    <w:basedOn w:val="DefaultParagraphFont"/>
    <w:link w:val="CommentText"/>
    <w:uiPriority w:val="99"/>
    <w:rsid w:val="00D62E28"/>
    <w:rPr>
      <w:rFonts w:ascii="EC Square Sans Pro" w:eastAsiaTheme="minorEastAsia" w:hAnsi="EC Square Sans Pro" w:cstheme="minorBidi"/>
      <w:sz w:val="20"/>
      <w:lang w:eastAsia="nl-BE"/>
    </w:rPr>
  </w:style>
  <w:style w:type="character" w:styleId="CommentReference">
    <w:name w:val="annotation reference"/>
    <w:basedOn w:val="DefaultParagraphFont"/>
    <w:uiPriority w:val="99"/>
    <w:semiHidden/>
    <w:unhideWhenUsed/>
    <w:locked/>
    <w:rsid w:val="00D62E28"/>
    <w:rPr>
      <w:noProof w:val="0"/>
      <w:sz w:val="16"/>
      <w:szCs w:val="16"/>
      <w:lang w:val="en-GB"/>
    </w:rPr>
  </w:style>
  <w:style w:type="character" w:customStyle="1" w:styleId="FootnoteTextChar0">
    <w:name w:val="Footnote_Text Char"/>
    <w:basedOn w:val="DefaultParagraphFont"/>
    <w:link w:val="FootnoteText0"/>
    <w:locked/>
    <w:rsid w:val="00D62E28"/>
    <w:rPr>
      <w:rFonts w:ascii="SimSun" w:eastAsiaTheme="minorEastAsia" w:hAnsi="SimSun"/>
      <w:sz w:val="20"/>
      <w:lang w:eastAsia="nl-BE"/>
    </w:rPr>
  </w:style>
  <w:style w:type="paragraph" w:customStyle="1" w:styleId="FootnoteText0">
    <w:name w:val="Footnote_Text"/>
    <w:basedOn w:val="FootnoteText"/>
    <w:link w:val="FootnoteTextChar0"/>
    <w:qFormat/>
    <w:rsid w:val="00D62E28"/>
    <w:pPr>
      <w:spacing w:after="0"/>
      <w:ind w:left="0" w:firstLine="0"/>
      <w:jc w:val="left"/>
    </w:pPr>
    <w:rPr>
      <w:rFonts w:ascii="SimSun" w:eastAsiaTheme="minorEastAsia" w:hAnsi="SimSun"/>
      <w:lang w:eastAsia="nl-BE"/>
    </w:rPr>
  </w:style>
  <w:style w:type="character" w:styleId="FollowedHyperlink">
    <w:name w:val="FollowedHyperlink"/>
    <w:basedOn w:val="DefaultParagraphFont"/>
    <w:semiHidden/>
    <w:locked/>
    <w:rsid w:val="00D62E28"/>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3C09BF"/>
    <w:pPr>
      <w:spacing w:after="160"/>
      <w:jc w:val="left"/>
    </w:pPr>
    <w:rPr>
      <w:rFonts w:asciiTheme="minorHAnsi" w:eastAsiaTheme="minorHAnsi" w:hAnsiTheme="minorHAnsi"/>
      <w:b/>
      <w:bCs/>
      <w:lang w:val="en-US" w:eastAsia="en-US"/>
    </w:rPr>
  </w:style>
  <w:style w:type="character" w:customStyle="1" w:styleId="CommentSubjectChar">
    <w:name w:val="Comment Subject Char"/>
    <w:basedOn w:val="CommentTextChar"/>
    <w:link w:val="CommentSubject"/>
    <w:uiPriority w:val="99"/>
    <w:semiHidden/>
    <w:rsid w:val="003C09BF"/>
    <w:rPr>
      <w:rFonts w:asciiTheme="minorHAnsi" w:eastAsiaTheme="minorHAnsi" w:hAnsiTheme="minorHAnsi" w:cstheme="minorBidi"/>
      <w:b/>
      <w:bCs/>
      <w:sz w:val="20"/>
      <w:lang w:val="en-US" w:eastAsia="en-US"/>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semiHidden/>
    <w:locked/>
    <w:rsid w:val="005C7A01"/>
  </w:style>
  <w:style w:type="character" w:customStyle="1" w:styleId="UnresolvedMention1">
    <w:name w:val="Unresolved Mention1"/>
    <w:basedOn w:val="DefaultParagraphFont"/>
    <w:semiHidden/>
    <w:locked/>
    <w:rsid w:val="00992F89"/>
    <w:rPr>
      <w:color w:val="605E5C"/>
      <w:shd w:val="clear" w:color="auto" w:fill="E1DFDD"/>
    </w:rPr>
  </w:style>
  <w:style w:type="character" w:customStyle="1" w:styleId="Bodytext2">
    <w:name w:val="Body text|2_"/>
    <w:basedOn w:val="DefaultParagraphFont"/>
    <w:link w:val="Bodytext22"/>
    <w:locked/>
    <w:rsid w:val="00204559"/>
    <w:rPr>
      <w:shd w:val="clear" w:color="auto" w:fill="FFFFFF"/>
    </w:rPr>
  </w:style>
  <w:style w:type="paragraph" w:customStyle="1" w:styleId="Bodytext22">
    <w:name w:val="Body text|22"/>
    <w:basedOn w:val="Normal"/>
    <w:link w:val="Bodytext2"/>
    <w:qFormat/>
    <w:rsid w:val="00204559"/>
    <w:pPr>
      <w:widowControl w:val="0"/>
      <w:shd w:val="clear" w:color="auto" w:fill="FFFFFF"/>
      <w:spacing w:after="1440" w:line="269" w:lineRule="exact"/>
      <w:ind w:hanging="360"/>
      <w:jc w:val="left"/>
    </w:pPr>
  </w:style>
  <w:style w:type="character" w:customStyle="1" w:styleId="Bodytext20">
    <w:name w:val="Body text|2"/>
    <w:basedOn w:val="Bodytext2"/>
    <w:semiHidden/>
    <w:rsid w:val="00204559"/>
    <w:rPr>
      <w:rFonts w:ascii="Times New Roman" w:eastAsia="Times New Roman" w:hAnsi="Times New Roman" w:cs="Times New Roman" w:hint="default"/>
      <w:color w:val="000000"/>
      <w:spacing w:val="0"/>
      <w:w w:val="100"/>
      <w:position w:val="0"/>
      <w:sz w:val="24"/>
      <w:szCs w:val="24"/>
      <w:u w:val="single"/>
      <w:shd w:val="clear" w:color="auto" w:fill="FFFFFF"/>
      <w:lang w:val="en-US" w:eastAsia="en-US" w:bidi="en-US"/>
    </w:rPr>
  </w:style>
  <w:style w:type="paragraph" w:styleId="BalloonText">
    <w:name w:val="Balloon Text"/>
    <w:basedOn w:val="Normal"/>
    <w:link w:val="BalloonTextChar"/>
    <w:semiHidden/>
    <w:locked/>
    <w:rsid w:val="00A4646C"/>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4646C"/>
    <w:rPr>
      <w:rFonts w:ascii="Segoe UI" w:hAnsi="Segoe UI" w:cs="Segoe UI"/>
      <w:sz w:val="18"/>
      <w:szCs w:val="18"/>
    </w:rPr>
  </w:style>
  <w:style w:type="character" w:customStyle="1" w:styleId="Mention2">
    <w:name w:val="Mention2"/>
    <w:basedOn w:val="DefaultParagraphFont"/>
    <w:uiPriority w:val="99"/>
    <w:unhideWhenUsed/>
    <w:rsid w:val="00553C5A"/>
    <w:rPr>
      <w:color w:val="2B579A"/>
      <w:shd w:val="clear" w:color="auto" w:fill="E6E6E6"/>
    </w:rPr>
  </w:style>
  <w:style w:type="character" w:customStyle="1" w:styleId="UnresolvedMention2">
    <w:name w:val="Unresolved Mention2"/>
    <w:basedOn w:val="DefaultParagraphFont"/>
    <w:uiPriority w:val="99"/>
    <w:semiHidden/>
    <w:unhideWhenUsed/>
    <w:rsid w:val="008C4439"/>
    <w:rPr>
      <w:color w:val="605E5C"/>
      <w:shd w:val="clear" w:color="auto" w:fill="E1DFDD"/>
    </w:rPr>
  </w:style>
  <w:style w:type="character" w:customStyle="1" w:styleId="Marker">
    <w:name w:val="Marker"/>
    <w:basedOn w:val="DefaultParagraphFont"/>
    <w:rsid w:val="000B439B"/>
    <w:rPr>
      <w:color w:val="0000FF"/>
      <w:shd w:val="clear" w:color="auto" w:fill="auto"/>
    </w:rPr>
  </w:style>
  <w:style w:type="paragraph" w:customStyle="1" w:styleId="Pagedecouverture">
    <w:name w:val="Page de couverture"/>
    <w:basedOn w:val="Normal"/>
    <w:next w:val="Normal"/>
    <w:link w:val="PagedecouvertureChar"/>
    <w:rsid w:val="000B439B"/>
    <w:pPr>
      <w:spacing w:after="0"/>
    </w:pPr>
    <w:rPr>
      <w:rFonts w:eastAsiaTheme="minorHAnsi"/>
      <w:szCs w:val="22"/>
      <w:lang w:eastAsia="en-US"/>
    </w:rPr>
  </w:style>
  <w:style w:type="paragraph" w:customStyle="1" w:styleId="FooterCoverPage">
    <w:name w:val="Footer Cover Page"/>
    <w:basedOn w:val="Normal"/>
    <w:link w:val="FooterCoverPageChar"/>
    <w:rsid w:val="000B439B"/>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0B439B"/>
    <w:rPr>
      <w:rFonts w:eastAsiaTheme="minorHAnsi"/>
      <w:szCs w:val="22"/>
      <w:lang w:eastAsia="en-US"/>
    </w:rPr>
  </w:style>
  <w:style w:type="character" w:customStyle="1" w:styleId="FooterCoverPageChar">
    <w:name w:val="Footer Cover Page Char"/>
    <w:basedOn w:val="PagedecouvertureChar"/>
    <w:link w:val="FooterCoverPage"/>
    <w:rsid w:val="000B439B"/>
    <w:rPr>
      <w:rFonts w:eastAsiaTheme="minorHAnsi"/>
      <w:szCs w:val="22"/>
      <w:lang w:eastAsia="en-US"/>
    </w:rPr>
  </w:style>
  <w:style w:type="paragraph" w:customStyle="1" w:styleId="FooterSensitivity">
    <w:name w:val="Footer Sensitivity"/>
    <w:basedOn w:val="Normal"/>
    <w:link w:val="FooterSensitivityChar"/>
    <w:rsid w:val="000B439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0B439B"/>
    <w:rPr>
      <w:rFonts w:eastAsiaTheme="minorHAnsi"/>
      <w:b/>
      <w:sz w:val="32"/>
      <w:szCs w:val="22"/>
      <w:lang w:eastAsia="en-US"/>
    </w:rPr>
  </w:style>
  <w:style w:type="paragraph" w:customStyle="1" w:styleId="HeaderCoverPage">
    <w:name w:val="Header Cover Page"/>
    <w:basedOn w:val="Normal"/>
    <w:link w:val="HeaderCoverPageChar"/>
    <w:rsid w:val="000B439B"/>
    <w:pPr>
      <w:tabs>
        <w:tab w:val="center" w:pos="4535"/>
        <w:tab w:val="right" w:pos="9071"/>
      </w:tabs>
      <w:spacing w:after="120"/>
    </w:pPr>
  </w:style>
  <w:style w:type="character" w:customStyle="1" w:styleId="HeaderCoverPageChar">
    <w:name w:val="Header Cover Page Char"/>
    <w:basedOn w:val="PagedecouvertureChar"/>
    <w:link w:val="HeaderCoverPage"/>
    <w:rsid w:val="000B439B"/>
    <w:rPr>
      <w:rFonts w:eastAsiaTheme="minorHAnsi"/>
      <w:szCs w:val="22"/>
      <w:lang w:eastAsia="en-US"/>
    </w:rPr>
  </w:style>
  <w:style w:type="paragraph" w:customStyle="1" w:styleId="HeaderSensitivity">
    <w:name w:val="Header Sensitivity"/>
    <w:basedOn w:val="Normal"/>
    <w:link w:val="HeaderSensitivityChar"/>
    <w:rsid w:val="000B439B"/>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0B439B"/>
    <w:rPr>
      <w:rFonts w:eastAsiaTheme="minorHAnsi"/>
      <w:b/>
      <w:sz w:val="32"/>
      <w:szCs w:val="22"/>
      <w:lang w:eastAsia="en-US"/>
    </w:rPr>
  </w:style>
  <w:style w:type="paragraph" w:customStyle="1" w:styleId="HeaderSensitivityRight">
    <w:name w:val="Header Sensitivity Right"/>
    <w:basedOn w:val="Normal"/>
    <w:link w:val="HeaderSensitivityRightChar"/>
    <w:rsid w:val="000B439B"/>
    <w:pPr>
      <w:spacing w:after="120"/>
      <w:jc w:val="right"/>
    </w:pPr>
    <w:rPr>
      <w:sz w:val="28"/>
    </w:rPr>
  </w:style>
  <w:style w:type="character" w:customStyle="1" w:styleId="HeaderSensitivityRightChar">
    <w:name w:val="Header Sensitivity Right Char"/>
    <w:basedOn w:val="PagedecouvertureChar"/>
    <w:link w:val="HeaderSensitivityRight"/>
    <w:rsid w:val="000B439B"/>
    <w:rPr>
      <w:rFonts w:eastAsiaTheme="minorHAnsi"/>
      <w:sz w:val="28"/>
      <w:szCs w:val="22"/>
      <w:lang w:eastAsia="en-US"/>
    </w:rPr>
  </w:style>
  <w:style w:type="character" w:customStyle="1" w:styleId="FooterChar">
    <w:name w:val="Footer Char"/>
    <w:basedOn w:val="DefaultParagraphFont"/>
    <w:link w:val="Footer"/>
    <w:uiPriority w:val="99"/>
    <w:rsid w:val="00A838DA"/>
    <w:rPr>
      <w:sz w:val="16"/>
    </w:rPr>
  </w:style>
  <w:style w:type="character" w:customStyle="1" w:styleId="UnresolvedMention3">
    <w:name w:val="Unresolved Mention3"/>
    <w:basedOn w:val="DefaultParagraphFont"/>
    <w:uiPriority w:val="99"/>
    <w:semiHidden/>
    <w:unhideWhenUsed/>
    <w:rsid w:val="00474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398068">
      <w:bodyDiv w:val="1"/>
      <w:marLeft w:val="0"/>
      <w:marRight w:val="0"/>
      <w:marTop w:val="0"/>
      <w:marBottom w:val="0"/>
      <w:divBdr>
        <w:top w:val="none" w:sz="0" w:space="0" w:color="auto"/>
        <w:left w:val="none" w:sz="0" w:space="0" w:color="auto"/>
        <w:bottom w:val="none" w:sz="0" w:space="0" w:color="auto"/>
        <w:right w:val="none" w:sz="0" w:space="0" w:color="auto"/>
      </w:divBdr>
    </w:div>
    <w:div w:id="1048139952">
      <w:bodyDiv w:val="1"/>
      <w:marLeft w:val="0"/>
      <w:marRight w:val="0"/>
      <w:marTop w:val="0"/>
      <w:marBottom w:val="0"/>
      <w:divBdr>
        <w:top w:val="none" w:sz="0" w:space="0" w:color="auto"/>
        <w:left w:val="none" w:sz="0" w:space="0" w:color="auto"/>
        <w:bottom w:val="none" w:sz="0" w:space="0" w:color="auto"/>
        <w:right w:val="none" w:sz="0" w:space="0" w:color="auto"/>
      </w:divBdr>
    </w:div>
    <w:div w:id="2139837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c.europa.eu/info/departments/european-civil-protection-and-humanitarian-aid-operations_en"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yperlink" Target="https://ec.europa.eu/echo/funding-evaluations/evaluations_en"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civil-protection-humanitarian-aid.ec.europa.eu/funding-evaluations/funding-humanitarian-aid/financing-decisions-hips-2022_en" TargetMode="External"/><Relationship Id="rId36"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s://commission.europa.eu/publications/annual-management-and-performance-report-2022-0_e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hyperlink" Target="http://ec.europa.eu/echo/en" TargetMode="External"/><Relationship Id="rId30" Type="http://schemas.openxmlformats.org/officeDocument/2006/relationships/hyperlink" Target="https://commission.europa.eu/publications/annual-activity-report-2022-european-civil-protection-and-humanitarian-aid-operations-echo_en" TargetMode="External"/><Relationship Id="rId35" Type="http://schemas.openxmlformats.org/officeDocument/2006/relationships/footer" Target="footer7.xml"/></Relationships>
</file>

<file path=word/_rels/footnotes.xml.rels><?xml version="1.0" encoding="UTF-8" standalone="yes"?>
<Relationships xmlns="http://schemas.openxmlformats.org/package/2006/relationships"><Relationship Id="rId8" Type="http://schemas.openxmlformats.org/officeDocument/2006/relationships/hyperlink" Target="file:///C:/Users/vanmeci/n" TargetMode="External"/><Relationship Id="rId13" Type="http://schemas.openxmlformats.org/officeDocument/2006/relationships/hyperlink" Target="https://ec.europa.eu/echo/files/policies/sectoral/gender_thematic_policy_document_en.pdf" TargetMode="External"/><Relationship Id="rId18" Type="http://schemas.openxmlformats.org/officeDocument/2006/relationships/hyperlink" Target="https://ec.europa.eu/echo/files/policies/sectoral/dg_echo_guidance_note_-_disaster_preparedness_en.pdf" TargetMode="External"/><Relationship Id="rId3" Type="http://schemas.openxmlformats.org/officeDocument/2006/relationships/hyperlink" Target="https://reliefweb.int/attachments/bf1ad41f-88c6-4d79-8e25-0ef4cbb4f594/GHO%20December%20Update%202022.pdf%20." TargetMode="External"/><Relationship Id="rId7" Type="http://schemas.openxmlformats.org/officeDocument/2006/relationships/hyperlink" Target="https://interagencystandingcommittee.org/grand-bargain" TargetMode="External"/><Relationship Id="rId12" Type="http://schemas.openxmlformats.org/officeDocument/2006/relationships/hyperlink" Target="https://globalnutritionreport.org/reports/2022-global-nutrition-report/" TargetMode="External"/><Relationship Id="rId17" Type="http://schemas.openxmlformats.org/officeDocument/2006/relationships/hyperlink" Target="https://ec.europa.eu/echo/files/policies/environment/guidance_on_the_operationalisation_of_the_mers_for_eu-funded_humanitarian_aid_operations.pdf" TargetMode="External"/><Relationship Id="rId2" Type="http://schemas.openxmlformats.org/officeDocument/2006/relationships/hyperlink" Target="https://eur-lex.europa.eu/LexUriServ/LexUriServ.do?uri=OJ:C:2008:025:0001:0012:EN:PDF" TargetMode="External"/><Relationship Id="rId16" Type="http://schemas.openxmlformats.org/officeDocument/2006/relationships/hyperlink" Target="https://ec.europa.eu/echo/files/policies/sectoral/thematic_policy_document_no_3_cash_transfers_en.pdf" TargetMode="External"/><Relationship Id="rId1" Type="http://schemas.openxmlformats.org/officeDocument/2006/relationships/hyperlink" Target="https://eur-lex.europa.eu/legal-content/EN/TXT/?uri=celex%3A12016ME%2FTXT" TargetMode="External"/><Relationship Id="rId6" Type="http://schemas.openxmlformats.org/officeDocument/2006/relationships/hyperlink" Target="https://fts.unocha.org/global-funding/overview/2022" TargetMode="External"/><Relationship Id="rId11" Type="http://schemas.openxmlformats.org/officeDocument/2006/relationships/hyperlink" Target="https://civil-protection-humanitarian-aid.ec.europa.eu/what/humanitarian-aid/european-humanitarian-response-capacity-ehrc_en" TargetMode="External"/><Relationship Id="rId5" Type="http://schemas.openxmlformats.org/officeDocument/2006/relationships/hyperlink" Target="https://reliefweb.int/attachments/16451492-1d8a-3d80-992e-5a487dc01fdf/Global%20Humanitarian%20Overview%202021%2C%20December%20Update.pdf" TargetMode="External"/><Relationship Id="rId15" Type="http://schemas.openxmlformats.org/officeDocument/2006/relationships/hyperlink" Target="https://www.calltoactiongbv.com/what-we-do" TargetMode="External"/><Relationship Id="rId10" Type="http://schemas.openxmlformats.org/officeDocument/2006/relationships/hyperlink" Target="https://op.europa.eu/en/publication-detail/-/publication/06cfb220-8818-11ec-8c40-01aa75ed71a1/language-en" TargetMode="External"/><Relationship Id="rId4" Type="http://schemas.openxmlformats.org/officeDocument/2006/relationships/hyperlink" Target="https://reliefweb.int/attachments/bf1ad41f-88c6-4d79-8e25-0ef4cbb4f594/GHO%20December%20Update%202022.pdf%20." TargetMode="External"/><Relationship Id="rId9" Type="http://schemas.openxmlformats.org/officeDocument/2006/relationships/hyperlink" Target="https://www.dgecho-partners-helpdesk.eu/programmatic-partnership/programmatic-partnership" TargetMode="External"/><Relationship Id="rId14" Type="http://schemas.openxmlformats.org/officeDocument/2006/relationships/hyperlink" Target="https://www.calltoactiongb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7530ff-ae8d-4383-9420-67306a01619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d0b4669b-3562-445a-a428-e501203eb641" xsi:nil="true"/>
  </documentManagement>
</p:properties>
</file>

<file path=customXml/item2.xml><?xml version="1.0" encoding="utf-8"?>
<Author Role="Creator" AuthorRoleName="Writer" AuthorRoleId="a4fbaff4-b07c-48b4-a21e-e7b9eedf3796">
  <Id>68a621fe-fc2c-4e4c-b111-0bff8a3dc4e7</Id>
  <Names>
    <Latin>
      <FirstName>Rafael</FirstName>
      <LastName>ALAMAR OLIVER</LastName>
    </Latin>
    <Greek>
      <FirstName/>
      <LastName/>
    </Greek>
    <Cyrillic>
      <FirstName/>
      <LastName/>
    </Cyrillic>
    <DocumentScript>
      <FirstName>Rafael</FirstName>
      <LastName>ALAMAR OLIVER</LastName>
      <FullName>Rafael ALAMAR OLIVER</FullName>
    </DocumentScript>
  </Names>
  <Initials>RAO</Initials>
  <Gender>m</Gender>
  <Email>Rafael.ALAMAR-OLIVER@ec.europa.eu</Email>
  <Service>ECHO.E.2</Service>
  <Function ADCode="" ShowInSignature="true" ShowInHeader="false" HeaderText=""/>
  <WebAddress/>
  <FunctionalMailbox/>
  <InheritedWebAddress>WebAddress</InheritedWebAddress>
  <OrgaEntity1>
    <Id>c91964bb-675a-43ed-8363-154a0252b52d</Id>
    <LogicalLevel>1</LogicalLevel>
    <Name>ECHO</Name>
    <HeadLine1>DIRECTORATE-GENERAL FOR EUROPEAN CIVIL PROTECTION AND HUMANITARIAN AID</HeadLine1>
    <HeadLine2>OPERATIONS (ECHO)</HeadLine2>
    <PrimaryAddressId>f03b5801-04c9-4931-aa17-c6d6c70bc579</PrimaryAddressId>
    <SecondaryAddressId/>
    <WebAddress>WebAddress</WebAddress>
    <InheritedWebAddress>WebAddress</InheritedWebAddress>
    <ShowInHeader>true</ShowInHeader>
  </OrgaEntity1>
  <OrgaEntity2>
    <Id>e6395c89-3d79-4b56-99aa-b1d1d13483ca</Id>
    <LogicalLevel>2</LogicalLevel>
    <Name>ECHO.E</Name>
    <HeadLine1>General Affairs</HeadLine1>
    <HeadLine2/>
    <PrimaryAddressId>f03b5801-04c9-4931-aa17-c6d6c70bc579</PrimaryAddressId>
    <SecondaryAddressId/>
    <WebAddress/>
    <InheritedWebAddress>WebAddress</InheritedWebAddress>
    <ShowInHeader>true</ShowInHeader>
  </OrgaEntity2>
  <OrgaEntity3>
    <Id>f39cdbcb-92e5-4160-9f57-ef160638b34f</Id>
    <LogicalLevel>3</LogicalLevel>
    <Name>ECHO.E.2</Name>
    <HeadLine1>Programming, Control and Reporting</HeadLine1>
    <HeadLine2/>
    <PrimaryAddressId>f03b5801-04c9-4931-aa17-c6d6c70bc579</PrimaryAddressId>
    <SecondaryAddressId/>
    <WebAddress/>
    <InheritedWebAddress>WebAddress</InheritedWebAddress>
    <ShowInHeader>true</ShowInHeader>
  </OrgaEntity3>
  <Hierarchy>
    <OrgaEntity>
      <Id>c91964bb-675a-43ed-8363-154a0252b52d</Id>
      <LogicalLevel>1</LogicalLevel>
      <Name>ECHO</Name>
      <HeadLine1>DIRECTORATE-GENERAL FOR EUROPEAN CIVIL PROTECTION AND HUMANITARIAN AID</HeadLine1>
      <HeadLine2>OPERATIONS (ECHO)</HeadLine2>
      <PrimaryAddressId>f03b5801-04c9-4931-aa17-c6d6c70bc579</PrimaryAddressId>
      <SecondaryAddressId/>
      <WebAddress>WebAddress</WebAddress>
      <InheritedWebAddress>WebAddress</InheritedWebAddress>
      <ShowInHeader>true</ShowInHeader>
    </OrgaEntity>
    <OrgaEntity>
      <Id>e6395c89-3d79-4b56-99aa-b1d1d13483ca</Id>
      <LogicalLevel>2</LogicalLevel>
      <Name>ECHO.E</Name>
      <HeadLine1>General Affairs</HeadLine1>
      <HeadLine2/>
      <PrimaryAddressId>f03b5801-04c9-4931-aa17-c6d6c70bc579</PrimaryAddressId>
      <SecondaryAddressId/>
      <WebAddress/>
      <InheritedWebAddress>WebAddress</InheritedWebAddress>
      <ShowInHeader>true</ShowInHeader>
    </OrgaEntity>
    <OrgaEntity>
      <Id>f39cdbcb-92e5-4160-9f57-ef160638b34f</Id>
      <LogicalLevel>3</LogicalLevel>
      <Name>ECHO.E.2</Name>
      <HeadLine1>Programming, Control and Reporting</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+32 229-62849</Phone>
    <Office>L-86 04/056</Office>
  </MainWorkplace>
  <Workplaces>
    <Workplace IsMain="true">
      <AddressId>f03b5801-04c9-4931-aa17-c6d6c70bc579</AddressId>
      <Fax/>
      <Phone>+32 229-62849</Phone>
      <Office>L-86 04/056</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EurolookProperties>
  <ProductCustomizationId>EC</ProductCustomizationId>
  <Created>
    <Version>10.0.44709.0</Version>
    <Date>2023-05-04T09:21:56</Date>
    <Language>EN</Language>
    <Note/>
  </Created>
  <Edited>
    <Version/>
    <Date/>
  </Edited>
  <DocumentModel>
    <Id>6cbda13a-4db2-46c6-876a-ef72275827ef</Id>
    <Name>Report</Name>
  </DocumentModel>
  <CustomTemplate>
    <Id/>
    <Name/>
  </CustomTemplate>
  <DocumentDate>2023-05-04T09:21:56</DocumentDate>
  <DocumentVersion>0.1</DocumentVersion>
  <CompatibilityMode>Eurolook10</CompatibilityMode>
  <DocumentMetadata>
    <EC_SecurityDateMarkingEvent MetadataSerializationType="SimpleValue"/>
    <EC_SecurityDistributionWorkingGroup MetadataSerializationType="SimpleValue"/>
    <EC_SecurityDistributionSpecialHandling MetadataSerializationType="SimpleValue"/>
    <EC_SecurityDistributionSensitive MetadataSerializationType="SimpleValue"/>
    <EC_SecurityDistributionDG MetadataSerializationType="SimpleValue"/>
    <EC_SecurityDateMarkingDate MetadataSerializationType="SimpleValue"/>
    <EC_SecurityMarking MetadataSerializationType="SimpleValue"/>
    <EC_SecurityReleasability MetadataSerializationType="SimpleValue"/>
    <EC_SecurityDateMarking MetadataSerializationType="SimpleValue"/>
  </DocumentMetadata>
</Eurolook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15" ma:contentTypeDescription="Create a new document." ma:contentTypeScope="" ma:versionID="96f66992379882525ce1617ec178c7b8">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d2f6025f22f4fbc568639e614ccf857c"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6d8ba7-8bd2-494a-891f-35f3883725b5}" ma:internalName="TaxCatchAll" ma:showField="CatchAllData" ma:web="d0b4669b-3562-445a-a428-e501203eb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A9C6-406A-4BC2-9C13-5DBD576EAE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0b4669b-3562-445a-a428-e501203eb641"/>
    <ds:schemaRef ds:uri="http://purl.org/dc/elements/1.1/"/>
    <ds:schemaRef ds:uri="http://schemas.microsoft.com/office/2006/metadata/properties"/>
    <ds:schemaRef ds:uri="d07530ff-ae8d-4383-9420-67306a016191"/>
    <ds:schemaRef ds:uri="http://www.w3.org/XML/1998/namespace"/>
    <ds:schemaRef ds:uri="http://purl.org/dc/dcmitype/"/>
  </ds:schemaRefs>
</ds:datastoreItem>
</file>

<file path=customXml/itemProps2.xml><?xml version="1.0" encoding="utf-8"?>
<ds:datastoreItem xmlns:ds="http://schemas.openxmlformats.org/officeDocument/2006/customXml" ds:itemID="{60200E2F-7EB8-4DBE-8ADC-2077EA094298}">
  <ds:schemaRefs/>
</ds:datastoreItem>
</file>

<file path=customXml/itemProps3.xml><?xml version="1.0" encoding="utf-8"?>
<ds:datastoreItem xmlns:ds="http://schemas.openxmlformats.org/officeDocument/2006/customXml" ds:itemID="{0C39C6AC-3EB5-4E66-A720-75C4FA2AD98F}">
  <ds:schemaRefs>
    <ds:schemaRef ds:uri="http://schemas.microsoft.com/sharepoint/v3/contenttype/forms"/>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681470FC-B37C-42E6-9B45-2C314915F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C4D33A10-E0EA-4BD8-AF0C-A14EF7E3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3813</Words>
  <Characters>21697</Characters>
  <Application>Microsoft Office Word</Application>
  <DocSecurity>0</DocSecurity>
  <PresentationFormat>Microsoft Word 14.0</PresentationFormat>
  <Lines>349</Lines>
  <Paragraphs>73</Paragraphs>
  <ScaleCrop>true</ScaleCrop>
  <HeadingPairs>
    <vt:vector size="2" baseType="variant">
      <vt:variant>
        <vt:lpstr>Title</vt:lpstr>
      </vt:variant>
      <vt:variant>
        <vt:i4>1</vt:i4>
      </vt:variant>
    </vt:vector>
  </HeadingPairs>
  <TitlesOfParts>
    <vt:vector size="1" baseType="lpstr">
      <vt:lpstr>REPORT FROM THE COMMISSION TO THE EUROPEAN PARLIAMENT AND THE COUNCIL</vt:lpstr>
    </vt:vector>
  </TitlesOfParts>
  <Manager/>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EUROPEAN PARLIAMENT AND THE COUNCIL</dc:title>
  <dc:subject>Annual Report on the European Union´s humanitarian aid operations financed in 2022</dc:subject>
  <dc:creator/>
  <cp:keywords/>
  <dc:description/>
  <cp:lastModifiedBy>EC CoDe</cp:lastModifiedBy>
  <cp:revision>28</cp:revision>
  <dcterms:created xsi:type="dcterms:W3CDTF">2023-08-21T06:05:00Z</dcterms:created>
  <dcterms:modified xsi:type="dcterms:W3CDTF">2023-08-30T08:08:00Z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2023-05-04T08:02:43Z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10803b20-ff0d-4300-b748-cbb1927c56d6</vt:lpwstr>
  </property>
  <property fmtid="{D5CDD505-2E9C-101B-9397-08002B2CF9AE}" pid="8" name="MSIP_Label_6bd9ddd1-4d20-43f6-abfa-fc3c07406f94_ContentBits">
    <vt:lpwstr>0</vt:lpwstr>
  </property>
  <property fmtid="{D5CDD505-2E9C-101B-9397-08002B2CF9AE}" pid="9" name="ContentTypeId">
    <vt:lpwstr>0x01010043D24022E66C1540A3B1E037465E0CE3</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_LW_INVALIDATED_EurolookVersion">
    <vt:lpwstr>10.0</vt:lpwstr>
  </property>
  <property fmtid="{D5CDD505-2E9C-101B-9397-08002B2CF9AE}" pid="13" name="_LW_INVALIDATED_ELDocType">
    <vt:lpwstr>rep.dot</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y fmtid="{D5CDD505-2E9C-101B-9397-08002B2CF9AE}" pid="17" name="CPTemplateID">
    <vt:lpwstr>CP-006</vt:lpwstr>
  </property>
  <property fmtid="{D5CDD505-2E9C-101B-9397-08002B2CF9AE}" pid="18" name="Last edited using">
    <vt:lpwstr>LW 9.0, Build 20230317</vt:lpwstr>
  </property>
  <property fmtid="{D5CDD505-2E9C-101B-9397-08002B2CF9AE}" pid="19" name="Created using">
    <vt:lpwstr>LW 9.0, Build 20230317</vt:lpwstr>
  </property>
</Properties>
</file>