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63323" w14:textId="20A10A7B" w:rsidR="00B171F7" w:rsidRPr="00354348" w:rsidRDefault="00750293" w:rsidP="00750293">
      <w:pPr>
        <w:pStyle w:val="Pagedecouverture"/>
        <w:rPr>
          <w:noProof/>
        </w:rPr>
      </w:pPr>
      <w:r>
        <w:rPr>
          <w:noProof/>
        </w:rPr>
        <w:pict w14:anchorId="18478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6BA723D2-A867-4351-82B2-558082EA4577" style="width:455.25pt;height:456.75pt">
            <v:imagedata r:id="rId11" o:title=""/>
          </v:shape>
        </w:pict>
      </w:r>
    </w:p>
    <w:p w14:paraId="0E446B2F" w14:textId="77777777" w:rsidR="00B171F7" w:rsidRPr="00354348" w:rsidRDefault="00B171F7" w:rsidP="00B171F7">
      <w:pPr>
        <w:rPr>
          <w:noProof/>
        </w:rPr>
        <w:sectPr w:rsidR="00B171F7" w:rsidRPr="00354348" w:rsidSect="00750293">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71D096A7" w14:textId="77777777" w:rsidR="00B171F7" w:rsidRPr="00354348" w:rsidRDefault="00B171F7" w:rsidP="00B171F7">
      <w:pPr>
        <w:pStyle w:val="Annexetitre"/>
        <w:rPr>
          <w:noProof/>
        </w:rPr>
      </w:pPr>
      <w:bookmarkStart w:id="0" w:name="_GoBack"/>
      <w:bookmarkEnd w:id="0"/>
      <w:r w:rsidRPr="00354348">
        <w:rPr>
          <w:noProof/>
        </w:rPr>
        <w:lastRenderedPageBreak/>
        <w:t>ANEXĂ</w:t>
      </w:r>
    </w:p>
    <w:p w14:paraId="6A3087CA" w14:textId="36769EAB" w:rsidR="0089129F" w:rsidRPr="00354348" w:rsidRDefault="00DF24D2" w:rsidP="0012021E">
      <w:pPr>
        <w:spacing w:before="240" w:after="0"/>
        <w:jc w:val="center"/>
        <w:rPr>
          <w:b/>
          <w:noProof/>
        </w:rPr>
      </w:pPr>
      <w:r w:rsidRPr="00354348">
        <w:rPr>
          <w:noProof/>
        </w:rPr>
        <w:t xml:space="preserve">PROIECT </w:t>
      </w:r>
      <w:r w:rsidRPr="00354348">
        <w:rPr>
          <w:noProof/>
        </w:rPr>
        <w:br/>
      </w:r>
      <w:r w:rsidRPr="00354348">
        <w:rPr>
          <w:b/>
          <w:noProof/>
        </w:rPr>
        <w:t xml:space="preserve">DECIZIA Nr. </w:t>
      </w:r>
      <w:r w:rsidRPr="00D02AF1">
        <w:rPr>
          <w:b/>
          <w:noProof/>
        </w:rPr>
        <w:t>X/2023</w:t>
      </w:r>
      <w:r w:rsidRPr="00354348">
        <w:rPr>
          <w:noProof/>
        </w:rPr>
        <w:t xml:space="preserve"> </w:t>
      </w:r>
      <w:r w:rsidRPr="00354348">
        <w:rPr>
          <w:noProof/>
        </w:rPr>
        <w:br/>
      </w:r>
      <w:r w:rsidRPr="00354348">
        <w:rPr>
          <w:b/>
          <w:bCs/>
          <w:noProof/>
        </w:rPr>
        <w:t>A COMITETULUI DE ASOCIERE UE-MOLDOVA</w:t>
      </w:r>
      <w:r w:rsidRPr="00354348">
        <w:rPr>
          <w:b/>
          <w:noProof/>
        </w:rPr>
        <w:t xml:space="preserve"> </w:t>
      </w:r>
      <w:r w:rsidRPr="00354348">
        <w:rPr>
          <w:noProof/>
        </w:rPr>
        <w:br/>
      </w:r>
      <w:r w:rsidRPr="00354348">
        <w:rPr>
          <w:b/>
          <w:bCs/>
          <w:noProof/>
        </w:rPr>
        <w:t>REUNIT ÎN CONFIGURAȚIA „COMERȚ”</w:t>
      </w:r>
    </w:p>
    <w:p w14:paraId="62D64BCA" w14:textId="77777777" w:rsidR="0089129F" w:rsidRPr="00354348" w:rsidRDefault="0089129F" w:rsidP="0012021E">
      <w:pPr>
        <w:spacing w:before="240" w:after="0"/>
        <w:jc w:val="center"/>
        <w:rPr>
          <w:b/>
          <w:noProof/>
        </w:rPr>
      </w:pPr>
      <w:r w:rsidRPr="00354348">
        <w:rPr>
          <w:b/>
          <w:noProof/>
        </w:rPr>
        <w:t xml:space="preserve">din </w:t>
      </w:r>
      <w:r w:rsidRPr="00D02AF1">
        <w:rPr>
          <w:b/>
          <w:noProof/>
        </w:rPr>
        <w:t>xxx 2023</w:t>
      </w:r>
    </w:p>
    <w:p w14:paraId="52266471" w14:textId="1AB1F670" w:rsidR="0089129F" w:rsidRPr="00354348" w:rsidRDefault="0089129F" w:rsidP="0012021E">
      <w:pPr>
        <w:spacing w:before="240" w:after="240"/>
        <w:jc w:val="center"/>
        <w:rPr>
          <w:b/>
          <w:noProof/>
        </w:rPr>
      </w:pPr>
      <w:r w:rsidRPr="00354348">
        <w:rPr>
          <w:b/>
          <w:bCs/>
          <w:noProof/>
        </w:rPr>
        <w:t>de modificare a anexei XXVIII-B (Norme aplicabile serviciilor de telecomunicații)</w:t>
      </w:r>
      <w:r w:rsidRPr="00354348">
        <w:rPr>
          <w:noProof/>
        </w:rPr>
        <w:br/>
      </w:r>
      <w:r w:rsidRPr="00354348">
        <w:rPr>
          <w:b/>
          <w:bCs/>
          <w:noProof/>
        </w:rPr>
        <w:t>și a anexei XXVIII-C (Norme aplicabile serviciilor poștale și de curierat),</w:t>
      </w:r>
      <w:r w:rsidRPr="00354348">
        <w:rPr>
          <w:b/>
          <w:noProof/>
        </w:rPr>
        <w:t xml:space="preserve"> </w:t>
      </w:r>
      <w:r w:rsidRPr="00354348">
        <w:rPr>
          <w:noProof/>
        </w:rPr>
        <w:br/>
      </w:r>
      <w:r w:rsidRPr="00354348">
        <w:rPr>
          <w:b/>
          <w:bCs/>
          <w:noProof/>
        </w:rPr>
        <w:t>la Acordul de asociere</w:t>
      </w:r>
      <w:r w:rsidRPr="00354348">
        <w:rPr>
          <w:noProof/>
        </w:rPr>
        <w:br/>
      </w:r>
      <w:r w:rsidRPr="00354348">
        <w:rPr>
          <w:b/>
          <w:bCs/>
          <w:noProof/>
        </w:rPr>
        <w:t>dintre Uniunea Europeană și Comunitatea Europeană a Energiei Atomice</w:t>
      </w:r>
      <w:r w:rsidRPr="00354348">
        <w:rPr>
          <w:b/>
          <w:noProof/>
        </w:rPr>
        <w:br/>
      </w:r>
      <w:r w:rsidRPr="00354348">
        <w:rPr>
          <w:b/>
          <w:bCs/>
          <w:noProof/>
        </w:rPr>
        <w:t>și statele membre ale acestora, pe de o parte,</w:t>
      </w:r>
      <w:r w:rsidRPr="00354348">
        <w:rPr>
          <w:b/>
          <w:noProof/>
        </w:rPr>
        <w:t xml:space="preserve"> </w:t>
      </w:r>
      <w:r w:rsidRPr="00354348">
        <w:rPr>
          <w:b/>
          <w:noProof/>
        </w:rPr>
        <w:br/>
      </w:r>
      <w:r w:rsidRPr="00354348">
        <w:rPr>
          <w:b/>
          <w:bCs/>
          <w:noProof/>
        </w:rPr>
        <w:t>și Republica Moldova, pe de altă parte</w:t>
      </w:r>
    </w:p>
    <w:p w14:paraId="25E817A6" w14:textId="77777777" w:rsidR="0089129F" w:rsidRPr="00354348" w:rsidRDefault="0089129F" w:rsidP="006E2932">
      <w:pPr>
        <w:spacing w:after="240"/>
        <w:rPr>
          <w:noProof/>
        </w:rPr>
      </w:pPr>
      <w:r w:rsidRPr="00354348">
        <w:rPr>
          <w:noProof/>
        </w:rPr>
        <w:t>COMITETUL DE ASOCIERE REUNIT ÎN CONFIGURAȚIA „COMERȚ” (denumit în continuare „Comitetul pentru comerț”),</w:t>
      </w:r>
    </w:p>
    <w:p w14:paraId="53DFF18D" w14:textId="77777777" w:rsidR="0089129F" w:rsidRPr="00354348" w:rsidRDefault="0089129F" w:rsidP="006E2932">
      <w:pPr>
        <w:rPr>
          <w:noProof/>
        </w:rPr>
      </w:pPr>
      <w:r w:rsidRPr="00354348">
        <w:rPr>
          <w:noProof/>
        </w:rPr>
        <w:t>având în vedere Acordul de asociere dintre Uniunea Europeană și Comunitatea Europeană a Energiei Atomice și statele membre ale acestora, pe de o parte, și Republica Moldova, pe de altă parte, în special articolele 102, 230 și 240,</w:t>
      </w:r>
    </w:p>
    <w:p w14:paraId="51429B8B" w14:textId="4F3ACA49" w:rsidR="0089129F" w:rsidRPr="00354348" w:rsidRDefault="0089129F" w:rsidP="006E2932">
      <w:pPr>
        <w:rPr>
          <w:noProof/>
        </w:rPr>
      </w:pPr>
      <w:r w:rsidRPr="00354348">
        <w:rPr>
          <w:noProof/>
        </w:rPr>
        <w:t>având în vedere Decizia nr. 3/2014 a Consiliului de asoc</w:t>
      </w:r>
      <w:r w:rsidR="005B494C">
        <w:rPr>
          <w:noProof/>
        </w:rPr>
        <w:t>iere UE-Republica Moldova din 16</w:t>
      </w:r>
      <w:r w:rsidRPr="00354348">
        <w:rPr>
          <w:noProof/>
        </w:rPr>
        <w:t xml:space="preserve"> decembrie 2014 privind delegarea anumitor competențe de către Consiliul de asociere Comitetului de asociere reunit în configurația comerț,</w:t>
      </w:r>
    </w:p>
    <w:p w14:paraId="0355FDDD" w14:textId="77777777" w:rsidR="0089129F" w:rsidRPr="00354348" w:rsidRDefault="0089129F" w:rsidP="006E2932">
      <w:pPr>
        <w:rPr>
          <w:noProof/>
        </w:rPr>
      </w:pPr>
      <w:r w:rsidRPr="00354348">
        <w:rPr>
          <w:noProof/>
        </w:rPr>
        <w:t>întrucât:</w:t>
      </w:r>
    </w:p>
    <w:p w14:paraId="14F8BD03" w14:textId="77777777" w:rsidR="0089129F" w:rsidRPr="00354348" w:rsidRDefault="0089129F" w:rsidP="00DE7CBF">
      <w:pPr>
        <w:pStyle w:val="ManualConsidrant"/>
        <w:rPr>
          <w:noProof/>
        </w:rPr>
      </w:pPr>
      <w:r w:rsidRPr="00354348">
        <w:rPr>
          <w:noProof/>
        </w:rPr>
        <w:t>(1)</w:t>
      </w:r>
      <w:r w:rsidRPr="00354348">
        <w:rPr>
          <w:noProof/>
        </w:rPr>
        <w:tab/>
        <w:t>Acordul de asociere dintre Uniunea Europeană și Comunitatea Europeană a Energiei Atomice și statele membre ale acestora, pe de o parte, și Republica Moldova, pe de altă parte (denumit în continuare „acordul”) a intrat în vigoare la 1 iulie 2016.</w:t>
      </w:r>
    </w:p>
    <w:p w14:paraId="2577D8A2" w14:textId="77777777" w:rsidR="0089129F" w:rsidRPr="00354348" w:rsidRDefault="0089129F" w:rsidP="00DE7CBF">
      <w:pPr>
        <w:pStyle w:val="ManualConsidrant"/>
        <w:rPr>
          <w:noProof/>
        </w:rPr>
      </w:pPr>
      <w:r w:rsidRPr="00354348">
        <w:rPr>
          <w:noProof/>
        </w:rPr>
        <w:t>(2)</w:t>
      </w:r>
      <w:r w:rsidRPr="00354348">
        <w:rPr>
          <w:noProof/>
        </w:rPr>
        <w:tab/>
        <w:t xml:space="preserve">Articolul 1 alineatul (2) litera (g) din acord prevede că scopul acordului este, printre altele, de a stabili condiții pentru consolidarea relațiilor economice și comerciale care să conducă la integrarea treptată a Republicii Moldova pe piața internă a UE, astfel cum se prevede în acord, inclusiv prin instituirea unei zone de liber schimb aprofundate și cuprinzătoare, care să prevadă o apropiere amplă a reglementărilor și liberalizarea accesului pe piață, în conformitate cu drepturile și obligațiile care decurg din calitatea de membru al OMC și aplicarea transparentă a acestor drepturi și obligații. </w:t>
      </w:r>
    </w:p>
    <w:p w14:paraId="01BE8FB4" w14:textId="77777777" w:rsidR="0089129F" w:rsidRPr="00354348" w:rsidRDefault="0089129F" w:rsidP="00DE7CBF">
      <w:pPr>
        <w:pStyle w:val="ManualConsidrant"/>
        <w:rPr>
          <w:noProof/>
        </w:rPr>
      </w:pPr>
      <w:r w:rsidRPr="00354348">
        <w:rPr>
          <w:noProof/>
        </w:rPr>
        <w:t>(3)</w:t>
      </w:r>
      <w:r w:rsidRPr="00354348">
        <w:rPr>
          <w:noProof/>
        </w:rPr>
        <w:tab/>
        <w:t xml:space="preserve">Articolul 102 din acord prevede că Moldova realizează apropierea legislației sale naționale de actele normative ale UE și de instrumentele internaționale menționate în anexa XXVIII-B la acord, în conformitate cu dispozițiile din anexa respectivă. </w:t>
      </w:r>
    </w:p>
    <w:p w14:paraId="069B9F7F" w14:textId="77777777" w:rsidR="0089129F" w:rsidRPr="00354348" w:rsidRDefault="0089129F" w:rsidP="00DE7CBF">
      <w:pPr>
        <w:pStyle w:val="ManualConsidrant"/>
        <w:rPr>
          <w:noProof/>
        </w:rPr>
      </w:pPr>
      <w:r w:rsidRPr="00354348">
        <w:rPr>
          <w:noProof/>
        </w:rPr>
        <w:t>(4)</w:t>
      </w:r>
      <w:r w:rsidRPr="00354348">
        <w:rPr>
          <w:noProof/>
        </w:rPr>
        <w:tab/>
        <w:t>Articolul 230 din acord prevede că Moldova realizează apropierea legislației sale naționale de actele normative ale UE și de instrumentele internaționale menționate în anexa XXVIII-C la acord, în conformitate cu dispozițiile din anexa respectivă.</w:t>
      </w:r>
    </w:p>
    <w:p w14:paraId="1B4279F9" w14:textId="725BFE7B" w:rsidR="0089129F" w:rsidRPr="00354348" w:rsidRDefault="0089129F" w:rsidP="00DE7CBF">
      <w:pPr>
        <w:pStyle w:val="ManualConsidrant"/>
        <w:rPr>
          <w:noProof/>
        </w:rPr>
      </w:pPr>
      <w:r w:rsidRPr="00354348">
        <w:rPr>
          <w:noProof/>
        </w:rPr>
        <w:t>(5)</w:t>
      </w:r>
      <w:r w:rsidRPr="00354348">
        <w:rPr>
          <w:noProof/>
        </w:rPr>
        <w:tab/>
        <w:t xml:space="preserve">Moldova a solicitat continuarea liberalizării accesului pe piață în ceea ce privește roamingul. </w:t>
      </w:r>
    </w:p>
    <w:p w14:paraId="604DFDB8" w14:textId="2DCC6814" w:rsidR="0089129F" w:rsidRPr="00354348" w:rsidRDefault="0089129F" w:rsidP="00DE7CBF">
      <w:pPr>
        <w:pStyle w:val="ManualConsidrant"/>
        <w:rPr>
          <w:noProof/>
        </w:rPr>
      </w:pPr>
      <w:r w:rsidRPr="00354348">
        <w:rPr>
          <w:noProof/>
        </w:rPr>
        <w:t>(6)</w:t>
      </w:r>
      <w:r w:rsidRPr="00354348">
        <w:rPr>
          <w:noProof/>
        </w:rPr>
        <w:tab/>
        <w:t xml:space="preserve">Normele privind roamingul fac parte din </w:t>
      </w:r>
      <w:r w:rsidRPr="00354348">
        <w:rPr>
          <w:i/>
          <w:iCs/>
          <w:noProof/>
        </w:rPr>
        <w:t>acquis</w:t>
      </w:r>
      <w:r w:rsidRPr="00354348">
        <w:rPr>
          <w:noProof/>
        </w:rPr>
        <w:t>-ul UE în domeniul telecomunicațiilor, dar nu au fost incluse în anexa XXVIII-B (Norme aplicabile serviciilor de telecomunicații) la momentul în care a fost încheiat acordul. Prin urmare, anexa XXVIII-B ar trebui să fie completată cu actele relevante ale UE referitoare la roaming.</w:t>
      </w:r>
    </w:p>
    <w:p w14:paraId="2B0B563F" w14:textId="2893ACB2" w:rsidR="0089129F" w:rsidRPr="00354348" w:rsidRDefault="0089129F" w:rsidP="00DE7CBF">
      <w:pPr>
        <w:pStyle w:val="ManualConsidrant"/>
        <w:rPr>
          <w:noProof/>
        </w:rPr>
      </w:pPr>
      <w:r w:rsidRPr="00354348">
        <w:rPr>
          <w:noProof/>
        </w:rPr>
        <w:t>(7)</w:t>
      </w:r>
      <w:r w:rsidRPr="00354348">
        <w:rPr>
          <w:noProof/>
        </w:rPr>
        <w:tab/>
        <w:t>În stadiul actual de dezvoltare economică și juridică a pieței interne a UE în ceea ce privește serviciile de telecomunicații, actele relevante ale UE privind roamingul sunt următoarele: Directiva (UE) 2018/1972 a Parlamentului European și a Consiliului din 11 decembrie 2018 de instituire a Codului european al comunicațiilor electronice (reformare) („CECE”), Regulamentul (UE) 2022/612 al Parlamentului European și al Consiliului din 6 aprilie 2022 privind roamingul în rețelele publice de comunicații mobile în interiorul Uniunii (reformare), Regulamentul de punere în aplicare (UE) 2016/2286 al Comisiei de stabilire a unor norme detaliate cu privire la aplicarea politicii utilizării rezonabile, precum și la metodologia pentru derogările în vederea menținerii sustenabilității, Regulamentul delegat (UE) 2021/654 al Comisiei de completare a Directivei (UE) 2018/1972 a Parlamentului European și a Consiliului prin stabilirea unui tarif maxim unic la nivelul Uniunii de terminare a apelurilor de voce în rețelele mobile și a unui tarif maxim unic la nivelul Uniunii de terminare a apelurilor de voce în rețelele fixe și Regulamentul (UE) 2018/1971 al Parlamentului European și al Consiliului din 11 decembrie 2018 de instituire a Organismului Autorităților Europene de Reglementare în Domeniul Comunicațiilor Electronice (OAREC) și a Agenției de sprijin pentru OAREC (Oficiul OAREC) și de modificare a Regulamentului (UE) 2015/2120 și de abrogare a Regulamentului (CE) nr. 1211/2009.</w:t>
      </w:r>
    </w:p>
    <w:p w14:paraId="6CF87B50" w14:textId="77777777" w:rsidR="0089129F" w:rsidRPr="00354348" w:rsidRDefault="0089129F" w:rsidP="00DE7CBF">
      <w:pPr>
        <w:pStyle w:val="ManualConsidrant"/>
        <w:rPr>
          <w:noProof/>
        </w:rPr>
      </w:pPr>
      <w:r w:rsidRPr="00354348">
        <w:rPr>
          <w:noProof/>
        </w:rPr>
        <w:t>(8)</w:t>
      </w:r>
      <w:r w:rsidRPr="00354348">
        <w:rPr>
          <w:noProof/>
        </w:rPr>
        <w:tab/>
        <w:t xml:space="preserve">Articolul 1 alineatul (4) din Regulamentul (UE) 2022/612 și articolul 3 alineatul (2) și alineatul (3) din Regulamentul delegat (UE) 2021/654 al Comisiei se referă la cursurile de schimb de referință publicate de Banca Centrală Europeană în </w:t>
      </w:r>
      <w:r w:rsidRPr="00354348">
        <w:rPr>
          <w:i/>
          <w:iCs/>
          <w:noProof/>
        </w:rPr>
        <w:t>Jurnalul Oficial al Uniunii Europene</w:t>
      </w:r>
      <w:r w:rsidRPr="00354348">
        <w:rPr>
          <w:noProof/>
        </w:rPr>
        <w:t>. Banca Centrală Europeană nu publică în prezent cursurile de schimb pentru leul moldovenesc. Prin urmare, este necesară o adaptare în ceea ce privește aceste dispoziții pentru a prevedea utilizarea cursurilor de schimb dintre euro și leul moldovenesc publicate de Banca Națională a Moldovei atât timp cât Banca Centrală Europeană nu publică cursurile de schimb pentru leul moldovenesc.</w:t>
      </w:r>
    </w:p>
    <w:p w14:paraId="139F9065" w14:textId="77777777" w:rsidR="0089129F" w:rsidRPr="00354348" w:rsidRDefault="0089129F" w:rsidP="00DE7CBF">
      <w:pPr>
        <w:pStyle w:val="ManualConsidrant"/>
        <w:rPr>
          <w:noProof/>
        </w:rPr>
      </w:pPr>
      <w:r w:rsidRPr="00354348">
        <w:rPr>
          <w:noProof/>
        </w:rPr>
        <w:t>(9)</w:t>
      </w:r>
      <w:r w:rsidRPr="00354348">
        <w:rPr>
          <w:noProof/>
        </w:rPr>
        <w:tab/>
        <w:t xml:space="preserve">În plus, </w:t>
      </w:r>
      <w:r w:rsidRPr="00354348">
        <w:rPr>
          <w:i/>
          <w:iCs/>
          <w:noProof/>
        </w:rPr>
        <w:t>acquis</w:t>
      </w:r>
      <w:r w:rsidRPr="00354348">
        <w:rPr>
          <w:noProof/>
        </w:rPr>
        <w:t xml:space="preserve">-ul Uniunii menționat în anexa XXVIII-B a evoluat de la ultima actualizare a anexei din 4 octombrie 2019, iar </w:t>
      </w:r>
      <w:r w:rsidRPr="00354348">
        <w:rPr>
          <w:i/>
          <w:iCs/>
          <w:noProof/>
        </w:rPr>
        <w:t>acquis</w:t>
      </w:r>
      <w:r w:rsidRPr="00354348">
        <w:rPr>
          <w:noProof/>
        </w:rPr>
        <w:t xml:space="preserve">-ul Uniunii menționat în anexa XXVIII-C a evoluat de la intrarea în vigoare a acordului. </w:t>
      </w:r>
    </w:p>
    <w:p w14:paraId="6B732E8F" w14:textId="77777777" w:rsidR="0089129F" w:rsidRPr="00354348" w:rsidRDefault="0089129F" w:rsidP="00DE7CBF">
      <w:pPr>
        <w:pStyle w:val="ManualConsidrant"/>
        <w:rPr>
          <w:noProof/>
        </w:rPr>
      </w:pPr>
      <w:r w:rsidRPr="00354348">
        <w:rPr>
          <w:noProof/>
        </w:rPr>
        <w:t>(10)</w:t>
      </w:r>
      <w:r w:rsidRPr="00354348">
        <w:rPr>
          <w:noProof/>
        </w:rPr>
        <w:tab/>
        <w:t xml:space="preserve">Prin urmare, este necesar să se actualizeze și să se modifice anexele XXVIII-B și XXVIII-C la acord prin adăugarea actelor care sunt menționate la punctele 7 și 9 la anexele XXVIII-B și XXVIII-C la acord și prin eliminarea anumitor acte pe care acestea le înlocuiesc. </w:t>
      </w:r>
    </w:p>
    <w:p w14:paraId="3CCE02CF" w14:textId="15A7C950" w:rsidR="0089129F" w:rsidRPr="00354348" w:rsidRDefault="0089129F" w:rsidP="00837E44">
      <w:pPr>
        <w:pStyle w:val="ManualConsidrant"/>
        <w:rPr>
          <w:noProof/>
        </w:rPr>
      </w:pPr>
      <w:r w:rsidRPr="00354348">
        <w:rPr>
          <w:noProof/>
        </w:rPr>
        <w:t>(11)</w:t>
      </w:r>
      <w:r w:rsidRPr="00354348">
        <w:rPr>
          <w:noProof/>
        </w:rPr>
        <w:tab/>
        <w:t>La 16 decembrie 2014, prin intermediul Deciziei nr. 3/2014, Consiliul de asociere a delegat Comitetului de asociere reunit în configurația comerț, menționat la articolul 438 alineatul (3) din acord, competența de a actualiza sau de a modifica anumite anexe la acord care se referă la comerț.</w:t>
      </w:r>
    </w:p>
    <w:p w14:paraId="464E978A" w14:textId="47BA9D04" w:rsidR="0089129F" w:rsidRPr="00354348" w:rsidRDefault="0089129F" w:rsidP="00837E44">
      <w:pPr>
        <w:pStyle w:val="ManualConsidrant"/>
        <w:rPr>
          <w:noProof/>
        </w:rPr>
      </w:pPr>
      <w:r w:rsidRPr="00354348">
        <w:rPr>
          <w:noProof/>
        </w:rPr>
        <w:t>(12)</w:t>
      </w:r>
      <w:bookmarkStart w:id="1" w:name="_Hlk127977998"/>
      <w:r w:rsidRPr="00354348">
        <w:rPr>
          <w:noProof/>
        </w:rPr>
        <w:tab/>
        <w:t>De îndată ce Moldova consideră că un anumit act juridic al UE a fost adoptat și pus în aplicare în mod corespunzător, Moldova va transmite cosecretarului UE al Comitetului de asociere reunit în configurația „Comerț” tabelele de transpunere relevante, împreună cu o traducere oficială în limba engleză a actului juridic de punere în aplicare al Moldovei,</w:t>
      </w:r>
      <w:bookmarkEnd w:id="1"/>
    </w:p>
    <w:p w14:paraId="501868E4" w14:textId="77777777" w:rsidR="0089129F" w:rsidRPr="00354348" w:rsidRDefault="0089129F" w:rsidP="006D2CDF">
      <w:pPr>
        <w:rPr>
          <w:noProof/>
        </w:rPr>
      </w:pPr>
      <w:r w:rsidRPr="00354348">
        <w:rPr>
          <w:noProof/>
        </w:rPr>
        <w:t>ADOPTĂ PREZENTA DECIZIE:</w:t>
      </w:r>
    </w:p>
    <w:p w14:paraId="537CD1E9" w14:textId="77777777" w:rsidR="0089129F" w:rsidRPr="00354348" w:rsidRDefault="0089129F" w:rsidP="00DE7CBF">
      <w:pPr>
        <w:pStyle w:val="Titrearticle"/>
        <w:rPr>
          <w:noProof/>
        </w:rPr>
      </w:pPr>
      <w:r w:rsidRPr="00354348">
        <w:rPr>
          <w:noProof/>
        </w:rPr>
        <w:t>Articolul 1</w:t>
      </w:r>
    </w:p>
    <w:p w14:paraId="768DC4BD" w14:textId="673675FF" w:rsidR="0089129F" w:rsidRPr="00354348" w:rsidRDefault="0089129F" w:rsidP="00F0173D">
      <w:pPr>
        <w:rPr>
          <w:noProof/>
        </w:rPr>
      </w:pPr>
      <w:r w:rsidRPr="00354348">
        <w:rPr>
          <w:noProof/>
        </w:rPr>
        <w:t>Anexa XXVIII-B (Norme aplicabile serviciilor de telecomunicații) la acord se modifică în conformitate cu anexa</w:t>
      </w:r>
      <w:r w:rsidR="005B494C">
        <w:rPr>
          <w:noProof/>
        </w:rPr>
        <w:t xml:space="preserve"> </w:t>
      </w:r>
      <w:r w:rsidR="000E20B3">
        <w:rPr>
          <w:noProof/>
        </w:rPr>
        <w:t>1</w:t>
      </w:r>
      <w:r w:rsidRPr="00354348">
        <w:rPr>
          <w:noProof/>
        </w:rPr>
        <w:t xml:space="preserve"> la prezenta decizie.</w:t>
      </w:r>
    </w:p>
    <w:p w14:paraId="37C1727C" w14:textId="77777777" w:rsidR="0089129F" w:rsidRPr="00354348" w:rsidRDefault="0089129F" w:rsidP="00DE7CBF">
      <w:pPr>
        <w:pStyle w:val="Titrearticle"/>
        <w:rPr>
          <w:noProof/>
        </w:rPr>
      </w:pPr>
      <w:bookmarkStart w:id="2" w:name="_Hlk130476676"/>
      <w:r w:rsidRPr="00354348">
        <w:rPr>
          <w:noProof/>
        </w:rPr>
        <w:t>Articolul 2</w:t>
      </w:r>
    </w:p>
    <w:bookmarkEnd w:id="2"/>
    <w:p w14:paraId="1351C136" w14:textId="77777777" w:rsidR="0089129F" w:rsidRPr="00354348" w:rsidRDefault="0089129F" w:rsidP="00F0173D">
      <w:pPr>
        <w:rPr>
          <w:noProof/>
        </w:rPr>
      </w:pPr>
      <w:r w:rsidRPr="00354348">
        <w:rPr>
          <w:noProof/>
        </w:rPr>
        <w:t>Anexa XXVIII-C (Norme aplicabile serviciilor poștale și de curierat) la acord se modifică în conformitate cu anexa 2 la prezenta decizie.</w:t>
      </w:r>
    </w:p>
    <w:p w14:paraId="426DF701" w14:textId="77777777" w:rsidR="0089129F" w:rsidRPr="00354348" w:rsidRDefault="0089129F" w:rsidP="00DE7CBF">
      <w:pPr>
        <w:pStyle w:val="Titrearticle"/>
        <w:rPr>
          <w:noProof/>
        </w:rPr>
      </w:pPr>
      <w:r w:rsidRPr="00354348">
        <w:rPr>
          <w:noProof/>
        </w:rPr>
        <w:t>Articolul 3</w:t>
      </w:r>
    </w:p>
    <w:p w14:paraId="0FA9B8A8" w14:textId="77777777" w:rsidR="0089129F" w:rsidRPr="00354348" w:rsidRDefault="0089129F" w:rsidP="00F0173D">
      <w:pPr>
        <w:rPr>
          <w:noProof/>
        </w:rPr>
      </w:pPr>
      <w:r w:rsidRPr="00354348">
        <w:rPr>
          <w:noProof/>
        </w:rPr>
        <w:t>Prezenta decizie este redactată în limbile bulgară, cehă, croată, daneză, engleză, estonă, finlandeză, germană, greacă, franceză, irlandeză, italiană, letonă, lituaniană, maghiară, malteză, neerlandeză, polonă, portugheză, română, slovacă, slovenă, spaniolă și suedeză, textele în fiecare limbă fiind egal autentice.</w:t>
      </w:r>
    </w:p>
    <w:p w14:paraId="7D1DCFF5" w14:textId="77777777" w:rsidR="0089129F" w:rsidRPr="00354348" w:rsidRDefault="0089129F" w:rsidP="00DE7CBF">
      <w:pPr>
        <w:pStyle w:val="Titrearticle"/>
        <w:rPr>
          <w:noProof/>
        </w:rPr>
      </w:pPr>
      <w:r w:rsidRPr="00354348">
        <w:rPr>
          <w:noProof/>
        </w:rPr>
        <w:t>Articolul 4</w:t>
      </w:r>
    </w:p>
    <w:p w14:paraId="7BBFDC6B" w14:textId="77777777" w:rsidR="0089129F" w:rsidRPr="00354348" w:rsidRDefault="0089129F" w:rsidP="0073237D">
      <w:pPr>
        <w:spacing w:before="240"/>
        <w:rPr>
          <w:noProof/>
        </w:rPr>
      </w:pPr>
      <w:r w:rsidRPr="00354348">
        <w:rPr>
          <w:noProof/>
        </w:rPr>
        <w:t>Prezenta decizie intră în vigoare la data adoptării.</w:t>
      </w:r>
    </w:p>
    <w:p w14:paraId="0A77DCCD" w14:textId="77777777" w:rsidR="0089129F" w:rsidRPr="00354348" w:rsidRDefault="0089129F" w:rsidP="0073237D">
      <w:pPr>
        <w:spacing w:before="240"/>
        <w:rPr>
          <w:noProof/>
        </w:rPr>
      </w:pPr>
      <w:r w:rsidRPr="00354348">
        <w:rPr>
          <w:noProof/>
        </w:rPr>
        <w:t>Adoptată la Bruxelles, [data]</w:t>
      </w:r>
    </w:p>
    <w:p w14:paraId="335E558D" w14:textId="77777777" w:rsidR="0089129F" w:rsidRPr="00354348" w:rsidRDefault="0089129F" w:rsidP="0073237D">
      <w:pPr>
        <w:spacing w:before="240"/>
        <w:rPr>
          <w:i/>
          <w:noProof/>
        </w:rPr>
      </w:pPr>
      <w:r w:rsidRPr="00354348">
        <w:rPr>
          <w:i/>
          <w:noProof/>
        </w:rPr>
        <w:t>Pentru Comitetul de asociere reunit în configurația „Comerț”</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5"/>
      </w:tblGrid>
      <w:tr w:rsidR="00D669EB" w:rsidRPr="00354348" w14:paraId="7181F546" w14:textId="77777777" w:rsidTr="00D9309F">
        <w:tc>
          <w:tcPr>
            <w:tcW w:w="4644" w:type="dxa"/>
          </w:tcPr>
          <w:p w14:paraId="6655C52A" w14:textId="77777777" w:rsidR="00D669EB" w:rsidRPr="00354348" w:rsidRDefault="00D669EB" w:rsidP="0073237D">
            <w:pPr>
              <w:rPr>
                <w:i/>
                <w:noProof/>
              </w:rPr>
            </w:pPr>
            <w:r w:rsidRPr="00354348">
              <w:rPr>
                <w:i/>
                <w:noProof/>
              </w:rPr>
              <w:t>Léon DELVAUX</w:t>
            </w:r>
          </w:p>
        </w:tc>
        <w:tc>
          <w:tcPr>
            <w:tcW w:w="4645" w:type="dxa"/>
          </w:tcPr>
          <w:p w14:paraId="0379C4DD" w14:textId="77777777" w:rsidR="00D669EB" w:rsidRPr="00354348" w:rsidRDefault="00407684" w:rsidP="0073237D">
            <w:pPr>
              <w:rPr>
                <w:i/>
                <w:noProof/>
              </w:rPr>
            </w:pPr>
            <w:r w:rsidRPr="00354348">
              <w:rPr>
                <w:i/>
                <w:noProof/>
              </w:rPr>
              <w:t>Nicholas BURGE</w:t>
            </w:r>
          </w:p>
        </w:tc>
      </w:tr>
      <w:tr w:rsidR="00D669EB" w:rsidRPr="00354348" w14:paraId="3061838B" w14:textId="77777777" w:rsidTr="00D9309F">
        <w:tc>
          <w:tcPr>
            <w:tcW w:w="4644" w:type="dxa"/>
          </w:tcPr>
          <w:p w14:paraId="21AB77F7" w14:textId="77777777" w:rsidR="00D669EB" w:rsidRPr="00354348" w:rsidRDefault="00407684" w:rsidP="0073237D">
            <w:pPr>
              <w:rPr>
                <w:i/>
                <w:noProof/>
              </w:rPr>
            </w:pPr>
            <w:r w:rsidRPr="00354348">
              <w:rPr>
                <w:i/>
                <w:noProof/>
              </w:rPr>
              <w:t>Vadim GUMENE</w:t>
            </w:r>
          </w:p>
        </w:tc>
        <w:tc>
          <w:tcPr>
            <w:tcW w:w="4645" w:type="dxa"/>
          </w:tcPr>
          <w:p w14:paraId="4A260A2F" w14:textId="1A8F5FB9" w:rsidR="00D669EB" w:rsidRPr="00354348" w:rsidRDefault="00407684" w:rsidP="0073237D">
            <w:pPr>
              <w:rPr>
                <w:i/>
                <w:noProof/>
              </w:rPr>
            </w:pPr>
            <w:r w:rsidRPr="00354348">
              <w:rPr>
                <w:i/>
                <w:noProof/>
              </w:rPr>
              <w:t>Cristina CEBAN</w:t>
            </w:r>
          </w:p>
        </w:tc>
      </w:tr>
      <w:tr w:rsidR="00D669EB" w:rsidRPr="00354348" w14:paraId="0FEF950D" w14:textId="77777777" w:rsidTr="00D9309F">
        <w:tc>
          <w:tcPr>
            <w:tcW w:w="4644" w:type="dxa"/>
          </w:tcPr>
          <w:p w14:paraId="28003680" w14:textId="77777777" w:rsidR="00D669EB" w:rsidRPr="00354348" w:rsidRDefault="00D669EB" w:rsidP="0073237D">
            <w:pPr>
              <w:rPr>
                <w:i/>
                <w:noProof/>
              </w:rPr>
            </w:pPr>
            <w:r w:rsidRPr="00354348">
              <w:rPr>
                <w:i/>
                <w:noProof/>
              </w:rPr>
              <w:t>Președinți</w:t>
            </w:r>
          </w:p>
        </w:tc>
        <w:tc>
          <w:tcPr>
            <w:tcW w:w="4645" w:type="dxa"/>
          </w:tcPr>
          <w:p w14:paraId="2B379F86" w14:textId="77777777" w:rsidR="00D669EB" w:rsidRPr="00354348" w:rsidRDefault="00D669EB" w:rsidP="0073237D">
            <w:pPr>
              <w:rPr>
                <w:i/>
                <w:noProof/>
              </w:rPr>
            </w:pPr>
            <w:r w:rsidRPr="00354348">
              <w:rPr>
                <w:i/>
                <w:noProof/>
              </w:rPr>
              <w:t>Secretari</w:t>
            </w:r>
          </w:p>
        </w:tc>
      </w:tr>
    </w:tbl>
    <w:p w14:paraId="7535BE21" w14:textId="72992846" w:rsidR="00560490" w:rsidRPr="00354348" w:rsidRDefault="00560490" w:rsidP="00810D0F">
      <w:pPr>
        <w:jc w:val="right"/>
        <w:rPr>
          <w:b/>
          <w:noProof/>
          <w:u w:val="single"/>
        </w:rPr>
      </w:pPr>
      <w:r w:rsidRPr="00354348">
        <w:rPr>
          <w:noProof/>
        </w:rPr>
        <w:br w:type="page"/>
      </w:r>
      <w:r w:rsidR="000E20B3">
        <w:rPr>
          <w:b/>
          <w:noProof/>
          <w:u w:val="single"/>
        </w:rPr>
        <w:t>ANEXA I</w:t>
      </w:r>
    </w:p>
    <w:p w14:paraId="29CBF0D9" w14:textId="1144B51F" w:rsidR="00B55201" w:rsidRPr="00354348" w:rsidRDefault="00B55201" w:rsidP="00DA3D86">
      <w:pPr>
        <w:pStyle w:val="NumPar1"/>
        <w:numPr>
          <w:ilvl w:val="0"/>
          <w:numId w:val="12"/>
        </w:numPr>
        <w:rPr>
          <w:noProof/>
        </w:rPr>
      </w:pPr>
      <w:bookmarkStart w:id="3" w:name="_Hlk130477810"/>
      <w:r w:rsidRPr="00354348">
        <w:rPr>
          <w:noProof/>
        </w:rPr>
        <w:t>Anexa XXVIII-B (Norme aplicabile serviciilor de telecomunicații) se modifică prin adăugarea următoarelor acte ale UE:</w:t>
      </w:r>
    </w:p>
    <w:p w14:paraId="0FE38E3A" w14:textId="77777777" w:rsidR="00B55201" w:rsidRPr="00354348" w:rsidRDefault="00B55201" w:rsidP="002343E7">
      <w:pPr>
        <w:rPr>
          <w:noProof/>
          <w:highlight w:val="yellow"/>
        </w:rPr>
      </w:pPr>
      <w:bookmarkStart w:id="4" w:name="_Hlk126766580"/>
      <w:bookmarkEnd w:id="3"/>
      <w:r w:rsidRPr="00354348">
        <w:rPr>
          <w:noProof/>
        </w:rPr>
        <w:t>Directiva (UE) 2018/1972 a Parlamentului European și a Consiliului din 11 decembrie 2018 de instituire a Codului european al comunicațiilor electronice (reformare). („CECE”)</w:t>
      </w:r>
      <w:bookmarkEnd w:id="4"/>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08821295"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3EEEF" w14:textId="77777777" w:rsidR="00B55201" w:rsidRPr="00354348" w:rsidRDefault="00B55201" w:rsidP="002343E7">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Calendar: dispozițiile Directivei (UE) 2018/1972 trebuie să fie puse în aplicare în termen de un an de la data intrării în vigoare a prezentei decizii.</w:t>
            </w:r>
          </w:p>
        </w:tc>
      </w:tr>
    </w:tbl>
    <w:p w14:paraId="0D686A8D" w14:textId="77777777" w:rsidR="00C44BCD" w:rsidRPr="00354348" w:rsidRDefault="00C44BCD" w:rsidP="002343E7">
      <w:pPr>
        <w:rPr>
          <w:noProof/>
        </w:rPr>
      </w:pPr>
    </w:p>
    <w:p w14:paraId="010F83BF" w14:textId="63DC16ED" w:rsidR="00B55201" w:rsidRPr="00354348" w:rsidRDefault="00B55201" w:rsidP="002343E7">
      <w:pPr>
        <w:rPr>
          <w:noProof/>
        </w:rPr>
      </w:pPr>
      <w:r w:rsidRPr="00354348">
        <w:rPr>
          <w:noProof/>
        </w:rPr>
        <w:t>Regulamentul (UE) 2022/612 al Parlamentului European și al Consiliului din 6 aprilie 2022 privind roamingul în rețelele publice de comunicații mobile în interiorul Uniunii (reformare)</w:t>
      </w:r>
      <w:bookmarkStart w:id="5" w:name="_Hlk125533269"/>
    </w:p>
    <w:p w14:paraId="4B3DF0E8" w14:textId="77777777" w:rsidR="00B55201" w:rsidRPr="00354348" w:rsidRDefault="00B55201" w:rsidP="002343E7">
      <w:pPr>
        <w:rPr>
          <w:noProof/>
        </w:rPr>
      </w:pPr>
      <w:r w:rsidRPr="00354348">
        <w:rPr>
          <w:rStyle w:val="oj-italic"/>
          <w:noProof/>
        </w:rPr>
        <w:t>În sensul prezentului acord, dispozițiile Regulamentului (UE) 2022/612 se citesc cu următoarea adaptare: Articolul 1 alineatul (4) se referă la cursurile de schimb de referință publicate de Banca Centrală Europeană în Jurnalul Oficial al Uniunii Europene. Atât timp cât Banca Centrală Europeană nu publică cursurile de schimb pentru leul moldovenesc, ar trebui utilizate, în scopul aplicării articolului 1 alineatul (4), cursurile de schimb dintre euro și leul moldovenesc publicate de Banca Națională a Moldovei. Perioadele și condițiile de referință prevăzute la articolul 1 alineatul (4) rămân neschimbate.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69D74194"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FC8CE" w14:textId="77777777" w:rsidR="00B55201" w:rsidRPr="00354348" w:rsidRDefault="00B55201" w:rsidP="002343E7">
            <w:pPr>
              <w:rPr>
                <w:noProof/>
              </w:rPr>
            </w:pPr>
            <w:r w:rsidRPr="00354348">
              <w:rPr>
                <w:noProof/>
              </w:rPr>
              <w:t>Calendar: dispozițiile Regulamentului (UE) 2022/612 trebuie să fie puse în aplicare în termen de 2 ani de la data intrării în vigoare a prezentei decizii.</w:t>
            </w:r>
          </w:p>
        </w:tc>
      </w:tr>
      <w:bookmarkEnd w:id="5"/>
    </w:tbl>
    <w:p w14:paraId="60E0464B" w14:textId="77777777" w:rsidR="001C5D14" w:rsidRPr="00354348" w:rsidRDefault="001C5D14" w:rsidP="002343E7">
      <w:pPr>
        <w:rPr>
          <w:noProof/>
        </w:rPr>
      </w:pPr>
    </w:p>
    <w:p w14:paraId="01FBB432" w14:textId="360109C3" w:rsidR="00B55201" w:rsidRPr="00354348" w:rsidRDefault="00B55201" w:rsidP="002343E7">
      <w:pPr>
        <w:rPr>
          <w:noProof/>
        </w:rPr>
      </w:pPr>
      <w:r w:rsidRPr="00354348">
        <w:rPr>
          <w:noProof/>
        </w:rPr>
        <w:t>Regulamentul de punere în aplicare (UE) 2016/2286 al Comisiei din 15 decembrie 2016 de stabilire a unor norme detaliate cu privire la aplicarea politicii utilizării rezonabile, precum și la metodologia de evaluare a sustenabilității eliminării suprataxelor pentru serviciile de roaming cu amănuntul și la cererea care trebuie prezentată de furnizorul de servicii de roaming în scopul evaluării respective</w:t>
      </w:r>
    </w:p>
    <w:tbl>
      <w:tblPr>
        <w:tblStyle w:val="TableNormal1"/>
        <w:tblW w:w="817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1CCA42D6"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C8515" w14:textId="77777777" w:rsidR="00B55201" w:rsidRPr="00354348" w:rsidRDefault="00B55201" w:rsidP="002343E7">
            <w:pPr>
              <w:rPr>
                <w:noProof/>
              </w:rPr>
            </w:pPr>
            <w:r w:rsidRPr="00354348">
              <w:rPr>
                <w:noProof/>
              </w:rPr>
              <w:t>Calendar: dispozițiile Regulamentului de punere în aplicare (UE) 2016/2286 al Comisiei trebuie să fie puse în aplicare în termen de 2 ani de la data intrării în vigoare a prezentei decizii.</w:t>
            </w:r>
          </w:p>
        </w:tc>
      </w:tr>
    </w:tbl>
    <w:p w14:paraId="1393B447" w14:textId="77777777" w:rsidR="001C5D14" w:rsidRPr="00354348" w:rsidRDefault="001C5D14" w:rsidP="002343E7">
      <w:pPr>
        <w:rPr>
          <w:rFonts w:eastAsia="Arial Unicode MS" w:cs="Arial Unicode MS"/>
          <w:noProof/>
        </w:rPr>
      </w:pPr>
    </w:p>
    <w:p w14:paraId="1672CBCF" w14:textId="770846DE" w:rsidR="00B55201" w:rsidRPr="00354348" w:rsidRDefault="00B55201" w:rsidP="002343E7">
      <w:pPr>
        <w:rPr>
          <w:rFonts w:eastAsia="Arial Unicode MS" w:cs="Arial Unicode MS"/>
          <w:b/>
          <w:bCs/>
          <w:noProof/>
        </w:rPr>
      </w:pPr>
      <w:r w:rsidRPr="00354348">
        <w:rPr>
          <w:noProof/>
        </w:rPr>
        <w:t>Regulamentul delegat (UE) 2021/654 al Comisiei din 18 decembrie 2020 de completare a Directivei (UE) 2018/1972 a Parlamentului European și a Consiliului prin stabilirea unui tarif maxim unic la nivelul Uniunii de terminare a apelurilor de voce în rețelele mobile și a unui tarif maxim unic la nivelul Uniunii de terminare a apelurilor de voce în rețelele fixe</w:t>
      </w:r>
    </w:p>
    <w:p w14:paraId="4D01834A" w14:textId="77777777" w:rsidR="00B55201" w:rsidRPr="00354348" w:rsidRDefault="00B55201" w:rsidP="002343E7">
      <w:pPr>
        <w:rPr>
          <w:rFonts w:eastAsia="Arial Unicode MS" w:cs="Arial Unicode MS"/>
          <w:b/>
          <w:bCs/>
          <w:noProof/>
        </w:rPr>
      </w:pPr>
      <w:r w:rsidRPr="00354348">
        <w:rPr>
          <w:noProof/>
        </w:rPr>
        <w:t>În sensul prezentului acord, dispozițiile Regulamentului delegat (UE) 2021/654 al Comisiei se citesc cu următoarea adaptare: Articolul 3 alineatul (2) și alineatul (3) se referă la cursurile de schimb de referință publicate de Banca Centrală Europeană în Jurnalul Oficial al Uniunii Europene. Atât timp cât Banca Centrală Europeană nu publică cursurile de schimb pentru leul moldovenesc, ar trebui utilizate, în scopul aplicării articolului 3 alineatele (2) și (3), cursurile de schimb dintre euro și leul moldovenesc publicate de Banca Națională a Moldovei. Perioadele și condițiile de referință prevăzute la articolul 3 alineatele (2) și (3) rămân neschimbate.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510B59C2"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68579" w14:textId="77777777" w:rsidR="00B55201" w:rsidRPr="00354348" w:rsidRDefault="00B55201" w:rsidP="002343E7">
            <w:pPr>
              <w:rPr>
                <w:noProof/>
              </w:rPr>
            </w:pPr>
            <w:r w:rsidRPr="00354348">
              <w:rPr>
                <w:noProof/>
              </w:rPr>
              <w:t>Calendar: dispozițiile Regulamentului delegat (UE) 2021/654 al Comisiei trebuie să fie puse în aplicare înaintea regulamentului privind roamingul și în termen de 2 ani de la data intrării în vigoare a prezentei decizii.</w:t>
            </w:r>
          </w:p>
        </w:tc>
      </w:tr>
    </w:tbl>
    <w:p w14:paraId="6D296848" w14:textId="77777777" w:rsidR="001C5D14" w:rsidRPr="00354348" w:rsidRDefault="001C5D14" w:rsidP="002343E7">
      <w:pPr>
        <w:rPr>
          <w:noProof/>
        </w:rPr>
      </w:pPr>
    </w:p>
    <w:p w14:paraId="3B7F4969" w14:textId="6424A12B" w:rsidR="00B55201" w:rsidRPr="00354348" w:rsidRDefault="00B55201" w:rsidP="002343E7">
      <w:pPr>
        <w:rPr>
          <w:noProof/>
        </w:rPr>
      </w:pPr>
      <w:r w:rsidRPr="00354348">
        <w:rPr>
          <w:noProof/>
        </w:rPr>
        <w:t>Regulamentul (UE) 2018/1971 al Parlamentului European și al Consiliului din 11 decembrie 2018 de instituire a Organismului Autorităților Europene de Reglementare în Domeniul Comunicațiilor Electronice (OAREC) și a Agenției de sprijin pentru OAREC (Oficiul OAREC) și de modificare a Regulamentului (UE) 2015/2120 și de abrogare a Reg</w:t>
      </w:r>
      <w:r w:rsidR="000142A8">
        <w:rPr>
          <w:noProof/>
        </w:rPr>
        <w:t>ulamentului (CE) nr. 1211/2009</w:t>
      </w:r>
    </w:p>
    <w:p w14:paraId="1D300422" w14:textId="2AA1CCFD" w:rsidR="00B55201" w:rsidRPr="00354348" w:rsidRDefault="00B55201" w:rsidP="0078483C">
      <w:pPr>
        <w:pStyle w:val="Tiret0"/>
        <w:numPr>
          <w:ilvl w:val="0"/>
          <w:numId w:val="10"/>
        </w:numPr>
        <w:rPr>
          <w:noProof/>
        </w:rPr>
      </w:pPr>
      <w:r w:rsidRPr="00354348">
        <w:rPr>
          <w:noProof/>
        </w:rPr>
        <w:t>Autoritatea națională de reglementare din Moldova care are ca principală responsabilitate supravegherea funcționării de zi cu zi a piețelor de rețele și servicii de comunicații electronice participă pe deplin la lucrările Consiliului autorităților de reglementare al OAREC, ale grupurilor de lucru ale OAREC și ale Consiliului de administrație al Oficiului OAREC: autoritatea națională de reglementare din Moldova are aceleași drepturi și obligații ca și autoritățile naționale de reglementare din statele membre ale UE, cu excepția dreptului de vot și a președinției Consiliului autorităților de reglementare și a Consiliului de administrație</w:t>
      </w:r>
      <w:r w:rsidR="00530EAA">
        <w:rPr>
          <w:noProof/>
        </w:rPr>
        <w:t>.</w:t>
      </w:r>
    </w:p>
    <w:p w14:paraId="561B4EA9" w14:textId="77777777" w:rsidR="00B55201" w:rsidRPr="00354348" w:rsidRDefault="00B55201" w:rsidP="00DA3D86">
      <w:pPr>
        <w:pStyle w:val="Tiret0"/>
        <w:rPr>
          <w:noProof/>
        </w:rPr>
      </w:pPr>
      <w:r w:rsidRPr="00354348">
        <w:rPr>
          <w:noProof/>
        </w:rPr>
        <w:t xml:space="preserve">Având în vedere cele de mai sus, autoritatea națională de reglementare din Moldova este reprezentată la un nivel adecvat, în conformitate cu dispozițiile Regulamentului OAREC. În conformitate cu normele relevante din regulamentele UE menționate mai sus, OAREC și Oficiul OAREC, după caz, asistă autoritatea națională de reglementare din Moldova în îndeplinirea sarcinilor sale. </w:t>
      </w:r>
    </w:p>
    <w:p w14:paraId="70A5A014" w14:textId="77777777" w:rsidR="00B55201" w:rsidRPr="00354348" w:rsidRDefault="00B55201" w:rsidP="00DA3D86">
      <w:pPr>
        <w:pStyle w:val="Tiret0"/>
        <w:rPr>
          <w:noProof/>
        </w:rPr>
      </w:pPr>
      <w:r w:rsidRPr="00354348">
        <w:rPr>
          <w:noProof/>
        </w:rPr>
        <w:t xml:space="preserve">Autoritatea națională de reglementare din Moldova ține seama în cea mai mare măsură posibilă de orice orientare, aviz, recomandare, poziție comună și bune practici adoptate de OAREC cu scopul de a asigura punerea în aplicare coerentă a cadrului de reglementare pentru comunicațiile electronice. </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675522F6"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B14AE" w14:textId="77777777" w:rsidR="00B55201" w:rsidRPr="00354348" w:rsidRDefault="00B55201" w:rsidP="000F7BB0">
            <w:pPr>
              <w:rPr>
                <w:noProof/>
              </w:rPr>
            </w:pPr>
            <w:r w:rsidRPr="00354348">
              <w:rPr>
                <w:noProof/>
              </w:rPr>
              <w:t>Calendar: dispozițiile Regulamentului (UE) 2018/1971 trebuie să fie puse în aplicare în termen de un an de la data intrării în vigoare a prezentei decizii.</w:t>
            </w:r>
          </w:p>
        </w:tc>
      </w:tr>
    </w:tbl>
    <w:p w14:paraId="675D3422" w14:textId="77777777" w:rsidR="001C5D14" w:rsidRPr="00354348" w:rsidRDefault="001C5D14" w:rsidP="000F7BB0">
      <w:pPr>
        <w:rPr>
          <w:noProof/>
        </w:rPr>
      </w:pPr>
    </w:p>
    <w:p w14:paraId="482B29B5" w14:textId="63C3BE02" w:rsidR="00B55201" w:rsidRPr="00354348" w:rsidRDefault="00B55201" w:rsidP="000F7BB0">
      <w:pPr>
        <w:rPr>
          <w:noProof/>
        </w:rPr>
      </w:pPr>
      <w:r w:rsidRPr="00354348">
        <w:rPr>
          <w:noProof/>
        </w:rPr>
        <w:t>Regulamentul de punere în aplicare (UE) 2019/2243 al Comisiei din 17 decembrie 2019 de stabilire a modelului fișei de sinteză a contractului care trebuie utilizat de furnizorii de servicii de comunicații electronice destinate publicului în temeiul Directivei (UE) 2018/1972 a Parlamentului European și a Consiliului</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06D572BD"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BE5A3"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Regulamentului de punere în aplicare (UE) 2019/2243 al Comisiei trebuie să fie puse în aplicare în termen de un an de la data intrării în vigoare a prezentei decizii.</w:t>
            </w:r>
          </w:p>
        </w:tc>
      </w:tr>
    </w:tbl>
    <w:p w14:paraId="41456227" w14:textId="77777777" w:rsidR="001C5D14" w:rsidRPr="00354348" w:rsidRDefault="001C5D14" w:rsidP="000F7BB0">
      <w:pPr>
        <w:rPr>
          <w:rFonts w:cs="Arial Unicode MS"/>
          <w:noProof/>
          <w:color w:val="000000"/>
          <w:u w:color="000000"/>
        </w:rPr>
      </w:pPr>
    </w:p>
    <w:p w14:paraId="459F6BF1" w14:textId="03CBECBB" w:rsidR="00B55201" w:rsidRPr="00354348" w:rsidRDefault="00B55201" w:rsidP="000F7BB0">
      <w:pPr>
        <w:rPr>
          <w:rFonts w:cs="Arial Unicode MS"/>
          <w:noProof/>
          <w:color w:val="000000"/>
          <w:u w:color="000000"/>
        </w:rPr>
      </w:pPr>
      <w:r w:rsidRPr="00354348">
        <w:rPr>
          <w:noProof/>
          <w:color w:val="000000"/>
          <w:u w:color="000000"/>
        </w:rPr>
        <w:t>Directiva 2014/61/UE a Parlamentului European și a Consiliului din 15 mai 2014 privind măsuri de reducere a costului instalării rețelelor de comunicații electronice de mare viteză</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6F834579"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CC7A2" w14:textId="77777777" w:rsidR="00B55201" w:rsidRPr="00354348" w:rsidRDefault="00B55201" w:rsidP="000F7BB0">
            <w:pPr>
              <w:rPr>
                <w:noProof/>
              </w:rPr>
            </w:pPr>
            <w:r w:rsidRPr="00354348">
              <w:rPr>
                <w:noProof/>
              </w:rPr>
              <w:t>Calendar: dispozițiile Directivei 2014/61/UE trebuie să fie puse în aplicare înaintea regulamentului privind roamingul și în termen de un an de la data intrării în vigoare a prezentei decizii.</w:t>
            </w:r>
          </w:p>
        </w:tc>
      </w:tr>
    </w:tbl>
    <w:p w14:paraId="6AA0ACDD" w14:textId="77777777" w:rsidR="001C5D14" w:rsidRPr="00354348" w:rsidRDefault="001C5D14" w:rsidP="000F7BB0">
      <w:pPr>
        <w:rPr>
          <w:noProof/>
        </w:rPr>
      </w:pPr>
    </w:p>
    <w:p w14:paraId="1A0D38EE" w14:textId="6A417F5C" w:rsidR="00B55201" w:rsidRPr="00354348" w:rsidRDefault="00B55201" w:rsidP="000F7BB0">
      <w:pPr>
        <w:rPr>
          <w:noProof/>
        </w:rPr>
      </w:pPr>
      <w:r w:rsidRPr="00354348">
        <w:rPr>
          <w:noProof/>
        </w:rPr>
        <w:t>Regulamentul (UE) 2015/2120 al Parlamentului European și al Consiliului din 25 noiembrie 2015 de stabilire a unor măsuri privind accesul la internetul deschis și de modificare a Directivei 2002/22/CE privind serviciul universal și drepturile utilizatorilor cu privire la rețelele și serviciile electronice de comunicații și a Regulamentului (UE) nr. 531/2012 privind roamingul în rețelele publice de comunicații mobile în interiorul Uniunii (JO L 310, 26.11.2015, p. 1), astfel cum a fost modificat prin: Regulamentul (UE) 2018/1971 al Parlamentului European și al Consiliului din 11 decembrie 20</w:t>
      </w:r>
      <w:r w:rsidR="000142A8">
        <w:rPr>
          <w:noProof/>
        </w:rPr>
        <w:t>18 (JO L 321, 17.12.2018, p. 1)</w:t>
      </w:r>
      <w:r w:rsidRPr="00354348">
        <w:rPr>
          <w:noProof/>
        </w:rPr>
        <w:t xml:space="preserve"> </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2CBBD6A6"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DD39D" w14:textId="77777777" w:rsidR="00B55201" w:rsidRPr="00354348" w:rsidRDefault="00B55201" w:rsidP="000F7BB0">
            <w:pPr>
              <w:rPr>
                <w:noProof/>
              </w:rPr>
            </w:pPr>
            <w:r w:rsidRPr="00354348">
              <w:rPr>
                <w:noProof/>
              </w:rPr>
              <w:t>Calendar: dispozițiile Directivei 2015/2120/UE sunt puse în aplicare înaintea regulamentului privind roamingul și în termen de un an de la data intrării în vigoare a prezentei decizii.</w:t>
            </w:r>
          </w:p>
        </w:tc>
      </w:tr>
    </w:tbl>
    <w:p w14:paraId="0D3366B8" w14:textId="77777777" w:rsidR="001C5D14" w:rsidRPr="00354348" w:rsidRDefault="001C5D14" w:rsidP="000F7BB0">
      <w:pPr>
        <w:rPr>
          <w:noProof/>
        </w:rPr>
      </w:pPr>
    </w:p>
    <w:p w14:paraId="3D266304" w14:textId="47B40B6E" w:rsidR="00B55201" w:rsidRPr="00354348" w:rsidRDefault="00B55201" w:rsidP="000F7BB0">
      <w:pPr>
        <w:rPr>
          <w:noProof/>
        </w:rPr>
      </w:pPr>
      <w:r w:rsidRPr="00354348">
        <w:rPr>
          <w:noProof/>
        </w:rPr>
        <w:t xml:space="preserve">Decizia 2007/176/CE a Comisiei din 11 decembrie 2006 de stabilire a unei liste de standarde și/sau specificații pentru rețelele și serviciile de comunicații electronice, precum și pentru infrastructura și serviciile asociate și de înlocuire a tuturor versiunilor precedente (JO L 86, 27.3.2007, p. 11), astfel cum a fost modificată prin: Decizia 2008/286/CE a Comisiei din 17 martie </w:t>
      </w:r>
      <w:r w:rsidR="000142A8">
        <w:rPr>
          <w:noProof/>
        </w:rPr>
        <w:t>2008 (JO L 93, 4.4.2008, p. 24)</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22C68DC2"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15996"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2007/176/CE a Comisiei trebuie să fie puse în aplicare în termen de 2 ani de la data intrării în vigoare a prezentei decizii.</w:t>
            </w:r>
          </w:p>
        </w:tc>
      </w:tr>
    </w:tbl>
    <w:p w14:paraId="28636B75" w14:textId="77777777" w:rsidR="001C5D14" w:rsidRPr="00354348" w:rsidRDefault="001C5D14" w:rsidP="000F7BB0">
      <w:pPr>
        <w:rPr>
          <w:noProof/>
        </w:rPr>
      </w:pPr>
    </w:p>
    <w:p w14:paraId="36392325" w14:textId="1A03AE3B" w:rsidR="00B55201" w:rsidRPr="00354348" w:rsidRDefault="00B55201" w:rsidP="000F7BB0">
      <w:pPr>
        <w:rPr>
          <w:rStyle w:val="Hyperlink"/>
          <w:b/>
          <w:bCs/>
          <w:noProof/>
          <w:color w:val="000000" w:themeColor="text1"/>
          <w:u w:val="none"/>
        </w:rPr>
      </w:pPr>
      <w:r w:rsidRPr="00354348">
        <w:rPr>
          <w:noProof/>
        </w:rPr>
        <w:t xml:space="preserve">Decizia de punere în aplicare (UE) 2015/296 a Comisiei </w:t>
      </w:r>
      <w:r w:rsidRPr="00AB39FD">
        <w:rPr>
          <w:noProof/>
        </w:rPr>
        <w:t>din 24 februarie 2015 de stabilire a modalităților procedurale de cooperare între statele membre privind identificarea electronică în temeiul articolului 12 alineatul (7) din Regulamentul (UE) nr. 910/2014 al Parlamentului European și al Consiliului privind identificarea electronică și serviciile de încredere pentru tranzacții</w:t>
      </w:r>
      <w:r w:rsidR="000142A8">
        <w:rPr>
          <w:noProof/>
        </w:rPr>
        <w:t>le electronice pe piața internă</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07B4A7A5"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609D9"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2015/296 a Comisiei trebuie să fie puse în aplicare în termen de 3 ani de la data intrării în vigoare a prezentei decizii.</w:t>
            </w:r>
          </w:p>
        </w:tc>
      </w:tr>
    </w:tbl>
    <w:p w14:paraId="4177F5DE" w14:textId="77777777" w:rsidR="001C5D14" w:rsidRPr="00354348" w:rsidRDefault="001C5D14" w:rsidP="000F7BB0">
      <w:pPr>
        <w:rPr>
          <w:noProof/>
        </w:rPr>
      </w:pPr>
    </w:p>
    <w:p w14:paraId="3890284D" w14:textId="68F09480" w:rsidR="00B55201" w:rsidRPr="00354348" w:rsidRDefault="00B55A40" w:rsidP="000F7BB0">
      <w:pPr>
        <w:rPr>
          <w:rStyle w:val="Hyperlink"/>
          <w:noProof/>
          <w:color w:val="000000" w:themeColor="text1"/>
          <w:u w:val="none"/>
        </w:rPr>
      </w:pPr>
      <w:hyperlink r:id="rId18" w:history="1">
        <w:r w:rsidR="00AB39FD" w:rsidRPr="00354348">
          <w:rPr>
            <w:rStyle w:val="Hyperlink"/>
            <w:noProof/>
            <w:color w:val="000000" w:themeColor="text1"/>
            <w:u w:val="none"/>
          </w:rPr>
          <w:t>Regulamentul de punere în aplicare (UE) 2015/1501 al Comisiei</w:t>
        </w:r>
      </w:hyperlink>
      <w:r w:rsidR="00AB39FD" w:rsidRPr="00354348">
        <w:rPr>
          <w:rStyle w:val="Hyperlink"/>
          <w:noProof/>
          <w:color w:val="000000" w:themeColor="text1"/>
          <w:u w:val="none"/>
        </w:rPr>
        <w:t xml:space="preserve"> din 8 septembrie 2015 privind cadrul de interoperabilitate prevăzut la articolul 12 alineatul (8) din Regulamentul (UE) nr. 910/2014 al Parlamentului European și al Consiliului privind identificarea electronică și serviciile de încredere pentru tranzacții</w:t>
      </w:r>
      <w:r w:rsidR="000142A8">
        <w:rPr>
          <w:rStyle w:val="Hyperlink"/>
          <w:noProof/>
          <w:color w:val="000000" w:themeColor="text1"/>
          <w:u w:val="none"/>
        </w:rPr>
        <w:t>le electronice pe piața internă</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422368B5"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6F721"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Regulamentului de punere în aplicare (UE) 2015/1501 al Comisiei trebuie să fie puse în aplicare în termen de 3 ani de la data intrării în vigoare a prezentei decizii.</w:t>
            </w:r>
          </w:p>
        </w:tc>
      </w:tr>
    </w:tbl>
    <w:p w14:paraId="71EEC58C" w14:textId="77777777" w:rsidR="001C5D14" w:rsidRPr="00354348" w:rsidRDefault="001C5D14" w:rsidP="000F7BB0">
      <w:pPr>
        <w:rPr>
          <w:noProof/>
          <w:color w:val="000000" w:themeColor="text1"/>
        </w:rPr>
      </w:pPr>
    </w:p>
    <w:p w14:paraId="6374B8AD" w14:textId="4AD651A5" w:rsidR="00B55201" w:rsidRPr="00354348" w:rsidRDefault="00B55201" w:rsidP="000F7BB0">
      <w:pPr>
        <w:rPr>
          <w:noProof/>
        </w:rPr>
      </w:pPr>
      <w:r w:rsidRPr="00354348">
        <w:rPr>
          <w:noProof/>
        </w:rPr>
        <w:t>Regulamentul de punere în aplicare (UE) 2015/1502 al Comisiei din 8 septembrie 2015 de stabilire a unor specificații și proceduri tehnice minime pentru nivelurile de asigurare a încrederii ale mijloacelor de identificare electronică în temeiul articolului 8 alineatul (3) din Regulamentul (UE) nr. 910/2014 al Parlamentului European și al Consiliului privind identificarea electronică și serviciile de încredere pentru tranzacții</w:t>
      </w:r>
      <w:r w:rsidR="000142A8">
        <w:rPr>
          <w:noProof/>
        </w:rPr>
        <w:t>le electronice pe piața internă</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451A8C3B"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DA549"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Regulamentului de punere în aplicare (UE) 2015/1502 al Comisiei sunt puse în aplicare în termen de 3 ani de la data intrării în vigoare a prezentei decizii.</w:t>
            </w:r>
          </w:p>
        </w:tc>
      </w:tr>
    </w:tbl>
    <w:p w14:paraId="7E242FB7" w14:textId="77777777" w:rsidR="001C5D14" w:rsidRPr="00354348" w:rsidRDefault="001C5D14" w:rsidP="000F7BB0">
      <w:pPr>
        <w:rPr>
          <w:noProof/>
        </w:rPr>
      </w:pPr>
    </w:p>
    <w:p w14:paraId="26827B71" w14:textId="656E4DB6" w:rsidR="00B55201" w:rsidRPr="00354348" w:rsidRDefault="00B55201" w:rsidP="000F7BB0">
      <w:pPr>
        <w:rPr>
          <w:noProof/>
          <w:color w:val="000000"/>
        </w:rPr>
      </w:pPr>
      <w:r w:rsidRPr="00354348">
        <w:rPr>
          <w:noProof/>
        </w:rPr>
        <w:t>Decizia de punere în aplicare (UE) 2015/1984 a Comisiei din 3 noiembrie 2015 de stabilire a circumstanțelor, a formatelor și a procedurilor de notificare, în conformitate cu articolul 9 alineatul (5) din Regulamentul (UE) nr. 910/2014 al Parlamentului European și al Consiliului privind identificarea electronică și serviciile de încredere pentru tranzacții</w:t>
      </w:r>
      <w:r w:rsidR="000142A8">
        <w:rPr>
          <w:noProof/>
        </w:rPr>
        <w:t>le electronice pe piața internă</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3465B4DC"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666E1"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2015/1984 a Comisiei trebuie să fie puse în aplicare în termen de 3 ani de la data intrării în vigoare a prezentei decizii.</w:t>
            </w:r>
          </w:p>
        </w:tc>
      </w:tr>
    </w:tbl>
    <w:p w14:paraId="259F1F09" w14:textId="77777777" w:rsidR="001C5D14" w:rsidRPr="00354348" w:rsidRDefault="001C5D14" w:rsidP="000F7BB0">
      <w:pPr>
        <w:rPr>
          <w:noProof/>
          <w:color w:val="000000"/>
        </w:rPr>
      </w:pPr>
      <w:bookmarkStart w:id="6" w:name="_Hlk128130463"/>
    </w:p>
    <w:p w14:paraId="3CD81DC9" w14:textId="243F25F0" w:rsidR="00B55201" w:rsidRPr="00354348" w:rsidRDefault="00B55201" w:rsidP="000F7BB0">
      <w:pPr>
        <w:rPr>
          <w:noProof/>
          <w:color w:val="000000"/>
        </w:rPr>
      </w:pPr>
      <w:r w:rsidRPr="00354348">
        <w:rPr>
          <w:noProof/>
          <w:color w:val="000000"/>
        </w:rPr>
        <w:t xml:space="preserve">Directiva (UE) 2019/1024 a Parlamentului European și a Consiliului din 20 iunie 2019 privind datele deschise și reutilizarea informațiilor din sectorul public (reformare) </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4EC05CF7"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bookmarkEnd w:id="6"/>
          <w:p w14:paraId="49FB74E5"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Directivei (UE) 2019/1024 trebuie să fie puse în aplicare în termen de 2 ani de la data intrării în vigoare a prezentei decizii.</w:t>
            </w:r>
          </w:p>
        </w:tc>
      </w:tr>
    </w:tbl>
    <w:p w14:paraId="18CEA2CD" w14:textId="77777777" w:rsidR="001C5D14" w:rsidRPr="00354348" w:rsidRDefault="001C5D14" w:rsidP="000F7BB0">
      <w:pPr>
        <w:rPr>
          <w:noProof/>
          <w:color w:val="000000"/>
        </w:rPr>
      </w:pPr>
      <w:bookmarkStart w:id="7" w:name="_Hlk126142471"/>
      <w:bookmarkStart w:id="8" w:name="_Hlk128130506"/>
    </w:p>
    <w:p w14:paraId="44BB5F86" w14:textId="7EDB4D22" w:rsidR="00B55201" w:rsidRPr="00354348" w:rsidRDefault="00B55201" w:rsidP="000F7BB0">
      <w:pPr>
        <w:rPr>
          <w:noProof/>
          <w:color w:val="000000"/>
        </w:rPr>
      </w:pPr>
      <w:r w:rsidRPr="00354348">
        <w:rPr>
          <w:noProof/>
        </w:rPr>
        <w:t>Regulamentul de punere în aplicare (UE) 2023/138 al Comisiei</w:t>
      </w:r>
      <w:bookmarkEnd w:id="7"/>
      <w:r w:rsidRPr="00354348">
        <w:rPr>
          <w:noProof/>
        </w:rPr>
        <w:t xml:space="preserve"> din 21 decembrie 2022 de stabilire a unei liste de seturi de date cu valoare ridicată specifice și a modalităților de publ</w:t>
      </w:r>
      <w:r w:rsidR="000142A8">
        <w:rPr>
          <w:noProof/>
        </w:rPr>
        <w:t>icare și reutilizare a acestora</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06B74C7A"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bookmarkEnd w:id="8"/>
          <w:p w14:paraId="634C71D1"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Regulamentului de punere în aplicare (UE) 2023/138 al Comisiei trebuie să fie puse în aplicare în termen de 2 ani de la data intrării în vigoare a prezentei decizii.</w:t>
            </w:r>
          </w:p>
        </w:tc>
      </w:tr>
    </w:tbl>
    <w:p w14:paraId="61F2CA14" w14:textId="77777777" w:rsidR="007572B3" w:rsidRPr="00354348" w:rsidRDefault="007572B3" w:rsidP="000F7BB0">
      <w:pPr>
        <w:rPr>
          <w:noProof/>
        </w:rPr>
      </w:pPr>
      <w:bookmarkStart w:id="9" w:name="_Hlk128121326"/>
      <w:bookmarkStart w:id="10" w:name="_Hlk128122409"/>
    </w:p>
    <w:p w14:paraId="40FD86DD" w14:textId="1C3CAD48" w:rsidR="00B55201" w:rsidRPr="00354348" w:rsidRDefault="00B55201" w:rsidP="000F7BB0">
      <w:pPr>
        <w:rPr>
          <w:noProof/>
        </w:rPr>
      </w:pPr>
      <w:r w:rsidRPr="00354348">
        <w:rPr>
          <w:noProof/>
        </w:rPr>
        <w:t xml:space="preserve">Regulamentul (UE) 2022/2065 </w:t>
      </w:r>
      <w:bookmarkEnd w:id="9"/>
      <w:r w:rsidRPr="00354348">
        <w:rPr>
          <w:noProof/>
        </w:rPr>
        <w:t>al Parlamentului European și al Consiliului din 19 octombrie 2022 privind o piață unică pentru serviciile digitale (Regulamentul privind serviciile digitale) și de modificare a Directivei 2000/31/CE a Parlamentului European și a Consiliului din 8 iunie 2000 privind anumite aspecte juridice ale serviciilor societății informaționale, în special ale comerțului electronic, pe piața internă (directi</w:t>
      </w:r>
      <w:r w:rsidR="000142A8">
        <w:rPr>
          <w:noProof/>
        </w:rPr>
        <w:t>va privind comerțul electronic)</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790CDCC1"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bookmarkEnd w:id="10"/>
          <w:p w14:paraId="592B9C02"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Regulamentului (UE) 2022/2065 trebuie să fie puse în aplicare în termen de 3 ani de la data intrării în vigoare a prezentei decizii.</w:t>
            </w:r>
          </w:p>
        </w:tc>
      </w:tr>
    </w:tbl>
    <w:p w14:paraId="7AA49BDF" w14:textId="77777777" w:rsidR="001C5D14" w:rsidRPr="00354348" w:rsidRDefault="001C5D14" w:rsidP="000F7BB0">
      <w:pPr>
        <w:rPr>
          <w:noProof/>
        </w:rPr>
      </w:pPr>
    </w:p>
    <w:p w14:paraId="7D7DC4C2" w14:textId="60F4E416" w:rsidR="00B55201" w:rsidRPr="00354348" w:rsidRDefault="00B55201" w:rsidP="000F7BB0">
      <w:pPr>
        <w:rPr>
          <w:noProof/>
        </w:rPr>
      </w:pPr>
      <w:r w:rsidRPr="00354348">
        <w:rPr>
          <w:noProof/>
        </w:rPr>
        <w:t>Recomandarea (UE) 2018/334 a Comisiei din 1 martie 2018 privind măsuri de combatere efica</w:t>
      </w:r>
      <w:r w:rsidR="000142A8">
        <w:rPr>
          <w:noProof/>
        </w:rPr>
        <w:t>ce a conținutului ilegal online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5201FBD3"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22F00"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Recomandării (UE) 2018/334 a Comisiei trebuie să fie puse în aplicare în termen de 2 ani de la data intrării în vigoare a prezentei decizii.</w:t>
            </w:r>
          </w:p>
        </w:tc>
      </w:tr>
    </w:tbl>
    <w:p w14:paraId="1DD6F440" w14:textId="77777777" w:rsidR="001C5D14" w:rsidRPr="00354348" w:rsidRDefault="001C5D14" w:rsidP="000F7BB0">
      <w:pPr>
        <w:rPr>
          <w:noProof/>
        </w:rPr>
      </w:pPr>
      <w:bookmarkStart w:id="11" w:name="_Hlk128121722"/>
      <w:bookmarkStart w:id="12" w:name="_Hlk128122435"/>
    </w:p>
    <w:p w14:paraId="3126ABEA" w14:textId="584F4277" w:rsidR="00B55201" w:rsidRPr="00354348" w:rsidRDefault="00B55201" w:rsidP="000F7BB0">
      <w:pPr>
        <w:rPr>
          <w:strike/>
          <w:noProof/>
        </w:rPr>
      </w:pPr>
      <w:r w:rsidRPr="00354348">
        <w:rPr>
          <w:noProof/>
        </w:rPr>
        <w:t>Regulamentul (UE) 2022/1925</w:t>
      </w:r>
      <w:bookmarkEnd w:id="11"/>
      <w:r w:rsidRPr="00354348">
        <w:rPr>
          <w:noProof/>
        </w:rPr>
        <w:t xml:space="preserve"> al Parlamentului European și al Consiliului din 14 septembrie 2022 privind piețe contestabile și echitabile în sectorul digital și de modificare a Directivelor (UE) 2019/1937 și (UE) 2020/1828 (Regulam</w:t>
      </w:r>
      <w:r w:rsidR="000142A8">
        <w:rPr>
          <w:noProof/>
        </w:rPr>
        <w:t>entul privind piețele digitale)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4E127C5A"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bookmarkEnd w:id="12"/>
          <w:p w14:paraId="339DF6D1"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Regulamentului (UE) 2022/1925 sunt puse în aplicare în termen de 3 ani de la data intrării în vigoare a prezentei decizii.</w:t>
            </w:r>
          </w:p>
        </w:tc>
      </w:tr>
    </w:tbl>
    <w:p w14:paraId="36396D06" w14:textId="77777777" w:rsidR="00B55201" w:rsidRPr="00354348" w:rsidRDefault="00B55201" w:rsidP="000F7BB0">
      <w:pPr>
        <w:rPr>
          <w:strike/>
          <w:noProof/>
          <w:szCs w:val="24"/>
        </w:rPr>
      </w:pPr>
    </w:p>
    <w:p w14:paraId="54186156" w14:textId="77777777" w:rsidR="00B55201" w:rsidRPr="00354348" w:rsidRDefault="00B55201" w:rsidP="000F7BB0">
      <w:pPr>
        <w:rPr>
          <w:strike/>
          <w:noProof/>
        </w:rPr>
      </w:pPr>
      <w:bookmarkStart w:id="13" w:name="_Hlk128121733"/>
      <w:bookmarkStart w:id="14" w:name="_Hlk128122456"/>
      <w:r w:rsidRPr="00354348">
        <w:rPr>
          <w:noProof/>
        </w:rPr>
        <w:t xml:space="preserve">Regulamentul (UE) 2019/1150 </w:t>
      </w:r>
      <w:bookmarkEnd w:id="13"/>
      <w:r w:rsidRPr="00354348">
        <w:rPr>
          <w:noProof/>
        </w:rPr>
        <w:t>al Parlamentului European și al Consiliului din 20 iunie 2019 privind promovarea echității și a transparenței pentru întreprinderile utilizatoare de servicii de intermediere online (Regulamentul privind relațiile dintre platforme și întreprinderi)</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2AEE0CAA"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bookmarkEnd w:id="14"/>
          <w:p w14:paraId="465AF822"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Regulamentului (UE) 2019/1150 trebuie să fie puse în aplicare în termen de 2 ani de la data intrării în vigoare a prezentei decizii.</w:t>
            </w:r>
          </w:p>
        </w:tc>
      </w:tr>
    </w:tbl>
    <w:p w14:paraId="44903685" w14:textId="77777777" w:rsidR="001C5D14" w:rsidRPr="00354348" w:rsidRDefault="001C5D14" w:rsidP="000F7BB0">
      <w:pPr>
        <w:rPr>
          <w:noProof/>
        </w:rPr>
      </w:pPr>
      <w:bookmarkStart w:id="15" w:name="_Hlk128121745"/>
      <w:bookmarkStart w:id="16" w:name="_Hlk128122472"/>
    </w:p>
    <w:p w14:paraId="0968A735" w14:textId="56884371" w:rsidR="00B55201" w:rsidRPr="00354348" w:rsidRDefault="00B55201" w:rsidP="000F7BB0">
      <w:pPr>
        <w:rPr>
          <w:noProof/>
          <w:color w:val="000000"/>
        </w:rPr>
      </w:pPr>
      <w:r w:rsidRPr="00354348">
        <w:rPr>
          <w:noProof/>
        </w:rPr>
        <w:t xml:space="preserve">Regulamentul (UE) 2018/302 </w:t>
      </w:r>
      <w:bookmarkEnd w:id="15"/>
      <w:r w:rsidRPr="00354348">
        <w:rPr>
          <w:noProof/>
        </w:rPr>
        <w:t>al Parlamentului European și al Consiliului din 28 februarie 2018 privind prevenirea geoblocării nejustificate și a altor forme de discriminare bazate pe cetățenia sau naționalitatea, domiciliul sau sediul clienților pe piața internă și de modificare a Regulamentelor (CE) nr. 2006/2004 și (UE) 2017/2394, precum și a Directivei 2009/22/CE (Regulamentul privind geoblocarea)</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44030D40"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bookmarkEnd w:id="16"/>
          <w:p w14:paraId="0EE360BE"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Regulamentului (UE) 2018/302 trebuie să fie puse în aplicare în termen de 2 ani de la data intrării în vigoare a prezentei decizii.</w:t>
            </w:r>
          </w:p>
        </w:tc>
      </w:tr>
    </w:tbl>
    <w:p w14:paraId="2D51C1E5" w14:textId="77777777" w:rsidR="001C5D14" w:rsidRPr="00354348" w:rsidRDefault="001C5D14" w:rsidP="000F7BB0">
      <w:pPr>
        <w:rPr>
          <w:noProof/>
        </w:rPr>
      </w:pPr>
    </w:p>
    <w:p w14:paraId="44201AE1" w14:textId="119C1EAE" w:rsidR="00B55201" w:rsidRPr="00354348" w:rsidRDefault="00B55201" w:rsidP="000F7BB0">
      <w:pPr>
        <w:rPr>
          <w:noProof/>
        </w:rPr>
      </w:pPr>
      <w:r w:rsidRPr="00354348">
        <w:rPr>
          <w:noProof/>
        </w:rPr>
        <w:t xml:space="preserve">Directiva 2002/58/CE a Parlamentului European și a Consiliului din 12 iulie 2002 privind prelucrarea datelor cu caracter personal și protecția vieții private în sectorul comunicațiilor electronice (Directiva asupra confidențialității și comunicațiilor electronice), astfel cum a fost modificată prin Directiva 2009/136/CE al Parlamentului European și a Consiliului </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7A7B9C20"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40048"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bookmarkStart w:id="17" w:name="_Hlk126765553"/>
            <w:r w:rsidRPr="00354348">
              <w:rPr>
                <w:noProof/>
                <w:color w:val="000000"/>
                <w:u w:color="000000"/>
                <w14:textOutline w14:w="0" w14:cap="flat" w14:cmpd="sng" w14:algn="ctr">
                  <w14:noFill/>
                  <w14:prstDash w14:val="solid"/>
                  <w14:bevel/>
                </w14:textOutline>
              </w:rPr>
              <w:t xml:space="preserve">Calendar: </w:t>
            </w:r>
            <w:r w:rsidRPr="00354348">
              <w:rPr>
                <w:noProof/>
              </w:rPr>
              <w:t>dispozițiile Directivei 2002/58/CE trebuie să fie puse în aplicare în termen de un an de la data intrării în vigoare a prezentei decizii.</w:t>
            </w:r>
          </w:p>
        </w:tc>
      </w:tr>
    </w:tbl>
    <w:bookmarkEnd w:id="17"/>
    <w:p w14:paraId="73216CE3" w14:textId="77777777" w:rsidR="00B55201" w:rsidRPr="00354348" w:rsidRDefault="00B55201" w:rsidP="00F6346E">
      <w:pPr>
        <w:spacing w:after="240"/>
        <w:rPr>
          <w:noProof/>
        </w:rPr>
      </w:pPr>
      <w:r w:rsidRPr="00354348">
        <w:rPr>
          <w:noProof/>
        </w:rPr>
        <w:t>LEGISLAȚIA PRIVIND SPECTRUL DE FRECVENȚE RADIO</w:t>
      </w:r>
    </w:p>
    <w:p w14:paraId="645B24A4" w14:textId="77777777" w:rsidR="00B55201" w:rsidRPr="00354348" w:rsidRDefault="00B55201" w:rsidP="000F7BB0">
      <w:pPr>
        <w:rPr>
          <w:noProof/>
        </w:rPr>
      </w:pPr>
      <w:r w:rsidRPr="00354348">
        <w:rPr>
          <w:noProof/>
        </w:rPr>
        <w:t>Decizia 243/2012/UE a Parlamentului European și a Consiliului din 14 martie 2012 de instituire a unui program multianual pentru politica în domeniul spectrului de frecvențe radio</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7BF1BEE5"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9A23D"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243/2012/UE a Parlamentului European și a Consiliului trebuie să fie puse în aplicare în termen de un an de la data intrării în vigoare a prezentei decizii.</w:t>
            </w:r>
          </w:p>
        </w:tc>
      </w:tr>
    </w:tbl>
    <w:p w14:paraId="7C7C5124" w14:textId="77777777" w:rsidR="001C5D14" w:rsidRPr="00354348" w:rsidRDefault="001C5D14" w:rsidP="000F7BB0">
      <w:pPr>
        <w:rPr>
          <w:noProof/>
        </w:rPr>
      </w:pPr>
    </w:p>
    <w:p w14:paraId="0D0A9394" w14:textId="65760A77" w:rsidR="00B55201" w:rsidRPr="00354348" w:rsidRDefault="00B55201" w:rsidP="000F7BB0">
      <w:pPr>
        <w:rPr>
          <w:noProof/>
        </w:rPr>
      </w:pPr>
      <w:r w:rsidRPr="00354348">
        <w:rPr>
          <w:noProof/>
        </w:rPr>
        <w:t>Decizia de punere în aplicare 2013/195/UE a Comisiei din 23 aprilie 2013 de definire a modalităților practice, a modelelor uniforme și a unei metodologii referitoare la inventarul privind spectrul de frecvențe radio instituit prin Decizia nr. 243/2012/UE a Parlamentului European și a Consiliului de instituire a unui program multianual pentru politica în domeniul spectrului de frecvențe radio</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607A3BF9"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C5F8B" w14:textId="0957FFDF"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2013/195/UE a Comisiei trebuie să fie puse în aplicare în termen de un an de la data intrării în vigoare a prezentei decizii.</w:t>
            </w:r>
          </w:p>
        </w:tc>
      </w:tr>
    </w:tbl>
    <w:p w14:paraId="6E49DA21" w14:textId="77777777" w:rsidR="001C5D14" w:rsidRPr="00354348" w:rsidRDefault="001C5D14" w:rsidP="000F7BB0">
      <w:pPr>
        <w:rPr>
          <w:noProof/>
        </w:rPr>
      </w:pPr>
    </w:p>
    <w:p w14:paraId="4C5BAF8D" w14:textId="754835EE" w:rsidR="00B55201" w:rsidRPr="00354348" w:rsidRDefault="00B55201" w:rsidP="000F7BB0">
      <w:pPr>
        <w:rPr>
          <w:noProof/>
        </w:rPr>
      </w:pPr>
      <w:r w:rsidRPr="00354348">
        <w:rPr>
          <w:noProof/>
        </w:rPr>
        <w:t>Decizia de punere în aplicare (UE) 2016/687 a Comisiei din 28 aprilie 2016 privind armonizarea benzii de frecvențe de 694-790 MHz pentru sistemele terestre capabile să furnizeze servicii de comunicații electronice pe suport radio în bandă largă și pentru o utilizare națională flexibilă în Uniune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3551DF13"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A83DE"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2016/687 a Comisiei trebuie să fie puse în aplicare în termen de un an de la data intrării în vigoare a prezentei decizii.</w:t>
            </w:r>
          </w:p>
        </w:tc>
      </w:tr>
    </w:tbl>
    <w:p w14:paraId="58265DB2" w14:textId="77777777" w:rsidR="001C5D14" w:rsidRPr="00354348" w:rsidRDefault="001C5D14" w:rsidP="000F7BB0">
      <w:pPr>
        <w:rPr>
          <w:noProof/>
        </w:rPr>
      </w:pPr>
    </w:p>
    <w:p w14:paraId="20E7A675" w14:textId="04B96A0E" w:rsidR="00B55201" w:rsidRPr="00354348" w:rsidRDefault="00B55201" w:rsidP="000F7BB0">
      <w:pPr>
        <w:rPr>
          <w:noProof/>
        </w:rPr>
      </w:pPr>
      <w:r w:rsidRPr="00354348">
        <w:rPr>
          <w:noProof/>
        </w:rPr>
        <w:t>Decizia de punere în aplicare (UE) 2016/2317 a Comisiei din 16 decembrie 2016 de modificare a Deciziei 2008/294/CE și a Deciziei de punere în aplicare 2013/654/UE, în vederea simplificării exploatării serviciilor de comunicații mobile la bordul aeronavelor (servicii CMA) în Uniune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2B95235C"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9A613"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2016/2317 a Comisiei trebuie să fie puse în aplicare în termen de un an de la data intrării în vigoare a prezentei decizii.</w:t>
            </w:r>
          </w:p>
        </w:tc>
      </w:tr>
    </w:tbl>
    <w:p w14:paraId="137A4F06" w14:textId="77777777" w:rsidR="00B55201" w:rsidRPr="00354348" w:rsidRDefault="00B55201" w:rsidP="000F7BB0">
      <w:pPr>
        <w:rPr>
          <w:noProof/>
          <w:szCs w:val="24"/>
        </w:rPr>
      </w:pPr>
    </w:p>
    <w:p w14:paraId="56366169" w14:textId="77777777" w:rsidR="00B55201" w:rsidRPr="00354348" w:rsidRDefault="00B55201" w:rsidP="000F7BB0">
      <w:pPr>
        <w:rPr>
          <w:noProof/>
        </w:rPr>
      </w:pPr>
      <w:r w:rsidRPr="00354348">
        <w:rPr>
          <w:noProof/>
        </w:rPr>
        <w:t>Decizia de punere în aplicare (UE) 2017/191 a Comisiei din 1 februarie 2017 de modificare a Deciziei 2010/166/UE pentru a introduce noi tehnologii și benzi de frecvențe pentru serviciile de comunicații mobile la bordul navelor (servicii MCV) în Uniunea Europeană</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6897587E"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3D6E0"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2017/191 a Comisiei trebuie să fie puse în aplicare în termen de un an de la data intrării în vigoare a prezentei decizii.</w:t>
            </w:r>
          </w:p>
        </w:tc>
      </w:tr>
    </w:tbl>
    <w:p w14:paraId="112AC333" w14:textId="77777777" w:rsidR="00B55201" w:rsidRPr="00354348" w:rsidRDefault="00B55201" w:rsidP="000F7BB0">
      <w:pPr>
        <w:rPr>
          <w:noProof/>
          <w:szCs w:val="24"/>
        </w:rPr>
      </w:pPr>
    </w:p>
    <w:p w14:paraId="308F44CF" w14:textId="2B77A14A" w:rsidR="00B55201" w:rsidRPr="00354348" w:rsidRDefault="00B55201" w:rsidP="000F7BB0">
      <w:pPr>
        <w:rPr>
          <w:noProof/>
        </w:rPr>
      </w:pPr>
      <w:r w:rsidRPr="00354348">
        <w:rPr>
          <w:noProof/>
        </w:rPr>
        <w:t>Decizia (UE) 2017/899 a Parlamentului European și a Consiliului din 17 mai 2017 privind utilizarea benzii de</w:t>
      </w:r>
      <w:r w:rsidR="00530EAA">
        <w:rPr>
          <w:noProof/>
        </w:rPr>
        <w:t xml:space="preserve"> frecvențe de 470-790 </w:t>
      </w:r>
      <w:r w:rsidRPr="00354348">
        <w:rPr>
          <w:noProof/>
        </w:rPr>
        <w:t>MHz în Uniune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1CBD8FD8"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F8568"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(UE) 2017/899 trebuie să fie puse în aplicare în termen de un an de la data intrării în vigoare a prezentei decizii.</w:t>
            </w:r>
          </w:p>
        </w:tc>
      </w:tr>
    </w:tbl>
    <w:p w14:paraId="2F4419A1" w14:textId="77777777" w:rsidR="00B55201" w:rsidRPr="00354348" w:rsidRDefault="00B55201" w:rsidP="000F7BB0">
      <w:pPr>
        <w:rPr>
          <w:noProof/>
          <w:szCs w:val="24"/>
        </w:rPr>
      </w:pPr>
    </w:p>
    <w:p w14:paraId="6297FCE5" w14:textId="77777777" w:rsidR="00B55201" w:rsidRPr="00354348" w:rsidRDefault="00B55201" w:rsidP="000F7BB0">
      <w:pPr>
        <w:rPr>
          <w:noProof/>
        </w:rPr>
      </w:pPr>
      <w:r w:rsidRPr="00354348">
        <w:rPr>
          <w:noProof/>
        </w:rPr>
        <w:t>Decizia de punere în aplicare (UE) 2017/1483 a Comisiei din 8 august 2017 de modificare a Deciziei 2006/771/CE de armonizare a spectrului de frecvențe radio în vederea utilizării de dispozitive cu rază mică de acțiune și de abrogare a Deciziei 2006/804/CE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1E8BD8BA"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DBB00"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2017/1483 a Comisiei trebuie să fie puse în aplicare în termen de un an de la data intrării în vigoare a prezentei decizii.</w:t>
            </w:r>
          </w:p>
        </w:tc>
      </w:tr>
    </w:tbl>
    <w:p w14:paraId="7606166F" w14:textId="77777777" w:rsidR="00B55201" w:rsidRPr="00354348" w:rsidRDefault="00B55201" w:rsidP="000F7BB0">
      <w:pPr>
        <w:rPr>
          <w:noProof/>
        </w:rPr>
      </w:pPr>
    </w:p>
    <w:p w14:paraId="6297895F" w14:textId="77777777" w:rsidR="00B55201" w:rsidRPr="00354348" w:rsidRDefault="00B55201" w:rsidP="000F7BB0">
      <w:pPr>
        <w:rPr>
          <w:noProof/>
        </w:rPr>
      </w:pPr>
      <w:r w:rsidRPr="00354348">
        <w:rPr>
          <w:noProof/>
        </w:rPr>
        <w:t>Decizia de punere în aplicare (UE) 2017/2077 a Comisiei din 10 noiembrie 2017 de modificare a Deciziei 2005/50/CE privind armonizarea spectrului în banda de frecvențe de 24 GHz în vederea utilizării pe durată limitată de către sistemele radar cu rază scurtă de acțiune pentru automobile în Comunitate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7D263165"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DF4D3"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2017/2077 a Comisiei trebuie să fie puse în aplicare în termen de un an de la data intrării în vigoare a prezentei decizii.</w:t>
            </w:r>
          </w:p>
        </w:tc>
      </w:tr>
    </w:tbl>
    <w:p w14:paraId="3D41DB5D" w14:textId="77777777" w:rsidR="00B55201" w:rsidRPr="00354348" w:rsidRDefault="00B55201" w:rsidP="000F7BB0">
      <w:pPr>
        <w:rPr>
          <w:noProof/>
          <w:szCs w:val="24"/>
        </w:rPr>
      </w:pPr>
    </w:p>
    <w:p w14:paraId="22895960" w14:textId="055F7E3F" w:rsidR="00B55201" w:rsidRPr="00354348" w:rsidRDefault="00B55201" w:rsidP="000F7BB0">
      <w:pPr>
        <w:rPr>
          <w:noProof/>
        </w:rPr>
      </w:pPr>
      <w:r w:rsidRPr="00354348">
        <w:rPr>
          <w:noProof/>
        </w:rPr>
        <w:t xml:space="preserve">Decizia de punere în aplicare (UE) 2018/661 a Comisiei din 26 aprilie 2018 de modificare a Deciziei de punere în aplicare (UE) 2015/750 privind armonizarea benzii de frecvențe </w:t>
      </w:r>
      <w:r w:rsidR="00530EAA">
        <w:rPr>
          <w:noProof/>
        </w:rPr>
        <w:t>1</w:t>
      </w:r>
      <w:r w:rsidRPr="00354348">
        <w:rPr>
          <w:noProof/>
        </w:rPr>
        <w:t>452-</w:t>
      </w:r>
      <w:r w:rsidR="00530EAA">
        <w:rPr>
          <w:noProof/>
        </w:rPr>
        <w:t>1</w:t>
      </w:r>
      <w:r w:rsidRPr="00354348">
        <w:rPr>
          <w:noProof/>
        </w:rPr>
        <w:t>492 MHz pentru sistemele terestre capabile să furnizeze servicii de comunicații electronice în Uniune, în sensul extinderii acesteia la benzile de frecvențe armonizate de 1427-1452 MHz și 1492-1517 MHz</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7CF418C0"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96567"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2018/661 a Comisiei trebuie să fie puse în aplicare în termen de un an de la data intrării în vigoare a prezentei decizii.</w:t>
            </w:r>
          </w:p>
        </w:tc>
      </w:tr>
    </w:tbl>
    <w:p w14:paraId="3B667303" w14:textId="77777777" w:rsidR="00B55201" w:rsidRPr="00354348" w:rsidRDefault="00B55201" w:rsidP="000F7BB0">
      <w:pPr>
        <w:rPr>
          <w:noProof/>
          <w:szCs w:val="24"/>
        </w:rPr>
      </w:pPr>
    </w:p>
    <w:p w14:paraId="64571E44" w14:textId="64404E8E" w:rsidR="00B55201" w:rsidRPr="00354348" w:rsidRDefault="00B55201" w:rsidP="000F7BB0">
      <w:pPr>
        <w:rPr>
          <w:noProof/>
        </w:rPr>
      </w:pPr>
      <w:r w:rsidRPr="00354348">
        <w:rPr>
          <w:noProof/>
        </w:rPr>
        <w:t>Decizia de punere în aplicare (UE) 2018/1538 a Comisiei din 11 octombrie 2018 privind armonizarea spectrului de frecvențe radio pentru utilizarea de dispozitive cu rază mică de acțiune în benzile de frecvențe de 874-876</w:t>
      </w:r>
      <w:r w:rsidR="00530EAA">
        <w:rPr>
          <w:noProof/>
        </w:rPr>
        <w:t xml:space="preserve"> și </w:t>
      </w:r>
      <w:r w:rsidRPr="00354348">
        <w:rPr>
          <w:noProof/>
        </w:rPr>
        <w:t>915-921 MHz</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5E70FDA7"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11148"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2018/1538 a Comisiei trebuie să fie puse în aplicare în termen de un an de la data intrării în vigoare a prezentei decizii.</w:t>
            </w:r>
          </w:p>
        </w:tc>
      </w:tr>
    </w:tbl>
    <w:p w14:paraId="2FBFCB4E" w14:textId="77777777" w:rsidR="00B55201" w:rsidRPr="00354348" w:rsidRDefault="00B55201" w:rsidP="000F7BB0">
      <w:pPr>
        <w:rPr>
          <w:noProof/>
          <w:szCs w:val="24"/>
        </w:rPr>
      </w:pPr>
    </w:p>
    <w:p w14:paraId="6BE74ECB" w14:textId="6C3B73E9" w:rsidR="00B55201" w:rsidRPr="00354348" w:rsidRDefault="00B55201" w:rsidP="000F7BB0">
      <w:pPr>
        <w:rPr>
          <w:noProof/>
        </w:rPr>
      </w:pPr>
      <w:r w:rsidRPr="00354348">
        <w:rPr>
          <w:noProof/>
        </w:rPr>
        <w:t>Decizia de punere în aplicare (UE) 2019/235 a Comisiei din 24 ianuarie 2019 de modificare a Deciziei 2008/411/CE în ceea ce privește o actualizare a condițiilor tehnice relevante aplicabil</w:t>
      </w:r>
      <w:r w:rsidR="00530EAA">
        <w:rPr>
          <w:noProof/>
        </w:rPr>
        <w:t>e benzii de frecvențe 3400-3800 </w:t>
      </w:r>
      <w:r w:rsidRPr="00354348">
        <w:rPr>
          <w:noProof/>
        </w:rPr>
        <w:t>MHz</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17A74015"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6AB52"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2019/235 a Comisiei trebuie să fie puse în aplicare în termen de un an de la data intrării în vigoare a prezentei decizii.</w:t>
            </w:r>
          </w:p>
        </w:tc>
      </w:tr>
    </w:tbl>
    <w:p w14:paraId="06523090" w14:textId="77777777" w:rsidR="00B55201" w:rsidRPr="00354348" w:rsidRDefault="00B55201" w:rsidP="000F7BB0">
      <w:pPr>
        <w:rPr>
          <w:noProof/>
          <w:szCs w:val="24"/>
        </w:rPr>
      </w:pPr>
    </w:p>
    <w:p w14:paraId="1A1DAA01" w14:textId="466B46F4" w:rsidR="00B55201" w:rsidRPr="00354348" w:rsidRDefault="00B55201" w:rsidP="000F7BB0">
      <w:pPr>
        <w:rPr>
          <w:noProof/>
        </w:rPr>
      </w:pPr>
      <w:r w:rsidRPr="00354348">
        <w:rPr>
          <w:noProof/>
        </w:rPr>
        <w:t xml:space="preserve">Decizia de punere în aplicare (UE) 2019/785 a Comisiei din 14 mai 2019 privind armonizarea spectrului de frecvențe radio pentru echipamentele care folosesc tehnologia de bandă ultralargă în Uniune și de </w:t>
      </w:r>
      <w:r w:rsidR="000142A8">
        <w:rPr>
          <w:noProof/>
        </w:rPr>
        <w:t>abrogare a Deciziei 2007/131/CE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16F3E099"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FA9D9"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2019/785 a Comisiei trebuie să fie puse în aplicare în termen de un an de la data intrării în vigoare a prezentei decizii.</w:t>
            </w:r>
          </w:p>
        </w:tc>
      </w:tr>
    </w:tbl>
    <w:p w14:paraId="24FBFD50" w14:textId="77777777" w:rsidR="00B55201" w:rsidRPr="00354348" w:rsidRDefault="00B55201" w:rsidP="000F7BB0">
      <w:pPr>
        <w:rPr>
          <w:noProof/>
          <w:szCs w:val="24"/>
        </w:rPr>
      </w:pPr>
    </w:p>
    <w:p w14:paraId="7231B496" w14:textId="3D482D7A" w:rsidR="00B55201" w:rsidRPr="00354348" w:rsidRDefault="00B55201" w:rsidP="000F7BB0">
      <w:pPr>
        <w:rPr>
          <w:b/>
          <w:bCs/>
          <w:noProof/>
        </w:rPr>
      </w:pPr>
      <w:r w:rsidRPr="00354348">
        <w:rPr>
          <w:noProof/>
          <w:color w:val="000000"/>
        </w:rPr>
        <w:t>Decizia de punere în aplicare (UE) 2019/1345 a Comisiei din 2 august 2019 de modificare a Deciziei 2006/771/CE în vederea actualizării condițiilor tehnice armonizate de utilizare a spectrului radio pentru dispoz</w:t>
      </w:r>
      <w:r w:rsidR="000142A8">
        <w:rPr>
          <w:noProof/>
          <w:color w:val="000000"/>
        </w:rPr>
        <w:t>itivele cu rază mică de acțiune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7C770470"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24ED4"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2019/1345 a Comisiei trebuie să fie puse în aplicare în termen de un an de la data intrării în vigoare a prezentei decizii.</w:t>
            </w:r>
          </w:p>
        </w:tc>
      </w:tr>
    </w:tbl>
    <w:p w14:paraId="7CF22C54" w14:textId="77777777" w:rsidR="00B55201" w:rsidRPr="00354348" w:rsidRDefault="00B55201" w:rsidP="000F7BB0">
      <w:pPr>
        <w:rPr>
          <w:b/>
          <w:bCs/>
          <w:noProof/>
        </w:rPr>
      </w:pPr>
    </w:p>
    <w:p w14:paraId="719B853A" w14:textId="56D332D1" w:rsidR="00B55201" w:rsidRPr="00354348" w:rsidRDefault="00B55201" w:rsidP="000F7BB0">
      <w:pPr>
        <w:rPr>
          <w:noProof/>
          <w:color w:val="000000"/>
        </w:rPr>
      </w:pPr>
      <w:r w:rsidRPr="00354348">
        <w:rPr>
          <w:noProof/>
          <w:color w:val="000000"/>
        </w:rPr>
        <w:t>Decizia de punere în aplicare (UE) 2019/784 a Comisiei din 14 mai 2019 privind armonizarea be</w:t>
      </w:r>
      <w:r w:rsidR="00530EAA">
        <w:rPr>
          <w:noProof/>
          <w:color w:val="000000"/>
        </w:rPr>
        <w:t>nzii de frecvențe de 24,25-27,5 </w:t>
      </w:r>
      <w:r w:rsidRPr="00354348">
        <w:rPr>
          <w:noProof/>
          <w:color w:val="000000"/>
        </w:rPr>
        <w:t>GHz pentru sistemele terestre capabile să furnizeze servicii de comunicații electronice pe suport</w:t>
      </w:r>
      <w:r w:rsidR="000142A8">
        <w:rPr>
          <w:noProof/>
          <w:color w:val="000000"/>
        </w:rPr>
        <w:t xml:space="preserve"> radio în bandă largă în Uniune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431FBE88"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502F7"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2019/784 a Comisiei trebuie să fie puse în aplicare în termen de un an de la data intrării în vigoare a prezentei decizii.</w:t>
            </w:r>
          </w:p>
        </w:tc>
      </w:tr>
    </w:tbl>
    <w:p w14:paraId="33DD4A76" w14:textId="77777777" w:rsidR="00B55201" w:rsidRPr="00354348" w:rsidRDefault="00B55201" w:rsidP="000F7BB0">
      <w:pPr>
        <w:rPr>
          <w:noProof/>
          <w:color w:val="000000"/>
        </w:rPr>
      </w:pPr>
    </w:p>
    <w:p w14:paraId="4B7E6FA7" w14:textId="19111849" w:rsidR="00B55201" w:rsidRPr="00354348" w:rsidRDefault="00B55201" w:rsidP="000F7BB0">
      <w:pPr>
        <w:rPr>
          <w:noProof/>
          <w:color w:val="000000"/>
        </w:rPr>
      </w:pPr>
      <w:r w:rsidRPr="00354348">
        <w:rPr>
          <w:noProof/>
          <w:color w:val="000000"/>
        </w:rPr>
        <w:t>Decizia de punere în aplicare (UE) 2020/590 a Comisiei din 24 aprilie 2020 de modificare a Deciziei (UE) 2019/784 în ceea ce privește o actualizare a condițiilor tehnice relevante aplicabile be</w:t>
      </w:r>
      <w:r w:rsidR="00530EAA">
        <w:rPr>
          <w:noProof/>
          <w:color w:val="000000"/>
        </w:rPr>
        <w:t>nzii de frecvențe de 24,25-27,5 </w:t>
      </w:r>
      <w:r w:rsidR="000142A8">
        <w:rPr>
          <w:noProof/>
          <w:color w:val="000000"/>
        </w:rPr>
        <w:t>GHz</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5BDE6684"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042C6"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2020/590 a Comisiei trebuie să fie puse în aplicare în termen de un an de la data intrării în vigoare a prezentei decizii.</w:t>
            </w:r>
          </w:p>
        </w:tc>
      </w:tr>
    </w:tbl>
    <w:p w14:paraId="7E0FC5D1" w14:textId="77777777" w:rsidR="00B55201" w:rsidRPr="00354348" w:rsidRDefault="00B55201" w:rsidP="000F7BB0">
      <w:pPr>
        <w:rPr>
          <w:noProof/>
          <w:color w:val="000000"/>
        </w:rPr>
      </w:pPr>
    </w:p>
    <w:p w14:paraId="3E24EA66" w14:textId="4740338B" w:rsidR="00B55201" w:rsidRPr="00354348" w:rsidRDefault="00B55201" w:rsidP="000F7BB0">
      <w:pPr>
        <w:rPr>
          <w:noProof/>
          <w:color w:val="000000"/>
        </w:rPr>
      </w:pPr>
      <w:r w:rsidRPr="00354348">
        <w:rPr>
          <w:noProof/>
          <w:color w:val="000000"/>
        </w:rPr>
        <w:t>Decizia de punere în aplicare (UE) 2020/636 a Comisiei din 8 mai 2020 de modificare a Deciziei 2008/477/CE în ceea ce privește o actualizare a condițiilor tehnice relevante apli</w:t>
      </w:r>
      <w:r w:rsidR="00530EAA">
        <w:rPr>
          <w:noProof/>
          <w:color w:val="000000"/>
        </w:rPr>
        <w:t>cabile benzii de frecvențe de 2 500-2 690 </w:t>
      </w:r>
      <w:r w:rsidR="000142A8">
        <w:rPr>
          <w:noProof/>
          <w:color w:val="000000"/>
        </w:rPr>
        <w:t>MHz</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3FC75E2E"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10E1E"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2020/636 a Comisiei trebuie să fie puse în aplicare în termen de un an de la data intrării în vigoare a prezentei decizii.</w:t>
            </w:r>
          </w:p>
        </w:tc>
      </w:tr>
    </w:tbl>
    <w:p w14:paraId="5E74D6E9" w14:textId="77777777" w:rsidR="00B55201" w:rsidRPr="00354348" w:rsidRDefault="00B55201" w:rsidP="000F7BB0">
      <w:pPr>
        <w:rPr>
          <w:noProof/>
          <w:color w:val="000000"/>
        </w:rPr>
      </w:pPr>
    </w:p>
    <w:p w14:paraId="43659E6F" w14:textId="6F547ACE" w:rsidR="00B55201" w:rsidRPr="00354348" w:rsidRDefault="00B55201" w:rsidP="000F7BB0">
      <w:pPr>
        <w:rPr>
          <w:noProof/>
          <w:color w:val="000000"/>
        </w:rPr>
      </w:pPr>
      <w:r w:rsidRPr="00354348">
        <w:rPr>
          <w:noProof/>
          <w:color w:val="000000"/>
        </w:rPr>
        <w:t>Decizia de punere în aplicare (UE) 2020/667 a Comisiei din 6 mai 2020 de modificare a Deciziei de punere în aplicare 2012/688/UE a Comisiei în ceea ce privește o actualizare a condițiilor tehnice relevante aplica</w:t>
      </w:r>
      <w:r w:rsidR="00530EAA">
        <w:rPr>
          <w:noProof/>
          <w:color w:val="000000"/>
        </w:rPr>
        <w:t>bile benzilor de frecvențe de 1 920-1 980 MHz și 2 110-2 170 </w:t>
      </w:r>
      <w:r w:rsidR="000142A8">
        <w:rPr>
          <w:noProof/>
          <w:color w:val="000000"/>
        </w:rPr>
        <w:t>MHz</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1F7E83A8"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9D574"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2020/667 a Comisiei trebuie să fie puse în aplicare în termen de un an de la data intrării în vigoare a prezentei decizii.</w:t>
            </w:r>
          </w:p>
        </w:tc>
      </w:tr>
    </w:tbl>
    <w:p w14:paraId="538D8691" w14:textId="77777777" w:rsidR="00B55201" w:rsidRPr="00354348" w:rsidRDefault="00B55201" w:rsidP="000F7BB0">
      <w:pPr>
        <w:rPr>
          <w:noProof/>
          <w:color w:val="000000"/>
        </w:rPr>
      </w:pPr>
    </w:p>
    <w:p w14:paraId="77704DE7" w14:textId="68A91432" w:rsidR="00B55201" w:rsidRPr="00354348" w:rsidRDefault="00B55201" w:rsidP="000F7BB0">
      <w:pPr>
        <w:rPr>
          <w:noProof/>
          <w:color w:val="000000"/>
        </w:rPr>
      </w:pPr>
      <w:r w:rsidRPr="00354348">
        <w:rPr>
          <w:noProof/>
          <w:color w:val="000000"/>
        </w:rPr>
        <w:t>Regulamentul de punere în aplicare (UE) 2020/1070 al Comisiei din 20 iulie 2020 de specificare a caracteristicilor punctelor de acces pe suport radio cu arie de acoperire restrânsă în temeiul articolului 57 alineatul (2) din Directiva (UE) 2018/1972 a Parlamentului European și a Consiliului de instituire a Codului europea</w:t>
      </w:r>
      <w:r w:rsidR="000142A8">
        <w:rPr>
          <w:noProof/>
          <w:color w:val="000000"/>
        </w:rPr>
        <w:t>n al comunicațiilor electronice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2C5F1A0C"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97FF8"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Regulamentului de punere în aplicare (UE) 2020/1070 al Comisiei trebuie să fie puse în aplicare în termen de un an de la data intrării în vigoare a prezentei decizii.</w:t>
            </w:r>
          </w:p>
        </w:tc>
      </w:tr>
    </w:tbl>
    <w:p w14:paraId="577706BD" w14:textId="77777777" w:rsidR="00B55201" w:rsidRPr="00354348" w:rsidRDefault="00B55201" w:rsidP="000F7BB0">
      <w:pPr>
        <w:rPr>
          <w:noProof/>
          <w:color w:val="000000"/>
          <w:szCs w:val="24"/>
        </w:rPr>
      </w:pPr>
    </w:p>
    <w:p w14:paraId="0C4A6C56" w14:textId="1C9C0FEA" w:rsidR="00B55201" w:rsidRPr="00354348" w:rsidRDefault="00B55201" w:rsidP="000F7BB0">
      <w:pPr>
        <w:rPr>
          <w:noProof/>
          <w:color w:val="000000"/>
        </w:rPr>
      </w:pPr>
      <w:r w:rsidRPr="00354348">
        <w:rPr>
          <w:noProof/>
          <w:color w:val="000000"/>
        </w:rPr>
        <w:t>Decizia de punere în aplicare (UE) 2020/1426 a Comisiei din 7 octombrie 2020 privind utilizarea armonizată a spectrulu</w:t>
      </w:r>
      <w:r w:rsidR="00960E9A">
        <w:rPr>
          <w:noProof/>
          <w:color w:val="000000"/>
        </w:rPr>
        <w:t>i radio în banda de frecvențe 5875-593</w:t>
      </w:r>
      <w:r w:rsidRPr="00354348">
        <w:rPr>
          <w:noProof/>
          <w:color w:val="000000"/>
        </w:rPr>
        <w:t xml:space="preserve">5 MHz pentru aplicațiile sistemelor de transport inteligente (STI) legate de siguranță și de </w:t>
      </w:r>
      <w:r w:rsidR="000142A8">
        <w:rPr>
          <w:noProof/>
          <w:color w:val="000000"/>
        </w:rPr>
        <w:t>abrogare a Deciziei 2008/671/CE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52C7905C"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C8D59"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2020/1426 a Comisiei trebuie să fie puse în aplicare în termen de un an de la data intrării în vigoare a prezentei decizii.</w:t>
            </w:r>
          </w:p>
        </w:tc>
      </w:tr>
    </w:tbl>
    <w:p w14:paraId="4CF9EB2B" w14:textId="77777777" w:rsidR="00B55201" w:rsidRPr="00354348" w:rsidRDefault="00B55201" w:rsidP="000F7BB0">
      <w:pPr>
        <w:rPr>
          <w:noProof/>
          <w:color w:val="000000"/>
        </w:rPr>
      </w:pPr>
    </w:p>
    <w:p w14:paraId="2ABFB0FB" w14:textId="05025165" w:rsidR="00B55201" w:rsidRPr="00354348" w:rsidRDefault="00B55201" w:rsidP="000F7BB0">
      <w:pPr>
        <w:rPr>
          <w:noProof/>
          <w:color w:val="000000"/>
        </w:rPr>
      </w:pPr>
      <w:r w:rsidRPr="00354348">
        <w:rPr>
          <w:noProof/>
          <w:color w:val="000000"/>
        </w:rPr>
        <w:t xml:space="preserve">Decizia de punere în aplicare (UE) 2021/1067 a Comisiei din 17 iunie 2021 privind utilizarea armonizată a spectrului radio din </w:t>
      </w:r>
      <w:r w:rsidR="00960E9A">
        <w:rPr>
          <w:noProof/>
          <w:color w:val="000000"/>
        </w:rPr>
        <w:t>banda de frecvențe de 5945-6425 </w:t>
      </w:r>
      <w:r w:rsidRPr="00354348">
        <w:rPr>
          <w:noProof/>
          <w:color w:val="000000"/>
        </w:rPr>
        <w:t>MHz pentru instalarea sistemelor de acces pe suport radio, inclusiv a rețelelor locale cu a</w:t>
      </w:r>
      <w:r w:rsidR="000142A8">
        <w:rPr>
          <w:noProof/>
          <w:color w:val="000000"/>
        </w:rPr>
        <w:t>cces pe suport radio (WAS/RLAN)</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5D227E02"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5574A"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2021/1067 a Comisiei trebuie să fie puse în aplicare în termen de un an de la data intrării în vigoare a prezentei decizii.</w:t>
            </w:r>
          </w:p>
        </w:tc>
      </w:tr>
    </w:tbl>
    <w:p w14:paraId="0F49018C" w14:textId="77777777" w:rsidR="00B55201" w:rsidRPr="00354348" w:rsidRDefault="00B55201" w:rsidP="000F7BB0">
      <w:pPr>
        <w:rPr>
          <w:noProof/>
          <w:color w:val="000000"/>
          <w:szCs w:val="24"/>
        </w:rPr>
      </w:pPr>
    </w:p>
    <w:p w14:paraId="7ECD2422" w14:textId="28541096" w:rsidR="00B55201" w:rsidRPr="00354348" w:rsidRDefault="00B55201" w:rsidP="000F7BB0">
      <w:pPr>
        <w:rPr>
          <w:noProof/>
          <w:color w:val="000000"/>
        </w:rPr>
      </w:pPr>
      <w:r w:rsidRPr="00354348">
        <w:rPr>
          <w:noProof/>
          <w:color w:val="000000"/>
        </w:rPr>
        <w:t xml:space="preserve">Decizia de punere în aplicare (UE) 2021/1730 a Comisiei din 28 septembrie 2021 privind utilizarea armonizată a benzilor de frecvențe pereche 874,4-880,0 MHz și 919,4-925,0 MHz și a </w:t>
      </w:r>
      <w:r w:rsidR="00960E9A">
        <w:rPr>
          <w:noProof/>
          <w:color w:val="000000"/>
        </w:rPr>
        <w:t>benzii de frecvențe nepereche 1900-1910 </w:t>
      </w:r>
      <w:r w:rsidRPr="00354348">
        <w:rPr>
          <w:noProof/>
          <w:color w:val="000000"/>
        </w:rPr>
        <w:t>MHz pentr</w:t>
      </w:r>
      <w:r w:rsidR="000142A8">
        <w:rPr>
          <w:noProof/>
          <w:color w:val="000000"/>
        </w:rPr>
        <w:t>u Sistemul radio mobil feroviar</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249A3745"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5DB47"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2021/1730 a Comisiei trebuie să fie puse în aplicare în termen de un an de la data intrării în vigoare a prezentei decizii.</w:t>
            </w:r>
          </w:p>
        </w:tc>
      </w:tr>
    </w:tbl>
    <w:p w14:paraId="4B470AF0" w14:textId="77777777" w:rsidR="00B55201" w:rsidRPr="00354348" w:rsidRDefault="00B55201" w:rsidP="000F7BB0">
      <w:pPr>
        <w:rPr>
          <w:noProof/>
          <w:color w:val="000000"/>
        </w:rPr>
      </w:pPr>
    </w:p>
    <w:p w14:paraId="7F7B6DDA" w14:textId="2561EDF1" w:rsidR="00B55201" w:rsidRPr="00354348" w:rsidRDefault="00B55201" w:rsidP="000F7BB0">
      <w:pPr>
        <w:rPr>
          <w:noProof/>
          <w:color w:val="000000"/>
        </w:rPr>
      </w:pPr>
      <w:r w:rsidRPr="00354348">
        <w:rPr>
          <w:noProof/>
          <w:color w:val="000000"/>
        </w:rPr>
        <w:t xml:space="preserve">Decizia de punere în aplicare (UE) 2022/172 a Comisiei din 7 februarie 2022 de modificare a Deciziei de punere în aplicare (UE) 2018/1538 privind armonizarea spectrului de frecvențe radio pentru utilizarea de dispozitive cu rază mică de acțiune în benzile de </w:t>
      </w:r>
      <w:r w:rsidR="00960E9A">
        <w:rPr>
          <w:noProof/>
          <w:color w:val="000000"/>
        </w:rPr>
        <w:t>frecvențe de 874-876 și 915-921 </w:t>
      </w:r>
      <w:r w:rsidR="000142A8">
        <w:rPr>
          <w:noProof/>
          <w:color w:val="000000"/>
        </w:rPr>
        <w:t>MHz</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04AA349F"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C7DFD"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2022/172 a Comisiei trebuie să fie puse în aplicare în termen de un an de la data intrării în vigoare a prezentei decizii.</w:t>
            </w:r>
          </w:p>
        </w:tc>
      </w:tr>
    </w:tbl>
    <w:p w14:paraId="10B165D9" w14:textId="77777777" w:rsidR="00B55201" w:rsidRPr="00354348" w:rsidRDefault="00B55201" w:rsidP="000F7BB0">
      <w:pPr>
        <w:rPr>
          <w:noProof/>
          <w:color w:val="000000"/>
          <w:szCs w:val="24"/>
        </w:rPr>
      </w:pPr>
    </w:p>
    <w:p w14:paraId="009CDE26" w14:textId="220D7658" w:rsidR="00B55201" w:rsidRPr="00354348" w:rsidRDefault="00B55201" w:rsidP="000F7BB0">
      <w:pPr>
        <w:rPr>
          <w:noProof/>
          <w:color w:val="000000"/>
        </w:rPr>
      </w:pPr>
      <w:r w:rsidRPr="00354348">
        <w:rPr>
          <w:noProof/>
          <w:color w:val="000000"/>
        </w:rPr>
        <w:t>Decizia de punere în aplicare (UE) 2022/173 a Comisiei din 7 februarie 2022 privind armonizar</w:t>
      </w:r>
      <w:r w:rsidR="00960E9A">
        <w:rPr>
          <w:noProof/>
          <w:color w:val="000000"/>
        </w:rPr>
        <w:t>ea benzilor de frecvențe de 900 MHz și de 1800 </w:t>
      </w:r>
      <w:r w:rsidRPr="00354348">
        <w:rPr>
          <w:noProof/>
          <w:color w:val="000000"/>
        </w:rPr>
        <w:t xml:space="preserve">MHz pentru sistemele terestre capabile să furnizeze servicii de comunicații electronice în Uniune și de </w:t>
      </w:r>
      <w:r w:rsidR="000142A8">
        <w:rPr>
          <w:noProof/>
          <w:color w:val="000000"/>
        </w:rPr>
        <w:t>abrogare a Deciziei 2009/766/CE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0435DF70"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C6D32"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2022/173 a Comisiei trebuie să fie puse în aplicare în termen de un an de la data intrării în vigoare a prezentei decizii.</w:t>
            </w:r>
          </w:p>
        </w:tc>
      </w:tr>
    </w:tbl>
    <w:p w14:paraId="21C9735D" w14:textId="77777777" w:rsidR="00B55201" w:rsidRPr="00354348" w:rsidRDefault="00B55201" w:rsidP="000F7BB0">
      <w:pPr>
        <w:rPr>
          <w:noProof/>
          <w:color w:val="000000"/>
          <w:szCs w:val="24"/>
        </w:rPr>
      </w:pPr>
    </w:p>
    <w:p w14:paraId="485B844C" w14:textId="73AE8C08" w:rsidR="00B55201" w:rsidRPr="00354348" w:rsidRDefault="00B55201" w:rsidP="000F7BB0">
      <w:pPr>
        <w:rPr>
          <w:noProof/>
          <w:color w:val="000000"/>
        </w:rPr>
      </w:pPr>
      <w:r w:rsidRPr="00354348">
        <w:rPr>
          <w:noProof/>
          <w:color w:val="000000"/>
        </w:rPr>
        <w:t>Decizia de punere în aplicare (UE) 2022/179 a Comisiei din 8 februarie 2022 privind utilizarea armonizată a spectrului r</w:t>
      </w:r>
      <w:r w:rsidR="00960E9A">
        <w:rPr>
          <w:noProof/>
          <w:color w:val="000000"/>
        </w:rPr>
        <w:t>adio în banda de frecvență de 5 </w:t>
      </w:r>
      <w:r w:rsidRPr="00354348">
        <w:rPr>
          <w:noProof/>
          <w:color w:val="000000"/>
        </w:rPr>
        <w:t xml:space="preserve">GHz pentru instalarea sistemelor de acces fără fir, inclusiv a rețelelor radio locale, și de </w:t>
      </w:r>
      <w:r w:rsidR="000142A8">
        <w:rPr>
          <w:noProof/>
          <w:color w:val="000000"/>
        </w:rPr>
        <w:t>abrogare a Deciziei 2005/513/CE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6AA02F72"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F4111"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2022/179 a Comisiei trebuie să fie puse în aplicare în termen de un an de la data intrării în vigoare a prezentei decizii.</w:t>
            </w:r>
          </w:p>
        </w:tc>
      </w:tr>
    </w:tbl>
    <w:p w14:paraId="1E491570" w14:textId="77777777" w:rsidR="00B55201" w:rsidRPr="00354348" w:rsidRDefault="00B55201" w:rsidP="000F7BB0">
      <w:pPr>
        <w:rPr>
          <w:noProof/>
          <w:color w:val="000000"/>
          <w:szCs w:val="24"/>
        </w:rPr>
      </w:pPr>
    </w:p>
    <w:p w14:paraId="74C8282D" w14:textId="700C8C8D" w:rsidR="00B55201" w:rsidRPr="00354348" w:rsidRDefault="00B55201" w:rsidP="000F7BB0">
      <w:pPr>
        <w:rPr>
          <w:noProof/>
          <w:color w:val="000000"/>
        </w:rPr>
      </w:pPr>
      <w:r w:rsidRPr="00354348">
        <w:rPr>
          <w:noProof/>
          <w:color w:val="000000"/>
        </w:rPr>
        <w:t xml:space="preserve">Decizia de punere în aplicare (UE) 2022/180 a Comisiei din 8 februarie 2022 de modificare a Deciziei 2006/771/CE în ceea ce privește actualizarea condițiilor tehnice armonizate de utilizare a spectrului de frecvențe radio pentru dispozitivele cu rază mică </w:t>
      </w:r>
      <w:r w:rsidR="000142A8">
        <w:rPr>
          <w:noProof/>
          <w:color w:val="000000"/>
        </w:rPr>
        <w:t>de acțiune</w:t>
      </w:r>
      <w:r w:rsidRPr="00354348">
        <w:rPr>
          <w:noProof/>
          <w:color w:val="000000"/>
        </w:rPr>
        <w:t xml:space="preserve"> </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5B518B19"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042DB"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2022/180 a Comisiei trebuie să fie puse în aplicare în termen de un an de la data intrării în vigoare a prezentei decizii.</w:t>
            </w:r>
          </w:p>
        </w:tc>
      </w:tr>
    </w:tbl>
    <w:p w14:paraId="6252191E" w14:textId="77777777" w:rsidR="00B55201" w:rsidRPr="00354348" w:rsidRDefault="00B55201" w:rsidP="000F7BB0">
      <w:pPr>
        <w:rPr>
          <w:noProof/>
          <w:color w:val="000000"/>
          <w:szCs w:val="24"/>
        </w:rPr>
      </w:pPr>
    </w:p>
    <w:p w14:paraId="029A8857" w14:textId="1D13E637" w:rsidR="00B55201" w:rsidRPr="00354348" w:rsidRDefault="00B55201" w:rsidP="000F7BB0">
      <w:pPr>
        <w:rPr>
          <w:noProof/>
          <w:color w:val="000000"/>
        </w:rPr>
      </w:pPr>
      <w:r w:rsidRPr="00354348">
        <w:rPr>
          <w:noProof/>
          <w:color w:val="000000"/>
        </w:rPr>
        <w:t>Decizia de punere în aplicare (UE) 2022/2307 a Comisiei din 23 noiembrie 2022 de modificare a Deciziei de punere în aplicare (UE) 2022/179 în ceea ce privește desemnarea și punerea la dispoziție a ben</w:t>
      </w:r>
      <w:r w:rsidR="00960E9A">
        <w:rPr>
          <w:noProof/>
          <w:color w:val="000000"/>
        </w:rPr>
        <w:t>zilor de frecvențe de 5150-5250 MHz, 5250-5350 MHz și 5470-5725 </w:t>
      </w:r>
      <w:r w:rsidRPr="00354348">
        <w:rPr>
          <w:noProof/>
          <w:color w:val="000000"/>
        </w:rPr>
        <w:t>MHz în conformitate cu condiț</w:t>
      </w:r>
      <w:r w:rsidR="000142A8">
        <w:rPr>
          <w:noProof/>
          <w:color w:val="000000"/>
        </w:rPr>
        <w:t>iile tehnice stabilite în anexă</w:t>
      </w:r>
      <w:r w:rsidRPr="00354348">
        <w:rPr>
          <w:noProof/>
          <w:color w:val="000000"/>
        </w:rPr>
        <w:t xml:space="preserve"> </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6A875759"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11674"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2022/2307 a Comisiei trebuie să fie puse în aplicare în termen de un an de la data intrării în vigoare a prezentei decizii.</w:t>
            </w:r>
          </w:p>
        </w:tc>
      </w:tr>
    </w:tbl>
    <w:p w14:paraId="652EF128" w14:textId="77777777" w:rsidR="00B55201" w:rsidRPr="00354348" w:rsidRDefault="00B55201" w:rsidP="000F7BB0">
      <w:pPr>
        <w:rPr>
          <w:noProof/>
          <w:color w:val="000000"/>
        </w:rPr>
      </w:pPr>
    </w:p>
    <w:p w14:paraId="54E68716" w14:textId="4C03D731" w:rsidR="00B55201" w:rsidRPr="00354348" w:rsidRDefault="00B55201" w:rsidP="000F7BB0">
      <w:pPr>
        <w:rPr>
          <w:noProof/>
          <w:color w:val="000000"/>
        </w:rPr>
      </w:pPr>
      <w:r w:rsidRPr="00354348">
        <w:rPr>
          <w:noProof/>
          <w:color w:val="000000"/>
        </w:rPr>
        <w:t>Decizia de punere în aplicare (UE) 2022/2324 a Comisiei din 23 noiembrie 2022 de modificare a Deciziei 2008/294/CE pentru a include tehnologii și măsuri de acces suplimentare pentru operarea serviciilor de comunicații mobile la bordul aeronav</w:t>
      </w:r>
      <w:r w:rsidR="000142A8">
        <w:rPr>
          <w:noProof/>
          <w:color w:val="000000"/>
        </w:rPr>
        <w:t>elor (serviciile CMA) în Uniune</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4B5169B3"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86A42" w14:textId="77777777" w:rsidR="00B55201" w:rsidRPr="00354348" w:rsidRDefault="00B55201" w:rsidP="000F7BB0">
            <w:pPr>
              <w:rPr>
                <w:rFonts w:cs="Arial Unicode MS"/>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Deciziei de punere în aplicare (UE) 2022/2324 a Comisiei trebuie să fie puse în aplicare în termen de un an de la data intrării în vigoare a prezentei decizii</w:t>
            </w:r>
          </w:p>
        </w:tc>
      </w:tr>
    </w:tbl>
    <w:p w14:paraId="0D50DE75" w14:textId="5C911990" w:rsidR="00B55201" w:rsidRPr="00354348" w:rsidRDefault="00B55201" w:rsidP="00DA3D86">
      <w:pPr>
        <w:pStyle w:val="NumPar1"/>
        <w:rPr>
          <w:b/>
          <w:bCs/>
          <w:noProof/>
        </w:rPr>
      </w:pPr>
      <w:r w:rsidRPr="00354348">
        <w:rPr>
          <w:noProof/>
        </w:rPr>
        <w:t xml:space="preserve">Anexa XXVIII-B (Norme aplicabile serviciilor de telecomunicații) se modifică prin eliminarea următoarelor acte: </w:t>
      </w:r>
    </w:p>
    <w:p w14:paraId="7272ED97" w14:textId="12792564" w:rsidR="00B55201" w:rsidRPr="00354348" w:rsidRDefault="00B55201" w:rsidP="00DA3D86">
      <w:pPr>
        <w:pStyle w:val="Tiret0"/>
        <w:rPr>
          <w:noProof/>
        </w:rPr>
      </w:pPr>
      <w:r w:rsidRPr="00354348">
        <w:rPr>
          <w:noProof/>
        </w:rPr>
        <w:t>Directiva 2002/21/CE a Parlamentului European și a Consiliului din 7 martie 2002 privind un cadru de reglementare comun pentru rețelele și serviciile de comunicații electronice (Directivă-cadru), astfel cum a fost modificată prin Directiva 2009/140/CE a Parlamentului European și a Consiliului din 25 noiembrie 2009</w:t>
      </w:r>
      <w:r w:rsidR="000142A8">
        <w:rPr>
          <w:noProof/>
        </w:rPr>
        <w:t>;</w:t>
      </w:r>
    </w:p>
    <w:p w14:paraId="3E11B7CF" w14:textId="0E21CF63" w:rsidR="00B55201" w:rsidRPr="00354348" w:rsidRDefault="00B55201" w:rsidP="00DA3D86">
      <w:pPr>
        <w:pStyle w:val="Tiret0"/>
        <w:rPr>
          <w:noProof/>
        </w:rPr>
      </w:pPr>
      <w:r w:rsidRPr="00354348">
        <w:rPr>
          <w:noProof/>
        </w:rPr>
        <w:t>Directiva 2002/20/CE a Parlamentului European și a Consiliului din 7 martie 2002 privind autorizarea rețelelor și serviciilor de comunicații electronice (Directiva privind autorizarea), astfel cum a fost modificată prin Directiva 2009/140/CE a Parlamentului European și a Consiliului din 25 noiembrie 2009</w:t>
      </w:r>
      <w:r w:rsidR="000142A8">
        <w:rPr>
          <w:noProof/>
        </w:rPr>
        <w:t>;</w:t>
      </w:r>
    </w:p>
    <w:p w14:paraId="48C56713" w14:textId="2F9A2991" w:rsidR="00B55201" w:rsidRPr="00354348" w:rsidRDefault="00B55201" w:rsidP="00DA3D86">
      <w:pPr>
        <w:pStyle w:val="Tiret0"/>
        <w:rPr>
          <w:noProof/>
        </w:rPr>
      </w:pPr>
      <w:r w:rsidRPr="00354348">
        <w:rPr>
          <w:noProof/>
        </w:rPr>
        <w:t>Directiva 2002/19/CE a Parlamentului European și a Consiliului din 7 martie 2002 privind accesul la rețelele de comunicații electronice și la infrastructura asociată, precum și interconectarea acestora (Directiva privind accesul), astfel cum a fost modificată prin Directiva 2009/140/CE a Parlamentului European și a Consiliului</w:t>
      </w:r>
      <w:r w:rsidR="000142A8">
        <w:rPr>
          <w:noProof/>
        </w:rPr>
        <w:t>;</w:t>
      </w:r>
    </w:p>
    <w:p w14:paraId="58102CCD" w14:textId="6D904B26" w:rsidR="00B55201" w:rsidRPr="00354348" w:rsidRDefault="00B55201" w:rsidP="00DA3D86">
      <w:pPr>
        <w:pStyle w:val="Tiret0"/>
        <w:rPr>
          <w:noProof/>
        </w:rPr>
      </w:pPr>
      <w:r w:rsidRPr="00354348">
        <w:rPr>
          <w:noProof/>
        </w:rPr>
        <w:t>Directiva 2002/22/CE a Parlamentului European și a Consiliului din 7 martie 2002 privind serviciul universal și drepturile utilizatorilor cu privire la rețelele și serviciile electronice de comunicații (directiva privind serviciul universal), astfel cum a fost modificată prin Directiva 2009/136/CE a Parlamentului European și a Consiliului din 25 noiembrie 2009 și prin Regulamentul (UE) 2015/2120 al Parlamentului European și</w:t>
      </w:r>
      <w:r w:rsidR="00960E9A">
        <w:rPr>
          <w:noProof/>
        </w:rPr>
        <w:t xml:space="preserve"> al Consiliului</w:t>
      </w:r>
      <w:r w:rsidR="000142A8">
        <w:rPr>
          <w:noProof/>
        </w:rPr>
        <w:t>;</w:t>
      </w:r>
    </w:p>
    <w:p w14:paraId="7F9399B2" w14:textId="138902D2" w:rsidR="00B55201" w:rsidRPr="00354348" w:rsidRDefault="00B55201" w:rsidP="00DA3D86">
      <w:pPr>
        <w:pStyle w:val="Tiret0"/>
        <w:rPr>
          <w:noProof/>
        </w:rPr>
      </w:pPr>
      <w:r w:rsidRPr="00354348">
        <w:rPr>
          <w:noProof/>
        </w:rPr>
        <w:t>Directiva 2003/98/CE a Parlamentului European și a Consiliului din 17 noiembrie 2003 privind reutilizarea informațiilor din sectorul public, astfel cum a fost modificată prin Directiva 2013/37/UE a Parlamen</w:t>
      </w:r>
      <w:r w:rsidR="00960E9A">
        <w:rPr>
          <w:noProof/>
        </w:rPr>
        <w:t>tului European și a Consiliului</w:t>
      </w:r>
      <w:r w:rsidR="000142A8">
        <w:rPr>
          <w:noProof/>
        </w:rPr>
        <w:t>;</w:t>
      </w:r>
      <w:r w:rsidRPr="00354348">
        <w:rPr>
          <w:noProof/>
        </w:rPr>
        <w:t xml:space="preserve"> </w:t>
      </w:r>
    </w:p>
    <w:p w14:paraId="5C7C5113" w14:textId="219353E8" w:rsidR="00B55201" w:rsidRPr="00354348" w:rsidRDefault="00B55201" w:rsidP="00DA3D86">
      <w:pPr>
        <w:pStyle w:val="Tiret0"/>
        <w:rPr>
          <w:noProof/>
        </w:rPr>
      </w:pPr>
      <w:r w:rsidRPr="00354348">
        <w:rPr>
          <w:noProof/>
        </w:rPr>
        <w:t>Directiva 2013/37/UE a Parlamentului European și a Consiliului din 26 iunie 2013 de modificare a Directivei 2003/98/CE privind reutilizarea i</w:t>
      </w:r>
      <w:r w:rsidR="00960E9A">
        <w:rPr>
          <w:noProof/>
        </w:rPr>
        <w:t>nformațiilor din sectorul public</w:t>
      </w:r>
      <w:r w:rsidR="000142A8">
        <w:rPr>
          <w:noProof/>
        </w:rPr>
        <w:t>;</w:t>
      </w:r>
    </w:p>
    <w:p w14:paraId="283F3938" w14:textId="1D18FF27" w:rsidR="00B55201" w:rsidRPr="00354348" w:rsidRDefault="00B55201" w:rsidP="00DA3D86">
      <w:pPr>
        <w:pStyle w:val="Tiret0"/>
        <w:rPr>
          <w:noProof/>
        </w:rPr>
      </w:pPr>
      <w:r w:rsidRPr="00354348">
        <w:rPr>
          <w:noProof/>
        </w:rPr>
        <w:t>Decizia 2005/513/CE a Comisiei din 11 iulie 2005 privind folosirea armonizată a spectrului radio în banda de frecvență de 5 GHz pentru punerea în funcțiune a sistemelor de acces fără fir, inclusiv rețelele radio locale (WAS/RLAN)</w:t>
      </w:r>
      <w:r w:rsidR="000142A8">
        <w:rPr>
          <w:noProof/>
        </w:rPr>
        <w:t>;</w:t>
      </w:r>
      <w:r w:rsidRPr="00354348">
        <w:rPr>
          <w:noProof/>
        </w:rPr>
        <w:t xml:space="preserve"> </w:t>
      </w:r>
    </w:p>
    <w:p w14:paraId="1C82E1BA" w14:textId="0A71CB56" w:rsidR="00B55201" w:rsidRPr="00354348" w:rsidRDefault="00B55201" w:rsidP="00DA3D86">
      <w:pPr>
        <w:pStyle w:val="Tiret0"/>
        <w:rPr>
          <w:noProof/>
        </w:rPr>
      </w:pPr>
      <w:r w:rsidRPr="00354348">
        <w:rPr>
          <w:noProof/>
        </w:rPr>
        <w:t>Decizia 2007/90/CE a Comisiei din 12 februarie 2007 de modificare a Deciziei 2005/513/CE privind folosirea armonizată a spectrului radio în banda de frecvență de 5 GHz pentru punerea în funcțiune a sistemelor de acces fără fir, inclusiv rețelele radio locale (WAS/RLAN)</w:t>
      </w:r>
      <w:r w:rsidR="000142A8">
        <w:rPr>
          <w:noProof/>
        </w:rPr>
        <w:t>;</w:t>
      </w:r>
    </w:p>
    <w:p w14:paraId="641A61E1" w14:textId="4B8BBC60" w:rsidR="00B55201" w:rsidRPr="00354348" w:rsidRDefault="00B55201" w:rsidP="00DA3D86">
      <w:pPr>
        <w:pStyle w:val="Tiret0"/>
        <w:rPr>
          <w:noProof/>
        </w:rPr>
      </w:pPr>
      <w:r w:rsidRPr="00354348">
        <w:rPr>
          <w:noProof/>
        </w:rPr>
        <w:t>Decizia 2006/804/CE a Comisiei din 23 noiembrie 2006 privind armonizarea spectrului de frecvențe radio pentru dispozitivele de identificare prin radiofrecvență (RFID) care utilizează banda UHF (ultra înaltă frecvență)</w:t>
      </w:r>
      <w:r w:rsidR="000142A8">
        <w:rPr>
          <w:noProof/>
        </w:rPr>
        <w:t>;</w:t>
      </w:r>
      <w:r w:rsidRPr="00354348">
        <w:rPr>
          <w:noProof/>
        </w:rPr>
        <w:t xml:space="preserve"> </w:t>
      </w:r>
    </w:p>
    <w:p w14:paraId="6329CF40" w14:textId="4D65D8A2" w:rsidR="00B55201" w:rsidRPr="00354348" w:rsidRDefault="00B55201" w:rsidP="00DA3D86">
      <w:pPr>
        <w:pStyle w:val="Tiret0"/>
        <w:rPr>
          <w:noProof/>
        </w:rPr>
      </w:pPr>
      <w:r w:rsidRPr="00354348">
        <w:rPr>
          <w:noProof/>
        </w:rPr>
        <w:t>Decizia 2007/131/CE a Comisiei din 21 februarie 2007 privind autorizarea utilizării în condiții armonizate a spectrului de frecvențe radio pentru echipamente care folosesc tehnologia de bandă ultralargă în cadrul Comunității</w:t>
      </w:r>
      <w:r w:rsidR="000142A8">
        <w:rPr>
          <w:noProof/>
        </w:rPr>
        <w:t>;</w:t>
      </w:r>
    </w:p>
    <w:p w14:paraId="5600B446" w14:textId="757BEE2F" w:rsidR="00B55201" w:rsidRPr="00354348" w:rsidRDefault="00B55201" w:rsidP="00DA3D86">
      <w:pPr>
        <w:pStyle w:val="Tiret0"/>
        <w:rPr>
          <w:noProof/>
        </w:rPr>
      </w:pPr>
      <w:r w:rsidRPr="00354348">
        <w:rPr>
          <w:noProof/>
        </w:rPr>
        <w:t>Decizia 2009/343/CE a Comisiei din 21 aprilie 2009 de modificare a Deciziei 2007/131/CE privind autorizarea utilizării în condiții armonizate a spectrului de frecvențe radio pentru echipamente care folosesc tehnologia de bandă ultralargă în cadrul Comunității</w:t>
      </w:r>
      <w:r w:rsidR="000142A8">
        <w:rPr>
          <w:noProof/>
        </w:rPr>
        <w:t>;</w:t>
      </w:r>
    </w:p>
    <w:p w14:paraId="7410BC17" w14:textId="69BA3A31" w:rsidR="00B55201" w:rsidRPr="00354348" w:rsidRDefault="00B55201" w:rsidP="00DA3D86">
      <w:pPr>
        <w:pStyle w:val="Tiret0"/>
        <w:rPr>
          <w:noProof/>
        </w:rPr>
      </w:pPr>
      <w:r w:rsidRPr="00354348">
        <w:rPr>
          <w:noProof/>
        </w:rPr>
        <w:t>Decizia de punere în aplicare 2014/702/UE a Comisiei din 7 octombrie 2014 de modificare a Deciziei 2007/131/CE privind autorizarea utilizării în condiții armonizate a spectrului de frecvențe radio pentru echipamente care folosesc tehnologia de bandă ultralargă în cadrul Comunității</w:t>
      </w:r>
      <w:r w:rsidR="000142A8">
        <w:rPr>
          <w:noProof/>
        </w:rPr>
        <w:t>;</w:t>
      </w:r>
      <w:r w:rsidRPr="00354348">
        <w:rPr>
          <w:noProof/>
        </w:rPr>
        <w:t xml:space="preserve"> </w:t>
      </w:r>
    </w:p>
    <w:p w14:paraId="410CB651" w14:textId="13E35BF2" w:rsidR="00B55201" w:rsidRPr="00354348" w:rsidRDefault="00B55201" w:rsidP="00DA3D86">
      <w:pPr>
        <w:pStyle w:val="Tiret0"/>
        <w:rPr>
          <w:noProof/>
        </w:rPr>
      </w:pPr>
      <w:r w:rsidRPr="00354348">
        <w:rPr>
          <w:noProof/>
        </w:rPr>
        <w:t>Decizia 2008/671/CE a Comisiei din 5 august 2008 privind utilizarea armonizată a spectrului radio în banda de frecvențe 5875-5905 MHz pentru aplicațiile sistemelor inteligente de transport (SIT) legate de siguranță</w:t>
      </w:r>
      <w:r w:rsidR="000142A8">
        <w:rPr>
          <w:noProof/>
        </w:rPr>
        <w:t>.</w:t>
      </w:r>
    </w:p>
    <w:p w14:paraId="66F81E0C" w14:textId="33B75EA0" w:rsidR="00B55201" w:rsidRPr="00354348" w:rsidRDefault="0070552D" w:rsidP="00837E44">
      <w:pPr>
        <w:jc w:val="right"/>
        <w:rPr>
          <w:b/>
          <w:noProof/>
          <w:u w:val="single"/>
        </w:rPr>
      </w:pPr>
      <w:r w:rsidRPr="00354348">
        <w:rPr>
          <w:noProof/>
        </w:rPr>
        <w:br w:type="page"/>
      </w:r>
      <w:r w:rsidRPr="00354348">
        <w:rPr>
          <w:b/>
          <w:noProof/>
          <w:u w:val="single"/>
        </w:rPr>
        <w:t>ANEXA 2</w:t>
      </w:r>
    </w:p>
    <w:p w14:paraId="57A59FFA" w14:textId="77777777" w:rsidR="00B55201" w:rsidRPr="00354348" w:rsidRDefault="00B55201" w:rsidP="003B071A">
      <w:pPr>
        <w:rPr>
          <w:noProof/>
        </w:rPr>
      </w:pPr>
      <w:r w:rsidRPr="00354348">
        <w:rPr>
          <w:noProof/>
        </w:rPr>
        <w:t>Anexa XXVIII-C (Norme aplicabile serviciilor poștale și de curierat) se modifică prin adăugarea următoarelor acte ale UE:</w:t>
      </w:r>
    </w:p>
    <w:p w14:paraId="07F73010" w14:textId="505617E5" w:rsidR="00B55201" w:rsidRPr="00354348" w:rsidRDefault="00B55201" w:rsidP="0078483C">
      <w:pPr>
        <w:pStyle w:val="Tiret1"/>
        <w:numPr>
          <w:ilvl w:val="0"/>
          <w:numId w:val="11"/>
        </w:numPr>
        <w:rPr>
          <w:noProof/>
        </w:rPr>
      </w:pPr>
      <w:r w:rsidRPr="00354348">
        <w:rPr>
          <w:noProof/>
        </w:rPr>
        <w:t>Regulamentul (UE) 2018/644 al Parlamentului European și al Consiliului din 18 aprilie 2018 privind serviciile de livrare transfrontalieră de colete</w:t>
      </w:r>
      <w:r w:rsidR="000142A8">
        <w:rPr>
          <w:noProof/>
        </w:rPr>
        <w:t>;</w:t>
      </w:r>
    </w:p>
    <w:p w14:paraId="30FB7B0E" w14:textId="274E3447" w:rsidR="00B55201" w:rsidRPr="00354348" w:rsidRDefault="00B55201" w:rsidP="00DA3D86">
      <w:pPr>
        <w:pStyle w:val="Tiret1"/>
        <w:rPr>
          <w:noProof/>
        </w:rPr>
      </w:pPr>
      <w:r w:rsidRPr="00354348">
        <w:rPr>
          <w:noProof/>
        </w:rPr>
        <w:t>Regulamentul de punere în aplicare (UE) 2018/1263 al Comisiei din 20 septembrie 2018 de stabilire a formularelor pentru transmiterea informațiilor de către furnizorii de servicii de livrare de colete în conformitate cu Regulamentul (UE) 2018/644 al Parlamentului European și al Consiliului</w:t>
      </w:r>
      <w:r w:rsidR="000142A8">
        <w:rPr>
          <w:noProof/>
        </w:rPr>
        <w:t>.</w:t>
      </w:r>
    </w:p>
    <w:tbl>
      <w:tblPr>
        <w:tblStyle w:val="TableNormal1"/>
        <w:tblW w:w="8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78"/>
      </w:tblGrid>
      <w:tr w:rsidR="00B55201" w:rsidRPr="00354348" w14:paraId="07A262C1" w14:textId="77777777" w:rsidTr="00DE7CBF">
        <w:trPr>
          <w:trHeight w:val="600"/>
        </w:trPr>
        <w:tc>
          <w:tcPr>
            <w:tcW w:w="8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C8621" w14:textId="0FFFC251" w:rsidR="00B55201" w:rsidRPr="00354348" w:rsidRDefault="00B55201" w:rsidP="00DE7CBF">
            <w:pPr>
              <w:spacing w:before="60" w:after="60"/>
              <w:rPr>
                <w:noProof/>
                <w:color w:val="000000"/>
                <w:u w:color="000000"/>
                <w14:textOutline w14:w="0" w14:cap="flat" w14:cmpd="sng" w14:algn="ctr">
                  <w14:noFill/>
                  <w14:prstDash w14:val="solid"/>
                  <w14:bevel/>
                </w14:textOutline>
              </w:rPr>
            </w:pPr>
            <w:r w:rsidRPr="00354348">
              <w:rPr>
                <w:noProof/>
                <w:color w:val="000000"/>
                <w:u w:color="000000"/>
                <w14:textOutline w14:w="0" w14:cap="flat" w14:cmpd="sng" w14:algn="ctr">
                  <w14:noFill/>
                  <w14:prstDash w14:val="solid"/>
                  <w14:bevel/>
                </w14:textOutline>
              </w:rPr>
              <w:t xml:space="preserve">Calendar: </w:t>
            </w:r>
            <w:r w:rsidRPr="00354348">
              <w:rPr>
                <w:noProof/>
              </w:rPr>
              <w:t>dispozițiile Regulamentului (UE) 2018/644 și ale Regulamentului de punere în aplicare (UE) 2018/1263 al Comisiei trebuie să fie puse în aplicare în termen de un an de la data intrării în vigoare a prezentei decizii.</w:t>
            </w:r>
          </w:p>
        </w:tc>
      </w:tr>
    </w:tbl>
    <w:p w14:paraId="7BB33384" w14:textId="77777777" w:rsidR="00B55201" w:rsidRPr="00354348" w:rsidRDefault="00B55201" w:rsidP="00C620F0">
      <w:pPr>
        <w:spacing w:before="60" w:after="60" w:line="360" w:lineRule="auto"/>
        <w:rPr>
          <w:noProof/>
        </w:rPr>
      </w:pPr>
    </w:p>
    <w:sectPr w:rsidR="00B55201" w:rsidRPr="00354348" w:rsidSect="00750293">
      <w:footerReference w:type="defaul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AD5E6" w14:textId="77777777" w:rsidR="00B171F7" w:rsidRDefault="00B171F7" w:rsidP="00B171F7">
      <w:pPr>
        <w:spacing w:before="0" w:after="0"/>
      </w:pPr>
      <w:r>
        <w:separator/>
      </w:r>
    </w:p>
  </w:endnote>
  <w:endnote w:type="continuationSeparator" w:id="0">
    <w:p w14:paraId="4098A8A7" w14:textId="77777777" w:rsidR="00B171F7" w:rsidRDefault="00B171F7" w:rsidP="00B171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5C508" w14:textId="07EAC014" w:rsidR="006A4CB6" w:rsidRPr="00750293" w:rsidRDefault="006A4CB6" w:rsidP="00750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5A31" w14:textId="23284F07" w:rsidR="006A4CB6" w:rsidRPr="00750293" w:rsidRDefault="00750293" w:rsidP="00750293">
    <w:pPr>
      <w:pStyle w:val="Footer"/>
      <w:rPr>
        <w:rFonts w:ascii="Arial" w:hAnsi="Arial" w:cs="Arial"/>
        <w:b/>
        <w:sz w:val="48"/>
      </w:rPr>
    </w:pPr>
    <w:r w:rsidRPr="00750293">
      <w:rPr>
        <w:rFonts w:ascii="Arial" w:hAnsi="Arial" w:cs="Arial"/>
        <w:b/>
        <w:sz w:val="48"/>
      </w:rPr>
      <w:t>RO</w:t>
    </w:r>
    <w:r w:rsidRPr="00750293">
      <w:rPr>
        <w:rFonts w:ascii="Arial" w:hAnsi="Arial" w:cs="Arial"/>
        <w:b/>
        <w:sz w:val="48"/>
      </w:rPr>
      <w:tab/>
    </w:r>
    <w:r w:rsidRPr="00750293">
      <w:rPr>
        <w:rFonts w:ascii="Arial" w:hAnsi="Arial" w:cs="Arial"/>
        <w:b/>
        <w:sz w:val="48"/>
      </w:rPr>
      <w:tab/>
    </w:r>
    <w:r w:rsidRPr="00750293">
      <w:tab/>
    </w:r>
    <w:r w:rsidRPr="00750293">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19CE" w14:textId="77777777" w:rsidR="00750293" w:rsidRPr="00750293" w:rsidRDefault="00750293" w:rsidP="007502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F0BE" w14:textId="02793EA6" w:rsidR="00750293" w:rsidRPr="00750293" w:rsidRDefault="00750293" w:rsidP="00750293">
    <w:pPr>
      <w:pStyle w:val="Footer"/>
      <w:rPr>
        <w:rFonts w:ascii="Arial" w:hAnsi="Arial" w:cs="Arial"/>
        <w:b/>
        <w:sz w:val="48"/>
      </w:rPr>
    </w:pPr>
    <w:r w:rsidRPr="00750293">
      <w:rPr>
        <w:rFonts w:ascii="Arial" w:hAnsi="Arial" w:cs="Arial"/>
        <w:b/>
        <w:sz w:val="48"/>
      </w:rPr>
      <w:t>RO</w:t>
    </w:r>
    <w:r w:rsidRPr="0075029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50293">
      <w:tab/>
    </w:r>
    <w:r w:rsidRPr="00750293">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D869" w14:textId="77777777" w:rsidR="00750293" w:rsidRPr="00750293" w:rsidRDefault="00750293" w:rsidP="00750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183E" w14:textId="77777777" w:rsidR="00B171F7" w:rsidRDefault="00B171F7" w:rsidP="00B171F7">
      <w:pPr>
        <w:spacing w:before="0" w:after="0"/>
      </w:pPr>
      <w:r>
        <w:separator/>
      </w:r>
    </w:p>
  </w:footnote>
  <w:footnote w:type="continuationSeparator" w:id="0">
    <w:p w14:paraId="39E30065" w14:textId="77777777" w:rsidR="00B171F7" w:rsidRDefault="00B171F7" w:rsidP="00B171F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71A13" w14:textId="77777777" w:rsidR="00750293" w:rsidRPr="00750293" w:rsidRDefault="00750293" w:rsidP="00750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C9470" w14:textId="77777777" w:rsidR="00750293" w:rsidRPr="00750293" w:rsidRDefault="00750293" w:rsidP="00750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ACE1" w14:textId="77777777" w:rsidR="00750293" w:rsidRPr="00750293" w:rsidRDefault="00750293" w:rsidP="00750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E94ED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03AEA9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A5A5A4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AC876C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DC4666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5E448C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67A28C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174D8E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6597D0C"/>
    <w:multiLevelType w:val="hybridMultilevel"/>
    <w:tmpl w:val="134C8AC2"/>
    <w:styleLink w:val="2"/>
    <w:lvl w:ilvl="0" w:tplc="C11601D0">
      <w:start w:val="1"/>
      <w:numFmt w:val="bullet"/>
      <w:lvlText w:val="-"/>
      <w:lvlJc w:val="left"/>
      <w:pPr>
        <w:ind w:left="12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748854A">
      <w:start w:val="1"/>
      <w:numFmt w:val="bullet"/>
      <w:lvlText w:val="o"/>
      <w:lvlJc w:val="left"/>
      <w:pPr>
        <w:ind w:left="19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D3687DA">
      <w:start w:val="1"/>
      <w:numFmt w:val="bullet"/>
      <w:lvlText w:val="▪"/>
      <w:lvlJc w:val="left"/>
      <w:pPr>
        <w:ind w:left="26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CB0F6DA">
      <w:start w:val="1"/>
      <w:numFmt w:val="bullet"/>
      <w:lvlText w:val="•"/>
      <w:lvlJc w:val="left"/>
      <w:pPr>
        <w:ind w:left="33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46ECA04">
      <w:start w:val="1"/>
      <w:numFmt w:val="bullet"/>
      <w:lvlText w:val="o"/>
      <w:lvlJc w:val="left"/>
      <w:pPr>
        <w:ind w:left="40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F327500">
      <w:start w:val="1"/>
      <w:numFmt w:val="bullet"/>
      <w:lvlText w:val="▪"/>
      <w:lvlJc w:val="left"/>
      <w:pPr>
        <w:ind w:left="48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3C0CCD0">
      <w:start w:val="1"/>
      <w:numFmt w:val="bullet"/>
      <w:lvlText w:val="•"/>
      <w:lvlJc w:val="left"/>
      <w:pPr>
        <w:ind w:left="55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2EA1E7C">
      <w:start w:val="1"/>
      <w:numFmt w:val="bullet"/>
      <w:lvlText w:val="o"/>
      <w:lvlJc w:val="left"/>
      <w:pPr>
        <w:ind w:left="62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464D4B4">
      <w:start w:val="1"/>
      <w:numFmt w:val="bullet"/>
      <w:lvlText w:val="▪"/>
      <w:lvlJc w:val="left"/>
      <w:pPr>
        <w:ind w:left="69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0"/>
    <w:lvlOverride w:ilvl="0">
      <w:startOverride w:val="1"/>
    </w:lvlOverride>
  </w:num>
  <w:num w:numId="11">
    <w:abstractNumId w:val="13"/>
    <w:lvlOverride w:ilvl="0">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3"/>
  </w:num>
  <w:num w:numId="15">
    <w:abstractNumId w:val="22"/>
  </w:num>
  <w:num w:numId="16">
    <w:abstractNumId w:val="12"/>
  </w:num>
  <w:num w:numId="17">
    <w:abstractNumId w:val="14"/>
  </w:num>
  <w:num w:numId="18">
    <w:abstractNumId w:val="15"/>
  </w:num>
  <w:num w:numId="19">
    <w:abstractNumId w:val="10"/>
  </w:num>
  <w:num w:numId="20">
    <w:abstractNumId w:val="21"/>
  </w:num>
  <w:num w:numId="21">
    <w:abstractNumId w:val="9"/>
  </w:num>
  <w:num w:numId="22">
    <w:abstractNumId w:val="16"/>
  </w:num>
  <w:num w:numId="23">
    <w:abstractNumId w:val="18"/>
  </w:num>
  <w:num w:numId="24">
    <w:abstractNumId w:val="19"/>
  </w:num>
  <w:num w:numId="25">
    <w:abstractNumId w:val="11"/>
  </w:num>
  <w:num w:numId="26">
    <w:abstractNumId w:val="17"/>
  </w:num>
  <w:num w:numId="27">
    <w:abstractNumId w:val="23"/>
  </w:num>
  <w:num w:numId="28">
    <w:abstractNumId w:val="20"/>
  </w:num>
  <w:num w:numId="29">
    <w:abstractNumId w:val="13"/>
  </w:num>
  <w:num w:numId="30">
    <w:abstractNumId w:val="22"/>
  </w:num>
  <w:num w:numId="31">
    <w:abstractNumId w:val="12"/>
  </w:num>
  <w:num w:numId="32">
    <w:abstractNumId w:val="14"/>
  </w:num>
  <w:num w:numId="33">
    <w:abstractNumId w:val="15"/>
  </w:num>
  <w:num w:numId="34">
    <w:abstractNumId w:val="10"/>
  </w:num>
  <w:num w:numId="35">
    <w:abstractNumId w:val="21"/>
  </w:num>
  <w:num w:numId="36">
    <w:abstractNumId w:val="9"/>
  </w:num>
  <w:num w:numId="37">
    <w:abstractNumId w:val="16"/>
  </w:num>
  <w:num w:numId="38">
    <w:abstractNumId w:val="18"/>
  </w:num>
  <w:num w:numId="39">
    <w:abstractNumId w:val="19"/>
  </w:num>
  <w:num w:numId="40">
    <w:abstractNumId w:val="11"/>
  </w:num>
  <w:num w:numId="41">
    <w:abstractNumId w:val="17"/>
  </w:num>
  <w:num w:numId="4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8-25 07:51:3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la"/>
    <w:docVar w:name="LW_ACCOMPAGNANT.CP" w:val="la"/>
    <w:docVar w:name="LW_ANNEX_NBR_FIRST" w:val="1"/>
    <w:docVar w:name="LW_ANNEX_NBR_LAST" w:val="1"/>
    <w:docVar w:name="LW_ANNEX_UNIQUE" w:val="1"/>
    <w:docVar w:name="LW_CORRIGENDUM" w:val="&lt;UNUSED&gt;"/>
    <w:docVar w:name="LW_COVERPAGE_EXISTS" w:val="True"/>
    <w:docVar w:name="LW_COVERPAGE_GUID" w:val="6BA723D2-A867-4351-82B2-558082EA4577"/>
    <w:docVar w:name="LW_COVERPAGE_TYPE" w:val="1"/>
    <w:docVar w:name="LW_CROSSREFERENCE" w:val="&lt;UNUSED&gt;"/>
    <w:docVar w:name="LW_DocType" w:val="ANNEX"/>
    <w:docVar w:name="LW_EMISSION" w:val="1.9.2023"/>
    <w:docVar w:name="LW_EMISSION_ISODATE" w:val="2023-09-01"/>
    <w:docVar w:name="LW_EMISSION_LOCATION" w:val="BRX"/>
    <w:docVar w:name="LW_EMISSION_PREFIX" w:val="Bruxelles, "/>
    <w:docVar w:name="LW_EMISSION_SUFFIX" w:val=" "/>
    <w:docVar w:name="LW_ID_DOCSTRUCTURE" w:val="COM/ANNEX"/>
    <w:docVar w:name="LW_ID_DOCTYPE" w:val="SG-017"/>
    <w:docVar w:name="LW_LANGUE" w:val="RO"/>
    <w:docVar w:name="LW_LEVEL_OF_SENSITIVITY" w:val="Standard treatment"/>
    <w:docVar w:name="LW_NOM.INST" w:val="COMISIA EUROPEAN\u258?"/>
    <w:docVar w:name="LW_NOM.INST_JOINTDOC" w:val="&lt;EMPTY&gt;"/>
    <w:docVar w:name="LW_OBJETACTEPRINCIPAL" w:val="&lt;FMT:Bold&gt;privind pozi\u539?ia care urmeaz\u259? s\u259? fie adoptat\u259? în numele Uniunii Europene în cadrul Comitetului de asociere reunit în configura\u539?ia \u8222?Comer\u539?\u8221? instituit prin Acordul de asociere dintre Uniunea European\u259? \u537?i Comunitatea European\u259? a Energiei Atomice \u537?i statele membre ale acestora, pe de o parte, \u537?i Republica Moldova, pe de alt\u259? parte, în ceea ce prive\u537?te modificarea anexei XXVIII-B (Norme aplicabile serviciilor de telecomunica\u539?ii) \u537?i a anexei XXVIII-C (Norme aplicabile serviciilor po\u537?tale \u537?i de curierat) la acordul respectiv&lt;/FMT&gt;"/>
    <w:docVar w:name="LW_OBJETACTEPRINCIPAL.CP" w:val="&lt;FMT:Bold&gt;privind poziția care urmează să fie adoptată în numele Uniunii Europene în cadrul Comitetului de asociere reunit în configurația „Comerț” instituit prin Acordul de asociere dintre Uniunea Europeană și Comunitatea Europeană a Energiei Atomice și statele membre ale acestora, pe de o parte, și Republica Moldova, pe de altă parte, în ceea ce privește modificarea anexei XXVIII-B (Norme aplicabile serviciilor de telecomunicații) și a anexei XXVIII-C (Norme aplicabile serviciilor poștale și de curierat) la acordul respectiv&lt;/FMT&gt;"/>
    <w:docVar w:name="LW_PART_NBR" w:val="1"/>
    <w:docVar w:name="LW_PART_NBR_TOTAL" w:val="1"/>
    <w:docVar w:name="LW_REF.INST.NEW" w:val="COM"/>
    <w:docVar w:name="LW_REF.INST.NEW_ADOPTED" w:val="final"/>
    <w:docVar w:name="LW_REF.INST.NEW_TEXT" w:val="(2023) 50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u258?"/>
    <w:docVar w:name="LW_TYPE.DOC.CP" w:val="ANEXĂ"/>
    <w:docVar w:name="LW_TYPEACTEPRINCIPAL" w:val="Propunerea de decizie a Consiliului"/>
    <w:docVar w:name="LW_TYPEACTEPRINCIPAL.CP" w:val="Propunerea de decizie a Consiliului"/>
    <w:docVar w:name="LwApiVersions" w:val="LW4CoDe 1.23.2.0; LW 8.0, Build 20211117"/>
  </w:docVars>
  <w:rsids>
    <w:rsidRoot w:val="00B171F7"/>
    <w:rsid w:val="0000573C"/>
    <w:rsid w:val="0001131B"/>
    <w:rsid w:val="000142A8"/>
    <w:rsid w:val="00026231"/>
    <w:rsid w:val="00032185"/>
    <w:rsid w:val="00055A1F"/>
    <w:rsid w:val="00061D3D"/>
    <w:rsid w:val="0006742A"/>
    <w:rsid w:val="00072E05"/>
    <w:rsid w:val="0007677D"/>
    <w:rsid w:val="00082B75"/>
    <w:rsid w:val="000A42AE"/>
    <w:rsid w:val="000C3CBB"/>
    <w:rsid w:val="000D0907"/>
    <w:rsid w:val="000E20B3"/>
    <w:rsid w:val="000F7BB0"/>
    <w:rsid w:val="00100746"/>
    <w:rsid w:val="0012021E"/>
    <w:rsid w:val="00135C91"/>
    <w:rsid w:val="001619AA"/>
    <w:rsid w:val="00165BE5"/>
    <w:rsid w:val="00165C4F"/>
    <w:rsid w:val="001823D5"/>
    <w:rsid w:val="00197489"/>
    <w:rsid w:val="001A1422"/>
    <w:rsid w:val="001B7B4E"/>
    <w:rsid w:val="001C356C"/>
    <w:rsid w:val="001C5D14"/>
    <w:rsid w:val="001F09E0"/>
    <w:rsid w:val="001F1131"/>
    <w:rsid w:val="001F343E"/>
    <w:rsid w:val="001F7B27"/>
    <w:rsid w:val="00206375"/>
    <w:rsid w:val="002112F5"/>
    <w:rsid w:val="00213119"/>
    <w:rsid w:val="002137EF"/>
    <w:rsid w:val="002148F4"/>
    <w:rsid w:val="002343E7"/>
    <w:rsid w:val="002435E5"/>
    <w:rsid w:val="0024698A"/>
    <w:rsid w:val="002562A7"/>
    <w:rsid w:val="00283F25"/>
    <w:rsid w:val="00284267"/>
    <w:rsid w:val="002A3B97"/>
    <w:rsid w:val="002A7933"/>
    <w:rsid w:val="002B6BC7"/>
    <w:rsid w:val="002D4A6C"/>
    <w:rsid w:val="002E3FA9"/>
    <w:rsid w:val="002E5ADF"/>
    <w:rsid w:val="002E6B2A"/>
    <w:rsid w:val="002F4B26"/>
    <w:rsid w:val="00301C95"/>
    <w:rsid w:val="00302D1D"/>
    <w:rsid w:val="00343586"/>
    <w:rsid w:val="00354348"/>
    <w:rsid w:val="00363886"/>
    <w:rsid w:val="003825B4"/>
    <w:rsid w:val="00390136"/>
    <w:rsid w:val="003B071A"/>
    <w:rsid w:val="003B0A0E"/>
    <w:rsid w:val="003B61AD"/>
    <w:rsid w:val="003E5239"/>
    <w:rsid w:val="003F6DEC"/>
    <w:rsid w:val="004059A0"/>
    <w:rsid w:val="00407684"/>
    <w:rsid w:val="00407890"/>
    <w:rsid w:val="00421292"/>
    <w:rsid w:val="00464747"/>
    <w:rsid w:val="00471C62"/>
    <w:rsid w:val="00485374"/>
    <w:rsid w:val="00492EB7"/>
    <w:rsid w:val="004A5F0F"/>
    <w:rsid w:val="004B1B70"/>
    <w:rsid w:val="004F6613"/>
    <w:rsid w:val="00502667"/>
    <w:rsid w:val="00527E55"/>
    <w:rsid w:val="00530EAA"/>
    <w:rsid w:val="005321C0"/>
    <w:rsid w:val="00537E6B"/>
    <w:rsid w:val="00541A5F"/>
    <w:rsid w:val="005425E8"/>
    <w:rsid w:val="00560490"/>
    <w:rsid w:val="00560645"/>
    <w:rsid w:val="005726DB"/>
    <w:rsid w:val="00580712"/>
    <w:rsid w:val="0059498D"/>
    <w:rsid w:val="005960B1"/>
    <w:rsid w:val="005B494C"/>
    <w:rsid w:val="005C02D5"/>
    <w:rsid w:val="005F1494"/>
    <w:rsid w:val="006121FE"/>
    <w:rsid w:val="006207D6"/>
    <w:rsid w:val="00622EEF"/>
    <w:rsid w:val="00626E37"/>
    <w:rsid w:val="006318B9"/>
    <w:rsid w:val="00643808"/>
    <w:rsid w:val="00647AEC"/>
    <w:rsid w:val="00663FC8"/>
    <w:rsid w:val="00676380"/>
    <w:rsid w:val="0069378D"/>
    <w:rsid w:val="006A2088"/>
    <w:rsid w:val="006A4CB6"/>
    <w:rsid w:val="006A51A7"/>
    <w:rsid w:val="006A6BCB"/>
    <w:rsid w:val="006B047A"/>
    <w:rsid w:val="006B1862"/>
    <w:rsid w:val="006B755E"/>
    <w:rsid w:val="006C2EA1"/>
    <w:rsid w:val="006C408F"/>
    <w:rsid w:val="006D1602"/>
    <w:rsid w:val="006D2CDF"/>
    <w:rsid w:val="006D3CF9"/>
    <w:rsid w:val="006E0201"/>
    <w:rsid w:val="006E2932"/>
    <w:rsid w:val="006F0C0B"/>
    <w:rsid w:val="006F169F"/>
    <w:rsid w:val="006F7854"/>
    <w:rsid w:val="0070552D"/>
    <w:rsid w:val="0073237D"/>
    <w:rsid w:val="00750293"/>
    <w:rsid w:val="00756538"/>
    <w:rsid w:val="007572B3"/>
    <w:rsid w:val="00767642"/>
    <w:rsid w:val="0077203D"/>
    <w:rsid w:val="0078483C"/>
    <w:rsid w:val="007853E8"/>
    <w:rsid w:val="007A3277"/>
    <w:rsid w:val="007B6937"/>
    <w:rsid w:val="007C588A"/>
    <w:rsid w:val="007D0043"/>
    <w:rsid w:val="00803866"/>
    <w:rsid w:val="0080492B"/>
    <w:rsid w:val="00810D0F"/>
    <w:rsid w:val="00822313"/>
    <w:rsid w:val="008245F7"/>
    <w:rsid w:val="00837467"/>
    <w:rsid w:val="00837E44"/>
    <w:rsid w:val="00846CF9"/>
    <w:rsid w:val="00856A41"/>
    <w:rsid w:val="00877B1C"/>
    <w:rsid w:val="00884EF7"/>
    <w:rsid w:val="0089129F"/>
    <w:rsid w:val="00896A7F"/>
    <w:rsid w:val="00897749"/>
    <w:rsid w:val="008A0032"/>
    <w:rsid w:val="008A5BD6"/>
    <w:rsid w:val="008C2FC2"/>
    <w:rsid w:val="008D1A12"/>
    <w:rsid w:val="008D6398"/>
    <w:rsid w:val="008E0CD4"/>
    <w:rsid w:val="008E304E"/>
    <w:rsid w:val="008F693E"/>
    <w:rsid w:val="00905D22"/>
    <w:rsid w:val="00920D35"/>
    <w:rsid w:val="00924AF9"/>
    <w:rsid w:val="0093001D"/>
    <w:rsid w:val="00931BD5"/>
    <w:rsid w:val="009342CB"/>
    <w:rsid w:val="009457B1"/>
    <w:rsid w:val="00955986"/>
    <w:rsid w:val="00960E9A"/>
    <w:rsid w:val="00962E06"/>
    <w:rsid w:val="00963684"/>
    <w:rsid w:val="0096499E"/>
    <w:rsid w:val="00987C5B"/>
    <w:rsid w:val="009B120E"/>
    <w:rsid w:val="009B5052"/>
    <w:rsid w:val="009C7148"/>
    <w:rsid w:val="009C7B9C"/>
    <w:rsid w:val="009D41B6"/>
    <w:rsid w:val="009E0A1F"/>
    <w:rsid w:val="009E4E63"/>
    <w:rsid w:val="009F58B0"/>
    <w:rsid w:val="00A05C94"/>
    <w:rsid w:val="00A50244"/>
    <w:rsid w:val="00A54C6A"/>
    <w:rsid w:val="00A6243B"/>
    <w:rsid w:val="00A701F5"/>
    <w:rsid w:val="00A71F6D"/>
    <w:rsid w:val="00A87172"/>
    <w:rsid w:val="00A962BA"/>
    <w:rsid w:val="00AB39FD"/>
    <w:rsid w:val="00AB3E29"/>
    <w:rsid w:val="00AC7D47"/>
    <w:rsid w:val="00AD0F49"/>
    <w:rsid w:val="00AF0C74"/>
    <w:rsid w:val="00B15482"/>
    <w:rsid w:val="00B171F7"/>
    <w:rsid w:val="00B23D8A"/>
    <w:rsid w:val="00B3008E"/>
    <w:rsid w:val="00B52A09"/>
    <w:rsid w:val="00B55201"/>
    <w:rsid w:val="00B62895"/>
    <w:rsid w:val="00B72FCB"/>
    <w:rsid w:val="00B84E31"/>
    <w:rsid w:val="00B86107"/>
    <w:rsid w:val="00B93810"/>
    <w:rsid w:val="00B96022"/>
    <w:rsid w:val="00BA0483"/>
    <w:rsid w:val="00BA3F2B"/>
    <w:rsid w:val="00BA4F3C"/>
    <w:rsid w:val="00BA7FA3"/>
    <w:rsid w:val="00BB30BC"/>
    <w:rsid w:val="00BE44B7"/>
    <w:rsid w:val="00BE614B"/>
    <w:rsid w:val="00C02B53"/>
    <w:rsid w:val="00C146E2"/>
    <w:rsid w:val="00C15287"/>
    <w:rsid w:val="00C218E8"/>
    <w:rsid w:val="00C30643"/>
    <w:rsid w:val="00C37822"/>
    <w:rsid w:val="00C44BCD"/>
    <w:rsid w:val="00C530C6"/>
    <w:rsid w:val="00C568D5"/>
    <w:rsid w:val="00C620F0"/>
    <w:rsid w:val="00C66FF4"/>
    <w:rsid w:val="00C727E9"/>
    <w:rsid w:val="00C8655E"/>
    <w:rsid w:val="00C91ACF"/>
    <w:rsid w:val="00C953CA"/>
    <w:rsid w:val="00CA3290"/>
    <w:rsid w:val="00CB4242"/>
    <w:rsid w:val="00CC26E3"/>
    <w:rsid w:val="00CD4D9B"/>
    <w:rsid w:val="00CD71B7"/>
    <w:rsid w:val="00CE3E2E"/>
    <w:rsid w:val="00CF10F6"/>
    <w:rsid w:val="00CF4E09"/>
    <w:rsid w:val="00D02AF1"/>
    <w:rsid w:val="00D1452E"/>
    <w:rsid w:val="00D328C4"/>
    <w:rsid w:val="00D331A7"/>
    <w:rsid w:val="00D33986"/>
    <w:rsid w:val="00D4639F"/>
    <w:rsid w:val="00D669EB"/>
    <w:rsid w:val="00D924FD"/>
    <w:rsid w:val="00D9309F"/>
    <w:rsid w:val="00DA3D86"/>
    <w:rsid w:val="00DA55EF"/>
    <w:rsid w:val="00DB3551"/>
    <w:rsid w:val="00DC2C0A"/>
    <w:rsid w:val="00DC534A"/>
    <w:rsid w:val="00DF112C"/>
    <w:rsid w:val="00DF24D2"/>
    <w:rsid w:val="00E17417"/>
    <w:rsid w:val="00E17FB1"/>
    <w:rsid w:val="00E264D6"/>
    <w:rsid w:val="00E45CB9"/>
    <w:rsid w:val="00E46DE0"/>
    <w:rsid w:val="00E53F37"/>
    <w:rsid w:val="00E57FF1"/>
    <w:rsid w:val="00E732A1"/>
    <w:rsid w:val="00E7621C"/>
    <w:rsid w:val="00E84C05"/>
    <w:rsid w:val="00E92B41"/>
    <w:rsid w:val="00E95A03"/>
    <w:rsid w:val="00EB1870"/>
    <w:rsid w:val="00EC60DE"/>
    <w:rsid w:val="00EC796B"/>
    <w:rsid w:val="00EE3788"/>
    <w:rsid w:val="00EF3EA9"/>
    <w:rsid w:val="00EF701D"/>
    <w:rsid w:val="00F0173D"/>
    <w:rsid w:val="00F3296D"/>
    <w:rsid w:val="00F44C33"/>
    <w:rsid w:val="00F46C06"/>
    <w:rsid w:val="00F5743B"/>
    <w:rsid w:val="00F6328C"/>
    <w:rsid w:val="00F6346E"/>
    <w:rsid w:val="00F63911"/>
    <w:rsid w:val="00F643AF"/>
    <w:rsid w:val="00F7024E"/>
    <w:rsid w:val="00F82260"/>
    <w:rsid w:val="00F90591"/>
    <w:rsid w:val="00FA7093"/>
    <w:rsid w:val="00FC246B"/>
    <w:rsid w:val="00FC4D7A"/>
    <w:rsid w:val="00FE225E"/>
    <w:rsid w:val="00FF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2401995C"/>
  <w15:docId w15:val="{B8B132BB-9CC3-4DF8-9A09-5BF809C3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56049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 w:type="numbering" w:customStyle="1" w:styleId="2">
    <w:name w:val="Імпортований стиль 2"/>
    <w:rsid w:val="00560490"/>
    <w:pPr>
      <w:numPr>
        <w:numId w:val="1"/>
      </w:numPr>
    </w:pPr>
  </w:style>
  <w:style w:type="table" w:styleId="TableGrid">
    <w:name w:val="Table Grid"/>
    <w:basedOn w:val="TableNormal"/>
    <w:uiPriority w:val="59"/>
    <w:rsid w:val="00D6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BA048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A0483"/>
    <w:pPr>
      <w:spacing w:after="0"/>
    </w:pPr>
  </w:style>
  <w:style w:type="paragraph" w:styleId="ListBullet">
    <w:name w:val="List Bullet"/>
    <w:basedOn w:val="Normal"/>
    <w:uiPriority w:val="99"/>
    <w:semiHidden/>
    <w:unhideWhenUsed/>
    <w:rsid w:val="00BA0483"/>
    <w:pPr>
      <w:numPr>
        <w:numId w:val="2"/>
      </w:numPr>
      <w:contextualSpacing/>
    </w:pPr>
  </w:style>
  <w:style w:type="paragraph" w:styleId="ListBullet2">
    <w:name w:val="List Bullet 2"/>
    <w:basedOn w:val="Normal"/>
    <w:uiPriority w:val="99"/>
    <w:semiHidden/>
    <w:unhideWhenUsed/>
    <w:rsid w:val="00BA0483"/>
    <w:pPr>
      <w:numPr>
        <w:numId w:val="3"/>
      </w:numPr>
      <w:contextualSpacing/>
    </w:pPr>
  </w:style>
  <w:style w:type="paragraph" w:styleId="ListBullet3">
    <w:name w:val="List Bullet 3"/>
    <w:basedOn w:val="Normal"/>
    <w:uiPriority w:val="99"/>
    <w:semiHidden/>
    <w:unhideWhenUsed/>
    <w:rsid w:val="00BA0483"/>
    <w:pPr>
      <w:numPr>
        <w:numId w:val="4"/>
      </w:numPr>
      <w:contextualSpacing/>
    </w:pPr>
  </w:style>
  <w:style w:type="paragraph" w:styleId="ListBullet4">
    <w:name w:val="List Bullet 4"/>
    <w:basedOn w:val="Normal"/>
    <w:uiPriority w:val="99"/>
    <w:semiHidden/>
    <w:unhideWhenUsed/>
    <w:rsid w:val="00BA0483"/>
    <w:pPr>
      <w:numPr>
        <w:numId w:val="5"/>
      </w:numPr>
      <w:contextualSpacing/>
    </w:pPr>
  </w:style>
  <w:style w:type="paragraph" w:styleId="ListNumber">
    <w:name w:val="List Number"/>
    <w:basedOn w:val="Normal"/>
    <w:uiPriority w:val="99"/>
    <w:semiHidden/>
    <w:unhideWhenUsed/>
    <w:rsid w:val="00BA0483"/>
    <w:pPr>
      <w:numPr>
        <w:numId w:val="6"/>
      </w:numPr>
      <w:contextualSpacing/>
    </w:pPr>
  </w:style>
  <w:style w:type="paragraph" w:styleId="ListNumber2">
    <w:name w:val="List Number 2"/>
    <w:basedOn w:val="Normal"/>
    <w:uiPriority w:val="99"/>
    <w:semiHidden/>
    <w:unhideWhenUsed/>
    <w:rsid w:val="00BA0483"/>
    <w:pPr>
      <w:numPr>
        <w:numId w:val="7"/>
      </w:numPr>
      <w:contextualSpacing/>
    </w:pPr>
  </w:style>
  <w:style w:type="paragraph" w:styleId="ListNumber3">
    <w:name w:val="List Number 3"/>
    <w:basedOn w:val="Normal"/>
    <w:uiPriority w:val="99"/>
    <w:semiHidden/>
    <w:unhideWhenUsed/>
    <w:rsid w:val="00BA0483"/>
    <w:pPr>
      <w:numPr>
        <w:numId w:val="8"/>
      </w:numPr>
      <w:contextualSpacing/>
    </w:pPr>
  </w:style>
  <w:style w:type="paragraph" w:styleId="ListNumber4">
    <w:name w:val="List Number 4"/>
    <w:basedOn w:val="Normal"/>
    <w:uiPriority w:val="99"/>
    <w:semiHidden/>
    <w:unhideWhenUsed/>
    <w:rsid w:val="00BA0483"/>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677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77D"/>
    <w:rPr>
      <w:rFonts w:ascii="Segoe UI" w:hAnsi="Segoe UI" w:cs="Segoe UI"/>
      <w:sz w:val="18"/>
      <w:szCs w:val="18"/>
      <w:lang w:val="ro-RO"/>
    </w:rPr>
  </w:style>
  <w:style w:type="paragraph" w:styleId="Revision">
    <w:name w:val="Revision"/>
    <w:hidden/>
    <w:uiPriority w:val="99"/>
    <w:semiHidden/>
    <w:rsid w:val="009342CB"/>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6F7854"/>
    <w:rPr>
      <w:b/>
      <w:bCs/>
    </w:rPr>
  </w:style>
  <w:style w:type="character" w:customStyle="1" w:styleId="CommentSubjectChar">
    <w:name w:val="Comment Subject Char"/>
    <w:basedOn w:val="CommentTextChar"/>
    <w:link w:val="CommentSubject"/>
    <w:uiPriority w:val="99"/>
    <w:semiHidden/>
    <w:rsid w:val="006F7854"/>
    <w:rPr>
      <w:rFonts w:ascii="Times New Roman" w:hAnsi="Times New Roman" w:cs="Times New Roman"/>
      <w:b/>
      <w:bCs/>
      <w:sz w:val="20"/>
      <w:szCs w:val="20"/>
      <w:lang w:val="ro-RO"/>
    </w:rPr>
  </w:style>
  <w:style w:type="character" w:styleId="Hyperlink">
    <w:name w:val="Hyperlink"/>
    <w:basedOn w:val="DefaultParagraphFont"/>
    <w:uiPriority w:val="99"/>
    <w:unhideWhenUsed/>
    <w:rsid w:val="003F6DEC"/>
    <w:rPr>
      <w:color w:val="0000FF" w:themeColor="hyperlink"/>
      <w:u w:val="single"/>
    </w:rPr>
  </w:style>
  <w:style w:type="paragraph" w:customStyle="1" w:styleId="Titreobjet">
    <w:name w:val="Titre objet"/>
    <w:rsid w:val="0089129F"/>
    <w:pPr>
      <w:pBdr>
        <w:top w:val="nil"/>
        <w:left w:val="nil"/>
        <w:bottom w:val="nil"/>
        <w:right w:val="nil"/>
        <w:between w:val="nil"/>
        <w:bar w:val="nil"/>
      </w:pBdr>
      <w:spacing w:before="360" w:after="360" w:line="360" w:lineRule="auto"/>
      <w:jc w:val="center"/>
    </w:pPr>
    <w:rPr>
      <w:rFonts w:ascii="Times New Roman" w:eastAsia="Arial Unicode MS" w:hAnsi="Times New Roman" w:cs="Arial Unicode MS"/>
      <w:b/>
      <w:bCs/>
      <w:color w:val="000000"/>
      <w:sz w:val="24"/>
      <w:szCs w:val="24"/>
      <w:u w:color="000000"/>
      <w:bdr w:val="nil"/>
      <w:lang w:eastAsia="uk-UA"/>
    </w:rPr>
  </w:style>
  <w:style w:type="paragraph" w:styleId="BodyText">
    <w:name w:val="Body Text"/>
    <w:link w:val="BodyTextChar"/>
    <w:rsid w:val="0089129F"/>
    <w:pPr>
      <w:pBdr>
        <w:top w:val="nil"/>
        <w:left w:val="nil"/>
        <w:bottom w:val="nil"/>
        <w:right w:val="nil"/>
        <w:between w:val="nil"/>
        <w:bar w:val="nil"/>
      </w:pBdr>
      <w:spacing w:before="120" w:after="120" w:line="360" w:lineRule="auto"/>
    </w:pPr>
    <w:rPr>
      <w:rFonts w:ascii="Times New Roman" w:eastAsia="Arial Unicode MS" w:hAnsi="Times New Roman" w:cs="Arial Unicode MS"/>
      <w:color w:val="000000"/>
      <w:sz w:val="24"/>
      <w:szCs w:val="24"/>
      <w:u w:color="000000"/>
      <w:bdr w:val="nil"/>
      <w:lang w:eastAsia="uk-UA"/>
      <w14:textOutline w14:w="0" w14:cap="flat" w14:cmpd="sng" w14:algn="ctr">
        <w14:noFill/>
        <w14:prstDash w14:val="solid"/>
        <w14:bevel/>
      </w14:textOutline>
    </w:rPr>
  </w:style>
  <w:style w:type="character" w:customStyle="1" w:styleId="BodyTextChar">
    <w:name w:val="Body Text Char"/>
    <w:basedOn w:val="DefaultParagraphFont"/>
    <w:link w:val="BodyText"/>
    <w:rsid w:val="0089129F"/>
    <w:rPr>
      <w:rFonts w:ascii="Times New Roman" w:eastAsia="Arial Unicode MS" w:hAnsi="Times New Roman" w:cs="Arial Unicode MS"/>
      <w:color w:val="000000"/>
      <w:sz w:val="24"/>
      <w:szCs w:val="24"/>
      <w:u w:color="000000"/>
      <w:bdr w:val="nil"/>
      <w:lang w:eastAsia="uk-UA"/>
      <w14:textOutline w14:w="0" w14:cap="flat" w14:cmpd="sng" w14:algn="ctr">
        <w14:noFill/>
        <w14:prstDash w14:val="solid"/>
        <w14:bevel/>
      </w14:textOutline>
    </w:rPr>
  </w:style>
  <w:style w:type="paragraph" w:styleId="ListParagraph">
    <w:name w:val="List Paragraph"/>
    <w:basedOn w:val="Normal"/>
    <w:uiPriority w:val="34"/>
    <w:qFormat/>
    <w:rsid w:val="00B55201"/>
    <w:pPr>
      <w:spacing w:before="0" w:after="0"/>
      <w:ind w:left="720"/>
      <w:jc w:val="left"/>
    </w:pPr>
    <w:rPr>
      <w:rFonts w:ascii="Calibri" w:hAnsi="Calibri" w:cs="Calibri"/>
      <w:sz w:val="22"/>
    </w:rPr>
  </w:style>
  <w:style w:type="character" w:customStyle="1" w:styleId="oj-italic">
    <w:name w:val="oj-italic"/>
    <w:rsid w:val="00B55201"/>
    <w:rPr>
      <w:lang w:val="ro-RO"/>
    </w:rPr>
  </w:style>
  <w:style w:type="character" w:customStyle="1" w:styleId="UnresolvedMention">
    <w:name w:val="Unresolved Mention"/>
    <w:basedOn w:val="DefaultParagraphFont"/>
    <w:uiPriority w:val="99"/>
    <w:semiHidden/>
    <w:unhideWhenUsed/>
    <w:rsid w:val="00213119"/>
    <w:rPr>
      <w:color w:val="605E5C"/>
      <w:shd w:val="clear" w:color="auto" w:fill="E1DFDD"/>
    </w:rPr>
  </w:style>
  <w:style w:type="paragraph" w:styleId="Header">
    <w:name w:val="header"/>
    <w:basedOn w:val="Normal"/>
    <w:link w:val="HeaderChar"/>
    <w:uiPriority w:val="99"/>
    <w:unhideWhenUsed/>
    <w:rsid w:val="00750293"/>
    <w:pPr>
      <w:tabs>
        <w:tab w:val="center" w:pos="4535"/>
        <w:tab w:val="right" w:pos="9071"/>
      </w:tabs>
      <w:spacing w:before="0"/>
    </w:pPr>
  </w:style>
  <w:style w:type="character" w:customStyle="1" w:styleId="HeaderChar">
    <w:name w:val="Header Char"/>
    <w:basedOn w:val="DefaultParagraphFont"/>
    <w:link w:val="Header"/>
    <w:uiPriority w:val="99"/>
    <w:rsid w:val="00750293"/>
    <w:rPr>
      <w:rFonts w:ascii="Times New Roman" w:hAnsi="Times New Roman" w:cs="Times New Roman"/>
      <w:sz w:val="24"/>
      <w:lang w:val="ro-RO"/>
    </w:rPr>
  </w:style>
  <w:style w:type="paragraph" w:styleId="Footer">
    <w:name w:val="footer"/>
    <w:basedOn w:val="Normal"/>
    <w:link w:val="FooterChar"/>
    <w:uiPriority w:val="99"/>
    <w:unhideWhenUsed/>
    <w:rsid w:val="0075029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50293"/>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50293"/>
    <w:pPr>
      <w:tabs>
        <w:tab w:val="center" w:pos="7285"/>
        <w:tab w:val="right" w:pos="14003"/>
      </w:tabs>
      <w:spacing w:before="0"/>
    </w:pPr>
  </w:style>
  <w:style w:type="paragraph" w:customStyle="1" w:styleId="FooterLandscape">
    <w:name w:val="FooterLandscape"/>
    <w:basedOn w:val="Normal"/>
    <w:rsid w:val="0075029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5029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50293"/>
    <w:pPr>
      <w:spacing w:before="0"/>
      <w:jc w:val="right"/>
    </w:pPr>
    <w:rPr>
      <w:sz w:val="28"/>
    </w:rPr>
  </w:style>
  <w:style w:type="paragraph" w:customStyle="1" w:styleId="FooterSensitivity">
    <w:name w:val="Footer Sensitivity"/>
    <w:basedOn w:val="Normal"/>
    <w:rsid w:val="0075029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bing.com/ck/a?!&amp;&amp;p=906192d966abbe3bJmltdHM9MTY3MzU2ODAwMCZpZ3VpZD0xY2NhZjhmMy0xOTY1LTYzYTQtMWZlOC1lOTFlMTg5MDYyZDQmaW5zaWQ9NTE5MQ&amp;ptn=3&amp;hsh=3&amp;fclid=1ccaf8f3-1965-63a4-1fe8-e91e189062d4&amp;psq=Commission+Implementing+Decision+(EU)+2015%2f1501&amp;u=a1aHR0cHM6Ly9ldXItbGV4LmV1cm9wYS5ldS9sZWdhbC1jb250ZW50L0VOL1RYVC8_dXJpPU9KJTNBSk9MXzIwMTVfMjM1X1JfMDAwMQ&amp;ntb=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EC_Collab_Reference xmlns="39d607b5-3019-4139-86e9-2e131faaffa8">-</EC_Collab_Reference>
    <_Status xmlns="http://schemas.microsoft.com/sharepoint/v3/fields">Not Started</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9DF82C0-7DBC-45E3-B670-E5DEA15D02FA}">
  <ds:schemaRefs>
    <ds:schemaRef ds:uri="http://purl.org/dc/elements/1.1/"/>
    <ds:schemaRef ds:uri="http://schemas.microsoft.com/office/2006/metadata/properties"/>
    <ds:schemaRef ds:uri="379e0a09-5deb-44c7-a703-b352a170740d"/>
    <ds:schemaRef ds:uri="39d607b5-3019-4139-86e9-2e131faaffa8"/>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00F87FD4-AEB4-4814-80C6-D1B3B330E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EAE76-73A4-4A4F-8C1A-E85EA2CB1115}">
  <ds:schemaRefs>
    <ds:schemaRef ds:uri="http://schemas.microsoft.com/sharepoint/v3/contenttype/forms"/>
  </ds:schemaRefs>
</ds:datastoreItem>
</file>

<file path=customXml/itemProps4.xml><?xml version="1.0" encoding="utf-8"?>
<ds:datastoreItem xmlns:ds="http://schemas.openxmlformats.org/officeDocument/2006/customXml" ds:itemID="{F24D206F-AFE7-4381-90E1-049D1B97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84</TotalTime>
  <Pages>17</Pages>
  <Words>5588</Words>
  <Characters>31852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MELANEN Anri (TRADE)</dc:creator>
  <cp:keywords/>
  <dc:description/>
  <cp:lastModifiedBy>EC CoDe</cp:lastModifiedBy>
  <cp:revision>43</cp:revision>
  <dcterms:created xsi:type="dcterms:W3CDTF">2023-07-03T07:54:00Z</dcterms:created>
  <dcterms:modified xsi:type="dcterms:W3CDTF">2023-08-25T05:51:00Z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2023-02-01T16:41:15Z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43fa799f-e004-4817-836d-a9a08996f532</vt:lpwstr>
  </property>
  <property fmtid="{D5CDD505-2E9C-101B-9397-08002B2CF9AE}" pid="19" name="MSIP_Label_6bd9ddd1-4d20-43f6-abfa-fc3c07406f94_ContentBits">
    <vt:lpwstr>0</vt:lpwstr>
  </property>
  <property fmtid="{D5CDD505-2E9C-101B-9397-08002B2CF9AE}" pid="20" name="ContentTypeId">
    <vt:lpwstr>0x010100258AA79CEB83498886A3A086811232500033285A78CCB54F4DA2ECE5FA2B2AF218</vt:lpwstr>
  </property>
  <property fmtid="{D5CDD505-2E9C-101B-9397-08002B2CF9AE}" pid="21" name="_CopySource">
    <vt:lpwstr>230201 - AM LW - Annex - Decision 1-2023 Roaming.docx</vt:lpwstr>
  </property>
  <property fmtid="{D5CDD505-2E9C-101B-9397-08002B2CF9AE}" pid="22" name="DQCStatus">
    <vt:lpwstr>Green (DQC version 03)</vt:lpwstr>
  </property>
</Properties>
</file>