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85E4" w14:textId="10BBFCAD" w:rsidR="0029533F" w:rsidRPr="003371C2" w:rsidRDefault="008E47BD" w:rsidP="008E47BD">
      <w:pPr>
        <w:pStyle w:val="Pagedecouverture"/>
        <w:rPr>
          <w:noProof/>
        </w:rPr>
      </w:pPr>
      <w:r>
        <w:rPr>
          <w:noProof/>
        </w:rPr>
        <w:pict w14:anchorId="4C813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CABB051A-7FCC-465E-B4C6-F4ADC5029702" style="width:455.25pt;height:468.75pt">
            <v:imagedata r:id="rId11" o:title=""/>
          </v:shape>
        </w:pict>
      </w:r>
    </w:p>
    <w:p w14:paraId="0BCC4FD4" w14:textId="77777777" w:rsidR="00A2210E" w:rsidRPr="003371C2" w:rsidRDefault="00A2210E" w:rsidP="00FA3D6F">
      <w:pPr>
        <w:rPr>
          <w:noProof/>
        </w:rPr>
        <w:sectPr w:rsidR="00A2210E" w:rsidRPr="003371C2" w:rsidSect="008E47BD">
          <w:footerReference w:type="default" r:id="rId1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C02D963" w14:textId="77777777" w:rsidR="00037B74" w:rsidRPr="003371C2" w:rsidRDefault="00037B74" w:rsidP="00037B74">
      <w:pPr>
        <w:pStyle w:val="Exposdesmotifstitre"/>
        <w:rPr>
          <w:noProof/>
        </w:rPr>
      </w:pPr>
      <w:bookmarkStart w:id="0" w:name="_GoBack"/>
      <w:bookmarkEnd w:id="0"/>
      <w:r w:rsidRPr="003371C2">
        <w:rPr>
          <w:noProof/>
        </w:rPr>
        <w:lastRenderedPageBreak/>
        <w:t>DÔVODOVÁ SPRÁVA</w:t>
      </w:r>
    </w:p>
    <w:p w14:paraId="7537646F" w14:textId="77777777" w:rsidR="00037B74" w:rsidRPr="003371C2" w:rsidRDefault="00037B74" w:rsidP="00037B74">
      <w:pPr>
        <w:pStyle w:val="ManualHeading1"/>
        <w:rPr>
          <w:noProof/>
        </w:rPr>
      </w:pPr>
      <w:r w:rsidRPr="003371C2">
        <w:rPr>
          <w:noProof/>
        </w:rPr>
        <w:t>1.</w:t>
      </w:r>
      <w:r w:rsidRPr="003371C2">
        <w:rPr>
          <w:noProof/>
        </w:rPr>
        <w:tab/>
        <w:t>KONTEXT NÁVRHU</w:t>
      </w:r>
    </w:p>
    <w:p w14:paraId="01682DB6" w14:textId="4B88C2CA" w:rsidR="00636E1F" w:rsidRPr="003371C2" w:rsidRDefault="00636E1F" w:rsidP="004D6F66">
      <w:pPr>
        <w:rPr>
          <w:noProof/>
        </w:rPr>
      </w:pPr>
      <w:r w:rsidRPr="003371C2">
        <w:rPr>
          <w:noProof/>
        </w:rPr>
        <w:t xml:space="preserve">Pozri </w:t>
      </w:r>
      <w:bookmarkStart w:id="1" w:name="_Hlk144292538"/>
      <w:r w:rsidRPr="003371C2">
        <w:rPr>
          <w:noProof/>
        </w:rPr>
        <w:t>smernicu COM(2023) 516</w:t>
      </w:r>
      <w:bookmarkEnd w:id="1"/>
      <w:r w:rsidRPr="003371C2">
        <w:rPr>
          <w:noProof/>
        </w:rPr>
        <w:t>.</w:t>
      </w:r>
    </w:p>
    <w:p w14:paraId="30912118" w14:textId="77777777" w:rsidR="00037B74" w:rsidRPr="003371C2" w:rsidRDefault="00037B74" w:rsidP="00037B74">
      <w:pPr>
        <w:pStyle w:val="ManualHeading1"/>
        <w:rPr>
          <w:noProof/>
        </w:rPr>
      </w:pPr>
      <w:r w:rsidRPr="003371C2">
        <w:rPr>
          <w:noProof/>
        </w:rPr>
        <w:t>2.</w:t>
      </w:r>
      <w:r w:rsidRPr="003371C2">
        <w:rPr>
          <w:noProof/>
        </w:rPr>
        <w:tab/>
        <w:t>PRÁVNY ZÁKLAD, SUBSIDIARITA A PROPORCIONALITA</w:t>
      </w:r>
    </w:p>
    <w:p w14:paraId="4AAF54E2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Právny základ</w:t>
      </w:r>
    </w:p>
    <w:p w14:paraId="2C072B2B" w14:textId="7FFEEBCF" w:rsidR="00D86167" w:rsidRPr="003371C2" w:rsidRDefault="00D86167" w:rsidP="00D86167">
      <w:pPr>
        <w:rPr>
          <w:noProof/>
        </w:rPr>
      </w:pPr>
      <w:r w:rsidRPr="003371C2">
        <w:rPr>
          <w:noProof/>
        </w:rPr>
        <w:t>Tento návrh vychádza</w:t>
      </w:r>
      <w:r w:rsidR="003371C2">
        <w:rPr>
          <w:noProof/>
        </w:rPr>
        <w:t xml:space="preserve"> z </w:t>
      </w:r>
      <w:r w:rsidRPr="003371C2">
        <w:rPr>
          <w:noProof/>
        </w:rPr>
        <w:t>článku 21 ods. 2</w:t>
      </w:r>
      <w:r w:rsidR="003371C2">
        <w:rPr>
          <w:noProof/>
        </w:rPr>
        <w:t xml:space="preserve"> a </w:t>
      </w:r>
      <w:r w:rsidRPr="003371C2">
        <w:rPr>
          <w:noProof/>
        </w:rPr>
        <w:t>článku 114 ZFEÚ.</w:t>
      </w:r>
    </w:p>
    <w:p w14:paraId="47A32FF5" w14:textId="6A136A8E" w:rsidR="5992F2D0" w:rsidRPr="003371C2" w:rsidRDefault="5992F2D0">
      <w:pPr>
        <w:rPr>
          <w:noProof/>
        </w:rPr>
      </w:pPr>
      <w:r w:rsidRPr="003371C2">
        <w:rPr>
          <w:noProof/>
        </w:rPr>
        <w:t>Týmto návrhom sa mení nariadenie Európskeho parlamentu</w:t>
      </w:r>
      <w:r w:rsidR="003371C2">
        <w:rPr>
          <w:noProof/>
        </w:rPr>
        <w:t xml:space="preserve"> a </w:t>
      </w:r>
      <w:r w:rsidRPr="003371C2">
        <w:rPr>
          <w:noProof/>
        </w:rPr>
        <w:t xml:space="preserve">Rady (EÚ) </w:t>
      </w:r>
      <w:r w:rsidR="003371C2">
        <w:rPr>
          <w:noProof/>
        </w:rPr>
        <w:t>č. </w:t>
      </w:r>
      <w:r w:rsidRPr="003371C2">
        <w:rPr>
          <w:noProof/>
        </w:rPr>
        <w:t>1024/2012</w:t>
      </w:r>
      <w:r w:rsidR="003371C2">
        <w:rPr>
          <w:noProof/>
        </w:rPr>
        <w:t xml:space="preserve"> z </w:t>
      </w:r>
      <w:r w:rsidRPr="003371C2">
        <w:rPr>
          <w:noProof/>
        </w:rPr>
        <w:t>25</w:t>
      </w:r>
      <w:r w:rsidR="003371C2">
        <w:rPr>
          <w:noProof/>
        </w:rPr>
        <w:t>. októbra</w:t>
      </w:r>
      <w:r w:rsidRPr="003371C2">
        <w:rPr>
          <w:noProof/>
        </w:rPr>
        <w:t xml:space="preserve"> 2012</w:t>
      </w:r>
      <w:r w:rsidR="003371C2">
        <w:rPr>
          <w:noProof/>
        </w:rPr>
        <w:t xml:space="preserve"> o </w:t>
      </w:r>
      <w:r w:rsidRPr="003371C2">
        <w:rPr>
          <w:noProof/>
        </w:rPr>
        <w:t>administratívnej spolupráci prostredníctvom informačného systému</w:t>
      </w:r>
      <w:r w:rsidR="003371C2">
        <w:rPr>
          <w:noProof/>
        </w:rPr>
        <w:t xml:space="preserve"> o </w:t>
      </w:r>
      <w:r w:rsidRPr="003371C2">
        <w:rPr>
          <w:noProof/>
        </w:rPr>
        <w:t>vnútornom trhu</w:t>
      </w:r>
      <w:r w:rsidR="003371C2">
        <w:rPr>
          <w:noProof/>
        </w:rPr>
        <w:t xml:space="preserve"> a o </w:t>
      </w:r>
      <w:r w:rsidRPr="003371C2">
        <w:rPr>
          <w:noProof/>
        </w:rPr>
        <w:t>zrušení rozhodnutia Komisie 2008/49/ES („nariadenie</w:t>
      </w:r>
      <w:r w:rsidR="003371C2">
        <w:rPr>
          <w:noProof/>
        </w:rPr>
        <w:t xml:space="preserve"> o </w:t>
      </w:r>
      <w:r w:rsidRPr="003371C2">
        <w:rPr>
          <w:noProof/>
        </w:rPr>
        <w:t>IMI“)</w:t>
      </w:r>
      <w:r w:rsidRPr="003371C2">
        <w:rPr>
          <w:rStyle w:val="FootnoteReference"/>
          <w:noProof/>
        </w:rPr>
        <w:footnoteReference w:id="2"/>
      </w:r>
      <w:r w:rsidRPr="003371C2">
        <w:rPr>
          <w:noProof/>
        </w:rPr>
        <w:t>, ktoré vychádza</w:t>
      </w:r>
      <w:r w:rsidR="003371C2">
        <w:rPr>
          <w:noProof/>
        </w:rPr>
        <w:t xml:space="preserve"> z </w:t>
      </w:r>
      <w:r w:rsidRPr="003371C2">
        <w:rPr>
          <w:noProof/>
        </w:rPr>
        <w:t>článku 114 ZFEÚ.</w:t>
      </w:r>
    </w:p>
    <w:p w14:paraId="748DE49E" w14:textId="3F92741C" w:rsidR="003371C2" w:rsidRDefault="00D86167" w:rsidP="092C815B">
      <w:pPr>
        <w:rPr>
          <w:noProof/>
        </w:rPr>
      </w:pPr>
      <w:r w:rsidRPr="003371C2">
        <w:rPr>
          <w:noProof/>
        </w:rPr>
        <w:t>Týmto návrhom sa takisto mení nariadenie Európskeho parlamentu</w:t>
      </w:r>
      <w:r w:rsidR="003371C2">
        <w:rPr>
          <w:noProof/>
        </w:rPr>
        <w:t xml:space="preserve"> a </w:t>
      </w:r>
      <w:r w:rsidRPr="003371C2">
        <w:rPr>
          <w:noProof/>
        </w:rPr>
        <w:t>Rady (EÚ) 2018/1724</w:t>
      </w:r>
      <w:r w:rsidR="003371C2">
        <w:rPr>
          <w:noProof/>
        </w:rPr>
        <w:t xml:space="preserve"> z </w:t>
      </w:r>
      <w:r w:rsidRPr="003371C2">
        <w:rPr>
          <w:noProof/>
        </w:rPr>
        <w:t>2</w:t>
      </w:r>
      <w:r w:rsidR="003371C2">
        <w:rPr>
          <w:noProof/>
        </w:rPr>
        <w:t>. októbra</w:t>
      </w:r>
      <w:r w:rsidRPr="003371C2">
        <w:rPr>
          <w:noProof/>
        </w:rPr>
        <w:t xml:space="preserve"> 2018</w:t>
      </w:r>
      <w:r w:rsidR="003371C2">
        <w:rPr>
          <w:noProof/>
        </w:rPr>
        <w:t xml:space="preserve"> o </w:t>
      </w:r>
      <w:r w:rsidRPr="003371C2">
        <w:rPr>
          <w:noProof/>
        </w:rPr>
        <w:t>zriadení jednotnej digitálnej brány na poskytovanie prístupu</w:t>
      </w:r>
      <w:r w:rsidR="003371C2">
        <w:rPr>
          <w:noProof/>
        </w:rPr>
        <w:t xml:space="preserve"> k </w:t>
      </w:r>
      <w:r w:rsidRPr="003371C2">
        <w:rPr>
          <w:noProof/>
        </w:rPr>
        <w:t>informáciám, postupom</w:t>
      </w:r>
      <w:r w:rsidR="003371C2">
        <w:rPr>
          <w:noProof/>
        </w:rPr>
        <w:t xml:space="preserve"> a </w:t>
      </w:r>
      <w:r w:rsidRPr="003371C2">
        <w:rPr>
          <w:noProof/>
        </w:rPr>
        <w:t>asistenčným službám</w:t>
      </w:r>
      <w:r w:rsidR="003371C2">
        <w:rPr>
          <w:noProof/>
        </w:rPr>
        <w:t xml:space="preserve"> a </w:t>
      </w:r>
      <w:r w:rsidRPr="003371C2">
        <w:rPr>
          <w:noProof/>
        </w:rPr>
        <w:t>službám riešenia problémov</w:t>
      </w:r>
      <w:r w:rsidR="003371C2">
        <w:rPr>
          <w:noProof/>
        </w:rPr>
        <w:t xml:space="preserve"> a o </w:t>
      </w:r>
      <w:r w:rsidRPr="003371C2">
        <w:rPr>
          <w:noProof/>
        </w:rPr>
        <w:t xml:space="preserve">zmene nariadenia (EÚ) </w:t>
      </w:r>
      <w:r w:rsidR="003371C2">
        <w:rPr>
          <w:noProof/>
        </w:rPr>
        <w:t>č. </w:t>
      </w:r>
      <w:r w:rsidRPr="003371C2">
        <w:rPr>
          <w:noProof/>
        </w:rPr>
        <w:t>1024/2012</w:t>
      </w:r>
      <w:r w:rsidRPr="003371C2">
        <w:rPr>
          <w:rStyle w:val="FootnoteReference"/>
          <w:noProof/>
        </w:rPr>
        <w:footnoteReference w:id="3"/>
      </w:r>
      <w:r w:rsidRPr="003371C2">
        <w:rPr>
          <w:noProof/>
        </w:rPr>
        <w:t>, ktoré vychádza</w:t>
      </w:r>
      <w:r w:rsidR="003371C2">
        <w:rPr>
          <w:noProof/>
        </w:rPr>
        <w:t xml:space="preserve"> z </w:t>
      </w:r>
      <w:r w:rsidRPr="003371C2">
        <w:rPr>
          <w:noProof/>
        </w:rPr>
        <w:t>článku 21 ods. 2</w:t>
      </w:r>
      <w:r w:rsidR="003371C2">
        <w:rPr>
          <w:noProof/>
        </w:rPr>
        <w:t xml:space="preserve"> a </w:t>
      </w:r>
      <w:r w:rsidRPr="003371C2">
        <w:rPr>
          <w:noProof/>
        </w:rPr>
        <w:t>článku 114 ods. 1 ZFEÚ</w:t>
      </w:r>
      <w:r w:rsidR="003371C2">
        <w:rPr>
          <w:noProof/>
        </w:rPr>
        <w:t>.</w:t>
      </w:r>
    </w:p>
    <w:p w14:paraId="492BAAC4" w14:textId="0D79B6D6" w:rsidR="003371C2" w:rsidRDefault="00BF6B5E" w:rsidP="092C815B">
      <w:pPr>
        <w:rPr>
          <w:noProof/>
        </w:rPr>
      </w:pPr>
      <w:r w:rsidRPr="003371C2">
        <w:rPr>
          <w:noProof/>
        </w:rPr>
        <w:t>Pokiaľ ide</w:t>
      </w:r>
      <w:r w:rsidR="003371C2">
        <w:rPr>
          <w:noProof/>
        </w:rPr>
        <w:t xml:space="preserve"> o </w:t>
      </w:r>
      <w:r w:rsidRPr="003371C2">
        <w:rPr>
          <w:noProof/>
        </w:rPr>
        <w:t>článok 114 ZFEÚ, stanovuje sa</w:t>
      </w:r>
      <w:r w:rsidR="003371C2">
        <w:rPr>
          <w:noProof/>
        </w:rPr>
        <w:t xml:space="preserve"> v </w:t>
      </w:r>
      <w:r w:rsidRPr="003371C2">
        <w:rPr>
          <w:noProof/>
        </w:rPr>
        <w:t>ňom, že Európsky parlament</w:t>
      </w:r>
      <w:r w:rsidR="003371C2">
        <w:rPr>
          <w:noProof/>
        </w:rPr>
        <w:t xml:space="preserve"> a </w:t>
      </w:r>
      <w:r w:rsidRPr="003371C2">
        <w:rPr>
          <w:noProof/>
        </w:rPr>
        <w:t>Rada prijímajú opatrenia na aproximáciu ustanovení zákonov, iných právnych predpisov</w:t>
      </w:r>
      <w:r w:rsidR="003371C2">
        <w:rPr>
          <w:noProof/>
        </w:rPr>
        <w:t xml:space="preserve"> a </w:t>
      </w:r>
      <w:r w:rsidRPr="003371C2">
        <w:rPr>
          <w:noProof/>
        </w:rPr>
        <w:t>správnych opatrení členských štátov, ktoré smerujú</w:t>
      </w:r>
      <w:r w:rsidR="003371C2">
        <w:rPr>
          <w:noProof/>
        </w:rPr>
        <w:t xml:space="preserve"> k </w:t>
      </w:r>
      <w:r w:rsidRPr="003371C2">
        <w:rPr>
          <w:noProof/>
        </w:rPr>
        <w:t>vytváraniu</w:t>
      </w:r>
      <w:r w:rsidR="003371C2">
        <w:rPr>
          <w:noProof/>
        </w:rPr>
        <w:t xml:space="preserve"> a </w:t>
      </w:r>
      <w:r w:rsidRPr="003371C2">
        <w:rPr>
          <w:noProof/>
        </w:rPr>
        <w:t xml:space="preserve">fungovaniu vnútorného trhu. Keďže cieľom tohto návrhu je zmeniť nariadenie (EÚ) </w:t>
      </w:r>
      <w:r w:rsidR="003371C2">
        <w:rPr>
          <w:noProof/>
        </w:rPr>
        <w:t>č. </w:t>
      </w:r>
      <w:r w:rsidRPr="003371C2">
        <w:rPr>
          <w:noProof/>
        </w:rPr>
        <w:t>1024/2012</w:t>
      </w:r>
      <w:r w:rsidR="003371C2">
        <w:rPr>
          <w:noProof/>
        </w:rPr>
        <w:t xml:space="preserve"> o </w:t>
      </w:r>
      <w:r w:rsidRPr="003371C2">
        <w:rPr>
          <w:noProof/>
        </w:rPr>
        <w:t>zriadení IMI, ktoré má priamy vplyv na fungovanie vnútorného trhu tým, že uľahčuje spoluprácu medzi členskými štátmi</w:t>
      </w:r>
      <w:r w:rsidR="003371C2">
        <w:rPr>
          <w:noProof/>
        </w:rPr>
        <w:t xml:space="preserve"> a </w:t>
      </w:r>
      <w:r w:rsidRPr="003371C2">
        <w:rPr>
          <w:noProof/>
        </w:rPr>
        <w:t>rieši rozdiely medzi ustanoveniami členských štátov, ktoré bránia základným slobodám, je vhodným právnym základom článok 114 ZFEÚ</w:t>
      </w:r>
      <w:r w:rsidR="003371C2">
        <w:rPr>
          <w:noProof/>
        </w:rPr>
        <w:t>.</w:t>
      </w:r>
    </w:p>
    <w:p w14:paraId="423E6DD6" w14:textId="7939E82F" w:rsidR="003371C2" w:rsidRDefault="00E755EA" w:rsidP="00D86167">
      <w:pPr>
        <w:rPr>
          <w:noProof/>
        </w:rPr>
      </w:pPr>
      <w:r w:rsidRPr="003371C2">
        <w:rPr>
          <w:noProof/>
        </w:rPr>
        <w:t>Keďže cieľom tohto návrhu je vyjasniť</w:t>
      </w:r>
      <w:r w:rsidR="003371C2">
        <w:rPr>
          <w:noProof/>
        </w:rPr>
        <w:t xml:space="preserve"> a </w:t>
      </w:r>
      <w:r w:rsidRPr="003371C2">
        <w:rPr>
          <w:noProof/>
        </w:rPr>
        <w:t>zmeniť rozsah pôsobnosti nariadenia (EÚ) 2018/1724 na účely poskytnutia lepšieho online prístupu</w:t>
      </w:r>
      <w:r w:rsidR="003371C2">
        <w:rPr>
          <w:noProof/>
        </w:rPr>
        <w:t xml:space="preserve"> k </w:t>
      </w:r>
      <w:r w:rsidRPr="003371C2">
        <w:rPr>
          <w:noProof/>
        </w:rPr>
        <w:t>informáciám</w:t>
      </w:r>
      <w:r w:rsidR="003371C2">
        <w:rPr>
          <w:noProof/>
        </w:rPr>
        <w:t xml:space="preserve"> a </w:t>
      </w:r>
      <w:r w:rsidRPr="003371C2">
        <w:rPr>
          <w:noProof/>
        </w:rPr>
        <w:t>postupom pre občanov, podniky</w:t>
      </w:r>
      <w:r w:rsidR="003371C2">
        <w:rPr>
          <w:noProof/>
        </w:rPr>
        <w:t xml:space="preserve"> a </w:t>
      </w:r>
      <w:r w:rsidRPr="003371C2">
        <w:rPr>
          <w:noProof/>
        </w:rPr>
        <w:t>právnické osoby iné ako podniky, ktoré uplatňujú alebo majú</w:t>
      </w:r>
      <w:r w:rsidR="003371C2">
        <w:rPr>
          <w:noProof/>
        </w:rPr>
        <w:t xml:space="preserve"> v </w:t>
      </w:r>
      <w:r w:rsidRPr="003371C2">
        <w:rPr>
          <w:noProof/>
        </w:rPr>
        <w:t>úmysle uplatňovať svoje práva vyplývajúce</w:t>
      </w:r>
      <w:r w:rsidR="003371C2">
        <w:rPr>
          <w:noProof/>
        </w:rPr>
        <w:t xml:space="preserve"> z </w:t>
      </w:r>
      <w:r w:rsidRPr="003371C2">
        <w:rPr>
          <w:noProof/>
        </w:rPr>
        <w:t>práva Únie</w:t>
      </w:r>
      <w:r w:rsidR="003371C2">
        <w:rPr>
          <w:noProof/>
        </w:rPr>
        <w:t xml:space="preserve"> v </w:t>
      </w:r>
      <w:r w:rsidRPr="003371C2">
        <w:rPr>
          <w:noProof/>
        </w:rPr>
        <w:t>oblasti vnútorného trhu</w:t>
      </w:r>
      <w:r w:rsidR="003371C2">
        <w:rPr>
          <w:noProof/>
        </w:rPr>
        <w:t xml:space="preserve"> v </w:t>
      </w:r>
      <w:r w:rsidRPr="003371C2">
        <w:rPr>
          <w:noProof/>
        </w:rPr>
        <w:t>zmysle článku 26 ods. 2 ZFEÚ, uľahčí sa ním výkon práv občanov Únie na slobodný pohyb</w:t>
      </w:r>
      <w:r w:rsidR="003371C2">
        <w:rPr>
          <w:noProof/>
        </w:rPr>
        <w:t xml:space="preserve"> a </w:t>
      </w:r>
      <w:r w:rsidRPr="003371C2">
        <w:rPr>
          <w:noProof/>
        </w:rPr>
        <w:t>pobyt na území členských štátov. Jeho základom by preto mal byť článok 21 ods. 2 ZFEÚ</w:t>
      </w:r>
      <w:r w:rsidR="003371C2">
        <w:rPr>
          <w:noProof/>
        </w:rPr>
        <w:t>.</w:t>
      </w:r>
    </w:p>
    <w:p w14:paraId="79EC25E0" w14:textId="77777777" w:rsidR="003371C2" w:rsidRDefault="00037B74" w:rsidP="00037B74">
      <w:pPr>
        <w:pStyle w:val="ManualHeading2"/>
        <w:rPr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Subsidiarita (v prípade inej ako výlučnej právomoci)</w:t>
      </w:r>
    </w:p>
    <w:p w14:paraId="53059EB5" w14:textId="6D9EA350" w:rsidR="004D6F66" w:rsidRPr="003371C2" w:rsidRDefault="004D6F66" w:rsidP="00E40FBC">
      <w:pPr>
        <w:rPr>
          <w:noProof/>
        </w:rPr>
      </w:pPr>
      <w:r w:rsidRPr="003371C2">
        <w:rPr>
          <w:noProof/>
        </w:rPr>
        <w:t>Pozri smernicu COM(2023) 516.</w:t>
      </w:r>
    </w:p>
    <w:p w14:paraId="420BC618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Proporcionalita</w:t>
      </w:r>
    </w:p>
    <w:p w14:paraId="7485A8E1" w14:textId="778E69B7" w:rsidR="00854D99" w:rsidRPr="003371C2" w:rsidRDefault="00854D99" w:rsidP="00E40FBC">
      <w:pPr>
        <w:rPr>
          <w:noProof/>
        </w:rPr>
      </w:pPr>
      <w:r w:rsidRPr="003371C2">
        <w:rPr>
          <w:noProof/>
        </w:rPr>
        <w:t>Pozri smernicu COM(2023) 516.</w:t>
      </w:r>
    </w:p>
    <w:p w14:paraId="4662339F" w14:textId="77777777" w:rsidR="00037B74" w:rsidRPr="003371C2" w:rsidRDefault="00037B74" w:rsidP="001A5DF1">
      <w:pPr>
        <w:pStyle w:val="ManualHeading2"/>
        <w:pageBreakBefore/>
        <w:ind w:left="851" w:hanging="851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Výber nástroja</w:t>
      </w:r>
    </w:p>
    <w:p w14:paraId="52E9C492" w14:textId="5FC9B150" w:rsidR="00510E40" w:rsidRPr="003371C2" w:rsidRDefault="00E40FBC" w:rsidP="002A40DB">
      <w:pPr>
        <w:rPr>
          <w:noProof/>
        </w:rPr>
      </w:pPr>
      <w:r w:rsidRPr="003371C2">
        <w:rPr>
          <w:noProof/>
        </w:rPr>
        <w:t>V článku 114 ZFEÚ sa stanovuje, že Európsky parlament</w:t>
      </w:r>
      <w:r w:rsidR="003371C2">
        <w:rPr>
          <w:noProof/>
        </w:rPr>
        <w:t xml:space="preserve"> a </w:t>
      </w:r>
      <w:r w:rsidRPr="003371C2">
        <w:rPr>
          <w:noProof/>
        </w:rPr>
        <w:t>Rada prijímajú opatrenia na aproximáciu ustanovení zákonov, iných právnych predpisov</w:t>
      </w:r>
      <w:r w:rsidR="003371C2">
        <w:rPr>
          <w:noProof/>
        </w:rPr>
        <w:t xml:space="preserve"> a </w:t>
      </w:r>
      <w:r w:rsidRPr="003371C2">
        <w:rPr>
          <w:noProof/>
        </w:rPr>
        <w:t>správnych opatrení členských štátov, ktoré smerujú</w:t>
      </w:r>
      <w:r w:rsidR="003371C2">
        <w:rPr>
          <w:noProof/>
        </w:rPr>
        <w:t xml:space="preserve"> k </w:t>
      </w:r>
      <w:r w:rsidRPr="003371C2">
        <w:rPr>
          <w:noProof/>
        </w:rPr>
        <w:t>vytváraniu</w:t>
      </w:r>
      <w:r w:rsidR="003371C2">
        <w:rPr>
          <w:noProof/>
        </w:rPr>
        <w:t xml:space="preserve"> a </w:t>
      </w:r>
      <w:r w:rsidRPr="003371C2">
        <w:rPr>
          <w:noProof/>
        </w:rPr>
        <w:t>fungovaniu vnútorného trhu.</w:t>
      </w:r>
    </w:p>
    <w:p w14:paraId="7A8C77DA" w14:textId="77777777" w:rsidR="00E40FBC" w:rsidRPr="003371C2" w:rsidRDefault="00E40FBC" w:rsidP="002A40DB">
      <w:pPr>
        <w:rPr>
          <w:noProof/>
        </w:rPr>
      </w:pPr>
      <w:r w:rsidRPr="003371C2">
        <w:rPr>
          <w:noProof/>
        </w:rPr>
        <w:t>Vzhľadom na to, že týmto návrhom by sa zmenili dve nariadenia, vhodným právnym nástrojom je nariadenie.</w:t>
      </w:r>
    </w:p>
    <w:p w14:paraId="1D17C019" w14:textId="77777777" w:rsidR="00037B74" w:rsidRPr="003371C2" w:rsidRDefault="00037B74" w:rsidP="00037B74">
      <w:pPr>
        <w:pStyle w:val="ManualHeading1"/>
        <w:rPr>
          <w:noProof/>
        </w:rPr>
      </w:pPr>
      <w:r w:rsidRPr="003371C2">
        <w:rPr>
          <w:noProof/>
        </w:rPr>
        <w:t>3.</w:t>
      </w:r>
      <w:r w:rsidRPr="003371C2">
        <w:rPr>
          <w:noProof/>
        </w:rPr>
        <w:tab/>
        <w:t xml:space="preserve">VÝSLEDKY HODNOTENÍ </w:t>
      </w:r>
      <w:r w:rsidRPr="003371C2">
        <w:rPr>
          <w:i/>
          <w:noProof/>
        </w:rPr>
        <w:t>EX POST</w:t>
      </w:r>
      <w:r w:rsidRPr="003371C2">
        <w:rPr>
          <w:noProof/>
        </w:rPr>
        <w:t>, KONZULTÁCIÍ SO ZAINTERESOVANÝMI STRANAMI A POSÚDENÍ VPLYVU</w:t>
      </w:r>
    </w:p>
    <w:p w14:paraId="33313242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 xml:space="preserve">Hodnotenia </w:t>
      </w:r>
      <w:r w:rsidRPr="003371C2">
        <w:rPr>
          <w:i/>
          <w:noProof/>
          <w:u w:color="000000"/>
          <w:bdr w:val="nil"/>
        </w:rPr>
        <w:t>ex post</w:t>
      </w:r>
      <w:r w:rsidRPr="003371C2">
        <w:rPr>
          <w:noProof/>
          <w:u w:color="000000"/>
          <w:bdr w:val="nil"/>
        </w:rPr>
        <w:t>/kontroly vhodnosti existujúcich právnych predpisov</w:t>
      </w:r>
    </w:p>
    <w:p w14:paraId="7102EFE7" w14:textId="37224DC1" w:rsidR="00E73C30" w:rsidRPr="003371C2" w:rsidRDefault="00E73C30" w:rsidP="00FE4C3F">
      <w:pPr>
        <w:rPr>
          <w:noProof/>
        </w:rPr>
      </w:pPr>
      <w:r w:rsidRPr="003371C2">
        <w:rPr>
          <w:noProof/>
        </w:rPr>
        <w:t>Pozri smernicu COM(2023) 516.</w:t>
      </w:r>
    </w:p>
    <w:p w14:paraId="184EAF96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Konzultácie so zainteresovanými stranami</w:t>
      </w:r>
    </w:p>
    <w:p w14:paraId="5B50240F" w14:textId="5D3E7054" w:rsidR="00FE4C3F" w:rsidRPr="003371C2" w:rsidRDefault="00B1144F" w:rsidP="00FE4C3F">
      <w:pPr>
        <w:rPr>
          <w:noProof/>
        </w:rPr>
      </w:pPr>
      <w:r w:rsidRPr="003371C2">
        <w:rPr>
          <w:noProof/>
        </w:rPr>
        <w:t>Pozri smernicu COM(2023) 516.</w:t>
      </w:r>
    </w:p>
    <w:p w14:paraId="0FE5A5D0" w14:textId="4F02269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Získavanie</w:t>
      </w:r>
      <w:r w:rsidR="003371C2">
        <w:rPr>
          <w:noProof/>
          <w:u w:color="000000"/>
          <w:bdr w:val="nil"/>
        </w:rPr>
        <w:t xml:space="preserve"> a </w:t>
      </w:r>
      <w:r w:rsidRPr="003371C2">
        <w:rPr>
          <w:noProof/>
          <w:u w:color="000000"/>
          <w:bdr w:val="nil"/>
        </w:rPr>
        <w:t>využívanie expertízy</w:t>
      </w:r>
    </w:p>
    <w:p w14:paraId="526B1891" w14:textId="1FF62040" w:rsidR="00FE4C3F" w:rsidRPr="003371C2" w:rsidRDefault="00FE4C3F" w:rsidP="00FE4C3F">
      <w:pPr>
        <w:rPr>
          <w:noProof/>
        </w:rPr>
      </w:pPr>
      <w:r w:rsidRPr="003371C2">
        <w:rPr>
          <w:noProof/>
        </w:rPr>
        <w:t>Pozri smernicu COM(2023) 516.</w:t>
      </w:r>
    </w:p>
    <w:p w14:paraId="50D97793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Posúdenie vplyvu</w:t>
      </w:r>
    </w:p>
    <w:p w14:paraId="7CD50D2D" w14:textId="535226A0" w:rsidR="00FE4C3F" w:rsidRPr="003371C2" w:rsidRDefault="00FE4C3F" w:rsidP="00FE4C3F">
      <w:pPr>
        <w:rPr>
          <w:noProof/>
        </w:rPr>
      </w:pPr>
      <w:r w:rsidRPr="003371C2">
        <w:rPr>
          <w:noProof/>
        </w:rPr>
        <w:t>Pozri smernicu COM(2023) 516.</w:t>
      </w:r>
    </w:p>
    <w:p w14:paraId="5DF7A40F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Základné práva</w:t>
      </w:r>
    </w:p>
    <w:p w14:paraId="487C3C42" w14:textId="4AC89467" w:rsidR="00FE4C3F" w:rsidRPr="003371C2" w:rsidRDefault="00FE4C3F" w:rsidP="00FE4C3F">
      <w:pPr>
        <w:rPr>
          <w:noProof/>
        </w:rPr>
      </w:pPr>
      <w:r w:rsidRPr="003371C2">
        <w:rPr>
          <w:noProof/>
        </w:rPr>
        <w:t>Pozri smernicu COM(2023) 516.</w:t>
      </w:r>
    </w:p>
    <w:p w14:paraId="58FC0D13" w14:textId="77777777" w:rsidR="00037B74" w:rsidRPr="003371C2" w:rsidRDefault="00037B74" w:rsidP="00037B74">
      <w:pPr>
        <w:pStyle w:val="ManualHeading1"/>
        <w:rPr>
          <w:noProof/>
        </w:rPr>
      </w:pPr>
      <w:r w:rsidRPr="003371C2">
        <w:rPr>
          <w:noProof/>
        </w:rPr>
        <w:t>4.</w:t>
      </w:r>
      <w:r w:rsidRPr="003371C2">
        <w:rPr>
          <w:noProof/>
        </w:rPr>
        <w:tab/>
        <w:t>VPLYV NA ROZPOČET</w:t>
      </w:r>
    </w:p>
    <w:p w14:paraId="33722D5F" w14:textId="0347C8C0" w:rsidR="009B638A" w:rsidRPr="003371C2" w:rsidRDefault="009B638A" w:rsidP="009B638A">
      <w:pPr>
        <w:rPr>
          <w:noProof/>
        </w:rPr>
      </w:pPr>
      <w:r w:rsidRPr="003371C2">
        <w:rPr>
          <w:noProof/>
        </w:rPr>
        <w:t>Pozri smernicu COM(2023) 516.</w:t>
      </w:r>
    </w:p>
    <w:p w14:paraId="2595FC7B" w14:textId="77777777" w:rsidR="00037B74" w:rsidRPr="003371C2" w:rsidRDefault="00037B74" w:rsidP="00037B74">
      <w:pPr>
        <w:pStyle w:val="ManualHeading1"/>
        <w:rPr>
          <w:noProof/>
        </w:rPr>
      </w:pPr>
      <w:r w:rsidRPr="003371C2">
        <w:rPr>
          <w:noProof/>
        </w:rPr>
        <w:t>5.</w:t>
      </w:r>
      <w:r w:rsidRPr="003371C2">
        <w:rPr>
          <w:noProof/>
        </w:rPr>
        <w:tab/>
        <w:t>ĎALŠIE PRVKY</w:t>
      </w:r>
    </w:p>
    <w:p w14:paraId="7687A49A" w14:textId="15415125" w:rsidR="009B638A" w:rsidRPr="003371C2" w:rsidRDefault="009B638A" w:rsidP="009B638A">
      <w:pPr>
        <w:rPr>
          <w:noProof/>
        </w:rPr>
      </w:pPr>
      <w:r w:rsidRPr="003371C2">
        <w:rPr>
          <w:noProof/>
        </w:rPr>
        <w:t>Pozri smernicu COM(2023) 516.</w:t>
      </w:r>
    </w:p>
    <w:p w14:paraId="354E3F90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Vysvetľujúce dokumenty (v prípade smerníc)</w:t>
      </w:r>
    </w:p>
    <w:p w14:paraId="3CB60558" w14:textId="73CFCE13" w:rsidR="001359A9" w:rsidRPr="003371C2" w:rsidRDefault="001359A9" w:rsidP="001359A9">
      <w:pPr>
        <w:rPr>
          <w:noProof/>
        </w:rPr>
      </w:pPr>
      <w:r w:rsidRPr="003371C2">
        <w:rPr>
          <w:noProof/>
        </w:rPr>
        <w:t>Pozri smernicu COM(2023) 516.</w:t>
      </w:r>
    </w:p>
    <w:p w14:paraId="55089B1F" w14:textId="77777777" w:rsidR="00037B74" w:rsidRPr="003371C2" w:rsidRDefault="00037B74" w:rsidP="00037B74">
      <w:pPr>
        <w:pStyle w:val="ManualHeading2"/>
        <w:rPr>
          <w:rFonts w:eastAsia="Arial Unicode MS"/>
          <w:noProof/>
          <w:u w:color="000000"/>
          <w:bdr w:val="nil"/>
        </w:rPr>
      </w:pPr>
      <w:r w:rsidRPr="003371C2">
        <w:rPr>
          <w:noProof/>
          <w:u w:color="000000"/>
          <w:bdr w:val="nil"/>
        </w:rPr>
        <w:t>•</w:t>
      </w:r>
      <w:r w:rsidRPr="003371C2">
        <w:rPr>
          <w:noProof/>
        </w:rPr>
        <w:tab/>
      </w:r>
      <w:r w:rsidRPr="003371C2">
        <w:rPr>
          <w:noProof/>
          <w:u w:color="000000"/>
          <w:bdr w:val="nil"/>
        </w:rPr>
        <w:t>Podrobné vysvetlenie konkrétnych ustanovení návrhu</w:t>
      </w:r>
    </w:p>
    <w:p w14:paraId="7FB4859A" w14:textId="57DB4028" w:rsidR="006709D9" w:rsidRPr="003371C2" w:rsidRDefault="006709D9" w:rsidP="006709D9">
      <w:pPr>
        <w:rPr>
          <w:noProof/>
        </w:rPr>
      </w:pPr>
      <w:r w:rsidRPr="003371C2">
        <w:rPr>
          <w:noProof/>
        </w:rPr>
        <w:t>Toto navrhované nariadenie má technickú povahu</w:t>
      </w:r>
      <w:r w:rsidR="003371C2">
        <w:rPr>
          <w:noProof/>
        </w:rPr>
        <w:t xml:space="preserve"> a </w:t>
      </w:r>
      <w:r w:rsidRPr="003371C2">
        <w:rPr>
          <w:noProof/>
        </w:rPr>
        <w:t>je sprievodným dokumentom</w:t>
      </w:r>
      <w:r w:rsidR="003371C2">
        <w:rPr>
          <w:noProof/>
        </w:rPr>
        <w:t xml:space="preserve"> k </w:t>
      </w:r>
      <w:r w:rsidRPr="003371C2">
        <w:rPr>
          <w:noProof/>
        </w:rPr>
        <w:t xml:space="preserve">smernici COM(2023) 516. Mení sa ním </w:t>
      </w:r>
      <w:bookmarkStart w:id="2" w:name="_Hlk140501787"/>
      <w:r w:rsidRPr="003371C2">
        <w:rPr>
          <w:noProof/>
        </w:rPr>
        <w:t xml:space="preserve">nariadenie (EÚ) </w:t>
      </w:r>
      <w:r w:rsidR="003371C2">
        <w:rPr>
          <w:noProof/>
        </w:rPr>
        <w:t>č. </w:t>
      </w:r>
      <w:r w:rsidRPr="003371C2">
        <w:rPr>
          <w:noProof/>
        </w:rPr>
        <w:t>1024/2012</w:t>
      </w:r>
      <w:bookmarkEnd w:id="2"/>
      <w:r w:rsidRPr="003371C2">
        <w:rPr>
          <w:noProof/>
        </w:rPr>
        <w:t>, ktorým sa zriadil informačný systém</w:t>
      </w:r>
      <w:r w:rsidR="003371C2">
        <w:rPr>
          <w:noProof/>
        </w:rPr>
        <w:t xml:space="preserve"> o </w:t>
      </w:r>
      <w:r w:rsidRPr="003371C2">
        <w:rPr>
          <w:noProof/>
        </w:rPr>
        <w:t>vnútornom trhu (IMI),</w:t>
      </w:r>
      <w:r w:rsidR="003371C2">
        <w:rPr>
          <w:noProof/>
        </w:rPr>
        <w:t xml:space="preserve"> s </w:t>
      </w:r>
      <w:r w:rsidRPr="003371C2">
        <w:rPr>
          <w:noProof/>
        </w:rPr>
        <w:t>cieľom zabezpečiť, aby príslušné orgány členských štátov spolupracovali</w:t>
      </w:r>
      <w:r w:rsidR="003371C2">
        <w:rPr>
          <w:noProof/>
        </w:rPr>
        <w:t xml:space="preserve"> a </w:t>
      </w:r>
      <w:r w:rsidRPr="003371C2">
        <w:rPr>
          <w:noProof/>
        </w:rPr>
        <w:t>vymieňali si informácie prostredníctvom systému IMI pri uplatňovaní vnútroštátnych pravidiel transponovaných</w:t>
      </w:r>
      <w:r w:rsidR="003371C2">
        <w:rPr>
          <w:noProof/>
        </w:rPr>
        <w:t xml:space="preserve"> v </w:t>
      </w:r>
      <w:r w:rsidRPr="003371C2">
        <w:rPr>
          <w:noProof/>
        </w:rPr>
        <w:t>súlade</w:t>
      </w:r>
      <w:r w:rsidR="003371C2">
        <w:rPr>
          <w:noProof/>
        </w:rPr>
        <w:t xml:space="preserve"> s </w:t>
      </w:r>
      <w:r w:rsidRPr="003371C2">
        <w:rPr>
          <w:noProof/>
        </w:rPr>
        <w:t>ustanoveniami smernice COM(2023) 516 (článok 1). Mení sa ním aj nariadenie (EÚ) 2018/1724, ktorým sa zriadila jednotná digitálna brána,</w:t>
      </w:r>
      <w:r w:rsidR="003371C2">
        <w:rPr>
          <w:noProof/>
        </w:rPr>
        <w:t xml:space="preserve"> s </w:t>
      </w:r>
      <w:r w:rsidRPr="003371C2">
        <w:rPr>
          <w:noProof/>
        </w:rPr>
        <w:t>cieľom zabezpečiť, aby členské štáty poskytovali online prístup</w:t>
      </w:r>
      <w:r w:rsidR="003371C2">
        <w:rPr>
          <w:noProof/>
        </w:rPr>
        <w:t xml:space="preserve"> k </w:t>
      </w:r>
      <w:r w:rsidRPr="003371C2">
        <w:rPr>
          <w:noProof/>
        </w:rPr>
        <w:t>informáciám</w:t>
      </w:r>
      <w:r w:rsidR="003371C2">
        <w:rPr>
          <w:noProof/>
        </w:rPr>
        <w:t xml:space="preserve"> o </w:t>
      </w:r>
      <w:r w:rsidRPr="003371C2">
        <w:rPr>
          <w:noProof/>
        </w:rPr>
        <w:t>európskych cezhraničných združeniach</w:t>
      </w:r>
      <w:r w:rsidR="003371C2">
        <w:rPr>
          <w:noProof/>
        </w:rPr>
        <w:t xml:space="preserve"> a </w:t>
      </w:r>
      <w:r w:rsidRPr="003371C2">
        <w:rPr>
          <w:noProof/>
        </w:rPr>
        <w:t>neziskových združeniach,</w:t>
      </w:r>
      <w:r w:rsidR="003371C2">
        <w:rPr>
          <w:noProof/>
        </w:rPr>
        <w:t xml:space="preserve"> a </w:t>
      </w:r>
      <w:r w:rsidRPr="003371C2">
        <w:rPr>
          <w:noProof/>
        </w:rPr>
        <w:t>uľahčiť výmenu dôkazov medzi príslušnými orgánmi postupmi stanovenými</w:t>
      </w:r>
      <w:r w:rsidR="003371C2">
        <w:rPr>
          <w:noProof/>
        </w:rPr>
        <w:t xml:space="preserve"> v </w:t>
      </w:r>
      <w:r w:rsidRPr="003371C2">
        <w:rPr>
          <w:noProof/>
        </w:rPr>
        <w:t>smernici navrhnutej</w:t>
      </w:r>
      <w:r w:rsidR="003371C2">
        <w:rPr>
          <w:noProof/>
        </w:rPr>
        <w:t xml:space="preserve"> v </w:t>
      </w:r>
      <w:r w:rsidRPr="003371C2">
        <w:rPr>
          <w:noProof/>
        </w:rPr>
        <w:t>rámci COM(2023) 516 (článok 2). Cieľom tohto pozmeňujúceho návrhu je zabezpečiť fungovanie vnútorného trhu, pokiaľ ide</w:t>
      </w:r>
      <w:r w:rsidR="003371C2">
        <w:rPr>
          <w:noProof/>
        </w:rPr>
        <w:t xml:space="preserve"> o </w:t>
      </w:r>
      <w:r w:rsidRPr="003371C2">
        <w:rPr>
          <w:noProof/>
        </w:rPr>
        <w:t>poskytovanie informácií</w:t>
      </w:r>
      <w:r w:rsidR="003371C2">
        <w:rPr>
          <w:noProof/>
        </w:rPr>
        <w:t xml:space="preserve"> a </w:t>
      </w:r>
      <w:r w:rsidRPr="003371C2">
        <w:rPr>
          <w:noProof/>
        </w:rPr>
        <w:t>postupy.</w:t>
      </w:r>
    </w:p>
    <w:p w14:paraId="4885AFEB" w14:textId="77777777" w:rsidR="00210BD2" w:rsidRPr="003371C2" w:rsidRDefault="00210BD2">
      <w:pPr>
        <w:spacing w:before="0" w:after="200" w:line="276" w:lineRule="auto"/>
        <w:jc w:val="left"/>
        <w:rPr>
          <w:noProof/>
        </w:rPr>
      </w:pPr>
      <w:r w:rsidRPr="003371C2">
        <w:rPr>
          <w:noProof/>
        </w:rPr>
        <w:br w:type="page"/>
      </w:r>
    </w:p>
    <w:p w14:paraId="6FAA6F2B" w14:textId="3E24B76A" w:rsidR="00F520B8" w:rsidRDefault="00F520B8" w:rsidP="00F520B8">
      <w:pPr>
        <w:pStyle w:val="Rfrenceinterinstitutionnelle"/>
        <w:rPr>
          <w:noProof/>
        </w:rPr>
      </w:pPr>
      <w:r w:rsidRPr="00F520B8">
        <w:t>2023/0314 (COD)</w:t>
      </w:r>
    </w:p>
    <w:p w14:paraId="381F1CE2" w14:textId="2259F220" w:rsidR="00A2210E" w:rsidRPr="003371C2" w:rsidRDefault="00155317" w:rsidP="00155317">
      <w:pPr>
        <w:pStyle w:val="Statut"/>
        <w:rPr>
          <w:noProof/>
        </w:rPr>
      </w:pPr>
      <w:r w:rsidRPr="00155317">
        <w:rPr>
          <w:noProof/>
        </w:rPr>
        <w:t>Návrh</w:t>
      </w:r>
    </w:p>
    <w:p w14:paraId="1CA3CBAB" w14:textId="5533B7CA" w:rsidR="00A2210E" w:rsidRPr="003371C2" w:rsidRDefault="00155317" w:rsidP="00155317">
      <w:pPr>
        <w:pStyle w:val="Typedudocument"/>
        <w:rPr>
          <w:noProof/>
        </w:rPr>
      </w:pPr>
      <w:r w:rsidRPr="00155317">
        <w:rPr>
          <w:noProof/>
        </w:rPr>
        <w:t>NARIADENIE EURÓPSKEHO PARLAMENTU A RADY,</w:t>
      </w:r>
    </w:p>
    <w:p w14:paraId="43774F6E" w14:textId="536529D7" w:rsidR="00AC41EE" w:rsidRPr="003371C2" w:rsidRDefault="00155317" w:rsidP="00155317">
      <w:pPr>
        <w:pStyle w:val="Titreobjet"/>
        <w:rPr>
          <w:noProof/>
        </w:rPr>
      </w:pPr>
      <w:bookmarkStart w:id="3" w:name="_Hlk138438520"/>
      <w:r w:rsidRPr="00155317">
        <w:rPr>
          <w:noProof/>
        </w:rPr>
        <w:t xml:space="preserve">ktorým sa menia nariadenia (EÚ) č. 1024/2012 a (EÚ) 2018/1724, pokiaľ ide o používanie informačného systému o vnútornom trhu a jednotnej digitálnej brány na účely určitých požiadaviek stanovených v smernici Európskeho parlamentu a Rady (EÚ) …/… o európskych cezhraničných združeniach [COM(2023) 516] </w:t>
      </w:r>
      <w:r w:rsidRPr="00155317">
        <w:rPr>
          <w:noProof/>
        </w:rPr>
        <w:br/>
        <w:t xml:space="preserve"> </w:t>
      </w:r>
      <w:r w:rsidRPr="00155317">
        <w:rPr>
          <w:noProof/>
        </w:rPr>
        <w:br/>
        <w:t xml:space="preserve"> </w:t>
      </w:r>
      <w:r w:rsidRPr="00155317">
        <w:rPr>
          <w:noProof/>
        </w:rPr>
        <w:br/>
      </w:r>
    </w:p>
    <w:bookmarkEnd w:id="3"/>
    <w:p w14:paraId="1975C17D" w14:textId="6D5DC159" w:rsidR="00CF696D" w:rsidRPr="003371C2" w:rsidRDefault="00155317" w:rsidP="00155317">
      <w:pPr>
        <w:pStyle w:val="IntrtEEE"/>
        <w:rPr>
          <w:noProof/>
        </w:rPr>
      </w:pPr>
      <w:r w:rsidRPr="00155317">
        <w:rPr>
          <w:noProof/>
        </w:rPr>
        <w:t>(Text s významom pre EHP)</w:t>
      </w:r>
    </w:p>
    <w:p w14:paraId="067C6D87" w14:textId="2B0FD547" w:rsidR="00A2210E" w:rsidRPr="003371C2" w:rsidRDefault="00A2210E" w:rsidP="00FA3D6F">
      <w:pPr>
        <w:pStyle w:val="Institutionquiagit"/>
        <w:rPr>
          <w:noProof/>
        </w:rPr>
      </w:pPr>
      <w:r w:rsidRPr="003371C2">
        <w:rPr>
          <w:noProof/>
        </w:rPr>
        <w:t>EURÓPSKY PARLAMENT A RADA EURÓPSKEJ ÚNIE,</w:t>
      </w:r>
    </w:p>
    <w:p w14:paraId="6E82759C" w14:textId="7DD00528" w:rsidR="00A2210E" w:rsidRPr="003371C2" w:rsidRDefault="00A2210E" w:rsidP="00FA3D6F">
      <w:pPr>
        <w:rPr>
          <w:noProof/>
        </w:rPr>
      </w:pPr>
      <w:r w:rsidRPr="003371C2">
        <w:rPr>
          <w:noProof/>
        </w:rPr>
        <w:t>so zreteľom na Zmluvu</w:t>
      </w:r>
      <w:r w:rsidR="003371C2">
        <w:rPr>
          <w:noProof/>
        </w:rPr>
        <w:t xml:space="preserve"> o </w:t>
      </w:r>
      <w:r w:rsidRPr="003371C2">
        <w:rPr>
          <w:noProof/>
        </w:rPr>
        <w:t>fungovaní Európskej únie,</w:t>
      </w:r>
      <w:r w:rsidR="003371C2">
        <w:rPr>
          <w:noProof/>
        </w:rPr>
        <w:t xml:space="preserve"> a </w:t>
      </w:r>
      <w:r w:rsidRPr="003371C2">
        <w:rPr>
          <w:noProof/>
        </w:rPr>
        <w:t>najmä na jej článok 21 ods. 2</w:t>
      </w:r>
      <w:r w:rsidR="003371C2">
        <w:rPr>
          <w:noProof/>
        </w:rPr>
        <w:t xml:space="preserve"> a </w:t>
      </w:r>
      <w:r w:rsidRPr="003371C2">
        <w:rPr>
          <w:noProof/>
        </w:rPr>
        <w:t>článok 114,</w:t>
      </w:r>
    </w:p>
    <w:p w14:paraId="1DE6C9E6" w14:textId="77777777" w:rsidR="00A2210E" w:rsidRPr="003371C2" w:rsidRDefault="00A2210E" w:rsidP="00FA3D6F">
      <w:pPr>
        <w:rPr>
          <w:noProof/>
        </w:rPr>
      </w:pPr>
      <w:r w:rsidRPr="003371C2">
        <w:rPr>
          <w:noProof/>
        </w:rPr>
        <w:t>so zreteľom na návrh Európskej komisie,</w:t>
      </w:r>
    </w:p>
    <w:p w14:paraId="39DC4982" w14:textId="77777777" w:rsidR="00A2210E" w:rsidRPr="003371C2" w:rsidRDefault="00A2210E" w:rsidP="00FA3D6F">
      <w:pPr>
        <w:rPr>
          <w:noProof/>
        </w:rPr>
      </w:pPr>
      <w:r w:rsidRPr="003371C2">
        <w:rPr>
          <w:noProof/>
        </w:rPr>
        <w:t>po postúpení návrhu legislatívneho aktu národným parlamentom,</w:t>
      </w:r>
    </w:p>
    <w:p w14:paraId="0654A67E" w14:textId="5B8B7CAA" w:rsidR="00C033BF" w:rsidRPr="003371C2" w:rsidRDefault="00C033BF" w:rsidP="00FA3D6F">
      <w:pPr>
        <w:rPr>
          <w:noProof/>
        </w:rPr>
      </w:pPr>
      <w:r w:rsidRPr="003371C2">
        <w:rPr>
          <w:noProof/>
        </w:rPr>
        <w:t>so zreteľom na stanovisko Európskeho hospodárskeho</w:t>
      </w:r>
      <w:r w:rsidR="003371C2">
        <w:rPr>
          <w:noProof/>
        </w:rPr>
        <w:t xml:space="preserve"> a </w:t>
      </w:r>
      <w:r w:rsidRPr="003371C2">
        <w:rPr>
          <w:noProof/>
        </w:rPr>
        <w:t>sociálneho výboru</w:t>
      </w:r>
      <w:r w:rsidRPr="003371C2">
        <w:rPr>
          <w:rStyle w:val="FootnoteReference"/>
          <w:noProof/>
        </w:rPr>
        <w:footnoteReference w:id="4"/>
      </w:r>
      <w:r w:rsidRPr="003371C2">
        <w:rPr>
          <w:noProof/>
        </w:rPr>
        <w:t>,</w:t>
      </w:r>
    </w:p>
    <w:p w14:paraId="54F2F0B2" w14:textId="62AD4EF5" w:rsidR="00A2210E" w:rsidRPr="003371C2" w:rsidRDefault="00A2210E" w:rsidP="00FA3D6F">
      <w:pPr>
        <w:rPr>
          <w:noProof/>
        </w:rPr>
      </w:pPr>
      <w:r w:rsidRPr="003371C2">
        <w:rPr>
          <w:noProof/>
        </w:rPr>
        <w:t>konajúc</w:t>
      </w:r>
      <w:r w:rsidR="003371C2">
        <w:rPr>
          <w:noProof/>
        </w:rPr>
        <w:t xml:space="preserve"> v </w:t>
      </w:r>
      <w:r w:rsidRPr="003371C2">
        <w:rPr>
          <w:noProof/>
        </w:rPr>
        <w:t>súlade</w:t>
      </w:r>
      <w:r w:rsidR="003371C2">
        <w:rPr>
          <w:noProof/>
        </w:rPr>
        <w:t xml:space="preserve"> s </w:t>
      </w:r>
      <w:r w:rsidRPr="003371C2">
        <w:rPr>
          <w:noProof/>
        </w:rPr>
        <w:t>riadnym legislatívnym postupom,</w:t>
      </w:r>
    </w:p>
    <w:p w14:paraId="4CA1C4CF" w14:textId="4E59F156" w:rsidR="00BA2FA4" w:rsidRPr="003371C2" w:rsidRDefault="00A2210E" w:rsidP="008B7FA8">
      <w:pPr>
        <w:rPr>
          <w:noProof/>
        </w:rPr>
      </w:pPr>
      <w:r w:rsidRPr="003371C2">
        <w:rPr>
          <w:noProof/>
        </w:rPr>
        <w:t>keďže:</w:t>
      </w:r>
    </w:p>
    <w:p w14:paraId="7C7B8D97" w14:textId="66EBA8E0" w:rsidR="005252AA" w:rsidRPr="003371C2" w:rsidRDefault="005306F9" w:rsidP="005306F9">
      <w:pPr>
        <w:pStyle w:val="ManualConsidrant"/>
        <w:rPr>
          <w:rFonts w:eastAsia="Times New Roman"/>
          <w:noProof/>
        </w:rPr>
      </w:pPr>
      <w:r w:rsidRPr="005306F9">
        <w:t>(1)</w:t>
      </w:r>
      <w:r w:rsidRPr="005306F9">
        <w:tab/>
      </w:r>
      <w:r w:rsidR="005252AA" w:rsidRPr="003371C2">
        <w:rPr>
          <w:noProof/>
        </w:rPr>
        <w:t>V smernici Európskeho parlamentu</w:t>
      </w:r>
      <w:r w:rsidR="003371C2">
        <w:rPr>
          <w:noProof/>
        </w:rPr>
        <w:t xml:space="preserve"> a </w:t>
      </w:r>
      <w:r w:rsidR="005252AA" w:rsidRPr="003371C2">
        <w:rPr>
          <w:noProof/>
        </w:rPr>
        <w:t>Rady (EÚ)</w:t>
      </w:r>
      <w:r w:rsidR="003371C2">
        <w:rPr>
          <w:noProof/>
        </w:rPr>
        <w:t xml:space="preserve"> o </w:t>
      </w:r>
      <w:r w:rsidR="005252AA" w:rsidRPr="003371C2">
        <w:rPr>
          <w:noProof/>
        </w:rPr>
        <w:t>európskych cezhraničných združeniach [COM(2023) 516]</w:t>
      </w:r>
      <w:r w:rsidR="005252AA" w:rsidRPr="003371C2">
        <w:rPr>
          <w:rStyle w:val="FootnoteReference"/>
          <w:noProof/>
        </w:rPr>
        <w:footnoteReference w:id="5"/>
      </w:r>
      <w:r w:rsidR="005252AA" w:rsidRPr="003371C2">
        <w:rPr>
          <w:noProof/>
        </w:rPr>
        <w:t xml:space="preserve"> sa stanovujú opatrenia na koordináciu podmienok zakladania</w:t>
      </w:r>
      <w:r w:rsidR="003371C2">
        <w:rPr>
          <w:noProof/>
        </w:rPr>
        <w:t xml:space="preserve"> a </w:t>
      </w:r>
      <w:r w:rsidR="005252AA" w:rsidRPr="003371C2">
        <w:rPr>
          <w:noProof/>
        </w:rPr>
        <w:t>činnosti európskych cezhraničných združení</w:t>
      </w:r>
      <w:r w:rsidR="003371C2">
        <w:rPr>
          <w:noProof/>
        </w:rPr>
        <w:t xml:space="preserve"> s </w:t>
      </w:r>
      <w:r w:rsidR="005252AA" w:rsidRPr="003371C2">
        <w:rPr>
          <w:noProof/>
        </w:rPr>
        <w:t>cieľom uľahčiť účinné uplatňovanie slobody pohybu neziskových združení, ktoré pôsobia na vnútornom trhu.</w:t>
      </w:r>
    </w:p>
    <w:p w14:paraId="3158C1D5" w14:textId="459B03C0" w:rsidR="00083FD7" w:rsidRPr="003371C2" w:rsidRDefault="005306F9" w:rsidP="005306F9">
      <w:pPr>
        <w:pStyle w:val="ManualConsidrant"/>
        <w:rPr>
          <w:rFonts w:eastAsia="Times New Roman"/>
          <w:noProof/>
        </w:rPr>
      </w:pPr>
      <w:r w:rsidRPr="005306F9">
        <w:t>(2)</w:t>
      </w:r>
      <w:r w:rsidRPr="005306F9">
        <w:tab/>
      </w:r>
      <w:r w:rsidR="00FF1F41" w:rsidRPr="003371C2">
        <w:rPr>
          <w:noProof/>
        </w:rPr>
        <w:t>Podľa článku 30 ods. 2 smernice COM(2023) 516 sa administratívna spolupráca</w:t>
      </w:r>
      <w:r w:rsidR="003371C2">
        <w:rPr>
          <w:noProof/>
        </w:rPr>
        <w:t xml:space="preserve"> a </w:t>
      </w:r>
      <w:r w:rsidR="00FF1F41" w:rsidRPr="003371C2">
        <w:rPr>
          <w:noProof/>
        </w:rPr>
        <w:t>výmena informácií medzi príslušnými orgánmi členských štátov má vykonávať prostredníctvom informačného systému</w:t>
      </w:r>
      <w:r w:rsidR="003371C2">
        <w:rPr>
          <w:noProof/>
        </w:rPr>
        <w:t xml:space="preserve"> o </w:t>
      </w:r>
      <w:r w:rsidR="00FF1F41" w:rsidRPr="003371C2">
        <w:rPr>
          <w:noProof/>
        </w:rPr>
        <w:t>vnútornom trhu (ďalej len „systém IMI“) zriadeného nariadením Európskeho parlamentu</w:t>
      </w:r>
      <w:r w:rsidR="003371C2">
        <w:rPr>
          <w:noProof/>
        </w:rPr>
        <w:t xml:space="preserve"> a </w:t>
      </w:r>
      <w:r w:rsidR="00FF1F41" w:rsidRPr="003371C2">
        <w:rPr>
          <w:noProof/>
        </w:rPr>
        <w:t xml:space="preserve">Rady (EÚ) </w:t>
      </w:r>
      <w:r w:rsidR="003371C2">
        <w:rPr>
          <w:noProof/>
        </w:rPr>
        <w:t>č. </w:t>
      </w:r>
      <w:r w:rsidR="00FF1F41" w:rsidRPr="003371C2">
        <w:rPr>
          <w:noProof/>
        </w:rPr>
        <w:t>1024/2012</w:t>
      </w:r>
      <w:r w:rsidR="00FF1F41" w:rsidRPr="003371C2">
        <w:rPr>
          <w:rStyle w:val="FootnoteReference"/>
          <w:rFonts w:eastAsia="Times New Roman"/>
          <w:noProof/>
        </w:rPr>
        <w:footnoteReference w:id="6"/>
      </w:r>
      <w:r w:rsidR="00FF1F41" w:rsidRPr="003371C2">
        <w:rPr>
          <w:noProof/>
        </w:rPr>
        <w:t>. Preto by sa</w:t>
      </w:r>
      <w:r w:rsidR="003371C2">
        <w:rPr>
          <w:noProof/>
        </w:rPr>
        <w:t xml:space="preserve"> v </w:t>
      </w:r>
      <w:r w:rsidR="00FF1F41" w:rsidRPr="003371C2">
        <w:rPr>
          <w:noProof/>
        </w:rPr>
        <w:t>systéme IMI mali zaviesť potrebné postupy administratívnej spolupráce.</w:t>
      </w:r>
    </w:p>
    <w:p w14:paraId="4C2173B1" w14:textId="2AE59BE9" w:rsidR="00F21940" w:rsidRPr="003371C2" w:rsidRDefault="005306F9" w:rsidP="005306F9">
      <w:pPr>
        <w:pStyle w:val="ManualConsidrant"/>
        <w:rPr>
          <w:rFonts w:eastAsia="Times New Roman"/>
          <w:noProof/>
        </w:rPr>
      </w:pPr>
      <w:r w:rsidRPr="005306F9">
        <w:t>(3)</w:t>
      </w:r>
      <w:r w:rsidRPr="005306F9">
        <w:tab/>
      </w:r>
      <w:r w:rsidR="00C25A48" w:rsidRPr="003371C2">
        <w:rPr>
          <w:noProof/>
        </w:rPr>
        <w:t>V súlade</w:t>
      </w:r>
      <w:r w:rsidR="003371C2">
        <w:rPr>
          <w:noProof/>
        </w:rPr>
        <w:t xml:space="preserve"> s </w:t>
      </w:r>
      <w:r w:rsidR="00C25A48" w:rsidRPr="003371C2">
        <w:rPr>
          <w:noProof/>
        </w:rPr>
        <w:t>článkami 2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3 nariadenia Európskeho parlamentu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Rady (EÚ) 2018/1724</w:t>
      </w:r>
      <w:r w:rsidR="00C25A48" w:rsidRPr="003371C2">
        <w:rPr>
          <w:rStyle w:val="FootnoteReference"/>
          <w:rFonts w:eastAsia="Calibri"/>
          <w:noProof/>
        </w:rPr>
        <w:footnoteReference w:id="7"/>
      </w:r>
      <w:r w:rsidR="00C25A48" w:rsidRPr="003371C2">
        <w:rPr>
          <w:noProof/>
        </w:rPr>
        <w:t xml:space="preserve"> poskytuje jednotná digitálna brána prístup</w:t>
      </w:r>
      <w:r w:rsidR="003371C2">
        <w:rPr>
          <w:noProof/>
        </w:rPr>
        <w:t xml:space="preserve"> k </w:t>
      </w:r>
      <w:r w:rsidR="00C25A48" w:rsidRPr="003371C2">
        <w:rPr>
          <w:noProof/>
        </w:rPr>
        <w:t>informáciám, postupom, ako aj asistenčným službám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službám riešenia problémov občanom Únie, fyzickým osobám</w:t>
      </w:r>
      <w:r w:rsidR="003371C2">
        <w:rPr>
          <w:noProof/>
        </w:rPr>
        <w:t xml:space="preserve"> s </w:t>
      </w:r>
      <w:r w:rsidR="00C25A48" w:rsidRPr="003371C2">
        <w:rPr>
          <w:noProof/>
        </w:rPr>
        <w:t>bydliskom</w:t>
      </w:r>
      <w:r w:rsidR="003371C2">
        <w:rPr>
          <w:noProof/>
        </w:rPr>
        <w:t xml:space="preserve"> v </w:t>
      </w:r>
      <w:r w:rsidR="00C25A48" w:rsidRPr="003371C2">
        <w:rPr>
          <w:noProof/>
        </w:rPr>
        <w:t>členskom štáte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právnickým osobám so sídlom</w:t>
      </w:r>
      <w:r w:rsidR="003371C2">
        <w:rPr>
          <w:noProof/>
        </w:rPr>
        <w:t xml:space="preserve"> v </w:t>
      </w:r>
      <w:r w:rsidR="00C25A48" w:rsidRPr="003371C2">
        <w:rPr>
          <w:noProof/>
        </w:rPr>
        <w:t>členskom štáte. Normatívna časť nariadenia (EÚ) 2018/1724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príloha I</w:t>
      </w:r>
      <w:r w:rsidR="003371C2">
        <w:rPr>
          <w:noProof/>
        </w:rPr>
        <w:t xml:space="preserve"> k </w:t>
      </w:r>
      <w:r w:rsidR="00C25A48" w:rsidRPr="003371C2">
        <w:rPr>
          <w:noProof/>
        </w:rPr>
        <w:t>nemu by sa mali zmeniť tak, aby sa zabezpečilo, že rozsah pôsobnosti sa nebude chápať tak, že sa obmedzuje na občanov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podniky</w:t>
      </w:r>
      <w:r w:rsidR="003371C2">
        <w:rPr>
          <w:noProof/>
        </w:rPr>
        <w:t xml:space="preserve"> a </w:t>
      </w:r>
      <w:r w:rsidR="00C25A48" w:rsidRPr="003371C2">
        <w:rPr>
          <w:noProof/>
        </w:rPr>
        <w:t>týka sa právnických osôb iných ako podniky, ako sú európske cezhraničné združenia.</w:t>
      </w:r>
    </w:p>
    <w:p w14:paraId="6B55F879" w14:textId="524136F1" w:rsidR="00602AF2" w:rsidRPr="003371C2" w:rsidRDefault="005306F9" w:rsidP="005306F9">
      <w:pPr>
        <w:pStyle w:val="ManualConsidrant"/>
        <w:rPr>
          <w:rFonts w:eastAsia="Times New Roman"/>
          <w:noProof/>
        </w:rPr>
      </w:pPr>
      <w:r w:rsidRPr="005306F9">
        <w:t>(4)</w:t>
      </w:r>
      <w:r w:rsidRPr="005306F9">
        <w:tab/>
      </w:r>
      <w:r w:rsidR="00602AF2" w:rsidRPr="003371C2">
        <w:rPr>
          <w:rStyle w:val="ui-provider"/>
          <w:noProof/>
        </w:rPr>
        <w:t>V nariadení Európskeho parlamentu</w:t>
      </w:r>
      <w:r w:rsidR="003371C2">
        <w:rPr>
          <w:rStyle w:val="ui-provider"/>
          <w:noProof/>
        </w:rPr>
        <w:t xml:space="preserve"> a </w:t>
      </w:r>
      <w:r w:rsidR="00602AF2" w:rsidRPr="003371C2">
        <w:rPr>
          <w:rStyle w:val="ui-provider"/>
          <w:noProof/>
        </w:rPr>
        <w:t>Rady (EÚ) 2018/1724</w:t>
      </w:r>
      <w:r w:rsidR="00602AF2" w:rsidRPr="003371C2">
        <w:rPr>
          <w:rStyle w:val="FootnoteReference"/>
          <w:noProof/>
        </w:rPr>
        <w:footnoteReference w:id="8"/>
      </w:r>
      <w:r w:rsidR="00602AF2" w:rsidRPr="003371C2">
        <w:rPr>
          <w:rStyle w:val="ui-provider"/>
          <w:noProof/>
        </w:rPr>
        <w:t>, ktorým sa zriadila jednotná digitálna brána, sú ustanovené všeobecné pravidlá</w:t>
      </w:r>
      <w:r w:rsidR="003371C2">
        <w:rPr>
          <w:rStyle w:val="ui-provider"/>
          <w:noProof/>
        </w:rPr>
        <w:t xml:space="preserve"> o </w:t>
      </w:r>
      <w:r w:rsidR="00602AF2" w:rsidRPr="003371C2">
        <w:rPr>
          <w:rStyle w:val="ui-provider"/>
          <w:noProof/>
        </w:rPr>
        <w:t>online poskytovaní informácií, postupov</w:t>
      </w:r>
      <w:r w:rsidR="003371C2">
        <w:rPr>
          <w:rStyle w:val="ui-provider"/>
          <w:noProof/>
        </w:rPr>
        <w:t xml:space="preserve"> a </w:t>
      </w:r>
      <w:r w:rsidR="00602AF2" w:rsidRPr="003371C2">
        <w:rPr>
          <w:rStyle w:val="ui-provider"/>
          <w:noProof/>
        </w:rPr>
        <w:t xml:space="preserve">asistenčných služieb, ktoré sú relevantné pre fungovanie vnútorného trhu. </w:t>
      </w:r>
      <w:r w:rsidR="00602AF2" w:rsidRPr="003371C2">
        <w:rPr>
          <w:noProof/>
        </w:rPr>
        <w:t>Postupy, na ktoré sa vzťahuje toto nariadenie, by mali byť</w:t>
      </w:r>
      <w:r w:rsidR="003371C2">
        <w:rPr>
          <w:noProof/>
        </w:rPr>
        <w:t xml:space="preserve"> v </w:t>
      </w:r>
      <w:r w:rsidR="00602AF2" w:rsidRPr="003371C2">
        <w:rPr>
          <w:noProof/>
        </w:rPr>
        <w:t>súlade</w:t>
      </w:r>
      <w:r w:rsidR="003371C2">
        <w:rPr>
          <w:noProof/>
        </w:rPr>
        <w:t xml:space="preserve"> s </w:t>
      </w:r>
      <w:r w:rsidR="00602AF2" w:rsidRPr="003371C2">
        <w:rPr>
          <w:noProof/>
        </w:rPr>
        <w:t>požiadavkami nariadenia (EÚ) 2018/1724, aby sa zabezpečilo, že každé európske cezhraničné združenie bude môcť využívať postupy</w:t>
      </w:r>
      <w:r w:rsidR="003371C2">
        <w:rPr>
          <w:noProof/>
        </w:rPr>
        <w:t xml:space="preserve"> a </w:t>
      </w:r>
      <w:r w:rsidR="00602AF2" w:rsidRPr="003371C2">
        <w:rPr>
          <w:noProof/>
        </w:rPr>
        <w:t>cezhraničnú automatizovanú výmenu dôkazov, ktoré sú</w:t>
      </w:r>
      <w:r w:rsidR="003371C2">
        <w:rPr>
          <w:noProof/>
        </w:rPr>
        <w:t xml:space="preserve"> v </w:t>
      </w:r>
      <w:r w:rsidR="00602AF2" w:rsidRPr="003371C2">
        <w:rPr>
          <w:noProof/>
        </w:rPr>
        <w:t>celom rozsahu online,</w:t>
      </w:r>
      <w:r w:rsidR="003371C2">
        <w:rPr>
          <w:noProof/>
        </w:rPr>
        <w:t xml:space="preserve"> a </w:t>
      </w:r>
      <w:r w:rsidR="00602AF2" w:rsidRPr="003371C2">
        <w:rPr>
          <w:noProof/>
        </w:rPr>
        <w:t>to</w:t>
      </w:r>
      <w:r w:rsidR="003371C2">
        <w:rPr>
          <w:noProof/>
        </w:rPr>
        <w:t xml:space="preserve"> v </w:t>
      </w:r>
      <w:r w:rsidR="00602AF2" w:rsidRPr="003371C2">
        <w:rPr>
          <w:noProof/>
        </w:rPr>
        <w:t>súlade so zásadou „jedenkrát</w:t>
      </w:r>
      <w:r w:rsidR="003371C2">
        <w:rPr>
          <w:noProof/>
        </w:rPr>
        <w:t xml:space="preserve"> a </w:t>
      </w:r>
      <w:r w:rsidR="00602AF2" w:rsidRPr="003371C2">
        <w:rPr>
          <w:noProof/>
        </w:rPr>
        <w:t>dosť“. Tieto postupy zahŕňajú žiadosť</w:t>
      </w:r>
      <w:r w:rsidR="003371C2">
        <w:rPr>
          <w:noProof/>
        </w:rPr>
        <w:t xml:space="preserve"> o </w:t>
      </w:r>
      <w:r w:rsidR="00602AF2" w:rsidRPr="003371C2">
        <w:rPr>
          <w:noProof/>
        </w:rPr>
        <w:t>registráciu európskeho cezhraničného združenia</w:t>
      </w:r>
      <w:r w:rsidR="003371C2">
        <w:rPr>
          <w:noProof/>
        </w:rPr>
        <w:t xml:space="preserve"> a </w:t>
      </w:r>
      <w:r w:rsidR="00602AF2" w:rsidRPr="003371C2">
        <w:rPr>
          <w:noProof/>
        </w:rPr>
        <w:t>postup premiestnenia jeho sídla.</w:t>
      </w:r>
    </w:p>
    <w:p w14:paraId="10CF3F35" w14:textId="377302DA" w:rsidR="003371C2" w:rsidRDefault="005306F9" w:rsidP="005306F9">
      <w:pPr>
        <w:pStyle w:val="ManualConsidrant"/>
        <w:rPr>
          <w:noProof/>
        </w:rPr>
      </w:pPr>
      <w:r w:rsidRPr="005306F9">
        <w:t>(5)</w:t>
      </w:r>
      <w:r w:rsidRPr="005306F9">
        <w:tab/>
      </w:r>
      <w:r w:rsidR="00BA2FA4" w:rsidRPr="003371C2">
        <w:rPr>
          <w:noProof/>
        </w:rPr>
        <w:t xml:space="preserve">Nariadenia (EÚ) </w:t>
      </w:r>
      <w:r w:rsidR="003371C2">
        <w:rPr>
          <w:noProof/>
        </w:rPr>
        <w:t>č. </w:t>
      </w:r>
      <w:r w:rsidR="00BA2FA4" w:rsidRPr="003371C2">
        <w:rPr>
          <w:noProof/>
        </w:rPr>
        <w:t>1024/2012</w:t>
      </w:r>
      <w:r w:rsidR="003371C2">
        <w:rPr>
          <w:noProof/>
        </w:rPr>
        <w:t xml:space="preserve"> a </w:t>
      </w:r>
      <w:r w:rsidR="00BA2FA4" w:rsidRPr="003371C2">
        <w:rPr>
          <w:noProof/>
        </w:rPr>
        <w:t>(EÚ) 2018/1724 by sa preto mali zodpovedajúcim spôsobom zmeniť,</w:t>
      </w:r>
    </w:p>
    <w:p w14:paraId="08A43FFF" w14:textId="7375FF47" w:rsidR="00A2210E" w:rsidRPr="003371C2" w:rsidRDefault="00A2210E" w:rsidP="00FA3D6F">
      <w:pPr>
        <w:pStyle w:val="Formuledadoption"/>
        <w:rPr>
          <w:noProof/>
        </w:rPr>
      </w:pPr>
      <w:r w:rsidRPr="003371C2">
        <w:rPr>
          <w:noProof/>
        </w:rPr>
        <w:t>PRIJALI TOTO NARIADENIE:</w:t>
      </w:r>
    </w:p>
    <w:p w14:paraId="17B0841D" w14:textId="2A442920" w:rsidR="00A2210E" w:rsidRPr="003371C2" w:rsidRDefault="00A2210E" w:rsidP="005B2D4D">
      <w:pPr>
        <w:pStyle w:val="Titrearticle"/>
        <w:rPr>
          <w:noProof/>
        </w:rPr>
      </w:pPr>
      <w:r w:rsidRPr="003371C2">
        <w:rPr>
          <w:noProof/>
        </w:rPr>
        <w:t>Článok 1</w:t>
      </w:r>
    </w:p>
    <w:p w14:paraId="7CCE2E51" w14:textId="30E6E098" w:rsidR="005B2D4D" w:rsidRPr="003371C2" w:rsidRDefault="005B2D4D" w:rsidP="005B2D4D">
      <w:pPr>
        <w:pStyle w:val="Titrearticle"/>
        <w:rPr>
          <w:noProof/>
        </w:rPr>
      </w:pPr>
      <w:r w:rsidRPr="003371C2">
        <w:rPr>
          <w:noProof/>
        </w:rPr>
        <w:t xml:space="preserve">Zmena nariadenia (EÚ) </w:t>
      </w:r>
      <w:r w:rsidR="003371C2">
        <w:rPr>
          <w:noProof/>
        </w:rPr>
        <w:t>č. </w:t>
      </w:r>
      <w:r w:rsidRPr="003371C2">
        <w:rPr>
          <w:noProof/>
        </w:rPr>
        <w:t>1024/2012</w:t>
      </w:r>
    </w:p>
    <w:p w14:paraId="202DCCE9" w14:textId="387E3A47" w:rsidR="003371C2" w:rsidRDefault="008548E4" w:rsidP="008548E4">
      <w:pPr>
        <w:rPr>
          <w:noProof/>
        </w:rPr>
      </w:pPr>
      <w:r w:rsidRPr="003371C2">
        <w:rPr>
          <w:noProof/>
        </w:rPr>
        <w:t>V prílohe</w:t>
      </w:r>
      <w:r w:rsidR="003371C2">
        <w:rPr>
          <w:noProof/>
        </w:rPr>
        <w:t xml:space="preserve"> k </w:t>
      </w:r>
      <w:r w:rsidRPr="003371C2">
        <w:rPr>
          <w:noProof/>
        </w:rPr>
        <w:t xml:space="preserve">nariadeniu (EÚ) </w:t>
      </w:r>
      <w:r w:rsidR="003371C2">
        <w:rPr>
          <w:noProof/>
        </w:rPr>
        <w:t>č. </w:t>
      </w:r>
      <w:r w:rsidRPr="003371C2">
        <w:rPr>
          <w:noProof/>
        </w:rPr>
        <w:t>1024/2012 sa dopĺňa tento nový bod 16</w:t>
      </w:r>
      <w:r w:rsidR="003371C2">
        <w:rPr>
          <w:noProof/>
        </w:rPr>
        <w:t>:</w:t>
      </w:r>
    </w:p>
    <w:p w14:paraId="2454F57B" w14:textId="10E05AA5" w:rsidR="008548E4" w:rsidRPr="003371C2" w:rsidRDefault="008548E4" w:rsidP="008548E4">
      <w:pPr>
        <w:rPr>
          <w:noProof/>
        </w:rPr>
      </w:pPr>
      <w:r w:rsidRPr="003371C2">
        <w:rPr>
          <w:noProof/>
        </w:rPr>
        <w:t>„16. Smernica Európskeho parlamentu</w:t>
      </w:r>
      <w:r w:rsidR="003371C2">
        <w:rPr>
          <w:noProof/>
        </w:rPr>
        <w:t xml:space="preserve"> a </w:t>
      </w:r>
      <w:r w:rsidRPr="003371C2">
        <w:rPr>
          <w:noProof/>
        </w:rPr>
        <w:t>Rady (EÚ)</w:t>
      </w:r>
      <w:r w:rsidR="003371C2">
        <w:rPr>
          <w:noProof/>
        </w:rPr>
        <w:t xml:space="preserve"> o </w:t>
      </w:r>
      <w:r w:rsidRPr="003371C2">
        <w:rPr>
          <w:noProof/>
        </w:rPr>
        <w:t>európskych cezhraničných združeniach [COM(2023) 516]*: článok 19 ods. 2, článok 19 ods. 4, článok 23 ods. 5, článok 23 ods. 6, článok 23 ods. 7, článok 24 ods. 3, článok 25 ods. 6</w:t>
      </w:r>
      <w:r w:rsidR="003371C2">
        <w:rPr>
          <w:noProof/>
        </w:rPr>
        <w:t xml:space="preserve"> a </w:t>
      </w:r>
      <w:r w:rsidRPr="003371C2">
        <w:rPr>
          <w:noProof/>
        </w:rPr>
        <w:t>článok 27.“</w:t>
      </w:r>
    </w:p>
    <w:p w14:paraId="656BA88B" w14:textId="77777777" w:rsidR="005B21F8" w:rsidRPr="003371C2" w:rsidRDefault="005B21F8" w:rsidP="005B21F8">
      <w:pPr>
        <w:pStyle w:val="Text1"/>
        <w:ind w:left="0"/>
        <w:rPr>
          <w:noProof/>
          <w:szCs w:val="24"/>
        </w:rPr>
      </w:pPr>
      <w:r w:rsidRPr="003371C2">
        <w:rPr>
          <w:noProof/>
        </w:rPr>
        <w:t>____________________</w:t>
      </w:r>
    </w:p>
    <w:p w14:paraId="6E2DBFEC" w14:textId="51002B89" w:rsidR="005B21F8" w:rsidRPr="003371C2" w:rsidRDefault="005B21F8" w:rsidP="006A0A81">
      <w:pPr>
        <w:pStyle w:val="Text1"/>
        <w:ind w:left="0"/>
        <w:rPr>
          <w:noProof/>
          <w:szCs w:val="24"/>
        </w:rPr>
      </w:pPr>
      <w:r w:rsidRPr="003371C2">
        <w:rPr>
          <w:noProof/>
        </w:rPr>
        <w:t>* (Odkaz na úradný vestník).</w:t>
      </w:r>
    </w:p>
    <w:p w14:paraId="1EF557DA" w14:textId="77777777" w:rsidR="00483D84" w:rsidRPr="003371C2" w:rsidRDefault="00483D84" w:rsidP="00AB2561">
      <w:pPr>
        <w:pStyle w:val="Titrearticle"/>
        <w:rPr>
          <w:noProof/>
        </w:rPr>
      </w:pPr>
      <w:r w:rsidRPr="003371C2">
        <w:rPr>
          <w:noProof/>
        </w:rPr>
        <w:t>Článok 2</w:t>
      </w:r>
    </w:p>
    <w:p w14:paraId="12DEC5B7" w14:textId="45117F4B" w:rsidR="00483D84" w:rsidRPr="003371C2" w:rsidRDefault="00483D84" w:rsidP="00AB2561">
      <w:pPr>
        <w:pStyle w:val="Titrearticle"/>
        <w:rPr>
          <w:noProof/>
        </w:rPr>
      </w:pPr>
      <w:r w:rsidRPr="003371C2">
        <w:rPr>
          <w:noProof/>
        </w:rPr>
        <w:t>Zmeny nariadenia (EÚ) 2018/1724</w:t>
      </w:r>
    </w:p>
    <w:p w14:paraId="4CF3A252" w14:textId="77777777" w:rsidR="00926D77" w:rsidRPr="003371C2" w:rsidRDefault="00926D77" w:rsidP="00926D77">
      <w:pPr>
        <w:rPr>
          <w:noProof/>
        </w:rPr>
      </w:pPr>
      <w:r w:rsidRPr="003371C2">
        <w:rPr>
          <w:noProof/>
        </w:rPr>
        <w:t>Nariadenie (EÚ) 2018/1724 sa mení takto:</w:t>
      </w:r>
    </w:p>
    <w:p w14:paraId="31B52738" w14:textId="77777777" w:rsidR="00207F25" w:rsidRPr="003371C2" w:rsidRDefault="00207F25" w:rsidP="00DD0A5A">
      <w:pPr>
        <w:rPr>
          <w:noProof/>
        </w:rPr>
      </w:pPr>
    </w:p>
    <w:p w14:paraId="5A9CBCCC" w14:textId="38E62F85" w:rsidR="00DD0A5A" w:rsidRPr="003371C2" w:rsidRDefault="003371C2" w:rsidP="003371C2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742925" w:rsidRPr="003371C2">
        <w:rPr>
          <w:noProof/>
        </w:rPr>
        <w:t>V článku 1 ods. 1 sa písmeno a) nahrádza takto:</w:t>
      </w:r>
    </w:p>
    <w:p w14:paraId="12DB8DE8" w14:textId="224C45CE" w:rsidR="003371C2" w:rsidRDefault="0047657B" w:rsidP="00DD0A5A">
      <w:pPr>
        <w:rPr>
          <w:noProof/>
        </w:rPr>
      </w:pPr>
      <w:r w:rsidRPr="003371C2">
        <w:rPr>
          <w:noProof/>
        </w:rPr>
        <w:t>„a) zriadenie</w:t>
      </w:r>
      <w:r w:rsidR="003371C2">
        <w:rPr>
          <w:noProof/>
        </w:rPr>
        <w:t xml:space="preserve"> a </w:t>
      </w:r>
      <w:r w:rsidRPr="003371C2">
        <w:rPr>
          <w:noProof/>
        </w:rPr>
        <w:t>fungovanie jednotnej digitálnej brány</w:t>
      </w:r>
      <w:r w:rsidR="003371C2">
        <w:rPr>
          <w:noProof/>
        </w:rPr>
        <w:t xml:space="preserve"> s </w:t>
      </w:r>
      <w:r w:rsidRPr="003371C2">
        <w:rPr>
          <w:noProof/>
        </w:rPr>
        <w:t>cieľom poskytnúť občanom, podnikom</w:t>
      </w:r>
      <w:r w:rsidR="003371C2">
        <w:rPr>
          <w:noProof/>
        </w:rPr>
        <w:t xml:space="preserve"> a </w:t>
      </w:r>
      <w:r w:rsidRPr="003371C2">
        <w:rPr>
          <w:noProof/>
        </w:rPr>
        <w:t>právnickým osobám iným ako podniky jednoduchý prístup</w:t>
      </w:r>
      <w:r w:rsidR="003371C2">
        <w:rPr>
          <w:noProof/>
        </w:rPr>
        <w:t xml:space="preserve"> k </w:t>
      </w:r>
      <w:r w:rsidRPr="003371C2">
        <w:rPr>
          <w:noProof/>
        </w:rPr>
        <w:t>vysokokvalitným informáciám, efektívnym postupom</w:t>
      </w:r>
      <w:r w:rsidR="003371C2">
        <w:rPr>
          <w:noProof/>
        </w:rPr>
        <w:t xml:space="preserve"> a </w:t>
      </w:r>
      <w:r w:rsidRPr="003371C2">
        <w:rPr>
          <w:noProof/>
        </w:rPr>
        <w:t>účinným asistenčným službám</w:t>
      </w:r>
      <w:r w:rsidR="003371C2">
        <w:rPr>
          <w:noProof/>
        </w:rPr>
        <w:t xml:space="preserve"> a </w:t>
      </w:r>
      <w:r w:rsidRPr="003371C2">
        <w:rPr>
          <w:noProof/>
        </w:rPr>
        <w:t>službám riešenia problémov</w:t>
      </w:r>
      <w:r w:rsidR="003371C2">
        <w:rPr>
          <w:noProof/>
        </w:rPr>
        <w:t xml:space="preserve"> v </w:t>
      </w:r>
      <w:r w:rsidRPr="003371C2">
        <w:rPr>
          <w:noProof/>
        </w:rPr>
        <w:t>súvislosti</w:t>
      </w:r>
      <w:r w:rsidR="003371C2">
        <w:rPr>
          <w:noProof/>
        </w:rPr>
        <w:t xml:space="preserve"> s </w:t>
      </w:r>
      <w:r w:rsidRPr="003371C2">
        <w:rPr>
          <w:noProof/>
        </w:rPr>
        <w:t>pravidlami Únie</w:t>
      </w:r>
      <w:r w:rsidR="003371C2">
        <w:rPr>
          <w:noProof/>
        </w:rPr>
        <w:t xml:space="preserve"> a </w:t>
      </w:r>
      <w:r w:rsidRPr="003371C2">
        <w:rPr>
          <w:noProof/>
        </w:rPr>
        <w:t>vnútroštátnymi pravidlami vzťahujúcimi sa na občanov, podniky</w:t>
      </w:r>
      <w:r w:rsidR="003371C2">
        <w:rPr>
          <w:noProof/>
        </w:rPr>
        <w:t xml:space="preserve"> a </w:t>
      </w:r>
      <w:r w:rsidRPr="003371C2">
        <w:rPr>
          <w:noProof/>
        </w:rPr>
        <w:t>právnické osoby iné ako podniky, ktorí(-é) uplatňujú alebo majú</w:t>
      </w:r>
      <w:r w:rsidR="003371C2">
        <w:rPr>
          <w:noProof/>
        </w:rPr>
        <w:t xml:space="preserve"> v </w:t>
      </w:r>
      <w:r w:rsidRPr="003371C2">
        <w:rPr>
          <w:noProof/>
        </w:rPr>
        <w:t>úmysle uplatniť svoje práva vyplývajúce</w:t>
      </w:r>
      <w:r w:rsidR="003371C2">
        <w:rPr>
          <w:noProof/>
        </w:rPr>
        <w:t xml:space="preserve"> z </w:t>
      </w:r>
      <w:r w:rsidRPr="003371C2">
        <w:rPr>
          <w:noProof/>
        </w:rPr>
        <w:t>práva Únie</w:t>
      </w:r>
      <w:r w:rsidR="003371C2">
        <w:rPr>
          <w:noProof/>
        </w:rPr>
        <w:t xml:space="preserve"> v </w:t>
      </w:r>
      <w:r w:rsidRPr="003371C2">
        <w:rPr>
          <w:noProof/>
        </w:rPr>
        <w:t>oblasti vnútorného trhu</w:t>
      </w:r>
      <w:r w:rsidR="003371C2">
        <w:rPr>
          <w:noProof/>
        </w:rPr>
        <w:t xml:space="preserve"> v </w:t>
      </w:r>
      <w:r w:rsidRPr="003371C2">
        <w:rPr>
          <w:noProof/>
        </w:rPr>
        <w:t>zmysle článku 26 ods. 2 ZFEÚ;“</w:t>
      </w:r>
      <w:r w:rsidR="003371C2">
        <w:rPr>
          <w:noProof/>
        </w:rPr>
        <w:t>.</w:t>
      </w:r>
    </w:p>
    <w:p w14:paraId="0FECC0B6" w14:textId="70088B79" w:rsidR="00207F25" w:rsidRPr="003371C2" w:rsidRDefault="00207F25" w:rsidP="00926D77">
      <w:pPr>
        <w:rPr>
          <w:noProof/>
        </w:rPr>
      </w:pPr>
    </w:p>
    <w:p w14:paraId="39A70F03" w14:textId="2DAFAB3B" w:rsidR="00926D77" w:rsidRPr="003371C2" w:rsidRDefault="003371C2" w:rsidP="003371C2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 w:rsidR="00926D77" w:rsidRPr="003371C2">
        <w:rPr>
          <w:noProof/>
        </w:rPr>
        <w:t>V článku 1 ods. 1 sa písmeno b) nahrádza takto:</w:t>
      </w:r>
    </w:p>
    <w:p w14:paraId="58F7BD28" w14:textId="44FE32F9" w:rsidR="00926D77" w:rsidRPr="003371C2" w:rsidRDefault="00926D77" w:rsidP="006A0A81">
      <w:pPr>
        <w:pStyle w:val="Text1"/>
        <w:ind w:left="0"/>
        <w:rPr>
          <w:noProof/>
          <w:szCs w:val="24"/>
        </w:rPr>
      </w:pPr>
      <w:r w:rsidRPr="003371C2">
        <w:rPr>
          <w:noProof/>
        </w:rPr>
        <w:t>„b) využívanie postupov cezhraničnými používateľmi</w:t>
      </w:r>
      <w:r w:rsidR="003371C2">
        <w:rPr>
          <w:noProof/>
        </w:rPr>
        <w:t xml:space="preserve"> a </w:t>
      </w:r>
      <w:r w:rsidRPr="003371C2">
        <w:rPr>
          <w:noProof/>
        </w:rPr>
        <w:t>uplatňovanie zásady „jedenkrát</w:t>
      </w:r>
      <w:r w:rsidR="003371C2">
        <w:rPr>
          <w:noProof/>
        </w:rPr>
        <w:t xml:space="preserve"> a </w:t>
      </w:r>
      <w:r w:rsidRPr="003371C2">
        <w:rPr>
          <w:noProof/>
        </w:rPr>
        <w:t>dosť“</w:t>
      </w:r>
      <w:r w:rsidR="003371C2">
        <w:rPr>
          <w:noProof/>
        </w:rPr>
        <w:t xml:space="preserve"> v </w:t>
      </w:r>
      <w:r w:rsidRPr="003371C2">
        <w:rPr>
          <w:noProof/>
        </w:rPr>
        <w:t>súvislosti</w:t>
      </w:r>
      <w:r w:rsidR="003371C2">
        <w:rPr>
          <w:noProof/>
        </w:rPr>
        <w:t xml:space="preserve"> s </w:t>
      </w:r>
      <w:r w:rsidRPr="003371C2">
        <w:rPr>
          <w:noProof/>
        </w:rPr>
        <w:t>postupmi uvedenými</w:t>
      </w:r>
      <w:r w:rsidR="003371C2">
        <w:rPr>
          <w:noProof/>
        </w:rPr>
        <w:t xml:space="preserve"> v </w:t>
      </w:r>
      <w:r w:rsidRPr="003371C2">
        <w:rPr>
          <w:noProof/>
        </w:rPr>
        <w:t>prílohe II</w:t>
      </w:r>
      <w:r w:rsidR="003371C2">
        <w:rPr>
          <w:noProof/>
        </w:rPr>
        <w:t xml:space="preserve"> k </w:t>
      </w:r>
      <w:r w:rsidRPr="003371C2">
        <w:rPr>
          <w:noProof/>
        </w:rPr>
        <w:t>tomuto nariadeniu</w:t>
      </w:r>
      <w:r w:rsidR="003371C2">
        <w:rPr>
          <w:noProof/>
        </w:rPr>
        <w:t xml:space="preserve"> a s </w:t>
      </w:r>
      <w:r w:rsidRPr="003371C2">
        <w:rPr>
          <w:noProof/>
        </w:rPr>
        <w:t>postupmi uvedenými</w:t>
      </w:r>
      <w:r w:rsidR="003371C2">
        <w:rPr>
          <w:noProof/>
        </w:rPr>
        <w:t xml:space="preserve"> v </w:t>
      </w:r>
      <w:r w:rsidRPr="003371C2">
        <w:rPr>
          <w:noProof/>
        </w:rPr>
        <w:t>smerniciach 2005/36/ES, 2006/123/ES, 2014/24/EÚ, 2014/25/EÚ</w:t>
      </w:r>
      <w:r w:rsidR="003371C2">
        <w:rPr>
          <w:noProof/>
        </w:rPr>
        <w:t xml:space="preserve"> a </w:t>
      </w:r>
      <w:r w:rsidRPr="003371C2">
        <w:rPr>
          <w:noProof/>
        </w:rPr>
        <w:t>…/…*;“</w:t>
      </w:r>
    </w:p>
    <w:p w14:paraId="32F688E3" w14:textId="4448DBDC" w:rsidR="005E6798" w:rsidRPr="003371C2" w:rsidRDefault="005E6798" w:rsidP="006A0A81">
      <w:pPr>
        <w:pStyle w:val="Text1"/>
        <w:ind w:left="0"/>
        <w:rPr>
          <w:noProof/>
          <w:szCs w:val="24"/>
        </w:rPr>
      </w:pPr>
      <w:r w:rsidRPr="003371C2">
        <w:rPr>
          <w:noProof/>
        </w:rPr>
        <w:t>____________________</w:t>
      </w:r>
    </w:p>
    <w:p w14:paraId="45F34252" w14:textId="13BEF144" w:rsidR="009A6416" w:rsidRPr="003371C2" w:rsidRDefault="00F45BB0" w:rsidP="00926D77">
      <w:pPr>
        <w:rPr>
          <w:noProof/>
        </w:rPr>
      </w:pPr>
      <w:r w:rsidRPr="003371C2">
        <w:rPr>
          <w:noProof/>
        </w:rPr>
        <w:t>„* Smernica Európskeho parlamentu</w:t>
      </w:r>
      <w:r w:rsidR="003371C2">
        <w:rPr>
          <w:noProof/>
        </w:rPr>
        <w:t xml:space="preserve"> a </w:t>
      </w:r>
      <w:r w:rsidRPr="003371C2">
        <w:rPr>
          <w:noProof/>
        </w:rPr>
        <w:t>Rady</w:t>
      </w:r>
      <w:r w:rsidR="003371C2">
        <w:rPr>
          <w:noProof/>
        </w:rPr>
        <w:t xml:space="preserve"> z </w:t>
      </w:r>
      <w:r w:rsidRPr="003371C2">
        <w:rPr>
          <w:noProof/>
        </w:rPr>
        <w:t>…</w:t>
      </w:r>
      <w:r w:rsidR="003371C2">
        <w:rPr>
          <w:noProof/>
        </w:rPr>
        <w:t xml:space="preserve"> o </w:t>
      </w:r>
      <w:r w:rsidRPr="003371C2">
        <w:rPr>
          <w:noProof/>
        </w:rPr>
        <w:t>európskych cezhraničných združeniach (odkaz na úradný vestník).“</w:t>
      </w:r>
    </w:p>
    <w:p w14:paraId="4907959E" w14:textId="77777777" w:rsidR="00207F25" w:rsidRPr="003371C2" w:rsidRDefault="00207F25" w:rsidP="00926D77">
      <w:pPr>
        <w:rPr>
          <w:noProof/>
        </w:rPr>
      </w:pPr>
    </w:p>
    <w:p w14:paraId="2AE8E0D1" w14:textId="1938EAF3" w:rsidR="001E7F12" w:rsidRPr="003371C2" w:rsidRDefault="003371C2" w:rsidP="003371C2"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</w:r>
      <w:r w:rsidR="004D33FC" w:rsidRPr="003371C2">
        <w:rPr>
          <w:noProof/>
        </w:rPr>
        <w:t>V článku 2 ods. 2 sa písmeno c) nahrádza takto:</w:t>
      </w:r>
    </w:p>
    <w:p w14:paraId="62DF3882" w14:textId="29F22343" w:rsidR="00043C8B" w:rsidRPr="003371C2" w:rsidRDefault="008D1CDB" w:rsidP="00947F81">
      <w:pPr>
        <w:rPr>
          <w:noProof/>
        </w:rPr>
      </w:pPr>
      <w:r w:rsidRPr="003371C2">
        <w:rPr>
          <w:noProof/>
        </w:rPr>
        <w:t>„c) informáciám</w:t>
      </w:r>
      <w:r w:rsidR="003371C2">
        <w:rPr>
          <w:noProof/>
        </w:rPr>
        <w:t xml:space="preserve"> o </w:t>
      </w:r>
      <w:r w:rsidRPr="003371C2">
        <w:rPr>
          <w:noProof/>
        </w:rPr>
        <w:t>asistenčných službách</w:t>
      </w:r>
      <w:r w:rsidR="003371C2">
        <w:rPr>
          <w:noProof/>
        </w:rPr>
        <w:t xml:space="preserve"> a </w:t>
      </w:r>
      <w:r w:rsidRPr="003371C2">
        <w:rPr>
          <w:noProof/>
        </w:rPr>
        <w:t>službách riešenia problémov uvedených</w:t>
      </w:r>
      <w:r w:rsidR="003371C2">
        <w:rPr>
          <w:noProof/>
        </w:rPr>
        <w:t xml:space="preserve"> v </w:t>
      </w:r>
      <w:r w:rsidRPr="003371C2">
        <w:rPr>
          <w:noProof/>
        </w:rPr>
        <w:t>prílohe III alebo uvedených</w:t>
      </w:r>
      <w:r w:rsidR="003371C2">
        <w:rPr>
          <w:noProof/>
        </w:rPr>
        <w:t xml:space="preserve"> v </w:t>
      </w:r>
      <w:r w:rsidRPr="003371C2">
        <w:rPr>
          <w:noProof/>
        </w:rPr>
        <w:t>článku 7</w:t>
      </w:r>
      <w:r w:rsidR="003371C2">
        <w:rPr>
          <w:noProof/>
        </w:rPr>
        <w:t xml:space="preserve"> a k </w:t>
      </w:r>
      <w:r w:rsidRPr="003371C2">
        <w:rPr>
          <w:noProof/>
        </w:rPr>
        <w:t>odkazom na tieto služby, na ktoré sa občania, podniky</w:t>
      </w:r>
      <w:r w:rsidR="003371C2">
        <w:rPr>
          <w:noProof/>
        </w:rPr>
        <w:t xml:space="preserve"> a </w:t>
      </w:r>
      <w:r w:rsidRPr="003371C2">
        <w:rPr>
          <w:noProof/>
        </w:rPr>
        <w:t>právnické osoby iné ako podniky môžu obracať, ak majú otázky alebo problémy súvisiace</w:t>
      </w:r>
      <w:r w:rsidR="003371C2">
        <w:rPr>
          <w:noProof/>
        </w:rPr>
        <w:t xml:space="preserve"> s </w:t>
      </w:r>
      <w:r w:rsidRPr="003371C2">
        <w:rPr>
          <w:noProof/>
        </w:rPr>
        <w:t>ich právami, povinnosťami, pravidlami alebo postupmi uvedenými</w:t>
      </w:r>
      <w:r w:rsidR="003371C2">
        <w:rPr>
          <w:noProof/>
        </w:rPr>
        <w:t xml:space="preserve"> v </w:t>
      </w:r>
      <w:r w:rsidRPr="003371C2">
        <w:rPr>
          <w:noProof/>
        </w:rPr>
        <w:t>písmenách a)</w:t>
      </w:r>
      <w:r w:rsidR="003371C2">
        <w:rPr>
          <w:noProof/>
        </w:rPr>
        <w:t xml:space="preserve"> a </w:t>
      </w:r>
      <w:r w:rsidRPr="003371C2">
        <w:rPr>
          <w:noProof/>
        </w:rPr>
        <w:t>b) tohto odseku.“</w:t>
      </w:r>
    </w:p>
    <w:p w14:paraId="345C97D4" w14:textId="77777777" w:rsidR="00176A09" w:rsidRPr="003371C2" w:rsidRDefault="00176A09" w:rsidP="00947F81">
      <w:pPr>
        <w:rPr>
          <w:noProof/>
        </w:rPr>
      </w:pPr>
    </w:p>
    <w:p w14:paraId="543ACABE" w14:textId="73F625DD" w:rsidR="003371C2" w:rsidRDefault="003371C2" w:rsidP="003371C2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4D33FC" w:rsidRPr="003371C2">
        <w:rPr>
          <w:noProof/>
        </w:rPr>
        <w:t>V článku 14 sa odsek 1 nahrádza takto</w:t>
      </w:r>
      <w:r>
        <w:rPr>
          <w:noProof/>
        </w:rPr>
        <w:t>:</w:t>
      </w:r>
    </w:p>
    <w:p w14:paraId="6F1C5770" w14:textId="29A4164D" w:rsidR="004D33FC" w:rsidRPr="003371C2" w:rsidRDefault="00207F25" w:rsidP="00926D77">
      <w:pPr>
        <w:rPr>
          <w:noProof/>
        </w:rPr>
      </w:pPr>
      <w:r w:rsidRPr="003371C2">
        <w:rPr>
          <w:noProof/>
        </w:rPr>
        <w:t>„1. Na účely výmeny dôkazov pre online postupy uvedené</w:t>
      </w:r>
      <w:r w:rsidR="003371C2">
        <w:rPr>
          <w:noProof/>
        </w:rPr>
        <w:t xml:space="preserve"> v </w:t>
      </w:r>
      <w:r w:rsidRPr="003371C2">
        <w:rPr>
          <w:noProof/>
        </w:rPr>
        <w:t>prílohe II</w:t>
      </w:r>
      <w:r w:rsidR="003371C2">
        <w:rPr>
          <w:noProof/>
        </w:rPr>
        <w:t xml:space="preserve"> k </w:t>
      </w:r>
      <w:r w:rsidRPr="003371C2">
        <w:rPr>
          <w:noProof/>
        </w:rPr>
        <w:t>tomuto nariadeniu</w:t>
      </w:r>
      <w:r w:rsidR="003371C2">
        <w:rPr>
          <w:noProof/>
        </w:rPr>
        <w:t xml:space="preserve"> a </w:t>
      </w:r>
      <w:r w:rsidRPr="003371C2">
        <w:rPr>
          <w:noProof/>
        </w:rPr>
        <w:t>postupy stanovené</w:t>
      </w:r>
      <w:r w:rsidR="003371C2">
        <w:rPr>
          <w:noProof/>
        </w:rPr>
        <w:t xml:space="preserve"> v </w:t>
      </w:r>
      <w:r w:rsidRPr="003371C2">
        <w:rPr>
          <w:noProof/>
        </w:rPr>
        <w:t>smerniciach 2005/36/ES, 2006/123/ES, 2014/24/EÚ, 2014/25/EÚ</w:t>
      </w:r>
      <w:r w:rsidR="003371C2">
        <w:rPr>
          <w:noProof/>
        </w:rPr>
        <w:t xml:space="preserve"> a </w:t>
      </w:r>
      <w:r w:rsidRPr="003371C2">
        <w:rPr>
          <w:noProof/>
        </w:rPr>
        <w:t>…/…/… Komisia</w:t>
      </w:r>
      <w:r w:rsidR="003371C2">
        <w:rPr>
          <w:noProof/>
        </w:rPr>
        <w:t xml:space="preserve"> v </w:t>
      </w:r>
      <w:r w:rsidRPr="003371C2">
        <w:rPr>
          <w:noProof/>
        </w:rPr>
        <w:t>spolupráci</w:t>
      </w:r>
      <w:r w:rsidR="003371C2">
        <w:rPr>
          <w:noProof/>
        </w:rPr>
        <w:t xml:space="preserve"> s </w:t>
      </w:r>
      <w:r w:rsidRPr="003371C2">
        <w:rPr>
          <w:noProof/>
        </w:rPr>
        <w:t>členskými štátmi zavedie technický systém automatizovanej výmeny dôkazov medzi príslušnými orgánmi</w:t>
      </w:r>
      <w:r w:rsidR="003371C2">
        <w:rPr>
          <w:noProof/>
        </w:rPr>
        <w:t xml:space="preserve"> v </w:t>
      </w:r>
      <w:r w:rsidRPr="003371C2">
        <w:rPr>
          <w:noProof/>
        </w:rPr>
        <w:t>rôznych členských štátoch (ďalej len „technický systém“).“</w:t>
      </w:r>
    </w:p>
    <w:p w14:paraId="16A7CC4E" w14:textId="0C4E8699" w:rsidR="00926D77" w:rsidRPr="003371C2" w:rsidRDefault="00926D77" w:rsidP="00410CD4">
      <w:pPr>
        <w:rPr>
          <w:i/>
          <w:iCs/>
          <w:noProof/>
          <w:color w:val="000000"/>
          <w:szCs w:val="24"/>
          <w:shd w:val="clear" w:color="auto" w:fill="FFFFFF"/>
        </w:rPr>
      </w:pPr>
    </w:p>
    <w:p w14:paraId="3E55880E" w14:textId="703E65BC" w:rsidR="00926D77" w:rsidRPr="003371C2" w:rsidRDefault="003371C2" w:rsidP="003371C2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926D77" w:rsidRPr="003371C2">
        <w:rPr>
          <w:noProof/>
        </w:rPr>
        <w:t>Príloha I</w:t>
      </w:r>
      <w:r>
        <w:rPr>
          <w:noProof/>
        </w:rPr>
        <w:t xml:space="preserve"> k </w:t>
      </w:r>
      <w:r w:rsidR="00926D77" w:rsidRPr="003371C2">
        <w:rPr>
          <w:noProof/>
        </w:rPr>
        <w:t>nariadeniu (EÚ) 2018/1724 sa mení takto:</w:t>
      </w:r>
    </w:p>
    <w:p w14:paraId="72515201" w14:textId="77777777" w:rsidR="00926D77" w:rsidRPr="003371C2" w:rsidRDefault="00926D77" w:rsidP="00926D77">
      <w:pPr>
        <w:rPr>
          <w:i/>
          <w:noProof/>
        </w:rPr>
      </w:pPr>
    </w:p>
    <w:p w14:paraId="5D7BB35E" w14:textId="10F146CF" w:rsidR="003371C2" w:rsidRDefault="003371C2" w:rsidP="003371C2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926D77" w:rsidRPr="003371C2">
        <w:rPr>
          <w:noProof/>
        </w:rPr>
        <w:t>Názov sa nahrádza takto</w:t>
      </w:r>
      <w:r>
        <w:rPr>
          <w:noProof/>
        </w:rPr>
        <w:t>:</w:t>
      </w:r>
    </w:p>
    <w:p w14:paraId="5CEDB10A" w14:textId="50F2C410" w:rsidR="00926D77" w:rsidRPr="003371C2" w:rsidRDefault="00926D77" w:rsidP="00926D77">
      <w:pPr>
        <w:rPr>
          <w:noProof/>
        </w:rPr>
      </w:pPr>
      <w:r w:rsidRPr="003371C2">
        <w:rPr>
          <w:noProof/>
        </w:rPr>
        <w:t>„Zoznam oblastí informácií dôležitých pre občanov, podniky</w:t>
      </w:r>
      <w:r w:rsidR="003371C2">
        <w:rPr>
          <w:noProof/>
        </w:rPr>
        <w:t xml:space="preserve"> a </w:t>
      </w:r>
      <w:r w:rsidRPr="003371C2">
        <w:rPr>
          <w:noProof/>
          <w:color w:val="000000"/>
          <w:shd w:val="clear" w:color="auto" w:fill="FFFFFF"/>
        </w:rPr>
        <w:t>právnické osoby iné ako podniky so sídlom</w:t>
      </w:r>
      <w:r w:rsidR="003371C2">
        <w:rPr>
          <w:noProof/>
          <w:color w:val="000000"/>
          <w:shd w:val="clear" w:color="auto" w:fill="FFFFFF"/>
        </w:rPr>
        <w:t xml:space="preserve"> v </w:t>
      </w:r>
      <w:r w:rsidRPr="003371C2">
        <w:rPr>
          <w:noProof/>
          <w:color w:val="000000"/>
          <w:shd w:val="clear" w:color="auto" w:fill="FFFFFF"/>
        </w:rPr>
        <w:t>členskom štáte</w:t>
      </w:r>
      <w:r w:rsidRPr="003371C2">
        <w:rPr>
          <w:noProof/>
        </w:rPr>
        <w:t xml:space="preserve"> pri výkone práv, ktoré im poskytuje vnútorný trh, uvedených</w:t>
      </w:r>
      <w:r w:rsidR="003371C2">
        <w:rPr>
          <w:noProof/>
        </w:rPr>
        <w:t xml:space="preserve"> v </w:t>
      </w:r>
      <w:r w:rsidRPr="003371C2">
        <w:rPr>
          <w:noProof/>
        </w:rPr>
        <w:t>článku 2 ods. 2 písm. a)“;</w:t>
      </w:r>
    </w:p>
    <w:p w14:paraId="25ADC1F9" w14:textId="77777777" w:rsidR="00926D77" w:rsidRPr="003371C2" w:rsidRDefault="00926D77" w:rsidP="00926D77">
      <w:pPr>
        <w:rPr>
          <w:noProof/>
        </w:rPr>
      </w:pPr>
    </w:p>
    <w:p w14:paraId="474C64C0" w14:textId="7D521D58" w:rsidR="00926D77" w:rsidRPr="003371C2" w:rsidRDefault="003371C2" w:rsidP="003371C2">
      <w:pPr>
        <w:pStyle w:val="Point1"/>
        <w:rPr>
          <w:noProof/>
          <w:color w:val="000000"/>
          <w:szCs w:val="24"/>
          <w:shd w:val="clear" w:color="auto" w:fill="FFFFFF"/>
        </w:rPr>
      </w:pPr>
      <w:r>
        <w:rPr>
          <w:noProof/>
        </w:rPr>
        <w:t>b)</w:t>
      </w:r>
      <w:r>
        <w:rPr>
          <w:noProof/>
        </w:rPr>
        <w:tab/>
      </w:r>
      <w:r w:rsidR="00926D77" w:rsidRPr="003371C2">
        <w:rPr>
          <w:noProof/>
        </w:rPr>
        <w:t>Dopĺňajú sa tieto oblasti informácií:</w:t>
      </w:r>
    </w:p>
    <w:p w14:paraId="2548A6E8" w14:textId="67FB43EB" w:rsidR="00926D77" w:rsidRPr="003371C2" w:rsidRDefault="00ED61A2" w:rsidP="00926D77">
      <w:pPr>
        <w:rPr>
          <w:i/>
          <w:iCs/>
          <w:noProof/>
          <w:color w:val="000000"/>
          <w:szCs w:val="24"/>
          <w:shd w:val="clear" w:color="auto" w:fill="FFFFFF"/>
        </w:rPr>
      </w:pPr>
      <w:r w:rsidRPr="003371C2">
        <w:rPr>
          <w:noProof/>
          <w:color w:val="000000"/>
          <w:shd w:val="clear" w:color="auto" w:fill="FFFFFF"/>
        </w:rPr>
        <w:t>„Oblasti informácií týkajúce sa právnických osôb iných ako podniky so sídlom</w:t>
      </w:r>
      <w:r w:rsidR="003371C2">
        <w:rPr>
          <w:noProof/>
          <w:color w:val="000000"/>
          <w:shd w:val="clear" w:color="auto" w:fill="FFFFFF"/>
        </w:rPr>
        <w:t xml:space="preserve"> v </w:t>
      </w:r>
      <w:r w:rsidRPr="003371C2">
        <w:rPr>
          <w:noProof/>
          <w:color w:val="000000"/>
          <w:shd w:val="clear" w:color="auto" w:fill="FFFFFF"/>
        </w:rPr>
        <w:t>členskom štáte: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806"/>
      </w:tblGrid>
      <w:tr w:rsidR="00926D77" w:rsidRPr="003371C2" w14:paraId="29D84FFF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9AF" w14:textId="3939D541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AA. Začatie činnosti, priebeh činnosti</w:t>
            </w:r>
            <w:r w:rsidR="003371C2">
              <w:rPr>
                <w:noProof/>
                <w:color w:val="000000"/>
                <w:shd w:val="clear" w:color="auto" w:fill="FFFFFF"/>
              </w:rPr>
              <w:t xml:space="preserve"> a </w:t>
            </w:r>
            <w:r w:rsidRPr="003371C2">
              <w:rPr>
                <w:noProof/>
                <w:color w:val="000000"/>
                <w:shd w:val="clear" w:color="auto" w:fill="FFFFFF"/>
              </w:rPr>
              <w:t>ukončenie činnosti právnickej osoby inej ako podnik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2BF" w14:textId="562765AD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1. </w:t>
            </w:r>
            <w:r w:rsidRPr="003371C2">
              <w:rPr>
                <w:noProof/>
              </w:rPr>
              <w:t>registrácia, zmena právnej formy alebo ukončenie činnosti právnickej osoby inej ako podnik (postupy registrácie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právne formy)</w:t>
            </w:r>
          </w:p>
          <w:p w14:paraId="4087131C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2. </w:t>
            </w:r>
            <w:r w:rsidRPr="003371C2">
              <w:rPr>
                <w:noProof/>
              </w:rPr>
              <w:t>presun činnosti právnickej osoby inej ako podnik do iného členského štátu</w:t>
            </w:r>
          </w:p>
          <w:p w14:paraId="18F4FE54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3. práva duševného vlastníctva (prihlásenie patentu, registrácia ochrannej známky, obrazového náčrtu alebo návrhu, získanie licencie na reprodukciu)</w:t>
            </w:r>
          </w:p>
          <w:p w14:paraId="09CD983D" w14:textId="1C2BC81E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4. spravodlivosť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transparentnosť obchodnej praxe vrátane práv spotrebiteľov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záruk týkajúcich sa predaja tovaru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služieb</w:t>
            </w:r>
          </w:p>
          <w:p w14:paraId="2F5606B9" w14:textId="275E2015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5. ponuka elektronických nástrojov na cezhraničné platby pri predaji tovaru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služieb online</w:t>
            </w:r>
          </w:p>
          <w:p w14:paraId="124CA148" w14:textId="141C299E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6. práva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povinnosti vyplývajúce zo zmluvného práva vrátane úrokov</w:t>
            </w:r>
            <w:r w:rsidR="003371C2">
              <w:rPr>
                <w:noProof/>
              </w:rPr>
              <w:t xml:space="preserve"> z </w:t>
            </w:r>
            <w:r w:rsidRPr="003371C2">
              <w:rPr>
                <w:noProof/>
              </w:rPr>
              <w:t>omeškania</w:t>
            </w:r>
          </w:p>
          <w:p w14:paraId="20D3F1DE" w14:textId="0945B135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7. insolvenčné konania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likvidácie právnických osôb iných ako podniky</w:t>
            </w:r>
          </w:p>
          <w:p w14:paraId="7DF299A7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8. poistenie úverov</w:t>
            </w:r>
          </w:p>
          <w:p w14:paraId="5EFD8ADC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9. fúzie alebo predaj právnickej osoby inej ako podnik</w:t>
            </w:r>
          </w:p>
          <w:p w14:paraId="3FC5090A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10. občianskoprávna zodpovednosť riaditeľov právnickej osoby inej ako podnik</w:t>
            </w:r>
          </w:p>
          <w:p w14:paraId="04F8ACC9" w14:textId="4A3D7D70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11. pravidlá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povinnosti týkajúce sa spracúvania osobných údajov</w:t>
            </w:r>
          </w:p>
          <w:p w14:paraId="530960ED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3B308DA4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B2B1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AB. Zamestnanci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DF7" w14:textId="3A77E51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1. </w:t>
            </w:r>
            <w:r w:rsidRPr="003371C2">
              <w:rPr>
                <w:noProof/>
              </w:rPr>
              <w:t>podmienky zamestnávania stanovené zákonom alebo vykonávacím predpisom (vrátane pracovného času, platenej dovolenky, nároku na dovolenku, práv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povinností týkajúcich sa nadčasov, zdravotných prehliadok, vypovedania zmlúv, výpovede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prepustenia)</w:t>
            </w:r>
          </w:p>
          <w:p w14:paraId="7F717227" w14:textId="140A09B5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2. práva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povinnosti</w:t>
            </w:r>
            <w:r w:rsidR="003371C2">
              <w:rPr>
                <w:noProof/>
              </w:rPr>
              <w:t xml:space="preserve"> v </w:t>
            </w:r>
            <w:r w:rsidRPr="003371C2">
              <w:rPr>
                <w:noProof/>
              </w:rPr>
              <w:t>oblasti sociálneho zabezpečenia</w:t>
            </w:r>
            <w:r w:rsidR="003371C2">
              <w:rPr>
                <w:noProof/>
              </w:rPr>
              <w:t xml:space="preserve"> v </w:t>
            </w:r>
            <w:r w:rsidRPr="003371C2">
              <w:rPr>
                <w:noProof/>
              </w:rPr>
              <w:t>Únii (registrácia zamestnávateľov, registrácia zamestnancov, oznámenie</w:t>
            </w:r>
            <w:r w:rsidR="003371C2">
              <w:rPr>
                <w:noProof/>
              </w:rPr>
              <w:t xml:space="preserve"> o </w:t>
            </w:r>
            <w:r w:rsidRPr="003371C2">
              <w:rPr>
                <w:noProof/>
              </w:rPr>
              <w:t>ukončení zmluvy zamestnanca, platenie príspevkov na sociálne zabezpečenie, práva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povinnosti týkajúce sa dôchodkov)</w:t>
            </w:r>
          </w:p>
          <w:p w14:paraId="3E352F90" w14:textId="2FE796A6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3. zamestnávanie pracovníkov</w:t>
            </w:r>
            <w:r w:rsidR="003371C2">
              <w:rPr>
                <w:noProof/>
              </w:rPr>
              <w:t xml:space="preserve"> v </w:t>
            </w:r>
            <w:r w:rsidRPr="003371C2">
              <w:rPr>
                <w:noProof/>
              </w:rPr>
              <w:t>iných členských štátoch (vysielanie pracovníkov, pravidlá slobody poskytovať služby, požiadavky týkajúce sa pobytu pracovníkov)</w:t>
            </w:r>
          </w:p>
          <w:p w14:paraId="196E88A6" w14:textId="0468AE0C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4. rovnaké zaobchádzanie (pravidlá zakazujúce diskrimináciu na pracovisku, rovnaká odmena pre ženy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mužov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rovnaká odmena pre zamestnancov na dobu určitú alebo neurčitú)</w:t>
            </w:r>
          </w:p>
          <w:p w14:paraId="407CF9E8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5. pravidlá zastupovania zamestnancov</w:t>
            </w:r>
          </w:p>
          <w:p w14:paraId="158C1C90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15A1B6B8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9170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AC. Dane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CC2" w14:textId="0B82E07D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1. DPH: </w:t>
            </w:r>
            <w:r w:rsidRPr="003371C2">
              <w:rPr>
                <w:noProof/>
              </w:rPr>
              <w:t>informácie</w:t>
            </w:r>
            <w:r w:rsidR="003371C2">
              <w:rPr>
                <w:noProof/>
              </w:rPr>
              <w:t xml:space="preserve"> o </w:t>
            </w:r>
            <w:r w:rsidRPr="003371C2">
              <w:rPr>
                <w:noProof/>
              </w:rPr>
              <w:t>všeobecných pravidlách, sadzbách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oslobodení od dane, registrácia platiteľa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platenie DPH, vrátenie dane</w:t>
            </w:r>
          </w:p>
          <w:p w14:paraId="31EB6480" w14:textId="7E256D71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2. spotrebné dane: informácie</w:t>
            </w:r>
            <w:r w:rsidR="003371C2">
              <w:rPr>
                <w:noProof/>
              </w:rPr>
              <w:t xml:space="preserve"> o </w:t>
            </w:r>
            <w:r w:rsidRPr="003371C2">
              <w:rPr>
                <w:noProof/>
              </w:rPr>
              <w:t>všeobecných pravidlách, sadzbách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oslobodení od dane, registrácia platiteľa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platenie spotrebnej dane, vrátenie dane</w:t>
            </w:r>
          </w:p>
          <w:p w14:paraId="2E7B5AEB" w14:textId="547BD2F1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3. clo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ďalšie dane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poplatky vyberané pri dovoze</w:t>
            </w:r>
          </w:p>
          <w:p w14:paraId="4D5BA9BC" w14:textId="31CAFD38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4. colné postupy pri dovoze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vývoze</w:t>
            </w:r>
            <w:r w:rsidR="003371C2">
              <w:rPr>
                <w:noProof/>
              </w:rPr>
              <w:t xml:space="preserve"> v </w:t>
            </w:r>
            <w:r w:rsidRPr="003371C2">
              <w:rPr>
                <w:noProof/>
              </w:rPr>
              <w:t>rámci Colného kódexu Únie</w:t>
            </w:r>
          </w:p>
          <w:p w14:paraId="49E01259" w14:textId="03A3B37C" w:rsidR="0028525A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5. iné dane: platenie, sadzby, daňové priznanie</w:t>
            </w:r>
          </w:p>
          <w:p w14:paraId="0FC50D73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462B78C6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E52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AD. Tovar 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955" w14:textId="77777777" w:rsidR="003371C2" w:rsidRDefault="00926D77">
            <w:pPr>
              <w:rPr>
                <w:noProof/>
                <w:color w:val="000000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1. získanie označenia CE</w:t>
            </w:r>
          </w:p>
          <w:p w14:paraId="43E3C427" w14:textId="79B883D5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2. </w:t>
            </w:r>
            <w:r w:rsidRPr="003371C2">
              <w:rPr>
                <w:noProof/>
              </w:rPr>
              <w:t>pravidlá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požiadavky týkajúce sa výrobkov</w:t>
            </w:r>
          </w:p>
          <w:p w14:paraId="13E8F0BA" w14:textId="1B7673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3. identifikácia príslušných noriem, technických špecifikácií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osvedčovanie výrobkov</w:t>
            </w:r>
          </w:p>
          <w:p w14:paraId="6A67B9E7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4. vzájomné uznávanie výrobkov, na ktoré sa nevzťahujú špecifikácie Únie</w:t>
            </w:r>
          </w:p>
          <w:p w14:paraId="2853C4D0" w14:textId="50088563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5. požiadavky týkajúce sa klasifikácie, označovania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balenia nebezpečných chemických látok</w:t>
            </w:r>
          </w:p>
          <w:p w14:paraId="30B216A3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6. predaj na diaľku alebo mimo prevádzkových priestorov: informácie, ktoré sa majú poskytnúť zákazníkom vopred, písomné potvrdenie zmluvy, odstúpenie od zmluvy, dodanie tovaru, iné osobitné povinnosti</w:t>
            </w:r>
          </w:p>
          <w:p w14:paraId="3B1B3219" w14:textId="6D4662CC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7. vadné výrobky: práva spotrebiteľov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záruky, zodpovednosť po predaji, prostriedky nápravy pre poškodenú stranu</w:t>
            </w:r>
          </w:p>
          <w:p w14:paraId="1D5DBC7B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8. osvedčenia, označenia (EMAS, energetické štítky, ekodizajn, environmentálna značka EÚ)</w:t>
            </w:r>
          </w:p>
          <w:p w14:paraId="30147488" w14:textId="4FEB6531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9. </w:t>
            </w:r>
            <w:r w:rsidRPr="003371C2">
              <w:rPr>
                <w:noProof/>
              </w:rPr>
              <w:t>recyklácia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odpadové hospodárstvo</w:t>
            </w:r>
          </w:p>
          <w:p w14:paraId="1BC74194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30365AEB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0BA4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AE. Služby 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F88" w14:textId="55A019B0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1. získanie</w:t>
            </w:r>
            <w:r w:rsidRPr="003371C2">
              <w:rPr>
                <w:noProof/>
              </w:rPr>
              <w:t xml:space="preserve"> licencií, oprávnení alebo povolení na začatie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vykonávanie činnosti právnickej osoby inej ako podnik</w:t>
            </w:r>
          </w:p>
          <w:p w14:paraId="33FE4403" w14:textId="77777777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2. oznamovanie cezhraničnej činnosti orgánom</w:t>
            </w:r>
          </w:p>
          <w:p w14:paraId="3C83E774" w14:textId="61284185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3. uznávanie odborných kvalifikácií vrátane odborného vzdelávania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prípravy</w:t>
            </w:r>
          </w:p>
          <w:p w14:paraId="2B53281B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2734F6D8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AB4F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AF. Financovanie právnickej osoby inej ako podnik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98B" w14:textId="573753AE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1. </w:t>
            </w:r>
            <w:r w:rsidRPr="003371C2">
              <w:rPr>
                <w:noProof/>
              </w:rPr>
              <w:t>získanie prístupu</w:t>
            </w:r>
            <w:r w:rsidR="003371C2">
              <w:rPr>
                <w:noProof/>
              </w:rPr>
              <w:t xml:space="preserve"> k </w:t>
            </w:r>
            <w:r w:rsidRPr="003371C2">
              <w:rPr>
                <w:noProof/>
              </w:rPr>
              <w:t>finančným prostriedkom na úrovni Únie vrátane financovania</w:t>
            </w:r>
            <w:r w:rsidR="003371C2">
              <w:rPr>
                <w:noProof/>
              </w:rPr>
              <w:t xml:space="preserve"> z </w:t>
            </w:r>
            <w:r w:rsidRPr="003371C2">
              <w:rPr>
                <w:noProof/>
              </w:rPr>
              <w:t>programov Únie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grantov</w:t>
            </w:r>
          </w:p>
          <w:p w14:paraId="3C32BD27" w14:textId="24F40408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</w:rPr>
              <w:t>2. získanie prístupu</w:t>
            </w:r>
            <w:r w:rsidR="003371C2">
              <w:rPr>
                <w:noProof/>
              </w:rPr>
              <w:t xml:space="preserve"> k </w:t>
            </w:r>
            <w:r w:rsidRPr="003371C2">
              <w:rPr>
                <w:noProof/>
              </w:rPr>
              <w:t>finančným prostriedkom na vnútroštátnej úrovni</w:t>
            </w:r>
          </w:p>
          <w:p w14:paraId="018F4AFA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3. iniciatívy určené právnickým osobám iným ako podniky (výmeny, mentorské programy atď.)</w:t>
            </w:r>
          </w:p>
          <w:p w14:paraId="713C0912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37F11A72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92DD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AG. Verejné obstarávanie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C53" w14:textId="001ABCC2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1. účasť na verejných súťažiach: pravidlá</w:t>
            </w:r>
            <w:r w:rsidR="003371C2">
              <w:rPr>
                <w:noProof/>
                <w:color w:val="000000"/>
                <w:shd w:val="clear" w:color="auto" w:fill="FFFFFF"/>
              </w:rPr>
              <w:t xml:space="preserve"> a </w:t>
            </w:r>
            <w:r w:rsidRPr="003371C2">
              <w:rPr>
                <w:noProof/>
                <w:color w:val="000000"/>
                <w:shd w:val="clear" w:color="auto" w:fill="FFFFFF"/>
              </w:rPr>
              <w:t>postupy</w:t>
            </w:r>
          </w:p>
          <w:p w14:paraId="326ADCEF" w14:textId="169DB5CD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2. predloženie ponuky online</w:t>
            </w:r>
            <w:r w:rsidR="003371C2">
              <w:rPr>
                <w:noProof/>
                <w:color w:val="000000"/>
                <w:shd w:val="clear" w:color="auto" w:fill="FFFFFF"/>
              </w:rPr>
              <w:t xml:space="preserve"> v </w:t>
            </w:r>
            <w:r w:rsidRPr="003371C2">
              <w:rPr>
                <w:noProof/>
                <w:color w:val="000000"/>
                <w:shd w:val="clear" w:color="auto" w:fill="FFFFFF"/>
              </w:rPr>
              <w:t>rámci verejnej výzvy na predkladanie ponúk</w:t>
            </w:r>
          </w:p>
          <w:p w14:paraId="48AA79D1" w14:textId="28BFB1C8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3. </w:t>
            </w:r>
            <w:r w:rsidRPr="003371C2">
              <w:rPr>
                <w:noProof/>
              </w:rPr>
              <w:t>nahlasovanie nezrovnalostí vo vzťahu</w:t>
            </w:r>
            <w:r w:rsidR="003371C2">
              <w:rPr>
                <w:noProof/>
              </w:rPr>
              <w:t xml:space="preserve"> k </w:t>
            </w:r>
            <w:r w:rsidRPr="003371C2">
              <w:rPr>
                <w:noProof/>
              </w:rPr>
              <w:t>postupom verejného obstarávania</w:t>
            </w:r>
          </w:p>
          <w:p w14:paraId="4F101B38" w14:textId="77777777" w:rsidR="00926D77" w:rsidRPr="003371C2" w:rsidRDefault="00926D77">
            <w:pPr>
              <w:spacing w:after="0"/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  <w:tr w:rsidR="00926D77" w:rsidRPr="003371C2" w14:paraId="0302E363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EDB" w14:textId="443D059A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>AH. Bezpečnosť</w:t>
            </w:r>
            <w:r w:rsidR="003371C2">
              <w:rPr>
                <w:noProof/>
                <w:color w:val="000000"/>
                <w:shd w:val="clear" w:color="auto" w:fill="FFFFFF"/>
              </w:rPr>
              <w:t xml:space="preserve"> a </w:t>
            </w:r>
            <w:r w:rsidRPr="003371C2">
              <w:rPr>
                <w:noProof/>
                <w:color w:val="000000"/>
                <w:shd w:val="clear" w:color="auto" w:fill="FFFFFF"/>
              </w:rPr>
              <w:t>ochrana zdravia pri práci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06D" w14:textId="3D08851F" w:rsidR="00926D77" w:rsidRPr="003371C2" w:rsidRDefault="00926D77">
            <w:pPr>
              <w:rPr>
                <w:rFonts w:eastAsia="Times New Roman"/>
                <w:noProof/>
                <w:szCs w:val="24"/>
              </w:rPr>
            </w:pPr>
            <w:r w:rsidRPr="003371C2">
              <w:rPr>
                <w:noProof/>
                <w:color w:val="000000"/>
                <w:shd w:val="clear" w:color="auto" w:fill="FFFFFF"/>
              </w:rPr>
              <w:t xml:space="preserve">1. </w:t>
            </w:r>
            <w:r w:rsidRPr="003371C2">
              <w:rPr>
                <w:noProof/>
              </w:rPr>
              <w:t>povinnosti</w:t>
            </w:r>
            <w:r w:rsidR="003371C2">
              <w:rPr>
                <w:noProof/>
              </w:rPr>
              <w:t xml:space="preserve"> v </w:t>
            </w:r>
            <w:r w:rsidRPr="003371C2">
              <w:rPr>
                <w:noProof/>
              </w:rPr>
              <w:t>oblasti zdravia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bezpečnosti podľa rôznych druhov činností vrátane predchádzania rizikám, informácií</w:t>
            </w:r>
            <w:r w:rsidR="003371C2">
              <w:rPr>
                <w:noProof/>
              </w:rPr>
              <w:t xml:space="preserve"> a </w:t>
            </w:r>
            <w:r w:rsidRPr="003371C2">
              <w:rPr>
                <w:noProof/>
              </w:rPr>
              <w:t>odbornej prípravy“</w:t>
            </w:r>
          </w:p>
          <w:p w14:paraId="19AFA969" w14:textId="77777777" w:rsidR="00926D77" w:rsidRPr="003371C2" w:rsidRDefault="00926D77">
            <w:pPr>
              <w:rPr>
                <w:noProof/>
                <w:color w:val="000000"/>
                <w:szCs w:val="24"/>
                <w:shd w:val="clear" w:color="auto" w:fill="FFFFFF"/>
              </w:rPr>
            </w:pPr>
          </w:p>
        </w:tc>
      </w:tr>
    </w:tbl>
    <w:p w14:paraId="69C91C68" w14:textId="22AB1744" w:rsidR="00A2210E" w:rsidRPr="003371C2" w:rsidRDefault="00A2210E" w:rsidP="00957A60">
      <w:pPr>
        <w:pStyle w:val="Titrearticle"/>
        <w:rPr>
          <w:noProof/>
        </w:rPr>
      </w:pPr>
      <w:r w:rsidRPr="003371C2">
        <w:rPr>
          <w:noProof/>
        </w:rPr>
        <w:t>Článok 3</w:t>
      </w:r>
    </w:p>
    <w:p w14:paraId="13DC79DE" w14:textId="3B29A700" w:rsidR="00957A60" w:rsidRPr="003371C2" w:rsidRDefault="00957A60" w:rsidP="00957A60">
      <w:pPr>
        <w:pStyle w:val="Titrearticle"/>
        <w:rPr>
          <w:noProof/>
        </w:rPr>
      </w:pPr>
      <w:r w:rsidRPr="003371C2">
        <w:rPr>
          <w:noProof/>
        </w:rPr>
        <w:t>Nadobudnutie účinnosti</w:t>
      </w:r>
    </w:p>
    <w:p w14:paraId="1D238ACB" w14:textId="2F8CDC0D" w:rsidR="00A2210E" w:rsidRPr="001A5DF1" w:rsidRDefault="00583DB6" w:rsidP="38E9039C">
      <w:pPr>
        <w:rPr>
          <w:noProof/>
          <w:highlight w:val="magenta"/>
        </w:rPr>
      </w:pPr>
      <w:r w:rsidRPr="003371C2">
        <w:rPr>
          <w:noProof/>
        </w:rPr>
        <w:t>Toto nariadenie nadobúda účinnosť dvadsiatym dňom po jeho uverejnení</w:t>
      </w:r>
      <w:r w:rsidR="003371C2">
        <w:rPr>
          <w:noProof/>
        </w:rPr>
        <w:t xml:space="preserve"> v </w:t>
      </w:r>
      <w:r w:rsidRPr="003371C2">
        <w:rPr>
          <w:i/>
          <w:noProof/>
        </w:rPr>
        <w:t>Úradnom vestníku Európskej únie</w:t>
      </w:r>
      <w:r w:rsidRPr="003371C2">
        <w:rPr>
          <w:noProof/>
        </w:rPr>
        <w:t>.</w:t>
      </w:r>
    </w:p>
    <w:p w14:paraId="77905081" w14:textId="78EB1557" w:rsidR="00A2210E" w:rsidRPr="003371C2" w:rsidRDefault="00A2210E" w:rsidP="00FA3D6F">
      <w:pPr>
        <w:pStyle w:val="Applicationdirecte"/>
        <w:rPr>
          <w:noProof/>
        </w:rPr>
      </w:pPr>
      <w:r w:rsidRPr="003371C2">
        <w:rPr>
          <w:noProof/>
        </w:rPr>
        <w:t>Toto nariadenie je záväzné</w:t>
      </w:r>
      <w:r w:rsidR="003371C2">
        <w:rPr>
          <w:noProof/>
        </w:rPr>
        <w:t xml:space="preserve"> v </w:t>
      </w:r>
      <w:r w:rsidRPr="003371C2">
        <w:rPr>
          <w:noProof/>
        </w:rPr>
        <w:t>celom rozsahu</w:t>
      </w:r>
      <w:r w:rsidR="003371C2">
        <w:rPr>
          <w:noProof/>
        </w:rPr>
        <w:t xml:space="preserve"> a </w:t>
      </w:r>
      <w:r w:rsidRPr="003371C2">
        <w:rPr>
          <w:noProof/>
        </w:rPr>
        <w:t>priamo uplatniteľné vo všetkých členských štátoch.</w:t>
      </w:r>
    </w:p>
    <w:p w14:paraId="5CE23979" w14:textId="6469F6A2" w:rsidR="00A2210E" w:rsidRPr="003371C2" w:rsidRDefault="00780360" w:rsidP="002D024B">
      <w:pPr>
        <w:pStyle w:val="Fait"/>
        <w:rPr>
          <w:noProof/>
        </w:rPr>
      </w:pPr>
      <w:r w:rsidRPr="00780360">
        <w:t>V Bruseli</w:t>
      </w:r>
    </w:p>
    <w:p w14:paraId="6DC3B2E4" w14:textId="77777777" w:rsidR="00A2210E" w:rsidRPr="003371C2" w:rsidRDefault="00A2210E" w:rsidP="002D024B">
      <w:pPr>
        <w:pStyle w:val="Institutionquisigne"/>
        <w:rPr>
          <w:noProof/>
        </w:rPr>
      </w:pPr>
      <w:r w:rsidRPr="003371C2">
        <w:rPr>
          <w:noProof/>
        </w:rPr>
        <w:t>Za Európsky parlament</w:t>
      </w:r>
      <w:r w:rsidRPr="003371C2">
        <w:rPr>
          <w:noProof/>
        </w:rPr>
        <w:tab/>
        <w:t>Za Radu</w:t>
      </w:r>
    </w:p>
    <w:p w14:paraId="7CD7B580" w14:textId="39AEF23B" w:rsidR="00E95A4E" w:rsidRPr="003371C2" w:rsidRDefault="00A2210E" w:rsidP="00803859">
      <w:pPr>
        <w:pStyle w:val="Personnequisigne"/>
        <w:rPr>
          <w:noProof/>
        </w:rPr>
      </w:pPr>
      <w:r w:rsidRPr="003371C2">
        <w:rPr>
          <w:noProof/>
        </w:rPr>
        <w:t>predseda/predsedníčka</w:t>
      </w:r>
      <w:r w:rsidRPr="003371C2">
        <w:rPr>
          <w:noProof/>
        </w:rPr>
        <w:tab/>
        <w:t>predseda/predsedníčka</w:t>
      </w:r>
    </w:p>
    <w:sectPr w:rsidR="00E95A4E" w:rsidRPr="003371C2" w:rsidSect="008E47BD">
      <w:footerReference w:type="default" r:id="rId13"/>
      <w:footerReference w:type="first" r:id="rId14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5822" w14:textId="77777777" w:rsidR="00E55A41" w:rsidRDefault="00E55A41" w:rsidP="00A2210E">
      <w:pPr>
        <w:spacing w:before="0" w:after="0"/>
      </w:pPr>
      <w:r>
        <w:separator/>
      </w:r>
    </w:p>
  </w:endnote>
  <w:endnote w:type="continuationSeparator" w:id="0">
    <w:p w14:paraId="1EDE5F51" w14:textId="77777777" w:rsidR="00E55A41" w:rsidRDefault="00E55A41" w:rsidP="00A2210E">
      <w:pPr>
        <w:spacing w:before="0" w:after="0"/>
      </w:pPr>
      <w:r>
        <w:continuationSeparator/>
      </w:r>
    </w:p>
  </w:endnote>
  <w:endnote w:type="continuationNotice" w:id="1">
    <w:p w14:paraId="71D3899D" w14:textId="77777777" w:rsidR="00E55A41" w:rsidRDefault="00E55A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3090" w14:textId="7DA93BCB" w:rsidR="00155317" w:rsidRPr="008E47BD" w:rsidRDefault="008E47BD" w:rsidP="008E47BD">
    <w:pPr>
      <w:pStyle w:val="Footer"/>
      <w:rPr>
        <w:rFonts w:ascii="Arial" w:hAnsi="Arial" w:cs="Arial"/>
        <w:b/>
        <w:sz w:val="48"/>
      </w:rPr>
    </w:pPr>
    <w:r w:rsidRPr="008E47BD">
      <w:rPr>
        <w:rFonts w:ascii="Arial" w:hAnsi="Arial" w:cs="Arial"/>
        <w:b/>
        <w:sz w:val="48"/>
      </w:rPr>
      <w:t>SK</w:t>
    </w:r>
    <w:r w:rsidRPr="008E47BD">
      <w:rPr>
        <w:rFonts w:ascii="Arial" w:hAnsi="Arial" w:cs="Arial"/>
        <w:b/>
        <w:sz w:val="48"/>
      </w:rPr>
      <w:tab/>
    </w:r>
    <w:r w:rsidRPr="008E47BD">
      <w:rPr>
        <w:rFonts w:ascii="Arial" w:hAnsi="Arial" w:cs="Arial"/>
        <w:b/>
        <w:sz w:val="48"/>
      </w:rPr>
      <w:tab/>
    </w:r>
    <w:r w:rsidRPr="008E47BD">
      <w:tab/>
    </w:r>
    <w:r w:rsidRPr="008E47BD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D5EC" w14:textId="720D2EEE" w:rsidR="008E47BD" w:rsidRPr="008E47BD" w:rsidRDefault="008E47BD" w:rsidP="008E47BD">
    <w:pPr>
      <w:pStyle w:val="Footer"/>
      <w:rPr>
        <w:rFonts w:ascii="Arial" w:hAnsi="Arial" w:cs="Arial"/>
        <w:b/>
        <w:sz w:val="48"/>
      </w:rPr>
    </w:pPr>
    <w:r w:rsidRPr="008E47BD">
      <w:rPr>
        <w:rFonts w:ascii="Arial" w:hAnsi="Arial" w:cs="Arial"/>
        <w:b/>
        <w:sz w:val="48"/>
      </w:rPr>
      <w:t>SK</w:t>
    </w:r>
    <w:r w:rsidRPr="008E47B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D024B">
      <w:rPr>
        <w:noProof/>
      </w:rPr>
      <w:t>8</w:t>
    </w:r>
    <w:r>
      <w:fldChar w:fldCharType="end"/>
    </w:r>
    <w:r>
      <w:tab/>
    </w:r>
    <w:r w:rsidRPr="008E47BD">
      <w:tab/>
    </w:r>
    <w:r w:rsidRPr="008E47BD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3332" w14:textId="77777777" w:rsidR="008E47BD" w:rsidRPr="008E47BD" w:rsidRDefault="008E47BD" w:rsidP="008E4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2440" w14:textId="77777777" w:rsidR="00E55A41" w:rsidRDefault="00E55A41" w:rsidP="00A2210E">
      <w:pPr>
        <w:spacing w:before="0" w:after="0"/>
      </w:pPr>
      <w:r>
        <w:separator/>
      </w:r>
    </w:p>
  </w:footnote>
  <w:footnote w:type="continuationSeparator" w:id="0">
    <w:p w14:paraId="7201BA54" w14:textId="77777777" w:rsidR="00E55A41" w:rsidRDefault="00E55A41" w:rsidP="00A2210E">
      <w:pPr>
        <w:spacing w:before="0" w:after="0"/>
      </w:pPr>
      <w:r>
        <w:continuationSeparator/>
      </w:r>
    </w:p>
  </w:footnote>
  <w:footnote w:type="continuationNotice" w:id="1">
    <w:p w14:paraId="4BE6F4BC" w14:textId="77777777" w:rsidR="00E55A41" w:rsidRDefault="00E55A41">
      <w:pPr>
        <w:spacing w:before="0" w:after="0"/>
      </w:pPr>
    </w:p>
  </w:footnote>
  <w:footnote w:id="2">
    <w:p w14:paraId="2230AC01" w14:textId="7CCE16A8" w:rsidR="00AE0D72" w:rsidRPr="001B5706" w:rsidRDefault="00AE0D72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Nariadenie Európskeho parlamentu</w:t>
      </w:r>
      <w:r w:rsidR="001B5706">
        <w:t xml:space="preserve"> a </w:t>
      </w:r>
      <w:r w:rsidRPr="001B5706">
        <w:t xml:space="preserve">Rady (EÚ) </w:t>
      </w:r>
      <w:r w:rsidR="001B5706">
        <w:t>č. </w:t>
      </w:r>
      <w:r w:rsidRPr="001B5706">
        <w:t>1024/2012</w:t>
      </w:r>
      <w:r w:rsidR="001B5706">
        <w:t xml:space="preserve"> z </w:t>
      </w:r>
      <w:r w:rsidRPr="001B5706">
        <w:t>25</w:t>
      </w:r>
      <w:r w:rsidR="001B5706">
        <w:t>. októbra</w:t>
      </w:r>
      <w:r w:rsidRPr="001B5706">
        <w:t xml:space="preserve"> 2012</w:t>
      </w:r>
      <w:r w:rsidR="001B5706">
        <w:t xml:space="preserve"> o </w:t>
      </w:r>
      <w:r w:rsidRPr="001B5706">
        <w:t>administratívnej spolupráci prostredníctvom informačného systému</w:t>
      </w:r>
      <w:r w:rsidR="001B5706">
        <w:t xml:space="preserve"> o </w:t>
      </w:r>
      <w:r w:rsidRPr="001B5706">
        <w:t>vnútornom trhu</w:t>
      </w:r>
      <w:r w:rsidR="001B5706">
        <w:t xml:space="preserve"> a o </w:t>
      </w:r>
      <w:r w:rsidRPr="001B5706">
        <w:t>zrušení rozhodnutia Komisie 2008/49/ES („nariadenie</w:t>
      </w:r>
      <w:r w:rsidR="001B5706">
        <w:t xml:space="preserve"> o </w:t>
      </w:r>
      <w:r w:rsidRPr="001B5706">
        <w:t>IMI“) (Ú. v. EÚ L 316, 14.11.2012, s. 1).</w:t>
      </w:r>
    </w:p>
  </w:footnote>
  <w:footnote w:id="3">
    <w:p w14:paraId="75987DEC" w14:textId="2FACBA2F" w:rsidR="0087751A" w:rsidRPr="001B5706" w:rsidRDefault="0087751A" w:rsidP="0087751A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Nariadenie Európskeho parlamentu</w:t>
      </w:r>
      <w:r w:rsidR="001B5706">
        <w:t xml:space="preserve"> a </w:t>
      </w:r>
      <w:r w:rsidRPr="001B5706">
        <w:t>Rady (EÚ) 2018/1724</w:t>
      </w:r>
      <w:r w:rsidR="001B5706">
        <w:t xml:space="preserve"> z </w:t>
      </w:r>
      <w:r w:rsidRPr="001B5706">
        <w:t>2</w:t>
      </w:r>
      <w:r w:rsidR="001B5706">
        <w:t>. októbra</w:t>
      </w:r>
      <w:r w:rsidRPr="001B5706">
        <w:t xml:space="preserve"> 2018</w:t>
      </w:r>
      <w:r w:rsidR="001B5706">
        <w:t xml:space="preserve"> o </w:t>
      </w:r>
      <w:r w:rsidRPr="001B5706">
        <w:t>zriadení jednotnej digitálnej brány na poskytovanie prístupu</w:t>
      </w:r>
      <w:r w:rsidR="001B5706">
        <w:t xml:space="preserve"> k </w:t>
      </w:r>
      <w:r w:rsidRPr="001B5706">
        <w:t>informáciám, postupom</w:t>
      </w:r>
      <w:r w:rsidR="001B5706">
        <w:t xml:space="preserve"> a </w:t>
      </w:r>
      <w:r w:rsidRPr="001B5706">
        <w:t>asistenčným službám</w:t>
      </w:r>
      <w:r w:rsidR="001B5706">
        <w:t xml:space="preserve"> a </w:t>
      </w:r>
      <w:r w:rsidRPr="001B5706">
        <w:t>službám riešenia problémov</w:t>
      </w:r>
      <w:r w:rsidR="001B5706">
        <w:t xml:space="preserve"> a o </w:t>
      </w:r>
      <w:r w:rsidRPr="001B5706">
        <w:t xml:space="preserve">zmene nariadenia (EÚ) </w:t>
      </w:r>
      <w:r w:rsidR="001B5706">
        <w:t>č. </w:t>
      </w:r>
      <w:r w:rsidRPr="001B5706">
        <w:t>1024/2012 (Ú. v. EÚ L 295, 21.11.2018, s. 1).</w:t>
      </w:r>
    </w:p>
  </w:footnote>
  <w:footnote w:id="4">
    <w:p w14:paraId="3ED1E19F" w14:textId="067121DD" w:rsidR="00C033BF" w:rsidRPr="001B5706" w:rsidRDefault="00C033BF" w:rsidP="00C033BF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Odkaz na stanovisko.</w:t>
      </w:r>
    </w:p>
  </w:footnote>
  <w:footnote w:id="5">
    <w:p w14:paraId="664FED16" w14:textId="6F388457" w:rsidR="005252AA" w:rsidRPr="001B5706" w:rsidRDefault="005252AA" w:rsidP="005252AA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Smernica Európskeho parlamentu</w:t>
      </w:r>
      <w:r w:rsidR="001B5706">
        <w:t xml:space="preserve"> a </w:t>
      </w:r>
      <w:r w:rsidRPr="001B5706">
        <w:t>Rady</w:t>
      </w:r>
      <w:r w:rsidR="001B5706">
        <w:t xml:space="preserve"> z </w:t>
      </w:r>
      <w:r w:rsidRPr="001B5706">
        <w:t>…</w:t>
      </w:r>
      <w:r w:rsidR="001B5706">
        <w:t xml:space="preserve"> o </w:t>
      </w:r>
      <w:r w:rsidRPr="001B5706">
        <w:t>európskych cezhraničných združeniach (odkaz na úradný vestník).</w:t>
      </w:r>
    </w:p>
  </w:footnote>
  <w:footnote w:id="6">
    <w:p w14:paraId="5B998DBD" w14:textId="1E432B6B" w:rsidR="00E536CF" w:rsidRPr="001B5706" w:rsidRDefault="00E536CF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Nariadenie Európskeho parlamentu</w:t>
      </w:r>
      <w:r w:rsidR="001B5706">
        <w:t xml:space="preserve"> a </w:t>
      </w:r>
      <w:r w:rsidRPr="001B5706">
        <w:t xml:space="preserve">Rady (EÚ) </w:t>
      </w:r>
      <w:r w:rsidR="001B5706">
        <w:t>č. </w:t>
      </w:r>
      <w:r w:rsidRPr="001B5706">
        <w:t>1024/2012</w:t>
      </w:r>
      <w:r w:rsidR="001B5706">
        <w:t xml:space="preserve"> z </w:t>
      </w:r>
      <w:r w:rsidRPr="001B5706">
        <w:t>25</w:t>
      </w:r>
      <w:r w:rsidR="001B5706">
        <w:t>. októbra</w:t>
      </w:r>
      <w:r w:rsidRPr="001B5706">
        <w:t xml:space="preserve"> 2012</w:t>
      </w:r>
      <w:r w:rsidR="001B5706">
        <w:t xml:space="preserve"> o </w:t>
      </w:r>
      <w:r w:rsidRPr="001B5706">
        <w:t>administratívnej spolupráci prostredníctvom informačného systému</w:t>
      </w:r>
      <w:r w:rsidR="001B5706">
        <w:t xml:space="preserve"> o </w:t>
      </w:r>
      <w:r w:rsidRPr="001B5706">
        <w:t>vnútornom trhu</w:t>
      </w:r>
      <w:r w:rsidR="001B5706">
        <w:t xml:space="preserve"> a o </w:t>
      </w:r>
      <w:r w:rsidRPr="001B5706">
        <w:t>zrušení rozhodnutia Komisie 2008/49/ES („nariadenie</w:t>
      </w:r>
      <w:r w:rsidR="001B5706">
        <w:t xml:space="preserve"> o </w:t>
      </w:r>
      <w:r w:rsidRPr="001B5706">
        <w:t>IMI“) (Ú. v. EÚ L 316, 14.11.2012, s. 1).</w:t>
      </w:r>
    </w:p>
  </w:footnote>
  <w:footnote w:id="7">
    <w:p w14:paraId="2C1A0679" w14:textId="26615D58" w:rsidR="00F333EE" w:rsidRPr="001B5706" w:rsidRDefault="00F333EE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Nariadenie Európskeho parlamentu</w:t>
      </w:r>
      <w:r w:rsidR="001B5706">
        <w:t xml:space="preserve"> a </w:t>
      </w:r>
      <w:r w:rsidRPr="001B5706">
        <w:t>Rady (EÚ) 2018/1724</w:t>
      </w:r>
      <w:r w:rsidR="001B5706">
        <w:t xml:space="preserve"> z </w:t>
      </w:r>
      <w:r w:rsidRPr="001B5706">
        <w:t>2</w:t>
      </w:r>
      <w:r w:rsidR="001B5706">
        <w:t>. októbra</w:t>
      </w:r>
      <w:r w:rsidRPr="001B5706">
        <w:t xml:space="preserve"> 2018</w:t>
      </w:r>
      <w:r w:rsidR="001B5706">
        <w:t xml:space="preserve"> o </w:t>
      </w:r>
      <w:r w:rsidRPr="001B5706">
        <w:t>zriadení jednotnej digitálnej brány na poskytovanie prístupu</w:t>
      </w:r>
      <w:r w:rsidR="001B5706">
        <w:t xml:space="preserve"> k </w:t>
      </w:r>
      <w:r w:rsidRPr="001B5706">
        <w:t>informáciám, postupom</w:t>
      </w:r>
      <w:r w:rsidR="001B5706">
        <w:t xml:space="preserve"> a </w:t>
      </w:r>
      <w:r w:rsidRPr="001B5706">
        <w:t>asistenčným službám</w:t>
      </w:r>
      <w:r w:rsidR="001B5706">
        <w:t xml:space="preserve"> a </w:t>
      </w:r>
      <w:r w:rsidRPr="001B5706">
        <w:t>službám riešenia problémov</w:t>
      </w:r>
      <w:r w:rsidR="001B5706">
        <w:t xml:space="preserve"> a o </w:t>
      </w:r>
      <w:r w:rsidRPr="001B5706">
        <w:t xml:space="preserve">zmene nariadenia (EÚ) </w:t>
      </w:r>
      <w:r w:rsidR="001B5706">
        <w:t>č. </w:t>
      </w:r>
      <w:r w:rsidRPr="001B5706">
        <w:t>1024/2012 (Ú. v. EÚ L 295, 21.11.2018, s. 1).</w:t>
      </w:r>
    </w:p>
  </w:footnote>
  <w:footnote w:id="8">
    <w:p w14:paraId="6B850632" w14:textId="33C53267" w:rsidR="000319D7" w:rsidRPr="001B5706" w:rsidRDefault="000319D7">
      <w:pPr>
        <w:pStyle w:val="FootnoteText"/>
      </w:pPr>
      <w:r w:rsidRPr="001B5706">
        <w:rPr>
          <w:rStyle w:val="FootnoteReference"/>
        </w:rPr>
        <w:footnoteRef/>
      </w:r>
      <w:r w:rsidRPr="001B5706">
        <w:tab/>
        <w:t>Nariadenie Európskeho parlamentu</w:t>
      </w:r>
      <w:r w:rsidR="001B5706">
        <w:t xml:space="preserve"> a </w:t>
      </w:r>
      <w:r w:rsidRPr="001B5706">
        <w:t>Rady (EÚ) 2018/1724</w:t>
      </w:r>
      <w:r w:rsidR="001B5706">
        <w:t xml:space="preserve"> z </w:t>
      </w:r>
      <w:r w:rsidRPr="001B5706">
        <w:t>2</w:t>
      </w:r>
      <w:r w:rsidR="001B5706">
        <w:t>. októbra</w:t>
      </w:r>
      <w:r w:rsidRPr="001B5706">
        <w:t xml:space="preserve"> 2018</w:t>
      </w:r>
      <w:r w:rsidR="001B5706">
        <w:t xml:space="preserve"> o </w:t>
      </w:r>
      <w:r w:rsidRPr="001B5706">
        <w:t>zriadení jednotnej digitálnej brány na poskytovanie prístupu</w:t>
      </w:r>
      <w:r w:rsidR="001B5706">
        <w:t xml:space="preserve"> k </w:t>
      </w:r>
      <w:r w:rsidRPr="001B5706">
        <w:t>informáciám, postupom</w:t>
      </w:r>
      <w:r w:rsidR="001B5706">
        <w:t xml:space="preserve"> a </w:t>
      </w:r>
      <w:r w:rsidRPr="001B5706">
        <w:t>asistenčným službám</w:t>
      </w:r>
      <w:r w:rsidR="001B5706">
        <w:t xml:space="preserve"> a </w:t>
      </w:r>
      <w:r w:rsidRPr="001B5706">
        <w:t>službám riešenia problémov</w:t>
      </w:r>
      <w:r w:rsidR="001B5706">
        <w:t xml:space="preserve"> a o </w:t>
      </w:r>
      <w:r w:rsidRPr="001B5706">
        <w:t xml:space="preserve">zmene nariadenia (EÚ) </w:t>
      </w:r>
      <w:r w:rsidR="001B5706">
        <w:t>č. </w:t>
      </w:r>
      <w:r w:rsidRPr="001B5706">
        <w:t>1024/2012 (Ú. v. EÚ L 295, 21.11.2018, s.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A36A0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0D0FD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1AC7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494C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  <w:lvlOverride w:ilvl="0">
      <w:startOverride w:val="1"/>
    </w:lvlOverride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4"/>
  </w:num>
  <w:num w:numId="15">
    <w:abstractNumId w:val="11"/>
  </w:num>
  <w:num w:numId="16">
    <w:abstractNumId w:val="13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09-04 17:11:21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ABB051A-7FCC-465E-B4C6-F4ADC5029702"/>
    <w:docVar w:name="LW_COVERPAGE_TYPE" w:val="1"/>
    <w:docVar w:name="LW_CROSSREFERENCE" w:val="&lt;UNUSED&gt;"/>
    <w:docVar w:name="LW_DocType" w:val="COM"/>
    <w:docVar w:name="LW_EMISSION" w:val="5. 9. 2023"/>
    <w:docVar w:name="LW_EMISSION_ISODATE" w:val="2023-09-05"/>
    <w:docVar w:name="LW_EMISSION_LOCATION" w:val="BRX"/>
    <w:docVar w:name="LW_EMISSION_PREFIX" w:val="V Bruseli"/>
    <w:docVar w:name="LW_EMISSION_SUFFIX" w:val=" 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Text s významom pre EHP)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314"/>
    <w:docVar w:name="LW_REF.II.NEW.CP_YEAR" w:val="2023"/>
    <w:docVar w:name="LW_REF.INST.NEW" w:val="COM"/>
    <w:docVar w:name="LW_REF.INST.NEW_ADOPTED" w:val="final"/>
    <w:docVar w:name="LW_REF.INST.NEW_TEXT" w:val="(2023) 515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Návrh"/>
    <w:docVar w:name="LW_SUPERTITRE" w:val="&lt;UNUSED&gt;"/>
    <w:docVar w:name="LW_TITRE.OBJ.CP" w:val="ktorým sa menia nariadenia (EÚ) č. 1024/2012 a (EÚ) 2018/1724, pokiaľ ide o používanie informačného systému o vnútornom trhu a jednotnej digitálnej brány na účely určitých požiadaviek stanovených v smernici Európskeho parlamentu a Rady (EÚ) …/… o európskych cezhraničných združeniach [COM(2023) 516] _x000b_ _x000b_ _x000b_"/>
    <w:docVar w:name="LW_TYPE.DOC.CP" w:val="NARIADENIE EURÓPSKEHO PARLAMENTU A RADY,"/>
    <w:docVar w:name="LwApiVersions" w:val="LW4CoDe 1.23.2.0; LW 8.0, Build 20211117"/>
  </w:docVars>
  <w:rsids>
    <w:rsidRoot w:val="00A2210E"/>
    <w:rsid w:val="00002B31"/>
    <w:rsid w:val="00003E21"/>
    <w:rsid w:val="000070AF"/>
    <w:rsid w:val="00010BF7"/>
    <w:rsid w:val="0001126D"/>
    <w:rsid w:val="00011788"/>
    <w:rsid w:val="000156DA"/>
    <w:rsid w:val="00023271"/>
    <w:rsid w:val="000319D7"/>
    <w:rsid w:val="00031E65"/>
    <w:rsid w:val="00033062"/>
    <w:rsid w:val="00033BE1"/>
    <w:rsid w:val="000340D5"/>
    <w:rsid w:val="000348BA"/>
    <w:rsid w:val="00034B77"/>
    <w:rsid w:val="0003679B"/>
    <w:rsid w:val="00037B74"/>
    <w:rsid w:val="00040E6C"/>
    <w:rsid w:val="00041669"/>
    <w:rsid w:val="00043A94"/>
    <w:rsid w:val="00043C8B"/>
    <w:rsid w:val="0004400F"/>
    <w:rsid w:val="00052BD1"/>
    <w:rsid w:val="00053554"/>
    <w:rsid w:val="00054458"/>
    <w:rsid w:val="00054ABF"/>
    <w:rsid w:val="00056BE4"/>
    <w:rsid w:val="00061274"/>
    <w:rsid w:val="00061835"/>
    <w:rsid w:val="000637D8"/>
    <w:rsid w:val="00067669"/>
    <w:rsid w:val="00070194"/>
    <w:rsid w:val="00071926"/>
    <w:rsid w:val="00073DE6"/>
    <w:rsid w:val="0007401F"/>
    <w:rsid w:val="000743A0"/>
    <w:rsid w:val="0007448B"/>
    <w:rsid w:val="00075C1C"/>
    <w:rsid w:val="00080A6B"/>
    <w:rsid w:val="00082B6D"/>
    <w:rsid w:val="00083FD7"/>
    <w:rsid w:val="00092866"/>
    <w:rsid w:val="00094671"/>
    <w:rsid w:val="0009575C"/>
    <w:rsid w:val="000957F1"/>
    <w:rsid w:val="000974C2"/>
    <w:rsid w:val="000A1BA8"/>
    <w:rsid w:val="000A1E89"/>
    <w:rsid w:val="000A5C92"/>
    <w:rsid w:val="000A63B0"/>
    <w:rsid w:val="000A6A1F"/>
    <w:rsid w:val="000A7FB9"/>
    <w:rsid w:val="000B228C"/>
    <w:rsid w:val="000B3F83"/>
    <w:rsid w:val="000B41AB"/>
    <w:rsid w:val="000B43E6"/>
    <w:rsid w:val="000B4818"/>
    <w:rsid w:val="000B7B6F"/>
    <w:rsid w:val="000C0CC1"/>
    <w:rsid w:val="000C2D83"/>
    <w:rsid w:val="000C3D34"/>
    <w:rsid w:val="000C3EDE"/>
    <w:rsid w:val="000C4775"/>
    <w:rsid w:val="000C5864"/>
    <w:rsid w:val="000C664E"/>
    <w:rsid w:val="000E07BE"/>
    <w:rsid w:val="000E245D"/>
    <w:rsid w:val="000E35FC"/>
    <w:rsid w:val="000E558E"/>
    <w:rsid w:val="000E6973"/>
    <w:rsid w:val="000E6CF7"/>
    <w:rsid w:val="000F11FA"/>
    <w:rsid w:val="000F2F5E"/>
    <w:rsid w:val="000F3AC6"/>
    <w:rsid w:val="000F3B34"/>
    <w:rsid w:val="001016EE"/>
    <w:rsid w:val="00102566"/>
    <w:rsid w:val="00102A05"/>
    <w:rsid w:val="001054F7"/>
    <w:rsid w:val="001065F5"/>
    <w:rsid w:val="00107033"/>
    <w:rsid w:val="00110D43"/>
    <w:rsid w:val="00111F55"/>
    <w:rsid w:val="00115D4C"/>
    <w:rsid w:val="00117F7A"/>
    <w:rsid w:val="00120D17"/>
    <w:rsid w:val="00120FF3"/>
    <w:rsid w:val="0012116C"/>
    <w:rsid w:val="001224B6"/>
    <w:rsid w:val="001238EF"/>
    <w:rsid w:val="001246A0"/>
    <w:rsid w:val="001248B5"/>
    <w:rsid w:val="00130073"/>
    <w:rsid w:val="001359A9"/>
    <w:rsid w:val="00137617"/>
    <w:rsid w:val="0014264C"/>
    <w:rsid w:val="00147F0E"/>
    <w:rsid w:val="00153A69"/>
    <w:rsid w:val="00155317"/>
    <w:rsid w:val="0015636D"/>
    <w:rsid w:val="00163047"/>
    <w:rsid w:val="00164815"/>
    <w:rsid w:val="001663AC"/>
    <w:rsid w:val="001670A3"/>
    <w:rsid w:val="001710EB"/>
    <w:rsid w:val="0017197E"/>
    <w:rsid w:val="00176A09"/>
    <w:rsid w:val="00181B87"/>
    <w:rsid w:val="0018444B"/>
    <w:rsid w:val="00184E23"/>
    <w:rsid w:val="001919FB"/>
    <w:rsid w:val="0019412A"/>
    <w:rsid w:val="00194786"/>
    <w:rsid w:val="0019535A"/>
    <w:rsid w:val="00197613"/>
    <w:rsid w:val="001A1702"/>
    <w:rsid w:val="001A5DF1"/>
    <w:rsid w:val="001A7EBF"/>
    <w:rsid w:val="001B081A"/>
    <w:rsid w:val="001B30A5"/>
    <w:rsid w:val="001B5706"/>
    <w:rsid w:val="001B5A88"/>
    <w:rsid w:val="001B6C40"/>
    <w:rsid w:val="001B7D51"/>
    <w:rsid w:val="001C4699"/>
    <w:rsid w:val="001C4E3B"/>
    <w:rsid w:val="001D1B49"/>
    <w:rsid w:val="001D1CCF"/>
    <w:rsid w:val="001D2343"/>
    <w:rsid w:val="001D7EF2"/>
    <w:rsid w:val="001E01B4"/>
    <w:rsid w:val="001E15C7"/>
    <w:rsid w:val="001E3BBE"/>
    <w:rsid w:val="001E7F12"/>
    <w:rsid w:val="001F14C0"/>
    <w:rsid w:val="001F6BAC"/>
    <w:rsid w:val="001F76B7"/>
    <w:rsid w:val="001F7E6A"/>
    <w:rsid w:val="002009C1"/>
    <w:rsid w:val="00201314"/>
    <w:rsid w:val="0020200F"/>
    <w:rsid w:val="0020348A"/>
    <w:rsid w:val="00206E58"/>
    <w:rsid w:val="00207989"/>
    <w:rsid w:val="00207F25"/>
    <w:rsid w:val="002104EE"/>
    <w:rsid w:val="00210BD2"/>
    <w:rsid w:val="002136CF"/>
    <w:rsid w:val="002176CB"/>
    <w:rsid w:val="0022050E"/>
    <w:rsid w:val="0022390B"/>
    <w:rsid w:val="0022500B"/>
    <w:rsid w:val="0023028D"/>
    <w:rsid w:val="00233DC7"/>
    <w:rsid w:val="002349CB"/>
    <w:rsid w:val="00234E16"/>
    <w:rsid w:val="002359CE"/>
    <w:rsid w:val="0023785B"/>
    <w:rsid w:val="00240C79"/>
    <w:rsid w:val="002455EF"/>
    <w:rsid w:val="00247779"/>
    <w:rsid w:val="0025052D"/>
    <w:rsid w:val="00251C1A"/>
    <w:rsid w:val="00251E01"/>
    <w:rsid w:val="00253323"/>
    <w:rsid w:val="00260C4B"/>
    <w:rsid w:val="00261136"/>
    <w:rsid w:val="0026341B"/>
    <w:rsid w:val="0026476C"/>
    <w:rsid w:val="00273DD3"/>
    <w:rsid w:val="00277B6A"/>
    <w:rsid w:val="00281004"/>
    <w:rsid w:val="00283BE2"/>
    <w:rsid w:val="0028525A"/>
    <w:rsid w:val="00285AED"/>
    <w:rsid w:val="00285BEE"/>
    <w:rsid w:val="0028741A"/>
    <w:rsid w:val="00291DEF"/>
    <w:rsid w:val="00293E07"/>
    <w:rsid w:val="0029533F"/>
    <w:rsid w:val="002A18EB"/>
    <w:rsid w:val="002A1E34"/>
    <w:rsid w:val="002A2492"/>
    <w:rsid w:val="002A39F1"/>
    <w:rsid w:val="002A40DB"/>
    <w:rsid w:val="002A54BE"/>
    <w:rsid w:val="002A77A0"/>
    <w:rsid w:val="002B181C"/>
    <w:rsid w:val="002B30AF"/>
    <w:rsid w:val="002B4A01"/>
    <w:rsid w:val="002B685B"/>
    <w:rsid w:val="002B743A"/>
    <w:rsid w:val="002B79D0"/>
    <w:rsid w:val="002C1435"/>
    <w:rsid w:val="002D024B"/>
    <w:rsid w:val="002D1E1F"/>
    <w:rsid w:val="002D742C"/>
    <w:rsid w:val="002E0332"/>
    <w:rsid w:val="002E18F1"/>
    <w:rsid w:val="002E70BB"/>
    <w:rsid w:val="002F017B"/>
    <w:rsid w:val="002F30D0"/>
    <w:rsid w:val="0030274E"/>
    <w:rsid w:val="00303874"/>
    <w:rsid w:val="00304FDC"/>
    <w:rsid w:val="00305691"/>
    <w:rsid w:val="00305A54"/>
    <w:rsid w:val="00306242"/>
    <w:rsid w:val="003101C0"/>
    <w:rsid w:val="00310299"/>
    <w:rsid w:val="003116BF"/>
    <w:rsid w:val="00314065"/>
    <w:rsid w:val="003162F0"/>
    <w:rsid w:val="00332C75"/>
    <w:rsid w:val="0033344A"/>
    <w:rsid w:val="0033371E"/>
    <w:rsid w:val="003371C2"/>
    <w:rsid w:val="003476AE"/>
    <w:rsid w:val="00350270"/>
    <w:rsid w:val="00352908"/>
    <w:rsid w:val="00355A98"/>
    <w:rsid w:val="00356756"/>
    <w:rsid w:val="00360621"/>
    <w:rsid w:val="00367192"/>
    <w:rsid w:val="003702B4"/>
    <w:rsid w:val="00371C7E"/>
    <w:rsid w:val="00371E8D"/>
    <w:rsid w:val="00374528"/>
    <w:rsid w:val="003748F0"/>
    <w:rsid w:val="00380BD7"/>
    <w:rsid w:val="00381854"/>
    <w:rsid w:val="00384800"/>
    <w:rsid w:val="003854D4"/>
    <w:rsid w:val="00385F04"/>
    <w:rsid w:val="00386943"/>
    <w:rsid w:val="00390646"/>
    <w:rsid w:val="0039069F"/>
    <w:rsid w:val="003907A1"/>
    <w:rsid w:val="00391D40"/>
    <w:rsid w:val="00394E5B"/>
    <w:rsid w:val="003953C1"/>
    <w:rsid w:val="00395E3B"/>
    <w:rsid w:val="0039743B"/>
    <w:rsid w:val="00397623"/>
    <w:rsid w:val="003A06CF"/>
    <w:rsid w:val="003A2204"/>
    <w:rsid w:val="003A2275"/>
    <w:rsid w:val="003B2EB0"/>
    <w:rsid w:val="003B47CB"/>
    <w:rsid w:val="003B4B65"/>
    <w:rsid w:val="003B5330"/>
    <w:rsid w:val="003B7276"/>
    <w:rsid w:val="003C276D"/>
    <w:rsid w:val="003C27FC"/>
    <w:rsid w:val="003C2E7D"/>
    <w:rsid w:val="003D1E95"/>
    <w:rsid w:val="003D2F0B"/>
    <w:rsid w:val="003D37FC"/>
    <w:rsid w:val="003E192D"/>
    <w:rsid w:val="003E1B5F"/>
    <w:rsid w:val="003E3251"/>
    <w:rsid w:val="003F2700"/>
    <w:rsid w:val="00402EAF"/>
    <w:rsid w:val="0040650F"/>
    <w:rsid w:val="004067C4"/>
    <w:rsid w:val="00406B0E"/>
    <w:rsid w:val="004072ED"/>
    <w:rsid w:val="00410CD4"/>
    <w:rsid w:val="00410E28"/>
    <w:rsid w:val="004128A9"/>
    <w:rsid w:val="00422605"/>
    <w:rsid w:val="0042648E"/>
    <w:rsid w:val="00430827"/>
    <w:rsid w:val="004355FA"/>
    <w:rsid w:val="00440F3B"/>
    <w:rsid w:val="00441219"/>
    <w:rsid w:val="0044440A"/>
    <w:rsid w:val="00444DC8"/>
    <w:rsid w:val="004469C8"/>
    <w:rsid w:val="004525C6"/>
    <w:rsid w:val="00457DFB"/>
    <w:rsid w:val="00461397"/>
    <w:rsid w:val="00471A20"/>
    <w:rsid w:val="00474CBD"/>
    <w:rsid w:val="00476125"/>
    <w:rsid w:val="0047657B"/>
    <w:rsid w:val="00476B41"/>
    <w:rsid w:val="00482F2B"/>
    <w:rsid w:val="00483037"/>
    <w:rsid w:val="00483485"/>
    <w:rsid w:val="00483D84"/>
    <w:rsid w:val="00483EFE"/>
    <w:rsid w:val="0048596F"/>
    <w:rsid w:val="00490ED8"/>
    <w:rsid w:val="004926F6"/>
    <w:rsid w:val="004936D2"/>
    <w:rsid w:val="00494612"/>
    <w:rsid w:val="00495616"/>
    <w:rsid w:val="00497992"/>
    <w:rsid w:val="004A360E"/>
    <w:rsid w:val="004A4EEB"/>
    <w:rsid w:val="004A5124"/>
    <w:rsid w:val="004A5AC2"/>
    <w:rsid w:val="004B298E"/>
    <w:rsid w:val="004B4584"/>
    <w:rsid w:val="004B7386"/>
    <w:rsid w:val="004C03DB"/>
    <w:rsid w:val="004C3AC9"/>
    <w:rsid w:val="004C6954"/>
    <w:rsid w:val="004C7643"/>
    <w:rsid w:val="004D2AA3"/>
    <w:rsid w:val="004D2B88"/>
    <w:rsid w:val="004D2DD1"/>
    <w:rsid w:val="004D33FC"/>
    <w:rsid w:val="004D4C8E"/>
    <w:rsid w:val="004D62E7"/>
    <w:rsid w:val="004D6F66"/>
    <w:rsid w:val="004E0762"/>
    <w:rsid w:val="004E09AB"/>
    <w:rsid w:val="004E135D"/>
    <w:rsid w:val="004E300B"/>
    <w:rsid w:val="004E426A"/>
    <w:rsid w:val="004F078E"/>
    <w:rsid w:val="004F12DA"/>
    <w:rsid w:val="004F3176"/>
    <w:rsid w:val="004F3C62"/>
    <w:rsid w:val="004F719E"/>
    <w:rsid w:val="0050411A"/>
    <w:rsid w:val="00505DAD"/>
    <w:rsid w:val="0050767B"/>
    <w:rsid w:val="005076AF"/>
    <w:rsid w:val="00510E40"/>
    <w:rsid w:val="00517F29"/>
    <w:rsid w:val="005216F4"/>
    <w:rsid w:val="00521704"/>
    <w:rsid w:val="00523D93"/>
    <w:rsid w:val="005252AA"/>
    <w:rsid w:val="00525323"/>
    <w:rsid w:val="00526BB3"/>
    <w:rsid w:val="00527B27"/>
    <w:rsid w:val="005306F9"/>
    <w:rsid w:val="005320CB"/>
    <w:rsid w:val="005355BE"/>
    <w:rsid w:val="00551CAC"/>
    <w:rsid w:val="00552A17"/>
    <w:rsid w:val="00554EAA"/>
    <w:rsid w:val="00557C74"/>
    <w:rsid w:val="00563809"/>
    <w:rsid w:val="005643A0"/>
    <w:rsid w:val="0056469A"/>
    <w:rsid w:val="00566733"/>
    <w:rsid w:val="00566A75"/>
    <w:rsid w:val="00567502"/>
    <w:rsid w:val="00582FB5"/>
    <w:rsid w:val="00583003"/>
    <w:rsid w:val="005830C9"/>
    <w:rsid w:val="00583DB6"/>
    <w:rsid w:val="005876A3"/>
    <w:rsid w:val="005912BF"/>
    <w:rsid w:val="0059372B"/>
    <w:rsid w:val="0059756B"/>
    <w:rsid w:val="005A0628"/>
    <w:rsid w:val="005A139E"/>
    <w:rsid w:val="005B028C"/>
    <w:rsid w:val="005B1EB6"/>
    <w:rsid w:val="005B21F8"/>
    <w:rsid w:val="005B2317"/>
    <w:rsid w:val="005B25D6"/>
    <w:rsid w:val="005B2D4D"/>
    <w:rsid w:val="005B41AB"/>
    <w:rsid w:val="005C4B4D"/>
    <w:rsid w:val="005C53D1"/>
    <w:rsid w:val="005D2623"/>
    <w:rsid w:val="005D51B5"/>
    <w:rsid w:val="005D6D99"/>
    <w:rsid w:val="005E5EF1"/>
    <w:rsid w:val="005E6798"/>
    <w:rsid w:val="005E6A17"/>
    <w:rsid w:val="005E6ABB"/>
    <w:rsid w:val="00600C9D"/>
    <w:rsid w:val="00601FB0"/>
    <w:rsid w:val="00602AF2"/>
    <w:rsid w:val="00610A3E"/>
    <w:rsid w:val="00617DA5"/>
    <w:rsid w:val="00624A6C"/>
    <w:rsid w:val="00627687"/>
    <w:rsid w:val="006362E8"/>
    <w:rsid w:val="00636E1F"/>
    <w:rsid w:val="00645448"/>
    <w:rsid w:val="00646F28"/>
    <w:rsid w:val="006473B7"/>
    <w:rsid w:val="00651568"/>
    <w:rsid w:val="00653157"/>
    <w:rsid w:val="0065438F"/>
    <w:rsid w:val="0065712D"/>
    <w:rsid w:val="00657A85"/>
    <w:rsid w:val="00657D57"/>
    <w:rsid w:val="00662EA6"/>
    <w:rsid w:val="00663F6B"/>
    <w:rsid w:val="0066562B"/>
    <w:rsid w:val="00666DDA"/>
    <w:rsid w:val="00667523"/>
    <w:rsid w:val="006709D9"/>
    <w:rsid w:val="00674861"/>
    <w:rsid w:val="00684B95"/>
    <w:rsid w:val="0068795A"/>
    <w:rsid w:val="006911FB"/>
    <w:rsid w:val="00692202"/>
    <w:rsid w:val="00692A6D"/>
    <w:rsid w:val="00694E94"/>
    <w:rsid w:val="006950CC"/>
    <w:rsid w:val="006A0A81"/>
    <w:rsid w:val="006A0B23"/>
    <w:rsid w:val="006A157C"/>
    <w:rsid w:val="006A1977"/>
    <w:rsid w:val="006A1A4D"/>
    <w:rsid w:val="006A6083"/>
    <w:rsid w:val="006A64F8"/>
    <w:rsid w:val="006A7FE5"/>
    <w:rsid w:val="006B2400"/>
    <w:rsid w:val="006B2D97"/>
    <w:rsid w:val="006B3182"/>
    <w:rsid w:val="006B5CFC"/>
    <w:rsid w:val="006B796B"/>
    <w:rsid w:val="006C0287"/>
    <w:rsid w:val="006D0281"/>
    <w:rsid w:val="006D11AD"/>
    <w:rsid w:val="006D2CCF"/>
    <w:rsid w:val="006E023D"/>
    <w:rsid w:val="006E0C0E"/>
    <w:rsid w:val="006E1B99"/>
    <w:rsid w:val="006E1BD0"/>
    <w:rsid w:val="006E5791"/>
    <w:rsid w:val="006E7A48"/>
    <w:rsid w:val="006E7F5A"/>
    <w:rsid w:val="006F0FBB"/>
    <w:rsid w:val="006F115E"/>
    <w:rsid w:val="006F164A"/>
    <w:rsid w:val="006F54BB"/>
    <w:rsid w:val="006F58DB"/>
    <w:rsid w:val="00700250"/>
    <w:rsid w:val="007037B1"/>
    <w:rsid w:val="00704078"/>
    <w:rsid w:val="007050CC"/>
    <w:rsid w:val="00705187"/>
    <w:rsid w:val="007058FA"/>
    <w:rsid w:val="0070736B"/>
    <w:rsid w:val="00710C5F"/>
    <w:rsid w:val="007111C7"/>
    <w:rsid w:val="00714F68"/>
    <w:rsid w:val="0071725A"/>
    <w:rsid w:val="0071757F"/>
    <w:rsid w:val="007206C5"/>
    <w:rsid w:val="00720DB9"/>
    <w:rsid w:val="00724372"/>
    <w:rsid w:val="0072478C"/>
    <w:rsid w:val="00730506"/>
    <w:rsid w:val="00736FCC"/>
    <w:rsid w:val="00741552"/>
    <w:rsid w:val="00742925"/>
    <w:rsid w:val="00742D6E"/>
    <w:rsid w:val="007436D7"/>
    <w:rsid w:val="00744088"/>
    <w:rsid w:val="00745880"/>
    <w:rsid w:val="00746194"/>
    <w:rsid w:val="00747D76"/>
    <w:rsid w:val="00750AE3"/>
    <w:rsid w:val="00752306"/>
    <w:rsid w:val="007549B9"/>
    <w:rsid w:val="00756346"/>
    <w:rsid w:val="00764BDA"/>
    <w:rsid w:val="00766365"/>
    <w:rsid w:val="00767503"/>
    <w:rsid w:val="007676AA"/>
    <w:rsid w:val="00773002"/>
    <w:rsid w:val="00773331"/>
    <w:rsid w:val="00773BD4"/>
    <w:rsid w:val="00774536"/>
    <w:rsid w:val="007765E4"/>
    <w:rsid w:val="00780360"/>
    <w:rsid w:val="00781807"/>
    <w:rsid w:val="007879FD"/>
    <w:rsid w:val="00787B48"/>
    <w:rsid w:val="00790F92"/>
    <w:rsid w:val="007913D7"/>
    <w:rsid w:val="007929E7"/>
    <w:rsid w:val="007932EF"/>
    <w:rsid w:val="00797B28"/>
    <w:rsid w:val="007A14FA"/>
    <w:rsid w:val="007A206C"/>
    <w:rsid w:val="007A2CE2"/>
    <w:rsid w:val="007A4B6A"/>
    <w:rsid w:val="007A5A7A"/>
    <w:rsid w:val="007B46F2"/>
    <w:rsid w:val="007B56E6"/>
    <w:rsid w:val="007B6042"/>
    <w:rsid w:val="007B6D24"/>
    <w:rsid w:val="007C379A"/>
    <w:rsid w:val="007C4AC8"/>
    <w:rsid w:val="007C4C29"/>
    <w:rsid w:val="007C591F"/>
    <w:rsid w:val="007D4A13"/>
    <w:rsid w:val="007D4A91"/>
    <w:rsid w:val="007E05B0"/>
    <w:rsid w:val="007E109F"/>
    <w:rsid w:val="007E1617"/>
    <w:rsid w:val="007E5B69"/>
    <w:rsid w:val="007E610B"/>
    <w:rsid w:val="007E6251"/>
    <w:rsid w:val="007F1908"/>
    <w:rsid w:val="007F197C"/>
    <w:rsid w:val="007F2263"/>
    <w:rsid w:val="007F3844"/>
    <w:rsid w:val="007F46E2"/>
    <w:rsid w:val="007F6C63"/>
    <w:rsid w:val="007F783A"/>
    <w:rsid w:val="008003DA"/>
    <w:rsid w:val="00801DCC"/>
    <w:rsid w:val="00803859"/>
    <w:rsid w:val="0080563C"/>
    <w:rsid w:val="00805DA0"/>
    <w:rsid w:val="0080625E"/>
    <w:rsid w:val="0080627A"/>
    <w:rsid w:val="008100CA"/>
    <w:rsid w:val="00810CE0"/>
    <w:rsid w:val="00811DF3"/>
    <w:rsid w:val="00816AE0"/>
    <w:rsid w:val="00820675"/>
    <w:rsid w:val="00820C6D"/>
    <w:rsid w:val="00827CA4"/>
    <w:rsid w:val="00830E13"/>
    <w:rsid w:val="008312A3"/>
    <w:rsid w:val="00832F1B"/>
    <w:rsid w:val="0084130D"/>
    <w:rsid w:val="00841CE0"/>
    <w:rsid w:val="00841F72"/>
    <w:rsid w:val="008422A5"/>
    <w:rsid w:val="0084334E"/>
    <w:rsid w:val="00844FFD"/>
    <w:rsid w:val="008451C2"/>
    <w:rsid w:val="00845E0D"/>
    <w:rsid w:val="0084683C"/>
    <w:rsid w:val="008479B9"/>
    <w:rsid w:val="0085254F"/>
    <w:rsid w:val="008548E4"/>
    <w:rsid w:val="00854C97"/>
    <w:rsid w:val="00854D99"/>
    <w:rsid w:val="00857A70"/>
    <w:rsid w:val="00861F93"/>
    <w:rsid w:val="00866FB1"/>
    <w:rsid w:val="00873EA8"/>
    <w:rsid w:val="0087439D"/>
    <w:rsid w:val="00874D22"/>
    <w:rsid w:val="00875A0F"/>
    <w:rsid w:val="00876D88"/>
    <w:rsid w:val="0087751A"/>
    <w:rsid w:val="008801D6"/>
    <w:rsid w:val="00881BC3"/>
    <w:rsid w:val="00882F28"/>
    <w:rsid w:val="008837AC"/>
    <w:rsid w:val="00885179"/>
    <w:rsid w:val="0088754D"/>
    <w:rsid w:val="0089069F"/>
    <w:rsid w:val="008908C7"/>
    <w:rsid w:val="00890A0C"/>
    <w:rsid w:val="008A20BC"/>
    <w:rsid w:val="008A2914"/>
    <w:rsid w:val="008A303C"/>
    <w:rsid w:val="008A36AB"/>
    <w:rsid w:val="008B4B61"/>
    <w:rsid w:val="008B4E66"/>
    <w:rsid w:val="008B757D"/>
    <w:rsid w:val="008B7FA8"/>
    <w:rsid w:val="008C56BB"/>
    <w:rsid w:val="008C6CFD"/>
    <w:rsid w:val="008D0E87"/>
    <w:rsid w:val="008D1CDB"/>
    <w:rsid w:val="008D1F39"/>
    <w:rsid w:val="008D28CA"/>
    <w:rsid w:val="008D3247"/>
    <w:rsid w:val="008D4131"/>
    <w:rsid w:val="008D6AC1"/>
    <w:rsid w:val="008E1231"/>
    <w:rsid w:val="008E47BD"/>
    <w:rsid w:val="008E4D8E"/>
    <w:rsid w:val="008E7081"/>
    <w:rsid w:val="008F2314"/>
    <w:rsid w:val="008F696E"/>
    <w:rsid w:val="0090091C"/>
    <w:rsid w:val="009017BA"/>
    <w:rsid w:val="009023D3"/>
    <w:rsid w:val="0090245B"/>
    <w:rsid w:val="00903067"/>
    <w:rsid w:val="00903B57"/>
    <w:rsid w:val="00906C9F"/>
    <w:rsid w:val="00912FA8"/>
    <w:rsid w:val="0091572F"/>
    <w:rsid w:val="00916779"/>
    <w:rsid w:val="00916999"/>
    <w:rsid w:val="009175F9"/>
    <w:rsid w:val="0092279D"/>
    <w:rsid w:val="00923FF0"/>
    <w:rsid w:val="009246A6"/>
    <w:rsid w:val="00924774"/>
    <w:rsid w:val="0092490E"/>
    <w:rsid w:val="00926D77"/>
    <w:rsid w:val="00930DCD"/>
    <w:rsid w:val="0093287C"/>
    <w:rsid w:val="00933AB7"/>
    <w:rsid w:val="009356C4"/>
    <w:rsid w:val="009358AD"/>
    <w:rsid w:val="0093643B"/>
    <w:rsid w:val="009379B1"/>
    <w:rsid w:val="009407DC"/>
    <w:rsid w:val="00941F0E"/>
    <w:rsid w:val="00943136"/>
    <w:rsid w:val="00946763"/>
    <w:rsid w:val="009474C8"/>
    <w:rsid w:val="00947F81"/>
    <w:rsid w:val="0095370E"/>
    <w:rsid w:val="00954961"/>
    <w:rsid w:val="00957562"/>
    <w:rsid w:val="00957A60"/>
    <w:rsid w:val="009603DE"/>
    <w:rsid w:val="00961D45"/>
    <w:rsid w:val="00962985"/>
    <w:rsid w:val="00962E0C"/>
    <w:rsid w:val="00962E9C"/>
    <w:rsid w:val="00964A28"/>
    <w:rsid w:val="009678BE"/>
    <w:rsid w:val="00967E2E"/>
    <w:rsid w:val="00972988"/>
    <w:rsid w:val="009748F4"/>
    <w:rsid w:val="0097595B"/>
    <w:rsid w:val="00980B33"/>
    <w:rsid w:val="00982F47"/>
    <w:rsid w:val="0098300B"/>
    <w:rsid w:val="00985B59"/>
    <w:rsid w:val="00986323"/>
    <w:rsid w:val="009922F1"/>
    <w:rsid w:val="009A1557"/>
    <w:rsid w:val="009A2476"/>
    <w:rsid w:val="009A3A30"/>
    <w:rsid w:val="009A6416"/>
    <w:rsid w:val="009A786F"/>
    <w:rsid w:val="009B0341"/>
    <w:rsid w:val="009B045A"/>
    <w:rsid w:val="009B33EF"/>
    <w:rsid w:val="009B5677"/>
    <w:rsid w:val="009B61F2"/>
    <w:rsid w:val="009B638A"/>
    <w:rsid w:val="009B6A0C"/>
    <w:rsid w:val="009B6D60"/>
    <w:rsid w:val="009B6FCA"/>
    <w:rsid w:val="009B76DC"/>
    <w:rsid w:val="009C0B85"/>
    <w:rsid w:val="009D15EC"/>
    <w:rsid w:val="009D1600"/>
    <w:rsid w:val="009D162C"/>
    <w:rsid w:val="009D16A9"/>
    <w:rsid w:val="009E0F8C"/>
    <w:rsid w:val="009E51B3"/>
    <w:rsid w:val="009E59DE"/>
    <w:rsid w:val="009F1FD4"/>
    <w:rsid w:val="009F259F"/>
    <w:rsid w:val="009F2919"/>
    <w:rsid w:val="009F2C42"/>
    <w:rsid w:val="009F4F1F"/>
    <w:rsid w:val="009F558E"/>
    <w:rsid w:val="009F6138"/>
    <w:rsid w:val="009F78ED"/>
    <w:rsid w:val="00A00165"/>
    <w:rsid w:val="00A00C39"/>
    <w:rsid w:val="00A0298F"/>
    <w:rsid w:val="00A04F11"/>
    <w:rsid w:val="00A10654"/>
    <w:rsid w:val="00A12336"/>
    <w:rsid w:val="00A15245"/>
    <w:rsid w:val="00A2210E"/>
    <w:rsid w:val="00A2418A"/>
    <w:rsid w:val="00A2738B"/>
    <w:rsid w:val="00A314D0"/>
    <w:rsid w:val="00A37ED0"/>
    <w:rsid w:val="00A42ADC"/>
    <w:rsid w:val="00A4395F"/>
    <w:rsid w:val="00A43A6F"/>
    <w:rsid w:val="00A53C0E"/>
    <w:rsid w:val="00A53D85"/>
    <w:rsid w:val="00A54FED"/>
    <w:rsid w:val="00A56B65"/>
    <w:rsid w:val="00A56BFE"/>
    <w:rsid w:val="00A60200"/>
    <w:rsid w:val="00A637F5"/>
    <w:rsid w:val="00A66590"/>
    <w:rsid w:val="00A73130"/>
    <w:rsid w:val="00A76298"/>
    <w:rsid w:val="00A8014B"/>
    <w:rsid w:val="00A83444"/>
    <w:rsid w:val="00A906EC"/>
    <w:rsid w:val="00A94CCC"/>
    <w:rsid w:val="00A96250"/>
    <w:rsid w:val="00AA16CC"/>
    <w:rsid w:val="00AA6B1C"/>
    <w:rsid w:val="00AB2561"/>
    <w:rsid w:val="00AB7ABF"/>
    <w:rsid w:val="00AC1A60"/>
    <w:rsid w:val="00AC397C"/>
    <w:rsid w:val="00AC41EE"/>
    <w:rsid w:val="00AD016C"/>
    <w:rsid w:val="00AD0AEC"/>
    <w:rsid w:val="00AD39BA"/>
    <w:rsid w:val="00AD3AB0"/>
    <w:rsid w:val="00AD7409"/>
    <w:rsid w:val="00AE0330"/>
    <w:rsid w:val="00AE05EB"/>
    <w:rsid w:val="00AE0D72"/>
    <w:rsid w:val="00AE2E21"/>
    <w:rsid w:val="00AE75EC"/>
    <w:rsid w:val="00AF1296"/>
    <w:rsid w:val="00AF1F48"/>
    <w:rsid w:val="00B01668"/>
    <w:rsid w:val="00B03401"/>
    <w:rsid w:val="00B10891"/>
    <w:rsid w:val="00B1144F"/>
    <w:rsid w:val="00B11E87"/>
    <w:rsid w:val="00B14D94"/>
    <w:rsid w:val="00B16582"/>
    <w:rsid w:val="00B2067F"/>
    <w:rsid w:val="00B20D55"/>
    <w:rsid w:val="00B22A35"/>
    <w:rsid w:val="00B268FF"/>
    <w:rsid w:val="00B30F87"/>
    <w:rsid w:val="00B36B09"/>
    <w:rsid w:val="00B37E4C"/>
    <w:rsid w:val="00B51F2C"/>
    <w:rsid w:val="00B62990"/>
    <w:rsid w:val="00B629DF"/>
    <w:rsid w:val="00B65EC7"/>
    <w:rsid w:val="00B71212"/>
    <w:rsid w:val="00B764B1"/>
    <w:rsid w:val="00B76619"/>
    <w:rsid w:val="00B768C0"/>
    <w:rsid w:val="00B801C0"/>
    <w:rsid w:val="00B83037"/>
    <w:rsid w:val="00B832FF"/>
    <w:rsid w:val="00B87189"/>
    <w:rsid w:val="00B878CB"/>
    <w:rsid w:val="00B91F91"/>
    <w:rsid w:val="00B92AE0"/>
    <w:rsid w:val="00B92AF7"/>
    <w:rsid w:val="00B92FAA"/>
    <w:rsid w:val="00B93145"/>
    <w:rsid w:val="00B96DA0"/>
    <w:rsid w:val="00B97D7B"/>
    <w:rsid w:val="00BA04B2"/>
    <w:rsid w:val="00BA1193"/>
    <w:rsid w:val="00BA2FA4"/>
    <w:rsid w:val="00BA4C7F"/>
    <w:rsid w:val="00BB2A0A"/>
    <w:rsid w:val="00BB2B23"/>
    <w:rsid w:val="00BB4905"/>
    <w:rsid w:val="00BB5821"/>
    <w:rsid w:val="00BB7203"/>
    <w:rsid w:val="00BB7D5B"/>
    <w:rsid w:val="00BC3467"/>
    <w:rsid w:val="00BC432D"/>
    <w:rsid w:val="00BC7E0B"/>
    <w:rsid w:val="00BD034B"/>
    <w:rsid w:val="00BD2346"/>
    <w:rsid w:val="00BD36EF"/>
    <w:rsid w:val="00BD45A0"/>
    <w:rsid w:val="00BD4D3F"/>
    <w:rsid w:val="00BD5F72"/>
    <w:rsid w:val="00BE113E"/>
    <w:rsid w:val="00BE303E"/>
    <w:rsid w:val="00BE4022"/>
    <w:rsid w:val="00BE64CB"/>
    <w:rsid w:val="00BF098D"/>
    <w:rsid w:val="00BF102B"/>
    <w:rsid w:val="00BF1F77"/>
    <w:rsid w:val="00BF6B5E"/>
    <w:rsid w:val="00BF7C31"/>
    <w:rsid w:val="00C033BF"/>
    <w:rsid w:val="00C06721"/>
    <w:rsid w:val="00C0685A"/>
    <w:rsid w:val="00C10466"/>
    <w:rsid w:val="00C108D8"/>
    <w:rsid w:val="00C10AE5"/>
    <w:rsid w:val="00C12301"/>
    <w:rsid w:val="00C14B3E"/>
    <w:rsid w:val="00C21257"/>
    <w:rsid w:val="00C2253D"/>
    <w:rsid w:val="00C2561D"/>
    <w:rsid w:val="00C25A48"/>
    <w:rsid w:val="00C26B08"/>
    <w:rsid w:val="00C31A3E"/>
    <w:rsid w:val="00C34597"/>
    <w:rsid w:val="00C348C3"/>
    <w:rsid w:val="00C369CC"/>
    <w:rsid w:val="00C40640"/>
    <w:rsid w:val="00C45DD0"/>
    <w:rsid w:val="00C46924"/>
    <w:rsid w:val="00C50876"/>
    <w:rsid w:val="00C509BF"/>
    <w:rsid w:val="00C516D6"/>
    <w:rsid w:val="00C5291B"/>
    <w:rsid w:val="00C530FF"/>
    <w:rsid w:val="00C55090"/>
    <w:rsid w:val="00C5584D"/>
    <w:rsid w:val="00C624A3"/>
    <w:rsid w:val="00C632C4"/>
    <w:rsid w:val="00C64160"/>
    <w:rsid w:val="00C645B5"/>
    <w:rsid w:val="00C70C97"/>
    <w:rsid w:val="00C718B2"/>
    <w:rsid w:val="00C71A89"/>
    <w:rsid w:val="00C73FF3"/>
    <w:rsid w:val="00C77BEB"/>
    <w:rsid w:val="00C80608"/>
    <w:rsid w:val="00C8186E"/>
    <w:rsid w:val="00C824BE"/>
    <w:rsid w:val="00C8278B"/>
    <w:rsid w:val="00C82DB9"/>
    <w:rsid w:val="00C8560D"/>
    <w:rsid w:val="00C858B3"/>
    <w:rsid w:val="00C863D4"/>
    <w:rsid w:val="00C867F3"/>
    <w:rsid w:val="00C90649"/>
    <w:rsid w:val="00C91B3F"/>
    <w:rsid w:val="00C92341"/>
    <w:rsid w:val="00C94D83"/>
    <w:rsid w:val="00C956C3"/>
    <w:rsid w:val="00CA093E"/>
    <w:rsid w:val="00CA1948"/>
    <w:rsid w:val="00CA62DA"/>
    <w:rsid w:val="00CA642B"/>
    <w:rsid w:val="00CB4AC7"/>
    <w:rsid w:val="00CC5547"/>
    <w:rsid w:val="00CC76D6"/>
    <w:rsid w:val="00CC7F58"/>
    <w:rsid w:val="00CD002E"/>
    <w:rsid w:val="00CD0CB1"/>
    <w:rsid w:val="00CD1888"/>
    <w:rsid w:val="00CD4528"/>
    <w:rsid w:val="00CD59B5"/>
    <w:rsid w:val="00CD60C8"/>
    <w:rsid w:val="00CE1BE9"/>
    <w:rsid w:val="00CE405F"/>
    <w:rsid w:val="00CE463C"/>
    <w:rsid w:val="00CE525E"/>
    <w:rsid w:val="00CF0E1F"/>
    <w:rsid w:val="00CF398F"/>
    <w:rsid w:val="00CF4EFA"/>
    <w:rsid w:val="00CF696D"/>
    <w:rsid w:val="00D008A8"/>
    <w:rsid w:val="00D00DA1"/>
    <w:rsid w:val="00D012D0"/>
    <w:rsid w:val="00D036DD"/>
    <w:rsid w:val="00D077E3"/>
    <w:rsid w:val="00D07FA5"/>
    <w:rsid w:val="00D1193A"/>
    <w:rsid w:val="00D12991"/>
    <w:rsid w:val="00D15C30"/>
    <w:rsid w:val="00D16496"/>
    <w:rsid w:val="00D20381"/>
    <w:rsid w:val="00D22F72"/>
    <w:rsid w:val="00D2327D"/>
    <w:rsid w:val="00D279F0"/>
    <w:rsid w:val="00D27EAD"/>
    <w:rsid w:val="00D30592"/>
    <w:rsid w:val="00D31255"/>
    <w:rsid w:val="00D32405"/>
    <w:rsid w:val="00D337B5"/>
    <w:rsid w:val="00D3381F"/>
    <w:rsid w:val="00D35C40"/>
    <w:rsid w:val="00D360CE"/>
    <w:rsid w:val="00D3676C"/>
    <w:rsid w:val="00D36F94"/>
    <w:rsid w:val="00D4123F"/>
    <w:rsid w:val="00D44993"/>
    <w:rsid w:val="00D44FA7"/>
    <w:rsid w:val="00D44FDE"/>
    <w:rsid w:val="00D470BC"/>
    <w:rsid w:val="00D51327"/>
    <w:rsid w:val="00D531B0"/>
    <w:rsid w:val="00D55E5C"/>
    <w:rsid w:val="00D606E4"/>
    <w:rsid w:val="00D630A9"/>
    <w:rsid w:val="00D66579"/>
    <w:rsid w:val="00D735AE"/>
    <w:rsid w:val="00D7369B"/>
    <w:rsid w:val="00D752A9"/>
    <w:rsid w:val="00D765B3"/>
    <w:rsid w:val="00D811A6"/>
    <w:rsid w:val="00D8153B"/>
    <w:rsid w:val="00D818FE"/>
    <w:rsid w:val="00D84454"/>
    <w:rsid w:val="00D86167"/>
    <w:rsid w:val="00D86190"/>
    <w:rsid w:val="00D87D4C"/>
    <w:rsid w:val="00D9418F"/>
    <w:rsid w:val="00D97DC1"/>
    <w:rsid w:val="00DA0ACA"/>
    <w:rsid w:val="00DA14CC"/>
    <w:rsid w:val="00DA645F"/>
    <w:rsid w:val="00DB02BB"/>
    <w:rsid w:val="00DB16FA"/>
    <w:rsid w:val="00DB1B3D"/>
    <w:rsid w:val="00DB6065"/>
    <w:rsid w:val="00DB6AA7"/>
    <w:rsid w:val="00DC0C3C"/>
    <w:rsid w:val="00DC4798"/>
    <w:rsid w:val="00DD0A5A"/>
    <w:rsid w:val="00DD2AA5"/>
    <w:rsid w:val="00DD2E07"/>
    <w:rsid w:val="00DD325B"/>
    <w:rsid w:val="00DD39DA"/>
    <w:rsid w:val="00DD7DDE"/>
    <w:rsid w:val="00DE003A"/>
    <w:rsid w:val="00DE0497"/>
    <w:rsid w:val="00DE470A"/>
    <w:rsid w:val="00DE4C1F"/>
    <w:rsid w:val="00DE67C9"/>
    <w:rsid w:val="00DF2131"/>
    <w:rsid w:val="00DF21B3"/>
    <w:rsid w:val="00DF5B1D"/>
    <w:rsid w:val="00E00134"/>
    <w:rsid w:val="00E02113"/>
    <w:rsid w:val="00E05306"/>
    <w:rsid w:val="00E102DD"/>
    <w:rsid w:val="00E1102B"/>
    <w:rsid w:val="00E1264C"/>
    <w:rsid w:val="00E1360A"/>
    <w:rsid w:val="00E14435"/>
    <w:rsid w:val="00E14F06"/>
    <w:rsid w:val="00E2194E"/>
    <w:rsid w:val="00E222DA"/>
    <w:rsid w:val="00E232EF"/>
    <w:rsid w:val="00E245B2"/>
    <w:rsid w:val="00E25F9C"/>
    <w:rsid w:val="00E3350F"/>
    <w:rsid w:val="00E34B18"/>
    <w:rsid w:val="00E34B70"/>
    <w:rsid w:val="00E37F69"/>
    <w:rsid w:val="00E400B0"/>
    <w:rsid w:val="00E40233"/>
    <w:rsid w:val="00E40516"/>
    <w:rsid w:val="00E40FBC"/>
    <w:rsid w:val="00E42EEE"/>
    <w:rsid w:val="00E438F0"/>
    <w:rsid w:val="00E46D9A"/>
    <w:rsid w:val="00E50AAD"/>
    <w:rsid w:val="00E52A63"/>
    <w:rsid w:val="00E536CF"/>
    <w:rsid w:val="00E55A41"/>
    <w:rsid w:val="00E56CA7"/>
    <w:rsid w:val="00E57C1B"/>
    <w:rsid w:val="00E60ACD"/>
    <w:rsid w:val="00E62A3D"/>
    <w:rsid w:val="00E62B24"/>
    <w:rsid w:val="00E666DE"/>
    <w:rsid w:val="00E66FF7"/>
    <w:rsid w:val="00E70D07"/>
    <w:rsid w:val="00E73688"/>
    <w:rsid w:val="00E73C30"/>
    <w:rsid w:val="00E7451D"/>
    <w:rsid w:val="00E755EA"/>
    <w:rsid w:val="00E774CD"/>
    <w:rsid w:val="00E8057E"/>
    <w:rsid w:val="00E87418"/>
    <w:rsid w:val="00E90C96"/>
    <w:rsid w:val="00E9110D"/>
    <w:rsid w:val="00E914A9"/>
    <w:rsid w:val="00E91F41"/>
    <w:rsid w:val="00E922EB"/>
    <w:rsid w:val="00E92FCA"/>
    <w:rsid w:val="00E95A4E"/>
    <w:rsid w:val="00E96A34"/>
    <w:rsid w:val="00E97B24"/>
    <w:rsid w:val="00EA04C6"/>
    <w:rsid w:val="00EB4C98"/>
    <w:rsid w:val="00EB4DA2"/>
    <w:rsid w:val="00EB4FD2"/>
    <w:rsid w:val="00EB536C"/>
    <w:rsid w:val="00EB6105"/>
    <w:rsid w:val="00EB674B"/>
    <w:rsid w:val="00EC02C4"/>
    <w:rsid w:val="00EC35AE"/>
    <w:rsid w:val="00ED1C6D"/>
    <w:rsid w:val="00ED35B9"/>
    <w:rsid w:val="00ED61A2"/>
    <w:rsid w:val="00ED76A8"/>
    <w:rsid w:val="00EE0981"/>
    <w:rsid w:val="00EE665D"/>
    <w:rsid w:val="00EF1547"/>
    <w:rsid w:val="00F007E3"/>
    <w:rsid w:val="00F020D4"/>
    <w:rsid w:val="00F05317"/>
    <w:rsid w:val="00F06755"/>
    <w:rsid w:val="00F07470"/>
    <w:rsid w:val="00F12BCA"/>
    <w:rsid w:val="00F14AC8"/>
    <w:rsid w:val="00F15491"/>
    <w:rsid w:val="00F16C6A"/>
    <w:rsid w:val="00F1768D"/>
    <w:rsid w:val="00F21940"/>
    <w:rsid w:val="00F242A5"/>
    <w:rsid w:val="00F24B66"/>
    <w:rsid w:val="00F266DB"/>
    <w:rsid w:val="00F333EE"/>
    <w:rsid w:val="00F3529F"/>
    <w:rsid w:val="00F374CA"/>
    <w:rsid w:val="00F41CFF"/>
    <w:rsid w:val="00F43C25"/>
    <w:rsid w:val="00F43D0E"/>
    <w:rsid w:val="00F45BB0"/>
    <w:rsid w:val="00F46C41"/>
    <w:rsid w:val="00F5091D"/>
    <w:rsid w:val="00F5191F"/>
    <w:rsid w:val="00F520B8"/>
    <w:rsid w:val="00F536BD"/>
    <w:rsid w:val="00F56C25"/>
    <w:rsid w:val="00F6153B"/>
    <w:rsid w:val="00F618D0"/>
    <w:rsid w:val="00F632F9"/>
    <w:rsid w:val="00F635CD"/>
    <w:rsid w:val="00F65F47"/>
    <w:rsid w:val="00F66150"/>
    <w:rsid w:val="00F727B4"/>
    <w:rsid w:val="00F73130"/>
    <w:rsid w:val="00F806B2"/>
    <w:rsid w:val="00F80B93"/>
    <w:rsid w:val="00F83062"/>
    <w:rsid w:val="00F832E8"/>
    <w:rsid w:val="00F833BC"/>
    <w:rsid w:val="00F8502A"/>
    <w:rsid w:val="00F8549D"/>
    <w:rsid w:val="00F877AE"/>
    <w:rsid w:val="00F94CF8"/>
    <w:rsid w:val="00F971C1"/>
    <w:rsid w:val="00FA1573"/>
    <w:rsid w:val="00FA24C9"/>
    <w:rsid w:val="00FA3D6F"/>
    <w:rsid w:val="00FA4220"/>
    <w:rsid w:val="00FA583F"/>
    <w:rsid w:val="00FA69A1"/>
    <w:rsid w:val="00FB245C"/>
    <w:rsid w:val="00FB3013"/>
    <w:rsid w:val="00FC38F8"/>
    <w:rsid w:val="00FC6EA5"/>
    <w:rsid w:val="00FD347C"/>
    <w:rsid w:val="00FD5418"/>
    <w:rsid w:val="00FD563B"/>
    <w:rsid w:val="00FD72A4"/>
    <w:rsid w:val="00FE0DD3"/>
    <w:rsid w:val="00FE3467"/>
    <w:rsid w:val="00FE4C3F"/>
    <w:rsid w:val="00FE525D"/>
    <w:rsid w:val="00FE6CF9"/>
    <w:rsid w:val="00FE6E44"/>
    <w:rsid w:val="00FF1F41"/>
    <w:rsid w:val="00FF2B1C"/>
    <w:rsid w:val="00FF35C1"/>
    <w:rsid w:val="00FF4451"/>
    <w:rsid w:val="00FF68B7"/>
    <w:rsid w:val="00FF750C"/>
    <w:rsid w:val="0181901C"/>
    <w:rsid w:val="01DC873F"/>
    <w:rsid w:val="02D02D09"/>
    <w:rsid w:val="0660DB0E"/>
    <w:rsid w:val="092C815B"/>
    <w:rsid w:val="0B3F1A18"/>
    <w:rsid w:val="0C7294BE"/>
    <w:rsid w:val="0C9E35AD"/>
    <w:rsid w:val="0F8A8808"/>
    <w:rsid w:val="1222BD68"/>
    <w:rsid w:val="12985334"/>
    <w:rsid w:val="150DF41F"/>
    <w:rsid w:val="17592152"/>
    <w:rsid w:val="17AC9091"/>
    <w:rsid w:val="1859E4F4"/>
    <w:rsid w:val="1A7EF3F8"/>
    <w:rsid w:val="1AC5477A"/>
    <w:rsid w:val="1B7A9008"/>
    <w:rsid w:val="1C68E15B"/>
    <w:rsid w:val="2120AE3B"/>
    <w:rsid w:val="25E90D1D"/>
    <w:rsid w:val="289B239E"/>
    <w:rsid w:val="2AE15F91"/>
    <w:rsid w:val="2B012EAE"/>
    <w:rsid w:val="2E65794A"/>
    <w:rsid w:val="2EC3EC3E"/>
    <w:rsid w:val="2EF599D1"/>
    <w:rsid w:val="3125E903"/>
    <w:rsid w:val="31816739"/>
    <w:rsid w:val="34FCC6F9"/>
    <w:rsid w:val="3501A5BC"/>
    <w:rsid w:val="372D152D"/>
    <w:rsid w:val="38E9039C"/>
    <w:rsid w:val="3BD41CD9"/>
    <w:rsid w:val="4243AA02"/>
    <w:rsid w:val="428991A2"/>
    <w:rsid w:val="4357E3B3"/>
    <w:rsid w:val="43A035A7"/>
    <w:rsid w:val="4E337598"/>
    <w:rsid w:val="501773A0"/>
    <w:rsid w:val="508C6CB4"/>
    <w:rsid w:val="53613389"/>
    <w:rsid w:val="560FD8CB"/>
    <w:rsid w:val="566570F0"/>
    <w:rsid w:val="56B6BB22"/>
    <w:rsid w:val="5992F2D0"/>
    <w:rsid w:val="5A08EBD8"/>
    <w:rsid w:val="5B471C28"/>
    <w:rsid w:val="5CBF2175"/>
    <w:rsid w:val="5CC4C64F"/>
    <w:rsid w:val="5D151293"/>
    <w:rsid w:val="5DB94C9F"/>
    <w:rsid w:val="5FB07FB6"/>
    <w:rsid w:val="61B65DAC"/>
    <w:rsid w:val="6325B7D9"/>
    <w:rsid w:val="6759C90B"/>
    <w:rsid w:val="6902C3CD"/>
    <w:rsid w:val="6C0D99AF"/>
    <w:rsid w:val="6D361646"/>
    <w:rsid w:val="725B2F94"/>
    <w:rsid w:val="74ED520C"/>
    <w:rsid w:val="757323B3"/>
    <w:rsid w:val="7C4DFE52"/>
    <w:rsid w:val="7DC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8E4278"/>
  <w15:docId w15:val="{CCB75C79-45FA-4CD1-A487-C9BCDFD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ymbolCharCharCharChar">
    <w:name w:val="Footnote symbol Char Char Char Char"/>
    <w:aliases w:val="Voetnootverwijzing Char Char Char Char,Times 10 Point Char Char Char Char,Exposant 3 Point Char Char Char Char,Footnote Reference Superscript Char Char Char Cha"/>
    <w:basedOn w:val="Normal"/>
    <w:link w:val="FootnoteReference"/>
    <w:uiPriority w:val="99"/>
    <w:rsid w:val="007A4B6A"/>
    <w:pPr>
      <w:spacing w:before="0" w:after="160" w:line="240" w:lineRule="exact"/>
      <w:jc w:val="left"/>
    </w:pPr>
    <w:rPr>
      <w:rFonts w:asciiTheme="minorHAnsi" w:hAnsiTheme="minorHAnsi" w:cstheme="minorBidi"/>
      <w:sz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79D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79D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Revision">
    <w:name w:val="Revision"/>
    <w:hidden/>
    <w:uiPriority w:val="99"/>
    <w:semiHidden/>
    <w:rsid w:val="0092279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rsid w:val="002176C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76C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76C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76CB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B8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70194"/>
  </w:style>
  <w:style w:type="paragraph" w:customStyle="1" w:styleId="Nomal">
    <w:name w:val="Nomal"/>
    <w:basedOn w:val="Point0number"/>
    <w:rsid w:val="00C55090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11F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4D2AA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D2AA3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6C0287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6C0287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CD"/>
    <w:rPr>
      <w:rFonts w:ascii="Segoe UI" w:hAnsi="Segoe UI" w:cs="Segoe UI"/>
      <w:sz w:val="18"/>
      <w:szCs w:val="18"/>
      <w:lang w:val="sk-SK"/>
    </w:rPr>
  </w:style>
  <w:style w:type="character" w:customStyle="1" w:styleId="UnresolvedMention3">
    <w:name w:val="Unresolved Mention3"/>
    <w:basedOn w:val="DefaultParagraphFont"/>
    <w:uiPriority w:val="99"/>
    <w:unhideWhenUsed/>
    <w:rsid w:val="00AA6B1C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AA6B1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D32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47B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47BD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8E47B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47BD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8E47B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8E47B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link w:val="FootnotesymbolCharCharCharChar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47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8E47B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8E47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6"/>
      </w:numPr>
    </w:pPr>
  </w:style>
  <w:style w:type="paragraph" w:customStyle="1" w:styleId="Tiret1">
    <w:name w:val="Tiret 1"/>
    <w:basedOn w:val="Point1"/>
    <w:pPr>
      <w:numPr>
        <w:numId w:val="7"/>
      </w:numPr>
    </w:pPr>
  </w:style>
  <w:style w:type="paragraph" w:customStyle="1" w:styleId="Tiret2">
    <w:name w:val="Tiret 2"/>
    <w:basedOn w:val="Point2"/>
    <w:pPr>
      <w:numPr>
        <w:numId w:val="8"/>
      </w:numPr>
    </w:pPr>
  </w:style>
  <w:style w:type="paragraph" w:customStyle="1" w:styleId="Tiret3">
    <w:name w:val="Tiret 3"/>
    <w:basedOn w:val="Point3"/>
    <w:pPr>
      <w:numPr>
        <w:numId w:val="9"/>
      </w:numPr>
    </w:pPr>
  </w:style>
  <w:style w:type="paragraph" w:customStyle="1" w:styleId="Tiret4">
    <w:name w:val="Tiret 4"/>
    <w:basedOn w:val="Point4"/>
    <w:pPr>
      <w:numPr>
        <w:numId w:val="10"/>
      </w:numPr>
    </w:pPr>
  </w:style>
  <w:style w:type="paragraph" w:customStyle="1" w:styleId="Tiret5">
    <w:name w:val="Tiret 5"/>
    <w:basedOn w:val="Point5"/>
    <w:pPr>
      <w:numPr>
        <w:numId w:val="1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2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4"/>
      </w:numPr>
    </w:pPr>
  </w:style>
  <w:style w:type="paragraph" w:customStyle="1" w:styleId="Point1number">
    <w:name w:val="Point 1 (number)"/>
    <w:basedOn w:val="Normal"/>
    <w:pPr>
      <w:numPr>
        <w:ilvl w:val="2"/>
        <w:numId w:val="14"/>
      </w:numPr>
    </w:pPr>
  </w:style>
  <w:style w:type="paragraph" w:customStyle="1" w:styleId="Point2number">
    <w:name w:val="Point 2 (number)"/>
    <w:basedOn w:val="Normal"/>
    <w:pPr>
      <w:numPr>
        <w:ilvl w:val="4"/>
        <w:numId w:val="14"/>
      </w:numPr>
    </w:pPr>
  </w:style>
  <w:style w:type="paragraph" w:customStyle="1" w:styleId="Point3number">
    <w:name w:val="Point 3 (number)"/>
    <w:basedOn w:val="Normal"/>
    <w:pPr>
      <w:numPr>
        <w:ilvl w:val="6"/>
        <w:numId w:val="14"/>
      </w:numPr>
    </w:pPr>
  </w:style>
  <w:style w:type="paragraph" w:customStyle="1" w:styleId="Point0letter">
    <w:name w:val="Point 0 (letter)"/>
    <w:basedOn w:val="Normal"/>
    <w:pPr>
      <w:numPr>
        <w:ilvl w:val="1"/>
        <w:numId w:val="14"/>
      </w:numPr>
    </w:pPr>
  </w:style>
  <w:style w:type="paragraph" w:customStyle="1" w:styleId="Point1letter">
    <w:name w:val="Point 1 (letter)"/>
    <w:basedOn w:val="Normal"/>
    <w:pPr>
      <w:numPr>
        <w:ilvl w:val="3"/>
        <w:numId w:val="14"/>
      </w:numPr>
    </w:pPr>
  </w:style>
  <w:style w:type="paragraph" w:customStyle="1" w:styleId="Point2letter">
    <w:name w:val="Point 2 (letter)"/>
    <w:basedOn w:val="Normal"/>
    <w:pPr>
      <w:numPr>
        <w:ilvl w:val="5"/>
        <w:numId w:val="14"/>
      </w:numPr>
    </w:pPr>
  </w:style>
  <w:style w:type="paragraph" w:customStyle="1" w:styleId="Point3letter">
    <w:name w:val="Point 3 (letter)"/>
    <w:basedOn w:val="Normal"/>
    <w:pPr>
      <w:numPr>
        <w:ilvl w:val="7"/>
        <w:numId w:val="14"/>
      </w:numPr>
    </w:pPr>
  </w:style>
  <w:style w:type="paragraph" w:customStyle="1" w:styleId="Point4letter">
    <w:name w:val="Point 4 (letter)"/>
    <w:basedOn w:val="Normal"/>
    <w:pPr>
      <w:numPr>
        <w:ilvl w:val="8"/>
        <w:numId w:val="14"/>
      </w:numPr>
    </w:pPr>
  </w:style>
  <w:style w:type="paragraph" w:customStyle="1" w:styleId="Bullet0">
    <w:name w:val="Bullet 0"/>
    <w:basedOn w:val="Normal"/>
    <w:pPr>
      <w:numPr>
        <w:numId w:val="15"/>
      </w:numPr>
    </w:pPr>
  </w:style>
  <w:style w:type="paragraph" w:customStyle="1" w:styleId="Bullet1">
    <w:name w:val="Bullet 1"/>
    <w:basedOn w:val="Normal"/>
    <w:pPr>
      <w:numPr>
        <w:numId w:val="16"/>
      </w:numPr>
    </w:pPr>
  </w:style>
  <w:style w:type="paragraph" w:customStyle="1" w:styleId="Bullet2">
    <w:name w:val="Bullet 2"/>
    <w:basedOn w:val="Normal"/>
    <w:pPr>
      <w:numPr>
        <w:numId w:val="17"/>
      </w:numPr>
    </w:pPr>
  </w:style>
  <w:style w:type="paragraph" w:customStyle="1" w:styleId="Bullet3">
    <w:name w:val="Bullet 3"/>
    <w:basedOn w:val="Normal"/>
    <w:pPr>
      <w:numPr>
        <w:numId w:val="18"/>
      </w:numPr>
    </w:pPr>
  </w:style>
  <w:style w:type="paragraph" w:customStyle="1" w:styleId="Bullet4">
    <w:name w:val="Bullet 4"/>
    <w:basedOn w:val="Normal"/>
    <w:pPr>
      <w:numPr>
        <w:numId w:val="1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5" ma:contentTypeDescription="Create a new document." ma:contentTypeScope="" ma:versionID="91b81fdffbaf9f377de5f194477212eb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28d1c81336514fcbe64cb4dc49781d4f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8c89d-4332-4d32-84a3-abf4120a8008">
      <UserInfo>
        <DisplayName>WOOLFSON Charlotte (GROW)</DisplayName>
        <AccountId>68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F510-4BED-4A49-B2E4-3FF54B5F6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9B29D-464A-4A5F-8AB6-FD231BB7F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CD350-90C4-4C18-983D-B00F1EA6F7F7}">
  <ds:schemaRefs>
    <ds:schemaRef ds:uri="http://schemas.microsoft.com/office/2006/metadata/properties"/>
    <ds:schemaRef ds:uri="http://schemas.microsoft.com/office/infopath/2007/PartnerControls"/>
    <ds:schemaRef ds:uri="4af8c89d-4332-4d32-84a3-abf4120a8008"/>
  </ds:schemaRefs>
</ds:datastoreItem>
</file>

<file path=customXml/itemProps4.xml><?xml version="1.0" encoding="utf-8"?>
<ds:datastoreItem xmlns:ds="http://schemas.openxmlformats.org/officeDocument/2006/customXml" ds:itemID="{CF7AC136-99BB-4B3A-BB26-F8410A39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88</TotalTime>
  <Pages>9</Pages>
  <Words>2001</Words>
  <Characters>12068</Characters>
  <Application>Microsoft Office Word</Application>
  <DocSecurity>0</DocSecurity>
  <Lines>294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48</cp:revision>
  <dcterms:created xsi:type="dcterms:W3CDTF">2023-08-31T09:19:00Z</dcterms:created>
  <dcterms:modified xsi:type="dcterms:W3CDTF">2023-09-04T15:11:00Z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2023-06-05T14:44:39Z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3946fbb5-62a6-4db2-854f-e0daeca76a38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Level of sensitivity">
    <vt:lpwstr>Standard treatment</vt:lpwstr>
  </property>
  <property fmtid="{D5CDD505-2E9C-101B-9397-08002B2CF9AE}" pid="16" name="LWTemplateID">
    <vt:lpwstr>SJ-023</vt:lpwstr>
  </property>
  <property fmtid="{D5CDD505-2E9C-101B-9397-08002B2CF9AE}" pid="17" name="ContentTypeId">
    <vt:lpwstr>0x0101007697B7BFF882854783B2AFEB81A9CCE9</vt:lpwstr>
  </property>
  <property fmtid="{D5CDD505-2E9C-101B-9397-08002B2CF9AE}" pid="18" name="DQCStatus">
    <vt:lpwstr>Green (DQC version 03)</vt:lpwstr>
  </property>
</Properties>
</file>