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B85E4" w14:textId="4EAAF1EA" w:rsidR="0029533F" w:rsidRPr="00A46786" w:rsidRDefault="00594088" w:rsidP="00594088">
      <w:pPr>
        <w:pStyle w:val="Pagedecouverture"/>
        <w:rPr>
          <w:noProof/>
        </w:rPr>
      </w:pPr>
      <w:r>
        <w:rPr>
          <w:noProof/>
        </w:rPr>
        <w:pict w14:anchorId="0872D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AFA00FB-B5DC-400F-9E6E-AB8220AA1BE2" style="width:455.25pt;height:483pt">
            <v:imagedata r:id="rId11" o:title=""/>
          </v:shape>
        </w:pict>
      </w:r>
    </w:p>
    <w:p w14:paraId="0BCC4FD4" w14:textId="77777777" w:rsidR="00A2210E" w:rsidRPr="00A46786" w:rsidRDefault="00A2210E" w:rsidP="00FA3D6F">
      <w:pPr>
        <w:rPr>
          <w:noProof/>
        </w:rPr>
        <w:sectPr w:rsidR="00A2210E" w:rsidRPr="00A46786" w:rsidSect="00594088">
          <w:footerReference w:type="default" r:id="rId12"/>
          <w:pgSz w:w="11907" w:h="16839"/>
          <w:pgMar w:top="1134" w:right="1417" w:bottom="1134" w:left="1417" w:header="709" w:footer="709" w:gutter="0"/>
          <w:pgNumType w:start="0"/>
          <w:cols w:space="720"/>
          <w:docGrid w:linePitch="360"/>
        </w:sectPr>
      </w:pPr>
    </w:p>
    <w:p w14:paraId="7C02D963" w14:textId="77777777" w:rsidR="00037B74" w:rsidRPr="00A46786" w:rsidRDefault="00037B74" w:rsidP="00037B74">
      <w:pPr>
        <w:pStyle w:val="Exposdesmotifstitre"/>
        <w:rPr>
          <w:noProof/>
        </w:rPr>
      </w:pPr>
      <w:bookmarkStart w:id="0" w:name="_GoBack"/>
      <w:bookmarkEnd w:id="0"/>
      <w:r w:rsidRPr="00A46786">
        <w:rPr>
          <w:noProof/>
        </w:rPr>
        <w:lastRenderedPageBreak/>
        <w:t>EXPOSICIÓN DE MOTIVOS</w:t>
      </w:r>
    </w:p>
    <w:p w14:paraId="7537646F" w14:textId="77777777" w:rsidR="00037B74" w:rsidRPr="00A46786" w:rsidRDefault="00037B74" w:rsidP="00037B74">
      <w:pPr>
        <w:pStyle w:val="ManualHeading1"/>
        <w:rPr>
          <w:noProof/>
        </w:rPr>
      </w:pPr>
      <w:r w:rsidRPr="00A46786">
        <w:rPr>
          <w:noProof/>
        </w:rPr>
        <w:t>1.</w:t>
      </w:r>
      <w:r w:rsidRPr="00A46786">
        <w:rPr>
          <w:noProof/>
        </w:rPr>
        <w:tab/>
        <w:t>CONTEXTO DE LA PROPUESTA</w:t>
      </w:r>
    </w:p>
    <w:p w14:paraId="01682DB6" w14:textId="4B88C2CA" w:rsidR="00636E1F" w:rsidRPr="00A46786" w:rsidRDefault="00636E1F" w:rsidP="004D6F66">
      <w:pPr>
        <w:rPr>
          <w:noProof/>
        </w:rPr>
      </w:pPr>
      <w:r w:rsidRPr="00A46786">
        <w:rPr>
          <w:noProof/>
        </w:rPr>
        <w:t xml:space="preserve">Véase la </w:t>
      </w:r>
      <w:bookmarkStart w:id="1" w:name="_Hlk144292538"/>
      <w:r w:rsidRPr="00A46786">
        <w:rPr>
          <w:noProof/>
        </w:rPr>
        <w:t>Directiva COM(2023) 516</w:t>
      </w:r>
      <w:bookmarkEnd w:id="1"/>
      <w:r w:rsidRPr="00A46786">
        <w:rPr>
          <w:noProof/>
        </w:rPr>
        <w:t>.</w:t>
      </w:r>
    </w:p>
    <w:p w14:paraId="30912118" w14:textId="77777777" w:rsidR="00037B74" w:rsidRPr="00A46786" w:rsidRDefault="00037B74" w:rsidP="00037B74">
      <w:pPr>
        <w:pStyle w:val="ManualHeading1"/>
        <w:rPr>
          <w:noProof/>
        </w:rPr>
      </w:pPr>
      <w:r w:rsidRPr="00A46786">
        <w:rPr>
          <w:noProof/>
        </w:rPr>
        <w:t>2.</w:t>
      </w:r>
      <w:r w:rsidRPr="00A46786">
        <w:rPr>
          <w:noProof/>
        </w:rPr>
        <w:tab/>
        <w:t>BASE JURÍDICA, SUBSIDIARIEDAD Y PROPORCIONALIDAD</w:t>
      </w:r>
    </w:p>
    <w:p w14:paraId="4AAF54E2" w14:textId="77777777" w:rsidR="00037B74" w:rsidRPr="00A46786" w:rsidRDefault="00037B74" w:rsidP="00037B74">
      <w:pPr>
        <w:pStyle w:val="ManualHeading2"/>
        <w:rPr>
          <w:rFonts w:eastAsia="Arial Unicode MS"/>
          <w:noProof/>
          <w:u w:color="000000"/>
          <w:bdr w:val="nil"/>
        </w:rPr>
      </w:pPr>
      <w:r w:rsidRPr="00A46786">
        <w:rPr>
          <w:noProof/>
          <w:u w:color="000000"/>
          <w:bdr w:val="nil"/>
        </w:rPr>
        <w:t>•</w:t>
      </w:r>
      <w:r w:rsidRPr="00A46786">
        <w:rPr>
          <w:noProof/>
        </w:rPr>
        <w:tab/>
      </w:r>
      <w:r w:rsidRPr="00A46786">
        <w:rPr>
          <w:noProof/>
          <w:u w:color="000000"/>
          <w:bdr w:val="nil"/>
        </w:rPr>
        <w:t>Base jurídica</w:t>
      </w:r>
    </w:p>
    <w:p w14:paraId="2C072B2B" w14:textId="77777777" w:rsidR="00D86167" w:rsidRPr="00A46786" w:rsidRDefault="00D86167" w:rsidP="00D86167">
      <w:pPr>
        <w:rPr>
          <w:noProof/>
        </w:rPr>
      </w:pPr>
      <w:r w:rsidRPr="00A46786">
        <w:rPr>
          <w:noProof/>
        </w:rPr>
        <w:t>La propuesta se basa en el artículo 21, apartado 2, del Tratado de Funcionamiento de la Unión Europea (TFUE), y en el artículo 114 del mismo Tratado.</w:t>
      </w:r>
    </w:p>
    <w:p w14:paraId="47A32FF5" w14:textId="2CA681D0" w:rsidR="5992F2D0" w:rsidRPr="00A46786" w:rsidRDefault="5992F2D0">
      <w:pPr>
        <w:rPr>
          <w:noProof/>
        </w:rPr>
      </w:pPr>
      <w:r w:rsidRPr="00A46786">
        <w:rPr>
          <w:noProof/>
        </w:rPr>
        <w:t>La presente propuesta modifica el Reglamento (UE) n.º 1024/2012 del Parlamento Europeo y del Consejo, de 25 de octubre de 2012, relativo a la cooperación administrativa a través del Sistema de Información del Mercado Interior y por el que se deroga la Decisión 2008/49/CE de la Comisión («Reglamento IMI»)</w:t>
      </w:r>
      <w:r w:rsidRPr="00A46786">
        <w:rPr>
          <w:rStyle w:val="FootnoteReference"/>
          <w:noProof/>
        </w:rPr>
        <w:footnoteReference w:id="2"/>
      </w:r>
      <w:r w:rsidRPr="00A46786">
        <w:rPr>
          <w:noProof/>
        </w:rPr>
        <w:t>, que se basa en el artículo 114 del TFUE.</w:t>
      </w:r>
    </w:p>
    <w:p w14:paraId="312EAE55" w14:textId="1242EC01" w:rsidR="004E09AB" w:rsidRPr="00A46786" w:rsidRDefault="00D86167" w:rsidP="092C815B">
      <w:pPr>
        <w:rPr>
          <w:noProof/>
        </w:rPr>
      </w:pPr>
      <w:r w:rsidRPr="00A46786">
        <w:rPr>
          <w:noProof/>
        </w:rPr>
        <w:t>La presente propuesta modifica el Reglamento (UE) 2018/1724 del Parlamento Europeo y del Consejo, de 2 de octubre de 2018, relativo a la creación de una pasarela digital única de acceso a información, procedimientos y servicios de asistencia y resolución de problemas y por el que se modifica el Reglamento (UE) n.º 1024/2012</w:t>
      </w:r>
      <w:r w:rsidRPr="00A46786">
        <w:rPr>
          <w:rStyle w:val="FootnoteReference"/>
          <w:noProof/>
        </w:rPr>
        <w:footnoteReference w:id="3"/>
      </w:r>
      <w:r w:rsidRPr="00A46786">
        <w:rPr>
          <w:noProof/>
        </w:rPr>
        <w:t xml:space="preserve">, que se basa en el artículo 21, apartado 2, del TFUE y en el artículo 114, apartado 1, del TFUE. </w:t>
      </w:r>
    </w:p>
    <w:p w14:paraId="1820DF8C" w14:textId="0AA3C0EE" w:rsidR="00BF6B5E" w:rsidRPr="00A46786" w:rsidRDefault="00BF6B5E" w:rsidP="092C815B">
      <w:pPr>
        <w:rPr>
          <w:noProof/>
        </w:rPr>
      </w:pPr>
      <w:r w:rsidRPr="00A46786">
        <w:rPr>
          <w:noProof/>
        </w:rPr>
        <w:t xml:space="preserve">Por lo que se refiere al artículo 114 del TFUE, este establece que el Parlamento Europeo y el Consejo adoptarán las medidas relativas a la aproximación de las disposiciones legales, reglamentarias y administrativas de los Estados miembros que tengan por objeto el establecimiento y el funcionamiento del mercado interior. Dado que la presente propuesta tiene por objeto modificar el Reglamento (UE) n.º 1024/2012 por el que se crea el IMI, que, al facilitar la cooperación entre los Estados miembros y abordar las diferencias entre las disposiciones de los Estados miembros que obstaculizan las libertades fundamentales, tiene un efecto directo en el funcionamiento del mercado interior, el artículo 114 del TFUE constituye la base jurídica adecuada. </w:t>
      </w:r>
    </w:p>
    <w:p w14:paraId="6B408D3F" w14:textId="65EB7CEA" w:rsidR="004E09AB" w:rsidRPr="00A46786" w:rsidRDefault="00E755EA" w:rsidP="00D86167">
      <w:pPr>
        <w:rPr>
          <w:noProof/>
        </w:rPr>
      </w:pPr>
      <w:r w:rsidRPr="00A46786">
        <w:rPr>
          <w:noProof/>
        </w:rPr>
        <w:t xml:space="preserve">Dado que la presente propuesta tiene por objeto aclarar y modificar el ámbito de aplicación del Reglamento 2018/1724 con el fin de facilitar un mejor acceso en línea a la información y los procedimientos a los ciudadanos, las empresas y las personas jurídicas distintas de las empresas que ejerzan o tengan la intención de ejercer sus derechos derivados del Derecho de la Unión en el ámbito del mercado interior, en el sentido del artículo 26, apartado 2, del TFUE, la presente propuesta facilitará el ejercicio del derecho de los ciudadanos de la Unión a circular y residir libremente en el territorio de los Estados miembros. Por lo tanto, debe basarse en el artículo 21, apartado 2, del TFUE. </w:t>
      </w:r>
    </w:p>
    <w:p w14:paraId="6B7F9935" w14:textId="77777777" w:rsidR="00037B74" w:rsidRPr="00A46786" w:rsidRDefault="00037B74" w:rsidP="00037B74">
      <w:pPr>
        <w:pStyle w:val="ManualHeading2"/>
        <w:rPr>
          <w:rFonts w:eastAsia="Arial Unicode MS"/>
          <w:noProof/>
          <w:u w:color="000000"/>
          <w:bdr w:val="nil"/>
        </w:rPr>
      </w:pPr>
      <w:r w:rsidRPr="00A46786">
        <w:rPr>
          <w:noProof/>
          <w:u w:color="000000"/>
          <w:bdr w:val="nil"/>
        </w:rPr>
        <w:t>•</w:t>
      </w:r>
      <w:r w:rsidRPr="00A46786">
        <w:rPr>
          <w:noProof/>
        </w:rPr>
        <w:tab/>
      </w:r>
      <w:r w:rsidRPr="00A46786">
        <w:rPr>
          <w:noProof/>
          <w:u w:color="000000"/>
          <w:bdr w:val="nil"/>
        </w:rPr>
        <w:t xml:space="preserve">Subsidiariedad (en el caso de competencia no exclusiva) </w:t>
      </w:r>
    </w:p>
    <w:p w14:paraId="53059EB5" w14:textId="1C5319BF" w:rsidR="004D6F66" w:rsidRPr="00A46786" w:rsidRDefault="004D6F66" w:rsidP="00E40FBC">
      <w:pPr>
        <w:rPr>
          <w:noProof/>
        </w:rPr>
      </w:pPr>
      <w:r w:rsidRPr="00A46786">
        <w:rPr>
          <w:noProof/>
        </w:rPr>
        <w:t>Véase la Directiva COM(2023) 516.</w:t>
      </w:r>
    </w:p>
    <w:p w14:paraId="420BC618" w14:textId="77777777" w:rsidR="00037B74" w:rsidRPr="00A46786" w:rsidRDefault="00037B74" w:rsidP="00037B74">
      <w:pPr>
        <w:pStyle w:val="ManualHeading2"/>
        <w:rPr>
          <w:rFonts w:eastAsia="Arial Unicode MS"/>
          <w:noProof/>
          <w:u w:color="000000"/>
          <w:bdr w:val="nil"/>
        </w:rPr>
      </w:pPr>
      <w:r w:rsidRPr="00A46786">
        <w:rPr>
          <w:noProof/>
          <w:u w:color="000000"/>
          <w:bdr w:val="nil"/>
        </w:rPr>
        <w:t>•</w:t>
      </w:r>
      <w:r w:rsidRPr="00A46786">
        <w:rPr>
          <w:noProof/>
        </w:rPr>
        <w:tab/>
      </w:r>
      <w:r w:rsidRPr="00A46786">
        <w:rPr>
          <w:noProof/>
          <w:u w:color="000000"/>
          <w:bdr w:val="nil"/>
        </w:rPr>
        <w:t>Proporcionalidad</w:t>
      </w:r>
    </w:p>
    <w:p w14:paraId="7485A8E1" w14:textId="778E69B7" w:rsidR="00854D99" w:rsidRPr="00A46786" w:rsidRDefault="00854D99" w:rsidP="00E40FBC">
      <w:pPr>
        <w:rPr>
          <w:noProof/>
        </w:rPr>
      </w:pPr>
      <w:r w:rsidRPr="00A46786">
        <w:rPr>
          <w:noProof/>
        </w:rPr>
        <w:t>Véase la Directiva COM(2023) 516.</w:t>
      </w:r>
    </w:p>
    <w:p w14:paraId="4662339F" w14:textId="77777777" w:rsidR="00037B74" w:rsidRPr="00A46786" w:rsidRDefault="00037B74" w:rsidP="00037B74">
      <w:pPr>
        <w:pStyle w:val="ManualHeading2"/>
        <w:rPr>
          <w:rFonts w:eastAsia="Arial Unicode MS"/>
          <w:noProof/>
          <w:u w:color="000000"/>
          <w:bdr w:val="nil"/>
        </w:rPr>
      </w:pPr>
      <w:r w:rsidRPr="00A46786">
        <w:rPr>
          <w:noProof/>
          <w:u w:color="000000"/>
          <w:bdr w:val="nil"/>
        </w:rPr>
        <w:t>•</w:t>
      </w:r>
      <w:r w:rsidRPr="00A46786">
        <w:rPr>
          <w:noProof/>
        </w:rPr>
        <w:tab/>
      </w:r>
      <w:r w:rsidRPr="00A46786">
        <w:rPr>
          <w:noProof/>
          <w:u w:color="000000"/>
          <w:bdr w:val="nil"/>
        </w:rPr>
        <w:t>Elección del instrumento</w:t>
      </w:r>
    </w:p>
    <w:p w14:paraId="52E9C492" w14:textId="5FACD524" w:rsidR="00510E40" w:rsidRPr="00A46786" w:rsidRDefault="00E40FBC" w:rsidP="002A40DB">
      <w:pPr>
        <w:rPr>
          <w:noProof/>
        </w:rPr>
      </w:pPr>
      <w:r w:rsidRPr="00A46786">
        <w:rPr>
          <w:noProof/>
        </w:rPr>
        <w:t>El artículo 114 del TFUE establece que el Parlamento Europeo y el Consejo adoptarán las medidas relativas a la aproximación de las disposiciones legales, reglamentarias y administrativas de los Estados miembros que tengan por objeto el establecimiento y el funcionamiento del mercado interior.</w:t>
      </w:r>
    </w:p>
    <w:p w14:paraId="7A8C77DA" w14:textId="77777777" w:rsidR="00E40FBC" w:rsidRPr="00A46786" w:rsidRDefault="00E40FBC" w:rsidP="002A40DB">
      <w:pPr>
        <w:rPr>
          <w:noProof/>
        </w:rPr>
      </w:pPr>
      <w:r w:rsidRPr="00A46786">
        <w:rPr>
          <w:noProof/>
        </w:rPr>
        <w:t>Dado que la presente propuesta modificaría dos Reglamentos, un reglamento es el instrumento jurídico adecuado.</w:t>
      </w:r>
    </w:p>
    <w:p w14:paraId="1D17C019" w14:textId="77777777" w:rsidR="00037B74" w:rsidRPr="00A46786" w:rsidRDefault="00037B74" w:rsidP="00037B74">
      <w:pPr>
        <w:pStyle w:val="ManualHeading1"/>
        <w:rPr>
          <w:noProof/>
        </w:rPr>
      </w:pPr>
      <w:r w:rsidRPr="00A46786">
        <w:rPr>
          <w:noProof/>
        </w:rPr>
        <w:t>3.</w:t>
      </w:r>
      <w:r w:rsidRPr="00A46786">
        <w:rPr>
          <w:noProof/>
        </w:rPr>
        <w:tab/>
        <w:t xml:space="preserve">RESULTADOS DE LAS EVALUACIONES </w:t>
      </w:r>
      <w:r w:rsidRPr="00A46786">
        <w:rPr>
          <w:i/>
          <w:noProof/>
        </w:rPr>
        <w:t>EX POST</w:t>
      </w:r>
      <w:r w:rsidRPr="00A46786">
        <w:rPr>
          <w:noProof/>
        </w:rPr>
        <w:t>, DE LAS CONSULTAS CON LAS PARTES INTERESADAS Y DE LAS EVALUACIONES DE IMPACTO</w:t>
      </w:r>
    </w:p>
    <w:p w14:paraId="33313242" w14:textId="77777777" w:rsidR="00037B74" w:rsidRPr="00A46786" w:rsidRDefault="00037B74" w:rsidP="00037B74">
      <w:pPr>
        <w:pStyle w:val="ManualHeading2"/>
        <w:rPr>
          <w:rFonts w:eastAsia="Arial Unicode MS"/>
          <w:noProof/>
          <w:u w:color="000000"/>
          <w:bdr w:val="nil"/>
        </w:rPr>
      </w:pPr>
      <w:r w:rsidRPr="00A46786">
        <w:rPr>
          <w:noProof/>
          <w:u w:color="000000"/>
          <w:bdr w:val="nil"/>
        </w:rPr>
        <w:t>•</w:t>
      </w:r>
      <w:r w:rsidRPr="00A46786">
        <w:rPr>
          <w:noProof/>
        </w:rPr>
        <w:tab/>
      </w:r>
      <w:r w:rsidRPr="00A46786">
        <w:rPr>
          <w:noProof/>
          <w:u w:color="000000"/>
          <w:bdr w:val="nil"/>
        </w:rPr>
        <w:t xml:space="preserve">Evaluaciones </w:t>
      </w:r>
      <w:r w:rsidRPr="00A46786">
        <w:rPr>
          <w:i/>
          <w:noProof/>
          <w:u w:color="000000"/>
          <w:bdr w:val="nil"/>
        </w:rPr>
        <w:t>ex post</w:t>
      </w:r>
      <w:r w:rsidRPr="00A46786">
        <w:rPr>
          <w:noProof/>
          <w:u w:color="000000"/>
          <w:bdr w:val="nil"/>
        </w:rPr>
        <w:t xml:space="preserve"> / controles de la adecuación de la legislación existente</w:t>
      </w:r>
    </w:p>
    <w:p w14:paraId="7102EFE7" w14:textId="37224DC1" w:rsidR="00E73C30" w:rsidRPr="00A46786" w:rsidRDefault="00E73C30" w:rsidP="00FE4C3F">
      <w:pPr>
        <w:rPr>
          <w:noProof/>
        </w:rPr>
      </w:pPr>
      <w:r w:rsidRPr="00A46786">
        <w:rPr>
          <w:noProof/>
        </w:rPr>
        <w:t>Véase la Directiva COM(2023) 516.</w:t>
      </w:r>
    </w:p>
    <w:p w14:paraId="184EAF96" w14:textId="77777777" w:rsidR="00037B74" w:rsidRPr="00A46786" w:rsidRDefault="00037B74" w:rsidP="00037B74">
      <w:pPr>
        <w:pStyle w:val="ManualHeading2"/>
        <w:rPr>
          <w:rFonts w:eastAsia="Arial Unicode MS"/>
          <w:noProof/>
          <w:u w:color="000000"/>
          <w:bdr w:val="nil"/>
        </w:rPr>
      </w:pPr>
      <w:r w:rsidRPr="00A46786">
        <w:rPr>
          <w:noProof/>
          <w:u w:color="000000"/>
          <w:bdr w:val="nil"/>
        </w:rPr>
        <w:t>•</w:t>
      </w:r>
      <w:r w:rsidRPr="00A46786">
        <w:rPr>
          <w:noProof/>
        </w:rPr>
        <w:tab/>
      </w:r>
      <w:r w:rsidRPr="00A46786">
        <w:rPr>
          <w:noProof/>
          <w:u w:color="000000"/>
          <w:bdr w:val="nil"/>
        </w:rPr>
        <w:t>Consultas con las partes interesadas</w:t>
      </w:r>
    </w:p>
    <w:p w14:paraId="5B50240F" w14:textId="5D3E7054" w:rsidR="00FE4C3F" w:rsidRPr="00A46786" w:rsidRDefault="00B1144F" w:rsidP="00FE4C3F">
      <w:pPr>
        <w:rPr>
          <w:noProof/>
        </w:rPr>
      </w:pPr>
      <w:r w:rsidRPr="00A46786">
        <w:rPr>
          <w:noProof/>
        </w:rPr>
        <w:t>Véase la Directiva COM(2023) 516.</w:t>
      </w:r>
    </w:p>
    <w:p w14:paraId="0FE5A5D0" w14:textId="77777777" w:rsidR="00037B74" w:rsidRPr="00A46786" w:rsidRDefault="00037B74" w:rsidP="00037B74">
      <w:pPr>
        <w:pStyle w:val="ManualHeading2"/>
        <w:rPr>
          <w:rFonts w:eastAsia="Arial Unicode MS"/>
          <w:noProof/>
          <w:u w:color="000000"/>
          <w:bdr w:val="nil"/>
        </w:rPr>
      </w:pPr>
      <w:r w:rsidRPr="00A46786">
        <w:rPr>
          <w:noProof/>
          <w:u w:color="000000"/>
          <w:bdr w:val="nil"/>
        </w:rPr>
        <w:t>•</w:t>
      </w:r>
      <w:r w:rsidRPr="00A46786">
        <w:rPr>
          <w:noProof/>
        </w:rPr>
        <w:tab/>
      </w:r>
      <w:r w:rsidRPr="00A46786">
        <w:rPr>
          <w:noProof/>
          <w:u w:color="000000"/>
          <w:bdr w:val="nil"/>
        </w:rPr>
        <w:t>Obtención y uso de asesoramiento especializado</w:t>
      </w:r>
    </w:p>
    <w:p w14:paraId="526B1891" w14:textId="1FF62040" w:rsidR="00FE4C3F" w:rsidRPr="00A46786" w:rsidRDefault="00FE4C3F" w:rsidP="00FE4C3F">
      <w:pPr>
        <w:rPr>
          <w:noProof/>
        </w:rPr>
      </w:pPr>
      <w:r w:rsidRPr="00A46786">
        <w:rPr>
          <w:noProof/>
        </w:rPr>
        <w:t>Véase la Directiva COM(2023) 516.</w:t>
      </w:r>
    </w:p>
    <w:p w14:paraId="50D97793" w14:textId="77777777" w:rsidR="00037B74" w:rsidRPr="00A46786" w:rsidRDefault="00037B74" w:rsidP="00037B74">
      <w:pPr>
        <w:pStyle w:val="ManualHeading2"/>
        <w:rPr>
          <w:rFonts w:eastAsia="Arial Unicode MS"/>
          <w:noProof/>
          <w:u w:color="000000"/>
          <w:bdr w:val="nil"/>
        </w:rPr>
      </w:pPr>
      <w:r w:rsidRPr="00A46786">
        <w:rPr>
          <w:noProof/>
          <w:u w:color="000000"/>
          <w:bdr w:val="nil"/>
        </w:rPr>
        <w:t>•</w:t>
      </w:r>
      <w:r w:rsidRPr="00A46786">
        <w:rPr>
          <w:noProof/>
        </w:rPr>
        <w:tab/>
      </w:r>
      <w:r w:rsidRPr="00A46786">
        <w:rPr>
          <w:noProof/>
          <w:u w:color="000000"/>
          <w:bdr w:val="nil"/>
        </w:rPr>
        <w:t>Evaluación de impacto</w:t>
      </w:r>
    </w:p>
    <w:p w14:paraId="7CD50D2D" w14:textId="535226A0" w:rsidR="00FE4C3F" w:rsidRPr="00A46786" w:rsidRDefault="00FE4C3F" w:rsidP="00FE4C3F">
      <w:pPr>
        <w:rPr>
          <w:noProof/>
        </w:rPr>
      </w:pPr>
      <w:r w:rsidRPr="00A46786">
        <w:rPr>
          <w:noProof/>
        </w:rPr>
        <w:t>Véase la Directiva COM(2023) 516.</w:t>
      </w:r>
    </w:p>
    <w:p w14:paraId="5DF7A40F" w14:textId="77777777" w:rsidR="00037B74" w:rsidRPr="00A46786" w:rsidRDefault="00037B74" w:rsidP="00037B74">
      <w:pPr>
        <w:pStyle w:val="ManualHeading2"/>
        <w:rPr>
          <w:rFonts w:eastAsia="Arial Unicode MS"/>
          <w:noProof/>
          <w:u w:color="000000"/>
          <w:bdr w:val="nil"/>
        </w:rPr>
      </w:pPr>
      <w:r w:rsidRPr="00A46786">
        <w:rPr>
          <w:noProof/>
          <w:u w:color="000000"/>
          <w:bdr w:val="nil"/>
        </w:rPr>
        <w:t>•</w:t>
      </w:r>
      <w:r w:rsidRPr="00A46786">
        <w:rPr>
          <w:noProof/>
        </w:rPr>
        <w:tab/>
      </w:r>
      <w:r w:rsidRPr="00A46786">
        <w:rPr>
          <w:noProof/>
          <w:u w:color="000000"/>
          <w:bdr w:val="nil"/>
        </w:rPr>
        <w:t>Derechos fundamentales</w:t>
      </w:r>
    </w:p>
    <w:p w14:paraId="487C3C42" w14:textId="4AC89467" w:rsidR="00FE4C3F" w:rsidRPr="00A46786" w:rsidRDefault="00FE4C3F" w:rsidP="00FE4C3F">
      <w:pPr>
        <w:rPr>
          <w:noProof/>
        </w:rPr>
      </w:pPr>
      <w:r w:rsidRPr="00A46786">
        <w:rPr>
          <w:noProof/>
        </w:rPr>
        <w:t>Véase la Directiva COM(2023) 516.</w:t>
      </w:r>
    </w:p>
    <w:p w14:paraId="58FC0D13" w14:textId="77777777" w:rsidR="00037B74" w:rsidRPr="00A46786" w:rsidRDefault="00037B74" w:rsidP="00037B74">
      <w:pPr>
        <w:pStyle w:val="ManualHeading1"/>
        <w:rPr>
          <w:noProof/>
        </w:rPr>
      </w:pPr>
      <w:r w:rsidRPr="00A46786">
        <w:rPr>
          <w:noProof/>
        </w:rPr>
        <w:t>4.</w:t>
      </w:r>
      <w:r w:rsidRPr="00A46786">
        <w:rPr>
          <w:noProof/>
        </w:rPr>
        <w:tab/>
        <w:t>REPERCUSIONES PRESUPUESTARIAS</w:t>
      </w:r>
    </w:p>
    <w:p w14:paraId="33722D5F" w14:textId="0347C8C0" w:rsidR="009B638A" w:rsidRPr="00A46786" w:rsidRDefault="009B638A" w:rsidP="009B638A">
      <w:pPr>
        <w:rPr>
          <w:noProof/>
        </w:rPr>
      </w:pPr>
      <w:r w:rsidRPr="00A46786">
        <w:rPr>
          <w:noProof/>
        </w:rPr>
        <w:t>Véase la Directiva COM(2023) 516.</w:t>
      </w:r>
    </w:p>
    <w:p w14:paraId="2595FC7B" w14:textId="77777777" w:rsidR="00037B74" w:rsidRPr="00A46786" w:rsidRDefault="00037B74" w:rsidP="00037B74">
      <w:pPr>
        <w:pStyle w:val="ManualHeading1"/>
        <w:rPr>
          <w:noProof/>
        </w:rPr>
      </w:pPr>
      <w:r w:rsidRPr="00A46786">
        <w:rPr>
          <w:noProof/>
        </w:rPr>
        <w:t>5.</w:t>
      </w:r>
      <w:r w:rsidRPr="00A46786">
        <w:rPr>
          <w:noProof/>
        </w:rPr>
        <w:tab/>
        <w:t>OTROS ELEMENTOS</w:t>
      </w:r>
    </w:p>
    <w:p w14:paraId="7687A49A" w14:textId="15415125" w:rsidR="009B638A" w:rsidRPr="00A46786" w:rsidRDefault="009B638A" w:rsidP="009B638A">
      <w:pPr>
        <w:rPr>
          <w:noProof/>
        </w:rPr>
      </w:pPr>
      <w:r w:rsidRPr="00A46786">
        <w:rPr>
          <w:noProof/>
        </w:rPr>
        <w:t>Véase la Directiva COM(2023) 516.</w:t>
      </w:r>
    </w:p>
    <w:p w14:paraId="354E3F90" w14:textId="77777777" w:rsidR="00037B74" w:rsidRPr="00A46786" w:rsidRDefault="00037B74" w:rsidP="00037B74">
      <w:pPr>
        <w:pStyle w:val="ManualHeading2"/>
        <w:rPr>
          <w:rFonts w:eastAsia="Arial Unicode MS"/>
          <w:noProof/>
          <w:u w:color="000000"/>
          <w:bdr w:val="nil"/>
        </w:rPr>
      </w:pPr>
      <w:r w:rsidRPr="00A46786">
        <w:rPr>
          <w:noProof/>
          <w:u w:color="000000"/>
          <w:bdr w:val="nil"/>
        </w:rPr>
        <w:t>•</w:t>
      </w:r>
      <w:r w:rsidRPr="00A46786">
        <w:rPr>
          <w:noProof/>
        </w:rPr>
        <w:tab/>
      </w:r>
      <w:r w:rsidRPr="00A46786">
        <w:rPr>
          <w:noProof/>
          <w:u w:color="000000"/>
          <w:bdr w:val="nil"/>
        </w:rPr>
        <w:t>Documentos explicativos (para las Directivas)</w:t>
      </w:r>
    </w:p>
    <w:p w14:paraId="3CB60558" w14:textId="73CFCE13" w:rsidR="001359A9" w:rsidRPr="00A46786" w:rsidRDefault="001359A9" w:rsidP="001359A9">
      <w:pPr>
        <w:rPr>
          <w:noProof/>
        </w:rPr>
      </w:pPr>
      <w:r w:rsidRPr="00A46786">
        <w:rPr>
          <w:noProof/>
        </w:rPr>
        <w:t>Véase la Directiva COM(2023) 516.</w:t>
      </w:r>
    </w:p>
    <w:p w14:paraId="55089B1F" w14:textId="77777777" w:rsidR="00037B74" w:rsidRPr="00A46786" w:rsidRDefault="00037B74" w:rsidP="00037B74">
      <w:pPr>
        <w:pStyle w:val="ManualHeading2"/>
        <w:rPr>
          <w:rFonts w:eastAsia="Arial Unicode MS"/>
          <w:noProof/>
          <w:u w:color="000000"/>
          <w:bdr w:val="nil"/>
        </w:rPr>
      </w:pPr>
      <w:r w:rsidRPr="00A46786">
        <w:rPr>
          <w:noProof/>
          <w:u w:color="000000"/>
          <w:bdr w:val="nil"/>
        </w:rPr>
        <w:t>•</w:t>
      </w:r>
      <w:r w:rsidRPr="00A46786">
        <w:rPr>
          <w:noProof/>
        </w:rPr>
        <w:tab/>
      </w:r>
      <w:r w:rsidRPr="00A46786">
        <w:rPr>
          <w:noProof/>
          <w:u w:color="000000"/>
          <w:bdr w:val="nil"/>
        </w:rPr>
        <w:t>Explicación detallada de las disposiciones específicas de la propuesta</w:t>
      </w:r>
    </w:p>
    <w:p w14:paraId="7FB4859A" w14:textId="032E1B5B" w:rsidR="006709D9" w:rsidRPr="00A46786" w:rsidRDefault="006709D9" w:rsidP="006709D9">
      <w:pPr>
        <w:rPr>
          <w:noProof/>
        </w:rPr>
      </w:pPr>
      <w:r w:rsidRPr="00A46786">
        <w:rPr>
          <w:noProof/>
        </w:rPr>
        <w:t xml:space="preserve">La presente propuesta de Reglamento es de carácter técnico y acompaña a la Directiva propuesta por el documento COM(2023) 516 final. Modifica el </w:t>
      </w:r>
      <w:bookmarkStart w:id="2" w:name="_Hlk140501787"/>
      <w:r w:rsidRPr="00A46786">
        <w:rPr>
          <w:noProof/>
        </w:rPr>
        <w:t>Reglamento (UE) n.º 1024/2012</w:t>
      </w:r>
      <w:bookmarkEnd w:id="2"/>
      <w:r w:rsidRPr="00A46786">
        <w:rPr>
          <w:noProof/>
        </w:rPr>
        <w:t xml:space="preserve"> por el que se establece el Sistema de Información del Mercado Interior (IMI) con el fin de garantizar que las autoridades competentes de los Estados miembros cooperen e intercambien información a través del IMI cuando apliquen las normas nacionales transpuestas de conformidad con las disposiciones de la Directiva propuesta por el documento COM(2023) 516 final (artículo 1). También modifica el Reglamento (UE) 2018/1724, que estableció la pasarela digital única, a fin de garantizar que los Estados miembros den acceso en línea a la información sobre asociaciones transfronterizas europeas y asociaciones sin ánimo de lucro y faciliten el intercambio de pruebas entre las autoridades competentes en los procedimientos establecidos en la Directiva COM(2023) 516 final (artículo 2). Así, la presente modificación tiene por objeto garantizar el funcionamiento del mercado interior en lo que respecta al suministro de información y a los procedimientos.</w:t>
      </w:r>
    </w:p>
    <w:p w14:paraId="4885AFEB" w14:textId="77777777" w:rsidR="00210BD2" w:rsidRPr="00A46786" w:rsidRDefault="00210BD2">
      <w:pPr>
        <w:spacing w:before="0" w:after="200" w:line="276" w:lineRule="auto"/>
        <w:jc w:val="left"/>
        <w:rPr>
          <w:noProof/>
        </w:rPr>
      </w:pPr>
      <w:r w:rsidRPr="00A46786">
        <w:rPr>
          <w:noProof/>
        </w:rPr>
        <w:br w:type="page"/>
      </w:r>
    </w:p>
    <w:p w14:paraId="5B4BDD08" w14:textId="3B81EA6A" w:rsidR="008D5D4A" w:rsidRDefault="008D5D4A" w:rsidP="008D5D4A">
      <w:pPr>
        <w:pStyle w:val="Rfrenceinterinstitutionnelle"/>
        <w:rPr>
          <w:noProof/>
        </w:rPr>
      </w:pPr>
      <w:r w:rsidRPr="008D5D4A">
        <w:t>2023/0314 (COD)</w:t>
      </w:r>
    </w:p>
    <w:p w14:paraId="381F1CE2" w14:textId="595CE1B6" w:rsidR="00A2210E" w:rsidRPr="00A46786" w:rsidRDefault="00D957B7" w:rsidP="00D957B7">
      <w:pPr>
        <w:pStyle w:val="Statut"/>
        <w:rPr>
          <w:noProof/>
        </w:rPr>
      </w:pPr>
      <w:r w:rsidRPr="00D957B7">
        <w:rPr>
          <w:noProof/>
        </w:rPr>
        <w:t>Propuesta de</w:t>
      </w:r>
    </w:p>
    <w:p w14:paraId="1CA3CBAB" w14:textId="3AA7A67A" w:rsidR="00A2210E" w:rsidRPr="00A46786" w:rsidRDefault="00D957B7" w:rsidP="00D957B7">
      <w:pPr>
        <w:pStyle w:val="Typedudocument"/>
        <w:rPr>
          <w:noProof/>
        </w:rPr>
      </w:pPr>
      <w:r w:rsidRPr="00D957B7">
        <w:rPr>
          <w:noProof/>
        </w:rPr>
        <w:t>REGLAMENTO DEL PARLAMENTO EUROPEO Y DEL CONSEJO</w:t>
      </w:r>
    </w:p>
    <w:p w14:paraId="43774F6E" w14:textId="571CF646" w:rsidR="00AC41EE" w:rsidRPr="00A46786" w:rsidRDefault="00D957B7" w:rsidP="00D957B7">
      <w:pPr>
        <w:pStyle w:val="Titreobjet"/>
        <w:rPr>
          <w:noProof/>
        </w:rPr>
      </w:pPr>
      <w:bookmarkStart w:id="3" w:name="_Hlk138438520"/>
      <w:r w:rsidRPr="00D957B7">
        <w:rPr>
          <w:noProof/>
        </w:rPr>
        <w:t xml:space="preserve">por el que se modifican los Reglamentos (UE) n.º 1024/2012 y (UE) 2018/1724 en lo que respecta a la utilización del Sistema de Información del Mercado Interior y la pasarela digital única a efectos de determinados requisitos establecidos en la Directiva (UE) .../... del Parlamento Europeo y del Consejo, relativa a las asociaciones transfronterizas europeas [COM(2023) 516] </w:t>
      </w:r>
      <w:r w:rsidRPr="00D957B7">
        <w:rPr>
          <w:noProof/>
        </w:rPr>
        <w:br/>
        <w:t xml:space="preserve"> </w:t>
      </w:r>
      <w:r w:rsidRPr="00D957B7">
        <w:rPr>
          <w:noProof/>
        </w:rPr>
        <w:br/>
        <w:t xml:space="preserve"> </w:t>
      </w:r>
      <w:r w:rsidRPr="00D957B7">
        <w:rPr>
          <w:noProof/>
        </w:rPr>
        <w:br/>
      </w:r>
    </w:p>
    <w:bookmarkEnd w:id="3"/>
    <w:p w14:paraId="1975C17D" w14:textId="3A8C2D1A" w:rsidR="00CF696D" w:rsidRPr="00A46786" w:rsidRDefault="00D957B7" w:rsidP="00D957B7">
      <w:pPr>
        <w:pStyle w:val="IntrtEEE"/>
        <w:rPr>
          <w:noProof/>
        </w:rPr>
      </w:pPr>
      <w:r w:rsidRPr="00D957B7">
        <w:rPr>
          <w:noProof/>
        </w:rPr>
        <w:t>(Texto pertinente a efectos del EEE)</w:t>
      </w:r>
    </w:p>
    <w:p w14:paraId="067C6D87" w14:textId="2B0FD547" w:rsidR="00A2210E" w:rsidRPr="00A46786" w:rsidRDefault="00A2210E" w:rsidP="00FA3D6F">
      <w:pPr>
        <w:pStyle w:val="Institutionquiagit"/>
        <w:rPr>
          <w:noProof/>
        </w:rPr>
      </w:pPr>
      <w:r w:rsidRPr="00A46786">
        <w:rPr>
          <w:noProof/>
        </w:rPr>
        <w:t>EL PARLAMENTO EUROPEO Y EL CONSEJO DE LA UNIÓN EUROPEA,</w:t>
      </w:r>
    </w:p>
    <w:p w14:paraId="6E82759C" w14:textId="4817CC8F" w:rsidR="00A2210E" w:rsidRPr="00A46786" w:rsidRDefault="00A2210E" w:rsidP="00FA3D6F">
      <w:pPr>
        <w:rPr>
          <w:noProof/>
        </w:rPr>
      </w:pPr>
      <w:r w:rsidRPr="00A46786">
        <w:rPr>
          <w:noProof/>
        </w:rPr>
        <w:t>Visto el Tratado de Funcionamiento de la Unión Europea, y en particular su artículo 21, apartado 2, y su artículo 114,</w:t>
      </w:r>
    </w:p>
    <w:p w14:paraId="1DE6C9E6" w14:textId="77777777" w:rsidR="00A2210E" w:rsidRPr="00A46786" w:rsidRDefault="00A2210E" w:rsidP="00FA3D6F">
      <w:pPr>
        <w:rPr>
          <w:noProof/>
        </w:rPr>
      </w:pPr>
      <w:r w:rsidRPr="00A46786">
        <w:rPr>
          <w:noProof/>
        </w:rPr>
        <w:t>Vista la propuesta de la Comisión Europea,</w:t>
      </w:r>
    </w:p>
    <w:p w14:paraId="39DC4982" w14:textId="77777777" w:rsidR="00A2210E" w:rsidRPr="00A46786" w:rsidRDefault="00A2210E" w:rsidP="00FA3D6F">
      <w:pPr>
        <w:rPr>
          <w:noProof/>
        </w:rPr>
      </w:pPr>
      <w:r w:rsidRPr="00A46786">
        <w:rPr>
          <w:noProof/>
        </w:rPr>
        <w:t>Previa transmisión del proyecto de acto legislativo a los Parlamentos nacionales,</w:t>
      </w:r>
    </w:p>
    <w:p w14:paraId="0654A67E" w14:textId="5BA4CBD4" w:rsidR="00C033BF" w:rsidRPr="00A46786" w:rsidRDefault="00C033BF" w:rsidP="00FA3D6F">
      <w:pPr>
        <w:rPr>
          <w:noProof/>
        </w:rPr>
      </w:pPr>
      <w:r w:rsidRPr="00A46786">
        <w:rPr>
          <w:noProof/>
        </w:rPr>
        <w:t>Visto el dictamen del Comité Económico y Social Europeo</w:t>
      </w:r>
      <w:r w:rsidRPr="00A46786">
        <w:rPr>
          <w:rStyle w:val="FootnoteReference"/>
          <w:noProof/>
        </w:rPr>
        <w:footnoteReference w:id="4"/>
      </w:r>
      <w:r w:rsidRPr="00A46786">
        <w:rPr>
          <w:noProof/>
        </w:rPr>
        <w:t>,</w:t>
      </w:r>
    </w:p>
    <w:p w14:paraId="54F2F0B2" w14:textId="77777777" w:rsidR="00A2210E" w:rsidRPr="00A46786" w:rsidRDefault="00A2210E" w:rsidP="00FA3D6F">
      <w:pPr>
        <w:rPr>
          <w:noProof/>
        </w:rPr>
      </w:pPr>
      <w:r w:rsidRPr="00A46786">
        <w:rPr>
          <w:noProof/>
        </w:rPr>
        <w:t>De conformidad con el procedimiento legislativo ordinario,</w:t>
      </w:r>
    </w:p>
    <w:p w14:paraId="4CA1C4CF" w14:textId="4E59F156" w:rsidR="00BA2FA4" w:rsidRPr="00A46786" w:rsidRDefault="00A2210E" w:rsidP="008B7FA8">
      <w:pPr>
        <w:rPr>
          <w:noProof/>
        </w:rPr>
      </w:pPr>
      <w:r w:rsidRPr="00A46786">
        <w:rPr>
          <w:noProof/>
        </w:rPr>
        <w:t>Considerando lo siguiente:</w:t>
      </w:r>
    </w:p>
    <w:p w14:paraId="7C7B8D97" w14:textId="0712117A" w:rsidR="005252AA" w:rsidRPr="00A46786" w:rsidRDefault="00462B51" w:rsidP="00462B51">
      <w:pPr>
        <w:pStyle w:val="ManualConsidrant"/>
        <w:rPr>
          <w:rFonts w:eastAsia="Times New Roman"/>
          <w:noProof/>
        </w:rPr>
      </w:pPr>
      <w:r w:rsidRPr="00462B51">
        <w:t>(1)</w:t>
      </w:r>
      <w:r w:rsidRPr="00462B51">
        <w:tab/>
      </w:r>
      <w:r w:rsidR="005252AA" w:rsidRPr="00A46786">
        <w:rPr>
          <w:noProof/>
        </w:rPr>
        <w:t>La Directiva (UE) del Parlamento Europeo y del Consejo, relativa a las asociaciones transfronterizas europeas [COM(2023) 516]</w:t>
      </w:r>
      <w:r w:rsidR="005252AA" w:rsidRPr="00A46786">
        <w:rPr>
          <w:rStyle w:val="FootnoteReference"/>
          <w:noProof/>
        </w:rPr>
        <w:footnoteReference w:id="5"/>
      </w:r>
      <w:r w:rsidR="005252AA" w:rsidRPr="00A46786">
        <w:rPr>
          <w:noProof/>
        </w:rPr>
        <w:t>, establece medidas de coordinación sobre las condiciones de creación y funcionamiento de las «asociaciones transfronterizas europeas», con el fin de facilitar el ejercicio efectivo de la libertad de circulación de las asociaciones sin ánimo de lucro que operan en el mercado interior.</w:t>
      </w:r>
    </w:p>
    <w:p w14:paraId="3158C1D5" w14:textId="33E8DA79" w:rsidR="00083FD7" w:rsidRPr="00A46786" w:rsidRDefault="00462B51" w:rsidP="00462B51">
      <w:pPr>
        <w:pStyle w:val="ManualConsidrant"/>
        <w:rPr>
          <w:rFonts w:eastAsia="Times New Roman"/>
          <w:noProof/>
        </w:rPr>
      </w:pPr>
      <w:r w:rsidRPr="00462B51">
        <w:t>(2)</w:t>
      </w:r>
      <w:r w:rsidRPr="00462B51">
        <w:tab/>
      </w:r>
      <w:r w:rsidR="00FF1F41" w:rsidRPr="00A46786">
        <w:rPr>
          <w:noProof/>
        </w:rPr>
        <w:t>Con arreglo al artículo 30, apartado 2, de la Directiva (UE) COM(2023) 516, la cooperación administrativa y el intercambio de información entre las autoridades competentes de los Estados miembros deben llevarse a cabo a través del Sistema de Información del Mercado Interior («sistema IMI») establecido por el Reglamento (UE) n.º 1024/2012 del Parlamento Europeo y del Consejo</w:t>
      </w:r>
      <w:r w:rsidR="00FF1F41" w:rsidRPr="00A46786">
        <w:rPr>
          <w:rStyle w:val="FootnoteReference"/>
          <w:rFonts w:eastAsia="Times New Roman"/>
          <w:noProof/>
        </w:rPr>
        <w:footnoteReference w:id="6"/>
      </w:r>
      <w:r w:rsidR="00FF1F41" w:rsidRPr="00A46786">
        <w:rPr>
          <w:noProof/>
        </w:rPr>
        <w:t>. Por este motivo, deben establecerse los procedimientos de cooperación administrativa necesarios en el sistema IMI.</w:t>
      </w:r>
    </w:p>
    <w:p w14:paraId="4C2173B1" w14:textId="586849EC" w:rsidR="00F21940" w:rsidRPr="00A46786" w:rsidRDefault="00462B51" w:rsidP="00462B51">
      <w:pPr>
        <w:pStyle w:val="ManualConsidrant"/>
        <w:rPr>
          <w:rFonts w:eastAsia="Times New Roman"/>
          <w:noProof/>
        </w:rPr>
      </w:pPr>
      <w:r w:rsidRPr="00462B51">
        <w:t>(3)</w:t>
      </w:r>
      <w:r w:rsidRPr="00462B51">
        <w:tab/>
      </w:r>
      <w:r w:rsidR="00C25A48" w:rsidRPr="00A46786">
        <w:rPr>
          <w:noProof/>
        </w:rPr>
        <w:t>De conformidad con los artículos 2 y 3 del Reglamento (UE) 2018/1724 del Parlamento Europeo y del Consejo</w:t>
      </w:r>
      <w:r w:rsidR="00C25A48" w:rsidRPr="00A46786">
        <w:rPr>
          <w:rStyle w:val="FootnoteReference"/>
          <w:rFonts w:eastAsia="Calibri"/>
          <w:noProof/>
        </w:rPr>
        <w:footnoteReference w:id="7"/>
      </w:r>
      <w:r w:rsidR="00C25A48" w:rsidRPr="00A46786">
        <w:rPr>
          <w:noProof/>
        </w:rPr>
        <w:t>, la pasarela digital única dará acceso a información, procedimientos y servicios de asistencia y resolución de problemas a los ciudadanos de la Unión, a las personas físicas residentes en un Estado miembro y a las personas jurídicas que tengan su domicilio social en un Estado miembro. La parte dispositiva y el anexo I del Reglamento (UE) 2018/1724 deben modificarse para garantizar que el ámbito de aplicación no se limite a los ciudadanos y las empresas e incluya también a las personas jurídicas distintas de las empresas, como las asociaciones transfronterizas europeas.</w:t>
      </w:r>
    </w:p>
    <w:p w14:paraId="6B55F879" w14:textId="40F37F52" w:rsidR="00602AF2" w:rsidRPr="00A46786" w:rsidRDefault="00462B51" w:rsidP="00462B51">
      <w:pPr>
        <w:pStyle w:val="ManualConsidrant"/>
        <w:rPr>
          <w:rFonts w:eastAsia="Times New Roman"/>
          <w:noProof/>
        </w:rPr>
      </w:pPr>
      <w:r w:rsidRPr="00462B51">
        <w:t>(4)</w:t>
      </w:r>
      <w:r w:rsidRPr="00462B51">
        <w:tab/>
      </w:r>
      <w:r w:rsidR="00602AF2" w:rsidRPr="00A46786">
        <w:rPr>
          <w:rStyle w:val="ui-provider"/>
          <w:noProof/>
        </w:rPr>
        <w:t>El Reglamento (UE) 2018/1724 del Parlamento Europeo y del Consejo</w:t>
      </w:r>
      <w:r w:rsidR="00602AF2" w:rsidRPr="00A46786">
        <w:rPr>
          <w:rStyle w:val="FootnoteReference"/>
          <w:noProof/>
        </w:rPr>
        <w:footnoteReference w:id="8"/>
      </w:r>
      <w:r w:rsidR="00602AF2" w:rsidRPr="00A46786">
        <w:rPr>
          <w:rStyle w:val="ui-provider"/>
          <w:noProof/>
        </w:rPr>
        <w:t xml:space="preserve">, que establece una pasarela digital única, dispone normas generales para el suministro en línea de la información, los procedimientos y los servicios de asistencia pertinentes para el funcionamiento del mercado interior. </w:t>
      </w:r>
      <w:r w:rsidR="00602AF2" w:rsidRPr="00A46786">
        <w:rPr>
          <w:noProof/>
        </w:rPr>
        <w:t>Los procedimientos cubiertos por el presente Reglamento deben cumplir los requisitos del Reglamento (UE) 2018/1724 a fin de garantizar que cualquier asociación transfronteriza europea pueda beneficiarse plenamente de los procedimientos en línea y del intercambio automatizado transfronterizo de pruebas, de conformidad con el principio de «solo una vez». Estos procedimientos abarcan la solicitud de registro de una asociación transfronteriza europea y el procedimiento de traslado del domicilio social de esta.</w:t>
      </w:r>
    </w:p>
    <w:p w14:paraId="053A9304" w14:textId="726FAAAC" w:rsidR="004E300B" w:rsidRPr="00A46786" w:rsidRDefault="00462B51" w:rsidP="00462B51">
      <w:pPr>
        <w:pStyle w:val="ManualConsidrant"/>
        <w:rPr>
          <w:noProof/>
        </w:rPr>
      </w:pPr>
      <w:r w:rsidRPr="00462B51">
        <w:t>(5)</w:t>
      </w:r>
      <w:r w:rsidRPr="00462B51">
        <w:tab/>
      </w:r>
      <w:r w:rsidR="00BA2FA4" w:rsidRPr="00A46786">
        <w:rPr>
          <w:noProof/>
        </w:rPr>
        <w:t xml:space="preserve">Procede, por tanto, modificar los Reglamentos (UE) n.º 1024/2012 y (UE) 2018/1724 en consecuencia. </w:t>
      </w:r>
    </w:p>
    <w:p w14:paraId="08A43FFF" w14:textId="77777777" w:rsidR="00A2210E" w:rsidRPr="00A46786" w:rsidRDefault="00A2210E" w:rsidP="00FA3D6F">
      <w:pPr>
        <w:pStyle w:val="Formuledadoption"/>
        <w:rPr>
          <w:noProof/>
        </w:rPr>
      </w:pPr>
      <w:r w:rsidRPr="00A46786">
        <w:rPr>
          <w:noProof/>
        </w:rPr>
        <w:t>HAN ADOPTADO EL PRESENTE REGLAMENTO:</w:t>
      </w:r>
    </w:p>
    <w:p w14:paraId="17B0841D" w14:textId="2A442920" w:rsidR="00A2210E" w:rsidRPr="00A46786" w:rsidRDefault="00A2210E" w:rsidP="005B2D4D">
      <w:pPr>
        <w:pStyle w:val="Titrearticle"/>
        <w:rPr>
          <w:noProof/>
        </w:rPr>
      </w:pPr>
      <w:r w:rsidRPr="00A46786">
        <w:rPr>
          <w:noProof/>
        </w:rPr>
        <w:t>Artículo 1</w:t>
      </w:r>
    </w:p>
    <w:p w14:paraId="7CCE2E51" w14:textId="5A93AA94" w:rsidR="005B2D4D" w:rsidRPr="00A46786" w:rsidRDefault="005B2D4D" w:rsidP="005B2D4D">
      <w:pPr>
        <w:pStyle w:val="Titrearticle"/>
        <w:rPr>
          <w:noProof/>
        </w:rPr>
      </w:pPr>
      <w:r w:rsidRPr="00A46786">
        <w:rPr>
          <w:noProof/>
        </w:rPr>
        <w:t>Modificación del Reglamento (UE) n.º 1024/2012</w:t>
      </w:r>
    </w:p>
    <w:p w14:paraId="1BD06239" w14:textId="3CF8660B" w:rsidR="008548E4" w:rsidRPr="00A46786" w:rsidRDefault="008548E4" w:rsidP="008548E4">
      <w:pPr>
        <w:rPr>
          <w:noProof/>
        </w:rPr>
      </w:pPr>
      <w:r w:rsidRPr="00A46786">
        <w:rPr>
          <w:noProof/>
        </w:rPr>
        <w:t xml:space="preserve">En el anexo del Reglamento (UE) n.º 1024/2012, se añade el nuevo punto 16 siguiente: </w:t>
      </w:r>
    </w:p>
    <w:p w14:paraId="2454F57B" w14:textId="6DC3458B" w:rsidR="008548E4" w:rsidRPr="00A46786" w:rsidRDefault="008548E4" w:rsidP="008548E4">
      <w:pPr>
        <w:rPr>
          <w:noProof/>
        </w:rPr>
      </w:pPr>
      <w:r w:rsidRPr="00A46786">
        <w:rPr>
          <w:noProof/>
        </w:rPr>
        <w:t xml:space="preserve">«16. Directiva (UE) del Parlamento Europeo y del Consejo,  relativa a las asociaciones transfronterizas europeas [COM(2023) 516]*: </w:t>
      </w:r>
      <w:r w:rsidR="00D957B7">
        <w:rPr>
          <w:noProof/>
        </w:rPr>
        <w:t>a</w:t>
      </w:r>
      <w:r w:rsidRPr="00A46786">
        <w:rPr>
          <w:noProof/>
        </w:rPr>
        <w:t>rtículo 19, apartados 2 y 4, artículo 23, apartados 5, 6 y 7, artículo 24, apartado 3, artículo 25, apartado 6 y artículo 27.».</w:t>
      </w:r>
    </w:p>
    <w:p w14:paraId="656BA88B" w14:textId="77777777" w:rsidR="005B21F8" w:rsidRPr="00A46786" w:rsidRDefault="005B21F8" w:rsidP="005B21F8">
      <w:pPr>
        <w:pStyle w:val="Text1"/>
        <w:ind w:left="0"/>
        <w:rPr>
          <w:noProof/>
          <w:szCs w:val="24"/>
        </w:rPr>
      </w:pPr>
      <w:r w:rsidRPr="00A46786">
        <w:rPr>
          <w:noProof/>
        </w:rPr>
        <w:t>____________________</w:t>
      </w:r>
    </w:p>
    <w:p w14:paraId="6E2DBFEC" w14:textId="51002B89" w:rsidR="005B21F8" w:rsidRPr="00A46786" w:rsidRDefault="005B21F8" w:rsidP="006A0A81">
      <w:pPr>
        <w:pStyle w:val="Text1"/>
        <w:ind w:left="0"/>
        <w:rPr>
          <w:noProof/>
          <w:szCs w:val="24"/>
        </w:rPr>
      </w:pPr>
      <w:r w:rsidRPr="00A46786">
        <w:rPr>
          <w:noProof/>
        </w:rPr>
        <w:t>*(Referencia del DO)</w:t>
      </w:r>
    </w:p>
    <w:p w14:paraId="1EF557DA" w14:textId="77777777" w:rsidR="00483D84" w:rsidRPr="00A46786" w:rsidRDefault="00483D84" w:rsidP="00AB2561">
      <w:pPr>
        <w:pStyle w:val="Titrearticle"/>
        <w:rPr>
          <w:noProof/>
        </w:rPr>
      </w:pPr>
      <w:r w:rsidRPr="00A46786">
        <w:rPr>
          <w:noProof/>
        </w:rPr>
        <w:t>Artículo 2</w:t>
      </w:r>
    </w:p>
    <w:p w14:paraId="12DEC5B7" w14:textId="45117F4B" w:rsidR="00483D84" w:rsidRPr="00A46786" w:rsidRDefault="00483D84" w:rsidP="00AB2561">
      <w:pPr>
        <w:pStyle w:val="Titrearticle"/>
        <w:rPr>
          <w:noProof/>
        </w:rPr>
      </w:pPr>
      <w:r w:rsidRPr="00A46786">
        <w:rPr>
          <w:noProof/>
        </w:rPr>
        <w:t>Modificación del Reglamento (UE) 2018/1724</w:t>
      </w:r>
    </w:p>
    <w:p w14:paraId="4CF3A252" w14:textId="77777777" w:rsidR="00926D77" w:rsidRPr="00A46786" w:rsidRDefault="00926D77" w:rsidP="00926D77">
      <w:pPr>
        <w:rPr>
          <w:noProof/>
        </w:rPr>
      </w:pPr>
      <w:r w:rsidRPr="00A46786">
        <w:rPr>
          <w:noProof/>
        </w:rPr>
        <w:t>El Reglamento (UE) 2018/1724 se modifica como sigue:</w:t>
      </w:r>
    </w:p>
    <w:p w14:paraId="31B52738" w14:textId="77777777" w:rsidR="00207F25" w:rsidRPr="00A46786" w:rsidRDefault="00207F25" w:rsidP="00DD0A5A">
      <w:pPr>
        <w:rPr>
          <w:noProof/>
        </w:rPr>
      </w:pPr>
    </w:p>
    <w:p w14:paraId="5A9CBCCC" w14:textId="70649D06" w:rsidR="00DD0A5A" w:rsidRPr="00A46786" w:rsidRDefault="00DF4FD1" w:rsidP="00DF4FD1">
      <w:pPr>
        <w:pStyle w:val="Point0"/>
        <w:rPr>
          <w:noProof/>
        </w:rPr>
      </w:pPr>
      <w:r>
        <w:rPr>
          <w:noProof/>
        </w:rPr>
        <w:t>1)</w:t>
      </w:r>
      <w:r>
        <w:rPr>
          <w:noProof/>
        </w:rPr>
        <w:tab/>
      </w:r>
      <w:r w:rsidR="00742925" w:rsidRPr="00A46786">
        <w:rPr>
          <w:noProof/>
        </w:rPr>
        <w:t>en el artículo 1, apartado 1, la letra a) se sustituye por el texto siguiente:</w:t>
      </w:r>
    </w:p>
    <w:p w14:paraId="4C01CE76" w14:textId="4AF3E432" w:rsidR="00DD0A5A" w:rsidRPr="00A46786" w:rsidRDefault="0047657B" w:rsidP="00DD0A5A">
      <w:pPr>
        <w:rPr>
          <w:noProof/>
        </w:rPr>
      </w:pPr>
      <w:r w:rsidRPr="00A46786">
        <w:rPr>
          <w:noProof/>
        </w:rPr>
        <w:t xml:space="preserve">«a) la creación y el funcionamiento de una pasarela digital única que permita a los ciudadanos, las empresas y las personas jurídicas distintas de las empresas acceder fácilmente a una información de gran calidad, a unos procedimientos eficientes y a unos servicios eficaces de asistencia y resolución de problemas por lo que respecta a normas de la Unión y nacionales aplicables a los ciudadanos, las empresas y las personas jurídicas distintas de las empresas que ejercen o tratan de ejercer sus derechos derivados del Derecho de la Unión en el ámbito del mercado interior, en el sentido del artículo 26, apartado 2, del TFUE;»; </w:t>
      </w:r>
    </w:p>
    <w:p w14:paraId="0FECC0B6" w14:textId="77777777" w:rsidR="00207F25" w:rsidRPr="00A46786" w:rsidRDefault="00207F25" w:rsidP="00926D77">
      <w:pPr>
        <w:rPr>
          <w:noProof/>
        </w:rPr>
      </w:pPr>
    </w:p>
    <w:p w14:paraId="39A70F03" w14:textId="5B730AEE" w:rsidR="00926D77" w:rsidRPr="00A46786" w:rsidRDefault="00DF4FD1" w:rsidP="00DF4FD1">
      <w:pPr>
        <w:pStyle w:val="Point0"/>
        <w:rPr>
          <w:noProof/>
        </w:rPr>
      </w:pPr>
      <w:r>
        <w:rPr>
          <w:noProof/>
        </w:rPr>
        <w:t>2)</w:t>
      </w:r>
      <w:r>
        <w:rPr>
          <w:noProof/>
        </w:rPr>
        <w:tab/>
      </w:r>
      <w:r w:rsidR="00926D77" w:rsidRPr="00A46786">
        <w:rPr>
          <w:noProof/>
        </w:rPr>
        <w:t>En el artículo 1, apartado 1, la letra b) se sustituye por el texto siguiente:</w:t>
      </w:r>
    </w:p>
    <w:p w14:paraId="58F7BD28" w14:textId="053F4A09" w:rsidR="00926D77" w:rsidRPr="00A46786" w:rsidRDefault="00926D77" w:rsidP="006A0A81">
      <w:pPr>
        <w:pStyle w:val="Text1"/>
        <w:ind w:left="0"/>
        <w:rPr>
          <w:noProof/>
          <w:szCs w:val="24"/>
        </w:rPr>
      </w:pPr>
      <w:r w:rsidRPr="00A46786">
        <w:rPr>
          <w:noProof/>
        </w:rPr>
        <w:t>«b) el uso de los procedimientos por usuarios transfronterizos y la aplicación del principio de «solo una vez» en relación con los procedimientos enumerados en el anexo II del presente Reglamento y los procedimientos establecidos en las Directivas 2005/36/CE, 2006/123/CE, 2014/24/UE, 2014/25/UE y …/…*;»</w:t>
      </w:r>
    </w:p>
    <w:p w14:paraId="32F688E3" w14:textId="4448DBDC" w:rsidR="005E6798" w:rsidRPr="00A46786" w:rsidRDefault="005E6798" w:rsidP="006A0A81">
      <w:pPr>
        <w:pStyle w:val="Text1"/>
        <w:ind w:left="0"/>
        <w:rPr>
          <w:noProof/>
          <w:szCs w:val="24"/>
        </w:rPr>
      </w:pPr>
      <w:r w:rsidRPr="00A46786">
        <w:rPr>
          <w:noProof/>
        </w:rPr>
        <w:t>____________________</w:t>
      </w:r>
    </w:p>
    <w:p w14:paraId="45F34252" w14:textId="616A242A" w:rsidR="009A6416" w:rsidRPr="00A46786" w:rsidRDefault="00F45BB0" w:rsidP="00926D77">
      <w:pPr>
        <w:rPr>
          <w:noProof/>
        </w:rPr>
      </w:pPr>
      <w:r w:rsidRPr="00A46786">
        <w:rPr>
          <w:noProof/>
        </w:rPr>
        <w:t>«*Directiva del Parlamento Europeo y del Consejo de... sobre las asociaciones transfronterizas europeas (referencia del DO).»;</w:t>
      </w:r>
    </w:p>
    <w:p w14:paraId="4907959E" w14:textId="77777777" w:rsidR="00207F25" w:rsidRPr="00A46786" w:rsidRDefault="00207F25" w:rsidP="00926D77">
      <w:pPr>
        <w:rPr>
          <w:noProof/>
        </w:rPr>
      </w:pPr>
    </w:p>
    <w:p w14:paraId="2AE8E0D1" w14:textId="44FC5D93" w:rsidR="001E7F12" w:rsidRPr="00A46786" w:rsidRDefault="00DF4FD1" w:rsidP="00DF4FD1">
      <w:pPr>
        <w:pStyle w:val="Point0"/>
        <w:rPr>
          <w:noProof/>
        </w:rPr>
      </w:pPr>
      <w:r>
        <w:rPr>
          <w:noProof/>
        </w:rPr>
        <w:t>3)</w:t>
      </w:r>
      <w:r>
        <w:rPr>
          <w:noProof/>
        </w:rPr>
        <w:tab/>
      </w:r>
      <w:r w:rsidR="004D33FC" w:rsidRPr="00A46786">
        <w:rPr>
          <w:noProof/>
        </w:rPr>
        <w:t>En el artículo 2, apartado 2, la letra c) se sustituye por el texto siguiente:</w:t>
      </w:r>
    </w:p>
    <w:p w14:paraId="62DF3882" w14:textId="3FFA44F0" w:rsidR="00043C8B" w:rsidRPr="00A46786" w:rsidRDefault="008D1CDB" w:rsidP="00947F81">
      <w:pPr>
        <w:rPr>
          <w:noProof/>
        </w:rPr>
      </w:pPr>
      <w:r w:rsidRPr="00A46786">
        <w:rPr>
          <w:noProof/>
        </w:rPr>
        <w:t>«c) información sobre los servicios de asistencia y resolución de problemas enumerados en el anexo III o a los que se refiere el artículo 7, así como enlaces a dichos servicios, a los que pueden acudir los ciudadanos, las empresas y las personas jurídicas distintas de las empresas que tengan preguntas o problemas relacionados con los derechos, las obligaciones, las normas o los procedimientos a los que se refieren las letras a) y b) del presente apartado.»;</w:t>
      </w:r>
    </w:p>
    <w:p w14:paraId="345C97D4" w14:textId="77777777" w:rsidR="00176A09" w:rsidRPr="00A46786" w:rsidRDefault="00176A09" w:rsidP="00947F81">
      <w:pPr>
        <w:rPr>
          <w:noProof/>
        </w:rPr>
      </w:pPr>
    </w:p>
    <w:p w14:paraId="001853C0" w14:textId="582DF53E" w:rsidR="00926D77" w:rsidRPr="00A46786" w:rsidRDefault="00DF4FD1" w:rsidP="00DF4FD1">
      <w:pPr>
        <w:pStyle w:val="Point0"/>
        <w:rPr>
          <w:noProof/>
        </w:rPr>
      </w:pPr>
      <w:r>
        <w:rPr>
          <w:noProof/>
        </w:rPr>
        <w:t>4)</w:t>
      </w:r>
      <w:r>
        <w:rPr>
          <w:noProof/>
        </w:rPr>
        <w:tab/>
      </w:r>
      <w:r w:rsidR="004D33FC" w:rsidRPr="00A46786">
        <w:rPr>
          <w:noProof/>
        </w:rPr>
        <w:t xml:space="preserve">en el artículo 14, el apartado 1 se sustituye por el texto siguiente: </w:t>
      </w:r>
    </w:p>
    <w:p w14:paraId="6F1C5770" w14:textId="7F337151" w:rsidR="004D33FC" w:rsidRPr="00A46786" w:rsidRDefault="00207F25" w:rsidP="00926D77">
      <w:pPr>
        <w:rPr>
          <w:noProof/>
        </w:rPr>
      </w:pPr>
      <w:r w:rsidRPr="00A46786">
        <w:rPr>
          <w:noProof/>
        </w:rPr>
        <w:t>«1. A los fines del intercambio de pruebas para los procedimientos en línea enumerados en el anexo II del presente Reglamento y los procedimientos establecidos en las Directivas 2005/36/CE, 2006/123/CE, 2014/24/UE, 2014/25/UE y …/…/…, la Comisión, en colaboración con los Estados miembros, creará un sistema técnico para el intercambio automatizado de pruebas entre autoridades competentes de Estados miembros diferentes (en lo sucesivo, «el sistema técnico»).»;</w:t>
      </w:r>
    </w:p>
    <w:p w14:paraId="16A7CC4E" w14:textId="0C4E8699" w:rsidR="00926D77" w:rsidRPr="00A46786" w:rsidRDefault="00926D77" w:rsidP="00410CD4">
      <w:pPr>
        <w:rPr>
          <w:i/>
          <w:iCs/>
          <w:noProof/>
          <w:color w:val="000000"/>
          <w:szCs w:val="24"/>
          <w:shd w:val="clear" w:color="auto" w:fill="FFFFFF"/>
        </w:rPr>
      </w:pPr>
    </w:p>
    <w:p w14:paraId="3E55880E" w14:textId="4D312800" w:rsidR="00926D77" w:rsidRPr="00A46786" w:rsidRDefault="00DF4FD1" w:rsidP="00DF4FD1">
      <w:pPr>
        <w:pStyle w:val="Point0"/>
        <w:rPr>
          <w:noProof/>
        </w:rPr>
      </w:pPr>
      <w:r>
        <w:rPr>
          <w:noProof/>
        </w:rPr>
        <w:t>5)</w:t>
      </w:r>
      <w:r>
        <w:rPr>
          <w:noProof/>
        </w:rPr>
        <w:tab/>
      </w:r>
      <w:r w:rsidR="00926D77" w:rsidRPr="00A46786">
        <w:rPr>
          <w:noProof/>
        </w:rPr>
        <w:t>el anexo I del Reglamento (UE) 2018/1724 se modifica como sigue:</w:t>
      </w:r>
    </w:p>
    <w:p w14:paraId="72515201" w14:textId="77777777" w:rsidR="00926D77" w:rsidRPr="00A46786" w:rsidRDefault="00926D77" w:rsidP="00926D77">
      <w:pPr>
        <w:rPr>
          <w:i/>
          <w:noProof/>
        </w:rPr>
      </w:pPr>
    </w:p>
    <w:p w14:paraId="34C3F729" w14:textId="797EAC3C" w:rsidR="00926D77" w:rsidRPr="00A46786" w:rsidRDefault="00DF4FD1" w:rsidP="00DF4FD1">
      <w:pPr>
        <w:pStyle w:val="Point1"/>
        <w:rPr>
          <w:noProof/>
        </w:rPr>
      </w:pPr>
      <w:r>
        <w:rPr>
          <w:noProof/>
        </w:rPr>
        <w:t>a)</w:t>
      </w:r>
      <w:r>
        <w:rPr>
          <w:noProof/>
        </w:rPr>
        <w:tab/>
      </w:r>
      <w:r w:rsidR="00926D77" w:rsidRPr="00A46786">
        <w:rPr>
          <w:noProof/>
        </w:rPr>
        <w:t xml:space="preserve">el título se sustituye por el texto siguiente: </w:t>
      </w:r>
    </w:p>
    <w:p w14:paraId="5CEDB10A" w14:textId="738F313A" w:rsidR="00926D77" w:rsidRPr="00A46786" w:rsidRDefault="00926D77" w:rsidP="00926D77">
      <w:pPr>
        <w:rPr>
          <w:noProof/>
        </w:rPr>
      </w:pPr>
      <w:r w:rsidRPr="00A46786">
        <w:rPr>
          <w:noProof/>
        </w:rPr>
        <w:t xml:space="preserve">«Lista de los ámbitos de información pertinentes para los ciudadanos, las empresas y </w:t>
      </w:r>
      <w:r w:rsidRPr="00A46786">
        <w:rPr>
          <w:noProof/>
          <w:color w:val="000000"/>
          <w:shd w:val="clear" w:color="auto" w:fill="FFFFFF"/>
        </w:rPr>
        <w:t>las personas jurídicas distintas de las empresas que tengan su domicilio social en un Estado miembro</w:t>
      </w:r>
      <w:r w:rsidRPr="00A46786">
        <w:rPr>
          <w:noProof/>
        </w:rPr>
        <w:t xml:space="preserve"> y ejerzan o tengan la intención de ejercer sus derechos en el mercado interior contemplados en el artículo 2, apartado 2, letra a)»;</w:t>
      </w:r>
    </w:p>
    <w:p w14:paraId="25ADC1F9" w14:textId="77777777" w:rsidR="00926D77" w:rsidRPr="00A46786" w:rsidRDefault="00926D77" w:rsidP="00926D77">
      <w:pPr>
        <w:rPr>
          <w:noProof/>
        </w:rPr>
      </w:pPr>
    </w:p>
    <w:p w14:paraId="474C64C0" w14:textId="722C5C6D" w:rsidR="00926D77" w:rsidRPr="00A46786" w:rsidRDefault="00DF4FD1" w:rsidP="00DF4FD1">
      <w:pPr>
        <w:pStyle w:val="Point1"/>
        <w:rPr>
          <w:noProof/>
          <w:color w:val="000000"/>
          <w:szCs w:val="24"/>
          <w:shd w:val="clear" w:color="auto" w:fill="FFFFFF"/>
        </w:rPr>
      </w:pPr>
      <w:r>
        <w:rPr>
          <w:noProof/>
        </w:rPr>
        <w:t>b)</w:t>
      </w:r>
      <w:r>
        <w:rPr>
          <w:noProof/>
        </w:rPr>
        <w:tab/>
      </w:r>
      <w:r w:rsidR="00926D77" w:rsidRPr="00A46786">
        <w:rPr>
          <w:noProof/>
        </w:rPr>
        <w:t>se añaden los siguientes ámbitos de información:</w:t>
      </w:r>
    </w:p>
    <w:p w14:paraId="2548A6E8" w14:textId="1F55C221" w:rsidR="00926D77" w:rsidRPr="00A46786" w:rsidRDefault="00ED61A2" w:rsidP="00926D77">
      <w:pPr>
        <w:rPr>
          <w:i/>
          <w:iCs/>
          <w:noProof/>
          <w:color w:val="000000"/>
          <w:szCs w:val="24"/>
          <w:shd w:val="clear" w:color="auto" w:fill="FFFFFF"/>
        </w:rPr>
      </w:pPr>
      <w:r w:rsidRPr="00A46786">
        <w:rPr>
          <w:noProof/>
          <w:color w:val="000000"/>
          <w:shd w:val="clear" w:color="auto" w:fill="FFFFFF"/>
        </w:rPr>
        <w:t>«Ámbitos de información relacionados con las personas jurídicas distintas de las empresas que tengan su domicilio social en un Estado miembro:</w:t>
      </w:r>
    </w:p>
    <w:tbl>
      <w:tblPr>
        <w:tblStyle w:val="TableGrid"/>
        <w:tblW w:w="0" w:type="auto"/>
        <w:tblLook w:val="04A0" w:firstRow="1" w:lastRow="0" w:firstColumn="1" w:lastColumn="0" w:noHBand="0" w:noVBand="1"/>
      </w:tblPr>
      <w:tblGrid>
        <w:gridCol w:w="2453"/>
        <w:gridCol w:w="6836"/>
      </w:tblGrid>
      <w:tr w:rsidR="00926D77" w:rsidRPr="00A46786" w14:paraId="29D84FFF" w14:textId="77777777">
        <w:tc>
          <w:tcPr>
            <w:tcW w:w="3256" w:type="dxa"/>
            <w:tcBorders>
              <w:top w:val="single" w:sz="4" w:space="0" w:color="auto"/>
              <w:left w:val="single" w:sz="4" w:space="0" w:color="auto"/>
              <w:bottom w:val="single" w:sz="4" w:space="0" w:color="auto"/>
              <w:right w:val="single" w:sz="4" w:space="0" w:color="auto"/>
            </w:tcBorders>
            <w:hideMark/>
          </w:tcPr>
          <w:p w14:paraId="6F37D9AF" w14:textId="77777777" w:rsidR="00926D77" w:rsidRPr="00A46786" w:rsidRDefault="00926D77">
            <w:pPr>
              <w:rPr>
                <w:noProof/>
                <w:color w:val="000000"/>
                <w:szCs w:val="24"/>
                <w:shd w:val="clear" w:color="auto" w:fill="FFFFFF"/>
              </w:rPr>
            </w:pPr>
            <w:r w:rsidRPr="00A46786">
              <w:rPr>
                <w:noProof/>
                <w:color w:val="000000"/>
                <w:shd w:val="clear" w:color="auto" w:fill="FFFFFF"/>
              </w:rPr>
              <w:t>AA. Puesta en marcha, gestión y cierre de una persona jurídica distinta de una empresa</w:t>
            </w:r>
          </w:p>
        </w:tc>
        <w:tc>
          <w:tcPr>
            <w:tcW w:w="10692" w:type="dxa"/>
            <w:tcBorders>
              <w:top w:val="single" w:sz="4" w:space="0" w:color="auto"/>
              <w:left w:val="single" w:sz="4" w:space="0" w:color="auto"/>
              <w:bottom w:val="single" w:sz="4" w:space="0" w:color="auto"/>
              <w:right w:val="single" w:sz="4" w:space="0" w:color="auto"/>
            </w:tcBorders>
          </w:tcPr>
          <w:p w14:paraId="4CA712BF" w14:textId="77777777" w:rsidR="00926D77" w:rsidRPr="00A46786" w:rsidRDefault="00926D77">
            <w:pPr>
              <w:rPr>
                <w:rFonts w:eastAsia="Times New Roman"/>
                <w:noProof/>
                <w:szCs w:val="24"/>
              </w:rPr>
            </w:pPr>
            <w:r w:rsidRPr="00A46786">
              <w:rPr>
                <w:noProof/>
                <w:color w:val="000000"/>
                <w:shd w:val="clear" w:color="auto" w:fill="FFFFFF"/>
              </w:rPr>
              <w:t>1.</w:t>
            </w:r>
            <w:r w:rsidRPr="00A46786">
              <w:rPr>
                <w:noProof/>
              </w:rPr>
              <w:t xml:space="preserve"> Registro, cambio de la forma jurídica o cierre de una persona jurídica distinta de una empresa (procedimientos de registro y formas jurídicas)</w:t>
            </w:r>
          </w:p>
          <w:p w14:paraId="4087131C" w14:textId="77777777" w:rsidR="00926D77" w:rsidRPr="00A46786" w:rsidRDefault="00926D77">
            <w:pPr>
              <w:rPr>
                <w:rFonts w:eastAsia="Times New Roman"/>
                <w:noProof/>
                <w:szCs w:val="24"/>
              </w:rPr>
            </w:pPr>
            <w:r w:rsidRPr="00A46786">
              <w:rPr>
                <w:noProof/>
                <w:color w:val="000000"/>
                <w:shd w:val="clear" w:color="auto" w:fill="FFFFFF"/>
              </w:rPr>
              <w:t>2.</w:t>
            </w:r>
            <w:r w:rsidRPr="00A46786">
              <w:rPr>
                <w:noProof/>
              </w:rPr>
              <w:t xml:space="preserve"> Traslado de una persona jurídica distinta de una empresa a otro Estado miembro</w:t>
            </w:r>
          </w:p>
          <w:p w14:paraId="18F4FE54" w14:textId="77777777" w:rsidR="00926D77" w:rsidRPr="00A46786" w:rsidRDefault="00926D77">
            <w:pPr>
              <w:rPr>
                <w:rFonts w:eastAsia="Times New Roman"/>
                <w:noProof/>
                <w:szCs w:val="24"/>
              </w:rPr>
            </w:pPr>
            <w:r w:rsidRPr="00A46786">
              <w:rPr>
                <w:noProof/>
              </w:rPr>
              <w:t>3. Derechos de propiedad intelectual (solicitud de patente, registro de marca, dibujo o diseño, obtención de una licencia para reproducción)</w:t>
            </w:r>
          </w:p>
          <w:p w14:paraId="09CD983D" w14:textId="77777777" w:rsidR="00926D77" w:rsidRPr="00A46786" w:rsidRDefault="00926D77">
            <w:pPr>
              <w:rPr>
                <w:rFonts w:eastAsia="Times New Roman"/>
                <w:noProof/>
                <w:szCs w:val="24"/>
              </w:rPr>
            </w:pPr>
            <w:r w:rsidRPr="00A46786">
              <w:rPr>
                <w:noProof/>
              </w:rPr>
              <w:t>4. Lealtad y transparencia en las prácticas comerciales, incluidos los derechos y garantías de los consumidores relacionados con la compraventa de productos y servicios</w:t>
            </w:r>
          </w:p>
          <w:p w14:paraId="2F5606B9" w14:textId="77777777" w:rsidR="00926D77" w:rsidRPr="00A46786" w:rsidRDefault="00926D77">
            <w:pPr>
              <w:rPr>
                <w:rFonts w:eastAsia="Times New Roman"/>
                <w:noProof/>
                <w:szCs w:val="24"/>
              </w:rPr>
            </w:pPr>
            <w:r w:rsidRPr="00A46786">
              <w:rPr>
                <w:noProof/>
              </w:rPr>
              <w:t>5. Servicios en línea para realizar pagos transfronterizos cuando se venden productos y servicios en la red</w:t>
            </w:r>
          </w:p>
          <w:p w14:paraId="124CA148" w14:textId="77777777" w:rsidR="00926D77" w:rsidRPr="00A46786" w:rsidRDefault="00926D77">
            <w:pPr>
              <w:rPr>
                <w:rFonts w:eastAsia="Times New Roman"/>
                <w:noProof/>
                <w:szCs w:val="24"/>
              </w:rPr>
            </w:pPr>
            <w:r w:rsidRPr="00A46786">
              <w:rPr>
                <w:noProof/>
              </w:rPr>
              <w:t>6. Derechos y obligaciones derivados del Derecho contractual, incluidos los intereses de demora</w:t>
            </w:r>
          </w:p>
          <w:p w14:paraId="20D3F1DE" w14:textId="704A4A4E" w:rsidR="00926D77" w:rsidRPr="00A46786" w:rsidRDefault="00926D77">
            <w:pPr>
              <w:rPr>
                <w:rFonts w:eastAsia="Times New Roman"/>
                <w:noProof/>
                <w:szCs w:val="24"/>
              </w:rPr>
            </w:pPr>
            <w:r w:rsidRPr="00A46786">
              <w:rPr>
                <w:noProof/>
              </w:rPr>
              <w:t>7. Procedimientos de insolvencia y liquidación de personas jurídicas distintas de las empresas</w:t>
            </w:r>
          </w:p>
          <w:p w14:paraId="7DF299A7" w14:textId="77777777" w:rsidR="00926D77" w:rsidRPr="00A46786" w:rsidRDefault="00926D77">
            <w:pPr>
              <w:rPr>
                <w:rFonts w:eastAsia="Times New Roman"/>
                <w:noProof/>
                <w:szCs w:val="24"/>
              </w:rPr>
            </w:pPr>
            <w:r w:rsidRPr="00A46786">
              <w:rPr>
                <w:noProof/>
              </w:rPr>
              <w:t>8. Seguro de crédito</w:t>
            </w:r>
          </w:p>
          <w:p w14:paraId="5EFD8ADC" w14:textId="77777777" w:rsidR="00926D77" w:rsidRPr="00A46786" w:rsidRDefault="00926D77">
            <w:pPr>
              <w:rPr>
                <w:rFonts w:eastAsia="Times New Roman"/>
                <w:noProof/>
                <w:szCs w:val="24"/>
              </w:rPr>
            </w:pPr>
            <w:r w:rsidRPr="00A46786">
              <w:rPr>
                <w:noProof/>
              </w:rPr>
              <w:t>9. Fusión o venta de una persona jurídica distinta de una empresa</w:t>
            </w:r>
          </w:p>
          <w:p w14:paraId="3FC5090A" w14:textId="77777777" w:rsidR="00926D77" w:rsidRPr="00A46786" w:rsidRDefault="00926D77">
            <w:pPr>
              <w:rPr>
                <w:rFonts w:eastAsia="Times New Roman"/>
                <w:noProof/>
                <w:szCs w:val="24"/>
              </w:rPr>
            </w:pPr>
            <w:r w:rsidRPr="00A46786">
              <w:rPr>
                <w:noProof/>
              </w:rPr>
              <w:t>10. Responsabilidad civil de los administradores de una persona jurídica distinta de una empresa</w:t>
            </w:r>
          </w:p>
          <w:p w14:paraId="04F8ACC9" w14:textId="77777777" w:rsidR="00926D77" w:rsidRPr="00A46786" w:rsidRDefault="00926D77">
            <w:pPr>
              <w:rPr>
                <w:rFonts w:eastAsia="Times New Roman"/>
                <w:noProof/>
                <w:szCs w:val="24"/>
              </w:rPr>
            </w:pPr>
            <w:r w:rsidRPr="00A46786">
              <w:rPr>
                <w:noProof/>
              </w:rPr>
              <w:t>11. Normas y obligaciones relativas al tratamiento de datos personales</w:t>
            </w:r>
          </w:p>
          <w:p w14:paraId="530960ED" w14:textId="77777777" w:rsidR="00926D77" w:rsidRPr="00A46786" w:rsidRDefault="00926D77">
            <w:pPr>
              <w:rPr>
                <w:noProof/>
                <w:color w:val="000000"/>
                <w:szCs w:val="24"/>
                <w:shd w:val="clear" w:color="auto" w:fill="FFFFFF"/>
              </w:rPr>
            </w:pPr>
          </w:p>
        </w:tc>
      </w:tr>
      <w:tr w:rsidR="00926D77" w:rsidRPr="00A46786" w14:paraId="3B308DA4" w14:textId="77777777">
        <w:tc>
          <w:tcPr>
            <w:tcW w:w="3256" w:type="dxa"/>
            <w:tcBorders>
              <w:top w:val="single" w:sz="4" w:space="0" w:color="auto"/>
              <w:left w:val="single" w:sz="4" w:space="0" w:color="auto"/>
              <w:bottom w:val="single" w:sz="4" w:space="0" w:color="auto"/>
              <w:right w:val="single" w:sz="4" w:space="0" w:color="auto"/>
            </w:tcBorders>
            <w:hideMark/>
          </w:tcPr>
          <w:p w14:paraId="6A81B2B1" w14:textId="77777777" w:rsidR="00926D77" w:rsidRPr="00A46786" w:rsidRDefault="00926D77">
            <w:pPr>
              <w:rPr>
                <w:noProof/>
                <w:color w:val="000000"/>
                <w:szCs w:val="24"/>
                <w:shd w:val="clear" w:color="auto" w:fill="FFFFFF"/>
              </w:rPr>
            </w:pPr>
            <w:r w:rsidRPr="00A46786">
              <w:rPr>
                <w:noProof/>
                <w:color w:val="000000"/>
                <w:shd w:val="clear" w:color="auto" w:fill="FFFFFF"/>
              </w:rPr>
              <w:t>AB. Empleados</w:t>
            </w:r>
          </w:p>
        </w:tc>
        <w:tc>
          <w:tcPr>
            <w:tcW w:w="10692" w:type="dxa"/>
            <w:tcBorders>
              <w:top w:val="single" w:sz="4" w:space="0" w:color="auto"/>
              <w:left w:val="single" w:sz="4" w:space="0" w:color="auto"/>
              <w:bottom w:val="single" w:sz="4" w:space="0" w:color="auto"/>
              <w:right w:val="single" w:sz="4" w:space="0" w:color="auto"/>
            </w:tcBorders>
          </w:tcPr>
          <w:p w14:paraId="0CB10DF7" w14:textId="77777777" w:rsidR="00926D77" w:rsidRPr="00A46786" w:rsidRDefault="00926D77">
            <w:pPr>
              <w:rPr>
                <w:rFonts w:eastAsia="Times New Roman"/>
                <w:noProof/>
                <w:szCs w:val="24"/>
              </w:rPr>
            </w:pPr>
            <w:r w:rsidRPr="00A46786">
              <w:rPr>
                <w:noProof/>
                <w:color w:val="000000"/>
                <w:shd w:val="clear" w:color="auto" w:fill="FFFFFF"/>
              </w:rPr>
              <w:t xml:space="preserve">1. </w:t>
            </w:r>
            <w:r w:rsidRPr="00A46786">
              <w:rPr>
                <w:noProof/>
              </w:rPr>
              <w:t>Condiciones de empleo previstas por disposiciones legales o reglamentarias (jornada de trabajo, permisos remunerados, derecho a vacaciones, derechos y obligaciones en relación con las horas extraordinarias, reconocimientos médicos, finalización de contratos, dimisiones y despidos)</w:t>
            </w:r>
          </w:p>
          <w:p w14:paraId="7F717227" w14:textId="77777777" w:rsidR="00926D77" w:rsidRPr="00A46786" w:rsidRDefault="00926D77">
            <w:pPr>
              <w:rPr>
                <w:rFonts w:eastAsia="Times New Roman"/>
                <w:noProof/>
                <w:szCs w:val="24"/>
              </w:rPr>
            </w:pPr>
            <w:r w:rsidRPr="00A46786">
              <w:rPr>
                <w:noProof/>
              </w:rPr>
              <w:t>2. Derechos y obligaciones en materia de seguridad social en la Unión (alta como empresario, alta de empleados, notificación de la finalización del contrato de un empleado, pago de cotizaciones sociales, derechos y obligaciones en materia de pensiones)</w:t>
            </w:r>
          </w:p>
          <w:p w14:paraId="3E352F90" w14:textId="77777777" w:rsidR="00926D77" w:rsidRPr="00A46786" w:rsidRDefault="00926D77">
            <w:pPr>
              <w:rPr>
                <w:rFonts w:eastAsia="Times New Roman"/>
                <w:noProof/>
                <w:szCs w:val="24"/>
              </w:rPr>
            </w:pPr>
            <w:r w:rsidRPr="00A46786">
              <w:rPr>
                <w:noProof/>
              </w:rPr>
              <w:t>3. Contratación de trabajadores en otros Estados miembros (desplazamiento de trabajadores, normas sobre la libre prestación de servicios, requisitos de residencia para los trabajadores)</w:t>
            </w:r>
          </w:p>
          <w:p w14:paraId="196E88A6" w14:textId="77777777" w:rsidR="00926D77" w:rsidRPr="00A46786" w:rsidRDefault="00926D77">
            <w:pPr>
              <w:rPr>
                <w:rFonts w:eastAsia="Times New Roman"/>
                <w:noProof/>
                <w:szCs w:val="24"/>
              </w:rPr>
            </w:pPr>
            <w:r w:rsidRPr="00A46786">
              <w:rPr>
                <w:noProof/>
              </w:rPr>
              <w:t>4. Igualdad de trato (normas que prohíben la discriminación en el lugar de trabajo, normas sobre igualdad salarial entre hombres y mujeres y sobre igualdad salarial entre trabajadores con contratos de duración determinada y trabajadores con contratos de trabajo por tiempo indefinido)</w:t>
            </w:r>
          </w:p>
          <w:p w14:paraId="407CF9E8" w14:textId="77777777" w:rsidR="00926D77" w:rsidRPr="00A46786" w:rsidRDefault="00926D77">
            <w:pPr>
              <w:rPr>
                <w:rFonts w:eastAsia="Times New Roman"/>
                <w:noProof/>
                <w:szCs w:val="24"/>
              </w:rPr>
            </w:pPr>
            <w:r w:rsidRPr="00A46786">
              <w:rPr>
                <w:noProof/>
              </w:rPr>
              <w:t>5. Normas sobre representación del personal</w:t>
            </w:r>
          </w:p>
          <w:p w14:paraId="158C1C90" w14:textId="77777777" w:rsidR="00926D77" w:rsidRPr="00A46786" w:rsidRDefault="00926D77">
            <w:pPr>
              <w:rPr>
                <w:noProof/>
                <w:color w:val="000000"/>
                <w:szCs w:val="24"/>
                <w:shd w:val="clear" w:color="auto" w:fill="FFFFFF"/>
              </w:rPr>
            </w:pPr>
          </w:p>
        </w:tc>
      </w:tr>
      <w:tr w:rsidR="00926D77" w:rsidRPr="00A46786" w14:paraId="15A1B6B8" w14:textId="77777777">
        <w:tc>
          <w:tcPr>
            <w:tcW w:w="3256" w:type="dxa"/>
            <w:tcBorders>
              <w:top w:val="single" w:sz="4" w:space="0" w:color="auto"/>
              <w:left w:val="single" w:sz="4" w:space="0" w:color="auto"/>
              <w:bottom w:val="single" w:sz="4" w:space="0" w:color="auto"/>
              <w:right w:val="single" w:sz="4" w:space="0" w:color="auto"/>
            </w:tcBorders>
            <w:hideMark/>
          </w:tcPr>
          <w:p w14:paraId="50B69170" w14:textId="77777777" w:rsidR="00926D77" w:rsidRPr="00A46786" w:rsidRDefault="00926D77">
            <w:pPr>
              <w:rPr>
                <w:noProof/>
                <w:color w:val="000000"/>
                <w:szCs w:val="24"/>
                <w:shd w:val="clear" w:color="auto" w:fill="FFFFFF"/>
              </w:rPr>
            </w:pPr>
            <w:r w:rsidRPr="00A46786">
              <w:rPr>
                <w:noProof/>
                <w:color w:val="000000"/>
                <w:shd w:val="clear" w:color="auto" w:fill="FFFFFF"/>
              </w:rPr>
              <w:t>AC. Impuestos</w:t>
            </w:r>
          </w:p>
        </w:tc>
        <w:tc>
          <w:tcPr>
            <w:tcW w:w="10692" w:type="dxa"/>
            <w:tcBorders>
              <w:top w:val="single" w:sz="4" w:space="0" w:color="auto"/>
              <w:left w:val="single" w:sz="4" w:space="0" w:color="auto"/>
              <w:bottom w:val="single" w:sz="4" w:space="0" w:color="auto"/>
              <w:right w:val="single" w:sz="4" w:space="0" w:color="auto"/>
            </w:tcBorders>
            <w:hideMark/>
          </w:tcPr>
          <w:p w14:paraId="06F64CC2" w14:textId="77777777" w:rsidR="00926D77" w:rsidRPr="00A46786" w:rsidRDefault="00926D77">
            <w:pPr>
              <w:rPr>
                <w:rFonts w:eastAsia="Times New Roman"/>
                <w:noProof/>
                <w:szCs w:val="24"/>
              </w:rPr>
            </w:pPr>
            <w:r w:rsidRPr="00A46786">
              <w:rPr>
                <w:noProof/>
                <w:color w:val="000000"/>
                <w:shd w:val="clear" w:color="auto" w:fill="FFFFFF"/>
              </w:rPr>
              <w:t xml:space="preserve">1. IVA: </w:t>
            </w:r>
            <w:r w:rsidRPr="00A46786">
              <w:rPr>
                <w:noProof/>
              </w:rPr>
              <w:t>información sobre las normas generales, tipos y exenciones, registro y abono del IVA, obtención de reembolsos</w:t>
            </w:r>
          </w:p>
          <w:p w14:paraId="31EB6480" w14:textId="77777777" w:rsidR="00926D77" w:rsidRPr="00A46786" w:rsidRDefault="00926D77">
            <w:pPr>
              <w:rPr>
                <w:rFonts w:eastAsia="Times New Roman"/>
                <w:noProof/>
                <w:szCs w:val="24"/>
              </w:rPr>
            </w:pPr>
            <w:r w:rsidRPr="00A46786">
              <w:rPr>
                <w:noProof/>
              </w:rPr>
              <w:t>2. Impuestos especiales: información sobre las normas generales, tipos y exenciones, registro a efectos de impuestos especiales y pago de impuestos especiales, obtención de reembolsos</w:t>
            </w:r>
          </w:p>
          <w:p w14:paraId="2E7B5AEB" w14:textId="77777777" w:rsidR="00926D77" w:rsidRPr="00A46786" w:rsidRDefault="00926D77">
            <w:pPr>
              <w:rPr>
                <w:rFonts w:eastAsia="Times New Roman"/>
                <w:noProof/>
                <w:szCs w:val="24"/>
              </w:rPr>
            </w:pPr>
            <w:r w:rsidRPr="00A46786">
              <w:rPr>
                <w:noProof/>
              </w:rPr>
              <w:t>3. Derechos de aduana y otros impuestos y derechos recaudados sobre importaciones</w:t>
            </w:r>
          </w:p>
          <w:p w14:paraId="4D5BA9BC" w14:textId="77777777" w:rsidR="00926D77" w:rsidRPr="00A46786" w:rsidRDefault="00926D77">
            <w:pPr>
              <w:rPr>
                <w:rFonts w:eastAsia="Times New Roman"/>
                <w:noProof/>
                <w:szCs w:val="24"/>
              </w:rPr>
            </w:pPr>
            <w:r w:rsidRPr="00A46786">
              <w:rPr>
                <w:noProof/>
              </w:rPr>
              <w:t>4. Regímenes aduaneros para importaciones y exportaciones en el marco del Código Aduanero de la Unión</w:t>
            </w:r>
          </w:p>
          <w:p w14:paraId="49E01259" w14:textId="03A3B37C" w:rsidR="0028525A" w:rsidRPr="00A46786" w:rsidRDefault="00926D77">
            <w:pPr>
              <w:rPr>
                <w:rFonts w:eastAsia="Times New Roman"/>
                <w:noProof/>
                <w:szCs w:val="24"/>
              </w:rPr>
            </w:pPr>
            <w:r w:rsidRPr="00A46786">
              <w:rPr>
                <w:noProof/>
              </w:rPr>
              <w:t>5. Otros impuestos: pago, tipos y declaraciones tributarias</w:t>
            </w:r>
          </w:p>
          <w:p w14:paraId="0FC50D73" w14:textId="77777777" w:rsidR="00926D77" w:rsidRPr="00A46786" w:rsidRDefault="00926D77">
            <w:pPr>
              <w:rPr>
                <w:noProof/>
                <w:color w:val="000000"/>
                <w:szCs w:val="24"/>
                <w:shd w:val="clear" w:color="auto" w:fill="FFFFFF"/>
              </w:rPr>
            </w:pPr>
          </w:p>
        </w:tc>
      </w:tr>
      <w:tr w:rsidR="00926D77" w:rsidRPr="00A46786" w14:paraId="462B78C6" w14:textId="77777777">
        <w:tc>
          <w:tcPr>
            <w:tcW w:w="3256" w:type="dxa"/>
            <w:tcBorders>
              <w:top w:val="single" w:sz="4" w:space="0" w:color="auto"/>
              <w:left w:val="single" w:sz="4" w:space="0" w:color="auto"/>
              <w:bottom w:val="single" w:sz="4" w:space="0" w:color="auto"/>
              <w:right w:val="single" w:sz="4" w:space="0" w:color="auto"/>
            </w:tcBorders>
            <w:hideMark/>
          </w:tcPr>
          <w:p w14:paraId="77EB5E52" w14:textId="77777777" w:rsidR="00926D77" w:rsidRPr="00A46786" w:rsidRDefault="00926D77">
            <w:pPr>
              <w:rPr>
                <w:noProof/>
                <w:color w:val="000000"/>
                <w:szCs w:val="24"/>
                <w:shd w:val="clear" w:color="auto" w:fill="FFFFFF"/>
              </w:rPr>
            </w:pPr>
            <w:r w:rsidRPr="00A46786">
              <w:rPr>
                <w:noProof/>
                <w:color w:val="000000"/>
                <w:shd w:val="clear" w:color="auto" w:fill="FFFFFF"/>
              </w:rPr>
              <w:t xml:space="preserve">AD. Productos </w:t>
            </w:r>
          </w:p>
        </w:tc>
        <w:tc>
          <w:tcPr>
            <w:tcW w:w="10692" w:type="dxa"/>
            <w:tcBorders>
              <w:top w:val="single" w:sz="4" w:space="0" w:color="auto"/>
              <w:left w:val="single" w:sz="4" w:space="0" w:color="auto"/>
              <w:bottom w:val="single" w:sz="4" w:space="0" w:color="auto"/>
              <w:right w:val="single" w:sz="4" w:space="0" w:color="auto"/>
            </w:tcBorders>
          </w:tcPr>
          <w:p w14:paraId="1B8E79CF" w14:textId="77777777" w:rsidR="00926D77" w:rsidRPr="00A46786" w:rsidRDefault="00926D77">
            <w:pPr>
              <w:rPr>
                <w:noProof/>
                <w:color w:val="000000"/>
                <w:szCs w:val="24"/>
                <w:shd w:val="clear" w:color="auto" w:fill="FFFFFF"/>
              </w:rPr>
            </w:pPr>
            <w:r w:rsidRPr="00A46786">
              <w:rPr>
                <w:noProof/>
                <w:color w:val="000000"/>
                <w:shd w:val="clear" w:color="auto" w:fill="FFFFFF"/>
              </w:rPr>
              <w:t xml:space="preserve">1. Obtención del marcado CE </w:t>
            </w:r>
          </w:p>
          <w:p w14:paraId="43E3C427" w14:textId="77777777" w:rsidR="00926D77" w:rsidRPr="00A46786" w:rsidRDefault="00926D77">
            <w:pPr>
              <w:rPr>
                <w:rFonts w:eastAsia="Times New Roman"/>
                <w:noProof/>
                <w:szCs w:val="24"/>
              </w:rPr>
            </w:pPr>
            <w:r w:rsidRPr="00A46786">
              <w:rPr>
                <w:noProof/>
                <w:color w:val="000000"/>
                <w:shd w:val="clear" w:color="auto" w:fill="FFFFFF"/>
              </w:rPr>
              <w:t>2.</w:t>
            </w:r>
            <w:r w:rsidRPr="00A46786">
              <w:rPr>
                <w:noProof/>
              </w:rPr>
              <w:t xml:space="preserve"> Normas y requisitos relacionados con los productos</w:t>
            </w:r>
          </w:p>
          <w:p w14:paraId="13E8F0BA" w14:textId="77777777" w:rsidR="00926D77" w:rsidRPr="00A46786" w:rsidRDefault="00926D77">
            <w:pPr>
              <w:rPr>
                <w:rFonts w:eastAsia="Times New Roman"/>
                <w:noProof/>
                <w:szCs w:val="24"/>
              </w:rPr>
            </w:pPr>
            <w:r w:rsidRPr="00A46786">
              <w:rPr>
                <w:noProof/>
              </w:rPr>
              <w:t>3. Identificación de las normas aplicables, especificaciones técnicas y certificación de productos</w:t>
            </w:r>
          </w:p>
          <w:p w14:paraId="6A67B9E7" w14:textId="77777777" w:rsidR="00926D77" w:rsidRPr="00A46786" w:rsidRDefault="00926D77">
            <w:pPr>
              <w:rPr>
                <w:rFonts w:eastAsia="Times New Roman"/>
                <w:noProof/>
                <w:szCs w:val="24"/>
              </w:rPr>
            </w:pPr>
            <w:r w:rsidRPr="00A46786">
              <w:rPr>
                <w:noProof/>
              </w:rPr>
              <w:t>4. Reconocimiento mutuo de productos no sujetos a especificaciones de la Unión</w:t>
            </w:r>
          </w:p>
          <w:p w14:paraId="2853C4D0" w14:textId="77777777" w:rsidR="00926D77" w:rsidRPr="00A46786" w:rsidRDefault="00926D77">
            <w:pPr>
              <w:rPr>
                <w:rFonts w:eastAsia="Times New Roman"/>
                <w:noProof/>
                <w:szCs w:val="24"/>
              </w:rPr>
            </w:pPr>
            <w:r w:rsidRPr="00A46786">
              <w:rPr>
                <w:noProof/>
              </w:rPr>
              <w:t>5. Requisitos relativos a la clasificación, el etiquetado y el acondicionamiento de sustancias químicas peligrosas</w:t>
            </w:r>
          </w:p>
          <w:p w14:paraId="30B216A3" w14:textId="77777777" w:rsidR="00926D77" w:rsidRPr="00A46786" w:rsidRDefault="00926D77">
            <w:pPr>
              <w:rPr>
                <w:rFonts w:eastAsia="Times New Roman"/>
                <w:noProof/>
                <w:szCs w:val="24"/>
              </w:rPr>
            </w:pPr>
            <w:r w:rsidRPr="00A46786">
              <w:rPr>
                <w:noProof/>
              </w:rPr>
              <w:t>6. Venta a distancia / fuera de las instalaciones: información que se debe facilitar a los clientes por anticipado, confirmación del contrato por escrito, desistimiento del contrato, entrega de las mercancías, otras obligaciones específicas</w:t>
            </w:r>
          </w:p>
          <w:p w14:paraId="3B1B3219" w14:textId="77777777" w:rsidR="00926D77" w:rsidRPr="00A46786" w:rsidRDefault="00926D77">
            <w:pPr>
              <w:rPr>
                <w:rFonts w:eastAsia="Times New Roman"/>
                <w:noProof/>
                <w:szCs w:val="24"/>
              </w:rPr>
            </w:pPr>
            <w:r w:rsidRPr="00A46786">
              <w:rPr>
                <w:noProof/>
              </w:rPr>
              <w:t>7. Productos defectuosos: derechos y garantías de los consumidores, responsabilidades posventa, vías de reparación de la parte perjudicada</w:t>
            </w:r>
          </w:p>
          <w:p w14:paraId="1D5DBC7B" w14:textId="77777777" w:rsidR="00926D77" w:rsidRPr="00A46786" w:rsidRDefault="00926D77">
            <w:pPr>
              <w:rPr>
                <w:rFonts w:eastAsia="Times New Roman"/>
                <w:noProof/>
                <w:szCs w:val="24"/>
              </w:rPr>
            </w:pPr>
            <w:r w:rsidRPr="00A46786">
              <w:rPr>
                <w:noProof/>
              </w:rPr>
              <w:t>8. Certificación, etiquetas (EMAS, etiquetas energéticas, diseño ecológico, etiqueta ecológica)</w:t>
            </w:r>
          </w:p>
          <w:p w14:paraId="30147488" w14:textId="77777777" w:rsidR="00926D77" w:rsidRPr="00A46786" w:rsidRDefault="00926D77">
            <w:pPr>
              <w:rPr>
                <w:noProof/>
                <w:color w:val="000000"/>
                <w:szCs w:val="24"/>
                <w:shd w:val="clear" w:color="auto" w:fill="FFFFFF"/>
              </w:rPr>
            </w:pPr>
            <w:r w:rsidRPr="00A46786">
              <w:rPr>
                <w:noProof/>
                <w:color w:val="000000"/>
                <w:shd w:val="clear" w:color="auto" w:fill="FFFFFF"/>
              </w:rPr>
              <w:t>9.</w:t>
            </w:r>
            <w:r w:rsidRPr="00A46786">
              <w:rPr>
                <w:noProof/>
              </w:rPr>
              <w:t xml:space="preserve"> Reciclaje y gestión de residuos</w:t>
            </w:r>
          </w:p>
          <w:p w14:paraId="1BC74194" w14:textId="77777777" w:rsidR="00926D77" w:rsidRPr="00A46786" w:rsidRDefault="00926D77">
            <w:pPr>
              <w:rPr>
                <w:noProof/>
                <w:color w:val="000000"/>
                <w:szCs w:val="24"/>
                <w:shd w:val="clear" w:color="auto" w:fill="FFFFFF"/>
              </w:rPr>
            </w:pPr>
          </w:p>
        </w:tc>
      </w:tr>
      <w:tr w:rsidR="00926D77" w:rsidRPr="00A46786" w14:paraId="30365AEB" w14:textId="77777777">
        <w:tc>
          <w:tcPr>
            <w:tcW w:w="3256" w:type="dxa"/>
            <w:tcBorders>
              <w:top w:val="single" w:sz="4" w:space="0" w:color="auto"/>
              <w:left w:val="single" w:sz="4" w:space="0" w:color="auto"/>
              <w:bottom w:val="single" w:sz="4" w:space="0" w:color="auto"/>
              <w:right w:val="single" w:sz="4" w:space="0" w:color="auto"/>
            </w:tcBorders>
            <w:hideMark/>
          </w:tcPr>
          <w:p w14:paraId="0CC50BA4" w14:textId="77777777" w:rsidR="00926D77" w:rsidRPr="00A46786" w:rsidRDefault="00926D77">
            <w:pPr>
              <w:rPr>
                <w:noProof/>
                <w:color w:val="000000"/>
                <w:szCs w:val="24"/>
                <w:shd w:val="clear" w:color="auto" w:fill="FFFFFF"/>
              </w:rPr>
            </w:pPr>
            <w:r w:rsidRPr="00A46786">
              <w:rPr>
                <w:noProof/>
                <w:color w:val="000000"/>
                <w:shd w:val="clear" w:color="auto" w:fill="FFFFFF"/>
              </w:rPr>
              <w:t xml:space="preserve">AE. Servicios </w:t>
            </w:r>
          </w:p>
        </w:tc>
        <w:tc>
          <w:tcPr>
            <w:tcW w:w="10692" w:type="dxa"/>
            <w:tcBorders>
              <w:top w:val="single" w:sz="4" w:space="0" w:color="auto"/>
              <w:left w:val="single" w:sz="4" w:space="0" w:color="auto"/>
              <w:bottom w:val="single" w:sz="4" w:space="0" w:color="auto"/>
              <w:right w:val="single" w:sz="4" w:space="0" w:color="auto"/>
            </w:tcBorders>
          </w:tcPr>
          <w:p w14:paraId="7E5C3F88" w14:textId="77777777" w:rsidR="00926D77" w:rsidRPr="00A46786" w:rsidRDefault="00926D77">
            <w:pPr>
              <w:rPr>
                <w:rFonts w:eastAsia="Times New Roman"/>
                <w:noProof/>
                <w:szCs w:val="24"/>
              </w:rPr>
            </w:pPr>
            <w:r w:rsidRPr="00A46786">
              <w:rPr>
                <w:noProof/>
                <w:color w:val="000000"/>
                <w:shd w:val="clear" w:color="auto" w:fill="FFFFFF"/>
              </w:rPr>
              <w:t xml:space="preserve">1. Adquisición </w:t>
            </w:r>
            <w:r w:rsidRPr="00A46786">
              <w:rPr>
                <w:noProof/>
              </w:rPr>
              <w:t>de licencias, autorizaciones o permisos para poner en marcha y dirigir una persona jurídica distinta de una empresa</w:t>
            </w:r>
          </w:p>
          <w:p w14:paraId="33FE4403" w14:textId="77777777" w:rsidR="00926D77" w:rsidRPr="00A46786" w:rsidRDefault="00926D77">
            <w:pPr>
              <w:rPr>
                <w:rFonts w:eastAsia="Times New Roman"/>
                <w:noProof/>
                <w:szCs w:val="24"/>
              </w:rPr>
            </w:pPr>
            <w:r w:rsidRPr="00A46786">
              <w:rPr>
                <w:noProof/>
              </w:rPr>
              <w:t>2. Notificación de actividades transfronterizas a las autoridades</w:t>
            </w:r>
          </w:p>
          <w:p w14:paraId="3C83E774" w14:textId="77777777" w:rsidR="00926D77" w:rsidRPr="00A46786" w:rsidRDefault="00926D77">
            <w:pPr>
              <w:rPr>
                <w:rFonts w:eastAsia="Times New Roman"/>
                <w:noProof/>
                <w:szCs w:val="24"/>
              </w:rPr>
            </w:pPr>
            <w:r w:rsidRPr="00A46786">
              <w:rPr>
                <w:noProof/>
              </w:rPr>
              <w:t>3. Reconocimiento de cualificaciones profesionales, incluidas la educación y formación profesionales</w:t>
            </w:r>
          </w:p>
          <w:p w14:paraId="2B53281B" w14:textId="77777777" w:rsidR="00926D77" w:rsidRPr="00A46786" w:rsidRDefault="00926D77">
            <w:pPr>
              <w:rPr>
                <w:noProof/>
                <w:color w:val="000000"/>
                <w:szCs w:val="24"/>
                <w:shd w:val="clear" w:color="auto" w:fill="FFFFFF"/>
              </w:rPr>
            </w:pPr>
          </w:p>
        </w:tc>
      </w:tr>
      <w:tr w:rsidR="00926D77" w:rsidRPr="00A46786" w14:paraId="2734F6D8" w14:textId="77777777">
        <w:tc>
          <w:tcPr>
            <w:tcW w:w="3256" w:type="dxa"/>
            <w:tcBorders>
              <w:top w:val="single" w:sz="4" w:space="0" w:color="auto"/>
              <w:left w:val="single" w:sz="4" w:space="0" w:color="auto"/>
              <w:bottom w:val="single" w:sz="4" w:space="0" w:color="auto"/>
              <w:right w:val="single" w:sz="4" w:space="0" w:color="auto"/>
            </w:tcBorders>
            <w:hideMark/>
          </w:tcPr>
          <w:p w14:paraId="304AAB4F" w14:textId="77777777" w:rsidR="00926D77" w:rsidRPr="00A46786" w:rsidRDefault="00926D77">
            <w:pPr>
              <w:rPr>
                <w:noProof/>
                <w:color w:val="000000"/>
                <w:szCs w:val="24"/>
                <w:shd w:val="clear" w:color="auto" w:fill="FFFFFF"/>
              </w:rPr>
            </w:pPr>
            <w:r w:rsidRPr="00A46786">
              <w:rPr>
                <w:noProof/>
                <w:color w:val="000000"/>
                <w:shd w:val="clear" w:color="auto" w:fill="FFFFFF"/>
              </w:rPr>
              <w:t>AF. Financiación de una persona jurídica distinta de una empresa</w:t>
            </w:r>
          </w:p>
        </w:tc>
        <w:tc>
          <w:tcPr>
            <w:tcW w:w="10692" w:type="dxa"/>
            <w:tcBorders>
              <w:top w:val="single" w:sz="4" w:space="0" w:color="auto"/>
              <w:left w:val="single" w:sz="4" w:space="0" w:color="auto"/>
              <w:bottom w:val="single" w:sz="4" w:space="0" w:color="auto"/>
              <w:right w:val="single" w:sz="4" w:space="0" w:color="auto"/>
            </w:tcBorders>
          </w:tcPr>
          <w:p w14:paraId="3B9AC98B" w14:textId="77777777" w:rsidR="00926D77" w:rsidRPr="00A46786" w:rsidRDefault="00926D77">
            <w:pPr>
              <w:rPr>
                <w:rFonts w:eastAsia="Times New Roman"/>
                <w:noProof/>
                <w:szCs w:val="24"/>
              </w:rPr>
            </w:pPr>
            <w:r w:rsidRPr="00A46786">
              <w:rPr>
                <w:noProof/>
                <w:color w:val="000000"/>
                <w:shd w:val="clear" w:color="auto" w:fill="FFFFFF"/>
              </w:rPr>
              <w:t xml:space="preserve">1. </w:t>
            </w:r>
            <w:r w:rsidRPr="00A46786">
              <w:rPr>
                <w:noProof/>
              </w:rPr>
              <w:t>Obtención de acceso a financiación a nivel de la Unión, incluidos programas de financiación de la Unión y subvenciones</w:t>
            </w:r>
          </w:p>
          <w:p w14:paraId="3C32BD27" w14:textId="77777777" w:rsidR="00926D77" w:rsidRPr="00A46786" w:rsidRDefault="00926D77">
            <w:pPr>
              <w:rPr>
                <w:rFonts w:eastAsia="Times New Roman"/>
                <w:noProof/>
                <w:szCs w:val="24"/>
              </w:rPr>
            </w:pPr>
            <w:r w:rsidRPr="00A46786">
              <w:rPr>
                <w:noProof/>
              </w:rPr>
              <w:t>2. Obtención de acceso a financiación a nivel nacional</w:t>
            </w:r>
          </w:p>
          <w:p w14:paraId="018F4AFA" w14:textId="77777777" w:rsidR="00926D77" w:rsidRPr="00A46786" w:rsidRDefault="00926D77">
            <w:pPr>
              <w:rPr>
                <w:noProof/>
                <w:color w:val="000000"/>
                <w:szCs w:val="24"/>
                <w:shd w:val="clear" w:color="auto" w:fill="FFFFFF"/>
              </w:rPr>
            </w:pPr>
            <w:r w:rsidRPr="00A46786">
              <w:rPr>
                <w:noProof/>
                <w:color w:val="000000"/>
                <w:shd w:val="clear" w:color="auto" w:fill="FFFFFF"/>
              </w:rPr>
              <w:t>3. Iniciativas destinadas a personas jurídicas distintas de una empresa (intercambios, programas de tutorización, etc.)</w:t>
            </w:r>
          </w:p>
          <w:p w14:paraId="713C0912" w14:textId="77777777" w:rsidR="00926D77" w:rsidRPr="00A46786" w:rsidRDefault="00926D77">
            <w:pPr>
              <w:rPr>
                <w:noProof/>
                <w:color w:val="000000"/>
                <w:szCs w:val="24"/>
                <w:shd w:val="clear" w:color="auto" w:fill="FFFFFF"/>
              </w:rPr>
            </w:pPr>
          </w:p>
        </w:tc>
      </w:tr>
      <w:tr w:rsidR="00926D77" w:rsidRPr="00A46786" w14:paraId="37F11A72" w14:textId="77777777">
        <w:tc>
          <w:tcPr>
            <w:tcW w:w="3256" w:type="dxa"/>
            <w:tcBorders>
              <w:top w:val="single" w:sz="4" w:space="0" w:color="auto"/>
              <w:left w:val="single" w:sz="4" w:space="0" w:color="auto"/>
              <w:bottom w:val="single" w:sz="4" w:space="0" w:color="auto"/>
              <w:right w:val="single" w:sz="4" w:space="0" w:color="auto"/>
            </w:tcBorders>
            <w:hideMark/>
          </w:tcPr>
          <w:p w14:paraId="35EE92DD" w14:textId="77777777" w:rsidR="00926D77" w:rsidRPr="00A46786" w:rsidRDefault="00926D77">
            <w:pPr>
              <w:rPr>
                <w:noProof/>
                <w:color w:val="000000"/>
                <w:szCs w:val="24"/>
                <w:shd w:val="clear" w:color="auto" w:fill="FFFFFF"/>
              </w:rPr>
            </w:pPr>
            <w:r w:rsidRPr="00A46786">
              <w:rPr>
                <w:noProof/>
                <w:color w:val="000000"/>
                <w:shd w:val="clear" w:color="auto" w:fill="FFFFFF"/>
              </w:rPr>
              <w:t>AG. Contratación pública</w:t>
            </w:r>
          </w:p>
        </w:tc>
        <w:tc>
          <w:tcPr>
            <w:tcW w:w="10692" w:type="dxa"/>
            <w:tcBorders>
              <w:top w:val="single" w:sz="4" w:space="0" w:color="auto"/>
              <w:left w:val="single" w:sz="4" w:space="0" w:color="auto"/>
              <w:bottom w:val="single" w:sz="4" w:space="0" w:color="auto"/>
              <w:right w:val="single" w:sz="4" w:space="0" w:color="auto"/>
            </w:tcBorders>
          </w:tcPr>
          <w:p w14:paraId="1C84EC53" w14:textId="77777777" w:rsidR="00926D77" w:rsidRPr="00A46786" w:rsidRDefault="00926D77">
            <w:pPr>
              <w:rPr>
                <w:noProof/>
                <w:color w:val="000000"/>
                <w:szCs w:val="24"/>
                <w:shd w:val="clear" w:color="auto" w:fill="FFFFFF"/>
              </w:rPr>
            </w:pPr>
            <w:r w:rsidRPr="00A46786">
              <w:rPr>
                <w:noProof/>
                <w:color w:val="000000"/>
                <w:shd w:val="clear" w:color="auto" w:fill="FFFFFF"/>
              </w:rPr>
              <w:t>1. Participación en licitaciones: normas y procedimientos</w:t>
            </w:r>
          </w:p>
          <w:p w14:paraId="326ADCEF" w14:textId="77777777" w:rsidR="00926D77" w:rsidRPr="00A46786" w:rsidRDefault="00926D77">
            <w:pPr>
              <w:rPr>
                <w:noProof/>
                <w:color w:val="000000"/>
                <w:szCs w:val="24"/>
                <w:shd w:val="clear" w:color="auto" w:fill="FFFFFF"/>
              </w:rPr>
            </w:pPr>
            <w:r w:rsidRPr="00A46786">
              <w:rPr>
                <w:noProof/>
                <w:color w:val="000000"/>
                <w:shd w:val="clear" w:color="auto" w:fill="FFFFFF"/>
              </w:rPr>
              <w:t>2. Presentación de una oferta en línea en respuesta a una licitación pública</w:t>
            </w:r>
          </w:p>
          <w:p w14:paraId="48AA79D1" w14:textId="77777777" w:rsidR="00926D77" w:rsidRPr="00A46786" w:rsidRDefault="00926D77">
            <w:pPr>
              <w:rPr>
                <w:rFonts w:eastAsia="Times New Roman"/>
                <w:noProof/>
                <w:szCs w:val="24"/>
              </w:rPr>
            </w:pPr>
            <w:r w:rsidRPr="00A46786">
              <w:rPr>
                <w:noProof/>
                <w:color w:val="000000"/>
                <w:shd w:val="clear" w:color="auto" w:fill="FFFFFF"/>
              </w:rPr>
              <w:t xml:space="preserve">3. </w:t>
            </w:r>
            <w:r w:rsidRPr="00A46786">
              <w:rPr>
                <w:noProof/>
              </w:rPr>
              <w:t>Comunicación de irregularidades en relación con el proceso de licitación</w:t>
            </w:r>
          </w:p>
          <w:p w14:paraId="4F101B38" w14:textId="77777777" w:rsidR="00926D77" w:rsidRPr="00A46786" w:rsidRDefault="00926D77">
            <w:pPr>
              <w:spacing w:after="0"/>
              <w:rPr>
                <w:noProof/>
                <w:color w:val="000000"/>
                <w:szCs w:val="24"/>
                <w:shd w:val="clear" w:color="auto" w:fill="FFFFFF"/>
              </w:rPr>
            </w:pPr>
          </w:p>
        </w:tc>
      </w:tr>
      <w:tr w:rsidR="00926D77" w:rsidRPr="00A46786" w14:paraId="0302E363" w14:textId="77777777">
        <w:tc>
          <w:tcPr>
            <w:tcW w:w="3256" w:type="dxa"/>
            <w:tcBorders>
              <w:top w:val="single" w:sz="4" w:space="0" w:color="auto"/>
              <w:left w:val="single" w:sz="4" w:space="0" w:color="auto"/>
              <w:bottom w:val="single" w:sz="4" w:space="0" w:color="auto"/>
              <w:right w:val="single" w:sz="4" w:space="0" w:color="auto"/>
            </w:tcBorders>
            <w:hideMark/>
          </w:tcPr>
          <w:p w14:paraId="37905EDB" w14:textId="77777777" w:rsidR="00926D77" w:rsidRPr="00A46786" w:rsidRDefault="00926D77">
            <w:pPr>
              <w:rPr>
                <w:noProof/>
                <w:color w:val="000000"/>
                <w:szCs w:val="24"/>
                <w:shd w:val="clear" w:color="auto" w:fill="FFFFFF"/>
              </w:rPr>
            </w:pPr>
            <w:r w:rsidRPr="00A46786">
              <w:rPr>
                <w:noProof/>
                <w:color w:val="000000"/>
                <w:shd w:val="clear" w:color="auto" w:fill="FFFFFF"/>
              </w:rPr>
              <w:t>AH. Salud y seguridad en el trabajo</w:t>
            </w:r>
          </w:p>
        </w:tc>
        <w:tc>
          <w:tcPr>
            <w:tcW w:w="10692" w:type="dxa"/>
            <w:tcBorders>
              <w:top w:val="single" w:sz="4" w:space="0" w:color="auto"/>
              <w:left w:val="single" w:sz="4" w:space="0" w:color="auto"/>
              <w:bottom w:val="single" w:sz="4" w:space="0" w:color="auto"/>
              <w:right w:val="single" w:sz="4" w:space="0" w:color="auto"/>
            </w:tcBorders>
          </w:tcPr>
          <w:p w14:paraId="3893D06D" w14:textId="5DD05DB5" w:rsidR="00926D77" w:rsidRPr="00A46786" w:rsidRDefault="00926D77">
            <w:pPr>
              <w:rPr>
                <w:rFonts w:eastAsia="Times New Roman"/>
                <w:noProof/>
                <w:szCs w:val="24"/>
              </w:rPr>
            </w:pPr>
            <w:r w:rsidRPr="00A46786">
              <w:rPr>
                <w:noProof/>
                <w:color w:val="000000"/>
                <w:shd w:val="clear" w:color="auto" w:fill="FFFFFF"/>
              </w:rPr>
              <w:t xml:space="preserve">1. </w:t>
            </w:r>
            <w:r w:rsidRPr="00A46786">
              <w:rPr>
                <w:noProof/>
              </w:rPr>
              <w:t>Obligaciones en materia de salud y seguridad en relación con diferentes tipos de actividad, incluida la prevención de riesgos, la información y la formación».</w:t>
            </w:r>
          </w:p>
          <w:p w14:paraId="19AFA969" w14:textId="77777777" w:rsidR="00926D77" w:rsidRPr="00A46786" w:rsidRDefault="00926D77">
            <w:pPr>
              <w:rPr>
                <w:noProof/>
                <w:color w:val="000000"/>
                <w:szCs w:val="24"/>
                <w:shd w:val="clear" w:color="auto" w:fill="FFFFFF"/>
              </w:rPr>
            </w:pPr>
          </w:p>
        </w:tc>
      </w:tr>
    </w:tbl>
    <w:p w14:paraId="69C91C68" w14:textId="22AB1744" w:rsidR="00A2210E" w:rsidRPr="00A46786" w:rsidRDefault="00A2210E" w:rsidP="00957A60">
      <w:pPr>
        <w:pStyle w:val="Titrearticle"/>
        <w:rPr>
          <w:noProof/>
        </w:rPr>
      </w:pPr>
      <w:r w:rsidRPr="00A46786">
        <w:rPr>
          <w:noProof/>
        </w:rPr>
        <w:t>Artículo 3</w:t>
      </w:r>
    </w:p>
    <w:p w14:paraId="13DC79DE" w14:textId="3B29A700" w:rsidR="00957A60" w:rsidRPr="00A46786" w:rsidRDefault="00957A60" w:rsidP="00957A60">
      <w:pPr>
        <w:pStyle w:val="Titrearticle"/>
        <w:rPr>
          <w:noProof/>
        </w:rPr>
      </w:pPr>
      <w:r w:rsidRPr="00A46786">
        <w:rPr>
          <w:noProof/>
        </w:rPr>
        <w:t>Entrada en vigor</w:t>
      </w:r>
    </w:p>
    <w:p w14:paraId="1D238ACB" w14:textId="4F02E4B3" w:rsidR="00A2210E" w:rsidRPr="00360F08" w:rsidRDefault="00583DB6" w:rsidP="38E9039C">
      <w:pPr>
        <w:rPr>
          <w:highlight w:val="magenta"/>
        </w:rPr>
      </w:pPr>
      <w:r w:rsidRPr="00A46786">
        <w:rPr>
          <w:noProof/>
        </w:rPr>
        <w:t xml:space="preserve">El presente Reglamento entrará en vigor a los veinte días de su publicación en el </w:t>
      </w:r>
      <w:r w:rsidRPr="00A46786">
        <w:rPr>
          <w:i/>
          <w:noProof/>
        </w:rPr>
        <w:t>Diario Oficial de la Unión Europea</w:t>
      </w:r>
      <w:r w:rsidRPr="00A46786">
        <w:rPr>
          <w:noProof/>
        </w:rPr>
        <w:t>.</w:t>
      </w:r>
    </w:p>
    <w:p w14:paraId="77905081" w14:textId="77777777" w:rsidR="00A2210E" w:rsidRPr="00A46786" w:rsidRDefault="00A2210E" w:rsidP="00FA3D6F">
      <w:pPr>
        <w:pStyle w:val="Applicationdirecte"/>
        <w:rPr>
          <w:noProof/>
        </w:rPr>
      </w:pPr>
      <w:r w:rsidRPr="00A46786">
        <w:rPr>
          <w:noProof/>
        </w:rPr>
        <w:t>El presente Reglamento será obligatorio en todos sus elementos y directamente aplicable en cada Estado miembro.</w:t>
      </w:r>
    </w:p>
    <w:p w14:paraId="5CE23979" w14:textId="4844630D" w:rsidR="00A2210E" w:rsidRPr="00A46786" w:rsidRDefault="00132BC9" w:rsidP="00614C4E">
      <w:pPr>
        <w:pStyle w:val="Fait"/>
        <w:rPr>
          <w:noProof/>
        </w:rPr>
      </w:pPr>
      <w:r w:rsidRPr="00132BC9">
        <w:t>Hecho en Bruselas, el</w:t>
      </w:r>
    </w:p>
    <w:p w14:paraId="6DC3B2E4" w14:textId="77777777" w:rsidR="00A2210E" w:rsidRPr="00A46786" w:rsidRDefault="00A2210E" w:rsidP="00614C4E">
      <w:pPr>
        <w:pStyle w:val="Institutionquisigne"/>
        <w:rPr>
          <w:noProof/>
        </w:rPr>
      </w:pPr>
      <w:r w:rsidRPr="00A46786">
        <w:rPr>
          <w:noProof/>
        </w:rPr>
        <w:t>Por el Parlamento Europeo</w:t>
      </w:r>
      <w:r w:rsidRPr="00A46786">
        <w:rPr>
          <w:noProof/>
        </w:rPr>
        <w:tab/>
        <w:t>Por el Consejo</w:t>
      </w:r>
    </w:p>
    <w:p w14:paraId="7CD7B580" w14:textId="39AEF23B" w:rsidR="00E95A4E" w:rsidRPr="00A46786" w:rsidRDefault="00A2210E" w:rsidP="00803859">
      <w:pPr>
        <w:pStyle w:val="Personnequisigne"/>
        <w:rPr>
          <w:noProof/>
        </w:rPr>
      </w:pPr>
      <w:r w:rsidRPr="00A46786">
        <w:rPr>
          <w:noProof/>
        </w:rPr>
        <w:t>El Presidente / La Presidenta</w:t>
      </w:r>
      <w:r w:rsidRPr="00A46786">
        <w:rPr>
          <w:noProof/>
        </w:rPr>
        <w:tab/>
        <w:t>El Presidente / La Presidenta</w:t>
      </w:r>
    </w:p>
    <w:sectPr w:rsidR="00E95A4E" w:rsidRPr="00A46786" w:rsidSect="00594088">
      <w:footerReference w:type="default" r:id="rId13"/>
      <w:footerReference w:type="first" r:id="rId1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5822" w14:textId="77777777" w:rsidR="00E55A41" w:rsidRDefault="00E55A41" w:rsidP="00A2210E">
      <w:pPr>
        <w:spacing w:before="0" w:after="0"/>
      </w:pPr>
      <w:r>
        <w:separator/>
      </w:r>
    </w:p>
  </w:endnote>
  <w:endnote w:type="continuationSeparator" w:id="0">
    <w:p w14:paraId="1EDE5F51" w14:textId="77777777" w:rsidR="00E55A41" w:rsidRDefault="00E55A41" w:rsidP="00A2210E">
      <w:pPr>
        <w:spacing w:before="0" w:after="0"/>
      </w:pPr>
      <w:r>
        <w:continuationSeparator/>
      </w:r>
    </w:p>
  </w:endnote>
  <w:endnote w:type="continuationNotice" w:id="1">
    <w:p w14:paraId="71D3899D" w14:textId="77777777" w:rsidR="00E55A41" w:rsidRDefault="00E55A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D55C" w14:textId="3AE82610" w:rsidR="00D957B7" w:rsidRPr="00594088" w:rsidRDefault="00594088" w:rsidP="00594088">
    <w:pPr>
      <w:pStyle w:val="Footer"/>
      <w:rPr>
        <w:rFonts w:ascii="Arial" w:hAnsi="Arial" w:cs="Arial"/>
        <w:b/>
        <w:sz w:val="48"/>
      </w:rPr>
    </w:pPr>
    <w:r w:rsidRPr="00594088">
      <w:rPr>
        <w:rFonts w:ascii="Arial" w:hAnsi="Arial" w:cs="Arial"/>
        <w:b/>
        <w:sz w:val="48"/>
      </w:rPr>
      <w:t>ES</w:t>
    </w:r>
    <w:r w:rsidRPr="00594088">
      <w:rPr>
        <w:rFonts w:ascii="Arial" w:hAnsi="Arial" w:cs="Arial"/>
        <w:b/>
        <w:sz w:val="48"/>
      </w:rPr>
      <w:tab/>
    </w:r>
    <w:r w:rsidRPr="00594088">
      <w:rPr>
        <w:rFonts w:ascii="Arial" w:hAnsi="Arial" w:cs="Arial"/>
        <w:b/>
        <w:sz w:val="48"/>
      </w:rPr>
      <w:tab/>
    </w:r>
    <w:r w:rsidRPr="00594088">
      <w:tab/>
    </w:r>
    <w:r w:rsidRPr="00594088">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E20D" w14:textId="74E9E471" w:rsidR="00594088" w:rsidRPr="00594088" w:rsidRDefault="00594088" w:rsidP="00594088">
    <w:pPr>
      <w:pStyle w:val="Footer"/>
      <w:rPr>
        <w:rFonts w:ascii="Arial" w:hAnsi="Arial" w:cs="Arial"/>
        <w:b/>
        <w:sz w:val="48"/>
      </w:rPr>
    </w:pPr>
    <w:r w:rsidRPr="00594088">
      <w:rPr>
        <w:rFonts w:ascii="Arial" w:hAnsi="Arial" w:cs="Arial"/>
        <w:b/>
        <w:sz w:val="48"/>
      </w:rPr>
      <w:t>ES</w:t>
    </w:r>
    <w:r w:rsidRPr="00594088">
      <w:rPr>
        <w:rFonts w:ascii="Arial" w:hAnsi="Arial" w:cs="Arial"/>
        <w:b/>
        <w:sz w:val="48"/>
      </w:rPr>
      <w:tab/>
    </w:r>
    <w:r>
      <w:fldChar w:fldCharType="begin"/>
    </w:r>
    <w:r>
      <w:instrText xml:space="preserve"> PAGE  \* MERGEFORMAT </w:instrText>
    </w:r>
    <w:r>
      <w:fldChar w:fldCharType="separate"/>
    </w:r>
    <w:r w:rsidR="00614C4E">
      <w:rPr>
        <w:noProof/>
      </w:rPr>
      <w:t>9</w:t>
    </w:r>
    <w:r>
      <w:fldChar w:fldCharType="end"/>
    </w:r>
    <w:r>
      <w:tab/>
    </w:r>
    <w:r w:rsidRPr="00594088">
      <w:tab/>
    </w:r>
    <w:r w:rsidRPr="00594088">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0EFB" w14:textId="77777777" w:rsidR="00594088" w:rsidRPr="00594088" w:rsidRDefault="00594088" w:rsidP="00594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A2440" w14:textId="77777777" w:rsidR="00E55A41" w:rsidRDefault="00E55A41" w:rsidP="00A2210E">
      <w:pPr>
        <w:spacing w:before="0" w:after="0"/>
      </w:pPr>
      <w:r>
        <w:separator/>
      </w:r>
    </w:p>
  </w:footnote>
  <w:footnote w:type="continuationSeparator" w:id="0">
    <w:p w14:paraId="7201BA54" w14:textId="77777777" w:rsidR="00E55A41" w:rsidRDefault="00E55A41" w:rsidP="00A2210E">
      <w:pPr>
        <w:spacing w:before="0" w:after="0"/>
      </w:pPr>
      <w:r>
        <w:continuationSeparator/>
      </w:r>
    </w:p>
  </w:footnote>
  <w:footnote w:type="continuationNotice" w:id="1">
    <w:p w14:paraId="4BE6F4BC" w14:textId="77777777" w:rsidR="00E55A41" w:rsidRDefault="00E55A41">
      <w:pPr>
        <w:spacing w:before="0" w:after="0"/>
      </w:pPr>
    </w:p>
  </w:footnote>
  <w:footnote w:id="2">
    <w:p w14:paraId="2230AC01" w14:textId="214D1809" w:rsidR="00AE0D72" w:rsidRPr="006129F1" w:rsidRDefault="00AE0D72">
      <w:pPr>
        <w:pStyle w:val="FootnoteText"/>
        <w:rPr>
          <w:lang w:val="es-ES"/>
        </w:rPr>
      </w:pPr>
      <w:r>
        <w:rPr>
          <w:rStyle w:val="FootnoteReference"/>
        </w:rPr>
        <w:footnoteRef/>
      </w:r>
      <w:r w:rsidRPr="006129F1">
        <w:rPr>
          <w:lang w:val="es-ES"/>
        </w:rPr>
        <w:tab/>
        <w:t>Reglamento (UE) n.º 1024/2012 del Parlamento Europeo y del Consejo, de 25 de octubre de 2012, relativo a la cooperación administrativa a través del Sistema de Información del Mercado Interior y por el que se deroga la Decisión 2008/49/CE de la Comisión («Reglamento IMI») (DO L 316 de 14.11.2012, p. 1).</w:t>
      </w:r>
    </w:p>
  </w:footnote>
  <w:footnote w:id="3">
    <w:p w14:paraId="75987DEC" w14:textId="77777777" w:rsidR="0087751A" w:rsidRPr="006129F1" w:rsidRDefault="0087751A" w:rsidP="0087751A">
      <w:pPr>
        <w:pStyle w:val="FootnoteText"/>
        <w:rPr>
          <w:lang w:val="es-ES"/>
        </w:rPr>
      </w:pPr>
      <w:r>
        <w:rPr>
          <w:rStyle w:val="FootnoteReference"/>
        </w:rPr>
        <w:footnoteRef/>
      </w:r>
      <w:r w:rsidRPr="006129F1">
        <w:rPr>
          <w:lang w:val="es-ES"/>
        </w:rPr>
        <w:tab/>
        <w:t>Reglamento (UE) 2018/1724 del Parlamento Europeo y del Consejo, de 2 de octubre de 2018, relativo a la creación de una pasarela digital única de acceso a información, procedimientos y servicios de asistencia y resolución de problemas y por el que se modifica el Reglamento (UE) n.º 1024/2012 (DO L 295 de 21.11.2018, p. 1).</w:t>
      </w:r>
    </w:p>
  </w:footnote>
  <w:footnote w:id="4">
    <w:p w14:paraId="3ED1E19F" w14:textId="067121DD" w:rsidR="00C033BF" w:rsidRPr="006129F1" w:rsidRDefault="00C033BF" w:rsidP="00C033BF">
      <w:pPr>
        <w:pStyle w:val="FootnoteText"/>
        <w:rPr>
          <w:lang w:val="es-ES"/>
        </w:rPr>
      </w:pPr>
      <w:r>
        <w:rPr>
          <w:rStyle w:val="FootnoteReference"/>
        </w:rPr>
        <w:footnoteRef/>
      </w:r>
      <w:r w:rsidRPr="006129F1">
        <w:rPr>
          <w:lang w:val="es-ES"/>
        </w:rPr>
        <w:tab/>
        <w:t>Ref. del dictamen.</w:t>
      </w:r>
    </w:p>
  </w:footnote>
  <w:footnote w:id="5">
    <w:p w14:paraId="664FED16" w14:textId="318989E0" w:rsidR="005252AA" w:rsidRPr="006129F1" w:rsidRDefault="005252AA" w:rsidP="005252AA">
      <w:pPr>
        <w:pStyle w:val="FootnoteText"/>
        <w:rPr>
          <w:lang w:val="es-ES"/>
        </w:rPr>
      </w:pPr>
      <w:r>
        <w:rPr>
          <w:rStyle w:val="FootnoteReference"/>
        </w:rPr>
        <w:footnoteRef/>
      </w:r>
      <w:r w:rsidRPr="006129F1">
        <w:rPr>
          <w:lang w:val="es-ES"/>
        </w:rPr>
        <w:tab/>
        <w:t>Directiva del Parlamento Europeo y del Consejo, de..., relativa a las asociaciones transfronterizas europeas (referencia del DO).</w:t>
      </w:r>
    </w:p>
  </w:footnote>
  <w:footnote w:id="6">
    <w:p w14:paraId="5B998DBD" w14:textId="3A15E380" w:rsidR="00E536CF" w:rsidRPr="006129F1" w:rsidRDefault="00E536CF">
      <w:pPr>
        <w:pStyle w:val="FootnoteText"/>
        <w:rPr>
          <w:lang w:val="es-ES"/>
        </w:rPr>
      </w:pPr>
      <w:r>
        <w:rPr>
          <w:rStyle w:val="FootnoteReference"/>
        </w:rPr>
        <w:footnoteRef/>
      </w:r>
      <w:r w:rsidRPr="006129F1">
        <w:rPr>
          <w:lang w:val="es-ES"/>
        </w:rPr>
        <w:tab/>
        <w:t>Reglamento (UE) n.º 1024/2012 del Parlamento Europeo y del Consejo, de 25 de octubre de 2012, relativo a la cooperación administrativa a través del Sistema de Información del Mercado Interior y por el que se deroga la Decisión 2008/49/CE de la Comisión («Reglamento IMI») (DO L 316 de 14.11.2012, p. 1).</w:t>
      </w:r>
    </w:p>
  </w:footnote>
  <w:footnote w:id="7">
    <w:p w14:paraId="2C1A0679" w14:textId="672F385D" w:rsidR="00F333EE" w:rsidRPr="006129F1" w:rsidRDefault="00F333EE">
      <w:pPr>
        <w:pStyle w:val="FootnoteText"/>
        <w:rPr>
          <w:lang w:val="es-ES"/>
        </w:rPr>
      </w:pPr>
      <w:r>
        <w:rPr>
          <w:rStyle w:val="FootnoteReference"/>
        </w:rPr>
        <w:footnoteRef/>
      </w:r>
      <w:r w:rsidRPr="006129F1">
        <w:rPr>
          <w:lang w:val="es-ES"/>
        </w:rPr>
        <w:tab/>
        <w:t>Reglamento (UE) 2018/1724 del Parlamento Europeo y del Consejo, de 2 de octubre de 2018, relativo a la creación de una pasarela digital única de acceso a información, procedimientos y servicios de asistencia y resolución de problemas y por el que se modifica el Reglamento (UE) n.º 1024/2012 (DO L 295 de 21.11.2018, p. 1).</w:t>
      </w:r>
    </w:p>
  </w:footnote>
  <w:footnote w:id="8">
    <w:p w14:paraId="6B850632" w14:textId="3962C5C8" w:rsidR="000319D7" w:rsidRPr="006129F1" w:rsidRDefault="000319D7">
      <w:pPr>
        <w:pStyle w:val="FootnoteText"/>
        <w:rPr>
          <w:lang w:val="es-ES"/>
        </w:rPr>
      </w:pPr>
      <w:r>
        <w:rPr>
          <w:rStyle w:val="FootnoteReference"/>
        </w:rPr>
        <w:footnoteRef/>
      </w:r>
      <w:r w:rsidRPr="006129F1">
        <w:rPr>
          <w:lang w:val="es-ES"/>
        </w:rPr>
        <w:tab/>
        <w:t>Reglamento (UE) 2018/1724 del Parlamento Europeo y del Consejo, de 2 de octubre de 2018, relativo a la creación de una pasarela digital única de acceso a información, procedimientos y servicios de asistencia y resolución de problemas y por el que se modifica el Reglamento (UE) n.º 1024/2012 (DO L 295 de 21.11.2018,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A36A01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0D0FD9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1AC71F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494C6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04 17:12:2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AFA00FB-B5DC-400F-9E6E-AB8220AA1BE2"/>
    <w:docVar w:name="LW_COVERPAGE_TYPE" w:val="1"/>
    <w:docVar w:name="LW_CROSSREFERENCE" w:val="&lt;UNUSED&gt;"/>
    <w:docVar w:name="LW_DocType" w:val="COM"/>
    <w:docVar w:name="LW_EMISSION" w:val="5.9.2023"/>
    <w:docVar w:name="LW_EMISSION_ISODATE" w:val="2023-09-05"/>
    <w:docVar w:name="LW_EMISSION_LOCATION" w:val="BRX"/>
    <w:docVar w:name="LW_EMISSION_PREFIX" w:val="Brusela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o pertinente a efectos del EEE)"/>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314"/>
    <w:docVar w:name="LW_REF.II.NEW.CP_YEAR" w:val="2023"/>
    <w:docVar w:name="LW_REF.INST.NEW" w:val="COM"/>
    <w:docVar w:name="LW_REF.INST.NEW_ADOPTED" w:val="final"/>
    <w:docVar w:name="LW_REF.INST.NEW_TEXT" w:val="(2023) 51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el que se modifican los Reglamentos (UE) n.º 1024/2012 y (UE) 2018/1724 en lo que respecta a la utilización del Sistema de Información del Mercado Interior y la pasarela digital única a efectos de determinados requisitos establecidos en la Directiva (UE) .../... del Parlamento Europeo y del Consejo, relativa a las asociaciones transfronterizas europeas [COM(2023) 516] _x000b_ _x000b_ _x000b_"/>
    <w:docVar w:name="LW_TYPE.DOC.CP" w:val="REGLAMENTO DEL PARLAMENTO EUROPEO Y DEL CONSEJO"/>
    <w:docVar w:name="LwApiVersions" w:val="LW4CoDe 1.23.2.0; LW 8.0, Build 20211117"/>
  </w:docVars>
  <w:rsids>
    <w:rsidRoot w:val="00A2210E"/>
    <w:rsid w:val="00002B31"/>
    <w:rsid w:val="00003E21"/>
    <w:rsid w:val="000070AF"/>
    <w:rsid w:val="00010BF7"/>
    <w:rsid w:val="0001126D"/>
    <w:rsid w:val="00011788"/>
    <w:rsid w:val="000156DA"/>
    <w:rsid w:val="00023271"/>
    <w:rsid w:val="000319D7"/>
    <w:rsid w:val="00031E65"/>
    <w:rsid w:val="00033062"/>
    <w:rsid w:val="00033BE1"/>
    <w:rsid w:val="000340D5"/>
    <w:rsid w:val="000348BA"/>
    <w:rsid w:val="00034B77"/>
    <w:rsid w:val="0003679B"/>
    <w:rsid w:val="00037B74"/>
    <w:rsid w:val="00040E6C"/>
    <w:rsid w:val="00041669"/>
    <w:rsid w:val="00043A94"/>
    <w:rsid w:val="00043C8B"/>
    <w:rsid w:val="0004400F"/>
    <w:rsid w:val="00052BD1"/>
    <w:rsid w:val="00053554"/>
    <w:rsid w:val="00054458"/>
    <w:rsid w:val="00054ABF"/>
    <w:rsid w:val="00056BE4"/>
    <w:rsid w:val="00061274"/>
    <w:rsid w:val="00061835"/>
    <w:rsid w:val="000637D8"/>
    <w:rsid w:val="00067669"/>
    <w:rsid w:val="00070194"/>
    <w:rsid w:val="00071926"/>
    <w:rsid w:val="00073DE6"/>
    <w:rsid w:val="0007401F"/>
    <w:rsid w:val="000743A0"/>
    <w:rsid w:val="0007448B"/>
    <w:rsid w:val="00075C1C"/>
    <w:rsid w:val="00080A6B"/>
    <w:rsid w:val="00082B6D"/>
    <w:rsid w:val="00083FD7"/>
    <w:rsid w:val="00092866"/>
    <w:rsid w:val="00094671"/>
    <w:rsid w:val="0009575C"/>
    <w:rsid w:val="000957F1"/>
    <w:rsid w:val="000974C2"/>
    <w:rsid w:val="000A1BA8"/>
    <w:rsid w:val="000A1E89"/>
    <w:rsid w:val="000A5C92"/>
    <w:rsid w:val="000A63B0"/>
    <w:rsid w:val="000A6A1F"/>
    <w:rsid w:val="000A7FB9"/>
    <w:rsid w:val="000B228C"/>
    <w:rsid w:val="000B3F83"/>
    <w:rsid w:val="000B41AB"/>
    <w:rsid w:val="000B43E6"/>
    <w:rsid w:val="000B4818"/>
    <w:rsid w:val="000B7B6F"/>
    <w:rsid w:val="000C0CC1"/>
    <w:rsid w:val="000C2D83"/>
    <w:rsid w:val="000C3D34"/>
    <w:rsid w:val="000C3EDE"/>
    <w:rsid w:val="000C4775"/>
    <w:rsid w:val="000C5864"/>
    <w:rsid w:val="000C664E"/>
    <w:rsid w:val="000E07BE"/>
    <w:rsid w:val="000E245D"/>
    <w:rsid w:val="000E35FC"/>
    <w:rsid w:val="000E558E"/>
    <w:rsid w:val="000E6973"/>
    <w:rsid w:val="000E6CF7"/>
    <w:rsid w:val="000F11FA"/>
    <w:rsid w:val="000F2F5E"/>
    <w:rsid w:val="000F3AC6"/>
    <w:rsid w:val="000F3B34"/>
    <w:rsid w:val="001016EE"/>
    <w:rsid w:val="00102566"/>
    <w:rsid w:val="00102A05"/>
    <w:rsid w:val="001054F7"/>
    <w:rsid w:val="001065F5"/>
    <w:rsid w:val="00107033"/>
    <w:rsid w:val="00110D43"/>
    <w:rsid w:val="00111F55"/>
    <w:rsid w:val="00115D4C"/>
    <w:rsid w:val="00117F7A"/>
    <w:rsid w:val="00120D17"/>
    <w:rsid w:val="00120FF3"/>
    <w:rsid w:val="0012116C"/>
    <w:rsid w:val="001224B6"/>
    <w:rsid w:val="001238EF"/>
    <w:rsid w:val="001246A0"/>
    <w:rsid w:val="001248B5"/>
    <w:rsid w:val="00130073"/>
    <w:rsid w:val="00132BC9"/>
    <w:rsid w:val="001359A9"/>
    <w:rsid w:val="00137617"/>
    <w:rsid w:val="0014264C"/>
    <w:rsid w:val="00147F0E"/>
    <w:rsid w:val="00153A69"/>
    <w:rsid w:val="0015636D"/>
    <w:rsid w:val="00163047"/>
    <w:rsid w:val="00164815"/>
    <w:rsid w:val="001663AC"/>
    <w:rsid w:val="001710EB"/>
    <w:rsid w:val="0017197E"/>
    <w:rsid w:val="00176A09"/>
    <w:rsid w:val="00181B87"/>
    <w:rsid w:val="0018444B"/>
    <w:rsid w:val="00184E23"/>
    <w:rsid w:val="001919FB"/>
    <w:rsid w:val="0019412A"/>
    <w:rsid w:val="00194786"/>
    <w:rsid w:val="0019535A"/>
    <w:rsid w:val="00197613"/>
    <w:rsid w:val="001A1702"/>
    <w:rsid w:val="001A7EBF"/>
    <w:rsid w:val="001B081A"/>
    <w:rsid w:val="001B30A5"/>
    <w:rsid w:val="001B37CE"/>
    <w:rsid w:val="001B5A88"/>
    <w:rsid w:val="001B6C40"/>
    <w:rsid w:val="001B7D51"/>
    <w:rsid w:val="001C4699"/>
    <w:rsid w:val="001C4E3B"/>
    <w:rsid w:val="001D1B49"/>
    <w:rsid w:val="001D1CCF"/>
    <w:rsid w:val="001D2343"/>
    <w:rsid w:val="001D7EF2"/>
    <w:rsid w:val="001E01B4"/>
    <w:rsid w:val="001E15C7"/>
    <w:rsid w:val="001E3BBE"/>
    <w:rsid w:val="001E7F12"/>
    <w:rsid w:val="001F14C0"/>
    <w:rsid w:val="001F6BAC"/>
    <w:rsid w:val="001F76B7"/>
    <w:rsid w:val="001F7E6A"/>
    <w:rsid w:val="002009C1"/>
    <w:rsid w:val="00201314"/>
    <w:rsid w:val="0020200F"/>
    <w:rsid w:val="0020348A"/>
    <w:rsid w:val="00206E58"/>
    <w:rsid w:val="00207989"/>
    <w:rsid w:val="00207F25"/>
    <w:rsid w:val="002104EE"/>
    <w:rsid w:val="00210BD2"/>
    <w:rsid w:val="002136CF"/>
    <w:rsid w:val="002176CB"/>
    <w:rsid w:val="0022050E"/>
    <w:rsid w:val="0022390B"/>
    <w:rsid w:val="0022500B"/>
    <w:rsid w:val="0023028D"/>
    <w:rsid w:val="00233560"/>
    <w:rsid w:val="00233DC7"/>
    <w:rsid w:val="002349CB"/>
    <w:rsid w:val="00234E16"/>
    <w:rsid w:val="002359CE"/>
    <w:rsid w:val="0023785B"/>
    <w:rsid w:val="00240C79"/>
    <w:rsid w:val="002455EF"/>
    <w:rsid w:val="00247779"/>
    <w:rsid w:val="0025052D"/>
    <w:rsid w:val="00251C1A"/>
    <w:rsid w:val="00251E01"/>
    <w:rsid w:val="00253323"/>
    <w:rsid w:val="00260C4B"/>
    <w:rsid w:val="00261136"/>
    <w:rsid w:val="0026341B"/>
    <w:rsid w:val="0026476C"/>
    <w:rsid w:val="00273DD3"/>
    <w:rsid w:val="00277B6A"/>
    <w:rsid w:val="00281004"/>
    <w:rsid w:val="00283BE2"/>
    <w:rsid w:val="0028525A"/>
    <w:rsid w:val="00285AED"/>
    <w:rsid w:val="00285BEE"/>
    <w:rsid w:val="0028741A"/>
    <w:rsid w:val="00291DEF"/>
    <w:rsid w:val="00293E07"/>
    <w:rsid w:val="0029533F"/>
    <w:rsid w:val="002A18EB"/>
    <w:rsid w:val="002A1E34"/>
    <w:rsid w:val="002A2492"/>
    <w:rsid w:val="002A39F1"/>
    <w:rsid w:val="002A40DB"/>
    <w:rsid w:val="002A54BE"/>
    <w:rsid w:val="002A77A0"/>
    <w:rsid w:val="002B181C"/>
    <w:rsid w:val="002B30AF"/>
    <w:rsid w:val="002B4A01"/>
    <w:rsid w:val="002B685B"/>
    <w:rsid w:val="002B79D0"/>
    <w:rsid w:val="002C1435"/>
    <w:rsid w:val="002D1E1F"/>
    <w:rsid w:val="002D742C"/>
    <w:rsid w:val="002E0332"/>
    <w:rsid w:val="002E18F1"/>
    <w:rsid w:val="002E70BB"/>
    <w:rsid w:val="002F017B"/>
    <w:rsid w:val="002F30D0"/>
    <w:rsid w:val="0030274E"/>
    <w:rsid w:val="00303874"/>
    <w:rsid w:val="00304FDC"/>
    <w:rsid w:val="00305691"/>
    <w:rsid w:val="00305A54"/>
    <w:rsid w:val="00306242"/>
    <w:rsid w:val="003101C0"/>
    <w:rsid w:val="00310299"/>
    <w:rsid w:val="0031282A"/>
    <w:rsid w:val="00314065"/>
    <w:rsid w:val="003162F0"/>
    <w:rsid w:val="00332C75"/>
    <w:rsid w:val="0033344A"/>
    <w:rsid w:val="0033371E"/>
    <w:rsid w:val="003476AE"/>
    <w:rsid w:val="00350270"/>
    <w:rsid w:val="00352908"/>
    <w:rsid w:val="00355A98"/>
    <w:rsid w:val="00356756"/>
    <w:rsid w:val="00360621"/>
    <w:rsid w:val="00360F08"/>
    <w:rsid w:val="003623C2"/>
    <w:rsid w:val="00367192"/>
    <w:rsid w:val="003702B4"/>
    <w:rsid w:val="00371C7E"/>
    <w:rsid w:val="00371E8D"/>
    <w:rsid w:val="00374528"/>
    <w:rsid w:val="003748F0"/>
    <w:rsid w:val="00380BD7"/>
    <w:rsid w:val="00381854"/>
    <w:rsid w:val="00384800"/>
    <w:rsid w:val="003854D4"/>
    <w:rsid w:val="00385F04"/>
    <w:rsid w:val="00386943"/>
    <w:rsid w:val="00390646"/>
    <w:rsid w:val="0039069F"/>
    <w:rsid w:val="003907A1"/>
    <w:rsid w:val="00391D40"/>
    <w:rsid w:val="00394E5B"/>
    <w:rsid w:val="003953C1"/>
    <w:rsid w:val="00395E3B"/>
    <w:rsid w:val="0039743B"/>
    <w:rsid w:val="00397623"/>
    <w:rsid w:val="003A06CF"/>
    <w:rsid w:val="003A2204"/>
    <w:rsid w:val="003A2275"/>
    <w:rsid w:val="003B2EB0"/>
    <w:rsid w:val="003B47CB"/>
    <w:rsid w:val="003B4B65"/>
    <w:rsid w:val="003B5330"/>
    <w:rsid w:val="003B7276"/>
    <w:rsid w:val="003C276D"/>
    <w:rsid w:val="003C27FC"/>
    <w:rsid w:val="003C2E7D"/>
    <w:rsid w:val="003D1E95"/>
    <w:rsid w:val="003D2F0B"/>
    <w:rsid w:val="003D37FC"/>
    <w:rsid w:val="003E192D"/>
    <w:rsid w:val="003E1B5F"/>
    <w:rsid w:val="003E3251"/>
    <w:rsid w:val="003F2700"/>
    <w:rsid w:val="00402EAF"/>
    <w:rsid w:val="0040650F"/>
    <w:rsid w:val="004067C4"/>
    <w:rsid w:val="00406B0E"/>
    <w:rsid w:val="004072ED"/>
    <w:rsid w:val="00410CD4"/>
    <w:rsid w:val="00410E28"/>
    <w:rsid w:val="004128A9"/>
    <w:rsid w:val="00422605"/>
    <w:rsid w:val="0042648E"/>
    <w:rsid w:val="00430827"/>
    <w:rsid w:val="004355FA"/>
    <w:rsid w:val="00440F3B"/>
    <w:rsid w:val="00441219"/>
    <w:rsid w:val="0044440A"/>
    <w:rsid w:val="00444DC8"/>
    <w:rsid w:val="004469C8"/>
    <w:rsid w:val="004525C6"/>
    <w:rsid w:val="00457DFB"/>
    <w:rsid w:val="00461397"/>
    <w:rsid w:val="00462B51"/>
    <w:rsid w:val="00471A20"/>
    <w:rsid w:val="00474CBD"/>
    <w:rsid w:val="00476125"/>
    <w:rsid w:val="0047657B"/>
    <w:rsid w:val="00476B41"/>
    <w:rsid w:val="00482F2B"/>
    <w:rsid w:val="00483037"/>
    <w:rsid w:val="00483485"/>
    <w:rsid w:val="00483D84"/>
    <w:rsid w:val="00483EFE"/>
    <w:rsid w:val="0048596F"/>
    <w:rsid w:val="00490ED8"/>
    <w:rsid w:val="004936D2"/>
    <w:rsid w:val="00494612"/>
    <w:rsid w:val="00495616"/>
    <w:rsid w:val="00497992"/>
    <w:rsid w:val="004A360E"/>
    <w:rsid w:val="004A4EEB"/>
    <w:rsid w:val="004A5124"/>
    <w:rsid w:val="004A5AC2"/>
    <w:rsid w:val="004B298E"/>
    <w:rsid w:val="004B4584"/>
    <w:rsid w:val="004B7386"/>
    <w:rsid w:val="004C03DB"/>
    <w:rsid w:val="004C3AC9"/>
    <w:rsid w:val="004C6954"/>
    <w:rsid w:val="004C7643"/>
    <w:rsid w:val="004D2AA3"/>
    <w:rsid w:val="004D2B88"/>
    <w:rsid w:val="004D2DD1"/>
    <w:rsid w:val="004D33FC"/>
    <w:rsid w:val="004D4C8E"/>
    <w:rsid w:val="004D62E7"/>
    <w:rsid w:val="004D6F66"/>
    <w:rsid w:val="004E0762"/>
    <w:rsid w:val="004E09AB"/>
    <w:rsid w:val="004E135D"/>
    <w:rsid w:val="004E300B"/>
    <w:rsid w:val="004F078E"/>
    <w:rsid w:val="004F12DA"/>
    <w:rsid w:val="004F3176"/>
    <w:rsid w:val="004F3C62"/>
    <w:rsid w:val="004F719E"/>
    <w:rsid w:val="0050411A"/>
    <w:rsid w:val="00505DAD"/>
    <w:rsid w:val="0050767B"/>
    <w:rsid w:val="005076AF"/>
    <w:rsid w:val="00510E40"/>
    <w:rsid w:val="00511E8A"/>
    <w:rsid w:val="00517F29"/>
    <w:rsid w:val="005216F4"/>
    <w:rsid w:val="00521704"/>
    <w:rsid w:val="00523D93"/>
    <w:rsid w:val="005252AA"/>
    <w:rsid w:val="00525323"/>
    <w:rsid w:val="00526BB3"/>
    <w:rsid w:val="00527B27"/>
    <w:rsid w:val="005320CB"/>
    <w:rsid w:val="005355BE"/>
    <w:rsid w:val="00551CAC"/>
    <w:rsid w:val="00552A17"/>
    <w:rsid w:val="00554EAA"/>
    <w:rsid w:val="00557C74"/>
    <w:rsid w:val="00563809"/>
    <w:rsid w:val="005643A0"/>
    <w:rsid w:val="0056469A"/>
    <w:rsid w:val="00566733"/>
    <w:rsid w:val="00566A75"/>
    <w:rsid w:val="00567502"/>
    <w:rsid w:val="00582FB5"/>
    <w:rsid w:val="00583003"/>
    <w:rsid w:val="005830C9"/>
    <w:rsid w:val="00583DB6"/>
    <w:rsid w:val="005876A3"/>
    <w:rsid w:val="005912BF"/>
    <w:rsid w:val="0059372B"/>
    <w:rsid w:val="00594088"/>
    <w:rsid w:val="0059756B"/>
    <w:rsid w:val="005A0628"/>
    <w:rsid w:val="005A139E"/>
    <w:rsid w:val="005B028C"/>
    <w:rsid w:val="005B1EB6"/>
    <w:rsid w:val="005B21F8"/>
    <w:rsid w:val="005B2317"/>
    <w:rsid w:val="005B25D6"/>
    <w:rsid w:val="005B2D4D"/>
    <w:rsid w:val="005B41AB"/>
    <w:rsid w:val="005C4B4D"/>
    <w:rsid w:val="005D2623"/>
    <w:rsid w:val="005D51B5"/>
    <w:rsid w:val="005D6D99"/>
    <w:rsid w:val="005E5EF1"/>
    <w:rsid w:val="005E6798"/>
    <w:rsid w:val="005E6A17"/>
    <w:rsid w:val="005E6ABB"/>
    <w:rsid w:val="00600C9D"/>
    <w:rsid w:val="00601FB0"/>
    <w:rsid w:val="00602AF2"/>
    <w:rsid w:val="00610A3E"/>
    <w:rsid w:val="006129F1"/>
    <w:rsid w:val="00614C4E"/>
    <w:rsid w:val="00616E8F"/>
    <w:rsid w:val="00617DA5"/>
    <w:rsid w:val="00624A6C"/>
    <w:rsid w:val="00627687"/>
    <w:rsid w:val="006362E8"/>
    <w:rsid w:val="00636E1F"/>
    <w:rsid w:val="00645448"/>
    <w:rsid w:val="00646F28"/>
    <w:rsid w:val="006473B7"/>
    <w:rsid w:val="00651568"/>
    <w:rsid w:val="00653157"/>
    <w:rsid w:val="0065438F"/>
    <w:rsid w:val="0065712D"/>
    <w:rsid w:val="00657A85"/>
    <w:rsid w:val="00657D57"/>
    <w:rsid w:val="00662EA6"/>
    <w:rsid w:val="00663F6B"/>
    <w:rsid w:val="0066562B"/>
    <w:rsid w:val="00666610"/>
    <w:rsid w:val="00666DDA"/>
    <w:rsid w:val="00667523"/>
    <w:rsid w:val="006709D9"/>
    <w:rsid w:val="00674861"/>
    <w:rsid w:val="00684B95"/>
    <w:rsid w:val="0068795A"/>
    <w:rsid w:val="006911FB"/>
    <w:rsid w:val="00692202"/>
    <w:rsid w:val="00692A6D"/>
    <w:rsid w:val="00694E94"/>
    <w:rsid w:val="006950CC"/>
    <w:rsid w:val="00695DDD"/>
    <w:rsid w:val="006A0A81"/>
    <w:rsid w:val="006A0B23"/>
    <w:rsid w:val="006A157C"/>
    <w:rsid w:val="006A1A4D"/>
    <w:rsid w:val="006A6083"/>
    <w:rsid w:val="006A64F8"/>
    <w:rsid w:val="006A7FE5"/>
    <w:rsid w:val="006B2D97"/>
    <w:rsid w:val="006B3182"/>
    <w:rsid w:val="006B796B"/>
    <w:rsid w:val="006C0287"/>
    <w:rsid w:val="006D0281"/>
    <w:rsid w:val="006D11AD"/>
    <w:rsid w:val="006D2CCF"/>
    <w:rsid w:val="006E023D"/>
    <w:rsid w:val="006E0C0E"/>
    <w:rsid w:val="006E1B99"/>
    <w:rsid w:val="006E1BD0"/>
    <w:rsid w:val="006E5791"/>
    <w:rsid w:val="006E7A48"/>
    <w:rsid w:val="006E7F5A"/>
    <w:rsid w:val="006F0FBB"/>
    <w:rsid w:val="006F115E"/>
    <w:rsid w:val="006F164A"/>
    <w:rsid w:val="006F54BB"/>
    <w:rsid w:val="006F58DB"/>
    <w:rsid w:val="00700250"/>
    <w:rsid w:val="007037B1"/>
    <w:rsid w:val="00704078"/>
    <w:rsid w:val="007050CC"/>
    <w:rsid w:val="00705187"/>
    <w:rsid w:val="00705207"/>
    <w:rsid w:val="007058FA"/>
    <w:rsid w:val="0070736B"/>
    <w:rsid w:val="00710C5F"/>
    <w:rsid w:val="007111C7"/>
    <w:rsid w:val="00714F68"/>
    <w:rsid w:val="0071725A"/>
    <w:rsid w:val="0071757F"/>
    <w:rsid w:val="007206C5"/>
    <w:rsid w:val="00720DB9"/>
    <w:rsid w:val="00724372"/>
    <w:rsid w:val="0072478C"/>
    <w:rsid w:val="00730506"/>
    <w:rsid w:val="00736FCC"/>
    <w:rsid w:val="00741552"/>
    <w:rsid w:val="00742925"/>
    <w:rsid w:val="00742D6E"/>
    <w:rsid w:val="007436D7"/>
    <w:rsid w:val="00744088"/>
    <w:rsid w:val="00745880"/>
    <w:rsid w:val="00746194"/>
    <w:rsid w:val="00747D76"/>
    <w:rsid w:val="00750AE3"/>
    <w:rsid w:val="00752306"/>
    <w:rsid w:val="007549B9"/>
    <w:rsid w:val="00756346"/>
    <w:rsid w:val="00764BDA"/>
    <w:rsid w:val="00766365"/>
    <w:rsid w:val="00767503"/>
    <w:rsid w:val="00773002"/>
    <w:rsid w:val="00773331"/>
    <w:rsid w:val="00773BD4"/>
    <w:rsid w:val="00774536"/>
    <w:rsid w:val="007765E4"/>
    <w:rsid w:val="00781807"/>
    <w:rsid w:val="007879FD"/>
    <w:rsid w:val="00787B48"/>
    <w:rsid w:val="00790F92"/>
    <w:rsid w:val="007913D7"/>
    <w:rsid w:val="007929E7"/>
    <w:rsid w:val="007932EF"/>
    <w:rsid w:val="00797B28"/>
    <w:rsid w:val="007A14FA"/>
    <w:rsid w:val="007A206C"/>
    <w:rsid w:val="007A2CE2"/>
    <w:rsid w:val="007A4B6A"/>
    <w:rsid w:val="007A5A7A"/>
    <w:rsid w:val="007B46F2"/>
    <w:rsid w:val="007B56E6"/>
    <w:rsid w:val="007B6042"/>
    <w:rsid w:val="007B6D24"/>
    <w:rsid w:val="007C379A"/>
    <w:rsid w:val="007C4AC8"/>
    <w:rsid w:val="007C4C29"/>
    <w:rsid w:val="007C591F"/>
    <w:rsid w:val="007D4A13"/>
    <w:rsid w:val="007D4A91"/>
    <w:rsid w:val="007E05B0"/>
    <w:rsid w:val="007E109F"/>
    <w:rsid w:val="007E1617"/>
    <w:rsid w:val="007E5B69"/>
    <w:rsid w:val="007E610B"/>
    <w:rsid w:val="007E6251"/>
    <w:rsid w:val="007F1908"/>
    <w:rsid w:val="007F197C"/>
    <w:rsid w:val="007F2263"/>
    <w:rsid w:val="007F3844"/>
    <w:rsid w:val="007F46E2"/>
    <w:rsid w:val="007F6C63"/>
    <w:rsid w:val="007F783A"/>
    <w:rsid w:val="008003DA"/>
    <w:rsid w:val="00801DCC"/>
    <w:rsid w:val="00803859"/>
    <w:rsid w:val="0080563C"/>
    <w:rsid w:val="00805DA0"/>
    <w:rsid w:val="0080625E"/>
    <w:rsid w:val="0080627A"/>
    <w:rsid w:val="008100CA"/>
    <w:rsid w:val="00810CE0"/>
    <w:rsid w:val="00811DF3"/>
    <w:rsid w:val="00816AE0"/>
    <w:rsid w:val="00820675"/>
    <w:rsid w:val="00827CA4"/>
    <w:rsid w:val="00830E13"/>
    <w:rsid w:val="008312A3"/>
    <w:rsid w:val="00832F1B"/>
    <w:rsid w:val="0084130D"/>
    <w:rsid w:val="00841CE0"/>
    <w:rsid w:val="00841F72"/>
    <w:rsid w:val="008422A5"/>
    <w:rsid w:val="0084334E"/>
    <w:rsid w:val="00844FFD"/>
    <w:rsid w:val="008451C2"/>
    <w:rsid w:val="00845E0D"/>
    <w:rsid w:val="0084683C"/>
    <w:rsid w:val="008479B9"/>
    <w:rsid w:val="0085254F"/>
    <w:rsid w:val="008548E4"/>
    <w:rsid w:val="00854C97"/>
    <w:rsid w:val="00854D99"/>
    <w:rsid w:val="00857A70"/>
    <w:rsid w:val="00861F93"/>
    <w:rsid w:val="00866FB1"/>
    <w:rsid w:val="00873EA8"/>
    <w:rsid w:val="0087439D"/>
    <w:rsid w:val="00874D22"/>
    <w:rsid w:val="00875A0F"/>
    <w:rsid w:val="00876D88"/>
    <w:rsid w:val="0087751A"/>
    <w:rsid w:val="008801D6"/>
    <w:rsid w:val="00881970"/>
    <w:rsid w:val="00881BC3"/>
    <w:rsid w:val="00882F28"/>
    <w:rsid w:val="008837AC"/>
    <w:rsid w:val="00885179"/>
    <w:rsid w:val="0088754D"/>
    <w:rsid w:val="0089069F"/>
    <w:rsid w:val="008908C7"/>
    <w:rsid w:val="00890A0C"/>
    <w:rsid w:val="008A20BC"/>
    <w:rsid w:val="008A2914"/>
    <w:rsid w:val="008A303C"/>
    <w:rsid w:val="008A36AB"/>
    <w:rsid w:val="008B4B61"/>
    <w:rsid w:val="008B4E66"/>
    <w:rsid w:val="008B757D"/>
    <w:rsid w:val="008B7FA8"/>
    <w:rsid w:val="008C56BB"/>
    <w:rsid w:val="008C6CFD"/>
    <w:rsid w:val="008D0E87"/>
    <w:rsid w:val="008D1A92"/>
    <w:rsid w:val="008D1CDB"/>
    <w:rsid w:val="008D1F39"/>
    <w:rsid w:val="008D28CA"/>
    <w:rsid w:val="008D3247"/>
    <w:rsid w:val="008D4131"/>
    <w:rsid w:val="008D5D4A"/>
    <w:rsid w:val="008D6AC1"/>
    <w:rsid w:val="008E1231"/>
    <w:rsid w:val="008E4D8E"/>
    <w:rsid w:val="008E7081"/>
    <w:rsid w:val="008F2314"/>
    <w:rsid w:val="008F696E"/>
    <w:rsid w:val="0090091C"/>
    <w:rsid w:val="009017BA"/>
    <w:rsid w:val="009023D3"/>
    <w:rsid w:val="0090245B"/>
    <w:rsid w:val="00903067"/>
    <w:rsid w:val="00903B57"/>
    <w:rsid w:val="00906C9F"/>
    <w:rsid w:val="00912FA8"/>
    <w:rsid w:val="0091572F"/>
    <w:rsid w:val="00916779"/>
    <w:rsid w:val="00916999"/>
    <w:rsid w:val="009175F9"/>
    <w:rsid w:val="0092279D"/>
    <w:rsid w:val="00923FF0"/>
    <w:rsid w:val="00924774"/>
    <w:rsid w:val="0092490E"/>
    <w:rsid w:val="00926D77"/>
    <w:rsid w:val="00930DCD"/>
    <w:rsid w:val="0093287C"/>
    <w:rsid w:val="00933AB7"/>
    <w:rsid w:val="009356C4"/>
    <w:rsid w:val="009358AD"/>
    <w:rsid w:val="0093643B"/>
    <w:rsid w:val="009379B1"/>
    <w:rsid w:val="00937F21"/>
    <w:rsid w:val="009407DC"/>
    <w:rsid w:val="00941F0E"/>
    <w:rsid w:val="00943136"/>
    <w:rsid w:val="00946763"/>
    <w:rsid w:val="009474C8"/>
    <w:rsid w:val="00947F81"/>
    <w:rsid w:val="0095370E"/>
    <w:rsid w:val="00954961"/>
    <w:rsid w:val="00957562"/>
    <w:rsid w:val="00957A60"/>
    <w:rsid w:val="009603DE"/>
    <w:rsid w:val="00961D45"/>
    <w:rsid w:val="00962985"/>
    <w:rsid w:val="00962E0C"/>
    <w:rsid w:val="00962E9C"/>
    <w:rsid w:val="00964A28"/>
    <w:rsid w:val="009678BE"/>
    <w:rsid w:val="00967E2E"/>
    <w:rsid w:val="00971888"/>
    <w:rsid w:val="009748F4"/>
    <w:rsid w:val="0097595B"/>
    <w:rsid w:val="00980B33"/>
    <w:rsid w:val="00982F47"/>
    <w:rsid w:val="0098300B"/>
    <w:rsid w:val="00985B59"/>
    <w:rsid w:val="00986323"/>
    <w:rsid w:val="009922F1"/>
    <w:rsid w:val="009A1557"/>
    <w:rsid w:val="009A2476"/>
    <w:rsid w:val="009A3A30"/>
    <w:rsid w:val="009A6416"/>
    <w:rsid w:val="009A786F"/>
    <w:rsid w:val="009B0341"/>
    <w:rsid w:val="009B045A"/>
    <w:rsid w:val="009B33EF"/>
    <w:rsid w:val="009B5677"/>
    <w:rsid w:val="009B61F2"/>
    <w:rsid w:val="009B638A"/>
    <w:rsid w:val="009B6A0C"/>
    <w:rsid w:val="009B6D60"/>
    <w:rsid w:val="009B6FCA"/>
    <w:rsid w:val="009B76DC"/>
    <w:rsid w:val="009C0B85"/>
    <w:rsid w:val="009D15EC"/>
    <w:rsid w:val="009D1600"/>
    <w:rsid w:val="009D16A9"/>
    <w:rsid w:val="009E0F8C"/>
    <w:rsid w:val="009E51B3"/>
    <w:rsid w:val="009E59DE"/>
    <w:rsid w:val="009F1FD4"/>
    <w:rsid w:val="009F259F"/>
    <w:rsid w:val="009F2C42"/>
    <w:rsid w:val="009F4F1F"/>
    <w:rsid w:val="009F558E"/>
    <w:rsid w:val="009F6138"/>
    <w:rsid w:val="009F78ED"/>
    <w:rsid w:val="00A00165"/>
    <w:rsid w:val="00A00C39"/>
    <w:rsid w:val="00A0298F"/>
    <w:rsid w:val="00A04F11"/>
    <w:rsid w:val="00A10654"/>
    <w:rsid w:val="00A12336"/>
    <w:rsid w:val="00A15245"/>
    <w:rsid w:val="00A2210E"/>
    <w:rsid w:val="00A2418A"/>
    <w:rsid w:val="00A2738B"/>
    <w:rsid w:val="00A314D0"/>
    <w:rsid w:val="00A37ED0"/>
    <w:rsid w:val="00A41050"/>
    <w:rsid w:val="00A42ADC"/>
    <w:rsid w:val="00A43695"/>
    <w:rsid w:val="00A4395F"/>
    <w:rsid w:val="00A43A6F"/>
    <w:rsid w:val="00A46786"/>
    <w:rsid w:val="00A53C0E"/>
    <w:rsid w:val="00A53D85"/>
    <w:rsid w:val="00A54FED"/>
    <w:rsid w:val="00A56B65"/>
    <w:rsid w:val="00A56BFE"/>
    <w:rsid w:val="00A60200"/>
    <w:rsid w:val="00A637F5"/>
    <w:rsid w:val="00A66590"/>
    <w:rsid w:val="00A73130"/>
    <w:rsid w:val="00A76298"/>
    <w:rsid w:val="00A8014B"/>
    <w:rsid w:val="00A83444"/>
    <w:rsid w:val="00A906EC"/>
    <w:rsid w:val="00A94CCC"/>
    <w:rsid w:val="00A96250"/>
    <w:rsid w:val="00AA16CC"/>
    <w:rsid w:val="00AA30FD"/>
    <w:rsid w:val="00AA6B1C"/>
    <w:rsid w:val="00AB2561"/>
    <w:rsid w:val="00AB7ABF"/>
    <w:rsid w:val="00AC1A60"/>
    <w:rsid w:val="00AC397C"/>
    <w:rsid w:val="00AC41EE"/>
    <w:rsid w:val="00AD016C"/>
    <w:rsid w:val="00AD0AEC"/>
    <w:rsid w:val="00AD39BA"/>
    <w:rsid w:val="00AD3AB0"/>
    <w:rsid w:val="00AD7409"/>
    <w:rsid w:val="00AE0330"/>
    <w:rsid w:val="00AE05EB"/>
    <w:rsid w:val="00AE0D72"/>
    <w:rsid w:val="00AE2E21"/>
    <w:rsid w:val="00AE75EC"/>
    <w:rsid w:val="00AF1296"/>
    <w:rsid w:val="00AF1F48"/>
    <w:rsid w:val="00B01668"/>
    <w:rsid w:val="00B03401"/>
    <w:rsid w:val="00B10891"/>
    <w:rsid w:val="00B1144F"/>
    <w:rsid w:val="00B11E87"/>
    <w:rsid w:val="00B14D94"/>
    <w:rsid w:val="00B16582"/>
    <w:rsid w:val="00B2067F"/>
    <w:rsid w:val="00B20D55"/>
    <w:rsid w:val="00B22A35"/>
    <w:rsid w:val="00B268FF"/>
    <w:rsid w:val="00B30F87"/>
    <w:rsid w:val="00B36B09"/>
    <w:rsid w:val="00B37E4C"/>
    <w:rsid w:val="00B51F2C"/>
    <w:rsid w:val="00B62990"/>
    <w:rsid w:val="00B629DF"/>
    <w:rsid w:val="00B65EC7"/>
    <w:rsid w:val="00B71212"/>
    <w:rsid w:val="00B764B1"/>
    <w:rsid w:val="00B76619"/>
    <w:rsid w:val="00B768C0"/>
    <w:rsid w:val="00B801C0"/>
    <w:rsid w:val="00B83037"/>
    <w:rsid w:val="00B832FF"/>
    <w:rsid w:val="00B87189"/>
    <w:rsid w:val="00B878CB"/>
    <w:rsid w:val="00B91F91"/>
    <w:rsid w:val="00B92AE0"/>
    <w:rsid w:val="00B92AF7"/>
    <w:rsid w:val="00B92FAA"/>
    <w:rsid w:val="00B93145"/>
    <w:rsid w:val="00B96DA0"/>
    <w:rsid w:val="00B97D7B"/>
    <w:rsid w:val="00BA04B2"/>
    <w:rsid w:val="00BA1193"/>
    <w:rsid w:val="00BA2FA4"/>
    <w:rsid w:val="00BA4C7F"/>
    <w:rsid w:val="00BB2A0A"/>
    <w:rsid w:val="00BB2B23"/>
    <w:rsid w:val="00BB4905"/>
    <w:rsid w:val="00BB5821"/>
    <w:rsid w:val="00BB7203"/>
    <w:rsid w:val="00BB7D5B"/>
    <w:rsid w:val="00BC3467"/>
    <w:rsid w:val="00BC432D"/>
    <w:rsid w:val="00BC7E0B"/>
    <w:rsid w:val="00BD034B"/>
    <w:rsid w:val="00BD2346"/>
    <w:rsid w:val="00BD36EF"/>
    <w:rsid w:val="00BD45A0"/>
    <w:rsid w:val="00BD4D3F"/>
    <w:rsid w:val="00BD5F72"/>
    <w:rsid w:val="00BE113E"/>
    <w:rsid w:val="00BE303E"/>
    <w:rsid w:val="00BE4022"/>
    <w:rsid w:val="00BE64CB"/>
    <w:rsid w:val="00BF098D"/>
    <w:rsid w:val="00BF102B"/>
    <w:rsid w:val="00BF1F77"/>
    <w:rsid w:val="00BF6B5E"/>
    <w:rsid w:val="00BF7C31"/>
    <w:rsid w:val="00C033BF"/>
    <w:rsid w:val="00C06721"/>
    <w:rsid w:val="00C0685A"/>
    <w:rsid w:val="00C10466"/>
    <w:rsid w:val="00C108D8"/>
    <w:rsid w:val="00C12154"/>
    <w:rsid w:val="00C12301"/>
    <w:rsid w:val="00C14B3E"/>
    <w:rsid w:val="00C21257"/>
    <w:rsid w:val="00C2253D"/>
    <w:rsid w:val="00C2561D"/>
    <w:rsid w:val="00C25A48"/>
    <w:rsid w:val="00C26B08"/>
    <w:rsid w:val="00C31A3E"/>
    <w:rsid w:val="00C34597"/>
    <w:rsid w:val="00C348C3"/>
    <w:rsid w:val="00C369CC"/>
    <w:rsid w:val="00C40640"/>
    <w:rsid w:val="00C45DD0"/>
    <w:rsid w:val="00C46924"/>
    <w:rsid w:val="00C50876"/>
    <w:rsid w:val="00C509BF"/>
    <w:rsid w:val="00C516D6"/>
    <w:rsid w:val="00C5291B"/>
    <w:rsid w:val="00C530FF"/>
    <w:rsid w:val="00C55090"/>
    <w:rsid w:val="00C5584D"/>
    <w:rsid w:val="00C624A3"/>
    <w:rsid w:val="00C632C4"/>
    <w:rsid w:val="00C64160"/>
    <w:rsid w:val="00C645B5"/>
    <w:rsid w:val="00C70C97"/>
    <w:rsid w:val="00C718B2"/>
    <w:rsid w:val="00C71A89"/>
    <w:rsid w:val="00C73FF3"/>
    <w:rsid w:val="00C77BEB"/>
    <w:rsid w:val="00C80608"/>
    <w:rsid w:val="00C8186E"/>
    <w:rsid w:val="00C824BE"/>
    <w:rsid w:val="00C8278B"/>
    <w:rsid w:val="00C82DB9"/>
    <w:rsid w:val="00C8560D"/>
    <w:rsid w:val="00C858B3"/>
    <w:rsid w:val="00C863D4"/>
    <w:rsid w:val="00C867F3"/>
    <w:rsid w:val="00C90649"/>
    <w:rsid w:val="00C91B3F"/>
    <w:rsid w:val="00C92341"/>
    <w:rsid w:val="00C94D83"/>
    <w:rsid w:val="00C956C3"/>
    <w:rsid w:val="00CA093E"/>
    <w:rsid w:val="00CA1948"/>
    <w:rsid w:val="00CA62DA"/>
    <w:rsid w:val="00CA642B"/>
    <w:rsid w:val="00CA6978"/>
    <w:rsid w:val="00CB4AC7"/>
    <w:rsid w:val="00CC5547"/>
    <w:rsid w:val="00CC76D6"/>
    <w:rsid w:val="00CC7F58"/>
    <w:rsid w:val="00CD002E"/>
    <w:rsid w:val="00CD0CB1"/>
    <w:rsid w:val="00CD1888"/>
    <w:rsid w:val="00CD4528"/>
    <w:rsid w:val="00CD59B5"/>
    <w:rsid w:val="00CD60C8"/>
    <w:rsid w:val="00CE1BE9"/>
    <w:rsid w:val="00CE405F"/>
    <w:rsid w:val="00CE463C"/>
    <w:rsid w:val="00CE525E"/>
    <w:rsid w:val="00CF0E1F"/>
    <w:rsid w:val="00CF398F"/>
    <w:rsid w:val="00CF4EFA"/>
    <w:rsid w:val="00CF696D"/>
    <w:rsid w:val="00CF6AA8"/>
    <w:rsid w:val="00D008A8"/>
    <w:rsid w:val="00D00DA1"/>
    <w:rsid w:val="00D012D0"/>
    <w:rsid w:val="00D036DD"/>
    <w:rsid w:val="00D077E3"/>
    <w:rsid w:val="00D07FA5"/>
    <w:rsid w:val="00D1193A"/>
    <w:rsid w:val="00D12991"/>
    <w:rsid w:val="00D15C30"/>
    <w:rsid w:val="00D16496"/>
    <w:rsid w:val="00D20381"/>
    <w:rsid w:val="00D22F72"/>
    <w:rsid w:val="00D2327D"/>
    <w:rsid w:val="00D279F0"/>
    <w:rsid w:val="00D27EAD"/>
    <w:rsid w:val="00D30592"/>
    <w:rsid w:val="00D31255"/>
    <w:rsid w:val="00D32405"/>
    <w:rsid w:val="00D3351C"/>
    <w:rsid w:val="00D3381F"/>
    <w:rsid w:val="00D35C40"/>
    <w:rsid w:val="00D360CE"/>
    <w:rsid w:val="00D3676C"/>
    <w:rsid w:val="00D36F94"/>
    <w:rsid w:val="00D4123F"/>
    <w:rsid w:val="00D44993"/>
    <w:rsid w:val="00D44FA7"/>
    <w:rsid w:val="00D44FDE"/>
    <w:rsid w:val="00D470BC"/>
    <w:rsid w:val="00D51327"/>
    <w:rsid w:val="00D531B0"/>
    <w:rsid w:val="00D55E5C"/>
    <w:rsid w:val="00D606E4"/>
    <w:rsid w:val="00D630A9"/>
    <w:rsid w:val="00D66579"/>
    <w:rsid w:val="00D735AE"/>
    <w:rsid w:val="00D7369B"/>
    <w:rsid w:val="00D752A9"/>
    <w:rsid w:val="00D765B3"/>
    <w:rsid w:val="00D811A6"/>
    <w:rsid w:val="00D8153B"/>
    <w:rsid w:val="00D818FE"/>
    <w:rsid w:val="00D84454"/>
    <w:rsid w:val="00D86167"/>
    <w:rsid w:val="00D86190"/>
    <w:rsid w:val="00D87D4C"/>
    <w:rsid w:val="00D9418F"/>
    <w:rsid w:val="00D957B7"/>
    <w:rsid w:val="00D97DC1"/>
    <w:rsid w:val="00DA0ACA"/>
    <w:rsid w:val="00DA14CC"/>
    <w:rsid w:val="00DA645F"/>
    <w:rsid w:val="00DB02BB"/>
    <w:rsid w:val="00DB16FA"/>
    <w:rsid w:val="00DB1B3D"/>
    <w:rsid w:val="00DB6065"/>
    <w:rsid w:val="00DB6AA7"/>
    <w:rsid w:val="00DC0C3C"/>
    <w:rsid w:val="00DC4798"/>
    <w:rsid w:val="00DD0A5A"/>
    <w:rsid w:val="00DD2AA5"/>
    <w:rsid w:val="00DD325B"/>
    <w:rsid w:val="00DD39DA"/>
    <w:rsid w:val="00DD7DDE"/>
    <w:rsid w:val="00DE003A"/>
    <w:rsid w:val="00DE0497"/>
    <w:rsid w:val="00DE470A"/>
    <w:rsid w:val="00DE4C1F"/>
    <w:rsid w:val="00DE67C9"/>
    <w:rsid w:val="00DF2131"/>
    <w:rsid w:val="00DF21B3"/>
    <w:rsid w:val="00DF4FD1"/>
    <w:rsid w:val="00DF5B1D"/>
    <w:rsid w:val="00E00134"/>
    <w:rsid w:val="00E02113"/>
    <w:rsid w:val="00E05306"/>
    <w:rsid w:val="00E102DD"/>
    <w:rsid w:val="00E1102B"/>
    <w:rsid w:val="00E1264C"/>
    <w:rsid w:val="00E1360A"/>
    <w:rsid w:val="00E14435"/>
    <w:rsid w:val="00E14F06"/>
    <w:rsid w:val="00E2194E"/>
    <w:rsid w:val="00E222DA"/>
    <w:rsid w:val="00E232EF"/>
    <w:rsid w:val="00E245B2"/>
    <w:rsid w:val="00E25F9C"/>
    <w:rsid w:val="00E3350F"/>
    <w:rsid w:val="00E34B18"/>
    <w:rsid w:val="00E34B70"/>
    <w:rsid w:val="00E37F69"/>
    <w:rsid w:val="00E400B0"/>
    <w:rsid w:val="00E40233"/>
    <w:rsid w:val="00E40516"/>
    <w:rsid w:val="00E40FBC"/>
    <w:rsid w:val="00E42EEE"/>
    <w:rsid w:val="00E438F0"/>
    <w:rsid w:val="00E46D9A"/>
    <w:rsid w:val="00E50AAD"/>
    <w:rsid w:val="00E52A63"/>
    <w:rsid w:val="00E536CF"/>
    <w:rsid w:val="00E555EB"/>
    <w:rsid w:val="00E55A41"/>
    <w:rsid w:val="00E56CA7"/>
    <w:rsid w:val="00E57C1B"/>
    <w:rsid w:val="00E60ACD"/>
    <w:rsid w:val="00E62A3D"/>
    <w:rsid w:val="00E62B24"/>
    <w:rsid w:val="00E666DE"/>
    <w:rsid w:val="00E66FF7"/>
    <w:rsid w:val="00E70D07"/>
    <w:rsid w:val="00E73688"/>
    <w:rsid w:val="00E73C30"/>
    <w:rsid w:val="00E7451D"/>
    <w:rsid w:val="00E755EA"/>
    <w:rsid w:val="00E774CD"/>
    <w:rsid w:val="00E8057E"/>
    <w:rsid w:val="00E87418"/>
    <w:rsid w:val="00E90C96"/>
    <w:rsid w:val="00E9110D"/>
    <w:rsid w:val="00E914A9"/>
    <w:rsid w:val="00E91F41"/>
    <w:rsid w:val="00E922EB"/>
    <w:rsid w:val="00E92FCA"/>
    <w:rsid w:val="00E95A4E"/>
    <w:rsid w:val="00E96A34"/>
    <w:rsid w:val="00E97B24"/>
    <w:rsid w:val="00EA04C6"/>
    <w:rsid w:val="00EB4C98"/>
    <w:rsid w:val="00EB4DA2"/>
    <w:rsid w:val="00EB4FD2"/>
    <w:rsid w:val="00EB536C"/>
    <w:rsid w:val="00EB6105"/>
    <w:rsid w:val="00EB674B"/>
    <w:rsid w:val="00EC02C4"/>
    <w:rsid w:val="00EC35AE"/>
    <w:rsid w:val="00EC423F"/>
    <w:rsid w:val="00ED1C6D"/>
    <w:rsid w:val="00ED35B9"/>
    <w:rsid w:val="00ED61A2"/>
    <w:rsid w:val="00ED76A8"/>
    <w:rsid w:val="00EE0981"/>
    <w:rsid w:val="00EE665D"/>
    <w:rsid w:val="00EF1547"/>
    <w:rsid w:val="00F007E3"/>
    <w:rsid w:val="00F020D4"/>
    <w:rsid w:val="00F05317"/>
    <w:rsid w:val="00F06755"/>
    <w:rsid w:val="00F07470"/>
    <w:rsid w:val="00F12BCA"/>
    <w:rsid w:val="00F14AC8"/>
    <w:rsid w:val="00F15491"/>
    <w:rsid w:val="00F16C6A"/>
    <w:rsid w:val="00F1768D"/>
    <w:rsid w:val="00F21940"/>
    <w:rsid w:val="00F242A5"/>
    <w:rsid w:val="00F24B66"/>
    <w:rsid w:val="00F333EE"/>
    <w:rsid w:val="00F3529F"/>
    <w:rsid w:val="00F374CA"/>
    <w:rsid w:val="00F41CFF"/>
    <w:rsid w:val="00F43C25"/>
    <w:rsid w:val="00F43D0E"/>
    <w:rsid w:val="00F45BB0"/>
    <w:rsid w:val="00F46C41"/>
    <w:rsid w:val="00F5091D"/>
    <w:rsid w:val="00F5191F"/>
    <w:rsid w:val="00F536BD"/>
    <w:rsid w:val="00F56C25"/>
    <w:rsid w:val="00F6153B"/>
    <w:rsid w:val="00F618D0"/>
    <w:rsid w:val="00F632F9"/>
    <w:rsid w:val="00F635CD"/>
    <w:rsid w:val="00F65F47"/>
    <w:rsid w:val="00F66150"/>
    <w:rsid w:val="00F727B4"/>
    <w:rsid w:val="00F73130"/>
    <w:rsid w:val="00F806B2"/>
    <w:rsid w:val="00F80B93"/>
    <w:rsid w:val="00F83062"/>
    <w:rsid w:val="00F832E8"/>
    <w:rsid w:val="00F833BC"/>
    <w:rsid w:val="00F8502A"/>
    <w:rsid w:val="00F8549D"/>
    <w:rsid w:val="00F877AE"/>
    <w:rsid w:val="00F94CF8"/>
    <w:rsid w:val="00F971C1"/>
    <w:rsid w:val="00FA1573"/>
    <w:rsid w:val="00FA24C9"/>
    <w:rsid w:val="00FA3D6F"/>
    <w:rsid w:val="00FA4220"/>
    <w:rsid w:val="00FA583F"/>
    <w:rsid w:val="00FA69A1"/>
    <w:rsid w:val="00FB245C"/>
    <w:rsid w:val="00FB3013"/>
    <w:rsid w:val="00FC38F8"/>
    <w:rsid w:val="00FC6EA5"/>
    <w:rsid w:val="00FD347C"/>
    <w:rsid w:val="00FD5418"/>
    <w:rsid w:val="00FD563B"/>
    <w:rsid w:val="00FD72A4"/>
    <w:rsid w:val="00FE0DD3"/>
    <w:rsid w:val="00FE3467"/>
    <w:rsid w:val="00FE4C3F"/>
    <w:rsid w:val="00FE525D"/>
    <w:rsid w:val="00FE6CF9"/>
    <w:rsid w:val="00FE6E44"/>
    <w:rsid w:val="00FF1F41"/>
    <w:rsid w:val="00FF2B1C"/>
    <w:rsid w:val="00FF35C1"/>
    <w:rsid w:val="00FF4451"/>
    <w:rsid w:val="00FF68B7"/>
    <w:rsid w:val="00FF750C"/>
    <w:rsid w:val="0181901C"/>
    <w:rsid w:val="01DC873F"/>
    <w:rsid w:val="02D02D09"/>
    <w:rsid w:val="0660DB0E"/>
    <w:rsid w:val="092C815B"/>
    <w:rsid w:val="0B3F1A18"/>
    <w:rsid w:val="0C7294BE"/>
    <w:rsid w:val="0C9E35AD"/>
    <w:rsid w:val="0F8A8808"/>
    <w:rsid w:val="1222BD68"/>
    <w:rsid w:val="12985334"/>
    <w:rsid w:val="150DF41F"/>
    <w:rsid w:val="17592152"/>
    <w:rsid w:val="17AC9091"/>
    <w:rsid w:val="1859E4F4"/>
    <w:rsid w:val="1A7EF3F8"/>
    <w:rsid w:val="1AC5477A"/>
    <w:rsid w:val="1B7A9008"/>
    <w:rsid w:val="1C68E15B"/>
    <w:rsid w:val="2120AE3B"/>
    <w:rsid w:val="25E90D1D"/>
    <w:rsid w:val="289B239E"/>
    <w:rsid w:val="2AE15F91"/>
    <w:rsid w:val="2B012EAE"/>
    <w:rsid w:val="2E65794A"/>
    <w:rsid w:val="2EC3EC3E"/>
    <w:rsid w:val="2EF599D1"/>
    <w:rsid w:val="3125E903"/>
    <w:rsid w:val="31816739"/>
    <w:rsid w:val="34FCC6F9"/>
    <w:rsid w:val="3501A5BC"/>
    <w:rsid w:val="372D152D"/>
    <w:rsid w:val="38E9039C"/>
    <w:rsid w:val="3BD41CD9"/>
    <w:rsid w:val="4243AA02"/>
    <w:rsid w:val="428991A2"/>
    <w:rsid w:val="4357E3B3"/>
    <w:rsid w:val="43A035A7"/>
    <w:rsid w:val="4E337598"/>
    <w:rsid w:val="501773A0"/>
    <w:rsid w:val="508C6CB4"/>
    <w:rsid w:val="53613389"/>
    <w:rsid w:val="560FD8CB"/>
    <w:rsid w:val="566570F0"/>
    <w:rsid w:val="56B6BB22"/>
    <w:rsid w:val="5992F2D0"/>
    <w:rsid w:val="5A08EBD8"/>
    <w:rsid w:val="5B471C28"/>
    <w:rsid w:val="5CBF2175"/>
    <w:rsid w:val="5CC4C64F"/>
    <w:rsid w:val="5D151293"/>
    <w:rsid w:val="5DB94C9F"/>
    <w:rsid w:val="5FB07FB6"/>
    <w:rsid w:val="61B65DAC"/>
    <w:rsid w:val="6325B7D9"/>
    <w:rsid w:val="6759C90B"/>
    <w:rsid w:val="6902C3CD"/>
    <w:rsid w:val="6C0D99AF"/>
    <w:rsid w:val="6D361646"/>
    <w:rsid w:val="725B2F94"/>
    <w:rsid w:val="74ED520C"/>
    <w:rsid w:val="757323B3"/>
    <w:rsid w:val="7C4DFE52"/>
    <w:rsid w:val="7DC72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8E4278"/>
  <w15:docId w15:val="{CCB75C79-45FA-4CD1-A487-C9BCDFD5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7A4B6A"/>
    <w:pPr>
      <w:spacing w:before="0" w:after="160" w:line="240" w:lineRule="exact"/>
      <w:jc w:val="left"/>
    </w:pPr>
    <w:rPr>
      <w:rFonts w:asciiTheme="minorHAnsi" w:hAnsiTheme="minorHAnsi" w:cstheme="minorBidi"/>
      <w:sz w:val="22"/>
      <w:vertAlign w:val="superscript"/>
      <w:lang w:val="es-ES"/>
    </w:rPr>
  </w:style>
  <w:style w:type="character" w:styleId="CommentReference">
    <w:name w:val="annotation reference"/>
    <w:basedOn w:val="DefaultParagraphFont"/>
    <w:uiPriority w:val="99"/>
    <w:semiHidden/>
    <w:unhideWhenUsed/>
    <w:rsid w:val="0092279D"/>
    <w:rPr>
      <w:sz w:val="16"/>
      <w:szCs w:val="16"/>
    </w:rPr>
  </w:style>
  <w:style w:type="paragraph" w:styleId="CommentText">
    <w:name w:val="annotation text"/>
    <w:basedOn w:val="Normal"/>
    <w:link w:val="CommentTextChar"/>
    <w:uiPriority w:val="99"/>
    <w:unhideWhenUsed/>
    <w:rsid w:val="0092279D"/>
    <w:rPr>
      <w:sz w:val="20"/>
      <w:szCs w:val="20"/>
    </w:rPr>
  </w:style>
  <w:style w:type="character" w:customStyle="1" w:styleId="CommentTextChar">
    <w:name w:val="Comment Text Char"/>
    <w:basedOn w:val="DefaultParagraphFont"/>
    <w:link w:val="CommentText"/>
    <w:uiPriority w:val="99"/>
    <w:rsid w:val="0092279D"/>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92279D"/>
    <w:rPr>
      <w:b/>
      <w:bCs/>
    </w:rPr>
  </w:style>
  <w:style w:type="character" w:customStyle="1" w:styleId="CommentSubjectChar">
    <w:name w:val="Comment Subject Char"/>
    <w:basedOn w:val="CommentTextChar"/>
    <w:link w:val="CommentSubject"/>
    <w:uiPriority w:val="99"/>
    <w:semiHidden/>
    <w:rsid w:val="0092279D"/>
    <w:rPr>
      <w:rFonts w:ascii="Times New Roman" w:hAnsi="Times New Roman" w:cs="Times New Roman"/>
      <w:b/>
      <w:bCs/>
      <w:sz w:val="20"/>
      <w:szCs w:val="20"/>
      <w:lang w:val="es-ES"/>
    </w:rPr>
  </w:style>
  <w:style w:type="paragraph" w:styleId="Revision">
    <w:name w:val="Revision"/>
    <w:hidden/>
    <w:uiPriority w:val="99"/>
    <w:semiHidden/>
    <w:rsid w:val="0092279D"/>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2176CB"/>
    <w:pPr>
      <w:numPr>
        <w:numId w:val="1"/>
      </w:numPr>
      <w:contextualSpacing/>
    </w:pPr>
  </w:style>
  <w:style w:type="paragraph" w:styleId="ListBullet2">
    <w:name w:val="List Bullet 2"/>
    <w:basedOn w:val="Normal"/>
    <w:uiPriority w:val="99"/>
    <w:semiHidden/>
    <w:unhideWhenUsed/>
    <w:rsid w:val="002176CB"/>
    <w:pPr>
      <w:numPr>
        <w:numId w:val="2"/>
      </w:numPr>
      <w:contextualSpacing/>
    </w:pPr>
  </w:style>
  <w:style w:type="paragraph" w:styleId="ListBullet3">
    <w:name w:val="List Bullet 3"/>
    <w:basedOn w:val="Normal"/>
    <w:uiPriority w:val="99"/>
    <w:semiHidden/>
    <w:unhideWhenUsed/>
    <w:rsid w:val="002176CB"/>
    <w:pPr>
      <w:numPr>
        <w:numId w:val="3"/>
      </w:numPr>
      <w:contextualSpacing/>
    </w:pPr>
  </w:style>
  <w:style w:type="paragraph" w:styleId="ListBullet4">
    <w:name w:val="List Bullet 4"/>
    <w:basedOn w:val="Normal"/>
    <w:uiPriority w:val="99"/>
    <w:semiHidden/>
    <w:unhideWhenUsed/>
    <w:rsid w:val="002176CB"/>
    <w:pPr>
      <w:numPr>
        <w:numId w:val="4"/>
      </w:numPr>
      <w:contextualSpacing/>
    </w:pPr>
  </w:style>
  <w:style w:type="table" w:styleId="TableGrid">
    <w:name w:val="Table Grid"/>
    <w:basedOn w:val="TableNormal"/>
    <w:uiPriority w:val="39"/>
    <w:rsid w:val="00B8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70194"/>
  </w:style>
  <w:style w:type="paragraph" w:customStyle="1" w:styleId="Nomal">
    <w:name w:val="Nomal"/>
    <w:basedOn w:val="Point0number"/>
    <w:rsid w:val="00C55090"/>
    <w:pPr>
      <w:numPr>
        <w:numId w:val="0"/>
      </w:numPr>
    </w:pPr>
  </w:style>
  <w:style w:type="paragraph" w:styleId="ListParagraph">
    <w:name w:val="List Paragraph"/>
    <w:basedOn w:val="Normal"/>
    <w:uiPriority w:val="34"/>
    <w:qFormat/>
    <w:rsid w:val="00111F55"/>
    <w:pPr>
      <w:ind w:left="720"/>
      <w:contextualSpacing/>
    </w:pPr>
  </w:style>
  <w:style w:type="character" w:customStyle="1" w:styleId="UnresolvedMention1">
    <w:name w:val="Unresolved Mention1"/>
    <w:basedOn w:val="DefaultParagraphFont"/>
    <w:uiPriority w:val="99"/>
    <w:unhideWhenUsed/>
    <w:rsid w:val="004D2AA3"/>
    <w:rPr>
      <w:color w:val="605E5C"/>
      <w:shd w:val="clear" w:color="auto" w:fill="E1DFDD"/>
    </w:rPr>
  </w:style>
  <w:style w:type="character" w:customStyle="1" w:styleId="Mention1">
    <w:name w:val="Mention1"/>
    <w:basedOn w:val="DefaultParagraphFont"/>
    <w:uiPriority w:val="99"/>
    <w:unhideWhenUsed/>
    <w:rsid w:val="004D2AA3"/>
    <w:rPr>
      <w:color w:val="2B579A"/>
      <w:shd w:val="clear" w:color="auto" w:fill="E1DFDD"/>
    </w:rPr>
  </w:style>
  <w:style w:type="character" w:customStyle="1" w:styleId="UnresolvedMention2">
    <w:name w:val="Unresolved Mention2"/>
    <w:basedOn w:val="DefaultParagraphFont"/>
    <w:uiPriority w:val="99"/>
    <w:unhideWhenUsed/>
    <w:rsid w:val="006C0287"/>
    <w:rPr>
      <w:color w:val="605E5C"/>
      <w:shd w:val="clear" w:color="auto" w:fill="E1DFDD"/>
    </w:rPr>
  </w:style>
  <w:style w:type="character" w:customStyle="1" w:styleId="Mention2">
    <w:name w:val="Mention2"/>
    <w:basedOn w:val="DefaultParagraphFont"/>
    <w:uiPriority w:val="99"/>
    <w:unhideWhenUsed/>
    <w:rsid w:val="006C0287"/>
    <w:rPr>
      <w:color w:val="2B579A"/>
      <w:shd w:val="clear" w:color="auto" w:fill="E1DFDD"/>
    </w:rPr>
  </w:style>
  <w:style w:type="paragraph" w:styleId="BalloonText">
    <w:name w:val="Balloon Text"/>
    <w:basedOn w:val="Normal"/>
    <w:link w:val="BalloonTextChar"/>
    <w:uiPriority w:val="99"/>
    <w:semiHidden/>
    <w:unhideWhenUsed/>
    <w:rsid w:val="00E60AC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ACD"/>
    <w:rPr>
      <w:rFonts w:ascii="Segoe UI" w:hAnsi="Segoe UI" w:cs="Segoe UI"/>
      <w:sz w:val="18"/>
      <w:szCs w:val="18"/>
      <w:lang w:val="es-ES"/>
    </w:rPr>
  </w:style>
  <w:style w:type="character" w:customStyle="1" w:styleId="UnresolvedMention3">
    <w:name w:val="Unresolved Mention3"/>
    <w:basedOn w:val="DefaultParagraphFont"/>
    <w:uiPriority w:val="99"/>
    <w:unhideWhenUsed/>
    <w:rsid w:val="00AA6B1C"/>
    <w:rPr>
      <w:color w:val="605E5C"/>
      <w:shd w:val="clear" w:color="auto" w:fill="E1DFDD"/>
    </w:rPr>
  </w:style>
  <w:style w:type="character" w:customStyle="1" w:styleId="Mention3">
    <w:name w:val="Mention3"/>
    <w:basedOn w:val="DefaultParagraphFont"/>
    <w:uiPriority w:val="99"/>
    <w:unhideWhenUsed/>
    <w:rsid w:val="00AA6B1C"/>
    <w:rPr>
      <w:color w:val="2B579A"/>
      <w:shd w:val="clear" w:color="auto" w:fill="E1DFDD"/>
    </w:rPr>
  </w:style>
  <w:style w:type="character" w:styleId="Hyperlink">
    <w:name w:val="Hyperlink"/>
    <w:basedOn w:val="DefaultParagraphFont"/>
    <w:uiPriority w:val="99"/>
    <w:unhideWhenUsed/>
    <w:rsid w:val="008D3247"/>
    <w:rPr>
      <w:color w:val="0000FF" w:themeColor="hyperlink"/>
      <w:u w:val="single"/>
    </w:rPr>
  </w:style>
  <w:style w:type="character" w:customStyle="1" w:styleId="UnresolvedMention">
    <w:name w:val="Unresolved Mention"/>
    <w:basedOn w:val="DefaultParagraphFont"/>
    <w:uiPriority w:val="99"/>
    <w:semiHidden/>
    <w:unhideWhenUsed/>
    <w:rsid w:val="008D3247"/>
    <w:rPr>
      <w:color w:val="605E5C"/>
      <w:shd w:val="clear" w:color="auto" w:fill="E1DFDD"/>
    </w:rPr>
  </w:style>
  <w:style w:type="paragraph" w:styleId="Header">
    <w:name w:val="header"/>
    <w:basedOn w:val="Normal"/>
    <w:link w:val="HeaderChar"/>
    <w:uiPriority w:val="99"/>
    <w:unhideWhenUsed/>
    <w:rsid w:val="00594088"/>
    <w:pPr>
      <w:tabs>
        <w:tab w:val="center" w:pos="4535"/>
        <w:tab w:val="right" w:pos="9071"/>
      </w:tabs>
      <w:spacing w:before="0"/>
    </w:pPr>
  </w:style>
  <w:style w:type="character" w:customStyle="1" w:styleId="HeaderChar">
    <w:name w:val="Header Char"/>
    <w:basedOn w:val="DefaultParagraphFont"/>
    <w:link w:val="Header"/>
    <w:uiPriority w:val="99"/>
    <w:rsid w:val="00594088"/>
    <w:rPr>
      <w:rFonts w:ascii="Times New Roman" w:hAnsi="Times New Roman" w:cs="Times New Roman"/>
      <w:sz w:val="24"/>
      <w:lang w:val="es-ES_tradnl"/>
    </w:rPr>
  </w:style>
  <w:style w:type="paragraph" w:styleId="Footer">
    <w:name w:val="footer"/>
    <w:basedOn w:val="Normal"/>
    <w:link w:val="FooterChar"/>
    <w:uiPriority w:val="99"/>
    <w:unhideWhenUsed/>
    <w:rsid w:val="0059408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94088"/>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94088"/>
    <w:pPr>
      <w:tabs>
        <w:tab w:val="center" w:pos="7285"/>
        <w:tab w:val="right" w:pos="14003"/>
      </w:tabs>
      <w:spacing w:before="0"/>
    </w:pPr>
  </w:style>
  <w:style w:type="paragraph" w:customStyle="1" w:styleId="FooterLandscape">
    <w:name w:val="FooterLandscape"/>
    <w:basedOn w:val="Normal"/>
    <w:rsid w:val="0059408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FootnotesymbolCharCharCharChar"/>
    <w:uiPriority w:val="99"/>
    <w:semiHidden/>
    <w:unhideWhenUsed/>
    <w:rPr>
      <w:shd w:val="clear" w:color="auto" w:fill="auto"/>
      <w:vertAlign w:val="superscript"/>
    </w:rPr>
  </w:style>
  <w:style w:type="paragraph" w:customStyle="1" w:styleId="HeaderSensitivity">
    <w:name w:val="Header Sensitivity"/>
    <w:basedOn w:val="Normal"/>
    <w:rsid w:val="0059408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94088"/>
    <w:pPr>
      <w:spacing w:before="0"/>
      <w:jc w:val="right"/>
    </w:pPr>
    <w:rPr>
      <w:sz w:val="28"/>
    </w:rPr>
  </w:style>
  <w:style w:type="paragraph" w:customStyle="1" w:styleId="FooterSensitivity">
    <w:name w:val="Footer Sensitivity"/>
    <w:basedOn w:val="Normal"/>
    <w:rsid w:val="0059408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Tiret5">
    <w:name w:val="Tiret 5"/>
    <w:basedOn w:val="Point5"/>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
      </w:numPr>
    </w:pPr>
  </w:style>
  <w:style w:type="paragraph" w:customStyle="1" w:styleId="NumPar2">
    <w:name w:val="NumPar 2"/>
    <w:basedOn w:val="Normal"/>
    <w:next w:val="Text1"/>
    <w:pPr>
      <w:numPr>
        <w:ilvl w:val="1"/>
        <w:numId w:val="12"/>
      </w:numPr>
    </w:pPr>
  </w:style>
  <w:style w:type="paragraph" w:customStyle="1" w:styleId="NumPar3">
    <w:name w:val="NumPar 3"/>
    <w:basedOn w:val="Normal"/>
    <w:next w:val="Text1"/>
    <w:pPr>
      <w:numPr>
        <w:ilvl w:val="2"/>
        <w:numId w:val="12"/>
      </w:numPr>
    </w:pPr>
  </w:style>
  <w:style w:type="paragraph" w:customStyle="1" w:styleId="NumPar4">
    <w:name w:val="NumPar 4"/>
    <w:basedOn w:val="Normal"/>
    <w:next w:val="Text1"/>
    <w:pPr>
      <w:numPr>
        <w:ilvl w:val="3"/>
        <w:numId w:val="12"/>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
      </w:numPr>
    </w:pPr>
  </w:style>
  <w:style w:type="paragraph" w:customStyle="1" w:styleId="Point1number">
    <w:name w:val="Point 1 (number)"/>
    <w:basedOn w:val="Normal"/>
    <w:pPr>
      <w:numPr>
        <w:ilvl w:val="2"/>
        <w:numId w:val="14"/>
      </w:numPr>
    </w:pPr>
  </w:style>
  <w:style w:type="paragraph" w:customStyle="1" w:styleId="Point2number">
    <w:name w:val="Point 2 (number)"/>
    <w:basedOn w:val="Normal"/>
    <w:pPr>
      <w:numPr>
        <w:ilvl w:val="4"/>
        <w:numId w:val="14"/>
      </w:numPr>
    </w:pPr>
  </w:style>
  <w:style w:type="paragraph" w:customStyle="1" w:styleId="Point3number">
    <w:name w:val="Point 3 (number)"/>
    <w:basedOn w:val="Normal"/>
    <w:pPr>
      <w:numPr>
        <w:ilvl w:val="6"/>
        <w:numId w:val="14"/>
      </w:numPr>
    </w:pPr>
  </w:style>
  <w:style w:type="paragraph" w:customStyle="1" w:styleId="Point0letter">
    <w:name w:val="Point 0 (letter)"/>
    <w:basedOn w:val="Normal"/>
    <w:pPr>
      <w:numPr>
        <w:ilvl w:val="1"/>
        <w:numId w:val="14"/>
      </w:numPr>
    </w:pPr>
  </w:style>
  <w:style w:type="paragraph" w:customStyle="1" w:styleId="Point1letter">
    <w:name w:val="Point 1 (letter)"/>
    <w:basedOn w:val="Normal"/>
    <w:pPr>
      <w:numPr>
        <w:ilvl w:val="3"/>
        <w:numId w:val="14"/>
      </w:numPr>
    </w:pPr>
  </w:style>
  <w:style w:type="paragraph" w:customStyle="1" w:styleId="Point2letter">
    <w:name w:val="Point 2 (letter)"/>
    <w:basedOn w:val="Normal"/>
    <w:pPr>
      <w:numPr>
        <w:ilvl w:val="5"/>
        <w:numId w:val="14"/>
      </w:numPr>
    </w:pPr>
  </w:style>
  <w:style w:type="paragraph" w:customStyle="1" w:styleId="Point3letter">
    <w:name w:val="Point 3 (letter)"/>
    <w:basedOn w:val="Normal"/>
    <w:pPr>
      <w:numPr>
        <w:ilvl w:val="7"/>
        <w:numId w:val="14"/>
      </w:numPr>
    </w:pPr>
  </w:style>
  <w:style w:type="paragraph" w:customStyle="1" w:styleId="Point4letter">
    <w:name w:val="Point 4 (letter)"/>
    <w:basedOn w:val="Normal"/>
    <w:pPr>
      <w:numPr>
        <w:ilvl w:val="8"/>
        <w:numId w:val="14"/>
      </w:numPr>
    </w:pPr>
  </w:style>
  <w:style w:type="paragraph" w:customStyle="1" w:styleId="Bullet0">
    <w:name w:val="Bullet 0"/>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036">
      <w:bodyDiv w:val="1"/>
      <w:marLeft w:val="0"/>
      <w:marRight w:val="0"/>
      <w:marTop w:val="0"/>
      <w:marBottom w:val="0"/>
      <w:divBdr>
        <w:top w:val="none" w:sz="0" w:space="0" w:color="auto"/>
        <w:left w:val="none" w:sz="0" w:space="0" w:color="auto"/>
        <w:bottom w:val="none" w:sz="0" w:space="0" w:color="auto"/>
        <w:right w:val="none" w:sz="0" w:space="0" w:color="auto"/>
      </w:divBdr>
    </w:div>
    <w:div w:id="89353362">
      <w:bodyDiv w:val="1"/>
      <w:marLeft w:val="0"/>
      <w:marRight w:val="0"/>
      <w:marTop w:val="0"/>
      <w:marBottom w:val="0"/>
      <w:divBdr>
        <w:top w:val="none" w:sz="0" w:space="0" w:color="auto"/>
        <w:left w:val="none" w:sz="0" w:space="0" w:color="auto"/>
        <w:bottom w:val="none" w:sz="0" w:space="0" w:color="auto"/>
        <w:right w:val="none" w:sz="0" w:space="0" w:color="auto"/>
      </w:divBdr>
    </w:div>
    <w:div w:id="282464390">
      <w:bodyDiv w:val="1"/>
      <w:marLeft w:val="0"/>
      <w:marRight w:val="0"/>
      <w:marTop w:val="0"/>
      <w:marBottom w:val="0"/>
      <w:divBdr>
        <w:top w:val="none" w:sz="0" w:space="0" w:color="auto"/>
        <w:left w:val="none" w:sz="0" w:space="0" w:color="auto"/>
        <w:bottom w:val="none" w:sz="0" w:space="0" w:color="auto"/>
        <w:right w:val="none" w:sz="0" w:space="0" w:color="auto"/>
      </w:divBdr>
    </w:div>
    <w:div w:id="333649544">
      <w:bodyDiv w:val="1"/>
      <w:marLeft w:val="0"/>
      <w:marRight w:val="0"/>
      <w:marTop w:val="0"/>
      <w:marBottom w:val="0"/>
      <w:divBdr>
        <w:top w:val="none" w:sz="0" w:space="0" w:color="auto"/>
        <w:left w:val="none" w:sz="0" w:space="0" w:color="auto"/>
        <w:bottom w:val="none" w:sz="0" w:space="0" w:color="auto"/>
        <w:right w:val="none" w:sz="0" w:space="0" w:color="auto"/>
      </w:divBdr>
    </w:div>
    <w:div w:id="632560366">
      <w:bodyDiv w:val="1"/>
      <w:marLeft w:val="0"/>
      <w:marRight w:val="0"/>
      <w:marTop w:val="0"/>
      <w:marBottom w:val="0"/>
      <w:divBdr>
        <w:top w:val="none" w:sz="0" w:space="0" w:color="auto"/>
        <w:left w:val="none" w:sz="0" w:space="0" w:color="auto"/>
        <w:bottom w:val="none" w:sz="0" w:space="0" w:color="auto"/>
        <w:right w:val="none" w:sz="0" w:space="0" w:color="auto"/>
      </w:divBdr>
    </w:div>
    <w:div w:id="940067829">
      <w:bodyDiv w:val="1"/>
      <w:marLeft w:val="0"/>
      <w:marRight w:val="0"/>
      <w:marTop w:val="0"/>
      <w:marBottom w:val="0"/>
      <w:divBdr>
        <w:top w:val="none" w:sz="0" w:space="0" w:color="auto"/>
        <w:left w:val="none" w:sz="0" w:space="0" w:color="auto"/>
        <w:bottom w:val="none" w:sz="0" w:space="0" w:color="auto"/>
        <w:right w:val="none" w:sz="0" w:space="0" w:color="auto"/>
      </w:divBdr>
    </w:div>
    <w:div w:id="1458111259">
      <w:bodyDiv w:val="1"/>
      <w:marLeft w:val="0"/>
      <w:marRight w:val="0"/>
      <w:marTop w:val="0"/>
      <w:marBottom w:val="0"/>
      <w:divBdr>
        <w:top w:val="none" w:sz="0" w:space="0" w:color="auto"/>
        <w:left w:val="none" w:sz="0" w:space="0" w:color="auto"/>
        <w:bottom w:val="none" w:sz="0" w:space="0" w:color="auto"/>
        <w:right w:val="none" w:sz="0" w:space="0" w:color="auto"/>
      </w:divBdr>
    </w:div>
    <w:div w:id="1623459680">
      <w:bodyDiv w:val="1"/>
      <w:marLeft w:val="0"/>
      <w:marRight w:val="0"/>
      <w:marTop w:val="0"/>
      <w:marBottom w:val="0"/>
      <w:divBdr>
        <w:top w:val="none" w:sz="0" w:space="0" w:color="auto"/>
        <w:left w:val="none" w:sz="0" w:space="0" w:color="auto"/>
        <w:bottom w:val="none" w:sz="0" w:space="0" w:color="auto"/>
        <w:right w:val="none" w:sz="0" w:space="0" w:color="auto"/>
      </w:divBdr>
    </w:div>
    <w:div w:id="1761559513">
      <w:bodyDiv w:val="1"/>
      <w:marLeft w:val="0"/>
      <w:marRight w:val="0"/>
      <w:marTop w:val="0"/>
      <w:marBottom w:val="0"/>
      <w:divBdr>
        <w:top w:val="none" w:sz="0" w:space="0" w:color="auto"/>
        <w:left w:val="none" w:sz="0" w:space="0" w:color="auto"/>
        <w:bottom w:val="none" w:sz="0" w:space="0" w:color="auto"/>
        <w:right w:val="none" w:sz="0" w:space="0" w:color="auto"/>
      </w:divBdr>
    </w:div>
    <w:div w:id="1937712499">
      <w:bodyDiv w:val="1"/>
      <w:marLeft w:val="0"/>
      <w:marRight w:val="0"/>
      <w:marTop w:val="0"/>
      <w:marBottom w:val="0"/>
      <w:divBdr>
        <w:top w:val="none" w:sz="0" w:space="0" w:color="auto"/>
        <w:left w:val="none" w:sz="0" w:space="0" w:color="auto"/>
        <w:bottom w:val="none" w:sz="0" w:space="0" w:color="auto"/>
        <w:right w:val="none" w:sz="0" w:space="0" w:color="auto"/>
      </w:divBdr>
    </w:div>
    <w:div w:id="2000185013">
      <w:bodyDiv w:val="1"/>
      <w:marLeft w:val="0"/>
      <w:marRight w:val="0"/>
      <w:marTop w:val="0"/>
      <w:marBottom w:val="0"/>
      <w:divBdr>
        <w:top w:val="none" w:sz="0" w:space="0" w:color="auto"/>
        <w:left w:val="none" w:sz="0" w:space="0" w:color="auto"/>
        <w:bottom w:val="none" w:sz="0" w:space="0" w:color="auto"/>
        <w:right w:val="none" w:sz="0" w:space="0" w:color="auto"/>
      </w:divBdr>
    </w:div>
    <w:div w:id="21027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5" ma:contentTypeDescription="Create a new document." ma:contentTypeScope="" ma:versionID="91b81fdffbaf9f377de5f194477212eb">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28d1c81336514fcbe64cb4dc49781d4f"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af8c89d-4332-4d32-84a3-abf4120a8008">
      <UserInfo>
        <DisplayName>WOOLFSON Charlotte (GROW)</DisplayName>
        <AccountId>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9B29D-464A-4A5F-8AB6-FD231BB7F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CD350-90C4-4C18-983D-B00F1EA6F7F7}">
  <ds:schemaRefs>
    <ds:schemaRef ds:uri="http://schemas.microsoft.com/office/2006/metadata/properties"/>
    <ds:schemaRef ds:uri="http://schemas.microsoft.com/office/infopath/2007/PartnerControls"/>
    <ds:schemaRef ds:uri="4af8c89d-4332-4d32-84a3-abf4120a8008"/>
  </ds:schemaRefs>
</ds:datastoreItem>
</file>

<file path=customXml/itemProps3.xml><?xml version="1.0" encoding="utf-8"?>
<ds:datastoreItem xmlns:ds="http://schemas.openxmlformats.org/officeDocument/2006/customXml" ds:itemID="{08BDF510-4BED-4A49-B2E4-3FF54B5F6A41}">
  <ds:schemaRefs>
    <ds:schemaRef ds:uri="http://schemas.microsoft.com/sharepoint/v3/contenttype/forms"/>
  </ds:schemaRefs>
</ds:datastoreItem>
</file>

<file path=customXml/itemProps4.xml><?xml version="1.0" encoding="utf-8"?>
<ds:datastoreItem xmlns:ds="http://schemas.openxmlformats.org/officeDocument/2006/customXml" ds:itemID="{88A4DD8F-E089-411C-AE08-D4D97EFB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19</TotalTime>
  <Pages>10</Pages>
  <Words>2608</Words>
  <Characters>14631</Characters>
  <Application>Microsoft Office Word</Application>
  <DocSecurity>0</DocSecurity>
  <Lines>318</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57</cp:revision>
  <dcterms:created xsi:type="dcterms:W3CDTF">2023-08-31T09:19:00Z</dcterms:created>
  <dcterms:modified xsi:type="dcterms:W3CDTF">2023-09-04T15:12:00Z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2023-06-05T14:44:39Z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3946fbb5-62a6-4db2-854f-e0daeca76a38</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ContentTypeId">
    <vt:lpwstr>0x0101007697B7BFF882854783B2AFEB81A9CCE9</vt:lpwstr>
  </property>
  <property fmtid="{D5CDD505-2E9C-101B-9397-08002B2CF9AE}" pid="18" name="DQCStatus">
    <vt:lpwstr>Green (DQC version 03)</vt:lpwstr>
  </property>
</Properties>
</file>