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B85E4" w14:textId="0102C8B8" w:rsidR="0029533F" w:rsidRPr="00516C0C" w:rsidRDefault="002E24B6" w:rsidP="002E24B6">
      <w:pPr>
        <w:pStyle w:val="Pagedecouverture"/>
        <w:rPr>
          <w:noProof/>
        </w:rPr>
      </w:pPr>
      <w:r>
        <w:rPr>
          <w:noProof/>
        </w:rPr>
        <w:pict w14:anchorId="7EF2E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0131A543-1696-4970-BCBA-005299697366" style="width:455.25pt;height:483pt">
            <v:imagedata r:id="rId11" o:title=""/>
          </v:shape>
        </w:pict>
      </w:r>
    </w:p>
    <w:p w14:paraId="0BCC4FD4" w14:textId="77777777" w:rsidR="00A2210E" w:rsidRPr="00516C0C" w:rsidRDefault="00A2210E" w:rsidP="00FA3D6F">
      <w:pPr>
        <w:rPr>
          <w:noProof/>
        </w:rPr>
        <w:sectPr w:rsidR="00A2210E" w:rsidRPr="00516C0C" w:rsidSect="002E24B6">
          <w:footerReference w:type="default" r:id="rId12"/>
          <w:pgSz w:w="11907" w:h="16839"/>
          <w:pgMar w:top="1134" w:right="1417" w:bottom="1134" w:left="1417" w:header="709" w:footer="709" w:gutter="0"/>
          <w:pgNumType w:start="0"/>
          <w:cols w:space="720"/>
          <w:docGrid w:linePitch="360"/>
        </w:sectPr>
      </w:pPr>
    </w:p>
    <w:p w14:paraId="7C02D963" w14:textId="77777777" w:rsidR="00037B74" w:rsidRPr="00516C0C" w:rsidRDefault="00037B74" w:rsidP="00037B74">
      <w:pPr>
        <w:pStyle w:val="Exposdesmotifstitre"/>
        <w:rPr>
          <w:noProof/>
        </w:rPr>
      </w:pPr>
      <w:bookmarkStart w:id="0" w:name="_GoBack"/>
      <w:bookmarkEnd w:id="0"/>
      <w:r w:rsidRPr="00516C0C">
        <w:rPr>
          <w:noProof/>
        </w:rPr>
        <w:lastRenderedPageBreak/>
        <w:t>BEGRÜNDUNG</w:t>
      </w:r>
    </w:p>
    <w:p w14:paraId="7537646F" w14:textId="77777777" w:rsidR="00037B74" w:rsidRPr="00516C0C" w:rsidRDefault="00037B74" w:rsidP="00037B74">
      <w:pPr>
        <w:pStyle w:val="ManualHeading1"/>
        <w:rPr>
          <w:noProof/>
        </w:rPr>
      </w:pPr>
      <w:r w:rsidRPr="00516C0C">
        <w:rPr>
          <w:noProof/>
        </w:rPr>
        <w:t>1.</w:t>
      </w:r>
      <w:r w:rsidRPr="00516C0C">
        <w:rPr>
          <w:noProof/>
        </w:rPr>
        <w:tab/>
        <w:t>KONTEXT DES VORSCHLAGS</w:t>
      </w:r>
    </w:p>
    <w:p w14:paraId="01682DB6" w14:textId="4B88C2CA" w:rsidR="00636E1F" w:rsidRPr="00516C0C" w:rsidRDefault="00636E1F" w:rsidP="004D6F66">
      <w:pPr>
        <w:rPr>
          <w:noProof/>
        </w:rPr>
      </w:pPr>
      <w:r w:rsidRPr="00516C0C">
        <w:rPr>
          <w:noProof/>
        </w:rPr>
        <w:t xml:space="preserve">Siehe </w:t>
      </w:r>
      <w:bookmarkStart w:id="1" w:name="_Hlk144292538"/>
      <w:r w:rsidRPr="00516C0C">
        <w:rPr>
          <w:noProof/>
        </w:rPr>
        <w:t>Richtlinie COM(EU) 2023/516</w:t>
      </w:r>
      <w:bookmarkEnd w:id="1"/>
      <w:r w:rsidRPr="00516C0C">
        <w:rPr>
          <w:noProof/>
        </w:rPr>
        <w:t>.</w:t>
      </w:r>
    </w:p>
    <w:p w14:paraId="30912118" w14:textId="77777777" w:rsidR="00037B74" w:rsidRPr="00516C0C" w:rsidRDefault="00037B74" w:rsidP="00037B74">
      <w:pPr>
        <w:pStyle w:val="ManualHeading1"/>
        <w:rPr>
          <w:noProof/>
        </w:rPr>
      </w:pPr>
      <w:r w:rsidRPr="00516C0C">
        <w:rPr>
          <w:noProof/>
        </w:rPr>
        <w:t>2.</w:t>
      </w:r>
      <w:r w:rsidRPr="00516C0C">
        <w:rPr>
          <w:noProof/>
        </w:rPr>
        <w:tab/>
        <w:t>RECHTSGRUNDLAGE, SUBSIDIARITÄT UND VERHÄLTNISMÄẞIGKEIT</w:t>
      </w:r>
    </w:p>
    <w:p w14:paraId="4AAF54E2" w14:textId="77777777" w:rsidR="00037B74" w:rsidRPr="00516C0C" w:rsidRDefault="00037B74" w:rsidP="00037B74">
      <w:pPr>
        <w:pStyle w:val="ManualHeading2"/>
        <w:rPr>
          <w:rFonts w:eastAsia="Arial Unicode MS"/>
          <w:noProof/>
          <w:u w:color="000000"/>
          <w:bdr w:val="nil"/>
        </w:rPr>
      </w:pPr>
      <w:r w:rsidRPr="00516C0C">
        <w:rPr>
          <w:noProof/>
          <w:u w:color="000000"/>
          <w:bdr w:val="nil"/>
        </w:rPr>
        <w:t>•</w:t>
      </w:r>
      <w:r w:rsidRPr="00516C0C">
        <w:rPr>
          <w:noProof/>
        </w:rPr>
        <w:tab/>
      </w:r>
      <w:r w:rsidRPr="00516C0C">
        <w:rPr>
          <w:noProof/>
          <w:u w:color="000000"/>
          <w:bdr w:val="nil"/>
        </w:rPr>
        <w:t>Rechtsgrundlage</w:t>
      </w:r>
    </w:p>
    <w:p w14:paraId="2C072B2B" w14:textId="77777777" w:rsidR="00D86167" w:rsidRPr="00516C0C" w:rsidRDefault="00D86167" w:rsidP="00D86167">
      <w:pPr>
        <w:rPr>
          <w:noProof/>
        </w:rPr>
      </w:pPr>
      <w:r w:rsidRPr="00516C0C">
        <w:rPr>
          <w:noProof/>
        </w:rPr>
        <w:t>Dieser Vorschlag stützt sich auf Artikel 21 Absatz 2 AEUV und Artikel 114 AEUV.</w:t>
      </w:r>
    </w:p>
    <w:p w14:paraId="47A32FF5" w14:textId="2CA681D0" w:rsidR="5992F2D0" w:rsidRPr="00516C0C" w:rsidRDefault="5992F2D0">
      <w:pPr>
        <w:rPr>
          <w:noProof/>
        </w:rPr>
      </w:pPr>
      <w:r w:rsidRPr="00516C0C">
        <w:rPr>
          <w:noProof/>
        </w:rPr>
        <w:t>Mit diesem Vorschlag wird die Verordnung (EU) Nr. 1024/2012 des Europäischen Parlaments und des Rates vom 25. Oktober 2012 über die Verwaltungszusammenarbeit mithilfe des Binnenmarkt-Informationssystems und zur Aufhebung der Entscheidung 2008/49/EG der Kommission</w:t>
      </w:r>
      <w:r w:rsidRPr="00516C0C">
        <w:rPr>
          <w:rStyle w:val="FootnoteReference"/>
          <w:noProof/>
        </w:rPr>
        <w:footnoteReference w:id="2"/>
      </w:r>
      <w:r w:rsidRPr="00516C0C">
        <w:rPr>
          <w:noProof/>
        </w:rPr>
        <w:t xml:space="preserve"> (im Folgenden „IMI-Verordnung“) geändert, die sich auf Artikel 114 AEUV stützt.</w:t>
      </w:r>
    </w:p>
    <w:p w14:paraId="312EAE55" w14:textId="1242EC01" w:rsidR="004E09AB" w:rsidRPr="00516C0C" w:rsidRDefault="00D86167" w:rsidP="092C815B">
      <w:pPr>
        <w:rPr>
          <w:noProof/>
        </w:rPr>
      </w:pPr>
      <w:r w:rsidRPr="00516C0C">
        <w:rPr>
          <w:noProof/>
        </w:rPr>
        <w:t>Mit diesem Vorschlag wird auch die Verordnung (EU) 2018/1724 des Europäischen Parlaments und des Rates vom 2. Oktober 2018 über die Einrichtung eines einheitlichen digitalen Zugangstors zu Informationen, Verfahren, Hilfs- und Problemlösungsdiensten und zur Änderung der Verordnung (EU) Nr. 1024/2012</w:t>
      </w:r>
      <w:r w:rsidRPr="00516C0C">
        <w:rPr>
          <w:rStyle w:val="FootnoteReference"/>
          <w:noProof/>
        </w:rPr>
        <w:footnoteReference w:id="3"/>
      </w:r>
      <w:r w:rsidRPr="00516C0C">
        <w:rPr>
          <w:noProof/>
        </w:rPr>
        <w:t xml:space="preserve"> geändert, die sich auf Artikel 21 Absatz 2 Artikel 114 Absatz 1 AEUV stützt. </w:t>
      </w:r>
    </w:p>
    <w:p w14:paraId="1820DF8C" w14:textId="0AA3C0EE" w:rsidR="00BF6B5E" w:rsidRPr="00516C0C" w:rsidRDefault="00BF6B5E" w:rsidP="092C815B">
      <w:pPr>
        <w:rPr>
          <w:noProof/>
        </w:rPr>
      </w:pPr>
      <w:r w:rsidRPr="00516C0C">
        <w:rPr>
          <w:noProof/>
        </w:rPr>
        <w:t xml:space="preserve">Was Artikel 114 AEUV betrifft, so ist darin festgelegt, dass das Europäische Parlament und der Rat Maßnahmen zur Angleichung der Rechts- und Verwaltungsvorschriften der Mitgliedstaaten, welche die Errichtung und das Funktionieren des Binnenmarkts zum Gegenstand haben, erlassen. Da dieser Vorschlag darauf abzielt, die Verordnung (EU) Nr. 1024/2012 über die Errichtung des IMI zu ändern, die sich unmittelbar auf das Funktionieren des Binnenmarkts auswirkt, indem die Zusammenarbeit zwischen den Mitgliedstaaten erleichtert und Unterschiede zwischen den Bestimmungen der Mitgliedstaaten, die die Grundfreiheiten behindern, beseitigt werden, ist Artikel 114 AEUV die geeignete Rechtsgrundlage. </w:t>
      </w:r>
    </w:p>
    <w:p w14:paraId="6B408D3F" w14:textId="65EB7CEA" w:rsidR="004E09AB" w:rsidRPr="00516C0C" w:rsidRDefault="00E755EA" w:rsidP="00D86167">
      <w:pPr>
        <w:rPr>
          <w:noProof/>
        </w:rPr>
      </w:pPr>
      <w:r w:rsidRPr="00516C0C">
        <w:rPr>
          <w:noProof/>
        </w:rPr>
        <w:t xml:space="preserve">Da mit diesem Vorschlag der Anwendungsbereich der Verordnung (EU) 2018/1724 präzisiert und geändert werden soll, um Bürgern, Unternehmen und juristischen Personen, bei denen es sich nicht um Unternehmen handelt, die ihre aus dem Unionsrecht hergeleiteten Rechte im Bereich Binnenmarkt im Sinne von Artikel 26 Absatz 2 AEUV ausüben oder ausüben wollen, einen besseren Online-Zugang zu Informationen und Verfahren zu ermöglichen, wird er den Unionsbürgern die Ausübung des Rechts, sich im Hoheitsgebiet der Mitgliedstaaten frei zu bewegen und aufzuhalten, erleichtern. Daher sollte er sich auf Artikel 21 Absatz 2 AEUV stützen. </w:t>
      </w:r>
    </w:p>
    <w:p w14:paraId="6B7F9935" w14:textId="77777777" w:rsidR="00037B74" w:rsidRPr="00516C0C" w:rsidRDefault="00037B74" w:rsidP="00037B74">
      <w:pPr>
        <w:pStyle w:val="ManualHeading2"/>
        <w:rPr>
          <w:rFonts w:eastAsia="Arial Unicode MS"/>
          <w:noProof/>
          <w:u w:color="000000"/>
          <w:bdr w:val="nil"/>
        </w:rPr>
      </w:pPr>
      <w:r w:rsidRPr="00516C0C">
        <w:rPr>
          <w:noProof/>
          <w:u w:color="000000"/>
          <w:bdr w:val="nil"/>
        </w:rPr>
        <w:t>•</w:t>
      </w:r>
      <w:r w:rsidRPr="00516C0C">
        <w:rPr>
          <w:noProof/>
        </w:rPr>
        <w:tab/>
      </w:r>
      <w:r w:rsidRPr="00516C0C">
        <w:rPr>
          <w:noProof/>
          <w:u w:color="000000"/>
          <w:bdr w:val="nil"/>
        </w:rPr>
        <w:t xml:space="preserve">Subsidiarität (bei nicht ausschließlicher Zuständigkeit) </w:t>
      </w:r>
    </w:p>
    <w:p w14:paraId="53059EB5" w14:textId="1C5319BF" w:rsidR="004D6F66" w:rsidRPr="00516C0C" w:rsidRDefault="004D6F66" w:rsidP="00E40FBC">
      <w:pPr>
        <w:rPr>
          <w:noProof/>
        </w:rPr>
      </w:pPr>
      <w:r w:rsidRPr="00516C0C">
        <w:rPr>
          <w:noProof/>
        </w:rPr>
        <w:t>Siehe Richtlinie COM(EU) 2023/516.</w:t>
      </w:r>
    </w:p>
    <w:p w14:paraId="420BC618" w14:textId="77777777" w:rsidR="00037B74" w:rsidRPr="00516C0C" w:rsidRDefault="00037B74" w:rsidP="00037B74">
      <w:pPr>
        <w:pStyle w:val="ManualHeading2"/>
        <w:rPr>
          <w:rFonts w:eastAsia="Arial Unicode MS"/>
          <w:noProof/>
          <w:u w:color="000000"/>
          <w:bdr w:val="nil"/>
        </w:rPr>
      </w:pPr>
      <w:r w:rsidRPr="00516C0C">
        <w:rPr>
          <w:noProof/>
          <w:u w:color="000000"/>
          <w:bdr w:val="nil"/>
        </w:rPr>
        <w:t>•</w:t>
      </w:r>
      <w:r w:rsidRPr="00516C0C">
        <w:rPr>
          <w:noProof/>
        </w:rPr>
        <w:tab/>
      </w:r>
      <w:r w:rsidRPr="00516C0C">
        <w:rPr>
          <w:noProof/>
          <w:u w:color="000000"/>
          <w:bdr w:val="nil"/>
        </w:rPr>
        <w:t>Verhältnismäßigkeit</w:t>
      </w:r>
    </w:p>
    <w:p w14:paraId="7485A8E1" w14:textId="778E69B7" w:rsidR="00854D99" w:rsidRPr="00516C0C" w:rsidRDefault="00854D99" w:rsidP="00E40FBC">
      <w:pPr>
        <w:rPr>
          <w:noProof/>
        </w:rPr>
      </w:pPr>
      <w:r w:rsidRPr="00516C0C">
        <w:rPr>
          <w:noProof/>
        </w:rPr>
        <w:t>Siehe Richtlinie COM(EU) 2023/516.</w:t>
      </w:r>
    </w:p>
    <w:p w14:paraId="4662339F" w14:textId="77777777" w:rsidR="00037B74" w:rsidRPr="00516C0C" w:rsidRDefault="00037B74" w:rsidP="00037B74">
      <w:pPr>
        <w:pStyle w:val="ManualHeading2"/>
        <w:rPr>
          <w:rFonts w:eastAsia="Arial Unicode MS"/>
          <w:noProof/>
          <w:u w:color="000000"/>
          <w:bdr w:val="nil"/>
        </w:rPr>
      </w:pPr>
      <w:r w:rsidRPr="00516C0C">
        <w:rPr>
          <w:noProof/>
          <w:u w:color="000000"/>
          <w:bdr w:val="nil"/>
        </w:rPr>
        <w:t>•</w:t>
      </w:r>
      <w:r w:rsidRPr="00516C0C">
        <w:rPr>
          <w:noProof/>
        </w:rPr>
        <w:tab/>
      </w:r>
      <w:r w:rsidRPr="00516C0C">
        <w:rPr>
          <w:noProof/>
          <w:u w:color="000000"/>
          <w:bdr w:val="nil"/>
        </w:rPr>
        <w:t>Wahl des Instruments</w:t>
      </w:r>
    </w:p>
    <w:p w14:paraId="52E9C492" w14:textId="5FACD524" w:rsidR="00510E40" w:rsidRPr="00516C0C" w:rsidRDefault="00E40FBC" w:rsidP="002A40DB">
      <w:pPr>
        <w:rPr>
          <w:noProof/>
        </w:rPr>
      </w:pPr>
      <w:r w:rsidRPr="00516C0C">
        <w:rPr>
          <w:noProof/>
        </w:rPr>
        <w:t>In Artikel 114 AEUV ist festgelegt, dass das Europäische Parlament und der Rat Maßnahmen zur Angleichung der Rechts- und Verwaltungsvorschriften der Mitgliedstaaten, welche die Errichtung und das Funktionieren des Binnenmarkts zum Gegenstand haben, erlassen.</w:t>
      </w:r>
    </w:p>
    <w:p w14:paraId="7A8C77DA" w14:textId="77777777" w:rsidR="00E40FBC" w:rsidRPr="00516C0C" w:rsidRDefault="00E40FBC" w:rsidP="002A40DB">
      <w:pPr>
        <w:rPr>
          <w:noProof/>
        </w:rPr>
      </w:pPr>
      <w:r w:rsidRPr="00516C0C">
        <w:rPr>
          <w:noProof/>
        </w:rPr>
        <w:t>Da mit diesem Vorschlag zwei Verordnungen geändert werden würden, ist eine Verordnung das geeignete Rechtsinstrument.</w:t>
      </w:r>
    </w:p>
    <w:p w14:paraId="1D17C019" w14:textId="77777777" w:rsidR="00037B74" w:rsidRPr="00516C0C" w:rsidRDefault="00037B74" w:rsidP="00037B74">
      <w:pPr>
        <w:pStyle w:val="ManualHeading1"/>
        <w:rPr>
          <w:noProof/>
        </w:rPr>
      </w:pPr>
      <w:r w:rsidRPr="00516C0C">
        <w:rPr>
          <w:noProof/>
        </w:rPr>
        <w:t>3.</w:t>
      </w:r>
      <w:r w:rsidRPr="00516C0C">
        <w:rPr>
          <w:noProof/>
        </w:rPr>
        <w:tab/>
        <w:t>ERGEBNISSE DER EX-POST-BEWERTUNG, DER KONSULTATION DER INTERESSENTRÄGER UND DER FOLGENABSCHÄTZUNG</w:t>
      </w:r>
    </w:p>
    <w:p w14:paraId="33313242" w14:textId="77777777" w:rsidR="00037B74" w:rsidRPr="00516C0C" w:rsidRDefault="00037B74" w:rsidP="00037B74">
      <w:pPr>
        <w:pStyle w:val="ManualHeading2"/>
        <w:rPr>
          <w:rFonts w:eastAsia="Arial Unicode MS"/>
          <w:noProof/>
          <w:u w:color="000000"/>
          <w:bdr w:val="nil"/>
        </w:rPr>
      </w:pPr>
      <w:r w:rsidRPr="00516C0C">
        <w:rPr>
          <w:noProof/>
          <w:u w:color="000000"/>
          <w:bdr w:val="nil"/>
        </w:rPr>
        <w:t>•</w:t>
      </w:r>
      <w:r w:rsidRPr="00516C0C">
        <w:rPr>
          <w:noProof/>
        </w:rPr>
        <w:tab/>
      </w:r>
      <w:r w:rsidRPr="00516C0C">
        <w:rPr>
          <w:noProof/>
          <w:u w:color="000000"/>
          <w:bdr w:val="nil"/>
        </w:rPr>
        <w:t>Ex-post-Bewertung/Eignungsprüfungen bestehender Rechtsvorschriften</w:t>
      </w:r>
    </w:p>
    <w:p w14:paraId="7102EFE7" w14:textId="37224DC1" w:rsidR="00E73C30" w:rsidRPr="00516C0C" w:rsidRDefault="00E73C30" w:rsidP="00FE4C3F">
      <w:pPr>
        <w:rPr>
          <w:noProof/>
        </w:rPr>
      </w:pPr>
      <w:r w:rsidRPr="00516C0C">
        <w:rPr>
          <w:noProof/>
        </w:rPr>
        <w:t>Siehe Richtlinie COM(EU) 2023/516.</w:t>
      </w:r>
    </w:p>
    <w:p w14:paraId="184EAF96" w14:textId="77777777" w:rsidR="00037B74" w:rsidRPr="00516C0C" w:rsidRDefault="00037B74" w:rsidP="00037B74">
      <w:pPr>
        <w:pStyle w:val="ManualHeading2"/>
        <w:rPr>
          <w:rFonts w:eastAsia="Arial Unicode MS"/>
          <w:noProof/>
          <w:u w:color="000000"/>
          <w:bdr w:val="nil"/>
        </w:rPr>
      </w:pPr>
      <w:r w:rsidRPr="00516C0C">
        <w:rPr>
          <w:noProof/>
          <w:u w:color="000000"/>
          <w:bdr w:val="nil"/>
        </w:rPr>
        <w:t>•</w:t>
      </w:r>
      <w:r w:rsidRPr="00516C0C">
        <w:rPr>
          <w:noProof/>
        </w:rPr>
        <w:tab/>
      </w:r>
      <w:r w:rsidRPr="00516C0C">
        <w:rPr>
          <w:noProof/>
          <w:u w:color="000000"/>
          <w:bdr w:val="nil"/>
        </w:rPr>
        <w:t>Konsultation der Interessenträger</w:t>
      </w:r>
    </w:p>
    <w:p w14:paraId="5B50240F" w14:textId="5D3E7054" w:rsidR="00FE4C3F" w:rsidRPr="00516C0C" w:rsidRDefault="00B1144F" w:rsidP="00FE4C3F">
      <w:pPr>
        <w:rPr>
          <w:noProof/>
        </w:rPr>
      </w:pPr>
      <w:r w:rsidRPr="00516C0C">
        <w:rPr>
          <w:noProof/>
        </w:rPr>
        <w:t>Siehe Richtlinie COM(EU) 2023/516.</w:t>
      </w:r>
    </w:p>
    <w:p w14:paraId="0FE5A5D0" w14:textId="77777777" w:rsidR="00037B74" w:rsidRPr="00516C0C" w:rsidRDefault="00037B74" w:rsidP="00037B74">
      <w:pPr>
        <w:pStyle w:val="ManualHeading2"/>
        <w:rPr>
          <w:rFonts w:eastAsia="Arial Unicode MS"/>
          <w:noProof/>
          <w:u w:color="000000"/>
          <w:bdr w:val="nil"/>
        </w:rPr>
      </w:pPr>
      <w:r w:rsidRPr="00516C0C">
        <w:rPr>
          <w:noProof/>
          <w:u w:color="000000"/>
          <w:bdr w:val="nil"/>
        </w:rPr>
        <w:t>•</w:t>
      </w:r>
      <w:r w:rsidRPr="00516C0C">
        <w:rPr>
          <w:noProof/>
        </w:rPr>
        <w:tab/>
      </w:r>
      <w:r w:rsidRPr="00516C0C">
        <w:rPr>
          <w:noProof/>
          <w:u w:color="000000"/>
          <w:bdr w:val="nil"/>
        </w:rPr>
        <w:t>Einholung und Nutzung von Expertenwissen</w:t>
      </w:r>
    </w:p>
    <w:p w14:paraId="526B1891" w14:textId="1FF62040" w:rsidR="00FE4C3F" w:rsidRPr="00516C0C" w:rsidRDefault="00FE4C3F" w:rsidP="00FE4C3F">
      <w:pPr>
        <w:rPr>
          <w:noProof/>
        </w:rPr>
      </w:pPr>
      <w:r w:rsidRPr="00516C0C">
        <w:rPr>
          <w:noProof/>
        </w:rPr>
        <w:t>Siehe Richtlinie COM(EU) 2023/516.</w:t>
      </w:r>
    </w:p>
    <w:p w14:paraId="50D97793" w14:textId="77777777" w:rsidR="00037B74" w:rsidRPr="00516C0C" w:rsidRDefault="00037B74" w:rsidP="00037B74">
      <w:pPr>
        <w:pStyle w:val="ManualHeading2"/>
        <w:rPr>
          <w:rFonts w:eastAsia="Arial Unicode MS"/>
          <w:noProof/>
          <w:u w:color="000000"/>
          <w:bdr w:val="nil"/>
        </w:rPr>
      </w:pPr>
      <w:r w:rsidRPr="00516C0C">
        <w:rPr>
          <w:noProof/>
          <w:u w:color="000000"/>
          <w:bdr w:val="nil"/>
        </w:rPr>
        <w:t>•</w:t>
      </w:r>
      <w:r w:rsidRPr="00516C0C">
        <w:rPr>
          <w:noProof/>
        </w:rPr>
        <w:tab/>
      </w:r>
      <w:r w:rsidRPr="00516C0C">
        <w:rPr>
          <w:noProof/>
          <w:u w:color="000000"/>
          <w:bdr w:val="nil"/>
        </w:rPr>
        <w:t>Folgenabschätzung</w:t>
      </w:r>
    </w:p>
    <w:p w14:paraId="7CD50D2D" w14:textId="535226A0" w:rsidR="00FE4C3F" w:rsidRPr="00516C0C" w:rsidRDefault="00FE4C3F" w:rsidP="00FE4C3F">
      <w:pPr>
        <w:rPr>
          <w:noProof/>
        </w:rPr>
      </w:pPr>
      <w:r w:rsidRPr="00516C0C">
        <w:rPr>
          <w:noProof/>
        </w:rPr>
        <w:t>Siehe Richtlinie COM(EU) 2023/516.</w:t>
      </w:r>
    </w:p>
    <w:p w14:paraId="5DF7A40F" w14:textId="77777777" w:rsidR="00037B74" w:rsidRPr="00516C0C" w:rsidRDefault="00037B74" w:rsidP="00037B74">
      <w:pPr>
        <w:pStyle w:val="ManualHeading2"/>
        <w:rPr>
          <w:rFonts w:eastAsia="Arial Unicode MS"/>
          <w:noProof/>
          <w:u w:color="000000"/>
          <w:bdr w:val="nil"/>
        </w:rPr>
      </w:pPr>
      <w:r w:rsidRPr="00516C0C">
        <w:rPr>
          <w:noProof/>
          <w:u w:color="000000"/>
          <w:bdr w:val="nil"/>
        </w:rPr>
        <w:t>•</w:t>
      </w:r>
      <w:r w:rsidRPr="00516C0C">
        <w:rPr>
          <w:noProof/>
        </w:rPr>
        <w:tab/>
      </w:r>
      <w:r w:rsidRPr="00516C0C">
        <w:rPr>
          <w:noProof/>
          <w:u w:color="000000"/>
          <w:bdr w:val="nil"/>
        </w:rPr>
        <w:t>Grundrechte</w:t>
      </w:r>
    </w:p>
    <w:p w14:paraId="487C3C42" w14:textId="4AC89467" w:rsidR="00FE4C3F" w:rsidRPr="00516C0C" w:rsidRDefault="00FE4C3F" w:rsidP="00FE4C3F">
      <w:pPr>
        <w:rPr>
          <w:noProof/>
        </w:rPr>
      </w:pPr>
      <w:r w:rsidRPr="00516C0C">
        <w:rPr>
          <w:noProof/>
        </w:rPr>
        <w:t>Siehe Richtlinie COM(EU) 2023/516.</w:t>
      </w:r>
    </w:p>
    <w:p w14:paraId="58FC0D13" w14:textId="77777777" w:rsidR="00037B74" w:rsidRPr="00516C0C" w:rsidRDefault="00037B74" w:rsidP="00037B74">
      <w:pPr>
        <w:pStyle w:val="ManualHeading1"/>
        <w:rPr>
          <w:noProof/>
        </w:rPr>
      </w:pPr>
      <w:r w:rsidRPr="00516C0C">
        <w:rPr>
          <w:noProof/>
        </w:rPr>
        <w:t>4.</w:t>
      </w:r>
      <w:r w:rsidRPr="00516C0C">
        <w:rPr>
          <w:noProof/>
        </w:rPr>
        <w:tab/>
        <w:t>AUSWIRKUNGEN AUF DEN HAUSHALT</w:t>
      </w:r>
    </w:p>
    <w:p w14:paraId="33722D5F" w14:textId="0347C8C0" w:rsidR="009B638A" w:rsidRPr="00516C0C" w:rsidRDefault="009B638A" w:rsidP="009B638A">
      <w:pPr>
        <w:rPr>
          <w:noProof/>
        </w:rPr>
      </w:pPr>
      <w:r w:rsidRPr="00516C0C">
        <w:rPr>
          <w:noProof/>
        </w:rPr>
        <w:t>Siehe Richtlinie COM(EU) 2023/516.</w:t>
      </w:r>
    </w:p>
    <w:p w14:paraId="2595FC7B" w14:textId="77777777" w:rsidR="00037B74" w:rsidRPr="00516C0C" w:rsidRDefault="00037B74" w:rsidP="00037B74">
      <w:pPr>
        <w:pStyle w:val="ManualHeading1"/>
        <w:rPr>
          <w:noProof/>
        </w:rPr>
      </w:pPr>
      <w:r w:rsidRPr="00516C0C">
        <w:rPr>
          <w:noProof/>
        </w:rPr>
        <w:t>5.</w:t>
      </w:r>
      <w:r w:rsidRPr="00516C0C">
        <w:rPr>
          <w:noProof/>
        </w:rPr>
        <w:tab/>
        <w:t>WEITERE ANGABEN</w:t>
      </w:r>
    </w:p>
    <w:p w14:paraId="7687A49A" w14:textId="15415125" w:rsidR="009B638A" w:rsidRPr="00516C0C" w:rsidRDefault="009B638A" w:rsidP="009B638A">
      <w:pPr>
        <w:rPr>
          <w:noProof/>
        </w:rPr>
      </w:pPr>
      <w:r w:rsidRPr="00516C0C">
        <w:rPr>
          <w:noProof/>
        </w:rPr>
        <w:t>Siehe Richtlinie COM(EU) 2023/516.</w:t>
      </w:r>
    </w:p>
    <w:p w14:paraId="354E3F90" w14:textId="77777777" w:rsidR="00037B74" w:rsidRPr="00516C0C" w:rsidRDefault="00037B74" w:rsidP="00037B74">
      <w:pPr>
        <w:pStyle w:val="ManualHeading2"/>
        <w:rPr>
          <w:rFonts w:eastAsia="Arial Unicode MS"/>
          <w:noProof/>
          <w:u w:color="000000"/>
          <w:bdr w:val="nil"/>
        </w:rPr>
      </w:pPr>
      <w:r w:rsidRPr="00516C0C">
        <w:rPr>
          <w:noProof/>
          <w:u w:color="000000"/>
          <w:bdr w:val="nil"/>
        </w:rPr>
        <w:t>•</w:t>
      </w:r>
      <w:r w:rsidRPr="00516C0C">
        <w:rPr>
          <w:noProof/>
        </w:rPr>
        <w:tab/>
      </w:r>
      <w:r w:rsidRPr="00516C0C">
        <w:rPr>
          <w:noProof/>
          <w:u w:color="000000"/>
          <w:bdr w:val="nil"/>
        </w:rPr>
        <w:t>Erläuternde Dokumente (bei Richtlinien)</w:t>
      </w:r>
    </w:p>
    <w:p w14:paraId="3CB60558" w14:textId="73CFCE13" w:rsidR="001359A9" w:rsidRPr="00516C0C" w:rsidRDefault="001359A9" w:rsidP="001359A9">
      <w:pPr>
        <w:rPr>
          <w:noProof/>
        </w:rPr>
      </w:pPr>
      <w:r w:rsidRPr="00516C0C">
        <w:rPr>
          <w:noProof/>
        </w:rPr>
        <w:t>Siehe Richtlinie COM(EU) 2023/516.</w:t>
      </w:r>
    </w:p>
    <w:p w14:paraId="55089B1F" w14:textId="77777777" w:rsidR="00037B74" w:rsidRPr="00516C0C" w:rsidRDefault="00037B74" w:rsidP="00037B74">
      <w:pPr>
        <w:pStyle w:val="ManualHeading2"/>
        <w:rPr>
          <w:rFonts w:eastAsia="Arial Unicode MS"/>
          <w:noProof/>
          <w:u w:color="000000"/>
          <w:bdr w:val="nil"/>
        </w:rPr>
      </w:pPr>
      <w:r w:rsidRPr="00516C0C">
        <w:rPr>
          <w:noProof/>
          <w:u w:color="000000"/>
          <w:bdr w:val="nil"/>
        </w:rPr>
        <w:t>•</w:t>
      </w:r>
      <w:r w:rsidRPr="00516C0C">
        <w:rPr>
          <w:noProof/>
        </w:rPr>
        <w:tab/>
      </w:r>
      <w:r w:rsidRPr="00516C0C">
        <w:rPr>
          <w:noProof/>
          <w:u w:color="000000"/>
          <w:bdr w:val="nil"/>
        </w:rPr>
        <w:t>Ausführliche Erläuterung der einzelnen Bestimmungen des Vorschlags</w:t>
      </w:r>
    </w:p>
    <w:p w14:paraId="7FB4859A" w14:textId="032E1B5B" w:rsidR="006709D9" w:rsidRPr="00516C0C" w:rsidRDefault="006709D9" w:rsidP="006709D9">
      <w:pPr>
        <w:rPr>
          <w:noProof/>
        </w:rPr>
      </w:pPr>
      <w:r w:rsidRPr="00516C0C">
        <w:rPr>
          <w:noProof/>
        </w:rPr>
        <w:t xml:space="preserve">Die vorgeschlagene Verordnung ist technischer Art und liegt der Richtlinie COM(2023)516 bei. Durch sie wird die </w:t>
      </w:r>
      <w:bookmarkStart w:id="2" w:name="_Hlk140501787"/>
      <w:r w:rsidRPr="00516C0C">
        <w:rPr>
          <w:noProof/>
        </w:rPr>
        <w:t>Verordnung (EU) Nr. 1024/2012</w:t>
      </w:r>
      <w:bookmarkEnd w:id="2"/>
      <w:r w:rsidRPr="00516C0C">
        <w:rPr>
          <w:noProof/>
        </w:rPr>
        <w:t xml:space="preserve"> geändert, mit der das Binnenmarkt-Informationssystem (im Folgenden „IMI“) eingerichtet wurde, um sicherzustellen, dass die zuständigen Behörden der Mitgliedstaaten zusammenarbeiten und über das IMI Informationen austauschen, wenn sie die nationalen Vorschriften anwenden, die im Einklang mit den Bestimmungen der Richtlinie (2023)516 (Artikel 1) umgesetzt wurden. Ferner wird durch sie die Verordnung (EU) 2018/1724 geändert, mit der das einheitliche digitale Zugangstor eingerichtet wurde, um sicherzustellen, dass die Mitgliedstaaten einen Online-Zugang zu Informationen über länderübergreifende europäische Vereinigungen und gemeinnützige Vereinigungen gewährleisten und den Austausch von Nachweisen zwischen den zuständigen Behörden im Rahmen der Verfahren erleichtern, die in der Richtlinie COM(2023)516 (Artikel 2) festgelegt sind. Auf diese Weise soll mit dieser Änderung das Funktionieren des Binnenmarkts in Bezug auf die Bereitstellung von Informationen, und Verfahren, sichergestellt werden.</w:t>
      </w:r>
    </w:p>
    <w:p w14:paraId="4885AFEB" w14:textId="77777777" w:rsidR="00210BD2" w:rsidRPr="00516C0C" w:rsidRDefault="00210BD2">
      <w:pPr>
        <w:spacing w:before="0" w:after="200" w:line="276" w:lineRule="auto"/>
        <w:jc w:val="left"/>
        <w:rPr>
          <w:noProof/>
        </w:rPr>
      </w:pPr>
      <w:r w:rsidRPr="00516C0C">
        <w:rPr>
          <w:noProof/>
        </w:rPr>
        <w:br w:type="page"/>
      </w:r>
    </w:p>
    <w:p w14:paraId="6A19DFBC" w14:textId="27C0AFD8" w:rsidR="00353062" w:rsidRDefault="00353062" w:rsidP="00353062">
      <w:pPr>
        <w:pStyle w:val="Rfrenceinterinstitutionnelle"/>
        <w:rPr>
          <w:noProof/>
        </w:rPr>
      </w:pPr>
      <w:r w:rsidRPr="00353062">
        <w:t>2023/0314 (COD)</w:t>
      </w:r>
    </w:p>
    <w:p w14:paraId="381F1CE2" w14:textId="3200F73E" w:rsidR="00A2210E" w:rsidRPr="00516C0C" w:rsidRDefault="00516C0C" w:rsidP="00516C0C">
      <w:pPr>
        <w:pStyle w:val="Statut"/>
        <w:rPr>
          <w:noProof/>
        </w:rPr>
      </w:pPr>
      <w:r w:rsidRPr="00516C0C">
        <w:rPr>
          <w:noProof/>
        </w:rPr>
        <w:t>Vorschlag für eine</w:t>
      </w:r>
    </w:p>
    <w:p w14:paraId="1CA3CBAB" w14:textId="7D282009" w:rsidR="00A2210E" w:rsidRPr="00516C0C" w:rsidRDefault="00516C0C" w:rsidP="00516C0C">
      <w:pPr>
        <w:pStyle w:val="Typedudocument"/>
        <w:rPr>
          <w:noProof/>
        </w:rPr>
      </w:pPr>
      <w:r w:rsidRPr="00516C0C">
        <w:rPr>
          <w:noProof/>
        </w:rPr>
        <w:t>VERORDNUNG DES EUROPÄISCHEN PARLAMENTS UND DES RATES</w:t>
      </w:r>
    </w:p>
    <w:p w14:paraId="43774F6E" w14:textId="006085CA" w:rsidR="00AC41EE" w:rsidRPr="00516C0C" w:rsidRDefault="00516C0C" w:rsidP="00516C0C">
      <w:pPr>
        <w:pStyle w:val="Titreobjet"/>
        <w:rPr>
          <w:noProof/>
        </w:rPr>
      </w:pPr>
      <w:bookmarkStart w:id="3" w:name="_Hlk138438520"/>
      <w:r w:rsidRPr="00516C0C">
        <w:rPr>
          <w:noProof/>
        </w:rPr>
        <w:t xml:space="preserve">zur Änderung der Verordnung (EU) Nr. 1024/2012 und der Verordnung (EU) 2018/1724 hinsichtlich der Nutzung des Binnenmarkt-Informationssystems und des einheitlichen digitalen Zugangstors für die Zwecke bestimmter Anforderungen gemäß der Richtlinie (EU) .../... des Europäischen Parlaments und des Rates über länderübergreifende europäische Vereinigungen (COM(2023)516) </w:t>
      </w:r>
      <w:r w:rsidRPr="00516C0C">
        <w:rPr>
          <w:noProof/>
        </w:rPr>
        <w:br/>
        <w:t xml:space="preserve"> </w:t>
      </w:r>
      <w:r w:rsidRPr="00516C0C">
        <w:rPr>
          <w:noProof/>
        </w:rPr>
        <w:br/>
        <w:t xml:space="preserve"> </w:t>
      </w:r>
      <w:r w:rsidRPr="00516C0C">
        <w:rPr>
          <w:noProof/>
        </w:rPr>
        <w:br/>
      </w:r>
    </w:p>
    <w:bookmarkEnd w:id="3"/>
    <w:p w14:paraId="1975C17D" w14:textId="247C241F" w:rsidR="00CF696D" w:rsidRPr="00516C0C" w:rsidRDefault="00516C0C" w:rsidP="00516C0C">
      <w:pPr>
        <w:pStyle w:val="IntrtEEE"/>
        <w:rPr>
          <w:noProof/>
        </w:rPr>
      </w:pPr>
      <w:r w:rsidRPr="00516C0C">
        <w:rPr>
          <w:noProof/>
        </w:rPr>
        <w:t>(Text von Bedeutung für den EWR)</w:t>
      </w:r>
    </w:p>
    <w:p w14:paraId="067C6D87" w14:textId="2B0FD547" w:rsidR="00A2210E" w:rsidRPr="00516C0C" w:rsidRDefault="00A2210E" w:rsidP="00FA3D6F">
      <w:pPr>
        <w:pStyle w:val="Institutionquiagit"/>
        <w:rPr>
          <w:noProof/>
        </w:rPr>
      </w:pPr>
      <w:r w:rsidRPr="00516C0C">
        <w:rPr>
          <w:noProof/>
        </w:rPr>
        <w:t>DAS EUROPÄISCHE PARLAMENT UND DER RAT DER EUROPÄISCHEN UNION —</w:t>
      </w:r>
    </w:p>
    <w:p w14:paraId="6E82759C" w14:textId="4817CC8F" w:rsidR="00A2210E" w:rsidRPr="00516C0C" w:rsidRDefault="00A2210E" w:rsidP="00FA3D6F">
      <w:pPr>
        <w:rPr>
          <w:noProof/>
        </w:rPr>
      </w:pPr>
      <w:r w:rsidRPr="00516C0C">
        <w:rPr>
          <w:noProof/>
        </w:rPr>
        <w:t>gestützt auf den Vertrag über die Arbeitsweise der Europäischen Union, insbesondere auf Artikel 21 Absatz 2 und Artikel 114,</w:t>
      </w:r>
    </w:p>
    <w:p w14:paraId="1DE6C9E6" w14:textId="77777777" w:rsidR="00A2210E" w:rsidRPr="00516C0C" w:rsidRDefault="00A2210E" w:rsidP="00FA3D6F">
      <w:pPr>
        <w:rPr>
          <w:noProof/>
        </w:rPr>
      </w:pPr>
      <w:r w:rsidRPr="00516C0C">
        <w:rPr>
          <w:noProof/>
        </w:rPr>
        <w:t>auf Vorschlag der Europäischen Kommission,</w:t>
      </w:r>
    </w:p>
    <w:p w14:paraId="39DC4982" w14:textId="77777777" w:rsidR="00A2210E" w:rsidRPr="00516C0C" w:rsidRDefault="00A2210E" w:rsidP="00FA3D6F">
      <w:pPr>
        <w:rPr>
          <w:noProof/>
        </w:rPr>
      </w:pPr>
      <w:r w:rsidRPr="00516C0C">
        <w:rPr>
          <w:noProof/>
        </w:rPr>
        <w:t>nach Zuleitung des Entwurfs des Gesetzgebungsakts an die nationalen Parlamente,</w:t>
      </w:r>
    </w:p>
    <w:p w14:paraId="0654A67E" w14:textId="5BA4CBD4" w:rsidR="00C033BF" w:rsidRPr="00516C0C" w:rsidRDefault="00C033BF" w:rsidP="00FA3D6F">
      <w:pPr>
        <w:rPr>
          <w:noProof/>
        </w:rPr>
      </w:pPr>
      <w:r w:rsidRPr="00516C0C">
        <w:rPr>
          <w:noProof/>
        </w:rPr>
        <w:t>nach Stellungnahme des Europäischen Wirtschafts- und Sozialausschusses</w:t>
      </w:r>
      <w:r w:rsidRPr="00516C0C">
        <w:rPr>
          <w:rStyle w:val="FootnoteReference"/>
          <w:noProof/>
        </w:rPr>
        <w:footnoteReference w:id="4"/>
      </w:r>
      <w:r w:rsidRPr="00516C0C">
        <w:rPr>
          <w:noProof/>
        </w:rPr>
        <w:t>,</w:t>
      </w:r>
    </w:p>
    <w:p w14:paraId="54F2F0B2" w14:textId="77777777" w:rsidR="00A2210E" w:rsidRPr="00516C0C" w:rsidRDefault="00A2210E" w:rsidP="00FA3D6F">
      <w:pPr>
        <w:rPr>
          <w:noProof/>
        </w:rPr>
      </w:pPr>
      <w:r w:rsidRPr="00516C0C">
        <w:rPr>
          <w:noProof/>
        </w:rPr>
        <w:t>gemäß dem ordentlichen Gesetzgebungsverfahren,</w:t>
      </w:r>
    </w:p>
    <w:p w14:paraId="4CA1C4CF" w14:textId="4E59F156" w:rsidR="00BA2FA4" w:rsidRPr="00516C0C" w:rsidRDefault="00A2210E" w:rsidP="008B7FA8">
      <w:pPr>
        <w:rPr>
          <w:noProof/>
        </w:rPr>
      </w:pPr>
      <w:r w:rsidRPr="00516C0C">
        <w:rPr>
          <w:noProof/>
        </w:rPr>
        <w:t>in Erwägung nachstehender Gründe:</w:t>
      </w:r>
    </w:p>
    <w:p w14:paraId="7C7B8D97" w14:textId="6B6E1538" w:rsidR="005252AA" w:rsidRPr="00516C0C" w:rsidRDefault="00494F4F" w:rsidP="00494F4F">
      <w:pPr>
        <w:pStyle w:val="ManualConsidrant"/>
        <w:rPr>
          <w:rFonts w:eastAsia="Times New Roman"/>
          <w:noProof/>
        </w:rPr>
      </w:pPr>
      <w:r w:rsidRPr="00494F4F">
        <w:t>(1)</w:t>
      </w:r>
      <w:r w:rsidRPr="00494F4F">
        <w:tab/>
      </w:r>
      <w:r w:rsidR="005252AA" w:rsidRPr="00516C0C">
        <w:rPr>
          <w:noProof/>
        </w:rPr>
        <w:t>Die Richtlinie (EU) des Europäischen Parlaments und des Rates über länderübergreifende europäische Vereinigungen (COM(2023)516)</w:t>
      </w:r>
      <w:r w:rsidR="005252AA" w:rsidRPr="00516C0C">
        <w:rPr>
          <w:rStyle w:val="FootnoteReference"/>
          <w:noProof/>
        </w:rPr>
        <w:footnoteReference w:id="5"/>
      </w:r>
      <w:r w:rsidR="005252AA" w:rsidRPr="00516C0C">
        <w:rPr>
          <w:noProof/>
        </w:rPr>
        <w:t xml:space="preserve"> enthält Maßnahmen für die Koordinierung der Bedingungen für Niederlassung und Tätigkeit „länderübergreifender europäischer Vereinigungen“ (im Folgenden „ECBA“), um die wirksame Ausübung der Freizügigkeit von auf dem Binnenmarkt tätigen gemeinnützigen Vereinigungen zu gewährleisten.</w:t>
      </w:r>
    </w:p>
    <w:p w14:paraId="3158C1D5" w14:textId="4811BC35" w:rsidR="00083FD7" w:rsidRPr="00516C0C" w:rsidRDefault="00494F4F" w:rsidP="00494F4F">
      <w:pPr>
        <w:pStyle w:val="ManualConsidrant"/>
        <w:rPr>
          <w:rFonts w:eastAsia="Times New Roman"/>
          <w:noProof/>
        </w:rPr>
      </w:pPr>
      <w:r w:rsidRPr="00494F4F">
        <w:t>(2)</w:t>
      </w:r>
      <w:r w:rsidRPr="00494F4F">
        <w:tab/>
      </w:r>
      <w:r w:rsidR="00FF1F41" w:rsidRPr="00516C0C">
        <w:rPr>
          <w:noProof/>
        </w:rPr>
        <w:t>Gemäß Artikel 30 Absatz 2 der Richtlinie (COM(2023)516) werden die Verwaltungszusammenarbeit und der Informationsaustausch zwischen den zuständigen Behörden der Mitgliedstaaten über das Binnenmarkt-Informationssystem (im Folgenden „IMI-System“) umgesetzt, das mit der Verordnung (EU) Nr. 1024/2012 des Europäischen Parlaments und des Rates</w:t>
      </w:r>
      <w:r w:rsidR="00FF1F41" w:rsidRPr="00516C0C">
        <w:rPr>
          <w:rStyle w:val="FootnoteReference"/>
          <w:rFonts w:eastAsia="Times New Roman"/>
          <w:noProof/>
        </w:rPr>
        <w:footnoteReference w:id="6"/>
      </w:r>
      <w:r w:rsidR="00FF1F41" w:rsidRPr="00516C0C">
        <w:rPr>
          <w:noProof/>
        </w:rPr>
        <w:t xml:space="preserve"> eingerichtet wurde. Aus diesem Grund sollten die erforderlichen Verfahren für die Verwaltungszusammenarbeit im IMI-System festgelegt werden.</w:t>
      </w:r>
    </w:p>
    <w:p w14:paraId="4C2173B1" w14:textId="4578D860" w:rsidR="00F21940" w:rsidRPr="00516C0C" w:rsidRDefault="00494F4F" w:rsidP="00494F4F">
      <w:pPr>
        <w:pStyle w:val="ManualConsidrant"/>
        <w:rPr>
          <w:rFonts w:eastAsia="Times New Roman"/>
          <w:noProof/>
        </w:rPr>
      </w:pPr>
      <w:r w:rsidRPr="00494F4F">
        <w:t>(3)</w:t>
      </w:r>
      <w:r w:rsidRPr="00494F4F">
        <w:tab/>
      </w:r>
      <w:r w:rsidR="00C25A48" w:rsidRPr="00516C0C">
        <w:rPr>
          <w:noProof/>
        </w:rPr>
        <w:t>Gemäß den Artikeln 2 und 3 der Verordnung (EU) 2018/1724 des Europäischen Parlaments und des Rates</w:t>
      </w:r>
      <w:r w:rsidR="00C25A48" w:rsidRPr="00516C0C">
        <w:rPr>
          <w:rStyle w:val="FootnoteReference"/>
          <w:rFonts w:eastAsia="Calibri"/>
          <w:noProof/>
        </w:rPr>
        <w:footnoteReference w:id="7"/>
      </w:r>
      <w:r w:rsidR="00C25A48" w:rsidRPr="00516C0C">
        <w:rPr>
          <w:noProof/>
        </w:rPr>
        <w:t xml:space="preserve"> ermöglicht das einheitliche digitale Zugangstor Bürgern der Union, natürlichen Personen, die in einem Mitgliedstaat ansässig sind, und juristischen Personen mit Sitz in einem Mitgliedstaat den Zugang zu Informationen, Verfahren sowie Hilfs- und Problemlösungsdiensten. Der verfügende Teil und Anhang I der Verordnung (EU) 2018/1724 sollten geändert werden, um sicherzustellen, dass der Anwendungsbereich nicht so verstanden wird, dass er auf Bürger und Unternehmen beschränkt ist, sondern auch andere juristische Personen, bei denen es sich nicht um Unternehmen handelt, wie ECBA, betrifft.</w:t>
      </w:r>
    </w:p>
    <w:p w14:paraId="6B55F879" w14:textId="2ABD9138" w:rsidR="00602AF2" w:rsidRPr="00516C0C" w:rsidRDefault="00494F4F" w:rsidP="00494F4F">
      <w:pPr>
        <w:pStyle w:val="ManualConsidrant"/>
        <w:rPr>
          <w:rFonts w:eastAsia="Times New Roman"/>
          <w:noProof/>
        </w:rPr>
      </w:pPr>
      <w:r w:rsidRPr="00494F4F">
        <w:t>(4)</w:t>
      </w:r>
      <w:r w:rsidRPr="00494F4F">
        <w:tab/>
      </w:r>
      <w:r w:rsidR="00602AF2" w:rsidRPr="00516C0C">
        <w:rPr>
          <w:rStyle w:val="ui-provider"/>
          <w:noProof/>
        </w:rPr>
        <w:t>In der Verordnung (EU) 2018/1724 des Europäischen Parlaments und des Rates</w:t>
      </w:r>
      <w:r w:rsidR="00602AF2" w:rsidRPr="00516C0C">
        <w:rPr>
          <w:rStyle w:val="FootnoteReference"/>
          <w:noProof/>
        </w:rPr>
        <w:footnoteReference w:id="8"/>
      </w:r>
      <w:r w:rsidR="00602AF2" w:rsidRPr="00516C0C">
        <w:rPr>
          <w:rStyle w:val="ui-provider"/>
          <w:noProof/>
        </w:rPr>
        <w:t xml:space="preserve">, mit der das zentrale digitale Zugangstor eingerichtet wurde, sind allgemeine Regeln für die Online-Bereitstellung von Informationen, Verfahren und Hilfsdiensten, die für das Funktionieren des Binnenmarktes maßgeblich sind, festgelegt. </w:t>
      </w:r>
      <w:r w:rsidR="00602AF2" w:rsidRPr="00516C0C">
        <w:rPr>
          <w:noProof/>
        </w:rPr>
        <w:t>Die unter diese Verordnung fallenden Verfahren sollten den Anforderungen der Verordnung (EU) 2018/1724 entsprechen, um sicherzustellen, dass jede ECBA im Einklang mit dem Grundsatz der einmaligen Erfassung von vollständig online abzuwickelnden Verfahren und dem grenzüberschreitenden automatisierten Austausch von Nachweisen profitieren kann. Diese Verfahren umfassen den Antrag auf Eintragung einer ECBA und das Verfahren zur Verlegung des Sitzes einer ECBA.</w:t>
      </w:r>
    </w:p>
    <w:p w14:paraId="053A9304" w14:textId="306B9846" w:rsidR="004E300B" w:rsidRPr="00516C0C" w:rsidRDefault="00494F4F" w:rsidP="00494F4F">
      <w:pPr>
        <w:pStyle w:val="ManualConsidrant"/>
        <w:rPr>
          <w:noProof/>
        </w:rPr>
      </w:pPr>
      <w:r w:rsidRPr="00494F4F">
        <w:t>(5)</w:t>
      </w:r>
      <w:r w:rsidRPr="00494F4F">
        <w:tab/>
      </w:r>
      <w:r w:rsidR="00BA2FA4" w:rsidRPr="00516C0C">
        <w:rPr>
          <w:noProof/>
        </w:rPr>
        <w:t xml:space="preserve">Die Verordnungen (EU) Nr. 1024/2012 und (EU) 2018/1724 sollten daher entsprechend geändert werden — </w:t>
      </w:r>
    </w:p>
    <w:p w14:paraId="08A43FFF" w14:textId="77777777" w:rsidR="00A2210E" w:rsidRPr="00516C0C" w:rsidRDefault="00A2210E" w:rsidP="00FA3D6F">
      <w:pPr>
        <w:pStyle w:val="Formuledadoption"/>
        <w:rPr>
          <w:noProof/>
        </w:rPr>
      </w:pPr>
      <w:r w:rsidRPr="00516C0C">
        <w:rPr>
          <w:noProof/>
        </w:rPr>
        <w:t>HABEN FOLGENDE VERORDNUNG ERLASSEN:</w:t>
      </w:r>
    </w:p>
    <w:p w14:paraId="17B0841D" w14:textId="2A442920" w:rsidR="00A2210E" w:rsidRPr="00516C0C" w:rsidRDefault="00A2210E" w:rsidP="005B2D4D">
      <w:pPr>
        <w:pStyle w:val="Titrearticle"/>
        <w:rPr>
          <w:noProof/>
        </w:rPr>
      </w:pPr>
      <w:r w:rsidRPr="00516C0C">
        <w:rPr>
          <w:noProof/>
        </w:rPr>
        <w:t>Artikel 1</w:t>
      </w:r>
    </w:p>
    <w:p w14:paraId="7CCE2E51" w14:textId="5A93AA94" w:rsidR="005B2D4D" w:rsidRPr="00516C0C" w:rsidRDefault="005B2D4D" w:rsidP="005B2D4D">
      <w:pPr>
        <w:pStyle w:val="Titrearticle"/>
        <w:rPr>
          <w:noProof/>
        </w:rPr>
      </w:pPr>
      <w:r w:rsidRPr="00516C0C">
        <w:rPr>
          <w:noProof/>
        </w:rPr>
        <w:t>Änderung der Verordnung (EU) Nr. 1024/2012</w:t>
      </w:r>
    </w:p>
    <w:p w14:paraId="1BD06239" w14:textId="3CF8660B" w:rsidR="008548E4" w:rsidRPr="00516C0C" w:rsidRDefault="008548E4" w:rsidP="008548E4">
      <w:pPr>
        <w:rPr>
          <w:noProof/>
        </w:rPr>
      </w:pPr>
      <w:r w:rsidRPr="00516C0C">
        <w:rPr>
          <w:noProof/>
        </w:rPr>
        <w:t xml:space="preserve">Im Anhang zur Verordnung (EU) Nr. 1024/2012 wird die folgende neue Nummer 16 angefügt: </w:t>
      </w:r>
    </w:p>
    <w:p w14:paraId="2454F57B" w14:textId="10093245" w:rsidR="008548E4" w:rsidRPr="00516C0C" w:rsidRDefault="008548E4" w:rsidP="008548E4">
      <w:pPr>
        <w:rPr>
          <w:noProof/>
        </w:rPr>
      </w:pPr>
      <w:r w:rsidRPr="00516C0C">
        <w:rPr>
          <w:noProof/>
        </w:rPr>
        <w:t>„16. Richtlinie (EU) des Europäischen Parlaments und des Rates über länderübergreifende europäische Vereinigungen (COM(2023)516)*: Artikel 19 Absatz 2, Artikel 19 Absatz 4, Artikel 23 Absatz 5, Artikel 23 Absatz 6, Artikel 23 Absatz 7, Artikel 24 Absatz 3, Artikel 25 Absatz 6, Artikel 27.“</w:t>
      </w:r>
    </w:p>
    <w:p w14:paraId="656BA88B" w14:textId="77777777" w:rsidR="005B21F8" w:rsidRPr="00516C0C" w:rsidRDefault="005B21F8" w:rsidP="005B21F8">
      <w:pPr>
        <w:pStyle w:val="Text1"/>
        <w:ind w:left="0"/>
        <w:rPr>
          <w:noProof/>
          <w:szCs w:val="24"/>
        </w:rPr>
      </w:pPr>
      <w:r w:rsidRPr="00516C0C">
        <w:rPr>
          <w:noProof/>
        </w:rPr>
        <w:t>____________________</w:t>
      </w:r>
    </w:p>
    <w:p w14:paraId="6E2DBFEC" w14:textId="51002B89" w:rsidR="005B21F8" w:rsidRPr="00516C0C" w:rsidRDefault="005B21F8" w:rsidP="006A0A81">
      <w:pPr>
        <w:pStyle w:val="Text1"/>
        <w:ind w:left="0"/>
        <w:rPr>
          <w:noProof/>
          <w:szCs w:val="24"/>
        </w:rPr>
      </w:pPr>
      <w:r w:rsidRPr="00516C0C">
        <w:rPr>
          <w:noProof/>
        </w:rPr>
        <w:t>*(Amtsblattangabe).</w:t>
      </w:r>
    </w:p>
    <w:p w14:paraId="1EF557DA" w14:textId="77777777" w:rsidR="00483D84" w:rsidRPr="00516C0C" w:rsidRDefault="00483D84" w:rsidP="00AB2561">
      <w:pPr>
        <w:pStyle w:val="Titrearticle"/>
        <w:rPr>
          <w:noProof/>
        </w:rPr>
      </w:pPr>
      <w:r w:rsidRPr="00516C0C">
        <w:rPr>
          <w:noProof/>
        </w:rPr>
        <w:t>Artikel 2</w:t>
      </w:r>
    </w:p>
    <w:p w14:paraId="12DEC5B7" w14:textId="45117F4B" w:rsidR="00483D84" w:rsidRPr="00516C0C" w:rsidRDefault="00483D84" w:rsidP="00AB2561">
      <w:pPr>
        <w:pStyle w:val="Titrearticle"/>
        <w:rPr>
          <w:noProof/>
        </w:rPr>
      </w:pPr>
      <w:r w:rsidRPr="00516C0C">
        <w:rPr>
          <w:noProof/>
        </w:rPr>
        <w:t>Änderung der Verordnung (EU) 2018/1724</w:t>
      </w:r>
    </w:p>
    <w:p w14:paraId="4CF3A252" w14:textId="77777777" w:rsidR="00926D77" w:rsidRPr="00516C0C" w:rsidRDefault="00926D77" w:rsidP="00926D77">
      <w:pPr>
        <w:rPr>
          <w:noProof/>
        </w:rPr>
      </w:pPr>
      <w:r w:rsidRPr="00516C0C">
        <w:rPr>
          <w:noProof/>
        </w:rPr>
        <w:t>Die Verordnung (EU) 2018/1724 wird wie folgt geändert:</w:t>
      </w:r>
    </w:p>
    <w:p w14:paraId="31B52738" w14:textId="77777777" w:rsidR="00207F25" w:rsidRPr="00516C0C" w:rsidRDefault="00207F25" w:rsidP="00DD0A5A">
      <w:pPr>
        <w:rPr>
          <w:noProof/>
        </w:rPr>
      </w:pPr>
    </w:p>
    <w:p w14:paraId="5A9CBCCC" w14:textId="25BF2142" w:rsidR="00DD0A5A" w:rsidRPr="00516C0C" w:rsidRDefault="00494F4F" w:rsidP="00494F4F">
      <w:pPr>
        <w:pStyle w:val="Point0"/>
        <w:rPr>
          <w:noProof/>
        </w:rPr>
      </w:pPr>
      <w:r w:rsidRPr="00494F4F">
        <w:t>(1)</w:t>
      </w:r>
      <w:r w:rsidRPr="00494F4F">
        <w:tab/>
      </w:r>
      <w:r w:rsidR="00742925" w:rsidRPr="00516C0C">
        <w:rPr>
          <w:noProof/>
        </w:rPr>
        <w:t>Artikel 1 Absatz 1 Buchstabe a erhält folgende Fassung:</w:t>
      </w:r>
    </w:p>
    <w:p w14:paraId="4C01CE76" w14:textId="4AF3E432" w:rsidR="00DD0A5A" w:rsidRPr="00516C0C" w:rsidRDefault="0047657B" w:rsidP="00DD0A5A">
      <w:pPr>
        <w:rPr>
          <w:noProof/>
        </w:rPr>
      </w:pPr>
      <w:r w:rsidRPr="00516C0C">
        <w:rPr>
          <w:noProof/>
        </w:rPr>
        <w:t xml:space="preserve">„a) die Einrichtung und den Betrieb eines einheitlichen digitalen Zugangstors, um Bürgern, Unternehmen und juristischen Personen, bei denen es sich nicht um Unternehmen handelt, einfachen Zugang zu hochwertigen Informationen, effizienten Verfahren und wirksamen Hilfs- und Problemlösungsdiensten im Zusammenhang mit Unions- und nationalen Vorschriften für Bürger, Unternehmen und juristische Personen, bei denen es sich nicht um Unternehmen handelt, die ihre Rechte aus dem Unionsrecht im Bereich Binnenmarkt im Sinne von Artikel 26 Absatz 2 AEUV ausüben oder ausüben wollen, zu verschaffen;“ </w:t>
      </w:r>
    </w:p>
    <w:p w14:paraId="0FECC0B6" w14:textId="77777777" w:rsidR="00207F25" w:rsidRPr="00516C0C" w:rsidRDefault="00207F25" w:rsidP="00926D77">
      <w:pPr>
        <w:rPr>
          <w:noProof/>
        </w:rPr>
      </w:pPr>
    </w:p>
    <w:p w14:paraId="39A70F03" w14:textId="40A56FCF" w:rsidR="00926D77" w:rsidRPr="00516C0C" w:rsidRDefault="00494F4F" w:rsidP="00494F4F">
      <w:pPr>
        <w:pStyle w:val="Point0"/>
        <w:rPr>
          <w:noProof/>
        </w:rPr>
      </w:pPr>
      <w:r w:rsidRPr="00494F4F">
        <w:t>(2)</w:t>
      </w:r>
      <w:r w:rsidRPr="00494F4F">
        <w:tab/>
      </w:r>
      <w:r w:rsidR="00926D77" w:rsidRPr="00516C0C">
        <w:rPr>
          <w:noProof/>
        </w:rPr>
        <w:t>Artikel 1 Absatz 1 Buchstabe b erhält folgende Fassung:</w:t>
      </w:r>
    </w:p>
    <w:p w14:paraId="58F7BD28" w14:textId="053F4A09" w:rsidR="00926D77" w:rsidRPr="00516C0C" w:rsidRDefault="00926D77" w:rsidP="006A0A81">
      <w:pPr>
        <w:pStyle w:val="Text1"/>
        <w:ind w:left="0"/>
        <w:rPr>
          <w:noProof/>
          <w:szCs w:val="24"/>
        </w:rPr>
      </w:pPr>
      <w:r w:rsidRPr="00516C0C">
        <w:rPr>
          <w:noProof/>
        </w:rPr>
        <w:t>„b) die Inanspruchnahme von Verfahren durch grenzüberschreitende Nutzer und die Umsetzung des Grundsatzes der einmaligen Erfassung bei den in Anhang II dieser Verordnung aufgeführten Verfahren und den in den Richtlinien 2005/36/EG, 2006/123/EG, 2014/24/EU, 2014/25/EU und .../...* vorgesehenen Verfahren;“</w:t>
      </w:r>
    </w:p>
    <w:p w14:paraId="32F688E3" w14:textId="4448DBDC" w:rsidR="005E6798" w:rsidRPr="00516C0C" w:rsidRDefault="005E6798" w:rsidP="006A0A81">
      <w:pPr>
        <w:pStyle w:val="Text1"/>
        <w:ind w:left="0"/>
        <w:rPr>
          <w:noProof/>
          <w:szCs w:val="24"/>
        </w:rPr>
      </w:pPr>
      <w:r w:rsidRPr="00516C0C">
        <w:rPr>
          <w:noProof/>
        </w:rPr>
        <w:t>____________________</w:t>
      </w:r>
    </w:p>
    <w:p w14:paraId="45F34252" w14:textId="616A242A" w:rsidR="009A6416" w:rsidRPr="00516C0C" w:rsidRDefault="00F45BB0" w:rsidP="00926D77">
      <w:pPr>
        <w:rPr>
          <w:noProof/>
        </w:rPr>
      </w:pPr>
      <w:r w:rsidRPr="00516C0C">
        <w:rPr>
          <w:noProof/>
        </w:rPr>
        <w:t>„* Richtlinie des Europäischen Parlaments und des Rates vom ... über länderübergreifende europäische Vereinigungen (Amtsblattangabe).“</w:t>
      </w:r>
    </w:p>
    <w:p w14:paraId="4907959E" w14:textId="77777777" w:rsidR="00207F25" w:rsidRPr="00516C0C" w:rsidRDefault="00207F25" w:rsidP="00926D77">
      <w:pPr>
        <w:rPr>
          <w:noProof/>
        </w:rPr>
      </w:pPr>
    </w:p>
    <w:p w14:paraId="2AE8E0D1" w14:textId="7C75720E" w:rsidR="001E7F12" w:rsidRPr="00516C0C" w:rsidRDefault="00494F4F" w:rsidP="00494F4F">
      <w:pPr>
        <w:pStyle w:val="Point0"/>
        <w:rPr>
          <w:noProof/>
        </w:rPr>
      </w:pPr>
      <w:r w:rsidRPr="00494F4F">
        <w:t>(3)</w:t>
      </w:r>
      <w:r w:rsidRPr="00494F4F">
        <w:tab/>
      </w:r>
      <w:r w:rsidR="004D33FC" w:rsidRPr="00516C0C">
        <w:rPr>
          <w:noProof/>
        </w:rPr>
        <w:t>Artikel 2 Absatz 2 Buchstabe c erhält folgende Fassung:</w:t>
      </w:r>
    </w:p>
    <w:p w14:paraId="62DF3882" w14:textId="3FFA44F0" w:rsidR="00043C8B" w:rsidRPr="00516C0C" w:rsidRDefault="008D1CDB" w:rsidP="00947F81">
      <w:pPr>
        <w:rPr>
          <w:noProof/>
        </w:rPr>
      </w:pPr>
      <w:r w:rsidRPr="00516C0C">
        <w:rPr>
          <w:noProof/>
        </w:rPr>
        <w:t>„c) Informationen über und Links zu den in Anhang III aufgeführten oder in Artikel 7 genannten Hilfs- und Problemlösungsdiensten, und an die Bürger, Unternehmen und juristische Personen, bei denen es sich nicht um Unternehmen handelt, sich bei Fragen oder Problemen im Zusammenhang mit ihren Rechten, Pflichten, Vorschriften oder den in Buchstabe a oder b des vorliegenden Absatzes genannten Verfahren wenden können.“</w:t>
      </w:r>
    </w:p>
    <w:p w14:paraId="345C97D4" w14:textId="77777777" w:rsidR="00176A09" w:rsidRPr="00516C0C" w:rsidRDefault="00176A09" w:rsidP="00947F81">
      <w:pPr>
        <w:rPr>
          <w:noProof/>
        </w:rPr>
      </w:pPr>
    </w:p>
    <w:p w14:paraId="001853C0" w14:textId="71A906C4" w:rsidR="00926D77" w:rsidRPr="00516C0C" w:rsidRDefault="00494F4F" w:rsidP="00494F4F">
      <w:pPr>
        <w:pStyle w:val="Point0"/>
        <w:rPr>
          <w:noProof/>
        </w:rPr>
      </w:pPr>
      <w:r w:rsidRPr="00494F4F">
        <w:t>(4)</w:t>
      </w:r>
      <w:r w:rsidRPr="00494F4F">
        <w:tab/>
      </w:r>
      <w:r w:rsidR="004D33FC" w:rsidRPr="00516C0C">
        <w:rPr>
          <w:noProof/>
        </w:rPr>
        <w:t xml:space="preserve">Artikel 14 Absatz 1 erhält folgende Fassung: </w:t>
      </w:r>
    </w:p>
    <w:p w14:paraId="6F1C5770" w14:textId="7F337151" w:rsidR="004D33FC" w:rsidRPr="00516C0C" w:rsidRDefault="00207F25" w:rsidP="00926D77">
      <w:pPr>
        <w:rPr>
          <w:noProof/>
        </w:rPr>
      </w:pPr>
      <w:r w:rsidRPr="00516C0C">
        <w:rPr>
          <w:noProof/>
        </w:rPr>
        <w:t>„(1) Zum Zwecke des Austauschs von Nachweisen für die in Anhang II dieser Verordnung aufgeführten Online-Verfahren sowie für die Verfahren nach den Richtlinien 2005/36/EG, 2006/123/EG, 2014/24/EU, 2014/25/EU und …/…/… richtet die Kommission in Zusammenarbeit mit den Mitgliedstaaten ein technisches System für den automatisierten Austausch von Nachweisen zwischen zuständigen Behörden in verschiedenen Mitgliedstaaten (im Folgenden „technisches System“) ein.“</w:t>
      </w:r>
    </w:p>
    <w:p w14:paraId="16A7CC4E" w14:textId="0C4E8699" w:rsidR="00926D77" w:rsidRPr="00516C0C" w:rsidRDefault="00926D77" w:rsidP="00410CD4">
      <w:pPr>
        <w:rPr>
          <w:i/>
          <w:iCs/>
          <w:noProof/>
          <w:color w:val="000000"/>
          <w:szCs w:val="24"/>
          <w:shd w:val="clear" w:color="auto" w:fill="FFFFFF"/>
        </w:rPr>
      </w:pPr>
    </w:p>
    <w:p w14:paraId="3E55880E" w14:textId="337D86CC" w:rsidR="00926D77" w:rsidRPr="00516C0C" w:rsidRDefault="00494F4F" w:rsidP="00494F4F">
      <w:pPr>
        <w:pStyle w:val="Point0"/>
        <w:rPr>
          <w:noProof/>
        </w:rPr>
      </w:pPr>
      <w:r w:rsidRPr="00494F4F">
        <w:t>(5)</w:t>
      </w:r>
      <w:r w:rsidRPr="00494F4F">
        <w:tab/>
      </w:r>
      <w:r w:rsidR="00926D77" w:rsidRPr="00516C0C">
        <w:rPr>
          <w:noProof/>
        </w:rPr>
        <w:t>Anhang I der Verordnung (EU) 2018/1724 wird wie folgt geändert:</w:t>
      </w:r>
    </w:p>
    <w:p w14:paraId="72515201" w14:textId="77777777" w:rsidR="00926D77" w:rsidRPr="00516C0C" w:rsidRDefault="00926D77" w:rsidP="00926D77">
      <w:pPr>
        <w:rPr>
          <w:i/>
          <w:noProof/>
        </w:rPr>
      </w:pPr>
    </w:p>
    <w:p w14:paraId="34C3F729" w14:textId="6A64AE3F" w:rsidR="00926D77" w:rsidRPr="00516C0C" w:rsidRDefault="00494F4F" w:rsidP="00494F4F">
      <w:pPr>
        <w:pStyle w:val="Point1"/>
        <w:rPr>
          <w:noProof/>
        </w:rPr>
      </w:pPr>
      <w:r w:rsidRPr="00494F4F">
        <w:t>(a)</w:t>
      </w:r>
      <w:r w:rsidRPr="00494F4F">
        <w:tab/>
      </w:r>
      <w:r w:rsidR="00926D77" w:rsidRPr="00516C0C">
        <w:rPr>
          <w:noProof/>
        </w:rPr>
        <w:t xml:space="preserve">Der Titel erhält folgende Fassung: </w:t>
      </w:r>
    </w:p>
    <w:p w14:paraId="5CEDB10A" w14:textId="738F313A" w:rsidR="00926D77" w:rsidRPr="00516C0C" w:rsidRDefault="00926D77" w:rsidP="00926D77">
      <w:pPr>
        <w:rPr>
          <w:noProof/>
        </w:rPr>
      </w:pPr>
      <w:r w:rsidRPr="00516C0C">
        <w:rPr>
          <w:noProof/>
        </w:rPr>
        <w:t xml:space="preserve">„Liste der in Artikel 2 Absatz 2 Buchstabe a genannten Informationsbereiche, die für Bürger, Unternehmen und </w:t>
      </w:r>
      <w:r w:rsidRPr="00516C0C">
        <w:rPr>
          <w:noProof/>
          <w:color w:val="000000"/>
          <w:shd w:val="clear" w:color="auto" w:fill="FFFFFF"/>
        </w:rPr>
        <w:t>juristische Personen mit Sitz in einem Mitgliedstaat, bei denen es sich nicht um Unternehmen handelt,</w:t>
      </w:r>
      <w:r w:rsidRPr="00516C0C">
        <w:rPr>
          <w:noProof/>
        </w:rPr>
        <w:t xml:space="preserve"> relevant sind, die ihre Binnenmarktrechte ausüben“</w:t>
      </w:r>
    </w:p>
    <w:p w14:paraId="25ADC1F9" w14:textId="77777777" w:rsidR="00926D77" w:rsidRPr="00516C0C" w:rsidRDefault="00926D77" w:rsidP="00926D77">
      <w:pPr>
        <w:rPr>
          <w:noProof/>
        </w:rPr>
      </w:pPr>
    </w:p>
    <w:p w14:paraId="474C64C0" w14:textId="41F4E0E6" w:rsidR="00926D77" w:rsidRPr="00516C0C" w:rsidRDefault="00494F4F" w:rsidP="00494F4F">
      <w:pPr>
        <w:pStyle w:val="Point1"/>
        <w:rPr>
          <w:noProof/>
          <w:color w:val="000000"/>
          <w:szCs w:val="24"/>
          <w:shd w:val="clear" w:color="auto" w:fill="FFFFFF"/>
        </w:rPr>
      </w:pPr>
      <w:r w:rsidRPr="00494F4F">
        <w:t>(b)</w:t>
      </w:r>
      <w:r w:rsidRPr="00494F4F">
        <w:tab/>
      </w:r>
      <w:r w:rsidR="00926D77" w:rsidRPr="00516C0C">
        <w:rPr>
          <w:noProof/>
        </w:rPr>
        <w:t>Die folgenden Informationsbereiche werden hinzugefügt:</w:t>
      </w:r>
    </w:p>
    <w:p w14:paraId="2548A6E8" w14:textId="1F55C221" w:rsidR="00926D77" w:rsidRPr="00516C0C" w:rsidRDefault="00ED61A2" w:rsidP="00926D77">
      <w:pPr>
        <w:rPr>
          <w:i/>
          <w:iCs/>
          <w:noProof/>
          <w:color w:val="000000"/>
          <w:szCs w:val="24"/>
          <w:shd w:val="clear" w:color="auto" w:fill="FFFFFF"/>
        </w:rPr>
      </w:pPr>
      <w:r w:rsidRPr="00516C0C">
        <w:rPr>
          <w:noProof/>
          <w:color w:val="000000"/>
          <w:shd w:val="clear" w:color="auto" w:fill="FFFFFF"/>
        </w:rPr>
        <w:t>„Informationsbereiche im Zusammenhang mit juristischen Personen mit Sitz in einem Mitgliedstaat, bei denen es sich nicht um Unternehmen handelt:</w:t>
      </w:r>
    </w:p>
    <w:tbl>
      <w:tblPr>
        <w:tblStyle w:val="TableGrid"/>
        <w:tblW w:w="0" w:type="auto"/>
        <w:tblLook w:val="04A0" w:firstRow="1" w:lastRow="0" w:firstColumn="1" w:lastColumn="0" w:noHBand="0" w:noVBand="1"/>
      </w:tblPr>
      <w:tblGrid>
        <w:gridCol w:w="2501"/>
        <w:gridCol w:w="6788"/>
      </w:tblGrid>
      <w:tr w:rsidR="00926D77" w:rsidRPr="00516C0C" w14:paraId="29D84FFF" w14:textId="77777777">
        <w:tc>
          <w:tcPr>
            <w:tcW w:w="3256" w:type="dxa"/>
            <w:tcBorders>
              <w:top w:val="single" w:sz="4" w:space="0" w:color="auto"/>
              <w:left w:val="single" w:sz="4" w:space="0" w:color="auto"/>
              <w:bottom w:val="single" w:sz="4" w:space="0" w:color="auto"/>
              <w:right w:val="single" w:sz="4" w:space="0" w:color="auto"/>
            </w:tcBorders>
            <w:hideMark/>
          </w:tcPr>
          <w:p w14:paraId="6F37D9AF" w14:textId="77777777" w:rsidR="00926D77" w:rsidRPr="00516C0C" w:rsidRDefault="00926D77">
            <w:pPr>
              <w:rPr>
                <w:noProof/>
                <w:color w:val="000000"/>
                <w:szCs w:val="24"/>
                <w:shd w:val="clear" w:color="auto" w:fill="FFFFFF"/>
              </w:rPr>
            </w:pPr>
            <w:r w:rsidRPr="00516C0C">
              <w:rPr>
                <w:noProof/>
                <w:color w:val="000000"/>
                <w:shd w:val="clear" w:color="auto" w:fill="FFFFFF"/>
              </w:rPr>
              <w:t>AA. Gründung, Führung und Schließung einer juristischen Person, bei der es sich nicht um ein Unternehmen handelt</w:t>
            </w:r>
          </w:p>
        </w:tc>
        <w:tc>
          <w:tcPr>
            <w:tcW w:w="10692" w:type="dxa"/>
            <w:tcBorders>
              <w:top w:val="single" w:sz="4" w:space="0" w:color="auto"/>
              <w:left w:val="single" w:sz="4" w:space="0" w:color="auto"/>
              <w:bottom w:val="single" w:sz="4" w:space="0" w:color="auto"/>
              <w:right w:val="single" w:sz="4" w:space="0" w:color="auto"/>
            </w:tcBorders>
          </w:tcPr>
          <w:p w14:paraId="4CA712BF" w14:textId="77777777" w:rsidR="00926D77" w:rsidRPr="00516C0C" w:rsidRDefault="00926D77">
            <w:pPr>
              <w:rPr>
                <w:rFonts w:eastAsia="Times New Roman"/>
                <w:noProof/>
                <w:szCs w:val="24"/>
              </w:rPr>
            </w:pPr>
            <w:r w:rsidRPr="00516C0C">
              <w:rPr>
                <w:noProof/>
                <w:color w:val="000000"/>
                <w:shd w:val="clear" w:color="auto" w:fill="FFFFFF"/>
              </w:rPr>
              <w:t>1. </w:t>
            </w:r>
            <w:r w:rsidRPr="00516C0C">
              <w:rPr>
                <w:noProof/>
              </w:rPr>
              <w:t>Eintragung, Änderung der Rechtsform oder Schließung einer juristischen Person, bei der es sich nicht um ein Unternehmen handelt (Registrierungsverfahren und Rechtsformen)</w:t>
            </w:r>
          </w:p>
          <w:p w14:paraId="4087131C" w14:textId="77777777" w:rsidR="00926D77" w:rsidRPr="00516C0C" w:rsidRDefault="00926D77">
            <w:pPr>
              <w:rPr>
                <w:rFonts w:eastAsia="Times New Roman"/>
                <w:noProof/>
                <w:szCs w:val="24"/>
              </w:rPr>
            </w:pPr>
            <w:r w:rsidRPr="00516C0C">
              <w:rPr>
                <w:noProof/>
                <w:color w:val="000000"/>
                <w:shd w:val="clear" w:color="auto" w:fill="FFFFFF"/>
              </w:rPr>
              <w:t>2. </w:t>
            </w:r>
            <w:r w:rsidRPr="00516C0C">
              <w:rPr>
                <w:noProof/>
              </w:rPr>
              <w:t>Verlagerung einer juristischen Person, bei der es sich nicht um ein Unternehmen handelt, in einen anderen Mitgliedstaat</w:t>
            </w:r>
          </w:p>
          <w:p w14:paraId="18F4FE54" w14:textId="77777777" w:rsidR="00926D77" w:rsidRPr="00516C0C" w:rsidRDefault="00926D77">
            <w:pPr>
              <w:rPr>
                <w:rFonts w:eastAsia="Times New Roman"/>
                <w:noProof/>
                <w:szCs w:val="24"/>
              </w:rPr>
            </w:pPr>
            <w:r w:rsidRPr="00516C0C">
              <w:rPr>
                <w:noProof/>
              </w:rPr>
              <w:t>3. Rechte des geistigen Eigentums (Antrag auf Erteilung eines Patents, Anmeldung einer Marke, einer Zeichnung oder eines Gebrauchsmusters, Erwerb einer Lizenz für die Vervielfältigung)</w:t>
            </w:r>
          </w:p>
          <w:p w14:paraId="09CD983D" w14:textId="77777777" w:rsidR="00926D77" w:rsidRPr="00516C0C" w:rsidRDefault="00926D77">
            <w:pPr>
              <w:rPr>
                <w:rFonts w:eastAsia="Times New Roman"/>
                <w:noProof/>
                <w:szCs w:val="24"/>
              </w:rPr>
            </w:pPr>
            <w:r w:rsidRPr="00516C0C">
              <w:rPr>
                <w:noProof/>
              </w:rPr>
              <w:t>4. Fairness und Transparenz von Geschäftspraktiken, einschließlich Verbraucherrechte und Garantien im Zusammenhang mit dem Verkauf von Waren und Dienstleistungen</w:t>
            </w:r>
          </w:p>
          <w:p w14:paraId="2F5606B9" w14:textId="77777777" w:rsidR="00926D77" w:rsidRPr="00516C0C" w:rsidRDefault="00926D77">
            <w:pPr>
              <w:rPr>
                <w:rFonts w:eastAsia="Times New Roman"/>
                <w:noProof/>
                <w:szCs w:val="24"/>
              </w:rPr>
            </w:pPr>
            <w:r w:rsidRPr="00516C0C">
              <w:rPr>
                <w:noProof/>
              </w:rPr>
              <w:t>5. Angebot von Online-Verfahren für grenzüberschreitende Zahlungen beim Online-Verkauf von Waren und Dienstleistungen</w:t>
            </w:r>
          </w:p>
          <w:p w14:paraId="124CA148" w14:textId="77777777" w:rsidR="00926D77" w:rsidRPr="00516C0C" w:rsidRDefault="00926D77">
            <w:pPr>
              <w:rPr>
                <w:rFonts w:eastAsia="Times New Roman"/>
                <w:noProof/>
                <w:szCs w:val="24"/>
              </w:rPr>
            </w:pPr>
            <w:r w:rsidRPr="00516C0C">
              <w:rPr>
                <w:noProof/>
              </w:rPr>
              <w:t>6. Rechte und Pflichten aufgrund des Vertragsrechts, einschließlich Verzugszinsen</w:t>
            </w:r>
          </w:p>
          <w:p w14:paraId="20D3F1DE" w14:textId="704A4A4E" w:rsidR="00926D77" w:rsidRPr="00516C0C" w:rsidRDefault="00926D77">
            <w:pPr>
              <w:rPr>
                <w:rFonts w:eastAsia="Times New Roman"/>
                <w:noProof/>
                <w:szCs w:val="24"/>
              </w:rPr>
            </w:pPr>
            <w:r w:rsidRPr="00516C0C">
              <w:rPr>
                <w:noProof/>
              </w:rPr>
              <w:t>7. Insolvenzverfahren und Liquidation von juristischen Personen, bei denen es sich nicht um Unternehmen handelt</w:t>
            </w:r>
          </w:p>
          <w:p w14:paraId="7DF299A7" w14:textId="77777777" w:rsidR="00926D77" w:rsidRPr="00516C0C" w:rsidRDefault="00926D77">
            <w:pPr>
              <w:rPr>
                <w:rFonts w:eastAsia="Times New Roman"/>
                <w:noProof/>
                <w:szCs w:val="24"/>
              </w:rPr>
            </w:pPr>
            <w:r w:rsidRPr="00516C0C">
              <w:rPr>
                <w:noProof/>
              </w:rPr>
              <w:t>8. Kreditversicherung</w:t>
            </w:r>
          </w:p>
          <w:p w14:paraId="5EFD8ADC" w14:textId="77777777" w:rsidR="00926D77" w:rsidRPr="00516C0C" w:rsidRDefault="00926D77">
            <w:pPr>
              <w:rPr>
                <w:rFonts w:eastAsia="Times New Roman"/>
                <w:noProof/>
                <w:szCs w:val="24"/>
              </w:rPr>
            </w:pPr>
            <w:r w:rsidRPr="00516C0C">
              <w:rPr>
                <w:noProof/>
              </w:rPr>
              <w:t>9. Fusionen oder Verkauf einer juristischen Person, bei der es sich nicht um ein Unternehmen handelt</w:t>
            </w:r>
          </w:p>
          <w:p w14:paraId="3FC5090A" w14:textId="77777777" w:rsidR="00926D77" w:rsidRPr="00516C0C" w:rsidRDefault="00926D77">
            <w:pPr>
              <w:rPr>
                <w:rFonts w:eastAsia="Times New Roman"/>
                <w:noProof/>
                <w:szCs w:val="24"/>
              </w:rPr>
            </w:pPr>
            <w:r w:rsidRPr="00516C0C">
              <w:rPr>
                <w:noProof/>
              </w:rPr>
              <w:t>10. Zivilrechtliche Haftung der Direktoren einer juristischen Person, bei der es sich nicht um ein Unternehmen handelt</w:t>
            </w:r>
          </w:p>
          <w:p w14:paraId="04F8ACC9" w14:textId="77777777" w:rsidR="00926D77" w:rsidRPr="00516C0C" w:rsidRDefault="00926D77">
            <w:pPr>
              <w:rPr>
                <w:rFonts w:eastAsia="Times New Roman"/>
                <w:noProof/>
                <w:szCs w:val="24"/>
              </w:rPr>
            </w:pPr>
            <w:r w:rsidRPr="00516C0C">
              <w:rPr>
                <w:noProof/>
              </w:rPr>
              <w:t>11. Vorschriften und Pflichten im Zusammenhang mit der Verarbeitung personenbezogener Daten</w:t>
            </w:r>
          </w:p>
          <w:p w14:paraId="530960ED" w14:textId="77777777" w:rsidR="00926D77" w:rsidRPr="00516C0C" w:rsidRDefault="00926D77">
            <w:pPr>
              <w:rPr>
                <w:noProof/>
                <w:color w:val="000000"/>
                <w:szCs w:val="24"/>
                <w:shd w:val="clear" w:color="auto" w:fill="FFFFFF"/>
              </w:rPr>
            </w:pPr>
          </w:p>
        </w:tc>
      </w:tr>
      <w:tr w:rsidR="00926D77" w:rsidRPr="00516C0C" w14:paraId="3B308DA4" w14:textId="77777777">
        <w:tc>
          <w:tcPr>
            <w:tcW w:w="3256" w:type="dxa"/>
            <w:tcBorders>
              <w:top w:val="single" w:sz="4" w:space="0" w:color="auto"/>
              <w:left w:val="single" w:sz="4" w:space="0" w:color="auto"/>
              <w:bottom w:val="single" w:sz="4" w:space="0" w:color="auto"/>
              <w:right w:val="single" w:sz="4" w:space="0" w:color="auto"/>
            </w:tcBorders>
            <w:hideMark/>
          </w:tcPr>
          <w:p w14:paraId="6A81B2B1" w14:textId="77777777" w:rsidR="00926D77" w:rsidRPr="00516C0C" w:rsidRDefault="00926D77">
            <w:pPr>
              <w:rPr>
                <w:noProof/>
                <w:color w:val="000000"/>
                <w:szCs w:val="24"/>
                <w:shd w:val="clear" w:color="auto" w:fill="FFFFFF"/>
              </w:rPr>
            </w:pPr>
            <w:r w:rsidRPr="00516C0C">
              <w:rPr>
                <w:noProof/>
                <w:color w:val="000000"/>
                <w:shd w:val="clear" w:color="auto" w:fill="FFFFFF"/>
              </w:rPr>
              <w:t>AB. Arbeitnehmer</w:t>
            </w:r>
          </w:p>
        </w:tc>
        <w:tc>
          <w:tcPr>
            <w:tcW w:w="10692" w:type="dxa"/>
            <w:tcBorders>
              <w:top w:val="single" w:sz="4" w:space="0" w:color="auto"/>
              <w:left w:val="single" w:sz="4" w:space="0" w:color="auto"/>
              <w:bottom w:val="single" w:sz="4" w:space="0" w:color="auto"/>
              <w:right w:val="single" w:sz="4" w:space="0" w:color="auto"/>
            </w:tcBorders>
          </w:tcPr>
          <w:p w14:paraId="0CB10DF7" w14:textId="77777777" w:rsidR="00926D77" w:rsidRPr="00516C0C" w:rsidRDefault="00926D77">
            <w:pPr>
              <w:rPr>
                <w:rFonts w:eastAsia="Times New Roman"/>
                <w:noProof/>
                <w:szCs w:val="24"/>
              </w:rPr>
            </w:pPr>
            <w:r w:rsidRPr="00516C0C">
              <w:rPr>
                <w:noProof/>
                <w:color w:val="000000"/>
                <w:shd w:val="clear" w:color="auto" w:fill="FFFFFF"/>
              </w:rPr>
              <w:t>1. </w:t>
            </w:r>
            <w:r w:rsidRPr="00516C0C">
              <w:rPr>
                <w:noProof/>
              </w:rPr>
              <w:t>Gesetzlich oder durch Rechtsverordnung geregelte Beschäftigungsbedingungen einschließlich Arbeitsstunden, bezahlter Urlaub, Urlaubsansprüche, Rechte und Pflichten in Bezug auf Überstunden, Gesundheitskontrollen, Beendigung von Verträgen, Kündigung oder Entlassungen)</w:t>
            </w:r>
          </w:p>
          <w:p w14:paraId="7F717227" w14:textId="77777777" w:rsidR="00926D77" w:rsidRPr="00516C0C" w:rsidRDefault="00926D77">
            <w:pPr>
              <w:rPr>
                <w:rFonts w:eastAsia="Times New Roman"/>
                <w:noProof/>
                <w:szCs w:val="24"/>
              </w:rPr>
            </w:pPr>
            <w:r w:rsidRPr="00516C0C">
              <w:rPr>
                <w:noProof/>
              </w:rPr>
              <w:t>2. Rechte und Pflichten im Bereich der sozialen Sicherheit in der Union (Registrierung als Arbeitgeber, Registrierung von Beschäftigten, Mitteilung über das Ende eines Vertrags eines Beschäftigten, Zahlung von Sozialbeiträgen, Rechte und Pflichten im Zusammenhang mit Renten)</w:t>
            </w:r>
          </w:p>
          <w:p w14:paraId="3E352F90" w14:textId="77777777" w:rsidR="00926D77" w:rsidRPr="00516C0C" w:rsidRDefault="00926D77">
            <w:pPr>
              <w:rPr>
                <w:rFonts w:eastAsia="Times New Roman"/>
                <w:noProof/>
                <w:szCs w:val="24"/>
              </w:rPr>
            </w:pPr>
            <w:r w:rsidRPr="00516C0C">
              <w:rPr>
                <w:noProof/>
              </w:rPr>
              <w:t>3. Beschäftigung von Arbeitnehmern in anderen Mitgliedstaaten (Entsendung von Arbeitnehmern, Vorschriften über den freien Dienstleistungsverkehr, Wohnsitzanforderungen für Arbeitnehmer)</w:t>
            </w:r>
          </w:p>
          <w:p w14:paraId="196E88A6" w14:textId="77777777" w:rsidR="00926D77" w:rsidRPr="00516C0C" w:rsidRDefault="00926D77">
            <w:pPr>
              <w:rPr>
                <w:rFonts w:eastAsia="Times New Roman"/>
                <w:noProof/>
                <w:szCs w:val="24"/>
              </w:rPr>
            </w:pPr>
            <w:r w:rsidRPr="00516C0C">
              <w:rPr>
                <w:noProof/>
              </w:rPr>
              <w:t>4. Gleichbehandlung (Vorschriften gegen Diskriminierung am Arbeitsplatz, Vorschriften zur gleichen Entlohnung für Männer und Frauen, gleiche Entlohnung für Beschäftigte mit befristeten oder mit unbefristeten Arbeitsverträgen)</w:t>
            </w:r>
          </w:p>
          <w:p w14:paraId="407CF9E8" w14:textId="77777777" w:rsidR="00926D77" w:rsidRPr="00516C0C" w:rsidRDefault="00926D77">
            <w:pPr>
              <w:rPr>
                <w:rFonts w:eastAsia="Times New Roman"/>
                <w:noProof/>
                <w:szCs w:val="24"/>
              </w:rPr>
            </w:pPr>
            <w:r w:rsidRPr="00516C0C">
              <w:rPr>
                <w:noProof/>
              </w:rPr>
              <w:t>5. Vorschriften für die Arbeitnehmervertretung</w:t>
            </w:r>
          </w:p>
          <w:p w14:paraId="158C1C90" w14:textId="77777777" w:rsidR="00926D77" w:rsidRPr="00516C0C" w:rsidRDefault="00926D77">
            <w:pPr>
              <w:rPr>
                <w:noProof/>
                <w:color w:val="000000"/>
                <w:szCs w:val="24"/>
                <w:shd w:val="clear" w:color="auto" w:fill="FFFFFF"/>
              </w:rPr>
            </w:pPr>
          </w:p>
        </w:tc>
      </w:tr>
      <w:tr w:rsidR="00926D77" w:rsidRPr="00516C0C" w14:paraId="15A1B6B8" w14:textId="77777777">
        <w:tc>
          <w:tcPr>
            <w:tcW w:w="3256" w:type="dxa"/>
            <w:tcBorders>
              <w:top w:val="single" w:sz="4" w:space="0" w:color="auto"/>
              <w:left w:val="single" w:sz="4" w:space="0" w:color="auto"/>
              <w:bottom w:val="single" w:sz="4" w:space="0" w:color="auto"/>
              <w:right w:val="single" w:sz="4" w:space="0" w:color="auto"/>
            </w:tcBorders>
            <w:hideMark/>
          </w:tcPr>
          <w:p w14:paraId="50B69170" w14:textId="77777777" w:rsidR="00926D77" w:rsidRPr="00516C0C" w:rsidRDefault="00926D77">
            <w:pPr>
              <w:rPr>
                <w:noProof/>
                <w:color w:val="000000"/>
                <w:szCs w:val="24"/>
                <w:shd w:val="clear" w:color="auto" w:fill="FFFFFF"/>
              </w:rPr>
            </w:pPr>
            <w:r w:rsidRPr="00516C0C">
              <w:rPr>
                <w:noProof/>
                <w:color w:val="000000"/>
                <w:shd w:val="clear" w:color="auto" w:fill="FFFFFF"/>
              </w:rPr>
              <w:t>AC. Steuern</w:t>
            </w:r>
          </w:p>
        </w:tc>
        <w:tc>
          <w:tcPr>
            <w:tcW w:w="10692" w:type="dxa"/>
            <w:tcBorders>
              <w:top w:val="single" w:sz="4" w:space="0" w:color="auto"/>
              <w:left w:val="single" w:sz="4" w:space="0" w:color="auto"/>
              <w:bottom w:val="single" w:sz="4" w:space="0" w:color="auto"/>
              <w:right w:val="single" w:sz="4" w:space="0" w:color="auto"/>
            </w:tcBorders>
            <w:hideMark/>
          </w:tcPr>
          <w:p w14:paraId="06F64CC2" w14:textId="77777777" w:rsidR="00926D77" w:rsidRPr="00516C0C" w:rsidRDefault="00926D77">
            <w:pPr>
              <w:rPr>
                <w:rFonts w:eastAsia="Times New Roman"/>
                <w:noProof/>
                <w:szCs w:val="24"/>
              </w:rPr>
            </w:pPr>
            <w:r w:rsidRPr="00516C0C">
              <w:rPr>
                <w:noProof/>
                <w:color w:val="000000"/>
                <w:shd w:val="clear" w:color="auto" w:fill="FFFFFF"/>
              </w:rPr>
              <w:t xml:space="preserve">1. Mehrwertsteuer: </w:t>
            </w:r>
            <w:r w:rsidRPr="00516C0C">
              <w:rPr>
                <w:noProof/>
              </w:rPr>
              <w:t>Informationen über die allgemeinen Vorschriften, Sätze und Ausnahmeregelungen, MwSt.-Registrierung und -Zahlung, MwSt.-Erstattung</w:t>
            </w:r>
          </w:p>
          <w:p w14:paraId="31EB6480" w14:textId="77777777" w:rsidR="00926D77" w:rsidRPr="00516C0C" w:rsidRDefault="00926D77">
            <w:pPr>
              <w:rPr>
                <w:rFonts w:eastAsia="Times New Roman"/>
                <w:noProof/>
                <w:szCs w:val="24"/>
              </w:rPr>
            </w:pPr>
            <w:r w:rsidRPr="00516C0C">
              <w:rPr>
                <w:noProof/>
              </w:rPr>
              <w:t>2. Verbrauchsteuern: Informationen über die allgemeinen Vorschriften, Sätze und Ausnahmeregelungen, Verbrauchsteuerregistrierung und -zahlung, Verbrauchsteuererstattung</w:t>
            </w:r>
          </w:p>
          <w:p w14:paraId="2E7B5AEB" w14:textId="77777777" w:rsidR="00926D77" w:rsidRPr="00516C0C" w:rsidRDefault="00926D77">
            <w:pPr>
              <w:rPr>
                <w:rFonts w:eastAsia="Times New Roman"/>
                <w:noProof/>
                <w:szCs w:val="24"/>
              </w:rPr>
            </w:pPr>
            <w:r w:rsidRPr="00516C0C">
              <w:rPr>
                <w:noProof/>
              </w:rPr>
              <w:t>3. Zölle und andere Steuern und Abgaben, die auf Einfuhren erhoben werden</w:t>
            </w:r>
          </w:p>
          <w:p w14:paraId="4D5BA9BC" w14:textId="77777777" w:rsidR="00926D77" w:rsidRPr="00516C0C" w:rsidRDefault="00926D77">
            <w:pPr>
              <w:rPr>
                <w:rFonts w:eastAsia="Times New Roman"/>
                <w:noProof/>
                <w:szCs w:val="24"/>
              </w:rPr>
            </w:pPr>
            <w:r w:rsidRPr="00516C0C">
              <w:rPr>
                <w:noProof/>
              </w:rPr>
              <w:t>4. Zollverfahren für Einfuhren und Ausfuhren gemäß dem Zollkodex der Union</w:t>
            </w:r>
          </w:p>
          <w:p w14:paraId="49E01259" w14:textId="03A3B37C" w:rsidR="0028525A" w:rsidRPr="00516C0C" w:rsidRDefault="00926D77">
            <w:pPr>
              <w:rPr>
                <w:rFonts w:eastAsia="Times New Roman"/>
                <w:noProof/>
                <w:szCs w:val="24"/>
              </w:rPr>
            </w:pPr>
            <w:r w:rsidRPr="00516C0C">
              <w:rPr>
                <w:noProof/>
              </w:rPr>
              <w:t>5. Sonstige Steuern Zahlung, Sätze, Steuererklärungen</w:t>
            </w:r>
          </w:p>
          <w:p w14:paraId="0FC50D73" w14:textId="77777777" w:rsidR="00926D77" w:rsidRPr="00516C0C" w:rsidRDefault="00926D77">
            <w:pPr>
              <w:rPr>
                <w:noProof/>
                <w:color w:val="000000"/>
                <w:szCs w:val="24"/>
                <w:shd w:val="clear" w:color="auto" w:fill="FFFFFF"/>
              </w:rPr>
            </w:pPr>
          </w:p>
        </w:tc>
      </w:tr>
      <w:tr w:rsidR="00926D77" w:rsidRPr="00516C0C" w14:paraId="462B78C6" w14:textId="77777777">
        <w:tc>
          <w:tcPr>
            <w:tcW w:w="3256" w:type="dxa"/>
            <w:tcBorders>
              <w:top w:val="single" w:sz="4" w:space="0" w:color="auto"/>
              <w:left w:val="single" w:sz="4" w:space="0" w:color="auto"/>
              <w:bottom w:val="single" w:sz="4" w:space="0" w:color="auto"/>
              <w:right w:val="single" w:sz="4" w:space="0" w:color="auto"/>
            </w:tcBorders>
            <w:hideMark/>
          </w:tcPr>
          <w:p w14:paraId="77EB5E52" w14:textId="77777777" w:rsidR="00926D77" w:rsidRPr="00516C0C" w:rsidRDefault="00926D77">
            <w:pPr>
              <w:rPr>
                <w:noProof/>
                <w:color w:val="000000"/>
                <w:szCs w:val="24"/>
                <w:shd w:val="clear" w:color="auto" w:fill="FFFFFF"/>
              </w:rPr>
            </w:pPr>
            <w:r w:rsidRPr="00516C0C">
              <w:rPr>
                <w:noProof/>
                <w:color w:val="000000"/>
                <w:shd w:val="clear" w:color="auto" w:fill="FFFFFF"/>
              </w:rPr>
              <w:t xml:space="preserve">AD. Waren </w:t>
            </w:r>
          </w:p>
        </w:tc>
        <w:tc>
          <w:tcPr>
            <w:tcW w:w="10692" w:type="dxa"/>
            <w:tcBorders>
              <w:top w:val="single" w:sz="4" w:space="0" w:color="auto"/>
              <w:left w:val="single" w:sz="4" w:space="0" w:color="auto"/>
              <w:bottom w:val="single" w:sz="4" w:space="0" w:color="auto"/>
              <w:right w:val="single" w:sz="4" w:space="0" w:color="auto"/>
            </w:tcBorders>
          </w:tcPr>
          <w:p w14:paraId="1B8E79CF" w14:textId="77777777" w:rsidR="00926D77" w:rsidRPr="00516C0C" w:rsidRDefault="00926D77">
            <w:pPr>
              <w:rPr>
                <w:noProof/>
                <w:color w:val="000000"/>
                <w:szCs w:val="24"/>
                <w:shd w:val="clear" w:color="auto" w:fill="FFFFFF"/>
              </w:rPr>
            </w:pPr>
            <w:r w:rsidRPr="00516C0C">
              <w:rPr>
                <w:noProof/>
                <w:color w:val="000000"/>
                <w:shd w:val="clear" w:color="auto" w:fill="FFFFFF"/>
              </w:rPr>
              <w:t xml:space="preserve">1. Erlangung der CE-Kennzeichnung </w:t>
            </w:r>
          </w:p>
          <w:p w14:paraId="43E3C427" w14:textId="77777777" w:rsidR="00926D77" w:rsidRPr="00516C0C" w:rsidRDefault="00926D77">
            <w:pPr>
              <w:rPr>
                <w:rFonts w:eastAsia="Times New Roman"/>
                <w:noProof/>
                <w:szCs w:val="24"/>
              </w:rPr>
            </w:pPr>
            <w:r w:rsidRPr="00516C0C">
              <w:rPr>
                <w:noProof/>
                <w:color w:val="000000"/>
                <w:shd w:val="clear" w:color="auto" w:fill="FFFFFF"/>
              </w:rPr>
              <w:t>2.</w:t>
            </w:r>
            <w:r w:rsidRPr="00516C0C">
              <w:rPr>
                <w:noProof/>
              </w:rPr>
              <w:t> Vorschriften für und Anforderungen an Erzeugnisse</w:t>
            </w:r>
          </w:p>
          <w:p w14:paraId="13E8F0BA" w14:textId="77777777" w:rsidR="00926D77" w:rsidRPr="00516C0C" w:rsidRDefault="00926D77">
            <w:pPr>
              <w:rPr>
                <w:rFonts w:eastAsia="Times New Roman"/>
                <w:noProof/>
                <w:szCs w:val="24"/>
              </w:rPr>
            </w:pPr>
            <w:r w:rsidRPr="00516C0C">
              <w:rPr>
                <w:noProof/>
              </w:rPr>
              <w:t>3. Feststellung der geltenden Normen, technischen Spezifikationen und Zertifizierung der Produkte</w:t>
            </w:r>
          </w:p>
          <w:p w14:paraId="6A67B9E7" w14:textId="77777777" w:rsidR="00926D77" w:rsidRPr="00516C0C" w:rsidRDefault="00926D77">
            <w:pPr>
              <w:rPr>
                <w:rFonts w:eastAsia="Times New Roman"/>
                <w:noProof/>
                <w:szCs w:val="24"/>
              </w:rPr>
            </w:pPr>
            <w:r w:rsidRPr="00516C0C">
              <w:rPr>
                <w:noProof/>
              </w:rPr>
              <w:t>4. Gegenseitige Anerkennung von Produkten, die keinen Unionsspezifikationen unterliegen</w:t>
            </w:r>
          </w:p>
          <w:p w14:paraId="2853C4D0" w14:textId="77777777" w:rsidR="00926D77" w:rsidRPr="00516C0C" w:rsidRDefault="00926D77">
            <w:pPr>
              <w:rPr>
                <w:rFonts w:eastAsia="Times New Roman"/>
                <w:noProof/>
                <w:szCs w:val="24"/>
              </w:rPr>
            </w:pPr>
            <w:r w:rsidRPr="00516C0C">
              <w:rPr>
                <w:noProof/>
              </w:rPr>
              <w:t>5. Anforderungen in Bezug auf die Einstufung, Kennzeichnung und Verpackung von gefährlichen Chemikalien</w:t>
            </w:r>
          </w:p>
          <w:p w14:paraId="30B216A3" w14:textId="77777777" w:rsidR="00926D77" w:rsidRPr="00516C0C" w:rsidRDefault="00926D77">
            <w:pPr>
              <w:rPr>
                <w:rFonts w:eastAsia="Times New Roman"/>
                <w:noProof/>
                <w:szCs w:val="24"/>
              </w:rPr>
            </w:pPr>
            <w:r w:rsidRPr="00516C0C">
              <w:rPr>
                <w:noProof/>
              </w:rPr>
              <w:t>6. Verkäufe im Fernabsatz und außerhalb von Geschäftsräumen: Informationen, die Verbrauchern vorab zu erteilen sind, schriftliche Vertragsbestätigung, Rücktritt von einem Vertrag, Lieferung der Waren, sonstige spezifische Verpflichtungen</w:t>
            </w:r>
          </w:p>
          <w:p w14:paraId="3B1B3219" w14:textId="77777777" w:rsidR="00926D77" w:rsidRPr="00516C0C" w:rsidRDefault="00926D77">
            <w:pPr>
              <w:rPr>
                <w:rFonts w:eastAsia="Times New Roman"/>
                <w:noProof/>
                <w:szCs w:val="24"/>
              </w:rPr>
            </w:pPr>
            <w:r w:rsidRPr="00516C0C">
              <w:rPr>
                <w:noProof/>
              </w:rPr>
              <w:t>7. Fehlerhafte Produkte: Verbraucherrechte und Garantien, Verantwortlichkeiten nach dem Verkauf, Abhilfemöglichkeiten für eine geschädigte Partei</w:t>
            </w:r>
          </w:p>
          <w:p w14:paraId="1D5DBC7B" w14:textId="77777777" w:rsidR="00926D77" w:rsidRPr="00516C0C" w:rsidRDefault="00926D77">
            <w:pPr>
              <w:rPr>
                <w:rFonts w:eastAsia="Times New Roman"/>
                <w:noProof/>
                <w:szCs w:val="24"/>
              </w:rPr>
            </w:pPr>
            <w:r w:rsidRPr="00516C0C">
              <w:rPr>
                <w:noProof/>
              </w:rPr>
              <w:t>8. Zertifizierung, Gütezeichen (EMAS, Energieeffizienzkennzeichnung, Ökodesign, EU-Umweltzeichen)</w:t>
            </w:r>
          </w:p>
          <w:p w14:paraId="30147488" w14:textId="77777777" w:rsidR="00926D77" w:rsidRPr="00516C0C" w:rsidRDefault="00926D77">
            <w:pPr>
              <w:rPr>
                <w:noProof/>
                <w:color w:val="000000"/>
                <w:szCs w:val="24"/>
                <w:shd w:val="clear" w:color="auto" w:fill="FFFFFF"/>
              </w:rPr>
            </w:pPr>
            <w:r w:rsidRPr="00516C0C">
              <w:rPr>
                <w:noProof/>
                <w:color w:val="000000"/>
                <w:shd w:val="clear" w:color="auto" w:fill="FFFFFF"/>
              </w:rPr>
              <w:t>9. </w:t>
            </w:r>
            <w:r w:rsidRPr="00516C0C">
              <w:rPr>
                <w:noProof/>
              </w:rPr>
              <w:t>Recycling und Abfallentsorgung</w:t>
            </w:r>
          </w:p>
          <w:p w14:paraId="1BC74194" w14:textId="77777777" w:rsidR="00926D77" w:rsidRPr="00516C0C" w:rsidRDefault="00926D77">
            <w:pPr>
              <w:rPr>
                <w:noProof/>
                <w:color w:val="000000"/>
                <w:szCs w:val="24"/>
                <w:shd w:val="clear" w:color="auto" w:fill="FFFFFF"/>
              </w:rPr>
            </w:pPr>
          </w:p>
        </w:tc>
      </w:tr>
      <w:tr w:rsidR="00926D77" w:rsidRPr="00516C0C" w14:paraId="30365AEB" w14:textId="77777777">
        <w:tc>
          <w:tcPr>
            <w:tcW w:w="3256" w:type="dxa"/>
            <w:tcBorders>
              <w:top w:val="single" w:sz="4" w:space="0" w:color="auto"/>
              <w:left w:val="single" w:sz="4" w:space="0" w:color="auto"/>
              <w:bottom w:val="single" w:sz="4" w:space="0" w:color="auto"/>
              <w:right w:val="single" w:sz="4" w:space="0" w:color="auto"/>
            </w:tcBorders>
            <w:hideMark/>
          </w:tcPr>
          <w:p w14:paraId="0CC50BA4" w14:textId="77777777" w:rsidR="00926D77" w:rsidRPr="00516C0C" w:rsidRDefault="00926D77">
            <w:pPr>
              <w:rPr>
                <w:noProof/>
                <w:color w:val="000000"/>
                <w:szCs w:val="24"/>
                <w:shd w:val="clear" w:color="auto" w:fill="FFFFFF"/>
              </w:rPr>
            </w:pPr>
            <w:r w:rsidRPr="00516C0C">
              <w:rPr>
                <w:noProof/>
                <w:color w:val="000000"/>
                <w:shd w:val="clear" w:color="auto" w:fill="FFFFFF"/>
              </w:rPr>
              <w:t xml:space="preserve">AE. Dienstleistungen </w:t>
            </w:r>
          </w:p>
        </w:tc>
        <w:tc>
          <w:tcPr>
            <w:tcW w:w="10692" w:type="dxa"/>
            <w:tcBorders>
              <w:top w:val="single" w:sz="4" w:space="0" w:color="auto"/>
              <w:left w:val="single" w:sz="4" w:space="0" w:color="auto"/>
              <w:bottom w:val="single" w:sz="4" w:space="0" w:color="auto"/>
              <w:right w:val="single" w:sz="4" w:space="0" w:color="auto"/>
            </w:tcBorders>
          </w:tcPr>
          <w:p w14:paraId="7E5C3F88" w14:textId="77777777" w:rsidR="00926D77" w:rsidRPr="00516C0C" w:rsidRDefault="00926D77">
            <w:pPr>
              <w:rPr>
                <w:rFonts w:eastAsia="Times New Roman"/>
                <w:noProof/>
                <w:szCs w:val="24"/>
              </w:rPr>
            </w:pPr>
            <w:r w:rsidRPr="00516C0C">
              <w:rPr>
                <w:noProof/>
                <w:color w:val="000000"/>
                <w:shd w:val="clear" w:color="auto" w:fill="FFFFFF"/>
              </w:rPr>
              <w:t>1. Erlangung</w:t>
            </w:r>
            <w:r w:rsidRPr="00516C0C">
              <w:rPr>
                <w:noProof/>
              </w:rPr>
              <w:t xml:space="preserve"> von Lizenzen, Genehmigungen oder Zulassungen im Hinblick auf Begründung und Tätigkeit einer juristischen Person, bei der es sich nicht um ein Unternehmen handelt</w:t>
            </w:r>
          </w:p>
          <w:p w14:paraId="33FE4403" w14:textId="77777777" w:rsidR="00926D77" w:rsidRPr="00516C0C" w:rsidRDefault="00926D77">
            <w:pPr>
              <w:rPr>
                <w:rFonts w:eastAsia="Times New Roman"/>
                <w:noProof/>
                <w:szCs w:val="24"/>
              </w:rPr>
            </w:pPr>
            <w:r w:rsidRPr="00516C0C">
              <w:rPr>
                <w:noProof/>
              </w:rPr>
              <w:t>2. Unterrichtung der Behörden über grenzüberschreitende Tätigkeiten</w:t>
            </w:r>
          </w:p>
          <w:p w14:paraId="3C83E774" w14:textId="77777777" w:rsidR="00926D77" w:rsidRPr="00516C0C" w:rsidRDefault="00926D77">
            <w:pPr>
              <w:rPr>
                <w:rFonts w:eastAsia="Times New Roman"/>
                <w:noProof/>
                <w:szCs w:val="24"/>
              </w:rPr>
            </w:pPr>
            <w:r w:rsidRPr="00516C0C">
              <w:rPr>
                <w:noProof/>
              </w:rPr>
              <w:t>3. Anerkennung beruflicher Qualifikationen, einschließlich beruflicher Bildung</w:t>
            </w:r>
          </w:p>
          <w:p w14:paraId="2B53281B" w14:textId="77777777" w:rsidR="00926D77" w:rsidRPr="00516C0C" w:rsidRDefault="00926D77">
            <w:pPr>
              <w:rPr>
                <w:noProof/>
                <w:color w:val="000000"/>
                <w:szCs w:val="24"/>
                <w:shd w:val="clear" w:color="auto" w:fill="FFFFFF"/>
              </w:rPr>
            </w:pPr>
          </w:p>
        </w:tc>
      </w:tr>
      <w:tr w:rsidR="00926D77" w:rsidRPr="00516C0C" w14:paraId="2734F6D8" w14:textId="77777777">
        <w:tc>
          <w:tcPr>
            <w:tcW w:w="3256" w:type="dxa"/>
            <w:tcBorders>
              <w:top w:val="single" w:sz="4" w:space="0" w:color="auto"/>
              <w:left w:val="single" w:sz="4" w:space="0" w:color="auto"/>
              <w:bottom w:val="single" w:sz="4" w:space="0" w:color="auto"/>
              <w:right w:val="single" w:sz="4" w:space="0" w:color="auto"/>
            </w:tcBorders>
            <w:hideMark/>
          </w:tcPr>
          <w:p w14:paraId="304AAB4F" w14:textId="77777777" w:rsidR="00926D77" w:rsidRPr="00516C0C" w:rsidRDefault="00926D77">
            <w:pPr>
              <w:rPr>
                <w:noProof/>
                <w:color w:val="000000"/>
                <w:szCs w:val="24"/>
                <w:shd w:val="clear" w:color="auto" w:fill="FFFFFF"/>
              </w:rPr>
            </w:pPr>
            <w:r w:rsidRPr="00516C0C">
              <w:rPr>
                <w:noProof/>
                <w:color w:val="000000"/>
                <w:shd w:val="clear" w:color="auto" w:fill="FFFFFF"/>
              </w:rPr>
              <w:t>AF. Finanzierung einer juristischen Person, bei der es sich nicht um ein Unternehmen handelt</w:t>
            </w:r>
          </w:p>
        </w:tc>
        <w:tc>
          <w:tcPr>
            <w:tcW w:w="10692" w:type="dxa"/>
            <w:tcBorders>
              <w:top w:val="single" w:sz="4" w:space="0" w:color="auto"/>
              <w:left w:val="single" w:sz="4" w:space="0" w:color="auto"/>
              <w:bottom w:val="single" w:sz="4" w:space="0" w:color="auto"/>
              <w:right w:val="single" w:sz="4" w:space="0" w:color="auto"/>
            </w:tcBorders>
          </w:tcPr>
          <w:p w14:paraId="3B9AC98B" w14:textId="77777777" w:rsidR="00926D77" w:rsidRPr="00516C0C" w:rsidRDefault="00926D77">
            <w:pPr>
              <w:rPr>
                <w:rFonts w:eastAsia="Times New Roman"/>
                <w:noProof/>
                <w:szCs w:val="24"/>
              </w:rPr>
            </w:pPr>
            <w:r w:rsidRPr="00516C0C">
              <w:rPr>
                <w:noProof/>
                <w:color w:val="000000"/>
                <w:shd w:val="clear" w:color="auto" w:fill="FFFFFF"/>
              </w:rPr>
              <w:t>1. </w:t>
            </w:r>
            <w:r w:rsidRPr="00516C0C">
              <w:rPr>
                <w:noProof/>
              </w:rPr>
              <w:t>Zugang zu Finanzmitteln auf Unionsebene, einschließlich Finanzierungsprogramme der Union und Finanzhilfen</w:t>
            </w:r>
          </w:p>
          <w:p w14:paraId="3C32BD27" w14:textId="77777777" w:rsidR="00926D77" w:rsidRPr="00516C0C" w:rsidRDefault="00926D77">
            <w:pPr>
              <w:rPr>
                <w:rFonts w:eastAsia="Times New Roman"/>
                <w:noProof/>
                <w:szCs w:val="24"/>
              </w:rPr>
            </w:pPr>
            <w:r w:rsidRPr="00516C0C">
              <w:rPr>
                <w:noProof/>
              </w:rPr>
              <w:t>2. Zugang zu Finanzmitteln auf nationaler Ebene</w:t>
            </w:r>
          </w:p>
          <w:p w14:paraId="018F4AFA" w14:textId="77777777" w:rsidR="00926D77" w:rsidRPr="00516C0C" w:rsidRDefault="00926D77">
            <w:pPr>
              <w:rPr>
                <w:noProof/>
                <w:color w:val="000000"/>
                <w:szCs w:val="24"/>
                <w:shd w:val="clear" w:color="auto" w:fill="FFFFFF"/>
              </w:rPr>
            </w:pPr>
            <w:r w:rsidRPr="00516C0C">
              <w:rPr>
                <w:noProof/>
                <w:color w:val="000000"/>
                <w:shd w:val="clear" w:color="auto" w:fill="FFFFFF"/>
              </w:rPr>
              <w:t>3. Initiativen für juristische Personen, bei denen es sich nicht um Unternehmen handelt (Austauschmaßnahmen, Mentoring-Programme, usw.)</w:t>
            </w:r>
          </w:p>
          <w:p w14:paraId="713C0912" w14:textId="77777777" w:rsidR="00926D77" w:rsidRPr="00516C0C" w:rsidRDefault="00926D77">
            <w:pPr>
              <w:rPr>
                <w:noProof/>
                <w:color w:val="000000"/>
                <w:szCs w:val="24"/>
                <w:shd w:val="clear" w:color="auto" w:fill="FFFFFF"/>
              </w:rPr>
            </w:pPr>
          </w:p>
        </w:tc>
      </w:tr>
      <w:tr w:rsidR="00926D77" w:rsidRPr="00516C0C" w14:paraId="37F11A72" w14:textId="77777777">
        <w:tc>
          <w:tcPr>
            <w:tcW w:w="3256" w:type="dxa"/>
            <w:tcBorders>
              <w:top w:val="single" w:sz="4" w:space="0" w:color="auto"/>
              <w:left w:val="single" w:sz="4" w:space="0" w:color="auto"/>
              <w:bottom w:val="single" w:sz="4" w:space="0" w:color="auto"/>
              <w:right w:val="single" w:sz="4" w:space="0" w:color="auto"/>
            </w:tcBorders>
            <w:hideMark/>
          </w:tcPr>
          <w:p w14:paraId="35EE92DD" w14:textId="77777777" w:rsidR="00926D77" w:rsidRPr="00516C0C" w:rsidRDefault="00926D77">
            <w:pPr>
              <w:rPr>
                <w:noProof/>
                <w:color w:val="000000"/>
                <w:szCs w:val="24"/>
                <w:shd w:val="clear" w:color="auto" w:fill="FFFFFF"/>
              </w:rPr>
            </w:pPr>
            <w:r w:rsidRPr="00516C0C">
              <w:rPr>
                <w:noProof/>
                <w:color w:val="000000"/>
                <w:shd w:val="clear" w:color="auto" w:fill="FFFFFF"/>
              </w:rPr>
              <w:t>AG. Öffentliche Aufträge</w:t>
            </w:r>
          </w:p>
        </w:tc>
        <w:tc>
          <w:tcPr>
            <w:tcW w:w="10692" w:type="dxa"/>
            <w:tcBorders>
              <w:top w:val="single" w:sz="4" w:space="0" w:color="auto"/>
              <w:left w:val="single" w:sz="4" w:space="0" w:color="auto"/>
              <w:bottom w:val="single" w:sz="4" w:space="0" w:color="auto"/>
              <w:right w:val="single" w:sz="4" w:space="0" w:color="auto"/>
            </w:tcBorders>
          </w:tcPr>
          <w:p w14:paraId="1C84EC53" w14:textId="77777777" w:rsidR="00926D77" w:rsidRPr="00516C0C" w:rsidRDefault="00926D77">
            <w:pPr>
              <w:rPr>
                <w:noProof/>
                <w:color w:val="000000"/>
                <w:szCs w:val="24"/>
                <w:shd w:val="clear" w:color="auto" w:fill="FFFFFF"/>
              </w:rPr>
            </w:pPr>
            <w:r w:rsidRPr="00516C0C">
              <w:rPr>
                <w:noProof/>
                <w:color w:val="000000"/>
                <w:shd w:val="clear" w:color="auto" w:fill="FFFFFF"/>
              </w:rPr>
              <w:t>1. Teilnahme an öffentlichen Ausschreibungen: Regeln und Verfahren</w:t>
            </w:r>
          </w:p>
          <w:p w14:paraId="326ADCEF" w14:textId="77777777" w:rsidR="00926D77" w:rsidRPr="00516C0C" w:rsidRDefault="00926D77">
            <w:pPr>
              <w:rPr>
                <w:noProof/>
                <w:color w:val="000000"/>
                <w:szCs w:val="24"/>
                <w:shd w:val="clear" w:color="auto" w:fill="FFFFFF"/>
              </w:rPr>
            </w:pPr>
            <w:r w:rsidRPr="00516C0C">
              <w:rPr>
                <w:noProof/>
                <w:color w:val="000000"/>
                <w:shd w:val="clear" w:color="auto" w:fill="FFFFFF"/>
              </w:rPr>
              <w:t>2. Online-Abgabe eines Gebots auf eine öffentliche Ausschreibung</w:t>
            </w:r>
          </w:p>
          <w:p w14:paraId="48AA79D1" w14:textId="77777777" w:rsidR="00926D77" w:rsidRPr="00516C0C" w:rsidRDefault="00926D77">
            <w:pPr>
              <w:rPr>
                <w:rFonts w:eastAsia="Times New Roman"/>
                <w:noProof/>
                <w:szCs w:val="24"/>
              </w:rPr>
            </w:pPr>
            <w:r w:rsidRPr="00516C0C">
              <w:rPr>
                <w:noProof/>
                <w:color w:val="000000"/>
                <w:shd w:val="clear" w:color="auto" w:fill="FFFFFF"/>
              </w:rPr>
              <w:t>3. </w:t>
            </w:r>
            <w:r w:rsidRPr="00516C0C">
              <w:rPr>
                <w:noProof/>
              </w:rPr>
              <w:t>Meldung von Unregelmäßigkeiten im Zusammenhang mit dem Ausschreibungsverfahren</w:t>
            </w:r>
          </w:p>
          <w:p w14:paraId="4F101B38" w14:textId="77777777" w:rsidR="00926D77" w:rsidRPr="00516C0C" w:rsidRDefault="00926D77">
            <w:pPr>
              <w:spacing w:after="0"/>
              <w:rPr>
                <w:noProof/>
                <w:color w:val="000000"/>
                <w:szCs w:val="24"/>
                <w:shd w:val="clear" w:color="auto" w:fill="FFFFFF"/>
              </w:rPr>
            </w:pPr>
          </w:p>
        </w:tc>
      </w:tr>
      <w:tr w:rsidR="00926D77" w:rsidRPr="00516C0C" w14:paraId="0302E363" w14:textId="77777777">
        <w:tc>
          <w:tcPr>
            <w:tcW w:w="3256" w:type="dxa"/>
            <w:tcBorders>
              <w:top w:val="single" w:sz="4" w:space="0" w:color="auto"/>
              <w:left w:val="single" w:sz="4" w:space="0" w:color="auto"/>
              <w:bottom w:val="single" w:sz="4" w:space="0" w:color="auto"/>
              <w:right w:val="single" w:sz="4" w:space="0" w:color="auto"/>
            </w:tcBorders>
            <w:hideMark/>
          </w:tcPr>
          <w:p w14:paraId="37905EDB" w14:textId="77777777" w:rsidR="00926D77" w:rsidRPr="00516C0C" w:rsidRDefault="00926D77">
            <w:pPr>
              <w:rPr>
                <w:noProof/>
                <w:color w:val="000000"/>
                <w:szCs w:val="24"/>
                <w:shd w:val="clear" w:color="auto" w:fill="FFFFFF"/>
              </w:rPr>
            </w:pPr>
            <w:r w:rsidRPr="00516C0C">
              <w:rPr>
                <w:noProof/>
                <w:color w:val="000000"/>
                <w:shd w:val="clear" w:color="auto" w:fill="FFFFFF"/>
              </w:rPr>
              <w:t>AH. Gesundheit und Sicherheit am Arbeitsplatz</w:t>
            </w:r>
          </w:p>
        </w:tc>
        <w:tc>
          <w:tcPr>
            <w:tcW w:w="10692" w:type="dxa"/>
            <w:tcBorders>
              <w:top w:val="single" w:sz="4" w:space="0" w:color="auto"/>
              <w:left w:val="single" w:sz="4" w:space="0" w:color="auto"/>
              <w:bottom w:val="single" w:sz="4" w:space="0" w:color="auto"/>
              <w:right w:val="single" w:sz="4" w:space="0" w:color="auto"/>
            </w:tcBorders>
          </w:tcPr>
          <w:p w14:paraId="3893D06D" w14:textId="5DD05DB5" w:rsidR="00926D77" w:rsidRPr="00516C0C" w:rsidRDefault="00926D77">
            <w:pPr>
              <w:rPr>
                <w:rFonts w:eastAsia="Times New Roman"/>
                <w:noProof/>
                <w:szCs w:val="24"/>
              </w:rPr>
            </w:pPr>
            <w:r w:rsidRPr="00516C0C">
              <w:rPr>
                <w:noProof/>
                <w:color w:val="000000"/>
                <w:shd w:val="clear" w:color="auto" w:fill="FFFFFF"/>
              </w:rPr>
              <w:t>1. </w:t>
            </w:r>
            <w:r w:rsidRPr="00516C0C">
              <w:rPr>
                <w:noProof/>
              </w:rPr>
              <w:t>Gesundheits- und Sicherheitsvorschriften im Zusammenhang mit verschiedenen Arten von Tätigkeiten, einschließlich der Risikovermeidung, Information und Ausbildung“</w:t>
            </w:r>
          </w:p>
          <w:p w14:paraId="19AFA969" w14:textId="77777777" w:rsidR="00926D77" w:rsidRPr="00516C0C" w:rsidRDefault="00926D77">
            <w:pPr>
              <w:rPr>
                <w:noProof/>
                <w:color w:val="000000"/>
                <w:szCs w:val="24"/>
                <w:shd w:val="clear" w:color="auto" w:fill="FFFFFF"/>
              </w:rPr>
            </w:pPr>
          </w:p>
        </w:tc>
      </w:tr>
    </w:tbl>
    <w:p w14:paraId="69C91C68" w14:textId="22AB1744" w:rsidR="00A2210E" w:rsidRPr="00516C0C" w:rsidRDefault="00A2210E" w:rsidP="00957A60">
      <w:pPr>
        <w:pStyle w:val="Titrearticle"/>
        <w:rPr>
          <w:noProof/>
        </w:rPr>
      </w:pPr>
      <w:r w:rsidRPr="00516C0C">
        <w:rPr>
          <w:noProof/>
        </w:rPr>
        <w:t>Artikel 3</w:t>
      </w:r>
    </w:p>
    <w:p w14:paraId="13DC79DE" w14:textId="3B29A700" w:rsidR="00957A60" w:rsidRPr="00516C0C" w:rsidRDefault="00957A60" w:rsidP="00957A60">
      <w:pPr>
        <w:pStyle w:val="Titrearticle"/>
        <w:rPr>
          <w:noProof/>
        </w:rPr>
      </w:pPr>
      <w:r w:rsidRPr="00516C0C">
        <w:rPr>
          <w:noProof/>
        </w:rPr>
        <w:t>Inkrafttreten</w:t>
      </w:r>
    </w:p>
    <w:p w14:paraId="1D238ACB" w14:textId="4F02E4B3" w:rsidR="00A2210E" w:rsidRPr="00454CAE" w:rsidRDefault="00583DB6" w:rsidP="38E9039C">
      <w:pPr>
        <w:rPr>
          <w:highlight w:val="magenta"/>
        </w:rPr>
      </w:pPr>
      <w:r w:rsidRPr="00516C0C">
        <w:rPr>
          <w:noProof/>
        </w:rPr>
        <w:t xml:space="preserve">Diese Verordnung tritt am zwanzigsten Tag nach ihrer Veröffentlichung im </w:t>
      </w:r>
      <w:r w:rsidRPr="00516C0C">
        <w:rPr>
          <w:i/>
          <w:noProof/>
        </w:rPr>
        <w:t>Amtsblatt der Europäischen Union in Kraft</w:t>
      </w:r>
      <w:r w:rsidRPr="00516C0C">
        <w:rPr>
          <w:noProof/>
        </w:rPr>
        <w:t>.</w:t>
      </w:r>
    </w:p>
    <w:p w14:paraId="77905081" w14:textId="77777777" w:rsidR="00A2210E" w:rsidRPr="00516C0C" w:rsidRDefault="00A2210E" w:rsidP="00FA3D6F">
      <w:pPr>
        <w:pStyle w:val="Applicationdirecte"/>
        <w:rPr>
          <w:noProof/>
        </w:rPr>
      </w:pPr>
      <w:r w:rsidRPr="00516C0C">
        <w:rPr>
          <w:noProof/>
        </w:rPr>
        <w:t>Diese Verordnung ist in allen ihren Teilen verbindlich und gilt unmittelbar in jedem Mitgliedstaat.</w:t>
      </w:r>
    </w:p>
    <w:p w14:paraId="5CE23979" w14:textId="3067C826" w:rsidR="00A2210E" w:rsidRPr="00516C0C" w:rsidRDefault="002F7F80" w:rsidP="005A75D1">
      <w:pPr>
        <w:pStyle w:val="Fait"/>
        <w:rPr>
          <w:noProof/>
        </w:rPr>
      </w:pPr>
      <w:r w:rsidRPr="002F7F80">
        <w:t xml:space="preserve">Geschehen zu Brüssel am </w:t>
      </w:r>
      <w:r w:rsidRPr="002F7F80">
        <w:rPr>
          <w:rStyle w:val="Marker"/>
        </w:rPr>
        <w:t>[…]</w:t>
      </w:r>
    </w:p>
    <w:p w14:paraId="6DC3B2E4" w14:textId="77777777" w:rsidR="00A2210E" w:rsidRPr="00516C0C" w:rsidRDefault="00A2210E" w:rsidP="005A75D1">
      <w:pPr>
        <w:pStyle w:val="Institutionquisigne"/>
        <w:rPr>
          <w:noProof/>
        </w:rPr>
      </w:pPr>
      <w:r w:rsidRPr="00516C0C">
        <w:rPr>
          <w:noProof/>
        </w:rPr>
        <w:t>Im Namen des Europäischen Parlaments</w:t>
      </w:r>
      <w:r w:rsidRPr="00516C0C">
        <w:rPr>
          <w:noProof/>
        </w:rPr>
        <w:tab/>
        <w:t>Im Namen des Rates</w:t>
      </w:r>
    </w:p>
    <w:p w14:paraId="7CD7B580" w14:textId="39AEF23B" w:rsidR="00E95A4E" w:rsidRPr="00516C0C" w:rsidRDefault="00A2210E" w:rsidP="00803859">
      <w:pPr>
        <w:pStyle w:val="Personnequisigne"/>
        <w:rPr>
          <w:noProof/>
        </w:rPr>
      </w:pPr>
      <w:r w:rsidRPr="00516C0C">
        <w:rPr>
          <w:noProof/>
        </w:rPr>
        <w:t>Die Präsidentin</w:t>
      </w:r>
      <w:r w:rsidRPr="00516C0C">
        <w:rPr>
          <w:noProof/>
        </w:rPr>
        <w:tab/>
        <w:t>Der Präsident/Die Präsidentin</w:t>
      </w:r>
    </w:p>
    <w:sectPr w:rsidR="00E95A4E" w:rsidRPr="00516C0C" w:rsidSect="002E24B6">
      <w:footerReference w:type="default" r:id="rId13"/>
      <w:footerReference w:type="first" r:id="rId1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E5822" w14:textId="77777777" w:rsidR="00E55A41" w:rsidRDefault="00E55A41" w:rsidP="00A2210E">
      <w:pPr>
        <w:spacing w:before="0" w:after="0"/>
      </w:pPr>
      <w:r>
        <w:separator/>
      </w:r>
    </w:p>
  </w:endnote>
  <w:endnote w:type="continuationSeparator" w:id="0">
    <w:p w14:paraId="1EDE5F51" w14:textId="77777777" w:rsidR="00E55A41" w:rsidRDefault="00E55A41" w:rsidP="00A2210E">
      <w:pPr>
        <w:spacing w:before="0" w:after="0"/>
      </w:pPr>
      <w:r>
        <w:continuationSeparator/>
      </w:r>
    </w:p>
  </w:endnote>
  <w:endnote w:type="continuationNotice" w:id="1">
    <w:p w14:paraId="71D3899D" w14:textId="77777777" w:rsidR="00E55A41" w:rsidRDefault="00E55A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80085" w14:textId="08BF54C7" w:rsidR="00516C0C" w:rsidRPr="002E24B6" w:rsidRDefault="002E24B6" w:rsidP="002E24B6">
    <w:pPr>
      <w:pStyle w:val="Footer"/>
      <w:rPr>
        <w:rFonts w:ascii="Arial" w:hAnsi="Arial" w:cs="Arial"/>
        <w:b/>
        <w:sz w:val="48"/>
      </w:rPr>
    </w:pPr>
    <w:r w:rsidRPr="002E24B6">
      <w:rPr>
        <w:rFonts w:ascii="Arial" w:hAnsi="Arial" w:cs="Arial"/>
        <w:b/>
        <w:sz w:val="48"/>
      </w:rPr>
      <w:t>DE</w:t>
    </w:r>
    <w:r w:rsidRPr="002E24B6">
      <w:rPr>
        <w:rFonts w:ascii="Arial" w:hAnsi="Arial" w:cs="Arial"/>
        <w:b/>
        <w:sz w:val="48"/>
      </w:rPr>
      <w:tab/>
    </w:r>
    <w:r w:rsidRPr="002E24B6">
      <w:rPr>
        <w:rFonts w:ascii="Arial" w:hAnsi="Arial" w:cs="Arial"/>
        <w:b/>
        <w:sz w:val="48"/>
      </w:rPr>
      <w:tab/>
    </w:r>
    <w:r w:rsidRPr="002E24B6">
      <w:tab/>
    </w:r>
    <w:r w:rsidRPr="002E24B6">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A2CF7" w14:textId="70D85237" w:rsidR="002E24B6" w:rsidRPr="002E24B6" w:rsidRDefault="002E24B6" w:rsidP="002E24B6">
    <w:pPr>
      <w:pStyle w:val="Footer"/>
      <w:rPr>
        <w:rFonts w:ascii="Arial" w:hAnsi="Arial" w:cs="Arial"/>
        <w:b/>
        <w:sz w:val="48"/>
      </w:rPr>
    </w:pPr>
    <w:r w:rsidRPr="002E24B6">
      <w:rPr>
        <w:rFonts w:ascii="Arial" w:hAnsi="Arial" w:cs="Arial"/>
        <w:b/>
        <w:sz w:val="48"/>
      </w:rPr>
      <w:t>DE</w:t>
    </w:r>
    <w:r w:rsidRPr="002E24B6">
      <w:rPr>
        <w:rFonts w:ascii="Arial" w:hAnsi="Arial" w:cs="Arial"/>
        <w:b/>
        <w:sz w:val="48"/>
      </w:rPr>
      <w:tab/>
    </w:r>
    <w:r>
      <w:fldChar w:fldCharType="begin"/>
    </w:r>
    <w:r>
      <w:instrText xml:space="preserve"> PAGE  \* MERGEFORMAT </w:instrText>
    </w:r>
    <w:r>
      <w:fldChar w:fldCharType="separate"/>
    </w:r>
    <w:r w:rsidR="005A75D1">
      <w:rPr>
        <w:noProof/>
      </w:rPr>
      <w:t>9</w:t>
    </w:r>
    <w:r>
      <w:fldChar w:fldCharType="end"/>
    </w:r>
    <w:r>
      <w:tab/>
    </w:r>
    <w:r w:rsidRPr="002E24B6">
      <w:tab/>
    </w:r>
    <w:r w:rsidRPr="002E24B6">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EA99A" w14:textId="77777777" w:rsidR="002E24B6" w:rsidRPr="002E24B6" w:rsidRDefault="002E24B6" w:rsidP="002E2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A2440" w14:textId="77777777" w:rsidR="00E55A41" w:rsidRDefault="00E55A41" w:rsidP="00A2210E">
      <w:pPr>
        <w:spacing w:before="0" w:after="0"/>
      </w:pPr>
      <w:r>
        <w:separator/>
      </w:r>
    </w:p>
  </w:footnote>
  <w:footnote w:type="continuationSeparator" w:id="0">
    <w:p w14:paraId="7201BA54" w14:textId="77777777" w:rsidR="00E55A41" w:rsidRDefault="00E55A41" w:rsidP="00A2210E">
      <w:pPr>
        <w:spacing w:before="0" w:after="0"/>
      </w:pPr>
      <w:r>
        <w:continuationSeparator/>
      </w:r>
    </w:p>
  </w:footnote>
  <w:footnote w:type="continuationNotice" w:id="1">
    <w:p w14:paraId="4BE6F4BC" w14:textId="77777777" w:rsidR="00E55A41" w:rsidRDefault="00E55A41">
      <w:pPr>
        <w:spacing w:before="0" w:after="0"/>
      </w:pPr>
    </w:p>
  </w:footnote>
  <w:footnote w:id="2">
    <w:p w14:paraId="2230AC01" w14:textId="214D1809" w:rsidR="00AE0D72" w:rsidRPr="00516C0C" w:rsidRDefault="00AE0D72">
      <w:pPr>
        <w:pStyle w:val="FootnoteText"/>
        <w:rPr>
          <w:lang w:val="de-AT"/>
        </w:rPr>
      </w:pPr>
      <w:r>
        <w:rPr>
          <w:rStyle w:val="FootnoteReference"/>
        </w:rPr>
        <w:footnoteRef/>
      </w:r>
      <w:r w:rsidRPr="00516C0C">
        <w:rPr>
          <w:lang w:val="de-AT"/>
        </w:rPr>
        <w:tab/>
        <w:t>Verordnung (EU) Nr. 1024/2012 des Europäischen Parlaments und des Rates vom 25. Oktober 2012 über die Verwaltungszusammenarbeit mit Hilfe des Binnenmarkt-Informationssystems und zur Aufhebung der Entscheidung 2008/49/EG der Kommission („IMI-Verordnung“) (ABl. L 316 vom 14.11.2012, S. 1).</w:t>
      </w:r>
    </w:p>
  </w:footnote>
  <w:footnote w:id="3">
    <w:p w14:paraId="75987DEC" w14:textId="77777777" w:rsidR="0087751A" w:rsidRPr="00516C0C" w:rsidRDefault="0087751A" w:rsidP="0087751A">
      <w:pPr>
        <w:pStyle w:val="FootnoteText"/>
        <w:rPr>
          <w:lang w:val="de-AT"/>
        </w:rPr>
      </w:pPr>
      <w:r>
        <w:rPr>
          <w:rStyle w:val="FootnoteReference"/>
        </w:rPr>
        <w:footnoteRef/>
      </w:r>
      <w:r w:rsidRPr="00516C0C">
        <w:rPr>
          <w:lang w:val="de-AT"/>
        </w:rPr>
        <w:tab/>
        <w:t>Verordnung (EU) 2018/1724 des Europäischen Parlaments und des Rates vom 2. Oktober 2018 über die Einrichtung eines einheitlichen digitalen Zugangstors zu Informationen, Verfahren, Hilfs- und Problemlösungsdiensten und zur Änderung der Verordnung (EU) Nr. 1024/2012 (ABl. L 295 vom 21.11.2018, S. 1).</w:t>
      </w:r>
    </w:p>
  </w:footnote>
  <w:footnote w:id="4">
    <w:p w14:paraId="3ED1E19F" w14:textId="067121DD" w:rsidR="00C033BF" w:rsidRPr="00516C0C" w:rsidRDefault="00C033BF" w:rsidP="00C033BF">
      <w:pPr>
        <w:pStyle w:val="FootnoteText"/>
        <w:rPr>
          <w:lang w:val="de-AT"/>
        </w:rPr>
      </w:pPr>
      <w:r>
        <w:rPr>
          <w:rStyle w:val="FootnoteReference"/>
        </w:rPr>
        <w:footnoteRef/>
      </w:r>
      <w:r w:rsidRPr="00516C0C">
        <w:rPr>
          <w:lang w:val="de-AT"/>
        </w:rPr>
        <w:tab/>
        <w:t>Referenz der Stellungnahme.</w:t>
      </w:r>
    </w:p>
  </w:footnote>
  <w:footnote w:id="5">
    <w:p w14:paraId="664FED16" w14:textId="318989E0" w:rsidR="005252AA" w:rsidRPr="00516C0C" w:rsidRDefault="005252AA" w:rsidP="005252AA">
      <w:pPr>
        <w:pStyle w:val="FootnoteText"/>
        <w:rPr>
          <w:lang w:val="de-AT"/>
        </w:rPr>
      </w:pPr>
      <w:r>
        <w:rPr>
          <w:rStyle w:val="FootnoteReference"/>
        </w:rPr>
        <w:footnoteRef/>
      </w:r>
      <w:r w:rsidRPr="00516C0C">
        <w:rPr>
          <w:lang w:val="de-AT"/>
        </w:rPr>
        <w:tab/>
        <w:t>Richtlinie des Europäischen Parlaments und des Rates vom … über länderübergreifende europäische Vereinigungen (Amtsblattverweis).</w:t>
      </w:r>
    </w:p>
  </w:footnote>
  <w:footnote w:id="6">
    <w:p w14:paraId="5B998DBD" w14:textId="3A15E380" w:rsidR="00E536CF" w:rsidRPr="00516C0C" w:rsidRDefault="00E536CF">
      <w:pPr>
        <w:pStyle w:val="FootnoteText"/>
        <w:rPr>
          <w:lang w:val="de-AT"/>
        </w:rPr>
      </w:pPr>
      <w:r>
        <w:rPr>
          <w:rStyle w:val="FootnoteReference"/>
        </w:rPr>
        <w:footnoteRef/>
      </w:r>
      <w:r w:rsidRPr="00516C0C">
        <w:rPr>
          <w:lang w:val="de-AT"/>
        </w:rPr>
        <w:tab/>
        <w:t>Verordnung (EU) Nr. 1024/2012 des Europäischen Parlaments und des Rates vom 25. Oktober 2012 über die Verwaltungszusammenarbeit mit Hilfe des Binnenmarkt-Informationssystems und zur Aufhebung der Entscheidung 2008/49/EG der Kommission (im Folgenden „IMI-Verordnung“) (ABl. L 316 vom 14.11.2012, S. 1).</w:t>
      </w:r>
    </w:p>
  </w:footnote>
  <w:footnote w:id="7">
    <w:p w14:paraId="2C1A0679" w14:textId="672F385D" w:rsidR="00F333EE" w:rsidRPr="00516C0C" w:rsidRDefault="00F333EE">
      <w:pPr>
        <w:pStyle w:val="FootnoteText"/>
        <w:rPr>
          <w:lang w:val="de-AT"/>
        </w:rPr>
      </w:pPr>
      <w:r>
        <w:rPr>
          <w:rStyle w:val="FootnoteReference"/>
        </w:rPr>
        <w:footnoteRef/>
      </w:r>
      <w:r w:rsidRPr="00516C0C">
        <w:rPr>
          <w:lang w:val="de-AT"/>
        </w:rPr>
        <w:tab/>
        <w:t>Verordnung (EU) 2018/1724 des Europäischen Parlaments und des Rates vom 2. Oktober 2018 über die Einrichtung eines einheitlichen digitalen Zugangstors zu Informationen, Verfahren, Hilfs- und Problemlösungsdiensten und zur Änderung der Verordnung (EU) Nr. 1024/2012 (ABl. L 295 vom 21.11.2018, S. 1).</w:t>
      </w:r>
    </w:p>
  </w:footnote>
  <w:footnote w:id="8">
    <w:p w14:paraId="6B850632" w14:textId="3962C5C8" w:rsidR="000319D7" w:rsidRPr="008B7FA8" w:rsidRDefault="000319D7">
      <w:pPr>
        <w:pStyle w:val="FootnoteText"/>
      </w:pPr>
      <w:r>
        <w:rPr>
          <w:rStyle w:val="FootnoteReference"/>
        </w:rPr>
        <w:footnoteRef/>
      </w:r>
      <w:r w:rsidRPr="00516C0C">
        <w:rPr>
          <w:lang w:val="de-AT"/>
        </w:rPr>
        <w:tab/>
        <w:t xml:space="preserve">Verordnung (EU) 2018/1724 des Europäischen Parlaments und des Rates vom 2. Oktober 2018 über die Einrichtung eines einheitlichen digitalen Zugangstors zu Informationen, Verfahren, Hilfs- und Problemlösungsdiensten und zur Änderung der Verordnung (EU) Nr. 1024/2012 (ABl. </w:t>
      </w:r>
      <w:r>
        <w:t>L 295 vom 21.11.2018,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A36A01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0D0FD9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1AC71F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E494C69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 w:numId="22">
    <w:abstractNumId w:val="15"/>
  </w:num>
  <w:num w:numId="23">
    <w:abstractNumId w:val="8"/>
  </w:num>
  <w:num w:numId="24">
    <w:abstractNumId w:val="17"/>
  </w:num>
  <w:num w:numId="25">
    <w:abstractNumId w:val="7"/>
  </w:num>
  <w:num w:numId="26">
    <w:abstractNumId w:val="9"/>
  </w:num>
  <w:num w:numId="27">
    <w:abstractNumId w:val="10"/>
  </w:num>
  <w:num w:numId="28">
    <w:abstractNumId w:val="5"/>
  </w:num>
  <w:num w:numId="29">
    <w:abstractNumId w:val="16"/>
  </w:num>
  <w:num w:numId="30">
    <w:abstractNumId w:val="4"/>
  </w:num>
  <w:num w:numId="31">
    <w:abstractNumId w:val="11"/>
  </w:num>
  <w:num w:numId="32">
    <w:abstractNumId w:val="13"/>
  </w:num>
  <w:num w:numId="33">
    <w:abstractNumId w:val="14"/>
  </w:num>
  <w:num w:numId="34">
    <w:abstractNumId w:val="6"/>
  </w:num>
  <w:num w:numId="35">
    <w:abstractNumId w:val="12"/>
  </w:num>
  <w:num w:numId="3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9-04 17:11:4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0131A543-1696-4970-BCBA-005299697366"/>
    <w:docVar w:name="LW_COVERPAGE_TYPE" w:val="1"/>
    <w:docVar w:name="LW_CROSSREFERENCE" w:val="&lt;UNUSED&gt;"/>
    <w:docVar w:name="LW_DocType" w:val="COM"/>
    <w:docVar w:name="LW_EMISSION" w:val="5.9.2023"/>
    <w:docVar w:name="LW_EMISSION_ISODATE" w:val="2023-09-05"/>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314"/>
    <w:docVar w:name="LW_REF.II.NEW.CP_YEAR" w:val="2023"/>
    <w:docVar w:name="LW_REF.INST.NEW" w:val="COM"/>
    <w:docVar w:name="LW_REF.INST.NEW_ADOPTED" w:val="final"/>
    <w:docVar w:name="LW_REF.INST.NEW_TEXT" w:val="(2023) 51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Verordnung (EU) Nr. 1024/2012 und der Verordnung (EU) 2018/1724 hinsichtlich der Nutzung des Binnenmarkt-Informationssystems und des einheitlichen digitalen Zugangstors für die Zwecke bestimmter Anforderungen gemäß der Richtlinie (EU) .../... des Europäischen Parlaments und des Rates über länderübergreifende europäische Vereinigungen (COM(2023)516) _x000b_ _x000b_ _x000b_"/>
    <w:docVar w:name="LW_TYPE.DOC.CP" w:val="VERORDNUNG DES EUROPÄISCHEN PARLAMENTS UND DES RATES"/>
    <w:docVar w:name="LwApiVersions" w:val="LW4CoDe 1.23.2.0; LW 8.0, Build 20211117"/>
  </w:docVars>
  <w:rsids>
    <w:rsidRoot w:val="00A2210E"/>
    <w:rsid w:val="00002B31"/>
    <w:rsid w:val="00003E21"/>
    <w:rsid w:val="000070AF"/>
    <w:rsid w:val="00010BF7"/>
    <w:rsid w:val="0001126D"/>
    <w:rsid w:val="00011788"/>
    <w:rsid w:val="000156DA"/>
    <w:rsid w:val="00023271"/>
    <w:rsid w:val="000319D7"/>
    <w:rsid w:val="00031E65"/>
    <w:rsid w:val="00033062"/>
    <w:rsid w:val="00033BE1"/>
    <w:rsid w:val="000340D5"/>
    <w:rsid w:val="000348BA"/>
    <w:rsid w:val="00034B77"/>
    <w:rsid w:val="0003679B"/>
    <w:rsid w:val="00037B74"/>
    <w:rsid w:val="00040E6C"/>
    <w:rsid w:val="00041669"/>
    <w:rsid w:val="00043A94"/>
    <w:rsid w:val="00043C8B"/>
    <w:rsid w:val="0004400F"/>
    <w:rsid w:val="00052BD1"/>
    <w:rsid w:val="00053554"/>
    <w:rsid w:val="00054458"/>
    <w:rsid w:val="00054ABF"/>
    <w:rsid w:val="00056BE4"/>
    <w:rsid w:val="00061274"/>
    <w:rsid w:val="00061835"/>
    <w:rsid w:val="000637D8"/>
    <w:rsid w:val="00067669"/>
    <w:rsid w:val="00070194"/>
    <w:rsid w:val="00071926"/>
    <w:rsid w:val="00073DE6"/>
    <w:rsid w:val="0007401F"/>
    <w:rsid w:val="000743A0"/>
    <w:rsid w:val="0007448B"/>
    <w:rsid w:val="00075C1C"/>
    <w:rsid w:val="00080A6B"/>
    <w:rsid w:val="00082B6D"/>
    <w:rsid w:val="00083FD7"/>
    <w:rsid w:val="00092866"/>
    <w:rsid w:val="00094671"/>
    <w:rsid w:val="0009575C"/>
    <w:rsid w:val="000957F1"/>
    <w:rsid w:val="000974C2"/>
    <w:rsid w:val="000A1BA8"/>
    <w:rsid w:val="000A1E89"/>
    <w:rsid w:val="000A5C92"/>
    <w:rsid w:val="000A63B0"/>
    <w:rsid w:val="000A6A1F"/>
    <w:rsid w:val="000A7FB9"/>
    <w:rsid w:val="000B228C"/>
    <w:rsid w:val="000B3F83"/>
    <w:rsid w:val="000B41AB"/>
    <w:rsid w:val="000B43E6"/>
    <w:rsid w:val="000B4818"/>
    <w:rsid w:val="000B7B6F"/>
    <w:rsid w:val="000C0CC1"/>
    <w:rsid w:val="000C2D83"/>
    <w:rsid w:val="000C3D34"/>
    <w:rsid w:val="000C3EDE"/>
    <w:rsid w:val="000C432C"/>
    <w:rsid w:val="000C4775"/>
    <w:rsid w:val="000C5864"/>
    <w:rsid w:val="000C664E"/>
    <w:rsid w:val="000E07BE"/>
    <w:rsid w:val="000E245D"/>
    <w:rsid w:val="000E35FC"/>
    <w:rsid w:val="000E558E"/>
    <w:rsid w:val="000E6973"/>
    <w:rsid w:val="000E6CF7"/>
    <w:rsid w:val="000F11FA"/>
    <w:rsid w:val="000F2F5E"/>
    <w:rsid w:val="000F3AC6"/>
    <w:rsid w:val="000F3B34"/>
    <w:rsid w:val="001016EE"/>
    <w:rsid w:val="00102566"/>
    <w:rsid w:val="00102A05"/>
    <w:rsid w:val="001054F7"/>
    <w:rsid w:val="001065F5"/>
    <w:rsid w:val="00107033"/>
    <w:rsid w:val="00110D43"/>
    <w:rsid w:val="00111F55"/>
    <w:rsid w:val="00115D4C"/>
    <w:rsid w:val="00117F7A"/>
    <w:rsid w:val="00120D17"/>
    <w:rsid w:val="00120FF3"/>
    <w:rsid w:val="0012116C"/>
    <w:rsid w:val="001224B6"/>
    <w:rsid w:val="001238EF"/>
    <w:rsid w:val="001246A0"/>
    <w:rsid w:val="001248B5"/>
    <w:rsid w:val="00130073"/>
    <w:rsid w:val="001359A9"/>
    <w:rsid w:val="00137617"/>
    <w:rsid w:val="0014264C"/>
    <w:rsid w:val="00147F0E"/>
    <w:rsid w:val="00153A69"/>
    <w:rsid w:val="0015636D"/>
    <w:rsid w:val="00160100"/>
    <w:rsid w:val="00163047"/>
    <w:rsid w:val="00164815"/>
    <w:rsid w:val="001663AC"/>
    <w:rsid w:val="001710EB"/>
    <w:rsid w:val="0017197E"/>
    <w:rsid w:val="00176A09"/>
    <w:rsid w:val="00181B87"/>
    <w:rsid w:val="0018444B"/>
    <w:rsid w:val="00184E23"/>
    <w:rsid w:val="001919FB"/>
    <w:rsid w:val="0019412A"/>
    <w:rsid w:val="00194786"/>
    <w:rsid w:val="0019535A"/>
    <w:rsid w:val="00197613"/>
    <w:rsid w:val="001A1702"/>
    <w:rsid w:val="001A7EBF"/>
    <w:rsid w:val="001B081A"/>
    <w:rsid w:val="001B30A5"/>
    <w:rsid w:val="001B5A88"/>
    <w:rsid w:val="001B6C40"/>
    <w:rsid w:val="001B7D51"/>
    <w:rsid w:val="001C4699"/>
    <w:rsid w:val="001C4E3B"/>
    <w:rsid w:val="001D1B49"/>
    <w:rsid w:val="001D1CCF"/>
    <w:rsid w:val="001D2343"/>
    <w:rsid w:val="001D7EF2"/>
    <w:rsid w:val="001E01B4"/>
    <w:rsid w:val="001E15C7"/>
    <w:rsid w:val="001E3BBE"/>
    <w:rsid w:val="001E7F12"/>
    <w:rsid w:val="001F14C0"/>
    <w:rsid w:val="001F6BAC"/>
    <w:rsid w:val="001F76B7"/>
    <w:rsid w:val="001F7E6A"/>
    <w:rsid w:val="002009C1"/>
    <w:rsid w:val="00201314"/>
    <w:rsid w:val="0020200F"/>
    <w:rsid w:val="0020348A"/>
    <w:rsid w:val="00206E58"/>
    <w:rsid w:val="00207989"/>
    <w:rsid w:val="00207F25"/>
    <w:rsid w:val="002104EE"/>
    <w:rsid w:val="00210BD2"/>
    <w:rsid w:val="002136CF"/>
    <w:rsid w:val="002176CB"/>
    <w:rsid w:val="0022050E"/>
    <w:rsid w:val="0022390B"/>
    <w:rsid w:val="002241A0"/>
    <w:rsid w:val="0022500B"/>
    <w:rsid w:val="0023028D"/>
    <w:rsid w:val="00233DC7"/>
    <w:rsid w:val="002349CB"/>
    <w:rsid w:val="00234E16"/>
    <w:rsid w:val="002359CE"/>
    <w:rsid w:val="0023785B"/>
    <w:rsid w:val="00240C79"/>
    <w:rsid w:val="002455EF"/>
    <w:rsid w:val="00247779"/>
    <w:rsid w:val="0025052D"/>
    <w:rsid w:val="00251C1A"/>
    <w:rsid w:val="00251E01"/>
    <w:rsid w:val="00253323"/>
    <w:rsid w:val="00260C4B"/>
    <w:rsid w:val="00261136"/>
    <w:rsid w:val="0026341B"/>
    <w:rsid w:val="0026476C"/>
    <w:rsid w:val="00273DD3"/>
    <w:rsid w:val="00277B6A"/>
    <w:rsid w:val="00281004"/>
    <w:rsid w:val="00283BE2"/>
    <w:rsid w:val="0028525A"/>
    <w:rsid w:val="00285AED"/>
    <w:rsid w:val="00285BEE"/>
    <w:rsid w:val="0028741A"/>
    <w:rsid w:val="00291DEF"/>
    <w:rsid w:val="00293E07"/>
    <w:rsid w:val="0029533F"/>
    <w:rsid w:val="002A18EB"/>
    <w:rsid w:val="002A1E34"/>
    <w:rsid w:val="002A2492"/>
    <w:rsid w:val="002A39F1"/>
    <w:rsid w:val="002A40DB"/>
    <w:rsid w:val="002A54BE"/>
    <w:rsid w:val="002A77A0"/>
    <w:rsid w:val="002B181C"/>
    <w:rsid w:val="002B30AF"/>
    <w:rsid w:val="002B4A01"/>
    <w:rsid w:val="002B685B"/>
    <w:rsid w:val="002B79D0"/>
    <w:rsid w:val="002C1435"/>
    <w:rsid w:val="002D1E1F"/>
    <w:rsid w:val="002D742C"/>
    <w:rsid w:val="002E0332"/>
    <w:rsid w:val="002E18F1"/>
    <w:rsid w:val="002E24B6"/>
    <w:rsid w:val="002E70BB"/>
    <w:rsid w:val="002F017B"/>
    <w:rsid w:val="002F30D0"/>
    <w:rsid w:val="002F7F80"/>
    <w:rsid w:val="0030274E"/>
    <w:rsid w:val="00303874"/>
    <w:rsid w:val="00304FDC"/>
    <w:rsid w:val="00305691"/>
    <w:rsid w:val="00305A54"/>
    <w:rsid w:val="00306242"/>
    <w:rsid w:val="003101C0"/>
    <w:rsid w:val="00310299"/>
    <w:rsid w:val="00314065"/>
    <w:rsid w:val="003162F0"/>
    <w:rsid w:val="00332C75"/>
    <w:rsid w:val="0033344A"/>
    <w:rsid w:val="0033371E"/>
    <w:rsid w:val="003476AE"/>
    <w:rsid w:val="00350270"/>
    <w:rsid w:val="00352908"/>
    <w:rsid w:val="00353062"/>
    <w:rsid w:val="00355A98"/>
    <w:rsid w:val="00356756"/>
    <w:rsid w:val="00360621"/>
    <w:rsid w:val="00367192"/>
    <w:rsid w:val="003702B4"/>
    <w:rsid w:val="00371C7E"/>
    <w:rsid w:val="00371E8D"/>
    <w:rsid w:val="00374528"/>
    <w:rsid w:val="003748F0"/>
    <w:rsid w:val="00380BD7"/>
    <w:rsid w:val="00381854"/>
    <w:rsid w:val="00384800"/>
    <w:rsid w:val="003854D4"/>
    <w:rsid w:val="00385F04"/>
    <w:rsid w:val="00386943"/>
    <w:rsid w:val="00390646"/>
    <w:rsid w:val="0039069F"/>
    <w:rsid w:val="003907A1"/>
    <w:rsid w:val="00391D40"/>
    <w:rsid w:val="00394E5B"/>
    <w:rsid w:val="003953C1"/>
    <w:rsid w:val="00395E3B"/>
    <w:rsid w:val="0039743B"/>
    <w:rsid w:val="00397623"/>
    <w:rsid w:val="003A06CF"/>
    <w:rsid w:val="003A2204"/>
    <w:rsid w:val="003A2275"/>
    <w:rsid w:val="003B2EB0"/>
    <w:rsid w:val="003B47CB"/>
    <w:rsid w:val="003B4B65"/>
    <w:rsid w:val="003B5330"/>
    <w:rsid w:val="003B7276"/>
    <w:rsid w:val="003C276D"/>
    <w:rsid w:val="003C27FC"/>
    <w:rsid w:val="003C2E7D"/>
    <w:rsid w:val="003D1E95"/>
    <w:rsid w:val="003D2F0B"/>
    <w:rsid w:val="003D37FC"/>
    <w:rsid w:val="003E192D"/>
    <w:rsid w:val="003E1B5F"/>
    <w:rsid w:val="003E3251"/>
    <w:rsid w:val="003F2700"/>
    <w:rsid w:val="00402EAF"/>
    <w:rsid w:val="0040650F"/>
    <w:rsid w:val="004067C4"/>
    <w:rsid w:val="00406B0E"/>
    <w:rsid w:val="004072ED"/>
    <w:rsid w:val="00410CD4"/>
    <w:rsid w:val="00410E28"/>
    <w:rsid w:val="004128A9"/>
    <w:rsid w:val="00422605"/>
    <w:rsid w:val="0042648E"/>
    <w:rsid w:val="00430827"/>
    <w:rsid w:val="004355FA"/>
    <w:rsid w:val="00440F3B"/>
    <w:rsid w:val="00441219"/>
    <w:rsid w:val="0044440A"/>
    <w:rsid w:val="00444DC8"/>
    <w:rsid w:val="004469C8"/>
    <w:rsid w:val="004525C6"/>
    <w:rsid w:val="00454CAE"/>
    <w:rsid w:val="00457DFB"/>
    <w:rsid w:val="00461397"/>
    <w:rsid w:val="00471A20"/>
    <w:rsid w:val="00474CBD"/>
    <w:rsid w:val="00476125"/>
    <w:rsid w:val="0047657B"/>
    <w:rsid w:val="00476B41"/>
    <w:rsid w:val="00482F2B"/>
    <w:rsid w:val="00483037"/>
    <w:rsid w:val="00483485"/>
    <w:rsid w:val="00483D84"/>
    <w:rsid w:val="00483EFE"/>
    <w:rsid w:val="0048596F"/>
    <w:rsid w:val="00490ED8"/>
    <w:rsid w:val="00492A6D"/>
    <w:rsid w:val="004936D2"/>
    <w:rsid w:val="00494612"/>
    <w:rsid w:val="00494F4F"/>
    <w:rsid w:val="00495616"/>
    <w:rsid w:val="00497992"/>
    <w:rsid w:val="004A360E"/>
    <w:rsid w:val="004A4EEB"/>
    <w:rsid w:val="004A5124"/>
    <w:rsid w:val="004A5AC2"/>
    <w:rsid w:val="004B298E"/>
    <w:rsid w:val="004B4584"/>
    <w:rsid w:val="004B7386"/>
    <w:rsid w:val="004C03DB"/>
    <w:rsid w:val="004C3AC9"/>
    <w:rsid w:val="004C6954"/>
    <w:rsid w:val="004C7643"/>
    <w:rsid w:val="004D2AA3"/>
    <w:rsid w:val="004D2B88"/>
    <w:rsid w:val="004D2DD1"/>
    <w:rsid w:val="004D33FC"/>
    <w:rsid w:val="004D4C8E"/>
    <w:rsid w:val="004D62E7"/>
    <w:rsid w:val="004D6F66"/>
    <w:rsid w:val="004E0762"/>
    <w:rsid w:val="004E09AB"/>
    <w:rsid w:val="004E135D"/>
    <w:rsid w:val="004E300B"/>
    <w:rsid w:val="004F078E"/>
    <w:rsid w:val="004F12DA"/>
    <w:rsid w:val="004F3176"/>
    <w:rsid w:val="004F3C62"/>
    <w:rsid w:val="004F719E"/>
    <w:rsid w:val="0050411A"/>
    <w:rsid w:val="00505DAD"/>
    <w:rsid w:val="0050767B"/>
    <w:rsid w:val="005076AF"/>
    <w:rsid w:val="00510E40"/>
    <w:rsid w:val="00516C0C"/>
    <w:rsid w:val="00517F29"/>
    <w:rsid w:val="005216F4"/>
    <w:rsid w:val="00521704"/>
    <w:rsid w:val="00523D93"/>
    <w:rsid w:val="005252AA"/>
    <w:rsid w:val="00525323"/>
    <w:rsid w:val="00526BB3"/>
    <w:rsid w:val="00527B27"/>
    <w:rsid w:val="005320CB"/>
    <w:rsid w:val="005355BE"/>
    <w:rsid w:val="00551CAC"/>
    <w:rsid w:val="00552A17"/>
    <w:rsid w:val="00554EAA"/>
    <w:rsid w:val="00557C74"/>
    <w:rsid w:val="00563809"/>
    <w:rsid w:val="005643A0"/>
    <w:rsid w:val="0056469A"/>
    <w:rsid w:val="00566733"/>
    <w:rsid w:val="00566A75"/>
    <w:rsid w:val="00567502"/>
    <w:rsid w:val="00582FB5"/>
    <w:rsid w:val="00583003"/>
    <w:rsid w:val="005830C9"/>
    <w:rsid w:val="00583DB6"/>
    <w:rsid w:val="005876A3"/>
    <w:rsid w:val="005912BF"/>
    <w:rsid w:val="0059372B"/>
    <w:rsid w:val="0059468E"/>
    <w:rsid w:val="0059756B"/>
    <w:rsid w:val="005A0628"/>
    <w:rsid w:val="005A139E"/>
    <w:rsid w:val="005A75D1"/>
    <w:rsid w:val="005B028C"/>
    <w:rsid w:val="005B1EB6"/>
    <w:rsid w:val="005B21F8"/>
    <w:rsid w:val="005B2317"/>
    <w:rsid w:val="005B25D6"/>
    <w:rsid w:val="005B2D4D"/>
    <w:rsid w:val="005B41AB"/>
    <w:rsid w:val="005C4B4D"/>
    <w:rsid w:val="005D2623"/>
    <w:rsid w:val="005D51B5"/>
    <w:rsid w:val="005D6D99"/>
    <w:rsid w:val="005E5EF1"/>
    <w:rsid w:val="005E6798"/>
    <w:rsid w:val="005E6A17"/>
    <w:rsid w:val="005E6ABB"/>
    <w:rsid w:val="00600C9D"/>
    <w:rsid w:val="00601FB0"/>
    <w:rsid w:val="00602AF2"/>
    <w:rsid w:val="00610A3E"/>
    <w:rsid w:val="00617DA5"/>
    <w:rsid w:val="00623CAF"/>
    <w:rsid w:val="00624A6C"/>
    <w:rsid w:val="00627687"/>
    <w:rsid w:val="006362E8"/>
    <w:rsid w:val="00636E1F"/>
    <w:rsid w:val="00645448"/>
    <w:rsid w:val="00646F28"/>
    <w:rsid w:val="006473B7"/>
    <w:rsid w:val="00651568"/>
    <w:rsid w:val="00653157"/>
    <w:rsid w:val="0065438F"/>
    <w:rsid w:val="0065712D"/>
    <w:rsid w:val="00657A85"/>
    <w:rsid w:val="00657D57"/>
    <w:rsid w:val="00662EA6"/>
    <w:rsid w:val="00663F6B"/>
    <w:rsid w:val="0066562B"/>
    <w:rsid w:val="00666DDA"/>
    <w:rsid w:val="00667523"/>
    <w:rsid w:val="006709D9"/>
    <w:rsid w:val="00674861"/>
    <w:rsid w:val="00684B95"/>
    <w:rsid w:val="0068795A"/>
    <w:rsid w:val="006911FB"/>
    <w:rsid w:val="00692202"/>
    <w:rsid w:val="00692A6D"/>
    <w:rsid w:val="00694E94"/>
    <w:rsid w:val="006950CC"/>
    <w:rsid w:val="006A0A81"/>
    <w:rsid w:val="006A0B23"/>
    <w:rsid w:val="006A157C"/>
    <w:rsid w:val="006A1A4D"/>
    <w:rsid w:val="006A6083"/>
    <w:rsid w:val="006A64F8"/>
    <w:rsid w:val="006A7FE5"/>
    <w:rsid w:val="006B2D97"/>
    <w:rsid w:val="006B3182"/>
    <w:rsid w:val="006B796B"/>
    <w:rsid w:val="006C0287"/>
    <w:rsid w:val="006D0281"/>
    <w:rsid w:val="006D11AD"/>
    <w:rsid w:val="006D2CCF"/>
    <w:rsid w:val="006E023D"/>
    <w:rsid w:val="006E0C0E"/>
    <w:rsid w:val="006E1B99"/>
    <w:rsid w:val="006E1BD0"/>
    <w:rsid w:val="006E5791"/>
    <w:rsid w:val="006E5D70"/>
    <w:rsid w:val="006E7A48"/>
    <w:rsid w:val="006E7F5A"/>
    <w:rsid w:val="006F0FBB"/>
    <w:rsid w:val="006F115E"/>
    <w:rsid w:val="006F164A"/>
    <w:rsid w:val="006F54BB"/>
    <w:rsid w:val="006F58DB"/>
    <w:rsid w:val="00700250"/>
    <w:rsid w:val="007037B1"/>
    <w:rsid w:val="00704078"/>
    <w:rsid w:val="007050CC"/>
    <w:rsid w:val="00705187"/>
    <w:rsid w:val="007058FA"/>
    <w:rsid w:val="0070736B"/>
    <w:rsid w:val="00710C5F"/>
    <w:rsid w:val="007111C7"/>
    <w:rsid w:val="00714F68"/>
    <w:rsid w:val="0071725A"/>
    <w:rsid w:val="0071757F"/>
    <w:rsid w:val="007206C5"/>
    <w:rsid w:val="00720DB9"/>
    <w:rsid w:val="00724372"/>
    <w:rsid w:val="0072478C"/>
    <w:rsid w:val="00730506"/>
    <w:rsid w:val="00736FCC"/>
    <w:rsid w:val="00741552"/>
    <w:rsid w:val="00742925"/>
    <w:rsid w:val="00742D6E"/>
    <w:rsid w:val="007436D7"/>
    <w:rsid w:val="00744088"/>
    <w:rsid w:val="00745880"/>
    <w:rsid w:val="00746194"/>
    <w:rsid w:val="00747D76"/>
    <w:rsid w:val="00750AE3"/>
    <w:rsid w:val="00752306"/>
    <w:rsid w:val="007549B9"/>
    <w:rsid w:val="00756346"/>
    <w:rsid w:val="00764BDA"/>
    <w:rsid w:val="00766365"/>
    <w:rsid w:val="00767503"/>
    <w:rsid w:val="00773002"/>
    <w:rsid w:val="00773331"/>
    <w:rsid w:val="00773BD4"/>
    <w:rsid w:val="00774536"/>
    <w:rsid w:val="007765E4"/>
    <w:rsid w:val="00781807"/>
    <w:rsid w:val="007879FD"/>
    <w:rsid w:val="00787B48"/>
    <w:rsid w:val="00790F92"/>
    <w:rsid w:val="007913D7"/>
    <w:rsid w:val="007929E7"/>
    <w:rsid w:val="007932EF"/>
    <w:rsid w:val="00797B28"/>
    <w:rsid w:val="007A14FA"/>
    <w:rsid w:val="007A206C"/>
    <w:rsid w:val="007A2CE2"/>
    <w:rsid w:val="007A4B6A"/>
    <w:rsid w:val="007A5A7A"/>
    <w:rsid w:val="007B46F2"/>
    <w:rsid w:val="007B56E6"/>
    <w:rsid w:val="007B6042"/>
    <w:rsid w:val="007B6D24"/>
    <w:rsid w:val="007C379A"/>
    <w:rsid w:val="007C3F61"/>
    <w:rsid w:val="007C4AC8"/>
    <w:rsid w:val="007C4C29"/>
    <w:rsid w:val="007C591F"/>
    <w:rsid w:val="007D4A13"/>
    <w:rsid w:val="007D4A91"/>
    <w:rsid w:val="007E05B0"/>
    <w:rsid w:val="007E109F"/>
    <w:rsid w:val="007E1617"/>
    <w:rsid w:val="007E5B69"/>
    <w:rsid w:val="007E610B"/>
    <w:rsid w:val="007E6251"/>
    <w:rsid w:val="007F1908"/>
    <w:rsid w:val="007F197C"/>
    <w:rsid w:val="007F2263"/>
    <w:rsid w:val="007F3844"/>
    <w:rsid w:val="007F46E2"/>
    <w:rsid w:val="007F6C63"/>
    <w:rsid w:val="007F783A"/>
    <w:rsid w:val="008003DA"/>
    <w:rsid w:val="00801DCC"/>
    <w:rsid w:val="00803859"/>
    <w:rsid w:val="0080563C"/>
    <w:rsid w:val="00805DA0"/>
    <w:rsid w:val="0080625E"/>
    <w:rsid w:val="0080627A"/>
    <w:rsid w:val="008100CA"/>
    <w:rsid w:val="00810CE0"/>
    <w:rsid w:val="00811DF3"/>
    <w:rsid w:val="00816AE0"/>
    <w:rsid w:val="00820675"/>
    <w:rsid w:val="00827CA4"/>
    <w:rsid w:val="00830E13"/>
    <w:rsid w:val="008312A3"/>
    <w:rsid w:val="00832F1B"/>
    <w:rsid w:val="0084130D"/>
    <w:rsid w:val="00841CE0"/>
    <w:rsid w:val="00841F72"/>
    <w:rsid w:val="008422A5"/>
    <w:rsid w:val="0084334E"/>
    <w:rsid w:val="00844FFD"/>
    <w:rsid w:val="008451C2"/>
    <w:rsid w:val="00845E0D"/>
    <w:rsid w:val="0084683C"/>
    <w:rsid w:val="008479B9"/>
    <w:rsid w:val="0085254F"/>
    <w:rsid w:val="008548E4"/>
    <w:rsid w:val="00854C97"/>
    <w:rsid w:val="00854D99"/>
    <w:rsid w:val="00857A70"/>
    <w:rsid w:val="00861F93"/>
    <w:rsid w:val="00866FB1"/>
    <w:rsid w:val="00873EA8"/>
    <w:rsid w:val="0087439D"/>
    <w:rsid w:val="00874D22"/>
    <w:rsid w:val="00875A0F"/>
    <w:rsid w:val="00876D88"/>
    <w:rsid w:val="0087751A"/>
    <w:rsid w:val="008801D6"/>
    <w:rsid w:val="00881BC3"/>
    <w:rsid w:val="00882F28"/>
    <w:rsid w:val="008837AC"/>
    <w:rsid w:val="00885179"/>
    <w:rsid w:val="0088754D"/>
    <w:rsid w:val="0089069F"/>
    <w:rsid w:val="008908C7"/>
    <w:rsid w:val="00890A0C"/>
    <w:rsid w:val="008A20BC"/>
    <w:rsid w:val="008A2914"/>
    <w:rsid w:val="008A303C"/>
    <w:rsid w:val="008A36AB"/>
    <w:rsid w:val="008B4B61"/>
    <w:rsid w:val="008B4E66"/>
    <w:rsid w:val="008B757D"/>
    <w:rsid w:val="008B7FA8"/>
    <w:rsid w:val="008C56BB"/>
    <w:rsid w:val="008C6CFD"/>
    <w:rsid w:val="008D0E87"/>
    <w:rsid w:val="008D1CDB"/>
    <w:rsid w:val="008D1F39"/>
    <w:rsid w:val="008D28CA"/>
    <w:rsid w:val="008D3247"/>
    <w:rsid w:val="008D4131"/>
    <w:rsid w:val="008D6AC1"/>
    <w:rsid w:val="008E1231"/>
    <w:rsid w:val="008E4D8E"/>
    <w:rsid w:val="008E7081"/>
    <w:rsid w:val="008F2314"/>
    <w:rsid w:val="008F696E"/>
    <w:rsid w:val="0090091C"/>
    <w:rsid w:val="009017BA"/>
    <w:rsid w:val="009023D3"/>
    <w:rsid w:val="0090245B"/>
    <w:rsid w:val="00903067"/>
    <w:rsid w:val="00903B57"/>
    <w:rsid w:val="00906C9F"/>
    <w:rsid w:val="00912FA8"/>
    <w:rsid w:val="0091572F"/>
    <w:rsid w:val="00916779"/>
    <w:rsid w:val="00916999"/>
    <w:rsid w:val="009175F9"/>
    <w:rsid w:val="0092279D"/>
    <w:rsid w:val="00923FF0"/>
    <w:rsid w:val="00924774"/>
    <w:rsid w:val="0092490E"/>
    <w:rsid w:val="00926D77"/>
    <w:rsid w:val="00930DCD"/>
    <w:rsid w:val="0093287C"/>
    <w:rsid w:val="00933AB7"/>
    <w:rsid w:val="009356C4"/>
    <w:rsid w:val="009358AD"/>
    <w:rsid w:val="0093643B"/>
    <w:rsid w:val="009379B1"/>
    <w:rsid w:val="009407DC"/>
    <w:rsid w:val="00941F0E"/>
    <w:rsid w:val="00943136"/>
    <w:rsid w:val="00946763"/>
    <w:rsid w:val="009474C8"/>
    <w:rsid w:val="00947F81"/>
    <w:rsid w:val="0095370E"/>
    <w:rsid w:val="00954961"/>
    <w:rsid w:val="00955A44"/>
    <w:rsid w:val="00957562"/>
    <w:rsid w:val="00957A60"/>
    <w:rsid w:val="009603DE"/>
    <w:rsid w:val="00961D45"/>
    <w:rsid w:val="00962985"/>
    <w:rsid w:val="00962E0C"/>
    <w:rsid w:val="00962E9C"/>
    <w:rsid w:val="00964A28"/>
    <w:rsid w:val="009678BE"/>
    <w:rsid w:val="00967E2E"/>
    <w:rsid w:val="00973383"/>
    <w:rsid w:val="009748F4"/>
    <w:rsid w:val="0097595B"/>
    <w:rsid w:val="00980B33"/>
    <w:rsid w:val="00982F47"/>
    <w:rsid w:val="0098300B"/>
    <w:rsid w:val="00985B59"/>
    <w:rsid w:val="00986323"/>
    <w:rsid w:val="009922F1"/>
    <w:rsid w:val="009A1557"/>
    <w:rsid w:val="009A2476"/>
    <w:rsid w:val="009A3A30"/>
    <w:rsid w:val="009A6416"/>
    <w:rsid w:val="009A786F"/>
    <w:rsid w:val="009B0341"/>
    <w:rsid w:val="009B045A"/>
    <w:rsid w:val="009B33EF"/>
    <w:rsid w:val="009B5677"/>
    <w:rsid w:val="009B61F2"/>
    <w:rsid w:val="009B638A"/>
    <w:rsid w:val="009B6A0C"/>
    <w:rsid w:val="009B6D60"/>
    <w:rsid w:val="009B6FCA"/>
    <w:rsid w:val="009B76DC"/>
    <w:rsid w:val="009C0B85"/>
    <w:rsid w:val="009D15EC"/>
    <w:rsid w:val="009D1600"/>
    <w:rsid w:val="009D16A9"/>
    <w:rsid w:val="009E0F8C"/>
    <w:rsid w:val="009E51B3"/>
    <w:rsid w:val="009E59DE"/>
    <w:rsid w:val="009F1FD4"/>
    <w:rsid w:val="009F259F"/>
    <w:rsid w:val="009F2C42"/>
    <w:rsid w:val="009F4F1F"/>
    <w:rsid w:val="009F558E"/>
    <w:rsid w:val="009F6138"/>
    <w:rsid w:val="009F78ED"/>
    <w:rsid w:val="00A00165"/>
    <w:rsid w:val="00A00C39"/>
    <w:rsid w:val="00A0298F"/>
    <w:rsid w:val="00A04F11"/>
    <w:rsid w:val="00A10654"/>
    <w:rsid w:val="00A12336"/>
    <w:rsid w:val="00A15245"/>
    <w:rsid w:val="00A2210E"/>
    <w:rsid w:val="00A2418A"/>
    <w:rsid w:val="00A2738B"/>
    <w:rsid w:val="00A314D0"/>
    <w:rsid w:val="00A37ED0"/>
    <w:rsid w:val="00A42ADC"/>
    <w:rsid w:val="00A4395F"/>
    <w:rsid w:val="00A43A6F"/>
    <w:rsid w:val="00A53C0E"/>
    <w:rsid w:val="00A53D85"/>
    <w:rsid w:val="00A54FED"/>
    <w:rsid w:val="00A56B65"/>
    <w:rsid w:val="00A56BFE"/>
    <w:rsid w:val="00A60200"/>
    <w:rsid w:val="00A637F5"/>
    <w:rsid w:val="00A66590"/>
    <w:rsid w:val="00A73130"/>
    <w:rsid w:val="00A76298"/>
    <w:rsid w:val="00A8014B"/>
    <w:rsid w:val="00A83444"/>
    <w:rsid w:val="00A90462"/>
    <w:rsid w:val="00A906EC"/>
    <w:rsid w:val="00A94CCC"/>
    <w:rsid w:val="00A96250"/>
    <w:rsid w:val="00AA16CC"/>
    <w:rsid w:val="00AA6B1C"/>
    <w:rsid w:val="00AB2561"/>
    <w:rsid w:val="00AB7ABF"/>
    <w:rsid w:val="00AC1A60"/>
    <w:rsid w:val="00AC397C"/>
    <w:rsid w:val="00AC41EE"/>
    <w:rsid w:val="00AD016C"/>
    <w:rsid w:val="00AD0AEC"/>
    <w:rsid w:val="00AD39BA"/>
    <w:rsid w:val="00AD3AB0"/>
    <w:rsid w:val="00AD7409"/>
    <w:rsid w:val="00AE0330"/>
    <w:rsid w:val="00AE05EB"/>
    <w:rsid w:val="00AE0D72"/>
    <w:rsid w:val="00AE2E21"/>
    <w:rsid w:val="00AE75EC"/>
    <w:rsid w:val="00AF1296"/>
    <w:rsid w:val="00AF1F48"/>
    <w:rsid w:val="00B01668"/>
    <w:rsid w:val="00B03401"/>
    <w:rsid w:val="00B10891"/>
    <w:rsid w:val="00B1144F"/>
    <w:rsid w:val="00B11E87"/>
    <w:rsid w:val="00B14D94"/>
    <w:rsid w:val="00B16582"/>
    <w:rsid w:val="00B2067F"/>
    <w:rsid w:val="00B20D55"/>
    <w:rsid w:val="00B22A35"/>
    <w:rsid w:val="00B268FF"/>
    <w:rsid w:val="00B30F87"/>
    <w:rsid w:val="00B36B09"/>
    <w:rsid w:val="00B37E4C"/>
    <w:rsid w:val="00B51F2C"/>
    <w:rsid w:val="00B62990"/>
    <w:rsid w:val="00B629DF"/>
    <w:rsid w:val="00B65EC7"/>
    <w:rsid w:val="00B71212"/>
    <w:rsid w:val="00B764B1"/>
    <w:rsid w:val="00B76619"/>
    <w:rsid w:val="00B768C0"/>
    <w:rsid w:val="00B801C0"/>
    <w:rsid w:val="00B83037"/>
    <w:rsid w:val="00B832FF"/>
    <w:rsid w:val="00B87189"/>
    <w:rsid w:val="00B878CB"/>
    <w:rsid w:val="00B91F91"/>
    <w:rsid w:val="00B92AE0"/>
    <w:rsid w:val="00B92AF7"/>
    <w:rsid w:val="00B92FAA"/>
    <w:rsid w:val="00B93145"/>
    <w:rsid w:val="00B96DA0"/>
    <w:rsid w:val="00B97D7B"/>
    <w:rsid w:val="00BA04B2"/>
    <w:rsid w:val="00BA1193"/>
    <w:rsid w:val="00BA2FA4"/>
    <w:rsid w:val="00BA4C7F"/>
    <w:rsid w:val="00BB2A0A"/>
    <w:rsid w:val="00BB2B23"/>
    <w:rsid w:val="00BB4905"/>
    <w:rsid w:val="00BB5821"/>
    <w:rsid w:val="00BB7203"/>
    <w:rsid w:val="00BB7D5B"/>
    <w:rsid w:val="00BC3467"/>
    <w:rsid w:val="00BC432D"/>
    <w:rsid w:val="00BC7E0B"/>
    <w:rsid w:val="00BD034B"/>
    <w:rsid w:val="00BD2346"/>
    <w:rsid w:val="00BD36EF"/>
    <w:rsid w:val="00BD45A0"/>
    <w:rsid w:val="00BD4D3F"/>
    <w:rsid w:val="00BD5F72"/>
    <w:rsid w:val="00BE113E"/>
    <w:rsid w:val="00BE303E"/>
    <w:rsid w:val="00BE4022"/>
    <w:rsid w:val="00BE64CB"/>
    <w:rsid w:val="00BF098D"/>
    <w:rsid w:val="00BF102B"/>
    <w:rsid w:val="00BF1F77"/>
    <w:rsid w:val="00BF6B5E"/>
    <w:rsid w:val="00BF7C31"/>
    <w:rsid w:val="00C033BF"/>
    <w:rsid w:val="00C06721"/>
    <w:rsid w:val="00C0685A"/>
    <w:rsid w:val="00C10466"/>
    <w:rsid w:val="00C108D8"/>
    <w:rsid w:val="00C12301"/>
    <w:rsid w:val="00C14B3E"/>
    <w:rsid w:val="00C21257"/>
    <w:rsid w:val="00C2253D"/>
    <w:rsid w:val="00C2561D"/>
    <w:rsid w:val="00C25A48"/>
    <w:rsid w:val="00C26B08"/>
    <w:rsid w:val="00C31A3E"/>
    <w:rsid w:val="00C34597"/>
    <w:rsid w:val="00C348C3"/>
    <w:rsid w:val="00C369CC"/>
    <w:rsid w:val="00C40640"/>
    <w:rsid w:val="00C45DD0"/>
    <w:rsid w:val="00C46924"/>
    <w:rsid w:val="00C50876"/>
    <w:rsid w:val="00C509BF"/>
    <w:rsid w:val="00C516D6"/>
    <w:rsid w:val="00C5291B"/>
    <w:rsid w:val="00C530FF"/>
    <w:rsid w:val="00C55090"/>
    <w:rsid w:val="00C5584D"/>
    <w:rsid w:val="00C624A3"/>
    <w:rsid w:val="00C632C4"/>
    <w:rsid w:val="00C64160"/>
    <w:rsid w:val="00C645B5"/>
    <w:rsid w:val="00C70C97"/>
    <w:rsid w:val="00C718B2"/>
    <w:rsid w:val="00C71A89"/>
    <w:rsid w:val="00C73FF3"/>
    <w:rsid w:val="00C74442"/>
    <w:rsid w:val="00C77BEB"/>
    <w:rsid w:val="00C80608"/>
    <w:rsid w:val="00C8186E"/>
    <w:rsid w:val="00C824BE"/>
    <w:rsid w:val="00C8278B"/>
    <w:rsid w:val="00C82DB9"/>
    <w:rsid w:val="00C8560D"/>
    <w:rsid w:val="00C858B3"/>
    <w:rsid w:val="00C863D4"/>
    <w:rsid w:val="00C867F3"/>
    <w:rsid w:val="00C90649"/>
    <w:rsid w:val="00C91B3F"/>
    <w:rsid w:val="00C92341"/>
    <w:rsid w:val="00C94D83"/>
    <w:rsid w:val="00C956C3"/>
    <w:rsid w:val="00CA093E"/>
    <w:rsid w:val="00CA1948"/>
    <w:rsid w:val="00CA62DA"/>
    <w:rsid w:val="00CA642B"/>
    <w:rsid w:val="00CB4AC7"/>
    <w:rsid w:val="00CC5547"/>
    <w:rsid w:val="00CC76D6"/>
    <w:rsid w:val="00CC7F58"/>
    <w:rsid w:val="00CD002E"/>
    <w:rsid w:val="00CD0CB1"/>
    <w:rsid w:val="00CD1888"/>
    <w:rsid w:val="00CD4528"/>
    <w:rsid w:val="00CD59B5"/>
    <w:rsid w:val="00CD60C8"/>
    <w:rsid w:val="00CE1BE9"/>
    <w:rsid w:val="00CE405F"/>
    <w:rsid w:val="00CE463C"/>
    <w:rsid w:val="00CE525E"/>
    <w:rsid w:val="00CF0E1F"/>
    <w:rsid w:val="00CF398F"/>
    <w:rsid w:val="00CF4EFA"/>
    <w:rsid w:val="00CF696D"/>
    <w:rsid w:val="00D008A8"/>
    <w:rsid w:val="00D00DA1"/>
    <w:rsid w:val="00D012D0"/>
    <w:rsid w:val="00D036DD"/>
    <w:rsid w:val="00D077E3"/>
    <w:rsid w:val="00D07FA5"/>
    <w:rsid w:val="00D1193A"/>
    <w:rsid w:val="00D12991"/>
    <w:rsid w:val="00D15C30"/>
    <w:rsid w:val="00D16496"/>
    <w:rsid w:val="00D20381"/>
    <w:rsid w:val="00D22F72"/>
    <w:rsid w:val="00D2327D"/>
    <w:rsid w:val="00D279F0"/>
    <w:rsid w:val="00D27EAD"/>
    <w:rsid w:val="00D30592"/>
    <w:rsid w:val="00D31255"/>
    <w:rsid w:val="00D32405"/>
    <w:rsid w:val="00D3381F"/>
    <w:rsid w:val="00D35C40"/>
    <w:rsid w:val="00D360CE"/>
    <w:rsid w:val="00D3676C"/>
    <w:rsid w:val="00D36F94"/>
    <w:rsid w:val="00D4123F"/>
    <w:rsid w:val="00D44993"/>
    <w:rsid w:val="00D44FA7"/>
    <w:rsid w:val="00D44FDE"/>
    <w:rsid w:val="00D470BC"/>
    <w:rsid w:val="00D51327"/>
    <w:rsid w:val="00D531B0"/>
    <w:rsid w:val="00D55E5C"/>
    <w:rsid w:val="00D606E4"/>
    <w:rsid w:val="00D630A9"/>
    <w:rsid w:val="00D66579"/>
    <w:rsid w:val="00D735AE"/>
    <w:rsid w:val="00D7369B"/>
    <w:rsid w:val="00D752A9"/>
    <w:rsid w:val="00D765B3"/>
    <w:rsid w:val="00D811A6"/>
    <w:rsid w:val="00D8153B"/>
    <w:rsid w:val="00D818FE"/>
    <w:rsid w:val="00D84454"/>
    <w:rsid w:val="00D86167"/>
    <w:rsid w:val="00D86190"/>
    <w:rsid w:val="00D87D4C"/>
    <w:rsid w:val="00D9418F"/>
    <w:rsid w:val="00D9783B"/>
    <w:rsid w:val="00D97DC1"/>
    <w:rsid w:val="00DA0ACA"/>
    <w:rsid w:val="00DA14CC"/>
    <w:rsid w:val="00DA645F"/>
    <w:rsid w:val="00DB02BB"/>
    <w:rsid w:val="00DB16FA"/>
    <w:rsid w:val="00DB1B3D"/>
    <w:rsid w:val="00DB6065"/>
    <w:rsid w:val="00DB6AA7"/>
    <w:rsid w:val="00DC0C3C"/>
    <w:rsid w:val="00DC4798"/>
    <w:rsid w:val="00DD0A5A"/>
    <w:rsid w:val="00DD2AA5"/>
    <w:rsid w:val="00DD325B"/>
    <w:rsid w:val="00DD39DA"/>
    <w:rsid w:val="00DD7DDE"/>
    <w:rsid w:val="00DE003A"/>
    <w:rsid w:val="00DE0497"/>
    <w:rsid w:val="00DE470A"/>
    <w:rsid w:val="00DE4C1F"/>
    <w:rsid w:val="00DE67C9"/>
    <w:rsid w:val="00DF2131"/>
    <w:rsid w:val="00DF21B3"/>
    <w:rsid w:val="00DF5B1D"/>
    <w:rsid w:val="00E00134"/>
    <w:rsid w:val="00E02113"/>
    <w:rsid w:val="00E05306"/>
    <w:rsid w:val="00E102DD"/>
    <w:rsid w:val="00E1102B"/>
    <w:rsid w:val="00E1264C"/>
    <w:rsid w:val="00E1360A"/>
    <w:rsid w:val="00E14435"/>
    <w:rsid w:val="00E14F06"/>
    <w:rsid w:val="00E2194E"/>
    <w:rsid w:val="00E222DA"/>
    <w:rsid w:val="00E232EF"/>
    <w:rsid w:val="00E245B2"/>
    <w:rsid w:val="00E25F9C"/>
    <w:rsid w:val="00E3350F"/>
    <w:rsid w:val="00E34B18"/>
    <w:rsid w:val="00E34B70"/>
    <w:rsid w:val="00E37F69"/>
    <w:rsid w:val="00E400B0"/>
    <w:rsid w:val="00E40233"/>
    <w:rsid w:val="00E40516"/>
    <w:rsid w:val="00E40FBC"/>
    <w:rsid w:val="00E42EEE"/>
    <w:rsid w:val="00E438F0"/>
    <w:rsid w:val="00E46D9A"/>
    <w:rsid w:val="00E50AAD"/>
    <w:rsid w:val="00E52A63"/>
    <w:rsid w:val="00E536CF"/>
    <w:rsid w:val="00E55A41"/>
    <w:rsid w:val="00E56CA7"/>
    <w:rsid w:val="00E57C1B"/>
    <w:rsid w:val="00E60ACD"/>
    <w:rsid w:val="00E62A3D"/>
    <w:rsid w:val="00E62B24"/>
    <w:rsid w:val="00E666DE"/>
    <w:rsid w:val="00E66FF7"/>
    <w:rsid w:val="00E70D07"/>
    <w:rsid w:val="00E73688"/>
    <w:rsid w:val="00E73C30"/>
    <w:rsid w:val="00E7451D"/>
    <w:rsid w:val="00E755EA"/>
    <w:rsid w:val="00E774CD"/>
    <w:rsid w:val="00E8057E"/>
    <w:rsid w:val="00E87418"/>
    <w:rsid w:val="00E90C96"/>
    <w:rsid w:val="00E9110D"/>
    <w:rsid w:val="00E914A9"/>
    <w:rsid w:val="00E91F41"/>
    <w:rsid w:val="00E922EB"/>
    <w:rsid w:val="00E92FCA"/>
    <w:rsid w:val="00E95A4E"/>
    <w:rsid w:val="00E96A34"/>
    <w:rsid w:val="00E97B24"/>
    <w:rsid w:val="00EA04C6"/>
    <w:rsid w:val="00EB4C98"/>
    <w:rsid w:val="00EB4DA2"/>
    <w:rsid w:val="00EB4FD2"/>
    <w:rsid w:val="00EB536C"/>
    <w:rsid w:val="00EB6105"/>
    <w:rsid w:val="00EB674B"/>
    <w:rsid w:val="00EC02C4"/>
    <w:rsid w:val="00EC35AE"/>
    <w:rsid w:val="00ED1C6D"/>
    <w:rsid w:val="00ED35B9"/>
    <w:rsid w:val="00ED61A2"/>
    <w:rsid w:val="00ED76A8"/>
    <w:rsid w:val="00EE0981"/>
    <w:rsid w:val="00EE665D"/>
    <w:rsid w:val="00EF1547"/>
    <w:rsid w:val="00F007E3"/>
    <w:rsid w:val="00F020D4"/>
    <w:rsid w:val="00F05317"/>
    <w:rsid w:val="00F06755"/>
    <w:rsid w:val="00F07470"/>
    <w:rsid w:val="00F12BCA"/>
    <w:rsid w:val="00F14AC8"/>
    <w:rsid w:val="00F15491"/>
    <w:rsid w:val="00F16C6A"/>
    <w:rsid w:val="00F1768D"/>
    <w:rsid w:val="00F21940"/>
    <w:rsid w:val="00F241A7"/>
    <w:rsid w:val="00F242A5"/>
    <w:rsid w:val="00F24B66"/>
    <w:rsid w:val="00F333EE"/>
    <w:rsid w:val="00F3529F"/>
    <w:rsid w:val="00F374CA"/>
    <w:rsid w:val="00F41CFF"/>
    <w:rsid w:val="00F43C25"/>
    <w:rsid w:val="00F43D0E"/>
    <w:rsid w:val="00F45BB0"/>
    <w:rsid w:val="00F46C41"/>
    <w:rsid w:val="00F5091D"/>
    <w:rsid w:val="00F5191F"/>
    <w:rsid w:val="00F536BD"/>
    <w:rsid w:val="00F56C25"/>
    <w:rsid w:val="00F6153B"/>
    <w:rsid w:val="00F618D0"/>
    <w:rsid w:val="00F632F9"/>
    <w:rsid w:val="00F635CD"/>
    <w:rsid w:val="00F65F47"/>
    <w:rsid w:val="00F66150"/>
    <w:rsid w:val="00F727B4"/>
    <w:rsid w:val="00F73130"/>
    <w:rsid w:val="00F806B2"/>
    <w:rsid w:val="00F80B93"/>
    <w:rsid w:val="00F83062"/>
    <w:rsid w:val="00F832E8"/>
    <w:rsid w:val="00F833BC"/>
    <w:rsid w:val="00F8502A"/>
    <w:rsid w:val="00F8549D"/>
    <w:rsid w:val="00F877AE"/>
    <w:rsid w:val="00F94CF8"/>
    <w:rsid w:val="00F971C1"/>
    <w:rsid w:val="00FA1573"/>
    <w:rsid w:val="00FA24C9"/>
    <w:rsid w:val="00FA3D6F"/>
    <w:rsid w:val="00FA4220"/>
    <w:rsid w:val="00FA583F"/>
    <w:rsid w:val="00FA69A1"/>
    <w:rsid w:val="00FB245C"/>
    <w:rsid w:val="00FB3013"/>
    <w:rsid w:val="00FC38F8"/>
    <w:rsid w:val="00FC6EA5"/>
    <w:rsid w:val="00FD347C"/>
    <w:rsid w:val="00FD5418"/>
    <w:rsid w:val="00FD563B"/>
    <w:rsid w:val="00FD72A4"/>
    <w:rsid w:val="00FE0DD3"/>
    <w:rsid w:val="00FE3467"/>
    <w:rsid w:val="00FE4C3F"/>
    <w:rsid w:val="00FE525D"/>
    <w:rsid w:val="00FE6CF9"/>
    <w:rsid w:val="00FE6E44"/>
    <w:rsid w:val="00FF1F41"/>
    <w:rsid w:val="00FF2B1C"/>
    <w:rsid w:val="00FF35C1"/>
    <w:rsid w:val="00FF4451"/>
    <w:rsid w:val="00FF68B7"/>
    <w:rsid w:val="00FF750C"/>
    <w:rsid w:val="0181901C"/>
    <w:rsid w:val="01DC873F"/>
    <w:rsid w:val="02D02D09"/>
    <w:rsid w:val="0660DB0E"/>
    <w:rsid w:val="092C815B"/>
    <w:rsid w:val="0B3F1A18"/>
    <w:rsid w:val="0C7294BE"/>
    <w:rsid w:val="0C9E35AD"/>
    <w:rsid w:val="0F8A8808"/>
    <w:rsid w:val="1222BD68"/>
    <w:rsid w:val="12985334"/>
    <w:rsid w:val="150DF41F"/>
    <w:rsid w:val="17592152"/>
    <w:rsid w:val="17AC9091"/>
    <w:rsid w:val="1859E4F4"/>
    <w:rsid w:val="1A7EF3F8"/>
    <w:rsid w:val="1AC5477A"/>
    <w:rsid w:val="1B7A9008"/>
    <w:rsid w:val="1C68E15B"/>
    <w:rsid w:val="2120AE3B"/>
    <w:rsid w:val="25E90D1D"/>
    <w:rsid w:val="289B239E"/>
    <w:rsid w:val="2AE15F91"/>
    <w:rsid w:val="2B012EAE"/>
    <w:rsid w:val="2E65794A"/>
    <w:rsid w:val="2EC3EC3E"/>
    <w:rsid w:val="2EF599D1"/>
    <w:rsid w:val="3125E903"/>
    <w:rsid w:val="31816739"/>
    <w:rsid w:val="34FCC6F9"/>
    <w:rsid w:val="3501A5BC"/>
    <w:rsid w:val="372D152D"/>
    <w:rsid w:val="38E9039C"/>
    <w:rsid w:val="3BD41CD9"/>
    <w:rsid w:val="4243AA02"/>
    <w:rsid w:val="428991A2"/>
    <w:rsid w:val="4357E3B3"/>
    <w:rsid w:val="43A035A7"/>
    <w:rsid w:val="4E337598"/>
    <w:rsid w:val="501773A0"/>
    <w:rsid w:val="508C6CB4"/>
    <w:rsid w:val="53613389"/>
    <w:rsid w:val="560FD8CB"/>
    <w:rsid w:val="566570F0"/>
    <w:rsid w:val="56B6BB22"/>
    <w:rsid w:val="5992F2D0"/>
    <w:rsid w:val="5A08EBD8"/>
    <w:rsid w:val="5B471C28"/>
    <w:rsid w:val="5CBF2175"/>
    <w:rsid w:val="5CC4C64F"/>
    <w:rsid w:val="5D151293"/>
    <w:rsid w:val="5DB94C9F"/>
    <w:rsid w:val="5FB07FB6"/>
    <w:rsid w:val="61B65DAC"/>
    <w:rsid w:val="6325B7D9"/>
    <w:rsid w:val="6759C90B"/>
    <w:rsid w:val="6902C3CD"/>
    <w:rsid w:val="6C0D99AF"/>
    <w:rsid w:val="6D361646"/>
    <w:rsid w:val="725B2F94"/>
    <w:rsid w:val="74ED520C"/>
    <w:rsid w:val="757323B3"/>
    <w:rsid w:val="7C4DFE52"/>
    <w:rsid w:val="7DC72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48E4278"/>
  <w15:docId w15:val="{CCB75C79-45FA-4CD1-A487-C9BCDFD5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rsid w:val="007A4B6A"/>
    <w:pPr>
      <w:spacing w:before="0" w:after="160" w:line="240" w:lineRule="exact"/>
      <w:jc w:val="left"/>
    </w:pPr>
    <w:rPr>
      <w:rFonts w:asciiTheme="minorHAnsi" w:hAnsiTheme="minorHAnsi" w:cstheme="minorBidi"/>
      <w:sz w:val="22"/>
      <w:vertAlign w:val="superscript"/>
    </w:rPr>
  </w:style>
  <w:style w:type="character" w:styleId="CommentReference">
    <w:name w:val="annotation reference"/>
    <w:basedOn w:val="DefaultParagraphFont"/>
    <w:uiPriority w:val="99"/>
    <w:semiHidden/>
    <w:unhideWhenUsed/>
    <w:rsid w:val="0092279D"/>
    <w:rPr>
      <w:sz w:val="16"/>
      <w:szCs w:val="16"/>
    </w:rPr>
  </w:style>
  <w:style w:type="paragraph" w:styleId="CommentText">
    <w:name w:val="annotation text"/>
    <w:basedOn w:val="Normal"/>
    <w:link w:val="CommentTextChar"/>
    <w:uiPriority w:val="99"/>
    <w:unhideWhenUsed/>
    <w:rsid w:val="0092279D"/>
    <w:rPr>
      <w:sz w:val="20"/>
      <w:szCs w:val="20"/>
    </w:rPr>
  </w:style>
  <w:style w:type="character" w:customStyle="1" w:styleId="CommentTextChar">
    <w:name w:val="Comment Text Char"/>
    <w:basedOn w:val="DefaultParagraphFont"/>
    <w:link w:val="CommentText"/>
    <w:uiPriority w:val="99"/>
    <w:rsid w:val="0092279D"/>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92279D"/>
    <w:rPr>
      <w:b/>
      <w:bCs/>
    </w:rPr>
  </w:style>
  <w:style w:type="character" w:customStyle="1" w:styleId="CommentSubjectChar">
    <w:name w:val="Comment Subject Char"/>
    <w:basedOn w:val="CommentTextChar"/>
    <w:link w:val="CommentSubject"/>
    <w:uiPriority w:val="99"/>
    <w:semiHidden/>
    <w:rsid w:val="0092279D"/>
    <w:rPr>
      <w:rFonts w:ascii="Times New Roman" w:hAnsi="Times New Roman" w:cs="Times New Roman"/>
      <w:b/>
      <w:bCs/>
      <w:sz w:val="20"/>
      <w:szCs w:val="20"/>
      <w:lang w:val="de-DE"/>
    </w:rPr>
  </w:style>
  <w:style w:type="paragraph" w:styleId="Revision">
    <w:name w:val="Revision"/>
    <w:hidden/>
    <w:uiPriority w:val="99"/>
    <w:semiHidden/>
    <w:rsid w:val="0092279D"/>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rsid w:val="002176CB"/>
    <w:pPr>
      <w:numPr>
        <w:numId w:val="1"/>
      </w:numPr>
      <w:contextualSpacing/>
    </w:pPr>
  </w:style>
  <w:style w:type="paragraph" w:styleId="ListBullet2">
    <w:name w:val="List Bullet 2"/>
    <w:basedOn w:val="Normal"/>
    <w:uiPriority w:val="99"/>
    <w:semiHidden/>
    <w:unhideWhenUsed/>
    <w:rsid w:val="002176CB"/>
    <w:pPr>
      <w:numPr>
        <w:numId w:val="2"/>
      </w:numPr>
      <w:contextualSpacing/>
    </w:pPr>
  </w:style>
  <w:style w:type="paragraph" w:styleId="ListBullet3">
    <w:name w:val="List Bullet 3"/>
    <w:basedOn w:val="Normal"/>
    <w:uiPriority w:val="99"/>
    <w:semiHidden/>
    <w:unhideWhenUsed/>
    <w:rsid w:val="002176CB"/>
    <w:pPr>
      <w:numPr>
        <w:numId w:val="3"/>
      </w:numPr>
      <w:contextualSpacing/>
    </w:pPr>
  </w:style>
  <w:style w:type="paragraph" w:styleId="ListBullet4">
    <w:name w:val="List Bullet 4"/>
    <w:basedOn w:val="Normal"/>
    <w:uiPriority w:val="99"/>
    <w:semiHidden/>
    <w:unhideWhenUsed/>
    <w:rsid w:val="002176CB"/>
    <w:pPr>
      <w:numPr>
        <w:numId w:val="4"/>
      </w:numPr>
      <w:contextualSpacing/>
    </w:pPr>
  </w:style>
  <w:style w:type="table" w:styleId="TableGrid">
    <w:name w:val="Table Grid"/>
    <w:basedOn w:val="TableNormal"/>
    <w:uiPriority w:val="39"/>
    <w:rsid w:val="00B87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070194"/>
  </w:style>
  <w:style w:type="paragraph" w:customStyle="1" w:styleId="Nomal">
    <w:name w:val="Nomal"/>
    <w:basedOn w:val="Point0number"/>
    <w:rsid w:val="00C55090"/>
    <w:pPr>
      <w:numPr>
        <w:numId w:val="0"/>
      </w:numPr>
    </w:pPr>
  </w:style>
  <w:style w:type="paragraph" w:styleId="ListParagraph">
    <w:name w:val="List Paragraph"/>
    <w:basedOn w:val="Normal"/>
    <w:uiPriority w:val="34"/>
    <w:qFormat/>
    <w:rsid w:val="00111F55"/>
    <w:pPr>
      <w:ind w:left="720"/>
      <w:contextualSpacing/>
    </w:pPr>
  </w:style>
  <w:style w:type="character" w:customStyle="1" w:styleId="UnresolvedMention1">
    <w:name w:val="Unresolved Mention1"/>
    <w:basedOn w:val="DefaultParagraphFont"/>
    <w:uiPriority w:val="99"/>
    <w:unhideWhenUsed/>
    <w:rsid w:val="004D2AA3"/>
    <w:rPr>
      <w:color w:val="605E5C"/>
      <w:shd w:val="clear" w:color="auto" w:fill="E1DFDD"/>
    </w:rPr>
  </w:style>
  <w:style w:type="character" w:customStyle="1" w:styleId="Mention1">
    <w:name w:val="Mention1"/>
    <w:basedOn w:val="DefaultParagraphFont"/>
    <w:uiPriority w:val="99"/>
    <w:unhideWhenUsed/>
    <w:rsid w:val="004D2AA3"/>
    <w:rPr>
      <w:color w:val="2B579A"/>
      <w:shd w:val="clear" w:color="auto" w:fill="E1DFDD"/>
    </w:rPr>
  </w:style>
  <w:style w:type="character" w:customStyle="1" w:styleId="UnresolvedMention2">
    <w:name w:val="Unresolved Mention2"/>
    <w:basedOn w:val="DefaultParagraphFont"/>
    <w:uiPriority w:val="99"/>
    <w:unhideWhenUsed/>
    <w:rsid w:val="006C0287"/>
    <w:rPr>
      <w:color w:val="605E5C"/>
      <w:shd w:val="clear" w:color="auto" w:fill="E1DFDD"/>
    </w:rPr>
  </w:style>
  <w:style w:type="character" w:customStyle="1" w:styleId="Mention2">
    <w:name w:val="Mention2"/>
    <w:basedOn w:val="DefaultParagraphFont"/>
    <w:uiPriority w:val="99"/>
    <w:unhideWhenUsed/>
    <w:rsid w:val="006C0287"/>
    <w:rPr>
      <w:color w:val="2B579A"/>
      <w:shd w:val="clear" w:color="auto" w:fill="E1DFDD"/>
    </w:rPr>
  </w:style>
  <w:style w:type="paragraph" w:styleId="BalloonText">
    <w:name w:val="Balloon Text"/>
    <w:basedOn w:val="Normal"/>
    <w:link w:val="BalloonTextChar"/>
    <w:uiPriority w:val="99"/>
    <w:semiHidden/>
    <w:unhideWhenUsed/>
    <w:rsid w:val="00E60AC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ACD"/>
    <w:rPr>
      <w:rFonts w:ascii="Segoe UI" w:hAnsi="Segoe UI" w:cs="Segoe UI"/>
      <w:sz w:val="18"/>
      <w:szCs w:val="18"/>
      <w:lang w:val="de-DE"/>
    </w:rPr>
  </w:style>
  <w:style w:type="character" w:customStyle="1" w:styleId="UnresolvedMention3">
    <w:name w:val="Unresolved Mention3"/>
    <w:basedOn w:val="DefaultParagraphFont"/>
    <w:uiPriority w:val="99"/>
    <w:unhideWhenUsed/>
    <w:rsid w:val="00AA6B1C"/>
    <w:rPr>
      <w:color w:val="605E5C"/>
      <w:shd w:val="clear" w:color="auto" w:fill="E1DFDD"/>
    </w:rPr>
  </w:style>
  <w:style w:type="character" w:customStyle="1" w:styleId="Mention3">
    <w:name w:val="Mention3"/>
    <w:basedOn w:val="DefaultParagraphFont"/>
    <w:uiPriority w:val="99"/>
    <w:unhideWhenUsed/>
    <w:rsid w:val="00AA6B1C"/>
    <w:rPr>
      <w:color w:val="2B579A"/>
      <w:shd w:val="clear" w:color="auto" w:fill="E1DFDD"/>
    </w:rPr>
  </w:style>
  <w:style w:type="character" w:styleId="Hyperlink">
    <w:name w:val="Hyperlink"/>
    <w:basedOn w:val="DefaultParagraphFont"/>
    <w:uiPriority w:val="99"/>
    <w:unhideWhenUsed/>
    <w:rsid w:val="008D3247"/>
    <w:rPr>
      <w:color w:val="0000FF" w:themeColor="hyperlink"/>
      <w:u w:val="single"/>
    </w:rPr>
  </w:style>
  <w:style w:type="character" w:customStyle="1" w:styleId="UnresolvedMention">
    <w:name w:val="Unresolved Mention"/>
    <w:basedOn w:val="DefaultParagraphFont"/>
    <w:uiPriority w:val="99"/>
    <w:semiHidden/>
    <w:unhideWhenUsed/>
    <w:rsid w:val="008D3247"/>
    <w:rPr>
      <w:color w:val="605E5C"/>
      <w:shd w:val="clear" w:color="auto" w:fill="E1DFDD"/>
    </w:rPr>
  </w:style>
  <w:style w:type="paragraph" w:styleId="Header">
    <w:name w:val="header"/>
    <w:basedOn w:val="Normal"/>
    <w:link w:val="HeaderChar"/>
    <w:uiPriority w:val="99"/>
    <w:unhideWhenUsed/>
    <w:rsid w:val="002E24B6"/>
    <w:pPr>
      <w:tabs>
        <w:tab w:val="center" w:pos="4535"/>
        <w:tab w:val="right" w:pos="9071"/>
      </w:tabs>
      <w:spacing w:before="0"/>
    </w:pPr>
  </w:style>
  <w:style w:type="character" w:customStyle="1" w:styleId="HeaderChar">
    <w:name w:val="Header Char"/>
    <w:basedOn w:val="DefaultParagraphFont"/>
    <w:link w:val="Header"/>
    <w:uiPriority w:val="99"/>
    <w:rsid w:val="002E24B6"/>
    <w:rPr>
      <w:rFonts w:ascii="Times New Roman" w:hAnsi="Times New Roman" w:cs="Times New Roman"/>
      <w:sz w:val="24"/>
      <w:lang w:val="de-DE"/>
    </w:rPr>
  </w:style>
  <w:style w:type="paragraph" w:styleId="Footer">
    <w:name w:val="footer"/>
    <w:basedOn w:val="Normal"/>
    <w:link w:val="FooterChar"/>
    <w:uiPriority w:val="99"/>
    <w:unhideWhenUsed/>
    <w:rsid w:val="002E24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E24B6"/>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2E24B6"/>
    <w:pPr>
      <w:tabs>
        <w:tab w:val="center" w:pos="7285"/>
        <w:tab w:val="right" w:pos="14003"/>
      </w:tabs>
      <w:spacing w:before="0"/>
    </w:pPr>
  </w:style>
  <w:style w:type="paragraph" w:customStyle="1" w:styleId="FooterLandscape">
    <w:name w:val="FooterLandscape"/>
    <w:basedOn w:val="Normal"/>
    <w:rsid w:val="002E24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FootnotesymbolCharCharCharChar"/>
    <w:uiPriority w:val="99"/>
    <w:semiHidden/>
    <w:unhideWhenUsed/>
    <w:rPr>
      <w:shd w:val="clear" w:color="auto" w:fill="auto"/>
      <w:vertAlign w:val="superscript"/>
    </w:rPr>
  </w:style>
  <w:style w:type="paragraph" w:customStyle="1" w:styleId="HeaderSensitivity">
    <w:name w:val="Header Sensitivity"/>
    <w:basedOn w:val="Normal"/>
    <w:rsid w:val="002E24B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E24B6"/>
    <w:pPr>
      <w:spacing w:before="0"/>
      <w:jc w:val="right"/>
    </w:pPr>
    <w:rPr>
      <w:sz w:val="28"/>
    </w:rPr>
  </w:style>
  <w:style w:type="paragraph" w:customStyle="1" w:styleId="FooterSensitivity">
    <w:name w:val="Footer Sensitivity"/>
    <w:basedOn w:val="Normal"/>
    <w:rsid w:val="002E24B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454CAE"/>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6036">
      <w:bodyDiv w:val="1"/>
      <w:marLeft w:val="0"/>
      <w:marRight w:val="0"/>
      <w:marTop w:val="0"/>
      <w:marBottom w:val="0"/>
      <w:divBdr>
        <w:top w:val="none" w:sz="0" w:space="0" w:color="auto"/>
        <w:left w:val="none" w:sz="0" w:space="0" w:color="auto"/>
        <w:bottom w:val="none" w:sz="0" w:space="0" w:color="auto"/>
        <w:right w:val="none" w:sz="0" w:space="0" w:color="auto"/>
      </w:divBdr>
    </w:div>
    <w:div w:id="89353362">
      <w:bodyDiv w:val="1"/>
      <w:marLeft w:val="0"/>
      <w:marRight w:val="0"/>
      <w:marTop w:val="0"/>
      <w:marBottom w:val="0"/>
      <w:divBdr>
        <w:top w:val="none" w:sz="0" w:space="0" w:color="auto"/>
        <w:left w:val="none" w:sz="0" w:space="0" w:color="auto"/>
        <w:bottom w:val="none" w:sz="0" w:space="0" w:color="auto"/>
        <w:right w:val="none" w:sz="0" w:space="0" w:color="auto"/>
      </w:divBdr>
    </w:div>
    <w:div w:id="282464390">
      <w:bodyDiv w:val="1"/>
      <w:marLeft w:val="0"/>
      <w:marRight w:val="0"/>
      <w:marTop w:val="0"/>
      <w:marBottom w:val="0"/>
      <w:divBdr>
        <w:top w:val="none" w:sz="0" w:space="0" w:color="auto"/>
        <w:left w:val="none" w:sz="0" w:space="0" w:color="auto"/>
        <w:bottom w:val="none" w:sz="0" w:space="0" w:color="auto"/>
        <w:right w:val="none" w:sz="0" w:space="0" w:color="auto"/>
      </w:divBdr>
    </w:div>
    <w:div w:id="333649544">
      <w:bodyDiv w:val="1"/>
      <w:marLeft w:val="0"/>
      <w:marRight w:val="0"/>
      <w:marTop w:val="0"/>
      <w:marBottom w:val="0"/>
      <w:divBdr>
        <w:top w:val="none" w:sz="0" w:space="0" w:color="auto"/>
        <w:left w:val="none" w:sz="0" w:space="0" w:color="auto"/>
        <w:bottom w:val="none" w:sz="0" w:space="0" w:color="auto"/>
        <w:right w:val="none" w:sz="0" w:space="0" w:color="auto"/>
      </w:divBdr>
    </w:div>
    <w:div w:id="632560366">
      <w:bodyDiv w:val="1"/>
      <w:marLeft w:val="0"/>
      <w:marRight w:val="0"/>
      <w:marTop w:val="0"/>
      <w:marBottom w:val="0"/>
      <w:divBdr>
        <w:top w:val="none" w:sz="0" w:space="0" w:color="auto"/>
        <w:left w:val="none" w:sz="0" w:space="0" w:color="auto"/>
        <w:bottom w:val="none" w:sz="0" w:space="0" w:color="auto"/>
        <w:right w:val="none" w:sz="0" w:space="0" w:color="auto"/>
      </w:divBdr>
    </w:div>
    <w:div w:id="940067829">
      <w:bodyDiv w:val="1"/>
      <w:marLeft w:val="0"/>
      <w:marRight w:val="0"/>
      <w:marTop w:val="0"/>
      <w:marBottom w:val="0"/>
      <w:divBdr>
        <w:top w:val="none" w:sz="0" w:space="0" w:color="auto"/>
        <w:left w:val="none" w:sz="0" w:space="0" w:color="auto"/>
        <w:bottom w:val="none" w:sz="0" w:space="0" w:color="auto"/>
        <w:right w:val="none" w:sz="0" w:space="0" w:color="auto"/>
      </w:divBdr>
    </w:div>
    <w:div w:id="1458111259">
      <w:bodyDiv w:val="1"/>
      <w:marLeft w:val="0"/>
      <w:marRight w:val="0"/>
      <w:marTop w:val="0"/>
      <w:marBottom w:val="0"/>
      <w:divBdr>
        <w:top w:val="none" w:sz="0" w:space="0" w:color="auto"/>
        <w:left w:val="none" w:sz="0" w:space="0" w:color="auto"/>
        <w:bottom w:val="none" w:sz="0" w:space="0" w:color="auto"/>
        <w:right w:val="none" w:sz="0" w:space="0" w:color="auto"/>
      </w:divBdr>
    </w:div>
    <w:div w:id="1623459680">
      <w:bodyDiv w:val="1"/>
      <w:marLeft w:val="0"/>
      <w:marRight w:val="0"/>
      <w:marTop w:val="0"/>
      <w:marBottom w:val="0"/>
      <w:divBdr>
        <w:top w:val="none" w:sz="0" w:space="0" w:color="auto"/>
        <w:left w:val="none" w:sz="0" w:space="0" w:color="auto"/>
        <w:bottom w:val="none" w:sz="0" w:space="0" w:color="auto"/>
        <w:right w:val="none" w:sz="0" w:space="0" w:color="auto"/>
      </w:divBdr>
    </w:div>
    <w:div w:id="1761559513">
      <w:bodyDiv w:val="1"/>
      <w:marLeft w:val="0"/>
      <w:marRight w:val="0"/>
      <w:marTop w:val="0"/>
      <w:marBottom w:val="0"/>
      <w:divBdr>
        <w:top w:val="none" w:sz="0" w:space="0" w:color="auto"/>
        <w:left w:val="none" w:sz="0" w:space="0" w:color="auto"/>
        <w:bottom w:val="none" w:sz="0" w:space="0" w:color="auto"/>
        <w:right w:val="none" w:sz="0" w:space="0" w:color="auto"/>
      </w:divBdr>
    </w:div>
    <w:div w:id="1937712499">
      <w:bodyDiv w:val="1"/>
      <w:marLeft w:val="0"/>
      <w:marRight w:val="0"/>
      <w:marTop w:val="0"/>
      <w:marBottom w:val="0"/>
      <w:divBdr>
        <w:top w:val="none" w:sz="0" w:space="0" w:color="auto"/>
        <w:left w:val="none" w:sz="0" w:space="0" w:color="auto"/>
        <w:bottom w:val="none" w:sz="0" w:space="0" w:color="auto"/>
        <w:right w:val="none" w:sz="0" w:space="0" w:color="auto"/>
      </w:divBdr>
    </w:div>
    <w:div w:id="2000185013">
      <w:bodyDiv w:val="1"/>
      <w:marLeft w:val="0"/>
      <w:marRight w:val="0"/>
      <w:marTop w:val="0"/>
      <w:marBottom w:val="0"/>
      <w:divBdr>
        <w:top w:val="none" w:sz="0" w:space="0" w:color="auto"/>
        <w:left w:val="none" w:sz="0" w:space="0" w:color="auto"/>
        <w:bottom w:val="none" w:sz="0" w:space="0" w:color="auto"/>
        <w:right w:val="none" w:sz="0" w:space="0" w:color="auto"/>
      </w:divBdr>
    </w:div>
    <w:div w:id="210279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f8c89d-4332-4d32-84a3-abf4120a8008">
      <UserInfo>
        <DisplayName>WOOLFSON Charlotte (GROW)</DisplayName>
        <AccountId>68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5" ma:contentTypeDescription="Create a new document." ma:contentTypeScope="" ma:versionID="91b81fdffbaf9f377de5f194477212eb">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28d1c81336514fcbe64cb4dc49781d4f"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CD350-90C4-4C18-983D-B00F1EA6F7F7}">
  <ds:schemaRefs>
    <ds:schemaRef ds:uri="http://schemas.microsoft.com/office/2006/metadata/properties"/>
    <ds:schemaRef ds:uri="http://schemas.microsoft.com/office/infopath/2007/PartnerControls"/>
    <ds:schemaRef ds:uri="4af8c89d-4332-4d32-84a3-abf4120a8008"/>
  </ds:schemaRefs>
</ds:datastoreItem>
</file>

<file path=customXml/itemProps2.xml><?xml version="1.0" encoding="utf-8"?>
<ds:datastoreItem xmlns:ds="http://schemas.openxmlformats.org/officeDocument/2006/customXml" ds:itemID="{3E89B29D-464A-4A5F-8AB6-FD231BB7F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BDF510-4BED-4A49-B2E4-3FF54B5F6A41}">
  <ds:schemaRefs>
    <ds:schemaRef ds:uri="http://schemas.microsoft.com/sharepoint/v3/contenttype/forms"/>
  </ds:schemaRefs>
</ds:datastoreItem>
</file>

<file path=customXml/itemProps4.xml><?xml version="1.0" encoding="utf-8"?>
<ds:datastoreItem xmlns:ds="http://schemas.openxmlformats.org/officeDocument/2006/customXml" ds:itemID="{AB4FA266-2AAF-4B4E-9BD6-EFD3CCB7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10</Pages>
  <Words>2134</Words>
  <Characters>14793</Characters>
  <Application>Microsoft Office Word</Application>
  <DocSecurity>0</DocSecurity>
  <Lines>321</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43</cp:revision>
  <dcterms:created xsi:type="dcterms:W3CDTF">2023-08-31T09:19:00Z</dcterms:created>
  <dcterms:modified xsi:type="dcterms:W3CDTF">2023-09-04T15:11:00Z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2023-06-05T14:44:39Z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3946fbb5-62a6-4db2-854f-e0daeca76a38</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SJ-023</vt:lpwstr>
  </property>
  <property fmtid="{D5CDD505-2E9C-101B-9397-08002B2CF9AE}" pid="17" name="ContentTypeId">
    <vt:lpwstr>0x0101007697B7BFF882854783B2AFEB81A9CCE9</vt:lpwstr>
  </property>
  <property fmtid="{D5CDD505-2E9C-101B-9397-08002B2CF9AE}" pid="18" name="DQCStatus">
    <vt:lpwstr>Green (DQC version 03)</vt:lpwstr>
  </property>
</Properties>
</file>