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674" w14:textId="1F9A8C0D" w:rsidR="00B477E3" w:rsidRPr="0035760A" w:rsidRDefault="00D80FC9" w:rsidP="00D80FC9">
      <w:pPr>
        <w:pStyle w:val="Pagedecouverture"/>
        <w:rPr>
          <w:noProof/>
          <w:lang w:val="ro-RO"/>
        </w:rPr>
      </w:pPr>
      <w:bookmarkStart w:id="0" w:name="LW_BM_COVERPAGE"/>
      <w:r>
        <w:rPr>
          <w:noProof/>
          <w:lang w:val="ro-RO"/>
        </w:rPr>
        <w:pict w14:anchorId="01117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D2E5816-DA69-463D-8647-1FEC6A482C4A" style="width:455.25pt;height:351.75pt">
            <v:imagedata r:id="rId8" o:title=""/>
          </v:shape>
        </w:pict>
      </w:r>
    </w:p>
    <w:bookmarkEnd w:id="0"/>
    <w:p w14:paraId="3F66BB7D" w14:textId="77777777" w:rsidR="00B477E3" w:rsidRPr="0035760A" w:rsidRDefault="00B477E3" w:rsidP="00B477E3">
      <w:pPr>
        <w:rPr>
          <w:noProof/>
          <w:lang w:val="ro-RO"/>
        </w:rPr>
        <w:sectPr w:rsidR="00B477E3" w:rsidRPr="0035760A" w:rsidSect="00D80FC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3DF91A68" w14:textId="6963B84D" w:rsidR="00AA6907" w:rsidRPr="0035760A" w:rsidRDefault="00AA6907" w:rsidP="00E5238A">
      <w:pPr>
        <w:jc w:val="both"/>
        <w:rPr>
          <w:noProof/>
          <w:lang w:val="ro-RO"/>
        </w:rPr>
      </w:pPr>
      <w:bookmarkStart w:id="1" w:name="_GoBack"/>
      <w:bookmarkEnd w:id="1"/>
    </w:p>
    <w:p w14:paraId="1876CEF7" w14:textId="77777777" w:rsidR="00AA6907" w:rsidRPr="0035760A" w:rsidRDefault="00AA6907" w:rsidP="00E5238A">
      <w:pPr>
        <w:tabs>
          <w:tab w:val="left" w:pos="5997"/>
        </w:tabs>
        <w:jc w:val="both"/>
        <w:rPr>
          <w:noProof/>
          <w:lang w:val="ro-RO"/>
        </w:rPr>
      </w:pPr>
      <w:r w:rsidRPr="0035760A">
        <w:rPr>
          <w:noProof/>
          <w:lang w:val="ro-RO"/>
        </w:rPr>
        <w:tab/>
      </w:r>
    </w:p>
    <w:p w14:paraId="6596D937" w14:textId="77777777" w:rsidR="00F461C9" w:rsidRPr="0035760A" w:rsidRDefault="009E5B58" w:rsidP="00E5238A">
      <w:pPr>
        <w:pStyle w:val="ManualHeading1"/>
        <w:spacing w:before="0" w:after="0"/>
        <w:ind w:left="851" w:hanging="851"/>
        <w:rPr>
          <w:noProof/>
          <w:sz w:val="26"/>
          <w:lang w:val="ro-RO"/>
        </w:rPr>
      </w:pPr>
      <w:r w:rsidRPr="0035760A">
        <w:rPr>
          <w:noProof/>
          <w:sz w:val="26"/>
          <w:lang w:val="ro-RO"/>
        </w:rPr>
        <w:t>Rezumat</w:t>
      </w:r>
    </w:p>
    <w:p w14:paraId="6717FFB3" w14:textId="77777777" w:rsidR="009E5B58" w:rsidRPr="0035760A" w:rsidRDefault="009A3A79" w:rsidP="00E5238A">
      <w:pPr>
        <w:pStyle w:val="ManualHeading1"/>
        <w:spacing w:before="0" w:after="0"/>
        <w:ind w:left="851" w:hanging="851"/>
        <w:rPr>
          <w:noProof/>
          <w:sz w:val="26"/>
          <w:lang w:val="ro-RO"/>
        </w:rPr>
      </w:pPr>
      <w:r w:rsidRPr="0035760A">
        <w:rPr>
          <w:noProof/>
          <w:sz w:val="26"/>
          <w:lang w:val="ro-RO"/>
        </w:rPr>
        <w:t xml:space="preserve"> </w:t>
      </w:r>
    </w:p>
    <w:p w14:paraId="19A80D7A" w14:textId="6A2EC2C4" w:rsidR="00884FAD" w:rsidRPr="0035760A" w:rsidRDefault="00884FAD" w:rsidP="00884FAD">
      <w:pPr>
        <w:jc w:val="both"/>
        <w:rPr>
          <w:noProof/>
          <w:lang w:val="ro-RO"/>
        </w:rPr>
      </w:pPr>
      <w:r w:rsidRPr="0035760A">
        <w:rPr>
          <w:noProof/>
          <w:lang w:val="ro-RO"/>
        </w:rPr>
        <w:t>Acesta este cel de al 41-lea raport privind activitatea de apărare comercială a Uniunii Europene (UE). Raportul vizează activitățile antidumping (AD), antisubvenție (AS) și de salvgardare (SVG) ale UE, activitățile de apărare comercială ale țărilor terțe în ceea ce privește mărfurile importate din UE, precum și activitățile desfășurate de consilierul-auditor în 2022.  Acesta este însoțit de un document de lucru al serviciilor Comisiei care, împreună cu anexele, oferă informații și statistici mai detaliate.</w:t>
      </w:r>
    </w:p>
    <w:p w14:paraId="5F19BAA4" w14:textId="77777777" w:rsidR="00884FAD" w:rsidRPr="0035760A" w:rsidRDefault="00884FAD" w:rsidP="00884FAD">
      <w:pPr>
        <w:jc w:val="both"/>
        <w:rPr>
          <w:noProof/>
          <w:lang w:val="ro-RO"/>
        </w:rPr>
      </w:pPr>
    </w:p>
    <w:p w14:paraId="7919FDB1" w14:textId="1C7E83D1" w:rsidR="00884FAD" w:rsidRPr="0035760A" w:rsidRDefault="008F1599" w:rsidP="00884FAD">
      <w:pPr>
        <w:jc w:val="both"/>
        <w:rPr>
          <w:noProof/>
          <w:lang w:val="ro-RO"/>
        </w:rPr>
      </w:pPr>
      <w:bookmarkStart w:id="2" w:name="_Hlk140067712"/>
      <w:r w:rsidRPr="0035760A">
        <w:rPr>
          <w:noProof/>
          <w:lang w:val="ro-RO"/>
        </w:rPr>
        <w:t xml:space="preserve">Raportul evidențiază faptul că, în 2022, numărul cazurilor a fost în continuare semnificativ, fiind cel mai mare număr de cazuri inițiate în ultimii cinci ani, constând în principal în reexaminări ale măsurilor existente. În acest an s-a revenit la metodele de lucru utilizate înainte de pandemie în numeroase cazuri, întrucât restricțiile de călătorie au început să fie eliminate, ceea ce a permis efectuarea mai multor vizite de verificare la fața locului. Numărul de cazuri </w:t>
      </w:r>
      <w:r w:rsidRPr="0035760A">
        <w:rPr>
          <w:i/>
          <w:noProof/>
          <w:lang w:val="ro-RO"/>
        </w:rPr>
        <w:t>noi</w:t>
      </w:r>
      <w:r w:rsidRPr="0035760A">
        <w:rPr>
          <w:noProof/>
          <w:lang w:val="ro-RO"/>
        </w:rPr>
        <w:t xml:space="preserve"> a fost mai mic decât în anii precedenți, reflectând primirea unui număr mai mic de plângeri de la părțile interesate din industrie. </w:t>
      </w:r>
      <w:bookmarkStart w:id="3" w:name="_Hlk140072146"/>
      <w:r w:rsidRPr="0035760A">
        <w:rPr>
          <w:noProof/>
          <w:lang w:val="ro-RO"/>
        </w:rPr>
        <w:t xml:space="preserve">Acest lucru se datorează, cel mai probabil, caracterului mai puțin prejudiciabil al concurenței la import, fie ca urmare a scăderii volumelor, fie a creșterii prețurilor în 2021 și în 2022 în perioada de redresare după pandemia de COVID-19, ceea ce ar fi putut permite industriei Uniunii să câștige cotă de piață, precum și profituri ridicate. </w:t>
      </w:r>
      <w:bookmarkEnd w:id="3"/>
      <w:r w:rsidRPr="0035760A">
        <w:rPr>
          <w:noProof/>
          <w:lang w:val="ro-RO"/>
        </w:rPr>
        <w:t>O scădere similară a numărului de cazuri noi a fost observată în cazul marilor utilizatori ai instrumentelor de apărare comercială din întreaga lume</w:t>
      </w:r>
      <w:r w:rsidRPr="0035760A">
        <w:rPr>
          <w:rStyle w:val="FootnoteReference"/>
          <w:noProof/>
          <w:lang w:val="ro-RO"/>
        </w:rPr>
        <w:footnoteReference w:id="2"/>
      </w:r>
      <w:r w:rsidRPr="0035760A">
        <w:rPr>
          <w:noProof/>
          <w:lang w:val="ro-RO"/>
        </w:rPr>
        <w:t xml:space="preserve">. Pe de altă parte, impunerea unor măsuri </w:t>
      </w:r>
      <w:r w:rsidRPr="0035760A">
        <w:rPr>
          <w:i/>
          <w:noProof/>
          <w:lang w:val="ro-RO"/>
        </w:rPr>
        <w:t>definitive</w:t>
      </w:r>
      <w:r w:rsidRPr="0035760A">
        <w:rPr>
          <w:noProof/>
          <w:lang w:val="ro-RO"/>
        </w:rPr>
        <w:t xml:space="preserve"> în cursul anului a avut drept rezultat faptul că, la sfârșitul anului 2022, erau în vigoare 177 de măsuri, protejând aproape o jumătate de milion de locuri de muncă. Printre acestea se numără locurile de muncă din sectorul producției de energie din surse regenerabile (cum ar fi turbinele eoliene și panourile solare) și din sectorul digital (cum ar fi cablurile cu fibră optică), care sunt importante pentru realizarea obiectivelor Pactului verde european și a obiectivelor în materie de digitalizare.</w:t>
      </w:r>
    </w:p>
    <w:bookmarkEnd w:id="2"/>
    <w:p w14:paraId="75266084" w14:textId="77777777" w:rsidR="00884FAD" w:rsidRPr="0035760A" w:rsidRDefault="00884FAD" w:rsidP="00884FAD">
      <w:pPr>
        <w:jc w:val="both"/>
        <w:rPr>
          <w:noProof/>
          <w:lang w:val="ro-RO"/>
        </w:rPr>
      </w:pPr>
    </w:p>
    <w:p w14:paraId="5C519379" w14:textId="4051846E" w:rsidR="00884FAD" w:rsidRPr="0035760A" w:rsidRDefault="00884FAD" w:rsidP="00884FAD">
      <w:pPr>
        <w:jc w:val="both"/>
        <w:rPr>
          <w:noProof/>
          <w:lang w:val="ro-RO"/>
        </w:rPr>
      </w:pPr>
      <w:r w:rsidRPr="0035760A">
        <w:rPr>
          <w:noProof/>
          <w:lang w:val="ro-RO"/>
        </w:rPr>
        <w:t xml:space="preserve">Pe parcursul anului 2022, Comisia a pus accentul, de asemenea, pe asigurarea în continuare a eficacității măsurilor.  Monitorizarea bazată pe riscuri și acțiunile rapide menite să abordeze orice situație în care măsurile ar putea fi subminate se reflectă în faptul că peste o cincime din măsurile actuale sunt rezultatul unor acțiuni întreprinse împotriva practicilor de circumvenție.  </w:t>
      </w:r>
    </w:p>
    <w:p w14:paraId="40937BF9" w14:textId="77777777" w:rsidR="00884FAD" w:rsidRPr="0035760A" w:rsidRDefault="00884FAD" w:rsidP="00884FAD">
      <w:pPr>
        <w:jc w:val="both"/>
        <w:rPr>
          <w:noProof/>
          <w:lang w:val="ro-RO"/>
        </w:rPr>
      </w:pPr>
    </w:p>
    <w:p w14:paraId="7507D253" w14:textId="421B3D22" w:rsidR="00884FAD" w:rsidRPr="0035760A" w:rsidRDefault="00884FAD" w:rsidP="00884FAD">
      <w:pPr>
        <w:jc w:val="both"/>
        <w:rPr>
          <w:noProof/>
          <w:lang w:val="ro-RO"/>
        </w:rPr>
      </w:pPr>
      <w:r w:rsidRPr="0035760A">
        <w:rPr>
          <w:noProof/>
          <w:lang w:val="ro-RO"/>
        </w:rPr>
        <w:t>În pofida impactului tot mai redus al pandemiei de COVID-19 și a redresării sporite în urma acesteia, anul a adus noi provocări pentru comerțul mondial ca urmare a agresiunii militare neprovocate și nejustificate a Rusiei împotriva Ucrainei. Printre numeroasele acțiuni întreprinse pentru a ajuta Ucraina, inclusiv prin măsuri comerciale, UE a suspendat toate taxele de import și toate măsurile de apărare comercială aplicabile mărfurilor importate din Ucraina pentru a contribui la atenuarea daunelor grave aduse economiei acesteia și pentru a sprijini producătorii și exportatorii ucraineni.  În plus, UE a suspendat aplicarea măsurii de salvgardare privind oțelul în cazul mărfurilor importate din Ucraina.</w:t>
      </w:r>
    </w:p>
    <w:p w14:paraId="481CB64F" w14:textId="77777777" w:rsidR="00884FAD" w:rsidRPr="0035760A" w:rsidRDefault="00884FAD" w:rsidP="00884FAD">
      <w:pPr>
        <w:jc w:val="both"/>
        <w:rPr>
          <w:noProof/>
          <w:lang w:val="ro-RO"/>
        </w:rPr>
      </w:pPr>
    </w:p>
    <w:p w14:paraId="5FDEC2D3" w14:textId="640F58EF" w:rsidR="00F501B6" w:rsidRPr="0035760A" w:rsidRDefault="00884FAD" w:rsidP="00884FAD">
      <w:pPr>
        <w:jc w:val="both"/>
        <w:rPr>
          <w:noProof/>
          <w:lang w:val="ro-RO"/>
        </w:rPr>
      </w:pPr>
      <w:r w:rsidRPr="0035760A">
        <w:rPr>
          <w:noProof/>
          <w:lang w:val="ro-RO"/>
        </w:rPr>
        <w:t xml:space="preserve">În 2022 a avut loc o scădere semnificativă cu 73 % a numărului de investigații de apărare comercială a țărilor terțe inițiate împotriva exporturilor UE, reflectând o scădere a numărului de cazuri noi la nivel mondial. Intervențiile Comisiei în astfel de cazuri sunt în continuare importante prin faptul că îi ajută pe exportatorii din UE să se apere împotriva măsurilor comerciale neloiale, asigurând că accesul la piețele de export nu este afectat de măsuri de apărare comercială nejustificate. </w:t>
      </w:r>
    </w:p>
    <w:p w14:paraId="3557E5B3" w14:textId="0E80C720" w:rsidR="00884FAD" w:rsidRPr="0035760A" w:rsidRDefault="00884FAD" w:rsidP="00884FAD">
      <w:pPr>
        <w:pStyle w:val="Heading1"/>
        <w:numPr>
          <w:ilvl w:val="0"/>
          <w:numId w:val="0"/>
        </w:numPr>
        <w:ind w:left="480" w:hanging="480"/>
        <w:rPr>
          <w:noProof/>
          <w:lang w:val="ro-RO"/>
        </w:rPr>
      </w:pPr>
      <w:r w:rsidRPr="0035760A">
        <w:rPr>
          <w:noProof/>
          <w:lang w:val="ro-RO"/>
        </w:rPr>
        <w:t>PARTEA 1 - Aplicarea instrumentelor de apărare comercială (IAC) în 2022</w:t>
      </w:r>
    </w:p>
    <w:p w14:paraId="7B72F37E" w14:textId="7508A2CC" w:rsidR="00884FAD" w:rsidRPr="0035760A" w:rsidRDefault="00BA366A" w:rsidP="00BA366A">
      <w:pPr>
        <w:pStyle w:val="ManualHeading1"/>
        <w:rPr>
          <w:noProof/>
          <w:lang w:val="ro-RO"/>
        </w:rPr>
      </w:pPr>
      <w:r w:rsidRPr="00BA366A">
        <w:t>1.</w:t>
      </w:r>
      <w:r w:rsidRPr="00BA366A">
        <w:tab/>
      </w:r>
      <w:r w:rsidR="00884FAD" w:rsidRPr="0035760A">
        <w:rPr>
          <w:noProof/>
          <w:lang w:val="ro-RO"/>
        </w:rPr>
        <w:t>Activitatea de investigare</w:t>
      </w:r>
    </w:p>
    <w:p w14:paraId="475F2161" w14:textId="4610292E" w:rsidR="00884FAD" w:rsidRPr="0035760A" w:rsidRDefault="00BA366A" w:rsidP="00BA366A">
      <w:pPr>
        <w:pStyle w:val="ManualHeading2"/>
        <w:rPr>
          <w:noProof/>
          <w:lang w:val="ro-RO"/>
        </w:rPr>
      </w:pPr>
      <w:r w:rsidRPr="00BA366A">
        <w:t>1.1.</w:t>
      </w:r>
      <w:r w:rsidRPr="00BA366A">
        <w:tab/>
      </w:r>
      <w:r w:rsidR="00884FAD" w:rsidRPr="0035760A">
        <w:rPr>
          <w:noProof/>
          <w:lang w:val="ro-RO"/>
        </w:rPr>
        <w:t>Prezentare generală</w:t>
      </w:r>
    </w:p>
    <w:p w14:paraId="69890803" w14:textId="387B8C2C" w:rsidR="00884FAD" w:rsidRPr="0035760A" w:rsidRDefault="00884FAD" w:rsidP="00884FAD">
      <w:pPr>
        <w:autoSpaceDE w:val="0"/>
        <w:autoSpaceDN w:val="0"/>
        <w:jc w:val="both"/>
        <w:rPr>
          <w:noProof/>
          <w:lang w:val="ro-RO"/>
        </w:rPr>
      </w:pPr>
      <w:r w:rsidRPr="0035760A">
        <w:rPr>
          <w:noProof/>
          <w:lang w:val="ro-RO"/>
        </w:rPr>
        <w:t xml:space="preserve">La sfârșitul anului 2022, UE avea în vigoare 177 de măsuri de apărare comercială definitive: 117 măsuri antidumping (AD) definitive [prelungite în 34 de cazuri în urma investigațiilor anticircumvenție (AC)], 21 de măsuri antisubvenție (AS) (prelungite în patru cazuri) și o măsură de salvgardare (SVG). Aceasta reprezintă o creștere cu 14 măsuri față de 2021. Aceste măsuri protejează peste 494 000 de locuri de muncă directe în UE. </w:t>
      </w:r>
    </w:p>
    <w:p w14:paraId="49054B08" w14:textId="4455FE41" w:rsidR="00884FAD" w:rsidRPr="0035760A" w:rsidRDefault="00884FAD" w:rsidP="00884FAD">
      <w:pPr>
        <w:autoSpaceDE w:val="0"/>
        <w:autoSpaceDN w:val="0"/>
        <w:spacing w:before="120" w:after="120"/>
        <w:jc w:val="both"/>
        <w:rPr>
          <w:noProof/>
          <w:lang w:val="ro-RO"/>
        </w:rPr>
      </w:pPr>
      <w:r w:rsidRPr="0035760A">
        <w:rPr>
          <w:noProof/>
          <w:lang w:val="ro-RO"/>
        </w:rPr>
        <w:t>Nivelul activităților de investigare din 2022 a fost în concordanță cu cel din anii precedenți, 99 de investigații fiind în desfășurare, cuprinzând 21 de investigații inițiale și 78 de reexaminări, comparativ cu 87</w:t>
      </w:r>
      <w:r w:rsidRPr="0035760A">
        <w:rPr>
          <w:rStyle w:val="FootnoteReference"/>
          <w:noProof/>
          <w:lang w:val="ro-RO"/>
        </w:rPr>
        <w:footnoteReference w:id="3"/>
      </w:r>
      <w:r w:rsidRPr="0035760A">
        <w:rPr>
          <w:noProof/>
          <w:lang w:val="ro-RO"/>
        </w:rPr>
        <w:t xml:space="preserve"> în 2021.  La sfârșitul anului 2022, erau în desfășurare 48 de investigații.</w:t>
      </w:r>
    </w:p>
    <w:p w14:paraId="6B1C59FB" w14:textId="24363E44" w:rsidR="00884FAD" w:rsidRPr="0035760A" w:rsidRDefault="00884FAD" w:rsidP="00884FAD">
      <w:pPr>
        <w:autoSpaceDE w:val="0"/>
        <w:autoSpaceDN w:val="0"/>
        <w:spacing w:before="120" w:after="120"/>
        <w:jc w:val="both"/>
        <w:rPr>
          <w:noProof/>
          <w:lang w:val="ro-RO"/>
        </w:rPr>
      </w:pPr>
      <w:r w:rsidRPr="0035760A">
        <w:rPr>
          <w:noProof/>
          <w:lang w:val="ro-RO"/>
        </w:rPr>
        <w:t>În 2022, Comisia s-a ocupat de mai multe cereri de suspendare a anumitor măsuri de apărare comercială. Perturbarea continuă a lanțurilor de aprovizionare, cauzată inițial de criza provocată de pandemia de COVID-19 și exacerbată de agresiunea militară a Rusiei împotriva Ucrainei, i-a determinat pe unii operatori economici să solicite suspendarea anumitor măsuri existente. Cu toate acestea, în 2022 nu a fost suspendată nicio măsură în temeiul articolului 14 alineatul (4) din Regulamentul de bază privind măsurile antidumping</w:t>
      </w:r>
      <w:r w:rsidRPr="0035760A">
        <w:rPr>
          <w:rStyle w:val="FootnoteReference"/>
          <w:noProof/>
          <w:lang w:val="ro-RO"/>
        </w:rPr>
        <w:footnoteReference w:id="4"/>
      </w:r>
      <w:r w:rsidRPr="0035760A">
        <w:rPr>
          <w:noProof/>
          <w:lang w:val="ro-RO"/>
        </w:rPr>
        <w:t xml:space="preserve">, deoarece nu au fost îndeplinite cerințele legale. În plus, în iulie 2022, Comisia a ridicat suspendarea măsurilor antidumping privind produsele plate din aluminiu din China, aflate în vigoare din octombrie 2021.  </w:t>
      </w:r>
    </w:p>
    <w:p w14:paraId="39B4D77D" w14:textId="77777777" w:rsidR="00884FAD" w:rsidRPr="0035760A" w:rsidRDefault="00884FAD" w:rsidP="00884FAD">
      <w:pPr>
        <w:autoSpaceDE w:val="0"/>
        <w:autoSpaceDN w:val="0"/>
        <w:spacing w:before="120" w:after="120"/>
        <w:jc w:val="both"/>
        <w:rPr>
          <w:noProof/>
          <w:lang w:val="ro-RO"/>
        </w:rPr>
      </w:pPr>
      <w:r w:rsidRPr="0035760A">
        <w:rPr>
          <w:noProof/>
          <w:lang w:val="ro-RO"/>
        </w:rPr>
        <w:t xml:space="preserve">Prezentul raport este însoțit de un document de lucru al serviciilor Comisiei, care oferă mai multe informații și statistici și include anexe pentru secțiunile de mai jos. </w:t>
      </w:r>
    </w:p>
    <w:p w14:paraId="69BBA010" w14:textId="0F5835AF" w:rsidR="00884FAD" w:rsidRPr="0035760A" w:rsidRDefault="00BA366A" w:rsidP="00BA366A">
      <w:pPr>
        <w:pStyle w:val="ManualHeading2"/>
        <w:rPr>
          <w:noProof/>
          <w:lang w:val="ro-RO"/>
        </w:rPr>
      </w:pPr>
      <w:r w:rsidRPr="00BA366A">
        <w:t>1.2.</w:t>
      </w:r>
      <w:r w:rsidRPr="00BA366A">
        <w:tab/>
      </w:r>
      <w:r w:rsidR="00884FAD" w:rsidRPr="0035760A">
        <w:rPr>
          <w:noProof/>
          <w:lang w:val="ro-RO"/>
        </w:rPr>
        <w:t xml:space="preserve">Investigații antidumping și antisubvenție (a se vedea anexele A-I) </w:t>
      </w:r>
    </w:p>
    <w:p w14:paraId="5DF874DB" w14:textId="2339731B" w:rsidR="00884FAD" w:rsidRPr="0035760A" w:rsidRDefault="00884FAD" w:rsidP="00884FAD">
      <w:pPr>
        <w:autoSpaceDE w:val="0"/>
        <w:autoSpaceDN w:val="0"/>
        <w:jc w:val="both"/>
        <w:rPr>
          <w:noProof/>
          <w:lang w:val="ro-RO"/>
        </w:rPr>
      </w:pPr>
      <w:r w:rsidRPr="0035760A">
        <w:rPr>
          <w:noProof/>
          <w:lang w:val="ro-RO"/>
        </w:rPr>
        <w:t xml:space="preserve">În 2022, Comisia a inițiat 5 investigații noi (4 AD și 1 AS), comparativ cu 14 în 2021. Deși reprezintă o scădere, acest lucru reflectă faptul că instrumentele de apărare comercială sunt create pe baza plângerilor și că, în 2022, numărul plângerilor de la părțile interesate din industria UE a fost mai mic decât în anii precedenți. Această scădere a numărului de cazuri poate fi explicată prin scăderea importurilor în 2021 și în 2022, parțial din cauza costurilor de transport ridicate, determinând o cotă de piață mai mare pentru industria Uniunii și prețuri ridicate.  De asemenea, este posibil ca redresarea după pandemia de COVID-19, care a generat profituri ridicate, să fi condus la prejudicierea într-o mai mică măsură a industriei în această perioadă.   </w:t>
      </w:r>
    </w:p>
    <w:p w14:paraId="1FA7D6BE" w14:textId="77777777" w:rsidR="00884FAD" w:rsidRPr="0035760A" w:rsidRDefault="00884FAD" w:rsidP="00884FAD">
      <w:pPr>
        <w:autoSpaceDE w:val="0"/>
        <w:autoSpaceDN w:val="0"/>
        <w:jc w:val="both"/>
        <w:rPr>
          <w:noProof/>
          <w:lang w:val="ro-RO"/>
        </w:rPr>
      </w:pPr>
    </w:p>
    <w:p w14:paraId="04E6010E" w14:textId="52720189" w:rsidR="00884FAD" w:rsidRPr="0035760A" w:rsidRDefault="00884FAD" w:rsidP="00884FAD">
      <w:pPr>
        <w:autoSpaceDE w:val="0"/>
        <w:autoSpaceDN w:val="0"/>
        <w:jc w:val="both"/>
        <w:rPr>
          <w:noProof/>
          <w:lang w:val="ro-RO"/>
        </w:rPr>
      </w:pPr>
      <w:r w:rsidRPr="0035760A">
        <w:rPr>
          <w:noProof/>
          <w:lang w:val="ro-RO"/>
        </w:rPr>
        <w:t xml:space="preserve">Pe de altă parte, numărul de reexaminări inițiate a crescut semnificativ în 2022, fiind inițiate 41 de investigații, comparativ cu 28 în anul precedent. Acestea au inclus, printre altele, 27 de reexaminări efectuate în perspectiva expirării măsurilor existente și patru reexaminări intermediare în vederea revizuirii/ajustării nivelului măsurilor în vigoare. </w:t>
      </w:r>
    </w:p>
    <w:p w14:paraId="06C33B40" w14:textId="77777777" w:rsidR="00884FAD" w:rsidRPr="0035760A" w:rsidRDefault="00884FAD" w:rsidP="00884FAD">
      <w:pPr>
        <w:autoSpaceDE w:val="0"/>
        <w:autoSpaceDN w:val="0"/>
        <w:jc w:val="both"/>
        <w:rPr>
          <w:noProof/>
          <w:lang w:val="ro-RO"/>
        </w:rPr>
      </w:pPr>
      <w:r w:rsidRPr="0035760A">
        <w:rPr>
          <w:noProof/>
          <w:lang w:val="ro-RO"/>
        </w:rPr>
        <w:t xml:space="preserve">  </w:t>
      </w:r>
    </w:p>
    <w:p w14:paraId="0AC4AC78" w14:textId="517B6AF0" w:rsidR="00884FAD" w:rsidRPr="0035760A" w:rsidRDefault="00884FAD" w:rsidP="00884FAD">
      <w:pPr>
        <w:autoSpaceDE w:val="0"/>
        <w:autoSpaceDN w:val="0"/>
        <w:jc w:val="both"/>
        <w:rPr>
          <w:noProof/>
          <w:lang w:val="ro-RO"/>
        </w:rPr>
      </w:pPr>
      <w:r w:rsidRPr="0035760A">
        <w:rPr>
          <w:noProof/>
          <w:lang w:val="ro-RO"/>
        </w:rPr>
        <w:t>Numărul total al investigațiilor AD și AS inițiate, în cadrul tuturor tipurilor de investigații, a fost 46, acesta fiind cel mai mare din ultimii cinci ani.</w:t>
      </w:r>
    </w:p>
    <w:p w14:paraId="36191D22" w14:textId="77777777" w:rsidR="00884FAD" w:rsidRPr="0035760A" w:rsidRDefault="00884FAD" w:rsidP="00884FAD">
      <w:pPr>
        <w:autoSpaceDE w:val="0"/>
        <w:autoSpaceDN w:val="0"/>
        <w:jc w:val="both"/>
        <w:rPr>
          <w:noProof/>
          <w:lang w:val="ro-RO"/>
        </w:rPr>
      </w:pPr>
    </w:p>
    <w:p w14:paraId="7C7F7B43" w14:textId="771BA37D" w:rsidR="00884FAD" w:rsidRPr="0035760A" w:rsidRDefault="00884FAD" w:rsidP="00884FAD">
      <w:pPr>
        <w:autoSpaceDE w:val="0"/>
        <w:autoSpaceDN w:val="0"/>
        <w:jc w:val="both"/>
        <w:rPr>
          <w:noProof/>
          <w:lang w:val="ro-RO"/>
        </w:rPr>
      </w:pPr>
      <w:r w:rsidRPr="0035760A">
        <w:rPr>
          <w:noProof/>
          <w:lang w:val="ro-RO"/>
        </w:rPr>
        <w:t>Comisia a aplicat taxe provizorii în 3 investigații AD și a închis 11 investigații prin impunerea unor taxe definitive (8 AD și 3 AS). Comisia a încheiat o investigație antisubvenție fără a institui măsuri, întrucât plângerea a fost retrasă.  18 reexaminări în perspectiva expirării măsurilor s-au încheiat cu o confirmare a taxei în 2022.</w:t>
      </w:r>
    </w:p>
    <w:p w14:paraId="00B4DD51" w14:textId="2752CB3B" w:rsidR="00884FAD" w:rsidRPr="0035760A" w:rsidRDefault="00811BD4" w:rsidP="00CF178C">
      <w:pPr>
        <w:pStyle w:val="Heading3"/>
        <w:keepLines/>
        <w:numPr>
          <w:ilvl w:val="0"/>
          <w:numId w:val="0"/>
        </w:numPr>
        <w:spacing w:before="40" w:after="0"/>
        <w:jc w:val="center"/>
        <w:rPr>
          <w:b/>
          <w:noProof/>
          <w:sz w:val="26"/>
          <w:lang w:val="ro-RO"/>
        </w:rPr>
      </w:pPr>
      <w:r w:rsidRPr="0035760A">
        <w:rPr>
          <w:noProof/>
          <w:lang w:val="en-GB" w:eastAsia="en-GB"/>
        </w:rPr>
        <w:drawing>
          <wp:inline distT="0" distB="0" distL="0" distR="0" wp14:anchorId="25F9C02B" wp14:editId="62991F4D">
            <wp:extent cx="458152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1525" cy="2743200"/>
                    </a:xfrm>
                    <a:prstGeom prst="rect">
                      <a:avLst/>
                    </a:prstGeom>
                    <a:noFill/>
                    <a:ln>
                      <a:noFill/>
                    </a:ln>
                  </pic:spPr>
                </pic:pic>
              </a:graphicData>
            </a:graphic>
          </wp:inline>
        </w:drawing>
      </w:r>
    </w:p>
    <w:p w14:paraId="30DFADFC" w14:textId="77777777" w:rsidR="00CF178C" w:rsidRPr="0035760A" w:rsidRDefault="00CF178C" w:rsidP="00CF178C">
      <w:pPr>
        <w:pStyle w:val="Heading2"/>
        <w:numPr>
          <w:ilvl w:val="0"/>
          <w:numId w:val="0"/>
        </w:numPr>
        <w:ind w:left="1626"/>
        <w:rPr>
          <w:noProof/>
          <w:lang w:val="ro-RO"/>
        </w:rPr>
      </w:pPr>
    </w:p>
    <w:p w14:paraId="359B1BA2" w14:textId="40FEF05F" w:rsidR="00884FAD" w:rsidRPr="0035760A" w:rsidRDefault="00BA366A" w:rsidP="00BA366A">
      <w:pPr>
        <w:pStyle w:val="ManualHeading2"/>
        <w:rPr>
          <w:noProof/>
          <w:lang w:val="ro-RO"/>
        </w:rPr>
      </w:pPr>
      <w:r w:rsidRPr="00BA366A">
        <w:t>1.3.</w:t>
      </w:r>
      <w:r w:rsidRPr="00BA366A">
        <w:tab/>
      </w:r>
      <w:r w:rsidR="00884FAD" w:rsidRPr="0035760A">
        <w:rPr>
          <w:noProof/>
          <w:lang w:val="ro-RO"/>
        </w:rPr>
        <w:t xml:space="preserve">Investigații de salvgardare </w:t>
      </w:r>
    </w:p>
    <w:p w14:paraId="1A7FD9F7" w14:textId="6E0AEE42" w:rsidR="00884FAD" w:rsidRPr="0035760A" w:rsidRDefault="00884FAD" w:rsidP="00884FAD">
      <w:pPr>
        <w:jc w:val="both"/>
        <w:rPr>
          <w:noProof/>
          <w:lang w:val="ro-RO"/>
        </w:rPr>
      </w:pPr>
      <w:r w:rsidRPr="0035760A">
        <w:rPr>
          <w:noProof/>
          <w:lang w:val="ro-RO"/>
        </w:rPr>
        <w:t>În martie 2022, Comisia a ajustat măsura de salvgardare a UE, impusă în 2019, asupra importurilor de anumite produse siderurgice pentru a lua în considerare o interdicție la importul de oțel din Belarus și din Federația Rusă din cauza măsurilor restrictive (sancțiunilor) impuse de UE</w:t>
      </w:r>
      <w:r w:rsidRPr="0035760A">
        <w:rPr>
          <w:rStyle w:val="FootnoteReference"/>
          <w:noProof/>
          <w:lang w:val="ro-RO"/>
        </w:rPr>
        <w:footnoteReference w:id="5"/>
      </w:r>
      <w:r w:rsidRPr="0035760A">
        <w:rPr>
          <w:rStyle w:val="FootnoteReference"/>
          <w:noProof/>
          <w:lang w:val="ro-RO"/>
        </w:rPr>
        <w:t>.</w:t>
      </w:r>
      <w:r w:rsidRPr="0035760A">
        <w:rPr>
          <w:noProof/>
          <w:lang w:val="ro-RO"/>
        </w:rPr>
        <w:t>. Prin urmare, contingentele specifice acestor două țări de origine au fost realocate altor furnizori care fac obiectul măsurii</w:t>
      </w:r>
      <w:r w:rsidRPr="0035760A">
        <w:rPr>
          <w:rStyle w:val="FootnoteReference"/>
          <w:noProof/>
          <w:lang w:val="ro-RO"/>
        </w:rPr>
        <w:footnoteReference w:id="6"/>
      </w:r>
      <w:r w:rsidRPr="0035760A">
        <w:rPr>
          <w:noProof/>
          <w:lang w:val="ro-RO"/>
        </w:rPr>
        <w:t xml:space="preserve">. În aprilie 2022, Comisia a ajustat din nou măsura pentru a include în domeniul de aplicare al acesteia anumite țări cu care Uniunea a semnat un acord de parteneriat economic (APE), deoarece acestea fuseseră anterior excluse în baza prevederilor APE. </w:t>
      </w:r>
    </w:p>
    <w:p w14:paraId="35D99BF1" w14:textId="77777777" w:rsidR="00884FAD" w:rsidRPr="0035760A" w:rsidRDefault="00884FAD" w:rsidP="00884FAD">
      <w:pPr>
        <w:jc w:val="both"/>
        <w:rPr>
          <w:noProof/>
          <w:lang w:val="ro-RO"/>
        </w:rPr>
      </w:pPr>
    </w:p>
    <w:p w14:paraId="784043C4" w14:textId="5EF55195" w:rsidR="00884FAD" w:rsidRPr="0035760A" w:rsidRDefault="00884FAD" w:rsidP="00884FAD">
      <w:pPr>
        <w:jc w:val="both"/>
        <w:rPr>
          <w:noProof/>
          <w:lang w:val="ro-RO"/>
        </w:rPr>
      </w:pPr>
      <w:r w:rsidRPr="0035760A">
        <w:rPr>
          <w:noProof/>
          <w:lang w:val="ro-RO"/>
        </w:rPr>
        <w:t>În iunie 2022, în urma celei de a treia reexaminări a funcționării măsurii</w:t>
      </w:r>
      <w:r w:rsidRPr="0035760A">
        <w:rPr>
          <w:rStyle w:val="FootnoteReference"/>
          <w:noProof/>
          <w:lang w:val="ro-RO"/>
        </w:rPr>
        <w:footnoteReference w:id="7"/>
      </w:r>
      <w:r w:rsidRPr="0035760A">
        <w:rPr>
          <w:noProof/>
          <w:lang w:val="ro-RO"/>
        </w:rPr>
        <w:t xml:space="preserve">, Comisia a efectuat mai multe ajustări tehnice legate de funcționarea măsurii de salvgardare privind oțelul. Aceste ajustări au inclus o creștere a nivelului de liberalizare de la 3 % la 4 %, o actualizare a listei țărilor în curs de dezvoltare care fac obiectul măsurii, o ajustare a anumitor contingente astfel încât să se evite efectele de excludere nejustificate și globalizarea gestionării contingentelor pentru două categorii de produse. În plus, Comisia a suspendat aplicarea măsurii în cazul Ucrainei ca urmare a măsurilor fără precedent de liberalizare a comerțului adoptate de UE pentru a sprijini economia Ucrainei. </w:t>
      </w:r>
    </w:p>
    <w:p w14:paraId="5474A087" w14:textId="77777777" w:rsidR="00884FAD" w:rsidRPr="0035760A" w:rsidRDefault="00884FAD" w:rsidP="00884FAD">
      <w:pPr>
        <w:jc w:val="both"/>
        <w:rPr>
          <w:noProof/>
          <w:lang w:val="ro-RO"/>
        </w:rPr>
      </w:pPr>
    </w:p>
    <w:p w14:paraId="193F2B4B" w14:textId="0AD4D8C1" w:rsidR="00884FAD" w:rsidRPr="0035760A" w:rsidRDefault="00884FAD" w:rsidP="00884FAD">
      <w:pPr>
        <w:jc w:val="both"/>
        <w:rPr>
          <w:noProof/>
          <w:lang w:val="ro-RO"/>
        </w:rPr>
      </w:pPr>
      <w:r w:rsidRPr="0035760A">
        <w:rPr>
          <w:noProof/>
          <w:lang w:val="ro-RO"/>
        </w:rPr>
        <w:t>În aprilie 2022, Organul de soluționare a litigiilor al OMC a publicat raportul grupului special privind litigiul UE — Măsuri de salvgardare privind anumite produse siderurgice (DS595), care fusese inițiat de Turcia împotriva UE în martie 2020. Deși, în general, raportul grupului special de soluționare a litigiilor a fost satisfăcător pentru UE, acesta a identificat un număr mic de neconcordanțe cu normele OMC în ceea ce privește măsura de salvgardare a UE. Acestea se refereau la raționamentul furnizat de Comisie în determinarea inițială privind constatarea amenințării unui prejudiciu grav și la legătura dintre evoluțiile neprevăzute și creșterea importurilor. La 13 ianuarie 2023, Comisia a pus în aplicare hotărârea grupului special, asigurând astfel conformitatea măsurii de salvgardare privind oțelul cu normele OMC.</w:t>
      </w:r>
    </w:p>
    <w:p w14:paraId="276CA454" w14:textId="77777777" w:rsidR="00884FAD" w:rsidRPr="0035760A" w:rsidRDefault="00884FAD" w:rsidP="00884FAD">
      <w:pPr>
        <w:jc w:val="both"/>
        <w:rPr>
          <w:noProof/>
          <w:lang w:val="ro-RO"/>
        </w:rPr>
      </w:pPr>
    </w:p>
    <w:p w14:paraId="0DE8FA51" w14:textId="2D38A181" w:rsidR="00884FAD" w:rsidRPr="0035760A" w:rsidRDefault="00046A8F" w:rsidP="00884FAD">
      <w:pPr>
        <w:jc w:val="both"/>
        <w:rPr>
          <w:noProof/>
          <w:lang w:val="ro-RO"/>
        </w:rPr>
      </w:pPr>
      <w:bookmarkStart w:id="4" w:name="_Hlk137475331"/>
      <w:r w:rsidRPr="0035760A">
        <w:rPr>
          <w:noProof/>
          <w:lang w:val="ro-RO"/>
        </w:rPr>
        <w:t>Măsurile de salvgardare bilaterale instituite în 2019 asupra importurilor de orez Indica din Cambodgia și Myanmar, în cadrul sistemului generalizat de preferințe tarifare (SGP), au expirat în ianuarie 2022. Există o procedură în curs privind măsurile, inițiată în ianuarie 2023, pentru punerea în aplicare, în acest caz, a unei hotărâri a Tribunalului</w:t>
      </w:r>
      <w:r w:rsidRPr="0035760A">
        <w:rPr>
          <w:rStyle w:val="FootnoteReference"/>
          <w:noProof/>
          <w:lang w:val="ro-RO"/>
        </w:rPr>
        <w:footnoteReference w:id="8"/>
      </w:r>
      <w:r w:rsidRPr="0035760A">
        <w:rPr>
          <w:noProof/>
          <w:lang w:val="ro-RO"/>
        </w:rPr>
        <w:t xml:space="preserve">. </w:t>
      </w:r>
    </w:p>
    <w:bookmarkEnd w:id="4"/>
    <w:p w14:paraId="3DD7BA10" w14:textId="77777777" w:rsidR="00884FAD" w:rsidRPr="0035760A" w:rsidRDefault="00884FAD" w:rsidP="00884FAD">
      <w:pPr>
        <w:jc w:val="both"/>
        <w:rPr>
          <w:noProof/>
          <w:lang w:val="ro-RO"/>
        </w:rPr>
      </w:pPr>
    </w:p>
    <w:p w14:paraId="1809B9FA" w14:textId="77777777" w:rsidR="00884FAD" w:rsidRPr="0035760A" w:rsidRDefault="00884FAD" w:rsidP="00884FAD">
      <w:pPr>
        <w:jc w:val="both"/>
        <w:rPr>
          <w:noProof/>
          <w:lang w:val="ro-RO"/>
        </w:rPr>
      </w:pPr>
      <w:r w:rsidRPr="0035760A">
        <w:rPr>
          <w:noProof/>
          <w:lang w:val="ro-RO"/>
        </w:rPr>
        <w:t>Nu au fost inițiate investigații de salvgardare noi în 2022.</w:t>
      </w:r>
    </w:p>
    <w:p w14:paraId="48306E35" w14:textId="77777777" w:rsidR="00884FAD" w:rsidRPr="0035760A" w:rsidRDefault="00884FAD" w:rsidP="00884FAD">
      <w:pPr>
        <w:jc w:val="both"/>
        <w:rPr>
          <w:noProof/>
          <w:lang w:val="ro-RO"/>
        </w:rPr>
      </w:pPr>
      <w:r w:rsidRPr="0035760A">
        <w:rPr>
          <w:noProof/>
          <w:lang w:val="ro-RO"/>
        </w:rPr>
        <w:t xml:space="preserve"> </w:t>
      </w:r>
    </w:p>
    <w:p w14:paraId="0500BE8D" w14:textId="06ECAEEA" w:rsidR="00884FAD" w:rsidRPr="0035760A" w:rsidRDefault="00BA366A" w:rsidP="00BA366A">
      <w:pPr>
        <w:pStyle w:val="ManualHeading2"/>
        <w:rPr>
          <w:noProof/>
          <w:lang w:val="ro-RO"/>
        </w:rPr>
      </w:pPr>
      <w:r w:rsidRPr="00BA366A">
        <w:t>1.4.</w:t>
      </w:r>
      <w:r w:rsidRPr="00BA366A">
        <w:tab/>
      </w:r>
      <w:r w:rsidR="00884FAD" w:rsidRPr="0035760A">
        <w:rPr>
          <w:noProof/>
          <w:lang w:val="ro-RO"/>
        </w:rPr>
        <w:t>Verificări în cadrul investigațiilor</w:t>
      </w:r>
    </w:p>
    <w:p w14:paraId="089ACBCB" w14:textId="77777777" w:rsidR="00884FAD" w:rsidRPr="0035760A" w:rsidRDefault="00884FAD" w:rsidP="00884FAD">
      <w:pPr>
        <w:jc w:val="both"/>
        <w:rPr>
          <w:noProof/>
          <w:lang w:val="ro-RO"/>
        </w:rPr>
      </w:pPr>
      <w:r w:rsidRPr="0035760A">
        <w:rPr>
          <w:noProof/>
          <w:lang w:val="ro-RO"/>
        </w:rPr>
        <w:t xml:space="preserve">Deși în 2022 s-a înregistrat o revenire majoră la vizitele de verificare la fața locului, Comisia a fost obligată să efectueze în continuare verificări încrucișate la distanță în cazul anumitor investigații, din cauza riscurilor continue și a restricțiilor de călătorie legate de COVID-19. </w:t>
      </w:r>
    </w:p>
    <w:p w14:paraId="3588D070" w14:textId="5A3A84FF" w:rsidR="00884FAD" w:rsidRPr="0035760A" w:rsidRDefault="00884FAD" w:rsidP="00884FAD">
      <w:pPr>
        <w:spacing w:before="120" w:after="120"/>
        <w:jc w:val="both"/>
        <w:rPr>
          <w:noProof/>
          <w:lang w:val="ro-RO"/>
        </w:rPr>
      </w:pPr>
      <w:r w:rsidRPr="0035760A">
        <w:rPr>
          <w:noProof/>
          <w:lang w:val="ro-RO"/>
        </w:rPr>
        <w:t xml:space="preserve">În 2022, Comisia a verificat date de la 178 de întreprinderi.  Dintre acestea, 129 au implicat vizite la fața locului, iar verificarea datelor de la 49 de întreprinderi s-a realizat prin verificări încrucișate la distanță.  Acest lucru constituie o schimbare semnificativă față de 2021, când s-au realizat doar 12 vizite la fața locului, indicând o revenire binevenită la practica anterioară pandemiei.  </w:t>
      </w:r>
    </w:p>
    <w:p w14:paraId="5CB11A2C" w14:textId="00B6FBF6" w:rsidR="00884FAD" w:rsidRPr="0035760A" w:rsidRDefault="00BA366A" w:rsidP="00BA366A">
      <w:pPr>
        <w:pStyle w:val="ManualHeading1"/>
        <w:rPr>
          <w:noProof/>
          <w:lang w:val="ro-RO"/>
        </w:rPr>
      </w:pPr>
      <w:r w:rsidRPr="00BA366A">
        <w:t>2.</w:t>
      </w:r>
      <w:r w:rsidRPr="00BA366A">
        <w:tab/>
      </w:r>
      <w:r w:rsidR="00884FAD" w:rsidRPr="0035760A">
        <w:rPr>
          <w:noProof/>
          <w:lang w:val="ro-RO"/>
        </w:rPr>
        <w:t>Aplicarea și asigurarea respectării eficace a instrumentelor de apărare comercială</w:t>
      </w:r>
    </w:p>
    <w:p w14:paraId="114600C0" w14:textId="4F796F7D" w:rsidR="00884FAD" w:rsidRPr="0035760A" w:rsidRDefault="00BA366A" w:rsidP="00BA366A">
      <w:pPr>
        <w:pStyle w:val="ManualHeading2"/>
        <w:rPr>
          <w:noProof/>
          <w:lang w:val="ro-RO"/>
        </w:rPr>
      </w:pPr>
      <w:r w:rsidRPr="00BA366A">
        <w:t>2.1.</w:t>
      </w:r>
      <w:r w:rsidRPr="00BA366A">
        <w:tab/>
      </w:r>
      <w:r w:rsidR="00884FAD" w:rsidRPr="0035760A">
        <w:rPr>
          <w:noProof/>
          <w:lang w:val="ro-RO"/>
        </w:rPr>
        <w:t xml:space="preserve">Monitorizarea, supravegherea și asigurarea respectării măsurilor (a se vedea anexele J, K, M, Q) </w:t>
      </w:r>
    </w:p>
    <w:p w14:paraId="45977568" w14:textId="1C7537AD" w:rsidR="00884FAD" w:rsidRPr="0035760A" w:rsidRDefault="00DF1B6A" w:rsidP="00884FAD">
      <w:pPr>
        <w:jc w:val="both"/>
        <w:rPr>
          <w:noProof/>
          <w:lang w:val="ro-RO"/>
        </w:rPr>
      </w:pPr>
      <w:r w:rsidRPr="0035760A">
        <w:rPr>
          <w:noProof/>
          <w:lang w:val="ro-RO"/>
        </w:rPr>
        <w:t>Pentru a asigura o politică de apărare comercială eficace și credibilă, este esențial ca, în cazul în care se impun măsuri, acestea să fie respectate și să își atingă scopul preconizat. În acest sens, Comisia dispune de instrumentele necesare pentru a monitoriza impactul taxelor antidumping și a celor compensatorii asupra fluxurilor de import ale produselor care fac obiectul măsurilor, precum și de mecanismele juridice de a acționa în cazul în care măsurile sunt absorbite sau eludate.</w:t>
      </w:r>
    </w:p>
    <w:p w14:paraId="5E7FDE56" w14:textId="77777777" w:rsidR="00884FAD" w:rsidRPr="0035760A" w:rsidRDefault="00884FAD" w:rsidP="00884FAD">
      <w:pPr>
        <w:jc w:val="both"/>
        <w:rPr>
          <w:noProof/>
          <w:lang w:val="ro-RO"/>
        </w:rPr>
      </w:pPr>
    </w:p>
    <w:p w14:paraId="6A8174FD" w14:textId="151C1EC1" w:rsidR="00884FAD" w:rsidRPr="0035760A" w:rsidRDefault="00884FAD" w:rsidP="00884FAD">
      <w:pPr>
        <w:pStyle w:val="BodyText"/>
        <w:jc w:val="both"/>
        <w:rPr>
          <w:noProof/>
          <w:lang w:val="ro-RO"/>
        </w:rPr>
      </w:pPr>
      <w:r w:rsidRPr="0035760A">
        <w:rPr>
          <w:noProof/>
          <w:lang w:val="ro-RO"/>
        </w:rPr>
        <w:t xml:space="preserve">Monitorizarea măsurilor urmărește combaterea acestor practici și prevenirea fraudei, prin definirea domeniilor de risc, analizând fluxurile comerciale și evoluțiile pieței; prin furnizarea de informații pentru luarea oricăror măsuri necesare (de exemplu, investigații anticircumvenție și antiabsorbție, reexaminări intermediare/noi în ceea ce privește un nou exportator, contactul cu administrațiile naționale), precum și prin avertizarea autorităților vamale și evaluarea feedbackului primit de la operatorii vamali și economici și prin cooperarea cu autoritățile de aplicare a legii (OLAF și autoritățile vamale naționale).  Conștientă de potențialul legat de eludarea taxelor, Comisia acordă prioritate cazurilor care prezintă un risc mai ridicat. În astfel de cazuri, în regulamentele de instituire a măsurilor sunt deja incluse dispoziții speciale de monitorizare, cu scopul de a reduce la minimum riscurile de circumvenție prin canalizarea societăților. În 2022, toate regulamentele de instituire a măsurilor definitive au inclus astfel de clauze de monitorizare.  La sfârșitul anului 2022, importurile erau vizate de clauze de monitorizare în cazul a 58 de produse care fac obiectul măsurilor.  </w:t>
      </w:r>
    </w:p>
    <w:p w14:paraId="0371EF65" w14:textId="21B2F574" w:rsidR="00884FAD" w:rsidRPr="0035760A" w:rsidRDefault="00884FAD" w:rsidP="00884FAD">
      <w:pPr>
        <w:pStyle w:val="Bodytext10"/>
        <w:spacing w:after="0" w:line="240" w:lineRule="auto"/>
        <w:jc w:val="both"/>
        <w:rPr>
          <w:noProof/>
          <w:sz w:val="24"/>
          <w:lang w:val="ro-RO"/>
        </w:rPr>
      </w:pPr>
      <w:r w:rsidRPr="0035760A">
        <w:rPr>
          <w:noProof/>
          <w:sz w:val="24"/>
          <w:lang w:val="ro-RO"/>
        </w:rPr>
        <w:t>De asemenea, Comisia a continuat în 2022 supravegherea importurilor de oțel, aluminiu și bioetanol, care fusese introdusă în mai 2020. Datele de supraveghere au fost publicate lunar de Comisie pe pagina publică privind „supravegherea/monitorizarea importurilor” de pe site-ul</w:t>
      </w:r>
      <w:r w:rsidRPr="0035760A">
        <w:rPr>
          <w:rStyle w:val="FootnoteReference"/>
          <w:noProof/>
          <w:sz w:val="24"/>
          <w:lang w:val="ro-RO"/>
        </w:rPr>
        <w:footnoteReference w:id="9"/>
      </w:r>
      <w:r w:rsidRPr="0035760A">
        <w:rPr>
          <w:noProof/>
          <w:sz w:val="24"/>
          <w:lang w:val="ro-RO"/>
        </w:rPr>
        <w:t xml:space="preserve"> Direcției Generale Comerț. </w:t>
      </w:r>
    </w:p>
    <w:p w14:paraId="44F9B53B" w14:textId="77777777" w:rsidR="00884FAD" w:rsidRPr="0035760A" w:rsidRDefault="00884FAD" w:rsidP="00884FAD">
      <w:pPr>
        <w:pStyle w:val="Bodytext10"/>
        <w:spacing w:after="0" w:line="240" w:lineRule="auto"/>
        <w:jc w:val="both"/>
        <w:rPr>
          <w:noProof/>
          <w:sz w:val="24"/>
          <w:lang w:val="ro-RO"/>
        </w:rPr>
      </w:pPr>
    </w:p>
    <w:p w14:paraId="3AAA7379" w14:textId="4B6307BE" w:rsidR="00884FAD" w:rsidRPr="0035760A" w:rsidRDefault="00884FAD" w:rsidP="00884FAD">
      <w:pPr>
        <w:jc w:val="both"/>
        <w:rPr>
          <w:noProof/>
          <w:lang w:val="ro-RO"/>
        </w:rPr>
      </w:pPr>
      <w:r w:rsidRPr="0035760A">
        <w:rPr>
          <w:noProof/>
          <w:lang w:val="ro-RO"/>
        </w:rPr>
        <w:t xml:space="preserve">Aceste exerciții de monitorizare pot contribui la identificarea practicilor de circumvenție. Circumvenția are loc atunci când, după instituirea măsurilor de protecție comercială, se constată o modificare a configurației schimburilor comerciale pentru produsele în cauză, care rezultă dintr-o practică pentru care nu există altă motivație suficientă sau justificare economică decât instituirea măsurilor. Această practică poate include expedierea produsului printr-o țară care nu face obiectul taxelor (transbordare), modificând produsul doar într-o mică măsură astfel încât acesta să nu intre sub incidența taxelor sau exportul prin intermediul unui producător-exportator cu niveluri individuale mai mici ale taxelor antidumping sau compensatorii (reorientare către alte societăți).   Absorbția are loc atunci când producătorii-exportatori din țări terțe decid să scadă prețurile către UE pentru a reduce la minimum sau pentru a anula impactul preconizat al taxelor instituite asupra produselor lor.  </w:t>
      </w:r>
    </w:p>
    <w:p w14:paraId="381CB708" w14:textId="77777777" w:rsidR="00884FAD" w:rsidRPr="0035760A" w:rsidRDefault="00884FAD" w:rsidP="00884FAD">
      <w:pPr>
        <w:rPr>
          <w:noProof/>
          <w:lang w:val="ro-RO"/>
        </w:rPr>
      </w:pPr>
    </w:p>
    <w:p w14:paraId="40A69216" w14:textId="312CD6AC" w:rsidR="00884FAD" w:rsidRPr="0035760A" w:rsidRDefault="00884FAD" w:rsidP="00884FAD">
      <w:pPr>
        <w:jc w:val="both"/>
        <w:rPr>
          <w:noProof/>
          <w:lang w:val="ro-RO"/>
        </w:rPr>
      </w:pPr>
      <w:r w:rsidRPr="0035760A">
        <w:rPr>
          <w:noProof/>
          <w:lang w:val="ro-RO"/>
        </w:rPr>
        <w:t xml:space="preserve">Abordarea acestor activități a determinat, în special, Comisia să inițieze, în 2022, două noi investigații anticircumvenție și o investigație antiabsorbție.  Prima investigație anticircumvenție viza o posibilă circumvenție a măsurilor antidumping aplicabile importurilor de anumite accesorii de țevărie pentru sudat cap la cap, din oțel inoxidabil, din China prin Malaysia. A doua viza o posibilă circumvenție a măsurilor antidumping aplicabile importurilor de foi și rulouri din oțel inoxidabil laminate la cald din Indonezia prin Turcia.  Investigația antiabsorbție a vizat măsurile AD aplicabile cablurilor cu fibră optică originare din China. Cererea a arătat că, în mod aparent, scăderea prețurilor de export în China împiedica efectele corective preconizate ale măsurilor în vigoare. Scăderea prețurilor de export nu a putut fi explicată printr-o scădere a prețului materiei prime principale sau printr-o modificare a gamei de produse. </w:t>
      </w:r>
    </w:p>
    <w:p w14:paraId="513F2A36" w14:textId="77777777" w:rsidR="00884FAD" w:rsidRPr="0035760A" w:rsidRDefault="00884FAD" w:rsidP="00884FAD">
      <w:pPr>
        <w:rPr>
          <w:noProof/>
          <w:lang w:val="ro-RO"/>
        </w:rPr>
      </w:pPr>
    </w:p>
    <w:p w14:paraId="7F4339BF" w14:textId="3B70BF2D" w:rsidR="00884FAD" w:rsidRPr="0035760A" w:rsidRDefault="00884FAD" w:rsidP="00884FAD">
      <w:pPr>
        <w:jc w:val="both"/>
        <w:rPr>
          <w:noProof/>
          <w:lang w:val="ro-RO"/>
        </w:rPr>
      </w:pPr>
      <w:r w:rsidRPr="0035760A">
        <w:rPr>
          <w:noProof/>
          <w:lang w:val="ro-RO"/>
        </w:rPr>
        <w:t>În cursul anului 2022, Comisia a încheiat investigațiile anticircumvenție referitoare la măsurile antidumping și compensatorii instituite în 2020 asupra țesăturilor din fibră de sticlă originare din China și din Egipt. Țesăturile din fibră de sticlă sunt utilizate, de exemplu, pentru producția de palete pentru turbinele eoliene, pentru producția de ambarcațiuni, camioane și echipamente sportive, precum și pentru sistemul de reabilitare a conductelor. Practicile de circumvenție au vizat o creștere a importurilor de țesături din fibră de sticlă din Maroc și din Turcia după instituirea măsurilor antidumping și compensatorii asupra acestor produse. Investigațiile au pus accentul pe importurile principalilor factori de producție pentru țesăturile din fibră de sticlă din China către Maroc și Turcia, unde acești factori de producție au fost prelucrați în țesături din fibră de sticlă și exportați, ulterior, în Uniune. Investigațiile au confirmat acuzațiile de circumvenție și, prin urmare, Comisia a extins atât măsurile antidumping, cât și măsurile compensatorii la Maroc și la Turcia. Aceste cazuri sunt emblematice pentru provocările generate de politica Chinei „O centură, un drum” și pentru hotărârea Comisiei de a întreprinde măsuri ferme împotriva practicilor comerciale neloiale care rezultă de aici.</w:t>
      </w:r>
    </w:p>
    <w:p w14:paraId="510B5650" w14:textId="77777777" w:rsidR="00884FAD" w:rsidRPr="0035760A" w:rsidRDefault="00884FAD" w:rsidP="00884FAD">
      <w:pPr>
        <w:jc w:val="both"/>
        <w:rPr>
          <w:noProof/>
          <w:lang w:val="ro-RO"/>
        </w:rPr>
      </w:pPr>
    </w:p>
    <w:p w14:paraId="3AFB13B4" w14:textId="5D0ED25B" w:rsidR="00884FAD" w:rsidRPr="0035760A" w:rsidRDefault="00884FAD" w:rsidP="00884FAD">
      <w:pPr>
        <w:jc w:val="both"/>
        <w:rPr>
          <w:noProof/>
          <w:lang w:val="ro-RO"/>
        </w:rPr>
      </w:pPr>
      <w:r w:rsidRPr="0035760A">
        <w:rPr>
          <w:noProof/>
          <w:lang w:val="ro-RO"/>
        </w:rPr>
        <w:t>De asemenea, în 2022, Comisia a încheiat o investigație antiabsorbție privind măsurile aplicabile fibrelor de sticlă din Egipt. S-a constatat că producătorii-exportatori egipteni și-au redus prețurile pentru a submina eficacitatea taxelor antidumping instituite în 2020. În urma investigației antiabsorbție a măsurilor, Comisia a recalculat marjele de dumping în consecință, ceea ce a condus la creșterea cu 13,1 % a măsurilor instituite. Aceste acțiuni demonstrează hotărârea Comisiei de a combate toate formele de comerț neloial, inclusiv circumvenția și absorbția măsurilor de apărare comercială.</w:t>
      </w:r>
    </w:p>
    <w:p w14:paraId="4D2FB5A9" w14:textId="77777777" w:rsidR="00884FAD" w:rsidRPr="0035760A" w:rsidRDefault="00884FAD" w:rsidP="00884FAD">
      <w:pPr>
        <w:jc w:val="both"/>
        <w:rPr>
          <w:noProof/>
          <w:lang w:val="ro-RO"/>
        </w:rPr>
      </w:pPr>
    </w:p>
    <w:p w14:paraId="3A58E2FF" w14:textId="51216ED8" w:rsidR="00884FAD" w:rsidRPr="0035760A" w:rsidRDefault="00884FAD" w:rsidP="00884FAD">
      <w:pPr>
        <w:pStyle w:val="BodyText"/>
        <w:jc w:val="both"/>
        <w:rPr>
          <w:noProof/>
          <w:lang w:val="ro-RO"/>
        </w:rPr>
      </w:pPr>
      <w:r w:rsidRPr="0035760A">
        <w:rPr>
          <w:noProof/>
          <w:lang w:val="ro-RO"/>
        </w:rPr>
        <w:t>În 2022, Comisia a reexaminat peste 10 angajamente în materie de prețuri aflate în vigoare privind acidul citric din China și polietilentereftalatul din India/Indonezia, pentru a se asigura că suspendările taxelor vamale acordate exportatorilor erau într-adevăr justificate. Nu au fost constatate nereguli care să determine retragerea angajamentelor.</w:t>
      </w:r>
    </w:p>
    <w:p w14:paraId="7F0918DD" w14:textId="0166BBF8" w:rsidR="00884FAD" w:rsidRPr="0035760A" w:rsidRDefault="00BA366A" w:rsidP="00BA366A">
      <w:pPr>
        <w:pStyle w:val="ManualHeading2"/>
        <w:rPr>
          <w:noProof/>
          <w:lang w:val="ro-RO"/>
        </w:rPr>
      </w:pPr>
      <w:r w:rsidRPr="00BA366A">
        <w:t>2.2.</w:t>
      </w:r>
      <w:r w:rsidRPr="00BA366A">
        <w:tab/>
      </w:r>
      <w:r w:rsidR="00884FAD" w:rsidRPr="0035760A">
        <w:rPr>
          <w:noProof/>
          <w:lang w:val="ro-RO"/>
        </w:rPr>
        <w:t xml:space="preserve">Protejarea întreprinderilor mici și mijlocii europene </w:t>
      </w:r>
    </w:p>
    <w:p w14:paraId="1B0BDA63" w14:textId="78228D79" w:rsidR="00884FAD" w:rsidRPr="0035760A" w:rsidRDefault="00884FAD" w:rsidP="00884FAD">
      <w:pPr>
        <w:pStyle w:val="Body"/>
        <w:spacing w:after="0"/>
        <w:rPr>
          <w:noProof/>
          <w:lang w:val="ro-RO"/>
        </w:rPr>
      </w:pPr>
      <w:r w:rsidRPr="0035760A">
        <w:rPr>
          <w:noProof/>
          <w:lang w:val="ro-RO"/>
        </w:rPr>
        <w:t xml:space="preserve">Pentru a beneficia de instrumentele de apărare comercială, întreprinderile mici și mijlocii (IMM-urile) se confruntă cu provocări mai mari decât întreprinderile mai mari.  Având în vedere rolul important pe care aceste întreprinderi îl joacă în economie și vulnerabilitatea lor crescută atunci când se confruntă cu o concurență neloială în ceea ce privește importurile, posibilitatea ca acestea să poată beneficia de drepturile și de beneficiile apărării comerciale, dacă acest lucru este justificat, constituie o prioritate pentru Comisie.  Prin urmare, Comisia a sprijinit în permanență aceste întreprinderi prin furnizarea de orientări prin intermediul serviciului său de asistență pentru IMM-uri, prin reducerea volumului de informații solicitate în chestionare și prin alinierea, în cazul în care acest lucru este posibil, a perioadelor de investigație la exercițiul financiar al acestora.  </w:t>
      </w:r>
    </w:p>
    <w:p w14:paraId="30C5C46F" w14:textId="77777777" w:rsidR="00884FAD" w:rsidRPr="0035760A" w:rsidRDefault="00884FAD" w:rsidP="00884FAD">
      <w:pPr>
        <w:pStyle w:val="Body"/>
        <w:spacing w:after="0"/>
        <w:rPr>
          <w:noProof/>
          <w:lang w:val="ro-RO"/>
        </w:rPr>
      </w:pPr>
    </w:p>
    <w:p w14:paraId="2E0DA034" w14:textId="5B3E3F0C" w:rsidR="00884FAD" w:rsidRPr="0035760A" w:rsidRDefault="00884FAD" w:rsidP="00884FAD">
      <w:pPr>
        <w:pStyle w:val="Body"/>
        <w:spacing w:after="0"/>
        <w:rPr>
          <w:noProof/>
          <w:lang w:val="ro-RO"/>
        </w:rPr>
      </w:pPr>
      <w:r w:rsidRPr="0035760A">
        <w:rPr>
          <w:noProof/>
          <w:lang w:val="ro-RO"/>
        </w:rPr>
        <w:t xml:space="preserve">În 2022, Comisia a pus la dispoziție pachetul său de informare online, care anterior era disponibil numai în limba engleză, în toate celelalte limbi ale UE.  Acestea au fost descărcate de 250 de ori în 2022, în timp ce pagina web privind instrumentele de apărare comercială disponibile pentru IMM-uri a fost consultată de aproape 800 de ori.  De asemenea, Comisia a analizat, împreună cu reprezentanții industriei, modalitățile de a îmbunătăți într-o mai mare măsură accesul IMM-urilor la instrumentele de apărare comercială.   </w:t>
      </w:r>
    </w:p>
    <w:p w14:paraId="5BC7C87A" w14:textId="77777777" w:rsidR="00884FAD" w:rsidRPr="0035760A" w:rsidRDefault="00884FAD" w:rsidP="00884FAD">
      <w:pPr>
        <w:jc w:val="both"/>
        <w:rPr>
          <w:b/>
          <w:noProof/>
          <w:lang w:val="ro-RO"/>
        </w:rPr>
      </w:pPr>
    </w:p>
    <w:p w14:paraId="1A62C524" w14:textId="2F78081C" w:rsidR="00884FAD" w:rsidRPr="0035760A" w:rsidRDefault="00884FAD" w:rsidP="00884FAD">
      <w:pPr>
        <w:pStyle w:val="Body"/>
        <w:spacing w:after="0"/>
        <w:rPr>
          <w:noProof/>
          <w:lang w:val="ro-RO"/>
        </w:rPr>
      </w:pPr>
      <w:r w:rsidRPr="0035760A">
        <w:rPr>
          <w:noProof/>
          <w:lang w:val="ro-RO"/>
        </w:rPr>
        <w:t xml:space="preserve">Faptul că IMM-urile dispun de resurse limitate nu le-a împiedicat să se implice în activități de apărare comercială în 2022.  În special, în noile investigații inițiate cu privire la profilurile plate cu proeminențe din oțel originare din China și din Turcia, industria Uniunii este reprezentată în mod exclusiv de IMM-uri.  Profilurile din oțel reprezintă o componentă-cheie a industriei construcțiilor navale.  De asemenea, în investigația privind butoaiele reîncărcabile, printre reclamanți s-au aflat mai multe IMM-uri.  În plus, în cursul anului 2022, Comisia a continuat investigațiile antidumping privind importurile de plăci de ceramică din Turcia și India. Acest sector, deși este format din IMM-uri, este bine organizat, ceea ce le permite întreprinderilor producătoare de ceramică să combată concurența neloială a importurilor care fac obiectul unui dumping.  </w:t>
      </w:r>
    </w:p>
    <w:p w14:paraId="5A31C13B" w14:textId="77777777" w:rsidR="00884FAD" w:rsidRPr="0035760A" w:rsidRDefault="00884FAD" w:rsidP="00884FAD">
      <w:pPr>
        <w:pStyle w:val="Heading2"/>
        <w:keepLines/>
        <w:numPr>
          <w:ilvl w:val="0"/>
          <w:numId w:val="0"/>
        </w:numPr>
        <w:spacing w:before="40" w:after="0"/>
        <w:ind w:left="576"/>
        <w:rPr>
          <w:noProof/>
          <w:sz w:val="28"/>
          <w:lang w:val="ro-RO"/>
        </w:rPr>
      </w:pPr>
    </w:p>
    <w:p w14:paraId="41CED564" w14:textId="0F6A7066" w:rsidR="00884FAD" w:rsidRPr="0035760A" w:rsidRDefault="00BA366A" w:rsidP="00BA366A">
      <w:pPr>
        <w:pStyle w:val="ManualHeading2"/>
        <w:rPr>
          <w:noProof/>
          <w:lang w:val="ro-RO"/>
        </w:rPr>
      </w:pPr>
      <w:r w:rsidRPr="00BA366A">
        <w:t>2.3.</w:t>
      </w:r>
      <w:r w:rsidRPr="00BA366A">
        <w:tab/>
      </w:r>
      <w:r w:rsidR="00884FAD" w:rsidRPr="0035760A">
        <w:rPr>
          <w:noProof/>
          <w:lang w:val="ro-RO"/>
        </w:rPr>
        <w:t>Standarde sociale și de mediu în IAC</w:t>
      </w:r>
    </w:p>
    <w:p w14:paraId="36DD38D1" w14:textId="77777777" w:rsidR="00884FAD" w:rsidRPr="0035760A" w:rsidRDefault="00884FAD" w:rsidP="00884FAD">
      <w:pPr>
        <w:spacing w:before="120" w:after="240"/>
        <w:jc w:val="both"/>
        <w:rPr>
          <w:noProof/>
          <w:lang w:val="ro-RO"/>
        </w:rPr>
      </w:pPr>
      <w:r w:rsidRPr="0035760A">
        <w:rPr>
          <w:noProof/>
          <w:lang w:val="ro-RO"/>
        </w:rPr>
        <w:t xml:space="preserve">Modificările aduse regulamentului antidumping de bază în decembrie 2017 au vizat introducerea standardelor sociale și de mediu în investigațiile antidumping. Mai precis, în UE, pentru investigațiile referitoare la importurile din țări în care există denaturări semnificative ale pieței, Comisia trebuie să selecteze o țară reprezentativă adecvată pentru a construi o valoare normală nedistorsionată. Nivelurile diferite ale standardelor sociale și de mediu pot deveni un element decisiv în cazul în care există mai multe țări reprezentative posibile care dispun de date adecvate.   Totuși, acest aspect nu a fost luat în considerare în cele patru investigații în care ar fi putut reprezenta o problemă în 2022 deoarece, în fiecare caz, a fost disponibilă o singură țară reprezentativă cu date adecvate relevante pentru produsul specific.  Prin urmare, nu a fost necesară evaluarea nivelului standardelor sociale și de mediu în acest context.  </w:t>
      </w:r>
    </w:p>
    <w:p w14:paraId="5FD97B72" w14:textId="01529257" w:rsidR="00884FAD" w:rsidRPr="0035760A" w:rsidRDefault="00884FAD" w:rsidP="00884FAD">
      <w:pPr>
        <w:jc w:val="both"/>
        <w:rPr>
          <w:noProof/>
          <w:lang w:val="ro-RO"/>
        </w:rPr>
      </w:pPr>
      <w:r w:rsidRPr="0035760A">
        <w:rPr>
          <w:noProof/>
          <w:lang w:val="ro-RO"/>
        </w:rPr>
        <w:t xml:space="preserve">Modificările suplimentare aduse în iunie 2018 legislației de bază în materie de antidumping, în urma modernizării instrumentelor de apărare comercială, au demonstrat din nou angajamentul UE față de standarde sociale și de mediu ridicate.   La momentul respectiv, una dintre modificările introduse a vizat ca, în prezent, calculul prețului-țintă al profitului să poată reflecta costul respectării standardelor sociale și de mediu în cadrul UE. În cadrul investigațiilor, costul de producție al producătorilor din Uniune poate include, de asemenea, costurile suportate pentru respectarea acordurilor multilaterale de mediu și a convențiilor importante ale Organizației Internaționale a Muncii. Nu sunt luate în considerare doar costurile reale suportate, ci și costurile viitoare rezultate ca urmare a respectării acestor standarde pe durata de viață a măsurilor.   În astfel de cazuri în care măsurile sunt impuse la nivelul marjelor de prejudiciu, includerea acestor costuri conduce la un nivel mai ridicat de protecție.  În trei dintre cele opt investigații antidumping în care au fost instituite măsuri definitive în 2022, nu au existat afirmații privind costurile legate de respectarea standardelor sociale și de mediu (elemente de fixare din fier și din oțel din China, silicocalciu din China și polimeri superabsorbanți din Republica Coreea).   În celelalte cinci cazuri, la costurile de producție au fost adăugate diferite sume, crescând astfel nivelul profitului-țintă. Cazurile au vizat sistemele de electrozi de grafit din China, oțelurile rezistente la coroziune din Rusia și Turcia și oțelul acoperit electrolitic cu crom din China și Brazilia. Cu excepția cazului oțelului rezistent la coroziune din Rusia, toate măsurile s-au bazat pe marjele de dumping și, prin urmare, ajustările prețului-țintă nu ar fi putut avea niciun impact asupra nivelului final al măsurilor instituite. Cu toate acestea, în cazul Rusiei, pentru doi producători-exportatori și pentru „toți ceilalți”, măsurile s-au bazat pe marja de prejudiciu, având în vedere că regula aplicabilă era cea a taxei celei mai mici, care ar fi condus la un nivel mai ridicat de protecție în cazul în care costurile nu ar fi fost luate în considerare. </w:t>
      </w:r>
    </w:p>
    <w:p w14:paraId="3561B63B" w14:textId="77777777" w:rsidR="00884FAD" w:rsidRPr="0035760A" w:rsidRDefault="00884FAD" w:rsidP="00694030">
      <w:pPr>
        <w:jc w:val="both"/>
        <w:rPr>
          <w:noProof/>
          <w:lang w:val="ro-RO"/>
        </w:rPr>
      </w:pPr>
    </w:p>
    <w:p w14:paraId="5830B633" w14:textId="3350DBAA" w:rsidR="00694030" w:rsidRPr="0035760A" w:rsidRDefault="00884FAD" w:rsidP="00694030">
      <w:pPr>
        <w:jc w:val="both"/>
        <w:rPr>
          <w:noProof/>
          <w:lang w:val="ro-RO"/>
        </w:rPr>
      </w:pPr>
      <w:r w:rsidRPr="0035760A">
        <w:rPr>
          <w:noProof/>
          <w:lang w:val="ro-RO"/>
        </w:rPr>
        <w:t xml:space="preserve">În cele din urmă, standardele sociale și de mediu pot fi luate în considerare în deciziile privind ofertele de angajament. În 2022, acest lucru nu s-a întâmplat totuși în niciunul dintre cazuri. </w:t>
      </w:r>
    </w:p>
    <w:p w14:paraId="0098CBE8" w14:textId="342A5CA3" w:rsidR="00884FAD" w:rsidRPr="0035760A" w:rsidRDefault="00884FAD" w:rsidP="00694030">
      <w:pPr>
        <w:jc w:val="both"/>
        <w:rPr>
          <w:noProof/>
          <w:lang w:val="ro-RO"/>
        </w:rPr>
      </w:pPr>
      <w:r w:rsidRPr="0035760A">
        <w:rPr>
          <w:noProof/>
          <w:lang w:val="ro-RO"/>
        </w:rPr>
        <w:t xml:space="preserve"> </w:t>
      </w:r>
    </w:p>
    <w:p w14:paraId="00D327ED" w14:textId="49F321F4" w:rsidR="00884FAD" w:rsidRPr="0035760A" w:rsidRDefault="00BA366A" w:rsidP="00BA366A">
      <w:pPr>
        <w:pStyle w:val="ManualHeading2"/>
        <w:rPr>
          <w:noProof/>
          <w:lang w:val="ro-RO"/>
        </w:rPr>
      </w:pPr>
      <w:r w:rsidRPr="00BA366A">
        <w:t>2.4.</w:t>
      </w:r>
      <w:r w:rsidRPr="00BA366A">
        <w:tab/>
      </w:r>
      <w:r w:rsidR="00884FAD" w:rsidRPr="0035760A">
        <w:rPr>
          <w:noProof/>
          <w:lang w:val="ro-RO"/>
        </w:rPr>
        <w:t xml:space="preserve">Controlul judiciar exercitat de instanțele UE (anexa S) </w:t>
      </w:r>
    </w:p>
    <w:p w14:paraId="3FAF5BC2" w14:textId="50BBE4AB" w:rsidR="00884FAD" w:rsidRPr="0035760A" w:rsidRDefault="00884FAD" w:rsidP="00884FAD">
      <w:pPr>
        <w:pStyle w:val="NormalWeb"/>
        <w:shd w:val="clear" w:color="auto" w:fill="FFFFFF"/>
        <w:spacing w:before="0" w:beforeAutospacing="0" w:after="150" w:afterAutospacing="0"/>
        <w:jc w:val="both"/>
        <w:rPr>
          <w:noProof/>
          <w:lang w:val="ro-RO"/>
        </w:rPr>
      </w:pPr>
      <w:r w:rsidRPr="0035760A">
        <w:rPr>
          <w:noProof/>
          <w:lang w:val="ro-RO"/>
        </w:rPr>
        <w:t xml:space="preserve">În 2022, Tribunalul și Curtea de Justiție au pronunțat 44 de hotărâri și ordonanțe în cazurile IAC. Tribunalul a pronunțat 35 de hotărâri, în timp ce Curtea de Justiție s-a pronunțat cu privire la nouă recursuri.  În 2022, au fost introduse 16 cauze noi în domeniul IAC – 9 în fața Tribunalului și cinci recursuri și două cereri de decizie preliminară în fața Curții de Justiție. </w:t>
      </w:r>
    </w:p>
    <w:p w14:paraId="455FEA58" w14:textId="14B11DFA" w:rsidR="00884FAD" w:rsidRPr="0035760A" w:rsidRDefault="00884FAD" w:rsidP="00884FAD">
      <w:pPr>
        <w:pStyle w:val="NormalWeb"/>
        <w:shd w:val="clear" w:color="auto" w:fill="FFFFFF"/>
        <w:spacing w:before="0" w:beforeAutospacing="0" w:after="150" w:afterAutospacing="0"/>
        <w:jc w:val="both"/>
        <w:rPr>
          <w:b/>
          <w:noProof/>
          <w:lang w:val="ro-RO"/>
        </w:rPr>
      </w:pPr>
      <w:r w:rsidRPr="0035760A">
        <w:rPr>
          <w:noProof/>
          <w:lang w:val="ro-RO"/>
        </w:rPr>
        <w:t>Jurisprudența din 2022 oferă informații interesante privind mai multe aspecte ale analizei efectelor asupra prețurilor, în special subcotarea prețurilor de vânzare și a prețurilor indicative; admisibilitatea acțiunilor în justiție împotriva măsurilor în domeniul IAC, în special în ceea ce privește calitatea procesuală activă și capacitatea importatorilor și a asociațiilor acestora de a iniția proceduri judiciare în astfel de cazuri; punerea în aplicare a hotărârilor judecătorești, interpretarea regulamentului antisubvenții de bază</w:t>
      </w:r>
      <w:r w:rsidRPr="0035760A">
        <w:rPr>
          <w:rStyle w:val="FootnoteReference"/>
          <w:noProof/>
          <w:lang w:val="ro-RO"/>
        </w:rPr>
        <w:footnoteReference w:id="10"/>
      </w:r>
      <w:r w:rsidRPr="0035760A">
        <w:rPr>
          <w:noProof/>
          <w:lang w:val="ro-RO"/>
        </w:rPr>
        <w:t xml:space="preserve"> și a normelor procedurale aplicabile la inițierea investigațiilor anticircumvenție.</w:t>
      </w:r>
    </w:p>
    <w:p w14:paraId="0BADFA6E" w14:textId="487BA198" w:rsidR="00884FAD" w:rsidRPr="0035760A" w:rsidRDefault="00BA366A" w:rsidP="00BA366A">
      <w:pPr>
        <w:pStyle w:val="ManualHeading1"/>
        <w:rPr>
          <w:noProof/>
          <w:lang w:val="ro-RO"/>
        </w:rPr>
      </w:pPr>
      <w:r w:rsidRPr="00BA366A">
        <w:t>3.</w:t>
      </w:r>
      <w:r w:rsidRPr="00BA366A">
        <w:tab/>
      </w:r>
      <w:r w:rsidR="00884FAD" w:rsidRPr="0035760A">
        <w:rPr>
          <w:noProof/>
          <w:lang w:val="ro-RO"/>
        </w:rPr>
        <w:t xml:space="preserve">Activitățile consilierului-auditor </w:t>
      </w:r>
    </w:p>
    <w:p w14:paraId="2C6CF3E0" w14:textId="0A6EEF8C" w:rsidR="00884FAD" w:rsidRPr="0035760A" w:rsidRDefault="00884FAD" w:rsidP="00884FAD">
      <w:pPr>
        <w:jc w:val="both"/>
        <w:rPr>
          <w:noProof/>
          <w:lang w:val="ro-RO"/>
        </w:rPr>
      </w:pPr>
      <w:r w:rsidRPr="0035760A">
        <w:rPr>
          <w:noProof/>
          <w:lang w:val="ro-RO"/>
        </w:rPr>
        <w:t xml:space="preserve">În 2022, consilierul-auditor a primit 25 de solicitări de intervenție și a organizat 8 audieri legate de activitățile în domeniul IAC. </w:t>
      </w:r>
    </w:p>
    <w:p w14:paraId="6AD4AEC4" w14:textId="77777777" w:rsidR="00884FAD" w:rsidRPr="0035760A" w:rsidRDefault="00884FAD" w:rsidP="00884FAD">
      <w:pPr>
        <w:jc w:val="both"/>
        <w:rPr>
          <w:noProof/>
          <w:lang w:val="ro-RO"/>
        </w:rPr>
      </w:pPr>
    </w:p>
    <w:p w14:paraId="7C417F99" w14:textId="77777777" w:rsidR="00884FAD" w:rsidRPr="0035760A" w:rsidRDefault="00884FAD" w:rsidP="00884FAD">
      <w:pPr>
        <w:jc w:val="both"/>
        <w:rPr>
          <w:noProof/>
          <w:lang w:val="ro-RO"/>
        </w:rPr>
      </w:pPr>
      <w:r w:rsidRPr="0035760A">
        <w:rPr>
          <w:noProof/>
          <w:lang w:val="ro-RO"/>
        </w:rPr>
        <w:t xml:space="preserve">Consilierul-auditor a continuat practica consacrată conform căreia părțile interesate ar trebui mai întâi să își transmită preocupările serviciilor Comisiei responsabile cu investigația. În special, în cazurile în care părțile interesate și-au prezentat cererea de intervenție simultan, atât serviciilor Comisiei, cât și consilierului-auditor, consilierul-auditor ar interveni numai atunci când nu s-a putut ajunge la o soluție reciproc acceptabilă. În majoritatea acestor cazuri, părțile interesate au soluționat problemele în mod direct cu echipele de investigație. </w:t>
      </w:r>
    </w:p>
    <w:p w14:paraId="77C90E15" w14:textId="77777777" w:rsidR="00884FAD" w:rsidRPr="0035760A" w:rsidRDefault="00884FAD" w:rsidP="00884FAD">
      <w:pPr>
        <w:jc w:val="both"/>
        <w:rPr>
          <w:noProof/>
          <w:lang w:val="ro-RO"/>
        </w:rPr>
      </w:pPr>
    </w:p>
    <w:p w14:paraId="772E456B" w14:textId="769E0311" w:rsidR="00884FAD" w:rsidRPr="0035760A" w:rsidRDefault="00884FAD" w:rsidP="00884FAD">
      <w:pPr>
        <w:jc w:val="both"/>
        <w:rPr>
          <w:noProof/>
          <w:lang w:val="ro-RO"/>
        </w:rPr>
      </w:pPr>
      <w:r w:rsidRPr="0035760A">
        <w:rPr>
          <w:noProof/>
          <w:lang w:val="ro-RO"/>
        </w:rPr>
        <w:t>Principalele probleme semnalate în cadrul audierilor au vizat cererile de prezentare suplimentară de informați sau obiecțiile cu privire la fapte și constatări. Consilierul-auditor a prelungit de două ori termenul pentru formularea de observații, la cererea părților în cauză. În toate cazurile, s-a ajuns la un acord cu serviciile pentru a reexamina aspectele în cauză și/sau pentru a oferi clarificări suplimentare. Toate audierile au avut loc în continuare la distanță din cauza contextului pandemiei de COVID-19, acestea dovedindu-se a fi mai eficiente și mai simple odată cu eliminarea restricțiilor privind circulația.</w:t>
      </w:r>
    </w:p>
    <w:p w14:paraId="26E8ACE5" w14:textId="08E02515" w:rsidR="00693E26" w:rsidRPr="0035760A" w:rsidRDefault="00693E26" w:rsidP="00884FAD">
      <w:pPr>
        <w:jc w:val="both"/>
        <w:rPr>
          <w:noProof/>
          <w:lang w:val="ro-RO"/>
        </w:rPr>
      </w:pPr>
    </w:p>
    <w:p w14:paraId="19FB4AA2" w14:textId="5E784F00" w:rsidR="00693E26" w:rsidRPr="0035760A" w:rsidRDefault="00BA366A" w:rsidP="00BA366A">
      <w:pPr>
        <w:pStyle w:val="ManualHeading1"/>
        <w:rPr>
          <w:noProof/>
          <w:lang w:val="ro-RO"/>
        </w:rPr>
      </w:pPr>
      <w:r w:rsidRPr="00BA366A">
        <w:t>4.</w:t>
      </w:r>
      <w:r w:rsidRPr="00BA366A">
        <w:tab/>
      </w:r>
      <w:r w:rsidR="001E555F" w:rsidRPr="0035760A">
        <w:rPr>
          <w:noProof/>
          <w:lang w:val="ro-RO"/>
        </w:rPr>
        <w:t>Impactul războiului de agresiune al Rusiei împotriva Ucrainei asupra practicilor și politicilor de apărare comercială</w:t>
      </w:r>
    </w:p>
    <w:p w14:paraId="44B8EA86" w14:textId="343373C6" w:rsidR="001B5CD6" w:rsidRPr="0035760A" w:rsidRDefault="001E6AC7" w:rsidP="001E6AC7">
      <w:pPr>
        <w:pStyle w:val="NormalWeb"/>
        <w:spacing w:before="0" w:beforeAutospacing="0" w:after="0" w:afterAutospacing="0"/>
        <w:jc w:val="both"/>
        <w:rPr>
          <w:noProof/>
          <w:lang w:val="ro-RO"/>
        </w:rPr>
      </w:pPr>
      <w:r w:rsidRPr="0035760A">
        <w:rPr>
          <w:noProof/>
          <w:lang w:val="ro-RO"/>
        </w:rPr>
        <w:t xml:space="preserve">În urma agresiunii militare neprovocate și nejustificate a Rusiei împotriva Ucrainei, UE a decis, în iunie 2022, să suspende pentru un an taxele la import pentru toate exporturile Ucrainei către UE, precum și colectarea taxelor corespunzătoare tuturor măsurilor de apărare comercială în vigoare în ceea ce privește importurile de mărfuri din Ucraina. Prelungirea a fost aprobată cu încă un an la [5.6.2023]. Această suspendare este o măsură importantă pentru a sprijini producătorii-exportatori din Ucraina și economia acesteia și pentru a ajuta țara să își mențină poziția comercială în raport cu UE. În ceea ce privește măsurile de apărare comercială, suspendarea se referă la taxele antidumping pentru două produse: produse plate laminate la cald din fier, din oțeluri nealiate sau din alte oțeluri aliate și anumite țevi și tuburi fără sudură, din fier sau din oțel.  De asemenea, în ceea ce privește importurile din Ucraina, a fost suspendată măsura de salvgardare a UE privind oțelul. </w:t>
      </w:r>
    </w:p>
    <w:p w14:paraId="7E8443E2" w14:textId="77777777" w:rsidR="001B5CD6" w:rsidRPr="0035760A" w:rsidRDefault="001B5CD6" w:rsidP="001E6AC7">
      <w:pPr>
        <w:pStyle w:val="NormalWeb"/>
        <w:spacing w:before="0" w:beforeAutospacing="0" w:after="0" w:afterAutospacing="0"/>
        <w:jc w:val="both"/>
        <w:rPr>
          <w:noProof/>
          <w:lang w:val="ro-RO"/>
        </w:rPr>
      </w:pPr>
    </w:p>
    <w:p w14:paraId="41BA6BA6" w14:textId="6CB2452E" w:rsidR="001B5CD6" w:rsidRPr="0035760A" w:rsidRDefault="001B5CD6" w:rsidP="001B5CD6">
      <w:pPr>
        <w:contextualSpacing/>
        <w:jc w:val="both"/>
        <w:rPr>
          <w:noProof/>
          <w:lang w:val="ro-RO"/>
        </w:rPr>
      </w:pPr>
      <w:r w:rsidRPr="0035760A">
        <w:rPr>
          <w:noProof/>
          <w:lang w:val="ro-RO"/>
        </w:rPr>
        <w:t xml:space="preserve">Suspendarea are un impact asupra </w:t>
      </w:r>
      <w:r w:rsidRPr="0035760A">
        <w:rPr>
          <w:i/>
          <w:noProof/>
          <w:lang w:val="ro-RO"/>
        </w:rPr>
        <w:t>colectării</w:t>
      </w:r>
      <w:r w:rsidRPr="0035760A">
        <w:rPr>
          <w:noProof/>
          <w:lang w:val="ro-RO"/>
        </w:rPr>
        <w:t xml:space="preserve"> taxelor antidumping, dar, din punct de vedere tehnic, măsurile rămân în vigoare în conformitate cu regulamentul antidumping de bază. Acest aspect a fost relevant în contextul reexaminării efectuate în perspectiva expirării măsurilor privind produsele plate laminate la cald din fier, din oțeluri nealiate sau din alte oțeluri aliate, în contextul în care, în urma inițierii reexaminării în perspectiva expirării măsurilor, Eurofer, solicitantul, și-a retras cererea în ceea ce privește Ucraina. Eurofer a considerat că, având în vedere contextul geopolitic general și evoluțiile care au avut loc de la depunerea cererii inițiale de reexaminare în perspectiva expirării măsurilor, și anume distrugerea unei părți considerabile a capacităților de producție ale Ucrainei pentru produsele plate laminate la cald, precum și a infrastructurii energetice ucrainene, nu mai era oportun să se continue reexaminarea în perspectiva expirării măsurilor împotriva Ucrainei. În plus, Eurofer a considerat că războiul de agresiune al Rusiei împotriva Ucrainei ar avea consecințe de durată și că nu se preconizează, pe termen scurt și mediu, revenirea capacităților siderurgice ale Ucrainei la operațiunile normale.  Pe această bază, în februarie 2023, Comisia a încheiat reexaminarea în perspectiva expirării măsurilor privind Ucraina. Prin urmare, măsurile antidumping în vigoare cu privire la produsele respective originare din Ucraina au expirat. Celelalte măsuri antidumping referitoare la Ucraina privind importurile de tuburi și țevi fără sudură, din fier sau din oțel, urmează să expire, în mod normal, în octombrie 2023. </w:t>
      </w:r>
    </w:p>
    <w:p w14:paraId="28D5E4A5" w14:textId="1C7065D4" w:rsidR="003E2D8B" w:rsidRPr="0035760A" w:rsidRDefault="003E2D8B" w:rsidP="001B5CD6">
      <w:pPr>
        <w:contextualSpacing/>
        <w:jc w:val="both"/>
        <w:rPr>
          <w:noProof/>
          <w:lang w:val="ro-RO"/>
        </w:rPr>
      </w:pPr>
    </w:p>
    <w:p w14:paraId="01546D19" w14:textId="0A58C893" w:rsidR="0098684D" w:rsidRPr="0035760A" w:rsidRDefault="003E2D8B" w:rsidP="001B5CD6">
      <w:pPr>
        <w:contextualSpacing/>
        <w:jc w:val="both"/>
        <w:rPr>
          <w:noProof/>
          <w:lang w:val="ro-RO"/>
        </w:rPr>
      </w:pPr>
      <w:r w:rsidRPr="0035760A">
        <w:rPr>
          <w:noProof/>
          <w:lang w:val="ro-RO"/>
        </w:rPr>
        <w:t xml:space="preserve">În ceea ce privește măsurile antidumping privind importurile din Rusia și Belarus care fac obiectul unor măsuri restrictive (sancțiuni), Comisia a analizat în mod corespunzător, în contextul investigațiilor și al reexaminărilor în curs, dacă aceste măsuri ar trebui să rămână în vigoare, indiferent de impactul pe care îl au sancțiunile asupra comerțului. Comisia a concluzionat că acestea ar trebui să rămână în vigoare. Într-adevăr, deși sancțiunile care restricționează sau interzic importurile afectează volumul importurilor de produse în cauză, acest aspect în sine nu afectează constatările investigațiilor care au demonstrat existența unor practici comerciale neloiale prejudiciabile. </w:t>
      </w:r>
    </w:p>
    <w:p w14:paraId="5E167199" w14:textId="77777777" w:rsidR="0098684D" w:rsidRPr="0035760A" w:rsidRDefault="0098684D" w:rsidP="001B5CD6">
      <w:pPr>
        <w:contextualSpacing/>
        <w:jc w:val="both"/>
        <w:rPr>
          <w:noProof/>
          <w:lang w:val="ro-RO"/>
        </w:rPr>
      </w:pPr>
    </w:p>
    <w:p w14:paraId="1EFF2646" w14:textId="6A9616A9" w:rsidR="003E2D8B" w:rsidRPr="0035760A" w:rsidRDefault="0098684D" w:rsidP="001B5CD6">
      <w:pPr>
        <w:contextualSpacing/>
        <w:jc w:val="both"/>
        <w:rPr>
          <w:noProof/>
          <w:lang w:val="ro-RO"/>
        </w:rPr>
      </w:pPr>
      <w:bookmarkStart w:id="5" w:name="_Hlk137474630"/>
      <w:r w:rsidRPr="0035760A">
        <w:rPr>
          <w:noProof/>
          <w:lang w:val="ro-RO"/>
        </w:rPr>
        <w:t xml:space="preserve">În ceea ce privește măsurile de salvgardare, menționate la secțiunea 1.3, contingentele alocate anterior Rusiei și Belarusului în cadrul măsurii de salvgardare privind oțelul au fost redistribuite altor țări exportatoare, în mod proporțional cu cota lor din totalul importurilor din 2021. Această redistribuire a implicat posibilitatea utilizării la maximum a contingentelor de oțel ale UE, asigurându-se astfel securizarea nevoilor utilizatorilor de oțel din UE. </w:t>
      </w:r>
    </w:p>
    <w:p w14:paraId="27867FAA" w14:textId="701CD40B" w:rsidR="0098684D" w:rsidRPr="0035760A" w:rsidRDefault="0098684D" w:rsidP="001B5CD6">
      <w:pPr>
        <w:contextualSpacing/>
        <w:jc w:val="both"/>
        <w:rPr>
          <w:noProof/>
          <w:lang w:val="ro-RO"/>
        </w:rPr>
      </w:pPr>
    </w:p>
    <w:bookmarkEnd w:id="5"/>
    <w:p w14:paraId="7B709A0F" w14:textId="1341CD93" w:rsidR="00884FAD" w:rsidRPr="0035760A" w:rsidRDefault="00BA366A" w:rsidP="00BA366A">
      <w:pPr>
        <w:pStyle w:val="ManualHeading1"/>
        <w:rPr>
          <w:noProof/>
          <w:lang w:val="ro-RO"/>
        </w:rPr>
      </w:pPr>
      <w:r w:rsidRPr="00BA366A">
        <w:t>5.</w:t>
      </w:r>
      <w:r w:rsidRPr="00BA366A">
        <w:tab/>
      </w:r>
      <w:r w:rsidR="00884FAD" w:rsidRPr="0035760A">
        <w:rPr>
          <w:noProof/>
          <w:lang w:val="ro-RO"/>
        </w:rPr>
        <w:t xml:space="preserve">Abordarea activității de apărare comercială împotriva UE </w:t>
      </w:r>
    </w:p>
    <w:p w14:paraId="29D3327A" w14:textId="2C007E3B"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 xml:space="preserve">Serviciile Comisiei responsabile de IAC oferă sprijin în cazurile în care exporturile UE fac obiectul unei proceduri privind IAC într-o țară terță. În aceste cazuri, serviciile Comisiei, în cooperare cu industria și, adesea, cu statele membre în cauză, elaborează o strategie de apărare și intervin în cadrul procedurilor privind IAC ale țărilor terțe. </w:t>
      </w:r>
    </w:p>
    <w:p w14:paraId="26444412" w14:textId="77777777" w:rsidR="00884FAD" w:rsidRPr="0035760A" w:rsidRDefault="00884FAD" w:rsidP="00884FAD">
      <w:pPr>
        <w:pStyle w:val="Default"/>
        <w:jc w:val="both"/>
        <w:rPr>
          <w:rFonts w:ascii="Times New Roman" w:hAnsi="Times New Roman" w:cs="Times New Roman"/>
          <w:noProof/>
          <w:sz w:val="23"/>
          <w:lang w:val="ro-RO"/>
        </w:rPr>
      </w:pPr>
    </w:p>
    <w:p w14:paraId="23F42089" w14:textId="6FD49F6C"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 xml:space="preserve">Obiectivul unor astfel de intervenții este de a evita impunerea unor măsuri de apărare comercială nejustificate și neloiale. Deși toți membrii OMC au dreptul de a desfășura investigații de apărare comercială și de a impune măsuri, este extrem de important ca aceste investigații și măsuri să fie conforme cu normele multilaterale și bilaterale relevante. Investigațiile de apărare comercială care încalcă aceste norme creează obstacole nejustificate în calea comerțului și, în anumite cazuri, anulează orice beneficiu obținut ca urmare a preferințelor acordate în temeiul acordurilor comerciale. </w:t>
      </w:r>
    </w:p>
    <w:p w14:paraId="6790F1DF" w14:textId="77777777" w:rsidR="00884FAD" w:rsidRPr="0035760A" w:rsidRDefault="00884FAD" w:rsidP="00884FAD">
      <w:pPr>
        <w:pStyle w:val="Default"/>
        <w:jc w:val="both"/>
        <w:rPr>
          <w:rFonts w:ascii="Times New Roman" w:hAnsi="Times New Roman" w:cs="Times New Roman"/>
          <w:noProof/>
          <w:sz w:val="23"/>
          <w:lang w:val="ro-RO"/>
        </w:rPr>
      </w:pPr>
    </w:p>
    <w:p w14:paraId="3E9BEA81" w14:textId="4D2C86AC"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 xml:space="preserve">În medie, serviciile Comisiei intervin în fiecare an în aproximativ 40-50 de cazuri din țări terțe. În funcție de importanța economică și sistemică a unei cauze, se pot formula, în cadrul procedurilor, intervenții scrise sau orale la nivel tehnic și politic. De asemenea, Comisia prezintă investigațiile importante în cadrul diferitelor reuniuni ale comitetului pentru comerț sau al altor discuții la nivel înalt, după caz. </w:t>
      </w:r>
    </w:p>
    <w:p w14:paraId="7E801F51" w14:textId="77777777" w:rsidR="00884FAD" w:rsidRPr="0035760A" w:rsidRDefault="00884FAD" w:rsidP="00884FAD">
      <w:pPr>
        <w:pStyle w:val="Default"/>
        <w:jc w:val="both"/>
        <w:rPr>
          <w:rFonts w:ascii="Times New Roman" w:hAnsi="Times New Roman" w:cs="Times New Roman"/>
          <w:noProof/>
          <w:sz w:val="23"/>
          <w:lang w:val="ro-RO"/>
        </w:rPr>
      </w:pPr>
    </w:p>
    <w:p w14:paraId="143E5912" w14:textId="30740F1D"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 xml:space="preserve">În special, procedurile antisubvenție care vizează programele de subvenționare ale UE, în care Comisia, în calitate de parte interesată, participă activ la investigații, necesită resurse semnificative și sunt importante din punct de vedere sistemic. În 2022, au existat cazuri referitoare la SUA în ceea ce privește măslinele și pastele făinoase, la Canada în ceea ce privește zahărul rafinat și la China în ceea ce privește amidonul de cartofi. </w:t>
      </w:r>
    </w:p>
    <w:p w14:paraId="36EBB7B8" w14:textId="77777777" w:rsidR="00884FAD" w:rsidRPr="0035760A" w:rsidRDefault="00884FAD" w:rsidP="00884FAD">
      <w:pPr>
        <w:pStyle w:val="Default"/>
        <w:jc w:val="both"/>
        <w:rPr>
          <w:rFonts w:ascii="Times New Roman" w:hAnsi="Times New Roman" w:cs="Times New Roman"/>
          <w:noProof/>
          <w:sz w:val="23"/>
          <w:lang w:val="ro-RO"/>
        </w:rPr>
      </w:pPr>
    </w:p>
    <w:p w14:paraId="0BF3DFD2" w14:textId="771786F6"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În cazul în care Comisia consideră că măsurile impuse sunt incompatibile cu obligațiile multilaterale sau bilaterale, aceasta poate recurge la contestarea acestor cazuri în cadrul OMC sau în cadrul unei proceduri bilaterale de soluționare a litigiilor (în temeiul unui ALS). Aceste proceduri pot constitui o provocare nu numai în ceea ce privește investirea resurselor, ci și în ceea ce privește posibilele consecințe ale unui rezultat nefavorabil.</w:t>
      </w:r>
    </w:p>
    <w:p w14:paraId="25DE23D4" w14:textId="77777777" w:rsidR="00884FAD" w:rsidRPr="0035760A" w:rsidRDefault="00884FAD" w:rsidP="00884FAD">
      <w:pPr>
        <w:pStyle w:val="Default"/>
        <w:jc w:val="both"/>
        <w:rPr>
          <w:rFonts w:ascii="Times New Roman" w:hAnsi="Times New Roman" w:cs="Times New Roman"/>
          <w:noProof/>
          <w:sz w:val="23"/>
          <w:lang w:val="ro-RO"/>
        </w:rPr>
      </w:pPr>
    </w:p>
    <w:p w14:paraId="561139C1" w14:textId="77777777"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 xml:space="preserve">În 2022, Comisia a continuat să participe la procedura OMC de soluționare a litigiilor referitoare la măsurile antidumping impuse de Columbia asupra cartofilor pai congelați, care a fost inițiată în ianuarie 2020 prin consultări în cadrul OMC.  Rezultatul, în decembrie 2022, a fost în mare măsură în favoarea UE. În prezent, Comisia colaborează cu Columbia în ceea ce privește punerea în aplicare a hotărârii. </w:t>
      </w:r>
    </w:p>
    <w:p w14:paraId="6DE194BA" w14:textId="77777777" w:rsidR="00884FAD" w:rsidRPr="0035760A" w:rsidRDefault="00884FAD" w:rsidP="00884FAD">
      <w:pPr>
        <w:pStyle w:val="Default"/>
        <w:jc w:val="both"/>
        <w:rPr>
          <w:rFonts w:ascii="Times New Roman" w:hAnsi="Times New Roman" w:cs="Times New Roman"/>
          <w:noProof/>
          <w:sz w:val="23"/>
          <w:lang w:val="ro-RO"/>
        </w:rPr>
      </w:pPr>
    </w:p>
    <w:p w14:paraId="021387D4" w14:textId="6D15BD4D" w:rsidR="00884FAD" w:rsidRPr="0035760A" w:rsidRDefault="00884FAD" w:rsidP="00BB52B1">
      <w:pPr>
        <w:pStyle w:val="Default"/>
        <w:jc w:val="both"/>
        <w:rPr>
          <w:rFonts w:ascii="Times New Roman" w:hAnsi="Times New Roman" w:cs="Times New Roman"/>
          <w:noProof/>
          <w:sz w:val="23"/>
          <w:lang w:val="ro-RO"/>
        </w:rPr>
      </w:pPr>
      <w:r w:rsidRPr="0035760A">
        <w:rPr>
          <w:rFonts w:ascii="Times New Roman" w:hAnsi="Times New Roman"/>
          <w:noProof/>
          <w:sz w:val="23"/>
          <w:lang w:val="ro-RO"/>
        </w:rPr>
        <w:t>În cauza OMC privind</w:t>
      </w:r>
      <w:hyperlink r:id="rId16" w:history="1">
        <w:r w:rsidRPr="0035760A">
          <w:rPr>
            <w:rFonts w:ascii="Times New Roman" w:hAnsi="Times New Roman"/>
            <w:noProof/>
            <w:sz w:val="23"/>
            <w:lang w:val="ro-RO"/>
          </w:rPr>
          <w:t xml:space="preserve"> taxele antidumping și compensatorii impuse de SUA asupra măslinelor coapte din Spania</w:t>
        </w:r>
      </w:hyperlink>
      <w:r w:rsidRPr="0035760A">
        <w:rPr>
          <w:rFonts w:ascii="Times New Roman" w:hAnsi="Times New Roman"/>
          <w:noProof/>
          <w:sz w:val="23"/>
          <w:lang w:val="ro-RO"/>
        </w:rPr>
        <w:t>, Organul de soluționare a litigiilor al OMC a adoptat, în decembrie 2021, raportul final al grupului special, prin care declară aceste taxe incompatibile cu normele OMC. În pofida raportului favorabil al grupului special, măsurile rămân în vigoare. În iulie 2022, SUA a inițiat o procedură de punere în aplicare a hotărârii grupului special de soluționare a litigiilor al OMC. Perioada convenită pentru respectiva punere în aplicare a expirat la 14 ianuarie 2023.</w:t>
      </w:r>
    </w:p>
    <w:p w14:paraId="424E84FD" w14:textId="77777777" w:rsidR="00884FAD" w:rsidRPr="0035760A" w:rsidRDefault="00884FAD" w:rsidP="00884FAD">
      <w:pPr>
        <w:pStyle w:val="Default"/>
        <w:jc w:val="both"/>
        <w:rPr>
          <w:rFonts w:ascii="Times New Roman" w:hAnsi="Times New Roman" w:cs="Times New Roman"/>
          <w:noProof/>
          <w:sz w:val="23"/>
          <w:lang w:val="ro-RO"/>
        </w:rPr>
      </w:pPr>
    </w:p>
    <w:p w14:paraId="5950C7DC" w14:textId="1354766F"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Pe plan bilateral, în cadrul procedurii de soluționare a litigiilor privind măsurile de salvgardare adoptate de Africa de Sud în ceea ce privește exporturile de pui congelat din UE (impusă inițial în 2018), grupul special și-a prezentat raportul în vara anului 2022, acesta confirmând majoritatea afirmațiilor UE. Deși măsurile au expirat înainte de emiterea raportului, victoria are o importanță sistemică și stabilește un precedent puternic pentru viitoarele măsuri de salvgardare. Grupul special a constatat că măsura de salvgardare nu era proporțională, depășind ceea ce este necesar pentru a remedia sau pentru a preveni orice prejudiciu grav. În plus, grupul a constatat că întârzierea efectuării investigației în raport cu adoptarea măsurii de salvgardare a fost excesivă și nu este în concordanță cu Acordul de parteneriat economic (APE) încheiat între UE și Comunitatea de Dezvoltare a Africii Australe (SADC). Deși, din punct de vedere juridic, pot fi adoptate măsuri de salvgardare în circumstanțe excepționale pentru a contracara temporar creșterea bruscă a importurilor care amenință industria națională, acestea trebuie să respecte cerințele legale prevăzute în acord.</w:t>
      </w:r>
    </w:p>
    <w:p w14:paraId="0B102DA0" w14:textId="77777777" w:rsidR="00884FAD" w:rsidRPr="0035760A" w:rsidRDefault="00884FAD" w:rsidP="00884FAD">
      <w:pPr>
        <w:pStyle w:val="Default"/>
        <w:jc w:val="both"/>
        <w:rPr>
          <w:rFonts w:ascii="Times New Roman" w:hAnsi="Times New Roman" w:cs="Times New Roman"/>
          <w:noProof/>
          <w:sz w:val="23"/>
          <w:lang w:val="ro-RO"/>
        </w:rPr>
      </w:pPr>
    </w:p>
    <w:p w14:paraId="06B2F96B" w14:textId="0CEF4874"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 xml:space="preserve">Diverse cazuri în materie de apărare comercială au fost dezbătute în cadrul unor reuniuni periodice sau ad-hoc ale comitetului pentru comerț, de exemplu, cu Consiliul de Cooperare al Golfului, cu Coreea, precum și în cadrul comitetelor responsabile de AD, AS și SVG din cadrul OMC – a se vedea secțiunea 5. </w:t>
      </w:r>
    </w:p>
    <w:p w14:paraId="1B172A62" w14:textId="77777777" w:rsidR="00884FAD" w:rsidRPr="0035760A" w:rsidRDefault="00884FAD" w:rsidP="00884FAD">
      <w:pPr>
        <w:pStyle w:val="Default"/>
        <w:jc w:val="both"/>
        <w:rPr>
          <w:rFonts w:ascii="Times New Roman" w:hAnsi="Times New Roman" w:cs="Times New Roman"/>
          <w:noProof/>
          <w:sz w:val="23"/>
          <w:lang w:val="ro-RO"/>
        </w:rPr>
      </w:pPr>
    </w:p>
    <w:p w14:paraId="62C1A108" w14:textId="77777777"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Intervențiile Comisiei în ceea ce privește procedurile privind IAC din țări terțe, care au scos în evidență neconcordanțe juridice și deficiențe sistemice, au jucat un rol important în prevenirea impunerii de măsuri sau în reducerea impactului negativ al acestora. Unele dintre eforturile Comisiei care au fost încununate de succes în 2022 sunt evidențiate în prezentul raport, mai multe cazuri fiind descrise în documentul de lucru al serviciilor Comisiei care îl însoțește:</w:t>
      </w:r>
    </w:p>
    <w:p w14:paraId="394B88EC" w14:textId="77777777" w:rsidR="00884FAD" w:rsidRPr="0035760A" w:rsidRDefault="00884FAD" w:rsidP="00884FAD">
      <w:pPr>
        <w:pStyle w:val="Default"/>
        <w:ind w:left="284"/>
        <w:jc w:val="both"/>
        <w:rPr>
          <w:rFonts w:ascii="Times New Roman" w:hAnsi="Times New Roman" w:cs="Times New Roman"/>
          <w:noProof/>
          <w:sz w:val="23"/>
          <w:lang w:val="ro-RO"/>
        </w:rPr>
      </w:pPr>
    </w:p>
    <w:p w14:paraId="21D0977C" w14:textId="6709FC38" w:rsidR="00884FAD" w:rsidRPr="0035760A" w:rsidRDefault="00884FAD" w:rsidP="00884FAD">
      <w:pPr>
        <w:pStyle w:val="Default"/>
        <w:numPr>
          <w:ilvl w:val="0"/>
          <w:numId w:val="4"/>
        </w:numPr>
        <w:ind w:left="284"/>
        <w:jc w:val="both"/>
        <w:rPr>
          <w:rFonts w:ascii="Times New Roman" w:hAnsi="Times New Roman" w:cs="Times New Roman"/>
          <w:noProof/>
          <w:sz w:val="23"/>
          <w:lang w:val="ro-RO"/>
        </w:rPr>
      </w:pPr>
      <w:r w:rsidRPr="0035760A">
        <w:rPr>
          <w:rFonts w:ascii="Times New Roman" w:hAnsi="Times New Roman"/>
          <w:noProof/>
          <w:sz w:val="23"/>
          <w:lang w:val="ro-RO"/>
        </w:rPr>
        <w:t>în martie 2022, Canada a informat părțile interesate cu privire la intenția sa de a iniția o reexaminare în perspectiva expirării măsurilor privind importurile de componente industriale fabricate din oțel (FISC) provenite, printre altele din Spania. Comisia a pledat cu succes împotriva inițierii acestei reexaminări efectuate în perspectiva expirării măsurilor, subliniind faptul că importurile din Spania s-au situat la un nivel foarte scăzut și că nu a existat nicio corelație cu presupusul prejudiciu suferit de industria canadiană. Prin urmare, în mai 2022, măsurile au expirat conform planificării. Interesul economic al UE a fost de aproximativ 150 de milioane EUR.</w:t>
      </w:r>
    </w:p>
    <w:p w14:paraId="5A502A0A" w14:textId="77777777" w:rsidR="00884FAD" w:rsidRPr="0035760A" w:rsidRDefault="00884FAD" w:rsidP="00884FAD">
      <w:pPr>
        <w:pStyle w:val="Default"/>
        <w:ind w:left="284"/>
        <w:jc w:val="both"/>
        <w:rPr>
          <w:rFonts w:ascii="Times New Roman" w:hAnsi="Times New Roman" w:cs="Times New Roman"/>
          <w:noProof/>
          <w:sz w:val="23"/>
          <w:lang w:val="ro-RO"/>
        </w:rPr>
      </w:pPr>
    </w:p>
    <w:p w14:paraId="5069B219" w14:textId="77777777" w:rsidR="00884FAD" w:rsidRPr="0035760A" w:rsidRDefault="00884FAD" w:rsidP="00884FAD">
      <w:pPr>
        <w:pStyle w:val="Default"/>
        <w:numPr>
          <w:ilvl w:val="0"/>
          <w:numId w:val="4"/>
        </w:numPr>
        <w:ind w:left="284"/>
        <w:jc w:val="both"/>
        <w:rPr>
          <w:rFonts w:ascii="Times New Roman" w:hAnsi="Times New Roman" w:cs="Times New Roman"/>
          <w:noProof/>
          <w:sz w:val="23"/>
          <w:lang w:val="ro-RO"/>
        </w:rPr>
      </w:pPr>
      <w:r w:rsidRPr="0035760A">
        <w:rPr>
          <w:rFonts w:ascii="Times New Roman" w:hAnsi="Times New Roman"/>
          <w:noProof/>
          <w:sz w:val="23"/>
          <w:lang w:val="ro-RO"/>
        </w:rPr>
        <w:t>În aprilie 2021, Consiliul de Cooperare al Golfului a inițiat o investigație AD împotriva importurilor de</w:t>
      </w:r>
    </w:p>
    <w:p w14:paraId="01E25B94" w14:textId="051DCD8F" w:rsidR="00884FAD" w:rsidRPr="0035760A" w:rsidRDefault="00884FAD" w:rsidP="00884FAD">
      <w:pPr>
        <w:pStyle w:val="Default"/>
        <w:ind w:left="284"/>
        <w:jc w:val="both"/>
        <w:rPr>
          <w:rFonts w:ascii="Times New Roman" w:hAnsi="Times New Roman" w:cs="Times New Roman"/>
          <w:noProof/>
          <w:sz w:val="23"/>
          <w:lang w:val="ro-RO"/>
        </w:rPr>
      </w:pPr>
      <w:r w:rsidRPr="0035760A">
        <w:rPr>
          <w:rFonts w:ascii="Times New Roman" w:hAnsi="Times New Roman"/>
          <w:noProof/>
          <w:sz w:val="23"/>
          <w:lang w:val="ro-RO"/>
        </w:rPr>
        <w:t xml:space="preserve">acumulatoare electrice (baterii pentru vehicule) provenite, printre altele, din Spania. În urma intervențiilor Comisiei, în august 2022, importurile din Spania au fost excluse din domeniul de aplicare al investigației din cauza unei marje </w:t>
      </w:r>
      <w:r w:rsidRPr="0035760A">
        <w:rPr>
          <w:rFonts w:ascii="Times New Roman" w:hAnsi="Times New Roman"/>
          <w:i/>
          <w:iCs/>
          <w:noProof/>
          <w:sz w:val="23"/>
          <w:lang w:val="ro-RO"/>
        </w:rPr>
        <w:t>de minimis</w:t>
      </w:r>
      <w:r w:rsidRPr="0035760A">
        <w:rPr>
          <w:rFonts w:ascii="Times New Roman" w:hAnsi="Times New Roman"/>
          <w:noProof/>
          <w:sz w:val="23"/>
          <w:lang w:val="ro-RO"/>
        </w:rPr>
        <w:t>. Interesul economic al UE a fost de aproximativ 40 de milioane EUR.</w:t>
      </w:r>
    </w:p>
    <w:p w14:paraId="63DFDEDB" w14:textId="77777777" w:rsidR="00884FAD" w:rsidRPr="0035760A" w:rsidRDefault="00884FAD" w:rsidP="00884FAD">
      <w:pPr>
        <w:pStyle w:val="Default"/>
        <w:jc w:val="both"/>
        <w:rPr>
          <w:rFonts w:ascii="Times New Roman" w:hAnsi="Times New Roman" w:cs="Times New Roman"/>
          <w:noProof/>
          <w:sz w:val="23"/>
          <w:lang w:val="ro-RO"/>
        </w:rPr>
      </w:pPr>
    </w:p>
    <w:p w14:paraId="197813ED" w14:textId="75521995" w:rsidR="00884FAD" w:rsidRPr="0035760A" w:rsidRDefault="00884FAD" w:rsidP="002D397E">
      <w:pPr>
        <w:pStyle w:val="Default"/>
        <w:numPr>
          <w:ilvl w:val="0"/>
          <w:numId w:val="4"/>
        </w:numPr>
        <w:ind w:left="284"/>
        <w:jc w:val="both"/>
        <w:rPr>
          <w:rFonts w:ascii="Times New Roman" w:hAnsi="Times New Roman" w:cs="Times New Roman"/>
          <w:noProof/>
          <w:sz w:val="23"/>
          <w:lang w:val="ro-RO"/>
        </w:rPr>
      </w:pPr>
      <w:r w:rsidRPr="0035760A">
        <w:rPr>
          <w:rFonts w:ascii="Times New Roman" w:hAnsi="Times New Roman"/>
          <w:noProof/>
          <w:sz w:val="23"/>
          <w:lang w:val="ro-RO"/>
        </w:rPr>
        <w:t>În iulie 2022, Comisia pentru comerț internațional a SUA a închis investigația AD privind importurile de cauciuc acrilonitril-butadienă (AB) provenite, printre altele, din Franța, în urma unei constatări conform căreia importurile de cauciuc AB din aceste țări nu au adus prejudicii industriei SUA. Nu au fost impuse măsuri cu privire la exporturile UE, al cărei interes economic a fost de 37 de milioane EUR.</w:t>
      </w:r>
    </w:p>
    <w:p w14:paraId="2EA12611" w14:textId="77777777" w:rsidR="00884FAD" w:rsidRPr="0035760A" w:rsidRDefault="00884FAD" w:rsidP="00884FAD">
      <w:pPr>
        <w:pStyle w:val="Default"/>
        <w:ind w:left="284"/>
        <w:jc w:val="both"/>
        <w:rPr>
          <w:rFonts w:ascii="Times New Roman" w:hAnsi="Times New Roman" w:cs="Times New Roman"/>
          <w:noProof/>
          <w:sz w:val="23"/>
          <w:lang w:val="ro-RO"/>
        </w:rPr>
      </w:pPr>
    </w:p>
    <w:p w14:paraId="773E3223" w14:textId="77777777"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La sfârșitul anului 2022, erau în vigoare 170 de măsuri de apărare comercială care afectau exporturile UE, cu 8 mai puțin decât în 2021. Numărul total de măsuri în vigoare a scăzut pentru prima dată din 2012. Instrumentul AD rămâne instrumentul de apărare comercială cel mai frecvent utilizat. La sfârșitul anului trecut, 126 de taxe antidumping afectau exporturile UE sau ale anumitor state membre (129 în 2021), urmate de 37 de măsuri SVG (comparativ cu 39 în 2021). În timp ce tendințele din 2022 confirmă o scădere a măsurilor AD și SVG în vigoare, numărul taxelor AS care afectează exporturile UE rămâne același ca în 2021 (7).</w:t>
      </w:r>
    </w:p>
    <w:p w14:paraId="2816725C" w14:textId="77777777" w:rsidR="00884FAD" w:rsidRPr="0035760A" w:rsidRDefault="00884FAD" w:rsidP="00884FAD">
      <w:pPr>
        <w:pStyle w:val="Default"/>
        <w:jc w:val="both"/>
        <w:rPr>
          <w:rFonts w:ascii="Times New Roman" w:hAnsi="Times New Roman" w:cs="Times New Roman"/>
          <w:noProof/>
          <w:sz w:val="23"/>
          <w:lang w:val="ro-RO"/>
        </w:rPr>
      </w:pPr>
    </w:p>
    <w:p w14:paraId="002E00D4" w14:textId="08544AFF"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În ceea ce privește noile investigații inițiate împotriva UE/a statelor membre, s-a înregistrat o scădere semnificativă în 2022, întrucât au fost inițiate doar 7 investigații noi, care au inclus 3 proceduri AD și 4 proceduri SVG, comparativ cu 26 în 2021. Acest număr reflectă, de asemenea, cele mai puține investigații noi inițiate în ultimul deceniu. Această tendință descrescătoare a fost, de asemenea, evidentă în noile măsuri impuse de țările terțe. În 2022, au fost impuse 12 măsuri noi, ceea ce reprezintă o scădere bruscă în comparație cu cele 30 impuse în 2021. Din cele 12 taxe nou-instituite, 10 au fost taxe AD (18 în 2021), iar 2 au reprezentat garanții (11 în 2021).</w:t>
      </w:r>
    </w:p>
    <w:p w14:paraId="7FE26A7A" w14:textId="77777777" w:rsidR="00884FAD" w:rsidRPr="0035760A" w:rsidRDefault="00884FAD" w:rsidP="00884FAD">
      <w:pPr>
        <w:pStyle w:val="Default"/>
        <w:jc w:val="both"/>
        <w:rPr>
          <w:rFonts w:ascii="Times New Roman" w:hAnsi="Times New Roman" w:cs="Times New Roman"/>
          <w:noProof/>
          <w:sz w:val="23"/>
          <w:lang w:val="ro-RO"/>
        </w:rPr>
      </w:pPr>
    </w:p>
    <w:p w14:paraId="2C1BC3A2" w14:textId="18127186" w:rsidR="00884FAD" w:rsidRPr="0035760A" w:rsidRDefault="00884FAD" w:rsidP="00884FAD">
      <w:pPr>
        <w:pStyle w:val="Default"/>
        <w:jc w:val="both"/>
        <w:rPr>
          <w:rFonts w:ascii="Times New Roman" w:hAnsi="Times New Roman" w:cs="Times New Roman"/>
          <w:noProof/>
          <w:sz w:val="23"/>
          <w:lang w:val="ro-RO"/>
        </w:rPr>
      </w:pPr>
      <w:r w:rsidRPr="0035760A">
        <w:rPr>
          <w:rFonts w:ascii="Times New Roman" w:hAnsi="Times New Roman"/>
          <w:noProof/>
          <w:sz w:val="23"/>
          <w:lang w:val="ro-RO"/>
        </w:rPr>
        <w:t>Cel mai frecvent utilizator al instrumentelor de apărare comercială împotriva exporturilor UE este SUA, care are 38 de măsuri în vigoare. Aceasta este urmată de China și de Turcia, fiecare având 18 măsuri, apoi de Brazilia, cu 11 măsuri, precum și de Canada și Indonezia, cu nouă măsuri în vigoare. Lista utilizatorilor instrumentelor de apărare comercială obișnuiți este completată de Australia, India și Africa de Sud, având în vedere că fiecare dintre acestea avea în vigoare șapte măsuri care afectau exporturile UE în 2022.</w:t>
      </w:r>
    </w:p>
    <w:p w14:paraId="402CE2B6" w14:textId="4B9AF8A6" w:rsidR="00884FAD" w:rsidRPr="0035760A" w:rsidRDefault="00BA366A" w:rsidP="00BA366A">
      <w:pPr>
        <w:pStyle w:val="ManualHeading1"/>
        <w:rPr>
          <w:noProof/>
          <w:lang w:val="ro-RO"/>
        </w:rPr>
      </w:pPr>
      <w:r w:rsidRPr="00BA366A">
        <w:t>6.</w:t>
      </w:r>
      <w:r w:rsidRPr="00BA366A">
        <w:tab/>
      </w:r>
      <w:r w:rsidR="00884FAD" w:rsidRPr="0035760A">
        <w:rPr>
          <w:noProof/>
          <w:lang w:val="ro-RO"/>
        </w:rPr>
        <w:t xml:space="preserve">Activități în cadrul OMC </w:t>
      </w:r>
    </w:p>
    <w:p w14:paraId="15023730" w14:textId="6C8BA787" w:rsidR="00884FAD" w:rsidRPr="0035760A" w:rsidRDefault="00884FAD" w:rsidP="00884FAD">
      <w:pPr>
        <w:pStyle w:val="Text2"/>
        <w:spacing w:before="0" w:after="0"/>
        <w:ind w:left="0"/>
        <w:rPr>
          <w:noProof/>
          <w:lang w:val="ro-RO"/>
        </w:rPr>
      </w:pPr>
      <w:r w:rsidRPr="0035760A">
        <w:rPr>
          <w:noProof/>
          <w:lang w:val="ro-RO"/>
        </w:rPr>
        <w:t xml:space="preserve">În fiecare an, primăvara și toamna, OMC organizează reuniuni ale comitetelor pentru subvenții și măsuri compensatorii, antidumping și de salvgardare. În plus, în cadrul comitetului antidumping, se organizează, de asemenea, reuniuni ale grupului de lucru privind punerea în aplicare.  Deși reuniunile au avut loc în format hibrid în aprilie și în octombrie, majoritatea delegaților au participat în persoană. </w:t>
      </w:r>
    </w:p>
    <w:p w14:paraId="110BE277" w14:textId="77777777" w:rsidR="00884FAD" w:rsidRPr="0035760A" w:rsidRDefault="00884FAD" w:rsidP="00884FAD">
      <w:pPr>
        <w:pStyle w:val="Text2"/>
        <w:ind w:left="0"/>
        <w:rPr>
          <w:noProof/>
          <w:lang w:val="ro-RO"/>
        </w:rPr>
      </w:pPr>
      <w:r w:rsidRPr="0035760A">
        <w:rPr>
          <w:noProof/>
          <w:lang w:val="ro-RO"/>
        </w:rPr>
        <w:t>Activitatea acestor comitete este importantă pentru revizuirea funcționării diferitelor acorduri care permit membrilor OMC să facă schimb de puncte de vedere și de informații cu caracter general, precum și pentru evidențierea cazurilor individuale de apărare comercială care prezintă motive de îngrijorare.</w:t>
      </w:r>
    </w:p>
    <w:p w14:paraId="0FFBA149" w14:textId="7B587906" w:rsidR="00884FAD" w:rsidRPr="0035760A" w:rsidRDefault="00884FAD" w:rsidP="00884FAD">
      <w:pPr>
        <w:jc w:val="both"/>
        <w:rPr>
          <w:noProof/>
          <w:lang w:val="ro-RO"/>
        </w:rPr>
      </w:pPr>
      <w:r w:rsidRPr="0035760A">
        <w:rPr>
          <w:noProof/>
          <w:lang w:val="ro-RO"/>
        </w:rPr>
        <w:t xml:space="preserve">În cadrul comitetelor de salvgardare ale OMC, UE a fost foarte activă în apărarea măsurilor sale de salvgardare împotriva criticilor formulate de Brazilia, Japonia, China, Turcia, Japonia, Elveția, India, Coreea și Rusia.   Mulți au susținut că măsurile ar fi trebuit să fie eliminate în urma raportului grupului special privind litigiul; Uniunea Europeană – Au fost emise măsuri de salvgardare privind anumite produse siderurgice.   UE și-a exprimat îngrijorarea și în ceea ce privește practicile de salvgardare ale altor membri, inclusiv investigațiile efectuate de Indonezia privind foițele de țigară și articole de îmbrăcăminte, investigația efectuată de Maroc privind panourile din lemn căptușite, investigațiile efectuate de Turcia privind firele de nailon și bilele și articolele similare pentru concasoare și investigația efectuată de SUA privind celulele fotovoltaice pe bază de siliciu. </w:t>
      </w:r>
    </w:p>
    <w:p w14:paraId="43672DE2" w14:textId="407A81BC" w:rsidR="00884FAD" w:rsidRPr="0035760A" w:rsidRDefault="00884FAD" w:rsidP="00884FAD">
      <w:pPr>
        <w:pStyle w:val="Text2"/>
        <w:ind w:left="0"/>
        <w:rPr>
          <w:noProof/>
          <w:lang w:val="ro-RO"/>
        </w:rPr>
      </w:pPr>
      <w:r w:rsidRPr="0035760A">
        <w:rPr>
          <w:noProof/>
          <w:lang w:val="ro-RO"/>
        </w:rPr>
        <w:t xml:space="preserve">În cadrul Comitetului AD, UE a evidențiat preocupările legate de investigațiile privind importurile de cartofi pai congelați din Belgia, Țările de Jos și Germania și privind păsările de curte congelate din Polonia, Spania, Irlanda și Danemarca efectuate de Uniunea vamală sud-africană (SACU). De asemenea, UE și-a apărat împotriva criticilor formulate de Japonia, Indonezia, Maroc și, respectiv, de China investigațiile privind oțelurile magnetice cu grăunți orientați, acizii grași, roțile din aluminiu și elementele de fixare.  </w:t>
      </w:r>
    </w:p>
    <w:p w14:paraId="68581210" w14:textId="6ED04054" w:rsidR="00884FAD" w:rsidRPr="0035760A" w:rsidRDefault="00884FAD" w:rsidP="00884FAD">
      <w:pPr>
        <w:pStyle w:val="Text2"/>
        <w:ind w:left="0"/>
        <w:rPr>
          <w:noProof/>
          <w:lang w:val="ro-RO"/>
        </w:rPr>
      </w:pPr>
      <w:r w:rsidRPr="0035760A">
        <w:rPr>
          <w:noProof/>
          <w:lang w:val="ro-RO"/>
        </w:rPr>
        <w:t>În cadrul Comitetului special pentru subvenții și măsuri compensatorii, a fost continuată revizuirea notificărilor privind subvențiile efectuate în 2021.   Nivelul notificărilor rămâne scăzut, întrucât 95 dintre cei 164 de membri ai OMC nu au transmis notificări în cadrul ultimului exercițiu din 2021. UE a încurajat respectarea într-o mai mare măsură a obligațiilor de transparență în temeiul Acordului privind subvențiile și măsurile compensatorii (ASMC), care sunt esențiale pentru înțelegerea impactului subvențiilor asupra comerțului mondial.</w:t>
      </w:r>
    </w:p>
    <w:p w14:paraId="15B9DD49" w14:textId="2A92FF11" w:rsidR="00884FAD" w:rsidRPr="0035760A" w:rsidRDefault="00884FAD" w:rsidP="00884FAD">
      <w:pPr>
        <w:pStyle w:val="Text2"/>
        <w:ind w:left="0"/>
        <w:rPr>
          <w:noProof/>
          <w:lang w:val="ro-RO"/>
        </w:rPr>
      </w:pPr>
      <w:r w:rsidRPr="0035760A">
        <w:rPr>
          <w:noProof/>
          <w:lang w:val="ro-RO"/>
        </w:rPr>
        <w:t>În cadrul reuniunilor periodice ale Comitetului pentru subvenții și măsuri compensatorii, UE a răspuns plângerilor formulate atât de China, cât și de Indonezia, oferind explicații referitoare la justificarea sprijinului financiar compensatoriu acordat de China întreprinderilor situate în Indonezia. UE și-a exprimat îngrijorarea cu privire la cazul investigației antisubvenție al Chinei privind amidonul de cartofi împotriva UE, precum și cu privire la măsurile compensatorii ale SUA privind măslinele din Spania, în special în ceea ce privește punerea în aplicare a raportului grupului special de soluționare a litigiilor al OMC. Au continuat dezbaterile privind impactul subvențiilor care creează supracapacități, iar FMI, OCDE, Banca Mondială și OMC au prezentat un raport privind subvențiile, comerțul și cooperarea internațională</w:t>
      </w:r>
      <w:r w:rsidRPr="0035760A">
        <w:rPr>
          <w:rStyle w:val="FootnoteReference"/>
          <w:noProof/>
          <w:lang w:val="ro-RO"/>
        </w:rPr>
        <w:footnoteReference w:id="11"/>
      </w:r>
      <w:r w:rsidRPr="0035760A">
        <w:rPr>
          <w:noProof/>
          <w:lang w:val="ro-RO"/>
        </w:rPr>
        <w:t xml:space="preserve">.   </w:t>
      </w:r>
    </w:p>
    <w:p w14:paraId="166AFB76" w14:textId="644FEF8A" w:rsidR="00884FAD" w:rsidRPr="0035760A" w:rsidRDefault="00884FAD" w:rsidP="00884FAD">
      <w:pPr>
        <w:pStyle w:val="Text2"/>
        <w:ind w:left="0"/>
        <w:rPr>
          <w:noProof/>
          <w:lang w:val="ro-RO"/>
        </w:rPr>
      </w:pPr>
      <w:r w:rsidRPr="0035760A">
        <w:rPr>
          <w:noProof/>
          <w:lang w:val="ro-RO"/>
        </w:rPr>
        <w:t xml:space="preserve">UE a participat la Grupul de lucru antidumping privind punerea în aplicare, în cadrul căruia participanții au discutat despre stabilirea viabilității vânzărilor interne în calculul marjei de dumping; tratamentul părților afiliate în ceea ce privește evaluarea taxei, definirea produsului care face obiectul investigației și a produselor similare; comparații ale produselor în cadrul calculelor marjei de dumping și al investigațiilor privind reexaminarea efectuată în perspectiva expirării măsurilor.  Aceste discuții contribuie la înțelegerea practicilor altor autorități de investigare. </w:t>
      </w:r>
    </w:p>
    <w:p w14:paraId="213D8B5A" w14:textId="14D89E61" w:rsidR="00884FAD" w:rsidRPr="0035760A" w:rsidRDefault="00884FAD" w:rsidP="00884FAD">
      <w:pPr>
        <w:jc w:val="both"/>
        <w:rPr>
          <w:noProof/>
          <w:lang w:val="ro-RO"/>
        </w:rPr>
      </w:pPr>
      <w:r w:rsidRPr="0035760A">
        <w:rPr>
          <w:noProof/>
          <w:lang w:val="ro-RO"/>
        </w:rPr>
        <w:t>Noul Acord privind subvențiile pentru pescuit al OMC a fost încheiat în cadrul celei de a 12-a conferințe ministeriale din iunie 2022 în vederea eliminării subvențiilor pentru pescuitul nesustenabil, în conformitate cu obiectivul de dezvoltare durabilă nr. 14.6 al ONU</w:t>
      </w:r>
      <w:r w:rsidRPr="0035760A">
        <w:rPr>
          <w:rStyle w:val="FootnoteReference"/>
          <w:noProof/>
          <w:lang w:val="ro-RO"/>
        </w:rPr>
        <w:footnoteReference w:id="12"/>
      </w:r>
      <w:r w:rsidRPr="0035760A">
        <w:rPr>
          <w:noProof/>
          <w:lang w:val="ro-RO"/>
        </w:rPr>
        <w:t>. OMC se va implica în continuare în negocierile cu privire la chestiunile nesoluționate, astfel încât să se ajungă la un acord cuprinzător.  Tot în 2022, membrii cosponsori ai OMC au început lucrările legate de subvențiile acordate în temeiul declarațiilor ministeriale privind reforma subvențiilor pentru combustibilii fosili</w:t>
      </w:r>
      <w:r w:rsidRPr="0035760A">
        <w:rPr>
          <w:rStyle w:val="FootnoteReference"/>
          <w:noProof/>
          <w:lang w:val="ro-RO"/>
        </w:rPr>
        <w:footnoteReference w:id="13"/>
      </w:r>
      <w:r w:rsidRPr="0035760A">
        <w:rPr>
          <w:rStyle w:val="FootnoteReference"/>
          <w:noProof/>
          <w:lang w:val="ro-RO"/>
        </w:rPr>
        <w:t xml:space="preserve">  </w:t>
      </w:r>
      <w:r w:rsidRPr="0035760A">
        <w:rPr>
          <w:noProof/>
          <w:lang w:val="ro-RO"/>
        </w:rPr>
        <w:t>și discuțiile structurate privind comerțul și durabilitatea mediului</w:t>
      </w:r>
      <w:r w:rsidRPr="0035760A">
        <w:rPr>
          <w:rStyle w:val="FootnoteReference"/>
          <w:noProof/>
          <w:lang w:val="ro-RO"/>
        </w:rPr>
        <w:footnoteReference w:id="14"/>
      </w:r>
      <w:r w:rsidRPr="0035760A">
        <w:rPr>
          <w:noProof/>
          <w:lang w:val="ro-RO"/>
        </w:rPr>
        <w:t>.</w:t>
      </w:r>
    </w:p>
    <w:p w14:paraId="5117B8FC" w14:textId="77777777" w:rsidR="00884FAD" w:rsidRPr="0035760A" w:rsidRDefault="00884FAD" w:rsidP="00884FAD">
      <w:pPr>
        <w:rPr>
          <w:noProof/>
          <w:lang w:val="ro-RO"/>
        </w:rPr>
      </w:pPr>
    </w:p>
    <w:p w14:paraId="6939629E" w14:textId="0743E84C" w:rsidR="00694030" w:rsidRPr="0035760A" w:rsidRDefault="00884FAD" w:rsidP="00694030">
      <w:pPr>
        <w:jc w:val="both"/>
        <w:rPr>
          <w:noProof/>
          <w:lang w:val="ro-RO"/>
        </w:rPr>
      </w:pPr>
      <w:r w:rsidRPr="0035760A">
        <w:rPr>
          <w:noProof/>
          <w:lang w:val="ro-RO"/>
        </w:rPr>
        <w:t xml:space="preserve">Cooperarea trilaterală cu SUA și Japonia a continuat pe parcursul anului 2022, axându-se pe combaterea politicilor și a practicilor care denaturează piața, inclusiv a subvențiilor care, în prezent, nu sunt abordate în mod suficient de normele OMC. Deși au existat schimburi limitate în ceea ce privește coordonarea instrumentelor și partea de reglementare, s-a recunoscut că normele actuale privind ASMC nu sunt adecvate pentru a surprinde toate practicile de subvenționare, în special în China. Partenerii s-au axat pe identificarea unor exemple concrete și pe schimbul de informații privind comportamentul în afara pieței în diferite sectoare.  </w:t>
      </w:r>
    </w:p>
    <w:p w14:paraId="3AD7B730" w14:textId="3DF4603B" w:rsidR="008078FB" w:rsidRPr="0035760A" w:rsidRDefault="008078FB" w:rsidP="00694030">
      <w:pPr>
        <w:jc w:val="both"/>
        <w:rPr>
          <w:noProof/>
          <w:lang w:val="ro-RO"/>
        </w:rPr>
      </w:pPr>
    </w:p>
    <w:p w14:paraId="631C94B8" w14:textId="687C3957" w:rsidR="00882A57" w:rsidRPr="0035760A" w:rsidRDefault="00882A57" w:rsidP="00F929C2">
      <w:pPr>
        <w:pStyle w:val="ManualHeading1"/>
        <w:spacing w:before="0" w:after="0"/>
        <w:ind w:left="851" w:hanging="851"/>
        <w:rPr>
          <w:noProof/>
          <w:sz w:val="26"/>
          <w:lang w:val="ro-RO"/>
        </w:rPr>
      </w:pPr>
      <w:r w:rsidRPr="0035760A">
        <w:rPr>
          <w:noProof/>
          <w:sz w:val="26"/>
          <w:lang w:val="ro-RO"/>
        </w:rPr>
        <w:t>CONCLUZII</w:t>
      </w:r>
    </w:p>
    <w:p w14:paraId="5827C84C" w14:textId="3EA12991" w:rsidR="00882A57" w:rsidRPr="0035760A" w:rsidRDefault="00882A57" w:rsidP="00F929C2">
      <w:pPr>
        <w:pStyle w:val="Text2"/>
        <w:ind w:left="0"/>
        <w:rPr>
          <w:noProof/>
          <w:lang w:val="ro-RO"/>
        </w:rPr>
      </w:pPr>
      <w:r w:rsidRPr="0035760A">
        <w:rPr>
          <w:noProof/>
          <w:lang w:val="ro-RO"/>
        </w:rPr>
        <w:t xml:space="preserve">În 2022 s-a înregistrat o scădere a numărului de noi investigații inițiate ca urmare a numărului mai mic de plângeri de la părțile interesate din industria UE, în concordanță cu scăderea înregistrată la nivel mondial care reflectă condițiile de piață specifice din perioada cea mai recentă. În același timp, au fost inițiate mai multe reexaminări, ceea ce a contribuit la înregistrarea unui număr mare de cazuri în cursul anului.  Instituirea de măsuri în cursul anului 2022 a avut drept rezultat faptul că, la sfârșitul anului erau în vigoare nu mai puțin de 177 de măsuri de apărare comercială.  Asigurarea eficacității acestor măsuri a rămas o prioritate pentru Comisie, fiind necesară acordarea unei atenții deosebite monitorizării măsurilor cu risc ridicat și acțiunilor de abordare a oricărei activități menite să submineze impactul măsurilor de apărare comercială ale UE. De asemenea, Comisia a continuat să intervină cu succes în mai multe cazuri de apărare comercială inițiate de țări terțe împotriva UE sau a statelor sale membre.    </w:t>
      </w:r>
    </w:p>
    <w:p w14:paraId="13C57ECD" w14:textId="77777777" w:rsidR="008078FB" w:rsidRPr="0035760A" w:rsidRDefault="008078FB" w:rsidP="00F929C2">
      <w:pPr>
        <w:pStyle w:val="ManualHeading1"/>
        <w:spacing w:before="0" w:after="0"/>
        <w:ind w:left="851" w:hanging="851"/>
        <w:rPr>
          <w:noProof/>
          <w:lang w:val="ro-RO"/>
        </w:rPr>
      </w:pPr>
    </w:p>
    <w:p w14:paraId="710E0BD5" w14:textId="77777777" w:rsidR="00694030" w:rsidRPr="0035760A" w:rsidRDefault="00694030" w:rsidP="00694030">
      <w:pPr>
        <w:jc w:val="both"/>
        <w:rPr>
          <w:noProof/>
          <w:color w:val="1F497D"/>
          <w:lang w:val="ro-RO"/>
        </w:rPr>
      </w:pPr>
    </w:p>
    <w:p w14:paraId="16208BB8" w14:textId="504DD449" w:rsidR="00884FAD" w:rsidRPr="0035760A" w:rsidRDefault="00884FAD" w:rsidP="00884FAD">
      <w:pPr>
        <w:jc w:val="both"/>
        <w:rPr>
          <w:noProof/>
          <w:lang w:val="ro-RO"/>
        </w:rPr>
      </w:pPr>
    </w:p>
    <w:p w14:paraId="799CC218" w14:textId="77777777" w:rsidR="00884FAD" w:rsidRPr="0035760A" w:rsidRDefault="00884FAD" w:rsidP="00884FAD">
      <w:pPr>
        <w:jc w:val="both"/>
        <w:rPr>
          <w:noProof/>
          <w:lang w:val="ro-RO"/>
        </w:rPr>
      </w:pPr>
    </w:p>
    <w:p w14:paraId="2666CA21" w14:textId="505B1C3E" w:rsidR="005A22BA" w:rsidRPr="0035760A" w:rsidRDefault="005A22BA" w:rsidP="005A22BA">
      <w:pPr>
        <w:jc w:val="both"/>
        <w:rPr>
          <w:rStyle w:val="Heading1Char"/>
          <w:noProof/>
          <w:highlight w:val="yellow"/>
          <w:lang w:val="ro-RO"/>
        </w:rPr>
      </w:pPr>
    </w:p>
    <w:p w14:paraId="77D28AD0" w14:textId="77777777" w:rsidR="00677303" w:rsidRPr="0035760A" w:rsidRDefault="00677303" w:rsidP="00E5238A">
      <w:pPr>
        <w:jc w:val="both"/>
        <w:rPr>
          <w:noProof/>
          <w:lang w:val="ro-RO"/>
        </w:rPr>
      </w:pPr>
    </w:p>
    <w:sectPr w:rsidR="00677303" w:rsidRPr="0035760A" w:rsidSect="0021718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D098A" w14:textId="77777777" w:rsidR="00C31F6E" w:rsidRDefault="00C31F6E">
      <w:r>
        <w:separator/>
      </w:r>
    </w:p>
  </w:endnote>
  <w:endnote w:type="continuationSeparator" w:id="0">
    <w:p w14:paraId="67AFAE2A" w14:textId="77777777" w:rsidR="00C31F6E" w:rsidRDefault="00C31F6E">
      <w:r>
        <w:continuationSeparator/>
      </w:r>
    </w:p>
  </w:endnote>
  <w:endnote w:type="continuationNotice" w:id="1">
    <w:p w14:paraId="3BCB077F" w14:textId="77777777" w:rsidR="00C31F6E" w:rsidRDefault="00C31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23FE9" w14:textId="36902C6E" w:rsidR="00E814FA" w:rsidRPr="00D80FC9" w:rsidRDefault="00E814FA" w:rsidP="00D80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CD8B4" w14:textId="36B3A92F" w:rsidR="00E814FA" w:rsidRPr="00D80FC9" w:rsidRDefault="00D80FC9" w:rsidP="00D80FC9">
    <w:pPr>
      <w:pStyle w:val="FooterCoverPage"/>
      <w:rPr>
        <w:rFonts w:ascii="Arial" w:hAnsi="Arial" w:cs="Arial"/>
        <w:b/>
        <w:sz w:val="48"/>
      </w:rPr>
    </w:pPr>
    <w:r w:rsidRPr="00D80FC9">
      <w:rPr>
        <w:rFonts w:ascii="Arial" w:hAnsi="Arial" w:cs="Arial"/>
        <w:b/>
        <w:sz w:val="48"/>
      </w:rPr>
      <w:t>RO</w:t>
    </w:r>
    <w:r w:rsidRPr="00D80FC9">
      <w:rPr>
        <w:rFonts w:ascii="Arial" w:hAnsi="Arial" w:cs="Arial"/>
        <w:b/>
        <w:sz w:val="48"/>
      </w:rPr>
      <w:tab/>
    </w:r>
    <w:r w:rsidRPr="00D80FC9">
      <w:rPr>
        <w:rFonts w:ascii="Arial" w:hAnsi="Arial" w:cs="Arial"/>
        <w:b/>
        <w:sz w:val="48"/>
      </w:rPr>
      <w:tab/>
    </w:r>
    <w:r w:rsidRPr="00D80FC9">
      <w:tab/>
    </w:r>
    <w:r w:rsidRPr="00D80FC9">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D930" w14:textId="77777777" w:rsidR="00D80FC9" w:rsidRPr="00D80FC9" w:rsidRDefault="00D80FC9" w:rsidP="00D80FC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BC39" w14:textId="77777777" w:rsidR="004E4166" w:rsidRDefault="004E41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653D0" w14:textId="5F32E026" w:rsidR="004E4166" w:rsidRDefault="004E4166" w:rsidP="008C67E1">
    <w:pPr>
      <w:pStyle w:val="Footer"/>
      <w:tabs>
        <w:tab w:val="clear" w:pos="4535"/>
        <w:tab w:val="left" w:pos="109"/>
        <w:tab w:val="center" w:pos="4536"/>
      </w:tabs>
      <w:spacing w:before="0"/>
      <w:ind w:left="0" w:right="-851"/>
      <w:jc w:val="center"/>
    </w:pPr>
    <w:r>
      <w:fldChar w:fldCharType="begin"/>
    </w:r>
    <w:r>
      <w:instrText xml:space="preserve"> PAGE   \* MERGEFORMAT </w:instrText>
    </w:r>
    <w:r>
      <w:fldChar w:fldCharType="separate"/>
    </w:r>
    <w:r w:rsidR="00D80FC9">
      <w:rPr>
        <w:noProof/>
      </w:rPr>
      <w:t>13</w:t>
    </w:r>
    <w:r>
      <w:fldChar w:fldCharType="end"/>
    </w:r>
  </w:p>
  <w:p w14:paraId="088A127B" w14:textId="77777777" w:rsidR="004E4166" w:rsidRDefault="004E416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383859"/>
      <w:docPartObj>
        <w:docPartGallery w:val="Page Numbers (Bottom of Page)"/>
        <w:docPartUnique/>
      </w:docPartObj>
    </w:sdtPr>
    <w:sdtEndPr/>
    <w:sdtContent>
      <w:p w14:paraId="23FCEA1E" w14:textId="08686387" w:rsidR="004E4166" w:rsidRDefault="004E4166">
        <w:pPr>
          <w:pStyle w:val="Footer"/>
          <w:jc w:val="center"/>
        </w:pPr>
        <w:r>
          <w:fldChar w:fldCharType="begin"/>
        </w:r>
        <w:r>
          <w:instrText xml:space="preserve"> PAGE   \* MERGEFORMAT </w:instrText>
        </w:r>
        <w:r>
          <w:fldChar w:fldCharType="separate"/>
        </w:r>
        <w:r w:rsidR="00D80FC9">
          <w:rPr>
            <w:noProof/>
          </w:rPr>
          <w:t>1</w:t>
        </w:r>
        <w:r>
          <w:fldChar w:fldCharType="end"/>
        </w:r>
      </w:p>
    </w:sdtContent>
  </w:sdt>
  <w:p w14:paraId="38AE46CF" w14:textId="77777777" w:rsidR="004E4166" w:rsidRDefault="004E4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6612F" w14:textId="77777777" w:rsidR="00C31F6E" w:rsidRDefault="00C31F6E">
      <w:r>
        <w:separator/>
      </w:r>
    </w:p>
  </w:footnote>
  <w:footnote w:type="continuationSeparator" w:id="0">
    <w:p w14:paraId="349AC8FF" w14:textId="77777777" w:rsidR="00C31F6E" w:rsidRDefault="00C31F6E">
      <w:r>
        <w:continuationSeparator/>
      </w:r>
    </w:p>
  </w:footnote>
  <w:footnote w:type="continuationNotice" w:id="1">
    <w:p w14:paraId="57FF42BF" w14:textId="77777777" w:rsidR="00C31F6E" w:rsidRDefault="00C31F6E"/>
  </w:footnote>
  <w:footnote w:id="2">
    <w:p w14:paraId="521DC7DB" w14:textId="6369A1BB" w:rsidR="00E63CF9" w:rsidRPr="00460D7D" w:rsidRDefault="00E63CF9">
      <w:pPr>
        <w:pStyle w:val="FootnoteText"/>
        <w:rPr>
          <w:sz w:val="16"/>
          <w:lang w:val="ro-RO"/>
        </w:rPr>
      </w:pPr>
      <w:r w:rsidRPr="00460D7D">
        <w:rPr>
          <w:rStyle w:val="FootnoteReference"/>
          <w:sz w:val="16"/>
          <w:lang w:val="ro-RO"/>
        </w:rPr>
        <w:footnoteRef/>
      </w:r>
      <w:r w:rsidRPr="00460D7D">
        <w:rPr>
          <w:sz w:val="16"/>
          <w:lang w:val="ro-RO"/>
        </w:rPr>
        <w:t xml:space="preserve"> Statisticile OMC indică o scădere cu 47 % în ceea ce privește noile inițiative AD/AS în perioada 2021-2022.</w:t>
      </w:r>
    </w:p>
  </w:footnote>
  <w:footnote w:id="3">
    <w:p w14:paraId="1600A67E" w14:textId="6EADB7BC" w:rsidR="00884FAD" w:rsidRPr="00460D7D" w:rsidRDefault="00884FAD" w:rsidP="00BD0DF4">
      <w:pPr>
        <w:pStyle w:val="FootnoteText"/>
        <w:rPr>
          <w:rStyle w:val="FootnoteReference"/>
          <w:lang w:val="ro-RO"/>
        </w:rPr>
      </w:pPr>
      <w:r w:rsidRPr="00460D7D">
        <w:rPr>
          <w:rStyle w:val="FootnoteReference"/>
          <w:lang w:val="ro-RO"/>
        </w:rPr>
        <w:footnoteRef/>
      </w:r>
      <w:r w:rsidRPr="00460D7D">
        <w:rPr>
          <w:rStyle w:val="FootnoteReference"/>
          <w:lang w:val="ro-RO"/>
        </w:rPr>
        <w:t xml:space="preserve"> </w:t>
      </w:r>
      <w:r w:rsidRPr="00460D7D">
        <w:rPr>
          <w:lang w:val="ro-RO"/>
        </w:rPr>
        <w:tab/>
      </w:r>
      <w:r w:rsidRPr="00460D7D">
        <w:rPr>
          <w:rStyle w:val="FootnoteReference"/>
          <w:lang w:val="ro-RO"/>
        </w:rPr>
        <w:t>Raportat incorect ca fiind 88 în cel de al 40-lea raport al Comisiei către Parlamentul European și Consiliu privind activitățile antidumping, antisubvenție și de salvgardare ale UE și utilizarea de către țările terțe a instrumentelor de apărare comercială care vizează UE în 2021.</w:t>
      </w:r>
    </w:p>
  </w:footnote>
  <w:footnote w:id="4">
    <w:p w14:paraId="5B783A9D" w14:textId="40F35219" w:rsidR="00114BCE" w:rsidRPr="00460D7D" w:rsidRDefault="00BD0DF4" w:rsidP="00BD0DF4">
      <w:pPr>
        <w:pStyle w:val="FootnoteText"/>
        <w:rPr>
          <w:rStyle w:val="FootnoteReference"/>
          <w:lang w:val="ro-RO"/>
        </w:rPr>
      </w:pPr>
      <w:r w:rsidRPr="00460D7D">
        <w:rPr>
          <w:rStyle w:val="FootnoteReference"/>
          <w:lang w:val="ro-RO"/>
        </w:rPr>
        <w:footnoteRef/>
      </w:r>
      <w:r w:rsidRPr="00460D7D">
        <w:rPr>
          <w:rStyle w:val="FootnoteReference"/>
          <w:lang w:val="ro-RO"/>
        </w:rPr>
        <w:t xml:space="preserve"> </w:t>
      </w:r>
      <w:r w:rsidRPr="00460D7D">
        <w:rPr>
          <w:lang w:val="ro-RO"/>
        </w:rPr>
        <w:tab/>
      </w:r>
      <w:r w:rsidRPr="00460D7D">
        <w:rPr>
          <w:rStyle w:val="FootnoteReference"/>
          <w:lang w:val="ro-RO"/>
        </w:rPr>
        <w:t>Regulamentul (UE) 2016/1036 al Parlamentului European și al Consiliului din 8 iunie 2016 privind protecția împotriva importurilor care fac obiectul unui dumping din partea țărilor care nu sunt membre ale Uniunii Europene (JO L 176, 30.6.2016, p. 21).</w:t>
      </w:r>
    </w:p>
  </w:footnote>
  <w:footnote w:id="5">
    <w:p w14:paraId="31FFDF0E" w14:textId="255F71A7" w:rsidR="00884FAD" w:rsidRPr="00460D7D" w:rsidRDefault="00884FAD" w:rsidP="00884FAD">
      <w:pPr>
        <w:pStyle w:val="FootnoteText"/>
        <w:rPr>
          <w:lang w:val="ro-RO"/>
        </w:rPr>
      </w:pPr>
      <w:r w:rsidRPr="00460D7D">
        <w:rPr>
          <w:rStyle w:val="FootnoteReference"/>
          <w:lang w:val="ro-RO"/>
        </w:rPr>
        <w:footnoteRef/>
      </w:r>
      <w:r w:rsidRPr="00460D7D">
        <w:rPr>
          <w:lang w:val="ro-RO"/>
        </w:rPr>
        <w:t xml:space="preserve"> </w:t>
      </w:r>
      <w:r w:rsidRPr="00460D7D">
        <w:rPr>
          <w:lang w:val="ro-RO"/>
        </w:rPr>
        <w:tab/>
        <w:t>Regulamentul (UE) 2022/428 al Consiliului din 15 martie 2022 de modificare a Regulamentului (UE) nr. 833/2014 privind măsuri restrictive având în vedere acțiunile Rusiei de destabilizare a situației în Ucraina (JO L 87 I, 15.3.2022, p. 13).</w:t>
      </w:r>
    </w:p>
  </w:footnote>
  <w:footnote w:id="6">
    <w:p w14:paraId="401CE72A" w14:textId="5997EC28" w:rsidR="00884FAD" w:rsidRPr="00460D7D" w:rsidRDefault="00884FAD" w:rsidP="00884FAD">
      <w:pPr>
        <w:pStyle w:val="FootnoteText"/>
        <w:rPr>
          <w:lang w:val="ro-RO"/>
        </w:rPr>
      </w:pPr>
      <w:r w:rsidRPr="00460D7D">
        <w:rPr>
          <w:rStyle w:val="FootnoteReference"/>
          <w:lang w:val="ro-RO"/>
        </w:rPr>
        <w:footnoteRef/>
      </w:r>
      <w:r w:rsidRPr="00460D7D">
        <w:rPr>
          <w:lang w:val="ro-RO"/>
        </w:rPr>
        <w:t xml:space="preserve"> </w:t>
      </w:r>
      <w:r w:rsidRPr="00460D7D">
        <w:rPr>
          <w:lang w:val="ro-RO"/>
        </w:rPr>
        <w:tab/>
        <w:t>Regulamentul de punere în aplicare (UE) 2022/434 al Comisiei din 15 martie 2022 de modificare a Regulamentului (UE) 2019/159 de instituire a unei măsuri de salvgardare definitive împotriva importurilor de anumite produse siderurgice (JO L 88, 16.3.2022, p. 181).</w:t>
      </w:r>
    </w:p>
  </w:footnote>
  <w:footnote w:id="7">
    <w:p w14:paraId="2FDD103F" w14:textId="344BA83A" w:rsidR="00884FAD" w:rsidRPr="00460D7D" w:rsidRDefault="00884FAD" w:rsidP="00884FAD">
      <w:pPr>
        <w:pStyle w:val="FootnoteText"/>
        <w:rPr>
          <w:lang w:val="ro-RO"/>
        </w:rPr>
      </w:pPr>
      <w:r w:rsidRPr="00460D7D">
        <w:rPr>
          <w:rStyle w:val="FootnoteReference"/>
          <w:lang w:val="ro-RO"/>
        </w:rPr>
        <w:footnoteRef/>
      </w:r>
      <w:r w:rsidRPr="00460D7D">
        <w:rPr>
          <w:lang w:val="ro-RO"/>
        </w:rPr>
        <w:t xml:space="preserve"> </w:t>
      </w:r>
      <w:r w:rsidRPr="00460D7D">
        <w:rPr>
          <w:lang w:val="ro-RO"/>
        </w:rPr>
        <w:tab/>
        <w:t>Regulamentul de punere în aplicare (UE) 2022/978 al Comisiei din 23 iunie 2022 de modificare a Regulamentului de punere în aplicare (UE) 2019/159 de instituire a unei măsuri de salvgardare definitive aplicabilă importurilor de anumite produse siderurgice (JO L 167, 24.6.2022, p. 58).</w:t>
      </w:r>
    </w:p>
  </w:footnote>
  <w:footnote w:id="8">
    <w:p w14:paraId="162D5E33" w14:textId="793DF2EA" w:rsidR="001305CF" w:rsidRPr="00460D7D" w:rsidRDefault="001305CF">
      <w:pPr>
        <w:pStyle w:val="FootnoteText"/>
        <w:rPr>
          <w:lang w:val="ro-RO"/>
        </w:rPr>
      </w:pPr>
      <w:r w:rsidRPr="00460D7D">
        <w:rPr>
          <w:rStyle w:val="FootnoteReference"/>
          <w:lang w:val="ro-RO"/>
        </w:rPr>
        <w:footnoteRef/>
      </w:r>
      <w:r w:rsidRPr="00460D7D">
        <w:rPr>
          <w:lang w:val="ro-RO"/>
        </w:rPr>
        <w:t xml:space="preserve"> Cauza T-246/19 Regatul Cambodgia și </w:t>
      </w:r>
      <w:r w:rsidRPr="00460D7D">
        <w:rPr>
          <w:i/>
          <w:iCs/>
          <w:lang w:val="ro-RO"/>
        </w:rPr>
        <w:t>Cambodia Rice Federation</w:t>
      </w:r>
      <w:r w:rsidRPr="00460D7D">
        <w:rPr>
          <w:lang w:val="ro-RO"/>
        </w:rPr>
        <w:t>/Comisia Europeană.</w:t>
      </w:r>
    </w:p>
  </w:footnote>
  <w:footnote w:id="9">
    <w:p w14:paraId="7B7C7948" w14:textId="77777777" w:rsidR="00884FAD" w:rsidRPr="00460D7D" w:rsidRDefault="00884FAD" w:rsidP="00884FAD">
      <w:pPr>
        <w:jc w:val="both"/>
        <w:rPr>
          <w:sz w:val="20"/>
          <w:lang w:val="ro-RO"/>
        </w:rPr>
      </w:pPr>
      <w:r w:rsidRPr="00460D7D">
        <w:rPr>
          <w:sz w:val="20"/>
          <w:lang w:val="ro-RO"/>
        </w:rPr>
        <w:footnoteRef/>
      </w:r>
      <w:r w:rsidRPr="00460D7D">
        <w:rPr>
          <w:sz w:val="20"/>
          <w:lang w:val="ro-RO"/>
        </w:rPr>
        <w:t xml:space="preserve"> </w:t>
      </w:r>
      <w:hyperlink r:id="rId1" w:history="1">
        <w:r w:rsidRPr="00460D7D">
          <w:rPr>
            <w:sz w:val="20"/>
            <w:lang w:val="ro-RO"/>
          </w:rPr>
          <w:t>https://webgate.ec.europa.eu/siglbo/post-surveillance</w:t>
        </w:r>
      </w:hyperlink>
      <w:r w:rsidRPr="00460D7D">
        <w:rPr>
          <w:lang w:val="ro-RO"/>
        </w:rPr>
        <w:t>.</w:t>
      </w:r>
    </w:p>
    <w:p w14:paraId="7145B47E" w14:textId="77777777" w:rsidR="00884FAD" w:rsidRPr="00460D7D" w:rsidRDefault="00884FAD" w:rsidP="00884FAD">
      <w:pPr>
        <w:pStyle w:val="FootnoteText"/>
        <w:rPr>
          <w:lang w:val="ro-RO"/>
        </w:rPr>
      </w:pPr>
    </w:p>
  </w:footnote>
  <w:footnote w:id="10">
    <w:p w14:paraId="69D7CD72" w14:textId="77777777" w:rsidR="00114BCE" w:rsidRPr="00460D7D" w:rsidRDefault="00114BCE" w:rsidP="00114BCE">
      <w:pPr>
        <w:pStyle w:val="FootnoteText"/>
        <w:rPr>
          <w:lang w:val="ro-RO"/>
        </w:rPr>
      </w:pPr>
      <w:r w:rsidRPr="00460D7D">
        <w:rPr>
          <w:rStyle w:val="FootnoteReference"/>
          <w:lang w:val="ro-RO"/>
        </w:rPr>
        <w:footnoteRef/>
      </w:r>
      <w:r w:rsidRPr="00460D7D">
        <w:rPr>
          <w:lang w:val="ro-RO"/>
        </w:rPr>
        <w:tab/>
        <w:t>Regulamentul (UE) 2016/1037 al Parlamentului European și al Consiliului din 8 iunie 2016 privind protecția împotriva importurilor care fac obiectul unor subvenții din partea țărilor care nu sunt membre ale Uniunii Europene, JO L 176, 30.6.2016, p. 55.</w:t>
      </w:r>
    </w:p>
  </w:footnote>
  <w:footnote w:id="11">
    <w:p w14:paraId="1A2A3100" w14:textId="77777777" w:rsidR="00884FAD" w:rsidRPr="00460D7D" w:rsidRDefault="00884FAD" w:rsidP="00884FAD">
      <w:pPr>
        <w:pStyle w:val="FootnoteText"/>
        <w:rPr>
          <w:sz w:val="16"/>
          <w:lang w:val="ro-RO"/>
        </w:rPr>
      </w:pPr>
      <w:r w:rsidRPr="00460D7D">
        <w:rPr>
          <w:rStyle w:val="FootnoteReference"/>
          <w:lang w:val="ro-RO"/>
        </w:rPr>
        <w:footnoteRef/>
      </w:r>
      <w:r w:rsidRPr="00460D7D">
        <w:rPr>
          <w:lang w:val="ro-RO"/>
        </w:rPr>
        <w:t xml:space="preserve"> </w:t>
      </w:r>
      <w:r w:rsidRPr="00460D7D">
        <w:rPr>
          <w:lang w:val="ro-RO"/>
        </w:rPr>
        <w:tab/>
      </w:r>
      <w:hyperlink r:id="rId2" w:history="1">
        <w:r w:rsidRPr="00460D7D">
          <w:rPr>
            <w:rStyle w:val="Hyperlink"/>
            <w:sz w:val="16"/>
            <w:lang w:val="ro-RO"/>
          </w:rPr>
          <w:t>Subsidies-Trade-and-International-Cooperation-April-19-ci.pdf (worldbank.org)</w:t>
        </w:r>
      </w:hyperlink>
      <w:r w:rsidRPr="00460D7D">
        <w:rPr>
          <w:lang w:val="ro-RO"/>
        </w:rPr>
        <w:t>.</w:t>
      </w:r>
    </w:p>
  </w:footnote>
  <w:footnote w:id="12">
    <w:p w14:paraId="5FA67DC7" w14:textId="77777777" w:rsidR="00884FAD" w:rsidRPr="00460D7D" w:rsidRDefault="00884FAD" w:rsidP="00884FAD">
      <w:pPr>
        <w:pStyle w:val="FootnoteText"/>
        <w:rPr>
          <w:lang w:val="ro-RO"/>
        </w:rPr>
      </w:pPr>
      <w:r w:rsidRPr="00460D7D">
        <w:rPr>
          <w:rStyle w:val="FootnoteReference"/>
          <w:lang w:val="ro-RO"/>
        </w:rPr>
        <w:footnoteRef/>
      </w:r>
      <w:r w:rsidRPr="00460D7D">
        <w:rPr>
          <w:lang w:val="ro-RO"/>
        </w:rPr>
        <w:t xml:space="preserve"> </w:t>
      </w:r>
      <w:r w:rsidRPr="00460D7D">
        <w:rPr>
          <w:lang w:val="ro-RO"/>
        </w:rPr>
        <w:tab/>
      </w:r>
      <w:hyperlink r:id="rId3" w:history="1">
        <w:r w:rsidRPr="00460D7D">
          <w:rPr>
            <w:rStyle w:val="FootnoteReference"/>
            <w:lang w:val="ro-RO"/>
          </w:rPr>
          <w:t>https://www.wto.org/english/tratop_e/rulesneg_e/fish_e/fish_e.htm</w:t>
        </w:r>
      </w:hyperlink>
      <w:r w:rsidRPr="00460D7D">
        <w:rPr>
          <w:lang w:val="ro-RO"/>
        </w:rPr>
        <w:t>.</w:t>
      </w:r>
    </w:p>
  </w:footnote>
  <w:footnote w:id="13">
    <w:p w14:paraId="11341EA7" w14:textId="77777777" w:rsidR="00884FAD" w:rsidRPr="00460D7D" w:rsidRDefault="00884FAD" w:rsidP="00884FAD">
      <w:pPr>
        <w:pStyle w:val="FootnoteText"/>
        <w:rPr>
          <w:lang w:val="ro-RO"/>
        </w:rPr>
      </w:pPr>
      <w:r w:rsidRPr="00460D7D">
        <w:rPr>
          <w:rStyle w:val="FootnoteReference"/>
          <w:lang w:val="ro-RO"/>
        </w:rPr>
        <w:footnoteRef/>
      </w:r>
      <w:r w:rsidRPr="00460D7D">
        <w:rPr>
          <w:rStyle w:val="FootnoteReference"/>
          <w:lang w:val="ro-RO"/>
        </w:rPr>
        <w:t xml:space="preserve"> </w:t>
      </w:r>
      <w:r w:rsidRPr="00460D7D">
        <w:rPr>
          <w:lang w:val="ro-RO"/>
        </w:rPr>
        <w:tab/>
      </w:r>
      <w:hyperlink r:id="rId4" w:history="1">
        <w:r w:rsidRPr="00460D7D">
          <w:rPr>
            <w:rStyle w:val="FootnoteReference"/>
            <w:lang w:val="ro-RO"/>
          </w:rPr>
          <w:t>https://www.wto.org/english/tratop_e/envir_e/fossil_fuel_e.htm</w:t>
        </w:r>
      </w:hyperlink>
      <w:r w:rsidRPr="00460D7D">
        <w:rPr>
          <w:lang w:val="ro-RO"/>
        </w:rPr>
        <w:t>.</w:t>
      </w:r>
      <w:r w:rsidRPr="00460D7D">
        <w:rPr>
          <w:rStyle w:val="FootnoteReference"/>
          <w:lang w:val="ro-RO"/>
        </w:rPr>
        <w:t xml:space="preserve"> </w:t>
      </w:r>
    </w:p>
  </w:footnote>
  <w:footnote w:id="14">
    <w:p w14:paraId="17889A9A" w14:textId="77777777" w:rsidR="00884FAD" w:rsidRPr="00460D7D" w:rsidRDefault="00884FAD" w:rsidP="00884FAD">
      <w:pPr>
        <w:pStyle w:val="FootnoteText"/>
        <w:rPr>
          <w:rStyle w:val="FootnoteReference"/>
          <w:lang w:val="ro-RO"/>
        </w:rPr>
      </w:pPr>
      <w:r w:rsidRPr="00460D7D">
        <w:rPr>
          <w:rStyle w:val="FootnoteReference"/>
          <w:lang w:val="ro-RO"/>
        </w:rPr>
        <w:footnoteRef/>
      </w:r>
      <w:r w:rsidRPr="00460D7D">
        <w:rPr>
          <w:rStyle w:val="FootnoteReference"/>
          <w:lang w:val="ro-RO"/>
        </w:rPr>
        <w:t xml:space="preserve"> </w:t>
      </w:r>
      <w:r w:rsidRPr="00460D7D">
        <w:rPr>
          <w:lang w:val="ro-RO"/>
        </w:rPr>
        <w:tab/>
      </w:r>
      <w:hyperlink r:id="rId5" w:history="1">
        <w:r w:rsidRPr="00460D7D">
          <w:rPr>
            <w:rStyle w:val="FootnoteReference"/>
            <w:lang w:val="ro-RO"/>
          </w:rPr>
          <w:t>https://www.wto.org/english/tratop_e/tessd_e/tessd_e.htm</w:t>
        </w:r>
      </w:hyperlink>
      <w:r w:rsidRPr="00460D7D">
        <w:rPr>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ADBD2" w14:textId="77777777" w:rsidR="00D80FC9" w:rsidRPr="00D80FC9" w:rsidRDefault="00D80FC9" w:rsidP="00D80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80DD" w14:textId="77777777" w:rsidR="00D80FC9" w:rsidRPr="00D80FC9" w:rsidRDefault="00D80FC9" w:rsidP="00D80FC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F9F1C" w14:textId="77777777" w:rsidR="00D80FC9" w:rsidRPr="00D80FC9" w:rsidRDefault="00D80FC9" w:rsidP="00D80FC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E4F0" w14:textId="77777777" w:rsidR="004E4166" w:rsidRDefault="004E41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9C84" w14:textId="77777777" w:rsidR="004E4166" w:rsidRDefault="004E41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5694" w14:textId="77777777" w:rsidR="004E4166" w:rsidRDefault="004E4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EF9"/>
    <w:multiLevelType w:val="hybridMultilevel"/>
    <w:tmpl w:val="A6CC65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05EFB"/>
    <w:multiLevelType w:val="hybridMultilevel"/>
    <w:tmpl w:val="7F58DFDE"/>
    <w:lvl w:ilvl="0" w:tplc="071863A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35D5D"/>
    <w:multiLevelType w:val="multilevel"/>
    <w:tmpl w:val="3D0C568C"/>
    <w:lvl w:ilvl="0">
      <w:start w:val="1"/>
      <w:numFmt w:val="decimal"/>
      <w:lvlText w:val="%1"/>
      <w:lvlJc w:val="left"/>
      <w:pPr>
        <w:ind w:left="432" w:hanging="432"/>
      </w:pPr>
      <w:rPr>
        <w:b/>
        <w:sz w:val="28"/>
      </w:r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372137"/>
    <w:multiLevelType w:val="hybridMultilevel"/>
    <w:tmpl w:val="ED16FD4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F734306"/>
    <w:multiLevelType w:val="multilevel"/>
    <w:tmpl w:val="C7FECFDE"/>
    <w:lvl w:ilvl="0">
      <w:start w:val="1"/>
      <w:numFmt w:val="decimal"/>
      <w:pStyle w:val="Heading1"/>
      <w:lvlText w:val="%1."/>
      <w:lvlJc w:val="left"/>
      <w:pPr>
        <w:tabs>
          <w:tab w:val="num" w:pos="960"/>
        </w:tabs>
        <w:ind w:left="960" w:hanging="480"/>
      </w:pPr>
      <w:rPr>
        <w:rFonts w:cs="Times New Roman" w:hint="default"/>
      </w:rPr>
    </w:lvl>
    <w:lvl w:ilvl="1">
      <w:start w:val="1"/>
      <w:numFmt w:val="decimal"/>
      <w:pStyle w:val="Heading2"/>
      <w:lvlText w:val="%1.%2."/>
      <w:lvlJc w:val="left"/>
      <w:pPr>
        <w:tabs>
          <w:tab w:val="num" w:pos="1626"/>
        </w:tabs>
        <w:ind w:left="1626" w:hanging="720"/>
      </w:pPr>
      <w:rPr>
        <w:rFonts w:cs="Times New Roman" w:hint="default"/>
      </w:rPr>
    </w:lvl>
    <w:lvl w:ilvl="2">
      <w:start w:val="1"/>
      <w:numFmt w:val="decimal"/>
      <w:pStyle w:val="Heading3"/>
      <w:lvlText w:val="%1.%2.%3."/>
      <w:lvlJc w:val="left"/>
      <w:pPr>
        <w:tabs>
          <w:tab w:val="num" w:pos="2400"/>
        </w:tabs>
        <w:ind w:left="2400" w:hanging="720"/>
      </w:pPr>
      <w:rPr>
        <w:rFonts w:cs="Times New Roman" w:hint="default"/>
      </w:rPr>
    </w:lvl>
    <w:lvl w:ilvl="3">
      <w:start w:val="1"/>
      <w:numFmt w:val="decimal"/>
      <w:pStyle w:val="Heading4"/>
      <w:lvlText w:val="%1.%2.%3.%4."/>
      <w:lvlJc w:val="left"/>
      <w:pPr>
        <w:tabs>
          <w:tab w:val="num" w:pos="2400"/>
        </w:tabs>
        <w:ind w:left="2400" w:hanging="720"/>
      </w:pPr>
      <w:rPr>
        <w:rFonts w:cs="Times New Roman" w:hint="default"/>
      </w:rPr>
    </w:lvl>
    <w:lvl w:ilvl="4">
      <w:start w:val="1"/>
      <w:numFmt w:val="lowerLetter"/>
      <w:lvlText w:val="(%5)"/>
      <w:lvlJc w:val="left"/>
      <w:pPr>
        <w:tabs>
          <w:tab w:val="num" w:pos="2280"/>
        </w:tabs>
        <w:ind w:left="2280" w:hanging="360"/>
      </w:pPr>
      <w:rPr>
        <w:rFonts w:cs="Times New Roman" w:hint="default"/>
      </w:rPr>
    </w:lvl>
    <w:lvl w:ilvl="5">
      <w:start w:val="1"/>
      <w:numFmt w:val="lowerRoman"/>
      <w:lvlText w:val="(%6)"/>
      <w:lvlJc w:val="left"/>
      <w:pPr>
        <w:tabs>
          <w:tab w:val="num" w:pos="2640"/>
        </w:tabs>
        <w:ind w:left="2640" w:hanging="360"/>
      </w:pPr>
      <w:rPr>
        <w:rFonts w:cs="Times New Roman" w:hint="default"/>
      </w:rPr>
    </w:lvl>
    <w:lvl w:ilvl="6">
      <w:start w:val="1"/>
      <w:numFmt w:val="decimal"/>
      <w:lvlText w:val="%7."/>
      <w:lvlJc w:val="left"/>
      <w:pPr>
        <w:tabs>
          <w:tab w:val="num" w:pos="3000"/>
        </w:tabs>
        <w:ind w:left="3000" w:hanging="360"/>
      </w:pPr>
      <w:rPr>
        <w:rFonts w:cs="Times New Roman" w:hint="default"/>
      </w:rPr>
    </w:lvl>
    <w:lvl w:ilvl="7">
      <w:start w:val="1"/>
      <w:numFmt w:val="lowerLetter"/>
      <w:lvlText w:val="%8."/>
      <w:lvlJc w:val="left"/>
      <w:pPr>
        <w:tabs>
          <w:tab w:val="num" w:pos="3360"/>
        </w:tabs>
        <w:ind w:left="3360" w:hanging="360"/>
      </w:pPr>
      <w:rPr>
        <w:rFonts w:cs="Times New Roman" w:hint="default"/>
      </w:rPr>
    </w:lvl>
    <w:lvl w:ilvl="8">
      <w:start w:val="1"/>
      <w:numFmt w:val="lowerRoman"/>
      <w:lvlText w:val="%9."/>
      <w:lvlJc w:val="left"/>
      <w:pPr>
        <w:tabs>
          <w:tab w:val="num" w:pos="3720"/>
        </w:tabs>
        <w:ind w:left="3720" w:hanging="360"/>
      </w:pPr>
      <w:rPr>
        <w:rFonts w:cs="Times New Roman" w:hint="default"/>
      </w:rPr>
    </w:lvl>
  </w:abstractNum>
  <w:abstractNum w:abstractNumId="5" w15:restartNumberingAfterBreak="0">
    <w:nsid w:val="23104662"/>
    <w:multiLevelType w:val="hybridMultilevel"/>
    <w:tmpl w:val="EB62A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E90C13"/>
    <w:multiLevelType w:val="hybridMultilevel"/>
    <w:tmpl w:val="D788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43EA1C5C"/>
    <w:multiLevelType w:val="hybridMultilevel"/>
    <w:tmpl w:val="5CA235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B3446CC"/>
    <w:multiLevelType w:val="hybridMultilevel"/>
    <w:tmpl w:val="7232532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B75F6B"/>
    <w:multiLevelType w:val="hybridMultilevel"/>
    <w:tmpl w:val="A5E0FA46"/>
    <w:lvl w:ilvl="0" w:tplc="E09C8144">
      <w:numFmt w:val="bullet"/>
      <w:lvlText w:val=""/>
      <w:lvlJc w:val="left"/>
      <w:pPr>
        <w:ind w:left="928"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D7059C"/>
    <w:multiLevelType w:val="hybridMultilevel"/>
    <w:tmpl w:val="AAEC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0249E3"/>
    <w:multiLevelType w:val="hybridMultilevel"/>
    <w:tmpl w:val="352AFE4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3"/>
  </w:num>
  <w:num w:numId="5">
    <w:abstractNumId w:val="5"/>
  </w:num>
  <w:num w:numId="6">
    <w:abstractNumId w:val="1"/>
  </w:num>
  <w:num w:numId="7">
    <w:abstractNumId w:val="13"/>
  </w:num>
  <w:num w:numId="8">
    <w:abstractNumId w:val="10"/>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num>
  <w:num w:numId="13">
    <w:abstractNumId w:val="4"/>
  </w:num>
  <w:num w:numId="14">
    <w:abstractNumId w:val="4"/>
  </w:num>
  <w:num w:numId="15">
    <w:abstractNumId w:val="4"/>
  </w:num>
  <w:num w:numId="16">
    <w:abstractNumId w:val="6"/>
  </w:num>
  <w:num w:numId="17">
    <w:abstractNumId w:val="6"/>
  </w:num>
  <w:num w:numId="18">
    <w:abstractNumId w:val="6"/>
  </w:num>
  <w:num w:numId="19">
    <w:abstractNumId w:val="12"/>
  </w:num>
  <w:num w:numId="20">
    <w:abstractNumId w:val="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11"/>
  </w:num>
  <w:num w:numId="35">
    <w:abstractNumId w:val="4"/>
  </w:num>
  <w:num w:numId="36">
    <w:abstractNumId w:val="7"/>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hyphenationZone w:val="425"/>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5D2E5816-DA69-463D-8647-1FEC6A482C4A"/>
    <w:docVar w:name="LW_COVERPAGE_TYPE" w:val="1"/>
    <w:docVar w:name="LW_CROSSREFERENCE" w:val="{SWD(2023) 287 final}"/>
    <w:docVar w:name="LW_DocType" w:val="NORMAL"/>
    <w:docVar w:name="LW_EMISSION" w:val="6.9.2023"/>
    <w:docVar w:name="LW_EMISSION_ISODATE" w:val="2023-09-06"/>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3) 50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lt;FMT:Bold&gt;Al 41-lea raport al Comisiei către Parlamentul European și Consiliu privind activitățile antidumping, antisubvenție și de salvgardare ale UE și utilizarea de către țările terțe a instrumentelor de apărare comercială care vizează UE în 2022&lt;/FMT&gt;_x000d__x000d__x000d__x000d__x000d__x000d__x000d__x000b_"/>
    <w:docVar w:name="LW_TYPE.DOC.CP" w:val="RAPORT AL COMISIEI CĂTRE PARLAMENTUL EUROPEAN ȘI CONSILIU"/>
    <w:docVar w:name="LwApiVersions" w:val="LW4CoDe 1.23.2.0; LW 8.0, Build 20211117"/>
  </w:docVars>
  <w:rsids>
    <w:rsidRoot w:val="002F11E5"/>
    <w:rsid w:val="000045C0"/>
    <w:rsid w:val="000076DA"/>
    <w:rsid w:val="00010150"/>
    <w:rsid w:val="00015161"/>
    <w:rsid w:val="000159C0"/>
    <w:rsid w:val="000169F9"/>
    <w:rsid w:val="0002351E"/>
    <w:rsid w:val="0002528C"/>
    <w:rsid w:val="00025C85"/>
    <w:rsid w:val="000341CD"/>
    <w:rsid w:val="00036D5C"/>
    <w:rsid w:val="0004022A"/>
    <w:rsid w:val="000403EE"/>
    <w:rsid w:val="000443CC"/>
    <w:rsid w:val="00046A8F"/>
    <w:rsid w:val="00051DC1"/>
    <w:rsid w:val="00053256"/>
    <w:rsid w:val="00056896"/>
    <w:rsid w:val="00064971"/>
    <w:rsid w:val="00065884"/>
    <w:rsid w:val="000723DB"/>
    <w:rsid w:val="00072636"/>
    <w:rsid w:val="00072FE3"/>
    <w:rsid w:val="00074E7F"/>
    <w:rsid w:val="00082E19"/>
    <w:rsid w:val="00083478"/>
    <w:rsid w:val="0008689C"/>
    <w:rsid w:val="000877BA"/>
    <w:rsid w:val="00090285"/>
    <w:rsid w:val="00093104"/>
    <w:rsid w:val="00095ADB"/>
    <w:rsid w:val="000A05D2"/>
    <w:rsid w:val="000A0BD2"/>
    <w:rsid w:val="000A0BE4"/>
    <w:rsid w:val="000B2366"/>
    <w:rsid w:val="000B2CD4"/>
    <w:rsid w:val="000B35B3"/>
    <w:rsid w:val="000B4DE5"/>
    <w:rsid w:val="000B6A95"/>
    <w:rsid w:val="000C0F23"/>
    <w:rsid w:val="000C5381"/>
    <w:rsid w:val="000C6CD3"/>
    <w:rsid w:val="000C7B62"/>
    <w:rsid w:val="000D6984"/>
    <w:rsid w:val="000D7824"/>
    <w:rsid w:val="000E5D5F"/>
    <w:rsid w:val="0010172B"/>
    <w:rsid w:val="00101AD0"/>
    <w:rsid w:val="001039C5"/>
    <w:rsid w:val="00103FC3"/>
    <w:rsid w:val="00106E8A"/>
    <w:rsid w:val="001076C4"/>
    <w:rsid w:val="00107EAF"/>
    <w:rsid w:val="00110146"/>
    <w:rsid w:val="001101DA"/>
    <w:rsid w:val="00112278"/>
    <w:rsid w:val="00112B6A"/>
    <w:rsid w:val="0011335C"/>
    <w:rsid w:val="0011447C"/>
    <w:rsid w:val="00114BCE"/>
    <w:rsid w:val="00114C22"/>
    <w:rsid w:val="00117291"/>
    <w:rsid w:val="00121EC6"/>
    <w:rsid w:val="00126C28"/>
    <w:rsid w:val="00127711"/>
    <w:rsid w:val="001305CF"/>
    <w:rsid w:val="001313EB"/>
    <w:rsid w:val="001340A0"/>
    <w:rsid w:val="00136D39"/>
    <w:rsid w:val="00140F10"/>
    <w:rsid w:val="00141AFB"/>
    <w:rsid w:val="0014612A"/>
    <w:rsid w:val="00147081"/>
    <w:rsid w:val="0015232D"/>
    <w:rsid w:val="001557BA"/>
    <w:rsid w:val="00166148"/>
    <w:rsid w:val="001664FF"/>
    <w:rsid w:val="001728DE"/>
    <w:rsid w:val="00173CFE"/>
    <w:rsid w:val="00174EDC"/>
    <w:rsid w:val="00177136"/>
    <w:rsid w:val="0018114B"/>
    <w:rsid w:val="00181D84"/>
    <w:rsid w:val="00182B0B"/>
    <w:rsid w:val="00191730"/>
    <w:rsid w:val="00194961"/>
    <w:rsid w:val="0019504C"/>
    <w:rsid w:val="0019647B"/>
    <w:rsid w:val="0019772D"/>
    <w:rsid w:val="001979CA"/>
    <w:rsid w:val="001A36A8"/>
    <w:rsid w:val="001A6DA1"/>
    <w:rsid w:val="001A745C"/>
    <w:rsid w:val="001A799E"/>
    <w:rsid w:val="001B4AF0"/>
    <w:rsid w:val="001B5CD6"/>
    <w:rsid w:val="001B706B"/>
    <w:rsid w:val="001C02EA"/>
    <w:rsid w:val="001C2802"/>
    <w:rsid w:val="001C4925"/>
    <w:rsid w:val="001C60C7"/>
    <w:rsid w:val="001C60D5"/>
    <w:rsid w:val="001C7849"/>
    <w:rsid w:val="001D042B"/>
    <w:rsid w:val="001D738F"/>
    <w:rsid w:val="001E555F"/>
    <w:rsid w:val="001E6AC7"/>
    <w:rsid w:val="001F24BC"/>
    <w:rsid w:val="001F46D6"/>
    <w:rsid w:val="00201FE2"/>
    <w:rsid w:val="002043AF"/>
    <w:rsid w:val="00204FB6"/>
    <w:rsid w:val="002064CB"/>
    <w:rsid w:val="0021096B"/>
    <w:rsid w:val="00211516"/>
    <w:rsid w:val="00212CBE"/>
    <w:rsid w:val="00217183"/>
    <w:rsid w:val="002210C4"/>
    <w:rsid w:val="00221FA9"/>
    <w:rsid w:val="00223647"/>
    <w:rsid w:val="00223F97"/>
    <w:rsid w:val="0022403D"/>
    <w:rsid w:val="00224841"/>
    <w:rsid w:val="00230D1C"/>
    <w:rsid w:val="0023124A"/>
    <w:rsid w:val="00233FBD"/>
    <w:rsid w:val="00240127"/>
    <w:rsid w:val="00240CFD"/>
    <w:rsid w:val="00244544"/>
    <w:rsid w:val="0024725A"/>
    <w:rsid w:val="00247635"/>
    <w:rsid w:val="0024778A"/>
    <w:rsid w:val="0025024B"/>
    <w:rsid w:val="00250EDB"/>
    <w:rsid w:val="002511D5"/>
    <w:rsid w:val="002532E5"/>
    <w:rsid w:val="002533CB"/>
    <w:rsid w:val="002644AB"/>
    <w:rsid w:val="00265D2F"/>
    <w:rsid w:val="002661D6"/>
    <w:rsid w:val="0026628B"/>
    <w:rsid w:val="00272723"/>
    <w:rsid w:val="00275D63"/>
    <w:rsid w:val="002767CD"/>
    <w:rsid w:val="0028176E"/>
    <w:rsid w:val="00281A39"/>
    <w:rsid w:val="00281C56"/>
    <w:rsid w:val="00283DE0"/>
    <w:rsid w:val="00290D83"/>
    <w:rsid w:val="002930D7"/>
    <w:rsid w:val="00295DC6"/>
    <w:rsid w:val="002A227C"/>
    <w:rsid w:val="002B16E5"/>
    <w:rsid w:val="002B5525"/>
    <w:rsid w:val="002B56CC"/>
    <w:rsid w:val="002C1647"/>
    <w:rsid w:val="002D3761"/>
    <w:rsid w:val="002D397E"/>
    <w:rsid w:val="002D641C"/>
    <w:rsid w:val="002D7719"/>
    <w:rsid w:val="002E133A"/>
    <w:rsid w:val="002E35F6"/>
    <w:rsid w:val="002E77C4"/>
    <w:rsid w:val="002F11E5"/>
    <w:rsid w:val="002F4C6D"/>
    <w:rsid w:val="003046C6"/>
    <w:rsid w:val="003128DB"/>
    <w:rsid w:val="0031649D"/>
    <w:rsid w:val="00321243"/>
    <w:rsid w:val="0032596F"/>
    <w:rsid w:val="003270E1"/>
    <w:rsid w:val="00332776"/>
    <w:rsid w:val="0033455D"/>
    <w:rsid w:val="00340024"/>
    <w:rsid w:val="00343CE0"/>
    <w:rsid w:val="00345DFC"/>
    <w:rsid w:val="0035760A"/>
    <w:rsid w:val="00361C43"/>
    <w:rsid w:val="003673D6"/>
    <w:rsid w:val="00367B50"/>
    <w:rsid w:val="00370C18"/>
    <w:rsid w:val="00370E24"/>
    <w:rsid w:val="00373C73"/>
    <w:rsid w:val="00380746"/>
    <w:rsid w:val="00380B32"/>
    <w:rsid w:val="0038488F"/>
    <w:rsid w:val="00386787"/>
    <w:rsid w:val="0038755D"/>
    <w:rsid w:val="00387599"/>
    <w:rsid w:val="00391B60"/>
    <w:rsid w:val="00391FFC"/>
    <w:rsid w:val="003933F1"/>
    <w:rsid w:val="00396E6D"/>
    <w:rsid w:val="003A1FA2"/>
    <w:rsid w:val="003A24D1"/>
    <w:rsid w:val="003A57B6"/>
    <w:rsid w:val="003A6E5E"/>
    <w:rsid w:val="003A771F"/>
    <w:rsid w:val="003B1579"/>
    <w:rsid w:val="003B1CCB"/>
    <w:rsid w:val="003B2127"/>
    <w:rsid w:val="003B23AA"/>
    <w:rsid w:val="003B35C7"/>
    <w:rsid w:val="003C133F"/>
    <w:rsid w:val="003C1DE7"/>
    <w:rsid w:val="003C3054"/>
    <w:rsid w:val="003C441D"/>
    <w:rsid w:val="003C69D3"/>
    <w:rsid w:val="003E08BC"/>
    <w:rsid w:val="003E2D8B"/>
    <w:rsid w:val="003F0135"/>
    <w:rsid w:val="003F2CAD"/>
    <w:rsid w:val="003F5821"/>
    <w:rsid w:val="003F6154"/>
    <w:rsid w:val="00401727"/>
    <w:rsid w:val="00405C5E"/>
    <w:rsid w:val="00406864"/>
    <w:rsid w:val="00407031"/>
    <w:rsid w:val="004100F1"/>
    <w:rsid w:val="00412929"/>
    <w:rsid w:val="00413BCD"/>
    <w:rsid w:val="004206FC"/>
    <w:rsid w:val="004301F9"/>
    <w:rsid w:val="00431372"/>
    <w:rsid w:val="00432172"/>
    <w:rsid w:val="004341BE"/>
    <w:rsid w:val="004377BF"/>
    <w:rsid w:val="00442A9D"/>
    <w:rsid w:val="0044460A"/>
    <w:rsid w:val="004459E0"/>
    <w:rsid w:val="004527B6"/>
    <w:rsid w:val="0045293E"/>
    <w:rsid w:val="00452CD0"/>
    <w:rsid w:val="00453D6B"/>
    <w:rsid w:val="00454E4E"/>
    <w:rsid w:val="00460D7D"/>
    <w:rsid w:val="00465B78"/>
    <w:rsid w:val="004778EE"/>
    <w:rsid w:val="004865A3"/>
    <w:rsid w:val="004969B1"/>
    <w:rsid w:val="00497A8F"/>
    <w:rsid w:val="004A0BC0"/>
    <w:rsid w:val="004A1E5C"/>
    <w:rsid w:val="004A462C"/>
    <w:rsid w:val="004B1447"/>
    <w:rsid w:val="004B2CA0"/>
    <w:rsid w:val="004B7357"/>
    <w:rsid w:val="004C0D09"/>
    <w:rsid w:val="004C5815"/>
    <w:rsid w:val="004C5919"/>
    <w:rsid w:val="004C5BD7"/>
    <w:rsid w:val="004E267D"/>
    <w:rsid w:val="004E4166"/>
    <w:rsid w:val="004E539A"/>
    <w:rsid w:val="004F2330"/>
    <w:rsid w:val="004F5910"/>
    <w:rsid w:val="00505C8B"/>
    <w:rsid w:val="005131C2"/>
    <w:rsid w:val="00517CF5"/>
    <w:rsid w:val="005207CA"/>
    <w:rsid w:val="0052505B"/>
    <w:rsid w:val="00525DC8"/>
    <w:rsid w:val="005331E1"/>
    <w:rsid w:val="00534CAA"/>
    <w:rsid w:val="0054019B"/>
    <w:rsid w:val="00545D30"/>
    <w:rsid w:val="005561E6"/>
    <w:rsid w:val="005604BA"/>
    <w:rsid w:val="00562402"/>
    <w:rsid w:val="00562C0B"/>
    <w:rsid w:val="00563C09"/>
    <w:rsid w:val="005666C3"/>
    <w:rsid w:val="00571258"/>
    <w:rsid w:val="005717C2"/>
    <w:rsid w:val="00571918"/>
    <w:rsid w:val="00572450"/>
    <w:rsid w:val="00572D1F"/>
    <w:rsid w:val="00574158"/>
    <w:rsid w:val="00575F3D"/>
    <w:rsid w:val="0058053E"/>
    <w:rsid w:val="0058236C"/>
    <w:rsid w:val="005829D7"/>
    <w:rsid w:val="00582B0C"/>
    <w:rsid w:val="00583653"/>
    <w:rsid w:val="00583D72"/>
    <w:rsid w:val="0058475D"/>
    <w:rsid w:val="00585DFB"/>
    <w:rsid w:val="005870C6"/>
    <w:rsid w:val="005877BD"/>
    <w:rsid w:val="00590F5C"/>
    <w:rsid w:val="00593B9C"/>
    <w:rsid w:val="005974EC"/>
    <w:rsid w:val="005A0280"/>
    <w:rsid w:val="005A0DAE"/>
    <w:rsid w:val="005A22BA"/>
    <w:rsid w:val="005A26B9"/>
    <w:rsid w:val="005A60BF"/>
    <w:rsid w:val="005A61EE"/>
    <w:rsid w:val="005A68CB"/>
    <w:rsid w:val="005B10A6"/>
    <w:rsid w:val="005B5735"/>
    <w:rsid w:val="005B7A8C"/>
    <w:rsid w:val="005C5C64"/>
    <w:rsid w:val="005D1A93"/>
    <w:rsid w:val="005D587C"/>
    <w:rsid w:val="005E0B8B"/>
    <w:rsid w:val="005E7C8C"/>
    <w:rsid w:val="005F0C20"/>
    <w:rsid w:val="00602BB6"/>
    <w:rsid w:val="00603A13"/>
    <w:rsid w:val="00603D20"/>
    <w:rsid w:val="00611E1B"/>
    <w:rsid w:val="006143F9"/>
    <w:rsid w:val="0061476A"/>
    <w:rsid w:val="006178DB"/>
    <w:rsid w:val="006203B4"/>
    <w:rsid w:val="00620691"/>
    <w:rsid w:val="006210B9"/>
    <w:rsid w:val="0062138E"/>
    <w:rsid w:val="0063344A"/>
    <w:rsid w:val="00636A34"/>
    <w:rsid w:val="00640ADE"/>
    <w:rsid w:val="006431AD"/>
    <w:rsid w:val="00643C4F"/>
    <w:rsid w:val="00643E85"/>
    <w:rsid w:val="006451E8"/>
    <w:rsid w:val="00646040"/>
    <w:rsid w:val="00654C8A"/>
    <w:rsid w:val="006553FD"/>
    <w:rsid w:val="00656D45"/>
    <w:rsid w:val="00656EA9"/>
    <w:rsid w:val="00657212"/>
    <w:rsid w:val="006574B9"/>
    <w:rsid w:val="00660F56"/>
    <w:rsid w:val="00663C36"/>
    <w:rsid w:val="006640CC"/>
    <w:rsid w:val="00672721"/>
    <w:rsid w:val="00675A81"/>
    <w:rsid w:val="00676060"/>
    <w:rsid w:val="00677303"/>
    <w:rsid w:val="006812E0"/>
    <w:rsid w:val="00682306"/>
    <w:rsid w:val="00683621"/>
    <w:rsid w:val="0068630B"/>
    <w:rsid w:val="00687B1D"/>
    <w:rsid w:val="00691D1A"/>
    <w:rsid w:val="00692369"/>
    <w:rsid w:val="00693E26"/>
    <w:rsid w:val="00694030"/>
    <w:rsid w:val="006A45C6"/>
    <w:rsid w:val="006A68C1"/>
    <w:rsid w:val="006A69D6"/>
    <w:rsid w:val="006B679A"/>
    <w:rsid w:val="006B79A8"/>
    <w:rsid w:val="006B7BBE"/>
    <w:rsid w:val="006B7BFB"/>
    <w:rsid w:val="006C148E"/>
    <w:rsid w:val="006C1AAA"/>
    <w:rsid w:val="006C36CF"/>
    <w:rsid w:val="006C3AD9"/>
    <w:rsid w:val="006C3D21"/>
    <w:rsid w:val="006C45EA"/>
    <w:rsid w:val="006C79BD"/>
    <w:rsid w:val="006D6F4C"/>
    <w:rsid w:val="006E3685"/>
    <w:rsid w:val="006E3F3C"/>
    <w:rsid w:val="006E43D3"/>
    <w:rsid w:val="006F0A47"/>
    <w:rsid w:val="006F0F05"/>
    <w:rsid w:val="006F1861"/>
    <w:rsid w:val="006F1ABA"/>
    <w:rsid w:val="006F1D76"/>
    <w:rsid w:val="006F413E"/>
    <w:rsid w:val="006F76E0"/>
    <w:rsid w:val="00700557"/>
    <w:rsid w:val="0072546D"/>
    <w:rsid w:val="00743137"/>
    <w:rsid w:val="00744BA6"/>
    <w:rsid w:val="00745227"/>
    <w:rsid w:val="00745492"/>
    <w:rsid w:val="00750A39"/>
    <w:rsid w:val="00754EE7"/>
    <w:rsid w:val="00755532"/>
    <w:rsid w:val="00755B71"/>
    <w:rsid w:val="00760D1A"/>
    <w:rsid w:val="00764516"/>
    <w:rsid w:val="00764EFD"/>
    <w:rsid w:val="00770C71"/>
    <w:rsid w:val="007747CF"/>
    <w:rsid w:val="00781E1E"/>
    <w:rsid w:val="00784F9B"/>
    <w:rsid w:val="007912F9"/>
    <w:rsid w:val="00794070"/>
    <w:rsid w:val="00797BB7"/>
    <w:rsid w:val="007A1D25"/>
    <w:rsid w:val="007A260C"/>
    <w:rsid w:val="007B3785"/>
    <w:rsid w:val="007B637D"/>
    <w:rsid w:val="007B66F3"/>
    <w:rsid w:val="007C1505"/>
    <w:rsid w:val="007C548C"/>
    <w:rsid w:val="007D0777"/>
    <w:rsid w:val="007D22EB"/>
    <w:rsid w:val="007D41C0"/>
    <w:rsid w:val="007D7ED2"/>
    <w:rsid w:val="007E16C2"/>
    <w:rsid w:val="007E2FD9"/>
    <w:rsid w:val="007E38B7"/>
    <w:rsid w:val="007F0245"/>
    <w:rsid w:val="00800CEE"/>
    <w:rsid w:val="00801803"/>
    <w:rsid w:val="00804F8F"/>
    <w:rsid w:val="00805410"/>
    <w:rsid w:val="008078FB"/>
    <w:rsid w:val="00811198"/>
    <w:rsid w:val="00811BD4"/>
    <w:rsid w:val="0081218B"/>
    <w:rsid w:val="008157A5"/>
    <w:rsid w:val="00816BED"/>
    <w:rsid w:val="008177DC"/>
    <w:rsid w:val="008209BA"/>
    <w:rsid w:val="00820B4F"/>
    <w:rsid w:val="008240AD"/>
    <w:rsid w:val="00826AFC"/>
    <w:rsid w:val="00831E54"/>
    <w:rsid w:val="00842EDE"/>
    <w:rsid w:val="008644D2"/>
    <w:rsid w:val="0086691D"/>
    <w:rsid w:val="0086724E"/>
    <w:rsid w:val="00870C5A"/>
    <w:rsid w:val="00875758"/>
    <w:rsid w:val="00875F2D"/>
    <w:rsid w:val="00877FFE"/>
    <w:rsid w:val="00882A57"/>
    <w:rsid w:val="008846AC"/>
    <w:rsid w:val="00884FAD"/>
    <w:rsid w:val="00886A40"/>
    <w:rsid w:val="00890352"/>
    <w:rsid w:val="00890666"/>
    <w:rsid w:val="008A36F8"/>
    <w:rsid w:val="008A4CC9"/>
    <w:rsid w:val="008A5EA2"/>
    <w:rsid w:val="008A6373"/>
    <w:rsid w:val="008A77AA"/>
    <w:rsid w:val="008B2261"/>
    <w:rsid w:val="008B6F09"/>
    <w:rsid w:val="008C6167"/>
    <w:rsid w:val="008C67E1"/>
    <w:rsid w:val="008D371B"/>
    <w:rsid w:val="008D4604"/>
    <w:rsid w:val="008D699B"/>
    <w:rsid w:val="008E0906"/>
    <w:rsid w:val="008E18CA"/>
    <w:rsid w:val="008E2132"/>
    <w:rsid w:val="008E27BD"/>
    <w:rsid w:val="008E5824"/>
    <w:rsid w:val="008E76BE"/>
    <w:rsid w:val="008F1599"/>
    <w:rsid w:val="008F2721"/>
    <w:rsid w:val="008F2E16"/>
    <w:rsid w:val="00902D88"/>
    <w:rsid w:val="00905120"/>
    <w:rsid w:val="00906D63"/>
    <w:rsid w:val="0090732A"/>
    <w:rsid w:val="0091090F"/>
    <w:rsid w:val="00910F7D"/>
    <w:rsid w:val="00911997"/>
    <w:rsid w:val="00911ABD"/>
    <w:rsid w:val="00913D55"/>
    <w:rsid w:val="00920C03"/>
    <w:rsid w:val="00922769"/>
    <w:rsid w:val="00925B60"/>
    <w:rsid w:val="00925CF7"/>
    <w:rsid w:val="00927024"/>
    <w:rsid w:val="0092796D"/>
    <w:rsid w:val="009329A6"/>
    <w:rsid w:val="00934215"/>
    <w:rsid w:val="00934216"/>
    <w:rsid w:val="00934C15"/>
    <w:rsid w:val="00943F06"/>
    <w:rsid w:val="0094709D"/>
    <w:rsid w:val="0095128E"/>
    <w:rsid w:val="00951761"/>
    <w:rsid w:val="0095260D"/>
    <w:rsid w:val="0096027D"/>
    <w:rsid w:val="009602BE"/>
    <w:rsid w:val="00966530"/>
    <w:rsid w:val="009709BB"/>
    <w:rsid w:val="009760DF"/>
    <w:rsid w:val="00976619"/>
    <w:rsid w:val="00976F04"/>
    <w:rsid w:val="009772D1"/>
    <w:rsid w:val="009857E8"/>
    <w:rsid w:val="00985989"/>
    <w:rsid w:val="00985DB3"/>
    <w:rsid w:val="0098684D"/>
    <w:rsid w:val="009912C0"/>
    <w:rsid w:val="00995502"/>
    <w:rsid w:val="009A0DA9"/>
    <w:rsid w:val="009A3A79"/>
    <w:rsid w:val="009A3A9A"/>
    <w:rsid w:val="009A53CB"/>
    <w:rsid w:val="009B2455"/>
    <w:rsid w:val="009B2594"/>
    <w:rsid w:val="009B4556"/>
    <w:rsid w:val="009C1CE5"/>
    <w:rsid w:val="009C7D2A"/>
    <w:rsid w:val="009C7F34"/>
    <w:rsid w:val="009D1726"/>
    <w:rsid w:val="009D754A"/>
    <w:rsid w:val="009D7EA8"/>
    <w:rsid w:val="009E08C9"/>
    <w:rsid w:val="009E1337"/>
    <w:rsid w:val="009E5B58"/>
    <w:rsid w:val="009E7F34"/>
    <w:rsid w:val="009F14D4"/>
    <w:rsid w:val="009F553F"/>
    <w:rsid w:val="009F5C56"/>
    <w:rsid w:val="009F7F89"/>
    <w:rsid w:val="00A03C2F"/>
    <w:rsid w:val="00A06BC9"/>
    <w:rsid w:val="00A078E1"/>
    <w:rsid w:val="00A1093B"/>
    <w:rsid w:val="00A10FC4"/>
    <w:rsid w:val="00A1303F"/>
    <w:rsid w:val="00A1352A"/>
    <w:rsid w:val="00A145FE"/>
    <w:rsid w:val="00A17287"/>
    <w:rsid w:val="00A17FDA"/>
    <w:rsid w:val="00A20559"/>
    <w:rsid w:val="00A245BF"/>
    <w:rsid w:val="00A347B6"/>
    <w:rsid w:val="00A36591"/>
    <w:rsid w:val="00A43FAE"/>
    <w:rsid w:val="00A45D68"/>
    <w:rsid w:val="00A51CD2"/>
    <w:rsid w:val="00A54DC2"/>
    <w:rsid w:val="00A55772"/>
    <w:rsid w:val="00A55B16"/>
    <w:rsid w:val="00A6528D"/>
    <w:rsid w:val="00A65C14"/>
    <w:rsid w:val="00A663F6"/>
    <w:rsid w:val="00A67D63"/>
    <w:rsid w:val="00A745C0"/>
    <w:rsid w:val="00A76401"/>
    <w:rsid w:val="00A8284D"/>
    <w:rsid w:val="00A83124"/>
    <w:rsid w:val="00A87B91"/>
    <w:rsid w:val="00A9000C"/>
    <w:rsid w:val="00A90667"/>
    <w:rsid w:val="00A910B6"/>
    <w:rsid w:val="00A91E4F"/>
    <w:rsid w:val="00A95B41"/>
    <w:rsid w:val="00AA44E0"/>
    <w:rsid w:val="00AA4D14"/>
    <w:rsid w:val="00AA5851"/>
    <w:rsid w:val="00AA6907"/>
    <w:rsid w:val="00AB0222"/>
    <w:rsid w:val="00AB030F"/>
    <w:rsid w:val="00AB1BC1"/>
    <w:rsid w:val="00AB2664"/>
    <w:rsid w:val="00AB6162"/>
    <w:rsid w:val="00AC1628"/>
    <w:rsid w:val="00AC5F8B"/>
    <w:rsid w:val="00AD01D8"/>
    <w:rsid w:val="00AD0AD4"/>
    <w:rsid w:val="00AD1729"/>
    <w:rsid w:val="00AD4813"/>
    <w:rsid w:val="00AD70BE"/>
    <w:rsid w:val="00AE14CC"/>
    <w:rsid w:val="00AE1A52"/>
    <w:rsid w:val="00AE2D4A"/>
    <w:rsid w:val="00AE3D54"/>
    <w:rsid w:val="00AF5985"/>
    <w:rsid w:val="00AF7EC4"/>
    <w:rsid w:val="00B0014E"/>
    <w:rsid w:val="00B01BA2"/>
    <w:rsid w:val="00B06928"/>
    <w:rsid w:val="00B10BF6"/>
    <w:rsid w:val="00B10D22"/>
    <w:rsid w:val="00B12E06"/>
    <w:rsid w:val="00B13346"/>
    <w:rsid w:val="00B14813"/>
    <w:rsid w:val="00B159CC"/>
    <w:rsid w:val="00B16E50"/>
    <w:rsid w:val="00B17FFA"/>
    <w:rsid w:val="00B2038B"/>
    <w:rsid w:val="00B211F8"/>
    <w:rsid w:val="00B214AF"/>
    <w:rsid w:val="00B2622C"/>
    <w:rsid w:val="00B27597"/>
    <w:rsid w:val="00B329A8"/>
    <w:rsid w:val="00B35E45"/>
    <w:rsid w:val="00B36CAB"/>
    <w:rsid w:val="00B37922"/>
    <w:rsid w:val="00B41024"/>
    <w:rsid w:val="00B41690"/>
    <w:rsid w:val="00B41695"/>
    <w:rsid w:val="00B42551"/>
    <w:rsid w:val="00B477E3"/>
    <w:rsid w:val="00B47B82"/>
    <w:rsid w:val="00B51684"/>
    <w:rsid w:val="00B522E6"/>
    <w:rsid w:val="00B535CF"/>
    <w:rsid w:val="00B538CC"/>
    <w:rsid w:val="00B556CA"/>
    <w:rsid w:val="00B564CC"/>
    <w:rsid w:val="00B628C7"/>
    <w:rsid w:val="00B63B33"/>
    <w:rsid w:val="00B6503B"/>
    <w:rsid w:val="00B746BE"/>
    <w:rsid w:val="00B76970"/>
    <w:rsid w:val="00B77F43"/>
    <w:rsid w:val="00B80F66"/>
    <w:rsid w:val="00B9306A"/>
    <w:rsid w:val="00B93E2F"/>
    <w:rsid w:val="00B95BE2"/>
    <w:rsid w:val="00B96336"/>
    <w:rsid w:val="00B968B0"/>
    <w:rsid w:val="00BA366A"/>
    <w:rsid w:val="00BA4247"/>
    <w:rsid w:val="00BA4D56"/>
    <w:rsid w:val="00BA73E4"/>
    <w:rsid w:val="00BA7552"/>
    <w:rsid w:val="00BB0245"/>
    <w:rsid w:val="00BB3120"/>
    <w:rsid w:val="00BB4E2C"/>
    <w:rsid w:val="00BB52B1"/>
    <w:rsid w:val="00BC1C71"/>
    <w:rsid w:val="00BC6D67"/>
    <w:rsid w:val="00BD0DF4"/>
    <w:rsid w:val="00BD2A51"/>
    <w:rsid w:val="00BD336F"/>
    <w:rsid w:val="00BD3D26"/>
    <w:rsid w:val="00BD59FC"/>
    <w:rsid w:val="00BD5E33"/>
    <w:rsid w:val="00BE4EF3"/>
    <w:rsid w:val="00BF142A"/>
    <w:rsid w:val="00BF1523"/>
    <w:rsid w:val="00BF1964"/>
    <w:rsid w:val="00BF4FEC"/>
    <w:rsid w:val="00C012AF"/>
    <w:rsid w:val="00C0384A"/>
    <w:rsid w:val="00C10189"/>
    <w:rsid w:val="00C12D70"/>
    <w:rsid w:val="00C136D5"/>
    <w:rsid w:val="00C13CC5"/>
    <w:rsid w:val="00C16820"/>
    <w:rsid w:val="00C22EB8"/>
    <w:rsid w:val="00C24297"/>
    <w:rsid w:val="00C24A57"/>
    <w:rsid w:val="00C31F6E"/>
    <w:rsid w:val="00C34038"/>
    <w:rsid w:val="00C36C76"/>
    <w:rsid w:val="00C37DC4"/>
    <w:rsid w:val="00C405C8"/>
    <w:rsid w:val="00C40A76"/>
    <w:rsid w:val="00C461FC"/>
    <w:rsid w:val="00C463C1"/>
    <w:rsid w:val="00C4644F"/>
    <w:rsid w:val="00C50411"/>
    <w:rsid w:val="00C534BD"/>
    <w:rsid w:val="00C54C99"/>
    <w:rsid w:val="00C60190"/>
    <w:rsid w:val="00C65922"/>
    <w:rsid w:val="00C66030"/>
    <w:rsid w:val="00C6709A"/>
    <w:rsid w:val="00C67680"/>
    <w:rsid w:val="00C67CDA"/>
    <w:rsid w:val="00C67E28"/>
    <w:rsid w:val="00C70F00"/>
    <w:rsid w:val="00C72482"/>
    <w:rsid w:val="00C74BC8"/>
    <w:rsid w:val="00C766B1"/>
    <w:rsid w:val="00C84DB6"/>
    <w:rsid w:val="00CA0F3E"/>
    <w:rsid w:val="00CB2A1A"/>
    <w:rsid w:val="00CB4011"/>
    <w:rsid w:val="00CC0BCE"/>
    <w:rsid w:val="00CC4F8A"/>
    <w:rsid w:val="00CD7576"/>
    <w:rsid w:val="00CE002B"/>
    <w:rsid w:val="00CE3369"/>
    <w:rsid w:val="00CE3C72"/>
    <w:rsid w:val="00CF147F"/>
    <w:rsid w:val="00CF178C"/>
    <w:rsid w:val="00D025F8"/>
    <w:rsid w:val="00D0645C"/>
    <w:rsid w:val="00D11445"/>
    <w:rsid w:val="00D1397C"/>
    <w:rsid w:val="00D14415"/>
    <w:rsid w:val="00D15E2B"/>
    <w:rsid w:val="00D20337"/>
    <w:rsid w:val="00D22007"/>
    <w:rsid w:val="00D24B0C"/>
    <w:rsid w:val="00D26377"/>
    <w:rsid w:val="00D32B9C"/>
    <w:rsid w:val="00D32DAD"/>
    <w:rsid w:val="00D34FC2"/>
    <w:rsid w:val="00D35675"/>
    <w:rsid w:val="00D37967"/>
    <w:rsid w:val="00D411ED"/>
    <w:rsid w:val="00D46A04"/>
    <w:rsid w:val="00D5017A"/>
    <w:rsid w:val="00D50A8B"/>
    <w:rsid w:val="00D51146"/>
    <w:rsid w:val="00D5261C"/>
    <w:rsid w:val="00D53004"/>
    <w:rsid w:val="00D53A6D"/>
    <w:rsid w:val="00D57821"/>
    <w:rsid w:val="00D607D5"/>
    <w:rsid w:val="00D62FB5"/>
    <w:rsid w:val="00D6464A"/>
    <w:rsid w:val="00D6675C"/>
    <w:rsid w:val="00D700AC"/>
    <w:rsid w:val="00D71BA5"/>
    <w:rsid w:val="00D80FC9"/>
    <w:rsid w:val="00D84281"/>
    <w:rsid w:val="00D87C73"/>
    <w:rsid w:val="00D91892"/>
    <w:rsid w:val="00D91FE7"/>
    <w:rsid w:val="00D94DAC"/>
    <w:rsid w:val="00D96D3B"/>
    <w:rsid w:val="00D9723F"/>
    <w:rsid w:val="00D97408"/>
    <w:rsid w:val="00DB0B0E"/>
    <w:rsid w:val="00DB27B3"/>
    <w:rsid w:val="00DB4105"/>
    <w:rsid w:val="00DB5184"/>
    <w:rsid w:val="00DB6B59"/>
    <w:rsid w:val="00DB7E10"/>
    <w:rsid w:val="00DC5149"/>
    <w:rsid w:val="00DC5240"/>
    <w:rsid w:val="00DD2FF2"/>
    <w:rsid w:val="00DE05BE"/>
    <w:rsid w:val="00DE0833"/>
    <w:rsid w:val="00DE3CD6"/>
    <w:rsid w:val="00DF1B6A"/>
    <w:rsid w:val="00DF35B2"/>
    <w:rsid w:val="00DF633E"/>
    <w:rsid w:val="00E0065D"/>
    <w:rsid w:val="00E025AB"/>
    <w:rsid w:val="00E059D0"/>
    <w:rsid w:val="00E05D5C"/>
    <w:rsid w:val="00E06E41"/>
    <w:rsid w:val="00E10E09"/>
    <w:rsid w:val="00E13F52"/>
    <w:rsid w:val="00E20437"/>
    <w:rsid w:val="00E2144F"/>
    <w:rsid w:val="00E24D3A"/>
    <w:rsid w:val="00E30324"/>
    <w:rsid w:val="00E37062"/>
    <w:rsid w:val="00E40528"/>
    <w:rsid w:val="00E41B00"/>
    <w:rsid w:val="00E44BB4"/>
    <w:rsid w:val="00E5238A"/>
    <w:rsid w:val="00E531E9"/>
    <w:rsid w:val="00E5775E"/>
    <w:rsid w:val="00E63B90"/>
    <w:rsid w:val="00E63CF9"/>
    <w:rsid w:val="00E735AC"/>
    <w:rsid w:val="00E7372F"/>
    <w:rsid w:val="00E758E2"/>
    <w:rsid w:val="00E814FA"/>
    <w:rsid w:val="00E82B03"/>
    <w:rsid w:val="00E8396A"/>
    <w:rsid w:val="00E85C62"/>
    <w:rsid w:val="00E93E03"/>
    <w:rsid w:val="00E970DE"/>
    <w:rsid w:val="00EA1C52"/>
    <w:rsid w:val="00EA2329"/>
    <w:rsid w:val="00EA405A"/>
    <w:rsid w:val="00EA52D8"/>
    <w:rsid w:val="00EA65BB"/>
    <w:rsid w:val="00EB2B32"/>
    <w:rsid w:val="00EB3F27"/>
    <w:rsid w:val="00EB43D4"/>
    <w:rsid w:val="00EB708D"/>
    <w:rsid w:val="00EB77C2"/>
    <w:rsid w:val="00EC1774"/>
    <w:rsid w:val="00EC7902"/>
    <w:rsid w:val="00ED2B81"/>
    <w:rsid w:val="00ED3CAF"/>
    <w:rsid w:val="00EE1260"/>
    <w:rsid w:val="00EF0BA5"/>
    <w:rsid w:val="00EF3325"/>
    <w:rsid w:val="00EF3F81"/>
    <w:rsid w:val="00EF7642"/>
    <w:rsid w:val="00F02792"/>
    <w:rsid w:val="00F060D4"/>
    <w:rsid w:val="00F06E2A"/>
    <w:rsid w:val="00F1030C"/>
    <w:rsid w:val="00F13CAA"/>
    <w:rsid w:val="00F14F0D"/>
    <w:rsid w:val="00F16D63"/>
    <w:rsid w:val="00F17643"/>
    <w:rsid w:val="00F257ED"/>
    <w:rsid w:val="00F26758"/>
    <w:rsid w:val="00F33AD9"/>
    <w:rsid w:val="00F34B27"/>
    <w:rsid w:val="00F36CFE"/>
    <w:rsid w:val="00F40BE6"/>
    <w:rsid w:val="00F42C04"/>
    <w:rsid w:val="00F461C9"/>
    <w:rsid w:val="00F501B6"/>
    <w:rsid w:val="00F5040A"/>
    <w:rsid w:val="00F520E1"/>
    <w:rsid w:val="00F53546"/>
    <w:rsid w:val="00F572D6"/>
    <w:rsid w:val="00F60AA6"/>
    <w:rsid w:val="00F632F5"/>
    <w:rsid w:val="00F6415D"/>
    <w:rsid w:val="00F6447F"/>
    <w:rsid w:val="00F64E7A"/>
    <w:rsid w:val="00F74BAC"/>
    <w:rsid w:val="00F81175"/>
    <w:rsid w:val="00F81D89"/>
    <w:rsid w:val="00F868AB"/>
    <w:rsid w:val="00F86B78"/>
    <w:rsid w:val="00F87AD9"/>
    <w:rsid w:val="00F929C2"/>
    <w:rsid w:val="00F930FB"/>
    <w:rsid w:val="00F93564"/>
    <w:rsid w:val="00F93BD8"/>
    <w:rsid w:val="00F9581E"/>
    <w:rsid w:val="00FA0842"/>
    <w:rsid w:val="00FA31CD"/>
    <w:rsid w:val="00FA3303"/>
    <w:rsid w:val="00FA5867"/>
    <w:rsid w:val="00FA6F6D"/>
    <w:rsid w:val="00FB6E76"/>
    <w:rsid w:val="00FB7A79"/>
    <w:rsid w:val="00FC029D"/>
    <w:rsid w:val="00FC0AB4"/>
    <w:rsid w:val="00FC18AB"/>
    <w:rsid w:val="00FC19D8"/>
    <w:rsid w:val="00FC23AC"/>
    <w:rsid w:val="00FC307C"/>
    <w:rsid w:val="00FC3296"/>
    <w:rsid w:val="00FC6082"/>
    <w:rsid w:val="00FC727F"/>
    <w:rsid w:val="00FC7B73"/>
    <w:rsid w:val="00FD1043"/>
    <w:rsid w:val="00FD2969"/>
    <w:rsid w:val="00FD3C6E"/>
    <w:rsid w:val="00FD4638"/>
    <w:rsid w:val="00FD471B"/>
    <w:rsid w:val="00FD60AA"/>
    <w:rsid w:val="00FE0B0E"/>
    <w:rsid w:val="00FE5630"/>
    <w:rsid w:val="00FE7E48"/>
    <w:rsid w:val="00FE7EEF"/>
    <w:rsid w:val="00FF4919"/>
    <w:rsid w:val="00FF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A63C5D6"/>
  <w14:defaultImageDpi w14:val="96"/>
  <w15:docId w15:val="{D1AE1AA4-32D6-46F9-B815-2E0FBE72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9"/>
    <w:qFormat/>
    <w:pPr>
      <w:keepNext/>
      <w:numPr>
        <w:numId w:val="1"/>
      </w:numPr>
      <w:spacing w:before="240" w:after="240"/>
      <w:jc w:val="both"/>
      <w:outlineLvl w:val="0"/>
    </w:pPr>
    <w:rPr>
      <w:b/>
      <w:smallCaps/>
    </w:rPr>
  </w:style>
  <w:style w:type="paragraph" w:styleId="Heading2">
    <w:name w:val="heading 2"/>
    <w:basedOn w:val="Normal"/>
    <w:next w:val="Normal"/>
    <w:link w:val="Heading2Char"/>
    <w:uiPriority w:val="9"/>
    <w:qFormat/>
    <w:pPr>
      <w:keepNext/>
      <w:numPr>
        <w:ilvl w:val="1"/>
        <w:numId w:val="1"/>
      </w:numPr>
      <w:spacing w:after="240"/>
      <w:jc w:val="both"/>
      <w:outlineLvl w:val="1"/>
    </w:pPr>
    <w:rPr>
      <w:b/>
    </w:rPr>
  </w:style>
  <w:style w:type="paragraph" w:styleId="Heading3">
    <w:name w:val="heading 3"/>
    <w:basedOn w:val="Normal"/>
    <w:next w:val="Normal"/>
    <w:link w:val="Heading3Char"/>
    <w:uiPriority w:val="9"/>
    <w:qFormat/>
    <w:pPr>
      <w:keepNext/>
      <w:numPr>
        <w:ilvl w:val="2"/>
        <w:numId w:val="1"/>
      </w:numPr>
      <w:spacing w:after="240"/>
      <w:jc w:val="both"/>
      <w:outlineLvl w:val="2"/>
    </w:pPr>
    <w:rPr>
      <w:i/>
    </w:rPr>
  </w:style>
  <w:style w:type="paragraph" w:styleId="Heading4">
    <w:name w:val="heading 4"/>
    <w:basedOn w:val="Normal"/>
    <w:next w:val="Normal"/>
    <w:link w:val="Heading4Char"/>
    <w:uiPriority w:val="9"/>
    <w:qFormat/>
    <w:pPr>
      <w:keepNext/>
      <w:numPr>
        <w:ilvl w:val="3"/>
        <w:numId w:val="1"/>
      </w:numPr>
      <w:tabs>
        <w:tab w:val="num" w:pos="2880"/>
      </w:tabs>
      <w:spacing w:after="240"/>
      <w:jc w:val="both"/>
      <w:outlineLvl w:val="3"/>
    </w:pPr>
  </w:style>
  <w:style w:type="paragraph" w:styleId="Heading5">
    <w:name w:val="heading 5"/>
    <w:basedOn w:val="Normal"/>
    <w:next w:val="Normal"/>
    <w:link w:val="Heading5Char"/>
    <w:uiPriority w:val="9"/>
    <w:semiHidden/>
    <w:unhideWhenUsed/>
    <w:qFormat/>
    <w:rsid w:val="009E5B58"/>
    <w:pPr>
      <w:keepNext/>
      <w:keepLines/>
      <w:spacing w:before="40" w:line="276" w:lineRule="auto"/>
      <w:ind w:left="1008" w:hanging="1008"/>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uiPriority w:val="9"/>
    <w:semiHidden/>
    <w:unhideWhenUsed/>
    <w:qFormat/>
    <w:rsid w:val="009E5B58"/>
    <w:pPr>
      <w:keepNext/>
      <w:keepLines/>
      <w:spacing w:before="40" w:line="276" w:lineRule="auto"/>
      <w:ind w:left="1152" w:hanging="1152"/>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
    <w:semiHidden/>
    <w:unhideWhenUsed/>
    <w:qFormat/>
    <w:rsid w:val="009E5B58"/>
    <w:pPr>
      <w:keepNext/>
      <w:keepLines/>
      <w:spacing w:before="40" w:line="276" w:lineRule="auto"/>
      <w:ind w:left="1296" w:hanging="1296"/>
      <w:outlineLvl w:val="6"/>
    </w:pPr>
    <w:rPr>
      <w:rFonts w:asciiTheme="majorHAnsi" w:eastAsiaTheme="majorEastAsia" w:hAnsiTheme="majorHAnsi" w:cstheme="majorBidi"/>
      <w:i/>
      <w:color w:val="243F60" w:themeColor="accent1" w:themeShade="7F"/>
      <w:sz w:val="22"/>
    </w:rPr>
  </w:style>
  <w:style w:type="paragraph" w:styleId="Heading8">
    <w:name w:val="heading 8"/>
    <w:basedOn w:val="Normal"/>
    <w:next w:val="Normal"/>
    <w:link w:val="Heading8Char"/>
    <w:uiPriority w:val="9"/>
    <w:semiHidden/>
    <w:unhideWhenUsed/>
    <w:qFormat/>
    <w:rsid w:val="009E5B58"/>
    <w:pPr>
      <w:keepNext/>
      <w:keepLines/>
      <w:spacing w:before="40" w:line="276" w:lineRule="auto"/>
      <w:ind w:left="1440" w:hanging="1440"/>
      <w:outlineLvl w:val="7"/>
    </w:pPr>
    <w:rPr>
      <w:rFonts w:asciiTheme="majorHAnsi" w:eastAsiaTheme="majorEastAsia" w:hAnsiTheme="majorHAnsi" w:cstheme="majorBidi"/>
      <w:color w:val="272727" w:themeColor="text1" w:themeTint="D8"/>
      <w:sz w:val="21"/>
    </w:rPr>
  </w:style>
  <w:style w:type="paragraph" w:styleId="Heading9">
    <w:name w:val="heading 9"/>
    <w:basedOn w:val="Normal"/>
    <w:next w:val="Normal"/>
    <w:link w:val="Heading9Char"/>
    <w:uiPriority w:val="9"/>
    <w:semiHidden/>
    <w:unhideWhenUsed/>
    <w:qFormat/>
    <w:rsid w:val="009E5B58"/>
    <w:pPr>
      <w:keepNext/>
      <w:keepLines/>
      <w:spacing w:before="40" w:line="276" w:lineRule="auto"/>
      <w:ind w:left="1584" w:hanging="1584"/>
      <w:outlineLvl w:val="8"/>
    </w:pPr>
    <w:rPr>
      <w:rFonts w:asciiTheme="majorHAnsi" w:eastAsiaTheme="majorEastAsia" w:hAnsiTheme="majorHAnsi" w:cstheme="majorBidi"/>
      <w:i/>
      <w:color w:val="272727" w:themeColor="text1" w:themeTint="D8"/>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b/>
      <w:smallCaps/>
      <w:sz w:val="24"/>
    </w:rPr>
  </w:style>
  <w:style w:type="character" w:customStyle="1" w:styleId="Heading2Char">
    <w:name w:val="Heading 2 Char"/>
    <w:basedOn w:val="DefaultParagraphFont"/>
    <w:link w:val="Heading2"/>
    <w:uiPriority w:val="9"/>
    <w:locked/>
    <w:rPr>
      <w:b/>
      <w:sz w:val="24"/>
    </w:rPr>
  </w:style>
  <w:style w:type="character" w:customStyle="1" w:styleId="Heading3Char">
    <w:name w:val="Heading 3 Char"/>
    <w:basedOn w:val="DefaultParagraphFont"/>
    <w:link w:val="Heading3"/>
    <w:uiPriority w:val="9"/>
    <w:locked/>
    <w:rPr>
      <w:i/>
      <w:sz w:val="24"/>
    </w:rPr>
  </w:style>
  <w:style w:type="character" w:customStyle="1" w:styleId="Heading4Char">
    <w:name w:val="Heading 4 Char"/>
    <w:basedOn w:val="DefaultParagraphFont"/>
    <w:link w:val="Heading4"/>
    <w:uiPriority w:val="9"/>
    <w:locked/>
    <w:rPr>
      <w:sz w:val="24"/>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jc w:val="both"/>
    </w:p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rPr>
  </w:style>
  <w:style w:type="character" w:customStyle="1" w:styleId="HeaderChar">
    <w:name w:val="Header Char"/>
    <w:basedOn w:val="DefaultParagraphFont"/>
    <w:link w:val="Header"/>
    <w:uiPriority w:val="99"/>
    <w:locked/>
    <w:rPr>
      <w:rFonts w:eastAsiaTheme="minorHAnsi"/>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rPr>
  </w:style>
  <w:style w:type="character" w:customStyle="1" w:styleId="FooterChar">
    <w:name w:val="Footer Char"/>
    <w:basedOn w:val="DefaultParagraphFont"/>
    <w:link w:val="Footer"/>
    <w:uiPriority w:val="99"/>
    <w:locked/>
    <w:rPr>
      <w:rFonts w:eastAsiaTheme="minorHAnsi"/>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link w:val="FooterCoverPage"/>
    <w:locked/>
    <w:rPr>
      <w:sz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link w:val="HeaderCoverPage"/>
    <w:locked/>
    <w:rPr>
      <w:sz w:val="24"/>
    </w:rPr>
  </w:style>
  <w:style w:type="paragraph" w:customStyle="1" w:styleId="Typedudocument">
    <w:name w:val="Type du document"/>
    <w:basedOn w:val="Normal"/>
    <w:next w:val="Normal"/>
    <w:pPr>
      <w:spacing w:before="360"/>
      <w:jc w:val="center"/>
    </w:pPr>
    <w:rPr>
      <w:b/>
    </w:rPr>
  </w:style>
  <w:style w:type="paragraph" w:customStyle="1" w:styleId="Titreobjet">
    <w:name w:val="Titre objet"/>
    <w:basedOn w:val="Normal"/>
    <w:next w:val="Normal"/>
    <w:pPr>
      <w:spacing w:before="360" w:after="360"/>
      <w:jc w:val="center"/>
    </w:pPr>
    <w:rPr>
      <w:b/>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locked/>
    <w:rPr>
      <w:sz w:val="24"/>
    </w:rPr>
  </w:style>
  <w:style w:type="paragraph" w:styleId="BodyTextFirstIndent">
    <w:name w:val="Body Text First Indent"/>
    <w:basedOn w:val="BodyText"/>
    <w:link w:val="BodyTextFirstIndentChar"/>
    <w:uiPriority w:val="99"/>
    <w:pPr>
      <w:ind w:firstLine="210"/>
      <w:jc w:val="both"/>
    </w:pPr>
  </w:style>
  <w:style w:type="character" w:customStyle="1" w:styleId="BodyTextFirstIndentChar">
    <w:name w:val="Body Text First Indent Char"/>
    <w:basedOn w:val="BodyTextChar"/>
    <w:link w:val="BodyTextFirstIndent"/>
    <w:uiPriority w:val="99"/>
    <w:locked/>
    <w:rPr>
      <w:sz w:val="24"/>
    </w:rPr>
  </w:style>
  <w:style w:type="character" w:customStyle="1" w:styleId="mediumtext1">
    <w:name w:val="medium_text1"/>
    <w:rPr>
      <w:sz w:val="24"/>
    </w:rPr>
  </w:style>
  <w:style w:type="paragraph" w:styleId="FootnoteText">
    <w:name w:val="footnote text"/>
    <w:basedOn w:val="Normal"/>
    <w:link w:val="FootnoteTextChar"/>
    <w:uiPriority w:val="99"/>
    <w:pPr>
      <w:ind w:left="720" w:hanging="720"/>
      <w:jc w:val="both"/>
    </w:pPr>
    <w:rPr>
      <w:sz w:val="20"/>
    </w:rPr>
  </w:style>
  <w:style w:type="character" w:customStyle="1" w:styleId="FootnoteTextChar">
    <w:name w:val="Footnote Text Char"/>
    <w:basedOn w:val="DefaultParagraphFont"/>
    <w:link w:val="FootnoteText"/>
    <w:uiPriority w:val="99"/>
    <w:locked/>
  </w:style>
  <w:style w:type="character" w:styleId="FootnoteReference">
    <w:name w:val="footnote reference"/>
    <w:basedOn w:val="DefaultParagraphFont"/>
    <w:uiPriority w:val="5"/>
    <w:rPr>
      <w:vertAlign w:val="superscript"/>
    </w:rPr>
  </w:style>
  <w:style w:type="paragraph" w:customStyle="1" w:styleId="Text1">
    <w:name w:val="Text 1"/>
    <w:basedOn w:val="Normal"/>
    <w:pPr>
      <w:spacing w:before="120" w:after="120"/>
      <w:ind w:left="850"/>
      <w:jc w:val="both"/>
    </w:pPr>
  </w:style>
  <w:style w:type="paragraph" w:customStyle="1" w:styleId="Text2">
    <w:name w:val="Text 2"/>
    <w:basedOn w:val="Normal"/>
    <w:pPr>
      <w:spacing w:before="120" w:after="120"/>
      <w:ind w:left="850"/>
      <w:jc w:val="both"/>
    </w:pPr>
  </w:style>
  <w:style w:type="paragraph" w:customStyle="1" w:styleId="Text3">
    <w:name w:val="Text 3"/>
    <w:basedOn w:val="Normal"/>
    <w:pPr>
      <w:spacing w:before="120" w:after="120"/>
      <w:ind w:left="850"/>
      <w:jc w:val="both"/>
    </w:pPr>
  </w:style>
  <w:style w:type="paragraph" w:customStyle="1" w:styleId="Text4">
    <w:name w:val="Text 4"/>
    <w:basedOn w:val="Normal"/>
    <w:pPr>
      <w:spacing w:before="120" w:after="120"/>
      <w:ind w:left="850"/>
      <w:jc w:val="both"/>
    </w:pPr>
  </w:style>
  <w:style w:type="paragraph" w:customStyle="1" w:styleId="ManualNumPar1">
    <w:name w:val="Manual NumPar 1"/>
    <w:basedOn w:val="Normal"/>
    <w:next w:val="Text1"/>
    <w:pPr>
      <w:spacing w:before="120" w:after="120"/>
      <w:ind w:left="850" w:hanging="850"/>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Text2"/>
    <w:pPr>
      <w:keepNext/>
      <w:tabs>
        <w:tab w:val="left" w:pos="850"/>
      </w:tabs>
      <w:spacing w:before="120" w:after="120"/>
      <w:ind w:left="850" w:hanging="850"/>
      <w:jc w:val="both"/>
      <w:outlineLvl w:val="1"/>
    </w:pPr>
    <w:rPr>
      <w:b/>
    </w:rPr>
  </w:style>
  <w:style w:type="paragraph" w:customStyle="1" w:styleId="ManualHeading3">
    <w:name w:val="Manual Heading 3"/>
    <w:basedOn w:val="Normal"/>
    <w:next w:val="Text3"/>
    <w:pPr>
      <w:keepNext/>
      <w:tabs>
        <w:tab w:val="left" w:pos="850"/>
      </w:tabs>
      <w:spacing w:before="120" w:after="120"/>
      <w:ind w:left="850" w:hanging="850"/>
      <w:jc w:val="both"/>
      <w:outlineLvl w:val="2"/>
    </w:pPr>
    <w:rPr>
      <w:i/>
    </w:rPr>
  </w:style>
  <w:style w:type="character" w:styleId="CommentReference">
    <w:name w:val="annotation reference"/>
    <w:basedOn w:val="DefaultParagraphFont"/>
    <w:uiPriority w:val="99"/>
    <w:rPr>
      <w:sz w:val="16"/>
    </w:rPr>
  </w:style>
  <w:style w:type="paragraph" w:customStyle="1" w:styleId="Default">
    <w:name w:val="Default"/>
    <w:pPr>
      <w:autoSpaceDE w:val="0"/>
      <w:autoSpaceDN w:val="0"/>
      <w:adjustRightInd w:val="0"/>
    </w:pPr>
    <w:rPr>
      <w:rFonts w:ascii="EUAlbertina" w:hAnsi="EUAlbertina" w:cs="EUAlbertina"/>
      <w:sz w:val="24"/>
    </w:rPr>
  </w:style>
  <w:style w:type="paragraph" w:styleId="BalloonText">
    <w:name w:val="Balloon Text"/>
    <w:basedOn w:val="Normal"/>
    <w:link w:val="BalloonTextChar"/>
    <w:uiPriority w:val="99"/>
    <w:rPr>
      <w:rFonts w:ascii="Tahoma" w:hAnsi="Tahoma" w:cs="Tahoma"/>
      <w:sz w:val="16"/>
    </w:rPr>
  </w:style>
  <w:style w:type="character" w:customStyle="1" w:styleId="BalloonTextChar">
    <w:name w:val="Balloon Text Char"/>
    <w:basedOn w:val="DefaultParagraphFont"/>
    <w:link w:val="BalloonText"/>
    <w:uiPriority w:val="99"/>
    <w:locked/>
    <w:rPr>
      <w:rFonts w:ascii="Tahoma" w:hAnsi="Tahoma"/>
      <w:sz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locked/>
    <w:rPr>
      <w:b/>
    </w:rPr>
  </w:style>
  <w:style w:type="paragraph" w:styleId="Revision">
    <w:name w:val="Revision"/>
    <w:hidden/>
    <w:uiPriority w:val="99"/>
    <w:semiHidden/>
    <w:rPr>
      <w:sz w:val="24"/>
    </w:rPr>
  </w:style>
  <w:style w:type="character" w:customStyle="1" w:styleId="paracolourtext">
    <w:name w:val="paracolourtext"/>
  </w:style>
  <w:style w:type="character" w:styleId="Hyperlink">
    <w:name w:val="Hyperlink"/>
    <w:basedOn w:val="DefaultParagraphFont"/>
    <w:uiPriority w:val="99"/>
    <w:unhideWhenUsed/>
    <w:rPr>
      <w:color w:val="0000FF"/>
      <w:u w:val="single"/>
    </w:rPr>
  </w:style>
  <w:style w:type="character" w:styleId="Strong">
    <w:name w:val="Strong"/>
    <w:basedOn w:val="DefaultParagraphFont"/>
    <w:uiPriority w:val="22"/>
    <w:qFormat/>
    <w:rPr>
      <w:b/>
    </w:rPr>
  </w:style>
  <w:style w:type="paragraph" w:styleId="ListParagraph">
    <w:name w:val="List Paragraph"/>
    <w:basedOn w:val="Normal"/>
    <w:link w:val="ListParagraphChar"/>
    <w:uiPriority w:val="34"/>
    <w:qFormat/>
    <w:pPr>
      <w:ind w:left="720"/>
    </w:pPr>
  </w:style>
  <w:style w:type="character" w:customStyle="1" w:styleId="ListParagraphChar">
    <w:name w:val="List Paragraph Char"/>
    <w:link w:val="ListParagraph"/>
    <w:uiPriority w:val="34"/>
    <w:qFormat/>
    <w:locked/>
    <w:rPr>
      <w:sz w:val="24"/>
    </w:rPr>
  </w:style>
  <w:style w:type="paragraph" w:customStyle="1" w:styleId="Declassification">
    <w:name w:val="Declassification"/>
    <w:basedOn w:val="Normal"/>
    <w:next w:val="Normal"/>
    <w:pPr>
      <w:jc w:val="both"/>
    </w:pPr>
    <w:rPr>
      <w:rFonts w:eastAsiaTheme="minorHAnsi"/>
    </w:rPr>
  </w:style>
  <w:style w:type="paragraph" w:customStyle="1" w:styleId="HeaderLandscape">
    <w:name w:val="HeaderLandscape"/>
    <w:basedOn w:val="Normal"/>
    <w:pPr>
      <w:tabs>
        <w:tab w:val="center" w:pos="7285"/>
        <w:tab w:val="right" w:pos="14003"/>
      </w:tabs>
      <w:spacing w:after="120"/>
      <w:jc w:val="both"/>
    </w:pPr>
    <w:rPr>
      <w:rFonts w:eastAsiaTheme="minorHAnsi"/>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styleId="PlainText">
    <w:name w:val="Plain Text"/>
    <w:basedOn w:val="Normal"/>
    <w:link w:val="PlainTextChar"/>
    <w:uiPriority w:val="99"/>
    <w:unhideWhenUsed/>
    <w:rPr>
      <w:rFonts w:ascii="Calibri" w:eastAsiaTheme="minorHAnsi" w:hAnsi="Calibri" w:cstheme="minorBidi"/>
      <w:sz w:val="22"/>
    </w:rPr>
  </w:style>
  <w:style w:type="character" w:customStyle="1" w:styleId="PlainTextChar">
    <w:name w:val="Plain Text Char"/>
    <w:basedOn w:val="DefaultParagraphFont"/>
    <w:link w:val="PlainText"/>
    <w:uiPriority w:val="99"/>
    <w:rPr>
      <w:rFonts w:ascii="Calibri" w:eastAsiaTheme="minorHAnsi" w:hAnsi="Calibri" w:cstheme="minorBidi"/>
      <w:sz w:val="22"/>
    </w:rPr>
  </w:style>
  <w:style w:type="paragraph" w:styleId="NoSpacing">
    <w:name w:val="No Spacing"/>
    <w:uiPriority w:val="1"/>
    <w:qFormat/>
    <w:rPr>
      <w:sz w:val="24"/>
    </w:rPr>
  </w:style>
  <w:style w:type="paragraph" w:customStyle="1" w:styleId="ListNumber1">
    <w:name w:val="List Number 1"/>
    <w:basedOn w:val="Text1"/>
    <w:pPr>
      <w:numPr>
        <w:numId w:val="2"/>
      </w:numPr>
    </w:pPr>
    <w:rPr>
      <w:rFonts w:eastAsiaTheme="minorHAnsi"/>
    </w:rPr>
  </w:style>
  <w:style w:type="paragraph" w:customStyle="1" w:styleId="ListNumber1Level2">
    <w:name w:val="List Number 1 (Level 2)"/>
    <w:basedOn w:val="Text1"/>
    <w:pPr>
      <w:numPr>
        <w:ilvl w:val="1"/>
        <w:numId w:val="2"/>
      </w:numPr>
    </w:pPr>
    <w:rPr>
      <w:rFonts w:eastAsiaTheme="minorHAnsi"/>
    </w:rPr>
  </w:style>
  <w:style w:type="paragraph" w:customStyle="1" w:styleId="ListNumber1Level3">
    <w:name w:val="List Number 1 (Level 3)"/>
    <w:basedOn w:val="Text1"/>
    <w:pPr>
      <w:numPr>
        <w:ilvl w:val="2"/>
        <w:numId w:val="2"/>
      </w:numPr>
    </w:pPr>
    <w:rPr>
      <w:rFonts w:eastAsiaTheme="minorHAnsi"/>
    </w:rPr>
  </w:style>
  <w:style w:type="paragraph" w:customStyle="1" w:styleId="ListNumber1Level4">
    <w:name w:val="List Number 1 (Level 4)"/>
    <w:basedOn w:val="Text1"/>
    <w:pPr>
      <w:numPr>
        <w:ilvl w:val="3"/>
        <w:numId w:val="2"/>
      </w:numPr>
    </w:pPr>
    <w:rPr>
      <w:rFonts w:eastAsiaTheme="minorHAnsi"/>
    </w:rPr>
  </w:style>
  <w:style w:type="paragraph" w:customStyle="1" w:styleId="Typedudocumentprliminaire">
    <w:name w:val="Type du document (préliminaire)"/>
    <w:basedOn w:val="Normal"/>
    <w:next w:val="Normal"/>
    <w:pPr>
      <w:spacing w:before="360"/>
      <w:jc w:val="center"/>
    </w:pPr>
    <w:rPr>
      <w:rFonts w:eastAsiaTheme="minorHAnsi"/>
      <w: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
    <w:name w:val="hi"/>
    <w:basedOn w:val="DefaultParagraphFont"/>
  </w:style>
  <w:style w:type="paragraph" w:customStyle="1" w:styleId="SecurityMarking">
    <w:name w:val="SecurityMarking"/>
    <w:basedOn w:val="Normal"/>
    <w:pPr>
      <w:spacing w:line="276" w:lineRule="auto"/>
      <w:ind w:left="5103"/>
    </w:pPr>
    <w:rPr>
      <w:rFonts w:eastAsiaTheme="minorHAnsi"/>
      <w:sz w:val="28"/>
    </w:rPr>
  </w:style>
  <w:style w:type="paragraph" w:customStyle="1" w:styleId="DateMarking">
    <w:name w:val="DateMarking"/>
    <w:basedOn w:val="Normal"/>
    <w:pPr>
      <w:spacing w:line="276" w:lineRule="auto"/>
      <w:ind w:left="5103"/>
    </w:pPr>
    <w:rPr>
      <w:rFonts w:eastAsiaTheme="minorHAnsi"/>
      <w:i/>
      <w:sz w:val="28"/>
    </w:rPr>
  </w:style>
  <w:style w:type="paragraph" w:customStyle="1" w:styleId="ReleasableTo">
    <w:name w:val="ReleasableTo"/>
    <w:basedOn w:val="Normal"/>
    <w:pPr>
      <w:spacing w:line="276" w:lineRule="auto"/>
      <w:ind w:left="5103"/>
    </w:pPr>
    <w:rPr>
      <w:rFonts w:eastAsiaTheme="minorHAnsi"/>
      <w:i/>
      <w:sz w:val="28"/>
    </w:rPr>
  </w:style>
  <w:style w:type="paragraph" w:customStyle="1" w:styleId="HeaderSensitivityRight">
    <w:name w:val="Header Sensitivity Right"/>
    <w:basedOn w:val="Normal"/>
    <w:pPr>
      <w:spacing w:after="120"/>
      <w:jc w:val="right"/>
    </w:pPr>
    <w:rPr>
      <w:sz w:val="28"/>
    </w:rPr>
  </w:style>
  <w:style w:type="character" w:customStyle="1" w:styleId="Heading5Char">
    <w:name w:val="Heading 5 Char"/>
    <w:basedOn w:val="DefaultParagraphFont"/>
    <w:link w:val="Heading5"/>
    <w:uiPriority w:val="9"/>
    <w:semiHidden/>
    <w:rsid w:val="009E5B5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E5B5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E5B58"/>
    <w:rPr>
      <w:rFonts w:asciiTheme="majorHAnsi" w:eastAsiaTheme="majorEastAsia" w:hAnsiTheme="majorHAnsi" w:cstheme="majorBidi"/>
      <w:i/>
      <w:color w:val="243F60" w:themeColor="accent1" w:themeShade="7F"/>
      <w:sz w:val="22"/>
    </w:rPr>
  </w:style>
  <w:style w:type="character" w:customStyle="1" w:styleId="Heading8Char">
    <w:name w:val="Heading 8 Char"/>
    <w:basedOn w:val="DefaultParagraphFont"/>
    <w:link w:val="Heading8"/>
    <w:uiPriority w:val="9"/>
    <w:semiHidden/>
    <w:rsid w:val="009E5B58"/>
    <w:rPr>
      <w:rFonts w:asciiTheme="majorHAnsi" w:eastAsiaTheme="majorEastAsia" w:hAnsiTheme="majorHAnsi" w:cstheme="majorBidi"/>
      <w:color w:val="272727" w:themeColor="text1" w:themeTint="D8"/>
      <w:sz w:val="21"/>
    </w:rPr>
  </w:style>
  <w:style w:type="character" w:customStyle="1" w:styleId="Heading9Char">
    <w:name w:val="Heading 9 Char"/>
    <w:basedOn w:val="DefaultParagraphFont"/>
    <w:link w:val="Heading9"/>
    <w:uiPriority w:val="9"/>
    <w:semiHidden/>
    <w:rsid w:val="009E5B58"/>
    <w:rPr>
      <w:rFonts w:asciiTheme="majorHAnsi" w:eastAsiaTheme="majorEastAsia" w:hAnsiTheme="majorHAnsi" w:cstheme="majorBidi"/>
      <w:i/>
      <w:color w:val="272727" w:themeColor="text1" w:themeTint="D8"/>
      <w:sz w:val="21"/>
    </w:rPr>
  </w:style>
  <w:style w:type="paragraph" w:styleId="EndnoteText">
    <w:name w:val="endnote text"/>
    <w:basedOn w:val="Normal"/>
    <w:link w:val="EndnoteTextChar"/>
    <w:unhideWhenUsed/>
    <w:rsid w:val="009E5B58"/>
    <w:rPr>
      <w:rFonts w:asciiTheme="minorHAnsi" w:eastAsia="SimSun" w:hAnsiTheme="minorHAnsi" w:cstheme="minorBidi"/>
      <w:sz w:val="20"/>
    </w:rPr>
  </w:style>
  <w:style w:type="character" w:customStyle="1" w:styleId="EndnoteTextChar">
    <w:name w:val="Endnote Text Char"/>
    <w:basedOn w:val="DefaultParagraphFont"/>
    <w:link w:val="EndnoteText"/>
    <w:rsid w:val="009E5B58"/>
    <w:rPr>
      <w:rFonts w:asciiTheme="minorHAnsi" w:eastAsia="SimSun" w:hAnsiTheme="minorHAnsi" w:cstheme="minorBidi"/>
    </w:rPr>
  </w:style>
  <w:style w:type="character" w:styleId="EndnoteReference">
    <w:name w:val="endnote reference"/>
    <w:basedOn w:val="DefaultParagraphFont"/>
    <w:unhideWhenUsed/>
    <w:rsid w:val="009E5B58"/>
    <w:rPr>
      <w:vertAlign w:val="superscript"/>
    </w:rPr>
  </w:style>
  <w:style w:type="character" w:customStyle="1" w:styleId="Footnote1">
    <w:name w:val="Footnote|1_"/>
    <w:basedOn w:val="DefaultParagraphFont"/>
    <w:link w:val="Footnote10"/>
    <w:rsid w:val="008D371B"/>
  </w:style>
  <w:style w:type="character" w:customStyle="1" w:styleId="Bodytext1">
    <w:name w:val="Body text|1_"/>
    <w:basedOn w:val="DefaultParagraphFont"/>
    <w:link w:val="Bodytext10"/>
    <w:rsid w:val="008D371B"/>
  </w:style>
  <w:style w:type="paragraph" w:customStyle="1" w:styleId="Footnote10">
    <w:name w:val="Footnote|1"/>
    <w:basedOn w:val="Normal"/>
    <w:link w:val="Footnote1"/>
    <w:rsid w:val="008D371B"/>
    <w:pPr>
      <w:widowControl w:val="0"/>
      <w:ind w:firstLine="740"/>
    </w:pPr>
    <w:rPr>
      <w:sz w:val="20"/>
    </w:rPr>
  </w:style>
  <w:style w:type="paragraph" w:customStyle="1" w:styleId="Bodytext10">
    <w:name w:val="Body text|1"/>
    <w:basedOn w:val="Normal"/>
    <w:link w:val="Bodytext1"/>
    <w:rsid w:val="008D371B"/>
    <w:pPr>
      <w:widowControl w:val="0"/>
      <w:spacing w:after="120" w:line="276" w:lineRule="auto"/>
    </w:pPr>
    <w:rPr>
      <w:sz w:val="20"/>
    </w:rPr>
  </w:style>
  <w:style w:type="paragraph" w:customStyle="1" w:styleId="Body">
    <w:name w:val="Body"/>
    <w:rsid w:val="00C70F00"/>
    <w:pPr>
      <w:pBdr>
        <w:top w:val="nil"/>
        <w:left w:val="nil"/>
        <w:bottom w:val="nil"/>
        <w:right w:val="nil"/>
        <w:between w:val="nil"/>
        <w:bar w:val="nil"/>
      </w:pBdr>
      <w:spacing w:after="240"/>
      <w:jc w:val="both"/>
    </w:pPr>
    <w:rPr>
      <w:sz w:val="24"/>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107EAF"/>
    <w:pPr>
      <w:spacing w:before="100" w:beforeAutospacing="1" w:after="100" w:afterAutospacing="1"/>
    </w:pPr>
  </w:style>
  <w:style w:type="paragraph" w:customStyle="1" w:styleId="LegalNumPar">
    <w:name w:val="LegalNumPar"/>
    <w:basedOn w:val="Normal"/>
    <w:rsid w:val="005F0C20"/>
    <w:pPr>
      <w:numPr>
        <w:numId w:val="18"/>
      </w:numPr>
      <w:spacing w:line="360" w:lineRule="auto"/>
    </w:pPr>
  </w:style>
  <w:style w:type="paragraph" w:customStyle="1" w:styleId="LegalNumPar2">
    <w:name w:val="LegalNumPar2"/>
    <w:basedOn w:val="Normal"/>
    <w:rsid w:val="005F0C20"/>
    <w:pPr>
      <w:numPr>
        <w:ilvl w:val="1"/>
        <w:numId w:val="18"/>
      </w:numPr>
      <w:spacing w:line="360" w:lineRule="auto"/>
    </w:pPr>
  </w:style>
  <w:style w:type="paragraph" w:customStyle="1" w:styleId="LegalNumPar3">
    <w:name w:val="LegalNumPar3"/>
    <w:basedOn w:val="Normal"/>
    <w:rsid w:val="005F0C20"/>
    <w:pPr>
      <w:numPr>
        <w:ilvl w:val="2"/>
        <w:numId w:val="18"/>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8291">
      <w:bodyDiv w:val="1"/>
      <w:marLeft w:val="0"/>
      <w:marRight w:val="0"/>
      <w:marTop w:val="0"/>
      <w:marBottom w:val="0"/>
      <w:divBdr>
        <w:top w:val="none" w:sz="0" w:space="0" w:color="auto"/>
        <w:left w:val="none" w:sz="0" w:space="0" w:color="auto"/>
        <w:bottom w:val="none" w:sz="0" w:space="0" w:color="auto"/>
        <w:right w:val="none" w:sz="0" w:space="0" w:color="auto"/>
      </w:divBdr>
    </w:div>
    <w:div w:id="103237572">
      <w:marLeft w:val="0"/>
      <w:marRight w:val="0"/>
      <w:marTop w:val="0"/>
      <w:marBottom w:val="0"/>
      <w:divBdr>
        <w:top w:val="none" w:sz="0" w:space="0" w:color="auto"/>
        <w:left w:val="none" w:sz="0" w:space="0" w:color="auto"/>
        <w:bottom w:val="none" w:sz="0" w:space="0" w:color="auto"/>
        <w:right w:val="none" w:sz="0" w:space="0" w:color="auto"/>
      </w:divBdr>
    </w:div>
    <w:div w:id="103237573">
      <w:marLeft w:val="0"/>
      <w:marRight w:val="0"/>
      <w:marTop w:val="0"/>
      <w:marBottom w:val="0"/>
      <w:divBdr>
        <w:top w:val="none" w:sz="0" w:space="0" w:color="auto"/>
        <w:left w:val="none" w:sz="0" w:space="0" w:color="auto"/>
        <w:bottom w:val="none" w:sz="0" w:space="0" w:color="auto"/>
        <w:right w:val="none" w:sz="0" w:space="0" w:color="auto"/>
      </w:divBdr>
    </w:div>
    <w:div w:id="103237574">
      <w:marLeft w:val="0"/>
      <w:marRight w:val="0"/>
      <w:marTop w:val="0"/>
      <w:marBottom w:val="0"/>
      <w:divBdr>
        <w:top w:val="none" w:sz="0" w:space="0" w:color="auto"/>
        <w:left w:val="none" w:sz="0" w:space="0" w:color="auto"/>
        <w:bottom w:val="none" w:sz="0" w:space="0" w:color="auto"/>
        <w:right w:val="none" w:sz="0" w:space="0" w:color="auto"/>
      </w:divBdr>
    </w:div>
    <w:div w:id="147868142">
      <w:bodyDiv w:val="1"/>
      <w:marLeft w:val="0"/>
      <w:marRight w:val="0"/>
      <w:marTop w:val="0"/>
      <w:marBottom w:val="0"/>
      <w:divBdr>
        <w:top w:val="none" w:sz="0" w:space="0" w:color="auto"/>
        <w:left w:val="none" w:sz="0" w:space="0" w:color="auto"/>
        <w:bottom w:val="none" w:sz="0" w:space="0" w:color="auto"/>
        <w:right w:val="none" w:sz="0" w:space="0" w:color="auto"/>
      </w:divBdr>
    </w:div>
    <w:div w:id="155849680">
      <w:bodyDiv w:val="1"/>
      <w:marLeft w:val="0"/>
      <w:marRight w:val="0"/>
      <w:marTop w:val="0"/>
      <w:marBottom w:val="0"/>
      <w:divBdr>
        <w:top w:val="none" w:sz="0" w:space="0" w:color="auto"/>
        <w:left w:val="none" w:sz="0" w:space="0" w:color="auto"/>
        <w:bottom w:val="none" w:sz="0" w:space="0" w:color="auto"/>
        <w:right w:val="none" w:sz="0" w:space="0" w:color="auto"/>
      </w:divBdr>
      <w:divsChild>
        <w:div w:id="111748384">
          <w:marLeft w:val="547"/>
          <w:marRight w:val="0"/>
          <w:marTop w:val="0"/>
          <w:marBottom w:val="360"/>
          <w:divBdr>
            <w:top w:val="none" w:sz="0" w:space="0" w:color="auto"/>
            <w:left w:val="none" w:sz="0" w:space="0" w:color="auto"/>
            <w:bottom w:val="none" w:sz="0" w:space="0" w:color="auto"/>
            <w:right w:val="none" w:sz="0" w:space="0" w:color="auto"/>
          </w:divBdr>
        </w:div>
        <w:div w:id="665596992">
          <w:marLeft w:val="547"/>
          <w:marRight w:val="0"/>
          <w:marTop w:val="0"/>
          <w:marBottom w:val="360"/>
          <w:divBdr>
            <w:top w:val="none" w:sz="0" w:space="0" w:color="auto"/>
            <w:left w:val="none" w:sz="0" w:space="0" w:color="auto"/>
            <w:bottom w:val="none" w:sz="0" w:space="0" w:color="auto"/>
            <w:right w:val="none" w:sz="0" w:space="0" w:color="auto"/>
          </w:divBdr>
        </w:div>
        <w:div w:id="920527971">
          <w:marLeft w:val="547"/>
          <w:marRight w:val="0"/>
          <w:marTop w:val="0"/>
          <w:marBottom w:val="360"/>
          <w:divBdr>
            <w:top w:val="none" w:sz="0" w:space="0" w:color="auto"/>
            <w:left w:val="none" w:sz="0" w:space="0" w:color="auto"/>
            <w:bottom w:val="none" w:sz="0" w:space="0" w:color="auto"/>
            <w:right w:val="none" w:sz="0" w:space="0" w:color="auto"/>
          </w:divBdr>
        </w:div>
        <w:div w:id="1704750805">
          <w:marLeft w:val="547"/>
          <w:marRight w:val="0"/>
          <w:marTop w:val="0"/>
          <w:marBottom w:val="360"/>
          <w:divBdr>
            <w:top w:val="none" w:sz="0" w:space="0" w:color="auto"/>
            <w:left w:val="none" w:sz="0" w:space="0" w:color="auto"/>
            <w:bottom w:val="none" w:sz="0" w:space="0" w:color="auto"/>
            <w:right w:val="none" w:sz="0" w:space="0" w:color="auto"/>
          </w:divBdr>
        </w:div>
        <w:div w:id="1985427767">
          <w:marLeft w:val="547"/>
          <w:marRight w:val="0"/>
          <w:marTop w:val="0"/>
          <w:marBottom w:val="360"/>
          <w:divBdr>
            <w:top w:val="none" w:sz="0" w:space="0" w:color="auto"/>
            <w:left w:val="none" w:sz="0" w:space="0" w:color="auto"/>
            <w:bottom w:val="none" w:sz="0" w:space="0" w:color="auto"/>
            <w:right w:val="none" w:sz="0" w:space="0" w:color="auto"/>
          </w:divBdr>
        </w:div>
      </w:divsChild>
    </w:div>
    <w:div w:id="170688109">
      <w:bodyDiv w:val="1"/>
      <w:marLeft w:val="0"/>
      <w:marRight w:val="0"/>
      <w:marTop w:val="0"/>
      <w:marBottom w:val="0"/>
      <w:divBdr>
        <w:top w:val="none" w:sz="0" w:space="0" w:color="auto"/>
        <w:left w:val="none" w:sz="0" w:space="0" w:color="auto"/>
        <w:bottom w:val="none" w:sz="0" w:space="0" w:color="auto"/>
        <w:right w:val="none" w:sz="0" w:space="0" w:color="auto"/>
      </w:divBdr>
    </w:div>
    <w:div w:id="184709250">
      <w:bodyDiv w:val="1"/>
      <w:marLeft w:val="0"/>
      <w:marRight w:val="0"/>
      <w:marTop w:val="0"/>
      <w:marBottom w:val="0"/>
      <w:divBdr>
        <w:top w:val="none" w:sz="0" w:space="0" w:color="auto"/>
        <w:left w:val="none" w:sz="0" w:space="0" w:color="auto"/>
        <w:bottom w:val="none" w:sz="0" w:space="0" w:color="auto"/>
        <w:right w:val="none" w:sz="0" w:space="0" w:color="auto"/>
      </w:divBdr>
    </w:div>
    <w:div w:id="195775947">
      <w:bodyDiv w:val="1"/>
      <w:marLeft w:val="0"/>
      <w:marRight w:val="0"/>
      <w:marTop w:val="0"/>
      <w:marBottom w:val="0"/>
      <w:divBdr>
        <w:top w:val="none" w:sz="0" w:space="0" w:color="auto"/>
        <w:left w:val="none" w:sz="0" w:space="0" w:color="auto"/>
        <w:bottom w:val="none" w:sz="0" w:space="0" w:color="auto"/>
        <w:right w:val="none" w:sz="0" w:space="0" w:color="auto"/>
      </w:divBdr>
    </w:div>
    <w:div w:id="264963460">
      <w:bodyDiv w:val="1"/>
      <w:marLeft w:val="0"/>
      <w:marRight w:val="0"/>
      <w:marTop w:val="0"/>
      <w:marBottom w:val="0"/>
      <w:divBdr>
        <w:top w:val="none" w:sz="0" w:space="0" w:color="auto"/>
        <w:left w:val="none" w:sz="0" w:space="0" w:color="auto"/>
        <w:bottom w:val="none" w:sz="0" w:space="0" w:color="auto"/>
        <w:right w:val="none" w:sz="0" w:space="0" w:color="auto"/>
      </w:divBdr>
    </w:div>
    <w:div w:id="281546001">
      <w:bodyDiv w:val="1"/>
      <w:marLeft w:val="0"/>
      <w:marRight w:val="0"/>
      <w:marTop w:val="0"/>
      <w:marBottom w:val="0"/>
      <w:divBdr>
        <w:top w:val="none" w:sz="0" w:space="0" w:color="auto"/>
        <w:left w:val="none" w:sz="0" w:space="0" w:color="auto"/>
        <w:bottom w:val="none" w:sz="0" w:space="0" w:color="auto"/>
        <w:right w:val="none" w:sz="0" w:space="0" w:color="auto"/>
      </w:divBdr>
    </w:div>
    <w:div w:id="318120557">
      <w:bodyDiv w:val="1"/>
      <w:marLeft w:val="0"/>
      <w:marRight w:val="0"/>
      <w:marTop w:val="0"/>
      <w:marBottom w:val="0"/>
      <w:divBdr>
        <w:top w:val="none" w:sz="0" w:space="0" w:color="auto"/>
        <w:left w:val="none" w:sz="0" w:space="0" w:color="auto"/>
        <w:bottom w:val="none" w:sz="0" w:space="0" w:color="auto"/>
        <w:right w:val="none" w:sz="0" w:space="0" w:color="auto"/>
      </w:divBdr>
    </w:div>
    <w:div w:id="324481812">
      <w:bodyDiv w:val="1"/>
      <w:marLeft w:val="0"/>
      <w:marRight w:val="0"/>
      <w:marTop w:val="0"/>
      <w:marBottom w:val="0"/>
      <w:divBdr>
        <w:top w:val="none" w:sz="0" w:space="0" w:color="auto"/>
        <w:left w:val="none" w:sz="0" w:space="0" w:color="auto"/>
        <w:bottom w:val="none" w:sz="0" w:space="0" w:color="auto"/>
        <w:right w:val="none" w:sz="0" w:space="0" w:color="auto"/>
      </w:divBdr>
    </w:div>
    <w:div w:id="437216454">
      <w:bodyDiv w:val="1"/>
      <w:marLeft w:val="0"/>
      <w:marRight w:val="0"/>
      <w:marTop w:val="0"/>
      <w:marBottom w:val="0"/>
      <w:divBdr>
        <w:top w:val="none" w:sz="0" w:space="0" w:color="auto"/>
        <w:left w:val="none" w:sz="0" w:space="0" w:color="auto"/>
        <w:bottom w:val="none" w:sz="0" w:space="0" w:color="auto"/>
        <w:right w:val="none" w:sz="0" w:space="0" w:color="auto"/>
      </w:divBdr>
    </w:div>
    <w:div w:id="458256970">
      <w:bodyDiv w:val="1"/>
      <w:marLeft w:val="0"/>
      <w:marRight w:val="0"/>
      <w:marTop w:val="0"/>
      <w:marBottom w:val="0"/>
      <w:divBdr>
        <w:top w:val="none" w:sz="0" w:space="0" w:color="auto"/>
        <w:left w:val="none" w:sz="0" w:space="0" w:color="auto"/>
        <w:bottom w:val="none" w:sz="0" w:space="0" w:color="auto"/>
        <w:right w:val="none" w:sz="0" w:space="0" w:color="auto"/>
      </w:divBdr>
    </w:div>
    <w:div w:id="461850333">
      <w:bodyDiv w:val="1"/>
      <w:marLeft w:val="0"/>
      <w:marRight w:val="0"/>
      <w:marTop w:val="0"/>
      <w:marBottom w:val="0"/>
      <w:divBdr>
        <w:top w:val="none" w:sz="0" w:space="0" w:color="auto"/>
        <w:left w:val="none" w:sz="0" w:space="0" w:color="auto"/>
        <w:bottom w:val="none" w:sz="0" w:space="0" w:color="auto"/>
        <w:right w:val="none" w:sz="0" w:space="0" w:color="auto"/>
      </w:divBdr>
    </w:div>
    <w:div w:id="498010302">
      <w:bodyDiv w:val="1"/>
      <w:marLeft w:val="0"/>
      <w:marRight w:val="0"/>
      <w:marTop w:val="0"/>
      <w:marBottom w:val="0"/>
      <w:divBdr>
        <w:top w:val="none" w:sz="0" w:space="0" w:color="auto"/>
        <w:left w:val="none" w:sz="0" w:space="0" w:color="auto"/>
        <w:bottom w:val="none" w:sz="0" w:space="0" w:color="auto"/>
        <w:right w:val="none" w:sz="0" w:space="0" w:color="auto"/>
      </w:divBdr>
    </w:div>
    <w:div w:id="518159488">
      <w:bodyDiv w:val="1"/>
      <w:marLeft w:val="0"/>
      <w:marRight w:val="0"/>
      <w:marTop w:val="0"/>
      <w:marBottom w:val="0"/>
      <w:divBdr>
        <w:top w:val="none" w:sz="0" w:space="0" w:color="auto"/>
        <w:left w:val="none" w:sz="0" w:space="0" w:color="auto"/>
        <w:bottom w:val="none" w:sz="0" w:space="0" w:color="auto"/>
        <w:right w:val="none" w:sz="0" w:space="0" w:color="auto"/>
      </w:divBdr>
    </w:div>
    <w:div w:id="519973782">
      <w:bodyDiv w:val="1"/>
      <w:marLeft w:val="0"/>
      <w:marRight w:val="0"/>
      <w:marTop w:val="0"/>
      <w:marBottom w:val="0"/>
      <w:divBdr>
        <w:top w:val="none" w:sz="0" w:space="0" w:color="auto"/>
        <w:left w:val="none" w:sz="0" w:space="0" w:color="auto"/>
        <w:bottom w:val="none" w:sz="0" w:space="0" w:color="auto"/>
        <w:right w:val="none" w:sz="0" w:space="0" w:color="auto"/>
      </w:divBdr>
    </w:div>
    <w:div w:id="544216257">
      <w:bodyDiv w:val="1"/>
      <w:marLeft w:val="0"/>
      <w:marRight w:val="0"/>
      <w:marTop w:val="0"/>
      <w:marBottom w:val="0"/>
      <w:divBdr>
        <w:top w:val="none" w:sz="0" w:space="0" w:color="auto"/>
        <w:left w:val="none" w:sz="0" w:space="0" w:color="auto"/>
        <w:bottom w:val="none" w:sz="0" w:space="0" w:color="auto"/>
        <w:right w:val="none" w:sz="0" w:space="0" w:color="auto"/>
      </w:divBdr>
    </w:div>
    <w:div w:id="579221384">
      <w:bodyDiv w:val="1"/>
      <w:marLeft w:val="0"/>
      <w:marRight w:val="0"/>
      <w:marTop w:val="0"/>
      <w:marBottom w:val="0"/>
      <w:divBdr>
        <w:top w:val="none" w:sz="0" w:space="0" w:color="auto"/>
        <w:left w:val="none" w:sz="0" w:space="0" w:color="auto"/>
        <w:bottom w:val="none" w:sz="0" w:space="0" w:color="auto"/>
        <w:right w:val="none" w:sz="0" w:space="0" w:color="auto"/>
      </w:divBdr>
    </w:div>
    <w:div w:id="599870178">
      <w:bodyDiv w:val="1"/>
      <w:marLeft w:val="0"/>
      <w:marRight w:val="0"/>
      <w:marTop w:val="0"/>
      <w:marBottom w:val="0"/>
      <w:divBdr>
        <w:top w:val="none" w:sz="0" w:space="0" w:color="auto"/>
        <w:left w:val="none" w:sz="0" w:space="0" w:color="auto"/>
        <w:bottom w:val="none" w:sz="0" w:space="0" w:color="auto"/>
        <w:right w:val="none" w:sz="0" w:space="0" w:color="auto"/>
      </w:divBdr>
    </w:div>
    <w:div w:id="688876531">
      <w:bodyDiv w:val="1"/>
      <w:marLeft w:val="0"/>
      <w:marRight w:val="0"/>
      <w:marTop w:val="0"/>
      <w:marBottom w:val="0"/>
      <w:divBdr>
        <w:top w:val="none" w:sz="0" w:space="0" w:color="auto"/>
        <w:left w:val="none" w:sz="0" w:space="0" w:color="auto"/>
        <w:bottom w:val="none" w:sz="0" w:space="0" w:color="auto"/>
        <w:right w:val="none" w:sz="0" w:space="0" w:color="auto"/>
      </w:divBdr>
    </w:div>
    <w:div w:id="690029905">
      <w:bodyDiv w:val="1"/>
      <w:marLeft w:val="0"/>
      <w:marRight w:val="0"/>
      <w:marTop w:val="0"/>
      <w:marBottom w:val="0"/>
      <w:divBdr>
        <w:top w:val="none" w:sz="0" w:space="0" w:color="auto"/>
        <w:left w:val="none" w:sz="0" w:space="0" w:color="auto"/>
        <w:bottom w:val="none" w:sz="0" w:space="0" w:color="auto"/>
        <w:right w:val="none" w:sz="0" w:space="0" w:color="auto"/>
      </w:divBdr>
    </w:div>
    <w:div w:id="741492362">
      <w:bodyDiv w:val="1"/>
      <w:marLeft w:val="0"/>
      <w:marRight w:val="0"/>
      <w:marTop w:val="0"/>
      <w:marBottom w:val="0"/>
      <w:divBdr>
        <w:top w:val="none" w:sz="0" w:space="0" w:color="auto"/>
        <w:left w:val="none" w:sz="0" w:space="0" w:color="auto"/>
        <w:bottom w:val="none" w:sz="0" w:space="0" w:color="auto"/>
        <w:right w:val="none" w:sz="0" w:space="0" w:color="auto"/>
      </w:divBdr>
    </w:div>
    <w:div w:id="835725778">
      <w:bodyDiv w:val="1"/>
      <w:marLeft w:val="0"/>
      <w:marRight w:val="0"/>
      <w:marTop w:val="0"/>
      <w:marBottom w:val="0"/>
      <w:divBdr>
        <w:top w:val="none" w:sz="0" w:space="0" w:color="auto"/>
        <w:left w:val="none" w:sz="0" w:space="0" w:color="auto"/>
        <w:bottom w:val="none" w:sz="0" w:space="0" w:color="auto"/>
        <w:right w:val="none" w:sz="0" w:space="0" w:color="auto"/>
      </w:divBdr>
    </w:div>
    <w:div w:id="840463001">
      <w:bodyDiv w:val="1"/>
      <w:marLeft w:val="0"/>
      <w:marRight w:val="0"/>
      <w:marTop w:val="0"/>
      <w:marBottom w:val="0"/>
      <w:divBdr>
        <w:top w:val="none" w:sz="0" w:space="0" w:color="auto"/>
        <w:left w:val="none" w:sz="0" w:space="0" w:color="auto"/>
        <w:bottom w:val="none" w:sz="0" w:space="0" w:color="auto"/>
        <w:right w:val="none" w:sz="0" w:space="0" w:color="auto"/>
      </w:divBdr>
    </w:div>
    <w:div w:id="892158828">
      <w:bodyDiv w:val="1"/>
      <w:marLeft w:val="0"/>
      <w:marRight w:val="0"/>
      <w:marTop w:val="0"/>
      <w:marBottom w:val="0"/>
      <w:divBdr>
        <w:top w:val="none" w:sz="0" w:space="0" w:color="auto"/>
        <w:left w:val="none" w:sz="0" w:space="0" w:color="auto"/>
        <w:bottom w:val="none" w:sz="0" w:space="0" w:color="auto"/>
        <w:right w:val="none" w:sz="0" w:space="0" w:color="auto"/>
      </w:divBdr>
    </w:div>
    <w:div w:id="898396177">
      <w:bodyDiv w:val="1"/>
      <w:marLeft w:val="0"/>
      <w:marRight w:val="0"/>
      <w:marTop w:val="0"/>
      <w:marBottom w:val="0"/>
      <w:divBdr>
        <w:top w:val="none" w:sz="0" w:space="0" w:color="auto"/>
        <w:left w:val="none" w:sz="0" w:space="0" w:color="auto"/>
        <w:bottom w:val="none" w:sz="0" w:space="0" w:color="auto"/>
        <w:right w:val="none" w:sz="0" w:space="0" w:color="auto"/>
      </w:divBdr>
    </w:div>
    <w:div w:id="929897962">
      <w:bodyDiv w:val="1"/>
      <w:marLeft w:val="0"/>
      <w:marRight w:val="0"/>
      <w:marTop w:val="0"/>
      <w:marBottom w:val="0"/>
      <w:divBdr>
        <w:top w:val="none" w:sz="0" w:space="0" w:color="auto"/>
        <w:left w:val="none" w:sz="0" w:space="0" w:color="auto"/>
        <w:bottom w:val="none" w:sz="0" w:space="0" w:color="auto"/>
        <w:right w:val="none" w:sz="0" w:space="0" w:color="auto"/>
      </w:divBdr>
    </w:div>
    <w:div w:id="937718440">
      <w:bodyDiv w:val="1"/>
      <w:marLeft w:val="0"/>
      <w:marRight w:val="0"/>
      <w:marTop w:val="0"/>
      <w:marBottom w:val="0"/>
      <w:divBdr>
        <w:top w:val="none" w:sz="0" w:space="0" w:color="auto"/>
        <w:left w:val="none" w:sz="0" w:space="0" w:color="auto"/>
        <w:bottom w:val="none" w:sz="0" w:space="0" w:color="auto"/>
        <w:right w:val="none" w:sz="0" w:space="0" w:color="auto"/>
      </w:divBdr>
    </w:div>
    <w:div w:id="956255844">
      <w:bodyDiv w:val="1"/>
      <w:marLeft w:val="0"/>
      <w:marRight w:val="0"/>
      <w:marTop w:val="0"/>
      <w:marBottom w:val="0"/>
      <w:divBdr>
        <w:top w:val="none" w:sz="0" w:space="0" w:color="auto"/>
        <w:left w:val="none" w:sz="0" w:space="0" w:color="auto"/>
        <w:bottom w:val="none" w:sz="0" w:space="0" w:color="auto"/>
        <w:right w:val="none" w:sz="0" w:space="0" w:color="auto"/>
      </w:divBdr>
    </w:div>
    <w:div w:id="958410362">
      <w:bodyDiv w:val="1"/>
      <w:marLeft w:val="0"/>
      <w:marRight w:val="0"/>
      <w:marTop w:val="0"/>
      <w:marBottom w:val="0"/>
      <w:divBdr>
        <w:top w:val="none" w:sz="0" w:space="0" w:color="auto"/>
        <w:left w:val="none" w:sz="0" w:space="0" w:color="auto"/>
        <w:bottom w:val="none" w:sz="0" w:space="0" w:color="auto"/>
        <w:right w:val="none" w:sz="0" w:space="0" w:color="auto"/>
      </w:divBdr>
    </w:div>
    <w:div w:id="1043094742">
      <w:bodyDiv w:val="1"/>
      <w:marLeft w:val="0"/>
      <w:marRight w:val="0"/>
      <w:marTop w:val="0"/>
      <w:marBottom w:val="0"/>
      <w:divBdr>
        <w:top w:val="none" w:sz="0" w:space="0" w:color="auto"/>
        <w:left w:val="none" w:sz="0" w:space="0" w:color="auto"/>
        <w:bottom w:val="none" w:sz="0" w:space="0" w:color="auto"/>
        <w:right w:val="none" w:sz="0" w:space="0" w:color="auto"/>
      </w:divBdr>
    </w:div>
    <w:div w:id="1124930685">
      <w:bodyDiv w:val="1"/>
      <w:marLeft w:val="0"/>
      <w:marRight w:val="0"/>
      <w:marTop w:val="0"/>
      <w:marBottom w:val="0"/>
      <w:divBdr>
        <w:top w:val="none" w:sz="0" w:space="0" w:color="auto"/>
        <w:left w:val="none" w:sz="0" w:space="0" w:color="auto"/>
        <w:bottom w:val="none" w:sz="0" w:space="0" w:color="auto"/>
        <w:right w:val="none" w:sz="0" w:space="0" w:color="auto"/>
      </w:divBdr>
    </w:div>
    <w:div w:id="1441103537">
      <w:bodyDiv w:val="1"/>
      <w:marLeft w:val="0"/>
      <w:marRight w:val="0"/>
      <w:marTop w:val="0"/>
      <w:marBottom w:val="0"/>
      <w:divBdr>
        <w:top w:val="none" w:sz="0" w:space="0" w:color="auto"/>
        <w:left w:val="none" w:sz="0" w:space="0" w:color="auto"/>
        <w:bottom w:val="none" w:sz="0" w:space="0" w:color="auto"/>
        <w:right w:val="none" w:sz="0" w:space="0" w:color="auto"/>
      </w:divBdr>
    </w:div>
    <w:div w:id="1486823791">
      <w:bodyDiv w:val="1"/>
      <w:marLeft w:val="0"/>
      <w:marRight w:val="0"/>
      <w:marTop w:val="0"/>
      <w:marBottom w:val="0"/>
      <w:divBdr>
        <w:top w:val="none" w:sz="0" w:space="0" w:color="auto"/>
        <w:left w:val="none" w:sz="0" w:space="0" w:color="auto"/>
        <w:bottom w:val="none" w:sz="0" w:space="0" w:color="auto"/>
        <w:right w:val="none" w:sz="0" w:space="0" w:color="auto"/>
      </w:divBdr>
    </w:div>
    <w:div w:id="1491364630">
      <w:bodyDiv w:val="1"/>
      <w:marLeft w:val="0"/>
      <w:marRight w:val="0"/>
      <w:marTop w:val="0"/>
      <w:marBottom w:val="0"/>
      <w:divBdr>
        <w:top w:val="none" w:sz="0" w:space="0" w:color="auto"/>
        <w:left w:val="none" w:sz="0" w:space="0" w:color="auto"/>
        <w:bottom w:val="none" w:sz="0" w:space="0" w:color="auto"/>
        <w:right w:val="none" w:sz="0" w:space="0" w:color="auto"/>
      </w:divBdr>
    </w:div>
    <w:div w:id="1509978842">
      <w:bodyDiv w:val="1"/>
      <w:marLeft w:val="0"/>
      <w:marRight w:val="0"/>
      <w:marTop w:val="0"/>
      <w:marBottom w:val="0"/>
      <w:divBdr>
        <w:top w:val="none" w:sz="0" w:space="0" w:color="auto"/>
        <w:left w:val="none" w:sz="0" w:space="0" w:color="auto"/>
        <w:bottom w:val="none" w:sz="0" w:space="0" w:color="auto"/>
        <w:right w:val="none" w:sz="0" w:space="0" w:color="auto"/>
      </w:divBdr>
    </w:div>
    <w:div w:id="1896816838">
      <w:bodyDiv w:val="1"/>
      <w:marLeft w:val="0"/>
      <w:marRight w:val="0"/>
      <w:marTop w:val="0"/>
      <w:marBottom w:val="0"/>
      <w:divBdr>
        <w:top w:val="none" w:sz="0" w:space="0" w:color="auto"/>
        <w:left w:val="none" w:sz="0" w:space="0" w:color="auto"/>
        <w:bottom w:val="none" w:sz="0" w:space="0" w:color="auto"/>
        <w:right w:val="none" w:sz="0" w:space="0" w:color="auto"/>
      </w:divBdr>
    </w:div>
    <w:div w:id="1898392245">
      <w:marLeft w:val="0"/>
      <w:marRight w:val="0"/>
      <w:marTop w:val="0"/>
      <w:marBottom w:val="0"/>
      <w:divBdr>
        <w:top w:val="none" w:sz="0" w:space="0" w:color="auto"/>
        <w:left w:val="none" w:sz="0" w:space="0" w:color="auto"/>
        <w:bottom w:val="none" w:sz="0" w:space="0" w:color="auto"/>
        <w:right w:val="none" w:sz="0" w:space="0" w:color="auto"/>
      </w:divBdr>
    </w:div>
    <w:div w:id="1898392246">
      <w:marLeft w:val="0"/>
      <w:marRight w:val="0"/>
      <w:marTop w:val="0"/>
      <w:marBottom w:val="0"/>
      <w:divBdr>
        <w:top w:val="none" w:sz="0" w:space="0" w:color="auto"/>
        <w:left w:val="none" w:sz="0" w:space="0" w:color="auto"/>
        <w:bottom w:val="none" w:sz="0" w:space="0" w:color="auto"/>
        <w:right w:val="none" w:sz="0" w:space="0" w:color="auto"/>
      </w:divBdr>
    </w:div>
    <w:div w:id="1898392247">
      <w:marLeft w:val="0"/>
      <w:marRight w:val="0"/>
      <w:marTop w:val="0"/>
      <w:marBottom w:val="0"/>
      <w:divBdr>
        <w:top w:val="none" w:sz="0" w:space="0" w:color="auto"/>
        <w:left w:val="none" w:sz="0" w:space="0" w:color="auto"/>
        <w:bottom w:val="none" w:sz="0" w:space="0" w:color="auto"/>
        <w:right w:val="none" w:sz="0" w:space="0" w:color="auto"/>
      </w:divBdr>
    </w:div>
    <w:div w:id="1898392248">
      <w:marLeft w:val="0"/>
      <w:marRight w:val="0"/>
      <w:marTop w:val="0"/>
      <w:marBottom w:val="0"/>
      <w:divBdr>
        <w:top w:val="none" w:sz="0" w:space="0" w:color="auto"/>
        <w:left w:val="none" w:sz="0" w:space="0" w:color="auto"/>
        <w:bottom w:val="none" w:sz="0" w:space="0" w:color="auto"/>
        <w:right w:val="none" w:sz="0" w:space="0" w:color="auto"/>
      </w:divBdr>
    </w:div>
    <w:div w:id="1898392249">
      <w:marLeft w:val="0"/>
      <w:marRight w:val="0"/>
      <w:marTop w:val="0"/>
      <w:marBottom w:val="0"/>
      <w:divBdr>
        <w:top w:val="none" w:sz="0" w:space="0" w:color="auto"/>
        <w:left w:val="none" w:sz="0" w:space="0" w:color="auto"/>
        <w:bottom w:val="none" w:sz="0" w:space="0" w:color="auto"/>
        <w:right w:val="none" w:sz="0" w:space="0" w:color="auto"/>
      </w:divBdr>
    </w:div>
    <w:div w:id="1898392250">
      <w:marLeft w:val="0"/>
      <w:marRight w:val="0"/>
      <w:marTop w:val="0"/>
      <w:marBottom w:val="0"/>
      <w:divBdr>
        <w:top w:val="none" w:sz="0" w:space="0" w:color="auto"/>
        <w:left w:val="none" w:sz="0" w:space="0" w:color="auto"/>
        <w:bottom w:val="none" w:sz="0" w:space="0" w:color="auto"/>
        <w:right w:val="none" w:sz="0" w:space="0" w:color="auto"/>
      </w:divBdr>
    </w:div>
    <w:div w:id="1898392251">
      <w:marLeft w:val="0"/>
      <w:marRight w:val="0"/>
      <w:marTop w:val="0"/>
      <w:marBottom w:val="0"/>
      <w:divBdr>
        <w:top w:val="none" w:sz="0" w:space="0" w:color="auto"/>
        <w:left w:val="none" w:sz="0" w:space="0" w:color="auto"/>
        <w:bottom w:val="none" w:sz="0" w:space="0" w:color="auto"/>
        <w:right w:val="none" w:sz="0" w:space="0" w:color="auto"/>
      </w:divBdr>
    </w:div>
    <w:div w:id="1898392252">
      <w:marLeft w:val="0"/>
      <w:marRight w:val="0"/>
      <w:marTop w:val="0"/>
      <w:marBottom w:val="0"/>
      <w:divBdr>
        <w:top w:val="none" w:sz="0" w:space="0" w:color="auto"/>
        <w:left w:val="none" w:sz="0" w:space="0" w:color="auto"/>
        <w:bottom w:val="none" w:sz="0" w:space="0" w:color="auto"/>
        <w:right w:val="none" w:sz="0" w:space="0" w:color="auto"/>
      </w:divBdr>
    </w:div>
    <w:div w:id="2001153990">
      <w:bodyDiv w:val="1"/>
      <w:marLeft w:val="0"/>
      <w:marRight w:val="0"/>
      <w:marTop w:val="0"/>
      <w:marBottom w:val="0"/>
      <w:divBdr>
        <w:top w:val="none" w:sz="0" w:space="0" w:color="auto"/>
        <w:left w:val="none" w:sz="0" w:space="0" w:color="auto"/>
        <w:bottom w:val="none" w:sz="0" w:space="0" w:color="auto"/>
        <w:right w:val="none" w:sz="0" w:space="0" w:color="auto"/>
      </w:divBdr>
    </w:div>
    <w:div w:id="2002391486">
      <w:bodyDiv w:val="1"/>
      <w:marLeft w:val="0"/>
      <w:marRight w:val="0"/>
      <w:marTop w:val="0"/>
      <w:marBottom w:val="0"/>
      <w:divBdr>
        <w:top w:val="none" w:sz="0" w:space="0" w:color="auto"/>
        <w:left w:val="none" w:sz="0" w:space="0" w:color="auto"/>
        <w:bottom w:val="none" w:sz="0" w:space="0" w:color="auto"/>
        <w:right w:val="none" w:sz="0" w:space="0" w:color="auto"/>
      </w:divBdr>
    </w:div>
    <w:div w:id="2017533934">
      <w:bodyDiv w:val="1"/>
      <w:marLeft w:val="0"/>
      <w:marRight w:val="0"/>
      <w:marTop w:val="0"/>
      <w:marBottom w:val="0"/>
      <w:divBdr>
        <w:top w:val="none" w:sz="0" w:space="0" w:color="auto"/>
        <w:left w:val="none" w:sz="0" w:space="0" w:color="auto"/>
        <w:bottom w:val="none" w:sz="0" w:space="0" w:color="auto"/>
        <w:right w:val="none" w:sz="0" w:space="0" w:color="auto"/>
      </w:divBdr>
    </w:div>
    <w:div w:id="2056662064">
      <w:bodyDiv w:val="1"/>
      <w:marLeft w:val="0"/>
      <w:marRight w:val="0"/>
      <w:marTop w:val="0"/>
      <w:marBottom w:val="0"/>
      <w:divBdr>
        <w:top w:val="none" w:sz="0" w:space="0" w:color="auto"/>
        <w:left w:val="none" w:sz="0" w:space="0" w:color="auto"/>
        <w:bottom w:val="none" w:sz="0" w:space="0" w:color="auto"/>
        <w:right w:val="none" w:sz="0" w:space="0" w:color="auto"/>
      </w:divBdr>
    </w:div>
    <w:div w:id="208209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to.org/english/tratop_e/dispu_e/cases_e/ds577_e.ht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wto.org/english/tratop_e/rulesneg_e/fish_e/fish_e.htm" TargetMode="External"/><Relationship Id="rId2" Type="http://schemas.openxmlformats.org/officeDocument/2006/relationships/hyperlink" Target="https://thedocs.worldbank.org/en/doc/0534eca53121c137d3766a02320d0310-0430012022/original/Subsidies-Trade-and-International-Cooperation-April-19-ci.pdf" TargetMode="External"/><Relationship Id="rId1" Type="http://schemas.openxmlformats.org/officeDocument/2006/relationships/hyperlink" Target="https://webgate.ec.europa.eu/siglbo/post-surveillance" TargetMode="External"/><Relationship Id="rId5" Type="http://schemas.openxmlformats.org/officeDocument/2006/relationships/hyperlink" Target="https://www.wto.org/english/tratop_e/tessd_e/tessd_e.htm" TargetMode="External"/><Relationship Id="rId4" Type="http://schemas.openxmlformats.org/officeDocument/2006/relationships/hyperlink" Target="https://www.wto.org/english/tratop_e/envir_e/fossil_fuel_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16E9-63FC-4DD2-8743-DE3AC328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14</Pages>
  <Words>6538</Words>
  <Characters>37923</Characters>
  <Application>Microsoft Office Word</Application>
  <DocSecurity>0</DocSecurity>
  <Lines>574</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36</cp:revision>
  <cp:lastPrinted>2020-02-18T17:07:00Z</cp:lastPrinted>
  <dcterms:created xsi:type="dcterms:W3CDTF">2023-07-11T14:38:00Z</dcterms:created>
  <dcterms:modified xsi:type="dcterms:W3CDTF">2023-08-30T08:47:00Z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9.0, Build 20230317</vt:lpwstr>
  </property>
  <property fmtid="{D5CDD505-2E9C-101B-9397-08002B2CF9AE}" pid="7" name="Created using">
    <vt:lpwstr>LW 6.0.1, Build 20180503</vt:lpwstr>
  </property>
  <property fmtid="{D5CDD505-2E9C-101B-9397-08002B2CF9AE}" pid="8" name="CPTemplateID">
    <vt:lpwstr>CP-006</vt:lpwstr>
  </property>
  <property fmtid="{D5CDD505-2E9C-101B-9397-08002B2CF9AE}" pid="9" name="MSIP_Label_6bd9ddd1-4d20-43f6-abfa-fc3c07406f94_Enabled">
    <vt:lpwstr>true</vt:lpwstr>
  </property>
  <property fmtid="{D5CDD505-2E9C-101B-9397-08002B2CF9AE}" pid="10" name="MSIP_Label_6bd9ddd1-4d20-43f6-abfa-fc3c07406f94_SetDate">
    <vt:lpwstr>2022-04-27T12:25:01Z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05bd7d4d-21a6-4764-94f4-66e93ccbe602</vt:lpwstr>
  </property>
  <property fmtid="{D5CDD505-2E9C-101B-9397-08002B2CF9AE}" pid="15" name="MSIP_Label_6bd9ddd1-4d20-43f6-abfa-fc3c07406f94_ContentBits">
    <vt:lpwstr>0</vt:lpwstr>
  </property>
</Properties>
</file>