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1F5F0" w14:textId="0CBA8A45" w:rsidR="00C356F8" w:rsidRDefault="00BF06A6" w:rsidP="00BF06A6">
      <w:pPr>
        <w:pStyle w:val="Pagedecouverture"/>
        <w:rPr>
          <w:noProof/>
        </w:rPr>
      </w:pPr>
      <w:r>
        <w:rPr>
          <w:noProof/>
        </w:rPr>
        <w:pict w14:anchorId="1F07B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E760EFB-DC75-4E91-BF86-5533DE20B9C9" style="width:455.25pt;height:401.25pt">
            <v:imagedata r:id="rId8" o:title=""/>
          </v:shape>
        </w:pict>
      </w:r>
    </w:p>
    <w:p w14:paraId="69B4E894" w14:textId="77777777" w:rsidR="007354A1" w:rsidRDefault="007354A1" w:rsidP="00EC759E">
      <w:pPr>
        <w:rPr>
          <w:noProof/>
        </w:rPr>
        <w:sectPr w:rsidR="007354A1" w:rsidSect="00BF06A6">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5C4B6149" w14:textId="77777777" w:rsidR="006E4FAF" w:rsidRDefault="006E4FAF" w:rsidP="003C1200">
      <w:pPr>
        <w:pStyle w:val="Annexetitre"/>
        <w:rPr>
          <w:noProof/>
        </w:rPr>
      </w:pPr>
      <w:bookmarkStart w:id="0" w:name="_GoBack"/>
      <w:bookmarkEnd w:id="0"/>
      <w:r w:rsidRPr="006E4FAF">
        <w:rPr>
          <w:noProof/>
        </w:rPr>
        <w:lastRenderedPageBreak/>
        <w:t xml:space="preserve">ANNEX </w:t>
      </w:r>
    </w:p>
    <w:p w14:paraId="52E02075" w14:textId="77777777" w:rsidR="006E4FAF" w:rsidRDefault="006E4FAF" w:rsidP="00780BE5">
      <w:pPr>
        <w:rPr>
          <w:noProof/>
        </w:rPr>
      </w:pPr>
    </w:p>
    <w:p w14:paraId="7B4A1AC4" w14:textId="57076219" w:rsidR="006E4FAF" w:rsidRPr="00AA7219" w:rsidRDefault="00406A7B" w:rsidP="006E4FAF">
      <w:pPr>
        <w:rPr>
          <w:noProof/>
        </w:rPr>
      </w:pPr>
      <w:r>
        <w:rPr>
          <w:noProof/>
        </w:rPr>
        <w:t>T</w:t>
      </w:r>
      <w:r w:rsidR="006E4FAF" w:rsidRPr="00AA7219">
        <w:rPr>
          <w:noProof/>
        </w:rPr>
        <w:t>his Annex describes the principles, objectives, the main actors, the interplay with existing crisis response mechanisms</w:t>
      </w:r>
      <w:r w:rsidR="00DD185A">
        <w:rPr>
          <w:noProof/>
        </w:rPr>
        <w:t>,</w:t>
      </w:r>
      <w:r w:rsidR="006E4FAF" w:rsidRPr="00AA7219">
        <w:rPr>
          <w:noProof/>
        </w:rPr>
        <w:t xml:space="preserve"> and the functioning of </w:t>
      </w:r>
      <w:r w:rsidR="00A14A68">
        <w:rPr>
          <w:noProof/>
        </w:rPr>
        <w:t xml:space="preserve">a </w:t>
      </w:r>
      <w:r w:rsidR="00F56409">
        <w:rPr>
          <w:noProof/>
        </w:rPr>
        <w:t xml:space="preserve">Blueprint to coordinate the response to </w:t>
      </w:r>
      <w:r w:rsidR="008B6324">
        <w:rPr>
          <w:noProof/>
        </w:rPr>
        <w:t>significant critical infrastructure incidents (</w:t>
      </w:r>
      <w:r w:rsidR="006E3815">
        <w:rPr>
          <w:noProof/>
        </w:rPr>
        <w:t>‘’</w:t>
      </w:r>
      <w:r w:rsidR="0026420A">
        <w:rPr>
          <w:noProof/>
        </w:rPr>
        <w:t xml:space="preserve">Critical Infrastructure </w:t>
      </w:r>
      <w:r w:rsidR="006E4FAF" w:rsidRPr="00AA7219">
        <w:rPr>
          <w:noProof/>
        </w:rPr>
        <w:t>Blueprint</w:t>
      </w:r>
      <w:r w:rsidR="008B6324">
        <w:rPr>
          <w:noProof/>
        </w:rPr>
        <w:t>’’)</w:t>
      </w:r>
      <w:r w:rsidR="006E4FAF" w:rsidRPr="00AA7219">
        <w:rPr>
          <w:noProof/>
        </w:rPr>
        <w:t xml:space="preserve"> </w:t>
      </w:r>
      <w:r w:rsidR="006C560C">
        <w:rPr>
          <w:noProof/>
        </w:rPr>
        <w:t>and improve</w:t>
      </w:r>
      <w:r w:rsidR="006E4FAF">
        <w:rPr>
          <w:noProof/>
        </w:rPr>
        <w:t xml:space="preserve"> cooperation between Member States</w:t>
      </w:r>
      <w:r w:rsidR="008277DE">
        <w:rPr>
          <w:noProof/>
        </w:rPr>
        <w:t xml:space="preserve"> and the relevant</w:t>
      </w:r>
      <w:r w:rsidR="006E4FAF">
        <w:rPr>
          <w:noProof/>
        </w:rPr>
        <w:t xml:space="preserve"> Union institutions, bodies, offices and agencies as regards such</w:t>
      </w:r>
      <w:r>
        <w:rPr>
          <w:noProof/>
        </w:rPr>
        <w:t xml:space="preserve"> </w:t>
      </w:r>
      <w:r w:rsidR="006E4FAF">
        <w:rPr>
          <w:noProof/>
        </w:rPr>
        <w:t>incidents</w:t>
      </w:r>
      <w:r w:rsidR="006E5CBC">
        <w:rPr>
          <w:noProof/>
        </w:rPr>
        <w:t>, in accordance with the applicable rules and procedures.</w:t>
      </w:r>
      <w:r w:rsidR="00E70E44" w:rsidRPr="00E70E44">
        <w:rPr>
          <w:noProof/>
        </w:rPr>
        <w:t xml:space="preserve"> This Blueprint does not affect in any way the role and functioning of other arrangements.</w:t>
      </w:r>
    </w:p>
    <w:p w14:paraId="64F1D17A" w14:textId="77777777" w:rsidR="006E4FAF" w:rsidRDefault="006E4FAF" w:rsidP="00821271">
      <w:pPr>
        <w:pStyle w:val="ManualHeading1"/>
        <w:rPr>
          <w:noProof/>
        </w:rPr>
      </w:pPr>
      <w:r>
        <w:rPr>
          <w:noProof/>
        </w:rPr>
        <w:t xml:space="preserve">Part I: </w:t>
      </w:r>
      <w:r w:rsidRPr="00967B58">
        <w:rPr>
          <w:noProof/>
        </w:rPr>
        <w:t>Objectives, principles</w:t>
      </w:r>
      <w:r>
        <w:rPr>
          <w:noProof/>
        </w:rPr>
        <w:t>,</w:t>
      </w:r>
      <w:r w:rsidRPr="002A5509">
        <w:rPr>
          <w:noProof/>
        </w:rPr>
        <w:t xml:space="preserve"> actors</w:t>
      </w:r>
      <w:r>
        <w:rPr>
          <w:noProof/>
        </w:rPr>
        <w:t xml:space="preserve"> and other instruments</w:t>
      </w:r>
      <w:r w:rsidRPr="002A5509">
        <w:rPr>
          <w:noProof/>
        </w:rPr>
        <w:t xml:space="preserve"> </w:t>
      </w:r>
    </w:p>
    <w:p w14:paraId="2BFE3453" w14:textId="77777777" w:rsidR="006E4FAF" w:rsidRPr="002A5509" w:rsidRDefault="006E4FAF" w:rsidP="00E83BFE">
      <w:pPr>
        <w:pStyle w:val="ManualHeading2"/>
        <w:rPr>
          <w:noProof/>
        </w:rPr>
      </w:pPr>
      <w:r w:rsidRPr="002A5509">
        <w:rPr>
          <w:noProof/>
        </w:rPr>
        <w:t>1. Objectives</w:t>
      </w:r>
    </w:p>
    <w:p w14:paraId="522A296C" w14:textId="77777777" w:rsidR="006E4FAF" w:rsidRDefault="006E4FAF" w:rsidP="006E4FAF">
      <w:pPr>
        <w:rPr>
          <w:noProof/>
        </w:rPr>
      </w:pPr>
      <w:r>
        <w:rPr>
          <w:noProof/>
        </w:rPr>
        <w:t>The Critical Infrastructure Blueprint aims to achieve the following three main objectives in response to a significant critical infrastructure incident:</w:t>
      </w:r>
    </w:p>
    <w:p w14:paraId="3683E2D6" w14:textId="77777777" w:rsidR="006E4FAF" w:rsidRDefault="006E4FAF" w:rsidP="00F977CD">
      <w:pPr>
        <w:pStyle w:val="Point0letter"/>
        <w:numPr>
          <w:ilvl w:val="1"/>
          <w:numId w:val="7"/>
        </w:numPr>
        <w:rPr>
          <w:noProof/>
        </w:rPr>
      </w:pPr>
      <w:r w:rsidRPr="00EC467A">
        <w:rPr>
          <w:b/>
          <w:bCs/>
          <w:noProof/>
        </w:rPr>
        <w:t>Shared situational awareness</w:t>
      </w:r>
      <w:r>
        <w:rPr>
          <w:noProof/>
        </w:rPr>
        <w:t>, since a good understanding of the significant critical infrastructure incident in the Member States, its origin and its potential consequences for all relevant stakeholders at operational</w:t>
      </w:r>
      <w:r w:rsidR="009D5627">
        <w:rPr>
          <w:noProof/>
        </w:rPr>
        <w:t xml:space="preserve"> and </w:t>
      </w:r>
      <w:r>
        <w:rPr>
          <w:noProof/>
        </w:rPr>
        <w:t>strategic</w:t>
      </w:r>
      <w:r w:rsidR="00E2194C">
        <w:rPr>
          <w:noProof/>
        </w:rPr>
        <w:t>/</w:t>
      </w:r>
      <w:r>
        <w:rPr>
          <w:noProof/>
        </w:rPr>
        <w:t xml:space="preserve">political level is essential for an appropriate coordinated response. </w:t>
      </w:r>
    </w:p>
    <w:p w14:paraId="7CA1F3F8" w14:textId="77777777" w:rsidR="006E4FAF" w:rsidRDefault="52349E95" w:rsidP="00821271">
      <w:pPr>
        <w:pStyle w:val="Point0letter"/>
        <w:rPr>
          <w:noProof/>
        </w:rPr>
      </w:pPr>
      <w:r w:rsidRPr="1D0A547C">
        <w:rPr>
          <w:b/>
          <w:bCs/>
          <w:noProof/>
        </w:rPr>
        <w:t>Coordinated</w:t>
      </w:r>
      <w:r w:rsidR="006E4FAF" w:rsidRPr="00EC467A">
        <w:rPr>
          <w:b/>
          <w:bCs/>
          <w:noProof/>
        </w:rPr>
        <w:t xml:space="preserve"> public communication</w:t>
      </w:r>
      <w:r w:rsidR="006E4FAF">
        <w:rPr>
          <w:noProof/>
        </w:rPr>
        <w:t>, since</w:t>
      </w:r>
      <w:r w:rsidR="00A14A68">
        <w:rPr>
          <w:noProof/>
        </w:rPr>
        <w:t xml:space="preserve"> it</w:t>
      </w:r>
      <w:r w:rsidR="006E4FAF">
        <w:rPr>
          <w:noProof/>
        </w:rPr>
        <w:t xml:space="preserve"> </w:t>
      </w:r>
      <w:r w:rsidR="002D3496">
        <w:rPr>
          <w:noProof/>
        </w:rPr>
        <w:t>helps</w:t>
      </w:r>
      <w:r w:rsidR="45B241A0">
        <w:rPr>
          <w:noProof/>
        </w:rPr>
        <w:t xml:space="preserve"> </w:t>
      </w:r>
      <w:r w:rsidR="006E4FAF">
        <w:rPr>
          <w:noProof/>
        </w:rPr>
        <w:t xml:space="preserve">mitigate the negative effects of a significant critical infrastructure incident and </w:t>
      </w:r>
      <w:r w:rsidR="55000C62">
        <w:rPr>
          <w:noProof/>
        </w:rPr>
        <w:t xml:space="preserve">minimise </w:t>
      </w:r>
      <w:r w:rsidR="006E4FAF">
        <w:rPr>
          <w:noProof/>
        </w:rPr>
        <w:t xml:space="preserve">discrepancies in the messages conveyed to the public in and between Member States. Clear public communication is also important to </w:t>
      </w:r>
      <w:r w:rsidR="0F491782">
        <w:rPr>
          <w:noProof/>
        </w:rPr>
        <w:t xml:space="preserve">mitigate the consequences of </w:t>
      </w:r>
      <w:r w:rsidR="006E4FAF">
        <w:rPr>
          <w:noProof/>
        </w:rPr>
        <w:t xml:space="preserve">disinformation. </w:t>
      </w:r>
    </w:p>
    <w:p w14:paraId="6C197531" w14:textId="77777777" w:rsidR="006E4FAF" w:rsidRDefault="006E4FAF" w:rsidP="00821271">
      <w:pPr>
        <w:pStyle w:val="Point0letter"/>
        <w:rPr>
          <w:noProof/>
        </w:rPr>
      </w:pPr>
      <w:r w:rsidRPr="00EC467A">
        <w:rPr>
          <w:b/>
          <w:bCs/>
          <w:noProof/>
        </w:rPr>
        <w:t>Effective response</w:t>
      </w:r>
      <w:r>
        <w:rPr>
          <w:noProof/>
        </w:rPr>
        <w:t xml:space="preserve">, since strengthening the response of Member States and cooperation between Member States and with </w:t>
      </w:r>
      <w:r w:rsidR="00801510">
        <w:rPr>
          <w:noProof/>
        </w:rPr>
        <w:t xml:space="preserve">relevant </w:t>
      </w:r>
      <w:r>
        <w:rPr>
          <w:noProof/>
        </w:rPr>
        <w:t>Union institutions, bodies, offices</w:t>
      </w:r>
      <w:r w:rsidR="003552B4">
        <w:rPr>
          <w:noProof/>
        </w:rPr>
        <w:t xml:space="preserve">, </w:t>
      </w:r>
      <w:r>
        <w:rPr>
          <w:noProof/>
        </w:rPr>
        <w:t>agencies</w:t>
      </w:r>
      <w:r w:rsidR="003552B4">
        <w:rPr>
          <w:noProof/>
        </w:rPr>
        <w:t xml:space="preserve">, </w:t>
      </w:r>
      <w:r>
        <w:rPr>
          <w:noProof/>
        </w:rPr>
        <w:t>contributes to mitigating the effects of a significant critical infrastructure incident and enabl</w:t>
      </w:r>
      <w:r w:rsidR="00E54654">
        <w:rPr>
          <w:noProof/>
        </w:rPr>
        <w:t>ing</w:t>
      </w:r>
      <w:r>
        <w:rPr>
          <w:noProof/>
        </w:rPr>
        <w:t xml:space="preserve"> swift reestablishment of essential services in a way that minimises vulnerability to further</w:t>
      </w:r>
      <w:r w:rsidR="00801510">
        <w:rPr>
          <w:noProof/>
        </w:rPr>
        <w:t xml:space="preserve"> </w:t>
      </w:r>
      <w:r w:rsidR="00C9387F">
        <w:rPr>
          <w:noProof/>
        </w:rPr>
        <w:t xml:space="preserve">significant </w:t>
      </w:r>
      <w:r w:rsidR="00801510">
        <w:rPr>
          <w:noProof/>
        </w:rPr>
        <w:t>incidents</w:t>
      </w:r>
      <w:r>
        <w:rPr>
          <w:noProof/>
        </w:rPr>
        <w:t>.</w:t>
      </w:r>
    </w:p>
    <w:p w14:paraId="27B1BBA2" w14:textId="77777777" w:rsidR="006E4FAF" w:rsidRPr="00FF574E" w:rsidRDefault="006E4FAF" w:rsidP="00E83BFE">
      <w:pPr>
        <w:pStyle w:val="ManualHeading2"/>
        <w:rPr>
          <w:noProof/>
        </w:rPr>
      </w:pPr>
      <w:r w:rsidRPr="00FF574E">
        <w:rPr>
          <w:noProof/>
        </w:rPr>
        <w:t>2. Principles</w:t>
      </w:r>
    </w:p>
    <w:p w14:paraId="6877FFCE" w14:textId="77777777" w:rsidR="006E4FAF" w:rsidRPr="00432DB4" w:rsidRDefault="006E4FAF" w:rsidP="00432DB4">
      <w:pPr>
        <w:rPr>
          <w:i/>
          <w:iCs/>
          <w:noProof/>
        </w:rPr>
      </w:pPr>
      <w:r w:rsidRPr="00432DB4">
        <w:rPr>
          <w:i/>
          <w:iCs/>
          <w:noProof/>
        </w:rPr>
        <w:t>Proportionality</w:t>
      </w:r>
    </w:p>
    <w:p w14:paraId="5E9D6663" w14:textId="77777777" w:rsidR="006E4FAF" w:rsidRDefault="006E4FAF" w:rsidP="00432DB4">
      <w:pPr>
        <w:rPr>
          <w:noProof/>
        </w:rPr>
      </w:pPr>
      <w:r>
        <w:rPr>
          <w:noProof/>
        </w:rPr>
        <w:t xml:space="preserve">Incidents that disrupt critical infrastructure and/or the provision of essential services often fall below the threshold of a </w:t>
      </w:r>
      <w:bookmarkStart w:id="1" w:name="_Hlk135148274"/>
      <w:r>
        <w:rPr>
          <w:noProof/>
        </w:rPr>
        <w:t xml:space="preserve">significant critical infrastructure incident as specified in point 2 of this Recommendation. As such, they </w:t>
      </w:r>
      <w:bookmarkEnd w:id="1"/>
      <w:r>
        <w:rPr>
          <w:noProof/>
        </w:rPr>
        <w:t>can</w:t>
      </w:r>
      <w:r w:rsidR="007A0834">
        <w:rPr>
          <w:noProof/>
        </w:rPr>
        <w:t>,</w:t>
      </w:r>
      <w:r>
        <w:rPr>
          <w:noProof/>
        </w:rPr>
        <w:t xml:space="preserve"> in principle be addressed effectively at national level. Therefore, the application of the Critical Infrastructure Blueprint </w:t>
      </w:r>
      <w:r w:rsidR="00F60BBB">
        <w:rPr>
          <w:noProof/>
        </w:rPr>
        <w:t xml:space="preserve">is </w:t>
      </w:r>
      <w:r>
        <w:rPr>
          <w:noProof/>
        </w:rPr>
        <w:t xml:space="preserve">limited to </w:t>
      </w:r>
      <w:r w:rsidRPr="000F0E63">
        <w:rPr>
          <w:noProof/>
        </w:rPr>
        <w:t>significant critical infrastructure incident</w:t>
      </w:r>
      <w:r>
        <w:rPr>
          <w:noProof/>
        </w:rPr>
        <w:t>s.</w:t>
      </w:r>
    </w:p>
    <w:p w14:paraId="576DDB06" w14:textId="77777777" w:rsidR="006E4FAF" w:rsidRPr="00432DB4" w:rsidRDefault="006E4FAF" w:rsidP="00432DB4">
      <w:pPr>
        <w:rPr>
          <w:i/>
          <w:iCs/>
          <w:noProof/>
        </w:rPr>
      </w:pPr>
      <w:r w:rsidRPr="00432DB4">
        <w:rPr>
          <w:i/>
          <w:iCs/>
          <w:noProof/>
        </w:rPr>
        <w:t>Subsidiarity</w:t>
      </w:r>
    </w:p>
    <w:p w14:paraId="2C786712" w14:textId="77777777" w:rsidR="006E4FAF" w:rsidRDefault="006E4FAF" w:rsidP="00432DB4">
      <w:pPr>
        <w:rPr>
          <w:noProof/>
        </w:rPr>
      </w:pPr>
      <w:r>
        <w:rPr>
          <w:noProof/>
        </w:rPr>
        <w:t xml:space="preserve">Member States have the primary responsibility in responding to disruptions of a critical infrastructure or of the essential services provided by critical entities, in accordance with Union law. However, </w:t>
      </w:r>
      <w:r w:rsidR="0063524E">
        <w:rPr>
          <w:noProof/>
        </w:rPr>
        <w:t>re</w:t>
      </w:r>
      <w:r w:rsidR="007B5006">
        <w:rPr>
          <w:noProof/>
        </w:rPr>
        <w:t>levant</w:t>
      </w:r>
      <w:r w:rsidR="0063524E">
        <w:rPr>
          <w:noProof/>
        </w:rPr>
        <w:t xml:space="preserve"> </w:t>
      </w:r>
      <w:r>
        <w:rPr>
          <w:noProof/>
        </w:rPr>
        <w:t>U</w:t>
      </w:r>
      <w:r w:rsidR="00775B17">
        <w:rPr>
          <w:noProof/>
        </w:rPr>
        <w:t>nion</w:t>
      </w:r>
      <w:r>
        <w:rPr>
          <w:noProof/>
        </w:rPr>
        <w:t xml:space="preserve"> institutions, </w:t>
      </w:r>
      <w:r w:rsidR="00DA5D51">
        <w:rPr>
          <w:noProof/>
        </w:rPr>
        <w:t>bodies,</w:t>
      </w:r>
      <w:r>
        <w:rPr>
          <w:noProof/>
        </w:rPr>
        <w:t xml:space="preserve"> offices </w:t>
      </w:r>
      <w:r w:rsidR="00DA5D51">
        <w:rPr>
          <w:noProof/>
        </w:rPr>
        <w:t>and</w:t>
      </w:r>
      <w:r>
        <w:rPr>
          <w:noProof/>
        </w:rPr>
        <w:t xml:space="preserve"> agencies, and the </w:t>
      </w:r>
      <w:r w:rsidR="00B550C8">
        <w:rPr>
          <w:noProof/>
        </w:rPr>
        <w:t xml:space="preserve">European </w:t>
      </w:r>
      <w:r>
        <w:rPr>
          <w:noProof/>
        </w:rPr>
        <w:t>E</w:t>
      </w:r>
      <w:r w:rsidR="00B550C8">
        <w:rPr>
          <w:noProof/>
        </w:rPr>
        <w:t xml:space="preserve">xternal </w:t>
      </w:r>
      <w:r>
        <w:rPr>
          <w:noProof/>
        </w:rPr>
        <w:t>A</w:t>
      </w:r>
      <w:r w:rsidR="00115E41">
        <w:rPr>
          <w:noProof/>
        </w:rPr>
        <w:t xml:space="preserve">ction </w:t>
      </w:r>
      <w:r>
        <w:rPr>
          <w:noProof/>
        </w:rPr>
        <w:t>S</w:t>
      </w:r>
      <w:r w:rsidR="00115E41">
        <w:rPr>
          <w:noProof/>
        </w:rPr>
        <w:t>ervice</w:t>
      </w:r>
      <w:r>
        <w:rPr>
          <w:noProof/>
        </w:rPr>
        <w:t xml:space="preserve"> </w:t>
      </w:r>
      <w:r w:rsidR="00115E41">
        <w:rPr>
          <w:noProof/>
        </w:rPr>
        <w:t>(‘’EEAS’’)</w:t>
      </w:r>
      <w:r>
        <w:rPr>
          <w:noProof/>
        </w:rPr>
        <w:t xml:space="preserve"> have an important complementary role in case of a significant critical infrastructure incident </w:t>
      </w:r>
      <w:r w:rsidR="06216BB8">
        <w:rPr>
          <w:noProof/>
        </w:rPr>
        <w:t xml:space="preserve">with </w:t>
      </w:r>
      <w:r>
        <w:rPr>
          <w:noProof/>
        </w:rPr>
        <w:t xml:space="preserve">major cross-border relevance, since such an incident may impact several or even all sections of economic activity within the </w:t>
      </w:r>
      <w:r w:rsidR="0088686C">
        <w:rPr>
          <w:noProof/>
        </w:rPr>
        <w:t xml:space="preserve">internal </w:t>
      </w:r>
      <w:r>
        <w:rPr>
          <w:noProof/>
        </w:rPr>
        <w:t xml:space="preserve">market, </w:t>
      </w:r>
      <w:r w:rsidRPr="00E70E44">
        <w:rPr>
          <w:noProof/>
        </w:rPr>
        <w:t xml:space="preserve">the life of citizens living in the Union, the security and </w:t>
      </w:r>
      <w:r w:rsidR="0062703C">
        <w:rPr>
          <w:noProof/>
        </w:rPr>
        <w:t>the</w:t>
      </w:r>
      <w:r w:rsidRPr="00E70E44">
        <w:rPr>
          <w:noProof/>
        </w:rPr>
        <w:t xml:space="preserve"> international relations of the Union. </w:t>
      </w:r>
    </w:p>
    <w:p w14:paraId="2216FAFA" w14:textId="77777777" w:rsidR="006E4FAF" w:rsidRPr="00432DB4" w:rsidRDefault="006E4FAF" w:rsidP="00432DB4">
      <w:pPr>
        <w:rPr>
          <w:i/>
          <w:iCs/>
          <w:noProof/>
        </w:rPr>
      </w:pPr>
      <w:r w:rsidRPr="00432DB4">
        <w:rPr>
          <w:i/>
          <w:iCs/>
          <w:noProof/>
        </w:rPr>
        <w:t>Complementarity</w:t>
      </w:r>
    </w:p>
    <w:p w14:paraId="66A70FB3" w14:textId="77777777" w:rsidR="0061758F" w:rsidRDefault="006E4FAF" w:rsidP="00CC60DC">
      <w:pPr>
        <w:spacing w:before="0" w:after="0"/>
        <w:rPr>
          <w:noProof/>
          <w:szCs w:val="24"/>
          <w:lang w:val="en-IE" w:eastAsia="en-IE"/>
        </w:rPr>
      </w:pPr>
      <w:r>
        <w:rPr>
          <w:noProof/>
        </w:rPr>
        <w:t xml:space="preserve">The Critical Infrastructure Blueprint takes into account </w:t>
      </w:r>
      <w:r w:rsidR="6FD1D42D" w:rsidRPr="00F25F7D">
        <w:rPr>
          <w:rFonts w:eastAsia="Times New Roman"/>
          <w:noProof/>
        </w:rPr>
        <w:t xml:space="preserve">and reflects the working of </w:t>
      </w:r>
      <w:r>
        <w:rPr>
          <w:noProof/>
        </w:rPr>
        <w:t xml:space="preserve">existing crisis management mechanisms at Union level, namely the </w:t>
      </w:r>
      <w:r w:rsidR="261BE4CE">
        <w:rPr>
          <w:noProof/>
        </w:rPr>
        <w:t xml:space="preserve">Council’s </w:t>
      </w:r>
      <w:r>
        <w:rPr>
          <w:noProof/>
        </w:rPr>
        <w:t>I</w:t>
      </w:r>
      <w:r w:rsidR="00C8097C">
        <w:rPr>
          <w:noProof/>
        </w:rPr>
        <w:t xml:space="preserve">ntegrated </w:t>
      </w:r>
      <w:r>
        <w:rPr>
          <w:noProof/>
        </w:rPr>
        <w:t>P</w:t>
      </w:r>
      <w:r w:rsidR="00C8097C">
        <w:rPr>
          <w:noProof/>
        </w:rPr>
        <w:t xml:space="preserve">olitical </w:t>
      </w:r>
      <w:r>
        <w:rPr>
          <w:noProof/>
        </w:rPr>
        <w:t>C</w:t>
      </w:r>
      <w:r w:rsidR="00C8097C">
        <w:rPr>
          <w:noProof/>
        </w:rPr>
        <w:t xml:space="preserve">risis </w:t>
      </w:r>
      <w:r>
        <w:rPr>
          <w:noProof/>
        </w:rPr>
        <w:t>R</w:t>
      </w:r>
      <w:r w:rsidR="002606D4">
        <w:rPr>
          <w:noProof/>
        </w:rPr>
        <w:t>esponse (</w:t>
      </w:r>
      <w:r w:rsidR="008F554A">
        <w:rPr>
          <w:noProof/>
        </w:rPr>
        <w:t>‘</w:t>
      </w:r>
      <w:r w:rsidR="002606D4">
        <w:rPr>
          <w:noProof/>
        </w:rPr>
        <w:t>‘IPCR</w:t>
      </w:r>
      <w:r w:rsidR="008F554A">
        <w:rPr>
          <w:noProof/>
        </w:rPr>
        <w:t>’</w:t>
      </w:r>
      <w:r w:rsidR="0098657D">
        <w:rPr>
          <w:noProof/>
        </w:rPr>
        <w:t>’)</w:t>
      </w:r>
      <w:r>
        <w:rPr>
          <w:noProof/>
        </w:rPr>
        <w:t xml:space="preserve"> </w:t>
      </w:r>
      <w:r w:rsidRPr="00E70E44">
        <w:rPr>
          <w:noProof/>
        </w:rPr>
        <w:t xml:space="preserve">arrangements, the </w:t>
      </w:r>
      <w:r w:rsidR="2F10B60F" w:rsidRPr="00E70E44">
        <w:rPr>
          <w:noProof/>
        </w:rPr>
        <w:t xml:space="preserve">Commission’s </w:t>
      </w:r>
      <w:r w:rsidR="50F6386A" w:rsidRPr="00E70E44">
        <w:rPr>
          <w:noProof/>
        </w:rPr>
        <w:t>internal crisis</w:t>
      </w:r>
      <w:r w:rsidR="2F10B60F" w:rsidRPr="00E70E44">
        <w:rPr>
          <w:noProof/>
        </w:rPr>
        <w:t xml:space="preserve"> </w:t>
      </w:r>
      <w:r w:rsidRPr="00E70E44">
        <w:rPr>
          <w:noProof/>
        </w:rPr>
        <w:t xml:space="preserve">coordination </w:t>
      </w:r>
      <w:r w:rsidR="003552B4" w:rsidRPr="00E70E44">
        <w:rPr>
          <w:noProof/>
        </w:rPr>
        <w:t>process</w:t>
      </w:r>
      <w:r w:rsidR="009303D9" w:rsidRPr="00E70E44">
        <w:rPr>
          <w:noProof/>
        </w:rPr>
        <w:t xml:space="preserve"> ARGUS</w:t>
      </w:r>
      <w:r w:rsidR="00BC37A7">
        <w:rPr>
          <w:noProof/>
        </w:rPr>
        <w:t>,</w:t>
      </w:r>
      <w:r w:rsidR="009303D9" w:rsidRPr="00E70E44">
        <w:rPr>
          <w:noProof/>
        </w:rPr>
        <w:t xml:space="preserve"> </w:t>
      </w:r>
      <w:r>
        <w:rPr>
          <w:noProof/>
        </w:rPr>
        <w:t>the U</w:t>
      </w:r>
      <w:r w:rsidR="3FD9FB6A">
        <w:rPr>
          <w:noProof/>
        </w:rPr>
        <w:t xml:space="preserve">nion </w:t>
      </w:r>
      <w:r>
        <w:rPr>
          <w:noProof/>
        </w:rPr>
        <w:t>C</w:t>
      </w:r>
      <w:r w:rsidR="20960E05">
        <w:rPr>
          <w:noProof/>
        </w:rPr>
        <w:t xml:space="preserve">ivil </w:t>
      </w:r>
      <w:r>
        <w:rPr>
          <w:noProof/>
        </w:rPr>
        <w:t>P</w:t>
      </w:r>
      <w:r w:rsidR="2E61406C">
        <w:rPr>
          <w:noProof/>
        </w:rPr>
        <w:t xml:space="preserve">rotection </w:t>
      </w:r>
      <w:r>
        <w:rPr>
          <w:noProof/>
        </w:rPr>
        <w:t>M</w:t>
      </w:r>
      <w:r w:rsidR="00F8C16E">
        <w:rPr>
          <w:noProof/>
        </w:rPr>
        <w:t>echanism</w:t>
      </w:r>
      <w:r>
        <w:rPr>
          <w:noProof/>
        </w:rPr>
        <w:t xml:space="preserve"> </w:t>
      </w:r>
      <w:r w:rsidR="00607689">
        <w:rPr>
          <w:noProof/>
        </w:rPr>
        <w:t>(</w:t>
      </w:r>
      <w:r w:rsidR="008F554A">
        <w:rPr>
          <w:noProof/>
        </w:rPr>
        <w:t>‘</w:t>
      </w:r>
      <w:r w:rsidR="00341052">
        <w:rPr>
          <w:noProof/>
        </w:rPr>
        <w:t>‘UCPM</w:t>
      </w:r>
      <w:r w:rsidR="008F554A">
        <w:rPr>
          <w:noProof/>
        </w:rPr>
        <w:t>’</w:t>
      </w:r>
      <w:r w:rsidR="00341052">
        <w:rPr>
          <w:noProof/>
        </w:rPr>
        <w:t>’)</w:t>
      </w:r>
      <w:r w:rsidR="009303D9">
        <w:rPr>
          <w:noProof/>
        </w:rPr>
        <w:t>,</w:t>
      </w:r>
      <w:r w:rsidR="006B5A43">
        <w:rPr>
          <w:noProof/>
        </w:rPr>
        <w:t xml:space="preserve"> </w:t>
      </w:r>
      <w:r w:rsidR="009303D9">
        <w:rPr>
          <w:noProof/>
        </w:rPr>
        <w:t xml:space="preserve">supported by </w:t>
      </w:r>
      <w:r w:rsidR="263CFDF6">
        <w:rPr>
          <w:noProof/>
        </w:rPr>
        <w:t>the</w:t>
      </w:r>
      <w:r>
        <w:rPr>
          <w:noProof/>
        </w:rPr>
        <w:t xml:space="preserve"> Emergency Response Coordination Centre (</w:t>
      </w:r>
      <w:r w:rsidR="00D44BCC">
        <w:rPr>
          <w:noProof/>
        </w:rPr>
        <w:t>‘</w:t>
      </w:r>
      <w:r>
        <w:rPr>
          <w:noProof/>
        </w:rPr>
        <w:t>‘ERCC’</w:t>
      </w:r>
      <w:r w:rsidR="00D44BCC">
        <w:rPr>
          <w:noProof/>
        </w:rPr>
        <w:t>’</w:t>
      </w:r>
      <w:r>
        <w:rPr>
          <w:noProof/>
        </w:rPr>
        <w:t>)</w:t>
      </w:r>
      <w:r w:rsidR="00A5633B">
        <w:rPr>
          <w:noProof/>
        </w:rPr>
        <w:t>,</w:t>
      </w:r>
      <w:r>
        <w:rPr>
          <w:noProof/>
        </w:rPr>
        <w:t xml:space="preserve"> </w:t>
      </w:r>
      <w:r w:rsidR="009303D9">
        <w:rPr>
          <w:noProof/>
        </w:rPr>
        <w:t>and the EEAS Crisis Response Mechanism. It also draws on</w:t>
      </w:r>
      <w:r>
        <w:rPr>
          <w:noProof/>
        </w:rPr>
        <w:t xml:space="preserve"> sectoral </w:t>
      </w:r>
      <w:r w:rsidR="45E5233D">
        <w:rPr>
          <w:noProof/>
        </w:rPr>
        <w:t>arrangements</w:t>
      </w:r>
      <w:r>
        <w:rPr>
          <w:noProof/>
        </w:rPr>
        <w:t xml:space="preserve">, </w:t>
      </w:r>
      <w:r w:rsidR="009303D9">
        <w:rPr>
          <w:noProof/>
        </w:rPr>
        <w:t>including</w:t>
      </w:r>
      <w:r w:rsidR="00A20AD8">
        <w:rPr>
          <w:noProof/>
        </w:rPr>
        <w:t xml:space="preserve"> the </w:t>
      </w:r>
      <w:r w:rsidR="00B00F61" w:rsidRPr="00A9371B">
        <w:rPr>
          <w:noProof/>
        </w:rPr>
        <w:t xml:space="preserve">provisions for coordinated </w:t>
      </w:r>
      <w:r w:rsidR="00B00F61">
        <w:rPr>
          <w:noProof/>
        </w:rPr>
        <w:t>management of</w:t>
      </w:r>
      <w:r w:rsidR="00B00F61" w:rsidRPr="00A9371B">
        <w:rPr>
          <w:noProof/>
        </w:rPr>
        <w:t xml:space="preserve"> large-scale cybersecurity incidents provided for </w:t>
      </w:r>
      <w:r w:rsidR="00B00F61" w:rsidRPr="003D2F34">
        <w:rPr>
          <w:noProof/>
        </w:rPr>
        <w:t>by Directive (EU) 2022/2555</w:t>
      </w:r>
      <w:r w:rsidR="00272A18">
        <w:rPr>
          <w:noProof/>
        </w:rPr>
        <w:t xml:space="preserve"> of the European Parliament and of the Council</w:t>
      </w:r>
      <w:r w:rsidR="00160936" w:rsidRPr="003D2F34">
        <w:rPr>
          <w:rStyle w:val="FootnoteReference"/>
          <w:noProof/>
        </w:rPr>
        <w:footnoteReference w:id="2"/>
      </w:r>
      <w:r w:rsidR="00B00F61" w:rsidRPr="003D2F34">
        <w:rPr>
          <w:noProof/>
        </w:rPr>
        <w:t xml:space="preserve"> and the framework set out in the </w:t>
      </w:r>
      <w:r w:rsidRPr="003D2F34">
        <w:rPr>
          <w:noProof/>
        </w:rPr>
        <w:t>Blueprint for coordinated response to large-scale cross-border cybersecurity incidents and crises (‘’Cyber Blueprint’’)</w:t>
      </w:r>
      <w:r w:rsidRPr="003D2F34">
        <w:rPr>
          <w:rStyle w:val="FootnoteReference"/>
          <w:noProof/>
        </w:rPr>
        <w:footnoteReference w:id="3"/>
      </w:r>
      <w:r w:rsidR="00B376F9" w:rsidRPr="003D2F34">
        <w:rPr>
          <w:noProof/>
        </w:rPr>
        <w:t xml:space="preserve">, </w:t>
      </w:r>
      <w:r w:rsidR="0061758F" w:rsidRPr="003D2F34">
        <w:rPr>
          <w:noProof/>
        </w:rPr>
        <w:t>the Network of transport contact points</w:t>
      </w:r>
      <w:r w:rsidR="0061758F" w:rsidRPr="003D2F34">
        <w:rPr>
          <w:rStyle w:val="FootnoteReference"/>
          <w:noProof/>
        </w:rPr>
        <w:footnoteReference w:id="4"/>
      </w:r>
      <w:r w:rsidR="00B376F9" w:rsidRPr="003D2F34">
        <w:rPr>
          <w:noProof/>
        </w:rPr>
        <w:t xml:space="preserve"> and</w:t>
      </w:r>
      <w:r w:rsidR="0061758F" w:rsidRPr="003D2F34">
        <w:rPr>
          <w:noProof/>
        </w:rPr>
        <w:t xml:space="preserve"> the European Aviation Crisis Coordination Cell</w:t>
      </w:r>
      <w:r w:rsidR="0061758F" w:rsidRPr="003D2F34">
        <w:rPr>
          <w:rStyle w:val="FootnoteReference"/>
          <w:noProof/>
        </w:rPr>
        <w:footnoteReference w:id="5"/>
      </w:r>
      <w:r w:rsidR="0061758F" w:rsidRPr="003D2F34">
        <w:rPr>
          <w:noProof/>
        </w:rPr>
        <w:t>.</w:t>
      </w:r>
      <w:r w:rsidR="0061758F">
        <w:rPr>
          <w:noProof/>
        </w:rPr>
        <w:t xml:space="preserve"> </w:t>
      </w:r>
    </w:p>
    <w:p w14:paraId="32123FC9" w14:textId="330534CF" w:rsidR="006E4FAF" w:rsidRPr="00D24FAA" w:rsidRDefault="006E4FAF" w:rsidP="006E4FAF">
      <w:pPr>
        <w:rPr>
          <w:rFonts w:eastAsia="Times New Roman"/>
          <w:noProof/>
        </w:rPr>
      </w:pPr>
      <w:r>
        <w:rPr>
          <w:noProof/>
        </w:rPr>
        <w:t xml:space="preserve">Furthermore, </w:t>
      </w:r>
      <w:r w:rsidR="00DC29C9">
        <w:rPr>
          <w:noProof/>
        </w:rPr>
        <w:t xml:space="preserve">the Critical Infrastructure Blueprint </w:t>
      </w:r>
      <w:r w:rsidR="0098657D">
        <w:rPr>
          <w:noProof/>
        </w:rPr>
        <w:t>builds on</w:t>
      </w:r>
      <w:r w:rsidR="00AD7F32">
        <w:rPr>
          <w:noProof/>
        </w:rPr>
        <w:t xml:space="preserve">, </w:t>
      </w:r>
      <w:r w:rsidR="00AD7F32" w:rsidRPr="00E47FA8">
        <w:rPr>
          <w:noProof/>
        </w:rPr>
        <w:t xml:space="preserve">and is to be applied in accordance </w:t>
      </w:r>
      <w:r w:rsidR="000510E0" w:rsidRPr="00E47FA8">
        <w:rPr>
          <w:noProof/>
        </w:rPr>
        <w:t>with</w:t>
      </w:r>
      <w:r w:rsidR="00316F02" w:rsidRPr="00E47FA8">
        <w:rPr>
          <w:noProof/>
        </w:rPr>
        <w:t xml:space="preserve"> </w:t>
      </w:r>
      <w:r w:rsidRPr="00E47FA8">
        <w:rPr>
          <w:noProof/>
        </w:rPr>
        <w:t xml:space="preserve">the structures and mechanisms established by </w:t>
      </w:r>
      <w:r w:rsidRPr="00623257">
        <w:rPr>
          <w:noProof/>
        </w:rPr>
        <w:t>Directive (EU) 2022/2557</w:t>
      </w:r>
      <w:r w:rsidR="00FF249C" w:rsidRPr="00623257">
        <w:rPr>
          <w:noProof/>
        </w:rPr>
        <w:t xml:space="preserve"> of </w:t>
      </w:r>
      <w:r w:rsidR="00527AC3" w:rsidRPr="00623257">
        <w:rPr>
          <w:noProof/>
        </w:rPr>
        <w:t>the European Parliament</w:t>
      </w:r>
      <w:r w:rsidR="00171E4F" w:rsidRPr="00623257">
        <w:rPr>
          <w:noProof/>
        </w:rPr>
        <w:t xml:space="preserve"> and of the Council</w:t>
      </w:r>
      <w:r w:rsidR="00BE2EE2" w:rsidRPr="00623257">
        <w:rPr>
          <w:rStyle w:val="FootnoteReference"/>
          <w:noProof/>
        </w:rPr>
        <w:footnoteReference w:id="6"/>
      </w:r>
      <w:r w:rsidRPr="00E47FA8">
        <w:rPr>
          <w:noProof/>
        </w:rPr>
        <w:t>,</w:t>
      </w:r>
      <w:r>
        <w:rPr>
          <w:noProof/>
        </w:rPr>
        <w:t xml:space="preserve"> </w:t>
      </w:r>
      <w:r w:rsidR="000C602A">
        <w:rPr>
          <w:noProof/>
        </w:rPr>
        <w:t xml:space="preserve"> in particular as regards</w:t>
      </w:r>
      <w:r>
        <w:rPr>
          <w:noProof/>
        </w:rPr>
        <w:t xml:space="preserve"> the cooperation between competent authorities and with the Commission and in the Critical Entities Resilience Group. It also takes into account the responsibilities of relevant Union </w:t>
      </w:r>
      <w:r w:rsidR="00DD0EEF">
        <w:rPr>
          <w:noProof/>
        </w:rPr>
        <w:t>institutions, bodies, offices and agencies under the legal framework applicable to them.</w:t>
      </w:r>
      <w:r w:rsidR="00E47FA8">
        <w:rPr>
          <w:noProof/>
        </w:rPr>
        <w:t xml:space="preserve"> </w:t>
      </w:r>
      <w:r w:rsidR="00AB76E7" w:rsidRPr="00A9371B">
        <w:rPr>
          <w:noProof/>
        </w:rPr>
        <w:t xml:space="preserve">Critical infrastructure </w:t>
      </w:r>
      <w:r w:rsidR="00AB76E7" w:rsidRPr="00A9371B">
        <w:rPr>
          <w:rFonts w:eastAsia="Times New Roman"/>
          <w:noProof/>
          <w:szCs w:val="24"/>
        </w:rPr>
        <w:t xml:space="preserve">crisis response activities </w:t>
      </w:r>
      <w:r w:rsidR="00DC29C9">
        <w:rPr>
          <w:rFonts w:eastAsia="Times New Roman"/>
          <w:noProof/>
          <w:szCs w:val="24"/>
        </w:rPr>
        <w:t>are</w:t>
      </w:r>
      <w:r w:rsidR="00AB76E7" w:rsidRPr="00A9371B">
        <w:rPr>
          <w:rFonts w:eastAsia="Times New Roman"/>
          <w:noProof/>
          <w:szCs w:val="24"/>
        </w:rPr>
        <w:t xml:space="preserve"> </w:t>
      </w:r>
      <w:r w:rsidR="00B9548F">
        <w:rPr>
          <w:rFonts w:eastAsia="Times New Roman"/>
          <w:noProof/>
          <w:szCs w:val="24"/>
        </w:rPr>
        <w:t xml:space="preserve">complementary </w:t>
      </w:r>
      <w:r w:rsidR="00AB76E7" w:rsidRPr="00A9371B">
        <w:rPr>
          <w:rFonts w:eastAsia="Times New Roman"/>
          <w:noProof/>
          <w:szCs w:val="24"/>
        </w:rPr>
        <w:t>with other crisis management mechanisms at U</w:t>
      </w:r>
      <w:r w:rsidR="00290258">
        <w:rPr>
          <w:rFonts w:eastAsia="Times New Roman"/>
          <w:noProof/>
          <w:szCs w:val="24"/>
        </w:rPr>
        <w:t>nion</w:t>
      </w:r>
      <w:r w:rsidR="00AB76E7" w:rsidRPr="00A9371B">
        <w:rPr>
          <w:rFonts w:eastAsia="Times New Roman"/>
          <w:noProof/>
          <w:szCs w:val="24"/>
        </w:rPr>
        <w:t xml:space="preserve">, national </w:t>
      </w:r>
      <w:r w:rsidR="00B9548F">
        <w:rPr>
          <w:rFonts w:eastAsia="Times New Roman"/>
          <w:noProof/>
          <w:szCs w:val="24"/>
        </w:rPr>
        <w:t>and</w:t>
      </w:r>
      <w:r w:rsidR="00AB76E7" w:rsidRPr="00A9371B">
        <w:rPr>
          <w:rFonts w:eastAsia="Times New Roman"/>
          <w:noProof/>
          <w:szCs w:val="24"/>
        </w:rPr>
        <w:t xml:space="preserve"> sectoral levels</w:t>
      </w:r>
      <w:r w:rsidR="00290258">
        <w:rPr>
          <w:rFonts w:eastAsia="Times New Roman"/>
          <w:noProof/>
          <w:szCs w:val="24"/>
        </w:rPr>
        <w:t xml:space="preserve"> </w:t>
      </w:r>
      <w:r w:rsidR="00290258" w:rsidRPr="00290258">
        <w:rPr>
          <w:noProof/>
        </w:rPr>
        <w:t>that support multi-sectoral coordination</w:t>
      </w:r>
      <w:r w:rsidR="00AB76E7" w:rsidRPr="00290258">
        <w:rPr>
          <w:rFonts w:eastAsia="Times New Roman"/>
          <w:noProof/>
          <w:szCs w:val="24"/>
        </w:rPr>
        <w:t>.</w:t>
      </w:r>
    </w:p>
    <w:p w14:paraId="0125E23B" w14:textId="77777777" w:rsidR="006E4FAF" w:rsidRPr="00432DB4" w:rsidRDefault="006E4FAF" w:rsidP="00432DB4">
      <w:pPr>
        <w:rPr>
          <w:i/>
          <w:iCs/>
          <w:noProof/>
        </w:rPr>
      </w:pPr>
      <w:r w:rsidRPr="00432DB4">
        <w:rPr>
          <w:i/>
          <w:iCs/>
          <w:noProof/>
        </w:rPr>
        <w:t>Confidentiality of information</w:t>
      </w:r>
    </w:p>
    <w:p w14:paraId="2564AD9A" w14:textId="77777777" w:rsidR="006E4FAF" w:rsidRDefault="006E4FAF" w:rsidP="00432DB4">
      <w:pPr>
        <w:rPr>
          <w:noProof/>
        </w:rPr>
      </w:pPr>
      <w:r>
        <w:rPr>
          <w:noProof/>
        </w:rPr>
        <w:t xml:space="preserve">The Critical Infrastructure Blueprint takes account of the importance of safeguarding the confidentiality of classified </w:t>
      </w:r>
      <w:r w:rsidR="6AAFEBEE">
        <w:rPr>
          <w:noProof/>
        </w:rPr>
        <w:t xml:space="preserve">and </w:t>
      </w:r>
      <w:r w:rsidR="003E2FAF">
        <w:rPr>
          <w:noProof/>
        </w:rPr>
        <w:t xml:space="preserve">sensitive </w:t>
      </w:r>
      <w:r w:rsidR="6AAFEBEE">
        <w:rPr>
          <w:noProof/>
        </w:rPr>
        <w:t>non-classified</w:t>
      </w:r>
      <w:r>
        <w:rPr>
          <w:noProof/>
        </w:rPr>
        <w:t xml:space="preserve"> information related to critical infrastructure and critical entities. </w:t>
      </w:r>
    </w:p>
    <w:p w14:paraId="2264C151" w14:textId="77777777" w:rsidR="006E4FAF" w:rsidRDefault="006E4FAF" w:rsidP="00474FA2">
      <w:pPr>
        <w:pStyle w:val="ManualHeading2"/>
        <w:rPr>
          <w:noProof/>
        </w:rPr>
      </w:pPr>
      <w:r w:rsidRPr="00AA732E">
        <w:rPr>
          <w:noProof/>
        </w:rPr>
        <w:t xml:space="preserve">3. </w:t>
      </w:r>
      <w:r>
        <w:rPr>
          <w:noProof/>
        </w:rPr>
        <w:t>Relevant a</w:t>
      </w:r>
      <w:r w:rsidRPr="00007AE8">
        <w:rPr>
          <w:noProof/>
        </w:rPr>
        <w:t>ctors</w:t>
      </w:r>
    </w:p>
    <w:p w14:paraId="0E5913A3" w14:textId="77777777" w:rsidR="006E4FAF" w:rsidRDefault="006E4FAF" w:rsidP="00E83BFE">
      <w:pPr>
        <w:rPr>
          <w:noProof/>
        </w:rPr>
      </w:pPr>
      <w:r>
        <w:rPr>
          <w:noProof/>
        </w:rPr>
        <w:t>Each Member State</w:t>
      </w:r>
      <w:r w:rsidR="002A4B56">
        <w:rPr>
          <w:noProof/>
        </w:rPr>
        <w:t xml:space="preserve"> and relevant Union</w:t>
      </w:r>
      <w:r>
        <w:rPr>
          <w:noProof/>
        </w:rPr>
        <w:t xml:space="preserve"> institution</w:t>
      </w:r>
      <w:r w:rsidR="004E2441">
        <w:rPr>
          <w:noProof/>
        </w:rPr>
        <w:t>s,</w:t>
      </w:r>
      <w:r>
        <w:rPr>
          <w:noProof/>
        </w:rPr>
        <w:t xml:space="preserve"> bod</w:t>
      </w:r>
      <w:r w:rsidR="00D81E4F">
        <w:rPr>
          <w:noProof/>
        </w:rPr>
        <w:t>ies</w:t>
      </w:r>
      <w:r w:rsidR="00CC7AD5">
        <w:rPr>
          <w:noProof/>
        </w:rPr>
        <w:t>, offices and agencies</w:t>
      </w:r>
      <w:r>
        <w:rPr>
          <w:noProof/>
        </w:rPr>
        <w:t xml:space="preserve"> referred to under points a) to e) below will</w:t>
      </w:r>
      <w:r w:rsidR="00CC7AD5">
        <w:rPr>
          <w:noProof/>
        </w:rPr>
        <w:t>, in accordance with the rules and procedure</w:t>
      </w:r>
      <w:r w:rsidR="00630875">
        <w:rPr>
          <w:noProof/>
        </w:rPr>
        <w:t xml:space="preserve"> applicable to them, </w:t>
      </w:r>
      <w:r>
        <w:rPr>
          <w:noProof/>
        </w:rPr>
        <w:t xml:space="preserve">decide on the relevant actor(s) for each significant critical infrastructure incident, depending on the sector(s) affected and the type of incident. </w:t>
      </w:r>
    </w:p>
    <w:p w14:paraId="0A530FD3" w14:textId="77777777" w:rsidR="006E4FAF" w:rsidRPr="008D04C1" w:rsidRDefault="006E4FAF" w:rsidP="00E83BFE">
      <w:pPr>
        <w:rPr>
          <w:b/>
          <w:bCs/>
          <w:i/>
          <w:iCs/>
          <w:noProof/>
        </w:rPr>
      </w:pPr>
      <w:r w:rsidRPr="008D04C1">
        <w:rPr>
          <w:b/>
          <w:bCs/>
          <w:i/>
          <w:iCs/>
          <w:noProof/>
        </w:rPr>
        <w:t>a)</w:t>
      </w:r>
      <w:r w:rsidRPr="008D04C1">
        <w:rPr>
          <w:b/>
          <w:bCs/>
          <w:noProof/>
        </w:rPr>
        <w:t xml:space="preserve"> </w:t>
      </w:r>
      <w:r w:rsidRPr="008D04C1">
        <w:rPr>
          <w:b/>
          <w:bCs/>
          <w:i/>
          <w:iCs/>
          <w:noProof/>
        </w:rPr>
        <w:t xml:space="preserve">Member States </w:t>
      </w:r>
    </w:p>
    <w:p w14:paraId="2F92C4F1" w14:textId="77777777" w:rsidR="006E4FAF" w:rsidRDefault="006E4FAF" w:rsidP="00E83BFE">
      <w:pPr>
        <w:rPr>
          <w:noProof/>
        </w:rPr>
      </w:pPr>
      <w:r>
        <w:rPr>
          <w:noProof/>
        </w:rPr>
        <w:t xml:space="preserve">- Competent authorities (e.g. authorities in charge of critical infrastructure, relevant sectoral authorities, single points of contact designated or established </w:t>
      </w:r>
      <w:r w:rsidR="00DD6334">
        <w:rPr>
          <w:noProof/>
        </w:rPr>
        <w:t xml:space="preserve">pursuant </w:t>
      </w:r>
      <w:r>
        <w:rPr>
          <w:noProof/>
        </w:rPr>
        <w:t>to</w:t>
      </w:r>
      <w:r w:rsidR="002D7945">
        <w:rPr>
          <w:noProof/>
        </w:rPr>
        <w:t xml:space="preserve"> Article </w:t>
      </w:r>
      <w:r w:rsidR="002575EF">
        <w:rPr>
          <w:noProof/>
        </w:rPr>
        <w:t>9(2) of</w:t>
      </w:r>
      <w:r w:rsidDel="007137A1">
        <w:rPr>
          <w:noProof/>
        </w:rPr>
        <w:t xml:space="preserve"> </w:t>
      </w:r>
      <w:r>
        <w:rPr>
          <w:noProof/>
        </w:rPr>
        <w:t>Directive (EU) 2022/2557, authorities designated or established pursuant to Article 9(1) of Directive (EU) 2022/2557</w:t>
      </w:r>
      <w:r w:rsidR="00CC4D67">
        <w:rPr>
          <w:noProof/>
        </w:rPr>
        <w:t>)</w:t>
      </w:r>
      <w:r w:rsidR="006E5214">
        <w:rPr>
          <w:noProof/>
        </w:rPr>
        <w:t>;</w:t>
      </w:r>
    </w:p>
    <w:p w14:paraId="2C9A24FC" w14:textId="77777777" w:rsidR="006E4FAF" w:rsidRPr="00A3440D" w:rsidRDefault="006E4FAF" w:rsidP="00E83BFE">
      <w:pPr>
        <w:rPr>
          <w:noProof/>
          <w:lang w:val="en-IE"/>
        </w:rPr>
      </w:pPr>
      <w:r w:rsidRPr="00A3440D">
        <w:rPr>
          <w:noProof/>
          <w:lang w:val="en-IE"/>
        </w:rPr>
        <w:t xml:space="preserve">- </w:t>
      </w:r>
      <w:r w:rsidR="00B05081">
        <w:rPr>
          <w:noProof/>
          <w:lang w:val="en-IE"/>
        </w:rPr>
        <w:t>Where appropriate, the</w:t>
      </w:r>
      <w:r w:rsidRPr="00A3440D">
        <w:rPr>
          <w:noProof/>
          <w:lang w:val="en-IE"/>
        </w:rPr>
        <w:t xml:space="preserve"> European cyber crisis liaison organisation network (</w:t>
      </w:r>
      <w:r w:rsidR="00286AB7">
        <w:rPr>
          <w:noProof/>
          <w:lang w:val="en-IE"/>
        </w:rPr>
        <w:t>‘</w:t>
      </w:r>
      <w:r w:rsidR="008F554A">
        <w:rPr>
          <w:noProof/>
          <w:lang w:val="en-IE"/>
        </w:rPr>
        <w:t>’</w:t>
      </w:r>
      <w:r w:rsidRPr="00A3440D">
        <w:rPr>
          <w:noProof/>
          <w:lang w:val="en-IE"/>
        </w:rPr>
        <w:t>EU-CyCLONe</w:t>
      </w:r>
      <w:r w:rsidR="00286AB7">
        <w:rPr>
          <w:noProof/>
          <w:lang w:val="en-IE"/>
        </w:rPr>
        <w:t>’</w:t>
      </w:r>
      <w:r w:rsidR="008F554A">
        <w:rPr>
          <w:noProof/>
          <w:lang w:val="en-IE"/>
        </w:rPr>
        <w:t>’</w:t>
      </w:r>
      <w:r w:rsidRPr="00A3440D">
        <w:rPr>
          <w:noProof/>
          <w:lang w:val="en-IE"/>
        </w:rPr>
        <w:t xml:space="preserve">) </w:t>
      </w:r>
      <w:r w:rsidRPr="7831E27B">
        <w:rPr>
          <w:noProof/>
          <w:lang w:val="en-IE"/>
        </w:rPr>
        <w:t xml:space="preserve">as referred to in Article 16 of Directive (EU) </w:t>
      </w:r>
      <w:r w:rsidRPr="006366C7">
        <w:rPr>
          <w:noProof/>
          <w:lang w:val="en-IE"/>
        </w:rPr>
        <w:t>2022/2555;</w:t>
      </w:r>
      <w:r w:rsidRPr="00A3440D">
        <w:rPr>
          <w:noProof/>
          <w:lang w:val="en-IE"/>
        </w:rPr>
        <w:t xml:space="preserve"> </w:t>
      </w:r>
    </w:p>
    <w:p w14:paraId="3089A80F" w14:textId="77777777" w:rsidR="00267CD1" w:rsidRDefault="006D026B" w:rsidP="00E83BFE">
      <w:pPr>
        <w:rPr>
          <w:noProof/>
        </w:rPr>
      </w:pPr>
      <w:r>
        <w:rPr>
          <w:noProof/>
        </w:rPr>
        <w:t>- The Cooperation Group as referred to in Article 14 of Directive (EU) 2022/2555;</w:t>
      </w:r>
    </w:p>
    <w:p w14:paraId="2C0114BD" w14:textId="77777777" w:rsidR="006E4FAF" w:rsidRPr="006366C7" w:rsidRDefault="006E4FAF" w:rsidP="00E83BFE">
      <w:pPr>
        <w:rPr>
          <w:noProof/>
        </w:rPr>
      </w:pPr>
      <w:r>
        <w:rPr>
          <w:noProof/>
        </w:rPr>
        <w:t xml:space="preserve">- Where appropriate, other stakeholders, including entities or persons from the private sector </w:t>
      </w:r>
      <w:r w:rsidRPr="006366C7">
        <w:rPr>
          <w:noProof/>
        </w:rPr>
        <w:t>such as operators of critical infrastructure</w:t>
      </w:r>
      <w:r w:rsidR="5001D81A" w:rsidRPr="006366C7">
        <w:rPr>
          <w:noProof/>
        </w:rPr>
        <w:t>, including the ones identified as</w:t>
      </w:r>
      <w:r w:rsidRPr="006366C7">
        <w:rPr>
          <w:noProof/>
        </w:rPr>
        <w:t xml:space="preserve"> critical entities; </w:t>
      </w:r>
    </w:p>
    <w:p w14:paraId="40856B38" w14:textId="77777777" w:rsidR="006E4FAF" w:rsidRDefault="006E4FAF" w:rsidP="00E83BFE">
      <w:pPr>
        <w:rPr>
          <w:noProof/>
        </w:rPr>
      </w:pPr>
      <w:r w:rsidRPr="006366C7">
        <w:rPr>
          <w:noProof/>
        </w:rPr>
        <w:t>- Ministers responsible for critical infrastructure resilience and/or the Minister(s) responsible for the sector or sectors most affected by the significant critical infrastructure incident in question.</w:t>
      </w:r>
    </w:p>
    <w:p w14:paraId="596F094A" w14:textId="77777777" w:rsidR="00595661" w:rsidRPr="006C2661" w:rsidRDefault="00595661">
      <w:pPr>
        <w:rPr>
          <w:noProof/>
          <w:lang w:val="en-IE"/>
        </w:rPr>
      </w:pPr>
    </w:p>
    <w:p w14:paraId="13C4380C" w14:textId="77777777" w:rsidR="006E4FAF" w:rsidRPr="008D04C1" w:rsidRDefault="006E4FAF" w:rsidP="00E83BFE">
      <w:pPr>
        <w:rPr>
          <w:b/>
          <w:bCs/>
          <w:i/>
          <w:iCs/>
          <w:noProof/>
        </w:rPr>
      </w:pPr>
      <w:r w:rsidRPr="008D04C1">
        <w:rPr>
          <w:b/>
          <w:bCs/>
          <w:i/>
          <w:iCs/>
          <w:noProof/>
        </w:rPr>
        <w:t xml:space="preserve">b) </w:t>
      </w:r>
      <w:r w:rsidR="007C6A9F" w:rsidRPr="008D04C1">
        <w:rPr>
          <w:b/>
          <w:bCs/>
          <w:i/>
          <w:iCs/>
          <w:noProof/>
        </w:rPr>
        <w:t xml:space="preserve">The </w:t>
      </w:r>
      <w:r w:rsidRPr="008D04C1">
        <w:rPr>
          <w:b/>
          <w:bCs/>
          <w:i/>
          <w:iCs/>
          <w:noProof/>
        </w:rPr>
        <w:t xml:space="preserve">Council </w:t>
      </w:r>
    </w:p>
    <w:p w14:paraId="69A6E7DE" w14:textId="77777777" w:rsidR="00931BF9" w:rsidRDefault="006E4FAF" w:rsidP="00E83BFE">
      <w:pPr>
        <w:rPr>
          <w:noProof/>
        </w:rPr>
      </w:pPr>
      <w:r>
        <w:rPr>
          <w:noProof/>
        </w:rPr>
        <w:t xml:space="preserve">- The </w:t>
      </w:r>
      <w:r w:rsidR="00192E17">
        <w:rPr>
          <w:noProof/>
        </w:rPr>
        <w:t>r</w:t>
      </w:r>
      <w:r w:rsidR="00931BF9">
        <w:rPr>
          <w:noProof/>
        </w:rPr>
        <w:t xml:space="preserve">otating </w:t>
      </w:r>
      <w:r>
        <w:rPr>
          <w:noProof/>
        </w:rPr>
        <w:t>Presidency</w:t>
      </w:r>
      <w:r w:rsidR="00F253F6">
        <w:rPr>
          <w:noProof/>
        </w:rPr>
        <w:t>;</w:t>
      </w:r>
    </w:p>
    <w:p w14:paraId="431A22BD" w14:textId="77777777" w:rsidR="00931BF9" w:rsidRPr="00E70E44" w:rsidRDefault="00931BF9" w:rsidP="00E83BFE">
      <w:pPr>
        <w:rPr>
          <w:noProof/>
        </w:rPr>
      </w:pPr>
      <w:r>
        <w:rPr>
          <w:noProof/>
        </w:rPr>
        <w:t>- The relevant Working Parties, such as</w:t>
      </w:r>
      <w:r w:rsidR="006E4FAF">
        <w:rPr>
          <w:noProof/>
        </w:rPr>
        <w:t xml:space="preserve"> </w:t>
      </w:r>
      <w:r w:rsidR="006E4FAF" w:rsidRPr="00E70E44">
        <w:rPr>
          <w:noProof/>
        </w:rPr>
        <w:t xml:space="preserve">the Working Party on Civil Protection </w:t>
      </w:r>
      <w:r w:rsidR="00192E17" w:rsidRPr="00510855">
        <w:rPr>
          <w:noProof/>
        </w:rPr>
        <w:t>including the subgroup on</w:t>
      </w:r>
      <w:r w:rsidR="006E4FAF" w:rsidRPr="00E70E44">
        <w:rPr>
          <w:noProof/>
        </w:rPr>
        <w:t xml:space="preserve"> Critical Entities Resilience PROCIV-CER</w:t>
      </w:r>
      <w:r w:rsidR="006E4FAF">
        <w:rPr>
          <w:noProof/>
        </w:rPr>
        <w:t xml:space="preserve"> and the chair(s) of the relevant Working Party(ies) depending on the sector(s) affected</w:t>
      </w:r>
      <w:r w:rsidR="00A162A0">
        <w:rPr>
          <w:noProof/>
        </w:rPr>
        <w:t xml:space="preserve"> and the nature of the inciden</w:t>
      </w:r>
      <w:r w:rsidR="004639A3">
        <w:rPr>
          <w:noProof/>
        </w:rPr>
        <w:t>t</w:t>
      </w:r>
      <w:r w:rsidR="006E4FAF">
        <w:rPr>
          <w:noProof/>
        </w:rPr>
        <w:t>, such as</w:t>
      </w:r>
      <w:r>
        <w:rPr>
          <w:noProof/>
        </w:rPr>
        <w:t>,</w:t>
      </w:r>
      <w:r w:rsidR="006E4FAF">
        <w:rPr>
          <w:noProof/>
        </w:rPr>
        <w:t xml:space="preserve"> the Horizontal </w:t>
      </w:r>
      <w:r w:rsidR="006E4FAF" w:rsidRPr="00E70E44">
        <w:rPr>
          <w:noProof/>
        </w:rPr>
        <w:t xml:space="preserve">Working Party on Cyber Issues </w:t>
      </w:r>
      <w:r w:rsidRPr="00E70E44">
        <w:rPr>
          <w:noProof/>
        </w:rPr>
        <w:t xml:space="preserve">and the </w:t>
      </w:r>
      <w:r w:rsidR="001123D7" w:rsidRPr="00AA7A1A">
        <w:rPr>
          <w:noProof/>
        </w:rPr>
        <w:t xml:space="preserve">Horizontal Working Party on </w:t>
      </w:r>
      <w:r w:rsidR="00B80257" w:rsidRPr="00AA7A1A">
        <w:rPr>
          <w:noProof/>
        </w:rPr>
        <w:t>E</w:t>
      </w:r>
      <w:r w:rsidR="00187633" w:rsidRPr="00AA7A1A">
        <w:rPr>
          <w:noProof/>
        </w:rPr>
        <w:t xml:space="preserve">nhancing </w:t>
      </w:r>
      <w:r w:rsidR="00B80257" w:rsidRPr="00AA7A1A">
        <w:rPr>
          <w:noProof/>
        </w:rPr>
        <w:t>R</w:t>
      </w:r>
      <w:r w:rsidR="00187633" w:rsidRPr="00AA7A1A">
        <w:rPr>
          <w:noProof/>
        </w:rPr>
        <w:t xml:space="preserve">esilience and </w:t>
      </w:r>
      <w:r w:rsidR="00B80257" w:rsidRPr="00AA7A1A">
        <w:rPr>
          <w:noProof/>
        </w:rPr>
        <w:t>C</w:t>
      </w:r>
      <w:r w:rsidR="00187633" w:rsidRPr="00AA7A1A">
        <w:rPr>
          <w:noProof/>
        </w:rPr>
        <w:t xml:space="preserve">ountering </w:t>
      </w:r>
      <w:r w:rsidR="00B80257" w:rsidRPr="00AA7A1A">
        <w:rPr>
          <w:noProof/>
        </w:rPr>
        <w:t>H</w:t>
      </w:r>
      <w:r w:rsidR="00187633" w:rsidRPr="00AA7A1A">
        <w:rPr>
          <w:noProof/>
        </w:rPr>
        <w:t xml:space="preserve">ybrid </w:t>
      </w:r>
      <w:r w:rsidR="00B80257" w:rsidRPr="00AA7A1A">
        <w:rPr>
          <w:noProof/>
        </w:rPr>
        <w:t>T</w:t>
      </w:r>
      <w:r w:rsidR="00187633" w:rsidRPr="00AA7A1A">
        <w:rPr>
          <w:noProof/>
        </w:rPr>
        <w:t>hreats</w:t>
      </w:r>
      <w:r w:rsidR="00F253F6">
        <w:rPr>
          <w:noProof/>
        </w:rPr>
        <w:t>;</w:t>
      </w:r>
      <w:r w:rsidR="00187633" w:rsidRPr="00AA7A1A" w:rsidDel="00187633">
        <w:rPr>
          <w:noProof/>
        </w:rPr>
        <w:t xml:space="preserve"> </w:t>
      </w:r>
    </w:p>
    <w:p w14:paraId="5CB3867F" w14:textId="77777777" w:rsidR="006E4FAF" w:rsidRDefault="00931BF9" w:rsidP="00E83BFE">
      <w:pPr>
        <w:rPr>
          <w:noProof/>
        </w:rPr>
      </w:pPr>
      <w:r w:rsidRPr="00E70E44">
        <w:rPr>
          <w:noProof/>
        </w:rPr>
        <w:t xml:space="preserve">- </w:t>
      </w:r>
      <w:r w:rsidR="006E4FAF" w:rsidRPr="00E70E44">
        <w:rPr>
          <w:noProof/>
        </w:rPr>
        <w:t>COREPER</w:t>
      </w:r>
      <w:r w:rsidRPr="00E70E44">
        <w:rPr>
          <w:noProof/>
        </w:rPr>
        <w:t>,</w:t>
      </w:r>
      <w:r w:rsidR="006E4FAF" w:rsidRPr="00E70E44">
        <w:rPr>
          <w:noProof/>
        </w:rPr>
        <w:t xml:space="preserve"> the Political</w:t>
      </w:r>
      <w:r w:rsidR="006E4FAF">
        <w:rPr>
          <w:noProof/>
        </w:rPr>
        <w:t xml:space="preserve"> and Security Committee, </w:t>
      </w:r>
      <w:r>
        <w:rPr>
          <w:noProof/>
        </w:rPr>
        <w:t xml:space="preserve">and IPCR, all </w:t>
      </w:r>
      <w:r w:rsidR="006E4FAF">
        <w:rPr>
          <w:noProof/>
        </w:rPr>
        <w:t xml:space="preserve">supported by the General </w:t>
      </w:r>
      <w:r w:rsidR="7ABE8B1F">
        <w:rPr>
          <w:noProof/>
        </w:rPr>
        <w:t xml:space="preserve">Secretariat </w:t>
      </w:r>
      <w:r w:rsidR="006E4FAF">
        <w:rPr>
          <w:noProof/>
        </w:rPr>
        <w:t xml:space="preserve">of the Council. </w:t>
      </w:r>
    </w:p>
    <w:p w14:paraId="6E3BAE2B" w14:textId="77777777" w:rsidR="6E781D18" w:rsidRDefault="6E781D18" w:rsidP="6E781D18">
      <w:pPr>
        <w:rPr>
          <w:noProof/>
        </w:rPr>
      </w:pPr>
    </w:p>
    <w:p w14:paraId="0295A761" w14:textId="77777777" w:rsidR="006E4FAF" w:rsidRPr="008D04C1" w:rsidRDefault="006E4FAF" w:rsidP="00E83BFE">
      <w:pPr>
        <w:rPr>
          <w:b/>
          <w:bCs/>
          <w:i/>
          <w:iCs/>
          <w:noProof/>
        </w:rPr>
      </w:pPr>
      <w:r w:rsidRPr="008D04C1">
        <w:rPr>
          <w:b/>
          <w:bCs/>
          <w:i/>
          <w:iCs/>
          <w:noProof/>
        </w:rPr>
        <w:t>c) The Commission</w:t>
      </w:r>
      <w:r w:rsidR="4257AF60" w:rsidRPr="008D04C1">
        <w:rPr>
          <w:b/>
          <w:bCs/>
          <w:i/>
          <w:iCs/>
          <w:noProof/>
        </w:rPr>
        <w:t xml:space="preserve">, including Commission </w:t>
      </w:r>
      <w:r w:rsidRPr="008D04C1">
        <w:rPr>
          <w:b/>
          <w:bCs/>
          <w:i/>
          <w:iCs/>
          <w:noProof/>
        </w:rPr>
        <w:t>expert groups</w:t>
      </w:r>
    </w:p>
    <w:p w14:paraId="4242DC2D" w14:textId="58947D80" w:rsidR="006E4FAF" w:rsidRDefault="006E4FAF" w:rsidP="00E83BFE">
      <w:pPr>
        <w:rPr>
          <w:noProof/>
        </w:rPr>
      </w:pPr>
      <w:r w:rsidRPr="00484D6B">
        <w:rPr>
          <w:noProof/>
        </w:rPr>
        <w:t xml:space="preserve">- Designated lead service (depending on the affected sector) </w:t>
      </w:r>
      <w:r w:rsidR="00192E17" w:rsidRPr="00484D6B">
        <w:rPr>
          <w:noProof/>
        </w:rPr>
        <w:t xml:space="preserve">supported by the ERCC as the 24/7 operational </w:t>
      </w:r>
      <w:r w:rsidR="00AA2086">
        <w:rPr>
          <w:noProof/>
        </w:rPr>
        <w:t>hub managin</w:t>
      </w:r>
      <w:r w:rsidR="009E6113">
        <w:rPr>
          <w:noProof/>
        </w:rPr>
        <w:t>g crisis responses</w:t>
      </w:r>
      <w:r w:rsidR="00550696">
        <w:rPr>
          <w:noProof/>
        </w:rPr>
        <w:t xml:space="preserve"> and Directorate-General</w:t>
      </w:r>
      <w:r w:rsidR="001263C1">
        <w:rPr>
          <w:noProof/>
        </w:rPr>
        <w:t xml:space="preserve"> for Migration and Home Affairs</w:t>
      </w:r>
      <w:r w:rsidR="005C6DA2">
        <w:rPr>
          <w:noProof/>
        </w:rPr>
        <w:t xml:space="preserve"> as the service </w:t>
      </w:r>
      <w:r w:rsidR="0014299D">
        <w:rPr>
          <w:noProof/>
        </w:rPr>
        <w:t>responsible in the area</w:t>
      </w:r>
      <w:r w:rsidR="00FD0CCE">
        <w:rPr>
          <w:noProof/>
        </w:rPr>
        <w:t xml:space="preserve"> and,</w:t>
      </w:r>
      <w:r w:rsidR="009E6113">
        <w:rPr>
          <w:noProof/>
        </w:rPr>
        <w:t xml:space="preserve"> </w:t>
      </w:r>
      <w:r w:rsidRPr="00484D6B">
        <w:rPr>
          <w:noProof/>
        </w:rPr>
        <w:t xml:space="preserve">in case of a cross-sectoral incident, Directorate-General Migration and Home Affairs and other relevant Commission </w:t>
      </w:r>
      <w:r w:rsidR="00DC29C9">
        <w:rPr>
          <w:noProof/>
        </w:rPr>
        <w:t>s</w:t>
      </w:r>
      <w:r w:rsidRPr="00484D6B">
        <w:rPr>
          <w:noProof/>
        </w:rPr>
        <w:t>ervices;</w:t>
      </w:r>
      <w:r>
        <w:rPr>
          <w:noProof/>
        </w:rPr>
        <w:t xml:space="preserve"> </w:t>
      </w:r>
    </w:p>
    <w:p w14:paraId="1A057D13" w14:textId="79764472" w:rsidR="2F7EFA2D" w:rsidRDefault="2F7EFA2D" w:rsidP="6E781D18">
      <w:pPr>
        <w:rPr>
          <w:noProof/>
        </w:rPr>
      </w:pPr>
      <w:r>
        <w:rPr>
          <w:noProof/>
        </w:rPr>
        <w:t>- The Directorate-General for Communicati</w:t>
      </w:r>
      <w:r w:rsidR="5B8121EA">
        <w:rPr>
          <w:noProof/>
        </w:rPr>
        <w:t>on and the Spoke</w:t>
      </w:r>
      <w:r w:rsidR="00776F74">
        <w:rPr>
          <w:noProof/>
        </w:rPr>
        <w:t>s</w:t>
      </w:r>
      <w:r w:rsidR="5B8121EA">
        <w:rPr>
          <w:noProof/>
        </w:rPr>
        <w:t>person</w:t>
      </w:r>
      <w:r w:rsidR="008D1D70">
        <w:rPr>
          <w:noProof/>
        </w:rPr>
        <w:t>’s</w:t>
      </w:r>
      <w:r w:rsidR="5B8121EA">
        <w:rPr>
          <w:noProof/>
        </w:rPr>
        <w:t xml:space="preserve"> service</w:t>
      </w:r>
      <w:r w:rsidR="004B2D19">
        <w:rPr>
          <w:noProof/>
        </w:rPr>
        <w:t>;</w:t>
      </w:r>
    </w:p>
    <w:p w14:paraId="5F9BFA66" w14:textId="77777777" w:rsidR="00B73F7B" w:rsidRDefault="00B73F7B" w:rsidP="6E781D18">
      <w:pPr>
        <w:rPr>
          <w:noProof/>
        </w:rPr>
      </w:pPr>
      <w:r>
        <w:rPr>
          <w:noProof/>
        </w:rPr>
        <w:t xml:space="preserve">- </w:t>
      </w:r>
      <w:r>
        <w:rPr>
          <w:rFonts w:eastAsia="Times New Roman"/>
          <w:noProof/>
        </w:rPr>
        <w:t>Directorate-General HERA,</w:t>
      </w:r>
      <w:r>
        <w:rPr>
          <w:rFonts w:eastAsia="Times New Roman"/>
          <w:strike/>
          <w:noProof/>
        </w:rPr>
        <w:t xml:space="preserve"> </w:t>
      </w:r>
      <w:r>
        <w:rPr>
          <w:rFonts w:eastAsia="Times New Roman"/>
          <w:noProof/>
        </w:rPr>
        <w:t>European Health Emergency Preparedness and Response Authority</w:t>
      </w:r>
      <w:r w:rsidR="0011314F">
        <w:rPr>
          <w:rFonts w:eastAsia="Times New Roman"/>
          <w:noProof/>
        </w:rPr>
        <w:t>;</w:t>
      </w:r>
    </w:p>
    <w:p w14:paraId="7DE1F33E" w14:textId="77777777" w:rsidR="004B2D19" w:rsidRDefault="006E4FAF" w:rsidP="00E83BFE">
      <w:pPr>
        <w:rPr>
          <w:noProof/>
        </w:rPr>
      </w:pPr>
      <w:r>
        <w:rPr>
          <w:noProof/>
        </w:rPr>
        <w:t xml:space="preserve">- The Critical Entities Resilience Group chaired by </w:t>
      </w:r>
      <w:r w:rsidR="007B12A9">
        <w:rPr>
          <w:noProof/>
        </w:rPr>
        <w:t>a Commission representative</w:t>
      </w:r>
      <w:r>
        <w:rPr>
          <w:noProof/>
        </w:rPr>
        <w:t xml:space="preserve"> </w:t>
      </w:r>
      <w:r w:rsidR="007B12A9">
        <w:rPr>
          <w:noProof/>
        </w:rPr>
        <w:t>(</w:t>
      </w:r>
      <w:r w:rsidRPr="00F5654E">
        <w:rPr>
          <w:noProof/>
        </w:rPr>
        <w:t>Directorate-General Migration and Home Affairs</w:t>
      </w:r>
      <w:r w:rsidR="00E564E0">
        <w:rPr>
          <w:noProof/>
        </w:rPr>
        <w:t>)</w:t>
      </w:r>
      <w:r w:rsidR="00B42035">
        <w:rPr>
          <w:noProof/>
        </w:rPr>
        <w:t xml:space="preserve">, </w:t>
      </w:r>
      <w:r>
        <w:rPr>
          <w:noProof/>
        </w:rPr>
        <w:t>established by Directive (EU) 2022/2557</w:t>
      </w:r>
      <w:r w:rsidR="002426C4">
        <w:rPr>
          <w:noProof/>
        </w:rPr>
        <w:t>, and, where appropriate, other relevant expert groups and commit</w:t>
      </w:r>
      <w:r w:rsidR="00EF7EF2">
        <w:rPr>
          <w:noProof/>
        </w:rPr>
        <w:t>t</w:t>
      </w:r>
      <w:r w:rsidR="002426C4">
        <w:rPr>
          <w:noProof/>
        </w:rPr>
        <w:t>ees</w:t>
      </w:r>
      <w:r w:rsidR="004B2D19">
        <w:rPr>
          <w:noProof/>
        </w:rPr>
        <w:t>;</w:t>
      </w:r>
    </w:p>
    <w:p w14:paraId="603D89B5" w14:textId="77777777" w:rsidR="006E4FAF" w:rsidRPr="00E4302C" w:rsidRDefault="006E4FAF" w:rsidP="00E83BFE">
      <w:pPr>
        <w:rPr>
          <w:noProof/>
        </w:rPr>
      </w:pPr>
      <w:r w:rsidRPr="00E4302C">
        <w:rPr>
          <w:noProof/>
        </w:rPr>
        <w:t xml:space="preserve">- The ERCC established under the UCPM by Decision </w:t>
      </w:r>
      <w:r w:rsidRPr="00E4302C">
        <w:rPr>
          <w:noProof/>
          <w:color w:val="333333"/>
        </w:rPr>
        <w:t>No 1313/2013/EU</w:t>
      </w:r>
      <w:r w:rsidRPr="00616967">
        <w:rPr>
          <w:noProof/>
          <w:lang w:val="en-IE"/>
        </w:rPr>
        <w:t xml:space="preserve"> </w:t>
      </w:r>
      <w:r w:rsidR="00616967" w:rsidRPr="00BC4604">
        <w:rPr>
          <w:noProof/>
          <w:lang w:val="en-IE"/>
        </w:rPr>
        <w:t>of the European Parliament and of the Council</w:t>
      </w:r>
      <w:r w:rsidR="00616967" w:rsidRPr="00BC4604">
        <w:rPr>
          <w:rStyle w:val="FootnoteReference"/>
          <w:noProof/>
          <w:lang w:val="en-IE"/>
        </w:rPr>
        <w:footnoteReference w:id="7"/>
      </w:r>
      <w:r w:rsidR="00616967">
        <w:rPr>
          <w:noProof/>
        </w:rPr>
        <w:t xml:space="preserve"> </w:t>
      </w:r>
      <w:r w:rsidRPr="00E4302C">
        <w:rPr>
          <w:noProof/>
        </w:rPr>
        <w:t xml:space="preserve">(24/7 operational emergency management hub under the UCPM located in Directorate-General European Civil Protection and Humanitarian Aid Operations); </w:t>
      </w:r>
    </w:p>
    <w:p w14:paraId="33D8CC15" w14:textId="77777777" w:rsidR="006E4FAF" w:rsidRPr="00E4302C" w:rsidRDefault="006E4FAF" w:rsidP="00E83BFE">
      <w:pPr>
        <w:rPr>
          <w:noProof/>
        </w:rPr>
      </w:pPr>
      <w:r w:rsidRPr="00E4302C">
        <w:rPr>
          <w:noProof/>
        </w:rPr>
        <w:t>- The Cooperation Group as referred to in Article 14 of Directive (EU) 2022/2555;</w:t>
      </w:r>
    </w:p>
    <w:p w14:paraId="1F1A079D" w14:textId="77777777" w:rsidR="006E4FAF" w:rsidRPr="00E4302C" w:rsidRDefault="006E4FAF" w:rsidP="00E83BFE">
      <w:pPr>
        <w:rPr>
          <w:noProof/>
        </w:rPr>
      </w:pPr>
      <w:r w:rsidRPr="00E4302C">
        <w:rPr>
          <w:noProof/>
        </w:rPr>
        <w:t>- The Cyber Situational Awareness and Analysis Centre;</w:t>
      </w:r>
    </w:p>
    <w:p w14:paraId="44A2DE89" w14:textId="77777777" w:rsidR="00C4277C" w:rsidRPr="00E4302C" w:rsidRDefault="00C4277C" w:rsidP="00C4277C">
      <w:pPr>
        <w:rPr>
          <w:noProof/>
        </w:rPr>
      </w:pPr>
      <w:r w:rsidRPr="00E4302C">
        <w:rPr>
          <w:noProof/>
        </w:rPr>
        <w:t xml:space="preserve">- The Health Security Committee, as referred </w:t>
      </w:r>
      <w:r w:rsidR="00A24DEA" w:rsidRPr="00E4302C">
        <w:rPr>
          <w:noProof/>
        </w:rPr>
        <w:t xml:space="preserve">to </w:t>
      </w:r>
      <w:r w:rsidRPr="00E4302C">
        <w:rPr>
          <w:noProof/>
        </w:rPr>
        <w:t>in Article 4 of Regulation (EU) 2022/2371</w:t>
      </w:r>
      <w:r w:rsidR="00603D38" w:rsidRPr="00E4302C">
        <w:rPr>
          <w:rStyle w:val="FootnoteReference"/>
          <w:noProof/>
        </w:rPr>
        <w:footnoteReference w:id="8"/>
      </w:r>
      <w:r w:rsidR="00320CB9" w:rsidRPr="00E4302C">
        <w:rPr>
          <w:noProof/>
        </w:rPr>
        <w:t>;</w:t>
      </w:r>
    </w:p>
    <w:p w14:paraId="37401911" w14:textId="77777777" w:rsidR="006E4FAF" w:rsidRPr="00E4302C" w:rsidRDefault="006E4FAF">
      <w:pPr>
        <w:rPr>
          <w:noProof/>
        </w:rPr>
      </w:pPr>
      <w:r w:rsidRPr="00E4302C">
        <w:rPr>
          <w:noProof/>
        </w:rPr>
        <w:t xml:space="preserve">- The Secretariat-General </w:t>
      </w:r>
      <w:r w:rsidR="6CE95D52" w:rsidRPr="00E4302C">
        <w:rPr>
          <w:noProof/>
        </w:rPr>
        <w:t xml:space="preserve">of the Commission </w:t>
      </w:r>
      <w:r w:rsidRPr="00E4302C">
        <w:rPr>
          <w:noProof/>
        </w:rPr>
        <w:t>(ARGUS secretariat) and the (Deputy) Secretary-General (ARGUS process), Directorate-General Human Resources (Security Directorate);</w:t>
      </w:r>
    </w:p>
    <w:p w14:paraId="310E7F36" w14:textId="77777777" w:rsidR="006E4FAF" w:rsidRDefault="006E4FAF" w:rsidP="00E83BFE">
      <w:pPr>
        <w:rPr>
          <w:noProof/>
        </w:rPr>
      </w:pPr>
      <w:r w:rsidRPr="00E4302C">
        <w:rPr>
          <w:noProof/>
        </w:rPr>
        <w:t xml:space="preserve">- Other </w:t>
      </w:r>
      <w:r w:rsidR="7E6327BD" w:rsidRPr="00E4302C">
        <w:rPr>
          <w:noProof/>
        </w:rPr>
        <w:t>relevant</w:t>
      </w:r>
      <w:r w:rsidRPr="00E4302C">
        <w:rPr>
          <w:noProof/>
        </w:rPr>
        <w:t xml:space="preserve"> Commission expert groups assisting the Commission in the coordination of measures in an emergency or a crisis situation</w:t>
      </w:r>
      <w:r w:rsidR="00B320CC">
        <w:rPr>
          <w:noProof/>
        </w:rPr>
        <w:t>;</w:t>
      </w:r>
      <w:r w:rsidR="00140424">
        <w:rPr>
          <w:noProof/>
        </w:rPr>
        <w:t xml:space="preserve"> </w:t>
      </w:r>
    </w:p>
    <w:p w14:paraId="143312E3" w14:textId="77777777" w:rsidR="006E4FAF" w:rsidRDefault="006E4FAF" w:rsidP="00E83BFE">
      <w:pPr>
        <w:rPr>
          <w:noProof/>
        </w:rPr>
      </w:pPr>
      <w:r>
        <w:rPr>
          <w:noProof/>
        </w:rPr>
        <w:t>- Other crisis management networks</w:t>
      </w:r>
      <w:r w:rsidR="00D059E3">
        <w:rPr>
          <w:noProof/>
        </w:rPr>
        <w:t xml:space="preserve">, including sectoral </w:t>
      </w:r>
      <w:r>
        <w:rPr>
          <w:noProof/>
        </w:rPr>
        <w:t>(e.g. Network of transport contact points managed by Directorate-General Mobility and Transport</w:t>
      </w:r>
      <w:r w:rsidR="00661E46">
        <w:rPr>
          <w:noProof/>
        </w:rPr>
        <w:t>,</w:t>
      </w:r>
      <w:r>
        <w:rPr>
          <w:noProof/>
        </w:rPr>
        <w:t xml:space="preserve"> the </w:t>
      </w:r>
      <w:r w:rsidR="00612C92">
        <w:rPr>
          <w:noProof/>
        </w:rPr>
        <w:t>interinstitutional</w:t>
      </w:r>
      <w:r>
        <w:rPr>
          <w:noProof/>
        </w:rPr>
        <w:t xml:space="preserve"> Cyber Crisis Task Force</w:t>
      </w:r>
      <w:r w:rsidR="009E4FE4">
        <w:rPr>
          <w:rStyle w:val="FootnoteReference"/>
          <w:noProof/>
        </w:rPr>
        <w:footnoteReference w:id="9"/>
      </w:r>
      <w:r w:rsidR="00661E46">
        <w:rPr>
          <w:noProof/>
        </w:rPr>
        <w:t>,</w:t>
      </w:r>
      <w:r w:rsidR="0014498C">
        <w:rPr>
          <w:noProof/>
        </w:rPr>
        <w:t xml:space="preserve"> </w:t>
      </w:r>
      <w:r w:rsidR="0014498C" w:rsidRPr="003D2F34">
        <w:rPr>
          <w:noProof/>
        </w:rPr>
        <w:t>the European Aviation Crisis Coordination cell</w:t>
      </w:r>
      <w:r w:rsidR="00AB6BE1">
        <w:rPr>
          <w:noProof/>
        </w:rPr>
        <w:t>)</w:t>
      </w:r>
      <w:r>
        <w:rPr>
          <w:noProof/>
        </w:rPr>
        <w:t>;</w:t>
      </w:r>
    </w:p>
    <w:p w14:paraId="066840E5" w14:textId="68701AC1" w:rsidR="006E4FAF" w:rsidRDefault="006E4FAF" w:rsidP="00E83BFE">
      <w:pPr>
        <w:rPr>
          <w:noProof/>
        </w:rPr>
      </w:pPr>
      <w:r>
        <w:rPr>
          <w:noProof/>
        </w:rPr>
        <w:t xml:space="preserve">- The President and/or the </w:t>
      </w:r>
      <w:r w:rsidR="00281F65">
        <w:rPr>
          <w:noProof/>
        </w:rPr>
        <w:t xml:space="preserve">responsible </w:t>
      </w:r>
      <w:r>
        <w:rPr>
          <w:noProof/>
        </w:rPr>
        <w:t xml:space="preserve">Vice-President/Commissioner. </w:t>
      </w:r>
    </w:p>
    <w:p w14:paraId="500617C9" w14:textId="77777777" w:rsidR="008D04C1" w:rsidRDefault="008D04C1" w:rsidP="00E83BFE">
      <w:pPr>
        <w:rPr>
          <w:noProof/>
        </w:rPr>
      </w:pPr>
    </w:p>
    <w:p w14:paraId="688E4E08" w14:textId="77777777" w:rsidR="006E4FAF" w:rsidRPr="008D04C1" w:rsidRDefault="006E4FAF" w:rsidP="00E83BFE">
      <w:pPr>
        <w:rPr>
          <w:b/>
          <w:bCs/>
          <w:i/>
          <w:iCs/>
          <w:noProof/>
        </w:rPr>
      </w:pPr>
      <w:r w:rsidRPr="008D04C1">
        <w:rPr>
          <w:b/>
          <w:bCs/>
          <w:i/>
          <w:iCs/>
          <w:noProof/>
        </w:rPr>
        <w:t>d) EEAS</w:t>
      </w:r>
    </w:p>
    <w:p w14:paraId="365475A1" w14:textId="77777777" w:rsidR="006E4FAF" w:rsidRDefault="006E4FAF" w:rsidP="00E83BFE">
      <w:pPr>
        <w:rPr>
          <w:noProof/>
        </w:rPr>
      </w:pPr>
      <w:r>
        <w:rPr>
          <w:noProof/>
        </w:rPr>
        <w:t>- Single Intelligence Analysis Capacity (</w:t>
      </w:r>
      <w:r w:rsidR="00A017EB">
        <w:rPr>
          <w:noProof/>
        </w:rPr>
        <w:t>‘</w:t>
      </w:r>
      <w:r w:rsidR="00B31C7B">
        <w:rPr>
          <w:noProof/>
        </w:rPr>
        <w:t>‘</w:t>
      </w:r>
      <w:r>
        <w:rPr>
          <w:noProof/>
        </w:rPr>
        <w:t>SIAC</w:t>
      </w:r>
      <w:r w:rsidR="00B31C7B">
        <w:rPr>
          <w:noProof/>
        </w:rPr>
        <w:t>’</w:t>
      </w:r>
      <w:r w:rsidR="00A017EB">
        <w:rPr>
          <w:noProof/>
        </w:rPr>
        <w:t>’</w:t>
      </w:r>
      <w:r w:rsidDel="005B52F7">
        <w:rPr>
          <w:noProof/>
        </w:rPr>
        <w:t>)</w:t>
      </w:r>
      <w:r>
        <w:rPr>
          <w:noProof/>
        </w:rPr>
        <w:t xml:space="preserve"> composed of the Intelligence and Situation Centre (</w:t>
      </w:r>
      <w:r w:rsidR="00A017EB">
        <w:rPr>
          <w:noProof/>
        </w:rPr>
        <w:t>‘</w:t>
      </w:r>
      <w:r w:rsidR="00B31C7B">
        <w:rPr>
          <w:noProof/>
        </w:rPr>
        <w:t>‘</w:t>
      </w:r>
      <w:r>
        <w:rPr>
          <w:noProof/>
        </w:rPr>
        <w:t>IntCen</w:t>
      </w:r>
      <w:r w:rsidR="00B31C7B">
        <w:rPr>
          <w:noProof/>
        </w:rPr>
        <w:t>’</w:t>
      </w:r>
      <w:r w:rsidR="00A017EB">
        <w:rPr>
          <w:noProof/>
        </w:rPr>
        <w:t>’</w:t>
      </w:r>
      <w:r>
        <w:rPr>
          <w:noProof/>
        </w:rPr>
        <w:t>) and the EU Military Staff Intelligence Directorate (</w:t>
      </w:r>
      <w:r w:rsidR="00217602">
        <w:rPr>
          <w:noProof/>
        </w:rPr>
        <w:t>‘</w:t>
      </w:r>
      <w:r w:rsidR="00B31C7B">
        <w:rPr>
          <w:noProof/>
        </w:rPr>
        <w:t>‘</w:t>
      </w:r>
      <w:r>
        <w:rPr>
          <w:noProof/>
        </w:rPr>
        <w:t>EUMS Int</w:t>
      </w:r>
      <w:r w:rsidR="00217602">
        <w:rPr>
          <w:noProof/>
        </w:rPr>
        <w:t>’</w:t>
      </w:r>
      <w:r w:rsidR="00B31C7B">
        <w:rPr>
          <w:noProof/>
        </w:rPr>
        <w:t>’</w:t>
      </w:r>
      <w:r>
        <w:rPr>
          <w:noProof/>
        </w:rPr>
        <w:t>);</w:t>
      </w:r>
    </w:p>
    <w:p w14:paraId="61316A77" w14:textId="77777777" w:rsidR="006E4FAF" w:rsidRDefault="006E4FAF" w:rsidP="00E83BFE">
      <w:pPr>
        <w:rPr>
          <w:noProof/>
        </w:rPr>
      </w:pPr>
      <w:r>
        <w:rPr>
          <w:noProof/>
        </w:rPr>
        <w:t>- Crisis Response Centre (</w:t>
      </w:r>
      <w:r w:rsidR="00217602">
        <w:rPr>
          <w:noProof/>
        </w:rPr>
        <w:t>‘</w:t>
      </w:r>
      <w:r w:rsidR="00000075">
        <w:rPr>
          <w:noProof/>
        </w:rPr>
        <w:t>‘</w:t>
      </w:r>
      <w:r>
        <w:rPr>
          <w:noProof/>
        </w:rPr>
        <w:t>CRC</w:t>
      </w:r>
      <w:r w:rsidR="00000075">
        <w:rPr>
          <w:noProof/>
        </w:rPr>
        <w:t>’</w:t>
      </w:r>
      <w:r w:rsidR="00217602">
        <w:rPr>
          <w:noProof/>
        </w:rPr>
        <w:t>’</w:t>
      </w:r>
      <w:r>
        <w:rPr>
          <w:noProof/>
        </w:rPr>
        <w:t xml:space="preserve">); </w:t>
      </w:r>
    </w:p>
    <w:p w14:paraId="3FCE5449" w14:textId="14CB59DB" w:rsidR="006E4FAF" w:rsidRDefault="006E4FAF" w:rsidP="00E83BFE">
      <w:pPr>
        <w:rPr>
          <w:noProof/>
        </w:rPr>
      </w:pPr>
      <w:r>
        <w:rPr>
          <w:noProof/>
        </w:rPr>
        <w:t xml:space="preserve">- The High Representative of the Union for Foreign Affairs and Security Policy/Vice-President of the Commission. </w:t>
      </w:r>
    </w:p>
    <w:p w14:paraId="5842E63F" w14:textId="77777777" w:rsidR="008D04C1" w:rsidRDefault="008D04C1" w:rsidP="00E83BFE">
      <w:pPr>
        <w:rPr>
          <w:noProof/>
        </w:rPr>
      </w:pPr>
    </w:p>
    <w:p w14:paraId="6984546D" w14:textId="7D8A7205" w:rsidR="006E4FAF" w:rsidRPr="008D04C1" w:rsidRDefault="006E4FAF" w:rsidP="00E83BFE">
      <w:pPr>
        <w:rPr>
          <w:b/>
          <w:bCs/>
          <w:i/>
          <w:iCs/>
          <w:noProof/>
        </w:rPr>
      </w:pPr>
      <w:r w:rsidRPr="008D04C1">
        <w:rPr>
          <w:b/>
          <w:bCs/>
          <w:i/>
          <w:iCs/>
          <w:noProof/>
        </w:rPr>
        <w:t>e) Relevant U</w:t>
      </w:r>
      <w:r w:rsidR="00786944" w:rsidRPr="008D04C1">
        <w:rPr>
          <w:b/>
          <w:bCs/>
          <w:i/>
          <w:iCs/>
          <w:noProof/>
        </w:rPr>
        <w:t>nion</w:t>
      </w:r>
      <w:r w:rsidRPr="008D04C1">
        <w:rPr>
          <w:b/>
          <w:bCs/>
          <w:i/>
          <w:iCs/>
          <w:noProof/>
        </w:rPr>
        <w:t xml:space="preserve"> bodies, and offices,</w:t>
      </w:r>
      <w:r w:rsidR="003642B8" w:rsidRPr="008D04C1">
        <w:rPr>
          <w:b/>
          <w:bCs/>
          <w:i/>
          <w:iCs/>
          <w:noProof/>
        </w:rPr>
        <w:t xml:space="preserve"> </w:t>
      </w:r>
      <w:r w:rsidR="00B84A53" w:rsidRPr="008D04C1">
        <w:rPr>
          <w:b/>
          <w:bCs/>
          <w:i/>
          <w:iCs/>
          <w:noProof/>
        </w:rPr>
        <w:t>and relevant</w:t>
      </w:r>
      <w:r w:rsidR="00FA50BA" w:rsidRPr="008D04C1">
        <w:rPr>
          <w:b/>
          <w:bCs/>
          <w:i/>
          <w:iCs/>
          <w:noProof/>
        </w:rPr>
        <w:t xml:space="preserve"> Union</w:t>
      </w:r>
      <w:r w:rsidRPr="008D04C1">
        <w:rPr>
          <w:b/>
          <w:bCs/>
          <w:i/>
          <w:iCs/>
          <w:noProof/>
        </w:rPr>
        <w:t xml:space="preserve"> agencies</w:t>
      </w:r>
      <w:r w:rsidR="00FA50BA" w:rsidRPr="008D04C1">
        <w:rPr>
          <w:b/>
          <w:bCs/>
          <w:i/>
          <w:iCs/>
          <w:noProof/>
        </w:rPr>
        <w:t>,</w:t>
      </w:r>
      <w:r w:rsidRPr="008D04C1">
        <w:rPr>
          <w:b/>
          <w:bCs/>
          <w:i/>
          <w:iCs/>
          <w:noProof/>
        </w:rPr>
        <w:t xml:space="preserve"> such as Europol</w:t>
      </w:r>
      <w:r w:rsidR="00AD5AD9" w:rsidRPr="008D04C1">
        <w:rPr>
          <w:b/>
          <w:bCs/>
          <w:i/>
          <w:iCs/>
          <w:noProof/>
        </w:rPr>
        <w:t>,</w:t>
      </w:r>
      <w:r w:rsidRPr="008D04C1">
        <w:rPr>
          <w:b/>
          <w:bCs/>
          <w:i/>
          <w:iCs/>
          <w:noProof/>
        </w:rPr>
        <w:t xml:space="preserve"> depending on the sector(s) affected</w:t>
      </w:r>
      <w:r w:rsidRPr="008D04C1">
        <w:rPr>
          <w:rStyle w:val="FootnoteReference"/>
          <w:b/>
          <w:bCs/>
          <w:i/>
          <w:iCs/>
          <w:noProof/>
        </w:rPr>
        <w:footnoteReference w:id="10"/>
      </w:r>
      <w:r w:rsidRPr="008D04C1">
        <w:rPr>
          <w:b/>
          <w:bCs/>
          <w:i/>
          <w:iCs/>
          <w:noProof/>
        </w:rPr>
        <w:t>.</w:t>
      </w:r>
    </w:p>
    <w:p w14:paraId="43453542" w14:textId="77777777" w:rsidR="008D04C1" w:rsidRPr="008D04C1" w:rsidRDefault="008D04C1" w:rsidP="00E83BFE">
      <w:pPr>
        <w:rPr>
          <w:b/>
          <w:bCs/>
          <w:noProof/>
        </w:rPr>
      </w:pPr>
    </w:p>
    <w:p w14:paraId="14A7C69F" w14:textId="77777777" w:rsidR="006E4FAF" w:rsidRPr="00007AE8" w:rsidRDefault="006E4FAF" w:rsidP="00474FA2">
      <w:pPr>
        <w:pStyle w:val="ManualHeading2"/>
        <w:rPr>
          <w:noProof/>
        </w:rPr>
      </w:pPr>
      <w:r w:rsidRPr="00007AE8">
        <w:rPr>
          <w:noProof/>
        </w:rPr>
        <w:t xml:space="preserve">4. Interplay with </w:t>
      </w:r>
      <w:r w:rsidR="00823462">
        <w:rPr>
          <w:noProof/>
        </w:rPr>
        <w:t xml:space="preserve">other </w:t>
      </w:r>
      <w:r w:rsidR="007D537F">
        <w:rPr>
          <w:bCs/>
          <w:noProof/>
        </w:rPr>
        <w:t>relevant</w:t>
      </w:r>
      <w:r w:rsidR="00EB6BB4">
        <w:rPr>
          <w:bCs/>
          <w:noProof/>
        </w:rPr>
        <w:t xml:space="preserve"> </w:t>
      </w:r>
      <w:r w:rsidR="00A53A5F">
        <w:rPr>
          <w:bCs/>
          <w:noProof/>
        </w:rPr>
        <w:t xml:space="preserve">crisis </w:t>
      </w:r>
      <w:r w:rsidR="713FC10D">
        <w:rPr>
          <w:noProof/>
        </w:rPr>
        <w:t xml:space="preserve">management </w:t>
      </w:r>
      <w:r>
        <w:rPr>
          <w:noProof/>
        </w:rPr>
        <w:t>mechanism</w:t>
      </w:r>
      <w:r w:rsidR="464480B0">
        <w:rPr>
          <w:noProof/>
        </w:rPr>
        <w:t>s</w:t>
      </w:r>
      <w:r w:rsidR="00B74EC1">
        <w:rPr>
          <w:noProof/>
        </w:rPr>
        <w:t xml:space="preserve"> </w:t>
      </w:r>
      <w:r w:rsidR="002D0C5B">
        <w:rPr>
          <w:bCs/>
          <w:noProof/>
        </w:rPr>
        <w:t>and instruments</w:t>
      </w:r>
    </w:p>
    <w:p w14:paraId="037B8042" w14:textId="77777777" w:rsidR="00EB503D" w:rsidRDefault="006E4FAF" w:rsidP="00432DB4">
      <w:pPr>
        <w:rPr>
          <w:noProof/>
        </w:rPr>
      </w:pPr>
      <w:r>
        <w:rPr>
          <w:noProof/>
        </w:rPr>
        <w:t xml:space="preserve">The Critical Infrastructure Blueprint is a flexible tool that maps </w:t>
      </w:r>
      <w:r w:rsidR="43C0C728">
        <w:rPr>
          <w:noProof/>
        </w:rPr>
        <w:t xml:space="preserve">various </w:t>
      </w:r>
      <w:r>
        <w:rPr>
          <w:noProof/>
        </w:rPr>
        <w:t>action</w:t>
      </w:r>
      <w:r w:rsidR="1658482A">
        <w:rPr>
          <w:noProof/>
        </w:rPr>
        <w:t>s</w:t>
      </w:r>
      <w:r>
        <w:rPr>
          <w:noProof/>
        </w:rPr>
        <w:t xml:space="preserve"> that c</w:t>
      </w:r>
      <w:r w:rsidR="3E70E989">
        <w:rPr>
          <w:noProof/>
        </w:rPr>
        <w:t>ould</w:t>
      </w:r>
      <w:r>
        <w:rPr>
          <w:noProof/>
        </w:rPr>
        <w:t xml:space="preserve"> be taken partially or fully</w:t>
      </w:r>
      <w:r w:rsidR="3C16A5E4">
        <w:rPr>
          <w:noProof/>
        </w:rPr>
        <w:t xml:space="preserve"> </w:t>
      </w:r>
      <w:r w:rsidR="3C16A5E4" w:rsidRPr="007F696F">
        <w:rPr>
          <w:rFonts w:eastAsia="Times New Roman"/>
          <w:noProof/>
          <w:szCs w:val="24"/>
        </w:rPr>
        <w:t>using different existing arrangements</w:t>
      </w:r>
      <w:r w:rsidRPr="007F696F">
        <w:rPr>
          <w:noProof/>
        </w:rPr>
        <w:t xml:space="preserve">, </w:t>
      </w:r>
      <w:r>
        <w:rPr>
          <w:noProof/>
        </w:rPr>
        <w:t>depending on the nature and gravity of the significant critical infrastructure incident and on the need for operational, strategic</w:t>
      </w:r>
      <w:r w:rsidR="0080074F">
        <w:rPr>
          <w:noProof/>
        </w:rPr>
        <w:t>/</w:t>
      </w:r>
      <w:r>
        <w:rPr>
          <w:noProof/>
        </w:rPr>
        <w:t>political coordination.</w:t>
      </w:r>
      <w:r w:rsidR="00EB503D">
        <w:rPr>
          <w:noProof/>
        </w:rPr>
        <w:t xml:space="preserve"> </w:t>
      </w:r>
    </w:p>
    <w:p w14:paraId="33F403D2" w14:textId="1BE2A879" w:rsidR="006E4FAF" w:rsidRPr="00474FA2" w:rsidRDefault="006E4FAF" w:rsidP="00474FA2">
      <w:pPr>
        <w:pStyle w:val="ManualHeading3"/>
        <w:rPr>
          <w:b/>
          <w:bCs/>
          <w:noProof/>
        </w:rPr>
      </w:pPr>
      <w:r w:rsidRPr="00474FA2">
        <w:rPr>
          <w:b/>
          <w:bCs/>
          <w:noProof/>
        </w:rPr>
        <w:t>a) The EU Protocol on countering hybrid threats</w:t>
      </w:r>
      <w:r w:rsidRPr="00474FA2">
        <w:rPr>
          <w:rStyle w:val="FootnoteReference"/>
          <w:b/>
          <w:bCs/>
          <w:iCs/>
          <w:noProof/>
        </w:rPr>
        <w:footnoteReference w:id="11"/>
      </w:r>
      <w:r w:rsidRPr="00474FA2">
        <w:rPr>
          <w:b/>
          <w:bCs/>
          <w:noProof/>
        </w:rPr>
        <w:t xml:space="preserve"> (</w:t>
      </w:r>
      <w:r w:rsidR="00217602">
        <w:rPr>
          <w:b/>
          <w:bCs/>
          <w:noProof/>
        </w:rPr>
        <w:t>‘</w:t>
      </w:r>
      <w:r w:rsidR="008E612B">
        <w:rPr>
          <w:b/>
          <w:bCs/>
          <w:noProof/>
        </w:rPr>
        <w:t>‘</w:t>
      </w:r>
      <w:r w:rsidRPr="00474FA2">
        <w:rPr>
          <w:b/>
          <w:bCs/>
          <w:noProof/>
        </w:rPr>
        <w:t>EU Protocol</w:t>
      </w:r>
      <w:r w:rsidR="00217602">
        <w:rPr>
          <w:b/>
          <w:bCs/>
          <w:noProof/>
        </w:rPr>
        <w:t>’</w:t>
      </w:r>
      <w:r w:rsidR="008E612B">
        <w:rPr>
          <w:b/>
          <w:bCs/>
          <w:noProof/>
        </w:rPr>
        <w:t>’</w:t>
      </w:r>
      <w:r w:rsidRPr="00474FA2">
        <w:rPr>
          <w:b/>
          <w:bCs/>
          <w:noProof/>
        </w:rPr>
        <w:t xml:space="preserve">) </w:t>
      </w:r>
    </w:p>
    <w:p w14:paraId="334370B2" w14:textId="77777777" w:rsidR="006E4FAF" w:rsidRDefault="006E4FAF" w:rsidP="00432DB4">
      <w:pPr>
        <w:rPr>
          <w:noProof/>
        </w:rPr>
      </w:pPr>
      <w:r>
        <w:rPr>
          <w:noProof/>
        </w:rPr>
        <w:t>The EU Protocol applies in the case of hybrid threats</w:t>
      </w:r>
      <w:r>
        <w:rPr>
          <w:rStyle w:val="FootnoteReference"/>
          <w:noProof/>
        </w:rPr>
        <w:footnoteReference w:id="12"/>
      </w:r>
      <w:r>
        <w:rPr>
          <w:noProof/>
        </w:rPr>
        <w:t xml:space="preserve"> by giving an outline of processes and tools applicable in case of such threats or campaigns. </w:t>
      </w:r>
    </w:p>
    <w:p w14:paraId="3D473B99" w14:textId="77777777" w:rsidR="006E4FAF" w:rsidRDefault="006E4FAF" w:rsidP="00432DB4">
      <w:pPr>
        <w:rPr>
          <w:noProof/>
        </w:rPr>
      </w:pPr>
      <w:r>
        <w:rPr>
          <w:noProof/>
        </w:rPr>
        <w:t xml:space="preserve">In case of a significant critical infrastructure incident with a hybrid dimension, the EU Protocol applies in complementarity with the Critical Infrastructure Blueprint, where appropriate, e.g. for specific information, analysis or communication on hybrid aspects of the significant critical infrastructure incident and regarding cooperation with external partners. </w:t>
      </w:r>
    </w:p>
    <w:p w14:paraId="70C63BBD" w14:textId="77777777" w:rsidR="006E4FAF" w:rsidRPr="00474FA2" w:rsidRDefault="006E4FAF" w:rsidP="004E1E72">
      <w:pPr>
        <w:pStyle w:val="ManualHeading3"/>
        <w:ind w:left="0" w:firstLine="0"/>
        <w:rPr>
          <w:b/>
          <w:bCs/>
          <w:noProof/>
        </w:rPr>
      </w:pPr>
      <w:r w:rsidRPr="00474FA2">
        <w:rPr>
          <w:b/>
          <w:bCs/>
          <w:noProof/>
        </w:rPr>
        <w:t xml:space="preserve">b) The Blueprint for coordinated response to large-scale cross-border cybersecurity incidents and crises </w:t>
      </w:r>
    </w:p>
    <w:p w14:paraId="7FEEB5B8" w14:textId="77777777" w:rsidR="006E4FAF" w:rsidRDefault="006E4FAF" w:rsidP="00432DB4">
      <w:pPr>
        <w:rPr>
          <w:noProof/>
        </w:rPr>
      </w:pPr>
      <w:r>
        <w:rPr>
          <w:noProof/>
        </w:rPr>
        <w:t xml:space="preserve">The Cyber Blueprint </w:t>
      </w:r>
      <w:r w:rsidR="006E07E0">
        <w:rPr>
          <w:noProof/>
        </w:rPr>
        <w:t>applies</w:t>
      </w:r>
      <w:r w:rsidR="44352912">
        <w:rPr>
          <w:noProof/>
        </w:rPr>
        <w:t xml:space="preserve"> for </w:t>
      </w:r>
      <w:r w:rsidR="00AA00C9">
        <w:rPr>
          <w:noProof/>
        </w:rPr>
        <w:t xml:space="preserve">large-scale </w:t>
      </w:r>
      <w:r w:rsidR="44352912">
        <w:rPr>
          <w:noProof/>
        </w:rPr>
        <w:t>cross-border incident</w:t>
      </w:r>
      <w:r w:rsidR="00AA00C9">
        <w:rPr>
          <w:noProof/>
        </w:rPr>
        <w:t>s</w:t>
      </w:r>
      <w:r w:rsidR="44352912">
        <w:rPr>
          <w:noProof/>
        </w:rPr>
        <w:t xml:space="preserve"> </w:t>
      </w:r>
      <w:r w:rsidR="00847775">
        <w:rPr>
          <w:noProof/>
        </w:rPr>
        <w:t xml:space="preserve">which </w:t>
      </w:r>
      <w:r w:rsidR="00847775" w:rsidRPr="00A9371B">
        <w:rPr>
          <w:noProof/>
        </w:rPr>
        <w:t>cause disruption too extensive for a concerned Member State to handle on its own or which affect two or more Member States or EU institutions with such a wide-ranging and significant impact of technical or political significance that they require timely policy coordination and response at Union political level.</w:t>
      </w:r>
    </w:p>
    <w:p w14:paraId="03BE61FD" w14:textId="16A20AAC" w:rsidR="006E4FAF" w:rsidRDefault="006E4FAF" w:rsidP="00432DB4">
      <w:pPr>
        <w:rPr>
          <w:noProof/>
        </w:rPr>
      </w:pPr>
      <w:bookmarkStart w:id="2" w:name="_Hlk141367791"/>
      <w:r>
        <w:rPr>
          <w:noProof/>
        </w:rPr>
        <w:t xml:space="preserve">In case of a significant critical infrastructure incident </w:t>
      </w:r>
      <w:r w:rsidR="00373D2C">
        <w:rPr>
          <w:noProof/>
        </w:rPr>
        <w:t>which co</w:t>
      </w:r>
      <w:r w:rsidR="00966E4D">
        <w:rPr>
          <w:noProof/>
        </w:rPr>
        <w:t xml:space="preserve">incides </w:t>
      </w:r>
      <w:r>
        <w:rPr>
          <w:noProof/>
        </w:rPr>
        <w:t>with</w:t>
      </w:r>
      <w:r w:rsidR="00966E4D">
        <w:rPr>
          <w:noProof/>
        </w:rPr>
        <w:t>, or appears to be related to</w:t>
      </w:r>
      <w:r w:rsidR="00DC29C9">
        <w:rPr>
          <w:noProof/>
        </w:rPr>
        <w:t>,</w:t>
      </w:r>
      <w:r>
        <w:rPr>
          <w:noProof/>
        </w:rPr>
        <w:t xml:space="preserve"> </w:t>
      </w:r>
      <w:r w:rsidR="00513464" w:rsidRPr="005B2114">
        <w:rPr>
          <w:noProof/>
        </w:rPr>
        <w:t>a large</w:t>
      </w:r>
      <w:r w:rsidR="00DC29C9">
        <w:rPr>
          <w:noProof/>
        </w:rPr>
        <w:t>-</w:t>
      </w:r>
      <w:r w:rsidR="00513464" w:rsidRPr="005B2114">
        <w:rPr>
          <w:noProof/>
        </w:rPr>
        <w:t>scale cybersecurity incident, the relevant Council working groups determine appropriate coordination at an operational level</w:t>
      </w:r>
      <w:r w:rsidR="00DC29C9">
        <w:rPr>
          <w:noProof/>
        </w:rPr>
        <w:t>,</w:t>
      </w:r>
      <w:r>
        <w:rPr>
          <w:noProof/>
        </w:rPr>
        <w:t xml:space="preserve"> </w:t>
      </w:r>
      <w:r w:rsidR="005277D3">
        <w:rPr>
          <w:noProof/>
        </w:rPr>
        <w:t xml:space="preserve">including with the EU-CyCLONe </w:t>
      </w:r>
      <w:r w:rsidR="00FA009F">
        <w:rPr>
          <w:noProof/>
        </w:rPr>
        <w:t>or through</w:t>
      </w:r>
      <w:r>
        <w:rPr>
          <w:noProof/>
        </w:rPr>
        <w:t xml:space="preserve"> a joint meeting of the Critical Entities Resilience Group with the Cooperation Group</w:t>
      </w:r>
      <w:r w:rsidR="000844ED">
        <w:rPr>
          <w:noProof/>
        </w:rPr>
        <w:t>.</w:t>
      </w:r>
      <w:r>
        <w:rPr>
          <w:noProof/>
        </w:rPr>
        <w:t xml:space="preserve"> </w:t>
      </w:r>
      <w:bookmarkEnd w:id="2"/>
      <w:r>
        <w:rPr>
          <w:noProof/>
        </w:rPr>
        <w:t xml:space="preserve">The purpose of the coordination </w:t>
      </w:r>
      <w:r w:rsidR="0084689E">
        <w:rPr>
          <w:noProof/>
        </w:rPr>
        <w:t>is</w:t>
      </w:r>
      <w:r>
        <w:rPr>
          <w:noProof/>
        </w:rPr>
        <w:t xml:space="preserve"> to determine which actor, tool(s) or mechanism(s) could contribute most effectively to responding to the </w:t>
      </w:r>
      <w:r w:rsidRPr="1AF1B9E0">
        <w:rPr>
          <w:rFonts w:eastAsia="Times New Roman"/>
          <w:noProof/>
        </w:rPr>
        <w:t>significant critical infrastructure incident</w:t>
      </w:r>
      <w:r>
        <w:rPr>
          <w:noProof/>
        </w:rPr>
        <w:t xml:space="preserve"> while avoiding duplication and parallel work strands. </w:t>
      </w:r>
    </w:p>
    <w:p w14:paraId="39C1CA0D" w14:textId="6165F8C8" w:rsidR="006E4FAF" w:rsidRPr="00BC4604" w:rsidRDefault="006E4FAF" w:rsidP="007F5200">
      <w:pPr>
        <w:ind w:left="850" w:hanging="850"/>
        <w:rPr>
          <w:rFonts w:eastAsia="Times New Roman"/>
          <w:b/>
          <w:bCs/>
          <w:iCs/>
          <w:noProof/>
          <w:color w:val="008080"/>
          <w:szCs w:val="24"/>
        </w:rPr>
      </w:pPr>
      <w:r w:rsidRPr="004E1E72">
        <w:rPr>
          <w:b/>
          <w:bCs/>
          <w:i/>
          <w:iCs/>
          <w:noProof/>
        </w:rPr>
        <w:t>c)</w:t>
      </w:r>
      <w:r w:rsidRPr="00BC4604">
        <w:rPr>
          <w:b/>
          <w:bCs/>
          <w:noProof/>
        </w:rPr>
        <w:t xml:space="preserve"> </w:t>
      </w:r>
      <w:r w:rsidR="267721B6" w:rsidRPr="00BC4604">
        <w:rPr>
          <w:rFonts w:eastAsia="Times New Roman"/>
          <w:b/>
          <w:bCs/>
          <w:i/>
          <w:iCs/>
          <w:noProof/>
          <w:szCs w:val="24"/>
        </w:rPr>
        <w:t>Union Civil Protection Mechanism</w:t>
      </w:r>
      <w:r w:rsidR="00527BAF">
        <w:rPr>
          <w:rFonts w:eastAsia="Times New Roman"/>
          <w:b/>
          <w:bCs/>
          <w:i/>
          <w:iCs/>
          <w:noProof/>
          <w:szCs w:val="24"/>
        </w:rPr>
        <w:t xml:space="preserve"> and the </w:t>
      </w:r>
      <w:r w:rsidR="00527BAF" w:rsidRPr="00527BAF">
        <w:rPr>
          <w:rFonts w:eastAsia="Times New Roman"/>
          <w:b/>
          <w:bCs/>
          <w:i/>
          <w:iCs/>
          <w:noProof/>
          <w:szCs w:val="24"/>
        </w:rPr>
        <w:t>Emergency Response Coordination Centre</w:t>
      </w:r>
    </w:p>
    <w:p w14:paraId="5A7135D4" w14:textId="77777777" w:rsidR="006E4FAF" w:rsidRPr="008B2234" w:rsidRDefault="267721B6" w:rsidP="001B211B">
      <w:pPr>
        <w:tabs>
          <w:tab w:val="left" w:pos="720"/>
        </w:tabs>
        <w:rPr>
          <w:noProof/>
        </w:rPr>
      </w:pPr>
      <w:r w:rsidRPr="00BC4604">
        <w:rPr>
          <w:rFonts w:eastAsia="Times New Roman"/>
          <w:noProof/>
        </w:rPr>
        <w:t>In line with Decision No 1313/2013/EU</w:t>
      </w:r>
      <w:r w:rsidR="00F10AB5" w:rsidRPr="00BC4604">
        <w:rPr>
          <w:rFonts w:eastAsia="Times New Roman"/>
          <w:noProof/>
        </w:rPr>
        <w:t xml:space="preserve"> </w:t>
      </w:r>
      <w:r w:rsidRPr="00BC4604">
        <w:rPr>
          <w:rFonts w:eastAsia="Times New Roman"/>
          <w:noProof/>
        </w:rPr>
        <w:t xml:space="preserve">on a Union Civil Protection Mechanism, operational responses </w:t>
      </w:r>
      <w:r w:rsidR="00B35596" w:rsidRPr="00BC4604">
        <w:rPr>
          <w:rFonts w:eastAsia="Times New Roman"/>
          <w:noProof/>
        </w:rPr>
        <w:t xml:space="preserve">under the UCPM </w:t>
      </w:r>
      <w:r w:rsidRPr="00BC4604">
        <w:rPr>
          <w:rFonts w:eastAsia="Times New Roman"/>
          <w:noProof/>
        </w:rPr>
        <w:t xml:space="preserve">to actual or imminent natural and human-induced disasters </w:t>
      </w:r>
      <w:r w:rsidR="00E313C1" w:rsidRPr="00BC4604">
        <w:rPr>
          <w:rFonts w:eastAsia="Times New Roman"/>
          <w:noProof/>
        </w:rPr>
        <w:t xml:space="preserve">(including those involving critical infrastructure disruptions) </w:t>
      </w:r>
      <w:r w:rsidRPr="00BC4604">
        <w:rPr>
          <w:rFonts w:eastAsia="Times New Roman"/>
          <w:noProof/>
        </w:rPr>
        <w:t>within and outside the U</w:t>
      </w:r>
      <w:r w:rsidR="00AB107E">
        <w:rPr>
          <w:rFonts w:eastAsia="Times New Roman"/>
          <w:noProof/>
        </w:rPr>
        <w:t>nion</w:t>
      </w:r>
      <w:r w:rsidR="00F54E7F" w:rsidRPr="00BC4604">
        <w:rPr>
          <w:rFonts w:eastAsia="Times New Roman"/>
          <w:noProof/>
        </w:rPr>
        <w:t xml:space="preserve"> </w:t>
      </w:r>
      <w:r w:rsidRPr="00BC4604">
        <w:rPr>
          <w:rFonts w:eastAsia="Times New Roman"/>
          <w:noProof/>
        </w:rPr>
        <w:t xml:space="preserve">are led by the ERCC, the Commission’s single 24/7 operational hub managing crisis responses. In such instances, the ERCC can provide early warning, notification, analysis, and support information-sharing and, in the event of a UCPM activation by a Member State, the deployment of operational assistance and experts to affected areas. In addition, the ERCC can facilitate sectoral and cross-sectoral coordination at both </w:t>
      </w:r>
      <w:r w:rsidR="00184E42" w:rsidRPr="00BC4604">
        <w:rPr>
          <w:rFonts w:eastAsia="Times New Roman"/>
          <w:noProof/>
        </w:rPr>
        <w:t>Union</w:t>
      </w:r>
      <w:r w:rsidRPr="00BC4604">
        <w:rPr>
          <w:rFonts w:eastAsia="Times New Roman"/>
          <w:noProof/>
        </w:rPr>
        <w:t xml:space="preserve"> level and between the </w:t>
      </w:r>
      <w:r w:rsidR="00184E42" w:rsidRPr="00BC4604">
        <w:rPr>
          <w:rFonts w:eastAsia="Times New Roman"/>
          <w:noProof/>
        </w:rPr>
        <w:t>Union</w:t>
      </w:r>
      <w:r w:rsidRPr="00BC4604">
        <w:rPr>
          <w:rFonts w:eastAsia="Times New Roman"/>
          <w:noProof/>
        </w:rPr>
        <w:t xml:space="preserve"> and relevant national authorities, including ones responsible for civil protection and critical infrastructure resilience.</w:t>
      </w:r>
    </w:p>
    <w:p w14:paraId="442AEF71" w14:textId="2005EDCB" w:rsidR="006E4FAF" w:rsidRPr="00CD00A1" w:rsidRDefault="003C7AD5" w:rsidP="0A4B3893">
      <w:pPr>
        <w:pStyle w:val="ManualHeading3"/>
        <w:ind w:left="0" w:firstLine="0"/>
        <w:rPr>
          <w:b/>
          <w:bCs/>
          <w:noProof/>
        </w:rPr>
      </w:pPr>
      <w:r w:rsidRPr="00CD00A1">
        <w:rPr>
          <w:b/>
          <w:bCs/>
          <w:noProof/>
        </w:rPr>
        <w:t>d</w:t>
      </w:r>
      <w:r w:rsidR="4BBE09D2" w:rsidRPr="00CD00A1">
        <w:rPr>
          <w:b/>
          <w:bCs/>
          <w:noProof/>
        </w:rPr>
        <w:t xml:space="preserve">) </w:t>
      </w:r>
      <w:r w:rsidR="006E4FAF" w:rsidRPr="00CD00A1">
        <w:rPr>
          <w:b/>
          <w:bCs/>
          <w:noProof/>
        </w:rPr>
        <w:t>Other sectoral or cross-sectoral</w:t>
      </w:r>
      <w:r w:rsidR="002D0C5B" w:rsidRPr="00CD00A1">
        <w:rPr>
          <w:b/>
          <w:bCs/>
          <w:noProof/>
        </w:rPr>
        <w:t xml:space="preserve"> </w:t>
      </w:r>
      <w:r w:rsidR="006E4FAF" w:rsidRPr="00CD00A1">
        <w:rPr>
          <w:b/>
          <w:bCs/>
          <w:noProof/>
        </w:rPr>
        <w:t>mechanism</w:t>
      </w:r>
      <w:r w:rsidR="002D0C5B" w:rsidRPr="00CD00A1">
        <w:rPr>
          <w:b/>
          <w:bCs/>
          <w:noProof/>
        </w:rPr>
        <w:t>s and</w:t>
      </w:r>
      <w:r w:rsidR="006E4FAF" w:rsidRPr="00CD00A1">
        <w:rPr>
          <w:b/>
          <w:bCs/>
          <w:noProof/>
        </w:rPr>
        <w:t xml:space="preserve"> instruments</w:t>
      </w:r>
    </w:p>
    <w:p w14:paraId="3E308B55" w14:textId="4E39A709" w:rsidR="006E4FAF" w:rsidRPr="00CD7E8E" w:rsidRDefault="006E4FAF" w:rsidP="00432DB4">
      <w:pPr>
        <w:rPr>
          <w:noProof/>
          <w:lang w:val="en-US"/>
        </w:rPr>
      </w:pPr>
      <w:r w:rsidRPr="00CD00A1">
        <w:rPr>
          <w:noProof/>
        </w:rPr>
        <w:t>Th</w:t>
      </w:r>
      <w:r w:rsidR="00DC29C9">
        <w:rPr>
          <w:noProof/>
        </w:rPr>
        <w:t>e</w:t>
      </w:r>
      <w:r w:rsidRPr="00CD00A1">
        <w:rPr>
          <w:noProof/>
        </w:rPr>
        <w:t xml:space="preserve"> </w:t>
      </w:r>
      <w:r w:rsidR="5830FA9C" w:rsidRPr="00CD00A1">
        <w:rPr>
          <w:noProof/>
        </w:rPr>
        <w:t>Critical Infrastructure</w:t>
      </w:r>
      <w:r w:rsidRPr="00CD00A1">
        <w:rPr>
          <w:noProof/>
        </w:rPr>
        <w:t xml:space="preserve"> Blueprint </w:t>
      </w:r>
      <w:r w:rsidR="00C72966" w:rsidRPr="00CD00A1">
        <w:rPr>
          <w:noProof/>
        </w:rPr>
        <w:t>does</w:t>
      </w:r>
      <w:r w:rsidRPr="00CD00A1">
        <w:rPr>
          <w:noProof/>
        </w:rPr>
        <w:t xml:space="preserve"> not duplicate </w:t>
      </w:r>
      <w:r w:rsidR="009A64BC" w:rsidRPr="00CD00A1">
        <w:rPr>
          <w:noProof/>
        </w:rPr>
        <w:t xml:space="preserve">other </w:t>
      </w:r>
      <w:r w:rsidRPr="00CD00A1">
        <w:rPr>
          <w:noProof/>
        </w:rPr>
        <w:t>sectoral or cross-sectoral crisis management tools or coordination mechanisms</w:t>
      </w:r>
      <w:r w:rsidR="00CD00A1">
        <w:rPr>
          <w:noProof/>
        </w:rPr>
        <w:t xml:space="preserve">. </w:t>
      </w:r>
      <w:r w:rsidRPr="00CD00A1">
        <w:rPr>
          <w:noProof/>
        </w:rPr>
        <w:t>Where such tools or mechanisms already exist in the affected sector, th</w:t>
      </w:r>
      <w:r w:rsidR="00DC29C9">
        <w:rPr>
          <w:noProof/>
        </w:rPr>
        <w:t>e</w:t>
      </w:r>
      <w:r w:rsidRPr="00CD00A1">
        <w:rPr>
          <w:noProof/>
        </w:rPr>
        <w:t xml:space="preserve"> </w:t>
      </w:r>
      <w:r w:rsidR="00BC3745" w:rsidRPr="00CD00A1">
        <w:rPr>
          <w:noProof/>
        </w:rPr>
        <w:t>Critical Infrastructure</w:t>
      </w:r>
      <w:r w:rsidRPr="00CD00A1">
        <w:rPr>
          <w:noProof/>
        </w:rPr>
        <w:t xml:space="preserve"> Blueprint, within its scope of application, can be used as a complementary tool to the sectoral or cross-sectoral tools or mechanisms</w:t>
      </w:r>
      <w:r>
        <w:rPr>
          <w:noProof/>
        </w:rPr>
        <w:t xml:space="preserve"> but does not replace them. The necessary coordination between the various actors would have to be ensured so as to avoid </w:t>
      </w:r>
      <w:r w:rsidR="0085343E">
        <w:rPr>
          <w:noProof/>
        </w:rPr>
        <w:t xml:space="preserve">such </w:t>
      </w:r>
      <w:r>
        <w:rPr>
          <w:noProof/>
        </w:rPr>
        <w:t>duplication</w:t>
      </w:r>
      <w:r w:rsidR="00B95937">
        <w:rPr>
          <w:noProof/>
        </w:rPr>
        <w:t>.</w:t>
      </w:r>
      <w:r>
        <w:rPr>
          <w:noProof/>
        </w:rPr>
        <w:t xml:space="preserve"> </w:t>
      </w:r>
      <w:r w:rsidR="00B95937">
        <w:rPr>
          <w:noProof/>
        </w:rPr>
        <w:t>T</w:t>
      </w:r>
      <w:r>
        <w:rPr>
          <w:noProof/>
        </w:rPr>
        <w:t>his could</w:t>
      </w:r>
      <w:r w:rsidR="00B95937">
        <w:rPr>
          <w:noProof/>
        </w:rPr>
        <w:t>,</w:t>
      </w:r>
      <w:r>
        <w:rPr>
          <w:noProof/>
        </w:rPr>
        <w:t xml:space="preserve"> for instance</w:t>
      </w:r>
      <w:r w:rsidR="00B95937">
        <w:rPr>
          <w:noProof/>
        </w:rPr>
        <w:t>,</w:t>
      </w:r>
      <w:r>
        <w:rPr>
          <w:noProof/>
        </w:rPr>
        <w:t xml:space="preserve"> be </w:t>
      </w:r>
      <w:r w:rsidRPr="00CD7E8E">
        <w:rPr>
          <w:noProof/>
        </w:rPr>
        <w:t xml:space="preserve">achieved in the </w:t>
      </w:r>
      <w:r w:rsidR="00AB5ECF" w:rsidRPr="00CD7E8E">
        <w:rPr>
          <w:noProof/>
          <w:lang w:val="en-US"/>
        </w:rPr>
        <w:t>Commission’s internal crisis coordination process</w:t>
      </w:r>
      <w:r w:rsidRPr="00CD7E8E">
        <w:rPr>
          <w:noProof/>
        </w:rPr>
        <w:t xml:space="preserve"> ARGUS</w:t>
      </w:r>
      <w:r w:rsidR="4745B352" w:rsidRPr="00CD7E8E">
        <w:rPr>
          <w:noProof/>
        </w:rPr>
        <w:t xml:space="preserve">, </w:t>
      </w:r>
      <w:r w:rsidR="007E66CA" w:rsidRPr="00CD7E8E">
        <w:rPr>
          <w:noProof/>
        </w:rPr>
        <w:t>supported by ERCC,</w:t>
      </w:r>
      <w:r w:rsidR="4745B352" w:rsidRPr="00CD7E8E">
        <w:rPr>
          <w:noProof/>
        </w:rPr>
        <w:t xml:space="preserve"> </w:t>
      </w:r>
      <w:r w:rsidRPr="00CD7E8E">
        <w:rPr>
          <w:noProof/>
        </w:rPr>
        <w:t>and/or IPCR coordination meetings.</w:t>
      </w:r>
    </w:p>
    <w:p w14:paraId="675E0814" w14:textId="645B52B0" w:rsidR="006E4FAF" w:rsidRPr="005F5666" w:rsidRDefault="006E4FAF" w:rsidP="00821271">
      <w:pPr>
        <w:pStyle w:val="ManualHeading1"/>
        <w:rPr>
          <w:noProof/>
        </w:rPr>
      </w:pPr>
      <w:r>
        <w:rPr>
          <w:noProof/>
        </w:rPr>
        <w:t>Part II:</w:t>
      </w:r>
      <w:r w:rsidRPr="0093256B" w:rsidDel="006D68B6">
        <w:rPr>
          <w:noProof/>
        </w:rPr>
        <w:t xml:space="preserve"> </w:t>
      </w:r>
      <w:r w:rsidR="00281F65">
        <w:rPr>
          <w:noProof/>
        </w:rPr>
        <w:t xml:space="preserve">Information exchange and </w:t>
      </w:r>
      <w:r w:rsidRPr="005F5666">
        <w:rPr>
          <w:noProof/>
        </w:rPr>
        <w:t xml:space="preserve">Coordinated response </w:t>
      </w:r>
    </w:p>
    <w:p w14:paraId="1D68DD0E" w14:textId="77777777" w:rsidR="006E4FAF" w:rsidRDefault="006E4FAF" w:rsidP="006E4FAF">
      <w:pPr>
        <w:spacing w:line="254" w:lineRule="auto"/>
        <w:rPr>
          <w:rFonts w:eastAsia="Times New Roman"/>
          <w:noProof/>
        </w:rPr>
      </w:pPr>
      <w:r w:rsidRPr="4859DCB1">
        <w:rPr>
          <w:rFonts w:eastAsia="Times New Roman"/>
          <w:noProof/>
        </w:rPr>
        <w:t xml:space="preserve">The actions </w:t>
      </w:r>
      <w:r w:rsidR="0047121A">
        <w:rPr>
          <w:rFonts w:eastAsia="Times New Roman"/>
          <w:noProof/>
        </w:rPr>
        <w:t xml:space="preserve">described </w:t>
      </w:r>
      <w:r w:rsidRPr="4859DCB1">
        <w:rPr>
          <w:rFonts w:eastAsia="Times New Roman"/>
          <w:noProof/>
        </w:rPr>
        <w:t>below</w:t>
      </w:r>
      <w:r w:rsidR="008A582A">
        <w:rPr>
          <w:rFonts w:eastAsia="Times New Roman"/>
          <w:noProof/>
        </w:rPr>
        <w:t xml:space="preserve"> consist of modes of cooperation</w:t>
      </w:r>
      <w:r w:rsidR="0047121A">
        <w:rPr>
          <w:rFonts w:eastAsia="Times New Roman"/>
          <w:noProof/>
        </w:rPr>
        <w:t>, namely</w:t>
      </w:r>
      <w:r w:rsidR="00B20C82">
        <w:rPr>
          <w:rFonts w:eastAsia="Times New Roman"/>
          <w:noProof/>
        </w:rPr>
        <w:t xml:space="preserve"> </w:t>
      </w:r>
      <w:r>
        <w:rPr>
          <w:rFonts w:eastAsia="Times New Roman"/>
          <w:noProof/>
        </w:rPr>
        <w:t>information exchange</w:t>
      </w:r>
      <w:r w:rsidR="00F84B1B">
        <w:rPr>
          <w:rFonts w:eastAsia="Times New Roman"/>
          <w:noProof/>
        </w:rPr>
        <w:t>, coordinated communication</w:t>
      </w:r>
      <w:r>
        <w:rPr>
          <w:rFonts w:eastAsia="Times New Roman"/>
          <w:noProof/>
        </w:rPr>
        <w:t xml:space="preserve"> and response. This structure</w:t>
      </w:r>
      <w:r w:rsidRPr="4859DCB1">
        <w:rPr>
          <w:rFonts w:eastAsia="Times New Roman"/>
          <w:noProof/>
        </w:rPr>
        <w:t xml:space="preserve"> correspond</w:t>
      </w:r>
      <w:r>
        <w:rPr>
          <w:rFonts w:eastAsia="Times New Roman"/>
          <w:noProof/>
        </w:rPr>
        <w:t>s</w:t>
      </w:r>
      <w:r w:rsidRPr="4859DCB1">
        <w:rPr>
          <w:rFonts w:eastAsia="Times New Roman"/>
          <w:noProof/>
        </w:rPr>
        <w:t xml:space="preserve"> to the </w:t>
      </w:r>
      <w:r w:rsidR="00B81AD0">
        <w:rPr>
          <w:rFonts w:eastAsia="Times New Roman"/>
          <w:noProof/>
        </w:rPr>
        <w:t xml:space="preserve">modes </w:t>
      </w:r>
      <w:r w:rsidRPr="4859DCB1">
        <w:rPr>
          <w:rFonts w:eastAsia="Times New Roman"/>
          <w:noProof/>
        </w:rPr>
        <w:t>of the</w:t>
      </w:r>
      <w:r w:rsidRPr="6E781D18">
        <w:rPr>
          <w:rFonts w:eastAsia="Times New Roman"/>
          <w:noProof/>
        </w:rPr>
        <w:t xml:space="preserve"> </w:t>
      </w:r>
      <w:r w:rsidR="48110975" w:rsidRPr="6E781D18">
        <w:rPr>
          <w:rFonts w:eastAsia="Times New Roman"/>
          <w:noProof/>
        </w:rPr>
        <w:t>Council’s</w:t>
      </w:r>
      <w:r w:rsidRPr="4859DCB1">
        <w:rPr>
          <w:rFonts w:eastAsia="Times New Roman"/>
          <w:noProof/>
        </w:rPr>
        <w:t xml:space="preserve"> crisis coordination mechanism IPCR </w:t>
      </w:r>
      <w:r>
        <w:rPr>
          <w:rFonts w:eastAsia="Times New Roman"/>
          <w:noProof/>
        </w:rPr>
        <w:t xml:space="preserve">and takes into account, more broadly, </w:t>
      </w:r>
      <w:r w:rsidRPr="00F16707">
        <w:rPr>
          <w:noProof/>
        </w:rPr>
        <w:t xml:space="preserve">the potential </w:t>
      </w:r>
      <w:r w:rsidR="00B81AD0">
        <w:rPr>
          <w:noProof/>
        </w:rPr>
        <w:t xml:space="preserve">use </w:t>
      </w:r>
      <w:r w:rsidRPr="00F16707">
        <w:rPr>
          <w:noProof/>
        </w:rPr>
        <w:t xml:space="preserve">of the crisis coordination mechanisms already existing at EU level. This structure </w:t>
      </w:r>
      <w:r w:rsidRPr="00F16707">
        <w:rPr>
          <w:rFonts w:eastAsia="Times New Roman"/>
          <w:noProof/>
        </w:rPr>
        <w:t xml:space="preserve">shows how these </w:t>
      </w:r>
      <w:r w:rsidR="00236E4C">
        <w:rPr>
          <w:rFonts w:eastAsia="Times New Roman"/>
          <w:noProof/>
        </w:rPr>
        <w:t>modes of cooperation</w:t>
      </w:r>
      <w:r w:rsidRPr="00F16707">
        <w:rPr>
          <w:rFonts w:eastAsia="Times New Roman"/>
          <w:noProof/>
        </w:rPr>
        <w:t xml:space="preserve"> would integrate therein if </w:t>
      </w:r>
      <w:r w:rsidR="00B81AD0">
        <w:rPr>
          <w:rFonts w:eastAsia="Times New Roman"/>
          <w:noProof/>
        </w:rPr>
        <w:t>used</w:t>
      </w:r>
      <w:r w:rsidRPr="00F16707">
        <w:rPr>
          <w:rFonts w:eastAsia="Times New Roman"/>
          <w:noProof/>
        </w:rPr>
        <w:t xml:space="preserve">. Yet, most of these actions can also be taken autonomously: they do not depend on the </w:t>
      </w:r>
      <w:r w:rsidR="00312FB5">
        <w:rPr>
          <w:rFonts w:eastAsia="Times New Roman"/>
          <w:noProof/>
        </w:rPr>
        <w:t xml:space="preserve">use </w:t>
      </w:r>
      <w:r w:rsidRPr="00F16707">
        <w:rPr>
          <w:rFonts w:eastAsia="Times New Roman"/>
          <w:noProof/>
        </w:rPr>
        <w:t>of th</w:t>
      </w:r>
      <w:r w:rsidR="005C4D41">
        <w:rPr>
          <w:rFonts w:eastAsia="Times New Roman"/>
          <w:noProof/>
        </w:rPr>
        <w:t>at</w:t>
      </w:r>
      <w:r w:rsidRPr="00F16707">
        <w:rPr>
          <w:rFonts w:eastAsia="Times New Roman"/>
          <w:noProof/>
        </w:rPr>
        <w:t xml:space="preserve"> mechanism but rather complement it. The actions are presented in a chronological order, while taking into consideration that, in case </w:t>
      </w:r>
      <w:r w:rsidRPr="4859DCB1">
        <w:rPr>
          <w:rFonts w:eastAsia="Times New Roman"/>
          <w:noProof/>
        </w:rPr>
        <w:t xml:space="preserve">of a large-scale crisis that </w:t>
      </w:r>
      <w:r w:rsidR="00202C36">
        <w:rPr>
          <w:rFonts w:eastAsia="Times New Roman"/>
          <w:noProof/>
        </w:rPr>
        <w:t>constitutes</w:t>
      </w:r>
      <w:r w:rsidRPr="4859DCB1">
        <w:rPr>
          <w:rFonts w:eastAsia="Times New Roman"/>
          <w:noProof/>
        </w:rPr>
        <w:t xml:space="preserve"> a significant critical infrastructure </w:t>
      </w:r>
      <w:r>
        <w:rPr>
          <w:rFonts w:eastAsia="Times New Roman"/>
          <w:noProof/>
        </w:rPr>
        <w:t>incident</w:t>
      </w:r>
      <w:r w:rsidRPr="4859DCB1">
        <w:rPr>
          <w:rFonts w:eastAsia="Times New Roman"/>
          <w:noProof/>
        </w:rPr>
        <w:t>, several actions may be undertaken simultaneously and continuously.</w:t>
      </w:r>
    </w:p>
    <w:p w14:paraId="5AF52A3E" w14:textId="443E8EC5" w:rsidR="006E4FAF" w:rsidRPr="00821271" w:rsidRDefault="00DD43D5" w:rsidP="00F977CD">
      <w:pPr>
        <w:pStyle w:val="Heading1"/>
        <w:numPr>
          <w:ilvl w:val="0"/>
          <w:numId w:val="8"/>
        </w:numPr>
        <w:rPr>
          <w:noProof/>
        </w:rPr>
      </w:pPr>
      <w:r>
        <w:rPr>
          <w:noProof/>
        </w:rPr>
        <w:t>I</w:t>
      </w:r>
      <w:r w:rsidR="006E4FAF" w:rsidRPr="00821271">
        <w:rPr>
          <w:noProof/>
        </w:rPr>
        <w:t xml:space="preserve">nformation exchange </w:t>
      </w:r>
    </w:p>
    <w:p w14:paraId="0A62634B" w14:textId="77777777" w:rsidR="006E4FAF" w:rsidRPr="00821271" w:rsidRDefault="006E4FAF" w:rsidP="00F977CD">
      <w:pPr>
        <w:pStyle w:val="Point0letter"/>
        <w:numPr>
          <w:ilvl w:val="1"/>
          <w:numId w:val="5"/>
        </w:numPr>
        <w:rPr>
          <w:b/>
          <w:noProof/>
        </w:rPr>
      </w:pPr>
      <w:r w:rsidRPr="00821271">
        <w:rPr>
          <w:b/>
          <w:noProof/>
        </w:rPr>
        <w:t xml:space="preserve">At operational level </w:t>
      </w:r>
    </w:p>
    <w:p w14:paraId="7B87F4C2" w14:textId="77777777" w:rsidR="006E4FAF" w:rsidRPr="00446758" w:rsidRDefault="006E4FAF" w:rsidP="00432DB4">
      <w:pPr>
        <w:rPr>
          <w:noProof/>
        </w:rPr>
      </w:pPr>
      <w:r w:rsidRPr="00446758">
        <w:rPr>
          <w:noProof/>
        </w:rPr>
        <w:t xml:space="preserve">The </w:t>
      </w:r>
      <w:r w:rsidRPr="00677EAA">
        <w:rPr>
          <w:noProof/>
        </w:rPr>
        <w:t>Member States</w:t>
      </w:r>
      <w:r w:rsidRPr="00446758">
        <w:rPr>
          <w:noProof/>
        </w:rPr>
        <w:t xml:space="preserve"> affected by the significant critical infrastructure incident </w:t>
      </w:r>
      <w:r w:rsidR="00F4270F">
        <w:rPr>
          <w:noProof/>
        </w:rPr>
        <w:t>apply</w:t>
      </w:r>
      <w:r w:rsidR="00F4270F" w:rsidRPr="00677EAA">
        <w:rPr>
          <w:noProof/>
        </w:rPr>
        <w:t xml:space="preserve"> </w:t>
      </w:r>
      <w:r w:rsidRPr="00677EAA">
        <w:rPr>
          <w:noProof/>
        </w:rPr>
        <w:t>their own contingency measures</w:t>
      </w:r>
      <w:r w:rsidRPr="00446758">
        <w:rPr>
          <w:noProof/>
        </w:rPr>
        <w:t>, ensure coordination with relevant national crisis management mechanisms, and involvement of all relevant national</w:t>
      </w:r>
      <w:r w:rsidR="0061596D">
        <w:rPr>
          <w:noProof/>
        </w:rPr>
        <w:t>, regional and local</w:t>
      </w:r>
      <w:r w:rsidRPr="00446758">
        <w:rPr>
          <w:noProof/>
        </w:rPr>
        <w:t xml:space="preserve"> actors</w:t>
      </w:r>
      <w:r w:rsidR="0061596D">
        <w:rPr>
          <w:noProof/>
        </w:rPr>
        <w:t>, as appropriate</w:t>
      </w:r>
      <w:r w:rsidRPr="00446758">
        <w:rPr>
          <w:noProof/>
        </w:rPr>
        <w:t xml:space="preserve">. </w:t>
      </w:r>
    </w:p>
    <w:p w14:paraId="29C59F61" w14:textId="77777777" w:rsidR="006E4FAF" w:rsidRDefault="006E4FAF" w:rsidP="00432DB4">
      <w:pPr>
        <w:rPr>
          <w:noProof/>
        </w:rPr>
      </w:pPr>
      <w:r>
        <w:rPr>
          <w:noProof/>
        </w:rPr>
        <w:t xml:space="preserve">Where relevant as regards civil protection assistance, the coordination between Member States and with the Commission is ensured through the </w:t>
      </w:r>
      <w:r w:rsidR="7E74D0BC">
        <w:rPr>
          <w:noProof/>
        </w:rPr>
        <w:t>ERCC under the UCPM</w:t>
      </w:r>
      <w:r>
        <w:rPr>
          <w:noProof/>
        </w:rPr>
        <w:t xml:space="preserve">. </w:t>
      </w:r>
    </w:p>
    <w:p w14:paraId="1D800B1B" w14:textId="77777777" w:rsidR="006E4FAF" w:rsidRPr="00821271" w:rsidRDefault="006E4FAF" w:rsidP="00F977CD">
      <w:pPr>
        <w:pStyle w:val="NumPar"/>
        <w:rPr>
          <w:noProof/>
        </w:rPr>
      </w:pPr>
      <w:r w:rsidRPr="00821271">
        <w:rPr>
          <w:noProof/>
        </w:rPr>
        <w:t xml:space="preserve">Information sharing </w:t>
      </w:r>
      <w:r w:rsidR="002C73D5">
        <w:rPr>
          <w:noProof/>
        </w:rPr>
        <w:t xml:space="preserve">and notification </w:t>
      </w:r>
      <w:r w:rsidRPr="00821271">
        <w:rPr>
          <w:noProof/>
        </w:rPr>
        <w:t xml:space="preserve">by the national competent authorities </w:t>
      </w:r>
    </w:p>
    <w:p w14:paraId="5436CD7E" w14:textId="5B02C818" w:rsidR="002C73D5" w:rsidRDefault="002C73D5" w:rsidP="002C73D5">
      <w:pPr>
        <w:rPr>
          <w:noProof/>
        </w:rPr>
      </w:pPr>
      <w:r>
        <w:rPr>
          <w:noProof/>
        </w:rPr>
        <w:t xml:space="preserve">In addition to the notification and information obligations pursuant to Article 15 of Directive (EU) 2022/2557, national competent authorities responsible for critical infrastructure in Member States affected by the significant critical infrastructure incident share with the rotating Presidency of the Council and the Commission, through their single points of contact and without undue delay, relevant information received from the operator(s) of critical infrastructure, critical entities, or from other sources as well as information concerning the crisis management mechanisms that were activated. </w:t>
      </w:r>
      <w:r w:rsidR="00FE202B" w:rsidRPr="00FE202B">
        <w:rPr>
          <w:noProof/>
        </w:rPr>
        <w:t>For the Commission, the ERCC ensures 24/7 operational contact and capacity and coordinates, monitors and supports in real-time the response to emergencies at Union level, while serving Member States and the Commission as the operational hub for crisis response promoting a cross-sectoral approach to disaster management</w:t>
      </w:r>
      <w:r w:rsidR="00FE202B">
        <w:rPr>
          <w:noProof/>
        </w:rPr>
        <w:t>.</w:t>
      </w:r>
    </w:p>
    <w:p w14:paraId="55764DF0" w14:textId="413D05E9" w:rsidR="002C73D5" w:rsidRDefault="002C73D5" w:rsidP="002C73D5">
      <w:pPr>
        <w:rPr>
          <w:noProof/>
        </w:rPr>
      </w:pPr>
      <w:r>
        <w:rPr>
          <w:noProof/>
        </w:rPr>
        <w:t xml:space="preserve">Such information sharing concerns the nature of the significant critical infrastructure incident, its cause, the observed or estimated impact of the disruption on the critical infrastructure and the provision of essential services, consequences of the incident across sectors and borders and the mitigation measures, either already taken or envisaged, nationally or with relevant other Member States and the Commission through existing arrangements, e.g. the information sharing arrangements under Articles 9 and 15 of Directive (EU) 2022/2557. This notification </w:t>
      </w:r>
      <w:r w:rsidR="00E97077">
        <w:rPr>
          <w:noProof/>
        </w:rPr>
        <w:t xml:space="preserve">is provided without </w:t>
      </w:r>
      <w:r>
        <w:rPr>
          <w:noProof/>
        </w:rPr>
        <w:t>divert</w:t>
      </w:r>
      <w:r w:rsidR="00E97077">
        <w:rPr>
          <w:noProof/>
        </w:rPr>
        <w:t>ing</w:t>
      </w:r>
      <w:r>
        <w:rPr>
          <w:noProof/>
        </w:rPr>
        <w:t xml:space="preserve"> the critical infrastructure’s or, in some cases, the critical entity’s or the Member State’s resources from activities related to incident handling, which is to be prioritised. </w:t>
      </w:r>
    </w:p>
    <w:p w14:paraId="3698D0FF" w14:textId="42D1841E" w:rsidR="002C73D5" w:rsidRDefault="002C73D5" w:rsidP="002C73D5">
      <w:pPr>
        <w:rPr>
          <w:noProof/>
        </w:rPr>
      </w:pPr>
      <w:r>
        <w:rPr>
          <w:noProof/>
        </w:rPr>
        <w:t>In order to ensure follow-up, the ERCC or the notified Commission services responsible for the sector(s) in which the significant critical infrastructure incident occurred, inform the contact point in Directorate General Migration and Home Affairs</w:t>
      </w:r>
      <w:r w:rsidR="006A327B">
        <w:rPr>
          <w:noProof/>
        </w:rPr>
        <w:t xml:space="preserve"> and the Secretariat General of the Commission</w:t>
      </w:r>
      <w:r>
        <w:rPr>
          <w:noProof/>
        </w:rPr>
        <w:t xml:space="preserve">. Meanwhile, if not already initiated, the ERCC begins monitoring events, especially in the event of a UCPM activation by one or more of the affected Member States. </w:t>
      </w:r>
    </w:p>
    <w:p w14:paraId="1F969431" w14:textId="77777777" w:rsidR="002C73D5" w:rsidRDefault="002C73D5" w:rsidP="002C73D5">
      <w:pPr>
        <w:rPr>
          <w:noProof/>
        </w:rPr>
      </w:pPr>
      <w:r>
        <w:rPr>
          <w:noProof/>
        </w:rPr>
        <w:t xml:space="preserve">If the information could be relevant for addressing a cybersecurity dimension or be related to a cybersecurity incident, the Commission shares relevant information with EU-CyCLONe. </w:t>
      </w:r>
    </w:p>
    <w:p w14:paraId="6EBFCF33" w14:textId="29AD26D9" w:rsidR="002C73D5" w:rsidRDefault="002C73D5" w:rsidP="002C73D5">
      <w:pPr>
        <w:rPr>
          <w:noProof/>
        </w:rPr>
      </w:pPr>
      <w:r>
        <w:rPr>
          <w:noProof/>
        </w:rPr>
        <w:t xml:space="preserve">National competent authorities under Directive (EU) 2022/2557 </w:t>
      </w:r>
      <w:r w:rsidR="00DC29C9">
        <w:rPr>
          <w:noProof/>
        </w:rPr>
        <w:t>are to</w:t>
      </w:r>
      <w:r>
        <w:rPr>
          <w:noProof/>
        </w:rPr>
        <w:t xml:space="preserve"> cooperate and exchange information with competent authorities under Directive (EU) 2022/2555 without undue delay, in relation to cyber incidents and incidents affecting critical entities, including the cybersecurity and physical measures taken by critical entities. </w:t>
      </w:r>
    </w:p>
    <w:p w14:paraId="4F7CC898" w14:textId="72B82D6B" w:rsidR="002C73D5" w:rsidRDefault="002C73D5" w:rsidP="002C73D5">
      <w:pPr>
        <w:rPr>
          <w:noProof/>
        </w:rPr>
      </w:pPr>
      <w:r>
        <w:rPr>
          <w:noProof/>
        </w:rPr>
        <w:t>For the maritime domain, national competent authorities consider the possibility of using the Common Information Sharing Environment (‘’CISE’’) to share information without undue delay.</w:t>
      </w:r>
    </w:p>
    <w:p w14:paraId="01284CCF" w14:textId="77777777" w:rsidR="006E4FAF" w:rsidRPr="000E5107" w:rsidRDefault="006E4FAF" w:rsidP="00F977CD">
      <w:pPr>
        <w:pStyle w:val="NumPar"/>
        <w:rPr>
          <w:noProof/>
        </w:rPr>
      </w:pPr>
      <w:r w:rsidRPr="000E5107">
        <w:rPr>
          <w:noProof/>
        </w:rPr>
        <w:t xml:space="preserve">Organisation of expert meetings </w:t>
      </w:r>
    </w:p>
    <w:p w14:paraId="02174FA9" w14:textId="77777777" w:rsidR="006E4FAF" w:rsidRDefault="006E4FAF" w:rsidP="00432DB4">
      <w:pPr>
        <w:rPr>
          <w:noProof/>
        </w:rPr>
      </w:pPr>
      <w:r>
        <w:rPr>
          <w:noProof/>
        </w:rPr>
        <w:t xml:space="preserve">The Commission convenes as soon as possible </w:t>
      </w:r>
      <w:r w:rsidRPr="004D394E">
        <w:rPr>
          <w:noProof/>
        </w:rPr>
        <w:t>the Critical Entities Resilience Group to facilitate</w:t>
      </w:r>
      <w:r w:rsidR="00AF7B65">
        <w:rPr>
          <w:noProof/>
        </w:rPr>
        <w:t xml:space="preserve"> </w:t>
      </w:r>
      <w:r w:rsidRPr="004D394E">
        <w:rPr>
          <w:noProof/>
        </w:rPr>
        <w:t xml:space="preserve">exchanges of </w:t>
      </w:r>
      <w:r>
        <w:rPr>
          <w:noProof/>
        </w:rPr>
        <w:t xml:space="preserve">relevant </w:t>
      </w:r>
      <w:r w:rsidRPr="004D394E">
        <w:rPr>
          <w:noProof/>
        </w:rPr>
        <w:t xml:space="preserve">information between national competent authorities </w:t>
      </w:r>
      <w:r w:rsidR="00F80571">
        <w:rPr>
          <w:noProof/>
        </w:rPr>
        <w:t xml:space="preserve">responsible for </w:t>
      </w:r>
      <w:r w:rsidRPr="004D394E">
        <w:rPr>
          <w:noProof/>
        </w:rPr>
        <w:t xml:space="preserve">critical infrastructure and </w:t>
      </w:r>
      <w:r w:rsidR="00C15EC7">
        <w:rPr>
          <w:noProof/>
        </w:rPr>
        <w:t>relevant Union</w:t>
      </w:r>
      <w:r w:rsidR="00C15EC7" w:rsidRPr="004D394E">
        <w:rPr>
          <w:noProof/>
        </w:rPr>
        <w:t xml:space="preserve"> </w:t>
      </w:r>
      <w:r w:rsidRPr="004D394E">
        <w:rPr>
          <w:noProof/>
        </w:rPr>
        <w:t>institutions,</w:t>
      </w:r>
      <w:r w:rsidR="000718F1">
        <w:rPr>
          <w:noProof/>
        </w:rPr>
        <w:t xml:space="preserve"> bodies</w:t>
      </w:r>
      <w:r w:rsidR="003E148D">
        <w:rPr>
          <w:noProof/>
        </w:rPr>
        <w:t>, offices and</w:t>
      </w:r>
      <w:r w:rsidRPr="004D394E">
        <w:rPr>
          <w:noProof/>
        </w:rPr>
        <w:t xml:space="preserve"> agencies on the incident (nature, cause, impact, and consequences across sectors and borders) and on response actions, including mitigating measures and technical support to the affected Member States. </w:t>
      </w:r>
      <w:r w:rsidR="47F2983A" w:rsidRPr="123B64BE">
        <w:rPr>
          <w:rFonts w:eastAsia="Times New Roman"/>
          <w:noProof/>
          <w:szCs w:val="24"/>
        </w:rPr>
        <w:t>Depending o</w:t>
      </w:r>
      <w:r w:rsidR="00695040">
        <w:rPr>
          <w:rFonts w:eastAsia="Times New Roman"/>
          <w:noProof/>
          <w:szCs w:val="24"/>
        </w:rPr>
        <w:t xml:space="preserve">n </w:t>
      </w:r>
      <w:r w:rsidR="47F2983A" w:rsidRPr="123B64BE">
        <w:rPr>
          <w:rFonts w:eastAsia="Times New Roman"/>
          <w:noProof/>
          <w:szCs w:val="24"/>
        </w:rPr>
        <w:t xml:space="preserve">the centre of gravity of the </w:t>
      </w:r>
      <w:r w:rsidR="00B56A80">
        <w:rPr>
          <w:rFonts w:eastAsia="Times New Roman"/>
          <w:noProof/>
          <w:szCs w:val="24"/>
        </w:rPr>
        <w:t>incid</w:t>
      </w:r>
      <w:r w:rsidR="00EC76CD">
        <w:rPr>
          <w:rFonts w:eastAsia="Times New Roman"/>
          <w:noProof/>
          <w:szCs w:val="24"/>
        </w:rPr>
        <w:t>ent</w:t>
      </w:r>
      <w:r w:rsidR="47F2983A" w:rsidRPr="123B64BE">
        <w:rPr>
          <w:rFonts w:eastAsia="Times New Roman"/>
          <w:noProof/>
          <w:szCs w:val="24"/>
        </w:rPr>
        <w:t>, relevant Commission services will be closely associated to the meeting of the Critical Entities Resilience Group with a view to share information gathered through existing sectoral instruments.</w:t>
      </w:r>
      <w:r w:rsidR="00F37CF5">
        <w:rPr>
          <w:rFonts w:eastAsia="Times New Roman"/>
          <w:noProof/>
          <w:szCs w:val="24"/>
        </w:rPr>
        <w:t xml:space="preserve"> </w:t>
      </w:r>
      <w:r w:rsidRPr="004D394E">
        <w:rPr>
          <w:noProof/>
        </w:rPr>
        <w:t xml:space="preserve">In case of incidents with </w:t>
      </w:r>
      <w:r w:rsidR="00387373">
        <w:rPr>
          <w:noProof/>
        </w:rPr>
        <w:t xml:space="preserve">a combination </w:t>
      </w:r>
      <w:r w:rsidR="004300A8">
        <w:rPr>
          <w:noProof/>
        </w:rPr>
        <w:t>of</w:t>
      </w:r>
      <w:r w:rsidR="00597BE7">
        <w:rPr>
          <w:noProof/>
        </w:rPr>
        <w:t xml:space="preserve"> </w:t>
      </w:r>
      <w:r w:rsidRPr="004D394E">
        <w:rPr>
          <w:noProof/>
        </w:rPr>
        <w:t>cybersecurity and physical non-cyber aspects</w:t>
      </w:r>
      <w:r>
        <w:rPr>
          <w:noProof/>
        </w:rPr>
        <w:t>, the relevant Commission services</w:t>
      </w:r>
      <w:r w:rsidR="005406D6">
        <w:rPr>
          <w:noProof/>
        </w:rPr>
        <w:t>, CERT</w:t>
      </w:r>
      <w:r w:rsidR="0046164E">
        <w:rPr>
          <w:noProof/>
        </w:rPr>
        <w:t>-</w:t>
      </w:r>
      <w:r w:rsidR="005406D6">
        <w:rPr>
          <w:noProof/>
        </w:rPr>
        <w:t>EU</w:t>
      </w:r>
      <w:r w:rsidR="00660CA0">
        <w:rPr>
          <w:noProof/>
        </w:rPr>
        <w:t xml:space="preserve"> </w:t>
      </w:r>
      <w:r w:rsidR="5B2AE136">
        <w:rPr>
          <w:noProof/>
        </w:rPr>
        <w:t>and</w:t>
      </w:r>
      <w:r w:rsidR="00B07EAA">
        <w:rPr>
          <w:noProof/>
        </w:rPr>
        <w:t xml:space="preserve"> </w:t>
      </w:r>
      <w:r w:rsidR="5B2AE136">
        <w:rPr>
          <w:noProof/>
        </w:rPr>
        <w:t>the E</w:t>
      </w:r>
      <w:r w:rsidR="00024C78">
        <w:rPr>
          <w:noProof/>
        </w:rPr>
        <w:t>EAS</w:t>
      </w:r>
      <w:r w:rsidR="00BE1EFF">
        <w:rPr>
          <w:noProof/>
        </w:rPr>
        <w:t>,</w:t>
      </w:r>
      <w:r w:rsidR="00A86768">
        <w:rPr>
          <w:noProof/>
        </w:rPr>
        <w:t xml:space="preserve"> where relevant</w:t>
      </w:r>
      <w:r w:rsidR="00BE1EFF">
        <w:rPr>
          <w:noProof/>
        </w:rPr>
        <w:t xml:space="preserve">, </w:t>
      </w:r>
      <w:r w:rsidR="6FF156B5">
        <w:rPr>
          <w:noProof/>
        </w:rPr>
        <w:t>notify</w:t>
      </w:r>
      <w:r>
        <w:rPr>
          <w:noProof/>
        </w:rPr>
        <w:t xml:space="preserve"> and consult as soon as possible with</w:t>
      </w:r>
      <w:r w:rsidR="00196D21">
        <w:rPr>
          <w:noProof/>
        </w:rPr>
        <w:t>in</w:t>
      </w:r>
      <w:r>
        <w:rPr>
          <w:noProof/>
        </w:rPr>
        <w:t xml:space="preserve"> the </w:t>
      </w:r>
      <w:r w:rsidR="009B4AF8" w:rsidRPr="00B07EAA">
        <w:rPr>
          <w:noProof/>
        </w:rPr>
        <w:t>Cyber Crisis Task Force, as well as</w:t>
      </w:r>
      <w:r w:rsidR="009B4AF8">
        <w:rPr>
          <w:noProof/>
        </w:rPr>
        <w:t xml:space="preserve"> </w:t>
      </w:r>
      <w:r w:rsidR="00A96FDE">
        <w:rPr>
          <w:noProof/>
        </w:rPr>
        <w:t xml:space="preserve">the </w:t>
      </w:r>
      <w:r>
        <w:rPr>
          <w:noProof/>
        </w:rPr>
        <w:t>respective chairs of the Cooperation Group</w:t>
      </w:r>
      <w:r w:rsidR="00170ECE">
        <w:rPr>
          <w:noProof/>
        </w:rPr>
        <w:t xml:space="preserve"> as referred to in Article 14</w:t>
      </w:r>
      <w:r w:rsidR="00A925AB">
        <w:rPr>
          <w:noProof/>
        </w:rPr>
        <w:t xml:space="preserve"> of Directive (EU) 2022/2555</w:t>
      </w:r>
      <w:r>
        <w:rPr>
          <w:noProof/>
        </w:rPr>
        <w:t xml:space="preserve">, </w:t>
      </w:r>
      <w:r w:rsidR="00251DF3">
        <w:rPr>
          <w:noProof/>
        </w:rPr>
        <w:t xml:space="preserve">and </w:t>
      </w:r>
      <w:r>
        <w:rPr>
          <w:noProof/>
        </w:rPr>
        <w:t>EU-CyCLONe as appropriate, on the need for coordination activities. In agreement with the respective chairs, the Commission (</w:t>
      </w:r>
      <w:r w:rsidRPr="00F5654E">
        <w:rPr>
          <w:noProof/>
        </w:rPr>
        <w:t>Directorate-General Migration and Home Affairs</w:t>
      </w:r>
      <w:r w:rsidR="001723ED">
        <w:rPr>
          <w:noProof/>
        </w:rPr>
        <w:t xml:space="preserve"> and the </w:t>
      </w:r>
      <w:r w:rsidR="009B4062">
        <w:rPr>
          <w:noProof/>
        </w:rPr>
        <w:t>Directorate-General Communications Network, Content and Technology</w:t>
      </w:r>
      <w:r>
        <w:rPr>
          <w:noProof/>
        </w:rPr>
        <w:t xml:space="preserve">) may </w:t>
      </w:r>
      <w:r w:rsidR="0987441D">
        <w:rPr>
          <w:noProof/>
        </w:rPr>
        <w:t xml:space="preserve">propose </w:t>
      </w:r>
      <w:r>
        <w:rPr>
          <w:noProof/>
        </w:rPr>
        <w:t>a joint meeting of the Critical Entities Resilience Group with the Cooperation Group</w:t>
      </w:r>
      <w:r w:rsidR="009B4062">
        <w:rPr>
          <w:noProof/>
        </w:rPr>
        <w:t xml:space="preserve"> </w:t>
      </w:r>
      <w:r w:rsidR="1B6EC7C5">
        <w:rPr>
          <w:noProof/>
        </w:rPr>
        <w:t xml:space="preserve">with a view to </w:t>
      </w:r>
      <w:r>
        <w:rPr>
          <w:noProof/>
        </w:rPr>
        <w:t xml:space="preserve">a shared situational awareness and </w:t>
      </w:r>
      <w:r w:rsidR="1ECA779F">
        <w:rPr>
          <w:noProof/>
        </w:rPr>
        <w:t xml:space="preserve">to </w:t>
      </w:r>
      <w:r>
        <w:rPr>
          <w:noProof/>
        </w:rPr>
        <w:t xml:space="preserve">coordinate respective responses. </w:t>
      </w:r>
    </w:p>
    <w:p w14:paraId="5357AB2F" w14:textId="34AF2938" w:rsidR="00A1285B" w:rsidRDefault="006E4FAF" w:rsidP="00B07EAA">
      <w:pPr>
        <w:rPr>
          <w:rFonts w:eastAsia="Times New Roman"/>
          <w:noProof/>
          <w:szCs w:val="24"/>
        </w:rPr>
      </w:pPr>
      <w:r w:rsidRPr="00436301">
        <w:rPr>
          <w:noProof/>
        </w:rPr>
        <w:t xml:space="preserve">In case of a </w:t>
      </w:r>
      <w:r w:rsidR="7E7A6A28" w:rsidRPr="00436301">
        <w:rPr>
          <w:noProof/>
        </w:rPr>
        <w:t xml:space="preserve">significant </w:t>
      </w:r>
      <w:r w:rsidRPr="00436301">
        <w:rPr>
          <w:noProof/>
        </w:rPr>
        <w:t xml:space="preserve">cross-sectoral critical infrastructure incident </w:t>
      </w:r>
      <w:r w:rsidR="015CA273" w:rsidRPr="00436301">
        <w:rPr>
          <w:rFonts w:eastAsia="Times New Roman"/>
          <w:noProof/>
          <w:szCs w:val="24"/>
        </w:rPr>
        <w:t>that requires or is likely to require consequence management at U</w:t>
      </w:r>
      <w:r w:rsidR="0089768C" w:rsidRPr="00436301">
        <w:rPr>
          <w:rFonts w:eastAsia="Times New Roman"/>
          <w:noProof/>
          <w:szCs w:val="24"/>
        </w:rPr>
        <w:t>nion</w:t>
      </w:r>
      <w:r w:rsidR="015CA273" w:rsidRPr="00436301">
        <w:rPr>
          <w:rFonts w:eastAsia="Times New Roman"/>
          <w:noProof/>
          <w:szCs w:val="24"/>
        </w:rPr>
        <w:t xml:space="preserve"> level, the </w:t>
      </w:r>
      <w:r w:rsidR="00AA4BC7" w:rsidRPr="00436301">
        <w:rPr>
          <w:rFonts w:eastAsia="Times New Roman"/>
          <w:noProof/>
          <w:szCs w:val="24"/>
        </w:rPr>
        <w:t>Commission</w:t>
      </w:r>
      <w:r w:rsidR="015CA273" w:rsidRPr="00436301">
        <w:rPr>
          <w:rFonts w:eastAsia="Times New Roman"/>
          <w:noProof/>
          <w:szCs w:val="24"/>
        </w:rPr>
        <w:t xml:space="preserve"> may convene cross-sectoral coordination meetings involving all relevant stakeholders.</w:t>
      </w:r>
      <w:r w:rsidR="015CA273" w:rsidRPr="00B07EAA">
        <w:rPr>
          <w:rFonts w:eastAsia="Times New Roman"/>
          <w:noProof/>
          <w:szCs w:val="24"/>
        </w:rPr>
        <w:t xml:space="preserve"> </w:t>
      </w:r>
    </w:p>
    <w:p w14:paraId="3ECD2056" w14:textId="4BAC5AE6" w:rsidR="007F652B" w:rsidRDefault="007F652B" w:rsidP="00B07EAA">
      <w:pPr>
        <w:rPr>
          <w:rFonts w:eastAsia="Times New Roman"/>
          <w:noProof/>
          <w:szCs w:val="24"/>
        </w:rPr>
      </w:pPr>
      <w:r>
        <w:rPr>
          <w:rFonts w:eastAsia="Times New Roman"/>
          <w:noProof/>
          <w:szCs w:val="24"/>
        </w:rPr>
        <w:t xml:space="preserve">In case a significant critical infrastructure incident also affects a third country, the Commission consults the competent authority of the affected third country and may invite them to a meeting of the Critical Entities Resilience Group. </w:t>
      </w:r>
    </w:p>
    <w:p w14:paraId="654F1687" w14:textId="77777777" w:rsidR="006E4FAF" w:rsidRPr="00821271" w:rsidRDefault="006E4FAF" w:rsidP="00607391">
      <w:pPr>
        <w:pStyle w:val="NumPar"/>
        <w:rPr>
          <w:bCs/>
          <w:noProof/>
        </w:rPr>
      </w:pPr>
      <w:r w:rsidRPr="00821271">
        <w:rPr>
          <w:noProof/>
        </w:rPr>
        <w:t xml:space="preserve">Support by </w:t>
      </w:r>
      <w:r w:rsidR="185424F3">
        <w:rPr>
          <w:noProof/>
        </w:rPr>
        <w:t xml:space="preserve">the Commission and </w:t>
      </w:r>
      <w:r w:rsidR="006037EB">
        <w:rPr>
          <w:noProof/>
        </w:rPr>
        <w:t>Union’s</w:t>
      </w:r>
      <w:r w:rsidR="006037EB" w:rsidRPr="00821271">
        <w:rPr>
          <w:noProof/>
        </w:rPr>
        <w:t xml:space="preserve"> </w:t>
      </w:r>
      <w:r w:rsidRPr="00821271">
        <w:rPr>
          <w:noProof/>
        </w:rPr>
        <w:t xml:space="preserve">agencies </w:t>
      </w:r>
    </w:p>
    <w:p w14:paraId="26203294" w14:textId="1090F90D" w:rsidR="006E4FAF" w:rsidRPr="004D394E" w:rsidRDefault="24CFAB9F" w:rsidP="00432DB4">
      <w:pPr>
        <w:rPr>
          <w:noProof/>
        </w:rPr>
      </w:pPr>
      <w:r>
        <w:rPr>
          <w:noProof/>
        </w:rPr>
        <w:t xml:space="preserve">Where relevant and </w:t>
      </w:r>
      <w:r w:rsidR="00EC7C7B">
        <w:rPr>
          <w:noProof/>
        </w:rPr>
        <w:t xml:space="preserve">acting in accordance </w:t>
      </w:r>
      <w:r>
        <w:rPr>
          <w:noProof/>
        </w:rPr>
        <w:t>with its manda</w:t>
      </w:r>
      <w:r w:rsidR="001A4F39">
        <w:rPr>
          <w:noProof/>
        </w:rPr>
        <w:t>t</w:t>
      </w:r>
      <w:r>
        <w:rPr>
          <w:noProof/>
        </w:rPr>
        <w:t xml:space="preserve">e, </w:t>
      </w:r>
      <w:r w:rsidR="006E4FAF" w:rsidRPr="004D394E">
        <w:rPr>
          <w:noProof/>
        </w:rPr>
        <w:t>Europol, presents an incident situation report at U</w:t>
      </w:r>
      <w:r w:rsidR="00045302">
        <w:rPr>
          <w:noProof/>
        </w:rPr>
        <w:t>nion</w:t>
      </w:r>
      <w:r w:rsidR="006E4FAF" w:rsidRPr="004D394E">
        <w:rPr>
          <w:noProof/>
        </w:rPr>
        <w:t xml:space="preserve"> level. Other U</w:t>
      </w:r>
      <w:r w:rsidR="00045302">
        <w:rPr>
          <w:noProof/>
        </w:rPr>
        <w:t>nion</w:t>
      </w:r>
      <w:r w:rsidR="006E4FAF" w:rsidRPr="004D394E">
        <w:rPr>
          <w:noProof/>
        </w:rPr>
        <w:t xml:space="preserve"> agencies, where relevant</w:t>
      </w:r>
      <w:r w:rsidR="004C61C3">
        <w:rPr>
          <w:noProof/>
        </w:rPr>
        <w:t xml:space="preserve"> and acting in accordance with their respective mandates</w:t>
      </w:r>
      <w:r w:rsidR="006E4FAF" w:rsidRPr="004D394E">
        <w:rPr>
          <w:noProof/>
        </w:rPr>
        <w:t xml:space="preserve">, report </w:t>
      </w:r>
      <w:r w:rsidR="00CD7784">
        <w:rPr>
          <w:noProof/>
        </w:rPr>
        <w:t xml:space="preserve">relevant information </w:t>
      </w:r>
      <w:r w:rsidR="00CD5A0D">
        <w:rPr>
          <w:noProof/>
        </w:rPr>
        <w:t>that contributes</w:t>
      </w:r>
      <w:r w:rsidR="00D030DB">
        <w:rPr>
          <w:noProof/>
        </w:rPr>
        <w:t xml:space="preserve"> to </w:t>
      </w:r>
      <w:r w:rsidR="00BA7EC4">
        <w:rPr>
          <w:noProof/>
        </w:rPr>
        <w:t xml:space="preserve">the </w:t>
      </w:r>
      <w:r w:rsidR="00D030DB">
        <w:rPr>
          <w:noProof/>
        </w:rPr>
        <w:t>situationa</w:t>
      </w:r>
      <w:r w:rsidR="007F41A0">
        <w:rPr>
          <w:noProof/>
        </w:rPr>
        <w:t>l awareness</w:t>
      </w:r>
      <w:r w:rsidR="006D1DB3">
        <w:rPr>
          <w:noProof/>
        </w:rPr>
        <w:t xml:space="preserve"> </w:t>
      </w:r>
      <w:r w:rsidR="00514DB4">
        <w:rPr>
          <w:noProof/>
        </w:rPr>
        <w:t xml:space="preserve">or </w:t>
      </w:r>
      <w:r w:rsidR="00EE22EE">
        <w:rPr>
          <w:noProof/>
        </w:rPr>
        <w:t>coordinated response</w:t>
      </w:r>
      <w:r w:rsidR="007E52CF">
        <w:rPr>
          <w:noProof/>
        </w:rPr>
        <w:t xml:space="preserve"> to the significant </w:t>
      </w:r>
      <w:r w:rsidR="00244573">
        <w:rPr>
          <w:noProof/>
        </w:rPr>
        <w:t xml:space="preserve">critical infrastructure </w:t>
      </w:r>
      <w:r w:rsidR="008E7356">
        <w:rPr>
          <w:noProof/>
        </w:rPr>
        <w:t xml:space="preserve">incident </w:t>
      </w:r>
      <w:r w:rsidR="006E4FAF" w:rsidRPr="004D394E">
        <w:rPr>
          <w:noProof/>
        </w:rPr>
        <w:t xml:space="preserve">to their respective </w:t>
      </w:r>
      <w:r w:rsidR="00344E24">
        <w:rPr>
          <w:noProof/>
        </w:rPr>
        <w:t>‘</w:t>
      </w:r>
      <w:r w:rsidR="006E4FAF" w:rsidRPr="004D394E">
        <w:rPr>
          <w:noProof/>
        </w:rPr>
        <w:t>parent</w:t>
      </w:r>
      <w:r w:rsidR="00344E24">
        <w:rPr>
          <w:noProof/>
        </w:rPr>
        <w:t>’</w:t>
      </w:r>
      <w:r w:rsidR="006E4FAF" w:rsidRPr="004D394E">
        <w:rPr>
          <w:noProof/>
        </w:rPr>
        <w:t xml:space="preserve"> Directorates</w:t>
      </w:r>
      <w:r w:rsidR="009D6531">
        <w:rPr>
          <w:noProof/>
        </w:rPr>
        <w:t>-</w:t>
      </w:r>
      <w:r w:rsidR="006E4FAF" w:rsidRPr="004D394E">
        <w:rPr>
          <w:noProof/>
        </w:rPr>
        <w:t>General wh</w:t>
      </w:r>
      <w:r w:rsidR="001F5907">
        <w:rPr>
          <w:noProof/>
        </w:rPr>
        <w:t>ich,</w:t>
      </w:r>
      <w:r w:rsidR="006E4FAF" w:rsidRPr="004D394E">
        <w:rPr>
          <w:noProof/>
        </w:rPr>
        <w:t xml:space="preserve"> in turn</w:t>
      </w:r>
      <w:r w:rsidR="00F9733A">
        <w:rPr>
          <w:noProof/>
        </w:rPr>
        <w:t>,</w:t>
      </w:r>
      <w:r w:rsidR="006E4FAF" w:rsidRPr="004D394E">
        <w:rPr>
          <w:noProof/>
        </w:rPr>
        <w:t xml:space="preserve"> report to the Commission (Directorate-General Migration and Home Affairs</w:t>
      </w:r>
      <w:r w:rsidR="006E4FAF">
        <w:rPr>
          <w:noProof/>
        </w:rPr>
        <w:t>,</w:t>
      </w:r>
      <w:r w:rsidR="006E4FAF" w:rsidRPr="004D394E">
        <w:rPr>
          <w:noProof/>
        </w:rPr>
        <w:t xml:space="preserve"> as the Chair of the Critical Entities Resilience Group</w:t>
      </w:r>
      <w:r w:rsidR="006E4FAF">
        <w:rPr>
          <w:noProof/>
        </w:rPr>
        <w:t>)</w:t>
      </w:r>
      <w:r w:rsidR="006E4FAF" w:rsidRPr="004D394E">
        <w:rPr>
          <w:noProof/>
        </w:rPr>
        <w:t xml:space="preserve">. </w:t>
      </w:r>
    </w:p>
    <w:p w14:paraId="3C412312" w14:textId="77777777" w:rsidR="006E4FAF" w:rsidRDefault="006E4FAF" w:rsidP="00432DB4">
      <w:pPr>
        <w:rPr>
          <w:noProof/>
        </w:rPr>
      </w:pPr>
      <w:r w:rsidRPr="004D394E">
        <w:rPr>
          <w:noProof/>
        </w:rPr>
        <w:t>The Commission can provide a contribution to situational awareness using the assets of the Union Space Programme</w:t>
      </w:r>
      <w:r w:rsidRPr="004D394E">
        <w:rPr>
          <w:rStyle w:val="FootnoteReference"/>
          <w:bCs/>
          <w:noProof/>
        </w:rPr>
        <w:footnoteReference w:id="13"/>
      </w:r>
      <w:r w:rsidRPr="004D394E">
        <w:rPr>
          <w:noProof/>
        </w:rPr>
        <w:t xml:space="preserve"> such as Copernicus, Galileo and EGNOS, where relevant</w:t>
      </w:r>
      <w:r w:rsidR="00A7067A">
        <w:rPr>
          <w:noProof/>
        </w:rPr>
        <w:t xml:space="preserve"> and in accordance with the applicable legal framework. </w:t>
      </w:r>
      <w:r>
        <w:rPr>
          <w:noProof/>
        </w:rPr>
        <w:t xml:space="preserve"> </w:t>
      </w:r>
    </w:p>
    <w:p w14:paraId="29EB3212" w14:textId="77777777" w:rsidR="006E4FAF" w:rsidRPr="00F977CD" w:rsidRDefault="006E4FAF" w:rsidP="00F977CD">
      <w:pPr>
        <w:pStyle w:val="Point0letter"/>
        <w:rPr>
          <w:b/>
          <w:noProof/>
        </w:rPr>
      </w:pPr>
      <w:r w:rsidRPr="00F977CD">
        <w:rPr>
          <w:b/>
          <w:noProof/>
        </w:rPr>
        <w:t xml:space="preserve">At strategic level </w:t>
      </w:r>
    </w:p>
    <w:p w14:paraId="3EECAFC9" w14:textId="77777777" w:rsidR="006E4FAF" w:rsidRDefault="006E4FAF" w:rsidP="008F5AFE">
      <w:pPr>
        <w:pStyle w:val="NumPar"/>
        <w:numPr>
          <w:ilvl w:val="0"/>
          <w:numId w:val="9"/>
        </w:numPr>
        <w:rPr>
          <w:noProof/>
        </w:rPr>
      </w:pPr>
      <w:r w:rsidRPr="00803E4A">
        <w:rPr>
          <w:noProof/>
        </w:rPr>
        <w:t xml:space="preserve">Production of situational awareness reports </w:t>
      </w:r>
    </w:p>
    <w:p w14:paraId="1920844B" w14:textId="77777777" w:rsidR="0075560B" w:rsidRDefault="006E4FAF" w:rsidP="006E4FAF">
      <w:pPr>
        <w:rPr>
          <w:noProof/>
        </w:rPr>
      </w:pPr>
      <w:r>
        <w:rPr>
          <w:noProof/>
        </w:rPr>
        <w:t xml:space="preserve">Based on information shared by national competent authorities in a Critical Entities Resilience Group meeting, or joint meetings with relevant services, expert groups or networks, the Commission </w:t>
      </w:r>
      <w:r w:rsidRPr="004C7C15">
        <w:rPr>
          <w:noProof/>
        </w:rPr>
        <w:t>prepares a situational awareness report</w:t>
      </w:r>
      <w:r>
        <w:rPr>
          <w:noProof/>
        </w:rPr>
        <w:t xml:space="preserve"> based on the contributions of the competent national authorities and other available information.</w:t>
      </w:r>
    </w:p>
    <w:p w14:paraId="0F7FF5A9" w14:textId="1EB352DE" w:rsidR="0075560B" w:rsidRDefault="0075560B" w:rsidP="006E4FAF">
      <w:pPr>
        <w:rPr>
          <w:noProof/>
        </w:rPr>
      </w:pPr>
      <w:r>
        <w:rPr>
          <w:noProof/>
        </w:rPr>
        <w:t xml:space="preserve">This report </w:t>
      </w:r>
      <w:r w:rsidR="00DC29C9">
        <w:rPr>
          <w:noProof/>
        </w:rPr>
        <w:t>will</w:t>
      </w:r>
      <w:r>
        <w:rPr>
          <w:noProof/>
        </w:rPr>
        <w:t>, where relevant, take into account t</w:t>
      </w:r>
      <w:r w:rsidRPr="00AF437D">
        <w:rPr>
          <w:noProof/>
        </w:rPr>
        <w:t>he</w:t>
      </w:r>
      <w:r>
        <w:rPr>
          <w:noProof/>
        </w:rPr>
        <w:t xml:space="preserve"> outcomes of the relevant EU-level risk assessments, evaluations and scenarios from a cybersecurity perspective, including those carried out by </w:t>
      </w:r>
      <w:r w:rsidRPr="00AF437D">
        <w:rPr>
          <w:noProof/>
        </w:rPr>
        <w:t>Commission, the High Representative of the Union for Foreign Affairs and Security Policy and the Cooperation Group</w:t>
      </w:r>
      <w:r>
        <w:rPr>
          <w:noProof/>
        </w:rPr>
        <w:t xml:space="preserve">.  </w:t>
      </w:r>
    </w:p>
    <w:p w14:paraId="3B0001A7" w14:textId="77777777" w:rsidR="006E4FAF" w:rsidRDefault="006E4FAF" w:rsidP="006E4FAF">
      <w:pPr>
        <w:rPr>
          <w:noProof/>
        </w:rPr>
      </w:pPr>
      <w:r>
        <w:rPr>
          <w:noProof/>
        </w:rPr>
        <w:t xml:space="preserve"> </w:t>
      </w:r>
      <w:r w:rsidRPr="123A11B7">
        <w:rPr>
          <w:rFonts w:eastAsia="Times New Roman"/>
          <w:noProof/>
        </w:rPr>
        <w:t>In case of the activation of the IPCR, this report can contribute to the Integrated Situation Awareness Analysis (</w:t>
      </w:r>
      <w:r>
        <w:rPr>
          <w:rFonts w:eastAsia="Times New Roman"/>
          <w:noProof/>
        </w:rPr>
        <w:t>‘’</w:t>
      </w:r>
      <w:r w:rsidRPr="123A11B7">
        <w:rPr>
          <w:rFonts w:eastAsia="Times New Roman"/>
          <w:noProof/>
        </w:rPr>
        <w:t>ISAA</w:t>
      </w:r>
      <w:r>
        <w:rPr>
          <w:rFonts w:eastAsia="Times New Roman"/>
          <w:noProof/>
        </w:rPr>
        <w:t>’’</w:t>
      </w:r>
      <w:r w:rsidRPr="123A11B7">
        <w:rPr>
          <w:rFonts w:eastAsia="Times New Roman"/>
          <w:noProof/>
        </w:rPr>
        <w:t>) prepared by the Commission services and the EEAS.</w:t>
      </w:r>
      <w:r>
        <w:rPr>
          <w:noProof/>
        </w:rPr>
        <w:t xml:space="preserve"> </w:t>
      </w:r>
    </w:p>
    <w:p w14:paraId="0A4C326C" w14:textId="77777777" w:rsidR="006E4FAF" w:rsidRDefault="006E4FAF" w:rsidP="00432DB4">
      <w:pPr>
        <w:rPr>
          <w:noProof/>
        </w:rPr>
      </w:pPr>
      <w:r>
        <w:rPr>
          <w:noProof/>
        </w:rPr>
        <w:t>SIAC presents an up-to-date intelligence-based assessment on the incident, where relevant.</w:t>
      </w:r>
    </w:p>
    <w:p w14:paraId="2837090A" w14:textId="77777777" w:rsidR="006E4FAF" w:rsidRPr="00803E4A" w:rsidRDefault="006E4FAF" w:rsidP="00F977CD">
      <w:pPr>
        <w:pStyle w:val="NumPar"/>
        <w:rPr>
          <w:noProof/>
        </w:rPr>
      </w:pPr>
      <w:r w:rsidRPr="00803E4A">
        <w:rPr>
          <w:noProof/>
        </w:rPr>
        <w:t xml:space="preserve">Activation of </w:t>
      </w:r>
      <w:r w:rsidR="00CC0BD2">
        <w:rPr>
          <w:noProof/>
        </w:rPr>
        <w:t>Union</w:t>
      </w:r>
      <w:r w:rsidRPr="00803E4A">
        <w:rPr>
          <w:noProof/>
        </w:rPr>
        <w:t xml:space="preserve"> crisis coordination mechanisms and use of </w:t>
      </w:r>
      <w:r w:rsidR="00CC0BD2">
        <w:rPr>
          <w:noProof/>
        </w:rPr>
        <w:t>Union</w:t>
      </w:r>
      <w:r w:rsidR="00CC0BD2" w:rsidRPr="00803E4A">
        <w:rPr>
          <w:noProof/>
        </w:rPr>
        <w:t xml:space="preserve"> </w:t>
      </w:r>
      <w:r w:rsidRPr="00803E4A">
        <w:rPr>
          <w:noProof/>
        </w:rPr>
        <w:t xml:space="preserve">tools </w:t>
      </w:r>
    </w:p>
    <w:p w14:paraId="62629A20" w14:textId="4B44876C" w:rsidR="006E4FAF" w:rsidRDefault="00AD306A" w:rsidP="00432DB4">
      <w:pPr>
        <w:rPr>
          <w:noProof/>
        </w:rPr>
      </w:pPr>
      <w:r>
        <w:rPr>
          <w:noProof/>
        </w:rPr>
        <w:t>T</w:t>
      </w:r>
      <w:r w:rsidR="006E4FAF">
        <w:rPr>
          <w:noProof/>
        </w:rPr>
        <w:t>he ERCC begins providing situational awareness support surrounding the incident, where relevant, in particular if the event</w:t>
      </w:r>
      <w:r w:rsidR="006E4FAF" w:rsidDel="00791703">
        <w:rPr>
          <w:noProof/>
        </w:rPr>
        <w:t xml:space="preserve"> </w:t>
      </w:r>
      <w:r w:rsidR="006E4FAF">
        <w:rPr>
          <w:noProof/>
        </w:rPr>
        <w:t xml:space="preserve">prompts a </w:t>
      </w:r>
      <w:r w:rsidR="006E4FAF" w:rsidRPr="005603EA">
        <w:rPr>
          <w:noProof/>
        </w:rPr>
        <w:t>UCPM activation</w:t>
      </w:r>
      <w:r w:rsidR="002E0DC6" w:rsidRPr="005603EA">
        <w:rPr>
          <w:rStyle w:val="FootnoteReference"/>
          <w:noProof/>
        </w:rPr>
        <w:footnoteReference w:id="14"/>
      </w:r>
      <w:r w:rsidR="006E4FAF" w:rsidRPr="005603EA">
        <w:rPr>
          <w:noProof/>
        </w:rPr>
        <w:t>. In addition, affected Member States may request satellite imagery of their territory via Copernicus Emergency Management Service.</w:t>
      </w:r>
    </w:p>
    <w:p w14:paraId="7BBFA120" w14:textId="169E07D7" w:rsidR="006E4FAF" w:rsidRDefault="006E4FAF" w:rsidP="00432DB4">
      <w:pPr>
        <w:rPr>
          <w:noProof/>
        </w:rPr>
      </w:pPr>
      <w:r>
        <w:rPr>
          <w:noProof/>
        </w:rPr>
        <w:t xml:space="preserve">Where considered appropriate to share information across the Commission with EEAS and </w:t>
      </w:r>
      <w:r w:rsidR="00F300CA">
        <w:rPr>
          <w:noProof/>
        </w:rPr>
        <w:t xml:space="preserve">relevant </w:t>
      </w:r>
      <w:r w:rsidR="007A6BD3">
        <w:rPr>
          <w:noProof/>
        </w:rPr>
        <w:t xml:space="preserve">Union </w:t>
      </w:r>
      <w:r w:rsidR="00025515">
        <w:rPr>
          <w:noProof/>
        </w:rPr>
        <w:t>a</w:t>
      </w:r>
      <w:r>
        <w:rPr>
          <w:noProof/>
        </w:rPr>
        <w:t xml:space="preserve">gencies, </w:t>
      </w:r>
      <w:r w:rsidR="00517556">
        <w:rPr>
          <w:noProof/>
        </w:rPr>
        <w:t xml:space="preserve">the lead Directorate-General or </w:t>
      </w:r>
      <w:r w:rsidRPr="00F5654E">
        <w:rPr>
          <w:noProof/>
        </w:rPr>
        <w:t>Directorate-General Migration and Home Affairs</w:t>
      </w:r>
      <w:r w:rsidR="5517E50C">
        <w:rPr>
          <w:noProof/>
        </w:rPr>
        <w:t xml:space="preserve">, </w:t>
      </w:r>
      <w:r w:rsidR="5517E50C" w:rsidRPr="14B60FC1">
        <w:rPr>
          <w:rFonts w:eastAsia="Times New Roman"/>
          <w:noProof/>
        </w:rPr>
        <w:t>in coordination with the Secretariat</w:t>
      </w:r>
      <w:r w:rsidR="004E1E72">
        <w:rPr>
          <w:rFonts w:eastAsia="Times New Roman"/>
          <w:noProof/>
        </w:rPr>
        <w:t>-</w:t>
      </w:r>
      <w:r w:rsidR="5517E50C" w:rsidRPr="14B60FC1">
        <w:rPr>
          <w:rFonts w:eastAsia="Times New Roman"/>
          <w:noProof/>
        </w:rPr>
        <w:t>General,</w:t>
      </w:r>
      <w:r>
        <w:rPr>
          <w:noProof/>
        </w:rPr>
        <w:t xml:space="preserve"> activates the </w:t>
      </w:r>
      <w:r w:rsidR="00D07590">
        <w:rPr>
          <w:noProof/>
          <w:lang w:val="en-US"/>
        </w:rPr>
        <w:t>Commission’s internal crisis coordination process</w:t>
      </w:r>
      <w:r w:rsidR="00D07590" w:rsidRPr="003B7FF4">
        <w:rPr>
          <w:noProof/>
        </w:rPr>
        <w:t xml:space="preserve"> </w:t>
      </w:r>
      <w:r w:rsidRPr="00F564F2">
        <w:rPr>
          <w:noProof/>
        </w:rPr>
        <w:t>ARGUS Phase I</w:t>
      </w:r>
      <w:r>
        <w:rPr>
          <w:noProof/>
        </w:rPr>
        <w:t xml:space="preserve"> by opening an event on the A</w:t>
      </w:r>
      <w:r w:rsidR="79B19292">
        <w:rPr>
          <w:noProof/>
        </w:rPr>
        <w:t>rgus</w:t>
      </w:r>
      <w:r>
        <w:rPr>
          <w:noProof/>
        </w:rPr>
        <w:t xml:space="preserve"> IT tool. </w:t>
      </w:r>
    </w:p>
    <w:p w14:paraId="01955139" w14:textId="77777777" w:rsidR="006E4FAF" w:rsidRPr="00156460" w:rsidRDefault="006E4FAF" w:rsidP="00432DB4">
      <w:pPr>
        <w:rPr>
          <w:noProof/>
        </w:rPr>
      </w:pPr>
      <w:r>
        <w:rPr>
          <w:noProof/>
        </w:rPr>
        <w:t xml:space="preserve">The rotating Presidency of the Council of the </w:t>
      </w:r>
      <w:r w:rsidR="00233B64">
        <w:rPr>
          <w:noProof/>
        </w:rPr>
        <w:t xml:space="preserve">Union </w:t>
      </w:r>
      <w:r w:rsidRPr="00F564F2">
        <w:rPr>
          <w:noProof/>
        </w:rPr>
        <w:t>may activate the IPCR arrangements in information sharing mode,</w:t>
      </w:r>
      <w:r>
        <w:rPr>
          <w:noProof/>
        </w:rPr>
        <w:t xml:space="preserve"> which entails the development of ISAA reports by the Commission and the EEAS with contributions from national competent authorities and other sources</w:t>
      </w:r>
      <w:r w:rsidR="2F80D871">
        <w:rPr>
          <w:noProof/>
        </w:rPr>
        <w:t>, where appropriate</w:t>
      </w:r>
      <w:r>
        <w:rPr>
          <w:noProof/>
        </w:rPr>
        <w:t xml:space="preserve">. Even without activating the IPCR, a monitoring page on the IPCR web platform can be initiated by the </w:t>
      </w:r>
      <w:r w:rsidRPr="00156460">
        <w:rPr>
          <w:noProof/>
        </w:rPr>
        <w:t xml:space="preserve">rotating Presidency of the Council or by the Commission, under certain conditions. </w:t>
      </w:r>
    </w:p>
    <w:p w14:paraId="5859B047" w14:textId="77777777" w:rsidR="006E4FAF" w:rsidRPr="00156460" w:rsidRDefault="006E4FAF" w:rsidP="00432DB4">
      <w:pPr>
        <w:rPr>
          <w:noProof/>
        </w:rPr>
      </w:pPr>
      <w:r w:rsidRPr="00156460">
        <w:rPr>
          <w:noProof/>
        </w:rPr>
        <w:t xml:space="preserve">Other (sectoral) </w:t>
      </w:r>
      <w:r w:rsidR="00233B64" w:rsidRPr="00156460">
        <w:rPr>
          <w:noProof/>
        </w:rPr>
        <w:t xml:space="preserve">Union </w:t>
      </w:r>
      <w:r w:rsidRPr="00156460">
        <w:rPr>
          <w:noProof/>
        </w:rPr>
        <w:t xml:space="preserve">crisis management mechanisms and tools may be activated following the respective procedures, as appropriate. </w:t>
      </w:r>
      <w:r w:rsidR="6543218C" w:rsidRPr="00156460">
        <w:rPr>
          <w:rFonts w:eastAsia="Times New Roman"/>
          <w:noProof/>
          <w:szCs w:val="24"/>
        </w:rPr>
        <w:t>The Commission will ensure coordination between these mechanisms and tools.</w:t>
      </w:r>
      <w:r w:rsidRPr="00156460">
        <w:rPr>
          <w:noProof/>
        </w:rPr>
        <w:t xml:space="preserve"> </w:t>
      </w:r>
    </w:p>
    <w:p w14:paraId="03CC72F5" w14:textId="77777777" w:rsidR="006E4FAF" w:rsidRDefault="00ED42A2" w:rsidP="00432DB4">
      <w:pPr>
        <w:rPr>
          <w:noProof/>
        </w:rPr>
      </w:pPr>
      <w:r w:rsidRPr="00156460">
        <w:rPr>
          <w:rStyle w:val="ui-provider"/>
          <w:noProof/>
        </w:rPr>
        <w:t xml:space="preserve">If the physical incident coincides with or appears to be related to a large-scale cybersecurity incident, as defined in Article 6(7) of Directive (EU) 2022/2555, the </w:t>
      </w:r>
      <w:r w:rsidR="00A46958" w:rsidRPr="00156460">
        <w:rPr>
          <w:rStyle w:val="ui-provider"/>
          <w:noProof/>
        </w:rPr>
        <w:t xml:space="preserve">rotating Presidency of the </w:t>
      </w:r>
      <w:r w:rsidRPr="00156460">
        <w:rPr>
          <w:rStyle w:val="ui-provider"/>
          <w:noProof/>
        </w:rPr>
        <w:t xml:space="preserve">Council </w:t>
      </w:r>
      <w:r w:rsidR="00C03B07" w:rsidRPr="00156460">
        <w:rPr>
          <w:rStyle w:val="ui-provider"/>
          <w:noProof/>
        </w:rPr>
        <w:t xml:space="preserve">may </w:t>
      </w:r>
      <w:r w:rsidRPr="00156460">
        <w:rPr>
          <w:rStyle w:val="ui-provider"/>
          <w:noProof/>
        </w:rPr>
        <w:t xml:space="preserve">use </w:t>
      </w:r>
      <w:r w:rsidR="00AA4BC7" w:rsidRPr="00156460">
        <w:rPr>
          <w:rStyle w:val="ui-provider"/>
          <w:noProof/>
        </w:rPr>
        <w:t>the</w:t>
      </w:r>
      <w:r w:rsidR="00A46958" w:rsidRPr="00156460">
        <w:rPr>
          <w:rStyle w:val="ui-provider"/>
          <w:noProof/>
        </w:rPr>
        <w:t xml:space="preserve"> Cyber Blueprint</w:t>
      </w:r>
      <w:r w:rsidRPr="00156460">
        <w:rPr>
          <w:rStyle w:val="ui-provider"/>
          <w:noProof/>
        </w:rPr>
        <w:t xml:space="preserve"> to determine appropriate coordination at operational level involving, </w:t>
      </w:r>
      <w:r w:rsidRPr="00156460">
        <w:rPr>
          <w:rStyle w:val="ui-provider"/>
          <w:i/>
          <w:iCs/>
          <w:noProof/>
        </w:rPr>
        <w:t>inter alia</w:t>
      </w:r>
      <w:r w:rsidR="00FC6D28" w:rsidRPr="00156460">
        <w:rPr>
          <w:rStyle w:val="ui-provider"/>
          <w:i/>
          <w:iCs/>
          <w:noProof/>
        </w:rPr>
        <w:t xml:space="preserve">, </w:t>
      </w:r>
      <w:r w:rsidR="00FC6D28" w:rsidRPr="00156460">
        <w:rPr>
          <w:rStyle w:val="ui-provider"/>
          <w:noProof/>
        </w:rPr>
        <w:t>the</w:t>
      </w:r>
      <w:r w:rsidR="00FC6D28" w:rsidRPr="00156460">
        <w:rPr>
          <w:rStyle w:val="ui-provider"/>
          <w:i/>
          <w:iCs/>
          <w:noProof/>
        </w:rPr>
        <w:t xml:space="preserve"> </w:t>
      </w:r>
      <w:r w:rsidR="006E4FAF" w:rsidRPr="00156460">
        <w:rPr>
          <w:noProof/>
        </w:rPr>
        <w:t>EU CyCLONe and the Critical Entities</w:t>
      </w:r>
      <w:r w:rsidR="006E4FAF">
        <w:rPr>
          <w:noProof/>
        </w:rPr>
        <w:t xml:space="preserve"> Resilience Group. </w:t>
      </w:r>
    </w:p>
    <w:p w14:paraId="5562D3CE" w14:textId="77777777" w:rsidR="006E4FAF" w:rsidRDefault="006E4FAF" w:rsidP="00F977CD">
      <w:pPr>
        <w:pStyle w:val="NumPar"/>
        <w:rPr>
          <w:noProof/>
        </w:rPr>
      </w:pPr>
      <w:r w:rsidRPr="00803E4A">
        <w:rPr>
          <w:bCs/>
          <w:iCs/>
          <w:noProof/>
        </w:rPr>
        <w:t>Coordination of</w:t>
      </w:r>
      <w:r w:rsidRPr="009047F0">
        <w:rPr>
          <w:noProof/>
        </w:rPr>
        <w:t xml:space="preserve"> </w:t>
      </w:r>
      <w:r w:rsidRPr="00803E4A">
        <w:rPr>
          <w:noProof/>
        </w:rPr>
        <w:t xml:space="preserve">public communication </w:t>
      </w:r>
    </w:p>
    <w:p w14:paraId="4B646585" w14:textId="1C2397A3" w:rsidR="006E4FAF" w:rsidRDefault="006E4FAF" w:rsidP="00432DB4">
      <w:pPr>
        <w:rPr>
          <w:noProof/>
        </w:rPr>
      </w:pPr>
      <w:r>
        <w:rPr>
          <w:noProof/>
        </w:rPr>
        <w:t xml:space="preserve">The Member States affected by the </w:t>
      </w:r>
      <w:r w:rsidRPr="2BB5C980">
        <w:rPr>
          <w:rFonts w:eastAsia="Times New Roman"/>
          <w:noProof/>
        </w:rPr>
        <w:t xml:space="preserve">significant critical infrastructure </w:t>
      </w:r>
      <w:r w:rsidR="00DD43D5">
        <w:rPr>
          <w:rFonts w:eastAsia="Times New Roman"/>
          <w:noProof/>
        </w:rPr>
        <w:t xml:space="preserve">incident </w:t>
      </w:r>
      <w:r>
        <w:rPr>
          <w:noProof/>
        </w:rPr>
        <w:t xml:space="preserve">coordinate their public communication on the crisis to the extent possible, while respecting national competence in this regard. </w:t>
      </w:r>
      <w:r w:rsidR="00136EFF">
        <w:rPr>
          <w:noProof/>
        </w:rPr>
        <w:t xml:space="preserve">The </w:t>
      </w:r>
      <w:r w:rsidR="00C55A7E">
        <w:rPr>
          <w:noProof/>
        </w:rPr>
        <w:t xml:space="preserve">IPCR </w:t>
      </w:r>
      <w:r w:rsidR="00136EFF">
        <w:rPr>
          <w:noProof/>
        </w:rPr>
        <w:t>Crisis Communication Network may be involved, as appropriate.</w:t>
      </w:r>
    </w:p>
    <w:p w14:paraId="6597776E" w14:textId="77777777" w:rsidR="006E4FAF" w:rsidRDefault="006E4FAF" w:rsidP="00432DB4">
      <w:pPr>
        <w:rPr>
          <w:noProof/>
        </w:rPr>
      </w:pPr>
      <w:r>
        <w:rPr>
          <w:noProof/>
        </w:rPr>
        <w:t xml:space="preserve">Based on the shared situational awareness, the Critical Entities Resilience Group, and the affected Member States support the formulation of agreed public communication lines, where appropriate. </w:t>
      </w:r>
    </w:p>
    <w:p w14:paraId="7ECDA82D" w14:textId="708CE566" w:rsidR="006E4FAF" w:rsidRDefault="006E4FAF" w:rsidP="00432DB4">
      <w:pPr>
        <w:rPr>
          <w:noProof/>
        </w:rPr>
      </w:pPr>
      <w:r>
        <w:rPr>
          <w:noProof/>
        </w:rPr>
        <w:t>Europol and other relevant U</w:t>
      </w:r>
      <w:r w:rsidR="00A34085">
        <w:rPr>
          <w:noProof/>
        </w:rPr>
        <w:t>nion</w:t>
      </w:r>
      <w:r>
        <w:rPr>
          <w:noProof/>
        </w:rPr>
        <w:t xml:space="preserve"> agencies coordinate their public communication activities with the Commission’s </w:t>
      </w:r>
      <w:r w:rsidR="00BE0CD6">
        <w:rPr>
          <w:noProof/>
        </w:rPr>
        <w:t>S</w:t>
      </w:r>
      <w:r>
        <w:rPr>
          <w:noProof/>
        </w:rPr>
        <w:t>pokesperson</w:t>
      </w:r>
      <w:r w:rsidR="008D1D70">
        <w:rPr>
          <w:noProof/>
        </w:rPr>
        <w:t>’s</w:t>
      </w:r>
      <w:r>
        <w:rPr>
          <w:noProof/>
        </w:rPr>
        <w:t xml:space="preserve"> service, based on shared situational awareness. </w:t>
      </w:r>
    </w:p>
    <w:p w14:paraId="32B9B1CC" w14:textId="5FA5EF13" w:rsidR="006E4FAF" w:rsidRPr="001F484F" w:rsidRDefault="006E4FAF" w:rsidP="00432DB4">
      <w:pPr>
        <w:rPr>
          <w:noProof/>
          <w:highlight w:val="yellow"/>
        </w:rPr>
      </w:pPr>
      <w:r>
        <w:rPr>
          <w:noProof/>
        </w:rPr>
        <w:t xml:space="preserve">If the significant critical infrastructure incident entails an external, hybrid or Common Security and Defence Policy dimension, the public communication is coordinated with the EEAS and the Commission’s </w:t>
      </w:r>
      <w:r w:rsidR="00BE0CD6">
        <w:rPr>
          <w:noProof/>
        </w:rPr>
        <w:t>S</w:t>
      </w:r>
      <w:r>
        <w:rPr>
          <w:noProof/>
        </w:rPr>
        <w:t>pokesperson</w:t>
      </w:r>
      <w:r w:rsidR="008D1D70">
        <w:rPr>
          <w:noProof/>
        </w:rPr>
        <w:t>’s</w:t>
      </w:r>
      <w:r>
        <w:rPr>
          <w:noProof/>
        </w:rPr>
        <w:t xml:space="preserve"> service in accordance with the </w:t>
      </w:r>
      <w:r w:rsidRPr="0063453E">
        <w:rPr>
          <w:noProof/>
        </w:rPr>
        <w:t>EU Protocol for countering hybrid threats</w:t>
      </w:r>
      <w:r w:rsidR="00182F69" w:rsidRPr="0063453E">
        <w:rPr>
          <w:rStyle w:val="FootnoteReference"/>
          <w:noProof/>
        </w:rPr>
        <w:footnoteReference w:id="15"/>
      </w:r>
      <w:r w:rsidRPr="0063453E" w:rsidDel="0069143F">
        <w:rPr>
          <w:noProof/>
        </w:rPr>
        <w:t>.</w:t>
      </w:r>
      <w:r>
        <w:rPr>
          <w:noProof/>
        </w:rPr>
        <w:t xml:space="preserve"> </w:t>
      </w:r>
    </w:p>
    <w:p w14:paraId="18E6A4DF" w14:textId="02AAFD26" w:rsidR="006E4FAF" w:rsidRPr="00713BC4" w:rsidRDefault="00DD43D5" w:rsidP="00F977CD">
      <w:pPr>
        <w:pStyle w:val="Heading1"/>
        <w:rPr>
          <w:noProof/>
          <w:lang w:val="en-US"/>
        </w:rPr>
      </w:pPr>
      <w:r>
        <w:rPr>
          <w:noProof/>
        </w:rPr>
        <w:t>R</w:t>
      </w:r>
      <w:r w:rsidR="006E4FAF" w:rsidRPr="00713BC4">
        <w:rPr>
          <w:noProof/>
        </w:rPr>
        <w:t xml:space="preserve">esponse (involving continuous actions described under </w:t>
      </w:r>
      <w:r w:rsidR="001D0346" w:rsidRPr="00713BC4">
        <w:rPr>
          <w:noProof/>
        </w:rPr>
        <w:t xml:space="preserve">Information exchange </w:t>
      </w:r>
      <w:r w:rsidR="006E4FAF" w:rsidRPr="00713BC4">
        <w:rPr>
          <w:noProof/>
        </w:rPr>
        <w:t xml:space="preserve">and additional actions at strategic </w:t>
      </w:r>
      <w:r w:rsidR="00246659" w:rsidRPr="00713BC4">
        <w:rPr>
          <w:noProof/>
        </w:rPr>
        <w:t>/</w:t>
      </w:r>
      <w:r w:rsidR="006E4FAF" w:rsidRPr="00713BC4">
        <w:rPr>
          <w:noProof/>
        </w:rPr>
        <w:t xml:space="preserve">political levels) </w:t>
      </w:r>
    </w:p>
    <w:p w14:paraId="634FB69B" w14:textId="77777777" w:rsidR="006E4FAF" w:rsidRPr="00F977CD" w:rsidRDefault="006E4FAF" w:rsidP="008F5AFE">
      <w:pPr>
        <w:pStyle w:val="Point0letter"/>
        <w:numPr>
          <w:ilvl w:val="1"/>
          <w:numId w:val="10"/>
        </w:numPr>
        <w:rPr>
          <w:b/>
          <w:noProof/>
        </w:rPr>
      </w:pPr>
      <w:r w:rsidRPr="00F977CD">
        <w:rPr>
          <w:b/>
          <w:noProof/>
        </w:rPr>
        <w:t>At strategic level</w:t>
      </w:r>
    </w:p>
    <w:p w14:paraId="041D4FF9" w14:textId="77777777" w:rsidR="006E4FAF" w:rsidRDefault="006E4FAF" w:rsidP="008F5AFE">
      <w:pPr>
        <w:pStyle w:val="NumPar"/>
        <w:numPr>
          <w:ilvl w:val="0"/>
          <w:numId w:val="11"/>
        </w:numPr>
        <w:rPr>
          <w:noProof/>
        </w:rPr>
      </w:pPr>
      <w:r>
        <w:rPr>
          <w:noProof/>
        </w:rPr>
        <w:t xml:space="preserve"> </w:t>
      </w:r>
      <w:r w:rsidRPr="00803E4A">
        <w:rPr>
          <w:noProof/>
        </w:rPr>
        <w:t xml:space="preserve">Continuous production of situational reports </w:t>
      </w:r>
    </w:p>
    <w:p w14:paraId="7391BA01" w14:textId="77777777" w:rsidR="006E4FAF" w:rsidRDefault="006E4FAF" w:rsidP="00432DB4">
      <w:pPr>
        <w:rPr>
          <w:noProof/>
        </w:rPr>
      </w:pPr>
      <w:r>
        <w:rPr>
          <w:noProof/>
        </w:rPr>
        <w:t>The Council Working Party on Civil Protection – Critical Entities Resilience (PROCIV-CER) is informed of the production of a politico/strategic situational report (e.g. the ISAA in case of IPCR activation or the shared situational awareness report prepared by the Commission) and prepares the COREPER</w:t>
      </w:r>
      <w:r w:rsidR="006E7C6A">
        <w:rPr>
          <w:noProof/>
        </w:rPr>
        <w:t>, in case the latter has not</w:t>
      </w:r>
      <w:r w:rsidR="003F15C9">
        <w:rPr>
          <w:noProof/>
        </w:rPr>
        <w:t xml:space="preserve"> yet</w:t>
      </w:r>
      <w:r w:rsidR="006E7C6A">
        <w:rPr>
          <w:noProof/>
        </w:rPr>
        <w:t xml:space="preserve"> been </w:t>
      </w:r>
      <w:r w:rsidR="00F93C4C">
        <w:rPr>
          <w:noProof/>
        </w:rPr>
        <w:t>convened,</w:t>
      </w:r>
      <w:r>
        <w:rPr>
          <w:noProof/>
        </w:rPr>
        <w:t xml:space="preserve"> or </w:t>
      </w:r>
      <w:r w:rsidR="00F93C4C">
        <w:rPr>
          <w:noProof/>
        </w:rPr>
        <w:t xml:space="preserve">the </w:t>
      </w:r>
      <w:r>
        <w:rPr>
          <w:noProof/>
        </w:rPr>
        <w:t xml:space="preserve">Political and Security Committee meeting, as appropriate. </w:t>
      </w:r>
    </w:p>
    <w:p w14:paraId="38999B32" w14:textId="77777777" w:rsidR="006E4FAF" w:rsidRDefault="006E4FAF" w:rsidP="00432DB4">
      <w:pPr>
        <w:rPr>
          <w:noProof/>
        </w:rPr>
      </w:pPr>
      <w:r>
        <w:rPr>
          <w:noProof/>
        </w:rPr>
        <w:t>SIAC intensifies its outreach to Member States’ intelligence services, aggregates the all-source information and prepares an analysis and assessment of the incident, as well as regular updates, if necessary.</w:t>
      </w:r>
    </w:p>
    <w:p w14:paraId="77E3971D" w14:textId="77777777" w:rsidR="006E4FAF" w:rsidRDefault="006E4FAF" w:rsidP="00F977CD">
      <w:pPr>
        <w:pStyle w:val="NumPar"/>
        <w:rPr>
          <w:noProof/>
        </w:rPr>
      </w:pPr>
      <w:r w:rsidRPr="00803E4A">
        <w:rPr>
          <w:noProof/>
        </w:rPr>
        <w:t xml:space="preserve">Full activation of </w:t>
      </w:r>
      <w:r w:rsidR="00212B54">
        <w:rPr>
          <w:noProof/>
        </w:rPr>
        <w:t>Union</w:t>
      </w:r>
      <w:r w:rsidR="00212B54" w:rsidRPr="00803E4A">
        <w:rPr>
          <w:noProof/>
        </w:rPr>
        <w:t xml:space="preserve"> </w:t>
      </w:r>
      <w:r w:rsidRPr="00803E4A">
        <w:rPr>
          <w:noProof/>
        </w:rPr>
        <w:t xml:space="preserve">crisis coordination mechanisms and use of </w:t>
      </w:r>
      <w:r w:rsidR="00117D39">
        <w:rPr>
          <w:noProof/>
        </w:rPr>
        <w:t>Union</w:t>
      </w:r>
      <w:r w:rsidR="00117D39" w:rsidRPr="00803E4A">
        <w:rPr>
          <w:noProof/>
        </w:rPr>
        <w:t xml:space="preserve"> </w:t>
      </w:r>
      <w:r w:rsidR="003F15C9">
        <w:rPr>
          <w:noProof/>
        </w:rPr>
        <w:t>instruments</w:t>
      </w:r>
      <w:r w:rsidR="003F15C9" w:rsidRPr="00803E4A">
        <w:rPr>
          <w:noProof/>
        </w:rPr>
        <w:t xml:space="preserve"> </w:t>
      </w:r>
    </w:p>
    <w:p w14:paraId="71293E73" w14:textId="77777777" w:rsidR="006E4FAF" w:rsidRDefault="006E4FAF" w:rsidP="00432DB4">
      <w:pPr>
        <w:rPr>
          <w:noProof/>
        </w:rPr>
      </w:pPr>
      <w:r>
        <w:rPr>
          <w:noProof/>
        </w:rPr>
        <w:t xml:space="preserve">In case the President of the Commission </w:t>
      </w:r>
      <w:r w:rsidRPr="00D95973">
        <w:rPr>
          <w:noProof/>
        </w:rPr>
        <w:t xml:space="preserve">activates </w:t>
      </w:r>
      <w:r w:rsidR="00300174" w:rsidRPr="00D95973">
        <w:rPr>
          <w:noProof/>
        </w:rPr>
        <w:t xml:space="preserve">the </w:t>
      </w:r>
      <w:r w:rsidR="00300174" w:rsidRPr="00D95973">
        <w:rPr>
          <w:noProof/>
          <w:lang w:val="en-US"/>
        </w:rPr>
        <w:t>Commission’s internal crisis coordination process</w:t>
      </w:r>
      <w:r w:rsidRPr="00D95973">
        <w:rPr>
          <w:noProof/>
        </w:rPr>
        <w:t xml:space="preserve"> ARGUS Phase</w:t>
      </w:r>
      <w:r w:rsidRPr="0037467A">
        <w:rPr>
          <w:noProof/>
        </w:rPr>
        <w:t xml:space="preserve"> II</w:t>
      </w:r>
      <w:r>
        <w:rPr>
          <w:noProof/>
        </w:rPr>
        <w:t>, Crisis Coordination Committee meeting</w:t>
      </w:r>
      <w:r w:rsidR="7450322B">
        <w:rPr>
          <w:noProof/>
        </w:rPr>
        <w:t>(</w:t>
      </w:r>
      <w:r>
        <w:rPr>
          <w:noProof/>
        </w:rPr>
        <w:t>s</w:t>
      </w:r>
      <w:r w:rsidR="150FFAC4">
        <w:rPr>
          <w:noProof/>
        </w:rPr>
        <w:t>)</w:t>
      </w:r>
      <w:r>
        <w:rPr>
          <w:noProof/>
        </w:rPr>
        <w:t xml:space="preserve"> involving the relevant Commission services</w:t>
      </w:r>
      <w:r w:rsidR="00BB3DCD">
        <w:rPr>
          <w:noProof/>
        </w:rPr>
        <w:t>,</w:t>
      </w:r>
      <w:r>
        <w:rPr>
          <w:noProof/>
        </w:rPr>
        <w:t xml:space="preserve"> </w:t>
      </w:r>
      <w:r w:rsidR="00BB3DCD">
        <w:rPr>
          <w:noProof/>
        </w:rPr>
        <w:t>agencies,</w:t>
      </w:r>
      <w:r w:rsidR="00F50224">
        <w:rPr>
          <w:noProof/>
        </w:rPr>
        <w:t xml:space="preserve"> and </w:t>
      </w:r>
      <w:r>
        <w:rPr>
          <w:noProof/>
        </w:rPr>
        <w:t>the EEAS</w:t>
      </w:r>
      <w:r w:rsidR="00BB3DCD">
        <w:rPr>
          <w:noProof/>
        </w:rPr>
        <w:t>, where relevant,</w:t>
      </w:r>
      <w:r w:rsidR="20401EB8">
        <w:rPr>
          <w:noProof/>
        </w:rPr>
        <w:t xml:space="preserve"> </w:t>
      </w:r>
      <w:r>
        <w:rPr>
          <w:noProof/>
        </w:rPr>
        <w:t xml:space="preserve">are convened on a short notice in order to </w:t>
      </w:r>
      <w:r w:rsidRPr="0037467A">
        <w:rPr>
          <w:noProof/>
        </w:rPr>
        <w:t>coordinat</w:t>
      </w:r>
      <w:r>
        <w:rPr>
          <w:noProof/>
        </w:rPr>
        <w:t>e</w:t>
      </w:r>
      <w:r w:rsidRPr="0037467A">
        <w:rPr>
          <w:noProof/>
        </w:rPr>
        <w:t xml:space="preserve"> </w:t>
      </w:r>
      <w:r>
        <w:rPr>
          <w:noProof/>
        </w:rPr>
        <w:t>as regards all aspects of the significant critical infrastructure incident.</w:t>
      </w:r>
    </w:p>
    <w:p w14:paraId="564DB8FD" w14:textId="77777777" w:rsidR="006E4FAF" w:rsidRDefault="006E4FAF" w:rsidP="00432DB4">
      <w:pPr>
        <w:rPr>
          <w:noProof/>
        </w:rPr>
      </w:pPr>
      <w:r>
        <w:rPr>
          <w:noProof/>
        </w:rPr>
        <w:t xml:space="preserve"> In case the </w:t>
      </w:r>
      <w:r w:rsidRPr="0037467A">
        <w:rPr>
          <w:noProof/>
        </w:rPr>
        <w:t>IPCR</w:t>
      </w:r>
      <w:r>
        <w:rPr>
          <w:noProof/>
        </w:rPr>
        <w:t xml:space="preserve"> is activated by the Council Presidency in </w:t>
      </w:r>
      <w:r w:rsidRPr="0037467A">
        <w:rPr>
          <w:noProof/>
        </w:rPr>
        <w:t>full mode</w:t>
      </w:r>
      <w:r>
        <w:rPr>
          <w:noProof/>
        </w:rPr>
        <w:t xml:space="preserve">: </w:t>
      </w:r>
    </w:p>
    <w:p w14:paraId="7EBE9B72" w14:textId="77777777" w:rsidR="006E4FAF" w:rsidRPr="000B5B16" w:rsidRDefault="006E4FAF" w:rsidP="00432DB4">
      <w:pPr>
        <w:rPr>
          <w:noProof/>
        </w:rPr>
      </w:pPr>
      <w:r w:rsidRPr="000B5B16">
        <w:rPr>
          <w:noProof/>
        </w:rPr>
        <w:t xml:space="preserve">-  The rotating Presidency of the Council calls for a timely informal roundtable, gathering the relevant national, European and international actors, where </w:t>
      </w:r>
      <w:r w:rsidR="00401EB3" w:rsidRPr="000B5B16">
        <w:rPr>
          <w:noProof/>
        </w:rPr>
        <w:t xml:space="preserve">the Commission representative </w:t>
      </w:r>
      <w:r w:rsidR="00DB7560" w:rsidRPr="000B5B16">
        <w:rPr>
          <w:noProof/>
        </w:rPr>
        <w:t xml:space="preserve">acting </w:t>
      </w:r>
      <w:r w:rsidRPr="000B5B16">
        <w:rPr>
          <w:noProof/>
        </w:rPr>
        <w:t>as the Chair of the Critical Entities Resilience Group</w:t>
      </w:r>
      <w:r w:rsidR="00DB5086" w:rsidRPr="000B5B16">
        <w:rPr>
          <w:noProof/>
        </w:rPr>
        <w:t xml:space="preserve"> (Directorate-General Migration and Home Affairs) </w:t>
      </w:r>
      <w:r w:rsidRPr="000B5B16">
        <w:rPr>
          <w:noProof/>
        </w:rPr>
        <w:t xml:space="preserve">can report on the previously convened group’s meeting(s), </w:t>
      </w:r>
      <w:r w:rsidR="51C6D4DB" w:rsidRPr="000B5B16">
        <w:rPr>
          <w:rFonts w:eastAsia="Times New Roman"/>
          <w:noProof/>
          <w:szCs w:val="24"/>
        </w:rPr>
        <w:t xml:space="preserve">complemented by other Commission </w:t>
      </w:r>
      <w:r w:rsidR="00A73779" w:rsidRPr="000B5B16">
        <w:rPr>
          <w:rFonts w:eastAsia="Times New Roman"/>
          <w:noProof/>
          <w:szCs w:val="24"/>
        </w:rPr>
        <w:t>s</w:t>
      </w:r>
      <w:r w:rsidR="51C6D4DB" w:rsidRPr="000B5B16">
        <w:rPr>
          <w:rFonts w:eastAsia="Times New Roman"/>
          <w:noProof/>
          <w:szCs w:val="24"/>
        </w:rPr>
        <w:t>ervices and EEAS</w:t>
      </w:r>
      <w:r w:rsidR="00881996" w:rsidRPr="000B5B16">
        <w:rPr>
          <w:rFonts w:eastAsia="Times New Roman"/>
          <w:noProof/>
          <w:szCs w:val="24"/>
        </w:rPr>
        <w:t>,</w:t>
      </w:r>
      <w:r w:rsidRPr="000B5B16">
        <w:rPr>
          <w:noProof/>
        </w:rPr>
        <w:t xml:space="preserve"> as appropriate. </w:t>
      </w:r>
    </w:p>
    <w:p w14:paraId="715E66F0" w14:textId="77777777" w:rsidR="006E4FAF" w:rsidRDefault="006E4FAF" w:rsidP="00432DB4">
      <w:pPr>
        <w:rPr>
          <w:noProof/>
        </w:rPr>
      </w:pPr>
      <w:r>
        <w:rPr>
          <w:noProof/>
        </w:rPr>
        <w:t xml:space="preserve">- SIAC and relevant Union agencies can be invited to present a situational update on the </w:t>
      </w:r>
      <w:r w:rsidRPr="06DAE42A">
        <w:rPr>
          <w:rFonts w:eastAsia="Times New Roman"/>
          <w:noProof/>
        </w:rPr>
        <w:t>significant critical infrastructure incident</w:t>
      </w:r>
      <w:r>
        <w:rPr>
          <w:noProof/>
        </w:rPr>
        <w:t xml:space="preserve"> in this meeting. </w:t>
      </w:r>
    </w:p>
    <w:p w14:paraId="4D9FEF36" w14:textId="77777777" w:rsidR="006E4FAF" w:rsidRDefault="006E4FAF" w:rsidP="006E4FAF">
      <w:pPr>
        <w:rPr>
          <w:rFonts w:eastAsia="Times New Roman"/>
          <w:noProof/>
          <w:szCs w:val="24"/>
          <w:lang w:val="en-US"/>
        </w:rPr>
      </w:pPr>
      <w:r w:rsidRPr="06DAE42A">
        <w:rPr>
          <w:rFonts w:eastAsia="Times New Roman"/>
          <w:noProof/>
          <w:szCs w:val="24"/>
        </w:rPr>
        <w:t>The ISAA lead service (the Commission lead service or the EEAS) prepares the ISAA report with contributions from relevant</w:t>
      </w:r>
      <w:r>
        <w:rPr>
          <w:rFonts w:eastAsia="Times New Roman"/>
          <w:noProof/>
          <w:szCs w:val="24"/>
        </w:rPr>
        <w:t xml:space="preserve"> Commission services</w:t>
      </w:r>
      <w:r w:rsidR="002C1040">
        <w:rPr>
          <w:rFonts w:eastAsia="Times New Roman"/>
          <w:noProof/>
          <w:szCs w:val="24"/>
        </w:rPr>
        <w:t>,</w:t>
      </w:r>
      <w:r w:rsidR="00D163E7">
        <w:rPr>
          <w:rFonts w:eastAsia="Times New Roman"/>
          <w:noProof/>
          <w:szCs w:val="24"/>
        </w:rPr>
        <w:t xml:space="preserve"> relevant Union</w:t>
      </w:r>
      <w:r w:rsidRPr="06DAE42A">
        <w:rPr>
          <w:rFonts w:eastAsia="Times New Roman"/>
          <w:noProof/>
          <w:szCs w:val="24"/>
        </w:rPr>
        <w:t xml:space="preserve"> </w:t>
      </w:r>
      <w:r>
        <w:rPr>
          <w:rFonts w:eastAsia="Times New Roman"/>
          <w:noProof/>
          <w:szCs w:val="24"/>
        </w:rPr>
        <w:t>offices, bodies and</w:t>
      </w:r>
      <w:r w:rsidRPr="06DAE42A">
        <w:rPr>
          <w:rFonts w:eastAsia="Times New Roman"/>
          <w:noProof/>
          <w:szCs w:val="24"/>
        </w:rPr>
        <w:t xml:space="preserve"> agencies and national competent authorities. </w:t>
      </w:r>
      <w:r w:rsidRPr="06DAE42A">
        <w:rPr>
          <w:rFonts w:eastAsia="Times New Roman"/>
          <w:noProof/>
          <w:szCs w:val="24"/>
          <w:lang w:val="en-US"/>
        </w:rPr>
        <w:t>The Member States are invited to provide input, through the IPCR web platform, for the production of the ISAA reports.</w:t>
      </w:r>
    </w:p>
    <w:p w14:paraId="0BA8C55C" w14:textId="77777777" w:rsidR="006E4FAF" w:rsidRDefault="006E4FAF" w:rsidP="006E4FAF">
      <w:pPr>
        <w:rPr>
          <w:rFonts w:eastAsia="Calibri"/>
          <w:noProof/>
        </w:rPr>
      </w:pPr>
      <w:r w:rsidRPr="44EC13C0">
        <w:rPr>
          <w:rFonts w:eastAsia="Times New Roman"/>
          <w:noProof/>
        </w:rPr>
        <w:t xml:space="preserve">In case of a significant critical infrastructure incident with international security relevance, the Commission services </w:t>
      </w:r>
      <w:r w:rsidR="0B875F18" w:rsidRPr="1257ACD3">
        <w:rPr>
          <w:rFonts w:eastAsia="Times New Roman"/>
          <w:noProof/>
        </w:rPr>
        <w:t xml:space="preserve">and the EEAS </w:t>
      </w:r>
      <w:r w:rsidRPr="44EC13C0">
        <w:rPr>
          <w:rFonts w:eastAsia="Times New Roman"/>
          <w:noProof/>
        </w:rPr>
        <w:t xml:space="preserve">may convene </w:t>
      </w:r>
      <w:r w:rsidRPr="731BF66B">
        <w:rPr>
          <w:rFonts w:eastAsia="Times New Roman"/>
          <w:noProof/>
        </w:rPr>
        <w:t>a</w:t>
      </w:r>
      <w:r w:rsidR="777395A6" w:rsidRPr="731BF66B">
        <w:rPr>
          <w:rFonts w:eastAsia="Times New Roman"/>
          <w:noProof/>
        </w:rPr>
        <w:t>n</w:t>
      </w:r>
      <w:r w:rsidRPr="44EC13C0">
        <w:rPr>
          <w:rFonts w:eastAsia="Times New Roman"/>
          <w:noProof/>
        </w:rPr>
        <w:t xml:space="preserve"> EU-NATO Structured Dialogue on Resilience </w:t>
      </w:r>
      <w:r w:rsidR="70C4CBD4" w:rsidRPr="46506047">
        <w:rPr>
          <w:rFonts w:eastAsia="Times New Roman"/>
          <w:noProof/>
        </w:rPr>
        <w:t>meeting</w:t>
      </w:r>
      <w:r w:rsidRPr="2A8728FC">
        <w:rPr>
          <w:rFonts w:eastAsia="Times New Roman"/>
          <w:noProof/>
        </w:rPr>
        <w:t xml:space="preserve"> </w:t>
      </w:r>
      <w:r w:rsidRPr="44EC13C0">
        <w:rPr>
          <w:rFonts w:eastAsia="Times New Roman"/>
          <w:noProof/>
        </w:rPr>
        <w:t xml:space="preserve">to contribute to shared situational awareness and exchange of information on measures taken by the </w:t>
      </w:r>
      <w:r w:rsidR="00082D9C">
        <w:rPr>
          <w:rFonts w:eastAsia="Times New Roman"/>
          <w:noProof/>
        </w:rPr>
        <w:t>Union</w:t>
      </w:r>
      <w:r w:rsidR="00082D9C" w:rsidRPr="44EC13C0">
        <w:rPr>
          <w:rFonts w:eastAsia="Times New Roman"/>
          <w:noProof/>
        </w:rPr>
        <w:t xml:space="preserve"> </w:t>
      </w:r>
      <w:r w:rsidRPr="44EC13C0">
        <w:rPr>
          <w:rFonts w:eastAsia="Times New Roman"/>
          <w:noProof/>
        </w:rPr>
        <w:t>and NATO, respectively.</w:t>
      </w:r>
    </w:p>
    <w:p w14:paraId="64A80C9F" w14:textId="77777777" w:rsidR="006E4FAF" w:rsidRPr="00803E4A" w:rsidRDefault="006E4FAF" w:rsidP="00F977CD">
      <w:pPr>
        <w:pStyle w:val="NumPar"/>
        <w:rPr>
          <w:noProof/>
        </w:rPr>
      </w:pPr>
      <w:r w:rsidRPr="00803E4A">
        <w:rPr>
          <w:noProof/>
        </w:rPr>
        <w:t xml:space="preserve">Public communication </w:t>
      </w:r>
    </w:p>
    <w:p w14:paraId="1DF9246D" w14:textId="562C77FE" w:rsidR="006E4FAF" w:rsidRDefault="006E4FAF" w:rsidP="00CD5B0E">
      <w:pPr>
        <w:rPr>
          <w:noProof/>
        </w:rPr>
      </w:pPr>
      <w:r>
        <w:rPr>
          <w:noProof/>
        </w:rPr>
        <w:t>The Council prepares common public communication messages. The informal network of crisis communicators established through the IPCR may support this work. The Commission</w:t>
      </w:r>
      <w:r w:rsidR="008D1D70">
        <w:rPr>
          <w:noProof/>
        </w:rPr>
        <w:t>’s</w:t>
      </w:r>
      <w:r>
        <w:rPr>
          <w:noProof/>
        </w:rPr>
        <w:t xml:space="preserve"> Spokesperson</w:t>
      </w:r>
      <w:r w:rsidR="008D1D70">
        <w:rPr>
          <w:noProof/>
        </w:rPr>
        <w:t>’s</w:t>
      </w:r>
      <w:r>
        <w:rPr>
          <w:noProof/>
        </w:rPr>
        <w:t xml:space="preserve"> service also prepares public communication messages, as appropriate. </w:t>
      </w:r>
    </w:p>
    <w:p w14:paraId="79F73C51" w14:textId="4637FF9C" w:rsidR="006E4FAF" w:rsidRDefault="006E4FAF" w:rsidP="00CD5B0E">
      <w:pPr>
        <w:rPr>
          <w:noProof/>
        </w:rPr>
      </w:pPr>
      <w:r>
        <w:rPr>
          <w:noProof/>
        </w:rPr>
        <w:t xml:space="preserve">If the </w:t>
      </w:r>
      <w:r>
        <w:rPr>
          <w:rFonts w:eastAsia="Times New Roman"/>
          <w:noProof/>
        </w:rPr>
        <w:t>significant critical infrastructure incident</w:t>
      </w:r>
      <w:r>
        <w:rPr>
          <w:noProof/>
        </w:rPr>
        <w:t xml:space="preserve"> entails an external, hybrid or C</w:t>
      </w:r>
      <w:r w:rsidR="0080004D">
        <w:rPr>
          <w:noProof/>
        </w:rPr>
        <w:t xml:space="preserve">ommon </w:t>
      </w:r>
      <w:r>
        <w:rPr>
          <w:noProof/>
        </w:rPr>
        <w:t>S</w:t>
      </w:r>
      <w:r w:rsidR="0080004D">
        <w:rPr>
          <w:noProof/>
        </w:rPr>
        <w:t xml:space="preserve">ecurity and </w:t>
      </w:r>
      <w:r>
        <w:rPr>
          <w:noProof/>
        </w:rPr>
        <w:t>D</w:t>
      </w:r>
      <w:r w:rsidR="008C197A">
        <w:rPr>
          <w:noProof/>
        </w:rPr>
        <w:t xml:space="preserve">efence </w:t>
      </w:r>
      <w:r>
        <w:rPr>
          <w:noProof/>
        </w:rPr>
        <w:t>P</w:t>
      </w:r>
      <w:r w:rsidR="008C197A">
        <w:rPr>
          <w:noProof/>
        </w:rPr>
        <w:t>olicy</w:t>
      </w:r>
      <w:r>
        <w:rPr>
          <w:noProof/>
        </w:rPr>
        <w:t xml:space="preserve"> dimension, the public communication is coordinated with the EEAS and the Commission</w:t>
      </w:r>
      <w:r w:rsidR="008D1D70">
        <w:rPr>
          <w:noProof/>
        </w:rPr>
        <w:t>’s</w:t>
      </w:r>
      <w:r>
        <w:rPr>
          <w:noProof/>
        </w:rPr>
        <w:t xml:space="preserve"> Spokesperson</w:t>
      </w:r>
      <w:r w:rsidR="008D1D70">
        <w:rPr>
          <w:noProof/>
        </w:rPr>
        <w:t>’s</w:t>
      </w:r>
      <w:r>
        <w:rPr>
          <w:noProof/>
        </w:rPr>
        <w:t xml:space="preserve"> service. </w:t>
      </w:r>
    </w:p>
    <w:p w14:paraId="1CD1DDA6" w14:textId="77777777" w:rsidR="006E4FAF" w:rsidRDefault="006E4FAF" w:rsidP="00F977CD">
      <w:pPr>
        <w:pStyle w:val="NumPar"/>
        <w:rPr>
          <w:noProof/>
        </w:rPr>
      </w:pPr>
      <w:r>
        <w:rPr>
          <w:noProof/>
        </w:rPr>
        <w:t xml:space="preserve">Support to Member States and effective response </w:t>
      </w:r>
    </w:p>
    <w:p w14:paraId="3A30E446" w14:textId="77777777" w:rsidR="006E4FAF" w:rsidRDefault="006E4FAF" w:rsidP="00CD5B0E">
      <w:pPr>
        <w:rPr>
          <w:noProof/>
        </w:rPr>
      </w:pPr>
      <w:r>
        <w:rPr>
          <w:noProof/>
        </w:rPr>
        <w:t xml:space="preserve">The rotating Presidency can convene a meeting of PROCIV-CER to support the activities in the framework of the IPCR, if activated. </w:t>
      </w:r>
    </w:p>
    <w:p w14:paraId="00B22966" w14:textId="77777777" w:rsidR="00D52058" w:rsidRDefault="19B85687" w:rsidP="00063140">
      <w:pPr>
        <w:rPr>
          <w:noProof/>
        </w:rPr>
      </w:pPr>
      <w:r>
        <w:rPr>
          <w:noProof/>
        </w:rPr>
        <w:t xml:space="preserve">Member States affected by the </w:t>
      </w:r>
      <w:r w:rsidRPr="5755E4B9">
        <w:rPr>
          <w:rFonts w:eastAsia="Times New Roman"/>
          <w:noProof/>
        </w:rPr>
        <w:t>significant critical infrastructure incident</w:t>
      </w:r>
      <w:r>
        <w:rPr>
          <w:noProof/>
        </w:rPr>
        <w:t xml:space="preserve"> may request the technical support of other Member States or relevant </w:t>
      </w:r>
      <w:r w:rsidR="00E66F11">
        <w:rPr>
          <w:noProof/>
        </w:rPr>
        <w:t>Union</w:t>
      </w:r>
      <w:r>
        <w:rPr>
          <w:noProof/>
        </w:rPr>
        <w:t xml:space="preserve"> institutions, bodies and agencies through the Critical Entities Resilience Group, e.g. specific expertise to mitigate the adverse impacts of the </w:t>
      </w:r>
      <w:r w:rsidRPr="5755E4B9">
        <w:rPr>
          <w:rFonts w:eastAsia="Times New Roman"/>
          <w:noProof/>
        </w:rPr>
        <w:t>significant critical infrastructure incident</w:t>
      </w:r>
      <w:r>
        <w:rPr>
          <w:noProof/>
        </w:rPr>
        <w:t xml:space="preserve">. </w:t>
      </w:r>
    </w:p>
    <w:p w14:paraId="4DEAEAF9" w14:textId="77777777" w:rsidR="00940EF8" w:rsidRDefault="19B85687" w:rsidP="001B6D1D">
      <w:pPr>
        <w:rPr>
          <w:noProof/>
        </w:rPr>
      </w:pPr>
      <w:r>
        <w:rPr>
          <w:noProof/>
        </w:rPr>
        <w:t xml:space="preserve">Member States affected by the </w:t>
      </w:r>
      <w:r w:rsidRPr="5755E4B9">
        <w:rPr>
          <w:rFonts w:eastAsia="Times New Roman"/>
          <w:noProof/>
        </w:rPr>
        <w:t>significant critical infrastructure incident</w:t>
      </w:r>
      <w:r>
        <w:rPr>
          <w:noProof/>
        </w:rPr>
        <w:t xml:space="preserve"> may </w:t>
      </w:r>
      <w:r w:rsidR="00EA0C36">
        <w:rPr>
          <w:noProof/>
        </w:rPr>
        <w:t xml:space="preserve">also </w:t>
      </w:r>
      <w:r>
        <w:rPr>
          <w:noProof/>
        </w:rPr>
        <w:t xml:space="preserve">request </w:t>
      </w:r>
      <w:r w:rsidR="00050ABB">
        <w:rPr>
          <w:noProof/>
        </w:rPr>
        <w:t xml:space="preserve">the </w:t>
      </w:r>
      <w:r w:rsidR="00D52058">
        <w:rPr>
          <w:noProof/>
        </w:rPr>
        <w:t xml:space="preserve">technical </w:t>
      </w:r>
      <w:r w:rsidR="00747BFD">
        <w:rPr>
          <w:noProof/>
        </w:rPr>
        <w:t>and/or financial support of the Commission or relevant Union agencies</w:t>
      </w:r>
      <w:r w:rsidR="00050ABB">
        <w:rPr>
          <w:noProof/>
        </w:rPr>
        <w:t>.</w:t>
      </w:r>
      <w:r w:rsidR="0042007C">
        <w:rPr>
          <w:noProof/>
        </w:rPr>
        <w:t xml:space="preserve"> </w:t>
      </w:r>
      <w:r w:rsidR="00050ABB">
        <w:rPr>
          <w:noProof/>
        </w:rPr>
        <w:t>T</w:t>
      </w:r>
      <w:r w:rsidR="0042007C">
        <w:rPr>
          <w:noProof/>
        </w:rPr>
        <w:t>he Commission, in coordination with the relevant Union agencies, assesses its possible support</w:t>
      </w:r>
      <w:r w:rsidR="003F1236">
        <w:rPr>
          <w:noProof/>
        </w:rPr>
        <w:t xml:space="preserve"> and activate</w:t>
      </w:r>
      <w:r w:rsidR="00CD1E33">
        <w:rPr>
          <w:noProof/>
        </w:rPr>
        <w:t>s</w:t>
      </w:r>
      <w:r w:rsidR="003F1236">
        <w:rPr>
          <w:noProof/>
        </w:rPr>
        <w:t>, where appropriate,</w:t>
      </w:r>
      <w:r w:rsidR="00940EF8" w:rsidRPr="00940EF8">
        <w:rPr>
          <w:noProof/>
        </w:rPr>
        <w:t xml:space="preserve"> </w:t>
      </w:r>
      <w:r w:rsidR="00940EF8">
        <w:rPr>
          <w:noProof/>
        </w:rPr>
        <w:t>technical mitigation measures at Union level in accordance with their respective procedures and coordinate</w:t>
      </w:r>
      <w:r w:rsidR="00CD1E33">
        <w:rPr>
          <w:noProof/>
        </w:rPr>
        <w:t>s</w:t>
      </w:r>
      <w:r w:rsidR="00940EF8">
        <w:rPr>
          <w:noProof/>
        </w:rPr>
        <w:t xml:space="preserve"> technical capacities needed to stop or reduce the impact of the </w:t>
      </w:r>
      <w:r w:rsidR="00940EF8">
        <w:rPr>
          <w:rFonts w:eastAsia="Times New Roman"/>
          <w:noProof/>
        </w:rPr>
        <w:t>significant critical infrastructure incident</w:t>
      </w:r>
      <w:r w:rsidR="0042007C">
        <w:rPr>
          <w:noProof/>
        </w:rPr>
        <w:t>.</w:t>
      </w:r>
      <w:r w:rsidR="001B6D1D">
        <w:rPr>
          <w:noProof/>
        </w:rPr>
        <w:t xml:space="preserve">  </w:t>
      </w:r>
    </w:p>
    <w:p w14:paraId="48451FC9" w14:textId="67829B93" w:rsidR="001B6D1D" w:rsidRPr="00FB4C5B" w:rsidRDefault="001B6D1D" w:rsidP="001B6D1D">
      <w:pPr>
        <w:rPr>
          <w:rFonts w:eastAsia="Times New Roman"/>
          <w:strike/>
          <w:noProof/>
          <w:szCs w:val="24"/>
          <w:highlight w:val="yellow"/>
        </w:rPr>
      </w:pPr>
      <w:r w:rsidRPr="00FB4C5B">
        <w:rPr>
          <w:rFonts w:eastAsia="Times New Roman"/>
          <w:noProof/>
          <w:szCs w:val="24"/>
        </w:rPr>
        <w:t>In the context of the UCPM specifically, affected countries could request assistance via the Common Emergency Communication and Information System (</w:t>
      </w:r>
      <w:r w:rsidR="003C5686" w:rsidRPr="00FB4C5B">
        <w:rPr>
          <w:rFonts w:eastAsia="Times New Roman"/>
          <w:noProof/>
          <w:szCs w:val="24"/>
        </w:rPr>
        <w:t>‘’</w:t>
      </w:r>
      <w:r w:rsidRPr="00FB4C5B">
        <w:rPr>
          <w:rFonts w:eastAsia="Times New Roman"/>
          <w:noProof/>
          <w:szCs w:val="24"/>
        </w:rPr>
        <w:t>CECIS</w:t>
      </w:r>
      <w:r w:rsidR="003C5686" w:rsidRPr="00FB4C5B">
        <w:rPr>
          <w:rFonts w:eastAsia="Times New Roman"/>
          <w:noProof/>
          <w:szCs w:val="24"/>
        </w:rPr>
        <w:t>’’</w:t>
      </w:r>
      <w:r w:rsidRPr="00FB4C5B">
        <w:rPr>
          <w:rFonts w:eastAsia="Times New Roman"/>
          <w:noProof/>
          <w:szCs w:val="24"/>
        </w:rPr>
        <w:t xml:space="preserve">), after which the ERCC would work to coordinate the rendering of assistance from Member States and UCPM Participating States, as well as via </w:t>
      </w:r>
      <w:r w:rsidR="00FA009F">
        <w:rPr>
          <w:rFonts w:eastAsia="Times New Roman"/>
          <w:noProof/>
          <w:szCs w:val="24"/>
        </w:rPr>
        <w:t>‘’</w:t>
      </w:r>
      <w:r w:rsidRPr="00FB4C5B">
        <w:rPr>
          <w:rFonts w:eastAsia="Times New Roman"/>
          <w:noProof/>
          <w:szCs w:val="24"/>
        </w:rPr>
        <w:t>rescEU</w:t>
      </w:r>
      <w:r w:rsidR="00FA009F">
        <w:rPr>
          <w:rFonts w:eastAsia="Times New Roman"/>
          <w:noProof/>
          <w:szCs w:val="24"/>
        </w:rPr>
        <w:t>’’</w:t>
      </w:r>
      <w:r w:rsidRPr="00FB4C5B">
        <w:rPr>
          <w:rFonts w:eastAsia="Times New Roman"/>
          <w:noProof/>
          <w:szCs w:val="24"/>
        </w:rPr>
        <w:t>.</w:t>
      </w:r>
      <w:r w:rsidR="003F1236" w:rsidRPr="00FB4C5B">
        <w:rPr>
          <w:rFonts w:eastAsia="Times New Roman"/>
          <w:noProof/>
          <w:szCs w:val="24"/>
        </w:rPr>
        <w:t xml:space="preserve"> </w:t>
      </w:r>
    </w:p>
    <w:p w14:paraId="1EE13258" w14:textId="77777777" w:rsidR="00063140" w:rsidRDefault="00063140" w:rsidP="00063140">
      <w:pPr>
        <w:rPr>
          <w:noProof/>
        </w:rPr>
      </w:pPr>
      <w:r>
        <w:rPr>
          <w:noProof/>
        </w:rPr>
        <w:t xml:space="preserve">Within their respective mandates and upon request, Europol and other relevant Union agencies support Member States affected by a </w:t>
      </w:r>
      <w:r>
        <w:rPr>
          <w:rFonts w:eastAsia="Times New Roman"/>
          <w:noProof/>
        </w:rPr>
        <w:t xml:space="preserve">significant critical infrastructure incident </w:t>
      </w:r>
      <w:r>
        <w:rPr>
          <w:noProof/>
        </w:rPr>
        <w:t xml:space="preserve">in the investigation of the incident. </w:t>
      </w:r>
    </w:p>
    <w:p w14:paraId="1E13707F" w14:textId="77777777" w:rsidR="006E4FAF" w:rsidRPr="00F977CD" w:rsidRDefault="006E4FAF" w:rsidP="00F977CD">
      <w:pPr>
        <w:pStyle w:val="Point0letter"/>
        <w:rPr>
          <w:b/>
          <w:noProof/>
        </w:rPr>
      </w:pPr>
      <w:r w:rsidRPr="00F977CD">
        <w:rPr>
          <w:b/>
          <w:noProof/>
        </w:rPr>
        <w:t xml:space="preserve">At political level </w:t>
      </w:r>
    </w:p>
    <w:p w14:paraId="6ACF7D25" w14:textId="4A28D791" w:rsidR="006E4FAF" w:rsidRDefault="006E4FAF" w:rsidP="00432DB4">
      <w:pPr>
        <w:rPr>
          <w:noProof/>
        </w:rPr>
      </w:pPr>
      <w:r>
        <w:rPr>
          <w:noProof/>
        </w:rPr>
        <w:t xml:space="preserve">The Presidency of the Council could consider the necessity to </w:t>
      </w:r>
      <w:r w:rsidRPr="00CE1B03">
        <w:rPr>
          <w:noProof/>
        </w:rPr>
        <w:t xml:space="preserve">convene </w:t>
      </w:r>
      <w:r w:rsidR="006C06EC" w:rsidRPr="00CE1B03">
        <w:rPr>
          <w:noProof/>
        </w:rPr>
        <w:t xml:space="preserve">IPCR </w:t>
      </w:r>
      <w:r w:rsidRPr="00CE1B03">
        <w:rPr>
          <w:noProof/>
        </w:rPr>
        <w:t>Roundtables</w:t>
      </w:r>
      <w:r>
        <w:rPr>
          <w:noProof/>
        </w:rPr>
        <w:t xml:space="preserve">, </w:t>
      </w:r>
      <w:r w:rsidR="008166C4">
        <w:rPr>
          <w:noProof/>
        </w:rPr>
        <w:t xml:space="preserve">meetings of Council Working Groups, COREPER, </w:t>
      </w:r>
      <w:r>
        <w:rPr>
          <w:noProof/>
        </w:rPr>
        <w:t>Council of Ministers</w:t>
      </w:r>
      <w:r w:rsidR="73BB3DEA">
        <w:rPr>
          <w:noProof/>
        </w:rPr>
        <w:t xml:space="preserve"> </w:t>
      </w:r>
      <w:r>
        <w:rPr>
          <w:noProof/>
        </w:rPr>
        <w:t>and/or Summit</w:t>
      </w:r>
      <w:r w:rsidR="006C06EC">
        <w:rPr>
          <w:noProof/>
        </w:rPr>
        <w:t>s</w:t>
      </w:r>
      <w:r>
        <w:rPr>
          <w:noProof/>
        </w:rPr>
        <w:t xml:space="preserve"> to exchange on the possible origin and expected consequences of the </w:t>
      </w:r>
      <w:r w:rsidRPr="057475DD">
        <w:rPr>
          <w:rFonts w:eastAsia="Times New Roman"/>
          <w:noProof/>
        </w:rPr>
        <w:t>significant critical infrastructure incident</w:t>
      </w:r>
      <w:r>
        <w:rPr>
          <w:noProof/>
        </w:rPr>
        <w:t xml:space="preserve"> for the Member States and for the Union, agree on common guidelines, and adopt the necessary measures to support the Member States affected by the </w:t>
      </w:r>
      <w:r w:rsidRPr="057475DD">
        <w:rPr>
          <w:rFonts w:eastAsia="Times New Roman"/>
          <w:noProof/>
        </w:rPr>
        <w:t>significant critical infrastructure incident</w:t>
      </w:r>
      <w:r>
        <w:rPr>
          <w:noProof/>
        </w:rPr>
        <w:t xml:space="preserve"> and mitigate its effects.</w:t>
      </w:r>
      <w:r w:rsidR="00432DB4">
        <w:rPr>
          <w:noProof/>
        </w:rPr>
        <w:t xml:space="preserve"> </w:t>
      </w:r>
    </w:p>
    <w:p w14:paraId="3500D972" w14:textId="77777777" w:rsidR="00871CB5" w:rsidRPr="00EC759E" w:rsidRDefault="006E4FAF" w:rsidP="00EC759E">
      <w:pPr>
        <w:pStyle w:val="NormalCentered"/>
        <w:jc w:val="both"/>
        <w:rPr>
          <w:bCs/>
          <w:noProof/>
          <w:lang w:val="en-IE"/>
        </w:rPr>
      </w:pPr>
      <w:r>
        <w:rPr>
          <w:b/>
          <w:bCs/>
          <w:noProof/>
          <w:u w:val="single"/>
          <w:lang w:val="en-IE"/>
        </w:rPr>
        <w:br w:type="page"/>
      </w:r>
      <w:r w:rsidRPr="008353AD">
        <w:rPr>
          <w:b/>
          <w:noProof/>
          <w:lang w:val="en-IE"/>
        </w:rPr>
        <w:t xml:space="preserve">Chart 1: Schematic </w:t>
      </w:r>
      <w:r w:rsidR="00871CB5">
        <w:rPr>
          <w:b/>
          <w:bCs/>
          <w:noProof/>
          <w:lang w:val="en-IE"/>
        </w:rPr>
        <w:t>O</w:t>
      </w:r>
      <w:r w:rsidRPr="008353AD">
        <w:rPr>
          <w:b/>
          <w:noProof/>
          <w:lang w:val="en-IE"/>
        </w:rPr>
        <w:t>verview of the Critical Infrastructure Blueprint</w:t>
      </w:r>
    </w:p>
    <w:p w14:paraId="33594173" w14:textId="77777777" w:rsidR="00D17D3C" w:rsidRDefault="00D17D3C" w:rsidP="00C1723D">
      <w:pPr>
        <w:pStyle w:val="NormalCentered"/>
        <w:jc w:val="both"/>
        <w:rPr>
          <w:noProof/>
          <w:lang w:val="en-IE"/>
        </w:rPr>
      </w:pPr>
    </w:p>
    <w:p w14:paraId="0A754D1E" w14:textId="77777777" w:rsidR="004F3244" w:rsidRDefault="004E16B8" w:rsidP="00EF2DBB">
      <w:pPr>
        <w:pStyle w:val="NormalCentered"/>
        <w:rPr>
          <w:noProof/>
          <w:lang w:val="en-IE"/>
        </w:rPr>
      </w:pPr>
      <w:r>
        <w:rPr>
          <w:noProof/>
          <w:lang w:eastAsia="en-GB"/>
        </w:rPr>
        <w:drawing>
          <wp:inline distT="0" distB="0" distL="0" distR="0" wp14:anchorId="79C7454B" wp14:editId="501B3578">
            <wp:extent cx="6258560" cy="5455920"/>
            <wp:effectExtent l="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5">
                      <a:extLst>
                        <a:ext uri="{28A0092B-C50C-407E-A947-70E740481C1C}">
                          <a14:useLocalDpi xmlns:a14="http://schemas.microsoft.com/office/drawing/2010/main" val="0"/>
                        </a:ext>
                      </a:extLst>
                    </a:blip>
                    <a:srcRect l="13967"/>
                    <a:stretch/>
                  </pic:blipFill>
                  <pic:spPr bwMode="auto">
                    <a:xfrm>
                      <a:off x="0" y="0"/>
                      <a:ext cx="6258560" cy="5455920"/>
                    </a:xfrm>
                    <a:prstGeom prst="rect">
                      <a:avLst/>
                    </a:prstGeom>
                    <a:noFill/>
                    <a:ln>
                      <a:noFill/>
                    </a:ln>
                    <a:extLst>
                      <a:ext uri="{53640926-AAD7-44D8-BBD7-CCE9431645EC}">
                        <a14:shadowObscured xmlns:a14="http://schemas.microsoft.com/office/drawing/2010/main"/>
                      </a:ext>
                    </a:extLst>
                  </pic:spPr>
                </pic:pic>
              </a:graphicData>
            </a:graphic>
          </wp:inline>
        </w:drawing>
      </w:r>
    </w:p>
    <w:p w14:paraId="511C315E" w14:textId="77777777" w:rsidR="004F3244" w:rsidRDefault="004F3244" w:rsidP="00EF2DBB">
      <w:pPr>
        <w:pStyle w:val="NormalCentered"/>
        <w:rPr>
          <w:noProof/>
          <w:lang w:val="en-IE"/>
        </w:rPr>
      </w:pPr>
    </w:p>
    <w:p w14:paraId="419EC933" w14:textId="77777777" w:rsidR="004F3244" w:rsidRDefault="004F3244" w:rsidP="00EF2DBB">
      <w:pPr>
        <w:pStyle w:val="NormalCentered"/>
        <w:rPr>
          <w:noProof/>
          <w:lang w:val="en-IE"/>
        </w:rPr>
      </w:pPr>
    </w:p>
    <w:p w14:paraId="03999282" w14:textId="77777777" w:rsidR="004F3244" w:rsidRDefault="004F3244" w:rsidP="00EC759E">
      <w:pPr>
        <w:pStyle w:val="NormalCentered"/>
        <w:jc w:val="both"/>
        <w:rPr>
          <w:noProof/>
          <w:lang w:val="en-IE"/>
        </w:rPr>
      </w:pPr>
    </w:p>
    <w:p w14:paraId="359624B3" w14:textId="0FB4D858" w:rsidR="004F3244" w:rsidRDefault="004F3244" w:rsidP="00EF2DBB">
      <w:pPr>
        <w:pStyle w:val="NormalCentered"/>
        <w:rPr>
          <w:noProof/>
          <w:lang w:val="en-IE"/>
        </w:rPr>
      </w:pPr>
    </w:p>
    <w:p w14:paraId="5C0AA597" w14:textId="77777777" w:rsidR="004F3244" w:rsidRDefault="004F3244" w:rsidP="00EF2DBB">
      <w:pPr>
        <w:pStyle w:val="NormalCentered"/>
        <w:rPr>
          <w:noProof/>
          <w:lang w:val="en-IE"/>
        </w:rPr>
      </w:pPr>
    </w:p>
    <w:p w14:paraId="1F7F8566" w14:textId="77777777" w:rsidR="004F3244" w:rsidRDefault="004F3244" w:rsidP="00EF2DBB">
      <w:pPr>
        <w:pStyle w:val="NormalCentered"/>
        <w:rPr>
          <w:noProof/>
          <w:lang w:val="en-IE"/>
        </w:rPr>
      </w:pPr>
    </w:p>
    <w:p w14:paraId="7A2D50F9" w14:textId="77777777" w:rsidR="006E4FAF" w:rsidRDefault="006E4FAF" w:rsidP="006E4FAF">
      <w:pPr>
        <w:rPr>
          <w:noProof/>
        </w:rPr>
      </w:pPr>
    </w:p>
    <w:p w14:paraId="37886621" w14:textId="4FC77A21" w:rsidR="006E4FAF" w:rsidRDefault="006E4FAF" w:rsidP="006E4FAF">
      <w:pPr>
        <w:spacing w:before="0" w:after="200" w:line="276" w:lineRule="auto"/>
        <w:jc w:val="left"/>
        <w:rPr>
          <w:b/>
          <w:noProof/>
        </w:rPr>
      </w:pPr>
      <w:r>
        <w:rPr>
          <w:noProof/>
        </w:rPr>
        <w:br w:type="page"/>
      </w:r>
    </w:p>
    <w:p w14:paraId="06C2DBA1" w14:textId="71EC50E1" w:rsidR="00146029" w:rsidRDefault="006E4FAF" w:rsidP="002E2D63">
      <w:pPr>
        <w:pStyle w:val="Titreobjet"/>
        <w:jc w:val="left"/>
        <w:rPr>
          <w:noProof/>
        </w:rPr>
      </w:pPr>
      <w:r w:rsidRPr="00830E2B">
        <w:rPr>
          <w:noProof/>
        </w:rPr>
        <w:t xml:space="preserve">Chart 2: Critical Infrastructure Blueprint </w:t>
      </w:r>
      <w:r w:rsidR="00871CB5">
        <w:rPr>
          <w:noProof/>
        </w:rPr>
        <w:t>D</w:t>
      </w:r>
      <w:r w:rsidRPr="00830E2B">
        <w:rPr>
          <w:noProof/>
        </w:rPr>
        <w:t>ecision</w:t>
      </w:r>
    </w:p>
    <w:p w14:paraId="7C706895" w14:textId="77777777" w:rsidR="006E4FAF" w:rsidRDefault="006E4FAF" w:rsidP="006E4FAF">
      <w:pPr>
        <w:rPr>
          <w:noProof/>
          <w:lang w:val="en-US"/>
        </w:rPr>
      </w:pPr>
    </w:p>
    <w:p w14:paraId="7F6905B3" w14:textId="77777777" w:rsidR="00871CB5" w:rsidRPr="00EC759E" w:rsidRDefault="00871CB5" w:rsidP="006E4FAF">
      <w:pPr>
        <w:rPr>
          <w:noProof/>
          <w:lang w:val="en-US"/>
        </w:rPr>
      </w:pPr>
    </w:p>
    <w:p w14:paraId="7B0CA1AE" w14:textId="2B4F1A7A" w:rsidR="00146029" w:rsidRDefault="00F70F06" w:rsidP="006E4FAF">
      <w:pPr>
        <w:rPr>
          <w:noProof/>
          <w:lang w:val="en-US"/>
        </w:rPr>
      </w:pPr>
      <w:r>
        <w:rPr>
          <w:noProof/>
          <w:lang w:eastAsia="en-GB"/>
        </w:rPr>
        <w:drawing>
          <wp:inline distT="0" distB="0" distL="0" distR="0" wp14:anchorId="1ABDF9D4" wp14:editId="6B0148B4">
            <wp:extent cx="5753100" cy="431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4312920"/>
                    </a:xfrm>
                    <a:prstGeom prst="rect">
                      <a:avLst/>
                    </a:prstGeom>
                    <a:noFill/>
                    <a:ln>
                      <a:noFill/>
                    </a:ln>
                  </pic:spPr>
                </pic:pic>
              </a:graphicData>
            </a:graphic>
          </wp:inline>
        </w:drawing>
      </w:r>
    </w:p>
    <w:p w14:paraId="2EA38194" w14:textId="77777777" w:rsidR="00905D22" w:rsidRPr="00775014" w:rsidRDefault="00DD0561" w:rsidP="006E4FAF">
      <w:pPr>
        <w:rPr>
          <w:noProof/>
          <w:lang w:val="en-US"/>
        </w:rPr>
      </w:pPr>
      <w:r>
        <w:rPr>
          <w:noProof/>
          <w:lang w:eastAsia="en-GB"/>
        </w:rPr>
        <w:drawing>
          <wp:inline distT="0" distB="0" distL="0" distR="0" wp14:anchorId="348DE6EC" wp14:editId="3DAA175C">
            <wp:extent cx="4406400" cy="3304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43782" cy="3332836"/>
                    </a:xfrm>
                    <a:prstGeom prst="rect">
                      <a:avLst/>
                    </a:prstGeom>
                    <a:noFill/>
                    <a:ln>
                      <a:noFill/>
                    </a:ln>
                  </pic:spPr>
                </pic:pic>
              </a:graphicData>
            </a:graphic>
          </wp:inline>
        </w:drawing>
      </w:r>
    </w:p>
    <w:sectPr w:rsidR="00905D22" w:rsidRPr="00775014" w:rsidSect="00BF06A6">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5868" w14:textId="77777777" w:rsidR="00D6757E" w:rsidRDefault="00D6757E" w:rsidP="006E4FAF">
      <w:pPr>
        <w:spacing w:before="0" w:after="0"/>
      </w:pPr>
      <w:r>
        <w:separator/>
      </w:r>
    </w:p>
  </w:endnote>
  <w:endnote w:type="continuationSeparator" w:id="0">
    <w:p w14:paraId="6C8E6A8E" w14:textId="77777777" w:rsidR="00D6757E" w:rsidRDefault="00D6757E" w:rsidP="006E4FAF">
      <w:pPr>
        <w:spacing w:before="0" w:after="0"/>
      </w:pPr>
      <w:r>
        <w:continuationSeparator/>
      </w:r>
    </w:p>
  </w:endnote>
  <w:endnote w:type="continuationNotice" w:id="1">
    <w:p w14:paraId="017030D3" w14:textId="77777777" w:rsidR="00D6757E" w:rsidRDefault="00D675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041B" w14:textId="60E3792A" w:rsidR="008E7FC7" w:rsidRPr="00BF06A6" w:rsidRDefault="008E7FC7" w:rsidP="00BF0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AE5C2" w14:textId="44FFC07D" w:rsidR="008E7FC7" w:rsidRPr="00BF06A6" w:rsidRDefault="00BF06A6" w:rsidP="00BF06A6">
    <w:pPr>
      <w:pStyle w:val="Footer"/>
      <w:rPr>
        <w:rFonts w:ascii="Arial" w:hAnsi="Arial" w:cs="Arial"/>
        <w:b/>
        <w:sz w:val="48"/>
      </w:rPr>
    </w:pPr>
    <w:r w:rsidRPr="00BF06A6">
      <w:rPr>
        <w:rFonts w:ascii="Arial" w:hAnsi="Arial" w:cs="Arial"/>
        <w:b/>
        <w:sz w:val="48"/>
      </w:rPr>
      <w:t>EN</w:t>
    </w:r>
    <w:r w:rsidRPr="00BF06A6">
      <w:rPr>
        <w:rFonts w:ascii="Arial" w:hAnsi="Arial" w:cs="Arial"/>
        <w:b/>
        <w:sz w:val="48"/>
      </w:rPr>
      <w:tab/>
    </w:r>
    <w:r w:rsidRPr="00BF06A6">
      <w:rPr>
        <w:rFonts w:ascii="Arial" w:hAnsi="Arial" w:cs="Arial"/>
        <w:b/>
        <w:sz w:val="48"/>
      </w:rPr>
      <w:tab/>
    </w:r>
    <w:r w:rsidRPr="00BF06A6">
      <w:tab/>
    </w:r>
    <w:r w:rsidRPr="00BF06A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A4F7" w14:textId="77777777" w:rsidR="00BF06A6" w:rsidRPr="00BF06A6" w:rsidRDefault="00BF06A6" w:rsidP="00BF06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2752" w14:textId="3373DE75" w:rsidR="00BF06A6" w:rsidRPr="00BF06A6" w:rsidRDefault="00BF06A6" w:rsidP="00BF06A6">
    <w:pPr>
      <w:pStyle w:val="Footer"/>
      <w:rPr>
        <w:rFonts w:ascii="Arial" w:hAnsi="Arial" w:cs="Arial"/>
        <w:b/>
        <w:sz w:val="48"/>
      </w:rPr>
    </w:pPr>
    <w:r w:rsidRPr="00BF06A6">
      <w:rPr>
        <w:rFonts w:ascii="Arial" w:hAnsi="Arial" w:cs="Arial"/>
        <w:b/>
        <w:sz w:val="48"/>
      </w:rPr>
      <w:t>EN</w:t>
    </w:r>
    <w:r w:rsidRPr="00BF06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F06A6">
      <w:tab/>
    </w:r>
    <w:r w:rsidRPr="00BF06A6">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431F" w14:textId="77777777" w:rsidR="00BF06A6" w:rsidRPr="00BF06A6" w:rsidRDefault="00BF06A6" w:rsidP="00BF0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708B5" w14:textId="77777777" w:rsidR="00D6757E" w:rsidRDefault="00D6757E" w:rsidP="006E4FAF">
      <w:pPr>
        <w:spacing w:before="0" w:after="0"/>
      </w:pPr>
      <w:r>
        <w:separator/>
      </w:r>
    </w:p>
  </w:footnote>
  <w:footnote w:type="continuationSeparator" w:id="0">
    <w:p w14:paraId="32B18473" w14:textId="77777777" w:rsidR="00D6757E" w:rsidRDefault="00D6757E" w:rsidP="006E4FAF">
      <w:pPr>
        <w:spacing w:before="0" w:after="0"/>
      </w:pPr>
      <w:r>
        <w:continuationSeparator/>
      </w:r>
    </w:p>
  </w:footnote>
  <w:footnote w:type="continuationNotice" w:id="1">
    <w:p w14:paraId="42109A93" w14:textId="77777777" w:rsidR="00D6757E" w:rsidRDefault="00D6757E">
      <w:pPr>
        <w:spacing w:before="0" w:after="0"/>
      </w:pPr>
    </w:p>
  </w:footnote>
  <w:footnote w:id="2">
    <w:p w14:paraId="2D53EB4A" w14:textId="77777777" w:rsidR="00160936" w:rsidRPr="00EA5652" w:rsidRDefault="00160936" w:rsidP="00EA5652">
      <w:pPr>
        <w:pStyle w:val="FootnoteText"/>
        <w:ind w:left="0" w:firstLine="0"/>
        <w:rPr>
          <w:lang w:val="en-IE"/>
        </w:rPr>
      </w:pPr>
      <w:r w:rsidRPr="003C1200">
        <w:rPr>
          <w:rStyle w:val="FootnoteReference"/>
        </w:rPr>
        <w:footnoteRef/>
      </w:r>
      <w:r w:rsidR="003C1200">
        <w:tab/>
      </w:r>
      <w:r w:rsidR="00601EC1" w:rsidRPr="00EA5652">
        <w:t>Directive (EU) 2022/2555 of the European Parliament and of the Council of 14 December 2022 on measures for a high common level of cybersecurity across the Union, amending Regulation (EU) No 910/2014 and Directive (EU) 2018/1972, and repealing Directive (EU) 2016/1148 (OJ L 333, 27.12.2022, p. 80).</w:t>
      </w:r>
    </w:p>
  </w:footnote>
  <w:footnote w:id="3">
    <w:p w14:paraId="07763401" w14:textId="77777777" w:rsidR="006E4FAF" w:rsidRPr="00EA5652" w:rsidRDefault="006E4FAF" w:rsidP="00CC60DC">
      <w:pPr>
        <w:pStyle w:val="FootnoteText"/>
        <w:ind w:left="0" w:firstLine="0"/>
      </w:pPr>
      <w:r w:rsidRPr="00EA5652">
        <w:rPr>
          <w:rStyle w:val="FootnoteReference"/>
        </w:rPr>
        <w:footnoteRef/>
      </w:r>
      <w:r w:rsidRPr="00EA5652">
        <w:tab/>
        <w:t>Commission Recommendation (EU) 2017/1584 of 13 September 2017 on coordinated response to large-scale cybersecurity incidents and crises (</w:t>
      </w:r>
      <w:r w:rsidRPr="00EA5652">
        <w:rPr>
          <w:rStyle w:val="Emphasis"/>
          <w:i w:val="0"/>
          <w:iCs w:val="0"/>
          <w:color w:val="333333"/>
          <w:shd w:val="clear" w:color="auto" w:fill="FFFFFF"/>
        </w:rPr>
        <w:t>OJ L 239, 19.9.2017, p. 36).</w:t>
      </w:r>
    </w:p>
  </w:footnote>
  <w:footnote w:id="4">
    <w:p w14:paraId="5CB5ADBA" w14:textId="77777777" w:rsidR="0061758F" w:rsidRPr="00EA5652" w:rsidRDefault="0061758F" w:rsidP="00CC60DC">
      <w:pPr>
        <w:pStyle w:val="FootnoteText"/>
      </w:pPr>
      <w:r w:rsidRPr="003C1200">
        <w:rPr>
          <w:rStyle w:val="FootnoteReference"/>
        </w:rPr>
        <w:footnoteRef/>
      </w:r>
      <w:r w:rsidR="003C1200">
        <w:tab/>
      </w:r>
      <w:r w:rsidRPr="00EA5652">
        <w:t>Commission Communication - A contingency plan for transport (COM/2022/211 final)</w:t>
      </w:r>
      <w:r w:rsidR="00EA5652" w:rsidRPr="00EA5652">
        <w:t>.</w:t>
      </w:r>
    </w:p>
  </w:footnote>
  <w:footnote w:id="5">
    <w:p w14:paraId="40D6AE95" w14:textId="77777777" w:rsidR="0061758F" w:rsidRPr="00EA5652" w:rsidRDefault="0061758F" w:rsidP="00EA5652">
      <w:pPr>
        <w:pStyle w:val="FootnoteText"/>
        <w:ind w:left="0" w:firstLine="0"/>
        <w:rPr>
          <w:lang w:val="en-IE"/>
        </w:rPr>
      </w:pPr>
      <w:r w:rsidRPr="003C1200">
        <w:rPr>
          <w:rStyle w:val="FootnoteReference"/>
        </w:rPr>
        <w:footnoteRef/>
      </w:r>
      <w:r w:rsidR="003C1200">
        <w:rPr>
          <w:lang w:val="en-IE"/>
        </w:rPr>
        <w:tab/>
      </w:r>
      <w:r w:rsidRPr="00EA5652">
        <w:rPr>
          <w:lang w:val="en-IE"/>
        </w:rPr>
        <w:t xml:space="preserve">Established under Article 19 of </w:t>
      </w:r>
      <w:r w:rsidRPr="00EA5652">
        <w:t>Commission Implementing Regulation (EU) 2019/123 of 24 January 2019 laying down detailed rules for the implementation of air traffic management (ATM) network functions</w:t>
      </w:r>
      <w:r w:rsidR="00946A00" w:rsidRPr="00EA5652">
        <w:t>.</w:t>
      </w:r>
    </w:p>
  </w:footnote>
  <w:footnote w:id="6">
    <w:p w14:paraId="06F46732" w14:textId="77777777" w:rsidR="00BE2EE2" w:rsidRPr="00BE2EE2" w:rsidRDefault="00BE2EE2" w:rsidP="00CC60DC">
      <w:pPr>
        <w:pStyle w:val="FootnoteText"/>
        <w:ind w:left="0" w:firstLine="0"/>
      </w:pPr>
      <w:r w:rsidRPr="003C1200">
        <w:rPr>
          <w:rStyle w:val="FootnoteReference"/>
        </w:rPr>
        <w:footnoteRef/>
      </w:r>
      <w:r w:rsidR="003C1200">
        <w:tab/>
      </w:r>
      <w:r w:rsidR="003261ED" w:rsidRPr="00EA5652">
        <w:t>Directive (EU) 2022/2557 of the European Parliament and of the Council of 14 December 2022 on the resilience of critical entities and repealing Council Directive 2008/114/EC (OJ L 333, 27.12.2022, p. 164).</w:t>
      </w:r>
    </w:p>
  </w:footnote>
  <w:footnote w:id="7">
    <w:p w14:paraId="69278D34" w14:textId="77777777" w:rsidR="00616967" w:rsidRPr="001B211B" w:rsidRDefault="00616967" w:rsidP="00616967">
      <w:pPr>
        <w:pStyle w:val="FootnoteText"/>
        <w:ind w:left="0" w:firstLine="0"/>
        <w:rPr>
          <w:lang w:val="en-IE"/>
        </w:rPr>
      </w:pPr>
      <w:r w:rsidRPr="003C1200">
        <w:rPr>
          <w:rStyle w:val="FootnoteReference"/>
        </w:rPr>
        <w:footnoteRef/>
      </w:r>
      <w:r w:rsidR="003C1200">
        <w:tab/>
      </w:r>
      <w:r w:rsidRPr="002D3B26">
        <w:t>Decision No 1313/2013/EU of the European Parliament and of the Council of 17 December 2013 on a Union Civil Protection Mechanism (OJ L 347, 20.12.2013, p. 924).</w:t>
      </w:r>
    </w:p>
  </w:footnote>
  <w:footnote w:id="8">
    <w:p w14:paraId="2D60EBE4" w14:textId="77777777" w:rsidR="00603D38" w:rsidDel="002426C4" w:rsidRDefault="00603D38" w:rsidP="00EC759E">
      <w:pPr>
        <w:pStyle w:val="FootnoteText"/>
        <w:ind w:left="0" w:firstLine="0"/>
      </w:pPr>
      <w:r w:rsidRPr="003C1200" w:rsidDel="002426C4">
        <w:rPr>
          <w:rStyle w:val="FootnoteReference"/>
        </w:rPr>
        <w:footnoteRef/>
      </w:r>
      <w:r w:rsidR="003C1200">
        <w:tab/>
      </w:r>
      <w:r w:rsidR="000A1296" w:rsidRPr="000A1296" w:rsidDel="002426C4">
        <w:t>Regulation (EU) 2022/2371 of the European Parliament and of the Council of 23 November 2022 on serious cross-border threats to health and repealing Decision No 1082/2013/EU</w:t>
      </w:r>
      <w:r w:rsidR="007E294D" w:rsidDel="002426C4">
        <w:t xml:space="preserve"> (</w:t>
      </w:r>
      <w:r w:rsidR="002012A8" w:rsidRPr="002012A8" w:rsidDel="002426C4">
        <w:t>OJ L 314, 6.12.2022, p. 26</w:t>
      </w:r>
      <w:r w:rsidR="002012A8" w:rsidDel="002426C4">
        <w:t>)</w:t>
      </w:r>
      <w:r w:rsidR="005070F0">
        <w:t>.</w:t>
      </w:r>
    </w:p>
  </w:footnote>
  <w:footnote w:id="9">
    <w:p w14:paraId="7A466829" w14:textId="77777777" w:rsidR="009E4FE4" w:rsidRPr="00D3745B" w:rsidRDefault="009E4FE4" w:rsidP="009E4FE4">
      <w:pPr>
        <w:pStyle w:val="FootnoteText"/>
        <w:ind w:left="0" w:firstLine="0"/>
      </w:pPr>
      <w:r w:rsidRPr="00D3745B">
        <w:rPr>
          <w:rStyle w:val="FootnoteReference"/>
        </w:rPr>
        <w:footnoteRef/>
      </w:r>
      <w:r w:rsidR="00214F9E">
        <w:tab/>
      </w:r>
      <w:r w:rsidR="00D3745B" w:rsidRPr="00D3745B">
        <w:t>A</w:t>
      </w:r>
      <w:r w:rsidR="00331652" w:rsidRPr="00D3745B">
        <w:t>n informal group including relevant Commission services, the EEAS, the European Union Agency for Cybersecurity (ENISA), CERT-EU and Europol, co-chaired by Directorate-General Communications Network, Content and Technology and the EEAS</w:t>
      </w:r>
      <w:r w:rsidR="00D3745B">
        <w:t>.</w:t>
      </w:r>
    </w:p>
  </w:footnote>
  <w:footnote w:id="10">
    <w:p w14:paraId="7A16E108" w14:textId="2CF513EE" w:rsidR="006E4FAF" w:rsidRDefault="006E4FAF" w:rsidP="006E4FAF">
      <w:pPr>
        <w:pStyle w:val="FootnoteText"/>
        <w:ind w:left="0" w:firstLine="0"/>
      </w:pPr>
      <w:r w:rsidRPr="00830E2B">
        <w:rPr>
          <w:rStyle w:val="FootnoteReference"/>
        </w:rPr>
        <w:footnoteRef/>
      </w:r>
      <w:r>
        <w:tab/>
        <w:t>Such as</w:t>
      </w:r>
      <w:r w:rsidR="00527BAF">
        <w:t xml:space="preserve"> Europol</w:t>
      </w:r>
      <w:r w:rsidR="004E1E72">
        <w:t>;</w:t>
      </w:r>
      <w:r>
        <w:t xml:space="preserve"> for transport: the European Union Aviation Safety Agency (EASA), the European Maritime Safety Agency (EMSA), the European Railways Agency (ERA); for health: the European Centre for Disease </w:t>
      </w:r>
      <w:r w:rsidR="00793303">
        <w:t xml:space="preserve">Prevention and </w:t>
      </w:r>
      <w:r>
        <w:t>Control (ECDC) and the European Medicines Agency (EMA); for energy: the Agency for the Cooperation of Energy Regulators (ACER); for space: the EU Space Programme Agency (EUSPA); for the food sector: the European Food Safety Authority (EFSA); on maritime: the European Fisheries Control Agency (EFCA); for cyber incidents: the European Union Agency for Cybersecurity (ENISA), Computer Security Incident Response Teams (CSIRTs), the Computer Emergency Response Team for the EU institutions, bodies and agencies (CERT</w:t>
      </w:r>
      <w:r w:rsidR="00591F9E">
        <w:t>-</w:t>
      </w:r>
      <w:r>
        <w:t xml:space="preserve">UE). </w:t>
      </w:r>
    </w:p>
  </w:footnote>
  <w:footnote w:id="11">
    <w:p w14:paraId="5AC3DEB9" w14:textId="77777777" w:rsidR="006E4FAF" w:rsidRDefault="006E4FAF" w:rsidP="006E4FAF">
      <w:pPr>
        <w:pStyle w:val="FootnoteText"/>
        <w:ind w:left="0" w:firstLine="0"/>
      </w:pPr>
      <w:r w:rsidRPr="00830E2B">
        <w:rPr>
          <w:rStyle w:val="FootnoteReference"/>
        </w:rPr>
        <w:footnoteRef/>
      </w:r>
      <w:r>
        <w:tab/>
      </w:r>
      <w:r w:rsidRPr="007566F2">
        <w:t>Joint Staff Working Document - EU Protocol for countering hybrid threats SWD(2023)116 final.</w:t>
      </w:r>
    </w:p>
  </w:footnote>
  <w:footnote w:id="12">
    <w:p w14:paraId="274451ED" w14:textId="77777777" w:rsidR="006E4FAF" w:rsidRDefault="006E4FAF" w:rsidP="006E4FAF">
      <w:pPr>
        <w:pStyle w:val="FootnoteText"/>
        <w:ind w:left="0" w:firstLine="0"/>
      </w:pPr>
      <w:r w:rsidRPr="00830E2B">
        <w:rPr>
          <w:rStyle w:val="FootnoteReference"/>
        </w:rPr>
        <w:footnoteRef/>
      </w:r>
      <w:r>
        <w:tab/>
        <w:t>Hybrid threats can be characterised as a mixture of coercive and subversive activity, conventional and unconventional methods, which can be used in a coordinated manner by state or non-state actors to achieve specific objectives, while remaining below the threshold of formally declared warfare, cf the EU Protocol on hybrid threats.</w:t>
      </w:r>
    </w:p>
  </w:footnote>
  <w:footnote w:id="13">
    <w:p w14:paraId="0307A819" w14:textId="77777777" w:rsidR="006E4FAF" w:rsidRPr="00803E4A" w:rsidRDefault="006E4FAF" w:rsidP="006E4FAF">
      <w:pPr>
        <w:pStyle w:val="FootnoteText"/>
        <w:ind w:left="0" w:firstLine="0"/>
        <w:rPr>
          <w:lang w:val="en-IE"/>
        </w:rPr>
      </w:pPr>
      <w:r w:rsidRPr="00830E2B">
        <w:rPr>
          <w:rStyle w:val="FootnoteReference"/>
        </w:rPr>
        <w:footnoteRef/>
      </w:r>
      <w:r>
        <w:tab/>
      </w:r>
      <w:r w:rsidRPr="00A20939">
        <w:t>Regulation (EU) 2021/696 of the European Parliament and of the Council of 28 April 2021 establishing the Union Space Programme and the European Union Agency for the Space Programme and repealing Regulations (EU) No 912/2010, (EU) No 1285/2013 and (EU) No 377/2014 and Decision No 541/2014/EU</w:t>
      </w:r>
      <w:r>
        <w:t xml:space="preserve"> (</w:t>
      </w:r>
      <w:r w:rsidRPr="00C55743">
        <w:t>OJ L 170, 12.5.2021, p. 69</w:t>
      </w:r>
      <w:r>
        <w:t>).</w:t>
      </w:r>
    </w:p>
  </w:footnote>
  <w:footnote w:id="14">
    <w:p w14:paraId="57C886FF" w14:textId="77777777" w:rsidR="002E0DC6" w:rsidRPr="00F84B7D" w:rsidRDefault="002E0DC6" w:rsidP="00F84B7D">
      <w:pPr>
        <w:pStyle w:val="FootnoteText"/>
        <w:ind w:left="0" w:firstLine="0"/>
        <w:rPr>
          <w:lang w:val="en-IE"/>
        </w:rPr>
      </w:pPr>
      <w:r w:rsidRPr="003C1200">
        <w:rPr>
          <w:rStyle w:val="FootnoteReference"/>
        </w:rPr>
        <w:footnoteRef/>
      </w:r>
      <w:r w:rsidR="003C1200">
        <w:tab/>
      </w:r>
      <w:r>
        <w:rPr>
          <w:lang w:val="en-IE"/>
        </w:rPr>
        <w:t xml:space="preserve">Such as </w:t>
      </w:r>
      <w:r w:rsidRPr="002E0DC6">
        <w:rPr>
          <w:lang w:val="en-IE"/>
        </w:rPr>
        <w:t>the publication of media monitoring products, Civil Protection Messages, Analytical Briefs, ECHO Daily Maps, ECHO Daily Flashes, and other tailored products.</w:t>
      </w:r>
    </w:p>
  </w:footnote>
  <w:footnote w:id="15">
    <w:p w14:paraId="42EFBC28" w14:textId="77777777" w:rsidR="00182F69" w:rsidRPr="00F821BD" w:rsidRDefault="00182F69" w:rsidP="00182F69">
      <w:pPr>
        <w:pStyle w:val="FootnoteText"/>
        <w:rPr>
          <w:lang w:val="en-IE"/>
        </w:rPr>
      </w:pPr>
      <w:r w:rsidRPr="003C1200">
        <w:rPr>
          <w:rStyle w:val="FootnoteReference"/>
        </w:rPr>
        <w:footnoteRef/>
      </w:r>
      <w:r w:rsidR="003C1200">
        <w:tab/>
      </w:r>
      <w:r w:rsidRPr="004E1575">
        <w:t>Joint Staff Working Document - EU Protocol for countering hybrid threats SWD(2023)116 final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CFCF" w14:textId="77777777" w:rsidR="00BF06A6" w:rsidRPr="00BF06A6" w:rsidRDefault="00BF06A6" w:rsidP="00BF0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2F1C" w14:textId="77777777" w:rsidR="00BF06A6" w:rsidRPr="00BF06A6" w:rsidRDefault="00BF06A6" w:rsidP="00BF0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96266" w14:textId="77777777" w:rsidR="00BF06A6" w:rsidRPr="00BF06A6" w:rsidRDefault="00BF06A6" w:rsidP="00BF0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48EAD4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200347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C8C45E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5B6672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6AF61C62"/>
    <w:multiLevelType w:val="hybridMultilevel"/>
    <w:tmpl w:val="EFE24434"/>
    <w:name w:val="677543559"/>
    <w:lvl w:ilvl="0" w:tplc="EBEA0FEE">
      <w:start w:val="1"/>
      <w:numFmt w:val="lowerRoman"/>
      <w:pStyle w:val="NumPa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15"/>
  </w:num>
  <w:num w:numId="13">
    <w:abstractNumId w:val="8"/>
  </w:num>
  <w:num w:numId="14">
    <w:abstractNumId w:val="17"/>
  </w:num>
  <w:num w:numId="15">
    <w:abstractNumId w:val="7"/>
  </w:num>
  <w:num w:numId="16">
    <w:abstractNumId w:val="9"/>
  </w:num>
  <w:num w:numId="17">
    <w:abstractNumId w:val="10"/>
  </w:num>
  <w:num w:numId="18">
    <w:abstractNumId w:val="5"/>
  </w:num>
  <w:num w:numId="19">
    <w:abstractNumId w:val="16"/>
  </w:num>
  <w:num w:numId="20">
    <w:abstractNumId w:val="4"/>
  </w:num>
  <w:num w:numId="21">
    <w:abstractNumId w:val="11"/>
  </w:num>
  <w:num w:numId="22">
    <w:abstractNumId w:val="13"/>
  </w:num>
  <w:num w:numId="23">
    <w:abstractNumId w:val="14"/>
  </w:num>
  <w:num w:numId="24">
    <w:abstractNumId w:val="6"/>
  </w:num>
  <w:num w:numId="25">
    <w:abstractNumId w:val="12"/>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06 14:42:5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4E760EFB-DC75-4E91-BF86-5533DE20B9C9"/>
    <w:docVar w:name="LW_COVERPAGE_TYPE" w:val="1"/>
    <w:docVar w:name="LW_CROSSREFERENCE" w:val="&lt;UNUSED&gt;"/>
    <w:docVar w:name="LW_DocType" w:val="ANNEX"/>
    <w:docVar w:name="LW_EMISSION" w:val="6.9.2023"/>
    <w:docVar w:name="LW_EMISSION_ISODATE" w:val="2023-09-0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lt;FMT:Bold&gt;on a Blueprint to coordinate a Union-level response to disruptions of critical infrastructure with significant cross-border relevance&lt;/FMT&gt;_x000b_"/>
    <w:docVar w:name="LW_OBJETACTEPRINCIPAL.CP" w:val="&lt;FMT:Bold&gt;on a Blueprint to coordinate a Union-level response to disruptions of critical infrastructure with significant cross-border relevance&lt;/FMT&gt;_x000b_"/>
    <w:docVar w:name="LW_PART_NBR" w:val="1"/>
    <w:docVar w:name="LW_PART_NBR_TOTAL" w:val="1"/>
    <w:docVar w:name="LW_REF.INST.NEW" w:val="COM"/>
    <w:docVar w:name="LW_REF.INST.NEW_ADOPTED" w:val="final"/>
    <w:docVar w:name="LW_REF.INST.NEW_TEXT" w:val="(2023) 52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RECOMMENDATION"/>
    <w:docVar w:name="LW_TYPEACTEPRINCIPAL.CP" w:val="Proposal for a COUNCIL RECOMMENDATION"/>
    <w:docVar w:name="LwApiVersions" w:val="LW4CoDe 1.23.2.0; LW 8.0, Build 20211117"/>
  </w:docVars>
  <w:rsids>
    <w:rsidRoot w:val="006E4FAF"/>
    <w:rsid w:val="00000075"/>
    <w:rsid w:val="00001CCE"/>
    <w:rsid w:val="000023AA"/>
    <w:rsid w:val="00003158"/>
    <w:rsid w:val="00003367"/>
    <w:rsid w:val="00003888"/>
    <w:rsid w:val="00003B11"/>
    <w:rsid w:val="00004025"/>
    <w:rsid w:val="00005A3F"/>
    <w:rsid w:val="000075D4"/>
    <w:rsid w:val="00007D63"/>
    <w:rsid w:val="00010B5E"/>
    <w:rsid w:val="00010D75"/>
    <w:rsid w:val="00011D9A"/>
    <w:rsid w:val="00012E71"/>
    <w:rsid w:val="000135F7"/>
    <w:rsid w:val="00014E54"/>
    <w:rsid w:val="00015098"/>
    <w:rsid w:val="000154CC"/>
    <w:rsid w:val="000165E1"/>
    <w:rsid w:val="00016F2D"/>
    <w:rsid w:val="000175E9"/>
    <w:rsid w:val="0001789C"/>
    <w:rsid w:val="0001799A"/>
    <w:rsid w:val="00020328"/>
    <w:rsid w:val="000211A1"/>
    <w:rsid w:val="00022B6C"/>
    <w:rsid w:val="00022C1A"/>
    <w:rsid w:val="00023528"/>
    <w:rsid w:val="00023617"/>
    <w:rsid w:val="00024B23"/>
    <w:rsid w:val="00024C78"/>
    <w:rsid w:val="00025515"/>
    <w:rsid w:val="000269EF"/>
    <w:rsid w:val="0002764C"/>
    <w:rsid w:val="00027EE8"/>
    <w:rsid w:val="00030628"/>
    <w:rsid w:val="000310A9"/>
    <w:rsid w:val="00031DBB"/>
    <w:rsid w:val="000325F0"/>
    <w:rsid w:val="00032EC8"/>
    <w:rsid w:val="00034054"/>
    <w:rsid w:val="000365E0"/>
    <w:rsid w:val="000366F3"/>
    <w:rsid w:val="000376AB"/>
    <w:rsid w:val="000379BA"/>
    <w:rsid w:val="00037D9D"/>
    <w:rsid w:val="0004014D"/>
    <w:rsid w:val="00042187"/>
    <w:rsid w:val="00042E3C"/>
    <w:rsid w:val="000436DC"/>
    <w:rsid w:val="00045302"/>
    <w:rsid w:val="00046865"/>
    <w:rsid w:val="0004779C"/>
    <w:rsid w:val="0005056E"/>
    <w:rsid w:val="00050762"/>
    <w:rsid w:val="00050ABB"/>
    <w:rsid w:val="000510E0"/>
    <w:rsid w:val="000515F5"/>
    <w:rsid w:val="00051B54"/>
    <w:rsid w:val="00053588"/>
    <w:rsid w:val="000546E6"/>
    <w:rsid w:val="0005576F"/>
    <w:rsid w:val="0005646A"/>
    <w:rsid w:val="00057510"/>
    <w:rsid w:val="00060136"/>
    <w:rsid w:val="000606A6"/>
    <w:rsid w:val="00061862"/>
    <w:rsid w:val="000626B3"/>
    <w:rsid w:val="00062BDB"/>
    <w:rsid w:val="00063140"/>
    <w:rsid w:val="00063164"/>
    <w:rsid w:val="00064439"/>
    <w:rsid w:val="0006523D"/>
    <w:rsid w:val="000658E5"/>
    <w:rsid w:val="00065F33"/>
    <w:rsid w:val="000661BC"/>
    <w:rsid w:val="000670A0"/>
    <w:rsid w:val="0006783F"/>
    <w:rsid w:val="000707FA"/>
    <w:rsid w:val="000714E4"/>
    <w:rsid w:val="000718F1"/>
    <w:rsid w:val="00071CFB"/>
    <w:rsid w:val="0007278B"/>
    <w:rsid w:val="00073407"/>
    <w:rsid w:val="0007407E"/>
    <w:rsid w:val="00075AFE"/>
    <w:rsid w:val="000763E2"/>
    <w:rsid w:val="0007649A"/>
    <w:rsid w:val="00076913"/>
    <w:rsid w:val="00077120"/>
    <w:rsid w:val="00077AA0"/>
    <w:rsid w:val="000819F1"/>
    <w:rsid w:val="00081B8A"/>
    <w:rsid w:val="00082D9C"/>
    <w:rsid w:val="00083738"/>
    <w:rsid w:val="00083EF1"/>
    <w:rsid w:val="000844ED"/>
    <w:rsid w:val="000851EA"/>
    <w:rsid w:val="000856C3"/>
    <w:rsid w:val="00086193"/>
    <w:rsid w:val="00086813"/>
    <w:rsid w:val="00087322"/>
    <w:rsid w:val="000915F1"/>
    <w:rsid w:val="00091923"/>
    <w:rsid w:val="00092DE7"/>
    <w:rsid w:val="0009311A"/>
    <w:rsid w:val="000933C0"/>
    <w:rsid w:val="000938F7"/>
    <w:rsid w:val="000939AD"/>
    <w:rsid w:val="00094197"/>
    <w:rsid w:val="00094654"/>
    <w:rsid w:val="00096663"/>
    <w:rsid w:val="000967EC"/>
    <w:rsid w:val="00096AEF"/>
    <w:rsid w:val="00096B10"/>
    <w:rsid w:val="00097D9C"/>
    <w:rsid w:val="00097E18"/>
    <w:rsid w:val="000A1296"/>
    <w:rsid w:val="000A3719"/>
    <w:rsid w:val="000A3BAD"/>
    <w:rsid w:val="000A3DFF"/>
    <w:rsid w:val="000A3E32"/>
    <w:rsid w:val="000A401E"/>
    <w:rsid w:val="000A57DD"/>
    <w:rsid w:val="000A5D93"/>
    <w:rsid w:val="000A625C"/>
    <w:rsid w:val="000A6C23"/>
    <w:rsid w:val="000A7038"/>
    <w:rsid w:val="000B0E79"/>
    <w:rsid w:val="000B103B"/>
    <w:rsid w:val="000B166F"/>
    <w:rsid w:val="000B1689"/>
    <w:rsid w:val="000B2452"/>
    <w:rsid w:val="000B2A43"/>
    <w:rsid w:val="000B2C27"/>
    <w:rsid w:val="000B2E96"/>
    <w:rsid w:val="000B3222"/>
    <w:rsid w:val="000B4BE3"/>
    <w:rsid w:val="000B5ADD"/>
    <w:rsid w:val="000B5B16"/>
    <w:rsid w:val="000B5E9E"/>
    <w:rsid w:val="000C0141"/>
    <w:rsid w:val="000C1B70"/>
    <w:rsid w:val="000C2E70"/>
    <w:rsid w:val="000C48FA"/>
    <w:rsid w:val="000C4D1E"/>
    <w:rsid w:val="000C5934"/>
    <w:rsid w:val="000C602A"/>
    <w:rsid w:val="000C6312"/>
    <w:rsid w:val="000C660D"/>
    <w:rsid w:val="000C6F09"/>
    <w:rsid w:val="000C7C72"/>
    <w:rsid w:val="000D0154"/>
    <w:rsid w:val="000D16BB"/>
    <w:rsid w:val="000D1A39"/>
    <w:rsid w:val="000D2093"/>
    <w:rsid w:val="000D24A3"/>
    <w:rsid w:val="000D5467"/>
    <w:rsid w:val="000D726B"/>
    <w:rsid w:val="000E0C10"/>
    <w:rsid w:val="000E3B72"/>
    <w:rsid w:val="000E4997"/>
    <w:rsid w:val="000E4CAD"/>
    <w:rsid w:val="000E60AD"/>
    <w:rsid w:val="000E6FB4"/>
    <w:rsid w:val="000E71A3"/>
    <w:rsid w:val="000E7F08"/>
    <w:rsid w:val="000E7FA8"/>
    <w:rsid w:val="000F064F"/>
    <w:rsid w:val="000F07C1"/>
    <w:rsid w:val="000F0997"/>
    <w:rsid w:val="000F1955"/>
    <w:rsid w:val="000F1EAC"/>
    <w:rsid w:val="000F3031"/>
    <w:rsid w:val="000F3239"/>
    <w:rsid w:val="000F3732"/>
    <w:rsid w:val="000F639C"/>
    <w:rsid w:val="000F6581"/>
    <w:rsid w:val="000F6BBA"/>
    <w:rsid w:val="0010288D"/>
    <w:rsid w:val="001039A5"/>
    <w:rsid w:val="00103AF3"/>
    <w:rsid w:val="00103E81"/>
    <w:rsid w:val="00104155"/>
    <w:rsid w:val="001041C9"/>
    <w:rsid w:val="00104F3A"/>
    <w:rsid w:val="0010570A"/>
    <w:rsid w:val="00105B19"/>
    <w:rsid w:val="00105E98"/>
    <w:rsid w:val="001065A1"/>
    <w:rsid w:val="00106B56"/>
    <w:rsid w:val="00107165"/>
    <w:rsid w:val="001071E4"/>
    <w:rsid w:val="001073A8"/>
    <w:rsid w:val="00107931"/>
    <w:rsid w:val="00107B87"/>
    <w:rsid w:val="00110DFD"/>
    <w:rsid w:val="00111181"/>
    <w:rsid w:val="001123D7"/>
    <w:rsid w:val="0011314F"/>
    <w:rsid w:val="00113167"/>
    <w:rsid w:val="001131EC"/>
    <w:rsid w:val="00113A76"/>
    <w:rsid w:val="001145ED"/>
    <w:rsid w:val="00114D02"/>
    <w:rsid w:val="00115331"/>
    <w:rsid w:val="001156CD"/>
    <w:rsid w:val="00115E41"/>
    <w:rsid w:val="0011717F"/>
    <w:rsid w:val="00117891"/>
    <w:rsid w:val="00117D39"/>
    <w:rsid w:val="0012057D"/>
    <w:rsid w:val="00120960"/>
    <w:rsid w:val="00120EF2"/>
    <w:rsid w:val="00121330"/>
    <w:rsid w:val="001225F8"/>
    <w:rsid w:val="0012602E"/>
    <w:rsid w:val="001263C1"/>
    <w:rsid w:val="00130BB2"/>
    <w:rsid w:val="00130F3A"/>
    <w:rsid w:val="001311F5"/>
    <w:rsid w:val="00132546"/>
    <w:rsid w:val="00133332"/>
    <w:rsid w:val="00133EA4"/>
    <w:rsid w:val="00135626"/>
    <w:rsid w:val="001362D9"/>
    <w:rsid w:val="00136ADF"/>
    <w:rsid w:val="00136EFF"/>
    <w:rsid w:val="00137023"/>
    <w:rsid w:val="00140424"/>
    <w:rsid w:val="001406F1"/>
    <w:rsid w:val="00141076"/>
    <w:rsid w:val="0014153C"/>
    <w:rsid w:val="00141FBB"/>
    <w:rsid w:val="00141FE2"/>
    <w:rsid w:val="0014299D"/>
    <w:rsid w:val="00143129"/>
    <w:rsid w:val="00143945"/>
    <w:rsid w:val="00143F17"/>
    <w:rsid w:val="0014498C"/>
    <w:rsid w:val="00144F25"/>
    <w:rsid w:val="001455DE"/>
    <w:rsid w:val="00146029"/>
    <w:rsid w:val="00146421"/>
    <w:rsid w:val="00147C3B"/>
    <w:rsid w:val="001512CA"/>
    <w:rsid w:val="001514A5"/>
    <w:rsid w:val="00152703"/>
    <w:rsid w:val="00152938"/>
    <w:rsid w:val="00155F29"/>
    <w:rsid w:val="00156460"/>
    <w:rsid w:val="00156D38"/>
    <w:rsid w:val="00160936"/>
    <w:rsid w:val="00161A8E"/>
    <w:rsid w:val="00162BBB"/>
    <w:rsid w:val="001630B1"/>
    <w:rsid w:val="00163188"/>
    <w:rsid w:val="00165C4F"/>
    <w:rsid w:val="00165D99"/>
    <w:rsid w:val="001666C8"/>
    <w:rsid w:val="00170ECE"/>
    <w:rsid w:val="00171130"/>
    <w:rsid w:val="00171B67"/>
    <w:rsid w:val="00171BBC"/>
    <w:rsid w:val="00171D89"/>
    <w:rsid w:val="00171E4F"/>
    <w:rsid w:val="001723ED"/>
    <w:rsid w:val="00172DFE"/>
    <w:rsid w:val="00175CF0"/>
    <w:rsid w:val="00176AC0"/>
    <w:rsid w:val="00177E0D"/>
    <w:rsid w:val="00182F69"/>
    <w:rsid w:val="00183340"/>
    <w:rsid w:val="001834B5"/>
    <w:rsid w:val="00183961"/>
    <w:rsid w:val="00183E32"/>
    <w:rsid w:val="00184E42"/>
    <w:rsid w:val="0018572D"/>
    <w:rsid w:val="00185B55"/>
    <w:rsid w:val="00185BE5"/>
    <w:rsid w:val="00185D46"/>
    <w:rsid w:val="00186F66"/>
    <w:rsid w:val="00187633"/>
    <w:rsid w:val="00187BD3"/>
    <w:rsid w:val="00190C90"/>
    <w:rsid w:val="00191D5E"/>
    <w:rsid w:val="00192634"/>
    <w:rsid w:val="00192E17"/>
    <w:rsid w:val="001931E9"/>
    <w:rsid w:val="00193733"/>
    <w:rsid w:val="001947EC"/>
    <w:rsid w:val="00194991"/>
    <w:rsid w:val="0019596A"/>
    <w:rsid w:val="001963CA"/>
    <w:rsid w:val="00196683"/>
    <w:rsid w:val="00196D21"/>
    <w:rsid w:val="00196DCB"/>
    <w:rsid w:val="001970B6"/>
    <w:rsid w:val="00197700"/>
    <w:rsid w:val="001A0154"/>
    <w:rsid w:val="001A08BD"/>
    <w:rsid w:val="001A15ED"/>
    <w:rsid w:val="001A1C58"/>
    <w:rsid w:val="001A1CAF"/>
    <w:rsid w:val="001A2131"/>
    <w:rsid w:val="001A21B1"/>
    <w:rsid w:val="001A30A9"/>
    <w:rsid w:val="001A397C"/>
    <w:rsid w:val="001A4F39"/>
    <w:rsid w:val="001A5AE7"/>
    <w:rsid w:val="001A63E0"/>
    <w:rsid w:val="001A7A86"/>
    <w:rsid w:val="001B01F9"/>
    <w:rsid w:val="001B06A9"/>
    <w:rsid w:val="001B0CEB"/>
    <w:rsid w:val="001B13A5"/>
    <w:rsid w:val="001B18DC"/>
    <w:rsid w:val="001B2069"/>
    <w:rsid w:val="001B211B"/>
    <w:rsid w:val="001B22B1"/>
    <w:rsid w:val="001B330E"/>
    <w:rsid w:val="001B4065"/>
    <w:rsid w:val="001B477F"/>
    <w:rsid w:val="001B4B11"/>
    <w:rsid w:val="001B5564"/>
    <w:rsid w:val="001B5806"/>
    <w:rsid w:val="001B5825"/>
    <w:rsid w:val="001B5B77"/>
    <w:rsid w:val="001B6D1D"/>
    <w:rsid w:val="001B6E89"/>
    <w:rsid w:val="001B79A1"/>
    <w:rsid w:val="001C0174"/>
    <w:rsid w:val="001C051E"/>
    <w:rsid w:val="001C4DE0"/>
    <w:rsid w:val="001C618A"/>
    <w:rsid w:val="001C638D"/>
    <w:rsid w:val="001C707D"/>
    <w:rsid w:val="001C7195"/>
    <w:rsid w:val="001C726F"/>
    <w:rsid w:val="001C72A5"/>
    <w:rsid w:val="001C788C"/>
    <w:rsid w:val="001C78E8"/>
    <w:rsid w:val="001D018C"/>
    <w:rsid w:val="001D0346"/>
    <w:rsid w:val="001D1925"/>
    <w:rsid w:val="001D609E"/>
    <w:rsid w:val="001D60DE"/>
    <w:rsid w:val="001D6845"/>
    <w:rsid w:val="001D6BF1"/>
    <w:rsid w:val="001D7101"/>
    <w:rsid w:val="001E0E8F"/>
    <w:rsid w:val="001E1419"/>
    <w:rsid w:val="001E18A9"/>
    <w:rsid w:val="001E299E"/>
    <w:rsid w:val="001E2B15"/>
    <w:rsid w:val="001E33F4"/>
    <w:rsid w:val="001E3DC9"/>
    <w:rsid w:val="001E3E4B"/>
    <w:rsid w:val="001E3E87"/>
    <w:rsid w:val="001E58E1"/>
    <w:rsid w:val="001E6579"/>
    <w:rsid w:val="001E74B6"/>
    <w:rsid w:val="001F20BE"/>
    <w:rsid w:val="001F343E"/>
    <w:rsid w:val="001F484F"/>
    <w:rsid w:val="001F4C87"/>
    <w:rsid w:val="001F4E06"/>
    <w:rsid w:val="001F502D"/>
    <w:rsid w:val="001F514E"/>
    <w:rsid w:val="001F5907"/>
    <w:rsid w:val="001F5E9E"/>
    <w:rsid w:val="001F62C9"/>
    <w:rsid w:val="001F690E"/>
    <w:rsid w:val="00200EDB"/>
    <w:rsid w:val="002012A8"/>
    <w:rsid w:val="002012DB"/>
    <w:rsid w:val="0020140F"/>
    <w:rsid w:val="00201D18"/>
    <w:rsid w:val="00202C36"/>
    <w:rsid w:val="00202CC2"/>
    <w:rsid w:val="002031C1"/>
    <w:rsid w:val="0020354A"/>
    <w:rsid w:val="0020461C"/>
    <w:rsid w:val="002054AB"/>
    <w:rsid w:val="00206468"/>
    <w:rsid w:val="00206AFF"/>
    <w:rsid w:val="00207925"/>
    <w:rsid w:val="00210F31"/>
    <w:rsid w:val="00211A88"/>
    <w:rsid w:val="00212B54"/>
    <w:rsid w:val="00212F62"/>
    <w:rsid w:val="0021452C"/>
    <w:rsid w:val="00214F9E"/>
    <w:rsid w:val="00217063"/>
    <w:rsid w:val="00217602"/>
    <w:rsid w:val="00221178"/>
    <w:rsid w:val="00221AFA"/>
    <w:rsid w:val="00221B9F"/>
    <w:rsid w:val="00221EB9"/>
    <w:rsid w:val="00222B98"/>
    <w:rsid w:val="00223BCD"/>
    <w:rsid w:val="00224DB7"/>
    <w:rsid w:val="002265FF"/>
    <w:rsid w:val="00226744"/>
    <w:rsid w:val="00227303"/>
    <w:rsid w:val="00227CAB"/>
    <w:rsid w:val="00230A0C"/>
    <w:rsid w:val="00230CE6"/>
    <w:rsid w:val="00231EB9"/>
    <w:rsid w:val="00232473"/>
    <w:rsid w:val="002326B0"/>
    <w:rsid w:val="00233B64"/>
    <w:rsid w:val="0023458F"/>
    <w:rsid w:val="002349AF"/>
    <w:rsid w:val="002349D5"/>
    <w:rsid w:val="00234E9B"/>
    <w:rsid w:val="002369BE"/>
    <w:rsid w:val="00236E4C"/>
    <w:rsid w:val="0024148E"/>
    <w:rsid w:val="002426C4"/>
    <w:rsid w:val="00242C85"/>
    <w:rsid w:val="00242F0F"/>
    <w:rsid w:val="00243082"/>
    <w:rsid w:val="00244245"/>
    <w:rsid w:val="002442D7"/>
    <w:rsid w:val="00244573"/>
    <w:rsid w:val="0024513C"/>
    <w:rsid w:val="0024629E"/>
    <w:rsid w:val="00246659"/>
    <w:rsid w:val="00246776"/>
    <w:rsid w:val="00246D80"/>
    <w:rsid w:val="002470DA"/>
    <w:rsid w:val="00250BC7"/>
    <w:rsid w:val="0025172C"/>
    <w:rsid w:val="00251DF3"/>
    <w:rsid w:val="002526AC"/>
    <w:rsid w:val="002530A7"/>
    <w:rsid w:val="002534BC"/>
    <w:rsid w:val="00253E02"/>
    <w:rsid w:val="00254B2B"/>
    <w:rsid w:val="00255C08"/>
    <w:rsid w:val="00256CC9"/>
    <w:rsid w:val="00256E4A"/>
    <w:rsid w:val="002575EF"/>
    <w:rsid w:val="00257F5F"/>
    <w:rsid w:val="002606D4"/>
    <w:rsid w:val="00260860"/>
    <w:rsid w:val="00260959"/>
    <w:rsid w:val="00260EAE"/>
    <w:rsid w:val="0026298C"/>
    <w:rsid w:val="0026420A"/>
    <w:rsid w:val="00264415"/>
    <w:rsid w:val="00266025"/>
    <w:rsid w:val="00266FEF"/>
    <w:rsid w:val="002676BB"/>
    <w:rsid w:val="00267CD1"/>
    <w:rsid w:val="00271987"/>
    <w:rsid w:val="00271AD7"/>
    <w:rsid w:val="00272A18"/>
    <w:rsid w:val="00274BD5"/>
    <w:rsid w:val="00274F78"/>
    <w:rsid w:val="00275152"/>
    <w:rsid w:val="002751C8"/>
    <w:rsid w:val="00275ADC"/>
    <w:rsid w:val="00275E64"/>
    <w:rsid w:val="0028072D"/>
    <w:rsid w:val="002818DD"/>
    <w:rsid w:val="002819E4"/>
    <w:rsid w:val="00281F65"/>
    <w:rsid w:val="00284A8D"/>
    <w:rsid w:val="00284DB2"/>
    <w:rsid w:val="0028604D"/>
    <w:rsid w:val="00286AB7"/>
    <w:rsid w:val="00287BBC"/>
    <w:rsid w:val="00287E1A"/>
    <w:rsid w:val="00290258"/>
    <w:rsid w:val="002903B5"/>
    <w:rsid w:val="00290DDC"/>
    <w:rsid w:val="00291AF6"/>
    <w:rsid w:val="00293CD8"/>
    <w:rsid w:val="00293D3C"/>
    <w:rsid w:val="00293E55"/>
    <w:rsid w:val="00293F4C"/>
    <w:rsid w:val="00293F8C"/>
    <w:rsid w:val="002945DA"/>
    <w:rsid w:val="00295F56"/>
    <w:rsid w:val="002A0363"/>
    <w:rsid w:val="002A4B56"/>
    <w:rsid w:val="002A4BC0"/>
    <w:rsid w:val="002A4DA7"/>
    <w:rsid w:val="002A5BA0"/>
    <w:rsid w:val="002A6982"/>
    <w:rsid w:val="002A7D8E"/>
    <w:rsid w:val="002B1415"/>
    <w:rsid w:val="002B2318"/>
    <w:rsid w:val="002B42B5"/>
    <w:rsid w:val="002B479F"/>
    <w:rsid w:val="002B4875"/>
    <w:rsid w:val="002B51CA"/>
    <w:rsid w:val="002B7428"/>
    <w:rsid w:val="002B7FD2"/>
    <w:rsid w:val="002C0BC4"/>
    <w:rsid w:val="002C0D80"/>
    <w:rsid w:val="002C1040"/>
    <w:rsid w:val="002C2EEA"/>
    <w:rsid w:val="002C2EF3"/>
    <w:rsid w:val="002C473F"/>
    <w:rsid w:val="002C6427"/>
    <w:rsid w:val="002C6C00"/>
    <w:rsid w:val="002C73D5"/>
    <w:rsid w:val="002C73EE"/>
    <w:rsid w:val="002C7402"/>
    <w:rsid w:val="002C7C26"/>
    <w:rsid w:val="002D0C5B"/>
    <w:rsid w:val="002D160F"/>
    <w:rsid w:val="002D1D45"/>
    <w:rsid w:val="002D1ED1"/>
    <w:rsid w:val="002D3496"/>
    <w:rsid w:val="002D3673"/>
    <w:rsid w:val="002D3B26"/>
    <w:rsid w:val="002D3F08"/>
    <w:rsid w:val="002D4CA4"/>
    <w:rsid w:val="002D55F5"/>
    <w:rsid w:val="002D563D"/>
    <w:rsid w:val="002D6446"/>
    <w:rsid w:val="002D69AD"/>
    <w:rsid w:val="002D7360"/>
    <w:rsid w:val="002D7727"/>
    <w:rsid w:val="002D7945"/>
    <w:rsid w:val="002D7EA8"/>
    <w:rsid w:val="002E0DC6"/>
    <w:rsid w:val="002E1A5D"/>
    <w:rsid w:val="002E1DA6"/>
    <w:rsid w:val="002E2D63"/>
    <w:rsid w:val="002E56DE"/>
    <w:rsid w:val="002E5D14"/>
    <w:rsid w:val="002E78B4"/>
    <w:rsid w:val="002F0FF0"/>
    <w:rsid w:val="002F27D3"/>
    <w:rsid w:val="002F2EE8"/>
    <w:rsid w:val="002F43C1"/>
    <w:rsid w:val="002F5E32"/>
    <w:rsid w:val="002F6410"/>
    <w:rsid w:val="002F7A3A"/>
    <w:rsid w:val="002F7A87"/>
    <w:rsid w:val="00300174"/>
    <w:rsid w:val="003021D6"/>
    <w:rsid w:val="00302B93"/>
    <w:rsid w:val="00302BBD"/>
    <w:rsid w:val="003035C3"/>
    <w:rsid w:val="00303F26"/>
    <w:rsid w:val="003042DC"/>
    <w:rsid w:val="00304ACF"/>
    <w:rsid w:val="00306745"/>
    <w:rsid w:val="00306944"/>
    <w:rsid w:val="003074F1"/>
    <w:rsid w:val="00307760"/>
    <w:rsid w:val="00307EFA"/>
    <w:rsid w:val="00310362"/>
    <w:rsid w:val="0031121C"/>
    <w:rsid w:val="003123B2"/>
    <w:rsid w:val="00312639"/>
    <w:rsid w:val="00312EE4"/>
    <w:rsid w:val="00312FB5"/>
    <w:rsid w:val="00313014"/>
    <w:rsid w:val="003134DC"/>
    <w:rsid w:val="00313CEF"/>
    <w:rsid w:val="003143D9"/>
    <w:rsid w:val="00314B2E"/>
    <w:rsid w:val="00314C25"/>
    <w:rsid w:val="00314E31"/>
    <w:rsid w:val="00315DD3"/>
    <w:rsid w:val="00316CF9"/>
    <w:rsid w:val="00316F02"/>
    <w:rsid w:val="00316F08"/>
    <w:rsid w:val="0031708F"/>
    <w:rsid w:val="00317CC5"/>
    <w:rsid w:val="00320B45"/>
    <w:rsid w:val="00320CB9"/>
    <w:rsid w:val="00320D29"/>
    <w:rsid w:val="00321711"/>
    <w:rsid w:val="0032185B"/>
    <w:rsid w:val="003219F5"/>
    <w:rsid w:val="00322186"/>
    <w:rsid w:val="00322740"/>
    <w:rsid w:val="00323319"/>
    <w:rsid w:val="0032342B"/>
    <w:rsid w:val="00323BD6"/>
    <w:rsid w:val="003261ED"/>
    <w:rsid w:val="00327CC2"/>
    <w:rsid w:val="00331652"/>
    <w:rsid w:val="00331A34"/>
    <w:rsid w:val="00333AC5"/>
    <w:rsid w:val="00333BB8"/>
    <w:rsid w:val="0033445C"/>
    <w:rsid w:val="0033520C"/>
    <w:rsid w:val="00335305"/>
    <w:rsid w:val="003356AE"/>
    <w:rsid w:val="003363E5"/>
    <w:rsid w:val="00336E27"/>
    <w:rsid w:val="0033746B"/>
    <w:rsid w:val="00341052"/>
    <w:rsid w:val="003416E2"/>
    <w:rsid w:val="00341B9A"/>
    <w:rsid w:val="00341C89"/>
    <w:rsid w:val="003436E4"/>
    <w:rsid w:val="00343EBE"/>
    <w:rsid w:val="00344E24"/>
    <w:rsid w:val="00345168"/>
    <w:rsid w:val="0034559A"/>
    <w:rsid w:val="00346400"/>
    <w:rsid w:val="00346D37"/>
    <w:rsid w:val="00346D46"/>
    <w:rsid w:val="00347450"/>
    <w:rsid w:val="00350476"/>
    <w:rsid w:val="00350A97"/>
    <w:rsid w:val="00351AB0"/>
    <w:rsid w:val="00351EC0"/>
    <w:rsid w:val="00352A14"/>
    <w:rsid w:val="003537B9"/>
    <w:rsid w:val="00353820"/>
    <w:rsid w:val="00354A48"/>
    <w:rsid w:val="003552B4"/>
    <w:rsid w:val="00355CEC"/>
    <w:rsid w:val="003569FC"/>
    <w:rsid w:val="00357E08"/>
    <w:rsid w:val="00360C87"/>
    <w:rsid w:val="00362A1B"/>
    <w:rsid w:val="00362BE8"/>
    <w:rsid w:val="0036361E"/>
    <w:rsid w:val="00363B12"/>
    <w:rsid w:val="00363E14"/>
    <w:rsid w:val="003642B8"/>
    <w:rsid w:val="00365C24"/>
    <w:rsid w:val="00366829"/>
    <w:rsid w:val="00366D9E"/>
    <w:rsid w:val="00370237"/>
    <w:rsid w:val="00371A02"/>
    <w:rsid w:val="00371A13"/>
    <w:rsid w:val="00372F5C"/>
    <w:rsid w:val="0037333A"/>
    <w:rsid w:val="00373D2C"/>
    <w:rsid w:val="003744F8"/>
    <w:rsid w:val="0037481D"/>
    <w:rsid w:val="0037625B"/>
    <w:rsid w:val="00376264"/>
    <w:rsid w:val="0038027C"/>
    <w:rsid w:val="00380D12"/>
    <w:rsid w:val="00382A2C"/>
    <w:rsid w:val="00382BD5"/>
    <w:rsid w:val="0038305B"/>
    <w:rsid w:val="003839C6"/>
    <w:rsid w:val="00384F94"/>
    <w:rsid w:val="003857E5"/>
    <w:rsid w:val="00387373"/>
    <w:rsid w:val="00387C18"/>
    <w:rsid w:val="00390FD3"/>
    <w:rsid w:val="0039126D"/>
    <w:rsid w:val="003929C3"/>
    <w:rsid w:val="00393D71"/>
    <w:rsid w:val="00396591"/>
    <w:rsid w:val="00396751"/>
    <w:rsid w:val="003969AD"/>
    <w:rsid w:val="003A0C81"/>
    <w:rsid w:val="003A0EAB"/>
    <w:rsid w:val="003A12FD"/>
    <w:rsid w:val="003A1B36"/>
    <w:rsid w:val="003A1CD9"/>
    <w:rsid w:val="003A1F2D"/>
    <w:rsid w:val="003A2FE9"/>
    <w:rsid w:val="003A319C"/>
    <w:rsid w:val="003A38C3"/>
    <w:rsid w:val="003A3BE7"/>
    <w:rsid w:val="003A459C"/>
    <w:rsid w:val="003A4AF4"/>
    <w:rsid w:val="003A54B1"/>
    <w:rsid w:val="003A775C"/>
    <w:rsid w:val="003B21D5"/>
    <w:rsid w:val="003B31A8"/>
    <w:rsid w:val="003B4A0B"/>
    <w:rsid w:val="003B4CB0"/>
    <w:rsid w:val="003B4FB5"/>
    <w:rsid w:val="003B5DA7"/>
    <w:rsid w:val="003B719D"/>
    <w:rsid w:val="003B7FF4"/>
    <w:rsid w:val="003C0436"/>
    <w:rsid w:val="003C0472"/>
    <w:rsid w:val="003C1200"/>
    <w:rsid w:val="003C1B10"/>
    <w:rsid w:val="003C1D32"/>
    <w:rsid w:val="003C1FE1"/>
    <w:rsid w:val="003C2F47"/>
    <w:rsid w:val="003C397C"/>
    <w:rsid w:val="003C426D"/>
    <w:rsid w:val="003C4395"/>
    <w:rsid w:val="003C4451"/>
    <w:rsid w:val="003C4D54"/>
    <w:rsid w:val="003C547F"/>
    <w:rsid w:val="003C5686"/>
    <w:rsid w:val="003C591F"/>
    <w:rsid w:val="003C6048"/>
    <w:rsid w:val="003C6690"/>
    <w:rsid w:val="003C74B1"/>
    <w:rsid w:val="003C7AD5"/>
    <w:rsid w:val="003D22C4"/>
    <w:rsid w:val="003D23D0"/>
    <w:rsid w:val="003D2D10"/>
    <w:rsid w:val="003D2F34"/>
    <w:rsid w:val="003D39B7"/>
    <w:rsid w:val="003D3E39"/>
    <w:rsid w:val="003D534C"/>
    <w:rsid w:val="003D79B8"/>
    <w:rsid w:val="003D7AA8"/>
    <w:rsid w:val="003E148D"/>
    <w:rsid w:val="003E172A"/>
    <w:rsid w:val="003E192F"/>
    <w:rsid w:val="003E1CEA"/>
    <w:rsid w:val="003E1CF5"/>
    <w:rsid w:val="003E2154"/>
    <w:rsid w:val="003E2FAF"/>
    <w:rsid w:val="003E30BF"/>
    <w:rsid w:val="003E5E4F"/>
    <w:rsid w:val="003E613F"/>
    <w:rsid w:val="003E64C2"/>
    <w:rsid w:val="003E65D9"/>
    <w:rsid w:val="003E7F1C"/>
    <w:rsid w:val="003F0104"/>
    <w:rsid w:val="003F0647"/>
    <w:rsid w:val="003F1236"/>
    <w:rsid w:val="003F12D7"/>
    <w:rsid w:val="003F15C9"/>
    <w:rsid w:val="003F1DC8"/>
    <w:rsid w:val="003F1FCF"/>
    <w:rsid w:val="003F2904"/>
    <w:rsid w:val="003F296B"/>
    <w:rsid w:val="003F2E90"/>
    <w:rsid w:val="003F3438"/>
    <w:rsid w:val="003F5143"/>
    <w:rsid w:val="003F5292"/>
    <w:rsid w:val="003F579C"/>
    <w:rsid w:val="003F6C1D"/>
    <w:rsid w:val="00401EB3"/>
    <w:rsid w:val="00402BC1"/>
    <w:rsid w:val="004032A6"/>
    <w:rsid w:val="00403829"/>
    <w:rsid w:val="004039B2"/>
    <w:rsid w:val="00403B52"/>
    <w:rsid w:val="00406A7B"/>
    <w:rsid w:val="0040765F"/>
    <w:rsid w:val="00411124"/>
    <w:rsid w:val="00411AAB"/>
    <w:rsid w:val="004125C2"/>
    <w:rsid w:val="00413A99"/>
    <w:rsid w:val="004149BA"/>
    <w:rsid w:val="0041508F"/>
    <w:rsid w:val="0041520A"/>
    <w:rsid w:val="00416636"/>
    <w:rsid w:val="004168C0"/>
    <w:rsid w:val="00416F7D"/>
    <w:rsid w:val="00416FC6"/>
    <w:rsid w:val="0041723E"/>
    <w:rsid w:val="0042007C"/>
    <w:rsid w:val="004203FC"/>
    <w:rsid w:val="0042073A"/>
    <w:rsid w:val="00422782"/>
    <w:rsid w:val="00422856"/>
    <w:rsid w:val="004234CD"/>
    <w:rsid w:val="00423C67"/>
    <w:rsid w:val="004241A1"/>
    <w:rsid w:val="00424571"/>
    <w:rsid w:val="00427191"/>
    <w:rsid w:val="00427264"/>
    <w:rsid w:val="004275EA"/>
    <w:rsid w:val="004300A8"/>
    <w:rsid w:val="00430529"/>
    <w:rsid w:val="00432271"/>
    <w:rsid w:val="0043270E"/>
    <w:rsid w:val="00432D9A"/>
    <w:rsid w:val="00432DB4"/>
    <w:rsid w:val="00432F32"/>
    <w:rsid w:val="00433E72"/>
    <w:rsid w:val="004348A8"/>
    <w:rsid w:val="00434E8B"/>
    <w:rsid w:val="00435538"/>
    <w:rsid w:val="004356D0"/>
    <w:rsid w:val="0043579B"/>
    <w:rsid w:val="00436301"/>
    <w:rsid w:val="0044061D"/>
    <w:rsid w:val="00441113"/>
    <w:rsid w:val="00442D87"/>
    <w:rsid w:val="004449F7"/>
    <w:rsid w:val="00444CEB"/>
    <w:rsid w:val="004463E4"/>
    <w:rsid w:val="0044726B"/>
    <w:rsid w:val="00447816"/>
    <w:rsid w:val="00447BB5"/>
    <w:rsid w:val="004503E5"/>
    <w:rsid w:val="00450758"/>
    <w:rsid w:val="0045130E"/>
    <w:rsid w:val="00452000"/>
    <w:rsid w:val="0045502F"/>
    <w:rsid w:val="00456DBF"/>
    <w:rsid w:val="00460278"/>
    <w:rsid w:val="00460D55"/>
    <w:rsid w:val="0046164E"/>
    <w:rsid w:val="004624AE"/>
    <w:rsid w:val="00462F48"/>
    <w:rsid w:val="00463116"/>
    <w:rsid w:val="0046381A"/>
    <w:rsid w:val="0046382B"/>
    <w:rsid w:val="004639A3"/>
    <w:rsid w:val="00464356"/>
    <w:rsid w:val="00465CF7"/>
    <w:rsid w:val="00466170"/>
    <w:rsid w:val="0046675C"/>
    <w:rsid w:val="00470FD7"/>
    <w:rsid w:val="004711A6"/>
    <w:rsid w:val="0047121A"/>
    <w:rsid w:val="00471400"/>
    <w:rsid w:val="00471AEA"/>
    <w:rsid w:val="00474FA2"/>
    <w:rsid w:val="00475D2E"/>
    <w:rsid w:val="0047784F"/>
    <w:rsid w:val="00481AE9"/>
    <w:rsid w:val="004824A8"/>
    <w:rsid w:val="00483110"/>
    <w:rsid w:val="004832C7"/>
    <w:rsid w:val="00483B98"/>
    <w:rsid w:val="00484573"/>
    <w:rsid w:val="00484D6B"/>
    <w:rsid w:val="00484FAB"/>
    <w:rsid w:val="0048714C"/>
    <w:rsid w:val="00487A9D"/>
    <w:rsid w:val="004904AB"/>
    <w:rsid w:val="00491526"/>
    <w:rsid w:val="00491816"/>
    <w:rsid w:val="00491ECA"/>
    <w:rsid w:val="00492D33"/>
    <w:rsid w:val="00492EB7"/>
    <w:rsid w:val="004947A3"/>
    <w:rsid w:val="004949A7"/>
    <w:rsid w:val="00495468"/>
    <w:rsid w:val="00495BB6"/>
    <w:rsid w:val="004969CB"/>
    <w:rsid w:val="00496EC7"/>
    <w:rsid w:val="00497280"/>
    <w:rsid w:val="004A14DC"/>
    <w:rsid w:val="004A1A7A"/>
    <w:rsid w:val="004A3177"/>
    <w:rsid w:val="004A328F"/>
    <w:rsid w:val="004A34AB"/>
    <w:rsid w:val="004A358B"/>
    <w:rsid w:val="004A3C88"/>
    <w:rsid w:val="004A3F2B"/>
    <w:rsid w:val="004A408C"/>
    <w:rsid w:val="004A4597"/>
    <w:rsid w:val="004A4697"/>
    <w:rsid w:val="004A47AA"/>
    <w:rsid w:val="004A48C4"/>
    <w:rsid w:val="004A4A6C"/>
    <w:rsid w:val="004A5381"/>
    <w:rsid w:val="004A561C"/>
    <w:rsid w:val="004A5AAC"/>
    <w:rsid w:val="004A5BBE"/>
    <w:rsid w:val="004A6D27"/>
    <w:rsid w:val="004B1551"/>
    <w:rsid w:val="004B177C"/>
    <w:rsid w:val="004B2D19"/>
    <w:rsid w:val="004B3EB3"/>
    <w:rsid w:val="004C0284"/>
    <w:rsid w:val="004C0376"/>
    <w:rsid w:val="004C12BD"/>
    <w:rsid w:val="004C2367"/>
    <w:rsid w:val="004C2C55"/>
    <w:rsid w:val="004C3979"/>
    <w:rsid w:val="004C4941"/>
    <w:rsid w:val="004C5FB4"/>
    <w:rsid w:val="004C61C3"/>
    <w:rsid w:val="004C642C"/>
    <w:rsid w:val="004C6D34"/>
    <w:rsid w:val="004C6E3E"/>
    <w:rsid w:val="004C7943"/>
    <w:rsid w:val="004D0C76"/>
    <w:rsid w:val="004D11C6"/>
    <w:rsid w:val="004D1AB8"/>
    <w:rsid w:val="004D21A5"/>
    <w:rsid w:val="004D3919"/>
    <w:rsid w:val="004D3D00"/>
    <w:rsid w:val="004D444B"/>
    <w:rsid w:val="004D72CC"/>
    <w:rsid w:val="004D7906"/>
    <w:rsid w:val="004D7C22"/>
    <w:rsid w:val="004E01BA"/>
    <w:rsid w:val="004E02C2"/>
    <w:rsid w:val="004E0964"/>
    <w:rsid w:val="004E0C26"/>
    <w:rsid w:val="004E0CFB"/>
    <w:rsid w:val="004E16B8"/>
    <w:rsid w:val="004E182F"/>
    <w:rsid w:val="004E1E72"/>
    <w:rsid w:val="004E2179"/>
    <w:rsid w:val="004E2441"/>
    <w:rsid w:val="004E302B"/>
    <w:rsid w:val="004E306F"/>
    <w:rsid w:val="004E3985"/>
    <w:rsid w:val="004E3E00"/>
    <w:rsid w:val="004E3E0E"/>
    <w:rsid w:val="004E4167"/>
    <w:rsid w:val="004E44F9"/>
    <w:rsid w:val="004E4A46"/>
    <w:rsid w:val="004E4C39"/>
    <w:rsid w:val="004E69B0"/>
    <w:rsid w:val="004E7E82"/>
    <w:rsid w:val="004F298B"/>
    <w:rsid w:val="004F3244"/>
    <w:rsid w:val="004F34E1"/>
    <w:rsid w:val="004F498D"/>
    <w:rsid w:val="004F63EF"/>
    <w:rsid w:val="004F6B31"/>
    <w:rsid w:val="004F7741"/>
    <w:rsid w:val="004F7E67"/>
    <w:rsid w:val="0050070E"/>
    <w:rsid w:val="00500732"/>
    <w:rsid w:val="00500EBB"/>
    <w:rsid w:val="00502507"/>
    <w:rsid w:val="00503A21"/>
    <w:rsid w:val="00503B6F"/>
    <w:rsid w:val="00503BD1"/>
    <w:rsid w:val="005050C2"/>
    <w:rsid w:val="005059C6"/>
    <w:rsid w:val="00505C48"/>
    <w:rsid w:val="0050653E"/>
    <w:rsid w:val="005070F0"/>
    <w:rsid w:val="00510855"/>
    <w:rsid w:val="00511961"/>
    <w:rsid w:val="00511B54"/>
    <w:rsid w:val="0051261D"/>
    <w:rsid w:val="00513464"/>
    <w:rsid w:val="0051415B"/>
    <w:rsid w:val="00514627"/>
    <w:rsid w:val="005149F9"/>
    <w:rsid w:val="00514DB4"/>
    <w:rsid w:val="00515CBA"/>
    <w:rsid w:val="00515E9C"/>
    <w:rsid w:val="00515F49"/>
    <w:rsid w:val="00515F78"/>
    <w:rsid w:val="0051621C"/>
    <w:rsid w:val="005166B6"/>
    <w:rsid w:val="00517556"/>
    <w:rsid w:val="00517B55"/>
    <w:rsid w:val="00520F91"/>
    <w:rsid w:val="00521A6C"/>
    <w:rsid w:val="0052242D"/>
    <w:rsid w:val="00522674"/>
    <w:rsid w:val="00522EC8"/>
    <w:rsid w:val="00522ECA"/>
    <w:rsid w:val="005244F5"/>
    <w:rsid w:val="00525B4C"/>
    <w:rsid w:val="00525F57"/>
    <w:rsid w:val="00526585"/>
    <w:rsid w:val="005277D3"/>
    <w:rsid w:val="0052785E"/>
    <w:rsid w:val="00527AC3"/>
    <w:rsid w:val="00527BAF"/>
    <w:rsid w:val="00527CBB"/>
    <w:rsid w:val="005301CA"/>
    <w:rsid w:val="00530477"/>
    <w:rsid w:val="0053079D"/>
    <w:rsid w:val="005321C0"/>
    <w:rsid w:val="005324BB"/>
    <w:rsid w:val="00532E3A"/>
    <w:rsid w:val="00533A22"/>
    <w:rsid w:val="00535357"/>
    <w:rsid w:val="00535597"/>
    <w:rsid w:val="005356B2"/>
    <w:rsid w:val="00536552"/>
    <w:rsid w:val="005406D6"/>
    <w:rsid w:val="0054253A"/>
    <w:rsid w:val="005426F5"/>
    <w:rsid w:val="00543A02"/>
    <w:rsid w:val="00543ED6"/>
    <w:rsid w:val="00545BD1"/>
    <w:rsid w:val="005463F4"/>
    <w:rsid w:val="00546E01"/>
    <w:rsid w:val="00547A47"/>
    <w:rsid w:val="00547DCE"/>
    <w:rsid w:val="00550696"/>
    <w:rsid w:val="005509E4"/>
    <w:rsid w:val="00550BB2"/>
    <w:rsid w:val="00552BA5"/>
    <w:rsid w:val="00553BD6"/>
    <w:rsid w:val="00554144"/>
    <w:rsid w:val="0055531F"/>
    <w:rsid w:val="005574BB"/>
    <w:rsid w:val="00557944"/>
    <w:rsid w:val="005603EA"/>
    <w:rsid w:val="005609D9"/>
    <w:rsid w:val="005611C5"/>
    <w:rsid w:val="0056126C"/>
    <w:rsid w:val="0056131F"/>
    <w:rsid w:val="005657A6"/>
    <w:rsid w:val="00565C62"/>
    <w:rsid w:val="00565D73"/>
    <w:rsid w:val="00566A0F"/>
    <w:rsid w:val="00567378"/>
    <w:rsid w:val="00567F35"/>
    <w:rsid w:val="005709A0"/>
    <w:rsid w:val="00570FD5"/>
    <w:rsid w:val="0057110D"/>
    <w:rsid w:val="005714BF"/>
    <w:rsid w:val="00571FF8"/>
    <w:rsid w:val="005724A7"/>
    <w:rsid w:val="0058037D"/>
    <w:rsid w:val="0058042F"/>
    <w:rsid w:val="0058062F"/>
    <w:rsid w:val="005813BD"/>
    <w:rsid w:val="00581F84"/>
    <w:rsid w:val="00582314"/>
    <w:rsid w:val="00582E34"/>
    <w:rsid w:val="0058385E"/>
    <w:rsid w:val="005840D6"/>
    <w:rsid w:val="00584735"/>
    <w:rsid w:val="00584B58"/>
    <w:rsid w:val="005857C4"/>
    <w:rsid w:val="0058605A"/>
    <w:rsid w:val="00586421"/>
    <w:rsid w:val="005874DC"/>
    <w:rsid w:val="0059016C"/>
    <w:rsid w:val="00591287"/>
    <w:rsid w:val="0059130F"/>
    <w:rsid w:val="00591F9E"/>
    <w:rsid w:val="00592CAB"/>
    <w:rsid w:val="00593B25"/>
    <w:rsid w:val="00595541"/>
    <w:rsid w:val="00595661"/>
    <w:rsid w:val="00597BE7"/>
    <w:rsid w:val="005A08AC"/>
    <w:rsid w:val="005A0924"/>
    <w:rsid w:val="005A15BE"/>
    <w:rsid w:val="005A1835"/>
    <w:rsid w:val="005A20B3"/>
    <w:rsid w:val="005A2947"/>
    <w:rsid w:val="005A3478"/>
    <w:rsid w:val="005A3487"/>
    <w:rsid w:val="005A35C4"/>
    <w:rsid w:val="005A36F9"/>
    <w:rsid w:val="005A4687"/>
    <w:rsid w:val="005A49DD"/>
    <w:rsid w:val="005A4EC2"/>
    <w:rsid w:val="005A6124"/>
    <w:rsid w:val="005A63A7"/>
    <w:rsid w:val="005A644F"/>
    <w:rsid w:val="005A6866"/>
    <w:rsid w:val="005B000B"/>
    <w:rsid w:val="005B05B6"/>
    <w:rsid w:val="005B1292"/>
    <w:rsid w:val="005B2FC7"/>
    <w:rsid w:val="005B5645"/>
    <w:rsid w:val="005B7073"/>
    <w:rsid w:val="005B74A0"/>
    <w:rsid w:val="005C0361"/>
    <w:rsid w:val="005C0697"/>
    <w:rsid w:val="005C09B8"/>
    <w:rsid w:val="005C25E1"/>
    <w:rsid w:val="005C3033"/>
    <w:rsid w:val="005C4815"/>
    <w:rsid w:val="005C4D41"/>
    <w:rsid w:val="005C54BB"/>
    <w:rsid w:val="005C5D43"/>
    <w:rsid w:val="005C6BA9"/>
    <w:rsid w:val="005C6BF2"/>
    <w:rsid w:val="005C6DA2"/>
    <w:rsid w:val="005D0272"/>
    <w:rsid w:val="005D1830"/>
    <w:rsid w:val="005D3158"/>
    <w:rsid w:val="005D3866"/>
    <w:rsid w:val="005D425F"/>
    <w:rsid w:val="005D5417"/>
    <w:rsid w:val="005D6A8F"/>
    <w:rsid w:val="005D76D6"/>
    <w:rsid w:val="005D7B92"/>
    <w:rsid w:val="005E0055"/>
    <w:rsid w:val="005E0338"/>
    <w:rsid w:val="005E0726"/>
    <w:rsid w:val="005E0EC8"/>
    <w:rsid w:val="005E11F9"/>
    <w:rsid w:val="005E1440"/>
    <w:rsid w:val="005E265A"/>
    <w:rsid w:val="005E27CD"/>
    <w:rsid w:val="005E2AE2"/>
    <w:rsid w:val="005E4D55"/>
    <w:rsid w:val="005E6306"/>
    <w:rsid w:val="005E6BD4"/>
    <w:rsid w:val="005E6BDB"/>
    <w:rsid w:val="005E6E57"/>
    <w:rsid w:val="005E7D39"/>
    <w:rsid w:val="005F0A41"/>
    <w:rsid w:val="005F27FC"/>
    <w:rsid w:val="005F2977"/>
    <w:rsid w:val="005F3B43"/>
    <w:rsid w:val="005F3DE9"/>
    <w:rsid w:val="005F4846"/>
    <w:rsid w:val="005F5EF3"/>
    <w:rsid w:val="005F63F4"/>
    <w:rsid w:val="005F65A7"/>
    <w:rsid w:val="005F6BB2"/>
    <w:rsid w:val="005F6CC0"/>
    <w:rsid w:val="005F73D9"/>
    <w:rsid w:val="005F7E97"/>
    <w:rsid w:val="005F7EF6"/>
    <w:rsid w:val="006014CD"/>
    <w:rsid w:val="00601EC1"/>
    <w:rsid w:val="0060337D"/>
    <w:rsid w:val="006037EB"/>
    <w:rsid w:val="00603CA8"/>
    <w:rsid w:val="00603D38"/>
    <w:rsid w:val="00606441"/>
    <w:rsid w:val="0060730E"/>
    <w:rsid w:val="00607391"/>
    <w:rsid w:val="006073D8"/>
    <w:rsid w:val="00607689"/>
    <w:rsid w:val="006078DF"/>
    <w:rsid w:val="006108CF"/>
    <w:rsid w:val="00610CA1"/>
    <w:rsid w:val="00611F2F"/>
    <w:rsid w:val="00611FBD"/>
    <w:rsid w:val="00611FE7"/>
    <w:rsid w:val="00612764"/>
    <w:rsid w:val="00612C21"/>
    <w:rsid w:val="00612C92"/>
    <w:rsid w:val="00614DE0"/>
    <w:rsid w:val="00615652"/>
    <w:rsid w:val="00615916"/>
    <w:rsid w:val="0061596D"/>
    <w:rsid w:val="00615D36"/>
    <w:rsid w:val="00616185"/>
    <w:rsid w:val="00616967"/>
    <w:rsid w:val="0061758F"/>
    <w:rsid w:val="00617CE8"/>
    <w:rsid w:val="00620088"/>
    <w:rsid w:val="006212FD"/>
    <w:rsid w:val="00621C73"/>
    <w:rsid w:val="00623257"/>
    <w:rsid w:val="00623672"/>
    <w:rsid w:val="006243D9"/>
    <w:rsid w:val="00624DCA"/>
    <w:rsid w:val="006261DE"/>
    <w:rsid w:val="00626E37"/>
    <w:rsid w:val="0062703C"/>
    <w:rsid w:val="006273B0"/>
    <w:rsid w:val="00627818"/>
    <w:rsid w:val="006278CC"/>
    <w:rsid w:val="00627C1A"/>
    <w:rsid w:val="00630875"/>
    <w:rsid w:val="006308D4"/>
    <w:rsid w:val="00631598"/>
    <w:rsid w:val="0063194D"/>
    <w:rsid w:val="006319F7"/>
    <w:rsid w:val="00632099"/>
    <w:rsid w:val="00633991"/>
    <w:rsid w:val="0063453E"/>
    <w:rsid w:val="00634C71"/>
    <w:rsid w:val="0063514E"/>
    <w:rsid w:val="0063524E"/>
    <w:rsid w:val="00635FE5"/>
    <w:rsid w:val="006366C7"/>
    <w:rsid w:val="006405A6"/>
    <w:rsid w:val="006412C9"/>
    <w:rsid w:val="00642117"/>
    <w:rsid w:val="00642A77"/>
    <w:rsid w:val="00642C93"/>
    <w:rsid w:val="006436AD"/>
    <w:rsid w:val="00645960"/>
    <w:rsid w:val="00645F2D"/>
    <w:rsid w:val="00646730"/>
    <w:rsid w:val="00646D8B"/>
    <w:rsid w:val="00646EF0"/>
    <w:rsid w:val="00647457"/>
    <w:rsid w:val="00650628"/>
    <w:rsid w:val="006524EB"/>
    <w:rsid w:val="006542B4"/>
    <w:rsid w:val="00654BA4"/>
    <w:rsid w:val="00654D87"/>
    <w:rsid w:val="0065523B"/>
    <w:rsid w:val="00656111"/>
    <w:rsid w:val="0065670A"/>
    <w:rsid w:val="00656A7E"/>
    <w:rsid w:val="0065750B"/>
    <w:rsid w:val="00657B0D"/>
    <w:rsid w:val="00657CB5"/>
    <w:rsid w:val="00660208"/>
    <w:rsid w:val="00660381"/>
    <w:rsid w:val="00660CA0"/>
    <w:rsid w:val="00661A6D"/>
    <w:rsid w:val="00661E46"/>
    <w:rsid w:val="006621BD"/>
    <w:rsid w:val="00662DEB"/>
    <w:rsid w:val="00664218"/>
    <w:rsid w:val="006659E5"/>
    <w:rsid w:val="006661C4"/>
    <w:rsid w:val="006668E5"/>
    <w:rsid w:val="006672AA"/>
    <w:rsid w:val="00667817"/>
    <w:rsid w:val="0066788F"/>
    <w:rsid w:val="00671AA4"/>
    <w:rsid w:val="00672082"/>
    <w:rsid w:val="00673245"/>
    <w:rsid w:val="006734ED"/>
    <w:rsid w:val="0067759D"/>
    <w:rsid w:val="006808B8"/>
    <w:rsid w:val="00682AC0"/>
    <w:rsid w:val="0068410E"/>
    <w:rsid w:val="006855F8"/>
    <w:rsid w:val="0068577D"/>
    <w:rsid w:val="0068582D"/>
    <w:rsid w:val="00685911"/>
    <w:rsid w:val="00685E92"/>
    <w:rsid w:val="00686AD6"/>
    <w:rsid w:val="00686C37"/>
    <w:rsid w:val="00687B8D"/>
    <w:rsid w:val="00690269"/>
    <w:rsid w:val="006903B0"/>
    <w:rsid w:val="00690E33"/>
    <w:rsid w:val="0069280B"/>
    <w:rsid w:val="00693257"/>
    <w:rsid w:val="00693873"/>
    <w:rsid w:val="00694142"/>
    <w:rsid w:val="00695040"/>
    <w:rsid w:val="006952CE"/>
    <w:rsid w:val="006955C3"/>
    <w:rsid w:val="0069654E"/>
    <w:rsid w:val="006A095B"/>
    <w:rsid w:val="006A0B90"/>
    <w:rsid w:val="006A2E41"/>
    <w:rsid w:val="006A327B"/>
    <w:rsid w:val="006A3701"/>
    <w:rsid w:val="006A37B9"/>
    <w:rsid w:val="006A3C87"/>
    <w:rsid w:val="006A4149"/>
    <w:rsid w:val="006A4E9F"/>
    <w:rsid w:val="006A52F1"/>
    <w:rsid w:val="006A67E7"/>
    <w:rsid w:val="006A6858"/>
    <w:rsid w:val="006A6BCB"/>
    <w:rsid w:val="006A6DAD"/>
    <w:rsid w:val="006B0970"/>
    <w:rsid w:val="006B1BEB"/>
    <w:rsid w:val="006B1E99"/>
    <w:rsid w:val="006B259F"/>
    <w:rsid w:val="006B39CD"/>
    <w:rsid w:val="006B57FD"/>
    <w:rsid w:val="006B5A43"/>
    <w:rsid w:val="006B5A87"/>
    <w:rsid w:val="006B6275"/>
    <w:rsid w:val="006B7920"/>
    <w:rsid w:val="006B7A4C"/>
    <w:rsid w:val="006C06EC"/>
    <w:rsid w:val="006C0B50"/>
    <w:rsid w:val="006C0D58"/>
    <w:rsid w:val="006C259D"/>
    <w:rsid w:val="006C2661"/>
    <w:rsid w:val="006C331A"/>
    <w:rsid w:val="006C44CF"/>
    <w:rsid w:val="006C4926"/>
    <w:rsid w:val="006C4BDA"/>
    <w:rsid w:val="006C5542"/>
    <w:rsid w:val="006C560C"/>
    <w:rsid w:val="006C5A29"/>
    <w:rsid w:val="006C5F94"/>
    <w:rsid w:val="006C66D4"/>
    <w:rsid w:val="006C7D5F"/>
    <w:rsid w:val="006D026B"/>
    <w:rsid w:val="006D1DB3"/>
    <w:rsid w:val="006D3776"/>
    <w:rsid w:val="006D61D8"/>
    <w:rsid w:val="006D64B8"/>
    <w:rsid w:val="006D7325"/>
    <w:rsid w:val="006E07E0"/>
    <w:rsid w:val="006E3815"/>
    <w:rsid w:val="006E460E"/>
    <w:rsid w:val="006E4FAF"/>
    <w:rsid w:val="006E5214"/>
    <w:rsid w:val="006E5B1F"/>
    <w:rsid w:val="006E5CBC"/>
    <w:rsid w:val="006E5EAC"/>
    <w:rsid w:val="006E6669"/>
    <w:rsid w:val="006E6B15"/>
    <w:rsid w:val="006E773A"/>
    <w:rsid w:val="006E7985"/>
    <w:rsid w:val="006E7C6A"/>
    <w:rsid w:val="006F0413"/>
    <w:rsid w:val="006F0F9C"/>
    <w:rsid w:val="006F17F9"/>
    <w:rsid w:val="006F299E"/>
    <w:rsid w:val="006F3313"/>
    <w:rsid w:val="006F3F5E"/>
    <w:rsid w:val="006F43FC"/>
    <w:rsid w:val="006F5BD2"/>
    <w:rsid w:val="006F60E1"/>
    <w:rsid w:val="00700A49"/>
    <w:rsid w:val="00700F09"/>
    <w:rsid w:val="00701EB2"/>
    <w:rsid w:val="007043EB"/>
    <w:rsid w:val="00704723"/>
    <w:rsid w:val="00705417"/>
    <w:rsid w:val="007061C8"/>
    <w:rsid w:val="00706770"/>
    <w:rsid w:val="00707D0F"/>
    <w:rsid w:val="0071028E"/>
    <w:rsid w:val="00711D76"/>
    <w:rsid w:val="00713BC4"/>
    <w:rsid w:val="007146E0"/>
    <w:rsid w:val="00714A77"/>
    <w:rsid w:val="00715816"/>
    <w:rsid w:val="00715D56"/>
    <w:rsid w:val="007167C4"/>
    <w:rsid w:val="00717028"/>
    <w:rsid w:val="00717AB6"/>
    <w:rsid w:val="0072051B"/>
    <w:rsid w:val="0072162F"/>
    <w:rsid w:val="00721859"/>
    <w:rsid w:val="00722B4E"/>
    <w:rsid w:val="0072470C"/>
    <w:rsid w:val="0072530C"/>
    <w:rsid w:val="007262DD"/>
    <w:rsid w:val="00732838"/>
    <w:rsid w:val="00732E47"/>
    <w:rsid w:val="007333DE"/>
    <w:rsid w:val="00734E6C"/>
    <w:rsid w:val="00734FE8"/>
    <w:rsid w:val="007354A1"/>
    <w:rsid w:val="007377FA"/>
    <w:rsid w:val="00741A5E"/>
    <w:rsid w:val="00742CE6"/>
    <w:rsid w:val="007434D8"/>
    <w:rsid w:val="00743B58"/>
    <w:rsid w:val="0074518A"/>
    <w:rsid w:val="00745B11"/>
    <w:rsid w:val="00747BFD"/>
    <w:rsid w:val="00747D3C"/>
    <w:rsid w:val="00750529"/>
    <w:rsid w:val="00750A13"/>
    <w:rsid w:val="007532F6"/>
    <w:rsid w:val="00753CEE"/>
    <w:rsid w:val="007555D7"/>
    <w:rsid w:val="0075560B"/>
    <w:rsid w:val="00756E9B"/>
    <w:rsid w:val="0075714B"/>
    <w:rsid w:val="00760964"/>
    <w:rsid w:val="007613FF"/>
    <w:rsid w:val="00761915"/>
    <w:rsid w:val="00761DAD"/>
    <w:rsid w:val="00763965"/>
    <w:rsid w:val="00763D25"/>
    <w:rsid w:val="00764353"/>
    <w:rsid w:val="007645F9"/>
    <w:rsid w:val="00764F13"/>
    <w:rsid w:val="0076504A"/>
    <w:rsid w:val="00765EA6"/>
    <w:rsid w:val="0076638F"/>
    <w:rsid w:val="007667AF"/>
    <w:rsid w:val="007673BC"/>
    <w:rsid w:val="00767E3E"/>
    <w:rsid w:val="007700AC"/>
    <w:rsid w:val="00770B88"/>
    <w:rsid w:val="00771426"/>
    <w:rsid w:val="00771F2A"/>
    <w:rsid w:val="00771F53"/>
    <w:rsid w:val="00772837"/>
    <w:rsid w:val="0077338F"/>
    <w:rsid w:val="00775014"/>
    <w:rsid w:val="0077540F"/>
    <w:rsid w:val="00775B17"/>
    <w:rsid w:val="00776F74"/>
    <w:rsid w:val="00777A61"/>
    <w:rsid w:val="00777BC3"/>
    <w:rsid w:val="00777D3E"/>
    <w:rsid w:val="00780BE5"/>
    <w:rsid w:val="00781083"/>
    <w:rsid w:val="00781160"/>
    <w:rsid w:val="00781962"/>
    <w:rsid w:val="0078259E"/>
    <w:rsid w:val="00782807"/>
    <w:rsid w:val="00782AAB"/>
    <w:rsid w:val="0078470E"/>
    <w:rsid w:val="00784B46"/>
    <w:rsid w:val="00784C95"/>
    <w:rsid w:val="00784EE0"/>
    <w:rsid w:val="00785F36"/>
    <w:rsid w:val="00786944"/>
    <w:rsid w:val="00786E02"/>
    <w:rsid w:val="00786F4D"/>
    <w:rsid w:val="00787CC6"/>
    <w:rsid w:val="00790811"/>
    <w:rsid w:val="00791668"/>
    <w:rsid w:val="007926B2"/>
    <w:rsid w:val="007928DC"/>
    <w:rsid w:val="0079296A"/>
    <w:rsid w:val="00793303"/>
    <w:rsid w:val="00794464"/>
    <w:rsid w:val="007947F3"/>
    <w:rsid w:val="007949DF"/>
    <w:rsid w:val="00794B1C"/>
    <w:rsid w:val="00795581"/>
    <w:rsid w:val="007971E4"/>
    <w:rsid w:val="00797D8B"/>
    <w:rsid w:val="007A00A0"/>
    <w:rsid w:val="007A0155"/>
    <w:rsid w:val="007A03E3"/>
    <w:rsid w:val="007A0834"/>
    <w:rsid w:val="007A25B2"/>
    <w:rsid w:val="007A2E98"/>
    <w:rsid w:val="007A3E15"/>
    <w:rsid w:val="007A3F4E"/>
    <w:rsid w:val="007A5F9F"/>
    <w:rsid w:val="007A5FE8"/>
    <w:rsid w:val="007A6BD3"/>
    <w:rsid w:val="007A76FE"/>
    <w:rsid w:val="007A7721"/>
    <w:rsid w:val="007B0745"/>
    <w:rsid w:val="007B0863"/>
    <w:rsid w:val="007B12A9"/>
    <w:rsid w:val="007B175F"/>
    <w:rsid w:val="007B4269"/>
    <w:rsid w:val="007B4411"/>
    <w:rsid w:val="007B452E"/>
    <w:rsid w:val="007B45B8"/>
    <w:rsid w:val="007B4AE1"/>
    <w:rsid w:val="007B5006"/>
    <w:rsid w:val="007B54E8"/>
    <w:rsid w:val="007B6B61"/>
    <w:rsid w:val="007B718F"/>
    <w:rsid w:val="007B7D90"/>
    <w:rsid w:val="007C032B"/>
    <w:rsid w:val="007C12D8"/>
    <w:rsid w:val="007C273C"/>
    <w:rsid w:val="007C364A"/>
    <w:rsid w:val="007C4923"/>
    <w:rsid w:val="007C51A3"/>
    <w:rsid w:val="007C6A03"/>
    <w:rsid w:val="007C6A9F"/>
    <w:rsid w:val="007C7553"/>
    <w:rsid w:val="007D0C50"/>
    <w:rsid w:val="007D0F1A"/>
    <w:rsid w:val="007D1A78"/>
    <w:rsid w:val="007D2301"/>
    <w:rsid w:val="007D37E3"/>
    <w:rsid w:val="007D4A42"/>
    <w:rsid w:val="007D537F"/>
    <w:rsid w:val="007D63FF"/>
    <w:rsid w:val="007D6738"/>
    <w:rsid w:val="007D6803"/>
    <w:rsid w:val="007D68B7"/>
    <w:rsid w:val="007D71C8"/>
    <w:rsid w:val="007D7CD5"/>
    <w:rsid w:val="007E12F6"/>
    <w:rsid w:val="007E14BC"/>
    <w:rsid w:val="007E1D80"/>
    <w:rsid w:val="007E294D"/>
    <w:rsid w:val="007E2D14"/>
    <w:rsid w:val="007E3614"/>
    <w:rsid w:val="007E3BB7"/>
    <w:rsid w:val="007E4BF5"/>
    <w:rsid w:val="007E52CF"/>
    <w:rsid w:val="007E568A"/>
    <w:rsid w:val="007E66CA"/>
    <w:rsid w:val="007E67CD"/>
    <w:rsid w:val="007E791E"/>
    <w:rsid w:val="007E7F81"/>
    <w:rsid w:val="007F087B"/>
    <w:rsid w:val="007F16EB"/>
    <w:rsid w:val="007F2F44"/>
    <w:rsid w:val="007F41A0"/>
    <w:rsid w:val="007F443B"/>
    <w:rsid w:val="007F4457"/>
    <w:rsid w:val="007F5200"/>
    <w:rsid w:val="007F542F"/>
    <w:rsid w:val="007F58FC"/>
    <w:rsid w:val="007F6292"/>
    <w:rsid w:val="007F652B"/>
    <w:rsid w:val="007F696F"/>
    <w:rsid w:val="007F6A3A"/>
    <w:rsid w:val="0080004D"/>
    <w:rsid w:val="0080074F"/>
    <w:rsid w:val="00800995"/>
    <w:rsid w:val="00800F7B"/>
    <w:rsid w:val="00801510"/>
    <w:rsid w:val="0080152A"/>
    <w:rsid w:val="00801AD3"/>
    <w:rsid w:val="008022D0"/>
    <w:rsid w:val="0080267A"/>
    <w:rsid w:val="00802863"/>
    <w:rsid w:val="00803A04"/>
    <w:rsid w:val="00803EC6"/>
    <w:rsid w:val="00804359"/>
    <w:rsid w:val="00805072"/>
    <w:rsid w:val="00805666"/>
    <w:rsid w:val="008056D6"/>
    <w:rsid w:val="0080626D"/>
    <w:rsid w:val="00806BEC"/>
    <w:rsid w:val="0081042B"/>
    <w:rsid w:val="008110B6"/>
    <w:rsid w:val="008120C6"/>
    <w:rsid w:val="0081282F"/>
    <w:rsid w:val="00813727"/>
    <w:rsid w:val="00813E23"/>
    <w:rsid w:val="008150D1"/>
    <w:rsid w:val="008166C4"/>
    <w:rsid w:val="00817C05"/>
    <w:rsid w:val="0082103C"/>
    <w:rsid w:val="00821271"/>
    <w:rsid w:val="008212E2"/>
    <w:rsid w:val="00821B19"/>
    <w:rsid w:val="00822F49"/>
    <w:rsid w:val="00823462"/>
    <w:rsid w:val="00823683"/>
    <w:rsid w:val="008236C8"/>
    <w:rsid w:val="00824CD2"/>
    <w:rsid w:val="00826015"/>
    <w:rsid w:val="00826642"/>
    <w:rsid w:val="00826946"/>
    <w:rsid w:val="00826B96"/>
    <w:rsid w:val="008277DE"/>
    <w:rsid w:val="00830C4E"/>
    <w:rsid w:val="008311E1"/>
    <w:rsid w:val="008317F1"/>
    <w:rsid w:val="00831C22"/>
    <w:rsid w:val="00831FAC"/>
    <w:rsid w:val="0083263E"/>
    <w:rsid w:val="00832759"/>
    <w:rsid w:val="00832B8E"/>
    <w:rsid w:val="00832F73"/>
    <w:rsid w:val="0083393C"/>
    <w:rsid w:val="00834FA6"/>
    <w:rsid w:val="008353AD"/>
    <w:rsid w:val="008353C8"/>
    <w:rsid w:val="008355E4"/>
    <w:rsid w:val="0083581F"/>
    <w:rsid w:val="00836A71"/>
    <w:rsid w:val="008373B6"/>
    <w:rsid w:val="00837ACA"/>
    <w:rsid w:val="00840982"/>
    <w:rsid w:val="00841132"/>
    <w:rsid w:val="0084194E"/>
    <w:rsid w:val="00841B9E"/>
    <w:rsid w:val="00842A66"/>
    <w:rsid w:val="00842C7D"/>
    <w:rsid w:val="00843074"/>
    <w:rsid w:val="00843C61"/>
    <w:rsid w:val="008443FB"/>
    <w:rsid w:val="0084689E"/>
    <w:rsid w:val="00847775"/>
    <w:rsid w:val="00850333"/>
    <w:rsid w:val="00850A4C"/>
    <w:rsid w:val="00850F60"/>
    <w:rsid w:val="0085160B"/>
    <w:rsid w:val="00851D0F"/>
    <w:rsid w:val="008533F4"/>
    <w:rsid w:val="008533F5"/>
    <w:rsid w:val="0085343E"/>
    <w:rsid w:val="00855899"/>
    <w:rsid w:val="00856112"/>
    <w:rsid w:val="00857064"/>
    <w:rsid w:val="008573BA"/>
    <w:rsid w:val="00857868"/>
    <w:rsid w:val="008604BC"/>
    <w:rsid w:val="00860907"/>
    <w:rsid w:val="00860932"/>
    <w:rsid w:val="00861A86"/>
    <w:rsid w:val="00861C5A"/>
    <w:rsid w:val="0086271F"/>
    <w:rsid w:val="00863073"/>
    <w:rsid w:val="00864988"/>
    <w:rsid w:val="00864D22"/>
    <w:rsid w:val="008650B4"/>
    <w:rsid w:val="0086549C"/>
    <w:rsid w:val="00867A97"/>
    <w:rsid w:val="00870C53"/>
    <w:rsid w:val="0087115D"/>
    <w:rsid w:val="008716A5"/>
    <w:rsid w:val="00871CB5"/>
    <w:rsid w:val="00874B4F"/>
    <w:rsid w:val="00875FDC"/>
    <w:rsid w:val="00876870"/>
    <w:rsid w:val="00880B65"/>
    <w:rsid w:val="00881244"/>
    <w:rsid w:val="00881996"/>
    <w:rsid w:val="00882D23"/>
    <w:rsid w:val="00883F91"/>
    <w:rsid w:val="00885093"/>
    <w:rsid w:val="008853A6"/>
    <w:rsid w:val="0088686C"/>
    <w:rsid w:val="00886B2C"/>
    <w:rsid w:val="00886B3C"/>
    <w:rsid w:val="00887CA6"/>
    <w:rsid w:val="00890327"/>
    <w:rsid w:val="00890441"/>
    <w:rsid w:val="0089083D"/>
    <w:rsid w:val="00891483"/>
    <w:rsid w:val="008919D9"/>
    <w:rsid w:val="00891B67"/>
    <w:rsid w:val="00891BC7"/>
    <w:rsid w:val="00891FE0"/>
    <w:rsid w:val="00892962"/>
    <w:rsid w:val="008942E6"/>
    <w:rsid w:val="00894BEA"/>
    <w:rsid w:val="00894DB8"/>
    <w:rsid w:val="0089662B"/>
    <w:rsid w:val="00896DD3"/>
    <w:rsid w:val="0089768C"/>
    <w:rsid w:val="00897CAB"/>
    <w:rsid w:val="008A1C11"/>
    <w:rsid w:val="008A1F79"/>
    <w:rsid w:val="008A2FDC"/>
    <w:rsid w:val="008A3AAF"/>
    <w:rsid w:val="008A3E54"/>
    <w:rsid w:val="008A5829"/>
    <w:rsid w:val="008A582A"/>
    <w:rsid w:val="008A6114"/>
    <w:rsid w:val="008A6A14"/>
    <w:rsid w:val="008B04DC"/>
    <w:rsid w:val="008B07C4"/>
    <w:rsid w:val="008B1036"/>
    <w:rsid w:val="008B2234"/>
    <w:rsid w:val="008B264C"/>
    <w:rsid w:val="008B2B4D"/>
    <w:rsid w:val="008B2BF5"/>
    <w:rsid w:val="008B2C1D"/>
    <w:rsid w:val="008B31CC"/>
    <w:rsid w:val="008B3397"/>
    <w:rsid w:val="008B3838"/>
    <w:rsid w:val="008B39E2"/>
    <w:rsid w:val="008B3DEA"/>
    <w:rsid w:val="008B3FE0"/>
    <w:rsid w:val="008B4545"/>
    <w:rsid w:val="008B4B23"/>
    <w:rsid w:val="008B5C24"/>
    <w:rsid w:val="008B5FBF"/>
    <w:rsid w:val="008B6224"/>
    <w:rsid w:val="008B6324"/>
    <w:rsid w:val="008B635C"/>
    <w:rsid w:val="008B68B6"/>
    <w:rsid w:val="008B6E14"/>
    <w:rsid w:val="008C127B"/>
    <w:rsid w:val="008C197A"/>
    <w:rsid w:val="008C19D9"/>
    <w:rsid w:val="008C1EA9"/>
    <w:rsid w:val="008C1EF8"/>
    <w:rsid w:val="008C336B"/>
    <w:rsid w:val="008C3A1A"/>
    <w:rsid w:val="008C47BE"/>
    <w:rsid w:val="008C4BA9"/>
    <w:rsid w:val="008C5F08"/>
    <w:rsid w:val="008C602A"/>
    <w:rsid w:val="008C6801"/>
    <w:rsid w:val="008C694C"/>
    <w:rsid w:val="008C7776"/>
    <w:rsid w:val="008D04C1"/>
    <w:rsid w:val="008D0C7E"/>
    <w:rsid w:val="008D0F99"/>
    <w:rsid w:val="008D198F"/>
    <w:rsid w:val="008D1D70"/>
    <w:rsid w:val="008D2B7A"/>
    <w:rsid w:val="008D372F"/>
    <w:rsid w:val="008D4F73"/>
    <w:rsid w:val="008D6398"/>
    <w:rsid w:val="008D6F08"/>
    <w:rsid w:val="008D71C5"/>
    <w:rsid w:val="008D7392"/>
    <w:rsid w:val="008D7C44"/>
    <w:rsid w:val="008E0CC7"/>
    <w:rsid w:val="008E1992"/>
    <w:rsid w:val="008E1A84"/>
    <w:rsid w:val="008E2FC1"/>
    <w:rsid w:val="008E311F"/>
    <w:rsid w:val="008E4AB8"/>
    <w:rsid w:val="008E5566"/>
    <w:rsid w:val="008E56BE"/>
    <w:rsid w:val="008E612B"/>
    <w:rsid w:val="008E67BE"/>
    <w:rsid w:val="008E69DE"/>
    <w:rsid w:val="008E7356"/>
    <w:rsid w:val="008E7FC7"/>
    <w:rsid w:val="008F05AA"/>
    <w:rsid w:val="008F1E8E"/>
    <w:rsid w:val="008F2C96"/>
    <w:rsid w:val="008F2FD9"/>
    <w:rsid w:val="008F36CA"/>
    <w:rsid w:val="008F36CF"/>
    <w:rsid w:val="008F3AF9"/>
    <w:rsid w:val="008F52CF"/>
    <w:rsid w:val="008F554A"/>
    <w:rsid w:val="008F5AFE"/>
    <w:rsid w:val="008F5BBD"/>
    <w:rsid w:val="008F68AE"/>
    <w:rsid w:val="008F6D1B"/>
    <w:rsid w:val="008F7ACD"/>
    <w:rsid w:val="00900312"/>
    <w:rsid w:val="009004C2"/>
    <w:rsid w:val="0090154B"/>
    <w:rsid w:val="00901FD7"/>
    <w:rsid w:val="00902002"/>
    <w:rsid w:val="00902520"/>
    <w:rsid w:val="0090281D"/>
    <w:rsid w:val="00903457"/>
    <w:rsid w:val="009034DB"/>
    <w:rsid w:val="00905885"/>
    <w:rsid w:val="00905D22"/>
    <w:rsid w:val="00905FA6"/>
    <w:rsid w:val="009068BA"/>
    <w:rsid w:val="00906B4B"/>
    <w:rsid w:val="009075C2"/>
    <w:rsid w:val="00907E24"/>
    <w:rsid w:val="009115B0"/>
    <w:rsid w:val="0091171B"/>
    <w:rsid w:val="00911CEF"/>
    <w:rsid w:val="00912CB6"/>
    <w:rsid w:val="00912E95"/>
    <w:rsid w:val="00914796"/>
    <w:rsid w:val="00915C4D"/>
    <w:rsid w:val="00915CB6"/>
    <w:rsid w:val="00915CBA"/>
    <w:rsid w:val="009160F0"/>
    <w:rsid w:val="00916A48"/>
    <w:rsid w:val="00916B6D"/>
    <w:rsid w:val="00916F35"/>
    <w:rsid w:val="00917D7E"/>
    <w:rsid w:val="00922010"/>
    <w:rsid w:val="00922218"/>
    <w:rsid w:val="009222FE"/>
    <w:rsid w:val="00922643"/>
    <w:rsid w:val="00923922"/>
    <w:rsid w:val="00924FEA"/>
    <w:rsid w:val="0092533E"/>
    <w:rsid w:val="009257A5"/>
    <w:rsid w:val="00926510"/>
    <w:rsid w:val="00927B2B"/>
    <w:rsid w:val="009303D9"/>
    <w:rsid w:val="00930E9B"/>
    <w:rsid w:val="00931131"/>
    <w:rsid w:val="0093141D"/>
    <w:rsid w:val="00931BF9"/>
    <w:rsid w:val="009336EF"/>
    <w:rsid w:val="00934FF8"/>
    <w:rsid w:val="0093512B"/>
    <w:rsid w:val="00935487"/>
    <w:rsid w:val="00936F40"/>
    <w:rsid w:val="00937044"/>
    <w:rsid w:val="009376A7"/>
    <w:rsid w:val="009379C4"/>
    <w:rsid w:val="00940EF8"/>
    <w:rsid w:val="00941D3F"/>
    <w:rsid w:val="00944254"/>
    <w:rsid w:val="009450BC"/>
    <w:rsid w:val="00945B06"/>
    <w:rsid w:val="00945D95"/>
    <w:rsid w:val="0094627D"/>
    <w:rsid w:val="009467CD"/>
    <w:rsid w:val="00946824"/>
    <w:rsid w:val="0094691B"/>
    <w:rsid w:val="00946A00"/>
    <w:rsid w:val="00947648"/>
    <w:rsid w:val="00950344"/>
    <w:rsid w:val="009505DD"/>
    <w:rsid w:val="00950E7D"/>
    <w:rsid w:val="009522C9"/>
    <w:rsid w:val="0095265B"/>
    <w:rsid w:val="00953A76"/>
    <w:rsid w:val="009546CA"/>
    <w:rsid w:val="0095558D"/>
    <w:rsid w:val="00955C5D"/>
    <w:rsid w:val="00956699"/>
    <w:rsid w:val="0095717C"/>
    <w:rsid w:val="0096077B"/>
    <w:rsid w:val="00960B51"/>
    <w:rsid w:val="00961041"/>
    <w:rsid w:val="00961992"/>
    <w:rsid w:val="00961E9B"/>
    <w:rsid w:val="00962100"/>
    <w:rsid w:val="00962694"/>
    <w:rsid w:val="009639A9"/>
    <w:rsid w:val="00966E4D"/>
    <w:rsid w:val="009670AF"/>
    <w:rsid w:val="00971C86"/>
    <w:rsid w:val="00971F5F"/>
    <w:rsid w:val="009724EE"/>
    <w:rsid w:val="00972F25"/>
    <w:rsid w:val="00973AFD"/>
    <w:rsid w:val="009751B4"/>
    <w:rsid w:val="009755D3"/>
    <w:rsid w:val="00975AD8"/>
    <w:rsid w:val="0097625A"/>
    <w:rsid w:val="0097730E"/>
    <w:rsid w:val="00981A5E"/>
    <w:rsid w:val="00981EA6"/>
    <w:rsid w:val="00981F20"/>
    <w:rsid w:val="00982BD8"/>
    <w:rsid w:val="00982D90"/>
    <w:rsid w:val="0098354A"/>
    <w:rsid w:val="00983785"/>
    <w:rsid w:val="00984EE1"/>
    <w:rsid w:val="0098510C"/>
    <w:rsid w:val="0098537E"/>
    <w:rsid w:val="0098657D"/>
    <w:rsid w:val="009865E4"/>
    <w:rsid w:val="00986A58"/>
    <w:rsid w:val="00986DBD"/>
    <w:rsid w:val="00987BC3"/>
    <w:rsid w:val="0099094A"/>
    <w:rsid w:val="00990B02"/>
    <w:rsid w:val="009919FD"/>
    <w:rsid w:val="00992AB4"/>
    <w:rsid w:val="0099339A"/>
    <w:rsid w:val="0099363D"/>
    <w:rsid w:val="00994D49"/>
    <w:rsid w:val="00995234"/>
    <w:rsid w:val="00995266"/>
    <w:rsid w:val="00995E40"/>
    <w:rsid w:val="00997CDF"/>
    <w:rsid w:val="009A038D"/>
    <w:rsid w:val="009A1FDC"/>
    <w:rsid w:val="009A3286"/>
    <w:rsid w:val="009A3381"/>
    <w:rsid w:val="009A3A01"/>
    <w:rsid w:val="009A3EB3"/>
    <w:rsid w:val="009A4B2E"/>
    <w:rsid w:val="009A4B5F"/>
    <w:rsid w:val="009A64BC"/>
    <w:rsid w:val="009A714D"/>
    <w:rsid w:val="009B0847"/>
    <w:rsid w:val="009B17F6"/>
    <w:rsid w:val="009B1B8A"/>
    <w:rsid w:val="009B287F"/>
    <w:rsid w:val="009B2977"/>
    <w:rsid w:val="009B4062"/>
    <w:rsid w:val="009B4AF8"/>
    <w:rsid w:val="009B5F48"/>
    <w:rsid w:val="009C0045"/>
    <w:rsid w:val="009C06D5"/>
    <w:rsid w:val="009C082A"/>
    <w:rsid w:val="009C252B"/>
    <w:rsid w:val="009C3326"/>
    <w:rsid w:val="009C368A"/>
    <w:rsid w:val="009C3D91"/>
    <w:rsid w:val="009C4E18"/>
    <w:rsid w:val="009C5158"/>
    <w:rsid w:val="009C54C4"/>
    <w:rsid w:val="009C5F2C"/>
    <w:rsid w:val="009C7287"/>
    <w:rsid w:val="009C73CB"/>
    <w:rsid w:val="009D09C3"/>
    <w:rsid w:val="009D1525"/>
    <w:rsid w:val="009D2636"/>
    <w:rsid w:val="009D28E8"/>
    <w:rsid w:val="009D417D"/>
    <w:rsid w:val="009D5627"/>
    <w:rsid w:val="009D64DE"/>
    <w:rsid w:val="009D6531"/>
    <w:rsid w:val="009D7167"/>
    <w:rsid w:val="009E12BB"/>
    <w:rsid w:val="009E26DF"/>
    <w:rsid w:val="009E2BAF"/>
    <w:rsid w:val="009E2CD7"/>
    <w:rsid w:val="009E456B"/>
    <w:rsid w:val="009E4FE4"/>
    <w:rsid w:val="009E6113"/>
    <w:rsid w:val="009F1C91"/>
    <w:rsid w:val="009F218F"/>
    <w:rsid w:val="009F297F"/>
    <w:rsid w:val="009F38CB"/>
    <w:rsid w:val="009F3C2C"/>
    <w:rsid w:val="009F519A"/>
    <w:rsid w:val="009F5397"/>
    <w:rsid w:val="009F5879"/>
    <w:rsid w:val="009F5C6E"/>
    <w:rsid w:val="009F6447"/>
    <w:rsid w:val="009F7511"/>
    <w:rsid w:val="009F7750"/>
    <w:rsid w:val="009F7913"/>
    <w:rsid w:val="00A01019"/>
    <w:rsid w:val="00A017EB"/>
    <w:rsid w:val="00A02D2D"/>
    <w:rsid w:val="00A02DB9"/>
    <w:rsid w:val="00A02F12"/>
    <w:rsid w:val="00A038B5"/>
    <w:rsid w:val="00A03A72"/>
    <w:rsid w:val="00A03F87"/>
    <w:rsid w:val="00A055A8"/>
    <w:rsid w:val="00A058F9"/>
    <w:rsid w:val="00A0662F"/>
    <w:rsid w:val="00A079D7"/>
    <w:rsid w:val="00A07D13"/>
    <w:rsid w:val="00A07EC0"/>
    <w:rsid w:val="00A11115"/>
    <w:rsid w:val="00A12778"/>
    <w:rsid w:val="00A12848"/>
    <w:rsid w:val="00A1285B"/>
    <w:rsid w:val="00A12E0D"/>
    <w:rsid w:val="00A131B9"/>
    <w:rsid w:val="00A13417"/>
    <w:rsid w:val="00A135BC"/>
    <w:rsid w:val="00A14A68"/>
    <w:rsid w:val="00A16127"/>
    <w:rsid w:val="00A162A0"/>
    <w:rsid w:val="00A162A7"/>
    <w:rsid w:val="00A16A7B"/>
    <w:rsid w:val="00A16C0D"/>
    <w:rsid w:val="00A17F94"/>
    <w:rsid w:val="00A20874"/>
    <w:rsid w:val="00A20AD8"/>
    <w:rsid w:val="00A22112"/>
    <w:rsid w:val="00A22B2F"/>
    <w:rsid w:val="00A23C1F"/>
    <w:rsid w:val="00A24DEA"/>
    <w:rsid w:val="00A25F5B"/>
    <w:rsid w:val="00A26AFF"/>
    <w:rsid w:val="00A2747A"/>
    <w:rsid w:val="00A2776F"/>
    <w:rsid w:val="00A27814"/>
    <w:rsid w:val="00A30C8E"/>
    <w:rsid w:val="00A31225"/>
    <w:rsid w:val="00A332C2"/>
    <w:rsid w:val="00A33F4F"/>
    <w:rsid w:val="00A34085"/>
    <w:rsid w:val="00A342F3"/>
    <w:rsid w:val="00A36B81"/>
    <w:rsid w:val="00A36D51"/>
    <w:rsid w:val="00A36E6B"/>
    <w:rsid w:val="00A4116F"/>
    <w:rsid w:val="00A45089"/>
    <w:rsid w:val="00A45C78"/>
    <w:rsid w:val="00A46033"/>
    <w:rsid w:val="00A46313"/>
    <w:rsid w:val="00A46958"/>
    <w:rsid w:val="00A50971"/>
    <w:rsid w:val="00A509A2"/>
    <w:rsid w:val="00A51DA7"/>
    <w:rsid w:val="00A51DAD"/>
    <w:rsid w:val="00A52999"/>
    <w:rsid w:val="00A52BF7"/>
    <w:rsid w:val="00A53A5F"/>
    <w:rsid w:val="00A552DB"/>
    <w:rsid w:val="00A5633B"/>
    <w:rsid w:val="00A56E3D"/>
    <w:rsid w:val="00A61706"/>
    <w:rsid w:val="00A620DE"/>
    <w:rsid w:val="00A6243B"/>
    <w:rsid w:val="00A62C94"/>
    <w:rsid w:val="00A63072"/>
    <w:rsid w:val="00A63B8B"/>
    <w:rsid w:val="00A63E12"/>
    <w:rsid w:val="00A64C99"/>
    <w:rsid w:val="00A657F8"/>
    <w:rsid w:val="00A66123"/>
    <w:rsid w:val="00A66BFC"/>
    <w:rsid w:val="00A66C77"/>
    <w:rsid w:val="00A673B1"/>
    <w:rsid w:val="00A67D1C"/>
    <w:rsid w:val="00A704BF"/>
    <w:rsid w:val="00A7067A"/>
    <w:rsid w:val="00A70DA8"/>
    <w:rsid w:val="00A71F6D"/>
    <w:rsid w:val="00A73779"/>
    <w:rsid w:val="00A74B3A"/>
    <w:rsid w:val="00A74C58"/>
    <w:rsid w:val="00A751AF"/>
    <w:rsid w:val="00A763DA"/>
    <w:rsid w:val="00A76C2B"/>
    <w:rsid w:val="00A77567"/>
    <w:rsid w:val="00A8229D"/>
    <w:rsid w:val="00A8239D"/>
    <w:rsid w:val="00A832B8"/>
    <w:rsid w:val="00A839F3"/>
    <w:rsid w:val="00A83D33"/>
    <w:rsid w:val="00A83E5D"/>
    <w:rsid w:val="00A840E4"/>
    <w:rsid w:val="00A84853"/>
    <w:rsid w:val="00A84CE5"/>
    <w:rsid w:val="00A85B39"/>
    <w:rsid w:val="00A862AB"/>
    <w:rsid w:val="00A86768"/>
    <w:rsid w:val="00A86970"/>
    <w:rsid w:val="00A86B22"/>
    <w:rsid w:val="00A86EE7"/>
    <w:rsid w:val="00A874FD"/>
    <w:rsid w:val="00A87B4D"/>
    <w:rsid w:val="00A90955"/>
    <w:rsid w:val="00A90B58"/>
    <w:rsid w:val="00A91E7A"/>
    <w:rsid w:val="00A925AB"/>
    <w:rsid w:val="00A92D2E"/>
    <w:rsid w:val="00A93B71"/>
    <w:rsid w:val="00A96365"/>
    <w:rsid w:val="00A96382"/>
    <w:rsid w:val="00A96A2A"/>
    <w:rsid w:val="00A96FDE"/>
    <w:rsid w:val="00A9714E"/>
    <w:rsid w:val="00AA00C9"/>
    <w:rsid w:val="00AA03A7"/>
    <w:rsid w:val="00AA044B"/>
    <w:rsid w:val="00AA192E"/>
    <w:rsid w:val="00AA2086"/>
    <w:rsid w:val="00AA267A"/>
    <w:rsid w:val="00AA3D61"/>
    <w:rsid w:val="00AA49CE"/>
    <w:rsid w:val="00AA4BC7"/>
    <w:rsid w:val="00AA582D"/>
    <w:rsid w:val="00AA58C7"/>
    <w:rsid w:val="00AA7139"/>
    <w:rsid w:val="00AA71EF"/>
    <w:rsid w:val="00AA7A1A"/>
    <w:rsid w:val="00AA7DCC"/>
    <w:rsid w:val="00AB024C"/>
    <w:rsid w:val="00AB107E"/>
    <w:rsid w:val="00AB1683"/>
    <w:rsid w:val="00AB37B3"/>
    <w:rsid w:val="00AB4E00"/>
    <w:rsid w:val="00AB5EB9"/>
    <w:rsid w:val="00AB5ECF"/>
    <w:rsid w:val="00AB5FA0"/>
    <w:rsid w:val="00AB6BE1"/>
    <w:rsid w:val="00AB76E7"/>
    <w:rsid w:val="00AC06C7"/>
    <w:rsid w:val="00AC06FF"/>
    <w:rsid w:val="00AC165F"/>
    <w:rsid w:val="00AC193D"/>
    <w:rsid w:val="00AC19E2"/>
    <w:rsid w:val="00AC2FA8"/>
    <w:rsid w:val="00AC3D8A"/>
    <w:rsid w:val="00AC3F1A"/>
    <w:rsid w:val="00AC4181"/>
    <w:rsid w:val="00AC4A3B"/>
    <w:rsid w:val="00AC4B25"/>
    <w:rsid w:val="00AC4D9E"/>
    <w:rsid w:val="00AC5947"/>
    <w:rsid w:val="00AC7676"/>
    <w:rsid w:val="00AD013E"/>
    <w:rsid w:val="00AD07E1"/>
    <w:rsid w:val="00AD306A"/>
    <w:rsid w:val="00AD438F"/>
    <w:rsid w:val="00AD5AD9"/>
    <w:rsid w:val="00AD5E2A"/>
    <w:rsid w:val="00AD6BB9"/>
    <w:rsid w:val="00AD6E0B"/>
    <w:rsid w:val="00AD7604"/>
    <w:rsid w:val="00AD7F32"/>
    <w:rsid w:val="00AE0D7C"/>
    <w:rsid w:val="00AE11EA"/>
    <w:rsid w:val="00AE378F"/>
    <w:rsid w:val="00AE5107"/>
    <w:rsid w:val="00AF05F2"/>
    <w:rsid w:val="00AF0959"/>
    <w:rsid w:val="00AF2548"/>
    <w:rsid w:val="00AF2CB9"/>
    <w:rsid w:val="00AF2E9C"/>
    <w:rsid w:val="00AF3906"/>
    <w:rsid w:val="00AF4FCA"/>
    <w:rsid w:val="00AF5084"/>
    <w:rsid w:val="00AF52F7"/>
    <w:rsid w:val="00AF55FF"/>
    <w:rsid w:val="00AF590C"/>
    <w:rsid w:val="00AF6827"/>
    <w:rsid w:val="00AF6AA3"/>
    <w:rsid w:val="00AF7507"/>
    <w:rsid w:val="00AF7B65"/>
    <w:rsid w:val="00AF7F14"/>
    <w:rsid w:val="00AF7FF1"/>
    <w:rsid w:val="00B0081F"/>
    <w:rsid w:val="00B00DD6"/>
    <w:rsid w:val="00B00F61"/>
    <w:rsid w:val="00B022FE"/>
    <w:rsid w:val="00B03EEB"/>
    <w:rsid w:val="00B04472"/>
    <w:rsid w:val="00B04A5D"/>
    <w:rsid w:val="00B05081"/>
    <w:rsid w:val="00B0530C"/>
    <w:rsid w:val="00B06285"/>
    <w:rsid w:val="00B06393"/>
    <w:rsid w:val="00B067EC"/>
    <w:rsid w:val="00B07EAA"/>
    <w:rsid w:val="00B109DA"/>
    <w:rsid w:val="00B1142E"/>
    <w:rsid w:val="00B11768"/>
    <w:rsid w:val="00B1176F"/>
    <w:rsid w:val="00B1285F"/>
    <w:rsid w:val="00B12A1E"/>
    <w:rsid w:val="00B13D61"/>
    <w:rsid w:val="00B14678"/>
    <w:rsid w:val="00B14B7F"/>
    <w:rsid w:val="00B14EDC"/>
    <w:rsid w:val="00B1551E"/>
    <w:rsid w:val="00B175C6"/>
    <w:rsid w:val="00B17E3B"/>
    <w:rsid w:val="00B20C82"/>
    <w:rsid w:val="00B22211"/>
    <w:rsid w:val="00B2383A"/>
    <w:rsid w:val="00B23E51"/>
    <w:rsid w:val="00B25A45"/>
    <w:rsid w:val="00B25E40"/>
    <w:rsid w:val="00B26FF3"/>
    <w:rsid w:val="00B2707A"/>
    <w:rsid w:val="00B27FFC"/>
    <w:rsid w:val="00B31620"/>
    <w:rsid w:val="00B31C7B"/>
    <w:rsid w:val="00B320CC"/>
    <w:rsid w:val="00B32C70"/>
    <w:rsid w:val="00B32D17"/>
    <w:rsid w:val="00B33588"/>
    <w:rsid w:val="00B33AE1"/>
    <w:rsid w:val="00B3403C"/>
    <w:rsid w:val="00B342C6"/>
    <w:rsid w:val="00B34F61"/>
    <w:rsid w:val="00B35596"/>
    <w:rsid w:val="00B3673A"/>
    <w:rsid w:val="00B36CB4"/>
    <w:rsid w:val="00B373C8"/>
    <w:rsid w:val="00B376F9"/>
    <w:rsid w:val="00B400AC"/>
    <w:rsid w:val="00B40898"/>
    <w:rsid w:val="00B40F2E"/>
    <w:rsid w:val="00B4129B"/>
    <w:rsid w:val="00B41645"/>
    <w:rsid w:val="00B41C3C"/>
    <w:rsid w:val="00B41F1B"/>
    <w:rsid w:val="00B42035"/>
    <w:rsid w:val="00B45EE1"/>
    <w:rsid w:val="00B46435"/>
    <w:rsid w:val="00B465FA"/>
    <w:rsid w:val="00B466B0"/>
    <w:rsid w:val="00B5097D"/>
    <w:rsid w:val="00B50E24"/>
    <w:rsid w:val="00B510CD"/>
    <w:rsid w:val="00B51639"/>
    <w:rsid w:val="00B52F3C"/>
    <w:rsid w:val="00B550C8"/>
    <w:rsid w:val="00B56094"/>
    <w:rsid w:val="00B562AB"/>
    <w:rsid w:val="00B56A80"/>
    <w:rsid w:val="00B579EF"/>
    <w:rsid w:val="00B57B72"/>
    <w:rsid w:val="00B60B89"/>
    <w:rsid w:val="00B61149"/>
    <w:rsid w:val="00B61E3A"/>
    <w:rsid w:val="00B62194"/>
    <w:rsid w:val="00B62332"/>
    <w:rsid w:val="00B62FD3"/>
    <w:rsid w:val="00B63D34"/>
    <w:rsid w:val="00B641FC"/>
    <w:rsid w:val="00B64455"/>
    <w:rsid w:val="00B64938"/>
    <w:rsid w:val="00B64D2E"/>
    <w:rsid w:val="00B65EBA"/>
    <w:rsid w:val="00B70B29"/>
    <w:rsid w:val="00B70C17"/>
    <w:rsid w:val="00B71700"/>
    <w:rsid w:val="00B728BC"/>
    <w:rsid w:val="00B73E44"/>
    <w:rsid w:val="00B73F7B"/>
    <w:rsid w:val="00B73FA6"/>
    <w:rsid w:val="00B74108"/>
    <w:rsid w:val="00B741AF"/>
    <w:rsid w:val="00B74EC1"/>
    <w:rsid w:val="00B750D5"/>
    <w:rsid w:val="00B75312"/>
    <w:rsid w:val="00B75E4C"/>
    <w:rsid w:val="00B76E6F"/>
    <w:rsid w:val="00B76EC6"/>
    <w:rsid w:val="00B77C46"/>
    <w:rsid w:val="00B80257"/>
    <w:rsid w:val="00B803F1"/>
    <w:rsid w:val="00B8063F"/>
    <w:rsid w:val="00B81A3B"/>
    <w:rsid w:val="00B81AD0"/>
    <w:rsid w:val="00B82D3B"/>
    <w:rsid w:val="00B841CC"/>
    <w:rsid w:val="00B848D8"/>
    <w:rsid w:val="00B84A53"/>
    <w:rsid w:val="00B8528F"/>
    <w:rsid w:val="00B85E7B"/>
    <w:rsid w:val="00B861AD"/>
    <w:rsid w:val="00B90C21"/>
    <w:rsid w:val="00B91E76"/>
    <w:rsid w:val="00B922F9"/>
    <w:rsid w:val="00B92665"/>
    <w:rsid w:val="00B92696"/>
    <w:rsid w:val="00B9276F"/>
    <w:rsid w:val="00B9320B"/>
    <w:rsid w:val="00B9507C"/>
    <w:rsid w:val="00B9548F"/>
    <w:rsid w:val="00B95937"/>
    <w:rsid w:val="00B959BA"/>
    <w:rsid w:val="00B96D8E"/>
    <w:rsid w:val="00B96EA7"/>
    <w:rsid w:val="00B97B90"/>
    <w:rsid w:val="00BA0271"/>
    <w:rsid w:val="00BA0397"/>
    <w:rsid w:val="00BA16CC"/>
    <w:rsid w:val="00BA389E"/>
    <w:rsid w:val="00BA463C"/>
    <w:rsid w:val="00BA4F3C"/>
    <w:rsid w:val="00BA694C"/>
    <w:rsid w:val="00BA72F2"/>
    <w:rsid w:val="00BA7485"/>
    <w:rsid w:val="00BA77DF"/>
    <w:rsid w:val="00BA77EA"/>
    <w:rsid w:val="00BA7EC4"/>
    <w:rsid w:val="00BB085C"/>
    <w:rsid w:val="00BB1B0D"/>
    <w:rsid w:val="00BB30BC"/>
    <w:rsid w:val="00BB3DCD"/>
    <w:rsid w:val="00BB4630"/>
    <w:rsid w:val="00BB472E"/>
    <w:rsid w:val="00BB4963"/>
    <w:rsid w:val="00BB4ACC"/>
    <w:rsid w:val="00BB5586"/>
    <w:rsid w:val="00BB5C6B"/>
    <w:rsid w:val="00BB5EBD"/>
    <w:rsid w:val="00BB65A9"/>
    <w:rsid w:val="00BB7472"/>
    <w:rsid w:val="00BC06E3"/>
    <w:rsid w:val="00BC0748"/>
    <w:rsid w:val="00BC0BC4"/>
    <w:rsid w:val="00BC0FC4"/>
    <w:rsid w:val="00BC3745"/>
    <w:rsid w:val="00BC37A7"/>
    <w:rsid w:val="00BC3E81"/>
    <w:rsid w:val="00BC4604"/>
    <w:rsid w:val="00BC4F59"/>
    <w:rsid w:val="00BC5387"/>
    <w:rsid w:val="00BC5FA9"/>
    <w:rsid w:val="00BD0E9A"/>
    <w:rsid w:val="00BD10C6"/>
    <w:rsid w:val="00BD1C2A"/>
    <w:rsid w:val="00BD31AF"/>
    <w:rsid w:val="00BD481B"/>
    <w:rsid w:val="00BD55AA"/>
    <w:rsid w:val="00BD56D7"/>
    <w:rsid w:val="00BE09EE"/>
    <w:rsid w:val="00BE0CD6"/>
    <w:rsid w:val="00BE1EFF"/>
    <w:rsid w:val="00BE2021"/>
    <w:rsid w:val="00BE2EE2"/>
    <w:rsid w:val="00BE3270"/>
    <w:rsid w:val="00BE3329"/>
    <w:rsid w:val="00BE3CEA"/>
    <w:rsid w:val="00BE3E3E"/>
    <w:rsid w:val="00BE412D"/>
    <w:rsid w:val="00BE4A43"/>
    <w:rsid w:val="00BE54B3"/>
    <w:rsid w:val="00BE5B5B"/>
    <w:rsid w:val="00BE5C01"/>
    <w:rsid w:val="00BE5F05"/>
    <w:rsid w:val="00BF06A6"/>
    <w:rsid w:val="00BF1A41"/>
    <w:rsid w:val="00BF1E2F"/>
    <w:rsid w:val="00BF34BC"/>
    <w:rsid w:val="00BF4488"/>
    <w:rsid w:val="00BF44E3"/>
    <w:rsid w:val="00BF5F65"/>
    <w:rsid w:val="00BF6203"/>
    <w:rsid w:val="00BF7550"/>
    <w:rsid w:val="00BF7666"/>
    <w:rsid w:val="00BF76D3"/>
    <w:rsid w:val="00BF7C91"/>
    <w:rsid w:val="00C0016E"/>
    <w:rsid w:val="00C00978"/>
    <w:rsid w:val="00C0264A"/>
    <w:rsid w:val="00C03B07"/>
    <w:rsid w:val="00C03B29"/>
    <w:rsid w:val="00C03CCE"/>
    <w:rsid w:val="00C0438A"/>
    <w:rsid w:val="00C06A2F"/>
    <w:rsid w:val="00C10050"/>
    <w:rsid w:val="00C10656"/>
    <w:rsid w:val="00C11A0C"/>
    <w:rsid w:val="00C11B6B"/>
    <w:rsid w:val="00C12190"/>
    <w:rsid w:val="00C12378"/>
    <w:rsid w:val="00C1274B"/>
    <w:rsid w:val="00C141A4"/>
    <w:rsid w:val="00C14605"/>
    <w:rsid w:val="00C15EC7"/>
    <w:rsid w:val="00C1723D"/>
    <w:rsid w:val="00C2041C"/>
    <w:rsid w:val="00C20953"/>
    <w:rsid w:val="00C221EA"/>
    <w:rsid w:val="00C2290C"/>
    <w:rsid w:val="00C22947"/>
    <w:rsid w:val="00C23BBF"/>
    <w:rsid w:val="00C253AA"/>
    <w:rsid w:val="00C2554F"/>
    <w:rsid w:val="00C25CF4"/>
    <w:rsid w:val="00C26DB7"/>
    <w:rsid w:val="00C272A9"/>
    <w:rsid w:val="00C2751E"/>
    <w:rsid w:val="00C305BB"/>
    <w:rsid w:val="00C30A29"/>
    <w:rsid w:val="00C32078"/>
    <w:rsid w:val="00C33055"/>
    <w:rsid w:val="00C348F8"/>
    <w:rsid w:val="00C34F37"/>
    <w:rsid w:val="00C356F8"/>
    <w:rsid w:val="00C36122"/>
    <w:rsid w:val="00C367EB"/>
    <w:rsid w:val="00C36FCA"/>
    <w:rsid w:val="00C371B3"/>
    <w:rsid w:val="00C3771F"/>
    <w:rsid w:val="00C4092A"/>
    <w:rsid w:val="00C4105A"/>
    <w:rsid w:val="00C4277C"/>
    <w:rsid w:val="00C42B1D"/>
    <w:rsid w:val="00C43507"/>
    <w:rsid w:val="00C4372E"/>
    <w:rsid w:val="00C43A30"/>
    <w:rsid w:val="00C44D05"/>
    <w:rsid w:val="00C465A7"/>
    <w:rsid w:val="00C514F7"/>
    <w:rsid w:val="00C516FD"/>
    <w:rsid w:val="00C51F25"/>
    <w:rsid w:val="00C53E44"/>
    <w:rsid w:val="00C556DD"/>
    <w:rsid w:val="00C55A7E"/>
    <w:rsid w:val="00C56D2F"/>
    <w:rsid w:val="00C56E68"/>
    <w:rsid w:val="00C60155"/>
    <w:rsid w:val="00C61FED"/>
    <w:rsid w:val="00C62B94"/>
    <w:rsid w:val="00C6370D"/>
    <w:rsid w:val="00C6509C"/>
    <w:rsid w:val="00C65B48"/>
    <w:rsid w:val="00C6627C"/>
    <w:rsid w:val="00C668F3"/>
    <w:rsid w:val="00C70434"/>
    <w:rsid w:val="00C7063F"/>
    <w:rsid w:val="00C70BFE"/>
    <w:rsid w:val="00C72966"/>
    <w:rsid w:val="00C73335"/>
    <w:rsid w:val="00C7451E"/>
    <w:rsid w:val="00C751EF"/>
    <w:rsid w:val="00C757CA"/>
    <w:rsid w:val="00C776D1"/>
    <w:rsid w:val="00C807FE"/>
    <w:rsid w:val="00C8097C"/>
    <w:rsid w:val="00C845E1"/>
    <w:rsid w:val="00C846EA"/>
    <w:rsid w:val="00C86978"/>
    <w:rsid w:val="00C87D14"/>
    <w:rsid w:val="00C90132"/>
    <w:rsid w:val="00C9086C"/>
    <w:rsid w:val="00C91D0E"/>
    <w:rsid w:val="00C9232D"/>
    <w:rsid w:val="00C93685"/>
    <w:rsid w:val="00C9387F"/>
    <w:rsid w:val="00C940F7"/>
    <w:rsid w:val="00C94EEC"/>
    <w:rsid w:val="00C94F82"/>
    <w:rsid w:val="00C95372"/>
    <w:rsid w:val="00C953CA"/>
    <w:rsid w:val="00C9631D"/>
    <w:rsid w:val="00C9650B"/>
    <w:rsid w:val="00CA0239"/>
    <w:rsid w:val="00CA148A"/>
    <w:rsid w:val="00CA184D"/>
    <w:rsid w:val="00CA295E"/>
    <w:rsid w:val="00CA2B04"/>
    <w:rsid w:val="00CA3765"/>
    <w:rsid w:val="00CA4319"/>
    <w:rsid w:val="00CA5019"/>
    <w:rsid w:val="00CA540B"/>
    <w:rsid w:val="00CA5C05"/>
    <w:rsid w:val="00CA7F18"/>
    <w:rsid w:val="00CB1BE3"/>
    <w:rsid w:val="00CB276E"/>
    <w:rsid w:val="00CB3C55"/>
    <w:rsid w:val="00CB4709"/>
    <w:rsid w:val="00CB4B9E"/>
    <w:rsid w:val="00CB4DE1"/>
    <w:rsid w:val="00CB6CA1"/>
    <w:rsid w:val="00CC0BD2"/>
    <w:rsid w:val="00CC13E5"/>
    <w:rsid w:val="00CC178F"/>
    <w:rsid w:val="00CC1EDD"/>
    <w:rsid w:val="00CC2B6E"/>
    <w:rsid w:val="00CC362A"/>
    <w:rsid w:val="00CC3D35"/>
    <w:rsid w:val="00CC4D67"/>
    <w:rsid w:val="00CC52A2"/>
    <w:rsid w:val="00CC553D"/>
    <w:rsid w:val="00CC5F79"/>
    <w:rsid w:val="00CC60DC"/>
    <w:rsid w:val="00CC6305"/>
    <w:rsid w:val="00CC6C5E"/>
    <w:rsid w:val="00CC719F"/>
    <w:rsid w:val="00CC7AD5"/>
    <w:rsid w:val="00CD00A1"/>
    <w:rsid w:val="00CD1E33"/>
    <w:rsid w:val="00CD2975"/>
    <w:rsid w:val="00CD2989"/>
    <w:rsid w:val="00CD3BC9"/>
    <w:rsid w:val="00CD5A0D"/>
    <w:rsid w:val="00CD5B0E"/>
    <w:rsid w:val="00CD68D3"/>
    <w:rsid w:val="00CD7784"/>
    <w:rsid w:val="00CD7E8E"/>
    <w:rsid w:val="00CE0E05"/>
    <w:rsid w:val="00CE1B03"/>
    <w:rsid w:val="00CE1D82"/>
    <w:rsid w:val="00CE1F2C"/>
    <w:rsid w:val="00CE2A34"/>
    <w:rsid w:val="00CE34A0"/>
    <w:rsid w:val="00CE3800"/>
    <w:rsid w:val="00CE3F7A"/>
    <w:rsid w:val="00CE42A7"/>
    <w:rsid w:val="00CE539A"/>
    <w:rsid w:val="00CE5B1D"/>
    <w:rsid w:val="00CE6325"/>
    <w:rsid w:val="00CF0262"/>
    <w:rsid w:val="00CF031F"/>
    <w:rsid w:val="00CF1152"/>
    <w:rsid w:val="00CF1CED"/>
    <w:rsid w:val="00CF24D0"/>
    <w:rsid w:val="00CF3D78"/>
    <w:rsid w:val="00CF3E2D"/>
    <w:rsid w:val="00CF4413"/>
    <w:rsid w:val="00CF4A18"/>
    <w:rsid w:val="00CF5A99"/>
    <w:rsid w:val="00CF5B97"/>
    <w:rsid w:val="00CF5ED3"/>
    <w:rsid w:val="00CF6672"/>
    <w:rsid w:val="00CF7AE2"/>
    <w:rsid w:val="00D01638"/>
    <w:rsid w:val="00D0198F"/>
    <w:rsid w:val="00D02BB1"/>
    <w:rsid w:val="00D0304B"/>
    <w:rsid w:val="00D030DB"/>
    <w:rsid w:val="00D03C5E"/>
    <w:rsid w:val="00D040BB"/>
    <w:rsid w:val="00D059E3"/>
    <w:rsid w:val="00D07590"/>
    <w:rsid w:val="00D10299"/>
    <w:rsid w:val="00D118FA"/>
    <w:rsid w:val="00D11D2B"/>
    <w:rsid w:val="00D12526"/>
    <w:rsid w:val="00D127F8"/>
    <w:rsid w:val="00D13FD2"/>
    <w:rsid w:val="00D14833"/>
    <w:rsid w:val="00D14FE1"/>
    <w:rsid w:val="00D1504D"/>
    <w:rsid w:val="00D1535C"/>
    <w:rsid w:val="00D15CDF"/>
    <w:rsid w:val="00D16246"/>
    <w:rsid w:val="00D163E7"/>
    <w:rsid w:val="00D16EA2"/>
    <w:rsid w:val="00D17109"/>
    <w:rsid w:val="00D1775D"/>
    <w:rsid w:val="00D17C89"/>
    <w:rsid w:val="00D17D3C"/>
    <w:rsid w:val="00D20E70"/>
    <w:rsid w:val="00D228F2"/>
    <w:rsid w:val="00D22AC5"/>
    <w:rsid w:val="00D22DFF"/>
    <w:rsid w:val="00D24631"/>
    <w:rsid w:val="00D24B5D"/>
    <w:rsid w:val="00D25DB7"/>
    <w:rsid w:val="00D26F2D"/>
    <w:rsid w:val="00D2771E"/>
    <w:rsid w:val="00D27ED4"/>
    <w:rsid w:val="00D317CB"/>
    <w:rsid w:val="00D31D28"/>
    <w:rsid w:val="00D328C4"/>
    <w:rsid w:val="00D33986"/>
    <w:rsid w:val="00D33E07"/>
    <w:rsid w:val="00D3448B"/>
    <w:rsid w:val="00D34C11"/>
    <w:rsid w:val="00D34D1E"/>
    <w:rsid w:val="00D35B30"/>
    <w:rsid w:val="00D36B37"/>
    <w:rsid w:val="00D3745B"/>
    <w:rsid w:val="00D37BD6"/>
    <w:rsid w:val="00D4055B"/>
    <w:rsid w:val="00D40AED"/>
    <w:rsid w:val="00D40EFF"/>
    <w:rsid w:val="00D414AB"/>
    <w:rsid w:val="00D41A58"/>
    <w:rsid w:val="00D4208B"/>
    <w:rsid w:val="00D42091"/>
    <w:rsid w:val="00D432FB"/>
    <w:rsid w:val="00D43805"/>
    <w:rsid w:val="00D44BCC"/>
    <w:rsid w:val="00D47CE8"/>
    <w:rsid w:val="00D47D4C"/>
    <w:rsid w:val="00D5000D"/>
    <w:rsid w:val="00D5023E"/>
    <w:rsid w:val="00D50946"/>
    <w:rsid w:val="00D52058"/>
    <w:rsid w:val="00D52EB5"/>
    <w:rsid w:val="00D53D2F"/>
    <w:rsid w:val="00D54491"/>
    <w:rsid w:val="00D55A65"/>
    <w:rsid w:val="00D60C06"/>
    <w:rsid w:val="00D611D0"/>
    <w:rsid w:val="00D61C30"/>
    <w:rsid w:val="00D62326"/>
    <w:rsid w:val="00D62AE4"/>
    <w:rsid w:val="00D6431A"/>
    <w:rsid w:val="00D66C32"/>
    <w:rsid w:val="00D66F69"/>
    <w:rsid w:val="00D67137"/>
    <w:rsid w:val="00D6757E"/>
    <w:rsid w:val="00D71699"/>
    <w:rsid w:val="00D71FAF"/>
    <w:rsid w:val="00D72A8A"/>
    <w:rsid w:val="00D731C3"/>
    <w:rsid w:val="00D73430"/>
    <w:rsid w:val="00D7398D"/>
    <w:rsid w:val="00D73D1A"/>
    <w:rsid w:val="00D74850"/>
    <w:rsid w:val="00D7527F"/>
    <w:rsid w:val="00D755C6"/>
    <w:rsid w:val="00D75C60"/>
    <w:rsid w:val="00D76CE0"/>
    <w:rsid w:val="00D777D1"/>
    <w:rsid w:val="00D809C3"/>
    <w:rsid w:val="00D80A32"/>
    <w:rsid w:val="00D81E4F"/>
    <w:rsid w:val="00D83D38"/>
    <w:rsid w:val="00D83DF5"/>
    <w:rsid w:val="00D84C8D"/>
    <w:rsid w:val="00D8663C"/>
    <w:rsid w:val="00D8734A"/>
    <w:rsid w:val="00D87406"/>
    <w:rsid w:val="00D87F4A"/>
    <w:rsid w:val="00D90976"/>
    <w:rsid w:val="00D92548"/>
    <w:rsid w:val="00D92A1B"/>
    <w:rsid w:val="00D933AD"/>
    <w:rsid w:val="00D93C9F"/>
    <w:rsid w:val="00D93D59"/>
    <w:rsid w:val="00D94581"/>
    <w:rsid w:val="00D94CE0"/>
    <w:rsid w:val="00D95973"/>
    <w:rsid w:val="00D96A96"/>
    <w:rsid w:val="00DA1725"/>
    <w:rsid w:val="00DA1FC5"/>
    <w:rsid w:val="00DA36EA"/>
    <w:rsid w:val="00DA4B2A"/>
    <w:rsid w:val="00DA4EC4"/>
    <w:rsid w:val="00DA5D51"/>
    <w:rsid w:val="00DA65F2"/>
    <w:rsid w:val="00DA6B14"/>
    <w:rsid w:val="00DA7F5C"/>
    <w:rsid w:val="00DB1348"/>
    <w:rsid w:val="00DB1D72"/>
    <w:rsid w:val="00DB1D7B"/>
    <w:rsid w:val="00DB22AD"/>
    <w:rsid w:val="00DB4F89"/>
    <w:rsid w:val="00DB5086"/>
    <w:rsid w:val="00DB7560"/>
    <w:rsid w:val="00DB784C"/>
    <w:rsid w:val="00DC0164"/>
    <w:rsid w:val="00DC0447"/>
    <w:rsid w:val="00DC0F25"/>
    <w:rsid w:val="00DC1FB7"/>
    <w:rsid w:val="00DC29C9"/>
    <w:rsid w:val="00DC2AEC"/>
    <w:rsid w:val="00DC2B6C"/>
    <w:rsid w:val="00DC2B85"/>
    <w:rsid w:val="00DC356F"/>
    <w:rsid w:val="00DC3C32"/>
    <w:rsid w:val="00DC574C"/>
    <w:rsid w:val="00DC5C49"/>
    <w:rsid w:val="00DC5ED8"/>
    <w:rsid w:val="00DC7306"/>
    <w:rsid w:val="00DC7D53"/>
    <w:rsid w:val="00DD0561"/>
    <w:rsid w:val="00DD063C"/>
    <w:rsid w:val="00DD0D00"/>
    <w:rsid w:val="00DD0D9A"/>
    <w:rsid w:val="00DD0EEF"/>
    <w:rsid w:val="00DD139B"/>
    <w:rsid w:val="00DD185A"/>
    <w:rsid w:val="00DD1A60"/>
    <w:rsid w:val="00DD1DA0"/>
    <w:rsid w:val="00DD1EDD"/>
    <w:rsid w:val="00DD2254"/>
    <w:rsid w:val="00DD2336"/>
    <w:rsid w:val="00DD244E"/>
    <w:rsid w:val="00DD2BCD"/>
    <w:rsid w:val="00DD32F7"/>
    <w:rsid w:val="00DD3ED7"/>
    <w:rsid w:val="00DD43D5"/>
    <w:rsid w:val="00DD4991"/>
    <w:rsid w:val="00DD552E"/>
    <w:rsid w:val="00DD57A3"/>
    <w:rsid w:val="00DD59A0"/>
    <w:rsid w:val="00DD6334"/>
    <w:rsid w:val="00DD7F39"/>
    <w:rsid w:val="00DE0B1C"/>
    <w:rsid w:val="00DE1214"/>
    <w:rsid w:val="00DE1B9C"/>
    <w:rsid w:val="00DE4788"/>
    <w:rsid w:val="00DE7F21"/>
    <w:rsid w:val="00DF0D98"/>
    <w:rsid w:val="00DF1598"/>
    <w:rsid w:val="00DF3C69"/>
    <w:rsid w:val="00DF5517"/>
    <w:rsid w:val="00DF561A"/>
    <w:rsid w:val="00DF619D"/>
    <w:rsid w:val="00DF7C7B"/>
    <w:rsid w:val="00E008C9"/>
    <w:rsid w:val="00E01DF0"/>
    <w:rsid w:val="00E03136"/>
    <w:rsid w:val="00E05540"/>
    <w:rsid w:val="00E05D63"/>
    <w:rsid w:val="00E05E1F"/>
    <w:rsid w:val="00E0626B"/>
    <w:rsid w:val="00E07362"/>
    <w:rsid w:val="00E07A16"/>
    <w:rsid w:val="00E07C59"/>
    <w:rsid w:val="00E10CAE"/>
    <w:rsid w:val="00E10F77"/>
    <w:rsid w:val="00E10F86"/>
    <w:rsid w:val="00E11B22"/>
    <w:rsid w:val="00E14464"/>
    <w:rsid w:val="00E15ADB"/>
    <w:rsid w:val="00E161B2"/>
    <w:rsid w:val="00E167DE"/>
    <w:rsid w:val="00E20822"/>
    <w:rsid w:val="00E20997"/>
    <w:rsid w:val="00E2176B"/>
    <w:rsid w:val="00E2194C"/>
    <w:rsid w:val="00E21DA5"/>
    <w:rsid w:val="00E223D3"/>
    <w:rsid w:val="00E22401"/>
    <w:rsid w:val="00E23292"/>
    <w:rsid w:val="00E25677"/>
    <w:rsid w:val="00E27541"/>
    <w:rsid w:val="00E27885"/>
    <w:rsid w:val="00E27D42"/>
    <w:rsid w:val="00E30325"/>
    <w:rsid w:val="00E30E9F"/>
    <w:rsid w:val="00E30FA6"/>
    <w:rsid w:val="00E313C1"/>
    <w:rsid w:val="00E33719"/>
    <w:rsid w:val="00E33755"/>
    <w:rsid w:val="00E33768"/>
    <w:rsid w:val="00E33AD4"/>
    <w:rsid w:val="00E33B46"/>
    <w:rsid w:val="00E33DD0"/>
    <w:rsid w:val="00E403F9"/>
    <w:rsid w:val="00E41D0A"/>
    <w:rsid w:val="00E4241F"/>
    <w:rsid w:val="00E42801"/>
    <w:rsid w:val="00E4302C"/>
    <w:rsid w:val="00E430A4"/>
    <w:rsid w:val="00E4315C"/>
    <w:rsid w:val="00E43236"/>
    <w:rsid w:val="00E43E1B"/>
    <w:rsid w:val="00E450D7"/>
    <w:rsid w:val="00E45537"/>
    <w:rsid w:val="00E45956"/>
    <w:rsid w:val="00E4667D"/>
    <w:rsid w:val="00E46BCE"/>
    <w:rsid w:val="00E46D33"/>
    <w:rsid w:val="00E47978"/>
    <w:rsid w:val="00E47FA8"/>
    <w:rsid w:val="00E508F0"/>
    <w:rsid w:val="00E52325"/>
    <w:rsid w:val="00E52420"/>
    <w:rsid w:val="00E53714"/>
    <w:rsid w:val="00E54654"/>
    <w:rsid w:val="00E56348"/>
    <w:rsid w:val="00E564E0"/>
    <w:rsid w:val="00E60A94"/>
    <w:rsid w:val="00E6102C"/>
    <w:rsid w:val="00E6223A"/>
    <w:rsid w:val="00E632F2"/>
    <w:rsid w:val="00E639C1"/>
    <w:rsid w:val="00E63A2B"/>
    <w:rsid w:val="00E63D35"/>
    <w:rsid w:val="00E6448E"/>
    <w:rsid w:val="00E665B1"/>
    <w:rsid w:val="00E66722"/>
    <w:rsid w:val="00E66F11"/>
    <w:rsid w:val="00E70E44"/>
    <w:rsid w:val="00E712C4"/>
    <w:rsid w:val="00E71717"/>
    <w:rsid w:val="00E71D28"/>
    <w:rsid w:val="00E76C92"/>
    <w:rsid w:val="00E81315"/>
    <w:rsid w:val="00E82977"/>
    <w:rsid w:val="00E8382C"/>
    <w:rsid w:val="00E83B9E"/>
    <w:rsid w:val="00E83BFE"/>
    <w:rsid w:val="00E84255"/>
    <w:rsid w:val="00E8649F"/>
    <w:rsid w:val="00E86F51"/>
    <w:rsid w:val="00E87C97"/>
    <w:rsid w:val="00E90984"/>
    <w:rsid w:val="00E91324"/>
    <w:rsid w:val="00E91EF4"/>
    <w:rsid w:val="00E92628"/>
    <w:rsid w:val="00E92B6D"/>
    <w:rsid w:val="00E93164"/>
    <w:rsid w:val="00E941E0"/>
    <w:rsid w:val="00E94782"/>
    <w:rsid w:val="00E95C30"/>
    <w:rsid w:val="00E95DC7"/>
    <w:rsid w:val="00E964A0"/>
    <w:rsid w:val="00E96887"/>
    <w:rsid w:val="00E97077"/>
    <w:rsid w:val="00E97E86"/>
    <w:rsid w:val="00EA0C36"/>
    <w:rsid w:val="00EA2B8E"/>
    <w:rsid w:val="00EA2F46"/>
    <w:rsid w:val="00EA3C51"/>
    <w:rsid w:val="00EA43EC"/>
    <w:rsid w:val="00EA4F52"/>
    <w:rsid w:val="00EA5652"/>
    <w:rsid w:val="00EA5954"/>
    <w:rsid w:val="00EA6B05"/>
    <w:rsid w:val="00EA73D4"/>
    <w:rsid w:val="00EB0F28"/>
    <w:rsid w:val="00EB3BCF"/>
    <w:rsid w:val="00EB4278"/>
    <w:rsid w:val="00EB493A"/>
    <w:rsid w:val="00EB503D"/>
    <w:rsid w:val="00EB5679"/>
    <w:rsid w:val="00EB5C6C"/>
    <w:rsid w:val="00EB5D36"/>
    <w:rsid w:val="00EB5D7E"/>
    <w:rsid w:val="00EB6178"/>
    <w:rsid w:val="00EB6755"/>
    <w:rsid w:val="00EB6BB4"/>
    <w:rsid w:val="00EB7EAB"/>
    <w:rsid w:val="00EC1AB7"/>
    <w:rsid w:val="00EC1AEA"/>
    <w:rsid w:val="00EC1B20"/>
    <w:rsid w:val="00EC2270"/>
    <w:rsid w:val="00EC3F9D"/>
    <w:rsid w:val="00EC4A39"/>
    <w:rsid w:val="00EC5547"/>
    <w:rsid w:val="00EC624A"/>
    <w:rsid w:val="00EC6499"/>
    <w:rsid w:val="00EC759E"/>
    <w:rsid w:val="00EC76CD"/>
    <w:rsid w:val="00EC7C7B"/>
    <w:rsid w:val="00ED0753"/>
    <w:rsid w:val="00ED0B6B"/>
    <w:rsid w:val="00ED1DAF"/>
    <w:rsid w:val="00ED2A02"/>
    <w:rsid w:val="00ED31A0"/>
    <w:rsid w:val="00ED379C"/>
    <w:rsid w:val="00ED3A62"/>
    <w:rsid w:val="00ED42A2"/>
    <w:rsid w:val="00ED65A3"/>
    <w:rsid w:val="00ED78B1"/>
    <w:rsid w:val="00ED7A11"/>
    <w:rsid w:val="00EE015F"/>
    <w:rsid w:val="00EE0CDF"/>
    <w:rsid w:val="00EE148C"/>
    <w:rsid w:val="00EE22EE"/>
    <w:rsid w:val="00EE2676"/>
    <w:rsid w:val="00EE348E"/>
    <w:rsid w:val="00EE526E"/>
    <w:rsid w:val="00EE5A65"/>
    <w:rsid w:val="00EE5EAE"/>
    <w:rsid w:val="00EE74CB"/>
    <w:rsid w:val="00EE7591"/>
    <w:rsid w:val="00EE7DBC"/>
    <w:rsid w:val="00EF0354"/>
    <w:rsid w:val="00EF0654"/>
    <w:rsid w:val="00EF0696"/>
    <w:rsid w:val="00EF102B"/>
    <w:rsid w:val="00EF1D9D"/>
    <w:rsid w:val="00EF295D"/>
    <w:rsid w:val="00EF2DBB"/>
    <w:rsid w:val="00EF3400"/>
    <w:rsid w:val="00EF3B5C"/>
    <w:rsid w:val="00EF6DD3"/>
    <w:rsid w:val="00EF6F69"/>
    <w:rsid w:val="00EF7EF2"/>
    <w:rsid w:val="00F030C8"/>
    <w:rsid w:val="00F0492E"/>
    <w:rsid w:val="00F0668E"/>
    <w:rsid w:val="00F07895"/>
    <w:rsid w:val="00F10AB5"/>
    <w:rsid w:val="00F10E66"/>
    <w:rsid w:val="00F11E79"/>
    <w:rsid w:val="00F1245A"/>
    <w:rsid w:val="00F127C8"/>
    <w:rsid w:val="00F150EF"/>
    <w:rsid w:val="00F1560E"/>
    <w:rsid w:val="00F15CAC"/>
    <w:rsid w:val="00F20731"/>
    <w:rsid w:val="00F20A39"/>
    <w:rsid w:val="00F20B09"/>
    <w:rsid w:val="00F218DE"/>
    <w:rsid w:val="00F2240C"/>
    <w:rsid w:val="00F22AA2"/>
    <w:rsid w:val="00F22FBB"/>
    <w:rsid w:val="00F24B36"/>
    <w:rsid w:val="00F2511A"/>
    <w:rsid w:val="00F253F6"/>
    <w:rsid w:val="00F25F7D"/>
    <w:rsid w:val="00F2648C"/>
    <w:rsid w:val="00F2652B"/>
    <w:rsid w:val="00F26F80"/>
    <w:rsid w:val="00F27253"/>
    <w:rsid w:val="00F274C5"/>
    <w:rsid w:val="00F30074"/>
    <w:rsid w:val="00F300CA"/>
    <w:rsid w:val="00F309B3"/>
    <w:rsid w:val="00F30BE2"/>
    <w:rsid w:val="00F318F1"/>
    <w:rsid w:val="00F32857"/>
    <w:rsid w:val="00F32B02"/>
    <w:rsid w:val="00F32D0D"/>
    <w:rsid w:val="00F345A5"/>
    <w:rsid w:val="00F36193"/>
    <w:rsid w:val="00F364DD"/>
    <w:rsid w:val="00F37CF5"/>
    <w:rsid w:val="00F40835"/>
    <w:rsid w:val="00F40E3F"/>
    <w:rsid w:val="00F40F28"/>
    <w:rsid w:val="00F4105D"/>
    <w:rsid w:val="00F41D4C"/>
    <w:rsid w:val="00F41E1B"/>
    <w:rsid w:val="00F4270F"/>
    <w:rsid w:val="00F42815"/>
    <w:rsid w:val="00F4455B"/>
    <w:rsid w:val="00F45019"/>
    <w:rsid w:val="00F455F2"/>
    <w:rsid w:val="00F47499"/>
    <w:rsid w:val="00F47803"/>
    <w:rsid w:val="00F47C78"/>
    <w:rsid w:val="00F50224"/>
    <w:rsid w:val="00F5029F"/>
    <w:rsid w:val="00F51160"/>
    <w:rsid w:val="00F51795"/>
    <w:rsid w:val="00F52E54"/>
    <w:rsid w:val="00F5375E"/>
    <w:rsid w:val="00F53FC3"/>
    <w:rsid w:val="00F54E7F"/>
    <w:rsid w:val="00F56409"/>
    <w:rsid w:val="00F564A3"/>
    <w:rsid w:val="00F5728C"/>
    <w:rsid w:val="00F5764A"/>
    <w:rsid w:val="00F606AF"/>
    <w:rsid w:val="00F60BBB"/>
    <w:rsid w:val="00F60CD0"/>
    <w:rsid w:val="00F60E60"/>
    <w:rsid w:val="00F61ACE"/>
    <w:rsid w:val="00F62D6A"/>
    <w:rsid w:val="00F64555"/>
    <w:rsid w:val="00F647FE"/>
    <w:rsid w:val="00F657B2"/>
    <w:rsid w:val="00F666D8"/>
    <w:rsid w:val="00F67054"/>
    <w:rsid w:val="00F67560"/>
    <w:rsid w:val="00F6796F"/>
    <w:rsid w:val="00F679C7"/>
    <w:rsid w:val="00F7024E"/>
    <w:rsid w:val="00F7093C"/>
    <w:rsid w:val="00F70DCF"/>
    <w:rsid w:val="00F70F06"/>
    <w:rsid w:val="00F71193"/>
    <w:rsid w:val="00F72198"/>
    <w:rsid w:val="00F723EC"/>
    <w:rsid w:val="00F7326C"/>
    <w:rsid w:val="00F7360E"/>
    <w:rsid w:val="00F74088"/>
    <w:rsid w:val="00F74D4E"/>
    <w:rsid w:val="00F76717"/>
    <w:rsid w:val="00F768E0"/>
    <w:rsid w:val="00F77434"/>
    <w:rsid w:val="00F7767D"/>
    <w:rsid w:val="00F7792F"/>
    <w:rsid w:val="00F80571"/>
    <w:rsid w:val="00F80AB5"/>
    <w:rsid w:val="00F8118F"/>
    <w:rsid w:val="00F81BD9"/>
    <w:rsid w:val="00F8205B"/>
    <w:rsid w:val="00F821BD"/>
    <w:rsid w:val="00F82260"/>
    <w:rsid w:val="00F8309F"/>
    <w:rsid w:val="00F83617"/>
    <w:rsid w:val="00F84117"/>
    <w:rsid w:val="00F84B1B"/>
    <w:rsid w:val="00F84B7D"/>
    <w:rsid w:val="00F85BFA"/>
    <w:rsid w:val="00F86D2C"/>
    <w:rsid w:val="00F8C16E"/>
    <w:rsid w:val="00F9076C"/>
    <w:rsid w:val="00F9097B"/>
    <w:rsid w:val="00F91285"/>
    <w:rsid w:val="00F9235A"/>
    <w:rsid w:val="00F926D0"/>
    <w:rsid w:val="00F92799"/>
    <w:rsid w:val="00F92C77"/>
    <w:rsid w:val="00F935BC"/>
    <w:rsid w:val="00F935E5"/>
    <w:rsid w:val="00F936E4"/>
    <w:rsid w:val="00F93C4C"/>
    <w:rsid w:val="00F94059"/>
    <w:rsid w:val="00F9505E"/>
    <w:rsid w:val="00F95666"/>
    <w:rsid w:val="00F96180"/>
    <w:rsid w:val="00F9733A"/>
    <w:rsid w:val="00F977CD"/>
    <w:rsid w:val="00FA009F"/>
    <w:rsid w:val="00FA19B7"/>
    <w:rsid w:val="00FA2766"/>
    <w:rsid w:val="00FA3201"/>
    <w:rsid w:val="00FA3B0A"/>
    <w:rsid w:val="00FA3B9D"/>
    <w:rsid w:val="00FA3C06"/>
    <w:rsid w:val="00FA437F"/>
    <w:rsid w:val="00FA50BA"/>
    <w:rsid w:val="00FA50CB"/>
    <w:rsid w:val="00FA6A44"/>
    <w:rsid w:val="00FA70E1"/>
    <w:rsid w:val="00FA783D"/>
    <w:rsid w:val="00FB0AC9"/>
    <w:rsid w:val="00FB0CB2"/>
    <w:rsid w:val="00FB1109"/>
    <w:rsid w:val="00FB20AE"/>
    <w:rsid w:val="00FB24B7"/>
    <w:rsid w:val="00FB2847"/>
    <w:rsid w:val="00FB3166"/>
    <w:rsid w:val="00FB34DC"/>
    <w:rsid w:val="00FB3ABA"/>
    <w:rsid w:val="00FB4B84"/>
    <w:rsid w:val="00FB4C5B"/>
    <w:rsid w:val="00FB535F"/>
    <w:rsid w:val="00FB5E90"/>
    <w:rsid w:val="00FB6254"/>
    <w:rsid w:val="00FB65BA"/>
    <w:rsid w:val="00FB69D1"/>
    <w:rsid w:val="00FB6A9A"/>
    <w:rsid w:val="00FB6FA2"/>
    <w:rsid w:val="00FB781C"/>
    <w:rsid w:val="00FB7C7C"/>
    <w:rsid w:val="00FC0F6A"/>
    <w:rsid w:val="00FC284D"/>
    <w:rsid w:val="00FC5DA4"/>
    <w:rsid w:val="00FC5F76"/>
    <w:rsid w:val="00FC6D28"/>
    <w:rsid w:val="00FC74B2"/>
    <w:rsid w:val="00FD0CCE"/>
    <w:rsid w:val="00FD2CD1"/>
    <w:rsid w:val="00FD310F"/>
    <w:rsid w:val="00FD3318"/>
    <w:rsid w:val="00FD4EF8"/>
    <w:rsid w:val="00FD563C"/>
    <w:rsid w:val="00FD6671"/>
    <w:rsid w:val="00FD7443"/>
    <w:rsid w:val="00FE0423"/>
    <w:rsid w:val="00FE073B"/>
    <w:rsid w:val="00FE0AC2"/>
    <w:rsid w:val="00FE202B"/>
    <w:rsid w:val="00FE3551"/>
    <w:rsid w:val="00FE3BC5"/>
    <w:rsid w:val="00FE4FDE"/>
    <w:rsid w:val="00FE50F5"/>
    <w:rsid w:val="00FE5E81"/>
    <w:rsid w:val="00FE7E6A"/>
    <w:rsid w:val="00FF0697"/>
    <w:rsid w:val="00FF0DBC"/>
    <w:rsid w:val="00FF12C6"/>
    <w:rsid w:val="00FF249C"/>
    <w:rsid w:val="00FF2F08"/>
    <w:rsid w:val="00FF420C"/>
    <w:rsid w:val="00FF5125"/>
    <w:rsid w:val="00FF54FE"/>
    <w:rsid w:val="00FF56DE"/>
    <w:rsid w:val="00FF5919"/>
    <w:rsid w:val="00FF5CF3"/>
    <w:rsid w:val="00FF5D4A"/>
    <w:rsid w:val="00FF71D5"/>
    <w:rsid w:val="0136C82E"/>
    <w:rsid w:val="015CA273"/>
    <w:rsid w:val="01F24715"/>
    <w:rsid w:val="02447CCC"/>
    <w:rsid w:val="029DAE82"/>
    <w:rsid w:val="02E272A0"/>
    <w:rsid w:val="03D602C2"/>
    <w:rsid w:val="04F19E16"/>
    <w:rsid w:val="057475DD"/>
    <w:rsid w:val="060E028F"/>
    <w:rsid w:val="060F80F6"/>
    <w:rsid w:val="06216BB8"/>
    <w:rsid w:val="070DA384"/>
    <w:rsid w:val="0744ED06"/>
    <w:rsid w:val="08260533"/>
    <w:rsid w:val="08BAE322"/>
    <w:rsid w:val="08E9B064"/>
    <w:rsid w:val="0987441D"/>
    <w:rsid w:val="0A01E0EE"/>
    <w:rsid w:val="0A4B3893"/>
    <w:rsid w:val="0B245442"/>
    <w:rsid w:val="0B875F18"/>
    <w:rsid w:val="0C82CAB6"/>
    <w:rsid w:val="0D485FA2"/>
    <w:rsid w:val="0D560EA4"/>
    <w:rsid w:val="0E242578"/>
    <w:rsid w:val="0EF5A843"/>
    <w:rsid w:val="0F491782"/>
    <w:rsid w:val="0F8CD4E9"/>
    <w:rsid w:val="119B32C8"/>
    <w:rsid w:val="123B64BE"/>
    <w:rsid w:val="1257ACD3"/>
    <w:rsid w:val="14B57849"/>
    <w:rsid w:val="14B60FC1"/>
    <w:rsid w:val="150D18D7"/>
    <w:rsid w:val="150FFAC4"/>
    <w:rsid w:val="1658482A"/>
    <w:rsid w:val="185424F3"/>
    <w:rsid w:val="19AEB80B"/>
    <w:rsid w:val="19B85687"/>
    <w:rsid w:val="19DCAC1A"/>
    <w:rsid w:val="1B285539"/>
    <w:rsid w:val="1B6EC7C5"/>
    <w:rsid w:val="1BB24317"/>
    <w:rsid w:val="1D0A547C"/>
    <w:rsid w:val="1D4ED8C2"/>
    <w:rsid w:val="1E1487C4"/>
    <w:rsid w:val="1ECA779F"/>
    <w:rsid w:val="1F124C3F"/>
    <w:rsid w:val="1F159E74"/>
    <w:rsid w:val="1F5B0D55"/>
    <w:rsid w:val="20401EB8"/>
    <w:rsid w:val="206F956C"/>
    <w:rsid w:val="20960E05"/>
    <w:rsid w:val="22410284"/>
    <w:rsid w:val="22FD19BB"/>
    <w:rsid w:val="24290C24"/>
    <w:rsid w:val="24CFAB9F"/>
    <w:rsid w:val="25B875BD"/>
    <w:rsid w:val="261BE4CE"/>
    <w:rsid w:val="263488A7"/>
    <w:rsid w:val="263CFDF6"/>
    <w:rsid w:val="267721B6"/>
    <w:rsid w:val="278A5CE0"/>
    <w:rsid w:val="27FDB22E"/>
    <w:rsid w:val="2956B1B0"/>
    <w:rsid w:val="295F98DE"/>
    <w:rsid w:val="29A45FCD"/>
    <w:rsid w:val="2A39AA12"/>
    <w:rsid w:val="2A8728FC"/>
    <w:rsid w:val="2BB1CF35"/>
    <w:rsid w:val="2D3346B4"/>
    <w:rsid w:val="2E61406C"/>
    <w:rsid w:val="2F10B60F"/>
    <w:rsid w:val="2F7EFA2D"/>
    <w:rsid w:val="2F80D871"/>
    <w:rsid w:val="335B1536"/>
    <w:rsid w:val="3380D140"/>
    <w:rsid w:val="34DD6EBE"/>
    <w:rsid w:val="36836C32"/>
    <w:rsid w:val="375BC80E"/>
    <w:rsid w:val="37E15FB4"/>
    <w:rsid w:val="38CAFD2C"/>
    <w:rsid w:val="38F4D380"/>
    <w:rsid w:val="395A47DF"/>
    <w:rsid w:val="3967913F"/>
    <w:rsid w:val="3A329998"/>
    <w:rsid w:val="3A399ECF"/>
    <w:rsid w:val="3AD7132B"/>
    <w:rsid w:val="3AD85DF1"/>
    <w:rsid w:val="3B6B2B3F"/>
    <w:rsid w:val="3C16A5E4"/>
    <w:rsid w:val="3C5B883D"/>
    <w:rsid w:val="3CB10450"/>
    <w:rsid w:val="3E4A44FB"/>
    <w:rsid w:val="3E70E989"/>
    <w:rsid w:val="3E988A36"/>
    <w:rsid w:val="3F04591E"/>
    <w:rsid w:val="3F1CF306"/>
    <w:rsid w:val="3F8C7EFF"/>
    <w:rsid w:val="3FD9FB6A"/>
    <w:rsid w:val="4023E90E"/>
    <w:rsid w:val="41123FA2"/>
    <w:rsid w:val="4192EEBE"/>
    <w:rsid w:val="4257AF60"/>
    <w:rsid w:val="43C0C728"/>
    <w:rsid w:val="44352912"/>
    <w:rsid w:val="4487C3A0"/>
    <w:rsid w:val="448C1D4B"/>
    <w:rsid w:val="44B429AA"/>
    <w:rsid w:val="44B6C3F8"/>
    <w:rsid w:val="44FABEC8"/>
    <w:rsid w:val="45B241A0"/>
    <w:rsid w:val="45E5233D"/>
    <w:rsid w:val="464480B0"/>
    <w:rsid w:val="46506047"/>
    <w:rsid w:val="469498E0"/>
    <w:rsid w:val="471EAD9C"/>
    <w:rsid w:val="4745B352"/>
    <w:rsid w:val="47F2983A"/>
    <w:rsid w:val="48110975"/>
    <w:rsid w:val="498E8B39"/>
    <w:rsid w:val="4A6FB89C"/>
    <w:rsid w:val="4B1F79B7"/>
    <w:rsid w:val="4BBE09D2"/>
    <w:rsid w:val="4C98325A"/>
    <w:rsid w:val="4D628EA5"/>
    <w:rsid w:val="4DC2A5C2"/>
    <w:rsid w:val="4EA1D3DF"/>
    <w:rsid w:val="5001D81A"/>
    <w:rsid w:val="50CBF38B"/>
    <w:rsid w:val="50F6386A"/>
    <w:rsid w:val="51ACDBC6"/>
    <w:rsid w:val="51C6D4DB"/>
    <w:rsid w:val="52349E95"/>
    <w:rsid w:val="5289CE12"/>
    <w:rsid w:val="52D2EE78"/>
    <w:rsid w:val="5410A5F4"/>
    <w:rsid w:val="54446880"/>
    <w:rsid w:val="55000C62"/>
    <w:rsid w:val="5517E50C"/>
    <w:rsid w:val="5566E282"/>
    <w:rsid w:val="56BB7ABA"/>
    <w:rsid w:val="5755E4B9"/>
    <w:rsid w:val="5830FA9C"/>
    <w:rsid w:val="5AF20853"/>
    <w:rsid w:val="5B2AE136"/>
    <w:rsid w:val="5B8121EA"/>
    <w:rsid w:val="5E15E2CC"/>
    <w:rsid w:val="5E633C37"/>
    <w:rsid w:val="5EA9F4B5"/>
    <w:rsid w:val="5EFBFA87"/>
    <w:rsid w:val="5F8DCD3C"/>
    <w:rsid w:val="5F9B4913"/>
    <w:rsid w:val="5FD61CD5"/>
    <w:rsid w:val="61AEA145"/>
    <w:rsid w:val="6445E001"/>
    <w:rsid w:val="64B2E6DC"/>
    <w:rsid w:val="6543218C"/>
    <w:rsid w:val="65B31F49"/>
    <w:rsid w:val="662B9F7F"/>
    <w:rsid w:val="669B3610"/>
    <w:rsid w:val="66A4845C"/>
    <w:rsid w:val="66A99F21"/>
    <w:rsid w:val="698423ED"/>
    <w:rsid w:val="69E0E0BA"/>
    <w:rsid w:val="69E701AB"/>
    <w:rsid w:val="69F6499A"/>
    <w:rsid w:val="6AAFEBEE"/>
    <w:rsid w:val="6B6D139C"/>
    <w:rsid w:val="6B9F3185"/>
    <w:rsid w:val="6CE95D52"/>
    <w:rsid w:val="6D1471E0"/>
    <w:rsid w:val="6DAE571D"/>
    <w:rsid w:val="6E781D18"/>
    <w:rsid w:val="6F026E08"/>
    <w:rsid w:val="6F0596CB"/>
    <w:rsid w:val="6FD1D42D"/>
    <w:rsid w:val="6FEA4861"/>
    <w:rsid w:val="6FF156B5"/>
    <w:rsid w:val="70C4CBD4"/>
    <w:rsid w:val="713FC10D"/>
    <w:rsid w:val="72913DAA"/>
    <w:rsid w:val="72E004CC"/>
    <w:rsid w:val="72F2F363"/>
    <w:rsid w:val="731BF66B"/>
    <w:rsid w:val="73742972"/>
    <w:rsid w:val="73B8EE8B"/>
    <w:rsid w:val="73BB3DEA"/>
    <w:rsid w:val="7450322B"/>
    <w:rsid w:val="748DC6AA"/>
    <w:rsid w:val="74D79699"/>
    <w:rsid w:val="750871EF"/>
    <w:rsid w:val="777395A6"/>
    <w:rsid w:val="7781188F"/>
    <w:rsid w:val="7869FB13"/>
    <w:rsid w:val="78B8F889"/>
    <w:rsid w:val="79B19292"/>
    <w:rsid w:val="79D535A2"/>
    <w:rsid w:val="7A21403D"/>
    <w:rsid w:val="7A464F9F"/>
    <w:rsid w:val="7ABE8B1F"/>
    <w:rsid w:val="7B0E4400"/>
    <w:rsid w:val="7B177CBB"/>
    <w:rsid w:val="7C01E0FD"/>
    <w:rsid w:val="7C18D20A"/>
    <w:rsid w:val="7D85AB16"/>
    <w:rsid w:val="7E6327BD"/>
    <w:rsid w:val="7E74D0BC"/>
    <w:rsid w:val="7E7A6A28"/>
    <w:rsid w:val="7EFA6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F5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4FAF"/>
    <w:rPr>
      <w:sz w:val="16"/>
      <w:szCs w:val="16"/>
    </w:rPr>
  </w:style>
  <w:style w:type="paragraph" w:styleId="CommentText">
    <w:name w:val="annotation text"/>
    <w:basedOn w:val="Normal"/>
    <w:link w:val="CommentTextChar"/>
    <w:uiPriority w:val="99"/>
    <w:unhideWhenUsed/>
    <w:rsid w:val="006E4FAF"/>
    <w:pPr>
      <w:spacing w:before="0" w:after="160"/>
      <w:jc w:val="left"/>
    </w:pPr>
    <w:rPr>
      <w:rFonts w:ascii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6E4FAF"/>
    <w:rPr>
      <w:sz w:val="20"/>
      <w:szCs w:val="20"/>
    </w:rPr>
  </w:style>
  <w:style w:type="character" w:styleId="Hyperlink">
    <w:name w:val="Hyperlink"/>
    <w:basedOn w:val="DefaultParagraphFont"/>
    <w:uiPriority w:val="99"/>
    <w:unhideWhenUsed/>
    <w:rsid w:val="006E4FAF"/>
    <w:rPr>
      <w:color w:val="0000FF" w:themeColor="hyperlink"/>
      <w:u w:val="single"/>
    </w:rPr>
  </w:style>
  <w:style w:type="character" w:styleId="Emphasis">
    <w:name w:val="Emphasis"/>
    <w:basedOn w:val="DefaultParagraphFont"/>
    <w:uiPriority w:val="20"/>
    <w:qFormat/>
    <w:rsid w:val="006E4FAF"/>
    <w:rPr>
      <w:i/>
      <w:iCs/>
    </w:rPr>
  </w:style>
  <w:style w:type="paragraph" w:customStyle="1" w:styleId="Titreobjet">
    <w:name w:val="Titre objet"/>
    <w:basedOn w:val="Normal"/>
    <w:next w:val="IntrtEEE"/>
    <w:rsid w:val="006E4FAF"/>
    <w:pPr>
      <w:spacing w:before="360" w:after="360"/>
      <w:jc w:val="center"/>
    </w:pPr>
    <w:rPr>
      <w:b/>
    </w:rPr>
  </w:style>
  <w:style w:type="paragraph" w:styleId="BalloonText">
    <w:name w:val="Balloon Text"/>
    <w:basedOn w:val="Normal"/>
    <w:link w:val="BalloonTextChar"/>
    <w:uiPriority w:val="99"/>
    <w:semiHidden/>
    <w:unhideWhenUsed/>
    <w:rsid w:val="006E4FA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FAF"/>
    <w:rPr>
      <w:rFonts w:ascii="Segoe UI" w:hAnsi="Segoe UI" w:cs="Segoe UI"/>
      <w:sz w:val="18"/>
      <w:szCs w:val="18"/>
      <w:lang w:val="en-GB"/>
    </w:rPr>
  </w:style>
  <w:style w:type="paragraph" w:styleId="ListBullet">
    <w:name w:val="List Bullet"/>
    <w:basedOn w:val="Normal"/>
    <w:uiPriority w:val="99"/>
    <w:semiHidden/>
    <w:unhideWhenUsed/>
    <w:rsid w:val="001E0E8F"/>
    <w:pPr>
      <w:numPr>
        <w:numId w:val="1"/>
      </w:numPr>
      <w:contextualSpacing/>
    </w:pPr>
  </w:style>
  <w:style w:type="paragraph" w:styleId="ListBullet2">
    <w:name w:val="List Bullet 2"/>
    <w:basedOn w:val="Normal"/>
    <w:uiPriority w:val="99"/>
    <w:semiHidden/>
    <w:unhideWhenUsed/>
    <w:rsid w:val="001E0E8F"/>
    <w:pPr>
      <w:numPr>
        <w:numId w:val="2"/>
      </w:numPr>
      <w:contextualSpacing/>
    </w:pPr>
  </w:style>
  <w:style w:type="paragraph" w:styleId="ListBullet3">
    <w:name w:val="List Bullet 3"/>
    <w:basedOn w:val="Normal"/>
    <w:uiPriority w:val="99"/>
    <w:semiHidden/>
    <w:unhideWhenUsed/>
    <w:rsid w:val="001E0E8F"/>
    <w:pPr>
      <w:numPr>
        <w:numId w:val="3"/>
      </w:numPr>
      <w:contextualSpacing/>
    </w:pPr>
  </w:style>
  <w:style w:type="paragraph" w:styleId="ListBullet4">
    <w:name w:val="List Bullet 4"/>
    <w:basedOn w:val="Normal"/>
    <w:uiPriority w:val="99"/>
    <w:semiHidden/>
    <w:unhideWhenUsed/>
    <w:rsid w:val="001E0E8F"/>
    <w:pPr>
      <w:numPr>
        <w:numId w:val="4"/>
      </w:numPr>
      <w:contextualSpacing/>
    </w:pPr>
  </w:style>
  <w:style w:type="character" w:styleId="FollowedHyperlink">
    <w:name w:val="FollowedHyperlink"/>
    <w:basedOn w:val="DefaultParagraphFont"/>
    <w:uiPriority w:val="99"/>
    <w:semiHidden/>
    <w:unhideWhenUsed/>
    <w:rsid w:val="002C473F"/>
    <w:rPr>
      <w:color w:val="800080" w:themeColor="followedHyperlink"/>
      <w:u w:val="single"/>
    </w:rPr>
  </w:style>
  <w:style w:type="paragraph" w:customStyle="1" w:styleId="NumPar0">
    <w:name w:val="NumPar *"/>
    <w:basedOn w:val="ManualNumPar1"/>
    <w:rsid w:val="002C473F"/>
    <w:pPr>
      <w:ind w:left="1080" w:hanging="720"/>
    </w:pPr>
    <w:rPr>
      <w:b/>
      <w:i/>
    </w:rPr>
  </w:style>
  <w:style w:type="paragraph" w:customStyle="1" w:styleId="NumPar">
    <w:name w:val="NumPar*"/>
    <w:basedOn w:val="ManualNumPar1"/>
    <w:rsid w:val="002C473F"/>
    <w:pPr>
      <w:numPr>
        <w:numId w:val="6"/>
      </w:numPr>
    </w:pPr>
    <w:rPr>
      <w:b/>
      <w:i/>
    </w:rPr>
  </w:style>
  <w:style w:type="paragraph" w:styleId="CommentSubject">
    <w:name w:val="annotation subject"/>
    <w:basedOn w:val="CommentText"/>
    <w:next w:val="CommentText"/>
    <w:link w:val="CommentSubjectChar"/>
    <w:uiPriority w:val="99"/>
    <w:semiHidden/>
    <w:unhideWhenUsed/>
    <w:rsid w:val="00F977CD"/>
    <w:pPr>
      <w:spacing w:before="120" w:after="120"/>
      <w:jc w:val="both"/>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F977CD"/>
    <w:rPr>
      <w:rFonts w:ascii="Times New Roman" w:hAnsi="Times New Roman" w:cs="Times New Roman"/>
      <w:b/>
      <w:bCs/>
      <w:sz w:val="20"/>
      <w:szCs w:val="20"/>
      <w:lang w:val="en-GB"/>
    </w:rPr>
  </w:style>
  <w:style w:type="paragraph" w:styleId="Revision">
    <w:name w:val="Revision"/>
    <w:hidden/>
    <w:uiPriority w:val="99"/>
    <w:semiHidden/>
    <w:rsid w:val="00C4277C"/>
    <w:pPr>
      <w:spacing w:after="0" w:line="240" w:lineRule="auto"/>
    </w:pPr>
    <w:rPr>
      <w:rFonts w:ascii="Times New Roman" w:hAnsi="Times New Roman" w:cs="Times New Roman"/>
      <w:sz w:val="24"/>
      <w:lang w:val="en-GB"/>
    </w:rPr>
  </w:style>
  <w:style w:type="character" w:customStyle="1" w:styleId="ui-provider">
    <w:name w:val="ui-provider"/>
    <w:basedOn w:val="DefaultParagraphFont"/>
    <w:rsid w:val="00BF7666"/>
  </w:style>
  <w:style w:type="paragraph" w:styleId="Header">
    <w:name w:val="header"/>
    <w:basedOn w:val="Normal"/>
    <w:link w:val="HeaderChar"/>
    <w:uiPriority w:val="99"/>
    <w:unhideWhenUsed/>
    <w:rsid w:val="00BF06A6"/>
    <w:pPr>
      <w:tabs>
        <w:tab w:val="center" w:pos="4535"/>
        <w:tab w:val="right" w:pos="9071"/>
      </w:tabs>
      <w:spacing w:before="0"/>
    </w:pPr>
  </w:style>
  <w:style w:type="character" w:customStyle="1" w:styleId="HeaderChar">
    <w:name w:val="Header Char"/>
    <w:basedOn w:val="DefaultParagraphFont"/>
    <w:link w:val="Header"/>
    <w:uiPriority w:val="99"/>
    <w:rsid w:val="00BF06A6"/>
    <w:rPr>
      <w:rFonts w:ascii="Times New Roman" w:hAnsi="Times New Roman" w:cs="Times New Roman"/>
      <w:sz w:val="24"/>
      <w:lang w:val="en-GB"/>
    </w:rPr>
  </w:style>
  <w:style w:type="paragraph" w:styleId="Footer">
    <w:name w:val="footer"/>
    <w:basedOn w:val="Normal"/>
    <w:link w:val="FooterChar"/>
    <w:uiPriority w:val="99"/>
    <w:unhideWhenUsed/>
    <w:rsid w:val="00BF06A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F06A6"/>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F06A6"/>
    <w:pPr>
      <w:tabs>
        <w:tab w:val="center" w:pos="7285"/>
        <w:tab w:val="right" w:pos="14003"/>
      </w:tabs>
      <w:spacing w:before="0"/>
    </w:pPr>
  </w:style>
  <w:style w:type="paragraph" w:customStyle="1" w:styleId="FooterLandscape">
    <w:name w:val="FooterLandscape"/>
    <w:basedOn w:val="Normal"/>
    <w:rsid w:val="00BF06A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F06A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F06A6"/>
    <w:pPr>
      <w:spacing w:before="0"/>
      <w:jc w:val="right"/>
    </w:pPr>
    <w:rPr>
      <w:sz w:val="28"/>
    </w:rPr>
  </w:style>
  <w:style w:type="paragraph" w:customStyle="1" w:styleId="FooterSensitivity">
    <w:name w:val="Footer Sensitivity"/>
    <w:basedOn w:val="Normal"/>
    <w:rsid w:val="00BF06A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852">
      <w:bodyDiv w:val="1"/>
      <w:marLeft w:val="0"/>
      <w:marRight w:val="0"/>
      <w:marTop w:val="0"/>
      <w:marBottom w:val="0"/>
      <w:divBdr>
        <w:top w:val="none" w:sz="0" w:space="0" w:color="auto"/>
        <w:left w:val="none" w:sz="0" w:space="0" w:color="auto"/>
        <w:bottom w:val="none" w:sz="0" w:space="0" w:color="auto"/>
        <w:right w:val="none" w:sz="0" w:space="0" w:color="auto"/>
      </w:divBdr>
    </w:div>
    <w:div w:id="43139201">
      <w:bodyDiv w:val="1"/>
      <w:marLeft w:val="0"/>
      <w:marRight w:val="0"/>
      <w:marTop w:val="0"/>
      <w:marBottom w:val="0"/>
      <w:divBdr>
        <w:top w:val="none" w:sz="0" w:space="0" w:color="auto"/>
        <w:left w:val="none" w:sz="0" w:space="0" w:color="auto"/>
        <w:bottom w:val="none" w:sz="0" w:space="0" w:color="auto"/>
        <w:right w:val="none" w:sz="0" w:space="0" w:color="auto"/>
      </w:divBdr>
    </w:div>
    <w:div w:id="103499576">
      <w:bodyDiv w:val="1"/>
      <w:marLeft w:val="0"/>
      <w:marRight w:val="0"/>
      <w:marTop w:val="0"/>
      <w:marBottom w:val="0"/>
      <w:divBdr>
        <w:top w:val="none" w:sz="0" w:space="0" w:color="auto"/>
        <w:left w:val="none" w:sz="0" w:space="0" w:color="auto"/>
        <w:bottom w:val="none" w:sz="0" w:space="0" w:color="auto"/>
        <w:right w:val="none" w:sz="0" w:space="0" w:color="auto"/>
      </w:divBdr>
    </w:div>
    <w:div w:id="403376495">
      <w:bodyDiv w:val="1"/>
      <w:marLeft w:val="0"/>
      <w:marRight w:val="0"/>
      <w:marTop w:val="0"/>
      <w:marBottom w:val="0"/>
      <w:divBdr>
        <w:top w:val="none" w:sz="0" w:space="0" w:color="auto"/>
        <w:left w:val="none" w:sz="0" w:space="0" w:color="auto"/>
        <w:bottom w:val="none" w:sz="0" w:space="0" w:color="auto"/>
        <w:right w:val="none" w:sz="0" w:space="0" w:color="auto"/>
      </w:divBdr>
    </w:div>
    <w:div w:id="751047670">
      <w:bodyDiv w:val="1"/>
      <w:marLeft w:val="0"/>
      <w:marRight w:val="0"/>
      <w:marTop w:val="0"/>
      <w:marBottom w:val="0"/>
      <w:divBdr>
        <w:top w:val="none" w:sz="0" w:space="0" w:color="auto"/>
        <w:left w:val="none" w:sz="0" w:space="0" w:color="auto"/>
        <w:bottom w:val="none" w:sz="0" w:space="0" w:color="auto"/>
        <w:right w:val="none" w:sz="0" w:space="0" w:color="auto"/>
      </w:divBdr>
    </w:div>
    <w:div w:id="1274897771">
      <w:bodyDiv w:val="1"/>
      <w:marLeft w:val="0"/>
      <w:marRight w:val="0"/>
      <w:marTop w:val="0"/>
      <w:marBottom w:val="0"/>
      <w:divBdr>
        <w:top w:val="none" w:sz="0" w:space="0" w:color="auto"/>
        <w:left w:val="none" w:sz="0" w:space="0" w:color="auto"/>
        <w:bottom w:val="none" w:sz="0" w:space="0" w:color="auto"/>
        <w:right w:val="none" w:sz="0" w:space="0" w:color="auto"/>
      </w:divBdr>
    </w:div>
    <w:div w:id="1564753220">
      <w:bodyDiv w:val="1"/>
      <w:marLeft w:val="0"/>
      <w:marRight w:val="0"/>
      <w:marTop w:val="0"/>
      <w:marBottom w:val="0"/>
      <w:divBdr>
        <w:top w:val="none" w:sz="0" w:space="0" w:color="auto"/>
        <w:left w:val="none" w:sz="0" w:space="0" w:color="auto"/>
        <w:bottom w:val="none" w:sz="0" w:space="0" w:color="auto"/>
        <w:right w:val="none" w:sz="0" w:space="0" w:color="auto"/>
      </w:divBdr>
    </w:div>
    <w:div w:id="19437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FAD1-AA27-4938-8C85-5C342007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13</Pages>
  <Words>4340</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2023-09-04T12:09:00Z</dcterms:created>
  <dcterms:modified xsi:type="dcterms:W3CDTF">2023-09-06T12:42:00Z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COM/ANNEX</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2023-07-12T12:41:53Z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e550d2b0-1c43-4c03-af78-85c894edddd1</vt:lpwstr>
  </property>
  <property fmtid="{D5CDD505-2E9C-101B-9397-08002B2CF9AE}" pid="11" name="MSIP_Label_6bd9ddd1-4d20-43f6-abfa-fc3c07406f94_ContentBits">
    <vt:lpwstr>0</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LWTemplateID">
    <vt:lpwstr>SG-017</vt:lpwstr>
  </property>
  <property fmtid="{D5CDD505-2E9C-101B-9397-08002B2CF9AE}" pid="18" name="DQCStatus">
    <vt:lpwstr>Green (DQC version 03)</vt:lpwstr>
  </property>
</Properties>
</file>