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8D44" w14:textId="417AEA7A" w:rsidR="00F72C57" w:rsidRPr="000B5DDC" w:rsidRDefault="009410AC" w:rsidP="009410AC">
      <w:pPr>
        <w:pStyle w:val="Pagedecouverture"/>
        <w:rPr>
          <w:noProof/>
        </w:rPr>
      </w:pPr>
      <w:r>
        <w:rPr>
          <w:noProof/>
        </w:rPr>
        <w:pict w14:anchorId="7BA7D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4EE3FC39-F9DE-46E0-B9CA-FEEB17A46940" style="width:455.25pt;height:414pt">
            <v:imagedata r:id="rId11" o:title=""/>
          </v:shape>
        </w:pict>
      </w:r>
    </w:p>
    <w:p w14:paraId="103C5FB8" w14:textId="77777777" w:rsidR="00F72C57" w:rsidRPr="000B5DDC" w:rsidRDefault="00F72C57" w:rsidP="00F72C57">
      <w:pPr>
        <w:rPr>
          <w:noProof/>
        </w:rPr>
        <w:sectPr w:rsidR="00F72C57" w:rsidRPr="000B5DDC" w:rsidSect="009410A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730CC8A" w14:textId="77777777" w:rsidR="00F72C57" w:rsidRPr="000B5DDC" w:rsidRDefault="00F72C57" w:rsidP="00F72C57">
      <w:pPr>
        <w:pStyle w:val="Annexetitre"/>
        <w:rPr>
          <w:noProof/>
        </w:rPr>
      </w:pPr>
      <w:bookmarkStart w:id="0" w:name="_GoBack"/>
      <w:bookmarkEnd w:id="0"/>
      <w:r w:rsidRPr="000B5DDC">
        <w:rPr>
          <w:noProof/>
        </w:rPr>
        <w:lastRenderedPageBreak/>
        <w:t xml:space="preserve">ANEXO I </w:t>
      </w:r>
      <w:r w:rsidRPr="000B5DDC">
        <w:rPr>
          <w:noProof/>
        </w:rPr>
        <w:br/>
        <w:t xml:space="preserve"> </w:t>
      </w:r>
      <w:r w:rsidRPr="000B5DDC">
        <w:rPr>
          <w:noProof/>
        </w:rPr>
        <w:br/>
        <w:t xml:space="preserve">DESCRIPTORES DEL SUELO, CRITERIOS DE SALUD DEL SUELO E INDICADORES DE OCUPACIÓN Y SELLADO DEL SUELO </w:t>
      </w:r>
    </w:p>
    <w:p w14:paraId="2623BAE7" w14:textId="77777777" w:rsidR="00F72C57" w:rsidRPr="000B5DDC" w:rsidRDefault="008846B1" w:rsidP="00F72C57">
      <w:pPr>
        <w:rPr>
          <w:noProof/>
        </w:rPr>
      </w:pPr>
      <w:r w:rsidRPr="000B5DDC">
        <w:rPr>
          <w:noProof/>
        </w:rPr>
        <w:t>A los efectos del presente anexo se aplicarán las siguientes definiciones:</w:t>
      </w:r>
    </w:p>
    <w:p w14:paraId="43C5F1A1" w14:textId="18982293" w:rsidR="0089238A" w:rsidRPr="000B5DDC" w:rsidRDefault="00CB021D" w:rsidP="00CB021D">
      <w:pPr>
        <w:pStyle w:val="Point0"/>
        <w:rPr>
          <w:noProof/>
        </w:rPr>
      </w:pPr>
      <w:r>
        <w:rPr>
          <w:noProof/>
        </w:rPr>
        <w:t>1)</w:t>
      </w:r>
      <w:r w:rsidRPr="00CB021D">
        <w:rPr>
          <w:noProof/>
        </w:rPr>
        <w:tab/>
      </w:r>
      <w:r w:rsidR="0089238A" w:rsidRPr="000B5DDC">
        <w:rPr>
          <w:noProof/>
        </w:rPr>
        <w:t>«ocupación inversa del suelo»: la conversión de terrenos artificiales en terrenos naturales o seminaturales;</w:t>
      </w:r>
    </w:p>
    <w:p w14:paraId="1BD392CB" w14:textId="1DF781C6" w:rsidR="0089238A" w:rsidRPr="000B5DDC" w:rsidRDefault="00CB021D" w:rsidP="00CB021D">
      <w:pPr>
        <w:pStyle w:val="Point0"/>
        <w:rPr>
          <w:noProof/>
        </w:rPr>
      </w:pPr>
      <w:r>
        <w:rPr>
          <w:noProof/>
        </w:rPr>
        <w:t>2)</w:t>
      </w:r>
      <w:r w:rsidRPr="00CB021D">
        <w:rPr>
          <w:noProof/>
        </w:rPr>
        <w:tab/>
      </w:r>
      <w:r w:rsidR="0089238A" w:rsidRPr="000B5DDC">
        <w:rPr>
          <w:noProof/>
        </w:rPr>
        <w:t>«ocupación neta del suelo»: el resultado de la ocupación del suelo menos la ocupación inversa del suelo.</w:t>
      </w:r>
    </w:p>
    <w:tbl>
      <w:tblPr>
        <w:tblStyle w:val="TableGrid"/>
        <w:tblW w:w="9039" w:type="dxa"/>
        <w:tblLook w:val="04A0" w:firstRow="1" w:lastRow="0" w:firstColumn="1" w:lastColumn="0" w:noHBand="0" w:noVBand="1"/>
      </w:tblPr>
      <w:tblGrid>
        <w:gridCol w:w="1683"/>
        <w:gridCol w:w="1630"/>
        <w:gridCol w:w="3034"/>
        <w:gridCol w:w="2601"/>
        <w:gridCol w:w="91"/>
      </w:tblGrid>
      <w:tr w:rsidR="00DC372B" w:rsidRPr="000B5DDC" w14:paraId="0BC7EA76"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1EB33F67" w14:textId="77777777" w:rsidR="00DC372B" w:rsidRPr="000B5DDC" w:rsidRDefault="00DC372B" w:rsidP="00CB5353">
            <w:pPr>
              <w:jc w:val="left"/>
              <w:rPr>
                <w:b/>
                <w:noProof/>
              </w:rPr>
            </w:pPr>
            <w:r w:rsidRPr="000B5DDC">
              <w:rPr>
                <w:b/>
                <w:noProof/>
              </w:rPr>
              <w:t>Aspecto de la degradación del suelo</w:t>
            </w:r>
          </w:p>
        </w:tc>
        <w:tc>
          <w:tcPr>
            <w:tcW w:w="1599" w:type="dxa"/>
            <w:tcBorders>
              <w:top w:val="single" w:sz="4" w:space="0" w:color="auto"/>
              <w:left w:val="single" w:sz="4" w:space="0" w:color="auto"/>
              <w:bottom w:val="single" w:sz="4" w:space="0" w:color="auto"/>
              <w:right w:val="single" w:sz="4" w:space="0" w:color="auto"/>
            </w:tcBorders>
            <w:hideMark/>
          </w:tcPr>
          <w:p w14:paraId="5D941B19" w14:textId="77777777" w:rsidR="00DC372B" w:rsidRPr="000B5DDC" w:rsidRDefault="00DC372B" w:rsidP="00CB5353">
            <w:pPr>
              <w:jc w:val="left"/>
              <w:rPr>
                <w:b/>
                <w:noProof/>
              </w:rPr>
            </w:pPr>
            <w:r w:rsidRPr="000B5DDC">
              <w:rPr>
                <w:b/>
                <w:noProof/>
              </w:rPr>
              <w:t>Descriptor del suelo</w:t>
            </w:r>
          </w:p>
        </w:tc>
        <w:tc>
          <w:tcPr>
            <w:tcW w:w="3060" w:type="dxa"/>
            <w:tcBorders>
              <w:top w:val="single" w:sz="4" w:space="0" w:color="auto"/>
              <w:left w:val="single" w:sz="4" w:space="0" w:color="auto"/>
              <w:bottom w:val="single" w:sz="4" w:space="0" w:color="auto"/>
              <w:right w:val="single" w:sz="4" w:space="0" w:color="auto"/>
            </w:tcBorders>
            <w:hideMark/>
          </w:tcPr>
          <w:p w14:paraId="15E06F44" w14:textId="77777777" w:rsidR="00DC372B" w:rsidRPr="000B5DDC" w:rsidRDefault="00DC372B" w:rsidP="00CB5353">
            <w:pPr>
              <w:jc w:val="left"/>
              <w:rPr>
                <w:b/>
                <w:noProof/>
              </w:rPr>
            </w:pPr>
            <w:r w:rsidRPr="000B5DDC">
              <w:rPr>
                <w:b/>
                <w:noProof/>
              </w:rPr>
              <w:t xml:space="preserve">Criterios de salud del suelo </w:t>
            </w:r>
          </w:p>
        </w:tc>
        <w:tc>
          <w:tcPr>
            <w:tcW w:w="2791" w:type="dxa"/>
            <w:tcBorders>
              <w:top w:val="single" w:sz="4" w:space="0" w:color="auto"/>
              <w:left w:val="single" w:sz="4" w:space="0" w:color="auto"/>
              <w:bottom w:val="single" w:sz="4" w:space="0" w:color="auto"/>
              <w:right w:val="single" w:sz="4" w:space="0" w:color="auto"/>
            </w:tcBorders>
            <w:hideMark/>
          </w:tcPr>
          <w:p w14:paraId="5E194DBB" w14:textId="77777777" w:rsidR="00DC372B" w:rsidRPr="000B5DDC" w:rsidRDefault="00DC372B" w:rsidP="00CB5353">
            <w:pPr>
              <w:jc w:val="left"/>
              <w:rPr>
                <w:b/>
                <w:noProof/>
              </w:rPr>
            </w:pPr>
            <w:r w:rsidRPr="000B5DDC">
              <w:rPr>
                <w:b/>
                <w:noProof/>
              </w:rPr>
              <w:t>Superficies a las que se eximirá de cumplir el criterio correspondiente</w:t>
            </w:r>
          </w:p>
        </w:tc>
      </w:tr>
      <w:tr w:rsidR="000D34C9" w:rsidRPr="000B5DDC" w14:paraId="636B8C88" w14:textId="77777777" w:rsidTr="21B526FE">
        <w:trPr>
          <w:trHeight w:val="300"/>
          <w:tblHeader/>
        </w:trPr>
        <w:tc>
          <w:tcPr>
            <w:tcW w:w="9039" w:type="dxa"/>
            <w:gridSpan w:val="5"/>
            <w:tcBorders>
              <w:top w:val="single" w:sz="4" w:space="0" w:color="auto"/>
              <w:left w:val="single" w:sz="4" w:space="0" w:color="auto"/>
              <w:bottom w:val="single" w:sz="4" w:space="0" w:color="auto"/>
              <w:right w:val="single" w:sz="4" w:space="0" w:color="auto"/>
            </w:tcBorders>
          </w:tcPr>
          <w:p w14:paraId="0F7A5715" w14:textId="77777777" w:rsidR="00A15C37" w:rsidRPr="000B5DDC" w:rsidRDefault="00843232" w:rsidP="5738F298">
            <w:pPr>
              <w:jc w:val="left"/>
              <w:rPr>
                <w:b/>
                <w:i/>
                <w:noProof/>
              </w:rPr>
            </w:pPr>
            <w:r w:rsidRPr="000B5DDC">
              <w:rPr>
                <w:b/>
                <w:i/>
                <w:noProof/>
              </w:rPr>
              <w:t>Parte A: descriptores del suelo con criterios de salud del suelo establecidos a escala de la Unión</w:t>
            </w:r>
          </w:p>
        </w:tc>
      </w:tr>
      <w:tr w:rsidR="00DC372B" w:rsidRPr="000B5DDC" w14:paraId="421B013C"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2FFB1752" w14:textId="77777777" w:rsidR="00DC372B" w:rsidRPr="000B5DDC" w:rsidRDefault="00DC372B" w:rsidP="00CB5353">
            <w:pPr>
              <w:jc w:val="left"/>
              <w:rPr>
                <w:noProof/>
              </w:rPr>
            </w:pPr>
            <w:r w:rsidRPr="000B5DDC">
              <w:rPr>
                <w:noProof/>
              </w:rPr>
              <w:t>Salinización</w:t>
            </w:r>
          </w:p>
        </w:tc>
        <w:tc>
          <w:tcPr>
            <w:tcW w:w="1599" w:type="dxa"/>
            <w:tcBorders>
              <w:top w:val="single" w:sz="4" w:space="0" w:color="auto"/>
              <w:left w:val="single" w:sz="4" w:space="0" w:color="auto"/>
              <w:bottom w:val="single" w:sz="4" w:space="0" w:color="auto"/>
              <w:right w:val="single" w:sz="4" w:space="0" w:color="auto"/>
            </w:tcBorders>
            <w:hideMark/>
          </w:tcPr>
          <w:p w14:paraId="4EBA7D6E" w14:textId="77777777" w:rsidR="00DC372B" w:rsidRPr="000B5DDC" w:rsidRDefault="00DC372B" w:rsidP="00CB5353">
            <w:pPr>
              <w:jc w:val="left"/>
              <w:rPr>
                <w:b/>
                <w:noProof/>
              </w:rPr>
            </w:pPr>
            <w:r w:rsidRPr="000B5DDC">
              <w:rPr>
                <w:noProof/>
              </w:rPr>
              <w:t>Conductividad eléctrica (deci-siemens por metro)</w:t>
            </w:r>
          </w:p>
        </w:tc>
        <w:tc>
          <w:tcPr>
            <w:tcW w:w="3060" w:type="dxa"/>
            <w:tcBorders>
              <w:top w:val="single" w:sz="4" w:space="0" w:color="auto"/>
              <w:left w:val="single" w:sz="4" w:space="0" w:color="auto"/>
              <w:bottom w:val="single" w:sz="4" w:space="0" w:color="auto"/>
              <w:right w:val="single" w:sz="4" w:space="0" w:color="auto"/>
            </w:tcBorders>
            <w:hideMark/>
          </w:tcPr>
          <w:p w14:paraId="636ABA3A" w14:textId="77777777" w:rsidR="00DC372B" w:rsidRPr="000B5DDC" w:rsidRDefault="00DC372B" w:rsidP="00CB5353">
            <w:pPr>
              <w:jc w:val="left"/>
              <w:rPr>
                <w:b/>
                <w:noProof/>
              </w:rPr>
            </w:pPr>
            <w:r w:rsidRPr="000B5DDC">
              <w:rPr>
                <w:noProof/>
              </w:rPr>
              <w:t xml:space="preserve"> &lt; 4 dS m</w:t>
            </w:r>
            <w:r w:rsidRPr="000B5DDC">
              <w:rPr>
                <w:noProof/>
                <w:vertAlign w:val="superscript"/>
              </w:rPr>
              <w:t>−1</w:t>
            </w:r>
            <w:r w:rsidRPr="000B5DDC">
              <w:rPr>
                <w:noProof/>
              </w:rPr>
              <w:t xml:space="preserve"> cuando se utiliza el método de medición del extracto de pasta saturada (CEe), o un criterio equivalente si se utiliza otro método de medición</w:t>
            </w:r>
          </w:p>
        </w:tc>
        <w:tc>
          <w:tcPr>
            <w:tcW w:w="2791" w:type="dxa"/>
            <w:tcBorders>
              <w:top w:val="single" w:sz="4" w:space="0" w:color="auto"/>
              <w:left w:val="single" w:sz="4" w:space="0" w:color="auto"/>
              <w:bottom w:val="single" w:sz="4" w:space="0" w:color="auto"/>
              <w:right w:val="single" w:sz="4" w:space="0" w:color="auto"/>
            </w:tcBorders>
            <w:hideMark/>
          </w:tcPr>
          <w:p w14:paraId="10773809" w14:textId="77777777" w:rsidR="00DC372B" w:rsidRPr="000B5DDC" w:rsidRDefault="008F6B10" w:rsidP="00CB5353">
            <w:pPr>
              <w:jc w:val="left"/>
              <w:rPr>
                <w:noProof/>
              </w:rPr>
            </w:pPr>
            <w:r w:rsidRPr="000B5DDC">
              <w:rPr>
                <w:noProof/>
              </w:rPr>
              <w:t xml:space="preserve">Superficies naturalmente salinas </w:t>
            </w:r>
          </w:p>
          <w:p w14:paraId="48AD7980" w14:textId="77777777" w:rsidR="00DC372B" w:rsidRPr="000B5DDC" w:rsidRDefault="003368C1" w:rsidP="00CB5353">
            <w:pPr>
              <w:jc w:val="left"/>
              <w:rPr>
                <w:noProof/>
              </w:rPr>
            </w:pPr>
            <w:r w:rsidRPr="000B5DDC">
              <w:rPr>
                <w:noProof/>
              </w:rPr>
              <w:t>Superficies directamente afectadas por el aumento del nivel del mar</w:t>
            </w:r>
          </w:p>
        </w:tc>
      </w:tr>
      <w:tr w:rsidR="00DC372B" w:rsidRPr="000B5DDC" w14:paraId="00B67DC7"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210B3D8E" w14:textId="77777777" w:rsidR="00DC372B" w:rsidRPr="000B5DDC" w:rsidRDefault="00DC372B" w:rsidP="00CB5353">
            <w:pPr>
              <w:jc w:val="left"/>
              <w:rPr>
                <w:noProof/>
              </w:rPr>
            </w:pPr>
            <w:r w:rsidRPr="000B5DDC">
              <w:rPr>
                <w:noProof/>
              </w:rPr>
              <w:t>Erosión del suelo</w:t>
            </w:r>
          </w:p>
        </w:tc>
        <w:tc>
          <w:tcPr>
            <w:tcW w:w="1599" w:type="dxa"/>
            <w:tcBorders>
              <w:top w:val="single" w:sz="4" w:space="0" w:color="auto"/>
              <w:left w:val="single" w:sz="4" w:space="0" w:color="auto"/>
              <w:bottom w:val="single" w:sz="4" w:space="0" w:color="auto"/>
              <w:right w:val="single" w:sz="4" w:space="0" w:color="auto"/>
            </w:tcBorders>
            <w:hideMark/>
          </w:tcPr>
          <w:p w14:paraId="4745337F" w14:textId="77777777" w:rsidR="00DC372B" w:rsidRPr="000B5DDC" w:rsidRDefault="00DC372B" w:rsidP="00CB5353">
            <w:pPr>
              <w:jc w:val="left"/>
              <w:rPr>
                <w:noProof/>
              </w:rPr>
            </w:pPr>
            <w:r w:rsidRPr="000B5DDC">
              <w:rPr>
                <w:noProof/>
              </w:rPr>
              <w:t>Índice de erosión del suelo</w:t>
            </w:r>
          </w:p>
          <w:p w14:paraId="44D570D8" w14:textId="77777777" w:rsidR="00EB46E4" w:rsidRPr="000B5DDC" w:rsidRDefault="00EB46E4" w:rsidP="00CB5353">
            <w:pPr>
              <w:jc w:val="left"/>
              <w:rPr>
                <w:noProof/>
              </w:rPr>
            </w:pPr>
            <w:r w:rsidRPr="000B5DDC">
              <w:rPr>
                <w:noProof/>
              </w:rPr>
              <w:t>(toneladas por hectárea al año)</w:t>
            </w:r>
          </w:p>
        </w:tc>
        <w:tc>
          <w:tcPr>
            <w:tcW w:w="3060" w:type="dxa"/>
            <w:tcBorders>
              <w:top w:val="single" w:sz="4" w:space="0" w:color="auto"/>
              <w:left w:val="single" w:sz="4" w:space="0" w:color="auto"/>
              <w:bottom w:val="single" w:sz="4" w:space="0" w:color="auto"/>
              <w:right w:val="single" w:sz="4" w:space="0" w:color="auto"/>
            </w:tcBorders>
            <w:hideMark/>
          </w:tcPr>
          <w:p w14:paraId="4B56E2EA" w14:textId="77777777" w:rsidR="00DC372B" w:rsidRPr="000B5DDC" w:rsidRDefault="00C50115" w:rsidP="00CB5353">
            <w:pPr>
              <w:jc w:val="left"/>
              <w:rPr>
                <w:b/>
                <w:noProof/>
              </w:rPr>
            </w:pPr>
            <w:r w:rsidRPr="000B5DDC">
              <w:rPr>
                <w:noProof/>
              </w:rPr>
              <w:t>≤ 2 t ha</w:t>
            </w:r>
            <w:r w:rsidRPr="000B5DDC">
              <w:rPr>
                <w:noProof/>
                <w:vertAlign w:val="superscript"/>
              </w:rPr>
              <w:t>-1</w:t>
            </w:r>
            <w:r w:rsidRPr="000B5DDC">
              <w:rPr>
                <w:noProof/>
              </w:rPr>
              <w:t>/año</w:t>
            </w:r>
            <w:r w:rsidRPr="000B5DDC">
              <w:rPr>
                <w:noProof/>
                <w:vertAlign w:val="superscript"/>
              </w:rPr>
              <w:t>-1</w:t>
            </w:r>
            <w:r w:rsidRPr="000B5DDC">
              <w:rPr>
                <w:noProof/>
              </w:rPr>
              <w:t xml:space="preserve"> </w:t>
            </w:r>
          </w:p>
        </w:tc>
        <w:tc>
          <w:tcPr>
            <w:tcW w:w="2791" w:type="dxa"/>
            <w:tcBorders>
              <w:top w:val="single" w:sz="4" w:space="0" w:color="auto"/>
              <w:left w:val="single" w:sz="4" w:space="0" w:color="auto"/>
              <w:bottom w:val="single" w:sz="4" w:space="0" w:color="auto"/>
              <w:right w:val="single" w:sz="4" w:space="0" w:color="auto"/>
            </w:tcBorders>
            <w:hideMark/>
          </w:tcPr>
          <w:p w14:paraId="5F4BF9AE" w14:textId="77777777" w:rsidR="00DC372B" w:rsidRPr="000B5DDC" w:rsidRDefault="00DC372B" w:rsidP="00CB5353">
            <w:pPr>
              <w:jc w:val="left"/>
              <w:rPr>
                <w:b/>
                <w:noProof/>
              </w:rPr>
            </w:pPr>
            <w:r w:rsidRPr="000B5DDC">
              <w:rPr>
                <w:noProof/>
              </w:rPr>
              <w:t>Terrenos abarrancados y otras superficies naturales no gestionadas, salvo si representan un riesgo de catástrofe importante</w:t>
            </w:r>
          </w:p>
        </w:tc>
      </w:tr>
      <w:tr w:rsidR="00DC372B" w:rsidRPr="000B5DDC" w14:paraId="1D407418" w14:textId="77777777" w:rsidTr="5738F298">
        <w:trPr>
          <w:gridAfter w:val="1"/>
          <w:wAfter w:w="113" w:type="dxa"/>
          <w:trHeight w:val="846"/>
          <w:tblHeader/>
        </w:trPr>
        <w:tc>
          <w:tcPr>
            <w:tcW w:w="1589" w:type="dxa"/>
            <w:vMerge w:val="restart"/>
            <w:tcBorders>
              <w:top w:val="single" w:sz="4" w:space="0" w:color="auto"/>
              <w:left w:val="single" w:sz="4" w:space="0" w:color="auto"/>
              <w:bottom w:val="single" w:sz="4" w:space="0" w:color="auto"/>
              <w:right w:val="single" w:sz="4" w:space="0" w:color="auto"/>
            </w:tcBorders>
            <w:hideMark/>
          </w:tcPr>
          <w:p w14:paraId="7403EE8B" w14:textId="77777777" w:rsidR="00DC372B" w:rsidRPr="000B5DDC" w:rsidRDefault="00DC372B" w:rsidP="00CB5353">
            <w:pPr>
              <w:jc w:val="left"/>
              <w:rPr>
                <w:noProof/>
              </w:rPr>
            </w:pPr>
            <w:r w:rsidRPr="000B5DDC">
              <w:rPr>
                <w:noProof/>
              </w:rPr>
              <w:t>Pérdida de carbono orgánico del suelo</w:t>
            </w:r>
          </w:p>
        </w:tc>
        <w:tc>
          <w:tcPr>
            <w:tcW w:w="1599" w:type="dxa"/>
            <w:vMerge w:val="restart"/>
            <w:tcBorders>
              <w:top w:val="single" w:sz="4" w:space="0" w:color="auto"/>
              <w:left w:val="single" w:sz="4" w:space="0" w:color="auto"/>
              <w:bottom w:val="single" w:sz="4" w:space="0" w:color="auto"/>
              <w:right w:val="single" w:sz="4" w:space="0" w:color="auto"/>
            </w:tcBorders>
            <w:hideMark/>
          </w:tcPr>
          <w:p w14:paraId="55E32DA0" w14:textId="77777777" w:rsidR="00AE7839" w:rsidRPr="000B5DDC" w:rsidRDefault="00DC372B" w:rsidP="00CB5353">
            <w:pPr>
              <w:jc w:val="left"/>
              <w:rPr>
                <w:noProof/>
              </w:rPr>
            </w:pPr>
            <w:r w:rsidRPr="000B5DDC">
              <w:rPr>
                <w:noProof/>
              </w:rPr>
              <w:t>Concentración de carbono orgánico del suelo (g por kg)</w:t>
            </w:r>
          </w:p>
          <w:p w14:paraId="075A447F" w14:textId="77777777" w:rsidR="00AE7839" w:rsidRPr="000B5DDC" w:rsidRDefault="00AE7839" w:rsidP="00CB5353">
            <w:pPr>
              <w:jc w:val="left"/>
              <w:rPr>
                <w:noProof/>
              </w:rPr>
            </w:pPr>
          </w:p>
        </w:tc>
        <w:tc>
          <w:tcPr>
            <w:tcW w:w="3060" w:type="dxa"/>
            <w:tcBorders>
              <w:top w:val="single" w:sz="4" w:space="0" w:color="auto"/>
              <w:left w:val="single" w:sz="4" w:space="0" w:color="auto"/>
              <w:bottom w:val="single" w:sz="4" w:space="0" w:color="auto"/>
              <w:right w:val="single" w:sz="4" w:space="0" w:color="auto"/>
            </w:tcBorders>
            <w:hideMark/>
          </w:tcPr>
          <w:p w14:paraId="2D0268CC" w14:textId="77777777" w:rsidR="00DC372B" w:rsidRPr="000B5DDC" w:rsidRDefault="00DC372B" w:rsidP="00CB5353">
            <w:pPr>
              <w:jc w:val="left"/>
              <w:rPr>
                <w:noProof/>
              </w:rPr>
            </w:pPr>
            <w:r w:rsidRPr="000B5DDC">
              <w:rPr>
                <w:noProof/>
              </w:rPr>
              <w:t>— Para suelos orgánicos: respetar los objetivos establecidos para dichos suelos a nivel nacional de conformidad con el artículo 4, apartados 1 y 2, y el artículo 9, apartado 4, del Reglamento (UE) …/…</w:t>
            </w:r>
            <w:r w:rsidRPr="000B5DDC">
              <w:rPr>
                <w:rStyle w:val="FootnoteReference"/>
                <w:noProof/>
              </w:rPr>
              <w:footnoteReference w:customMarkFollows="1" w:id="2"/>
              <w:t>+</w:t>
            </w:r>
            <w:r w:rsidRPr="000B5DDC">
              <w:rPr>
                <w:noProof/>
              </w:rPr>
              <w:t xml:space="preserve"> </w:t>
            </w:r>
          </w:p>
        </w:tc>
        <w:tc>
          <w:tcPr>
            <w:tcW w:w="2791" w:type="dxa"/>
            <w:tcBorders>
              <w:top w:val="single" w:sz="4" w:space="0" w:color="auto"/>
              <w:left w:val="single" w:sz="4" w:space="0" w:color="auto"/>
              <w:bottom w:val="single" w:sz="4" w:space="0" w:color="auto"/>
              <w:right w:val="single" w:sz="4" w:space="0" w:color="auto"/>
            </w:tcBorders>
            <w:hideMark/>
          </w:tcPr>
          <w:p w14:paraId="507B177A" w14:textId="77777777" w:rsidR="00DC372B" w:rsidRPr="000B5DDC" w:rsidRDefault="008F6B10" w:rsidP="00CB5353">
            <w:pPr>
              <w:jc w:val="left"/>
              <w:rPr>
                <w:noProof/>
              </w:rPr>
            </w:pPr>
            <w:r w:rsidRPr="000B5DDC">
              <w:rPr>
                <w:noProof/>
              </w:rPr>
              <w:t>Sin excepciones</w:t>
            </w:r>
          </w:p>
        </w:tc>
      </w:tr>
      <w:tr w:rsidR="00DC372B" w:rsidRPr="000B5DDC" w14:paraId="60952873" w14:textId="77777777" w:rsidTr="5738F298">
        <w:trPr>
          <w:gridAfter w:val="1"/>
          <w:wAfter w:w="113" w:type="dxa"/>
          <w:trHeight w:val="274"/>
          <w:tblHeader/>
        </w:trPr>
        <w:tc>
          <w:tcPr>
            <w:tcW w:w="1589" w:type="dxa"/>
            <w:vMerge/>
            <w:vAlign w:val="center"/>
            <w:hideMark/>
          </w:tcPr>
          <w:p w14:paraId="4CB28F37" w14:textId="77777777" w:rsidR="00DC372B" w:rsidRPr="000B5DDC" w:rsidRDefault="00DC372B" w:rsidP="00CB5353">
            <w:pPr>
              <w:jc w:val="left"/>
              <w:rPr>
                <w:noProof/>
              </w:rPr>
            </w:pPr>
          </w:p>
        </w:tc>
        <w:tc>
          <w:tcPr>
            <w:tcW w:w="1599" w:type="dxa"/>
            <w:vMerge/>
            <w:vAlign w:val="center"/>
            <w:hideMark/>
          </w:tcPr>
          <w:p w14:paraId="792D0A4B" w14:textId="77777777" w:rsidR="00DC372B" w:rsidRPr="000B5DDC" w:rsidRDefault="00DC372B" w:rsidP="00CB5353">
            <w:pPr>
              <w:jc w:val="left"/>
              <w:rPr>
                <w:noProof/>
              </w:rPr>
            </w:pPr>
          </w:p>
        </w:tc>
        <w:tc>
          <w:tcPr>
            <w:tcW w:w="3060" w:type="dxa"/>
            <w:tcBorders>
              <w:top w:val="single" w:sz="4" w:space="0" w:color="auto"/>
              <w:left w:val="single" w:sz="4" w:space="0" w:color="auto"/>
              <w:bottom w:val="single" w:sz="4" w:space="0" w:color="auto"/>
              <w:right w:val="single" w:sz="4" w:space="0" w:color="auto"/>
            </w:tcBorders>
            <w:hideMark/>
          </w:tcPr>
          <w:p w14:paraId="4FF0CCDE" w14:textId="77777777" w:rsidR="00DC372B" w:rsidRPr="000B5DDC" w:rsidRDefault="00DC372B" w:rsidP="00CB5353">
            <w:pPr>
              <w:jc w:val="left"/>
              <w:rPr>
                <w:noProof/>
              </w:rPr>
            </w:pPr>
            <w:r w:rsidRPr="000B5DDC">
              <w:rPr>
                <w:noProof/>
              </w:rPr>
              <w:t xml:space="preserve">- Para suelos minerales: relación carbono orgánico del suelo/arcilla &gt; 1/13; </w:t>
            </w:r>
          </w:p>
          <w:p w14:paraId="63F03098" w14:textId="77777777" w:rsidR="00DC372B" w:rsidRPr="000B5DDC" w:rsidRDefault="00DC372B" w:rsidP="00CB5353">
            <w:pPr>
              <w:jc w:val="left"/>
              <w:rPr>
                <w:noProof/>
              </w:rPr>
            </w:pPr>
            <w:r w:rsidRPr="000B5DDC">
              <w:rPr>
                <w:noProof/>
              </w:rPr>
              <w:t>Los Estados miembros pueden aplicar un coeficiente corrector cuando determinados tipos de suelo o de condiciones climáticas lo justifiquen, teniendo en cuenta el contenido de carbono orgánico del suelo real en pastos permanentes.</w:t>
            </w:r>
          </w:p>
        </w:tc>
        <w:tc>
          <w:tcPr>
            <w:tcW w:w="2791" w:type="dxa"/>
            <w:tcBorders>
              <w:top w:val="single" w:sz="4" w:space="0" w:color="auto"/>
              <w:left w:val="single" w:sz="4" w:space="0" w:color="auto"/>
              <w:bottom w:val="single" w:sz="4" w:space="0" w:color="auto"/>
              <w:right w:val="single" w:sz="4" w:space="0" w:color="auto"/>
            </w:tcBorders>
            <w:hideMark/>
          </w:tcPr>
          <w:p w14:paraId="10853028" w14:textId="77777777" w:rsidR="00DC372B" w:rsidRPr="000B5DDC" w:rsidRDefault="00275272" w:rsidP="00CB5353">
            <w:pPr>
              <w:jc w:val="left"/>
              <w:rPr>
                <w:noProof/>
              </w:rPr>
            </w:pPr>
            <w:r w:rsidRPr="000B5DDC">
              <w:rPr>
                <w:noProof/>
              </w:rPr>
              <w:t>Suelos no gestionados en superficies naturales</w:t>
            </w:r>
          </w:p>
        </w:tc>
      </w:tr>
      <w:tr w:rsidR="00760BFB" w:rsidRPr="000B5DDC" w14:paraId="59E218A4"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tcPr>
          <w:p w14:paraId="154A51B3" w14:textId="77777777" w:rsidR="00760BFB" w:rsidRPr="000B5DDC" w:rsidRDefault="00760BFB" w:rsidP="00CB5353">
            <w:pPr>
              <w:jc w:val="left"/>
              <w:rPr>
                <w:noProof/>
              </w:rPr>
            </w:pPr>
          </w:p>
        </w:tc>
        <w:tc>
          <w:tcPr>
            <w:tcW w:w="1599" w:type="dxa"/>
            <w:tcBorders>
              <w:top w:val="single" w:sz="4" w:space="0" w:color="auto"/>
              <w:left w:val="single" w:sz="4" w:space="0" w:color="auto"/>
              <w:bottom w:val="single" w:sz="4" w:space="0" w:color="auto"/>
              <w:right w:val="single" w:sz="4" w:space="0" w:color="auto"/>
            </w:tcBorders>
          </w:tcPr>
          <w:p w14:paraId="5F2D0C74" w14:textId="77777777" w:rsidR="00760BFB" w:rsidRPr="000B5DDC" w:rsidRDefault="00760BFB" w:rsidP="00CB5353">
            <w:pPr>
              <w:jc w:val="left"/>
              <w:rPr>
                <w:noProof/>
              </w:rPr>
            </w:pPr>
          </w:p>
        </w:tc>
        <w:tc>
          <w:tcPr>
            <w:tcW w:w="3060" w:type="dxa"/>
            <w:tcBorders>
              <w:top w:val="single" w:sz="4" w:space="0" w:color="auto"/>
              <w:left w:val="single" w:sz="4" w:space="0" w:color="auto"/>
              <w:bottom w:val="single" w:sz="4" w:space="0" w:color="auto"/>
              <w:right w:val="single" w:sz="4" w:space="0" w:color="auto"/>
            </w:tcBorders>
          </w:tcPr>
          <w:p w14:paraId="5E43A278" w14:textId="77777777" w:rsidR="00760BFB" w:rsidRPr="000B5DDC" w:rsidRDefault="00760BFB" w:rsidP="00CB5353">
            <w:pPr>
              <w:jc w:val="left"/>
              <w:rPr>
                <w:noProof/>
              </w:rPr>
            </w:pPr>
          </w:p>
        </w:tc>
        <w:tc>
          <w:tcPr>
            <w:tcW w:w="2791" w:type="dxa"/>
            <w:tcBorders>
              <w:top w:val="single" w:sz="4" w:space="0" w:color="auto"/>
              <w:left w:val="single" w:sz="4" w:space="0" w:color="auto"/>
              <w:bottom w:val="single" w:sz="4" w:space="0" w:color="auto"/>
              <w:right w:val="single" w:sz="4" w:space="0" w:color="auto"/>
            </w:tcBorders>
          </w:tcPr>
          <w:p w14:paraId="63BCB7BF" w14:textId="77777777" w:rsidR="00760BFB" w:rsidRPr="000B5DDC" w:rsidRDefault="00760BFB" w:rsidP="00CB5353">
            <w:pPr>
              <w:jc w:val="left"/>
              <w:rPr>
                <w:noProof/>
              </w:rPr>
            </w:pPr>
          </w:p>
        </w:tc>
      </w:tr>
      <w:tr w:rsidR="00DC372B" w:rsidRPr="000B5DDC" w14:paraId="0FCBD321"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553DAD47" w14:textId="77777777" w:rsidR="00DC372B" w:rsidRPr="000B5DDC" w:rsidRDefault="00DC372B" w:rsidP="00CB5353">
            <w:pPr>
              <w:jc w:val="left"/>
              <w:rPr>
                <w:noProof/>
              </w:rPr>
            </w:pPr>
            <w:r w:rsidRPr="000B5DDC">
              <w:rPr>
                <w:noProof/>
              </w:rPr>
              <w:t>Compactación del subsuelo</w:t>
            </w:r>
          </w:p>
        </w:tc>
        <w:tc>
          <w:tcPr>
            <w:tcW w:w="1599" w:type="dxa"/>
            <w:tcBorders>
              <w:top w:val="single" w:sz="4" w:space="0" w:color="auto"/>
              <w:left w:val="single" w:sz="4" w:space="0" w:color="auto"/>
              <w:bottom w:val="single" w:sz="4" w:space="0" w:color="auto"/>
              <w:right w:val="single" w:sz="4" w:space="0" w:color="auto"/>
            </w:tcBorders>
            <w:hideMark/>
          </w:tcPr>
          <w:p w14:paraId="3A2D4D0B" w14:textId="77777777" w:rsidR="00DC372B" w:rsidRPr="000B5DDC" w:rsidRDefault="00DC372B" w:rsidP="00CB5353">
            <w:pPr>
              <w:jc w:val="left"/>
              <w:rPr>
                <w:noProof/>
              </w:rPr>
            </w:pPr>
            <w:r w:rsidRPr="000B5DDC">
              <w:rPr>
                <w:noProof/>
              </w:rPr>
              <w:t>Densidad aparente del subsuelo (parte superior del horizonte B o E</w:t>
            </w:r>
            <w:r w:rsidRPr="000B5DDC">
              <w:rPr>
                <w:rStyle w:val="FootnoteReference"/>
                <w:noProof/>
              </w:rPr>
              <w:footnoteReference w:id="3"/>
            </w:r>
            <w:r w:rsidRPr="000B5DDC">
              <w:rPr>
                <w:noProof/>
              </w:rPr>
              <w:t>); los Estados miembros pueden reemplazar este descriptor por un parámetro equivalente (g por cm</w:t>
            </w:r>
            <w:r w:rsidRPr="000B5DDC">
              <w:rPr>
                <w:noProof/>
                <w:vertAlign w:val="superscript"/>
              </w:rPr>
              <w:t>3</w:t>
            </w:r>
            <w:r w:rsidRPr="000B5DDC">
              <w:rPr>
                <w:noProof/>
              </w:rPr>
              <w:t>)</w:t>
            </w:r>
          </w:p>
        </w:tc>
        <w:tc>
          <w:tcPr>
            <w:tcW w:w="3060" w:type="dxa"/>
            <w:tcBorders>
              <w:top w:val="single" w:sz="4" w:space="0" w:color="auto"/>
              <w:left w:val="single" w:sz="4" w:space="0" w:color="auto"/>
              <w:bottom w:val="single" w:sz="4" w:space="0" w:color="auto"/>
              <w:right w:val="single" w:sz="4" w:space="0" w:color="auto"/>
            </w:tcBorders>
          </w:tcPr>
          <w:tbl>
            <w:tblPr>
              <w:tblStyle w:val="TableGrid"/>
              <w:tblW w:w="2712" w:type="dxa"/>
              <w:tblLook w:val="04A0" w:firstRow="1" w:lastRow="0" w:firstColumn="1" w:lastColumn="0" w:noHBand="0" w:noVBand="1"/>
            </w:tblPr>
            <w:tblGrid>
              <w:gridCol w:w="1827"/>
              <w:gridCol w:w="885"/>
            </w:tblGrid>
            <w:tr w:rsidR="00DC372B" w:rsidRPr="000B5DDC" w14:paraId="3E1C62E3" w14:textId="77777777" w:rsidTr="000031EB">
              <w:trPr>
                <w:trHeight w:val="300"/>
              </w:trPr>
              <w:tc>
                <w:tcPr>
                  <w:tcW w:w="1827" w:type="dxa"/>
                  <w:tcBorders>
                    <w:top w:val="single" w:sz="4" w:space="0" w:color="auto"/>
                    <w:left w:val="single" w:sz="4" w:space="0" w:color="auto"/>
                    <w:bottom w:val="single" w:sz="4" w:space="0" w:color="auto"/>
                    <w:right w:val="single" w:sz="4" w:space="0" w:color="auto"/>
                  </w:tcBorders>
                  <w:hideMark/>
                </w:tcPr>
                <w:p w14:paraId="76F16713" w14:textId="77777777" w:rsidR="00DC372B" w:rsidRPr="000B5DDC" w:rsidRDefault="00DC372B" w:rsidP="00CB5353">
                  <w:pPr>
                    <w:jc w:val="left"/>
                    <w:rPr>
                      <w:noProof/>
                    </w:rPr>
                  </w:pPr>
                  <w:r w:rsidRPr="000B5DDC">
                    <w:rPr>
                      <w:noProof/>
                    </w:rPr>
                    <w:t>Textura del suelo</w:t>
                  </w:r>
                  <w:r w:rsidRPr="000B5DDC">
                    <w:rPr>
                      <w:rStyle w:val="FootnoteReference"/>
                      <w:noProof/>
                    </w:rPr>
                    <w:footnoteReference w:id="4"/>
                  </w:r>
                </w:p>
              </w:tc>
              <w:tc>
                <w:tcPr>
                  <w:tcW w:w="885" w:type="dxa"/>
                  <w:tcBorders>
                    <w:top w:val="single" w:sz="4" w:space="0" w:color="auto"/>
                    <w:left w:val="single" w:sz="4" w:space="0" w:color="auto"/>
                    <w:bottom w:val="single" w:sz="4" w:space="0" w:color="auto"/>
                    <w:right w:val="single" w:sz="4" w:space="0" w:color="auto"/>
                  </w:tcBorders>
                  <w:hideMark/>
                </w:tcPr>
                <w:p w14:paraId="260C3A11" w14:textId="77777777" w:rsidR="00DC372B" w:rsidRPr="000B5DDC" w:rsidRDefault="775087ED" w:rsidP="00CB5353">
                  <w:pPr>
                    <w:jc w:val="left"/>
                    <w:rPr>
                      <w:noProof/>
                    </w:rPr>
                  </w:pPr>
                  <w:r w:rsidRPr="000B5DDC">
                    <w:rPr>
                      <w:noProof/>
                    </w:rPr>
                    <w:t>rango</w:t>
                  </w:r>
                </w:p>
              </w:tc>
            </w:tr>
            <w:tr w:rsidR="00DC372B" w:rsidRPr="000B5DDC" w14:paraId="43BA5A80" w14:textId="77777777" w:rsidTr="000031EB">
              <w:trPr>
                <w:trHeight w:val="300"/>
              </w:trPr>
              <w:tc>
                <w:tcPr>
                  <w:tcW w:w="1827" w:type="dxa"/>
                  <w:tcBorders>
                    <w:top w:val="single" w:sz="4" w:space="0" w:color="auto"/>
                    <w:left w:val="single" w:sz="4" w:space="0" w:color="auto"/>
                    <w:bottom w:val="single" w:sz="4" w:space="0" w:color="auto"/>
                    <w:right w:val="single" w:sz="4" w:space="0" w:color="auto"/>
                  </w:tcBorders>
                  <w:hideMark/>
                </w:tcPr>
                <w:p w14:paraId="620A6798" w14:textId="77777777" w:rsidR="00DC372B" w:rsidRPr="000B5DDC" w:rsidRDefault="00DC372B" w:rsidP="00CB5353">
                  <w:pPr>
                    <w:jc w:val="left"/>
                    <w:rPr>
                      <w:noProof/>
                    </w:rPr>
                  </w:pPr>
                  <w:r w:rsidRPr="000B5DDC">
                    <w:rPr>
                      <w:noProof/>
                    </w:rPr>
                    <w:t>suelo arenoso, suelo areno francoso, suelo franco arenoso, suelo franco</w:t>
                  </w:r>
                </w:p>
              </w:tc>
              <w:tc>
                <w:tcPr>
                  <w:tcW w:w="885" w:type="dxa"/>
                  <w:tcBorders>
                    <w:top w:val="single" w:sz="4" w:space="0" w:color="auto"/>
                    <w:left w:val="single" w:sz="4" w:space="0" w:color="auto"/>
                    <w:bottom w:val="single" w:sz="4" w:space="0" w:color="auto"/>
                    <w:right w:val="single" w:sz="4" w:space="0" w:color="auto"/>
                  </w:tcBorders>
                  <w:hideMark/>
                </w:tcPr>
                <w:p w14:paraId="443516D9" w14:textId="77777777" w:rsidR="00DC372B" w:rsidRPr="000B5DDC" w:rsidRDefault="00DC372B" w:rsidP="00CB5353">
                  <w:pPr>
                    <w:jc w:val="left"/>
                    <w:rPr>
                      <w:noProof/>
                    </w:rPr>
                  </w:pPr>
                  <w:r w:rsidRPr="000B5DDC">
                    <w:rPr>
                      <w:noProof/>
                    </w:rPr>
                    <w:t>&lt; 1,80</w:t>
                  </w:r>
                </w:p>
              </w:tc>
            </w:tr>
            <w:tr w:rsidR="00DC372B" w:rsidRPr="000B5DDC" w14:paraId="53565514" w14:textId="77777777" w:rsidTr="000031EB">
              <w:trPr>
                <w:trHeight w:val="300"/>
              </w:trPr>
              <w:tc>
                <w:tcPr>
                  <w:tcW w:w="1827" w:type="dxa"/>
                  <w:tcBorders>
                    <w:top w:val="single" w:sz="4" w:space="0" w:color="auto"/>
                    <w:left w:val="single" w:sz="4" w:space="0" w:color="auto"/>
                    <w:bottom w:val="single" w:sz="4" w:space="0" w:color="auto"/>
                    <w:right w:val="single" w:sz="4" w:space="0" w:color="auto"/>
                  </w:tcBorders>
                  <w:hideMark/>
                </w:tcPr>
                <w:p w14:paraId="5F2EA7E8" w14:textId="77777777" w:rsidR="00DC372B" w:rsidRPr="000B5DDC" w:rsidRDefault="00DC372B" w:rsidP="00CB5353">
                  <w:pPr>
                    <w:jc w:val="left"/>
                    <w:rPr>
                      <w:noProof/>
                    </w:rPr>
                  </w:pPr>
                  <w:r w:rsidRPr="000B5DDC">
                    <w:rPr>
                      <w:noProof/>
                    </w:rPr>
                    <w:t>suelo franco arenoso arcilloso, suelo franco, suelo franco arcilloso, suelo limoso, suelo franco limoso</w:t>
                  </w:r>
                </w:p>
              </w:tc>
              <w:tc>
                <w:tcPr>
                  <w:tcW w:w="885" w:type="dxa"/>
                  <w:tcBorders>
                    <w:top w:val="single" w:sz="4" w:space="0" w:color="auto"/>
                    <w:left w:val="single" w:sz="4" w:space="0" w:color="auto"/>
                    <w:bottom w:val="single" w:sz="4" w:space="0" w:color="auto"/>
                    <w:right w:val="single" w:sz="4" w:space="0" w:color="auto"/>
                  </w:tcBorders>
                  <w:hideMark/>
                </w:tcPr>
                <w:p w14:paraId="1BEC4D18" w14:textId="77777777" w:rsidR="00DC372B" w:rsidRPr="000B5DDC" w:rsidRDefault="00DC372B" w:rsidP="00CB5353">
                  <w:pPr>
                    <w:jc w:val="left"/>
                    <w:rPr>
                      <w:noProof/>
                    </w:rPr>
                  </w:pPr>
                  <w:r w:rsidRPr="000B5DDC">
                    <w:rPr>
                      <w:noProof/>
                    </w:rPr>
                    <w:t>&lt; 1,75</w:t>
                  </w:r>
                </w:p>
              </w:tc>
            </w:tr>
            <w:tr w:rsidR="00DC372B" w:rsidRPr="000B5DDC" w14:paraId="7854108F" w14:textId="77777777" w:rsidTr="000031EB">
              <w:trPr>
                <w:trHeight w:val="300"/>
              </w:trPr>
              <w:tc>
                <w:tcPr>
                  <w:tcW w:w="1827" w:type="dxa"/>
                  <w:tcBorders>
                    <w:top w:val="single" w:sz="4" w:space="0" w:color="auto"/>
                    <w:left w:val="single" w:sz="4" w:space="0" w:color="auto"/>
                    <w:bottom w:val="single" w:sz="4" w:space="0" w:color="auto"/>
                    <w:right w:val="single" w:sz="4" w:space="0" w:color="auto"/>
                  </w:tcBorders>
                  <w:hideMark/>
                </w:tcPr>
                <w:p w14:paraId="320AC56C" w14:textId="77777777" w:rsidR="00DC372B" w:rsidRPr="000B5DDC" w:rsidRDefault="00DC372B" w:rsidP="00CB5353">
                  <w:pPr>
                    <w:jc w:val="left"/>
                    <w:rPr>
                      <w:noProof/>
                    </w:rPr>
                  </w:pPr>
                  <w:r w:rsidRPr="000B5DDC">
                    <w:rPr>
                      <w:noProof/>
                    </w:rPr>
                    <w:t>suelo franco limoso, suelo franco limoso arcilloso</w:t>
                  </w:r>
                </w:p>
              </w:tc>
              <w:tc>
                <w:tcPr>
                  <w:tcW w:w="885" w:type="dxa"/>
                  <w:tcBorders>
                    <w:top w:val="single" w:sz="4" w:space="0" w:color="auto"/>
                    <w:left w:val="single" w:sz="4" w:space="0" w:color="auto"/>
                    <w:bottom w:val="single" w:sz="4" w:space="0" w:color="auto"/>
                    <w:right w:val="single" w:sz="4" w:space="0" w:color="auto"/>
                  </w:tcBorders>
                  <w:hideMark/>
                </w:tcPr>
                <w:p w14:paraId="62447BF3" w14:textId="77777777" w:rsidR="00DC372B" w:rsidRPr="000B5DDC" w:rsidRDefault="00DC372B" w:rsidP="00CB5353">
                  <w:pPr>
                    <w:jc w:val="left"/>
                    <w:rPr>
                      <w:noProof/>
                    </w:rPr>
                  </w:pPr>
                  <w:r w:rsidRPr="000B5DDC">
                    <w:rPr>
                      <w:noProof/>
                    </w:rPr>
                    <w:t>&lt; 1,65</w:t>
                  </w:r>
                </w:p>
              </w:tc>
            </w:tr>
            <w:tr w:rsidR="00DC372B" w:rsidRPr="000B5DDC" w14:paraId="1FA46ABF" w14:textId="77777777" w:rsidTr="000031EB">
              <w:trPr>
                <w:trHeight w:val="300"/>
              </w:trPr>
              <w:tc>
                <w:tcPr>
                  <w:tcW w:w="1827" w:type="dxa"/>
                  <w:tcBorders>
                    <w:top w:val="single" w:sz="4" w:space="0" w:color="auto"/>
                    <w:left w:val="single" w:sz="4" w:space="0" w:color="auto"/>
                    <w:bottom w:val="single" w:sz="4" w:space="0" w:color="auto"/>
                    <w:right w:val="single" w:sz="4" w:space="0" w:color="auto"/>
                  </w:tcBorders>
                  <w:hideMark/>
                </w:tcPr>
                <w:p w14:paraId="4C0C44BF" w14:textId="77777777" w:rsidR="00DC372B" w:rsidRPr="000B5DDC" w:rsidRDefault="00DC372B" w:rsidP="00CB5353">
                  <w:pPr>
                    <w:jc w:val="left"/>
                    <w:rPr>
                      <w:noProof/>
                    </w:rPr>
                  </w:pPr>
                  <w:r w:rsidRPr="000B5DDC">
                    <w:rPr>
                      <w:noProof/>
                    </w:rPr>
                    <w:t>suelo arcilloso arenoso, suelo arcilloso limoso, suelo franco arcilloso con un 35-45 % de arcilla</w:t>
                  </w:r>
                </w:p>
              </w:tc>
              <w:tc>
                <w:tcPr>
                  <w:tcW w:w="885" w:type="dxa"/>
                  <w:tcBorders>
                    <w:top w:val="single" w:sz="4" w:space="0" w:color="auto"/>
                    <w:left w:val="single" w:sz="4" w:space="0" w:color="auto"/>
                    <w:bottom w:val="single" w:sz="4" w:space="0" w:color="auto"/>
                    <w:right w:val="single" w:sz="4" w:space="0" w:color="auto"/>
                  </w:tcBorders>
                  <w:hideMark/>
                </w:tcPr>
                <w:p w14:paraId="0DB6248A" w14:textId="77777777" w:rsidR="00DC372B" w:rsidRPr="000B5DDC" w:rsidRDefault="00DC372B" w:rsidP="00CB5353">
                  <w:pPr>
                    <w:jc w:val="left"/>
                    <w:rPr>
                      <w:noProof/>
                    </w:rPr>
                  </w:pPr>
                  <w:r w:rsidRPr="000B5DDC">
                    <w:rPr>
                      <w:noProof/>
                    </w:rPr>
                    <w:t>&lt; 1,58</w:t>
                  </w:r>
                </w:p>
              </w:tc>
            </w:tr>
            <w:tr w:rsidR="00DC372B" w:rsidRPr="000B5DDC" w14:paraId="519FFA3F" w14:textId="77777777" w:rsidTr="000031EB">
              <w:trPr>
                <w:trHeight w:val="300"/>
              </w:trPr>
              <w:tc>
                <w:tcPr>
                  <w:tcW w:w="1827" w:type="dxa"/>
                  <w:tcBorders>
                    <w:top w:val="single" w:sz="4" w:space="0" w:color="auto"/>
                    <w:left w:val="single" w:sz="4" w:space="0" w:color="auto"/>
                    <w:bottom w:val="single" w:sz="4" w:space="0" w:color="auto"/>
                    <w:right w:val="single" w:sz="4" w:space="0" w:color="auto"/>
                  </w:tcBorders>
                  <w:hideMark/>
                </w:tcPr>
                <w:p w14:paraId="019FE61A" w14:textId="77777777" w:rsidR="00DC372B" w:rsidRPr="000B5DDC" w:rsidRDefault="00DC372B" w:rsidP="00CB5353">
                  <w:pPr>
                    <w:jc w:val="left"/>
                    <w:rPr>
                      <w:noProof/>
                    </w:rPr>
                  </w:pPr>
                  <w:r w:rsidRPr="000B5DDC">
                    <w:rPr>
                      <w:noProof/>
                    </w:rPr>
                    <w:t>arcilla</w:t>
                  </w:r>
                </w:p>
              </w:tc>
              <w:tc>
                <w:tcPr>
                  <w:tcW w:w="885" w:type="dxa"/>
                  <w:tcBorders>
                    <w:top w:val="single" w:sz="4" w:space="0" w:color="auto"/>
                    <w:left w:val="single" w:sz="4" w:space="0" w:color="auto"/>
                    <w:bottom w:val="single" w:sz="4" w:space="0" w:color="auto"/>
                    <w:right w:val="single" w:sz="4" w:space="0" w:color="auto"/>
                  </w:tcBorders>
                  <w:hideMark/>
                </w:tcPr>
                <w:p w14:paraId="6E4B1636" w14:textId="77777777" w:rsidR="00DC372B" w:rsidRPr="000B5DDC" w:rsidRDefault="00DC372B" w:rsidP="00CB5353">
                  <w:pPr>
                    <w:jc w:val="left"/>
                    <w:rPr>
                      <w:noProof/>
                    </w:rPr>
                  </w:pPr>
                  <w:r w:rsidRPr="000B5DDC">
                    <w:rPr>
                      <w:noProof/>
                    </w:rPr>
                    <w:t>&lt; 1,47</w:t>
                  </w:r>
                </w:p>
              </w:tc>
            </w:tr>
          </w:tbl>
          <w:p w14:paraId="0150262C" w14:textId="77777777" w:rsidR="00DC372B" w:rsidRPr="000B5DDC" w:rsidRDefault="00DC372B" w:rsidP="00CB5353">
            <w:pPr>
              <w:jc w:val="left"/>
              <w:rPr>
                <w:noProof/>
              </w:rPr>
            </w:pPr>
          </w:p>
          <w:p w14:paraId="7AD50CF2" w14:textId="77777777" w:rsidR="00DC372B" w:rsidRPr="000B5DDC" w:rsidRDefault="00DC372B" w:rsidP="00CB5353">
            <w:pPr>
              <w:jc w:val="left"/>
              <w:rPr>
                <w:noProof/>
              </w:rPr>
            </w:pPr>
            <w:r w:rsidRPr="000B5DDC">
              <w:rPr>
                <w:noProof/>
              </w:rPr>
              <w:t>Si un Estado miembro reemplaza el descriptor del suelo «densidad aparente en el subsuelo» por un parámetro equivalente, adoptará un criterio de salud del suelo para el descriptor elegido que sea equivalente al criterio establecido para «densidad aparente en el subsuelo».</w:t>
            </w:r>
          </w:p>
        </w:tc>
        <w:tc>
          <w:tcPr>
            <w:tcW w:w="2791" w:type="dxa"/>
            <w:tcBorders>
              <w:top w:val="single" w:sz="4" w:space="0" w:color="auto"/>
              <w:left w:val="single" w:sz="4" w:space="0" w:color="auto"/>
              <w:bottom w:val="single" w:sz="4" w:space="0" w:color="auto"/>
              <w:right w:val="single" w:sz="4" w:space="0" w:color="auto"/>
            </w:tcBorders>
          </w:tcPr>
          <w:p w14:paraId="5A5E8B23" w14:textId="77777777" w:rsidR="00DC372B" w:rsidRPr="000B5DDC" w:rsidRDefault="00A12DEF" w:rsidP="00CB5353">
            <w:pPr>
              <w:jc w:val="left"/>
              <w:rPr>
                <w:noProof/>
              </w:rPr>
            </w:pPr>
            <w:r w:rsidRPr="000B5DDC">
              <w:rPr>
                <w:noProof/>
              </w:rPr>
              <w:t>Suelos no gestionados en superficies naturales</w:t>
            </w:r>
          </w:p>
          <w:p w14:paraId="780CA064" w14:textId="77777777" w:rsidR="00DC372B" w:rsidRPr="000B5DDC" w:rsidRDefault="00DC372B" w:rsidP="00CB5353">
            <w:pPr>
              <w:jc w:val="left"/>
              <w:rPr>
                <w:noProof/>
              </w:rPr>
            </w:pPr>
          </w:p>
          <w:p w14:paraId="17722500" w14:textId="77777777" w:rsidR="00DC372B" w:rsidRPr="000B5DDC" w:rsidRDefault="00DC372B" w:rsidP="00CB5353">
            <w:pPr>
              <w:jc w:val="left"/>
              <w:rPr>
                <w:noProof/>
              </w:rPr>
            </w:pPr>
          </w:p>
          <w:p w14:paraId="11023078" w14:textId="77777777" w:rsidR="00DC372B" w:rsidRPr="000B5DDC" w:rsidRDefault="00DC372B" w:rsidP="00CB5353">
            <w:pPr>
              <w:jc w:val="left"/>
              <w:rPr>
                <w:noProof/>
              </w:rPr>
            </w:pPr>
          </w:p>
          <w:p w14:paraId="1C0A194D" w14:textId="77777777" w:rsidR="00DC372B" w:rsidRPr="000B5DDC" w:rsidRDefault="00DC372B" w:rsidP="00CB5353">
            <w:pPr>
              <w:jc w:val="left"/>
              <w:rPr>
                <w:noProof/>
              </w:rPr>
            </w:pPr>
          </w:p>
          <w:p w14:paraId="4A79712B" w14:textId="77777777" w:rsidR="00DC372B" w:rsidRPr="000B5DDC" w:rsidRDefault="00DC372B" w:rsidP="00CB5353">
            <w:pPr>
              <w:jc w:val="left"/>
              <w:rPr>
                <w:noProof/>
              </w:rPr>
            </w:pPr>
          </w:p>
          <w:p w14:paraId="2FF7626D" w14:textId="77777777" w:rsidR="00DC372B" w:rsidRPr="000B5DDC" w:rsidRDefault="00DC372B" w:rsidP="00CB5353">
            <w:pPr>
              <w:jc w:val="left"/>
              <w:rPr>
                <w:noProof/>
              </w:rPr>
            </w:pPr>
          </w:p>
          <w:p w14:paraId="4087C757" w14:textId="77777777" w:rsidR="00DC372B" w:rsidRPr="000B5DDC" w:rsidRDefault="00DC372B" w:rsidP="00CB5353">
            <w:pPr>
              <w:jc w:val="left"/>
              <w:rPr>
                <w:noProof/>
              </w:rPr>
            </w:pPr>
          </w:p>
          <w:p w14:paraId="33F722FB" w14:textId="77777777" w:rsidR="00DC372B" w:rsidRPr="000B5DDC" w:rsidRDefault="00DC372B" w:rsidP="00CB5353">
            <w:pPr>
              <w:jc w:val="left"/>
              <w:rPr>
                <w:noProof/>
              </w:rPr>
            </w:pPr>
          </w:p>
          <w:p w14:paraId="2B05D0E0" w14:textId="77777777" w:rsidR="00DC372B" w:rsidRPr="000B5DDC" w:rsidRDefault="00DC372B" w:rsidP="00CB5353">
            <w:pPr>
              <w:jc w:val="left"/>
              <w:rPr>
                <w:noProof/>
              </w:rPr>
            </w:pPr>
          </w:p>
          <w:p w14:paraId="192AE51D" w14:textId="77777777" w:rsidR="00DC372B" w:rsidRPr="000B5DDC" w:rsidRDefault="00DC372B" w:rsidP="00CB5353">
            <w:pPr>
              <w:jc w:val="left"/>
              <w:rPr>
                <w:noProof/>
              </w:rPr>
            </w:pPr>
          </w:p>
          <w:p w14:paraId="1DA444CE" w14:textId="77777777" w:rsidR="00DC372B" w:rsidRPr="000B5DDC" w:rsidRDefault="00DC372B" w:rsidP="00CB5353">
            <w:pPr>
              <w:jc w:val="left"/>
              <w:rPr>
                <w:noProof/>
              </w:rPr>
            </w:pPr>
          </w:p>
          <w:p w14:paraId="41F06050" w14:textId="77777777" w:rsidR="00DC372B" w:rsidRPr="000B5DDC" w:rsidRDefault="00DC372B" w:rsidP="00CB5353">
            <w:pPr>
              <w:jc w:val="left"/>
              <w:rPr>
                <w:noProof/>
              </w:rPr>
            </w:pPr>
          </w:p>
          <w:p w14:paraId="3DABAFDC" w14:textId="77777777" w:rsidR="00DC372B" w:rsidRPr="000B5DDC" w:rsidRDefault="00DC372B" w:rsidP="00CB5353">
            <w:pPr>
              <w:jc w:val="left"/>
              <w:rPr>
                <w:noProof/>
              </w:rPr>
            </w:pPr>
          </w:p>
          <w:p w14:paraId="7E8659BE" w14:textId="77777777" w:rsidR="00DC372B" w:rsidRPr="000B5DDC" w:rsidRDefault="00DC372B" w:rsidP="00CB5353">
            <w:pPr>
              <w:jc w:val="left"/>
              <w:rPr>
                <w:noProof/>
              </w:rPr>
            </w:pPr>
          </w:p>
          <w:p w14:paraId="032DD187" w14:textId="77777777" w:rsidR="00DC372B" w:rsidRPr="000B5DDC" w:rsidRDefault="00DC372B" w:rsidP="00CB5353">
            <w:pPr>
              <w:jc w:val="left"/>
              <w:rPr>
                <w:noProof/>
              </w:rPr>
            </w:pPr>
          </w:p>
        </w:tc>
      </w:tr>
      <w:tr w:rsidR="003742D9" w:rsidRPr="000B5DDC" w14:paraId="6061DC8C" w14:textId="77777777" w:rsidTr="21B526FE">
        <w:trPr>
          <w:trHeight w:val="300"/>
          <w:tblHeader/>
        </w:trPr>
        <w:tc>
          <w:tcPr>
            <w:tcW w:w="9039" w:type="dxa"/>
            <w:gridSpan w:val="5"/>
            <w:tcBorders>
              <w:top w:val="single" w:sz="4" w:space="0" w:color="auto"/>
              <w:left w:val="single" w:sz="4" w:space="0" w:color="auto"/>
              <w:bottom w:val="single" w:sz="4" w:space="0" w:color="auto"/>
              <w:right w:val="single" w:sz="4" w:space="0" w:color="auto"/>
            </w:tcBorders>
          </w:tcPr>
          <w:p w14:paraId="196F5D7A" w14:textId="77777777" w:rsidR="00A15C37" w:rsidRPr="000B5DDC" w:rsidRDefault="003C34D8" w:rsidP="00CB5353">
            <w:pPr>
              <w:jc w:val="left"/>
              <w:rPr>
                <w:noProof/>
              </w:rPr>
            </w:pPr>
            <w:r w:rsidRPr="000B5DDC">
              <w:rPr>
                <w:b/>
                <w:i/>
                <w:noProof/>
              </w:rPr>
              <w:t>Parte B: descriptores del suelo con criterios de salud del suelo establecidos a nivel de los Estados miembros</w:t>
            </w:r>
          </w:p>
        </w:tc>
      </w:tr>
      <w:tr w:rsidR="00DC372B" w:rsidRPr="000B5DDC" w14:paraId="3BF2F135"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2556CEC9" w14:textId="77777777" w:rsidR="00DC372B" w:rsidRPr="000B5DDC" w:rsidRDefault="00DC372B" w:rsidP="00CB5353">
            <w:pPr>
              <w:jc w:val="left"/>
              <w:rPr>
                <w:noProof/>
              </w:rPr>
            </w:pPr>
            <w:r w:rsidRPr="000B5DDC">
              <w:rPr>
                <w:noProof/>
              </w:rPr>
              <w:t>Exceso de nutrientes presentes en el suelo</w:t>
            </w:r>
          </w:p>
        </w:tc>
        <w:tc>
          <w:tcPr>
            <w:tcW w:w="1599" w:type="dxa"/>
            <w:tcBorders>
              <w:top w:val="single" w:sz="4" w:space="0" w:color="auto"/>
              <w:left w:val="single" w:sz="4" w:space="0" w:color="auto"/>
              <w:bottom w:val="single" w:sz="4" w:space="0" w:color="auto"/>
              <w:right w:val="single" w:sz="4" w:space="0" w:color="auto"/>
            </w:tcBorders>
            <w:hideMark/>
          </w:tcPr>
          <w:p w14:paraId="0E47CC64" w14:textId="77777777" w:rsidR="00DC372B" w:rsidRPr="000B5DDC" w:rsidRDefault="00DC372B" w:rsidP="00CB5353">
            <w:pPr>
              <w:jc w:val="left"/>
              <w:rPr>
                <w:noProof/>
              </w:rPr>
            </w:pPr>
            <w:r w:rsidRPr="000B5DDC">
              <w:rPr>
                <w:noProof/>
              </w:rPr>
              <w:t>Fósforo extraíble (mg por kg)</w:t>
            </w:r>
          </w:p>
        </w:tc>
        <w:tc>
          <w:tcPr>
            <w:tcW w:w="3060" w:type="dxa"/>
            <w:tcBorders>
              <w:top w:val="single" w:sz="4" w:space="0" w:color="auto"/>
              <w:left w:val="single" w:sz="4" w:space="0" w:color="auto"/>
              <w:bottom w:val="single" w:sz="4" w:space="0" w:color="auto"/>
              <w:right w:val="single" w:sz="4" w:space="0" w:color="auto"/>
            </w:tcBorders>
            <w:hideMark/>
          </w:tcPr>
          <w:p w14:paraId="7378C3DC" w14:textId="77777777" w:rsidR="00DC372B" w:rsidRPr="000B5DDC" w:rsidRDefault="00DC372B" w:rsidP="00CB5353">
            <w:pPr>
              <w:jc w:val="left"/>
              <w:rPr>
                <w:noProof/>
              </w:rPr>
            </w:pPr>
            <w:r w:rsidRPr="000B5DDC">
              <w:rPr>
                <w:noProof/>
              </w:rPr>
              <w:t xml:space="preserve">&lt; «valor máximo»; </w:t>
            </w:r>
          </w:p>
          <w:p w14:paraId="7AFEBD37" w14:textId="77777777" w:rsidR="00DC372B" w:rsidRPr="000B5DDC" w:rsidRDefault="00DC372B" w:rsidP="00CB5353">
            <w:pPr>
              <w:jc w:val="left"/>
              <w:rPr>
                <w:noProof/>
              </w:rPr>
            </w:pPr>
            <w:r w:rsidRPr="000B5DDC">
              <w:rPr>
                <w:noProof/>
              </w:rPr>
              <w:t>El «valor máximo» será establecido por el Estado miembro dentro del rango de 30-50 mg kg</w:t>
            </w:r>
            <w:r w:rsidRPr="000B5DDC">
              <w:rPr>
                <w:noProof/>
                <w:vertAlign w:val="superscript"/>
              </w:rPr>
              <w:t>-1</w:t>
            </w:r>
            <w:r w:rsidRPr="000B5DDC">
              <w:rPr>
                <w:noProof/>
              </w:rPr>
              <w:t xml:space="preserve"> </w:t>
            </w:r>
          </w:p>
        </w:tc>
        <w:tc>
          <w:tcPr>
            <w:tcW w:w="2791" w:type="dxa"/>
            <w:tcBorders>
              <w:top w:val="single" w:sz="4" w:space="0" w:color="auto"/>
              <w:left w:val="single" w:sz="4" w:space="0" w:color="auto"/>
              <w:bottom w:val="single" w:sz="4" w:space="0" w:color="auto"/>
              <w:right w:val="single" w:sz="4" w:space="0" w:color="auto"/>
            </w:tcBorders>
            <w:hideMark/>
          </w:tcPr>
          <w:p w14:paraId="19ADCF35" w14:textId="77777777" w:rsidR="00DC372B" w:rsidRPr="000B5DDC" w:rsidRDefault="00DC372B" w:rsidP="00CB5353">
            <w:pPr>
              <w:jc w:val="left"/>
              <w:rPr>
                <w:noProof/>
              </w:rPr>
            </w:pPr>
            <w:r w:rsidRPr="000B5DDC">
              <w:rPr>
                <w:noProof/>
              </w:rPr>
              <w:t>Sin exclusión</w:t>
            </w:r>
          </w:p>
        </w:tc>
      </w:tr>
      <w:tr w:rsidR="00DC372B" w:rsidRPr="000B5DDC" w14:paraId="68D48E4C"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721C46A2" w14:textId="77777777" w:rsidR="00DC372B" w:rsidRPr="000B5DDC" w:rsidRDefault="00DC372B" w:rsidP="00CB5353">
            <w:pPr>
              <w:jc w:val="left"/>
              <w:rPr>
                <w:noProof/>
              </w:rPr>
            </w:pPr>
            <w:r w:rsidRPr="000B5DDC">
              <w:rPr>
                <w:noProof/>
              </w:rPr>
              <w:t>Contaminación del suelo</w:t>
            </w:r>
          </w:p>
        </w:tc>
        <w:tc>
          <w:tcPr>
            <w:tcW w:w="1599" w:type="dxa"/>
            <w:tcBorders>
              <w:top w:val="single" w:sz="4" w:space="0" w:color="auto"/>
              <w:left w:val="single" w:sz="4" w:space="0" w:color="auto"/>
              <w:bottom w:val="single" w:sz="4" w:space="0" w:color="auto"/>
              <w:right w:val="single" w:sz="4" w:space="0" w:color="auto"/>
            </w:tcBorders>
            <w:hideMark/>
          </w:tcPr>
          <w:p w14:paraId="41CEA086" w14:textId="77777777" w:rsidR="00DC372B" w:rsidRPr="000B5DDC" w:rsidRDefault="00DC372B" w:rsidP="00CB5353">
            <w:pPr>
              <w:jc w:val="left"/>
              <w:rPr>
                <w:noProof/>
              </w:rPr>
            </w:pPr>
            <w:r w:rsidRPr="000B5DDC">
              <w:rPr>
                <w:noProof/>
              </w:rPr>
              <w:t xml:space="preserve">— concentración de metales pesados en el suelo: As, Sb, Cd, Co, Cr (total), Cr (VI), Cu, Hg, Pb, Ni, Tl, V, Zn (µg por kg) </w:t>
            </w:r>
            <w:r w:rsidRPr="000B5DDC">
              <w:rPr>
                <w:noProof/>
              </w:rPr>
              <w:br/>
              <w:t xml:space="preserve"> - concentración de una selección de contaminantes orgánicos establecida por los Estados miembros y teniendo en cuenta los límites de concentración vigentes, por ejemplo, para la calidad del agua y las emisiones a la atmósfera en la legislación de la Unión. </w:t>
            </w:r>
          </w:p>
        </w:tc>
        <w:tc>
          <w:tcPr>
            <w:tcW w:w="3060" w:type="dxa"/>
            <w:tcBorders>
              <w:top w:val="single" w:sz="4" w:space="0" w:color="auto"/>
              <w:left w:val="single" w:sz="4" w:space="0" w:color="auto"/>
              <w:bottom w:val="single" w:sz="4" w:space="0" w:color="auto"/>
              <w:right w:val="single" w:sz="4" w:space="0" w:color="auto"/>
            </w:tcBorders>
            <w:hideMark/>
          </w:tcPr>
          <w:p w14:paraId="2EF10F45" w14:textId="77777777" w:rsidR="00DC372B" w:rsidRPr="000B5DDC" w:rsidRDefault="00DC372B" w:rsidP="00CB5353">
            <w:pPr>
              <w:jc w:val="left"/>
              <w:rPr>
                <w:noProof/>
                <w:vertAlign w:val="superscript"/>
              </w:rPr>
            </w:pPr>
            <w:r w:rsidRPr="000B5DDC">
              <w:rPr>
                <w:noProof/>
              </w:rPr>
              <w:t>Certeza razonable, obtenida a partir del muestreo por puntos del suelo, la localización e investigación de terrenos contaminados, y otra información pertinente, de que no existe riesgo inaceptable para la salud humana y el medio ambiente derivado de la contaminación del suelo.</w:t>
            </w:r>
          </w:p>
          <w:p w14:paraId="70E394B1" w14:textId="77777777" w:rsidR="00DC372B" w:rsidRPr="000B5DDC" w:rsidRDefault="00651FDF" w:rsidP="00CB5353">
            <w:pPr>
              <w:jc w:val="left"/>
              <w:rPr>
                <w:noProof/>
              </w:rPr>
            </w:pPr>
            <w:r w:rsidRPr="000B5DDC">
              <w:rPr>
                <w:noProof/>
              </w:rPr>
              <w:t>Los hábitats con una concentración alta de metales pesados que figuran en el anexo I de la Directiva 92/43/CEE del Consejo</w:t>
            </w:r>
            <w:r w:rsidRPr="000B5DDC">
              <w:rPr>
                <w:rStyle w:val="FootnoteReference"/>
                <w:noProof/>
              </w:rPr>
              <w:footnoteReference w:id="5"/>
            </w:r>
            <w:r w:rsidRPr="000B5DDC">
              <w:rPr>
                <w:noProof/>
              </w:rPr>
              <w:t xml:space="preserve"> seguirán estando protegidos.</w:t>
            </w:r>
          </w:p>
        </w:tc>
        <w:tc>
          <w:tcPr>
            <w:tcW w:w="2791" w:type="dxa"/>
            <w:tcBorders>
              <w:top w:val="single" w:sz="4" w:space="0" w:color="auto"/>
              <w:left w:val="single" w:sz="4" w:space="0" w:color="auto"/>
              <w:bottom w:val="single" w:sz="4" w:space="0" w:color="auto"/>
              <w:right w:val="single" w:sz="4" w:space="0" w:color="auto"/>
            </w:tcBorders>
            <w:hideMark/>
          </w:tcPr>
          <w:p w14:paraId="65CC4734" w14:textId="77777777" w:rsidR="00DC372B" w:rsidRPr="000B5DDC" w:rsidRDefault="00DC372B" w:rsidP="00CB5353">
            <w:pPr>
              <w:jc w:val="left"/>
              <w:rPr>
                <w:noProof/>
              </w:rPr>
            </w:pPr>
            <w:r w:rsidRPr="000B5DDC">
              <w:rPr>
                <w:noProof/>
              </w:rPr>
              <w:t>Sin excepciones</w:t>
            </w:r>
          </w:p>
        </w:tc>
      </w:tr>
      <w:tr w:rsidR="00DC372B" w:rsidRPr="000B5DDC" w14:paraId="3C960066" w14:textId="77777777" w:rsidTr="5738F298">
        <w:trPr>
          <w:gridAfter w:val="1"/>
          <w:wAfter w:w="113" w:type="dxa"/>
          <w:trHeight w:val="300"/>
          <w:tblHeader/>
        </w:trPr>
        <w:tc>
          <w:tcPr>
            <w:tcW w:w="1589" w:type="dxa"/>
            <w:tcBorders>
              <w:top w:val="single" w:sz="4" w:space="0" w:color="auto"/>
              <w:left w:val="single" w:sz="4" w:space="0" w:color="auto"/>
              <w:bottom w:val="single" w:sz="4" w:space="0" w:color="auto"/>
              <w:right w:val="single" w:sz="4" w:space="0" w:color="auto"/>
            </w:tcBorders>
            <w:hideMark/>
          </w:tcPr>
          <w:p w14:paraId="3D63F5D7" w14:textId="77777777" w:rsidR="00DC372B" w:rsidRPr="000B5DDC" w:rsidRDefault="00DC372B" w:rsidP="00CB5353">
            <w:pPr>
              <w:jc w:val="left"/>
              <w:rPr>
                <w:noProof/>
              </w:rPr>
            </w:pPr>
            <w:r w:rsidRPr="000B5DDC">
              <w:rPr>
                <w:noProof/>
              </w:rPr>
              <w:t>Reducción de la capacidad del suelo para retener el agua</w:t>
            </w:r>
          </w:p>
        </w:tc>
        <w:tc>
          <w:tcPr>
            <w:tcW w:w="1599" w:type="dxa"/>
            <w:tcBorders>
              <w:top w:val="single" w:sz="4" w:space="0" w:color="auto"/>
              <w:left w:val="single" w:sz="4" w:space="0" w:color="auto"/>
              <w:bottom w:val="single" w:sz="4" w:space="0" w:color="auto"/>
              <w:right w:val="single" w:sz="4" w:space="0" w:color="auto"/>
            </w:tcBorders>
            <w:hideMark/>
          </w:tcPr>
          <w:p w14:paraId="3EDB1917" w14:textId="77777777" w:rsidR="00DC372B" w:rsidRPr="000B5DDC" w:rsidRDefault="00DC372B" w:rsidP="00CB5353">
            <w:pPr>
              <w:jc w:val="left"/>
              <w:rPr>
                <w:noProof/>
              </w:rPr>
            </w:pPr>
            <w:r w:rsidRPr="000B5DDC">
              <w:rPr>
                <w:noProof/>
              </w:rPr>
              <w:t>Capacidad de retención de agua de la muestra del suelo (</w:t>
            </w:r>
            <w:r w:rsidRPr="000B5DDC">
              <w:rPr>
                <w:rStyle w:val="ui-provider"/>
                <w:noProof/>
              </w:rPr>
              <w:t>% de volumen de agua / volumen de suelo saturado)</w:t>
            </w:r>
          </w:p>
        </w:tc>
        <w:tc>
          <w:tcPr>
            <w:tcW w:w="3060" w:type="dxa"/>
            <w:tcBorders>
              <w:top w:val="single" w:sz="4" w:space="0" w:color="auto"/>
              <w:left w:val="single" w:sz="4" w:space="0" w:color="auto"/>
              <w:bottom w:val="single" w:sz="4" w:space="0" w:color="auto"/>
              <w:right w:val="single" w:sz="4" w:space="0" w:color="auto"/>
            </w:tcBorders>
            <w:hideMark/>
          </w:tcPr>
          <w:p w14:paraId="765E54FA" w14:textId="77777777" w:rsidR="00A3660B" w:rsidRPr="000B5DDC" w:rsidRDefault="00DC372B" w:rsidP="00CB5353">
            <w:pPr>
              <w:jc w:val="left"/>
              <w:rPr>
                <w:noProof/>
              </w:rPr>
            </w:pPr>
            <w:r w:rsidRPr="000B5DDC">
              <w:rPr>
                <w:noProof/>
              </w:rPr>
              <w:t xml:space="preserve">El valor estimado para la capacidad de retención de agua total de un distrito edáfico por cuenca o subcuenca hidrográfica se sitúa por encima del umbral mínimo. </w:t>
            </w:r>
          </w:p>
          <w:p w14:paraId="1BEF01EB" w14:textId="77777777" w:rsidR="00DC372B" w:rsidRPr="000B5DDC" w:rsidRDefault="00DC372B" w:rsidP="00CB5353">
            <w:pPr>
              <w:jc w:val="left"/>
              <w:rPr>
                <w:noProof/>
              </w:rPr>
            </w:pPr>
            <w:r w:rsidRPr="000B5DDC">
              <w:rPr>
                <w:noProof/>
              </w:rPr>
              <w:t xml:space="preserve">El umbral mínimo será establecido (en toneladas) por el Estado miembro a nivel de distrito edáfico y cuenca o subcuenca hidrográfica en un valor tal que se mitiguen los efectos de las inundaciones después de episodios de lluvia intensa o de períodos de baja humedad del suelo debido a episodios de sequía. </w:t>
            </w:r>
          </w:p>
        </w:tc>
        <w:tc>
          <w:tcPr>
            <w:tcW w:w="2791" w:type="dxa"/>
            <w:tcBorders>
              <w:top w:val="single" w:sz="4" w:space="0" w:color="auto"/>
              <w:left w:val="single" w:sz="4" w:space="0" w:color="auto"/>
              <w:bottom w:val="single" w:sz="4" w:space="0" w:color="auto"/>
              <w:right w:val="single" w:sz="4" w:space="0" w:color="auto"/>
            </w:tcBorders>
            <w:hideMark/>
          </w:tcPr>
          <w:p w14:paraId="3B295B07" w14:textId="77777777" w:rsidR="00DC372B" w:rsidRPr="000B5DDC" w:rsidRDefault="00DC372B" w:rsidP="00CB5353">
            <w:pPr>
              <w:jc w:val="left"/>
              <w:rPr>
                <w:noProof/>
              </w:rPr>
            </w:pPr>
            <w:r w:rsidRPr="000B5DDC">
              <w:rPr>
                <w:noProof/>
              </w:rPr>
              <w:t>Sin excepciones</w:t>
            </w:r>
          </w:p>
        </w:tc>
      </w:tr>
    </w:tbl>
    <w:p w14:paraId="619A0F43" w14:textId="77777777" w:rsidR="00DC372B" w:rsidRPr="000B5DDC" w:rsidRDefault="00DC372B" w:rsidP="00CB5353">
      <w:pPr>
        <w:jc w:val="left"/>
        <w:rPr>
          <w:i/>
          <w:noProof/>
        </w:rPr>
      </w:pPr>
    </w:p>
    <w:tbl>
      <w:tblPr>
        <w:tblStyle w:val="TableGrid"/>
        <w:tblW w:w="0" w:type="auto"/>
        <w:tblLook w:val="04A0" w:firstRow="1" w:lastRow="0" w:firstColumn="1" w:lastColumn="0" w:noHBand="0" w:noVBand="1"/>
      </w:tblPr>
      <w:tblGrid>
        <w:gridCol w:w="3510"/>
        <w:gridCol w:w="5779"/>
      </w:tblGrid>
      <w:tr w:rsidR="00497951" w:rsidRPr="000B5DDC" w14:paraId="6967A452" w14:textId="77777777">
        <w:tc>
          <w:tcPr>
            <w:tcW w:w="9289" w:type="dxa"/>
            <w:gridSpan w:val="2"/>
          </w:tcPr>
          <w:p w14:paraId="6E485EBE" w14:textId="77777777" w:rsidR="00497951" w:rsidRPr="000B5DDC" w:rsidRDefault="00497951" w:rsidP="00497951">
            <w:pPr>
              <w:jc w:val="left"/>
              <w:rPr>
                <w:b/>
                <w:noProof/>
              </w:rPr>
            </w:pPr>
            <w:r w:rsidRPr="000B5DDC">
              <w:rPr>
                <w:b/>
                <w:i/>
                <w:noProof/>
              </w:rPr>
              <w:t>Parte C: descriptores del suelo sin criterios</w:t>
            </w:r>
          </w:p>
        </w:tc>
      </w:tr>
      <w:tr w:rsidR="00B549D1" w:rsidRPr="000B5DDC" w14:paraId="1CF25F6A" w14:textId="77777777" w:rsidTr="00497951">
        <w:tc>
          <w:tcPr>
            <w:tcW w:w="3510" w:type="dxa"/>
          </w:tcPr>
          <w:p w14:paraId="4817BD06" w14:textId="77777777" w:rsidR="00B549D1" w:rsidRPr="000B5DDC" w:rsidRDefault="00B549D1" w:rsidP="00B549D1">
            <w:pPr>
              <w:jc w:val="left"/>
              <w:rPr>
                <w:b/>
                <w:noProof/>
              </w:rPr>
            </w:pPr>
            <w:r w:rsidRPr="000B5DDC">
              <w:rPr>
                <w:b/>
                <w:noProof/>
              </w:rPr>
              <w:t>Aspecto de la degradación del suelo</w:t>
            </w:r>
          </w:p>
        </w:tc>
        <w:tc>
          <w:tcPr>
            <w:tcW w:w="5779" w:type="dxa"/>
          </w:tcPr>
          <w:p w14:paraId="51BB63D9" w14:textId="77777777" w:rsidR="00B549D1" w:rsidRPr="000B5DDC" w:rsidRDefault="00B549D1" w:rsidP="00B549D1">
            <w:pPr>
              <w:jc w:val="left"/>
              <w:rPr>
                <w:b/>
                <w:noProof/>
              </w:rPr>
            </w:pPr>
            <w:r w:rsidRPr="000B5DDC">
              <w:rPr>
                <w:b/>
                <w:noProof/>
              </w:rPr>
              <w:t>Descriptor del suelo</w:t>
            </w:r>
          </w:p>
        </w:tc>
      </w:tr>
      <w:tr w:rsidR="0007660F" w:rsidRPr="000B5DDC" w14:paraId="135C0252" w14:textId="77777777" w:rsidTr="00942D5F">
        <w:tc>
          <w:tcPr>
            <w:tcW w:w="3510" w:type="dxa"/>
          </w:tcPr>
          <w:p w14:paraId="19432859" w14:textId="77777777" w:rsidR="0007660F" w:rsidRPr="000B5DDC" w:rsidRDefault="00497951" w:rsidP="00CB5353">
            <w:pPr>
              <w:jc w:val="left"/>
              <w:rPr>
                <w:i/>
                <w:noProof/>
              </w:rPr>
            </w:pPr>
            <w:r w:rsidRPr="000B5DDC">
              <w:rPr>
                <w:noProof/>
              </w:rPr>
              <w:t>Exceso de nutrientes presentes en el suelo</w:t>
            </w:r>
          </w:p>
        </w:tc>
        <w:tc>
          <w:tcPr>
            <w:tcW w:w="5779" w:type="dxa"/>
          </w:tcPr>
          <w:p w14:paraId="406F92B5" w14:textId="77777777" w:rsidR="0007660F" w:rsidRPr="000B5DDC" w:rsidRDefault="00497951" w:rsidP="00CB5353">
            <w:pPr>
              <w:jc w:val="left"/>
              <w:rPr>
                <w:i/>
                <w:noProof/>
              </w:rPr>
            </w:pPr>
            <w:r w:rsidRPr="000B5DDC">
              <w:rPr>
                <w:noProof/>
              </w:rPr>
              <w:t>Nitrógeno en el suelo (mg g</w:t>
            </w:r>
            <w:r w:rsidRPr="000B5DDC">
              <w:rPr>
                <w:noProof/>
                <w:vertAlign w:val="superscript"/>
              </w:rPr>
              <w:t>-1</w:t>
            </w:r>
            <w:r w:rsidRPr="000B5DDC">
              <w:rPr>
                <w:noProof/>
              </w:rPr>
              <w:t>)</w:t>
            </w:r>
          </w:p>
        </w:tc>
      </w:tr>
      <w:tr w:rsidR="0007660F" w:rsidRPr="000B5DDC" w14:paraId="77FEBA1E" w14:textId="77777777" w:rsidTr="00942D5F">
        <w:tc>
          <w:tcPr>
            <w:tcW w:w="3510" w:type="dxa"/>
          </w:tcPr>
          <w:p w14:paraId="4BD1D217" w14:textId="77777777" w:rsidR="0007660F" w:rsidRPr="000B5DDC" w:rsidRDefault="00497951" w:rsidP="00CB5353">
            <w:pPr>
              <w:jc w:val="left"/>
              <w:rPr>
                <w:i/>
                <w:noProof/>
              </w:rPr>
            </w:pPr>
            <w:r w:rsidRPr="000B5DDC">
              <w:rPr>
                <w:noProof/>
              </w:rPr>
              <w:t>Acidificación</w:t>
            </w:r>
          </w:p>
        </w:tc>
        <w:tc>
          <w:tcPr>
            <w:tcW w:w="5779" w:type="dxa"/>
          </w:tcPr>
          <w:p w14:paraId="4B758F13" w14:textId="77777777" w:rsidR="0007660F" w:rsidRPr="000B5DDC" w:rsidRDefault="003B0FC5" w:rsidP="00CB5353">
            <w:pPr>
              <w:jc w:val="left"/>
              <w:rPr>
                <w:i/>
                <w:noProof/>
              </w:rPr>
            </w:pPr>
            <w:r w:rsidRPr="000B5DDC">
              <w:rPr>
                <w:noProof/>
              </w:rPr>
              <w:t>Acidez del suelo (pH)</w:t>
            </w:r>
          </w:p>
        </w:tc>
      </w:tr>
      <w:tr w:rsidR="0007660F" w:rsidRPr="000B5DDC" w14:paraId="2457DF36" w14:textId="77777777" w:rsidTr="00942D5F">
        <w:tc>
          <w:tcPr>
            <w:tcW w:w="3510" w:type="dxa"/>
          </w:tcPr>
          <w:p w14:paraId="02371886" w14:textId="77777777" w:rsidR="0007660F" w:rsidRPr="000B5DDC" w:rsidRDefault="00497951" w:rsidP="00CB5353">
            <w:pPr>
              <w:jc w:val="left"/>
              <w:rPr>
                <w:i/>
                <w:noProof/>
              </w:rPr>
            </w:pPr>
            <w:r w:rsidRPr="000B5DDC">
              <w:rPr>
                <w:noProof/>
              </w:rPr>
              <w:t>Compactación de la capa arable</w:t>
            </w:r>
          </w:p>
        </w:tc>
        <w:tc>
          <w:tcPr>
            <w:tcW w:w="5779" w:type="dxa"/>
          </w:tcPr>
          <w:p w14:paraId="16B47777" w14:textId="77777777" w:rsidR="0007660F" w:rsidRPr="000B5DDC" w:rsidRDefault="00497951" w:rsidP="00CB5353">
            <w:pPr>
              <w:jc w:val="left"/>
              <w:rPr>
                <w:i/>
                <w:noProof/>
              </w:rPr>
            </w:pPr>
            <w:r w:rsidRPr="000B5DDC">
              <w:rPr>
                <w:noProof/>
              </w:rPr>
              <w:t>Densidad aparente en la capa arable (horizonte A</w:t>
            </w:r>
            <w:r w:rsidRPr="000B5DDC">
              <w:rPr>
                <w:rStyle w:val="FootnoteReference"/>
                <w:noProof/>
              </w:rPr>
              <w:footnoteReference w:id="6"/>
            </w:r>
            <w:r w:rsidRPr="000B5DDC">
              <w:rPr>
                <w:noProof/>
              </w:rPr>
              <w:t>) (g cm</w:t>
            </w:r>
            <w:r w:rsidRPr="000B5DDC">
              <w:rPr>
                <w:noProof/>
                <w:vertAlign w:val="superscript"/>
              </w:rPr>
              <w:t>-3</w:t>
            </w:r>
            <w:r w:rsidRPr="000B5DDC">
              <w:rPr>
                <w:noProof/>
              </w:rPr>
              <w:t>)</w:t>
            </w:r>
          </w:p>
        </w:tc>
      </w:tr>
      <w:tr w:rsidR="0007660F" w:rsidRPr="000B5DDC" w14:paraId="35D2E9E3" w14:textId="77777777" w:rsidTr="00942D5F">
        <w:tc>
          <w:tcPr>
            <w:tcW w:w="3510" w:type="dxa"/>
          </w:tcPr>
          <w:p w14:paraId="5A1ACFF7" w14:textId="77777777" w:rsidR="0007660F" w:rsidRPr="000B5DDC" w:rsidRDefault="00497951" w:rsidP="00CB5353">
            <w:pPr>
              <w:jc w:val="left"/>
              <w:rPr>
                <w:i/>
                <w:noProof/>
              </w:rPr>
            </w:pPr>
            <w:r w:rsidRPr="000B5DDC">
              <w:rPr>
                <w:noProof/>
              </w:rPr>
              <w:t>Pérdida de biodiversidad del suelo</w:t>
            </w:r>
          </w:p>
        </w:tc>
        <w:tc>
          <w:tcPr>
            <w:tcW w:w="5779" w:type="dxa"/>
          </w:tcPr>
          <w:p w14:paraId="51A91D28" w14:textId="77777777" w:rsidR="00497951" w:rsidRPr="000B5DDC" w:rsidRDefault="0059782F" w:rsidP="00497951">
            <w:pPr>
              <w:jc w:val="left"/>
              <w:rPr>
                <w:noProof/>
              </w:rPr>
            </w:pPr>
            <w:r w:rsidRPr="000B5DDC">
              <w:rPr>
                <w:noProof/>
              </w:rPr>
              <w:t>Respiración basal del suelo (mm</w:t>
            </w:r>
            <w:r w:rsidRPr="000B5DDC">
              <w:rPr>
                <w:noProof/>
                <w:vertAlign w:val="superscript"/>
              </w:rPr>
              <w:t>3</w:t>
            </w:r>
            <w:r w:rsidRPr="000B5DDC">
              <w:rPr>
                <w:noProof/>
              </w:rPr>
              <w:t xml:space="preserve"> O</w:t>
            </w:r>
            <w:r w:rsidRPr="000B5DDC">
              <w:rPr>
                <w:noProof/>
                <w:vertAlign w:val="subscript"/>
              </w:rPr>
              <w:t>2</w:t>
            </w:r>
            <w:r w:rsidRPr="000B5DDC">
              <w:rPr>
                <w:noProof/>
              </w:rPr>
              <w:t xml:space="preserve"> g</w:t>
            </w:r>
            <w:r w:rsidRPr="000B5DDC">
              <w:rPr>
                <w:noProof/>
                <w:vertAlign w:val="superscript"/>
              </w:rPr>
              <w:t>-1</w:t>
            </w:r>
            <w:r w:rsidRPr="000B5DDC">
              <w:rPr>
                <w:noProof/>
              </w:rPr>
              <w:t xml:space="preserve"> h</w:t>
            </w:r>
            <w:r w:rsidRPr="000B5DDC">
              <w:rPr>
                <w:noProof/>
                <w:vertAlign w:val="superscript"/>
              </w:rPr>
              <w:t>-1</w:t>
            </w:r>
            <w:r w:rsidRPr="000B5DDC">
              <w:rPr>
                <w:noProof/>
              </w:rPr>
              <w:t>) en suelo seco</w:t>
            </w:r>
          </w:p>
          <w:p w14:paraId="5FD06CFC" w14:textId="77777777" w:rsidR="00497951" w:rsidRPr="000B5DDC" w:rsidRDefault="00497951" w:rsidP="00497951">
            <w:pPr>
              <w:jc w:val="left"/>
              <w:rPr>
                <w:noProof/>
              </w:rPr>
            </w:pPr>
          </w:p>
          <w:p w14:paraId="59F1D723" w14:textId="77777777" w:rsidR="0007660F" w:rsidRPr="000B5DDC" w:rsidRDefault="00497951" w:rsidP="007E0E66">
            <w:pPr>
              <w:contextualSpacing/>
              <w:jc w:val="left"/>
              <w:rPr>
                <w:noProof/>
              </w:rPr>
            </w:pPr>
            <w:r w:rsidRPr="000B5DDC">
              <w:rPr>
                <w:noProof/>
              </w:rPr>
              <w:t xml:space="preserve">Los Estados miembros también pueden seleccionar otros descriptores opcionales de la biodiversidad del suelo, como: </w:t>
            </w:r>
            <w:r w:rsidRPr="000B5DDC">
              <w:rPr>
                <w:noProof/>
              </w:rPr>
              <w:br/>
              <w:t xml:space="preserve"> — metacódigos de barras de bacterias, hongos, protistas y animales; </w:t>
            </w:r>
            <w:r w:rsidRPr="000B5DDC">
              <w:rPr>
                <w:noProof/>
              </w:rPr>
              <w:br/>
              <w:t xml:space="preserve"> — la abundancia y la diversidad de nematodos de tierra; </w:t>
            </w:r>
            <w:r w:rsidRPr="000B5DDC">
              <w:rPr>
                <w:noProof/>
              </w:rPr>
              <w:br/>
              <w:t xml:space="preserve"> — la biomasa microbiana; </w:t>
            </w:r>
            <w:r w:rsidRPr="000B5DDC">
              <w:rPr>
                <w:noProof/>
              </w:rPr>
              <w:br/>
              <w:t xml:space="preserve"> — la abundancia y la diversidad de lombrices de tierra (en tierras de cultivo);</w:t>
            </w:r>
          </w:p>
          <w:p w14:paraId="2DD74085" w14:textId="77777777" w:rsidR="0007660F" w:rsidRPr="000B5DDC" w:rsidRDefault="00DD26CF" w:rsidP="00CB5353">
            <w:pPr>
              <w:jc w:val="left"/>
              <w:rPr>
                <w:noProof/>
              </w:rPr>
            </w:pPr>
            <w:r w:rsidRPr="000B5DDC">
              <w:rPr>
                <w:noProof/>
              </w:rPr>
              <w:t>— las especies exóticas invasoras y las plagas vegetales.</w:t>
            </w:r>
          </w:p>
        </w:tc>
      </w:tr>
    </w:tbl>
    <w:p w14:paraId="77636C73" w14:textId="77777777" w:rsidR="0007660F" w:rsidRPr="000B5DDC" w:rsidRDefault="0007660F" w:rsidP="00CB5353">
      <w:pPr>
        <w:jc w:val="left"/>
        <w:rPr>
          <w:i/>
          <w:noProof/>
        </w:rPr>
      </w:pPr>
    </w:p>
    <w:tbl>
      <w:tblPr>
        <w:tblStyle w:val="TableGrid"/>
        <w:tblW w:w="9606" w:type="dxa"/>
        <w:tblLook w:val="04A0" w:firstRow="1" w:lastRow="0" w:firstColumn="1" w:lastColumn="0" w:noHBand="0" w:noVBand="1"/>
      </w:tblPr>
      <w:tblGrid>
        <w:gridCol w:w="2518"/>
        <w:gridCol w:w="7088"/>
      </w:tblGrid>
      <w:tr w:rsidR="00DC372B" w:rsidRPr="000B5DDC" w14:paraId="2635128A" w14:textId="77777777" w:rsidTr="00DC372B">
        <w:tc>
          <w:tcPr>
            <w:tcW w:w="9606" w:type="dxa"/>
            <w:gridSpan w:val="2"/>
            <w:tcBorders>
              <w:top w:val="single" w:sz="4" w:space="0" w:color="auto"/>
              <w:left w:val="single" w:sz="4" w:space="0" w:color="auto"/>
              <w:bottom w:val="single" w:sz="4" w:space="0" w:color="auto"/>
              <w:right w:val="single" w:sz="4" w:space="0" w:color="auto"/>
            </w:tcBorders>
            <w:hideMark/>
          </w:tcPr>
          <w:p w14:paraId="3C446074" w14:textId="77777777" w:rsidR="00DC372B" w:rsidRPr="000B5DDC" w:rsidRDefault="00DC372B" w:rsidP="00CB5353">
            <w:pPr>
              <w:jc w:val="left"/>
              <w:rPr>
                <w:b/>
                <w:noProof/>
              </w:rPr>
            </w:pPr>
            <w:r w:rsidRPr="000B5DDC">
              <w:rPr>
                <w:b/>
                <w:i/>
                <w:noProof/>
              </w:rPr>
              <w:t>Parte D: indicadores de ocupación y sellado del suelo</w:t>
            </w:r>
          </w:p>
        </w:tc>
      </w:tr>
      <w:tr w:rsidR="00DC372B" w:rsidRPr="000B5DDC" w14:paraId="476465F4" w14:textId="77777777" w:rsidTr="00DC372B">
        <w:tc>
          <w:tcPr>
            <w:tcW w:w="2518" w:type="dxa"/>
            <w:tcBorders>
              <w:top w:val="single" w:sz="4" w:space="0" w:color="auto"/>
              <w:left w:val="single" w:sz="4" w:space="0" w:color="auto"/>
              <w:bottom w:val="single" w:sz="4" w:space="0" w:color="auto"/>
              <w:right w:val="single" w:sz="4" w:space="0" w:color="auto"/>
            </w:tcBorders>
            <w:hideMark/>
          </w:tcPr>
          <w:p w14:paraId="5D150E26" w14:textId="77777777" w:rsidR="00DC372B" w:rsidRPr="000B5DDC" w:rsidRDefault="00DC372B" w:rsidP="00CB5353">
            <w:pPr>
              <w:jc w:val="left"/>
              <w:rPr>
                <w:b/>
                <w:noProof/>
              </w:rPr>
            </w:pPr>
            <w:r w:rsidRPr="000B5DDC">
              <w:rPr>
                <w:b/>
                <w:noProof/>
              </w:rPr>
              <w:t>Aspecto de la degradación del suelo</w:t>
            </w:r>
          </w:p>
        </w:tc>
        <w:tc>
          <w:tcPr>
            <w:tcW w:w="7088" w:type="dxa"/>
            <w:tcBorders>
              <w:top w:val="single" w:sz="4" w:space="0" w:color="auto"/>
              <w:left w:val="single" w:sz="4" w:space="0" w:color="auto"/>
              <w:bottom w:val="single" w:sz="4" w:space="0" w:color="auto"/>
              <w:right w:val="single" w:sz="4" w:space="0" w:color="auto"/>
            </w:tcBorders>
            <w:hideMark/>
          </w:tcPr>
          <w:p w14:paraId="0BCCB5BA" w14:textId="77777777" w:rsidR="00DC372B" w:rsidRPr="000B5DDC" w:rsidRDefault="00DC372B" w:rsidP="00CB5353">
            <w:pPr>
              <w:jc w:val="left"/>
              <w:rPr>
                <w:noProof/>
              </w:rPr>
            </w:pPr>
            <w:r w:rsidRPr="000B5DDC">
              <w:rPr>
                <w:b/>
                <w:noProof/>
              </w:rPr>
              <w:t>Indicadores de ocupación y sellado del suelo</w:t>
            </w:r>
          </w:p>
        </w:tc>
      </w:tr>
      <w:tr w:rsidR="00DC372B" w:rsidRPr="000B5DDC" w14:paraId="6929C7E9" w14:textId="77777777" w:rsidTr="00DC372B">
        <w:tc>
          <w:tcPr>
            <w:tcW w:w="2518" w:type="dxa"/>
            <w:tcBorders>
              <w:top w:val="single" w:sz="4" w:space="0" w:color="auto"/>
              <w:left w:val="single" w:sz="4" w:space="0" w:color="auto"/>
              <w:bottom w:val="single" w:sz="4" w:space="0" w:color="auto"/>
              <w:right w:val="single" w:sz="4" w:space="0" w:color="auto"/>
            </w:tcBorders>
            <w:hideMark/>
          </w:tcPr>
          <w:p w14:paraId="71A8231F" w14:textId="77777777" w:rsidR="00DC372B" w:rsidRPr="000B5DDC" w:rsidRDefault="00CD3F16" w:rsidP="00CB5353">
            <w:pPr>
              <w:jc w:val="left"/>
              <w:rPr>
                <w:noProof/>
              </w:rPr>
            </w:pPr>
            <w:r w:rsidRPr="000B5DDC">
              <w:rPr>
                <w:noProof/>
              </w:rPr>
              <w:t>Ocupación y sellado del suelo</w:t>
            </w:r>
          </w:p>
        </w:tc>
        <w:tc>
          <w:tcPr>
            <w:tcW w:w="7088" w:type="dxa"/>
            <w:tcBorders>
              <w:top w:val="single" w:sz="4" w:space="0" w:color="auto"/>
              <w:left w:val="single" w:sz="4" w:space="0" w:color="auto"/>
              <w:bottom w:val="single" w:sz="4" w:space="0" w:color="auto"/>
              <w:right w:val="single" w:sz="4" w:space="0" w:color="auto"/>
            </w:tcBorders>
          </w:tcPr>
          <w:p w14:paraId="5A58422A" w14:textId="77777777" w:rsidR="00DC372B" w:rsidRPr="000B5DDC" w:rsidRDefault="00134C3F" w:rsidP="00CB5353">
            <w:pPr>
              <w:jc w:val="left"/>
              <w:rPr>
                <w:noProof/>
              </w:rPr>
            </w:pPr>
            <w:r w:rsidRPr="000B5DDC">
              <w:rPr>
                <w:noProof/>
              </w:rPr>
              <w:t>Total de terrenos artificiales (km² y % de la superficie del Estado miembro)</w:t>
            </w:r>
          </w:p>
          <w:p w14:paraId="06EF204D" w14:textId="77777777" w:rsidR="00DC372B" w:rsidRPr="000B5DDC" w:rsidRDefault="00B63751" w:rsidP="00CB5353">
            <w:pPr>
              <w:jc w:val="left"/>
              <w:rPr>
                <w:noProof/>
              </w:rPr>
            </w:pPr>
            <w:r w:rsidRPr="000B5DDC">
              <w:rPr>
                <w:noProof/>
              </w:rPr>
              <w:t>Ocupación del suelo, ocupación inversa del suelo, ocupación neta del suelo (promedio por año — en km² y % de la superficie del Estado miembro)</w:t>
            </w:r>
          </w:p>
          <w:p w14:paraId="1EB6D1B0" w14:textId="77777777" w:rsidR="00DC372B" w:rsidRPr="000B5DDC" w:rsidRDefault="00DC372B" w:rsidP="00CB5353">
            <w:pPr>
              <w:jc w:val="left"/>
              <w:rPr>
                <w:noProof/>
              </w:rPr>
            </w:pPr>
            <w:r w:rsidRPr="000B5DDC">
              <w:rPr>
                <w:noProof/>
              </w:rPr>
              <w:t>Sellado del suelo (total km² y % de la superficie del Estado miembro)</w:t>
            </w:r>
          </w:p>
          <w:p w14:paraId="66970AC0" w14:textId="77777777" w:rsidR="00DC372B" w:rsidRPr="000B5DDC" w:rsidRDefault="00DC372B" w:rsidP="00CB5353">
            <w:pPr>
              <w:jc w:val="left"/>
              <w:rPr>
                <w:noProof/>
              </w:rPr>
            </w:pPr>
          </w:p>
          <w:p w14:paraId="4B846255" w14:textId="77777777" w:rsidR="00DC372B" w:rsidRPr="000B5DDC" w:rsidRDefault="00DC372B" w:rsidP="00CB5353">
            <w:pPr>
              <w:jc w:val="left"/>
              <w:rPr>
                <w:noProof/>
              </w:rPr>
            </w:pPr>
            <w:r w:rsidRPr="000B5DDC">
              <w:rPr>
                <w:noProof/>
              </w:rPr>
              <w:t xml:space="preserve">Los Estados miembros también pueden medir otros indicadores opcionales conexos, tales como: </w:t>
            </w:r>
          </w:p>
          <w:p w14:paraId="30BD3703" w14:textId="77777777" w:rsidR="00DC372B" w:rsidRPr="000B5DDC" w:rsidRDefault="00B3317C" w:rsidP="00CB5353">
            <w:pPr>
              <w:jc w:val="left"/>
              <w:rPr>
                <w:noProof/>
              </w:rPr>
            </w:pPr>
            <w:r w:rsidRPr="000B5DDC">
              <w:rPr>
                <w:noProof/>
              </w:rPr>
              <w:t xml:space="preserve">— la fragmentación del suelo; </w:t>
            </w:r>
          </w:p>
          <w:p w14:paraId="65F449A6" w14:textId="77777777" w:rsidR="00DC372B" w:rsidRPr="000B5DDC" w:rsidRDefault="00B3317C" w:rsidP="00CB5353">
            <w:pPr>
              <w:jc w:val="left"/>
              <w:rPr>
                <w:noProof/>
              </w:rPr>
            </w:pPr>
            <w:r w:rsidRPr="000B5DDC">
              <w:rPr>
                <w:noProof/>
              </w:rPr>
              <w:t xml:space="preserve">— la tasa de reciclado de superficies; </w:t>
            </w:r>
          </w:p>
          <w:p w14:paraId="67BA6428" w14:textId="77777777" w:rsidR="00DC372B" w:rsidRPr="000B5DDC" w:rsidRDefault="00B3317C" w:rsidP="00CB5353">
            <w:pPr>
              <w:jc w:val="left"/>
              <w:rPr>
                <w:noProof/>
              </w:rPr>
            </w:pPr>
            <w:r w:rsidRPr="000B5DDC">
              <w:rPr>
                <w:noProof/>
              </w:rPr>
              <w:t>— el suelo ocupado por actividades comerciales, centros de logística, energía renovable, superficies como aeropuertos, carreteras y minas;</w:t>
            </w:r>
          </w:p>
          <w:p w14:paraId="74A14039" w14:textId="77777777" w:rsidR="00DC372B" w:rsidRPr="000B5DDC" w:rsidRDefault="00B3317C" w:rsidP="00CB5353">
            <w:pPr>
              <w:jc w:val="left"/>
              <w:rPr>
                <w:noProof/>
              </w:rPr>
            </w:pPr>
            <w:r w:rsidRPr="000B5DDC">
              <w:rPr>
                <w:noProof/>
              </w:rPr>
              <w:t xml:space="preserve"> — las consecuencias de la ocupación del suelo, como la cuantificación de la pérdida de servicios ecosistémicos o el cambio en la intensidad de las inundaciones.</w:t>
            </w:r>
          </w:p>
        </w:tc>
      </w:tr>
    </w:tbl>
    <w:p w14:paraId="02E72392" w14:textId="77777777" w:rsidR="00F72C57" w:rsidRPr="000B5DDC" w:rsidRDefault="00F72C57" w:rsidP="00F72C57">
      <w:pPr>
        <w:rPr>
          <w:noProof/>
        </w:rPr>
        <w:sectPr w:rsidR="00F72C57" w:rsidRPr="000B5DDC" w:rsidSect="009410AC">
          <w:footerReference w:type="default" r:id="rId18"/>
          <w:footerReference w:type="first" r:id="rId19"/>
          <w:pgSz w:w="11907" w:h="16839"/>
          <w:pgMar w:top="1134" w:right="1417" w:bottom="1134" w:left="1417" w:header="709" w:footer="709" w:gutter="0"/>
          <w:cols w:space="720"/>
          <w:docGrid w:linePitch="360"/>
        </w:sectPr>
      </w:pPr>
    </w:p>
    <w:p w14:paraId="784C370E" w14:textId="796DB28B" w:rsidR="00F72C57" w:rsidRPr="000B5DDC" w:rsidRDefault="00F72C57" w:rsidP="00C872B7">
      <w:pPr>
        <w:pStyle w:val="Annexetitre"/>
        <w:rPr>
          <w:noProof/>
          <w:color w:val="0000FF"/>
        </w:rPr>
      </w:pPr>
      <w:r w:rsidRPr="000B5DDC">
        <w:rPr>
          <w:noProof/>
        </w:rPr>
        <w:t>ANEXO II</w:t>
      </w:r>
      <w:r w:rsidRPr="000B5DDC">
        <w:rPr>
          <w:noProof/>
        </w:rPr>
        <w:br/>
        <w:t xml:space="preserve"> </w:t>
      </w:r>
      <w:r w:rsidRPr="000B5DDC">
        <w:rPr>
          <w:noProof/>
        </w:rPr>
        <w:br/>
        <w:t xml:space="preserve">METODOLOGÍAS </w:t>
      </w:r>
    </w:p>
    <w:p w14:paraId="1EE91BF0" w14:textId="77777777" w:rsidR="00F72C57" w:rsidRPr="000B5DDC" w:rsidRDefault="00F72C57" w:rsidP="00F72C57">
      <w:pPr>
        <w:rPr>
          <w:noProof/>
        </w:rPr>
      </w:pPr>
    </w:p>
    <w:p w14:paraId="6FE1765D" w14:textId="77777777" w:rsidR="00F72C57" w:rsidRPr="000B5DDC" w:rsidRDefault="00CF4633" w:rsidP="00F72C57">
      <w:pPr>
        <w:rPr>
          <w:noProof/>
        </w:rPr>
      </w:pPr>
      <w:r w:rsidRPr="000B5DDC">
        <w:rPr>
          <w:noProof/>
        </w:rPr>
        <w:t>Parte A: Metodología para determinar los puntos de muestreo</w:t>
      </w:r>
    </w:p>
    <w:tbl>
      <w:tblPr>
        <w:tblStyle w:val="TableGrid"/>
        <w:tblW w:w="9322" w:type="dxa"/>
        <w:tblLook w:val="04A0" w:firstRow="1" w:lastRow="0" w:firstColumn="1" w:lastColumn="0" w:noHBand="0" w:noVBand="1"/>
      </w:tblPr>
      <w:tblGrid>
        <w:gridCol w:w="3492"/>
        <w:gridCol w:w="5830"/>
      </w:tblGrid>
      <w:tr w:rsidR="00240A35" w:rsidRPr="000B5DDC" w14:paraId="5AA762BD" w14:textId="77777777" w:rsidTr="00240A35">
        <w:tc>
          <w:tcPr>
            <w:tcW w:w="3492" w:type="dxa"/>
            <w:tcBorders>
              <w:top w:val="single" w:sz="4" w:space="0" w:color="auto"/>
              <w:left w:val="single" w:sz="4" w:space="0" w:color="auto"/>
              <w:bottom w:val="single" w:sz="4" w:space="0" w:color="auto"/>
              <w:right w:val="single" w:sz="4" w:space="0" w:color="auto"/>
            </w:tcBorders>
            <w:hideMark/>
          </w:tcPr>
          <w:p w14:paraId="3786C61F" w14:textId="77777777" w:rsidR="00240A35" w:rsidRPr="000B5DDC" w:rsidRDefault="00240A35" w:rsidP="00240A35">
            <w:pPr>
              <w:rPr>
                <w:b/>
                <w:noProof/>
              </w:rPr>
            </w:pPr>
            <w:r w:rsidRPr="000B5DDC">
              <w:rPr>
                <w:b/>
                <w:noProof/>
              </w:rPr>
              <w:t>Actividad</w:t>
            </w:r>
          </w:p>
        </w:tc>
        <w:tc>
          <w:tcPr>
            <w:tcW w:w="5830" w:type="dxa"/>
            <w:tcBorders>
              <w:top w:val="single" w:sz="4" w:space="0" w:color="auto"/>
              <w:left w:val="single" w:sz="4" w:space="0" w:color="auto"/>
              <w:bottom w:val="single" w:sz="4" w:space="0" w:color="auto"/>
              <w:right w:val="single" w:sz="4" w:space="0" w:color="auto"/>
            </w:tcBorders>
            <w:hideMark/>
          </w:tcPr>
          <w:p w14:paraId="486B6250" w14:textId="77777777" w:rsidR="00240A35" w:rsidRPr="000B5DDC" w:rsidRDefault="00240A35" w:rsidP="00240A35">
            <w:pPr>
              <w:rPr>
                <w:b/>
                <w:noProof/>
              </w:rPr>
            </w:pPr>
            <w:r w:rsidRPr="000B5DDC">
              <w:rPr>
                <w:b/>
                <w:noProof/>
              </w:rPr>
              <w:t>Criterios metodológicos mínimos</w:t>
            </w:r>
          </w:p>
        </w:tc>
      </w:tr>
      <w:tr w:rsidR="00240A35" w:rsidRPr="000B5DDC" w14:paraId="00BD5F18" w14:textId="77777777" w:rsidTr="00240A35">
        <w:tc>
          <w:tcPr>
            <w:tcW w:w="3492" w:type="dxa"/>
            <w:tcBorders>
              <w:top w:val="single" w:sz="4" w:space="0" w:color="auto"/>
              <w:left w:val="single" w:sz="4" w:space="0" w:color="auto"/>
              <w:bottom w:val="single" w:sz="4" w:space="0" w:color="auto"/>
              <w:right w:val="single" w:sz="4" w:space="0" w:color="auto"/>
            </w:tcBorders>
            <w:hideMark/>
          </w:tcPr>
          <w:p w14:paraId="6283D808" w14:textId="77777777" w:rsidR="00240A35" w:rsidRPr="000B5DDC" w:rsidRDefault="00240A35" w:rsidP="00240A35">
            <w:pPr>
              <w:rPr>
                <w:noProof/>
              </w:rPr>
            </w:pPr>
            <w:r w:rsidRPr="000B5DDC">
              <w:rPr>
                <w:noProof/>
              </w:rPr>
              <w:t>Determinación de los puntos de muestreo del suelo (estudio muestral)</w:t>
            </w:r>
          </w:p>
        </w:tc>
        <w:tc>
          <w:tcPr>
            <w:tcW w:w="5830" w:type="dxa"/>
            <w:tcBorders>
              <w:top w:val="single" w:sz="4" w:space="0" w:color="auto"/>
              <w:left w:val="single" w:sz="4" w:space="0" w:color="auto"/>
              <w:bottom w:val="single" w:sz="4" w:space="0" w:color="auto"/>
              <w:right w:val="single" w:sz="4" w:space="0" w:color="auto"/>
            </w:tcBorders>
            <w:hideMark/>
          </w:tcPr>
          <w:p w14:paraId="77038FE8" w14:textId="77777777" w:rsidR="00240A35" w:rsidRPr="000B5DDC" w:rsidRDefault="00240A35" w:rsidP="00240A35">
            <w:pPr>
              <w:rPr>
                <w:noProof/>
              </w:rPr>
            </w:pPr>
            <w:r w:rsidRPr="000B5DDC">
              <w:rPr>
                <w:noProof/>
              </w:rPr>
              <w:t>El estudio muestral se diseñará a partir de un marco de muestras completo que contenga la mejor información disponible sobre la distribución de las propiedades del suelo, entre la que se encontrará la información resultante de mediciones nacionales anteriores y de mediciones realizadas en el marco del programa LUCAS.</w:t>
            </w:r>
          </w:p>
          <w:p w14:paraId="5EB4B1CA" w14:textId="77777777" w:rsidR="000B2B12" w:rsidRPr="000B5DDC" w:rsidRDefault="00240A35" w:rsidP="00240A35">
            <w:pPr>
              <w:rPr>
                <w:noProof/>
              </w:rPr>
            </w:pPr>
            <w:r w:rsidRPr="000B5DDC">
              <w:rPr>
                <w:noProof/>
              </w:rPr>
              <w:t xml:space="preserve">El sistema de muestreo será un muestreo aleatorio estratificado optimizado conforme a los descriptores de la salud del suelo. </w:t>
            </w:r>
          </w:p>
          <w:p w14:paraId="55156B9F" w14:textId="77777777" w:rsidR="00240A35" w:rsidRPr="000B5DDC" w:rsidRDefault="00240A35" w:rsidP="00240A35">
            <w:pPr>
              <w:rPr>
                <w:noProof/>
              </w:rPr>
            </w:pPr>
            <w:r w:rsidRPr="000B5DDC">
              <w:rPr>
                <w:noProof/>
              </w:rPr>
              <w:t>El tamaño de la muestra nacional cumplirá el requisito de un error porcentual máximo (o coeficiente de variación) del 5 % para la estimación de la superficie que tiene suelos sanos.</w:t>
            </w:r>
          </w:p>
          <w:p w14:paraId="31CE996A" w14:textId="77777777" w:rsidR="00B728CA" w:rsidRPr="000B5DDC" w:rsidRDefault="00B728CA" w:rsidP="00240A35">
            <w:pPr>
              <w:rPr>
                <w:noProof/>
              </w:rPr>
            </w:pPr>
            <w:r w:rsidRPr="000B5DDC">
              <w:rPr>
                <w:noProof/>
              </w:rPr>
              <w:t>La muestra de la Comisión para el estudio establecido en el artículo 6, apartado 4, puede representar como máximo el 20 % del tamaño de las muestras nacionales.</w:t>
            </w:r>
          </w:p>
          <w:p w14:paraId="5DE04B80" w14:textId="77777777" w:rsidR="00240A35" w:rsidRPr="000B5DDC" w:rsidRDefault="00240A35" w:rsidP="00240A35">
            <w:pPr>
              <w:rPr>
                <w:noProof/>
              </w:rPr>
            </w:pPr>
            <w:r w:rsidRPr="000B5DDC">
              <w:rPr>
                <w:noProof/>
              </w:rPr>
              <w:t>La asignación y el tamaño de la muestra se determinarán mediante la aplicación del algoritmo de Bethel (Bethel, 1989)</w:t>
            </w:r>
            <w:r w:rsidRPr="000B5DDC">
              <w:rPr>
                <w:rStyle w:val="FootnoteReference"/>
                <w:noProof/>
              </w:rPr>
              <w:footnoteReference w:id="7"/>
            </w:r>
            <w:r w:rsidRPr="000B5DDC">
              <w:rPr>
                <w:noProof/>
              </w:rPr>
              <w:t xml:space="preserve">, teniendo en cuenta el error de estimación máximo admisible. </w:t>
            </w:r>
          </w:p>
        </w:tc>
      </w:tr>
    </w:tbl>
    <w:p w14:paraId="7BF5DD47" w14:textId="77777777" w:rsidR="00F72C57" w:rsidRPr="000B5DDC" w:rsidRDefault="00F72C57" w:rsidP="00F72C57">
      <w:pPr>
        <w:rPr>
          <w:noProof/>
        </w:rPr>
      </w:pPr>
    </w:p>
    <w:p w14:paraId="2236EA87" w14:textId="77777777" w:rsidR="009E75E7" w:rsidRPr="000B5DDC" w:rsidRDefault="00523379" w:rsidP="00F72C57">
      <w:pPr>
        <w:rPr>
          <w:noProof/>
        </w:rPr>
      </w:pPr>
      <w:r w:rsidRPr="000B5DDC">
        <w:rPr>
          <w:noProof/>
        </w:rPr>
        <w:t>Parte B: Metodología para determinar o calcular los valores de los descriptores del suelo</w:t>
      </w:r>
    </w:p>
    <w:p w14:paraId="2FCFF41E" w14:textId="77777777" w:rsidR="006720D0" w:rsidRPr="000B5DDC" w:rsidRDefault="006720D0" w:rsidP="00F72C57">
      <w:pPr>
        <w:rPr>
          <w:noProof/>
        </w:rPr>
      </w:pPr>
      <w:r w:rsidRPr="000B5DDC">
        <w:rPr>
          <w:noProof/>
        </w:rPr>
        <w:t>Cuando exista una metodología de referencia, se utilizará la metodología de referencia u otra metodología disponible en la bibliografía científica o de acceso público y siempre que exista una función de transferencia validada.</w:t>
      </w:r>
    </w:p>
    <w:tbl>
      <w:tblPr>
        <w:tblStyle w:val="TableGrid"/>
        <w:tblW w:w="10031" w:type="dxa"/>
        <w:tblLook w:val="04A0" w:firstRow="1" w:lastRow="0" w:firstColumn="1" w:lastColumn="0" w:noHBand="0" w:noVBand="1"/>
      </w:tblPr>
      <w:tblGrid>
        <w:gridCol w:w="2071"/>
        <w:gridCol w:w="2827"/>
        <w:gridCol w:w="3290"/>
        <w:gridCol w:w="1843"/>
      </w:tblGrid>
      <w:tr w:rsidR="00E909CA" w:rsidRPr="000B5DDC" w14:paraId="2811D7A5"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57D4E9C8" w14:textId="77777777" w:rsidR="00E909CA" w:rsidRPr="000B5DDC" w:rsidRDefault="00E909CA" w:rsidP="00A73660">
            <w:pPr>
              <w:rPr>
                <w:b/>
                <w:noProof/>
              </w:rPr>
            </w:pPr>
            <w:r w:rsidRPr="000B5DDC">
              <w:rPr>
                <w:b/>
                <w:noProof/>
              </w:rPr>
              <w:t>Descriptor del suelo</w:t>
            </w:r>
          </w:p>
        </w:tc>
        <w:tc>
          <w:tcPr>
            <w:tcW w:w="2827" w:type="dxa"/>
            <w:tcBorders>
              <w:top w:val="single" w:sz="4" w:space="0" w:color="auto"/>
              <w:left w:val="single" w:sz="4" w:space="0" w:color="auto"/>
              <w:bottom w:val="single" w:sz="4" w:space="0" w:color="auto"/>
              <w:right w:val="single" w:sz="4" w:space="0" w:color="auto"/>
            </w:tcBorders>
            <w:hideMark/>
          </w:tcPr>
          <w:p w14:paraId="1E19710E" w14:textId="77777777" w:rsidR="00E909CA" w:rsidRPr="000B5DDC" w:rsidRDefault="00E909CA" w:rsidP="00A73660">
            <w:pPr>
              <w:rPr>
                <w:b/>
                <w:noProof/>
              </w:rPr>
            </w:pPr>
            <w:r w:rsidRPr="000B5DDC">
              <w:rPr>
                <w:b/>
                <w:noProof/>
              </w:rPr>
              <w:t>Metodología de referencia</w:t>
            </w:r>
          </w:p>
        </w:tc>
        <w:tc>
          <w:tcPr>
            <w:tcW w:w="3290" w:type="dxa"/>
            <w:tcBorders>
              <w:top w:val="single" w:sz="4" w:space="0" w:color="auto"/>
              <w:left w:val="single" w:sz="4" w:space="0" w:color="auto"/>
              <w:bottom w:val="single" w:sz="4" w:space="0" w:color="auto"/>
              <w:right w:val="single" w:sz="4" w:space="0" w:color="auto"/>
            </w:tcBorders>
            <w:hideMark/>
          </w:tcPr>
          <w:p w14:paraId="5112DFEE" w14:textId="77777777" w:rsidR="00E909CA" w:rsidRPr="000B5DDC" w:rsidRDefault="00E909CA" w:rsidP="00A73660">
            <w:pPr>
              <w:rPr>
                <w:b/>
                <w:noProof/>
              </w:rPr>
            </w:pPr>
            <w:r w:rsidRPr="000B5DDC">
              <w:rPr>
                <w:b/>
                <w:noProof/>
              </w:rPr>
              <w:t>Criterios metodológicos mínimos</w:t>
            </w:r>
          </w:p>
        </w:tc>
        <w:tc>
          <w:tcPr>
            <w:tcW w:w="1843" w:type="dxa"/>
            <w:tcBorders>
              <w:top w:val="single" w:sz="4" w:space="0" w:color="auto"/>
              <w:left w:val="single" w:sz="4" w:space="0" w:color="auto"/>
              <w:bottom w:val="single" w:sz="4" w:space="0" w:color="auto"/>
              <w:right w:val="single" w:sz="4" w:space="0" w:color="auto"/>
            </w:tcBorders>
          </w:tcPr>
          <w:p w14:paraId="5C258FFE" w14:textId="77777777" w:rsidR="00E909CA" w:rsidRPr="000B5DDC" w:rsidRDefault="00623410" w:rsidP="00A73660">
            <w:pPr>
              <w:rPr>
                <w:b/>
                <w:noProof/>
              </w:rPr>
            </w:pPr>
            <w:r w:rsidRPr="000B5DDC">
              <w:rPr>
                <w:b/>
                <w:noProof/>
              </w:rPr>
              <w:t>¿Se exige una función de transferencia validada (si se utiliza una metodología distinta de la metodología de referencia</w:t>
            </w:r>
            <w:r w:rsidRPr="000B5DDC">
              <w:rPr>
                <w:rStyle w:val="FootnoteReference"/>
                <w:b/>
                <w:noProof/>
              </w:rPr>
              <w:footnoteReference w:id="8"/>
            </w:r>
            <w:r w:rsidRPr="000B5DDC">
              <w:rPr>
                <w:b/>
                <w:noProof/>
              </w:rPr>
              <w:t xml:space="preserve">)? </w:t>
            </w:r>
          </w:p>
        </w:tc>
      </w:tr>
      <w:tr w:rsidR="00E909CA" w:rsidRPr="000B5DDC" w14:paraId="7C5F64CD"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4F8A9CA6" w14:textId="77777777" w:rsidR="00E909CA" w:rsidRPr="000B5DDC" w:rsidRDefault="00E909CA" w:rsidP="00A73660">
            <w:pPr>
              <w:rPr>
                <w:noProof/>
              </w:rPr>
            </w:pPr>
            <w:r w:rsidRPr="000B5DDC">
              <w:rPr>
                <w:noProof/>
              </w:rPr>
              <w:t>Textura del suelo (contenido de arcilla, limo y arena – necesario para la determinación de otros descriptores y rangos relacionados)</w:t>
            </w:r>
          </w:p>
        </w:tc>
        <w:tc>
          <w:tcPr>
            <w:tcW w:w="2827" w:type="dxa"/>
            <w:tcBorders>
              <w:top w:val="single" w:sz="4" w:space="0" w:color="auto"/>
              <w:left w:val="single" w:sz="4" w:space="0" w:color="auto"/>
              <w:bottom w:val="single" w:sz="4" w:space="0" w:color="auto"/>
              <w:right w:val="single" w:sz="4" w:space="0" w:color="auto"/>
            </w:tcBorders>
            <w:hideMark/>
          </w:tcPr>
          <w:p w14:paraId="13A85FA1" w14:textId="77777777" w:rsidR="00E909CA" w:rsidRPr="000B5DDC" w:rsidRDefault="00BA66DB" w:rsidP="00A73660">
            <w:pPr>
              <w:rPr>
                <w:noProof/>
              </w:rPr>
            </w:pPr>
            <w:r w:rsidRPr="000B5DDC">
              <w:rPr>
                <w:noProof/>
              </w:rPr>
              <w:t>Método preferido: ISO 11277:1998 Determinación de la distribución granulométrica de la materia mineral de los suelos. Método por tamizado y sedimentación</w:t>
            </w:r>
          </w:p>
          <w:p w14:paraId="3D69565D" w14:textId="77777777" w:rsidR="00E909CA" w:rsidRPr="000B5DDC" w:rsidRDefault="00BA66DB" w:rsidP="00A73660">
            <w:pPr>
              <w:rPr>
                <w:noProof/>
              </w:rPr>
            </w:pPr>
            <w:r w:rsidRPr="000B5DDC">
              <w:rPr>
                <w:noProof/>
              </w:rPr>
              <w:t>Método alternativo: ISO 13320:2009 Análisis granulométrico. Métodos de difracción de láser</w:t>
            </w:r>
          </w:p>
        </w:tc>
        <w:tc>
          <w:tcPr>
            <w:tcW w:w="3290" w:type="dxa"/>
            <w:tcBorders>
              <w:top w:val="single" w:sz="4" w:space="0" w:color="auto"/>
              <w:left w:val="single" w:sz="4" w:space="0" w:color="auto"/>
              <w:bottom w:val="single" w:sz="4" w:space="0" w:color="auto"/>
              <w:right w:val="single" w:sz="4" w:space="0" w:color="auto"/>
            </w:tcBorders>
          </w:tcPr>
          <w:p w14:paraId="0D231471"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15D3E0AF" w14:textId="77777777" w:rsidR="00E909CA" w:rsidRPr="000B5DDC" w:rsidRDefault="009C78D8" w:rsidP="00A73660">
            <w:pPr>
              <w:rPr>
                <w:noProof/>
              </w:rPr>
            </w:pPr>
            <w:r w:rsidRPr="000B5DDC">
              <w:rPr>
                <w:noProof/>
              </w:rPr>
              <w:t>SÍ</w:t>
            </w:r>
          </w:p>
        </w:tc>
      </w:tr>
      <w:tr w:rsidR="00E909CA" w:rsidRPr="000B5DDC" w14:paraId="1621F6CB"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72AAF465" w14:textId="77777777" w:rsidR="00E909CA" w:rsidRPr="000B5DDC" w:rsidRDefault="00E909CA" w:rsidP="00A73660">
            <w:pPr>
              <w:rPr>
                <w:b/>
                <w:noProof/>
              </w:rPr>
            </w:pPr>
            <w:r w:rsidRPr="000B5DDC">
              <w:rPr>
                <w:noProof/>
              </w:rPr>
              <w:t>Conductividad eléctrica</w:t>
            </w:r>
          </w:p>
        </w:tc>
        <w:tc>
          <w:tcPr>
            <w:tcW w:w="2827" w:type="dxa"/>
            <w:tcBorders>
              <w:top w:val="single" w:sz="4" w:space="0" w:color="auto"/>
              <w:left w:val="single" w:sz="4" w:space="0" w:color="auto"/>
              <w:bottom w:val="single" w:sz="4" w:space="0" w:color="auto"/>
              <w:right w:val="single" w:sz="4" w:space="0" w:color="auto"/>
            </w:tcBorders>
            <w:hideMark/>
          </w:tcPr>
          <w:p w14:paraId="236EC480" w14:textId="00677D21" w:rsidR="006748CD" w:rsidRPr="000B5DDC" w:rsidRDefault="003479DC" w:rsidP="003479DC">
            <w:pPr>
              <w:rPr>
                <w:noProof/>
              </w:rPr>
            </w:pPr>
            <w:r w:rsidRPr="000B5DDC">
              <w:rPr>
                <w:noProof/>
              </w:rPr>
              <w:t>Opción 1: método de medición del extracto de pasta saturada (CEe) (PNT FAO: GLOSOLAN-SOP-08</w:t>
            </w:r>
            <w:r w:rsidRPr="000B5DDC">
              <w:rPr>
                <w:rStyle w:val="FootnoteReference"/>
                <w:noProof/>
              </w:rPr>
              <w:footnoteReference w:id="9"/>
            </w:r>
            <w:r w:rsidRPr="000B5DDC">
              <w:rPr>
                <w:noProof/>
              </w:rPr>
              <w:t>)</w:t>
            </w:r>
          </w:p>
          <w:p w14:paraId="6B751513" w14:textId="77777777" w:rsidR="00E909CA" w:rsidRPr="000B5DDC" w:rsidRDefault="006748CD" w:rsidP="00A73660">
            <w:pPr>
              <w:rPr>
                <w:noProof/>
              </w:rPr>
            </w:pPr>
            <w:r w:rsidRPr="000B5DDC">
              <w:rPr>
                <w:noProof/>
              </w:rPr>
              <w:t xml:space="preserve">Opción 2: ISO 11265:1994 Determinación de la conductividad eléctrica específica; </w:t>
            </w:r>
          </w:p>
        </w:tc>
        <w:tc>
          <w:tcPr>
            <w:tcW w:w="3290" w:type="dxa"/>
            <w:tcBorders>
              <w:top w:val="single" w:sz="4" w:space="0" w:color="auto"/>
              <w:left w:val="single" w:sz="4" w:space="0" w:color="auto"/>
              <w:bottom w:val="single" w:sz="4" w:space="0" w:color="auto"/>
              <w:right w:val="single" w:sz="4" w:space="0" w:color="auto"/>
            </w:tcBorders>
          </w:tcPr>
          <w:p w14:paraId="05B66B0C"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423569A0" w14:textId="77777777" w:rsidR="00E909CA" w:rsidRPr="000B5DDC" w:rsidRDefault="009C78D8" w:rsidP="00A73660">
            <w:pPr>
              <w:rPr>
                <w:noProof/>
              </w:rPr>
            </w:pPr>
            <w:r w:rsidRPr="000B5DDC">
              <w:rPr>
                <w:noProof/>
              </w:rPr>
              <w:t>SÍ</w:t>
            </w:r>
          </w:p>
        </w:tc>
      </w:tr>
      <w:tr w:rsidR="00E909CA" w:rsidRPr="000B5DDC" w14:paraId="5FCB659E"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30059127" w14:textId="77777777" w:rsidR="00E909CA" w:rsidRPr="000B5DDC" w:rsidRDefault="00E909CA" w:rsidP="00A73660">
            <w:pPr>
              <w:rPr>
                <w:b/>
                <w:noProof/>
              </w:rPr>
            </w:pPr>
            <w:r w:rsidRPr="000B5DDC">
              <w:rPr>
                <w:noProof/>
              </w:rPr>
              <w:t>Índice de erosión del suelo</w:t>
            </w:r>
          </w:p>
        </w:tc>
        <w:tc>
          <w:tcPr>
            <w:tcW w:w="2827" w:type="dxa"/>
            <w:tcBorders>
              <w:top w:val="single" w:sz="4" w:space="0" w:color="auto"/>
              <w:left w:val="single" w:sz="4" w:space="0" w:color="auto"/>
              <w:bottom w:val="single" w:sz="4" w:space="0" w:color="auto"/>
              <w:right w:val="single" w:sz="4" w:space="0" w:color="auto"/>
            </w:tcBorders>
          </w:tcPr>
          <w:p w14:paraId="609E62FA" w14:textId="77777777" w:rsidR="00E909CA" w:rsidRPr="000B5DDC" w:rsidRDefault="00E909CA" w:rsidP="00A73660">
            <w:pPr>
              <w:rPr>
                <w:noProof/>
              </w:rPr>
            </w:pPr>
          </w:p>
        </w:tc>
        <w:tc>
          <w:tcPr>
            <w:tcW w:w="3290" w:type="dxa"/>
            <w:tcBorders>
              <w:top w:val="single" w:sz="4" w:space="0" w:color="auto"/>
              <w:left w:val="single" w:sz="4" w:space="0" w:color="auto"/>
              <w:bottom w:val="single" w:sz="4" w:space="0" w:color="auto"/>
              <w:right w:val="single" w:sz="4" w:space="0" w:color="auto"/>
            </w:tcBorders>
            <w:hideMark/>
          </w:tcPr>
          <w:p w14:paraId="3747FA8C" w14:textId="77777777" w:rsidR="00E909CA" w:rsidRPr="000B5DDC" w:rsidRDefault="00E909CA" w:rsidP="00A73660">
            <w:pPr>
              <w:rPr>
                <w:noProof/>
              </w:rPr>
            </w:pPr>
            <w:r w:rsidRPr="000B5DDC">
              <w:rPr>
                <w:noProof/>
              </w:rPr>
              <w:t>El cálculo del índice de erosión del suelo tendrá en cuenta todas las medidas adoptadas para reducir o compensar el riesgo de erosión, en particular las medidas de mitigación posteriores a un incendio.</w:t>
            </w:r>
          </w:p>
          <w:p w14:paraId="5F638BA6" w14:textId="77777777" w:rsidR="00E909CA" w:rsidRPr="000B5DDC" w:rsidRDefault="00E909CA" w:rsidP="00A73660">
            <w:pPr>
              <w:rPr>
                <w:noProof/>
              </w:rPr>
            </w:pPr>
            <w:r w:rsidRPr="000B5DDC">
              <w:rPr>
                <w:noProof/>
              </w:rPr>
              <w:t>La estimación del índice de erosión del suelo incluirá todos los procesos erosivos pertinentes, como la erosión causada por el agua, el viento, la cosecha y la labranza.</w:t>
            </w:r>
          </w:p>
          <w:p w14:paraId="08F14164" w14:textId="77777777" w:rsidR="00E909CA" w:rsidRPr="000B5DDC" w:rsidRDefault="00E909CA" w:rsidP="00A73660">
            <w:pPr>
              <w:rPr>
                <w:noProof/>
              </w:rPr>
            </w:pPr>
            <w:r w:rsidRPr="000B5DDC">
              <w:rPr>
                <w:noProof/>
              </w:rPr>
              <w:t xml:space="preserve">La erosión del suelo causada por el agua se evaluará teniendo en cuenta los siguientes factores: </w:t>
            </w:r>
          </w:p>
          <w:p w14:paraId="2A6643E4" w14:textId="77777777" w:rsidR="00E909CA" w:rsidRPr="000B5DDC" w:rsidRDefault="00E909CA" w:rsidP="00EB18D7">
            <w:pPr>
              <w:numPr>
                <w:ilvl w:val="0"/>
                <w:numId w:val="5"/>
              </w:numPr>
              <w:ind w:left="492"/>
              <w:rPr>
                <w:noProof/>
              </w:rPr>
            </w:pPr>
            <w:r w:rsidRPr="000B5DDC">
              <w:rPr>
                <w:noProof/>
              </w:rPr>
              <w:t xml:space="preserve">las características del suelo (por ejemplo, la erosionabilidad, la formación de costras, la rugosidad del suelo), </w:t>
            </w:r>
          </w:p>
          <w:p w14:paraId="30473BE6" w14:textId="77777777" w:rsidR="00FE2DDE" w:rsidRPr="000B5DDC" w:rsidRDefault="00E909CA" w:rsidP="00EB18D7">
            <w:pPr>
              <w:numPr>
                <w:ilvl w:val="0"/>
                <w:numId w:val="5"/>
              </w:numPr>
              <w:ind w:left="492"/>
              <w:rPr>
                <w:noProof/>
              </w:rPr>
            </w:pPr>
            <w:r w:rsidRPr="000B5DDC">
              <w:rPr>
                <w:noProof/>
              </w:rPr>
              <w:t xml:space="preserve">el clima (por ejemplo, la erosividad de la lluvia: intensidad y duración, teniendo en cuenta las proyecciones de cambio climático pertinentes para la una zona determinada), </w:t>
            </w:r>
          </w:p>
          <w:p w14:paraId="37D1B7A1" w14:textId="77777777" w:rsidR="00E909CA" w:rsidRPr="000B5DDC" w:rsidRDefault="00E909CA" w:rsidP="00EB18D7">
            <w:pPr>
              <w:numPr>
                <w:ilvl w:val="0"/>
                <w:numId w:val="5"/>
              </w:numPr>
              <w:ind w:left="492"/>
              <w:rPr>
                <w:noProof/>
              </w:rPr>
            </w:pPr>
            <w:r w:rsidRPr="000B5DDC">
              <w:rPr>
                <w:noProof/>
              </w:rPr>
              <w:t xml:space="preserve">la topografía (por ejemplo, la inclinación y la longitud de la pendiente), </w:t>
            </w:r>
          </w:p>
          <w:p w14:paraId="037E6380" w14:textId="77777777" w:rsidR="00E909CA" w:rsidRPr="000B5DDC" w:rsidRDefault="00E909CA" w:rsidP="00EB18D7">
            <w:pPr>
              <w:numPr>
                <w:ilvl w:val="0"/>
                <w:numId w:val="5"/>
              </w:numPr>
              <w:ind w:left="492"/>
              <w:rPr>
                <w:noProof/>
              </w:rPr>
            </w:pPr>
            <w:r w:rsidRPr="000B5DDC">
              <w:rPr>
                <w:noProof/>
              </w:rPr>
              <w:t>la cubierta vegetal, el tipo de cultivo, las prácticas de uso y gestión de la tierra para controlar o reducir la erosión,</w:t>
            </w:r>
          </w:p>
          <w:p w14:paraId="22BBC7F8" w14:textId="77777777" w:rsidR="00666FC7" w:rsidRPr="000B5DDC" w:rsidRDefault="00666FC7" w:rsidP="00EB18D7">
            <w:pPr>
              <w:numPr>
                <w:ilvl w:val="0"/>
                <w:numId w:val="5"/>
              </w:numPr>
              <w:ind w:left="492"/>
              <w:rPr>
                <w:noProof/>
              </w:rPr>
            </w:pPr>
            <w:r w:rsidRPr="000B5DDC">
              <w:rPr>
                <w:noProof/>
              </w:rPr>
              <w:t>las prácticas de gestión (por ejemplo, cultivos de cobertura, labranza reducida, cubrición del suelo, etc.),</w:t>
            </w:r>
          </w:p>
          <w:p w14:paraId="18F33DDA" w14:textId="77777777" w:rsidR="00E909CA" w:rsidRPr="000B5DDC" w:rsidRDefault="00B24190" w:rsidP="00EB18D7">
            <w:pPr>
              <w:numPr>
                <w:ilvl w:val="0"/>
                <w:numId w:val="5"/>
              </w:numPr>
              <w:ind w:left="492"/>
              <w:rPr>
                <w:noProof/>
              </w:rPr>
            </w:pPr>
            <w:r w:rsidRPr="000B5DDC">
              <w:rPr>
                <w:noProof/>
              </w:rPr>
              <w:t>las zonas quemadas.</w:t>
            </w:r>
          </w:p>
          <w:p w14:paraId="469895FB" w14:textId="77777777" w:rsidR="00E909CA" w:rsidRPr="000B5DDC" w:rsidRDefault="00E909CA" w:rsidP="00A73660">
            <w:pPr>
              <w:rPr>
                <w:noProof/>
              </w:rPr>
            </w:pPr>
            <w:r w:rsidRPr="000B5DDC">
              <w:rPr>
                <w:noProof/>
              </w:rPr>
              <w:t xml:space="preserve">La erosión del suelo causada por el viento se evaluará teniendo en cuenta los siguientes factores: </w:t>
            </w:r>
          </w:p>
          <w:p w14:paraId="66BEAA74" w14:textId="77777777" w:rsidR="00E909CA" w:rsidRPr="000B5DDC" w:rsidRDefault="00E909CA" w:rsidP="00EB18D7">
            <w:pPr>
              <w:numPr>
                <w:ilvl w:val="0"/>
                <w:numId w:val="5"/>
              </w:numPr>
              <w:ind w:left="492"/>
              <w:rPr>
                <w:noProof/>
              </w:rPr>
            </w:pPr>
            <w:r w:rsidRPr="000B5DDC">
              <w:rPr>
                <w:noProof/>
              </w:rPr>
              <w:t xml:space="preserve">las características del suelo (por ejemplo, la erosionabilidad), </w:t>
            </w:r>
          </w:p>
          <w:p w14:paraId="3B9E100A" w14:textId="77777777" w:rsidR="00E909CA" w:rsidRPr="000B5DDC" w:rsidRDefault="00E909CA" w:rsidP="00EB18D7">
            <w:pPr>
              <w:numPr>
                <w:ilvl w:val="0"/>
                <w:numId w:val="5"/>
              </w:numPr>
              <w:ind w:left="492"/>
              <w:rPr>
                <w:noProof/>
              </w:rPr>
            </w:pPr>
            <w:r w:rsidRPr="000B5DDC">
              <w:rPr>
                <w:noProof/>
              </w:rPr>
              <w:t xml:space="preserve">el clima (por ejemplo, la humedad del suelo, la velocidad del viento, la evaporación), </w:t>
            </w:r>
          </w:p>
          <w:p w14:paraId="39DA18B0" w14:textId="77777777" w:rsidR="00E909CA" w:rsidRPr="000B5DDC" w:rsidRDefault="00E909CA" w:rsidP="00EB18D7">
            <w:pPr>
              <w:numPr>
                <w:ilvl w:val="0"/>
                <w:numId w:val="5"/>
              </w:numPr>
              <w:ind w:left="492"/>
              <w:rPr>
                <w:noProof/>
              </w:rPr>
            </w:pPr>
            <w:r w:rsidRPr="000B5DDC">
              <w:rPr>
                <w:noProof/>
              </w:rPr>
              <w:t>la vegetación (por ejemplo, el tipo de cultivo),</w:t>
            </w:r>
          </w:p>
          <w:p w14:paraId="7EF1F598" w14:textId="77777777" w:rsidR="00E909CA" w:rsidRPr="000B5DDC" w:rsidRDefault="00E909CA" w:rsidP="00EB18D7">
            <w:pPr>
              <w:numPr>
                <w:ilvl w:val="0"/>
                <w:numId w:val="5"/>
              </w:numPr>
              <w:ind w:left="492"/>
              <w:rPr>
                <w:noProof/>
              </w:rPr>
            </w:pPr>
            <w:r w:rsidRPr="000B5DDC">
              <w:rPr>
                <w:noProof/>
              </w:rPr>
              <w:t>las prácticas de gestión para controlar o reducir la erosión (por ejemplo, los cortavientos).</w:t>
            </w:r>
          </w:p>
        </w:tc>
        <w:tc>
          <w:tcPr>
            <w:tcW w:w="1843" w:type="dxa"/>
            <w:tcBorders>
              <w:top w:val="single" w:sz="4" w:space="0" w:color="auto"/>
              <w:left w:val="single" w:sz="4" w:space="0" w:color="auto"/>
              <w:bottom w:val="single" w:sz="4" w:space="0" w:color="auto"/>
              <w:right w:val="single" w:sz="4" w:space="0" w:color="auto"/>
            </w:tcBorders>
          </w:tcPr>
          <w:p w14:paraId="2367CA5F" w14:textId="77777777" w:rsidR="00E909CA" w:rsidRPr="000B5DDC" w:rsidRDefault="009C78D8" w:rsidP="00A73660">
            <w:pPr>
              <w:rPr>
                <w:noProof/>
              </w:rPr>
            </w:pPr>
            <w:r w:rsidRPr="000B5DDC">
              <w:rPr>
                <w:noProof/>
              </w:rPr>
              <w:t>N.p.</w:t>
            </w:r>
          </w:p>
        </w:tc>
      </w:tr>
      <w:tr w:rsidR="00E909CA" w:rsidRPr="000B5DDC" w14:paraId="6C6B21B6" w14:textId="77777777" w:rsidTr="000B5EE7">
        <w:trPr>
          <w:trHeight w:val="662"/>
        </w:trPr>
        <w:tc>
          <w:tcPr>
            <w:tcW w:w="2071" w:type="dxa"/>
            <w:tcBorders>
              <w:top w:val="single" w:sz="4" w:space="0" w:color="auto"/>
              <w:left w:val="single" w:sz="4" w:space="0" w:color="auto"/>
              <w:bottom w:val="single" w:sz="4" w:space="0" w:color="auto"/>
              <w:right w:val="single" w:sz="4" w:space="0" w:color="auto"/>
            </w:tcBorders>
            <w:hideMark/>
          </w:tcPr>
          <w:p w14:paraId="190646B4" w14:textId="77777777" w:rsidR="00E909CA" w:rsidRPr="000B5DDC" w:rsidRDefault="00E909CA" w:rsidP="00A73660">
            <w:pPr>
              <w:rPr>
                <w:noProof/>
              </w:rPr>
            </w:pPr>
            <w:r w:rsidRPr="000B5DDC">
              <w:rPr>
                <w:noProof/>
              </w:rPr>
              <w:t>Carbono orgánico del suelo</w:t>
            </w:r>
          </w:p>
        </w:tc>
        <w:tc>
          <w:tcPr>
            <w:tcW w:w="2827" w:type="dxa"/>
            <w:tcBorders>
              <w:top w:val="single" w:sz="4" w:space="0" w:color="auto"/>
              <w:left w:val="single" w:sz="4" w:space="0" w:color="auto"/>
              <w:bottom w:val="single" w:sz="4" w:space="0" w:color="auto"/>
              <w:right w:val="single" w:sz="4" w:space="0" w:color="auto"/>
            </w:tcBorders>
            <w:hideMark/>
          </w:tcPr>
          <w:p w14:paraId="20D314E0" w14:textId="77777777" w:rsidR="00E909CA" w:rsidRPr="000B5DDC" w:rsidRDefault="00E909CA" w:rsidP="00A73660">
            <w:pPr>
              <w:rPr>
                <w:noProof/>
              </w:rPr>
            </w:pPr>
            <w:r w:rsidRPr="000B5DDC">
              <w:rPr>
                <w:noProof/>
              </w:rPr>
              <w:t>ISO 10694:1995 Determinación del carbono orgánico y del carbono total después de la combustión seca</w:t>
            </w:r>
          </w:p>
        </w:tc>
        <w:tc>
          <w:tcPr>
            <w:tcW w:w="3290" w:type="dxa"/>
            <w:tcBorders>
              <w:top w:val="single" w:sz="4" w:space="0" w:color="auto"/>
              <w:left w:val="single" w:sz="4" w:space="0" w:color="auto"/>
              <w:bottom w:val="single" w:sz="4" w:space="0" w:color="auto"/>
              <w:right w:val="single" w:sz="4" w:space="0" w:color="auto"/>
            </w:tcBorders>
          </w:tcPr>
          <w:p w14:paraId="5CD492AA"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620B73EC" w14:textId="77777777" w:rsidR="00E909CA" w:rsidRPr="000B5DDC" w:rsidRDefault="009C78D8" w:rsidP="00A73660">
            <w:pPr>
              <w:rPr>
                <w:noProof/>
              </w:rPr>
            </w:pPr>
            <w:r w:rsidRPr="000B5DDC">
              <w:rPr>
                <w:noProof/>
              </w:rPr>
              <w:t>SÍ</w:t>
            </w:r>
          </w:p>
        </w:tc>
      </w:tr>
      <w:tr w:rsidR="00E909CA" w:rsidRPr="000B5DDC" w14:paraId="63E47C4E"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64F9426B" w14:textId="77777777" w:rsidR="00E909CA" w:rsidRPr="000B5DDC" w:rsidRDefault="00E909CA" w:rsidP="00A73660">
            <w:pPr>
              <w:rPr>
                <w:noProof/>
              </w:rPr>
            </w:pPr>
            <w:r w:rsidRPr="000B5DDC">
              <w:rPr>
                <w:noProof/>
              </w:rPr>
              <w:t>Densidad aparente en el subsuelo (horizonte B</w:t>
            </w:r>
            <w:r w:rsidRPr="000B5DDC">
              <w:rPr>
                <w:rStyle w:val="FootnoteReference"/>
                <w:noProof/>
              </w:rPr>
              <w:footnoteReference w:id="10"/>
            </w:r>
            <w:r w:rsidRPr="000B5DDC">
              <w:rPr>
                <w:noProof/>
              </w:rPr>
              <w:t>) o parámetro equivalente</w:t>
            </w:r>
            <w:r w:rsidRPr="000B5DDC">
              <w:rPr>
                <w:rStyle w:val="FootnoteReference"/>
                <w:noProof/>
              </w:rPr>
              <w:footnoteReference w:id="11"/>
            </w:r>
            <w:r w:rsidRPr="000B5DDC">
              <w:rPr>
                <w:noProof/>
              </w:rPr>
              <w:t xml:space="preserve"> elegido por los Estados miembros</w:t>
            </w:r>
          </w:p>
        </w:tc>
        <w:tc>
          <w:tcPr>
            <w:tcW w:w="2827" w:type="dxa"/>
            <w:tcBorders>
              <w:top w:val="single" w:sz="4" w:space="0" w:color="auto"/>
              <w:left w:val="single" w:sz="4" w:space="0" w:color="auto"/>
              <w:bottom w:val="single" w:sz="4" w:space="0" w:color="auto"/>
              <w:right w:val="single" w:sz="4" w:space="0" w:color="auto"/>
            </w:tcBorders>
          </w:tcPr>
          <w:p w14:paraId="4975F416" w14:textId="77777777" w:rsidR="00E909CA" w:rsidRPr="000B5DDC" w:rsidRDefault="00E909CA" w:rsidP="00A73660">
            <w:pPr>
              <w:rPr>
                <w:noProof/>
              </w:rPr>
            </w:pPr>
            <w:r w:rsidRPr="000B5DDC">
              <w:rPr>
                <w:noProof/>
              </w:rPr>
              <w:t xml:space="preserve">ISO 11272:2017 para la determinación de la densidad bruta seca </w:t>
            </w:r>
          </w:p>
          <w:p w14:paraId="4D21DB70" w14:textId="77777777" w:rsidR="00E909CA" w:rsidRPr="000B5DDC" w:rsidRDefault="00E909CA" w:rsidP="00A73660">
            <w:pPr>
              <w:rPr>
                <w:noProof/>
              </w:rPr>
            </w:pPr>
          </w:p>
          <w:p w14:paraId="26EC43A9" w14:textId="77777777" w:rsidR="00E909CA" w:rsidRPr="000B5DDC" w:rsidRDefault="00E909CA" w:rsidP="00A73660">
            <w:pPr>
              <w:rPr>
                <w:noProof/>
              </w:rPr>
            </w:pPr>
            <w:r w:rsidRPr="000B5DDC">
              <w:rPr>
                <w:noProof/>
              </w:rPr>
              <w:t xml:space="preserve">En caso de que se elija un parámetro equivalente, la metodología será o bien una norma europea o bien una norma internacional, cuando estén disponibles; Las metodologías distintas de la metodología de referencia deberán estar disponibles en la bibliografía científica o ser de acceso público. </w:t>
            </w:r>
          </w:p>
        </w:tc>
        <w:tc>
          <w:tcPr>
            <w:tcW w:w="3290" w:type="dxa"/>
            <w:tcBorders>
              <w:top w:val="single" w:sz="4" w:space="0" w:color="auto"/>
              <w:left w:val="single" w:sz="4" w:space="0" w:color="auto"/>
              <w:bottom w:val="single" w:sz="4" w:space="0" w:color="auto"/>
              <w:right w:val="single" w:sz="4" w:space="0" w:color="auto"/>
            </w:tcBorders>
          </w:tcPr>
          <w:p w14:paraId="50EC7A6B"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1B21346A" w14:textId="77777777" w:rsidR="00E909CA" w:rsidRPr="000B5DDC" w:rsidRDefault="009C78D8" w:rsidP="00A73660">
            <w:pPr>
              <w:rPr>
                <w:noProof/>
              </w:rPr>
            </w:pPr>
            <w:r w:rsidRPr="000B5DDC">
              <w:rPr>
                <w:noProof/>
              </w:rPr>
              <w:t>SÍ</w:t>
            </w:r>
          </w:p>
        </w:tc>
      </w:tr>
      <w:tr w:rsidR="00E909CA" w:rsidRPr="000B5DDC" w14:paraId="4B200D67"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4F81A636" w14:textId="77777777" w:rsidR="00E909CA" w:rsidRPr="000B5DDC" w:rsidRDefault="00E909CA" w:rsidP="00A73660">
            <w:pPr>
              <w:rPr>
                <w:noProof/>
              </w:rPr>
            </w:pPr>
            <w:r w:rsidRPr="000B5DDC">
              <w:rPr>
                <w:noProof/>
              </w:rPr>
              <w:t>Fósforo extraíble</w:t>
            </w:r>
          </w:p>
        </w:tc>
        <w:tc>
          <w:tcPr>
            <w:tcW w:w="2827" w:type="dxa"/>
            <w:tcBorders>
              <w:top w:val="single" w:sz="4" w:space="0" w:color="auto"/>
              <w:left w:val="single" w:sz="4" w:space="0" w:color="auto"/>
              <w:bottom w:val="single" w:sz="4" w:space="0" w:color="auto"/>
              <w:right w:val="single" w:sz="4" w:space="0" w:color="auto"/>
            </w:tcBorders>
            <w:hideMark/>
          </w:tcPr>
          <w:p w14:paraId="3BD23258" w14:textId="77777777" w:rsidR="00E909CA" w:rsidRPr="000B5DDC" w:rsidRDefault="00E909CA" w:rsidP="00A73660">
            <w:pPr>
              <w:rPr>
                <w:noProof/>
              </w:rPr>
            </w:pPr>
            <w:r w:rsidRPr="000B5DDC">
              <w:rPr>
                <w:noProof/>
              </w:rPr>
              <w:t>ISO 11263:1994 para la determinación espectrométrica del fósforo soluble en una solución de bicarbonato sódico (P-Olsen)</w:t>
            </w:r>
          </w:p>
        </w:tc>
        <w:tc>
          <w:tcPr>
            <w:tcW w:w="3290" w:type="dxa"/>
            <w:tcBorders>
              <w:top w:val="single" w:sz="4" w:space="0" w:color="auto"/>
              <w:left w:val="single" w:sz="4" w:space="0" w:color="auto"/>
              <w:bottom w:val="single" w:sz="4" w:space="0" w:color="auto"/>
              <w:right w:val="single" w:sz="4" w:space="0" w:color="auto"/>
            </w:tcBorders>
          </w:tcPr>
          <w:p w14:paraId="09E233D0"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45EA5DDF" w14:textId="77777777" w:rsidR="00E909CA" w:rsidRPr="000B5DDC" w:rsidRDefault="009C78D8" w:rsidP="00A73660">
            <w:pPr>
              <w:rPr>
                <w:noProof/>
              </w:rPr>
            </w:pPr>
            <w:r w:rsidRPr="000B5DDC">
              <w:rPr>
                <w:noProof/>
              </w:rPr>
              <w:t>SÍ</w:t>
            </w:r>
          </w:p>
        </w:tc>
      </w:tr>
      <w:tr w:rsidR="00E909CA" w:rsidRPr="000B5DDC" w14:paraId="3931DF30"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27AEF6A5" w14:textId="6522E253" w:rsidR="00E909CA" w:rsidRPr="000B5DDC" w:rsidRDefault="00E909CA" w:rsidP="00A73660">
            <w:pPr>
              <w:rPr>
                <w:noProof/>
              </w:rPr>
            </w:pPr>
            <w:r w:rsidRPr="000B5DDC">
              <w:rPr>
                <w:noProof/>
              </w:rPr>
              <w:t>— Concentración de metales pesados en el suelo:</w:t>
            </w:r>
            <w:bookmarkStart w:id="1" w:name="_Hlk125991502"/>
            <w:r w:rsidRPr="000B5DDC">
              <w:rPr>
                <w:noProof/>
              </w:rPr>
              <w:t xml:space="preserve"> As, Sb, Cd, Co, Cr (total), Cr (VI), Cu, Hg, Pb, Ni, Tl, V, Zn</w:t>
            </w:r>
            <w:bookmarkEnd w:id="1"/>
            <w:r w:rsidRPr="000B5DDC">
              <w:rPr>
                <w:noProof/>
              </w:rPr>
              <w:t xml:space="preserve"> </w:t>
            </w:r>
            <w:r w:rsidRPr="000B5DDC">
              <w:rPr>
                <w:noProof/>
              </w:rPr>
              <w:br/>
            </w:r>
            <w:r w:rsidR="00680F04" w:rsidRPr="000B5DDC">
              <w:rPr>
                <w:noProof/>
              </w:rPr>
              <w:t>— Concentración</w:t>
            </w:r>
            <w:r w:rsidRPr="000B5DDC">
              <w:rPr>
                <w:noProof/>
              </w:rPr>
              <w:t xml:space="preserve"> de una selección de contaminantes orgánicos definida por los Estados miembros y teniendo en cuenta la legislación vigente en la Unión (por ejemplo, sobre la calidad del agua o los plaguicidas)</w:t>
            </w:r>
          </w:p>
        </w:tc>
        <w:tc>
          <w:tcPr>
            <w:tcW w:w="2827" w:type="dxa"/>
            <w:tcBorders>
              <w:top w:val="single" w:sz="4" w:space="0" w:color="auto"/>
              <w:left w:val="single" w:sz="4" w:space="0" w:color="auto"/>
              <w:bottom w:val="single" w:sz="4" w:space="0" w:color="auto"/>
              <w:right w:val="single" w:sz="4" w:space="0" w:color="auto"/>
            </w:tcBorders>
            <w:hideMark/>
          </w:tcPr>
          <w:p w14:paraId="7E38E3B1" w14:textId="77777777" w:rsidR="00D24F44" w:rsidRPr="000B5DDC" w:rsidRDefault="00E909CA" w:rsidP="00A73660">
            <w:pPr>
              <w:rPr>
                <w:noProof/>
              </w:rPr>
            </w:pPr>
            <w:r w:rsidRPr="000B5DDC">
              <w:rPr>
                <w:noProof/>
              </w:rPr>
              <w:t>Contenido potencial en el medio ambiente de metales pesados en suelos sobre la base de la norma ISO 17586:2016 utilizando ácido nítrico diluido.</w:t>
            </w:r>
          </w:p>
          <w:p w14:paraId="6783EFA4" w14:textId="77777777" w:rsidR="00E909CA" w:rsidRPr="000B5DDC" w:rsidRDefault="00E909CA" w:rsidP="00A73660">
            <w:pPr>
              <w:rPr>
                <w:noProof/>
              </w:rPr>
            </w:pPr>
            <w:r w:rsidRPr="000B5DDC">
              <w:rPr>
                <w:noProof/>
              </w:rPr>
              <w:t xml:space="preserve"> </w:t>
            </w:r>
          </w:p>
        </w:tc>
        <w:tc>
          <w:tcPr>
            <w:tcW w:w="3290" w:type="dxa"/>
            <w:tcBorders>
              <w:top w:val="single" w:sz="4" w:space="0" w:color="auto"/>
              <w:left w:val="single" w:sz="4" w:space="0" w:color="auto"/>
              <w:bottom w:val="single" w:sz="4" w:space="0" w:color="auto"/>
              <w:right w:val="single" w:sz="4" w:space="0" w:color="auto"/>
            </w:tcBorders>
          </w:tcPr>
          <w:p w14:paraId="4B8D479C" w14:textId="77777777" w:rsidR="00E909CA" w:rsidRPr="000B5DDC" w:rsidRDefault="00E909CA" w:rsidP="00A73660">
            <w:pPr>
              <w:rPr>
                <w:noProof/>
              </w:rPr>
            </w:pPr>
          </w:p>
          <w:p w14:paraId="06010E22" w14:textId="77777777" w:rsidR="00E909CA" w:rsidRPr="000B5DDC" w:rsidRDefault="00E909CA" w:rsidP="00A73660">
            <w:pPr>
              <w:rPr>
                <w:noProof/>
              </w:rPr>
            </w:pPr>
          </w:p>
          <w:p w14:paraId="7187D563" w14:textId="77777777" w:rsidR="00E909CA" w:rsidRPr="000B5DDC" w:rsidRDefault="00E909CA" w:rsidP="00A73660">
            <w:pPr>
              <w:rPr>
                <w:noProof/>
              </w:rPr>
            </w:pPr>
          </w:p>
          <w:p w14:paraId="03122929" w14:textId="77777777" w:rsidR="00E909CA" w:rsidRPr="000B5DDC" w:rsidRDefault="00E909CA" w:rsidP="00A73660">
            <w:pPr>
              <w:rPr>
                <w:noProof/>
              </w:rPr>
            </w:pPr>
          </w:p>
          <w:p w14:paraId="6AC1B679" w14:textId="77777777" w:rsidR="00E909CA" w:rsidRPr="000B5DDC" w:rsidRDefault="00E909CA" w:rsidP="00A73660">
            <w:pPr>
              <w:rPr>
                <w:noProof/>
              </w:rPr>
            </w:pPr>
            <w:r w:rsidRPr="000B5DDC">
              <w:rPr>
                <w:noProof/>
              </w:rPr>
              <w:t>Usar normas europeas o internacionales de estar disponibles; Si no hay normas de este tipo disponibles, la metodología elegida estará disponible en la bibliografía científica o será de acceso público.</w:t>
            </w:r>
          </w:p>
        </w:tc>
        <w:tc>
          <w:tcPr>
            <w:tcW w:w="1843" w:type="dxa"/>
            <w:tcBorders>
              <w:top w:val="single" w:sz="4" w:space="0" w:color="auto"/>
              <w:left w:val="single" w:sz="4" w:space="0" w:color="auto"/>
              <w:bottom w:val="single" w:sz="4" w:space="0" w:color="auto"/>
              <w:right w:val="single" w:sz="4" w:space="0" w:color="auto"/>
            </w:tcBorders>
          </w:tcPr>
          <w:p w14:paraId="24824316" w14:textId="77777777" w:rsidR="00E909CA" w:rsidRPr="000B5DDC" w:rsidRDefault="009C78D8" w:rsidP="00A73660">
            <w:pPr>
              <w:rPr>
                <w:noProof/>
              </w:rPr>
            </w:pPr>
            <w:r w:rsidRPr="000B5DDC">
              <w:rPr>
                <w:noProof/>
              </w:rPr>
              <w:t>SÍ</w:t>
            </w:r>
          </w:p>
          <w:p w14:paraId="34546887" w14:textId="77777777" w:rsidR="00621508" w:rsidRPr="000B5DDC" w:rsidRDefault="00621508" w:rsidP="00A73660">
            <w:pPr>
              <w:rPr>
                <w:noProof/>
              </w:rPr>
            </w:pPr>
          </w:p>
          <w:p w14:paraId="253ACC1A" w14:textId="77777777" w:rsidR="00621508" w:rsidRPr="000B5DDC" w:rsidRDefault="00621508" w:rsidP="00A73660">
            <w:pPr>
              <w:rPr>
                <w:noProof/>
              </w:rPr>
            </w:pPr>
          </w:p>
          <w:p w14:paraId="5BB4B8BE" w14:textId="77777777" w:rsidR="00621508" w:rsidRPr="000B5DDC" w:rsidRDefault="00621508" w:rsidP="00A73660">
            <w:pPr>
              <w:rPr>
                <w:noProof/>
              </w:rPr>
            </w:pPr>
          </w:p>
          <w:p w14:paraId="3F202CD0" w14:textId="77777777" w:rsidR="00621508" w:rsidRPr="000B5DDC" w:rsidRDefault="00621508" w:rsidP="00A73660">
            <w:pPr>
              <w:rPr>
                <w:noProof/>
              </w:rPr>
            </w:pPr>
          </w:p>
          <w:p w14:paraId="5063EE98" w14:textId="77777777" w:rsidR="00621508" w:rsidRPr="000B5DDC" w:rsidRDefault="00621508" w:rsidP="00A73660">
            <w:pPr>
              <w:rPr>
                <w:noProof/>
              </w:rPr>
            </w:pPr>
          </w:p>
          <w:p w14:paraId="24C51E8D" w14:textId="77777777" w:rsidR="00621508" w:rsidRPr="000B5DDC" w:rsidRDefault="00621508" w:rsidP="00A73660">
            <w:pPr>
              <w:rPr>
                <w:noProof/>
              </w:rPr>
            </w:pPr>
            <w:r w:rsidRPr="000B5DDC">
              <w:rPr>
                <w:noProof/>
              </w:rPr>
              <w:t>N.p.</w:t>
            </w:r>
          </w:p>
        </w:tc>
      </w:tr>
      <w:tr w:rsidR="00E909CA" w:rsidRPr="000B5DDC" w14:paraId="4056A179"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494C17B8" w14:textId="77777777" w:rsidR="00E909CA" w:rsidRPr="000B5DDC" w:rsidRDefault="00E909CA" w:rsidP="00A73660">
            <w:pPr>
              <w:rPr>
                <w:noProof/>
              </w:rPr>
            </w:pPr>
            <w:bookmarkStart w:id="2" w:name="_Hlk125991626"/>
            <w:r w:rsidRPr="000B5DDC">
              <w:rPr>
                <w:noProof/>
              </w:rPr>
              <w:t>Capacidad de absorción de agua</w:t>
            </w:r>
            <w:bookmarkEnd w:id="2"/>
          </w:p>
        </w:tc>
        <w:tc>
          <w:tcPr>
            <w:tcW w:w="2827" w:type="dxa"/>
            <w:tcBorders>
              <w:top w:val="single" w:sz="4" w:space="0" w:color="auto"/>
              <w:left w:val="single" w:sz="4" w:space="0" w:color="auto"/>
              <w:bottom w:val="single" w:sz="4" w:space="0" w:color="auto"/>
              <w:right w:val="single" w:sz="4" w:space="0" w:color="auto"/>
            </w:tcBorders>
            <w:hideMark/>
          </w:tcPr>
          <w:p w14:paraId="0736BB2C" w14:textId="77777777" w:rsidR="00E909CA" w:rsidRPr="000B5DDC" w:rsidRDefault="00E909CA" w:rsidP="00A73660">
            <w:pPr>
              <w:rPr>
                <w:noProof/>
              </w:rPr>
            </w:pPr>
            <w:r w:rsidRPr="000B5DDC">
              <w:rPr>
                <w:noProof/>
              </w:rPr>
              <w:t>Metodología para determinar el valor para un punto de muestreo:</w:t>
            </w:r>
          </w:p>
          <w:p w14:paraId="59B74BD8" w14:textId="28EB4781" w:rsidR="00E909CA" w:rsidRPr="000B5DDC" w:rsidRDefault="00E909CA" w:rsidP="00A73660">
            <w:pPr>
              <w:rPr>
                <w:noProof/>
              </w:rPr>
            </w:pPr>
            <w:r w:rsidRPr="000B5DDC">
              <w:rPr>
                <w:noProof/>
              </w:rPr>
              <w:t>Opción 1: LABORATORIO: ISO 11274:2019 para la determinación de la característica de retención de agua.</w:t>
            </w:r>
          </w:p>
          <w:p w14:paraId="67E57489" w14:textId="77777777" w:rsidR="00E909CA" w:rsidRPr="000B5DDC" w:rsidRDefault="00E909CA" w:rsidP="00A73660">
            <w:pPr>
              <w:rPr>
                <w:noProof/>
              </w:rPr>
            </w:pPr>
            <w:r w:rsidRPr="000B5DDC">
              <w:rPr>
                <w:noProof/>
              </w:rPr>
              <w:t>Opción 2: ESTIMACIÓN: aplicar la metodología descrita en el artículo científico «New generation of hydraulic pedotransfer functions for Europe»</w:t>
            </w:r>
            <w:r w:rsidRPr="000B5DDC">
              <w:rPr>
                <w:rStyle w:val="FootnoteReference"/>
                <w:noProof/>
              </w:rPr>
              <w:footnoteReference w:id="12"/>
            </w:r>
            <w:r w:rsidRPr="000B5DDC">
              <w:rPr>
                <w:noProof/>
              </w:rPr>
              <w:t xml:space="preserve"> [«Nueva generación de funciones de pedotransferencia hidráulicas para Europa», documento en inglés], basada en la textura (o la distribución granulométrica) y el carbono orgánico del suelo.</w:t>
            </w:r>
          </w:p>
        </w:tc>
        <w:tc>
          <w:tcPr>
            <w:tcW w:w="3290" w:type="dxa"/>
            <w:tcBorders>
              <w:top w:val="single" w:sz="4" w:space="0" w:color="auto"/>
              <w:left w:val="single" w:sz="4" w:space="0" w:color="auto"/>
              <w:bottom w:val="single" w:sz="4" w:space="0" w:color="auto"/>
              <w:right w:val="single" w:sz="4" w:space="0" w:color="auto"/>
            </w:tcBorders>
            <w:hideMark/>
          </w:tcPr>
          <w:p w14:paraId="68B48827" w14:textId="77777777" w:rsidR="00E909CA" w:rsidRPr="000B5DDC" w:rsidRDefault="00E909CA" w:rsidP="00A73660">
            <w:pPr>
              <w:rPr>
                <w:noProof/>
              </w:rPr>
            </w:pPr>
            <w:bookmarkStart w:id="3" w:name="_Hlk126165520"/>
            <w:r w:rsidRPr="000B5DDC">
              <w:rPr>
                <w:noProof/>
              </w:rPr>
              <w:t>Criterios mínimos para calcular la capacidad total de retención de agua de un distrito edáfico a escala de cuenca o subcuenca hidrográfica:</w:t>
            </w:r>
          </w:p>
          <w:p w14:paraId="70D83EF2" w14:textId="77777777" w:rsidR="00E909CA" w:rsidRPr="000B5DDC" w:rsidRDefault="00E909CA" w:rsidP="00EB18D7">
            <w:pPr>
              <w:numPr>
                <w:ilvl w:val="0"/>
                <w:numId w:val="6"/>
              </w:numPr>
              <w:rPr>
                <w:noProof/>
              </w:rPr>
            </w:pPr>
            <w:r w:rsidRPr="000B5DDC">
              <w:rPr>
                <w:noProof/>
              </w:rPr>
              <w:t xml:space="preserve">para la superficie no ocupada, calcular el valor total de la capacidad de retención de agua del suelo </w:t>
            </w:r>
          </w:p>
          <w:p w14:paraId="32F3B0A4" w14:textId="77777777" w:rsidR="00E909CA" w:rsidRPr="000B5DDC" w:rsidRDefault="00E909CA" w:rsidP="00EB18D7">
            <w:pPr>
              <w:numPr>
                <w:ilvl w:val="0"/>
                <w:numId w:val="6"/>
              </w:numPr>
              <w:rPr>
                <w:noProof/>
              </w:rPr>
            </w:pPr>
            <w:r w:rsidRPr="000B5DDC">
              <w:rPr>
                <w:noProof/>
              </w:rPr>
              <w:t>para la superficie ocupada, considerar la posibilidad de establecer la capacidad de retención de agua de las zonas impermeables en cero y atribuir valores proporcionalmente intermedios a las zonas semiimpermeables y otras zonas artificiales.</w:t>
            </w:r>
            <w:bookmarkEnd w:id="3"/>
          </w:p>
        </w:tc>
        <w:tc>
          <w:tcPr>
            <w:tcW w:w="1843" w:type="dxa"/>
            <w:tcBorders>
              <w:top w:val="single" w:sz="4" w:space="0" w:color="auto"/>
              <w:left w:val="single" w:sz="4" w:space="0" w:color="auto"/>
              <w:bottom w:val="single" w:sz="4" w:space="0" w:color="auto"/>
              <w:right w:val="single" w:sz="4" w:space="0" w:color="auto"/>
            </w:tcBorders>
          </w:tcPr>
          <w:p w14:paraId="49CC5E9E" w14:textId="77777777" w:rsidR="00E909CA" w:rsidRPr="000B5DDC" w:rsidRDefault="009C78D8" w:rsidP="00A73660">
            <w:pPr>
              <w:rPr>
                <w:noProof/>
              </w:rPr>
            </w:pPr>
            <w:r w:rsidRPr="000B5DDC">
              <w:rPr>
                <w:noProof/>
              </w:rPr>
              <w:t>SÍ (para valor en el punto de muestreo)</w:t>
            </w:r>
          </w:p>
        </w:tc>
      </w:tr>
      <w:tr w:rsidR="00E909CA" w:rsidRPr="000B5DDC" w14:paraId="6A921A50"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567D8323" w14:textId="77777777" w:rsidR="00E909CA" w:rsidRPr="000B5DDC" w:rsidRDefault="00E909CA" w:rsidP="00A73660">
            <w:pPr>
              <w:rPr>
                <w:noProof/>
              </w:rPr>
            </w:pPr>
            <w:r w:rsidRPr="000B5DDC">
              <w:rPr>
                <w:noProof/>
              </w:rPr>
              <w:t xml:space="preserve">Nitrógeno en el suelo </w:t>
            </w:r>
          </w:p>
        </w:tc>
        <w:tc>
          <w:tcPr>
            <w:tcW w:w="2827" w:type="dxa"/>
            <w:tcBorders>
              <w:top w:val="single" w:sz="4" w:space="0" w:color="auto"/>
              <w:left w:val="single" w:sz="4" w:space="0" w:color="auto"/>
              <w:bottom w:val="single" w:sz="4" w:space="0" w:color="auto"/>
              <w:right w:val="single" w:sz="4" w:space="0" w:color="auto"/>
            </w:tcBorders>
            <w:hideMark/>
          </w:tcPr>
          <w:p w14:paraId="281CA9F0" w14:textId="77777777" w:rsidR="00E909CA" w:rsidRPr="000B5DDC" w:rsidRDefault="00E909CA" w:rsidP="00A73660">
            <w:pPr>
              <w:rPr>
                <w:noProof/>
              </w:rPr>
            </w:pPr>
            <w:r w:rsidRPr="000B5DDC">
              <w:rPr>
                <w:noProof/>
              </w:rPr>
              <w:t>ISO 11261:1995 para la determinación del nitrógeno total en el suelo por medio de un método de Kjeldahl modificado</w:t>
            </w:r>
          </w:p>
        </w:tc>
        <w:tc>
          <w:tcPr>
            <w:tcW w:w="3290" w:type="dxa"/>
            <w:tcBorders>
              <w:top w:val="single" w:sz="4" w:space="0" w:color="auto"/>
              <w:left w:val="single" w:sz="4" w:space="0" w:color="auto"/>
              <w:bottom w:val="single" w:sz="4" w:space="0" w:color="auto"/>
              <w:right w:val="single" w:sz="4" w:space="0" w:color="auto"/>
            </w:tcBorders>
          </w:tcPr>
          <w:p w14:paraId="6EB015F4"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74473390" w14:textId="77777777" w:rsidR="00E909CA" w:rsidRPr="000B5DDC" w:rsidRDefault="009C78D8" w:rsidP="00A73660">
            <w:pPr>
              <w:rPr>
                <w:noProof/>
              </w:rPr>
            </w:pPr>
            <w:r w:rsidRPr="000B5DDC">
              <w:rPr>
                <w:noProof/>
              </w:rPr>
              <w:t>SÍ</w:t>
            </w:r>
          </w:p>
        </w:tc>
      </w:tr>
      <w:tr w:rsidR="00E909CA" w:rsidRPr="000B5DDC" w14:paraId="0E3B7F60"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02086AC6" w14:textId="77777777" w:rsidR="00E909CA" w:rsidRPr="000B5DDC" w:rsidRDefault="00F94375" w:rsidP="00A73660">
            <w:pPr>
              <w:rPr>
                <w:noProof/>
              </w:rPr>
            </w:pPr>
            <w:r w:rsidRPr="000B5DDC">
              <w:rPr>
                <w:noProof/>
              </w:rPr>
              <w:t>Acidez del suelo</w:t>
            </w:r>
          </w:p>
        </w:tc>
        <w:tc>
          <w:tcPr>
            <w:tcW w:w="2827" w:type="dxa"/>
            <w:tcBorders>
              <w:top w:val="single" w:sz="4" w:space="0" w:color="auto"/>
              <w:left w:val="single" w:sz="4" w:space="0" w:color="auto"/>
              <w:bottom w:val="single" w:sz="4" w:space="0" w:color="auto"/>
              <w:right w:val="single" w:sz="4" w:space="0" w:color="auto"/>
            </w:tcBorders>
            <w:hideMark/>
          </w:tcPr>
          <w:p w14:paraId="17F4DD23" w14:textId="77777777" w:rsidR="00E909CA" w:rsidRPr="000B5DDC" w:rsidRDefault="00E909CA" w:rsidP="00A73660">
            <w:pPr>
              <w:rPr>
                <w:noProof/>
              </w:rPr>
            </w:pPr>
            <w:r w:rsidRPr="000B5DDC">
              <w:rPr>
                <w:noProof/>
              </w:rPr>
              <w:t>ISO 10390:2005 para la determinación del pH en extracto de H2O y CaCl2 (pH-H2O y pH-CaCl2)</w:t>
            </w:r>
          </w:p>
        </w:tc>
        <w:tc>
          <w:tcPr>
            <w:tcW w:w="3290" w:type="dxa"/>
            <w:tcBorders>
              <w:top w:val="single" w:sz="4" w:space="0" w:color="auto"/>
              <w:left w:val="single" w:sz="4" w:space="0" w:color="auto"/>
              <w:bottom w:val="single" w:sz="4" w:space="0" w:color="auto"/>
              <w:right w:val="single" w:sz="4" w:space="0" w:color="auto"/>
            </w:tcBorders>
          </w:tcPr>
          <w:p w14:paraId="27D44BD4"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166DD2C5" w14:textId="77777777" w:rsidR="00E909CA" w:rsidRPr="000B5DDC" w:rsidRDefault="009C78D8" w:rsidP="00A73660">
            <w:pPr>
              <w:rPr>
                <w:noProof/>
              </w:rPr>
            </w:pPr>
            <w:r w:rsidRPr="000B5DDC">
              <w:rPr>
                <w:noProof/>
              </w:rPr>
              <w:t>SÍ</w:t>
            </w:r>
          </w:p>
        </w:tc>
      </w:tr>
      <w:tr w:rsidR="00E909CA" w:rsidRPr="000B5DDC" w14:paraId="33DA0B24" w14:textId="77777777" w:rsidTr="000B5EE7">
        <w:tc>
          <w:tcPr>
            <w:tcW w:w="2071" w:type="dxa"/>
            <w:tcBorders>
              <w:top w:val="single" w:sz="4" w:space="0" w:color="auto"/>
              <w:left w:val="single" w:sz="4" w:space="0" w:color="auto"/>
              <w:bottom w:val="single" w:sz="4" w:space="0" w:color="auto"/>
              <w:right w:val="single" w:sz="4" w:space="0" w:color="auto"/>
            </w:tcBorders>
            <w:hideMark/>
          </w:tcPr>
          <w:p w14:paraId="1B923502" w14:textId="77777777" w:rsidR="00E909CA" w:rsidRPr="000B5DDC" w:rsidRDefault="00E909CA" w:rsidP="00A73660">
            <w:pPr>
              <w:rPr>
                <w:noProof/>
              </w:rPr>
            </w:pPr>
            <w:r w:rsidRPr="000B5DDC">
              <w:rPr>
                <w:noProof/>
              </w:rPr>
              <w:t>Densidad aparente en la «capa arable» (horizonte A</w:t>
            </w:r>
            <w:r w:rsidRPr="000B5DDC">
              <w:rPr>
                <w:rStyle w:val="FootnoteReference"/>
                <w:noProof/>
              </w:rPr>
              <w:footnoteReference w:id="13"/>
            </w:r>
            <w:r w:rsidRPr="000B5DDC">
              <w:rPr>
                <w:noProof/>
              </w:rPr>
              <w:t>)</w:t>
            </w:r>
          </w:p>
        </w:tc>
        <w:tc>
          <w:tcPr>
            <w:tcW w:w="2827" w:type="dxa"/>
            <w:tcBorders>
              <w:top w:val="single" w:sz="4" w:space="0" w:color="auto"/>
              <w:left w:val="single" w:sz="4" w:space="0" w:color="auto"/>
              <w:bottom w:val="single" w:sz="4" w:space="0" w:color="auto"/>
              <w:right w:val="single" w:sz="4" w:space="0" w:color="auto"/>
            </w:tcBorders>
            <w:hideMark/>
          </w:tcPr>
          <w:p w14:paraId="53084ADE" w14:textId="77777777" w:rsidR="00E909CA" w:rsidRPr="000B5DDC" w:rsidRDefault="00E909CA" w:rsidP="00A73660">
            <w:pPr>
              <w:rPr>
                <w:noProof/>
              </w:rPr>
            </w:pPr>
            <w:r w:rsidRPr="000B5DDC">
              <w:rPr>
                <w:noProof/>
              </w:rPr>
              <w:t xml:space="preserve">ISO 11272:2017 para la determinación de la densidad bruta seca </w:t>
            </w:r>
          </w:p>
          <w:p w14:paraId="002D08E2" w14:textId="77777777" w:rsidR="00E909CA" w:rsidRPr="000B5DDC" w:rsidRDefault="00E909CA" w:rsidP="00A73660">
            <w:pPr>
              <w:rPr>
                <w:noProof/>
              </w:rPr>
            </w:pPr>
          </w:p>
        </w:tc>
        <w:tc>
          <w:tcPr>
            <w:tcW w:w="3290" w:type="dxa"/>
            <w:tcBorders>
              <w:top w:val="single" w:sz="4" w:space="0" w:color="auto"/>
              <w:left w:val="single" w:sz="4" w:space="0" w:color="auto"/>
              <w:bottom w:val="single" w:sz="4" w:space="0" w:color="auto"/>
              <w:right w:val="single" w:sz="4" w:space="0" w:color="auto"/>
            </w:tcBorders>
          </w:tcPr>
          <w:p w14:paraId="5ABA7E99"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3F978BC6" w14:textId="77777777" w:rsidR="00E909CA" w:rsidRPr="000B5DDC" w:rsidRDefault="009C78D8" w:rsidP="00A73660">
            <w:pPr>
              <w:rPr>
                <w:noProof/>
              </w:rPr>
            </w:pPr>
            <w:r w:rsidRPr="000B5DDC">
              <w:rPr>
                <w:noProof/>
              </w:rPr>
              <w:t>SÍ</w:t>
            </w:r>
          </w:p>
        </w:tc>
      </w:tr>
      <w:tr w:rsidR="00E909CA" w:rsidRPr="000B5DDC" w14:paraId="2816ECAA" w14:textId="77777777" w:rsidTr="000B5EE7">
        <w:tc>
          <w:tcPr>
            <w:tcW w:w="2071" w:type="dxa"/>
            <w:tcBorders>
              <w:top w:val="single" w:sz="4" w:space="0" w:color="auto"/>
              <w:left w:val="single" w:sz="4" w:space="0" w:color="auto"/>
              <w:bottom w:val="single" w:sz="4" w:space="0" w:color="auto"/>
              <w:right w:val="single" w:sz="4" w:space="0" w:color="auto"/>
            </w:tcBorders>
          </w:tcPr>
          <w:p w14:paraId="4EEA203F" w14:textId="77777777" w:rsidR="00E909CA" w:rsidRPr="000B5DDC" w:rsidRDefault="008B4EAD" w:rsidP="00A73660">
            <w:pPr>
              <w:rPr>
                <w:noProof/>
              </w:rPr>
            </w:pPr>
            <w:r w:rsidRPr="000B5DDC">
              <w:rPr>
                <w:noProof/>
              </w:rPr>
              <w:t>Respiración basal del suelo</w:t>
            </w:r>
          </w:p>
          <w:p w14:paraId="06E3E543" w14:textId="77777777" w:rsidR="00E909CA" w:rsidRPr="000B5DDC" w:rsidRDefault="00E909CA" w:rsidP="00A73660">
            <w:pPr>
              <w:rPr>
                <w:noProof/>
              </w:rPr>
            </w:pPr>
          </w:p>
          <w:p w14:paraId="6FDEDCAE" w14:textId="77777777" w:rsidR="00E909CA" w:rsidRPr="000B5DDC" w:rsidRDefault="00E909CA" w:rsidP="00A73660">
            <w:pPr>
              <w:rPr>
                <w:noProof/>
              </w:rPr>
            </w:pPr>
            <w:r w:rsidRPr="000B5DDC">
              <w:rPr>
                <w:noProof/>
              </w:rPr>
              <w:t xml:space="preserve"> Los Estados miembros también pueden seleccionar otros descriptores opcionales de la biodiversidad del suelo, como: </w:t>
            </w:r>
            <w:r w:rsidRPr="000B5DDC">
              <w:rPr>
                <w:noProof/>
              </w:rPr>
              <w:br/>
              <w:t>— metacódigos de barras</w:t>
            </w:r>
            <w:r w:rsidRPr="000B5DDC">
              <w:rPr>
                <w:rStyle w:val="FootnoteReference"/>
                <w:noProof/>
              </w:rPr>
              <w:footnoteReference w:id="14"/>
            </w:r>
            <w:r w:rsidRPr="000B5DDC">
              <w:rPr>
                <w:noProof/>
              </w:rPr>
              <w:t xml:space="preserve"> de bacterias, hongos, protistas y animales; </w:t>
            </w:r>
            <w:r w:rsidRPr="000B5DDC">
              <w:rPr>
                <w:noProof/>
              </w:rPr>
              <w:br/>
              <w:t xml:space="preserve"> — la abundancia y la diversidad de nematodos; </w:t>
            </w:r>
            <w:r w:rsidRPr="000B5DDC">
              <w:rPr>
                <w:noProof/>
              </w:rPr>
              <w:br/>
              <w:t xml:space="preserve"> — la biomasa microbiana; </w:t>
            </w:r>
            <w:r w:rsidRPr="000B5DDC">
              <w:rPr>
                <w:noProof/>
              </w:rPr>
              <w:br/>
              <w:t xml:space="preserve"> — la abundancia y la diversidad de lombrices de tierra (en tierras de cultivo)</w:t>
            </w:r>
          </w:p>
        </w:tc>
        <w:tc>
          <w:tcPr>
            <w:tcW w:w="2827" w:type="dxa"/>
            <w:tcBorders>
              <w:top w:val="single" w:sz="4" w:space="0" w:color="auto"/>
              <w:left w:val="single" w:sz="4" w:space="0" w:color="auto"/>
              <w:bottom w:val="single" w:sz="4" w:space="0" w:color="auto"/>
              <w:right w:val="single" w:sz="4" w:space="0" w:color="auto"/>
            </w:tcBorders>
          </w:tcPr>
          <w:p w14:paraId="53C4F8E5" w14:textId="77777777" w:rsidR="00E909CA" w:rsidRPr="000B5DDC" w:rsidRDefault="00E909CA" w:rsidP="00A73660">
            <w:pPr>
              <w:rPr>
                <w:noProof/>
              </w:rPr>
            </w:pPr>
            <w:r w:rsidRPr="000B5DDC">
              <w:rPr>
                <w:noProof/>
              </w:rPr>
              <w:t xml:space="preserve"> Seguir las indicaciones descritas en el artículo científico </w:t>
            </w:r>
            <w:r w:rsidRPr="000B5DDC">
              <w:rPr>
                <w:i/>
                <w:iCs/>
                <w:noProof/>
              </w:rPr>
              <w:t>Microbial biomass and activities in soil as affected by frozen and cold storage</w:t>
            </w:r>
            <w:r w:rsidRPr="000B5DDC">
              <w:rPr>
                <w:rStyle w:val="FootnoteReference"/>
                <w:noProof/>
              </w:rPr>
              <w:footnoteReference w:id="15"/>
            </w:r>
            <w:r w:rsidRPr="000B5DDC">
              <w:rPr>
                <w:noProof/>
              </w:rPr>
              <w:t xml:space="preserve"> [«Biomasa microbiana y actividades en el suelo y efectos del almacenamiento de muestras congeladas y refrigeradas», documento en inglés]</w:t>
            </w:r>
          </w:p>
          <w:p w14:paraId="468D426E" w14:textId="77777777" w:rsidR="00E909CA" w:rsidRPr="000B5DDC" w:rsidRDefault="00E909CA" w:rsidP="00A73660">
            <w:pPr>
              <w:rPr>
                <w:noProof/>
              </w:rPr>
            </w:pPr>
          </w:p>
          <w:p w14:paraId="343A5C9D" w14:textId="77777777" w:rsidR="00E909CA" w:rsidRPr="000B5DDC" w:rsidRDefault="00E909CA" w:rsidP="00A73660">
            <w:pPr>
              <w:rPr>
                <w:noProof/>
              </w:rPr>
            </w:pPr>
          </w:p>
          <w:p w14:paraId="3DFFC708" w14:textId="77777777" w:rsidR="00E909CA" w:rsidRPr="000B5DDC" w:rsidRDefault="00E909CA" w:rsidP="00A73660">
            <w:pPr>
              <w:rPr>
                <w:noProof/>
              </w:rPr>
            </w:pPr>
          </w:p>
        </w:tc>
        <w:tc>
          <w:tcPr>
            <w:tcW w:w="3290" w:type="dxa"/>
            <w:tcBorders>
              <w:top w:val="single" w:sz="4" w:space="0" w:color="auto"/>
              <w:left w:val="single" w:sz="4" w:space="0" w:color="auto"/>
              <w:bottom w:val="single" w:sz="4" w:space="0" w:color="auto"/>
              <w:right w:val="single" w:sz="4" w:space="0" w:color="auto"/>
            </w:tcBorders>
          </w:tcPr>
          <w:p w14:paraId="18834923" w14:textId="77777777" w:rsidR="00E909CA" w:rsidRPr="000B5DDC" w:rsidRDefault="00E909CA" w:rsidP="00A73660">
            <w:pPr>
              <w:rPr>
                <w:noProof/>
              </w:rPr>
            </w:pPr>
          </w:p>
          <w:p w14:paraId="7F998546" w14:textId="77777777" w:rsidR="00E909CA" w:rsidRPr="000B5DDC" w:rsidRDefault="00E909CA" w:rsidP="00A73660">
            <w:pPr>
              <w:rPr>
                <w:noProof/>
              </w:rPr>
            </w:pPr>
          </w:p>
          <w:p w14:paraId="3F9ACC29" w14:textId="77777777" w:rsidR="00E909CA" w:rsidRPr="000B5DDC" w:rsidRDefault="00E909CA" w:rsidP="00A73660">
            <w:pPr>
              <w:rPr>
                <w:noProof/>
              </w:rPr>
            </w:pPr>
          </w:p>
          <w:p w14:paraId="309712F1" w14:textId="77777777" w:rsidR="00E909CA" w:rsidRPr="000B5DDC" w:rsidRDefault="00E909CA" w:rsidP="00A73660">
            <w:pPr>
              <w:rPr>
                <w:noProof/>
              </w:rPr>
            </w:pPr>
          </w:p>
          <w:p w14:paraId="2EBE7D6C" w14:textId="77777777" w:rsidR="00E909CA" w:rsidRPr="000B5DDC" w:rsidRDefault="00E909CA" w:rsidP="00A73660">
            <w:pPr>
              <w:rPr>
                <w:noProof/>
              </w:rPr>
            </w:pPr>
          </w:p>
          <w:p w14:paraId="5CDE51DA" w14:textId="77777777" w:rsidR="00E909CA" w:rsidRPr="000B5DDC" w:rsidRDefault="00E909CA" w:rsidP="00A73660">
            <w:pPr>
              <w:rPr>
                <w:noProof/>
              </w:rPr>
            </w:pPr>
          </w:p>
          <w:p w14:paraId="57F70C2F" w14:textId="77777777" w:rsidR="00E909CA" w:rsidRPr="000B5DDC" w:rsidRDefault="00E909CA" w:rsidP="00A73660">
            <w:pPr>
              <w:rPr>
                <w:noProof/>
              </w:rPr>
            </w:pPr>
          </w:p>
          <w:p w14:paraId="3B9B47CF" w14:textId="77777777" w:rsidR="00E909CA" w:rsidRPr="000B5DDC" w:rsidRDefault="00E909CA" w:rsidP="00A73660">
            <w:pPr>
              <w:rPr>
                <w:noProof/>
              </w:rPr>
            </w:pPr>
          </w:p>
          <w:p w14:paraId="4F1E96C8" w14:textId="77777777" w:rsidR="00E909CA" w:rsidRPr="000B5DDC" w:rsidRDefault="00E909CA" w:rsidP="00A73660">
            <w:pPr>
              <w:rPr>
                <w:noProof/>
              </w:rPr>
            </w:pPr>
            <w:r w:rsidRPr="000B5DDC">
              <w:rPr>
                <w:noProof/>
              </w:rPr>
              <w:t>Usar normas europeas o internacionales cuando estén disponibles; Las metodologías distintas de la metodología de referencia deberán estar disponibles en la bibliografía científica o ser de acceso público.</w:t>
            </w:r>
          </w:p>
          <w:p w14:paraId="638B548A" w14:textId="77777777" w:rsidR="00E909CA" w:rsidRPr="000B5DDC" w:rsidRDefault="00E909CA" w:rsidP="00A73660">
            <w:pPr>
              <w:rPr>
                <w:noProof/>
              </w:rPr>
            </w:pPr>
          </w:p>
          <w:p w14:paraId="733722D2" w14:textId="77777777" w:rsidR="00E909CA" w:rsidRPr="000B5DDC" w:rsidRDefault="00E909CA" w:rsidP="00A73660">
            <w:pPr>
              <w:rPr>
                <w:noProof/>
              </w:rPr>
            </w:pPr>
          </w:p>
        </w:tc>
        <w:tc>
          <w:tcPr>
            <w:tcW w:w="1843" w:type="dxa"/>
            <w:tcBorders>
              <w:top w:val="single" w:sz="4" w:space="0" w:color="auto"/>
              <w:left w:val="single" w:sz="4" w:space="0" w:color="auto"/>
              <w:bottom w:val="single" w:sz="4" w:space="0" w:color="auto"/>
              <w:right w:val="single" w:sz="4" w:space="0" w:color="auto"/>
            </w:tcBorders>
          </w:tcPr>
          <w:p w14:paraId="253FD9B0" w14:textId="77777777" w:rsidR="00E909CA" w:rsidRPr="000B5DDC" w:rsidRDefault="009C78D8" w:rsidP="00A73660">
            <w:pPr>
              <w:rPr>
                <w:noProof/>
              </w:rPr>
            </w:pPr>
            <w:r w:rsidRPr="000B5DDC">
              <w:rPr>
                <w:noProof/>
              </w:rPr>
              <w:t>SÍ</w:t>
            </w:r>
          </w:p>
          <w:p w14:paraId="1D8EF11B" w14:textId="77777777" w:rsidR="00AE459A" w:rsidRPr="000B5DDC" w:rsidRDefault="00AE459A" w:rsidP="00A73660">
            <w:pPr>
              <w:rPr>
                <w:noProof/>
              </w:rPr>
            </w:pPr>
          </w:p>
          <w:p w14:paraId="0FC46D2E" w14:textId="77777777" w:rsidR="00571AD8" w:rsidRPr="000B5DDC" w:rsidRDefault="00571AD8" w:rsidP="00A73660">
            <w:pPr>
              <w:rPr>
                <w:noProof/>
              </w:rPr>
            </w:pPr>
          </w:p>
          <w:p w14:paraId="7D9D456A" w14:textId="77777777" w:rsidR="00571AD8" w:rsidRPr="000B5DDC" w:rsidRDefault="00571AD8" w:rsidP="00A73660">
            <w:pPr>
              <w:rPr>
                <w:noProof/>
              </w:rPr>
            </w:pPr>
          </w:p>
          <w:p w14:paraId="157CED32" w14:textId="77777777" w:rsidR="00571AD8" w:rsidRPr="000B5DDC" w:rsidRDefault="00571AD8" w:rsidP="00A73660">
            <w:pPr>
              <w:rPr>
                <w:noProof/>
              </w:rPr>
            </w:pPr>
          </w:p>
          <w:p w14:paraId="74A44A0A" w14:textId="77777777" w:rsidR="00571AD8" w:rsidRPr="000B5DDC" w:rsidRDefault="00571AD8" w:rsidP="00A73660">
            <w:pPr>
              <w:rPr>
                <w:noProof/>
              </w:rPr>
            </w:pPr>
          </w:p>
          <w:p w14:paraId="5DB94848" w14:textId="77777777" w:rsidR="00AE459A" w:rsidRPr="000B5DDC" w:rsidRDefault="00AE459A" w:rsidP="00A73660">
            <w:pPr>
              <w:rPr>
                <w:noProof/>
              </w:rPr>
            </w:pPr>
            <w:r w:rsidRPr="000B5DDC">
              <w:rPr>
                <w:noProof/>
              </w:rPr>
              <w:t>Para otros descriptores de la biodiversidad del suelo: N.p.</w:t>
            </w:r>
          </w:p>
        </w:tc>
      </w:tr>
    </w:tbl>
    <w:p w14:paraId="12820EED" w14:textId="77777777" w:rsidR="00F72C57" w:rsidRPr="000B5DDC" w:rsidRDefault="00F72C57" w:rsidP="00F72C57">
      <w:pPr>
        <w:rPr>
          <w:noProof/>
        </w:rPr>
      </w:pPr>
    </w:p>
    <w:p w14:paraId="2283536C" w14:textId="77777777" w:rsidR="00733090" w:rsidRPr="000B5DDC" w:rsidRDefault="00733090" w:rsidP="00C113C3">
      <w:pPr>
        <w:rPr>
          <w:b/>
          <w:noProof/>
        </w:rPr>
      </w:pPr>
      <w:r w:rsidRPr="000B5DDC">
        <w:rPr>
          <w:b/>
          <w:noProof/>
        </w:rPr>
        <w:t>Parte C: criterios metodológicos mínimos para determinar los valores de los indicadores de ocupación y sellado del suelo</w:t>
      </w:r>
    </w:p>
    <w:p w14:paraId="232407FD" w14:textId="77777777" w:rsidR="00C17CCE" w:rsidRPr="000B5DDC" w:rsidRDefault="00F416AF" w:rsidP="00C17CCE">
      <w:pPr>
        <w:rPr>
          <w:noProof/>
        </w:rPr>
      </w:pPr>
      <w:r w:rsidRPr="000B5DDC">
        <w:rPr>
          <w:noProof/>
        </w:rPr>
        <w:t>— Para la ocupación del suelo, la ocupación inversa del suelo y la ocupación neta del suelo, las metodologías utilizadas se ajustarán a las definiciones establecidas en el artículo 3 y en el anexo I.</w:t>
      </w:r>
    </w:p>
    <w:p w14:paraId="38533FC4" w14:textId="77777777" w:rsidR="00C17CCE" w:rsidRPr="000B5DDC" w:rsidRDefault="00C17CCE" w:rsidP="00C113C3">
      <w:pPr>
        <w:rPr>
          <w:noProof/>
        </w:rPr>
      </w:pPr>
      <w:r w:rsidRPr="000B5DDC">
        <w:rPr>
          <w:noProof/>
        </w:rPr>
        <w:t>— El sellado del suelo se expresará como porcentaje de la superficie sellada en la superficie total.</w:t>
      </w:r>
    </w:p>
    <w:p w14:paraId="6CC20749" w14:textId="77777777" w:rsidR="00A83B2F" w:rsidRPr="000B5DDC" w:rsidRDefault="00F416AF" w:rsidP="00F72C57">
      <w:pPr>
        <w:rPr>
          <w:noProof/>
        </w:rPr>
      </w:pPr>
      <w:r w:rsidRPr="000B5DDC">
        <w:rPr>
          <w:noProof/>
        </w:rPr>
        <w:t>— Las metodologías elegidas deberán estar disponibles en la bibliografía científica o ser de acceso público.</w:t>
      </w:r>
    </w:p>
    <w:p w14:paraId="6A9E677D" w14:textId="77777777" w:rsidR="00F72C57" w:rsidRPr="000B5DDC" w:rsidRDefault="00F72C57" w:rsidP="00F72C57">
      <w:pPr>
        <w:rPr>
          <w:noProof/>
        </w:rPr>
        <w:sectPr w:rsidR="00F72C57" w:rsidRPr="000B5DDC" w:rsidSect="009410AC">
          <w:pgSz w:w="11907" w:h="16839"/>
          <w:pgMar w:top="1134" w:right="1417" w:bottom="1134" w:left="1417" w:header="709" w:footer="709" w:gutter="0"/>
          <w:cols w:space="720"/>
          <w:docGrid w:linePitch="360"/>
        </w:sectPr>
      </w:pPr>
    </w:p>
    <w:p w14:paraId="59F51CDF" w14:textId="77777777" w:rsidR="00F72C57" w:rsidRPr="000B5DDC" w:rsidRDefault="00F72C57" w:rsidP="00F72C57">
      <w:pPr>
        <w:pStyle w:val="Annexetitre"/>
        <w:rPr>
          <w:noProof/>
        </w:rPr>
      </w:pPr>
      <w:r w:rsidRPr="000B5DDC">
        <w:rPr>
          <w:noProof/>
        </w:rPr>
        <w:t xml:space="preserve">ANEXO III </w:t>
      </w:r>
      <w:r w:rsidRPr="000B5DDC">
        <w:rPr>
          <w:noProof/>
        </w:rPr>
        <w:br/>
        <w:t xml:space="preserve"> </w:t>
      </w:r>
      <w:r w:rsidRPr="000B5DDC">
        <w:rPr>
          <w:noProof/>
        </w:rPr>
        <w:br/>
        <w:t xml:space="preserve">PRINCIPIOS DE GESTIÓN SOSTENIBLE DEL SUELO </w:t>
      </w:r>
    </w:p>
    <w:p w14:paraId="2B617785" w14:textId="77777777" w:rsidR="00F72C57" w:rsidRPr="000B5DDC" w:rsidRDefault="00F72C57" w:rsidP="00F72C57">
      <w:pPr>
        <w:rPr>
          <w:noProof/>
        </w:rPr>
      </w:pPr>
    </w:p>
    <w:p w14:paraId="5533015B" w14:textId="77777777" w:rsidR="00356238" w:rsidRPr="000B5DDC" w:rsidRDefault="00356238" w:rsidP="00415EDC">
      <w:pPr>
        <w:rPr>
          <w:noProof/>
        </w:rPr>
      </w:pPr>
      <w:r w:rsidRPr="000B5DDC">
        <w:rPr>
          <w:noProof/>
        </w:rPr>
        <w:t>Se aplicarán los siguientes principios:</w:t>
      </w:r>
    </w:p>
    <w:p w14:paraId="20C7EA4F" w14:textId="1E3F2553" w:rsidR="00415EDC" w:rsidRPr="000B5DDC" w:rsidRDefault="00833AC8" w:rsidP="00833AC8">
      <w:pPr>
        <w:pStyle w:val="Point0"/>
        <w:rPr>
          <w:noProof/>
        </w:rPr>
      </w:pPr>
      <w:r>
        <w:rPr>
          <w:noProof/>
        </w:rPr>
        <w:t>a)</w:t>
      </w:r>
      <w:r>
        <w:rPr>
          <w:noProof/>
        </w:rPr>
        <w:tab/>
      </w:r>
      <w:r w:rsidR="00D820D2" w:rsidRPr="000B5DDC">
        <w:rPr>
          <w:noProof/>
        </w:rPr>
        <w:t>evitar dejar el suelo desnudo mediante el establecimiento y el mantenimiento de cubierta vegetal, especialmente durante períodos sensibles desde el punto de vista medioambiental;</w:t>
      </w:r>
    </w:p>
    <w:p w14:paraId="3074A1E8" w14:textId="4997E8D0" w:rsidR="00415EDC" w:rsidRPr="000B5DDC" w:rsidRDefault="00833AC8" w:rsidP="00833AC8">
      <w:pPr>
        <w:pStyle w:val="Point0"/>
        <w:rPr>
          <w:noProof/>
        </w:rPr>
      </w:pPr>
      <w:r>
        <w:rPr>
          <w:noProof/>
        </w:rPr>
        <w:t>b)</w:t>
      </w:r>
      <w:r>
        <w:rPr>
          <w:noProof/>
        </w:rPr>
        <w:tab/>
      </w:r>
      <w:r w:rsidR="00D820D2" w:rsidRPr="000B5DDC">
        <w:rPr>
          <w:noProof/>
        </w:rPr>
        <w:t>minimizar toda alteración física del suelo;</w:t>
      </w:r>
    </w:p>
    <w:p w14:paraId="05740685" w14:textId="5904009B" w:rsidR="000826B4" w:rsidRPr="000B5DDC" w:rsidRDefault="00833AC8" w:rsidP="00833AC8">
      <w:pPr>
        <w:pStyle w:val="Point0"/>
        <w:rPr>
          <w:noProof/>
        </w:rPr>
      </w:pPr>
      <w:r>
        <w:rPr>
          <w:noProof/>
        </w:rPr>
        <w:t>c)</w:t>
      </w:r>
      <w:r>
        <w:rPr>
          <w:noProof/>
        </w:rPr>
        <w:tab/>
      </w:r>
      <w:r w:rsidR="00D820D2" w:rsidRPr="000B5DDC">
        <w:rPr>
          <w:noProof/>
        </w:rPr>
        <w:t>evitar la utilización de insumos o la liberación al suelo de sustancias capaces de poner en peligro la salud humana o el medio ambiente, o de degradar la salud del suelo;</w:t>
      </w:r>
    </w:p>
    <w:p w14:paraId="4F2AC97F" w14:textId="3BA2EABE" w:rsidR="00415EDC" w:rsidRPr="000B5DDC" w:rsidRDefault="00833AC8" w:rsidP="00833AC8">
      <w:pPr>
        <w:pStyle w:val="Point0"/>
        <w:rPr>
          <w:noProof/>
        </w:rPr>
      </w:pPr>
      <w:r>
        <w:rPr>
          <w:noProof/>
        </w:rPr>
        <w:t>d)</w:t>
      </w:r>
      <w:r>
        <w:rPr>
          <w:noProof/>
        </w:rPr>
        <w:tab/>
      </w:r>
      <w:r w:rsidR="00D820D2" w:rsidRPr="000B5DDC">
        <w:rPr>
          <w:noProof/>
        </w:rPr>
        <w:t>velar por que el uso de la maquinaria se adapte a la resistencia del suelo y limitar el número y la frecuencia de las operaciones en los suelos para no comprometer la salud del suelo;</w:t>
      </w:r>
    </w:p>
    <w:p w14:paraId="3780FB48" w14:textId="1BB8AFE7" w:rsidR="00415EDC" w:rsidRPr="000B5DDC" w:rsidRDefault="00833AC8" w:rsidP="00833AC8">
      <w:pPr>
        <w:pStyle w:val="Point0"/>
        <w:rPr>
          <w:noProof/>
        </w:rPr>
      </w:pPr>
      <w:r>
        <w:rPr>
          <w:noProof/>
        </w:rPr>
        <w:t>e)</w:t>
      </w:r>
      <w:r>
        <w:rPr>
          <w:noProof/>
        </w:rPr>
        <w:tab/>
      </w:r>
      <w:r w:rsidR="00D820D2" w:rsidRPr="000B5DDC">
        <w:rPr>
          <w:noProof/>
        </w:rPr>
        <w:t>cuando se apliquen fertilizantes, garantizar su adaptación tanto a las necesidades de las plantas y de los árboles del lugar y en el período de que se trate como al estado del suelo, y priorizar las soluciones circulares que enriquezcan el contenido orgánico;</w:t>
      </w:r>
    </w:p>
    <w:p w14:paraId="6A34D371" w14:textId="77A843F8" w:rsidR="00415EDC" w:rsidRPr="000B5DDC" w:rsidRDefault="00833AC8" w:rsidP="00833AC8">
      <w:pPr>
        <w:pStyle w:val="Point0"/>
        <w:rPr>
          <w:noProof/>
        </w:rPr>
      </w:pPr>
      <w:r>
        <w:rPr>
          <w:noProof/>
        </w:rPr>
        <w:t>f)</w:t>
      </w:r>
      <w:r>
        <w:rPr>
          <w:noProof/>
        </w:rPr>
        <w:tab/>
      </w:r>
      <w:r w:rsidR="00D820D2" w:rsidRPr="000B5DDC">
        <w:rPr>
          <w:noProof/>
        </w:rPr>
        <w:t>en el caso del riego, maximizar la eficiencia de los sistemas de riego y de la gestión del riego, y garantizar que, cuando se use agua residual reciclada, la calidad del agua cumpla los requisitos establecidos en el anexo I del Reglamento (UE) 2020/741 del Parlamento Europeo y del Consejo</w:t>
      </w:r>
      <w:r w:rsidR="00D820D2" w:rsidRPr="000B5DDC">
        <w:rPr>
          <w:rStyle w:val="FootnoteReference"/>
          <w:noProof/>
        </w:rPr>
        <w:footnoteReference w:id="16"/>
      </w:r>
      <w:r w:rsidR="00D820D2" w:rsidRPr="000B5DDC">
        <w:rPr>
          <w:noProof/>
        </w:rPr>
        <w:t xml:space="preserve"> y que, cuando se use agua de otras fuentes, esta no degrade la salud del suelo;</w:t>
      </w:r>
    </w:p>
    <w:p w14:paraId="07A09189" w14:textId="2A6552E7" w:rsidR="00415EDC" w:rsidRPr="000B5DDC" w:rsidRDefault="00833AC8" w:rsidP="00833AC8">
      <w:pPr>
        <w:pStyle w:val="Point0"/>
        <w:rPr>
          <w:noProof/>
        </w:rPr>
      </w:pPr>
      <w:r>
        <w:rPr>
          <w:noProof/>
        </w:rPr>
        <w:t>g)</w:t>
      </w:r>
      <w:r>
        <w:rPr>
          <w:noProof/>
        </w:rPr>
        <w:tab/>
      </w:r>
      <w:r w:rsidR="00D820D2" w:rsidRPr="000B5DDC">
        <w:rPr>
          <w:noProof/>
        </w:rPr>
        <w:t>garantizar la protección del suelo mediante la creación y el mantenimiento de elementos paisajísticos apropiados al nivel del paisaje</w:t>
      </w:r>
      <w:r w:rsidR="00D820D2" w:rsidRPr="000B5DDC">
        <w:rPr>
          <w:rStyle w:val="FootnoteReference"/>
          <w:noProof/>
        </w:rPr>
        <w:footnoteReference w:id="17"/>
      </w:r>
      <w:r w:rsidR="00D820D2" w:rsidRPr="000B5DDC">
        <w:rPr>
          <w:noProof/>
        </w:rPr>
        <w:t>;</w:t>
      </w:r>
    </w:p>
    <w:p w14:paraId="35FBF56F" w14:textId="475C24AD" w:rsidR="00415EDC" w:rsidRPr="000B5DDC" w:rsidRDefault="00833AC8" w:rsidP="00833AC8">
      <w:pPr>
        <w:pStyle w:val="Point0"/>
        <w:rPr>
          <w:noProof/>
        </w:rPr>
      </w:pPr>
      <w:r>
        <w:rPr>
          <w:noProof/>
        </w:rPr>
        <w:t>h)</w:t>
      </w:r>
      <w:r>
        <w:rPr>
          <w:noProof/>
        </w:rPr>
        <w:tab/>
      </w:r>
      <w:r w:rsidR="00D820D2" w:rsidRPr="000B5DDC">
        <w:rPr>
          <w:noProof/>
        </w:rPr>
        <w:t xml:space="preserve">usar especies adaptadas al lugar en el cultivo de productos agrícolas, plantas o árboles cuando esto pueda prevenir la degradación del suelo y contribuir a la mejora de la salud del suelo, teniendo también en cuenta la adaptación al cambio climático; </w:t>
      </w:r>
    </w:p>
    <w:p w14:paraId="1E0373CD" w14:textId="64DAD2C6" w:rsidR="00415EDC" w:rsidRPr="000B5DDC" w:rsidRDefault="00833AC8" w:rsidP="00833AC8">
      <w:pPr>
        <w:pStyle w:val="Point0"/>
        <w:rPr>
          <w:noProof/>
        </w:rPr>
      </w:pPr>
      <w:r>
        <w:rPr>
          <w:noProof/>
        </w:rPr>
        <w:t>i)</w:t>
      </w:r>
      <w:r>
        <w:rPr>
          <w:noProof/>
        </w:rPr>
        <w:tab/>
      </w:r>
      <w:r w:rsidR="00D820D2" w:rsidRPr="000B5DDC">
        <w:rPr>
          <w:noProof/>
        </w:rPr>
        <w:t>garantizar la optimización de los niveles de agua en los suelos orgánicos, de modo que la estructura y la composición de dichos suelos no se vea afectada de forma negativa</w:t>
      </w:r>
      <w:r w:rsidR="00D820D2" w:rsidRPr="000B5DDC">
        <w:rPr>
          <w:rStyle w:val="FootnoteReference"/>
          <w:noProof/>
        </w:rPr>
        <w:footnoteReference w:id="18"/>
      </w:r>
      <w:r w:rsidR="00D820D2" w:rsidRPr="000B5DDC">
        <w:rPr>
          <w:noProof/>
        </w:rPr>
        <w:t>;</w:t>
      </w:r>
    </w:p>
    <w:p w14:paraId="057E3619" w14:textId="7DC9D219" w:rsidR="00415EDC" w:rsidRPr="000B5DDC" w:rsidRDefault="00833AC8" w:rsidP="00833AC8">
      <w:pPr>
        <w:pStyle w:val="Point0"/>
        <w:rPr>
          <w:noProof/>
        </w:rPr>
      </w:pPr>
      <w:r>
        <w:rPr>
          <w:noProof/>
        </w:rPr>
        <w:t>j)</w:t>
      </w:r>
      <w:r>
        <w:rPr>
          <w:noProof/>
        </w:rPr>
        <w:tab/>
      </w:r>
      <w:r w:rsidR="00D820D2" w:rsidRPr="000B5DDC">
        <w:rPr>
          <w:noProof/>
        </w:rPr>
        <w:t>en el caso de los cultivos, garantizar la rotación y diversidad de cultivos, teniendo en cuenta las distintas familias de cultivos, los sistemas radiculares, las necesidades de agua y nutrientes, y la gestión integrada de plagas;</w:t>
      </w:r>
    </w:p>
    <w:p w14:paraId="55EE2084" w14:textId="70DC7496" w:rsidR="00415EDC" w:rsidRPr="000B5DDC" w:rsidRDefault="00833AC8" w:rsidP="00833AC8">
      <w:pPr>
        <w:pStyle w:val="Point0"/>
        <w:rPr>
          <w:noProof/>
        </w:rPr>
      </w:pPr>
      <w:r>
        <w:rPr>
          <w:noProof/>
        </w:rPr>
        <w:t>k)</w:t>
      </w:r>
      <w:r>
        <w:rPr>
          <w:noProof/>
        </w:rPr>
        <w:tab/>
      </w:r>
      <w:r w:rsidR="00D820D2" w:rsidRPr="000B5DDC">
        <w:rPr>
          <w:noProof/>
        </w:rPr>
        <w:t>adaptar el movimiento del ganado y el período de pastoreo, teniendo en cuenta los tipos de animales y la carga ganadera, de manera que no se ponga el peligro la salud del suelo ni se reduzca la capacidad de este para proporcionar pasto;</w:t>
      </w:r>
    </w:p>
    <w:p w14:paraId="2B625414" w14:textId="17679A15" w:rsidR="00F72C57" w:rsidRPr="000B5DDC" w:rsidRDefault="00833AC8" w:rsidP="00833AC8">
      <w:pPr>
        <w:pStyle w:val="Point0"/>
        <w:rPr>
          <w:noProof/>
        </w:rPr>
      </w:pPr>
      <w:r>
        <w:rPr>
          <w:noProof/>
        </w:rPr>
        <w:t>l)</w:t>
      </w:r>
      <w:r>
        <w:rPr>
          <w:noProof/>
        </w:rPr>
        <w:tab/>
      </w:r>
      <w:r w:rsidR="00D820D2" w:rsidRPr="000B5DDC">
        <w:rPr>
          <w:noProof/>
        </w:rPr>
        <w:t>en el caso de pérdida desproporcionada conocida de una o más funciones que reduzca sustancialmente la capacidad de los suelos para prestar servicios ecosistémicos, aplicar medidas específicas para regenerar esas funciones del suelo.</w:t>
      </w:r>
    </w:p>
    <w:p w14:paraId="76403ADC" w14:textId="77777777" w:rsidR="00F72C57" w:rsidRPr="000B5DDC" w:rsidRDefault="00F72C57" w:rsidP="00F72C57">
      <w:pPr>
        <w:rPr>
          <w:noProof/>
        </w:rPr>
      </w:pPr>
    </w:p>
    <w:p w14:paraId="191F0196" w14:textId="77777777" w:rsidR="00F72C57" w:rsidRPr="000B5DDC" w:rsidRDefault="00F72C57" w:rsidP="00F72C57">
      <w:pPr>
        <w:rPr>
          <w:noProof/>
        </w:rPr>
        <w:sectPr w:rsidR="00F72C57" w:rsidRPr="000B5DDC" w:rsidSect="009410AC">
          <w:pgSz w:w="11907" w:h="16839"/>
          <w:pgMar w:top="1134" w:right="1417" w:bottom="1134" w:left="1417" w:header="709" w:footer="709" w:gutter="0"/>
          <w:cols w:space="720"/>
          <w:docGrid w:linePitch="360"/>
        </w:sectPr>
      </w:pPr>
    </w:p>
    <w:p w14:paraId="558C8E1D" w14:textId="77777777" w:rsidR="00F72C57" w:rsidRPr="000B5DDC" w:rsidRDefault="00F72C57" w:rsidP="00F72C57">
      <w:pPr>
        <w:pStyle w:val="Annexetitre"/>
        <w:rPr>
          <w:noProof/>
        </w:rPr>
      </w:pPr>
      <w:r w:rsidRPr="000B5DDC">
        <w:rPr>
          <w:noProof/>
        </w:rPr>
        <w:t xml:space="preserve">ANEXO IV </w:t>
      </w:r>
      <w:r w:rsidRPr="000B5DDC">
        <w:rPr>
          <w:noProof/>
        </w:rPr>
        <w:br/>
        <w:t xml:space="preserve"> </w:t>
      </w:r>
      <w:r w:rsidRPr="000B5DDC">
        <w:rPr>
          <w:noProof/>
        </w:rPr>
        <w:br/>
        <w:t xml:space="preserve">PROGRAMAS, PLANES, OBJETIVOS Y MEDIDAS A QUE SE REFIERE EL ARTÍCULO 10 </w:t>
      </w:r>
    </w:p>
    <w:p w14:paraId="0C34D856" w14:textId="77777777" w:rsidR="00F72C57" w:rsidRPr="000B5DDC" w:rsidRDefault="00F72C57" w:rsidP="00F72C57">
      <w:pPr>
        <w:rPr>
          <w:noProof/>
        </w:rPr>
      </w:pPr>
    </w:p>
    <w:p w14:paraId="625C2100" w14:textId="4DD28847" w:rsidR="00834FDC" w:rsidRPr="000B5DDC" w:rsidRDefault="00833AC8" w:rsidP="00833AC8">
      <w:pPr>
        <w:pStyle w:val="Point0"/>
        <w:rPr>
          <w:noProof/>
        </w:rPr>
      </w:pPr>
      <w:r>
        <w:rPr>
          <w:noProof/>
        </w:rPr>
        <w:t>1)</w:t>
      </w:r>
      <w:r>
        <w:rPr>
          <w:noProof/>
        </w:rPr>
        <w:tab/>
      </w:r>
      <w:r w:rsidR="005E150A" w:rsidRPr="000B5DDC">
        <w:rPr>
          <w:noProof/>
        </w:rPr>
        <w:t>Los planes nacionales de recuperación elaborados de conformidad con el Reglamento …/…</w:t>
      </w:r>
      <w:r w:rsidR="005E150A" w:rsidRPr="000B5DDC">
        <w:rPr>
          <w:rStyle w:val="FootnoteReference"/>
          <w:noProof/>
        </w:rPr>
        <w:footnoteReference w:id="19"/>
      </w:r>
      <w:r w:rsidR="005E150A" w:rsidRPr="000B5DDC">
        <w:rPr>
          <w:noProof/>
        </w:rPr>
        <w:t>+.</w:t>
      </w:r>
    </w:p>
    <w:p w14:paraId="036ADAF7" w14:textId="3739B21A" w:rsidR="00834FDC" w:rsidRPr="000B5DDC" w:rsidRDefault="00833AC8" w:rsidP="00833AC8">
      <w:pPr>
        <w:pStyle w:val="Point0"/>
        <w:rPr>
          <w:noProof/>
        </w:rPr>
      </w:pPr>
      <w:r>
        <w:rPr>
          <w:noProof/>
        </w:rPr>
        <w:t>2)</w:t>
      </w:r>
      <w:r>
        <w:rPr>
          <w:noProof/>
        </w:rPr>
        <w:tab/>
      </w:r>
      <w:r w:rsidR="00543474" w:rsidRPr="000B5DDC">
        <w:rPr>
          <w:noProof/>
        </w:rPr>
        <w:t>Los planes estratégicos que deben elaborar los Estados miembros en virtud de la política agrícola común de conformidad con el Reglamento (UE) 2021/2115.</w:t>
      </w:r>
    </w:p>
    <w:p w14:paraId="355EE0AA" w14:textId="0DD2EA62" w:rsidR="00834FDC" w:rsidRPr="000B5DDC" w:rsidRDefault="00833AC8" w:rsidP="00833AC8">
      <w:pPr>
        <w:pStyle w:val="Point0"/>
        <w:rPr>
          <w:noProof/>
        </w:rPr>
      </w:pPr>
      <w:r>
        <w:rPr>
          <w:noProof/>
        </w:rPr>
        <w:t>3)</w:t>
      </w:r>
      <w:r>
        <w:rPr>
          <w:noProof/>
        </w:rPr>
        <w:tab/>
      </w:r>
      <w:r w:rsidR="00543474" w:rsidRPr="000B5DDC">
        <w:rPr>
          <w:noProof/>
        </w:rPr>
        <w:t>El código de buenas prácticas agrarias y los programas de acción para las zonas vulnerables designadas adoptados de conformidad con la Directiva 91/676/CEE.</w:t>
      </w:r>
    </w:p>
    <w:p w14:paraId="13DDB6AC" w14:textId="638F104E" w:rsidR="00834FDC" w:rsidRPr="000B5DDC" w:rsidRDefault="00833AC8" w:rsidP="00833AC8">
      <w:pPr>
        <w:pStyle w:val="Point0"/>
        <w:rPr>
          <w:noProof/>
        </w:rPr>
      </w:pPr>
      <w:r>
        <w:rPr>
          <w:noProof/>
        </w:rPr>
        <w:t>4)</w:t>
      </w:r>
      <w:r>
        <w:rPr>
          <w:noProof/>
        </w:rPr>
        <w:tab/>
      </w:r>
      <w:r w:rsidR="00543474" w:rsidRPr="000B5DDC">
        <w:rPr>
          <w:noProof/>
        </w:rPr>
        <w:t>Las medidas de conservación y el marco de acción prioritaria establecidos para los espacios Natura 2000 de conformidad con la Directiva 92/43/CEE.</w:t>
      </w:r>
    </w:p>
    <w:p w14:paraId="3BB5A0F4" w14:textId="2A6996FF" w:rsidR="00834FDC" w:rsidRPr="000B5DDC" w:rsidRDefault="00833AC8" w:rsidP="00833AC8">
      <w:pPr>
        <w:pStyle w:val="Point0"/>
        <w:rPr>
          <w:noProof/>
        </w:rPr>
      </w:pPr>
      <w:r>
        <w:rPr>
          <w:noProof/>
        </w:rPr>
        <w:t>5)</w:t>
      </w:r>
      <w:r>
        <w:rPr>
          <w:noProof/>
        </w:rPr>
        <w:tab/>
      </w:r>
      <w:r w:rsidR="00543474" w:rsidRPr="000B5DDC">
        <w:rPr>
          <w:noProof/>
        </w:rPr>
        <w:t>Las medidas para alcanzar un buen estado ecológico y químico de las masas de agua superficial y el buen estado químico y cuantitativo de las masas de agua subterránea que figuran en los planes hidrológicos de cuenca elaborados de conformidad con la Directiva 2000/60/CE.</w:t>
      </w:r>
    </w:p>
    <w:p w14:paraId="41EC7A85" w14:textId="260AA930" w:rsidR="00834FDC" w:rsidRPr="000B5DDC" w:rsidRDefault="00833AC8" w:rsidP="00833AC8">
      <w:pPr>
        <w:pStyle w:val="Point0"/>
        <w:rPr>
          <w:noProof/>
        </w:rPr>
      </w:pPr>
      <w:r>
        <w:rPr>
          <w:noProof/>
        </w:rPr>
        <w:t>6)</w:t>
      </w:r>
      <w:r>
        <w:rPr>
          <w:noProof/>
        </w:rPr>
        <w:tab/>
      </w:r>
      <w:r w:rsidR="00543474" w:rsidRPr="000B5DDC">
        <w:rPr>
          <w:noProof/>
        </w:rPr>
        <w:t>Las medidas de gestión del riesgo de inundación que figuran en los planes de gestión del riesgo de inundación elaborados de conformidad con la Directiva 2007/60/CE.</w:t>
      </w:r>
    </w:p>
    <w:p w14:paraId="28251DE7" w14:textId="778BA14B" w:rsidR="00834FDC" w:rsidRPr="000B5DDC" w:rsidRDefault="00833AC8" w:rsidP="00833AC8">
      <w:pPr>
        <w:pStyle w:val="Point0"/>
        <w:rPr>
          <w:noProof/>
        </w:rPr>
      </w:pPr>
      <w:r>
        <w:rPr>
          <w:noProof/>
        </w:rPr>
        <w:t>7)</w:t>
      </w:r>
      <w:r>
        <w:rPr>
          <w:noProof/>
        </w:rPr>
        <w:tab/>
      </w:r>
      <w:r w:rsidR="00543474" w:rsidRPr="000B5DDC">
        <w:rPr>
          <w:noProof/>
        </w:rPr>
        <w:t xml:space="preserve">Los planes de gestión de sequías a que se refiere la Estrategia de adaptación al cambio climático de la Unión. </w:t>
      </w:r>
    </w:p>
    <w:p w14:paraId="32F8FBBD" w14:textId="3FBFA9AB" w:rsidR="00834FDC" w:rsidRPr="000B5DDC" w:rsidRDefault="00833AC8" w:rsidP="00833AC8">
      <w:pPr>
        <w:pStyle w:val="Point0"/>
        <w:rPr>
          <w:noProof/>
        </w:rPr>
      </w:pPr>
      <w:r>
        <w:rPr>
          <w:noProof/>
        </w:rPr>
        <w:t>8)</w:t>
      </w:r>
      <w:r>
        <w:rPr>
          <w:noProof/>
        </w:rPr>
        <w:tab/>
      </w:r>
      <w:r w:rsidR="00543474" w:rsidRPr="000B5DDC">
        <w:rPr>
          <w:noProof/>
        </w:rPr>
        <w:t>Los programas de acción nacionales establecidos en la Convención de Lucha contra la Desertificación de las Naciones Unidas.</w:t>
      </w:r>
    </w:p>
    <w:p w14:paraId="14DE4CD1" w14:textId="78A65DCF" w:rsidR="00834FDC" w:rsidRPr="000B5DDC" w:rsidRDefault="00833AC8" w:rsidP="00833AC8">
      <w:pPr>
        <w:pStyle w:val="Point0"/>
        <w:rPr>
          <w:noProof/>
        </w:rPr>
      </w:pPr>
      <w:r>
        <w:rPr>
          <w:noProof/>
        </w:rPr>
        <w:t>9)</w:t>
      </w:r>
      <w:r>
        <w:rPr>
          <w:noProof/>
        </w:rPr>
        <w:tab/>
      </w:r>
      <w:r w:rsidR="00543474" w:rsidRPr="000B5DDC">
        <w:rPr>
          <w:noProof/>
        </w:rPr>
        <w:t>Los objetivos establecidos en el Reglamento (UE) 2018/841.</w:t>
      </w:r>
    </w:p>
    <w:p w14:paraId="2F35A885" w14:textId="66554A19" w:rsidR="00A24D44" w:rsidRPr="000B5DDC" w:rsidRDefault="00833AC8" w:rsidP="00833AC8">
      <w:pPr>
        <w:pStyle w:val="Point0"/>
        <w:rPr>
          <w:noProof/>
        </w:rPr>
      </w:pPr>
      <w:r>
        <w:rPr>
          <w:noProof/>
        </w:rPr>
        <w:t>10)</w:t>
      </w:r>
      <w:r>
        <w:rPr>
          <w:noProof/>
        </w:rPr>
        <w:tab/>
      </w:r>
      <w:r w:rsidR="00A24D44" w:rsidRPr="000B5DDC">
        <w:rPr>
          <w:noProof/>
        </w:rPr>
        <w:t>Los objetivos establecidos en el Reglamento (UE) 2018/842.</w:t>
      </w:r>
    </w:p>
    <w:p w14:paraId="388ED1CE" w14:textId="2C857583" w:rsidR="00834FDC" w:rsidRPr="000B5DDC" w:rsidRDefault="00833AC8" w:rsidP="00833AC8">
      <w:pPr>
        <w:pStyle w:val="Point0"/>
        <w:rPr>
          <w:noProof/>
        </w:rPr>
      </w:pPr>
      <w:r>
        <w:rPr>
          <w:noProof/>
        </w:rPr>
        <w:t>11)</w:t>
      </w:r>
      <w:r>
        <w:rPr>
          <w:noProof/>
        </w:rPr>
        <w:tab/>
      </w:r>
      <w:r w:rsidR="00543474" w:rsidRPr="000B5DDC">
        <w:rPr>
          <w:noProof/>
        </w:rPr>
        <w:t xml:space="preserve">Los programas nacionales de control de la contaminación atmosférica elaborados en virtud de la Directiva (UE) 2016/2284 y los datos de seguimiento de los efectos de la contaminación atmosférica en los ecosistemas notificados conforme a dicha Directiva. </w:t>
      </w:r>
    </w:p>
    <w:p w14:paraId="5A139D5B" w14:textId="0BA13765" w:rsidR="00834FDC" w:rsidRPr="000B5DDC" w:rsidRDefault="00833AC8" w:rsidP="00833AC8">
      <w:pPr>
        <w:pStyle w:val="Point0"/>
        <w:rPr>
          <w:noProof/>
        </w:rPr>
      </w:pPr>
      <w:r>
        <w:rPr>
          <w:noProof/>
        </w:rPr>
        <w:t>12)</w:t>
      </w:r>
      <w:r>
        <w:rPr>
          <w:noProof/>
        </w:rPr>
        <w:tab/>
      </w:r>
      <w:r w:rsidR="00D754B9" w:rsidRPr="000B5DDC">
        <w:rPr>
          <w:noProof/>
        </w:rPr>
        <w:t xml:space="preserve">El plan nacional integrado de energía y clima establecido de conformidad con el Reglamento (UE) 2018/1999. </w:t>
      </w:r>
    </w:p>
    <w:p w14:paraId="3D889DE0" w14:textId="021766D5" w:rsidR="00834FDC" w:rsidRPr="000B5DDC" w:rsidRDefault="00833AC8" w:rsidP="00833AC8">
      <w:pPr>
        <w:pStyle w:val="Point0"/>
        <w:rPr>
          <w:noProof/>
        </w:rPr>
      </w:pPr>
      <w:r>
        <w:rPr>
          <w:noProof/>
        </w:rPr>
        <w:t>13)</w:t>
      </w:r>
      <w:r>
        <w:rPr>
          <w:noProof/>
        </w:rPr>
        <w:tab/>
      </w:r>
      <w:r w:rsidR="00D754B9" w:rsidRPr="000B5DDC">
        <w:rPr>
          <w:noProof/>
        </w:rPr>
        <w:t>Las evaluaciones de riesgos y la planificación de la gestión de riesgos de conformidad con la Decisión n.º 1313/2013/UE.</w:t>
      </w:r>
    </w:p>
    <w:p w14:paraId="3D1D70D8" w14:textId="4DA8D450" w:rsidR="00834FDC" w:rsidRPr="000B5DDC" w:rsidRDefault="00833AC8" w:rsidP="00833AC8">
      <w:pPr>
        <w:pStyle w:val="Point0"/>
        <w:rPr>
          <w:noProof/>
        </w:rPr>
      </w:pPr>
      <w:r>
        <w:rPr>
          <w:noProof/>
        </w:rPr>
        <w:t>14)</w:t>
      </w:r>
      <w:r>
        <w:rPr>
          <w:noProof/>
        </w:rPr>
        <w:tab/>
      </w:r>
      <w:r w:rsidR="00D754B9" w:rsidRPr="000B5DDC">
        <w:rPr>
          <w:noProof/>
        </w:rPr>
        <w:t>Los planes de acción nacionales adoptados de conformidad con el artículo 8 del Reglamento …/…</w:t>
      </w:r>
      <w:r w:rsidR="00D754B9" w:rsidRPr="000B5DDC">
        <w:rPr>
          <w:rStyle w:val="FootnoteReference"/>
          <w:noProof/>
        </w:rPr>
        <w:footnoteReference w:id="20"/>
      </w:r>
      <w:r w:rsidR="00D754B9" w:rsidRPr="000B5DDC">
        <w:rPr>
          <w:noProof/>
        </w:rPr>
        <w:t xml:space="preserve">+. </w:t>
      </w:r>
    </w:p>
    <w:p w14:paraId="2D7ED979" w14:textId="77777777" w:rsidR="00F72C57" w:rsidRPr="000B5DDC" w:rsidRDefault="00F72C57" w:rsidP="00F72C57">
      <w:pPr>
        <w:rPr>
          <w:noProof/>
        </w:rPr>
      </w:pPr>
    </w:p>
    <w:p w14:paraId="7669C9F9" w14:textId="77777777" w:rsidR="00F72C57" w:rsidRPr="000B5DDC" w:rsidRDefault="00F72C57" w:rsidP="00F72C57">
      <w:pPr>
        <w:rPr>
          <w:noProof/>
        </w:rPr>
        <w:sectPr w:rsidR="00F72C57" w:rsidRPr="000B5DDC" w:rsidSect="009410AC">
          <w:pgSz w:w="11907" w:h="16839"/>
          <w:pgMar w:top="1134" w:right="1417" w:bottom="1134" w:left="1417" w:header="709" w:footer="709" w:gutter="0"/>
          <w:cols w:space="720"/>
          <w:docGrid w:linePitch="360"/>
        </w:sectPr>
      </w:pPr>
    </w:p>
    <w:p w14:paraId="53765F8D" w14:textId="77777777" w:rsidR="00F72C57" w:rsidRPr="000B5DDC" w:rsidRDefault="00F72C57" w:rsidP="00F72C57">
      <w:pPr>
        <w:pStyle w:val="Annexetitre"/>
        <w:rPr>
          <w:noProof/>
        </w:rPr>
      </w:pPr>
      <w:r w:rsidRPr="000B5DDC">
        <w:rPr>
          <w:noProof/>
        </w:rPr>
        <w:t xml:space="preserve">ANEXO V </w:t>
      </w:r>
      <w:r w:rsidRPr="000B5DDC">
        <w:rPr>
          <w:noProof/>
        </w:rPr>
        <w:br/>
        <w:t xml:space="preserve"> </w:t>
      </w:r>
      <w:r w:rsidRPr="000B5DDC">
        <w:rPr>
          <w:noProof/>
        </w:rPr>
        <w:br/>
        <w:t>LISTA INDICATIVA DE MEDIDAS DE REDUCCIÓN DEL RIESGO</w:t>
      </w:r>
    </w:p>
    <w:p w14:paraId="7F3C7511" w14:textId="77777777" w:rsidR="00834FDC" w:rsidRPr="000B5DDC" w:rsidRDefault="00834FDC" w:rsidP="00834FDC">
      <w:pPr>
        <w:rPr>
          <w:noProof/>
        </w:rPr>
      </w:pPr>
    </w:p>
    <w:p w14:paraId="4D640D01" w14:textId="1A7EE2AD" w:rsidR="00834FDC" w:rsidRPr="000B5DDC" w:rsidRDefault="00833AC8" w:rsidP="00833AC8">
      <w:pPr>
        <w:pStyle w:val="Point0"/>
        <w:rPr>
          <w:noProof/>
        </w:rPr>
      </w:pPr>
      <w:r>
        <w:rPr>
          <w:noProof/>
        </w:rPr>
        <w:t>1)</w:t>
      </w:r>
      <w:r>
        <w:rPr>
          <w:noProof/>
        </w:rPr>
        <w:tab/>
      </w:r>
      <w:r w:rsidR="00834FDC" w:rsidRPr="000B5DDC">
        <w:rPr>
          <w:noProof/>
        </w:rPr>
        <w:t xml:space="preserve">Técnicas de saneamiento para saneamiento </w:t>
      </w:r>
      <w:r w:rsidR="00834FDC" w:rsidRPr="000B5DDC">
        <w:rPr>
          <w:i/>
          <w:noProof/>
        </w:rPr>
        <w:t>in situ</w:t>
      </w:r>
      <w:r w:rsidR="00834FDC" w:rsidRPr="000B5DDC">
        <w:rPr>
          <w:noProof/>
        </w:rPr>
        <w:t xml:space="preserve"> o </w:t>
      </w:r>
      <w:r w:rsidR="00834FDC" w:rsidRPr="000B5DDC">
        <w:rPr>
          <w:i/>
          <w:noProof/>
        </w:rPr>
        <w:t>ex situ</w:t>
      </w:r>
      <w:r w:rsidR="00834FDC" w:rsidRPr="000B5DDC">
        <w:rPr>
          <w:noProof/>
        </w:rPr>
        <w:t>:</w:t>
      </w:r>
    </w:p>
    <w:p w14:paraId="1253B4B6" w14:textId="77777777" w:rsidR="00834FDC" w:rsidRPr="000B5DDC" w:rsidRDefault="00834FDC" w:rsidP="00834FDC">
      <w:pPr>
        <w:rPr>
          <w:noProof/>
        </w:rPr>
      </w:pPr>
    </w:p>
    <w:p w14:paraId="30485953" w14:textId="2EFE3B8E" w:rsidR="00834FDC" w:rsidRPr="000B5DDC" w:rsidRDefault="00833AC8" w:rsidP="00833AC8">
      <w:pPr>
        <w:pStyle w:val="Point1"/>
        <w:rPr>
          <w:noProof/>
        </w:rPr>
      </w:pPr>
      <w:r>
        <w:rPr>
          <w:noProof/>
        </w:rPr>
        <w:t>a)</w:t>
      </w:r>
      <w:r>
        <w:rPr>
          <w:noProof/>
        </w:rPr>
        <w:tab/>
      </w:r>
      <w:r w:rsidR="00834FDC" w:rsidRPr="000B5DDC">
        <w:rPr>
          <w:noProof/>
        </w:rPr>
        <w:t>Técnicas de saneamiento físico:</w:t>
      </w:r>
    </w:p>
    <w:p w14:paraId="62978943" w14:textId="1F51B105" w:rsidR="00834FDC" w:rsidRPr="000B5DDC" w:rsidRDefault="00833AC8" w:rsidP="00833AC8">
      <w:pPr>
        <w:pStyle w:val="Point20"/>
        <w:rPr>
          <w:noProof/>
        </w:rPr>
      </w:pPr>
      <w:r>
        <w:rPr>
          <w:noProof/>
        </w:rPr>
        <w:t>a)</w:t>
      </w:r>
      <w:r>
        <w:rPr>
          <w:noProof/>
        </w:rPr>
        <w:tab/>
      </w:r>
      <w:r w:rsidR="00834FDC" w:rsidRPr="000B5DDC">
        <w:rPr>
          <w:noProof/>
        </w:rPr>
        <w:t>extracción de vapor, inyección de aire;</w:t>
      </w:r>
    </w:p>
    <w:p w14:paraId="6A79AD73" w14:textId="5BF5F7A7" w:rsidR="00834FDC" w:rsidRPr="000B5DDC" w:rsidRDefault="00833AC8" w:rsidP="00833AC8">
      <w:pPr>
        <w:pStyle w:val="Point20"/>
        <w:rPr>
          <w:noProof/>
        </w:rPr>
      </w:pPr>
      <w:r>
        <w:rPr>
          <w:noProof/>
        </w:rPr>
        <w:t>b)</w:t>
      </w:r>
      <w:r>
        <w:rPr>
          <w:noProof/>
        </w:rPr>
        <w:tab/>
      </w:r>
      <w:r w:rsidR="00834FDC" w:rsidRPr="000B5DDC">
        <w:rPr>
          <w:noProof/>
        </w:rPr>
        <w:t>tratamiento térmico, inyección de vapor, desorción térmica, vitrificación;</w:t>
      </w:r>
    </w:p>
    <w:p w14:paraId="58FFF403" w14:textId="05FA0DB5" w:rsidR="00834FDC" w:rsidRPr="000B5DDC" w:rsidRDefault="00833AC8" w:rsidP="00833AC8">
      <w:pPr>
        <w:pStyle w:val="Point20"/>
        <w:rPr>
          <w:noProof/>
        </w:rPr>
      </w:pPr>
      <w:r>
        <w:rPr>
          <w:noProof/>
        </w:rPr>
        <w:t>c)</w:t>
      </w:r>
      <w:r>
        <w:rPr>
          <w:noProof/>
        </w:rPr>
        <w:tab/>
      </w:r>
      <w:r w:rsidR="00834FDC" w:rsidRPr="000B5DDC">
        <w:rPr>
          <w:noProof/>
        </w:rPr>
        <w:t>lavado e inundación del suelo;</w:t>
      </w:r>
    </w:p>
    <w:p w14:paraId="6E40EBC2" w14:textId="47C5C39C" w:rsidR="00834FDC" w:rsidRPr="000B5DDC" w:rsidRDefault="00833AC8" w:rsidP="00833AC8">
      <w:pPr>
        <w:pStyle w:val="Point20"/>
        <w:rPr>
          <w:noProof/>
        </w:rPr>
      </w:pPr>
      <w:r>
        <w:rPr>
          <w:noProof/>
        </w:rPr>
        <w:t>d)</w:t>
      </w:r>
      <w:r>
        <w:rPr>
          <w:noProof/>
        </w:rPr>
        <w:tab/>
      </w:r>
      <w:r w:rsidR="00834FDC" w:rsidRPr="000B5DDC">
        <w:rPr>
          <w:noProof/>
        </w:rPr>
        <w:t>extracción electrocinética;</w:t>
      </w:r>
    </w:p>
    <w:p w14:paraId="4BA1550E" w14:textId="4769D4D7" w:rsidR="00834FDC" w:rsidRPr="000B5DDC" w:rsidRDefault="00833AC8" w:rsidP="00833AC8">
      <w:pPr>
        <w:pStyle w:val="Point20"/>
        <w:rPr>
          <w:noProof/>
        </w:rPr>
      </w:pPr>
      <w:r>
        <w:rPr>
          <w:noProof/>
        </w:rPr>
        <w:t>e)</w:t>
      </w:r>
      <w:r>
        <w:rPr>
          <w:noProof/>
        </w:rPr>
        <w:tab/>
      </w:r>
      <w:r w:rsidR="00834FDC" w:rsidRPr="000B5DDC">
        <w:rPr>
          <w:noProof/>
        </w:rPr>
        <w:t>eliminación de la capa líquida;</w:t>
      </w:r>
    </w:p>
    <w:p w14:paraId="0748E35D" w14:textId="19DDB71F" w:rsidR="00524C83" w:rsidRPr="000B5DDC" w:rsidRDefault="00833AC8" w:rsidP="00833AC8">
      <w:pPr>
        <w:pStyle w:val="Point20"/>
        <w:rPr>
          <w:noProof/>
        </w:rPr>
      </w:pPr>
      <w:r>
        <w:rPr>
          <w:noProof/>
        </w:rPr>
        <w:t>f)</w:t>
      </w:r>
      <w:r>
        <w:rPr>
          <w:noProof/>
        </w:rPr>
        <w:tab/>
      </w:r>
      <w:r w:rsidR="00524C83" w:rsidRPr="000B5DDC">
        <w:rPr>
          <w:noProof/>
        </w:rPr>
        <w:t>excavación y volcado.</w:t>
      </w:r>
    </w:p>
    <w:p w14:paraId="12472222" w14:textId="77777777" w:rsidR="00834FDC" w:rsidRPr="000B5DDC" w:rsidRDefault="00834FDC" w:rsidP="00834FDC">
      <w:pPr>
        <w:rPr>
          <w:noProof/>
        </w:rPr>
      </w:pPr>
    </w:p>
    <w:p w14:paraId="4DF5206F" w14:textId="66798358" w:rsidR="00834FDC" w:rsidRPr="000B5DDC" w:rsidRDefault="00833AC8" w:rsidP="00833AC8">
      <w:pPr>
        <w:pStyle w:val="Point1"/>
        <w:rPr>
          <w:noProof/>
        </w:rPr>
      </w:pPr>
      <w:r>
        <w:rPr>
          <w:noProof/>
        </w:rPr>
        <w:t>b)</w:t>
      </w:r>
      <w:r>
        <w:rPr>
          <w:noProof/>
        </w:rPr>
        <w:tab/>
      </w:r>
      <w:r w:rsidR="00834FDC" w:rsidRPr="000B5DDC">
        <w:rPr>
          <w:noProof/>
        </w:rPr>
        <w:t>Técnicas de saneamiento biológico:</w:t>
      </w:r>
    </w:p>
    <w:p w14:paraId="4FEA1100" w14:textId="47112AFC" w:rsidR="00834FDC" w:rsidRPr="000B5DDC" w:rsidRDefault="00833AC8" w:rsidP="00833AC8">
      <w:pPr>
        <w:pStyle w:val="Point20"/>
        <w:rPr>
          <w:noProof/>
        </w:rPr>
      </w:pPr>
      <w:r>
        <w:rPr>
          <w:noProof/>
        </w:rPr>
        <w:t>a)</w:t>
      </w:r>
      <w:r>
        <w:rPr>
          <w:noProof/>
        </w:rPr>
        <w:tab/>
      </w:r>
      <w:r w:rsidR="00834FDC" w:rsidRPr="000B5DDC">
        <w:rPr>
          <w:noProof/>
        </w:rPr>
        <w:t>estimulación de la degradación aeróbica y anaeróbica: biorremediación, bioestimulación, bioaumentación, bioventeo, bioinyección;</w:t>
      </w:r>
    </w:p>
    <w:p w14:paraId="619AFC33" w14:textId="39E05292" w:rsidR="00834FDC" w:rsidRPr="000B5DDC" w:rsidRDefault="00833AC8" w:rsidP="00833AC8">
      <w:pPr>
        <w:pStyle w:val="Point20"/>
        <w:rPr>
          <w:noProof/>
        </w:rPr>
      </w:pPr>
      <w:r>
        <w:rPr>
          <w:noProof/>
        </w:rPr>
        <w:t>b)</w:t>
      </w:r>
      <w:r>
        <w:rPr>
          <w:noProof/>
        </w:rPr>
        <w:tab/>
      </w:r>
      <w:r w:rsidR="00834FDC" w:rsidRPr="000B5DDC">
        <w:rPr>
          <w:noProof/>
        </w:rPr>
        <w:t>fitoextracción, fitovolatilización, fitodegradación;</w:t>
      </w:r>
    </w:p>
    <w:p w14:paraId="11CA0A25" w14:textId="792E7F62" w:rsidR="00834FDC" w:rsidRPr="000B5DDC" w:rsidRDefault="00833AC8" w:rsidP="00833AC8">
      <w:pPr>
        <w:pStyle w:val="Point20"/>
        <w:rPr>
          <w:noProof/>
        </w:rPr>
      </w:pPr>
      <w:r>
        <w:rPr>
          <w:noProof/>
        </w:rPr>
        <w:t>c)</w:t>
      </w:r>
      <w:r>
        <w:rPr>
          <w:noProof/>
        </w:rPr>
        <w:tab/>
      </w:r>
      <w:r w:rsidR="00834FDC" w:rsidRPr="000B5DDC">
        <w:rPr>
          <w:noProof/>
        </w:rPr>
        <w:t>compostaje, enmiendas del suelo, biolabranza y sistemas biorreactores;</w:t>
      </w:r>
    </w:p>
    <w:p w14:paraId="0EF3EA36" w14:textId="3B6EB583" w:rsidR="00834FDC" w:rsidRPr="000B5DDC" w:rsidRDefault="00833AC8" w:rsidP="00833AC8">
      <w:pPr>
        <w:pStyle w:val="Point20"/>
        <w:rPr>
          <w:noProof/>
        </w:rPr>
      </w:pPr>
      <w:r>
        <w:rPr>
          <w:noProof/>
        </w:rPr>
        <w:t>d)</w:t>
      </w:r>
      <w:r>
        <w:rPr>
          <w:noProof/>
        </w:rPr>
        <w:tab/>
      </w:r>
      <w:r w:rsidR="00834FDC" w:rsidRPr="000B5DDC">
        <w:rPr>
          <w:noProof/>
        </w:rPr>
        <w:t>biofiltración, biotratamiento de humedales y lechos biológicos;</w:t>
      </w:r>
    </w:p>
    <w:p w14:paraId="3E6CD902" w14:textId="61396D75" w:rsidR="00834FDC" w:rsidRPr="000B5DDC" w:rsidRDefault="00833AC8" w:rsidP="00833AC8">
      <w:pPr>
        <w:pStyle w:val="Point20"/>
        <w:rPr>
          <w:noProof/>
        </w:rPr>
      </w:pPr>
      <w:r>
        <w:rPr>
          <w:noProof/>
        </w:rPr>
        <w:t>e)</w:t>
      </w:r>
      <w:r>
        <w:rPr>
          <w:noProof/>
        </w:rPr>
        <w:tab/>
      </w:r>
      <w:r w:rsidR="00834FDC" w:rsidRPr="000B5DDC">
        <w:rPr>
          <w:noProof/>
        </w:rPr>
        <w:t>atenuación natural.</w:t>
      </w:r>
    </w:p>
    <w:p w14:paraId="70CDEED3" w14:textId="77777777" w:rsidR="00834FDC" w:rsidRPr="000B5DDC" w:rsidRDefault="00834FDC" w:rsidP="00834FDC">
      <w:pPr>
        <w:rPr>
          <w:noProof/>
        </w:rPr>
      </w:pPr>
    </w:p>
    <w:p w14:paraId="27501156" w14:textId="570F7100" w:rsidR="00834FDC" w:rsidRPr="000B5DDC" w:rsidRDefault="00833AC8" w:rsidP="00833AC8">
      <w:pPr>
        <w:pStyle w:val="Point1"/>
        <w:rPr>
          <w:noProof/>
        </w:rPr>
      </w:pPr>
      <w:r>
        <w:rPr>
          <w:noProof/>
        </w:rPr>
        <w:t>c)</w:t>
      </w:r>
      <w:r>
        <w:rPr>
          <w:noProof/>
        </w:rPr>
        <w:tab/>
      </w:r>
      <w:r w:rsidR="00834FDC" w:rsidRPr="000B5DDC">
        <w:rPr>
          <w:noProof/>
        </w:rPr>
        <w:t>Técnicas de saneamiento químico:</w:t>
      </w:r>
    </w:p>
    <w:p w14:paraId="45B5CD4F" w14:textId="40B8435F" w:rsidR="00834FDC" w:rsidRPr="000B5DDC" w:rsidRDefault="00833AC8" w:rsidP="00833AC8">
      <w:pPr>
        <w:pStyle w:val="Point20"/>
        <w:rPr>
          <w:noProof/>
        </w:rPr>
      </w:pPr>
      <w:r>
        <w:rPr>
          <w:noProof/>
        </w:rPr>
        <w:t>a)</w:t>
      </w:r>
      <w:r>
        <w:rPr>
          <w:noProof/>
        </w:rPr>
        <w:tab/>
      </w:r>
      <w:r w:rsidR="00834FDC" w:rsidRPr="000B5DDC">
        <w:rPr>
          <w:noProof/>
        </w:rPr>
        <w:t>oxidación química;</w:t>
      </w:r>
    </w:p>
    <w:p w14:paraId="6A922AF6" w14:textId="03B3ABAB" w:rsidR="00834FDC" w:rsidRPr="000B5DDC" w:rsidRDefault="00833AC8" w:rsidP="00833AC8">
      <w:pPr>
        <w:pStyle w:val="Point20"/>
        <w:rPr>
          <w:noProof/>
        </w:rPr>
      </w:pPr>
      <w:r>
        <w:rPr>
          <w:noProof/>
        </w:rPr>
        <w:t>b)</w:t>
      </w:r>
      <w:r>
        <w:rPr>
          <w:noProof/>
        </w:rPr>
        <w:tab/>
      </w:r>
      <w:r w:rsidR="00834FDC" w:rsidRPr="000B5DDC">
        <w:rPr>
          <w:noProof/>
        </w:rPr>
        <w:t>reducción química y reacciones de reducción-oxidación (redox);</w:t>
      </w:r>
    </w:p>
    <w:p w14:paraId="0487025A" w14:textId="48BD75EF" w:rsidR="00834FDC" w:rsidRPr="000B5DDC" w:rsidRDefault="00833AC8" w:rsidP="00833AC8">
      <w:pPr>
        <w:pStyle w:val="Point20"/>
        <w:rPr>
          <w:noProof/>
        </w:rPr>
      </w:pPr>
      <w:r>
        <w:rPr>
          <w:noProof/>
        </w:rPr>
        <w:t>c)</w:t>
      </w:r>
      <w:r>
        <w:rPr>
          <w:noProof/>
        </w:rPr>
        <w:tab/>
      </w:r>
      <w:r w:rsidR="00834FDC" w:rsidRPr="000B5DDC">
        <w:rPr>
          <w:noProof/>
        </w:rPr>
        <w:t>bombeo y tratamiento de agua subterránea.</w:t>
      </w:r>
    </w:p>
    <w:p w14:paraId="4A71E826" w14:textId="77777777" w:rsidR="00910751" w:rsidRPr="000B5DDC" w:rsidRDefault="00910751" w:rsidP="0043508A">
      <w:pPr>
        <w:rPr>
          <w:noProof/>
        </w:rPr>
      </w:pPr>
    </w:p>
    <w:p w14:paraId="0EE3CF27" w14:textId="1BEB5BED" w:rsidR="00D107B4" w:rsidRPr="000B5DDC" w:rsidRDefault="00833AC8" w:rsidP="00833AC8">
      <w:pPr>
        <w:pStyle w:val="Point1"/>
        <w:rPr>
          <w:noProof/>
        </w:rPr>
      </w:pPr>
      <w:r>
        <w:rPr>
          <w:noProof/>
        </w:rPr>
        <w:t>d)</w:t>
      </w:r>
      <w:r>
        <w:rPr>
          <w:noProof/>
        </w:rPr>
        <w:tab/>
      </w:r>
      <w:r w:rsidR="00D107B4" w:rsidRPr="000B5DDC">
        <w:rPr>
          <w:noProof/>
        </w:rPr>
        <w:t>Técnicas de saneamiento para aislamiento, contención y vigilancia:</w:t>
      </w:r>
    </w:p>
    <w:p w14:paraId="548EBA5F" w14:textId="27552ABA" w:rsidR="00D107B4" w:rsidRPr="000B5DDC" w:rsidRDefault="00833AC8" w:rsidP="00833AC8">
      <w:pPr>
        <w:pStyle w:val="Point20"/>
        <w:rPr>
          <w:noProof/>
        </w:rPr>
      </w:pPr>
      <w:r>
        <w:rPr>
          <w:noProof/>
        </w:rPr>
        <w:t>a)</w:t>
      </w:r>
      <w:r>
        <w:rPr>
          <w:noProof/>
        </w:rPr>
        <w:tab/>
      </w:r>
      <w:r w:rsidR="00D107B4" w:rsidRPr="000B5DDC">
        <w:rPr>
          <w:noProof/>
        </w:rPr>
        <w:t>impermeabilización superficial, barreras reactivas, encapsulación;</w:t>
      </w:r>
    </w:p>
    <w:p w14:paraId="0290B8FD" w14:textId="2A543FFA" w:rsidR="00B876E7" w:rsidRPr="000B5DDC" w:rsidRDefault="00833AC8" w:rsidP="00833AC8">
      <w:pPr>
        <w:pStyle w:val="Point20"/>
        <w:rPr>
          <w:noProof/>
        </w:rPr>
      </w:pPr>
      <w:r>
        <w:rPr>
          <w:noProof/>
        </w:rPr>
        <w:t>b)</w:t>
      </w:r>
      <w:r>
        <w:rPr>
          <w:noProof/>
        </w:rPr>
        <w:tab/>
      </w:r>
      <w:r w:rsidR="00B876E7" w:rsidRPr="000B5DDC">
        <w:rPr>
          <w:noProof/>
        </w:rPr>
        <w:t xml:space="preserve">estabilización química, solidificación e inmovilización; </w:t>
      </w:r>
    </w:p>
    <w:p w14:paraId="051579A9" w14:textId="13C24DD2" w:rsidR="00D107B4" w:rsidRPr="000B5DDC" w:rsidRDefault="00833AC8" w:rsidP="00833AC8">
      <w:pPr>
        <w:pStyle w:val="Point20"/>
        <w:rPr>
          <w:noProof/>
        </w:rPr>
      </w:pPr>
      <w:r>
        <w:rPr>
          <w:noProof/>
        </w:rPr>
        <w:t>c)</w:t>
      </w:r>
      <w:r>
        <w:rPr>
          <w:noProof/>
        </w:rPr>
        <w:tab/>
      </w:r>
      <w:r w:rsidR="00D107B4" w:rsidRPr="000B5DDC">
        <w:rPr>
          <w:noProof/>
        </w:rPr>
        <w:t>aislamiento y contención geohidrológicos;</w:t>
      </w:r>
    </w:p>
    <w:p w14:paraId="23E90145" w14:textId="3BE6B311" w:rsidR="00D107B4" w:rsidRPr="000B5DDC" w:rsidRDefault="00833AC8" w:rsidP="00833AC8">
      <w:pPr>
        <w:pStyle w:val="Point20"/>
        <w:rPr>
          <w:noProof/>
        </w:rPr>
      </w:pPr>
      <w:r>
        <w:rPr>
          <w:noProof/>
        </w:rPr>
        <w:t>d)</w:t>
      </w:r>
      <w:r>
        <w:rPr>
          <w:noProof/>
        </w:rPr>
        <w:tab/>
      </w:r>
      <w:r w:rsidR="00D107B4" w:rsidRPr="000B5DDC">
        <w:rPr>
          <w:noProof/>
        </w:rPr>
        <w:t xml:space="preserve">fitoestabilización; </w:t>
      </w:r>
    </w:p>
    <w:p w14:paraId="3CE2795E" w14:textId="1198CE5B" w:rsidR="00D107B4" w:rsidRPr="000B5DDC" w:rsidRDefault="00833AC8" w:rsidP="00833AC8">
      <w:pPr>
        <w:pStyle w:val="Point20"/>
        <w:rPr>
          <w:noProof/>
        </w:rPr>
      </w:pPr>
      <w:r>
        <w:rPr>
          <w:noProof/>
        </w:rPr>
        <w:t>e)</w:t>
      </w:r>
      <w:r>
        <w:rPr>
          <w:noProof/>
        </w:rPr>
        <w:tab/>
      </w:r>
      <w:r w:rsidR="00D107B4" w:rsidRPr="000B5DDC">
        <w:rPr>
          <w:noProof/>
        </w:rPr>
        <w:t xml:space="preserve">control y gestión posterior a través de pozos de control. </w:t>
      </w:r>
    </w:p>
    <w:p w14:paraId="5756D66A" w14:textId="77777777" w:rsidR="00834FDC" w:rsidRPr="000B5DDC" w:rsidRDefault="00834FDC" w:rsidP="00834FDC">
      <w:pPr>
        <w:rPr>
          <w:noProof/>
        </w:rPr>
      </w:pPr>
    </w:p>
    <w:p w14:paraId="396C78C6" w14:textId="52979CD5" w:rsidR="00834FDC" w:rsidRPr="000B5DDC" w:rsidRDefault="00833AC8" w:rsidP="00833AC8">
      <w:pPr>
        <w:pStyle w:val="Point0"/>
        <w:rPr>
          <w:noProof/>
        </w:rPr>
      </w:pPr>
      <w:r>
        <w:rPr>
          <w:noProof/>
        </w:rPr>
        <w:t>2)</w:t>
      </w:r>
      <w:r>
        <w:rPr>
          <w:noProof/>
        </w:rPr>
        <w:tab/>
      </w:r>
      <w:r w:rsidR="00834FDC" w:rsidRPr="000B5DDC">
        <w:rPr>
          <w:noProof/>
        </w:rPr>
        <w:t>Medidas de reducción del riesgo distintas del saneamiento:</w:t>
      </w:r>
    </w:p>
    <w:p w14:paraId="11621CB9" w14:textId="46D7CD22" w:rsidR="00834FDC" w:rsidRPr="000B5DDC" w:rsidRDefault="00833AC8" w:rsidP="00833AC8">
      <w:pPr>
        <w:pStyle w:val="Point1"/>
        <w:rPr>
          <w:noProof/>
        </w:rPr>
      </w:pPr>
      <w:r>
        <w:rPr>
          <w:noProof/>
        </w:rPr>
        <w:t>a)</w:t>
      </w:r>
      <w:r>
        <w:rPr>
          <w:noProof/>
        </w:rPr>
        <w:tab/>
      </w:r>
      <w:r w:rsidR="00834FDC" w:rsidRPr="000B5DDC">
        <w:rPr>
          <w:noProof/>
        </w:rPr>
        <w:t xml:space="preserve">restricción del cultivo y el consumo de cultivos agrícolas y hortícolas; </w:t>
      </w:r>
    </w:p>
    <w:p w14:paraId="7BF4A20C" w14:textId="540DC9CE" w:rsidR="00834FDC" w:rsidRPr="000B5DDC" w:rsidRDefault="00833AC8" w:rsidP="00833AC8">
      <w:pPr>
        <w:pStyle w:val="Point1"/>
        <w:rPr>
          <w:noProof/>
        </w:rPr>
      </w:pPr>
      <w:r>
        <w:rPr>
          <w:noProof/>
        </w:rPr>
        <w:t>b)</w:t>
      </w:r>
      <w:r>
        <w:rPr>
          <w:noProof/>
        </w:rPr>
        <w:tab/>
      </w:r>
      <w:r w:rsidR="00834FDC" w:rsidRPr="000B5DDC">
        <w:rPr>
          <w:noProof/>
        </w:rPr>
        <w:t xml:space="preserve">restricción del consumo de huevos; </w:t>
      </w:r>
    </w:p>
    <w:p w14:paraId="72F99314" w14:textId="1C4F8E53" w:rsidR="00834FDC" w:rsidRPr="000B5DDC" w:rsidRDefault="00833AC8" w:rsidP="00833AC8">
      <w:pPr>
        <w:pStyle w:val="Point1"/>
        <w:rPr>
          <w:noProof/>
        </w:rPr>
      </w:pPr>
      <w:r>
        <w:rPr>
          <w:noProof/>
        </w:rPr>
        <w:t>c)</w:t>
      </w:r>
      <w:r>
        <w:rPr>
          <w:noProof/>
        </w:rPr>
        <w:tab/>
      </w:r>
      <w:r w:rsidR="00834FDC" w:rsidRPr="000B5DDC">
        <w:rPr>
          <w:noProof/>
        </w:rPr>
        <w:t>restricción del acceso de animales domésticos o de animales de ganadería;</w:t>
      </w:r>
    </w:p>
    <w:p w14:paraId="6B8C55AF" w14:textId="00A7438E" w:rsidR="00834FDC" w:rsidRPr="000B5DDC" w:rsidRDefault="00833AC8" w:rsidP="00833AC8">
      <w:pPr>
        <w:pStyle w:val="Point1"/>
        <w:rPr>
          <w:noProof/>
        </w:rPr>
      </w:pPr>
      <w:r>
        <w:rPr>
          <w:noProof/>
        </w:rPr>
        <w:t>d)</w:t>
      </w:r>
      <w:r>
        <w:rPr>
          <w:noProof/>
        </w:rPr>
        <w:tab/>
      </w:r>
      <w:r w:rsidR="00834FDC" w:rsidRPr="000B5DDC">
        <w:rPr>
          <w:noProof/>
        </w:rPr>
        <w:t>restricción de la extracción o el uso de agua subterránea para consumo, higiene personal o con fines industriales;</w:t>
      </w:r>
    </w:p>
    <w:p w14:paraId="01BFF850" w14:textId="269D32A1" w:rsidR="00834FDC" w:rsidRPr="000B5DDC" w:rsidRDefault="00833AC8" w:rsidP="00833AC8">
      <w:pPr>
        <w:pStyle w:val="Point1"/>
        <w:rPr>
          <w:noProof/>
        </w:rPr>
      </w:pPr>
      <w:r>
        <w:rPr>
          <w:noProof/>
        </w:rPr>
        <w:t>e)</w:t>
      </w:r>
      <w:r>
        <w:rPr>
          <w:noProof/>
        </w:rPr>
        <w:tab/>
      </w:r>
      <w:r w:rsidR="00834FDC" w:rsidRPr="000B5DDC">
        <w:rPr>
          <w:noProof/>
        </w:rPr>
        <w:t>restricción de la demolición, el desellado o la construcción en el terreno;</w:t>
      </w:r>
    </w:p>
    <w:p w14:paraId="3CA5D188" w14:textId="41C4A296" w:rsidR="00834FDC" w:rsidRPr="000B5DDC" w:rsidRDefault="00833AC8" w:rsidP="00833AC8">
      <w:pPr>
        <w:pStyle w:val="Point1"/>
        <w:rPr>
          <w:noProof/>
        </w:rPr>
      </w:pPr>
      <w:r>
        <w:rPr>
          <w:noProof/>
        </w:rPr>
        <w:t>f)</w:t>
      </w:r>
      <w:r>
        <w:rPr>
          <w:noProof/>
        </w:rPr>
        <w:tab/>
      </w:r>
      <w:r w:rsidR="00834FDC" w:rsidRPr="000B5DDC">
        <w:rPr>
          <w:noProof/>
        </w:rPr>
        <w:t>restricción del acceso a las inmediaciones del terreno (por ejemplo, mediante vallado);</w:t>
      </w:r>
    </w:p>
    <w:p w14:paraId="4064184A" w14:textId="03BB8775" w:rsidR="00834FDC" w:rsidRPr="000B5DDC" w:rsidRDefault="00833AC8" w:rsidP="00833AC8">
      <w:pPr>
        <w:pStyle w:val="Point1"/>
        <w:rPr>
          <w:noProof/>
        </w:rPr>
      </w:pPr>
      <w:r>
        <w:rPr>
          <w:noProof/>
        </w:rPr>
        <w:t>g)</w:t>
      </w:r>
      <w:r>
        <w:rPr>
          <w:noProof/>
        </w:rPr>
        <w:tab/>
      </w:r>
      <w:r w:rsidR="00834FDC" w:rsidRPr="000B5DDC">
        <w:rPr>
          <w:noProof/>
        </w:rPr>
        <w:t>restricción del uso de la tierra o de los cambios de uso de la tierra;</w:t>
      </w:r>
    </w:p>
    <w:p w14:paraId="5B049D1B" w14:textId="2D7997EB" w:rsidR="00834FDC" w:rsidRPr="000B5DDC" w:rsidRDefault="00833AC8" w:rsidP="00833AC8">
      <w:pPr>
        <w:pStyle w:val="Point1"/>
        <w:rPr>
          <w:noProof/>
        </w:rPr>
      </w:pPr>
      <w:r>
        <w:rPr>
          <w:noProof/>
        </w:rPr>
        <w:t>h)</w:t>
      </w:r>
      <w:r>
        <w:rPr>
          <w:noProof/>
        </w:rPr>
        <w:tab/>
      </w:r>
      <w:r w:rsidR="00834FDC" w:rsidRPr="000B5DDC">
        <w:rPr>
          <w:noProof/>
        </w:rPr>
        <w:t xml:space="preserve">restricción de la cava, la perforación o la excavación; </w:t>
      </w:r>
    </w:p>
    <w:p w14:paraId="5B0C06EC" w14:textId="15AA12FB" w:rsidR="00834FDC" w:rsidRPr="000B5DDC" w:rsidRDefault="00833AC8" w:rsidP="00833AC8">
      <w:pPr>
        <w:pStyle w:val="Point1"/>
        <w:rPr>
          <w:noProof/>
        </w:rPr>
      </w:pPr>
      <w:r>
        <w:rPr>
          <w:noProof/>
        </w:rPr>
        <w:t>i)</w:t>
      </w:r>
      <w:r>
        <w:rPr>
          <w:noProof/>
        </w:rPr>
        <w:tab/>
      </w:r>
      <w:r w:rsidR="00CD0FE9" w:rsidRPr="000B5DDC">
        <w:rPr>
          <w:noProof/>
        </w:rPr>
        <w:t>restricción para evitar el contacto con el suelo, el polvo o el aire interior y aplicación de precauciones para proteger la salud humana (por ejemplo, máscaras respiratorias, guantes, limpieza en húmedo, etc.).</w:t>
      </w:r>
    </w:p>
    <w:p w14:paraId="77727E12" w14:textId="400285B9" w:rsidR="00EE15BC" w:rsidRPr="000B5DDC" w:rsidRDefault="00833AC8" w:rsidP="00833AC8">
      <w:pPr>
        <w:pStyle w:val="Point0"/>
        <w:rPr>
          <w:noProof/>
        </w:rPr>
      </w:pPr>
      <w:r>
        <w:rPr>
          <w:noProof/>
        </w:rPr>
        <w:t>3)</w:t>
      </w:r>
      <w:r>
        <w:rPr>
          <w:noProof/>
        </w:rPr>
        <w:tab/>
      </w:r>
      <w:r w:rsidR="00EE15BC" w:rsidRPr="000B5DDC">
        <w:rPr>
          <w:noProof/>
        </w:rPr>
        <w:t>Mejores técnicas disponibles a que se refiere la Directiva 2010/75/UE.</w:t>
      </w:r>
    </w:p>
    <w:p w14:paraId="7E5B7FC8" w14:textId="64B3E6E5" w:rsidR="00376B5F" w:rsidRPr="000B5DDC" w:rsidRDefault="00833AC8" w:rsidP="00833AC8">
      <w:pPr>
        <w:pStyle w:val="Point0"/>
        <w:rPr>
          <w:noProof/>
        </w:rPr>
      </w:pPr>
      <w:r>
        <w:rPr>
          <w:noProof/>
        </w:rPr>
        <w:t>4)</w:t>
      </w:r>
      <w:r>
        <w:rPr>
          <w:noProof/>
        </w:rPr>
        <w:tab/>
      </w:r>
      <w:r w:rsidR="00376B5F" w:rsidRPr="000B5DDC">
        <w:rPr>
          <w:noProof/>
        </w:rPr>
        <w:t>Medidas adoptadas por las autoridades competentes y los operadores industriales después de un accidente grave, de conformidad con la Directiva 2012/18/UE.</w:t>
      </w:r>
    </w:p>
    <w:p w14:paraId="1742169E" w14:textId="77777777" w:rsidR="00834FDC" w:rsidRPr="000B5DDC" w:rsidRDefault="00834FDC" w:rsidP="0043508A">
      <w:pPr>
        <w:rPr>
          <w:noProof/>
        </w:rPr>
      </w:pPr>
    </w:p>
    <w:p w14:paraId="5D6A61B8" w14:textId="77777777" w:rsidR="00834FDC" w:rsidRPr="000B5DDC" w:rsidRDefault="00834FDC" w:rsidP="00F72C57">
      <w:pPr>
        <w:rPr>
          <w:noProof/>
        </w:rPr>
        <w:sectPr w:rsidR="00834FDC" w:rsidRPr="000B5DDC" w:rsidSect="009410AC">
          <w:pgSz w:w="11907" w:h="16839"/>
          <w:pgMar w:top="1134" w:right="1417" w:bottom="1134" w:left="1417" w:header="709" w:footer="709" w:gutter="0"/>
          <w:cols w:space="720"/>
          <w:docGrid w:linePitch="360"/>
        </w:sectPr>
      </w:pPr>
    </w:p>
    <w:p w14:paraId="5533C422" w14:textId="77777777" w:rsidR="00F72C57" w:rsidRPr="000B5DDC" w:rsidRDefault="00F72C57" w:rsidP="00F72C57">
      <w:pPr>
        <w:pStyle w:val="Annexetitre"/>
        <w:rPr>
          <w:noProof/>
        </w:rPr>
      </w:pPr>
      <w:r w:rsidRPr="000B5DDC">
        <w:rPr>
          <w:noProof/>
        </w:rPr>
        <w:t xml:space="preserve">ANEXO VI </w:t>
      </w:r>
      <w:r w:rsidRPr="000B5DDC">
        <w:rPr>
          <w:noProof/>
        </w:rPr>
        <w:br/>
        <w:t xml:space="preserve"> </w:t>
      </w:r>
      <w:r w:rsidRPr="000B5DDC">
        <w:rPr>
          <w:noProof/>
        </w:rPr>
        <w:br/>
        <w:t>FASES Y REQUISITOS PARA LA EVALUACIÓN DE LOS RIESGOS ESPECÍFICOS DE CADA TERRENO</w:t>
      </w:r>
    </w:p>
    <w:p w14:paraId="3DF82298" w14:textId="77777777" w:rsidR="00F72C57" w:rsidRPr="000B5DDC" w:rsidRDefault="00F72C57" w:rsidP="00F72C57">
      <w:pPr>
        <w:rPr>
          <w:noProof/>
        </w:rPr>
      </w:pPr>
    </w:p>
    <w:p w14:paraId="7353FDAD" w14:textId="77777777" w:rsidR="004868E8" w:rsidRPr="000B5DDC" w:rsidRDefault="004868E8" w:rsidP="004868E8">
      <w:pPr>
        <w:rPr>
          <w:noProof/>
        </w:rPr>
      </w:pPr>
      <w:r w:rsidRPr="000B5DDC">
        <w:rPr>
          <w:noProof/>
        </w:rPr>
        <w:t>1.</w:t>
      </w:r>
      <w:r w:rsidRPr="000B5DDC">
        <w:rPr>
          <w:noProof/>
        </w:rPr>
        <w:tab/>
        <w:t>La caracterización de la contaminación exige la identificación de los contaminantes presentes en el terreno y la determinación de su fuente, concentración, forma química y distribución en el suelo y el agua subterránea. La presencia y la concentración de contaminantes se determina a través del muestreo y la investigación del suelo.</w:t>
      </w:r>
    </w:p>
    <w:p w14:paraId="7837DB97" w14:textId="77777777" w:rsidR="004868E8" w:rsidRPr="000B5DDC" w:rsidRDefault="004868E8" w:rsidP="004868E8">
      <w:pPr>
        <w:rPr>
          <w:noProof/>
        </w:rPr>
      </w:pPr>
      <w:r w:rsidRPr="000B5DDC">
        <w:rPr>
          <w:noProof/>
        </w:rPr>
        <w:t>2.</w:t>
      </w:r>
      <w:r w:rsidRPr="000B5DDC">
        <w:rPr>
          <w:noProof/>
        </w:rPr>
        <w:tab/>
        <w:t>La evaluación de la exposición determina la vía por la que los contaminantes del suelo pueden llegar a sus receptores. Entre las vías de exposición se encuentran la inhalación, la ingestión, el contacto con la piel, la absorción a través de plantas, la migración al agua subterránea y otras. Esta información se combina con la frecuencia y la duración de la exposición y las características del receptor, como la edad, el sexo y el estado de salud, para estimar la captación de contaminantes. Los vínculos fuente-vía-receptor se resumen en una representación gráfica, esquemática y simplificada: el modelo conceptual del emplazamiento.</w:t>
      </w:r>
    </w:p>
    <w:p w14:paraId="11F038E7" w14:textId="77777777" w:rsidR="004868E8" w:rsidRPr="000B5DDC" w:rsidRDefault="004868E8" w:rsidP="004868E8">
      <w:pPr>
        <w:rPr>
          <w:noProof/>
        </w:rPr>
      </w:pPr>
      <w:r w:rsidRPr="000B5DDC">
        <w:rPr>
          <w:noProof/>
        </w:rPr>
        <w:t>3.</w:t>
      </w:r>
      <w:r w:rsidRPr="000B5DDC">
        <w:rPr>
          <w:noProof/>
        </w:rPr>
        <w:tab/>
        <w:t>La valoración de la toxicidad o del peligro implica la evaluación de los posibles efectos de los contaminantes para la salud y el medio ambiente, en función de la dosis y la duración de la exposición. La valoración de la toxicidad o del peligro tiene en cuenta la toxicidad inherente de los contaminantes y la susceptibilidad de distintas poblaciones, como animales, microorganismos, plantas, niños, mujeres embarazadas, personas de edad avanzada, etc. La información toxicológica se utiliza para calcular dosis o concentraciones de referencia, que se usan para la caracterización del riesgo.</w:t>
      </w:r>
    </w:p>
    <w:p w14:paraId="47C3B1EF" w14:textId="77777777" w:rsidR="00F72C57" w:rsidRPr="000B5DDC" w:rsidRDefault="004868E8" w:rsidP="004868E8">
      <w:pPr>
        <w:rPr>
          <w:noProof/>
        </w:rPr>
      </w:pPr>
      <w:r w:rsidRPr="000B5DDC">
        <w:rPr>
          <w:noProof/>
        </w:rPr>
        <w:t>4.</w:t>
      </w:r>
      <w:r w:rsidRPr="000B5DDC">
        <w:rPr>
          <w:noProof/>
        </w:rPr>
        <w:tab/>
        <w:t>La caracterización del riesgo exige la integración de la información de los pasos anteriores para calcular la magnitud y la probabilidad de los efectos adversos del terreno contaminado para la salud humana y para el medio ambiente, incluso los derivados de la migración de la contaminación a otros medios naturales. La caracterización del riesgo ayuda a priorizar la necesidad de adoptar medidas de reducción del riesgo y medidas de saneamiento. También puede ayudar a definir los objetivos de saneamiento y gestión para un terreno, por ejemplo, alcanzar los límites máximos aceptables o los valores de detección basados en los riesgos específicos de cada terreno.</w:t>
      </w:r>
    </w:p>
    <w:p w14:paraId="398E0A9F" w14:textId="77777777" w:rsidR="00F72C57" w:rsidRPr="000B5DDC" w:rsidRDefault="00F72C57" w:rsidP="00F72C57">
      <w:pPr>
        <w:rPr>
          <w:noProof/>
        </w:rPr>
      </w:pPr>
    </w:p>
    <w:p w14:paraId="193A45B7" w14:textId="77777777" w:rsidR="00F72C57" w:rsidRPr="000B5DDC" w:rsidRDefault="00F72C57" w:rsidP="00F72C57">
      <w:pPr>
        <w:rPr>
          <w:noProof/>
        </w:rPr>
        <w:sectPr w:rsidR="00F72C57" w:rsidRPr="000B5DDC" w:rsidSect="009410AC">
          <w:pgSz w:w="11907" w:h="16839"/>
          <w:pgMar w:top="1134" w:right="1417" w:bottom="1134" w:left="1417" w:header="709" w:footer="709" w:gutter="0"/>
          <w:cols w:space="720"/>
          <w:docGrid w:linePitch="360"/>
        </w:sectPr>
      </w:pPr>
    </w:p>
    <w:p w14:paraId="6B9129B0" w14:textId="77777777" w:rsidR="00F72C57" w:rsidRPr="000B5DDC" w:rsidRDefault="00F72C57" w:rsidP="00F72C57">
      <w:pPr>
        <w:pStyle w:val="Annexetitre"/>
        <w:rPr>
          <w:noProof/>
        </w:rPr>
      </w:pPr>
      <w:r w:rsidRPr="000B5DDC">
        <w:rPr>
          <w:noProof/>
        </w:rPr>
        <w:t xml:space="preserve">ANEXO VII </w:t>
      </w:r>
      <w:r w:rsidRPr="000B5DDC">
        <w:rPr>
          <w:noProof/>
        </w:rPr>
        <w:br/>
        <w:t xml:space="preserve"> </w:t>
      </w:r>
      <w:r w:rsidRPr="000B5DDC">
        <w:rPr>
          <w:noProof/>
        </w:rPr>
        <w:br/>
        <w:t xml:space="preserve"> </w:t>
      </w:r>
      <w:r w:rsidRPr="000B5DDC">
        <w:rPr>
          <w:noProof/>
        </w:rPr>
        <w:br/>
        <w:t xml:space="preserve">CONTENIDO DEL REGISTRO DE TERRENOS POTENCIALMENTE CONTAMINADOS Y DE TERRENOS CONTAMINADOS </w:t>
      </w:r>
    </w:p>
    <w:p w14:paraId="3AF92539" w14:textId="77777777" w:rsidR="00905D22" w:rsidRPr="000B5DDC" w:rsidRDefault="00905D22" w:rsidP="00F72C57">
      <w:pPr>
        <w:rPr>
          <w:noProof/>
        </w:rPr>
      </w:pPr>
    </w:p>
    <w:p w14:paraId="0315BEEC" w14:textId="77777777" w:rsidR="00C91A9D" w:rsidRPr="000B5DDC" w:rsidRDefault="00C91A9D" w:rsidP="00C91A9D">
      <w:pPr>
        <w:rPr>
          <w:noProof/>
        </w:rPr>
      </w:pPr>
      <w:r w:rsidRPr="000B5DDC">
        <w:rPr>
          <w:noProof/>
        </w:rPr>
        <w:t>El diseño de los datos y su presentación en el registro permitirán al público hacer un seguimiento de los progresos logrados en la gestión de terrenos potencialmente contaminados y de terrenos contaminados. El registro contendrá y presentará la siguiente información, a nivel de terreno, para los terrenos potencialmente contaminados, los terrenos contaminados, los terrenos contaminados que requieren nuevas medidas y los terrenos contaminados en los que se adoptaron o se están adoptando medidas:</w:t>
      </w:r>
    </w:p>
    <w:p w14:paraId="744A1496" w14:textId="761CEE98" w:rsidR="00C91A9D" w:rsidRPr="000B5DDC" w:rsidRDefault="00833AC8" w:rsidP="00833AC8">
      <w:pPr>
        <w:pStyle w:val="Point0"/>
        <w:rPr>
          <w:noProof/>
        </w:rPr>
      </w:pPr>
      <w:r>
        <w:rPr>
          <w:noProof/>
        </w:rPr>
        <w:t>a)</w:t>
      </w:r>
      <w:r>
        <w:rPr>
          <w:noProof/>
        </w:rPr>
        <w:tab/>
      </w:r>
      <w:r w:rsidR="00926A9D" w:rsidRPr="000B5DDC">
        <w:rPr>
          <w:noProof/>
        </w:rPr>
        <w:t>las coordenadas, la dirección o parcela catastral del terreno de conformidad con las Directivas (UE) 2019/1024 y 2007/2/CE;</w:t>
      </w:r>
    </w:p>
    <w:p w14:paraId="5904A8D1" w14:textId="0CABD013" w:rsidR="00C91A9D" w:rsidRPr="000B5DDC" w:rsidRDefault="00833AC8" w:rsidP="00833AC8">
      <w:pPr>
        <w:pStyle w:val="Point0"/>
        <w:rPr>
          <w:noProof/>
        </w:rPr>
      </w:pPr>
      <w:r>
        <w:rPr>
          <w:noProof/>
        </w:rPr>
        <w:t>b)</w:t>
      </w:r>
      <w:r>
        <w:rPr>
          <w:noProof/>
        </w:rPr>
        <w:tab/>
      </w:r>
      <w:r w:rsidR="00926A9D" w:rsidRPr="000B5DDC">
        <w:rPr>
          <w:noProof/>
        </w:rPr>
        <w:t xml:space="preserve">el año de inclusión en el registro; </w:t>
      </w:r>
    </w:p>
    <w:p w14:paraId="22CD411B" w14:textId="0FFBACA0" w:rsidR="00D87D99" w:rsidRPr="000B5DDC" w:rsidRDefault="00833AC8" w:rsidP="00833AC8">
      <w:pPr>
        <w:pStyle w:val="Point0"/>
        <w:rPr>
          <w:noProof/>
        </w:rPr>
      </w:pPr>
      <w:r>
        <w:rPr>
          <w:noProof/>
        </w:rPr>
        <w:t>c)</w:t>
      </w:r>
      <w:r>
        <w:rPr>
          <w:noProof/>
        </w:rPr>
        <w:tab/>
      </w:r>
      <w:r w:rsidR="00926A9D" w:rsidRPr="000B5DDC">
        <w:rPr>
          <w:noProof/>
        </w:rPr>
        <w:t xml:space="preserve">las actividades de riesgo contaminantes o potencialmente contaminantes que se han llevado o se están llevando a cabo en el terreno; </w:t>
      </w:r>
    </w:p>
    <w:p w14:paraId="374760DB" w14:textId="7F3CE10C" w:rsidR="00C91A9D" w:rsidRPr="000B5DDC" w:rsidRDefault="00833AC8" w:rsidP="00833AC8">
      <w:pPr>
        <w:pStyle w:val="Point0"/>
        <w:rPr>
          <w:noProof/>
        </w:rPr>
      </w:pPr>
      <w:r>
        <w:rPr>
          <w:noProof/>
        </w:rPr>
        <w:t>d)</w:t>
      </w:r>
      <w:r>
        <w:rPr>
          <w:noProof/>
        </w:rPr>
        <w:tab/>
      </w:r>
      <w:r w:rsidR="00926A9D" w:rsidRPr="000B5DDC">
        <w:rPr>
          <w:noProof/>
        </w:rPr>
        <w:t>la situación de gestión del terreno;</w:t>
      </w:r>
    </w:p>
    <w:p w14:paraId="485B864D" w14:textId="6E3F1864" w:rsidR="00C91A9D" w:rsidRPr="000B5DDC" w:rsidRDefault="00833AC8" w:rsidP="00833AC8">
      <w:pPr>
        <w:pStyle w:val="Point0"/>
        <w:rPr>
          <w:noProof/>
        </w:rPr>
      </w:pPr>
      <w:r>
        <w:rPr>
          <w:noProof/>
        </w:rPr>
        <w:t>e)</w:t>
      </w:r>
      <w:r>
        <w:rPr>
          <w:noProof/>
        </w:rPr>
        <w:tab/>
      </w:r>
      <w:r w:rsidR="00926A9D" w:rsidRPr="000B5DDC">
        <w:rPr>
          <w:noProof/>
        </w:rPr>
        <w:t>la conclusión sobre la presencia o ausencia, concentración, tipo y riesgo de la contaminación (o contaminación residual después del saneamiento), cuando la información sobre estos elementos ya esté disponible a través de las investigaciones del suelo y la evaluación del riesgo a que se refieren los artículos 14 y 15;</w:t>
      </w:r>
    </w:p>
    <w:p w14:paraId="7A3C2284" w14:textId="49FA1770" w:rsidR="00C91A9D" w:rsidRPr="000B5DDC" w:rsidRDefault="00833AC8" w:rsidP="00833AC8">
      <w:pPr>
        <w:pStyle w:val="Point0"/>
        <w:rPr>
          <w:noProof/>
        </w:rPr>
      </w:pPr>
      <w:r>
        <w:rPr>
          <w:noProof/>
        </w:rPr>
        <w:t>f)</w:t>
      </w:r>
      <w:r>
        <w:rPr>
          <w:noProof/>
        </w:rPr>
        <w:tab/>
      </w:r>
      <w:r w:rsidR="00926A9D" w:rsidRPr="000B5DDC">
        <w:rPr>
          <w:noProof/>
        </w:rPr>
        <w:t>las medidas futuras y las etapas de gestión necesarias a que se refieren los artículos 14 y 15, incluido su cronograma.</w:t>
      </w:r>
    </w:p>
    <w:p w14:paraId="70052D64" w14:textId="77777777" w:rsidR="00227D8F" w:rsidRPr="000B5DDC" w:rsidRDefault="00227D8F" w:rsidP="00C91A9D">
      <w:pPr>
        <w:rPr>
          <w:noProof/>
        </w:rPr>
      </w:pPr>
    </w:p>
    <w:p w14:paraId="11AB56E2" w14:textId="77777777" w:rsidR="00C91A9D" w:rsidRPr="000B5DDC" w:rsidRDefault="00B94B33" w:rsidP="00C91A9D">
      <w:pPr>
        <w:rPr>
          <w:noProof/>
        </w:rPr>
      </w:pPr>
      <w:r w:rsidRPr="000B5DDC">
        <w:rPr>
          <w:noProof/>
        </w:rPr>
        <w:t xml:space="preserve">El registro también podrá contener la siguiente información, a nivel de terreno, para los terrenos potencialmente contaminados, los terrenos contaminados, los terrenos contaminados que requieren nuevas medidas y los terrenos contaminados en los que se adoptaron o se están adoptando medidas, si está disponible: </w:t>
      </w:r>
    </w:p>
    <w:p w14:paraId="7530D1D2" w14:textId="168361FB" w:rsidR="00C91A9D" w:rsidRPr="000B5DDC" w:rsidRDefault="00833AC8" w:rsidP="00833AC8">
      <w:pPr>
        <w:pStyle w:val="Point0"/>
        <w:rPr>
          <w:noProof/>
        </w:rPr>
      </w:pPr>
      <w:r>
        <w:rPr>
          <w:noProof/>
        </w:rPr>
        <w:t>a)</w:t>
      </w:r>
      <w:r>
        <w:rPr>
          <w:noProof/>
        </w:rPr>
        <w:tab/>
      </w:r>
      <w:r w:rsidR="00926A9D" w:rsidRPr="000B5DDC">
        <w:rPr>
          <w:noProof/>
        </w:rPr>
        <w:t>información sobre los permisos medioambientales expedidos para el terreno, con el año de inicio y finalización de la actividad;</w:t>
      </w:r>
    </w:p>
    <w:p w14:paraId="6CEE6E8E" w14:textId="4BE92D3A" w:rsidR="00C91A9D" w:rsidRPr="000B5DDC" w:rsidRDefault="00833AC8" w:rsidP="00833AC8">
      <w:pPr>
        <w:pStyle w:val="Point0"/>
        <w:rPr>
          <w:noProof/>
        </w:rPr>
      </w:pPr>
      <w:r>
        <w:rPr>
          <w:noProof/>
        </w:rPr>
        <w:t>b)</w:t>
      </w:r>
      <w:r>
        <w:rPr>
          <w:noProof/>
        </w:rPr>
        <w:tab/>
      </w:r>
      <w:r w:rsidR="00926A9D" w:rsidRPr="000B5DDC">
        <w:rPr>
          <w:noProof/>
        </w:rPr>
        <w:t>el uso de la tierra actual y previsto;</w:t>
      </w:r>
    </w:p>
    <w:p w14:paraId="121434CD" w14:textId="4A1C4AB8" w:rsidR="00C91A9D" w:rsidRPr="000B5DDC" w:rsidRDefault="00833AC8" w:rsidP="00833AC8">
      <w:pPr>
        <w:pStyle w:val="Point0"/>
        <w:rPr>
          <w:noProof/>
        </w:rPr>
      </w:pPr>
      <w:r>
        <w:rPr>
          <w:noProof/>
        </w:rPr>
        <w:t>c)</w:t>
      </w:r>
      <w:r>
        <w:rPr>
          <w:noProof/>
        </w:rPr>
        <w:tab/>
      </w:r>
      <w:r w:rsidR="00926A9D" w:rsidRPr="000B5DDC">
        <w:rPr>
          <w:noProof/>
        </w:rPr>
        <w:t>los resultados de los informes de investigación del suelo y de saneamiento, como las concentraciones y los contornos de la contaminación, el modelo conceptual del emplazamiento, la metodología de evaluación del riesgo, las técnicas utilizadas o previstas, las estimaciones de costes y eficacia de las medidas de reducción del riesgo.</w:t>
      </w:r>
    </w:p>
    <w:sectPr w:rsidR="00C91A9D" w:rsidRPr="000B5DDC" w:rsidSect="009410AC">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D002E" w14:textId="77777777" w:rsidR="00785E44" w:rsidRDefault="00785E44" w:rsidP="00F72C57">
      <w:pPr>
        <w:spacing w:before="0" w:after="0"/>
      </w:pPr>
      <w:r>
        <w:separator/>
      </w:r>
    </w:p>
  </w:endnote>
  <w:endnote w:type="continuationSeparator" w:id="0">
    <w:p w14:paraId="00B8BAA7" w14:textId="77777777" w:rsidR="00785E44" w:rsidRDefault="00785E44" w:rsidP="00F72C57">
      <w:pPr>
        <w:spacing w:before="0" w:after="0"/>
      </w:pPr>
      <w:r>
        <w:continuationSeparator/>
      </w:r>
    </w:p>
  </w:endnote>
  <w:endnote w:type="continuationNotice" w:id="1">
    <w:p w14:paraId="49E4576F" w14:textId="77777777" w:rsidR="00785E44" w:rsidRDefault="00785E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3C4A" w14:textId="70FEE458" w:rsidR="00CB021D" w:rsidRPr="009410AC" w:rsidRDefault="00CB021D" w:rsidP="00941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0FD6" w14:textId="69FDCA4E" w:rsidR="00CB021D" w:rsidRPr="009410AC" w:rsidRDefault="009410AC" w:rsidP="009410AC">
    <w:pPr>
      <w:pStyle w:val="Footer"/>
      <w:rPr>
        <w:rFonts w:ascii="Arial" w:hAnsi="Arial" w:cs="Arial"/>
        <w:b/>
        <w:sz w:val="48"/>
      </w:rPr>
    </w:pPr>
    <w:r w:rsidRPr="009410AC">
      <w:rPr>
        <w:rFonts w:ascii="Arial" w:hAnsi="Arial" w:cs="Arial"/>
        <w:b/>
        <w:sz w:val="48"/>
      </w:rPr>
      <w:t>ES</w:t>
    </w:r>
    <w:r w:rsidRPr="009410AC">
      <w:rPr>
        <w:rFonts w:ascii="Arial" w:hAnsi="Arial" w:cs="Arial"/>
        <w:b/>
        <w:sz w:val="48"/>
      </w:rPr>
      <w:tab/>
    </w:r>
    <w:r w:rsidRPr="009410AC">
      <w:rPr>
        <w:rFonts w:ascii="Arial" w:hAnsi="Arial" w:cs="Arial"/>
        <w:b/>
        <w:sz w:val="48"/>
      </w:rPr>
      <w:tab/>
    </w:r>
    <w:r w:rsidRPr="009410AC">
      <w:tab/>
    </w:r>
    <w:r w:rsidRPr="009410AC">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694E" w14:textId="77777777" w:rsidR="009410AC" w:rsidRPr="009410AC" w:rsidRDefault="009410AC" w:rsidP="009410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68FD" w14:textId="5EE920FC" w:rsidR="009410AC" w:rsidRPr="009410AC" w:rsidRDefault="009410AC" w:rsidP="009410AC">
    <w:pPr>
      <w:pStyle w:val="Footer"/>
      <w:rPr>
        <w:rFonts w:ascii="Arial" w:hAnsi="Arial" w:cs="Arial"/>
        <w:b/>
        <w:sz w:val="48"/>
      </w:rPr>
    </w:pPr>
    <w:r w:rsidRPr="009410AC">
      <w:rPr>
        <w:rFonts w:ascii="Arial" w:hAnsi="Arial" w:cs="Arial"/>
        <w:b/>
        <w:sz w:val="48"/>
      </w:rPr>
      <w:t>ES</w:t>
    </w:r>
    <w:r w:rsidRPr="009410A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410AC">
      <w:tab/>
    </w:r>
    <w:r w:rsidRPr="009410AC">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D9F0B" w14:textId="77777777" w:rsidR="009410AC" w:rsidRPr="009410AC" w:rsidRDefault="009410AC" w:rsidP="00941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47661" w14:textId="77777777" w:rsidR="00785E44" w:rsidRDefault="00785E44" w:rsidP="00F72C57">
      <w:pPr>
        <w:spacing w:before="0" w:after="0"/>
      </w:pPr>
      <w:r>
        <w:separator/>
      </w:r>
    </w:p>
  </w:footnote>
  <w:footnote w:type="continuationSeparator" w:id="0">
    <w:p w14:paraId="3633EE92" w14:textId="77777777" w:rsidR="00785E44" w:rsidRDefault="00785E44" w:rsidP="00F72C57">
      <w:pPr>
        <w:spacing w:before="0" w:after="0"/>
      </w:pPr>
      <w:r>
        <w:continuationSeparator/>
      </w:r>
    </w:p>
  </w:footnote>
  <w:footnote w:type="continuationNotice" w:id="1">
    <w:p w14:paraId="1229A459" w14:textId="77777777" w:rsidR="00785E44" w:rsidRDefault="00785E44">
      <w:pPr>
        <w:spacing w:before="0" w:after="0"/>
      </w:pPr>
    </w:p>
  </w:footnote>
  <w:footnote w:id="2">
    <w:p w14:paraId="0A95BF55" w14:textId="77777777" w:rsidR="007D3DBF" w:rsidRPr="000B5DDC" w:rsidRDefault="007D3DBF">
      <w:pPr>
        <w:pStyle w:val="FootnoteText"/>
        <w:rPr>
          <w:lang w:val="es-ES"/>
        </w:rPr>
      </w:pPr>
      <w:r w:rsidRPr="000B5DDC">
        <w:rPr>
          <w:rStyle w:val="FootnoteReference"/>
          <w:lang w:val="es-ES"/>
        </w:rPr>
        <w:t>+</w:t>
      </w:r>
      <w:r w:rsidRPr="000B5DDC">
        <w:rPr>
          <w:lang w:val="es-ES"/>
        </w:rPr>
        <w:tab/>
        <w:t xml:space="preserve">OP: insértese en el texto el número del Reglamento sobre la restauración de la naturaleza que figura en el documento COM(2022) 304 final. </w:t>
      </w:r>
    </w:p>
  </w:footnote>
  <w:footnote w:id="3">
    <w:p w14:paraId="2DD9D05C" w14:textId="77777777" w:rsidR="00DC372B" w:rsidRPr="000B5DDC" w:rsidRDefault="00DC372B" w:rsidP="00DC372B">
      <w:pPr>
        <w:pStyle w:val="FootnoteText"/>
        <w:rPr>
          <w:lang w:val="es-ES"/>
        </w:rPr>
      </w:pPr>
      <w:r>
        <w:rPr>
          <w:rStyle w:val="FootnoteReference"/>
        </w:rPr>
        <w:footnoteRef/>
      </w:r>
      <w:r w:rsidRPr="000B5DDC">
        <w:rPr>
          <w:lang w:val="es-ES"/>
        </w:rPr>
        <w:tab/>
        <w:t>Según la definición que figura en las directrices de la FAO para la descripción de los suelos, capítulo 5 (</w:t>
      </w:r>
      <w:hyperlink r:id="rId1" w:history="1">
        <w:r w:rsidRPr="000B5DDC">
          <w:rPr>
            <w:rStyle w:val="Hyperlink"/>
            <w:lang w:val="es-ES"/>
          </w:rPr>
          <w:t>https://www.fao.org/3/a0541e/a0541e.pdf</w:t>
        </w:r>
      </w:hyperlink>
      <w:r w:rsidRPr="000B5DDC">
        <w:rPr>
          <w:lang w:val="es-ES"/>
        </w:rPr>
        <w:t>).</w:t>
      </w:r>
    </w:p>
  </w:footnote>
  <w:footnote w:id="4">
    <w:p w14:paraId="181B20E8" w14:textId="77777777" w:rsidR="00DC372B" w:rsidRPr="000B5DDC" w:rsidRDefault="00DC372B" w:rsidP="00DC372B">
      <w:pPr>
        <w:pStyle w:val="FootnoteText"/>
        <w:rPr>
          <w:lang w:val="es-ES"/>
        </w:rPr>
      </w:pPr>
      <w:r>
        <w:rPr>
          <w:rStyle w:val="FootnoteReference"/>
        </w:rPr>
        <w:footnoteRef/>
      </w:r>
      <w:r w:rsidRPr="000B5DDC">
        <w:rPr>
          <w:lang w:val="es-ES"/>
        </w:rPr>
        <w:tab/>
        <w:t>Según la definición que figura en Arshad, M.A., B. Lowery y B. Grossman. 1996. Physical tests for monitoring soil quality [«Ensayos físicos para controlar la calidad del suelo»], pp. 123-142. En: J.W. Doran and A.J. Jones (eds.) Methods for assessing soil quality [«Métodos de evaluación de la calidad del suelo»]. Soil Sci. Soc. Am. Spec. Publ. 49. SSSA, Madison, WI.</w:t>
      </w:r>
    </w:p>
  </w:footnote>
  <w:footnote w:id="5">
    <w:p w14:paraId="63CA22B2" w14:textId="0A1154B5" w:rsidR="00651FDF" w:rsidRPr="000B5DDC" w:rsidRDefault="00651FDF" w:rsidP="00651FDF">
      <w:pPr>
        <w:pStyle w:val="FootnoteText"/>
        <w:rPr>
          <w:lang w:val="es-ES"/>
        </w:rPr>
      </w:pPr>
      <w:r>
        <w:rPr>
          <w:rStyle w:val="FootnoteReference"/>
        </w:rPr>
        <w:footnoteRef/>
      </w:r>
      <w:r w:rsidRPr="000B5DDC">
        <w:rPr>
          <w:lang w:val="es-ES"/>
        </w:rPr>
        <w:tab/>
        <w:t>Directiva 92/43/CEE del Consejo, de 21 de mayo de 1992, relativa a la conservación de los hábitats naturales y de la fauna y flora silvestres (DO L 206 de 22.7.1992, p. 7).</w:t>
      </w:r>
    </w:p>
  </w:footnote>
  <w:footnote w:id="6">
    <w:p w14:paraId="5CA1EC44" w14:textId="77777777" w:rsidR="00497951" w:rsidRPr="000B5DDC" w:rsidRDefault="00497951" w:rsidP="00DC372B">
      <w:pPr>
        <w:pStyle w:val="FootnoteText"/>
        <w:rPr>
          <w:lang w:val="es-ES"/>
        </w:rPr>
      </w:pPr>
      <w:r>
        <w:rPr>
          <w:rStyle w:val="FootnoteReference"/>
        </w:rPr>
        <w:footnoteRef/>
      </w:r>
      <w:r w:rsidRPr="000B5DDC">
        <w:rPr>
          <w:lang w:val="es-ES"/>
        </w:rPr>
        <w:tab/>
        <w:t>Según la definición que figura en las directrices de la FAO para la descripción de los suelos, capítulo 5 (</w:t>
      </w:r>
      <w:hyperlink r:id="rId2" w:history="1">
        <w:r w:rsidRPr="000B5DDC">
          <w:rPr>
            <w:rStyle w:val="Hyperlink"/>
            <w:lang w:val="es-ES"/>
          </w:rPr>
          <w:t>https://www.fao.org/3/a0541e/a0541e.pdf</w:t>
        </w:r>
      </w:hyperlink>
      <w:r w:rsidRPr="000B5DDC">
        <w:rPr>
          <w:lang w:val="es-ES"/>
        </w:rPr>
        <w:t>).</w:t>
      </w:r>
    </w:p>
  </w:footnote>
  <w:footnote w:id="7">
    <w:p w14:paraId="4AF1D23B" w14:textId="77777777" w:rsidR="00240A35" w:rsidRPr="000B5DDC" w:rsidRDefault="00240A35" w:rsidP="00240A35">
      <w:pPr>
        <w:pStyle w:val="FootnoteText"/>
        <w:rPr>
          <w:rFonts w:asciiTheme="minorHAnsi" w:hAnsiTheme="minorHAnsi" w:cstheme="minorBidi"/>
          <w:lang w:val="es-ES"/>
        </w:rPr>
      </w:pPr>
      <w:r>
        <w:rPr>
          <w:rStyle w:val="FootnoteReference"/>
        </w:rPr>
        <w:footnoteRef/>
      </w:r>
      <w:r w:rsidRPr="00833AC8">
        <w:rPr>
          <w:lang w:val="en-IE"/>
        </w:rPr>
        <w:tab/>
        <w:t xml:space="preserve">Bethel, J. 1989. «Sample Allocation in Multivariate Surveys». </w:t>
      </w:r>
      <w:r w:rsidRPr="000B5DDC">
        <w:rPr>
          <w:lang w:val="es-ES"/>
        </w:rPr>
        <w:t>Survey Methodology 15: 47-57.</w:t>
      </w:r>
    </w:p>
  </w:footnote>
  <w:footnote w:id="8">
    <w:p w14:paraId="3A1AFFFE" w14:textId="77777777" w:rsidR="002E31FF" w:rsidRPr="000B5DDC" w:rsidRDefault="002E31FF">
      <w:pPr>
        <w:pStyle w:val="FootnoteText"/>
        <w:rPr>
          <w:lang w:val="es-ES"/>
        </w:rPr>
      </w:pPr>
      <w:r>
        <w:rPr>
          <w:rStyle w:val="FootnoteReference"/>
        </w:rPr>
        <w:footnoteRef/>
      </w:r>
      <w:r w:rsidRPr="000B5DDC">
        <w:rPr>
          <w:lang w:val="es-ES"/>
        </w:rPr>
        <w:tab/>
        <w:t>Las metodologías distintas de la metodología de referencia deberán estar disponibles en la bibliografía científica o ser de acceso público.</w:t>
      </w:r>
    </w:p>
  </w:footnote>
  <w:footnote w:id="9">
    <w:p w14:paraId="38DB95F4" w14:textId="409DE2AF" w:rsidR="006748CD" w:rsidRPr="000B5DDC" w:rsidRDefault="006748CD" w:rsidP="006748CD">
      <w:pPr>
        <w:pStyle w:val="FootnoteText"/>
        <w:rPr>
          <w:lang w:val="es-ES"/>
        </w:rPr>
      </w:pPr>
      <w:r>
        <w:rPr>
          <w:rStyle w:val="FootnoteReference"/>
        </w:rPr>
        <w:footnoteRef/>
      </w:r>
      <w:r w:rsidRPr="000B5DDC">
        <w:rPr>
          <w:lang w:val="es-ES"/>
        </w:rPr>
        <w:tab/>
      </w:r>
      <w:hyperlink r:id="rId3" w:history="1">
        <w:r w:rsidRPr="000B5DDC">
          <w:rPr>
            <w:rStyle w:val="Hyperlink"/>
            <w:lang w:val="es-ES"/>
          </w:rPr>
          <w:t>https://www.fao.org/3/cb3355en/cb3355en.pdf</w:t>
        </w:r>
      </w:hyperlink>
      <w:r w:rsidRPr="000B5DDC">
        <w:rPr>
          <w:lang w:val="es-ES"/>
        </w:rPr>
        <w:t xml:space="preserve">. </w:t>
      </w:r>
    </w:p>
  </w:footnote>
  <w:footnote w:id="10">
    <w:p w14:paraId="5B1493F2" w14:textId="77777777" w:rsidR="00E909CA" w:rsidRPr="000B5DDC" w:rsidRDefault="00E909CA" w:rsidP="00A73660">
      <w:pPr>
        <w:pStyle w:val="FootnoteText"/>
        <w:rPr>
          <w:rFonts w:asciiTheme="minorHAnsi" w:hAnsiTheme="minorHAnsi" w:cstheme="minorBidi"/>
          <w:lang w:val="es-ES"/>
        </w:rPr>
      </w:pPr>
      <w:r>
        <w:rPr>
          <w:rStyle w:val="FootnoteReference"/>
        </w:rPr>
        <w:footnoteRef/>
      </w:r>
      <w:r w:rsidRPr="000B5DDC">
        <w:rPr>
          <w:lang w:val="es-ES"/>
        </w:rPr>
        <w:tab/>
        <w:t>Según la definición que figura en las directrices de la FAO para la descripción de los suelos, capítulo 5 (</w:t>
      </w:r>
      <w:hyperlink r:id="rId4" w:history="1">
        <w:r w:rsidRPr="000B5DDC">
          <w:rPr>
            <w:rStyle w:val="Hyperlink"/>
            <w:lang w:val="es-ES"/>
          </w:rPr>
          <w:t>https://www.fao.org/3/a0541e/a0541e.pdf</w:t>
        </w:r>
      </w:hyperlink>
      <w:r w:rsidRPr="000B5DDC">
        <w:rPr>
          <w:lang w:val="es-ES"/>
        </w:rPr>
        <w:t xml:space="preserve">). </w:t>
      </w:r>
    </w:p>
  </w:footnote>
  <w:footnote w:id="11">
    <w:p w14:paraId="3F7C90BE" w14:textId="77777777" w:rsidR="00E909CA" w:rsidRDefault="00E909CA" w:rsidP="00A73660">
      <w:pPr>
        <w:pStyle w:val="FootnoteText"/>
      </w:pPr>
      <w:r>
        <w:rPr>
          <w:rStyle w:val="FootnoteReference"/>
        </w:rPr>
        <w:footnoteRef/>
      </w:r>
      <w:r w:rsidRPr="000B5DDC">
        <w:rPr>
          <w:lang w:val="es-ES"/>
        </w:rPr>
        <w:tab/>
        <w:t xml:space="preserve">Equivalente conforme al informe de la AEMA: </w:t>
      </w:r>
      <w:hyperlink r:id="rId5" w:history="1">
        <w:r w:rsidRPr="000B5DDC">
          <w:rPr>
            <w:rStyle w:val="Hyperlink"/>
            <w:i/>
            <w:iCs/>
            <w:lang w:val="es-ES"/>
          </w:rPr>
          <w:t>Soil monitoring in Europe – Indicators and thresholds for soil health assessments</w:t>
        </w:r>
      </w:hyperlink>
      <w:r w:rsidRPr="000B5DDC">
        <w:rPr>
          <w:lang w:val="es-ES"/>
        </w:rPr>
        <w:t xml:space="preserve"> [«Vigilancia del suelo en Europa. Indicadores y umbrales para las evaluaciones de la salud del suelo», documento en inglés]. </w:t>
      </w:r>
      <w:r>
        <w:t>Agencia Europea de Medio Ambiente (europa.eu).</w:t>
      </w:r>
    </w:p>
  </w:footnote>
  <w:footnote w:id="12">
    <w:p w14:paraId="28C99D18" w14:textId="2732664C" w:rsidR="00E909CA" w:rsidRDefault="00851E19" w:rsidP="00A73660">
      <w:pPr>
        <w:pStyle w:val="FootnoteText"/>
      </w:pPr>
      <w:r>
        <w:rPr>
          <w:rStyle w:val="FootnoteReference"/>
        </w:rPr>
        <w:footnoteRef/>
      </w:r>
      <w:r>
        <w:tab/>
      </w:r>
    </w:p>
  </w:footnote>
  <w:footnote w:id="13">
    <w:p w14:paraId="599C73EA" w14:textId="77777777" w:rsidR="00E909CA" w:rsidRPr="000B5DDC" w:rsidRDefault="00E909CA" w:rsidP="00A73660">
      <w:pPr>
        <w:pStyle w:val="FootnoteText"/>
        <w:rPr>
          <w:lang w:val="es-ES"/>
        </w:rPr>
      </w:pPr>
      <w:r>
        <w:rPr>
          <w:rStyle w:val="FootnoteReference"/>
        </w:rPr>
        <w:footnoteRef/>
      </w:r>
      <w:r w:rsidRPr="000B5DDC">
        <w:rPr>
          <w:lang w:val="es-ES"/>
        </w:rPr>
        <w:tab/>
        <w:t>Según la definición que figura en las directrices de la FAO para la descripción de los suelos, capítulo 5 (</w:t>
      </w:r>
      <w:hyperlink r:id="rId6" w:history="1">
        <w:r w:rsidRPr="000B5DDC">
          <w:rPr>
            <w:rStyle w:val="Hyperlink"/>
            <w:lang w:val="es-ES"/>
          </w:rPr>
          <w:t>https://www.fao.org/3/a0541e/a0541e.pdf</w:t>
        </w:r>
      </w:hyperlink>
      <w:r w:rsidRPr="000B5DDC">
        <w:rPr>
          <w:lang w:val="es-ES"/>
        </w:rPr>
        <w:t xml:space="preserve">). </w:t>
      </w:r>
    </w:p>
  </w:footnote>
  <w:footnote w:id="14">
    <w:p w14:paraId="6217BBCF" w14:textId="77777777" w:rsidR="00E909CA" w:rsidRPr="000B5DDC" w:rsidRDefault="00E909CA" w:rsidP="00A73660">
      <w:pPr>
        <w:pStyle w:val="FootnoteText"/>
        <w:rPr>
          <w:lang w:val="es-ES"/>
        </w:rPr>
      </w:pPr>
      <w:r>
        <w:rPr>
          <w:rStyle w:val="FootnoteReference"/>
        </w:rPr>
        <w:footnoteRef/>
      </w:r>
      <w:r w:rsidRPr="000B5DDC">
        <w:rPr>
          <w:lang w:val="es-ES"/>
        </w:rPr>
        <w:tab/>
        <w:t xml:space="preserve">Secuenciación de códigos de barras de ADN para medir la diversidad taxonómica y funcional de arqueas, bacterias, hongos y otros eucariotas, como se hizo para la encuesta LUCAS de biodiversidad del suelo sobre la base de </w:t>
      </w:r>
      <w:hyperlink r:id="rId7" w:history="1">
        <w:r w:rsidRPr="000B5DDC">
          <w:rPr>
            <w:rStyle w:val="Hyperlink"/>
            <w:lang w:val="es-ES"/>
          </w:rPr>
          <w:t>https://doi.org/10.1111/ejss.13299</w:t>
        </w:r>
      </w:hyperlink>
      <w:r w:rsidRPr="000B5DDC">
        <w:rPr>
          <w:lang w:val="es-ES"/>
        </w:rPr>
        <w:t xml:space="preserve">. </w:t>
      </w:r>
    </w:p>
  </w:footnote>
  <w:footnote w:id="15">
    <w:p w14:paraId="438CF24E" w14:textId="77777777" w:rsidR="00E909CA" w:rsidRPr="000B5DDC" w:rsidRDefault="00E909CA" w:rsidP="00A73660">
      <w:pPr>
        <w:pStyle w:val="FootnoteText"/>
        <w:rPr>
          <w:lang w:val="es-ES"/>
        </w:rPr>
      </w:pPr>
      <w:r>
        <w:rPr>
          <w:rStyle w:val="FootnoteReference"/>
        </w:rPr>
        <w:footnoteRef/>
      </w:r>
      <w:r w:rsidRPr="000B5DDC">
        <w:rPr>
          <w:lang w:val="es-ES"/>
        </w:rPr>
        <w:tab/>
      </w:r>
      <w:hyperlink r:id="rId8" w:history="1">
        <w:r w:rsidRPr="000B5DDC">
          <w:rPr>
            <w:rStyle w:val="Hyperlink"/>
            <w:lang w:val="es-ES"/>
          </w:rPr>
          <w:t>https://www.sciencedirect.com/science/article/abs/pii/S0038071797001259</w:t>
        </w:r>
      </w:hyperlink>
      <w:r w:rsidRPr="000B5DDC">
        <w:rPr>
          <w:lang w:val="es-ES"/>
        </w:rPr>
        <w:t>.</w:t>
      </w:r>
      <w:r w:rsidRPr="000B5DDC">
        <w:rPr>
          <w:color w:val="000000" w:themeColor="text1"/>
          <w:sz w:val="16"/>
          <w:lang w:val="es-ES"/>
        </w:rPr>
        <w:t xml:space="preserve"> </w:t>
      </w:r>
    </w:p>
  </w:footnote>
  <w:footnote w:id="16">
    <w:p w14:paraId="113868B7" w14:textId="77777777" w:rsidR="00800D52" w:rsidRPr="000B5DDC" w:rsidRDefault="00800D52">
      <w:pPr>
        <w:pStyle w:val="FootnoteText"/>
        <w:rPr>
          <w:lang w:val="es-ES"/>
        </w:rPr>
      </w:pPr>
      <w:r>
        <w:rPr>
          <w:rStyle w:val="FootnoteReference"/>
        </w:rPr>
        <w:footnoteRef/>
      </w:r>
      <w:r w:rsidRPr="000B5DDC">
        <w:rPr>
          <w:lang w:val="es-ES"/>
        </w:rPr>
        <w:tab/>
        <w:t>Reglamento (UE) 2020/741 del Parlamento Europeo y del Consejo, de 25 de mayo de 2020, relativo a los requisitos mínimos para la reutilización del agua (DO L 177 de 5.6.2020, p. 32).</w:t>
      </w:r>
    </w:p>
  </w:footnote>
  <w:footnote w:id="17">
    <w:p w14:paraId="3C15E7CF" w14:textId="77777777" w:rsidR="00151042" w:rsidRPr="000B5DDC" w:rsidRDefault="00151042">
      <w:pPr>
        <w:pStyle w:val="FootnoteText"/>
        <w:rPr>
          <w:lang w:val="es-ES"/>
        </w:rPr>
      </w:pPr>
      <w:r>
        <w:rPr>
          <w:rStyle w:val="FootnoteReference"/>
        </w:rPr>
        <w:footnoteRef/>
      </w:r>
      <w:r w:rsidRPr="000B5DDC">
        <w:rPr>
          <w:lang w:val="es-ES"/>
        </w:rPr>
        <w:tab/>
        <w:t>Este principio no se aplica a los suelos forestales.</w:t>
      </w:r>
    </w:p>
  </w:footnote>
  <w:footnote w:id="18">
    <w:p w14:paraId="2F6AB3F0" w14:textId="77777777" w:rsidR="002C7374" w:rsidRPr="000B5DDC" w:rsidRDefault="002C7374">
      <w:pPr>
        <w:pStyle w:val="FootnoteText"/>
        <w:rPr>
          <w:lang w:val="es-ES"/>
        </w:rPr>
      </w:pPr>
      <w:r>
        <w:rPr>
          <w:rStyle w:val="FootnoteReference"/>
        </w:rPr>
        <w:footnoteRef/>
      </w:r>
      <w:r w:rsidRPr="000B5DDC">
        <w:rPr>
          <w:lang w:val="es-ES"/>
        </w:rPr>
        <w:tab/>
        <w:t>Este principio no se aplica a los suelos urbanos.</w:t>
      </w:r>
    </w:p>
  </w:footnote>
  <w:footnote w:id="19">
    <w:p w14:paraId="44288AFB" w14:textId="77777777" w:rsidR="00941D8C" w:rsidRPr="000B5DDC" w:rsidRDefault="00941D8C">
      <w:pPr>
        <w:pStyle w:val="FootnoteText"/>
        <w:rPr>
          <w:lang w:val="es-ES"/>
        </w:rPr>
      </w:pPr>
      <w:r>
        <w:rPr>
          <w:rStyle w:val="FootnoteReference"/>
        </w:rPr>
        <w:footnoteRef/>
      </w:r>
      <w:r w:rsidRPr="000B5DDC">
        <w:rPr>
          <w:lang w:val="es-ES"/>
        </w:rPr>
        <w:tab/>
        <w:t xml:space="preserve">+ OP: insértese en el texto el número del Reglamento sobre la restauración de la naturaleza que figura en el documento COM(2022) 304 final. </w:t>
      </w:r>
    </w:p>
  </w:footnote>
  <w:footnote w:id="20">
    <w:p w14:paraId="626891FA" w14:textId="77777777" w:rsidR="002F476D" w:rsidRPr="000B5DDC" w:rsidRDefault="002F476D">
      <w:pPr>
        <w:pStyle w:val="FootnoteText"/>
        <w:rPr>
          <w:lang w:val="es-ES"/>
        </w:rPr>
      </w:pPr>
      <w:r>
        <w:rPr>
          <w:rStyle w:val="FootnoteReference"/>
        </w:rPr>
        <w:footnoteRef/>
      </w:r>
      <w:r w:rsidRPr="000B5DDC">
        <w:rPr>
          <w:lang w:val="es-ES"/>
        </w:rPr>
        <w:tab/>
        <w:t>+ OP: insértese en el texto el número del Reglamento del Parlamento Europeo y del Consejo relativo al uso sostenible de los productos fitosanitarios y por el que se modifica el Reglamento (UE) 2021/2115, que figura en el documento COM(2022)305.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066D" w14:textId="77777777" w:rsidR="009410AC" w:rsidRPr="009410AC" w:rsidRDefault="009410AC" w:rsidP="0094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FEE3" w14:textId="77777777" w:rsidR="009410AC" w:rsidRPr="009410AC" w:rsidRDefault="009410AC" w:rsidP="0094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E7F7" w14:textId="77777777" w:rsidR="009410AC" w:rsidRPr="009410AC" w:rsidRDefault="009410AC" w:rsidP="00941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1787FF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55E99C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B8AA33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F143D7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1EA61B1"/>
    <w:multiLevelType w:val="hybridMultilevel"/>
    <w:tmpl w:val="6B3EBAD2"/>
    <w:lvl w:ilvl="0" w:tplc="B678C92E">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4"/>
  </w:num>
  <w:num w:numId="7">
    <w:abstractNumId w:val="16"/>
  </w:num>
  <w:num w:numId="8">
    <w:abstractNumId w:val="9"/>
  </w:num>
  <w:num w:numId="9">
    <w:abstractNumId w:val="18"/>
  </w:num>
  <w:num w:numId="10">
    <w:abstractNumId w:val="8"/>
  </w:num>
  <w:num w:numId="11">
    <w:abstractNumId w:val="10"/>
  </w:num>
  <w:num w:numId="12">
    <w:abstractNumId w:val="11"/>
  </w:num>
  <w:num w:numId="13">
    <w:abstractNumId w:val="6"/>
  </w:num>
  <w:num w:numId="14">
    <w:abstractNumId w:val="17"/>
  </w:num>
  <w:num w:numId="15">
    <w:abstractNumId w:val="5"/>
  </w:num>
  <w:num w:numId="16">
    <w:abstractNumId w:val="12"/>
  </w:num>
  <w:num w:numId="17">
    <w:abstractNumId w:val="14"/>
  </w:num>
  <w:num w:numId="18">
    <w:abstractNumId w:val="15"/>
  </w:num>
  <w:num w:numId="19">
    <w:abstractNumId w:val="7"/>
  </w:num>
  <w:num w:numId="20">
    <w:abstractNumId w:val="13"/>
  </w:num>
  <w:num w:numId="21">
    <w:abstractNumId w:val="19"/>
  </w:num>
  <w:num w:numId="22">
    <w:abstractNumId w:val="16"/>
  </w:num>
  <w:num w:numId="23">
    <w:abstractNumId w:val="9"/>
  </w:num>
  <w:num w:numId="24">
    <w:abstractNumId w:val="18"/>
  </w:num>
  <w:num w:numId="25">
    <w:abstractNumId w:val="8"/>
  </w:num>
  <w:num w:numId="26">
    <w:abstractNumId w:val="10"/>
  </w:num>
  <w:num w:numId="27">
    <w:abstractNumId w:val="11"/>
  </w:num>
  <w:num w:numId="28">
    <w:abstractNumId w:val="6"/>
  </w:num>
  <w:num w:numId="29">
    <w:abstractNumId w:val="17"/>
  </w:num>
  <w:num w:numId="30">
    <w:abstractNumId w:val="5"/>
  </w:num>
  <w:num w:numId="31">
    <w:abstractNumId w:val="12"/>
  </w:num>
  <w:num w:numId="32">
    <w:abstractNumId w:val="14"/>
  </w:num>
  <w:num w:numId="33">
    <w:abstractNumId w:val="15"/>
  </w:num>
  <w:num w:numId="34">
    <w:abstractNumId w:val="7"/>
  </w:num>
  <w:num w:numId="35">
    <w:abstractNumId w:val="13"/>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7 19:20: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 la propuesta de Directiva Europea del Parlamento y del Consejo  "/>
    <w:docVar w:name="LW_ACCOMPAGNANT.CP" w:val="de la propuesta de Directiva Europea del Parlamento y del Consejo  "/>
    <w:docVar w:name="LW_ANNEX_NBR_FIRST" w:val="1"/>
    <w:docVar w:name="LW_ANNEX_NBR_LAST" w:val="7"/>
    <w:docVar w:name="LW_ANNEX_UNIQUE" w:val="0"/>
    <w:docVar w:name="LW_CORRIGENDUM" w:val="&lt;UNUSED&gt;"/>
    <w:docVar w:name="LW_COVERPAGE_EXISTS" w:val="True"/>
    <w:docVar w:name="LW_COVERPAGE_GUID" w:val="4EE3FC39-F9DE-46E0-B9CA-FEEB17A46940"/>
    <w:docVar w:name="LW_COVERPAGE_TYPE" w:val="1"/>
    <w:docVar w:name="LW_CROSSREFERENCE" w:val="{SEC(2023) 416 final} - {SWD(2023) 416 final} - {SWD(2023) 417 final} - {SWD(2023) 418 final} - {SWD(2023) 423 final}"/>
    <w:docVar w:name="LW_DocType" w:val="ANNEX"/>
    <w:docVar w:name="LW_EMISSION" w:val="5.7.2023"/>
    <w:docVar w:name="LW_EMISSION_ISODATE" w:val="2023-07-05"/>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cccc"/>
    <w:docVar w:name="LW_OBJETACTEPRINCIPAL.CP" w:val="&lt;EMPTY&gt;"/>
    <w:docVar w:name="LW_PART_NBR" w:val="&lt;UNUSED&gt;"/>
    <w:docVar w:name="LW_PART_NBR_TOTAL" w:val="&lt;UNUSED&gt;"/>
    <w:docVar w:name="LW_REF.INST.NEW" w:val="COM"/>
    <w:docVar w:name="LW_REF.INST.NEW_ADOPTED" w:val="final"/>
    <w:docVar w:name="LW_REF.INST.NEW_TEXT" w:val="(2023) 4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S"/>
    <w:docVar w:name="LW_TYPE.DOC.CP" w:val="ANEXOS"/>
    <w:docVar w:name="LW_TYPEACTEPRINCIPAL" w:val="relativa a la vigilancia y la resiliencia del suelo (Ley de vigilancia del suelo)_x000b_"/>
    <w:docVar w:name="LW_TYPEACTEPRINCIPAL.CP" w:val="relativa a la vigilancia y la resiliencia del suelo (Ley de vigilancia del suelo)_x000b_"/>
    <w:docVar w:name="LwApiVersions" w:val="LW4CoDe 1.23.2.0; LW 8.0, Build 20211117"/>
  </w:docVars>
  <w:rsids>
    <w:rsidRoot w:val="00F72C57"/>
    <w:rsid w:val="00000180"/>
    <w:rsid w:val="00000896"/>
    <w:rsid w:val="00001686"/>
    <w:rsid w:val="0000312E"/>
    <w:rsid w:val="000031EB"/>
    <w:rsid w:val="00005D43"/>
    <w:rsid w:val="0000616D"/>
    <w:rsid w:val="000062E0"/>
    <w:rsid w:val="00006510"/>
    <w:rsid w:val="00006D2A"/>
    <w:rsid w:val="00006F3A"/>
    <w:rsid w:val="00006FAA"/>
    <w:rsid w:val="00007F8F"/>
    <w:rsid w:val="0001056D"/>
    <w:rsid w:val="00011153"/>
    <w:rsid w:val="0001123B"/>
    <w:rsid w:val="00011EC8"/>
    <w:rsid w:val="000122C5"/>
    <w:rsid w:val="000124BC"/>
    <w:rsid w:val="000128CA"/>
    <w:rsid w:val="00012E7E"/>
    <w:rsid w:val="00015478"/>
    <w:rsid w:val="00015A5A"/>
    <w:rsid w:val="00016181"/>
    <w:rsid w:val="00017918"/>
    <w:rsid w:val="00017B87"/>
    <w:rsid w:val="0002149E"/>
    <w:rsid w:val="00022A30"/>
    <w:rsid w:val="00022FB7"/>
    <w:rsid w:val="000245C8"/>
    <w:rsid w:val="000248C7"/>
    <w:rsid w:val="000248DA"/>
    <w:rsid w:val="00024BE8"/>
    <w:rsid w:val="00024FD4"/>
    <w:rsid w:val="00025579"/>
    <w:rsid w:val="00025CB1"/>
    <w:rsid w:val="00026638"/>
    <w:rsid w:val="00027876"/>
    <w:rsid w:val="0003026B"/>
    <w:rsid w:val="000304F2"/>
    <w:rsid w:val="0003101E"/>
    <w:rsid w:val="000311B7"/>
    <w:rsid w:val="00031F98"/>
    <w:rsid w:val="00032B5A"/>
    <w:rsid w:val="000331F2"/>
    <w:rsid w:val="00033C52"/>
    <w:rsid w:val="00033F6C"/>
    <w:rsid w:val="00034A7B"/>
    <w:rsid w:val="00034DA3"/>
    <w:rsid w:val="00034DE9"/>
    <w:rsid w:val="000361A1"/>
    <w:rsid w:val="00036E70"/>
    <w:rsid w:val="0003724B"/>
    <w:rsid w:val="00041096"/>
    <w:rsid w:val="00041EFE"/>
    <w:rsid w:val="000446DA"/>
    <w:rsid w:val="00044855"/>
    <w:rsid w:val="00045C5A"/>
    <w:rsid w:val="00045EE5"/>
    <w:rsid w:val="000469AD"/>
    <w:rsid w:val="00046F83"/>
    <w:rsid w:val="000472CB"/>
    <w:rsid w:val="00047742"/>
    <w:rsid w:val="0005062F"/>
    <w:rsid w:val="00051003"/>
    <w:rsid w:val="00051883"/>
    <w:rsid w:val="00051EAC"/>
    <w:rsid w:val="000520E1"/>
    <w:rsid w:val="00053267"/>
    <w:rsid w:val="0005364A"/>
    <w:rsid w:val="00053A48"/>
    <w:rsid w:val="000551A4"/>
    <w:rsid w:val="00055DAF"/>
    <w:rsid w:val="000567B3"/>
    <w:rsid w:val="00056E4A"/>
    <w:rsid w:val="00057095"/>
    <w:rsid w:val="000575D3"/>
    <w:rsid w:val="00057C48"/>
    <w:rsid w:val="0006048D"/>
    <w:rsid w:val="00060C5F"/>
    <w:rsid w:val="0006133C"/>
    <w:rsid w:val="0006201B"/>
    <w:rsid w:val="00062950"/>
    <w:rsid w:val="000630E0"/>
    <w:rsid w:val="00063B3F"/>
    <w:rsid w:val="00063B6F"/>
    <w:rsid w:val="00063DB3"/>
    <w:rsid w:val="000643AE"/>
    <w:rsid w:val="000651DA"/>
    <w:rsid w:val="00065A8D"/>
    <w:rsid w:val="00066363"/>
    <w:rsid w:val="00066EFC"/>
    <w:rsid w:val="00067A66"/>
    <w:rsid w:val="00067CE0"/>
    <w:rsid w:val="00071940"/>
    <w:rsid w:val="000727F2"/>
    <w:rsid w:val="000748BC"/>
    <w:rsid w:val="00074D20"/>
    <w:rsid w:val="00074D6E"/>
    <w:rsid w:val="0007502F"/>
    <w:rsid w:val="00075336"/>
    <w:rsid w:val="0007594F"/>
    <w:rsid w:val="00075E68"/>
    <w:rsid w:val="00075FDA"/>
    <w:rsid w:val="0007660F"/>
    <w:rsid w:val="00076A5A"/>
    <w:rsid w:val="000778AE"/>
    <w:rsid w:val="00077BB1"/>
    <w:rsid w:val="00081E11"/>
    <w:rsid w:val="000826B4"/>
    <w:rsid w:val="00082A43"/>
    <w:rsid w:val="00082A5C"/>
    <w:rsid w:val="00083505"/>
    <w:rsid w:val="00083A20"/>
    <w:rsid w:val="0008406A"/>
    <w:rsid w:val="0008428C"/>
    <w:rsid w:val="00086DB7"/>
    <w:rsid w:val="0008745A"/>
    <w:rsid w:val="00087E95"/>
    <w:rsid w:val="00090083"/>
    <w:rsid w:val="000907E7"/>
    <w:rsid w:val="000912F1"/>
    <w:rsid w:val="0009212D"/>
    <w:rsid w:val="000921CD"/>
    <w:rsid w:val="00092FAA"/>
    <w:rsid w:val="00093356"/>
    <w:rsid w:val="00093E77"/>
    <w:rsid w:val="00093EE4"/>
    <w:rsid w:val="00094255"/>
    <w:rsid w:val="000946DB"/>
    <w:rsid w:val="00095429"/>
    <w:rsid w:val="00096895"/>
    <w:rsid w:val="000975EC"/>
    <w:rsid w:val="00097758"/>
    <w:rsid w:val="000978F8"/>
    <w:rsid w:val="00097E85"/>
    <w:rsid w:val="000A005E"/>
    <w:rsid w:val="000A06CF"/>
    <w:rsid w:val="000A0FA9"/>
    <w:rsid w:val="000A12EC"/>
    <w:rsid w:val="000A2FF5"/>
    <w:rsid w:val="000A3ED1"/>
    <w:rsid w:val="000A4564"/>
    <w:rsid w:val="000A48EA"/>
    <w:rsid w:val="000A56F6"/>
    <w:rsid w:val="000A57DC"/>
    <w:rsid w:val="000A5886"/>
    <w:rsid w:val="000A67D4"/>
    <w:rsid w:val="000A6ABE"/>
    <w:rsid w:val="000A7227"/>
    <w:rsid w:val="000A75DA"/>
    <w:rsid w:val="000B08C5"/>
    <w:rsid w:val="000B1392"/>
    <w:rsid w:val="000B238F"/>
    <w:rsid w:val="000B2B12"/>
    <w:rsid w:val="000B4487"/>
    <w:rsid w:val="000B48F2"/>
    <w:rsid w:val="000B4A30"/>
    <w:rsid w:val="000B4DB7"/>
    <w:rsid w:val="000B5539"/>
    <w:rsid w:val="000B5544"/>
    <w:rsid w:val="000B5DDC"/>
    <w:rsid w:val="000B5EE7"/>
    <w:rsid w:val="000B6086"/>
    <w:rsid w:val="000B6E65"/>
    <w:rsid w:val="000B7482"/>
    <w:rsid w:val="000C168F"/>
    <w:rsid w:val="000C30CF"/>
    <w:rsid w:val="000C3540"/>
    <w:rsid w:val="000C3C16"/>
    <w:rsid w:val="000C430F"/>
    <w:rsid w:val="000C58E6"/>
    <w:rsid w:val="000C5A31"/>
    <w:rsid w:val="000C71CE"/>
    <w:rsid w:val="000C7EE3"/>
    <w:rsid w:val="000D0373"/>
    <w:rsid w:val="000D2AA2"/>
    <w:rsid w:val="000D34C9"/>
    <w:rsid w:val="000D4061"/>
    <w:rsid w:val="000D48E4"/>
    <w:rsid w:val="000D4CA7"/>
    <w:rsid w:val="000D50C2"/>
    <w:rsid w:val="000D5F0E"/>
    <w:rsid w:val="000D698F"/>
    <w:rsid w:val="000D6A66"/>
    <w:rsid w:val="000D6AA2"/>
    <w:rsid w:val="000D78F5"/>
    <w:rsid w:val="000D7E2A"/>
    <w:rsid w:val="000E2926"/>
    <w:rsid w:val="000E2D15"/>
    <w:rsid w:val="000E2E1F"/>
    <w:rsid w:val="000E31DF"/>
    <w:rsid w:val="000E34B8"/>
    <w:rsid w:val="000E72B3"/>
    <w:rsid w:val="000E7CD8"/>
    <w:rsid w:val="000F1A32"/>
    <w:rsid w:val="000F2574"/>
    <w:rsid w:val="000F2582"/>
    <w:rsid w:val="000F2FC1"/>
    <w:rsid w:val="000F399A"/>
    <w:rsid w:val="000F3DA5"/>
    <w:rsid w:val="000F3E96"/>
    <w:rsid w:val="000F4817"/>
    <w:rsid w:val="000F5D1B"/>
    <w:rsid w:val="000F6437"/>
    <w:rsid w:val="000F66B1"/>
    <w:rsid w:val="000F694A"/>
    <w:rsid w:val="000F7822"/>
    <w:rsid w:val="000F7DF9"/>
    <w:rsid w:val="0010062B"/>
    <w:rsid w:val="001006F2"/>
    <w:rsid w:val="001029C2"/>
    <w:rsid w:val="0010331F"/>
    <w:rsid w:val="00104588"/>
    <w:rsid w:val="00106086"/>
    <w:rsid w:val="0010782F"/>
    <w:rsid w:val="0011217D"/>
    <w:rsid w:val="00112856"/>
    <w:rsid w:val="00112DF5"/>
    <w:rsid w:val="00112E35"/>
    <w:rsid w:val="00113081"/>
    <w:rsid w:val="00113CAA"/>
    <w:rsid w:val="0011543B"/>
    <w:rsid w:val="0011728A"/>
    <w:rsid w:val="001177E9"/>
    <w:rsid w:val="00121051"/>
    <w:rsid w:val="00121BBB"/>
    <w:rsid w:val="00121C4A"/>
    <w:rsid w:val="00122976"/>
    <w:rsid w:val="00122BBE"/>
    <w:rsid w:val="0012321C"/>
    <w:rsid w:val="001232D8"/>
    <w:rsid w:val="00124843"/>
    <w:rsid w:val="00124B20"/>
    <w:rsid w:val="001257D8"/>
    <w:rsid w:val="00125CB1"/>
    <w:rsid w:val="001263F9"/>
    <w:rsid w:val="00127603"/>
    <w:rsid w:val="001277FD"/>
    <w:rsid w:val="0013022E"/>
    <w:rsid w:val="00130DBB"/>
    <w:rsid w:val="0013193E"/>
    <w:rsid w:val="001346E0"/>
    <w:rsid w:val="00134C3F"/>
    <w:rsid w:val="001350A2"/>
    <w:rsid w:val="0013541F"/>
    <w:rsid w:val="00136085"/>
    <w:rsid w:val="0013712A"/>
    <w:rsid w:val="00140B20"/>
    <w:rsid w:val="00140F92"/>
    <w:rsid w:val="00141CC4"/>
    <w:rsid w:val="0014210C"/>
    <w:rsid w:val="0014238B"/>
    <w:rsid w:val="001426F1"/>
    <w:rsid w:val="0014285D"/>
    <w:rsid w:val="00142A85"/>
    <w:rsid w:val="001444E8"/>
    <w:rsid w:val="0014567F"/>
    <w:rsid w:val="001461CB"/>
    <w:rsid w:val="001462E3"/>
    <w:rsid w:val="001464A6"/>
    <w:rsid w:val="00147683"/>
    <w:rsid w:val="0015011A"/>
    <w:rsid w:val="001502C6"/>
    <w:rsid w:val="00150E88"/>
    <w:rsid w:val="00151042"/>
    <w:rsid w:val="001511EB"/>
    <w:rsid w:val="00151F56"/>
    <w:rsid w:val="001522EE"/>
    <w:rsid w:val="00152BE2"/>
    <w:rsid w:val="00153115"/>
    <w:rsid w:val="00153CA5"/>
    <w:rsid w:val="00153FC8"/>
    <w:rsid w:val="00153FEC"/>
    <w:rsid w:val="001556A2"/>
    <w:rsid w:val="0015682E"/>
    <w:rsid w:val="0016027D"/>
    <w:rsid w:val="0016189D"/>
    <w:rsid w:val="00161A67"/>
    <w:rsid w:val="001625BE"/>
    <w:rsid w:val="00162A32"/>
    <w:rsid w:val="00162CF1"/>
    <w:rsid w:val="00163788"/>
    <w:rsid w:val="00163A31"/>
    <w:rsid w:val="00165105"/>
    <w:rsid w:val="00165295"/>
    <w:rsid w:val="001652DF"/>
    <w:rsid w:val="00165C4F"/>
    <w:rsid w:val="00165FBD"/>
    <w:rsid w:val="00166B31"/>
    <w:rsid w:val="00170433"/>
    <w:rsid w:val="0017213E"/>
    <w:rsid w:val="001726CA"/>
    <w:rsid w:val="00172954"/>
    <w:rsid w:val="00175C41"/>
    <w:rsid w:val="00176C25"/>
    <w:rsid w:val="00181654"/>
    <w:rsid w:val="001823FF"/>
    <w:rsid w:val="00184419"/>
    <w:rsid w:val="001847AD"/>
    <w:rsid w:val="001847B9"/>
    <w:rsid w:val="00185535"/>
    <w:rsid w:val="0018576D"/>
    <w:rsid w:val="00185A31"/>
    <w:rsid w:val="00186D50"/>
    <w:rsid w:val="00187CBE"/>
    <w:rsid w:val="00187F23"/>
    <w:rsid w:val="00187FDF"/>
    <w:rsid w:val="00191F78"/>
    <w:rsid w:val="0019201E"/>
    <w:rsid w:val="00192B27"/>
    <w:rsid w:val="00192B90"/>
    <w:rsid w:val="00192DE5"/>
    <w:rsid w:val="00193016"/>
    <w:rsid w:val="00194466"/>
    <w:rsid w:val="00194E22"/>
    <w:rsid w:val="00194F8E"/>
    <w:rsid w:val="00195BF2"/>
    <w:rsid w:val="00197B3E"/>
    <w:rsid w:val="001A0628"/>
    <w:rsid w:val="001A13F8"/>
    <w:rsid w:val="001A20E5"/>
    <w:rsid w:val="001A2FC1"/>
    <w:rsid w:val="001A31C0"/>
    <w:rsid w:val="001A3CD4"/>
    <w:rsid w:val="001A3E38"/>
    <w:rsid w:val="001A4477"/>
    <w:rsid w:val="001A47A9"/>
    <w:rsid w:val="001A5AA0"/>
    <w:rsid w:val="001A686F"/>
    <w:rsid w:val="001A6A86"/>
    <w:rsid w:val="001A6D53"/>
    <w:rsid w:val="001A6E7A"/>
    <w:rsid w:val="001A7EFA"/>
    <w:rsid w:val="001B1C52"/>
    <w:rsid w:val="001B29A9"/>
    <w:rsid w:val="001B2BA6"/>
    <w:rsid w:val="001B2CC0"/>
    <w:rsid w:val="001B4150"/>
    <w:rsid w:val="001B431C"/>
    <w:rsid w:val="001B48CC"/>
    <w:rsid w:val="001B4A8A"/>
    <w:rsid w:val="001B5EA5"/>
    <w:rsid w:val="001B70AA"/>
    <w:rsid w:val="001B727F"/>
    <w:rsid w:val="001B79AA"/>
    <w:rsid w:val="001B7D1A"/>
    <w:rsid w:val="001B7D66"/>
    <w:rsid w:val="001C0419"/>
    <w:rsid w:val="001C0721"/>
    <w:rsid w:val="001C08AA"/>
    <w:rsid w:val="001C08CA"/>
    <w:rsid w:val="001C12C3"/>
    <w:rsid w:val="001C133B"/>
    <w:rsid w:val="001C161F"/>
    <w:rsid w:val="001C1825"/>
    <w:rsid w:val="001C239A"/>
    <w:rsid w:val="001C3AE5"/>
    <w:rsid w:val="001C43B6"/>
    <w:rsid w:val="001C563A"/>
    <w:rsid w:val="001C5668"/>
    <w:rsid w:val="001C5858"/>
    <w:rsid w:val="001C59F7"/>
    <w:rsid w:val="001C664F"/>
    <w:rsid w:val="001C6EA1"/>
    <w:rsid w:val="001C7118"/>
    <w:rsid w:val="001C722E"/>
    <w:rsid w:val="001C75D9"/>
    <w:rsid w:val="001C78E3"/>
    <w:rsid w:val="001C7A9B"/>
    <w:rsid w:val="001C7C55"/>
    <w:rsid w:val="001D02AA"/>
    <w:rsid w:val="001D0D27"/>
    <w:rsid w:val="001D14E1"/>
    <w:rsid w:val="001D173B"/>
    <w:rsid w:val="001D3885"/>
    <w:rsid w:val="001D39AC"/>
    <w:rsid w:val="001D3C8E"/>
    <w:rsid w:val="001D41EB"/>
    <w:rsid w:val="001D5047"/>
    <w:rsid w:val="001D5643"/>
    <w:rsid w:val="001D6894"/>
    <w:rsid w:val="001D7CA4"/>
    <w:rsid w:val="001D7DEF"/>
    <w:rsid w:val="001E05C5"/>
    <w:rsid w:val="001E0F2C"/>
    <w:rsid w:val="001E1E77"/>
    <w:rsid w:val="001E20F6"/>
    <w:rsid w:val="001E320F"/>
    <w:rsid w:val="001E4800"/>
    <w:rsid w:val="001E595E"/>
    <w:rsid w:val="001E63C0"/>
    <w:rsid w:val="001E6831"/>
    <w:rsid w:val="001E6920"/>
    <w:rsid w:val="001E7D0E"/>
    <w:rsid w:val="001F1A28"/>
    <w:rsid w:val="001F1C00"/>
    <w:rsid w:val="001F2AD6"/>
    <w:rsid w:val="001F343E"/>
    <w:rsid w:val="001F3D6B"/>
    <w:rsid w:val="001F695C"/>
    <w:rsid w:val="001F6E74"/>
    <w:rsid w:val="001F6EBC"/>
    <w:rsid w:val="001F7528"/>
    <w:rsid w:val="001F7E0D"/>
    <w:rsid w:val="00200EB4"/>
    <w:rsid w:val="002016A9"/>
    <w:rsid w:val="002022FF"/>
    <w:rsid w:val="00202B2D"/>
    <w:rsid w:val="00204125"/>
    <w:rsid w:val="00204A02"/>
    <w:rsid w:val="0020670D"/>
    <w:rsid w:val="0020733A"/>
    <w:rsid w:val="00207714"/>
    <w:rsid w:val="00207D7C"/>
    <w:rsid w:val="002113AB"/>
    <w:rsid w:val="002115FF"/>
    <w:rsid w:val="00212000"/>
    <w:rsid w:val="002124CE"/>
    <w:rsid w:val="00212D37"/>
    <w:rsid w:val="0021340C"/>
    <w:rsid w:val="002140A2"/>
    <w:rsid w:val="00214786"/>
    <w:rsid w:val="0021531E"/>
    <w:rsid w:val="00215356"/>
    <w:rsid w:val="00215909"/>
    <w:rsid w:val="00217F49"/>
    <w:rsid w:val="00221803"/>
    <w:rsid w:val="00223548"/>
    <w:rsid w:val="00224997"/>
    <w:rsid w:val="002249C9"/>
    <w:rsid w:val="00224ED2"/>
    <w:rsid w:val="00226099"/>
    <w:rsid w:val="00226783"/>
    <w:rsid w:val="00226F52"/>
    <w:rsid w:val="00227D8F"/>
    <w:rsid w:val="002305EF"/>
    <w:rsid w:val="0023189C"/>
    <w:rsid w:val="00232AFA"/>
    <w:rsid w:val="00234232"/>
    <w:rsid w:val="002358B2"/>
    <w:rsid w:val="002366FC"/>
    <w:rsid w:val="0023717B"/>
    <w:rsid w:val="00237455"/>
    <w:rsid w:val="0024033A"/>
    <w:rsid w:val="00240343"/>
    <w:rsid w:val="00240A35"/>
    <w:rsid w:val="00240CCF"/>
    <w:rsid w:val="0024102E"/>
    <w:rsid w:val="0024112B"/>
    <w:rsid w:val="00241C5B"/>
    <w:rsid w:val="00242098"/>
    <w:rsid w:val="00242367"/>
    <w:rsid w:val="00242374"/>
    <w:rsid w:val="0024331E"/>
    <w:rsid w:val="0024347F"/>
    <w:rsid w:val="0024467F"/>
    <w:rsid w:val="002451A9"/>
    <w:rsid w:val="0024583E"/>
    <w:rsid w:val="00245ED5"/>
    <w:rsid w:val="00246113"/>
    <w:rsid w:val="00246AC3"/>
    <w:rsid w:val="00247221"/>
    <w:rsid w:val="00250490"/>
    <w:rsid w:val="00250869"/>
    <w:rsid w:val="00251127"/>
    <w:rsid w:val="00251220"/>
    <w:rsid w:val="002516EE"/>
    <w:rsid w:val="002531DC"/>
    <w:rsid w:val="0025416F"/>
    <w:rsid w:val="00254F1D"/>
    <w:rsid w:val="00255149"/>
    <w:rsid w:val="00255A80"/>
    <w:rsid w:val="002605F9"/>
    <w:rsid w:val="002627EF"/>
    <w:rsid w:val="00263376"/>
    <w:rsid w:val="0026364B"/>
    <w:rsid w:val="002637FC"/>
    <w:rsid w:val="002642D1"/>
    <w:rsid w:val="002649F2"/>
    <w:rsid w:val="00265BEC"/>
    <w:rsid w:val="0026629A"/>
    <w:rsid w:val="00266EB1"/>
    <w:rsid w:val="00267032"/>
    <w:rsid w:val="00267C67"/>
    <w:rsid w:val="002703B6"/>
    <w:rsid w:val="00271AAB"/>
    <w:rsid w:val="002728C3"/>
    <w:rsid w:val="00272FEB"/>
    <w:rsid w:val="00274DE8"/>
    <w:rsid w:val="00275073"/>
    <w:rsid w:val="00275272"/>
    <w:rsid w:val="00275AF4"/>
    <w:rsid w:val="002805FA"/>
    <w:rsid w:val="00280A9F"/>
    <w:rsid w:val="00282A72"/>
    <w:rsid w:val="00283067"/>
    <w:rsid w:val="002831C1"/>
    <w:rsid w:val="002838BB"/>
    <w:rsid w:val="00283CA2"/>
    <w:rsid w:val="00283D87"/>
    <w:rsid w:val="002845E7"/>
    <w:rsid w:val="00284685"/>
    <w:rsid w:val="00285E1C"/>
    <w:rsid w:val="0028739C"/>
    <w:rsid w:val="00290461"/>
    <w:rsid w:val="00291598"/>
    <w:rsid w:val="00291788"/>
    <w:rsid w:val="00292470"/>
    <w:rsid w:val="00292977"/>
    <w:rsid w:val="0029370D"/>
    <w:rsid w:val="002937F6"/>
    <w:rsid w:val="002939B9"/>
    <w:rsid w:val="00294090"/>
    <w:rsid w:val="00294692"/>
    <w:rsid w:val="002951AC"/>
    <w:rsid w:val="002954BF"/>
    <w:rsid w:val="0029582B"/>
    <w:rsid w:val="002976A7"/>
    <w:rsid w:val="00297AC8"/>
    <w:rsid w:val="002A35EE"/>
    <w:rsid w:val="002A4C28"/>
    <w:rsid w:val="002A50E1"/>
    <w:rsid w:val="002A6199"/>
    <w:rsid w:val="002A62A7"/>
    <w:rsid w:val="002B01F8"/>
    <w:rsid w:val="002B071C"/>
    <w:rsid w:val="002B0BBE"/>
    <w:rsid w:val="002B17A2"/>
    <w:rsid w:val="002B26B8"/>
    <w:rsid w:val="002B2A4F"/>
    <w:rsid w:val="002B2BEF"/>
    <w:rsid w:val="002B4B2E"/>
    <w:rsid w:val="002B4ED8"/>
    <w:rsid w:val="002B5803"/>
    <w:rsid w:val="002B5A69"/>
    <w:rsid w:val="002B5E16"/>
    <w:rsid w:val="002B5E75"/>
    <w:rsid w:val="002B620E"/>
    <w:rsid w:val="002C0094"/>
    <w:rsid w:val="002C13D9"/>
    <w:rsid w:val="002C1BBA"/>
    <w:rsid w:val="002C1BF9"/>
    <w:rsid w:val="002C2565"/>
    <w:rsid w:val="002C2A64"/>
    <w:rsid w:val="002C2CE9"/>
    <w:rsid w:val="002C3E12"/>
    <w:rsid w:val="002C3E43"/>
    <w:rsid w:val="002C54EE"/>
    <w:rsid w:val="002C5DAC"/>
    <w:rsid w:val="002C61CC"/>
    <w:rsid w:val="002C625D"/>
    <w:rsid w:val="002C6C30"/>
    <w:rsid w:val="002C7374"/>
    <w:rsid w:val="002D04CE"/>
    <w:rsid w:val="002D05B2"/>
    <w:rsid w:val="002D21B5"/>
    <w:rsid w:val="002D35D2"/>
    <w:rsid w:val="002D4EBB"/>
    <w:rsid w:val="002D608E"/>
    <w:rsid w:val="002D6CEC"/>
    <w:rsid w:val="002D7625"/>
    <w:rsid w:val="002D7C8B"/>
    <w:rsid w:val="002E0C30"/>
    <w:rsid w:val="002E10DA"/>
    <w:rsid w:val="002E1609"/>
    <w:rsid w:val="002E1B58"/>
    <w:rsid w:val="002E31FF"/>
    <w:rsid w:val="002E3DD7"/>
    <w:rsid w:val="002E3FBF"/>
    <w:rsid w:val="002E4402"/>
    <w:rsid w:val="002E47D4"/>
    <w:rsid w:val="002E5696"/>
    <w:rsid w:val="002E69A5"/>
    <w:rsid w:val="002E7843"/>
    <w:rsid w:val="002F043C"/>
    <w:rsid w:val="002F132B"/>
    <w:rsid w:val="002F140F"/>
    <w:rsid w:val="002F2377"/>
    <w:rsid w:val="002F476D"/>
    <w:rsid w:val="002F6484"/>
    <w:rsid w:val="002F6865"/>
    <w:rsid w:val="002F739E"/>
    <w:rsid w:val="002F7882"/>
    <w:rsid w:val="003000BB"/>
    <w:rsid w:val="00302B76"/>
    <w:rsid w:val="00303014"/>
    <w:rsid w:val="0030351B"/>
    <w:rsid w:val="00304A97"/>
    <w:rsid w:val="00304E89"/>
    <w:rsid w:val="00304FBA"/>
    <w:rsid w:val="00305630"/>
    <w:rsid w:val="003065AD"/>
    <w:rsid w:val="00306A0A"/>
    <w:rsid w:val="00310645"/>
    <w:rsid w:val="003123B7"/>
    <w:rsid w:val="003127CE"/>
    <w:rsid w:val="003133F0"/>
    <w:rsid w:val="00315045"/>
    <w:rsid w:val="00316624"/>
    <w:rsid w:val="00316F57"/>
    <w:rsid w:val="00320381"/>
    <w:rsid w:val="003240FE"/>
    <w:rsid w:val="003250B1"/>
    <w:rsid w:val="00326B3B"/>
    <w:rsid w:val="003275F1"/>
    <w:rsid w:val="00331719"/>
    <w:rsid w:val="00332319"/>
    <w:rsid w:val="00332478"/>
    <w:rsid w:val="003325E7"/>
    <w:rsid w:val="003329B5"/>
    <w:rsid w:val="00333DF1"/>
    <w:rsid w:val="003346ED"/>
    <w:rsid w:val="00334DE5"/>
    <w:rsid w:val="003368C1"/>
    <w:rsid w:val="00336AB4"/>
    <w:rsid w:val="00337EDB"/>
    <w:rsid w:val="00343A15"/>
    <w:rsid w:val="00344737"/>
    <w:rsid w:val="00344FB1"/>
    <w:rsid w:val="00345927"/>
    <w:rsid w:val="00345EE4"/>
    <w:rsid w:val="003460A0"/>
    <w:rsid w:val="00346385"/>
    <w:rsid w:val="00346CE4"/>
    <w:rsid w:val="00347053"/>
    <w:rsid w:val="003478CF"/>
    <w:rsid w:val="003479DC"/>
    <w:rsid w:val="00347BEA"/>
    <w:rsid w:val="00347F6C"/>
    <w:rsid w:val="003516EE"/>
    <w:rsid w:val="00351864"/>
    <w:rsid w:val="0035208F"/>
    <w:rsid w:val="003534BA"/>
    <w:rsid w:val="003553AE"/>
    <w:rsid w:val="0035575A"/>
    <w:rsid w:val="00356238"/>
    <w:rsid w:val="003573AE"/>
    <w:rsid w:val="00357CAC"/>
    <w:rsid w:val="0036153F"/>
    <w:rsid w:val="00361C31"/>
    <w:rsid w:val="00362D40"/>
    <w:rsid w:val="0036320A"/>
    <w:rsid w:val="0036332A"/>
    <w:rsid w:val="0036361B"/>
    <w:rsid w:val="00364E94"/>
    <w:rsid w:val="00365C5E"/>
    <w:rsid w:val="00366C2E"/>
    <w:rsid w:val="00370899"/>
    <w:rsid w:val="0037119D"/>
    <w:rsid w:val="00371312"/>
    <w:rsid w:val="00372223"/>
    <w:rsid w:val="0037234F"/>
    <w:rsid w:val="00372F6D"/>
    <w:rsid w:val="00373982"/>
    <w:rsid w:val="00373A32"/>
    <w:rsid w:val="003742D9"/>
    <w:rsid w:val="00374737"/>
    <w:rsid w:val="0037533F"/>
    <w:rsid w:val="003757E9"/>
    <w:rsid w:val="00376B5F"/>
    <w:rsid w:val="00377ED4"/>
    <w:rsid w:val="003822AD"/>
    <w:rsid w:val="00382406"/>
    <w:rsid w:val="00382A4E"/>
    <w:rsid w:val="00383EC0"/>
    <w:rsid w:val="00386B8C"/>
    <w:rsid w:val="00386E13"/>
    <w:rsid w:val="00386FB4"/>
    <w:rsid w:val="003871E0"/>
    <w:rsid w:val="00387397"/>
    <w:rsid w:val="00387ACC"/>
    <w:rsid w:val="003901BA"/>
    <w:rsid w:val="0039055B"/>
    <w:rsid w:val="0039132B"/>
    <w:rsid w:val="0039319F"/>
    <w:rsid w:val="00394B7A"/>
    <w:rsid w:val="00396A9F"/>
    <w:rsid w:val="00396C24"/>
    <w:rsid w:val="00397BB9"/>
    <w:rsid w:val="00397BEA"/>
    <w:rsid w:val="003A008A"/>
    <w:rsid w:val="003A0097"/>
    <w:rsid w:val="003A0868"/>
    <w:rsid w:val="003A0AF5"/>
    <w:rsid w:val="003A0C90"/>
    <w:rsid w:val="003A3F7F"/>
    <w:rsid w:val="003A4DE5"/>
    <w:rsid w:val="003A55FD"/>
    <w:rsid w:val="003A5B52"/>
    <w:rsid w:val="003A74B8"/>
    <w:rsid w:val="003A789D"/>
    <w:rsid w:val="003A79B5"/>
    <w:rsid w:val="003B0FC5"/>
    <w:rsid w:val="003B1F26"/>
    <w:rsid w:val="003B2ABC"/>
    <w:rsid w:val="003B3B5B"/>
    <w:rsid w:val="003B4425"/>
    <w:rsid w:val="003B4637"/>
    <w:rsid w:val="003B464D"/>
    <w:rsid w:val="003B4BC9"/>
    <w:rsid w:val="003B60F4"/>
    <w:rsid w:val="003B67C4"/>
    <w:rsid w:val="003B6B4E"/>
    <w:rsid w:val="003B7DD3"/>
    <w:rsid w:val="003C04B9"/>
    <w:rsid w:val="003C11A8"/>
    <w:rsid w:val="003C1973"/>
    <w:rsid w:val="003C1E67"/>
    <w:rsid w:val="003C290E"/>
    <w:rsid w:val="003C2ED6"/>
    <w:rsid w:val="003C34D8"/>
    <w:rsid w:val="003C37B5"/>
    <w:rsid w:val="003C3ACB"/>
    <w:rsid w:val="003C507C"/>
    <w:rsid w:val="003C50B6"/>
    <w:rsid w:val="003C543E"/>
    <w:rsid w:val="003C6940"/>
    <w:rsid w:val="003C774F"/>
    <w:rsid w:val="003D146F"/>
    <w:rsid w:val="003D1648"/>
    <w:rsid w:val="003D1DF4"/>
    <w:rsid w:val="003D38C5"/>
    <w:rsid w:val="003D4C00"/>
    <w:rsid w:val="003D5D33"/>
    <w:rsid w:val="003D5E0D"/>
    <w:rsid w:val="003D61C3"/>
    <w:rsid w:val="003D6775"/>
    <w:rsid w:val="003D6DEA"/>
    <w:rsid w:val="003D7AA1"/>
    <w:rsid w:val="003D7CFB"/>
    <w:rsid w:val="003E013D"/>
    <w:rsid w:val="003E0C70"/>
    <w:rsid w:val="003E0ECF"/>
    <w:rsid w:val="003E12C4"/>
    <w:rsid w:val="003E13EA"/>
    <w:rsid w:val="003E1D12"/>
    <w:rsid w:val="003E2616"/>
    <w:rsid w:val="003E2BC7"/>
    <w:rsid w:val="003E4757"/>
    <w:rsid w:val="003E551B"/>
    <w:rsid w:val="003E572F"/>
    <w:rsid w:val="003E5BCD"/>
    <w:rsid w:val="003E6251"/>
    <w:rsid w:val="003E6329"/>
    <w:rsid w:val="003E714A"/>
    <w:rsid w:val="003F046B"/>
    <w:rsid w:val="003F0C5F"/>
    <w:rsid w:val="003F0D65"/>
    <w:rsid w:val="003F159E"/>
    <w:rsid w:val="003F1CAE"/>
    <w:rsid w:val="003F3D35"/>
    <w:rsid w:val="003F458D"/>
    <w:rsid w:val="003F4ACE"/>
    <w:rsid w:val="003F4DBD"/>
    <w:rsid w:val="003F4DE4"/>
    <w:rsid w:val="003F4ED1"/>
    <w:rsid w:val="003F57D7"/>
    <w:rsid w:val="003F5F9F"/>
    <w:rsid w:val="003F6BB1"/>
    <w:rsid w:val="003F7C64"/>
    <w:rsid w:val="003F7E5F"/>
    <w:rsid w:val="003F7FE6"/>
    <w:rsid w:val="004010CD"/>
    <w:rsid w:val="00403348"/>
    <w:rsid w:val="00403480"/>
    <w:rsid w:val="0040480D"/>
    <w:rsid w:val="00404D9D"/>
    <w:rsid w:val="0040549A"/>
    <w:rsid w:val="00405597"/>
    <w:rsid w:val="0040673A"/>
    <w:rsid w:val="00406C43"/>
    <w:rsid w:val="004103F2"/>
    <w:rsid w:val="00410AD3"/>
    <w:rsid w:val="00411676"/>
    <w:rsid w:val="00411BE3"/>
    <w:rsid w:val="00413A49"/>
    <w:rsid w:val="00413B54"/>
    <w:rsid w:val="00413BF5"/>
    <w:rsid w:val="00414B4E"/>
    <w:rsid w:val="00414CD4"/>
    <w:rsid w:val="00414D5B"/>
    <w:rsid w:val="004151E3"/>
    <w:rsid w:val="0041586B"/>
    <w:rsid w:val="00415870"/>
    <w:rsid w:val="00415A91"/>
    <w:rsid w:val="00415EDC"/>
    <w:rsid w:val="0041679F"/>
    <w:rsid w:val="00417121"/>
    <w:rsid w:val="004204B8"/>
    <w:rsid w:val="00420AF1"/>
    <w:rsid w:val="00421ADE"/>
    <w:rsid w:val="00421EA0"/>
    <w:rsid w:val="004229BC"/>
    <w:rsid w:val="00422CED"/>
    <w:rsid w:val="0042398F"/>
    <w:rsid w:val="00424672"/>
    <w:rsid w:val="00424DE7"/>
    <w:rsid w:val="00424FCB"/>
    <w:rsid w:val="004250A6"/>
    <w:rsid w:val="00425FAA"/>
    <w:rsid w:val="004270DA"/>
    <w:rsid w:val="00427C38"/>
    <w:rsid w:val="00430315"/>
    <w:rsid w:val="00430800"/>
    <w:rsid w:val="0043084B"/>
    <w:rsid w:val="00430F68"/>
    <w:rsid w:val="004321D9"/>
    <w:rsid w:val="0043508A"/>
    <w:rsid w:val="004351B9"/>
    <w:rsid w:val="004370D2"/>
    <w:rsid w:val="00437489"/>
    <w:rsid w:val="004378AF"/>
    <w:rsid w:val="00437BCA"/>
    <w:rsid w:val="004417F5"/>
    <w:rsid w:val="00441B8C"/>
    <w:rsid w:val="00442C65"/>
    <w:rsid w:val="00442F5F"/>
    <w:rsid w:val="004431C1"/>
    <w:rsid w:val="0044604D"/>
    <w:rsid w:val="00446C9C"/>
    <w:rsid w:val="0044738E"/>
    <w:rsid w:val="00450B5A"/>
    <w:rsid w:val="00450FF7"/>
    <w:rsid w:val="00451EA0"/>
    <w:rsid w:val="00451F0B"/>
    <w:rsid w:val="004523DF"/>
    <w:rsid w:val="00453762"/>
    <w:rsid w:val="00453AD7"/>
    <w:rsid w:val="00453E7E"/>
    <w:rsid w:val="00454C7B"/>
    <w:rsid w:val="00455FD8"/>
    <w:rsid w:val="00456633"/>
    <w:rsid w:val="004567A4"/>
    <w:rsid w:val="00457223"/>
    <w:rsid w:val="00457DB4"/>
    <w:rsid w:val="00457DBC"/>
    <w:rsid w:val="00460AB9"/>
    <w:rsid w:val="00461AC6"/>
    <w:rsid w:val="0046203C"/>
    <w:rsid w:val="00462A11"/>
    <w:rsid w:val="00462C22"/>
    <w:rsid w:val="0046317B"/>
    <w:rsid w:val="004632F6"/>
    <w:rsid w:val="0046335E"/>
    <w:rsid w:val="00463411"/>
    <w:rsid w:val="00463E82"/>
    <w:rsid w:val="00464159"/>
    <w:rsid w:val="00464B02"/>
    <w:rsid w:val="004652A5"/>
    <w:rsid w:val="004674F9"/>
    <w:rsid w:val="00470A1F"/>
    <w:rsid w:val="00470FFB"/>
    <w:rsid w:val="00471C0D"/>
    <w:rsid w:val="0047259C"/>
    <w:rsid w:val="00474739"/>
    <w:rsid w:val="00475D23"/>
    <w:rsid w:val="00477390"/>
    <w:rsid w:val="00477D24"/>
    <w:rsid w:val="00480589"/>
    <w:rsid w:val="004809D0"/>
    <w:rsid w:val="00480F9A"/>
    <w:rsid w:val="00481C5D"/>
    <w:rsid w:val="00482584"/>
    <w:rsid w:val="0048286F"/>
    <w:rsid w:val="004831F2"/>
    <w:rsid w:val="00483929"/>
    <w:rsid w:val="004842A7"/>
    <w:rsid w:val="004859C5"/>
    <w:rsid w:val="004868E8"/>
    <w:rsid w:val="00487616"/>
    <w:rsid w:val="00491C76"/>
    <w:rsid w:val="0049204C"/>
    <w:rsid w:val="0049223E"/>
    <w:rsid w:val="00492E6B"/>
    <w:rsid w:val="00492EB7"/>
    <w:rsid w:val="004931BA"/>
    <w:rsid w:val="00495F57"/>
    <w:rsid w:val="004960E3"/>
    <w:rsid w:val="00496B99"/>
    <w:rsid w:val="00497951"/>
    <w:rsid w:val="004A098C"/>
    <w:rsid w:val="004A20D2"/>
    <w:rsid w:val="004A340A"/>
    <w:rsid w:val="004A3731"/>
    <w:rsid w:val="004A4CAA"/>
    <w:rsid w:val="004A7099"/>
    <w:rsid w:val="004B054F"/>
    <w:rsid w:val="004B15AE"/>
    <w:rsid w:val="004B1845"/>
    <w:rsid w:val="004B20BC"/>
    <w:rsid w:val="004B2146"/>
    <w:rsid w:val="004B24E4"/>
    <w:rsid w:val="004B2ECE"/>
    <w:rsid w:val="004B3A15"/>
    <w:rsid w:val="004B4184"/>
    <w:rsid w:val="004B5064"/>
    <w:rsid w:val="004B54D8"/>
    <w:rsid w:val="004B5C6C"/>
    <w:rsid w:val="004B5FB7"/>
    <w:rsid w:val="004B6123"/>
    <w:rsid w:val="004B70DA"/>
    <w:rsid w:val="004B7358"/>
    <w:rsid w:val="004B7A16"/>
    <w:rsid w:val="004C2200"/>
    <w:rsid w:val="004C36EA"/>
    <w:rsid w:val="004C3A40"/>
    <w:rsid w:val="004C53D5"/>
    <w:rsid w:val="004C59E1"/>
    <w:rsid w:val="004C5FA9"/>
    <w:rsid w:val="004C654F"/>
    <w:rsid w:val="004C65B2"/>
    <w:rsid w:val="004D0FCF"/>
    <w:rsid w:val="004D17CE"/>
    <w:rsid w:val="004D404B"/>
    <w:rsid w:val="004D53C4"/>
    <w:rsid w:val="004D5F52"/>
    <w:rsid w:val="004D6341"/>
    <w:rsid w:val="004E089C"/>
    <w:rsid w:val="004E0AF8"/>
    <w:rsid w:val="004E0C4A"/>
    <w:rsid w:val="004E0ECC"/>
    <w:rsid w:val="004E108A"/>
    <w:rsid w:val="004E1687"/>
    <w:rsid w:val="004E239C"/>
    <w:rsid w:val="004E2623"/>
    <w:rsid w:val="004E2C6F"/>
    <w:rsid w:val="004E3153"/>
    <w:rsid w:val="004E49C7"/>
    <w:rsid w:val="004E79F7"/>
    <w:rsid w:val="004E7E18"/>
    <w:rsid w:val="004F0182"/>
    <w:rsid w:val="004F0AD6"/>
    <w:rsid w:val="004F34C4"/>
    <w:rsid w:val="004F400F"/>
    <w:rsid w:val="004F458D"/>
    <w:rsid w:val="004F589E"/>
    <w:rsid w:val="004F72A3"/>
    <w:rsid w:val="004F7644"/>
    <w:rsid w:val="00500378"/>
    <w:rsid w:val="005014FA"/>
    <w:rsid w:val="00501EFB"/>
    <w:rsid w:val="00502CA6"/>
    <w:rsid w:val="00502D24"/>
    <w:rsid w:val="00503924"/>
    <w:rsid w:val="005048EE"/>
    <w:rsid w:val="005049E1"/>
    <w:rsid w:val="00504E82"/>
    <w:rsid w:val="00505811"/>
    <w:rsid w:val="005074FF"/>
    <w:rsid w:val="00507D6A"/>
    <w:rsid w:val="0051091C"/>
    <w:rsid w:val="00510F3F"/>
    <w:rsid w:val="005125EA"/>
    <w:rsid w:val="005126ED"/>
    <w:rsid w:val="00512706"/>
    <w:rsid w:val="00513613"/>
    <w:rsid w:val="005140A5"/>
    <w:rsid w:val="00514553"/>
    <w:rsid w:val="00514BCA"/>
    <w:rsid w:val="00514E92"/>
    <w:rsid w:val="0051528B"/>
    <w:rsid w:val="005175AC"/>
    <w:rsid w:val="005202CE"/>
    <w:rsid w:val="00520846"/>
    <w:rsid w:val="005219A9"/>
    <w:rsid w:val="00522C01"/>
    <w:rsid w:val="00522D8D"/>
    <w:rsid w:val="00523379"/>
    <w:rsid w:val="005233C3"/>
    <w:rsid w:val="00523EA0"/>
    <w:rsid w:val="00524A4A"/>
    <w:rsid w:val="00524C83"/>
    <w:rsid w:val="00524F5D"/>
    <w:rsid w:val="00525E64"/>
    <w:rsid w:val="00526578"/>
    <w:rsid w:val="00530240"/>
    <w:rsid w:val="00530543"/>
    <w:rsid w:val="005319FA"/>
    <w:rsid w:val="00531BBE"/>
    <w:rsid w:val="00531FE0"/>
    <w:rsid w:val="00532C3C"/>
    <w:rsid w:val="00534598"/>
    <w:rsid w:val="005356ED"/>
    <w:rsid w:val="005359BF"/>
    <w:rsid w:val="005363F8"/>
    <w:rsid w:val="00536869"/>
    <w:rsid w:val="00536F29"/>
    <w:rsid w:val="00537CAA"/>
    <w:rsid w:val="00540298"/>
    <w:rsid w:val="005412BA"/>
    <w:rsid w:val="00542233"/>
    <w:rsid w:val="00542717"/>
    <w:rsid w:val="0054326F"/>
    <w:rsid w:val="00543474"/>
    <w:rsid w:val="0054389A"/>
    <w:rsid w:val="005439F5"/>
    <w:rsid w:val="005445BB"/>
    <w:rsid w:val="00546425"/>
    <w:rsid w:val="00547614"/>
    <w:rsid w:val="005514E4"/>
    <w:rsid w:val="00551F08"/>
    <w:rsid w:val="00553425"/>
    <w:rsid w:val="005535F8"/>
    <w:rsid w:val="00554B8F"/>
    <w:rsid w:val="00556ACC"/>
    <w:rsid w:val="00557AD9"/>
    <w:rsid w:val="00557B1F"/>
    <w:rsid w:val="00560640"/>
    <w:rsid w:val="00561286"/>
    <w:rsid w:val="005619AA"/>
    <w:rsid w:val="0056207E"/>
    <w:rsid w:val="00562C60"/>
    <w:rsid w:val="00562EA4"/>
    <w:rsid w:val="00563C6D"/>
    <w:rsid w:val="0056469E"/>
    <w:rsid w:val="00565386"/>
    <w:rsid w:val="005659A3"/>
    <w:rsid w:val="00565C88"/>
    <w:rsid w:val="005669DC"/>
    <w:rsid w:val="00566F4F"/>
    <w:rsid w:val="00567191"/>
    <w:rsid w:val="00567286"/>
    <w:rsid w:val="00567568"/>
    <w:rsid w:val="0057098C"/>
    <w:rsid w:val="0057115B"/>
    <w:rsid w:val="0057157D"/>
    <w:rsid w:val="00571AD8"/>
    <w:rsid w:val="00572444"/>
    <w:rsid w:val="00572771"/>
    <w:rsid w:val="00572E94"/>
    <w:rsid w:val="0057427F"/>
    <w:rsid w:val="00574A75"/>
    <w:rsid w:val="00575B26"/>
    <w:rsid w:val="00576504"/>
    <w:rsid w:val="00576BF6"/>
    <w:rsid w:val="00577D2F"/>
    <w:rsid w:val="00580E81"/>
    <w:rsid w:val="00581569"/>
    <w:rsid w:val="0058167A"/>
    <w:rsid w:val="00581966"/>
    <w:rsid w:val="00581C11"/>
    <w:rsid w:val="005823BF"/>
    <w:rsid w:val="005853B3"/>
    <w:rsid w:val="00585DC0"/>
    <w:rsid w:val="005863F8"/>
    <w:rsid w:val="00587057"/>
    <w:rsid w:val="005915B9"/>
    <w:rsid w:val="00591B96"/>
    <w:rsid w:val="00591EE6"/>
    <w:rsid w:val="005932E1"/>
    <w:rsid w:val="00595128"/>
    <w:rsid w:val="00595996"/>
    <w:rsid w:val="0059782F"/>
    <w:rsid w:val="005A007A"/>
    <w:rsid w:val="005A0BFC"/>
    <w:rsid w:val="005A168C"/>
    <w:rsid w:val="005A1915"/>
    <w:rsid w:val="005A1E7D"/>
    <w:rsid w:val="005A321B"/>
    <w:rsid w:val="005A390B"/>
    <w:rsid w:val="005A3FFA"/>
    <w:rsid w:val="005A404C"/>
    <w:rsid w:val="005A4246"/>
    <w:rsid w:val="005A5429"/>
    <w:rsid w:val="005A57C6"/>
    <w:rsid w:val="005A5840"/>
    <w:rsid w:val="005A7FBD"/>
    <w:rsid w:val="005B038A"/>
    <w:rsid w:val="005B1280"/>
    <w:rsid w:val="005B136C"/>
    <w:rsid w:val="005B2B07"/>
    <w:rsid w:val="005B2B20"/>
    <w:rsid w:val="005B339A"/>
    <w:rsid w:val="005B4669"/>
    <w:rsid w:val="005B4AFD"/>
    <w:rsid w:val="005B4F4A"/>
    <w:rsid w:val="005B513E"/>
    <w:rsid w:val="005B6E15"/>
    <w:rsid w:val="005B7065"/>
    <w:rsid w:val="005C183D"/>
    <w:rsid w:val="005C1854"/>
    <w:rsid w:val="005C2AE4"/>
    <w:rsid w:val="005C2ED9"/>
    <w:rsid w:val="005C326B"/>
    <w:rsid w:val="005C36C7"/>
    <w:rsid w:val="005C3E89"/>
    <w:rsid w:val="005C4CCF"/>
    <w:rsid w:val="005C4DA2"/>
    <w:rsid w:val="005C505B"/>
    <w:rsid w:val="005C5876"/>
    <w:rsid w:val="005C69DE"/>
    <w:rsid w:val="005C7CCB"/>
    <w:rsid w:val="005C7D3F"/>
    <w:rsid w:val="005D0C34"/>
    <w:rsid w:val="005D182F"/>
    <w:rsid w:val="005D24DE"/>
    <w:rsid w:val="005D2B75"/>
    <w:rsid w:val="005D2BCD"/>
    <w:rsid w:val="005D5701"/>
    <w:rsid w:val="005D60F9"/>
    <w:rsid w:val="005D6121"/>
    <w:rsid w:val="005D63E8"/>
    <w:rsid w:val="005D6980"/>
    <w:rsid w:val="005D6DB4"/>
    <w:rsid w:val="005D7051"/>
    <w:rsid w:val="005D72AD"/>
    <w:rsid w:val="005D76F0"/>
    <w:rsid w:val="005E0025"/>
    <w:rsid w:val="005E150A"/>
    <w:rsid w:val="005E1588"/>
    <w:rsid w:val="005E1EBC"/>
    <w:rsid w:val="005E2982"/>
    <w:rsid w:val="005E3839"/>
    <w:rsid w:val="005E43F8"/>
    <w:rsid w:val="005E5079"/>
    <w:rsid w:val="005E5769"/>
    <w:rsid w:val="005E72B5"/>
    <w:rsid w:val="005E7DF0"/>
    <w:rsid w:val="005F135C"/>
    <w:rsid w:val="005F14F8"/>
    <w:rsid w:val="005F1ACA"/>
    <w:rsid w:val="005F24D5"/>
    <w:rsid w:val="005F4B14"/>
    <w:rsid w:val="005F4CDD"/>
    <w:rsid w:val="005F55B6"/>
    <w:rsid w:val="005F62D6"/>
    <w:rsid w:val="005F6CB1"/>
    <w:rsid w:val="006000C7"/>
    <w:rsid w:val="00600450"/>
    <w:rsid w:val="0060065A"/>
    <w:rsid w:val="006007DE"/>
    <w:rsid w:val="00601E45"/>
    <w:rsid w:val="0060314E"/>
    <w:rsid w:val="006039A1"/>
    <w:rsid w:val="006042E2"/>
    <w:rsid w:val="00605F07"/>
    <w:rsid w:val="00605F12"/>
    <w:rsid w:val="00606C6A"/>
    <w:rsid w:val="0060701A"/>
    <w:rsid w:val="00610145"/>
    <w:rsid w:val="00610A69"/>
    <w:rsid w:val="00611058"/>
    <w:rsid w:val="006119B1"/>
    <w:rsid w:val="0061223F"/>
    <w:rsid w:val="006128D6"/>
    <w:rsid w:val="00613D9F"/>
    <w:rsid w:val="00614027"/>
    <w:rsid w:val="00614042"/>
    <w:rsid w:val="00614951"/>
    <w:rsid w:val="006157FF"/>
    <w:rsid w:val="00615846"/>
    <w:rsid w:val="00616012"/>
    <w:rsid w:val="00616C40"/>
    <w:rsid w:val="006174A6"/>
    <w:rsid w:val="00621132"/>
    <w:rsid w:val="0062137B"/>
    <w:rsid w:val="00621508"/>
    <w:rsid w:val="006220F4"/>
    <w:rsid w:val="00622638"/>
    <w:rsid w:val="006233A0"/>
    <w:rsid w:val="00623410"/>
    <w:rsid w:val="00623BF0"/>
    <w:rsid w:val="00623C0D"/>
    <w:rsid w:val="0062414A"/>
    <w:rsid w:val="00625302"/>
    <w:rsid w:val="00626E37"/>
    <w:rsid w:val="00627078"/>
    <w:rsid w:val="00627589"/>
    <w:rsid w:val="0062787F"/>
    <w:rsid w:val="006316C0"/>
    <w:rsid w:val="00631C43"/>
    <w:rsid w:val="00631CF7"/>
    <w:rsid w:val="00631D32"/>
    <w:rsid w:val="00631E1A"/>
    <w:rsid w:val="00632900"/>
    <w:rsid w:val="00632F09"/>
    <w:rsid w:val="00633AB3"/>
    <w:rsid w:val="00634084"/>
    <w:rsid w:val="00635344"/>
    <w:rsid w:val="00636E13"/>
    <w:rsid w:val="00637A0F"/>
    <w:rsid w:val="00640674"/>
    <w:rsid w:val="006412A4"/>
    <w:rsid w:val="00641ACA"/>
    <w:rsid w:val="006429D1"/>
    <w:rsid w:val="0064698B"/>
    <w:rsid w:val="0064764E"/>
    <w:rsid w:val="00650AFC"/>
    <w:rsid w:val="00650BAF"/>
    <w:rsid w:val="00650F45"/>
    <w:rsid w:val="00650F6A"/>
    <w:rsid w:val="00651367"/>
    <w:rsid w:val="00651FDF"/>
    <w:rsid w:val="0065204F"/>
    <w:rsid w:val="006520CC"/>
    <w:rsid w:val="0065329E"/>
    <w:rsid w:val="00653511"/>
    <w:rsid w:val="006541D6"/>
    <w:rsid w:val="00655D47"/>
    <w:rsid w:val="00656744"/>
    <w:rsid w:val="00656C19"/>
    <w:rsid w:val="00656C78"/>
    <w:rsid w:val="00657C21"/>
    <w:rsid w:val="00657FDE"/>
    <w:rsid w:val="0066127D"/>
    <w:rsid w:val="00661CC4"/>
    <w:rsid w:val="00661D29"/>
    <w:rsid w:val="00662C4C"/>
    <w:rsid w:val="006644E4"/>
    <w:rsid w:val="0066526F"/>
    <w:rsid w:val="00666718"/>
    <w:rsid w:val="00666FC7"/>
    <w:rsid w:val="0067119D"/>
    <w:rsid w:val="00671E8B"/>
    <w:rsid w:val="006720D0"/>
    <w:rsid w:val="006722F7"/>
    <w:rsid w:val="0067309C"/>
    <w:rsid w:val="006732BA"/>
    <w:rsid w:val="00673F4D"/>
    <w:rsid w:val="00674413"/>
    <w:rsid w:val="006748CD"/>
    <w:rsid w:val="0067572A"/>
    <w:rsid w:val="00675A82"/>
    <w:rsid w:val="006779AE"/>
    <w:rsid w:val="00677E80"/>
    <w:rsid w:val="00677EF6"/>
    <w:rsid w:val="006800D3"/>
    <w:rsid w:val="00680A32"/>
    <w:rsid w:val="00680F04"/>
    <w:rsid w:val="0068200A"/>
    <w:rsid w:val="00682C74"/>
    <w:rsid w:val="00683324"/>
    <w:rsid w:val="00684406"/>
    <w:rsid w:val="00685B37"/>
    <w:rsid w:val="00686294"/>
    <w:rsid w:val="00686462"/>
    <w:rsid w:val="00686BF4"/>
    <w:rsid w:val="00686E1C"/>
    <w:rsid w:val="00687496"/>
    <w:rsid w:val="006876ED"/>
    <w:rsid w:val="00687949"/>
    <w:rsid w:val="006879A8"/>
    <w:rsid w:val="00687D53"/>
    <w:rsid w:val="006900F5"/>
    <w:rsid w:val="00690AFA"/>
    <w:rsid w:val="00690BE4"/>
    <w:rsid w:val="00690EA3"/>
    <w:rsid w:val="00691661"/>
    <w:rsid w:val="00692038"/>
    <w:rsid w:val="006920BB"/>
    <w:rsid w:val="00692190"/>
    <w:rsid w:val="006924CE"/>
    <w:rsid w:val="0069270E"/>
    <w:rsid w:val="00692ABF"/>
    <w:rsid w:val="006938AD"/>
    <w:rsid w:val="00693CF3"/>
    <w:rsid w:val="00694956"/>
    <w:rsid w:val="006952C8"/>
    <w:rsid w:val="00695650"/>
    <w:rsid w:val="00696446"/>
    <w:rsid w:val="006974B4"/>
    <w:rsid w:val="00697FA2"/>
    <w:rsid w:val="006A0611"/>
    <w:rsid w:val="006A0A0E"/>
    <w:rsid w:val="006A12D7"/>
    <w:rsid w:val="006A1512"/>
    <w:rsid w:val="006A163B"/>
    <w:rsid w:val="006A1718"/>
    <w:rsid w:val="006A1A6A"/>
    <w:rsid w:val="006A3377"/>
    <w:rsid w:val="006A3AA0"/>
    <w:rsid w:val="006A42F8"/>
    <w:rsid w:val="006A465A"/>
    <w:rsid w:val="006A5152"/>
    <w:rsid w:val="006A550C"/>
    <w:rsid w:val="006A5683"/>
    <w:rsid w:val="006A5BC1"/>
    <w:rsid w:val="006A6374"/>
    <w:rsid w:val="006A6BCB"/>
    <w:rsid w:val="006A6CCB"/>
    <w:rsid w:val="006A7A9F"/>
    <w:rsid w:val="006B090A"/>
    <w:rsid w:val="006B1B6B"/>
    <w:rsid w:val="006B23D0"/>
    <w:rsid w:val="006B3084"/>
    <w:rsid w:val="006B371C"/>
    <w:rsid w:val="006B4402"/>
    <w:rsid w:val="006B49A5"/>
    <w:rsid w:val="006B50A5"/>
    <w:rsid w:val="006B6471"/>
    <w:rsid w:val="006C0143"/>
    <w:rsid w:val="006C092F"/>
    <w:rsid w:val="006C17B7"/>
    <w:rsid w:val="006C1B85"/>
    <w:rsid w:val="006C2932"/>
    <w:rsid w:val="006C2D42"/>
    <w:rsid w:val="006C3D4A"/>
    <w:rsid w:val="006C43DC"/>
    <w:rsid w:val="006C47F1"/>
    <w:rsid w:val="006C4E20"/>
    <w:rsid w:val="006C5351"/>
    <w:rsid w:val="006C5792"/>
    <w:rsid w:val="006C6D1D"/>
    <w:rsid w:val="006C6F2E"/>
    <w:rsid w:val="006C7A48"/>
    <w:rsid w:val="006D0C9F"/>
    <w:rsid w:val="006D0D41"/>
    <w:rsid w:val="006D1727"/>
    <w:rsid w:val="006D1A0B"/>
    <w:rsid w:val="006D1BD2"/>
    <w:rsid w:val="006D1D5B"/>
    <w:rsid w:val="006D3F64"/>
    <w:rsid w:val="006D42E6"/>
    <w:rsid w:val="006D46B6"/>
    <w:rsid w:val="006D524D"/>
    <w:rsid w:val="006D5319"/>
    <w:rsid w:val="006D691C"/>
    <w:rsid w:val="006D747E"/>
    <w:rsid w:val="006D762D"/>
    <w:rsid w:val="006D7A16"/>
    <w:rsid w:val="006D7C1A"/>
    <w:rsid w:val="006E0B05"/>
    <w:rsid w:val="006E16B9"/>
    <w:rsid w:val="006E16F9"/>
    <w:rsid w:val="006E187F"/>
    <w:rsid w:val="006E20B0"/>
    <w:rsid w:val="006E25ED"/>
    <w:rsid w:val="006E3667"/>
    <w:rsid w:val="006E48CC"/>
    <w:rsid w:val="006E559F"/>
    <w:rsid w:val="006E6035"/>
    <w:rsid w:val="006E6120"/>
    <w:rsid w:val="006E6592"/>
    <w:rsid w:val="006E74F3"/>
    <w:rsid w:val="006F0422"/>
    <w:rsid w:val="006F1D76"/>
    <w:rsid w:val="006F31DA"/>
    <w:rsid w:val="006F3C66"/>
    <w:rsid w:val="006F48F5"/>
    <w:rsid w:val="006F495B"/>
    <w:rsid w:val="006F4AE6"/>
    <w:rsid w:val="006F558D"/>
    <w:rsid w:val="006F56EA"/>
    <w:rsid w:val="006F5A7C"/>
    <w:rsid w:val="006F6B44"/>
    <w:rsid w:val="006F6BA1"/>
    <w:rsid w:val="006F714A"/>
    <w:rsid w:val="006F7163"/>
    <w:rsid w:val="006F7630"/>
    <w:rsid w:val="006F7DD3"/>
    <w:rsid w:val="006F7EB1"/>
    <w:rsid w:val="00700096"/>
    <w:rsid w:val="007004D4"/>
    <w:rsid w:val="00700E0F"/>
    <w:rsid w:val="0070165B"/>
    <w:rsid w:val="007023E8"/>
    <w:rsid w:val="00703935"/>
    <w:rsid w:val="00704127"/>
    <w:rsid w:val="0070477D"/>
    <w:rsid w:val="007053A8"/>
    <w:rsid w:val="007057F2"/>
    <w:rsid w:val="00707459"/>
    <w:rsid w:val="00710B21"/>
    <w:rsid w:val="0071197A"/>
    <w:rsid w:val="0071360E"/>
    <w:rsid w:val="00714C16"/>
    <w:rsid w:val="00714FD4"/>
    <w:rsid w:val="00715C0D"/>
    <w:rsid w:val="007169F3"/>
    <w:rsid w:val="00716F1C"/>
    <w:rsid w:val="007200CB"/>
    <w:rsid w:val="0072027E"/>
    <w:rsid w:val="00720860"/>
    <w:rsid w:val="00720FB5"/>
    <w:rsid w:val="00721FCD"/>
    <w:rsid w:val="007227DB"/>
    <w:rsid w:val="00723946"/>
    <w:rsid w:val="007239E1"/>
    <w:rsid w:val="00723BBF"/>
    <w:rsid w:val="007252DB"/>
    <w:rsid w:val="0072599D"/>
    <w:rsid w:val="00725AF9"/>
    <w:rsid w:val="0072624F"/>
    <w:rsid w:val="00726C04"/>
    <w:rsid w:val="0072734A"/>
    <w:rsid w:val="007304F0"/>
    <w:rsid w:val="00731AD0"/>
    <w:rsid w:val="0073210F"/>
    <w:rsid w:val="00733090"/>
    <w:rsid w:val="00733436"/>
    <w:rsid w:val="007342F9"/>
    <w:rsid w:val="007346D7"/>
    <w:rsid w:val="00734C2F"/>
    <w:rsid w:val="00735443"/>
    <w:rsid w:val="007363C3"/>
    <w:rsid w:val="00737656"/>
    <w:rsid w:val="007401EF"/>
    <w:rsid w:val="00740B77"/>
    <w:rsid w:val="00741F88"/>
    <w:rsid w:val="007424F0"/>
    <w:rsid w:val="00744A16"/>
    <w:rsid w:val="00744C9B"/>
    <w:rsid w:val="007457B7"/>
    <w:rsid w:val="007466E5"/>
    <w:rsid w:val="00746919"/>
    <w:rsid w:val="00746FE2"/>
    <w:rsid w:val="00747273"/>
    <w:rsid w:val="007500E0"/>
    <w:rsid w:val="00750C1F"/>
    <w:rsid w:val="007520EF"/>
    <w:rsid w:val="00753426"/>
    <w:rsid w:val="00753DA2"/>
    <w:rsid w:val="007541BA"/>
    <w:rsid w:val="0075428B"/>
    <w:rsid w:val="00754CAA"/>
    <w:rsid w:val="00755810"/>
    <w:rsid w:val="00755AF2"/>
    <w:rsid w:val="00756248"/>
    <w:rsid w:val="00756558"/>
    <w:rsid w:val="00757015"/>
    <w:rsid w:val="00757413"/>
    <w:rsid w:val="00757F2D"/>
    <w:rsid w:val="00760313"/>
    <w:rsid w:val="00760604"/>
    <w:rsid w:val="00760BFB"/>
    <w:rsid w:val="00761396"/>
    <w:rsid w:val="0076147E"/>
    <w:rsid w:val="00761AC6"/>
    <w:rsid w:val="00763B59"/>
    <w:rsid w:val="00765B0B"/>
    <w:rsid w:val="00765B68"/>
    <w:rsid w:val="0076618B"/>
    <w:rsid w:val="0077057A"/>
    <w:rsid w:val="00772B27"/>
    <w:rsid w:val="00772DB3"/>
    <w:rsid w:val="0077348F"/>
    <w:rsid w:val="007735C3"/>
    <w:rsid w:val="00776113"/>
    <w:rsid w:val="00776898"/>
    <w:rsid w:val="00777330"/>
    <w:rsid w:val="007774F1"/>
    <w:rsid w:val="007776E7"/>
    <w:rsid w:val="00777E15"/>
    <w:rsid w:val="00780210"/>
    <w:rsid w:val="00780924"/>
    <w:rsid w:val="0078159C"/>
    <w:rsid w:val="00781870"/>
    <w:rsid w:val="00781B21"/>
    <w:rsid w:val="00781B65"/>
    <w:rsid w:val="0078212F"/>
    <w:rsid w:val="00782646"/>
    <w:rsid w:val="00783AFF"/>
    <w:rsid w:val="00783DF8"/>
    <w:rsid w:val="00784A86"/>
    <w:rsid w:val="00784FCF"/>
    <w:rsid w:val="007858BD"/>
    <w:rsid w:val="00785B4D"/>
    <w:rsid w:val="00785E44"/>
    <w:rsid w:val="0078673C"/>
    <w:rsid w:val="00786B5F"/>
    <w:rsid w:val="00790429"/>
    <w:rsid w:val="007908C2"/>
    <w:rsid w:val="00792092"/>
    <w:rsid w:val="0079272C"/>
    <w:rsid w:val="00792DDC"/>
    <w:rsid w:val="00794672"/>
    <w:rsid w:val="00794FBB"/>
    <w:rsid w:val="00795168"/>
    <w:rsid w:val="00795266"/>
    <w:rsid w:val="007956A5"/>
    <w:rsid w:val="0079675E"/>
    <w:rsid w:val="0079678A"/>
    <w:rsid w:val="00797342"/>
    <w:rsid w:val="007A043E"/>
    <w:rsid w:val="007A0C9B"/>
    <w:rsid w:val="007A0D7E"/>
    <w:rsid w:val="007A1AA4"/>
    <w:rsid w:val="007A1ACB"/>
    <w:rsid w:val="007A1C46"/>
    <w:rsid w:val="007A2053"/>
    <w:rsid w:val="007A45CF"/>
    <w:rsid w:val="007A4696"/>
    <w:rsid w:val="007A5CD8"/>
    <w:rsid w:val="007A6086"/>
    <w:rsid w:val="007A6B5D"/>
    <w:rsid w:val="007A773F"/>
    <w:rsid w:val="007A7BD9"/>
    <w:rsid w:val="007A7ED5"/>
    <w:rsid w:val="007B0187"/>
    <w:rsid w:val="007B0B63"/>
    <w:rsid w:val="007B1DED"/>
    <w:rsid w:val="007B27A6"/>
    <w:rsid w:val="007B28B1"/>
    <w:rsid w:val="007B3426"/>
    <w:rsid w:val="007B392D"/>
    <w:rsid w:val="007B403B"/>
    <w:rsid w:val="007B6A7F"/>
    <w:rsid w:val="007B7FA7"/>
    <w:rsid w:val="007C0BB8"/>
    <w:rsid w:val="007C16C9"/>
    <w:rsid w:val="007C24FA"/>
    <w:rsid w:val="007C3101"/>
    <w:rsid w:val="007C49BA"/>
    <w:rsid w:val="007C4AC9"/>
    <w:rsid w:val="007C4D29"/>
    <w:rsid w:val="007C4F69"/>
    <w:rsid w:val="007C5EA7"/>
    <w:rsid w:val="007C6173"/>
    <w:rsid w:val="007C646C"/>
    <w:rsid w:val="007C68A6"/>
    <w:rsid w:val="007C72F4"/>
    <w:rsid w:val="007D1142"/>
    <w:rsid w:val="007D1857"/>
    <w:rsid w:val="007D2238"/>
    <w:rsid w:val="007D28CE"/>
    <w:rsid w:val="007D350D"/>
    <w:rsid w:val="007D3827"/>
    <w:rsid w:val="007D3DA6"/>
    <w:rsid w:val="007D3DBF"/>
    <w:rsid w:val="007D41C9"/>
    <w:rsid w:val="007D4467"/>
    <w:rsid w:val="007D47A6"/>
    <w:rsid w:val="007D4DD9"/>
    <w:rsid w:val="007D573E"/>
    <w:rsid w:val="007D58EF"/>
    <w:rsid w:val="007D7A60"/>
    <w:rsid w:val="007D7D11"/>
    <w:rsid w:val="007E0492"/>
    <w:rsid w:val="007E04C2"/>
    <w:rsid w:val="007E057D"/>
    <w:rsid w:val="007E0C2C"/>
    <w:rsid w:val="007E0E66"/>
    <w:rsid w:val="007E1319"/>
    <w:rsid w:val="007E1997"/>
    <w:rsid w:val="007E1F0B"/>
    <w:rsid w:val="007E3357"/>
    <w:rsid w:val="007E3A75"/>
    <w:rsid w:val="007E40CD"/>
    <w:rsid w:val="007E49F1"/>
    <w:rsid w:val="007E5A68"/>
    <w:rsid w:val="007E655C"/>
    <w:rsid w:val="007F114C"/>
    <w:rsid w:val="007F123B"/>
    <w:rsid w:val="007F2F67"/>
    <w:rsid w:val="007F3533"/>
    <w:rsid w:val="007F3FDA"/>
    <w:rsid w:val="007F4F53"/>
    <w:rsid w:val="007F5E3B"/>
    <w:rsid w:val="007F7F1E"/>
    <w:rsid w:val="00800C2D"/>
    <w:rsid w:val="00800D52"/>
    <w:rsid w:val="0080175A"/>
    <w:rsid w:val="00802486"/>
    <w:rsid w:val="00802BC8"/>
    <w:rsid w:val="00802DB8"/>
    <w:rsid w:val="008030BC"/>
    <w:rsid w:val="0080376B"/>
    <w:rsid w:val="00803A85"/>
    <w:rsid w:val="0080413E"/>
    <w:rsid w:val="00805415"/>
    <w:rsid w:val="008054FF"/>
    <w:rsid w:val="00805A5F"/>
    <w:rsid w:val="00805CCF"/>
    <w:rsid w:val="00805FAA"/>
    <w:rsid w:val="008075CB"/>
    <w:rsid w:val="008077D0"/>
    <w:rsid w:val="008106DA"/>
    <w:rsid w:val="00810C39"/>
    <w:rsid w:val="00811683"/>
    <w:rsid w:val="008121B2"/>
    <w:rsid w:val="00812270"/>
    <w:rsid w:val="00812CD5"/>
    <w:rsid w:val="00813BF1"/>
    <w:rsid w:val="00813C5E"/>
    <w:rsid w:val="00813F15"/>
    <w:rsid w:val="00813F2D"/>
    <w:rsid w:val="00814886"/>
    <w:rsid w:val="00814BEE"/>
    <w:rsid w:val="00814ED0"/>
    <w:rsid w:val="008210C3"/>
    <w:rsid w:val="00821860"/>
    <w:rsid w:val="00822160"/>
    <w:rsid w:val="00822BC6"/>
    <w:rsid w:val="00823612"/>
    <w:rsid w:val="00823BF5"/>
    <w:rsid w:val="00825470"/>
    <w:rsid w:val="00825A70"/>
    <w:rsid w:val="00825B40"/>
    <w:rsid w:val="00826E9C"/>
    <w:rsid w:val="00827F28"/>
    <w:rsid w:val="00830D8D"/>
    <w:rsid w:val="00830F17"/>
    <w:rsid w:val="00831A16"/>
    <w:rsid w:val="00831BF1"/>
    <w:rsid w:val="00832CC9"/>
    <w:rsid w:val="00832FA1"/>
    <w:rsid w:val="00833AC8"/>
    <w:rsid w:val="00834096"/>
    <w:rsid w:val="0083461C"/>
    <w:rsid w:val="00834FDC"/>
    <w:rsid w:val="00835109"/>
    <w:rsid w:val="0083530B"/>
    <w:rsid w:val="0083563F"/>
    <w:rsid w:val="008361EE"/>
    <w:rsid w:val="008367DC"/>
    <w:rsid w:val="00837278"/>
    <w:rsid w:val="00837426"/>
    <w:rsid w:val="008412A9"/>
    <w:rsid w:val="0084160D"/>
    <w:rsid w:val="008421A3"/>
    <w:rsid w:val="00842CB4"/>
    <w:rsid w:val="00842F53"/>
    <w:rsid w:val="00843232"/>
    <w:rsid w:val="008436A2"/>
    <w:rsid w:val="008439DA"/>
    <w:rsid w:val="00844866"/>
    <w:rsid w:val="00844BF4"/>
    <w:rsid w:val="00845873"/>
    <w:rsid w:val="008461E0"/>
    <w:rsid w:val="00846BA8"/>
    <w:rsid w:val="00846DEE"/>
    <w:rsid w:val="0084701E"/>
    <w:rsid w:val="0084739D"/>
    <w:rsid w:val="00847578"/>
    <w:rsid w:val="00847AAC"/>
    <w:rsid w:val="00847B20"/>
    <w:rsid w:val="00851342"/>
    <w:rsid w:val="00851CA4"/>
    <w:rsid w:val="00851E19"/>
    <w:rsid w:val="00851E59"/>
    <w:rsid w:val="00851E87"/>
    <w:rsid w:val="008520FC"/>
    <w:rsid w:val="00852699"/>
    <w:rsid w:val="00852A7B"/>
    <w:rsid w:val="00852B90"/>
    <w:rsid w:val="00853B27"/>
    <w:rsid w:val="008542D0"/>
    <w:rsid w:val="00854D3D"/>
    <w:rsid w:val="008559B0"/>
    <w:rsid w:val="008566B1"/>
    <w:rsid w:val="008575F7"/>
    <w:rsid w:val="00857893"/>
    <w:rsid w:val="00860365"/>
    <w:rsid w:val="00861A5C"/>
    <w:rsid w:val="00862C35"/>
    <w:rsid w:val="00862ED0"/>
    <w:rsid w:val="0086486E"/>
    <w:rsid w:val="00865E8E"/>
    <w:rsid w:val="00866CA8"/>
    <w:rsid w:val="008678D8"/>
    <w:rsid w:val="008702AD"/>
    <w:rsid w:val="008705A9"/>
    <w:rsid w:val="00870ABD"/>
    <w:rsid w:val="00872D3E"/>
    <w:rsid w:val="00873BFA"/>
    <w:rsid w:val="00873C8C"/>
    <w:rsid w:val="008755AE"/>
    <w:rsid w:val="00875CAA"/>
    <w:rsid w:val="00876CEE"/>
    <w:rsid w:val="0087730C"/>
    <w:rsid w:val="00877B32"/>
    <w:rsid w:val="00877C4E"/>
    <w:rsid w:val="00880792"/>
    <w:rsid w:val="0088079C"/>
    <w:rsid w:val="00880CF4"/>
    <w:rsid w:val="00880CFA"/>
    <w:rsid w:val="00881B36"/>
    <w:rsid w:val="00881D62"/>
    <w:rsid w:val="008820F1"/>
    <w:rsid w:val="00882784"/>
    <w:rsid w:val="0088315D"/>
    <w:rsid w:val="0088441C"/>
    <w:rsid w:val="008846B1"/>
    <w:rsid w:val="00884FD0"/>
    <w:rsid w:val="00885EFB"/>
    <w:rsid w:val="0088697E"/>
    <w:rsid w:val="00886A4C"/>
    <w:rsid w:val="00887127"/>
    <w:rsid w:val="008875D4"/>
    <w:rsid w:val="00887BD3"/>
    <w:rsid w:val="00890717"/>
    <w:rsid w:val="00891043"/>
    <w:rsid w:val="0089212A"/>
    <w:rsid w:val="0089238A"/>
    <w:rsid w:val="00893520"/>
    <w:rsid w:val="00893728"/>
    <w:rsid w:val="00893932"/>
    <w:rsid w:val="00893E30"/>
    <w:rsid w:val="00897019"/>
    <w:rsid w:val="00897B1F"/>
    <w:rsid w:val="00897E35"/>
    <w:rsid w:val="008A046C"/>
    <w:rsid w:val="008A0706"/>
    <w:rsid w:val="008A1457"/>
    <w:rsid w:val="008A1EC2"/>
    <w:rsid w:val="008A34B2"/>
    <w:rsid w:val="008A360B"/>
    <w:rsid w:val="008A3E0B"/>
    <w:rsid w:val="008A522D"/>
    <w:rsid w:val="008A7137"/>
    <w:rsid w:val="008A7FC1"/>
    <w:rsid w:val="008B0902"/>
    <w:rsid w:val="008B0E06"/>
    <w:rsid w:val="008B2128"/>
    <w:rsid w:val="008B225B"/>
    <w:rsid w:val="008B3923"/>
    <w:rsid w:val="008B3970"/>
    <w:rsid w:val="008B3F86"/>
    <w:rsid w:val="008B439B"/>
    <w:rsid w:val="008B44E3"/>
    <w:rsid w:val="008B4EAD"/>
    <w:rsid w:val="008B5254"/>
    <w:rsid w:val="008B5D7F"/>
    <w:rsid w:val="008B5D91"/>
    <w:rsid w:val="008B5F1F"/>
    <w:rsid w:val="008C0409"/>
    <w:rsid w:val="008C2905"/>
    <w:rsid w:val="008C2EAE"/>
    <w:rsid w:val="008C39BA"/>
    <w:rsid w:val="008C47D0"/>
    <w:rsid w:val="008C5201"/>
    <w:rsid w:val="008C5959"/>
    <w:rsid w:val="008C67A7"/>
    <w:rsid w:val="008C6A2C"/>
    <w:rsid w:val="008C7006"/>
    <w:rsid w:val="008C79EE"/>
    <w:rsid w:val="008C7D03"/>
    <w:rsid w:val="008D0C83"/>
    <w:rsid w:val="008D0DF5"/>
    <w:rsid w:val="008D0E4D"/>
    <w:rsid w:val="008D0EA7"/>
    <w:rsid w:val="008D174D"/>
    <w:rsid w:val="008D17F9"/>
    <w:rsid w:val="008D1903"/>
    <w:rsid w:val="008D191C"/>
    <w:rsid w:val="008D2F28"/>
    <w:rsid w:val="008D378C"/>
    <w:rsid w:val="008D3F9F"/>
    <w:rsid w:val="008D4306"/>
    <w:rsid w:val="008D4B55"/>
    <w:rsid w:val="008D593E"/>
    <w:rsid w:val="008D6387"/>
    <w:rsid w:val="008D6398"/>
    <w:rsid w:val="008E142C"/>
    <w:rsid w:val="008E1EB7"/>
    <w:rsid w:val="008E2C71"/>
    <w:rsid w:val="008E2CEC"/>
    <w:rsid w:val="008E2F91"/>
    <w:rsid w:val="008E30B6"/>
    <w:rsid w:val="008E3618"/>
    <w:rsid w:val="008E37A1"/>
    <w:rsid w:val="008E38CD"/>
    <w:rsid w:val="008E3F38"/>
    <w:rsid w:val="008E3F9C"/>
    <w:rsid w:val="008E485E"/>
    <w:rsid w:val="008E68C3"/>
    <w:rsid w:val="008E73A3"/>
    <w:rsid w:val="008E73C7"/>
    <w:rsid w:val="008F21F1"/>
    <w:rsid w:val="008F2940"/>
    <w:rsid w:val="008F2A15"/>
    <w:rsid w:val="008F608F"/>
    <w:rsid w:val="008F61C4"/>
    <w:rsid w:val="008F6B10"/>
    <w:rsid w:val="008F7837"/>
    <w:rsid w:val="009003BF"/>
    <w:rsid w:val="009013E7"/>
    <w:rsid w:val="0090157A"/>
    <w:rsid w:val="0090159B"/>
    <w:rsid w:val="00901F9C"/>
    <w:rsid w:val="0090215C"/>
    <w:rsid w:val="0090219E"/>
    <w:rsid w:val="009022D6"/>
    <w:rsid w:val="00902733"/>
    <w:rsid w:val="0090284E"/>
    <w:rsid w:val="009028A3"/>
    <w:rsid w:val="00902DE4"/>
    <w:rsid w:val="00903981"/>
    <w:rsid w:val="0090429D"/>
    <w:rsid w:val="00904990"/>
    <w:rsid w:val="0090530C"/>
    <w:rsid w:val="00905D22"/>
    <w:rsid w:val="00906099"/>
    <w:rsid w:val="009062A0"/>
    <w:rsid w:val="009065CA"/>
    <w:rsid w:val="00906785"/>
    <w:rsid w:val="00906E0F"/>
    <w:rsid w:val="0090788F"/>
    <w:rsid w:val="00907ADB"/>
    <w:rsid w:val="00910751"/>
    <w:rsid w:val="00910D14"/>
    <w:rsid w:val="00911687"/>
    <w:rsid w:val="00913820"/>
    <w:rsid w:val="0091386A"/>
    <w:rsid w:val="00913C49"/>
    <w:rsid w:val="00914A6C"/>
    <w:rsid w:val="00915399"/>
    <w:rsid w:val="00915B69"/>
    <w:rsid w:val="00915DBB"/>
    <w:rsid w:val="00915DD0"/>
    <w:rsid w:val="00917CF0"/>
    <w:rsid w:val="0092086E"/>
    <w:rsid w:val="00920B5B"/>
    <w:rsid w:val="00920B71"/>
    <w:rsid w:val="009223E5"/>
    <w:rsid w:val="009234CD"/>
    <w:rsid w:val="00923563"/>
    <w:rsid w:val="00923AC8"/>
    <w:rsid w:val="0092586F"/>
    <w:rsid w:val="00925E3A"/>
    <w:rsid w:val="009266F1"/>
    <w:rsid w:val="00926999"/>
    <w:rsid w:val="00926A9D"/>
    <w:rsid w:val="00927232"/>
    <w:rsid w:val="00927C21"/>
    <w:rsid w:val="00930056"/>
    <w:rsid w:val="0093031C"/>
    <w:rsid w:val="0093052B"/>
    <w:rsid w:val="00930966"/>
    <w:rsid w:val="0093193A"/>
    <w:rsid w:val="00932898"/>
    <w:rsid w:val="00932B01"/>
    <w:rsid w:val="009338EB"/>
    <w:rsid w:val="00934486"/>
    <w:rsid w:val="00934CBF"/>
    <w:rsid w:val="00934EFD"/>
    <w:rsid w:val="00934FA0"/>
    <w:rsid w:val="009352F2"/>
    <w:rsid w:val="009361A0"/>
    <w:rsid w:val="00936466"/>
    <w:rsid w:val="009367D6"/>
    <w:rsid w:val="00936E4F"/>
    <w:rsid w:val="00937A8C"/>
    <w:rsid w:val="00941040"/>
    <w:rsid w:val="009410AC"/>
    <w:rsid w:val="00941C4B"/>
    <w:rsid w:val="00941D8C"/>
    <w:rsid w:val="00941E19"/>
    <w:rsid w:val="00942D5F"/>
    <w:rsid w:val="00943E51"/>
    <w:rsid w:val="0094490D"/>
    <w:rsid w:val="00944B58"/>
    <w:rsid w:val="00945021"/>
    <w:rsid w:val="00945074"/>
    <w:rsid w:val="009452BA"/>
    <w:rsid w:val="009454BA"/>
    <w:rsid w:val="00945571"/>
    <w:rsid w:val="00945FB9"/>
    <w:rsid w:val="00946D1C"/>
    <w:rsid w:val="009473B4"/>
    <w:rsid w:val="009500EC"/>
    <w:rsid w:val="009503D6"/>
    <w:rsid w:val="00950641"/>
    <w:rsid w:val="009513C9"/>
    <w:rsid w:val="00952260"/>
    <w:rsid w:val="0095228A"/>
    <w:rsid w:val="0095252B"/>
    <w:rsid w:val="00952B48"/>
    <w:rsid w:val="00952F9A"/>
    <w:rsid w:val="0095479B"/>
    <w:rsid w:val="00955906"/>
    <w:rsid w:val="0095622E"/>
    <w:rsid w:val="0095669E"/>
    <w:rsid w:val="00957370"/>
    <w:rsid w:val="00957E34"/>
    <w:rsid w:val="00957FB4"/>
    <w:rsid w:val="00960556"/>
    <w:rsid w:val="00961B65"/>
    <w:rsid w:val="0096211B"/>
    <w:rsid w:val="00963A6F"/>
    <w:rsid w:val="0096411B"/>
    <w:rsid w:val="009642F5"/>
    <w:rsid w:val="00964328"/>
    <w:rsid w:val="0096453A"/>
    <w:rsid w:val="00964F4B"/>
    <w:rsid w:val="0096555F"/>
    <w:rsid w:val="009659AB"/>
    <w:rsid w:val="00965B73"/>
    <w:rsid w:val="009660AB"/>
    <w:rsid w:val="0096696F"/>
    <w:rsid w:val="00966A58"/>
    <w:rsid w:val="00967B93"/>
    <w:rsid w:val="00967D6D"/>
    <w:rsid w:val="009710F7"/>
    <w:rsid w:val="009719CF"/>
    <w:rsid w:val="009723B9"/>
    <w:rsid w:val="009730D5"/>
    <w:rsid w:val="009743EF"/>
    <w:rsid w:val="00974666"/>
    <w:rsid w:val="009749C2"/>
    <w:rsid w:val="0097549C"/>
    <w:rsid w:val="00976568"/>
    <w:rsid w:val="00976DA9"/>
    <w:rsid w:val="00980243"/>
    <w:rsid w:val="00981407"/>
    <w:rsid w:val="00981992"/>
    <w:rsid w:val="009821BA"/>
    <w:rsid w:val="009825E7"/>
    <w:rsid w:val="00982B8D"/>
    <w:rsid w:val="009836EC"/>
    <w:rsid w:val="00983DA8"/>
    <w:rsid w:val="00984B27"/>
    <w:rsid w:val="009851D4"/>
    <w:rsid w:val="009857FB"/>
    <w:rsid w:val="00985F48"/>
    <w:rsid w:val="00986B4F"/>
    <w:rsid w:val="00987841"/>
    <w:rsid w:val="00987D46"/>
    <w:rsid w:val="00991216"/>
    <w:rsid w:val="0099160D"/>
    <w:rsid w:val="009916C0"/>
    <w:rsid w:val="00991A28"/>
    <w:rsid w:val="009920B6"/>
    <w:rsid w:val="00992D60"/>
    <w:rsid w:val="00994A84"/>
    <w:rsid w:val="00995553"/>
    <w:rsid w:val="009956D4"/>
    <w:rsid w:val="00995F52"/>
    <w:rsid w:val="0099691B"/>
    <w:rsid w:val="00996F14"/>
    <w:rsid w:val="00997267"/>
    <w:rsid w:val="00997756"/>
    <w:rsid w:val="00997F55"/>
    <w:rsid w:val="009A085E"/>
    <w:rsid w:val="009A1CF7"/>
    <w:rsid w:val="009A288C"/>
    <w:rsid w:val="009A40C0"/>
    <w:rsid w:val="009A425A"/>
    <w:rsid w:val="009A507D"/>
    <w:rsid w:val="009A66A8"/>
    <w:rsid w:val="009A6ADE"/>
    <w:rsid w:val="009B18C2"/>
    <w:rsid w:val="009B1F16"/>
    <w:rsid w:val="009B2341"/>
    <w:rsid w:val="009B2727"/>
    <w:rsid w:val="009B2AFD"/>
    <w:rsid w:val="009B2DBD"/>
    <w:rsid w:val="009B75B7"/>
    <w:rsid w:val="009B79D2"/>
    <w:rsid w:val="009B7E74"/>
    <w:rsid w:val="009C14B1"/>
    <w:rsid w:val="009C16AE"/>
    <w:rsid w:val="009C1D74"/>
    <w:rsid w:val="009C2932"/>
    <w:rsid w:val="009C2ADA"/>
    <w:rsid w:val="009C2B2D"/>
    <w:rsid w:val="009C2C45"/>
    <w:rsid w:val="009C3B1D"/>
    <w:rsid w:val="009C66FC"/>
    <w:rsid w:val="009C74C9"/>
    <w:rsid w:val="009C78D8"/>
    <w:rsid w:val="009D0044"/>
    <w:rsid w:val="009D2934"/>
    <w:rsid w:val="009D2A45"/>
    <w:rsid w:val="009D2F4D"/>
    <w:rsid w:val="009D391A"/>
    <w:rsid w:val="009D519C"/>
    <w:rsid w:val="009D5927"/>
    <w:rsid w:val="009D5FB9"/>
    <w:rsid w:val="009D75FA"/>
    <w:rsid w:val="009D7F2C"/>
    <w:rsid w:val="009D7F3A"/>
    <w:rsid w:val="009E0D97"/>
    <w:rsid w:val="009E19C8"/>
    <w:rsid w:val="009E1FE7"/>
    <w:rsid w:val="009E2058"/>
    <w:rsid w:val="009E2D9A"/>
    <w:rsid w:val="009E2E2E"/>
    <w:rsid w:val="009E3172"/>
    <w:rsid w:val="009E399E"/>
    <w:rsid w:val="009E40FA"/>
    <w:rsid w:val="009E4B38"/>
    <w:rsid w:val="009E4FEF"/>
    <w:rsid w:val="009E54C6"/>
    <w:rsid w:val="009E5676"/>
    <w:rsid w:val="009E5E7C"/>
    <w:rsid w:val="009E709F"/>
    <w:rsid w:val="009E75E7"/>
    <w:rsid w:val="009E76EA"/>
    <w:rsid w:val="009E78CD"/>
    <w:rsid w:val="009E7BA4"/>
    <w:rsid w:val="009F0B05"/>
    <w:rsid w:val="009F0C1E"/>
    <w:rsid w:val="009F1255"/>
    <w:rsid w:val="009F21A5"/>
    <w:rsid w:val="009F266A"/>
    <w:rsid w:val="009F30A6"/>
    <w:rsid w:val="009F3D50"/>
    <w:rsid w:val="009F4992"/>
    <w:rsid w:val="009F567E"/>
    <w:rsid w:val="009F579B"/>
    <w:rsid w:val="009F619C"/>
    <w:rsid w:val="009F62FA"/>
    <w:rsid w:val="009F63ED"/>
    <w:rsid w:val="009F66EE"/>
    <w:rsid w:val="009F74B6"/>
    <w:rsid w:val="00A00247"/>
    <w:rsid w:val="00A00CF5"/>
    <w:rsid w:val="00A02493"/>
    <w:rsid w:val="00A028F3"/>
    <w:rsid w:val="00A02DE2"/>
    <w:rsid w:val="00A02EDC"/>
    <w:rsid w:val="00A03745"/>
    <w:rsid w:val="00A059ED"/>
    <w:rsid w:val="00A061E8"/>
    <w:rsid w:val="00A06C75"/>
    <w:rsid w:val="00A06EE0"/>
    <w:rsid w:val="00A07545"/>
    <w:rsid w:val="00A077CB"/>
    <w:rsid w:val="00A107D0"/>
    <w:rsid w:val="00A111FD"/>
    <w:rsid w:val="00A1180B"/>
    <w:rsid w:val="00A119FA"/>
    <w:rsid w:val="00A11D81"/>
    <w:rsid w:val="00A1204F"/>
    <w:rsid w:val="00A12DEF"/>
    <w:rsid w:val="00A1434A"/>
    <w:rsid w:val="00A143AB"/>
    <w:rsid w:val="00A14E7C"/>
    <w:rsid w:val="00A15678"/>
    <w:rsid w:val="00A15C37"/>
    <w:rsid w:val="00A167A3"/>
    <w:rsid w:val="00A214DB"/>
    <w:rsid w:val="00A21DCA"/>
    <w:rsid w:val="00A2218B"/>
    <w:rsid w:val="00A221B9"/>
    <w:rsid w:val="00A2254F"/>
    <w:rsid w:val="00A2373D"/>
    <w:rsid w:val="00A24D44"/>
    <w:rsid w:val="00A254B2"/>
    <w:rsid w:val="00A264A3"/>
    <w:rsid w:val="00A272C7"/>
    <w:rsid w:val="00A2741D"/>
    <w:rsid w:val="00A27D87"/>
    <w:rsid w:val="00A30399"/>
    <w:rsid w:val="00A31182"/>
    <w:rsid w:val="00A31358"/>
    <w:rsid w:val="00A31634"/>
    <w:rsid w:val="00A32E3C"/>
    <w:rsid w:val="00A32ED3"/>
    <w:rsid w:val="00A363E7"/>
    <w:rsid w:val="00A3642E"/>
    <w:rsid w:val="00A3660B"/>
    <w:rsid w:val="00A37C58"/>
    <w:rsid w:val="00A37D6E"/>
    <w:rsid w:val="00A40301"/>
    <w:rsid w:val="00A40C44"/>
    <w:rsid w:val="00A42849"/>
    <w:rsid w:val="00A42A27"/>
    <w:rsid w:val="00A42AE0"/>
    <w:rsid w:val="00A44E1A"/>
    <w:rsid w:val="00A44EF5"/>
    <w:rsid w:val="00A450F5"/>
    <w:rsid w:val="00A4551C"/>
    <w:rsid w:val="00A46116"/>
    <w:rsid w:val="00A478E0"/>
    <w:rsid w:val="00A532AB"/>
    <w:rsid w:val="00A535BC"/>
    <w:rsid w:val="00A5442E"/>
    <w:rsid w:val="00A54E65"/>
    <w:rsid w:val="00A55512"/>
    <w:rsid w:val="00A5640A"/>
    <w:rsid w:val="00A577DE"/>
    <w:rsid w:val="00A60DD9"/>
    <w:rsid w:val="00A61030"/>
    <w:rsid w:val="00A61796"/>
    <w:rsid w:val="00A61D41"/>
    <w:rsid w:val="00A62275"/>
    <w:rsid w:val="00A6243B"/>
    <w:rsid w:val="00A6305F"/>
    <w:rsid w:val="00A64282"/>
    <w:rsid w:val="00A64737"/>
    <w:rsid w:val="00A661E7"/>
    <w:rsid w:val="00A66C46"/>
    <w:rsid w:val="00A66CFE"/>
    <w:rsid w:val="00A671DD"/>
    <w:rsid w:val="00A67B56"/>
    <w:rsid w:val="00A708C2"/>
    <w:rsid w:val="00A71056"/>
    <w:rsid w:val="00A711A8"/>
    <w:rsid w:val="00A712C6"/>
    <w:rsid w:val="00A71F6D"/>
    <w:rsid w:val="00A72284"/>
    <w:rsid w:val="00A729ED"/>
    <w:rsid w:val="00A72C72"/>
    <w:rsid w:val="00A733B3"/>
    <w:rsid w:val="00A73660"/>
    <w:rsid w:val="00A75CB5"/>
    <w:rsid w:val="00A76D47"/>
    <w:rsid w:val="00A77C53"/>
    <w:rsid w:val="00A80AB7"/>
    <w:rsid w:val="00A81929"/>
    <w:rsid w:val="00A81B3D"/>
    <w:rsid w:val="00A821D5"/>
    <w:rsid w:val="00A82412"/>
    <w:rsid w:val="00A8299E"/>
    <w:rsid w:val="00A82ADF"/>
    <w:rsid w:val="00A83B2F"/>
    <w:rsid w:val="00A83BB9"/>
    <w:rsid w:val="00A84259"/>
    <w:rsid w:val="00A85571"/>
    <w:rsid w:val="00A8591D"/>
    <w:rsid w:val="00A85A21"/>
    <w:rsid w:val="00A85D70"/>
    <w:rsid w:val="00A86C4C"/>
    <w:rsid w:val="00A8750A"/>
    <w:rsid w:val="00A876D9"/>
    <w:rsid w:val="00A902B1"/>
    <w:rsid w:val="00A908B8"/>
    <w:rsid w:val="00A90A58"/>
    <w:rsid w:val="00A913A8"/>
    <w:rsid w:val="00A92B41"/>
    <w:rsid w:val="00A93426"/>
    <w:rsid w:val="00A9520A"/>
    <w:rsid w:val="00A9530D"/>
    <w:rsid w:val="00A953DA"/>
    <w:rsid w:val="00A95B3F"/>
    <w:rsid w:val="00A97012"/>
    <w:rsid w:val="00A97CA4"/>
    <w:rsid w:val="00AA0586"/>
    <w:rsid w:val="00AA167E"/>
    <w:rsid w:val="00AA1A2D"/>
    <w:rsid w:val="00AA2E6B"/>
    <w:rsid w:val="00AA347C"/>
    <w:rsid w:val="00AA6648"/>
    <w:rsid w:val="00AA6718"/>
    <w:rsid w:val="00AA6C52"/>
    <w:rsid w:val="00AA6C7F"/>
    <w:rsid w:val="00AA6E8B"/>
    <w:rsid w:val="00AA7351"/>
    <w:rsid w:val="00AA7E3B"/>
    <w:rsid w:val="00AB0BE2"/>
    <w:rsid w:val="00AB3588"/>
    <w:rsid w:val="00AB4E99"/>
    <w:rsid w:val="00AB7A85"/>
    <w:rsid w:val="00AB7AFF"/>
    <w:rsid w:val="00AB7D7A"/>
    <w:rsid w:val="00AC1F40"/>
    <w:rsid w:val="00AC25E0"/>
    <w:rsid w:val="00AC2888"/>
    <w:rsid w:val="00AC2920"/>
    <w:rsid w:val="00AC3E92"/>
    <w:rsid w:val="00AC588A"/>
    <w:rsid w:val="00AC7891"/>
    <w:rsid w:val="00AD2EF0"/>
    <w:rsid w:val="00AD41CB"/>
    <w:rsid w:val="00AD4997"/>
    <w:rsid w:val="00AD5C2C"/>
    <w:rsid w:val="00AD6032"/>
    <w:rsid w:val="00AD61A8"/>
    <w:rsid w:val="00AD6A6B"/>
    <w:rsid w:val="00AD6A8E"/>
    <w:rsid w:val="00AE0764"/>
    <w:rsid w:val="00AE1460"/>
    <w:rsid w:val="00AE1462"/>
    <w:rsid w:val="00AE149F"/>
    <w:rsid w:val="00AE2015"/>
    <w:rsid w:val="00AE3000"/>
    <w:rsid w:val="00AE364F"/>
    <w:rsid w:val="00AE459A"/>
    <w:rsid w:val="00AE4D0F"/>
    <w:rsid w:val="00AE5C2B"/>
    <w:rsid w:val="00AE7219"/>
    <w:rsid w:val="00AE7839"/>
    <w:rsid w:val="00AF01A1"/>
    <w:rsid w:val="00AF0483"/>
    <w:rsid w:val="00AF0C04"/>
    <w:rsid w:val="00AF0C1E"/>
    <w:rsid w:val="00AF0D41"/>
    <w:rsid w:val="00AF1025"/>
    <w:rsid w:val="00AF29CE"/>
    <w:rsid w:val="00AF3CE3"/>
    <w:rsid w:val="00AF3E82"/>
    <w:rsid w:val="00AF5785"/>
    <w:rsid w:val="00AF62D1"/>
    <w:rsid w:val="00AF67E2"/>
    <w:rsid w:val="00AF6B99"/>
    <w:rsid w:val="00B00979"/>
    <w:rsid w:val="00B01D83"/>
    <w:rsid w:val="00B02F98"/>
    <w:rsid w:val="00B04405"/>
    <w:rsid w:val="00B04D73"/>
    <w:rsid w:val="00B0543E"/>
    <w:rsid w:val="00B05611"/>
    <w:rsid w:val="00B05876"/>
    <w:rsid w:val="00B06B0F"/>
    <w:rsid w:val="00B06D53"/>
    <w:rsid w:val="00B07184"/>
    <w:rsid w:val="00B07370"/>
    <w:rsid w:val="00B07764"/>
    <w:rsid w:val="00B07BCB"/>
    <w:rsid w:val="00B07F1D"/>
    <w:rsid w:val="00B1062D"/>
    <w:rsid w:val="00B10BB8"/>
    <w:rsid w:val="00B10C5A"/>
    <w:rsid w:val="00B1199D"/>
    <w:rsid w:val="00B1319B"/>
    <w:rsid w:val="00B14E56"/>
    <w:rsid w:val="00B14E7F"/>
    <w:rsid w:val="00B15BA0"/>
    <w:rsid w:val="00B201A5"/>
    <w:rsid w:val="00B20441"/>
    <w:rsid w:val="00B20801"/>
    <w:rsid w:val="00B21613"/>
    <w:rsid w:val="00B21E31"/>
    <w:rsid w:val="00B24038"/>
    <w:rsid w:val="00B2417B"/>
    <w:rsid w:val="00B24190"/>
    <w:rsid w:val="00B25DAE"/>
    <w:rsid w:val="00B26039"/>
    <w:rsid w:val="00B26590"/>
    <w:rsid w:val="00B26840"/>
    <w:rsid w:val="00B26DA5"/>
    <w:rsid w:val="00B3037F"/>
    <w:rsid w:val="00B3185C"/>
    <w:rsid w:val="00B31A86"/>
    <w:rsid w:val="00B31BFE"/>
    <w:rsid w:val="00B32415"/>
    <w:rsid w:val="00B3317C"/>
    <w:rsid w:val="00B339E9"/>
    <w:rsid w:val="00B33A76"/>
    <w:rsid w:val="00B33AE4"/>
    <w:rsid w:val="00B343F7"/>
    <w:rsid w:val="00B347CD"/>
    <w:rsid w:val="00B34BD8"/>
    <w:rsid w:val="00B37B0F"/>
    <w:rsid w:val="00B40353"/>
    <w:rsid w:val="00B41013"/>
    <w:rsid w:val="00B41443"/>
    <w:rsid w:val="00B4184F"/>
    <w:rsid w:val="00B42343"/>
    <w:rsid w:val="00B42A29"/>
    <w:rsid w:val="00B42B12"/>
    <w:rsid w:val="00B42CAA"/>
    <w:rsid w:val="00B42E0F"/>
    <w:rsid w:val="00B44439"/>
    <w:rsid w:val="00B456DF"/>
    <w:rsid w:val="00B45D31"/>
    <w:rsid w:val="00B45DB9"/>
    <w:rsid w:val="00B463FA"/>
    <w:rsid w:val="00B46D0A"/>
    <w:rsid w:val="00B46EAE"/>
    <w:rsid w:val="00B47193"/>
    <w:rsid w:val="00B47D66"/>
    <w:rsid w:val="00B50820"/>
    <w:rsid w:val="00B50D45"/>
    <w:rsid w:val="00B5161E"/>
    <w:rsid w:val="00B51910"/>
    <w:rsid w:val="00B52157"/>
    <w:rsid w:val="00B524E6"/>
    <w:rsid w:val="00B526E6"/>
    <w:rsid w:val="00B52B31"/>
    <w:rsid w:val="00B535F0"/>
    <w:rsid w:val="00B54087"/>
    <w:rsid w:val="00B5464B"/>
    <w:rsid w:val="00B549D1"/>
    <w:rsid w:val="00B55D0E"/>
    <w:rsid w:val="00B56C51"/>
    <w:rsid w:val="00B6021F"/>
    <w:rsid w:val="00B60C55"/>
    <w:rsid w:val="00B60E92"/>
    <w:rsid w:val="00B610A7"/>
    <w:rsid w:val="00B615ED"/>
    <w:rsid w:val="00B619B3"/>
    <w:rsid w:val="00B61BF7"/>
    <w:rsid w:val="00B625A0"/>
    <w:rsid w:val="00B6294E"/>
    <w:rsid w:val="00B63751"/>
    <w:rsid w:val="00B6388E"/>
    <w:rsid w:val="00B64644"/>
    <w:rsid w:val="00B64712"/>
    <w:rsid w:val="00B66BC1"/>
    <w:rsid w:val="00B670C2"/>
    <w:rsid w:val="00B67559"/>
    <w:rsid w:val="00B6797D"/>
    <w:rsid w:val="00B718F0"/>
    <w:rsid w:val="00B72409"/>
    <w:rsid w:val="00B728CA"/>
    <w:rsid w:val="00B72F51"/>
    <w:rsid w:val="00B73B30"/>
    <w:rsid w:val="00B73CFB"/>
    <w:rsid w:val="00B73ED7"/>
    <w:rsid w:val="00B73F34"/>
    <w:rsid w:val="00B743EE"/>
    <w:rsid w:val="00B75FC7"/>
    <w:rsid w:val="00B76669"/>
    <w:rsid w:val="00B76E1E"/>
    <w:rsid w:val="00B77723"/>
    <w:rsid w:val="00B77D21"/>
    <w:rsid w:val="00B77DDE"/>
    <w:rsid w:val="00B77F50"/>
    <w:rsid w:val="00B8097F"/>
    <w:rsid w:val="00B820B9"/>
    <w:rsid w:val="00B82DF1"/>
    <w:rsid w:val="00B83041"/>
    <w:rsid w:val="00B836AF"/>
    <w:rsid w:val="00B8500D"/>
    <w:rsid w:val="00B87460"/>
    <w:rsid w:val="00B876E7"/>
    <w:rsid w:val="00B87711"/>
    <w:rsid w:val="00B908CE"/>
    <w:rsid w:val="00B92CD0"/>
    <w:rsid w:val="00B93134"/>
    <w:rsid w:val="00B93346"/>
    <w:rsid w:val="00B93841"/>
    <w:rsid w:val="00B9401D"/>
    <w:rsid w:val="00B94B33"/>
    <w:rsid w:val="00B94BF0"/>
    <w:rsid w:val="00B967F7"/>
    <w:rsid w:val="00B96B3F"/>
    <w:rsid w:val="00B97905"/>
    <w:rsid w:val="00BA0500"/>
    <w:rsid w:val="00BA245F"/>
    <w:rsid w:val="00BA42D0"/>
    <w:rsid w:val="00BA4CBB"/>
    <w:rsid w:val="00BA4F3C"/>
    <w:rsid w:val="00BA4F90"/>
    <w:rsid w:val="00BA52FC"/>
    <w:rsid w:val="00BA6240"/>
    <w:rsid w:val="00BA66DB"/>
    <w:rsid w:val="00BA6FFC"/>
    <w:rsid w:val="00BB1916"/>
    <w:rsid w:val="00BB1FAE"/>
    <w:rsid w:val="00BB221F"/>
    <w:rsid w:val="00BB30BC"/>
    <w:rsid w:val="00BB3E04"/>
    <w:rsid w:val="00BB403F"/>
    <w:rsid w:val="00BB485B"/>
    <w:rsid w:val="00BB5133"/>
    <w:rsid w:val="00BB5309"/>
    <w:rsid w:val="00BB5AE2"/>
    <w:rsid w:val="00BC00D3"/>
    <w:rsid w:val="00BC0477"/>
    <w:rsid w:val="00BC0C2A"/>
    <w:rsid w:val="00BC154F"/>
    <w:rsid w:val="00BC223C"/>
    <w:rsid w:val="00BC2C8C"/>
    <w:rsid w:val="00BC37CD"/>
    <w:rsid w:val="00BC4506"/>
    <w:rsid w:val="00BC4FE1"/>
    <w:rsid w:val="00BC7073"/>
    <w:rsid w:val="00BC737E"/>
    <w:rsid w:val="00BC7848"/>
    <w:rsid w:val="00BD1536"/>
    <w:rsid w:val="00BD16A5"/>
    <w:rsid w:val="00BD1C47"/>
    <w:rsid w:val="00BD1FDB"/>
    <w:rsid w:val="00BD21F6"/>
    <w:rsid w:val="00BD23D6"/>
    <w:rsid w:val="00BD418A"/>
    <w:rsid w:val="00BD482F"/>
    <w:rsid w:val="00BD4937"/>
    <w:rsid w:val="00BD4A3F"/>
    <w:rsid w:val="00BD5114"/>
    <w:rsid w:val="00BD6CF5"/>
    <w:rsid w:val="00BD6D69"/>
    <w:rsid w:val="00BD7563"/>
    <w:rsid w:val="00BD79D4"/>
    <w:rsid w:val="00BE00EF"/>
    <w:rsid w:val="00BE06F7"/>
    <w:rsid w:val="00BE08DE"/>
    <w:rsid w:val="00BE2EF9"/>
    <w:rsid w:val="00BE2F12"/>
    <w:rsid w:val="00BE3352"/>
    <w:rsid w:val="00BE35A6"/>
    <w:rsid w:val="00BE3F91"/>
    <w:rsid w:val="00BE41F4"/>
    <w:rsid w:val="00BE42CE"/>
    <w:rsid w:val="00BE45A6"/>
    <w:rsid w:val="00BE46CC"/>
    <w:rsid w:val="00BE4C82"/>
    <w:rsid w:val="00BE5905"/>
    <w:rsid w:val="00BE59AE"/>
    <w:rsid w:val="00BE5FA9"/>
    <w:rsid w:val="00BE619B"/>
    <w:rsid w:val="00BE688B"/>
    <w:rsid w:val="00BE77A6"/>
    <w:rsid w:val="00BE794B"/>
    <w:rsid w:val="00BE7A74"/>
    <w:rsid w:val="00BE7BE5"/>
    <w:rsid w:val="00BF0DBE"/>
    <w:rsid w:val="00BF189E"/>
    <w:rsid w:val="00BF25E9"/>
    <w:rsid w:val="00BF3585"/>
    <w:rsid w:val="00BF3A6F"/>
    <w:rsid w:val="00BF50BA"/>
    <w:rsid w:val="00BF5B38"/>
    <w:rsid w:val="00BF5B3F"/>
    <w:rsid w:val="00BF5CA5"/>
    <w:rsid w:val="00BF65C4"/>
    <w:rsid w:val="00BF708D"/>
    <w:rsid w:val="00BF7435"/>
    <w:rsid w:val="00C01680"/>
    <w:rsid w:val="00C025E6"/>
    <w:rsid w:val="00C042F3"/>
    <w:rsid w:val="00C05282"/>
    <w:rsid w:val="00C05890"/>
    <w:rsid w:val="00C061E2"/>
    <w:rsid w:val="00C06908"/>
    <w:rsid w:val="00C06957"/>
    <w:rsid w:val="00C06F52"/>
    <w:rsid w:val="00C073EF"/>
    <w:rsid w:val="00C07AD2"/>
    <w:rsid w:val="00C113C3"/>
    <w:rsid w:val="00C118B5"/>
    <w:rsid w:val="00C11AFE"/>
    <w:rsid w:val="00C11FDC"/>
    <w:rsid w:val="00C1359B"/>
    <w:rsid w:val="00C15A9B"/>
    <w:rsid w:val="00C164EF"/>
    <w:rsid w:val="00C166CA"/>
    <w:rsid w:val="00C167AA"/>
    <w:rsid w:val="00C16EBD"/>
    <w:rsid w:val="00C16F79"/>
    <w:rsid w:val="00C173EB"/>
    <w:rsid w:val="00C17CCE"/>
    <w:rsid w:val="00C200A1"/>
    <w:rsid w:val="00C211E5"/>
    <w:rsid w:val="00C217F7"/>
    <w:rsid w:val="00C248D4"/>
    <w:rsid w:val="00C265BA"/>
    <w:rsid w:val="00C27315"/>
    <w:rsid w:val="00C33F0B"/>
    <w:rsid w:val="00C34883"/>
    <w:rsid w:val="00C36530"/>
    <w:rsid w:val="00C36A4C"/>
    <w:rsid w:val="00C3778D"/>
    <w:rsid w:val="00C402FE"/>
    <w:rsid w:val="00C40378"/>
    <w:rsid w:val="00C40873"/>
    <w:rsid w:val="00C41119"/>
    <w:rsid w:val="00C418B0"/>
    <w:rsid w:val="00C44152"/>
    <w:rsid w:val="00C45AF9"/>
    <w:rsid w:val="00C45D7C"/>
    <w:rsid w:val="00C46CF5"/>
    <w:rsid w:val="00C4715C"/>
    <w:rsid w:val="00C472CE"/>
    <w:rsid w:val="00C50115"/>
    <w:rsid w:val="00C505BC"/>
    <w:rsid w:val="00C50FC4"/>
    <w:rsid w:val="00C528D5"/>
    <w:rsid w:val="00C52DC1"/>
    <w:rsid w:val="00C53FD6"/>
    <w:rsid w:val="00C546DD"/>
    <w:rsid w:val="00C55368"/>
    <w:rsid w:val="00C5592B"/>
    <w:rsid w:val="00C55DBB"/>
    <w:rsid w:val="00C57269"/>
    <w:rsid w:val="00C60F47"/>
    <w:rsid w:val="00C60FA1"/>
    <w:rsid w:val="00C619AD"/>
    <w:rsid w:val="00C622D2"/>
    <w:rsid w:val="00C62466"/>
    <w:rsid w:val="00C62E8A"/>
    <w:rsid w:val="00C62F46"/>
    <w:rsid w:val="00C6355C"/>
    <w:rsid w:val="00C65B1F"/>
    <w:rsid w:val="00C6605D"/>
    <w:rsid w:val="00C66667"/>
    <w:rsid w:val="00C67C83"/>
    <w:rsid w:val="00C70356"/>
    <w:rsid w:val="00C70A42"/>
    <w:rsid w:val="00C713A7"/>
    <w:rsid w:val="00C71FAC"/>
    <w:rsid w:val="00C720BF"/>
    <w:rsid w:val="00C72284"/>
    <w:rsid w:val="00C72E00"/>
    <w:rsid w:val="00C732A3"/>
    <w:rsid w:val="00C73EC7"/>
    <w:rsid w:val="00C743CD"/>
    <w:rsid w:val="00C749A5"/>
    <w:rsid w:val="00C74F9A"/>
    <w:rsid w:val="00C75B20"/>
    <w:rsid w:val="00C75D84"/>
    <w:rsid w:val="00C76078"/>
    <w:rsid w:val="00C761B6"/>
    <w:rsid w:val="00C812AB"/>
    <w:rsid w:val="00C81AF5"/>
    <w:rsid w:val="00C823E7"/>
    <w:rsid w:val="00C84D2F"/>
    <w:rsid w:val="00C84E08"/>
    <w:rsid w:val="00C85A3D"/>
    <w:rsid w:val="00C86087"/>
    <w:rsid w:val="00C860F9"/>
    <w:rsid w:val="00C86469"/>
    <w:rsid w:val="00C872B7"/>
    <w:rsid w:val="00C91443"/>
    <w:rsid w:val="00C91734"/>
    <w:rsid w:val="00C91A9D"/>
    <w:rsid w:val="00C92813"/>
    <w:rsid w:val="00C92EC6"/>
    <w:rsid w:val="00C93738"/>
    <w:rsid w:val="00C94FA4"/>
    <w:rsid w:val="00C950EF"/>
    <w:rsid w:val="00C95189"/>
    <w:rsid w:val="00C953B2"/>
    <w:rsid w:val="00C953CA"/>
    <w:rsid w:val="00C95828"/>
    <w:rsid w:val="00C95DF7"/>
    <w:rsid w:val="00C96A30"/>
    <w:rsid w:val="00C9731C"/>
    <w:rsid w:val="00CA068F"/>
    <w:rsid w:val="00CA2557"/>
    <w:rsid w:val="00CA32EE"/>
    <w:rsid w:val="00CA5389"/>
    <w:rsid w:val="00CA6AD6"/>
    <w:rsid w:val="00CB021D"/>
    <w:rsid w:val="00CB0297"/>
    <w:rsid w:val="00CB0A76"/>
    <w:rsid w:val="00CB0B3E"/>
    <w:rsid w:val="00CB12DA"/>
    <w:rsid w:val="00CB3123"/>
    <w:rsid w:val="00CB330B"/>
    <w:rsid w:val="00CB4781"/>
    <w:rsid w:val="00CB5092"/>
    <w:rsid w:val="00CB5353"/>
    <w:rsid w:val="00CB5C22"/>
    <w:rsid w:val="00CB671D"/>
    <w:rsid w:val="00CB6C18"/>
    <w:rsid w:val="00CB6CC5"/>
    <w:rsid w:val="00CB6D89"/>
    <w:rsid w:val="00CB7572"/>
    <w:rsid w:val="00CB7733"/>
    <w:rsid w:val="00CC04B7"/>
    <w:rsid w:val="00CC04EB"/>
    <w:rsid w:val="00CC1122"/>
    <w:rsid w:val="00CC1BAB"/>
    <w:rsid w:val="00CC2594"/>
    <w:rsid w:val="00CC2CD6"/>
    <w:rsid w:val="00CC3A15"/>
    <w:rsid w:val="00CC401F"/>
    <w:rsid w:val="00CC4310"/>
    <w:rsid w:val="00CC45B6"/>
    <w:rsid w:val="00CC66CD"/>
    <w:rsid w:val="00CC7530"/>
    <w:rsid w:val="00CD0B4D"/>
    <w:rsid w:val="00CD0FE9"/>
    <w:rsid w:val="00CD17B6"/>
    <w:rsid w:val="00CD3F16"/>
    <w:rsid w:val="00CD53DE"/>
    <w:rsid w:val="00CD5AD5"/>
    <w:rsid w:val="00CD60B9"/>
    <w:rsid w:val="00CD662B"/>
    <w:rsid w:val="00CD79D5"/>
    <w:rsid w:val="00CE03C6"/>
    <w:rsid w:val="00CE08CC"/>
    <w:rsid w:val="00CE14A9"/>
    <w:rsid w:val="00CE1B7C"/>
    <w:rsid w:val="00CE1DEC"/>
    <w:rsid w:val="00CE20E0"/>
    <w:rsid w:val="00CE32F5"/>
    <w:rsid w:val="00CE3EDD"/>
    <w:rsid w:val="00CE47EB"/>
    <w:rsid w:val="00CE50AF"/>
    <w:rsid w:val="00CE5898"/>
    <w:rsid w:val="00CE5ED2"/>
    <w:rsid w:val="00CE61C9"/>
    <w:rsid w:val="00CE629C"/>
    <w:rsid w:val="00CE6C7F"/>
    <w:rsid w:val="00CE6E3F"/>
    <w:rsid w:val="00CE73B4"/>
    <w:rsid w:val="00CF01F8"/>
    <w:rsid w:val="00CF1054"/>
    <w:rsid w:val="00CF1BB8"/>
    <w:rsid w:val="00CF4633"/>
    <w:rsid w:val="00CF4D4E"/>
    <w:rsid w:val="00CF61C1"/>
    <w:rsid w:val="00CF69FF"/>
    <w:rsid w:val="00CF7003"/>
    <w:rsid w:val="00CF70DF"/>
    <w:rsid w:val="00CF77FD"/>
    <w:rsid w:val="00D00FE9"/>
    <w:rsid w:val="00D014D3"/>
    <w:rsid w:val="00D015B3"/>
    <w:rsid w:val="00D01D05"/>
    <w:rsid w:val="00D01E21"/>
    <w:rsid w:val="00D020E0"/>
    <w:rsid w:val="00D024D3"/>
    <w:rsid w:val="00D0376A"/>
    <w:rsid w:val="00D0377F"/>
    <w:rsid w:val="00D03F9C"/>
    <w:rsid w:val="00D04C1E"/>
    <w:rsid w:val="00D052CE"/>
    <w:rsid w:val="00D05C82"/>
    <w:rsid w:val="00D06E7C"/>
    <w:rsid w:val="00D073AE"/>
    <w:rsid w:val="00D107B4"/>
    <w:rsid w:val="00D118B2"/>
    <w:rsid w:val="00D13EC7"/>
    <w:rsid w:val="00D14E5C"/>
    <w:rsid w:val="00D16DE8"/>
    <w:rsid w:val="00D16FCF"/>
    <w:rsid w:val="00D179DF"/>
    <w:rsid w:val="00D21AD2"/>
    <w:rsid w:val="00D21F65"/>
    <w:rsid w:val="00D22CBC"/>
    <w:rsid w:val="00D2363B"/>
    <w:rsid w:val="00D248C3"/>
    <w:rsid w:val="00D24D78"/>
    <w:rsid w:val="00D24F44"/>
    <w:rsid w:val="00D2527D"/>
    <w:rsid w:val="00D26005"/>
    <w:rsid w:val="00D260BF"/>
    <w:rsid w:val="00D269A9"/>
    <w:rsid w:val="00D30957"/>
    <w:rsid w:val="00D31439"/>
    <w:rsid w:val="00D31AC5"/>
    <w:rsid w:val="00D31EBD"/>
    <w:rsid w:val="00D323D6"/>
    <w:rsid w:val="00D32786"/>
    <w:rsid w:val="00D328C4"/>
    <w:rsid w:val="00D33986"/>
    <w:rsid w:val="00D35639"/>
    <w:rsid w:val="00D36AF0"/>
    <w:rsid w:val="00D36FD0"/>
    <w:rsid w:val="00D3745C"/>
    <w:rsid w:val="00D378FD"/>
    <w:rsid w:val="00D37C97"/>
    <w:rsid w:val="00D37FCC"/>
    <w:rsid w:val="00D42774"/>
    <w:rsid w:val="00D43447"/>
    <w:rsid w:val="00D43E2D"/>
    <w:rsid w:val="00D466B1"/>
    <w:rsid w:val="00D47915"/>
    <w:rsid w:val="00D50187"/>
    <w:rsid w:val="00D50592"/>
    <w:rsid w:val="00D5088B"/>
    <w:rsid w:val="00D50FE3"/>
    <w:rsid w:val="00D51059"/>
    <w:rsid w:val="00D51B9F"/>
    <w:rsid w:val="00D52C27"/>
    <w:rsid w:val="00D52CBB"/>
    <w:rsid w:val="00D5303C"/>
    <w:rsid w:val="00D538F5"/>
    <w:rsid w:val="00D554B1"/>
    <w:rsid w:val="00D60511"/>
    <w:rsid w:val="00D6132D"/>
    <w:rsid w:val="00D646CC"/>
    <w:rsid w:val="00D648CA"/>
    <w:rsid w:val="00D66E76"/>
    <w:rsid w:val="00D66F21"/>
    <w:rsid w:val="00D67312"/>
    <w:rsid w:val="00D67424"/>
    <w:rsid w:val="00D67557"/>
    <w:rsid w:val="00D675CD"/>
    <w:rsid w:val="00D70FAF"/>
    <w:rsid w:val="00D7113F"/>
    <w:rsid w:val="00D715C8"/>
    <w:rsid w:val="00D71D70"/>
    <w:rsid w:val="00D72444"/>
    <w:rsid w:val="00D72D5D"/>
    <w:rsid w:val="00D73849"/>
    <w:rsid w:val="00D743BD"/>
    <w:rsid w:val="00D754B9"/>
    <w:rsid w:val="00D75637"/>
    <w:rsid w:val="00D77314"/>
    <w:rsid w:val="00D77A85"/>
    <w:rsid w:val="00D80124"/>
    <w:rsid w:val="00D809FB"/>
    <w:rsid w:val="00D80BA1"/>
    <w:rsid w:val="00D812B4"/>
    <w:rsid w:val="00D81783"/>
    <w:rsid w:val="00D81C3D"/>
    <w:rsid w:val="00D820D2"/>
    <w:rsid w:val="00D82336"/>
    <w:rsid w:val="00D83240"/>
    <w:rsid w:val="00D8355F"/>
    <w:rsid w:val="00D84A79"/>
    <w:rsid w:val="00D84F70"/>
    <w:rsid w:val="00D84FC2"/>
    <w:rsid w:val="00D85073"/>
    <w:rsid w:val="00D86A3C"/>
    <w:rsid w:val="00D87AD7"/>
    <w:rsid w:val="00D87D99"/>
    <w:rsid w:val="00D90708"/>
    <w:rsid w:val="00D90787"/>
    <w:rsid w:val="00D931EE"/>
    <w:rsid w:val="00D936B4"/>
    <w:rsid w:val="00D93CF6"/>
    <w:rsid w:val="00D95D56"/>
    <w:rsid w:val="00D97907"/>
    <w:rsid w:val="00DA067B"/>
    <w:rsid w:val="00DA0B32"/>
    <w:rsid w:val="00DA1C44"/>
    <w:rsid w:val="00DA391A"/>
    <w:rsid w:val="00DA3BB0"/>
    <w:rsid w:val="00DA5317"/>
    <w:rsid w:val="00DA6125"/>
    <w:rsid w:val="00DA72E6"/>
    <w:rsid w:val="00DA7712"/>
    <w:rsid w:val="00DB037B"/>
    <w:rsid w:val="00DB3D40"/>
    <w:rsid w:val="00DB47DD"/>
    <w:rsid w:val="00DB4D53"/>
    <w:rsid w:val="00DB66D9"/>
    <w:rsid w:val="00DB6DCE"/>
    <w:rsid w:val="00DC010A"/>
    <w:rsid w:val="00DC0D25"/>
    <w:rsid w:val="00DC0FEF"/>
    <w:rsid w:val="00DC1627"/>
    <w:rsid w:val="00DC2671"/>
    <w:rsid w:val="00DC2EA1"/>
    <w:rsid w:val="00DC353D"/>
    <w:rsid w:val="00DC372B"/>
    <w:rsid w:val="00DC38E4"/>
    <w:rsid w:val="00DC5613"/>
    <w:rsid w:val="00DC5E3F"/>
    <w:rsid w:val="00DC5EC3"/>
    <w:rsid w:val="00DC6170"/>
    <w:rsid w:val="00DC66D1"/>
    <w:rsid w:val="00DC7BB0"/>
    <w:rsid w:val="00DD0435"/>
    <w:rsid w:val="00DD2629"/>
    <w:rsid w:val="00DD26CF"/>
    <w:rsid w:val="00DD2B60"/>
    <w:rsid w:val="00DD3D3D"/>
    <w:rsid w:val="00DD5904"/>
    <w:rsid w:val="00DD5C7A"/>
    <w:rsid w:val="00DD6A7F"/>
    <w:rsid w:val="00DD6C19"/>
    <w:rsid w:val="00DD6D5A"/>
    <w:rsid w:val="00DD7509"/>
    <w:rsid w:val="00DE008B"/>
    <w:rsid w:val="00DE0654"/>
    <w:rsid w:val="00DE07E2"/>
    <w:rsid w:val="00DE0E22"/>
    <w:rsid w:val="00DE1E53"/>
    <w:rsid w:val="00DE313C"/>
    <w:rsid w:val="00DE565D"/>
    <w:rsid w:val="00DE56DD"/>
    <w:rsid w:val="00DE58D5"/>
    <w:rsid w:val="00DE6E46"/>
    <w:rsid w:val="00DE7456"/>
    <w:rsid w:val="00DE77D1"/>
    <w:rsid w:val="00DF23B7"/>
    <w:rsid w:val="00DF282C"/>
    <w:rsid w:val="00DF46B1"/>
    <w:rsid w:val="00DF4A06"/>
    <w:rsid w:val="00DF4F49"/>
    <w:rsid w:val="00DF5B18"/>
    <w:rsid w:val="00DF6011"/>
    <w:rsid w:val="00DF6231"/>
    <w:rsid w:val="00DF6849"/>
    <w:rsid w:val="00DF7609"/>
    <w:rsid w:val="00DF775C"/>
    <w:rsid w:val="00E0024A"/>
    <w:rsid w:val="00E00C9E"/>
    <w:rsid w:val="00E01B49"/>
    <w:rsid w:val="00E025CF"/>
    <w:rsid w:val="00E041D1"/>
    <w:rsid w:val="00E046CD"/>
    <w:rsid w:val="00E0488F"/>
    <w:rsid w:val="00E04A0B"/>
    <w:rsid w:val="00E050E4"/>
    <w:rsid w:val="00E051DD"/>
    <w:rsid w:val="00E0526C"/>
    <w:rsid w:val="00E05A7C"/>
    <w:rsid w:val="00E05C2C"/>
    <w:rsid w:val="00E07E14"/>
    <w:rsid w:val="00E11A39"/>
    <w:rsid w:val="00E11E39"/>
    <w:rsid w:val="00E11E45"/>
    <w:rsid w:val="00E1252D"/>
    <w:rsid w:val="00E1273B"/>
    <w:rsid w:val="00E12785"/>
    <w:rsid w:val="00E127A1"/>
    <w:rsid w:val="00E12F3C"/>
    <w:rsid w:val="00E14F53"/>
    <w:rsid w:val="00E15A98"/>
    <w:rsid w:val="00E15B75"/>
    <w:rsid w:val="00E173BF"/>
    <w:rsid w:val="00E200CD"/>
    <w:rsid w:val="00E20569"/>
    <w:rsid w:val="00E22C57"/>
    <w:rsid w:val="00E24087"/>
    <w:rsid w:val="00E24D12"/>
    <w:rsid w:val="00E2553C"/>
    <w:rsid w:val="00E25A14"/>
    <w:rsid w:val="00E25ADE"/>
    <w:rsid w:val="00E26859"/>
    <w:rsid w:val="00E27B80"/>
    <w:rsid w:val="00E30B44"/>
    <w:rsid w:val="00E3144C"/>
    <w:rsid w:val="00E315BB"/>
    <w:rsid w:val="00E31D9E"/>
    <w:rsid w:val="00E31ECB"/>
    <w:rsid w:val="00E327BD"/>
    <w:rsid w:val="00E327E8"/>
    <w:rsid w:val="00E32B00"/>
    <w:rsid w:val="00E33A37"/>
    <w:rsid w:val="00E34A3D"/>
    <w:rsid w:val="00E35770"/>
    <w:rsid w:val="00E36545"/>
    <w:rsid w:val="00E3792E"/>
    <w:rsid w:val="00E37D17"/>
    <w:rsid w:val="00E40535"/>
    <w:rsid w:val="00E407A9"/>
    <w:rsid w:val="00E40AA9"/>
    <w:rsid w:val="00E41CDA"/>
    <w:rsid w:val="00E42D50"/>
    <w:rsid w:val="00E431CB"/>
    <w:rsid w:val="00E4336E"/>
    <w:rsid w:val="00E43633"/>
    <w:rsid w:val="00E437D2"/>
    <w:rsid w:val="00E43C65"/>
    <w:rsid w:val="00E44C26"/>
    <w:rsid w:val="00E46E0B"/>
    <w:rsid w:val="00E4742A"/>
    <w:rsid w:val="00E47B53"/>
    <w:rsid w:val="00E500F3"/>
    <w:rsid w:val="00E5020B"/>
    <w:rsid w:val="00E511DE"/>
    <w:rsid w:val="00E515E0"/>
    <w:rsid w:val="00E521C3"/>
    <w:rsid w:val="00E525CC"/>
    <w:rsid w:val="00E54C6A"/>
    <w:rsid w:val="00E55877"/>
    <w:rsid w:val="00E56880"/>
    <w:rsid w:val="00E57B85"/>
    <w:rsid w:val="00E57D42"/>
    <w:rsid w:val="00E613A8"/>
    <w:rsid w:val="00E62308"/>
    <w:rsid w:val="00E6232B"/>
    <w:rsid w:val="00E62ED7"/>
    <w:rsid w:val="00E62EEF"/>
    <w:rsid w:val="00E6302B"/>
    <w:rsid w:val="00E63D76"/>
    <w:rsid w:val="00E643C5"/>
    <w:rsid w:val="00E648AD"/>
    <w:rsid w:val="00E653F4"/>
    <w:rsid w:val="00E664CF"/>
    <w:rsid w:val="00E67E09"/>
    <w:rsid w:val="00E7159E"/>
    <w:rsid w:val="00E715D4"/>
    <w:rsid w:val="00E721EC"/>
    <w:rsid w:val="00E72605"/>
    <w:rsid w:val="00E72AE3"/>
    <w:rsid w:val="00E72E40"/>
    <w:rsid w:val="00E72E7D"/>
    <w:rsid w:val="00E73966"/>
    <w:rsid w:val="00E73A05"/>
    <w:rsid w:val="00E73A76"/>
    <w:rsid w:val="00E74063"/>
    <w:rsid w:val="00E74D0F"/>
    <w:rsid w:val="00E753E4"/>
    <w:rsid w:val="00E7587A"/>
    <w:rsid w:val="00E75D40"/>
    <w:rsid w:val="00E75F23"/>
    <w:rsid w:val="00E75FF6"/>
    <w:rsid w:val="00E76473"/>
    <w:rsid w:val="00E771FF"/>
    <w:rsid w:val="00E77A73"/>
    <w:rsid w:val="00E77F12"/>
    <w:rsid w:val="00E77F89"/>
    <w:rsid w:val="00E804B9"/>
    <w:rsid w:val="00E81DDB"/>
    <w:rsid w:val="00E821D3"/>
    <w:rsid w:val="00E83856"/>
    <w:rsid w:val="00E848EC"/>
    <w:rsid w:val="00E8515E"/>
    <w:rsid w:val="00E85B04"/>
    <w:rsid w:val="00E8790C"/>
    <w:rsid w:val="00E87C47"/>
    <w:rsid w:val="00E90555"/>
    <w:rsid w:val="00E906BE"/>
    <w:rsid w:val="00E909CA"/>
    <w:rsid w:val="00E91D6D"/>
    <w:rsid w:val="00E9201D"/>
    <w:rsid w:val="00E92277"/>
    <w:rsid w:val="00E927E3"/>
    <w:rsid w:val="00E92CF3"/>
    <w:rsid w:val="00E96632"/>
    <w:rsid w:val="00E96665"/>
    <w:rsid w:val="00E96803"/>
    <w:rsid w:val="00E96B1F"/>
    <w:rsid w:val="00E96C57"/>
    <w:rsid w:val="00E97119"/>
    <w:rsid w:val="00E97440"/>
    <w:rsid w:val="00EA0F4A"/>
    <w:rsid w:val="00EA1497"/>
    <w:rsid w:val="00EA1AFA"/>
    <w:rsid w:val="00EA1BC0"/>
    <w:rsid w:val="00EA3EB1"/>
    <w:rsid w:val="00EA4C96"/>
    <w:rsid w:val="00EA5B78"/>
    <w:rsid w:val="00EA5BDC"/>
    <w:rsid w:val="00EA5F53"/>
    <w:rsid w:val="00EA68CD"/>
    <w:rsid w:val="00EA69B7"/>
    <w:rsid w:val="00EB061A"/>
    <w:rsid w:val="00EB08B2"/>
    <w:rsid w:val="00EB1732"/>
    <w:rsid w:val="00EB18D7"/>
    <w:rsid w:val="00EB3815"/>
    <w:rsid w:val="00EB3A19"/>
    <w:rsid w:val="00EB4448"/>
    <w:rsid w:val="00EB46E4"/>
    <w:rsid w:val="00EB4B23"/>
    <w:rsid w:val="00EB54A5"/>
    <w:rsid w:val="00EB5B13"/>
    <w:rsid w:val="00EB64AE"/>
    <w:rsid w:val="00EB6DBC"/>
    <w:rsid w:val="00EB7697"/>
    <w:rsid w:val="00EB7925"/>
    <w:rsid w:val="00EB7AFC"/>
    <w:rsid w:val="00EB7DAC"/>
    <w:rsid w:val="00EC0090"/>
    <w:rsid w:val="00EC09EB"/>
    <w:rsid w:val="00EC23E5"/>
    <w:rsid w:val="00EC2781"/>
    <w:rsid w:val="00EC3D69"/>
    <w:rsid w:val="00EC4E4C"/>
    <w:rsid w:val="00EC60A5"/>
    <w:rsid w:val="00EC62F7"/>
    <w:rsid w:val="00EC67F8"/>
    <w:rsid w:val="00EC6FA2"/>
    <w:rsid w:val="00EC7A2E"/>
    <w:rsid w:val="00ED0CA3"/>
    <w:rsid w:val="00ED1120"/>
    <w:rsid w:val="00ED1C88"/>
    <w:rsid w:val="00ED2292"/>
    <w:rsid w:val="00ED2A64"/>
    <w:rsid w:val="00ED2B8C"/>
    <w:rsid w:val="00ED2F3F"/>
    <w:rsid w:val="00ED30E9"/>
    <w:rsid w:val="00ED4B09"/>
    <w:rsid w:val="00ED548E"/>
    <w:rsid w:val="00ED58D1"/>
    <w:rsid w:val="00ED58EF"/>
    <w:rsid w:val="00ED6C98"/>
    <w:rsid w:val="00ED6D29"/>
    <w:rsid w:val="00EE008A"/>
    <w:rsid w:val="00EE05E5"/>
    <w:rsid w:val="00EE0911"/>
    <w:rsid w:val="00EE0CF8"/>
    <w:rsid w:val="00EE0E3F"/>
    <w:rsid w:val="00EE154B"/>
    <w:rsid w:val="00EE15BC"/>
    <w:rsid w:val="00EE2593"/>
    <w:rsid w:val="00EE4548"/>
    <w:rsid w:val="00EE57E0"/>
    <w:rsid w:val="00EE5833"/>
    <w:rsid w:val="00EE664E"/>
    <w:rsid w:val="00EE665A"/>
    <w:rsid w:val="00EE69D9"/>
    <w:rsid w:val="00EE6B7A"/>
    <w:rsid w:val="00EF166D"/>
    <w:rsid w:val="00EF1CD0"/>
    <w:rsid w:val="00EF1CDE"/>
    <w:rsid w:val="00EF21EC"/>
    <w:rsid w:val="00EF2B23"/>
    <w:rsid w:val="00EF2B3E"/>
    <w:rsid w:val="00EF3D75"/>
    <w:rsid w:val="00EF41D2"/>
    <w:rsid w:val="00EF46B7"/>
    <w:rsid w:val="00EF4D8A"/>
    <w:rsid w:val="00EF52F3"/>
    <w:rsid w:val="00EF6966"/>
    <w:rsid w:val="00EF7E2F"/>
    <w:rsid w:val="00F00504"/>
    <w:rsid w:val="00F025ED"/>
    <w:rsid w:val="00F030B3"/>
    <w:rsid w:val="00F03116"/>
    <w:rsid w:val="00F044A1"/>
    <w:rsid w:val="00F052E9"/>
    <w:rsid w:val="00F062E0"/>
    <w:rsid w:val="00F06332"/>
    <w:rsid w:val="00F068AD"/>
    <w:rsid w:val="00F06F50"/>
    <w:rsid w:val="00F070F6"/>
    <w:rsid w:val="00F10037"/>
    <w:rsid w:val="00F10602"/>
    <w:rsid w:val="00F10B01"/>
    <w:rsid w:val="00F119C3"/>
    <w:rsid w:val="00F123B6"/>
    <w:rsid w:val="00F12688"/>
    <w:rsid w:val="00F1587E"/>
    <w:rsid w:val="00F16318"/>
    <w:rsid w:val="00F168DB"/>
    <w:rsid w:val="00F16CF2"/>
    <w:rsid w:val="00F21DE5"/>
    <w:rsid w:val="00F22300"/>
    <w:rsid w:val="00F22875"/>
    <w:rsid w:val="00F2316A"/>
    <w:rsid w:val="00F24327"/>
    <w:rsid w:val="00F2478C"/>
    <w:rsid w:val="00F24DA4"/>
    <w:rsid w:val="00F26A11"/>
    <w:rsid w:val="00F26CD2"/>
    <w:rsid w:val="00F26E04"/>
    <w:rsid w:val="00F27CC2"/>
    <w:rsid w:val="00F30B1B"/>
    <w:rsid w:val="00F30F10"/>
    <w:rsid w:val="00F30F70"/>
    <w:rsid w:val="00F310BF"/>
    <w:rsid w:val="00F32098"/>
    <w:rsid w:val="00F3228A"/>
    <w:rsid w:val="00F32488"/>
    <w:rsid w:val="00F34471"/>
    <w:rsid w:val="00F346EE"/>
    <w:rsid w:val="00F34CF1"/>
    <w:rsid w:val="00F357AA"/>
    <w:rsid w:val="00F35B42"/>
    <w:rsid w:val="00F35D74"/>
    <w:rsid w:val="00F36B72"/>
    <w:rsid w:val="00F36C90"/>
    <w:rsid w:val="00F37505"/>
    <w:rsid w:val="00F37A42"/>
    <w:rsid w:val="00F40ED8"/>
    <w:rsid w:val="00F411D3"/>
    <w:rsid w:val="00F416AF"/>
    <w:rsid w:val="00F4191B"/>
    <w:rsid w:val="00F419C0"/>
    <w:rsid w:val="00F429E2"/>
    <w:rsid w:val="00F42E34"/>
    <w:rsid w:val="00F43257"/>
    <w:rsid w:val="00F43B5D"/>
    <w:rsid w:val="00F44BE4"/>
    <w:rsid w:val="00F44C8E"/>
    <w:rsid w:val="00F452B7"/>
    <w:rsid w:val="00F45EC5"/>
    <w:rsid w:val="00F46E41"/>
    <w:rsid w:val="00F47829"/>
    <w:rsid w:val="00F479D2"/>
    <w:rsid w:val="00F508D6"/>
    <w:rsid w:val="00F511D4"/>
    <w:rsid w:val="00F51273"/>
    <w:rsid w:val="00F5157C"/>
    <w:rsid w:val="00F516BE"/>
    <w:rsid w:val="00F5189A"/>
    <w:rsid w:val="00F52288"/>
    <w:rsid w:val="00F53BE0"/>
    <w:rsid w:val="00F53FD5"/>
    <w:rsid w:val="00F55E98"/>
    <w:rsid w:val="00F56433"/>
    <w:rsid w:val="00F56562"/>
    <w:rsid w:val="00F56B9D"/>
    <w:rsid w:val="00F56E73"/>
    <w:rsid w:val="00F56EE9"/>
    <w:rsid w:val="00F5713D"/>
    <w:rsid w:val="00F60704"/>
    <w:rsid w:val="00F60933"/>
    <w:rsid w:val="00F60D34"/>
    <w:rsid w:val="00F61C71"/>
    <w:rsid w:val="00F624DA"/>
    <w:rsid w:val="00F63D7D"/>
    <w:rsid w:val="00F646A5"/>
    <w:rsid w:val="00F654F1"/>
    <w:rsid w:val="00F66DDE"/>
    <w:rsid w:val="00F67CFC"/>
    <w:rsid w:val="00F7024E"/>
    <w:rsid w:val="00F70B57"/>
    <w:rsid w:val="00F71619"/>
    <w:rsid w:val="00F72AD8"/>
    <w:rsid w:val="00F72C57"/>
    <w:rsid w:val="00F72D8B"/>
    <w:rsid w:val="00F74D61"/>
    <w:rsid w:val="00F75BCC"/>
    <w:rsid w:val="00F760BA"/>
    <w:rsid w:val="00F76315"/>
    <w:rsid w:val="00F77B08"/>
    <w:rsid w:val="00F8080A"/>
    <w:rsid w:val="00F82260"/>
    <w:rsid w:val="00F82DD3"/>
    <w:rsid w:val="00F83541"/>
    <w:rsid w:val="00F85A1B"/>
    <w:rsid w:val="00F87769"/>
    <w:rsid w:val="00F87BA3"/>
    <w:rsid w:val="00F90960"/>
    <w:rsid w:val="00F90A84"/>
    <w:rsid w:val="00F90AB3"/>
    <w:rsid w:val="00F91698"/>
    <w:rsid w:val="00F917EC"/>
    <w:rsid w:val="00F91DE6"/>
    <w:rsid w:val="00F930B0"/>
    <w:rsid w:val="00F93CCF"/>
    <w:rsid w:val="00F94161"/>
    <w:rsid w:val="00F94375"/>
    <w:rsid w:val="00F959BC"/>
    <w:rsid w:val="00FA055A"/>
    <w:rsid w:val="00FA14AB"/>
    <w:rsid w:val="00FA19FB"/>
    <w:rsid w:val="00FA1A34"/>
    <w:rsid w:val="00FA3024"/>
    <w:rsid w:val="00FA3918"/>
    <w:rsid w:val="00FA39A6"/>
    <w:rsid w:val="00FA40D4"/>
    <w:rsid w:val="00FA50BB"/>
    <w:rsid w:val="00FA7AED"/>
    <w:rsid w:val="00FB14B6"/>
    <w:rsid w:val="00FB15E4"/>
    <w:rsid w:val="00FB2255"/>
    <w:rsid w:val="00FB2265"/>
    <w:rsid w:val="00FB2508"/>
    <w:rsid w:val="00FB2894"/>
    <w:rsid w:val="00FB3007"/>
    <w:rsid w:val="00FB39DC"/>
    <w:rsid w:val="00FB3A44"/>
    <w:rsid w:val="00FB5538"/>
    <w:rsid w:val="00FB5858"/>
    <w:rsid w:val="00FB593A"/>
    <w:rsid w:val="00FB5C19"/>
    <w:rsid w:val="00FB6159"/>
    <w:rsid w:val="00FB61AF"/>
    <w:rsid w:val="00FB673F"/>
    <w:rsid w:val="00FB71C7"/>
    <w:rsid w:val="00FB737F"/>
    <w:rsid w:val="00FC0946"/>
    <w:rsid w:val="00FC0988"/>
    <w:rsid w:val="00FC0D6B"/>
    <w:rsid w:val="00FC1536"/>
    <w:rsid w:val="00FC2918"/>
    <w:rsid w:val="00FC441C"/>
    <w:rsid w:val="00FC46C4"/>
    <w:rsid w:val="00FC4EB7"/>
    <w:rsid w:val="00FC52F2"/>
    <w:rsid w:val="00FC5344"/>
    <w:rsid w:val="00FC542A"/>
    <w:rsid w:val="00FC5BAA"/>
    <w:rsid w:val="00FC7F96"/>
    <w:rsid w:val="00FD0515"/>
    <w:rsid w:val="00FD0898"/>
    <w:rsid w:val="00FD0B1C"/>
    <w:rsid w:val="00FD1D1F"/>
    <w:rsid w:val="00FD3084"/>
    <w:rsid w:val="00FD396F"/>
    <w:rsid w:val="00FD4097"/>
    <w:rsid w:val="00FD581F"/>
    <w:rsid w:val="00FD7809"/>
    <w:rsid w:val="00FD7A09"/>
    <w:rsid w:val="00FE04BF"/>
    <w:rsid w:val="00FE04F9"/>
    <w:rsid w:val="00FE058F"/>
    <w:rsid w:val="00FE1CDA"/>
    <w:rsid w:val="00FE2AB3"/>
    <w:rsid w:val="00FE2CDD"/>
    <w:rsid w:val="00FE2D9B"/>
    <w:rsid w:val="00FE2DDE"/>
    <w:rsid w:val="00FE2E2F"/>
    <w:rsid w:val="00FE3197"/>
    <w:rsid w:val="00FE3799"/>
    <w:rsid w:val="00FE38F1"/>
    <w:rsid w:val="00FE3958"/>
    <w:rsid w:val="00FE3E6B"/>
    <w:rsid w:val="00FE417A"/>
    <w:rsid w:val="00FE6381"/>
    <w:rsid w:val="00FE747D"/>
    <w:rsid w:val="00FE7A95"/>
    <w:rsid w:val="00FF0033"/>
    <w:rsid w:val="00FF0421"/>
    <w:rsid w:val="00FF201E"/>
    <w:rsid w:val="00FF21D6"/>
    <w:rsid w:val="00FF322C"/>
    <w:rsid w:val="00FF3C74"/>
    <w:rsid w:val="00FF54A3"/>
    <w:rsid w:val="00FF57F7"/>
    <w:rsid w:val="00FF626A"/>
    <w:rsid w:val="00FF78CE"/>
    <w:rsid w:val="00FF79C6"/>
    <w:rsid w:val="02158FCF"/>
    <w:rsid w:val="026804C3"/>
    <w:rsid w:val="0432441A"/>
    <w:rsid w:val="0462726F"/>
    <w:rsid w:val="05A8F029"/>
    <w:rsid w:val="073080FF"/>
    <w:rsid w:val="07737B47"/>
    <w:rsid w:val="07C1FF2E"/>
    <w:rsid w:val="0814FEDC"/>
    <w:rsid w:val="09574AF5"/>
    <w:rsid w:val="09C0B680"/>
    <w:rsid w:val="0AE6F494"/>
    <w:rsid w:val="0C0EDE7A"/>
    <w:rsid w:val="0C5260A1"/>
    <w:rsid w:val="0C6BD591"/>
    <w:rsid w:val="0F0C5729"/>
    <w:rsid w:val="10D0ED6E"/>
    <w:rsid w:val="13D2BEB8"/>
    <w:rsid w:val="1B074391"/>
    <w:rsid w:val="1C902EDE"/>
    <w:rsid w:val="1D1159D1"/>
    <w:rsid w:val="1D4E8D54"/>
    <w:rsid w:val="1FE99567"/>
    <w:rsid w:val="20B66F99"/>
    <w:rsid w:val="21B526FE"/>
    <w:rsid w:val="22E26785"/>
    <w:rsid w:val="268D3844"/>
    <w:rsid w:val="26A78FD6"/>
    <w:rsid w:val="280BE026"/>
    <w:rsid w:val="28B975AC"/>
    <w:rsid w:val="2AEAECAE"/>
    <w:rsid w:val="2CB2A699"/>
    <w:rsid w:val="2D182F58"/>
    <w:rsid w:val="2F90569E"/>
    <w:rsid w:val="336780CB"/>
    <w:rsid w:val="338029C4"/>
    <w:rsid w:val="3579D91E"/>
    <w:rsid w:val="36A3AB63"/>
    <w:rsid w:val="36C6EAC7"/>
    <w:rsid w:val="37DDB31F"/>
    <w:rsid w:val="38E15CE8"/>
    <w:rsid w:val="3C038868"/>
    <w:rsid w:val="3D55EF65"/>
    <w:rsid w:val="3DA4037B"/>
    <w:rsid w:val="3DAB50E0"/>
    <w:rsid w:val="3E2DF496"/>
    <w:rsid w:val="3F4DDA85"/>
    <w:rsid w:val="473A55C1"/>
    <w:rsid w:val="47F60EA5"/>
    <w:rsid w:val="4D53BA04"/>
    <w:rsid w:val="4FFD891F"/>
    <w:rsid w:val="51C70ADA"/>
    <w:rsid w:val="51D4526D"/>
    <w:rsid w:val="53F2BB91"/>
    <w:rsid w:val="56DAAF03"/>
    <w:rsid w:val="5738F298"/>
    <w:rsid w:val="577E8A2E"/>
    <w:rsid w:val="58113F85"/>
    <w:rsid w:val="5993DCB2"/>
    <w:rsid w:val="5A6F082F"/>
    <w:rsid w:val="5BBF2268"/>
    <w:rsid w:val="5EA705E2"/>
    <w:rsid w:val="60252CBB"/>
    <w:rsid w:val="60B83516"/>
    <w:rsid w:val="6207644F"/>
    <w:rsid w:val="62193386"/>
    <w:rsid w:val="632B1664"/>
    <w:rsid w:val="65198B61"/>
    <w:rsid w:val="65B1B6B0"/>
    <w:rsid w:val="68B369EC"/>
    <w:rsid w:val="68B9DDAA"/>
    <w:rsid w:val="6B44D545"/>
    <w:rsid w:val="6BD5CCAC"/>
    <w:rsid w:val="6C6B5C8E"/>
    <w:rsid w:val="6E0010CC"/>
    <w:rsid w:val="6E27778E"/>
    <w:rsid w:val="6EA91514"/>
    <w:rsid w:val="71A0ADB6"/>
    <w:rsid w:val="72535A7B"/>
    <w:rsid w:val="7531E39C"/>
    <w:rsid w:val="7706993F"/>
    <w:rsid w:val="775087ED"/>
    <w:rsid w:val="783640F1"/>
    <w:rsid w:val="7860AF1A"/>
    <w:rsid w:val="7944621B"/>
    <w:rsid w:val="79E8983D"/>
    <w:rsid w:val="7DBD4617"/>
    <w:rsid w:val="7EE52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19765B"/>
  <w15:docId w15:val="{8A723BEF-C62B-4D31-8B1A-1C93DAA9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A6086"/>
    <w:pPr>
      <w:numPr>
        <w:numId w:val="1"/>
      </w:numPr>
      <w:contextualSpacing/>
    </w:pPr>
  </w:style>
  <w:style w:type="paragraph" w:styleId="ListBullet2">
    <w:name w:val="List Bullet 2"/>
    <w:basedOn w:val="Normal"/>
    <w:uiPriority w:val="99"/>
    <w:semiHidden/>
    <w:unhideWhenUsed/>
    <w:rsid w:val="007A6086"/>
    <w:pPr>
      <w:numPr>
        <w:numId w:val="2"/>
      </w:numPr>
      <w:contextualSpacing/>
    </w:pPr>
  </w:style>
  <w:style w:type="paragraph" w:styleId="ListBullet3">
    <w:name w:val="List Bullet 3"/>
    <w:basedOn w:val="Normal"/>
    <w:uiPriority w:val="99"/>
    <w:semiHidden/>
    <w:unhideWhenUsed/>
    <w:rsid w:val="007A6086"/>
    <w:pPr>
      <w:numPr>
        <w:numId w:val="3"/>
      </w:numPr>
      <w:contextualSpacing/>
    </w:pPr>
  </w:style>
  <w:style w:type="paragraph" w:styleId="ListBullet4">
    <w:name w:val="List Bullet 4"/>
    <w:basedOn w:val="Normal"/>
    <w:uiPriority w:val="99"/>
    <w:semiHidden/>
    <w:unhideWhenUsed/>
    <w:rsid w:val="007A6086"/>
    <w:pPr>
      <w:numPr>
        <w:numId w:val="4"/>
      </w:numPr>
      <w:contextualSpacing/>
    </w:pPr>
  </w:style>
  <w:style w:type="table" w:styleId="TableGrid">
    <w:name w:val="Table Grid"/>
    <w:basedOn w:val="TableNormal"/>
    <w:uiPriority w:val="39"/>
    <w:rsid w:val="00DC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72B"/>
    <w:rPr>
      <w:color w:val="0000FF" w:themeColor="hyperlink"/>
      <w:u w:val="single"/>
    </w:rPr>
  </w:style>
  <w:style w:type="character" w:styleId="CommentReference">
    <w:name w:val="annotation reference"/>
    <w:basedOn w:val="DefaultParagraphFont"/>
    <w:uiPriority w:val="99"/>
    <w:semiHidden/>
    <w:unhideWhenUsed/>
    <w:rsid w:val="004B7A16"/>
    <w:rPr>
      <w:sz w:val="16"/>
    </w:rPr>
  </w:style>
  <w:style w:type="paragraph" w:styleId="CommentText">
    <w:name w:val="annotation text"/>
    <w:basedOn w:val="Normal"/>
    <w:link w:val="CommentTextChar"/>
    <w:uiPriority w:val="99"/>
    <w:unhideWhenUsed/>
    <w:rsid w:val="004B7A16"/>
    <w:rPr>
      <w:sz w:val="20"/>
    </w:rPr>
  </w:style>
  <w:style w:type="character" w:customStyle="1" w:styleId="CommentTextChar">
    <w:name w:val="Comment Text Char"/>
    <w:basedOn w:val="DefaultParagraphFont"/>
    <w:link w:val="CommentText"/>
    <w:uiPriority w:val="99"/>
    <w:rsid w:val="004B7A16"/>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4B7A16"/>
    <w:rPr>
      <w:b/>
    </w:rPr>
  </w:style>
  <w:style w:type="character" w:customStyle="1" w:styleId="CommentSubjectChar">
    <w:name w:val="Comment Subject Char"/>
    <w:basedOn w:val="CommentTextChar"/>
    <w:link w:val="CommentSubject"/>
    <w:uiPriority w:val="99"/>
    <w:semiHidden/>
    <w:rsid w:val="004B7A16"/>
    <w:rPr>
      <w:rFonts w:ascii="Times New Roman" w:hAnsi="Times New Roman" w:cs="Times New Roman"/>
      <w:b/>
      <w:sz w:val="20"/>
    </w:rPr>
  </w:style>
  <w:style w:type="paragraph" w:styleId="Revision">
    <w:name w:val="Revision"/>
    <w:hidden/>
    <w:uiPriority w:val="99"/>
    <w:semiHidden/>
    <w:rsid w:val="00AA7351"/>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BE619B"/>
    <w:rPr>
      <w:color w:val="800080" w:themeColor="followedHyperlink"/>
      <w:u w:val="single"/>
    </w:rPr>
  </w:style>
  <w:style w:type="paragraph" w:styleId="ListParagraph">
    <w:name w:val="List Paragraph"/>
    <w:basedOn w:val="Normal"/>
    <w:uiPriority w:val="34"/>
    <w:qFormat/>
    <w:rsid w:val="002D608E"/>
    <w:pPr>
      <w:spacing w:before="0" w:after="160" w:line="259" w:lineRule="auto"/>
      <w:ind w:left="720"/>
      <w:contextualSpacing/>
      <w:jc w:val="left"/>
    </w:pPr>
    <w:rPr>
      <w:rFonts w:asciiTheme="minorHAnsi" w:hAnsiTheme="minorHAnsi" w:cstheme="minorBidi"/>
      <w:sz w:val="22"/>
    </w:rPr>
  </w:style>
  <w:style w:type="character" w:customStyle="1" w:styleId="UnresolvedMention1">
    <w:name w:val="Unresolved Mention1"/>
    <w:basedOn w:val="DefaultParagraphFont"/>
    <w:uiPriority w:val="99"/>
    <w:unhideWhenUsed/>
    <w:rsid w:val="00B615ED"/>
    <w:rPr>
      <w:color w:val="605E5C"/>
      <w:shd w:val="clear" w:color="auto" w:fill="E1DFDD"/>
    </w:rPr>
  </w:style>
  <w:style w:type="character" w:customStyle="1" w:styleId="Mention1">
    <w:name w:val="Mention1"/>
    <w:basedOn w:val="DefaultParagraphFont"/>
    <w:uiPriority w:val="99"/>
    <w:unhideWhenUsed/>
    <w:rsid w:val="00B615ED"/>
    <w:rPr>
      <w:color w:val="2B579A"/>
      <w:shd w:val="clear" w:color="auto" w:fill="E1DFDD"/>
    </w:rPr>
  </w:style>
  <w:style w:type="character" w:customStyle="1" w:styleId="ui-provider">
    <w:name w:val="ui-provider"/>
    <w:basedOn w:val="DefaultParagraphFont"/>
    <w:rsid w:val="002C2A64"/>
  </w:style>
  <w:style w:type="paragraph" w:customStyle="1" w:styleId="Bulet1">
    <w:name w:val="Bulet 1"/>
    <w:basedOn w:val="Normal"/>
    <w:rsid w:val="00834FDC"/>
  </w:style>
  <w:style w:type="paragraph" w:customStyle="1" w:styleId="paragraph">
    <w:name w:val="paragraph"/>
    <w:basedOn w:val="Normal"/>
    <w:rsid w:val="00A1434A"/>
    <w:pPr>
      <w:spacing w:before="0" w:after="0"/>
      <w:jc w:val="left"/>
    </w:pPr>
    <w:rPr>
      <w:rFonts w:ascii="Calibri" w:hAnsi="Calibri" w:cs="Calibri"/>
      <w:sz w:val="22"/>
    </w:rPr>
  </w:style>
  <w:style w:type="character" w:customStyle="1" w:styleId="normaltextrun">
    <w:name w:val="normaltextrun"/>
    <w:basedOn w:val="DefaultParagraphFont"/>
    <w:rsid w:val="00A1434A"/>
  </w:style>
  <w:style w:type="character" w:customStyle="1" w:styleId="eop">
    <w:name w:val="eop"/>
    <w:basedOn w:val="DefaultParagraphFont"/>
    <w:rsid w:val="00A1434A"/>
  </w:style>
  <w:style w:type="paragraph" w:customStyle="1" w:styleId="Point2">
    <w:name w:val="Point 2"/>
    <w:basedOn w:val="Normal"/>
    <w:pPr>
      <w:ind w:left="1984" w:hanging="567"/>
    </w:pPr>
  </w:style>
  <w:style w:type="paragraph" w:styleId="Header">
    <w:name w:val="header"/>
    <w:basedOn w:val="Normal"/>
    <w:link w:val="HeaderChar"/>
    <w:uiPriority w:val="99"/>
    <w:unhideWhenUsed/>
    <w:rsid w:val="009410AC"/>
    <w:pPr>
      <w:tabs>
        <w:tab w:val="center" w:pos="4535"/>
        <w:tab w:val="right" w:pos="9071"/>
      </w:tabs>
      <w:spacing w:before="0"/>
    </w:pPr>
  </w:style>
  <w:style w:type="character" w:customStyle="1" w:styleId="HeaderChar">
    <w:name w:val="Header Char"/>
    <w:basedOn w:val="DefaultParagraphFont"/>
    <w:link w:val="Header"/>
    <w:uiPriority w:val="99"/>
    <w:rsid w:val="009410AC"/>
    <w:rPr>
      <w:rFonts w:ascii="Times New Roman" w:hAnsi="Times New Roman" w:cs="Times New Roman"/>
      <w:sz w:val="24"/>
      <w:lang w:val="es-ES_tradnl"/>
    </w:rPr>
  </w:style>
  <w:style w:type="paragraph" w:styleId="Footer">
    <w:name w:val="footer"/>
    <w:basedOn w:val="Normal"/>
    <w:link w:val="FooterChar"/>
    <w:uiPriority w:val="99"/>
    <w:unhideWhenUsed/>
    <w:rsid w:val="009410A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410AC"/>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410AC"/>
    <w:pPr>
      <w:tabs>
        <w:tab w:val="center" w:pos="7285"/>
        <w:tab w:val="right" w:pos="14003"/>
      </w:tabs>
      <w:spacing w:before="0"/>
    </w:pPr>
  </w:style>
  <w:style w:type="paragraph" w:customStyle="1" w:styleId="FooterLandscape">
    <w:name w:val="FooterLandscape"/>
    <w:basedOn w:val="Normal"/>
    <w:rsid w:val="009410A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410A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410AC"/>
    <w:pPr>
      <w:spacing w:before="0"/>
      <w:jc w:val="right"/>
    </w:pPr>
    <w:rPr>
      <w:sz w:val="28"/>
    </w:rPr>
  </w:style>
  <w:style w:type="paragraph" w:customStyle="1" w:styleId="FooterSensitivity">
    <w:name w:val="Footer Sensitivity"/>
    <w:basedOn w:val="Normal"/>
    <w:rsid w:val="009410A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0">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0"/>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83343">
      <w:bodyDiv w:val="1"/>
      <w:marLeft w:val="0"/>
      <w:marRight w:val="0"/>
      <w:marTop w:val="0"/>
      <w:marBottom w:val="0"/>
      <w:divBdr>
        <w:top w:val="none" w:sz="0" w:space="0" w:color="auto"/>
        <w:left w:val="none" w:sz="0" w:space="0" w:color="auto"/>
        <w:bottom w:val="none" w:sz="0" w:space="0" w:color="auto"/>
        <w:right w:val="none" w:sz="0" w:space="0" w:color="auto"/>
      </w:divBdr>
    </w:div>
    <w:div w:id="681325353">
      <w:bodyDiv w:val="1"/>
      <w:marLeft w:val="0"/>
      <w:marRight w:val="0"/>
      <w:marTop w:val="0"/>
      <w:marBottom w:val="0"/>
      <w:divBdr>
        <w:top w:val="none" w:sz="0" w:space="0" w:color="auto"/>
        <w:left w:val="none" w:sz="0" w:space="0" w:color="auto"/>
        <w:bottom w:val="none" w:sz="0" w:space="0" w:color="auto"/>
        <w:right w:val="none" w:sz="0" w:space="0" w:color="auto"/>
      </w:divBdr>
    </w:div>
    <w:div w:id="1053692951">
      <w:bodyDiv w:val="1"/>
      <w:marLeft w:val="0"/>
      <w:marRight w:val="0"/>
      <w:marTop w:val="0"/>
      <w:marBottom w:val="0"/>
      <w:divBdr>
        <w:top w:val="none" w:sz="0" w:space="0" w:color="auto"/>
        <w:left w:val="none" w:sz="0" w:space="0" w:color="auto"/>
        <w:bottom w:val="none" w:sz="0" w:space="0" w:color="auto"/>
        <w:right w:val="none" w:sz="0" w:space="0" w:color="auto"/>
      </w:divBdr>
    </w:div>
    <w:div w:id="1167751893">
      <w:bodyDiv w:val="1"/>
      <w:marLeft w:val="0"/>
      <w:marRight w:val="0"/>
      <w:marTop w:val="0"/>
      <w:marBottom w:val="0"/>
      <w:divBdr>
        <w:top w:val="none" w:sz="0" w:space="0" w:color="auto"/>
        <w:left w:val="none" w:sz="0" w:space="0" w:color="auto"/>
        <w:bottom w:val="none" w:sz="0" w:space="0" w:color="auto"/>
        <w:right w:val="none" w:sz="0" w:space="0" w:color="auto"/>
      </w:divBdr>
    </w:div>
    <w:div w:id="17145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abs/pii/S0038071797001259" TargetMode="External"/><Relationship Id="rId3" Type="http://schemas.openxmlformats.org/officeDocument/2006/relationships/hyperlink" Target="https://www.fao.org/3/cb3355en/cb3355en.pdf" TargetMode="External"/><Relationship Id="rId7" Type="http://schemas.openxmlformats.org/officeDocument/2006/relationships/hyperlink" Target="https://doi.org/10.1111/ejss.13299" TargetMode="External"/><Relationship Id="rId2" Type="http://schemas.openxmlformats.org/officeDocument/2006/relationships/hyperlink" Target="https://www.fao.org/3/a0541e/a0541e.pdf" TargetMode="External"/><Relationship Id="rId1" Type="http://schemas.openxmlformats.org/officeDocument/2006/relationships/hyperlink" Target="https://www.fao.org/3/a0541e/a0541e.pdf" TargetMode="External"/><Relationship Id="rId6" Type="http://schemas.openxmlformats.org/officeDocument/2006/relationships/hyperlink" Target="https://www.fao.org/3/a0541e/a0541e.pdf" TargetMode="External"/><Relationship Id="rId5" Type="http://schemas.openxmlformats.org/officeDocument/2006/relationships/hyperlink" Target="https://www.eea.europa.eu/publications/soil-monitoring-in-europe" TargetMode="External"/><Relationship Id="rId4" Type="http://schemas.openxmlformats.org/officeDocument/2006/relationships/hyperlink" Target="https://www.fao.org/3/a0541e/a0541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E6791410E4C45B6BB8EC9F646F735" ma:contentTypeVersion="2" ma:contentTypeDescription="Create a new document." ma:contentTypeScope="" ma:versionID="f51894aa037d766b01d020854341536f">
  <xsd:schema xmlns:xsd="http://www.w3.org/2001/XMLSchema" xmlns:xs="http://www.w3.org/2001/XMLSchema" xmlns:p="http://schemas.microsoft.com/office/2006/metadata/properties" xmlns:ns2="8f649706-d9fb-47e0-bf62-f0d19dfddb49" targetNamespace="http://schemas.microsoft.com/office/2006/metadata/properties" ma:root="true" ma:fieldsID="865d859b9f6e8c347c07718c097debf9" ns2:_="">
    <xsd:import namespace="8f649706-d9fb-47e0-bf62-f0d19dfddb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9706-d9fb-47e0-bf62-f0d19dfdd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3F9F-B684-4217-9F13-F3C2BAF9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9706-d9fb-47e0-bf62-f0d19dfdd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E9EDE-E133-43E8-8B99-FB802E7702D2}">
  <ds:schemaRefs>
    <ds:schemaRef ds:uri="http://schemas.microsoft.com/office/2006/documentManagement/types"/>
    <ds:schemaRef ds:uri="8f649706-d9fb-47e0-bf62-f0d19dfddb4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F9DB91-62DC-4DA8-AF50-B233FEAA93B3}">
  <ds:schemaRefs>
    <ds:schemaRef ds:uri="http://schemas.microsoft.com/sharepoint/v3/contenttype/forms"/>
  </ds:schemaRefs>
</ds:datastoreItem>
</file>

<file path=customXml/itemProps4.xml><?xml version="1.0" encoding="utf-8"?>
<ds:datastoreItem xmlns:ds="http://schemas.openxmlformats.org/officeDocument/2006/customXml" ds:itemID="{2844A194-DC53-4777-9B52-2BFF336C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33</TotalTime>
  <Pages>20</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Links>
    <vt:vector size="84" baseType="variant">
      <vt:variant>
        <vt:i4>2097248</vt:i4>
      </vt:variant>
      <vt:variant>
        <vt:i4>30</vt:i4>
      </vt:variant>
      <vt:variant>
        <vt:i4>0</vt:i4>
      </vt:variant>
      <vt:variant>
        <vt:i4>5</vt:i4>
      </vt:variant>
      <vt:variant>
        <vt:lpwstr>https://www.sciencedirect.com/science/article/abs/pii/S0038071797001259</vt:lpwstr>
      </vt:variant>
      <vt:variant>
        <vt:lpwstr/>
      </vt:variant>
      <vt:variant>
        <vt:i4>3211368</vt:i4>
      </vt:variant>
      <vt:variant>
        <vt:i4>27</vt:i4>
      </vt:variant>
      <vt:variant>
        <vt:i4>0</vt:i4>
      </vt:variant>
      <vt:variant>
        <vt:i4>5</vt:i4>
      </vt:variant>
      <vt:variant>
        <vt:lpwstr>https://doi.org/10.1111/ejss.13299</vt:lpwstr>
      </vt:variant>
      <vt:variant>
        <vt:lpwstr/>
      </vt:variant>
      <vt:variant>
        <vt:i4>3866665</vt:i4>
      </vt:variant>
      <vt:variant>
        <vt:i4>21</vt:i4>
      </vt:variant>
      <vt:variant>
        <vt:i4>0</vt:i4>
      </vt:variant>
      <vt:variant>
        <vt:i4>5</vt:i4>
      </vt:variant>
      <vt:variant>
        <vt:lpwstr>https://www.fao.org/3/a0541e/a0541e.pdf</vt:lpwstr>
      </vt:variant>
      <vt:variant>
        <vt:lpwstr/>
      </vt:variant>
      <vt:variant>
        <vt:i4>4915206</vt:i4>
      </vt:variant>
      <vt:variant>
        <vt:i4>12</vt:i4>
      </vt:variant>
      <vt:variant>
        <vt:i4>0</vt:i4>
      </vt:variant>
      <vt:variant>
        <vt:i4>5</vt:i4>
      </vt:variant>
      <vt:variant>
        <vt:lpwstr>https://www.eea.europa.eu/publications/soil-monitoring-in-europe</vt:lpwstr>
      </vt:variant>
      <vt:variant>
        <vt:lpwstr/>
      </vt:variant>
      <vt:variant>
        <vt:i4>3866665</vt:i4>
      </vt:variant>
      <vt:variant>
        <vt:i4>9</vt:i4>
      </vt:variant>
      <vt:variant>
        <vt:i4>0</vt:i4>
      </vt:variant>
      <vt:variant>
        <vt:i4>5</vt:i4>
      </vt:variant>
      <vt:variant>
        <vt:lpwstr>https://www.fao.org/3/a0541e/a0541e.pdf</vt:lpwstr>
      </vt:variant>
      <vt:variant>
        <vt:lpwstr/>
      </vt:variant>
      <vt:variant>
        <vt:i4>3473447</vt:i4>
      </vt:variant>
      <vt:variant>
        <vt:i4>6</vt:i4>
      </vt:variant>
      <vt:variant>
        <vt:i4>0</vt:i4>
      </vt:variant>
      <vt:variant>
        <vt:i4>5</vt:i4>
      </vt:variant>
      <vt:variant>
        <vt:lpwstr>https://www.fao.org/3/cb3355en/cb3355en.pdf</vt:lpwstr>
      </vt:variant>
      <vt:variant>
        <vt:lpwstr/>
      </vt:variant>
      <vt:variant>
        <vt:i4>3866665</vt:i4>
      </vt:variant>
      <vt:variant>
        <vt:i4>3</vt:i4>
      </vt:variant>
      <vt:variant>
        <vt:i4>0</vt:i4>
      </vt:variant>
      <vt:variant>
        <vt:i4>5</vt:i4>
      </vt:variant>
      <vt:variant>
        <vt:lpwstr>https://www.fao.org/3/a0541e/a0541e.pdf</vt:lpwstr>
      </vt:variant>
      <vt:variant>
        <vt:lpwstr/>
      </vt:variant>
      <vt:variant>
        <vt:i4>3866665</vt:i4>
      </vt:variant>
      <vt:variant>
        <vt:i4>0</vt:i4>
      </vt:variant>
      <vt:variant>
        <vt:i4>0</vt:i4>
      </vt:variant>
      <vt:variant>
        <vt:i4>5</vt:i4>
      </vt:variant>
      <vt:variant>
        <vt:lpwstr>https://www.fao.org/3/a0541e/a0541e.pdf</vt:lpwstr>
      </vt:variant>
      <vt:variant>
        <vt:lpwstr/>
      </vt:variant>
      <vt:variant>
        <vt:i4>7602241</vt:i4>
      </vt:variant>
      <vt:variant>
        <vt:i4>15</vt:i4>
      </vt:variant>
      <vt:variant>
        <vt:i4>0</vt:i4>
      </vt:variant>
      <vt:variant>
        <vt:i4>5</vt:i4>
      </vt:variant>
      <vt:variant>
        <vt:lpwstr>mailto:Christian.PROBST@ec.europa.eu</vt:lpwstr>
      </vt:variant>
      <vt:variant>
        <vt:lpwstr/>
      </vt:variant>
      <vt:variant>
        <vt:i4>7602241</vt:i4>
      </vt:variant>
      <vt:variant>
        <vt:i4>12</vt:i4>
      </vt:variant>
      <vt:variant>
        <vt:i4>0</vt:i4>
      </vt:variant>
      <vt:variant>
        <vt:i4>5</vt:i4>
      </vt:variant>
      <vt:variant>
        <vt:lpwstr>mailto:Christian.PROBST@ec.europa.eu</vt:lpwstr>
      </vt:variant>
      <vt:variant>
        <vt:lpwstr/>
      </vt:variant>
      <vt:variant>
        <vt:i4>6094965</vt:i4>
      </vt:variant>
      <vt:variant>
        <vt:i4>9</vt:i4>
      </vt:variant>
      <vt:variant>
        <vt:i4>0</vt:i4>
      </vt:variant>
      <vt:variant>
        <vt:i4>5</vt:i4>
      </vt:variant>
      <vt:variant>
        <vt:lpwstr>mailto:Mirco.BARBERO@ec.europa.eu</vt:lpwstr>
      </vt:variant>
      <vt:variant>
        <vt:lpwstr/>
      </vt:variant>
      <vt:variant>
        <vt:i4>6094965</vt:i4>
      </vt:variant>
      <vt:variant>
        <vt:i4>6</vt:i4>
      </vt:variant>
      <vt:variant>
        <vt:i4>0</vt:i4>
      </vt:variant>
      <vt:variant>
        <vt:i4>5</vt:i4>
      </vt:variant>
      <vt:variant>
        <vt:lpwstr>mailto:Mirco.BARBERO@ec.europa.eu</vt:lpwstr>
      </vt:variant>
      <vt:variant>
        <vt:lpwstr/>
      </vt:variant>
      <vt:variant>
        <vt:i4>6094965</vt:i4>
      </vt:variant>
      <vt:variant>
        <vt:i4>3</vt:i4>
      </vt:variant>
      <vt:variant>
        <vt:i4>0</vt:i4>
      </vt:variant>
      <vt:variant>
        <vt:i4>5</vt:i4>
      </vt:variant>
      <vt:variant>
        <vt:lpwstr>mailto:Mirco.BARBERO@ec.europa.eu</vt:lpwstr>
      </vt:variant>
      <vt:variant>
        <vt:lpwstr/>
      </vt:variant>
      <vt:variant>
        <vt:i4>6094965</vt:i4>
      </vt:variant>
      <vt:variant>
        <vt:i4>0</vt:i4>
      </vt:variant>
      <vt:variant>
        <vt:i4>0</vt:i4>
      </vt:variant>
      <vt:variant>
        <vt:i4>5</vt:i4>
      </vt:variant>
      <vt:variant>
        <vt:lpwstr>mailto:Mirco.BARBERO@ec.europa.eu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EC CoDe</cp:lastModifiedBy>
  <cp:revision>41</cp:revision>
  <cp:lastPrinted>2023-05-16T20:13:00Z</cp:lastPrinted>
  <dcterms:created xsi:type="dcterms:W3CDTF">2023-07-04T13:14:00Z</dcterms:created>
  <dcterms:modified xsi:type="dcterms:W3CDTF">2023-09-07T17:20:00Z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2023-01-26T14:34:32Z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877474c9-3f71-4f47-91ba-19f39415c7d8</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First annex">
    <vt:lpwstr>1</vt:lpwstr>
  </property>
  <property fmtid="{D5CDD505-2E9C-101B-9397-08002B2CF9AE}" pid="14" name="Last annex">
    <vt:lpwstr>7</vt:lpwstr>
  </property>
  <property fmtid="{D5CDD505-2E9C-101B-9397-08002B2CF9AE}" pid="15" name="Unique annex">
    <vt:lpwstr>0</vt:lpwstr>
  </property>
  <property fmtid="{D5CDD505-2E9C-101B-9397-08002B2CF9AE}" pid="16" name="Part">
    <vt:lpwstr>&lt;UNUSED&gt;</vt:lpwstr>
  </property>
  <property fmtid="{D5CDD505-2E9C-101B-9397-08002B2CF9AE}" pid="17" name="Total parts">
    <vt:lpwstr>&lt;UNUSED&gt;</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ContentTypeId">
    <vt:lpwstr>0x010100A36E6791410E4C45B6BB8EC9F646F735</vt:lpwstr>
  </property>
  <property fmtid="{D5CDD505-2E9C-101B-9397-08002B2CF9AE}" pid="21" name="DQCStatus">
    <vt:lpwstr>Green (DQC version 03)</vt:lpwstr>
  </property>
</Properties>
</file>