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03FCB" w14:textId="3F6E35E9" w:rsidR="00F869C5" w:rsidRPr="00750921" w:rsidRDefault="002203A1" w:rsidP="002203A1">
      <w:pPr>
        <w:pStyle w:val="Pagedecouverture"/>
        <w:rPr>
          <w:noProof/>
        </w:rPr>
      </w:pPr>
      <w:r>
        <w:rPr>
          <w:noProof/>
        </w:rPr>
        <w:pict w14:anchorId="08E6B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06D89BED-8558-4B46-A021-AACDA6917986" style="width:455.25pt;height:442.5pt">
            <v:imagedata r:id="rId8" o:title=""/>
          </v:shape>
        </w:pict>
      </w:r>
    </w:p>
    <w:p w14:paraId="438C2118" w14:textId="77777777" w:rsidR="00F869C5" w:rsidRPr="00750921" w:rsidRDefault="00F869C5" w:rsidP="00F869C5">
      <w:pPr>
        <w:rPr>
          <w:noProof/>
        </w:rPr>
        <w:sectPr w:rsidR="00F869C5" w:rsidRPr="00750921" w:rsidSect="002203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1DE6118" w14:textId="081771FD" w:rsidR="00F869C5" w:rsidRPr="00750921" w:rsidRDefault="00F869C5" w:rsidP="00F869C5">
      <w:pPr>
        <w:pStyle w:val="Annexetitre"/>
        <w:rPr>
          <w:rStyle w:val="Marker"/>
          <w:noProof/>
        </w:rPr>
      </w:pPr>
      <w:bookmarkStart w:id="0" w:name="_GoBack"/>
      <w:bookmarkEnd w:id="0"/>
      <w:r w:rsidRPr="00750921">
        <w:rPr>
          <w:noProof/>
        </w:rPr>
        <w:lastRenderedPageBreak/>
        <w:t>PŘÍLOHA</w:t>
      </w:r>
    </w:p>
    <w:p w14:paraId="7B3FCB94" w14:textId="77777777" w:rsidR="00F869C5" w:rsidRPr="00750921" w:rsidRDefault="00F869C5" w:rsidP="00F869C5">
      <w:pPr>
        <w:rPr>
          <w:noProof/>
        </w:rPr>
      </w:pPr>
    </w:p>
    <w:p w14:paraId="5971E254" w14:textId="2C7A63F8" w:rsidR="00F869C5" w:rsidRPr="00750921" w:rsidRDefault="00A332D6" w:rsidP="00370CAA">
      <w:pPr>
        <w:jc w:val="center"/>
        <w:rPr>
          <w:b/>
          <w:noProof/>
        </w:rPr>
      </w:pPr>
      <w:r w:rsidRPr="00750921">
        <w:rPr>
          <w:b/>
          <w:noProof/>
        </w:rPr>
        <w:t>MAXIMÁLNÍ HMOTNOSTI A ROZMĚRY A SOUVISEJÍCÍ CHARAKTERISTIKY VOZIDEL</w:t>
      </w:r>
    </w:p>
    <w:p w14:paraId="3E0B6D67" w14:textId="3199B788" w:rsidR="00F869C5" w:rsidRPr="00750921" w:rsidRDefault="00F869C5" w:rsidP="00F869C5">
      <w:pPr>
        <w:rPr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5"/>
        <w:gridCol w:w="906"/>
        <w:gridCol w:w="5385"/>
        <w:gridCol w:w="7"/>
        <w:gridCol w:w="10"/>
        <w:gridCol w:w="9"/>
        <w:gridCol w:w="1110"/>
      </w:tblGrid>
      <w:tr w:rsidR="002F1CAB" w:rsidRPr="00750921" w14:paraId="2C4169C0" w14:textId="77777777" w:rsidTr="0053371D">
        <w:trPr>
          <w:trHeight w:val="675"/>
        </w:trPr>
        <w:tc>
          <w:tcPr>
            <w:tcW w:w="8897" w:type="dxa"/>
            <w:gridSpan w:val="8"/>
            <w:hideMark/>
          </w:tcPr>
          <w:p w14:paraId="6C6CFD61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1. Maximální přípustné rozměry vozidel podle čl. 1 odst. 1 písm. a)</w:t>
            </w:r>
          </w:p>
        </w:tc>
      </w:tr>
      <w:tr w:rsidR="002F1CAB" w:rsidRPr="00750921" w14:paraId="061EB927" w14:textId="77777777" w:rsidTr="0053371D">
        <w:trPr>
          <w:trHeight w:val="600"/>
        </w:trPr>
        <w:tc>
          <w:tcPr>
            <w:tcW w:w="8897" w:type="dxa"/>
            <w:gridSpan w:val="8"/>
            <w:noWrap/>
            <w:hideMark/>
          </w:tcPr>
          <w:p w14:paraId="6482B9CC" w14:textId="6006274C" w:rsidR="002F1CAB" w:rsidRPr="00750921" w:rsidRDefault="002F1CAB" w:rsidP="003773B4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 1.1 Maximální délka</w:t>
            </w:r>
          </w:p>
        </w:tc>
      </w:tr>
      <w:tr w:rsidR="002F1CAB" w:rsidRPr="00750921" w14:paraId="244F48F4" w14:textId="77777777" w:rsidTr="0053371D">
        <w:trPr>
          <w:trHeight w:val="585"/>
        </w:trPr>
        <w:tc>
          <w:tcPr>
            <w:tcW w:w="675" w:type="dxa"/>
            <w:vMerge w:val="restart"/>
            <w:noWrap/>
            <w:hideMark/>
          </w:tcPr>
          <w:p w14:paraId="63B1D22D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37D8ED5A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181669D8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2EE73646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7719D4BF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3503A1DE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67658C80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3DCBF5F3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</w:tc>
        <w:tc>
          <w:tcPr>
            <w:tcW w:w="7103" w:type="dxa"/>
            <w:gridSpan w:val="5"/>
            <w:hideMark/>
          </w:tcPr>
          <w:p w14:paraId="54A730E3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motorové vozidlo jiné než autobus</w:t>
            </w:r>
          </w:p>
        </w:tc>
        <w:tc>
          <w:tcPr>
            <w:tcW w:w="1119" w:type="dxa"/>
            <w:gridSpan w:val="2"/>
            <w:hideMark/>
          </w:tcPr>
          <w:p w14:paraId="2D0B447D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12,00 m</w:t>
            </w:r>
          </w:p>
        </w:tc>
      </w:tr>
      <w:tr w:rsidR="002F1CAB" w:rsidRPr="00750921" w14:paraId="59047E78" w14:textId="77777777" w:rsidTr="0053371D">
        <w:trPr>
          <w:trHeight w:val="705"/>
        </w:trPr>
        <w:tc>
          <w:tcPr>
            <w:tcW w:w="675" w:type="dxa"/>
            <w:vMerge/>
            <w:noWrap/>
            <w:hideMark/>
          </w:tcPr>
          <w:p w14:paraId="10AE6E71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0ECFA891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přívěs</w:t>
            </w:r>
          </w:p>
        </w:tc>
        <w:tc>
          <w:tcPr>
            <w:tcW w:w="1119" w:type="dxa"/>
            <w:gridSpan w:val="2"/>
            <w:hideMark/>
          </w:tcPr>
          <w:p w14:paraId="4F82690A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12,00 m</w:t>
            </w:r>
          </w:p>
        </w:tc>
      </w:tr>
      <w:tr w:rsidR="002F1CAB" w:rsidRPr="00750921" w14:paraId="7F823E7B" w14:textId="77777777" w:rsidTr="0053371D">
        <w:trPr>
          <w:trHeight w:val="675"/>
        </w:trPr>
        <w:tc>
          <w:tcPr>
            <w:tcW w:w="675" w:type="dxa"/>
            <w:vMerge/>
            <w:noWrap/>
            <w:hideMark/>
          </w:tcPr>
          <w:p w14:paraId="1C74B9A2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45022EE1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návěsová souprava</w:t>
            </w:r>
          </w:p>
        </w:tc>
        <w:tc>
          <w:tcPr>
            <w:tcW w:w="1119" w:type="dxa"/>
            <w:gridSpan w:val="2"/>
            <w:hideMark/>
          </w:tcPr>
          <w:p w14:paraId="7FCD3BF6" w14:textId="671E811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16,50 m</w:t>
            </w:r>
          </w:p>
        </w:tc>
      </w:tr>
      <w:tr w:rsidR="002F1CAB" w:rsidRPr="00750921" w14:paraId="4538209E" w14:textId="77777777" w:rsidTr="0053371D">
        <w:trPr>
          <w:trHeight w:val="540"/>
        </w:trPr>
        <w:tc>
          <w:tcPr>
            <w:tcW w:w="675" w:type="dxa"/>
            <w:vMerge/>
            <w:noWrap/>
            <w:hideMark/>
          </w:tcPr>
          <w:p w14:paraId="42A3E719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24E59202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přívěsová souprava</w:t>
            </w:r>
          </w:p>
        </w:tc>
        <w:tc>
          <w:tcPr>
            <w:tcW w:w="1119" w:type="dxa"/>
            <w:gridSpan w:val="2"/>
            <w:hideMark/>
          </w:tcPr>
          <w:p w14:paraId="161F2E19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18,75 m</w:t>
            </w:r>
          </w:p>
        </w:tc>
      </w:tr>
      <w:tr w:rsidR="002F1CAB" w:rsidRPr="00750921" w14:paraId="3E45C755" w14:textId="77777777" w:rsidTr="0053371D">
        <w:trPr>
          <w:trHeight w:val="525"/>
        </w:trPr>
        <w:tc>
          <w:tcPr>
            <w:tcW w:w="675" w:type="dxa"/>
            <w:vMerge/>
            <w:noWrap/>
            <w:hideMark/>
          </w:tcPr>
          <w:p w14:paraId="15481555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09671FBF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kloubový autobus</w:t>
            </w:r>
          </w:p>
        </w:tc>
        <w:tc>
          <w:tcPr>
            <w:tcW w:w="1119" w:type="dxa"/>
            <w:gridSpan w:val="2"/>
            <w:hideMark/>
          </w:tcPr>
          <w:p w14:paraId="543988E6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18,75 m</w:t>
            </w:r>
          </w:p>
        </w:tc>
      </w:tr>
      <w:tr w:rsidR="002F1CAB" w:rsidRPr="00750921" w14:paraId="2CD4C7CA" w14:textId="77777777" w:rsidTr="0053371D">
        <w:trPr>
          <w:trHeight w:val="495"/>
        </w:trPr>
        <w:tc>
          <w:tcPr>
            <w:tcW w:w="675" w:type="dxa"/>
            <w:vMerge/>
            <w:noWrap/>
            <w:hideMark/>
          </w:tcPr>
          <w:p w14:paraId="15FCD150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1EF69DD7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autobus se dvěma nápravami</w:t>
            </w:r>
          </w:p>
        </w:tc>
        <w:tc>
          <w:tcPr>
            <w:tcW w:w="1119" w:type="dxa"/>
            <w:gridSpan w:val="2"/>
            <w:hideMark/>
          </w:tcPr>
          <w:p w14:paraId="76120849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13,50 m</w:t>
            </w:r>
          </w:p>
        </w:tc>
      </w:tr>
      <w:tr w:rsidR="002F1CAB" w:rsidRPr="00750921" w14:paraId="5239DB8B" w14:textId="77777777" w:rsidTr="0053371D">
        <w:trPr>
          <w:trHeight w:val="600"/>
        </w:trPr>
        <w:tc>
          <w:tcPr>
            <w:tcW w:w="675" w:type="dxa"/>
            <w:vMerge/>
            <w:noWrap/>
            <w:hideMark/>
          </w:tcPr>
          <w:p w14:paraId="7A01602E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21D3AFB6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autobus s více než dvěma nápravami</w:t>
            </w:r>
          </w:p>
        </w:tc>
        <w:tc>
          <w:tcPr>
            <w:tcW w:w="1119" w:type="dxa"/>
            <w:gridSpan w:val="2"/>
            <w:hideMark/>
          </w:tcPr>
          <w:p w14:paraId="51089B47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15,00 m</w:t>
            </w:r>
          </w:p>
        </w:tc>
      </w:tr>
      <w:tr w:rsidR="002F1CAB" w:rsidRPr="00750921" w14:paraId="3F20F763" w14:textId="77777777" w:rsidTr="0053371D">
        <w:trPr>
          <w:trHeight w:val="600"/>
        </w:trPr>
        <w:tc>
          <w:tcPr>
            <w:tcW w:w="675" w:type="dxa"/>
            <w:vMerge/>
            <w:noWrap/>
            <w:hideMark/>
          </w:tcPr>
          <w:p w14:paraId="10A83ACA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20E42250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autobus s přívěsem</w:t>
            </w:r>
          </w:p>
        </w:tc>
        <w:tc>
          <w:tcPr>
            <w:tcW w:w="1119" w:type="dxa"/>
            <w:gridSpan w:val="2"/>
            <w:hideMark/>
          </w:tcPr>
          <w:p w14:paraId="6B05231D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18,75 m</w:t>
            </w:r>
          </w:p>
        </w:tc>
      </w:tr>
      <w:tr w:rsidR="002F1CAB" w:rsidRPr="00750921" w14:paraId="3F0CC28B" w14:textId="77777777" w:rsidTr="0053371D">
        <w:trPr>
          <w:trHeight w:val="600"/>
        </w:trPr>
        <w:tc>
          <w:tcPr>
            <w:tcW w:w="8897" w:type="dxa"/>
            <w:gridSpan w:val="8"/>
            <w:noWrap/>
            <w:hideMark/>
          </w:tcPr>
          <w:p w14:paraId="6EBF6183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1.2 Maximální šířka</w:t>
            </w:r>
          </w:p>
        </w:tc>
      </w:tr>
      <w:tr w:rsidR="002F1CAB" w:rsidRPr="00750921" w14:paraId="178671F3" w14:textId="77777777" w:rsidTr="0053371D">
        <w:trPr>
          <w:trHeight w:val="795"/>
        </w:trPr>
        <w:tc>
          <w:tcPr>
            <w:tcW w:w="675" w:type="dxa"/>
            <w:vMerge w:val="restart"/>
            <w:noWrap/>
            <w:hideMark/>
          </w:tcPr>
          <w:p w14:paraId="67903452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22342839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</w:tc>
        <w:tc>
          <w:tcPr>
            <w:tcW w:w="7103" w:type="dxa"/>
            <w:gridSpan w:val="5"/>
            <w:hideMark/>
          </w:tcPr>
          <w:p w14:paraId="45F7E4E7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a) všechna vozidla s výjimkou vozidel uvedených v písmeni b)</w:t>
            </w:r>
          </w:p>
        </w:tc>
        <w:tc>
          <w:tcPr>
            <w:tcW w:w="1119" w:type="dxa"/>
            <w:gridSpan w:val="2"/>
            <w:hideMark/>
          </w:tcPr>
          <w:p w14:paraId="521555B9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2,55 m</w:t>
            </w:r>
          </w:p>
        </w:tc>
      </w:tr>
      <w:tr w:rsidR="002F1CAB" w:rsidRPr="00750921" w14:paraId="5BB25229" w14:textId="77777777" w:rsidTr="0053371D">
        <w:trPr>
          <w:trHeight w:val="795"/>
        </w:trPr>
        <w:tc>
          <w:tcPr>
            <w:tcW w:w="675" w:type="dxa"/>
            <w:vMerge/>
            <w:noWrap/>
            <w:hideMark/>
          </w:tcPr>
          <w:p w14:paraId="1BCE45A8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5352F15B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b) nástavby klimatizovaných vozidel nebo klimatizované kontejnery nebo výměnné nástavby přepravované vozidly</w:t>
            </w:r>
          </w:p>
        </w:tc>
        <w:tc>
          <w:tcPr>
            <w:tcW w:w="1119" w:type="dxa"/>
            <w:gridSpan w:val="2"/>
            <w:hideMark/>
          </w:tcPr>
          <w:p w14:paraId="30021A29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2,60 m</w:t>
            </w:r>
          </w:p>
        </w:tc>
      </w:tr>
      <w:tr w:rsidR="002F1CAB" w:rsidRPr="00750921" w14:paraId="1A351918" w14:textId="77777777" w:rsidTr="0053371D">
        <w:trPr>
          <w:trHeight w:val="525"/>
        </w:trPr>
        <w:tc>
          <w:tcPr>
            <w:tcW w:w="8897" w:type="dxa"/>
            <w:gridSpan w:val="8"/>
            <w:noWrap/>
            <w:hideMark/>
          </w:tcPr>
          <w:p w14:paraId="6306E2BB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1.3 Maximální výška</w:t>
            </w:r>
          </w:p>
        </w:tc>
      </w:tr>
      <w:tr w:rsidR="002F1CAB" w:rsidRPr="00750921" w14:paraId="4CD45080" w14:textId="77777777" w:rsidTr="0053371D">
        <w:trPr>
          <w:trHeight w:val="525"/>
        </w:trPr>
        <w:tc>
          <w:tcPr>
            <w:tcW w:w="675" w:type="dxa"/>
            <w:vMerge w:val="restart"/>
            <w:noWrap/>
            <w:hideMark/>
          </w:tcPr>
          <w:p w14:paraId="02107C8C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 xml:space="preserve"> </w:t>
            </w:r>
          </w:p>
          <w:p w14:paraId="4D86BDA2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 xml:space="preserve"> </w:t>
            </w:r>
          </w:p>
        </w:tc>
        <w:tc>
          <w:tcPr>
            <w:tcW w:w="7103" w:type="dxa"/>
            <w:gridSpan w:val="5"/>
            <w:hideMark/>
          </w:tcPr>
          <w:p w14:paraId="4525C13A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každé vozidlo</w:t>
            </w:r>
          </w:p>
        </w:tc>
        <w:tc>
          <w:tcPr>
            <w:tcW w:w="1119" w:type="dxa"/>
            <w:gridSpan w:val="2"/>
            <w:hideMark/>
          </w:tcPr>
          <w:p w14:paraId="5472A297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4,00 m</w:t>
            </w:r>
          </w:p>
        </w:tc>
      </w:tr>
      <w:tr w:rsidR="002F1CAB" w:rsidRPr="00750921" w14:paraId="73D1F55A" w14:textId="77777777" w:rsidTr="0053371D">
        <w:trPr>
          <w:trHeight w:val="735"/>
        </w:trPr>
        <w:tc>
          <w:tcPr>
            <w:tcW w:w="675" w:type="dxa"/>
            <w:vMerge/>
            <w:noWrap/>
            <w:hideMark/>
          </w:tcPr>
          <w:p w14:paraId="08210995" w14:textId="77777777" w:rsidR="002F1CAB" w:rsidRPr="00750921" w:rsidRDefault="002F1CAB" w:rsidP="00424BBC">
            <w:pPr>
              <w:rPr>
                <w:i/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76794CC0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– vozidla nebo soupravy vozidel přepravující v intermodální přepravě jeden nebo více kontejnerů se standardní vnější výškou 9 stop a 6 palců (vysoké krychlové kontejnery)</w:t>
            </w:r>
          </w:p>
        </w:tc>
        <w:tc>
          <w:tcPr>
            <w:tcW w:w="1119" w:type="dxa"/>
            <w:gridSpan w:val="2"/>
            <w:hideMark/>
          </w:tcPr>
          <w:p w14:paraId="268267B9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4,30 m</w:t>
            </w:r>
          </w:p>
        </w:tc>
      </w:tr>
      <w:tr w:rsidR="002F1CAB" w:rsidRPr="00750921" w14:paraId="1D4FE522" w14:textId="77777777" w:rsidTr="0053371D">
        <w:trPr>
          <w:trHeight w:val="1125"/>
        </w:trPr>
        <w:tc>
          <w:tcPr>
            <w:tcW w:w="8897" w:type="dxa"/>
            <w:gridSpan w:val="8"/>
            <w:noWrap/>
            <w:hideMark/>
          </w:tcPr>
          <w:p w14:paraId="58BE7308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 xml:space="preserve">1.4 Výměnné nástavby a standardní nákladní položky jako kontejnery jsou zahrnuty v rozměrech upřesněných v bodech </w:t>
            </w:r>
            <w:r w:rsidRPr="00750921">
              <w:rPr>
                <w:i/>
                <w:noProof/>
                <w:u w:val="single"/>
              </w:rPr>
              <w:t>1.1, 1.2, 1.3, 1.6, 1.7, 1.8 a 4.4.</w:t>
            </w:r>
          </w:p>
        </w:tc>
      </w:tr>
      <w:tr w:rsidR="002F1CAB" w:rsidRPr="00750921" w14:paraId="6F26C778" w14:textId="77777777" w:rsidTr="0053371D">
        <w:trPr>
          <w:trHeight w:val="1020"/>
        </w:trPr>
        <w:tc>
          <w:tcPr>
            <w:tcW w:w="8897" w:type="dxa"/>
            <w:gridSpan w:val="8"/>
            <w:noWrap/>
            <w:hideMark/>
          </w:tcPr>
          <w:p w14:paraId="1D15FA0F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1.4a Jestliže jsou autobusy opatřeny jakoukoli odnímatelnou výbavou, jako např. schránami na lyže, nesmí jejich délka včetně připevnění přesáhnout maximální délku uvedenou v bodě 1.1.</w:t>
            </w:r>
          </w:p>
        </w:tc>
      </w:tr>
      <w:tr w:rsidR="002F1CAB" w:rsidRPr="00750921" w14:paraId="6DD5343C" w14:textId="77777777" w:rsidTr="0053371D">
        <w:trPr>
          <w:trHeight w:val="945"/>
        </w:trPr>
        <w:tc>
          <w:tcPr>
            <w:tcW w:w="8897" w:type="dxa"/>
            <w:gridSpan w:val="8"/>
            <w:noWrap/>
            <w:hideMark/>
          </w:tcPr>
          <w:p w14:paraId="3DBF455F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1.5 Každé pohybující se motorové vozidlo nebo pohybující se souprava vozidel musí být schopné otočit se v mezikruží o vnějším poloměru 12,50 m a vnitřním poloměru 5,30 m.</w:t>
            </w:r>
          </w:p>
        </w:tc>
      </w:tr>
      <w:tr w:rsidR="002F1CAB" w:rsidRPr="00750921" w14:paraId="25B309E2" w14:textId="77777777" w:rsidTr="0053371D">
        <w:trPr>
          <w:trHeight w:val="615"/>
        </w:trPr>
        <w:tc>
          <w:tcPr>
            <w:tcW w:w="8897" w:type="dxa"/>
            <w:gridSpan w:val="8"/>
            <w:noWrap/>
            <w:hideMark/>
          </w:tcPr>
          <w:p w14:paraId="2741E320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1.5a Další požadavky na autobusy</w:t>
            </w:r>
          </w:p>
        </w:tc>
      </w:tr>
      <w:tr w:rsidR="002F1CAB" w:rsidRPr="00750921" w14:paraId="7E91C956" w14:textId="77777777" w:rsidTr="0053371D">
        <w:trPr>
          <w:trHeight w:val="1095"/>
        </w:trPr>
        <w:tc>
          <w:tcPr>
            <w:tcW w:w="675" w:type="dxa"/>
            <w:vMerge w:val="restart"/>
            <w:noWrap/>
            <w:hideMark/>
          </w:tcPr>
          <w:p w14:paraId="608EF2F9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670C2C6C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</w:tc>
        <w:tc>
          <w:tcPr>
            <w:tcW w:w="8222" w:type="dxa"/>
            <w:gridSpan w:val="7"/>
            <w:hideMark/>
          </w:tcPr>
          <w:p w14:paraId="59110FA3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Stojí-li vozidlo v klidu, stanoví se vyznačením čáry na zemi svislá rovina tečná k boku vozidla a směřující ven z kružnice. U kloubového vozidla se musí s touto rovinou vyrovnat obě pevné části.</w:t>
            </w:r>
          </w:p>
        </w:tc>
      </w:tr>
      <w:tr w:rsidR="002F1CAB" w:rsidRPr="00750921" w14:paraId="4AC076FB" w14:textId="77777777" w:rsidTr="0053371D">
        <w:trPr>
          <w:trHeight w:val="810"/>
        </w:trPr>
        <w:tc>
          <w:tcPr>
            <w:tcW w:w="675" w:type="dxa"/>
            <w:vMerge/>
            <w:noWrap/>
            <w:hideMark/>
          </w:tcPr>
          <w:p w14:paraId="39E5E260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8222" w:type="dxa"/>
            <w:gridSpan w:val="7"/>
            <w:hideMark/>
          </w:tcPr>
          <w:p w14:paraId="432A59B6" w14:textId="31CCE606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Pohybuje-li se vozidlo z přímého směru do mezikruží popsaného v bodě 1.5, nesmí žádná jeho část přesáhnout výše uvedenou svislou rovinu o více než 0,60 m.</w:t>
            </w:r>
          </w:p>
        </w:tc>
      </w:tr>
      <w:tr w:rsidR="002F1CAB" w:rsidRPr="00750921" w14:paraId="624A61DC" w14:textId="77777777" w:rsidTr="0053371D">
        <w:trPr>
          <w:trHeight w:val="780"/>
        </w:trPr>
        <w:tc>
          <w:tcPr>
            <w:tcW w:w="7787" w:type="dxa"/>
            <w:gridSpan w:val="7"/>
            <w:noWrap/>
            <w:hideMark/>
          </w:tcPr>
          <w:p w14:paraId="54A1492F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1.6 Největší vzdálenost mezi osou čepu sedla tahače a zadním čelem návěsu</w:t>
            </w:r>
          </w:p>
        </w:tc>
        <w:tc>
          <w:tcPr>
            <w:tcW w:w="1110" w:type="dxa"/>
            <w:hideMark/>
          </w:tcPr>
          <w:p w14:paraId="4A816D49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12,00 m</w:t>
            </w:r>
          </w:p>
        </w:tc>
      </w:tr>
      <w:tr w:rsidR="002F1CAB" w:rsidRPr="00750921" w14:paraId="521EC857" w14:textId="77777777" w:rsidTr="0053371D">
        <w:trPr>
          <w:trHeight w:val="1440"/>
        </w:trPr>
        <w:tc>
          <w:tcPr>
            <w:tcW w:w="7787" w:type="dxa"/>
            <w:gridSpan w:val="7"/>
            <w:noWrap/>
            <w:hideMark/>
          </w:tcPr>
          <w:p w14:paraId="5A9914AE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1.7 Největší vzdálenost měřená souběžně s podélnou osou přívěsové soupravy od nejpřednějšího vnějšího bodu nákladového prostoru za kabinou k nejzadnějšímu vnějšímu bodu přívěsu soupravy vozidel, minus vzdálenost mezi zadním čelem táhnoucího vozidla a předním čelem přívěsu</w:t>
            </w:r>
          </w:p>
        </w:tc>
        <w:tc>
          <w:tcPr>
            <w:tcW w:w="1110" w:type="dxa"/>
            <w:hideMark/>
          </w:tcPr>
          <w:p w14:paraId="3DBB364C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15,65 m</w:t>
            </w:r>
          </w:p>
        </w:tc>
      </w:tr>
      <w:tr w:rsidR="002F1CAB" w:rsidRPr="00750921" w14:paraId="06FE7926" w14:textId="77777777" w:rsidTr="0053371D">
        <w:trPr>
          <w:trHeight w:val="1050"/>
        </w:trPr>
        <w:tc>
          <w:tcPr>
            <w:tcW w:w="7787" w:type="dxa"/>
            <w:gridSpan w:val="7"/>
            <w:noWrap/>
            <w:hideMark/>
          </w:tcPr>
          <w:p w14:paraId="01F89D6E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1.8 Největší vzdálenost měřená souběžně s podélnou osou přívěsové soupravy od nejpřednějšího vnějšího bodu nákladového prostoru za kabinou k nejzadnějšímu vnějšímu bodu přívěsu soupravy vozidel</w:t>
            </w:r>
          </w:p>
        </w:tc>
        <w:tc>
          <w:tcPr>
            <w:tcW w:w="1110" w:type="dxa"/>
            <w:hideMark/>
          </w:tcPr>
          <w:p w14:paraId="39BC470C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16,40 m</w:t>
            </w:r>
          </w:p>
        </w:tc>
      </w:tr>
      <w:tr w:rsidR="002F1CAB" w:rsidRPr="00750921" w14:paraId="4DD565A0" w14:textId="77777777" w:rsidTr="0053371D">
        <w:trPr>
          <w:trHeight w:val="540"/>
        </w:trPr>
        <w:tc>
          <w:tcPr>
            <w:tcW w:w="8897" w:type="dxa"/>
            <w:gridSpan w:val="8"/>
            <w:hideMark/>
          </w:tcPr>
          <w:p w14:paraId="6B7A4C7E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2. Maximální přípustná hmotnost vozidla</w:t>
            </w:r>
          </w:p>
        </w:tc>
      </w:tr>
      <w:tr w:rsidR="002F1CAB" w:rsidRPr="00750921" w14:paraId="709D5970" w14:textId="77777777" w:rsidTr="0053371D">
        <w:trPr>
          <w:trHeight w:val="615"/>
        </w:trPr>
        <w:tc>
          <w:tcPr>
            <w:tcW w:w="8897" w:type="dxa"/>
            <w:gridSpan w:val="8"/>
            <w:noWrap/>
            <w:hideMark/>
          </w:tcPr>
          <w:p w14:paraId="0EA87BAD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2.1 Vozidla tvořící součást soupravy vozidel</w:t>
            </w:r>
          </w:p>
        </w:tc>
      </w:tr>
      <w:tr w:rsidR="002F1CAB" w:rsidRPr="00750921" w14:paraId="53E2F17E" w14:textId="77777777" w:rsidTr="0053371D">
        <w:trPr>
          <w:trHeight w:val="510"/>
        </w:trPr>
        <w:tc>
          <w:tcPr>
            <w:tcW w:w="675" w:type="dxa"/>
            <w:vMerge w:val="restart"/>
            <w:noWrap/>
            <w:hideMark/>
          </w:tcPr>
          <w:p w14:paraId="5F7D035D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59F6F35B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2.1.1</w:t>
            </w:r>
          </w:p>
        </w:tc>
        <w:tc>
          <w:tcPr>
            <w:tcW w:w="6298" w:type="dxa"/>
            <w:gridSpan w:val="3"/>
            <w:hideMark/>
          </w:tcPr>
          <w:p w14:paraId="71E2CB76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Dvounápravový přívěs</w:t>
            </w:r>
          </w:p>
        </w:tc>
        <w:tc>
          <w:tcPr>
            <w:tcW w:w="1129" w:type="dxa"/>
            <w:gridSpan w:val="3"/>
            <w:hideMark/>
          </w:tcPr>
          <w:p w14:paraId="24A4732B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18 tun</w:t>
            </w:r>
          </w:p>
        </w:tc>
      </w:tr>
      <w:tr w:rsidR="002F1CAB" w:rsidRPr="00750921" w14:paraId="5A93B57D" w14:textId="77777777" w:rsidTr="0053371D">
        <w:trPr>
          <w:trHeight w:val="570"/>
        </w:trPr>
        <w:tc>
          <w:tcPr>
            <w:tcW w:w="675" w:type="dxa"/>
            <w:vMerge/>
            <w:noWrap/>
            <w:hideMark/>
          </w:tcPr>
          <w:p w14:paraId="44574371" w14:textId="77777777" w:rsidR="002F1CAB" w:rsidRPr="00750921" w:rsidRDefault="002F1CAB" w:rsidP="00424BBC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62C329A1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2.1.2</w:t>
            </w:r>
          </w:p>
        </w:tc>
        <w:tc>
          <w:tcPr>
            <w:tcW w:w="6298" w:type="dxa"/>
            <w:gridSpan w:val="3"/>
            <w:hideMark/>
          </w:tcPr>
          <w:p w14:paraId="7420EEAF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Třínápravový přívěs</w:t>
            </w:r>
          </w:p>
        </w:tc>
        <w:tc>
          <w:tcPr>
            <w:tcW w:w="1129" w:type="dxa"/>
            <w:gridSpan w:val="3"/>
            <w:hideMark/>
          </w:tcPr>
          <w:p w14:paraId="2E71B0AD" w14:textId="77777777" w:rsidR="002F1CAB" w:rsidRPr="00750921" w:rsidRDefault="002F1CAB" w:rsidP="00424BBC">
            <w:pPr>
              <w:rPr>
                <w:noProof/>
              </w:rPr>
            </w:pPr>
            <w:r w:rsidRPr="00750921">
              <w:rPr>
                <w:noProof/>
              </w:rPr>
              <w:t>24 tun</w:t>
            </w:r>
          </w:p>
        </w:tc>
      </w:tr>
      <w:tr w:rsidR="002F1CAB" w:rsidRPr="00750921" w14:paraId="5A984ECF" w14:textId="77777777" w:rsidTr="0053371D">
        <w:trPr>
          <w:trHeight w:val="585"/>
        </w:trPr>
        <w:tc>
          <w:tcPr>
            <w:tcW w:w="8897" w:type="dxa"/>
            <w:gridSpan w:val="8"/>
            <w:noWrap/>
            <w:hideMark/>
          </w:tcPr>
          <w:p w14:paraId="6FA651AD" w14:textId="77777777" w:rsidR="002F1CAB" w:rsidRPr="00750921" w:rsidRDefault="002F1CAB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2.2 Soupravy vozidel</w:t>
            </w:r>
          </w:p>
        </w:tc>
      </w:tr>
      <w:tr w:rsidR="00A071B2" w:rsidRPr="00750921" w14:paraId="60950641" w14:textId="77777777" w:rsidTr="0053371D">
        <w:trPr>
          <w:trHeight w:val="435"/>
        </w:trPr>
        <w:tc>
          <w:tcPr>
            <w:tcW w:w="675" w:type="dxa"/>
            <w:vMerge w:val="restart"/>
            <w:noWrap/>
            <w:hideMark/>
          </w:tcPr>
          <w:p w14:paraId="201449DF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4562AE5A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75C79154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041F2D2B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3B148298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</w:tc>
        <w:tc>
          <w:tcPr>
            <w:tcW w:w="795" w:type="dxa"/>
            <w:vMerge w:val="restart"/>
            <w:hideMark/>
          </w:tcPr>
          <w:p w14:paraId="1CE2CEFF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2.2.1</w:t>
            </w:r>
          </w:p>
        </w:tc>
        <w:tc>
          <w:tcPr>
            <w:tcW w:w="7427" w:type="dxa"/>
            <w:gridSpan w:val="6"/>
            <w:hideMark/>
          </w:tcPr>
          <w:p w14:paraId="442BD4F1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Přívěsové soupravy s pěti nebo šesti nápravami</w:t>
            </w:r>
          </w:p>
        </w:tc>
      </w:tr>
      <w:tr w:rsidR="00A071B2" w:rsidRPr="00750921" w14:paraId="73CA0604" w14:textId="77777777" w:rsidTr="0053371D">
        <w:trPr>
          <w:trHeight w:val="525"/>
        </w:trPr>
        <w:tc>
          <w:tcPr>
            <w:tcW w:w="675" w:type="dxa"/>
            <w:vMerge/>
            <w:noWrap/>
            <w:hideMark/>
          </w:tcPr>
          <w:p w14:paraId="501DCA3F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/>
            <w:hideMark/>
          </w:tcPr>
          <w:p w14:paraId="21E4BC8A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6298" w:type="dxa"/>
            <w:gridSpan w:val="3"/>
            <w:hideMark/>
          </w:tcPr>
          <w:p w14:paraId="5F21B1F4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a) dvounápravové motorové vozidlo s třínápravovým přívěsem</w:t>
            </w:r>
          </w:p>
        </w:tc>
        <w:tc>
          <w:tcPr>
            <w:tcW w:w="1129" w:type="dxa"/>
            <w:gridSpan w:val="3"/>
            <w:hideMark/>
          </w:tcPr>
          <w:p w14:paraId="2AB4C3D8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40 tun</w:t>
            </w:r>
          </w:p>
        </w:tc>
      </w:tr>
      <w:tr w:rsidR="00A071B2" w:rsidRPr="00750921" w14:paraId="5E721CE3" w14:textId="77777777" w:rsidTr="0053371D">
        <w:trPr>
          <w:trHeight w:val="795"/>
        </w:trPr>
        <w:tc>
          <w:tcPr>
            <w:tcW w:w="675" w:type="dxa"/>
            <w:vMerge/>
            <w:noWrap/>
            <w:hideMark/>
          </w:tcPr>
          <w:p w14:paraId="2855AB69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/>
            <w:hideMark/>
          </w:tcPr>
          <w:p w14:paraId="799D9A9B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6298" w:type="dxa"/>
            <w:gridSpan w:val="3"/>
            <w:hideMark/>
          </w:tcPr>
          <w:p w14:paraId="2E4126BE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b) třínápravové motorové vozidlo s dvounápravovým nebo třínápravovým přívěsem</w:t>
            </w:r>
          </w:p>
        </w:tc>
        <w:tc>
          <w:tcPr>
            <w:tcW w:w="1129" w:type="dxa"/>
            <w:gridSpan w:val="3"/>
            <w:hideMark/>
          </w:tcPr>
          <w:p w14:paraId="1478195F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40 tun</w:t>
            </w:r>
          </w:p>
        </w:tc>
      </w:tr>
      <w:tr w:rsidR="00A071B2" w:rsidRPr="00750921" w14:paraId="69E0875B" w14:textId="77777777" w:rsidTr="0053371D">
        <w:trPr>
          <w:trHeight w:val="495"/>
        </w:trPr>
        <w:tc>
          <w:tcPr>
            <w:tcW w:w="675" w:type="dxa"/>
            <w:vMerge/>
            <w:noWrap/>
            <w:hideMark/>
          </w:tcPr>
          <w:p w14:paraId="7743C7DD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 w:val="restart"/>
            <w:hideMark/>
          </w:tcPr>
          <w:p w14:paraId="7E576690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2.2.2</w:t>
            </w:r>
          </w:p>
        </w:tc>
        <w:tc>
          <w:tcPr>
            <w:tcW w:w="7427" w:type="dxa"/>
            <w:gridSpan w:val="6"/>
            <w:hideMark/>
          </w:tcPr>
          <w:p w14:paraId="7A06971F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Návěsová souprava s pěti nebo šesti nápravami</w:t>
            </w:r>
          </w:p>
        </w:tc>
      </w:tr>
      <w:tr w:rsidR="00A071B2" w:rsidRPr="00750921" w14:paraId="04410D49" w14:textId="77777777" w:rsidTr="0053371D">
        <w:trPr>
          <w:trHeight w:val="690"/>
        </w:trPr>
        <w:tc>
          <w:tcPr>
            <w:tcW w:w="675" w:type="dxa"/>
            <w:vMerge/>
            <w:noWrap/>
            <w:hideMark/>
          </w:tcPr>
          <w:p w14:paraId="65B59B14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/>
            <w:hideMark/>
          </w:tcPr>
          <w:p w14:paraId="030B3320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906" w:type="dxa"/>
            <w:hideMark/>
          </w:tcPr>
          <w:p w14:paraId="5FB4F278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a) </w:t>
            </w:r>
          </w:p>
        </w:tc>
        <w:tc>
          <w:tcPr>
            <w:tcW w:w="5385" w:type="dxa"/>
            <w:hideMark/>
          </w:tcPr>
          <w:p w14:paraId="3BC6C701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dvounápravové motorové vozidlo s třínápravovým návěsem</w:t>
            </w:r>
          </w:p>
        </w:tc>
        <w:tc>
          <w:tcPr>
            <w:tcW w:w="1136" w:type="dxa"/>
            <w:gridSpan w:val="4"/>
            <w:hideMark/>
          </w:tcPr>
          <w:p w14:paraId="53CD40F0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40 tun</w:t>
            </w:r>
          </w:p>
        </w:tc>
      </w:tr>
      <w:tr w:rsidR="00A071B2" w:rsidRPr="00750921" w14:paraId="569BBA13" w14:textId="77777777" w:rsidTr="0053371D">
        <w:trPr>
          <w:trHeight w:val="630"/>
        </w:trPr>
        <w:tc>
          <w:tcPr>
            <w:tcW w:w="675" w:type="dxa"/>
            <w:vMerge/>
            <w:noWrap/>
            <w:hideMark/>
          </w:tcPr>
          <w:p w14:paraId="4EA751AE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/>
            <w:hideMark/>
          </w:tcPr>
          <w:p w14:paraId="03F567D7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906" w:type="dxa"/>
            <w:hideMark/>
          </w:tcPr>
          <w:p w14:paraId="789D5E98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b)</w:t>
            </w:r>
          </w:p>
        </w:tc>
        <w:tc>
          <w:tcPr>
            <w:tcW w:w="5385" w:type="dxa"/>
            <w:hideMark/>
          </w:tcPr>
          <w:p w14:paraId="4842F5F6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třínápravové vozidlo s dvounápravovým nebo třínápravovým návěsem</w:t>
            </w:r>
          </w:p>
        </w:tc>
        <w:tc>
          <w:tcPr>
            <w:tcW w:w="1136" w:type="dxa"/>
            <w:gridSpan w:val="4"/>
            <w:hideMark/>
          </w:tcPr>
          <w:p w14:paraId="4BE2CB3D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40 tun</w:t>
            </w:r>
          </w:p>
        </w:tc>
      </w:tr>
      <w:tr w:rsidR="00A071B2" w:rsidRPr="00750921" w14:paraId="1B6F3739" w14:textId="77777777" w:rsidTr="0053371D">
        <w:trPr>
          <w:trHeight w:val="795"/>
        </w:trPr>
        <w:tc>
          <w:tcPr>
            <w:tcW w:w="675" w:type="dxa"/>
            <w:vMerge/>
            <w:noWrap/>
            <w:hideMark/>
          </w:tcPr>
          <w:p w14:paraId="2F3E5FB8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/>
            <w:hideMark/>
          </w:tcPr>
          <w:p w14:paraId="06EAD024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906" w:type="dxa"/>
            <w:hideMark/>
          </w:tcPr>
          <w:p w14:paraId="793FB4B0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 xml:space="preserve">c) </w:t>
            </w:r>
          </w:p>
        </w:tc>
        <w:tc>
          <w:tcPr>
            <w:tcW w:w="5385" w:type="dxa"/>
            <w:hideMark/>
          </w:tcPr>
          <w:p w14:paraId="1C03CC4F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dvounápravové motorové vozidlo s třínápravovým návěsem použité v operacích intermodální přepravy</w:t>
            </w:r>
          </w:p>
        </w:tc>
        <w:tc>
          <w:tcPr>
            <w:tcW w:w="1136" w:type="dxa"/>
            <w:gridSpan w:val="4"/>
            <w:hideMark/>
          </w:tcPr>
          <w:p w14:paraId="58C1BCA7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42 tun</w:t>
            </w:r>
          </w:p>
        </w:tc>
      </w:tr>
      <w:tr w:rsidR="00A071B2" w:rsidRPr="00750921" w14:paraId="25F9571B" w14:textId="77777777" w:rsidTr="0053371D">
        <w:trPr>
          <w:trHeight w:val="735"/>
        </w:trPr>
        <w:tc>
          <w:tcPr>
            <w:tcW w:w="675" w:type="dxa"/>
            <w:vMerge/>
            <w:noWrap/>
            <w:hideMark/>
          </w:tcPr>
          <w:p w14:paraId="14A65668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/>
            <w:hideMark/>
          </w:tcPr>
          <w:p w14:paraId="4C4D9F4F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906" w:type="dxa"/>
            <w:hideMark/>
          </w:tcPr>
          <w:p w14:paraId="58E57722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d)</w:t>
            </w:r>
          </w:p>
        </w:tc>
        <w:tc>
          <w:tcPr>
            <w:tcW w:w="5385" w:type="dxa"/>
            <w:hideMark/>
          </w:tcPr>
          <w:p w14:paraId="76184098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třínápravové vozidlo s dvounápravovým nebo třínápravovým návěsem použité v operacích intermodální přepravy</w:t>
            </w:r>
          </w:p>
        </w:tc>
        <w:tc>
          <w:tcPr>
            <w:tcW w:w="1136" w:type="dxa"/>
            <w:gridSpan w:val="4"/>
            <w:hideMark/>
          </w:tcPr>
          <w:p w14:paraId="1B7300FB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44 tun</w:t>
            </w:r>
          </w:p>
        </w:tc>
      </w:tr>
      <w:tr w:rsidR="00A071B2" w:rsidRPr="00750921" w14:paraId="731BD360" w14:textId="77777777" w:rsidTr="0053371D">
        <w:trPr>
          <w:trHeight w:val="634"/>
        </w:trPr>
        <w:tc>
          <w:tcPr>
            <w:tcW w:w="675" w:type="dxa"/>
            <w:vMerge/>
            <w:noWrap/>
            <w:hideMark/>
          </w:tcPr>
          <w:p w14:paraId="6398C014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760DB1AE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2.2.3</w:t>
            </w:r>
          </w:p>
        </w:tc>
        <w:tc>
          <w:tcPr>
            <w:tcW w:w="6298" w:type="dxa"/>
            <w:gridSpan w:val="3"/>
            <w:hideMark/>
          </w:tcPr>
          <w:p w14:paraId="06664811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Přívěsová souprava o čtyřech nápravách skládající se z dvounápravového motorového vozidla a dvounápravového přívěsu</w:t>
            </w:r>
          </w:p>
        </w:tc>
        <w:tc>
          <w:tcPr>
            <w:tcW w:w="1129" w:type="dxa"/>
            <w:gridSpan w:val="3"/>
            <w:hideMark/>
          </w:tcPr>
          <w:p w14:paraId="1CE75E5D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36 tun</w:t>
            </w:r>
          </w:p>
        </w:tc>
      </w:tr>
      <w:tr w:rsidR="00A071B2" w:rsidRPr="00750921" w14:paraId="461FEAEF" w14:textId="77777777" w:rsidTr="0053371D">
        <w:trPr>
          <w:trHeight w:val="780"/>
        </w:trPr>
        <w:tc>
          <w:tcPr>
            <w:tcW w:w="675" w:type="dxa"/>
            <w:vMerge/>
            <w:noWrap/>
          </w:tcPr>
          <w:p w14:paraId="1948E37F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 w:val="restart"/>
            <w:hideMark/>
          </w:tcPr>
          <w:p w14:paraId="1C4C45F2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2.2.4</w:t>
            </w:r>
          </w:p>
        </w:tc>
        <w:tc>
          <w:tcPr>
            <w:tcW w:w="7427" w:type="dxa"/>
            <w:gridSpan w:val="6"/>
            <w:hideMark/>
          </w:tcPr>
          <w:p w14:paraId="35242158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Návěsové soupravy se čtyřmi nápravami skládající se z dvounápravového motorového vozidla a dvounápravového návěsu, je-li vzdálenost mezi nápravami návěsu</w:t>
            </w:r>
          </w:p>
        </w:tc>
      </w:tr>
      <w:tr w:rsidR="00A071B2" w:rsidRPr="00750921" w14:paraId="2DDFA901" w14:textId="77777777" w:rsidTr="0053371D">
        <w:trPr>
          <w:trHeight w:val="492"/>
        </w:trPr>
        <w:tc>
          <w:tcPr>
            <w:tcW w:w="675" w:type="dxa"/>
            <w:vMerge/>
            <w:noWrap/>
          </w:tcPr>
          <w:p w14:paraId="5184B4FB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/>
            <w:hideMark/>
          </w:tcPr>
          <w:p w14:paraId="6B1FD912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906" w:type="dxa"/>
            <w:hideMark/>
          </w:tcPr>
          <w:p w14:paraId="3FD78A37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2.2.4.1</w:t>
            </w:r>
          </w:p>
        </w:tc>
        <w:tc>
          <w:tcPr>
            <w:tcW w:w="5385" w:type="dxa"/>
            <w:hideMark/>
          </w:tcPr>
          <w:p w14:paraId="4ADE316D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1,3 m nebo větší, ale ne více než 1,8 m</w:t>
            </w:r>
          </w:p>
        </w:tc>
        <w:tc>
          <w:tcPr>
            <w:tcW w:w="1136" w:type="dxa"/>
            <w:gridSpan w:val="4"/>
            <w:hideMark/>
          </w:tcPr>
          <w:p w14:paraId="491B0D72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36 tun</w:t>
            </w:r>
          </w:p>
        </w:tc>
      </w:tr>
      <w:tr w:rsidR="00A071B2" w:rsidRPr="00750921" w14:paraId="67401857" w14:textId="77777777" w:rsidTr="0053371D">
        <w:trPr>
          <w:trHeight w:val="420"/>
        </w:trPr>
        <w:tc>
          <w:tcPr>
            <w:tcW w:w="675" w:type="dxa"/>
            <w:vMerge/>
            <w:noWrap/>
          </w:tcPr>
          <w:p w14:paraId="786355FD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/>
            <w:hideMark/>
          </w:tcPr>
          <w:p w14:paraId="15E6C7D2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906" w:type="dxa"/>
            <w:vMerge w:val="restart"/>
            <w:hideMark/>
          </w:tcPr>
          <w:p w14:paraId="518C6EF9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2.2.4.2</w:t>
            </w:r>
          </w:p>
        </w:tc>
        <w:tc>
          <w:tcPr>
            <w:tcW w:w="5385" w:type="dxa"/>
            <w:hideMark/>
          </w:tcPr>
          <w:p w14:paraId="138A1C54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větší než 1,8 m</w:t>
            </w:r>
          </w:p>
        </w:tc>
        <w:tc>
          <w:tcPr>
            <w:tcW w:w="1136" w:type="dxa"/>
            <w:gridSpan w:val="4"/>
            <w:hideMark/>
          </w:tcPr>
          <w:p w14:paraId="346D7C23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36 tun</w:t>
            </w:r>
          </w:p>
        </w:tc>
      </w:tr>
      <w:tr w:rsidR="00A071B2" w:rsidRPr="00750921" w14:paraId="5BFD7AB7" w14:textId="77777777" w:rsidTr="0053371D">
        <w:trPr>
          <w:trHeight w:val="1770"/>
        </w:trPr>
        <w:tc>
          <w:tcPr>
            <w:tcW w:w="675" w:type="dxa"/>
            <w:vMerge/>
            <w:noWrap/>
          </w:tcPr>
          <w:p w14:paraId="20F2A257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795" w:type="dxa"/>
            <w:vMerge/>
            <w:hideMark/>
          </w:tcPr>
          <w:p w14:paraId="174AAA31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906" w:type="dxa"/>
            <w:vMerge/>
            <w:hideMark/>
          </w:tcPr>
          <w:p w14:paraId="266FD153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6521" w:type="dxa"/>
            <w:gridSpan w:val="5"/>
            <w:hideMark/>
          </w:tcPr>
          <w:p w14:paraId="2ABE277C" w14:textId="7978C2C3" w:rsidR="00A071B2" w:rsidRPr="00750921" w:rsidRDefault="00A071B2" w:rsidP="00B65FB4">
            <w:pPr>
              <w:rPr>
                <w:noProof/>
              </w:rPr>
            </w:pPr>
            <w:r w:rsidRPr="00750921">
              <w:rPr>
                <w:noProof/>
              </w:rPr>
              <w:t>Je-li dodržena maximální přípustná hmotnost motorového vozidla (18 tun) a maximální přípustná hmotnost tandemové nápravy návěsu (20 tun) a hnací náprava je vybavena dvojitými pneumatikami a pneumatickým zavěšením, nebo zavěšením uznaným jako rovnocenné v rámci Unie podle přílohy II, zvyšuje se maximální přípustná hmotnost stanovená v bodě 2.2.4.2 o 2 tuny.</w:t>
            </w:r>
          </w:p>
        </w:tc>
      </w:tr>
      <w:tr w:rsidR="00A071B2" w:rsidRPr="00750921" w14:paraId="3BE921C7" w14:textId="77777777" w:rsidTr="0043398C">
        <w:trPr>
          <w:trHeight w:val="780"/>
        </w:trPr>
        <w:tc>
          <w:tcPr>
            <w:tcW w:w="675" w:type="dxa"/>
            <w:vMerge/>
            <w:noWrap/>
          </w:tcPr>
          <w:p w14:paraId="4DB9CAA8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8222" w:type="dxa"/>
            <w:gridSpan w:val="7"/>
          </w:tcPr>
          <w:p w14:paraId="050C175E" w14:textId="67344F05" w:rsidR="00A071B2" w:rsidRPr="00750921" w:rsidRDefault="00A071B2" w:rsidP="003C25E6">
            <w:pPr>
              <w:rPr>
                <w:noProof/>
              </w:rPr>
            </w:pPr>
            <w:r w:rsidRPr="00750921">
              <w:rPr>
                <w:noProof/>
              </w:rPr>
              <w:t>V případě souprav vozidel zahrnujících vozidla na alternativní paliva jiná než vozidla s nulovými emisemi se maximální přípustná hmotnost stanovená v pododdílu 2.2 zvyšuje o dodatečnou hmotnost technologie na alternativní paliva, a to nejvýše o 1 tunu.</w:t>
            </w:r>
          </w:p>
        </w:tc>
      </w:tr>
      <w:tr w:rsidR="00E52C82" w:rsidRPr="00750921" w14:paraId="58F636F1" w14:textId="77777777" w:rsidTr="0043398C">
        <w:trPr>
          <w:trHeight w:val="780"/>
        </w:trPr>
        <w:tc>
          <w:tcPr>
            <w:tcW w:w="675" w:type="dxa"/>
            <w:vMerge/>
            <w:noWrap/>
          </w:tcPr>
          <w:p w14:paraId="37EAD072" w14:textId="77777777" w:rsidR="00E52C82" w:rsidRPr="00750921" w:rsidRDefault="00E52C82" w:rsidP="00424BBC">
            <w:pPr>
              <w:rPr>
                <w:noProof/>
              </w:rPr>
            </w:pPr>
          </w:p>
        </w:tc>
        <w:tc>
          <w:tcPr>
            <w:tcW w:w="8222" w:type="dxa"/>
            <w:gridSpan w:val="7"/>
          </w:tcPr>
          <w:p w14:paraId="464B7C8E" w14:textId="2B2C4E4D" w:rsidR="00E52C82" w:rsidRPr="00750921" w:rsidRDefault="00E52C82" w:rsidP="00424BBC">
            <w:pPr>
              <w:rPr>
                <w:noProof/>
              </w:rPr>
            </w:pPr>
            <w:r w:rsidRPr="00750921">
              <w:rPr>
                <w:noProof/>
              </w:rPr>
              <w:t>V případě souprav vozidel zahrnujících vozidla s nulovými emisemi se maximální přípustná hmotnost stanovená v pododdílech 2.2.1 a 2.2.2 zvyšuje o 4 tuny.</w:t>
            </w:r>
          </w:p>
        </w:tc>
      </w:tr>
      <w:tr w:rsidR="00A071B2" w:rsidRPr="00750921" w14:paraId="5A9E0CEE" w14:textId="77777777" w:rsidTr="0043398C">
        <w:trPr>
          <w:trHeight w:val="780"/>
        </w:trPr>
        <w:tc>
          <w:tcPr>
            <w:tcW w:w="675" w:type="dxa"/>
            <w:vMerge/>
            <w:noWrap/>
          </w:tcPr>
          <w:p w14:paraId="1C51CF6D" w14:textId="77777777" w:rsidR="00A071B2" w:rsidRPr="00750921" w:rsidRDefault="00A071B2" w:rsidP="00424BBC">
            <w:pPr>
              <w:rPr>
                <w:noProof/>
              </w:rPr>
            </w:pPr>
          </w:p>
        </w:tc>
        <w:tc>
          <w:tcPr>
            <w:tcW w:w="8222" w:type="dxa"/>
            <w:gridSpan w:val="7"/>
          </w:tcPr>
          <w:p w14:paraId="098F5434" w14:textId="7BCDA86A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V případě souprav vozidel zahrnující vozidla s nulovými emisemi se maximální přípustná hmotnost stanovená v pododdílech 2.2.3 a 2.2.4 zvyšuje o 2 tuny.</w:t>
            </w:r>
          </w:p>
        </w:tc>
      </w:tr>
      <w:tr w:rsidR="002F1CAB" w:rsidRPr="00750921" w14:paraId="4E55CDFF" w14:textId="77777777" w:rsidTr="0053371D">
        <w:trPr>
          <w:trHeight w:val="469"/>
        </w:trPr>
        <w:tc>
          <w:tcPr>
            <w:tcW w:w="8897" w:type="dxa"/>
            <w:gridSpan w:val="8"/>
            <w:noWrap/>
            <w:hideMark/>
          </w:tcPr>
          <w:p w14:paraId="7FBE9B39" w14:textId="625CAB73" w:rsidR="002F1CAB" w:rsidRPr="00750921" w:rsidRDefault="00922664" w:rsidP="00424BBC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2.3 Motorová vozidla</w:t>
            </w:r>
          </w:p>
        </w:tc>
      </w:tr>
      <w:tr w:rsidR="00A071B2" w:rsidRPr="00750921" w14:paraId="036C4772" w14:textId="77777777" w:rsidTr="000A582B">
        <w:trPr>
          <w:trHeight w:val="525"/>
        </w:trPr>
        <w:tc>
          <w:tcPr>
            <w:tcW w:w="675" w:type="dxa"/>
            <w:vMerge w:val="restart"/>
            <w:noWrap/>
            <w:hideMark/>
          </w:tcPr>
          <w:p w14:paraId="4CCC85E1" w14:textId="77777777" w:rsidR="00A071B2" w:rsidRPr="00750921" w:rsidRDefault="00A071B2" w:rsidP="00424BBC">
            <w:pPr>
              <w:rPr>
                <w:noProof/>
              </w:rPr>
            </w:pPr>
          </w:p>
          <w:p w14:paraId="5D38E533" w14:textId="74C5963A" w:rsidR="00A071B2" w:rsidRPr="00750921" w:rsidRDefault="00A071B2" w:rsidP="00D77283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</w:tc>
        <w:tc>
          <w:tcPr>
            <w:tcW w:w="795" w:type="dxa"/>
            <w:hideMark/>
          </w:tcPr>
          <w:p w14:paraId="6ABDB4E9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2.3.1</w:t>
            </w:r>
          </w:p>
        </w:tc>
        <w:tc>
          <w:tcPr>
            <w:tcW w:w="6298" w:type="dxa"/>
            <w:gridSpan w:val="3"/>
            <w:hideMark/>
          </w:tcPr>
          <w:p w14:paraId="0AD23141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Dvounápravová motorová vozidla jiná než autobusy</w:t>
            </w:r>
          </w:p>
        </w:tc>
        <w:tc>
          <w:tcPr>
            <w:tcW w:w="1129" w:type="dxa"/>
            <w:gridSpan w:val="3"/>
            <w:hideMark/>
          </w:tcPr>
          <w:p w14:paraId="3CB83F97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18 tun</w:t>
            </w:r>
          </w:p>
        </w:tc>
      </w:tr>
      <w:tr w:rsidR="00A071B2" w:rsidRPr="00750921" w14:paraId="7FD8AB73" w14:textId="77777777" w:rsidTr="000A582B">
        <w:trPr>
          <w:trHeight w:val="465"/>
        </w:trPr>
        <w:tc>
          <w:tcPr>
            <w:tcW w:w="675" w:type="dxa"/>
            <w:vMerge/>
            <w:noWrap/>
            <w:hideMark/>
          </w:tcPr>
          <w:p w14:paraId="6BFD8DBE" w14:textId="30BA43BE" w:rsidR="00A071B2" w:rsidRPr="00750921" w:rsidRDefault="00A071B2" w:rsidP="00D77283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7933AE1A" w14:textId="3F94EA4A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 2.3.2</w:t>
            </w:r>
          </w:p>
        </w:tc>
        <w:tc>
          <w:tcPr>
            <w:tcW w:w="6298" w:type="dxa"/>
            <w:gridSpan w:val="3"/>
            <w:hideMark/>
          </w:tcPr>
          <w:p w14:paraId="4EAB13DB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Dvounápravové autobusy</w:t>
            </w:r>
          </w:p>
        </w:tc>
        <w:tc>
          <w:tcPr>
            <w:tcW w:w="1129" w:type="dxa"/>
            <w:gridSpan w:val="3"/>
            <w:hideMark/>
          </w:tcPr>
          <w:p w14:paraId="14258E81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19,5 tuny</w:t>
            </w:r>
          </w:p>
        </w:tc>
      </w:tr>
      <w:tr w:rsidR="00A071B2" w:rsidRPr="00750921" w14:paraId="04847C62" w14:textId="77777777" w:rsidTr="000A582B">
        <w:trPr>
          <w:trHeight w:val="795"/>
        </w:trPr>
        <w:tc>
          <w:tcPr>
            <w:tcW w:w="675" w:type="dxa"/>
            <w:vMerge/>
            <w:noWrap/>
            <w:hideMark/>
          </w:tcPr>
          <w:p w14:paraId="36364AA5" w14:textId="1522D4EF" w:rsidR="00A071B2" w:rsidRPr="00750921" w:rsidRDefault="00A071B2" w:rsidP="00D77283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5BDA7D1F" w14:textId="10A6A53E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2.3.3</w:t>
            </w:r>
          </w:p>
        </w:tc>
        <w:tc>
          <w:tcPr>
            <w:tcW w:w="6298" w:type="dxa"/>
            <w:gridSpan w:val="3"/>
            <w:hideMark/>
          </w:tcPr>
          <w:p w14:paraId="67FEFEA7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Třínápravová motorová vozidla</w:t>
            </w:r>
          </w:p>
        </w:tc>
        <w:tc>
          <w:tcPr>
            <w:tcW w:w="1129" w:type="dxa"/>
            <w:gridSpan w:val="3"/>
            <w:hideMark/>
          </w:tcPr>
          <w:p w14:paraId="3C7C3831" w14:textId="77777777" w:rsidR="00A071B2" w:rsidRPr="00750921" w:rsidRDefault="00A071B2" w:rsidP="00424BBC">
            <w:pPr>
              <w:rPr>
                <w:noProof/>
              </w:rPr>
            </w:pPr>
            <w:r w:rsidRPr="00750921">
              <w:rPr>
                <w:noProof/>
              </w:rPr>
              <w:t>25 tun</w:t>
            </w:r>
          </w:p>
        </w:tc>
      </w:tr>
      <w:tr w:rsidR="00A071B2" w:rsidRPr="00750921" w14:paraId="00F60F40" w14:textId="77777777" w:rsidTr="000A582B">
        <w:trPr>
          <w:trHeight w:val="795"/>
        </w:trPr>
        <w:tc>
          <w:tcPr>
            <w:tcW w:w="675" w:type="dxa"/>
            <w:vMerge/>
            <w:noWrap/>
          </w:tcPr>
          <w:p w14:paraId="7D727ED6" w14:textId="55BFD1F9" w:rsidR="00A071B2" w:rsidRPr="00750921" w:rsidRDefault="00A071B2" w:rsidP="00D77283">
            <w:pPr>
              <w:rPr>
                <w:noProof/>
              </w:rPr>
            </w:pPr>
          </w:p>
        </w:tc>
        <w:tc>
          <w:tcPr>
            <w:tcW w:w="795" w:type="dxa"/>
          </w:tcPr>
          <w:p w14:paraId="2C78D8B2" w14:textId="4646E515" w:rsidR="00A071B2" w:rsidRPr="00750921" w:rsidRDefault="00A071B2" w:rsidP="00D77283">
            <w:pPr>
              <w:rPr>
                <w:noProof/>
              </w:rPr>
            </w:pPr>
            <w:r w:rsidRPr="00750921">
              <w:rPr>
                <w:noProof/>
              </w:rPr>
              <w:t>2.3.4</w:t>
            </w:r>
          </w:p>
        </w:tc>
        <w:tc>
          <w:tcPr>
            <w:tcW w:w="6298" w:type="dxa"/>
            <w:gridSpan w:val="3"/>
          </w:tcPr>
          <w:p w14:paraId="331DEF5E" w14:textId="641DFDD5" w:rsidR="00A071B2" w:rsidRPr="00750921" w:rsidRDefault="00A071B2" w:rsidP="00D77283">
            <w:pPr>
              <w:rPr>
                <w:noProof/>
              </w:rPr>
            </w:pPr>
            <w:r w:rsidRPr="00750921">
              <w:rPr>
                <w:noProof/>
              </w:rPr>
              <w:t>Třínápravová motorová vozidla, jejichž hnací náprava je vybavena dvojitými pneumatikami a pneumatickým zavěšením, nebo zavěšením uznaným v Unii jako rovnocenné podle přílohy II, nebo je-li každá hnací náprava vybavena dvojitými pneumatikami a maximální zatížení každé nápravy nepřesahuje 9,5 tuny</w:t>
            </w:r>
          </w:p>
        </w:tc>
        <w:tc>
          <w:tcPr>
            <w:tcW w:w="1129" w:type="dxa"/>
            <w:gridSpan w:val="3"/>
          </w:tcPr>
          <w:p w14:paraId="1E74C6A9" w14:textId="2A9E5862" w:rsidR="00A071B2" w:rsidRPr="00750921" w:rsidRDefault="00A071B2" w:rsidP="00D77283">
            <w:pPr>
              <w:rPr>
                <w:noProof/>
              </w:rPr>
            </w:pPr>
            <w:r w:rsidRPr="00750921">
              <w:rPr>
                <w:noProof/>
              </w:rPr>
              <w:t>26 tun</w:t>
            </w:r>
          </w:p>
        </w:tc>
      </w:tr>
      <w:tr w:rsidR="00E52C82" w:rsidRPr="00750921" w14:paraId="4174C043" w14:textId="77777777" w:rsidTr="000A582B">
        <w:trPr>
          <w:trHeight w:val="1355"/>
        </w:trPr>
        <w:tc>
          <w:tcPr>
            <w:tcW w:w="675" w:type="dxa"/>
            <w:vMerge/>
            <w:noWrap/>
          </w:tcPr>
          <w:p w14:paraId="44A0A363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</w:tcPr>
          <w:p w14:paraId="61A8E7C7" w14:textId="4E6FEC04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2.3.5</w:t>
            </w:r>
          </w:p>
        </w:tc>
        <w:tc>
          <w:tcPr>
            <w:tcW w:w="6298" w:type="dxa"/>
            <w:gridSpan w:val="3"/>
          </w:tcPr>
          <w:p w14:paraId="27D09CD4" w14:textId="36BE251A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Čtyřnápravová motorová vozidla se dvěma řízenými nápravami, jejichž hnací náprava je vybavena dvojitými pneumatikami a pneumatickým zavěšením, nebo zavěšením uznaným v Unii jako rovnocenné podle přílohy II, nebo je-li každá hnací náprava vybavena dvojitými pneumatikami a maximální zatížení každé nápravy nepřesahuje 9,5 tuny</w:t>
            </w:r>
          </w:p>
        </w:tc>
        <w:tc>
          <w:tcPr>
            <w:tcW w:w="1129" w:type="dxa"/>
            <w:gridSpan w:val="3"/>
          </w:tcPr>
          <w:p w14:paraId="091D3B33" w14:textId="37A23382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32 tun</w:t>
            </w:r>
          </w:p>
        </w:tc>
      </w:tr>
      <w:tr w:rsidR="00E52C82" w:rsidRPr="00750921" w14:paraId="1EFFFA35" w14:textId="77777777" w:rsidTr="00EB117E">
        <w:trPr>
          <w:trHeight w:val="1355"/>
        </w:trPr>
        <w:tc>
          <w:tcPr>
            <w:tcW w:w="675" w:type="dxa"/>
            <w:vMerge/>
            <w:noWrap/>
            <w:hideMark/>
          </w:tcPr>
          <w:p w14:paraId="537C6DE1" w14:textId="4344AD16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</w:tcPr>
          <w:p w14:paraId="67902841" w14:textId="1C675289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2.3.6</w:t>
            </w:r>
          </w:p>
        </w:tc>
        <w:tc>
          <w:tcPr>
            <w:tcW w:w="6298" w:type="dxa"/>
            <w:gridSpan w:val="3"/>
          </w:tcPr>
          <w:p w14:paraId="20652573" w14:textId="42D61FFF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Pětinápravová motorová vozidla se dvěma řízenými nápravami, jejichž hnací náprava je vybavena dvojitými pneumatikami a pneumatickým zavěšením, nebo zavěšením uznaným v Unii jako rovnocenné podle přílohy II, nebo je-li každá hnací náprava vybavena dvojitými pneumatikami a maximální zatížení každé nápravy nepřesahuje 9,5 tuny</w:t>
            </w:r>
          </w:p>
        </w:tc>
        <w:tc>
          <w:tcPr>
            <w:tcW w:w="1129" w:type="dxa"/>
            <w:gridSpan w:val="3"/>
          </w:tcPr>
          <w:p w14:paraId="635A6C77" w14:textId="2B964564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40 tun</w:t>
            </w:r>
          </w:p>
        </w:tc>
      </w:tr>
      <w:tr w:rsidR="00E52C82" w:rsidRPr="00750921" w14:paraId="0AD1423A" w14:textId="77777777" w:rsidTr="00A71EA2">
        <w:trPr>
          <w:trHeight w:val="1355"/>
        </w:trPr>
        <w:tc>
          <w:tcPr>
            <w:tcW w:w="675" w:type="dxa"/>
            <w:vMerge/>
            <w:noWrap/>
          </w:tcPr>
          <w:p w14:paraId="7B042B17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8222" w:type="dxa"/>
            <w:gridSpan w:val="7"/>
          </w:tcPr>
          <w:p w14:paraId="19D7E74D" w14:textId="3F3FB38A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V případě vozidel na alternativní paliva jiných než vozidel s nulovými emisemi se maximální přípustná hmotnost stanovená v bodech 2.3.1, 2.3.3 a 2.3.4 pododdílu 2.3 zvyšuje o dodatečnou hmotnost technologie na alternativní paliva, a to nejvýše o 1 tunu.</w:t>
            </w:r>
          </w:p>
        </w:tc>
      </w:tr>
      <w:tr w:rsidR="00E52C82" w:rsidRPr="00750921" w14:paraId="07FA6663" w14:textId="77777777" w:rsidTr="000A582B">
        <w:trPr>
          <w:trHeight w:val="828"/>
        </w:trPr>
        <w:tc>
          <w:tcPr>
            <w:tcW w:w="675" w:type="dxa"/>
            <w:vMerge/>
            <w:noWrap/>
          </w:tcPr>
          <w:p w14:paraId="2853E0DD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8222" w:type="dxa"/>
            <w:gridSpan w:val="7"/>
          </w:tcPr>
          <w:p w14:paraId="6BBB3558" w14:textId="3D1F0ECE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V případě vozidel s nulovými emisemi se maximální přípustná hmotnost stanovená v pododdílu 2.3. zvyšuje o 2 tuny.</w:t>
            </w:r>
          </w:p>
        </w:tc>
      </w:tr>
      <w:tr w:rsidR="00E52C82" w:rsidRPr="00750921" w14:paraId="12E02BEA" w14:textId="77777777" w:rsidTr="0053371D">
        <w:trPr>
          <w:trHeight w:val="425"/>
        </w:trPr>
        <w:tc>
          <w:tcPr>
            <w:tcW w:w="7787" w:type="dxa"/>
            <w:gridSpan w:val="7"/>
            <w:noWrap/>
            <w:hideMark/>
          </w:tcPr>
          <w:p w14:paraId="5D2E8916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2.4 Třínápravové kloubové autobusy</w:t>
            </w:r>
          </w:p>
        </w:tc>
        <w:tc>
          <w:tcPr>
            <w:tcW w:w="1110" w:type="dxa"/>
            <w:hideMark/>
          </w:tcPr>
          <w:p w14:paraId="5D4DF5EB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28 tun</w:t>
            </w:r>
          </w:p>
        </w:tc>
      </w:tr>
      <w:tr w:rsidR="00E52C82" w:rsidRPr="00750921" w14:paraId="03D7766E" w14:textId="77777777" w:rsidTr="0053371D">
        <w:trPr>
          <w:trHeight w:val="983"/>
        </w:trPr>
        <w:tc>
          <w:tcPr>
            <w:tcW w:w="675" w:type="dxa"/>
            <w:vMerge w:val="restart"/>
            <w:noWrap/>
            <w:hideMark/>
          </w:tcPr>
          <w:p w14:paraId="3D0166EE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  <w:p w14:paraId="79D697C4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</w:tc>
        <w:tc>
          <w:tcPr>
            <w:tcW w:w="8222" w:type="dxa"/>
            <w:gridSpan w:val="7"/>
            <w:hideMark/>
          </w:tcPr>
          <w:p w14:paraId="38893C34" w14:textId="520CAE9C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V případě vozidel na alternativní paliva jiných než vozidel s nulovými emisemi se maximální přípustná hmotnost 28 tun stanovená v pododdílu 2.4 zvyšuje o dodatečnou hmotnost potřebnou pro technologii na alternativní paliva, a to nejvýše o 1 tunu.</w:t>
            </w:r>
          </w:p>
        </w:tc>
      </w:tr>
      <w:tr w:rsidR="00E52C82" w:rsidRPr="00750921" w14:paraId="623D56BC" w14:textId="77777777" w:rsidTr="0053371D">
        <w:trPr>
          <w:trHeight w:val="700"/>
        </w:trPr>
        <w:tc>
          <w:tcPr>
            <w:tcW w:w="675" w:type="dxa"/>
            <w:vMerge/>
            <w:noWrap/>
            <w:hideMark/>
          </w:tcPr>
          <w:p w14:paraId="7BE6FDC6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8222" w:type="dxa"/>
            <w:gridSpan w:val="7"/>
            <w:hideMark/>
          </w:tcPr>
          <w:p w14:paraId="67A28E63" w14:textId="33B66E4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V případě vozidel s nulovými emisemi se maximální přípustná hmotnost 28 tun stanovená v pododdílu 2.4 zvyšuje o 2 tuny.</w:t>
            </w:r>
          </w:p>
        </w:tc>
      </w:tr>
      <w:tr w:rsidR="00E52C82" w:rsidRPr="00750921" w14:paraId="2954ECE8" w14:textId="77777777" w:rsidTr="0053371D">
        <w:trPr>
          <w:trHeight w:val="413"/>
        </w:trPr>
        <w:tc>
          <w:tcPr>
            <w:tcW w:w="8897" w:type="dxa"/>
            <w:gridSpan w:val="8"/>
            <w:hideMark/>
          </w:tcPr>
          <w:p w14:paraId="66356447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3. Maximální přípustné zatížení nápravy vozidel podle čl. 1 odst. 1 písm. b)</w:t>
            </w:r>
          </w:p>
        </w:tc>
      </w:tr>
      <w:tr w:rsidR="00E52C82" w:rsidRPr="00750921" w14:paraId="462E4F45" w14:textId="77777777" w:rsidTr="0053371D">
        <w:trPr>
          <w:trHeight w:val="418"/>
        </w:trPr>
        <w:tc>
          <w:tcPr>
            <w:tcW w:w="8897" w:type="dxa"/>
            <w:gridSpan w:val="8"/>
            <w:noWrap/>
            <w:hideMark/>
          </w:tcPr>
          <w:p w14:paraId="3A115673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3.1 Jednotlivé nápravy</w:t>
            </w:r>
          </w:p>
        </w:tc>
      </w:tr>
      <w:tr w:rsidR="00E52C82" w:rsidRPr="00750921" w14:paraId="221D3929" w14:textId="77777777" w:rsidTr="0053371D">
        <w:trPr>
          <w:trHeight w:val="410"/>
        </w:trPr>
        <w:tc>
          <w:tcPr>
            <w:tcW w:w="675" w:type="dxa"/>
            <w:noWrap/>
            <w:hideMark/>
          </w:tcPr>
          <w:p w14:paraId="79A3ED91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103" w:type="dxa"/>
            <w:gridSpan w:val="5"/>
            <w:hideMark/>
          </w:tcPr>
          <w:p w14:paraId="20DDDC46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Jedna náprava, která není hnací</w:t>
            </w:r>
          </w:p>
        </w:tc>
        <w:tc>
          <w:tcPr>
            <w:tcW w:w="1119" w:type="dxa"/>
            <w:gridSpan w:val="2"/>
            <w:hideMark/>
          </w:tcPr>
          <w:p w14:paraId="7A5821FF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10 tun</w:t>
            </w:r>
          </w:p>
        </w:tc>
      </w:tr>
      <w:tr w:rsidR="00E52C82" w:rsidRPr="00750921" w14:paraId="23FE19AA" w14:textId="77777777" w:rsidTr="0053371D">
        <w:trPr>
          <w:trHeight w:val="420"/>
        </w:trPr>
        <w:tc>
          <w:tcPr>
            <w:tcW w:w="8897" w:type="dxa"/>
            <w:gridSpan w:val="8"/>
            <w:noWrap/>
            <w:hideMark/>
          </w:tcPr>
          <w:p w14:paraId="5626A7BE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3.2 Tandemové nápravy přívěsů a návěsů</w:t>
            </w:r>
          </w:p>
        </w:tc>
      </w:tr>
      <w:tr w:rsidR="00E52C82" w:rsidRPr="00750921" w14:paraId="59371424" w14:textId="77777777" w:rsidTr="0053371D">
        <w:trPr>
          <w:trHeight w:val="696"/>
        </w:trPr>
        <w:tc>
          <w:tcPr>
            <w:tcW w:w="675" w:type="dxa"/>
            <w:noWrap/>
            <w:hideMark/>
          </w:tcPr>
          <w:p w14:paraId="662B48FA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8222" w:type="dxa"/>
            <w:gridSpan w:val="7"/>
            <w:hideMark/>
          </w:tcPr>
          <w:p w14:paraId="259B7DD5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Součet zatížení na tandemovou nápravu nesmí přesáhnout hodnotu v pravém sloupci, je-li vzdálenost (d) mezi nápravami:</w:t>
            </w:r>
          </w:p>
        </w:tc>
      </w:tr>
      <w:tr w:rsidR="00E52C82" w:rsidRPr="00750921" w14:paraId="326FEB7C" w14:textId="77777777" w:rsidTr="0053371D">
        <w:trPr>
          <w:trHeight w:val="408"/>
        </w:trPr>
        <w:tc>
          <w:tcPr>
            <w:tcW w:w="675" w:type="dxa"/>
            <w:vMerge w:val="restart"/>
            <w:noWrap/>
            <w:hideMark/>
          </w:tcPr>
          <w:p w14:paraId="310C9906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4B573CE4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3.2.1</w:t>
            </w:r>
          </w:p>
        </w:tc>
        <w:tc>
          <w:tcPr>
            <w:tcW w:w="6298" w:type="dxa"/>
            <w:gridSpan w:val="3"/>
            <w:hideMark/>
          </w:tcPr>
          <w:p w14:paraId="6CC7DC21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menší než 1 m (d &lt; 1,0)</w:t>
            </w:r>
          </w:p>
        </w:tc>
        <w:tc>
          <w:tcPr>
            <w:tcW w:w="1129" w:type="dxa"/>
            <w:gridSpan w:val="3"/>
            <w:hideMark/>
          </w:tcPr>
          <w:p w14:paraId="4A54CE01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11 tun</w:t>
            </w:r>
          </w:p>
        </w:tc>
      </w:tr>
      <w:tr w:rsidR="00E52C82" w:rsidRPr="00750921" w14:paraId="4CFDAC93" w14:textId="77777777" w:rsidTr="0053371D">
        <w:trPr>
          <w:trHeight w:val="415"/>
        </w:trPr>
        <w:tc>
          <w:tcPr>
            <w:tcW w:w="675" w:type="dxa"/>
            <w:vMerge/>
            <w:noWrap/>
            <w:hideMark/>
          </w:tcPr>
          <w:p w14:paraId="0AA9B5D6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2BB198A7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3.2.2</w:t>
            </w:r>
          </w:p>
        </w:tc>
        <w:tc>
          <w:tcPr>
            <w:tcW w:w="6298" w:type="dxa"/>
            <w:gridSpan w:val="3"/>
            <w:hideMark/>
          </w:tcPr>
          <w:p w14:paraId="573A0433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od 1,0 m do 1,3 m (1,0 ≤ d &lt; 1,3)</w:t>
            </w:r>
          </w:p>
        </w:tc>
        <w:tc>
          <w:tcPr>
            <w:tcW w:w="1129" w:type="dxa"/>
            <w:gridSpan w:val="3"/>
            <w:hideMark/>
          </w:tcPr>
          <w:p w14:paraId="67C007F2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16 tun</w:t>
            </w:r>
          </w:p>
        </w:tc>
      </w:tr>
      <w:tr w:rsidR="00E52C82" w:rsidRPr="00750921" w14:paraId="0CAC3FEA" w14:textId="77777777" w:rsidTr="0053371D">
        <w:trPr>
          <w:trHeight w:val="421"/>
        </w:trPr>
        <w:tc>
          <w:tcPr>
            <w:tcW w:w="675" w:type="dxa"/>
            <w:vMerge/>
            <w:noWrap/>
            <w:hideMark/>
          </w:tcPr>
          <w:p w14:paraId="3AD25F31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339AA1D5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3.2.3</w:t>
            </w:r>
          </w:p>
        </w:tc>
        <w:tc>
          <w:tcPr>
            <w:tcW w:w="6298" w:type="dxa"/>
            <w:gridSpan w:val="3"/>
            <w:hideMark/>
          </w:tcPr>
          <w:p w14:paraId="4E3F49B6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od 1,3 m do 1,8 m (1,3 ≤ d &lt; 1,8)</w:t>
            </w:r>
          </w:p>
        </w:tc>
        <w:tc>
          <w:tcPr>
            <w:tcW w:w="1129" w:type="dxa"/>
            <w:gridSpan w:val="3"/>
            <w:hideMark/>
          </w:tcPr>
          <w:p w14:paraId="6CFBA315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18 tun</w:t>
            </w:r>
          </w:p>
        </w:tc>
      </w:tr>
      <w:tr w:rsidR="00E52C82" w:rsidRPr="00750921" w14:paraId="375047AE" w14:textId="77777777" w:rsidTr="0053371D">
        <w:trPr>
          <w:trHeight w:val="600"/>
        </w:trPr>
        <w:tc>
          <w:tcPr>
            <w:tcW w:w="675" w:type="dxa"/>
            <w:vMerge/>
            <w:noWrap/>
            <w:hideMark/>
          </w:tcPr>
          <w:p w14:paraId="471C9B0C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2F74E730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3.2.4</w:t>
            </w:r>
          </w:p>
        </w:tc>
        <w:tc>
          <w:tcPr>
            <w:tcW w:w="6298" w:type="dxa"/>
            <w:gridSpan w:val="3"/>
            <w:hideMark/>
          </w:tcPr>
          <w:p w14:paraId="32D5EF62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1,8 m nebo více (1,8 ≤ d)</w:t>
            </w:r>
          </w:p>
        </w:tc>
        <w:tc>
          <w:tcPr>
            <w:tcW w:w="1129" w:type="dxa"/>
            <w:gridSpan w:val="3"/>
            <w:hideMark/>
          </w:tcPr>
          <w:p w14:paraId="544D5F5D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20 tun</w:t>
            </w:r>
          </w:p>
        </w:tc>
      </w:tr>
      <w:tr w:rsidR="00E52C82" w:rsidRPr="00750921" w14:paraId="69AB89B6" w14:textId="77777777" w:rsidTr="0053371D">
        <w:trPr>
          <w:trHeight w:val="516"/>
        </w:trPr>
        <w:tc>
          <w:tcPr>
            <w:tcW w:w="8897" w:type="dxa"/>
            <w:gridSpan w:val="8"/>
            <w:noWrap/>
            <w:hideMark/>
          </w:tcPr>
          <w:p w14:paraId="1DDAB056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3.3 Třínápravové přívěsy a návěsy</w:t>
            </w:r>
          </w:p>
        </w:tc>
      </w:tr>
      <w:tr w:rsidR="00E52C82" w:rsidRPr="00750921" w14:paraId="155B2562" w14:textId="77777777" w:rsidTr="0053371D">
        <w:trPr>
          <w:trHeight w:val="750"/>
        </w:trPr>
        <w:tc>
          <w:tcPr>
            <w:tcW w:w="675" w:type="dxa"/>
            <w:noWrap/>
            <w:hideMark/>
          </w:tcPr>
          <w:p w14:paraId="74CF0D57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</w:tc>
        <w:tc>
          <w:tcPr>
            <w:tcW w:w="8222" w:type="dxa"/>
            <w:gridSpan w:val="7"/>
            <w:hideMark/>
          </w:tcPr>
          <w:p w14:paraId="463FB6F8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Součet zatížení trojnápravy nesmí přesáhnout hodnotu v pravém sloupci, je-li vzdálenost (d) mezi nápravami:</w:t>
            </w:r>
          </w:p>
        </w:tc>
      </w:tr>
      <w:tr w:rsidR="00E52C82" w:rsidRPr="00750921" w14:paraId="5177E8F6" w14:textId="77777777" w:rsidTr="0053371D">
        <w:trPr>
          <w:trHeight w:val="416"/>
        </w:trPr>
        <w:tc>
          <w:tcPr>
            <w:tcW w:w="675" w:type="dxa"/>
            <w:vMerge w:val="restart"/>
            <w:noWrap/>
            <w:hideMark/>
          </w:tcPr>
          <w:p w14:paraId="64B5D98C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2F67AB7F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3.3.1</w:t>
            </w:r>
          </w:p>
        </w:tc>
        <w:tc>
          <w:tcPr>
            <w:tcW w:w="6298" w:type="dxa"/>
            <w:gridSpan w:val="3"/>
            <w:hideMark/>
          </w:tcPr>
          <w:p w14:paraId="372B0699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1,3 m nebo méně (d ≤ 1,3)</w:t>
            </w:r>
          </w:p>
        </w:tc>
        <w:tc>
          <w:tcPr>
            <w:tcW w:w="1129" w:type="dxa"/>
            <w:gridSpan w:val="3"/>
            <w:hideMark/>
          </w:tcPr>
          <w:p w14:paraId="08A8DECC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21 tun</w:t>
            </w:r>
          </w:p>
        </w:tc>
      </w:tr>
      <w:tr w:rsidR="00E52C82" w:rsidRPr="00750921" w14:paraId="2C86D830" w14:textId="77777777" w:rsidTr="0053371D">
        <w:trPr>
          <w:trHeight w:val="416"/>
        </w:trPr>
        <w:tc>
          <w:tcPr>
            <w:tcW w:w="675" w:type="dxa"/>
            <w:vMerge/>
            <w:noWrap/>
            <w:hideMark/>
          </w:tcPr>
          <w:p w14:paraId="00310FB2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7533C979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3.3.2</w:t>
            </w:r>
          </w:p>
        </w:tc>
        <w:tc>
          <w:tcPr>
            <w:tcW w:w="6298" w:type="dxa"/>
            <w:gridSpan w:val="3"/>
            <w:hideMark/>
          </w:tcPr>
          <w:p w14:paraId="5EC50E6F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od 1,3 m do 1,4 m (1,3 &lt; d ≤ 1,4)</w:t>
            </w:r>
          </w:p>
        </w:tc>
        <w:tc>
          <w:tcPr>
            <w:tcW w:w="1129" w:type="dxa"/>
            <w:gridSpan w:val="3"/>
            <w:hideMark/>
          </w:tcPr>
          <w:p w14:paraId="48C79AB4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24 tun</w:t>
            </w:r>
          </w:p>
        </w:tc>
      </w:tr>
      <w:tr w:rsidR="00E52C82" w:rsidRPr="00750921" w14:paraId="14DD9D8A" w14:textId="77777777" w:rsidTr="00736F33">
        <w:trPr>
          <w:trHeight w:val="409"/>
        </w:trPr>
        <w:tc>
          <w:tcPr>
            <w:tcW w:w="8897" w:type="dxa"/>
            <w:gridSpan w:val="8"/>
            <w:noWrap/>
            <w:hideMark/>
          </w:tcPr>
          <w:p w14:paraId="4C207963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3.4 Hnací náprava</w:t>
            </w:r>
          </w:p>
        </w:tc>
      </w:tr>
      <w:tr w:rsidR="00E52C82" w:rsidRPr="00750921" w14:paraId="56D975CA" w14:textId="77777777" w:rsidTr="0053371D">
        <w:trPr>
          <w:trHeight w:val="518"/>
        </w:trPr>
        <w:tc>
          <w:tcPr>
            <w:tcW w:w="675" w:type="dxa"/>
            <w:vMerge w:val="restart"/>
            <w:noWrap/>
            <w:hideMark/>
          </w:tcPr>
          <w:p w14:paraId="14F1710E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0D8AE93A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3.4.1</w:t>
            </w:r>
          </w:p>
        </w:tc>
        <w:tc>
          <w:tcPr>
            <w:tcW w:w="6298" w:type="dxa"/>
            <w:gridSpan w:val="3"/>
            <w:hideMark/>
          </w:tcPr>
          <w:p w14:paraId="2521FFF5" w14:textId="51678CB2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 xml:space="preserve">Hnací náprava vozidel podle bodů 2.2, 2.3 a 2.4 jiných než vozidel s nulovými emisemi </w:t>
            </w:r>
          </w:p>
        </w:tc>
        <w:tc>
          <w:tcPr>
            <w:tcW w:w="1129" w:type="dxa"/>
            <w:gridSpan w:val="3"/>
            <w:hideMark/>
          </w:tcPr>
          <w:p w14:paraId="24652216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11,5 tuny</w:t>
            </w:r>
          </w:p>
        </w:tc>
      </w:tr>
      <w:tr w:rsidR="00E52C82" w:rsidRPr="00750921" w14:paraId="7F1D1D9F" w14:textId="77777777" w:rsidTr="0053371D">
        <w:trPr>
          <w:trHeight w:val="660"/>
        </w:trPr>
        <w:tc>
          <w:tcPr>
            <w:tcW w:w="675" w:type="dxa"/>
            <w:vMerge/>
            <w:noWrap/>
            <w:hideMark/>
          </w:tcPr>
          <w:p w14:paraId="6F88B161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6A09BEC3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3.4.2</w:t>
            </w:r>
          </w:p>
        </w:tc>
        <w:tc>
          <w:tcPr>
            <w:tcW w:w="6298" w:type="dxa"/>
            <w:gridSpan w:val="3"/>
            <w:hideMark/>
          </w:tcPr>
          <w:p w14:paraId="12E827AB" w14:textId="02D66279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Hnací náprava vozidel s nulovými emisemi podle bodů 2.2.1 a 2.2.2</w:t>
            </w:r>
          </w:p>
        </w:tc>
        <w:tc>
          <w:tcPr>
            <w:tcW w:w="1129" w:type="dxa"/>
            <w:gridSpan w:val="3"/>
            <w:hideMark/>
          </w:tcPr>
          <w:p w14:paraId="6F468304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12,5 tuny</w:t>
            </w:r>
          </w:p>
        </w:tc>
      </w:tr>
      <w:tr w:rsidR="00E52C82" w:rsidRPr="00750921" w14:paraId="69C425DF" w14:textId="77777777" w:rsidTr="00736F33">
        <w:trPr>
          <w:trHeight w:val="416"/>
        </w:trPr>
        <w:tc>
          <w:tcPr>
            <w:tcW w:w="675" w:type="dxa"/>
            <w:vMerge/>
            <w:noWrap/>
            <w:hideMark/>
          </w:tcPr>
          <w:p w14:paraId="1B064FA1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</w:tcPr>
          <w:p w14:paraId="5C29987F" w14:textId="66917EEF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3.4.3</w:t>
            </w:r>
          </w:p>
        </w:tc>
        <w:tc>
          <w:tcPr>
            <w:tcW w:w="6298" w:type="dxa"/>
            <w:gridSpan w:val="3"/>
          </w:tcPr>
          <w:p w14:paraId="42CC2524" w14:textId="789B0EB3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Dvounápravové autobusy s nulovými emisemi</w:t>
            </w:r>
          </w:p>
        </w:tc>
        <w:tc>
          <w:tcPr>
            <w:tcW w:w="1129" w:type="dxa"/>
            <w:gridSpan w:val="3"/>
            <w:hideMark/>
          </w:tcPr>
          <w:p w14:paraId="2CB9AA39" w14:textId="0EE1AE2F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12,5 tuny</w:t>
            </w:r>
          </w:p>
        </w:tc>
      </w:tr>
      <w:tr w:rsidR="00E52C82" w:rsidRPr="00750921" w14:paraId="4F4673C7" w14:textId="77777777" w:rsidTr="0053371D">
        <w:trPr>
          <w:trHeight w:val="408"/>
        </w:trPr>
        <w:tc>
          <w:tcPr>
            <w:tcW w:w="8897" w:type="dxa"/>
            <w:gridSpan w:val="8"/>
            <w:noWrap/>
            <w:hideMark/>
          </w:tcPr>
          <w:p w14:paraId="24EDBBB2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3.5 Tandemové nápravy motorových vozidel</w:t>
            </w:r>
          </w:p>
        </w:tc>
      </w:tr>
      <w:tr w:rsidR="00E52C82" w:rsidRPr="00750921" w14:paraId="07D21A76" w14:textId="77777777" w:rsidTr="0053371D">
        <w:trPr>
          <w:trHeight w:val="698"/>
        </w:trPr>
        <w:tc>
          <w:tcPr>
            <w:tcW w:w="675" w:type="dxa"/>
            <w:noWrap/>
            <w:hideMark/>
          </w:tcPr>
          <w:p w14:paraId="5CD48A82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8222" w:type="dxa"/>
            <w:gridSpan w:val="7"/>
            <w:hideMark/>
          </w:tcPr>
          <w:p w14:paraId="60D288AC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Součet zatížení na tandemovou nápravu nesmí přesáhnout hodnotu v pravém sloupci, je-li vzdálenost (d) mezi nápravami:</w:t>
            </w:r>
          </w:p>
        </w:tc>
      </w:tr>
      <w:tr w:rsidR="00E52C82" w:rsidRPr="00750921" w14:paraId="04FFDD48" w14:textId="77777777" w:rsidTr="0053371D">
        <w:trPr>
          <w:trHeight w:val="410"/>
        </w:trPr>
        <w:tc>
          <w:tcPr>
            <w:tcW w:w="675" w:type="dxa"/>
            <w:vMerge w:val="restart"/>
            <w:noWrap/>
            <w:hideMark/>
          </w:tcPr>
          <w:p w14:paraId="224DCA88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1D5F7696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3.5.1</w:t>
            </w:r>
          </w:p>
        </w:tc>
        <w:tc>
          <w:tcPr>
            <w:tcW w:w="6298" w:type="dxa"/>
            <w:gridSpan w:val="3"/>
            <w:hideMark/>
          </w:tcPr>
          <w:p w14:paraId="72550E4A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menší než 1 m (d &lt; 1,0)</w:t>
            </w:r>
          </w:p>
        </w:tc>
        <w:tc>
          <w:tcPr>
            <w:tcW w:w="1129" w:type="dxa"/>
            <w:gridSpan w:val="3"/>
            <w:hideMark/>
          </w:tcPr>
          <w:p w14:paraId="441216C2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11,5 tuny</w:t>
            </w:r>
          </w:p>
        </w:tc>
      </w:tr>
      <w:tr w:rsidR="00E52C82" w:rsidRPr="00750921" w14:paraId="0CE7E447" w14:textId="77777777" w:rsidTr="0053371D">
        <w:trPr>
          <w:trHeight w:val="570"/>
        </w:trPr>
        <w:tc>
          <w:tcPr>
            <w:tcW w:w="675" w:type="dxa"/>
            <w:vMerge/>
            <w:noWrap/>
            <w:hideMark/>
          </w:tcPr>
          <w:p w14:paraId="66D8CD99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hideMark/>
          </w:tcPr>
          <w:p w14:paraId="26545A7F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3.5.2</w:t>
            </w:r>
          </w:p>
        </w:tc>
        <w:tc>
          <w:tcPr>
            <w:tcW w:w="6298" w:type="dxa"/>
            <w:gridSpan w:val="3"/>
            <w:noWrap/>
            <w:hideMark/>
          </w:tcPr>
          <w:p w14:paraId="0D2093E7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1,0 m nebo větší, ale méně než 1,3 m (1,0 ≤ d &lt; 1,3)</w:t>
            </w:r>
          </w:p>
        </w:tc>
        <w:tc>
          <w:tcPr>
            <w:tcW w:w="1129" w:type="dxa"/>
            <w:gridSpan w:val="3"/>
            <w:hideMark/>
          </w:tcPr>
          <w:p w14:paraId="35D6CF9F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16 tun</w:t>
            </w:r>
          </w:p>
        </w:tc>
      </w:tr>
      <w:tr w:rsidR="00E52C82" w:rsidRPr="00750921" w14:paraId="3736C9FE" w14:textId="77777777" w:rsidTr="0053371D">
        <w:trPr>
          <w:trHeight w:val="454"/>
        </w:trPr>
        <w:tc>
          <w:tcPr>
            <w:tcW w:w="675" w:type="dxa"/>
            <w:vMerge/>
            <w:noWrap/>
            <w:hideMark/>
          </w:tcPr>
          <w:p w14:paraId="372D1F48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vMerge w:val="restart"/>
            <w:hideMark/>
          </w:tcPr>
          <w:p w14:paraId="5915DC6E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3.5.3</w:t>
            </w:r>
          </w:p>
        </w:tc>
        <w:tc>
          <w:tcPr>
            <w:tcW w:w="6298" w:type="dxa"/>
            <w:gridSpan w:val="3"/>
            <w:hideMark/>
          </w:tcPr>
          <w:p w14:paraId="36B6488B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1,3 m nebo větší, ale méně než 1,8 m (1,3 ≤ d &lt; 1,8)</w:t>
            </w:r>
          </w:p>
        </w:tc>
        <w:tc>
          <w:tcPr>
            <w:tcW w:w="1129" w:type="dxa"/>
            <w:gridSpan w:val="3"/>
            <w:hideMark/>
          </w:tcPr>
          <w:p w14:paraId="0A09DB82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18 tun</w:t>
            </w:r>
          </w:p>
        </w:tc>
      </w:tr>
      <w:tr w:rsidR="00E52C82" w:rsidRPr="00750921" w14:paraId="3434A14D" w14:textId="77777777" w:rsidTr="0053371D">
        <w:trPr>
          <w:trHeight w:val="1360"/>
        </w:trPr>
        <w:tc>
          <w:tcPr>
            <w:tcW w:w="675" w:type="dxa"/>
            <w:vMerge/>
            <w:tcBorders>
              <w:bottom w:val="single" w:sz="4" w:space="0" w:color="auto"/>
            </w:tcBorders>
            <w:noWrap/>
            <w:hideMark/>
          </w:tcPr>
          <w:p w14:paraId="4BEFDEDA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hideMark/>
          </w:tcPr>
          <w:p w14:paraId="4C453945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6298" w:type="dxa"/>
            <w:gridSpan w:val="3"/>
            <w:tcBorders>
              <w:bottom w:val="single" w:sz="4" w:space="0" w:color="auto"/>
            </w:tcBorders>
            <w:hideMark/>
          </w:tcPr>
          <w:p w14:paraId="16B2F15F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Je-li hnací náprava vybavena dvojitými pneumatikami a pneumatickým zavěšením, nebo zavěšením uznaným jako rovnocenné v rámci Unie podle přílohy II, nebo je-li každá hnací náprava vybavena dvojitými pneumatikami a nepřevyšuje-li nejvyšší zatížení každé nápravy 9,5 tuny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hideMark/>
          </w:tcPr>
          <w:p w14:paraId="69E2932A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19 tun</w:t>
            </w:r>
          </w:p>
        </w:tc>
      </w:tr>
      <w:tr w:rsidR="00E52C82" w:rsidRPr="00750921" w14:paraId="0A031090" w14:textId="77777777" w:rsidTr="0053371D">
        <w:trPr>
          <w:trHeight w:val="467"/>
        </w:trPr>
        <w:tc>
          <w:tcPr>
            <w:tcW w:w="8897" w:type="dxa"/>
            <w:gridSpan w:val="8"/>
            <w:hideMark/>
          </w:tcPr>
          <w:p w14:paraId="621CE827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4. Charakteristiky související s vozidly podle čl. 1 odst. 1 písm. b)</w:t>
            </w:r>
          </w:p>
        </w:tc>
      </w:tr>
      <w:tr w:rsidR="00E52C82" w:rsidRPr="00750921" w14:paraId="1F06D389" w14:textId="77777777" w:rsidTr="0053371D">
        <w:trPr>
          <w:trHeight w:val="416"/>
        </w:trPr>
        <w:tc>
          <w:tcPr>
            <w:tcW w:w="8897" w:type="dxa"/>
            <w:gridSpan w:val="8"/>
            <w:noWrap/>
            <w:hideMark/>
          </w:tcPr>
          <w:p w14:paraId="329F2979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4.1 Všechna vozidla</w:t>
            </w:r>
          </w:p>
        </w:tc>
      </w:tr>
      <w:tr w:rsidR="00E52C82" w:rsidRPr="00750921" w14:paraId="614F8BB1" w14:textId="77777777" w:rsidTr="0053371D">
        <w:trPr>
          <w:trHeight w:val="1095"/>
        </w:trPr>
        <w:tc>
          <w:tcPr>
            <w:tcW w:w="675" w:type="dxa"/>
            <w:noWrap/>
            <w:hideMark/>
          </w:tcPr>
          <w:p w14:paraId="63EDFAAC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 xml:space="preserve"> </w:t>
            </w:r>
          </w:p>
        </w:tc>
        <w:tc>
          <w:tcPr>
            <w:tcW w:w="8222" w:type="dxa"/>
            <w:gridSpan w:val="7"/>
            <w:hideMark/>
          </w:tcPr>
          <w:p w14:paraId="3BB67266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Zatížení hnací nápravy nebo hnacích náprav vozidla nebo soupravy vozidel při použití v mezinárodní dopravě nesmí být nižší než 25 % maximální přípustné hmotnosti vozidla nebo soupravy vozidel.</w:t>
            </w:r>
          </w:p>
        </w:tc>
      </w:tr>
      <w:tr w:rsidR="00E52C82" w:rsidRPr="00750921" w14:paraId="2BC39F6D" w14:textId="77777777" w:rsidTr="0053371D">
        <w:trPr>
          <w:trHeight w:val="525"/>
        </w:trPr>
        <w:tc>
          <w:tcPr>
            <w:tcW w:w="8897" w:type="dxa"/>
            <w:gridSpan w:val="8"/>
            <w:noWrap/>
            <w:hideMark/>
          </w:tcPr>
          <w:p w14:paraId="43AF00EF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4.2 Přívěsové soupravy</w:t>
            </w:r>
          </w:p>
        </w:tc>
      </w:tr>
      <w:tr w:rsidR="00E52C82" w:rsidRPr="00750921" w14:paraId="41BB6281" w14:textId="77777777" w:rsidTr="0053371D">
        <w:trPr>
          <w:trHeight w:val="765"/>
        </w:trPr>
        <w:tc>
          <w:tcPr>
            <w:tcW w:w="675" w:type="dxa"/>
            <w:noWrap/>
            <w:hideMark/>
          </w:tcPr>
          <w:p w14:paraId="0AC7E0D5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8222" w:type="dxa"/>
            <w:gridSpan w:val="7"/>
            <w:hideMark/>
          </w:tcPr>
          <w:p w14:paraId="310902C1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Vzdálenost mezi zadní nápravou motorového vozidla a přední nápravou přívěsu nesmí být menší než 3,00 m.</w:t>
            </w:r>
          </w:p>
        </w:tc>
      </w:tr>
      <w:tr w:rsidR="00E52C82" w:rsidRPr="00750921" w14:paraId="5076986C" w14:textId="77777777" w:rsidTr="0053371D">
        <w:trPr>
          <w:trHeight w:val="556"/>
        </w:trPr>
        <w:tc>
          <w:tcPr>
            <w:tcW w:w="8897" w:type="dxa"/>
            <w:gridSpan w:val="8"/>
            <w:noWrap/>
            <w:hideMark/>
          </w:tcPr>
          <w:p w14:paraId="4CBED823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4.3 Maximální přípustná hmotnost v závislosti na rozvoru kol</w:t>
            </w:r>
          </w:p>
        </w:tc>
      </w:tr>
      <w:tr w:rsidR="00E52C82" w:rsidRPr="00750921" w14:paraId="30C3E3D1" w14:textId="77777777" w:rsidTr="0053371D">
        <w:trPr>
          <w:trHeight w:val="992"/>
        </w:trPr>
        <w:tc>
          <w:tcPr>
            <w:tcW w:w="675" w:type="dxa"/>
            <w:noWrap/>
            <w:hideMark/>
          </w:tcPr>
          <w:p w14:paraId="70C23BAD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8222" w:type="dxa"/>
            <w:gridSpan w:val="7"/>
            <w:hideMark/>
          </w:tcPr>
          <w:p w14:paraId="667850E2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Maximální přípustná hmotnost čtyřnápravového motorového vozidla v tunách nesmí překročit pětinásobnou vzdálenost v metrech mezi nejpřednější a nejzadnější nápravou vozidla.</w:t>
            </w:r>
          </w:p>
        </w:tc>
      </w:tr>
      <w:tr w:rsidR="00E52C82" w:rsidRPr="00750921" w14:paraId="4A4A556C" w14:textId="77777777" w:rsidTr="0053371D">
        <w:trPr>
          <w:trHeight w:val="483"/>
        </w:trPr>
        <w:tc>
          <w:tcPr>
            <w:tcW w:w="8897" w:type="dxa"/>
            <w:gridSpan w:val="8"/>
            <w:noWrap/>
            <w:hideMark/>
          </w:tcPr>
          <w:p w14:paraId="66078A1D" w14:textId="77777777" w:rsidR="00E52C82" w:rsidRPr="00750921" w:rsidRDefault="00E52C82" w:rsidP="00E52C82">
            <w:pPr>
              <w:rPr>
                <w:i/>
                <w:noProof/>
              </w:rPr>
            </w:pPr>
            <w:r w:rsidRPr="00750921">
              <w:rPr>
                <w:i/>
                <w:noProof/>
              </w:rPr>
              <w:t>4.4 Návěsy</w:t>
            </w:r>
          </w:p>
        </w:tc>
      </w:tr>
      <w:tr w:rsidR="00E52C82" w:rsidRPr="00750921" w14:paraId="14D84451" w14:textId="77777777" w:rsidTr="0053371D">
        <w:trPr>
          <w:trHeight w:val="718"/>
        </w:trPr>
        <w:tc>
          <w:tcPr>
            <w:tcW w:w="675" w:type="dxa"/>
            <w:noWrap/>
            <w:hideMark/>
          </w:tcPr>
          <w:p w14:paraId="20BBF6BD" w14:textId="77777777" w:rsidR="00E52C82" w:rsidRPr="00750921" w:rsidRDefault="00E52C82" w:rsidP="00E52C82">
            <w:pPr>
              <w:rPr>
                <w:noProof/>
              </w:rPr>
            </w:pPr>
          </w:p>
        </w:tc>
        <w:tc>
          <w:tcPr>
            <w:tcW w:w="8222" w:type="dxa"/>
            <w:gridSpan w:val="7"/>
            <w:hideMark/>
          </w:tcPr>
          <w:p w14:paraId="65F576B7" w14:textId="77777777" w:rsidR="00E52C82" w:rsidRPr="00750921" w:rsidRDefault="00E52C82" w:rsidP="00E52C82">
            <w:pPr>
              <w:rPr>
                <w:noProof/>
              </w:rPr>
            </w:pPr>
            <w:r w:rsidRPr="00750921">
              <w:rPr>
                <w:noProof/>
              </w:rPr>
              <w:t>Vzdálenost měřená horizontálně mezi osou čepu sedla tahače a kterýmkoliv bodem čela návěsu nesmí překročit 2,04 m.</w:t>
            </w:r>
          </w:p>
        </w:tc>
      </w:tr>
    </w:tbl>
    <w:p w14:paraId="3A0B7D29" w14:textId="77777777" w:rsidR="00905D22" w:rsidRPr="00750921" w:rsidRDefault="00905D22" w:rsidP="00F869C5">
      <w:pPr>
        <w:rPr>
          <w:noProof/>
        </w:rPr>
      </w:pPr>
    </w:p>
    <w:sectPr w:rsidR="00905D22" w:rsidRPr="00750921" w:rsidSect="002203A1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6C4F5" w14:textId="77777777" w:rsidR="001F6D05" w:rsidRDefault="001F6D05" w:rsidP="00F869C5">
      <w:pPr>
        <w:spacing w:before="0" w:after="0"/>
      </w:pPr>
      <w:r>
        <w:separator/>
      </w:r>
    </w:p>
  </w:endnote>
  <w:endnote w:type="continuationSeparator" w:id="0">
    <w:p w14:paraId="40DA9E14" w14:textId="77777777" w:rsidR="001F6D05" w:rsidRDefault="001F6D05" w:rsidP="00F869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104C3" w14:textId="3B86AE23" w:rsidR="00750921" w:rsidRPr="002203A1" w:rsidRDefault="00750921" w:rsidP="00220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B976" w14:textId="4906B064" w:rsidR="00750921" w:rsidRPr="002203A1" w:rsidRDefault="002203A1" w:rsidP="002203A1">
    <w:pPr>
      <w:pStyle w:val="Footer"/>
      <w:rPr>
        <w:rFonts w:ascii="Arial" w:hAnsi="Arial" w:cs="Arial"/>
        <w:b/>
        <w:sz w:val="48"/>
      </w:rPr>
    </w:pPr>
    <w:r w:rsidRPr="002203A1">
      <w:rPr>
        <w:rFonts w:ascii="Arial" w:hAnsi="Arial" w:cs="Arial"/>
        <w:b/>
        <w:sz w:val="48"/>
      </w:rPr>
      <w:t>CS</w:t>
    </w:r>
    <w:r w:rsidRPr="002203A1">
      <w:rPr>
        <w:rFonts w:ascii="Arial" w:hAnsi="Arial" w:cs="Arial"/>
        <w:b/>
        <w:sz w:val="48"/>
      </w:rPr>
      <w:tab/>
    </w:r>
    <w:r w:rsidRPr="002203A1">
      <w:rPr>
        <w:rFonts w:ascii="Arial" w:hAnsi="Arial" w:cs="Arial"/>
        <w:b/>
        <w:sz w:val="48"/>
      </w:rPr>
      <w:tab/>
    </w:r>
    <w:r w:rsidRPr="002203A1">
      <w:tab/>
    </w:r>
    <w:r w:rsidRPr="002203A1"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8F93" w14:textId="77777777" w:rsidR="002203A1" w:rsidRPr="002203A1" w:rsidRDefault="002203A1" w:rsidP="002203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338E" w14:textId="1D89C8AE" w:rsidR="002203A1" w:rsidRPr="002203A1" w:rsidRDefault="002203A1" w:rsidP="002203A1">
    <w:pPr>
      <w:pStyle w:val="Footer"/>
      <w:rPr>
        <w:rFonts w:ascii="Arial" w:hAnsi="Arial" w:cs="Arial"/>
        <w:b/>
        <w:sz w:val="48"/>
      </w:rPr>
    </w:pPr>
    <w:r w:rsidRPr="002203A1">
      <w:rPr>
        <w:rFonts w:ascii="Arial" w:hAnsi="Arial" w:cs="Arial"/>
        <w:b/>
        <w:sz w:val="48"/>
      </w:rPr>
      <w:t>CS</w:t>
    </w:r>
    <w:r w:rsidRPr="002203A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2203A1">
      <w:tab/>
    </w:r>
    <w:r w:rsidRPr="002203A1"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8BC19" w14:textId="77777777" w:rsidR="002203A1" w:rsidRPr="002203A1" w:rsidRDefault="002203A1" w:rsidP="00220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4506E" w14:textId="77777777" w:rsidR="001F6D05" w:rsidRDefault="001F6D05" w:rsidP="00F869C5">
      <w:pPr>
        <w:spacing w:before="0" w:after="0"/>
      </w:pPr>
      <w:r>
        <w:separator/>
      </w:r>
    </w:p>
  </w:footnote>
  <w:footnote w:type="continuationSeparator" w:id="0">
    <w:p w14:paraId="05F0F59B" w14:textId="77777777" w:rsidR="001F6D05" w:rsidRDefault="001F6D05" w:rsidP="00F869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C78" w14:textId="77777777" w:rsidR="002203A1" w:rsidRPr="002203A1" w:rsidRDefault="002203A1" w:rsidP="00220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8FAA" w14:textId="77777777" w:rsidR="002203A1" w:rsidRPr="002203A1" w:rsidRDefault="002203A1" w:rsidP="00220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91D6" w14:textId="77777777" w:rsidR="002203A1" w:rsidRPr="002203A1" w:rsidRDefault="002203A1" w:rsidP="0022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9EAC8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B3420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C742E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764A7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DD894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F0EAC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B040A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FCBC4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3-09-10 23:01:02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návrhu"/>
    <w:docVar w:name="LW_ACCOMPAGNANT.CP" w:val="návrh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6D89BED-8558-4B46-A021-AACDA6917986"/>
    <w:docVar w:name="LW_COVERPAGE_TYPE" w:val="1"/>
    <w:docVar w:name="LW_CROSSREFERENCE" w:val="{SEC(2023) 445 final} - {SWD(2023) 445 final} - {SWD(2023) 446 final} - {SWD(2023) 447 final}"/>
    <w:docVar w:name="LW_DocType" w:val="ANNEX"/>
    <w:docVar w:name="LW_EMISSION" w:val="11.7.2023"/>
    <w:docVar w:name="LW_EMISSION_ISODATE" w:val="2023-07-11"/>
    <w:docVar w:name="LW_EMISSION_LOCATION" w:val="STR"/>
    <w:docVar w:name="LW_EMISSION_PREFIX" w:val="Ve \u352?trasburku dne "/>
    <w:docVar w:name="LW_EMISSION_SUFFIX" w:val=" "/>
    <w:docVar w:name="LW_ID_DOCSTRUCTURE" w:val="COM/ANNEX"/>
    <w:docVar w:name="LW_ID_DOCTYPE" w:val="SG-017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OBJETACTEPRINCIPAL" w:val="&lt;FMT:Bold&gt;kterou se m\u283?ní sm\u283?rnice Rady 96/53/ES, kterou se pro ur\u269?itá silni\u269?ní vozidla provozovaná v rámci Spole\u269?enství stanoví maximální p\u345?ípustné rozm\u283?ry pro vnitrostátní a mezinárodní provoz a maximální p\u345?ípustné hmotnosti pro mezinárodní provoz&lt;/FMT&gt;"/>
    <w:docVar w:name="LW_OBJETACTEPRINCIPAL.CP" w:val="&lt;FMT:Bold&gt;kterou se mění směrnice Rady 96/53/ES, kterou se pro určitá silniční vozidla provozovaná v rámci Společenství stanoví maximální přípustné rozměry pro vnitrostátní a mezinárodní provoz a maximální přípustné hmotnosti pro mezinárodní provoz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3) 4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\u344?ÍLOHA"/>
    <w:docVar w:name="LW_TYPE.DOC.CP" w:val="PŘÍLOHA"/>
    <w:docVar w:name="LW_TYPEACTEPRINCIPAL" w:val="SM\u282?RNICE EVROPSKÉHO PARLAMENTU A RADY,"/>
    <w:docVar w:name="LW_TYPEACTEPRINCIPAL.CP" w:val="SMĚRNICE EVROPSKÉHO PARLAMENTU A RADY,"/>
    <w:docVar w:name="LwApiVersions" w:val="LW4CoDe 1.23.2.0; LW 8.0, Build 20211117"/>
  </w:docVars>
  <w:rsids>
    <w:rsidRoot w:val="00F869C5"/>
    <w:rsid w:val="00022FF8"/>
    <w:rsid w:val="00026C4B"/>
    <w:rsid w:val="00035187"/>
    <w:rsid w:val="00040749"/>
    <w:rsid w:val="00042BA6"/>
    <w:rsid w:val="000603DE"/>
    <w:rsid w:val="00062D2F"/>
    <w:rsid w:val="000653BA"/>
    <w:rsid w:val="0009786A"/>
    <w:rsid w:val="000B5C4D"/>
    <w:rsid w:val="000D45B6"/>
    <w:rsid w:val="000D5E96"/>
    <w:rsid w:val="0011309C"/>
    <w:rsid w:val="0011453D"/>
    <w:rsid w:val="00115B72"/>
    <w:rsid w:val="00115BF2"/>
    <w:rsid w:val="001422BE"/>
    <w:rsid w:val="00165C4F"/>
    <w:rsid w:val="00176FC6"/>
    <w:rsid w:val="001871E3"/>
    <w:rsid w:val="001A0271"/>
    <w:rsid w:val="001A4030"/>
    <w:rsid w:val="001F16D8"/>
    <w:rsid w:val="001F343E"/>
    <w:rsid w:val="001F4655"/>
    <w:rsid w:val="001F6D05"/>
    <w:rsid w:val="002203A1"/>
    <w:rsid w:val="00285683"/>
    <w:rsid w:val="00297AE8"/>
    <w:rsid w:val="002C1899"/>
    <w:rsid w:val="002F1CAB"/>
    <w:rsid w:val="00330529"/>
    <w:rsid w:val="0036007C"/>
    <w:rsid w:val="003649E3"/>
    <w:rsid w:val="00370CAA"/>
    <w:rsid w:val="003773B4"/>
    <w:rsid w:val="00381696"/>
    <w:rsid w:val="003C25E6"/>
    <w:rsid w:val="003D6FBF"/>
    <w:rsid w:val="00405B86"/>
    <w:rsid w:val="00432967"/>
    <w:rsid w:val="0044407F"/>
    <w:rsid w:val="00450D2C"/>
    <w:rsid w:val="00492EB7"/>
    <w:rsid w:val="004B3FB1"/>
    <w:rsid w:val="005252CE"/>
    <w:rsid w:val="00530C52"/>
    <w:rsid w:val="0053371D"/>
    <w:rsid w:val="00544478"/>
    <w:rsid w:val="00553894"/>
    <w:rsid w:val="006254F4"/>
    <w:rsid w:val="00626E37"/>
    <w:rsid w:val="00637EFF"/>
    <w:rsid w:val="00637F91"/>
    <w:rsid w:val="00661AE9"/>
    <w:rsid w:val="006666EE"/>
    <w:rsid w:val="006A002D"/>
    <w:rsid w:val="006A19E9"/>
    <w:rsid w:val="006A6BCB"/>
    <w:rsid w:val="006E1439"/>
    <w:rsid w:val="00716E0E"/>
    <w:rsid w:val="00732568"/>
    <w:rsid w:val="00736F33"/>
    <w:rsid w:val="00750921"/>
    <w:rsid w:val="007575F3"/>
    <w:rsid w:val="007610D7"/>
    <w:rsid w:val="007A0341"/>
    <w:rsid w:val="007E2DF4"/>
    <w:rsid w:val="008A27C0"/>
    <w:rsid w:val="008D6398"/>
    <w:rsid w:val="00905D22"/>
    <w:rsid w:val="00920E50"/>
    <w:rsid w:val="00922664"/>
    <w:rsid w:val="009D5565"/>
    <w:rsid w:val="00A03789"/>
    <w:rsid w:val="00A071B2"/>
    <w:rsid w:val="00A1616F"/>
    <w:rsid w:val="00A332D6"/>
    <w:rsid w:val="00A36213"/>
    <w:rsid w:val="00A37A4E"/>
    <w:rsid w:val="00A45289"/>
    <w:rsid w:val="00A61542"/>
    <w:rsid w:val="00A6243B"/>
    <w:rsid w:val="00A71F6D"/>
    <w:rsid w:val="00A93D7E"/>
    <w:rsid w:val="00AA386C"/>
    <w:rsid w:val="00AC1437"/>
    <w:rsid w:val="00B47633"/>
    <w:rsid w:val="00B50B61"/>
    <w:rsid w:val="00B64473"/>
    <w:rsid w:val="00B65FB4"/>
    <w:rsid w:val="00B76E97"/>
    <w:rsid w:val="00BA4F3C"/>
    <w:rsid w:val="00BB30BC"/>
    <w:rsid w:val="00C34DB1"/>
    <w:rsid w:val="00C84DD5"/>
    <w:rsid w:val="00C877B2"/>
    <w:rsid w:val="00C953CA"/>
    <w:rsid w:val="00CE61F1"/>
    <w:rsid w:val="00CE71E2"/>
    <w:rsid w:val="00CF26BE"/>
    <w:rsid w:val="00D05037"/>
    <w:rsid w:val="00D07DDD"/>
    <w:rsid w:val="00D328C4"/>
    <w:rsid w:val="00D33986"/>
    <w:rsid w:val="00D353C2"/>
    <w:rsid w:val="00D77283"/>
    <w:rsid w:val="00DF4D5F"/>
    <w:rsid w:val="00E21585"/>
    <w:rsid w:val="00E52C82"/>
    <w:rsid w:val="00E567C1"/>
    <w:rsid w:val="00E61AB8"/>
    <w:rsid w:val="00E62446"/>
    <w:rsid w:val="00E7303F"/>
    <w:rsid w:val="00E76A2C"/>
    <w:rsid w:val="00E85091"/>
    <w:rsid w:val="00EB117E"/>
    <w:rsid w:val="00EB51C5"/>
    <w:rsid w:val="00F01778"/>
    <w:rsid w:val="00F03780"/>
    <w:rsid w:val="00F107EE"/>
    <w:rsid w:val="00F11953"/>
    <w:rsid w:val="00F50657"/>
    <w:rsid w:val="00F7024E"/>
    <w:rsid w:val="00F7453A"/>
    <w:rsid w:val="00F81F95"/>
    <w:rsid w:val="00F82260"/>
    <w:rsid w:val="00F869C5"/>
    <w:rsid w:val="00FC3BA4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F50D18"/>
  <w15:docId w15:val="{69E53568-A023-4797-B6F9-EEC9320A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6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6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6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B6447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447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447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4473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1616F"/>
    <w:pPr>
      <w:spacing w:before="0" w:after="200"/>
    </w:pPr>
    <w:rPr>
      <w:i/>
      <w:color w:val="1F497D" w:themeColor="text2"/>
      <w:sz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1616F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A1616F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1616F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1616F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1616F"/>
    <w:pPr>
      <w:numPr>
        <w:numId w:val="8"/>
      </w:numPr>
      <w:contextualSpacing/>
    </w:pPr>
  </w:style>
  <w:style w:type="table" w:styleId="TableGrid">
    <w:name w:val="Table Grid"/>
    <w:basedOn w:val="TableNormal"/>
    <w:uiPriority w:val="39"/>
    <w:rsid w:val="002F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3B4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B4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43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4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437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43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437"/>
    <w:rPr>
      <w:rFonts w:ascii="Times New Roman" w:hAnsi="Times New Roman" w:cs="Times New Roman"/>
      <w:b/>
      <w:sz w:val="20"/>
    </w:rPr>
  </w:style>
  <w:style w:type="paragraph" w:styleId="Revision">
    <w:name w:val="Revision"/>
    <w:hidden/>
    <w:uiPriority w:val="99"/>
    <w:semiHidden/>
    <w:rsid w:val="00E52C8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203A1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203A1"/>
    <w:rPr>
      <w:rFonts w:ascii="Times New Roman" w:hAnsi="Times New Roman" w:cs="Times New Roman"/>
      <w:sz w:val="24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2203A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2203A1"/>
    <w:rPr>
      <w:rFonts w:ascii="Times New Roman" w:hAnsi="Times New Roman" w:cs="Times New Roman"/>
      <w:sz w:val="24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cs-CZ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2203A1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2203A1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2203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2203A1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2203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Tiret5">
    <w:name w:val="Tiret 5"/>
    <w:basedOn w:val="Point5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5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5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FF9C-20E8-49EC-B9F9-8ECB8CF2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9</TotalTime>
  <Pages>7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EC CoDe</cp:lastModifiedBy>
  <cp:revision>30</cp:revision>
  <cp:lastPrinted>2023-06-29T11:43:00Z</cp:lastPrinted>
  <dcterms:created xsi:type="dcterms:W3CDTF">2023-07-07T19:04:00Z</dcterms:created>
  <dcterms:modified xsi:type="dcterms:W3CDTF">2023-09-10T21:01:00Z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2023-06-02T08:39:00Z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066054bc-2e58-436c-958c-0837ba3732c0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Unique annex">
    <vt:lpwstr>1</vt:lpwstr>
  </property>
  <property fmtid="{D5CDD505-2E9C-101B-9397-08002B2CF9AE}" pid="16" name="Part">
    <vt:lpwstr>1</vt:lpwstr>
  </property>
  <property fmtid="{D5CDD505-2E9C-101B-9397-08002B2CF9AE}" pid="17" name="Total parts">
    <vt:lpwstr>1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DQCStatus">
    <vt:lpwstr>Green (DQC version 03)</vt:lpwstr>
  </property>
</Properties>
</file>