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7B11" w14:textId="337A61A0" w:rsidR="00713D59" w:rsidRPr="00483F7D" w:rsidRDefault="00F54C14" w:rsidP="00483F7D">
      <w:pPr>
        <w:pStyle w:val="Pagedecouverture"/>
      </w:pPr>
      <w:r>
        <w:pict w14:anchorId="5F6A2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ACF2221-8D12-4972-942D-95713A40591F" style="width:455.5pt;height:414pt">
            <v:imagedata r:id="rId11" o:title=""/>
          </v:shape>
        </w:pict>
      </w:r>
    </w:p>
    <w:p w14:paraId="10CD202F" w14:textId="77777777" w:rsidR="00AC3670" w:rsidRPr="00483F7D" w:rsidRDefault="00AC3670">
      <w:pPr>
        <w:sectPr w:rsidR="00AC3670" w:rsidRPr="00483F7D" w:rsidSect="00483F7D">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26"/>
        </w:sectPr>
      </w:pPr>
    </w:p>
    <w:p w14:paraId="285858DB" w14:textId="77777777" w:rsidR="00AC3670" w:rsidRPr="00483F7D" w:rsidRDefault="007A1FD7">
      <w:pPr>
        <w:pStyle w:val="Exposdesmotifstitre"/>
      </w:pPr>
      <w:bookmarkStart w:id="0" w:name="_Hlk132808254"/>
      <w:r w:rsidRPr="00483F7D">
        <w:t>ΑΙΤΙΟΛΟΓΙΚΗ ΕΚΘΕΣΗ</w:t>
      </w:r>
    </w:p>
    <w:p w14:paraId="6055A2B9" w14:textId="77777777" w:rsidR="00AC3670" w:rsidRPr="00483F7D" w:rsidRDefault="007A1FD7">
      <w:pPr>
        <w:pStyle w:val="ManualHeading1"/>
      </w:pPr>
      <w:r w:rsidRPr="00483F7D">
        <w:t>1.</w:t>
      </w:r>
      <w:r w:rsidRPr="00483F7D">
        <w:tab/>
        <w:t>ΠΛΑΙΣΙΟ ΤΗΣ ΠΡΟΤΑΣΗΣ</w:t>
      </w:r>
    </w:p>
    <w:p w14:paraId="505072E4" w14:textId="77777777" w:rsidR="00AC3670" w:rsidRPr="00483F7D" w:rsidRDefault="007A1FD7">
      <w:pPr>
        <w:pStyle w:val="ManualHeading2"/>
      </w:pPr>
      <w:r w:rsidRPr="00483F7D">
        <w:t>•</w:t>
      </w:r>
      <w:r w:rsidRPr="00483F7D">
        <w:tab/>
        <w:t>Αιτιολόγηση και στόχοι της πρότασης</w:t>
      </w:r>
    </w:p>
    <w:p w14:paraId="39546CF2" w14:textId="77777777" w:rsidR="00AC3670" w:rsidRPr="00483F7D" w:rsidRDefault="007A1FD7">
      <w:r w:rsidRPr="00483F7D">
        <w:t>Η τελωνειακή ένωση της ΕΕ αποτελεί πραγματική επιτυχία της ευρωπαϊκής ολοκλήρωσης και ευημερίας: αποτελεί τη βάση και τον θεματοφύλακα της ενιαίας αγοράς της ΕΕ</w:t>
      </w:r>
      <w:r w:rsidRPr="00483F7D">
        <w:rPr>
          <w:rStyle w:val="FootnoteReference"/>
        </w:rPr>
        <w:footnoteReference w:id="2"/>
      </w:r>
      <w:r w:rsidRPr="00483F7D">
        <w:t>, επιτρέποντας την ελεύθερη κυκλοφορία των εμπορευμάτων εντός της Ένωσης. Η Ένωση μιλά με μία φωνή στις διεθνείς εμπορικές σχέσεις ως ένας από τους μεγαλύτερους εμπορικούς συνασπισμούς στον κόσμο. Η ομαλή λειτουργία της τελωνειακής ένωσης είναι θεμελιώδους σημασίας για την οικονομία και την ευημερία της ΕΕ, καθώς και για τη διεθνή ανταγωνιστικότητά της. Οι πολίτες και οι επιχειρήσεις επωφελούνται από το διεθνές εμπόριο, ενώ ταυτόχρονα οι τελωνειακοί δασμοί, οι ποσοστώσεις και άλλα εμπορικά μέτρα συμβάλλουν στην προστασία της βιομηχανικής παραγωγής και των θέσεων εργασίας στην Ένωση και στην παροχή εσόδων στα δημόσια οικονομικά.</w:t>
      </w:r>
    </w:p>
    <w:p w14:paraId="76E44AC4" w14:textId="77777777" w:rsidR="00AC3670" w:rsidRPr="00483F7D" w:rsidRDefault="007A1FD7">
      <w:r w:rsidRPr="00483F7D">
        <w:t>Η οικονομία της ΕΕ βρίσκεται σε διττή πράσινη και ψηφιακή μετάβαση και, ως εκ τούτου, έχει θεσπίσει φιλόδοξη νομοθεσία, η οποία καθορίζει περιβαλλοντικά, ασφαλιστικά, κοινωνικά και ψηφιακά πρότυπα που διαμορφώνουν τον τρόπο λειτουργίας των επιχειρήσεων εντός και εκτός της ενιαίας αγοράς. Αυτό το φιλόδοξο θεματολόγιο κινδυνεύει να υπονομευθεί αν η ενωσιακή παραγωγή αντικατασταθεί από εισαγωγές από τρίτες χώρες που δεν τηρούν τα εν λόγω πρότυπα. Χωρίς κεντρική παρακολούθηση και έλεγχο της εφοδιαστικής αλυσίδας από τα τελωνεία, η Ένωση δεν έχει πλήρη εικόνα σχετικά με τα εμπορεύματα που εισέρχονται στο έδαφός της και εξέρχονται από αυτό. Αυτό όχι μόνο αποδυναμώνει την αξιοπιστία των τομεακών πολιτικών της ΕΕ, αλλά και περιορίζει την ισχύ της ΕΕ ως γεωπολιτικού παράγοντα.</w:t>
      </w:r>
    </w:p>
    <w:p w14:paraId="2F152CA7" w14:textId="77777777" w:rsidR="00AC3670" w:rsidRPr="00483F7D" w:rsidRDefault="00152A29" w:rsidP="0031659F">
      <w:pPr>
        <w:spacing w:after="240"/>
      </w:pPr>
      <w:bookmarkStart w:id="1" w:name="_Hlk132817647"/>
      <w:r w:rsidRPr="00483F7D">
        <w:rPr>
          <w:b/>
        </w:rPr>
        <w:t>Οι τελωνειακές αρχές επιβαρύνονται όλο και περισσότερο με ένα συνεχώς αυξανόμενο φάσμα καθηκόντων</w:t>
      </w:r>
      <w:r w:rsidRPr="00483F7D">
        <w:t xml:space="preserve"> που απορρέουν από την προαναφερθείσα πολύ φιλόδοξη νομοθεσία που έχει θεσπιστεί τα τελευταία έτη. Ως εκ τούτου, οι τελωνειακές αρχές συμπιέζονται σήμερα μεταξύ, αφενός, των αυξανόμενων καθηκόντων και της πολυπλοκότητας και, αφετέρου, της απότομης αύξησης των αποστολών μικρής αξίας στο ηλεκτρονικό εμπόριο. Επίσης, χωρίς κεντρική επιτήρηση της εφοδιαστικής αλυσίδας, η Ένωση δεν έχει πλήρη εικόνα και έλεγχο των εμπορευμάτων που εισέρχονται στην ενιαία αγορά και εξέρχονται από αυτήν. Αυτό ενισχύει τις εγγενείς προκλήσεις για τις τελωνειακές διαδικασίες, τα δεδομένα και την ΤΠ, καθώς και για τη διακυβέρνηση της τελωνειακής ένωσης. Όπως καταδεικνύεται από την εκτίμηση των επιπτώσεων, οι τελωνειακές αρχές δυσκολεύονται στην αποστολή τους να προστατεύσουν, καθώς αντιμετωπίζουν ζητήματα σχετικά με τη διαχείριση κινδύνων και τη συνεργασία με τις αρχές εποπτείας της αγοράς, τις αρχές και τους φορείς επιβολής του νόμου, τις φορολογικές αρχές και άλλους εταίρους. Επίσης, προβληματικά ζητήματα είναι η διοικητική επιβάρυνση για το εμπόριο, οι δυσκολίες στη διενέργεια ελέγχων στα εμπορεύματα ηλεκτρονικού εμπορίου, η περιορισμένη ποιότητα των δεδομένων και η περιορισμένη πρόσβαση, καθώς και οι αποκλίσεις στην εφαρμογή μεταξύ των κρατών μελών.</w:t>
      </w:r>
    </w:p>
    <w:bookmarkEnd w:id="1"/>
    <w:p w14:paraId="5A5EC86D" w14:textId="77777777" w:rsidR="00474655" w:rsidRPr="00483F7D" w:rsidRDefault="007A1FD7" w:rsidP="00911D23">
      <w:r w:rsidRPr="00483F7D">
        <w:t xml:space="preserve">Η μεταρρύθμιση αυτή ενισχύει την ικανότητα των τελωνείων να επιτηρούν και να ελέγχουν ποια εμπορεύματα εισέρχονται στην τελωνειακή ένωση και εξέρχονται από αυτήν. Η τελωνειακή μεταρρύθμιση αποτελεί μακροπρόθεσμη στρατηγική απόφαση, η οποία αποσκοπεί στην ευέλικτη προσαρμογή στις αλλαγές στις εφοδιαστικές αλυσίδες και στην καλύτερη προάσπιση των οικονομικών συμφερόντων της ΕΕ και των κρατών μελών της, καθώς και της προστασίας, της ασφάλειας και των δημόσιων συμφερόντων της ΕΕ. </w:t>
      </w:r>
    </w:p>
    <w:p w14:paraId="013BDB90" w14:textId="77777777" w:rsidR="00AC3670" w:rsidRPr="00483F7D" w:rsidRDefault="003524AB">
      <w:r w:rsidRPr="00483F7D">
        <w:t xml:space="preserve">Στο πλαίσιο αυτό, στις πολιτικές κατευθύνσεις της, η πρόεδρος της Ευρωπαϊκής Επιτροπής, κα von der Leyen, ανακοίνωσε: </w:t>
      </w:r>
      <w:r w:rsidRPr="00483F7D">
        <w:rPr>
          <w:i/>
        </w:rPr>
        <w:t>«Ήρθε η ώρα να αναβαθμίσουμε την τελωνειακή ένωση, εφοδιάζοντάς την με ένα ισχυρότερο πλαίσιο που θα μας δώσει τη δυνατότητα να προστατεύουμε καλύτερα τους πολίτες μας και την ενιαία αγορά μας. Θα προτείνω μια τολμηρή δέσμη μέτρων για μια ολοκληρωμένη ευρωπαϊκή προσέγγιση με στόχο την ενίσχυση της διαχείρισης των τελωνειακών κινδύνων και την υποστήριξη αποτελεσματικών ελέγχων από τα κράτη μέλη»</w:t>
      </w:r>
      <w:r w:rsidRPr="00483F7D">
        <w:rPr>
          <w:rStyle w:val="FootnoteReference"/>
          <w:i/>
          <w:iCs/>
        </w:rPr>
        <w:footnoteReference w:id="3"/>
      </w:r>
      <w:r w:rsidRPr="00483F7D">
        <w:rPr>
          <w:i/>
        </w:rPr>
        <w:t>.</w:t>
      </w:r>
    </w:p>
    <w:p w14:paraId="7062CE3E" w14:textId="77777777" w:rsidR="00AC3670" w:rsidRPr="00483F7D" w:rsidRDefault="00B90406">
      <w:r w:rsidRPr="00483F7D">
        <w:t>Ως πρώτη επακόλουθη ενέργεια, η Επιτροπή παρουσίασε σχέδιο δράσης για τα τελωνεία</w:t>
      </w:r>
      <w:r w:rsidRPr="00483F7D">
        <w:rPr>
          <w:rStyle w:val="FootnoteReference"/>
        </w:rPr>
        <w:footnoteReference w:id="4"/>
      </w:r>
      <w:r w:rsidRPr="00483F7D">
        <w:t>, στο οποίο περιγράφονται συγκεκριμένες δράσεις για την προετοιμασία της μεταρρύθμισης. Όπως ανακοινώθηκε στο σχέδιο, και κατόπιν αιτήματος του Ευρωπαϊκού Κοινοβουλίου, η Επιτροπή διενήργησε ενδιάμεση αξιολόγηση της εφαρμογής του ενωσιακού τελωνειακού κώδικα (ΕΤΚ)</w:t>
      </w:r>
      <w:r w:rsidRPr="00483F7D">
        <w:rPr>
          <w:rStyle w:val="FootnoteReference"/>
        </w:rPr>
        <w:footnoteReference w:id="5"/>
      </w:r>
      <w:r w:rsidRPr="00483F7D">
        <w:t xml:space="preserve">, στην οποία αναγνωρίστηκε η πρόοδος, αλλά διαπιστώθηκε επίσης η ανάγκη ενίσχυσης του πλαισίου για το ηλεκτρονικό εμπόριο και τις απαγορεύσεις και τους περιορισμούς. Επιπλέον, η ενδιάμεση αξιολόγηση περιέγραψε τις προκλήσεις όσον αφορά την ανάπτυξη 27 εθνικών τελωνειακών πληροφοριακών συστημάτων. Στο σχέδιο δράσης για τα τελωνεία εξαγγέλθηκε επίσης εκτίμηση των επιπτώσεων των πλεονεκτημάτων και των μειονεκτημάτων της μεταρρύθμισης, καθώς και η στρατηγική συζήτηση με τις εθνικές τελωνειακές διοικήσεις στο πλαίσιο ομάδας προβληματισμού </w:t>
      </w:r>
      <w:r w:rsidRPr="00483F7D">
        <w:rPr>
          <w:rStyle w:val="leos-content-new"/>
        </w:rPr>
        <w:t>σχετικά με τον τρόπο με τον οποίο η τελωνειακή ένωση μπορεί να καταστεί πιο ευέλικτη</w:t>
      </w:r>
      <w:r w:rsidRPr="00483F7D">
        <w:rPr>
          <w:rStyle w:val="leos-content-modified"/>
        </w:rPr>
        <w:t xml:space="preserve">, </w:t>
      </w:r>
      <w:r w:rsidRPr="00483F7D">
        <w:rPr>
          <w:rStyle w:val="leos-content-new"/>
        </w:rPr>
        <w:t>πιο προηγμένη τεχνολογικά και με μεγαλύτερη ανθεκτικότητα σε περιόδους κρίσης</w:t>
      </w:r>
      <w:r w:rsidRPr="00483F7D">
        <w:t>, η οποία πραγματοποιήθηκε το 2022.</w:t>
      </w:r>
    </w:p>
    <w:p w14:paraId="198F23CD" w14:textId="77777777" w:rsidR="00AC3670" w:rsidRPr="00483F7D" w:rsidRDefault="007A1FD7">
      <w:r w:rsidRPr="00483F7D">
        <w:t xml:space="preserve">Αναγνωρίζοντας την ανάγκη για διαρθρωτικές αλλαγές, η Επιτροπή συνεργάστηκε με ενδιαφερόμενα μέρη, την ακαδημαϊκή κοινότητα και διεθνείς εταίρους σε μια διαδικασία ανάλυσης προοπτικών για το μέλλον των τελωνείων στην ΕΕ το 2040. Η έκθεση προοπτικών συνέστησε </w:t>
      </w:r>
      <w:r w:rsidRPr="00483F7D">
        <w:rPr>
          <w:i/>
        </w:rPr>
        <w:t>«να αντιμετωπιστεί η πρόκληση της διακυβέρνησης της τελωνειακής ένωσης με το να δοθεί προτεραιότητα σε μια κοινή, κεντρική δομή, ώστε να μιλά με μία φωνή, να αξιοποιούνται οι τεχνολογικές εξελίξεις και να γίνεται η πλέον αποτελεσματική χρήση των δεδομένων των τελωνείων»</w:t>
      </w:r>
      <w:r w:rsidRPr="00483F7D">
        <w:rPr>
          <w:rStyle w:val="FootnoteReference"/>
          <w:i/>
          <w:iCs/>
        </w:rPr>
        <w:footnoteReference w:id="6"/>
      </w:r>
      <w:r w:rsidRPr="00483F7D">
        <w:t xml:space="preserve">. Επιπλέον, η ανεξάρτητη έκθεση της ομάδας σοφών σχετικά με τις προκλήσεις που αντιμετωπίζει η τελωνειακή ένωση της ΕΕ κατέληξε στο συμπέρασμα ότι </w:t>
      </w:r>
      <w:r w:rsidRPr="00483F7D">
        <w:rPr>
          <w:i/>
        </w:rPr>
        <w:t>«εξακολουθούν να υπάρχουν σοβαρές αποκλίσεις μεταξύ των εθνικών τελωνειακών αρχών όσον αφορά την εφαρμογή των κανόνων και των καθεστώτων»</w:t>
      </w:r>
      <w:r w:rsidRPr="00483F7D">
        <w:t xml:space="preserve"> και ότι </w:t>
      </w:r>
      <w:r w:rsidRPr="00483F7D">
        <w:rPr>
          <w:i/>
        </w:rPr>
        <w:t>«σήμερα το επίπεδο προστασίας των πολιτών και των κρατών μελών εξαρτάται από τον τόπο στον οποίο ελέγχονται τα εμπορεύματα, και οι δόλιες και αμελείς επιχειρήσεις απολαμβάνουν σημαντικό πλεονέκτημα χαμηλού κινδύνου έναντι των έντιμων και συμμορφούμενων επιχειρήσεων και ατόμων»</w:t>
      </w:r>
      <w:r w:rsidRPr="00483F7D">
        <w:rPr>
          <w:rStyle w:val="FootnoteReference"/>
          <w:i/>
          <w:iCs/>
        </w:rPr>
        <w:footnoteReference w:id="7"/>
      </w:r>
      <w:r w:rsidRPr="00483F7D">
        <w:t>.</w:t>
      </w:r>
    </w:p>
    <w:p w14:paraId="235D377B" w14:textId="77777777" w:rsidR="00AC3670" w:rsidRPr="00483F7D" w:rsidRDefault="007A1FD7">
      <w:r w:rsidRPr="00483F7D">
        <w:t xml:space="preserve">Το Ευρωπαϊκό Ελεγκτικό Συνέδριο εντόπισε τις προκλήσεις για τα τελωνεία σε ειδικές εκθέσεις. Σε μία έκθεση διαπιστώθηκε ότι η ανεπαρκής εναρμόνιση των τελωνειακών ελέγχων παρεμποδίζει τα οικονομικά συμφέροντα της ΕΕ και διατυπώθηκε σύσταση: </w:t>
      </w:r>
      <w:r w:rsidRPr="00483F7D">
        <w:rPr>
          <w:i/>
        </w:rPr>
        <w:t>«στην Επιτροπή να ενισχύσει την ενιαία εφαρμογή των τελωνειακών ελέγχων, καθώς και να αναπτύξει και να υλοποιήσει ολοκληρωμένη ικανότητα ανάλυσης και συντονισμού σε επίπεδο ΕΕ»</w:t>
      </w:r>
      <w:r w:rsidRPr="00483F7D">
        <w:rPr>
          <w:rStyle w:val="FootnoteReference"/>
          <w:i/>
          <w:iCs/>
        </w:rPr>
        <w:footnoteReference w:id="8"/>
      </w:r>
      <w:r w:rsidRPr="00483F7D">
        <w:t xml:space="preserve">. Το Ελεγκτικό Συνέδριο κατέληξε επίσης στο συμπέρασμα ότι οι καθυστερήσεις στην ανάπτυξη ΤΠ για τα τελωνεία οφείλονταν </w:t>
      </w:r>
      <w:r w:rsidRPr="00483F7D">
        <w:rPr>
          <w:i/>
        </w:rPr>
        <w:t>«ειδικότερα στην τροποποίηση του αντικειμένου των έργων, στην ανεπάρκεια των πόρων που διατέθηκαν από την ΕΕ και τα κράτη μέλη, και στη βραδύτητα της διαδικασίας λήψης αποφάσεων, η οποία οφείλεται στην πολυεπίπεδη δομή διακυβέρνησης»</w:t>
      </w:r>
      <w:r w:rsidRPr="00483F7D">
        <w:rPr>
          <w:rStyle w:val="FootnoteReference"/>
          <w:i/>
          <w:iCs/>
        </w:rPr>
        <w:footnoteReference w:id="9"/>
      </w:r>
      <w:r w:rsidRPr="00483F7D">
        <w:t>.</w:t>
      </w:r>
      <w:r w:rsidRPr="00483F7D">
        <w:rPr>
          <w:i/>
        </w:rPr>
        <w:t xml:space="preserve"> </w:t>
      </w:r>
      <w:r w:rsidRPr="00483F7D">
        <w:t>Για το ηλεκτρονικό εμπόριο, οι ελεγκτές επισήμαναν τις προκλήσεις που σχετίζονται με την είσπραξη του ΦΠΑ και των τελωνειακών δασμών</w:t>
      </w:r>
      <w:r w:rsidRPr="00483F7D">
        <w:rPr>
          <w:rStyle w:val="FootnoteReference"/>
        </w:rPr>
        <w:footnoteReference w:id="10"/>
      </w:r>
      <w:r w:rsidRPr="00483F7D">
        <w:t xml:space="preserve">. Μια άλλη έκθεση επισήμανε ανεπάρκειες του νομικού πλαισίου, καθώς και αναποτελεσματική εφαρμογή των καθεστώτων εισαγωγής, συμπεριλαμβανομένων των </w:t>
      </w:r>
      <w:r w:rsidRPr="00483F7D">
        <w:rPr>
          <w:i/>
        </w:rPr>
        <w:t>«διαφορετικ[ών] προσεγγίσ[εων] σχετικά με τους τελωνειακούς ελέγχους για την αντιμετώπιση της δήλωσης δασμολογητέας αξίας χαμηλότερης από την πραγματική, της ψευδούς περιγραφής της καταγωγής, της εσφαλμένης κατάταξης των εμπορευμάτων, καθώς και για την επιβολή τελωνειακών κυρώσεων»</w:t>
      </w:r>
      <w:r w:rsidRPr="00483F7D">
        <w:t>, γεγονός που επηρεάζει την επιλογή του τελωνείου από τον συναλλασσόμενο</w:t>
      </w:r>
      <w:r w:rsidRPr="00483F7D">
        <w:rPr>
          <w:rStyle w:val="FootnoteReference"/>
        </w:rPr>
        <w:footnoteReference w:id="11"/>
      </w:r>
      <w:r w:rsidRPr="00483F7D">
        <w:t xml:space="preserve">. </w:t>
      </w:r>
    </w:p>
    <w:p w14:paraId="4A263283" w14:textId="77777777" w:rsidR="00AC3670" w:rsidRPr="00483F7D" w:rsidRDefault="008D277B">
      <w:r w:rsidRPr="00483F7D">
        <w:t>Η μεταρρύθμιση αυτή απλουστεύει τον ΕΤΚ και μειώνει τη γραφειοκρατία, σύμφωνα με το πρόγραμμα βελτίωσης της καταλληλότητας και της αποδοτικότητας του κανονιστικού πλαισίου (REFIT) της Επιτροπής. Αποτελεί μέρος του προγράμματος εργασίας της Επιτροπής για το 2022 στο πλαίσιο της προτεραιότητας «Μια οικονομία στην υπηρεσία των ανθρώπων»</w:t>
      </w:r>
      <w:r w:rsidRPr="00483F7D">
        <w:rPr>
          <w:rStyle w:val="FootnoteReference"/>
        </w:rPr>
        <w:footnoteReference w:id="12"/>
      </w:r>
      <w:r w:rsidRPr="00483F7D">
        <w:t>.</w:t>
      </w:r>
    </w:p>
    <w:p w14:paraId="366CBAB6" w14:textId="77777777" w:rsidR="00556534" w:rsidRPr="00483F7D" w:rsidRDefault="00556534">
      <w:r w:rsidRPr="00483F7D">
        <w:t>Η μεταρρύθμιση αυτή περιλαμβάνει δύο πρόσθετες νομοθετικές προτάσεις που εγκρίθηκαν σήμερα από την Επιτροπή στο πλαίσιο μιας ευρείας δέσμης μέτρων, ιδίως για την τροποποίηση της οδηγίας ΦΠΑ</w:t>
      </w:r>
      <w:r w:rsidRPr="00483F7D">
        <w:rPr>
          <w:rStyle w:val="FootnoteReference"/>
        </w:rPr>
        <w:footnoteReference w:id="13"/>
      </w:r>
      <w:r w:rsidRPr="00483F7D">
        <w:t>, αφενός, και του κανονισμού για την απαλλαγή από τους δασμούς και της Συνδυασμένης Ονοματολογίας</w:t>
      </w:r>
      <w:r w:rsidRPr="00483F7D">
        <w:rPr>
          <w:rStyle w:val="FootnoteReference"/>
        </w:rPr>
        <w:footnoteReference w:id="14"/>
      </w:r>
      <w:r w:rsidRPr="00483F7D">
        <w:t>, αφετέρου. Και οι δύο τροποποιήσεις συμπληρώνουν την τελωνειακή μεταρρύθμιση σε σχέση με τα αναγκαία μέτρα που απαιτούνται για την αντιμετώπιση των προκλήσεων των εξ αποστάσεως πωλήσεων εμπορευμάτων (συναλλαγές ηλεκτρονικού εμπορίου), δηλαδή με την κατάργηση του ορίου των 150 EUR, πάνω από το οποίο οφείλονται τελωνειακοί δασμοί σύμφωνα με τους ισχύοντες κανόνες.</w:t>
      </w:r>
    </w:p>
    <w:p w14:paraId="044399E8" w14:textId="77777777" w:rsidR="00AC3670" w:rsidRPr="00483F7D" w:rsidRDefault="007A1FD7">
      <w:pPr>
        <w:pStyle w:val="ManualHeading2"/>
      </w:pPr>
      <w:r w:rsidRPr="00483F7D">
        <w:t>•</w:t>
      </w:r>
      <w:r w:rsidRPr="00483F7D">
        <w:tab/>
        <w:t>Συνέπεια με τις ισχύουσες διατάξεις στον τομέα πολιτικής</w:t>
      </w:r>
    </w:p>
    <w:p w14:paraId="30741F31" w14:textId="77777777" w:rsidR="00AC3670" w:rsidRPr="00483F7D" w:rsidRDefault="007A1FD7">
      <w:r w:rsidRPr="00483F7D">
        <w:t>Ο ΕΤΚ αποτελεί το κύριο νομικό πλαίσιο και πλαίσιο ΤΠ για τις τελωνειακές διαδικασίες στο τελωνειακό έδαφος της Ένωσης. Η παρούσα μεταρρύθμιση αναθεωρεί και καταργεί τη βασική πράξη. Θα ακολουθήσει αναθεώρηση των λεπτομερών εκτελεστικών πράξεων και των κατ’ εξουσιοδότηση πράξεων.</w:t>
      </w:r>
    </w:p>
    <w:p w14:paraId="71DD6055" w14:textId="77777777" w:rsidR="00AC3670" w:rsidRPr="00483F7D" w:rsidRDefault="007A1FD7">
      <w:r w:rsidRPr="00483F7D">
        <w:t>Η μεταρρύθμιση συνάδει με τη νομοθεσία σχετικά με τους ιδίους πόρους για τον προϋπολογισμό της Ένωσης, η οποία θεσπίζει τους τελωνειακούς δασμούς ως άμεση πηγή των εσόδων της</w:t>
      </w:r>
      <w:r w:rsidRPr="00483F7D">
        <w:rPr>
          <w:rStyle w:val="FootnoteReference"/>
        </w:rPr>
        <w:footnoteReference w:id="15"/>
      </w:r>
      <w:r w:rsidRPr="00483F7D">
        <w:t>, καθώς και με τους κανόνες σχετικά με τον τρόπο απόδοσής τους στην Ένωση</w:t>
      </w:r>
      <w:r w:rsidRPr="00483F7D">
        <w:rPr>
          <w:rStyle w:val="FootnoteReference"/>
        </w:rPr>
        <w:footnoteReference w:id="16"/>
      </w:r>
      <w:r w:rsidRPr="00483F7D">
        <w:t>.</w:t>
      </w:r>
    </w:p>
    <w:p w14:paraId="54C58C4C" w14:textId="77777777" w:rsidR="00AC3670" w:rsidRPr="00483F7D" w:rsidRDefault="00AB3456">
      <w:bookmarkStart w:id="2" w:name="_Hlk133490274"/>
      <w:r w:rsidRPr="00483F7D">
        <w:t>Η πρόταση διασφαλίζει την πλήρη ευθυγράμμιση μεταξύ του ΦΠΑ και της τελωνειακής μεταχείρισης των πωλήσεων ηλεκτρονικού εμπορίου επιχειρήσεων προς καταναλωτές (B2C) που σχετίζονται με εμπορεύματα που αποστέλλονται από τρίτες χώρες ή εδάφη. Η ευθυγράμμιση αυτή περιλαμβάνει το πεδίο εφαρμογής, τις προθεσμίες που ισχύουν για τον καθορισμό, την είσπραξη και την καταβολή δασμών και φόρων, τις σχετικές υποχρεώσεις υποβολής εκθέσεων, καθώς και την εναρμόνιση των υποχρεώσεων των διαδικτυακών πωλητών, ιδίως των αγορών. Οι συγχρονισμένοι κανόνες θα επιτρέψουν στους διαδικτυακούς πωλητές να προσφέρουν μια πραγματική συνολική τιμή κατά την πώληση εμπορευμάτων μέσω διαδικτύου σε καταναλωτές στην ΕΕ για όλα τα εμπορεύματα που εισάγονται από τρίτες χώρες, εκτός αν τα εμπορεύματα υπόκεινται σε εναρμονισμένους ειδικούς φόρους κατανάλωσης</w:t>
      </w:r>
      <w:r w:rsidRPr="00483F7D">
        <w:rPr>
          <w:rStyle w:val="FootnoteReference"/>
        </w:rPr>
        <w:footnoteReference w:id="17"/>
      </w:r>
      <w:r w:rsidRPr="00483F7D">
        <w:t xml:space="preserve"> και μέτρα εμπορικής πολιτικής της ΕΕ.</w:t>
      </w:r>
    </w:p>
    <w:p w14:paraId="39A41D58" w14:textId="77777777" w:rsidR="009A434A" w:rsidRPr="00483F7D" w:rsidRDefault="009A434A" w:rsidP="009A434A">
      <w:pPr>
        <w:rPr>
          <w:sz w:val="22"/>
        </w:rPr>
      </w:pPr>
      <w:r w:rsidRPr="00483F7D">
        <w:t>Στις 27 Φεβρουαρίου 2023 η Ευρωπαϊκή Επιτροπή και η κυβέρνηση του Ηνωμένου Βασιλείου κατέληξαν σε καταρχήν πολιτική συμφωνία σχετικά με το πλαίσιο του Ουίνδσορ, ένα ολοκληρωμένο σύνολο κοινών λύσεων που αποσκοπούν στην οριστική αντιμετώπιση των πρακτικών προκλήσεων που αντιμετωπίζουν οι πολίτες και οι επιχειρήσεις στη Βόρεια Ιρλανδία. Οι κοινές λύσεις καλύπτουν, μεταξύ άλλων, νέες ρυθμίσεις για τα τελωνεία. Στις 24 Μαρτίου 2023 η μεικτή επιτροπή ΕΕ-Ηνωμένου Βασιλείου εξέδωσε την απόφαση αριθ. 1/2023 για τον καθορισμό των ρυθμίσεων σχετικά με το πλαίσιο του Ουίνδσορ, ιδίως στον τομέα των τελωνείων. Η απόφαση αριθ. 1/2023 ορίζει ότι το Ηνωμένο Βασίλειο μπορεί να ενημερώσει την Ένωση και, σε περίπτωση που δεν βρεθεί λύση, να αναστείλει ορισμένες διατάξεις της απόφασης που καθορίζουν ρυθμίσεις για τη διακίνηση εμπορευμάτων που δεν διατρέχουν κίνδυνο εισόδου στην Ένωση από άλλο τμήμα του Ηνωμένου Βασιλείου στη Βόρεια Ιρλανδία, αν οι ενωσιακές πράξεις που προβλέπουν διευκολύνσεις σχετικά με τις εν λόγω διακινήσεις εμπορευμάτων παύσουν να ισχύουν, εν όλω ή εν μέρει, κατά τρόπον ώστε να μην προβλέπουν πλέον το ίδιο επίπεδο διευκολύνσεων. Η αναθεώρηση της τελωνειακής νομοθεσίας που προβλέπεται στον παρόντα κανονισμό δεν θα επηρεάσει το επίπεδο των διευκολύνσεων που αναφέρονται στην απόφαση αριθ. 1/2023 της μεικτής επιτροπής.</w:t>
      </w:r>
    </w:p>
    <w:bookmarkEnd w:id="2"/>
    <w:p w14:paraId="68069BB9" w14:textId="77777777" w:rsidR="00AC3670" w:rsidRPr="00483F7D" w:rsidRDefault="007A1FD7">
      <w:pPr>
        <w:pStyle w:val="ManualHeading2"/>
      </w:pPr>
      <w:r w:rsidRPr="00483F7D">
        <w:t>•</w:t>
      </w:r>
      <w:r w:rsidRPr="00483F7D">
        <w:tab/>
        <w:t>Συνέπεια με άλλες πολιτικές της Ένωσης</w:t>
      </w:r>
    </w:p>
    <w:p w14:paraId="6090F17B" w14:textId="77777777" w:rsidR="00AC3670" w:rsidRPr="00483F7D" w:rsidRDefault="007A1FD7">
      <w:r w:rsidRPr="00483F7D">
        <w:t>Η δράση για τα τελωνεία στηρίζει την επιβολή ενός ευρέος και αυξανόμενου αριθμού άνω των 350 διαφορετικών ενωσιακών νομοθετικών πράξεων, σε τομείς πολιτικής όπως το εμπόριο, η βιομηχανία, η ασφάλεια, η υγεία, το περιβάλλον και το κλίμα</w:t>
      </w:r>
      <w:r w:rsidRPr="00483F7D">
        <w:rPr>
          <w:rStyle w:val="FootnoteReference"/>
        </w:rPr>
        <w:footnoteReference w:id="18"/>
      </w:r>
      <w:r w:rsidRPr="00483F7D">
        <w:t>. Η μεταρρύθμιση ενισχύει την ικανότητα των τελωνείων να παρέχουν αυτήν την υπηρεσία και εισάγει ένα πλαίσιο συνεργασίας με τις αρχές εποπτείας της αγοράς, τις αρχές επιβολής του νόμου και άλλες αρχές, καθώς και με τους οργανισμούς και τα όργανα της Ένωσης, συμπεριλαμβανομένου του Οργανισμού της Ευρωπαϊκής Ένωσης για τη Συνεργασία στον Τομέα της Επιβολής του Νόμου (Ευρωπόλ) και του Ευρωπαϊκού Οργανισμού Συνοριοφυλακής και Ακτοφυλακής (Frontex). Η μεταρρύθμιση συνάδει με άλλες πολιτικές της Ένωσης, συγκεκριμένα:</w:t>
      </w:r>
    </w:p>
    <w:p w14:paraId="338CDD64" w14:textId="77777777" w:rsidR="00AC3670" w:rsidRPr="00483F7D" w:rsidRDefault="007A1FD7" w:rsidP="00CF7E35">
      <w:pPr>
        <w:pStyle w:val="Bullet0"/>
        <w:numPr>
          <w:ilvl w:val="0"/>
          <w:numId w:val="20"/>
        </w:numPr>
      </w:pPr>
      <w:r w:rsidRPr="00483F7D">
        <w:t xml:space="preserve">Ο </w:t>
      </w:r>
      <w:r w:rsidRPr="00483F7D">
        <w:rPr>
          <w:b/>
        </w:rPr>
        <w:t>κανονισμός για την εποπτεία της αγοράς</w:t>
      </w:r>
      <w:r w:rsidRPr="00483F7D">
        <w:rPr>
          <w:rStyle w:val="FootnoteReference"/>
        </w:rPr>
        <w:footnoteReference w:id="19"/>
      </w:r>
      <w:r w:rsidRPr="00483F7D">
        <w:t xml:space="preserve">, ο οποίος παρέχει το νομικό πλαίσιο για τους ελέγχους βάσει κινδύνου ορισμένων μη εδώδιμων προϊόντων που πωλούνται στην ενωσιακή αγορά, ιδίως μέσω της συστηματικής συνεργασίας και ανταλλαγής πληροφοριών μεταξύ των αρχών εποπτείας της αγοράς και των τελωνειακών αρχών για τον εντοπισμό μη ασφαλών ή μη συμμορφούμενων προϊόντων που εισέρχονται στην ενιαία αγορά. Τα τελωνεία θα κληθούν επίσης να εφαρμόσουν τον αναθεωρημένο </w:t>
      </w:r>
      <w:r w:rsidRPr="00483F7D">
        <w:rPr>
          <w:b/>
        </w:rPr>
        <w:t>κανονισμό για τη γενική ασφάλεια των προϊόντων</w:t>
      </w:r>
      <w:r w:rsidRPr="00483F7D">
        <w:rPr>
          <w:rStyle w:val="FootnoteReference"/>
        </w:rPr>
        <w:footnoteReference w:id="20"/>
      </w:r>
      <w:r w:rsidRPr="00483F7D">
        <w:t xml:space="preserve"> και τους νέους κανόνες που αποσκοπούν στην αποτελεσματική απαγόρευση της διάθεσης στην ενιαία αγορά προϊόντων που παράγονται εξ ολοκλήρου ή εν μέρει με </w:t>
      </w:r>
      <w:r w:rsidRPr="00483F7D">
        <w:rPr>
          <w:b/>
        </w:rPr>
        <w:t>καταναγκαστική εργασία</w:t>
      </w:r>
      <w:r w:rsidRPr="00483F7D">
        <w:rPr>
          <w:rStyle w:val="FootnoteReference"/>
        </w:rPr>
        <w:footnoteReference w:id="21"/>
      </w:r>
      <w:r w:rsidRPr="00483F7D">
        <w:t>, μόλις εγκριθούν οι αντίστοιχες προτάσεις.</w:t>
      </w:r>
    </w:p>
    <w:p w14:paraId="3E1619C6" w14:textId="77777777" w:rsidR="00AC3670" w:rsidRPr="00483F7D" w:rsidRDefault="007A1FD7" w:rsidP="00B62B15">
      <w:pPr>
        <w:pStyle w:val="Bullet0"/>
      </w:pPr>
      <w:r w:rsidRPr="00483F7D">
        <w:t xml:space="preserve">Στον τομέα της </w:t>
      </w:r>
      <w:r w:rsidRPr="00483F7D">
        <w:rPr>
          <w:b/>
        </w:rPr>
        <w:t>περιβαλλοντικής νομοθεσίας</w:t>
      </w:r>
      <w:r w:rsidRPr="00483F7D">
        <w:t>, οι τελωνειακές αρχές συμμετέχουν στην επιβολή πολυάριθμων κανόνων, μεταξύ άλλων, για τα χημικά προϊόντα</w:t>
      </w:r>
      <w:r w:rsidRPr="00483F7D">
        <w:rPr>
          <w:rStyle w:val="FootnoteReference"/>
        </w:rPr>
        <w:footnoteReference w:id="22"/>
      </w:r>
      <w:r w:rsidRPr="00483F7D">
        <w:t>, την προστασία των ειδών άγριας πανίδας και χλωρίδας</w:t>
      </w:r>
      <w:r w:rsidRPr="00483F7D">
        <w:rPr>
          <w:rStyle w:val="FootnoteReference"/>
        </w:rPr>
        <w:footnoteReference w:id="23"/>
      </w:r>
      <w:r w:rsidRPr="00483F7D">
        <w:t xml:space="preserve"> και την καταπολέμηση της κλιματικής αλλαγής με την ελαχιστοποίηση της χρήσης και των εκπομπών επικίνδυνων ουσιών</w:t>
      </w:r>
      <w:r w:rsidRPr="00483F7D">
        <w:rPr>
          <w:rStyle w:val="FootnoteReference"/>
        </w:rPr>
        <w:footnoteReference w:id="24"/>
      </w:r>
      <w:r w:rsidRPr="00483F7D">
        <w:t xml:space="preserve">. </w:t>
      </w:r>
      <w:r w:rsidRPr="00483F7D">
        <w:rPr>
          <w:rStyle w:val="FootnoteReference"/>
        </w:rPr>
        <w:footnoteReference w:id="25"/>
      </w:r>
      <w:r w:rsidRPr="00483F7D">
        <w:t xml:space="preserve"> Οι τελωνειακές αρχές θα κληθούν επίσης να εφαρμόσουν νέους ενωσιακούς κανόνες για τον περιορισμό της αποψίλωσης των δασών</w:t>
      </w:r>
      <w:r w:rsidRPr="00483F7D">
        <w:rPr>
          <w:rStyle w:val="FootnoteReference"/>
        </w:rPr>
        <w:footnoteReference w:id="26"/>
      </w:r>
      <w:r w:rsidRPr="00483F7D">
        <w:t xml:space="preserve"> και την επεξεργασία των μεταφορών αποβλήτων</w:t>
      </w:r>
      <w:r w:rsidRPr="00483F7D">
        <w:rPr>
          <w:rStyle w:val="FootnoteReference"/>
        </w:rPr>
        <w:footnoteReference w:id="27"/>
      </w:r>
      <w:r w:rsidRPr="00483F7D">
        <w:t xml:space="preserve">. Επιπλέον, η πρόταση για την πρωτοβουλία για τα βιώσιμα προϊόντα καλεί τις τελωνειακές αρχές να διασταυρώσουν την τελωνειακή διασάφηση με τις πληροφορίες σχετικά με τα εισαγόμενα εμπορεύματα που περιέχονται στο νέο </w:t>
      </w:r>
      <w:r w:rsidRPr="00483F7D">
        <w:rPr>
          <w:i/>
        </w:rPr>
        <w:t>ψηφιακό διαβατήριο για τα προϊόντα</w:t>
      </w:r>
      <w:r w:rsidRPr="00483F7D">
        <w:t>, ώστε να μειωθούν οι αρνητικές περιβαλλοντικές επιπτώσεις του κύκλου ζωής των προϊόντων που διατίθενται στην ενιαία αγορά</w:t>
      </w:r>
      <w:r w:rsidRPr="00483F7D">
        <w:rPr>
          <w:rStyle w:val="FootnoteReference"/>
        </w:rPr>
        <w:footnoteReference w:id="28"/>
      </w:r>
      <w:r w:rsidRPr="00483F7D">
        <w:t xml:space="preserve">. Η πρόταση για τη θέσπιση </w:t>
      </w:r>
      <w:r w:rsidRPr="00483F7D">
        <w:rPr>
          <w:b/>
        </w:rPr>
        <w:t>μηχανισμού συνοριακής προσαρμογής άνθρακα</w:t>
      </w:r>
      <w:r w:rsidRPr="00483F7D">
        <w:rPr>
          <w:rStyle w:val="FootnoteReference"/>
        </w:rPr>
        <w:footnoteReference w:id="29"/>
      </w:r>
      <w:r w:rsidRPr="00483F7D">
        <w:t xml:space="preserve"> θα συμβάλει στη διασφάλιση ότι οι στόχοι της ΕΕ για το κλίμα δεν υπονομεύονται από τον κίνδυνο διαρροής άνθρακα και θα ενθαρρύνει τους παραγωγούς σε τρίτες χώρες να προσδώσουν οικολογικό χαρακτήρα στις διαδικασίες παραγωγής τους. Ο μηχανισμός εφαρμόζεται στα εισαγόμενα εμπορεύματα, ενώ τα τελωνεία υποστηρίζουν την επιβολή της νομοθεσίας.</w:t>
      </w:r>
    </w:p>
    <w:p w14:paraId="70E78F9A" w14:textId="77777777" w:rsidR="00AC3670" w:rsidRPr="00483F7D" w:rsidRDefault="007A1FD7" w:rsidP="00B62B15">
      <w:pPr>
        <w:pStyle w:val="Bullet0"/>
      </w:pPr>
      <w:r w:rsidRPr="00483F7D">
        <w:t xml:space="preserve">Όσον αφορά την </w:t>
      </w:r>
      <w:r w:rsidRPr="00483F7D">
        <w:rPr>
          <w:b/>
        </w:rPr>
        <w:t>επιβολή της νομοθεσίας</w:t>
      </w:r>
      <w:r w:rsidRPr="00483F7D">
        <w:t>, η νομική βάση για την αμοιβαία συνδρομή μεταξύ των εθνικών αρχών και με την Επιτροπή όσον αφορά την εφαρμογή της τελωνειακής και γεωργικής νομοθεσίας προβλέπει σχετικά μέτρα, τα οποία περιλαμβάνουν τους κανόνες για την πρόληψη, την έρευνα και τη δίωξη της τελωνειακής απάτης</w:t>
      </w:r>
      <w:r w:rsidRPr="00483F7D">
        <w:rPr>
          <w:rStyle w:val="FootnoteReference"/>
        </w:rPr>
        <w:footnoteReference w:id="30"/>
      </w:r>
      <w:r w:rsidRPr="00483F7D">
        <w:t>, καθώς και το πλαίσιο επιχειρησιακής συνεργασίας μεταξύ των αρχών και φορέων επιβολής της νομοθεσίας των κρατών μελών και της Ένωσης, με στόχο τη διασφάλιση της ασφάλειας εντός της Ένωσης κατά, π.χ., της διακίνησης ναρκωτικών και πυροβόλων όπλων</w:t>
      </w:r>
      <w:r w:rsidRPr="00483F7D">
        <w:rPr>
          <w:rStyle w:val="FootnoteReference"/>
        </w:rPr>
        <w:footnoteReference w:id="31"/>
      </w:r>
      <w:r w:rsidRPr="00483F7D">
        <w:t>.</w:t>
      </w:r>
    </w:p>
    <w:p w14:paraId="7E7CFC81" w14:textId="77777777" w:rsidR="00AC3670" w:rsidRPr="00483F7D" w:rsidRDefault="007A1FD7" w:rsidP="00B62B15">
      <w:pPr>
        <w:pStyle w:val="Bullet0"/>
      </w:pPr>
      <w:r w:rsidRPr="00483F7D">
        <w:t xml:space="preserve">Η νέα </w:t>
      </w:r>
      <w:r w:rsidRPr="00483F7D">
        <w:rPr>
          <w:b/>
        </w:rPr>
        <w:t>πράξη για τις ψηφιακές υπηρεσίες</w:t>
      </w:r>
      <w:r w:rsidRPr="00483F7D">
        <w:t xml:space="preserve"> θεσπίζει σαφείς υποχρεώσεις για τους παρόχους ψηφιακών υπηρεσιών όσον αφορά την αντιμετώπιση του παράνομου περιεχομένου, γεγονός που έχει ως αποτέλεσμα την ενίσχυση της ιχνηλασιμότητας και των ελέγχων των συναλλασσομένων στις διαδικτυακές αγορές, ώστε να διασφαλίζεται ότι τα προϊόντα που διατίθενται στην ενιαία αγορά είναι ασφαλή</w:t>
      </w:r>
      <w:r w:rsidRPr="00483F7D">
        <w:rPr>
          <w:rStyle w:val="FootnoteReference"/>
        </w:rPr>
        <w:footnoteReference w:id="32"/>
      </w:r>
      <w:r w:rsidRPr="00483F7D">
        <w:t>.</w:t>
      </w:r>
    </w:p>
    <w:p w14:paraId="1BEFE0EB" w14:textId="77777777" w:rsidR="00AC3670" w:rsidRPr="00483F7D" w:rsidRDefault="007A1FD7">
      <w:pPr>
        <w:pStyle w:val="ManualHeading1"/>
      </w:pPr>
      <w:r w:rsidRPr="00483F7D">
        <w:t>2.</w:t>
      </w:r>
      <w:r w:rsidRPr="00483F7D">
        <w:tab/>
        <w:t>ΝΟΜΙΚΗ ΒΑΣΗ, ΕΠΙΚΟΥΡΙΚΟΤΗΤΑ ΚΑΙ ΑΝΑΛΟΓΙΚΟΤΗΤΑ</w:t>
      </w:r>
    </w:p>
    <w:p w14:paraId="5C945B2E" w14:textId="77777777" w:rsidR="00AC3670" w:rsidRPr="00483F7D" w:rsidRDefault="007A1FD7">
      <w:pPr>
        <w:pStyle w:val="ManualHeading2"/>
      </w:pPr>
      <w:r w:rsidRPr="00483F7D">
        <w:t>•</w:t>
      </w:r>
      <w:r w:rsidRPr="00483F7D">
        <w:tab/>
        <w:t>Νομική βάση</w:t>
      </w:r>
    </w:p>
    <w:p w14:paraId="427ADC50" w14:textId="77777777" w:rsidR="00AC3670" w:rsidRPr="00483F7D" w:rsidRDefault="007A1FD7">
      <w:r w:rsidRPr="00483F7D">
        <w:t>Το άρθρο 3 παράγραφος 1 στοιχείο α) της Συνθήκης για τη λειτουργία της Ευρωπαϊκής Ένωσης (ΣΛΕΕ) ορίζει ότι η τελωνειακή ένωση αποτελεί αποκλειστική αρμοδιότητα της Ένωσης. Κατά συνέπεια, μόνο η Ένωση μπορεί να θεσπίζει τελωνειακή νομοθεσία, ενώ τα κράτη μέλη είναι υπεύθυνα για την εφαρμογή της.</w:t>
      </w:r>
    </w:p>
    <w:p w14:paraId="7E62B26A" w14:textId="77777777" w:rsidR="00AC3670" w:rsidRPr="00483F7D" w:rsidRDefault="007A1FD7">
      <w:r w:rsidRPr="00483F7D">
        <w:t>Η νομική βάση της παρούσας πρωτοβουλίας είναι τα άρθρα 33, 114 και 207 της ΣΛΕΕ.</w:t>
      </w:r>
    </w:p>
    <w:p w14:paraId="2B63860B" w14:textId="77777777" w:rsidR="00AC3670" w:rsidRPr="00483F7D" w:rsidRDefault="007A1FD7">
      <w:r w:rsidRPr="00483F7D">
        <w:t>Τα άρθρα 33 και 114 της ΣΛΕΕ παρέχουν στο Ευρωπαϊκό Κοινοβούλιο και στο Συμβούλιο το δικαίωμα να λαμβάνουν μέτρα για την ενίσχυση της τελωνειακής συνεργασίας μεταξύ των κρατών μελών, καθώς και μεταξύ των κρατών μελών και της Επιτροπής, με σκοπό τη διασφάλιση της εύρυθμης λειτουργίας της εσωτερικής αγοράς μέσω της κατάργησης των εσωτερικών συνόρων και της επίτευξης της ελεύθερης διακίνησης των εμπορευμάτων. </w:t>
      </w:r>
    </w:p>
    <w:p w14:paraId="241A1F73" w14:textId="77777777" w:rsidR="00AC3670" w:rsidRPr="00483F7D" w:rsidRDefault="007A1FD7">
      <w:r w:rsidRPr="00483F7D">
        <w:t>Το άρθρο 207 της ΣΛΕΕ βασίζεται στην παραδοχή ότι το πεδίο εφαρμογής της πρωτοβουλίας εκτείνεται πέραν της συνεργασίας μεταξύ τελωνειακών αρχών ώστε να συμπεριλάβει τη διευκόλυνση του εμπορίου και την προστασία από το παράνομο εμπόριο ως σημαντική πτυχή της εμπορικής πολιτικής, σύμφωνα με το εφαρμοστέο διεθνές πλαίσιο για την εμπορική πολιτική με τρίτες χώρες.</w:t>
      </w:r>
    </w:p>
    <w:p w14:paraId="1935553F" w14:textId="77777777" w:rsidR="00AC3670" w:rsidRPr="00483F7D" w:rsidRDefault="007A1FD7">
      <w:pPr>
        <w:pStyle w:val="ManualHeading2"/>
      </w:pPr>
      <w:r w:rsidRPr="00483F7D">
        <w:t>•</w:t>
      </w:r>
      <w:r w:rsidRPr="00483F7D">
        <w:tab/>
        <w:t>Επικουρικότητα (σε περίπτωση μη αποκλειστικής αρμοδιότητας)</w:t>
      </w:r>
    </w:p>
    <w:p w14:paraId="2E141CE4" w14:textId="77777777" w:rsidR="00182FC1" w:rsidRPr="00483F7D" w:rsidRDefault="006A76AC" w:rsidP="00BF7DAE">
      <w:pPr>
        <w:pStyle w:val="Text1"/>
        <w:ind w:left="0"/>
        <w:rPr>
          <w:bCs/>
        </w:rPr>
      </w:pPr>
      <w:r w:rsidRPr="00483F7D">
        <w:t>Δεδομένου ότι η παρούσα πρόταση εμπίπτει στην αποκλειστική αρμοδιότητα της Ένωσης, δεν εφαρμόζεται η αρχή της επικουρικότητας.</w:t>
      </w:r>
    </w:p>
    <w:p w14:paraId="54A529D9" w14:textId="77777777" w:rsidR="00AC3670" w:rsidRPr="00483F7D" w:rsidRDefault="007A1FD7">
      <w:pPr>
        <w:pStyle w:val="ManualHeading2"/>
      </w:pPr>
      <w:r w:rsidRPr="00483F7D">
        <w:t>•</w:t>
      </w:r>
      <w:r w:rsidRPr="00483F7D">
        <w:tab/>
        <w:t>Αναλογικότητα</w:t>
      </w:r>
    </w:p>
    <w:p w14:paraId="5F434D8F" w14:textId="77777777" w:rsidR="00AC3670" w:rsidRPr="00483F7D" w:rsidRDefault="007A1FD7">
      <w:r w:rsidRPr="00483F7D">
        <w:t>Οι κοινοί τελωνειακοί κανόνες και διαδικασίες που θεσπίζονται στον ΕΤΚ εφαρμόζονται από τα κράτη μέλη. Το υφιστάμενο πλαίσιο έχει αντιμετωπίσει προβλήματα όσον αφορά την ενιαία εφαρμογή και εναρμόνιση, με αποτέλεσμα τον κατακερματισμό των διαδικασιών, των πρακτικών και των προσεγγίσεων, ο οποίος θέτει σε κίνδυνο την τελωνειακή ένωση. Ο εν λόγω κατακερματισμός και οι σχετικές συνέπειες δεν είναι δυνατό να επιλυθούν σε εθνικό επίπεδο. Ως εκ τούτου, απαιτείται αναθεωρημένο και ολοκληρωμένο σύνολο κανόνων για τις τελωνειακές διαδικασίες, την κοινή διαχείριση δεδομένων και τη διακυβέρνηση σε ενωσιακό επίπεδο για την αντιμετώπιση των προβλημάτων που εντοπίστηκαν, το οποίο θα πρέπει να εφαρμοστεί με τον ίδιο τρόπο.</w:t>
      </w:r>
    </w:p>
    <w:p w14:paraId="34035E16" w14:textId="77777777" w:rsidR="00AC3670" w:rsidRPr="00483F7D" w:rsidRDefault="007A1FD7">
      <w:r w:rsidRPr="00483F7D">
        <w:t>Η παρούσα πρωτοβουλία δεν υπερβαίνει τα αναγκαία όρια για την επίτευξη των στόχων αυτών. Τα προαναφερθέντα στοιχεία αλληλοενισχύονται και θα καταστήσουν δυνατή τη σημαντική μείωση της επιβάρυνσης τόσο για τις δημόσιες αρχές όσο και για τους φορείς του ιδιωτικού τομέα, την αποτελεσματική εναρμόνιση των κανόνων και των πρακτικών, καθώς και τους ισότιμους όρους ανταγωνισμού για τους οικονομικούς φορείς κατά την εκπλήρωση των τελωνειακών υποχρεώσεων.</w:t>
      </w:r>
    </w:p>
    <w:p w14:paraId="003D447E" w14:textId="77777777" w:rsidR="00AC3670" w:rsidRPr="00483F7D" w:rsidRDefault="007A1FD7">
      <w:pPr>
        <w:pStyle w:val="ManualHeading2"/>
      </w:pPr>
      <w:r w:rsidRPr="00483F7D">
        <w:t>•</w:t>
      </w:r>
      <w:r w:rsidRPr="00483F7D">
        <w:tab/>
        <w:t>Επιλογή της νομικής πράξης</w:t>
      </w:r>
    </w:p>
    <w:p w14:paraId="497948B9" w14:textId="77777777" w:rsidR="00AC3670" w:rsidRPr="00483F7D" w:rsidRDefault="007A1FD7">
      <w:r w:rsidRPr="00483F7D">
        <w:t>Η επιλογή της νομικής πράξης (κανονισμού) είναι απαραίτητη διότι η τελωνειακή ένωση πρέπει να παρέχει ασφάλεια δικαίου για το εμπόριο και τις δημόσιες αρχές. Η τελωνειακή ένωση πρέπει να διασφαλίζει την ομαλή ροή του νόμιμου εμπορίου και ταυτόχρονα να προβλέπει την αποτελεσματική παρέμβαση των δημόσιων αρχών με βάση τον κίνδυνο, ώστε να συμβάλλουν στην εφαρμογή σημαντικών στοιχείων του κεκτημένου της Ένωσης, ιδίως της ενιαίας αγοράς, της ασφάλειας της Ένωσης και του προϋπολογισμού της Ένωσης, μέσω παραδοσιακών ιδίων πόρων. Η νομική πράξη του ΕΤΚ, η οποία θα καταργηθεί με τη μεταρρύθμιση, είναι επίσης κανονισμός.</w:t>
      </w:r>
    </w:p>
    <w:p w14:paraId="4CE7CED4" w14:textId="77777777" w:rsidR="00AC3670" w:rsidRPr="00483F7D" w:rsidRDefault="007A1FD7" w:rsidP="0092728D">
      <w:pPr>
        <w:pStyle w:val="ManualHeading1"/>
      </w:pPr>
      <w:r w:rsidRPr="00483F7D">
        <w:t>3.</w:t>
      </w:r>
      <w:r w:rsidRPr="00483F7D">
        <w:tab/>
        <w:t>ΑΠΟΤΕΛΕΣΜΑΤΑ ΤΩΝ ΕΚ ΤΩΝ ΥΣΤΕΡΩΝ ΑΞΙΟΛΟΓΗΣΕΩΝ, ΤΩΝ ΔΙΑΒΟΥΛΕΥΣΕΩΝ ΜΕ ΤΑ ΕΝΔΙΑΦΕΡΟΜΕΝΑ ΜΕΡΗ ΚΑΙ ΤΩΝ ΕΚΤΙΜΗΣΕΩΝ ΕΠΙΠΤΩΣΕΩΝ</w:t>
      </w:r>
    </w:p>
    <w:p w14:paraId="73F67946" w14:textId="77777777" w:rsidR="00AC3670" w:rsidRPr="00483F7D" w:rsidRDefault="007A1FD7">
      <w:pPr>
        <w:pStyle w:val="ManualHeading2"/>
      </w:pPr>
      <w:r w:rsidRPr="00483F7D">
        <w:t>•</w:t>
      </w:r>
      <w:r w:rsidRPr="00483F7D">
        <w:tab/>
        <w:t>Εκ των υστέρων αξιολογήσεις / έλεγχοι καταλληλότητας της ισχύουσας νομοθεσίας</w:t>
      </w:r>
    </w:p>
    <w:p w14:paraId="51975F99" w14:textId="77777777" w:rsidR="00AC3670" w:rsidRPr="00483F7D" w:rsidRDefault="007A1FD7">
      <w:r w:rsidRPr="00483F7D">
        <w:t>Το 2022 η Επιτροπή παρουσίασε ενδιάμεση αξιολόγηση της εφαρμογής των νομικών διατάξεων και της υλοποίησης των συστημάτων ΤΠ του ΕΤΚ όσον αφορά την αποτελεσματικότητα, την αποδοτικότητα, τη συνάφεια, τη συνοχή με τις σχετικές πολιτικές και την προστιθέμενη αξία για την ΕΕ</w:t>
      </w:r>
      <w:r w:rsidRPr="00483F7D">
        <w:rPr>
          <w:rStyle w:val="FootnoteReference"/>
        </w:rPr>
        <w:footnoteReference w:id="33"/>
      </w:r>
      <w:r w:rsidRPr="00483F7D">
        <w:t>. Η έκθεση αξιολόγησης ανέφερε ότι η επιτυχία της εφαρμογής του ΕΤΚ κατά την περίοδο 2016-2020 είναι μερική.</w:t>
      </w:r>
    </w:p>
    <w:p w14:paraId="373B6373" w14:textId="77777777" w:rsidR="00AC3670" w:rsidRPr="00483F7D" w:rsidRDefault="007A1FD7">
      <w:r w:rsidRPr="00483F7D">
        <w:t>Πρώτον, ενώ η κατάσταση εφαρμογής των νομικών διατάξεων θεωρήθηκε ότι βρίσκεται σε καλό δρόμο, εξακολουθούν να υπάρχουν ορισμένες δυσκολίες όσον αφορά την εφαρμογή των 17 συστημάτων ΤΠ που θεσπίστηκαν με τον κώδικα. Οκτώ συστήματα αναπτύχθηκαν επιτυχώς έως το 2020 και λειτουργούν ικανοποιητικά σύμφωνα με τα ενδιαφερόμενα μέρη, τέσσερα ακόμη εγκαταστάθηκαν το 2021, ενώ πέντε συστήματα πρόκειται να αναπτυχθούν σταδιακά έως το τέλος του 2025.</w:t>
      </w:r>
    </w:p>
    <w:p w14:paraId="7C62F7B5" w14:textId="77777777" w:rsidR="00AC3670" w:rsidRPr="00483F7D" w:rsidRDefault="007A1FD7">
      <w:r w:rsidRPr="00483F7D">
        <w:t>Δεύτερον, έχει επιτευχθεί κάποια απτή πρόοδος όσον αφορά τη βελτίωση του τελωνειακού περιβάλλοντος, αλλά δεν αφορά εξίσου όλους τους τομείς που αναλύθηκαν στην αξιολόγηση. Ο ΕΤΚ συνέβαλε στην αποσαφήνιση και στην εναρμόνιση των τελωνειακών κανόνων, ώστε να μειωθούν οι αποκλίνουσες προσεγγίσεις μεταξύ των κρατών μελών, όπως στους τομείς των τελωνειακών αποφάσεων, των όρων χορήγησης της ιδιότητας του εγκεκριμένου οικονομικού φορέα (ΕΟΦ) και σε ορισμένα ειδικά καθεστώτα. Ωστόσο, η εναρμόνιση είναι ανεπαρκής σε ορισμένους άλλους τομείς, ιδίως στη διαχείριση των κινδύνων και στην παρακολούθηση του καθεστώτος ΕΟΦ, ενώ οι διαφορετικές ερμηνείες των κανόνων εξακολουθούν να αποτελούν πρόβλημα. Επιπλέον, καθώς πολλές από τις σημαντικότερες αλλαγές που εισήγαγε ο ΕΤΚ, όπως ορισμένες απλουστεύσεις στη διαδικασία τελωνισμού (π.χ. κεντρικός τελωνισμός σε επίπεδο ΕΕ κατά την εισαγωγή και σχετικές διευκολύνσεις του εμπορίου), εξαρτώνται από έργα ΤΠ που βρίσκονται σε εξέλιξη, πολλά από τα αναμενόμενα οφέλη του ΕΤΚ δεν έχουν ακόμη υλοποιηθεί.</w:t>
      </w:r>
    </w:p>
    <w:p w14:paraId="7BC5DF26" w14:textId="77777777" w:rsidR="00AC3670" w:rsidRPr="00483F7D" w:rsidRDefault="007A1FD7">
      <w:r w:rsidRPr="00483F7D">
        <w:t>Τρίτον, η αξιολόγηση αποκάλυψε ότι η εφαρμογή του ΕΤΚ δεν αξιοποίησε πλήρως τις δυνητικές συνέργειες με τις σχετικές πολιτικές και ότι δεν υπάρχει κατάλληλος συντονισμός και ανταλλαγή πληροφοριών μεταξύ των τελωνειακών αρχών και άλλων σχετικών εθνικών διοικήσεων που είναι αρμόδιες για την εφαρμογή άλλων πολιτικών της Ένωσης στα σύνορα, ιδίως όσον αφορά τα εμπορεύματα που υπόκεινται σε απαγορεύσεις και περιορισμούς. Ο ανεπαρκής συντονισμός για τον σκοπό της ευθυγράμμισης των απαιτήσεων, των προτύπων (ιδίως όσον αφορά τη συλλογή και την κοινοχρησία δεδομένων) και των διαδικασιών φέρεται να αποτελεί εμπόδιο για την ψηφιοποίηση και να επιβραδύνει την πρόοδο όσον αφορά την εφαρμογή κρίσιμων απλουστεύσεων.</w:t>
      </w:r>
    </w:p>
    <w:p w14:paraId="710EB381" w14:textId="77777777" w:rsidR="00AC3670" w:rsidRPr="00483F7D" w:rsidRDefault="007A1FD7">
      <w:r w:rsidRPr="00483F7D">
        <w:t>Η αξιολόγηση εξέτασε επίσης τη σημασία του ΕΤΚ όσον αφορά τις πλέον πιεστικές προκλήσεις που αντιμετωπίζουν σήμερα τα τελωνεία, όπως η ικανότητα χειρισμού του τεράστιου όγκου τελωνειακών διασαφήσεων και διαδικασιών από τις δραστηριότητες ηλεκτρονικού εμπορίου. Στο πλαίσιο αυτό, η αξιολόγηση αναγνώρισε ότι ο ΕΤΚ σχεδιάστηκε για ένα επιχειρηματικό μοντέλο που βασίζεται κυρίως στο παραδοσιακό εμπόριο, κατά το οποίο τα φορτηγά πλοία μεταφέρουν μεγάλες ποσότητες παρόμοιων εμπορευμάτων δια θαλάσσης. Μολονότι το μοντέλο αυτό εξακολουθεί να υφίσταται σε μεγάλο βαθμό σήμερα, η δραματική αύξηση των συναλλαγών ηλεκτρονικού εμπορίου, στο πλαίσιο του οποίου αποστολές μικρής αξίας αποστέλλονται μεμονωμένα από τρίτες χώρες στους τελικούς καταναλωτές στην Ένωση, ασκεί πίεση στις τελωνειακές αρχές και στην τελωνειακή νομοθεσία. Το 2022 δηλώθηκαν 890 εκατομμύρια συναλλαγές ηλεκτρονικού εμπορίου με τη διασάφηση H7, αριθμός που αντιστοιχεί στο 73 % του συνόλου των τελωνειακών διασαφήσεων εισαγωγής, αλλά μόλις στο 0,5 % της συνολικής αξίας των εισαγωγών. Οι συναλλαγές ηλεκτρονικού εμπορίου είναι επίσης προβληματικές όσον αφορά τη συμμόρφωση με τις απαγορεύσεις και τους περιορισμούς που εφαρμόζονται στην ΕΕ και συνδέονται με μη χρηματοοικονομικούς κινδύνους. Για τους λόγους αυτούς, από τις αξιολογήσεις προέκυψε ότι απαιτείται περαιτέρω δράση για την αντιμετώπιση αυτών των προκλήσεων στη νομοθεσία.</w:t>
      </w:r>
    </w:p>
    <w:p w14:paraId="5C09620F" w14:textId="77777777" w:rsidR="00804E48" w:rsidRPr="00483F7D" w:rsidRDefault="007A1FD7" w:rsidP="00804E48">
      <w:pPr>
        <w:pStyle w:val="ManualHeading2"/>
      </w:pPr>
      <w:r w:rsidRPr="00483F7D">
        <w:t>•</w:t>
      </w:r>
      <w:r w:rsidRPr="00483F7D">
        <w:tab/>
        <w:t>Διαβουλεύσεις με τα ενδιαφερόμενα μέρη και συλλογή εμπειρογνωσίας</w:t>
      </w:r>
    </w:p>
    <w:p w14:paraId="6F03BF93" w14:textId="77777777" w:rsidR="00AC3670" w:rsidRPr="00483F7D" w:rsidRDefault="007A1FD7">
      <w:r w:rsidRPr="00483F7D">
        <w:t>Στις 20 Ιουλίου έως τις 19 Σεπτεμβρίου 2022 ξεκίνησε δημόσια διαβούλευση σχετικά με την αναθεώρηση της τελωνειακής νομοθεσίας</w:t>
      </w:r>
      <w:r w:rsidRPr="00483F7D">
        <w:rPr>
          <w:rStyle w:val="FootnoteReference"/>
        </w:rPr>
        <w:footnoteReference w:id="34"/>
      </w:r>
      <w:r w:rsidRPr="00483F7D">
        <w:t xml:space="preserve">. Το ερωτηματολόγιο ήταν διαθέσιμο στην πλατφόρμα της ΕΕ «Πείτε την άποψή σας» σε όλες τις επίσημες γλώσσες της ΕΕ και έλαβε 192 απαντήσεις. Μεταξύ των αλλαγών πολιτικής και των μηχανισμών που θα μπορούσαν να συμπεριληφθούν σε μια μεταρρύθμιση της τελωνειακής ένωσης, οι απαντήσαντες </w:t>
      </w:r>
      <w:r w:rsidRPr="00483F7D">
        <w:rPr>
          <w:i/>
        </w:rPr>
        <w:t xml:space="preserve">συμφωνούν απόλυτα </w:t>
      </w:r>
      <w:r w:rsidRPr="00483F7D">
        <w:t>να συμπεριληφθούν τα ακόλουθα, κατά σειρά προτίμησης:</w:t>
      </w:r>
    </w:p>
    <w:p w14:paraId="7DD95A57" w14:textId="77777777" w:rsidR="00AC3670" w:rsidRPr="00483F7D" w:rsidRDefault="007A1FD7">
      <w:pPr>
        <w:pStyle w:val="Point0"/>
      </w:pPr>
      <w:r w:rsidRPr="00483F7D">
        <w:t>1.</w:t>
      </w:r>
      <w:r w:rsidRPr="00483F7D">
        <w:tab/>
        <w:t>Απλούστευση των τελωνειακών διατυπώσεων για αξιόπιστους και έμπιστους συναλλασσομένους που είναι εγκατεστημένοι στην Ένωση (69,47 %)·</w:t>
      </w:r>
    </w:p>
    <w:p w14:paraId="166BCA32" w14:textId="77777777" w:rsidR="00AC3670" w:rsidRPr="00483F7D" w:rsidRDefault="007A1FD7">
      <w:pPr>
        <w:pStyle w:val="Point0"/>
      </w:pPr>
      <w:r w:rsidRPr="00483F7D">
        <w:t>2.</w:t>
      </w:r>
      <w:r w:rsidRPr="00483F7D">
        <w:tab/>
        <w:t>Ενίσχυση της συνεργασίας μεταξύ τελωνειακών και μη τελωνειακών αρχών (55,79 %), ιδίως όσον αφορά την ανταλλαγή πληροφοριών (65,97 %), τον επιχειρησιακό συντονισμό (59,47 %) και τη βελτίωση της επιβολής απαγορεύσεων και περιορισμών (47,37 %)·</w:t>
      </w:r>
    </w:p>
    <w:p w14:paraId="4038AD1E" w14:textId="77777777" w:rsidR="00AC3670" w:rsidRPr="00483F7D" w:rsidRDefault="007A1FD7">
      <w:pPr>
        <w:pStyle w:val="Point0"/>
      </w:pPr>
      <w:r w:rsidRPr="00483F7D">
        <w:t>3.</w:t>
      </w:r>
      <w:r w:rsidRPr="00483F7D">
        <w:tab/>
        <w:t>Νέα εταιρική σχέση με έμπιστους συναλλασσομένους και άλλες αρμόδιες αρχές για καλύτερη διαχείριση των κινδύνων, συμπεριλαμβανομένης της ενίσχυσης των εκ των προτέρων πληροφοριών για τα φορτία (53,16 %)·</w:t>
      </w:r>
    </w:p>
    <w:p w14:paraId="59562047" w14:textId="77777777" w:rsidR="00AC3670" w:rsidRPr="00483F7D" w:rsidRDefault="007A1FD7">
      <w:pPr>
        <w:pStyle w:val="Point0"/>
      </w:pPr>
      <w:r w:rsidRPr="00483F7D">
        <w:t>4.</w:t>
      </w:r>
      <w:r w:rsidRPr="00483F7D">
        <w:tab/>
        <w:t>Πρόβλεψη ενός περιβάλλοντος τελωνειακών πληροφοριών σε ενωσιακό επίπεδο (54,21 %), στο οποίο τα πλέον ευνοούμενα χαρακτηριστικά θα ήταν η απλουστευμένη παροχή δεδομένων (που θα καθιστούσε δυνατή την περαιτέρω χρήση δεδομένων, την αποφυγή αλληλεπικαλύψεων κ.λπ.) για το 73,16 % των απαντήσεων, οι ικανότητες διαχείρισης δεδομένων (64,21 %) και η έννοια της «ενιαίας θυρίδας» για τη διεκπεραίωση των μη τελωνειακών διατυπώσεων (63,16 %)·</w:t>
      </w:r>
    </w:p>
    <w:p w14:paraId="58212F77" w14:textId="77777777" w:rsidR="00AC3670" w:rsidRPr="00483F7D" w:rsidRDefault="007A1FD7">
      <w:pPr>
        <w:pStyle w:val="Point0"/>
      </w:pPr>
      <w:r w:rsidRPr="00483F7D">
        <w:t>5.</w:t>
      </w:r>
      <w:r w:rsidRPr="00483F7D">
        <w:tab/>
        <w:t>Προσαρμογή της τελωνειακής νομοθεσίας στις συναλλαγές ηλεκτρονικού εμπορίου, για παράδειγμα με την ενίσχυση της εποπτείας των ροών μεταξύ επιχειρήσεων και καταναλωτών και της ευθύνης των εμπλεκόμενων φορέων για όλους τους φορολογικούς και μη φορολογικούς κανόνες (52,11 %)·</w:t>
      </w:r>
    </w:p>
    <w:p w14:paraId="0C26C2BF" w14:textId="77777777" w:rsidR="00AC3670" w:rsidRPr="00483F7D" w:rsidRDefault="007A1FD7">
      <w:pPr>
        <w:pStyle w:val="Point0"/>
      </w:pPr>
      <w:r w:rsidRPr="00483F7D">
        <w:t>6.</w:t>
      </w:r>
      <w:r w:rsidRPr="00483F7D">
        <w:tab/>
        <w:t xml:space="preserve">Το 35,79 % συμφωνεί απόλυτα με τη μεταρρύθμιση της διακυβέρνησης της τελωνειακής ένωσης ώστε να προβλεφθεί ένα επίπεδο ΕΕ (με ένα ακόμη 23 % που μάλλον συμφωνεί, περίπου το 4,5 % διαφωνεί, το υπόλοιπο δεν διατύπωσε γνώμη)· </w:t>
      </w:r>
      <w:r w:rsidRPr="00483F7D">
        <w:rPr>
          <w:i/>
        </w:rPr>
        <w:t>ωστόσο</w:t>
      </w:r>
      <w:r w:rsidRPr="00483F7D">
        <w:t>, αν ένα τέτοιο επίπεδο ΕΕ υπήρχε, θα έπρεπε να επιφορτιστεί ιδίως με την κατάρτιση των τελωνειακών υπαλλήλων (59,47 %), τη διαχείριση ΤΠ (51 %), τη χρηματοδότηση του τελωνειακού εξοπλισμού (44,74 %) και την αντιμετώπιση κρίσεων από την ΕΕ (41,5 %)·</w:t>
      </w:r>
    </w:p>
    <w:p w14:paraId="4609DD0C" w14:textId="77777777" w:rsidR="00AC3670" w:rsidRPr="00483F7D" w:rsidRDefault="007A1FD7">
      <w:pPr>
        <w:pStyle w:val="Point0"/>
      </w:pPr>
      <w:r w:rsidRPr="00483F7D">
        <w:t>7.</w:t>
      </w:r>
      <w:r w:rsidRPr="00483F7D">
        <w:tab/>
        <w:t>Η ενσωμάτωση του πράσινου θεματολογίου στο πρόγραμμα δράσης για τα τελωνεία θα πρέπει οπωσδήποτε να αποτελεί μέρος μιας μεταρρύθμισης μόνο για το 31 %, ενώ το 27,8 % μάλλον συμφωνεί με αυτό και το 6,31 % διαφωνεί.</w:t>
      </w:r>
    </w:p>
    <w:p w14:paraId="0371F007" w14:textId="77777777" w:rsidR="00AC3670" w:rsidRPr="00483F7D" w:rsidRDefault="007A1FD7">
      <w:r w:rsidRPr="00483F7D">
        <w:t>Εκτός από τη δημόσια διαβούλευση, διοργανώθηκε σειρά στοχευμένων δραστηριοτήτων διαβούλευσης για τη συγκέντρωση απόψεων εμπειρογνωμόνων των ενδιαφερόμενων μερών, ως εξής (βλ. παράρτημα II της εκτίμησης των επιπτώσεων για λεπτομέρειες):</w:t>
      </w:r>
    </w:p>
    <w:p w14:paraId="4511E7C7" w14:textId="77777777" w:rsidR="00AC3670" w:rsidRPr="00483F7D" w:rsidRDefault="007A1FD7" w:rsidP="00CF7E35">
      <w:pPr>
        <w:pStyle w:val="Bullet0"/>
        <w:numPr>
          <w:ilvl w:val="0"/>
          <w:numId w:val="12"/>
        </w:numPr>
      </w:pPr>
      <w:r w:rsidRPr="00483F7D">
        <w:t>Συζητήσεις με τις εθνικές τελωνειακές διοικήσεις στο πλαίσιο της ομάδας προβληματισμού</w:t>
      </w:r>
      <w:r w:rsidRPr="00483F7D">
        <w:rPr>
          <w:rStyle w:val="FootnoteReference"/>
        </w:rPr>
        <w:footnoteReference w:id="35"/>
      </w:r>
      <w:r w:rsidRPr="00483F7D">
        <w:t xml:space="preserve"> σχετικά με i) τις συστάσεις που περιλαμβάνονται στην έκθεση της ομάδας σοφών, την ανάγκη και τα χαρακτηριστικά μιας νέας εταιρικής σχέσης με τους συναλλασσομένους και την ενισχυμένη τελωνειακή επιτήρηση και διαχείριση κινδύνων· ii) ένα πλαίσιο ενισχυμένης συνεργασίας με άλλες αρχές και πράσινο θεματολόγιο για τα τελωνεία και iii) ένα νέο πρότυπο δεδομένων και διακυβέρνηση.</w:t>
      </w:r>
    </w:p>
    <w:p w14:paraId="5AF58FB6" w14:textId="77777777" w:rsidR="00AC3670" w:rsidRPr="00483F7D" w:rsidRDefault="007A1FD7" w:rsidP="00B62B15">
      <w:pPr>
        <w:pStyle w:val="Bullet0"/>
      </w:pPr>
      <w:r w:rsidRPr="00483F7D">
        <w:t>Συζήτηση με εκπροσώπους του εμπορίου στην ομάδα εμπορικών επαφών</w:t>
      </w:r>
      <w:r w:rsidRPr="00483F7D">
        <w:rPr>
          <w:rStyle w:val="FootnoteReference"/>
        </w:rPr>
        <w:footnoteReference w:id="36"/>
      </w:r>
      <w:r w:rsidRPr="00483F7D">
        <w:t> σε τέσσερις ειδικές συνεδριάσεις σχετικά με i) τις επιχειρηματικές ανάγκες και τις προτάσεις για αναθεώρηση του ΕΤΚ, ii) τις συστάσεις της έκθεσης της ομάδας σοφών, iii) τα αποτελέσματα της δημόσιας διαβούλευσης με τα ενδιαφερόμενα μέρη και iv) τα βασικά στοιχεία της μεταρρύθμισης.</w:t>
      </w:r>
    </w:p>
    <w:p w14:paraId="199731D4" w14:textId="77777777" w:rsidR="00AC3670" w:rsidRPr="00483F7D" w:rsidRDefault="007A1FD7" w:rsidP="00B62B15">
      <w:pPr>
        <w:pStyle w:val="Bullet0"/>
      </w:pPr>
      <w:r w:rsidRPr="00483F7D">
        <w:t>Διαβούλευση με τις τελωνειακές διοικήσεις των κρατών μελών στο πλαίσιο ομάδας προβληματισμού αποτελούμενης από τους γενικούς διευθυντές των εθνικών τελωνειακών αρχών, η οποία συστάθηκε ειδικά για να εξετάσει τα διάφορα δομικά στοιχεία της δέσμης μεταρρυθμίσεων.</w:t>
      </w:r>
    </w:p>
    <w:p w14:paraId="585F5D64" w14:textId="77777777" w:rsidR="00AC3670" w:rsidRPr="00483F7D" w:rsidRDefault="007A1FD7" w:rsidP="00B62B15">
      <w:pPr>
        <w:pStyle w:val="Bullet0"/>
      </w:pPr>
      <w:r w:rsidRPr="00483F7D">
        <w:t>Διαβούλευση με εμπορικές ενώσεις, ομοσπονδίες και μεμονωμένες εταιρείες σε ενωσιακό επίπεδο που εκπροσωπούνται στην ομάδα εμπορικών επαφών.</w:t>
      </w:r>
    </w:p>
    <w:p w14:paraId="5D8EBB30" w14:textId="77777777" w:rsidR="00AC3670" w:rsidRPr="00483F7D" w:rsidRDefault="007A1FD7" w:rsidP="00B62B15">
      <w:pPr>
        <w:pStyle w:val="Bullet0"/>
      </w:pPr>
      <w:r w:rsidRPr="00483F7D">
        <w:t>Διαβούλευση με τις υπηρεσίες της Επιτροπής που ασχολούνται με διάφορες κανονιστικές απαιτήσεις για τα εμπορεύματα οι οποίες εφαρμόζονται στα σύνορα.</w:t>
      </w:r>
    </w:p>
    <w:p w14:paraId="47B015ED" w14:textId="77777777" w:rsidR="0092728D" w:rsidRPr="00483F7D" w:rsidRDefault="00804E48" w:rsidP="0092728D">
      <w:r w:rsidRPr="00483F7D">
        <w:t>Επιπλέον, τα στοιχεία που υποστηρίζουν την παρούσα πρωτοβουλία συγκεντρώθηκαν από υφιστάμενες πηγές τεκμηρίωσης, συμπεριλαμβανομένων της νομοθεσίας και άλλων εγγράφων πολιτικής, τελωνειακών και εμπορικών στατιστικών, αξιολογήσεων και εκθέσεων σχετικά με συναφείς πολιτικές, καθώς και πληροφοριών σχετικά με συναφείς πρωτοβουλίες, όπως παρατίθενται στο παράρτημα I της εκτίμησης των επιπτώσεων. Η εξωτερική εμπειρογνωσία που χρησιμοποιήθηκε για την εκτίμηση των επιπτώσεων περιλάμβανε τρεις μελέτες σχετικά με την αξιολόγηση της εφαρμογής του ΕΤΚ, το πρόγραμμα ΕΟΦ και τις λύσεις στις προκλήσεις που θέτει το ηλεκτρονικό εμπόριο</w:t>
      </w:r>
      <w:r w:rsidRPr="00483F7D">
        <w:rPr>
          <w:rStyle w:val="FootnoteReference"/>
        </w:rPr>
        <w:footnoteReference w:id="37"/>
      </w:r>
      <w:r w:rsidRPr="00483F7D">
        <w:t>.</w:t>
      </w:r>
    </w:p>
    <w:p w14:paraId="4945F7BE" w14:textId="77777777" w:rsidR="00CA0A72" w:rsidRPr="00483F7D" w:rsidRDefault="007A1FD7" w:rsidP="0092728D">
      <w:pPr>
        <w:spacing w:after="240"/>
      </w:pPr>
      <w:r w:rsidRPr="00483F7D">
        <w:t>Οι δραστηριότητες διαβούλευσης κατέστησαν εφικτή τη συγκέντρωση τόσο ποιοτικών όσο και ποσοτικών πληροφοριών και δεδομένων, τα οποία υποβλήθηκαν σε επεξεργασία και αναλύθηκαν συστηματικά με τη χρήση κατάλληλων τεχνικών. Τα ποιοτικά δεδομένα (μεταξύ άλλων από τις υποβολές και τις συνεισφορές που εστάλησαν στην Επιτροπή) κωδικοποιήθηκαν ανάλογα με τα βασικά θέματα, στη συνέχεια επανεξετάστηκαν και αναλύθηκαν από διαφορετικές οπτικές γωνίες και παρουσιάστηκαν σε περιγραφική μορφή. Τα ποσοτικά δεδομένα (απαντήσεις σε έρευνες) υποβλήθηκαν σε επεξεργασία με τη χρήση του Excel και του εργαλείου του πίνακα δημόσιας διαβούλευσης της Επιτροπής και αναλύθηκαν με τη χρήση στατιστικών μεθόδων, όπως μετρήσεις συχνότητας, συνδυαστικοί πίνακες και απλές τάσεις.</w:t>
      </w:r>
    </w:p>
    <w:p w14:paraId="1C3E1B47" w14:textId="77777777" w:rsidR="00AC3670" w:rsidRPr="00483F7D" w:rsidRDefault="007A1FD7">
      <w:pPr>
        <w:pStyle w:val="ManualHeading2"/>
      </w:pPr>
      <w:r w:rsidRPr="00483F7D">
        <w:t>•</w:t>
      </w:r>
      <w:r w:rsidRPr="00483F7D">
        <w:tab/>
        <w:t>Εκτίμηση επιπτώσεων</w:t>
      </w:r>
    </w:p>
    <w:p w14:paraId="15A931D0" w14:textId="77777777" w:rsidR="00DF03EE" w:rsidRPr="00483F7D" w:rsidRDefault="00DF03EE" w:rsidP="0092728D">
      <w:pPr>
        <w:rPr>
          <w:szCs w:val="24"/>
        </w:rPr>
      </w:pPr>
      <w:r w:rsidRPr="00483F7D">
        <w:t xml:space="preserve">Το σχέδιο έκθεσης της εκτίμησης των επιπτώσεων υποβλήθηκε στην </w:t>
      </w:r>
      <w:r w:rsidRPr="00483F7D">
        <w:rPr>
          <w:b/>
        </w:rPr>
        <w:t>επιτροπή ρυθμιστικού ελέγχου (ΕΡΕ) της Επιτροπής</w:t>
      </w:r>
      <w:r w:rsidRPr="00483F7D">
        <w:t xml:space="preserve"> στις 30 Σεπτεμβρίου 2022. Μετά τη συνάντηση της 26ης Οκτωβρίου 2022, η ΕΡΕ εξέδωσε αρνητική γνώμη στις 28 Οκτωβρίου 2022, προτείνοντας διάφορους τομείς προς περαιτέρω βελτίωση. Η αναθεωρημένη έκθεση υποβλήθηκε εκ νέου στις 21 Δεκεμβρίου 2022. Η επιτροπή εξέδωσε θετική γνώμη με επιφυλάξεις στις 27 Ιανουαρίου 2023. Η αναθεώρηση αφορούσε όλα τα θέματα που επισημάνθηκαν προς βελτίωση από την επιτροπή, στα οποία περιλαμβάνονταν η καλύτερη αιτιολόγηση του επείγοντος χαρακτήρα και του σκεπτικού για την άμεση ανάληψη δράσης, οι σύνδεσμοι με την αξιολόγηση και τις εργασίες του Ευρωπαϊκού Ελεγκτικού Συνεδρίου, η συνοχή με άλλες πρωτοβουλίες, η οριοθέτηση της δυναμικής βάσης αναφοράς (συμπεριλαμβανομένου του σχεδίου δράσης για τα τελωνεία), η λογική της παρέμβασης, η χαρτογράφηση των στόχων, η συμβολή στους στόχους της Πράσινης Συμφωνίας, ο τρόπος με τον οποίο κάθε επιλογή θα λειτουργήσει στην πράξη, ο βαθμός στον οποίο οι επιλογές και τα μέτρα είναι σωρευτικά και εξαντλητικά, ο προσδιορισμός συνδυασμών επιλογών, η σκοπιμότητα και οι κίνδυνοι χρηματοδότησης, η παρουσίαση του κόστους και του οφέλους, η ανάλυση επιπτώσεων, μεταξύ άλλων σε σχέση με τις προτεινόμενες δομές διακυβέρνησης, τους καταναλωτές και τις παραδοχές κόστους ΤΠ, η εξέταση των απόψεων των ενδιαφερόμενων μερών, οι ρυθμίσεις παρακολούθησης και αξιολόγησης, ο προσδιορισμός των επιμέρους μέτρων στις επιλογές των τελωνειακών διαδικασιών και των αξιόπιστων συναλλασσομένων, η επεξήγηση των επιλογών ηλεκτρονικού εμπορίου, συμπεριλαμβανομένης της κατάργησης του κατώτατου ορίου απαλλαγής των 150 EUR, η αρχή «για κάθε θέσπιση, μία κατάργηση», η οριοθέτηση μεταξύ κόστους και οφέλους και ενδεικτικών αριθμητικών στοιχείων, η ανάλυση επιπτώσεων των λύσεων διακυβέρνησης, οι επιπτώσεις στους καταναλωτές, ιδίως όσον αφορά την κατάργηση της απαλλαγής από δασμούς ύψους 150 EUR, και η εκ των υστέρων αξιολόγηση.</w:t>
      </w:r>
    </w:p>
    <w:p w14:paraId="16E8A2D3" w14:textId="77777777" w:rsidR="00223BDE" w:rsidRPr="00483F7D" w:rsidRDefault="001B0A0B" w:rsidP="0092728D">
      <w:r w:rsidRPr="00483F7D">
        <w:t xml:space="preserve">Η εκτίμηση των επιπτώσεων, όπως βελτιώθηκε μετά τη γνώμη της επιτροπής ρυθμιστικού ελέγχου, απέσπασε και συνόψισε τους πέντε κύριους προβληματικούς τομείς στους οποίους βασίζεται η ανάγκη μεταρρύθμισης: </w:t>
      </w:r>
    </w:p>
    <w:p w14:paraId="75BB3D35" w14:textId="77777777" w:rsidR="00AC3670" w:rsidRPr="00483F7D" w:rsidRDefault="007A1FD7" w:rsidP="0092728D">
      <w:pPr>
        <w:pStyle w:val="Point0"/>
      </w:pPr>
      <w:r w:rsidRPr="00483F7D">
        <w:t>1.</w:t>
      </w:r>
      <w:r w:rsidRPr="00483F7D">
        <w:tab/>
      </w:r>
      <w:r w:rsidRPr="00483F7D">
        <w:rPr>
          <w:i/>
        </w:rPr>
        <w:t>Τα τελωνεία</w:t>
      </w:r>
      <w:r w:rsidRPr="00483F7D">
        <w:t xml:space="preserve"> </w:t>
      </w:r>
      <w:r w:rsidRPr="00483F7D">
        <w:rPr>
          <w:i/>
        </w:rPr>
        <w:t xml:space="preserve">δυσκολεύονται να εκπληρώσουν την αποστολή τους όσον αφορά την προστασία των οικονομικών συμφερόντων της Ένωσης και τις ολοένα αυξανόμενες μη χρηματοοικονομικές απαιτήσεις </w:t>
      </w:r>
      <w:r w:rsidRPr="00483F7D">
        <w:t xml:space="preserve">στο πλαίσιο τομεακών πολιτικών (ασφάλεια προϊόντων, προστασία, προστασία της υγείας των ανθρώπων, των ζώων, και των φυτών, του περιβάλλοντος κ.λπ.). Δεδομένου ότι μόνο ένα μικρό μέρος των εισαγωγών και των εξαγωγών μπορεί να υποβληθεί σε φυσικό έλεγχο, τα τελωνεία βασίζονται στη διαχείριση των κινδύνων —ωστόσο, η διαχείριση των κινδύνων σήμερα δεν είναι επαρκώς αποτελεσματική, ενιαία ή ολοκληρωμένη σε επίπεδο ΕΕ. Επιπλέον, τα τελωνεία πρέπει </w:t>
      </w:r>
      <w:r w:rsidRPr="00483F7D">
        <w:rPr>
          <w:b/>
        </w:rPr>
        <w:t>να συνεργάζονται με άλλες αρχές</w:t>
      </w:r>
      <w:r w:rsidRPr="00483F7D">
        <w:t xml:space="preserve"> σε ένα ευρύ φάσμα προκλήσεων, αλλά η ποιότητα και η αποτελεσματικότητα αυτής της συνεργασίας δεν είναι συχνά η βέλτιστη και ποικίλλει ανά την ΕΕ.</w:t>
      </w:r>
    </w:p>
    <w:p w14:paraId="2B28222D" w14:textId="77777777" w:rsidR="00AC3670" w:rsidRPr="00483F7D" w:rsidRDefault="007A1FD7" w:rsidP="0092728D">
      <w:pPr>
        <w:pStyle w:val="Point0"/>
      </w:pPr>
      <w:r w:rsidRPr="00483F7D">
        <w:t>2.</w:t>
      </w:r>
      <w:r w:rsidRPr="00483F7D">
        <w:tab/>
        <w:t xml:space="preserve">Οι </w:t>
      </w:r>
      <w:r w:rsidRPr="00483F7D">
        <w:rPr>
          <w:i/>
        </w:rPr>
        <w:t>ισχύουσες τελωνειακές διαδικασίες</w:t>
      </w:r>
      <w:r w:rsidRPr="00483F7D">
        <w:t xml:space="preserve"> απαιτούν από τους συναλλασσομένους να παρέχουν αρκετές φορές παρόμοιες πληροφορίες για τα εμπορεύματα στην εφοδιαστική αλυσίδα σε διαφορετικές αρχές μέσω πολλαπλών και όχι πάντοτε διαλειτουργικών συστημάτων ΤΠ. Αυτό δημιουργεί </w:t>
      </w:r>
      <w:r w:rsidRPr="00483F7D">
        <w:rPr>
          <w:i/>
        </w:rPr>
        <w:t>διοικητική επιβάρυνση για τους νόμιμους φορείς εκμετάλλευσης.</w:t>
      </w:r>
    </w:p>
    <w:p w14:paraId="3DB3DF01" w14:textId="77777777" w:rsidR="00AC3670" w:rsidRPr="00483F7D" w:rsidRDefault="007A1FD7" w:rsidP="0092728D">
      <w:pPr>
        <w:pStyle w:val="Point0"/>
      </w:pPr>
      <w:r w:rsidRPr="00483F7D">
        <w:t>3.</w:t>
      </w:r>
      <w:r w:rsidRPr="00483F7D">
        <w:tab/>
      </w:r>
      <w:r w:rsidRPr="00483F7D">
        <w:rPr>
          <w:b/>
        </w:rPr>
        <w:t xml:space="preserve">Το ισχύον τελωνειακό μοντέλο δεν είναι κατάλληλο για το ηλεκτρονικό εμπόριο. </w:t>
      </w:r>
      <w:r w:rsidRPr="00483F7D">
        <w:t>Η τεράστια αύξηση του ηλεκτρονικού εμπορίου έχει αλλάξει τον χαρακτήρα του εμπορίου, από τα εμπορεύματα που μεταφέρονταν παραδοσιακά εντός της Ένωσης σε μεγάλες ποσότητες μέσω φορτίου σε εκατομμύρια μικρές αποστολές που αποστέλλονται απευθείας σε μεμονωμένους καταναλωτές. Οι τελωνειακές αρχές δεν είναι προετοιμασμένες να αντιμετωπίσουν την αύξηση του όγκου των εμπορευμάτων και των διασαφήσεων. Επιπλέον, υπάρχουν στοιχεία που αποδεικνύουν τη συστηματική κατάχρηση του ορίου των 150 EUR κάτω από το οποίο δεν επιβάλλονται δασμοί· επιπρόσθετα, η εξαίρεση αυτή ευνοεί τις επιχειρήσεις ηλεκτρονικού εμπορίου τρίτων χωρών έναντι του παραδοσιακού εμπορίου και των εμπόρων λιανικής πώλησης της ΕΕ, με αποτέλεσμα να στρεβλώνεται ο ανταγωνισμός.</w:t>
      </w:r>
    </w:p>
    <w:p w14:paraId="387F0E38" w14:textId="77777777" w:rsidR="00AC3670" w:rsidRPr="00483F7D" w:rsidRDefault="007A1FD7" w:rsidP="0092728D">
      <w:pPr>
        <w:pStyle w:val="Point0"/>
      </w:pPr>
      <w:r w:rsidRPr="00483F7D">
        <w:t>4.</w:t>
      </w:r>
      <w:r w:rsidRPr="00483F7D">
        <w:tab/>
      </w:r>
      <w:r w:rsidRPr="00483F7D">
        <w:rPr>
          <w:b/>
        </w:rPr>
        <w:t xml:space="preserve">Η ποιότητα, η πρόσβαση και η ανάλυση των δεδομένων είναι περιορισμένες. </w:t>
      </w:r>
      <w:r w:rsidRPr="00483F7D">
        <w:t xml:space="preserve">Μολονότι οι τελωνειακές διαδικασίες ψηφιοποιούνται και η ανάλυση και οι έλεγχοι τελωνειακών κινδύνων βασίζονται σε δεδομένα, </w:t>
      </w:r>
      <w:r w:rsidRPr="00483F7D">
        <w:rPr>
          <w:i/>
        </w:rPr>
        <w:t>τα δεδομένα που απαιτούνται για τη διενέργεια της τελωνειακής επιτήρησης, της ανάλυσης κινδύνου και των ελέγχων είναι κατακερματισμένα</w:t>
      </w:r>
      <w:r w:rsidRPr="00483F7D">
        <w:t xml:space="preserve"> και επικαλύπτονται σε πολλαπλά συστήματα σε μια αποκεντρωμένη τελωνειακή υποδομή ΤΠ. Αυτό είναι δαπανηρό για τις τελωνειακές αρχές, δεν είναι ευέλικτο και εμποδίζει την αποτελεσματική χρήση των δεδομένων. Η έλλειψη ολοκληρωμένου νομικού πλαισίου στον ΕΤΚ σχετικά με την ανταλλαγή και τη χρήση δεδομένων εμποδίζει επίσης την κοινοχρησία τους μεταξύ τελωνείων, της Επιτροπής, άλλων αρχών ή χωρών-εταίρων. </w:t>
      </w:r>
    </w:p>
    <w:p w14:paraId="7D51408C" w14:textId="77777777" w:rsidR="00AC3670" w:rsidRPr="00483F7D" w:rsidRDefault="007A1FD7" w:rsidP="0092728D">
      <w:pPr>
        <w:pStyle w:val="Point0"/>
      </w:pPr>
      <w:r w:rsidRPr="00483F7D">
        <w:t>5.</w:t>
      </w:r>
      <w:r w:rsidRPr="00483F7D">
        <w:tab/>
        <w:t xml:space="preserve">Η </w:t>
      </w:r>
      <w:r w:rsidRPr="00483F7D">
        <w:rPr>
          <w:i/>
        </w:rPr>
        <w:t>επιχειρησιακή εφαρμογή στα κράτη μέλη παρουσιάζει σημαντικές αποκλίσεις</w:t>
      </w:r>
      <w:r w:rsidRPr="00483F7D">
        <w:t xml:space="preserve"> όσον αφορά τις πρακτικές και τις μεθόδους ελέγχου, την εφαρμογή απλουστεύσεων και τις κυρώσεις για παραβάσεις της τελωνειακής νομοθεσίας. Δεν υπάρχει κατάλληλη ανάλυση κινδύνου σε ενωσιακό επίπεδο για την ορθή επιτήρηση των ροών του εμπορίου και τον εντοπισμό μη συμμορφούμενων εμπορικών συναλλαγών, ενώ οι μη συμμορφούμενοι φορείς μπορούν να στοχεύουν σημεία εισόδου στην ΕΕ με χαμηλότερα επίπεδα ελέγχων.</w:t>
      </w:r>
    </w:p>
    <w:p w14:paraId="312642A1" w14:textId="77777777" w:rsidR="001B0A0B" w:rsidRPr="00483F7D" w:rsidRDefault="0000311A" w:rsidP="0092728D">
      <w:r w:rsidRPr="00483F7D">
        <w:t xml:space="preserve">Λόγω των προβλημάτων αυτών: i) δεν εισπράττονται όλοι οι </w:t>
      </w:r>
      <w:r w:rsidRPr="00483F7D">
        <w:rPr>
          <w:b/>
        </w:rPr>
        <w:t>τελωνειακοί δασμοί</w:t>
      </w:r>
      <w:r w:rsidRPr="00483F7D">
        <w:t xml:space="preserve"> —η απώλεια εσόδων υπονομεύει τα οικονομικά συμφέροντα της ΕΕ και των κρατών μελών· ii) επικίνδυνα, μη συμμορφούμενα ή παραποιημένα προϊόντα εξακολουθούν να εισέρχονται στην ενιαία αγορά της ΕΕ ή να εξέρχονται από αυτήν, και iii) </w:t>
      </w:r>
      <w:r w:rsidRPr="00483F7D">
        <w:rPr>
          <w:b/>
        </w:rPr>
        <w:t>παράνομα εμπορεύματα</w:t>
      </w:r>
      <w:r w:rsidRPr="00483F7D">
        <w:t xml:space="preserve"> εισάγονται λαθραία στην ΕΕ, προσαρμοζόμενα στις αυξημένες δραστηριότητες ελέγχου των τελωνείων σε μια χώρα με την εξεύρεση άλλων σημείων εισόδου. Οι συνέπειες αυτές υπονομεύουν την ανταγωνιστικότητα της συμμορφούμενης βιομηχανίας, συνεπάγονται απώλεια κερδών, θέσεων εργασίας και εσόδων των νόμιμων επιχειρήσεων, συμπεριλαμβανομένων ιδίως των μικρομεσαίων επιχειρήσεων (ΜΜΕ), και θέτουν σε κίνδυνο την ασφάλεια και την προστασία των πολιτών της ΕΕ.</w:t>
      </w:r>
    </w:p>
    <w:p w14:paraId="23D6F96D" w14:textId="77777777" w:rsidR="00583EF6" w:rsidRPr="00483F7D" w:rsidRDefault="00583EF6" w:rsidP="0092728D">
      <w:r w:rsidRPr="00483F7D">
        <w:t xml:space="preserve">Στην εκτίμηση των επιπτώσεων προσδιορίστηκαν οι βασικοί παράγοντες στους οποίους οφείλονται τα προβλήματα, όπως i) η ανεπάρκεια και η υπερβολική πολυπλοκότητα των τελωνειακών διαδικασιών· ii) η κατακερματισμένη και πολύπλοκη ψηφιοποίηση των τελωνείων και iii) η κατακερματισμένη δομή διακυβέρνησης της τελωνειακής ένωσης. </w:t>
      </w:r>
    </w:p>
    <w:p w14:paraId="092B8366" w14:textId="77777777" w:rsidR="00F77BE5" w:rsidRPr="00483F7D" w:rsidRDefault="007A1FD7" w:rsidP="0092728D">
      <w:r w:rsidRPr="00483F7D">
        <w:t xml:space="preserve">Για την αντιμετώπιση αυτών των προβλημάτων και των βασικών παραγόντων, η εκτίμηση των επιπτώσεων προσδιόρισε τρεις μείζονες επιλογές πολιτικής, οι οποίες θα καθορίσουν σε μεγάλο βαθμό το μέγεθος κατά το οποίο η τελωνειακή ένωση θα αποκτήσει την επιθυμητή ικανότητα συγκέντρωσης, προστασίας και απλούστευσης. Αυτές είναι οι εξής: </w:t>
      </w:r>
    </w:p>
    <w:p w14:paraId="655C8764" w14:textId="77777777" w:rsidR="00F77BE5" w:rsidRPr="00483F7D" w:rsidRDefault="00F77BE5" w:rsidP="00CF7E35">
      <w:pPr>
        <w:pStyle w:val="Bullet0"/>
        <w:numPr>
          <w:ilvl w:val="0"/>
          <w:numId w:val="11"/>
        </w:numPr>
      </w:pPr>
      <w:r w:rsidRPr="00483F7D">
        <w:t>σε ποιον βαθμό θα πρέπει να μεταρρυθμιστούν οι τελωνειακές διαδικασίες;</w:t>
      </w:r>
    </w:p>
    <w:p w14:paraId="29C2EF08" w14:textId="77777777" w:rsidR="00F77BE5" w:rsidRPr="00483F7D" w:rsidRDefault="00F77BE5" w:rsidP="00B62B15">
      <w:pPr>
        <w:pStyle w:val="Bullet0"/>
      </w:pPr>
      <w:r w:rsidRPr="00483F7D">
        <w:t>σε ποιον βαθμό θα πρέπει να μεταρρυθμιστεί η προσέγγιση διαχείρισης τελωνειακών δεδομένων;</w:t>
      </w:r>
    </w:p>
    <w:p w14:paraId="3658C85E" w14:textId="77777777" w:rsidR="00F77BE5" w:rsidRPr="00483F7D" w:rsidRDefault="005D4F72" w:rsidP="00B62B15">
      <w:pPr>
        <w:pStyle w:val="Bullet0"/>
      </w:pPr>
      <w:r w:rsidRPr="00483F7D">
        <w:t>σε ποιον βαθμό θα πρέπει να μεταρρυθμιστεί η διακυβέρνηση της τελωνειακής ένωσης;</w:t>
      </w:r>
    </w:p>
    <w:p w14:paraId="070B9C69" w14:textId="77777777" w:rsidR="004F084C" w:rsidRPr="00483F7D" w:rsidRDefault="004F084C" w:rsidP="0092728D">
      <w:r w:rsidRPr="00483F7D">
        <w:t>Η εκτίμηση των επιπτώσεων εξέτασε τέσσερις επιλογές, καθεμία από τις οποίες παρέχει μια συνεκτική δέσμη μέτρων για την αντιμετώπιση αυτών των τριών επιλογών πολιτικής:</w:t>
      </w:r>
    </w:p>
    <w:p w14:paraId="637C2EF3" w14:textId="77777777" w:rsidR="00AC3670" w:rsidRPr="00483F7D" w:rsidRDefault="00E81517" w:rsidP="0092728D">
      <w:pPr>
        <w:pStyle w:val="Point0"/>
      </w:pPr>
      <w:r w:rsidRPr="00483F7D">
        <w:t xml:space="preserve">1.         </w:t>
      </w:r>
      <w:r w:rsidRPr="00483F7D">
        <w:rPr>
          <w:b/>
        </w:rPr>
        <w:t>Επιλογή 1 — δέσμη απλούστερων διαδικασιών</w:t>
      </w:r>
      <w:r w:rsidRPr="00483F7D">
        <w:t xml:space="preserve">. Στο πλαίσιο αυτό εξετάστηκαν οι βασικές αλληλεξαρτώμενες συνιστώσες της διαδικασίας, ιδίως τα στάδια της ίδιας της διαδικασίας, οι ρόλοι των διαφόρων φορέων και οι ευθύνες τους όσον αφορά τη συμμόρφωση, η χρήση δεδομένων, η μεταχείριση πιο αξιόπιστων φορέων εκμετάλλευσης, η αντιμετώπιση των ροών ηλεκτρονικού εμπορίου και ο τρόπος με τον οποίο επιβάλλονται κυρώσεις σε ολόκληρη την ΕΕ για την αποτροπή της μη συμμόρφωσης. Η εν λόγω δέσμη μέτρων θα μειώσει και θα απλουστεύσει τα στάδια της διαδικασίας εισαγωγής, θα αποσαφηνίσει τις ευθύνες των φορέων (ιδίως των εισαγωγέων και των εξαγωγέων), θα καταργήσει την απαλλαγή από τελωνειακούς δασμούς για εμπορεύματα αξίας έως 150 EUR και θα προβλέπει ότι οι ηλεκτρονικές πλατφόρμες θα θεωρούνται εισαγωγείς και θα συνυπολογίζουν τους τελωνειακούς δασμούς για τις συναλλαγές ηλεκτρονικού εμπορίου μεταξύ επιχειρήσεων και καταναλωτών, με μια απλούστερη προσέγγιση υπολογισμού των δασμών. Θα εισαγάγει μια νέα προσέγγιση </w:t>
      </w:r>
      <w:r w:rsidRPr="00483F7D">
        <w:rPr>
          <w:i/>
        </w:rPr>
        <w:t>αξιοπιστίας και ελέγχου (Trust and Check)</w:t>
      </w:r>
      <w:r w:rsidRPr="00483F7D">
        <w:t xml:space="preserve"> όσον αφορά την εταιρική σχέση με το εμπόριο, στο πλαίσιο της οποίας θα διατίθενται πρόσθετα προνόμια (όπως λιγότεροι και πιο στοχευμένοι τελωνειακοί έλεγχοι και η δυνατότητα «αυτοπαράδοσης» εμπορευμάτων) για διαφανείς και αξιόπιστους συναλλασσομένους. Θα εισαγάγει μια κοινή προσέγγιση όσον αφορά τις διοικητικές κυρώσεις. Θα βελτιώσει την πρόσβαση της Επιτροπής σε δεδομένα για την υποστήριξη της διαχείρισης κινδύνων. Οι αλλαγές αυτές θα πραγματοποιηθούν στο πλαίσιο του ισχύοντος μοντέλου ψηφιοποίησης και της υφιστάμενης δομής τελωνειακής διακυβέρνησης, γεγονός που, όπως εκτιμήθηκε, θα περιορίσει τον αντίκτυπό τους. </w:t>
      </w:r>
    </w:p>
    <w:p w14:paraId="2E221312" w14:textId="77777777" w:rsidR="00AC3670" w:rsidRPr="00483F7D" w:rsidRDefault="007A1FD7" w:rsidP="0092728D">
      <w:pPr>
        <w:pStyle w:val="Point0"/>
      </w:pPr>
      <w:r w:rsidRPr="00483F7D">
        <w:t>2.</w:t>
      </w:r>
      <w:r w:rsidRPr="00483F7D">
        <w:tab/>
        <w:t xml:space="preserve">Η </w:t>
      </w:r>
      <w:r w:rsidRPr="00483F7D">
        <w:rPr>
          <w:b/>
        </w:rPr>
        <w:t>επιλογή 2</w:t>
      </w:r>
      <w:r w:rsidRPr="00483F7D">
        <w:t xml:space="preserve"> θα συμπληρώσει την επιλογή 1 με μια </w:t>
      </w:r>
      <w:r w:rsidRPr="00483F7D">
        <w:rPr>
          <w:b/>
        </w:rPr>
        <w:t>Τελωνειακή Αρχή της ΕΕ για τον συντονισμό της συνεργασίας</w:t>
      </w:r>
      <w:r w:rsidRPr="00483F7D">
        <w:t xml:space="preserve"> μεταξύ των κρατών μελών όσον αφορά τη διαχείριση κινδύνων, τη στήριξη της ενιαίας εφαρμογής των κανόνων και τη διαχείριση των τελωνειακών προγραμμάτων. Η δέσμη αυτή θα βασίζεται στο ισχύον μοντέλο ψηφιοποίησης.</w:t>
      </w:r>
    </w:p>
    <w:p w14:paraId="6C425781" w14:textId="77777777" w:rsidR="00AC3670" w:rsidRPr="00483F7D" w:rsidRDefault="007A1FD7" w:rsidP="0092728D">
      <w:pPr>
        <w:pStyle w:val="Point0"/>
      </w:pPr>
      <w:r w:rsidRPr="00483F7D">
        <w:t>3.</w:t>
      </w:r>
      <w:r w:rsidRPr="00483F7D">
        <w:tab/>
        <w:t xml:space="preserve">Η </w:t>
      </w:r>
      <w:r w:rsidRPr="00483F7D">
        <w:rPr>
          <w:b/>
        </w:rPr>
        <w:t>επιλογή 3</w:t>
      </w:r>
      <w:r w:rsidRPr="00483F7D">
        <w:t xml:space="preserve"> θα δημιουργήσει έναν </w:t>
      </w:r>
      <w:r w:rsidRPr="00483F7D">
        <w:rPr>
          <w:b/>
        </w:rPr>
        <w:t>τελωνειακό κόμβο δεδομένων της ΕΕ</w:t>
      </w:r>
      <w:r w:rsidRPr="00483F7D">
        <w:t>, τον οποίο θα διαχειρίζεται η Επιτροπή, με σκοπό την εφαρμογή των απλούστερων τελωνειακών διαδικασιών που προσδιορίζονται στην επιλογή 1, σε ένα κεντρικό μοντέλο ΤΠ. Ο κόμβος δεδομένων θα διευκολύνει τη συλλογή πληροφοριών από διάφορους φορείς, την επεξεργασία τους για τη διαχείριση των τελωνειακών κινδύνων της ΕΕ και την ανταλλαγή τους με άλλες αρμόδιες αρχές. Όσον αφορά τη διακυβέρνηση, ο ρόλος της Επιτροπής θα ενισχυθεί, ιδίως όσον αφορά την οργάνωση της διαχείρισης κινδύνων, με την επιφύλαξη, ωστόσο, των περιορισμών των ικανοτήτων της Επιτροπής και της έλλειψης οργανωτικής εντολής για την πλήρη αξιοποίηση των δυνατοτήτων του νέου περιβάλλοντος δεδομένων.</w:t>
      </w:r>
    </w:p>
    <w:p w14:paraId="4823D205" w14:textId="77777777" w:rsidR="00AC3670" w:rsidRPr="00483F7D" w:rsidRDefault="007A1FD7" w:rsidP="0092728D">
      <w:pPr>
        <w:pStyle w:val="Point0"/>
      </w:pPr>
      <w:r w:rsidRPr="00483F7D">
        <w:t>4.</w:t>
      </w:r>
      <w:r w:rsidRPr="00483F7D">
        <w:tab/>
        <w:t xml:space="preserve">Η επιλογή 4 περιλαμβάνει απλούστερες τελωνειακές διαδικασίες που εφαρμόζονται μέσω του </w:t>
      </w:r>
      <w:r w:rsidRPr="00483F7D">
        <w:rPr>
          <w:b/>
        </w:rPr>
        <w:t>τελωνειακού κόμβου δεδομένων της ΕΕ</w:t>
      </w:r>
      <w:r w:rsidRPr="00483F7D">
        <w:t xml:space="preserve">, τον οποίο διαχειρίζεται </w:t>
      </w:r>
      <w:r w:rsidRPr="00483F7D">
        <w:rPr>
          <w:b/>
        </w:rPr>
        <w:t>Τελωνειακή Αρχή της ΕΕ</w:t>
      </w:r>
      <w:r w:rsidRPr="00483F7D">
        <w:t xml:space="preserve"> η οποία είναι υπεύθυνη (επιπλέον της επιλογής 2) για τη διαχείριση επιχειρησιακών κινδύνων και τη διαχείριση δεδομένων και υποστηρίζει την υλοποίηση απλουστευμένων διαδικασιών.</w:t>
      </w:r>
    </w:p>
    <w:p w14:paraId="213CE1DC" w14:textId="77777777" w:rsidR="00AC3670" w:rsidRPr="00483F7D" w:rsidRDefault="007A1FD7" w:rsidP="0092728D">
      <w:r w:rsidRPr="00483F7D">
        <w:rPr>
          <w:b/>
        </w:rPr>
        <w:t>Η επιλογή 4 είναι η προτιμώμενη επιλογή. </w:t>
      </w:r>
      <w:r w:rsidRPr="00483F7D">
        <w:t>Τα τρία στοιχεία της (μεταρρυθμισμένες τελωνειακές διαδικασίες, που εφαρμόζονται σε κεντρικό τελωνειακό κόμβο δεδομένων της ΕΕ, τον οποίο διαχειρίζεται Τελωνειακή Αρχή της ΕΕ) αλληλοενισχύονται για την επίτευξη καλύτερων αποτελεσμάτων και τη δημιουργία συνεργειών σε ολόκληρη την ΕΕ. Πρόκειται για την πιο αποτελεσματική επιλογή, καθώς η επένδυση σε κεντρικές δομές μειώνει σημαντικά το κόστος για τα κράτη μέλη και τις επιχειρήσεις. Ειδικότερα, έχει τα ακόλουθα οφέλη</w:t>
      </w:r>
      <w:r w:rsidRPr="00483F7D">
        <w:rPr>
          <w:rStyle w:val="FootnoteReference"/>
        </w:rPr>
        <w:footnoteReference w:id="38"/>
      </w:r>
      <w:r w:rsidRPr="00483F7D">
        <w:t>:</w:t>
      </w:r>
    </w:p>
    <w:p w14:paraId="37B178CF" w14:textId="77777777" w:rsidR="00AC3670" w:rsidRPr="00483F7D" w:rsidRDefault="007A1FD7" w:rsidP="00CF7E35">
      <w:pPr>
        <w:pStyle w:val="Bullet0"/>
        <w:numPr>
          <w:ilvl w:val="0"/>
          <w:numId w:val="10"/>
        </w:numPr>
      </w:pPr>
      <w:r w:rsidRPr="00483F7D">
        <w:rPr>
          <w:b/>
        </w:rPr>
        <w:t>Ενισχύεται η τελωνειακή επιτήρηση.</w:t>
      </w:r>
      <w:r w:rsidRPr="00483F7D">
        <w:t xml:space="preserve"> Η βελτίωση της πρόσβασης σε δεδομένα και της επεξεργασίας τους μέσω του τελωνειακού κόμβου δεδομένων της ΕΕ θα καταστήσει αποτελεσματικότερη τη διαχείριση κινδύνων της ΕΕ και θα αυξήσει την ικανότητα των τελωνείων να εντοπίζουν περιπτώσεις απάτης μέσω του εντοπισμού προφίλ οικονομικών φορέων που ενέχουν κίνδυνο και ενεργούν σε ενωσιακό επίπεδο. Θα δημιουργήσει πρόσθετα έσοδα για την Ένωση και τα κράτη μέλη της. Η βελτίωση της πρόσβασης σε δεδομένα και ο καλύτερος συντονισμός μεταξύ των αρχών θα αυξήσουν την ικανότητα των τελωνείων να εντοπίζουν και να σταματούν τα εμπορεύματα που δεν συμμορφώνονται με τις απαιτήσεις της Ένωσης προς όφελος των πολιτών και των καταναλωτών.</w:t>
      </w:r>
    </w:p>
    <w:p w14:paraId="2E746668" w14:textId="77777777" w:rsidR="00AC3670" w:rsidRPr="00483F7D" w:rsidRDefault="007A1FD7" w:rsidP="00CF7E35">
      <w:pPr>
        <w:pStyle w:val="Bullet0"/>
        <w:numPr>
          <w:ilvl w:val="0"/>
          <w:numId w:val="8"/>
        </w:numPr>
      </w:pPr>
      <w:r w:rsidRPr="00483F7D">
        <w:rPr>
          <w:b/>
        </w:rPr>
        <w:t>Η διοικητική επιβάρυνση για το νόμιμο εμπόριο μειώνεται</w:t>
      </w:r>
      <w:r w:rsidRPr="00483F7D">
        <w:t>. Οι αναθεωρημένες διαδικασίες είναι απλούστερες και τα δεδομένα συλλέγονται μία φορά από την κατάλληλη πηγή μέσω ενιαίας διεπαφής στον τελωνειακό κόμβο δεδομένων της ΕΕ. Σύμφωνα με την εκτίμηση, η εξοικονόμηση εκτιμάται ότι θα ανέλθει σε περίπου 1,2 δισ. EUR έως 2,6 δισ. EUR ετησίως (λαμβανομένης υπόψη της αυξημένης δασμολογικής επιβάρυνσης των επιχειρήσεων που προκύπτει από την κατάργηση του κατώτατου ορίου των 150 EUR για τις συναλλαγές ηλεκτρονικού εμπορίου μεταξύ επιχειρήσεων και καταναλωτών, που εκτιμάται σε περίπου 1 δισ. EUR ετησίως).</w:t>
      </w:r>
    </w:p>
    <w:p w14:paraId="42896904" w14:textId="77777777" w:rsidR="00AC3670" w:rsidRPr="00483F7D" w:rsidRDefault="007A1FD7" w:rsidP="00CF7E35">
      <w:pPr>
        <w:pStyle w:val="Bullet0"/>
        <w:numPr>
          <w:ilvl w:val="0"/>
          <w:numId w:val="9"/>
        </w:numPr>
      </w:pPr>
      <w:r w:rsidRPr="00483F7D">
        <w:rPr>
          <w:b/>
        </w:rPr>
        <w:t>Η συγκέντρωση των καθηκόντων (ΤΠ, δεδομένα και διαχείριση κινδύνων)</w:t>
      </w:r>
      <w:r w:rsidRPr="00483F7D">
        <w:t xml:space="preserve"> στην Τελωνειακή Αρχή της ΕΕ οδηγεί σε σημαντική </w:t>
      </w:r>
      <w:r w:rsidRPr="00483F7D">
        <w:rPr>
          <w:b/>
        </w:rPr>
        <w:t xml:space="preserve">εξοικονόμηση πόρων </w:t>
      </w:r>
      <w:r w:rsidRPr="00483F7D">
        <w:t xml:space="preserve">για τις τελωνειακές δαπάνες ΤΠ των κρατών μελών. Σύμφωνα με την εκτίμηση, η εν λόγω εξοικονόμηση εκτιμάται ότι θα μπορούσε να ξεκινήσει από την περιοχή των 194 εκατ. EUR και να αυξηθεί σε διάστημα 15 ετών σε περίπου 2,3 δισ. EUR ετησίως. Η </w:t>
      </w:r>
      <w:r w:rsidRPr="00483F7D">
        <w:rPr>
          <w:b/>
        </w:rPr>
        <w:t>Τελωνειακή Αρχή της ΕΕ διασφαλίζει τον συντονισμό</w:t>
      </w:r>
      <w:r w:rsidRPr="00483F7D">
        <w:t xml:space="preserve"> μεταξύ των εθνικών τελωνειακών διοικήσεων και άλλων αρχών.</w:t>
      </w:r>
    </w:p>
    <w:p w14:paraId="2C8E9200" w14:textId="77777777" w:rsidR="00AC3670" w:rsidRPr="00483F7D" w:rsidRDefault="007A1FD7" w:rsidP="00CF7E35">
      <w:pPr>
        <w:pStyle w:val="Bullet0"/>
        <w:numPr>
          <w:ilvl w:val="0"/>
          <w:numId w:val="14"/>
        </w:numPr>
      </w:pPr>
      <w:r w:rsidRPr="00483F7D">
        <w:rPr>
          <w:b/>
        </w:rPr>
        <w:t>Οι όροι ανταγωνισμού στο ηλεκτρονικό εμπόριο εξισώνονται με το παραδοσιακό εμπόριο</w:t>
      </w:r>
      <w:r w:rsidRPr="00483F7D">
        <w:t>. Οι αναθεωρημένες διαδικασίες διευκολύνουν τους οικονομικούς φορείς του ηλεκτρονικού εμπορίου να παρέχουν χρηματοοικονομικές και μη χρηματοοικονομικές πληροφορίες με απλούστερο τρόπο και να τους καθιστούν υπεύθυνους γι’ αυτές· οι καταναλωτές επωφελούνται από τη μεγαλύτερη διαφάνεια των τιμών και των τελών.</w:t>
      </w:r>
    </w:p>
    <w:p w14:paraId="7483D1C7" w14:textId="77777777" w:rsidR="00AC3670" w:rsidRPr="00483F7D" w:rsidRDefault="007A1FD7" w:rsidP="00CF7E35">
      <w:pPr>
        <w:pStyle w:val="Bullet0"/>
        <w:numPr>
          <w:ilvl w:val="0"/>
          <w:numId w:val="14"/>
        </w:numPr>
      </w:pPr>
      <w:r w:rsidRPr="00483F7D">
        <w:rPr>
          <w:b/>
        </w:rPr>
        <w:t>Η τελωνειακή ένωση</w:t>
      </w:r>
      <w:r w:rsidRPr="00483F7D">
        <w:t xml:space="preserve"> </w:t>
      </w:r>
      <w:r w:rsidRPr="00483F7D">
        <w:rPr>
          <w:b/>
        </w:rPr>
        <w:t xml:space="preserve">ενεργεί ως ενιαίο σύνολο. </w:t>
      </w:r>
      <w:r w:rsidRPr="00483F7D">
        <w:t>Οι αναθεωρημένες διαδικασίες παρέχονται σε κεντρικό τελωνειακό κόμβο δεδομένων της ΕΕ από κεντρική Τελωνειακή Αρχή της ΕΕ για τη διευκόλυνση της ενιαίας εφαρμογής σε όλα τα κράτη μέλη και την αποφυγή αποκλίσεων.</w:t>
      </w:r>
    </w:p>
    <w:p w14:paraId="0013BFF3" w14:textId="77777777" w:rsidR="005A58ED" w:rsidRPr="00483F7D" w:rsidRDefault="005A58ED" w:rsidP="0092728D">
      <w:r w:rsidRPr="00483F7D">
        <w:t xml:space="preserve">Όσον αφορά τις </w:t>
      </w:r>
      <w:r w:rsidRPr="00483F7D">
        <w:rPr>
          <w:b/>
        </w:rPr>
        <w:t>κοινωνικές και περιβαλλοντικές επιπτώσεις</w:t>
      </w:r>
      <w:r w:rsidRPr="00483F7D">
        <w:t>, η επιλογή αυτή αναμένεται να αποφέρει σημαντικά οφέλη μέσω της καλύτερης δυνατότητας των τελωνείων να επιβάλλουν τη νομοθεσία που επιδιώκει κοινωνικούς και περιβαλλοντικούς στόχους, σε συνεργασία με τις αρμόδιες άλλες αρχές. Ειδικότερα:</w:t>
      </w:r>
    </w:p>
    <w:p w14:paraId="10B77C1C" w14:textId="77777777" w:rsidR="0092728D" w:rsidRPr="00483F7D" w:rsidRDefault="0092728D" w:rsidP="00CF7E35">
      <w:pPr>
        <w:pStyle w:val="Bullet0"/>
        <w:numPr>
          <w:ilvl w:val="0"/>
          <w:numId w:val="13"/>
        </w:numPr>
      </w:pPr>
      <w:r w:rsidRPr="00483F7D">
        <w:t>Η προτιμώμενη επιλογή, σε συνδυασμό με την εντολή επιχειρησιακού συντονισμού της Τελωνειακής Αρχής της ΕΕ με τα εργαλεία και τις διαδικασίες δεδομένων που παρέχονται στον τελωνειακό κόμβο δεδομένων της ΕΕ, θα καταστήσει δυνατή τη διαρθρωμένη συνεργασία σε επίπεδο ΕΕ μεταξύ των τελωνείων και των σχετικών κοινωνικών και περιβαλλοντικών πολιτικών, ώστε να βελτιωθούν τα αποτελέσματά τους από τη δράση των τελωνείων στα σύνορα.</w:t>
      </w:r>
    </w:p>
    <w:p w14:paraId="6A2105CD" w14:textId="77777777" w:rsidR="005A58ED" w:rsidRPr="00483F7D" w:rsidRDefault="005A58ED" w:rsidP="00CF7E35">
      <w:pPr>
        <w:pStyle w:val="Bullet0"/>
        <w:numPr>
          <w:ilvl w:val="0"/>
          <w:numId w:val="13"/>
        </w:numPr>
      </w:pPr>
      <w:r w:rsidRPr="00483F7D">
        <w:t xml:space="preserve">Οι πρόσθετες πληροφορίες που παρέχουν οι οικονομικοί φορείς στα τελωνεία θα πρέπει να βελτιώσουν περαιτέρω την ικανότητα των τελωνείων να συμβάλλουν στην επιβολή ειδικής νομοθεσίας που επιδιώκει κοινωνικούς στόχους, όπως η νομοθεσία που απαγορεύει την καταναγκαστική εργασία ή οι περιβαλλοντικοί στόχοι. </w:t>
      </w:r>
    </w:p>
    <w:p w14:paraId="0FE889D9" w14:textId="77777777" w:rsidR="005A58ED" w:rsidRPr="00483F7D" w:rsidRDefault="005A58ED" w:rsidP="00CF7E35">
      <w:pPr>
        <w:pStyle w:val="Bullet0"/>
        <w:numPr>
          <w:ilvl w:val="0"/>
          <w:numId w:val="13"/>
        </w:numPr>
      </w:pPr>
      <w:r w:rsidRPr="00483F7D">
        <w:t xml:space="preserve">Η κατάργηση της δασμολογικής απαλλαγής των 150 EUR θα θέσει τέλος στην πρακτική της κατάτμησης παραγγελιών υψηλής αξίας σε περισσότερες αποστολές κάτω των 150 EUR ώστε να επωφεληθούν από την απαλλαγή από τους δασμούς, με τις συνακόλουθες θετικές περιβαλλοντικές επιπτώσεις στις εκπομπές από τις μεταφορές. </w:t>
      </w:r>
    </w:p>
    <w:p w14:paraId="66FCFB35" w14:textId="77777777" w:rsidR="005A58ED" w:rsidRPr="00483F7D" w:rsidRDefault="005A58ED" w:rsidP="00CF7E35">
      <w:pPr>
        <w:pStyle w:val="Bullet0"/>
        <w:numPr>
          <w:ilvl w:val="0"/>
          <w:numId w:val="13"/>
        </w:numPr>
      </w:pPr>
      <w:r w:rsidRPr="00483F7D">
        <w:t>Η βελτίωση της επιβολής των απαιτήσεων για τα εισαγόμενα προϊόντα ενδέχεται να οδηγήσει σε μετεγκατάσταση της παραγωγής στην Ένωση.</w:t>
      </w:r>
    </w:p>
    <w:p w14:paraId="123E14FF" w14:textId="77777777" w:rsidR="00F05F53" w:rsidRPr="00483F7D" w:rsidRDefault="00F05F53" w:rsidP="0092728D">
      <w:r w:rsidRPr="00483F7D">
        <w:t>Οι περιπτώσεις χρήσης στην εκτίμηση των επιπτώσεων καταδεικνύουν περαιτέρω τον τρόπο με τον οποίο η μεταρρύθμιση θα στηρίξει την υλοποίηση των σχετικών υφιστάμενων στόχων πολιτικής, μεταξύ άλλων στους τομείς του οικολογικού σχεδιασμού και των βιώσιμων προϊόντων, των εκπομπών από τους καταναλωτές, των πλαστικών μίας χρήσης, των ανθεκτικών χημικών ουσιών και της μείωσης του αθέμιτου ανταγωνισμού από μη συμμορφούμενες εισαγωγές που επηρεάζουν τη βιομηχανία και τις θέσεις εργασίας της ΕΕ, καθώς και των δραστηριοτήτων εποπτείας της αγοράς εν γένει.</w:t>
      </w:r>
    </w:p>
    <w:p w14:paraId="72B82DF6" w14:textId="77777777" w:rsidR="00E95D92" w:rsidRPr="00483F7D" w:rsidRDefault="00E95D92" w:rsidP="0092728D">
      <w:r w:rsidRPr="00483F7D">
        <w:t xml:space="preserve">Όσον αφορά τους </w:t>
      </w:r>
      <w:r w:rsidRPr="00483F7D">
        <w:rPr>
          <w:b/>
        </w:rPr>
        <w:t>Στόχους Βιώσιμης Ανάπτυξης</w:t>
      </w:r>
      <w:r w:rsidRPr="00483F7D">
        <w:t xml:space="preserve">, στην εκτίμηση των επιπτώσεων προσδιορίστηκε ο τρόπος με τον οποίο η μεταρρύθμιση θα συμβάλει στην υλοποίησή τους μέσω των μέτρων που θα ληφθούν σε σχέση με τις διεθνείς εμπορευματικές συναλλαγές και τις εφοδιαστικές αλυσίδες, τα οποία, ειδικότερα: </w:t>
      </w:r>
    </w:p>
    <w:p w14:paraId="1EC82078" w14:textId="77777777" w:rsidR="00E95D92" w:rsidRPr="00483F7D" w:rsidRDefault="00E95D92" w:rsidP="00CF7E35">
      <w:pPr>
        <w:pStyle w:val="Bullet0"/>
        <w:numPr>
          <w:ilvl w:val="0"/>
          <w:numId w:val="15"/>
        </w:numPr>
      </w:pPr>
      <w:r w:rsidRPr="00483F7D">
        <w:t>θα βελτιώσουν τη διευκόλυνση του νόμιμου εμπορίου, που συνδέεται με τον στόχο 8·</w:t>
      </w:r>
    </w:p>
    <w:p w14:paraId="7E9256DC" w14:textId="77777777" w:rsidR="00E95D92" w:rsidRPr="00483F7D" w:rsidRDefault="00E95D92" w:rsidP="00CF7E35">
      <w:pPr>
        <w:pStyle w:val="Bullet0"/>
        <w:numPr>
          <w:ilvl w:val="0"/>
          <w:numId w:val="15"/>
        </w:numPr>
      </w:pPr>
      <w:r w:rsidRPr="00483F7D">
        <w:t>θα βελτιώσουν τον εντοπισμό και την πρόληψη εισαγωγών ή εξαγωγών που αντιβαίνουν στους σχετικούς κανόνες της ΕΕ, για παράδειγμα όσον αφορά τα απόβλητα, τα χημικά προϊόντα ή τον ασφαλή και βιώσιμο σχεδιασμό προϊόντων, που συνδέονται με τον στόχο 12·</w:t>
      </w:r>
    </w:p>
    <w:p w14:paraId="4F1B29C3" w14:textId="77777777" w:rsidR="00DF03EE" w:rsidRPr="00483F7D" w:rsidRDefault="00E95D92" w:rsidP="00CF7E35">
      <w:pPr>
        <w:pStyle w:val="Bullet0"/>
        <w:numPr>
          <w:ilvl w:val="0"/>
          <w:numId w:val="15"/>
        </w:numPr>
      </w:pPr>
      <w:r w:rsidRPr="00483F7D">
        <w:t>θα ενισχύσουν την προστασία των εδαφικών οικοσυστημάτων (π.χ. από εισαγωγές που είναι προϊόντα αποψίλωσης των δασών) και την προστασία της βιοποικιλότητας (μέσω της συμβολής στον εντοπισμό της διακίνησης που παραβιάζει τη CITES), που συνδέονται με τον στόχο 15.</w:t>
      </w:r>
    </w:p>
    <w:p w14:paraId="601DF0C9" w14:textId="77777777" w:rsidR="00425D6D" w:rsidRPr="00483F7D" w:rsidRDefault="00425D6D" w:rsidP="0092728D">
      <w:r w:rsidRPr="00483F7D">
        <w:t xml:space="preserve">Η πρόταση συνάδει πλήρως με την αρχή της </w:t>
      </w:r>
      <w:r w:rsidRPr="00483F7D">
        <w:rPr>
          <w:b/>
          <w:i/>
        </w:rPr>
        <w:t>μη πρόκλησης σημαντικής βλάβης</w:t>
      </w:r>
      <w:r w:rsidRPr="00483F7D">
        <w:t xml:space="preserve">. Θα βελτιώσει την επιβολή των περιβαλλοντικών πολιτικών και θα εξορθολογίσει και θα καταστήσει αποτελεσματικότερη τη διεξαγωγή διεθνών εμπορικών δραστηριοτήτων και την εποπτεία τους από τους οικονομικούς φορείς και τις δημόσιες αρχές αντίστοιχα. Η συγκέντρωση πόρων και εργαλείων στο κεντρικό περιβάλλον θα μειώσει ιδίως την αλληλεπικάλυψη της ανάπτυξης συστημάτων και των διοικητικών δραστηριοτήτων, με αποτέλεσμα τη μείωση του συνολικού χρόνου που δαπανάται για τις τελωνειακές διαδικασίες και, κατά συνέπεια, την κατανάλωση πόρων. </w:t>
      </w:r>
    </w:p>
    <w:p w14:paraId="77AB2BC7" w14:textId="77777777" w:rsidR="00EB22F9" w:rsidRPr="00483F7D" w:rsidRDefault="008774D4" w:rsidP="0092728D">
      <w:r w:rsidRPr="00483F7D">
        <w:t xml:space="preserve">Η πρόταση βασίζεται στις αρχές του </w:t>
      </w:r>
      <w:r w:rsidRPr="00483F7D">
        <w:rPr>
          <w:b/>
          <w:i/>
        </w:rPr>
        <w:t>«εξ ορισμού ψηφιακού χαρακτήρα» και της «εξ ορισμού προστασίας της ιδιωτικής ζωής»</w:t>
      </w:r>
      <w:r w:rsidRPr="00483F7D">
        <w:t>. Ευθυγραμμίζεται με εμβληματικές πρωτοβουλίες της Επιτροπής, όπως η πράξη για την τεχνητή νοημοσύνη, η πράξη για τη διακυβέρνηση δεδομένων, ο γενικός κανονισμός για την προστασία των δεδομένων (ΓΚΠΔ) και ο κανονισμός της Ευρωπαϊκής Ένωσης για την προστασία των δεδομένων (EUDPR). Προβλέπει διαδικασίες με επίκεντρο τον χρήστη έτοιμες για αυτοματοποίηση, που θα καθιστούν δυνατή την ηλεκτρονική διεξαγωγή όλων των επιχειρησιακών ανταλλαγών με τα τελωνεία μέσω μιας ενιαίας διεπαφής πολλαπλών χρήσεων της ΕΕ. Υποστηρίζει την αρχή «μόνον άπαξ», τις αρχές της περαιτέρω χρήσης των δεδομένων και της ελαχιστοποίησης των δεδομένων, προβλέποντας την ενσωμάτωση των δεδομένων, μετά την υποβολή τους, σε άλλες διαδικασίες, και ενσωματώνοντας την προσέγγιση του περιβάλλοντος ενιαίας θυρίδας της ΕΕ για τα τελωνεία που συνδέει τελωνειακές και μη τελωνειακές διατυπώσεις [κανονισμός (ΕΕ) 2022/2399]·</w:t>
      </w:r>
      <w:r w:rsidRPr="00483F7D">
        <w:rPr>
          <w:b/>
        </w:rPr>
        <w:t xml:space="preserve"> </w:t>
      </w:r>
      <w:r w:rsidRPr="00483F7D">
        <w:t xml:space="preserve">καθιστώντας επίσης δυνατή μια πολιτική που θα βασίζεται στα δεδομένα. Προβλέπει τη μετάβαση από τα εθνικά συστήματα πολλαπλών διαδικασιών μεταξύ ομότιμων σε ένα ευέλικτο κεντρικό σύνολο </w:t>
      </w:r>
      <w:r w:rsidRPr="00483F7D">
        <w:rPr>
          <w:b/>
        </w:rPr>
        <w:t>υπηρεσιών και συστημάτων</w:t>
      </w:r>
      <w:r w:rsidRPr="00483F7D">
        <w:t xml:space="preserve"> που θα επιτρέψει την ανάπτυξη και την αλλαγή των διαδικασιών </w:t>
      </w:r>
      <w:r w:rsidRPr="00483F7D">
        <w:rPr>
          <w:b/>
        </w:rPr>
        <w:t>με φθηνότερο, συνεκτικότερο, ταχύτερο και πιο ευέλικτο τρόπο</w:t>
      </w:r>
      <w:r w:rsidRPr="00483F7D">
        <w:t>. Θα στηρίξει την καινοτομία και τις ψηφιακές τεχνολογίες, με τη δυνατότητα χρήσης προηγμένων αναλυτικών τεχνικών στις τελωνειακές πράξεις, καθώς και τη συγκέντρωση πόρων και την ανάπτυξη στοιχείων</w:t>
      </w:r>
      <w:r w:rsidRPr="00483F7D">
        <w:rPr>
          <w:b/>
        </w:rPr>
        <w:t xml:space="preserve"> </w:t>
      </w:r>
      <w:r w:rsidRPr="00483F7D">
        <w:t>ανοικτής πηγής που μπορούν να χρησιμοποιηθούν από όλα τα κράτη μέλη στο πλαίσιο αυτό σε ολόκληρη την ΕΕ. Η διατύπωση είναι «ψηφιακή ετοιμότητα», με πρόβλεψη εξουσιοδοτήσεων και αναθέσεων για την αντιμετώπιση τεχνικών πτυχών, όπως τα στοιχεία</w:t>
      </w:r>
      <w:r w:rsidRPr="00483F7D">
        <w:rPr>
          <w:b/>
        </w:rPr>
        <w:t xml:space="preserve"> </w:t>
      </w:r>
      <w:r w:rsidRPr="00483F7D">
        <w:t>και οι κανόνες δεδομένων.  </w:t>
      </w:r>
    </w:p>
    <w:p w14:paraId="7CBB6C8C" w14:textId="77777777" w:rsidR="00AC3670" w:rsidRPr="00483F7D" w:rsidRDefault="007A1FD7">
      <w:pPr>
        <w:pStyle w:val="ManualHeading2"/>
      </w:pPr>
      <w:r w:rsidRPr="00483F7D">
        <w:t>•</w:t>
      </w:r>
      <w:r w:rsidRPr="00483F7D">
        <w:tab/>
        <w:t>Καταλληλότητα και απλούστευση του κανονιστικού πλαισίου</w:t>
      </w:r>
    </w:p>
    <w:p w14:paraId="3D402F6B" w14:textId="77777777" w:rsidR="005B22CB" w:rsidRPr="00483F7D" w:rsidRDefault="007A1FD7">
      <w:r w:rsidRPr="00483F7D">
        <w:t>Η μείωση και η απλούστευση των τελωνειακών διαδικασιών, καθώς και η δημιουργία ενιαίας πύλης της ΕΕ για την αλληλεπίδραση με τα τελωνεία (ο τελωνειακός κόμβος δεδομένων της ΕΕ) αναμένεται να μειώσουν σημαντικά τη διοικητική επιβάρυνση σε σύγκριση με τον ισχύοντα ενωσιακό τελωνειακό κώδικα.</w:t>
      </w:r>
    </w:p>
    <w:p w14:paraId="6267FFC0" w14:textId="77777777" w:rsidR="00FA334D" w:rsidRPr="00483F7D" w:rsidRDefault="005B22CB">
      <w:r w:rsidRPr="00483F7D">
        <w:t xml:space="preserve">Στην εκτίμηση των επιπτώσεων, εκτιμήθηκε ότι η συνολική εξοικονόμηση για τους οικονομικούς φορείς, στην προτιμώμενη επιλογή, θα μπορούσε να ανέλθει σε 26 δισ. EUR σε διάστημα 15 ετών (λαμβανομένης υπόψη της αυξημένης δασμολογικής επιβάρυνσης των επιχειρήσεων που προκύπτει από την κατάργηση του ορίου των 150 EUR για τις συναλλαγές ηλεκτρονικού εμπορίου μεταξύ επιχειρήσεων και καταναλωτών, που εκτιμάται σε περίπου 1 δισ. EUR ετησίως). </w:t>
      </w:r>
    </w:p>
    <w:p w14:paraId="4ACB4776" w14:textId="77777777" w:rsidR="00AC3670" w:rsidRPr="00483F7D" w:rsidRDefault="007A1FD7" w:rsidP="0060411F">
      <w:r w:rsidRPr="00483F7D">
        <w:t>•</w:t>
      </w:r>
      <w:r w:rsidRPr="00483F7D">
        <w:tab/>
      </w:r>
      <w:r w:rsidRPr="00483F7D">
        <w:rPr>
          <w:b/>
        </w:rPr>
        <w:t>Θεμελιώδη δικαιώματα</w:t>
      </w:r>
    </w:p>
    <w:p w14:paraId="7381441E" w14:textId="77777777" w:rsidR="00AC3670" w:rsidRPr="00483F7D" w:rsidRDefault="007A1FD7">
      <w:r w:rsidRPr="00483F7D">
        <w:t>Τα τελωνεία διαθέτουν μακρά πείρα στη συλλογή και στην επεξεργασία δεδομένων που περιέχουν ευαίσθητες επιχειρηματικές πληροφορίες, οικονομικά δεδομένα και δεδομένα προσωπικού χαρακτήρα. Η αναθεώρηση του τελωνειακού κώδικα πραγματοποιείται με πλήρη σεβασμό στο θεμελιώδες δικαίωμα της προστασίας των δεδομένων προσωπικού χαρακτήρα. Η μεταρρύθμιση βελτιώνει ακόμη και την προστασία αυτού του δικαιώματος, όπως καταδεικνύεται στην εκτίμηση των επιπτώσεων για την επιλογή 4. Ο κόμβος δεδομένων θα ενσωματώνει εργαλεία και ελέγχους προστασίας δεδομένων προσωπικού χαρακτήρα, διευκολύνοντας κάθε υπεύθυνο επεξεργασίας στη διασφάλιση των δικαιωμάτων προστασίας των δεδομένων. Αυτό θα έχει θετικό αντίκτυπο και για τα υποκείμενα των δεδομένων, τα οποία θα μπορούν να ασκούν τα δικαιώματά τους με πολύ παρόμοιο τρόπο σε όλα τα κράτη μέλη.</w:t>
      </w:r>
    </w:p>
    <w:p w14:paraId="411F3353" w14:textId="77777777" w:rsidR="00AC3670" w:rsidRPr="00483F7D" w:rsidRDefault="007A1FD7">
      <w:pPr>
        <w:pStyle w:val="ManualHeading1"/>
      </w:pPr>
      <w:r w:rsidRPr="00483F7D">
        <w:t>4.</w:t>
      </w:r>
      <w:r w:rsidRPr="00483F7D">
        <w:tab/>
        <w:t>ΔΗΜΟΣΙΟΝΟΜΙΚΕΣ ΕΠΙΠΤΩΣΕΙΣ</w:t>
      </w:r>
    </w:p>
    <w:p w14:paraId="6500DDE1" w14:textId="77777777" w:rsidR="00AC3670" w:rsidRPr="00483F7D" w:rsidRDefault="007A1FD7">
      <w:r w:rsidRPr="00483F7D">
        <w:t>Η μεταρρύθμιση ενισχύει τα τελωνεία όσον αφορά την είσπραξη μη καταβληθέντων δασμών, τη δήλωση δασμολογητέας αξίας χαμηλότερης από την πραγματική και την απάτη. Επιπλέον, η κατάργηση της απαλλαγής από δασμούς για τα εμπορεύματα κάτω των 150 EUR καλύπτει ένα κενό και αποφέρει πρόσθετα έσοδα στον προϋπολογισμό της Ένωσης που εκτιμώνται σε 750 εκατ. EUR ετησίως σε τρέχουσες τιμές.</w:t>
      </w:r>
    </w:p>
    <w:p w14:paraId="6D4CDBB3" w14:textId="77777777" w:rsidR="00AC3670" w:rsidRPr="00483F7D" w:rsidRDefault="007A1FD7">
      <w:r w:rsidRPr="00483F7D">
        <w:t>Σταδιακά, η είσπραξη των δασμών θα μετατοπιστεί από τον τόπο διασάφησης των εμπορευμάτων στον τόπο όπου ο εισαγωγέας ή ο εξαγωγέας είναι εγκατεστημένος στην Ένωση. Αυτό διευκολύνει τον έλεγχο και την είσπραξη των δασμών και απλουστεύει την αλληλεπίδραση για τον εισαγωγέα ή τον εξαγωγέα, ιδίως για τις ΜΜΕ. Μολονότι η αλλαγή αυτή δεν έχει άμεσο αντίκτυπο στον συνολικό προϋπολογισμό της ΕΕ ή στις εθνικές συνεισφορές στον προϋπολογισμό της ΕΕ μπορεί σταδιακά να αλλάξει την κατανομή του μεριδίου των τελωνειακών δασμών που παρακρατούν τα κράτη μέλη ως κόστος είσπραξης. </w:t>
      </w:r>
    </w:p>
    <w:p w14:paraId="38954F80" w14:textId="77777777" w:rsidR="00A679E2" w:rsidRPr="00483F7D" w:rsidRDefault="00A679E2" w:rsidP="0060411F">
      <w:r w:rsidRPr="00483F7D">
        <w:t>Η Τελωνειακή Αρχή της ΕΕ και η ανάπτυξη του τελωνειακού κόμβου δεδομένων της ΕΕ δεν θα απαιτήσουν αύξηση του προϋπολογισμού εντός της περιόδου 2021-2027, δεδομένου ότι το κόστος ύψους περίπου 60 εκατ. EUR κατά τα πρώτα 2 έτη θα χρηματοδοτηθεί στο πλαίσιο του προγράμματος «Τελωνεία» για την περίοδο 2021-2027. Μετά το 2027 το συνολικό κόστος της μεταρρύθμισης για τον προϋπολογισμό της ΕΕ εκτιμάται σε περίπου 1,855 δισ. EUR. Αυτό καλύπτει το κόστος των καθηκόντων που ανατίθενται στην Τελωνειακή Αρχή της ΕΕ με την παρούσα πρόταση, καθώς και στον τελωνειακό κόμβο δεδομένων της ΕΕ, χωρίς να προδικάζεται η συμφωνία για το ΠΔΠ και τα προγράμματα μετά το 2027. </w:t>
      </w:r>
    </w:p>
    <w:p w14:paraId="5317A383" w14:textId="77777777" w:rsidR="00AC3670" w:rsidRPr="00483F7D" w:rsidRDefault="007A1FD7">
      <w:pPr>
        <w:pStyle w:val="ManualHeading1"/>
      </w:pPr>
      <w:r w:rsidRPr="00483F7D">
        <w:t>5.</w:t>
      </w:r>
      <w:r w:rsidRPr="00483F7D">
        <w:tab/>
        <w:t>ΛΟΙΠΑ ΣΤΟΙΧΕΙΑ</w:t>
      </w:r>
    </w:p>
    <w:p w14:paraId="4CE8B367" w14:textId="77777777" w:rsidR="00AC3670" w:rsidRPr="00483F7D" w:rsidRDefault="007A1FD7">
      <w:pPr>
        <w:pStyle w:val="ManualHeading2"/>
      </w:pPr>
      <w:r w:rsidRPr="00483F7D">
        <w:t>•</w:t>
      </w:r>
      <w:r w:rsidRPr="00483F7D">
        <w:tab/>
        <w:t>Σχέδια εφαρμογής και ρυθμίσεις παρακολούθησης, αξιολόγησης και υποβολής εκθέσεων</w:t>
      </w:r>
    </w:p>
    <w:p w14:paraId="163755F4" w14:textId="77777777" w:rsidR="00AC3670" w:rsidRPr="00483F7D" w:rsidRDefault="007A1FD7">
      <w:r w:rsidRPr="00483F7D">
        <w:t xml:space="preserve">Το έργο </w:t>
      </w:r>
      <w:r w:rsidRPr="00483F7D">
        <w:rPr>
          <w:i/>
        </w:rPr>
        <w:t>επιδόσεων της τελωνειακής ένωσης (ΕΤΕ)</w:t>
      </w:r>
      <w:r w:rsidRPr="00483F7D">
        <w:t>, το οποίο διαχειρίζεται ετησίως η Επιτροπή, συλλέγει και αναλύει συγκεντρωτικές πληροφορίες που παρέχουν τα κράτη μέλη σχετικά με τη δραστηριότητα, τις τάσεις και τις επιδόσεις των τελωνείων στην ΕΕ με σκοπό την υποστήριξη τεκμηριωμένης πολιτικής. Ένα κύριο αποτέλεσμα της ανάλυσης είναι η ετήσια έκθεση επιδόσεων της τελωνειακής ένωσης (ΕΤΕ) που απευθύνεται μόνο στα κράτη μέλη και παρέχει συμπεράσματα και συστάσεις σχετικά με τις κύριες εξελίξεις στην τελωνειακή ένωση, με βάση την ανάλυση των βασικών δεικτών επιδόσεων που συνδέονται με τους στρατηγικούς στόχους της ΕΕ: προστασία, ανταγωνιστικότητα, διευκόλυνση, έλεγχος και συνεργασία. Οι δείκτες ΕΤΕ αφορούν διάφορα είδη δραστηριοτήτων, από το ποσό των εισπραττόμενων τελωνειακών δασμών, τη χρήση απλουστεύσεων, τον ρόλο των ΕΟΦ στις τελωνειακές διαδικασίες έως τις δράσεις στον τομέα των τελωνειακών ελέγχων και τον εντοπισμό του παράνομου εμπορίου.</w:t>
      </w:r>
    </w:p>
    <w:p w14:paraId="63E93BD1" w14:textId="77777777" w:rsidR="00AC3670" w:rsidRPr="00483F7D" w:rsidRDefault="007A1FD7">
      <w:r w:rsidRPr="00483F7D">
        <w:t>Η συλλογή δεδομένων ΕΤΕ είναι επί του παρόντος προαιρετική, γεγονός που εγείρει ερωτήματα σχετικά με την ποιότητα, την πληρότητα και τη συνέπεια των δεδομένων, καθώς και ζητήματα σχετικά με την κυριότητα και την εμπιστευτικότητα των δεδομένων. Η παρούσα πρωτοβουλία αποσκοπεί στην περαιτέρω ανάπτυξη της μέτρησης των ΕΤΕ με τη θέσπιση νομικής βάσης για ένα δομημένο πλαίσιο παροχής και ανάλυσης των σχετικών πληροφοριών για τις επιδόσεις των τελωνείων με σκοπό την κατάρτιση της ετήσιας έκθεσης. Επιπλέον, η νομική βάση για τις ΕΤΕ θα προσφέρει τελικά ένα εργαλείο για την παρακολούθηση και την αξιολόγηση της παρούσας πρωτοβουλίας, με σκοπό τη βελτίωση των δεικτών στον τομέα της ανάλυσης κινδύνου και των εισροών και εκροών ελέγχου, καθώς και των αποτελεσμάτων της προστασίας, της συλλογής και της απλούστευσης. Με τον τρόπο αυτόν θα αντιμετωπιστεί η έλλειψη αποτελεσματικών εργαλείων επιτήρησης που έχει στη διάθεσή της η Επιτροπή, όπως αναφέρεται στην αξιολόγηση του ΕΤΚ.</w:t>
      </w:r>
    </w:p>
    <w:p w14:paraId="05A8BA63" w14:textId="77777777" w:rsidR="00AC3670" w:rsidRPr="00483F7D" w:rsidRDefault="007A1FD7">
      <w:pPr>
        <w:pStyle w:val="ManualHeading2"/>
      </w:pPr>
      <w:r w:rsidRPr="00483F7D">
        <w:t>•</w:t>
      </w:r>
      <w:r w:rsidRPr="00483F7D">
        <w:tab/>
        <w:t>Αναλυτική επεξήγηση των επιμέρους διατάξεων της πρότασης</w:t>
      </w:r>
    </w:p>
    <w:p w14:paraId="35032C4D" w14:textId="77777777" w:rsidR="00AC3670" w:rsidRPr="00483F7D" w:rsidRDefault="007A1FD7">
      <w:r w:rsidRPr="00483F7D">
        <w:t>Η μεταρρύθμιση αυτή ενισχύει την ικανότητα των τελωνείων να επιτηρούν και να ελέγχουν ποια εμπορεύματα εισέρχονται στην τελωνειακή ένωση και εξέρχονται από αυτήν. Τα τελωνεία θα υιοθετήσουν μια νέα στρατηγική προσέγγιση, η οποία θα βασίζεται στην ανάλυση δεδομένων σχετικά με τις πληροφορίες της εφοδιαστικής αλυσίδας, με στόχο την ανάληψη στοχευμένης και συντονισμένης δράσης από τα τελωνεία. Ενισχύεται το πλαίσιο συνεργασίας των τελωνειακών αρχών, των αρχών εποπτείας της αγοράς, των αρχών και φορέων επιβολής του νόμου, των φορολογικών αρχών και άλλων εταίρων. Σε μια νέα εταιρική σχέση με τους εμπορικούς φορείς, η διοικητική επιβάρυνση μειώνεται και οι τελωνειακές διαδικασίες εξορθολογίζονται. Ένας νέος τελωνειακός κόμβος δεδομένων της ΕΕ διευκολύνει την ανταλλαγή και τον συνδυασμό πληροφοριών σε ένα ενιαίο κεντρικό περιβάλλον. Μια νέα Τελωνειακή Αρχή της ΕΕ διενεργεί κεντρική ανάλυση κινδύνου και υποστηρίζει τις εθνικές διοικήσεις, με αποτέλεσμα τη συντονισμένη δράση των τελωνείων. Τα μέτρα αυτά προετοιμάζουν την τελωνειακή ένωση για το μέλλον, με αυξανόμενους όγκους ηλεκτρονικού εμπορίου και με αυξανόμενη πολυπλοκότητα των απαγορεύσεων και των περιορισμών.</w:t>
      </w:r>
    </w:p>
    <w:p w14:paraId="55C752A0" w14:textId="77777777" w:rsidR="00AC3670" w:rsidRPr="00483F7D" w:rsidRDefault="007A1FD7">
      <w:r w:rsidRPr="00483F7D">
        <w:t>Ο νέος ενωσιακός τελωνειακός κώδικας έχει απλή και διαισθητική δομή. Καθορίζονται ο ρόλος και η ευθύνη των τελωνειακών αρχών, του εισαγωγέα, του εξαγωγέα και του μεταφορέα. Οι πληροφορίες συλλέγονται στον νέο τελωνειακό κόμβο δεδομένων της ΕΕ και υποβάλλονται σε επεξεργασία για ανάλυση κινδύνου. Ακολουθεί ένας ενιαίος τίτλος για την είσοδο και για την έξοδο αντίστοιχα. Οι νέοι τίτλοι εισάγουν έναν μηχανισμό αντιμετώπισης κρίσεων, την Τελωνειακή Αρχή της ΕΕ και την κοινή ελάχιστη εναρμόνιση των τελωνειακών παραβάσεων και των μη ποινικών κυρώσεων.</w:t>
      </w:r>
    </w:p>
    <w:p w14:paraId="5AB996FF" w14:textId="77777777" w:rsidR="00AC3670" w:rsidRPr="00483F7D" w:rsidRDefault="007A1FD7">
      <w:r w:rsidRPr="00483F7D">
        <w:t xml:space="preserve">Ο </w:t>
      </w:r>
      <w:r w:rsidRPr="00483F7D">
        <w:rPr>
          <w:u w:val="single"/>
        </w:rPr>
        <w:t>τίτλος I</w:t>
      </w:r>
      <w:r w:rsidRPr="00483F7D">
        <w:t xml:space="preserve"> εισάγει τον νέο ενωσιακό τελωνειακό κώδικα, ο οποίος βασίζεται σε πολλά στοιχεία του προηγούμενου κώδικα. Η αποστολή των τελωνειακών αρχών ενισχύεται, ώστε να αντικατοπτρίζει το ευρύ φάσμα των τελωνειακών υπηρεσιών, αρχής γενομένης από την είσπραξη των δασμών, έως την προστασία των πολιτών, του περιβάλλοντος και άλλων δημόσιων συμφερόντων, την καταπολέμηση του αθέμιτου, μη συμμορφούμενου και παράνομου εμπορίου, καθώς και την υποστήριξη των νόμιμων ροών του εμπορίου. Ο τίτλος περιέχει σχετικούς ορισμούς για τις αναθεωρημένες τελωνειακές διαδικασίες, κυρίως τον εισαγωγέα και τον εξαγωγέα, τον θεωρούμενο εισαγωγέα στην περίπτωση των εξ αποστάσεως πωλήσεων, καθώς και τις απαγορεύσεις και τους περιορισμούς. </w:t>
      </w:r>
    </w:p>
    <w:p w14:paraId="1CE28A6F" w14:textId="77777777" w:rsidR="006B378F" w:rsidRPr="00483F7D" w:rsidRDefault="007A1FD7" w:rsidP="006B378F">
      <w:bookmarkStart w:id="3" w:name="_Hlk133938654"/>
      <w:r w:rsidRPr="00483F7D">
        <w:t xml:space="preserve">Η μεταρρύθμιση επιδιώκει τη διαφάνεια και τη λογοδοσία των αρμόδιων φορέων και προσφέρει σε αντάλλαγμα απλουστεύσεις των τελωνειακών διαδικασιών. Ο </w:t>
      </w:r>
      <w:r w:rsidRPr="00483F7D">
        <w:rPr>
          <w:u w:val="single"/>
        </w:rPr>
        <w:t>τίτλος II</w:t>
      </w:r>
      <w:r w:rsidRPr="00483F7D">
        <w:t xml:space="preserve"> καθορίζει τις ευθύνες του εισαγωγέα, του θεωρούμενου εισαγωγέα και του εξαγωγέα έναντι των τελωνείων. </w:t>
      </w:r>
      <w:r w:rsidRPr="00483F7D">
        <w:rPr>
          <w:color w:val="000000" w:themeColor="text1"/>
        </w:rPr>
        <w:t xml:space="preserve">Όσον αφορά τους </w:t>
      </w:r>
      <w:r w:rsidRPr="00483F7D">
        <w:rPr>
          <w:b/>
          <w:color w:val="000000" w:themeColor="text1"/>
        </w:rPr>
        <w:t>ρόλους</w:t>
      </w:r>
      <w:r w:rsidRPr="00483F7D">
        <w:rPr>
          <w:color w:val="000000" w:themeColor="text1"/>
        </w:rPr>
        <w:t xml:space="preserve">, μια αδυναμία του ισχύοντος συστήματος είναι ότι τα πρόσωπα που είναι επί του παρόντος υπόλογα στα τελωνεία, όπως ο διασαφιστής και ο μεταφορέας, αντιμετωπίζουν μεγαλύτερες δυσκολίες στην εκπλήρωση της ευθύνης τους για οικονομική και μη οικονομική συμμόρφωση. Στο πλαίσιο αυτό, η πλέον ενδεδειγμένη αλλαγή σε επίπεδο ρόλων είναι να αποδοθεί η ευθύνη συμμόρφωσης στους εισαγωγείς και στους εξαγωγείς. </w:t>
      </w:r>
      <w:r w:rsidRPr="00483F7D">
        <w:t xml:space="preserve">Τα τελωνεία απαιτούν από αυτούς να είναι εγκατεστημένοι στο έδαφος της Ένωσης (πράγμα που ίσχυε ήδη για τον διασαφιστή στο άρθρο 170 παράγραφος 2 του προηγούμενου κώδικα) και να καταχωρίζονται στο κράτος μέλος εγκατάστασης, με τις εξαιρέσεις που απαριθμούνται. Οι διαδικτυακοί πωλητές και οι πλατφόρμες ηλεκτρονικού εμπορίου δεν συμμετείχαν μέχρι στιγμής στις τελωνειακές διατυπώσεις κατά την εισαγωγή. Ενεργώντας ως θεωρούμενοι εισαγωγείς, θα υποχρεούνται να παρέχουν στις τελωνειακές αρχές όχι μόνο τα δεδομένα που είναι αναγκαία για τη θέση σε ελεύθερη κυκλοφορία των εμπορευμάτων που πωλούνται σε καταναλωτές στην ΕΕ, αλλά και τις πληροφορίες που πρέπει να συλλέγουν για τους σκοπούς του ΦΠΑ. Αποσαφηνίζεται ο ρόλος του μεταφορέα που εισάγει τα εμπορεύματα στο τελωνειακό έδαφος, καθώς και οι πληροφορίες που απαιτούνται για τον σκοπό αυτόν. </w:t>
      </w:r>
      <w:bookmarkStart w:id="4" w:name="_Hlk133941819"/>
      <w:bookmarkEnd w:id="3"/>
      <w:r w:rsidRPr="00483F7D">
        <w:t>Το καθεστώς εγκεκριμένου οικονομικού φορέα συνεχίζει την επιτυχή συνεργασία μεταξύ επιχειρήσεων και τελωνείων. Η εν λόγω συνεργασία μεταφέρεται στο επόμενο επίπεδο, με την εισαγωγή ενός νέου καθεστώτος αξιόπιστου και ελεγμένου (Trust and Check) συναλλασσομένου.  </w:t>
      </w:r>
      <w:bookmarkEnd w:id="4"/>
      <w:r w:rsidRPr="00483F7D">
        <w:t xml:space="preserve"> Αυτοί οι αξιόπιστοι και διαφανείς συναλλασσόμενοι παρέχουν στις τελωνειακές αρχές πρόσβαση στα ηλεκτρονικά τους συστήματα που τηρούν αρχεία σχετικά με τη συμμόρφωσή τους και τη διακίνηση των εμπορευμάτων τους. Σε αντάλλαγμα, αποκομίζουν ορισμένα οφέλη, ιδίως τη δυνατότητα παράδοσης των εμπορευμάτων για λογαριασμό των τελωνείων και αναβολής της πληρωμής της τελωνειακής οφειλής.</w:t>
      </w:r>
    </w:p>
    <w:p w14:paraId="39E576FA" w14:textId="77777777" w:rsidR="00AC3670" w:rsidRPr="00483F7D" w:rsidRDefault="007A1FD7">
      <w:bookmarkStart w:id="5" w:name="_Hlk133500417"/>
      <w:r w:rsidRPr="00483F7D">
        <w:t xml:space="preserve">Ο </w:t>
      </w:r>
      <w:r w:rsidRPr="00483F7D">
        <w:rPr>
          <w:u w:val="single"/>
        </w:rPr>
        <w:t>τίτλος III</w:t>
      </w:r>
      <w:r w:rsidRPr="00483F7D">
        <w:t xml:space="preserve"> παρουσιάζει ένα νέο υπόδειγμα δεδομένων που σταδιακά ενσωματώνει και αντικαθιστά τα υφιστάμενα τελωνειακά συστήματα ΤΠ: μετάβαση από 27 περιβάλλοντα ΤΠ με πολλά συστήματα σε κάθε κράτος μέλος προς ένα κεντρικό σύνολο συστημάτων και υπηρεσιών. Ο τελωνειακός κόμβος δεδομένων της ΕΕ είναι ένα σύνολο συστημάτων και υπηρεσιών που έχουν αναπτυχθεί σε κεντρικό επίπεδο και των οποίων η χρήση είναι υποχρεωτική.</w:t>
      </w:r>
      <w:r w:rsidRPr="00483F7D">
        <w:rPr>
          <w:b/>
        </w:rPr>
        <w:t xml:space="preserve"> </w:t>
      </w:r>
      <w:r w:rsidRPr="00483F7D">
        <w:t>Επαναπροσδιορίζει τον τρόπο με τον οποίο συλλέγονται τα τελωνειακά και άλλα δεδομένα, χρησιμοποιούνται για την τελωνειακή επιτήρηση και κοινοποιούνται στις αρχές-εταίρους. Είναι επίσης η νέα «κινητήρια μηχανή» που επεξεργάζεται, συνδέει και αποθηκεύει τις πληροφορίες και διενεργεί ανάλυση κινδύνου σε επίπεδο ΕΕ. Από κοινού, το γεγονός αυτό παρέχει στα τελωνεία μια καλύτερη εικόνα της εφοδιαστικής αλυσίδας όσον αφορά την εκτίμηση κινδύνου και επιτρέπει στα τελωνεία να αναλάβουν πιο στοχευμένη και στρατηγική δράση. Επιπλέον, καθιστά δυνατή την εφαρμογή κανόνων για την προστασία των δεδομένων, κανόνων για την πρόσβαση σε πληροφορίες, την ασφάλεια ΤΠ και την εμπιστευτικότητα με οριζόντιο, συντονισμένο και συνεπή τρόπο.</w:t>
      </w:r>
    </w:p>
    <w:p w14:paraId="33122691" w14:textId="77777777" w:rsidR="00AC3670" w:rsidRPr="00483F7D" w:rsidRDefault="003710AB">
      <w:bookmarkStart w:id="6" w:name="_Hlk133942469"/>
      <w:bookmarkEnd w:id="5"/>
      <w:r w:rsidRPr="00483F7D">
        <w:t xml:space="preserve">Ο </w:t>
      </w:r>
      <w:r w:rsidRPr="00483F7D">
        <w:rPr>
          <w:u w:val="single"/>
        </w:rPr>
        <w:t>τίτλος IV</w:t>
      </w:r>
      <w:r w:rsidRPr="00483F7D">
        <w:t xml:space="preserve"> διατηρεί βασικές έννοιες σχετικά με το πεδίο εφαρμογής της τελωνειακής επιτήρησης για εμπορεύματα που πρόκειται να μεταφερθούν εντός ή εκτός του τελωνειακού εδάφους της Ένωσης, να υπαχθούν σε καθεστώς ειδικού προορισμού ή να υπαχθούν σε εσωτερική διαμετακόμιση. Προσαρμόζει τον προσδιορισμό των αρμόδιων τελωνείων ώστε να προβλέπεται ο ρόλος του τελωνείου που είναι αρμόδιο για τον τόπο εγκατάστασης του εισαγωγέα ή του εξαγωγέα. Η τελωνειακή επιτήρηση, οι έλεγχοι και τα μέτρα μετριασμού θα βασίζονται στη διαχείριση κινδύνων ολόκληρης της εφοδιαστικής αλυσίδας σε πραγματικό χρόνο, από τη σκοπιά της ΕΕ. Η βελτίωση της διαχείρισης κινδύνων, τόσο των χρηματοοικονομικών όσο και των μη χρηματοοικονομικών κινδύνων, βρίσκεται στο επίκεντρο της μεταρρύθμισης. Ο τίτλος IV παρέχει σαφή περιγραφή της διαδικασίας διαχείρισης κινδύνων, τόσο για τους χρηματοοικονομικούς όσο και για τους μη χρηματοοικονομικούς κινδύνους, καθώς και των ρόλων και των αρμοδιοτήτων της Επιτροπής, της Τελωνειακής Αρχής της ΕΕ και των τελωνειακών αρχών στον τομέα αυτόν. Εξετάζει τη χρήση του τελωνειακού κόμβου δεδομένων της ΕΕ για την υποστήριξη της διαχείρισης τελωνειακών κινδύνων και προβλέπει ολοκληρωμένη ανταλλαγή και χρήση πληροφοριών σχετικών με τη διαχείριση κινδύνων και τους ελέγχους. Οι εθνικές τελωνειακές αρχές εξακολουθούν να έχουν τον πρώτο λόγο για την εθνική διαχείριση κινδύνων και τη διενέργεια των αναγκαίων τελωνειακών ελέγχων. Με βάση μια νέα ανάλυση κινδύνου σε επίπεδο ΕΕ, η Τελωνειακή Αρχή της ΕΕ θα εκδώσει συστάσεις ελέγχου της ΕΕ προς τις τελωνειακές αρχές. Θα πρέπει να εφαρμοστούν οι εν λόγω συστάσεις ελέγχου ή να παρασχεθούν οι λόγοι για τους οποίους δεν εφαρμόστηκε η σύσταση ελέγχου. Η Επιτροπή θα θεσπίσει κοινά κριτήρια και πρότυπα κινδύνου και κοινούς τομείς ελέγχων προτεραιότητας με εκτελεστικές πράξεις και μπορεί να προσδιορίσει συγκεκριμένους τομείς που εμπίπτουν σε άλλες νομοθετικές πράξεις και χρήζουν προτεραιότητας για τη διαχείριση τελωνειακών κινδύνων και τους τελωνειακούς ελέγχους. Ο τίτλος IV προβλέπει επίσης τη συστηματική αξιολόγηση της εφαρμογής της διαχείρισης κινδύνων για την υποστήριξη της συνεχούς βελτίωσης.</w:t>
      </w:r>
    </w:p>
    <w:p w14:paraId="5A5E6908" w14:textId="77777777" w:rsidR="00AC3670" w:rsidRPr="00483F7D" w:rsidRDefault="007A1FD7">
      <w:bookmarkStart w:id="7" w:name="_Hlk133998779"/>
      <w:bookmarkEnd w:id="6"/>
      <w:r w:rsidRPr="00483F7D">
        <w:t xml:space="preserve">Ο </w:t>
      </w:r>
      <w:r w:rsidRPr="00483F7D">
        <w:rPr>
          <w:u w:val="single"/>
        </w:rPr>
        <w:t>τίτλος V</w:t>
      </w:r>
      <w:r w:rsidRPr="00483F7D">
        <w:t xml:space="preserve"> περιλαμβάνει τα διάφορα τελωνειακά καθεστώτα που παρέχουν τη δυνατότητα στον συναλλασσόμενο να αποθηκεύει προσωρινά τα εμπορεύματα ή να τα θέτει σε ελεύθερη κυκλοφορία στην ενιαία αγορά της ΕΕ. Καταρχήν, οι τελωνειακές αρχές εξακολουθούν να είναι υπεύθυνες για την παράδοση των εμπορευμάτων και την υπαγωγή τους σε τελωνειακό καθεστώς. Οι εγκεκριμένοι αξιόπιστοι και ελεγμένοι συναλλασσόμενοι θα είναι σε θέση να παραδώσουν τα εμπορεύματα τους χωρίς ενεργή τελωνειακή παρέμβαση, όταν οι πληροφορίες είναι διαθέσιμες εκ των προτέρων και όταν τα εμπορεύματα δεν έχουν επιλεγεί για έλεγχο. Ο τίτλος περιλαμβάνει επίσης σαφείς κανόνες σχετικά με τη διαδικασία και τις νομικές συνέπειες όταν οι τελωνειακές αρχές πρέπει να διαβουλεύονται με άλλες αρμόδιες αρχές πριν από την παράδοση των εμπορευμάτων, συμπεριλαμβανομένης της δυνατότητας να απαιτείται από τους εισαγωγείς να συνεχίσουν να ενημερώνουν σχετικά με τη διανομή των εμπορευμάτων μετά τη θέση τους σε ελεύθερη κυκλοφορία. Σε κάθε περίπτωση, τα τελωνεία μπορούν να σταματήσουν τη διακίνηση των εμπορευμάτων, να αρνηθούν τη χορήγηση άδειας παράδοσης των εμπορευμάτων και, τελικά, να έχουν τη δυνατότητα να κατάσχουν τα εμπορεύματα. Ο τίτλος V περιλαμβάνει επίσης μεταβατικές διατάξεις που επιτρέπουν τη συνέχιση των ισχυουσών τελωνειακών διαδικασιών με ασφάλεια δικαίου καθ’ όλη τη διάρκεια της μεταβατικής περιόδου και έως ότου τεθούν σε λειτουργία τα νέα συστήματα διαχείρισης δεδομένων.</w:t>
      </w:r>
    </w:p>
    <w:bookmarkEnd w:id="7"/>
    <w:p w14:paraId="72F0485F" w14:textId="77777777" w:rsidR="00AC3670" w:rsidRPr="00483F7D" w:rsidRDefault="007A1FD7" w:rsidP="0060411F">
      <w:r w:rsidRPr="00483F7D">
        <w:t xml:space="preserve">Ο </w:t>
      </w:r>
      <w:r w:rsidRPr="00483F7D">
        <w:rPr>
          <w:u w:val="single"/>
        </w:rPr>
        <w:t>τίτλος VI</w:t>
      </w:r>
      <w:r w:rsidRPr="00483F7D">
        <w:t xml:space="preserve"> παρουσιάζει τη νέα απλουστευμένη διαδικασία για τη μεταφορά των εμπορευμάτων εντός της τελωνειακής ένωσης, τη σημαντική μείωση της πολυπλοκότητας και της διοικητικής επιβάρυνσης. Τα τελωνεία συλλέγουν πληροφορίες για την ανάλυση κινδύνου, συμπεριλαμβανομένων των εκ των προτέρων πληροφοριών για το φορτίο και των πληροφοριών πριν από την αναχώρηση, και παρεμβαίνουν όπου απαιτείται. Η εστίαση των τελωνειακών διοικήσεων μετατοπίζεται από την επιμέρους αποστολή στην επιτήρηση της εφοδιαστικής αλυσίδας για τον εντοπισμό κινδύνων. Τα τελωνεία διατηρούν την ικανότητα παρέμβασης σε κάθε επιμέρους αποστολή, με βάση τις πληροφορίες που περιέχονται στον τελωνειακό κόμβο δεδομένων της ΕΕ. Ανάλογα με το είδος των τελωνειακών καθεστώτων, υπάρχει ένα ελάχιστο σύνολο πληροφοριών, οι οποίες πρέπει να παρέχονται ή να καθίστανται διαθέσιμες στα τελωνεία. Όταν τα τελωνεία διαθέτουν εκ των προτέρων τις σχετικές πληροφορίες και δεν αντιλαμβάνονται κανέναν κίνδυνο ή πρόβλημα που πρέπει να αντιμετωπιστεί, τα εμπορεύματα μπορούν να διακινούνται σύμφωνα με την αρχή της εκ των προτέρων αξιολόγησης και της παρέμβασης μόνο όταν και όπου είναι αναγκαίο. Οι πολλαπλές τελωνειακές διασαφήσεις αντικαθίστανται σταδιακά από τη χρήση επιχειρηματικών δεδομένων, ύστερα από μεταβατική περίοδο για την ανάπτυξη των αναγκαίων συστημάτων. Οι πληροφορίες μπορούν να παρέχονται νωρίτερα για την ενίσχυση της επιτήρησης της εφοδιαστικής αλυσίδας από τα τελωνεία. Με βάση τη θετική εμπειρία από την «πολλαπλή υποβολή» στο σύστημα ελέγχου των εισαγωγών 2 (ICS2), διάφοροι παράγοντες στην εφοδιαστική αλυσίδα μπορούν να παράσχουν το δικό τους μέρος των σχετικών πληροφοριών. Για παράδειγμα, ο εισαγωγέας μπορεί να παράσχει τις σχετικές πληροφορίες για το προϊόν και τη συναλλαγή, ενώ ο μεταφορέας μπορεί να παράσχει τις πληροφορίες σχετικά με το δρομολόγιο και την άφιξη χωριστά. </w:t>
      </w:r>
    </w:p>
    <w:p w14:paraId="07155702" w14:textId="77777777" w:rsidR="00AC3670" w:rsidRPr="00483F7D" w:rsidRDefault="007A1FD7">
      <w:r w:rsidRPr="00483F7D">
        <w:t xml:space="preserve">Οι κανόνες για τις εξαγωγές στον </w:t>
      </w:r>
      <w:r w:rsidRPr="00483F7D">
        <w:rPr>
          <w:u w:val="single"/>
        </w:rPr>
        <w:t>τίτλο VII</w:t>
      </w:r>
      <w:r w:rsidRPr="00483F7D">
        <w:t xml:space="preserve"> αντικατοπτρίζουν τις διαδικασίες καταχώρισης. Ο εξαγωγέας είναι εγκατεστημένος στην Ένωση και καταχωρισμένος. Τα τελωνεία συλλέγουν τις σχετικές πληροφορίες και διενεργούν ανάλυση κινδύνου. Διευκολύνονται οι νόμιμες ροές του εμπορίου και, ταυτόχρονα, ενισχύεται η ικανότητα των τελωνείων να επιτηρούν και να επιβάλλουν τους κανόνες.</w:t>
      </w:r>
    </w:p>
    <w:p w14:paraId="58B789D1" w14:textId="77777777" w:rsidR="00AC3670" w:rsidRPr="00483F7D" w:rsidRDefault="007A1FD7">
      <w:r w:rsidRPr="00483F7D">
        <w:t xml:space="preserve">Ο </w:t>
      </w:r>
      <w:r w:rsidRPr="00483F7D">
        <w:rPr>
          <w:u w:val="single"/>
        </w:rPr>
        <w:t>τίτλος VIII</w:t>
      </w:r>
      <w:r w:rsidRPr="00483F7D">
        <w:t xml:space="preserve"> διατηρεί τα ειδικά καθεστώτα του προηγούμενου κώδικα. Συλλέγονται σχετικές πληροφορίες για ειδικά καθεστώτα, όπως η διαμετακόμιση, η τελειοποίηση προς επανεξαγωγή και επανεισαγωγή, η προσωρινή εισαγωγή, ο ειδικός προορισμός ή οι ελεύθερες τελωνειακές ζώνες. Σύμφωνα με τη γενική προσέγγιση, βελτιώνονται η διαφάνεια και η λογοδοσία του υπεύθυνου οικονομικού φορέα.</w:t>
      </w:r>
    </w:p>
    <w:p w14:paraId="142F0992" w14:textId="77777777" w:rsidR="00AC3670" w:rsidRPr="00483F7D" w:rsidRDefault="007A1FD7">
      <w:r w:rsidRPr="00483F7D">
        <w:t xml:space="preserve">Ο </w:t>
      </w:r>
      <w:r w:rsidRPr="00483F7D">
        <w:rPr>
          <w:u w:val="single"/>
        </w:rPr>
        <w:t>τίτλος IX</w:t>
      </w:r>
      <w:r w:rsidRPr="00483F7D">
        <w:t xml:space="preserve"> καθορίζει λεπτομερείς κανόνες σχετικά με τα τρία στοιχεία, τα οποία πρέπει να καθοριστούν για την εφαρμογή εισαγωγικών και εξαγωγικών δασμών, καθώς και άλλων μέτρων που εφαρμόζονται στις εμπορευματικές συναλλαγές, όπως οι δασμοί αντιντάμπινγκ: κατάταξη, αξία και καταγωγή. Η πρόταση δεν τροποποιεί αυτά τα στοιχεία, τα οποία καθορίζονται σε μεγάλο βαθμό από τους διεθνείς κανόνες του Παγκόσμιου Οργανισμού Εμπορίου και του Παγκόσμιου Οργανισμού Τελωνείων, καθώς και από τις διμερείς εμπορικές συμφωνίες της ΕΕ. Ωστόσο, δεδομένου ότι οι κανόνες αυτοί έχουν χαρακτηριστεί ιδιαίτερα περίπλοκοι για το ηλεκτρονικό εμπόριο, ο τίτλος θα παρέχει δύο απλουστεύσεις τις οποίες ο εισαγωγέας μπορεί να επιλέξει να εφαρμόσει κατά τον προσδιορισμό του τελωνειακού δασμού που εφαρμόζεται στις συναλλαγές μεταξύ επιχειρήσεων και καταναλωτών.</w:t>
      </w:r>
    </w:p>
    <w:p w14:paraId="6B8ED611" w14:textId="77777777" w:rsidR="00200599" w:rsidRPr="00483F7D" w:rsidRDefault="00200599">
      <w:r w:rsidRPr="00483F7D">
        <w:t>Η πρώτη απλούστευση αφορά την απόδειξη της μη προτιμησιακής καταγωγής που μπορεί να παραλειφθεί για τα εμπορεύματα ηλεκτρονικού εμπορίου, αν ο εισαγωγέας επιλέξει τη χρήση της απλουστευμένης δασμολογικής μεταχείρισης. Αυτό είναι απαραίτητο, δεδομένου ότι η διοικητική επιβάρυνση για την απόκτηση της εν λόγω απόδειξης είναι συνήθως δυσανάλογη σε σύγκριση με την αξία των εμπορευμάτων. Δεύτερον, και επίσης υπό την προϋπόθεση ότι ο εισαγωγέας χρησιμοποιεί την απλουστευμένη δασμολογική μεταχείριση, τα έξοδα μεταφοράς μέχρι τον τελικό προορισμό των εμπορευμάτων πρέπει να περιλαμβάνονται στη δασμολογητέα αξία. Η προσέγγιση αυτή εξασφαλίζει την πλήρη ευθυγράμμιση της φορολογικής βάσης για τους εισαγωγικούς δασμούς και τον ΦΠΑ όσον αφορά τις συναλλαγές ηλεκτρονικού εμπορίου μεταξύ επιχειρήσεων και καταναλωτών, όπου το κόστος μεταφοράς καθορίζεται συνήθως μέχρι τη διεύθυνση του τελικού καταναλωτή.</w:t>
      </w:r>
    </w:p>
    <w:p w14:paraId="61B73492" w14:textId="77777777" w:rsidR="00AC3670" w:rsidRPr="00483F7D" w:rsidRDefault="007A1FD7">
      <w:r w:rsidRPr="00483F7D">
        <w:t xml:space="preserve">Σύμφωνα με τον </w:t>
      </w:r>
      <w:r w:rsidRPr="00483F7D">
        <w:rPr>
          <w:u w:val="single"/>
        </w:rPr>
        <w:t>τίτλο X</w:t>
      </w:r>
      <w:r w:rsidRPr="00483F7D">
        <w:t>, η τελωνειακή οφειλή γεννάται κατά τη θέση σε ελεύθερη κυκλοφορία. Δεδομένου ότι το έργο των τελωνειακών αρχών μετατοπίζεται από την εστίαση στην αποστολή προς την εφοδιαστική αλυσίδα, το έργο τους επικεντρώνεται επίσης περισσότερο στον καθιερωμένο εισαγωγέα και εξαγωγέα. Ύστερα από μια μεταβατική περίοδο, η τελωνειακή οφειλή γεννάται στον τόπο όπου είναι καταχωρισμένος ο εισαγωγέας, και όχι στον τόπο κατάθεσης της τελωνειακής διασάφησης. Πρόκειται για σημαντική απλούστευση για τους οικονομικούς φορείς και ιδίως τις ΜΜΕ, στο πλαίσιο της νέας εταιρικής σχέσης με το εμπόριο. Με τη σειρά τους, οι τελωνειακές αρχές είναι σε καλύτερη θέση να διενεργούν λογιστικούς και λοιπούς ελέγχους στους καθιερωμένους εισαγωγείς. Οι τελωνειακοί δασμοί αποτελούν παραδοσιακό ίδιο πόρο του προϋπολογισμού της ΕΕ. Τα κράτη μέλη διατηρούν ένα μέρος των δασμών ως έξοδα είσπραξης, η κατανομή των οποίων ενδέχεται να αλλάξει σταδιακά με τις νέες διατάξεις. Επιπλέον, το ποσό των δασμών καθορίζεται από τον εισαγωγέα ή τον εξαγωγέα και από την αρμόδια τελωνειακή αρχή μόνον όταν ο εισαγωγέας δεν το έχει πράξει. Στο ηλεκτρονικό εμπόριο, η τελωνειακή οφειλή γεννάται σε βάρος του θεωρούμενου εισαγωγέα ήδη κατά τη στιγμή της πληρωμής της πώλησης, παρόμοια με τις διατάξεις για τον ΦΠΑ.  Ωστόσο, δεδομένου ότι αυτό μπορεί να συμβεί πολύ πριν από την άφιξη των εμπορευμάτων στην Ένωση, οι ενδιάμεσοι φορείς στο ηλεκτρονικό εμπόριο μπορούν να εξουσιοδοτηθούν να κοινοποιούν τον πραγματικό δασμό που έχει επιβληθεί και να πραγματοποιούν περιοδικές πληρωμές, οι οποίες εισπράττονται από το κράτος μέλος εγκατάστασης και καταχώρισης. </w:t>
      </w:r>
    </w:p>
    <w:p w14:paraId="4C68C28B" w14:textId="77777777" w:rsidR="00AC3670" w:rsidRPr="00483F7D" w:rsidRDefault="007A1FD7">
      <w:r w:rsidRPr="00483F7D">
        <w:t xml:space="preserve">Τα τελευταία έτη, οι τελωνειακές διοικήσεις έχουν επιδείξει ανθεκτικότητα και ικανότητα αντίδρασης στην αντιμετώπιση κρίσεων. Οι καταστάσεις κρίσης απαιτούν ειδικές αντιδράσεις —οι οποίες μπορεί να είναι αυστηρότερες ή πιο ευέλικτες και να επιτρέπουν εξαιρέσεις— αλλά πρέπει να εφαρμόζονται με τον ίδιο τρόπο σε ολόκληρη την ΕΕ. Ο </w:t>
      </w:r>
      <w:r w:rsidRPr="00483F7D">
        <w:rPr>
          <w:u w:val="single"/>
        </w:rPr>
        <w:t>τίτλος XI</w:t>
      </w:r>
      <w:r w:rsidRPr="00483F7D">
        <w:t xml:space="preserve"> περιλαμβάνει διατάξεις για την αντιμετώπιση κρίσεων απευθείας στον ενωσιακό τελωνειακό κώδικα. Για διάφορα σενάρια κρίσης, η Τελωνειακή Αρχή της ΕΕ θα αναπτύξει πρωτόκολλα και διαδικασίες, όπως η εφαρμογή κοινών κριτηρίων κινδύνου, κατάλληλων μέτρων μετριασμού και πλαισίου συνεργασίας, και θα διασφαλίσει την εφαρμογή και την υλοποίησή τους, κατόπιν απόφασης που θα λάβει η Επιτροπή μέσω εκτελεστικής πράξης.</w:t>
      </w:r>
    </w:p>
    <w:p w14:paraId="69FC31D9" w14:textId="77777777" w:rsidR="004339EA" w:rsidRPr="00483F7D" w:rsidRDefault="007A1FD7" w:rsidP="0060411F">
      <w:pPr>
        <w:spacing w:before="0"/>
      </w:pPr>
      <w:r w:rsidRPr="00483F7D">
        <w:t xml:space="preserve">Μέχρι σήμερα, η ΕΕ δεν διέθετε σαφή δομή για τη λειτουργική διαχείριση της τελωνειακής ένωσης που να είναι έτοιμη για τις προκλήσεις της εποχής μας. Στον </w:t>
      </w:r>
      <w:r w:rsidRPr="00483F7D">
        <w:rPr>
          <w:u w:val="single"/>
        </w:rPr>
        <w:t>τίτλο XII</w:t>
      </w:r>
      <w:r w:rsidRPr="00483F7D">
        <w:t>, ο κανονισμός θεσπίζει την Τελωνειακή Αρχή της ΕΕ, τα καθήκοντα, τις αρμοδιότητες και τη διακυβέρνησή της</w:t>
      </w:r>
      <w:bookmarkStart w:id="8" w:name="_Hlk134026355"/>
      <w:r w:rsidRPr="00483F7D">
        <w:t>. Η Επιτροπή μπορεί να αναθέσει στην Αρχή την ανάπτυξη και τη λειτουργία του τελωνειακού κόμβου δεδομένων της ΕΕ.</w:t>
      </w:r>
      <w:bookmarkEnd w:id="8"/>
      <w:r w:rsidRPr="00483F7D">
        <w:t xml:space="preserve"> Θα διενεργεί τη διαχείριση κινδύνων σε επίπεδο ΕΕ και θα εκδίδει συστάσεις ελέγχου προς τις εθνικές τελωνειακές αρχές. Και οι δύο λειτουργίες είναι θεμελιώδους σημασίας για την αύξηση των τελωνειακών ικανοτήτων σε ολόκληρη την Ένωση και για τη μετάβαση της τελωνειακής ένωσης στο επόμενο επίπεδο. Η Τελωνειακή Αρχή της ΕΕ θα συντονίζει επίσης ενεργά τη δράση των τελωνείων σε ολόκληρη την ΕΕ και θα εφαρμόζει πολιτικές προτεραιότητες για τη λειτουργία της τελωνειακής ένωσης. Η Τελωνειακή Αρχή της ΕΕ θα συνεργάζεται σε επίπεδο ΕΕ με άλλους οργανισμούς, φορείς και δίκτυα, όπως η Ευρωπόλ, ο Frontex ή ο ECHA. Θα διευκολύνει επίσης τη συνεργασία μεταξύ των διοικήσεων, συμπεριλαμβανομένων των εργασιών των ομάδων εμπειρογνωμόνων, της κατάρτισης και της ανταλλαγής προσωπικού μεταξύ των χωρών. </w:t>
      </w:r>
    </w:p>
    <w:p w14:paraId="0B114C7E" w14:textId="77777777" w:rsidR="00745239" w:rsidRPr="00483F7D" w:rsidRDefault="004339EA" w:rsidP="00AB3E39">
      <w:r w:rsidRPr="00483F7D">
        <w:t>Σύμφωνα με πρόσφατη νομολογία του Δικαστηρίου</w:t>
      </w:r>
      <w:r w:rsidRPr="00483F7D">
        <w:rPr>
          <w:rStyle w:val="FootnoteReference"/>
        </w:rPr>
        <w:footnoteReference w:id="39"/>
      </w:r>
      <w:r w:rsidRPr="00483F7D">
        <w:t xml:space="preserve"> η αρμοδιότητα για τον καθορισμό του τόπου της έδρας ενός οργανισμού της ΕΕ δεν ανήκει στα κράτη μέλη, αλλά στον νομοθέτη της Ένωσης, ο οποίος οφείλει να ενεργεί προς τον σκοπό αυτό σύμφωνα με τις διαδικασίες που προβλέπουν οι εφαρμοστέες ουσιαστικές διατάξεις των Συνθηκών. Η Επιτροπή έκρινε σκόπιμο να αφήσει ανοικτό το όνομα της πόλης υποδοχής στην πρότασή της. Τα κριτήρια που πρέπει να λαμβάνονται υπόψη για τη συμβολή στη διαδικασία λήψης αποφάσεων και με βάση την κοινή προσέγγιση παρέχονται σε αιτιολογική σκέψη στην οποία εκτίθενται οι λόγοι του σχετικού άρθρου. Η επιλογή έδρας θα πρέπει να βασίζεται σε διαφανή διαδικασία υποβολής αιτήσεων που θα ολοκληρωθεί πριν από το τέλος της νομοθετικής διαδικασίας. Οι αιτήσεις θα πρέπει να υποβάλλονται από τα κράτη μέλη, δεδομένου ότι η φιλοξενία ενός αποκεντρωμένου οργανισμού της ΕΕ απαιτεί σαφή δέσμευση από το εν λόγω κράτος μέλος.  Η Επιτροπή είναι έτοιμη να συνδράμει στην αξιολόγηση αυτών των κριτηρίων και θα συνεργαστεί ενεργά με τους συννομοθέτες για την επιλογή της έδρας, υπό το πρίσμα της απόφασης του ΔΕΕ της 14ης Ιουλίου 2022 και σύμφωνα με τη θεσμική της ευθύνη.</w:t>
      </w:r>
    </w:p>
    <w:p w14:paraId="31B03E83" w14:textId="77777777" w:rsidR="00AC3670" w:rsidRPr="00483F7D" w:rsidRDefault="007A1FD7">
      <w:r w:rsidRPr="00483F7D">
        <w:t xml:space="preserve">Για την εκπλήρωση της αποστολής τους, οι τελωνειακές αρχές συνεργάζονται στενά και τακτικά με τις αρχές εποπτείας της αγοράς, τις αρχές υγειονομικού και φυτοϋγειονομικού ελέγχου, τις αρχές και τους φορείς επιβολής του νόμου, τις αρχές διαχείρισης των συνόρων, τους φορείς προστασίας του περιβάλλοντος, τους εμπειρογνώμονες στον τομέα των πολιτιστικών αγαθών, καθώς και πολλές άλλες αρχές που είναι αρμόδιες για τις τομεακές πολιτικές. Ο </w:t>
      </w:r>
      <w:r w:rsidRPr="00483F7D">
        <w:rPr>
          <w:u w:val="single"/>
        </w:rPr>
        <w:t>τίτλος XIII</w:t>
      </w:r>
      <w:r w:rsidRPr="00483F7D">
        <w:t xml:space="preserve"> προβλέπει ένα νέο πλαίσιο συνεργασίας για τη διαρθρωμένη συνεργασία μεταξύ των τελωνείων και των εν λόγω αρχών που καλύπτει τέσσερις τομείς: τους κανόνες και τη νομοθεσία, την ανταλλαγή δεδομένων, τη χάραξη στρατηγικής και τη συντονισμένη δράση. Η συνεργασία αυτή θα αναπτύξει κοινές στρατηγικές εποπτείας και ελέγχου για την αντιμετώπιση των ειδικών προβλημάτων. Οι δράσεις που μπορούν να αναλάβουν τα τελωνεία για την υποστήριξη άλλων τομέων πολιτικής προσδιορίζονται καλύτερα, με τρόπο που να μπορεί η τομεακή νομοθεσία να παραπέμπει στον τελωνειακό κώδικα. Η διεθνής συνεργασία και η τελωνειακή διπλωματία είναι πιο σημαντικές και η συνεργασία με τους εταίρους ενισχύεται και μπορεί να περιλαμβάνει την ανταλλαγή τελωνειακών δεδομένων.  </w:t>
      </w:r>
    </w:p>
    <w:p w14:paraId="515AFF08" w14:textId="77777777" w:rsidR="00AC3670" w:rsidRPr="00483F7D" w:rsidRDefault="007A1FD7">
      <w:r w:rsidRPr="00483F7D">
        <w:t xml:space="preserve">Οι εθνικές πρακτικές σχετικά με τις τελωνειακές παραβάσεις και τις κυρώσεις τους διαφέρουν σημαντικά μεταξύ των κρατών μελών, γεγονός που οδηγεί σε αποκλίσεις στη μεταχείριση και στρεβλώσεις των εμπορευμάτων. Στον </w:t>
      </w:r>
      <w:r w:rsidRPr="00483F7D">
        <w:rPr>
          <w:u w:val="single"/>
        </w:rPr>
        <w:t>τίτλο XIV</w:t>
      </w:r>
      <w:r w:rsidRPr="00483F7D">
        <w:t>, η μεταρρύθμιση εισάγει έναν ελάχιστο κοινό πυρήνα πράξεων ή παραλείψεων που συνιστούν τελωνειακές παραβάσεις και έναν ελάχιστο κοινό πυρήνα μη ποινικών κυρώσεων, καθώς και κοινές αρχές, χωρίς να μεταβάλλεται η δικονομική έννομη τάξη των κρατών μελών, και επιτρέποντάς τους να προβλέπουν πρόσθετες τελωνειακές παραβάσεις και να προσθέτουν εθνικές κυρώσεις. Οι τελωνειακές παραβάσεις που αφορούν περισσότερα του ενός κράτη μέλη απαιτούν τη συνεργασία των αρχών. Ο τελωνειακός κόμβος δεδομένων της ΕΕ θα συλλέγει όλες τις αποφάσεις που συνδέονται με τελωνειακές παραβάσεις και τις κυρώσεις τους για λόγους διαφάνειας. </w:t>
      </w:r>
    </w:p>
    <w:p w14:paraId="2AF6AEC6" w14:textId="77777777" w:rsidR="00AC3670" w:rsidRPr="00483F7D" w:rsidRDefault="007A1FD7">
      <w:r w:rsidRPr="00483F7D">
        <w:t xml:space="preserve">Οι τελικές διατάξεις του </w:t>
      </w:r>
      <w:r w:rsidRPr="00483F7D">
        <w:rPr>
          <w:u w:val="single"/>
        </w:rPr>
        <w:t>τίτλου XV</w:t>
      </w:r>
      <w:r w:rsidRPr="00483F7D">
        <w:t xml:space="preserve"> περιλαμβάνουν χρονοδιάγραμμα για τη συνέχιση της τρέχουσας πρακτικής με τις τελωνειακές διασαφήσεις στα εθνικά συστήματα και χρονοδιάγραμμα για τη μετάβαση προς το νέο σύστημα. Ο τελωνειακός κόμβος δεδομένων της ΕΕ θα αναπτυχθεί σταδιακά, αρχής γενομένης από τη νέα προσέγγιση για το ηλεκτρονικό εμπόριο. Οι συναλλασσόμενοι μπορούν να αρχίσουν να χρησιμοποιούν τον τελωνειακό κόμβο δεδομένων της ΕΕ από τον Ιανουάριο του 2032 και θα είναι υποχρεωμένοι να το πράττουν από το 2037, όταν θα τεθεί σε πλήρη λειτουργία. Η Τελωνειακή Αρχή της ΕΕ θα συσταθεί σταδιακά και θα αναλάβει τα καθήκοντά της από το 2028. </w:t>
      </w:r>
    </w:p>
    <w:bookmarkEnd w:id="0"/>
    <w:p w14:paraId="549BA5BD" w14:textId="77777777" w:rsidR="00AC3670" w:rsidRPr="00483F7D" w:rsidRDefault="00AC3670">
      <w:pPr>
        <w:sectPr w:rsidR="00AC3670" w:rsidRPr="00483F7D" w:rsidSect="00483F7D">
          <w:footerReference w:type="default" r:id="rId14"/>
          <w:footerReference w:type="first" r:id="rId15"/>
          <w:footnotePr>
            <w:numRestart w:val="eachSect"/>
          </w:footnotePr>
          <w:pgSz w:w="11907" w:h="16839"/>
          <w:pgMar w:top="1134" w:right="1417" w:bottom="1134" w:left="1417" w:header="709" w:footer="709" w:gutter="0"/>
          <w:cols w:space="720"/>
          <w:docGrid w:linePitch="360"/>
        </w:sectPr>
      </w:pPr>
    </w:p>
    <w:p w14:paraId="72322C42" w14:textId="334091B9" w:rsidR="00635603" w:rsidRPr="00483F7D" w:rsidRDefault="00483F7D" w:rsidP="00483F7D">
      <w:pPr>
        <w:pStyle w:val="Rfrenceinterinstitutionnelle"/>
      </w:pPr>
      <w:r w:rsidRPr="00483F7D">
        <w:t>2023/0156 (COD)</w:t>
      </w:r>
    </w:p>
    <w:p w14:paraId="09D8CFB3" w14:textId="16B31A27" w:rsidR="00E0244C" w:rsidRPr="00483F7D" w:rsidRDefault="00483F7D" w:rsidP="00483F7D">
      <w:pPr>
        <w:pStyle w:val="Statut"/>
      </w:pPr>
      <w:r w:rsidRPr="00483F7D">
        <w:t>Πρόταση</w:t>
      </w:r>
    </w:p>
    <w:p w14:paraId="5DA4B2E8" w14:textId="28BC41EB" w:rsidR="00E0244C" w:rsidRPr="00483F7D" w:rsidRDefault="00483F7D" w:rsidP="00483F7D">
      <w:pPr>
        <w:pStyle w:val="Typedudocument"/>
      </w:pPr>
      <w:r w:rsidRPr="00483F7D">
        <w:t>ΚΑΝΟΝΙΣΜΟΣ ΤΟΥ ΕΥΡΩΠΑΪΚΟΥ ΚΟΙΝΟΒΟΥΛΙΟΥ ΚΑΙ ΤΟΥ ΣΥΜΒΟΥΛΙΟΥ</w:t>
      </w:r>
    </w:p>
    <w:p w14:paraId="127066EB" w14:textId="1430A70D" w:rsidR="00E0244C" w:rsidRPr="00483F7D" w:rsidRDefault="00483F7D" w:rsidP="00483F7D">
      <w:pPr>
        <w:pStyle w:val="Titreobjet"/>
      </w:pPr>
      <w:r w:rsidRPr="00483F7D">
        <w:t>για τη θέσπιση του ενωσιακού τελωνειακού κώδικα και της Tελωνειακής Aρχής της Ευρωπαϊκής Ένωσης, και για την κατάργηση του κανονισμού (ΕΕ) αριθ. 952/2013</w:t>
      </w:r>
    </w:p>
    <w:p w14:paraId="7D2909C7" w14:textId="7D07067C" w:rsidR="00E0244C" w:rsidRPr="00483F7D" w:rsidRDefault="00483F7D" w:rsidP="00483F7D">
      <w:pPr>
        <w:pStyle w:val="IntrtEEE"/>
      </w:pPr>
      <w:r w:rsidRPr="00483F7D">
        <w:t>(Κείμενο που παρουσιάζει ενδιαφέρον για τον ΕΟΧ)</w:t>
      </w:r>
    </w:p>
    <w:p w14:paraId="2A691147" w14:textId="77777777" w:rsidR="00E0244C" w:rsidRPr="00483F7D" w:rsidRDefault="007A1FD7">
      <w:pPr>
        <w:pStyle w:val="Institutionquiagit"/>
      </w:pPr>
      <w:r w:rsidRPr="00483F7D">
        <w:t>ΤΟ ΕΥΡΩΠΑΪΚΟ ΚΟΙΝΟΒΟΥΛΙΟ ΚΑΙ ΤΟ ΣΥΜΒΟΥΛΙΟ ΤΗΣ ΕΥΡΩΠΑΪΚΗΣ ΕΝΩΣΗΣ,</w:t>
      </w:r>
    </w:p>
    <w:p w14:paraId="1BC89F8C" w14:textId="77777777" w:rsidR="00E0244C" w:rsidRPr="00483F7D" w:rsidRDefault="007A1FD7">
      <w:r w:rsidRPr="00483F7D">
        <w:t>Έχοντας υπόψη τη Συνθήκη για τη λειτουργία της Ευρωπαϊκής Ένωσης, και ιδίως τα άρθρα 33, 114 και 207,</w:t>
      </w:r>
    </w:p>
    <w:p w14:paraId="7A9D6DA9" w14:textId="77777777" w:rsidR="00E0244C" w:rsidRPr="00483F7D" w:rsidRDefault="007A1FD7">
      <w:r w:rsidRPr="00483F7D">
        <w:t>Έχοντας υπόψη την πρόταση της Ευρωπαϊκής Επιτροπής,</w:t>
      </w:r>
    </w:p>
    <w:p w14:paraId="0484E841" w14:textId="77777777" w:rsidR="00E0244C" w:rsidRPr="00483F7D" w:rsidRDefault="007A1FD7">
      <w:r w:rsidRPr="00483F7D">
        <w:t>Κατόπιν διαβίβασης του σχεδίου νομοθετικής πράξης στα εθνικά κοινοβούλια,</w:t>
      </w:r>
    </w:p>
    <w:p w14:paraId="79CEC2D4" w14:textId="77777777" w:rsidR="00E0244C" w:rsidRPr="00483F7D" w:rsidRDefault="007A1FD7">
      <w:r w:rsidRPr="00483F7D">
        <w:t>Έχοντας υπόψη τη γνώμη της Ευρωπαϊκής Οικονομικής και Κοινωνικής Επιτροπής</w:t>
      </w:r>
      <w:r w:rsidRPr="00483F7D">
        <w:rPr>
          <w:rStyle w:val="FootnoteReference"/>
        </w:rPr>
        <w:footnoteReference w:id="40"/>
      </w:r>
      <w:r w:rsidRPr="00483F7D">
        <w:t>,</w:t>
      </w:r>
    </w:p>
    <w:p w14:paraId="0C152838" w14:textId="77777777" w:rsidR="00E0244C" w:rsidRPr="00483F7D" w:rsidRDefault="007A1FD7">
      <w:r w:rsidRPr="00483F7D">
        <w:t>Αποφασίζοντας σύμφωνα με τη συνήθη νομοθετική διαδικασία,</w:t>
      </w:r>
    </w:p>
    <w:p w14:paraId="22B4A0B9" w14:textId="77777777" w:rsidR="00E0244C" w:rsidRPr="00483F7D" w:rsidRDefault="007A1FD7">
      <w:r w:rsidRPr="00483F7D">
        <w:t>Εκτιμώντας τα ακόλουθα:</w:t>
      </w:r>
    </w:p>
    <w:p w14:paraId="06868B6A" w14:textId="77777777" w:rsidR="00E0244C" w:rsidRPr="00483F7D" w:rsidRDefault="007A1FD7" w:rsidP="00CF7E35">
      <w:pPr>
        <w:pStyle w:val="Considrant"/>
        <w:numPr>
          <w:ilvl w:val="0"/>
          <w:numId w:val="21"/>
        </w:numPr>
      </w:pPr>
      <w:r w:rsidRPr="00483F7D">
        <w:t>Η Ένωση και η λειτουργία της εσωτερικής αγοράς βασίζονται στην τελωνειακή ένωση. Προς το συμφέρον τόσο των οικονομικών φορέων όσο και των τελωνειακών αρχών της Ένωσης, ο κανονισμός (ΕΕ) αριθ. 952/2013 του Ευρωπαϊκού Κοινοβουλίου και του Συμβουλίου</w:t>
      </w:r>
      <w:r w:rsidRPr="00483F7D">
        <w:rPr>
          <w:rStyle w:val="FootnoteReference"/>
        </w:rPr>
        <w:footnoteReference w:id="41"/>
      </w:r>
      <w:r w:rsidRPr="00483F7D">
        <w:t xml:space="preserve"> για τη θέσπιση του ενωσιακού τελωνειακού κώδικα (στο εξής: κώδικας) συγκέντρωσε σε ενιαία πράξη τελωνειακή νομοθεσία που περιλαμβανόταν σε διάφορες νομοθετικές πράξεις, η οποία περιέχει τους γενικούς κανόνες και διαδικασίες, με σκοπό τη διασφάλιση της εφαρμογής των δασμολογικών και άλλων μέτρων που θεσπίζονται σε ενωσιακό επίπεδο σε σχέση με τις εμπορευματικές συναλλαγές μεταξύ της Ένωσης και χωρών ή εδαφών εκτός του τελωνειακού εδάφους της Ένωσης, καθώς και τις διατάξεις σχετικά με την είσπραξη των επιβαρύνσεων κατά την εισαγωγή. Οι τελωνειακές αρχές των κρατών μελών είναι υπεύθυνες για την εφαρμογή των κανόνων αυτών μέσω επιχειρησιακών καθηκόντων, όπως η εφαρμογή τελωνειακών καθεστώτων, η διενέργεια αναλύσεων κινδύνου και ελέγχων και η επιβολή κυρώσεων σε περίπτωση τελωνειακών παραβάσεων.</w:t>
      </w:r>
    </w:p>
    <w:p w14:paraId="729F0971" w14:textId="77777777" w:rsidR="00E0244C" w:rsidRPr="00483F7D" w:rsidRDefault="007A1FD7" w:rsidP="00B62B15">
      <w:pPr>
        <w:pStyle w:val="Considrant"/>
      </w:pPr>
      <w:r w:rsidRPr="00483F7D">
        <w:t>Η εφαρμογή του κανονισμού (ΕΕ) αριθ. 952/2013 αποκάλυψε αδυναμίες σε διάφορους τομείς. Μεταξύ αυτών περιλαμβάνονται: η ανεπαρκής/αναποτελεσματική δράση για τη διασφάλιση της προστασίας της Ένωσης και των πολιτών της από μη χρηματοοικονομικούς κινδύνους που σχετίζονται με τα εμπορεύματα τα οποία έχουν καθοριστεί από πολιτικές της Ένωσης εκτός της τελωνειακής νομοθεσίας· η ικανότητα των τελωνειακών αρχών να χειρίζονται αποτελεσματικά τον αυξανόμενο όγκο εμπορευμάτων που εισάγονται από τρίτες χώρες μέσω εξ αποστάσεως πωλήσεων (συναλλαγές ηλεκτρονικού εμπορίου)· η ικανότητα της αρχιτεκτονικής των συστημάτων ΤΠ που δημιουργήθηκε με τον κανονισμό (ΕΕ) αριθ. 952/2013 να ψηφιοποιεί τις τελωνειακές διαδικασίες ώστε να συμβαδίζει με τον ρυθμό της τεχνολογικής προόδου, ιδίως με τεχνολογίες που βασίζονται στην αξιοποίηση των δεδομένων· η έλλειψη αποτελεσματικών δομών διακυβέρνησης της τελωνειακής ένωσης, με αποτέλεσμα αποκλίνουσες πρακτικές και μη ενιαία εφαρμογή των κανόνων στα κράτη μέλη. Οι αδυναμίες αυτές οδηγούν στην εμφάνιση εμποδίων στην εύρυθμη λειτουργία της τελωνειακής ένωσης και, ως εκ τούτου, της εσωτερικής αγοράς, λόγω των εσωτερικών και εξωτερικών κινδύνων και απειλών.</w:t>
      </w:r>
    </w:p>
    <w:p w14:paraId="5A3A2D22" w14:textId="77777777" w:rsidR="00E0244C" w:rsidRPr="00483F7D" w:rsidRDefault="007A1FD7" w:rsidP="00B62B15">
      <w:pPr>
        <w:pStyle w:val="Considrant"/>
      </w:pPr>
      <w:r w:rsidRPr="00483F7D">
        <w:t>Είναι σκόπιμο η τελωνειακή νομοθεσία να λαμβάνει υπόψη την ταχεία ανάπτυξη των παγκόσμιων εμπορικών προτύπων, της τεχνολογίας, των επιχειρηματικών μοντέλων και των αναγκών των ενδιαφερόμενων μερών, συμπεριλαμβανομένων των πολιτών. Ως εκ τούτου, απαιτείται μεγάλος αριθμός τροποποιήσεων στον κανονισμό (ΕΕ) αριθ. 952/2013. Για λόγους σαφήνειας, ο εν λόγω κανονισμός θα πρέπει να καταργηθεί και να αντικατασταθεί.</w:t>
      </w:r>
    </w:p>
    <w:p w14:paraId="04E25F93" w14:textId="77777777" w:rsidR="00E0244C" w:rsidRPr="00483F7D" w:rsidRDefault="007A1FD7" w:rsidP="00B62B15">
      <w:pPr>
        <w:pStyle w:val="Considrant"/>
      </w:pPr>
      <w:r w:rsidRPr="00483F7D">
        <w:t xml:space="preserve">Για να προβλεφθούν αποτελεσματικά μέσα για την επίτευξη των στόχων της τελωνειακής ένωσης, θα πρέπει να αναθεωρηθούν και να απλουστευθούν ορισμένοι κανόνες και διαδικασίες που ρυθμίζουν τον τρόπο μεταφοράς των εμπορευμάτων εντός ή εκτός του τελωνειακού εδάφους της Ένωσης. Θα πρέπει να προβλεφθεί ένα σύγχρονο, ολοκληρωμένο σύνολο διαλειτουργικών ηλεκτρονικών υπηρεσιών με σκοπό τη συλλογή, την επεξεργασία και την ανταλλαγή πληροφοριών σχετικών με την εφαρμογή της τελωνειακής νομοθεσίας (τελωνειακός κόμβος δεδομένων της Ευρωπαϊκής Ένωσης, στο εξής: τελωνειακός κόμβος δεδομένων της ΕΕ). Θα πρέπει να συσταθεί Τελωνειακή Αρχή της Ευρωπαϊκής Ένωσης (στο εξής: Τελωνειακή Αρχή της ΕΕ) ως κεντρική επιχειρησιακή ικανότητα για τη συντονισμένη διακυβέρνηση της τελωνειακής ένωσης σε συγκεκριμένους τομείς. </w:t>
      </w:r>
    </w:p>
    <w:p w14:paraId="7B79454B" w14:textId="77777777" w:rsidR="00E0244C" w:rsidRPr="00483F7D" w:rsidRDefault="007A1FD7" w:rsidP="00B62B15">
      <w:pPr>
        <w:pStyle w:val="Considrant"/>
      </w:pPr>
      <w:r w:rsidRPr="00483F7D">
        <w:t>Μετά την έκδοση του κανονισμού (ΕΕ) αριθ. 952/2013, ο ρόλος των τελωνειακών αρχών έχει εξελιχθεί ώστε να καλύπτει όλο και περισσότερο την εφαρμογή της ενωσιακής και εθνικής νομοθεσίας που θεσπίζει απαιτήσεις για τα εμπορεύματα που υπόκεινται σε τελωνειακή επιτήρηση, ιδίως τις μη χρηματοοικονομικές απαιτήσεις για τα εμπορεύματα που είναι απαραίτητες για την είσοδο και την κυκλοφορία των εν λόγω εμπορευμάτων στην εσωτερική αγορά. Τα εν λόγω μη χρηματοοικονομικά καθήκοντα έχουν αυξηθεί εκθετικά με την πάροδο των ετών, σύμφωνα με τις αυξανόμενες προσδοκίες των επιχειρήσεων και των πολιτών της Ένωσης όσον αφορά την ασφάλεια, την προστασία, την προσβασιμότητα για τα άτομα με αναπηρία, τη βιωσιμότητα, την υγεία και τη ζωή των ανθρώπων, των ζώων και των φυτών, το περιβάλλον, την προστασία των ανθρωπίνων δικαιωμάτων και τις αξίες της Ένωσης. Πρέπει να εισαχθούν νέα εργαλεία, όπως το ψηφιακό διαβατήριο προϊόντος, ώστε να διασφαλιστεί ότι η λοιπή νομοθεσία που εφαρμόζεται από τις τελωνειακές αρχές σχετικά με τα προϊόντα εξακολουθεί να ανταποκρίνεται σε αυτές τις προσδοκίες. Ως εκ τούτου, είναι απαραίτητο να αντικατοπτρίζεται ο αυξανόμενος αριθμός και η πολυπλοκότητα των μη χρηματοοικονομικών κινδύνων, με τη συμπερίληψη στην αποστολή των τελωνειακών αρχών ειδικής αναφοράς στην προστασία όλων αυτών των δημόσιων συμφερόντων και, κατά περίπτωση, της εθνικής νομοθεσίας, σε στενή συνεργασία με άλλες αρχές.</w:t>
      </w:r>
      <w:r w:rsidRPr="00483F7D">
        <w:rPr>
          <w:rStyle w:val="FootnoteReference"/>
        </w:rPr>
        <w:t xml:space="preserve"> </w:t>
      </w:r>
    </w:p>
    <w:p w14:paraId="7664459B" w14:textId="77777777" w:rsidR="00E0244C" w:rsidRPr="00483F7D" w:rsidRDefault="00C0665C" w:rsidP="00B62B15">
      <w:pPr>
        <w:pStyle w:val="Considrant"/>
      </w:pPr>
      <w:r w:rsidRPr="00483F7D">
        <w:t>Υπό το πρίσμα της εξέλιξης του ρόλου τους και των επιχειρηματικών μοντέλων με τα οποία λειτουργούν και προκειμένου οι τελωνειακές αρχές να «ενεργούν ως ενιαίο σύνολο» και να συμβάλλουν στην ομαλή λειτουργία της εσωτερικής αγοράς, είναι αναγκαίο να περιγραφεί με μεγαλύτερη ακρίβεια η αποστολή που πρέπει να εκτελούν οι τελωνειακές αρχές, με την ακριβέστερη αναφορά των στόχων και των καθηκόντων τους.</w:t>
      </w:r>
    </w:p>
    <w:p w14:paraId="7FCF32C8" w14:textId="77777777" w:rsidR="00E0244C" w:rsidRPr="00483F7D" w:rsidRDefault="007A1FD7" w:rsidP="00B62B15">
      <w:pPr>
        <w:pStyle w:val="Considrant"/>
      </w:pPr>
      <w:r w:rsidRPr="00483F7D">
        <w:t>Ορισμένοι από τους ορισμούς που περιλαμβάνονται στον κανονισμό (ΕΕ) αριθ. 952/2013 θα πρέπει να προσαρμοστούν ώστε να ληφθεί υπόψη το ευρύτερο πεδίο εφαρμογής του παρόντος κανονισμού, να ευθυγραμμιστούν με εκείνους που ορίζονται σε άλλες πράξεις της Ένωσης και να αποσαφηνιστεί η ορολογία που έχει διαφορετική σημασία σε διαφορετικούς τομείς. Θα πρέπει να συμπεριληφθούν νέοι ορισμοί στην τελωνειακή νομοθεσία ώστε να αποσαφηνιστούν οι ρόλοι και οι αρμοδιότητες ορισμένων παραγόντων στις τελωνειακές διαδικασίες. Στην περίπτωση του εισαγωγέα και του εξαγωγέα, οι νέοι ορισμοί θα πρέπει να καθιστούν τα εν λόγω πρόσωπα υπεύθυνα για τη συμμόρφωση των εμπορευμάτων, μεταξύ άλλων για χρηματοοικονομικούς και μη χρηματοοικονομικούς κινδύνους, ώστε να ενισχυθεί η τελωνειακή επιτήρηση. Στην περίπτωση της νέας έννοιας του θεωρούμενου εισαγωγέα, οι νέοι ορισμοί θα πρέπει να διασφαλίζουν ότι, σε ορισμένες περιπτώσεις, στο πλαίσιο διαδικτυακής πώλησης από χώρες εκτός της Ένωσης, ένας οικονομικός φορέας, σε αντίθεση με τον καταναλωτή, θεωρείται εισαγωγέας και αναλαμβάνει τις αντίστοιχες ευθύνες. Νέοι ορισμοί θα πρέπει επίσης να εισαχθούν σε σχέση με το ευρύτερο πεδίο εφαρμογής των διατάξεων για την τελωνειακή επιτήρηση, τη διαχείριση κινδύνων και τους τελωνειακούς ελέγχους.</w:t>
      </w:r>
    </w:p>
    <w:p w14:paraId="4ADC1D04" w14:textId="77777777" w:rsidR="00E0244C" w:rsidRPr="00483F7D" w:rsidRDefault="00F82AF0" w:rsidP="00B62B15">
      <w:pPr>
        <w:pStyle w:val="Considrant"/>
      </w:pPr>
      <w:bookmarkStart w:id="9" w:name="_Hlk132816964"/>
      <w:r w:rsidRPr="00483F7D">
        <w:t>Πέραν του παραδοσιακού ρόλου τους όσον αφορά την είσπραξη των τελωνειακών δασμών, του ΦΠΑ και των ειδικών φόρων κατανάλωσης και την εφαρμογή της τελωνειακής νομοθεσίας, οι τελωνειακές αρχές διαδραματίζουν επίσης καίριο ρόλο στην επιβολή άλλων ενωσιακών και, κατά περίπτωση, άλλων εθνικών νομοθεσιών στον τελωνειακό τομέα. Θα πρέπει να εισαχθεί ορισμός αυτής της «λοιπής νομοθεσίας που εφαρμόζεται από τις τελωνειακές αρχές» ώστε να δημιουργηθεί ένα αποτελεσματικό πλαίσιο για τη ρύθμιση της εφαρμογής και της επιτήρησης αυτών των ειδικών απαιτήσεων για τα εμπορεύματα.  Οι εν λόγω απαγορεύσεις και περιορισμοί μπορούν να δικαιολογηθούν, μεταξύ άλλων, για λόγους δημόσιας ηθικής, δημόσιας τάξης ή δημόσιας ασφάλειας, προστασίας της υγείας και της ζωής των ανθρώπων και των ζώων ή προφύλαξης των φυτών, προστασίας του περιβάλλοντος, προστασίας των εθνικών θησαυρών που έχουν καλλιτεχνική, ιστορική ή αρχαιολογική αξία και προστασίας της βιομηχανικής και εμπορικής ιδιοκτησίας και άλλων δημόσιων συμφερόντων, συμπεριλαμβανομένων των ελέγχων για τις πρόδρομες ουσίες των ναρκωτικών, τα εμπορεύματα που παραβιάζουν ορισμένα δικαιώματα διανοητικής ιδιοκτησίας και τα μετρητά. Η έννοια της λοιπής νομοθεσίας που εφαρμόζεται από τις τελωνειακές αρχές θα πρέπει επίσης να περιλαμβάνει μέτρα εμπορικής πολιτικής και μέτρα διατήρησης και διαχείρισης της αλιείας, καθώς και περιοριστικά μέτρα που θεσπίζονται βάσει του άρθρου 215 της ΣΛΕΕ.</w:t>
      </w:r>
    </w:p>
    <w:bookmarkEnd w:id="9"/>
    <w:p w14:paraId="7951EDC1" w14:textId="77777777" w:rsidR="00E0244C" w:rsidRPr="00483F7D" w:rsidRDefault="007A1FD7" w:rsidP="00B62B15">
      <w:pPr>
        <w:pStyle w:val="Considrant"/>
      </w:pPr>
      <w:r w:rsidRPr="00483F7D">
        <w:t>Για να αυξηθεί η νομική σαφήνεια, θα πρέπει να τροποποιηθούν ορισμένοι κανόνες σχετικά με τις τελωνειακές αποφάσεις. Πρώτον, είναι σκόπιμο να διευκρινιστεί ότι η αρμόδια τελωνειακή αρχή για τη λήψη τελωνειακής απόφασης είναι εκείνη του τόπου όπου είναι εγκατεστημένος ο αιτών, διότι η εγκατάσταση καθίσταται η κύρια αρχή σύμφωνα με την οποία ορισμένοι οικονομικοί φορείς, υπό ορισμένους όρους και σε προκαθορισμένο χρονικό πλαίσιο, με την επιφύλαξη επανεξέτασης, μπορούν να επωφεληθούν από τις απλουστεύσεις που θεσπίζονται με τον παρόντα κανονισμό και να καταβάλλουν τελωνειακούς δασμούς στον τόπο εγκατάστασής τους. Δεύτερον, για λόγους πληρότητας και νομικής σαφήνειας, θα πρέπει επίσης να συμπεριληφθεί η μέγιστη προθεσμία των 30 ημερών εντός της οποίας ο αιτών πρέπει να παράσχει πρόσθετες πληροφορίες στις τελωνειακές αρχές στις περιπτώσεις που οι τελευταίες θεωρούν ότι η αίτηση για την έκδοση απόφασης δεν περιέχει όλες τις απαιτούμενες πληροφορίες.</w:t>
      </w:r>
    </w:p>
    <w:p w14:paraId="571AF402" w14:textId="77777777" w:rsidR="00E0244C" w:rsidRPr="00483F7D" w:rsidRDefault="007A1FD7" w:rsidP="00B62B15">
      <w:pPr>
        <w:pStyle w:val="Considrant"/>
      </w:pPr>
      <w:r w:rsidRPr="00483F7D">
        <w:t xml:space="preserve">Θα πρέπει να αποσαφηνιστεί η συνέπεια της παράλειψης μιας τελωνειακής αρχής να λάβει απόφαση κατόπιν αίτησης εντός των καθορισμένων προθεσμιών. Θα πρέπει επίσης να θεσπιστεί η αρχή ότι στην περίπτωση αυτή η αίτηση θεωρείται ότι αποτελεί αντικείμενο αρνητικής απόφασης και ότι ο αιτών μπορεί να ασκήσει προσφυγή, σύμφωνα με τον γενικό κανόνα για τις τελωνειακές αποφάσεις. </w:t>
      </w:r>
    </w:p>
    <w:p w14:paraId="400FC3F9" w14:textId="77777777" w:rsidR="00E0244C" w:rsidRPr="00483F7D" w:rsidRDefault="007A1FD7" w:rsidP="00B62B15">
      <w:pPr>
        <w:pStyle w:val="Considrant"/>
      </w:pPr>
      <w:r w:rsidRPr="00483F7D">
        <w:t>Όπως τονίστηκε από το Ευρωπαϊκό Ελεγκτικό Συνέδριο</w:t>
      </w:r>
      <w:r w:rsidRPr="00483F7D">
        <w:rPr>
          <w:rStyle w:val="FootnoteReference"/>
        </w:rPr>
        <w:footnoteReference w:id="42"/>
      </w:r>
      <w:r w:rsidRPr="00483F7D">
        <w:t xml:space="preserve"> και κατά την αξιολόγηση της εφαρμογής του κανονισμού (ΕΕ) αριθ. 952/2013, είναι επίσης επιθυμητό να αντιμετωπιστεί η έλλειψη ενιαίας παρακολούθησης της συμμόρφωσης των κριτηρίων και των υποχρεώσεων που ορίζονται στις τελωνειακές αποφάσεις, με την ενίσχυση των σχετικών διατάξεων. Αφενός, οι δικαιούχοι των αποφάσεων θα πρέπει όχι μόνο να συμμορφώνονται με τις υποχρεώσεις που ορίζονται στη σχετική απόφαση, αλλά και να παρακολουθούν σε συνεχή βάση τη συμμόρφωσή τους και να προβλέπουν εσωτερική οργάνωση όπου οι εν λόγω δραστηριότητες [αυτο]παρακολούθησης μπορούν να προλαμβάνουν, να μετριάζουν ή να διορθώνουν τυχόν σφάλματα στις τελωνειακές διαδικασίες τους. Αφετέρου, οι τελωνειακές αρχές θα πρέπει να παρακολουθούν τακτικά την εφαρμογή των τελωνειακών αποφάσεων από τους δικαιούχους των εν λόγω αποφάσεων, ιδίως όταν οι αποφάσεις αυτές έχουν εκδοθεί για λιγότερο από 3 έτη και, ως εκ τούτου, είναι δυνητικά πιο επιρρεπείς σε κινδύνους, ώστε να διασφαλίζεται ότι το εν λόγω πρόσωπο συμμορφώνεται με τις υποχρεώσεις που καθορίζονται από τις τελωνειακές αποφάσεις. Αυτό έχει ιδιαίτερη σημασία όταν τα εν λόγω πρόσωπα επωφελούνται από ειδικό καθεστώς, όπως εκείνο του εγκεκριμένου οικονομικού φορέα (AEO) ή του αξιόπιστου και ελεγμένου (Trust and Check) συναλλασσομένου, τα οποία απολαμβάνουν διάφορες διευκολύνσεις στις τελωνειακές διαδικασίες. Επιπλέον, προκειμένου να ενισχυθεί η διαχείριση κινδύνων σε ενωσιακό επίπεδο, οι τελωνειακές αρχές θα πρέπει να κοινοποιούν στην Τελωνειακή Αρχή της ΕΕ όλες τις αποφάσεις που λαμβάνονται κατόπιν αίτησης και να ενημερώνουν την εν λόγω Αρχή σχετικά με τις δραστηριότητες παρακολούθησης, ώστε οι πληροφορίες αυτές να μπορούν να λαμβάνονται υπόψη για σκοπούς διαχείρισης κινδύνων.</w:t>
      </w:r>
    </w:p>
    <w:p w14:paraId="37DDF9BB" w14:textId="77777777" w:rsidR="00E0244C" w:rsidRPr="00483F7D" w:rsidRDefault="007A1FD7" w:rsidP="00B62B15">
      <w:pPr>
        <w:pStyle w:val="Considrant"/>
      </w:pPr>
      <w:r w:rsidRPr="00483F7D">
        <w:t>Εκτός από τις αποφάσεις που αφορούν δεσμευτικές δασμολογικές πληροφορίες (αποφάσεις ΔΔΠ) ή τις αποφάσεις που αφορούν δεσμευτικές πληροφορίες καταγωγής (αποφάσεις ΔΠΚ) που εκδίδονται από τις τελωνειακές αρχές κατόπιν αίτησης και υπό ορισμένες προϋποθέσεις, οι αποφάσεις που αφορούν δεσμευτικές πληροφορίες δασμολογητέας αξίας (αποφάσεις ΔΠΔ) εισήχθησαν στην τελωνειακή νομοθεσία μέσω του κατ’ εξουσιοδότηση κανονισμού (ΕΕ) .../... της Επιτροπής</w:t>
      </w:r>
      <w:r w:rsidRPr="00483F7D">
        <w:rPr>
          <w:rStyle w:val="FootnoteReference"/>
        </w:rPr>
        <w:footnoteReference w:id="43"/>
      </w:r>
      <w:r w:rsidRPr="00483F7D">
        <w:t>. Προς το συμφέρον των χρηστών της τελωνειακής νομοθεσίας, είναι σκόπιμο να θεσπιστούν κανόνες σχετικά με τα τρία αυτά είδη αποφάσεων που αφορούν δεσμευτικές πληροφορίες στην ίδια νομική πράξη.</w:t>
      </w:r>
    </w:p>
    <w:p w14:paraId="59C23F58" w14:textId="77777777" w:rsidR="00E0244C" w:rsidRPr="00483F7D" w:rsidRDefault="007A1FD7" w:rsidP="00B62B15">
      <w:pPr>
        <w:pStyle w:val="Considrant"/>
      </w:pPr>
      <w:r w:rsidRPr="00483F7D">
        <w:t xml:space="preserve">Τα δικαιώματα και οι υποχρεώσεις των προσώπων που είναι υπεύθυνα για τα εμπορεύματα που εισέρχονται στο τελωνειακό έδαφος της Ένωσης και εξέρχονται από αυτό θα πρέπει να καθοριστούν με μεγαλύτερη σαφήνεια. Η πρώτη υποχρέωση για τα πρόσωπα που εκτελούν τακτικές τελωνειακές πράξεις θα πρέπει να εξακολουθήσουν να εγγράφονται σε μητρώο των τελωνειακών αρχών που είναι αρμόδιες για τον τόπο εγκατάστασής τους. Μια ενιαία καταχώριση θα πρέπει να ισχύει για ολόκληρη την τελωνειακή ένωση, αλλά θα πρέπει να είναι επικαιροποιημένη. Ως εκ τούτου, οι οικονομικοί φορείς θα πρέπει να έχουν την υποχρέωση να ενημερώνουν τις τελωνειακές αρχές σχετικά με οποιαδήποτε αλλαγή στα δεδομένα καταχώρισής τους. Τα πρόσωπα που είναι υπεύθυνα για τα εμπορεύματα που εισέρχονται στο τελωνειακό έδαφος της Ένωσης και εξέρχονται από αυτό ευθύνονται για κάθε κίνδυνο που παρουσιάζουν τα εμπορεύματα για την ασφάλεια και την προστασία των πολιτών, καθώς και για κάθε κίνδυνο για την υγεία και τη ζωή των ανθρώπων, των ζώων ή των φυτών, το περιβάλλον ή τους καταναλωτές. Θα πρέπει επίσης να καθοριστούν οι υποχρεώσεις του εισαγωγέα, ιδίως η υποχρέωση εγκατάστασης στο τελωνειακό έδαφος της Ένωσης και οι εξαιρέσεις από την υποχρέωση αυτή. Οι εν λόγω υποχρεώσεις θα πρέπει να ακολουθούν τους υφιστάμενους κανόνες για τον διασαφιστή που πρέπει να είναι εγκατεστημένος στην Ένωση. Ομοίως, θα πρέπει να καθοριστούν οι υποχρεώσεις του εξαγωγέα. </w:t>
      </w:r>
    </w:p>
    <w:p w14:paraId="0C04E698" w14:textId="77777777" w:rsidR="00E0244C" w:rsidRPr="00483F7D" w:rsidRDefault="007A1FD7" w:rsidP="00B62B15">
      <w:pPr>
        <w:pStyle w:val="Considrant"/>
      </w:pPr>
      <w:r w:rsidRPr="00483F7D">
        <w:t xml:space="preserve">Οι υποχρεώσεις των θεωρούμενων εισαγωγέων, οι οποίες είναι διαφορετικές από τις υποχρεώσεις που ισχύουν για [τους υπόλοιπους] εισαγωγείς, θα πρέπει επίσης να αποσαφηνιστούν. Ειδικότερα, </w:t>
      </w:r>
      <w:bookmarkStart w:id="10" w:name="_Hlk134028270"/>
      <w:r w:rsidRPr="00483F7D">
        <w:t>θα πρέπει να προβλεφθεί ότι ο θεωρούμενος εισαγωγέας θα πρέπει να παρέχει στις τελωνειακές αρχές όχι μόνο τα δεδομένα που απαιτούνται για τη θέση σε ελεύθερη κυκλοφορία των πωληθέντων εμπορευμάτων, αλλά και τις πληροφορίες που πρέπει να συλλέγει ο θεωρούμενος εισαγωγέας για τους σκοπούς του ΦΠΑ</w:t>
      </w:r>
      <w:bookmarkEnd w:id="10"/>
      <w:r w:rsidRPr="00483F7D">
        <w:t>. Οι πληροφορίες αυτές παρατίθενται λεπτομερώς στον εκτελεστικό κανονισμό (ΕΕ) αριθ. 282/2011 του Συμβουλίου</w:t>
      </w:r>
      <w:r w:rsidRPr="00483F7D">
        <w:rPr>
          <w:rStyle w:val="FootnoteReference"/>
        </w:rPr>
        <w:footnoteReference w:id="44"/>
      </w:r>
      <w:r w:rsidRPr="00483F7D">
        <w:t>. </w:t>
      </w:r>
    </w:p>
    <w:p w14:paraId="330EFD9B" w14:textId="77777777" w:rsidR="00E0244C" w:rsidRPr="00483F7D" w:rsidRDefault="00E2412E" w:rsidP="00B62B15">
      <w:pPr>
        <w:pStyle w:val="Considrant"/>
      </w:pPr>
      <w:r w:rsidRPr="00483F7D">
        <w:t>Οι οικονομικοί φορείς που πληρούν ορισμένα κριτήρια και όρους ώστε να θεωρούνται συμμορφούμενοι και αξιόπιστοι συναλλασσόμενοι από τις τελωνειακές αρχές μπορούν να λάβουν το καθεστώς ΕΟΦ και, ως εκ τούτου, να επωφεληθούν από διευκολύνσεις στις τελωνειακές διαδικασίες. Παρότι διασφαλίζει ότι οι συναλλασσόμενοι που διακινούν το μεγαλύτερο μέρος του εμπορίου της Ένωσης είναι αξιόπιστοι, το καθεστώς ΕΟΦ πάσχει από ορισμένες αδυναμίες που επισημάνθηκαν στην αξιολόγηση του κανονισμού (ΕΕ) αριθ. 952/2013 και στα πορίσματα του Ευρωπαϊκού Ελεγκτικού Συνεδρίου. Για να αντιμετωπιστούν οι ανησυχίες αυτές, ιδίως όσον αφορά τις αποκλίνουσες εθνικές πρακτικές και τις προκλήσεις όσον αφορά την παρακολούθηση της συμμόρφωσης των ΕΟΦ, οι κανόνες θα πρέπει να τροποποιηθούν ώστε να θεσπιστεί η υποχρέωση των τελωνειακών αρχών να παρακολουθούν τη συμμόρφωση τουλάχιστον κάθε 3 έτη.</w:t>
      </w:r>
    </w:p>
    <w:p w14:paraId="6123F979" w14:textId="77777777" w:rsidR="00E0244C" w:rsidRPr="00483F7D" w:rsidRDefault="007A1FD7" w:rsidP="00B62B15">
      <w:pPr>
        <w:pStyle w:val="Considrant"/>
      </w:pPr>
      <w:r w:rsidRPr="00483F7D">
        <w:t xml:space="preserve">Οι αλλαγές στις τελωνειακές διαδικασίες και στον τρόπο λειτουργίας των τελωνειακών αρχών απαιτούν μια νέα εταιρική σχέση με τους οικονομικούς φορείς, δηλαδή το καθεστώς αξιόπιστων και ελεγμένων συναλλασσομένων. </w:t>
      </w:r>
      <w:bookmarkStart w:id="11" w:name="_Hlk133941758"/>
      <w:r w:rsidRPr="00483F7D">
        <w:t>Τα κριτήρια και οι όροι για να καταστεί αξιόπιστος και ελεγμένος συναλλασσόμενος θα πρέπει να βασίζονται στα κριτήρια του ΕΟΦ, αλλά θα πρέπει επίσης να διασφαλίζουν ότι ο συναλλασσόμενος θεωρείται διαφανής για τις τελωνειακές αρχές. Είναι επομένως σκόπιμο να απαιτείται από τους αξιόπιστους και ελεγμένους συναλλασσομένους να παρέχουν στις τελωνειακές αρχές πρόσβαση στα ηλεκτρονικά τους συστήματα, τα οποία τηρούν αρχεία σχετικά με τη συμμόρφωσή τους και τη διακίνηση των εμπορευμάτων τους. Η διαφάνεια θα πρέπει να συνοδεύεται από ορισμένα οφέλη, ιδίως από τη δυνατότητα παράδοσης των εμπορευμάτων για λογαριασμό των τελωνείων χωρίς την ανάγκη της ενεργού παρέμβασής τους, εκτός αν απαιτείται έγκριση πριν από την παράδοση από τη λοιπή νομοθεσία που εφαρμόζεται από τις τελωνειακές αρχές, και τη δυνατότητα αναβολής της πληρωμής της τελωνειακής οφειλής.</w:t>
      </w:r>
      <w:bookmarkEnd w:id="11"/>
      <w:r w:rsidRPr="00483F7D">
        <w:t xml:space="preserve"> Δεδομένου ότι ο συγκεκριμένος τρόπος εργασίας θα πρέπει να αντικαταστήσει σταδιακά εκείνον που βασίζεται στις τελωνειακές διασαφήσεις, είναι σκόπιμο να θεσπιστεί η υποχρέωση των τελωνειακών αρχών να επαναξιολογούν τις υφιστάμενες άδειες ΕΟΦ για τελωνειακές απλουστεύσεις έως τη λήξη της μεταβατικής περιόδου.</w:t>
      </w:r>
    </w:p>
    <w:p w14:paraId="3C2692D0" w14:textId="77777777" w:rsidR="00731BF2" w:rsidRPr="00483F7D" w:rsidRDefault="00BA6A0D" w:rsidP="00B62B15">
      <w:pPr>
        <w:pStyle w:val="Considrant"/>
        <w:ind w:left="720"/>
      </w:pPr>
      <w:r w:rsidRPr="00483F7D">
        <w:t>Οι αλλαγές στις τελωνειακές διαδικασίες απαιτούν επίσης την αποσαφήνιση του ρόλου των τελωνειακών αντιπροσώπων. Τόσο η άμεση όσο και η έμμεση αντιπροσώπευση θα πρέπει να εξακολουθήσουν να είναι δυνατές, αλλά θα πρέπει να διευκρινιστεί ότι ο έμμεσος αντιπρόσωπος ενός εισαγωγέα ή ενός εξαγωγέα αναλαμβάνει όλες τις υποχρεώσεις των εισαγωγέων ή των εξαγωγέων, όχι μόνο την υποχρέωση πληρωμής ή εγγύησης της τελωνειακής οφειλής, αλλά και την τήρηση της λοιπής νομοθεσίας που εφαρμόζεται από τις τελωνειακές αρχές. Για τον λόγο αυτόν, οι τελωνειακοί αντιπρόσωποι πρέπει να είναι κάτοικοι του τελωνειακού εδάφους της Ένωσης όπου εκπροσωπούν εισαγωγείς ή εξαγωγείς, ώστε να διασφαλίζεται η δέουσα λογοδοσία για τις χρηματοοικονομικές και μη χρηματοοικονομικές πτυχές. Συνεπώς, η χρήση έμμεσου τελωνειακού αντιπροσώπου εγκατεστημένου στην Ένωση αποτελεί διαθέσιμη και αναλογική εναλλακτική λύση για τους εισαγωγείς και τους εξαγωγείς που δεν έχουν εμπορική παρουσία στην Ένωση. Επιπλέον, οι τελωνειακοί αντιπρόσωποι που είναι εγκατεστημένοι σε τρίτες χώρες μπορούν να συνεχίσουν να παρέχουν τις υπηρεσίες τους στην Ένωση όταν εκπροσωπούν πρόσωπα τα οποία δεν απαιτείται να είναι εγκατεστημένα εντός του τελωνειακού εδάφους της Ένωσης.</w:t>
      </w:r>
    </w:p>
    <w:p w14:paraId="2EDB1912" w14:textId="77777777" w:rsidR="00593125" w:rsidRPr="00483F7D" w:rsidRDefault="007A1FD7" w:rsidP="00B62B15">
      <w:pPr>
        <w:pStyle w:val="Considrant"/>
      </w:pPr>
      <w:r w:rsidRPr="00483F7D">
        <w:t xml:space="preserve">Για να διασφαλιστεί ενιαίο επίπεδο ψηφιοποίησης και να δημιουργηθούν ισότιμοι όροι ανταγωνισμού για τους οικονομικούς φορείς σε όλα τα κράτη μέλη, θα πρέπει να δημιουργηθεί τελωνειακός κόμβος δεδομένων της ΕΕ ως σύνολο κεντρικών, ασφαλών και κυβερνοανθεκτικών ηλεκτρονικών υπηρεσιών και συστημάτων για τελωνειακούς σκοπούς. Ο τελωνειακός κόμβος δεδομένων της ΕΕ θα πρέπει να διασφαλίζει την ποιότητα, την ακεραιότητα, την ιχνηλασιμότητα και τη μη άρνηση αναγνώρισης των δεδομένων που υποβάλλονται σε επεξεργασία σε αυτόν, ώστε ούτε ο αποστολέας ούτε ο παραλήπτης να μπορούν αργότερα να αμφισβητήσουν την ύπαρξη της ανταλλαγής δεδομένων. Ο τελωνειακός κόμβος δεδομένων της ΕΕ θα πρέπει να συμμορφώνεται με τους σχετικούς κανονισμούς για την επεξεργασία δεδομένων προσωπικού χαρακτήρα και την κυβερνοασφάλεια. Η Επιτροπή και τα κράτη μέλη θα πρέπει να σχεδιάσουν από κοινού τον τελωνειακό κόμβο δεδομένων της ΕΕ. Η Επιτροπή θα πρέπει επίσης να επιφορτιστεί με τη διακυβέρνηση, την εφαρμογή και τη συντήρηση του τελωνειακού κόμβου δεδομένων της ΕΕ, τις οποίες μπορεί να αναθέσει σε άλλο οργανισμό της Ένωσης. </w:t>
      </w:r>
    </w:p>
    <w:p w14:paraId="265D8369" w14:textId="77777777" w:rsidR="00593125" w:rsidRPr="00483F7D" w:rsidRDefault="003F303C" w:rsidP="00B62B15">
      <w:pPr>
        <w:pStyle w:val="Considrant"/>
      </w:pPr>
      <w:r w:rsidRPr="00483F7D">
        <w:t>Σύμφωνα με την πρόσφατη νομολογία του Δικαστηρίου της Ευρωπαϊκής Ένωσης</w:t>
      </w:r>
      <w:r w:rsidRPr="00483F7D">
        <w:rPr>
          <w:rStyle w:val="FootnoteReference"/>
        </w:rPr>
        <w:footnoteReference w:id="45"/>
      </w:r>
      <w:r w:rsidRPr="00483F7D">
        <w:t xml:space="preserve">, είναι σκόπιμο να διευκρινιστεί ότι η αυτοματοποιημένη ανταλλαγή πληροφοριών μεταξύ οικονομικών φορέων και τελωνειακών αρχών μέσω και από τον τελωνειακό κόμβο δεδομένων της ΕΕ δεν αποκλείει την ευθύνη των εν λόγω αρχών ή των εν λόγω φορέων σε σχέση με τις σχετικές τελωνειακές διαδικασίες. Ακόμη και όταν η συμμετοχή των τελωνειακών αρχών περιορίζεται στην εν λόγω ηλεκτρονική επικοινωνία μέσω του τελωνειακού κόμβου δεδομένων της ΕΕ, θα πρέπει να θεωρείται ότι ένα μέτρο λαμβάνεται από τις εν λόγω αρχές, σαν ο κόμβος τελωνειακών δεδομένων της ΕΕ να ενεργούσε εξ ονόματος των εν λόγω αρχών. </w:t>
      </w:r>
    </w:p>
    <w:p w14:paraId="6C870BA3" w14:textId="77777777" w:rsidR="00821061" w:rsidRPr="00483F7D" w:rsidRDefault="00821061" w:rsidP="00B62B15">
      <w:pPr>
        <w:pStyle w:val="Considrant"/>
      </w:pPr>
      <w:r w:rsidRPr="00483F7D">
        <w:t>Ο τελωνειακός κόμβος δεδομένων της ΕΕ θα πρέπει να καθιστά δυνατή την ανταλλαγή δεδομένων με άλλα συστήματα, πλατφόρμες ή περιβάλλοντα με σκοπό την αύξηση της ποιότητας των δεδομένων που χρησιμοποιούνται από τα τελωνεία κατά την εκτέλεση των καθηκόντων τους, καθώς και με σκοπό την ανταλλαγή σχετικών τελωνειακών δεδομένων με άλλες αρχές, ώστε να αυξηθεί η αποτελεσματικότητα των ελέγχων στην εσωτερική αγορά. Σύμφωνα με την προσέγγιση που ορίζεται στον κανονισμό (ΕΕ) .../... του Ευρωπαϊκού Κοινοβουλίου και του Συμβουλίου</w:t>
      </w:r>
      <w:r w:rsidRPr="00483F7D">
        <w:rPr>
          <w:rStyle w:val="FootnoteReference"/>
        </w:rPr>
        <w:footnoteReference w:id="46"/>
      </w:r>
      <w:r w:rsidRPr="00483F7D">
        <w:t xml:space="preserve"> και στο ευρωπαϊκό πλαίσιο διαλειτουργικότητας</w:t>
      </w:r>
      <w:r w:rsidRPr="00483F7D">
        <w:rPr>
          <w:rStyle w:val="FootnoteReference"/>
        </w:rPr>
        <w:footnoteReference w:id="47"/>
      </w:r>
      <w:r w:rsidRPr="00483F7D">
        <w:t>, ο τελωνειακός κόμβος δεδομένων της ΕΕ θα πρέπει να προωθεί τη διασυνοριακή και διατομεακή διαλειτουργικότητα στην Ευρώπη. Θα πρέπει να αξιοποιεί τις δυνατότητες των υφιστάμενων πηγών πληροφοριών κινδύνου που είναι διαθέσιμες σε ενωσιακό επίπεδο, όπως τα συστήματα έγκαιρης προειδοποίησης για τα τρόφιμα και τις ζωοτροφές (RASFF) και για τα μη εδώδιμα προϊόντα (Safety Gate), το σύστημα πληροφοριών και επικοινωνίας για την εποπτεία της αγοράς (ICSMS), η πύλη για την επιβολή των ΔΔΙ. Θα πρέπει να στηρίζει την ανάπτυξη στρατηγικής και επιχειρησιακής συνεργασίας, συμπεριλαμβανομένης της ανταλλαγής πληροφοριών και της διαλειτουργικότητας, μεταξύ τελωνείων και άλλων αρχών, φορέων και υπηρεσιών, στο πλαίσιο των αντίστοιχων αρμοδιοτήτων τους. Επιπλέον, ο τελωνειακός κόμβος δεδομένων της ΕΕ θα πρέπει να παρέχει ευρύ φάσμα προηγμένων αναλύσεων δεδομένων, μεταξύ άλλων και μέσω της χρήσης τεχνητής νοημοσύνης. Η εν λόγω ανάλυση δεδομένων θα πρέπει να διευκολύνει την ανάλυση κινδύνου, την οικονομική ανάλυση και την προγνωστική ανάλυση με σκοπό την πρόβλεψη πιθανών κινδύνων με αποστολές που εισέρχονται στην Ένωση ή διακινούνται από αυτήν. Για τη διασφάλιση καλύτερης επιτήρησης των ροών του εμπορίου και εξορθολογισμένου τρόπου συνεργασίας με άλλες αρχές εκτός των τελωνείων, ο τελωνειακός κόμβος δεδομένων της ΕΕ θα πρέπει να είναι σε θέση να αξιοποιεί το πλαίσιο συνεργασίας του περιβάλλοντος ενιαίας θυρίδας της ΕΕ για τα τελωνεία και, όταν το εν λόγω πλαίσιο δεν μπορεί να χρησιμοποιηθεί, να προσφέρει στις εν λόγω αρχές ειδική υπηρεσία μέσω της οποίας θα μπορούν να λαμβάνουν τα σχετικά δεδομένα, να παρέχουν και να ανταλλάσσουν πληροφορίες στις τελωνειακές αρχές και να διασφαλίζουν τη συμμόρφωση με τις τομεακές απαιτήσεις. Αυτό θα ήταν απαραίτητο σε περίπτωση που οι άλλες αρχές δεν διαθέτουν ηλεκτρονικό σύστημα που θα μπορούσε να συνδεθεί με τον τελωνειακό κόμβο δεδομένων της ΕΕ.</w:t>
      </w:r>
    </w:p>
    <w:p w14:paraId="13D66AC6" w14:textId="77777777" w:rsidR="00EB71F8" w:rsidRPr="00483F7D" w:rsidRDefault="00EB71F8" w:rsidP="00B62B15">
      <w:pPr>
        <w:pStyle w:val="Considrant"/>
      </w:pPr>
      <w:r w:rsidRPr="00483F7D">
        <w:t>Παράλληλα με τον τελωνειακό κόμβο δεδομένων της ΕΕ, τα κράτη μέλη μπορούν να αναπτύξουν τις δικές τους εφαρμογές για τη χρήση δεδομένων από τον τελωνειακό κόμβο δεδομένων της ΕΕ. Για τον σκοπό αυτόν, και για να μειωθεί ο χρόνος διάθεσης στην αγορά, τα κράτη μέλη μπορούν να αναθέσουν στην Τελωνειακή Αρχή της ΕΕ τα οικονομικά μέσα και την εντολή για την ανάπτυξη τέτοιων εφαρμογών. Στην περίπτωση αυτή, η Τελωνειακή Αρχή της ΕΕ θα πρέπει να αναπτύξει τις εφαρμογές προς όφελος όλων των κρατών μελών. Αυτό θα μπορούσε να επιτευχθεί με τη δημιουργία εφαρμογών κώδικα ανοικτής πηγής σύμφωνα με το πλαίσιο κοινής και περαιτέρω χρήσης.</w:t>
      </w:r>
    </w:p>
    <w:p w14:paraId="23CAD977" w14:textId="77777777" w:rsidR="00E0244C" w:rsidRPr="00483F7D" w:rsidRDefault="007A1FD7" w:rsidP="00B62B15">
      <w:pPr>
        <w:pStyle w:val="Considrant"/>
      </w:pPr>
      <w:bookmarkStart w:id="12" w:name="_Hlk134030675"/>
      <w:r w:rsidRPr="00483F7D">
        <w:t>Ο τελωνειακός κόμβος δεδομένων της ΕΕ θα πρέπει να καθιστά δυνατή την ακόλουθη ροή δεδομένων. Οι οικονομικοί φορείς θα πρέπει να είναι σε θέση να υποβάλλουν ή να καθιστούν διαθέσιμα όλα τα σχετικά δεδομένα που απαιτούνται για την τήρηση της τελωνειακής νομοθεσίας. Τα εν λόγω δεδομένα θα πρέπει να υποβάλλονται σε επεξεργασία σε ενωσιακό επίπεδο και να εμπλουτίζονται με ανάλυση κινδύνου σε ενωσιακό επίπεδο. Τα δεδομένα που προκύπτουν θα πρέπει να τίθενται στη διάθεση των τελωνειακών αρχών των κρατών μελών, οι οποίες θα τα χρησιμοποιούν για την εκπλήρωση των υποχρεώσεών τους. Τέλος, το αποτέλεσμα των ελέγχων που διενεργήθηκαν μετά την ανάκτηση δεδομένων από τον τελωνειακό κόμβο δεδομένων της ΕΕ θα πρέπει να αναφέρεται στον εν λόγω κόμβο δεδομένων.</w:t>
      </w:r>
    </w:p>
    <w:p w14:paraId="3805722A" w14:textId="77777777" w:rsidR="005F0814" w:rsidRPr="00483F7D" w:rsidRDefault="00BC0A9B" w:rsidP="00B62B15">
      <w:pPr>
        <w:pStyle w:val="Considrant"/>
      </w:pPr>
      <w:bookmarkStart w:id="13" w:name="_Hlk134452359"/>
      <w:bookmarkEnd w:id="12"/>
      <w:r w:rsidRPr="00483F7D">
        <w:t>Τα δεδομένα που υποβάλλονται στον τελωνειακό κόμβο δεδομένων της ΕΕ είναι σε μεγάλο βαθμό δεδομένα μη προσωπικού χαρακτήρα τα οποία υποβάλλουν οι οικονομικοί φορείς των εμπορευμάτων με τα οποία συναλλάσσονται. Ωστόσο, τα δεδομένα θα περιλαμβάνουν επίσης δεδομένα προσωπικού χαρακτήρα, ιδίως ονόματα φυσικών προσώπων που ενεργούν για λογαριασμό οικονομικού φορέα ή αρχής</w:t>
      </w:r>
      <w:bookmarkEnd w:id="13"/>
      <w:r w:rsidRPr="00483F7D">
        <w:t xml:space="preserve">. Για να διασφαλιστεί ότι τα δεδομένα προσωπικού χαρακτήρα και οι εμπορικές πληροφορίες προστατεύονται εξίσου, είναι σκόπιμο να θεσπιστούν με τον παρόντα κανονισμό ειδικοί κανόνες πρόσβασης, κανόνες εμπιστευτικότητας και όροι για τη χρήση του τελωνειακού κόμβου δεδομένων της ΕΕ. Ειδικότερα, θα πρέπει να καθοριστεί ποιες οντότητες μπορούν να έχουν πρόσβαση ή να επεξεργάζονται δεδομένα που είναι αποθηκευμένα ή με άλλον τρόπο διαθέσιμα στον τελωνειακό κόμβο δεδομένων της ΕΕ, επιπλέον των προσώπων, της Επιτροπής, των τελωνειακών αρχών και της Τελωνειακής Αρχής της ΕΕ, </w:t>
      </w:r>
      <w:bookmarkStart w:id="14" w:name="_Hlk134452506"/>
      <w:r w:rsidRPr="00483F7D">
        <w:t>με εξισορρόπηση των αναγκών των εν λόγω οντοτήτων με την ανάγκη να διασφαλιστεί ότι τα δεδομένα προσωπικού και εμπιστευτικού χαρακτήρα που συλλέγονται για τελωνειακούς σκοπούς χρησιμοποιούνται για πρόσθετους σκοπούς μόνο στον ελάχιστο αναγκαίο βαθμό</w:t>
      </w:r>
      <w:bookmarkEnd w:id="14"/>
      <w:r w:rsidRPr="00483F7D">
        <w:t xml:space="preserve">. </w:t>
      </w:r>
    </w:p>
    <w:p w14:paraId="43F9771F" w14:textId="77777777" w:rsidR="005F0814" w:rsidRPr="00483F7D" w:rsidRDefault="00593125" w:rsidP="00B62B15">
      <w:pPr>
        <w:pStyle w:val="Considrant"/>
      </w:pPr>
      <w:r w:rsidRPr="00483F7D">
        <w:t>Για να διασφαλιστεί ότι η Ευρωπαϊκή Υπηρεσία Καταπολέμησης της Απάτης (OLAF) μπορεί να ασκεί τις εξουσίες της στον τομέα των ερευνών σε σχέση με δόλιες δραστηριότητες που θίγουν τα συμφέροντα της Ένωσης, είναι σκόπιμο να έχει πρόσβαση σε δεδομένα από τον τελωνειακό κόμβο δεδομένων της ΕΕ, που είναι πολύ παρόμοια με την πρόσβαση της Επιτροπής. Ως εκ τούτου, η OLAF θα πρέπει να έχει το δικαίωμα να επεξεργάζεται τα δεδομένα σύμφωνα με τους όρους που αφορούν την προστασία των δεδομένων στη σχετική ενωσιακή νομοθεσία, συμπεριλαμβανομένου του κανονισμού (ΕΕ, Ευρατόμ) αριθ. 883/2013 του Ευρωπαϊκού Κοινοβουλίου και του Συμβουλίου</w:t>
      </w:r>
      <w:r w:rsidRPr="00483F7D">
        <w:rPr>
          <w:rStyle w:val="FootnoteReference"/>
        </w:rPr>
        <w:footnoteReference w:id="48"/>
      </w:r>
      <w:r w:rsidRPr="00483F7D">
        <w:t xml:space="preserve"> και του κανονισμού (ΕΚ) αριθ. 515/97 του Συμβουλίου</w:t>
      </w:r>
      <w:r w:rsidRPr="00483F7D">
        <w:rPr>
          <w:rStyle w:val="FootnoteReference"/>
        </w:rPr>
        <w:footnoteReference w:id="49"/>
      </w:r>
      <w:r w:rsidRPr="00483F7D">
        <w:t>. Για να διασφαλιστεί ότι η Ευρωπαϊκή Εισαγγελία μπορεί να διεξάγει τις έρευνές της για τελωνειακά ζητήματα, θα πρέπει να έχει το δικαίωμα να ζητεί πρόσβαση στα δεδομένα στον τελωνειακό κόμβο δεδομένων της ΕΕ. Για τη διατήρηση των λειτουργιών που εκτελούνται στα εθνικά συστήματα ΤΠ των κρατών μελών, οι φορολογικές αρχές των κρατών μελών θα πρέπει είτε να αποκτήσουν τη δυνατότητα να επεξεργάζονται δεδομένα απευθείας στον τελωνειακό κόμβο δεδομένων της ΕΕ είτε να εξάγουν δεδομένα από τον τελωνειακό κόμβο δεδομένων της ΕΕ και να τα επεξεργάζονται με διάφορα μέσα. Ως εκ τούτου, οι αρχές που είναι αρμόδιες για την ασφάλεια των τροφίμων σύμφωνα με τον κανονισμό (ΕΕ) 2017/625 του Ευρωπαϊκού Κοινοβουλίου και του Συμβουλίου</w:t>
      </w:r>
      <w:r w:rsidRPr="00483F7D">
        <w:rPr>
          <w:rStyle w:val="FootnoteReference"/>
        </w:rPr>
        <w:footnoteReference w:id="50"/>
      </w:r>
      <w:r w:rsidRPr="00483F7D">
        <w:t xml:space="preserve"> και οι αρχές που είναι αρμόδιες για την εποπτεία της αγοράς σύμφωνα με τον κανονισμό (ΕΕ) 2019/1020 θα πρέπει να διαθέτουν τις κατάλληλες υπηρεσίες και εργαλεία στον τελωνειακό κόμβο δεδομένων της ΕΕ, ώστε να μπορούν να χρησιμοποιούν τα σχετικά τελωνειακά δεδομένα για να συμβάλλουν στην επιβολή της σχετικής ενωσιακής νομοθεσίας και για τη συνεργασία με τις τελωνειακές αρχές με σκοπό την ελαχιστοποίηση των κινδύνων εισόδου μη συμμορφούμενων προϊόντων στην Ένωση. Είναι σκόπιμο η Ευρωπόλ να έχει, κατόπιν αιτήματος, πρόσβαση σε δεδομένα στον τελωνειακό κόμβο δεδομένων της ΕΕ, ώστε να είναι σε θέση να εκτελεί τα καθήκοντά της, όπως ορίζονται στον κανονισμό (ΕΕ) 2016/794 του Ευρωπαϊκού Κοινοβουλίου και του Συμβουλίου</w:t>
      </w:r>
      <w:r w:rsidRPr="00483F7D">
        <w:rPr>
          <w:rStyle w:val="FootnoteReference"/>
        </w:rPr>
        <w:footnoteReference w:id="51"/>
      </w:r>
      <w:r w:rsidRPr="00483F7D">
        <w:t>. Όλοι οι άλλοι ενωσιακοί και εθνικοί φορείς και αρχές, συμπεριλαμβανομένου του Ευρωπαϊκού Οργανισμού Συνοριοφυλακής και Ακτοφυλακής (Frontex), θα πρέπει να έχουν πρόσβαση σε δεδομένα μη προσωπικού χαρακτήρα που περιέχονται στον τελωνειακό κόμβο δεδομένων της ΕΕ.</w:t>
      </w:r>
    </w:p>
    <w:p w14:paraId="545BAD23" w14:textId="77777777" w:rsidR="005F0814" w:rsidRPr="00483F7D" w:rsidRDefault="005F0814" w:rsidP="00B62B15">
      <w:pPr>
        <w:pStyle w:val="Considrant"/>
      </w:pPr>
      <w:r w:rsidRPr="00483F7D">
        <w:t xml:space="preserve">Οι κανόνες και οι διατάξεις σχετικά με την πρόσβαση στον τελωνειακό κόμβο δεδομένων της ΕΕ και την ανταλλαγή πληροφοριών δεν θα πρέπει να επηρεάζουν το τελωνειακό σύστημα πληροφοριών (ΤΣΠ) που θεσπίστηκε με τον κανονισμό (ΕΚ) αριθ. 515/97 του Συμβουλίου και τις υποχρεώσεις υποβολής εκθέσεων δυνάμει του άρθρου 24 του κανονισμού (ΕΕ) 2019/1896 του Ευρωπαϊκού Κοινοβουλίου και του Συμβουλίου για την Ευρωπαϊκή Συνοριοφυλακή και Ακτοφυλακή. </w:t>
      </w:r>
    </w:p>
    <w:p w14:paraId="5C0DFF7D" w14:textId="77777777" w:rsidR="005F0814" w:rsidRPr="00483F7D" w:rsidRDefault="00593125" w:rsidP="00B62B15">
      <w:pPr>
        <w:pStyle w:val="Considrant"/>
      </w:pPr>
      <w:r w:rsidRPr="00483F7D">
        <w:t xml:space="preserve">Η Επιτροπή θα πρέπει να καθορίσει τις λεπτομέρειες πρόσβασης όλων αυτών των αρχών σε εκτελεστικούς κανόνες, αφού αξιολογήσει τις υφιστάμενες διασφαλίσεις που έχει θεσπίσει κάθε αρχή ή κατηγορία αρχών για τη διασφάλιση της ορθής επεξεργασίας των δεδομένων προσωπικού χαρακτήρα και των εμπορικά ευαίσθητων δεδομένων. </w:t>
      </w:r>
    </w:p>
    <w:p w14:paraId="200F4E35" w14:textId="77777777" w:rsidR="00E0244C" w:rsidRPr="00483F7D" w:rsidRDefault="00B84B7A" w:rsidP="00B62B15">
      <w:pPr>
        <w:pStyle w:val="Considrant"/>
      </w:pPr>
      <w:r w:rsidRPr="00483F7D">
        <w:t>Είναι σκόπιμο οι τελωνειακοί κόμβοι δεδομένων της ΕΕ να αποθηκεύουν δεδομένα προσωπικού χαρακτήρα για μέγιστη περίοδο 10 ετών. Η περίοδος αυτή δικαιολογείται υπό το πρίσμα της δυνατότητας των τελωνειακών αρχών να κοινοποιούν την τελωνειακή οφειλή έως και 10 έτη μετά τη λήψη των αναγκαίων πληροφοριών σχετικά με μια αποστολή, καθώς και να διασφαλίζουν ότι η Επιτροπή, η Τελωνειακή Αρχή της ΕΕ, η OLAF, οι τελωνειακές αρχές και οι αρχές εκτός των τελωνείων μπορούν να διασταυρώνουν τις πληροφορίες στον τελωνειακό κόμβο δεδομένων της ΕΕ με τις πληροφορίες που αποθηκεύονται σε άλλα συστήματα και ανταλλάσσονται με αυτά. Επιπλέον, η εν λόγω χρονική περίοδος θα πρέπει να ευθυγραμμίζεται με την περίοδο αποθήκευσης που απαιτείται από τη λοιπή νομοθεσία που εφαρμόζεται από τις τελωνειακές αρχές, όταν η εν λόγω νομοθεσία είναι σχετική με τους τελωνειακούς ελέγχους. Είναι επίσης σκόπιμο, όταν απαιτούνται δεδομένα προσωπικού χαρακτήρα για τους σκοπούς δικαστικών και διοικητικών διαδικασιών, ερευνών και ελέγχων μετά τον τελωνισμό, η περίοδος διατήρησης να αναστέλλεται ώστε να αποφεύγεται η διαγραφή των δεδομένων προσωπικού χαρακτήρα και η αδυναμία χρήσης τους για τους σκοπούς αυτούς.</w:t>
      </w:r>
    </w:p>
    <w:p w14:paraId="0637FB09" w14:textId="77777777" w:rsidR="00821061" w:rsidRPr="00483F7D" w:rsidRDefault="00821061" w:rsidP="00B62B15">
      <w:pPr>
        <w:pStyle w:val="Considrant"/>
      </w:pPr>
      <w:r w:rsidRPr="00483F7D">
        <w:t>Η προστασία των δεδομένων προσωπικού χαρακτήρα και άλλων δεδομένων στον τελωνειακό κόμβο δεδομένων της ΕΕ θα πρέπει επίσης να περιλαμβάνει κανόνες σχετικά με τον περιορισμό των δικαιωμάτων των υποκειμένων των δεδομένων. Ως εκ τούτου, είναι σκόπιμο οι τελωνειακές αρχές, η Επιτροπή ή η Τελωνειακή Αρχή της ΕΕ να μπορούν να περιορίζουν το δικαίωμα των υποκειμένων των δεδομένων, όπου είναι αναγκαίο, ώστε να διασφαλίζεται ότι δεν τίθενται σε κίνδυνο οι δραστηριότητες επιβολής, η ανάλυση κινδύνου και οι τελωνειακοί έλεγχοι. Επιπλέον, οι εν λόγω περιορισμοί θα μπορούσαν επίσης να εφαρμόζονται όταν αυτό είναι αναγκαίο για την προστασία δικαστικών ή διοικητικών διαδικασιών ύστερα από δραστηριότητες επιβολής. Οι περιορισμοί θα πρέπει να αιτιολογούνται δεόντως σε σχέση με τις δραστηριότητες και τα προνόμια των τελωνείων και να περιορίζονται στο χρονικό διάστημα που απαιτείται για τη διατήρηση των εν λόγω προνομίων.</w:t>
      </w:r>
    </w:p>
    <w:p w14:paraId="2CA62917" w14:textId="77777777" w:rsidR="00AB308A" w:rsidRPr="00483F7D" w:rsidRDefault="00AB308A" w:rsidP="00B62B15">
      <w:pPr>
        <w:pStyle w:val="Considrant"/>
      </w:pPr>
      <w:r w:rsidRPr="00483F7D">
        <w:t>Κάθε επεξεργασία δεδομένων προσωπικού χαρακτήρα δυνάμει του παρόντος κανονισμού θα πρέπει να διενεργείται σύμφωνα με τις διατάξεις του κανονισμού (ΕΕ) 2016/679, του κανονισμού (ΕΕ) 2018/1725 του Ευρωπαϊκού Κοινοβουλίου και του Συμβουλίου ή της οδηγίας (ΕΕ) 2016/680 του Ευρωπαϊκού Κοινοβουλίου και του Συμβουλίου, εντός του αντίστοιχου πεδίου εφαρμογής τους.</w:t>
      </w:r>
    </w:p>
    <w:p w14:paraId="7D832042" w14:textId="77777777" w:rsidR="00D03BBF" w:rsidRPr="00483F7D" w:rsidRDefault="00D03BBF" w:rsidP="00B62B15">
      <w:pPr>
        <w:pStyle w:val="Considrant"/>
      </w:pPr>
      <w:r w:rsidRPr="00483F7D">
        <w:t>Ζητήθηκε, σύμφωνα με το άρθρο 42 παράγραφος 1 του κανονισμού (ΕΕ) 2018/1725, η γνώμη του Ευρωπαίου Επόπτη Προστασίας Δεδομένων, ο οποίος γνωμοδότησε στις [...].</w:t>
      </w:r>
    </w:p>
    <w:p w14:paraId="2A797A11" w14:textId="77777777" w:rsidR="00E0244C" w:rsidRPr="00483F7D" w:rsidRDefault="007A1FD7" w:rsidP="00B62B15">
      <w:pPr>
        <w:pStyle w:val="Considrant"/>
      </w:pPr>
      <w:r w:rsidRPr="00483F7D">
        <w:t>Ένα επίπεδο διαχείρισης τελωνειακών κινδύνων σε ενωσιακό επίπεδο είναι θεμελιώδους σημασίας για τη διασφάλιση της εναρμονισμένης εφαρμογής των τελωνειακών ελέγχων στα κράτη μέλη.  Επί του παρόντος υπάρχει ένα κοινό πλαίσιο διαχείρισης κινδύνων που περιλαμβάνει τη δυνατότητα προσδιορισμού κοινών τομέων ελέγχου προτεραιότητας και κοινών κριτηρίων και προτύπων κινδύνου στον τομέα του χρηματοοικονομικού κινδύνου για τη διενέργεια τελωνειακών ελέγχων, αλλά παρουσιάζει σημαντικές ελλείψεις. Για να αντιμετωπιστεί η έλλειψη εναρμονισμένης εφαρμογής των τελωνειακών ελέγχων και εναρμονισμένης διαχείρισης κινδύνων που βλάπτουν τα οικονομικά και μη οικονομικά συμφέροντα της Ένωσης και των κρατών μελών, είναι σκόπιμο να αναθεωρηθούν οι κανόνες για τη θέσπιση μιας πιο σταθερής προσέγγισης διαχείρισης κινδύνων για την αντιμετώπιση τόσο των χρηματοοικονομικών όσο και των μη χρηματοοικονομικών κινδύνων. Αυτό περιλαμβάνει την αντιμετώπιση των διαρθρωτικών προκλήσεων όσον αφορά τη διαχείριση των χρηματοοικονομικών κινδύνων που εντόπισε το Ευρωπαϊκό Ελεγκτικό Συνέδριο. Ειδικότερα, είναι σκόπιμο να περιγραφούν οι δραστηριότητες που περιλαμβάνονται στη διαχείριση των τελωνειακών κινδύνων, στο πλαίσιο κυκλικής προσέγγισης. Είναι επίσης σημαντικό να προσδιοριστούν οι ρόλοι και οι αρμοδιότητες της Επιτροπής, της Τελωνειακής Αρχής της ΕΕ και των τελωνειακών αρχών των κρατών μελών. Είναι επίσης σημαντικό να προβλεφθεί ότι η Επιτροπή μπορεί να καθορίζει κοινούς τομείς ελέγχου προτεραιότητας και κοινά κριτήρια και πρότυπα κινδύνου, καθώς και να προσδιορίζει συγκεκριμένους τομείς στο πεδίο της λοιπής νομοθεσίας που εφαρμόζεται από τις τελωνειακές αρχές οι οποίοι χρήζουν προτεραιότητας για κοινή διαχείριση κινδύνων και ελέγχους, χωρίς να διακυβεύεται η ασφάλεια.</w:t>
      </w:r>
    </w:p>
    <w:p w14:paraId="114C9BD8" w14:textId="77777777" w:rsidR="00E0244C" w:rsidRPr="00483F7D" w:rsidRDefault="007A1FD7" w:rsidP="00B62B15">
      <w:pPr>
        <w:pStyle w:val="Considrant"/>
      </w:pPr>
      <w:r w:rsidRPr="00483F7D">
        <w:t xml:space="preserve">Ως εκ τούτου, είναι σκόπιμο να θεσπιστούν δραστηριότητες διαχείρισης κινδύνων σε ενωσιακό επίπεδο, καθώς και διατάξεις με σκοπό τη διασφάλιση της συλλογής σε ενωσιακό επίπεδο ολοκληρωμένων δεδομένων σχετικών με τη διαχείριση κινδύνων, συμπεριλαμβανομένων των αποτελεσμάτων και της αξιολόγησης όλων των ελέγχων. Προβλέπεται κοινή ανάλυση κινδύνου και η έκδοση των αντίστοιχων συστάσεων ελέγχου της Ένωσης προς τις τελωνειακές αρχές. Οι εν λόγω συστάσεις ελέγχου θα πρέπει να εφαρμόζονται ή να αναφέρονται οι λόγοι για τους οποίους δεν εφαρμόστηκαν. Θα πρέπει επίσης να προβλέπεται η δυνατότητα έκδοσης εντολής σύμφωνα με την οποία τα εμπορεύματα που προορίζονται για την Ένωση δεν επιτρέπεται να φορτώνονται ή να μεταφέρονται. Η ανάλυση των κινδύνων και των απειλών σε επίπεδο Ένωσης θα πρέπει να βασίζεται σε δεδομένα που επικαιροποιούνται συνεχώς σε επίπεδο Ένωσης και θα πρέπει να προσδιορίζει τα μέτρα και τους ελέγχους που πρέπει να διενεργούνται στα συνοριακά σημεία διέλευσης κατά την είσοδο και έξοδο από το έδαφος της Ένωσης. Στο πλαίσιο της συνεργασίας με τις αρχές επιβολής του νόμου και τις αρχές ασφάλειας ειδικότερα, η διαχείριση κινδύνων σε ενωσιακό επίπεδο θα πρέπει, όπου είναι δυνατό, να συμβάλλει και να επωφελείται από στρατηγικές αναλύσεις και αξιολογήσεις απειλών που διενεργούνται σε ενωσιακό επίπεδο, συμπεριλαμβανομένων εκείνων που διενεργούνται από τον Οργανισμό της Ευρωπαϊκής Ένωσης για τη Συνεργασία στον Τομέα της Επιβολής του Νόμου (Ευρωπόλ) και τον Ευρωπαϊκό Οργανισμό Συνοριοφυλακής και Ακτοφυλακής (Frontex), με σκοπό τη συμβολή στην αποδοτική και αποτελεσματική πρόληψη και καταπολέμηση του εγκλήματος. </w:t>
      </w:r>
    </w:p>
    <w:p w14:paraId="430373C0" w14:textId="77777777" w:rsidR="00821061" w:rsidRPr="00483F7D" w:rsidRDefault="00EB5B8E" w:rsidP="00B62B15">
      <w:pPr>
        <w:pStyle w:val="Considrant"/>
      </w:pPr>
      <w:r w:rsidRPr="00483F7D">
        <w:t xml:space="preserve">Η διαδικασία υπαγωγής των εμπορευμάτων σε τελωνειακό καθεστώς πρέπει να επανεξεταστεί ώστε να αντικατοπτρίζει τους νέους ρόλους και αρμοδιότητες των προσώπων που συμμετέχουν στο καθεστώς. Ως εκ τούτου, την ευθύνη για την παροχή των πληροφοριών στις τελωνειακές αρχές φέρει το πρόσωπο που είναι υπεύθυνο για τα εμπορεύματα: ο εισαγωγέας, ο εξαγωγέας ή ο δικαιούχος του καθεστώτος διαμετακόμισης, σε αντίθεση με τον διασαφιστή. Το εν λόγω υπεύθυνο πρόσωπο θα πρέπει να παρέχει ή να καθιστά διαθέσιμα τα δεδομένα στο τελωνείο μόλις αυτά είναι διαθέσιμα και, σε κάθε περίπτωση, πριν από την παράδοση των εμπορευμάτων σε τελωνειακό καθεστώς, ώστε να μπορούν οι τελωνειακές αρχές να διενεργούν ανάλυση κινδύνου και να λαμβάνουν τα κατάλληλα μέτρα. </w:t>
      </w:r>
      <w:bookmarkStart w:id="15" w:name="_Hlk134028336"/>
      <w:r w:rsidRPr="00483F7D">
        <w:t xml:space="preserve">Δεδομένου ότι οι θεωρούμενοι εισαγωγείς στο ηλεκτρονικό εμπόριο έχουν μεγαλύτερο όγκο συναλλαγών και την υποχρέωση υπολογισμού της τελωνειακής οφειλής κατά τη στιγμή της πώλησης, σε αντίθεση με τη στιγμή κατά την οποία τα εμπορεύματα παραδίδονται, είναι σκόπιμο να προσαρμοστεί το χρονοδιάγραμμα της υποχρέωσής τους για υποβολή εκθέσεων. Επομένως, οι θεωρούμενοι εισαγωγείς θα πρέπει να παράσχουν δεδομένα σχετικά με τις πωλήσεις εμπορευμάτων που πρόκειται να εισαχθούν το αργότερο την επομένη της αποδοχής της πληρωμής. </w:t>
      </w:r>
      <w:bookmarkEnd w:id="15"/>
      <w:r w:rsidRPr="00483F7D">
        <w:t>Αντιθέτως, σε δεόντως αιτιολογημένες περιπτώσεις, οι τελωνειακές αρχές θα πρέπει να είναι σε θέση να εξουσιοδοτούν τους αξιόπιστους και ελεγμένους συναλλασσομένους να συμπληρώνουν τα δεδομένα σχετικά με τα παραδοθέντα εμπορεύματά τους σε μεταγενέστερο στάδιο, δεδομένου ότι οι εν λόγω συναλλασσόμενοι ανταλλάσσουν συνεχώς δεδομένα σχετικά με τις συναλλαγές τους με τα τελωνεία και θα πρέπει να θεωρούνται αξιόπιστοι. Τέτοιες περιστάσεις θα μπορούσαν να είναι η αδυναμία καθορισμού της τελικής δασμολογητέας αξίας των εμπορευμάτων κατά τη στιγμή της παράδοσης, επειδή συνδέεται με συμβόλαιο μελλοντικής εκπλήρωσης, ή η ανάγκη απόκτησης των σχετικών δικαιολογητικών εγγράφων χωρίς αυτά να επηρεάζουν τον υπολογισμό της τελωνειακής οφειλής.</w:t>
      </w:r>
    </w:p>
    <w:p w14:paraId="767C751F" w14:textId="77777777" w:rsidR="00E0244C" w:rsidRPr="00483F7D" w:rsidRDefault="00FF0911" w:rsidP="00B62B15">
      <w:pPr>
        <w:pStyle w:val="Considrant"/>
      </w:pPr>
      <w:r w:rsidRPr="00483F7D">
        <w:t>Για να απλουστευθεί η τελωνειακή διαδικασία για την είσοδο των εμπορευμάτων στο τελωνειακό έδαφος της Ένωσης, με παράλληλη διασφάλιση ότι υπάρχει ένα και μόνο πρόσωπο υπεύθυνο για τα εν λόγω εμπορεύματα, διάφοροι φορείς στην εφοδιαστική αλυσίδα θα πρέπει να παρέχουν το μέρος των σχετικών πληροφοριών για τα εν λόγω εμπορεύματα που τους αναλογεί και να το συνδέουν με συγκεκριμένη αποστολή. Τα εμπορεύματα θα πρέπει να εισάγονται μόνο αν υπάρχει εισαγωγέας εγκατεστημένος στην Ένωση που αναλαμβάνει την ευθύνη για τα εν λόγω εμπορεύματα. Ο εισαγωγέας θα πρέπει να παρέχει πληροφορίες σχετικά με τα εμπορεύματα στο τελωνείο καθώς και με το τελωνειακό καθεστώς στο οποίο θα πρέπει να υπαχθούν, το νωρίτερο δυνατό, αν είναι δυνατόν πριν από την φυσική άφιξη των εμπορευμάτων. Ο πάροχος υπηρεσιών ή ο εκτελωνιστής θα πρέπει να είναι σε θέση να παρέχει τις πληροφορίες εξ ονόματος και για λογαριασμό του εισαγωγέα, αλλά ο εισαγωγέας παραμένει υπεύθυνος για τη διασφάλιση της συμμόρφωσης των εμπορευμάτων με τους χρηματοοικονομικούς και μη χρηματοοικονομικούς κινδύνους. Οι μεταφορείς που πράγματι μεταφέρουν τα εμπορεύματα θα πρέπει επίσης να παρέχουν ορισμένες πληροφορίες σχετικά με τα εμπορεύματα πριν από τη φόρτωση ή την άφιξή τους (στο εξής: εκ των προτέρων πληροφορίες για τα φορτία) και να συνδέουν τις πληροφορίες τους με τις πληροφορίες του εισαγωγέα, όταν αυτές έχουν υποβληθεί προηγουμένως, χωρίς απαραίτητα να έχουν πρόσβαση σε όλα τα δεδομένα που έχει παράσχει ο εισαγωγέας. Επιπλέον, για να καλυφθούν οι πιο σύνθετες εφοδιαστικές αλυσίδες και τα δίκτυα μεταφορών, μπορεί να ζητηθεί από άλλα πρόσωπα να συμπληρώσουν τις πληροφορίες σχετικά με τα εμπορεύματα που πρόκειται να μεταφερθούν εντός του τελωνειακού εδάφους της Ένωσης. Ο εισαγωγέας, ο μεταφορέας ή κάθε άλλο πρόσωπο που υποβάλλει πληροφορίες στο τελωνείο θα πρέπει να υποχρεούται να τις τροποποιήσει όταν γνωρίζει ότι οι πληροφορίες δεν είναι πλέον ορθές, αλλά προτού οι τελωνειακές αρχές εντοπίσουν παρατυπίες τις οποίες επιθυμούν να ελέγξουν.</w:t>
      </w:r>
    </w:p>
    <w:p w14:paraId="1FA62771" w14:textId="77777777" w:rsidR="00E0244C" w:rsidRPr="00483F7D" w:rsidRDefault="007A1FD7" w:rsidP="00B62B15">
      <w:pPr>
        <w:pStyle w:val="Considrant"/>
      </w:pPr>
      <w:r w:rsidRPr="00483F7D">
        <w:t>Οι τελωνειακές αρχές που είναι αρμόδιες για τον τόπο πρώτης εισόδου των εμπορευμάτων θα πρέπει να διενεργούν ανάλυση κινδύνου των διαθέσιμων πληροφοριών σχετικά με τα εν λόγω εμπορεύματα και να έχουν το δικαίωμα να λαμβάνουν ευρύ φάσμα μέτρων μετριασμού αν εντοπίζουν κίνδυνο, μεταξύ άλλων ζητώντας ελέγχους πριν από τη φόρτωση ή κατά την άφιξη των εμπορευμάτων στο τελωνειακό έδαφος της Ένωσης, από άλλη τελωνειακή αρχή ή από άλλες αρχές. Ο μεταφορέας είναι γενικά στην καλύτερη θέση να γνωρίζει πότε φθάνουν τα εμπορεύματα και, ως εκ τούτου, θα πρέπει να ενημερώνει το τελωνείο για την άφιξη αυτή. Ωστόσο, για να καλυφθούν οι πιο σύνθετες εφοδιαστικές αλυσίδες και τα δίκτυα μεταφοράς, μπορεί να απαιτείται από άλλα πρόσωπα να γνωστοποιούν την άφιξη των εμπορευμάτων στις τελωνειακές αρχές για την ανάλυση κινδύνου που διενεργούν. Για να διασφαλιστεί ότι οι τελωνειακές αρχές διαθέτουν εκ των προτέρων πληροφορίες για τα φορτία όλων των εμπορευμάτων που μεταφέρονται εντός του τελωνειακού εδάφους της Ένωσης, θα πρέπει να απαγορεύεται στον μεταφορέα να εκφορτώνει εμπορεύματα για τα οποία δεν υπάρχουν πληροφορίες, εκτός αν οι τελωνειακές αρχές έχουν ζητήσει από τον μεταφορέα να προσκομίσει τα εμπορεύματα ή αν υπάρχει κατάσταση έκτακτης ανάγκης που απαιτεί την εκφόρτωση των εμπορευμάτων. Αντιθέτως, για να εξομαλυνθεί η διαδικασία εισόδου των εμπορευμάτων για τα οποία οι τελωνειακές αρχές διαθέτουν την κατάλληλη εκ των προτέρων πληροφορίες για τα φορτία, ο μεταφορέας δεν θα πρέπει να υποχρεούται να προσκομίζει τα εμπορεύματα στο τελωνείο σε όλες τις περιπτώσεις, αλλά μόνο όταν το ζητούν οι τελωνειακές αρχές ή όταν αυτό απαιτείται από τη λοιπή νομοθεσία που εφαρμόζεται από τις τελωνειακές αρχές.</w:t>
      </w:r>
    </w:p>
    <w:p w14:paraId="4443D339" w14:textId="77777777" w:rsidR="00E0244C" w:rsidRPr="00483F7D" w:rsidRDefault="007A1FD7" w:rsidP="00B62B15">
      <w:pPr>
        <w:pStyle w:val="Considrant"/>
      </w:pPr>
      <w:r w:rsidRPr="00483F7D">
        <w:t>Τα μη ενωσιακά εμπορεύματα που μεταφέρονται εντός του τελωνειακού εδάφους της Ένωσης θα πρέπει να θεωρείται ότι βρίσκονται σε προσωρινή εναπόθεση από τη στιγμή που ο μεταφορέας κοινοποιεί την άφιξή τους έως την υπαγωγή τους σε τελωνειακό καθεστώς, εκτός αν έχουν ήδη υπαχθεί σε καθεστώς διαμετακόμισης. Για να εξασφαλιστεί η κατάλληλη τελωνειακή επιτήρηση, η κατάσταση αυτή θα πρέπει να είναι χρονικά περιορισμένη. Δεν θα πρέπει να διαρκεί περισσότερο από 10 ημέρες, εκτός από εξαιρετικές περιπτώσεις. Αν ο εισαγωγέας χρειάζεται να αποθηκεύσει τα εμπορεύματα για μεγαλύτερο χρονικό διάστημα, τα εμπορεύματα θα πρέπει να βρίσκονται σε αποθήκη τελωνειακής αποταμίευσης, όπου τα εμπορεύματα μπορούν να αποθηκευτούν χωρίς χρονικό περιορισμό. Ως εκ τούτου, οι υφιστάμενες άδειες για χώρους προσωρινής εναπόθεσης θα πρέπει να μετατραπούν σε άδειες αποθήκης τελωνειακής αποταμίευσης, αν πληρούνται οι σχετικές απαιτήσεις.</w:t>
      </w:r>
    </w:p>
    <w:p w14:paraId="790AFBE2" w14:textId="77777777" w:rsidR="00E0244C" w:rsidRPr="00483F7D" w:rsidRDefault="007A1FD7" w:rsidP="00B62B15">
      <w:pPr>
        <w:pStyle w:val="Considrant"/>
      </w:pPr>
      <w:r w:rsidRPr="00483F7D">
        <w:t>Είναι αναγκαίο να διατηρηθούν οι κανόνες που καθορίζουν αν τα εμπορεύματα είναι ενωσιακά ή μη ενωσιακά και αν ο χαρακτήρας των ενωσιακών εμπορευμάτων μπορεί να τεκμαίρεται ή πρέπει να αποδειχθεί, ιδίως όταν τα εμπορεύματα εγκαταλείπουν προσωρινά το τελωνειακό έδαφος της Ένωσης.</w:t>
      </w:r>
    </w:p>
    <w:p w14:paraId="356E0690" w14:textId="77777777" w:rsidR="00E0244C" w:rsidRPr="00483F7D" w:rsidRDefault="007A1FD7" w:rsidP="00B62B15">
      <w:pPr>
        <w:pStyle w:val="Considrant"/>
      </w:pPr>
      <w:r w:rsidRPr="00483F7D">
        <w:t>Μόλις οι τελωνειακές αρχές λάβουν τις πληροφορίες που είναι αναγκαίες για τη σχετική διαδικασία, βάσει ανάλυσης κινδύνου, θα πρέπει να αποφασίσουν αν θα διενεργήσουν περαιτέρω ελέγχους στα εμπορεύματα, αν θα τα παραδώσουν, αν θα αρνηθούν ή αναστείλουν τη χορήγηση άδειας παράδοσής τους ή αν θα επιτρέψουν τη λήξη της προθεσμίας, ώστε να θεωρηθεί ότι τα εμπορεύματα έχουν παραδοθεί. Οι τελωνειακές αρχές θα πρέπει να το πράττουν σε συνεργασία με άλλες αρχές, όπου απαιτείται. Κατά συνέπεια, οι τελωνειακές αρχές θα πρέπει να αρνούνται τη χορήγηση άδειας παράδοσης των εμπορευμάτων όταν διαθέτουν αποδεικτικά στοιχεία ότι τα εμπορεύματα δεν συμμορφώνονται με τις ισχύουσες νομικές απαιτήσεις. Όταν οι τελωνειακές αρχές πρέπει να διαβουλεύονται με άλλες αρχές για να διαπιστώσουν αν τα εμπορεύματα συμμορφώνονται ή όχι, θα πρέπει να αναστέλλουν την παράδοση τουλάχιστον έως ότου πραγματοποιηθεί η διαβούλευση. Στις περιπτώσεις αυτές, η επακόλουθη απόφαση των τελωνειακών αρχών σχετικά με τα εμπορεύματα θα πρέπει να εξαρτάται από την απάντηση των άλλων αρχών. Για να μην παρεμποδίζονται τόσο οι συναλλασσόμενοι όσο και οι αρχές στις περιπτώσεις στις οποίες απαιτείται κάποιο χρονικό διάστημα για την εξαγωγή συμπεράσματος σχετικά με τη συμμόρφωση, οι τελωνειακές αρχές θα πρέπει να έχουν τη δυνατότητα να παραδίδουν τα εμπορεύματα υπό τον όρο ότι ο συναλλασσόμενος θα συνεχίσει να ενημερώνει σχετικά με τον τόπο στον οποίο βρίσκονται τα εμπορεύματα για μέγιστο διάστημα 15 ημερών. Τέλος, προκειμένου να παρέχεται ασφάλεια δικαίου στους συναλλασσομένους που έχουν παράσχει έγκαιρα τις πληροφορίες χωρίς να υποχρεώνουν τις τελωνειακές αρχές να αντιδρούν σε κάθε αποστολή, τα εμπορεύματα που δεν έχουν επιλεγεί για έλεγχο ύστερα από εύλογο χρονικό διάστημα θα πρέπει να θεωρείται ότι έχουν παραδοθεί. Η Επιτροπή θα πρέπει να έχει το δικαίωμα να καθορίζει αυτή τη χρονική περίοδο με κατ’ εξουσιοδότηση κανόνες, προσαρμόζοντάς την, όπου απαιτείται, στο είδος της διακίνησης ή στο είδος των συνοριακών σημείων διέλευσης.</w:t>
      </w:r>
    </w:p>
    <w:p w14:paraId="58FE86B9" w14:textId="77777777" w:rsidR="00E0244C" w:rsidRPr="00483F7D" w:rsidRDefault="007A1FD7" w:rsidP="00B62B15">
      <w:pPr>
        <w:pStyle w:val="Considrant"/>
      </w:pPr>
      <w:r w:rsidRPr="00483F7D">
        <w:t>Στον βαθμό που οι αξιόπιστοι και ελεγμένοι (Trust and Check) συναλλασσόμενοι παρέχουν στα τελωνεία πλήρη πρόσβαση στα συστήματα, στα αρχεία και στις εργασίες τους και θεωρούνται αξιόπιστοι, θα πρέπει να είναι σε θέση να παραδίδουν τα εμπορεύματα τους υπό την επιτήρηση των τελωνειακών αρχών, αλλά χωρίς να περιμένουν την παρέμβασή τους. Κατά συνέπεια, οι αξιόπιστοι και ελεγμένοι συναλλασσόμενοι θα πρέπει να είναι σε θέση να παραδίδουν εμπορεύματα για οποιοδήποτε καθεστώς εισόδου κατά την παραλαβή τους στον τελικό προορισμό τους ή για οποιοδήποτε καθεστώς εξόδου στον τόπο παράδοσης των εμπορευμάτων. Δεδομένου ότι οι αξιόπιστοι και ελεγμένοι συναλλασσόμενοι θεωρούνται διαφανείς, η άφιξη και/ή η παράδοση θα πρέπει να καταγράφονται δεόντως στον τελωνειακό κόμβο δεδομένων της ΕΕ. Οι εν λόγω φορείς θα πρέπει να υποχρεούνται να ενημερώνουν τις τελωνειακές αρχές όταν προκύπτει πρόβλημα, ώστε οι εν λόγω αρχές να μπορούν να λάβουν την τελική απόφαση σχετικά με την παράδοση. Όταν τα συστήματα εσωτερικού ελέγχου των αξιόπιστων και ελεγμένων συναλλασσομένων είναι αρκετά ισχυρά, οι τελωνειακές αρχές θα πρέπει να είναι σε θέση, σε συνεργασία με άλλες αρχές, να επιτρέπουν στους συναλλασσομένους να διενεργούν μόνοι τους ορισμένους ελέγχους. Ωστόσο, οι τελωνειακές αρχές θα πρέπει να διατηρούν τη δυνατότητα ελέγχου των εμπορευμάτων ανά πάσα στιγμή. </w:t>
      </w:r>
    </w:p>
    <w:p w14:paraId="37833AD4" w14:textId="77777777" w:rsidR="00E0244C" w:rsidRPr="00483F7D" w:rsidRDefault="007A1FD7" w:rsidP="00B62B15">
      <w:pPr>
        <w:pStyle w:val="Considrant"/>
      </w:pPr>
      <w:r w:rsidRPr="00483F7D">
        <w:t>Είναι σκόπιμο να προβλεφθούν μέτρα για τη ρύθμιση της μετάβασης από ένα σύστημα που βασίζεται στις τελωνειακές διασαφήσεις σε ένα σύστημα που βασίζεται στην παροχή πληροφοριών στον κεντρικό τελωνειακό κόμβο δεδομένων της ΕΕ. Οι φορείς θα πρέπει να έχουν τη δυνατότητα να υποβάλλουν τελωνειακές διασαφήσεις για να δηλώνουν την πρόθεσή τους να υπάγουν εμπορεύματα σε τελωνειακό καθεστώς κατά τη διάρκεια της μεταβατικής περιόδου. Ωστόσο, μόλις καταστούν διαθέσιμες οι δυνατότητες του τελωνειακού κόμβου δεδομένων της ΕΕ, οι φορείς θα πρέπει επίσης να έχουν τη δυνατότητα να παρέχουν ή να καθιστούν διαθέσιμες πληροφορίες στις τελωνειακές αρχές μέσω του τελωνειακού κόμβου δεδομένων της ΕΕ, και οι τελωνειακές αρχές δεν θα πρέπει πλέον να επιτρέπουν σε οποιονδήποτε φορέα να υποβάλλει αιτήσεις για απλουστεύσεις σε σχέση με την τελωνειακή διασάφηση. Κατά τη λήξη της μεταβατικής περιόδου, όλες οι άδειες θα πρέπει να παύσουν να ισχύουν, καθώς οι τελωνειακές διασαφήσεις δεν θα υπάρχουν πλέον.</w:t>
      </w:r>
    </w:p>
    <w:p w14:paraId="4074A5C4" w14:textId="77777777" w:rsidR="00E0244C" w:rsidRPr="00483F7D" w:rsidRDefault="007A1FD7" w:rsidP="00B62B15">
      <w:pPr>
        <w:pStyle w:val="Considrant"/>
      </w:pPr>
      <w:r w:rsidRPr="00483F7D">
        <w:t>Το άρθρο 29 της Συνθήκης για τη λειτουργία της Ευρωπαϊκής Ένωσης (ΣΛΕΕ) ορίζει ότι τα προϊόντα που προέρχονται από τρίτες χώρες θεωρούνται ότι έχουν τεθεί σε ελεύθερη κυκλοφορία αν έχουν τηρηθεί οι διατυπώσεις εισαγωγής και έχουν εισπραχθεί τελωνειακοί δασμοί ή φορολογικές επιβαρύνσεις ισοδυνάμου αποτελέσματος. Παρόλα αυτά, η θέση σε ελεύθερη κυκλοφορία δεν θα πρέπει να νοείται ως απόδειξη της συμμόρφωσης με τη λοιπή νομοθεσία που εφαρμόζεται από τις τελωνειακές αρχές όταν η τελευταία επιβάλλει ειδικές απαιτήσεις για τα εμπορεύματα που πρόκειται να πωληθούν ή να καταναλωθούν στην εσωτερική αγορά.</w:t>
      </w:r>
    </w:p>
    <w:p w14:paraId="5608265F" w14:textId="77777777" w:rsidR="00E0244C" w:rsidRPr="00483F7D" w:rsidRDefault="007A1FD7" w:rsidP="00B62B15">
      <w:pPr>
        <w:pStyle w:val="Considrant"/>
      </w:pPr>
      <w:r w:rsidRPr="00483F7D">
        <w:t>Η διαδικασία μεταφοράς εμπορευμάτων εκτός του τελωνειακού εδάφους της Ένωσης θα πρέπει να εξορθολογιστεί και να απλουστευθεί, σύμφωνα με τη διαδικασία εισόδου. Ως εκ τούτου, είναι σκόπιμο να απαιτείται να υπάρχει ένα πρόσωπο εγκατεστημένο στην Ένωση που θα είναι υπεύθυνο για τα εμπορεύματα, δηλαδή ο εξαγωγέας. Ο εξαγωγέας θα πρέπει να παρέχει ή να θέτει στη διάθεση του τελωνείου τις σχετικές πληροφορίες πριν από την έξοδο των εμπορευμάτων από την Ένωση, αναφέροντας αν πρόκειται για ενωσιακά ή μη ενωσιακά εμπορεύματα προς εξαγωγή και προσαρμόζοντας τις απαραίτητες πληροφορίες. Για την απλούστευση της διαδικασίας και της αποφυγής πιθανών κενών, η έννοια της εξαγωγής θα πρέπει να περιλαμβάνει την έξοδο μη ενωσιακών εμπορευμάτων, ώστε να περιλαμβάνει επίσης την έννοια της «επανεξαγωγής», η οποία προηγουμένως ρυθμιζόταν ως χωριστή έννοια.</w:t>
      </w:r>
    </w:p>
    <w:p w14:paraId="11B4E002" w14:textId="77777777" w:rsidR="00E0244C" w:rsidRPr="00483F7D" w:rsidRDefault="007A1FD7" w:rsidP="00B62B15">
      <w:pPr>
        <w:pStyle w:val="Considrant"/>
      </w:pPr>
      <w:r w:rsidRPr="00483F7D">
        <w:t>Για να διασφαλιστεί η ορθή διαχείριση των κινδύνων των εμπορευμάτων που μεταφέρονται εκτός του τελωνειακού εδάφους της Ένωσης, θα πρέπει να απαιτείται από το αρμόδιο τελωνείο εξαγωγής να διενεργεί ανάλυση κινδύνου των πληροφοριών σχετικά με τα εμπορεύματα και να λαμβάνει ή να ζητεί τα κατάλληλα μέτρα πριν από την έξοδο των εμπορευμάτων. Τα μέτρα αυτά θα πρέπει να περιλαμβάνουν την απαίτηση να διενεργούνται έλεγχοι από το τελωνείο που είναι αρμόδιο για τον τόπο αποστολής των εμπορευμάτων και από το τελωνείο εξόδου και, αν είναι αναγκαίο, από άλλες αρχές, επιπλέον των μέτρων που προβλέπονται στο πλαίσιο της υπαγωγής σε τελωνειακό καθεστώς, τα οποία εφαρμόζονται επίσης όταν τα εμπορεύματα πρόκειται να υπαχθούν σε καθεστώς εξαγωγής.</w:t>
      </w:r>
    </w:p>
    <w:p w14:paraId="630269DE" w14:textId="77777777" w:rsidR="00E0244C" w:rsidRPr="00483F7D" w:rsidRDefault="007A1FD7" w:rsidP="00B62B15">
      <w:pPr>
        <w:pStyle w:val="Considrant"/>
      </w:pPr>
      <w:r w:rsidRPr="00483F7D">
        <w:t>Για να εξασφαλιστεί ότι η διαφάνεια των διαδικασιών αναστολής των δασμών, είναι σκόπιμο να εξορθολογιστούν οι διατάξεις σχετικά με τις απαιτήσεις για τις άδειες για τα ειδικά καθεστώτα. Ειδικότερα, για λόγους σαφήνειας και ασφάλειας δικαίου, οι όροι για να προσδιοριστεί αν μια γνώμη σε ενωσιακό επίπεδο είναι αναγκαία για να εκτιμηθεί αν η χορήγηση άδειας θα μπορούσε να επηρεάσει αρνητικά τα συμφέροντα των ενωσιακών παραγωγών, η λεγόμενη εξέταση των οικονομικών όρων, θα πρέπει να κωδικοποιηθούν αντί να ρυθμιστούν με κατ’ εξουσιοδότηση κανόνες. Επιπλέον, δεδομένου ότι η επίπτωση στα συμφέροντα των ενωσιακών παραγωγών μπορεί να εξαρτάται από την ποσότητα των εμπορευμάτων που υπάγονται στο ειδικό καθεστώς, η Τελωνειακή Αρχή της ΕΕ θα πρέπει να έχει το δικαίωμα να προτείνει ένα ορισμένο κατώτατο όριο κάτω από το οποίο εκτιμάται ότι δεν υπάρχει αρνητική επίπτωση στα συμφέροντα των ενωσιακών παραγωγών.</w:t>
      </w:r>
    </w:p>
    <w:p w14:paraId="6EA44BE0" w14:textId="77777777" w:rsidR="00E0244C" w:rsidRPr="00483F7D" w:rsidRDefault="007A1FD7" w:rsidP="00B62B15">
      <w:pPr>
        <w:pStyle w:val="Considrant"/>
      </w:pPr>
      <w:r w:rsidRPr="00483F7D">
        <w:t>Το άρθρο 9 της αναθεωρημένης σύμβασης για τη ναυσιπλοΐα στον Ρήνο παραπέμπει σε παράρτημα (Ρήνειο δηλωτικό) που διευκόλυνε τη διακίνηση εμπορευμάτων στον ποταμό Ρήνο και στους συναφείς παραποτάμους του θεωρώντας τα ως τελωνειακό καθεστώς διαμετακόμισης διαμέσου των εθνικών συνόρων πέντε κρατών μελών</w:t>
      </w:r>
      <w:r w:rsidRPr="00483F7D">
        <w:rPr>
          <w:rStyle w:val="FootnoteReference"/>
        </w:rPr>
        <w:footnoteReference w:id="52"/>
      </w:r>
      <w:r w:rsidRPr="00483F7D">
        <w:t>. Σύμφωνα με πληροφορίες από τις τελωνειακές διοικήσεις, το Ρήνειο δηλωτικό δεν χρησιμοποιείται πλέον στην πράξη ως τελωνειακό καθεστώς διαμετακόμισης στα κράτη που συνορεύουν με τον Ρήνο. Αντ’ αυτού, τα εμπορεύματα στον Ρήνο και στους παραποτάμους του μεταφέρονται πλέον με το καθεστώς ενωσιακής διαμετακόμισης που θέσπισε ο κώδικας, μέσω του νέου μηχανογραφημένου συστήματος διαμετακόμισης (NCTS) μέσω του Νέου Μηχανογραφημένου Συστήματος Διαμετακόμισης (NCTS). Ως εκ τούτου, είναι σκόπιμο να διαγραφεί η αναφορά στο Ρήνειο δηλωτικό από τις περιπτώσεις στις οποίες η διακίνηση εμπορευμάτων θεωρείται εξωτερική διαμετακόμιση ή ενωσιακή διαμετακόμιση.</w:t>
      </w:r>
    </w:p>
    <w:p w14:paraId="2FFFD599" w14:textId="77777777" w:rsidR="00E0244C" w:rsidRPr="00483F7D" w:rsidRDefault="007A1FD7" w:rsidP="00B62B15">
      <w:pPr>
        <w:pStyle w:val="Considrant"/>
      </w:pPr>
      <w:r w:rsidRPr="00483F7D">
        <w:t>Για να αυξηθεί η διαφάνεια σχετικά με το πρόσωπο που είναι υπεύθυνο για τη συμμόρφωση με τις υποχρεώσεις του καθεστώτος ενωσιακής διαμετακόμισης και με το περιεχόμενο και τους κινδύνους που σχετίζονται με την αποστολή, είναι σκόπιμο να απαιτείται από τον δικαιούχο του καθεστώτος διαμετακόμισης να γνωστοποιεί τουλάχιστον πληροφορίες σχετικά με τον εισαγωγέα ή τον εξαγωγέα που αιτιολογεί τη διακίνηση, τα μέσα μεταφοράς και την ταυτοποίηση των εμπορευμάτων που υπάγονται στο εν λόγω καθεστώς. Οι πληροφορίες αυτές θα επέτρεπαν στις τελωνειακές αρχές να εποπτεύουν αποτελεσματικότερα το σχετικό καθεστώς ενωσιακής διαμετακόμισης και να διενεργούν ανάλυση κινδύνου. Το καθεστώς ενωσιακής διαμετακόμισης θα πρέπει να είναι υποχρεωτικό, εκτός αν τα εμπορεύματα υπάγονται σε άλλο τελωνειακό καθεστώς αμέσως μετά την είσοδο ή την έξοδο από το τελωνειακό έδαφος της Ένωσης. Σε περίπτωση που ο εισαγωγέας ή ο εξαγωγέας δεν είναι ακόμη γνωστός, ο κάτοχος των εμπορευμάτων θα πρέπει να θεωρείται ότι είναι ο εισαγωγέας ή ο εξαγωγέας των εμπορευμάτων και θα πρέπει να είναι υπεύθυνος για την καταβολή των τελωνειακών δασμών και λοιπών φόρων και επιβαρύνσεων. Το καθεστώς ενωσιακής διαμετακόμισης θα πρέπει να αντικατασταθεί από τελωνειακή επιτήρηση αν τα εμπορεύματα εισάγονται ή εξάγονται από αξιόπιστο και ελεγμένο συναλλασσόμενο.</w:t>
      </w:r>
    </w:p>
    <w:p w14:paraId="04B226ED" w14:textId="77777777" w:rsidR="00E0244C" w:rsidRPr="00483F7D" w:rsidRDefault="007A1FD7" w:rsidP="00B62B15">
      <w:pPr>
        <w:pStyle w:val="Considrant"/>
      </w:pPr>
      <w:r w:rsidRPr="00483F7D">
        <w:t>Με την τροποποίηση του παραρτήματος 6 της τελωνειακής σύμβασης περί της διεθνούς μεταφοράς εμπορευμάτων βάσει δελτίων TIR (στο εξής: σύμβαση TIR)</w:t>
      </w:r>
      <w:r w:rsidRPr="00483F7D">
        <w:rPr>
          <w:rStyle w:val="FootnoteReference"/>
        </w:rPr>
        <w:footnoteReference w:id="53"/>
      </w:r>
      <w:r w:rsidRPr="00483F7D">
        <w:t>, η οποία άρχισε να ισχύει την 1η Ιουνίου 2021, τροποποιήθηκε η επεξηγηματική σημείωση 0.49 ώστε να δοθεί στους οικονομικούς φορείς που πληρούν ορισμένους όρους η δυνατότητα να καταστούν «εγκεκριμένος αποστολέας», αντικατοπτρίζοντας τις υφιστάμενες διευκολύνσεις που παρέχονται στους οικονομικούς φορείς που αναγνωρίζονται ως «εγκεκριμένοι παραλήπτες». Ως εκ τούτου, είναι αναγκαίο να συμπεριληφθεί η νέα δυνατότητα που θεσπίζεται με τη σύμβαση TIR ώστε να ευθυγραμμιστεί η τελωνειακή νομοθεσία της Ένωσης με την εν λόγω διεθνή συμφωνία.</w:t>
      </w:r>
    </w:p>
    <w:p w14:paraId="418C0B7E" w14:textId="77777777" w:rsidR="00E0244C" w:rsidRPr="00483F7D" w:rsidRDefault="007A1FD7" w:rsidP="00B62B15">
      <w:pPr>
        <w:pStyle w:val="Considrant"/>
        <w:ind w:left="720" w:hanging="720"/>
      </w:pPr>
      <w:r w:rsidRPr="00483F7D">
        <w:t>Η εφαρμογή των τυποποιημένων κανόνων για τον υπολογισμό των δασμών στις συναλλαγές ηλεκτρονικού εμπορίου θα οδηγούσε, σε πολλές περιπτώσεις, σε δυσανάλογη διοικητική επιβάρυνση τόσο για τις τελωνειακές διοικήσεις όσο και για τους οικονομικούς φορείς, ιδίως όσον αφορά την είσπραξη των εσόδων. Προς όφελος της ανάπτυξης μιας ισχυρής και αποτελεσματικής φορολογικής και τελωνειακής μεταχείρισης για τα εμπορεύματα που εισάγονται από τρίτες χώρες μέσω συναλλαγών ηλεκτρονικού εμπορίου (στο εξής: εξ αποστάσεως πωλήσεις εισαγόμενων εμπορευμάτων), η ενωσιακή νομοθεσία πρέπει να τροποποιηθεί ώστε να καταργηθεί το κατώτατο όριο κάτω από το οποίο τα εμπορεύματα αμελητέας αξίας που δεν υπερβαίνει τα 150 EUR ανά αποστολή απαλλάσσονται από τελωνειακούς δασμούς κατά την εισαγωγή, σύμφωνα με τον κανονισμό (ΕΚ) αριθ. 1186/2009 του Συμβουλίου</w:t>
      </w:r>
      <w:r w:rsidRPr="00483F7D">
        <w:rPr>
          <w:rStyle w:val="FootnoteReference"/>
        </w:rPr>
        <w:footnoteReference w:id="54"/>
      </w:r>
      <w:r w:rsidRPr="00483F7D">
        <w:t>, και να θεσπιστεί απλουστευμένη δασμολογική μεταχείριση για τις εξ αποστάσεως πωλήσεις εισαγόμενων εμπορευμάτων από τρίτες χώρες σύμφωνα με τον κανονισμό (ΕΟΚ) αριθ. 2658/87 του Συμβουλίου</w:t>
      </w:r>
      <w:r w:rsidRPr="00483F7D">
        <w:rPr>
          <w:rStyle w:val="FootnoteReference"/>
        </w:rPr>
        <w:footnoteReference w:id="55"/>
      </w:r>
      <w:r w:rsidRPr="00483F7D">
        <w:t xml:space="preserve"> (Συνδυασμένη Ονοματολογία). Υπό το πρίσμα των εν λόγω προτεινόμενων τροποποιήσεων, ορισμένοι κανόνες του κώδικα για τη δασμολογική κατάταξη, την καταγωγή και τη δασμολογητέα αξία θα πρέπει να τροποποιηθούν ώστε να προβλέπουν τις απλουστεύσεις που εφαρμόζονται σε εθελοντική βάση από τον θεωρούμενο εισαγωγέα κατά τον προσδιορισμό του τελωνειακού δασμού σε συναλλαγή μεταξύ επιχειρήσεων και καταναλωτών που χαρακτηρίζεται ως εξ αποστάσεως πώληση για τους σκοπούς του ΦΠΑ. Οι απλουστεύσεις θα πρέπει να συνίστανται στη δυνατότητα υπολογισμού του οφειλόμενου τελωνειακού δασμού με την εφαρμογή ενός από τα νέα δασμολόγια τύπου bucket της Συνδυασμένης Ονοματολογίας σε αξία που υπολογίζεται με απλούστερο τρόπο. Σύμφωνα με τους απλουστευμένους κανόνες για τις συναλλαγές ηλεκτρονικού εμπορίου μεταξύ επιχειρήσεων και καταναλωτών, η καθαρή τιμή αγοράς χωρίς ΦΠΑ, αλλά συμπεριλαμβανομένου του συνολικού κόστους μεταφοράς μέχρι τον τελικό προορισμό του προϊόντος, θα πρέπει να θεωρείται δασμολογητέα αξία και δεν θα πρέπει να απαιτείται η καταγωγή. Ωστόσο, αν ο θεωρούμενος εισαγωγέας επιθυμεί να επωφεληθεί από προτιμησιακούς δασμολογικούς συντελεστές αποδεικνύοντας τον χαρακτήρα καταγωγής των εμπορευμάτων, μπορεί να το πράξει εφαρμόζοντας τις συνήθεις διαδικασίες.</w:t>
      </w:r>
    </w:p>
    <w:p w14:paraId="34A1BFDC" w14:textId="77777777" w:rsidR="00E0244C" w:rsidRPr="00483F7D" w:rsidRDefault="006F6AF3" w:rsidP="00B62B15">
      <w:pPr>
        <w:pStyle w:val="Considrant"/>
      </w:pPr>
      <w:r w:rsidRPr="00483F7D">
        <w:t>Επί του παρόντος, οι τελωνειακές οφειλές εισπράττονται από το κράτος μέλος στο οποίο κατατίθεται η τελωνειακή διασάφηση. Ο συναλλασσόμενος επιλέγει αν θα το πράξει στη χώρα πρώτης εισόδου ή αν θα χρησιμοποιήσει καθεστώς διαμετακόμισης και θα καταβάλει τους δασμούς σε άλλο κράτος μέλος. Το 2025 το σύστημα αυτό πρόκειται να αλλάξει με την ανάπτυξη ενός κεντρικού συστήματος ΤΠ για τον τελωνισμό, το οποίο θα επιτρέπει στους εγκεκριμένους οικονομικούς φορείς να υποβάλλουν την τελωνειακή διασάφηση στο κράτος μέλος στο οποίο είναι εγκατεστημένοι. Με βάση αυτή την εξέλιξη, είναι σκόπιμο να τροποποιηθούν οι κανόνες που καθορίζουν τον τόπο γένεσης της τελωνειακής οφειλής, ώστε οι εισαγωγικοί δασμοί να καταβάλλονται στο κράτος μέλος στο οποίο είναι εγκατεστημένος ο εισαγωγέας, διότι αυτός είναι ο τόπος όπου η τελωνειακή αρχή μπορεί να έχει την πληρέστερη δυνατή γνώση των αρχείων, των πράξεων και των εμπορικών συμπεριφορών των οικονομικών φορέων, ιδίως όταν στους εν λόγω οικονομικούς φορείς χορηγείται το καθεστώς αξιόπιστου και ελεγμένου συναλλασσομένου. Ωστόσο, είναι σκόπιμο η τελωνειακή οφειλή των φορέων που δεν είναι αξιόπιστοι και ελεγμένοι συναλλασσόμενοι να γεννάται στον τόπο όπου πράγματι βρίσκονται τα εμπορεύματα, τουλάχιστον έως ότου αξιολογηθεί το μοντέλο επιτήρησης.</w:t>
      </w:r>
    </w:p>
    <w:p w14:paraId="3C4A21A8" w14:textId="77777777" w:rsidR="0082789A" w:rsidRPr="00483F7D" w:rsidRDefault="007A1FD7" w:rsidP="00B62B15">
      <w:pPr>
        <w:pStyle w:val="Considrant"/>
      </w:pPr>
      <w:r w:rsidRPr="00483F7D">
        <w:t>Στην περίπτωση των συναλλαγών ηλεκτρονικού εμπορίου, είναι σημαντικό να διασφαλιστεί ότι η τελωνειακή οφειλή καταβάλλεται σωστά από τους διαδικτυακούς ενδιάμεσους φορείς, όπως οι διαδικτυακές πλατφόρμες, που διαχειρίζονται τη διαδικτυακή πώληση εμπορευμάτων σε ιδιώτες καταναλωτές. Ως εκ τούτου, είναι σκόπιμο να διευκρινιστεί ότι ο θεωρούμενος εισαγωγέας είναι το πρόσωπο που είναι υπεύθυνο για την τελωνειακή οφειλή, η οποία θα γεννηθεί τη στιγμή που ο αγοραστής πληρώσει τον φορέα του ηλεκτρονικού εμπορίου, στις περισσότερες περιπτώσεις, μια διαδικτυακή πλατφόρμα. Για να απλουστευθεί η επιβάρυνση που συνδέεται με την εν λόγω υποχρέωση, ο θεωρούμενος εισαγωγέας μπορεί να εξουσιοδοτηθεί να καθορίζει τον οφειλόμενο εισαγωγικό δασμό και να καταβάλλει περιοδικά τις τελωνειακές οφειλές του, και οι τελωνειακές αρχές θα πρέπει να είναι σε θέση να προβαίνουν σε ενιαίο καταλογισμό για τους σκοπούς του προϋπολογισμού της Ένωσης.</w:t>
      </w:r>
    </w:p>
    <w:p w14:paraId="02F9EF7E" w14:textId="77777777" w:rsidR="00FF549C" w:rsidRPr="00483F7D" w:rsidRDefault="00FF549C" w:rsidP="00B62B15">
      <w:pPr>
        <w:pStyle w:val="Considrant"/>
      </w:pPr>
      <w:r w:rsidRPr="00483F7D">
        <w:t>Είναι σκόπιμο να ενισχυθεί ο μηχανισμός που αποσκοπεί στην αποτελεσματικότερη επιτήρηση της εφαρμογής των περιοριστικών μέτρων για τη ροή των εμπορευμάτων που μπορούν να εγκριθούν από το Συμβούλιο σύμφωνα με το άρθρο 215 της ΣΛΕΕ. Στην περίπτωση αυτή, η Τελωνειακή Αρχή της ΕΕ θα πρέπει να παρέχει υποστήριξη στην Επιτροπή και στα κράτη μέλη ώστε να διασφαλίζεται ότι δεν καταστρατηγούνται τα εν λόγω μέτρα. Οι τελωνειακές αρχές θα πρέπει να διασφαλίζουν ότι προβαίνουν σε όλες τις αναγκαίες ενέργειες για τη συμμόρφωση με τα μέτρα και θα πρέπει να ενημερώνουν σχετικά την Επιτροπή και την Τελωνειακή Αρχή της ΕΕ.</w:t>
      </w:r>
    </w:p>
    <w:p w14:paraId="496576DC" w14:textId="77777777" w:rsidR="00FF549C" w:rsidRPr="00483F7D" w:rsidRDefault="00621170" w:rsidP="00B62B15">
      <w:pPr>
        <w:pStyle w:val="Considrant"/>
      </w:pPr>
      <w:r w:rsidRPr="00483F7D">
        <w:t>Θα πρέπει να θεσπιστεί μηχανισμός διαχείρισης κρίσεων για την αντιμετώπιση πιθανών κρίσεων στην τελωνειακή ένωση. Η έλλειψη ενός τέτοιου μηχανισμού σε ενωσιακό επίπεδο επισημάνθηκε στο σχέδιο δράσης για τα τελωνεία</w:t>
      </w:r>
      <w:r w:rsidRPr="00483F7D">
        <w:rPr>
          <w:rStyle w:val="FootnoteReference"/>
        </w:rPr>
        <w:footnoteReference w:id="56"/>
      </w:r>
      <w:r w:rsidRPr="00483F7D">
        <w:t>. Ως εκ τούτου, θα πρέπει να θεσπιστεί μηχανισμός που θα περιλαμβάνει την Τελωνειακή Αρχή της ΕΕ ως βασικό παράγοντα στην προετοιμασία, στον συντονισμό και στην παρακολούθηση της εφαρμογής των πρακτικών μέτρων και ρυθμίσεων που αποφασίζει να θέσει σε εφαρμογή η Επιτροπή σε περίπτωση κρίσης. Η Τελωνειακή Αρχή της ΕΕ θα πρέπει να διατηρεί την ετοιμότητα αντιμετώπισης κρίσεων σε μόνιμη βάση καθ’ όλη τη διάρκεια της κρίσης.</w:t>
      </w:r>
    </w:p>
    <w:p w14:paraId="548DB7B4" w14:textId="77777777" w:rsidR="00E0244C" w:rsidRPr="00483F7D" w:rsidRDefault="007A1FD7" w:rsidP="00B62B15">
      <w:pPr>
        <w:pStyle w:val="Considrant"/>
      </w:pPr>
      <w:r w:rsidRPr="00483F7D">
        <w:t>Το υφιστάμενο πλαίσιο διακυβέρνησης της τελωνειακής ένωσης δεν διαθέτει σαφή δομή επιχειρησιακής διαχείρισης και δεν αντικατοπτρίζει την εξέλιξη των τελωνείων από τη δημιουργία της το 1968. Σύμφωνα με τον κανονισμό (ΕΕ) αριθ. 952/2013, οι δραστηριότητες που σχετίζονται με τη διαχείριση των κινδύνων στις ροές του εμπορίου, όπως η εφαρμογή και οι αποφάσεις σχετικά με τους επιτόπιους ελέγχους, εμπίπτουν στην αρμοδιότητα των εθνικών τελωνειακών αρχών. Παρά τη συνεργασία μεταξύ των εθνικών τελωνειακών διοικήσεων που υπήρχε από τη δημιουργία της τελωνειακής ένωσης και η οποία οδήγησε στην ανταλλαγή βέλτιστων πρακτικών, εμπειρογνωσίας και στην ανάπτυξη κοινών κατευθυντήριων γραμμών, δεν οδήγησε στην ανάπτυξη εναρμονισμένης προσέγγισης και επιχειρησιακού πλαισίου. Επί του παρόντος, υπάρχουν αποκλίνουσες πρακτικές στα κράτη μέλη που αποδυναμώνουν την τελωνειακή ένωση. Δεν υφίσταται κεντρική ικανότητα ανάλυσης κινδύνου, ούτε κοινή άποψη σχετικά με την ιεράρχηση των κινδύνων, υφίστανται περιορισμένη συντονισμένη δράση και τελωνειακοί έλεγχοι, και δεν υφίσταται πλαίσιο συνεργασίας των διαφόρων αρχών που εξυπηρετούν την ενιαία αγορά. Ένα κεντρικό επιχειρησιακό επίπεδο της Ένωσης για τη συγκέντρωση εμπειρογνωσίας, πόρων και τη λήψη αποφάσεων από κοινού θα πρέπει να αντιμετωπίσει τις εν λόγω αδυναμίες σε τομείς όπως η διαχείριση δεδομένων, η διαχείριση κινδύνων και η κατάρτιση, ώστε η τελωνειακή ένωση «να ενεργεί ως ενιαίο σύνολο». Ως εκ τούτου, είναι σκόπιμο να συσταθεί Τελωνειακή Αρχή της ΕΕ. Η δημιουργία αυτής της νέας Αρχής είναι ζωτικής σημασίας για τη διασφάλιση της αποτελεσματικής και επαρκούς λειτουργίας της τελωνειακής ένωσης, για τον κεντρικό συντονισμό της δράσης των τελωνείων και την υποστήριξη των δραστηριοτήτων των τελωνειακών αρχών.</w:t>
      </w:r>
    </w:p>
    <w:p w14:paraId="5BCD66CE" w14:textId="77777777" w:rsidR="00E0244C" w:rsidRPr="00483F7D" w:rsidRDefault="007A1FD7" w:rsidP="00B62B15">
      <w:pPr>
        <w:pStyle w:val="Considrant"/>
      </w:pPr>
      <w:r w:rsidRPr="00483F7D">
        <w:t>Η Τελωνειακή Αρχή της ΕΕ θα πρέπει να διοικείται και να λειτουργεί βάσει των αρχών της κοινής δήλωσης και κοινής προσέγγισης του Ευρωπαϊκού Κοινοβουλίου, του Συμβουλίου και της Επιτροπής για τους αποκεντρωμένους οργανισμούς, της 19ης Ιουλίου 2012</w:t>
      </w:r>
      <w:r w:rsidRPr="00483F7D">
        <w:rPr>
          <w:rStyle w:val="FootnoteReference"/>
        </w:rPr>
        <w:footnoteReference w:id="57"/>
      </w:r>
      <w:r w:rsidRPr="00483F7D">
        <w:t>.</w:t>
      </w:r>
    </w:p>
    <w:p w14:paraId="71EDD4AF" w14:textId="77777777" w:rsidR="00E0244C" w:rsidRPr="00483F7D" w:rsidRDefault="00452929" w:rsidP="00B62B15">
      <w:pPr>
        <w:pStyle w:val="Considrant"/>
      </w:pPr>
      <w:r w:rsidRPr="00483F7D">
        <w:t>Τα κριτήρια που πρέπει να λαμβάνονται υπόψη, ώστε να συμβάλουν στη διαδικασία λήψης αποφάσεων για την επιλογή της έδρας της Τελωνειακής Αρχής της ΕΕ, θα πρέπει να είναι η διασφάλιση ότι η Αρχή μπορεί να συσταθεί επιτόπου κατά την έναρξη ισχύος του παρόντος κανονισμού, η προσβασιμότητα της τοποθεσίας και η ύπαρξη επαρκών εκπαιδευτικών εγκαταστάσεων για τα παιδιά των μελών του προσωπικού, καθώς και η κατάλληλη πρόσβαση στην αγορά εργασίας, στην κοινωνική ασφάλιση και στην ιατρική περίθαλψη τόσο για τα τέκνα όσο και για τους συζύγους των μελών του προσωπικού. Λαμβανομένου υπόψη του συνεργατικού χαρακτήρα των περισσότερων δραστηριοτήτων της Τελωνειακής Αρχής της ΕΕ, και ιδίως της στενής σύνδεσης που θα υπάρχει μεταξύ των συστημάτων ΤΠ που θα διατηρήσει η Επιτροπή κατά τη διάρκεια της μεταβατικής περιόδου, ενώ η Τελωνειακή Αρχή της ΕΕ θα δημιουργήσει και θα θέσει σε λειτουργία τον τελωνειακό κόμβο δεδομένων της ΕΕ, θα πρέπει να βρίσκεται σε τόπο που να επιτρέπει την εν λόγω στενή συνεργασία με την Επιτροπή, τις αρχές των περιφερειών της Ένωσης που έχουν τη μεγαλύτερη σημασία για το διεθνές εμπόριο και τους σχετικούς ενωσιακούς και διεθνείς οργανισμούς (για παράδειγμα, τον Παγκόσμιο Οργανισμό Τελωνείων για τη διευκόλυνση της έμπρακτης γόνιμης αλληλεπίδρασης σε συγκεκριμένα θέματα). Με βάση τα κριτήρια αυτά, η Τελωνειακή Αρχή της ΕΕ θα πρέπει να εδρεύει στ [...].</w:t>
      </w:r>
    </w:p>
    <w:p w14:paraId="4C053456" w14:textId="77777777" w:rsidR="00E0244C" w:rsidRPr="00483F7D" w:rsidRDefault="007A1FD7" w:rsidP="00B62B15">
      <w:pPr>
        <w:pStyle w:val="Considrant"/>
      </w:pPr>
      <w:r w:rsidRPr="00483F7D">
        <w:t>Τα κράτη μέλη και η Επιτροπή θα πρέπει να εκπροσωπούνται στο διοικητικό συμβούλιο, ώστε να διασφαλίζεται η αποτελεσματική λειτουργία της Τελωνειακής Αρχής της ΕΕ. Η σύνθεση του διοικητικού συμβουλίου, συμπεριλαμβανομένης της επιλογής του/της προέδρου και του/της αναπληρωτή/-ριας προέδρου του, θα πρέπει να συνάδει με τις αρχές της ισόρροπης συμμετοχής των φύλων, την πείρα και τα προσόντα. Δεδομένης της αποκλειστικής αρμοδιότητας της Ένωσης για την τελωνειακή ένωση και της στενής σχέσης μεταξύ των τελωνείων και άλλων τομέων πολιτικής, είναι σκόπιμο ο πρόεδρός της να εκλέγεται μεταξύ των εν λόγω αντιπροσώπων της Επιτροπής. Για την αποτελεσματική και αποδοτική λειτουργία της Τελωνειακής Αρχής της ΕΕ, το διοικητικό συμβούλιο, ειδικότερα, θα πρέπει να εγκρίνει ενιαίο έγγραφο προγραμματισμού, συμπεριλαμβανομένου του ετήσιου και του πολυετούς προγραμματισμού, να εκτελεί τα καθήκοντά του σε σχέση με τον προϋπολογισμό της Αρχής, να εγκρίνει τους δημοσιονομικούς κανόνες στους οποίους υπόκειται η Αρχή, να διορίζει εκτελεστικό/-ή διευθυντή/-ρια και να θεσπίζει διαδικασίες για τη λήψη αποφάσεων από τον/την εκτελεστικό/-ή διευθυντή/-ρια σχετικά με τα επιχειρησιακά καθήκοντα της Αρχής. Το διοικητικό συμβούλιο θα πρέπει να επικουρείται από εκτελεστικό γραφείο.</w:t>
      </w:r>
    </w:p>
    <w:p w14:paraId="7EB59D55" w14:textId="77777777" w:rsidR="00E0244C" w:rsidRPr="00483F7D" w:rsidRDefault="007A1FD7" w:rsidP="00B62B15">
      <w:pPr>
        <w:pStyle w:val="Considrant"/>
      </w:pPr>
      <w:r w:rsidRPr="00483F7D">
        <w:t>Για να διασφαλιστεί η αποτελεσματική λειτουργία της, η Τελωνειακή Αρχή της ΕΕ θα πρέπει να διαθέτει αυτόνομο προϋπολογισμό, με έσοδα προερχόμενα από τον γενικό προϋπολογισμό της Ένωσης και τυχόν προαιρετική οικονομική συνεισφορά των κρατών μελών. Σε εξαιρετικές και δεόντως αιτιολογημένες περιπτώσεις, η Τελωνειακή Αρχή της ΕΕ θα πρέπει επίσης να είναι σε θέση να εισπράττει πρόσθετα έσοδα μέσω συμφωνιών συνεισφοράς ή επιχορηγήσεων, καθώς και δικαιωμάτων από δημοσιεύσεις ή οποιεσδήποτε άλλες υπηρεσίες που παρέχει η Τελωνειακή Αρχή της ΕΕ.</w:t>
      </w:r>
    </w:p>
    <w:p w14:paraId="1861BAC5" w14:textId="77777777" w:rsidR="00E0244C" w:rsidRPr="00483F7D" w:rsidRDefault="007A1FD7" w:rsidP="00B62B15">
      <w:pPr>
        <w:pStyle w:val="Considrant"/>
      </w:pPr>
      <w:bookmarkStart w:id="16" w:name="_Hlk134454907"/>
      <w:r w:rsidRPr="00483F7D">
        <w:t>Για την εκπλήρωση της αποστολής τους, οι τελωνειακές αρχές συνεργάζονται στενά και τακτικά με τις αρχές εποπτείας της αγοράς, τις αρχές υγειονομικού και φυτοϋγειονομικού ελέγχου, τους φορείς επιβολής του νόμου, τις αρχές διαχείρισης των συνόρων, τους φορείς προστασίας του περιβάλλοντος, τους εμπειρογνώμονες στον τομέα των πολιτιστικών αγαθών, καθώς και πολλές άλλες αρχές που είναι αρμόδιες για τις τομεακές πολιτικές. Λαμβανομένης υπόψη της εξέλιξης της ενιαίας αγοράς και του εξελισσόμενου ρόλου των τελωνείων, της αύξησης των απαγορεύσεων και των περιορισμών καθώς και του ηλεκτρονικού εμπορίου, είναι αναγκαίο να διαρθρωθεί και να ενισχυθεί η συνεργασία αυτή σε εθνικό, ενωσιακό και διεθνές επίπεδο. Αντί της συνεργασίας που επικεντρώνεται σε μεμονωμένες αποστολές ή σε συγκεκριμένα συμβάντα κατά μήκος της εφοδιαστικής αλυσίδας, θα πρέπει να θεσπιστεί ένα πλαίσιο διαρθρωμένης συνεργασίας μεταξύ των τελωνειακών αρχών και άλλων αρχών που είναι αρμόδιες για σχετικούς τομείς πολιτικής. Το εν λόγω πλαίσιο συνεργασίας θα πρέπει να περιλαμβάνει τις ακόλουθες πτυχές: την ανάπτυξη της νομοθεσίας και των αναγκών πολιτικής σε έναν συγκεκριμένο τομέα, την ανταλλαγή και την ανάλυση πληροφοριών, τη χάραξη γενικής στρατηγικής συνεργασίας με τη μορφή κοινών στρατηγικών επιτήρησης και, τέλος, τη συνεργασία όσον αφορά την επιχειρησιακή εφαρμογή, την παρακολούθηση και τους ελέγχους. Η Επιτροπή θα πρέπει επίσης να διευκολύνει την εφαρμογή μέρους της λοιπής νομοθεσίας που εφαρμόζεται από τις τελωνειακές αρχές καταρτίζοντας κατάλογο της ενωσιακής νομοθεσίας που επιβάλλει απαιτήσεις σε εμπορεύματα που υπόκεινται σε τελωνειακούς ελέγχους με στόχο την προστασία των δημόσιων συμφερόντων, όπως η υγεία και η ζωή των ανθρώπων, των ζώων ή των φυτών, των καταναλωτών και του περιβάλλοντος.</w:t>
      </w:r>
    </w:p>
    <w:p w14:paraId="7846D8D3" w14:textId="77777777" w:rsidR="00E0244C" w:rsidRPr="00483F7D" w:rsidRDefault="007A1FD7" w:rsidP="00B62B15">
      <w:pPr>
        <w:pStyle w:val="Considrant"/>
      </w:pPr>
      <w:r w:rsidRPr="00483F7D">
        <w:t xml:space="preserve">Για να αυξηθεί η σαφήνεια και να καταστεί αποτελεσματικότερο το πλαίσιο συνεργασίας μεταξύ των τελωνείων και άλλων αρχών-εταίρων, ένας κατάλογος υπηρεσιών που παρέχονται από τις τελωνειακές αρχές θα πρέπει να ορίζει με σαφήνεια τον πιθανό ρόλο των τελωνείων στην εφαρμογή άλλων σχετικών πολιτικών στα σύνορα της Ένωσης. Επιπλέον, η εφαρμογή του πλαισίου συνεργασίας θα πρέπει να παρακολουθείται από την Τελωνειακή Αρχή της ΕΕ. Η Τελωνειακή Αρχή της ΕΕ θα πρέπει να συνεργάζεται στενά με την Επιτροπή, την OLAF, άλλους συναφείς οργανισμούς και όργανα της Ένωσης, όπως η Ευρωπόλ και ο Frontex, καθώς </w:t>
      </w:r>
      <w:r w:rsidRPr="00483F7D">
        <w:rPr>
          <w:color w:val="000000"/>
          <w:shd w:val="clear" w:color="auto" w:fill="FFFFFF"/>
        </w:rPr>
        <w:t xml:space="preserve">και εξειδικευμένους οργανισμούς και δίκτυα </w:t>
      </w:r>
      <w:r w:rsidRPr="00483F7D">
        <w:t xml:space="preserve">στους αντίστοιχους τομείς πολιτικής, </w:t>
      </w:r>
      <w:r w:rsidRPr="00483F7D">
        <w:rPr>
          <w:color w:val="000000"/>
          <w:shd w:val="clear" w:color="auto" w:fill="FFFFFF"/>
        </w:rPr>
        <w:t>όπως το δίκτυο συμμόρφωσης των προϊόντων της ΕΕ.</w:t>
      </w:r>
    </w:p>
    <w:p w14:paraId="50F91EDF" w14:textId="77777777" w:rsidR="007A73E0" w:rsidRPr="00483F7D" w:rsidRDefault="007A73E0" w:rsidP="00B62B15">
      <w:pPr>
        <w:pStyle w:val="Considrant"/>
      </w:pPr>
      <w:r w:rsidRPr="00483F7D">
        <w:t xml:space="preserve">Σε έναν ολοένα και πιο συνδεδεμένο κόσμο, η τελωνειακή διπλωματία και η διεθνής συνεργασία αποτελούν σημαντικές πτυχές του έργου των τελωνειακών αρχών ανά τον κόσμο. Η διεθνής συνεργασία θα πρέπει να προβλέπει τη δυνατότητα ανταλλαγής τελωνειακών δεδομένων, βάσει διεθνών συμφωνιών ή αυτόνομης νομοθεσίας της Ένωσης, μέσω κατάλληλων και ασφαλών μέσων επικοινωνίας, με την επιφύλαξη του σεβασμού των εμπιστευτικών πληροφοριών και της προστασίας των δεδομένων προσωπικού χαρακτήρα, όπως μέσω του τελωνειακού κόμβου δεδομένων της ΕΕ. </w:t>
      </w:r>
    </w:p>
    <w:bookmarkEnd w:id="16"/>
    <w:p w14:paraId="0022338C" w14:textId="77777777" w:rsidR="00E0244C" w:rsidRPr="00483F7D" w:rsidRDefault="007A1FD7" w:rsidP="00B62B15">
      <w:pPr>
        <w:pStyle w:val="Considrant"/>
      </w:pPr>
      <w:r w:rsidRPr="00483F7D">
        <w:t>Παρά το γεγονός ότι η τελωνειακή νομοθεσία εναρμονίζεται μέσω του κώδικα, ο κανονισμός (ΕΕ) αριθ. 952/2013 περιλάμβανε μόνο την υποχρέωση των κρατών μελών να προβλέπουν κυρώσεις σε περίπτωση μη συμμόρφωσης με την τελωνειακή νομοθεσία και απαιτούσε οι κυρώσεις αυτές να είναι αποτελεσματικές, αναλογικές και αποτρεπτικές. Συνεπώς, τα κράτη μέλη έχουν την επιλογή των τελωνειακών κυρώσεων, οι οποίες διαφέρουν σημαντικά μεταξύ των κρατών μελών και εξελίσσονται με την πάροδο του χρόνου. Θα πρέπει να θεσπιστεί κοινό πλαίσιο για τη θέσπιση ελάχιστου πυρήνα τελωνειακών παραβάσεων και μη ποινικών κυρώσεων. Το πλαίσιο αυτό είναι απαραίτητο για την αντιμετώπιση της έλλειψης ενιαίας εφαρμογής και των σημαντικών αποκλίσεων μεταξύ των κρατών μελών όσον αφορά την επιβολή κυρώσεων κατά παραβάσεων της τελωνειακής νομοθεσίας, οι οποίες μπορούν να οδηγήσουν σε στρέβλωση του ανταγωνισμού, κενά και «άγρα τελωνείων». Το πλαίσιο θα πρέπει να αποτελείται από έναν κοινό κατάλογο πράξεων ή παραλείψεων που θα πρέπει να συνιστούν τελωνειακές παραβάσεις σε όλα τα κράτη μέλη. Κατά τον καθορισμό της επιβαλλόμενης κύρωσης, οι τελωνειακές αρχές θα πρέπει να καθορίζουν αν οι εν λόγω πράξεις ή παραλείψεις διαπράττονται εκ προθέσεως ή από προφανή αμέλεια.</w:t>
      </w:r>
    </w:p>
    <w:p w14:paraId="3B202FDE" w14:textId="77777777" w:rsidR="00E0244C" w:rsidRPr="00483F7D" w:rsidRDefault="007A1FD7" w:rsidP="00B62B15">
      <w:pPr>
        <w:pStyle w:val="Considrant"/>
      </w:pPr>
      <w:r w:rsidRPr="00483F7D">
        <w:t>Είναι αναγκαίο να θεσπιστούν κοινές διατάξεις για ελαφρυντικές περιστάσεις, καθώς και για επιβαρυντικές περιστάσεις, όσον αφορά τις τελωνειακές παραβάσεις. Η προθεσμία παραγραφής για την κίνηση τελωνειακής διαδικασίας επί παραβάσει θα πρέπει να καθορίζεται σύμφωνα με το εθνικό δίκαιο και θα πρέπει να κυμαίνεται μεταξύ 5 και 10 ετών, ώστε να προβλέπεται κοινός κανόνας με βάση την προθεσμία για τη γνωστοποίηση της τελωνειακής οφειλής. Αρμόδια δικαιοδοσία θα πρέπει να είναι εκείνη στην οποία διαπράχθηκε η παράβαση. Η συνεργασία μεταξύ των κρατών μελών είναι απαραίτητη σε περιπτώσεις κατά τις οποίες η τελωνειακή παράβαση έχει διαπραχθεί σε περισσότερα του ενός κράτη μέλη· στις περιπτώσεις αυτές, το κράτος μέλος που κινεί πρώτο τη διαδικασία θα πρέπει να συνεργάζεται με τις άλλες τελωνειακές αρχές τις οποίες αφορά η ίδια τελωνειακή παράβαση.</w:t>
      </w:r>
    </w:p>
    <w:p w14:paraId="5CD91F5B" w14:textId="77777777" w:rsidR="00E0244C" w:rsidRPr="00483F7D" w:rsidRDefault="007A1FD7" w:rsidP="00B62B15">
      <w:pPr>
        <w:pStyle w:val="Considrant"/>
      </w:pPr>
      <w:r w:rsidRPr="00483F7D">
        <w:t>Είναι αναγκαίο να θεσπιστεί ελάχιστος κοινός πυρήνας τελωνειακών παραβάσεων με τον ορισμό τους, με βάση τις υποχρεώσεις που ορίζονται στον παρόντα κανονισμό και τις ταυτόσημες υποχρεώσεις που προβλέπονται σε άλλα μέρη της τελωνειακής νομοθεσίας.</w:t>
      </w:r>
    </w:p>
    <w:p w14:paraId="1094C7C5" w14:textId="77777777" w:rsidR="00E0244C" w:rsidRPr="00483F7D" w:rsidRDefault="007A1FD7" w:rsidP="00B62B15">
      <w:pPr>
        <w:pStyle w:val="Considrant"/>
      </w:pPr>
      <w:r w:rsidRPr="00483F7D">
        <w:t>Είναι επίσης αναγκαίο να θεσπιστεί ένας κοινός ελάχιστος πυρήνας μη ποινικών κυρώσεων, ο οποίος θα προβλέπει ελάχιστα ποσά χρηματικών επιβαρύνσεων, τη δυνατότητα ανάκλησης, αναστολής ή τροποποίησης των τελωνειακών αδειών, μεταξύ άλλων για τους εγκεκριμένους οικονομικούς φορείς και τους αξιόπιστους και ελεγμένους συναλλασσομένους, καθώς και τη δήμευση των εμπορευμάτων. Τα ελάχιστα ποσά των χρηματικών επιβαρύνσεων θα πρέπει να εξαρτώνται από το αν η τελωνειακή παράβαση διαπράχθηκε εκ προθέσεως ή όχι και από το αν έχει ή όχι επίπτωση στο ποσό των τελωνειακών δασμών και λοιπών επιβαρύνσεων και στις απαγορεύσεις ή στους περιορισμούς. Αυτός ο ελάχιστος κοινός πυρήνας μη ποινικών κυρώσεων θα πρέπει να εφαρμόζεται με την επιφύλαξη της εθνικής έννομης τάξης των κρατών μελών, η οποία μπορεί αντ’ αυτού να προβλέπει ποινικές κυρώσεις.</w:t>
      </w:r>
    </w:p>
    <w:p w14:paraId="36C07EA6" w14:textId="77777777" w:rsidR="00E0244C" w:rsidRPr="00483F7D" w:rsidRDefault="00453B28" w:rsidP="00B62B15">
      <w:pPr>
        <w:pStyle w:val="Considrant"/>
      </w:pPr>
      <w:r w:rsidRPr="00483F7D">
        <w:t xml:space="preserve">Οι επιδόσεις της τελωνειακής ένωσης θα πρέπει να αξιολογούνται τουλάχιστον σε ετήσια βάση, ώστε να μπορεί η Επιτροπή, με τη βοήθεια των κρατών μελών, να λαμβάνει τις κατάλληλες πολιτικές κατευθύνσεις. Η συλλογή πληροφοριών από τις τελωνειακές αρχές θα πρέπει να επισημοποιηθεί και να εμβαθυνθεί, καθώς η πληρέστερη υποβολή εκθέσεων θα βελτίωνε τη συγκριτική αξιολόγηση και θα μπορούσε να συμβάλει στην ομογενοποίηση των πρακτικών και στην αξιολόγηση του αντικτύπου των αποφάσεων τελωνειακής πολιτικής. Ως εκ τούτου, είναι σκόπιμο να θεσπιστεί νομικό πλαίσιο για την αξιολόγηση των επιδόσεων της τελωνειακής ένωσης. Για να καταστεί δυνατή η επαρκής λεπτομερής ανάλυση, η μέτρηση των επιδόσεων θα πρέπει να πραγματοποιείται όχι μόνο σε εθνικό επίπεδο αλλά και σε επίπεδο συνοριακών σημείων διέλευσης. Η Τελωνειακή Αρχή της ΕΕ θα πρέπει να στηρίζει την Επιτροπή στη διαδικασία αξιολόγησης με τη συγκέντρωση και ανάλυση των δεδομένων στον τελωνειακό κόμβο δεδομένων της ΕΕ, καθώς και με τον προσδιορισμό του τρόπου με τον οποίο οι τελωνειακές δραστηριότητες και πράξεις υποστηρίζουν την επίτευξη των στρατηγικών στόχων και προτεραιοτήτων της τελωνειακής ένωσης και συμβάλλουν στην αποστολή των τελωνειακών αρχών. Ειδικότερα, η Τελωνειακή Αρχή της ΕΕ θα πρέπει να εντοπίζει βασικές τάσεις, πλεονεκτήματα, αδυναμίες, κενά και δυνητικούς κινδύνους και να παρέχει συστάσεις για βελτίωση στην Επιτροπή. </w:t>
      </w:r>
      <w:bookmarkStart w:id="17" w:name="_Hlk132451991"/>
      <w:r w:rsidRPr="00483F7D">
        <w:t xml:space="preserve">Στο πλαίσιο της συνεργασίας ιδίως με τις αρχές επιβολής του νόμου και της ασφάλειας, η Τελωνειακή Αρχή της ΕΕ θα πρέπει επίσης να συμμετέχει, από επιχειρησιακή άποψη, σε στρατηγικές αναλύσεις και αξιολογήσεις απειλών που διενεργούνται σε ενωσιακό επίπεδο, συμπεριλαμβανομένων εκείνων που διενεργούνται από την Ευρωπόλ και τον Frontex. </w:t>
      </w:r>
      <w:bookmarkEnd w:id="17"/>
    </w:p>
    <w:p w14:paraId="11C774FC" w14:textId="77777777" w:rsidR="00E0244C" w:rsidRPr="00483F7D" w:rsidRDefault="007A1FD7" w:rsidP="00B62B15">
      <w:pPr>
        <w:pStyle w:val="Considrant"/>
      </w:pPr>
      <w:r w:rsidRPr="00483F7D">
        <w:t>Σύμφωνα με την αρχή της αναλογικότητας, είναι αναγκαίο και σκόπιμο, για την επίτευξη των βασικών στόχων που συνίστανται στην εξασφάλιση της αποτελεσματικής λειτουργίας της τελωνειακής ένωσης και στην εφαρμογή της κοινής εμπορικής πολιτικής, να θεσπιστούν οι γενικοί κανόνες και οι διαδικασίες που εφαρμόζονται στα εμπορεύματα τα οποία μεταφέρονται εντός ή εκτός του τελωνειακού εδάφους της Ένωσης. Ο παρών κανονισμός δεν υπερβαίνει τα αναγκαία για την επίτευξη των επιδιωκόμενων στόχων, σύμφωνα με το άρθρο 5 παράγραφος 4 της Συνθήκης για την Ευρωπαϊκή Ένωση.</w:t>
      </w:r>
    </w:p>
    <w:p w14:paraId="2BDF9062" w14:textId="77777777" w:rsidR="00952CF0" w:rsidRPr="00483F7D" w:rsidRDefault="007A1FD7" w:rsidP="00B62B15">
      <w:pPr>
        <w:pStyle w:val="Considrant"/>
      </w:pPr>
      <w:r w:rsidRPr="00483F7D">
        <w:t>Προκειμένου να συμπληρωθούν ή να τροποποιηθούν ορισμένα μη ουσιώδη στοιχεία του παρόντος κανονισμού, θα πρέπει να ανατεθεί στην Επιτροπή η εξουσία έκδοσης πράξεων σύμφωνα με το άρθρο 290 της ΣΛΕΕ όσον αφορά τα ακόλουθα:</w:t>
      </w:r>
    </w:p>
    <w:p w14:paraId="3AB2D937" w14:textId="77777777" w:rsidR="0077506B" w:rsidRPr="00483F7D" w:rsidRDefault="0077506B" w:rsidP="00CF7E35">
      <w:pPr>
        <w:pStyle w:val="Tiret1"/>
        <w:numPr>
          <w:ilvl w:val="0"/>
          <w:numId w:val="22"/>
        </w:numPr>
      </w:pPr>
      <w:r w:rsidRPr="00483F7D">
        <w:t>σε σχέση με τα ειδικά φορολογικά εδάφη, λεπτομερέστερες διατάξεις της τελωνειακής νομοθεσίας για την αντιμετώπιση ειδικών περιστάσεων που αφορούν τις εμπορικές συναλλαγές ενωσιακών εμπορευμάτων στις οποίες συμμετέχει μόνο ένα κράτος μέλος·</w:t>
      </w:r>
    </w:p>
    <w:p w14:paraId="7A43F61B" w14:textId="77777777" w:rsidR="0077506B" w:rsidRPr="00483F7D" w:rsidRDefault="0077506B" w:rsidP="00B62B15">
      <w:pPr>
        <w:pStyle w:val="Tiret1"/>
      </w:pPr>
      <w:r w:rsidRPr="00483F7D">
        <w:t>σε σχέση με τις τελωνειακές αποφάσεις, τους όρους, τις προθεσμίες, τις εξαιρέσεις, τις λεπτομέρειες παρακολούθησης, αναστολής, ακύρωσης και ανάκλησης όσον αφορά την εφαρμογή, την έκδοση και τη διαχείριση των εν λόγω αποφάσεων, συμπεριλαμβανομένων εκείνων που αφορούν δεσμευτικές πληροφορίες·</w:t>
      </w:r>
    </w:p>
    <w:p w14:paraId="1C4575ED" w14:textId="77777777" w:rsidR="0077506B" w:rsidRPr="00483F7D" w:rsidRDefault="0077506B" w:rsidP="00B62B15">
      <w:pPr>
        <w:pStyle w:val="Tiret1"/>
      </w:pPr>
      <w:r w:rsidRPr="00483F7D">
        <w:t>τις απαιτήσεις ελάχιστων δεδομένων και ειδικές περιπτώσεις για την καταχώριση των οικονομικών φορέων στις τελωνειακές αρχές που είναι αρμόδιες για τον τόπο εγκατάστασής τους·</w:t>
      </w:r>
    </w:p>
    <w:p w14:paraId="2FC9D25A" w14:textId="77777777" w:rsidR="0077506B" w:rsidRPr="00483F7D" w:rsidRDefault="0077506B" w:rsidP="00B62B15">
      <w:pPr>
        <w:pStyle w:val="Tiret1"/>
      </w:pPr>
      <w:r w:rsidRPr="00483F7D">
        <w:t>το είδος και τη συχνότητα των δραστηριοτήτων παρακολούθησης, τις απλουστεύσεις και τις διευκολύνσεις που προβλέπονται για τον εγκεκριμένο οικονομικό φορέα·</w:t>
      </w:r>
    </w:p>
    <w:p w14:paraId="6C978495" w14:textId="77777777" w:rsidR="0077506B" w:rsidRPr="00483F7D" w:rsidRDefault="0077506B" w:rsidP="00B62B15">
      <w:pPr>
        <w:pStyle w:val="Tiret1"/>
      </w:pPr>
      <w:r w:rsidRPr="00483F7D">
        <w:t>το είδος και τη συχνότητα των δραστηριοτήτων παρακολούθησης του αξιόπιστου και ελεγμένου συναλλασσομένου·</w:t>
      </w:r>
    </w:p>
    <w:p w14:paraId="0BC649AF" w14:textId="77777777" w:rsidR="0077506B" w:rsidRPr="00483F7D" w:rsidRDefault="0077506B" w:rsidP="00B62B15">
      <w:pPr>
        <w:pStyle w:val="Tiret1"/>
      </w:pPr>
      <w:r w:rsidRPr="00483F7D">
        <w:t>σε σχέση με τον τελωνειακό αντιπρόσωπο, τους όρους υπό τους οποίους το εν λόγω πρόσωπο μπορεί να παρέχει υπηρεσίες στο τελωνειακό έδαφος της Ένωσης, τις περιπτώσεις στις οποίες αίρεται η απαίτηση εγκατάστασης σε αυτό και στις οποίες οι τελωνειακές αρχές δεν απαιτούν απόδειξη εξουσιοδότησης·</w:t>
      </w:r>
    </w:p>
    <w:p w14:paraId="5105744C" w14:textId="77777777" w:rsidR="0077506B" w:rsidRPr="00483F7D" w:rsidRDefault="0077506B" w:rsidP="00B62B15">
      <w:pPr>
        <w:pStyle w:val="Tiret1"/>
      </w:pPr>
      <w:r w:rsidRPr="00483F7D">
        <w:t>τις κατηγορίες υποκειμένων των δεδομένων και τις κατηγορίες δεδομένων προσωπικού χαρακτήρα που μπορούν να υποβληθούν σε επεξεργασία στον τελωνειακό κόμβο δεδομένων της ΕΕ·</w:t>
      </w:r>
    </w:p>
    <w:p w14:paraId="594B6A83" w14:textId="77777777" w:rsidR="0077506B" w:rsidRPr="00483F7D" w:rsidRDefault="0077506B" w:rsidP="00B62B15">
      <w:pPr>
        <w:pStyle w:val="Tiret1"/>
      </w:pPr>
      <w:r w:rsidRPr="00483F7D">
        <w:t>λεπτομερέστερους κανόνες σχετικά με τον τελωνειακό χαρακτήρα των εμπορευμάτων·</w:t>
      </w:r>
    </w:p>
    <w:p w14:paraId="3D421ACD" w14:textId="77777777" w:rsidR="0077506B" w:rsidRPr="00483F7D" w:rsidRDefault="0077506B" w:rsidP="00B62B15">
      <w:pPr>
        <w:pStyle w:val="Tiret1"/>
      </w:pPr>
      <w:r w:rsidRPr="00483F7D">
        <w:t>το είδος των δεδομένων και τις προθεσμίες για την παροχή των εν λόγω δεδομένων για την υπαγωγή των εμπορευμάτων σε τελωνειακό καθεστώς·</w:t>
      </w:r>
    </w:p>
    <w:p w14:paraId="2C0B03F0" w14:textId="77777777" w:rsidR="0077506B" w:rsidRPr="00483F7D" w:rsidRDefault="0077506B" w:rsidP="00B62B15">
      <w:pPr>
        <w:pStyle w:val="Tiret1"/>
      </w:pPr>
      <w:r w:rsidRPr="00483F7D">
        <w:t>το εύλογο χρονικό διάστημα μετά το οποίο οι τελωνειακές αρχές θεωρείται ότι έχουν παραδώσει τα εμπορεύματα, όταν δεν τα έχουν επιλέξει για οποιονδήποτε έλεγχο·</w:t>
      </w:r>
    </w:p>
    <w:p w14:paraId="3DA2E362" w14:textId="77777777" w:rsidR="0077506B" w:rsidRPr="00483F7D" w:rsidRDefault="0077506B" w:rsidP="00B62B15">
      <w:pPr>
        <w:pStyle w:val="Tiret1"/>
      </w:pPr>
      <w:r w:rsidRPr="00483F7D">
        <w:t>σε σχέση με τις τελωνειακές διασαφήσεις: τις περιπτώσεις στις οποίες η υποβολή της τελωνειακής διασάφησης μπορεί να γίνει με άλλα μέσα εκτός από τις ηλεκτρονικές τεχνικές επεξεργασίας δεδομένων· τους όρους χορήγησης άδειας υποβολής απλουστευμένων διασαφήσεων· τις προθεσμίες για την υποβολή συμπληρωματικών διασαφήσεων και τις περιπτώσεις στις οποίες αίρεται η υποχρέωση υποβολής τέτοιων διασαφήσεων· τις περιπτώσεις ακύρωσης της τελωνειακής διασάφησης από τις τελωνειακές αρχές· τους όρους χορήγησης των αδειών κεντρικού τελωνισμού και εγγραφής στις λογιστικές καταχωρίσεις του διασαφιστή·</w:t>
      </w:r>
    </w:p>
    <w:p w14:paraId="2CF9EE3C" w14:textId="77777777" w:rsidR="0077506B" w:rsidRPr="00483F7D" w:rsidRDefault="0077506B" w:rsidP="00B62B15">
      <w:pPr>
        <w:pStyle w:val="Tiret1"/>
      </w:pPr>
      <w:r w:rsidRPr="00483F7D">
        <w:t>τους όρους και τη διαδικασία δήμευσης εμπορευμάτων·</w:t>
      </w:r>
    </w:p>
    <w:p w14:paraId="0B354027" w14:textId="77777777" w:rsidR="0077506B" w:rsidRPr="00483F7D" w:rsidRDefault="0077506B" w:rsidP="00B62B15">
      <w:pPr>
        <w:pStyle w:val="Tiret1"/>
      </w:pPr>
      <w:r w:rsidRPr="00483F7D">
        <w:t>σε σχέση με τις εκ των προτέρων πληροφορίες για τα φορτία: τα συμπληρωματικά δεδομένα που πρέπει να παρέχονται, τις προθεσμίες, την περίπτωση άρσης της υποχρέωσης παροχής των δεδομένων αυτών, τις ειδικές περιπτώσεις στις οποίες τα δεδομένα είναι δυνατό να παρασχεθούν από περισσότερα του ενός πρόσωπα, τους όρους υπό τους οποίους ένα πρόσωπο που παρέχει ή καθιστά διαθέσιμες πληροφορίες μπορεί να περιορίσει την προβολή της ταυτότητάς του σε ένα ή περισσότερα άλλα πρόσωπα που υποβάλλουν επίσης στοιχεία·</w:t>
      </w:r>
    </w:p>
    <w:p w14:paraId="14EACF2B" w14:textId="77777777" w:rsidR="0077506B" w:rsidRPr="00483F7D" w:rsidRDefault="0077506B" w:rsidP="00B62B15">
      <w:pPr>
        <w:pStyle w:val="Tiret1"/>
      </w:pPr>
      <w:r w:rsidRPr="00483F7D">
        <w:t>σε σχέση με την είσοδο των εμπορευμάτων στο τελωνειακό έδαφος της Ένωσης: τις προθεσμίες εντός των οποίων πρέπει να διεξάγεται η ανάλυση κινδύνου και να λαμβάνονται τα αναγκαία μέτρα· τις ειδικές περιπτώσεις και τα άλλα πρόσωπα που μπορεί να κληθούν να γνωστοποιήσουν την άφιξη των αποστολών στο πραγματικό τελωνείο πρώτης εισόδου, σε περίπτωση εκτροπής· τους όρους για τον καθορισμό και την έγκριση των χώρων εκτός του καθορισμένου τελωνείου για την προσκόμιση των εμπορευμάτων· τους όρους για τον καθορισμό ή την έγκριση των χώρων εκτός των αποθηκών τελωνειακής αποταμίευσης για την υπαγωγή των εμπορευμάτων σε προσωρινή εναπόθεση·</w:t>
      </w:r>
    </w:p>
    <w:p w14:paraId="0F1A648A" w14:textId="77777777" w:rsidR="0077506B" w:rsidRPr="00483F7D" w:rsidRDefault="0077506B" w:rsidP="00B62B15">
      <w:pPr>
        <w:pStyle w:val="Tiret1"/>
      </w:pPr>
      <w:r w:rsidRPr="00483F7D">
        <w:t>τα δεδομένα που πρέπει να παρέχονται ή να καθίστανται διαθέσιμα στις τελωνειακές αρχές για τη θέση των εμπορευμάτων σε ελεύθερη κυκλοφορία·</w:t>
      </w:r>
    </w:p>
    <w:p w14:paraId="028FB34A" w14:textId="77777777" w:rsidR="0077506B" w:rsidRPr="00483F7D" w:rsidRDefault="0077506B" w:rsidP="00B62B15">
      <w:pPr>
        <w:pStyle w:val="Tiret1"/>
      </w:pPr>
      <w:r w:rsidRPr="00483F7D">
        <w:t>τις περιπτώσεις στις οποίες τα εμπορεύματα θεωρούνται επανεισαγόμενα στην κατάσταση στην οποία εξήχθησαν και στις οποίες τα εμπορεύματα που έχουν επωφεληθεί από μέτρα που προβλέπονται στο πλαίσιο της κοινής γεωργικής πολιτικής μπορούν να τύχουν απαλλαγής από εισαγωγικούς δασμούς·</w:t>
      </w:r>
    </w:p>
    <w:p w14:paraId="5DDDD75A" w14:textId="77777777" w:rsidR="0077506B" w:rsidRPr="00483F7D" w:rsidRDefault="0077506B" w:rsidP="00B62B15">
      <w:pPr>
        <w:pStyle w:val="Tiret1"/>
      </w:pPr>
      <w:bookmarkStart w:id="18" w:name="_Hlk134000175"/>
      <w:r w:rsidRPr="00483F7D">
        <w:t>σε σχέση με τις πληροφορίες πριν από την αναχώρηση κατά την έξοδο από το τελωνειακό έδαφος της Ένωσης: τις ελάχιστες πληροφορίες πριν από την αναχώρηση και τις προθεσμίες εντός των οποίων οι πληροφορίες πρέπει να παρέχονται ή να καθίστανται διαθέσιμες πριν από την μεταφορά των εμπορευμάτων εκτός του τελωνειακού εδάφους, τις ειδικές περιπτώσεις στις οποίες αίρεται η υποχρέωση παροχής ή διάθεσης πληροφοριών πριν από την αναχώρηση και τις πληροφορίες που πρέπει να γνωστοποιούνται κατά την έξοδο των εμπορευμάτων·</w:t>
      </w:r>
    </w:p>
    <w:bookmarkEnd w:id="18"/>
    <w:p w14:paraId="229B7DC1" w14:textId="77777777" w:rsidR="0077506B" w:rsidRPr="00483F7D" w:rsidRDefault="0077506B" w:rsidP="00B62B15">
      <w:pPr>
        <w:pStyle w:val="Tiret1"/>
      </w:pPr>
      <w:r w:rsidRPr="00483F7D">
        <w:t>σε σχέση με την έξοδο των εμπορευμάτων, τις προθεσμίες εντός των οποίων πρέπει να διενεργείται η ανάλυση κινδύνου και να λαμβάνονται τα αναγκαία μέτρα· τα δεδομένα που πρέπει να παρέχονται ή να τίθενται στη διάθεση των τελωνειακών αρχών για την υπαγωγή των εμπορευμάτων στο καθεστώς εξαγωγής·</w:t>
      </w:r>
    </w:p>
    <w:p w14:paraId="4234085D" w14:textId="77777777" w:rsidR="0077506B" w:rsidRPr="00483F7D" w:rsidRDefault="0077506B" w:rsidP="00B62B15">
      <w:pPr>
        <w:pStyle w:val="Tiret1"/>
      </w:pPr>
      <w:r w:rsidRPr="00483F7D">
        <w:t>σε σχέση με τα ειδικά καθεστώτα: τα δεδομένα που πρέπει να παρέχονται ή να καθίστανται διαθέσιμα στις τελωνειακές αρχές για την υπαγωγή των εμπορευμάτων σε αυτά τα καθεστώτα· τις εξαιρέσεις από τους όρους χορήγησης άδειας για ειδικά καθεστώτα· τις περιπτώσεις στις οποίες ο οικονομικός χαρακτήρας της τελειοποίησης αιτιολογεί ότι οι τελωνειακές αρχές αξιολογούν αν η χορήγηση άδειας για καθεστώς τελειοποίησης προς επανεξαγωγή επηρεάζει αρνητικά τα ουσιώδη συμφέροντα των ενωσιακών παραγωγών χωρίς τη γνώμη της Τελωνειακής Αρχής της ΕΕ· τον κατάλογο των εμπορευμάτων που θεωρούνται ευαίσθητα· την προθεσμία για την εκκαθάριση του ειδικού καθεστώτος· τις περιπτώσεις και τους όρους υπό τους οποίους οι εισαγωγείς και οι εξαγωγείς μπορούν να διακινούν εμπορεύματα που έχουν υπαχθεί σε ειδικό καθεστώς εκτός της διαμετακόμισης ή σε ελεύθερη ζώνη· τις συνήθεις εργασίες για εμπορεύματα που έχουν υπαχθεί σε καθεστώς τελωνειακής αποταμίευσης ή τελειοποίησης· τους λεπτομερέστερους κανόνες που αφορούν ισοδύναμα εμπορεύματα·</w:t>
      </w:r>
    </w:p>
    <w:p w14:paraId="6131BAEA" w14:textId="77777777" w:rsidR="0077506B" w:rsidRPr="00483F7D" w:rsidRDefault="0077506B" w:rsidP="00B62B15">
      <w:pPr>
        <w:pStyle w:val="Tiret1"/>
      </w:pPr>
      <w:r w:rsidRPr="00483F7D">
        <w:t>σε σχέση με τη διαμετακόμιση: τις ειδικές περιπτώσεις στις οποίες τα ενωσιακά εμπορεύματα υπάγονται σε καθεστώς εξωτερικής διαμετακόμισης· τους όρους χορήγησης των αδειών για τον εγκεκριμένο αποστολέα και τον εγκεκριμένο παραλήπτη για τους σκοπούς της σύμβασης TIR· τις πρόσθετες απαιτήσεις δεδομένων που πρέπει να παρέχει ο δικαιούχος του καθεστώτος ενωσιακής διαμετακόμισης·</w:t>
      </w:r>
    </w:p>
    <w:p w14:paraId="4BDC88C3" w14:textId="77777777" w:rsidR="0077506B" w:rsidRPr="00483F7D" w:rsidRDefault="0077506B" w:rsidP="00B62B15">
      <w:pPr>
        <w:pStyle w:val="Tiret1"/>
      </w:pPr>
      <w:r w:rsidRPr="00483F7D">
        <w:t>σε σχέση με την αποθήκευση: τα ελάχιστα δεδομένα που πρέπει να παρέχει ο διαχειριστής αποθήκης τελωνειακής αποταμίευσης ή ελεύθερης ζώνης· τους όρους χορήγησης της άδειας για τη λειτουργία αποθήκης τελωνειακής αποταμίευσης·</w:t>
      </w:r>
    </w:p>
    <w:p w14:paraId="66776DF0" w14:textId="77777777" w:rsidR="0077506B" w:rsidRPr="00483F7D" w:rsidRDefault="0077506B" w:rsidP="00B62B15">
      <w:pPr>
        <w:pStyle w:val="Tiret1"/>
      </w:pPr>
      <w:r w:rsidRPr="00483F7D">
        <w:t>σε σχέση με την προσωρινή εισαγωγή: τις απαιτήσεις της τελωνειακής νομοθεσίας για πλήρη ή μερική απαλλαγή από δασμούς οι οποίες πρέπει να πληρούνται για τη χρήση του καθεστώτος προσωρινής εισαγωγής·</w:t>
      </w:r>
    </w:p>
    <w:p w14:paraId="0EC18CDF" w14:textId="77777777" w:rsidR="0077506B" w:rsidRPr="00483F7D" w:rsidRDefault="0077506B" w:rsidP="00B62B15">
      <w:pPr>
        <w:pStyle w:val="Tiret1"/>
      </w:pPr>
      <w:r w:rsidRPr="00483F7D">
        <w:t>τους κανόνες για τον καθορισμό της μη προτιμησιακής καταγωγής και τους κανόνες προτιμησιακής καταγωγής·</w:t>
      </w:r>
    </w:p>
    <w:p w14:paraId="32460414" w14:textId="77777777" w:rsidR="0077506B" w:rsidRPr="00483F7D" w:rsidRDefault="0077506B" w:rsidP="00B62B15">
      <w:pPr>
        <w:pStyle w:val="Tiret1"/>
      </w:pPr>
      <w:r w:rsidRPr="00483F7D">
        <w:t>τους όρους χορήγησης της άδειας για απλουστεύσεις κατά τον καθορισμό της δασμολογητέας αξίας σε ειδικές περιπτώσεις·</w:t>
      </w:r>
    </w:p>
    <w:p w14:paraId="43174E87" w14:textId="77777777" w:rsidR="0077506B" w:rsidRPr="00483F7D" w:rsidRDefault="0077506B" w:rsidP="00B62B15">
      <w:pPr>
        <w:pStyle w:val="Tiret1"/>
      </w:pPr>
      <w:r w:rsidRPr="00483F7D">
        <w:t>σε σχέση με την τελωνειακή οφειλή: λεπτομερέστερους κανόνες για τον υπολογισμό του ποσού του εισαγωγικού ή εξαγωγικού δασμού που εφαρμόζεται στα εμπορεύματα για τα οποία γεννάται τελωνειακή οφειλή στο πλαίσιο ειδικού καθεστώτος· την ειδική προθεσμία εντός της οποίας δεν μπορεί να προσδιοριστεί ο τόπος γέννησης της τελωνειακής οφειλής, αν τα εμπορεύματα έχουν υπαχθεί σε τελωνειακό καθεστώς που δεν έχει εκκαθαριστεί ή όταν η προσωρινή εναπόθεση δεν έληξε κανονικά· τους λεπτομερέστερους κανόνες σχετικά με τη γνωστοποίηση της τελωνειακής οφειλής· τους κανόνες σχετικά με</w:t>
      </w:r>
    </w:p>
    <w:p w14:paraId="702C7405" w14:textId="77777777" w:rsidR="0077506B" w:rsidRPr="00483F7D" w:rsidRDefault="0077506B" w:rsidP="00B62B15">
      <w:pPr>
        <w:pStyle w:val="Tiret1"/>
      </w:pPr>
      <w:r w:rsidRPr="00483F7D">
        <w:t>την αναστολή της προθεσμίας για την καταβολή του ποσού του εισαγωγικού ή εξαγωγικού δασμού που αντιστοιχεί σε τελωνειακή οφειλή και για τον καθορισμό της περιόδου αναστολής· τους κανόνες τους οποίους οφείλει να τηρεί η Επιτροπή κατά τη λήψη απόφασης σχετικά με την επιστροφή και τη διαγραφή τελωνειακής οφειλής· τον κατάλογο των παραλείψεων που δεν έχουν ουσιαστικές συνέπειες για την ορθή λειτουργία της προσωρινής εναπόθεσης ή του οικείου τελωνειακού καθεστώτος, για την απόσβεση τελωνειακής οφειλής·</w:t>
      </w:r>
    </w:p>
    <w:p w14:paraId="746BE1FE" w14:textId="77777777" w:rsidR="0077506B" w:rsidRPr="00483F7D" w:rsidRDefault="0077506B" w:rsidP="00B62B15">
      <w:pPr>
        <w:pStyle w:val="Tiret1"/>
      </w:pPr>
      <w:r w:rsidRPr="00483F7D">
        <w:t>σε σχέση με τις εγγυήσεις: τις ειδικές περιπτώσεις στις οποίες δεν απαιτείται εγγύηση για εμπορεύματα που έχουν υπαχθεί στο καθεστώς προσωρινής εισαγωγής, τους κανόνες για τον καθορισμό της μορφής της εγγύησης εκτός από κάθε μέσο πληρωμής που αναγνωρίζεται από τις τελωνειακές αρχές και την ανάληψη υποχρέωσης από τριτεγγυητή· τους κανόνες σχετικά με τις μορφές σύστασης εγγύησης και τους κανόνες που ισχύουν για τον τριτεγγυητή· τους όρους χορήγησης άδειας σύστασης συνολικής εγγύησης μειωμένου ποσού ή άρσης της υποχρέωσης σύστασης εγγύησης· τις προθεσμίες για την αποδέσμευση εγγύησης·</w:t>
      </w:r>
    </w:p>
    <w:p w14:paraId="69C9C8FA" w14:textId="77777777" w:rsidR="0077506B" w:rsidRPr="00483F7D" w:rsidRDefault="0077506B" w:rsidP="00B62B15">
      <w:pPr>
        <w:pStyle w:val="Tiret1"/>
        <w:rPr>
          <w:i/>
          <w:iCs/>
        </w:rPr>
      </w:pPr>
      <w:r w:rsidRPr="00483F7D">
        <w:t>σε σχέση με την τελωνειακή συνεργασία, κάθε άλλο συμπληρωματικό μέτρο που πρέπει να ληφθεί από τις τελωνειακές αρχές για τη διασφάλιση της συμμόρφωσης με τη νομοθεσία εκτός της τελωνειακής νομοθεσίας·</w:t>
      </w:r>
      <w:r w:rsidRPr="00483F7D">
        <w:rPr>
          <w:i/>
        </w:rPr>
        <w:t xml:space="preserve"> </w:t>
      </w:r>
      <w:r w:rsidRPr="00483F7D">
        <w:t>τους όρους και τις διαδικασίες σύμφωνα με τις οποίες ένα κράτος μέλος μπορεί να εξουσιοδοτηθεί να προβαίνει σε διαπραγματεύσεις με τρίτες χώρες σχετικά με την ανταλλαγή δεδομένων για τους σκοπούς της τελωνειακής συνεργασίας·</w:t>
      </w:r>
    </w:p>
    <w:p w14:paraId="7D301AD3" w14:textId="77777777" w:rsidR="00952CF0" w:rsidRPr="00483F7D" w:rsidRDefault="004F66BA" w:rsidP="00B62B15">
      <w:pPr>
        <w:pStyle w:val="Tiret1"/>
      </w:pPr>
      <w:r w:rsidRPr="00483F7D">
        <w:t>τη διαγραφή ή την τροποποίηση των παρεκκλίσεων για τον προσδιορισμό του τελωνείου που είναι αρμόδιο για τον έλεγχο της υπαγωγής των εμπορευμάτων σε τελωνειακό καθεστώς και του τόπου γένεσης της τελωνειακής οφειλής, υπό το πρίσμα της αξιολόγησης που θα διενεργήσει η Επιτροπή σχετικά με την αποτελεσματικότητα της τελωνειακής επιτήρησης, όπως ορίζεται στον παρόντα κανονισμό.</w:t>
      </w:r>
    </w:p>
    <w:p w14:paraId="39820218" w14:textId="77777777" w:rsidR="00D407D6" w:rsidRPr="00483F7D" w:rsidRDefault="00D407D6" w:rsidP="00B62B15">
      <w:pPr>
        <w:pStyle w:val="Considrant"/>
      </w:pPr>
      <w:r w:rsidRPr="00483F7D">
        <w:t>Είναι ιδιαίτερα σημαντικό η Επιτροπή να διεξάγει, κατά τις προπαρασκευαστικές της εργασίες για την έκδοση κατ’ εξουσιοδότηση πράξεων, τις κατάλληλες διαβουλεύσεις, μεταξύ άλλων σε επίπεδο εμπειρογνωμόνων, οι οποίες να πραγματοποιούνται σύμφωνα με τις αρχές που ορίζονται στη διοργανική συμφωνία, της 13ης Απριλίου 2016, για τη βελτίωση του νομοθετικού έργου</w:t>
      </w:r>
      <w:r w:rsidRPr="00483F7D">
        <w:rPr>
          <w:rStyle w:val="FootnoteReference"/>
        </w:rPr>
        <w:footnoteReference w:id="58"/>
      </w:r>
      <w:r w:rsidRPr="00483F7D">
        <w:t>.</w:t>
      </w:r>
    </w:p>
    <w:p w14:paraId="4B972CDB" w14:textId="77777777" w:rsidR="00DF36D1" w:rsidRPr="00483F7D" w:rsidRDefault="007A1FD7" w:rsidP="00B62B15">
      <w:pPr>
        <w:pStyle w:val="Considrant"/>
      </w:pPr>
      <w:r w:rsidRPr="00483F7D">
        <w:t>Προκειμένου να εξασφαλιστούν ενιαίοι όροι για την εφαρμογή του παρόντος κανονισμού, θα πρέπει να ανατεθούν στην Επιτροπή εκτελεστικές αρμοδιότητες για: τη θέσπιση των διαδικαστικών κανόνων σχετικά με τη χρήση απόφασης που αφορά δεσμευτικές πληροφορίες μετά τη λήξη της ισχύος της ή την ανάκλησή της· τη θέσπιση των διαδικαστικών κανόνων σχετικά με την ενημέρωση των τελωνειακών αρχών για την αναστολή της λήψης των εν λόγω αποφάσεων και την ανάκληση της αναστολής αυτής· την έκδοση αποφάσεων με τις οποίες ζητείται από τα κράτη μέλη να ανακαλέσουν αποφάσεις που αφορούν δεσμευτικές πληροφορίες· την έγκριση των λεπτομερειών εφαρμογής των κριτηρίων για τη χορήγηση της ιδιότητας του εγκεκριμένου οικονομικού φορέα και του αξιόπιστου και ελεγμένου συναλλασσομένου· τον προσδιορισμό των ηλεκτρονικών συστημάτων, πλατφορμών ή περιβαλλόντων με τα οποία συνδέεται ο τελωνειακός κόμβος δεδομένων της ΕΕ· τον καθορισμό των κανόνων σχετικά με την πρόσβαση σε συγκεκριμένες υπηρεσίες και συστήματα του τελωνειακού κόμβου δεδομένων της ΕΕ, συμπεριλαμβανομένων των ειδικών κανόνων και όρων για την προστασία, την ασφάλεια και την προστασία των δεδομένων προσωπικού χαρακτήρα και των περιπτώσεων όπου η εν λόγω πρόσβαση είναι περιορισμένη· τα μέτρα σχετικά με τη διαχείριση της τελωνειακής παρακολούθησης· την έγκριση των διαδικαστικών κανόνων σχετικά με τις αρμοδιότητες των από κοινού υπευθύνων επεξεργασίας για την επεξεργασία δεδομένων που πραγματοποιείται μέσω υπηρεσίας ή συστήματος του τελωνειακού κόμβου δεδομένων της ΕΕ· τη θέσπιση των διαδικαστικών κανόνων σχετικά με τον καθορισμό των αρμόδιων τελωνείων, εκτός από το τελωνείο που είναι υπεύθυνο για τον τόπο όπου είναι εγκατεστημένος ο εισαγωγέας ή ο εξαγωγέας· τη θέσπιση μέτρων σχετικά με την επαλήθευση των πληροφοριών, την εξέταση και τη δειγματοληψία των εμπορευμάτων, τα αποτελέσματα της επαλήθευσης και την ταυτοποίηση· τη θέσπιση μέτρων σχετικά με την εφαρμογή εκ των υστέρων ελέγχων για πράξεις που πραγματοποιούνται σε περισσότερα του ενός κράτη μέλη· τον καθορισμό του καταλόγου των λιμένων ή των αερολιμένων όπου θα διενεργούνται οι τελωνειακοί έλεγχοι και διατυπώσεις στις χειραποσκευές και τις παραδιδόμενες αποσκευές· τη θέσπιση μέτρων σχετικά με τη διασφάλιση της εναρμονισμένης εφαρμογής των τελωνειακών ελέγχων και της διαχείρισης κινδύνων, συμπεριλαμβανομένης της ανταλλαγής πληροφοριών, της θέσπισης κοινών κριτηρίων και προτύπων κινδύνου και κοινών τομέων ελέγχου προτεραιότητας και των δραστηριοτήτων αξιολόγησης στους εν λόγω τομείς· τον καθορισμό των διαδικαστικών κανόνων σχετικά με την παροχή και την επαλήθευση της απόδειξης του τελωνειακού χαρακτήρα ενωσιακών εμπορευμάτων· τον καθορισμό των διαδικαστικών κανόνων σχετικά με την τροποποίηση και την ακύρωση των πληροφοριών για την υπαγωγή των εμπορευμάτων σε τελωνειακό καθεστώς· τη θέσπιση των διαδικαστικών κανόνων σχετικά με τον καθορισμό των αρμόδιων τελωνείων και την υποβολή της τελωνειακής διασάφησης όταν χρησιμοποιούνται μέσα διαφορετικά από τις ηλεκτρονικές τεχνικές επεξεργασίας δεδομένων· των διαδικαστικών κανόνων σχετικά με την υποβολή της συνήθους τελωνειακής διασάφησης και τη διαθεσιμότητα των συνοδευτικών εγγράφων· των διαδικαστικών κανόνων σχετικά με την υποβολή απλουστευμένης διασάφησης και συμπληρωματικής διασάφησης· των διαδικαστικών κανόνων για την υποβολή τελωνειακής διασάφησης πριν από την προσκόμιση των εμπορευμάτων στο τελωνείο, την αποδοχή της τελωνειακής διασάφησης και την τροποποίηση της τελωνειακής διασάφησης μετά την παράδοση των εμπορευμάτων· τον καθορισμό των διαδικαστικών κανόνων για τον κεντρικό τελωνισμό και την άρση της υποχρέωσης προσκόμισης των εμπορευμάτων στο πλαίσιο του κεντρικού τελωνισμού· των διαδικαστικών κανόνων για την εγγραφή στις λογιστικές καταχωρίσεις του διασαφιστή· των διαδικαστικών κανόνων σχετικά με την καταστροφή των εμπορευμάτων· των διαδικαστικών κανόνων σχετικά με την παροχή των πληροφοριών που να αποδεικνύουν ότι πληρούνται οι όροι για την απαλλαγή από τον εισαγωγικό δασμό για επανεισαγόμενα εμπορεύματα και σχετικά με την παροχή των στοιχείων που αποδεικνύουν ότι πληρούνται οι όροι για την απαλλαγή από τον εισαγωγικό δασμό για προϊόντα της αλιείας και άλλα προϊόντα που λαμβάνονται από τη θάλασσα· τον καθορισμό των διαδικαστικών κανόνων για την έξοδο των εμπορευμάτων· τη θέσπιση των διαδικαστικών κανόνων για την παροχή, την τροποποίηση και την ακύρωση των πληροφοριών πριν από την αναχώρηση και σχετικά με την υποβολή, την τροποποίηση και την ακύρωση της συνοπτικής διασάφησης εξόδου· τη θέσπιση διαδικαστικών κανόνων για την επιστροφή του ΦΠΑ σε φυσικά πρόσωπα που δεν είναι εγκατεστημένα στην Ένωση· τον ορισμό των διαδικαστικών κανόνων για τη γνωστοποίηση της άφιξης ποντοπόρου πλοίου ή αεροσκάφους και τη μεταφορά των εμπορευμάτων στον κατάλληλο τόπο· των διαδικαστικών κανόνων για την υποβολή, τροποποίηση και ακύρωση της διασάφησης προσωρινής εναπόθεσης και για τη διακίνηση εμπορευμάτων σε προσωρινή εναπόθεση· τη θέσπιση των διαδικαστικών κανόνων για τη χορήγηση άδειας για ειδικά καθεστώτα, για την εξέταση των οικονομικών όρων και για την έκδοση της γνώμης της Τελωνειακής Αρχής της ΕΕ που αξιολογεί αν η χορήγηση άδειας για καθεστώς τελειοποίησης προς επανεξαγωγή ή επανεισαγωγή επηρεάζει αρνητικά τα ουσιώδη συμφέροντα των ενωσιακών παραγωγών· τη θέσπιση των διαδικαστικών κανόνων για την εκκαθάριση ειδικού καθεστώτος· των διαδικαστικών κανόνων για τη μεταβίβαση δικαιωμάτων και υποχρεώσεων και τη διακίνηση εμπορευμάτων στο πλαίσιο ειδικών καθεστώτων· των διαδικαστικών κανόνων για τη χρήση ισοδύναμων εμπορευμάτων στο πλαίσιο ειδικών καθεστώτων· των διαδικαστικών κανόνων για την εφαρμογή στο τελωνειακό έδαφος της Ένωσης των διατάξεων διαμετακόμισης που θεσπίζονται από Διεθνή Όργανα· των διαδικαστικών κανόνων για την υπαγωγή εμπορευμάτων στο καθεστώς ενωσιακής διαμετακόμισης και για την εκκαθάριση του εν λόγω καθεστώτος, για τη λειτουργία των απλουστεύσεων του εν λόγω καθεστώτος και για την τελωνειακή επιτήρηση των εμπορευμάτων που διέρχονται από το έδαφος τρίτης χώρας στο πλαίσιο του καθεστώτος εξωτερικής ενωσιακής διαμετακόμισης· των διαδικαστικών κανόνων για την υπαγωγή των εμπορευμάτων σε καθεστώς τελωνειακής αποταμίευσης ή σε ελεύθερη ζώνη και για τη διακίνηση των εμπορευμάτων που έχουν τοποθετηθεί σε αποθήκη τελωνειακής αποταμίευσης· τη θέσπιση μέτρων για την ενιαία διαχείριση των δασμολογικών ποσοστώσεων και των δασμολογικών ανωτάτων ορίων και για τη διαχείριση της τελωνειακής επιτήρησης για τη θέση σε ελεύθερη κυκλοφορία ή την εξαγωγή εμπορευμάτων· τη θέσπιση μέτρων για τον προσδιορισμό της δασμολογικής κατάταξης των εμπορευμάτων· τον καθορισμό των διαδικαστικών κανόνων για την παροχή και την επαλήθευση αποδείξεων για τη μη προτιμησιακή καταγωγή· τη θέσπιση των διαδικαστικών κανόνων για τη διευκόλυνση του προσδιορισμού της προτιμησιακής καταγωγής των εμπορευμάτων στην Ένωση· τη θέσπιση μέτρων για τον προσδιορισμό της καταγωγής συγκεκριμένων εμπορευμάτων· τη χορήγηση προσωρινής παρέκκλισης από τους κανόνες προτιμησιακής καταγωγής εμπορευμάτων στα οποία εφαρμόζονται προτιμησιακά μέτρα που θεσπίζονται μονομερώς από την Ένωση· τον καθορισμό των διαδικαστικών κανόνων για τον καθορισμό της δασμολογητέας αξίας των εμπορευμάτων· τον καθορισμό διαδικαστικών κανόνων για την παροχή, τον προσδιορισμό του ποσού, την παρακολούθηση και την αποδέσμευση των εγγυήσεων, καθώς και για την ανάκληση και υπαναχώρηση του τριτεγγυητή από τις υποχρεώσεις του· τον καθορισμό των διαδικαστικών κανόνων για τις προσωρινές απαγορεύσεις χρησιμοποίησης συνολικών εγγυήσεων· τη θέσπιση μέτρων για τη διασφάλιση της αμοιβαίας συνδρομής μεταξύ τελωνειακών αρχών σε περίπτωση που γεννάται τελωνειακή οφειλή· τον καθορισμό των διαδικαστικών κανόνων για την επιστροφή και τη διαγραφή ενός ποσού εισαγωγικών ή εξαγωγικών δασμών, για τις πληροφορίες που πρέπει να παρέχονται στην Επιτροπή και για τις αποφάσεις που πρέπει να εκδίδει η Επιτροπή σχετικά με την επιστροφή ή τη διαγραφή· τη θέσπιση μέτρων για τον εντοπισμό μιας κρίσης και την ενεργοποίηση του μηχανισμού διαχείρισης κρίσεων· τη θέσπιση των διαδικαστικών κανόνων για τη χορήγηση και τη διαχείριση της άδειας που χορηγείται σε ένα κράτος μέλος για την έναρξη διαπραγματεύσεων με τρίτη χώρα με σκοπό τη σύναψη διμερούς συμφωνίας ή ρύθμισης για την ανταλλαγή πληροφοριών· την έκδοση αποφάσεων σχετικά με αίτηση κράτους μέλους για τη χορήγηση άδειας έναρξης διαπραγματεύσεων με τρίτη χώρα με σκοπό τη σύναψη διμερούς συμφωνίας ή ρύθμισης για την ανταλλαγή πληροφοριών· τον καθορισμό του σχεδιασμού του πλαισίου μέτρησης των επιδόσεων της τελωνειακής ένωσης και των πληροφοριών που θα πρέπει να παρέχουν τα κράτη μέλη στην Τελωνειακή Αρχή της ΕΕ για τους σκοπούς της μέτρησης των επιδόσεων· τον ορισμό κανόνων σχετικά με τη μετατροπή νομισμάτων. Οι εν λόγω αρμοδιότητες θα πρέπει να ασκούνται σύμφωνα με τον κανονισμό (ΕΕ) αριθ. 182/2011 του Ευρωπαϊκού Κοινοβουλίου και του Συμβουλίου</w:t>
      </w:r>
      <w:r w:rsidRPr="00483F7D">
        <w:rPr>
          <w:rStyle w:val="FootnoteReference"/>
        </w:rPr>
        <w:footnoteReference w:id="59"/>
      </w:r>
      <w:r w:rsidRPr="00483F7D">
        <w:t>.</w:t>
      </w:r>
    </w:p>
    <w:p w14:paraId="01A0BB1C" w14:textId="77777777" w:rsidR="00DF36D1" w:rsidRPr="00483F7D" w:rsidRDefault="007A1FD7" w:rsidP="00B62B15">
      <w:pPr>
        <w:pStyle w:val="Considrant"/>
      </w:pPr>
      <w:r w:rsidRPr="00483F7D">
        <w:t>Η συμβουλευτική διαδικασία θα πρέπει να χρησιμοποιείται για την έκδοση: εκτελεστικών πράξεων με τις οποίες ζητείται από τα κράτη μέλη να ανακαλέσουν αποφάσεις που αφορούν δεσμευτικές πληροφορίες, δεδομένου ότι οι αποφάσεις αυτές επηρεάζουν μόνο ένα κράτος μέλος και αποσκοπούν στη διασφάλιση της συμμόρφωσης με την τελωνειακή νομοθεσία· εκτελεστικών πράξεων σχετικά με τον καθορισμό των συγκεκριμένων λεπτομερειών σχετικά με την πρόσβαση των αρχών εκτός των τελωνείων σε συγκεκριμένες υπηρεσίες και συστήματα του τελωνειακού κόμβου δεδομένων της ΕΕ· εκτελεστικών πράξεων σχετικά με αίτηση κράτους μέλους για τη χορήγηση άδειας έναρξης διαπραγματεύσεων με τρίτη χώρα με σκοπό τη σύναψη διμερούς συμφωνίας ή ρύθμισης για την ανταλλαγή πληροφοριών, δεδομένου ότι επηρεάζουν μόνο ένα κράτος μέλος· εκτελεστικών πράξεων σχετικά με την επιστροφή ή τη διαγραφή ποσού εισαγωγικού ή εξαγωγικού δασμού, δεδομένου ότι οι εν λόγω αποφάσεις επηρεάζουν άμεσα τον αιτούντα για την εν λόγω επιστροφή ή διαγραφή.</w:t>
      </w:r>
    </w:p>
    <w:p w14:paraId="0E36C3B8" w14:textId="77777777" w:rsidR="00DF36D1" w:rsidRPr="00483F7D" w:rsidRDefault="007A1FD7" w:rsidP="00B62B15">
      <w:pPr>
        <w:pStyle w:val="Considrant"/>
      </w:pPr>
      <w:r w:rsidRPr="00483F7D">
        <w:t>Σε δεόντως δικαιολογημένες περιπτώσεις, όταν το επιβάλλουν επιτακτικοί λόγοι επείγουσας ανάγκης, η Επιτροπή θα πρέπει να εκδίδει εκτελεστικές πράξεις που έχουν άμεση εφαρμογή όσον αφορά: μέτρα για τη διασφάλιση της ενιαίας εφαρμογής τελωνειακών ελέγχων, συμπεριλαμβανομένης της ανταλλαγής πληροφοριών και αναλύσεων κινδύνου, κοινών κριτηρίων και προτύπων κινδύνου, μέτρων ελέγχου και κοινών τομέων ελέγχου προτεραιότητας· αποφάσεις σχετικά με αίτηση κράτους μέλους για τη χορήγηση άδειας έναρξης διαπραγματεύσεων με τρίτη χώρα με σκοπό τη σύναψη διμερούς συμφωνίας ή ρύθμισης για την ανταλλαγή πληροφοριών· μέτρα για τον προσδιορισμό της δασμολογικής κατάταξης των εμπορευμάτων· μέτρα για τον προσδιορισμό της καταγωγής συγκεκριμένων εμπορευμάτων· μέτρα για τον καθορισμό της κατάλληλης μεθόδου δασμολογητέας αξίας ή των κριτηρίων που πρέπει να χρησιμοποιούνται για τον καθορισμό της δασμολογητέας αξίας των εμπορευμάτων σε ειδικές περιπτώσεις· μέτρα για την προσωρινή απαγόρευση της χρησιμοποίησης συνολικών εγγυήσεων· τον προσδιορισμό μιας κατάστασης κρίσης και τη θέσπιση των κατάλληλων μέτρων για την αντιμετώπισή της ή τον μετριασμό των αρνητικών της επιπτώσεων· αποφάσεις με τις οποίες εξουσιοδοτείται ένα κράτος μέλος να διαπραγματεύεται και να συνάπτει διμερή συμφωνία με τρίτη χώρα για την ανταλλαγή πληροφοριών.</w:t>
      </w:r>
    </w:p>
    <w:p w14:paraId="65FF1334" w14:textId="77777777" w:rsidR="00DF36D1" w:rsidRPr="00483F7D" w:rsidRDefault="007A1FD7" w:rsidP="00B62B15">
      <w:pPr>
        <w:pStyle w:val="Considrant"/>
      </w:pPr>
      <w:r w:rsidRPr="00483F7D">
        <w:t>Η Επιτροπή θα πρέπει να καταβάλει κάθε δυνατή προσπάθεια ώστε να διασφαλιστεί ότι οι κατ’ εξουσιοδότηση και οι εκτελεστικές πράξεις που προβλέπονται στον παρόντα κανονισμό τίθενται σε ισχύ αρκετά πριν από την ημερομηνία εφαρμογής του κώδικα, προκειμένου να καταστεί δυνατή η έγκαιρη εφαρμογή του από τα κράτη μέλη.</w:t>
      </w:r>
    </w:p>
    <w:p w14:paraId="0590A16D" w14:textId="77777777" w:rsidR="00852918" w:rsidRPr="00483F7D" w:rsidRDefault="007A1FD7" w:rsidP="00B62B15">
      <w:pPr>
        <w:pStyle w:val="Considrant"/>
      </w:pPr>
      <w:r w:rsidRPr="00483F7D">
        <w:t xml:space="preserve">Οι διατάξεις που αναφέρονται στην Τελωνειακή Αρχή της ΕΕ, με εξαίρεση το άρθρο 238, θα πρέπει να αρχίσουν να ισχύουν από την 1η Ιανουαρίου 2028. Μέχρι την ημερομηνία αυτή, η Τελωνειακή Αρχή της ΕΕ θα πρέπει να εκτελεί τα καθήκοντά της χρησιμοποιώντας τα υφιστάμενα ηλεκτρονικά συστήματα για την ανταλλαγή τελωνειακών πληροφοριών που έχει αναπτύξει η Επιτροπή. Οι διατάξεις σχετικά με την απλουστευμένη δασμολογική μεταχείριση για τις εξ αποστάσεως πωλήσεις και τον θεωρούμενο εισαγωγέα θα πρέπει να αρχίσουν να ισχύουν από την 1η Ιανουαρίου 2028. </w:t>
      </w:r>
    </w:p>
    <w:p w14:paraId="188D8135" w14:textId="77777777" w:rsidR="00E0244C" w:rsidRPr="00483F7D" w:rsidRDefault="00E9306A" w:rsidP="00B62B15">
      <w:pPr>
        <w:pStyle w:val="Considrant"/>
      </w:pPr>
      <w:r w:rsidRPr="00483F7D">
        <w:t>Το 2032 οι οικονομικοί φορείς μπορούν να αρχίσουν να χρησιμοποιούν, σε εθελοντική βάση, τις δυνατότητες του τελωνειακού κόμβου δεδομένων της ΕΕ. Έως το τέλος του 2037 ο τελωνειακός κόμβος δεδομένων της ΕΕ θα πρέπει να αναπτυχθεί πλήρως και όλοι οι οικονομικοί φορείς θα τον χρησιμοποιούν. Οι αξιόπιστοι και ελεγμένοι συναλλασσόμενοι και οι θεωρούμενοι εισαγωγείς θα εποπτεύονται από το κράτος μέλος εγκατάστασής τους. Κατά παρέκκλιση και με την επιφύλαξη επανεξέτασης, οι φορείς που δεν είναι αξιόπιστοι και ελεγμένοι συναλλασσόμενοι ούτε θεωρούμενοι εισαγωγείς θα παραμείνουν υπό την επιτήρηση της τελωνειακής αρχής του κράτους μέλους στο οποίο πράγματι βρίσκονται τα εμπορεύματα. Έως τις 31 Δεκεμβρίου 2035 η Επιτροπή θα πρέπει να αξιολογήσει τα δύο μοντέλα επιτήρησης, μεταξύ άλλων όσον αφορά την αποτελεσματικότητά τους για τον εντοπισμό και την πρόληψη της απάτης. Η αξιολόγηση θα πρέπει επίσης να εξετάζει πτυχές της έμμεσης φορολογίας. Με βάση την αξιολόγηση αυτή, η Επιτροπή θα πρέπει να έχει το δικαίωμα να αποφασίζει με κατ’ εξουσιοδότηση πράξη αν θα πρέπει να συνεχιστούν τα δύο μοντέλα ή αν, σε κάθε περίπτωση, η Τελωνειακή Αρχή που είναι αρμόδια για τον τόπο εγκατάστασης του συναλλασσομένου θα πρέπει να παραδίδει τα εμπορεύματα. Ο τόπος γένεσης της τελωνειακής οφειλής θα πρέπει επίσης να ρυθμίζεται σύμφωνα με τον προσδιορισμό της αρμόδιας τελωνειακής αρχής,</w:t>
      </w:r>
    </w:p>
    <w:p w14:paraId="07A280FC" w14:textId="77777777" w:rsidR="00E0244C" w:rsidRPr="00483F7D" w:rsidRDefault="007A1FD7">
      <w:pPr>
        <w:pStyle w:val="Formuledadoption"/>
      </w:pPr>
      <w:r w:rsidRPr="00483F7D">
        <w:t>ΕΞΕΔΩΣΑΝ ΤΟΝ ΠΑΡΟΝΤΑ ΚΑΝΟΝΙΣΜΟ:</w:t>
      </w:r>
    </w:p>
    <w:p w14:paraId="003AF5E7" w14:textId="77777777" w:rsidR="00E0244C" w:rsidRPr="00483F7D" w:rsidRDefault="007A1FD7">
      <w:pPr>
        <w:pStyle w:val="ChapterTitle"/>
      </w:pPr>
      <w:bookmarkStart w:id="19" w:name="__akn_title_GfhUWb"/>
      <w:bookmarkEnd w:id="19"/>
      <w:r w:rsidRPr="00483F7D">
        <w:t xml:space="preserve">ΤΙΤΛΟΣ I </w:t>
      </w:r>
      <w:r w:rsidRPr="00483F7D">
        <w:br/>
        <w:t>ΓΕΝΙΚΕΣ ΔΙΑΤΑΞΕΙΣ</w:t>
      </w:r>
    </w:p>
    <w:p w14:paraId="70F854CA" w14:textId="77777777" w:rsidR="00E0244C" w:rsidRPr="00483F7D" w:rsidRDefault="007A1FD7">
      <w:pPr>
        <w:pStyle w:val="ChapterTitle"/>
      </w:pPr>
      <w:r w:rsidRPr="00483F7D">
        <w:t xml:space="preserve">Κεφάλαιο 1 </w:t>
      </w:r>
      <w:r w:rsidRPr="00483F7D">
        <w:br/>
        <w:t>Πεδίο της τελωνειακής νομοθεσίας και αποστολή των τελωνειακών αρχών</w:t>
      </w:r>
    </w:p>
    <w:p w14:paraId="01D9BA3B" w14:textId="77777777" w:rsidR="00E0244C" w:rsidRPr="00483F7D" w:rsidRDefault="007A1FD7">
      <w:pPr>
        <w:pStyle w:val="Titrearticle"/>
      </w:pPr>
      <w:r w:rsidRPr="00483F7D">
        <w:t>Άρθρο 1</w:t>
      </w:r>
    </w:p>
    <w:p w14:paraId="18CA1A11" w14:textId="77777777" w:rsidR="00E0244C" w:rsidRPr="00483F7D" w:rsidRDefault="007A1FD7">
      <w:pPr>
        <w:pStyle w:val="NormalCentered"/>
      </w:pPr>
      <w:r w:rsidRPr="00483F7D">
        <w:rPr>
          <w:b/>
        </w:rPr>
        <w:t>Αντικείμενο και πεδίο εφαρμογής</w:t>
      </w:r>
    </w:p>
    <w:p w14:paraId="1C56AD3C" w14:textId="77777777" w:rsidR="008012F2" w:rsidRPr="00483F7D" w:rsidRDefault="007A1FD7" w:rsidP="0031659F">
      <w:pPr>
        <w:pStyle w:val="ManualNumPar10"/>
      </w:pPr>
      <w:r w:rsidRPr="00483F7D">
        <w:t>1.</w:t>
      </w:r>
      <w:r w:rsidRPr="00483F7D">
        <w:tab/>
        <w:t xml:space="preserve">Ο παρών κανονισμός θεσπίζει τον ενωσιακό τελωνειακό κώδικα (στο εξής: κώδικας). Ο κανονισμός αυτός καθορίζει τους γενικούς κανόνες και τα καθεστώτα που εφαρμόζονται στα εμπορεύματα τα οποία μεταφέρονται εντός ή εκτός του τελωνειακού εδάφους της Ένωσης. </w:t>
      </w:r>
    </w:p>
    <w:p w14:paraId="4440A3F9" w14:textId="77777777" w:rsidR="00E0244C" w:rsidRPr="00483F7D" w:rsidRDefault="008012F2" w:rsidP="00E026CB">
      <w:pPr>
        <w:pStyle w:val="ManualNumPar10"/>
        <w:ind w:firstLine="0"/>
      </w:pPr>
      <w:r w:rsidRPr="00483F7D">
        <w:t>Ο παρών κανονισμός θεσπίζει επίσης την Τελωνειακή Αρχή της Ευρωπαϊκής Ένωσης (στο εξής: Τελωνειακή Αρχή της ΕΕ) και τους κανόνες, τα κοινά πρότυπα και ένα πλαίσιο διακυβέρνησης για τη δημιουργία του τελωνειακού κόμβου δεδομένων της Ευρωπαϊκής Ένωσης (στο εξής: τελωνειακός κόμβος δεδομένων της ΕΕ).</w:t>
      </w:r>
    </w:p>
    <w:p w14:paraId="7EDF64BD" w14:textId="77777777" w:rsidR="00E0244C" w:rsidRPr="00483F7D" w:rsidRDefault="007A1FD7">
      <w:pPr>
        <w:pStyle w:val="ManualNumPar10"/>
      </w:pPr>
      <w:r w:rsidRPr="00483F7D">
        <w:t>2.</w:t>
      </w:r>
      <w:r w:rsidRPr="00483F7D">
        <w:tab/>
        <w:t>Με την επιφύλαξη του διεθνούς δικαίου και των διεθνών συμβάσεων, καθώς και της ενωσιακής νομοθεσίας που ισχύει σε άλλους τομείς, ο κώδικας εφαρμόζεται ομοιόμορφα σε ολόκληρο το τελωνειακό έδαφος της Ένωσης.</w:t>
      </w:r>
    </w:p>
    <w:p w14:paraId="5B28AC55" w14:textId="77777777" w:rsidR="00E0244C" w:rsidRPr="00483F7D" w:rsidRDefault="007A1FD7">
      <w:pPr>
        <w:pStyle w:val="ManualNumPar10"/>
      </w:pPr>
      <w:r w:rsidRPr="00483F7D">
        <w:t>3.</w:t>
      </w:r>
      <w:r w:rsidRPr="00483F7D">
        <w:tab/>
        <w:t>Ορισμένες διατάξεις της τελωνειακής νομοθεσίας είναι επίσης δυνατό να εφαρμόζονται εκτός του τελωνειακού εδάφους της Ένωσης, δυνάμει νομοθεσίας που διέπει ειδικούς τομείς ή βάσει διεθνών συμβάσεων.</w:t>
      </w:r>
    </w:p>
    <w:p w14:paraId="42681484" w14:textId="77777777" w:rsidR="00E0244C" w:rsidRPr="00483F7D" w:rsidRDefault="007A1FD7">
      <w:pPr>
        <w:pStyle w:val="ManualNumPar10"/>
      </w:pPr>
      <w:r w:rsidRPr="00483F7D">
        <w:t>4.</w:t>
      </w:r>
      <w:r w:rsidRPr="00483F7D">
        <w:tab/>
        <w:t>Ορισμένες διατάξεις της τελωνειακής νομοθεσίας, συμπεριλαμβανομένων των απλουστεύσεων τις οποίες αυτή προβλέπει, εφαρμόζονται στις συναλλαγές ενωσιακών εμπορευμάτων μεταξύ τμημάτων του ενωσιακού τελωνειακού εδάφους όπου εφαρμόζονται οι διατάξεις της οδηγίας 2006/112/ΕΚ του Συμβουλίου</w:t>
      </w:r>
      <w:r w:rsidRPr="00483F7D">
        <w:rPr>
          <w:rStyle w:val="FootnoteReference"/>
        </w:rPr>
        <w:footnoteReference w:id="60"/>
      </w:r>
      <w:r w:rsidRPr="00483F7D">
        <w:t xml:space="preserve"> ή της οδηγίας (ΕΕ) 2020/262 του Συμβουλίου</w:t>
      </w:r>
      <w:r w:rsidRPr="00483F7D">
        <w:rPr>
          <w:rStyle w:val="FootnoteReference"/>
        </w:rPr>
        <w:footnoteReference w:id="61"/>
      </w:r>
      <w:r w:rsidRPr="00483F7D">
        <w:t xml:space="preserve"> και τμημάτων του εδάφους αυτού όπου δεν εφαρμόζονται οι εν λόγω διατάξεις, ή στις συναλλαγές μεταξύ τμημάτων του εν λόγω εδάφους όπου δεν ισχύουν οι εν λόγω διατάξεις.</w:t>
      </w:r>
    </w:p>
    <w:p w14:paraId="2DE7EB6A" w14:textId="77777777" w:rsidR="00E0244C" w:rsidRPr="00483F7D" w:rsidRDefault="007A1FD7">
      <w:pPr>
        <w:pStyle w:val="Titrearticle"/>
      </w:pPr>
      <w:bookmarkStart w:id="20" w:name="__akn_article_lz6gSh"/>
      <w:bookmarkEnd w:id="20"/>
      <w:r w:rsidRPr="00483F7D">
        <w:t>Άρθρο 2</w:t>
      </w:r>
    </w:p>
    <w:p w14:paraId="353F04B8" w14:textId="77777777" w:rsidR="00E0244C" w:rsidRPr="00483F7D" w:rsidRDefault="007A1FD7">
      <w:pPr>
        <w:pStyle w:val="NormalCentered"/>
      </w:pPr>
      <w:r w:rsidRPr="00483F7D">
        <w:rPr>
          <w:b/>
        </w:rPr>
        <w:t>Αποστολή των τελωνειακών αρχών</w:t>
      </w:r>
    </w:p>
    <w:p w14:paraId="4DA4DE0F" w14:textId="77777777" w:rsidR="00E0244C" w:rsidRPr="00483F7D" w:rsidRDefault="007A1FD7" w:rsidP="00E026CB">
      <w:pPr>
        <w:pStyle w:val="ManualNumPar10"/>
        <w:ind w:firstLine="0"/>
      </w:pPr>
      <w:r w:rsidRPr="00483F7D">
        <w:t>Προκειμένου να επιτευχθεί εναρμονισμένη εφαρμογή των τελωνειακών ελέγχων, να ενεργεί η τελωνειακή ένωση ως ενιαίο σύνολο και να συμβάλλει στην ομαλή λειτουργία της εσωτερικής αγοράς, οι τελωνειακές αρχές είναι υπεύθυνες για την προστασία των δημοσιονομικών και οικονομικών συμφερόντων της Ένωσης και των κρατών μελών της, για την κατοχύρωση της ασφάλειας και της προστασίας και για τη συμβολή στις άλλες πολιτικές της Ένωσης που αφορούν την προστασία των πολιτών και των κατοίκων, των καταναλωτών, του περιβάλλοντος και του συνόλου των εφοδιαστικών αλυσίδων, για την προστασία της Ένωσης από το παράνομο εμπόριο, για τη διευκόλυνση των νόμιμων επιχειρηματικών δραστηριοτήτων και για την εποπτεία του διεθνούς εμπορίου της Ένωσης, ώστε να συμβάλλουν στο δίκαιο και ανοικτό εμπόριο και στην κοινή εμπορική πολιτική.</w:t>
      </w:r>
    </w:p>
    <w:p w14:paraId="48E7CFC6" w14:textId="77777777" w:rsidR="00E0244C" w:rsidRPr="00483F7D" w:rsidRDefault="007A1FD7" w:rsidP="00E026CB">
      <w:pPr>
        <w:pStyle w:val="ManualNumPar10"/>
        <w:ind w:firstLine="0"/>
      </w:pPr>
      <w:r w:rsidRPr="00483F7D">
        <w:t>Οι τελωνειακές αρχές εφαρμόζουν μέτρα που αποσκοπούν ιδίως στα ακόλουθα:</w:t>
      </w:r>
    </w:p>
    <w:p w14:paraId="001AAF1B" w14:textId="3BF29EFA" w:rsidR="00E0244C" w:rsidRPr="00483F7D" w:rsidRDefault="00BC60FC" w:rsidP="00BC60FC">
      <w:pPr>
        <w:pStyle w:val="Point1"/>
      </w:pPr>
      <w:r w:rsidRPr="00483F7D">
        <w:t>α)</w:t>
      </w:r>
      <w:r w:rsidRPr="00483F7D">
        <w:tab/>
      </w:r>
      <w:r w:rsidR="00C45E11" w:rsidRPr="00483F7D">
        <w:t>τη διασφάλιση της ορθής είσπραξης των τελωνειακών δασμών και λοιπών επιβαρύνσεων·</w:t>
      </w:r>
    </w:p>
    <w:p w14:paraId="1ABC5FED" w14:textId="6F37BDBA" w:rsidR="00E0244C" w:rsidRPr="00483F7D" w:rsidRDefault="00BC60FC" w:rsidP="00BC60FC">
      <w:pPr>
        <w:pStyle w:val="Point1"/>
      </w:pPr>
      <w:r w:rsidRPr="00483F7D">
        <w:t>β)</w:t>
      </w:r>
      <w:r w:rsidRPr="00483F7D">
        <w:tab/>
      </w:r>
      <w:r w:rsidR="00901B43" w:rsidRPr="00483F7D">
        <w:t>τη διασφάλιση ότι τα εμπορεύματα που παρουσιάζουν κίνδυνο για την ασφάλεια ή την προστασία των πολιτών και των κατοίκων δεν εισέρχονται στο τελωνειακό έδαφος της Ένωσης, με τη θέσπιση των κατάλληλων μέτρων για τον έλεγχο των εμπορευμάτων και των εφοδιαστικών αλυσίδων·</w:t>
      </w:r>
    </w:p>
    <w:p w14:paraId="47B8B4A8" w14:textId="0FAE6085" w:rsidR="00E0244C" w:rsidRPr="00483F7D" w:rsidRDefault="00BC60FC" w:rsidP="00BC60FC">
      <w:pPr>
        <w:pStyle w:val="Point1"/>
      </w:pPr>
      <w:bookmarkStart w:id="21" w:name="_Hlk132814913"/>
      <w:r w:rsidRPr="00483F7D">
        <w:t>γ)</w:t>
      </w:r>
      <w:r w:rsidRPr="00483F7D">
        <w:tab/>
      </w:r>
      <w:r w:rsidR="00901B43" w:rsidRPr="00483F7D">
        <w:t>τη συμβολή στην προστασία της υγείας και της ζωής των ανθρώπων, των ζώων ή των φυτών, του περιβάλλοντος, των καταναλωτών και άλλων δημόσιων συμφερόντων που προστατεύονται από τη λοιπή νομοθεσία που εφαρμόζεται από τις τελωνειακές αρχές, σε στενή συνεργασία με άλλες αρχές, με τη διασφάλιση ότι τα εμπορεύματα που παρουσιάζουν σχετικούς κινδύνους δεν εισέρχονται στο τελωνειακό έδαφος της Ένωσης ούτε εξέρχονται από αυτό·</w:t>
      </w:r>
      <w:bookmarkEnd w:id="21"/>
    </w:p>
    <w:p w14:paraId="13F763AE" w14:textId="454B4AE7" w:rsidR="00E0244C" w:rsidRPr="00483F7D" w:rsidRDefault="00BC60FC" w:rsidP="00BC60FC">
      <w:pPr>
        <w:pStyle w:val="Point1"/>
      </w:pPr>
      <w:r w:rsidRPr="00483F7D">
        <w:t>δ)</w:t>
      </w:r>
      <w:r w:rsidRPr="00483F7D">
        <w:tab/>
      </w:r>
      <w:r w:rsidR="00901B43" w:rsidRPr="00483F7D">
        <w:t>την προστασία της Ένωσης από το αθέμιτο, μη συμμορφούμενο και παράνομο εμπόριο, μεταξύ άλλων μέσω της στενής παρακολούθησης των οικονομικών φορέων και των εφοδιαστικών αλυσίδων και ενός ελάχιστου πυρήνα τελωνειακών παραβάσεων και κυρώσεων·</w:t>
      </w:r>
    </w:p>
    <w:p w14:paraId="14B7CB1A" w14:textId="095BA554" w:rsidR="00E0244C" w:rsidRPr="00483F7D" w:rsidRDefault="00BC60FC" w:rsidP="00BC60FC">
      <w:pPr>
        <w:pStyle w:val="Point1"/>
      </w:pPr>
      <w:r w:rsidRPr="00483F7D">
        <w:t>ε)</w:t>
      </w:r>
      <w:r w:rsidRPr="00483F7D">
        <w:tab/>
      </w:r>
      <w:r w:rsidR="00901B43" w:rsidRPr="00483F7D">
        <w:t>τη στήριξη της νόμιμης επιχειρηματικής δραστηριότητας, με τη διατήρηση κατάλληλης ισορροπίας μεταξύ των τελωνειακών ελέγχων και της διευκόλυνσης του νόμιμου εμπορίου και με την απλούστευση των τελωνειακών διαδικασιών και καθεστώτων.</w:t>
      </w:r>
    </w:p>
    <w:p w14:paraId="69F76375" w14:textId="77777777" w:rsidR="00E0244C" w:rsidRPr="00483F7D" w:rsidRDefault="007A1FD7">
      <w:pPr>
        <w:pStyle w:val="Titrearticle"/>
      </w:pPr>
      <w:r w:rsidRPr="00483F7D">
        <w:t>Άρθρο 3</w:t>
      </w:r>
    </w:p>
    <w:p w14:paraId="52AF767D" w14:textId="77777777" w:rsidR="00E0244C" w:rsidRPr="00483F7D" w:rsidRDefault="007A1FD7">
      <w:pPr>
        <w:pStyle w:val="NormalCentered"/>
      </w:pPr>
      <w:r w:rsidRPr="00483F7D">
        <w:rPr>
          <w:b/>
        </w:rPr>
        <w:t>Τελωνειακό έδαφος</w:t>
      </w:r>
    </w:p>
    <w:p w14:paraId="30618456" w14:textId="77777777" w:rsidR="00E0244C" w:rsidRPr="00483F7D" w:rsidRDefault="007A1FD7">
      <w:pPr>
        <w:pStyle w:val="ManualNumPar10"/>
      </w:pPr>
      <w:r w:rsidRPr="00483F7D">
        <w:t>1.</w:t>
      </w:r>
      <w:r w:rsidRPr="00483F7D">
        <w:tab/>
        <w:t>Το τελωνειακό έδαφος της Ένωσης περιλαμβάνει τα ακόλουθα εδάφη, συμπεριλαμβανομένων των χωρικών υδάτων, των εσωτερικών υδάτων και του εναέριου χώρου τους:</w:t>
      </w:r>
    </w:p>
    <w:p w14:paraId="281E9270" w14:textId="012108C7" w:rsidR="00E0244C" w:rsidRPr="00483F7D" w:rsidRDefault="00BC60FC" w:rsidP="00BC60FC">
      <w:pPr>
        <w:pStyle w:val="Point1"/>
      </w:pPr>
      <w:r w:rsidRPr="00483F7D">
        <w:t>α)</w:t>
      </w:r>
      <w:r w:rsidRPr="00483F7D">
        <w:tab/>
      </w:r>
      <w:r w:rsidR="007A1FD7" w:rsidRPr="00483F7D">
        <w:t>το έδαφος του Βασιλείου του Βελγίου,</w:t>
      </w:r>
    </w:p>
    <w:p w14:paraId="37E49932" w14:textId="020D269E" w:rsidR="00101484" w:rsidRPr="00483F7D" w:rsidRDefault="00BC60FC" w:rsidP="00BC60FC">
      <w:pPr>
        <w:pStyle w:val="Point1"/>
      </w:pPr>
      <w:r w:rsidRPr="00483F7D">
        <w:t>β)</w:t>
      </w:r>
      <w:r w:rsidRPr="00483F7D">
        <w:tab/>
      </w:r>
      <w:r w:rsidR="00101484" w:rsidRPr="00483F7D">
        <w:t>το έδαφος της Δημοκρατίας της Βουλγαρίας,</w:t>
      </w:r>
    </w:p>
    <w:p w14:paraId="57D5EA14" w14:textId="3EC7CE98" w:rsidR="00101484" w:rsidRPr="00483F7D" w:rsidRDefault="00BC60FC" w:rsidP="00BC60FC">
      <w:pPr>
        <w:pStyle w:val="Point1"/>
      </w:pPr>
      <w:r w:rsidRPr="00483F7D">
        <w:t>γ)</w:t>
      </w:r>
      <w:r w:rsidRPr="00483F7D">
        <w:tab/>
      </w:r>
      <w:r w:rsidR="00101484" w:rsidRPr="00483F7D">
        <w:t>το έδαφος της Τσεχικής Δημοκρατίας,</w:t>
      </w:r>
    </w:p>
    <w:p w14:paraId="4481F614" w14:textId="33ED5E39" w:rsidR="00E0244C" w:rsidRPr="00483F7D" w:rsidRDefault="00BC60FC" w:rsidP="00BC60FC">
      <w:pPr>
        <w:pStyle w:val="Point1"/>
      </w:pPr>
      <w:r w:rsidRPr="00483F7D">
        <w:t>δ)</w:t>
      </w:r>
      <w:r w:rsidRPr="00483F7D">
        <w:tab/>
      </w:r>
      <w:r w:rsidR="007A1FD7" w:rsidRPr="00483F7D">
        <w:t>το έδαφος του Βασιλείου της Δανίας, πλην των Φερόων Νήσων και της Γροιλανδίας,</w:t>
      </w:r>
    </w:p>
    <w:p w14:paraId="48CA3DEC" w14:textId="59F5A2AF" w:rsidR="00E0244C" w:rsidRPr="00483F7D" w:rsidRDefault="00BC60FC" w:rsidP="00BC60FC">
      <w:pPr>
        <w:pStyle w:val="Point1"/>
      </w:pPr>
      <w:r w:rsidRPr="00483F7D">
        <w:t>ε)</w:t>
      </w:r>
      <w:r w:rsidRPr="00483F7D">
        <w:tab/>
      </w:r>
      <w:r w:rsidR="007A1FD7" w:rsidRPr="00483F7D">
        <w:t>το έδαφος της Ομοσπονδιακής Δημοκρατίας της Γερμανίας, πλην της νήσου Ελιγολάνδης και του εδάφους του Μπίζινγκεν (συνθήκη της 23ης Νοεμβρίου 1964 μεταξύ της Ομοσπονδιακής Δημοκρατίας της Γερμανίας και της Ελβετικής Συνομοσπονδίας),</w:t>
      </w:r>
    </w:p>
    <w:p w14:paraId="11B66CB7" w14:textId="6DA31F00" w:rsidR="00E0244C" w:rsidRPr="00483F7D" w:rsidRDefault="00BC60FC" w:rsidP="00BC60FC">
      <w:pPr>
        <w:pStyle w:val="Point1"/>
      </w:pPr>
      <w:r w:rsidRPr="00483F7D">
        <w:t>στ)</w:t>
      </w:r>
      <w:r w:rsidRPr="00483F7D">
        <w:tab/>
      </w:r>
      <w:r w:rsidR="007A1FD7" w:rsidRPr="00483F7D">
        <w:t>το έδαφος της Δημοκρατίας της Εσθονίας,</w:t>
      </w:r>
    </w:p>
    <w:p w14:paraId="1E756420" w14:textId="26D0151D" w:rsidR="00E0244C" w:rsidRPr="00483F7D" w:rsidRDefault="00BC60FC" w:rsidP="00BC60FC">
      <w:pPr>
        <w:pStyle w:val="Point1"/>
      </w:pPr>
      <w:r w:rsidRPr="00483F7D">
        <w:t>ζ)</w:t>
      </w:r>
      <w:r w:rsidRPr="00483F7D">
        <w:tab/>
      </w:r>
      <w:r w:rsidR="007A1FD7" w:rsidRPr="00483F7D">
        <w:t>το έδαφος της Ιρλανδίας,</w:t>
      </w:r>
    </w:p>
    <w:p w14:paraId="188EE995" w14:textId="0B8ED5B3" w:rsidR="00E0244C" w:rsidRPr="00483F7D" w:rsidRDefault="00BC60FC" w:rsidP="00BC60FC">
      <w:pPr>
        <w:pStyle w:val="Point1"/>
      </w:pPr>
      <w:r w:rsidRPr="00483F7D">
        <w:t>η)</w:t>
      </w:r>
      <w:r w:rsidRPr="00483F7D">
        <w:tab/>
      </w:r>
      <w:r w:rsidR="007A1FD7" w:rsidRPr="00483F7D">
        <w:t>το έδαφος της Ελληνικής Δημοκρατίας,</w:t>
      </w:r>
    </w:p>
    <w:p w14:paraId="3DA3B752" w14:textId="1E0600CD" w:rsidR="00E0244C" w:rsidRPr="00483F7D" w:rsidRDefault="00BC60FC" w:rsidP="00BC60FC">
      <w:pPr>
        <w:pStyle w:val="Point1"/>
      </w:pPr>
      <w:r w:rsidRPr="00483F7D">
        <w:t>θ)</w:t>
      </w:r>
      <w:r w:rsidRPr="00483F7D">
        <w:tab/>
      </w:r>
      <w:r w:rsidR="007A1FD7" w:rsidRPr="00483F7D">
        <w:t>το έδαφος του Βασιλείου της Ισπανίας, εκτός από τη Θέουτα και τη Μελίγια,</w:t>
      </w:r>
    </w:p>
    <w:p w14:paraId="4CBC957D" w14:textId="1FE9361F" w:rsidR="00E0244C" w:rsidRPr="00483F7D" w:rsidRDefault="00BC60FC" w:rsidP="00BC60FC">
      <w:pPr>
        <w:pStyle w:val="Point1"/>
      </w:pPr>
      <w:r w:rsidRPr="00483F7D">
        <w:t>ι)</w:t>
      </w:r>
      <w:r w:rsidRPr="00483F7D">
        <w:tab/>
      </w:r>
      <w:r w:rsidR="007A1FD7" w:rsidRPr="00483F7D">
        <w:t>το έδαφος της Γαλλικής Δημοκρατίας, εκτός από τις γαλλικές υπερπόντιες χώρες και εδάφη στις οποίες εφαρμόζονται οι διατάξεις του τέταρτου μέρους της ΣΛΕΕ,</w:t>
      </w:r>
    </w:p>
    <w:p w14:paraId="79BFA7EF" w14:textId="4F89D782" w:rsidR="00E0244C" w:rsidRPr="00483F7D" w:rsidRDefault="00BC60FC" w:rsidP="00BC60FC">
      <w:pPr>
        <w:pStyle w:val="Point1"/>
      </w:pPr>
      <w:r w:rsidRPr="00483F7D">
        <w:t>ια)</w:t>
      </w:r>
      <w:r w:rsidRPr="00483F7D">
        <w:tab/>
      </w:r>
      <w:r w:rsidR="007A1FD7" w:rsidRPr="00483F7D">
        <w:t>το έδαφος της Δημοκρατίας της Κροατίας,</w:t>
      </w:r>
    </w:p>
    <w:p w14:paraId="489A7F9F" w14:textId="24C9E3D4" w:rsidR="00E0244C" w:rsidRPr="00483F7D" w:rsidRDefault="00BC60FC" w:rsidP="00BC60FC">
      <w:pPr>
        <w:pStyle w:val="Point1"/>
      </w:pPr>
      <w:r w:rsidRPr="00483F7D">
        <w:t>ιβ)</w:t>
      </w:r>
      <w:r w:rsidRPr="00483F7D">
        <w:tab/>
      </w:r>
      <w:r w:rsidR="007A1FD7" w:rsidRPr="00483F7D">
        <w:t>το έδαφος της Ιταλικής Δημοκρατίας, εκτός από τον δήμο του Λιβίνιο,</w:t>
      </w:r>
    </w:p>
    <w:p w14:paraId="6A1EE414" w14:textId="1BB2BD9E" w:rsidR="00A20A97" w:rsidRPr="00483F7D" w:rsidRDefault="00BC60FC" w:rsidP="00BC60FC">
      <w:pPr>
        <w:pStyle w:val="Point1"/>
      </w:pPr>
      <w:r w:rsidRPr="00483F7D">
        <w:t>ιγ)</w:t>
      </w:r>
      <w:r w:rsidRPr="00483F7D">
        <w:tab/>
      </w:r>
      <w:r w:rsidR="00A20A97" w:rsidRPr="00483F7D">
        <w:t>το έδαφος της Κυπριακής Δημοκρατίας, σύμφωνα με τις διατάξεις της πράξης προσχώρησης του 2003,</w:t>
      </w:r>
    </w:p>
    <w:p w14:paraId="3E20D3FE" w14:textId="52EE3685" w:rsidR="00A20A97" w:rsidRPr="00483F7D" w:rsidRDefault="00BC60FC" w:rsidP="00BC60FC">
      <w:pPr>
        <w:pStyle w:val="Point1"/>
      </w:pPr>
      <w:r w:rsidRPr="00483F7D">
        <w:t>ιδ)</w:t>
      </w:r>
      <w:r w:rsidRPr="00483F7D">
        <w:tab/>
      </w:r>
      <w:r w:rsidR="00A20A97" w:rsidRPr="00483F7D">
        <w:t>το έδαφος της Δημοκρατίας της Λετονίας,</w:t>
      </w:r>
    </w:p>
    <w:p w14:paraId="0C71935D" w14:textId="53497F3F" w:rsidR="00A20A97" w:rsidRPr="00483F7D" w:rsidRDefault="00BC60FC" w:rsidP="00BC60FC">
      <w:pPr>
        <w:pStyle w:val="Point1"/>
      </w:pPr>
      <w:r w:rsidRPr="00483F7D">
        <w:t>ιε)</w:t>
      </w:r>
      <w:r w:rsidRPr="00483F7D">
        <w:tab/>
      </w:r>
      <w:r w:rsidR="00A20A97" w:rsidRPr="00483F7D">
        <w:t>το έδαφος της Δημοκρατίας της Λιθουανίας,</w:t>
      </w:r>
    </w:p>
    <w:p w14:paraId="7C2F1353" w14:textId="40D7D90C" w:rsidR="00A20A97" w:rsidRPr="00483F7D" w:rsidRDefault="00BC60FC" w:rsidP="00BC60FC">
      <w:pPr>
        <w:pStyle w:val="Point1"/>
      </w:pPr>
      <w:r w:rsidRPr="00483F7D">
        <w:t>ιστ)</w:t>
      </w:r>
      <w:r w:rsidRPr="00483F7D">
        <w:tab/>
      </w:r>
      <w:r w:rsidR="00A20A97" w:rsidRPr="00483F7D">
        <w:t>το έδαφος του Μεγάλου Δουκάτου του Λουξεμβούργου,</w:t>
      </w:r>
    </w:p>
    <w:p w14:paraId="35054E5D" w14:textId="30F8914F" w:rsidR="00A20A97" w:rsidRPr="00483F7D" w:rsidRDefault="00BC60FC" w:rsidP="00BC60FC">
      <w:pPr>
        <w:pStyle w:val="Point1"/>
      </w:pPr>
      <w:r w:rsidRPr="00483F7D">
        <w:t>ιζ)</w:t>
      </w:r>
      <w:r w:rsidRPr="00483F7D">
        <w:tab/>
      </w:r>
      <w:r w:rsidR="00A20A97" w:rsidRPr="00483F7D">
        <w:t>το έδαφος της Ουγγαρίας,</w:t>
      </w:r>
    </w:p>
    <w:p w14:paraId="279C1F54" w14:textId="76C8D808" w:rsidR="00A20A97" w:rsidRPr="00483F7D" w:rsidRDefault="00BC60FC" w:rsidP="00BC60FC">
      <w:pPr>
        <w:pStyle w:val="Point1"/>
      </w:pPr>
      <w:r w:rsidRPr="00483F7D">
        <w:t>ιη)</w:t>
      </w:r>
      <w:r w:rsidRPr="00483F7D">
        <w:tab/>
      </w:r>
      <w:r w:rsidR="00A20A97" w:rsidRPr="00483F7D">
        <w:t>το έδαφος της Δημοκρατίας της Μάλτας,</w:t>
      </w:r>
    </w:p>
    <w:p w14:paraId="2B6A8F51" w14:textId="161B269D" w:rsidR="00A20A97" w:rsidRPr="00483F7D" w:rsidRDefault="00BC60FC" w:rsidP="00BC60FC">
      <w:pPr>
        <w:pStyle w:val="Point1"/>
      </w:pPr>
      <w:r w:rsidRPr="00483F7D">
        <w:t>ιθ)</w:t>
      </w:r>
      <w:r w:rsidRPr="00483F7D">
        <w:tab/>
      </w:r>
      <w:r w:rsidR="00A20A97" w:rsidRPr="00483F7D">
        <w:t>το ευρωπαϊκό έδαφος του Βασιλείου των Κάτω Χωρών,</w:t>
      </w:r>
    </w:p>
    <w:p w14:paraId="3208D9F0" w14:textId="5A4DD8DA" w:rsidR="00A20A97" w:rsidRPr="00483F7D" w:rsidRDefault="00BC60FC" w:rsidP="00BC60FC">
      <w:pPr>
        <w:pStyle w:val="Point1"/>
      </w:pPr>
      <w:r w:rsidRPr="00483F7D">
        <w:t>κ)</w:t>
      </w:r>
      <w:r w:rsidRPr="00483F7D">
        <w:tab/>
      </w:r>
      <w:r w:rsidR="00A20A97" w:rsidRPr="00483F7D">
        <w:t>το έδαφος της Δημοκρατίας της Αυστρίας,</w:t>
      </w:r>
    </w:p>
    <w:p w14:paraId="189D98EB" w14:textId="5BB05D03" w:rsidR="00A20A97" w:rsidRPr="00483F7D" w:rsidRDefault="00BC60FC" w:rsidP="00BC60FC">
      <w:pPr>
        <w:pStyle w:val="Point1"/>
      </w:pPr>
      <w:r w:rsidRPr="00483F7D">
        <w:t>κα)</w:t>
      </w:r>
      <w:r w:rsidRPr="00483F7D">
        <w:tab/>
      </w:r>
      <w:r w:rsidR="00A20A97" w:rsidRPr="00483F7D">
        <w:t>το έδαφος της Δημοκρατίας της Πολωνίας,</w:t>
      </w:r>
    </w:p>
    <w:p w14:paraId="710022D8" w14:textId="4404BD8F" w:rsidR="00A20A97" w:rsidRPr="00483F7D" w:rsidRDefault="00BC60FC" w:rsidP="00BC60FC">
      <w:pPr>
        <w:pStyle w:val="Point1"/>
      </w:pPr>
      <w:r w:rsidRPr="00483F7D">
        <w:t>κβ)</w:t>
      </w:r>
      <w:r w:rsidRPr="00483F7D">
        <w:tab/>
      </w:r>
      <w:r w:rsidR="00A20A97" w:rsidRPr="00483F7D">
        <w:t> το έδαφος της Πορτογαλικής Δημοκρατίας,</w:t>
      </w:r>
    </w:p>
    <w:p w14:paraId="2D45B081" w14:textId="26B79F8A" w:rsidR="00A20A97" w:rsidRPr="00483F7D" w:rsidRDefault="00BC60FC" w:rsidP="00BC60FC">
      <w:pPr>
        <w:pStyle w:val="Point1"/>
      </w:pPr>
      <w:r w:rsidRPr="00483F7D">
        <w:t>κγ)</w:t>
      </w:r>
      <w:r w:rsidRPr="00483F7D">
        <w:tab/>
      </w:r>
      <w:r w:rsidR="00A20A97" w:rsidRPr="00483F7D">
        <w:t>το έδαφος της Ρουμανίας,</w:t>
      </w:r>
    </w:p>
    <w:p w14:paraId="65911E67" w14:textId="585C26B2" w:rsidR="00A20A97" w:rsidRPr="00483F7D" w:rsidRDefault="00BC60FC" w:rsidP="00BC60FC">
      <w:pPr>
        <w:pStyle w:val="Point1"/>
      </w:pPr>
      <w:r w:rsidRPr="00483F7D">
        <w:t>κδ)</w:t>
      </w:r>
      <w:r w:rsidRPr="00483F7D">
        <w:tab/>
      </w:r>
      <w:r w:rsidR="00A20A97" w:rsidRPr="00483F7D">
        <w:t>το έδαφος της Δημοκρατίας της Σλοβενίας,</w:t>
      </w:r>
    </w:p>
    <w:p w14:paraId="0B483195" w14:textId="1072DAA2" w:rsidR="00A20A97" w:rsidRPr="00483F7D" w:rsidRDefault="00BC60FC" w:rsidP="00BC60FC">
      <w:pPr>
        <w:pStyle w:val="Point1"/>
      </w:pPr>
      <w:r w:rsidRPr="00483F7D">
        <w:t>κε)</w:t>
      </w:r>
      <w:r w:rsidRPr="00483F7D">
        <w:tab/>
      </w:r>
      <w:r w:rsidR="00A20A97" w:rsidRPr="00483F7D">
        <w:t>το έδαφος της Σλοβακικής Δημοκρατίας,</w:t>
      </w:r>
    </w:p>
    <w:p w14:paraId="6BA2E4A3" w14:textId="27891D1F" w:rsidR="00A20A97" w:rsidRPr="00483F7D" w:rsidRDefault="00BC60FC" w:rsidP="00BC60FC">
      <w:pPr>
        <w:pStyle w:val="Point1"/>
      </w:pPr>
      <w:r w:rsidRPr="00483F7D">
        <w:t>κστ)</w:t>
      </w:r>
      <w:r w:rsidRPr="00483F7D">
        <w:tab/>
      </w:r>
      <w:r w:rsidR="00A20A97" w:rsidRPr="00483F7D">
        <w:t>το έδαφος της Δημοκρατίας της Φινλανδίας, και</w:t>
      </w:r>
    </w:p>
    <w:p w14:paraId="632A344E" w14:textId="2F3169D3" w:rsidR="00A20A97" w:rsidRPr="00483F7D" w:rsidRDefault="00BC60FC" w:rsidP="00BC60FC">
      <w:pPr>
        <w:pStyle w:val="Point1"/>
      </w:pPr>
      <w:r w:rsidRPr="00483F7D">
        <w:t>κζ)</w:t>
      </w:r>
      <w:r w:rsidRPr="00483F7D">
        <w:tab/>
      </w:r>
      <w:r w:rsidR="00A20A97" w:rsidRPr="00483F7D">
        <w:t>το έδαφος του Βασιλείου της Σουηδίας.</w:t>
      </w:r>
    </w:p>
    <w:p w14:paraId="65256E2C" w14:textId="77777777" w:rsidR="00E0244C" w:rsidRPr="00483F7D" w:rsidRDefault="007A1FD7">
      <w:pPr>
        <w:pStyle w:val="ManualNumPar10"/>
      </w:pPr>
      <w:r w:rsidRPr="00483F7D">
        <w:t>2.</w:t>
      </w:r>
      <w:r w:rsidRPr="00483F7D">
        <w:tab/>
        <w:t>Τα ακόλουθα εδάφη, συμπεριλαμβανομένων των χωρικών υδάτων, των εσωτερικών υδάτων και του εναέριου χώρου τους, που βρίσκονται εκτός του εδάφους των κρατών μελών, θεωρούνται, λαμβανομένων υπόψη των συμβάσεων και συνθηκών που ισχύουν γι’ αυτά, τμήμα του τελωνειακού εδάφους της Ένωσης:</w:t>
      </w:r>
    </w:p>
    <w:p w14:paraId="68008604" w14:textId="77777777" w:rsidR="00E0244C" w:rsidRPr="00483F7D" w:rsidRDefault="007A1FD7">
      <w:pPr>
        <w:pStyle w:val="Point1"/>
      </w:pPr>
      <w:r w:rsidRPr="00483F7D">
        <w:t>α)</w:t>
      </w:r>
      <w:r w:rsidRPr="00483F7D">
        <w:tab/>
        <w:t>ΓΑΛΛΙΑ</w:t>
      </w:r>
    </w:p>
    <w:p w14:paraId="77224734" w14:textId="77777777" w:rsidR="00E0244C" w:rsidRPr="00483F7D" w:rsidRDefault="007A1FD7">
      <w:pPr>
        <w:pStyle w:val="Text2"/>
      </w:pPr>
      <w:r w:rsidRPr="00483F7D">
        <w:t>το έδαφος του Μονακό, όπως καθορίζεται από την τελωνειακή σύμβαση που υπογράφηκε στο Παρίσι στις 18 Μαΐου 1963 (Journal Officiel de la République française - Επίσημη Εφημερίδα της Γαλλικής Δημοκρατίας) της 27ης Σεπτεμβρίου 1963, σ. 8679,</w:t>
      </w:r>
    </w:p>
    <w:p w14:paraId="79128A7A" w14:textId="77777777" w:rsidR="00E0244C" w:rsidRPr="00483F7D" w:rsidRDefault="007A1FD7">
      <w:pPr>
        <w:pStyle w:val="Point1"/>
      </w:pPr>
      <w:r w:rsidRPr="00483F7D">
        <w:t>β)</w:t>
      </w:r>
      <w:r w:rsidRPr="00483F7D">
        <w:tab/>
        <w:t>ΚΥΠΡΟΣ</w:t>
      </w:r>
    </w:p>
    <w:p w14:paraId="57575C6F" w14:textId="77777777" w:rsidR="00E0244C" w:rsidRPr="00483F7D" w:rsidRDefault="007A1FD7">
      <w:pPr>
        <w:pStyle w:val="Text2"/>
      </w:pPr>
      <w:r w:rsidRPr="00483F7D">
        <w:t>το έδαφος της περιοχής των κυρίαρχων βάσεων του Ηνωμένου Βασιλείου, στο Ακρωτήρι και τη Δεκέλεια, όπως ορίζεται από τη Συνθήκη Εγκαθιδρύσεως της Κυπριακής Δημοκρατίας, που υπεγράφη στη Λευκωσία στις 16 Αυγούστου 1960 [United Kingdom Treaty Series αριθ. 4 (1961) Cmnd. 1252].</w:t>
      </w:r>
    </w:p>
    <w:p w14:paraId="4D8200BD" w14:textId="77777777" w:rsidR="00E0244C" w:rsidRPr="00483F7D" w:rsidRDefault="007A1FD7">
      <w:pPr>
        <w:pStyle w:val="Titrearticle"/>
      </w:pPr>
      <w:r w:rsidRPr="00483F7D">
        <w:t>Άρθρο 4</w:t>
      </w:r>
    </w:p>
    <w:p w14:paraId="0F633A84" w14:textId="77777777" w:rsidR="00E0244C" w:rsidRPr="00483F7D" w:rsidRDefault="007A1FD7">
      <w:pPr>
        <w:pStyle w:val="NormalCentered"/>
      </w:pPr>
      <w:r w:rsidRPr="00483F7D">
        <w:rPr>
          <w:b/>
        </w:rPr>
        <w:t>Εξουσιοδότηση</w:t>
      </w:r>
    </w:p>
    <w:p w14:paraId="6CC883FC" w14:textId="77777777" w:rsidR="00E0244C" w:rsidRPr="00483F7D" w:rsidRDefault="007A1FD7">
      <w:r w:rsidRPr="00483F7D">
        <w:t>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και την τροποποίηση του παρόντος κανονισμού με τον καθορισμό των διατάξεων της τελωνειακής νομοθεσίας οι οποίες εφαρμόζονται στις εμπορικές συναλλαγές ενωσιακών εμπορευμάτων που αναφέρονται στο άρθρο 1 παράγραφος 4. Οι εν λόγω πράξεις μπορεί να αφορούν τις ιδιαίτερες περιστάσεις που σχετίζονται με εμπορικές συναλλαγές ενωσιακών εμπορευμάτων στις οποίες εμπλέκεται ένα μόνο κράτος μέλος.</w:t>
      </w:r>
    </w:p>
    <w:p w14:paraId="637C56ED" w14:textId="77777777" w:rsidR="00E0244C" w:rsidRPr="00483F7D" w:rsidRDefault="007A1FD7">
      <w:pPr>
        <w:pStyle w:val="ChapterTitle"/>
      </w:pPr>
      <w:r w:rsidRPr="00483F7D">
        <w:t xml:space="preserve">Κεφάλαιο 2 </w:t>
      </w:r>
      <w:r w:rsidRPr="00483F7D">
        <w:br/>
        <w:t>Ορισμοί</w:t>
      </w:r>
    </w:p>
    <w:p w14:paraId="341FB005" w14:textId="77777777" w:rsidR="00E0244C" w:rsidRPr="00483F7D" w:rsidRDefault="007A1FD7">
      <w:pPr>
        <w:pStyle w:val="Titrearticle"/>
      </w:pPr>
      <w:r w:rsidRPr="00483F7D">
        <w:t>Άρθρο 5</w:t>
      </w:r>
    </w:p>
    <w:p w14:paraId="3EB07533" w14:textId="77777777" w:rsidR="00E0244C" w:rsidRPr="00483F7D" w:rsidRDefault="007A1FD7">
      <w:pPr>
        <w:pStyle w:val="NormalCentered"/>
      </w:pPr>
      <w:r w:rsidRPr="00483F7D">
        <w:rPr>
          <w:b/>
        </w:rPr>
        <w:t>Ορισμοί</w:t>
      </w:r>
    </w:p>
    <w:p w14:paraId="128D0703" w14:textId="77777777" w:rsidR="00E0244C" w:rsidRPr="00483F7D" w:rsidRDefault="007A1FD7">
      <w:r w:rsidRPr="00483F7D">
        <w:t>Για τους σκοπούς του παρόντος κανονισμού, ισχύουν οι ακόλουθοι ορισμοί:</w:t>
      </w:r>
    </w:p>
    <w:p w14:paraId="4752BDA1" w14:textId="19FBC30A" w:rsidR="00E0244C" w:rsidRPr="00483F7D" w:rsidRDefault="00BC60FC" w:rsidP="00BC60FC">
      <w:pPr>
        <w:pStyle w:val="Point0"/>
      </w:pPr>
      <w:r w:rsidRPr="00483F7D">
        <w:t>1)</w:t>
      </w:r>
      <w:r w:rsidRPr="00483F7D">
        <w:tab/>
      </w:r>
      <w:r w:rsidR="007A1FD7" w:rsidRPr="00483F7D">
        <w:t>«τελωνειακές αρχές»: οι τελωνειακές διοικήσεις των κρατών μελών που είναι υπεύθυνες για την εφαρμογή της τελωνειακής νομοθεσίας και οποιεσδήποτε άλλες αρχές εξουσιοδοτημένες, σύμφωνα με το εθνικό δίκαιο, να εφαρμόζουν ορισμένες διατάξεις της τελωνειακής νομοθεσίας·</w:t>
      </w:r>
    </w:p>
    <w:p w14:paraId="4C41A487" w14:textId="2C3284C3" w:rsidR="00E0244C" w:rsidRPr="00483F7D" w:rsidRDefault="00BC60FC" w:rsidP="00BC60FC">
      <w:pPr>
        <w:pStyle w:val="Point0"/>
      </w:pPr>
      <w:r w:rsidRPr="00483F7D">
        <w:t>2)</w:t>
      </w:r>
      <w:r w:rsidRPr="00483F7D">
        <w:tab/>
      </w:r>
      <w:r w:rsidR="007A1FD7" w:rsidRPr="00483F7D">
        <w:t>«τελωνειακή νομοθεσία»: το σύνολο νομικών διατάξεων που απαρτίζεται από όλα τα ακόλουθα:</w:t>
      </w:r>
    </w:p>
    <w:p w14:paraId="0D519D1F" w14:textId="634EA83E" w:rsidR="00E0244C" w:rsidRPr="00483F7D" w:rsidRDefault="00BC60FC" w:rsidP="00BC60FC">
      <w:pPr>
        <w:pStyle w:val="Point1"/>
      </w:pPr>
      <w:r w:rsidRPr="00483F7D">
        <w:t>α)</w:t>
      </w:r>
      <w:r w:rsidRPr="00483F7D">
        <w:tab/>
      </w:r>
      <w:r w:rsidR="007A1FD7" w:rsidRPr="00483F7D">
        <w:t>τον κώδικα και τις διατάξεις που τον συμπληρώνουν ή τις διατάξεις εφαρμογής του που θεσπίζονται σε ενωσιακό ή εθνικό επίπεδο·</w:t>
      </w:r>
    </w:p>
    <w:p w14:paraId="0F056C15" w14:textId="28D02756" w:rsidR="00E0244C" w:rsidRPr="00483F7D" w:rsidRDefault="00BC60FC" w:rsidP="00BC60FC">
      <w:pPr>
        <w:pStyle w:val="Point1"/>
      </w:pPr>
      <w:r w:rsidRPr="00483F7D">
        <w:t>β)</w:t>
      </w:r>
      <w:r w:rsidRPr="00483F7D">
        <w:tab/>
      </w:r>
      <w:r w:rsidR="007A1FD7" w:rsidRPr="00483F7D">
        <w:t>το κοινό δασμολόγιο·</w:t>
      </w:r>
    </w:p>
    <w:p w14:paraId="5E100F7C" w14:textId="02CD7B0D" w:rsidR="00E0244C" w:rsidRPr="00483F7D" w:rsidRDefault="00BC60FC" w:rsidP="00BC60FC">
      <w:pPr>
        <w:pStyle w:val="Point1"/>
      </w:pPr>
      <w:r w:rsidRPr="00483F7D">
        <w:t>γ)</w:t>
      </w:r>
      <w:r w:rsidRPr="00483F7D">
        <w:tab/>
      </w:r>
      <w:r w:rsidR="007A1FD7" w:rsidRPr="00483F7D">
        <w:t>τη νομοθεσία για τη θέσπιση ενωσιακού καθεστώτος τελωνειακών ατελειών·</w:t>
      </w:r>
    </w:p>
    <w:p w14:paraId="292EE82E" w14:textId="5651975E" w:rsidR="00E0244C" w:rsidRPr="00483F7D" w:rsidRDefault="00BC60FC" w:rsidP="00BC60FC">
      <w:pPr>
        <w:pStyle w:val="Point1"/>
      </w:pPr>
      <w:r w:rsidRPr="00483F7D">
        <w:t>δ)</w:t>
      </w:r>
      <w:r w:rsidRPr="00483F7D">
        <w:tab/>
      </w:r>
      <w:r w:rsidR="007A1FD7" w:rsidRPr="00483F7D">
        <w:t>τελωνειακές διατάξεις που περιέχονται σε διεθνείς συμφωνίες, εφόσον αυτές εφαρμόζονται στην Ένωση·</w:t>
      </w:r>
    </w:p>
    <w:p w14:paraId="078E0847" w14:textId="76421EC9" w:rsidR="00E0244C" w:rsidRPr="00483F7D" w:rsidRDefault="00BC60FC" w:rsidP="00BC60FC">
      <w:pPr>
        <w:pStyle w:val="Point1"/>
      </w:pPr>
      <w:r w:rsidRPr="00483F7D">
        <w:t>ε)</w:t>
      </w:r>
      <w:r w:rsidRPr="00483F7D">
        <w:tab/>
      </w:r>
      <w:r w:rsidR="007A1FD7" w:rsidRPr="00483F7D">
        <w:t>τον κανονισμό (ΕΕ) 2022/2399 του Ευρωπαϊκού Κοινοβουλίου και του Συμβουλίου</w:t>
      </w:r>
      <w:r w:rsidR="007A1FD7" w:rsidRPr="00483F7D">
        <w:rPr>
          <w:rStyle w:val="FootnoteReference"/>
        </w:rPr>
        <w:footnoteReference w:id="62"/>
      </w:r>
      <w:r w:rsidR="007A1FD7" w:rsidRPr="00483F7D">
        <w:t xml:space="preserve"> και τις διατάξεις για την τροποποίηση, τη συμπλήρωση ή την εφαρμογή του·</w:t>
      </w:r>
      <w:r w:rsidR="007A1FD7" w:rsidRPr="00483F7D">
        <w:rPr>
          <w:rStyle w:val="FootnoteReference"/>
        </w:rPr>
        <w:t xml:space="preserve"> </w:t>
      </w:r>
    </w:p>
    <w:p w14:paraId="6EE03DEB" w14:textId="7FE58412" w:rsidR="00707275" w:rsidRPr="00483F7D" w:rsidRDefault="00BC60FC" w:rsidP="00BC60FC">
      <w:pPr>
        <w:pStyle w:val="Point0"/>
      </w:pPr>
      <w:r w:rsidRPr="00483F7D">
        <w:t>3)</w:t>
      </w:r>
      <w:r w:rsidRPr="00483F7D">
        <w:tab/>
      </w:r>
      <w:r w:rsidR="00EC1AAB" w:rsidRPr="00483F7D">
        <w:t>«λοιπή νομοθεσία που εφαρμόζεται από τις τελωνειακές αρχές»: η νομοθεσία εκτός της τελωνειακής νομοθεσίας που εφαρμόζεται στα εμπορεύματα που εισέρχονται, στο τελωνειακό έδαφος της Ένωσης, εξέρχονται, διέρχονται από αυτό ή πρόκειται να διατεθούν στην ενωσιακή αγορά, στην εφαρμογή της οποίας συμμετέχουν οι τελωνειακές αρχές·</w:t>
      </w:r>
    </w:p>
    <w:p w14:paraId="2BB44E11" w14:textId="7A79EE18" w:rsidR="00707275" w:rsidRPr="00483F7D" w:rsidRDefault="00BC60FC" w:rsidP="00BC60FC">
      <w:pPr>
        <w:pStyle w:val="Point0"/>
      </w:pPr>
      <w:r w:rsidRPr="00483F7D">
        <w:t>4)</w:t>
      </w:r>
      <w:r w:rsidRPr="00483F7D">
        <w:tab/>
      </w:r>
      <w:r w:rsidR="00707275" w:rsidRPr="00483F7D">
        <w:t>«μέτρα εμπορικής πολιτικής»: στο πλαίσιο της λοιπής νομοθεσίας που εφαρμόζεται από τις τελωνειακές αρχές, τα μέτρα που θεσπίζονται σύμφωνα με το άρθρο 207 της ΣΛΕΕ, εκτός από τους προσωρινούς ή οριστικούς δασμούς αντιντάμπινγκ, τους αντισταθμιστικούς δασμούς ή τα μέτρα διασφάλισης υπό μορφή αύξησης των δασμών για συγκεκριμένα εμπορεύματα, συμπεριλαμβανομένων ιδίως ειδικών μέτρων παρακολούθησης και μέτρων διασφάλισης υπό μορφή αδειών εισαγωγής ή εξαγωγής·</w:t>
      </w:r>
    </w:p>
    <w:p w14:paraId="3F23B905" w14:textId="1C8EEE4A" w:rsidR="00E0244C" w:rsidRPr="00483F7D" w:rsidRDefault="00BC60FC" w:rsidP="00BC60FC">
      <w:pPr>
        <w:pStyle w:val="Point0"/>
      </w:pPr>
      <w:bookmarkStart w:id="22" w:name="_Hlk132359842"/>
      <w:r w:rsidRPr="00483F7D">
        <w:t>5)</w:t>
      </w:r>
      <w:r w:rsidRPr="00483F7D">
        <w:tab/>
      </w:r>
      <w:r w:rsidR="007A1FD7" w:rsidRPr="00483F7D">
        <w:t>«πρόσωπο»: φυσικό πρόσωπο, νομικό πρόσωπο ή οποιαδήποτε ένωση προσώπων που δεν αποτελεί νομικό πρόσωπο, αλλά αναγνωρίζεται, σύμφωνα με το ενωσιακό ή εθνικό δίκαιο, ότι διαθέτει δικαιοπρακτική ικανότητα·</w:t>
      </w:r>
    </w:p>
    <w:p w14:paraId="587DBC4C" w14:textId="406A1754" w:rsidR="00E0244C" w:rsidRPr="00483F7D" w:rsidRDefault="00BC60FC" w:rsidP="00BC60FC">
      <w:pPr>
        <w:pStyle w:val="Point0"/>
      </w:pPr>
      <w:r w:rsidRPr="00483F7D">
        <w:t>6)</w:t>
      </w:r>
      <w:r w:rsidRPr="00483F7D">
        <w:tab/>
      </w:r>
      <w:r w:rsidR="007A1FD7" w:rsidRPr="00483F7D">
        <w:t>«οικονομικός φορέας»: πρόσωπο που, στο πλαίσιο άσκησης του επαγγέλματός του, συμμετέχει σε δραστηριότητες που καλύπτονται από την τελωνειακή νομοθεσία·</w:t>
      </w:r>
    </w:p>
    <w:p w14:paraId="6AAD9463" w14:textId="0A341CA4" w:rsidR="00E0244C" w:rsidRPr="00483F7D" w:rsidRDefault="00BC60FC" w:rsidP="00BC60FC">
      <w:pPr>
        <w:pStyle w:val="Point0"/>
      </w:pPr>
      <w:r w:rsidRPr="00483F7D">
        <w:t>7)</w:t>
      </w:r>
      <w:r w:rsidRPr="00483F7D">
        <w:tab/>
      </w:r>
      <w:r w:rsidR="007A1FD7" w:rsidRPr="00483F7D">
        <w:t>«εγκατεστημένο στο τελωνειακό έδαφος της Ένωσης»:</w:t>
      </w:r>
    </w:p>
    <w:p w14:paraId="20227F92" w14:textId="095C7314" w:rsidR="00E0244C" w:rsidRPr="00483F7D" w:rsidRDefault="00BC60FC" w:rsidP="00BC60FC">
      <w:pPr>
        <w:pStyle w:val="Point1"/>
      </w:pPr>
      <w:r w:rsidRPr="00483F7D">
        <w:t>α)</w:t>
      </w:r>
      <w:r w:rsidRPr="00483F7D">
        <w:tab/>
      </w:r>
      <w:r w:rsidR="007A1FD7" w:rsidRPr="00483F7D">
        <w:t>εφόσον πρόκειται για νομικό πρόσωπο, πρόσωπο που έχει τη συνήθη κατοικία του στο τελωνειακό έδαφος της Ένωσης,</w:t>
      </w:r>
    </w:p>
    <w:p w14:paraId="6684C334" w14:textId="1EB18435" w:rsidR="00E0244C" w:rsidRPr="00483F7D" w:rsidRDefault="00BC60FC" w:rsidP="00BC60FC">
      <w:pPr>
        <w:pStyle w:val="Point1"/>
      </w:pPr>
      <w:r w:rsidRPr="00483F7D">
        <w:t>β)</w:t>
      </w:r>
      <w:r w:rsidRPr="00483F7D">
        <w:tab/>
      </w:r>
      <w:r w:rsidR="007A1FD7" w:rsidRPr="00483F7D">
        <w:t>εφόσον πρόκειται για νομικό πρόσωπο ή ένωση προσώπων, πρόσωπο που έχει στο τελωνειακό έδαφος της Ένωσης την καταστατική του έδρα, την κεντρική του διοίκηση ή μόνιμη επιχειρηματική εγκατάσταση·</w:t>
      </w:r>
    </w:p>
    <w:p w14:paraId="0E418074" w14:textId="0E3788EB" w:rsidR="00E0244C" w:rsidRPr="00483F7D" w:rsidRDefault="00BC60FC" w:rsidP="00BC60FC">
      <w:pPr>
        <w:pStyle w:val="Point0"/>
      </w:pPr>
      <w:r w:rsidRPr="00483F7D">
        <w:t>8)</w:t>
      </w:r>
      <w:r w:rsidRPr="00483F7D">
        <w:tab/>
      </w:r>
      <w:r w:rsidR="007A1FD7" w:rsidRPr="00483F7D">
        <w:t xml:space="preserve">«μόνιμη επιχειρηματική εγκατάσταση»: σταθερός τόπος επιχειρηματικής δραστηριότητας στον οποίο βρίσκονται σε μόνιμη βάση οι αναγκαίοι ανθρώπινοι και τεχνικοί πόροι και μέσω του οποίου πραγματοποιούνται εν όλω ή εν μέρει οι σχετικές με τα τελωνεία πράξεις ενός προσώπου· </w:t>
      </w:r>
    </w:p>
    <w:bookmarkEnd w:id="22"/>
    <w:p w14:paraId="01E99E76" w14:textId="648CFE8B" w:rsidR="00E0244C" w:rsidRPr="00483F7D" w:rsidRDefault="00BC60FC" w:rsidP="00BC60FC">
      <w:pPr>
        <w:pStyle w:val="Point0"/>
      </w:pPr>
      <w:r w:rsidRPr="00483F7D">
        <w:t>9)</w:t>
      </w:r>
      <w:r w:rsidRPr="00483F7D">
        <w:tab/>
      </w:r>
      <w:r w:rsidR="007A1FD7" w:rsidRPr="00483F7D">
        <w:t>«τελωνειακή απόφαση»: κάθε πράξη των τελωνειακών αρχών που αφορά την τελωνειακή νομοθεσία και ρυθμίζει συγκεκριμένη υπόθεση και η οποία παράγει έννομα αποτελέσματα για τα σχετικά πρόσωπα·</w:t>
      </w:r>
    </w:p>
    <w:p w14:paraId="7A70D0CE" w14:textId="7A3A23D9" w:rsidR="00E0244C" w:rsidRPr="00483F7D" w:rsidRDefault="00BC60FC" w:rsidP="00BC60FC">
      <w:pPr>
        <w:pStyle w:val="Point0"/>
      </w:pPr>
      <w:r w:rsidRPr="00483F7D">
        <w:t>10)</w:t>
      </w:r>
      <w:r w:rsidRPr="00483F7D">
        <w:tab/>
      </w:r>
      <w:r w:rsidR="007A1FD7" w:rsidRPr="00483F7D">
        <w:t>«τελωνειακό καθεστώς»: οποιοδήποτε από τα ακόλουθα καθεστώτα στα οποία είναι δυνατό να υπαχθούν εμπορεύματα σύμφωνα με τον κώδικα:</w:t>
      </w:r>
    </w:p>
    <w:p w14:paraId="55077B07" w14:textId="0F0B0942" w:rsidR="00E0244C" w:rsidRPr="00483F7D" w:rsidRDefault="00BC60FC" w:rsidP="00BC60FC">
      <w:pPr>
        <w:pStyle w:val="Point1"/>
      </w:pPr>
      <w:r w:rsidRPr="00483F7D">
        <w:t>α)</w:t>
      </w:r>
      <w:r w:rsidRPr="00483F7D">
        <w:tab/>
      </w:r>
      <w:r w:rsidR="007A1FD7" w:rsidRPr="00483F7D">
        <w:t>θέση σε ελεύθερη κυκλοφορία,</w:t>
      </w:r>
    </w:p>
    <w:p w14:paraId="1B07A69E" w14:textId="75A0442B" w:rsidR="00E0244C" w:rsidRPr="00483F7D" w:rsidRDefault="00BC60FC" w:rsidP="00BC60FC">
      <w:pPr>
        <w:pStyle w:val="Point1"/>
      </w:pPr>
      <w:r w:rsidRPr="00483F7D">
        <w:t>β)</w:t>
      </w:r>
      <w:r w:rsidRPr="00483F7D">
        <w:tab/>
      </w:r>
      <w:r w:rsidR="007A1FD7" w:rsidRPr="00483F7D">
        <w:t>ειδικά καθεστώτα,</w:t>
      </w:r>
    </w:p>
    <w:p w14:paraId="0F8FC488" w14:textId="0B70F18D" w:rsidR="00E0244C" w:rsidRPr="00483F7D" w:rsidRDefault="00BC60FC" w:rsidP="00BC60FC">
      <w:pPr>
        <w:pStyle w:val="Point1"/>
      </w:pPr>
      <w:r w:rsidRPr="00483F7D">
        <w:t>γ)</w:t>
      </w:r>
      <w:r w:rsidRPr="00483F7D">
        <w:tab/>
      </w:r>
      <w:r w:rsidR="007A1FD7" w:rsidRPr="00483F7D">
        <w:t>εξαγωγή·</w:t>
      </w:r>
    </w:p>
    <w:p w14:paraId="197353AD" w14:textId="5FAB9269" w:rsidR="00E0244C" w:rsidRPr="00483F7D" w:rsidRDefault="00BC60FC" w:rsidP="00BC60FC">
      <w:pPr>
        <w:pStyle w:val="Point0"/>
      </w:pPr>
      <w:r w:rsidRPr="00483F7D">
        <w:t>11)</w:t>
      </w:r>
      <w:r w:rsidRPr="00483F7D">
        <w:tab/>
      </w:r>
      <w:r w:rsidR="007A1FD7" w:rsidRPr="00483F7D">
        <w:t>«τελωνειακές διατυπώσεις»: το σύνολο των ενεργειών στις οποίες οφείλουν να προβαίνουν τα πρόσωπα και οι τελωνειακές αρχές προκειμένου να συμμορφώνονται προς την τελωνειακή νομοθεσία·</w:t>
      </w:r>
    </w:p>
    <w:p w14:paraId="785DC526" w14:textId="5ECC875C" w:rsidR="00E0244C" w:rsidRPr="00483F7D" w:rsidRDefault="00BC60FC" w:rsidP="00BC60FC">
      <w:pPr>
        <w:pStyle w:val="Point0"/>
      </w:pPr>
      <w:r w:rsidRPr="00483F7D">
        <w:t>12)</w:t>
      </w:r>
      <w:r w:rsidRPr="00483F7D">
        <w:tab/>
      </w:r>
      <w:r w:rsidR="007A1FD7" w:rsidRPr="00483F7D">
        <w:t>«εισαγωγέας»: κάθε πρόσωπο που έχει την εξουσία να αποφασίσει και έχει αποφασίσει ότι εμπορεύματα από τρίτη χώρα πρόκειται να μεταφερθούν εντός του τελωνειακού εδάφους της Ένωσης ή, εκτός αν προβλέπεται διαφορετικά, κάθε πρόσωπο που λογίζεται ως θεωρούμενος εισαγωγέας·</w:t>
      </w:r>
    </w:p>
    <w:p w14:paraId="40613093" w14:textId="5692874B" w:rsidR="00E0244C" w:rsidRPr="00483F7D" w:rsidRDefault="00BC60FC" w:rsidP="00BC60FC">
      <w:pPr>
        <w:pStyle w:val="Point0"/>
      </w:pPr>
      <w:r w:rsidRPr="00483F7D">
        <w:t>13)</w:t>
      </w:r>
      <w:r w:rsidRPr="00483F7D">
        <w:tab/>
      </w:r>
      <w:r w:rsidR="007A1FD7" w:rsidRPr="00483F7D">
        <w:t>«θεωρούμενος εισαγωγέας»: κάθε πρόσωπο που συμμετέχει στις εξ αποστάσεως πωλήσεις εμπορευμάτων που πρόκειται να εισαχθούν από τρίτες χώρες στο τελωνειακό έδαφος της Ένωσης και το οποίο επιτρέπεται να χρησιμοποιεί το ειδικό καθεστώς που προβλέπεται στον τίτλο XII κεφάλαιο 6 τμήμα 4 της οδηγίας 2006/112/ΕΚ·</w:t>
      </w:r>
    </w:p>
    <w:p w14:paraId="6B915549" w14:textId="223D03E2" w:rsidR="00E0244C" w:rsidRPr="00483F7D" w:rsidRDefault="00BC60FC" w:rsidP="00BC60FC">
      <w:pPr>
        <w:pStyle w:val="Point0"/>
      </w:pPr>
      <w:r w:rsidRPr="00483F7D">
        <w:t>14)</w:t>
      </w:r>
      <w:r w:rsidRPr="00483F7D">
        <w:tab/>
      </w:r>
      <w:r w:rsidR="007A1FD7" w:rsidRPr="00483F7D">
        <w:t>«εξαγωγέας»: οποιοδήποτε πρόσωπο έχει την εξουσία να αποφασίσει και έχει αποφασίσει ότι τα εμπορεύματα πρέπει να μεταφερθούν εκτός του τελωνειακού εδάφους της Ένωσης·</w:t>
      </w:r>
    </w:p>
    <w:p w14:paraId="4181C236" w14:textId="5B4C9BE9" w:rsidR="00E0244C" w:rsidRPr="00483F7D" w:rsidRDefault="00BC60FC" w:rsidP="00BC60FC">
      <w:pPr>
        <w:pStyle w:val="Point0"/>
      </w:pPr>
      <w:r w:rsidRPr="00483F7D">
        <w:t>15)</w:t>
      </w:r>
      <w:r w:rsidRPr="00483F7D">
        <w:tab/>
      </w:r>
      <w:r w:rsidR="007A1FD7" w:rsidRPr="00483F7D">
        <w:t>«τελωνειακός αντιπρόσωπος»: οποιοδήποτε πρόσωπο ορίζεται από άλλο πρόσωπο με σκοπό τη διεκπεραίωση των πράξεων και των διατυπώσεων που απαιτούνται, σύμφωνα με την τελωνειακή νομοθεσία, στο πλαίσιο των συναλλαγών του εν λόγω προσώπου με τις τελωνειακές αρχές·</w:t>
      </w:r>
    </w:p>
    <w:p w14:paraId="2A0472A7" w14:textId="3325C717" w:rsidR="00110DAA" w:rsidRPr="00483F7D" w:rsidRDefault="00BC60FC" w:rsidP="00BC60FC">
      <w:pPr>
        <w:pStyle w:val="Point0"/>
      </w:pPr>
      <w:r w:rsidRPr="00483F7D">
        <w:t>16)</w:t>
      </w:r>
      <w:r w:rsidRPr="00483F7D">
        <w:tab/>
      </w:r>
      <w:r w:rsidR="007A1FD7" w:rsidRPr="00483F7D">
        <w:t>«δεδομένα»: κάθε ψηφιακή και μη ψηφιακή αναπαράσταση πράξεων, γεγονότων ή πληροφοριών και κάθε συλλογή τέτοιων πράξεων, γεγονότων ή πληροφοριών, μεταξύ άλλων σε μορφή εγγράφου, ηχητικής, οπτικής ή οπτικοακουστικής εγγραφής·</w:t>
      </w:r>
    </w:p>
    <w:p w14:paraId="07AF2CC4" w14:textId="56B03700" w:rsidR="005647A0" w:rsidRPr="00483F7D" w:rsidRDefault="00BC60FC" w:rsidP="00BC60FC">
      <w:pPr>
        <w:pStyle w:val="Point0"/>
      </w:pPr>
      <w:r w:rsidRPr="00483F7D">
        <w:t>17)</w:t>
      </w:r>
      <w:r w:rsidRPr="00483F7D">
        <w:tab/>
      </w:r>
      <w:r w:rsidR="005647A0" w:rsidRPr="00483F7D">
        <w:t>«τελωνειακή παρακολούθηση»: η συλλογή και ανάλυση πληροφοριών σχετικά με εμπορεύματα που εισέρχονται στο τελωνειακό έδαφος της Ένωσης, εξέρχονται ή διέρχονται από αυτό, με σκοπό την παρακολούθηση των εν λόγω διακινήσεων σε ενωσιακό επίπεδο και τη διασφάλιση της ενιαίας εφαρμογής των τελωνειακών ελέγχων, της συμμόρφωσης με την τελωνειακή και λοιπή νομοθεσία που εφαρμόζεται από τις τελωνειακές αρχές και τη συμβολή στην ανάλυση και διαχείριση κινδύνων·</w:t>
      </w:r>
    </w:p>
    <w:p w14:paraId="6655023D" w14:textId="2706B2BE" w:rsidR="00E0244C" w:rsidRPr="00483F7D" w:rsidRDefault="00BC60FC" w:rsidP="00BC60FC">
      <w:pPr>
        <w:pStyle w:val="Point0"/>
      </w:pPr>
      <w:r w:rsidRPr="00483F7D">
        <w:t>18)</w:t>
      </w:r>
      <w:r w:rsidRPr="00483F7D">
        <w:tab/>
      </w:r>
      <w:r w:rsidR="007A1FD7" w:rsidRPr="00483F7D">
        <w:t>«κίνδυνος»: η πιθανότητα και ο αντίκτυπος συμβάντος όσον αφορά εμπορεύματα που διακινούνται μεταξύ του τελωνειακού εδάφους της Ένωσης και χωρών εκτός του εν λόγω εδάφους, καθώς και σε σχέση με την παρουσία εντός του τελωνειακού εδάφους της Ένωσης μη ενωσιακών εμπορευμάτων, το οποίο:</w:t>
      </w:r>
    </w:p>
    <w:p w14:paraId="6643D059" w14:textId="45BF05E1" w:rsidR="00E0244C" w:rsidRPr="00483F7D" w:rsidRDefault="00BC60FC" w:rsidP="00BC60FC">
      <w:pPr>
        <w:pStyle w:val="Point1"/>
      </w:pPr>
      <w:r w:rsidRPr="00483F7D">
        <w:t>α)</w:t>
      </w:r>
      <w:r w:rsidRPr="00483F7D">
        <w:tab/>
      </w:r>
      <w:r w:rsidR="007A1FD7" w:rsidRPr="00483F7D">
        <w:t>θα έθετε σε κίνδυνο τα δημοσιονομικά ή οικονομικά συμφέροντα της Ένωσης και των κρατών μελών της,</w:t>
      </w:r>
    </w:p>
    <w:p w14:paraId="529CDFA4" w14:textId="183339DA" w:rsidR="00E0244C" w:rsidRPr="00483F7D" w:rsidRDefault="00BC60FC" w:rsidP="00BC60FC">
      <w:pPr>
        <w:pStyle w:val="Point1"/>
      </w:pPr>
      <w:r w:rsidRPr="00483F7D">
        <w:t>β)</w:t>
      </w:r>
      <w:r w:rsidRPr="00483F7D">
        <w:tab/>
      </w:r>
      <w:r w:rsidR="007A1FD7" w:rsidRPr="00483F7D">
        <w:t>θα αποτελούσε απειλή για την ασφάλεια και προστασία της Ένωσης και των κατοίκων της, ή</w:t>
      </w:r>
    </w:p>
    <w:p w14:paraId="673C7356" w14:textId="37520D0F" w:rsidR="00E0244C" w:rsidRPr="00483F7D" w:rsidRDefault="00BC60FC" w:rsidP="00BC60FC">
      <w:pPr>
        <w:pStyle w:val="Point1"/>
      </w:pPr>
      <w:r w:rsidRPr="00483F7D">
        <w:t>γ)</w:t>
      </w:r>
      <w:r w:rsidRPr="00483F7D">
        <w:tab/>
      </w:r>
      <w:r w:rsidR="007A1FD7" w:rsidRPr="00483F7D">
        <w:t>θα παρεμπόδιζε την ορθή εφαρμογή των ενωσιακών ή εθνικών μέτρων·</w:t>
      </w:r>
    </w:p>
    <w:p w14:paraId="1521A581" w14:textId="479EE0B9" w:rsidR="00E0244C" w:rsidRPr="00483F7D" w:rsidRDefault="00BC60FC" w:rsidP="00BC60FC">
      <w:pPr>
        <w:pStyle w:val="Point0"/>
      </w:pPr>
      <w:r w:rsidRPr="00483F7D">
        <w:t>19)</w:t>
      </w:r>
      <w:r w:rsidRPr="00483F7D">
        <w:tab/>
      </w:r>
      <w:r w:rsidR="007A1FD7" w:rsidRPr="00483F7D">
        <w:t>«οικονομική ανάλυση»: η αξιολόγηση ή ο ποσοτικός προσδιορισμός μιας πολιτικής ή ενός οικονομικού φαινομένου, με σκοπό την κατανόηση του τρόπου με τον οποίο οι οικονομικοί παράγοντες επηρεάζουν τη λειτουργία μιας πολιτικής, μιας γεωγραφικής περιοχής ή οποιασδήποτε ομάδας προσώπων με σκοπό τη λήψη καλύτερων αποφάσεων για το μέλλον·</w:t>
      </w:r>
    </w:p>
    <w:p w14:paraId="46D6F19F" w14:textId="2968AF6F" w:rsidR="00E0244C" w:rsidRPr="00483F7D" w:rsidRDefault="00BC60FC" w:rsidP="00BC60FC">
      <w:pPr>
        <w:pStyle w:val="Point0"/>
      </w:pPr>
      <w:r w:rsidRPr="00483F7D">
        <w:t>20)</w:t>
      </w:r>
      <w:r w:rsidRPr="00483F7D">
        <w:tab/>
      </w:r>
      <w:r w:rsidR="00A20A97" w:rsidRPr="00483F7D">
        <w:t>«διαχείριση κινδύνων»: συστηματικός εντοπισμός κινδύνων, συμπεριλαμβανομένου του προσδιορισμού των προφίλ οικονομικών φορέων υψηλού κινδύνου, και εφαρμογή κάθε μέτρου που είναι αναγκαίο για να περιοριστεί η έκθεση σε κινδύνους·</w:t>
      </w:r>
    </w:p>
    <w:p w14:paraId="3F003D99" w14:textId="1CDF4D03" w:rsidR="00E0244C" w:rsidRPr="00483F7D" w:rsidRDefault="00BC60FC" w:rsidP="00BC60FC">
      <w:pPr>
        <w:pStyle w:val="Point0"/>
      </w:pPr>
      <w:r w:rsidRPr="00483F7D">
        <w:t>21)</w:t>
      </w:r>
      <w:r w:rsidRPr="00483F7D">
        <w:tab/>
      </w:r>
      <w:r w:rsidR="007A1FD7" w:rsidRPr="00483F7D">
        <w:t>«τελωνειακή επιτήρηση»: ενέργειες στις οποίες προβαίνουν γενικά οι τελωνειακές αρχές, ώστε να εξασφαλίσουν την τήρηση της τελωνειακής νομοθεσίας και, κατά περίπτωση, της λοιπής νομοθεσίας που εφαρμόζεται από τις τελωνειακές αρχές, ή να συμβάλουν με άλλον τρόπο στη διαχείριση των κινδύνων που σχετίζονται με τα εν λόγω εμπορεύματα και τις εφοδιαστικές αλυσίδες τους·</w:t>
      </w:r>
    </w:p>
    <w:p w14:paraId="0747F273" w14:textId="6891E67E" w:rsidR="00E0244C" w:rsidRPr="00483F7D" w:rsidRDefault="00BC60FC" w:rsidP="00BC60FC">
      <w:pPr>
        <w:pStyle w:val="Point0"/>
      </w:pPr>
      <w:r w:rsidRPr="00483F7D">
        <w:t>22)</w:t>
      </w:r>
      <w:r w:rsidRPr="00483F7D">
        <w:tab/>
      </w:r>
      <w:r w:rsidR="007A1FD7" w:rsidRPr="00483F7D">
        <w:t xml:space="preserve">«τελωνειακοί έλεγχοι»: συγκεκριμένες πράξεις των τελωνειακών αρχών με σκοπό να εξασφαλίσουν τη συμμόρφωση με την τελωνειακή νομοθεσία και τη λοιπή νομοθεσία που εφαρμόζεται από τις τελωνειακές αρχές ή να συμβάλουν με άλλον τρόπο στη διαχείριση των κινδύνων που σχετίζονται με τα εμπορεύματα και τις εφοδιαστικές αλυσίδες τους· </w:t>
      </w:r>
    </w:p>
    <w:p w14:paraId="6E2CCD69" w14:textId="1B73DEB3" w:rsidR="00E0244C" w:rsidRPr="00483F7D" w:rsidRDefault="00BC60FC" w:rsidP="00BC60FC">
      <w:pPr>
        <w:pStyle w:val="Point0"/>
      </w:pPr>
      <w:r w:rsidRPr="00483F7D">
        <w:t>23)</w:t>
      </w:r>
      <w:r w:rsidRPr="00483F7D">
        <w:tab/>
      </w:r>
      <w:r w:rsidR="007A1FD7" w:rsidRPr="00483F7D">
        <w:t>«τυχαίοι έλεγχοι»: τελωνειακοί έλεγχοι που βασίζονται στις αρχές της τυχαίας δειγματοληψίας, όσον αφορά έναν πληθυσμό ενδιαφέροντος·</w:t>
      </w:r>
    </w:p>
    <w:p w14:paraId="47D138B8" w14:textId="48B99D63" w:rsidR="00E0244C" w:rsidRPr="00483F7D" w:rsidRDefault="00BC60FC" w:rsidP="00BC60FC">
      <w:pPr>
        <w:pStyle w:val="Point0"/>
      </w:pPr>
      <w:r w:rsidRPr="00483F7D">
        <w:t>24)</w:t>
      </w:r>
      <w:r w:rsidRPr="00483F7D">
        <w:tab/>
      </w:r>
      <w:r w:rsidR="007A1FD7" w:rsidRPr="00483F7D">
        <w:t>«κάτοχος των εμπορευμάτων»: το πρόσωπο που ασκεί φυσικό έλεγχο επί των εμπορευμάτων·</w:t>
      </w:r>
    </w:p>
    <w:p w14:paraId="4079C32F" w14:textId="59CC468F" w:rsidR="00E0244C" w:rsidRPr="00483F7D" w:rsidRDefault="00BC60FC" w:rsidP="00BC60FC">
      <w:pPr>
        <w:pStyle w:val="Point0"/>
      </w:pPr>
      <w:r w:rsidRPr="00483F7D">
        <w:t>25)</w:t>
      </w:r>
      <w:r w:rsidRPr="00483F7D">
        <w:tab/>
      </w:r>
      <w:r w:rsidR="007A1FD7" w:rsidRPr="00483F7D">
        <w:t>«μεταφορέας»:</w:t>
      </w:r>
    </w:p>
    <w:p w14:paraId="1A41C1D6" w14:textId="4DA5BE3C" w:rsidR="00E0244C" w:rsidRPr="00483F7D" w:rsidRDefault="00BC60FC" w:rsidP="00BC60FC">
      <w:pPr>
        <w:pStyle w:val="Point1"/>
      </w:pPr>
      <w:r w:rsidRPr="00483F7D">
        <w:t>α)</w:t>
      </w:r>
      <w:r w:rsidRPr="00483F7D">
        <w:tab/>
      </w:r>
      <w:r w:rsidR="007A1FD7" w:rsidRPr="00483F7D">
        <w:t>στο πλαίσιο της εισόδου, το πρόσωπο που μεταφέρει τα εμπορεύματα ή που φέρει την ευθύνη για τη μεταφορά των εμπορευμάτων εντός του τελωνειακού εδάφους της Ένωσης. Ωστόσο:</w:t>
      </w:r>
    </w:p>
    <w:p w14:paraId="67B5E776" w14:textId="353EFC6B" w:rsidR="00E0244C" w:rsidRPr="00483F7D" w:rsidRDefault="00483C4C" w:rsidP="00483C4C">
      <w:pPr>
        <w:pStyle w:val="Point2"/>
      </w:pPr>
      <w:r w:rsidRPr="00483F7D">
        <w:t>i)</w:t>
      </w:r>
      <w:r w:rsidRPr="00483F7D">
        <w:tab/>
        <w:t>στην περίπτωση συνδυασμένης μεταφοράς, ως «μεταφορέας» νοείται το πρόσωπο που εκμεταλλεύεται το μέσο μεταφοράς το οποίο, αφότου μεταφερθεί εντός του τελωνειακού εδάφους της Ένωσης, κυκλοφορεί αυτοδύναμα ως ενεργό μέσο μεταφοράς,</w:t>
      </w:r>
    </w:p>
    <w:p w14:paraId="487D86F6" w14:textId="10BD8D46" w:rsidR="00E0244C" w:rsidRPr="00483F7D" w:rsidRDefault="00483C4C" w:rsidP="00483C4C">
      <w:pPr>
        <w:pStyle w:val="Point2"/>
      </w:pPr>
      <w:r w:rsidRPr="00483F7D">
        <w:t>ii)</w:t>
      </w:r>
      <w:r w:rsidRPr="00483F7D">
        <w:tab/>
        <w:t>στην περίπτωση θαλάσσιας ή αεροπορικής μεταφοράς στο πλαίσιο συμφωνίας καταμερισμού ή ναύλωσης πλοίου/αεροσκάφους, ως «μεταφορέας» νοείται το πρόσωπο που συνάπτει σύμβαση και εκδίδει θαλάσσια ή αεροπορική φορτωτική για τη μεταφορά αυτή καθαυτή των εμπορευμάτων εντός του τελωνειακού εδάφους της Ένωσης,</w:t>
      </w:r>
    </w:p>
    <w:p w14:paraId="12AF7731" w14:textId="063CB38A" w:rsidR="00E0244C" w:rsidRPr="00483F7D" w:rsidRDefault="00BC60FC" w:rsidP="00BC60FC">
      <w:pPr>
        <w:pStyle w:val="Point1"/>
      </w:pPr>
      <w:r w:rsidRPr="00483F7D">
        <w:t>β)</w:t>
      </w:r>
      <w:r w:rsidRPr="00483F7D">
        <w:tab/>
      </w:r>
      <w:r w:rsidR="007A1FD7" w:rsidRPr="00483F7D">
        <w:t>στο πλαίσιο της εξόδου, το πρόσωπο που μεταφέρει τα εμπορεύματα ή που φέρει την ευθύνη για τη μεταφορά των εμπορευμάτων εκτός του τελωνειακού εδάφους της Ένωσης. Ωστόσο:</w:t>
      </w:r>
    </w:p>
    <w:p w14:paraId="707C54E3" w14:textId="34B98840" w:rsidR="00E0244C" w:rsidRPr="00483F7D" w:rsidRDefault="00483C4C" w:rsidP="00483C4C">
      <w:pPr>
        <w:pStyle w:val="Point2"/>
      </w:pPr>
      <w:r w:rsidRPr="00483F7D">
        <w:t>i)</w:t>
      </w:r>
      <w:r w:rsidRPr="00483F7D">
        <w:tab/>
        <w:t>στην περίπτωση συνδυασμένης μεταφοράς, όταν το ενεργό μέσο μεταφοράς που εγκαταλείπει το τελωνειακό έδαφος της Ένωσης απλώς μεταφέρει ένα άλλο μέσο μεταφοράς το οποίο, μετά την άφιξη του ενεργού μέσου μεταφοράς στον προορισμό του, θα κυκλοφορεί αυτοδύναμα ως ενεργό μέσο μεταφοράς, ως «μεταφορέας» νοείται το πρόσωπο που θα χειρίζεται το μέσο μεταφοράς το οποίο θα κυκλοφορεί αυτοδύναμα, αφότου το μέσο μεταφοράς που εγκαταλείπει το τελωνειακό έδαφος της Ένωσης έχει φτάσει στον προορισμό του,</w:t>
      </w:r>
    </w:p>
    <w:p w14:paraId="6CD16A3E" w14:textId="1A84C1E6" w:rsidR="00E0244C" w:rsidRPr="00483F7D" w:rsidRDefault="00483C4C" w:rsidP="00483C4C">
      <w:pPr>
        <w:pStyle w:val="Point2"/>
      </w:pPr>
      <w:r w:rsidRPr="00483F7D">
        <w:t>ii)</w:t>
      </w:r>
      <w:r w:rsidRPr="00483F7D">
        <w:tab/>
        <w:t>στην περίπτωση θαλάσσιας ή αεροπορικής μεταφοράς στο πλαίσιο συμφωνίας καταμερισμού ή ναύλωσης πλοίου/αεροσκάφους, ως «μεταφορέας» νοείται το πρόσωπο που συνάπτει σύμβαση και εκδίδει θαλάσσια ή αεροπορική φορτωτική για τη μεταφορά αυτή καθαυτή των εμπορευμάτων εκτός του τελωνειακού εδάφους της Ένωσης·</w:t>
      </w:r>
    </w:p>
    <w:p w14:paraId="38E5CE60" w14:textId="424F40E4" w:rsidR="00E0244C" w:rsidRPr="00483F7D" w:rsidRDefault="00BC60FC" w:rsidP="00BC60FC">
      <w:pPr>
        <w:pStyle w:val="Point0"/>
      </w:pPr>
      <w:r w:rsidRPr="00483F7D">
        <w:t>26)</w:t>
      </w:r>
      <w:r w:rsidRPr="00483F7D">
        <w:tab/>
      </w:r>
      <w:r w:rsidR="007A1FD7" w:rsidRPr="00483F7D">
        <w:t>«ανάλυση κινδύνου»: η επεξεργασία δεδομένων, πληροφοριών ή εγγράφων, συμπεριλαμβανομένων δεδομένων προσωπικού χαρακτήρα, με σκοπό τον εντοπισμό ή τον ποσοτικό προσδιορισμό πιθανών κινδύνων, με χρήση, κατά περίπτωση, αναλυτικών μεθόδων και τεχνητής νοημοσύνης, όπως ορίζεται στο άρθρο 3 σημείο 1 του κανονισμού (ΕΕ) .../.../... του Ευρωπαϊκού Κοινοβουλίου και του Συμβουλίου</w:t>
      </w:r>
      <w:r w:rsidR="007A1FD7" w:rsidRPr="00483F7D">
        <w:rPr>
          <w:rStyle w:val="FootnoteReference"/>
        </w:rPr>
        <w:footnoteReference w:id="63"/>
      </w:r>
      <w:r w:rsidR="007A1FD7" w:rsidRPr="00483F7D">
        <w:t xml:space="preserve">· </w:t>
      </w:r>
    </w:p>
    <w:p w14:paraId="632B0A78" w14:textId="2F516296" w:rsidR="00E0244C" w:rsidRPr="00483F7D" w:rsidRDefault="00BC60FC" w:rsidP="00BC60FC">
      <w:pPr>
        <w:pStyle w:val="Point0"/>
      </w:pPr>
      <w:r w:rsidRPr="00483F7D">
        <w:t>27)</w:t>
      </w:r>
      <w:r w:rsidRPr="00483F7D">
        <w:tab/>
      </w:r>
      <w:r w:rsidR="007A1FD7" w:rsidRPr="00483F7D">
        <w:t>«σήμα κινδύνου»: η ένδειξη πιθανού κινδύνου με βάση αυτοματοποιημένες πράξεις επεξεργασίας για την εφαρμογή ανάλυσης κινδύνου σε δεδομένα, πληροφορίες ή έγγραφα· </w:t>
      </w:r>
    </w:p>
    <w:p w14:paraId="053D9662" w14:textId="358B02BD" w:rsidR="00E0244C" w:rsidRPr="00483F7D" w:rsidRDefault="00BC60FC" w:rsidP="00BC60FC">
      <w:pPr>
        <w:pStyle w:val="Point0"/>
      </w:pPr>
      <w:r w:rsidRPr="00483F7D">
        <w:t>28)</w:t>
      </w:r>
      <w:r w:rsidRPr="00483F7D">
        <w:tab/>
      </w:r>
      <w:r w:rsidR="00E90992" w:rsidRPr="00483F7D">
        <w:t>«αποτέλεσμα ανάλυσης κινδύνου»: ο προσδιορισμός, στην περίπτωση σήματος, ότι ένας κίνδυνος θεωρείται ή δεν θεωρείται υπαρκτός, βάσει αυτόματης διαδικασίας ή από περαιτέρω ανθρώπινη αξιολόγηση του σήματος κινδύνου·</w:t>
      </w:r>
    </w:p>
    <w:p w14:paraId="26BED996" w14:textId="4E4A8251" w:rsidR="00E0244C" w:rsidRPr="00483F7D" w:rsidRDefault="00BC60FC" w:rsidP="00BC60FC">
      <w:pPr>
        <w:pStyle w:val="Point0"/>
      </w:pPr>
      <w:r w:rsidRPr="00483F7D">
        <w:t>29)</w:t>
      </w:r>
      <w:r w:rsidRPr="00483F7D">
        <w:tab/>
      </w:r>
      <w:r w:rsidR="00E90992" w:rsidRPr="00483F7D">
        <w:t>«σύσταση ελέγχου»: η γνώμη τελωνειακής αρχής ή της Τελωνειακής Αρχής της ΕΕ, σχετικά με το αν και, αν ναι, πότε, πού και από ποια τελωνειακή αρχή πρόκειται να διενεργηθεί τελωνειακός έλεγχος, συμπεριλαμβανομένου του προσδιορισμού πιθανών πρόσθετων ενεργειών εκτός των τελωνειακών ελέγχων·</w:t>
      </w:r>
    </w:p>
    <w:p w14:paraId="02AE1AE0" w14:textId="2073A312" w:rsidR="00CF64E0" w:rsidRPr="00483F7D" w:rsidRDefault="00BC60FC" w:rsidP="00BC60FC">
      <w:pPr>
        <w:pStyle w:val="Point0"/>
      </w:pPr>
      <w:r w:rsidRPr="00483F7D">
        <w:t>30)</w:t>
      </w:r>
      <w:r w:rsidRPr="00483F7D">
        <w:tab/>
      </w:r>
      <w:r w:rsidR="00CF64E0" w:rsidRPr="00483F7D">
        <w:t>«απόφαση ελέγχου»: η συγκεκριμένη πράξη με την οποία οι τελωνειακές αρχές αποφασίζουν αν θα διενεργηθεί ή όχι έλεγχος·</w:t>
      </w:r>
    </w:p>
    <w:p w14:paraId="6C49AC82" w14:textId="51FCB1F5" w:rsidR="00E0244C" w:rsidRPr="00483F7D" w:rsidRDefault="00BC60FC" w:rsidP="00BC60FC">
      <w:pPr>
        <w:pStyle w:val="Point0"/>
      </w:pPr>
      <w:r w:rsidRPr="00483F7D">
        <w:t>31)</w:t>
      </w:r>
      <w:r w:rsidRPr="00483F7D">
        <w:tab/>
      </w:r>
      <w:r w:rsidR="007A1FD7" w:rsidRPr="00483F7D">
        <w:t xml:space="preserve">«αποτέλεσμα ελέγχου»: το προκαταρκτικό και τελικό αποτέλεσμα ενός ελέγχου, συμπεριλαμβανομένων των ενδεδειγμένων περαιτέρω ενεργειών, αν υπάρχουν, και των αρμόδιων αρχών που ενδιαφέρονται για το αποτέλεσμα ή τις ενέργειες, αν υπάρχουν· </w:t>
      </w:r>
    </w:p>
    <w:p w14:paraId="616BECB7" w14:textId="4845810B" w:rsidR="00E0244C" w:rsidRPr="00483F7D" w:rsidRDefault="00BC60FC" w:rsidP="00BC60FC">
      <w:pPr>
        <w:pStyle w:val="Point0"/>
      </w:pPr>
      <w:r w:rsidRPr="00483F7D">
        <w:t>32)</w:t>
      </w:r>
      <w:r w:rsidRPr="00483F7D">
        <w:tab/>
      </w:r>
      <w:r w:rsidR="007A1FD7" w:rsidRPr="00483F7D">
        <w:t>«κοινός τομέας ελέγχων προτεραιότητας»: η επιλογή συγκεκριμένων τελωνειακών καθεστώτων, ειδών εμπορευμάτων, οδών διακίνησης, τρόπων μεταφοράς ή οικονομικών φορέων, με σκοπό την υπαγωγή τους για ορισμένη χρονική περίοδο σε αυξημένα επίπεδα ανάλυσης κινδύνου, μέτρων μετριασμού και τελωνειακών ελέγχων, με την επιφύλαξη άλλων ελέγχων που διενεργούνται συνήθως από τις τελωνειακές αρχές·</w:t>
      </w:r>
    </w:p>
    <w:p w14:paraId="04651235" w14:textId="36A0313C" w:rsidR="00E0244C" w:rsidRPr="00483F7D" w:rsidRDefault="00BC60FC" w:rsidP="00BC60FC">
      <w:pPr>
        <w:pStyle w:val="Point0"/>
      </w:pPr>
      <w:r w:rsidRPr="00483F7D">
        <w:t>33)</w:t>
      </w:r>
      <w:r w:rsidRPr="00483F7D">
        <w:tab/>
      </w:r>
      <w:r w:rsidR="007A1FD7" w:rsidRPr="00483F7D">
        <w:t>«κοινά κριτήρια και πρότυπα κινδύνου»: οι παράμετροι για την ανάλυση κινδύνου για έναν τομέα κινδύνου και συνοδευτικά πρότυπα σχετικά με την πρακτική εφαρμογή των κριτηρίων·</w:t>
      </w:r>
    </w:p>
    <w:p w14:paraId="34783A0B" w14:textId="237605C1" w:rsidR="00E0244C" w:rsidRPr="00483F7D" w:rsidRDefault="00BC60FC" w:rsidP="00BC60FC">
      <w:pPr>
        <w:pStyle w:val="Point0"/>
      </w:pPr>
      <w:r w:rsidRPr="00483F7D">
        <w:t>34)</w:t>
      </w:r>
      <w:r w:rsidRPr="00483F7D">
        <w:tab/>
      </w:r>
      <w:r w:rsidR="007A1FD7" w:rsidRPr="00483F7D">
        <w:t xml:space="preserve">«στρατηγική επιτήρησης»: προσέγγιση για τον χειρισμό συγκεκριμένου κινδύνου, η οποία αποσκοπεί στην εξισορρόπηση των επιχειρησιακών προσπαθειών τελωνειακής επιτήρησης και των μέτρων μετριασμού σε ολόκληρη την εφοδιαστική αλυσίδα με αναλογικό και αποτελεσματικό τρόπο· </w:t>
      </w:r>
    </w:p>
    <w:p w14:paraId="03579A15" w14:textId="19FA5972" w:rsidR="00E0244C" w:rsidRPr="00483F7D" w:rsidRDefault="00BC60FC" w:rsidP="00BC60FC">
      <w:pPr>
        <w:pStyle w:val="Point0"/>
      </w:pPr>
      <w:r w:rsidRPr="00483F7D">
        <w:t>35)</w:t>
      </w:r>
      <w:r w:rsidRPr="00483F7D">
        <w:tab/>
      </w:r>
      <w:r w:rsidR="007A1FD7" w:rsidRPr="00483F7D">
        <w:t>«αποστολή»: τα εμπορεύματα που μεταφέρονται από έναν αποστολέα σε έναν παραλήπτη, με το ίδιο μέσο μεταφοράς, συμπεριλαμβανομένων των πολυτροπικών μεταφορών, και προέρχονται από το ίδιο έδαφος ή τρίτη χώρα, είναι του ίδιου τύπου, κατηγορίας ή περιγραφής ή είναι συσκευασμένα μαζί, στο πλαίσιο της ίδιας σύμβασης μεταφοράς·</w:t>
      </w:r>
    </w:p>
    <w:p w14:paraId="52BEC230" w14:textId="7003BEDD" w:rsidR="00E0244C" w:rsidRPr="00483F7D" w:rsidRDefault="00BC60FC" w:rsidP="00BC60FC">
      <w:pPr>
        <w:pStyle w:val="Point0"/>
      </w:pPr>
      <w:r w:rsidRPr="00483F7D">
        <w:t>36)</w:t>
      </w:r>
      <w:r w:rsidRPr="00483F7D">
        <w:tab/>
      </w:r>
      <w:r w:rsidR="007A1FD7" w:rsidRPr="00483F7D">
        <w:t>«τελωνειακός χαρακτήρας»: ο χαρακτήρας εμπορεύματος ως ενωσιακού ή μη ενωσιακού·</w:t>
      </w:r>
    </w:p>
    <w:p w14:paraId="7B2C8BDE" w14:textId="1790EBE3" w:rsidR="00E0244C" w:rsidRPr="00483F7D" w:rsidRDefault="00BC60FC" w:rsidP="00BC60FC">
      <w:pPr>
        <w:pStyle w:val="Point0"/>
      </w:pPr>
      <w:r w:rsidRPr="00483F7D">
        <w:t>37)</w:t>
      </w:r>
      <w:r w:rsidRPr="00483F7D">
        <w:tab/>
      </w:r>
      <w:r w:rsidR="007A1FD7" w:rsidRPr="00483F7D">
        <w:t>«ενωσιακά εμπορεύματα»: εμπορεύματα που υπάγονται σε οποιαδήποτε από τις ακόλουθες κατηγορίες:</w:t>
      </w:r>
    </w:p>
    <w:p w14:paraId="76FEBB15" w14:textId="5BF1797B" w:rsidR="00E0244C" w:rsidRPr="00483F7D" w:rsidRDefault="00BC60FC" w:rsidP="00BC60FC">
      <w:pPr>
        <w:pStyle w:val="Point1"/>
      </w:pPr>
      <w:r w:rsidRPr="00483F7D">
        <w:t>α)</w:t>
      </w:r>
      <w:r w:rsidRPr="00483F7D">
        <w:tab/>
      </w:r>
      <w:r w:rsidR="007A1FD7" w:rsidRPr="00483F7D">
        <w:t>εμπορεύματα που λαμβάνονται εξ ολοκλήρου στο τελωνειακό έδαφος της Ένωσης, χωρίς να ενσωματώνονται σε αυτά εμπορεύματα που εισάγονται από τρίτες χώρες,</w:t>
      </w:r>
    </w:p>
    <w:p w14:paraId="255C0326" w14:textId="621729D8" w:rsidR="00E0244C" w:rsidRPr="00483F7D" w:rsidRDefault="00BC60FC" w:rsidP="00BC60FC">
      <w:pPr>
        <w:pStyle w:val="Point1"/>
      </w:pPr>
      <w:r w:rsidRPr="00483F7D">
        <w:t>β)</w:t>
      </w:r>
      <w:r w:rsidRPr="00483F7D">
        <w:tab/>
      </w:r>
      <w:r w:rsidR="007A1FD7" w:rsidRPr="00483F7D">
        <w:t>εμπορεύματα που έχουν μεταφερθεί εντός του τελωνειακού εδάφους της Ένωσης από τρίτες χώρες και τίθενται σε ελεύθερη κυκλοφορία,</w:t>
      </w:r>
    </w:p>
    <w:p w14:paraId="55F19FA5" w14:textId="5EC4E7C0" w:rsidR="00E0244C" w:rsidRPr="00483F7D" w:rsidRDefault="00BC60FC" w:rsidP="00BC60FC">
      <w:pPr>
        <w:pStyle w:val="Point1"/>
      </w:pPr>
      <w:r w:rsidRPr="00483F7D">
        <w:t>γ)</w:t>
      </w:r>
      <w:r w:rsidRPr="00483F7D">
        <w:tab/>
      </w:r>
      <w:r w:rsidR="007A1FD7" w:rsidRPr="00483F7D">
        <w:t>εμπορεύματα που λαμβάνονται ή παράγονται στο τελωνειακό έδαφος της Ένωσης, είτε αποκλειστικά από εμπορεύματα που αναφέρονται στο στοιχείο β) είτε από εμπορεύματα που αναφέρονται στα στοιχεία α) και β)·</w:t>
      </w:r>
    </w:p>
    <w:p w14:paraId="31866ACA" w14:textId="29FF8F6F" w:rsidR="00E0244C" w:rsidRPr="00483F7D" w:rsidRDefault="00BC60FC" w:rsidP="00BC60FC">
      <w:pPr>
        <w:pStyle w:val="Point0"/>
      </w:pPr>
      <w:r w:rsidRPr="00483F7D">
        <w:t>38)</w:t>
      </w:r>
      <w:r w:rsidRPr="00483F7D">
        <w:tab/>
      </w:r>
      <w:r w:rsidR="00A20A97" w:rsidRPr="00483F7D">
        <w:t>«μη ενωσιακά εμπορεύματα»: εμπορεύματα άλλα από εκείνα που αναφέρονται στο σημείο 46) ή που έχουν απολέσει τον τελωνειακό τους χαρακτήρα ως ενωσιακών εμπορευμάτων·</w:t>
      </w:r>
    </w:p>
    <w:p w14:paraId="0CBB85CD" w14:textId="185B8F34" w:rsidR="00E0244C" w:rsidRPr="00483F7D" w:rsidRDefault="00BC60FC" w:rsidP="00BC60FC">
      <w:pPr>
        <w:pStyle w:val="Point0"/>
      </w:pPr>
      <w:r w:rsidRPr="00483F7D">
        <w:t>39)</w:t>
      </w:r>
      <w:r w:rsidRPr="00483F7D">
        <w:tab/>
      </w:r>
      <w:r w:rsidR="007A1FD7" w:rsidRPr="00483F7D">
        <w:t>«παράδοση εμπορευμάτων»: πράξη με την οποία οι τελωνειακές αρχές, ή άλλα πρόσωπα για λογαριασμό τους, καθιστούν τα εμπορεύματα διαθέσιμα για τους σκοπούς που ορίζει το τελωνειακό καθεστώς στο οποίο προορίζονται να υπαχθούν·</w:t>
      </w:r>
    </w:p>
    <w:p w14:paraId="1108C8B7" w14:textId="76EF2786" w:rsidR="00E0244C" w:rsidRPr="00483F7D" w:rsidRDefault="00BC60FC" w:rsidP="00BC60FC">
      <w:pPr>
        <w:pStyle w:val="Point0"/>
      </w:pPr>
      <w:r w:rsidRPr="00483F7D">
        <w:t>40)</w:t>
      </w:r>
      <w:r w:rsidRPr="00483F7D">
        <w:tab/>
      </w:r>
      <w:r w:rsidR="007A1FD7" w:rsidRPr="00483F7D">
        <w:t>«συνοπτική διασάφηση εισόδου»: η πράξη με την οποία ένα πρόσωπο ενημερώνει τις τελωνειακές αρχές, με τους προβλεπόμενους τύπους και διαδικασίες και εντός συγκεκριμένης προθεσμίας, ότι εμπορεύματα πρόκειται να μεταφερθούν εντός του τελωνειακού εδάφους της Ένωσης·</w:t>
      </w:r>
    </w:p>
    <w:p w14:paraId="1908D3A6" w14:textId="2BB52A4C" w:rsidR="00E0244C" w:rsidRPr="00483F7D" w:rsidRDefault="00BC60FC" w:rsidP="00BC60FC">
      <w:pPr>
        <w:pStyle w:val="Point0"/>
      </w:pPr>
      <w:r w:rsidRPr="00483F7D">
        <w:t>41)</w:t>
      </w:r>
      <w:r w:rsidRPr="00483F7D">
        <w:tab/>
      </w:r>
      <w:r w:rsidR="007A1FD7" w:rsidRPr="00483F7D">
        <w:t>«συνοπτική διασάφηση εξόδου»: η πράξη με την οποία ένα πρόσωπο ενημερώνει τις τελωνειακές αρχές, με τους προβλεπόμενους τύπους και διαδικασίες και εντός συγκεκριμένης προθεσμίας, ότι εμπορεύματα πρόκειται να μεταφερθούν εκτός του τελωνειακού εδάφους της Ένωσης·</w:t>
      </w:r>
    </w:p>
    <w:p w14:paraId="02AC3F81" w14:textId="38A64A77" w:rsidR="00E0244C" w:rsidRPr="00483F7D" w:rsidRDefault="00BC60FC" w:rsidP="00BC60FC">
      <w:pPr>
        <w:pStyle w:val="Point0"/>
      </w:pPr>
      <w:r w:rsidRPr="00483F7D">
        <w:t>42)</w:t>
      </w:r>
      <w:r w:rsidRPr="00483F7D">
        <w:tab/>
      </w:r>
      <w:r w:rsidR="007A1FD7" w:rsidRPr="00483F7D">
        <w:t>«διασάφηση προσωρινής εναπόθεσης»: η πράξη με την οποία ένα πρόσωπο δηλώνει, με τους προβλεπόμενους τύπους και διαδικασίες, ότι εμπορεύματα βρίσκονται σε προσωρινή εναπόθεση·</w:t>
      </w:r>
    </w:p>
    <w:p w14:paraId="250CF42F" w14:textId="4314FD75" w:rsidR="00E0244C" w:rsidRPr="00483F7D" w:rsidRDefault="00BC60FC" w:rsidP="00BC60FC">
      <w:pPr>
        <w:pStyle w:val="Point0"/>
      </w:pPr>
      <w:r w:rsidRPr="00483F7D">
        <w:t>43)</w:t>
      </w:r>
      <w:r w:rsidRPr="00483F7D">
        <w:tab/>
      </w:r>
      <w:r w:rsidR="007A1FD7" w:rsidRPr="00483F7D">
        <w:t>«τελωνειακή διασάφηση»: η πράξη με την οποία ένα πρόσωπο δηλώνει, με τους προβλεπόμενους τύπους και διαδικασίες, τη βούλησή του να υπαγάγει εμπορεύματα σε συγκεκριμένο τελωνειακό καθεστώς, με αναφορά, κατά περίπτωση, τυχόν ειδικών ρυθμίσεων που θα πρέπει να εφαρμοστούν·</w:t>
      </w:r>
    </w:p>
    <w:p w14:paraId="7D006B04" w14:textId="11CE71F6" w:rsidR="00E0244C" w:rsidRPr="00483F7D" w:rsidRDefault="00BC60FC" w:rsidP="00BC60FC">
      <w:pPr>
        <w:pStyle w:val="Point0"/>
      </w:pPr>
      <w:r w:rsidRPr="00483F7D">
        <w:t>44)</w:t>
      </w:r>
      <w:r w:rsidRPr="00483F7D">
        <w:tab/>
      </w:r>
      <w:r w:rsidR="007A1FD7" w:rsidRPr="00483F7D">
        <w:t>«διασαφιστής»: πρόσωπο που υποβάλλει τελωνειακή διασάφηση, διασάφηση προσωρινής εναπόθεσης, συνοπτική διασάφηση εισόδου, συνοπτική διασάφηση εξόδου, διασάφηση επανεξαγωγής ή γνωστοποίηση επανεξαγωγής στο όνομά του ή το πρόσωπο στο όνομα του οποίου υποβάλλεται η εν λόγω διασάφηση ή γνωστοποίηση·</w:t>
      </w:r>
    </w:p>
    <w:p w14:paraId="14167549" w14:textId="41D545BD" w:rsidR="00E0244C" w:rsidRPr="00483F7D" w:rsidRDefault="00BC60FC" w:rsidP="00BC60FC">
      <w:pPr>
        <w:pStyle w:val="Point0"/>
      </w:pPr>
      <w:r w:rsidRPr="00483F7D">
        <w:t>45)</w:t>
      </w:r>
      <w:r w:rsidRPr="00483F7D">
        <w:tab/>
      </w:r>
      <w:r w:rsidR="007A1FD7" w:rsidRPr="00483F7D">
        <w:t>«διασάφηση επανεξαγωγής»: η πράξη με την οποία ένα πρόσωπο δηλώνει, με τους προβλεπόμενους τύπους και διαδικασίες, τη βούλησή του να μεταφέρει μη ενωσιακά εμπορεύματα εκτός του τελωνειακού εδάφους της Ένωσης, με εξαίρεση τα εμπορεύματα που τελούν υπό το καθεστώς ελεύθερης ζώνης ή σε προσωρινή εναπόθεση·</w:t>
      </w:r>
    </w:p>
    <w:p w14:paraId="3C9E3CAC" w14:textId="31A9E32D" w:rsidR="00E0244C" w:rsidRPr="00483F7D" w:rsidRDefault="00BC60FC" w:rsidP="00BC60FC">
      <w:pPr>
        <w:pStyle w:val="Point0"/>
      </w:pPr>
      <w:r w:rsidRPr="00483F7D">
        <w:t>46)</w:t>
      </w:r>
      <w:r w:rsidRPr="00483F7D">
        <w:tab/>
      </w:r>
      <w:r w:rsidR="007A1FD7" w:rsidRPr="00483F7D">
        <w:t>«γνωστοποίηση επανεξαγωγής»: η πράξη με την οποία ένα πρόσωπο δηλώνει, με τους προβλεπόμενους τύπους και διαδικασίες, τη βούλησή του να μεταφέρει μη ενωσιακά εμπορεύματα που τελούν υπό το καθεστώς ελεύθερης ζώνης ή σε προσωρινή εναπόθεση εκτός του τελωνειακού εδάφους της Ένωσης·</w:t>
      </w:r>
    </w:p>
    <w:p w14:paraId="1D8A7372" w14:textId="5BA0217B" w:rsidR="00E0244C" w:rsidRPr="00483F7D" w:rsidRDefault="00BC60FC" w:rsidP="00BC60FC">
      <w:pPr>
        <w:pStyle w:val="Point0"/>
      </w:pPr>
      <w:r w:rsidRPr="00483F7D">
        <w:t>47)</w:t>
      </w:r>
      <w:r w:rsidRPr="00483F7D">
        <w:tab/>
      </w:r>
      <w:r w:rsidR="007A1FD7" w:rsidRPr="00483F7D">
        <w:t>«εξ αποστάσεως πωλήσεις εμπορευμάτων που εισάγονται από τρίτες χώρες»: οι εξ αποστάσεως πωλήσεις αγαθών που εισάγονται από τρίτες χώρες ή τρίτα εδάφη, όπως ορίζονται στο άρθρο 14 παράγραφος 4 σημείο 2 της οδηγίας 2006/112/ΕΚ·</w:t>
      </w:r>
    </w:p>
    <w:p w14:paraId="637B9189" w14:textId="2EC9E067" w:rsidR="00977777" w:rsidRPr="00483F7D" w:rsidRDefault="00BC60FC" w:rsidP="00BC60FC">
      <w:pPr>
        <w:pStyle w:val="Point0"/>
      </w:pPr>
      <w:r w:rsidRPr="00483F7D">
        <w:t>48)</w:t>
      </w:r>
      <w:r w:rsidRPr="00483F7D">
        <w:tab/>
      </w:r>
      <w:r w:rsidR="007A1FD7" w:rsidRPr="00483F7D">
        <w:t>«κατασκευαστής»:</w:t>
      </w:r>
    </w:p>
    <w:p w14:paraId="168B2CA8" w14:textId="365A712F" w:rsidR="00977777" w:rsidRPr="00483F7D" w:rsidRDefault="00BC60FC" w:rsidP="00BC60FC">
      <w:pPr>
        <w:pStyle w:val="Point1"/>
      </w:pPr>
      <w:r w:rsidRPr="00483F7D">
        <w:t>α)</w:t>
      </w:r>
      <w:r w:rsidRPr="00483F7D">
        <w:tab/>
      </w:r>
      <w:r w:rsidR="00977777" w:rsidRPr="00483F7D">
        <w:t>ο κατασκευαστής του προϊόντος σύμφωνα με τη νομοθεσία που εφαρμόζεται για το εν λόγω προϊόν· ή  </w:t>
      </w:r>
    </w:p>
    <w:p w14:paraId="743CF47B" w14:textId="48626544" w:rsidR="00977777" w:rsidRPr="00483F7D" w:rsidRDefault="00BC60FC" w:rsidP="00BC60FC">
      <w:pPr>
        <w:pStyle w:val="Point1"/>
      </w:pPr>
      <w:r w:rsidRPr="00483F7D">
        <w:t>β)</w:t>
      </w:r>
      <w:r w:rsidRPr="00483F7D">
        <w:tab/>
      </w:r>
      <w:r w:rsidR="00977777" w:rsidRPr="00483F7D">
        <w:t>ο παραγωγός όσον αφορά τα γεωργικά προϊόντα όπως ορίζονται στο άρθρο 38 παράγραφος 1 της ΣΛΕΕ ή τις πρώτες ύλες· ή  </w:t>
      </w:r>
    </w:p>
    <w:p w14:paraId="617C0F83" w14:textId="2CC6563A" w:rsidR="00E0244C" w:rsidRPr="00483F7D" w:rsidRDefault="00BC60FC" w:rsidP="00BC60FC">
      <w:pPr>
        <w:pStyle w:val="Point1"/>
      </w:pPr>
      <w:r w:rsidRPr="00483F7D">
        <w:t>γ)</w:t>
      </w:r>
      <w:r w:rsidRPr="00483F7D">
        <w:tab/>
      </w:r>
      <w:r w:rsidR="00977777" w:rsidRPr="00483F7D">
        <w:t>αν δεν υπάρχει κατασκευαστής ή παραγωγός όπως αναφέρεται στα στοιχεία α) και β), το φυσικό ή νομικό πρόσωπο ή η ένωση προσώπων που κατασκεύασε το προϊόν ή ανέθεσε σε άλλους την κατασκευή του και διαθέτει στην αγορά το προϊόν αυτό υπό την επωνυμία ή το εμπορικό σήμα του εν λόγω προσώπου·</w:t>
      </w:r>
    </w:p>
    <w:p w14:paraId="6F6C061B" w14:textId="5953AA27" w:rsidR="00B145D6" w:rsidRPr="00483F7D" w:rsidRDefault="00BC60FC" w:rsidP="00BC60FC">
      <w:pPr>
        <w:pStyle w:val="Point0"/>
      </w:pPr>
      <w:r w:rsidRPr="00483F7D">
        <w:t>49)</w:t>
      </w:r>
      <w:r w:rsidRPr="00483F7D">
        <w:tab/>
      </w:r>
      <w:r w:rsidR="00B145D6" w:rsidRPr="00483F7D">
        <w:t>«προμηθευτής προϊόντος»: κάθε φυσικό ή νομικό πρόσωπο ή ένωση προσώπων στην εφοδιαστική αλυσίδα που κατασκευάζει ένα προϊόν εν όλω ή εν μέρει, είτε ως κατασκευαστής είτε σε οποιαδήποτε άλλη περίσταση· </w:t>
      </w:r>
    </w:p>
    <w:p w14:paraId="1E331AC5" w14:textId="5BA64EFC" w:rsidR="00B145D6" w:rsidRPr="00483F7D" w:rsidRDefault="00BC60FC" w:rsidP="00BC60FC">
      <w:pPr>
        <w:pStyle w:val="Point0"/>
      </w:pPr>
      <w:r w:rsidRPr="00483F7D">
        <w:t>50)</w:t>
      </w:r>
      <w:r w:rsidRPr="00483F7D">
        <w:tab/>
      </w:r>
      <w:r w:rsidR="001155F2" w:rsidRPr="00483F7D">
        <w:t xml:space="preserve">«προσωρινή εναπόθεση»: η κατάσταση μη ενωσιακών εμπορευμάτων τα οποία αποθηκεύονται προσωρινά υπό τελωνειακή επιτήρηση για το διάστημα μεταξύ της χρονικής στιγμής κατά την οποία ο μεταφορέας γνωστοποιεί την άφιξή τους στο τελωνειακό έδαφος και της υπαγωγής τους σε τελωνειακό καθεστώς· </w:t>
      </w:r>
    </w:p>
    <w:p w14:paraId="2996ACD8" w14:textId="19925532" w:rsidR="00E0244C" w:rsidRPr="00483F7D" w:rsidRDefault="00BC60FC" w:rsidP="00BC60FC">
      <w:pPr>
        <w:pStyle w:val="Point0"/>
      </w:pPr>
      <w:r w:rsidRPr="00483F7D">
        <w:t>51)</w:t>
      </w:r>
      <w:r w:rsidRPr="00483F7D">
        <w:tab/>
      </w:r>
      <w:r w:rsidR="007A1FD7" w:rsidRPr="00483F7D">
        <w:t>«μεταποιημένα προϊόντα»: προϊόντα που έχουν υπαχθεί σε καθεστώς τελειοποίησης και έχουν υποβληθεί σε εργασίες τελειοποίησης·</w:t>
      </w:r>
    </w:p>
    <w:p w14:paraId="14719391" w14:textId="2684DB19" w:rsidR="00E0244C" w:rsidRPr="00483F7D" w:rsidRDefault="00BC60FC" w:rsidP="00BC60FC">
      <w:pPr>
        <w:pStyle w:val="Point0"/>
      </w:pPr>
      <w:r w:rsidRPr="00483F7D">
        <w:t>52)</w:t>
      </w:r>
      <w:r w:rsidRPr="00483F7D">
        <w:tab/>
      </w:r>
      <w:r w:rsidR="007A1FD7" w:rsidRPr="00483F7D">
        <w:t>«εργασίες τελειοποίησης»: οποιαδήποτε από τις ακόλουθες:</w:t>
      </w:r>
    </w:p>
    <w:p w14:paraId="6436E4E2" w14:textId="0ECF03B5" w:rsidR="00E0244C" w:rsidRPr="00483F7D" w:rsidRDefault="00BC60FC" w:rsidP="00BC60FC">
      <w:pPr>
        <w:pStyle w:val="Point1"/>
      </w:pPr>
      <w:r w:rsidRPr="00483F7D">
        <w:t>α)</w:t>
      </w:r>
      <w:r w:rsidRPr="00483F7D">
        <w:tab/>
      </w:r>
      <w:r w:rsidR="007A1FD7" w:rsidRPr="00483F7D">
        <w:t>κατεργασία εμπορευμάτων, στην οποία περιλαμβάνεται η συναρμολόγηση, η συνένωση ή η προσαρμογή των εν λόγω εμπορευμάτων σε άλλα εμπορεύματα·</w:t>
      </w:r>
    </w:p>
    <w:p w14:paraId="28F7AFAF" w14:textId="28FCD1E4" w:rsidR="00E0244C" w:rsidRPr="00483F7D" w:rsidRDefault="00BC60FC" w:rsidP="00BC60FC">
      <w:pPr>
        <w:pStyle w:val="Point1"/>
      </w:pPr>
      <w:r w:rsidRPr="00483F7D">
        <w:t>β)</w:t>
      </w:r>
      <w:r w:rsidRPr="00483F7D">
        <w:tab/>
      </w:r>
      <w:r w:rsidR="007A1FD7" w:rsidRPr="00483F7D">
        <w:t>μεταποίηση εμπορευμάτων·</w:t>
      </w:r>
    </w:p>
    <w:p w14:paraId="411B9089" w14:textId="197570A4" w:rsidR="00E0244C" w:rsidRPr="00483F7D" w:rsidRDefault="00BC60FC" w:rsidP="00BC60FC">
      <w:pPr>
        <w:pStyle w:val="Point1"/>
      </w:pPr>
      <w:r w:rsidRPr="00483F7D">
        <w:t>γ)</w:t>
      </w:r>
      <w:r w:rsidRPr="00483F7D">
        <w:tab/>
      </w:r>
      <w:r w:rsidR="007A1FD7" w:rsidRPr="00483F7D">
        <w:t>καταστροφή εμπορευμάτων·</w:t>
      </w:r>
    </w:p>
    <w:p w14:paraId="5984A7F1" w14:textId="4A397641" w:rsidR="00E0244C" w:rsidRPr="00483F7D" w:rsidRDefault="00BC60FC" w:rsidP="00BC60FC">
      <w:pPr>
        <w:pStyle w:val="Point1"/>
      </w:pPr>
      <w:r w:rsidRPr="00483F7D">
        <w:t>δ)</w:t>
      </w:r>
      <w:r w:rsidRPr="00483F7D">
        <w:tab/>
      </w:r>
      <w:r w:rsidR="007A1FD7" w:rsidRPr="00483F7D">
        <w:t>επισκευή εμπορευμάτων, στην οποία περιλαμβάνεται η αποκατάσταση και η θέση των εν λόγω εμπορευμάτων σε λειτουργία·</w:t>
      </w:r>
    </w:p>
    <w:p w14:paraId="512BB007" w14:textId="67E74AD4" w:rsidR="00E0244C" w:rsidRPr="00483F7D" w:rsidRDefault="00BC60FC" w:rsidP="00BC60FC">
      <w:pPr>
        <w:pStyle w:val="Point1"/>
      </w:pPr>
      <w:r w:rsidRPr="00483F7D">
        <w:t>ε)</w:t>
      </w:r>
      <w:r w:rsidRPr="00483F7D">
        <w:tab/>
      </w:r>
      <w:r w:rsidR="007A1FD7" w:rsidRPr="00483F7D">
        <w:t>χρησιμοποίηση ορισμένων εμπορευμάτων, τα οποία δεν περιέχονται μεν στα μεταποιημένα προϊόντα, επιτρέπουν όμως ή διευκολύνουν την παραγωγή των εν λόγω προϊόντων, ακόμα και αν αναλίσκονται εξ ολοκλήρου ή εν μέρει κατά τη μεταποίηση (βοηθήματα παραγωγής)·</w:t>
      </w:r>
    </w:p>
    <w:p w14:paraId="140CD077" w14:textId="712DA045" w:rsidR="00E0244C" w:rsidRPr="00483F7D" w:rsidRDefault="00BC60FC" w:rsidP="00BC60FC">
      <w:pPr>
        <w:pStyle w:val="Point0"/>
      </w:pPr>
      <w:r w:rsidRPr="00483F7D">
        <w:t>53)</w:t>
      </w:r>
      <w:r w:rsidRPr="00483F7D">
        <w:tab/>
      </w:r>
      <w:r w:rsidR="007A1FD7" w:rsidRPr="00483F7D">
        <w:t>«δικαιούχος του καθεστώτος διαμετακόμισης»: το πρόσωπο που υποβάλλει τη διασάφηση διαμετακόμισης ή παρέχει τις πληροφορίες που απαιτούνται για την υπαγωγή των εμπορευμάτων στο εν λόγω καθεστώς ή για λογαριασμό του οποίου υποβάλλεται η εν λόγω διασάφηση ή παρέχονται οι εν λόγω πληροφορίες.</w:t>
      </w:r>
    </w:p>
    <w:p w14:paraId="4AA6297D" w14:textId="1D3692D3" w:rsidR="00E0244C" w:rsidRPr="00483F7D" w:rsidRDefault="00BC60FC" w:rsidP="00BC60FC">
      <w:pPr>
        <w:pStyle w:val="Point0"/>
      </w:pPr>
      <w:r w:rsidRPr="00483F7D">
        <w:t>54)</w:t>
      </w:r>
      <w:r w:rsidRPr="00483F7D">
        <w:tab/>
      </w:r>
      <w:r w:rsidR="007A1FD7" w:rsidRPr="00483F7D">
        <w:t>«συντελεστής απόδοσης»: η ποσότητα ή το ποσοστό των μεταποιημένων προϊόντων που λαμβάνεται από τη μεταποίηση ορισμένης ποσότητας εμπορευμάτων που έχουν υπαχθεί σε καθεστώς τελειοποίησης·</w:t>
      </w:r>
    </w:p>
    <w:p w14:paraId="63928C74" w14:textId="27BAA954" w:rsidR="00E0244C" w:rsidRPr="00483F7D" w:rsidRDefault="00BC60FC" w:rsidP="00BC60FC">
      <w:pPr>
        <w:pStyle w:val="Point0"/>
      </w:pPr>
      <w:r w:rsidRPr="00483F7D">
        <w:t>55)</w:t>
      </w:r>
      <w:r w:rsidRPr="00483F7D">
        <w:tab/>
      </w:r>
      <w:r w:rsidR="007A1FD7" w:rsidRPr="00483F7D">
        <w:t>«τρίτη χώρα»: χώρα ή έδαφος εκτός του τελωνειακού εδάφους της Ένωσης·</w:t>
      </w:r>
    </w:p>
    <w:p w14:paraId="08233B80" w14:textId="62E10C25" w:rsidR="00E0244C" w:rsidRPr="00483F7D" w:rsidRDefault="00BC60FC" w:rsidP="00BC60FC">
      <w:pPr>
        <w:pStyle w:val="Point0"/>
      </w:pPr>
      <w:r w:rsidRPr="00483F7D">
        <w:t>56)</w:t>
      </w:r>
      <w:r w:rsidRPr="00483F7D">
        <w:tab/>
      </w:r>
      <w:r w:rsidR="007A1FD7" w:rsidRPr="00483F7D">
        <w:t>«απλουστευμένη δασμολογική μεταχείριση για τις εξ αποστάσεως πωλήσεις»: η απλουστευμένη δασμολογική μεταχείριση για τις εξ αποστάσεως πωλήσεις που ορίζεται στο άρθρο 1 παράγραφοι 4 και 5 και στο πρώτο μέρος τμήμα II σημείο Ζ του παραρτήματος I του κανονισμού (ΕΟΚ) αριθ. 2658/87·</w:t>
      </w:r>
    </w:p>
    <w:p w14:paraId="4AAE4C8E" w14:textId="506F6CBB" w:rsidR="00E0244C" w:rsidRPr="00483F7D" w:rsidRDefault="00BC60FC" w:rsidP="00BC60FC">
      <w:pPr>
        <w:pStyle w:val="Point0"/>
      </w:pPr>
      <w:r w:rsidRPr="00483F7D">
        <w:t>57)</w:t>
      </w:r>
      <w:r w:rsidRPr="00483F7D">
        <w:tab/>
      </w:r>
      <w:r w:rsidR="007A1FD7" w:rsidRPr="00483F7D">
        <w:t>«τελωνειακή οφειλή»: η υποχρέωση προσώπου να καταβάλει τον εισαγωγικό ή εξαγωγικό δασμό που επιβάλλεται σε συγκεκριμένα εμπορεύματα σύμφωνα με την ισχύουσα τελωνειακή νομοθεσία·</w:t>
      </w:r>
    </w:p>
    <w:p w14:paraId="1BBBC020" w14:textId="25327805" w:rsidR="00E0244C" w:rsidRPr="00483F7D" w:rsidRDefault="00BC60FC" w:rsidP="00BC60FC">
      <w:pPr>
        <w:pStyle w:val="Point0"/>
      </w:pPr>
      <w:r w:rsidRPr="00483F7D">
        <w:t>58)</w:t>
      </w:r>
      <w:r w:rsidRPr="00483F7D">
        <w:tab/>
      </w:r>
      <w:r w:rsidR="007A1FD7" w:rsidRPr="00483F7D">
        <w:t>«οφειλέτης»: κάθε πρόσωπο υπόχρεο τελωνειακής οφειλής·</w:t>
      </w:r>
    </w:p>
    <w:p w14:paraId="0CC64B9E" w14:textId="672A3F1A" w:rsidR="00E0244C" w:rsidRPr="00483F7D" w:rsidRDefault="00BC60FC" w:rsidP="00BC60FC">
      <w:pPr>
        <w:pStyle w:val="Point0"/>
      </w:pPr>
      <w:r w:rsidRPr="00483F7D">
        <w:t>59)</w:t>
      </w:r>
      <w:r w:rsidRPr="00483F7D">
        <w:tab/>
      </w:r>
      <w:r w:rsidR="007A1FD7" w:rsidRPr="00483F7D">
        <w:t>«εισαγωγικός δασμός»: ο καταβλητέος κατά την εισαγωγή εμπορευμάτων δασμός·</w:t>
      </w:r>
    </w:p>
    <w:p w14:paraId="2E4FA485" w14:textId="79AFB229" w:rsidR="00E0244C" w:rsidRPr="00483F7D" w:rsidRDefault="00BC60FC" w:rsidP="00BC60FC">
      <w:pPr>
        <w:pStyle w:val="Point0"/>
      </w:pPr>
      <w:r w:rsidRPr="00483F7D">
        <w:t>60)</w:t>
      </w:r>
      <w:r w:rsidRPr="00483F7D">
        <w:tab/>
      </w:r>
      <w:r w:rsidR="007A1FD7" w:rsidRPr="00483F7D">
        <w:t>«εξαγωγικός δασμός»: ο καταβλητέος κατά την εξαγωγή εμπορευμάτων δασμός·</w:t>
      </w:r>
    </w:p>
    <w:p w14:paraId="40675E07" w14:textId="725C3BA8" w:rsidR="00E0244C" w:rsidRPr="00483F7D" w:rsidRDefault="00BC60FC" w:rsidP="00BC60FC">
      <w:pPr>
        <w:pStyle w:val="Point0"/>
      </w:pPr>
      <w:r w:rsidRPr="00483F7D">
        <w:t>61)</w:t>
      </w:r>
      <w:r w:rsidRPr="00483F7D">
        <w:tab/>
      </w:r>
      <w:r w:rsidR="007A1FD7" w:rsidRPr="00483F7D">
        <w:t>«επιστροφή»: η επιστροφή ποσού εισαγωγικού ή εξαγωγικού δασμού που έχει καταβληθεί·</w:t>
      </w:r>
    </w:p>
    <w:p w14:paraId="588F18F8" w14:textId="2014C4C9" w:rsidR="00E0244C" w:rsidRPr="00483F7D" w:rsidRDefault="00BC60FC" w:rsidP="00BC60FC">
      <w:pPr>
        <w:pStyle w:val="Point0"/>
      </w:pPr>
      <w:r w:rsidRPr="00483F7D">
        <w:t>62)</w:t>
      </w:r>
      <w:r w:rsidRPr="00483F7D">
        <w:tab/>
      </w:r>
      <w:r w:rsidR="007A1FD7" w:rsidRPr="00483F7D">
        <w:t>«διαγραφή»: η απαλλαγή από την υποχρέωση καταβολής ποσού εισαγωγικού ή εξαγωγικού δασμού που δεν έχει καταβληθεί·</w:t>
      </w:r>
    </w:p>
    <w:p w14:paraId="04BDC78D" w14:textId="21E1C51A" w:rsidR="00E0244C" w:rsidRPr="00483F7D" w:rsidRDefault="00BC60FC" w:rsidP="00BC60FC">
      <w:pPr>
        <w:pStyle w:val="Point0"/>
      </w:pPr>
      <w:r w:rsidRPr="00483F7D">
        <w:t>63)</w:t>
      </w:r>
      <w:r w:rsidRPr="00483F7D">
        <w:tab/>
      </w:r>
      <w:r w:rsidR="007A1FD7" w:rsidRPr="00483F7D">
        <w:t>«προμήθειες αγοράς»: τα ποσά που καταβάλλονται από εισαγωγέα σε αντιπρόσωπο για την εκπροσώπησή του στην αγορά υπό εκτίμηση εμπορευμάτων·</w:t>
      </w:r>
    </w:p>
    <w:p w14:paraId="7F9D1D72" w14:textId="1F0D8BCB" w:rsidR="00E0244C" w:rsidRPr="00483F7D" w:rsidRDefault="00BC60FC" w:rsidP="00BC60FC">
      <w:pPr>
        <w:pStyle w:val="Point0"/>
      </w:pPr>
      <w:r w:rsidRPr="00483F7D">
        <w:t>64)</w:t>
      </w:r>
      <w:r w:rsidRPr="00483F7D">
        <w:tab/>
      </w:r>
      <w:r w:rsidR="007A1FD7" w:rsidRPr="00483F7D">
        <w:t>«κρίση»: συμβάν ή κατάσταση που θέτει ξαφνικά σε κίνδυνο την ασφάλεια, την προστασία, την υγεία και τη ζωή των πολιτών, των οικονομικών φορέων και του προσωπικού των τελωνειακών αρχών και απαιτεί τη λήψη επειγόντων μέτρων όσον αφορά την είσοδο, την έξοδο ή τη διαμετακόμιση εμπορευμάτων.</w:t>
      </w:r>
    </w:p>
    <w:p w14:paraId="497FAB94" w14:textId="77777777" w:rsidR="00E0244C" w:rsidRPr="00483F7D" w:rsidRDefault="007A1FD7">
      <w:pPr>
        <w:pStyle w:val="ChapterTitle"/>
      </w:pPr>
      <w:r w:rsidRPr="00483F7D">
        <w:t xml:space="preserve">Κεφάλαιο 3 </w:t>
      </w:r>
      <w:r w:rsidRPr="00483F7D">
        <w:br/>
        <w:t>Αποφάσεις σχετικά με την εφαρμογή της τελωνειακής νομοθεσίας</w:t>
      </w:r>
    </w:p>
    <w:p w14:paraId="41E62EB2" w14:textId="77777777" w:rsidR="00E0244C" w:rsidRPr="00483F7D" w:rsidRDefault="007A1FD7">
      <w:pPr>
        <w:pStyle w:val="SectionTitle"/>
      </w:pPr>
      <w:r w:rsidRPr="00483F7D">
        <w:t xml:space="preserve">Τμήμα 1 </w:t>
      </w:r>
      <w:r w:rsidRPr="00483F7D">
        <w:br/>
        <w:t>Γενικές αρχές</w:t>
      </w:r>
    </w:p>
    <w:p w14:paraId="369A4C04" w14:textId="77777777" w:rsidR="00E0244C" w:rsidRPr="00483F7D" w:rsidRDefault="007A1FD7">
      <w:pPr>
        <w:pStyle w:val="Titrearticle"/>
      </w:pPr>
      <w:bookmarkStart w:id="23" w:name="_Hlk132361057"/>
      <w:r w:rsidRPr="00483F7D">
        <w:t>Άρθρο 6</w:t>
      </w:r>
    </w:p>
    <w:p w14:paraId="5862F7C3" w14:textId="77777777" w:rsidR="00E0244C" w:rsidRPr="00483F7D" w:rsidRDefault="007A1FD7">
      <w:pPr>
        <w:pStyle w:val="NormalCentered"/>
      </w:pPr>
      <w:r w:rsidRPr="00483F7D">
        <w:rPr>
          <w:b/>
        </w:rPr>
        <w:t>Αποφάσεις που λαμβάνονται κατόπιν αίτησης</w:t>
      </w:r>
    </w:p>
    <w:p w14:paraId="67C7EA86" w14:textId="77777777" w:rsidR="00E0244C" w:rsidRPr="00483F7D" w:rsidRDefault="007A1FD7">
      <w:pPr>
        <w:pStyle w:val="ManualNumPar10"/>
      </w:pPr>
      <w:r w:rsidRPr="00483F7D">
        <w:t>1.</w:t>
      </w:r>
      <w:r w:rsidRPr="00483F7D">
        <w:tab/>
        <w:t>Όταν ένα πρόσωπο υποβάλλει αίτηση απόφασης σχετικά με την εφαρμογή της τελωνειακής νομοθεσίας, το πρόσωπο αυτό παρέχει όλες τις πληροφορίες που απαιτούνται από τις αρμόδιες τελωνειακές αρχές για να μπορέσουν να λάβουν την εν λόγω απόφαση.</w:t>
      </w:r>
    </w:p>
    <w:p w14:paraId="7B7D0C17" w14:textId="77777777" w:rsidR="00E0244C" w:rsidRPr="00483F7D" w:rsidRDefault="007A1FD7">
      <w:pPr>
        <w:pStyle w:val="Text1"/>
      </w:pPr>
      <w:r w:rsidRPr="00483F7D">
        <w:t>Μπορεί επίσης να υποβληθεί αίτηση από περισσότερα του ενός πρόσωπα για λήψη απόφασης σχετικά με περισσότερα του ενός πρόσωπα, σύμφωνα με τους όρους που ορίζει η τελωνειακή νομοθεσία.</w:t>
      </w:r>
    </w:p>
    <w:p w14:paraId="0745C066" w14:textId="77777777" w:rsidR="00E0244C" w:rsidRPr="00483F7D" w:rsidRDefault="007436B4" w:rsidP="005A1652">
      <w:pPr>
        <w:pStyle w:val="Text1"/>
      </w:pPr>
      <w:r w:rsidRPr="00483F7D">
        <w:t>Εκτός αν ορίζεται άλλως, η αρμόδια τελωνειακή αρχή είναι εκείνη του τόπου εγκατάστασης του αιτούντος.</w:t>
      </w:r>
      <w:bookmarkStart w:id="24" w:name="_Hlk132361127"/>
      <w:bookmarkEnd w:id="23"/>
    </w:p>
    <w:bookmarkEnd w:id="24"/>
    <w:p w14:paraId="19F2CE37" w14:textId="77777777" w:rsidR="00E0244C" w:rsidRPr="00483F7D" w:rsidRDefault="007A1FD7">
      <w:pPr>
        <w:pStyle w:val="ManualNumPar10"/>
      </w:pPr>
      <w:r w:rsidRPr="00483F7D">
        <w:t>2.</w:t>
      </w:r>
      <w:r w:rsidRPr="00483F7D">
        <w:tab/>
        <w:t>Οι τελωνειακές αρχές, χωρίς καθυστέρηση και το αργότερο εντός 30 ημερολογιακών ημερών από την παραλαβή της αίτησης απόφασης, επαληθεύουν αν πληρούνται οι όροι για την αποδοχή της εν λόγω αίτησης.</w:t>
      </w:r>
    </w:p>
    <w:p w14:paraId="12DDE08F" w14:textId="77777777" w:rsidR="00E0244C" w:rsidRPr="00483F7D" w:rsidRDefault="007A1FD7">
      <w:pPr>
        <w:pStyle w:val="Text1"/>
      </w:pPr>
      <w:r w:rsidRPr="00483F7D">
        <w:t>Σε περίπτωση που οι τελωνειακές αρχές κρίνουν ότι η αίτηση περιέχει όλες τις πληροφορίες που απαιτούνται για να μπορέσουν να λάβουν την απόφαση, κοινοποιούν την αποδοχή της στον αιτούντα εντός της περιόδου που ορίζεται στο πρώτο εδάφιο.</w:t>
      </w:r>
    </w:p>
    <w:p w14:paraId="64FC99DA" w14:textId="77777777" w:rsidR="00E0244C" w:rsidRPr="00483F7D" w:rsidRDefault="007A1FD7" w:rsidP="00C372CC">
      <w:pPr>
        <w:pStyle w:val="Text1"/>
      </w:pPr>
      <w:r w:rsidRPr="00483F7D">
        <w:t>Όταν οι τελωνειακές αρχές διαπιστώνουν ότι η αίτηση δεν περιέχει όλες τις απαιτούμενες πληροφορίες, ζητούν από τον αιτούντα να παράσχει τις σχετικές πρόσθετες πληροφορίες εντός εύλογης προθεσμίας, η οποία δεν υπερβαίνει τις 30 ημερολογιακές ημέρες. Ακόμη και όταν οι τελωνειακές αρχές ζητούν πρόσθετες πληροφορίες από τον αιτούντα, αποφασίζουν αν η αίτηση είναι πλήρης και μπορεί να γίνει δεκτή ή αν είναι ελλιπής και απορρίπτεται εντός χρονικής περιόδου που δεν υπερβαίνει τις 60 ημερολογιακές ημέρες από την ημερομηνία υποβολής της πρώτης αίτησης. Αν οι τελωνειακές αρχές δεν ενημερώσουν ρητά τον αιτούντα εντός της εν λόγω προθεσμίας για την αποδοχή της αίτησης, η αίτηση θεωρείται ότι έχει γίνει δεκτή στο πέρας των 60 ημερολογιακών ημερών.</w:t>
      </w:r>
    </w:p>
    <w:p w14:paraId="49A71A1C" w14:textId="77777777" w:rsidR="00E0244C" w:rsidRPr="00483F7D" w:rsidRDefault="007A1FD7">
      <w:pPr>
        <w:pStyle w:val="ManualNumPar10"/>
      </w:pPr>
      <w:bookmarkStart w:id="25" w:name="__akn_article_lnAJsr_ZKaizP"/>
      <w:bookmarkEnd w:id="25"/>
      <w:r w:rsidRPr="00483F7D">
        <w:t>3.</w:t>
      </w:r>
      <w:r w:rsidRPr="00483F7D">
        <w:tab/>
        <w:t>Εκτός αν ορίζεται άλλως, η αρμόδια αρχή λαμβάνει απόφαση σύμφωνα με την παράγραφο 1 το αργότερο εντός 120 ημερολογιακών ημερών από την ημερομηνία αποδοχής της αίτησης και ενημερώνουν τον αιτούντα χωρίς καθυστέρηση.</w:t>
      </w:r>
    </w:p>
    <w:p w14:paraId="2AA17CD0" w14:textId="77777777" w:rsidR="00E0244C" w:rsidRPr="00483F7D" w:rsidRDefault="007A1FD7">
      <w:pPr>
        <w:pStyle w:val="Text1"/>
      </w:pPr>
      <w:r w:rsidRPr="00483F7D">
        <w:t>Σε περίπτωση που οι τελωνειακές αρχές δεν είναι σε θέση να τηρήσουν την προθεσμία για τη λήψη απόφασης, ενημερώνουν σχετικά τον αιτούντα πριν από τη λήξη της εν λόγω προθεσμίας, αναφέροντας τους λόγους και την περαιτέρω χρονική περίοδο που θεωρούν αναγκαία για να λάβουν απόφαση. Εκτός αν ορίζεται άλλως, η εν λόγω περαιτέρω χρονική περίοδος δεν υπερβαίνει τις 30 ημερολογιακές ημέρες.</w:t>
      </w:r>
    </w:p>
    <w:p w14:paraId="103E0CD6" w14:textId="77777777" w:rsidR="00E0244C" w:rsidRPr="00483F7D" w:rsidRDefault="007A1FD7">
      <w:pPr>
        <w:pStyle w:val="Text1"/>
      </w:pPr>
      <w:r w:rsidRPr="00483F7D">
        <w:t>Με την επιφύλαξη του δεύτερου εδαφίου, οι τελωνειακές αρχές μπορούν να παρατείνουν την προθεσμία για τη λήψη απόφασης, όπως ορίζεται στην τελωνειακή νομοθεσία, όταν η παράταση ζητείται από τον αιτούντα με σκοπό την πραγματοποίηση προσαρμογών για την εκπλήρωση των όρων και των κριτηρίων που απαιτούνται για τη χορήγηση της απόφασης. Οι εν λόγω προσαρμογές και η περαιτέρω χρονική περίοδος που είναι απαραίτητη για την πραγματοποίησή τους κοινοποιούνται στις τελωνειακές αρχές, οι οποίες αποφασίζουν για την παράταση.</w:t>
      </w:r>
    </w:p>
    <w:p w14:paraId="377F15FB" w14:textId="77777777" w:rsidR="00E0244C" w:rsidRPr="00483F7D" w:rsidRDefault="007A1FD7">
      <w:pPr>
        <w:pStyle w:val="Text1"/>
      </w:pPr>
      <w:r w:rsidRPr="00483F7D">
        <w:t>Αν οι τελωνειακές αρχές δεν λάβουν απόφαση εντός των προθεσμιών που ορίζονται στο πρώτο, δεύτερο και τρίτο εδάφιο, ο αιτών μπορεί να θεωρήσει ότι η αίτηση απορρίφθηκε και να ασκήσει προσφυγή κατά αυτής της απορριπτικής απόφασης. Ο αιτών μπορεί επίσης να ενημερώσει την Τελωνειακή Αρχή της ΕΕ ότι οι τελωνειακές αρχές δεν έλαβαν απόφαση εντός των σχετικών προθεσμιών.</w:t>
      </w:r>
    </w:p>
    <w:p w14:paraId="217B066B" w14:textId="77777777" w:rsidR="00E0244C" w:rsidRPr="00483F7D" w:rsidRDefault="007A1FD7">
      <w:pPr>
        <w:pStyle w:val="ManualNumPar10"/>
      </w:pPr>
      <w:bookmarkStart w:id="26" w:name="__akn_article_lnAJsr_4rjbJo"/>
      <w:bookmarkEnd w:id="26"/>
      <w:r w:rsidRPr="00483F7D">
        <w:t>4.</w:t>
      </w:r>
      <w:r w:rsidRPr="00483F7D">
        <w:tab/>
        <w:t xml:space="preserve">Εκτός αν ορίζεται άλλως στην απόφαση ή στην τελωνειακή νομοθεσία, η απόφαση αρχίζει να παράγει αποτελέσματα από την ημερομηνία κατά την οποία ο αιτών τη λαμβάνει ή θεωρείται ότι την έχει λάβει. Με εξαίρεση τις περιπτώσεις που προβλέπονται στο άρθρο 17 παράγραφος </w:t>
      </w:r>
      <w:hyperlink w:anchor="_bill__akn_article_ouIbLI_bz5cEz" w:tooltip="Article 17(2): (2)">
        <w:r w:rsidRPr="00483F7D">
          <w:rPr>
            <w:rStyle w:val="Hyperlink"/>
          </w:rPr>
          <w:t>2</w:t>
        </w:r>
      </w:hyperlink>
      <w:r w:rsidRPr="00483F7D">
        <w:t>, οι αποφάσεις που λαμβάνονται είναι εκτελεστές από τις τελωνειακές αρχές από την εν λόγω ημερομηνία.</w:t>
      </w:r>
    </w:p>
    <w:p w14:paraId="07B1EE3F" w14:textId="77777777" w:rsidR="00E0244C" w:rsidRPr="00483F7D" w:rsidRDefault="007A1FD7">
      <w:pPr>
        <w:pStyle w:val="ManualNumPar10"/>
      </w:pPr>
      <w:bookmarkStart w:id="27" w:name="__akn_article_lnAJsr_oCOhrk"/>
      <w:bookmarkEnd w:id="27"/>
      <w:r w:rsidRPr="00483F7D">
        <w:t>5.</w:t>
      </w:r>
      <w:r w:rsidRPr="00483F7D">
        <w:tab/>
        <w:t>Εκτός αν ορίζεται άλλως στην τελωνειακή νομοθεσία, η απόφαση ισχύει χωρίς χρονικό περιορισμό.</w:t>
      </w:r>
    </w:p>
    <w:p w14:paraId="500DA347" w14:textId="77777777" w:rsidR="00E0244C" w:rsidRPr="00483F7D" w:rsidRDefault="007A1FD7">
      <w:pPr>
        <w:pStyle w:val="ManualNumPar10"/>
      </w:pPr>
      <w:bookmarkStart w:id="28" w:name="__akn_article_lnAJsr_Z3GeoE"/>
      <w:bookmarkEnd w:id="28"/>
      <w:r w:rsidRPr="00483F7D">
        <w:t>6.</w:t>
      </w:r>
      <w:r w:rsidRPr="00483F7D">
        <w:tab/>
        <w:t>Πριν από τη λήψη απόφασης που θα μπορούσε να επηρεάσει αρνητικά τον αιτούντα, οι τελωνειακές αρχές κοινοποιούν, στον αιτούντα, τους λόγους στους οποίους προτίθενται να βασίσουν την απόφασή τους και του παρέχουν τη δυνατότητα να εκφράσει τη γνώμη του, εντός περιόδου που καθορίζεται από την ημερομηνία κατά την οποία λαμβάνει ή θεωρείται ότι λαμβάνει γνώση της εν λόγω κοινοποίησης (στο εξής: δικαίωμα ακρόασης). Μετά τη λήξη της εν λόγω περιόδου, ο αιτών ενημερώνεται με τον κατάλληλο τρόπο σχετικά με την απόφαση. </w:t>
      </w:r>
    </w:p>
    <w:p w14:paraId="363DC411" w14:textId="77777777" w:rsidR="00E0244C" w:rsidRPr="00483F7D" w:rsidRDefault="007A1FD7">
      <w:pPr>
        <w:pStyle w:val="Text1"/>
      </w:pPr>
      <w:r w:rsidRPr="00483F7D">
        <w:t>Το πρώτο εδάφιο δεν εφαρμόζεται σε οποιαδήποτε από τις ακόλουθες περιπτώσεις:</w:t>
      </w:r>
    </w:p>
    <w:p w14:paraId="7A97A1E1" w14:textId="6B5A7419" w:rsidR="00A20A97" w:rsidRPr="00483F7D" w:rsidRDefault="00BC60FC" w:rsidP="00BC60FC">
      <w:pPr>
        <w:pStyle w:val="Point1"/>
      </w:pPr>
      <w:r w:rsidRPr="00483F7D">
        <w:t>α)</w:t>
      </w:r>
      <w:r w:rsidRPr="00483F7D">
        <w:tab/>
      </w:r>
      <w:r w:rsidR="007A1FD7" w:rsidRPr="00483F7D">
        <w:t xml:space="preserve">αν αφορά απόφαση που αφορά δεσμευτικές πληροφορίες, όπως αναφέρεται στο άρθρο 13 παράγραφος </w:t>
      </w:r>
      <w:hyperlink w:anchor="__akn_article_j8Pdtu_HQS5Dl" w:tooltip="Article 13(1): (1)">
        <w:r w:rsidR="007A1FD7" w:rsidRPr="00483F7D">
          <w:rPr>
            <w:rStyle w:val="Hyperlink"/>
          </w:rPr>
          <w:t>1</w:t>
        </w:r>
      </w:hyperlink>
      <w:r w:rsidR="007A1FD7" w:rsidRPr="00483F7D">
        <w:t>·</w:t>
      </w:r>
    </w:p>
    <w:p w14:paraId="262A2F8C" w14:textId="7DBED3DF" w:rsidR="00E0244C" w:rsidRPr="00483F7D" w:rsidRDefault="00BC60FC" w:rsidP="00BC60FC">
      <w:pPr>
        <w:pStyle w:val="Point1"/>
      </w:pPr>
      <w:r w:rsidRPr="00483F7D">
        <w:t>β)</w:t>
      </w:r>
      <w:r w:rsidRPr="00483F7D">
        <w:tab/>
      </w:r>
      <w:r w:rsidR="007A1FD7" w:rsidRPr="00483F7D">
        <w:t xml:space="preserve">σε περίπτωση άρνησης του οφέλους από δασμολογική ποσόστωση, εφόσον έχει συμπληρωθεί ο όγκος της συγκεκριμένης δασμολογικής ποσόστωσης, κατά τα αναφερόμενα στο άρθρο 145 παράγραφος 4 </w:t>
      </w:r>
      <w:hyperlink w:anchor="__akn_article_FtviyP_mfigZO" w:tooltip="Article 145(4), first subparagraph: first">
        <w:r w:rsidR="007A1FD7" w:rsidRPr="00483F7D">
          <w:rPr>
            <w:rStyle w:val="Hyperlink"/>
          </w:rPr>
          <w:t>πρώτο</w:t>
        </w:r>
      </w:hyperlink>
      <w:r w:rsidR="007A1FD7" w:rsidRPr="00483F7D">
        <w:t xml:space="preserve"> εδάφιο·</w:t>
      </w:r>
    </w:p>
    <w:p w14:paraId="3B6EDC9C" w14:textId="7823AFFF" w:rsidR="00E0244C" w:rsidRPr="00483F7D" w:rsidRDefault="00BC60FC" w:rsidP="00BC60FC">
      <w:pPr>
        <w:pStyle w:val="Point1"/>
      </w:pPr>
      <w:r w:rsidRPr="00483F7D">
        <w:t>γ)</w:t>
      </w:r>
      <w:r w:rsidRPr="00483F7D">
        <w:tab/>
      </w:r>
      <w:r w:rsidR="007A1FD7" w:rsidRPr="00483F7D">
        <w:t>αν επιβάλλεται από τη φύση ή το επίπεδο απειλής για την ασφάλεια και προστασία της Ένωσης και των κατοίκων της, για την υγεία των ανθρώπων, των ζώων ή των φυτών, για το περιβάλλον ή για τους καταναλωτές·</w:t>
      </w:r>
    </w:p>
    <w:p w14:paraId="271222D7" w14:textId="4A5CC90A" w:rsidR="00E0244C" w:rsidRPr="00483F7D" w:rsidRDefault="00BC60FC" w:rsidP="00BC60FC">
      <w:pPr>
        <w:pStyle w:val="Point1"/>
      </w:pPr>
      <w:r w:rsidRPr="00483F7D">
        <w:t>δ)</w:t>
      </w:r>
      <w:r w:rsidRPr="00483F7D">
        <w:tab/>
      </w:r>
      <w:r w:rsidR="007A1FD7" w:rsidRPr="00483F7D">
        <w:t>αν η απόφαση έχει σκοπό να διασφαλίσει την εφαρμογή άλλης απόφασης, για την οποία έχει παρασχεθεί στον αιτούντα η δυνατότητα να εκφράσει τη γνώμη του, με την επιφύλαξη της νομοθεσίας του ενδιαφερομένου κράτους μέλους·</w:t>
      </w:r>
    </w:p>
    <w:p w14:paraId="7DCF6798" w14:textId="0724A3BD" w:rsidR="00E0244C" w:rsidRPr="00483F7D" w:rsidRDefault="00BC60FC" w:rsidP="00BC60FC">
      <w:pPr>
        <w:pStyle w:val="Point1"/>
      </w:pPr>
      <w:r w:rsidRPr="00483F7D">
        <w:t>ε)</w:t>
      </w:r>
      <w:r w:rsidRPr="00483F7D">
        <w:tab/>
      </w:r>
      <w:r w:rsidR="007A1FD7" w:rsidRPr="00483F7D">
        <w:t>σε περίπτωση που θα θέσει σε κίνδυνο έρευνες που έχουν κινηθεί και αποσκοπούν στην καταπολέμηση της απάτης·</w:t>
      </w:r>
    </w:p>
    <w:p w14:paraId="18C63C17" w14:textId="0918E46E" w:rsidR="00E0244C" w:rsidRPr="00483F7D" w:rsidRDefault="00BC60FC" w:rsidP="00BC60FC">
      <w:pPr>
        <w:pStyle w:val="Point1"/>
      </w:pPr>
      <w:r w:rsidRPr="00483F7D">
        <w:t>στ)</w:t>
      </w:r>
      <w:r w:rsidRPr="00483F7D">
        <w:tab/>
      </w:r>
      <w:r w:rsidR="007A1FD7" w:rsidRPr="00483F7D">
        <w:t>σε άλλες ειδικές περιπτώσεις.</w:t>
      </w:r>
    </w:p>
    <w:p w14:paraId="07FBFA3A" w14:textId="77777777" w:rsidR="00E0244C" w:rsidRPr="00483F7D" w:rsidRDefault="007A1FD7">
      <w:pPr>
        <w:pStyle w:val="ManualNumPar10"/>
      </w:pPr>
      <w:bookmarkStart w:id="29" w:name="__akn_article_lnAJsr_6VMfpm"/>
      <w:bookmarkEnd w:id="29"/>
      <w:r w:rsidRPr="00483F7D">
        <w:t>7.</w:t>
      </w:r>
      <w:r w:rsidRPr="00483F7D">
        <w:tab/>
        <w:t xml:space="preserve">Απόφαση η οποία επηρεάζει αρνητικά τον αιτούντα πρέπει να είναι δεόντως αιτιολογημένη και να αναφέρει τη δυνατότητα άσκησης προσφυγής που προβλέπεται στο άρθρο </w:t>
      </w:r>
      <w:hyperlink w:anchor="_bill__akn_article_IvuScu" w:tooltip="Article 16: 16">
        <w:r w:rsidRPr="00483F7D">
          <w:rPr>
            <w:rStyle w:val="Hyperlink"/>
          </w:rPr>
          <w:t>16</w:t>
        </w:r>
      </w:hyperlink>
      <w:r w:rsidRPr="00483F7D">
        <w:t>.</w:t>
      </w:r>
    </w:p>
    <w:p w14:paraId="68BB3B90" w14:textId="77777777" w:rsidR="00E0244C" w:rsidRPr="00483F7D" w:rsidRDefault="007A1FD7">
      <w:pPr>
        <w:pStyle w:val="ManualNumPar10"/>
      </w:pPr>
      <w:r w:rsidRPr="00483F7D">
        <w:t>8.</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71E901DD" w14:textId="49822BF5" w:rsidR="00B938AF" w:rsidRPr="00483F7D" w:rsidRDefault="00BC60FC" w:rsidP="00BC60FC">
      <w:pPr>
        <w:pStyle w:val="Point1"/>
      </w:pPr>
      <w:r w:rsidRPr="00483F7D">
        <w:t>α)</w:t>
      </w:r>
      <w:r w:rsidRPr="00483F7D">
        <w:tab/>
      </w:r>
      <w:r w:rsidR="007A1FD7" w:rsidRPr="00483F7D">
        <w:t>των εξαιρέσεων για τον ορισμό του αρμόδιου τελωνείου που αναφέρεται στην παράγραφο 1 τρίτο εδάφιο του παρόντος άρθρου·</w:t>
      </w:r>
    </w:p>
    <w:p w14:paraId="12F97379" w14:textId="2F6C8A8A" w:rsidR="00B938AF" w:rsidRPr="00483F7D" w:rsidRDefault="00BC60FC" w:rsidP="00BC60FC">
      <w:pPr>
        <w:pStyle w:val="Point1"/>
      </w:pPr>
      <w:r w:rsidRPr="00483F7D">
        <w:t>β)</w:t>
      </w:r>
      <w:r w:rsidRPr="00483F7D">
        <w:tab/>
      </w:r>
      <w:r w:rsidR="00B938AF" w:rsidRPr="00483F7D">
        <w:t>των όρων για την αποδοχή των αιτήσεων που αναφέρονται στην παράγραφο 2 του παρόντος άρθρου·</w:t>
      </w:r>
    </w:p>
    <w:p w14:paraId="06CFA9EC" w14:textId="4371AEAE" w:rsidR="00B938AF" w:rsidRPr="00483F7D" w:rsidRDefault="00BC60FC" w:rsidP="00BC60FC">
      <w:pPr>
        <w:pStyle w:val="Point1"/>
      </w:pPr>
      <w:r w:rsidRPr="00483F7D">
        <w:t>γ)</w:t>
      </w:r>
      <w:r w:rsidRPr="00483F7D">
        <w:tab/>
      </w:r>
      <w:r w:rsidR="00B938AF" w:rsidRPr="00483F7D">
        <w:t>των περιπτώσεων στις οποίες η προθεσμία για τη λήψη συγκεκριμένης απόφασης, συμπεριλαμβανομένης της πιθανής παράτασης της εν λόγω προθεσμίας, διαφέρει από τις προθεσμίες που αναφέρονται στην παράγραφο 3 του παρόντος άρθρου·</w:t>
      </w:r>
    </w:p>
    <w:p w14:paraId="67B688B7" w14:textId="3AB96B02" w:rsidR="00E0244C" w:rsidRPr="00483F7D" w:rsidRDefault="00BC60FC" w:rsidP="00BC60FC">
      <w:pPr>
        <w:pStyle w:val="Point1"/>
      </w:pPr>
      <w:r w:rsidRPr="00483F7D">
        <w:t>δ)</w:t>
      </w:r>
      <w:r w:rsidRPr="00483F7D">
        <w:tab/>
      </w:r>
      <w:r w:rsidR="00B938AF" w:rsidRPr="00483F7D">
        <w:t>των αναφερόμενων στην παράγραφο 4 του παρόντος άρθρου περιπτώσεων όπου η απόφαση αρχίζει να παράγει αποτελέσματα σε ημερομηνία διαφορετική από εκείνη κατά την οποία ο αιτών λαμβάνει ή θεωρείται ότι έχει λάβει γνώση αυτής·</w:t>
      </w:r>
    </w:p>
    <w:p w14:paraId="60A7C758" w14:textId="60D6EAAB" w:rsidR="00B938AF" w:rsidRPr="00483F7D" w:rsidRDefault="00BC60FC" w:rsidP="00BC60FC">
      <w:pPr>
        <w:pStyle w:val="Point1"/>
      </w:pPr>
      <w:r w:rsidRPr="00483F7D">
        <w:t>ε)</w:t>
      </w:r>
      <w:r w:rsidRPr="00483F7D">
        <w:tab/>
      </w:r>
      <w:r w:rsidR="00B938AF" w:rsidRPr="00483F7D">
        <w:t>των αναφερόμενων στην παράγραφο 5 του παρόντος άρθρου περιπτώσεων όπου η ισχύς της απόφασης έχει χρονικό περιορισμό·</w:t>
      </w:r>
    </w:p>
    <w:p w14:paraId="1F976645" w14:textId="42972304" w:rsidR="00B938AF" w:rsidRPr="00483F7D" w:rsidRDefault="00BC60FC" w:rsidP="00BC60FC">
      <w:pPr>
        <w:pStyle w:val="Point1"/>
      </w:pPr>
      <w:r w:rsidRPr="00483F7D">
        <w:t>στ)</w:t>
      </w:r>
      <w:r w:rsidRPr="00483F7D">
        <w:tab/>
      </w:r>
      <w:r w:rsidR="00B938AF" w:rsidRPr="00483F7D">
        <w:t>της διάρκειας της περιόδου που αναφέρεται στην παράγραφο 6 πρώτο εδάφιο του παρόντος άρθρου·</w:t>
      </w:r>
    </w:p>
    <w:p w14:paraId="0E3B1CBE" w14:textId="6150E731" w:rsidR="00E0244C" w:rsidRPr="00483F7D" w:rsidRDefault="00BC60FC" w:rsidP="00BC60FC">
      <w:pPr>
        <w:pStyle w:val="Point1"/>
      </w:pPr>
      <w:r w:rsidRPr="00483F7D">
        <w:t>ζ)</w:t>
      </w:r>
      <w:r w:rsidRPr="00483F7D">
        <w:tab/>
      </w:r>
      <w:r w:rsidR="00B938AF" w:rsidRPr="00483F7D">
        <w:t>των αναφερόμενων στην παράγραφο 6 δεύτερο στοιχείο στ) του παρόντος άρθρου.</w:t>
      </w:r>
    </w:p>
    <w:p w14:paraId="0CCA56EE" w14:textId="77777777" w:rsidR="00E0244C" w:rsidRPr="00483F7D" w:rsidRDefault="007A1FD7">
      <w:pPr>
        <w:pStyle w:val="ManualNumPar10"/>
      </w:pPr>
      <w:r w:rsidRPr="00483F7D">
        <w:t>9.</w:t>
      </w:r>
      <w:r w:rsidRPr="00483F7D">
        <w:tab/>
        <w:t>Η Επιτροπή ορίζει, με εκτελεστικές πράξεις, τη διαδικασία για:</w:t>
      </w:r>
    </w:p>
    <w:p w14:paraId="49759AE3" w14:textId="3647525A" w:rsidR="00B938AF" w:rsidRPr="00483F7D" w:rsidRDefault="00BC60FC" w:rsidP="00BC60FC">
      <w:pPr>
        <w:pStyle w:val="Point1"/>
      </w:pPr>
      <w:r w:rsidRPr="00483F7D">
        <w:t>α)</w:t>
      </w:r>
      <w:r w:rsidRPr="00483F7D">
        <w:tab/>
      </w:r>
      <w:r w:rsidR="007A1FD7" w:rsidRPr="00483F7D">
        <w:t>την υποβολή και την αποδοχή της αίτησης απόφασης που αναφέρεται στις παραγράφους 1 και 2,</w:t>
      </w:r>
    </w:p>
    <w:p w14:paraId="3FC3D9AC" w14:textId="0800E40F" w:rsidR="00E0244C" w:rsidRPr="00483F7D" w:rsidRDefault="00BC60FC" w:rsidP="00BC60FC">
      <w:pPr>
        <w:pStyle w:val="Point1"/>
      </w:pPr>
      <w:r w:rsidRPr="00483F7D">
        <w:t>β)</w:t>
      </w:r>
      <w:r w:rsidRPr="00483F7D">
        <w:tab/>
      </w:r>
      <w:r w:rsidR="007A1FD7" w:rsidRPr="00483F7D">
        <w:t>τη λήψη της απόφασης που αναφέρεται στο παρόν άρθρο, περιλαμβανομένου, κατά περίπτωση, του δικαιώματος ακρόασης και της διαβούλευσης με άλλα ενδιαφερόμενα κράτη μέλη.</w:t>
      </w:r>
    </w:p>
    <w:p w14:paraId="578261D7" w14:textId="77777777" w:rsidR="00875003" w:rsidRPr="00483F7D" w:rsidRDefault="00875003" w:rsidP="0028398E">
      <w:pPr>
        <w:pStyle w:val="Point1"/>
        <w:ind w:left="850" w:firstLine="0"/>
      </w:pPr>
      <w:bookmarkStart w:id="30" w:name="_bill__akn_article_HBVm5Z"/>
      <w:bookmarkEnd w:id="30"/>
      <w:r w:rsidRPr="00483F7D">
        <w:t>Οι εν λόγω εκτελεστικές πράξεις εκδίδονται σύμφωνα με τη διαδικασία εξέτασης που αναφέρεται στο άρθρο 262 παράγραφος 4.</w:t>
      </w:r>
    </w:p>
    <w:p w14:paraId="3FF06473" w14:textId="77777777" w:rsidR="00E0244C" w:rsidRPr="00483F7D" w:rsidRDefault="007A1FD7">
      <w:pPr>
        <w:pStyle w:val="Titrearticle"/>
      </w:pPr>
      <w:r w:rsidRPr="00483F7D">
        <w:t>Άρθρο 7</w:t>
      </w:r>
    </w:p>
    <w:p w14:paraId="044A6679" w14:textId="77777777" w:rsidR="00E0244C" w:rsidRPr="00483F7D" w:rsidRDefault="007A1FD7">
      <w:pPr>
        <w:pStyle w:val="NormalCentered"/>
      </w:pPr>
      <w:r w:rsidRPr="00483F7D">
        <w:rPr>
          <w:b/>
        </w:rPr>
        <w:t>Διαχείριση αποφάσεων που λαμβάνονται κατόπιν αίτησης</w:t>
      </w:r>
    </w:p>
    <w:p w14:paraId="3549E981" w14:textId="77777777" w:rsidR="00E0244C" w:rsidRPr="00483F7D" w:rsidRDefault="007A1FD7">
      <w:pPr>
        <w:pStyle w:val="ManualNumPar10"/>
      </w:pPr>
      <w:r w:rsidRPr="00483F7D">
        <w:t>1.</w:t>
      </w:r>
      <w:r w:rsidRPr="00483F7D">
        <w:tab/>
        <w:t>Ο δικαιούχος της απόφασης συμμορφώνεται με τις υποχρεώσεις που απορρέουν από την εν λόγω απόφαση.</w:t>
      </w:r>
    </w:p>
    <w:p w14:paraId="6F8FC085" w14:textId="77777777" w:rsidR="00E0244C" w:rsidRPr="00483F7D" w:rsidRDefault="007A1FD7">
      <w:pPr>
        <w:pStyle w:val="ManualNumPar10"/>
      </w:pPr>
      <w:bookmarkStart w:id="31" w:name="_bill__akn_article_HBVm5Z_IsoZw7"/>
      <w:bookmarkEnd w:id="31"/>
      <w:r w:rsidRPr="00483F7D">
        <w:t>2.</w:t>
      </w:r>
      <w:r w:rsidRPr="00483F7D">
        <w:tab/>
        <w:t>Ο δικαιούχος της απόφασης παρακολουθεί συνεχώς την τήρηση των όρων και των κριτηρίων και τη συμμόρφωση με τις υποχρεώσεις που απορρέουν από τις αποφάσεις και, κατά περίπτωση, καθιερώνει εσωτερικούς ελέγχους ικανούς να προλαμβάνουν, να εντοπίζουν και να διορθώνουν παράνομες ή παράτυπες συναλλαγές.</w:t>
      </w:r>
    </w:p>
    <w:p w14:paraId="78D9932B" w14:textId="77777777" w:rsidR="00E0244C" w:rsidRPr="00483F7D" w:rsidRDefault="007A1FD7">
      <w:pPr>
        <w:pStyle w:val="ManualNumPar10"/>
      </w:pPr>
      <w:bookmarkStart w:id="32" w:name="_bill__akn_article_HBVm5Z_6N84n0"/>
      <w:bookmarkEnd w:id="32"/>
      <w:r w:rsidRPr="00483F7D">
        <w:t>3.</w:t>
      </w:r>
      <w:r w:rsidRPr="00483F7D">
        <w:tab/>
        <w:t>Ο δικαιούχος της απόφασης κοινοποιεί χωρίς καθυστέρηση στις τελωνειακές αρχές κάθε στοιχείο που ανακύπτει μετά τη λήψη της απόφασης και μπορεί να έχει επίπτωση στη διατήρηση ή το περιεχόμενο της εν λόγω απόφασης.</w:t>
      </w:r>
    </w:p>
    <w:p w14:paraId="4DEFC557" w14:textId="77777777" w:rsidR="00E0244C" w:rsidRPr="00483F7D" w:rsidRDefault="007A1FD7">
      <w:pPr>
        <w:pStyle w:val="ManualNumPar10"/>
      </w:pPr>
      <w:bookmarkStart w:id="33" w:name="_bill__akn_article_HBVm5Z_CsVMV0"/>
      <w:bookmarkEnd w:id="33"/>
      <w:r w:rsidRPr="00483F7D">
        <w:t>4.</w:t>
      </w:r>
      <w:r w:rsidRPr="00483F7D">
        <w:tab/>
        <w:t>Οι τελωνειακές αρχές παρακολουθούν τακτικά αν ο δικαιούχος της απόφασης εξακολουθεί να πληροί τα σχετικά κριτήρια και να συμμορφώνεται με τις σχετικές υποχρεώσεις, ιδίως την ικανότητα του δικαιούχου της απόφασης να προλαμβάνει σφάλματα, να αντιδρά σε αυτά και να τα διορθώνει μέσω κατάλληλων εσωτερικών ελέγχων. Με βάση την εν λόγω δραστηριότητα παρακολούθησης, τα τελωνεία αξιολογούν το προφίλ κινδύνου του δικαιούχου της απόφασης, κατά περίπτωση. Αν δεν έχουν συμπληρωθεί 3 έτη από την εγκατάσταση του δικαιούχου της απόφασης στο τελωνειακό έδαφος της Ένωσης, οι τελωνειακές αρχές τον παρακολουθούν στενά κατά τη διάρκεια του πρώτου έτους μετά τη λήψη της απόφασης.</w:t>
      </w:r>
    </w:p>
    <w:p w14:paraId="02728A07" w14:textId="77777777" w:rsidR="00E0244C" w:rsidRPr="00483F7D" w:rsidRDefault="007A1FD7">
      <w:pPr>
        <w:pStyle w:val="ManualNumPar10"/>
      </w:pPr>
      <w:r w:rsidRPr="00483F7D">
        <w:t>5.</w:t>
      </w:r>
      <w:r w:rsidRPr="00483F7D">
        <w:tab/>
        <w:t>Οι τελωνειακές αρχές κοινοποιούν στην Τελωνειακή Αρχή της ΕΕ τις αποφάσεις που λαμβάνονται κατόπιν αίτησης και όλες τις δραστηριότητες παρακολούθησης που διεξάγουν σύμφωνα με την παράγραφο 4. Η Τελωνειακή Αρχή της ΕΕ λαμβάνει υπόψη τις πληροφορίες αυτές για τους σκοπούς της διαχείρισης κινδύνων.</w:t>
      </w:r>
    </w:p>
    <w:p w14:paraId="7F25E5D6" w14:textId="77777777" w:rsidR="00E0244C" w:rsidRPr="00483F7D" w:rsidRDefault="007A1FD7">
      <w:pPr>
        <w:pStyle w:val="ManualNumPar10"/>
      </w:pPr>
      <w:r w:rsidRPr="00483F7D">
        <w:t>6.</w:t>
      </w:r>
      <w:r w:rsidRPr="00483F7D">
        <w:tab/>
        <w:t>Έως την ημερομηνία που ορίζεται στο άρθρο 265 παράγραφος 3, οι τελωνειακές αρχές καταχωρίζουν τις αποφάσεις τους στα υφιστάμενα ηλεκτρονικά συστήματα ανταλλαγής πληροφοριών που έχουν αναπτύξει τα κράτη μέλη και η Επιτροπή. Τα κράτη μέλη και η Επιτροπή έχουν πρόσβαση στις εν λόγω αποφάσεις και στις πληροφορίες στις οποίες βασίζονται τα εν λόγω συστήματα.</w:t>
      </w:r>
    </w:p>
    <w:p w14:paraId="6BEF44E5" w14:textId="77777777" w:rsidR="00E0244C" w:rsidRPr="00483F7D" w:rsidRDefault="007A1FD7">
      <w:pPr>
        <w:pStyle w:val="ManualNumPar10"/>
      </w:pPr>
      <w:bookmarkStart w:id="34" w:name="_bill__akn_article_HBVm5Z_XvBeGt"/>
      <w:bookmarkEnd w:id="34"/>
      <w:r w:rsidRPr="00483F7D">
        <w:t>7.</w:t>
      </w:r>
      <w:r w:rsidRPr="00483F7D">
        <w:tab/>
        <w:t>Με την επιφύλαξη των διατάξεων που θεσπίζονται για άλλους τομείς, οι οποίες καθορίζουν τις περιπτώσεις στις οποίες οι αποφάσεις είναι άκυρες ή παύουν να παράγουν αποτελέσματα, οι τελωνειακές αρχές που έλαβαν απόφαση μπορούν, ανά πάσα στιγμή, να την ακυρώσουν, να την ανακαλέσουν ή να την τροποποιήσουν, εφόσον δεν είναι σύμφωνη με την τελωνειακή νομοθεσία. Οι τελωνειακές αρχές ενημερώνουν την Τελωνειακή Αρχή της ΕΕ σχετικά με την εν λόγω ακύρωση, ανάκληση και τροποποίηση τελωνειακών αποφάσεων.</w:t>
      </w:r>
    </w:p>
    <w:p w14:paraId="5532E33A" w14:textId="77777777" w:rsidR="00E0244C" w:rsidRPr="00483F7D" w:rsidRDefault="007A1FD7">
      <w:pPr>
        <w:pStyle w:val="ManualNumPar10"/>
      </w:pPr>
      <w:r w:rsidRPr="00483F7D">
        <w:t>8.</w:t>
      </w:r>
      <w:r w:rsidRPr="00483F7D">
        <w:tab/>
        <w:t>Σε ειδικές περιπτώσεις, οι τελωνειακές αρχές προβαίνουν στις ακόλουθες ενέργειες:</w:t>
      </w:r>
    </w:p>
    <w:p w14:paraId="1C44006A" w14:textId="19454210" w:rsidR="00B938AF" w:rsidRPr="00483F7D" w:rsidRDefault="00BC60FC" w:rsidP="00BC60FC">
      <w:pPr>
        <w:pStyle w:val="Point1"/>
      </w:pPr>
      <w:r w:rsidRPr="00483F7D">
        <w:t>α)</w:t>
      </w:r>
      <w:r w:rsidRPr="00483F7D">
        <w:tab/>
      </w:r>
      <w:r w:rsidR="007A1FD7" w:rsidRPr="00483F7D">
        <w:t>επανεξέταση απόφασης,</w:t>
      </w:r>
    </w:p>
    <w:p w14:paraId="77D09BE6" w14:textId="1710A366" w:rsidR="00E0244C" w:rsidRPr="00483F7D" w:rsidRDefault="00BC60FC" w:rsidP="00BC60FC">
      <w:pPr>
        <w:pStyle w:val="Point1"/>
      </w:pPr>
      <w:r w:rsidRPr="00483F7D">
        <w:t>β)</w:t>
      </w:r>
      <w:r w:rsidRPr="00483F7D">
        <w:tab/>
      </w:r>
      <w:r w:rsidR="007A1FD7" w:rsidRPr="00483F7D">
        <w:t>αναστολή απόφασης η οποία δεν πρέπει να ακυρωθεί, να ανακληθεί ή να τροποποιηθεί.</w:t>
      </w:r>
    </w:p>
    <w:p w14:paraId="18F9CC01" w14:textId="77777777" w:rsidR="00E0244C" w:rsidRPr="00483F7D" w:rsidRDefault="007A1FD7">
      <w:pPr>
        <w:pStyle w:val="ManualNumPar10"/>
      </w:pPr>
      <w:r w:rsidRPr="00483F7D">
        <w:t>9.</w:t>
      </w:r>
      <w:r w:rsidRPr="00483F7D">
        <w:tab/>
        <w:t>Η αρμόδια για τη λήψη της απόφασης τελωνειακή αρχή προβαίνει σε αναστολή της απόφασης αντί της ακύρωσης, ανάκλησης ή τροποποίησής της όταν:</w:t>
      </w:r>
    </w:p>
    <w:p w14:paraId="4214092C" w14:textId="16C5A165" w:rsidR="00B938AF" w:rsidRPr="00483F7D" w:rsidRDefault="00BC60FC" w:rsidP="00BC60FC">
      <w:pPr>
        <w:pStyle w:val="Point1"/>
      </w:pPr>
      <w:r w:rsidRPr="00483F7D">
        <w:t>α)</w:t>
      </w:r>
      <w:r w:rsidRPr="00483F7D">
        <w:tab/>
      </w:r>
      <w:r w:rsidR="007A1FD7" w:rsidRPr="00483F7D">
        <w:t>η εν λόγω τελωνειακή αρχή θεωρεί ότι ενδεχομένως υπάρχουν επαρκείς λόγοι για την ακύρωση, την ανάκληση ή την τροποποίηση της απόφασης, αλλά δεν διαθέτει ακόμη όλα τα στοιχεία που απαιτούνται για να αποφασίσει επί της ακύρωσης, της ανάκλησης ή της τροποποίησης·</w:t>
      </w:r>
    </w:p>
    <w:p w14:paraId="15B0A96A" w14:textId="08892A2E" w:rsidR="00B938AF" w:rsidRPr="00483F7D" w:rsidRDefault="00BC60FC" w:rsidP="00BC60FC">
      <w:pPr>
        <w:pStyle w:val="Point1"/>
      </w:pPr>
      <w:r w:rsidRPr="00483F7D">
        <w:t>β)</w:t>
      </w:r>
      <w:r w:rsidRPr="00483F7D">
        <w:tab/>
      </w:r>
      <w:r w:rsidR="007A1FD7" w:rsidRPr="00483F7D">
        <w:t>η τελωνειακή αρχή θεωρεί ότι δεν πληρούνται οι όροι για την εν λόγω απόφαση ή ότι ο δικαιούχος της απόφασης δεν συμμορφώνεται με τις υποχρεώσεις που επιβάλλονται βάσει της απόφασης αυτής, και κρίνεται σκόπιμο να δοθεί στον δικαιούχο της απόφασης το χρονικό περιθώριο να λάβει μέτρα προκειμένου να διασφαλίσει την τήρηση των όρων ή τη συμμόρφωση με τις υποχρεώσεις·</w:t>
      </w:r>
    </w:p>
    <w:p w14:paraId="35600579" w14:textId="4CCA5FD0" w:rsidR="00E0244C" w:rsidRPr="00483F7D" w:rsidRDefault="00BC60FC" w:rsidP="00BC60FC">
      <w:pPr>
        <w:pStyle w:val="Point1"/>
      </w:pPr>
      <w:r w:rsidRPr="00483F7D">
        <w:t>γ)</w:t>
      </w:r>
      <w:r w:rsidRPr="00483F7D">
        <w:tab/>
      </w:r>
      <w:r w:rsidR="007A1FD7" w:rsidRPr="00483F7D">
        <w:t>ο δικαιούχος της απόφασης ζητά την εν λόγω αναστολή διότι δεν μπορεί προσωρινά να τηρήσει τους όρους που τίθενται για την απόφαση ή να συμμορφωθεί με τις υποχρεώσεις που επιβάλλονται βάσει της απόφασης αυτής.</w:t>
      </w:r>
    </w:p>
    <w:p w14:paraId="3FBED51D" w14:textId="77777777" w:rsidR="00E0244C" w:rsidRPr="00483F7D" w:rsidRDefault="007A1FD7" w:rsidP="00EB0963">
      <w:pPr>
        <w:pStyle w:val="ManualNumPar10"/>
        <w:ind w:firstLine="0"/>
      </w:pPr>
      <w:r w:rsidRPr="00483F7D">
        <w:t>Στις περιπτώσεις που αναφέρονται στην παράγραφο 1 στοιχεία β) και γ), ο δικαιούχος της απόφασης κοινοποιεί στην αρμόδια για τη λήψη της απόφασης τελωνειακή αρχή τα μέτρα που θα λάβει προκειμένου να διασφαλίσει την τήρηση των όρων ή τη συμμόρφωση με τις υποχρεώσεις, καθώς και την χρονική περίοδο που χρειάζεται για τη λήψη των εν λόγω μέτρων.</w:t>
      </w:r>
    </w:p>
    <w:p w14:paraId="1702916E" w14:textId="77777777" w:rsidR="00C146CE" w:rsidRPr="00483F7D" w:rsidRDefault="007A1FD7" w:rsidP="5DA9B26A">
      <w:pPr>
        <w:pStyle w:val="ManualNumPar10"/>
      </w:pPr>
      <w:r w:rsidRPr="00483F7D">
        <w:t>10.</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5891DEE8" w14:textId="16BAEB27" w:rsidR="00B938AF" w:rsidRPr="00483F7D" w:rsidRDefault="00BC60FC" w:rsidP="00BC60FC">
      <w:pPr>
        <w:pStyle w:val="Point1"/>
      </w:pPr>
      <w:r w:rsidRPr="00483F7D">
        <w:t>α)</w:t>
      </w:r>
      <w:r w:rsidRPr="00483F7D">
        <w:tab/>
      </w:r>
      <w:r w:rsidR="00C52DAC" w:rsidRPr="00483F7D">
        <w:t>λεπτομερών κανόνων για την παρακολούθηση των αποφάσεων που αναφέρονται στις παραγράφους 2 έως 4 του παρόντος άρθρου·</w:t>
      </w:r>
    </w:p>
    <w:p w14:paraId="6F216217" w14:textId="07B10245" w:rsidR="00E0244C" w:rsidRPr="00483F7D" w:rsidRDefault="00BC60FC" w:rsidP="00BC60FC">
      <w:pPr>
        <w:pStyle w:val="Point1"/>
      </w:pPr>
      <w:r w:rsidRPr="00483F7D">
        <w:t>β)</w:t>
      </w:r>
      <w:r w:rsidRPr="00483F7D">
        <w:tab/>
      </w:r>
      <w:r w:rsidR="00394F64" w:rsidRPr="00483F7D">
        <w:t>των ειδικών περιπτώσεων και των κανόνων για την επαναξιολόγηση των αποφάσεων που αναφέρονται στην παράγραφο 8 του παρόντος άρθρου.</w:t>
      </w:r>
    </w:p>
    <w:p w14:paraId="6EBCF733" w14:textId="77777777" w:rsidR="00E0244C" w:rsidRPr="00483F7D" w:rsidRDefault="007A1FD7">
      <w:pPr>
        <w:pStyle w:val="Titrearticle"/>
      </w:pPr>
      <w:bookmarkStart w:id="35" w:name="_bill__akn_article_yxL3em"/>
      <w:bookmarkEnd w:id="35"/>
      <w:r w:rsidRPr="00483F7D">
        <w:t>Άρθρο 8</w:t>
      </w:r>
    </w:p>
    <w:p w14:paraId="626460A1" w14:textId="77777777" w:rsidR="00E0244C" w:rsidRPr="00483F7D" w:rsidRDefault="007A1FD7">
      <w:pPr>
        <w:pStyle w:val="NormalCentered"/>
      </w:pPr>
      <w:r w:rsidRPr="00483F7D">
        <w:rPr>
          <w:b/>
        </w:rPr>
        <w:t>Ισχύς των αποφάσεων σε ενωσιακή κλίμακα</w:t>
      </w:r>
    </w:p>
    <w:p w14:paraId="3FDBD921" w14:textId="77777777" w:rsidR="00E0244C" w:rsidRPr="00483F7D" w:rsidRDefault="007A1FD7" w:rsidP="00EB0963">
      <w:r w:rsidRPr="00483F7D">
        <w:t>Εκτός αν η απόφαση ορίζει ότι η ισχύς της περιορίζεται σε ένα ή περισσότερα κράτη μέλη, οι αποφάσεις σχετικά με την εφαρμογή της τελωνειακής νομοθεσίας ισχύουν σε ολόκληρο το τελωνειακό έδαφος της Ένωσης.</w:t>
      </w:r>
    </w:p>
    <w:p w14:paraId="70259C41" w14:textId="77777777" w:rsidR="00E0244C" w:rsidRPr="00483F7D" w:rsidRDefault="007A1FD7">
      <w:pPr>
        <w:pStyle w:val="Titrearticle"/>
      </w:pPr>
      <w:bookmarkStart w:id="36" w:name="_bill__akn_article_dsMil5"/>
      <w:bookmarkEnd w:id="36"/>
      <w:r w:rsidRPr="00483F7D">
        <w:t>Άρθρο 9</w:t>
      </w:r>
    </w:p>
    <w:p w14:paraId="6DE85E93" w14:textId="77777777" w:rsidR="00E0244C" w:rsidRPr="00483F7D" w:rsidRDefault="007A1FD7">
      <w:pPr>
        <w:pStyle w:val="NormalCentered"/>
      </w:pPr>
      <w:r w:rsidRPr="00483F7D">
        <w:rPr>
          <w:b/>
        </w:rPr>
        <w:t>Ακύρωση ευνοϊκών αποφάσεων</w:t>
      </w:r>
    </w:p>
    <w:p w14:paraId="06811C13" w14:textId="77777777" w:rsidR="00E0244C" w:rsidRPr="00483F7D" w:rsidRDefault="007A1FD7">
      <w:pPr>
        <w:pStyle w:val="ManualNumPar10"/>
      </w:pPr>
      <w:r w:rsidRPr="00483F7D">
        <w:t>1.</w:t>
      </w:r>
      <w:r w:rsidRPr="00483F7D">
        <w:tab/>
        <w:t>Οι τελωνειακές αρχές ακυρώνουν απόφαση ευνοϊκή για τον δικαιούχο της απόφασης, αν πληρούνται όλοι οι ακόλουθοι όροι:</w:t>
      </w:r>
    </w:p>
    <w:p w14:paraId="221EC352" w14:textId="7F612E1D" w:rsidR="00B938AF" w:rsidRPr="00483F7D" w:rsidRDefault="00BC60FC" w:rsidP="00BC60FC">
      <w:pPr>
        <w:pStyle w:val="Point1"/>
      </w:pPr>
      <w:r w:rsidRPr="00483F7D">
        <w:t>α)</w:t>
      </w:r>
      <w:r w:rsidRPr="00483F7D">
        <w:tab/>
      </w:r>
      <w:r w:rsidR="007A1FD7" w:rsidRPr="00483F7D">
        <w:t>η απόφαση λήφθηκε με βάση ανακριβείς ή ελλιπείς πληροφορίες·</w:t>
      </w:r>
    </w:p>
    <w:p w14:paraId="1137E008" w14:textId="52020405" w:rsidR="00B938AF" w:rsidRPr="00483F7D" w:rsidRDefault="00BC60FC" w:rsidP="00BC60FC">
      <w:pPr>
        <w:pStyle w:val="Point1"/>
      </w:pPr>
      <w:r w:rsidRPr="00483F7D">
        <w:t>β)</w:t>
      </w:r>
      <w:r w:rsidRPr="00483F7D">
        <w:tab/>
      </w:r>
      <w:r w:rsidR="007A1FD7" w:rsidRPr="00483F7D">
        <w:t>ο δικαιούχος της απόφασης γνώριζε ή όφειλε ευλόγως να γνωρίζει ότι τα στοιχεία αυτά ήταν ανακριβή ή ελλιπή·</w:t>
      </w:r>
    </w:p>
    <w:p w14:paraId="279A5213" w14:textId="2B77B7D9" w:rsidR="00E0244C" w:rsidRPr="00483F7D" w:rsidRDefault="00BC60FC" w:rsidP="00BC60FC">
      <w:pPr>
        <w:pStyle w:val="Point1"/>
      </w:pPr>
      <w:r w:rsidRPr="00483F7D">
        <w:t>γ)</w:t>
      </w:r>
      <w:r w:rsidRPr="00483F7D">
        <w:tab/>
      </w:r>
      <w:r w:rsidR="007A1FD7" w:rsidRPr="00483F7D">
        <w:t>αν οι πληροφορίες ήταν ορθές και εμπεριστατωμένες, η απόφαση θα ήταν διαφορετική.</w:t>
      </w:r>
    </w:p>
    <w:p w14:paraId="664B5B19" w14:textId="77777777" w:rsidR="00E0244C" w:rsidRPr="00483F7D" w:rsidRDefault="007A1FD7">
      <w:pPr>
        <w:pStyle w:val="ManualNumPar10"/>
      </w:pPr>
      <w:r w:rsidRPr="00483F7D">
        <w:t>2.</w:t>
      </w:r>
      <w:r w:rsidRPr="00483F7D">
        <w:tab/>
        <w:t>Η ακύρωση της απόφασης κοινοποιείται στον δικαιούχο της απόφασης.</w:t>
      </w:r>
    </w:p>
    <w:p w14:paraId="73F2B0C2" w14:textId="77777777" w:rsidR="00E0244C" w:rsidRPr="00483F7D" w:rsidRDefault="007A1FD7" w:rsidP="56013CD1">
      <w:pPr>
        <w:pStyle w:val="ManualNumPar10"/>
      </w:pPr>
      <w:r w:rsidRPr="00483F7D">
        <w:t>3.</w:t>
      </w:r>
      <w:r w:rsidRPr="00483F7D">
        <w:tab/>
        <w:t>Η ακύρωση αρχίζει να ισχύει από την ημερομηνία κατά την οποία τίθεται σε εφαρμογή η αρχική απόφαση, εκτός αν ορίζεται άλλως στην απόφαση σύμφωνα με την τελωνειακή νομοθεσία.</w:t>
      </w:r>
    </w:p>
    <w:p w14:paraId="40740B25" w14:textId="77777777" w:rsidR="00BE2866" w:rsidRPr="00483F7D" w:rsidRDefault="00BE2866" w:rsidP="00AB44D9">
      <w:pPr>
        <w:pStyle w:val="ManualNumPar10"/>
      </w:pPr>
      <w:r w:rsidRPr="00483F7D">
        <w:t>4.</w:t>
      </w:r>
      <w:r w:rsidRPr="00483F7D">
        <w:tab/>
        <w:t>Η Επιτροπή ορίζει, με εκτελεστικές πράξεις, τους κανόνες σχετικά με την ακύρωση ευνοϊκών αποφάσεων. Οι εν λόγω εκτελεστικές πράξεις εκδίδονται σύμφωνα με τη διαδικασία εξέτασης που αναφέρεται στο άρθρο 262 παράγραφος 4.</w:t>
      </w:r>
    </w:p>
    <w:p w14:paraId="3EDC7045" w14:textId="77777777" w:rsidR="00E0244C" w:rsidRPr="00483F7D" w:rsidRDefault="007A1FD7">
      <w:pPr>
        <w:pStyle w:val="Titrearticle"/>
      </w:pPr>
      <w:bookmarkStart w:id="37" w:name="_bill__akn_article_F8k6wz"/>
      <w:bookmarkEnd w:id="37"/>
      <w:r w:rsidRPr="00483F7D">
        <w:t>Άρθρο 10</w:t>
      </w:r>
    </w:p>
    <w:p w14:paraId="29CBDB23" w14:textId="77777777" w:rsidR="00E0244C" w:rsidRPr="00483F7D" w:rsidRDefault="007A1FD7">
      <w:pPr>
        <w:pStyle w:val="NormalCentered"/>
      </w:pPr>
      <w:r w:rsidRPr="00483F7D">
        <w:rPr>
          <w:b/>
        </w:rPr>
        <w:t>Ανάκληση και τροποποίηση ευνοϊκών αποφάσεων</w:t>
      </w:r>
    </w:p>
    <w:p w14:paraId="0CA29FEA" w14:textId="77777777" w:rsidR="00E0244C" w:rsidRPr="00483F7D" w:rsidRDefault="007A1FD7">
      <w:pPr>
        <w:pStyle w:val="ManualNumPar10"/>
      </w:pPr>
      <w:r w:rsidRPr="00483F7D">
        <w:t>1.</w:t>
      </w:r>
      <w:r w:rsidRPr="00483F7D">
        <w:tab/>
        <w:t xml:space="preserve">Μια ευνοϊκή απόφαση ανακαλείται ή τροποποιείται όταν, σε περιπτώσεις εκτός εκείνων που αναφέρονται στο άρθρο </w:t>
      </w:r>
      <w:hyperlink w:anchor="_bill__akn_article_dsMil5" w:tooltip="Article 9: 9">
        <w:r w:rsidRPr="00483F7D">
          <w:rPr>
            <w:rStyle w:val="Hyperlink"/>
          </w:rPr>
          <w:t>9</w:t>
        </w:r>
      </w:hyperlink>
      <w:r w:rsidRPr="00483F7D">
        <w:t>:</w:t>
      </w:r>
    </w:p>
    <w:p w14:paraId="55DD9173" w14:textId="74447FAE" w:rsidR="00B938AF" w:rsidRPr="00483F7D" w:rsidRDefault="00BC60FC" w:rsidP="00BC60FC">
      <w:pPr>
        <w:pStyle w:val="Point1"/>
      </w:pPr>
      <w:r w:rsidRPr="00483F7D">
        <w:t>α)</w:t>
      </w:r>
      <w:r w:rsidRPr="00483F7D">
        <w:tab/>
      </w:r>
      <w:r w:rsidR="007A1FD7" w:rsidRPr="00483F7D">
        <w:t>ένας ή περισσότεροι από τους όρους λήψης αυτής της απόφασης δεν πληρούνταν ή δεν πληρούνται πλέον· ή</w:t>
      </w:r>
    </w:p>
    <w:p w14:paraId="3021C085" w14:textId="63E02382" w:rsidR="00E0244C" w:rsidRPr="00483F7D" w:rsidRDefault="00BC60FC" w:rsidP="00BC60FC">
      <w:pPr>
        <w:pStyle w:val="Point1"/>
      </w:pPr>
      <w:r w:rsidRPr="00483F7D">
        <w:t>β)</w:t>
      </w:r>
      <w:r w:rsidRPr="00483F7D">
        <w:tab/>
      </w:r>
      <w:r w:rsidR="007A1FD7" w:rsidRPr="00483F7D">
        <w:t>ζητηθεί από τον δικαιούχο της απόφασης.</w:t>
      </w:r>
    </w:p>
    <w:p w14:paraId="19E37CB2" w14:textId="77777777" w:rsidR="00E0244C" w:rsidRPr="00483F7D" w:rsidRDefault="007A1FD7">
      <w:pPr>
        <w:pStyle w:val="ManualNumPar10"/>
      </w:pPr>
      <w:r w:rsidRPr="00483F7D">
        <w:t>2.</w:t>
      </w:r>
      <w:r w:rsidRPr="00483F7D">
        <w:tab/>
        <w:t>Ευνοϊκή απόφαση που απευθύνεται σε περισσότερα από ένα πρόσωπα μπορεί να ανακληθεί μόνον όσον αφορά το πρόσωπο που δεν συμμορφώνεται με υποχρέωση η οποία επιβλήθηκε δυνάμει της εν λόγω απόφασης, εκτός αν ορίζεται άλλως.</w:t>
      </w:r>
    </w:p>
    <w:p w14:paraId="47336BFD" w14:textId="77777777" w:rsidR="00E0244C" w:rsidRPr="00483F7D" w:rsidRDefault="007A1FD7">
      <w:pPr>
        <w:pStyle w:val="ManualNumPar10"/>
      </w:pPr>
      <w:r w:rsidRPr="00483F7D">
        <w:t>3.</w:t>
      </w:r>
      <w:r w:rsidRPr="00483F7D">
        <w:tab/>
        <w:t>Η ανάκληση ή τροποποίηση της απόφασης κοινοποιείται στον δικαιούχο της απόφασης.</w:t>
      </w:r>
    </w:p>
    <w:p w14:paraId="1AC2B303" w14:textId="77777777" w:rsidR="00E0244C" w:rsidRPr="00483F7D" w:rsidRDefault="007A1FD7">
      <w:pPr>
        <w:pStyle w:val="ManualNumPar10"/>
      </w:pPr>
      <w:r w:rsidRPr="00483F7D">
        <w:t>4.</w:t>
      </w:r>
      <w:r w:rsidRPr="00483F7D">
        <w:tab/>
        <w:t xml:space="preserve">Το άρθρο 6 παράγραφος </w:t>
      </w:r>
      <w:hyperlink w:anchor="__akn_article_lnAJsr_4rjbJo" w:tooltip="Article 6(4): (4)">
        <w:r w:rsidRPr="00483F7D">
          <w:rPr>
            <w:rStyle w:val="Hyperlink"/>
          </w:rPr>
          <w:t>4</w:t>
        </w:r>
      </w:hyperlink>
      <w:r w:rsidRPr="00483F7D">
        <w:t xml:space="preserve"> εφαρμόζεται στην ανάκληση ή την τροποποίηση της απόφασης.</w:t>
      </w:r>
    </w:p>
    <w:p w14:paraId="3A5A355C" w14:textId="77777777" w:rsidR="00E0244C" w:rsidRPr="00483F7D" w:rsidRDefault="007A1FD7">
      <w:pPr>
        <w:pStyle w:val="Text1"/>
      </w:pPr>
      <w:r w:rsidRPr="00483F7D">
        <w:t>Εντούτοις, σε εξαιρετικές περιπτώσεις και εφόσον το απαιτεί η προστασία των νόμιμων συμφερόντων του δικαιούχου της απόφασης, οι τελωνειακές αρχές μπορούν να μεταθέτουν κατά έως και ένα έτος την ημερομηνία από την οποία αρχίζει να παράγει αποτελέσματα η ανάκληση ή η τροποποίηση. Η εν λόγω ημερομηνία αναγράφεται στην απόφαση ανάκλησης ή τροποποίησης.</w:t>
      </w:r>
    </w:p>
    <w:p w14:paraId="31BDD7E6"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5B106559" w14:textId="3655D4E8" w:rsidR="00B938AF" w:rsidRPr="00483F7D" w:rsidRDefault="00BC60FC" w:rsidP="00BC60FC">
      <w:pPr>
        <w:pStyle w:val="Point1"/>
      </w:pPr>
      <w:r w:rsidRPr="00483F7D">
        <w:t>α)</w:t>
      </w:r>
      <w:r w:rsidRPr="00483F7D">
        <w:tab/>
      </w:r>
      <w:r w:rsidR="007A1FD7" w:rsidRPr="00483F7D">
        <w:t>των αναφερόμενων στην παράγραφο 2 περιπτώσεων, όταν μια ευνοϊκή απόφαση που απευθύνεται σε περισσότερα από ένα πρόσωπα μπορεί να ανακληθεί και όσον αφορά άλλα πρόσωπα πέραν του προσώπου που δεν συμμορφώνεται με υποχρέωση η οποία επιβλήθηκε δυνάμει της εν λόγω απόφασης·</w:t>
      </w:r>
    </w:p>
    <w:p w14:paraId="1F0CFC86" w14:textId="0CB698CE" w:rsidR="00E0244C" w:rsidRPr="00483F7D" w:rsidRDefault="00BC60FC" w:rsidP="00BC60FC">
      <w:pPr>
        <w:pStyle w:val="Point1"/>
      </w:pPr>
      <w:r w:rsidRPr="00483F7D">
        <w:t>β)</w:t>
      </w:r>
      <w:r w:rsidRPr="00483F7D">
        <w:tab/>
      </w:r>
      <w:r w:rsidR="007A1FD7" w:rsidRPr="00483F7D">
        <w:t>των εξαιρετικών περιπτώσεων, στις οποίες οι τελωνειακές αρχές μπορούν να μεταθέτουν την ημερομηνία κατά την οποία αρχίζει να παράγει αποτελέσματα η ανάκληση ή η τροποποίηση σύμφωνα με την παράγραφο 4 δεύτερο εδάφιο.</w:t>
      </w:r>
    </w:p>
    <w:p w14:paraId="50405774" w14:textId="77777777" w:rsidR="00E0244C" w:rsidRPr="00483F7D" w:rsidRDefault="007A1FD7">
      <w:pPr>
        <w:pStyle w:val="ManualNumPar10"/>
      </w:pPr>
      <w:r w:rsidRPr="00483F7D">
        <w:t>6.</w:t>
      </w:r>
      <w:r w:rsidRPr="00483F7D">
        <w:tab/>
        <w:t>Η Επιτροπή ορίζει, με εκτελεστικές πράξεις, τους διαδικαστικούς κανόνες σχετικά με την ανάκληση ή την τροποποίηση ευνοϊκών αποφάσεων. Οι εν λόγω εκτελεστικές πράξεις εκδίδονται σύμφωνα με τη διαδικασία εξέτασης που αναφέρεται στο άρθρο 262 παράγραφος 4.</w:t>
      </w:r>
    </w:p>
    <w:p w14:paraId="4F67CE83" w14:textId="77777777" w:rsidR="00E0244C" w:rsidRPr="00483F7D" w:rsidRDefault="007A1FD7">
      <w:pPr>
        <w:pStyle w:val="Titrearticle"/>
      </w:pPr>
      <w:r w:rsidRPr="00483F7D">
        <w:t>Άρθρο 11</w:t>
      </w:r>
    </w:p>
    <w:p w14:paraId="5C6A5B78" w14:textId="77777777" w:rsidR="00E0244C" w:rsidRPr="00483F7D" w:rsidRDefault="007A1FD7">
      <w:pPr>
        <w:pStyle w:val="NormalCentered"/>
      </w:pPr>
      <w:r w:rsidRPr="00483F7D">
        <w:rPr>
          <w:b/>
        </w:rPr>
        <w:t>Αποφάσεις που λαμβάνονται χωρίς προηγούμενη αίτηση</w:t>
      </w:r>
    </w:p>
    <w:p w14:paraId="7743E94D" w14:textId="77777777" w:rsidR="00E0244C" w:rsidRPr="00483F7D" w:rsidRDefault="007A1FD7">
      <w:r w:rsidRPr="00483F7D">
        <w:t xml:space="preserve">Με εξαίρεση τις περιπτώσεις κατά τις οποίες μια τελωνειακή αρχή ενεργεί ως δικαστική αρχή, οι διατάξεις του άρθρου 6 παράγραφοι </w:t>
      </w:r>
      <w:hyperlink w:anchor="__akn_article_lnAJsr_4rjbJo" w:tooltip="Article 6(4): (4)">
        <w:r w:rsidRPr="00483F7D">
          <w:rPr>
            <w:rStyle w:val="Hyperlink"/>
          </w:rPr>
          <w:t>4</w:t>
        </w:r>
      </w:hyperlink>
      <w:r w:rsidRPr="00483F7D">
        <w:t xml:space="preserve">, </w:t>
      </w:r>
      <w:hyperlink w:anchor="__akn_article_lnAJsr_oCOhrk" w:tooltip="Article 6(5): (5)">
        <w:r w:rsidRPr="00483F7D">
          <w:rPr>
            <w:rStyle w:val="Hyperlink"/>
          </w:rPr>
          <w:t>5</w:t>
        </w:r>
      </w:hyperlink>
      <w:r w:rsidRPr="00483F7D">
        <w:t xml:space="preserve">, </w:t>
      </w:r>
      <w:hyperlink w:anchor="__akn_article_lnAJsr_Z3GeoE" w:tooltip="Article 6(6): (6)">
        <w:r w:rsidRPr="00483F7D">
          <w:rPr>
            <w:rStyle w:val="Hyperlink"/>
          </w:rPr>
          <w:t>6</w:t>
        </w:r>
      </w:hyperlink>
      <w:r w:rsidRPr="00483F7D">
        <w:t xml:space="preserve"> και </w:t>
      </w:r>
      <w:hyperlink w:anchor="__akn_article_lnAJsr_6VMfpm" w:tooltip="Article 6(7): (7)">
        <w:r w:rsidRPr="00483F7D">
          <w:rPr>
            <w:rStyle w:val="Hyperlink"/>
          </w:rPr>
          <w:t>7</w:t>
        </w:r>
      </w:hyperlink>
      <w:r w:rsidRPr="00483F7D">
        <w:t xml:space="preserve">, του άρθρου 7 παράγραφος </w:t>
      </w:r>
      <w:hyperlink w:anchor="_bill__akn_article_HBVm5Z_XvBeGt" w:tooltip="Article 7(7): (7)">
        <w:r w:rsidRPr="00483F7D">
          <w:rPr>
            <w:rStyle w:val="Hyperlink"/>
          </w:rPr>
          <w:t>7</w:t>
        </w:r>
      </w:hyperlink>
      <w:r w:rsidRPr="00483F7D">
        <w:t xml:space="preserve"> και των άρθρων </w:t>
      </w:r>
      <w:hyperlink w:anchor="_bill__akn_article_yxL3em" w:tooltip="Article 8: 8">
        <w:r w:rsidRPr="00483F7D">
          <w:rPr>
            <w:rStyle w:val="Hyperlink"/>
          </w:rPr>
          <w:t>8</w:t>
        </w:r>
      </w:hyperlink>
      <w:r w:rsidRPr="00483F7D">
        <w:t xml:space="preserve">, </w:t>
      </w:r>
      <w:hyperlink w:anchor="_bill__akn_article_dsMil5" w:tooltip="Article 9: 9">
        <w:r w:rsidRPr="00483F7D">
          <w:rPr>
            <w:rStyle w:val="Hyperlink"/>
          </w:rPr>
          <w:t>9</w:t>
        </w:r>
      </w:hyperlink>
      <w:r w:rsidRPr="00483F7D">
        <w:t xml:space="preserve"> και </w:t>
      </w:r>
      <w:hyperlink w:anchor="_bill__akn_article_F8k6wz" w:tooltip="Article 10: 10">
        <w:r w:rsidRPr="00483F7D">
          <w:rPr>
            <w:rStyle w:val="Hyperlink"/>
          </w:rPr>
          <w:t>10</w:t>
        </w:r>
      </w:hyperlink>
      <w:r w:rsidRPr="00483F7D">
        <w:t xml:space="preserve"> ισχύουν επίσης για τις αποφάσεις που λαμβάνονται από τις τελωνειακές αρχές χωρίς προηγούμενη αίτηση του ενδιαφερόμενου προσώπου.</w:t>
      </w:r>
    </w:p>
    <w:p w14:paraId="035A1F98" w14:textId="77777777" w:rsidR="00E0244C" w:rsidRPr="00483F7D" w:rsidRDefault="007A1FD7">
      <w:pPr>
        <w:pStyle w:val="Titrearticle"/>
      </w:pPr>
      <w:r w:rsidRPr="00483F7D">
        <w:t>Άρθρο 12</w:t>
      </w:r>
    </w:p>
    <w:p w14:paraId="337ABDFF" w14:textId="77777777" w:rsidR="00E0244C" w:rsidRPr="00483F7D" w:rsidRDefault="007A1FD7">
      <w:pPr>
        <w:pStyle w:val="NormalCentered"/>
      </w:pPr>
      <w:r w:rsidRPr="00483F7D">
        <w:rPr>
          <w:b/>
        </w:rPr>
        <w:t>Περιορισμοί που ισχύουν για αποφάσεις σχετικά με εμπορεύματα που έχουν υπαχθεί σε τελωνειακό καθεστώς ή βρίσκονται σε προσωρινή εναπόθεση</w:t>
      </w:r>
    </w:p>
    <w:p w14:paraId="06D7A6D3" w14:textId="77777777" w:rsidR="00E0244C" w:rsidRPr="00483F7D" w:rsidRDefault="007A1FD7">
      <w:r w:rsidRPr="00483F7D">
        <w:t>Με εξαίρεση την περίπτωση που το ζητεί το ενδιαφερόμενο πρόσωπο, η ανάκληση, τροποποίηση ή αναστολή ευνοϊκής απόφασης δεν επηρεάζει εμπορεύματα τα οποία, τη στιγμή κατά την οποία αρχίζει να παράγει αποτελέσματα η ανάκληση, τροποποίηση ή αναστολή, έχουν ήδη υπαχθεί και εξακολουθούν να υπάγονται σε τελωνειακό καθεστώς ή βρίσκονται σε προσωρινή εναπόθεση δυνάμει της ανακληθείσας, τροποποιηθείσας ή ανασταλείσας απόφασης.</w:t>
      </w:r>
    </w:p>
    <w:p w14:paraId="1A278F32" w14:textId="77777777" w:rsidR="00E0244C" w:rsidRPr="00483F7D" w:rsidRDefault="007A1FD7">
      <w:pPr>
        <w:pStyle w:val="SectionTitle"/>
      </w:pPr>
      <w:r w:rsidRPr="00483F7D">
        <w:t xml:space="preserve">Τμήμα 2 </w:t>
      </w:r>
      <w:r w:rsidRPr="00483F7D">
        <w:br/>
        <w:t>Δεσμευτικές πληροφορίες</w:t>
      </w:r>
    </w:p>
    <w:p w14:paraId="7AAD40E2" w14:textId="77777777" w:rsidR="00E0244C" w:rsidRPr="00483F7D" w:rsidRDefault="007A1FD7">
      <w:pPr>
        <w:pStyle w:val="Titrearticle"/>
      </w:pPr>
      <w:bookmarkStart w:id="38" w:name="__akn_article_j8Pdtu"/>
      <w:bookmarkEnd w:id="38"/>
      <w:r w:rsidRPr="00483F7D">
        <w:t>Άρθρο 13</w:t>
      </w:r>
    </w:p>
    <w:p w14:paraId="639F287E" w14:textId="77777777" w:rsidR="00E0244C" w:rsidRPr="00483F7D" w:rsidRDefault="007A1FD7">
      <w:pPr>
        <w:pStyle w:val="NormalCentered"/>
      </w:pPr>
      <w:r w:rsidRPr="00483F7D">
        <w:rPr>
          <w:b/>
        </w:rPr>
        <w:t>Αποφάσεις που αφορούν δεσμευτικές πληροφορίες</w:t>
      </w:r>
    </w:p>
    <w:p w14:paraId="6BE1567E" w14:textId="77777777" w:rsidR="00E0244C" w:rsidRPr="00483F7D" w:rsidRDefault="007A1FD7">
      <w:pPr>
        <w:pStyle w:val="ManualNumPar10"/>
      </w:pPr>
      <w:bookmarkStart w:id="39" w:name="__akn_article_j8Pdtu_HQS5Dl"/>
      <w:bookmarkEnd w:id="39"/>
      <w:r w:rsidRPr="00483F7D">
        <w:t>1.</w:t>
      </w:r>
      <w:r w:rsidRPr="00483F7D">
        <w:tab/>
        <w:t>Οι τελωνειακές αρχές λαμβάνουν, κατόπιν αίτησης, αποφάσεις που αφορούν δεσμευτικές δασμολογικές πληροφορίες (στο εξής: αποφάσεις ΔΔΠ), αποφάσεις που αφορούν δεσμευτικές πληροφορίες καταγωγής (στο εξής: αποφάσεις ΔΠΚ) και αποφάσεις που αφορούν δεσμευτικές πληροφορίες δασμολογητέας αξίας (στο εξής: αποφάσεις ΔΠΔ).</w:t>
      </w:r>
    </w:p>
    <w:p w14:paraId="3EC00F1E" w14:textId="77777777" w:rsidR="00E0244C" w:rsidRPr="00483F7D" w:rsidRDefault="007A1FD7">
      <w:pPr>
        <w:pStyle w:val="Text1"/>
      </w:pPr>
      <w:r w:rsidRPr="00483F7D">
        <w:t>Τέτοιου είδους αίτηση δεν γίνεται αποδεκτή σε καμία από τις ακόλουθες περιπτώσεις:</w:t>
      </w:r>
    </w:p>
    <w:p w14:paraId="6910C8BD" w14:textId="7484AAF9" w:rsidR="00894E93" w:rsidRPr="00483F7D" w:rsidRDefault="00BC60FC" w:rsidP="00BC60FC">
      <w:pPr>
        <w:pStyle w:val="Point1"/>
      </w:pPr>
      <w:r w:rsidRPr="00483F7D">
        <w:t>α)</w:t>
      </w:r>
      <w:r w:rsidRPr="00483F7D">
        <w:tab/>
      </w:r>
      <w:r w:rsidR="007A1FD7" w:rsidRPr="00483F7D">
        <w:t>αν η αίτηση υποβάλλεται ή έχει ήδη υποβληθεί στο ίδιο ή σε άλλο τελωνείο, από τον δικαιούχο απόφασης ή για λογαριασμό του δικαιούχου απόφασης:</w:t>
      </w:r>
    </w:p>
    <w:p w14:paraId="43F1E881" w14:textId="1AEE1993" w:rsidR="00B938AF" w:rsidRPr="00483F7D" w:rsidRDefault="00483C4C" w:rsidP="00483C4C">
      <w:pPr>
        <w:pStyle w:val="Point2"/>
      </w:pPr>
      <w:r w:rsidRPr="00483F7D">
        <w:t>i)</w:t>
      </w:r>
      <w:r w:rsidRPr="00483F7D">
        <w:tab/>
        <w:t>για αποφάσεις ΔΔΠ, όσον αφορά τα ίδια εμπορεύματα·</w:t>
      </w:r>
    </w:p>
    <w:p w14:paraId="327181A5" w14:textId="35C2BA66" w:rsidR="00B938AF" w:rsidRPr="00483F7D" w:rsidRDefault="00483C4C" w:rsidP="00483C4C">
      <w:pPr>
        <w:pStyle w:val="Point2"/>
      </w:pPr>
      <w:r w:rsidRPr="00483F7D">
        <w:t>ii)</w:t>
      </w:r>
      <w:r w:rsidRPr="00483F7D">
        <w:tab/>
        <w:t>για αποφάσεις ΔΠΚ, όσον αφορά τα ίδια εμπορεύματα και υπό τις ίδιες καθοριστικές για την απόκτηση καταγωγής περιστάσεις·</w:t>
      </w:r>
    </w:p>
    <w:p w14:paraId="4787562E" w14:textId="5F257852" w:rsidR="00894E93" w:rsidRPr="00483F7D" w:rsidRDefault="00483C4C" w:rsidP="00483C4C">
      <w:pPr>
        <w:pStyle w:val="Point2"/>
      </w:pPr>
      <w:r w:rsidRPr="00483F7D">
        <w:t>iii)</w:t>
      </w:r>
      <w:r w:rsidRPr="00483F7D">
        <w:tab/>
        <w:t>για αποφάσεις ΔΠΔ, όσον αφορά εμπορεύματα υπό τις ίδιες καθοριστικές για τη δασμολογητέα αξία περιστάσεις·</w:t>
      </w:r>
    </w:p>
    <w:p w14:paraId="2E02083D" w14:textId="302BB4D8" w:rsidR="00E0244C" w:rsidRPr="00483F7D" w:rsidRDefault="00BC60FC" w:rsidP="00BC60FC">
      <w:pPr>
        <w:pStyle w:val="Point1"/>
      </w:pPr>
      <w:r w:rsidRPr="00483F7D">
        <w:t>β)</w:t>
      </w:r>
      <w:r w:rsidRPr="00483F7D">
        <w:tab/>
      </w:r>
      <w:r w:rsidR="007A1FD7" w:rsidRPr="00483F7D">
        <w:t>αν η αίτηση δεν σχετίζεται με οποιαδήποτε προβλεπόμενη χρήση της απόφασης που αφορά δεσμευτικές πληροφορίες ή με οποιαδήποτε προβλεπόμενη χρήση τελωνειακού καθεστώτος.</w:t>
      </w:r>
    </w:p>
    <w:p w14:paraId="1F02EAB9" w14:textId="77777777" w:rsidR="00E0244C" w:rsidRPr="00483F7D" w:rsidRDefault="007A1FD7">
      <w:pPr>
        <w:pStyle w:val="ManualNumPar10"/>
      </w:pPr>
      <w:r w:rsidRPr="00483F7D">
        <w:t>2.</w:t>
      </w:r>
      <w:r w:rsidRPr="00483F7D">
        <w:tab/>
        <w:t>Οι αποφάσεις που αφορούν δεσμευτικές πληροφορίες είναι δεσμευτικές μόνο όσον αφορά τη δασμολογική κατάταξη ή τον προσδιορισμό της καταγωγής ή της δασμολογητέας αξίας των εμπορευμάτων:</w:t>
      </w:r>
    </w:p>
    <w:p w14:paraId="4DF37786" w14:textId="2E36B2BA" w:rsidR="00B938AF" w:rsidRPr="00483F7D" w:rsidRDefault="00BC60FC" w:rsidP="00BC60FC">
      <w:pPr>
        <w:pStyle w:val="Point1"/>
      </w:pPr>
      <w:r w:rsidRPr="00483F7D">
        <w:t>α)</w:t>
      </w:r>
      <w:r w:rsidRPr="00483F7D">
        <w:tab/>
      </w:r>
      <w:r w:rsidR="007A1FD7" w:rsidRPr="00483F7D">
        <w:t>για τις τελωνειακές αρχές έναντι του δικαιούχου της απόφασης, μόνο όσον αφορά εμπορεύματα για τα οποία οι τελωνειακές διατυπώσεις ολοκληρώνονται μετά την ημερομηνία κατά την οποία η απόφαση αρχίζει να παράγει αποτελέσματα,</w:t>
      </w:r>
    </w:p>
    <w:p w14:paraId="103D31FD" w14:textId="1494EF79" w:rsidR="00E0244C" w:rsidRPr="00483F7D" w:rsidRDefault="00BC60FC" w:rsidP="00BC60FC">
      <w:pPr>
        <w:pStyle w:val="Point1"/>
      </w:pPr>
      <w:r w:rsidRPr="00483F7D">
        <w:t>β)</w:t>
      </w:r>
      <w:r w:rsidRPr="00483F7D">
        <w:tab/>
      </w:r>
      <w:r w:rsidR="007A1FD7" w:rsidRPr="00483F7D">
        <w:t>για τον δικαιούχο της απόφασης έναντι των τελωνειακών αρχών, μόνο από την ημερομηνία κατά την οποία το εν λόγω πρόσωπο λαμβάνει ή θεωρείται ότι έχει λάβει την κοινοποίηση της απόφασης.</w:t>
      </w:r>
    </w:p>
    <w:p w14:paraId="16B37661" w14:textId="77777777" w:rsidR="00E0244C" w:rsidRPr="00483F7D" w:rsidRDefault="007A1FD7">
      <w:pPr>
        <w:pStyle w:val="ManualNumPar10"/>
      </w:pPr>
      <w:bookmarkStart w:id="40" w:name="__akn_article_j8Pdtu_E9fDvh"/>
      <w:bookmarkEnd w:id="40"/>
      <w:r w:rsidRPr="00483F7D">
        <w:t>3.</w:t>
      </w:r>
      <w:r w:rsidRPr="00483F7D">
        <w:tab/>
        <w:t>Οι αποφάσεις που αφορούν δεσμευτικές πληροφορίες ισχύουν για περίοδο 3 ετών από την ημερομηνία κατά την οποία η απόφαση αρχίζει να παράγει αποτελέσματα.</w:t>
      </w:r>
    </w:p>
    <w:p w14:paraId="7DD114F1" w14:textId="77777777" w:rsidR="00E0244C" w:rsidRPr="00483F7D" w:rsidRDefault="007A1FD7">
      <w:pPr>
        <w:pStyle w:val="ManualNumPar10"/>
      </w:pPr>
      <w:r w:rsidRPr="00483F7D">
        <w:t>4.</w:t>
      </w:r>
      <w:r w:rsidRPr="00483F7D">
        <w:tab/>
        <w:t>Για την εφαρμογή απόφασης που αφορά δεσμευτικές πληροφορίες στο πλαίσιο συγκεκριμένου τελωνειακού καθεστώτος, ο δικαιούχος της απόφασης πρέπει να μπορεί να αποδείξει τα ακόλουθα:</w:t>
      </w:r>
    </w:p>
    <w:p w14:paraId="591D5A1C" w14:textId="5A8B9B1F" w:rsidR="00B938AF" w:rsidRPr="00483F7D" w:rsidRDefault="00BC60FC" w:rsidP="00BC60FC">
      <w:pPr>
        <w:pStyle w:val="Point1"/>
      </w:pPr>
      <w:r w:rsidRPr="00483F7D">
        <w:t>α)</w:t>
      </w:r>
      <w:r w:rsidRPr="00483F7D">
        <w:tab/>
      </w:r>
      <w:r w:rsidR="007A1FD7" w:rsidRPr="00483F7D">
        <w:t>στην περίπτωση απόφασης ΔΔΠ, ότι τα εκάστοτε εμπορεύματα αντιστοιχούν από κάθε άποψη σε αυτά που περιγράφονται στην απόφαση,</w:t>
      </w:r>
    </w:p>
    <w:p w14:paraId="5616C80D" w14:textId="6D3BA4C2" w:rsidR="00B938AF" w:rsidRPr="00483F7D" w:rsidRDefault="00BC60FC" w:rsidP="00BC60FC">
      <w:pPr>
        <w:pStyle w:val="Point1"/>
      </w:pPr>
      <w:r w:rsidRPr="00483F7D">
        <w:t>β)</w:t>
      </w:r>
      <w:r w:rsidRPr="00483F7D">
        <w:tab/>
      </w:r>
      <w:r w:rsidR="007A1FD7" w:rsidRPr="00483F7D">
        <w:t>στην περίπτωση απόφασης ΔΠΚ, ότι τα εμπορεύματα και οι καθοριστικές για την απόκτηση καταγωγής περιστάσεις αντιστοιχούν από κάθε άποψη στα εμπορεύματα και στις περιστάσεις που περιγράφονται στην απόφαση,</w:t>
      </w:r>
    </w:p>
    <w:p w14:paraId="4305796F" w14:textId="175B8C0B" w:rsidR="00E0244C" w:rsidRPr="00483F7D" w:rsidRDefault="00BC60FC" w:rsidP="00BC60FC">
      <w:pPr>
        <w:pStyle w:val="Point1"/>
      </w:pPr>
      <w:r w:rsidRPr="00483F7D">
        <w:t>γ)</w:t>
      </w:r>
      <w:r w:rsidRPr="00483F7D">
        <w:tab/>
      </w:r>
      <w:r w:rsidR="00CA733C" w:rsidRPr="00483F7D">
        <w:t>στην περίπτωση απόφασης ΔΠΔ, ότι οι καθοριστικές για τη δασμολογητέα αξία περιστάσεις για τα εκάστοτε εμπορεύματα αντιστοιχούν από κάθε άποψη στις περιστάσεις που περιγράφονται στην απόφαση.</w:t>
      </w:r>
    </w:p>
    <w:p w14:paraId="44106194" w14:textId="77777777" w:rsidR="00E0244C" w:rsidRPr="00483F7D" w:rsidRDefault="007A1FD7">
      <w:pPr>
        <w:pStyle w:val="Titrearticle"/>
      </w:pPr>
      <w:r w:rsidRPr="00483F7D">
        <w:t>Άρθρο 14</w:t>
      </w:r>
    </w:p>
    <w:p w14:paraId="437C44D4" w14:textId="77777777" w:rsidR="00E0244C" w:rsidRPr="00483F7D" w:rsidRDefault="007A1FD7">
      <w:pPr>
        <w:pStyle w:val="NormalCentered"/>
      </w:pPr>
      <w:r w:rsidRPr="00483F7D">
        <w:rPr>
          <w:b/>
        </w:rPr>
        <w:t>Διαχείριση αποφάσεων που αφορούν δεσμευτικές πληροφορίες</w:t>
      </w:r>
    </w:p>
    <w:p w14:paraId="11695F98" w14:textId="77777777" w:rsidR="00E0244C" w:rsidRPr="00483F7D" w:rsidRDefault="007A1FD7">
      <w:pPr>
        <w:pStyle w:val="ManualNumPar10"/>
      </w:pPr>
      <w:r w:rsidRPr="00483F7D">
        <w:t>1.</w:t>
      </w:r>
      <w:r w:rsidRPr="00483F7D">
        <w:tab/>
        <w:t xml:space="preserve">Η απόφαση ΔΔΠ παύει να ισχύει πριν από το τέλος της περιόδου που αναφέρεται στο άρθρο 13 παράγραφος </w:t>
      </w:r>
      <w:hyperlink w:anchor="__akn_article_j8Pdtu_E9fDvh" w:tooltip="Article 13(3): (3)">
        <w:r w:rsidRPr="00483F7D">
          <w:rPr>
            <w:rStyle w:val="Hyperlink"/>
          </w:rPr>
          <w:t>3</w:t>
        </w:r>
      </w:hyperlink>
      <w:r w:rsidRPr="00483F7D">
        <w:t xml:space="preserve"> εφόσον δεν είναι πλέον συμβατή με το δίκαιο, λόγω οποιασδήποτε από τις ακόλουθες περιπτώσεις:</w:t>
      </w:r>
    </w:p>
    <w:p w14:paraId="12851740" w14:textId="2C669CA1" w:rsidR="00B938AF" w:rsidRPr="00483F7D" w:rsidRDefault="00BC60FC" w:rsidP="00BC60FC">
      <w:pPr>
        <w:pStyle w:val="Point1"/>
      </w:pPr>
      <w:r w:rsidRPr="00483F7D">
        <w:t>α)</w:t>
      </w:r>
      <w:r w:rsidRPr="00483F7D">
        <w:tab/>
      </w:r>
      <w:r w:rsidR="007A1FD7" w:rsidRPr="00483F7D">
        <w:t xml:space="preserve">τροποποίησης των ονοματολογιών που αναφέρονται στο άρθρο 145 παράγραφος 2 στοιχεία </w:t>
      </w:r>
      <w:hyperlink w:anchor="__akn_article_FtviyP_DAJHwj" w:tooltip="Article 145(2), points (a) and (b): (a)">
        <w:r w:rsidR="007A1FD7" w:rsidRPr="00483F7D">
          <w:rPr>
            <w:rStyle w:val="Hyperlink"/>
          </w:rPr>
          <w:t>α)</w:t>
        </w:r>
      </w:hyperlink>
      <w:r w:rsidR="007A1FD7" w:rsidRPr="00483F7D">
        <w:t xml:space="preserve"> και </w:t>
      </w:r>
      <w:hyperlink w:anchor="__akn_article_FtviyP_7DJl3a" w:tooltip="Article 145(2), points (a) and (b): (b)">
        <w:r w:rsidR="007A1FD7" w:rsidRPr="00483F7D">
          <w:t>β)</w:t>
        </w:r>
      </w:hyperlink>
      <w:r w:rsidR="007A1FD7" w:rsidRPr="00483F7D">
        <w:t>·</w:t>
      </w:r>
    </w:p>
    <w:p w14:paraId="16D99B3D" w14:textId="63A3F627" w:rsidR="00E0244C" w:rsidRPr="00483F7D" w:rsidRDefault="00BC60FC" w:rsidP="00BC60FC">
      <w:pPr>
        <w:pStyle w:val="Point1"/>
      </w:pPr>
      <w:r w:rsidRPr="00483F7D">
        <w:t>β)</w:t>
      </w:r>
      <w:r w:rsidRPr="00483F7D">
        <w:tab/>
      </w:r>
      <w:r w:rsidR="007A1FD7" w:rsidRPr="00483F7D">
        <w:t xml:space="preserve">θέσπισης μέτρων που αναφέρονται στο άρθρο 146 παράγραφος </w:t>
      </w:r>
      <w:hyperlink w:anchor="__akn_article_aHr4tI_NR0Xd0" w:tooltip="Article 146(4): (4)">
        <w:r w:rsidR="007A1FD7" w:rsidRPr="00483F7D">
          <w:rPr>
            <w:rStyle w:val="Hyperlink"/>
          </w:rPr>
          <w:t>4</w:t>
        </w:r>
      </w:hyperlink>
      <w:r w:rsidR="007A1FD7" w:rsidRPr="00483F7D">
        <w:t>.</w:t>
      </w:r>
    </w:p>
    <w:p w14:paraId="35253459" w14:textId="77777777" w:rsidR="00E0244C" w:rsidRPr="00483F7D" w:rsidRDefault="00CA733C" w:rsidP="00967D67">
      <w:pPr>
        <w:pStyle w:val="Text1"/>
      </w:pPr>
      <w:r w:rsidRPr="00483F7D">
        <w:t>Στις περιπτώσεις αυτές, η απόφαση ΔΔΠ παύει να ισχύει από την ημερομηνία εφαρμογής της εν λόγω τροποποίησης ή των εν λόγω μέτρων.</w:t>
      </w:r>
    </w:p>
    <w:p w14:paraId="6F561538" w14:textId="77777777" w:rsidR="00E0244C" w:rsidRPr="00483F7D" w:rsidRDefault="007A1FD7">
      <w:pPr>
        <w:pStyle w:val="ManualNumPar10"/>
      </w:pPr>
      <w:r w:rsidRPr="00483F7D">
        <w:t>2.</w:t>
      </w:r>
      <w:r w:rsidRPr="00483F7D">
        <w:tab/>
        <w:t xml:space="preserve">Η απόφαση ΔΠΚ παύει να ισχύει πριν από το τέλος της περιόδου που αναφέρεται στο άρθρο 13 παράγραφος </w:t>
      </w:r>
      <w:hyperlink w:anchor="__akn_article_j8Pdtu_E9fDvh" w:tooltip="Article 13(3): (3)">
        <w:r w:rsidRPr="00483F7D">
          <w:rPr>
            <w:rStyle w:val="Hyperlink"/>
          </w:rPr>
          <w:t>3</w:t>
        </w:r>
      </w:hyperlink>
      <w:r w:rsidRPr="00483F7D">
        <w:t xml:space="preserve"> σε οποιαδήποτε από τις ακόλουθες περιπτώσεις:</w:t>
      </w:r>
    </w:p>
    <w:p w14:paraId="5478EBD8" w14:textId="478D20BF" w:rsidR="00B938AF" w:rsidRPr="00483F7D" w:rsidRDefault="00BC60FC" w:rsidP="00BC60FC">
      <w:pPr>
        <w:pStyle w:val="Point1"/>
      </w:pPr>
      <w:r w:rsidRPr="00483F7D">
        <w:t>α)</w:t>
      </w:r>
      <w:r w:rsidRPr="00483F7D">
        <w:tab/>
      </w:r>
      <w:r w:rsidR="007A1FD7" w:rsidRPr="00483F7D">
        <w:t>όταν εκδίδεται νομικά δεσμευτική πράξη της Ένωσης ή συνάπτεται από την Ένωση και αρχίζει να εφαρμόζεται στην επικράτειά της συμφωνία, με αποτέλεσμα η απόφαση ΔΠΚ να μην είναι πλέον συμβατή με το δίκαιο που θεσπίζεται με τον τρόπο αυτό, με ισχύ από την ημερομηνία εφαρμογής της εν λόγω πράξης ή της εν λόγω συμφωνίας,</w:t>
      </w:r>
    </w:p>
    <w:p w14:paraId="3DFCA9E4" w14:textId="225AD9E8" w:rsidR="00E0244C" w:rsidRPr="00483F7D" w:rsidRDefault="00BC60FC" w:rsidP="00BC60FC">
      <w:pPr>
        <w:pStyle w:val="Point1"/>
      </w:pPr>
      <w:r w:rsidRPr="00483F7D">
        <w:t>β)</w:t>
      </w:r>
      <w:r w:rsidRPr="00483F7D">
        <w:tab/>
      </w:r>
      <w:r w:rsidR="007A1FD7" w:rsidRPr="00483F7D">
        <w:t>όταν η απόφαση ΔΠΚ δεν είναι πλέον συμβατή με τη συμφωνία για τους κανόνες καταγωγής του Παγκόσμιου Οργανισμού Εμπορίου (ΠΟΕ) ή με τις συμβουλευτικές γνωμοδοτήσεις, τις πληροφορίες, τις συμβουλές και παρόμοιες πράξεις, σχετικά με τον προσδιορισμό της καταγωγής των εμπορευμάτων ώστε να εξασφαλιστεί η ομοιομορφία ερμηνείας και εφαρμογής της συμφωνίας αυτής, με ισχύ από την ημερομηνία της δημοσίευσής τους στην Επίσημη Εφημερίδα της Ευρωπαϊκής Ένωσης.</w:t>
      </w:r>
    </w:p>
    <w:p w14:paraId="210E634D" w14:textId="77777777" w:rsidR="00E0244C" w:rsidRPr="00483F7D" w:rsidRDefault="007A1FD7">
      <w:pPr>
        <w:pStyle w:val="ManualNumPar10"/>
      </w:pPr>
      <w:r w:rsidRPr="00483F7D">
        <w:t>3.</w:t>
      </w:r>
      <w:r w:rsidRPr="00483F7D">
        <w:tab/>
        <w:t xml:space="preserve">Η απόφαση ΔΠΔ παύει να ισχύει πριν από το τέλος της περιόδου που αναφέρεται στο άρθρο 13 παράγραφος </w:t>
      </w:r>
      <w:hyperlink w:anchor="__akn_article_j8Pdtu_E9fDvh" w:tooltip="Article 13(3): (3)">
        <w:r w:rsidRPr="00483F7D">
          <w:rPr>
            <w:rStyle w:val="Hyperlink"/>
          </w:rPr>
          <w:t>3</w:t>
        </w:r>
      </w:hyperlink>
      <w:r w:rsidRPr="00483F7D">
        <w:t xml:space="preserve"> στις ακόλουθες περιπτώσεις:</w:t>
      </w:r>
    </w:p>
    <w:p w14:paraId="400441C9" w14:textId="1372422C" w:rsidR="00B938AF" w:rsidRPr="00483F7D" w:rsidRDefault="00BC60FC" w:rsidP="00BC60FC">
      <w:pPr>
        <w:pStyle w:val="Point1"/>
      </w:pPr>
      <w:r w:rsidRPr="00483F7D">
        <w:t>α)</w:t>
      </w:r>
      <w:r w:rsidRPr="00483F7D">
        <w:tab/>
      </w:r>
      <w:r w:rsidR="007A1FD7" w:rsidRPr="00483F7D">
        <w:tab/>
        <w:t>όταν η έκδοση νομικά δεσμευτικής πράξης της Ένωσης καθιστά την απόφαση ΔΠΔ μη συμμορφούμενη με την εν λόγω πράξη, από την ημερομηνία εφαρμογής της εν λόγω πράξης·</w:t>
      </w:r>
    </w:p>
    <w:p w14:paraId="7E5C9A6D" w14:textId="2CC923D8" w:rsidR="00E0244C" w:rsidRPr="00483F7D" w:rsidRDefault="00BC60FC" w:rsidP="00BC60FC">
      <w:pPr>
        <w:pStyle w:val="Point1"/>
      </w:pPr>
      <w:r w:rsidRPr="00483F7D">
        <w:t>β)</w:t>
      </w:r>
      <w:r w:rsidRPr="00483F7D">
        <w:tab/>
      </w:r>
      <w:r w:rsidR="007A1FD7" w:rsidRPr="00483F7D">
        <w:t>όταν μια απόφαση ΔΠΔ δεν είναι πλέον συμβατή με το άρθρο VII της Γενικής Συμφωνίας Δασμών και Εμπορίου ή με τη συμφωνία για την εφαρμογή του άρθρου VII της Γενικής Συμφωνίας Δασμών και Εμπορίου του 1994 (συμφωνία του ΠΟΕ για τη δασμολογητέα αξία) ή με τις αποφάσεις που λαμβάνει η επιτροπή δασμολογητέας αξίας για την ερμηνεία της εν λόγω συμφωνίας, με ισχύ από την ημερομηνία δημοσίευσης στην Επίσημη Εφημερίδα της Ευρωπαϊκής Ένωσης.</w:t>
      </w:r>
    </w:p>
    <w:p w14:paraId="419D42B4" w14:textId="77777777" w:rsidR="00E0244C" w:rsidRPr="00483F7D" w:rsidRDefault="007A1FD7">
      <w:pPr>
        <w:pStyle w:val="ManualNumPar10"/>
      </w:pPr>
      <w:r w:rsidRPr="00483F7D">
        <w:t>4.</w:t>
      </w:r>
      <w:r w:rsidRPr="00483F7D">
        <w:tab/>
        <w:t>Η παύση ισχύος των αποφάσεων που αφορούν δεσμευτικές πληροφορίες δεν έχει αναδρομική εφαρμογή.</w:t>
      </w:r>
    </w:p>
    <w:p w14:paraId="4914DE03" w14:textId="77777777" w:rsidR="00E0244C" w:rsidRPr="00483F7D" w:rsidRDefault="007A1FD7">
      <w:pPr>
        <w:pStyle w:val="ManualNumPar10"/>
      </w:pPr>
      <w:r w:rsidRPr="00483F7D">
        <w:t>5.</w:t>
      </w:r>
      <w:r w:rsidRPr="00483F7D">
        <w:tab/>
        <w:t xml:space="preserve">Κατά παρέκκλιση από το άρθρο 7 παράγραφος </w:t>
      </w:r>
      <w:hyperlink w:anchor="_bill__akn_article_HBVm5Z_XvBeGt" w:tooltip="Article 7(7): (7)">
        <w:r w:rsidRPr="00483F7D">
          <w:rPr>
            <w:rStyle w:val="Hyperlink"/>
          </w:rPr>
          <w:t>7</w:t>
        </w:r>
      </w:hyperlink>
      <w:r w:rsidRPr="00483F7D">
        <w:t xml:space="preserve"> και το άρθρο </w:t>
      </w:r>
      <w:hyperlink w:anchor="_bill__akn_article_dsMil5" w:tooltip="Article 9: 9">
        <w:r w:rsidRPr="00483F7D">
          <w:rPr>
            <w:rStyle w:val="Hyperlink"/>
          </w:rPr>
          <w:t>9</w:t>
        </w:r>
      </w:hyperlink>
      <w:r w:rsidRPr="00483F7D">
        <w:t>, οι τελωνειακές αρχές ακυρώνουν αποφάσεις που αφορούν δεσμευτικές πληροφορίες μόνον εφόσον βασίζονται σε ανακριβείς ή ελλιπείς πληροφορίες από τους αιτούντες.</w:t>
      </w:r>
    </w:p>
    <w:p w14:paraId="40960523" w14:textId="77777777" w:rsidR="00E0244C" w:rsidRPr="00483F7D" w:rsidRDefault="007A1FD7">
      <w:pPr>
        <w:pStyle w:val="ManualNumPar10"/>
      </w:pPr>
      <w:r w:rsidRPr="00483F7D">
        <w:t>6.</w:t>
      </w:r>
      <w:r w:rsidRPr="00483F7D">
        <w:tab/>
        <w:t xml:space="preserve">Οι τελωνειακές αρχές ανακαλούν αποφάσεις που αφορούν δεσμευτικές πληροφορίες σύμφωνα με το άρθρο 7 παράγραφος </w:t>
      </w:r>
      <w:hyperlink w:anchor="_bill__akn_article_HBVm5Z_XvBeGt" w:tooltip="Article 7(7): (7)">
        <w:r w:rsidRPr="00483F7D">
          <w:rPr>
            <w:rStyle w:val="Hyperlink"/>
          </w:rPr>
          <w:t>7</w:t>
        </w:r>
      </w:hyperlink>
      <w:r w:rsidRPr="00483F7D">
        <w:t xml:space="preserve"> και το άρθρο </w:t>
      </w:r>
      <w:hyperlink w:anchor="_bill__akn_article_F8k6wz" w:tooltip="Article 10: 10">
        <w:r w:rsidRPr="00483F7D">
          <w:rPr>
            <w:rStyle w:val="Hyperlink"/>
          </w:rPr>
          <w:t>10</w:t>
        </w:r>
      </w:hyperlink>
      <w:r w:rsidRPr="00483F7D">
        <w:t>. Ωστόσο, οι αποφάσεις αυτές δεν ανακαλούνται με αίτημα του δικαιούχου της απόφασης.</w:t>
      </w:r>
    </w:p>
    <w:p w14:paraId="564FE6B5" w14:textId="77777777" w:rsidR="00E0244C" w:rsidRPr="00483F7D" w:rsidRDefault="007A1FD7">
      <w:pPr>
        <w:pStyle w:val="ManualNumPar10"/>
      </w:pPr>
      <w:r w:rsidRPr="00483F7D">
        <w:t>7.</w:t>
      </w:r>
      <w:r w:rsidRPr="00483F7D">
        <w:tab/>
        <w:t>Δεν είναι δυνατή η τροποποίηση αποφάσεων που αφορούν δεσμευτικές πληροφορίες.</w:t>
      </w:r>
    </w:p>
    <w:p w14:paraId="5252832C" w14:textId="77777777" w:rsidR="00E0244C" w:rsidRPr="00483F7D" w:rsidRDefault="007A1FD7">
      <w:pPr>
        <w:pStyle w:val="ManualNumPar10"/>
      </w:pPr>
      <w:r w:rsidRPr="00483F7D">
        <w:t>8.</w:t>
      </w:r>
      <w:r w:rsidRPr="00483F7D">
        <w:tab/>
        <w:t xml:space="preserve">Οι τελωνειακές αρχές ανακαλούν αποφάσεις ΔΔΠ αν δεν είναι πλέον συμβατές με την ερμηνεία οποιασδήποτε από τις ονοματολογίες που αναφέρονται στο άρθρο 145 παράγραφος 2 στοιχεία </w:t>
      </w:r>
      <w:hyperlink w:anchor="__akn_article_FtviyP_DAJHwj" w:tooltip="Article 145(2), points (a) and (b): (a)">
        <w:r w:rsidRPr="00483F7D">
          <w:rPr>
            <w:rStyle w:val="Hyperlink"/>
          </w:rPr>
          <w:t>α)</w:t>
        </w:r>
      </w:hyperlink>
      <w:r w:rsidRPr="00483F7D">
        <w:t xml:space="preserve"> και </w:t>
      </w:r>
      <w:hyperlink w:anchor="__akn_article_FtviyP_7DJl3a" w:tooltip="Article 145(2), points (a) and (b): (b)">
        <w:r w:rsidRPr="00483F7D">
          <w:rPr>
            <w:rStyle w:val="Hyperlink"/>
          </w:rPr>
          <w:t>β)</w:t>
        </w:r>
      </w:hyperlink>
      <w:r w:rsidRPr="00483F7D">
        <w:t xml:space="preserve"> λόγω οποιασδήποτε από τις ακόλουθες περιπτώσεις:</w:t>
      </w:r>
    </w:p>
    <w:p w14:paraId="427F0B85" w14:textId="0807FF85" w:rsidR="00B938AF" w:rsidRPr="00483F7D" w:rsidRDefault="00BC60FC" w:rsidP="00BC60FC">
      <w:pPr>
        <w:pStyle w:val="Point1"/>
      </w:pPr>
      <w:r w:rsidRPr="00483F7D">
        <w:t>α)</w:t>
      </w:r>
      <w:r w:rsidRPr="00483F7D">
        <w:tab/>
      </w:r>
      <w:r w:rsidR="007A1FD7" w:rsidRPr="00483F7D">
        <w:t>επεξηγηματικών σημειώσεων αναφερόμενων στο άρθρο 9 παράγραφος 1 στοιχείο α) δεύτερη περίπτωση του κανονισμού (ΕΟΚ) αριθ. 2658/87, με ισχύ από την ημερομηνία δημοσίευσής τους στην Επίσημη Εφημερίδα της Ευρωπαϊκής Ένωσης·</w:t>
      </w:r>
    </w:p>
    <w:p w14:paraId="1EE9D3AC" w14:textId="1ACE94E4" w:rsidR="00B938AF" w:rsidRPr="00483F7D" w:rsidRDefault="00BC60FC" w:rsidP="00BC60FC">
      <w:pPr>
        <w:pStyle w:val="Point1"/>
      </w:pPr>
      <w:r w:rsidRPr="00483F7D">
        <w:t>β)</w:t>
      </w:r>
      <w:r w:rsidRPr="00483F7D">
        <w:tab/>
      </w:r>
      <w:r w:rsidR="007A1FD7" w:rsidRPr="00483F7D">
        <w:t>απόφασης του Δικαστηρίου της Ευρωπαϊκής Ένωσης, με ισχύ από την ημερομηνία δημοσίευσης του διατακτικού της στην Επίσημη Εφημερίδα της Ευρωπαϊκής Ένωσης·</w:t>
      </w:r>
    </w:p>
    <w:p w14:paraId="0B6A259C" w14:textId="25BE5524" w:rsidR="00E0244C" w:rsidRPr="00483F7D" w:rsidRDefault="00BC60FC" w:rsidP="00BC60FC">
      <w:pPr>
        <w:pStyle w:val="Point1"/>
      </w:pPr>
      <w:r w:rsidRPr="00483F7D">
        <w:t>γ)</w:t>
      </w:r>
      <w:r w:rsidRPr="00483F7D">
        <w:tab/>
      </w:r>
      <w:r w:rsidR="007A1FD7" w:rsidRPr="00483F7D">
        <w:t>αποφάσεων κατάταξης, γνωμών κατάταξης ή τροποποιήσεων των επεξηγηματικών σημειώσεων για την ονοματολογία του Εναρμονισμένου Συστήματος περιγραφής και κωδικοποίησης των εμπορευμάτων που εγκρίθηκε από τον οργανισμό που έχει συσταθεί με τη Σύμβαση περί Συστάσεως Συμβουλίου Τελωνειακής Συνεργασίας, η οποία συνήφθη στις Βρυξέλλες στις 15 Δεκεμβρίου 1950, με ισχύ από την ημερομηνία δημοσίευσης της ανακοίνωσης της Επιτροπής στη σειρά «C» της Επίσημης Εφημερίδας της Ευρωπαϊκής Ένωσης.</w:t>
      </w:r>
    </w:p>
    <w:p w14:paraId="02318706" w14:textId="77777777" w:rsidR="00E0244C" w:rsidRPr="00483F7D" w:rsidRDefault="007A1FD7">
      <w:pPr>
        <w:pStyle w:val="ManualNumPar10"/>
      </w:pPr>
      <w:r w:rsidRPr="00483F7D">
        <w:t>9.</w:t>
      </w:r>
      <w:r w:rsidRPr="00483F7D">
        <w:tab/>
        <w:t>Οι αποφάσεις ΔΠΚ και ΔΠΔ ανακαλούνται σε περίπτωση που δεν είναι πλέον συμβατές με απόφαση του Δικαστηρίου της Ευρωπαϊκής Ένωσης, με ισχύ από την ημερομηνία δημοσίευσης του διατακτικού της στην Επίσημη Εφημερίδα της Ευρωπαϊκής Ένωσης.</w:t>
      </w:r>
    </w:p>
    <w:p w14:paraId="4115B13E" w14:textId="77777777" w:rsidR="00E0244C" w:rsidRPr="00483F7D" w:rsidRDefault="007A1FD7">
      <w:pPr>
        <w:pStyle w:val="ManualNumPar10"/>
      </w:pPr>
      <w:r w:rsidRPr="00483F7D">
        <w:t>10.</w:t>
      </w:r>
      <w:r w:rsidRPr="00483F7D">
        <w:tab/>
        <w:t>Όταν μια απόφαση που αφορά δεσμευτικές πληροφορίες παύει να ισχύει σύμφωνα με την παράγραφο 1 στοιχείο β) ή με τις παραγράφους 2 ή 3, ή ανακαλείται σύμφωνα με τις παραγράφους 6, 8 ή 9, η απόφαση μπορεί να εξακολουθήσει να χρησιμοποιείται όσον αφορά δεσμευτικές συμβάσεις που βασίζονταν στην εν λόγω απόφαση και είχαν συναφθεί πριν από την παύση της ισχύος της ή την ανάκλησή της. Η εν λόγω παράταση της χρήσης δεν ισχύει σε περίπτωση λήψης απόφασης ΔΠΚ για εμπορεύματα προς εξαγωγή.</w:t>
      </w:r>
    </w:p>
    <w:p w14:paraId="783D7CFA" w14:textId="77777777" w:rsidR="00E0244C" w:rsidRPr="00483F7D" w:rsidRDefault="007A1FD7">
      <w:pPr>
        <w:pStyle w:val="Text1"/>
      </w:pPr>
      <w:r w:rsidRPr="00483F7D">
        <w:t xml:space="preserve">Η παράταση της χρήσης που αναφέρεται στο πρώτο εδάφιο δεν υπερβαίνει τους 6 μήνες από την ημερομηνία κατά την οποία η απόφαση που αφορά δεσμευτικές πληροφορίες παύει να ισχύει ή ανακαλείται. Ωστόσο, μέτρο που αναφέρεται στο άρθρο 146 παράγραφος </w:t>
      </w:r>
      <w:hyperlink w:anchor="__akn_article_aHr4tI_NR0Xd0" w:tooltip="Article 146(4): (4)">
        <w:r w:rsidRPr="00483F7D">
          <w:rPr>
            <w:rStyle w:val="Hyperlink"/>
          </w:rPr>
          <w:t>4</w:t>
        </w:r>
      </w:hyperlink>
      <w:r w:rsidRPr="00483F7D">
        <w:t>, μέτρο που αναφέρεται στο άρθρο 151 ή μέτρο που αναφέρεται στο άρθρο 158 μπορεί να αποκλείει την εν λόγω παράταση χρήσης ή να ορίζει συντομότερη διάρκεια. Όταν πρόκειται για προϊόντα για τα οποία υποβάλλεται πιστοποιητικό εισαγωγής ή εξαγωγής κατά τη διεξαγωγή των τελωνειακών διατυπώσεων, η διάρκεια των 6 μηνών αντικαθίσταται από τη διάρκεια ισχύος του πιστοποιητικού.</w:t>
      </w:r>
    </w:p>
    <w:p w14:paraId="69F0716A" w14:textId="77777777" w:rsidR="00E0244C" w:rsidRPr="00483F7D" w:rsidRDefault="007A1FD7">
      <w:pPr>
        <w:pStyle w:val="Text1"/>
      </w:pPr>
      <w:r w:rsidRPr="00483F7D">
        <w:t>Για να επωφεληθεί από την παράταση της χρήσης μιας απόφασης που αφορά δεσμευτικές πληροφορίες, ο δικαιούχος της εν λόγω απόφασης καταθέτει αίτηση στην τελωνειακή αρχή που έλαβε την απόφαση εντός 30 ημερών από την ημερομηνία κατά την οποία παύει να ισχύει ή ανακαλείται, αναφέροντας τις ποσότητες για τις οποίες ζητεί την παράταση της χρήσης και το κράτος μέλος ή τα κράτη μέλη όπου θα τελωνιστούν τα εμπορεύματα κατά την περίοδο που διαρκεί η παράταση της χρήσης. Η τελωνειακή αρχή λαμβάνει απόφαση για την παράταση της χρήσης και ενημερώνει τον δικαιούχο χωρίς καθυστέρηση και το αργότερο εντός 30 ημερών από την ημερομηνία παραλαβής όλων των πληροφοριών που απαιτούνται για να μπορέσει να λάβει την απόφαση.</w:t>
      </w:r>
    </w:p>
    <w:p w14:paraId="483BCD3E" w14:textId="77777777" w:rsidR="00E0244C" w:rsidRPr="00483F7D" w:rsidRDefault="007A1FD7">
      <w:pPr>
        <w:pStyle w:val="ManualNumPar10"/>
      </w:pPr>
      <w:r w:rsidRPr="00483F7D">
        <w:t>11.</w:t>
      </w:r>
      <w:r w:rsidRPr="00483F7D">
        <w:tab/>
        <w:t xml:space="preserve">Η Επιτροπή ενημερώνει τις τελωνειακές αρχές όταν: </w:t>
      </w:r>
    </w:p>
    <w:p w14:paraId="393DA648" w14:textId="6467564F" w:rsidR="00B938AF" w:rsidRPr="00483F7D" w:rsidRDefault="00BC60FC" w:rsidP="00BC60FC">
      <w:pPr>
        <w:pStyle w:val="Point1"/>
      </w:pPr>
      <w:r w:rsidRPr="00483F7D">
        <w:t>α)</w:t>
      </w:r>
      <w:r w:rsidRPr="00483F7D">
        <w:tab/>
      </w:r>
      <w:r w:rsidR="007A1FD7" w:rsidRPr="00483F7D">
        <w:t>αναστέλλεται η λήψη αποφάσεων που αφορούν δεσμευτικές πληροφορίες, όσον αφορά εμπορεύματα των οποίων δεν εξασφαλίζεται η δασμολογική κατάταξη ή ο προσδιορισμός της καταγωγής ή ο καθορισμός της δασμολογητέας αξίας με ορθό και ενιαίο τρόπο· ή</w:t>
      </w:r>
    </w:p>
    <w:p w14:paraId="0D20DB12" w14:textId="77ED9DB0" w:rsidR="00E0244C" w:rsidRPr="00483F7D" w:rsidRDefault="00BC60FC" w:rsidP="00BC60FC">
      <w:pPr>
        <w:pStyle w:val="Point1"/>
      </w:pPr>
      <w:r w:rsidRPr="00483F7D">
        <w:t>β)</w:t>
      </w:r>
      <w:r w:rsidRPr="00483F7D">
        <w:tab/>
      </w:r>
      <w:r w:rsidR="007A1FD7" w:rsidRPr="00483F7D">
        <w:t>ανακαλείται η αναστολή που αναφέρεται στο στοιχείο α).</w:t>
      </w:r>
    </w:p>
    <w:p w14:paraId="4080FCE2" w14:textId="77777777" w:rsidR="00E0244C" w:rsidRPr="00483F7D" w:rsidRDefault="007A1FD7" w:rsidP="00564BC9">
      <w:pPr>
        <w:pStyle w:val="ManualNumPar10"/>
      </w:pPr>
      <w:r w:rsidRPr="00483F7D">
        <w:t>12.</w:t>
      </w:r>
      <w:r w:rsidRPr="00483F7D">
        <w:tab/>
        <w:t>Η Επιτροπή μπορεί να λαμβάνει αποφάσεις με τις οποίες ζητεί από τα κράτη μέλη να ανακαλέσουν απόφαση ΔΔΠ, ΔΠΚ ή ΔΠΔ, προκειμένου να εξασφαλίζεται η δασμολογική κατάταξη ή ο προσδιορισμός της καταγωγής ή ο καθορισμός της δασμολογητέας αξίας με ορθό και ενιαίο τρόπο. Πριν από τη λήψη της εν λόγω απόφασης, η Επιτροπή κοινοποιεί τους λόγους στους οποίους προτίθεται να στηρίξει την απόφασή της στον δικαιούχο της απόφασης ΔΔΠ, ΔΠΚ ή ΔΠΔ, στον οποίο παρέχεται η δυνατότητα να εκφράσει την άποψή του εντός προθεσμίας που ορίζεται από την ημερομηνία κατά την οποία το εν λόγω πρόσωπο λαμβάνει την εν λόγω κοινοποίηση ή θεωρείται ότι την έχει λάβει.</w:t>
      </w:r>
    </w:p>
    <w:p w14:paraId="2F723E8C" w14:textId="77777777" w:rsidR="00F016D6" w:rsidRPr="00483F7D" w:rsidRDefault="00F016D6" w:rsidP="00F016D6">
      <w:pPr>
        <w:pStyle w:val="ManualNumPar10"/>
      </w:pPr>
      <w:r w:rsidRPr="00483F7D">
        <w:t>13.</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κανόνων για τη λήψη των αποφάσεων που αναφέρονται στην παράγραφο 12 του παρόντος άρθρου, ιδίως όσον αφορά την κοινοποίηση στα ενδιαφερόμενα πρόσωπα των λόγων στους οποίους η Επιτροπή προτίθεται να στηρίξει την απόφασή της και την προθεσμία εντός της οποίας τα εν λόγω πρόσωπα μπορούν να εκφράσουν τις απόψεις τους.</w:t>
      </w:r>
    </w:p>
    <w:p w14:paraId="4CD64F89" w14:textId="77777777" w:rsidR="00E0244C" w:rsidRPr="00483F7D" w:rsidRDefault="007A1FD7">
      <w:pPr>
        <w:pStyle w:val="ManualNumPar10"/>
      </w:pPr>
      <w:r w:rsidRPr="00483F7D">
        <w:t>14.</w:t>
      </w:r>
      <w:r w:rsidRPr="00483F7D">
        <w:tab/>
        <w:t>Η Επιτροπή θεσπίζει, με εκτελεστικές πράξεις, τους διαδικαστικούς κανόνες για:</w:t>
      </w:r>
    </w:p>
    <w:p w14:paraId="54B609F8" w14:textId="44CEB9D6" w:rsidR="00B938AF" w:rsidRPr="00483F7D" w:rsidRDefault="00BC60FC" w:rsidP="00BC60FC">
      <w:pPr>
        <w:pStyle w:val="Point1"/>
      </w:pPr>
      <w:r w:rsidRPr="00483F7D">
        <w:t>α)</w:t>
      </w:r>
      <w:r w:rsidRPr="00483F7D">
        <w:tab/>
      </w:r>
      <w:r w:rsidR="007A1FD7" w:rsidRPr="00483F7D">
        <w:t>τη χρήση απόφασης που αφορά δεσμευτικές πληροφορίες αφού έχει παύσει να ισχύει ή έχει ανακληθεί σύμφωνα με την παράγραφο 10·</w:t>
      </w:r>
    </w:p>
    <w:p w14:paraId="66A948B5" w14:textId="52C2CAB6" w:rsidR="00E0244C" w:rsidRPr="00483F7D" w:rsidRDefault="00BC60FC" w:rsidP="00BC60FC">
      <w:pPr>
        <w:pStyle w:val="Point1"/>
      </w:pPr>
      <w:r w:rsidRPr="00483F7D">
        <w:t>β)</w:t>
      </w:r>
      <w:r w:rsidRPr="00483F7D">
        <w:tab/>
      </w:r>
      <w:r w:rsidR="007A1FD7" w:rsidRPr="00483F7D">
        <w:t>την κοινοποίηση από την Επιτροπή προς τις τελωνειακές αρχές σύμφωνα με την παράγραφο 11 στοιχεία α) και β).</w:t>
      </w:r>
    </w:p>
    <w:p w14:paraId="07572AE3" w14:textId="77777777" w:rsidR="009834FA" w:rsidRPr="00483F7D" w:rsidRDefault="009834FA" w:rsidP="00967D67">
      <w:pPr>
        <w:pStyle w:val="Text1"/>
      </w:pPr>
      <w:r w:rsidRPr="00483F7D">
        <w:t>Οι εν λόγω εκτελεστικές πράξεις εκδίδονται σύμφωνα με τη διαδικασία εξέτασης που αναφέρεται στο άρθρο 262 παράγραφος 4.</w:t>
      </w:r>
    </w:p>
    <w:p w14:paraId="361505DB" w14:textId="77777777" w:rsidR="00EC3F11" w:rsidRPr="00483F7D" w:rsidRDefault="007A1FD7" w:rsidP="00967351">
      <w:pPr>
        <w:pStyle w:val="ManualNumPar10"/>
        <w:rPr>
          <w:szCs w:val="24"/>
        </w:rPr>
      </w:pPr>
      <w:r w:rsidRPr="00483F7D">
        <w:t>15.</w:t>
      </w:r>
      <w:r w:rsidRPr="00483F7D">
        <w:tab/>
        <w:t xml:space="preserve">Η Επιτροπή εκδίδει, με εκτελεστικές πράξεις, τις αποφάσεις με τις οποίες ζητεί από τα κράτη μέλη να ανακαλέσουν τις αποφάσεις που αναφέρονται στην παράγραφο 12. Οι εν λόγω εκτελεστικές πράξεις εκδίδονται σύμφωνα με τη συμβουλευτική διαδικασία που αναφέρεται στο άρθρο </w:t>
      </w:r>
      <w:r w:rsidRPr="00483F7D">
        <w:rPr>
          <w:smallCaps/>
        </w:rPr>
        <w:t>262</w:t>
      </w:r>
      <w:r w:rsidRPr="00483F7D">
        <w:t xml:space="preserve"> παράγραφος 2.</w:t>
      </w:r>
    </w:p>
    <w:p w14:paraId="5F8E6FA9" w14:textId="77777777" w:rsidR="00E0244C" w:rsidRPr="00483F7D" w:rsidRDefault="007A1FD7">
      <w:pPr>
        <w:pStyle w:val="SectionTitle"/>
      </w:pPr>
      <w:r w:rsidRPr="00483F7D">
        <w:t xml:space="preserve">Τμήμα 3 </w:t>
      </w:r>
      <w:r w:rsidRPr="00483F7D">
        <w:br/>
        <w:t>Προσφυγές</w:t>
      </w:r>
    </w:p>
    <w:p w14:paraId="765E7CB5" w14:textId="77777777" w:rsidR="00E0244C" w:rsidRPr="00483F7D" w:rsidRDefault="007A1FD7">
      <w:pPr>
        <w:pStyle w:val="Titrearticle"/>
      </w:pPr>
      <w:r w:rsidRPr="00483F7D">
        <w:t>Άρθρο 15</w:t>
      </w:r>
    </w:p>
    <w:p w14:paraId="21E3358D" w14:textId="77777777" w:rsidR="00E0244C" w:rsidRPr="00483F7D" w:rsidRDefault="007A1FD7">
      <w:pPr>
        <w:pStyle w:val="NormalCentered"/>
      </w:pPr>
      <w:r w:rsidRPr="00483F7D">
        <w:rPr>
          <w:b/>
        </w:rPr>
        <w:t>Αποφάσεις δικαστικής αρχής</w:t>
      </w:r>
    </w:p>
    <w:p w14:paraId="248A1733" w14:textId="77777777" w:rsidR="00E0244C" w:rsidRPr="00483F7D" w:rsidRDefault="007A1FD7">
      <w:r w:rsidRPr="00483F7D">
        <w:t xml:space="preserve">Τα άρθρα </w:t>
      </w:r>
      <w:hyperlink w:anchor="_bill__akn_article_IvuScu" w:tooltip="Article 16: 16">
        <w:r w:rsidRPr="00483F7D">
          <w:rPr>
            <w:rStyle w:val="Hyperlink"/>
          </w:rPr>
          <w:t>16</w:t>
        </w:r>
      </w:hyperlink>
      <w:r w:rsidRPr="00483F7D">
        <w:t xml:space="preserve"> και </w:t>
      </w:r>
      <w:hyperlink w:anchor="_bill__akn_article_ouIbLI" w:tooltip="Article 17: 17">
        <w:r w:rsidRPr="00483F7D">
          <w:rPr>
            <w:rStyle w:val="Hyperlink"/>
          </w:rPr>
          <w:t>17</w:t>
        </w:r>
      </w:hyperlink>
      <w:r w:rsidRPr="00483F7D">
        <w:t xml:space="preserve"> δεν εφαρμόζονται για προσφυγές που ασκούνται με στόχο την ακύρωση, την ανάκληση ή την τροποποίηση απόφασης σχετικά με την εφαρμογή της τελωνειακής νομοθεσίας, η οποία λαμβάνεται από δικαστική αρχή ή από τελωνειακές αρχές που ενεργούν ως δικαστικές αρχές.</w:t>
      </w:r>
    </w:p>
    <w:p w14:paraId="60A8C31C" w14:textId="77777777" w:rsidR="00E0244C" w:rsidRPr="00483F7D" w:rsidRDefault="007A1FD7">
      <w:pPr>
        <w:pStyle w:val="Titrearticle"/>
      </w:pPr>
      <w:bookmarkStart w:id="41" w:name="_bill__akn_article_IvuScu"/>
      <w:bookmarkEnd w:id="41"/>
      <w:r w:rsidRPr="00483F7D">
        <w:t>Άρθρο 16</w:t>
      </w:r>
    </w:p>
    <w:p w14:paraId="4552033B" w14:textId="77777777" w:rsidR="00E0244C" w:rsidRPr="00483F7D" w:rsidRDefault="007A1FD7">
      <w:pPr>
        <w:pStyle w:val="NormalCentered"/>
      </w:pPr>
      <w:r w:rsidRPr="00483F7D">
        <w:rPr>
          <w:b/>
        </w:rPr>
        <w:t>Δικαίωμα προσφυγής</w:t>
      </w:r>
    </w:p>
    <w:p w14:paraId="7652C426" w14:textId="77777777" w:rsidR="00E0244C" w:rsidRPr="00483F7D" w:rsidRDefault="007A1FD7">
      <w:pPr>
        <w:pStyle w:val="ManualNumPar10"/>
      </w:pPr>
      <w:r w:rsidRPr="00483F7D">
        <w:t>1.</w:t>
      </w:r>
      <w:r w:rsidRPr="00483F7D">
        <w:tab/>
        <w:t>Κάθε πρόσωπο έχει το δικαίωμα να προσφεύγει κατά οποιασδήποτε απόφασης λαμβάνεται από τις τελωνειακές αρχές σχετικά με την εφαρμογή της τελωνειακής νομοθεσίας και το αφορά άμεσα και ατομικά.</w:t>
      </w:r>
    </w:p>
    <w:p w14:paraId="603BDE36" w14:textId="77777777" w:rsidR="00E0244C" w:rsidRPr="00483F7D" w:rsidRDefault="007A1FD7">
      <w:pPr>
        <w:pStyle w:val="Text1"/>
      </w:pPr>
      <w:r w:rsidRPr="00483F7D">
        <w:t xml:space="preserve">Κάθε πρόσωπο το οποίο έχει υποβάλει αίτηση για έκδοση απόφασης στις τελωνειακές αρχές και δεν έχει λάβει απόφαση επί της εν λόγω αίτησης εντός των προθεσμιών που αναφέρονται στο άρθρο 6 παράγραφος </w:t>
      </w:r>
      <w:hyperlink w:anchor="__akn_article_lnAJsr_ZKaizP" w:tooltip="Article 6(3): (3)">
        <w:r w:rsidRPr="00483F7D">
          <w:rPr>
            <w:rStyle w:val="Hyperlink"/>
          </w:rPr>
          <w:t>3</w:t>
        </w:r>
      </w:hyperlink>
      <w:r w:rsidRPr="00483F7D">
        <w:t xml:space="preserve"> έχει επίσης το δικαίωμα να ασκήσει προσφυγή.</w:t>
      </w:r>
    </w:p>
    <w:p w14:paraId="73C8B9EC" w14:textId="77777777" w:rsidR="00E0244C" w:rsidRPr="00483F7D" w:rsidRDefault="007A1FD7">
      <w:pPr>
        <w:pStyle w:val="ManualNumPar10"/>
      </w:pPr>
      <w:r w:rsidRPr="00483F7D">
        <w:t>2.</w:t>
      </w:r>
      <w:r w:rsidRPr="00483F7D">
        <w:tab/>
        <w:t>Το δικαίωμα προσφυγής μπορεί να ασκείται σε τουλάχιστον δύο στάδια:</w:t>
      </w:r>
    </w:p>
    <w:p w14:paraId="769179AF" w14:textId="1E19D7F6" w:rsidR="00B938AF" w:rsidRPr="00483F7D" w:rsidRDefault="00BC60FC" w:rsidP="00BC60FC">
      <w:pPr>
        <w:pStyle w:val="Point1"/>
      </w:pPr>
      <w:r w:rsidRPr="00483F7D">
        <w:t>α)</w:t>
      </w:r>
      <w:r w:rsidRPr="00483F7D">
        <w:tab/>
      </w:r>
      <w:r w:rsidR="007A1FD7" w:rsidRPr="00483F7D">
        <w:t>σε πρώτο στάδιο, ενώπιον των τελωνειακών αρχών ή δικαστικής αρχής ή άλλου φορέα που έχει οριστεί για τον σκοπό αυτό από τα κράτη μέλη·</w:t>
      </w:r>
    </w:p>
    <w:p w14:paraId="45F61E98" w14:textId="3C9E287E" w:rsidR="00E0244C" w:rsidRPr="00483F7D" w:rsidRDefault="00BC60FC" w:rsidP="00BC60FC">
      <w:pPr>
        <w:pStyle w:val="Point1"/>
      </w:pPr>
      <w:r w:rsidRPr="00483F7D">
        <w:t>β)</w:t>
      </w:r>
      <w:r w:rsidRPr="00483F7D">
        <w:tab/>
      </w:r>
      <w:r w:rsidR="007A1FD7" w:rsidRPr="00483F7D">
        <w:t>σε δεύτερο στάδιο, ενώπιον ανώτερου ανεξάρτητου οργάνου, το οποίο μπορεί να είναι δικαστική αρχή ή ισοδύναμο ειδικευμένο όργανο, σύμφωνα με τις διατάξεις που ισχύουν στα κράτη μέλη.</w:t>
      </w:r>
    </w:p>
    <w:p w14:paraId="0E0075FA" w14:textId="77777777" w:rsidR="00E0244C" w:rsidRPr="00483F7D" w:rsidRDefault="007A1FD7">
      <w:pPr>
        <w:pStyle w:val="ManualNumPar10"/>
      </w:pPr>
      <w:r w:rsidRPr="00483F7D">
        <w:t>3.</w:t>
      </w:r>
      <w:r w:rsidRPr="00483F7D">
        <w:tab/>
        <w:t>Η προσφυγή ασκείται στο κράτος μέλος στο οποίο ελήφθη η απόφαση ή υποβλήθηκε η αίτηση για την έκδοσή της.</w:t>
      </w:r>
    </w:p>
    <w:p w14:paraId="42BAB99C" w14:textId="77777777" w:rsidR="00E0244C" w:rsidRPr="00483F7D" w:rsidRDefault="007A1FD7">
      <w:pPr>
        <w:pStyle w:val="ManualNumPar10"/>
      </w:pPr>
      <w:r w:rsidRPr="00483F7D">
        <w:t>4.</w:t>
      </w:r>
      <w:r w:rsidRPr="00483F7D">
        <w:tab/>
        <w:t>Τα κράτη μέλη διασφαλίζουν ότι η διαδικασία προσφυγής καθιστά δυνατή την ταχεία επιβεβαίωση ή διόρθωση των αποφάσεων που λαμβάνουν οι τελωνειακές αρχές.</w:t>
      </w:r>
    </w:p>
    <w:p w14:paraId="106F5B95" w14:textId="77777777" w:rsidR="00E0244C" w:rsidRPr="00483F7D" w:rsidRDefault="007A1FD7">
      <w:pPr>
        <w:pStyle w:val="Titrearticle"/>
      </w:pPr>
      <w:bookmarkStart w:id="42" w:name="_bill__akn_article_ouIbLI"/>
      <w:bookmarkEnd w:id="42"/>
      <w:r w:rsidRPr="00483F7D">
        <w:t>Άρθρο 17</w:t>
      </w:r>
    </w:p>
    <w:p w14:paraId="1B1928AA" w14:textId="77777777" w:rsidR="00E0244C" w:rsidRPr="00483F7D" w:rsidRDefault="007A1FD7">
      <w:pPr>
        <w:pStyle w:val="NormalCentered"/>
      </w:pPr>
      <w:r w:rsidRPr="00483F7D">
        <w:rPr>
          <w:b/>
        </w:rPr>
        <w:t>Αναστολή της εκτέλεσης</w:t>
      </w:r>
    </w:p>
    <w:p w14:paraId="2F39CAD0" w14:textId="77777777" w:rsidR="00E0244C" w:rsidRPr="00483F7D" w:rsidRDefault="007A1FD7">
      <w:pPr>
        <w:pStyle w:val="ManualNumPar10"/>
      </w:pPr>
      <w:r w:rsidRPr="00483F7D">
        <w:t>1.</w:t>
      </w:r>
      <w:r w:rsidRPr="00483F7D">
        <w:tab/>
        <w:t>Η άσκηση προσφυγής δεν αναστέλλει την εκτέλεση της προσβαλλόμενης απόφασης.</w:t>
      </w:r>
    </w:p>
    <w:p w14:paraId="57266B39" w14:textId="77777777" w:rsidR="00E0244C" w:rsidRPr="00483F7D" w:rsidRDefault="007A1FD7">
      <w:pPr>
        <w:pStyle w:val="ManualNumPar10"/>
      </w:pPr>
      <w:bookmarkStart w:id="43" w:name="_bill__akn_article_ouIbLI_bz5cEz"/>
      <w:bookmarkEnd w:id="43"/>
      <w:r w:rsidRPr="00483F7D">
        <w:t>2.</w:t>
      </w:r>
      <w:r w:rsidRPr="00483F7D">
        <w:tab/>
        <w:t>Ωστόσο, οι τελωνειακές αρχές αναστέλλουν την εκτέλεση της εν λόγω απόφασης, εν όλω ή εν μέρει, εφόσον έχουν βάσιμους λόγους να πιστεύουν ότι η προσβαλλόμενη απόφαση δεν συνάδει με την τελωνειακή νομοθεσία ή όταν υπάρχει κίνδυνος ανεπανόρθωτης ζημίας για τον ενδιαφερόμενο.</w:t>
      </w:r>
    </w:p>
    <w:p w14:paraId="77EC457E" w14:textId="77777777" w:rsidR="00E0244C" w:rsidRPr="00483F7D" w:rsidRDefault="007A1FD7">
      <w:pPr>
        <w:pStyle w:val="ManualNumPar10"/>
      </w:pPr>
      <w:r w:rsidRPr="00483F7D">
        <w:t>3.</w:t>
      </w:r>
      <w:r w:rsidRPr="00483F7D">
        <w:tab/>
        <w:t>Στις περιπτώσεις που αναφέρονται στην παράγραφο 2, όταν η προσβαλλόμενη απόφαση έχει ως αποτέλεσμα να πρέπει να καταβληθεί εισαγωγικός ή εξαγωγικός δασμός, η αναστολή εκτέλεσης της εν λόγω απόφασης εξαρτάται από τη σύσταση εγγύησης, εκτός αν στοιχειοθετείται, βάσει τεκμηριωμένης αξιολόγησης, ότι μια τέτοια εγγύηση ενδέχεται να προκαλέσει σοβαρές οικονομικές δυσχέρειες σε βάρος του οφειλέτη.</w:t>
      </w:r>
    </w:p>
    <w:p w14:paraId="3E32E02B" w14:textId="77777777" w:rsidR="00E0244C" w:rsidRPr="00483F7D" w:rsidRDefault="007A1FD7">
      <w:pPr>
        <w:pStyle w:val="SectionTitle"/>
      </w:pPr>
      <w:r w:rsidRPr="00483F7D">
        <w:t xml:space="preserve">Τμήμα 4 </w:t>
      </w:r>
      <w:r w:rsidRPr="00483F7D">
        <w:br/>
        <w:t>Επιβαρύνσεις και έξοδα</w:t>
      </w:r>
    </w:p>
    <w:p w14:paraId="40CEB2F4" w14:textId="77777777" w:rsidR="00E0244C" w:rsidRPr="00483F7D" w:rsidRDefault="007A1FD7">
      <w:pPr>
        <w:pStyle w:val="Titrearticle"/>
      </w:pPr>
      <w:r w:rsidRPr="00483F7D">
        <w:t>Άρθρο 18</w:t>
      </w:r>
    </w:p>
    <w:p w14:paraId="54B4129B" w14:textId="77777777" w:rsidR="00E0244C" w:rsidRPr="00483F7D" w:rsidRDefault="007A1FD7">
      <w:pPr>
        <w:pStyle w:val="NormalCentered"/>
      </w:pPr>
      <w:r w:rsidRPr="00483F7D">
        <w:rPr>
          <w:b/>
        </w:rPr>
        <w:t>Απαγόρευση επιβαρύνσεων και εξόδων</w:t>
      </w:r>
    </w:p>
    <w:p w14:paraId="1B3AA797" w14:textId="77777777" w:rsidR="00E0244C" w:rsidRPr="00483F7D" w:rsidRDefault="007A1FD7">
      <w:pPr>
        <w:pStyle w:val="ManualNumPar10"/>
      </w:pPr>
      <w:r w:rsidRPr="00483F7D">
        <w:t>1.</w:t>
      </w:r>
      <w:r w:rsidRPr="00483F7D">
        <w:tab/>
        <w:t>Οι τελωνειακές αρχές δεν επιβάλλουν επιβαρύνσεις για τη διεξαγωγή τελωνειακών ελέγχων ή για οποιαδήποτε άλλη εφαρμογή της τελωνειακής νομοθεσίας κατά τις επίσημες ώρες λειτουργίας των αρμόδιων τελωνείων τους.</w:t>
      </w:r>
    </w:p>
    <w:p w14:paraId="343C192F" w14:textId="77777777" w:rsidR="00E0244C" w:rsidRPr="00483F7D" w:rsidRDefault="007A1FD7">
      <w:pPr>
        <w:pStyle w:val="ManualNumPar10"/>
      </w:pPr>
      <w:r w:rsidRPr="00483F7D">
        <w:t>2.</w:t>
      </w:r>
      <w:r w:rsidRPr="00483F7D">
        <w:tab/>
        <w:t>Οι τελωνειακές αρχές μπορούν να επιβάλλουν επιβαρύνσεις ή να προβαίνουν στην είσπραξη εξόδων όταν παρέχονται ειδικές υπηρεσίες, ιδίως οι ακόλουθες:</w:t>
      </w:r>
    </w:p>
    <w:p w14:paraId="009EE4F0" w14:textId="1C3A30EA" w:rsidR="00B938AF" w:rsidRPr="00483F7D" w:rsidRDefault="00BC60FC" w:rsidP="00BC60FC">
      <w:pPr>
        <w:pStyle w:val="Point1"/>
      </w:pPr>
      <w:r w:rsidRPr="00483F7D">
        <w:t>α)</w:t>
      </w:r>
      <w:r w:rsidRPr="00483F7D">
        <w:tab/>
      </w:r>
      <w:r w:rsidR="007A1FD7" w:rsidRPr="00483F7D">
        <w:t>παρουσία, κατόπιν αίτησης, προσωπικού των τελωνείων εκτός των επίσημων ωρών λειτουργίας των τελωνείων ή σε εγκαταστάσεις άλλες από το τελωνειακό κατάστημα·</w:t>
      </w:r>
    </w:p>
    <w:p w14:paraId="6AC17BE3" w14:textId="168B1E1D" w:rsidR="00B938AF" w:rsidRPr="00483F7D" w:rsidRDefault="00BC60FC" w:rsidP="00BC60FC">
      <w:pPr>
        <w:pStyle w:val="Point1"/>
      </w:pPr>
      <w:r w:rsidRPr="00483F7D">
        <w:t>β)</w:t>
      </w:r>
      <w:r w:rsidRPr="00483F7D">
        <w:tab/>
      </w:r>
      <w:r w:rsidR="007A1FD7" w:rsidRPr="00483F7D">
        <w:t xml:space="preserve">αναλύσεις ή εκθέσεις εμπειρογνωμόνων για τα εμπορεύματα και ταχυδρομικά τέλη για την επιστροφή των εμπορευμάτων στον αιτούντα, ιδίως όσον αφορά αποφάσεις που λαμβάνονται σύμφωνα με το άρθρο </w:t>
      </w:r>
      <w:hyperlink w:anchor="__akn_article_j8Pdtu" w:tooltip="Article 13: 13">
        <w:r w:rsidR="007A1FD7" w:rsidRPr="00483F7D">
          <w:rPr>
            <w:rStyle w:val="Hyperlink"/>
          </w:rPr>
          <w:t>13</w:t>
        </w:r>
      </w:hyperlink>
      <w:r w:rsidR="007A1FD7" w:rsidRPr="00483F7D">
        <w:t xml:space="preserve">, ή παροχή πληροφοριών σύμφωνα με το άρθρο </w:t>
      </w:r>
      <w:hyperlink w:anchor="__akn_article_dNlR1j" w:tooltip="Article 39: 39">
        <w:r w:rsidR="007A1FD7" w:rsidRPr="00483F7D">
          <w:rPr>
            <w:rStyle w:val="Hyperlink"/>
          </w:rPr>
          <w:t>39</w:t>
        </w:r>
      </w:hyperlink>
      <w:r w:rsidR="007A1FD7" w:rsidRPr="00483F7D">
        <w:t>·</w:t>
      </w:r>
    </w:p>
    <w:p w14:paraId="1BBAB638" w14:textId="614F545C" w:rsidR="00B938AF" w:rsidRPr="00483F7D" w:rsidRDefault="00BC60FC" w:rsidP="00BC60FC">
      <w:pPr>
        <w:pStyle w:val="Point1"/>
      </w:pPr>
      <w:r w:rsidRPr="00483F7D">
        <w:t>γ)</w:t>
      </w:r>
      <w:r w:rsidRPr="00483F7D">
        <w:tab/>
      </w:r>
      <w:r w:rsidR="007A1FD7" w:rsidRPr="00483F7D">
        <w:t>εξέταση ή δειγματοληψία εμπορευμάτων για λόγους επαλήθευσης, ή καταστροφή εμπορευμάτων, όταν υπεισέρχονται άλλα έξοδα εκτός από αυτά που προκύπτουν από τη χρησιμοποίηση του τελωνειακού προσωπικού·</w:t>
      </w:r>
    </w:p>
    <w:p w14:paraId="64ED3FDC" w14:textId="6F8D162C" w:rsidR="00E0244C" w:rsidRPr="00483F7D" w:rsidRDefault="00BC60FC" w:rsidP="00BC60FC">
      <w:pPr>
        <w:pStyle w:val="Point1"/>
      </w:pPr>
      <w:r w:rsidRPr="00483F7D">
        <w:t>δ)</w:t>
      </w:r>
      <w:r w:rsidRPr="00483F7D">
        <w:tab/>
      </w:r>
      <w:r w:rsidR="007A1FD7" w:rsidRPr="00483F7D">
        <w:t>έκτακτα μέτρα ελέγχου, όταν είναι απαραίτητα λόγω της φύσης των εμπορευμάτων ή λόγω πιθανού κινδύνου.</w:t>
      </w:r>
    </w:p>
    <w:p w14:paraId="7CB7B9A1" w14:textId="77777777" w:rsidR="00E0244C" w:rsidRPr="00483F7D" w:rsidRDefault="007A1FD7">
      <w:pPr>
        <w:pStyle w:val="ChapterTitle"/>
      </w:pPr>
      <w:r w:rsidRPr="00483F7D">
        <w:t xml:space="preserve">Τίτλος II </w:t>
      </w:r>
      <w:r w:rsidRPr="00483F7D">
        <w:br/>
        <w:t>ΥΠΟΧΡΕΩΣΕΙΣ ΚΑΙ ΔΙΚΑΙΩΜΑΤΑ ΠΡΟΣΩΠΩΝ ΟΣΟΝ ΑΦΟΡΑ ΤΗΝ ΤΕΛΩΝΕΙΑΚΗ ΝΟΜΟΘΕΣΙΑ</w:t>
      </w:r>
    </w:p>
    <w:p w14:paraId="2F59461B" w14:textId="77777777" w:rsidR="00E0244C" w:rsidRPr="00483F7D" w:rsidRDefault="007A1FD7">
      <w:pPr>
        <w:pStyle w:val="ChapterTitle"/>
      </w:pPr>
      <w:r w:rsidRPr="00483F7D">
        <w:t xml:space="preserve">Κεφάλαιο 1 </w:t>
      </w:r>
      <w:r w:rsidRPr="00483F7D">
        <w:br/>
        <w:t>Καταχώριση</w:t>
      </w:r>
    </w:p>
    <w:p w14:paraId="0EE353F3" w14:textId="77777777" w:rsidR="00E0244C" w:rsidRPr="00483F7D" w:rsidRDefault="007A1FD7">
      <w:pPr>
        <w:pStyle w:val="Titrearticle"/>
      </w:pPr>
      <w:bookmarkStart w:id="44" w:name="_Hlk132360164"/>
      <w:r w:rsidRPr="00483F7D">
        <w:t>Άρθρο 19</w:t>
      </w:r>
    </w:p>
    <w:p w14:paraId="42185876" w14:textId="77777777" w:rsidR="00E0244C" w:rsidRPr="00483F7D" w:rsidRDefault="007A1FD7">
      <w:pPr>
        <w:pStyle w:val="NormalCentered"/>
      </w:pPr>
      <w:r w:rsidRPr="00483F7D">
        <w:rPr>
          <w:b/>
        </w:rPr>
        <w:t>Καταχώριση</w:t>
      </w:r>
    </w:p>
    <w:p w14:paraId="3B066FC6" w14:textId="77777777" w:rsidR="00E0244C" w:rsidRPr="00483F7D" w:rsidRDefault="007A1FD7">
      <w:pPr>
        <w:pStyle w:val="ManualNumPar10"/>
      </w:pPr>
      <w:r w:rsidRPr="00483F7D">
        <w:t>1.</w:t>
      </w:r>
      <w:r w:rsidRPr="00483F7D">
        <w:tab/>
      </w:r>
      <w:bookmarkStart w:id="45" w:name="_Hlk132360147"/>
      <w:r w:rsidRPr="00483F7D">
        <w:t xml:space="preserve">Οι οικονομικοί φορείς που είναι εγκατεστημένοι στο τελωνειακό έδαφος της Ένωσης καταχωρίζονται στις τελωνειακές αρχές που είναι αρμόδιες για τον τόπο όπου είναι εγκατεστημένοι προκειμένου να λάβουν αριθμό καταχώρισης και ταυτοποίησης οικονομικού φορέα (EORI). Όπου είναι δυνατό, η εν λόγω καταχώριση περιλαμβάνει επίσης την ηλεκτρονική ταυτοποίηση του φορέα στα εθνικά συστήματα ηλεκτρονικής ταυτοποίησης που αναφέρονται στον κανονισμό (ΕΕ) αριθ. 910/2014. </w:t>
      </w:r>
    </w:p>
    <w:p w14:paraId="00FACEA8" w14:textId="77777777" w:rsidR="00E0244C" w:rsidRPr="00483F7D" w:rsidRDefault="007A1FD7">
      <w:pPr>
        <w:pStyle w:val="ManualNumPar10"/>
      </w:pPr>
      <w:r w:rsidRPr="00483F7D">
        <w:t>2.</w:t>
      </w:r>
      <w:r w:rsidRPr="00483F7D">
        <w:tab/>
        <w:t>Οι εγγεγραμμένοι οικονομικοί φορείς ενημερώνουν τις τελωνειακές αρχές για κάθε τροποποίηση των δεδομένων εγγραφής τους, ιδίως όταν αυτό συνεπάγεται τροποποίηση του τόπου εγκατάστασής τους.</w:t>
      </w:r>
    </w:p>
    <w:p w14:paraId="30D6C0B3" w14:textId="77777777" w:rsidR="00E0244C" w:rsidRPr="00483F7D" w:rsidRDefault="007A1FD7">
      <w:pPr>
        <w:pStyle w:val="ManualNumPar10"/>
      </w:pPr>
      <w:r w:rsidRPr="00483F7D">
        <w:t>3.</w:t>
      </w:r>
      <w:r w:rsidRPr="00483F7D">
        <w:tab/>
        <w:t>Σε ειδικές περιπτώσεις, οικονομικοί φορείς που δεν είναι εγκατεστημένοι στο τελωνειακό έδαφος της Ένωσης καταχωρίζονται στις τελωνειακές αρχές που είναι αρμόδιες για τον τόπο όπου υποβάλλουν για πρώτη φορά διασάφηση ή αίτηση απόφασης.</w:t>
      </w:r>
    </w:p>
    <w:p w14:paraId="39AB5950" w14:textId="77777777" w:rsidR="00E0244C" w:rsidRPr="00483F7D" w:rsidRDefault="007A1FD7">
      <w:pPr>
        <w:pStyle w:val="ManualNumPar10"/>
      </w:pPr>
      <w:r w:rsidRPr="00483F7D">
        <w:t>4.</w:t>
      </w:r>
      <w:r w:rsidRPr="00483F7D">
        <w:tab/>
        <w:t>Εκτός αν ορίζεται άλλως, δεν απαιτείται να καταχωρίζονται στις τελωνειακές αρχές άλλα πρόσωπα πλην των οικονομικών φορέων.</w:t>
      </w:r>
    </w:p>
    <w:p w14:paraId="7D8E1F93" w14:textId="77777777" w:rsidR="00E0244C" w:rsidRPr="00483F7D" w:rsidRDefault="007A1FD7">
      <w:pPr>
        <w:pStyle w:val="Text1"/>
      </w:pPr>
      <w:r w:rsidRPr="00483F7D">
        <w:t>Όταν απαιτείται να καταχωριστούν πρόσωπα που αναφέρονται στο πρώτο εδάφιο, ισχύουν τα ακόλουθα:</w:t>
      </w:r>
    </w:p>
    <w:p w14:paraId="505E33E7" w14:textId="535AB96B" w:rsidR="00B938AF" w:rsidRPr="00483F7D" w:rsidRDefault="00BC60FC" w:rsidP="00BC60FC">
      <w:pPr>
        <w:pStyle w:val="Point1"/>
      </w:pPr>
      <w:r w:rsidRPr="00483F7D">
        <w:t>α)</w:t>
      </w:r>
      <w:r w:rsidRPr="00483F7D">
        <w:tab/>
      </w:r>
      <w:r w:rsidR="007A1FD7" w:rsidRPr="00483F7D">
        <w:t>αν είναι εγκατεστημένα στο τελωνειακό έδαφος της Ένωσης, καταχωρίζονται στις τελωνειακές αρχές που είναι αρμόδιες για τον τόπο όπου είναι εγκατεστημένα·</w:t>
      </w:r>
      <w:bookmarkEnd w:id="45"/>
    </w:p>
    <w:p w14:paraId="48F9F52A" w14:textId="6F6B65B9" w:rsidR="00E0244C" w:rsidRPr="00483F7D" w:rsidRDefault="00BC60FC" w:rsidP="00BC60FC">
      <w:pPr>
        <w:pStyle w:val="Point1"/>
      </w:pPr>
      <w:r w:rsidRPr="00483F7D">
        <w:t>β)</w:t>
      </w:r>
      <w:r w:rsidRPr="00483F7D">
        <w:tab/>
      </w:r>
      <w:r w:rsidR="007A1FD7" w:rsidRPr="00483F7D">
        <w:t>αν δεν είναι εγκατεστημένα στο τελωνειακό έδαφος της Ένωσης, καταχωρίζονται στις τελωνειακές αρχές που είναι αρμόδιες για τον τόπο όπου υποβάλλουν για πρώτη φορά διασάφηση ή αίτηση απόφασης.</w:t>
      </w:r>
    </w:p>
    <w:p w14:paraId="383F3AB4" w14:textId="77777777" w:rsidR="00E0244C" w:rsidRPr="00483F7D" w:rsidRDefault="007A1FD7">
      <w:pPr>
        <w:pStyle w:val="ManualNumPar10"/>
      </w:pPr>
      <w:r w:rsidRPr="00483F7D">
        <w:t>5.</w:t>
      </w:r>
      <w:r w:rsidRPr="00483F7D">
        <w:tab/>
        <w:t>Σε ειδικές περιπτώσεις, οι τελωνειακές αρχές ακυρώνουν την καταχώριση. </w:t>
      </w:r>
    </w:p>
    <w:p w14:paraId="6CBBDB30" w14:textId="77777777" w:rsidR="00E0244C" w:rsidRPr="00483F7D" w:rsidRDefault="007A1FD7">
      <w:pPr>
        <w:pStyle w:val="ManualNumPar10"/>
      </w:pPr>
      <w:r w:rsidRPr="00483F7D">
        <w:t>6.</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7DD4AB6F" w14:textId="2165B8F1" w:rsidR="00B938AF" w:rsidRPr="00483F7D" w:rsidRDefault="00BC60FC" w:rsidP="00BC60FC">
      <w:pPr>
        <w:pStyle w:val="Point1"/>
      </w:pPr>
      <w:r w:rsidRPr="00483F7D">
        <w:t>α)</w:t>
      </w:r>
      <w:r w:rsidRPr="00483F7D">
        <w:tab/>
      </w:r>
      <w:r w:rsidR="005B1CDC" w:rsidRPr="00483F7D">
        <w:t>των απαιτήσεων ελάχιστων δεδομένων για την καταχώριση που αναφέρεται στην παράγραφο 1·</w:t>
      </w:r>
    </w:p>
    <w:p w14:paraId="62C1A9D9" w14:textId="58EA2AE4" w:rsidR="00B938AF" w:rsidRPr="00483F7D" w:rsidRDefault="00BC60FC" w:rsidP="00BC60FC">
      <w:pPr>
        <w:pStyle w:val="Point1"/>
      </w:pPr>
      <w:r w:rsidRPr="00483F7D">
        <w:t>β)</w:t>
      </w:r>
      <w:r w:rsidRPr="00483F7D">
        <w:tab/>
      </w:r>
      <w:r w:rsidR="007A1FD7" w:rsidRPr="00483F7D">
        <w:t>των ειδικών περιπτώσεων που αναφέρονται στην παράγραφο 3·</w:t>
      </w:r>
    </w:p>
    <w:p w14:paraId="3A9DD2A8" w14:textId="23C1C692" w:rsidR="00B938AF" w:rsidRPr="00483F7D" w:rsidRDefault="00BC60FC" w:rsidP="00BC60FC">
      <w:pPr>
        <w:pStyle w:val="Point1"/>
      </w:pPr>
      <w:r w:rsidRPr="00483F7D">
        <w:t>γ)</w:t>
      </w:r>
      <w:r w:rsidRPr="00483F7D">
        <w:tab/>
      </w:r>
      <w:r w:rsidR="007A1FD7" w:rsidRPr="00483F7D">
        <w:t>των περιπτώσεων που αναφέρονται στην παράγραφο 4 πρώτο εδάφιο, όταν απαιτείται να καταχωριστούν στις τελωνειακές αρχές άλλα πρόσωπα πλην των οικονομικών φορέων·</w:t>
      </w:r>
    </w:p>
    <w:p w14:paraId="53A7554A" w14:textId="4DF4ED3B" w:rsidR="00B938AF" w:rsidRPr="00483F7D" w:rsidRDefault="00BC60FC" w:rsidP="00BC60FC">
      <w:pPr>
        <w:pStyle w:val="Point1"/>
      </w:pPr>
      <w:r w:rsidRPr="00483F7D">
        <w:t>δ)</w:t>
      </w:r>
      <w:r w:rsidRPr="00483F7D">
        <w:tab/>
      </w:r>
      <w:r w:rsidR="007A1FD7" w:rsidRPr="00483F7D">
        <w:t>των ειδικών περιπτώσεων που αναφέρονται στην παράγραφο 5, όταν οι τελωνειακές αρχές ακυρώνουν μια καταχώριση·</w:t>
      </w:r>
      <w:bookmarkEnd w:id="44"/>
    </w:p>
    <w:p w14:paraId="557FE50D" w14:textId="3218C2D5" w:rsidR="00E0244C" w:rsidRPr="00483F7D" w:rsidRDefault="00BC60FC" w:rsidP="00BC60FC">
      <w:pPr>
        <w:pStyle w:val="Point1"/>
      </w:pPr>
      <w:r w:rsidRPr="00483F7D">
        <w:t>ε)</w:t>
      </w:r>
      <w:r w:rsidRPr="00483F7D">
        <w:tab/>
      </w:r>
      <w:r w:rsidR="007A1FD7" w:rsidRPr="00483F7D">
        <w:t>της τελωνειακής αρχής που είναι αρμόδια για την καταχώριση.</w:t>
      </w:r>
    </w:p>
    <w:p w14:paraId="26831684" w14:textId="77777777" w:rsidR="00D468B3" w:rsidRPr="00483F7D" w:rsidRDefault="00D468B3" w:rsidP="0031659F">
      <w:pPr>
        <w:pStyle w:val="Point1"/>
        <w:ind w:left="720" w:hanging="720"/>
      </w:pPr>
      <w:r w:rsidRPr="00483F7D">
        <w:t>7.</w:t>
      </w:r>
      <w:r w:rsidRPr="00483F7D">
        <w:tab/>
        <w:t>Η Επιτροπή ορίζει, με εκτελεστικές πράξεις, την τελωνειακή αρχή που είναι αρμόδια για την καταχώριση που αναφέρεται στην παράγραφο 1. Οι εν λόγω εκτελεστικές πράξεις εκδίδονται σύμφωνα με τη συμβουλευτική διαδικασία που αναφέρεται στο άρθρο 262 παράγραφος 2.</w:t>
      </w:r>
    </w:p>
    <w:p w14:paraId="0E0383EC" w14:textId="77777777" w:rsidR="00E0244C" w:rsidRPr="00483F7D" w:rsidRDefault="007A1FD7">
      <w:pPr>
        <w:pStyle w:val="ChapterTitle"/>
      </w:pPr>
      <w:r w:rsidRPr="00483F7D">
        <w:t xml:space="preserve">Κεφάλαιο 2 </w:t>
      </w:r>
      <w:r w:rsidRPr="00483F7D">
        <w:br/>
        <w:t>Εισαγωγείς και θεωρούμενοι εισαγωγείς</w:t>
      </w:r>
    </w:p>
    <w:p w14:paraId="37E8B087" w14:textId="77777777" w:rsidR="00E0244C" w:rsidRPr="00483F7D" w:rsidRDefault="007A1FD7">
      <w:pPr>
        <w:pStyle w:val="Titrearticle"/>
      </w:pPr>
      <w:bookmarkStart w:id="46" w:name="_Hlk132360195"/>
      <w:r w:rsidRPr="00483F7D">
        <w:t>Άρθρο 20</w:t>
      </w:r>
    </w:p>
    <w:p w14:paraId="74C902EE" w14:textId="77777777" w:rsidR="00E0244C" w:rsidRPr="00483F7D" w:rsidRDefault="007A1FD7">
      <w:pPr>
        <w:pStyle w:val="NormalCentered"/>
      </w:pPr>
      <w:r w:rsidRPr="00483F7D">
        <w:rPr>
          <w:b/>
        </w:rPr>
        <w:t>Εισαγωγείς</w:t>
      </w:r>
    </w:p>
    <w:p w14:paraId="5E826722" w14:textId="77777777" w:rsidR="00E0244C" w:rsidRPr="00483F7D" w:rsidRDefault="007A1FD7">
      <w:pPr>
        <w:pStyle w:val="ManualNumPar10"/>
      </w:pPr>
      <w:r w:rsidRPr="00483F7D">
        <w:t>1.</w:t>
      </w:r>
      <w:r w:rsidRPr="00483F7D">
        <w:tab/>
        <w:t>Ο εισαγωγέας συμμορφώνεται με τις ακόλουθες υποχρεώσεις:</w:t>
      </w:r>
    </w:p>
    <w:p w14:paraId="4BBB7B29" w14:textId="4AAAA82F" w:rsidR="00B938AF" w:rsidRPr="00483F7D" w:rsidRDefault="00BC60FC" w:rsidP="00BC60FC">
      <w:pPr>
        <w:pStyle w:val="Point1"/>
      </w:pPr>
      <w:r w:rsidRPr="00483F7D">
        <w:t>α)</w:t>
      </w:r>
      <w:r w:rsidRPr="00483F7D">
        <w:tab/>
      </w:r>
      <w:r w:rsidR="007A1FD7" w:rsidRPr="00483F7D">
        <w:t xml:space="preserve">την παροχή, την τήρηση και τη διάθεση στις τελωνειακές αρχές, αμέσως μόλις καταστούν διαθέσιμες και σε κάθε περίπτωση πριν από την παράδοση των εμπορευμάτων, όλων των πληροφοριών που απαιτούνται για την αποθήκευση ή το τελωνειακό καθεστώς στο οποίο πρόκειται να υπαχθούν τα εμπορεύματα σύμφωνα με τα άρθρα </w:t>
      </w:r>
      <w:hyperlink w:anchor="__akn_article_YeZ4od" w:tooltip="Articles 88, 118, 132 and 135: 88">
        <w:r w:rsidR="007A1FD7" w:rsidRPr="00483F7D">
          <w:rPr>
            <w:rStyle w:val="Hyperlink"/>
          </w:rPr>
          <w:t>88</w:t>
        </w:r>
      </w:hyperlink>
      <w:r w:rsidR="007A1FD7" w:rsidRPr="00483F7D">
        <w:t xml:space="preserve">, </w:t>
      </w:r>
      <w:hyperlink w:anchor="__akn_article_EVW1Pv" w:tooltip="Articles 88, 118, 132 and 135: 118">
        <w:r w:rsidR="007A1FD7" w:rsidRPr="00483F7D">
          <w:rPr>
            <w:rStyle w:val="Hyperlink"/>
          </w:rPr>
          <w:t>118</w:t>
        </w:r>
      </w:hyperlink>
      <w:r w:rsidR="007A1FD7" w:rsidRPr="00483F7D">
        <w:t xml:space="preserve">, </w:t>
      </w:r>
      <w:hyperlink w:anchor="__akn_article_dVslcy" w:tooltip="Articles 88, 118, 132 and 135: 132">
        <w:r w:rsidR="007A1FD7" w:rsidRPr="00483F7D">
          <w:rPr>
            <w:rStyle w:val="Hyperlink"/>
          </w:rPr>
          <w:t>132</w:t>
        </w:r>
      </w:hyperlink>
      <w:r w:rsidR="007A1FD7" w:rsidRPr="00483F7D">
        <w:t xml:space="preserve"> και </w:t>
      </w:r>
      <w:hyperlink w:anchor="__akn_article_B55LHZ" w:tooltip="Articles 88, 118, 132 and 135: 135">
        <w:r w:rsidR="007A1FD7" w:rsidRPr="00483F7D">
          <w:rPr>
            <w:rStyle w:val="Hyperlink"/>
          </w:rPr>
          <w:t>135</w:t>
        </w:r>
      </w:hyperlink>
      <w:r w:rsidR="007A1FD7" w:rsidRPr="00483F7D">
        <w:t>, ή για την εκκαθάριση του καθεστώτος τελειοποίησης προς επανεισαγωγή·</w:t>
      </w:r>
    </w:p>
    <w:p w14:paraId="7270BEBD" w14:textId="35E10701" w:rsidR="00B938AF" w:rsidRPr="00483F7D" w:rsidRDefault="00BC60FC" w:rsidP="00BC60FC">
      <w:pPr>
        <w:pStyle w:val="Point1"/>
      </w:pPr>
      <w:r w:rsidRPr="00483F7D">
        <w:t>β)</w:t>
      </w:r>
      <w:r w:rsidRPr="00483F7D">
        <w:tab/>
      </w:r>
      <w:r w:rsidR="007A1FD7" w:rsidRPr="00483F7D">
        <w:t>τη διασφάλιση του ορθού υπολογισμού και της καταβολής των τελωνειακών δασμών και τυχόν λοιπών επιβαρύνσεων που επιβάλλονται·</w:t>
      </w:r>
    </w:p>
    <w:p w14:paraId="6A52599C" w14:textId="06405C8E" w:rsidR="00B938AF" w:rsidRPr="00483F7D" w:rsidRDefault="00BC60FC" w:rsidP="00BC60FC">
      <w:pPr>
        <w:pStyle w:val="Point1"/>
      </w:pPr>
      <w:r w:rsidRPr="00483F7D">
        <w:t>γ)</w:t>
      </w:r>
      <w:r w:rsidRPr="00483F7D">
        <w:tab/>
      </w:r>
      <w:r w:rsidR="007A1FD7" w:rsidRPr="00483F7D">
        <w:t>τη διασφάλιση της συμμόρφωσης των εμπορευμάτων που εισέρχονται στο τελωνειακό έδαφος της Ένωσης ή εξέρχονται από αυτό με τη σχετική λοιπή νομοθεσία που εφαρμόζεται από τις τελωνειακές αρχές και την παροχή, τήρηση και διάθεση κατάλληλων αρχείων για την εν λόγω συμμόρφωση·</w:t>
      </w:r>
    </w:p>
    <w:p w14:paraId="7444A6BC" w14:textId="42A4C51D" w:rsidR="00E0244C" w:rsidRPr="00483F7D" w:rsidRDefault="00BC60FC" w:rsidP="00BC60FC">
      <w:pPr>
        <w:pStyle w:val="Point1"/>
      </w:pPr>
      <w:r w:rsidRPr="00483F7D">
        <w:t>δ)</w:t>
      </w:r>
      <w:r w:rsidRPr="00483F7D">
        <w:tab/>
      </w:r>
      <w:r w:rsidR="007A1FD7" w:rsidRPr="00483F7D">
        <w:t>κάθε άλλη υποχρέωση του εισαγωγέα που προβλέπεται στην τελωνειακή νομοθεσία.</w:t>
      </w:r>
    </w:p>
    <w:p w14:paraId="08BD7E2D" w14:textId="77777777" w:rsidR="00E0244C" w:rsidRPr="00483F7D" w:rsidRDefault="007A1FD7">
      <w:pPr>
        <w:pStyle w:val="ManualNumPar10"/>
      </w:pPr>
      <w:r w:rsidRPr="00483F7D">
        <w:t>2.</w:t>
      </w:r>
      <w:r w:rsidRPr="00483F7D">
        <w:tab/>
        <w:t>Ο εισαγωγέας είναι εγκατεστημένος στο τελωνειακό έδαφος της Ένωσης.</w:t>
      </w:r>
    </w:p>
    <w:p w14:paraId="689E2BD5" w14:textId="77777777" w:rsidR="00E0244C" w:rsidRPr="00483F7D" w:rsidRDefault="007A1FD7">
      <w:pPr>
        <w:pStyle w:val="ManualNumPar10"/>
      </w:pPr>
      <w:r w:rsidRPr="00483F7D">
        <w:t>3.</w:t>
      </w:r>
      <w:r w:rsidRPr="00483F7D">
        <w:tab/>
        <w:t>Κατά παρέκκλιση από την παράγραφο 2, οι ακόλουθοι εισαγωγείς ή τα ακόλουθα πρόσωπα δεν απαιτείται να είναι εγκατεστημένοι στο τελωνειακό έδαφος της Ένωσης:</w:t>
      </w:r>
    </w:p>
    <w:p w14:paraId="17048005" w14:textId="3BF07234" w:rsidR="00B938AF" w:rsidRPr="00483F7D" w:rsidRDefault="00BC60FC" w:rsidP="00BC60FC">
      <w:pPr>
        <w:pStyle w:val="Point1"/>
      </w:pPr>
      <w:r w:rsidRPr="00483F7D">
        <w:t>α)</w:t>
      </w:r>
      <w:r w:rsidRPr="00483F7D">
        <w:tab/>
      </w:r>
      <w:r w:rsidR="007A1FD7" w:rsidRPr="00483F7D">
        <w:t>εισαγωγέας που θέτει εμπορεύματα υπό διαμετακόμιση ή προσωρινή εισαγωγή·</w:t>
      </w:r>
    </w:p>
    <w:p w14:paraId="22AFFA0A" w14:textId="62102BD5" w:rsidR="00B938AF" w:rsidRPr="00483F7D" w:rsidRDefault="00BC60FC" w:rsidP="00BC60FC">
      <w:pPr>
        <w:pStyle w:val="Point1"/>
      </w:pPr>
      <w:r w:rsidRPr="00483F7D">
        <w:t>β)</w:t>
      </w:r>
      <w:r w:rsidRPr="00483F7D">
        <w:tab/>
      </w:r>
      <w:r w:rsidR="007A1FD7" w:rsidRPr="00483F7D">
        <w:t>εισαγωγέας που μεταφέρει εμπορεύματα τα οποία παραμένουν σε προσωρινή εναπόθεση·</w:t>
      </w:r>
    </w:p>
    <w:p w14:paraId="54180A47" w14:textId="261C3611" w:rsidR="00B938AF" w:rsidRPr="00483F7D" w:rsidRDefault="00BC60FC" w:rsidP="00BC60FC">
      <w:pPr>
        <w:pStyle w:val="Point1"/>
      </w:pPr>
      <w:r w:rsidRPr="00483F7D">
        <w:t>γ)</w:t>
      </w:r>
      <w:r w:rsidRPr="00483F7D">
        <w:tab/>
      </w:r>
      <w:r w:rsidR="007A1FD7" w:rsidRPr="00483F7D">
        <w:t>πρόσωπα τα οποία, περιστασιακά, υπάγουν εμπορεύματα σε τελωνειακά καθεστώτα, εφόσον οι τελωνειακές αρχές θεωρούν ότι η υπαγωγή αυτή είναι δικαιολογημένη·</w:t>
      </w:r>
    </w:p>
    <w:p w14:paraId="394F2BEC" w14:textId="587DD932" w:rsidR="00B938AF" w:rsidRPr="00483F7D" w:rsidRDefault="00BC60FC" w:rsidP="00BC60FC">
      <w:pPr>
        <w:pStyle w:val="Point1"/>
      </w:pPr>
      <w:r w:rsidRPr="00483F7D">
        <w:t>δ)</w:t>
      </w:r>
      <w:r w:rsidRPr="00483F7D">
        <w:tab/>
      </w:r>
      <w:r w:rsidR="007A1FD7" w:rsidRPr="00483F7D">
        <w:t>πρόσωπα που είναι εγκατεστημένα σε χώρα της οποίας το έδαφος συνορεύει με το τελωνειακό έδαφος της Ένωσης και προσκομίζουν τα εμπορεύματα σε ενωσιακό μεθοριακό τελωνείο που βρίσκεται στα σύνορα με την εν λόγω χώρα, εφόσον η χώρα στην οποία είναι εγκατεστημένα τα πρόσωπα επιτρέπει στα πρόσωπα που είναι εγκατεστημένα στο τελωνειακό έδαφος της Ένωσης να επωφελούνται από την αρχή της αμοιβαιότητας·</w:t>
      </w:r>
    </w:p>
    <w:p w14:paraId="2D54C651" w14:textId="4CDBB9C1" w:rsidR="00E0244C" w:rsidRPr="00483F7D" w:rsidRDefault="00BC60FC" w:rsidP="00BC60FC">
      <w:pPr>
        <w:pStyle w:val="Point1"/>
      </w:pPr>
      <w:r w:rsidRPr="00483F7D">
        <w:t>ε)</w:t>
      </w:r>
      <w:r w:rsidRPr="00483F7D">
        <w:tab/>
      </w:r>
      <w:r w:rsidR="007A1FD7" w:rsidRPr="00483F7D">
        <w:t>θεωρούμενος εισαγωγέας που εκπροσωπείται από έμμεσο αντιπρόσωπο εγκατεστημένο στο τελωνειακό έδαφος της Ένωσης. </w:t>
      </w:r>
    </w:p>
    <w:p w14:paraId="2848D324" w14:textId="77777777" w:rsidR="00E0244C" w:rsidRPr="00483F7D" w:rsidRDefault="007A1FD7">
      <w:pPr>
        <w:pStyle w:val="Titrearticle"/>
      </w:pPr>
      <w:bookmarkStart w:id="47" w:name="__akn_article_1KI8m9"/>
      <w:bookmarkEnd w:id="46"/>
      <w:bookmarkEnd w:id="47"/>
      <w:r w:rsidRPr="00483F7D">
        <w:t>Άρθρο 21</w:t>
      </w:r>
    </w:p>
    <w:p w14:paraId="0CD8CB05" w14:textId="77777777" w:rsidR="00E0244C" w:rsidRPr="00483F7D" w:rsidRDefault="007A1FD7">
      <w:pPr>
        <w:pStyle w:val="NormalCentered"/>
      </w:pPr>
      <w:r w:rsidRPr="00483F7D">
        <w:rPr>
          <w:b/>
        </w:rPr>
        <w:t>Θεωρούμενοι εισαγωγείς</w:t>
      </w:r>
    </w:p>
    <w:p w14:paraId="73F14878" w14:textId="77777777" w:rsidR="00E0244C" w:rsidRPr="00483F7D" w:rsidRDefault="007A1FD7">
      <w:pPr>
        <w:pStyle w:val="ManualNumPar10"/>
      </w:pPr>
      <w:r w:rsidRPr="00483F7D">
        <w:t>1.</w:t>
      </w:r>
      <w:r w:rsidRPr="00483F7D">
        <w:tab/>
        <w:t xml:space="preserve">Κατά παρέκκλιση από το άρθρο 20 παράγραφος 1 στοιχείο </w:t>
      </w:r>
      <w:hyperlink w:anchor="_bill__akn_article_XHAN8y_10c6Dp" w:tooltip="Article 20(1), point (a): (a)">
        <w:r w:rsidRPr="00483F7D">
          <w:rPr>
            <w:rStyle w:val="Hyperlink"/>
          </w:rPr>
          <w:t>α)</w:t>
        </w:r>
      </w:hyperlink>
      <w:r w:rsidRPr="00483F7D">
        <w:t>, οι θεωρούμενοι εισαγωγείς παρέχουν ή καθιστούν διαθέσιμες τις πληροφορίες σχετικά με τις εξ αποστάσεως πωλήσεις εμπορευμάτων που πρόκειται να εισαχθούν στο τελωνειακό έδαφος της Ένωσης το αργότερο την επομένη της ημερομηνίας αποδοχής της πληρωμής και, σε κάθε περίπτωση, πριν από την παράδοση των εμπορευμάτων.</w:t>
      </w:r>
    </w:p>
    <w:p w14:paraId="0A7612A4" w14:textId="77777777" w:rsidR="00E0244C" w:rsidRPr="00483F7D" w:rsidRDefault="007A1FD7">
      <w:pPr>
        <w:pStyle w:val="ManualNumPar10"/>
      </w:pPr>
      <w:r w:rsidRPr="00483F7D">
        <w:t>2.</w:t>
      </w:r>
      <w:r w:rsidRPr="00483F7D">
        <w:tab/>
        <w:t xml:space="preserve">Με την επιφύλαξη των πληροφοριών που απαιτούνται για τη θέση των εμπορευμάτων σε ελεύθερη κυκλοφορία σύμφωνα με το άρθρο 88 παράγραφος </w:t>
      </w:r>
      <w:hyperlink w:anchor="__akn_article_YeZ4od_lRiUjo" w:tooltip="Article 88(3): (3)">
        <w:r w:rsidRPr="00483F7D">
          <w:rPr>
            <w:rStyle w:val="Hyperlink"/>
          </w:rPr>
          <w:t>3</w:t>
        </w:r>
      </w:hyperlink>
      <w:r w:rsidRPr="00483F7D">
        <w:rPr>
          <w:rStyle w:val="Hyperlink"/>
        </w:rPr>
        <w:t xml:space="preserve"> στοιχείο α)</w:t>
      </w:r>
      <w:r w:rsidRPr="00483F7D">
        <w:t>, οι πληροφορίες που αναφέρονται στην παράγραφο 1 του παρόντος άρθρου περιέχουν τουλάχιστον τις απαιτήσεις που ορίζονται στο άρθρο 63γ παράγραφος 2 του εκτελεστικού κανονισμού (ΕΕ) αριθ. 282/2011.</w:t>
      </w:r>
    </w:p>
    <w:p w14:paraId="6EB5D88B" w14:textId="77777777" w:rsidR="00E0244C" w:rsidRPr="00483F7D" w:rsidRDefault="007A1FD7">
      <w:pPr>
        <w:pStyle w:val="ManualNumPar10"/>
      </w:pPr>
      <w:r w:rsidRPr="00483F7D">
        <w:t>3.</w:t>
      </w:r>
      <w:r w:rsidRPr="00483F7D">
        <w:tab/>
        <w:t>Όταν εμπορεύματα που είχαν προηγουμένως εισαχθεί από θεωρούμενο εισαγωγέα στο πλαίσιο εξ αποστάσεως πωλήσεων επιστρέφονται στη διεύθυνση του αρχικού αποστολέα ή σε άλλη διεύθυνση εκτός του τελωνειακού εδάφους της Ένωσης, ο θεωρούμενος εισαγωγέας ακυρώνει τις πληροφορίες σχετικά με τη θέση των εν λόγω εμπορευμάτων σε ελεύθερη κυκλοφορία και παρέχει ή καθιστά διαθέσιμο το αποδεικτικό εξόδου των εμπορευμάτων από το τελωνειακό έδαφος της Ένωσης.</w:t>
      </w:r>
    </w:p>
    <w:p w14:paraId="51414AD3" w14:textId="77777777" w:rsidR="00E0244C" w:rsidRPr="00483F7D" w:rsidRDefault="007A1FD7">
      <w:pPr>
        <w:pStyle w:val="ChapterTitle"/>
      </w:pPr>
      <w:bookmarkStart w:id="48" w:name="_Hlk132360232"/>
      <w:r w:rsidRPr="00483F7D">
        <w:t xml:space="preserve">Κεφάλαιο 3 </w:t>
      </w:r>
      <w:r w:rsidRPr="00483F7D">
        <w:br/>
        <w:t>Εξαγωγέας</w:t>
      </w:r>
    </w:p>
    <w:p w14:paraId="50E06415" w14:textId="77777777" w:rsidR="00E0244C" w:rsidRPr="00483F7D" w:rsidRDefault="007A1FD7">
      <w:pPr>
        <w:pStyle w:val="Titrearticle"/>
      </w:pPr>
      <w:r w:rsidRPr="00483F7D">
        <w:t>Άρθρο 22</w:t>
      </w:r>
    </w:p>
    <w:p w14:paraId="4B6C54E4" w14:textId="77777777" w:rsidR="00E0244C" w:rsidRPr="00483F7D" w:rsidRDefault="007A1FD7">
      <w:pPr>
        <w:pStyle w:val="NormalCentered"/>
      </w:pPr>
      <w:r w:rsidRPr="00483F7D">
        <w:rPr>
          <w:b/>
        </w:rPr>
        <w:t>Εξαγωγείς</w:t>
      </w:r>
    </w:p>
    <w:p w14:paraId="160191D0" w14:textId="77777777" w:rsidR="00E0244C" w:rsidRPr="00483F7D" w:rsidRDefault="007A1FD7">
      <w:pPr>
        <w:pStyle w:val="ManualNumPar10"/>
      </w:pPr>
      <w:r w:rsidRPr="00483F7D">
        <w:t>1.</w:t>
      </w:r>
      <w:r w:rsidRPr="00483F7D">
        <w:tab/>
        <w:t>Ο εξαγωγέας συμμορφώνεται με τις ακόλουθες υποχρεώσεις:</w:t>
      </w:r>
    </w:p>
    <w:p w14:paraId="55438A04" w14:textId="3A79ED83" w:rsidR="00E75E0F" w:rsidRPr="00483F7D" w:rsidRDefault="00BC60FC" w:rsidP="00BC60FC">
      <w:pPr>
        <w:pStyle w:val="Point1"/>
      </w:pPr>
      <w:r w:rsidRPr="00483F7D">
        <w:t>α)</w:t>
      </w:r>
      <w:r w:rsidRPr="00483F7D">
        <w:tab/>
      </w:r>
      <w:r w:rsidR="007A1FD7" w:rsidRPr="00483F7D">
        <w:t xml:space="preserve">την παροχή, τη τήρηση και τη διάθεση στις τελωνειακές αρχές, αμέσως μόλις καταστούν διαθέσιμες και σε κάθε περίπτωση πριν από την παράδοση των εμπορευμάτων, όλων των πληροφοριών που απαιτούνται για το τελωνειακό καθεστώς στο οποίο υπάγονται τα εμπορεύματα σύμφωνα με το άρθρο </w:t>
      </w:r>
      <w:hyperlink w:anchor="__akn_article_buGHiV" w:tooltip="Article 99: 99">
        <w:r w:rsidR="007A1FD7" w:rsidRPr="00483F7D">
          <w:rPr>
            <w:rStyle w:val="Hyperlink"/>
          </w:rPr>
          <w:t>99</w:t>
        </w:r>
      </w:hyperlink>
      <w:r w:rsidR="007A1FD7" w:rsidRPr="00483F7D">
        <w:t xml:space="preserve"> και το άρθρο </w:t>
      </w:r>
      <w:hyperlink w:anchor="__akn_article_kMrONf" w:tooltip="Article 140: 140">
        <w:r w:rsidR="007A1FD7" w:rsidRPr="00483F7D">
          <w:rPr>
            <w:rStyle w:val="Hyperlink"/>
          </w:rPr>
          <w:t>140</w:t>
        </w:r>
      </w:hyperlink>
      <w:r w:rsidR="007A1FD7" w:rsidRPr="00483F7D">
        <w:t xml:space="preserve"> ή για την εκκαθάριση του καθεστώτος προσωρινής εισαγωγής·</w:t>
      </w:r>
    </w:p>
    <w:p w14:paraId="1B1290CD" w14:textId="5318CE2A" w:rsidR="00E75E0F" w:rsidRPr="00483F7D" w:rsidRDefault="00BC60FC" w:rsidP="00BC60FC">
      <w:pPr>
        <w:pStyle w:val="Point1"/>
      </w:pPr>
      <w:r w:rsidRPr="00483F7D">
        <w:t>β)</w:t>
      </w:r>
      <w:r w:rsidRPr="00483F7D">
        <w:tab/>
      </w:r>
      <w:r w:rsidR="007A1FD7" w:rsidRPr="00483F7D">
        <w:t>τη διασφάλιση του ορθού υπολογισμού και της είσπραξης των τελωνειακών δασμών και τυχόν λοιπών επιβαρύνσεων, κατά περίπτωση·</w:t>
      </w:r>
    </w:p>
    <w:p w14:paraId="3249B7AE" w14:textId="16859536" w:rsidR="00E75E0F" w:rsidRPr="00483F7D" w:rsidRDefault="00BC60FC" w:rsidP="00BC60FC">
      <w:pPr>
        <w:pStyle w:val="Point1"/>
      </w:pPr>
      <w:r w:rsidRPr="00483F7D">
        <w:t>γ)</w:t>
      </w:r>
      <w:r w:rsidRPr="00483F7D">
        <w:tab/>
      </w:r>
      <w:r w:rsidR="007A1FD7" w:rsidRPr="00483F7D">
        <w:t>τη διασφάλιση της συμμόρφωσης των εμπορευμάτων που εισέρχονται στο τελωνειακό έδαφος της Ένωσης ή εξέρχονται από αυτό με τη σχετική λοιπή νομοθεσία που εφαρμόζεται από τις τελωνειακές αρχές και την παροχή, τήρηση και διάθεση κατάλληλων αρχείων για την εν λόγω συμμόρφωση·</w:t>
      </w:r>
    </w:p>
    <w:p w14:paraId="51185252" w14:textId="5A92E7C4" w:rsidR="00E0244C" w:rsidRPr="00483F7D" w:rsidRDefault="00BC60FC" w:rsidP="00BC60FC">
      <w:pPr>
        <w:pStyle w:val="Point1"/>
      </w:pPr>
      <w:r w:rsidRPr="00483F7D">
        <w:t>δ)</w:t>
      </w:r>
      <w:r w:rsidRPr="00483F7D">
        <w:tab/>
      </w:r>
      <w:r w:rsidR="007A1FD7" w:rsidRPr="00483F7D">
        <w:t>κάθε άλλη υποχρέωση που προβλέπεται στην τελωνειακή νομοθεσία.</w:t>
      </w:r>
    </w:p>
    <w:p w14:paraId="2D1AF1E7" w14:textId="77777777" w:rsidR="00E0244C" w:rsidRPr="00483F7D" w:rsidRDefault="007A1FD7">
      <w:pPr>
        <w:pStyle w:val="ManualNumPar10"/>
      </w:pPr>
      <w:r w:rsidRPr="00483F7D">
        <w:t>2.</w:t>
      </w:r>
      <w:r w:rsidRPr="00483F7D">
        <w:tab/>
        <w:t>Ο εξαγωγέας είναι εγκατεστημένος στο τελωνειακό έδαφος της Ένωσης.</w:t>
      </w:r>
    </w:p>
    <w:p w14:paraId="7DBEE3C9" w14:textId="77777777" w:rsidR="00E0244C" w:rsidRPr="00483F7D" w:rsidRDefault="007A1FD7">
      <w:pPr>
        <w:pStyle w:val="ManualNumPar10"/>
      </w:pPr>
      <w:r w:rsidRPr="00483F7D">
        <w:t>3.</w:t>
      </w:r>
      <w:r w:rsidRPr="00483F7D">
        <w:tab/>
        <w:t>Κατά παρέκκλιση από την παράγραφο 2, οι ακόλουθοι εξαγωγείς δεν απαιτείται να είναι εγκατεστημένοι στο τελωνειακό έδαφος της Ένωσης:</w:t>
      </w:r>
    </w:p>
    <w:p w14:paraId="1F35910E" w14:textId="655D6E69" w:rsidR="00E75E0F" w:rsidRPr="00483F7D" w:rsidRDefault="00BC60FC" w:rsidP="00BC60FC">
      <w:pPr>
        <w:pStyle w:val="Point1"/>
      </w:pPr>
      <w:r w:rsidRPr="00483F7D">
        <w:t>α)</w:t>
      </w:r>
      <w:r w:rsidRPr="00483F7D">
        <w:tab/>
      </w:r>
      <w:r w:rsidR="007A1FD7" w:rsidRPr="00483F7D">
        <w:t>εξαγωγέας που θέτει υπό διαμετακόμιση εμπορεύματα, εκκαθαρίζει το καθεστώς προσωρινής εισαγωγής ή εξάγει εμπορεύματα που βρίσκονταν σε καθεστώς προσωρινής εναπόθεσης·</w:t>
      </w:r>
    </w:p>
    <w:p w14:paraId="650A8373" w14:textId="5208143A" w:rsidR="00E75E0F" w:rsidRPr="00483F7D" w:rsidRDefault="00BC60FC" w:rsidP="00BC60FC">
      <w:pPr>
        <w:pStyle w:val="Point1"/>
      </w:pPr>
      <w:r w:rsidRPr="00483F7D">
        <w:t>β)</w:t>
      </w:r>
      <w:r w:rsidRPr="00483F7D">
        <w:tab/>
      </w:r>
      <w:r w:rsidR="007A1FD7" w:rsidRPr="00483F7D">
        <w:t>πρόσωπα τα οποία, περιστασιακά, υπάγουν εμπορεύματα σε τελωνειακά καθεστώτα, εφόσον οι τελωνειακές αρχές θεωρούν ότι η υπαγωγή αυτή είναι δικαιολογημένη·</w:t>
      </w:r>
    </w:p>
    <w:p w14:paraId="5F61C9E9" w14:textId="27B9C64D" w:rsidR="00E0244C" w:rsidRPr="00483F7D" w:rsidRDefault="00BC60FC" w:rsidP="00BC60FC">
      <w:pPr>
        <w:pStyle w:val="Point1"/>
      </w:pPr>
      <w:r w:rsidRPr="00483F7D">
        <w:t>γ)</w:t>
      </w:r>
      <w:r w:rsidRPr="00483F7D">
        <w:tab/>
      </w:r>
      <w:r w:rsidR="007A1FD7" w:rsidRPr="00483F7D">
        <w:t>πρόσωπα που είναι εγκατεστημένα σε χώρα της οποίας το έδαφος συνορεύει με το τελωνειακό έδαφος της Ένωσης και προσκομίζουν τα εμπορεύματα σε ενωσιακό μεθοριακό τελωνείο που βρίσκεται στα σύνορα με την εν λόγω χώρα, εφόσον η χώρα στην οποία είναι εγκατεστημένα τα πρόσωπα επιτρέπει στα πρόσωπα που είναι εγκατεστημένα στο τελωνειακό έδαφος της Ένωσης να επωφελούνται από την αρχή της αμοιβαιότητας. </w:t>
      </w:r>
    </w:p>
    <w:bookmarkEnd w:id="48"/>
    <w:p w14:paraId="458BE881" w14:textId="77777777" w:rsidR="00E0244C" w:rsidRPr="00483F7D" w:rsidRDefault="007A1FD7">
      <w:pPr>
        <w:pStyle w:val="ChapterTitle"/>
      </w:pPr>
      <w:r w:rsidRPr="00483F7D">
        <w:t xml:space="preserve">Κεφάλαιο 4 </w:t>
      </w:r>
      <w:r w:rsidRPr="00483F7D">
        <w:br/>
        <w:t>Εγκεκριμένος οικονομικός φορέας και αξιόπιστοι και ελεγμένοι (Trust and Check) συναλλασσόμενοι</w:t>
      </w:r>
    </w:p>
    <w:p w14:paraId="2363762E" w14:textId="77777777" w:rsidR="00E0244C" w:rsidRPr="00483F7D" w:rsidRDefault="007A1FD7">
      <w:pPr>
        <w:pStyle w:val="Titrearticle"/>
      </w:pPr>
      <w:r w:rsidRPr="00483F7D">
        <w:t>Άρθρο 23</w:t>
      </w:r>
    </w:p>
    <w:p w14:paraId="39B989F8" w14:textId="77777777" w:rsidR="00E0244C" w:rsidRPr="00483F7D" w:rsidRDefault="007A1FD7">
      <w:pPr>
        <w:pStyle w:val="NormalCentered"/>
      </w:pPr>
      <w:r w:rsidRPr="00483F7D">
        <w:rPr>
          <w:b/>
        </w:rPr>
        <w:t>Αίτηση και άδεια σχετικά με τον εγκεκριμένο οικονομικό φορέα</w:t>
      </w:r>
    </w:p>
    <w:p w14:paraId="1DEEBEF8" w14:textId="77777777" w:rsidR="00E0244C" w:rsidRPr="00483F7D" w:rsidRDefault="007A1FD7">
      <w:pPr>
        <w:pStyle w:val="ManualNumPar10"/>
      </w:pPr>
      <w:r w:rsidRPr="00483F7D">
        <w:t>1.</w:t>
      </w:r>
      <w:r w:rsidRPr="00483F7D">
        <w:tab/>
        <w:t xml:space="preserve">Πρόσωπο που κατοικεί, έχει συσταθεί ή είναι εγγεγραμμένο σε μητρώο στο τελωνειακό έδαφος της Ένωσης και πληροί τα κριτήρια τα οποία καθορίζονται στο άρθρο </w:t>
      </w:r>
      <w:hyperlink w:anchor="_bill__akn_article_KWXF5n" w:tooltip="Article 24: 24">
        <w:r w:rsidRPr="00483F7D">
          <w:rPr>
            <w:rStyle w:val="Hyperlink"/>
          </w:rPr>
          <w:t>24</w:t>
        </w:r>
      </w:hyperlink>
      <w:r w:rsidRPr="00483F7D">
        <w:t xml:space="preserve"> μπορεί να υποβάλει αίτηση για την ιδιότητα του εγκεκριμένου οικονομικού φορέα.</w:t>
      </w:r>
    </w:p>
    <w:p w14:paraId="6B20FBB2" w14:textId="77777777" w:rsidR="00E0244C" w:rsidRPr="00483F7D" w:rsidRDefault="007A1FD7">
      <w:pPr>
        <w:pStyle w:val="Text1"/>
      </w:pPr>
      <w:r w:rsidRPr="00483F7D">
        <w:t>Οι τελωνειακές αρχές, αν χρειαστεί, κατόπιν διαβουλεύσεων με άλλες αρχές, χορηγούν ένα από τα ακόλουθα δύο είδη αδειών ή και τα δύο:</w:t>
      </w:r>
    </w:p>
    <w:p w14:paraId="6B64C011" w14:textId="1A4C283F" w:rsidR="00E75E0F" w:rsidRPr="00483F7D" w:rsidRDefault="00BC60FC" w:rsidP="00BC60FC">
      <w:pPr>
        <w:pStyle w:val="Point1"/>
      </w:pPr>
      <w:r w:rsidRPr="00483F7D">
        <w:t>α)</w:t>
      </w:r>
      <w:r w:rsidRPr="00483F7D">
        <w:tab/>
      </w:r>
      <w:r w:rsidR="007A1FD7" w:rsidRPr="00483F7D">
        <w:t>άδεια εγκεκριμένου οικονομικού φορέα για τελωνειακές απλουστεύσεις, η οποία παρέχει στον δικαιούχο της τη δυνατότητα να επωφελείται από τις απλουστεύσεις σύμφωνα με την τελωνειακή νομοθεσία· ή</w:t>
      </w:r>
    </w:p>
    <w:p w14:paraId="1329354E" w14:textId="6DEE6797" w:rsidR="00E0244C" w:rsidRPr="00483F7D" w:rsidRDefault="00BC60FC" w:rsidP="00BC60FC">
      <w:pPr>
        <w:pStyle w:val="Point1"/>
      </w:pPr>
      <w:r w:rsidRPr="00483F7D">
        <w:t>β)</w:t>
      </w:r>
      <w:r w:rsidRPr="00483F7D">
        <w:tab/>
      </w:r>
      <w:r w:rsidR="007A1FD7" w:rsidRPr="00483F7D">
        <w:t>άδεια εγκεκριμένου οικονομικού φορέα με πιστοποιητικό ως προς την ασφάλεια και την προστασία, η οποία παρέχει στον δικαιούχο της διευκολύνσεις που αφορούν την ασφάλεια και την προστασία.</w:t>
      </w:r>
    </w:p>
    <w:p w14:paraId="2EEE9ED2" w14:textId="77777777" w:rsidR="00E0244C" w:rsidRPr="00483F7D" w:rsidRDefault="007A1FD7">
      <w:pPr>
        <w:pStyle w:val="ManualNumPar10"/>
      </w:pPr>
      <w:r w:rsidRPr="00483F7D">
        <w:t>2.</w:t>
      </w:r>
      <w:r w:rsidRPr="00483F7D">
        <w:tab/>
        <w:t>Είναι δυνατή η ταυτόχρονη κατοχή και των δύο ειδών αδειών που αναφέρονται στην παράγραφο 1 δεύτερο εδάφιο.</w:t>
      </w:r>
    </w:p>
    <w:p w14:paraId="134F9B95" w14:textId="77777777" w:rsidR="00E0244C" w:rsidRPr="00483F7D" w:rsidRDefault="007A1FD7">
      <w:pPr>
        <w:pStyle w:val="ManualNumPar10"/>
      </w:pPr>
      <w:r w:rsidRPr="00483F7D">
        <w:t>3.</w:t>
      </w:r>
      <w:r w:rsidRPr="00483F7D">
        <w:tab/>
        <w:t xml:space="preserve">Τα πρόσωπα που αναφέρονται στην παράγραφο 1 συμμορφώνονται με τις υποχρεώσεις που ορίζονται στο άρθρο 7 παράγραφοι </w:t>
      </w:r>
      <w:hyperlink w:anchor="_bill__akn_article_HBVm5Z_IsoZw7" w:tooltip="Article 7(2), (3) and (4): (2)">
        <w:r w:rsidRPr="00483F7D">
          <w:rPr>
            <w:rStyle w:val="Hyperlink"/>
          </w:rPr>
          <w:t>2</w:t>
        </w:r>
      </w:hyperlink>
      <w:r w:rsidRPr="00483F7D">
        <w:t xml:space="preserve"> και </w:t>
      </w:r>
      <w:hyperlink w:anchor="_bill__akn_article_HBVm5Z_6N84n0" w:tooltip="Article 7(2), (3) and (4): (3)">
        <w:r w:rsidRPr="00483F7D">
          <w:rPr>
            <w:rStyle w:val="Hyperlink"/>
          </w:rPr>
          <w:t>3</w:t>
        </w:r>
      </w:hyperlink>
      <w:r w:rsidRPr="00483F7D">
        <w:t>.</w:t>
      </w:r>
      <w:r w:rsidRPr="00483F7D">
        <w:rPr>
          <w:rStyle w:val="Hyperlink"/>
          <w:color w:val="auto"/>
          <w:u w:val="none"/>
        </w:rPr>
        <w:t xml:space="preserve"> Οι</w:t>
      </w:r>
      <w:r w:rsidRPr="00483F7D">
        <w:t xml:space="preserve"> τελωνειακές αρχές παρακολουθούν τη συνεχή συμμόρφωση του φορέα με τα κριτήρια και τους όρους για την ιδιότητα του εγκεκριμένου οικονομικού φορέα σύμφωνα με το άρθρο 7 παράγραφος 4.</w:t>
      </w:r>
    </w:p>
    <w:p w14:paraId="70106CEE" w14:textId="77777777" w:rsidR="00E0244C" w:rsidRPr="00483F7D" w:rsidRDefault="007A1FD7">
      <w:pPr>
        <w:pStyle w:val="Text1"/>
      </w:pPr>
      <w:r w:rsidRPr="00483F7D">
        <w:t>Οι τελωνειακές αρχές διενεργούν τουλάχιστον ανά 3 έτη ενδελεχή παρακολούθηση των δραστηριοτήτων και των εσωτερικών αρχείων του εγκεκριμένου οικονομικού φορέα.</w:t>
      </w:r>
    </w:p>
    <w:p w14:paraId="412FE371" w14:textId="77777777" w:rsidR="00E0244C" w:rsidRPr="00483F7D" w:rsidRDefault="007A1FD7">
      <w:pPr>
        <w:pStyle w:val="ManualNumPar10"/>
      </w:pPr>
      <w:r w:rsidRPr="00483F7D">
        <w:t>4.</w:t>
      </w:r>
      <w:r w:rsidRPr="00483F7D">
        <w:tab/>
        <w:t xml:space="preserve">Η ιδιότητα του εγκεκριμένου οικονομικού φορέα αναγνωρίζεται, υπό τους όρους της παραγράφου 5 του παρόντος άρθρου και του άρθρου </w:t>
      </w:r>
      <w:hyperlink w:anchor="_bill__akn_article_KWXF5n" w:tooltip="Article 24: 24">
        <w:r w:rsidRPr="00483F7D">
          <w:rPr>
            <w:rStyle w:val="Hyperlink"/>
          </w:rPr>
          <w:t>24</w:t>
        </w:r>
      </w:hyperlink>
      <w:r w:rsidRPr="00483F7D">
        <w:t>, από τις τελωνειακές αρχές όλων των κρατών μελών.</w:t>
      </w:r>
    </w:p>
    <w:p w14:paraId="65353EFD" w14:textId="77777777" w:rsidR="00E0244C" w:rsidRPr="00483F7D" w:rsidRDefault="007A1FD7">
      <w:pPr>
        <w:pStyle w:val="ManualNumPar10"/>
      </w:pPr>
      <w:bookmarkStart w:id="49" w:name="__akn_article_hgTPEo_qLODfF"/>
      <w:bookmarkEnd w:id="49"/>
      <w:r w:rsidRPr="00483F7D">
        <w:t>5.</w:t>
      </w:r>
      <w:r w:rsidRPr="00483F7D">
        <w:tab/>
        <w:t>Οι τελωνειακές αρχές, εφόσον αναγνωρίσουν την ιδιότητα και εφόσον πληρούνται οι όροι για συγκεκριμένο είδος απλούστευσης που προβλέπονται στην τελωνειακή νομοθεσία, παρέχουν την άδεια στον οικονομικό φορέα να επωφεληθεί από την εν λόγω απλούστευση. Οι τελωνειακές αρχές δεν επανεξετάζουν τα κριτήρια που έχουν ήδη εξεταστεί κατά τη χορήγηση της ιδιότητας.</w:t>
      </w:r>
    </w:p>
    <w:p w14:paraId="46BE610D" w14:textId="77777777" w:rsidR="00E0244C" w:rsidRPr="00483F7D" w:rsidRDefault="007A1FD7">
      <w:pPr>
        <w:pStyle w:val="ManualNumPar10"/>
      </w:pPr>
      <w:r w:rsidRPr="00483F7D">
        <w:t>6.</w:t>
      </w:r>
      <w:r w:rsidRPr="00483F7D">
        <w:tab/>
        <w:t>Ο εγκεκριμένος οικονομικός φορέας που αναφέρεται στην παράγραφο 1 επωφελείται από περισσότερες διευκολύνσεις από ό,τι άλλοι οικονομικοί φορείς όσον αφορά τους τελωνειακούς ελέγχους, σύμφωνα με το είδος της χορηγηθείσας άδειας, υποβαλλόμενος, μεταξύ άλλων, σε λιγότερους φυσικούς ελέγχους και ελέγχους εγγράφων. Η ιδιότητα του εγκεκριμένου οικονομικού φορέα λαμβάνεται ευνοϊκά υπόψη για τους σκοπούς της διαχείρισης τελωνειακών κινδύνων.</w:t>
      </w:r>
    </w:p>
    <w:p w14:paraId="109E1434" w14:textId="77777777" w:rsidR="00E0244C" w:rsidRPr="00483F7D" w:rsidRDefault="007A1FD7">
      <w:pPr>
        <w:pStyle w:val="ManualNumPar10"/>
      </w:pPr>
      <w:r w:rsidRPr="00483F7D">
        <w:t>7.</w:t>
      </w:r>
      <w:r w:rsidRPr="00483F7D">
        <w:tab/>
        <w:t>Οι τελωνειακές αρχές χορηγούν τα ωφελήματα που απορρέουν από την ιδιότητα του εγκεκριμένου οικονομικού φορέα σε πρόσωπα εγκατεστημένα σε τρίτες χώρες τα οποία πληρούν τους όρους και συμμορφώνονται με τις υποχρεώσεις που ορίζονται από τη σχετική νομοθεσία των εν λόγω χωρών ή εδαφών, εφόσον οι εν λόγω όροι και υποχρεώσεις αναγνωρίζονται από την Ένωση ως ισοδύναμοι με τους όρους και τις υποχρεώσεις που ισχύουν για τους εγκεκριμένους οικονομικούς φορείς που είναι εγκατεστημένοι στο τελωνειακό έδαφος της Ένωσης. Η χορήγηση των ωφελημάτων αυτών βασίζεται στην αρχή της αμοιβαιότητας, εκτός αν αποφασιστεί άλλως από την Ένωση, και στηρίζεται από διεθνή συμφωνία της Ένωσης ή ενωσιακή νομοθεσία στον τομέα της κοινής εμπορικής πολιτικής.</w:t>
      </w:r>
    </w:p>
    <w:p w14:paraId="1B79D89F" w14:textId="77777777" w:rsidR="00E0244C" w:rsidRPr="00483F7D" w:rsidRDefault="007A1FD7">
      <w:pPr>
        <w:pStyle w:val="ManualNumPar10"/>
      </w:pPr>
      <w:r w:rsidRPr="00483F7D">
        <w:t>8.</w:t>
      </w:r>
      <w:r w:rsidRPr="00483F7D">
        <w:tab/>
        <w:t>Θεσπίζεται κοινός μηχανισμός συνέχειας της επιχειρηματικής δραστηριότητας ώστε να αντιμετωπίζονται οι διακοπές στις ροές του εμπορίου που οφείλονται σε αύξηση των επιπέδων συναγερμών ασφάλειας, σε κλείσιμο των συνόρων και/ή σε φυσικές καταστροφές, σε καταστάσεις έκτακτου κινδύνου ή σε άλλα έκτακτα περιστατικά μεγάλης κλίμακας, με τον οποίο παρέχεται η δυνατότητα στις τελωνειακές αρχές να διευκολύνουν και να επιταχύνουν, στο μέτρο του δυνατού, τα φορτία προτεραιότητας που αφορούν εγκεκριμένους οικονομικούς φορείς.</w:t>
      </w:r>
    </w:p>
    <w:p w14:paraId="2C781B69" w14:textId="77777777" w:rsidR="00E0244C" w:rsidRPr="00483F7D" w:rsidRDefault="007A1FD7">
      <w:pPr>
        <w:pStyle w:val="ManualNumPar10"/>
      </w:pPr>
      <w:r w:rsidRPr="00483F7D">
        <w:t>9.</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w:t>
      </w:r>
    </w:p>
    <w:p w14:paraId="16C06835" w14:textId="7CF900E0" w:rsidR="00E75E0F" w:rsidRPr="00483F7D" w:rsidRDefault="00BC60FC" w:rsidP="00BC60FC">
      <w:pPr>
        <w:pStyle w:val="Point1"/>
      </w:pPr>
      <w:r w:rsidRPr="00483F7D">
        <w:t>α)</w:t>
      </w:r>
      <w:r w:rsidRPr="00483F7D">
        <w:tab/>
      </w:r>
      <w:r w:rsidR="007A1FD7" w:rsidRPr="00483F7D">
        <w:t>του είδους και της συχνότητας των δραστηριοτήτων παρακολούθησης τόσο από τα πρόσωπα που αναφέρονται στην παράγραφο 1 όσο και από τις τελωνειακές αρχές που αναφέρονται στην παράγραφο 3·</w:t>
      </w:r>
    </w:p>
    <w:p w14:paraId="6E6A83A8" w14:textId="1F9B5C05" w:rsidR="00E75E0F" w:rsidRPr="00483F7D" w:rsidRDefault="00BC60FC" w:rsidP="00BC60FC">
      <w:pPr>
        <w:pStyle w:val="Point1"/>
      </w:pPr>
      <w:r w:rsidRPr="00483F7D">
        <w:t>β)</w:t>
      </w:r>
      <w:r w:rsidRPr="00483F7D">
        <w:tab/>
      </w:r>
      <w:r w:rsidR="007A1FD7" w:rsidRPr="00483F7D">
        <w:t>των απλουστεύσεων για τους εγκεκριμένους οικονομικούς φορείς που αναφέρονται στην παράγραφο 5·</w:t>
      </w:r>
    </w:p>
    <w:p w14:paraId="0749AC09" w14:textId="15D0ADD0" w:rsidR="00E0244C" w:rsidRPr="00483F7D" w:rsidRDefault="00BC60FC" w:rsidP="00BC60FC">
      <w:pPr>
        <w:pStyle w:val="Point1"/>
      </w:pPr>
      <w:r w:rsidRPr="00483F7D">
        <w:t>γ)</w:t>
      </w:r>
      <w:r w:rsidRPr="00483F7D">
        <w:tab/>
      </w:r>
      <w:r w:rsidR="007A1FD7" w:rsidRPr="00483F7D">
        <w:t>των διευκολύνσεων που αναφέρονται στην παράγραφο 6.</w:t>
      </w:r>
    </w:p>
    <w:p w14:paraId="30598D3E" w14:textId="77777777" w:rsidR="00E0244C" w:rsidRPr="00483F7D" w:rsidRDefault="003358B7" w:rsidP="00967D67">
      <w:pPr>
        <w:pStyle w:val="ManualNumPar10"/>
      </w:pPr>
      <w:r w:rsidRPr="00483F7D">
        <w:t>10.</w:t>
      </w:r>
      <w:r w:rsidRPr="00483F7D">
        <w:tab/>
        <w:t>Η Επιτροπή ορίζει, με εκτελεστικές πράξεις, τους διαδικαστικούς κανόνες σχετικά με τις διαβουλεύσεις όσον αφορά τον καθορισμό της ιδιότητας των εγκεκριμένων οικονομικών φορέων που αναφέρονται στην παράγραφο 1 δεύτερο εδάφιο, συμπεριλαμβανομένων των προθεσμιών απάντησης. Οι εν λόγω εκτελεστικές πράξεις εκδίδονται σύμφωνα με τη διαδικασία εξέτασης που αναφέρεται στο άρθρο 262 παράγραφος 4.</w:t>
      </w:r>
    </w:p>
    <w:p w14:paraId="768C514C" w14:textId="77777777" w:rsidR="00E0244C" w:rsidRPr="00483F7D" w:rsidRDefault="007A1FD7">
      <w:pPr>
        <w:pStyle w:val="Titrearticle"/>
      </w:pPr>
      <w:bookmarkStart w:id="50" w:name="_bill__akn_article_KWXF5n"/>
      <w:bookmarkEnd w:id="50"/>
      <w:r w:rsidRPr="00483F7D">
        <w:t>Άρθρο 24</w:t>
      </w:r>
    </w:p>
    <w:p w14:paraId="0017BF48" w14:textId="77777777" w:rsidR="00E0244C" w:rsidRPr="00483F7D" w:rsidRDefault="007A1FD7">
      <w:pPr>
        <w:pStyle w:val="NormalCentered"/>
      </w:pPr>
      <w:r w:rsidRPr="00483F7D">
        <w:rPr>
          <w:b/>
        </w:rPr>
        <w:t>Χορήγηση της ιδιότητας του εγκεκριμένου οικονομικού φορέα</w:t>
      </w:r>
    </w:p>
    <w:p w14:paraId="2A11EB93" w14:textId="77777777" w:rsidR="00E0244C" w:rsidRPr="00483F7D" w:rsidRDefault="007A1FD7">
      <w:pPr>
        <w:pStyle w:val="ManualNumPar10"/>
      </w:pPr>
      <w:r w:rsidRPr="00483F7D">
        <w:t>1.</w:t>
      </w:r>
      <w:r w:rsidRPr="00483F7D">
        <w:tab/>
        <w:t>Τα κριτήρια για τη χορήγηση της ιδιότητας του εγκεκριμένου οικονομικού φορέα είναι τα ακόλουθα:</w:t>
      </w:r>
    </w:p>
    <w:p w14:paraId="0C8725A6" w14:textId="4BB82FC6" w:rsidR="00E75E0F" w:rsidRPr="00483F7D" w:rsidRDefault="00BC60FC" w:rsidP="00BC60FC">
      <w:pPr>
        <w:pStyle w:val="Point1"/>
      </w:pPr>
      <w:r w:rsidRPr="00483F7D">
        <w:t>α)</w:t>
      </w:r>
      <w:r w:rsidRPr="00483F7D">
        <w:tab/>
      </w:r>
      <w:r w:rsidR="007A1FD7" w:rsidRPr="00483F7D">
        <w:t>η απουσία ιστορικού σοβαρής παράβασης ή επανειλημμένων παραβάσεων της τελωνειακής νομοθεσίας και των φορολογικών κανόνων και η απουσία ιστορικού σοβαρών ποινικών αδικημάτων· λαμβάνονται υπόψη παραβάσεις και αδικήματα που αφορούν οικονομικές ή επιχειρηματικές δραστηριότητες·</w:t>
      </w:r>
    </w:p>
    <w:p w14:paraId="37BBF7BE" w14:textId="1E14E98F" w:rsidR="00E75E0F" w:rsidRPr="00483F7D" w:rsidRDefault="00BC60FC" w:rsidP="00BC60FC">
      <w:pPr>
        <w:pStyle w:val="Point1"/>
      </w:pPr>
      <w:r w:rsidRPr="00483F7D">
        <w:t>β)</w:t>
      </w:r>
      <w:r w:rsidRPr="00483F7D">
        <w:tab/>
      </w:r>
      <w:r w:rsidR="007A1FD7" w:rsidRPr="00483F7D">
        <w:t>η επίδειξη από τον αιτούντα υψηλού επιπέδου ελέγχου των δραστηριοτήτων του και της ροής των εμπορευμάτων, μέσω συστήματος διαχείρισης εμπορικών και, κατά περίπτωση, μεταφορικών καταχωρίσεων, το οποίο παρέχει τη δυνατότητα διεξαγωγής κατάλληλων τελωνειακών ελέγχων, καθώς και αποδεικτικά στοιχεία για την αποτελεσματική επανόρθωση της μη συμμόρφωσης· ο αιτών μεριμνά να δοθεί στους σχετικούς εργαζομένους η οδηγία να ενημερώνουν τις τελωνειακές αρχές οποτεδήποτε εντοπίζονται δυσκολίες σχετικές με τη συμμόρφωση και θεσπίζει διαδικασίες ενημέρωσης των τελωνειακών αρχών για αυτού του είδους τις δυσκολίες·</w:t>
      </w:r>
    </w:p>
    <w:p w14:paraId="411C14D5" w14:textId="3841B29C" w:rsidR="00E75E0F" w:rsidRPr="00483F7D" w:rsidRDefault="00BC60FC" w:rsidP="00BC60FC">
      <w:pPr>
        <w:pStyle w:val="Point1"/>
      </w:pPr>
      <w:r w:rsidRPr="00483F7D">
        <w:t>γ)</w:t>
      </w:r>
      <w:r w:rsidRPr="00483F7D">
        <w:tab/>
      </w:r>
      <w:r w:rsidR="007A1FD7" w:rsidRPr="00483F7D">
        <w:t>η οικονομική φερεγγυότητα, η οποία τεκμαίρεται όταν ο αιτών διαθέτει ικανοποιητική οικονομική επιφάνεια που του επιτρέπει να εκπληρώνει τις υποχρεώσεις του, λαμβανομένων υπόψη δεόντως των χαρακτηριστικών του είδους της ασκούμενης επιχειρηματικής δραστηριότητας·</w:t>
      </w:r>
    </w:p>
    <w:p w14:paraId="6D57FCED" w14:textId="55EAB0B2" w:rsidR="00E75E0F" w:rsidRPr="00483F7D" w:rsidRDefault="00BC60FC" w:rsidP="00BC60FC">
      <w:pPr>
        <w:pStyle w:val="Point1"/>
      </w:pPr>
      <w:r w:rsidRPr="00483F7D">
        <w:t>δ)</w:t>
      </w:r>
      <w:r w:rsidRPr="00483F7D">
        <w:tab/>
      </w:r>
      <w:r w:rsidR="007A1FD7" w:rsidRPr="00483F7D">
        <w:t xml:space="preserve">όσον αφορά την άδεια που αναφέρεται στο άρθρο 23 παράγραφος 1 στοιχείο </w:t>
      </w:r>
      <w:hyperlink w:anchor="__akn_article_hgTPEo_feSMfc" w:tooltip="Article 23(1), point (a): (a)">
        <w:r w:rsidR="007A1FD7" w:rsidRPr="00483F7D">
          <w:rPr>
            <w:rStyle w:val="Hyperlink"/>
          </w:rPr>
          <w:t>α)</w:t>
        </w:r>
      </w:hyperlink>
      <w:r w:rsidR="007A1FD7" w:rsidRPr="00483F7D">
        <w:t>, πρακτικά κριτήρια επάρκειας ή επαγγελματικών προσόντων που σχετίζονται άμεσα με την ασκούμενη δραστηριότητα·</w:t>
      </w:r>
    </w:p>
    <w:p w14:paraId="638F1039" w14:textId="676AA821" w:rsidR="00E0244C" w:rsidRPr="00483F7D" w:rsidRDefault="00BC60FC" w:rsidP="00BC60FC">
      <w:pPr>
        <w:pStyle w:val="Point1"/>
      </w:pPr>
      <w:r w:rsidRPr="00483F7D">
        <w:t>ε)</w:t>
      </w:r>
      <w:r w:rsidRPr="00483F7D">
        <w:tab/>
      </w:r>
      <w:r w:rsidR="007A1FD7" w:rsidRPr="00483F7D">
        <w:t xml:space="preserve">όσον αφορά την άδεια που αναφέρεται στο άρθρο 23 παράγραφος 1 στοιχείο </w:t>
      </w:r>
      <w:hyperlink w:anchor="__akn_article_hgTPEo_Kj4aHu" w:tooltip="Article 23(1), point (b): (b)">
        <w:r w:rsidR="007A1FD7" w:rsidRPr="00483F7D">
          <w:rPr>
            <w:rStyle w:val="Hyperlink"/>
          </w:rPr>
          <w:t>β)</w:t>
        </w:r>
      </w:hyperlink>
      <w:r w:rsidR="007A1FD7" w:rsidRPr="00483F7D">
        <w:t>, ενδεδειγμένα πρότυπα προστασίας, ασφάλειας και συμμόρφωσης, προσαρμοσμένα στην ασκούμενη δραστηριότητα. Τα πρότυπα θεωρείται ότι πληρούνται αν ο αιτών αποδείξει ότι εφαρμόζει ενδεδειγμένα μέτρα για την προστασία και την ασφάλεια της διεθνούς εφοδιαστικής αλυσίδας, μεταξύ άλλων στους τομείς της υλικής ακεραιότητας και των ελέγχων πρόσβασης, των υλικοτεχνικών διεργασιών και της διαχείρισης συγκεκριμένων ειδών εμπορευμάτων, του προσωπικού και της ταυτοποίησης των επιχειρηματικών εταίρων του.</w:t>
      </w:r>
    </w:p>
    <w:p w14:paraId="026E4BEE" w14:textId="77777777" w:rsidR="00E0244C" w:rsidRPr="00483F7D" w:rsidRDefault="007A1FD7">
      <w:pPr>
        <w:pStyle w:val="ManualNumPar10"/>
      </w:pPr>
      <w:r w:rsidRPr="00483F7D">
        <w:t>2.</w:t>
      </w:r>
      <w:r w:rsidRPr="00483F7D">
        <w:tab/>
        <w:t>Η Επιτροπή ορίζει, με εκτελεστικές πράξεις, τις λεπτομέρειες για την εφαρμογή των κριτηρίων που αναφέρονται στην παράγραφο 1. Οι εν λόγω εκτελεστικές πράξεις εκδίδονται σύμφωνα με τη διαδικασία εξέτασης που αναφέρεται στο άρθρο 262 παράγραφος 4.</w:t>
      </w:r>
    </w:p>
    <w:p w14:paraId="5C63882E" w14:textId="77777777" w:rsidR="00E0244C" w:rsidRPr="00483F7D" w:rsidRDefault="007A1FD7">
      <w:pPr>
        <w:pStyle w:val="Titrearticle"/>
      </w:pPr>
      <w:bookmarkStart w:id="51" w:name="_bill__akn_article_s1DBwy"/>
      <w:bookmarkEnd w:id="51"/>
      <w:r w:rsidRPr="00483F7D">
        <w:t>Άρθρο 25</w:t>
      </w:r>
    </w:p>
    <w:p w14:paraId="716C38AF" w14:textId="77777777" w:rsidR="00E0244C" w:rsidRPr="00483F7D" w:rsidRDefault="007A1FD7">
      <w:pPr>
        <w:pStyle w:val="NormalCentered"/>
      </w:pPr>
      <w:r w:rsidRPr="00483F7D">
        <w:rPr>
          <w:b/>
        </w:rPr>
        <w:t>Χορήγηση της ιδιότητας του αξιόπιστου και ελεγμένου (Trust and Check) συναλλασσομένου</w:t>
      </w:r>
    </w:p>
    <w:p w14:paraId="5FC77899" w14:textId="77777777" w:rsidR="00E0244C" w:rsidRPr="00483F7D" w:rsidRDefault="007A1FD7">
      <w:pPr>
        <w:pStyle w:val="ManualNumPar10"/>
      </w:pPr>
      <w:r w:rsidRPr="00483F7D">
        <w:t>1.</w:t>
      </w:r>
      <w:r w:rsidRPr="00483F7D">
        <w:tab/>
        <w:t>Εισαγωγέας ή εξαγωγέας, που κατοικεί ή είναι εγγεγραμμένος σε μητρώο στο τελωνειακό έδαφος της Ένωσης, πληροί τα κριτήρια που ορίζονται στην παράγραφο 3 και έχει πραγματοποιήσει τακτικές τελωνειακές πράξεις στο πλαίσιο της επιχειρηματικής δραστηριότητάς του για τουλάχιστον 3 έτη, μπορεί να υποβάλει αίτηση για την ιδιότητα του αξιόπιστου και ελεγμένου (Trust and Check) συναλλασσομένου στην τελωνειακή αρχή του κράτους μέλους στο οποίο είναι εγκατεστημένο το εν λόγω πρόσωπο.</w:t>
      </w:r>
    </w:p>
    <w:p w14:paraId="026A7C7F" w14:textId="77777777" w:rsidR="00E0244C" w:rsidRPr="00483F7D" w:rsidRDefault="007A1FD7">
      <w:pPr>
        <w:pStyle w:val="ManualNumPar10"/>
      </w:pPr>
      <w:r w:rsidRPr="00483F7D">
        <w:t>2.</w:t>
      </w:r>
      <w:r w:rsidRPr="00483F7D">
        <w:tab/>
        <w:t>Οι τελωνειακές αρχές χορηγούν την ιδιότητα κατόπιν διαβούλευσης με άλλες αρχές, αν χρειαστεί, και αφού έχουν πρόσβαση στα σχετικά δεδομένα του αιτούντος για τα τελευταία 3 έτη, ώστε να αξιολογηθεί η συμμόρφωση με τα κριτήρια της παραγράφου 3.</w:t>
      </w:r>
    </w:p>
    <w:p w14:paraId="4A36D1BA" w14:textId="77777777" w:rsidR="00E0244C" w:rsidRPr="00483F7D" w:rsidRDefault="007A1FD7">
      <w:pPr>
        <w:pStyle w:val="ManualNumPar10"/>
      </w:pPr>
      <w:r w:rsidRPr="00483F7D">
        <w:t>3.</w:t>
      </w:r>
      <w:r w:rsidRPr="00483F7D">
        <w:tab/>
        <w:t>Οι τελωνειακές αρχές χορηγούν την ιδιότητα του αξιόπιστου και ελεγμένου (Trust and Check) συναλλασσομένου σε πρόσωπο που πληροί όλα τα ακόλουθα κριτήρια:</w:t>
      </w:r>
    </w:p>
    <w:p w14:paraId="3418B240" w14:textId="4881B609" w:rsidR="00E75E0F" w:rsidRPr="00483F7D" w:rsidRDefault="00BC60FC" w:rsidP="00BC60FC">
      <w:pPr>
        <w:pStyle w:val="Point1"/>
      </w:pPr>
      <w:r w:rsidRPr="00483F7D">
        <w:t>α)</w:t>
      </w:r>
      <w:r w:rsidRPr="00483F7D">
        <w:tab/>
      </w:r>
      <w:r w:rsidR="007A1FD7" w:rsidRPr="00483F7D">
        <w:t>η απουσία ιστορικού σοβαρής παράβασης ή επανειλημμένων παραβάσεων της τελωνειακής νομοθεσίας και των φορολογικών κανόνων και η απουσία ιστορικού σοβαρών ποινικών αδικημάτων· λαμβάνονται υπόψη παραβάσεις και αδικήματα που αφορούν οικονομικές ή επιχειρηματικές δραστηριότητες·</w:t>
      </w:r>
    </w:p>
    <w:p w14:paraId="327B1E63" w14:textId="6D05006A" w:rsidR="00E75E0F" w:rsidRPr="00483F7D" w:rsidRDefault="00BC60FC" w:rsidP="00BC60FC">
      <w:pPr>
        <w:pStyle w:val="Point1"/>
      </w:pPr>
      <w:r w:rsidRPr="00483F7D">
        <w:t>β)</w:t>
      </w:r>
      <w:r w:rsidRPr="00483F7D">
        <w:tab/>
      </w:r>
      <w:r w:rsidR="007A1FD7" w:rsidRPr="00483F7D">
        <w:t>η επίδειξη από τον αιτούντα υψηλού επιπέδου ελέγχου των δραστηριοτήτων του και της ροής των εμπορευμάτων, μέσω συστήματος διαχείρισης εμπορικών και μεταφορικών καταχωρίσεων, το οποίο παρέχει τη δυνατότητα διεξαγωγής κατάλληλων τελωνειακών ελέγχων, καθώς και αποδεικτικά στοιχεία για την αποτελεσματική επανόρθωση της μη συμμόρφωσης· ο αιτών μεριμνά ώστε οι σχετικοί εργαζόμενοι να ενημερώνουν τις τελωνειακές αρχές οποτεδήποτε εντοπίζονται δυσκολίες σχετικές με τη συμμόρφωση και θεσπίζει διαδικασίες ενημέρωσης των τελωνειακών αρχών για αυτού του είδους τις δυσκολίες·</w:t>
      </w:r>
    </w:p>
    <w:p w14:paraId="38498D56" w14:textId="187B9611" w:rsidR="00E75E0F" w:rsidRPr="00483F7D" w:rsidRDefault="00BC60FC" w:rsidP="00BC60FC">
      <w:pPr>
        <w:pStyle w:val="Point1"/>
      </w:pPr>
      <w:r w:rsidRPr="00483F7D">
        <w:t>γ)</w:t>
      </w:r>
      <w:r w:rsidRPr="00483F7D">
        <w:tab/>
      </w:r>
      <w:r w:rsidR="007A1FD7" w:rsidRPr="00483F7D">
        <w:t>η οικονομική φερεγγυότητα, η οποία τεκμαίρεται όταν ο αιτών διαθέτει ικανοποιητική οικονομική επιφάνεια που του επιτρέπει να εκπληρώνει τις υποχρεώσεις του, λαμβανομένων υπόψη δεόντως των χαρακτηριστικών του είδους της ασκούμενης επιχειρηματικής δραστηριότητας. Ειδικότερα, κατά τη διάρκεια των 3 ετών που προηγούνται της υποβολής της αίτησης, ο αιτών έχει εκπληρώσει τις οικονομικές του υποχρεώσεις σχετικά με τις πληρωμές των τελωνειακών δασμών και όλων των λοιπών δασμών, φόρων ή επιβαρύνσεων που εισπράττονται για ή σε σχέση με την εισαγωγή ή την εξαγωγή εμπορευμάτων, συμπεριλαμβανομένου του ΦΠΑ και των ειδικών φόρων κατανάλωσης σε σχέση με ενδοενωσιακές πράξεις·</w:t>
      </w:r>
    </w:p>
    <w:p w14:paraId="78C0001E" w14:textId="6B8FA46F" w:rsidR="00E75E0F" w:rsidRPr="00483F7D" w:rsidRDefault="00BC60FC" w:rsidP="00BC60FC">
      <w:pPr>
        <w:pStyle w:val="Point1"/>
      </w:pPr>
      <w:r w:rsidRPr="00483F7D">
        <w:t>δ)</w:t>
      </w:r>
      <w:r w:rsidRPr="00483F7D">
        <w:tab/>
      </w:r>
      <w:r w:rsidR="007A1FD7" w:rsidRPr="00483F7D">
        <w:t>πρακτικά κριτήρια επάρκειας ή επαγγελματικών προσόντων που σχετίζονται άμεσα με το είδος και το μέγεθος της ασκούμενης δραστηριότητας, συμπεριλαμβανομένης της καθοδήγησης των σχετικών υπαλλήλων σχετικά με τον τρόπο αλληλεπίδρασης με τις τελωνειακές αρχές μέσω του τελωνειακού κόμβου δεδομένων της ΕΕ·</w:t>
      </w:r>
    </w:p>
    <w:p w14:paraId="78D183F8" w14:textId="349C4C8F" w:rsidR="00E75E0F" w:rsidRPr="00483F7D" w:rsidRDefault="00BC60FC" w:rsidP="00BC60FC">
      <w:pPr>
        <w:pStyle w:val="Point1"/>
      </w:pPr>
      <w:r w:rsidRPr="00483F7D">
        <w:t>ε)</w:t>
      </w:r>
      <w:r w:rsidRPr="00483F7D">
        <w:tab/>
      </w:r>
      <w:r w:rsidR="007A1FD7" w:rsidRPr="00483F7D">
        <w:t>ενδεδειγμένα πρότυπα προστασίας, ασφάλειας και συμμόρφωσης, προσαρμοσμένα στο είδος και το μέγεθος της ασκούμενης δραστηριότητας. Τα πρότυπα θεωρείται ότι πληρούνται αν ο αιτών αποδείξει ότι εφαρμόζει ενδεδειγμένα μέτρα για την προστασία και την ασφάλεια της διεθνούς εφοδιαστικής αλυσίδας, μεταξύ άλλων στους τομείς της υλικής ακεραιότητας και των ελέγχων πρόσβασης, των υλικοτεχνικών διεργασιών και της διαχείρισης συγκεκριμένων ειδών εμπορευμάτων, του προσωπικού και της ταυτοποίησης των επιχειρηματικών εταίρων του·</w:t>
      </w:r>
    </w:p>
    <w:p w14:paraId="18C0B1B7" w14:textId="5133E7C8" w:rsidR="00E0244C" w:rsidRPr="00483F7D" w:rsidRDefault="00BC60FC" w:rsidP="00BC60FC">
      <w:pPr>
        <w:pStyle w:val="Point1"/>
      </w:pPr>
      <w:r w:rsidRPr="00483F7D">
        <w:t>στ)</w:t>
      </w:r>
      <w:r w:rsidRPr="00483F7D">
        <w:tab/>
      </w:r>
      <w:r w:rsidR="007A1FD7" w:rsidRPr="00483F7D">
        <w:t>η ύπαρξη ηλεκτρονικού συστήματος που παρέχει ή καθιστά διαθέσιμα σε πραγματικό χρόνο στις τελωνειακές αρχές όλα τα δεδομένα σχετικά με τη διακίνηση των εμπορευμάτων και τη συμμόρφωση του προσώπου που αναφέρεται στην παράγραφο 1 με όλες τις απαιτήσεις που ισχύουν για τα εν λόγω εμπορεύματα, μεταξύ άλλων όσον αφορά την ασφάλεια και την προστασία και, κατά περίπτωση, την κοινοποίηση δεδομένων στον τελωνειακό κόμβο δεδομένων της ΕΕ:</w:t>
      </w:r>
    </w:p>
    <w:p w14:paraId="336E6D42" w14:textId="2D7D7820" w:rsidR="00E75E0F" w:rsidRPr="00483F7D" w:rsidRDefault="00483C4C" w:rsidP="00483C4C">
      <w:pPr>
        <w:pStyle w:val="Point2"/>
      </w:pPr>
      <w:r w:rsidRPr="00483F7D">
        <w:t>i)</w:t>
      </w:r>
      <w:r w:rsidRPr="00483F7D">
        <w:tab/>
        <w:t>τελωνειακά αρχεία·</w:t>
      </w:r>
    </w:p>
    <w:p w14:paraId="2E624429" w14:textId="6CA897DD" w:rsidR="00E75E0F" w:rsidRPr="00483F7D" w:rsidRDefault="00483C4C" w:rsidP="00483C4C">
      <w:pPr>
        <w:pStyle w:val="Point2"/>
      </w:pPr>
      <w:r w:rsidRPr="00483F7D">
        <w:t>ii)</w:t>
      </w:r>
      <w:r w:rsidRPr="00483F7D">
        <w:tab/>
        <w:t>λογιστικό σύστημα·</w:t>
      </w:r>
    </w:p>
    <w:p w14:paraId="0ADDA1CE" w14:textId="3F799845" w:rsidR="00E75E0F" w:rsidRPr="00483F7D" w:rsidRDefault="00483C4C" w:rsidP="00483C4C">
      <w:pPr>
        <w:pStyle w:val="Point2"/>
      </w:pPr>
      <w:r w:rsidRPr="00483F7D">
        <w:t>iii)</w:t>
      </w:r>
      <w:r w:rsidRPr="00483F7D">
        <w:tab/>
        <w:t>εμπορικά και μεταφορικά αρχεία·</w:t>
      </w:r>
    </w:p>
    <w:p w14:paraId="73950532" w14:textId="67697E15" w:rsidR="00E75E0F" w:rsidRPr="00483F7D" w:rsidRDefault="00483C4C" w:rsidP="00483C4C">
      <w:pPr>
        <w:pStyle w:val="Point2"/>
      </w:pPr>
      <w:r w:rsidRPr="00483F7D">
        <w:t>iv)</w:t>
      </w:r>
      <w:r w:rsidRPr="00483F7D">
        <w:tab/>
        <w:t>τα οικεία συστήματα παρακολούθησης και εφοδιαστικής, τα οποία προσδιορίζουν τα εμπορεύματα ως ενωσιακά ή μη ενωσιακά και υποδεικνύουν, κατά περίπτωση, την τοποθεσία τους·</w:t>
      </w:r>
    </w:p>
    <w:p w14:paraId="36F53332" w14:textId="662F37ED" w:rsidR="00E75E0F" w:rsidRPr="00483F7D" w:rsidRDefault="00483C4C" w:rsidP="00483C4C">
      <w:pPr>
        <w:pStyle w:val="Point2"/>
      </w:pPr>
      <w:r w:rsidRPr="00483F7D">
        <w:t>v)</w:t>
      </w:r>
      <w:r w:rsidRPr="00483F7D">
        <w:tab/>
        <w:t>άδειες και εγκρίσεις που χορηγούνται σύμφωνα με τη λοιπή νομοθεσία που εφαρμόζεται από τις τελωνειακές αρχές·</w:t>
      </w:r>
    </w:p>
    <w:p w14:paraId="77B9CB85" w14:textId="4D6830E1" w:rsidR="00E0244C" w:rsidRPr="00483F7D" w:rsidRDefault="00483C4C" w:rsidP="00483C4C">
      <w:pPr>
        <w:pStyle w:val="Point2"/>
      </w:pPr>
      <w:r w:rsidRPr="00483F7D">
        <w:t>vi)</w:t>
      </w:r>
      <w:r w:rsidRPr="00483F7D">
        <w:tab/>
        <w:t>πλήρη αρχεία που απαιτούνται για τον έλεγχο της ορθότητας της βεβαίωσης των τελωνειακών οφειλών.</w:t>
      </w:r>
    </w:p>
    <w:p w14:paraId="2DC19CA9" w14:textId="77777777" w:rsidR="00E0244C" w:rsidRPr="00483F7D" w:rsidRDefault="007A1FD7" w:rsidP="00586C0F">
      <w:pPr>
        <w:pStyle w:val="ManualNumPar10"/>
      </w:pPr>
      <w:r w:rsidRPr="00483F7D">
        <w:t>4.</w:t>
      </w:r>
      <w:r w:rsidRPr="00483F7D">
        <w:tab/>
        <w:t xml:space="preserve">Τα πρόσωπα που αναφέρονται στην παράγραφο 1 συμμορφώνονται με τις υποχρεώσεις που ορίζονται στο άρθρο 7 παράγραφοι </w:t>
      </w:r>
      <w:hyperlink w:anchor="_bill__akn_article_HBVm5Z_IsoZw7" w:tooltip="Article 7(2), (3) and (4): (2)">
        <w:r w:rsidRPr="00483F7D">
          <w:rPr>
            <w:rStyle w:val="Hyperlink"/>
          </w:rPr>
          <w:t>2</w:t>
        </w:r>
      </w:hyperlink>
      <w:r w:rsidRPr="00483F7D">
        <w:t xml:space="preserve"> και </w:t>
      </w:r>
      <w:hyperlink w:anchor="_bill__akn_article_HBVm5Z_6N84n0" w:tooltip="Article 7(2), (3) and (4): (3)">
        <w:r w:rsidRPr="00483F7D">
          <w:rPr>
            <w:rStyle w:val="Hyperlink"/>
          </w:rPr>
          <w:t>3</w:t>
        </w:r>
      </w:hyperlink>
      <w:r w:rsidRPr="00483F7D">
        <w:t>.</w:t>
      </w:r>
      <w:r w:rsidRPr="00483F7D">
        <w:rPr>
          <w:rStyle w:val="Hyperlink"/>
          <w:u w:val="none"/>
        </w:rPr>
        <w:t xml:space="preserve"> </w:t>
      </w:r>
      <w:r w:rsidRPr="00483F7D">
        <w:rPr>
          <w:rStyle w:val="Hyperlink"/>
          <w:color w:val="auto"/>
          <w:u w:val="none"/>
        </w:rPr>
        <w:t>Οι</w:t>
      </w:r>
      <w:r w:rsidRPr="00483F7D">
        <w:t xml:space="preserve"> τελωνειακές αρχές παρακολουθούν τη συνεχή συμμόρφωση του φορέα με τα κριτήρια και τους όρους για την ιδιότητα του εγκεκριμένου οικονομικού φορέα σύμφωνα με το άρθρο 7 παράγραφος 4.</w:t>
      </w:r>
    </w:p>
    <w:p w14:paraId="77A3D63C" w14:textId="77777777" w:rsidR="00E0244C" w:rsidRPr="00483F7D" w:rsidRDefault="007A1FD7">
      <w:pPr>
        <w:pStyle w:val="Text1"/>
      </w:pPr>
      <w:r w:rsidRPr="00483F7D">
        <w:t>Οι τελωνειακές αρχές διενεργούν τουλάχιστον ανά 3 έτη ενδελεχή παρακολούθηση των δραστηριοτήτων και των εσωτερικών αρχείων του αξιόπιστου και ελεγμένου συναλλασσομένου. Ο αξιόπιστος και ελεγμένος συναλλασσόμενος ενημερώνει τις τελωνειακές αρχές για τυχόν αλλαγές στην εταιρική δομή, το ιδιοκτησιακό καθεστώς, την κατάσταση φερεγγυότητας, τα μοντέλα συναλλαγών ή οποιεσδήποτε άλλες σημαντικές αλλαγές στην κατάσταση και τις δραστηριότητές του. Οι τελωνειακές αρχές επαναξιολογούν την ιδιότητα του αξιόπιστου και ελεγμένου συναλλασσομένου αν οποιαδήποτε από αυτές τις αλλαγές έχει σημαντικό αντίκτυπο στην ιδιότητα αξιοπιστίας και ελέγχου. Οι τελωνειακές αρχές μπορούν να αναστείλουν την εν λόγω άδεια έως ότου ληφθεί απόφαση σχετικά με την επαναξιολόγηση.</w:t>
      </w:r>
    </w:p>
    <w:p w14:paraId="635EA9A4" w14:textId="77777777" w:rsidR="00E0244C" w:rsidRPr="00483F7D" w:rsidRDefault="007A1FD7" w:rsidP="5DA9B26A">
      <w:pPr>
        <w:pStyle w:val="ManualNumPar10"/>
      </w:pPr>
      <w:r w:rsidRPr="00483F7D">
        <w:t>5.</w:t>
      </w:r>
      <w:r w:rsidRPr="00483F7D">
        <w:tab/>
        <w:t>Όταν ένας αξιόπιστος και ελεγμένος συναλλασσόμενος αλλάζει το κράτος μέλος εγκατάστασής του, οι τελωνειακές αρχές του κράτους μέλους παραλαβής μπορούν να επαναξιολογήσουν την άδεια αξιοπιστίας και ελέγχου, ύστερα από διαβούλευση με το κράτος μέλος που χορήγησε αρχικά την ιδιότητα και αφού λάβουν τα προηγούμενα αρχεία σχετικά με τους φορείς. Κατά την επαναξιολόγηση, η τελωνειακή αρχή του κράτους μέλους που χορήγησε την αρχική άδεια μπορεί να την αναστείλει.</w:t>
      </w:r>
    </w:p>
    <w:p w14:paraId="419EDD82" w14:textId="77777777" w:rsidR="00E0244C" w:rsidRPr="00483F7D" w:rsidRDefault="00E378F4" w:rsidP="00586C0F">
      <w:pPr>
        <w:pStyle w:val="Text1"/>
      </w:pPr>
      <w:r w:rsidRPr="00483F7D">
        <w:t>Ο αξιόπιστος και ελεγμένος συναλλασσόμενος ενημερώνει τις τελωνειακές αρχές του κράτους μέλους παραλαβής για τυχόν αλλαγές στην εταιρική δομή, το ιδιοκτησιακό καθεστώς, την κατάσταση φερεγγυότητας, τα μοντέλα συναλλαγών ή οποιεσδήποτε άλλες σημαντικές αλλαγές στην κατάσταση και τις δραστηριότητές του, αν οποιαδήποτε από αυτές τις αλλαγές έχει αντίκτυπο στην ιδιότητα αξιοπιστίας και ελέγχου.</w:t>
      </w:r>
    </w:p>
    <w:p w14:paraId="06A49168" w14:textId="77777777" w:rsidR="00E0244C" w:rsidRPr="00483F7D" w:rsidRDefault="007A1FD7">
      <w:pPr>
        <w:pStyle w:val="ManualNumPar10"/>
      </w:pPr>
      <w:r w:rsidRPr="00483F7D">
        <w:t>6.</w:t>
      </w:r>
      <w:r w:rsidRPr="00483F7D">
        <w:tab/>
        <w:t>Όταν υπάρχουν υπόνοιες ότι ένας αξιόπιστος και ελεγμένος συναλλασσόμενος έχει εμπλακεί σε δόλια δραστηριότητα σε σχέση με την οικονομική ή επιχειρηματική του δραστηριότητα, η ιδιότητά του αναστέλλεται.</w:t>
      </w:r>
    </w:p>
    <w:p w14:paraId="726AF9B3" w14:textId="77777777" w:rsidR="00E0244C" w:rsidRPr="00483F7D" w:rsidRDefault="007A1FD7">
      <w:pPr>
        <w:pStyle w:val="Text1"/>
      </w:pPr>
      <w:r w:rsidRPr="00483F7D">
        <w:t xml:space="preserve">Όταν οι τελωνειακές αρχές έχουν αναστείλει, ακυρώσει ή ανακαλέσει άδεια αξιόπιστου και ελεγμένου συναλλασσομένου σύμφωνα με τα άρθρα </w:t>
      </w:r>
      <w:hyperlink w:anchor="_bill__akn_article_HBVm5Z" w:tooltip="Articles 7, 9 and 10: 7">
        <w:r w:rsidRPr="00483F7D">
          <w:rPr>
            <w:rStyle w:val="Hyperlink"/>
          </w:rPr>
          <w:t>7</w:t>
        </w:r>
      </w:hyperlink>
      <w:r w:rsidRPr="00483F7D">
        <w:t xml:space="preserve">, </w:t>
      </w:r>
      <w:hyperlink w:anchor="_bill__akn_article_dsMil5" w:tooltip="Articles 7, 9 and 10: 9">
        <w:r w:rsidRPr="00483F7D">
          <w:rPr>
            <w:rStyle w:val="Hyperlink"/>
          </w:rPr>
          <w:t>9</w:t>
        </w:r>
      </w:hyperlink>
      <w:r w:rsidRPr="00483F7D">
        <w:t xml:space="preserve"> και </w:t>
      </w:r>
      <w:hyperlink w:anchor="_bill__akn_article_F8k6wz" w:tooltip="Articles 7, 9 and 10: 10">
        <w:r w:rsidRPr="00483F7D">
          <w:rPr>
            <w:rStyle w:val="Hyperlink"/>
          </w:rPr>
          <w:t>10</w:t>
        </w:r>
      </w:hyperlink>
      <w:r w:rsidRPr="00483F7D">
        <w:t>, λαμβάνουν τα αναγκαία μέτρα για να εξασφαλίσουν ότι οι άδειες που αναφέρονται στην παράγραφο 7 του παρόντος άρθρου και οι διευκολύνσεις που αναφέρονται στην παράγραφο 8 του παρόντος άρθρου επίσης αναστέλλονται, ακυρώνονται ή ανακαλούνται.</w:t>
      </w:r>
    </w:p>
    <w:p w14:paraId="0CFA4DB4" w14:textId="77777777" w:rsidR="00E0244C" w:rsidRPr="00483F7D" w:rsidRDefault="007A1FD7">
      <w:pPr>
        <w:pStyle w:val="ManualNumPar10"/>
      </w:pPr>
      <w:r w:rsidRPr="00483F7D">
        <w:t>7.</w:t>
      </w:r>
      <w:r w:rsidRPr="00483F7D">
        <w:tab/>
        <w:t>Οι τελωνειακές αρχές μπορούν να επιτρέπουν στους αξιόπιστους και ελεγμένους συναλλασσομένους:</w:t>
      </w:r>
    </w:p>
    <w:p w14:paraId="7983A7A9" w14:textId="3EE0AD53" w:rsidR="00E75E0F" w:rsidRPr="00483F7D" w:rsidRDefault="00BC60FC" w:rsidP="00BC60FC">
      <w:pPr>
        <w:pStyle w:val="Point1"/>
      </w:pPr>
      <w:r w:rsidRPr="00483F7D">
        <w:t>α)</w:t>
      </w:r>
      <w:r w:rsidRPr="00483F7D">
        <w:tab/>
      </w:r>
      <w:r w:rsidR="007A1FD7" w:rsidRPr="00483F7D">
        <w:t xml:space="preserve">να παρέχουν μέρος των δεδομένων σχετικά με τα εμπορεύματά τους μετά την παράδοσή τους, σύμφωνα με το άρθρο 59 παράγραφος </w:t>
      </w:r>
      <w:hyperlink w:anchor="__akn_article_U2tqR7_QsRlAh" w:tooltip="Article 59(3): (3)">
        <w:r w:rsidR="007A1FD7" w:rsidRPr="00483F7D">
          <w:rPr>
            <w:rStyle w:val="Hyperlink"/>
          </w:rPr>
          <w:t>3</w:t>
        </w:r>
      </w:hyperlink>
      <w:r w:rsidR="007A1FD7" w:rsidRPr="00483F7D">
        <w:t>·</w:t>
      </w:r>
    </w:p>
    <w:p w14:paraId="4AC40437" w14:textId="38450263" w:rsidR="00E75E0F" w:rsidRPr="00483F7D" w:rsidRDefault="00BC60FC" w:rsidP="00BC60FC">
      <w:pPr>
        <w:pStyle w:val="Point1"/>
      </w:pPr>
      <w:r w:rsidRPr="00483F7D">
        <w:t>β)</w:t>
      </w:r>
      <w:r w:rsidRPr="00483F7D">
        <w:tab/>
      </w:r>
      <w:r w:rsidR="007A1FD7" w:rsidRPr="00483F7D">
        <w:t xml:space="preserve">να διενεργούν ορισμένους ελέγχους και να παραδίδουν τα εμπορεύματα κατά την παραλαβή τους στον τόπο επιχειρηματικής δραστηριότητας του εισαγωγέα, του ιδιοκτήτη ή του παραλήπτη και/ή κατά την παράδοση από τον τόπο επιχειρηματικής δραστηριότητας του εξαγωγέα, του ιδιοκτήτη ή του αποστολέα, σύμφωνα με το άρθρο </w:t>
      </w:r>
      <w:hyperlink w:anchor="_bill__akn_article_hx6eu7" w:tooltip="Article 61: 61">
        <w:r w:rsidR="007A1FD7" w:rsidRPr="00483F7D">
          <w:rPr>
            <w:rStyle w:val="Hyperlink"/>
          </w:rPr>
          <w:t>61</w:t>
        </w:r>
      </w:hyperlink>
      <w:r w:rsidR="007A1FD7" w:rsidRPr="00483F7D">
        <w:t>·</w:t>
      </w:r>
    </w:p>
    <w:p w14:paraId="5CE29BB4" w14:textId="4D67F930" w:rsidR="00E75E0F" w:rsidRPr="00483F7D" w:rsidRDefault="00BC60FC" w:rsidP="00BC60FC">
      <w:pPr>
        <w:pStyle w:val="Point1"/>
      </w:pPr>
      <w:r w:rsidRPr="00483F7D">
        <w:t>γ)</w:t>
      </w:r>
      <w:r w:rsidRPr="00483F7D">
        <w:tab/>
      </w:r>
      <w:r w:rsidR="007A1FD7" w:rsidRPr="00483F7D">
        <w:t xml:space="preserve">να θεωρήσουν ότι παρέχουν τα απαραίτητα εχέγγυα για την ορθή διεξαγωγή των πράξεων με σκοπό τη χορήγηση αδειών για ειδικά καθεστώτα σύμφωνα με τα άρθρα </w:t>
      </w:r>
      <w:hyperlink w:anchor="__akn_article_Lt0uL8" w:tooltip="Articles 102, 103, 109 and 123: 102">
        <w:r w:rsidR="007A1FD7" w:rsidRPr="00483F7D">
          <w:rPr>
            <w:rStyle w:val="Hyperlink"/>
          </w:rPr>
          <w:t>102</w:t>
        </w:r>
      </w:hyperlink>
      <w:r w:rsidR="007A1FD7" w:rsidRPr="00483F7D">
        <w:t xml:space="preserve">, </w:t>
      </w:r>
      <w:hyperlink w:anchor="__akn_article_OEeCKA" w:tooltip="Articles 102, 103, 109 and 123: 103">
        <w:r w:rsidR="007A1FD7" w:rsidRPr="00483F7D">
          <w:rPr>
            <w:rStyle w:val="Hyperlink"/>
          </w:rPr>
          <w:t>103</w:t>
        </w:r>
      </w:hyperlink>
      <w:r w:rsidR="007A1FD7" w:rsidRPr="00483F7D">
        <w:t xml:space="preserve">, </w:t>
      </w:r>
      <w:hyperlink w:anchor="__akn_article_V3e6Sw" w:tooltip="Articles 102, 103, 109 and 123: 109">
        <w:r w:rsidR="007A1FD7" w:rsidRPr="00483F7D">
          <w:rPr>
            <w:rStyle w:val="Hyperlink"/>
          </w:rPr>
          <w:t>109</w:t>
        </w:r>
      </w:hyperlink>
      <w:r w:rsidR="007A1FD7" w:rsidRPr="00483F7D">
        <w:t xml:space="preserve"> και </w:t>
      </w:r>
      <w:hyperlink w:anchor="__akn_article_DMoe3i" w:tooltip="Articles 102, 103, 109 and 123: 123">
        <w:r w:rsidR="007A1FD7" w:rsidRPr="00483F7D">
          <w:rPr>
            <w:rStyle w:val="Hyperlink"/>
          </w:rPr>
          <w:t>123</w:t>
        </w:r>
      </w:hyperlink>
      <w:r w:rsidR="007A1FD7" w:rsidRPr="00483F7D">
        <w:t>·</w:t>
      </w:r>
    </w:p>
    <w:p w14:paraId="7C7C2D8A" w14:textId="4E09D128" w:rsidR="00E75E0F" w:rsidRPr="00483F7D" w:rsidRDefault="00BC60FC" w:rsidP="00BC60FC">
      <w:pPr>
        <w:pStyle w:val="Point1"/>
      </w:pPr>
      <w:r w:rsidRPr="00483F7D">
        <w:t>δ)</w:t>
      </w:r>
      <w:r w:rsidRPr="00483F7D">
        <w:tab/>
      </w:r>
      <w:r w:rsidR="00E75E0F" w:rsidRPr="00483F7D">
        <w:t xml:space="preserve">να προσδιορίζουν περιοδικά την τελωνειακή οφειλή που αντιστοιχεί στο συνολικό ποσό του εισαγωγικού ή εξαγωγικού δασμού για όλα τα εμπορεύματα που παραδίδονται από τον εν λόγω συναλλασσόμενο, σύμφωνα με το άρθρο 181 παράγραφος </w:t>
      </w:r>
      <w:hyperlink w:anchor="__akn_article_FJYK13_2wGUNh" w:tooltip="Article 181(4): (4)">
        <w:r w:rsidR="00E75E0F" w:rsidRPr="00483F7D">
          <w:rPr>
            <w:rStyle w:val="Hyperlink"/>
          </w:rPr>
          <w:t>4</w:t>
        </w:r>
      </w:hyperlink>
      <w:r w:rsidR="00E75E0F" w:rsidRPr="00483F7D">
        <w:t>·</w:t>
      </w:r>
    </w:p>
    <w:p w14:paraId="42EC0F94" w14:textId="6FB19747" w:rsidR="00E0244C" w:rsidRPr="00483F7D" w:rsidRDefault="00BC60FC" w:rsidP="00BC60FC">
      <w:pPr>
        <w:pStyle w:val="Point1"/>
      </w:pPr>
      <w:r w:rsidRPr="00483F7D">
        <w:t>ε)</w:t>
      </w:r>
      <w:r w:rsidRPr="00483F7D">
        <w:tab/>
      </w:r>
      <w:r w:rsidR="007A1FD7" w:rsidRPr="00483F7D">
        <w:t xml:space="preserve">να αναβάλλουν την πληρωμή της τελωνειακής οφειλής σύμφωνα με το άρθρο </w:t>
      </w:r>
      <w:hyperlink w:anchor="__akn_article_hnZnwa" w:tooltip="Article 188: 188">
        <w:r w:rsidR="007A1FD7" w:rsidRPr="00483F7D">
          <w:rPr>
            <w:rStyle w:val="Hyperlink"/>
          </w:rPr>
          <w:t>188</w:t>
        </w:r>
      </w:hyperlink>
      <w:r w:rsidR="007A1FD7" w:rsidRPr="00483F7D">
        <w:t>.</w:t>
      </w:r>
    </w:p>
    <w:p w14:paraId="751E71C3" w14:textId="77777777" w:rsidR="00E0244C" w:rsidRPr="00483F7D" w:rsidRDefault="007A1FD7" w:rsidP="5DA9B26A">
      <w:pPr>
        <w:pStyle w:val="ManualNumPar10"/>
      </w:pPr>
      <w:r w:rsidRPr="00483F7D">
        <w:t>8.</w:t>
      </w:r>
      <w:r w:rsidRPr="00483F7D">
        <w:tab/>
        <w:t>Στους αξιόπιστους και ελεγμένους συναλλασσομένους παρέχονται περισσότερες διευκολύνσεις από ό,τι σε άλλους οικονομικούς φορείς όσον αφορά τους τελωνειακούς ελέγχους, ανάλογα με την άδεια που τους έχει χορηγηθεί, ενώ υποβάλλονται, μεταξύ άλλων, και σε λιγότερους φυσικούς ελέγχους και ελέγχους εγγράφων. Η ιδιότητα του αξιόπιστου και ελεγμένου συναλλασσομένου λαμβάνεται ευνοϊκά υπόψη για τους σκοπούς της διαχείρισης τελωνειακών κινδύνων.</w:t>
      </w:r>
    </w:p>
    <w:p w14:paraId="2BFF2D3E" w14:textId="77777777" w:rsidR="00F1419B" w:rsidRPr="00483F7D" w:rsidRDefault="00F1419B" w:rsidP="5DA9B26A">
      <w:pPr>
        <w:pStyle w:val="ManualNumPar10"/>
      </w:pPr>
      <w:r w:rsidRPr="00483F7D">
        <w:t>9.</w:t>
      </w:r>
      <w:r w:rsidRPr="00483F7D">
        <w:tab/>
        <w:t>Κατά παρέκκλιση από το άρθρο 110, όταν ο εισαγωγέας ή ο εξαγωγέας των εμπορευμάτων που εισέρχονται από το τελωνειακό έδαφος ή εξέρχονται από αυτό έχει την ιδιότητα του αξιόπιστου και ελεγμένου συναλλασσομένου, τα εμπορεύματα θεωρούνται ότι τελούν υπό καθεστώς αναστολής δασμών και παραμένουν υπό τελωνειακή επιτήρηση έως τον τελικό προορισμό τους χωρίς την υποχρέωση να τεθούν υπό διαμετακόμιση. Ο αξιόπιστος και ελεγμένος συναλλασσόμενος είναι υπόχρεος για την καταβολή τελωνειακών δασμών, λοιπών φόρων και λοιπών επιβαρύνσεων στο κράτος μέλος εγκατάστασης και στο οποίο χορηγήθηκε η άδεια.</w:t>
      </w:r>
    </w:p>
    <w:p w14:paraId="77777079" w14:textId="77777777" w:rsidR="00E0244C" w:rsidRPr="00483F7D" w:rsidRDefault="00F1419B" w:rsidP="00980E8B">
      <w:pPr>
        <w:pStyle w:val="ManualNumPar10"/>
      </w:pPr>
      <w:r w:rsidRPr="00483F7D">
        <w:t>10.</w:t>
      </w:r>
      <w:r w:rsidRPr="00483F7D">
        <w:tab/>
        <w:t>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του είδους και της συχνότητας των δραστηριοτήτων παρακολούθησης που αναφέρονται στην παράγραφο 4 του παρόντος άρθρου.</w:t>
      </w:r>
    </w:p>
    <w:p w14:paraId="3C22C0B4" w14:textId="77777777" w:rsidR="00F43D19" w:rsidRPr="00483F7D" w:rsidRDefault="007A1FD7" w:rsidP="5DA9B26A">
      <w:pPr>
        <w:pStyle w:val="ManualNumPar10"/>
      </w:pPr>
      <w:r w:rsidRPr="00483F7D">
        <w:t>11.</w:t>
      </w:r>
      <w:r w:rsidRPr="00483F7D">
        <w:tab/>
        <w:t>Η Επιτροπή θεσπίζει, με εκτελεστικές πράξεις:</w:t>
      </w:r>
    </w:p>
    <w:p w14:paraId="1C477EDA" w14:textId="3C1E7AC0" w:rsidR="00E75E0F" w:rsidRPr="00483F7D" w:rsidRDefault="00BC60FC" w:rsidP="00BC60FC">
      <w:pPr>
        <w:pStyle w:val="Point1"/>
      </w:pPr>
      <w:r w:rsidRPr="00483F7D">
        <w:t>α)</w:t>
      </w:r>
      <w:r w:rsidRPr="00483F7D">
        <w:tab/>
      </w:r>
      <w:r w:rsidR="00F43D19" w:rsidRPr="00483F7D">
        <w:t>τους κανόνες διαβούλευσης με άλλες αρχές για τον καθορισμό της ιδιότητας του αξιόπιστου και ελεγμένου συναλλασσομένου που αναφέρεται στην παράγραφο 2·</w:t>
      </w:r>
    </w:p>
    <w:p w14:paraId="7DDA3347" w14:textId="0522EF33" w:rsidR="00E75E0F" w:rsidRPr="00483F7D" w:rsidRDefault="00BC60FC" w:rsidP="00BC60FC">
      <w:pPr>
        <w:pStyle w:val="Point1"/>
      </w:pPr>
      <w:r w:rsidRPr="00483F7D">
        <w:t>β)</w:t>
      </w:r>
      <w:r w:rsidRPr="00483F7D">
        <w:tab/>
      </w:r>
      <w:r w:rsidR="007A1FD7" w:rsidRPr="00483F7D">
        <w:t>τις λεπτομέρειες εφαρμογής των κριτηρίων που αναφέρονται στο άρθρο 3,</w:t>
      </w:r>
    </w:p>
    <w:p w14:paraId="36EE32F0" w14:textId="490C3817" w:rsidR="00F43D19" w:rsidRPr="00483F7D" w:rsidRDefault="00BC60FC" w:rsidP="00BC60FC">
      <w:pPr>
        <w:pStyle w:val="Point1"/>
      </w:pPr>
      <w:r w:rsidRPr="00483F7D">
        <w:t>γ)</w:t>
      </w:r>
      <w:r w:rsidRPr="00483F7D">
        <w:tab/>
      </w:r>
      <w:r w:rsidR="00F43D19" w:rsidRPr="00483F7D">
        <w:t xml:space="preserve">τους κανόνες διαβούλευσης με τις τελωνειακές αρχές που αναφέρονται στην παράγραφο 5. </w:t>
      </w:r>
    </w:p>
    <w:p w14:paraId="6B24FCAC" w14:textId="77777777" w:rsidR="00E0244C" w:rsidRPr="00483F7D" w:rsidRDefault="00095A54" w:rsidP="00967D67">
      <w:pPr>
        <w:pStyle w:val="Text1"/>
      </w:pPr>
      <w:r w:rsidRPr="00483F7D">
        <w:t>Οι εν λόγω εκτελεστικές πράξεις εκδίδονται σύμφωνα με τη διαδικασία εξέτασης που αναφέρεται στο άρθρο 262 παράγραφος 4.</w:t>
      </w:r>
    </w:p>
    <w:p w14:paraId="04FE4A60" w14:textId="77777777" w:rsidR="00E0244C" w:rsidRPr="00483F7D" w:rsidRDefault="007A1FD7">
      <w:pPr>
        <w:pStyle w:val="Titrearticle"/>
      </w:pPr>
      <w:r w:rsidRPr="00483F7D">
        <w:t>Άρθρο 26</w:t>
      </w:r>
    </w:p>
    <w:p w14:paraId="2A77E9F7" w14:textId="77777777" w:rsidR="00E0244C" w:rsidRPr="00483F7D" w:rsidRDefault="007A1FD7">
      <w:pPr>
        <w:pStyle w:val="NormalCentered"/>
      </w:pPr>
      <w:r w:rsidRPr="00483F7D">
        <w:rPr>
          <w:b/>
        </w:rPr>
        <w:t>Μεταβατικές διατάξεις για εγκεκριμένους οικονομικούς φορείς ως προς τις τελωνειακές απλουστεύσεις</w:t>
      </w:r>
    </w:p>
    <w:p w14:paraId="55577F32" w14:textId="77777777" w:rsidR="00E0244C" w:rsidRPr="00483F7D" w:rsidRDefault="007A1FD7">
      <w:pPr>
        <w:pStyle w:val="ManualNumPar10"/>
      </w:pPr>
      <w:r w:rsidRPr="00483F7D">
        <w:t>1.</w:t>
      </w:r>
      <w:r w:rsidRPr="00483F7D">
        <w:tab/>
        <w:t>Έως την ημερομηνία που ορίζεται στο άρθρο 265 παράγραφος 4, οι τελωνειακές αρχές μπορούν να χορηγούν σε πρόσωπα που πληρούν τα κριτήρια την ιδιότητα του εγκεκριμένου οικονομικού φορέα ως προς τις τελωνειακές απλουστεύσεις και να τους επιτρέπουν να επωφελούνται από ορισμένες απλουστεύσεις και διευκολύνσεις σύμφωνα με την τελωνειακή νομοθεσία.</w:t>
      </w:r>
    </w:p>
    <w:p w14:paraId="18B79289" w14:textId="77777777" w:rsidR="00E0244C" w:rsidRPr="00483F7D" w:rsidRDefault="007A1FD7">
      <w:pPr>
        <w:pStyle w:val="ManualNumPar10"/>
      </w:pPr>
      <w:r w:rsidRPr="00483F7D">
        <w:t>2.</w:t>
      </w:r>
      <w:r w:rsidRPr="00483F7D">
        <w:tab/>
        <w:t xml:space="preserve">Έως την ημερομηνία που ορίζεται στο άρθρο 265 παράγραφος 3, οι τελωνειακές αρχές αξιολογούν τις ισχύουσες άδειες των εγκεκριμένων οικονομικών φορέων ως προς τις τελωνειακές απλουστεύσεις, ώστε να ελέγξουν αν μπορεί να χορηγηθεί στους δικαιούχους τους η ιδιότητα του αξιόπιστου και ελεγμένου συναλλασσομένου. Αν δεν είναι δυνατό να χορηγηθεί, ανακαλείται η ιδιότητα του εγκεκριμένου οικονομικού φορέα ως προς τις τελωνειακές απλουστεύσεις και οι απλουστεύσεις που αναφέρονται στο άρθρο 23 παράγραφος </w:t>
      </w:r>
      <w:hyperlink w:anchor="__akn_article_hgTPEo_qLODfF" w:tooltip="Article 23(5): (5)">
        <w:r w:rsidRPr="00483F7D">
          <w:rPr>
            <w:rStyle w:val="Hyperlink"/>
          </w:rPr>
          <w:t>5</w:t>
        </w:r>
      </w:hyperlink>
      <w:r w:rsidRPr="00483F7D">
        <w:t>.</w:t>
      </w:r>
    </w:p>
    <w:p w14:paraId="557D3E6D" w14:textId="77777777" w:rsidR="00E0244C" w:rsidRPr="00483F7D" w:rsidRDefault="007A1FD7">
      <w:pPr>
        <w:pStyle w:val="ManualNumPar10"/>
      </w:pPr>
      <w:r w:rsidRPr="00483F7D">
        <w:t>3.</w:t>
      </w:r>
      <w:r w:rsidRPr="00483F7D">
        <w:tab/>
        <w:t xml:space="preserve">Έως ότου επαναξιολογηθεί η άδεια ή έως την ημερομηνία που ορίζεται στο άρθρο 265 παράγραφος 3, ανάλογα με το ποια ημερομηνία είναι προγενέστερη, η αναγνώριση της ιδιότητας του εγκεκριμένου οικονομικού φορέα ως προς τις τελωνειακές απλουστεύσεις παραμένει σε ισχύ, εκτός αν εφαρμόζονται τα άρθρα </w:t>
      </w:r>
      <w:hyperlink w:anchor="_bill__akn_article_dsMil5" w:tooltip="Article 9: 9">
        <w:r w:rsidRPr="00483F7D">
          <w:rPr>
            <w:rStyle w:val="Hyperlink"/>
          </w:rPr>
          <w:t>9</w:t>
        </w:r>
      </w:hyperlink>
      <w:r w:rsidRPr="00483F7D">
        <w:t xml:space="preserve"> και </w:t>
      </w:r>
      <w:hyperlink w:anchor="_bill__akn_article_F8k6wz" w:tooltip="Article 10: 10">
        <w:r w:rsidRPr="00483F7D">
          <w:rPr>
            <w:rStyle w:val="Hyperlink"/>
          </w:rPr>
          <w:t>10</w:t>
        </w:r>
      </w:hyperlink>
      <w:r w:rsidRPr="00483F7D">
        <w:t xml:space="preserve"> σχετικά με την ακύρωση, την ανάκληση ή την τροποποίηση αποφάσεων.</w:t>
      </w:r>
    </w:p>
    <w:p w14:paraId="40D0BF54" w14:textId="77777777" w:rsidR="00E0244C" w:rsidRPr="00483F7D" w:rsidRDefault="007A1FD7">
      <w:pPr>
        <w:pStyle w:val="ChapterTitle"/>
      </w:pPr>
      <w:r w:rsidRPr="00483F7D">
        <w:t xml:space="preserve">Κεφάλαιο 5 </w:t>
      </w:r>
      <w:r w:rsidRPr="00483F7D">
        <w:br/>
        <w:t>Τελωνειακή αντιπροσώπευση</w:t>
      </w:r>
    </w:p>
    <w:p w14:paraId="2348CA4A" w14:textId="77777777" w:rsidR="00E0244C" w:rsidRPr="00483F7D" w:rsidRDefault="007A1FD7">
      <w:pPr>
        <w:pStyle w:val="Titrearticle"/>
      </w:pPr>
      <w:bookmarkStart w:id="52" w:name="_Hlk132360449"/>
      <w:r w:rsidRPr="00483F7D">
        <w:t>Άρθρο 27</w:t>
      </w:r>
    </w:p>
    <w:p w14:paraId="3A854B61" w14:textId="77777777" w:rsidR="00E0244C" w:rsidRPr="00483F7D" w:rsidRDefault="007A1FD7">
      <w:pPr>
        <w:pStyle w:val="NormalCentered"/>
      </w:pPr>
      <w:r w:rsidRPr="00483F7D">
        <w:rPr>
          <w:b/>
        </w:rPr>
        <w:t>Τελωνειακοί αντιπρόσωποι</w:t>
      </w:r>
    </w:p>
    <w:p w14:paraId="26A9A18E" w14:textId="77777777" w:rsidR="00E0244C" w:rsidRPr="00483F7D" w:rsidRDefault="007A1FD7">
      <w:pPr>
        <w:pStyle w:val="ManualNumPar10"/>
      </w:pPr>
      <w:r w:rsidRPr="00483F7D">
        <w:t>1.</w:t>
      </w:r>
      <w:r w:rsidRPr="00483F7D">
        <w:tab/>
        <w:t>Κάθε πρόσωπο μπορεί να ορίσει τελωνειακό αντιπρόσωπο.</w:t>
      </w:r>
    </w:p>
    <w:p w14:paraId="54A78BD8" w14:textId="77777777" w:rsidR="00E0244C" w:rsidRPr="00483F7D" w:rsidRDefault="007A1FD7" w:rsidP="56013CD1">
      <w:pPr>
        <w:pStyle w:val="Text1"/>
      </w:pPr>
      <w:r w:rsidRPr="00483F7D">
        <w:t>Η εν λόγω αντιπροσώπευση μπορεί να είναι είτε άμεση, οπότε ο τελωνειακός αντιπρόσωπος ενεργεί εξ ονόματος και για λογαριασμό άλλου προσώπου, είτε έμμεση, οπότε ο τελωνειακός αντιπρόσωπος ενεργεί εξ ονόματός του, αλλά για λογαριασμό άλλου προσώπου.</w:t>
      </w:r>
    </w:p>
    <w:p w14:paraId="3AACAD58" w14:textId="77777777" w:rsidR="00E66DDC" w:rsidRPr="00483F7D" w:rsidRDefault="00E66DDC">
      <w:pPr>
        <w:pStyle w:val="Text1"/>
      </w:pPr>
      <w:r w:rsidRPr="00483F7D">
        <w:t>Έμμεσος τελωνειακός αντιπρόσωπος που ενεργεί εξ ονόματός του αλλά για λογαριασμό εισαγωγέα ή εξαγωγέα θεωρείται εισαγωγέας ή εξαγωγέας για τους σκοπούς των άρθρων 20 και 22, αντίστοιχα.</w:t>
      </w:r>
    </w:p>
    <w:p w14:paraId="0D82D493" w14:textId="77777777" w:rsidR="00E0244C" w:rsidRPr="00483F7D" w:rsidRDefault="007A1FD7">
      <w:pPr>
        <w:pStyle w:val="ManualNumPar10"/>
      </w:pPr>
      <w:r w:rsidRPr="00483F7D">
        <w:t>2.</w:t>
      </w:r>
      <w:r w:rsidRPr="00483F7D">
        <w:tab/>
        <w:t>Ο τελωνειακός αντιπρόσωπος είναι εγκατεστημένος στο τελωνειακό έδαφος της Ένωσης.</w:t>
      </w:r>
    </w:p>
    <w:p w14:paraId="6F21C971" w14:textId="77777777" w:rsidR="00E0244C" w:rsidRPr="00483F7D" w:rsidRDefault="007A1FD7">
      <w:pPr>
        <w:pStyle w:val="Text1"/>
      </w:pPr>
      <w:r w:rsidRPr="00483F7D">
        <w:t>Εκτός αν ορίζεται άλλως, η εν λόγω απαίτηση αίρεται αν ο τελωνειακός αντιπρόσωπος ενεργεί για λογαριασμό προσώπων τα οποία δεν υποχρεούνται να είναι εγκατεστημένα εντός του τελωνειακού εδάφους της Ένωσης.</w:t>
      </w:r>
    </w:p>
    <w:bookmarkEnd w:id="52"/>
    <w:p w14:paraId="7E39DD2C" w14:textId="77777777" w:rsidR="00E0244C" w:rsidRPr="00483F7D" w:rsidRDefault="007A1FD7">
      <w:pPr>
        <w:pStyle w:val="ManualNumPar10"/>
      </w:pPr>
      <w:r w:rsidRPr="00483F7D">
        <w:t>3.</w:t>
      </w:r>
      <w:r w:rsidRPr="00483F7D">
        <w:tab/>
        <w:t>Τελωνειακός αντιπρόσωπος που έχει την ιδιότητα του αξιόπιστου και ελεγμένου συναλλασσομένου αναγνωρίζεται ως τέτοιος μόνον όταν ενεργεί ως έμμεσος αντιπρόσωπος. Όταν ενεργεί ως άμεσος αντιπρόσωπος, ο τελωνειακός αντιπρόσωπος μπορεί να αναγνωρίζεται ως αξιόπιστος και ελεγμένος συναλλασσόμενος, αν το πρόσωπο εξ ονόματος και για λογαριασμό του οποίου ενεργεί ο εν λόγω αντιπρόσωπος έχει αποκτήσει την ιδιότητα αυτή.</w:t>
      </w:r>
    </w:p>
    <w:p w14:paraId="0CE6DB32" w14:textId="77777777" w:rsidR="00E0244C" w:rsidRPr="00483F7D" w:rsidRDefault="007A1FD7">
      <w:pPr>
        <w:pStyle w:val="ManualNumPar10"/>
      </w:pPr>
      <w:r w:rsidRPr="00483F7D">
        <w:t>4.</w:t>
      </w:r>
      <w:r w:rsidRPr="00483F7D">
        <w:tab/>
        <w:t>Η Επιτροπή καθορίζει, σύμφωνα με το ενωσιακό δίκαιο, τους όρους υπό τους οποίους ένας τελωνειακός αντιπρόσωπος μπορεί να παρέχει υπηρεσίες στο τελωνειακό έδαφος της Ένωσης.</w:t>
      </w:r>
    </w:p>
    <w:p w14:paraId="0F73CA89" w14:textId="77777777" w:rsidR="00E0244C" w:rsidRPr="00483F7D" w:rsidRDefault="007A1FD7">
      <w:pPr>
        <w:pStyle w:val="ManualNumPar10"/>
      </w:pPr>
      <w:r w:rsidRPr="00483F7D">
        <w:t>5.</w:t>
      </w:r>
      <w:r w:rsidRPr="00483F7D">
        <w:tab/>
        <w:t>Τα κράτη μέλη εφαρμόζουν τους όρους που έχουν καθορίσει σύμφωνα με την παράγραφο 4 στους τελωνειακούς αντιπροσώπους που δεν είναι εγκατεστημένοι εντός του τελωνειακού εδάφους της Ένωσης.</w:t>
      </w:r>
    </w:p>
    <w:p w14:paraId="682D942D" w14:textId="77777777" w:rsidR="00E0244C" w:rsidRPr="00483F7D" w:rsidRDefault="007A1FD7">
      <w:pPr>
        <w:pStyle w:val="ManualNumPar10"/>
      </w:pPr>
      <w:r w:rsidRPr="00483F7D">
        <w:t>6.</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379A7B35" w14:textId="764DCE88" w:rsidR="00E75E0F" w:rsidRPr="00483F7D" w:rsidRDefault="00BC60FC" w:rsidP="00BC60FC">
      <w:pPr>
        <w:pStyle w:val="Point1"/>
      </w:pPr>
      <w:r w:rsidRPr="00483F7D">
        <w:t>α)</w:t>
      </w:r>
      <w:r w:rsidRPr="00483F7D">
        <w:tab/>
      </w:r>
      <w:r w:rsidR="007A1FD7" w:rsidRPr="00483F7D">
        <w:t>των περιπτώσεων όπου δεν εφαρμόζεται η άρση της υποχρέωσης που αναφέρεται στην παράγραφο 2 δεύτερο εδάφιο·</w:t>
      </w:r>
    </w:p>
    <w:p w14:paraId="3C757992" w14:textId="5C103E19" w:rsidR="00E0244C" w:rsidRPr="00483F7D" w:rsidRDefault="00BC60FC" w:rsidP="00BC60FC">
      <w:pPr>
        <w:pStyle w:val="Point1"/>
      </w:pPr>
      <w:r w:rsidRPr="00483F7D">
        <w:t>β)</w:t>
      </w:r>
      <w:r w:rsidRPr="00483F7D">
        <w:tab/>
      </w:r>
      <w:r w:rsidR="007A1FD7" w:rsidRPr="00483F7D">
        <w:t>των αναφερόμενων στην παράγραφο 4 όρων υπό τους οποίους ένας τελωνειακός αντιπρόσωπος μπορεί να παρέχει υπηρεσίες στο τελωνειακό έδαφος της Ένωσης.</w:t>
      </w:r>
    </w:p>
    <w:p w14:paraId="01C59D4D" w14:textId="77777777" w:rsidR="00E0244C" w:rsidRPr="00483F7D" w:rsidRDefault="007A1FD7">
      <w:pPr>
        <w:pStyle w:val="Titrearticle"/>
      </w:pPr>
      <w:r w:rsidRPr="00483F7D">
        <w:t>Άρθρο 28</w:t>
      </w:r>
    </w:p>
    <w:p w14:paraId="15303C7C" w14:textId="77777777" w:rsidR="00E0244C" w:rsidRPr="00483F7D" w:rsidRDefault="007A1FD7">
      <w:pPr>
        <w:pStyle w:val="NormalCentered"/>
      </w:pPr>
      <w:r w:rsidRPr="00483F7D">
        <w:rPr>
          <w:b/>
        </w:rPr>
        <w:t>Εξουσιοδότηση αντιπροσώπου</w:t>
      </w:r>
    </w:p>
    <w:p w14:paraId="768D2CA6" w14:textId="77777777" w:rsidR="00E0244C" w:rsidRPr="00483F7D" w:rsidRDefault="007A1FD7">
      <w:pPr>
        <w:pStyle w:val="ManualNumPar10"/>
      </w:pPr>
      <w:r w:rsidRPr="00483F7D">
        <w:t>1.</w:t>
      </w:r>
      <w:r w:rsidRPr="00483F7D">
        <w:tab/>
        <w:t>Κατά τις συναλλαγές του με τις τελωνειακές αρχές, ο τελωνειακός αντιπρόσωπος αναφέρει ότι ενεργεί για λογαριασμό του προσώπου που εκπροσωπεί και διευκρινίζει κατά πόσον η αντιπροσώπευση είναι άμεση ή έμμεση.</w:t>
      </w:r>
    </w:p>
    <w:p w14:paraId="20F6D7B7" w14:textId="77777777" w:rsidR="00E0244C" w:rsidRPr="00483F7D" w:rsidRDefault="007A1FD7">
      <w:pPr>
        <w:pStyle w:val="Text1"/>
      </w:pPr>
      <w:r w:rsidRPr="00483F7D">
        <w:t>Το πρόσωπο που δεν δηλώνει ότι ενεργεί ως τελωνειακός αντιπρόσωπος ή που δηλώνει ότι ενεργεί ως τελωνειακός αντιπρόσωπος χωρίς να έχει σχετική εξουσιοδότηση, θεωρείται ότι ενεργεί εξ ονόματός του και για λογαριασμό του.</w:t>
      </w:r>
    </w:p>
    <w:p w14:paraId="38BE4140" w14:textId="77777777" w:rsidR="00E0244C" w:rsidRPr="00483F7D" w:rsidRDefault="007A1FD7">
      <w:pPr>
        <w:pStyle w:val="ManualNumPar10"/>
      </w:pPr>
      <w:r w:rsidRPr="00483F7D">
        <w:t>2.</w:t>
      </w:r>
      <w:r w:rsidRPr="00483F7D">
        <w:tab/>
        <w:t>Οι τελωνειακές αρχές μπορούν να ζητήσουν από οποιοδήποτε πρόσωπο το οποίο δηλώνει ότι ενεργεί ως τελωνειακός αντιπρόσωπος, να παράσχει στοιχεία που να αποδεικνύουν ότι διαθέτει εξουσιοδότηση του προσώπου που αντιπροσωπεύει.</w:t>
      </w:r>
    </w:p>
    <w:p w14:paraId="75DA0FCF" w14:textId="77777777" w:rsidR="00E0244C" w:rsidRPr="00483F7D" w:rsidRDefault="007A1FD7">
      <w:pPr>
        <w:pStyle w:val="Text1"/>
      </w:pPr>
      <w:r w:rsidRPr="00483F7D">
        <w:t>Σε ειδικές περιπτώσεις, οι τελωνειακές αρχές δεν απαιτούν την προσκόμιση τέτοιων αποδεικτικών στοιχείων.</w:t>
      </w:r>
    </w:p>
    <w:p w14:paraId="499D770D" w14:textId="77777777" w:rsidR="00E0244C" w:rsidRPr="00483F7D" w:rsidRDefault="007A1FD7">
      <w:pPr>
        <w:pStyle w:val="ManualNumPar10"/>
      </w:pPr>
      <w:r w:rsidRPr="00483F7D">
        <w:t>3.</w:t>
      </w:r>
      <w:r w:rsidRPr="00483F7D">
        <w:tab/>
        <w:t>Οι τελωνειακές αρχές δεν ζητούν από πρόσωπο που ενεργεί ως τελωνειακός αντιπρόσωπος και διεκπεραιώνει τακτικά πράξεις και διατυπώσεις να προσκομίζει κάθε φορά στοιχεία που να αποδεικνύουν ότι διαθέτει εξουσιοδότηση, στον βαθμό που το εν λόγω πρόσωπο είναι σε θέση να προσκομίσει τα στοιχεία αυτά στις τελωνειακές αρχές εφόσον του ζητηθεί.</w:t>
      </w:r>
    </w:p>
    <w:p w14:paraId="38ED1B7E" w14:textId="77777777" w:rsidR="00E0244C" w:rsidRPr="00483F7D" w:rsidRDefault="007A1FD7" w:rsidP="5DA9B26A">
      <w:pPr>
        <w:pStyle w:val="ManualNumPar10"/>
      </w:pPr>
      <w:r w:rsidRPr="00483F7D">
        <w:t>4.</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περιπτώσεων στις οποίες δεν απαιτούνται τα στοιχεία που αποδεικνύουν την εξουσιοδότηση, τα οποία αναφέρονται στην παράγραφο 2 του παρόντος άρθρου.</w:t>
      </w:r>
    </w:p>
    <w:p w14:paraId="7B448E95" w14:textId="77777777" w:rsidR="003422E6" w:rsidRPr="00483F7D" w:rsidRDefault="007A7F3A" w:rsidP="0033208A">
      <w:pPr>
        <w:pStyle w:val="ManualNumPar10"/>
      </w:pPr>
      <w:r w:rsidRPr="00483F7D">
        <w:t>5.</w:t>
      </w:r>
      <w:r w:rsidRPr="00483F7D">
        <w:tab/>
        <w:t>Η Επιτροπή θεσπίζει. με εκτελεστικές πράξεις, τους κανόνες σχετικά με την εκχώρηση και την απόδειξη του δικαιώματος που αναφέρεται στην παράγραφο 3. Οι εν λόγω εκτελεστικές πράξεις εκδίδονται σύμφωνα με τη διαδικασία εξέτασης που αναφέρεται στο άρθρο 262 παράγραφος 4.</w:t>
      </w:r>
    </w:p>
    <w:p w14:paraId="101ED3DB" w14:textId="77777777" w:rsidR="007F42FE" w:rsidRPr="00483F7D" w:rsidRDefault="007F42FE" w:rsidP="007F42FE">
      <w:pPr>
        <w:pStyle w:val="ChapterTitle"/>
      </w:pPr>
      <w:bookmarkStart w:id="53" w:name="__akn_title_XAsDvV"/>
      <w:bookmarkEnd w:id="53"/>
      <w:r w:rsidRPr="00483F7D">
        <w:t xml:space="preserve">Τίτλος III </w:t>
      </w:r>
      <w:r w:rsidRPr="00483F7D">
        <w:br/>
        <w:t>ΤΕΛΩΝΕΙΑΚΟΣ ΚΟΜΒΟΣ ΔΕΔΟΜΕΝΩΝ ΤΗΣ ΕΕ</w:t>
      </w:r>
    </w:p>
    <w:p w14:paraId="09B2376D" w14:textId="77777777" w:rsidR="007F42FE" w:rsidRPr="00483F7D" w:rsidRDefault="007F42FE" w:rsidP="007F42FE">
      <w:pPr>
        <w:pStyle w:val="Titrearticle"/>
      </w:pPr>
      <w:r w:rsidRPr="00483F7D">
        <w:t>Άρθρο 29</w:t>
      </w:r>
    </w:p>
    <w:p w14:paraId="15051349" w14:textId="77777777" w:rsidR="007F42FE" w:rsidRPr="00483F7D" w:rsidRDefault="007F42FE" w:rsidP="007F42FE">
      <w:pPr>
        <w:pStyle w:val="NormalCentered"/>
      </w:pPr>
      <w:r w:rsidRPr="00483F7D">
        <w:rPr>
          <w:b/>
        </w:rPr>
        <w:t>Λειτουργίες και σκοπός του τελωνειακού κόμβου δεδομένων της ΕΕ</w:t>
      </w:r>
    </w:p>
    <w:p w14:paraId="7EC1A451" w14:textId="77777777" w:rsidR="007F42FE" w:rsidRPr="00483F7D" w:rsidRDefault="007F42FE" w:rsidP="00CF7E35">
      <w:pPr>
        <w:pStyle w:val="NumPar1"/>
        <w:numPr>
          <w:ilvl w:val="0"/>
          <w:numId w:val="50"/>
        </w:numPr>
      </w:pPr>
      <w:r w:rsidRPr="00483F7D">
        <w:t>Ο τελωνειακός κόμβος δεδομένων της ΕΕ παρέχει ένα ασφαλές και κυβερνοανθεκτικό σύνολο ηλεκτρονικών υπηρεσιών και συστημάτων για τη χρήση δεδομένων, συμπεριλαμβανομένων δεδομένων προσωπικού χαρακτήρα για τελωνειακούς σκοπούς. Παρέχει τις ακόλουθες λειτουργίες:</w:t>
      </w:r>
    </w:p>
    <w:p w14:paraId="65C9BE98" w14:textId="74295361" w:rsidR="007F42FE" w:rsidRPr="00483F7D" w:rsidRDefault="00BC60FC" w:rsidP="00BC60FC">
      <w:pPr>
        <w:pStyle w:val="Point1"/>
      </w:pPr>
      <w:r w:rsidRPr="00483F7D">
        <w:t>α)</w:t>
      </w:r>
      <w:r w:rsidRPr="00483F7D">
        <w:tab/>
      </w:r>
      <w:r w:rsidR="007F42FE" w:rsidRPr="00483F7D">
        <w:t xml:space="preserve">καθιστά δυνατή την ηλεκτρονική εφαρμογή της τελωνειακής νομοθεσίας· </w:t>
      </w:r>
    </w:p>
    <w:p w14:paraId="07A1C123" w14:textId="3272C736" w:rsidR="007F42FE" w:rsidRPr="00483F7D" w:rsidRDefault="00BC60FC" w:rsidP="00BC60FC">
      <w:pPr>
        <w:pStyle w:val="Point1"/>
      </w:pPr>
      <w:r w:rsidRPr="00483F7D">
        <w:t>β)</w:t>
      </w:r>
      <w:r w:rsidRPr="00483F7D">
        <w:tab/>
      </w:r>
      <w:r w:rsidR="007F42FE" w:rsidRPr="00483F7D">
        <w:t>διασφαλίζει την ποιότητα, την ακεραιότητα, την ιχνηλασιμότητα και τη μη άρνηση αναγνώρισης των δεδομένων που υποβάλλονται σε επεξεργασία σε αυτόν, συμπεριλαμβανομένης της τροποποίησης των εν λόγω δεδομένων·</w:t>
      </w:r>
    </w:p>
    <w:p w14:paraId="637B0F1D" w14:textId="477454BC" w:rsidR="007F42FE" w:rsidRPr="00483F7D" w:rsidRDefault="00BC60FC" w:rsidP="00BC60FC">
      <w:pPr>
        <w:pStyle w:val="Point1"/>
      </w:pPr>
      <w:r w:rsidRPr="00483F7D">
        <w:t>γ)</w:t>
      </w:r>
      <w:r w:rsidRPr="00483F7D">
        <w:tab/>
      </w:r>
      <w:r w:rsidR="007F42FE" w:rsidRPr="00483F7D">
        <w:t>διασφαλίζει τη συμμόρφωση με τις διατάξεις του κανονισμού (ΕΕ) 2016/679, του κανονισμού (ΕΕ) 2018/1725 του Ευρωπαϊκού Κοινοβουλίου και του Συμβουλίου</w:t>
      </w:r>
      <w:r w:rsidR="007F42FE" w:rsidRPr="00483F7D">
        <w:rPr>
          <w:rStyle w:val="FootnoteReference"/>
        </w:rPr>
        <w:footnoteReference w:id="64"/>
      </w:r>
      <w:r w:rsidR="007F42FE" w:rsidRPr="00483F7D">
        <w:t xml:space="preserve"> ή της οδηγίας (ΕΕ) 2016/680 του Ευρωπαϊκού Κοινοβουλίου και του Συμβουλίου</w:t>
      </w:r>
      <w:r w:rsidR="007F42FE" w:rsidRPr="00483F7D">
        <w:rPr>
          <w:rStyle w:val="FootnoteReference"/>
        </w:rPr>
        <w:footnoteReference w:id="65"/>
      </w:r>
      <w:r w:rsidR="007F42FE" w:rsidRPr="00483F7D">
        <w:t xml:space="preserve"> σχετικά με την επεξεργασία των δεδομένων προσωπικού χαρακτήρα·</w:t>
      </w:r>
    </w:p>
    <w:p w14:paraId="02FFBC9B" w14:textId="5056308E" w:rsidR="007F42FE" w:rsidRPr="00483F7D" w:rsidRDefault="00BC60FC" w:rsidP="00BC60FC">
      <w:pPr>
        <w:pStyle w:val="Point1"/>
      </w:pPr>
      <w:r w:rsidRPr="00483F7D">
        <w:t>δ)</w:t>
      </w:r>
      <w:r w:rsidRPr="00483F7D">
        <w:tab/>
      </w:r>
      <w:r w:rsidR="007F42FE" w:rsidRPr="00483F7D">
        <w:t>καθιστά δυνατή την ανάλυση κινδύνου, την οικονομική ανάλυση και την ανάλυση δεδομένων, μεταξύ άλλων μέσω της χρήσης συστημάτων τεχνητής νοημοσύνης σύμφωνα με την [πράξη για την τεχνητή νοημοσύνη 2021/0106 (COD)]</w:t>
      </w:r>
      <w:r w:rsidR="007F42FE" w:rsidRPr="00483F7D">
        <w:rPr>
          <w:rStyle w:val="FootnoteReference"/>
        </w:rPr>
        <w:footnoteReference w:id="66"/>
      </w:r>
      <w:r w:rsidR="007F42FE" w:rsidRPr="00483F7D">
        <w:t>·</w:t>
      </w:r>
    </w:p>
    <w:p w14:paraId="27F33D75" w14:textId="3CCA62D0" w:rsidR="007F42FE" w:rsidRPr="00483F7D" w:rsidRDefault="00BC60FC" w:rsidP="00BC60FC">
      <w:pPr>
        <w:pStyle w:val="Point1"/>
      </w:pPr>
      <w:r w:rsidRPr="00483F7D">
        <w:t>ε)</w:t>
      </w:r>
      <w:r w:rsidRPr="00483F7D">
        <w:tab/>
      </w:r>
      <w:r w:rsidR="007F42FE" w:rsidRPr="00483F7D">
        <w:t xml:space="preserve">καθιστά δυνατή τη διαλειτουργικότητα των εν λόγω υπηρεσιών και συστημάτων με άλλα ηλεκτρονικά συστήματα, πλατφόρμες ή περιβάλλοντα για τους σκοπούς της συνεργασίας σύμφωνα με τον τίτλο </w:t>
      </w:r>
      <w:hyperlink w:anchor="__akn_title_eL2ru7" w:tooltip="Title XIII: XIII">
        <w:r w:rsidR="007F42FE" w:rsidRPr="00483F7D">
          <w:t>XIII</w:t>
        </w:r>
      </w:hyperlink>
      <w:r w:rsidR="007F42FE" w:rsidRPr="00483F7D">
        <w:t>· </w:t>
      </w:r>
    </w:p>
    <w:p w14:paraId="39897F5C" w14:textId="2147BF78" w:rsidR="007F42FE" w:rsidRPr="00483F7D" w:rsidRDefault="00BC60FC" w:rsidP="00BC60FC">
      <w:pPr>
        <w:pStyle w:val="Point1"/>
      </w:pPr>
      <w:r w:rsidRPr="00483F7D">
        <w:t>στ)</w:t>
      </w:r>
      <w:r w:rsidRPr="00483F7D">
        <w:tab/>
      </w:r>
      <w:r w:rsidR="007F42FE" w:rsidRPr="00483F7D">
        <w:t>ενσωματώνει το σύστημα ενιαίας τελωνειακής θυρίδας της Ευρωπαϊκής Ένωσης για την ανταλλαγή πιστοποιητικών που θεσπίστηκε με το άρθρο 4 του κανονισμού (ΕΕ) 2022/2399·</w:t>
      </w:r>
    </w:p>
    <w:p w14:paraId="6AE7AC55" w14:textId="4A7127A9" w:rsidR="007F42FE" w:rsidRPr="00483F7D" w:rsidRDefault="00BC60FC" w:rsidP="00BC60FC">
      <w:pPr>
        <w:pStyle w:val="Point1"/>
      </w:pPr>
      <w:r w:rsidRPr="00483F7D">
        <w:t>ζ)</w:t>
      </w:r>
      <w:r w:rsidRPr="00483F7D">
        <w:tab/>
      </w:r>
      <w:r w:rsidR="007F42FE" w:rsidRPr="00483F7D">
        <w:t>καθιστά δυνατή την ανταλλαγή πληροφοριών με τρίτες χώρες·</w:t>
      </w:r>
    </w:p>
    <w:p w14:paraId="54CB36C2" w14:textId="4939D599" w:rsidR="007F42FE" w:rsidRPr="00483F7D" w:rsidRDefault="00BC60FC" w:rsidP="00BC60FC">
      <w:pPr>
        <w:pStyle w:val="Point1"/>
      </w:pPr>
      <w:r w:rsidRPr="00483F7D">
        <w:t>η)</w:t>
      </w:r>
      <w:r w:rsidRPr="00483F7D">
        <w:tab/>
      </w:r>
      <w:r w:rsidR="007F42FE" w:rsidRPr="00483F7D">
        <w:t>επιτρέπει την τελωνειακή παρακολούθηση των εμπορευμάτων.</w:t>
      </w:r>
    </w:p>
    <w:p w14:paraId="13009050" w14:textId="77777777" w:rsidR="007F42FE" w:rsidRPr="00483F7D" w:rsidRDefault="007F42FE" w:rsidP="00B62B15">
      <w:pPr>
        <w:pStyle w:val="NumPar1"/>
      </w:pPr>
      <w:r w:rsidRPr="00483F7D">
        <w:t>Οι πράξεις που εκτελούν τα πρόσωπα, η Επιτροπή, οι τελωνειακές αρχές, η Τελωνειακή Αρχή της ΕΕ ή άλλες αρχές μέσω των λειτουργιών που απαριθμούνται στην παράγραφο 1 παραμένουν πράξεις των εν λόγω προσώπων, της Επιτροπής, των τελωνειακών αρχών, της Τελωνειακής Αρχής της ΕΕ ή άλλων αρχών, ακόμη και αν έχουν αυτοματοποιηθεί.</w:t>
      </w:r>
    </w:p>
    <w:p w14:paraId="17AD0CC1" w14:textId="77777777" w:rsidR="007F42FE" w:rsidRPr="00483F7D" w:rsidRDefault="007F42FE" w:rsidP="00B62B15">
      <w:pPr>
        <w:pStyle w:val="NumPar1"/>
      </w:pPr>
      <w:r w:rsidRPr="00483F7D">
        <w:t>Η Επιτροπή αναπτύσσει, εφαρμόζει και διατηρεί τον τελωνειακό κόμβο δεδομένων της ΕΕ, συμπεριλαμβανομένης της δημοσιοποίησης των τεχνικών προδιαγραφών για την επεξεργασία δεδομένων σε αυτόν, και θεσπίζει πλαίσιο ποιότητας των δεδομένων.</w:t>
      </w:r>
    </w:p>
    <w:p w14:paraId="64CF0AB9" w14:textId="77777777" w:rsidR="007F42FE" w:rsidRPr="00483F7D" w:rsidRDefault="007F42FE" w:rsidP="00B62B15">
      <w:pPr>
        <w:pStyle w:val="NumPar1"/>
      </w:pPr>
      <w:r w:rsidRPr="00483F7D">
        <w:t>Ανατίθεται στην Επιτροπή η εξουσία να εκδίδει κατ’ εξουσιοδότηση πράξεις, σύμφωνα με το άρθρο 261, για την τροποποίηση των λειτουργιών που αναφέρονται στην παράγραφο 1, ώστε να λαμβάνονται υπόψη τα νέα καθήκοντα τα οποία ανατίθενται στις αρχές που αναφέρονται στο άρθρο 31 του παρόντος κανονισμού από την ενωσιακή νομοθεσία ή για την προσαρμογή των εν λόγω λειτουργιών στις εξελισσόμενες ανάγκες των εν λόγω αρχών κατά την εφαρμογή της τελωνειακής νομοθεσίας ή της λοιπής νομοθεσίας που εφαρμόζεται από τις τελωνειακές αρχές.</w:t>
      </w:r>
    </w:p>
    <w:p w14:paraId="75DB4767" w14:textId="77777777" w:rsidR="00553ED0" w:rsidRPr="00483F7D" w:rsidRDefault="00553ED0" w:rsidP="00B62B15">
      <w:pPr>
        <w:pStyle w:val="NumPar1"/>
      </w:pPr>
      <w:r w:rsidRPr="00483F7D">
        <w:t>Η Επιτροπή καθορίζει, με εκτελεστικές πράξεις:</w:t>
      </w:r>
    </w:p>
    <w:p w14:paraId="784F1F58" w14:textId="54612382" w:rsidR="00553ED0" w:rsidRPr="00483F7D" w:rsidRDefault="00BC60FC" w:rsidP="00BC60FC">
      <w:pPr>
        <w:pStyle w:val="Point1"/>
      </w:pPr>
      <w:r w:rsidRPr="00483F7D">
        <w:t>α)</w:t>
      </w:r>
      <w:r w:rsidRPr="00483F7D">
        <w:tab/>
      </w:r>
      <w:r w:rsidR="00553ED0" w:rsidRPr="00483F7D">
        <w:t>τις τεχνικές ρυθμίσεις για τη διατήρηση και τη χρήση των ηλεκτρονικών συστημάτων που έχουν δημιουργήσει τα κράτη μέλη και η Επιτροπή σύμφωνα με το άρθρο 16 παράγραφος 1 του κανονισμού (ΕΕ) αριθ. 952/2013·</w:t>
      </w:r>
    </w:p>
    <w:p w14:paraId="0E726696" w14:textId="7E299C4F" w:rsidR="00553ED0" w:rsidRPr="00483F7D" w:rsidRDefault="00BC60FC" w:rsidP="00BC60FC">
      <w:pPr>
        <w:pStyle w:val="Point1"/>
      </w:pPr>
      <w:r w:rsidRPr="00483F7D">
        <w:t>β)</w:t>
      </w:r>
      <w:r w:rsidRPr="00483F7D">
        <w:tab/>
      </w:r>
      <w:r w:rsidR="00553ED0" w:rsidRPr="00483F7D">
        <w:t>πρόγραμμα εργασίας για τη σταδιακή κατάργηση των εν λόγω συστημάτων.</w:t>
      </w:r>
    </w:p>
    <w:p w14:paraId="55D64675" w14:textId="77777777" w:rsidR="00553ED0" w:rsidRPr="00483F7D" w:rsidRDefault="00553ED0" w:rsidP="00553ED0">
      <w:pPr>
        <w:pStyle w:val="Text1"/>
      </w:pPr>
      <w:r w:rsidRPr="00483F7D">
        <w:t xml:space="preserve">Οι εν λόγω εκτελεστικές πράξεις εκδίδονται σύμφωνα με τη διαδικασία εξέτασης του άρθρου 262 παράγραφος </w:t>
      </w:r>
      <w:hyperlink w:anchor="_bill__akn_article_OheJbS_RcHcve">
        <w:r w:rsidRPr="00483F7D">
          <w:t>4</w:t>
        </w:r>
      </w:hyperlink>
      <w:r w:rsidRPr="00483F7D">
        <w:t>.</w:t>
      </w:r>
    </w:p>
    <w:p w14:paraId="1859D8AA" w14:textId="77777777" w:rsidR="007F42FE" w:rsidRPr="00483F7D" w:rsidRDefault="007F42FE" w:rsidP="007F42FE">
      <w:pPr>
        <w:pStyle w:val="Titrearticle"/>
      </w:pPr>
      <w:r w:rsidRPr="00483F7D">
        <w:t>Άρθρο 30</w:t>
      </w:r>
    </w:p>
    <w:p w14:paraId="49D9A349" w14:textId="77777777" w:rsidR="007F42FE" w:rsidRPr="00483F7D" w:rsidRDefault="007F42FE" w:rsidP="007F42FE">
      <w:pPr>
        <w:pStyle w:val="NormalCentered"/>
      </w:pPr>
      <w:r w:rsidRPr="00483F7D">
        <w:rPr>
          <w:b/>
        </w:rPr>
        <w:t>Εθνικές εφαρμογές για τη χρήση δεδομένων από τον τελωνειακό κόμβο δεδομένων της ΕΕ</w:t>
      </w:r>
    </w:p>
    <w:p w14:paraId="3D5A03D5" w14:textId="77777777" w:rsidR="007F42FE" w:rsidRPr="00483F7D" w:rsidRDefault="007F42FE" w:rsidP="007F42FE">
      <w:pPr>
        <w:pStyle w:val="ManualNumPar16"/>
      </w:pPr>
      <w:r w:rsidRPr="00483F7D">
        <w:t>1.</w:t>
      </w:r>
      <w:r w:rsidRPr="00483F7D">
        <w:tab/>
        <w:t>Τα κράτη μέλη μπορούν να αναπτύξουν εφαρμογές αναγκαίες για τη σύνδεση με τον τελωνειακό κόμβο δεδομένων της ΕΕ, ώστε να παρέχουν δεδομένα στον τελωνειακό κόμβο δεδομένων της ΕΕ και να επεξεργάζονται δεδομένα από αυτόν.</w:t>
      </w:r>
    </w:p>
    <w:p w14:paraId="4151D3D4" w14:textId="77777777" w:rsidR="007F42FE" w:rsidRPr="00483F7D" w:rsidRDefault="007F42FE" w:rsidP="007F42FE">
      <w:pPr>
        <w:pStyle w:val="ManualNumPar16"/>
      </w:pPr>
      <w:r w:rsidRPr="00483F7D">
        <w:t>2.</w:t>
      </w:r>
      <w:r w:rsidRPr="00483F7D">
        <w:tab/>
        <w:t>Τα κράτη μέλη μπορούν να ζητήσουν από την Τελωνειακή Αρχή της ΕΕ να αναπτύξει τις εφαρμογές που αναφέρονται στην παράγραφο 1. Στην περίπτωση αυτή, τα εν λόγω κράτη μέλη χρηματοδοτούν την ανάπτυξη.</w:t>
      </w:r>
    </w:p>
    <w:p w14:paraId="7B38307F" w14:textId="77777777" w:rsidR="007F42FE" w:rsidRPr="00483F7D" w:rsidRDefault="007F42FE" w:rsidP="007F42FE">
      <w:pPr>
        <w:pStyle w:val="ManualNumPar16"/>
      </w:pPr>
      <w:r w:rsidRPr="00483F7D">
        <w:t>3.</w:t>
      </w:r>
      <w:r w:rsidRPr="00483F7D">
        <w:tab/>
        <w:t xml:space="preserve">Όταν η Τελωνειακή Αρχή της ΕΕ αναπτύσσει εφαρμογή σύμφωνα με την παράγραφο 2, τη θέτει στη διάθεση όλων των κρατών μελών. </w:t>
      </w:r>
    </w:p>
    <w:p w14:paraId="35A97917" w14:textId="77777777" w:rsidR="007F42FE" w:rsidRPr="00483F7D" w:rsidRDefault="007F42FE" w:rsidP="007F42FE">
      <w:pPr>
        <w:pStyle w:val="Titrearticle"/>
      </w:pPr>
      <w:r w:rsidRPr="00483F7D">
        <w:t xml:space="preserve"> Άρθρο 31</w:t>
      </w:r>
    </w:p>
    <w:p w14:paraId="4197320F" w14:textId="77777777" w:rsidR="007F42FE" w:rsidRPr="00483F7D" w:rsidRDefault="007F42FE" w:rsidP="007F42FE">
      <w:pPr>
        <w:pStyle w:val="NormalCentered"/>
      </w:pPr>
      <w:r w:rsidRPr="00483F7D">
        <w:rPr>
          <w:b/>
        </w:rPr>
        <w:t>Σκοποί της επεξεργασίας δεδομένων προσωπικού χαρακτήρα και άλλων δεδομένων στον τελωνειακό κόμβο δεδομένων της ΕΕ</w:t>
      </w:r>
    </w:p>
    <w:p w14:paraId="606846F5" w14:textId="77777777" w:rsidR="007F42FE" w:rsidRPr="00483F7D" w:rsidRDefault="007F42FE" w:rsidP="00CF7E35">
      <w:pPr>
        <w:pStyle w:val="NumPar1"/>
        <w:numPr>
          <w:ilvl w:val="0"/>
          <w:numId w:val="43"/>
        </w:numPr>
      </w:pPr>
      <w:r w:rsidRPr="00483F7D">
        <w:t>Είναι δυνατή η πρόσβαση προσώπου στα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τα οποία διαβιβάστηκαν από το εν λόγω πρόσωπο ή για λογαριασμό του ή τα οποία απευθύνονται στο εν λόγω πρόσωπο ή προορίζονται για το πρόσωπο αυτό. Η εν λόγω πρόσβαση πραγματοποιείται αποκλειστικά για:</w:t>
      </w:r>
      <w:r w:rsidRPr="00483F7D">
        <w:tab/>
      </w:r>
    </w:p>
    <w:p w14:paraId="1B771938" w14:textId="49EF9940" w:rsidR="007F42FE" w:rsidRPr="00483F7D" w:rsidRDefault="00BC60FC" w:rsidP="00BC60FC">
      <w:pPr>
        <w:pStyle w:val="Point1"/>
      </w:pPr>
      <w:r w:rsidRPr="00483F7D">
        <w:t>α)</w:t>
      </w:r>
      <w:r w:rsidRPr="00483F7D">
        <w:tab/>
      </w:r>
      <w:r w:rsidR="007F42FE" w:rsidRPr="00483F7D">
        <w:t>την εκπλήρωση των υποχρεώσεων υποβολής εκθέσεων του εν λόγω προσώπου βάσει της τελωνειακής νομοθεσίας ή της λοιπής νομοθεσίας που εφαρμόζεται από τις τελωνειακές αρχές, συμπεριλαμβανομένου του καθορισμού της ευθύνης κάθε προσώπου για δασμούς, τέλη και φόρους που ενδέχεται να οφείλονται στην Ένωση· και</w:t>
      </w:r>
    </w:p>
    <w:p w14:paraId="430F489E" w14:textId="5C464777" w:rsidR="007F42FE" w:rsidRPr="00483F7D" w:rsidRDefault="00BC60FC" w:rsidP="00BC60FC">
      <w:pPr>
        <w:pStyle w:val="Point1"/>
      </w:pPr>
      <w:r w:rsidRPr="00483F7D">
        <w:t>β)</w:t>
      </w:r>
      <w:r w:rsidRPr="00483F7D">
        <w:tab/>
      </w:r>
      <w:r w:rsidR="007F42FE" w:rsidRPr="00483F7D">
        <w:t xml:space="preserve">την απόδειξη της συμμόρφωσης του εν λόγω προσώπου με την τελωνειακή νομοθεσία και τη λοιπή νομοθεσία που εφαρμόζεται από τις τελωνειακές αρχές. </w:t>
      </w:r>
    </w:p>
    <w:p w14:paraId="3C61B5FB" w14:textId="77777777" w:rsidR="007F42FE" w:rsidRPr="00483F7D" w:rsidRDefault="007F42FE" w:rsidP="00B62B15">
      <w:pPr>
        <w:pStyle w:val="NumPar1"/>
      </w:pPr>
      <w:bookmarkStart w:id="54" w:name="_Hlk133312415"/>
      <w:r w:rsidRPr="00483F7D">
        <w:t>Μια τελωνειακή αρχή μπορεί να επεξεργάζεται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τους ακόλουθους σκοπούς:</w:t>
      </w:r>
    </w:p>
    <w:p w14:paraId="0B8F3D32" w14:textId="6DFE2F7E" w:rsidR="007F42FE" w:rsidRPr="00483F7D" w:rsidRDefault="00BC60FC" w:rsidP="00BC60FC">
      <w:pPr>
        <w:pStyle w:val="Point1"/>
      </w:pPr>
      <w:r w:rsidRPr="00483F7D">
        <w:t>α)</w:t>
      </w:r>
      <w:r w:rsidRPr="00483F7D">
        <w:tab/>
      </w:r>
      <w:r w:rsidR="007F42FE" w:rsidRPr="00483F7D">
        <w:t>την εκτέλεση των καθηκόντων της σε σχέση με την εφαρμογή της τελωνειακής ή της λοιπής νομοθεσίας που εφαρμόζεται από τις τελωνειακές αρχές, συμπεριλαμβανομένου του προσδιορισμού της ευθύνης κάθε προσώπου για δασμούς, τέλη και φόρους που ενδέχεται να οφείλονται στην Ένωση και της επαλήθευσης της συμμόρφωσης με την εν λόγω νομοθεσία·</w:t>
      </w:r>
    </w:p>
    <w:p w14:paraId="112B66EE" w14:textId="45A11306" w:rsidR="007F42FE" w:rsidRPr="00483F7D" w:rsidRDefault="00BC60FC" w:rsidP="00BC60FC">
      <w:pPr>
        <w:pStyle w:val="Point1"/>
      </w:pPr>
      <w:r w:rsidRPr="00483F7D">
        <w:t>β)</w:t>
      </w:r>
      <w:r w:rsidRPr="00483F7D">
        <w:tab/>
      </w:r>
      <w:r w:rsidR="007F42FE" w:rsidRPr="00483F7D">
        <w:t>την εκτέλεση των καθηκόντων της σε σχέση με τους ελέγχους και τη διαχείριση κινδύνων, όπως προβλέπεται στον τίτλο IV·</w:t>
      </w:r>
    </w:p>
    <w:p w14:paraId="4918820A" w14:textId="7AF9AB7A" w:rsidR="007F42FE" w:rsidRPr="00483F7D" w:rsidRDefault="00BC60FC" w:rsidP="00BC60FC">
      <w:pPr>
        <w:pStyle w:val="Point1"/>
      </w:pPr>
      <w:r w:rsidRPr="00483F7D">
        <w:t>γ)</w:t>
      </w:r>
      <w:r w:rsidRPr="00483F7D">
        <w:tab/>
      </w:r>
      <w:r w:rsidR="007F42FE" w:rsidRPr="00483F7D">
        <w:t xml:space="preserve">την εκτέλεση των καθηκόντων που είναι αναγκαία για τη συνεργασία υπό τους όρους που προβλέπονται στον τίτλο </w:t>
      </w:r>
      <w:hyperlink w:anchor="__akn_title_eL2ru7">
        <w:r w:rsidR="007F42FE" w:rsidRPr="00483F7D">
          <w:rPr>
            <w:rStyle w:val="Hyperlink"/>
            <w:u w:val="none"/>
          </w:rPr>
          <w:t>XIII</w:t>
        </w:r>
      </w:hyperlink>
      <w:r w:rsidR="007F42FE" w:rsidRPr="00483F7D">
        <w:t xml:space="preserve">. </w:t>
      </w:r>
    </w:p>
    <w:p w14:paraId="4C41A1B5" w14:textId="77777777" w:rsidR="007F42FE" w:rsidRPr="00483F7D" w:rsidRDefault="007F42FE" w:rsidP="005E3DFF">
      <w:pPr>
        <w:pStyle w:val="Text1"/>
      </w:pPr>
      <w:r w:rsidRPr="00483F7D">
        <w:t>Για να διασφαλιστεί η αποτελεσματικότητα των τελωνειακών ελέγχων, όλες οι τελωνειακές αρχές μπορούν να λαμβάνουν και να επεξεργάζονται τα δεδομένα που προκύπτουν από τελωνειακό έλεγχο όταν εντοπίζονται μη συμμορφούμενα εμπορεύματα.</w:t>
      </w:r>
    </w:p>
    <w:p w14:paraId="0CE5820F" w14:textId="77777777" w:rsidR="007F42FE" w:rsidRPr="00483F7D" w:rsidRDefault="007F42FE" w:rsidP="00B62B15">
      <w:pPr>
        <w:pStyle w:val="NumPar1"/>
      </w:pPr>
      <w:r w:rsidRPr="00483F7D">
        <w:t>Η Τελωνειακή Αρχή της ΕΕ μπορεί να επεξεργάζεται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τους ακόλουθους σκοπούς:</w:t>
      </w:r>
    </w:p>
    <w:p w14:paraId="5BBB431A" w14:textId="2086D7D5" w:rsidR="007F42FE" w:rsidRPr="00483F7D" w:rsidRDefault="00BC60FC" w:rsidP="00BC60FC">
      <w:pPr>
        <w:pStyle w:val="Point1"/>
      </w:pPr>
      <w:r w:rsidRPr="00483F7D">
        <w:t>α)</w:t>
      </w:r>
      <w:r w:rsidRPr="00483F7D">
        <w:tab/>
      </w:r>
      <w:r w:rsidR="007F42FE" w:rsidRPr="00483F7D">
        <w:t xml:space="preserve">την εκτέλεση των καθηκόντων της όσον αφορά τη διαχείριση τελωνειακών κινδύνων, όπως προβλέπεται στον τίτλο IV κεφάλαιο </w:t>
      </w:r>
      <w:hyperlink w:anchor="__akn_chapter_7bAibc" w:tooltip="Title IV, Chapter 3: 3">
        <w:r w:rsidR="007F42FE" w:rsidRPr="00483F7D">
          <w:t>3</w:t>
        </w:r>
      </w:hyperlink>
      <w:r w:rsidR="007F42FE" w:rsidRPr="00483F7D">
        <w:t>·</w:t>
      </w:r>
    </w:p>
    <w:p w14:paraId="3A0A2B7D" w14:textId="6BAC6EF6" w:rsidR="007F42FE" w:rsidRPr="00483F7D" w:rsidRDefault="00BC60FC" w:rsidP="00BC60FC">
      <w:pPr>
        <w:pStyle w:val="Point1"/>
      </w:pPr>
      <w:r w:rsidRPr="00483F7D">
        <w:t>β)</w:t>
      </w:r>
      <w:r w:rsidRPr="00483F7D">
        <w:tab/>
      </w:r>
      <w:r w:rsidR="007F42FE" w:rsidRPr="00483F7D">
        <w:t xml:space="preserve">την εκτέλεση των καθηκόντων της, όπως προβλέπεται στον τίτλο XII κεφάλαιο </w:t>
      </w:r>
      <w:hyperlink w:anchor="__akn_chapter_gNRJ6z" w:tooltip="Title XII, Chapter 2: 2">
        <w:r w:rsidR="007F42FE" w:rsidRPr="00483F7D">
          <w:t>2</w:t>
        </w:r>
      </w:hyperlink>
      <w:r w:rsidR="007F42FE" w:rsidRPr="00483F7D">
        <w:t>·</w:t>
      </w:r>
    </w:p>
    <w:p w14:paraId="33333B98" w14:textId="3B11EDB2" w:rsidR="007F42FE" w:rsidRPr="00483F7D" w:rsidRDefault="00BC60FC" w:rsidP="00BC60FC">
      <w:pPr>
        <w:pStyle w:val="Point1"/>
      </w:pPr>
      <w:r w:rsidRPr="00483F7D">
        <w:t>γ)</w:t>
      </w:r>
      <w:r w:rsidRPr="00483F7D">
        <w:tab/>
      </w:r>
      <w:r w:rsidR="007F42FE" w:rsidRPr="00483F7D">
        <w:t xml:space="preserve">την εκτέλεση των καθηκόντων που σχετίζονται με τη συνεργασία, όπως προβλέπεται στον τίτλο </w:t>
      </w:r>
      <w:hyperlink w:anchor="__akn_title_eL2ru7">
        <w:r w:rsidR="007F42FE" w:rsidRPr="00483F7D">
          <w:t>XIII</w:t>
        </w:r>
      </w:hyperlink>
      <w:r w:rsidR="007F42FE" w:rsidRPr="00483F7D">
        <w:t>.</w:t>
      </w:r>
    </w:p>
    <w:p w14:paraId="4F82003F" w14:textId="77777777" w:rsidR="007F42FE" w:rsidRPr="00483F7D" w:rsidRDefault="007F42FE" w:rsidP="00B62B15">
      <w:pPr>
        <w:pStyle w:val="NumPar1"/>
      </w:pPr>
      <w:r w:rsidRPr="00483F7D">
        <w:t>Η Επιτροπή μπορεί να επεξεργάζεται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τους ακόλουθους σκοπούς:</w:t>
      </w:r>
    </w:p>
    <w:p w14:paraId="49505C69" w14:textId="4A37EFEC" w:rsidR="007F42FE" w:rsidRPr="00483F7D" w:rsidRDefault="00BC60FC" w:rsidP="00BC60FC">
      <w:pPr>
        <w:pStyle w:val="Point1"/>
      </w:pPr>
      <w:r w:rsidRPr="00483F7D">
        <w:t>α)</w:t>
      </w:r>
      <w:r w:rsidRPr="00483F7D">
        <w:tab/>
      </w:r>
      <w:r w:rsidR="007F42FE" w:rsidRPr="00483F7D">
        <w:t xml:space="preserve">την εκτέλεση των καθηκόντων της σε σχέση με τη διαχείριση κινδύνων, όπως προβλέπεται στον τίτλο IV κεφάλαιο </w:t>
      </w:r>
      <w:hyperlink w:anchor="__akn_chapter_7bAibc" w:tooltip="Title IV, Chapter 3: 3">
        <w:r w:rsidR="007F42FE" w:rsidRPr="00483F7D">
          <w:t>3</w:t>
        </w:r>
      </w:hyperlink>
      <w:r w:rsidR="007F42FE" w:rsidRPr="00483F7D">
        <w:t>·</w:t>
      </w:r>
    </w:p>
    <w:p w14:paraId="2AF5F4B9" w14:textId="13A43A1E" w:rsidR="007F42FE" w:rsidRPr="00483F7D" w:rsidRDefault="00BC60FC" w:rsidP="00BC60FC">
      <w:pPr>
        <w:pStyle w:val="Point1"/>
      </w:pPr>
      <w:r w:rsidRPr="00483F7D">
        <w:t>β)</w:t>
      </w:r>
      <w:r w:rsidRPr="00483F7D">
        <w:tab/>
      </w:r>
      <w:r w:rsidR="007F42FE" w:rsidRPr="00483F7D">
        <w:t xml:space="preserve">την εκτέλεση των καθηκόντων της σε σχέση με τη δασμολογική κατάταξη των εμπορευμάτων, την καταγωγή και τη δασμολογητέα αξία και την τελωνειακή παρακολούθησή τους σύμφωνα με τους τίτλους </w:t>
      </w:r>
      <w:hyperlink w:anchor="__akn_title_GfhUWb" w:tooltip="Title I and IX: I">
        <w:r w:rsidR="007F42FE" w:rsidRPr="00483F7D">
          <w:t>I</w:t>
        </w:r>
      </w:hyperlink>
      <w:r w:rsidR="007F42FE" w:rsidRPr="00483F7D">
        <w:t xml:space="preserve"> και </w:t>
      </w:r>
      <w:hyperlink w:anchor="__akn_title_074wPR" w:tooltip="Title I and IX: IX">
        <w:r w:rsidR="007F42FE" w:rsidRPr="00483F7D">
          <w:t>IX</w:t>
        </w:r>
      </w:hyperlink>
      <w:r w:rsidR="007F42FE" w:rsidRPr="00483F7D">
        <w:t>·</w:t>
      </w:r>
    </w:p>
    <w:p w14:paraId="38BA291C" w14:textId="01F0E571" w:rsidR="007F42FE" w:rsidRPr="00483F7D" w:rsidRDefault="00BC60FC" w:rsidP="00BC60FC">
      <w:pPr>
        <w:pStyle w:val="Point1"/>
      </w:pPr>
      <w:r w:rsidRPr="00483F7D">
        <w:t>γ)</w:t>
      </w:r>
      <w:r w:rsidRPr="00483F7D">
        <w:tab/>
      </w:r>
      <w:r w:rsidR="007F42FE" w:rsidRPr="00483F7D">
        <w:t xml:space="preserve">την εκτέλεση των καθηκόντων της σε σχέση με τα περιοριστικά μέτρα και τη διαχείριση κρίσεων σύμφωνα με τον τίτλο </w:t>
      </w:r>
      <w:hyperlink w:anchor="__akn_title_JyY8i7" w:tooltip="Title XI: XI">
        <w:r w:rsidR="007F42FE" w:rsidRPr="00483F7D">
          <w:t>XI</w:t>
        </w:r>
      </w:hyperlink>
      <w:r w:rsidR="007F42FE" w:rsidRPr="00483F7D">
        <w:t>·</w:t>
      </w:r>
    </w:p>
    <w:p w14:paraId="58C7F116" w14:textId="489B8811" w:rsidR="007F42FE" w:rsidRPr="00483F7D" w:rsidRDefault="00BC60FC" w:rsidP="00BC60FC">
      <w:pPr>
        <w:pStyle w:val="Point1"/>
      </w:pPr>
      <w:r w:rsidRPr="00483F7D">
        <w:t>δ)</w:t>
      </w:r>
      <w:r w:rsidRPr="00483F7D">
        <w:tab/>
      </w:r>
      <w:r w:rsidR="007F42FE" w:rsidRPr="00483F7D">
        <w:t xml:space="preserve">την εκτέλεση των καθηκόντων της σε σχέση με την Τελωνειακή Αρχή της ΕΕ σύμφωνα με τον τίτλο </w:t>
      </w:r>
      <w:hyperlink w:anchor="__akn_title_BYsUlO" w:tooltip="Title XII: XII">
        <w:r w:rsidR="007F42FE" w:rsidRPr="00483F7D">
          <w:t>XII</w:t>
        </w:r>
      </w:hyperlink>
      <w:r w:rsidR="007F42FE" w:rsidRPr="00483F7D">
        <w:t>·</w:t>
      </w:r>
    </w:p>
    <w:p w14:paraId="0978B1A3" w14:textId="0F5E6411" w:rsidR="007F42FE" w:rsidRPr="00483F7D" w:rsidRDefault="00BC60FC" w:rsidP="00BC60FC">
      <w:pPr>
        <w:pStyle w:val="Point1"/>
      </w:pPr>
      <w:r w:rsidRPr="00483F7D">
        <w:t>ε)</w:t>
      </w:r>
      <w:r w:rsidRPr="00483F7D">
        <w:tab/>
      </w:r>
      <w:r w:rsidR="007F42FE" w:rsidRPr="00483F7D">
        <w:t xml:space="preserve">την εκτέλεση των καθηκόντων που είναι αναγκαία για τη συνεργασία υπό τους όρους που προβλέπονται στον τίτλο </w:t>
      </w:r>
      <w:hyperlink w:anchor="__akn_title_eL2ru7">
        <w:r w:rsidR="007F42FE" w:rsidRPr="00483F7D">
          <w:rPr>
            <w:rStyle w:val="Hyperlink"/>
          </w:rPr>
          <w:t>XIII</w:t>
        </w:r>
      </w:hyperlink>
      <w:r w:rsidR="007F42FE" w:rsidRPr="00483F7D">
        <w:t>·</w:t>
      </w:r>
    </w:p>
    <w:p w14:paraId="7643691E" w14:textId="053CDF8A" w:rsidR="007F42FE" w:rsidRPr="00483F7D" w:rsidRDefault="00BC60FC" w:rsidP="00BC60FC">
      <w:pPr>
        <w:pStyle w:val="Point1"/>
      </w:pPr>
      <w:r w:rsidRPr="00483F7D">
        <w:t>στ)</w:t>
      </w:r>
      <w:r w:rsidRPr="00483F7D">
        <w:tab/>
      </w:r>
      <w:r w:rsidR="007F42FE" w:rsidRPr="00483F7D">
        <w:t xml:space="preserve">την εκτίμηση και αξιολόγηση των επιδόσεων της τελωνειακής ένωσης σύμφωνα με τον τίτλο XV κεφάλαιο </w:t>
      </w:r>
      <w:hyperlink w:anchor="__akn_chapter_A2mhrl" w:tooltip="Title XV, Chapter 1: 1">
        <w:r w:rsidR="007F42FE" w:rsidRPr="00483F7D">
          <w:t>1</w:t>
        </w:r>
      </w:hyperlink>
      <w:r w:rsidR="007F42FE" w:rsidRPr="00483F7D">
        <w:t>·</w:t>
      </w:r>
    </w:p>
    <w:p w14:paraId="132498DD" w14:textId="26232095" w:rsidR="007F42FE" w:rsidRPr="00483F7D" w:rsidRDefault="00BC60FC" w:rsidP="00BC60FC">
      <w:pPr>
        <w:pStyle w:val="Point1"/>
      </w:pPr>
      <w:r w:rsidRPr="00483F7D">
        <w:t>ζ)</w:t>
      </w:r>
      <w:r w:rsidRPr="00483F7D">
        <w:tab/>
      </w:r>
      <w:r w:rsidR="007F42FE" w:rsidRPr="00483F7D">
        <w:t>την παρακολούθηση της εφαρμογής και τη διασφάλιση της ενιαίας εφαρμογής της τελωνειακής ή λοιπής νομοθεσίας που εφαρμόζεται από τις τελωνειακές αρχές, συμπεριλαμβανομένου του καθορισμού της ευθύνης κάθε προσώπου για δασμούς, τέλη και φόρους που ενδέχεται να οφείλονται στην Ένωση</w:t>
      </w:r>
      <w:bookmarkEnd w:id="54"/>
      <w:r w:rsidR="007F42FE" w:rsidRPr="00483F7D">
        <w:t>·</w:t>
      </w:r>
    </w:p>
    <w:p w14:paraId="7E091E96" w14:textId="598F8732" w:rsidR="007F42FE" w:rsidRPr="00483F7D" w:rsidRDefault="00BC60FC" w:rsidP="00BC60FC">
      <w:pPr>
        <w:pStyle w:val="Point1"/>
      </w:pPr>
      <w:r w:rsidRPr="00483F7D">
        <w:t>η)</w:t>
      </w:r>
      <w:r w:rsidRPr="00483F7D">
        <w:tab/>
      </w:r>
      <w:r w:rsidR="007F42FE" w:rsidRPr="00483F7D">
        <w:t>την παραγωγή στατιστικών και άλλων αναλύσεων, όπως προβλέπεται στην ενωσιακή νομοθεσία, για τις οποίες χρειάζονται δεδομένα στον τελωνειακό κόμβο δεδομένων της ΕΕ.</w:t>
      </w:r>
    </w:p>
    <w:p w14:paraId="3EE76B8F" w14:textId="77777777" w:rsidR="007F42FE" w:rsidRPr="00483F7D" w:rsidRDefault="007F42FE" w:rsidP="00B62B15">
      <w:pPr>
        <w:pStyle w:val="NumPar1"/>
      </w:pPr>
      <w:r w:rsidRPr="00483F7D">
        <w:t xml:space="preserve">Η Ευρωπαϊκή Υπηρεσία Καταπολέμησης της Απάτης (OLAF) μπορεί να επεξεργάζεται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την εκτέλεση των δραστηριοτήτων της που αφορούν τελωνειακά θέματα σύμφωνα με το άρθρο 1 του κανονισμού (ΕΕ, Ευρατόμ) αριθ. 883/2013 του Ευρωπαϊκού Κοινοβουλίου και του Συμβουλίου και τον κανονισμό (ΕΚ) αριθ. 515/97 του Συμβουλίου, υπό τους όρους που αφορούν την προστασία των δεδομένων οι οποίοι προβλέπονται στους προαναφερθέντες κανονισμούς. </w:t>
      </w:r>
    </w:p>
    <w:p w14:paraId="4F162B95" w14:textId="77777777" w:rsidR="007F42FE" w:rsidRPr="00483F7D" w:rsidRDefault="007F42FE" w:rsidP="00B62B15">
      <w:pPr>
        <w:pStyle w:val="NumPar1"/>
      </w:pPr>
      <w:r w:rsidRPr="00483F7D">
        <w:t>Η Ευρωπαϊκή Εισαγγελία (EPPO) μπορεί, κατόπιν αιτήματος, να έχει πρόσβαση σε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την εκτέλεση των καθηκόντων της σύμφωνα με το άρθρο 4 του κανονισμού (ΕΕ) 2017/1939 του Συμβουλίου</w:t>
      </w:r>
      <w:r w:rsidRPr="00483F7D">
        <w:rPr>
          <w:rStyle w:val="FootnoteReference"/>
        </w:rPr>
        <w:footnoteReference w:id="67"/>
      </w:r>
      <w:r w:rsidRPr="00483F7D">
        <w:t>, εφόσον η συμπεριφορά που διερευνά η Ευρωπαϊκή Εισαγγελία αφορά τα τελωνεία και υπό τους όρους που καθορίζονται σε εκτελεστική πράξη η οποία εκδίδεται σύμφωνα με την παράγραφο 14 του παρόντος άρθρου.</w:t>
      </w:r>
    </w:p>
    <w:p w14:paraId="2092DCC8" w14:textId="77777777" w:rsidR="007F42FE" w:rsidRPr="00483F7D" w:rsidRDefault="007F42FE" w:rsidP="00B62B15">
      <w:pPr>
        <w:pStyle w:val="NumPar1"/>
      </w:pPr>
      <w:r w:rsidRPr="00483F7D">
        <w:t>Οι φορολογικές αρχές των κρατών μελών μπορούν να επεξεργάζονται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τον προσδιορισμό της ευθύνης οποιουδήποτε προσώπου για δασμούς, τέλη και φόρους που ενδέχεται να οφείλονται στην Ένωση σε σχέση με τα σχετικά εμπορεύματα και υπό τους όρους που καθορίζονται σε εκτελεστική πράξη η οποία εκδίδεται σύμφωνα με την παράγραφο 14 του παρόντος άρθρου.</w:t>
      </w:r>
    </w:p>
    <w:p w14:paraId="3D2C9C7A" w14:textId="77777777" w:rsidR="007F42FE" w:rsidRPr="00483F7D" w:rsidRDefault="007F42FE" w:rsidP="00B62B15">
      <w:pPr>
        <w:pStyle w:val="NumPar1"/>
      </w:pPr>
      <w:r w:rsidRPr="00483F7D">
        <w:t>Οι αρμόδιες αρχές, όπως ορίζονται στο άρθρο 3 σημείο 3 του κανονισμού (ΕΕ) 2017/625 του Ευρωπαϊκού Κοινοβουλίου και του Συμβουλίου</w:t>
      </w:r>
      <w:r w:rsidRPr="00483F7D">
        <w:rPr>
          <w:rStyle w:val="FootnoteReference"/>
        </w:rPr>
        <w:footnoteReference w:id="68"/>
      </w:r>
      <w:r w:rsidRPr="00483F7D">
        <w:t>, μπορούν να έχουν πρόσβαση σε δεδομένα, συμπεριλαμβανομένων δεδομένων προσωπικού χαρακτήρα και εμπορικά ευαίσθητων δεδομένων, να αποθηκεύουν ή να διαθέτουν με άλλον τρόπο στον τελωνειακό κόμβο δεδομένων της ΕΕ αποκλειστικά και στον βαθμό που είναι αναγκαίος για την επιβολή της ενωσιακής νομοθεσίας που διέπει τη διάθεση στην αγορά ή την ασφάλεια των τροφίμων, των ζωοτροφών και των φυτών και για τη συνεργασία με τις τελωνειακές αρχές για την ελαχιστοποίηση των κινδύνων εισόδου μη συμμορφούμενων προϊόντων στην Ένωση, και υπό τους όρους που καθορίζονται σε εκτελεστική πράξη η οποία εκδίδεται σύμφωνα με την παράγραφο 14 του παρόντος άρθρου.</w:t>
      </w:r>
    </w:p>
    <w:p w14:paraId="737BDA85" w14:textId="77777777" w:rsidR="007F42FE" w:rsidRPr="00483F7D" w:rsidRDefault="007F42FE" w:rsidP="00B62B15">
      <w:pPr>
        <w:pStyle w:val="NumPar1"/>
        <w:rPr>
          <w:rFonts w:eastAsia="Times New Roman"/>
        </w:rPr>
      </w:pPr>
      <w:r w:rsidRPr="00483F7D">
        <w:t>Οι αρχές εποπτείας της αγοράς που ορίζονται από τα κράτη μέλη σύμφωνα με το άρθρο 10 του κανονισμού (ΕΕ) 2019/1020 μπορούν να επεξεργάζονται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την επιβολή της ενωσιακής νομοθεσίας που διέπει τη διάθεση στην αγορά ή την ασφάλεια των προϊόντων και για τη συνεργασία με τις τελωνειακές αρχές για την ελαχιστοποίηση των κινδύνων εισόδου μη συμμορφούμενων εμπορευμάτων στην Ένωση, και υπό τους όρους που καθορίζονται σε εκτελεστική πράξη η οποία εκδίδεται σύμφωνα με την παράγραφο 14 του παρόντος άρθρου.</w:t>
      </w:r>
    </w:p>
    <w:p w14:paraId="717B173A" w14:textId="77777777" w:rsidR="007F42FE" w:rsidRPr="00483F7D" w:rsidRDefault="007F42FE" w:rsidP="00B62B15">
      <w:pPr>
        <w:pStyle w:val="NumPar1"/>
      </w:pPr>
      <w:r w:rsidRPr="00483F7D">
        <w:t xml:space="preserve">Ο Οργανισμός της Ευρωπαϊκής Ένωσης για τη Συνεργασία στον Τομέα της Επιβολής του Νόμου (Ευρωπόλ) μπορεί, κατόπιν αιτήματος, να έχει πρόσβαση σε δεδομένα, συμπεριλαμβανομένων των δεδομένων προσωπικού χαρακτήρα και των εμπορικά ευαίσθητων δεδομένων, που αποθηκεύονται ή διατίθενται με άλλον τρόπο στον τελωνειακό κόμβο δεδομένων της ΕΕ, αποκλειστικά και στον βαθμό που είναι αναγκαίος για την εκτέλεση των καθηκόντων του σύμφωνα με το άρθρο 4 του κανονισμού (ΕΕ) 2016/794 του Ευρωπαϊκού Κοινοβουλίου και του Συμβουλίου, εφόσον τα εν λόγω καθήκοντα αφορούν τελωνειακά θέματα και υπό τους όρους που καθορίζονται σε εκτελεστική πράξη η οποία εκδίδεται σύμφωνα με την παράγραφο 14 του παρόντος άρθρου. </w:t>
      </w:r>
    </w:p>
    <w:p w14:paraId="1A36F01A" w14:textId="77777777" w:rsidR="007F42FE" w:rsidRPr="00483F7D" w:rsidRDefault="007F42FE" w:rsidP="00B62B15">
      <w:pPr>
        <w:pStyle w:val="NumPar1"/>
      </w:pPr>
      <w:r w:rsidRPr="00483F7D">
        <w:t>Άλλες εθνικές αρχές και οργανισμοί της Ένωσης, συμπεριλαμβανομένου του Ευρωπαϊκού Οργανισμού Συνοριοφυλακής και Ακτοφυλακής (Frontex), μπορούν να επεξεργάζονται δεδομένα μη προσωπικού χαρακτήρα που αποθηκεύονται ή διατίθενται με άλλον τρόπο στον τελωνειακό κόμβο δεδομένων της ΕΕ υπό τους όρους που καθορίζονται σε εκτελεστική πράξη η οποία εκδίδεται σύμφωνα με την παράγραφο 14 του παρόντος άρθρου με σκοπό:</w:t>
      </w:r>
    </w:p>
    <w:p w14:paraId="48A5DBCE" w14:textId="356462FF" w:rsidR="007F42FE" w:rsidRPr="00483F7D" w:rsidRDefault="00BC60FC" w:rsidP="00BC60FC">
      <w:pPr>
        <w:pStyle w:val="Point1"/>
      </w:pPr>
      <w:r w:rsidRPr="00483F7D">
        <w:t>α)</w:t>
      </w:r>
      <w:r w:rsidRPr="00483F7D">
        <w:tab/>
      </w:r>
      <w:r w:rsidR="007F42FE" w:rsidRPr="00483F7D">
        <w:t>την εκτέλεση των καθηκόντων τους που σχετίζονται με την εκπλήρωση των τελωνειακών διατυπώσεων·</w:t>
      </w:r>
    </w:p>
    <w:p w14:paraId="1DEE36D2" w14:textId="1B388B9E" w:rsidR="007F42FE" w:rsidRPr="00483F7D" w:rsidRDefault="00BC60FC" w:rsidP="00BC60FC">
      <w:pPr>
        <w:pStyle w:val="Point1"/>
      </w:pPr>
      <w:r w:rsidRPr="00483F7D">
        <w:t>β)</w:t>
      </w:r>
      <w:r w:rsidRPr="00483F7D">
        <w:tab/>
      </w:r>
      <w:r w:rsidR="007F42FE" w:rsidRPr="00483F7D">
        <w:t>την εκτέλεση των καθηκόντων που ανατίθενται στις εν λόγω αρχές από την ενωσιακή νομοθεσία·</w:t>
      </w:r>
    </w:p>
    <w:p w14:paraId="56B9C69E" w14:textId="484809E4" w:rsidR="007F42FE" w:rsidRPr="00483F7D" w:rsidRDefault="00BC60FC" w:rsidP="00BC60FC">
      <w:pPr>
        <w:pStyle w:val="Point1"/>
      </w:pPr>
      <w:r w:rsidRPr="00483F7D">
        <w:t>γ)</w:t>
      </w:r>
      <w:r w:rsidRPr="00483F7D">
        <w:tab/>
      </w:r>
      <w:r w:rsidR="007F42FE" w:rsidRPr="00483F7D">
        <w:t xml:space="preserve">την εκτέλεση των καθηκόντων τους που σχετίζονται με την εκτέλεση των δραστηριοτήτων διαχείρισης κινδύνων σε ενωσιακό επίπεδο που αναφέρονται στο άρθρο </w:t>
      </w:r>
      <w:hyperlink w:anchor="__akn_article_VmtgwG" w:tooltip="Article 52: 52">
        <w:r w:rsidR="007F42FE" w:rsidRPr="00483F7D">
          <w:t>52</w:t>
        </w:r>
      </w:hyperlink>
      <w:r w:rsidR="007F42FE" w:rsidRPr="00483F7D">
        <w:t>.</w:t>
      </w:r>
      <w:r w:rsidR="007F42FE" w:rsidRPr="00483F7D">
        <w:tab/>
      </w:r>
    </w:p>
    <w:p w14:paraId="30057B4F" w14:textId="77777777" w:rsidR="007F42FE" w:rsidRPr="00483F7D" w:rsidRDefault="007F42FE" w:rsidP="00B62B15">
      <w:pPr>
        <w:pStyle w:val="NumPar1"/>
      </w:pPr>
      <w:r w:rsidRPr="00483F7D">
        <w:t xml:space="preserve">Έως την ημερομηνία που ορίζεται στο άρθρο 265 παράγραφος </w:t>
      </w:r>
      <w:hyperlink w:anchor="_bill__akn_article_BG6Seo_VYhe2Y" w:tooltip="Article 261(3): (3)">
        <w:r w:rsidRPr="00483F7D">
          <w:rPr>
            <w:rStyle w:val="Hyperlink"/>
          </w:rPr>
          <w:t>3</w:t>
        </w:r>
      </w:hyperlink>
      <w:r w:rsidRPr="00483F7D">
        <w:t xml:space="preserve">, η Επιτροπή, η OLAF και η Τελωνειακή Αρχή της ΕΕ μετά τη σύστασή της μπορούν, αποκλειστικά για τους σκοπούς που αναφέρονται στις παραγράφους 4, 5 και 6, να επεξεργάζονται δεδομένα, συμπεριλαμβανομένων των δεδομένων προσωπικού χαρακτήρα, από τα υφιστάμενα ηλεκτρονικά συστήματα για την ανταλλαγή πληροφοριών, τα οποία έχει αναπτύξει η Επιτροπή σύμφωνα με τον κανονισμό (ΕΕ) αριθ. 952/2013. </w:t>
      </w:r>
    </w:p>
    <w:p w14:paraId="5D584C5B" w14:textId="77777777" w:rsidR="007F42FE" w:rsidRPr="00483F7D" w:rsidRDefault="007F42FE" w:rsidP="00B62B15">
      <w:pPr>
        <w:pStyle w:val="NumPar1"/>
      </w:pPr>
      <w:r w:rsidRPr="00483F7D">
        <w:t>Ανατίθεται στην Επιτροπή η εξουσία να εκδίδει κατ’ εξουσιοδότηση πράξεις, σύμφωνα με το άρθρο 261, για την τροποποίηση των παραγράφων 2 έως 4, ώστε να αποσαφηνίζονται και να συμπληρώνονται οι σκοποί που καθορίζονται σε αυτές υπό το πρίσμα των εξελισσόμενων αναγκών κατά την εφαρμογή της τελωνειακής ή λοιπής νομοθεσίας.</w:t>
      </w:r>
    </w:p>
    <w:p w14:paraId="1F7623EA" w14:textId="77777777" w:rsidR="007F42FE" w:rsidRPr="00483F7D" w:rsidRDefault="007F42FE" w:rsidP="00B62B15">
      <w:pPr>
        <w:pStyle w:val="NumPar1"/>
      </w:pPr>
      <w:r w:rsidRPr="00483F7D">
        <w:t>Η Επιτροπή θεσπίζει, μέσω εκτελεστικών πράξεων, κανόνες και λεπτομέρειες για την πρόσβαση σε δεδομένα ή την επεξεργασία τους, συμπεριλαμβανομένων δεδομένων προσωπικού χαρακτήρα και εμπορικά ευαίσθητων δεδομένων, τα οποία αποθηκεύονται ή διατίθενται με άλλον τρόπο στον τελωνειακό κόμβο δεδομένων της ΕΕ από τις αρχές που αναφέρονται στις παραγράφους 6 έως 11. Κατά τον καθορισμό των εν λόγω κανόνων και λεπτομερειών, η Επιτροπή, για κάθε αρχή ή κατηγορία αρχών:</w:t>
      </w:r>
    </w:p>
    <w:p w14:paraId="124C8E38" w14:textId="07273BB4" w:rsidR="007F42FE" w:rsidRPr="00483F7D" w:rsidRDefault="00BC60FC" w:rsidP="00BC60FC">
      <w:pPr>
        <w:pStyle w:val="Point1"/>
      </w:pPr>
      <w:r w:rsidRPr="00483F7D">
        <w:t>α)</w:t>
      </w:r>
      <w:r w:rsidRPr="00483F7D">
        <w:tab/>
      </w:r>
      <w:r w:rsidR="007F42FE" w:rsidRPr="00483F7D">
        <w:t>αξιολογεί τις υφιστάμενες διασφαλίσεις που εφαρμόζει η οικεία αρχή ώστε να διασφαλίσει ότι τα δεδομένα υποβάλλονται σε επεξεργασία σύμφωνα με τον σκοπό·</w:t>
      </w:r>
    </w:p>
    <w:p w14:paraId="1DF8B564" w14:textId="76A0E218" w:rsidR="007F42FE" w:rsidRPr="00483F7D" w:rsidRDefault="00BC60FC" w:rsidP="00BC60FC">
      <w:pPr>
        <w:pStyle w:val="Point1"/>
      </w:pPr>
      <w:r w:rsidRPr="00483F7D">
        <w:t>β)</w:t>
      </w:r>
      <w:r w:rsidRPr="00483F7D">
        <w:tab/>
      </w:r>
      <w:r w:rsidR="007F42FE" w:rsidRPr="00483F7D">
        <w:t>διασφαλίζει την αναλογικότητα και την αναγκαιότητα της επεξεργασίας σε σχέση με τον σκοπό·</w:t>
      </w:r>
    </w:p>
    <w:p w14:paraId="695375E6" w14:textId="4E1E6207" w:rsidR="007F42FE" w:rsidRPr="00483F7D" w:rsidRDefault="00BC60FC" w:rsidP="00BC60FC">
      <w:pPr>
        <w:pStyle w:val="Point1"/>
      </w:pPr>
      <w:r w:rsidRPr="00483F7D">
        <w:t>γ)</w:t>
      </w:r>
      <w:r w:rsidRPr="00483F7D">
        <w:tab/>
      </w:r>
      <w:r w:rsidR="007F42FE" w:rsidRPr="00483F7D">
        <w:t xml:space="preserve">καθορίζει τις συγκεκριμένες κατηγορίες δεδομένων, στα οποία η αρχή μπορεί να έχει πρόσβαση ή τα οποία μπορεί να επεξεργάζεται· </w:t>
      </w:r>
    </w:p>
    <w:p w14:paraId="41DED7B7" w14:textId="4FB7A1BE" w:rsidR="007F42FE" w:rsidRPr="00483F7D" w:rsidRDefault="00BC60FC" w:rsidP="00BC60FC">
      <w:pPr>
        <w:pStyle w:val="Point1"/>
      </w:pPr>
      <w:r w:rsidRPr="00483F7D">
        <w:t>δ)</w:t>
      </w:r>
      <w:r w:rsidRPr="00483F7D">
        <w:tab/>
      </w:r>
      <w:r w:rsidR="007F42FE" w:rsidRPr="00483F7D">
        <w:t>εξετάζει την ανάγκη να ορίσει η οικεία αρχή συγκεκριμένο σημείο επαφής, πρόσωπο ή πρόσωπα ή να παράσχει πρόσθετες διασφαλίσεις·</w:t>
      </w:r>
    </w:p>
    <w:p w14:paraId="1D06552F" w14:textId="4BBD69CD" w:rsidR="007F42FE" w:rsidRPr="00483F7D" w:rsidRDefault="00BC60FC" w:rsidP="00BC60FC">
      <w:pPr>
        <w:pStyle w:val="Point1"/>
      </w:pPr>
      <w:r w:rsidRPr="00483F7D">
        <w:t>ε)</w:t>
      </w:r>
      <w:r w:rsidRPr="00483F7D">
        <w:tab/>
      </w:r>
      <w:r w:rsidR="007F42FE" w:rsidRPr="00483F7D">
        <w:t>αξιολογεί την ανάγκη περιορισμού της επακόλουθης κοινοχρησίας των δεδομένων·</w:t>
      </w:r>
    </w:p>
    <w:p w14:paraId="16FEAD6A" w14:textId="23FC336E" w:rsidR="007F42FE" w:rsidRPr="00483F7D" w:rsidRDefault="00BC60FC" w:rsidP="00BC60FC">
      <w:pPr>
        <w:pStyle w:val="Point1"/>
      </w:pPr>
      <w:r w:rsidRPr="00483F7D">
        <w:t>στ)</w:t>
      </w:r>
      <w:r w:rsidRPr="00483F7D">
        <w:tab/>
      </w:r>
      <w:r w:rsidR="007F42FE" w:rsidRPr="00483F7D">
        <w:t xml:space="preserve">καθορίζει τους όρους και τις λεπτομέρειες των αιτημάτων πρόσβασης σε δεδομένα, συμπεριλαμβανομένων των δεδομένων προσωπικού χαρακτήρα ή των εμπορικά ευαίσθητων δεδομένων, και ποιοι από τους από κοινού υπευθύνους επεξεργασίας θα παρέχουν πρόσβαση στον τελωνειακό κόμβο δεδομένων της ΕΕ. </w:t>
      </w:r>
    </w:p>
    <w:p w14:paraId="434F7DF8" w14:textId="77777777" w:rsidR="007F42FE" w:rsidRPr="00483F7D" w:rsidRDefault="007F42FE" w:rsidP="005E3DFF">
      <w:pPr>
        <w:pStyle w:val="Text1"/>
        <w:rPr>
          <w:color w:val="4472C4"/>
        </w:rPr>
      </w:pPr>
      <w:r w:rsidRPr="00483F7D">
        <w:t>Οι εν λόγω εκτελεστικές πράξεις εκδίδονται σύμφωνα με τη διαδικασία εξέτασης που αναφέρεται στο άρθρο 262 παράγραφος 4.</w:t>
      </w:r>
    </w:p>
    <w:p w14:paraId="5BA0715A" w14:textId="77777777" w:rsidR="007F42FE" w:rsidRPr="00483F7D" w:rsidRDefault="007F42FE" w:rsidP="007F42FE">
      <w:pPr>
        <w:pStyle w:val="Titrearticle"/>
      </w:pPr>
      <w:r w:rsidRPr="00483F7D">
        <w:t>Άρθρο 32</w:t>
      </w:r>
    </w:p>
    <w:p w14:paraId="352976DE" w14:textId="77777777" w:rsidR="007F42FE" w:rsidRPr="00483F7D" w:rsidRDefault="007F42FE" w:rsidP="007F42FE">
      <w:pPr>
        <w:pStyle w:val="NormalCentered"/>
        <w:rPr>
          <w:b/>
          <w:bCs/>
        </w:rPr>
      </w:pPr>
      <w:r w:rsidRPr="00483F7D">
        <w:rPr>
          <w:b/>
        </w:rPr>
        <w:t>Δεδομένα προσωπικού χαρακτήρα στον τελωνειακό κόμβο δεδομένων της ΕΕ</w:t>
      </w:r>
    </w:p>
    <w:p w14:paraId="12C1EF14" w14:textId="77777777" w:rsidR="007F42FE" w:rsidRPr="00483F7D" w:rsidRDefault="007F42FE" w:rsidP="00CF7E35">
      <w:pPr>
        <w:pStyle w:val="NumPar1"/>
        <w:numPr>
          <w:ilvl w:val="0"/>
          <w:numId w:val="44"/>
        </w:numPr>
      </w:pPr>
      <w:r w:rsidRPr="00483F7D">
        <w:t>Τα δεδομένα προσωπικού χαρακτήρα των ακόλουθων κατηγοριών υποκειμένων των δεδομένων είναι δυνατό να υποβάλλονται σε επεξεργασία στον τελωνειακό κόμβο δεδομένων της ΕΕ αποκλειστικά και στον βαθμό που είναι αναγκαίος για τους σκοπούς που ορίζονται στο άρθρο 31:</w:t>
      </w:r>
    </w:p>
    <w:p w14:paraId="34FD903B" w14:textId="5B357058" w:rsidR="007F42FE" w:rsidRPr="00483F7D" w:rsidRDefault="00BC60FC" w:rsidP="00BC60FC">
      <w:pPr>
        <w:pStyle w:val="Point1"/>
      </w:pPr>
      <w:r w:rsidRPr="00483F7D">
        <w:t>α)</w:t>
      </w:r>
      <w:r w:rsidRPr="00483F7D">
        <w:tab/>
      </w:r>
      <w:r w:rsidR="007F42FE" w:rsidRPr="00483F7D">
        <w:t>των υποκειμένων των δεδομένων που έχουν εγγραφεί ή υποβάλλουν αίτηση εγγραφής ως οικονομικοί φορείς σύμφωνα με το άρθρο 19·</w:t>
      </w:r>
    </w:p>
    <w:p w14:paraId="7E930996" w14:textId="402529BD" w:rsidR="007F42FE" w:rsidRPr="00483F7D" w:rsidRDefault="00BC60FC" w:rsidP="00BC60FC">
      <w:pPr>
        <w:pStyle w:val="Point1"/>
      </w:pPr>
      <w:r w:rsidRPr="00483F7D">
        <w:t>β)</w:t>
      </w:r>
      <w:r w:rsidRPr="00483F7D">
        <w:tab/>
      </w:r>
      <w:r w:rsidR="007F42FE" w:rsidRPr="00483F7D">
        <w:t>των υποκειμένων των δεδομένων που εμπλέκονται περιστασιακά σε δραστηριότητες οι οποίες καλύπτονται από την τελωνειακή νομοθεσία ή τη λοιπή νομοθεσία που εφαρμόζεται από τις τελωνειακές αρχές·</w:t>
      </w:r>
    </w:p>
    <w:p w14:paraId="69E3BDBE" w14:textId="30855625" w:rsidR="007F42FE" w:rsidRPr="00483F7D" w:rsidRDefault="00BC60FC" w:rsidP="00BC60FC">
      <w:pPr>
        <w:pStyle w:val="Point1"/>
      </w:pPr>
      <w:r w:rsidRPr="00483F7D">
        <w:t>γ)</w:t>
      </w:r>
      <w:r w:rsidRPr="00483F7D">
        <w:tab/>
      </w:r>
      <w:r w:rsidR="007F42FE" w:rsidRPr="00483F7D">
        <w:t>των υποκειμένων των δεδομένων των οποίων οι πληροφορίες προσωπικού χαρακτήρα περιέχονται στα δικαιολογητικά έγγραφα που αναφέρονται στο άρθρο 40 ή σε τυχόν πρόσθετα αποδεικτικά στοιχεία που απαιτούνται για την εκπλήρωση των υποχρεώσεων οι οποίες επιβάλλονται από την τελωνειακή νομοθεσία και τη λοιπή νομοθεσία που εφαρμόζεται από τις τελωνειακές αρχές·</w:t>
      </w:r>
    </w:p>
    <w:p w14:paraId="60F324C6" w14:textId="238DF222" w:rsidR="007F42FE" w:rsidRPr="00483F7D" w:rsidRDefault="00BC60FC" w:rsidP="00BC60FC">
      <w:pPr>
        <w:pStyle w:val="Point1"/>
      </w:pPr>
      <w:r w:rsidRPr="00483F7D">
        <w:t>δ)</w:t>
      </w:r>
      <w:r w:rsidRPr="00483F7D">
        <w:tab/>
      </w:r>
      <w:r w:rsidR="007F42FE" w:rsidRPr="00483F7D">
        <w:t>των υποκειμένων των δεδομένων των οποίων τα δεδομένα προσωπικού χαρακτήρα περιέχονται στα δεδομένα που συλλέγονται για σκοπούς διαχείρισης κινδύνων σύμφωνα με το άρθρο 50 παράγραφος 3 στοιχείο α)·</w:t>
      </w:r>
    </w:p>
    <w:p w14:paraId="6AD69858" w14:textId="45C44BF5" w:rsidR="007F42FE" w:rsidRPr="00483F7D" w:rsidRDefault="00BC60FC" w:rsidP="00BC60FC">
      <w:pPr>
        <w:pStyle w:val="Point1"/>
      </w:pPr>
      <w:r w:rsidRPr="00483F7D">
        <w:t>ε)</w:t>
      </w:r>
      <w:r w:rsidRPr="00483F7D">
        <w:tab/>
      </w:r>
      <w:r w:rsidR="007F42FE" w:rsidRPr="00483F7D">
        <w:t>του εξουσιοδοτημένου προσωπικού τελωνειακών αρχών, αρχών εκτός των τελωνειακών ή οποιασδήποτε άλλης σχετικής αρχής ή εξουσιοδοτημένου φορέα, των οποίων οι προσωπικές πληροφορίες είναι αναγκαίες για τη διασφάλιση του κατάλληλου ελέγχου και εποπτείας της πρόσβασης στις πληροφορίες στον τελωνειακό κόμβο δεδομένων της ΕΕ·</w:t>
      </w:r>
    </w:p>
    <w:p w14:paraId="459F4EB2" w14:textId="3AF54FC0" w:rsidR="007F42FE" w:rsidRPr="00483F7D" w:rsidRDefault="00BC60FC" w:rsidP="00BC60FC">
      <w:pPr>
        <w:pStyle w:val="Point1"/>
      </w:pPr>
      <w:r w:rsidRPr="00483F7D">
        <w:t>στ)</w:t>
      </w:r>
      <w:r w:rsidRPr="00483F7D">
        <w:tab/>
      </w:r>
      <w:r w:rsidR="007F42FE" w:rsidRPr="00483F7D">
        <w:t>του προσωπικού ή εξουσιοδοτημένων τρίτων που εργάζονται για λογαριασμό της Επιτροπής, της Τελωνειακής Αρχής της ΕΕ ή άλλων οργανισμών της Ένωσης εξουσιοδοτημένων να έχουν πρόσβαση στον τελωνειακό κόμβο δεδομένων της ΕΕ.</w:t>
      </w:r>
    </w:p>
    <w:p w14:paraId="0B9ADDB5" w14:textId="77777777" w:rsidR="007F42FE" w:rsidRPr="00483F7D" w:rsidRDefault="007F42FE" w:rsidP="00B62B15">
      <w:pPr>
        <w:pStyle w:val="NumPar1"/>
      </w:pPr>
      <w:r w:rsidRPr="00483F7D">
        <w:t>Οι ακόλουθες κατηγορίες δεδομένων προσωπικού χαρακτήρα είναι δυνατό να υποβάλλονται σε επεξεργασία στον τελωνειακό κόμβο δεδομένων της ΕΕ σύμφωνα με το άρθρο 31:</w:t>
      </w:r>
    </w:p>
    <w:p w14:paraId="4F381077" w14:textId="2DC68534" w:rsidR="007F42FE" w:rsidRPr="00483F7D" w:rsidRDefault="00BC60FC" w:rsidP="00BC60FC">
      <w:pPr>
        <w:pStyle w:val="Point1"/>
      </w:pPr>
      <w:r w:rsidRPr="00483F7D">
        <w:t>α)</w:t>
      </w:r>
      <w:r w:rsidRPr="00483F7D">
        <w:tab/>
      </w:r>
      <w:r w:rsidR="007F42FE" w:rsidRPr="00483F7D">
        <w:t>δεδομένα προσωπικού χαρακτήρα στο μοντέλο τελωνειακών δεδομένων της ΕΕ που αναφέρεται στο άρθρο 36·</w:t>
      </w:r>
    </w:p>
    <w:p w14:paraId="34DC8969" w14:textId="0F230424" w:rsidR="007F42FE" w:rsidRPr="00483F7D" w:rsidRDefault="00BC60FC" w:rsidP="00BC60FC">
      <w:pPr>
        <w:pStyle w:val="Point1"/>
      </w:pPr>
      <w:r w:rsidRPr="00483F7D">
        <w:t>β)</w:t>
      </w:r>
      <w:r w:rsidRPr="00483F7D">
        <w:tab/>
      </w:r>
      <w:r w:rsidR="007F42FE" w:rsidRPr="00483F7D">
        <w:t>δεδομένα προσωπικού χαρακτήρα που περιλαμβάνονται στα δεδομένα τα οποία συλλέγονται για τους σκοπούς διαχείρισης των κινδύνων σύμφωνα με το άρθρο 50 παράγραφος 3 στοιχείο α)·</w:t>
      </w:r>
    </w:p>
    <w:p w14:paraId="0B90555E" w14:textId="50D1838C" w:rsidR="007F42FE" w:rsidRPr="00483F7D" w:rsidRDefault="00BC60FC" w:rsidP="00BC60FC">
      <w:pPr>
        <w:pStyle w:val="Point1"/>
      </w:pPr>
      <w:r w:rsidRPr="00483F7D">
        <w:t>γ)</w:t>
      </w:r>
      <w:r w:rsidRPr="00483F7D">
        <w:tab/>
      </w:r>
      <w:r w:rsidR="007F42FE" w:rsidRPr="00483F7D">
        <w:t>δεδομένα προσωπικού χαρακτήρα που απαιτούνται για τη διασφάλιση της ορθής ταυτοποίησης του προσωπικού το οποίο είναι εξουσιοδοτημένο να επεξεργάζεται δεδομένα στον τελωνειακό κόμβο δεδομένων της ΕΕ που αναφέρονται στην παράγραφο 1 στοιχεία ε) και στ).</w:t>
      </w:r>
    </w:p>
    <w:p w14:paraId="3B27B0EB" w14:textId="77777777" w:rsidR="007F42FE" w:rsidRPr="00483F7D" w:rsidRDefault="007F42FE" w:rsidP="00B62B15">
      <w:pPr>
        <w:pStyle w:val="NumPar1"/>
      </w:pPr>
      <w:r w:rsidRPr="00483F7D">
        <w:t>Ανατίθεται στην Επιτροπή η εξουσία να εκδίδει κατ’ εξουσιοδότηση πράξεις, σύμφωνα με το άρθρο 261, για την τροποποίηση ή τη συμπλήρωση των κατηγοριών υποκειμένων των δεδομένων και των κατηγοριών δεδομένων προσωπικού χαρακτήρα που αναφέρονται στις παραγράφους 1 και 2 του παρόντος άρθρου, ώστε να λαμβάνονται υπόψη οι εξελίξεις στην τεχνολογία πληροφοριών και υπό το πρίσμα της προόδου στην κοινωνία της πληροφορίας.</w:t>
      </w:r>
    </w:p>
    <w:p w14:paraId="7CBB02EE" w14:textId="77777777" w:rsidR="007F42FE" w:rsidRPr="00483F7D" w:rsidRDefault="007F42FE" w:rsidP="007F42FE">
      <w:pPr>
        <w:pStyle w:val="Titrearticle"/>
      </w:pPr>
      <w:r w:rsidRPr="00483F7D">
        <w:t>Άρθρο 33</w:t>
      </w:r>
    </w:p>
    <w:p w14:paraId="2D6C6351" w14:textId="77777777" w:rsidR="007F42FE" w:rsidRPr="00483F7D" w:rsidRDefault="007F42FE" w:rsidP="007F42FE">
      <w:pPr>
        <w:pStyle w:val="NormalCentered"/>
        <w:rPr>
          <w:b/>
          <w:bCs/>
        </w:rPr>
      </w:pPr>
      <w:r w:rsidRPr="00483F7D">
        <w:rPr>
          <w:b/>
        </w:rPr>
        <w:t>Περίοδος διατήρησης των δεδομένων προσωπικού χαρακτήρα στον τελωνειακό κόμβο δεδομένων της ΕΕ</w:t>
      </w:r>
    </w:p>
    <w:p w14:paraId="322AE1D5" w14:textId="77777777" w:rsidR="007F42FE" w:rsidRPr="00483F7D" w:rsidRDefault="007F42FE" w:rsidP="00CF7E35">
      <w:pPr>
        <w:pStyle w:val="NumPar1"/>
        <w:numPr>
          <w:ilvl w:val="0"/>
          <w:numId w:val="51"/>
        </w:numPr>
      </w:pPr>
      <w:r w:rsidRPr="00483F7D">
        <w:t xml:space="preserve">Τα δεδομένα προσωπικού χαρακτήρα στον τελωνειακό κόμβο δεδομένων της ΕΕ είναι δυνατό να αποθηκεύονται μέσω ειδικής υπηρεσίας για μέγιστη περίοδο 10 ετών, αρχής γενομένης από την ημερομηνία κατά την οποία τα εν λόγω δεδομένα καταγράφονται στην υπηρεσία. Οι περιπτώσεις που προβλέπονται στο άρθρο </w:t>
      </w:r>
      <w:hyperlink w:anchor="__akn_article_FCz90W">
        <w:r w:rsidRPr="00483F7D">
          <w:rPr>
            <w:rStyle w:val="Hyperlink"/>
          </w:rPr>
          <w:t>48</w:t>
        </w:r>
      </w:hyperlink>
      <w:r w:rsidRPr="00483F7D">
        <w:t xml:space="preserve"> και οι έρευνες που κινούνται από την OLAF, την Ευρωπαϊκή Εισαγγελία ή από τις αρχές των κρατών μελών, οι διαδικασίες επί παραβάσει που κινεί η Επιτροπή και οι διοικητικές και δικαστικές διαδικασίες που αφορούν δεδομένα προσωπικού χαρακτήρα έχουν ανασταλτικό αποτέλεσμα όσον αφορά την περίοδο διατήρησης των εν λόγω δεδομένων.</w:t>
      </w:r>
    </w:p>
    <w:p w14:paraId="32268631" w14:textId="77777777" w:rsidR="007F42FE" w:rsidRPr="00483F7D" w:rsidRDefault="007F42FE" w:rsidP="00B62B15">
      <w:pPr>
        <w:pStyle w:val="NumPar1"/>
      </w:pPr>
      <w:r w:rsidRPr="00483F7D">
        <w:t>Μετά τη λήξη της χρονικής περιόδου που προβλέπεται στην παράγραφο 1, τα δεδομένα προσωπικού χαρακτήρα διαγράφονται ή ανωνυμοποιούνται, ανάλογα με τις περιστάσεις.</w:t>
      </w:r>
    </w:p>
    <w:p w14:paraId="0AF6C92A" w14:textId="77777777" w:rsidR="007F42FE" w:rsidRPr="00483F7D" w:rsidRDefault="007F42FE" w:rsidP="00B62B15">
      <w:pPr>
        <w:pStyle w:val="NumPar1"/>
      </w:pPr>
      <w:r w:rsidRPr="00483F7D">
        <w:t>Η Επιτροπή θεσπίζει, με εκτελεστικές πράξεις, τους κανόνες για την ανωνυμοποίηση των δεδομένων προσωπικού χαρακτήρα μετά τη λήξη της περιόδου διατήρησης.</w:t>
      </w:r>
    </w:p>
    <w:p w14:paraId="38900F0C" w14:textId="77777777" w:rsidR="007F42FE" w:rsidRPr="00483F7D" w:rsidRDefault="007F42FE" w:rsidP="007F42FE">
      <w:pPr>
        <w:pStyle w:val="Titrearticle"/>
        <w:rPr>
          <w:b/>
          <w:bCs/>
        </w:rPr>
      </w:pPr>
      <w:r w:rsidRPr="00483F7D">
        <w:t>Άρθρο 34</w:t>
      </w:r>
    </w:p>
    <w:p w14:paraId="099E2172" w14:textId="77777777" w:rsidR="007F42FE" w:rsidRPr="00483F7D" w:rsidRDefault="007F42FE" w:rsidP="007F42FE">
      <w:pPr>
        <w:tabs>
          <w:tab w:val="left" w:pos="3544"/>
        </w:tabs>
        <w:jc w:val="center"/>
        <w:rPr>
          <w:b/>
          <w:bCs/>
        </w:rPr>
      </w:pPr>
      <w:r w:rsidRPr="00483F7D">
        <w:rPr>
          <w:b/>
        </w:rPr>
        <w:t>Ρόλοι και αρμοδιότητες για τα δεδομένα προσωπικού χαρακτήρα που υποβάλλονται σε επεξεργασία στον τελωνειακό κόμβο δεδομένων της ΕΕ</w:t>
      </w:r>
    </w:p>
    <w:p w14:paraId="1275BCFA" w14:textId="77777777" w:rsidR="007F42FE" w:rsidRPr="00483F7D" w:rsidRDefault="007F42FE" w:rsidP="00CF7E35">
      <w:pPr>
        <w:pStyle w:val="NumPar1"/>
        <w:numPr>
          <w:ilvl w:val="0"/>
          <w:numId w:val="45"/>
        </w:numPr>
      </w:pPr>
      <w:r w:rsidRPr="00483F7D">
        <w:t xml:space="preserve">Οι τελωνειακές αρχές των κρατών μελών, η Επιτροπή και η Τελωνειακή Αρχή της ΕΕ θεωρούνται από κοινού υπεύθυνες επεξεργασίας όσον αφορά την επεξεργασία δεδομένων προσωπικού χαρακτήρα στον τελωνειακό κόμβο δεδομένων της ΕΕ για τους σκοπούς της διαχείρισης κινδύνων και της συνεργασίας, όπως αναφέρεται στο άρθρο 31 παράγραφος 2 στοιχεία β) και γ), στο άρθρο 31 παράγραφος 3 στοιχεία α) και γ) και στο άρθρο 31 παράγραφος 4 στοιχεία α) και ε). </w:t>
      </w:r>
    </w:p>
    <w:p w14:paraId="49DF7CE4" w14:textId="77777777" w:rsidR="007F42FE" w:rsidRPr="00483F7D" w:rsidRDefault="007F42FE" w:rsidP="00CF7E35">
      <w:pPr>
        <w:pStyle w:val="NumPar1"/>
        <w:numPr>
          <w:ilvl w:val="0"/>
          <w:numId w:val="45"/>
        </w:numPr>
      </w:pPr>
      <w:r w:rsidRPr="00483F7D">
        <w:t>Κάθε τελωνειακή αρχή θεωρείται μόνη υπεύθυνη επεξεργασίας σε σχέση με τα δεδομένα προσωπικού χαρακτήρα που επεξεργάζεται για τους σκοπούς που αναφέρονται στο άρθρο 31 παράγραφος 2 στοιχείο α).</w:t>
      </w:r>
    </w:p>
    <w:p w14:paraId="1DC707E7" w14:textId="77777777" w:rsidR="007F42FE" w:rsidRPr="00483F7D" w:rsidRDefault="007F42FE" w:rsidP="00CF7E35">
      <w:pPr>
        <w:pStyle w:val="NumPar1"/>
        <w:numPr>
          <w:ilvl w:val="0"/>
          <w:numId w:val="45"/>
        </w:numPr>
      </w:pPr>
      <w:r w:rsidRPr="00483F7D">
        <w:t>Η Επιτροπή θεωρείται αποκλειστική υπεύθυνη επεξεργασίας των δεδομένων προσωπικού χαρακτήρα που επεξεργάζεται για τους σκοπούς που αναφέρονται στο άρθρο 31 παράγραφος 4 στοιχεία γ), δ) και στ) έως ζ).</w:t>
      </w:r>
    </w:p>
    <w:p w14:paraId="7786F0EC" w14:textId="77777777" w:rsidR="007F42FE" w:rsidRPr="00483F7D" w:rsidRDefault="007F42FE" w:rsidP="00CF7E35">
      <w:pPr>
        <w:pStyle w:val="NumPar1"/>
        <w:numPr>
          <w:ilvl w:val="0"/>
          <w:numId w:val="45"/>
        </w:numPr>
      </w:pPr>
      <w:r w:rsidRPr="00483F7D">
        <w:t xml:space="preserve">Έως την ημερομηνία που ορίζεται στο άρθρο 265 παράγραφος </w:t>
      </w:r>
      <w:hyperlink r:id="rId16" w:history="1">
        <w:r w:rsidRPr="00483F7D">
          <w:t>3</w:t>
        </w:r>
      </w:hyperlink>
      <w:r w:rsidRPr="00483F7D">
        <w:t>, η Επιτροπή, η OLAF, η Ευρωπαϊκή Εισαγγελία και η Τελωνειακή Αρχή της ΕΕ θεωρούνται αποκλειστικές υπεύθυνες επεξεργασίας σε σχέση με την επεξεργασία δεδομένων που αναφέρεται στο άρθρο 31 παράγραφος 12.</w:t>
      </w:r>
    </w:p>
    <w:p w14:paraId="0ED57CEE" w14:textId="77777777" w:rsidR="007F42FE" w:rsidRPr="00483F7D" w:rsidRDefault="007F42FE" w:rsidP="00CF7E35">
      <w:pPr>
        <w:pStyle w:val="NumPar1"/>
        <w:numPr>
          <w:ilvl w:val="0"/>
          <w:numId w:val="45"/>
        </w:numPr>
      </w:pPr>
      <w:r w:rsidRPr="00483F7D">
        <w:t>Οι από κοινού υπεύθυνες επεξεργασίας που αναφέρονται στην παράγραφο 1:</w:t>
      </w:r>
    </w:p>
    <w:p w14:paraId="2F267F38" w14:textId="042F1E75" w:rsidR="007F42FE" w:rsidRPr="00483F7D" w:rsidRDefault="00BC60FC" w:rsidP="00BC60FC">
      <w:pPr>
        <w:pStyle w:val="Point1"/>
      </w:pPr>
      <w:r w:rsidRPr="00483F7D">
        <w:t>α)</w:t>
      </w:r>
      <w:r w:rsidRPr="00483F7D">
        <w:tab/>
      </w:r>
      <w:r w:rsidR="007F42FE" w:rsidRPr="00483F7D">
        <w:t>συνεργάζονται για την έγκαιρη επεξεργασία των αιτημάτων που υποβάλλουν τα υποκείμενα των δεδομένων και για τη διευκόλυνση της άσκησης των δικαιωμάτων των υποκειμένων των δεδομένων·</w:t>
      </w:r>
    </w:p>
    <w:p w14:paraId="72EB4921" w14:textId="6E0CB265" w:rsidR="007F42FE" w:rsidRPr="00483F7D" w:rsidRDefault="00BC60FC" w:rsidP="00BC60FC">
      <w:pPr>
        <w:pStyle w:val="Point1"/>
      </w:pPr>
      <w:r w:rsidRPr="00483F7D">
        <w:t>β)</w:t>
      </w:r>
      <w:r w:rsidRPr="00483F7D">
        <w:tab/>
      </w:r>
      <w:r w:rsidR="007F42FE" w:rsidRPr="00483F7D">
        <w:t>παρέχουν αμοιβαία συνδρομή σε ζητήματα που περιλαμβάνουν τον εντοπισμό και τον χειρισμό οποιασδήποτε παραβίασης δεδομένων η οποία σχετίζεται με την από κοινού επεξεργασία·</w:t>
      </w:r>
    </w:p>
    <w:p w14:paraId="47616342" w14:textId="61059C53" w:rsidR="007F42FE" w:rsidRPr="00483F7D" w:rsidRDefault="00BC60FC" w:rsidP="00BC60FC">
      <w:pPr>
        <w:pStyle w:val="Point1"/>
      </w:pPr>
      <w:r w:rsidRPr="00483F7D">
        <w:t>γ)</w:t>
      </w:r>
      <w:r w:rsidRPr="00483F7D">
        <w:tab/>
      </w:r>
      <w:r w:rsidR="007F42FE" w:rsidRPr="00483F7D">
        <w:t>ανταλλάσσουν τις σχετικές πληροφορίες που είναι αναγκαίες για την ενημέρωση των υποκειμένων των δεδομένων σύμφωνα με το κεφάλαιο III τμήμα 2 του κανονισμού (ΕΕ) 2016/679, το κεφάλαιο III τμήμα 2 του κανονισμού (ΕΕ) 2018/1725 και το κεφάλαιο III της οδηγίας (ΕΕ) 2016/680, κατά περίπτωση·</w:t>
      </w:r>
    </w:p>
    <w:p w14:paraId="7E29C6F2" w14:textId="7346F764" w:rsidR="007F42FE" w:rsidRPr="00483F7D" w:rsidRDefault="00BC60FC" w:rsidP="00BC60FC">
      <w:pPr>
        <w:pStyle w:val="Point1"/>
        <w:rPr>
          <w:rFonts w:asciiTheme="minorHAnsi" w:hAnsiTheme="minorHAnsi" w:cstheme="minorBidi"/>
          <w:sz w:val="22"/>
        </w:rPr>
      </w:pPr>
      <w:r w:rsidRPr="00483F7D">
        <w:t>δ)</w:t>
      </w:r>
      <w:r w:rsidRPr="00483F7D">
        <w:tab/>
      </w:r>
      <w:r w:rsidR="007F42FE" w:rsidRPr="00483F7D">
        <w:t>εγγυώνται και προστατεύουν την ασφάλεια, την ακεραιότητα, τη διαθεσιμότητα και την εμπιστευτικότητα των δεδομένων προσωπικού χαρακτήρα που υποβάλλονται σε από κοινού επεξεργασία σύμφωνα με το άρθρο 32 του κανονισμού (ΕΕ) 2016/679, το άρθρο 33 του κανονισμού (ΕΕ) 2018/1725 και το άρθρο 25 της οδηγίας (ΕΕ) 2016/680, κατά περίπτωση.</w:t>
      </w:r>
    </w:p>
    <w:p w14:paraId="23C2284E" w14:textId="77777777" w:rsidR="007F42FE" w:rsidRPr="00483F7D" w:rsidRDefault="007F42FE" w:rsidP="00B62B15">
      <w:pPr>
        <w:pStyle w:val="NumPar1"/>
      </w:pPr>
      <w:r w:rsidRPr="00483F7D">
        <w:t>Η Επιτροπή καθορίζει, μέσω εκτελεστικών πράξεων, τους αντίστοιχους ρόλους και σχέσεις των από κοινού υπευθύνων επεξεργασίας έναντι των υποκειμένων των δεδομένων, σύμφωνα με το άρθρο 26 του κανονισμού (ΕΕ) 2016/679 και το άρθρο 28 του κανονισμού (ΕΕ) 2018/1725. Οι εν λόγω εκτελεστικές πράξεις εκδίδονται σύμφωνα με τη διαδικασία εξέτασης που αναφέρεται στο άρθρο 262 παράγραφος 4.</w:t>
      </w:r>
    </w:p>
    <w:p w14:paraId="6A90EB82" w14:textId="77777777" w:rsidR="007F42FE" w:rsidRPr="00483F7D" w:rsidRDefault="007F42FE" w:rsidP="007F42FE">
      <w:pPr>
        <w:pStyle w:val="Titrearticle"/>
      </w:pPr>
      <w:r w:rsidRPr="00483F7D">
        <w:t>Άρθρο 35</w:t>
      </w:r>
    </w:p>
    <w:p w14:paraId="54A7DCC0" w14:textId="77777777" w:rsidR="007F42FE" w:rsidRPr="00483F7D" w:rsidRDefault="007F42FE" w:rsidP="007F42FE">
      <w:pPr>
        <w:pStyle w:val="NormalCentered"/>
        <w:rPr>
          <w:b/>
        </w:rPr>
      </w:pPr>
      <w:r w:rsidRPr="00483F7D">
        <w:rPr>
          <w:b/>
        </w:rPr>
        <w:t>Περιορισμοί των δικαιωμάτων του υποκειμένου των δεδομένων</w:t>
      </w:r>
    </w:p>
    <w:p w14:paraId="46CC9BA0" w14:textId="77777777" w:rsidR="007F42FE" w:rsidRPr="00483F7D" w:rsidRDefault="007F42FE" w:rsidP="00CF7E35">
      <w:pPr>
        <w:pStyle w:val="NumPar1"/>
        <w:numPr>
          <w:ilvl w:val="0"/>
          <w:numId w:val="46"/>
        </w:numPr>
      </w:pPr>
      <w:r w:rsidRPr="00483F7D">
        <w:t xml:space="preserve">Όταν η άσκηση από υποκείμενο των δεδομένων του δικαιώματος πρόσβασης και του δικαιώματος περιορισμού της επεξεργασίας που αναφέρεται στα άρθρα 15 και 18 του κανονισμού (ΕΕ) 2016/679 και στα άρθρα 17 και 20 του κανονισμού (ΕΕ) 2018/1725, ή η κοινοποίηση παραβίασης δεδομένων που αναφέρεται στο άρθρο 34 παράγραφος 1 του κανονισμού (ΕΕ) 2016/679 και στο άρθρο 35 παράγραφος 1 του κανονισμού (ΕΕ) 2018/1725, θα έθετε σε κίνδυνο έρευνα που βρίσκεται σε εξέλιξη και αφορά φυσικό πρόσωπο στον τομέα των τελωνείων, τη διενέργεια τελωνειακών ελέγχων ή τη διαχείριση συγκεκριμένου κινδύνου που εντοπίστηκε σε σχέση με φυσικό πρόσωπο στον τομέα των τελωνείων, οι τελωνειακές αρχές, η Τελωνειακή Αρχή της ΕΕ και η Επιτροπή μπορούν, σύμφωνα με το άρθρο 23 παράγραφος 1 στοιχεία γ), ε), στ) και η) του κανονισμού (ΕΕ) 2016/679, καθώς και η Επιτροπή και η Τελωνειακή Αρχή της ΕΕ μπορούν, σύμφωνα με το άρθρο 25 παράγραφος 1 στοιχεία α), γ), ε) και ζ) του κανονισμού (ΕΕ) 2018/1725, να περιορίζουν εν όλω ή εν μέρει τα εν λόγω δικαιώματα, στον βαθμό που ο περιορισμός είναι αναγκαίος και αναλογικός. </w:t>
      </w:r>
    </w:p>
    <w:p w14:paraId="327B15DA" w14:textId="77777777" w:rsidR="007F42FE" w:rsidRPr="00483F7D" w:rsidRDefault="007F42FE" w:rsidP="00B62B15">
      <w:pPr>
        <w:pStyle w:val="NumPar1"/>
      </w:pPr>
      <w:r w:rsidRPr="00483F7D">
        <w:t xml:space="preserve">Οι τελωνειακές αρχές, η Επιτροπή και η Τελωνειακή Αρχή της ΕΕ αξιολογούν την αναγκαιότητα και την αναλογικότητα των περιορισμών που αναφέρονται στην παράγραφο 1 κατά περίπτωση πριν από την εφαρμογή τους, λαμβάνοντας υπόψη τους πιθανούς κινδύνους για τα δικαιώματα και τις ελευθερίες του υποκειμένου των δεδομένων. </w:t>
      </w:r>
    </w:p>
    <w:p w14:paraId="37022609" w14:textId="77777777" w:rsidR="007F42FE" w:rsidRPr="00483F7D" w:rsidRDefault="007F42FE" w:rsidP="00B62B15">
      <w:pPr>
        <w:pStyle w:val="NumPar1"/>
      </w:pPr>
      <w:r w:rsidRPr="00483F7D">
        <w:t>Κατά την επεξεργασία δεδομένων προσωπικού χαρακτήρα που λαμβάνονται από άλλους οργανισμούς στο πλαίσιο των καθηκόντων τους, οι τελωνειακές αρχές, η Τελωνειακή Αρχή της ΕΕ ή η Επιτροπή, όταν ενεργούν ως υπεύθυνοι επεξεργασίας ή από κοινού υπεύθυνοι επεξεργασίας, διαβουλεύονται με τους εν λόγω οργανισμούς σχετικά με πιθανούς λόγους επιβολής των περιορισμών που αναφέρονται στην παράγραφο 1, καθώς και σχετικά με την αναγκαιότητα και την αναλογικότητα των εν λόγω περιορισμών πριν από την εφαρμογή του περιορισμού που αναφέρεται στην παράγραφο 1.</w:t>
      </w:r>
    </w:p>
    <w:p w14:paraId="6879F8F0" w14:textId="77777777" w:rsidR="007F42FE" w:rsidRPr="00483F7D" w:rsidRDefault="007F42FE" w:rsidP="00B62B15">
      <w:pPr>
        <w:pStyle w:val="NumPar1"/>
      </w:pPr>
      <w:r w:rsidRPr="00483F7D">
        <w:t>Όταν οι τελωνειακές αρχές, η Επιτροπή ή η Τελωνειακή Αρχή της ΕΕ περιορίζουν, εν όλω ή εν μέρει, τα δικαιώματα που αναφέρονται στην παράγραφο 1, λαμβάνουν τα ακόλουθα μέτρα:</w:t>
      </w:r>
    </w:p>
    <w:p w14:paraId="2A500EF1" w14:textId="0FE24FF4" w:rsidR="007F42FE" w:rsidRPr="00483F7D" w:rsidRDefault="00BC60FC" w:rsidP="00BC60FC">
      <w:pPr>
        <w:pStyle w:val="Point1"/>
      </w:pPr>
      <w:r w:rsidRPr="00483F7D">
        <w:t>α)</w:t>
      </w:r>
      <w:r w:rsidRPr="00483F7D">
        <w:tab/>
      </w:r>
      <w:r w:rsidR="007F42FE" w:rsidRPr="00483F7D">
        <w:t>ενημερώνουν το ενδιαφερόμενο υποκείμενο των δεδομένων, στην απάντησή τους στο αίτημα, για τον περιορισμό που εφαρμόστηκε και για τους κύριους λόγους, καθώς και για τη δυνατότητά του να υποβάλει καταγγελία στις εθνικές αρχές προστασίας δεδομένων ή στον Ευρωπαίο Επόπτη Προστασίας Δεδομένων ή να ασκήσει δικαστική προσφυγή σε εθνικό δικαστήριο ή στο Δικαστήριο της Ευρωπαϊκής Ένωσης· και</w:t>
      </w:r>
    </w:p>
    <w:p w14:paraId="5C5A01C6" w14:textId="6F5ABE25" w:rsidR="007F42FE" w:rsidRPr="00483F7D" w:rsidRDefault="00BC60FC" w:rsidP="00BC60FC">
      <w:pPr>
        <w:pStyle w:val="Point1"/>
      </w:pPr>
      <w:r w:rsidRPr="00483F7D">
        <w:t>β)</w:t>
      </w:r>
      <w:r w:rsidRPr="00483F7D">
        <w:tab/>
      </w:r>
      <w:r w:rsidR="007F42FE" w:rsidRPr="00483F7D">
        <w:t>καταγράφουν τους λόγους του περιορισμού, συμπεριλαμβανομένης αξιολόγησης της αναγκαιότητας και της αναλογικότητας του περιορισμού, καθώς και τους λόγους για τους οποίους η παροχή πρόσβασης θα έθετε σε κίνδυνο τη διαχείριση των κινδύνων και τους τελωνειακούς ελέγχους.</w:t>
      </w:r>
    </w:p>
    <w:p w14:paraId="0402FB0D" w14:textId="77777777" w:rsidR="007F42FE" w:rsidRPr="00483F7D" w:rsidRDefault="007F42FE" w:rsidP="005E3DFF">
      <w:pPr>
        <w:pStyle w:val="Text1"/>
      </w:pPr>
      <w:r w:rsidRPr="00483F7D">
        <w:t>Η ενημέρωση που αναφέρεται στο στοιχείο α) του πρώτου εδαφίου μπορεί να αναβάλλεται, να παραλείπεται ή να απορρίπτεται σύμφωνα με το άρθρο 25 παράγραφος 8 του κανονισμού (ΕΕ) 2018/1725 ή όταν η εν λόγω ενημέρωση θα ήταν επιζήμια για τους σκοπούς του περιορισμού.</w:t>
      </w:r>
    </w:p>
    <w:p w14:paraId="0165C757" w14:textId="77777777" w:rsidR="007F42FE" w:rsidRPr="00483F7D" w:rsidRDefault="007F42FE" w:rsidP="00B62B15">
      <w:pPr>
        <w:pStyle w:val="NumPar1"/>
      </w:pPr>
      <w:r w:rsidRPr="00483F7D">
        <w:t>Οι τελωνειακές αρχές, η Επιτροπή ή η Τελωνειακή Αρχή της ΕΕ περιλαμβάνουν ένα τμήμα στις ανακοινώσεις προστασίας δεδομένων που δημοσιεύονται στον ιστότοπο / στο εσωτερικό δίκτυό τους, το οποίο παρέχει γενικές πληροφορίες στα υποκείμενα των δεδομένων σχετικά με το ενδεχόμενο περιορισμού των δικαιωμάτων των υποκειμένων των δεδομένων.</w:t>
      </w:r>
    </w:p>
    <w:p w14:paraId="389D0F20" w14:textId="77777777" w:rsidR="007F42FE" w:rsidRPr="00483F7D" w:rsidRDefault="007F42FE" w:rsidP="00B62B15">
      <w:pPr>
        <w:pStyle w:val="NumPar1"/>
        <w:rPr>
          <w:rStyle w:val="Hyperlink"/>
        </w:rPr>
      </w:pPr>
      <w:r w:rsidRPr="00483F7D">
        <w:t>Η Επιτροπή θεσπίζει, με εκτελεστικές πράξεις, τις διασφαλίσεις για την πρόληψη της κατάχρησης και της παράνομης πρόσβασης ή διαβίβασης των δεδομένων προσωπικού χαρακτήρα ως προς τους περιορισμούς που εφαρμόζονται ή θα ήταν δυνατό να εφαρμοστούν. Οι εν λόγω διασφαλίσεις περιλαμβάνουν τον καθορισμό των ρόλων, των αρμοδιοτήτων και των διαδικαστικών σταδίων, καθώς και τη δέουσα παρακολούθηση των περιορισμών και την περιοδική επανεξέταση της εφαρμογής τους, η οποία πραγματοποιείται τουλάχιστον κάθε 6 μήνες. Οι εν λόγω εκτελεστικές πράξεις εκδίδονται σύμφωνα με τη διαδικασία εξέτασης που αναφέρεται στο άρθρο 262 παράγραφος 4.</w:t>
      </w:r>
    </w:p>
    <w:p w14:paraId="7C5A1324" w14:textId="77777777" w:rsidR="007F42FE" w:rsidRPr="00483F7D" w:rsidRDefault="007F42FE" w:rsidP="007F42FE">
      <w:pPr>
        <w:pStyle w:val="Titrearticle"/>
      </w:pPr>
      <w:r w:rsidRPr="00483F7D">
        <w:t>Άρθρο 36</w:t>
      </w:r>
    </w:p>
    <w:p w14:paraId="269D538D" w14:textId="77777777" w:rsidR="007F42FE" w:rsidRPr="00483F7D" w:rsidRDefault="007F42FE" w:rsidP="007F42FE">
      <w:pPr>
        <w:pStyle w:val="NormalCentered"/>
        <w:rPr>
          <w:b/>
        </w:rPr>
      </w:pPr>
      <w:r w:rsidRPr="00483F7D">
        <w:rPr>
          <w:b/>
        </w:rPr>
        <w:t xml:space="preserve">Μοντέλο τελωνειακών δεδομένων της ΕΕ </w:t>
      </w:r>
    </w:p>
    <w:p w14:paraId="7C9B0B48" w14:textId="77777777" w:rsidR="007F42FE" w:rsidRPr="00483F7D" w:rsidRDefault="007F42FE" w:rsidP="007F42FE">
      <w:r w:rsidRPr="00483F7D">
        <w:t>Ανατίθεται στην Επιτροπή η εξουσία να εκδίδει κατ’ εξουσιοδότηση πράξεις, σύμφωνα με το άρθρο 261, για τη συμπλήρωση του παρόντος κανονισμού με σκοπό τον καθορισμό των δεδομένων που απαιτούνται για την εκπλήρωση των σκοπών που αναφέρονται στο άρθρο 31 παράγραφοι 1 έως 4. Οι εν λόγω απαιτήσεις περί δεδομένων αποτελούν το μοντέλο τελωνειακών δεδομένων της ΕΕ.</w:t>
      </w:r>
    </w:p>
    <w:p w14:paraId="630CB8CC" w14:textId="77777777" w:rsidR="007F42FE" w:rsidRPr="00483F7D" w:rsidRDefault="007F42FE" w:rsidP="007F42FE">
      <w:pPr>
        <w:pStyle w:val="Titrearticle"/>
      </w:pPr>
      <w:r w:rsidRPr="00483F7D">
        <w:t>Άρθρο 37</w:t>
      </w:r>
    </w:p>
    <w:p w14:paraId="7A1A5CD2" w14:textId="77777777" w:rsidR="007F42FE" w:rsidRPr="00483F7D" w:rsidRDefault="007F42FE" w:rsidP="007F42FE">
      <w:pPr>
        <w:pStyle w:val="NormalCentered"/>
      </w:pPr>
      <w:r w:rsidRPr="00483F7D">
        <w:rPr>
          <w:b/>
        </w:rPr>
        <w:t xml:space="preserve">Τεχνικά μέσα συνεργασίας </w:t>
      </w:r>
    </w:p>
    <w:p w14:paraId="6067E803" w14:textId="77777777" w:rsidR="007F42FE" w:rsidRPr="00483F7D" w:rsidRDefault="007F42FE" w:rsidP="00CF7E35">
      <w:pPr>
        <w:pStyle w:val="NumPar1"/>
        <w:numPr>
          <w:ilvl w:val="0"/>
          <w:numId w:val="47"/>
        </w:numPr>
      </w:pPr>
      <w:r w:rsidRPr="00483F7D">
        <w:t>Η Επιτροπή, η Τελωνειακή Αρχή της ΕΕ και οι τελωνειακές αρχές χρησιμοποιούν τον τελωνειακό κόμβο δεδομένων της ΕΕ κατά την ανταλλαγή με τις αρχές και τους οργανισμούς της Ένωσης που αναφέρονται στο άρθρο 31 παράγραφοι 6 έως 11 σύμφωνα με τον παρόντα κανονισμό.</w:t>
      </w:r>
    </w:p>
    <w:p w14:paraId="0D3CA185" w14:textId="77777777" w:rsidR="007F42FE" w:rsidRPr="00483F7D" w:rsidRDefault="007F42FE" w:rsidP="00B62B15">
      <w:pPr>
        <w:pStyle w:val="NumPar1"/>
      </w:pPr>
      <w:r w:rsidRPr="00483F7D">
        <w:t>Για τις άλλες διατυπώσεις και συστήματα της Ένωσης που απαριθμούνται στο παράρτημα του κανονισμού (ΕΕ) 2022/2399, ο τελωνειακός κόμβος δεδομένων της ΕΕ διασφαλίζει τη διαλειτουργικότητα μέσω του περιβάλλοντος ενιαίας θυρίδας της ΕΕ για τα τελωνεία που θεσπίστηκε με τον εν λόγω κανονισμό.</w:t>
      </w:r>
    </w:p>
    <w:p w14:paraId="6A0D2A67" w14:textId="77777777" w:rsidR="007F42FE" w:rsidRPr="00483F7D" w:rsidRDefault="007F42FE" w:rsidP="00B62B15">
      <w:pPr>
        <w:pStyle w:val="NumPar1"/>
      </w:pPr>
      <w:r w:rsidRPr="00483F7D">
        <w:t>Όταν άλλες αρχές πλην των τελωνειακών αρχών ή οργανισμών της Ένωσης χρησιμοποιούν ηλεκτρονικά μέσα που έχουν θεσπιστεί από την ενωσιακή νομοθεσία, χρησιμοποιούνται για την επίτευξη των στόχων της ή αναφέρονται σε αυτήν, η συνεργασία μπορεί να πραγματοποιείται μέσω της διαλειτουργικότητας των εν λόγω ηλεκτρονικών μέσων με τον τελωνειακό κόμβο δεδομένων της ΕΕ.</w:t>
      </w:r>
    </w:p>
    <w:p w14:paraId="1620AF60" w14:textId="77777777" w:rsidR="007F42FE" w:rsidRPr="00483F7D" w:rsidRDefault="007F42FE" w:rsidP="00B62B15">
      <w:pPr>
        <w:pStyle w:val="NumPar1"/>
      </w:pPr>
      <w:r w:rsidRPr="00483F7D">
        <w:t>Όταν άλλες αρχές πλην των τελωνειακών αρχών δεν χρησιμοποιούν ηλεκτρονικά μέσα που έχουν θεσπιστεί από την ενωσιακή νομοθεσία, χρησιμοποιούνται για την επίτευξη των στόχων της ή αναφέρονται σε αυτήν, οι εν λόγω αρχές μπορούν να χρησιμοποιούν τις ειδικές υπηρεσίες και τα συστήματα του τελωνειακού κόμβου δεδομένων της ΕΕ σύμφωνα με το άρθρο 31.</w:t>
      </w:r>
    </w:p>
    <w:p w14:paraId="7EF4B64F" w14:textId="77777777" w:rsidR="007F42FE" w:rsidRPr="00483F7D" w:rsidRDefault="007F42FE" w:rsidP="00B62B15">
      <w:pPr>
        <w:pStyle w:val="NumPar1"/>
      </w:pPr>
      <w:r w:rsidRPr="00483F7D">
        <w:t>Η Επιτροπή θεσπίζει με εκτελεστικές πράξεις τους κανόνες σχετικά με τις τεχνικές λεπτομέρειες για τη διαλειτουργικότητα και τη σύνδεση που αναφέρονται στις παραγράφους 3 και 4. Οι εν λόγω εκτελεστικές πράξεις εκδίδονται σύμφωνα με τη συμβουλευτική διαδικασία που αναφέρεται στο άρθρο 262 παράγραφος 4.</w:t>
      </w:r>
    </w:p>
    <w:p w14:paraId="0D02FCFF" w14:textId="77777777" w:rsidR="007F42FE" w:rsidRPr="00483F7D" w:rsidRDefault="007F42FE" w:rsidP="007F42FE">
      <w:pPr>
        <w:pStyle w:val="Titrearticle"/>
      </w:pPr>
      <w:bookmarkStart w:id="55" w:name="__akn_article_pf6RMD_24pxx9"/>
      <w:bookmarkStart w:id="56" w:name="__akn_article_wdfaTd"/>
      <w:bookmarkStart w:id="57" w:name="__akn_article_wdfaTd_hWOwGl"/>
      <w:bookmarkStart w:id="58" w:name="__akn_article_VnI7HY"/>
      <w:bookmarkStart w:id="59" w:name="__akn_article_zFuQW0"/>
      <w:bookmarkStart w:id="60" w:name="__akn_article_Ehrmhn"/>
      <w:bookmarkEnd w:id="55"/>
      <w:bookmarkEnd w:id="56"/>
      <w:bookmarkEnd w:id="57"/>
      <w:bookmarkEnd w:id="58"/>
      <w:bookmarkEnd w:id="59"/>
      <w:bookmarkEnd w:id="60"/>
      <w:r w:rsidRPr="00483F7D">
        <w:t>Άρθρο 38</w:t>
      </w:r>
    </w:p>
    <w:p w14:paraId="46B085B3" w14:textId="77777777" w:rsidR="007F42FE" w:rsidRPr="00483F7D" w:rsidRDefault="007F42FE" w:rsidP="007F42FE">
      <w:pPr>
        <w:pStyle w:val="NormalCentered"/>
      </w:pPr>
      <w:r w:rsidRPr="00483F7D">
        <w:rPr>
          <w:b/>
        </w:rPr>
        <w:t>Ανταλλαγή πρόσθετων πληροφοριών μεταξύ τελωνειακών αρχών και οικονομικών φορέων</w:t>
      </w:r>
    </w:p>
    <w:p w14:paraId="7D05ED4E" w14:textId="77777777" w:rsidR="007F42FE" w:rsidRPr="00483F7D" w:rsidRDefault="007F42FE" w:rsidP="00CF7E35">
      <w:pPr>
        <w:pStyle w:val="NumPar1"/>
        <w:numPr>
          <w:ilvl w:val="0"/>
          <w:numId w:val="48"/>
        </w:numPr>
      </w:pPr>
      <w:r w:rsidRPr="00483F7D">
        <w:t>Οι τελωνειακές αρχές και οι οικονομικοί φορείς μπορούν να ανταλλάσσουν πληροφορίες που δεν απαιτούνται ρητά σύμφωνα με την τελωνειακή νομοθεσία, ιδίως με σκοπό την αμοιβαία συνεργασία για τον εντοπισμό και την εξουδετέρωση κινδύνων. Η ανταλλαγή μπορεί να πραγματοποιείται με γραπτή συμφωνία και μπορεί να περιλαμβάνει πρόσβαση των τελωνειακών αρχών στα ηλεκτρονικά συστήματα των οικονομικών φορέων.</w:t>
      </w:r>
    </w:p>
    <w:p w14:paraId="676DBBE6" w14:textId="77777777" w:rsidR="007F42FE" w:rsidRPr="00483F7D" w:rsidRDefault="007F42FE" w:rsidP="00B62B15">
      <w:pPr>
        <w:pStyle w:val="NumPar1"/>
        <w:rPr>
          <w:rFonts w:asciiTheme="minorHAnsi" w:hAnsiTheme="minorHAnsi" w:cstheme="minorBidi"/>
          <w:sz w:val="22"/>
        </w:rPr>
      </w:pPr>
      <w:r w:rsidRPr="00483F7D">
        <w:t>Κάθε πληροφορία που παρέχεται από το ένα μέρος στο άλλο στο πλαίσιο της συνεργασίας που αναφέρεται στην παράγραφο 1 είναι εμπιστευτική, εκτός αν συμφωνήσουν άλλως και τα δύο μέρη ή εκτός αν ορίζουν άλλως οι ισχύουσες διατάξεις.</w:t>
      </w:r>
    </w:p>
    <w:p w14:paraId="77CE5C6A" w14:textId="77777777" w:rsidR="007F42FE" w:rsidRPr="00483F7D" w:rsidRDefault="007F42FE" w:rsidP="007F42FE">
      <w:pPr>
        <w:pStyle w:val="Titrearticle"/>
      </w:pPr>
      <w:bookmarkStart w:id="61" w:name="__akn_article_dNlR1j"/>
      <w:bookmarkEnd w:id="61"/>
      <w:r w:rsidRPr="00483F7D">
        <w:t>Άρθρο 39</w:t>
      </w:r>
    </w:p>
    <w:p w14:paraId="42BC43FF" w14:textId="77777777" w:rsidR="007F42FE" w:rsidRPr="00483F7D" w:rsidRDefault="007F42FE" w:rsidP="007F42FE">
      <w:pPr>
        <w:pStyle w:val="NormalCentered"/>
      </w:pPr>
      <w:r w:rsidRPr="00483F7D">
        <w:rPr>
          <w:b/>
        </w:rPr>
        <w:t>Παροχή πληροφοριών από τις τελωνειακές αρχές</w:t>
      </w:r>
    </w:p>
    <w:p w14:paraId="4B896048" w14:textId="77777777" w:rsidR="007F42FE" w:rsidRPr="00483F7D" w:rsidRDefault="007F42FE" w:rsidP="007F42FE">
      <w:pPr>
        <w:pStyle w:val="ManualNumPar16"/>
      </w:pPr>
      <w:r w:rsidRPr="00483F7D">
        <w:t>1.</w:t>
      </w:r>
      <w:r w:rsidRPr="00483F7D">
        <w:tab/>
        <w:t>Κάθε πρόσωπο μπορεί να ζητήσει από τις τελωνειακές αρχές πληροφορίες σχετικά με την εφαρμογή της τελωνειακής νομοθεσίας. Οι τελωνειακές αρχές μπορούν να απορρίψουν αυτό το αίτημα αν δεν σχετίζεται με πράγματι προβλεπόμενη δραστηριότητα που αφορά διεθνείς εμπορευματικές συναλλαγές.</w:t>
      </w:r>
    </w:p>
    <w:p w14:paraId="703F9168" w14:textId="77777777" w:rsidR="007F42FE" w:rsidRPr="00483F7D" w:rsidRDefault="007F42FE" w:rsidP="007F42FE">
      <w:pPr>
        <w:pStyle w:val="ManualNumPar16"/>
      </w:pPr>
      <w:r w:rsidRPr="00483F7D">
        <w:t>2.</w:t>
      </w:r>
      <w:r w:rsidRPr="00483F7D">
        <w:tab/>
        <w:t>Οι τελωνειακές αρχές διατηρούν τακτικό διάλογο με τους οικονομικούς φορείς και άλλες αρχές που συμμετέχουν στις διεθνείς εμπορευματικές συναλλαγές. Προωθούν τη διαφάνεια παρέχοντας, εφόσον είναι εφικτό δωρεάν και διαδικτυακά, την τελωνειακή νομοθεσία, τις γενικές διοικητικές ρυθμίσεις και τα έντυπα αιτήσεων.</w:t>
      </w:r>
    </w:p>
    <w:p w14:paraId="51BA2829" w14:textId="77777777" w:rsidR="007F42FE" w:rsidRPr="00483F7D" w:rsidRDefault="007F42FE" w:rsidP="007F42FE">
      <w:pPr>
        <w:pStyle w:val="Titrearticle"/>
      </w:pPr>
      <w:bookmarkStart w:id="62" w:name="__akn_article_AgT1z0"/>
      <w:bookmarkEnd w:id="62"/>
      <w:r w:rsidRPr="00483F7D">
        <w:t>Άρθρο 40</w:t>
      </w:r>
    </w:p>
    <w:p w14:paraId="6DA37D97" w14:textId="77777777" w:rsidR="007F42FE" w:rsidRPr="00483F7D" w:rsidRDefault="007F42FE" w:rsidP="007F42FE">
      <w:pPr>
        <w:pStyle w:val="NormalCentered"/>
      </w:pPr>
      <w:r w:rsidRPr="00483F7D">
        <w:rPr>
          <w:b/>
        </w:rPr>
        <w:t>Πληροφορίες και δικαιολογητικά έγγραφα</w:t>
      </w:r>
    </w:p>
    <w:p w14:paraId="3415FBBF" w14:textId="77777777" w:rsidR="007F42FE" w:rsidRPr="00483F7D" w:rsidRDefault="007F42FE" w:rsidP="007F42FE">
      <w:pPr>
        <w:pStyle w:val="ManualNumPar16"/>
      </w:pPr>
      <w:r w:rsidRPr="00483F7D">
        <w:t>1.</w:t>
      </w:r>
      <w:r w:rsidRPr="00483F7D">
        <w:tab/>
        <w:t>Κατά την παροχή ή διάθεση των δεδομένων και των πληροφοριών που απαιτούνται για το συγκεκριμένο τελωνειακό καθεστώς στο οποίο υπάγονται ή προορίζονται να υπαχθούν τα εμπορεύματα, τα πρόσωπα παρέχουν ή καθιστούν διαθέσιμα ψηφιακά αντίγραφα των πρωτότυπων έντυπων εγγράφων, όταν υπάρχουν τέτοια έντυπα πρωτότυπα, τα οποία χρησιμοποιούνται για τη λήψη των εν λόγω δεδομένων και πληροφοριών.</w:t>
      </w:r>
    </w:p>
    <w:p w14:paraId="4A67ABD2" w14:textId="77777777" w:rsidR="007F42FE" w:rsidRPr="00483F7D" w:rsidRDefault="007F42FE" w:rsidP="007F42FE">
      <w:pPr>
        <w:pStyle w:val="ManualNumPar16"/>
      </w:pPr>
      <w:r w:rsidRPr="00483F7D">
        <w:t>2.</w:t>
      </w:r>
      <w:r w:rsidRPr="00483F7D">
        <w:tab/>
        <w:t xml:space="preserve">Έως την ημερομηνία που ορίζεται στο άρθρο 266 παράγραφος </w:t>
      </w:r>
      <w:hyperlink w:anchor="_bill__akn_article_BG6Seo_VYhe2Y" w:tooltip="Article 261(3): (3)">
        <w:r w:rsidRPr="00483F7D">
          <w:rPr>
            <w:rStyle w:val="Hyperlink"/>
          </w:rPr>
          <w:t>3</w:t>
        </w:r>
      </w:hyperlink>
      <w:r w:rsidRPr="00483F7D">
        <w:t>, όταν υποβάλλεται τελωνειακή διασάφηση, τα δικαιολογητικά έγγραφα τα οποία απαιτούνται για την εφαρμογή των διατάξεων που διέπουν το τελωνειακό καθεστώς για το οποίο διασαφίζονται τα εμπορεύματα βρίσκονται στην κατοχή του διασαφιστή και στη διάθεση των τελωνειακών αρχών τη στιγμή της υποβολής.</w:t>
      </w:r>
    </w:p>
    <w:p w14:paraId="0637848A" w14:textId="77777777" w:rsidR="007F42FE" w:rsidRPr="00483F7D" w:rsidRDefault="007F42FE" w:rsidP="007F42FE">
      <w:pPr>
        <w:pStyle w:val="ManualNumPar16"/>
      </w:pPr>
      <w:r w:rsidRPr="00483F7D">
        <w:t>3.</w:t>
      </w:r>
      <w:r w:rsidRPr="00483F7D">
        <w:tab/>
        <w:t>Τα δικαιολογητικά έγγραφα για τις εφαρμοστέες ενωσιακές μη τελωνειακές διατυπώσεις που παρατίθενται στο παράρτημα του κανονισμού (ΕΕ) 2022/2399 θεωρείται ότι έχουν παρασχεθεί ή έχουν καταστεί διαθέσιμα ή βρίσκονται στην κατοχή του διασαφιστή αν οι τελωνειακές αρχές μπορούν να λαμβάνουν τα αναγκαία δεδομένα από τα αντίστοιχα ενωσιακά μη τελωνειακά συστήματα μέσω του συστήματος ενιαίας τελωνειακής θυρίδας της Ευρωπαϊκής Ένωσης για την ανταλλαγή πιστοποιητικών σύμφωνα με το άρθρο 10 παράγραφος 1 στοιχεία α) και γ) του εν λόγω κανονισμού.</w:t>
      </w:r>
    </w:p>
    <w:p w14:paraId="1AE44F2B" w14:textId="77777777" w:rsidR="007F42FE" w:rsidRPr="00483F7D" w:rsidRDefault="007F42FE" w:rsidP="007F42FE">
      <w:pPr>
        <w:pStyle w:val="ManualNumPar16"/>
      </w:pPr>
      <w:r w:rsidRPr="00483F7D">
        <w:t>4.</w:t>
      </w:r>
      <w:r w:rsidRPr="00483F7D">
        <w:tab/>
        <w:t>Τα δικαιολογητικά έγγραφα παρέχονται επίσης από πρόσωπα, όταν αυτό είναι αναγκαίο για τη διαχείριση των τελωνειακών κινδύνων και τους τελωνειακούς ελέγχους.</w:t>
      </w:r>
    </w:p>
    <w:p w14:paraId="43BDDE77" w14:textId="77777777" w:rsidR="007F42FE" w:rsidRPr="00483F7D" w:rsidRDefault="007F42FE" w:rsidP="007F42FE">
      <w:pPr>
        <w:pStyle w:val="ManualNumPar16"/>
      </w:pPr>
      <w:r w:rsidRPr="00483F7D">
        <w:t>5.</w:t>
      </w:r>
      <w:r w:rsidRPr="00483F7D">
        <w:tab/>
        <w:t>Με την επιφύλαξη της λοιπής νομοθεσίας που εφαρμόζεται από τις τελωνειακές αρχές, οι τελωνειακές αρχές μπορούν να χορηγούν άδεια στους οικονομικούς φορείς να συντάσσουν τα δικαιολογητικά έγγραφα που αναφέρονται στην παράγραφο 3.</w:t>
      </w:r>
    </w:p>
    <w:p w14:paraId="660C5DC2" w14:textId="77777777" w:rsidR="007F42FE" w:rsidRPr="00483F7D" w:rsidRDefault="007F42FE" w:rsidP="007F42FE">
      <w:pPr>
        <w:pStyle w:val="ManualNumPar16"/>
      </w:pPr>
      <w:r w:rsidRPr="00483F7D">
        <w:t>6.</w:t>
      </w:r>
      <w:r w:rsidRPr="00483F7D">
        <w:tab/>
        <w:t>Εκτός αν ορίζεται διαφορετικά για συγκεκριμένα έγγραφα, το ενδιαφερόμενο πρόσωπο τηρεί, για τους σκοπούς των τελωνειακών ελέγχων, τα έγγραφα και τις πληροφορίες επί 3 τουλάχιστον έτη, με κάθε τρόπο που είναι προσβάσιμος και αποδεκτός από τις τελωνειακές αρχές. Η προθεσμία αυτή αρχίζει:</w:t>
      </w:r>
    </w:p>
    <w:p w14:paraId="0375D637" w14:textId="6E237940" w:rsidR="007F42FE" w:rsidRPr="00483F7D" w:rsidRDefault="00BC60FC" w:rsidP="00BC60FC">
      <w:pPr>
        <w:pStyle w:val="Point1"/>
      </w:pPr>
      <w:r w:rsidRPr="00483F7D">
        <w:t>α)</w:t>
      </w:r>
      <w:r w:rsidRPr="00483F7D">
        <w:tab/>
      </w:r>
      <w:r w:rsidR="007F42FE" w:rsidRPr="00483F7D">
        <w:t>από το τέλος του έτους κατά το οποίο παραδίδονται τα εμπορεύματα·</w:t>
      </w:r>
    </w:p>
    <w:p w14:paraId="5AA79D52" w14:textId="12FA7D13" w:rsidR="007F42FE" w:rsidRPr="00483F7D" w:rsidRDefault="00BC60FC" w:rsidP="00BC60FC">
      <w:pPr>
        <w:pStyle w:val="Point1"/>
      </w:pPr>
      <w:r w:rsidRPr="00483F7D">
        <w:t>β)</w:t>
      </w:r>
      <w:r w:rsidRPr="00483F7D">
        <w:tab/>
      </w:r>
      <w:r w:rsidR="007F42FE" w:rsidRPr="00483F7D">
        <w:t>από το τέλος του έτους κατά το οποίο παύουν να υπόκεινται σε τελωνειακή επιτήρηση, στην περίπτωση εμπορευμάτων που τίθενται σε ελεύθερη κυκλοφορία με απαλλαγή από δασμούς ή με μειωμένο εισαγωγικό δασμό λόγω του ειδικού τους προορισμού·</w:t>
      </w:r>
    </w:p>
    <w:p w14:paraId="6B4B4C78" w14:textId="018ECE5E" w:rsidR="007F42FE" w:rsidRPr="00483F7D" w:rsidRDefault="00BC60FC" w:rsidP="00BC60FC">
      <w:pPr>
        <w:pStyle w:val="Point1"/>
      </w:pPr>
      <w:r w:rsidRPr="00483F7D">
        <w:t>γ)</w:t>
      </w:r>
      <w:r w:rsidRPr="00483F7D">
        <w:tab/>
      </w:r>
      <w:r w:rsidR="007F42FE" w:rsidRPr="00483F7D">
        <w:t>από το τέλος του έτους κατά το οποίο εκκαθαρίστηκε το σχετικό τελωνειακό καθεστώς ή έληξε η προσωρινή εναπόθεση, στην περίπτωση εμπορευμάτων που έχουν υπαχθεί σε άλλο τελωνειακό καθεστώς ή εμπορευμάτων σε προσωρινή εναπόθεση.</w:t>
      </w:r>
    </w:p>
    <w:p w14:paraId="42C19732" w14:textId="77777777" w:rsidR="007F42FE" w:rsidRPr="00483F7D" w:rsidRDefault="007F42FE" w:rsidP="007F42FE">
      <w:pPr>
        <w:pStyle w:val="ManualNumPar16"/>
      </w:pPr>
      <w:r w:rsidRPr="00483F7D">
        <w:t>7.</w:t>
      </w:r>
      <w:r w:rsidRPr="00483F7D">
        <w:tab/>
        <w:t xml:space="preserve">Με την επιφύλαξη του άρθρου 182 παράγραφος </w:t>
      </w:r>
      <w:hyperlink w:anchor="__akn_article_ISfROZ_GMcKQ1" w:tooltip="Article 182(4): (4)">
        <w:r w:rsidRPr="00483F7D">
          <w:rPr>
            <w:rStyle w:val="Hyperlink"/>
          </w:rPr>
          <w:t>4</w:t>
        </w:r>
      </w:hyperlink>
      <w:r w:rsidRPr="00483F7D">
        <w:t>, εφόσον, ύστερα από τελωνειακό έλεγχο για τελωνειακή οφειλή, προκύπτει ότι είναι αναγκαίο να διορθωθεί ο σχετικός καταλογισμός και το ενδιαφερόμενο πρόσωπο έχει ενημερωθεί σχετικά, τα έγγραφα και οι πληροφορίες φυλάσσονται για 3 έτη από το πέρας της προθεσμίας που ορίζεται στην παράγραφο 6 του παρόντος άρθρου.</w:t>
      </w:r>
    </w:p>
    <w:p w14:paraId="17D23FE5" w14:textId="77777777" w:rsidR="007F42FE" w:rsidRPr="00483F7D" w:rsidRDefault="007F42FE" w:rsidP="007F42FE">
      <w:pPr>
        <w:pStyle w:val="ManualNumPar16"/>
      </w:pPr>
      <w:r w:rsidRPr="00483F7D">
        <w:t>8.</w:t>
      </w:r>
      <w:r w:rsidRPr="00483F7D">
        <w:tab/>
        <w:t>Σε περίπτωση που ασκηθεί προσφυγή ή που έχει κινηθεί διοικητική ή δικαστική διαδικασία, τα έγγραφα και οι πληροφορίες φυλάσσονται για το χρονικό διάστημα που ορίζεται στην παράγραφο 1 ή έως ότου περατωθεί η διαδικασία της προσφυγής ή η διοικητική ή δικαστική διαδικασία, ανάλογα με το ποια ημερομηνία είναι η μεταγενέστερη.</w:t>
      </w:r>
    </w:p>
    <w:p w14:paraId="77E9E8CA" w14:textId="77777777" w:rsidR="00E0244C" w:rsidRPr="00483F7D" w:rsidRDefault="007A1FD7">
      <w:pPr>
        <w:pStyle w:val="ChapterTitle"/>
      </w:pPr>
      <w:r w:rsidRPr="00483F7D">
        <w:t xml:space="preserve">Τίτλος IV </w:t>
      </w:r>
      <w:r w:rsidRPr="00483F7D">
        <w:br/>
        <w:t>ΤΕΛΩΝΕΙΑΚΗ ΕΠΙΤΗΡΗΣΗ, ΤΕΛΩΝΕΙΑΚΟΙ ΕΛΕΓΧΟΙ ΚΑΙ ΔΙΑΧΕΙΡΙΣΗ ΚΙΝΔΥΝΩΝ</w:t>
      </w:r>
    </w:p>
    <w:p w14:paraId="63947ADA" w14:textId="77777777" w:rsidR="00E0244C" w:rsidRPr="00483F7D" w:rsidRDefault="007A1FD7">
      <w:pPr>
        <w:pStyle w:val="ChapterTitle"/>
      </w:pPr>
      <w:r w:rsidRPr="00483F7D">
        <w:t xml:space="preserve">Κεφάλαιο 1 </w:t>
      </w:r>
      <w:r w:rsidRPr="00483F7D">
        <w:br/>
        <w:t>Τελωνειακή επιτήρηση</w:t>
      </w:r>
    </w:p>
    <w:p w14:paraId="5239E592" w14:textId="77777777" w:rsidR="00E0244C" w:rsidRPr="00483F7D" w:rsidRDefault="007A1FD7">
      <w:pPr>
        <w:pStyle w:val="Titrearticle"/>
      </w:pPr>
      <w:r w:rsidRPr="00483F7D">
        <w:t>Άρθρο 41</w:t>
      </w:r>
    </w:p>
    <w:p w14:paraId="1228ECDB" w14:textId="77777777" w:rsidR="00E0244C" w:rsidRPr="00483F7D" w:rsidRDefault="007A1FD7">
      <w:pPr>
        <w:pStyle w:val="NormalCentered"/>
      </w:pPr>
      <w:r w:rsidRPr="00483F7D">
        <w:rPr>
          <w:b/>
        </w:rPr>
        <w:t>Τελωνειακή επιτήρηση</w:t>
      </w:r>
    </w:p>
    <w:p w14:paraId="471346BB" w14:textId="77777777" w:rsidR="00E0244C" w:rsidRPr="00483F7D" w:rsidRDefault="007A1FD7">
      <w:pPr>
        <w:pStyle w:val="ManualNumPar10"/>
      </w:pPr>
      <w:r w:rsidRPr="00483F7D">
        <w:t>1.</w:t>
      </w:r>
      <w:r w:rsidRPr="00483F7D">
        <w:tab/>
        <w:t>Εμπορεύματα που πρόκειται να μεταφερθούν εντός ή εκτός του τελωνειακού εδάφους της Ένωσης υπόκεινται σε τελωνειακή επιτήρηση και είναι δυνατό να υποβάλλονται σε τελωνειακούς ελέγχους.</w:t>
      </w:r>
    </w:p>
    <w:p w14:paraId="498D3E1D" w14:textId="77777777" w:rsidR="00E0244C" w:rsidRPr="00483F7D" w:rsidRDefault="007A1FD7">
      <w:pPr>
        <w:pStyle w:val="ManualNumPar10"/>
      </w:pPr>
      <w:r w:rsidRPr="00483F7D">
        <w:t>2.</w:t>
      </w:r>
      <w:r w:rsidRPr="00483F7D">
        <w:tab/>
        <w:t>Εμπορεύματα που μεταφέρονται εντός του τελωνειακού εδάφους της Ένωσης παραμένουν υπό την επιτήρηση αυτή όσο είναι αναγκαίο για τον καθορισμό του τελωνειακού τους χαρακτήρα.</w:t>
      </w:r>
    </w:p>
    <w:p w14:paraId="4A94B1A1" w14:textId="77777777" w:rsidR="00E0244C" w:rsidRPr="00483F7D" w:rsidRDefault="007A1FD7">
      <w:pPr>
        <w:pStyle w:val="ManualNumPar10"/>
      </w:pPr>
      <w:r w:rsidRPr="00483F7D">
        <w:t>3.</w:t>
      </w:r>
      <w:r w:rsidRPr="00483F7D">
        <w:tab/>
        <w:t>Τα μη ενωσιακά εμπορεύματα παραμένουν υπό τελωνειακή επιτήρηση είτε έως να αλλάξει ο τελωνειακός τους χαρακτήρας είτε έως να μεταφερθούν εκτός του τελωνειακού εδάφους της Ένωσης ή να καταστραφούν.</w:t>
      </w:r>
    </w:p>
    <w:p w14:paraId="456F5830" w14:textId="77777777" w:rsidR="00E0244C" w:rsidRPr="00483F7D" w:rsidRDefault="007A1FD7">
      <w:pPr>
        <w:pStyle w:val="ManualNumPar10"/>
      </w:pPr>
      <w:r w:rsidRPr="00483F7D">
        <w:t>4.</w:t>
      </w:r>
      <w:r w:rsidRPr="00483F7D">
        <w:tab/>
        <w:t>Κατά την είσοδό τους στο τελωνειακό έδαφος της Ένωσης, ενωσιακά εμπορεύματα υπόκεινται σε τελωνειακή επιτήρηση έως ότου επιβεβαιωθεί ο τελωνειακός τους χαρακτήρας, εκτός αν υπαχθούν στο καθεστώς ειδικού προορισμού.</w:t>
      </w:r>
    </w:p>
    <w:p w14:paraId="5B96F616" w14:textId="77777777" w:rsidR="00E0244C" w:rsidRPr="00483F7D" w:rsidRDefault="007A1FD7">
      <w:pPr>
        <w:pStyle w:val="ManualNumPar10"/>
      </w:pPr>
      <w:r w:rsidRPr="00483F7D">
        <w:t>5.</w:t>
      </w:r>
      <w:r w:rsidRPr="00483F7D">
        <w:tab/>
        <w:t>Ενωσιακά εμπορεύματα που έχουν υπαχθεί στο καθεστώς ειδικού προορισμού υπόκεινται σε τελωνειακή επιτήρηση στις ακόλουθες περιπτώσεις:</w:t>
      </w:r>
    </w:p>
    <w:p w14:paraId="496BA33A" w14:textId="1A3267A6" w:rsidR="00782BE5" w:rsidRPr="00483F7D" w:rsidRDefault="00BC60FC" w:rsidP="00BC60FC">
      <w:pPr>
        <w:pStyle w:val="Point1"/>
      </w:pPr>
      <w:r w:rsidRPr="00483F7D">
        <w:t>α)</w:t>
      </w:r>
      <w:r w:rsidRPr="00483F7D">
        <w:tab/>
      </w:r>
      <w:r w:rsidR="000A41EF" w:rsidRPr="00483F7D">
        <w:t>όταν τα εμπορεύματα είναι κατάλληλα για επαναλαμβανόμενη χρήση, για περίοδο που δεν υπερβαίνει τα 2 έτη μετά την ημερομηνία της πρώτης χρησιμοποίησής τους για τους σκοπούς για τους οποίους προβλέπεται απαλλαγή από δασμούς ή μειωμένος δασμολογικός συντελεστής·</w:t>
      </w:r>
    </w:p>
    <w:p w14:paraId="4161BDDD" w14:textId="212E65A4" w:rsidR="00782BE5" w:rsidRPr="00483F7D" w:rsidRDefault="00BC60FC" w:rsidP="00BC60FC">
      <w:pPr>
        <w:pStyle w:val="Point1"/>
      </w:pPr>
      <w:r w:rsidRPr="00483F7D">
        <w:t>β)</w:t>
      </w:r>
      <w:r w:rsidRPr="00483F7D">
        <w:tab/>
      </w:r>
      <w:r w:rsidR="005C2C0E" w:rsidRPr="00483F7D">
        <w:t>έως ότου τα εμπορεύματα έχουν χρησιμοποιηθεί για τους σκοπούς για τους οποίους προβλέπεται απαλλαγή από δασμούς ή μειωμένος δασμολογικός συντελεστής·</w:t>
      </w:r>
    </w:p>
    <w:p w14:paraId="5DBDA04C" w14:textId="0F3A7F8F" w:rsidR="00782BE5" w:rsidRPr="00483F7D" w:rsidRDefault="00BC60FC" w:rsidP="00BC60FC">
      <w:pPr>
        <w:pStyle w:val="Point1"/>
      </w:pPr>
      <w:r w:rsidRPr="00483F7D">
        <w:t>γ)</w:t>
      </w:r>
      <w:r w:rsidRPr="00483F7D">
        <w:tab/>
      </w:r>
      <w:r w:rsidR="005C2C0E" w:rsidRPr="00483F7D">
        <w:t>έως ότου τα εμπορεύματα έχουν μεταφερθεί εκτός του τελωνειακού εδάφους της Ένωσης, έχουν καταστραφεί ή έχουν εγκαταλειφθεί υπέρ του Δημοσίου·</w:t>
      </w:r>
    </w:p>
    <w:p w14:paraId="4EBB7BB8" w14:textId="6B77F896" w:rsidR="00E0244C" w:rsidRPr="00483F7D" w:rsidRDefault="00BC60FC" w:rsidP="00BC60FC">
      <w:pPr>
        <w:pStyle w:val="Point1"/>
      </w:pPr>
      <w:r w:rsidRPr="00483F7D">
        <w:t>δ)</w:t>
      </w:r>
      <w:r w:rsidRPr="00483F7D">
        <w:tab/>
      </w:r>
      <w:r w:rsidR="005C2C0E" w:rsidRPr="00483F7D">
        <w:t>έως ότου τα εμπορεύματα έχουν χρησιμοποιηθεί για σκοπούς άλλους από αυτούς για τους οποίους προβλέπεται απαλλαγή από δασμούς ή μειωμένος δασμολογικός συντελεστής και έχει καταβληθεί ο εφαρμοστέος εισαγωγικός δασμός.</w:t>
      </w:r>
    </w:p>
    <w:p w14:paraId="09862235" w14:textId="77777777" w:rsidR="00E0244C" w:rsidRPr="00483F7D" w:rsidRDefault="007A1FD7">
      <w:pPr>
        <w:pStyle w:val="ManualNumPar10"/>
      </w:pPr>
      <w:r w:rsidRPr="00483F7D">
        <w:t>6.</w:t>
      </w:r>
      <w:r w:rsidRPr="00483F7D">
        <w:tab/>
        <w:t>Ενωσιακά εμπορεύματα που παραδίδονται για εξαγωγή ή υπάγονται σε καθεστώς τελειοποίησης προς επανεισαγωγή υπόκεινται σε τελωνειακή επιτήρηση έως ότου μεταφερθούν εκτός του τελωνειακού εδάφους της Ένωσης, εγκαταλειφθούν υπέρ του Δημοσίου ή καταστραφούν ή ακυρωθεί η τελωνειακή διασάφηση ή τα σχετικά στοιχεία της εξαγωγής.</w:t>
      </w:r>
    </w:p>
    <w:p w14:paraId="79DAEEFE" w14:textId="77777777" w:rsidR="00E0244C" w:rsidRPr="00483F7D" w:rsidRDefault="007A1FD7">
      <w:pPr>
        <w:pStyle w:val="ManualNumPar10"/>
      </w:pPr>
      <w:r w:rsidRPr="00483F7D">
        <w:t>7.</w:t>
      </w:r>
      <w:r w:rsidRPr="00483F7D">
        <w:tab/>
        <w:t>Ενωσιακά εμπορεύματα που έχουν υπαχθεί σε καθεστώς εσωτερικής διαμετακόμισης υπόκεινται σε τελωνειακή επιτήρηση έως ότου φθάσουν στον προορισμό τους στο τελωνειακό έδαφος της Ένωσης.</w:t>
      </w:r>
    </w:p>
    <w:p w14:paraId="5F0F78C3" w14:textId="77777777" w:rsidR="00E0244C" w:rsidRPr="00483F7D" w:rsidRDefault="007A1FD7">
      <w:pPr>
        <w:pStyle w:val="ManualNumPar10"/>
      </w:pPr>
      <w:r w:rsidRPr="00483F7D">
        <w:t>8.</w:t>
      </w:r>
      <w:r w:rsidRPr="00483F7D">
        <w:tab/>
        <w:t>Ο κάτοχος εμπορευμάτων υπό τελωνειακή επιτήρηση μπορεί, με την άδεια των τελωνειακών αρχών, να εξετάζει ανά πάσα στιγμή τα εμπορεύματα ή να προβαίνει σε δειγματοληψία, ιδίως για να προσδιορίσει τη δασμολογική τους κατάταξη, τη δασμολογητέα αξία ή τον τελωνειακό τους χαρακτήρα.</w:t>
      </w:r>
    </w:p>
    <w:p w14:paraId="6F98BFA8" w14:textId="77777777" w:rsidR="00E0244C" w:rsidRPr="00483F7D" w:rsidRDefault="007A1FD7">
      <w:pPr>
        <w:pStyle w:val="Titrearticle"/>
      </w:pPr>
      <w:bookmarkStart w:id="63" w:name="_Hlk133576485"/>
      <w:r w:rsidRPr="00483F7D">
        <w:t>Άρθρο 42</w:t>
      </w:r>
    </w:p>
    <w:p w14:paraId="51FD82AC" w14:textId="77777777" w:rsidR="00E0244C" w:rsidRPr="00483F7D" w:rsidRDefault="007A1FD7">
      <w:pPr>
        <w:pStyle w:val="NormalCentered"/>
      </w:pPr>
      <w:r w:rsidRPr="00483F7D">
        <w:rPr>
          <w:b/>
        </w:rPr>
        <w:t>Αρμόδια τελωνεία</w:t>
      </w:r>
    </w:p>
    <w:p w14:paraId="058AD708" w14:textId="77777777" w:rsidR="00E0244C" w:rsidRPr="00483F7D" w:rsidRDefault="007A1FD7">
      <w:pPr>
        <w:pStyle w:val="ManualNumPar10"/>
      </w:pPr>
      <w:r w:rsidRPr="00483F7D">
        <w:t>1.</w:t>
      </w:r>
      <w:r w:rsidRPr="00483F7D">
        <w:tab/>
        <w:t>Εκτός αν προβλέπεται διαφορετικά από τη λοιπή νομοθεσία που εφαρμόζεται από τις τελωνειακές αρχές, τα κράτη μέλη καθορίζουν τον τόπο και την αρμοδιότητα των τελωνείων τους.</w:t>
      </w:r>
    </w:p>
    <w:p w14:paraId="3A67F984" w14:textId="77777777" w:rsidR="00E0244C" w:rsidRPr="00483F7D" w:rsidRDefault="007A1FD7">
      <w:pPr>
        <w:pStyle w:val="ManualNumPar10"/>
      </w:pPr>
      <w:r w:rsidRPr="00483F7D">
        <w:t>2.</w:t>
      </w:r>
      <w:r w:rsidRPr="00483F7D">
        <w:tab/>
        <w:t>Τα κράτη μέλη μεριμνούν ώστε οι επίσημες ώρες λειτουργίας των εν λόγω τελωνείων να είναι εύλογες και κατάλληλες, λαμβάνοντας υπόψη τη φύση της κυκλοφορίας και των εμπορευμάτων, καθώς και τα τελωνειακά καθεστώτα στα οποία πρόκειται να υπαχθούν, ώστε να μην παρεμποδίζεται ή διαταράσσεται η ροή της διεθνούς κυκλοφορίας.</w:t>
      </w:r>
    </w:p>
    <w:p w14:paraId="41DC0BDA" w14:textId="77777777" w:rsidR="002803A6" w:rsidRPr="00483F7D" w:rsidRDefault="007A1FD7" w:rsidP="00113C61">
      <w:pPr>
        <w:pStyle w:val="ManualNumPar10"/>
      </w:pPr>
      <w:bookmarkStart w:id="64" w:name="_bill__akn_article_BoBzBJ_8wkTml"/>
      <w:bookmarkEnd w:id="64"/>
      <w:r w:rsidRPr="00483F7D">
        <w:t>3.</w:t>
      </w:r>
      <w:r w:rsidRPr="00483F7D">
        <w:tab/>
        <w:t xml:space="preserve">Αρμόδιο τελωνείο για την </w:t>
      </w:r>
      <w:bookmarkStart w:id="65" w:name="_Hlk134710851"/>
      <w:r w:rsidRPr="00483F7D">
        <w:t>επιτήρηση της υπαγωγής των εμπορευμάτων σε τελωνειακό καθεστώς</w:t>
      </w:r>
      <w:bookmarkEnd w:id="65"/>
      <w:r w:rsidRPr="00483F7D">
        <w:t xml:space="preserve"> είναι το τελωνείο που είναι αρμόδιο για τον τόπο όπου είναι εγκατεστημένος ο εισαγωγέας ή ο εξαγωγέας.</w:t>
      </w:r>
    </w:p>
    <w:p w14:paraId="31BF8E4D" w14:textId="77777777" w:rsidR="00E9306A" w:rsidRPr="00483F7D" w:rsidRDefault="00E9306A" w:rsidP="00E9306A">
      <w:pPr>
        <w:pStyle w:val="Text1"/>
      </w:pPr>
      <w:r w:rsidRPr="00483F7D">
        <w:t>Κατά παρέκκλιση από το πρώτο εδάφιο, το αρμόδιο τελωνείο για την επιτήρηση της υπαγωγής των εμπορευμάτων σε τελωνειακό καθεστώς σε σχέση με εισαγωγείς και εξαγωγείς εκτός των αξιόπιστων και ελεγμένων συναλλασσομένων και των θεωρούμενων εισαγωγέων είναι το τελωνείο που είναι αρμόδιο για τον τόπο στον οποίο έχει υποβληθεί ή θα είχε υποβληθεί η τελωνειακή διασάφηση σύμφωνα με το άρθρο 63 παράγραφος 4, αν δεν είχε τροποποιηθεί η μέθοδος παροχής πληροφοριών που προβλέπεται στο άρθρο 63 παράγραφος 2.</w:t>
      </w:r>
    </w:p>
    <w:p w14:paraId="1CC2ED3A" w14:textId="77777777" w:rsidR="00E0244C" w:rsidRPr="00483F7D" w:rsidRDefault="007A1FD7">
      <w:pPr>
        <w:pStyle w:val="ManualNumPar10"/>
      </w:pPr>
      <w:r w:rsidRPr="00483F7D">
        <w:t>4.</w:t>
      </w:r>
      <w:r w:rsidRPr="00483F7D">
        <w:tab/>
        <w:t>Το τελωνείο που είναι αρμόδιο για τον τόπο εγκατάστασης του αξιόπιστου και ελεγμένου συναλλασσομένου ή του θεωρούμενου εισαγωγέα:</w:t>
      </w:r>
    </w:p>
    <w:p w14:paraId="7D1387F5" w14:textId="70B98A36" w:rsidR="00782BE5" w:rsidRPr="00483F7D" w:rsidRDefault="00BC60FC" w:rsidP="00BC60FC">
      <w:pPr>
        <w:pStyle w:val="Point1"/>
      </w:pPr>
      <w:r w:rsidRPr="00483F7D">
        <w:t>α)</w:t>
      </w:r>
      <w:r w:rsidRPr="00483F7D">
        <w:tab/>
      </w:r>
      <w:r w:rsidR="007A1FD7" w:rsidRPr="00483F7D">
        <w:t>επιτηρεί την υπαγωγή των εμπορευμάτων στο σχετικό τελωνειακό καθεστώς·</w:t>
      </w:r>
    </w:p>
    <w:p w14:paraId="7153C38D" w14:textId="6122855C" w:rsidR="00782BE5" w:rsidRPr="00483F7D" w:rsidRDefault="00BC60FC" w:rsidP="00BC60FC">
      <w:pPr>
        <w:pStyle w:val="Point1"/>
      </w:pPr>
      <w:r w:rsidRPr="00483F7D">
        <w:t>β)</w:t>
      </w:r>
      <w:r w:rsidRPr="00483F7D">
        <w:tab/>
      </w:r>
      <w:r w:rsidR="007A1FD7" w:rsidRPr="00483F7D">
        <w:tab/>
        <w:t>διενεργεί τους τελωνειακούς ελέγχους για την επαλήθευση των παρεχόμενων πληροφοριών και ζητεί πρόσθετα δικαιολογητικά έγγραφα, αν χρειάζεται·</w:t>
      </w:r>
    </w:p>
    <w:p w14:paraId="3581FAAC" w14:textId="7839A048" w:rsidR="00782BE5" w:rsidRPr="00483F7D" w:rsidRDefault="00BC60FC" w:rsidP="00BC60FC">
      <w:pPr>
        <w:pStyle w:val="Point1"/>
      </w:pPr>
      <w:r w:rsidRPr="00483F7D">
        <w:t>γ)</w:t>
      </w:r>
      <w:r w:rsidRPr="00483F7D">
        <w:tab/>
      </w:r>
      <w:r w:rsidR="007A1FD7" w:rsidRPr="00483F7D">
        <w:t>εφόσον δικαιολογείται, ζητεί από το τελωνείο που είναι αρμόδιο για τον τόπο αποστολής ή τελικού προορισμού των εμπορευμάτων να διενεργήσει τελωνειακό έλεγχο·</w:t>
      </w:r>
    </w:p>
    <w:p w14:paraId="567A7B77" w14:textId="72FB3B1B" w:rsidR="00782BE5" w:rsidRPr="00483F7D" w:rsidRDefault="00BC60FC" w:rsidP="00BC60FC">
      <w:pPr>
        <w:pStyle w:val="Point1"/>
      </w:pPr>
      <w:r w:rsidRPr="00483F7D">
        <w:t>δ)</w:t>
      </w:r>
      <w:r w:rsidRPr="00483F7D">
        <w:tab/>
      </w:r>
      <w:r w:rsidR="007A1FD7" w:rsidRPr="00483F7D">
        <w:t>όταν υπάρχει κίνδυνος που απαιτεί παρέμβαση αμέσως μετά την άφιξη των εμπορευμάτων στο τελωνειακό έδαφος της Ένωσης ή πριν εγκαταλείψουν το τελωνειακό έδαφος της Ένωσης, ζητεί από το τελωνείο που είναι αρμόδιο για τον τόπο εισόδου ή εξόδου των εμπορευμάτων να διενεργήσει τελωνειακούς ελέγχους· </w:t>
      </w:r>
    </w:p>
    <w:p w14:paraId="33DF5C0C" w14:textId="6C67DCD5" w:rsidR="00E0244C" w:rsidRPr="00483F7D" w:rsidRDefault="00BC60FC" w:rsidP="00BC60FC">
      <w:pPr>
        <w:pStyle w:val="Point1"/>
      </w:pPr>
      <w:r w:rsidRPr="00483F7D">
        <w:t>ε)</w:t>
      </w:r>
      <w:r w:rsidRPr="00483F7D">
        <w:tab/>
      </w:r>
      <w:r w:rsidR="007A1FD7" w:rsidRPr="00483F7D">
        <w:t>διεκπεραιώνει τις διατυπώσεις για την είσπραξη του ποσού του εισαγωγικού ή εξαγωγικού δασμού που αντιστοιχεί σε ενδεχόμενη τελωνειακή οφειλή.</w:t>
      </w:r>
    </w:p>
    <w:p w14:paraId="1ADB0DB5" w14:textId="77777777" w:rsidR="00E0244C" w:rsidRPr="00483F7D" w:rsidRDefault="007A1FD7">
      <w:pPr>
        <w:pStyle w:val="ManualNumPar10"/>
      </w:pPr>
      <w:r w:rsidRPr="00483F7D">
        <w:t>5.</w:t>
      </w:r>
      <w:r w:rsidRPr="00483F7D">
        <w:tab/>
        <w:t>Το τελωνείο που είναι αρμόδιο για τον τόπο αποστολής ή τελικού προορισμού των εμπορευμάτων, ή, σύμφωνα με την παράγραφο 4 στοιχείο δ), για τον τόπο εισόδου ή εξόδου των εμπορευμάτων από το τελωνειακό έδαφος της Ένωσης, διενεργεί τους τελωνειακούς ελέγχους που ζητούνται από το τελωνείο που είναι αρμόδιο για τον τόπο εγκατάστασης του εισαγωγέα και παρέχει στο εν λόγω τελωνείο τα αποτελέσματα των ελέγχων αυτών, με την επιφύλαξη των δικών του ελέγχων που αφορούν τα εμπορεύματα τα οποία μεταφέρονται εντός ή εκτός του τελωνειακού εδάφους της Ένωσης.</w:t>
      </w:r>
    </w:p>
    <w:p w14:paraId="60A987F5" w14:textId="77777777" w:rsidR="00852918" w:rsidRPr="00483F7D" w:rsidRDefault="007A1FD7" w:rsidP="00E9306A">
      <w:pPr>
        <w:pStyle w:val="ManualNumPar10"/>
      </w:pPr>
      <w:r w:rsidRPr="00483F7D">
        <w:t>6.</w:t>
      </w:r>
      <w:r w:rsidRPr="00483F7D">
        <w:tab/>
        <w:t>Τα αρμόδια τελωνεία έχουν πρόσβαση στις πληροφορίες που είναι αναγκαίες για τη διασφάλιση της ορθής εφαρμογής της νομοθεσίας</w:t>
      </w:r>
      <w:bookmarkEnd w:id="63"/>
      <w:r w:rsidRPr="00483F7D">
        <w:t>.</w:t>
      </w:r>
    </w:p>
    <w:p w14:paraId="62D1AC7A" w14:textId="77777777" w:rsidR="00E0244C" w:rsidRPr="00483F7D" w:rsidRDefault="009925BE">
      <w:pPr>
        <w:pStyle w:val="ManualNumPar10"/>
      </w:pPr>
      <w:r w:rsidRPr="00483F7D">
        <w:t>8.</w:t>
      </w:r>
      <w:r w:rsidRPr="00483F7D">
        <w:tab/>
        <w:t xml:space="preserve">Η Επιτροπή ορίζει, με εκτελεστικές πράξεις, τους διαδικαστικούς κανόνες σχετικά με τον καθορισμό των αρμόδιων τελωνείων, εκτός από εκείνα που αναφέρονται στην παράγραφο 3, συμπεριλαμβανομένων των τελωνείων εισόδου και των τελωνείων εξόδου, καθώς και τους διαδικαστικούς κανόνες σχετικά με τη συνεργασία μεταξύ των τελωνείων, όπως αναφέρεται στην παράγραφο 5.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20D2A26F" w14:textId="77777777" w:rsidR="00E0244C" w:rsidRPr="00483F7D" w:rsidRDefault="007A1FD7">
      <w:pPr>
        <w:pStyle w:val="ChapterTitle"/>
      </w:pPr>
      <w:r w:rsidRPr="00483F7D">
        <w:t xml:space="preserve">Κεφάλαιο 2 </w:t>
      </w:r>
      <w:r w:rsidRPr="00483F7D">
        <w:br/>
        <w:t>Τελωνειακοί έλεγχοι</w:t>
      </w:r>
    </w:p>
    <w:p w14:paraId="4BAE3532" w14:textId="77777777" w:rsidR="00E0244C" w:rsidRPr="00483F7D" w:rsidRDefault="007A1FD7">
      <w:pPr>
        <w:pStyle w:val="Titrearticle"/>
      </w:pPr>
      <w:r w:rsidRPr="00483F7D">
        <w:t>Άρθρο 43</w:t>
      </w:r>
    </w:p>
    <w:p w14:paraId="753B93D5" w14:textId="77777777" w:rsidR="00E0244C" w:rsidRPr="00483F7D" w:rsidRDefault="007A1FD7">
      <w:pPr>
        <w:pStyle w:val="NormalCentered"/>
      </w:pPr>
      <w:r w:rsidRPr="00483F7D">
        <w:rPr>
          <w:b/>
        </w:rPr>
        <w:t>Τελωνειακοί έλεγχοι</w:t>
      </w:r>
    </w:p>
    <w:p w14:paraId="09A335F6" w14:textId="77777777" w:rsidR="00E0244C" w:rsidRPr="00483F7D" w:rsidRDefault="007A1FD7">
      <w:pPr>
        <w:pStyle w:val="ManualNumPar10"/>
      </w:pPr>
      <w:r w:rsidRPr="00483F7D">
        <w:t>1.</w:t>
      </w:r>
      <w:r w:rsidRPr="00483F7D">
        <w:tab/>
        <w:t>Με την επιφύλαξη των διατάξεων του κεφαλαίου 3 του παρόντος τίτλου, οι τελωνειακές αρχές μπορούν να διενεργούν οποιουσδήποτε τελωνειακούς ελέγχους κρίνουν αναγκαίους, συμπεριλαμβανομένων των τυχαίων ελέγχων.</w:t>
      </w:r>
    </w:p>
    <w:p w14:paraId="5559E147" w14:textId="77777777" w:rsidR="00E0244C" w:rsidRPr="00483F7D" w:rsidRDefault="007A1FD7">
      <w:pPr>
        <w:pStyle w:val="ManualNumPar10"/>
      </w:pPr>
      <w:bookmarkStart w:id="66" w:name="__akn_article_bep4kT-par1"/>
      <w:bookmarkEnd w:id="66"/>
      <w:r w:rsidRPr="00483F7D">
        <w:t>2.</w:t>
      </w:r>
      <w:r w:rsidRPr="00483F7D">
        <w:tab/>
        <w:t>Οι τελωνειακοί έλεγχοι είναι δυνατό, ειδικότερα, να συνίστανται στην εξέταση εμπορευμάτων, στη δειγματοληψία, στην επαλήθευση της γνησιότητας, της ακεραιότητας, της ακρίβειας και της πληρότητας των δεδομένων που παρέχονται από οποιοδήποτε πρόσωπο, καθώς και της ύπαρξης, της γνησιότητας, της ακρίβειας και της ισχύος εγγράφων, στην εξέταση των λογαριασμών, των εμπορικών καταχωρίσεων και των πηγών δεδομένων των οικονομικών φορέων, στον έλεγχο των μεταφορικών μέσων, στην επιθεώρηση των αποσκευών και άλλων εμπορευμάτων που μεταφέρονται ή φέρονται από πρόσωπα και στη διενέργεια επίσημων ερευνών και σε άλλες παρεμφερείς πράξεις. Όταν είναι αναγκαίο, οι τελωνειακοί έλεγχοι περιλαμβάνουν την επεξεργασία των ηλεκτρονικών δεδομένων, συμπεριλαμβανομένης της πηγής των δεδομένων που παρέχονται στον τελωνειακό κόμβο δεδομένων της ΕΕ.</w:t>
      </w:r>
    </w:p>
    <w:p w14:paraId="7424427F" w14:textId="77777777" w:rsidR="00E0244C" w:rsidRPr="00483F7D" w:rsidRDefault="007A1FD7">
      <w:pPr>
        <w:pStyle w:val="ManualNumPar10"/>
      </w:pPr>
      <w:r w:rsidRPr="00483F7D">
        <w:t>3.</w:t>
      </w:r>
      <w:r w:rsidRPr="00483F7D">
        <w:tab/>
        <w:t>Όταν, όσον αφορά τα ίδια εμπορεύματα, πρόκειται να διεξαχθούν έλεγχοι άλλοι από τους τελωνειακούς ελέγχους από άλλες αρχές, οι τελωνειακές αρχές, σε στενή συνεργασία με τις ως άνω άλλες αρχές, καταβάλλουν προσπάθειες ώστε οι έλεγχοι αυτοί να διεξάγονται, κατά το δυνατόν, την ίδια χρονική στιγμή και στο ίδιο μέρος με τους τελωνειακούς ελέγχους (μονοαπευθυντική διαδικασία), και οι τελωνειακές αρχές έχουν τον συντονιστικό ρόλο.</w:t>
      </w:r>
    </w:p>
    <w:p w14:paraId="2E17FCF2" w14:textId="77777777" w:rsidR="00E0244C" w:rsidRPr="00483F7D" w:rsidRDefault="007A1FD7">
      <w:pPr>
        <w:pStyle w:val="Titrearticle"/>
      </w:pPr>
      <w:r w:rsidRPr="00483F7D">
        <w:t>Άρθρο 44</w:t>
      </w:r>
    </w:p>
    <w:p w14:paraId="694F9EA9" w14:textId="77777777" w:rsidR="00E0244C" w:rsidRPr="00483F7D" w:rsidRDefault="007A1FD7">
      <w:pPr>
        <w:pStyle w:val="NormalCentered"/>
      </w:pPr>
      <w:r w:rsidRPr="00483F7D">
        <w:rPr>
          <w:b/>
        </w:rPr>
        <w:t>Επαλήθευση των παρεχόμενων δεδομένων</w:t>
      </w:r>
    </w:p>
    <w:p w14:paraId="2E86B5ED" w14:textId="77777777" w:rsidR="00E0244C" w:rsidRPr="00483F7D" w:rsidRDefault="007A1FD7">
      <w:pPr>
        <w:pStyle w:val="ManualNumPar10"/>
      </w:pPr>
      <w:r w:rsidRPr="00483F7D">
        <w:t>1.</w:t>
      </w:r>
      <w:r w:rsidRPr="00483F7D">
        <w:tab/>
        <w:t>Για την επαλήθευση της ακρίβειας των δεδομένων που παρέχουν τα πρόσωπα στις τελωνειακές αρχές, οι τελωνειακές αρχές μπορούν:</w:t>
      </w:r>
    </w:p>
    <w:p w14:paraId="00FE1A98" w14:textId="5117C91B" w:rsidR="00782BE5" w:rsidRPr="00483F7D" w:rsidRDefault="00BC60FC" w:rsidP="00BC60FC">
      <w:pPr>
        <w:pStyle w:val="Point1"/>
      </w:pPr>
      <w:r w:rsidRPr="00483F7D">
        <w:t>α)</w:t>
      </w:r>
      <w:r w:rsidRPr="00483F7D">
        <w:tab/>
      </w:r>
      <w:r w:rsidR="007A1FD7" w:rsidRPr="00483F7D">
        <w:t>να εξετάζουν τα δεδομένα και τα δικαιολογητικά έγγραφα, συμπεριλαμβανομένης της πρόσβασης σε πηγές δεδομένων που βρίσκονται στην κατοχή των οικονομικών φορέων ή αποθηκεύονται για λογαριασμό τους από παρόχους υπηρεσιών·</w:t>
      </w:r>
    </w:p>
    <w:p w14:paraId="2F4EF65D" w14:textId="1C0DE998" w:rsidR="00782BE5" w:rsidRPr="00483F7D" w:rsidRDefault="00BC60FC" w:rsidP="00BC60FC">
      <w:pPr>
        <w:pStyle w:val="Point1"/>
      </w:pPr>
      <w:r w:rsidRPr="00483F7D">
        <w:t>β)</w:t>
      </w:r>
      <w:r w:rsidRPr="00483F7D">
        <w:tab/>
      </w:r>
      <w:r w:rsidR="00782BE5" w:rsidRPr="00483F7D">
        <w:t>να απαιτούν την παροχή άλλων εγγράφων ή δεδομένων, συμπεριλαμβανομένων των δεδομένων που βρίσκονται στην κατοχή των οικονομικών φορέων ή αποθηκεύονται για λογαριασμό τους από παρόχους υπηρεσιών·</w:t>
      </w:r>
    </w:p>
    <w:p w14:paraId="034E09A8" w14:textId="16B770A1" w:rsidR="00782BE5" w:rsidRPr="00483F7D" w:rsidRDefault="00BC60FC" w:rsidP="00BC60FC">
      <w:pPr>
        <w:pStyle w:val="Point1"/>
      </w:pPr>
      <w:r w:rsidRPr="00483F7D">
        <w:t>γ)</w:t>
      </w:r>
      <w:r w:rsidRPr="00483F7D">
        <w:tab/>
      </w:r>
      <w:r w:rsidR="00661E42" w:rsidRPr="00483F7D">
        <w:t>να απαιτούν πρόσβαση στα ηλεκτρονικά αρχεία του προσώπου·</w:t>
      </w:r>
    </w:p>
    <w:p w14:paraId="63D53607" w14:textId="056BEC46" w:rsidR="00782BE5" w:rsidRPr="00483F7D" w:rsidRDefault="00BC60FC" w:rsidP="00BC60FC">
      <w:pPr>
        <w:pStyle w:val="Point1"/>
      </w:pPr>
      <w:r w:rsidRPr="00483F7D">
        <w:t>δ)</w:t>
      </w:r>
      <w:r w:rsidRPr="00483F7D">
        <w:tab/>
      </w:r>
      <w:r w:rsidR="007A1FD7" w:rsidRPr="00483F7D">
        <w:t>να εξετάζουν τα εμπορεύματα·</w:t>
      </w:r>
    </w:p>
    <w:p w14:paraId="05869163" w14:textId="29E2CA35" w:rsidR="00E0244C" w:rsidRPr="00483F7D" w:rsidRDefault="00BC60FC" w:rsidP="00BC60FC">
      <w:pPr>
        <w:pStyle w:val="Point1"/>
      </w:pPr>
      <w:r w:rsidRPr="00483F7D">
        <w:t>ε)</w:t>
      </w:r>
      <w:r w:rsidRPr="00483F7D">
        <w:tab/>
      </w:r>
      <w:r w:rsidR="007A1FD7" w:rsidRPr="00483F7D">
        <w:t>να λαμβάνουν δείγματα για ανάλυση ή λεπτομερή έλεγχο των εμπορευμάτων.</w:t>
      </w:r>
    </w:p>
    <w:p w14:paraId="168445CE" w14:textId="77777777" w:rsidR="00E0244C" w:rsidRPr="00483F7D" w:rsidRDefault="007A1FD7">
      <w:pPr>
        <w:pStyle w:val="ManualNumPar10"/>
      </w:pPr>
      <w:r w:rsidRPr="00483F7D">
        <w:t>2.</w:t>
      </w:r>
      <w:r w:rsidRPr="00483F7D">
        <w:tab/>
        <w:t>Οι τελωνειακές αρχές μπορούν να απαιτήσουν ανά πάσα στιγμή την εκφόρτωση και την αποσυσκευασία των εμπορευμάτων για τον έλεγχο τόσο των εμπορευμάτων όσο και του μεταφορικού μέσου στο οποίο βρίσκονται και για τη λήψη δειγμάτων.</w:t>
      </w:r>
    </w:p>
    <w:p w14:paraId="6B76A435" w14:textId="77777777" w:rsidR="00E0244C" w:rsidRPr="00483F7D" w:rsidRDefault="007A1FD7">
      <w:pPr>
        <w:pStyle w:val="ManualNumPar10"/>
      </w:pPr>
      <w:r w:rsidRPr="00483F7D">
        <w:t>3.</w:t>
      </w:r>
      <w:r w:rsidRPr="00483F7D">
        <w:tab/>
        <w:t xml:space="preserve">Η Επιτροπή ορίζει, με εκτελεστικές πράξεις, τα μέτρα σχετικά την επαλήθευση των πληροφοριών που αναφέρεται στην παράγραφο 1.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4186842F" w14:textId="77777777" w:rsidR="00E0244C" w:rsidRPr="00483F7D" w:rsidRDefault="007A1FD7">
      <w:pPr>
        <w:pStyle w:val="Titrearticle"/>
      </w:pPr>
      <w:r w:rsidRPr="00483F7D">
        <w:t>Άρθρο 45</w:t>
      </w:r>
    </w:p>
    <w:p w14:paraId="6089CD86" w14:textId="77777777" w:rsidR="00E0244C" w:rsidRPr="00483F7D" w:rsidRDefault="007A1FD7">
      <w:pPr>
        <w:pStyle w:val="NormalCentered"/>
      </w:pPr>
      <w:r w:rsidRPr="00483F7D">
        <w:rPr>
          <w:b/>
        </w:rPr>
        <w:t>Εξέταση και δειγματοληψία των εμπορευμάτων</w:t>
      </w:r>
    </w:p>
    <w:p w14:paraId="219E6E57" w14:textId="77777777" w:rsidR="00E0244C" w:rsidRPr="00483F7D" w:rsidRDefault="007A1FD7">
      <w:pPr>
        <w:pStyle w:val="ManualNumPar10"/>
      </w:pPr>
      <w:r w:rsidRPr="00483F7D">
        <w:t>1.</w:t>
      </w:r>
      <w:r w:rsidRPr="00483F7D">
        <w:tab/>
        <w:t>Η μεταφορά των εμπορευμάτων στους χώρους στους οποίους πρόκειται να εξεταστούν και στον οποίο πρόκειται να γίνει δειγματοληψία, καθώς και όλοι οι χειρισμοί που είναι αναγκαίοι για την εν λόγω εξέταση ή δειγματοληψία, εκτελούνται από τον εισαγωγέα, εξαγωγέα ή μεταφορέα ή υπ’ ευθύνη του. Τα έξοδα που προκύπτουν βαρύνουν τον εισαγωγέα ή εξαγωγέα.</w:t>
      </w:r>
    </w:p>
    <w:p w14:paraId="55FBBF38" w14:textId="77777777" w:rsidR="00E0244C" w:rsidRPr="00483F7D" w:rsidRDefault="007A1FD7">
      <w:pPr>
        <w:pStyle w:val="ManualNumPar10"/>
      </w:pPr>
      <w:r w:rsidRPr="00483F7D">
        <w:t>2.</w:t>
      </w:r>
      <w:r w:rsidRPr="00483F7D">
        <w:tab/>
        <w:t>Ο εισαγωγέας, εξαγωγέας ή μεταφορέας έχει το δικαίωμα να παρίσταται ή να εκπροσωπείται κατά την εξέταση των εμπορευμάτων και κατά τη δειγματοληψία. Όταν οι τελωνειακές αρχές έχουν βάσιμους λόγους, μπορούν να απαιτούν από τον εισαγωγέα, εξαγωγέα ή μεταφορέα να παρίσταται ή να εκπροσωπείται κατά την εξέταση των εμπορευμάτων ή τη δειγματοληψία ή να τους παρέχει την αναγκαία βοήθεια για τη διευκόλυνση της εν λόγω εξέτασης ή δειγματοληψίας.</w:t>
      </w:r>
    </w:p>
    <w:p w14:paraId="35E3A95A" w14:textId="77777777" w:rsidR="00E0244C" w:rsidRPr="00483F7D" w:rsidRDefault="007A1FD7">
      <w:pPr>
        <w:pStyle w:val="ManualNumPar10"/>
      </w:pPr>
      <w:r w:rsidRPr="00483F7D">
        <w:t>3.</w:t>
      </w:r>
      <w:r w:rsidRPr="00483F7D">
        <w:tab/>
        <w:t>Εφόσον πραγματοποιείται σύμφωνα με τις ισχύουσες διατάξεις, η δειγματοληψία από τις τελωνειακές αρχές δεν συνεπάγεται αποζημίωση εκ μέρους των τελωνειακών αρχών, τα έξοδα όμως της ανάλυσης ή του ελέγχου αναλαμβάνονται από αυτές.</w:t>
      </w:r>
    </w:p>
    <w:p w14:paraId="79E4ABA5" w14:textId="77777777" w:rsidR="00E0244C" w:rsidRPr="00483F7D" w:rsidRDefault="007A1FD7">
      <w:pPr>
        <w:pStyle w:val="ManualNumPar10"/>
      </w:pPr>
      <w:r w:rsidRPr="00483F7D">
        <w:t>4.</w:t>
      </w:r>
      <w:r w:rsidRPr="00483F7D">
        <w:tab/>
        <w:t>Όταν η εξέταση ή η δειγματοληψία αφορά μέρος μόνο των εμπορευμάτων, τα αποτελέσματα της μερικής εξέτασης ή της ανάλυσης ή της εξέτασης των δειγμάτων, τεκμαίρεται ότι ισχύουν για όλα τα εμπορεύματα που περιέχονται στην ίδια αποστολή.</w:t>
      </w:r>
    </w:p>
    <w:p w14:paraId="5499E3DC" w14:textId="77777777" w:rsidR="00E0244C" w:rsidRPr="00483F7D" w:rsidRDefault="007A1FD7">
      <w:pPr>
        <w:pStyle w:val="Text1"/>
      </w:pPr>
      <w:r w:rsidRPr="00483F7D">
        <w:t>Ωστόσο, ο εισαγωγέας ή εξαγωγέας μπορεί να ζητήσει συμπληρωματική εξέταση ή δειγματοληψία των εμπορευμάτων, αν κρίνει ότι τα αποτελέσματα της μερικής εξέτασης ή της ανάλυσης ή της εξέτασης των δειγμάτων που λήφθηκαν δεν ισχύουν για τα υπόλοιπα σχετικά εμπορεύματα. Το αίτημα γίνεται δεκτό υπό την προϋπόθεση ότι τα εμπορεύματα δεν έχουν παραδοθεί ή, αν έχουν παραδοθεί, εφόσον ο εισαγωγέας ή εξαγωγέας αποδείξει ότι δεν έχουν υποστεί καμία μεταβολή.</w:t>
      </w:r>
    </w:p>
    <w:p w14:paraId="2EC73FC5" w14:textId="77777777" w:rsidR="00E0244C" w:rsidRPr="00483F7D" w:rsidRDefault="007A1FD7">
      <w:pPr>
        <w:pStyle w:val="ManualNumPar10"/>
      </w:pPr>
      <w:r w:rsidRPr="00483F7D">
        <w:t>5.</w:t>
      </w:r>
      <w:r w:rsidRPr="00483F7D">
        <w:tab/>
        <w:t xml:space="preserve">Η Επιτροπή ορίζει, με εκτελεστικές πράξεις, τα μέτρα σχετικά με την εξέταση και τη δειγματοληψία των εμπορευμάτων που αναφέρονται στο παρόν άρθρο.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2CE64208" w14:textId="77777777" w:rsidR="00E0244C" w:rsidRPr="00483F7D" w:rsidRDefault="007A1FD7">
      <w:pPr>
        <w:pStyle w:val="Titrearticle"/>
      </w:pPr>
      <w:r w:rsidRPr="00483F7D">
        <w:t>Άρθρο 46</w:t>
      </w:r>
    </w:p>
    <w:p w14:paraId="1880021A" w14:textId="77777777" w:rsidR="00E0244C" w:rsidRPr="00483F7D" w:rsidRDefault="007A1FD7">
      <w:pPr>
        <w:pStyle w:val="NormalCentered"/>
      </w:pPr>
      <w:r w:rsidRPr="00483F7D">
        <w:rPr>
          <w:b/>
        </w:rPr>
        <w:t>Αποτελέσματα της επαλήθευσης</w:t>
      </w:r>
    </w:p>
    <w:p w14:paraId="01DD6715" w14:textId="77777777" w:rsidR="00E0244C" w:rsidRPr="00483F7D" w:rsidRDefault="007A1FD7">
      <w:pPr>
        <w:pStyle w:val="ManualNumPar10"/>
      </w:pPr>
      <w:bookmarkStart w:id="67" w:name="__akn_article_kZDDHT_2OHROQ"/>
      <w:bookmarkEnd w:id="67"/>
      <w:r w:rsidRPr="00483F7D">
        <w:t>1.</w:t>
      </w:r>
      <w:r w:rsidRPr="00483F7D">
        <w:tab/>
        <w:t>Τα αποτελέσματα της επαλήθευσης των δεδομένων που παρέχονται από τον εισαγωγέα, εξαγωγέα ή μεταφορέα χρησιμεύουν για την εφαρμογή των διατάξεων που διέπουν το τελωνειακό καθεστώς στο οποίο υπάγονται τα εμπορεύματα.</w:t>
      </w:r>
    </w:p>
    <w:p w14:paraId="25C8369F" w14:textId="77777777" w:rsidR="00E0244C" w:rsidRPr="00483F7D" w:rsidRDefault="007A1FD7">
      <w:pPr>
        <w:pStyle w:val="ManualNumPar10"/>
      </w:pPr>
      <w:r w:rsidRPr="00483F7D">
        <w:t>2.</w:t>
      </w:r>
      <w:r w:rsidRPr="00483F7D">
        <w:tab/>
        <w:t xml:space="preserve">Όταν δεν πραγματοποιείται επαλήθευση των παρεχόμενων δεδομένων, η παράγραφος </w:t>
      </w:r>
      <w:hyperlink w:anchor="__akn_article_kZDDHT_2OHROQ" w:tooltip="paragraph (1): (1)">
        <w:r w:rsidRPr="00483F7D">
          <w:rPr>
            <w:rStyle w:val="Hyperlink"/>
          </w:rPr>
          <w:t>1</w:t>
        </w:r>
      </w:hyperlink>
      <w:r w:rsidRPr="00483F7D">
        <w:t xml:space="preserve"> εφαρμόζεται με βάση τα δεδομένα που παρέχονται από τον εισαγωγέα ή εξαγωγέα.</w:t>
      </w:r>
    </w:p>
    <w:p w14:paraId="0CE428C4" w14:textId="77777777" w:rsidR="00E0244C" w:rsidRPr="00483F7D" w:rsidRDefault="007A1FD7">
      <w:pPr>
        <w:pStyle w:val="ManualNumPar10"/>
      </w:pPr>
      <w:r w:rsidRPr="00483F7D">
        <w:t>3.</w:t>
      </w:r>
      <w:r w:rsidRPr="00483F7D">
        <w:tab/>
        <w:t>Τα αποτελέσματα της επαλήθευσης την οποία πραγματοποιούν οι τελωνειακές αρχές έχουν την ίδια αποδεικτική αξία σε ολόκληρο το τελωνειακό έδαφος της Ένωσης.</w:t>
      </w:r>
    </w:p>
    <w:p w14:paraId="27FC97C2" w14:textId="77777777" w:rsidR="00E0244C" w:rsidRPr="00483F7D" w:rsidRDefault="007A1FD7">
      <w:pPr>
        <w:pStyle w:val="ManualNumPar10"/>
      </w:pPr>
      <w:r w:rsidRPr="00483F7D">
        <w:t>4.</w:t>
      </w:r>
      <w:r w:rsidRPr="00483F7D">
        <w:tab/>
        <w:t xml:space="preserve">Η Επιτροπή ορίζει, με εκτελεστικές πράξεις, τα μέτρα σχετικά με τα αποτελέσματα της επαλήθευσης που αναφέρεται στο παρόν άρθρο.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2056BBEE" w14:textId="77777777" w:rsidR="00E0244C" w:rsidRPr="00483F7D" w:rsidRDefault="007A1FD7">
      <w:pPr>
        <w:pStyle w:val="Titrearticle"/>
      </w:pPr>
      <w:r w:rsidRPr="00483F7D">
        <w:t>Άρθρο 47</w:t>
      </w:r>
    </w:p>
    <w:p w14:paraId="3A7453C1" w14:textId="77777777" w:rsidR="00E0244C" w:rsidRPr="00483F7D" w:rsidRDefault="007A1FD7">
      <w:pPr>
        <w:pStyle w:val="NormalCentered"/>
      </w:pPr>
      <w:r w:rsidRPr="00483F7D">
        <w:rPr>
          <w:b/>
        </w:rPr>
        <w:t>Μέτρα εξακρίβωσης της ταυτότητας</w:t>
      </w:r>
    </w:p>
    <w:p w14:paraId="1BBDF918" w14:textId="77777777" w:rsidR="00E0244C" w:rsidRPr="00483F7D" w:rsidRDefault="007A1FD7">
      <w:pPr>
        <w:pStyle w:val="ManualNumPar10"/>
      </w:pPr>
      <w:r w:rsidRPr="00483F7D">
        <w:t>1.</w:t>
      </w:r>
      <w:r w:rsidRPr="00483F7D">
        <w:tab/>
        <w:t>Οι τελωνειακές αρχές ή, κατά περίπτωση, οι οικονομικοί φορείς που έχουν λάβει τη σχετική άδεια από τις τελωνειακές αρχές, λαμβάνουν τα μέτρα που είναι αναγκαία για την εξακρίβωση της ταυτότητας των εμπορευμάτων, όταν η εν λόγω εξακρίβωση απαιτείται για να διασφαλιστεί η τήρηση των διατάξεων που διέπουν το σχετικό τελωνειακό καθεστώς στο οποίο προορίζονται να υπαχθούν τα εμπορεύματα.</w:t>
      </w:r>
    </w:p>
    <w:p w14:paraId="6209C95C" w14:textId="77777777" w:rsidR="00E0244C" w:rsidRPr="00483F7D" w:rsidRDefault="007A1FD7">
      <w:pPr>
        <w:pStyle w:val="Text1"/>
      </w:pPr>
      <w:r w:rsidRPr="00483F7D">
        <w:t>Τα εν λόγω μέτρα εξακρίβωσης της ταυτότητας παράγουν τα ίδια νομικά αποτελέσματα σε ολόκληρο το τελωνειακό έδαφος της Ένωσης.</w:t>
      </w:r>
    </w:p>
    <w:p w14:paraId="2C7EBEBE" w14:textId="77777777" w:rsidR="00E0244C" w:rsidRPr="00483F7D" w:rsidRDefault="007A1FD7">
      <w:pPr>
        <w:pStyle w:val="ManualNumPar10"/>
      </w:pPr>
      <w:r w:rsidRPr="00483F7D">
        <w:t>2.</w:t>
      </w:r>
      <w:r w:rsidRPr="00483F7D">
        <w:tab/>
        <w:t>Τα μέσα εξακρίβωσης της ταυτότητας που έχουν τεθεί επί των εμπορευμάτων, της συσκευασίας ή του μεταφορικού μέσου αφαιρούνται ή καταστρέφονται μόνο από τις τελωνειακές αρχές ή, εφόσον έχουν λάβει τη σχετική άδεια από τις τελωνειακές αρχές, από άλλα πρόσωπα, εκτός αν, λόγω απρόβλεπτων περιστάσεων ή ανωτέρας βίας, η αφαίρεση ή καταστροφή τους είναι απαραίτητη για τη διασφάλιση της προστασίας των εμπορευμάτων ή του μεταφορικού μέσου.</w:t>
      </w:r>
    </w:p>
    <w:p w14:paraId="15683D38" w14:textId="77777777" w:rsidR="00E0244C" w:rsidRPr="00483F7D" w:rsidRDefault="007A1FD7">
      <w:pPr>
        <w:pStyle w:val="ManualNumPar10"/>
      </w:pPr>
      <w:r w:rsidRPr="00483F7D">
        <w:t>3.</w:t>
      </w:r>
      <w:r w:rsidRPr="00483F7D">
        <w:tab/>
        <w:t xml:space="preserve">Η Επιτροπή ορίζει, με εκτελεστικές πράξεις, τα μέτρα στα οποία συνίστανται τα μέτρα εξακρίβωσης της ταυτότητας που αναφέρονται στο παρόν άρθρο.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5B0137AD" w14:textId="77777777" w:rsidR="00E0244C" w:rsidRPr="00483F7D" w:rsidRDefault="007A1FD7">
      <w:pPr>
        <w:pStyle w:val="Titrearticle"/>
      </w:pPr>
      <w:bookmarkStart w:id="68" w:name="__akn_article_FCz90W"/>
      <w:bookmarkEnd w:id="68"/>
      <w:r w:rsidRPr="00483F7D">
        <w:t>Άρθρο 48</w:t>
      </w:r>
    </w:p>
    <w:p w14:paraId="58C1D9BD" w14:textId="77777777" w:rsidR="00E0244C" w:rsidRPr="00483F7D" w:rsidRDefault="007A1FD7">
      <w:pPr>
        <w:pStyle w:val="NormalCentered"/>
      </w:pPr>
      <w:r w:rsidRPr="00483F7D">
        <w:rPr>
          <w:b/>
        </w:rPr>
        <w:t>Εκ των υστέρων έλεγχοι</w:t>
      </w:r>
    </w:p>
    <w:p w14:paraId="1FCB0519" w14:textId="77777777" w:rsidR="00E0244C" w:rsidRPr="00483F7D" w:rsidRDefault="007A1FD7">
      <w:pPr>
        <w:pStyle w:val="ManualNumPar10"/>
      </w:pPr>
      <w:r w:rsidRPr="00483F7D">
        <w:t>1.</w:t>
      </w:r>
      <w:r w:rsidRPr="00483F7D">
        <w:tab/>
        <w:t>Για τους σκοπούς των τελωνειακών ελέγχων, οι τελωνειακές αρχές μπορούν, μετά την παράδοση των εμπορευμάτων: </w:t>
      </w:r>
    </w:p>
    <w:p w14:paraId="4A8F56F7" w14:textId="128434B8" w:rsidR="00782BE5" w:rsidRPr="00483F7D" w:rsidRDefault="00BC60FC" w:rsidP="00BC60FC">
      <w:pPr>
        <w:pStyle w:val="Point1"/>
      </w:pPr>
      <w:r w:rsidRPr="00483F7D">
        <w:t>α)</w:t>
      </w:r>
      <w:r w:rsidRPr="00483F7D">
        <w:tab/>
      </w:r>
      <w:r w:rsidR="007A1FD7" w:rsidRPr="00483F7D">
        <w:t>να επαληθεύουν την ακρίβεια και την πληρότητα των παρεχόμενων δεδομένων, καθώς και την ύπαρξη, τη γνησιότητα, την ακρίβεια και την ισχύ κάθε δικαιολογητικού εγγράφου·</w:t>
      </w:r>
    </w:p>
    <w:p w14:paraId="7808151F" w14:textId="7D39D016" w:rsidR="00782BE5" w:rsidRPr="00483F7D" w:rsidRDefault="00BC60FC" w:rsidP="00BC60FC">
      <w:pPr>
        <w:pStyle w:val="Point1"/>
      </w:pPr>
      <w:r w:rsidRPr="00483F7D">
        <w:t>β)</w:t>
      </w:r>
      <w:r w:rsidRPr="00483F7D">
        <w:tab/>
      </w:r>
      <w:r w:rsidR="007A1FD7" w:rsidRPr="00483F7D">
        <w:t>να ελέγχουν τους λογαριασμούς του οικονομικού φορέα και άλλα αρχεία σχετικά με τις πράξεις που αφορούν τα εν λόγω εμπορεύματα και τις προγενέστερες ή μεταγενέστερες εμπορικές πράξεις που αφορούν τα εν λόγω εμπορεύματα·</w:t>
      </w:r>
    </w:p>
    <w:p w14:paraId="691F4CD5" w14:textId="39445790" w:rsidR="00782BE5" w:rsidRPr="00483F7D" w:rsidRDefault="00BC60FC" w:rsidP="00BC60FC">
      <w:pPr>
        <w:pStyle w:val="Point1"/>
      </w:pPr>
      <w:r w:rsidRPr="00483F7D">
        <w:t>γ)</w:t>
      </w:r>
      <w:r w:rsidRPr="00483F7D">
        <w:tab/>
      </w:r>
      <w:r w:rsidR="007A1FD7" w:rsidRPr="00483F7D">
        <w:t>να εξετάζουν τα εν λόγω εμπορεύματα και να λαμβάνουν δείγματα, εφόσον αυτό είναι ακόμα δυνατό να γίνει·</w:t>
      </w:r>
    </w:p>
    <w:p w14:paraId="70D369E8" w14:textId="31666FB6" w:rsidR="00E0244C" w:rsidRPr="00483F7D" w:rsidRDefault="00BC60FC" w:rsidP="00BC60FC">
      <w:pPr>
        <w:pStyle w:val="Point1"/>
      </w:pPr>
      <w:r w:rsidRPr="00483F7D">
        <w:t>δ)</w:t>
      </w:r>
      <w:r w:rsidRPr="00483F7D">
        <w:tab/>
      </w:r>
      <w:r w:rsidR="00622C1A" w:rsidRPr="00483F7D">
        <w:t>να έχουν πρόσβαση στα συστήματα των φορέων για την επαλήθευση της συμμόρφωσης με την υποχρέωση παροχής ή διάθεσης δεδομένων στον τελωνειακό κόμβο δεδομένων της ΕΕ.</w:t>
      </w:r>
    </w:p>
    <w:p w14:paraId="7992E403" w14:textId="77777777" w:rsidR="00E0244C" w:rsidRPr="00483F7D" w:rsidRDefault="007A1FD7">
      <w:pPr>
        <w:pStyle w:val="ManualNumPar10"/>
      </w:pPr>
      <w:r w:rsidRPr="00483F7D">
        <w:t>2.</w:t>
      </w:r>
      <w:r w:rsidRPr="00483F7D">
        <w:tab/>
        <w:t>Οι έλεγχοι αυτοί μπορεί να διενεργούνται στις εγκαταστάσεις του εισαγωγέα ή εξαγωγέα ή του κατόχου των εμπορευμάτων ή κάθε άλλου προσώπου που εμπλέκεται άμεσα ή έμμεσα σε επαγγελματικό επίπεδο στις εν λόγω πράξεις, ή οποιουδήποτε άλλου προσώπου που έχει στην κατοχή του για επαγγελματικούς σκοπούς τα εν λόγω έγγραφα και δεδομένα.</w:t>
      </w:r>
    </w:p>
    <w:p w14:paraId="13423550" w14:textId="77777777" w:rsidR="00E0244C" w:rsidRPr="00483F7D" w:rsidRDefault="007A1FD7">
      <w:pPr>
        <w:pStyle w:val="ManualNumPar10"/>
      </w:pPr>
      <w:r w:rsidRPr="00483F7D">
        <w:t>3.</w:t>
      </w:r>
      <w:r w:rsidRPr="00483F7D">
        <w:tab/>
        <w:t xml:space="preserve">Η Επιτροπή ορίζει, με εκτελεστικές πράξεις, τα μέτρα τα οποία εφαρμόζονται στους ελέγχους που αναφέρονται στην παράγραφο 1, συμπεριλαμβανομένων των περιπτώσεων όπου πραγματοποιούνται πράξεις σε περισσότερα του ενός κράτη μέλη, καθώς και τα μέτρα σχετικά με την εφαρμογή του λογιστικού ελέγχου και άλλων κατάλληλων μεθοδολογιών στο πλαίσιο των εν λόγω ελέγχων. Οι εν λόγω εκτελεστικές πράξεις εκδίδονται σύμφωνα με το άρθρο 262 παράγραφος </w:t>
      </w:r>
      <w:hyperlink w:anchor="_bill__akn_article_OheJbS_RcHcve" w:tooltip="Article 258(4): (4)">
        <w:r w:rsidRPr="00483F7D">
          <w:rPr>
            <w:rStyle w:val="Hyperlink"/>
          </w:rPr>
          <w:t>4</w:t>
        </w:r>
      </w:hyperlink>
      <w:r w:rsidRPr="00483F7D">
        <w:rPr>
          <w:rStyle w:val="Hyperlink"/>
        </w:rPr>
        <w:t>.</w:t>
      </w:r>
    </w:p>
    <w:p w14:paraId="6E03F907" w14:textId="77777777" w:rsidR="00E0244C" w:rsidRPr="00483F7D" w:rsidRDefault="007A1FD7">
      <w:pPr>
        <w:pStyle w:val="Titrearticle"/>
      </w:pPr>
      <w:r w:rsidRPr="00483F7D">
        <w:t>Άρθρο 49</w:t>
      </w:r>
    </w:p>
    <w:p w14:paraId="29757FE0" w14:textId="77777777" w:rsidR="00E0244C" w:rsidRPr="00483F7D" w:rsidRDefault="007A1FD7">
      <w:pPr>
        <w:pStyle w:val="NormalCentered"/>
      </w:pPr>
      <w:r w:rsidRPr="00483F7D">
        <w:rPr>
          <w:b/>
        </w:rPr>
        <w:t>Ενδοενωσιακές πτήσεις και θαλάσσια ταξίδια</w:t>
      </w:r>
    </w:p>
    <w:p w14:paraId="1BB77172" w14:textId="77777777" w:rsidR="00E0244C" w:rsidRPr="00483F7D" w:rsidRDefault="007A1FD7">
      <w:pPr>
        <w:pStyle w:val="ManualNumPar10"/>
      </w:pPr>
      <w:r w:rsidRPr="00483F7D">
        <w:t>1.</w:t>
      </w:r>
      <w:r w:rsidRPr="00483F7D">
        <w:tab/>
        <w:t>Τελωνειακοί έλεγχοι ή διατυπώσεις σε παραδιδόμενες αποσκευές και χειραποσκευές προσώπων τα οποία πραγματοποιούν είτε ενδοενωσιακές πτήσεις είτε ενδοενωσιακό θαλάσσιο ταξίδι, διεξάγονται μόνο εφόσον οι εν λόγω τελωνειακοί έλεγχοι ή διατυπώσεις προβλέπονται από την τελωνειακή νομοθεσία.</w:t>
      </w:r>
    </w:p>
    <w:p w14:paraId="6787D750" w14:textId="77777777" w:rsidR="00E0244C" w:rsidRPr="00483F7D" w:rsidRDefault="007A1FD7">
      <w:pPr>
        <w:pStyle w:val="ManualNumPar10"/>
      </w:pPr>
      <w:r w:rsidRPr="00483F7D">
        <w:t>2.</w:t>
      </w:r>
      <w:r w:rsidRPr="00483F7D">
        <w:tab/>
        <w:t>Η παράγραφος 1 εφαρμόζεται με την επιφύλαξη:</w:t>
      </w:r>
    </w:p>
    <w:p w14:paraId="615BFB0B" w14:textId="6E19ED9C" w:rsidR="00782BE5" w:rsidRPr="00483F7D" w:rsidRDefault="00BC60FC" w:rsidP="00BC60FC">
      <w:pPr>
        <w:pStyle w:val="Point1"/>
      </w:pPr>
      <w:r w:rsidRPr="00483F7D">
        <w:t>α)</w:t>
      </w:r>
      <w:r w:rsidRPr="00483F7D">
        <w:tab/>
      </w:r>
      <w:r w:rsidR="007A1FD7" w:rsidRPr="00483F7D">
        <w:t>της προστασίας και ασφάλειας·</w:t>
      </w:r>
    </w:p>
    <w:p w14:paraId="20BAACD0" w14:textId="729DBB1D" w:rsidR="00E0244C" w:rsidRPr="00483F7D" w:rsidRDefault="00BC60FC" w:rsidP="00BC60FC">
      <w:pPr>
        <w:pStyle w:val="Point1"/>
      </w:pPr>
      <w:r w:rsidRPr="00483F7D">
        <w:t>β)</w:t>
      </w:r>
      <w:r w:rsidRPr="00483F7D">
        <w:tab/>
      </w:r>
      <w:r w:rsidR="007A1FD7" w:rsidRPr="00483F7D">
        <w:t>των ελέγχων οι οποίοι συνδέονται με τη λοιπή νομοθεσία που εφαρμόζεται από τις τελωνειακές αρχές.</w:t>
      </w:r>
    </w:p>
    <w:p w14:paraId="34847CE8" w14:textId="77777777" w:rsidR="00E0244C" w:rsidRPr="00483F7D" w:rsidRDefault="007A1FD7">
      <w:pPr>
        <w:pStyle w:val="ManualNumPar10"/>
      </w:pPr>
      <w:r w:rsidRPr="00483F7D">
        <w:t>3.</w:t>
      </w:r>
      <w:r w:rsidRPr="00483F7D">
        <w:tab/>
        <w:t>Η Επιτροπή καθορίζει, με εκτελεστικές πράξεις, τους λιμένες ή τους αερολιμένες όπου εφαρμόζονται τελωνειακοί έλεγχοι και τελωνειακές διατυπώσεις όσον αφορά τα εξής:</w:t>
      </w:r>
    </w:p>
    <w:p w14:paraId="59B8A5D9" w14:textId="26B130A6" w:rsidR="00E0244C" w:rsidRPr="00483F7D" w:rsidRDefault="00BC60FC" w:rsidP="00BC60FC">
      <w:pPr>
        <w:pStyle w:val="Point1"/>
      </w:pPr>
      <w:r w:rsidRPr="00483F7D">
        <w:t>α)</w:t>
      </w:r>
      <w:r w:rsidRPr="00483F7D">
        <w:tab/>
      </w:r>
      <w:r w:rsidR="007A1FD7" w:rsidRPr="00483F7D">
        <w:t>τις παραδιδόμενες αποσκευές και χειραποσκευές:</w:t>
      </w:r>
    </w:p>
    <w:p w14:paraId="1BBF604F" w14:textId="7ADBED71" w:rsidR="00E0244C" w:rsidRPr="00483F7D" w:rsidRDefault="00483C4C" w:rsidP="00483C4C">
      <w:pPr>
        <w:pStyle w:val="Point2"/>
      </w:pPr>
      <w:r w:rsidRPr="00483F7D">
        <w:t>i)</w:t>
      </w:r>
      <w:r w:rsidRPr="00483F7D">
        <w:tab/>
        <w:t>προσώπων που πραγματοποιούν πτήση με αεροσκάφος το οποίο αναχωρεί από μη ενωσιακό αερολιμένα και το οποίο, έπειτα από ενδιάμεση στάση σε ενωσιακό αερολιμένα, κατευθύνεται σε άλλον ενωσιακό αερολιμένα·</w:t>
      </w:r>
    </w:p>
    <w:p w14:paraId="17DE6E73" w14:textId="0B141A06" w:rsidR="00E0244C" w:rsidRPr="00483F7D" w:rsidRDefault="00483C4C" w:rsidP="00483C4C">
      <w:pPr>
        <w:pStyle w:val="Point2"/>
      </w:pPr>
      <w:r w:rsidRPr="00483F7D">
        <w:t>ii)</w:t>
      </w:r>
      <w:r w:rsidRPr="00483F7D">
        <w:tab/>
        <w:t>προσώπων που πραγματοποιούν πτήση με αεροσκάφος που κάνει ενδιάμεση στάση σε ενωσιακό αερολιμένα και στη συνέχεια κατευθύνεται σε μη ενωσιακό αερολιμένα·</w:t>
      </w:r>
    </w:p>
    <w:p w14:paraId="4B3FEAA6" w14:textId="638AA06B" w:rsidR="00782BE5" w:rsidRPr="00483F7D" w:rsidRDefault="00483C4C" w:rsidP="00483C4C">
      <w:pPr>
        <w:pStyle w:val="Point2"/>
      </w:pPr>
      <w:r w:rsidRPr="00483F7D">
        <w:t>iii)</w:t>
      </w:r>
      <w:r w:rsidRPr="00483F7D">
        <w:tab/>
        <w:t>προσώπων που χρησιμοποιούν ναυτιλιακή υπηρεσία παρεχόμενη με το ίδιο σκάφος η οποία περιλαμβάνει διαδοχικά σκέλη με αναχωρήσεις, αφίξεις και τελικούς προορισμούς σε μη ενωσιακούς λιμένες·</w:t>
      </w:r>
    </w:p>
    <w:p w14:paraId="6E19B6F9" w14:textId="1F9121A0" w:rsidR="00E0244C" w:rsidRPr="00483F7D" w:rsidRDefault="00483C4C" w:rsidP="00483C4C">
      <w:pPr>
        <w:pStyle w:val="Point2"/>
      </w:pPr>
      <w:r w:rsidRPr="00483F7D">
        <w:t>iv)</w:t>
      </w:r>
      <w:r w:rsidRPr="00483F7D">
        <w:tab/>
        <w:t>προσώπων που βρίσκονται σε σκάφη αναψυχής και σε αεροσκάφη που διενεργούν πτήση για τουριστικούς ή επιχειρηματικούς σκοπούς·</w:t>
      </w:r>
    </w:p>
    <w:p w14:paraId="6B8D5209" w14:textId="2297D5DF" w:rsidR="00E0244C" w:rsidRPr="00483F7D" w:rsidRDefault="00BC60FC" w:rsidP="00BC60FC">
      <w:pPr>
        <w:pStyle w:val="Point1"/>
      </w:pPr>
      <w:r w:rsidRPr="00483F7D">
        <w:t>β)</w:t>
      </w:r>
      <w:r w:rsidRPr="00483F7D">
        <w:tab/>
      </w:r>
      <w:r w:rsidR="007A1FD7" w:rsidRPr="00483F7D">
        <w:t>τις παραδιδόμενες αποσκευές και χειραποσκευές:</w:t>
      </w:r>
    </w:p>
    <w:p w14:paraId="27910C8C" w14:textId="634426B1" w:rsidR="00E0244C" w:rsidRPr="00483F7D" w:rsidRDefault="00483C4C" w:rsidP="00483C4C">
      <w:pPr>
        <w:pStyle w:val="Point2"/>
      </w:pPr>
      <w:r w:rsidRPr="00483F7D">
        <w:t>i)</w:t>
      </w:r>
      <w:r w:rsidRPr="00483F7D">
        <w:tab/>
        <w:t>οι οποίες φτάνουν σε ενωσιακό αερολιμένα με αεροσκάφος που προέρχεται από μη ενωσιακό αερολιμένα και μεταφέρονται στον εν λόγω ενωσιακό αερολιμένα σε άλλο αεροσκάφος που πραγματοποιεί ενδοενωσιακή πτήση·</w:t>
      </w:r>
    </w:p>
    <w:p w14:paraId="029B1248" w14:textId="6E6BC780" w:rsidR="00E0244C" w:rsidRPr="00483F7D" w:rsidRDefault="00483C4C" w:rsidP="00483C4C">
      <w:pPr>
        <w:pStyle w:val="Point2"/>
      </w:pPr>
      <w:r w:rsidRPr="00483F7D">
        <w:t>ii)</w:t>
      </w:r>
      <w:r w:rsidRPr="00483F7D">
        <w:tab/>
        <w:t>οι οποίες φορτώνονται σε ενωσιακό αερολιμένα σε αεροσκάφος που πραγματοποιεί ενδοενωσιακή πτήση με σκοπό τη μεταφορά σε άλλον ενδοενωσιακό αερολιμένα σε αεροσκάφος με προορισμό μη ενωσιακό αερολιμένα.</w:t>
      </w:r>
    </w:p>
    <w:p w14:paraId="12190935" w14:textId="77777777" w:rsidR="009834FA" w:rsidRPr="00483F7D" w:rsidRDefault="009834FA" w:rsidP="00222342">
      <w:pPr>
        <w:pStyle w:val="Text1"/>
      </w:pPr>
      <w:bookmarkStart w:id="69" w:name="__akn_chapter_7bAibc"/>
      <w:bookmarkEnd w:id="69"/>
      <w:r w:rsidRPr="00483F7D">
        <w:t>Οι εν λόγω εκτελεστικές πράξεις εκδίδονται σύμφωνα με τη διαδικασία εξέτασης που αναφέρεται στο άρθρο 262 παράγραφος 4.</w:t>
      </w:r>
    </w:p>
    <w:p w14:paraId="658300CF" w14:textId="77777777" w:rsidR="00E0244C" w:rsidRPr="00483F7D" w:rsidRDefault="007A1FD7">
      <w:pPr>
        <w:pStyle w:val="ChapterTitle"/>
      </w:pPr>
      <w:r w:rsidRPr="00483F7D">
        <w:t xml:space="preserve">Κεφάλαιο 3 </w:t>
      </w:r>
      <w:r w:rsidRPr="00483F7D">
        <w:br/>
        <w:t>Διαχείριση τελωνειακών κινδύνων</w:t>
      </w:r>
    </w:p>
    <w:p w14:paraId="6DC2EBC6" w14:textId="77777777" w:rsidR="00E0244C" w:rsidRPr="00483F7D" w:rsidRDefault="007A1FD7">
      <w:pPr>
        <w:pStyle w:val="Titrearticle"/>
      </w:pPr>
      <w:r w:rsidRPr="00483F7D">
        <w:t>Άρθρο 50</w:t>
      </w:r>
    </w:p>
    <w:p w14:paraId="69DBFE51" w14:textId="77777777" w:rsidR="00E0244C" w:rsidRPr="00483F7D" w:rsidRDefault="007A1FD7">
      <w:pPr>
        <w:pStyle w:val="NormalCentered"/>
      </w:pPr>
      <w:r w:rsidRPr="00483F7D">
        <w:rPr>
          <w:b/>
        </w:rPr>
        <w:t>Γενικές αρχές</w:t>
      </w:r>
    </w:p>
    <w:p w14:paraId="37B85F24" w14:textId="77777777" w:rsidR="00E0244C" w:rsidRPr="00483F7D" w:rsidRDefault="007A1FD7">
      <w:pPr>
        <w:pStyle w:val="ManualNumPar10"/>
      </w:pPr>
      <w:r w:rsidRPr="00483F7D">
        <w:t>1.</w:t>
      </w:r>
      <w:r w:rsidRPr="00483F7D">
        <w:tab/>
        <w:t xml:space="preserve">Οι τελωνειακές αρχές καθορίζουν, βάσει της διαχείρισης κινδύνων και πρωτίστως βάσει αυτοματοποιημένης ανάλυσης κινδύνου, αν τα εμπορεύματα, οι οικονομικοί φορείς και οι εφοδιαστικές αλυσίδες θα υπόκεινται σε τελωνειακούς ελέγχους ή άλλα μέτρα μετριασμού και, αν ναι, πού και πότε θα πραγματοποιηθούν οι εν λόγω έλεγχοι και άλλα μέτρα μετριασμού. </w:t>
      </w:r>
    </w:p>
    <w:p w14:paraId="3726A944" w14:textId="77777777" w:rsidR="00E0244C" w:rsidRPr="00483F7D" w:rsidRDefault="007A1FD7">
      <w:pPr>
        <w:pStyle w:val="ManualNumPar10"/>
      </w:pPr>
      <w:r w:rsidRPr="00483F7D">
        <w:t>2.</w:t>
      </w:r>
      <w:r w:rsidRPr="00483F7D">
        <w:tab/>
        <w:t>Η Επιτροπή, η Τελωνειακή Αρχή της ΕΕ και οι τελωνειακές αρχές χρησιμοποιούν τη διαχείριση τελωνειακών κινδύνων για να διαφοροποιήσουν τα επίπεδα όλων των κινδύνων που συνδέονται με εμπορεύματα, οικονομικούς φορείς και εφοδιαστικές αλυσίδες σύμφωνα με τις διατάξεις του παρόντος κεφαλαίου.</w:t>
      </w:r>
    </w:p>
    <w:p w14:paraId="61387097" w14:textId="77777777" w:rsidR="00E0244C" w:rsidRPr="00483F7D" w:rsidRDefault="007A1FD7">
      <w:pPr>
        <w:pStyle w:val="ManualNumPar10"/>
      </w:pPr>
      <w:r w:rsidRPr="00483F7D">
        <w:t>3.</w:t>
      </w:r>
      <w:r w:rsidRPr="00483F7D">
        <w:tab/>
        <w:t>Η διαχείριση τελωνειακών κινδύνων περιλαμβάνει τουλάχιστον τις ακόλουθες δραστηριότητες, κατά περίπτωση οργανωμένες σε κυκλική βάση:</w:t>
      </w:r>
    </w:p>
    <w:p w14:paraId="4D44375B" w14:textId="37DCFF5D" w:rsidR="00782BE5" w:rsidRPr="00483F7D" w:rsidRDefault="00BC60FC" w:rsidP="00BC60FC">
      <w:pPr>
        <w:pStyle w:val="Point1"/>
      </w:pPr>
      <w:r w:rsidRPr="00483F7D">
        <w:t>α)</w:t>
      </w:r>
      <w:r w:rsidRPr="00483F7D">
        <w:tab/>
      </w:r>
      <w:r w:rsidR="007A1FD7" w:rsidRPr="00483F7D">
        <w:t>τη συλλογή, την επεξεργασία, την ανταλλαγή και την ανάλυση των σχετικών δεδομένων που είναι διαθέσιμα στον τελωνειακό κόμβο δεδομένων της ΕΕ και από άλλες πηγές, συμπεριλαμβανομένων των σχετικών δεδομένων από άλλες αρχές πλην των τελωνειακών αρχών·</w:t>
      </w:r>
    </w:p>
    <w:p w14:paraId="4D0C8A7B" w14:textId="03745F72" w:rsidR="00782BE5" w:rsidRPr="00483F7D" w:rsidRDefault="00BC60FC" w:rsidP="00BC60FC">
      <w:pPr>
        <w:pStyle w:val="Point1"/>
      </w:pPr>
      <w:r w:rsidRPr="00483F7D">
        <w:t>β)</w:t>
      </w:r>
      <w:r w:rsidRPr="00483F7D">
        <w:tab/>
      </w:r>
      <w:r w:rsidR="002F1B4D" w:rsidRPr="00483F7D">
        <w:t>τον εντοπισμό, την ανάλυση, την εκτίμηση ή την πρόβλεψη κινδύνων, μεταξύ άλλων με βάση στατιστικές και προγνωστικές μεθόδους και τυχαίους ελέγχους·</w:t>
      </w:r>
    </w:p>
    <w:p w14:paraId="75296427" w14:textId="61ADD1F6" w:rsidR="00782BE5" w:rsidRPr="00483F7D" w:rsidRDefault="00BC60FC" w:rsidP="00BC60FC">
      <w:pPr>
        <w:pStyle w:val="Point1"/>
      </w:pPr>
      <w:r w:rsidRPr="00483F7D">
        <w:t>γ)</w:t>
      </w:r>
      <w:r w:rsidRPr="00483F7D">
        <w:tab/>
      </w:r>
      <w:r w:rsidR="007A1FD7" w:rsidRPr="00483F7D">
        <w:t>την ανάπτυξη των αναγκαίων μέτρων για τη διαχείριση των κινδύνων, συμπεριλαμβανομένου του καθορισμού κοινών τομέων ελέγχου προτεραιότητας, κοινών κριτηρίων και προτύπων κινδύνου και στρατηγικών επιτήρησης·</w:t>
      </w:r>
    </w:p>
    <w:p w14:paraId="4FF41358" w14:textId="7ED39E6B" w:rsidR="00782BE5" w:rsidRPr="00483F7D" w:rsidRDefault="00BC60FC" w:rsidP="00BC60FC">
      <w:pPr>
        <w:pStyle w:val="Point1"/>
      </w:pPr>
      <w:r w:rsidRPr="00483F7D">
        <w:t>δ)</w:t>
      </w:r>
      <w:r w:rsidRPr="00483F7D">
        <w:tab/>
      </w:r>
      <w:r w:rsidR="007A1FD7" w:rsidRPr="00483F7D">
        <w:t>την πρόβλεψη και ανάληψη δράσης, συμπεριλαμβανομένης της επιλογής κατάλληλων μέτρων μετριασμού και τελωνειακών ελέγχων·</w:t>
      </w:r>
    </w:p>
    <w:p w14:paraId="6196F574" w14:textId="134289CE" w:rsidR="00782BE5" w:rsidRPr="00483F7D" w:rsidRDefault="00BC60FC" w:rsidP="00BC60FC">
      <w:pPr>
        <w:pStyle w:val="Point1"/>
      </w:pPr>
      <w:r w:rsidRPr="00483F7D">
        <w:t>ε)</w:t>
      </w:r>
      <w:r w:rsidRPr="00483F7D">
        <w:tab/>
      </w:r>
      <w:r w:rsidR="007A1FD7" w:rsidRPr="00483F7D">
        <w:t>τη συγκέντρωση παρατηρήσεων σχετικά με την υλοποίηση των δραστηριοτήτων διαχείρισης κινδύνων και ελέγχου·</w:t>
      </w:r>
    </w:p>
    <w:p w14:paraId="77533EDA" w14:textId="7B20FF00" w:rsidR="00E0244C" w:rsidRPr="00483F7D" w:rsidRDefault="00BC60FC" w:rsidP="00BC60FC">
      <w:pPr>
        <w:pStyle w:val="Point1"/>
      </w:pPr>
      <w:r w:rsidRPr="00483F7D">
        <w:t>στ)</w:t>
      </w:r>
      <w:r w:rsidRPr="00483F7D">
        <w:tab/>
      </w:r>
      <w:r w:rsidR="007A1FD7" w:rsidRPr="00483F7D">
        <w:t>την παρακολούθηση και επανεξέταση των δραστηριοτήτων διαχείρισης κινδύνων και ελέγχου με σκοπό τη βελτίωσή τους.</w:t>
      </w:r>
    </w:p>
    <w:p w14:paraId="4F9F179F" w14:textId="77777777" w:rsidR="006545F8" w:rsidRPr="00483F7D" w:rsidRDefault="006545F8" w:rsidP="00222342">
      <w:pPr>
        <w:pStyle w:val="ManualNumPar10"/>
      </w:pPr>
      <w:bookmarkStart w:id="70" w:name="__akn_article_rTTLtF"/>
      <w:bookmarkEnd w:id="70"/>
      <w:r w:rsidRPr="00483F7D">
        <w:t>4.</w:t>
      </w:r>
      <w:r w:rsidRPr="00483F7D">
        <w:tab/>
        <w:t>Στα μέτρα μετριασμού μπορεί να περιλαμβάνονται:</w:t>
      </w:r>
    </w:p>
    <w:p w14:paraId="255A144B" w14:textId="2496CC60" w:rsidR="00782BE5" w:rsidRPr="00483F7D" w:rsidRDefault="00BC60FC" w:rsidP="00BC60FC">
      <w:pPr>
        <w:pStyle w:val="Point1"/>
      </w:pPr>
      <w:r w:rsidRPr="00483F7D">
        <w:t>α)</w:t>
      </w:r>
      <w:r w:rsidRPr="00483F7D">
        <w:tab/>
      </w:r>
      <w:r w:rsidR="006545F8" w:rsidRPr="00483F7D">
        <w:t>παροχή οδηγιών στον μεταφορέα ή στον εξαγωγέα για μη φόρτωση ή μεταφορά των εμπορευμάτων·</w:t>
      </w:r>
    </w:p>
    <w:p w14:paraId="0BC93972" w14:textId="19CB82B9" w:rsidR="00782BE5" w:rsidRPr="00483F7D" w:rsidRDefault="00BC60FC" w:rsidP="00BC60FC">
      <w:pPr>
        <w:pStyle w:val="Point1"/>
      </w:pPr>
      <w:r w:rsidRPr="00483F7D">
        <w:t>β)</w:t>
      </w:r>
      <w:r w:rsidRPr="00483F7D">
        <w:tab/>
      </w:r>
      <w:r w:rsidR="006545F8" w:rsidRPr="00483F7D">
        <w:t>αίτημα παροχής πρόσθετων πληροφοριών ή ανάληψης δράσης·</w:t>
      </w:r>
    </w:p>
    <w:p w14:paraId="41AD86BB" w14:textId="4723D09E" w:rsidR="00782BE5" w:rsidRPr="00483F7D" w:rsidRDefault="00BC60FC" w:rsidP="00BC60FC">
      <w:pPr>
        <w:pStyle w:val="Point1"/>
      </w:pPr>
      <w:r w:rsidRPr="00483F7D">
        <w:t>γ)</w:t>
      </w:r>
      <w:r w:rsidRPr="00483F7D">
        <w:tab/>
      </w:r>
      <w:r w:rsidR="006545F8" w:rsidRPr="00483F7D">
        <w:t>εντοπισμός καταστάσεων στις οποίες μπορεί να ενδείκνυται η ανάληψη δράσης από άλλη τελωνειακή αρχή·</w:t>
      </w:r>
    </w:p>
    <w:p w14:paraId="3916963E" w14:textId="53B12315" w:rsidR="00782BE5" w:rsidRPr="00483F7D" w:rsidRDefault="00BC60FC" w:rsidP="00BC60FC">
      <w:pPr>
        <w:pStyle w:val="Point1"/>
      </w:pPr>
      <w:r w:rsidRPr="00483F7D">
        <w:t>δ)</w:t>
      </w:r>
      <w:r w:rsidRPr="00483F7D">
        <w:tab/>
      </w:r>
      <w:r w:rsidR="006545F8" w:rsidRPr="00483F7D">
        <w:t>σύσταση του καταλληλότερου τόπου και των καταλληλότερων μέτρων για τη διενέργεια ελέγχου·</w:t>
      </w:r>
    </w:p>
    <w:p w14:paraId="328E87FD" w14:textId="0DE136FF" w:rsidR="006545F8" w:rsidRPr="00483F7D" w:rsidRDefault="00BC60FC" w:rsidP="00BC60FC">
      <w:pPr>
        <w:pStyle w:val="Point1"/>
      </w:pPr>
      <w:r w:rsidRPr="00483F7D">
        <w:t>ε)</w:t>
      </w:r>
      <w:r w:rsidRPr="00483F7D">
        <w:tab/>
      </w:r>
      <w:r w:rsidR="006545F8" w:rsidRPr="00483F7D">
        <w:t>καθορισμός της διαδρομής που πρέπει να χρησιμοποιηθεί και της προθεσμίας που πρέπει να τηρηθεί, όταν τα εμπορεύματα πρόκειται να μεταφερθούν εκτός του τελωνειακού εδάφους της Ένωσης.</w:t>
      </w:r>
    </w:p>
    <w:p w14:paraId="2103C8FB" w14:textId="77777777" w:rsidR="00E0244C" w:rsidRPr="00483F7D" w:rsidRDefault="007A1FD7">
      <w:pPr>
        <w:pStyle w:val="Titrearticle"/>
      </w:pPr>
      <w:r w:rsidRPr="00483F7D">
        <w:t>Άρθρο 51</w:t>
      </w:r>
    </w:p>
    <w:p w14:paraId="29421762" w14:textId="77777777" w:rsidR="00E0244C" w:rsidRPr="00483F7D" w:rsidRDefault="007A1FD7">
      <w:pPr>
        <w:pStyle w:val="NormalCentered"/>
      </w:pPr>
      <w:r w:rsidRPr="00483F7D">
        <w:rPr>
          <w:b/>
        </w:rPr>
        <w:t>Ρόλοι και αρμοδιότητες</w:t>
      </w:r>
    </w:p>
    <w:p w14:paraId="6787C80A" w14:textId="77777777" w:rsidR="00222342" w:rsidRPr="00483F7D" w:rsidRDefault="007A1FD7" w:rsidP="00CF7E35">
      <w:pPr>
        <w:pStyle w:val="NumPar1"/>
        <w:numPr>
          <w:ilvl w:val="0"/>
          <w:numId w:val="16"/>
        </w:numPr>
      </w:pPr>
      <w:r w:rsidRPr="00483F7D">
        <w:t xml:space="preserve">Η Επιτροπή μπορεί να θεσπίσει κοινούς τομείς ελέγχων προτεραιότητας και κοινά κριτήρια και πρότυπα κινδύνου για κάθε είδος κινδύνου, συμπεριλαμβανομένων, μεταξύ άλλων, των κινδύνων που σχετίζονται με οικονομικά συμφέροντα. </w:t>
      </w:r>
    </w:p>
    <w:p w14:paraId="5F1225BC" w14:textId="77777777" w:rsidR="00222342" w:rsidRPr="00483F7D" w:rsidRDefault="00076305" w:rsidP="00CF7E35">
      <w:pPr>
        <w:pStyle w:val="NumPar1"/>
        <w:numPr>
          <w:ilvl w:val="0"/>
          <w:numId w:val="16"/>
        </w:numPr>
      </w:pPr>
      <w:r w:rsidRPr="00483F7D">
        <w:t xml:space="preserve">Με την επιφύλαξη της παραγράφου 6 στοιχείο στ) του παρόντος άρθρου και του άρθρου 43, η Επιτροπή μπορεί να προσδιορίζει συγκεκριμένους τομείς στο πεδίο της λοιπής νομοθεσίας που εφαρμόζεται από τις τελωνειακές αρχές, για τους οποίους απαιτείται μεταχείριση κατά προτεραιότητα για τη διαχείριση τελωνειακών κινδύνων και τους τελωνειακούς ελέγχους. </w:t>
      </w:r>
    </w:p>
    <w:p w14:paraId="563E9209" w14:textId="77777777" w:rsidR="00E0244C" w:rsidRPr="00483F7D" w:rsidRDefault="007A1FD7" w:rsidP="00CF7E35">
      <w:pPr>
        <w:pStyle w:val="NumPar1"/>
        <w:numPr>
          <w:ilvl w:val="0"/>
          <w:numId w:val="16"/>
        </w:numPr>
      </w:pPr>
      <w:r w:rsidRPr="00483F7D">
        <w:t>Η Επιτροπή μπορεί:</w:t>
      </w:r>
    </w:p>
    <w:p w14:paraId="39753CF6" w14:textId="48DA1150" w:rsidR="00782BE5" w:rsidRPr="00483F7D" w:rsidRDefault="00BC60FC" w:rsidP="00BC60FC">
      <w:pPr>
        <w:pStyle w:val="Point1"/>
      </w:pPr>
      <w:r w:rsidRPr="00483F7D">
        <w:t>α)</w:t>
      </w:r>
      <w:r w:rsidRPr="00483F7D">
        <w:tab/>
      </w:r>
      <w:r w:rsidR="007A1FD7" w:rsidRPr="00483F7D">
        <w:t>να παρέχει κατευθύνσεις πολιτικής στην Τελωνειακή Αρχή της ΕΕ σχετικά με τα έργα διαχείρισης κινδύνων και τις στρατηγικές επιτήρησης·</w:t>
      </w:r>
    </w:p>
    <w:p w14:paraId="61B06D1A" w14:textId="281BEB92" w:rsidR="00782BE5" w:rsidRPr="00483F7D" w:rsidRDefault="00BC60FC" w:rsidP="00BC60FC">
      <w:pPr>
        <w:pStyle w:val="Point1"/>
      </w:pPr>
      <w:r w:rsidRPr="00483F7D">
        <w:t>β)</w:t>
      </w:r>
      <w:r w:rsidRPr="00483F7D">
        <w:tab/>
      </w:r>
      <w:r w:rsidR="007A1FD7" w:rsidRPr="00483F7D">
        <w:t>να ζητήσει από την Τελωνειακή Αρχή της ΕΕ να διενεργεί περιοδική ή ad hoc αξιολόγηση της εφαρμογής κάθε δραστηριότητας διαχείρισης κινδύνων·</w:t>
      </w:r>
    </w:p>
    <w:p w14:paraId="48566014" w14:textId="6883C127" w:rsidR="00222342" w:rsidRPr="00483F7D" w:rsidRDefault="00BC60FC" w:rsidP="00BC60FC">
      <w:pPr>
        <w:pStyle w:val="Point1"/>
      </w:pPr>
      <w:r w:rsidRPr="00483F7D">
        <w:t>γ)</w:t>
      </w:r>
      <w:r w:rsidRPr="00483F7D">
        <w:tab/>
      </w:r>
      <w:r w:rsidR="007A1FD7" w:rsidRPr="00483F7D">
        <w:t>να ζητήσει από την Τελωνειακή Αρχή της ΕΕ να καταρτίσει στρατηγική επιτήρησης για κάθε κίνδυνο και να διενεργήσει αξιολογήσεις απειλών.</w:t>
      </w:r>
    </w:p>
    <w:p w14:paraId="34B0ACBE" w14:textId="77777777" w:rsidR="00222342" w:rsidRPr="00483F7D" w:rsidRDefault="00CC55E1" w:rsidP="00B62B15">
      <w:pPr>
        <w:pStyle w:val="NumPar1"/>
      </w:pPr>
      <w:r w:rsidRPr="00483F7D">
        <w:t>Για τους σκοπούς που αναφέρονται στις παραγράφους 1 έως 3, η Επιτροπή μπορεί να συλλέγει, να επεξεργάζεται και να αναλύει δεδομένα που είναι διαθέσιμα στον τελωνειακό κόμβο δεδομένων της ΕΕ και από άλλες πηγές, μεταξύ άλλων και από άλλες αρχές πλην των τελωνειακών αρχών.</w:t>
      </w:r>
    </w:p>
    <w:p w14:paraId="78DFC7D1" w14:textId="77777777" w:rsidR="00E0244C" w:rsidRPr="00483F7D" w:rsidRDefault="007A1FD7" w:rsidP="00B62B15">
      <w:pPr>
        <w:pStyle w:val="NumPar1"/>
      </w:pPr>
      <w:r w:rsidRPr="00483F7D">
        <w:t>Η Τελωνειακή Αρχή της ΕΕ εκτελεί δραστηριότητες διαχείρισης κινδύνων σε ενωσιακό επίπεδο με βάση τις κατευθύνσεις τελωνειακής πολιτικής που αναφέρονται στην παράγραφο 3 στοιχείο α) και τις προτεραιότητες που αναφέρονται στην παράγραφο 2. Η Τελωνειακή Αρχή της ΕΕ:</w:t>
      </w:r>
    </w:p>
    <w:p w14:paraId="3C01921D" w14:textId="1C15E244" w:rsidR="00782BE5" w:rsidRPr="00483F7D" w:rsidRDefault="00BC60FC" w:rsidP="00BC60FC">
      <w:pPr>
        <w:pStyle w:val="Point1"/>
      </w:pPr>
      <w:r w:rsidRPr="00483F7D">
        <w:t>α)</w:t>
      </w:r>
      <w:r w:rsidRPr="00483F7D">
        <w:tab/>
      </w:r>
      <w:r w:rsidR="007A1FD7" w:rsidRPr="00483F7D">
        <w:t>συλλέγει, επεξεργάζεται και αναλύει δεδομένα που είναι διαθέσιμα στον τελωνειακό κόμβο δεδομένων της ΕΕ και από άλλες πηγές, μεταξύ άλλων και από άλλες αρχές πλην των τελωνειακών αρχών·</w:t>
      </w:r>
    </w:p>
    <w:p w14:paraId="234F3FAC" w14:textId="14F72C1F" w:rsidR="00782BE5" w:rsidRPr="00483F7D" w:rsidRDefault="00BC60FC" w:rsidP="00BC60FC">
      <w:pPr>
        <w:pStyle w:val="Point1"/>
      </w:pPr>
      <w:r w:rsidRPr="00483F7D">
        <w:t>β)</w:t>
      </w:r>
      <w:r w:rsidRPr="00483F7D">
        <w:tab/>
      </w:r>
      <w:r w:rsidR="007A1FD7" w:rsidRPr="00483F7D">
        <w:tab/>
        <w:t>επικουρεί την Επιτροπή στον καθορισμό κοινών τομέων ελέγχου προτεραιότητας και κοινών κριτηρίων και προτύπων κινδύνου, με βάση τις επιχειρησιακές γνώσεις και την τεχνική εμπειρογνωσία στη διαχείριση κινδύνων·</w:t>
      </w:r>
    </w:p>
    <w:p w14:paraId="324A7ADC" w14:textId="2BDCF510" w:rsidR="00782BE5" w:rsidRPr="00483F7D" w:rsidRDefault="00BC60FC" w:rsidP="00BC60FC">
      <w:pPr>
        <w:pStyle w:val="Point1"/>
      </w:pPr>
      <w:r w:rsidRPr="00483F7D">
        <w:t>γ)</w:t>
      </w:r>
      <w:r w:rsidRPr="00483F7D">
        <w:tab/>
      </w:r>
      <w:r w:rsidR="00C41516" w:rsidRPr="00483F7D">
        <w:t>όταν ζητείται σύμφωνα με την παράγραφο 3, καταρτίζει στρατηγικές επιτήρησης, κατά περίπτωση σε συνεργασία με άλλες αρχές πλην των τελωνείων, και διενεργεί αξιολογήσεις απειλών·</w:t>
      </w:r>
    </w:p>
    <w:p w14:paraId="6E58076F" w14:textId="3A778E62" w:rsidR="00782BE5" w:rsidRPr="00483F7D" w:rsidRDefault="00BC60FC" w:rsidP="00BC60FC">
      <w:pPr>
        <w:pStyle w:val="Point1"/>
      </w:pPr>
      <w:r w:rsidRPr="00483F7D">
        <w:t>δ)</w:t>
      </w:r>
      <w:r w:rsidRPr="00483F7D">
        <w:tab/>
      </w:r>
      <w:r w:rsidR="007A1FD7" w:rsidRPr="00483F7D">
        <w:t xml:space="preserve">ανταλλάσσει σχετικά δεδομένα με τις τελωνειακές αρχές και με άλλες αρχές για τους σκοπούς του παρόντος τίτλου, αν είναι δυνατό μέσω του τελωνειακού κόμβου δεδομένων της ΕΕ, σύμφωνα με το άρθρο </w:t>
      </w:r>
      <w:hyperlink w:anchor="__akn_article_6JEom5" w:tooltip="Article 53: 53">
        <w:r w:rsidR="007A1FD7" w:rsidRPr="00483F7D">
          <w:rPr>
            <w:rStyle w:val="Hyperlink"/>
          </w:rPr>
          <w:t>53</w:t>
        </w:r>
      </w:hyperlink>
      <w:r w:rsidR="007A1FD7" w:rsidRPr="00483F7D">
        <w:t>·</w:t>
      </w:r>
    </w:p>
    <w:p w14:paraId="42223266" w14:textId="3683FC1A" w:rsidR="00782BE5" w:rsidRPr="00483F7D" w:rsidRDefault="00BC60FC" w:rsidP="00BC60FC">
      <w:pPr>
        <w:pStyle w:val="Point1"/>
      </w:pPr>
      <w:r w:rsidRPr="00483F7D">
        <w:t>ε)</w:t>
      </w:r>
      <w:r w:rsidRPr="00483F7D">
        <w:tab/>
      </w:r>
      <w:r w:rsidR="007A1FD7" w:rsidRPr="00483F7D">
        <w:t>αναπτύσσει και εφαρμόζει κοινή ανάλυση κινδύνου για την παραγωγή σημάτων κινδύνου, αποτελεσμάτων ανάλυσης κινδύνου και, κατά περίπτωση, εκδίδει συστάσεις ελέγχου και άλλα κατάλληλα μέτρα μετριασμού προς τις τελωνειακές αρχές, μεταξύ άλλων για την εφαρμογή των κοινών τομέων ελέγχου προτεραιότητας και των κοινών κριτηρίων και προτύπων κινδύνου που θεσπίζει η Επιτροπή και για την αντιμετώπιση καταστάσεων κρίσης·</w:t>
      </w:r>
    </w:p>
    <w:p w14:paraId="34F43D4F" w14:textId="615E56F6" w:rsidR="00E0244C" w:rsidRPr="00483F7D" w:rsidRDefault="00BC60FC" w:rsidP="00BC60FC">
      <w:pPr>
        <w:pStyle w:val="Point1"/>
      </w:pPr>
      <w:r w:rsidRPr="00483F7D">
        <w:t>στ)</w:t>
      </w:r>
      <w:r w:rsidRPr="00483F7D">
        <w:tab/>
      </w:r>
      <w:r w:rsidR="007A1FD7" w:rsidRPr="00483F7D">
        <w:t>ενημερώνει την OLAF όταν εντοπίζει ή υποπτεύεται περιπτώσεις απάτης και της παρέχει όλες τις αναγκαίες πληροφορίες σχετικά με τις περιπτώσεις αυτές.</w:t>
      </w:r>
    </w:p>
    <w:p w14:paraId="18E0D9C4" w14:textId="77777777" w:rsidR="00E0244C" w:rsidRPr="00483F7D" w:rsidRDefault="007A1FD7" w:rsidP="00B62B15">
      <w:pPr>
        <w:pStyle w:val="NumPar1"/>
      </w:pPr>
      <w:r w:rsidRPr="00483F7D">
        <w:t>Οι τελωνειακές αρχές, χρησιμοποιώντας δεδομένα που είναι διαθέσιμα στον τελωνειακό κόμβο δεδομένων της ΕΕ και από άλλες πηγές:</w:t>
      </w:r>
    </w:p>
    <w:p w14:paraId="050EF46C" w14:textId="12F2DE58" w:rsidR="00782BE5" w:rsidRPr="00483F7D" w:rsidRDefault="00BC60FC" w:rsidP="00BC60FC">
      <w:pPr>
        <w:pStyle w:val="Point1"/>
      </w:pPr>
      <w:r w:rsidRPr="00483F7D">
        <w:t>α)</w:t>
      </w:r>
      <w:r w:rsidRPr="00483F7D">
        <w:tab/>
      </w:r>
      <w:r w:rsidR="00C41516" w:rsidRPr="00483F7D">
        <w:t>συλλέγουν, επεξεργάζονται και αναλύουν δεδομένα που είναι διαθέσιμα στον τελωνειακό κόμβο δεδομένων της ΕΕ και από άλλες πηγές, μεταξύ άλλων και από άλλες αρχές πλην των τελωνειακών αρχών·</w:t>
      </w:r>
    </w:p>
    <w:p w14:paraId="29C379E6" w14:textId="3F052B4E" w:rsidR="00782BE5" w:rsidRPr="00483F7D" w:rsidRDefault="00BC60FC" w:rsidP="00BC60FC">
      <w:pPr>
        <w:pStyle w:val="Point1"/>
      </w:pPr>
      <w:r w:rsidRPr="00483F7D">
        <w:t>β)</w:t>
      </w:r>
      <w:r w:rsidRPr="00483F7D">
        <w:tab/>
      </w:r>
      <w:r w:rsidR="00C41516" w:rsidRPr="00483F7D">
        <w:t>εκτελούν εθνικές δραστηριότητες διαχείρισης κινδύνων, συμπεριλαμβανομένης της ανάλυσης κινδύνου, της συνεργασίας και της ανταλλαγής πληροφοριών σχετικά με τη διαχείριση κινδύνων με τις αρμόδιες εθνικές αρχές, και λαμβάνουν μέτρα μετριασμού·</w:t>
      </w:r>
    </w:p>
    <w:p w14:paraId="4B283BE7" w14:textId="7ED92524" w:rsidR="00782BE5" w:rsidRPr="00483F7D" w:rsidRDefault="00BC60FC" w:rsidP="00BC60FC">
      <w:pPr>
        <w:pStyle w:val="Point1"/>
      </w:pPr>
      <w:r w:rsidRPr="00483F7D">
        <w:t>γ)</w:t>
      </w:r>
      <w:r w:rsidRPr="00483F7D">
        <w:tab/>
      </w:r>
      <w:r w:rsidR="007A1FD7" w:rsidRPr="00483F7D">
        <w:t>εφαρμόζουν τις εθνικές διαδικασίες που είναι αναγκαίες για την εφαρμογή κοινών κριτηρίων και προτύπων κινδύνου και κοινών τομέων ελέγχου προτεραιότητας·</w:t>
      </w:r>
    </w:p>
    <w:p w14:paraId="618EF478" w14:textId="04785284" w:rsidR="00782BE5" w:rsidRPr="00483F7D" w:rsidRDefault="00BC60FC" w:rsidP="00BC60FC">
      <w:pPr>
        <w:pStyle w:val="Point1"/>
      </w:pPr>
      <w:r w:rsidRPr="00483F7D">
        <w:t>δ)</w:t>
      </w:r>
      <w:r w:rsidRPr="00483F7D">
        <w:tab/>
      </w:r>
      <w:r w:rsidR="007A1FD7" w:rsidRPr="00483F7D">
        <w:t>εφαρμόζουν τα σήματα κινδύνου, τα αποτελέσματα της ανάλυσης κινδύνου και τις συστάσεις ελέγχου που παράγονται από την Τελωνειακή Αρχή της ΕΕ·</w:t>
      </w:r>
    </w:p>
    <w:p w14:paraId="44457A7B" w14:textId="795C7B68" w:rsidR="00782BE5" w:rsidRPr="00483F7D" w:rsidRDefault="00BC60FC" w:rsidP="00BC60FC">
      <w:pPr>
        <w:pStyle w:val="Point1"/>
      </w:pPr>
      <w:r w:rsidRPr="00483F7D">
        <w:t>ε)</w:t>
      </w:r>
      <w:r w:rsidRPr="00483F7D">
        <w:tab/>
      </w:r>
      <w:r w:rsidR="007A1FD7" w:rsidRPr="00483F7D">
        <w:t>εκδίδουν συστάσεις ελέγχου και υποδεικνύουν άλλα κατάλληλα μέτρα μετριασμού στις τελωνειακές αρχές άλλων κρατών μελών·</w:t>
      </w:r>
    </w:p>
    <w:p w14:paraId="3878A730" w14:textId="4BFDA341" w:rsidR="00782BE5" w:rsidRPr="00483F7D" w:rsidRDefault="00BC60FC" w:rsidP="00BC60FC">
      <w:pPr>
        <w:pStyle w:val="Point1"/>
      </w:pPr>
      <w:r w:rsidRPr="00483F7D">
        <w:t>στ)</w:t>
      </w:r>
      <w:r w:rsidRPr="00483F7D">
        <w:tab/>
      </w:r>
      <w:r w:rsidR="007A1FD7" w:rsidRPr="00483F7D">
        <w:t>λαμβάνουν αποφάσεις ελέγχου·</w:t>
      </w:r>
    </w:p>
    <w:p w14:paraId="07B2A280" w14:textId="420F60F3" w:rsidR="00782BE5" w:rsidRPr="00483F7D" w:rsidRDefault="00BC60FC" w:rsidP="00BC60FC">
      <w:pPr>
        <w:pStyle w:val="Point1"/>
      </w:pPr>
      <w:r w:rsidRPr="00483F7D">
        <w:t>ζ)</w:t>
      </w:r>
      <w:r w:rsidRPr="00483F7D">
        <w:tab/>
      </w:r>
      <w:r w:rsidR="007A1FD7" w:rsidRPr="00483F7D">
        <w:t>διενεργούν ελέγχους σύμφωνα με το κεφάλαιο 2 του παρόντος τίτλου και με τυχόν εφαρμοστέα κοινά κριτήρια και πρότυπα κινδύνου·</w:t>
      </w:r>
    </w:p>
    <w:p w14:paraId="6B10B59B" w14:textId="424D3BA6" w:rsidR="00E0244C" w:rsidRPr="00483F7D" w:rsidRDefault="00BC60FC" w:rsidP="00BC60FC">
      <w:pPr>
        <w:pStyle w:val="Point1"/>
      </w:pPr>
      <w:r w:rsidRPr="00483F7D">
        <w:t>η)</w:t>
      </w:r>
      <w:r w:rsidRPr="00483F7D">
        <w:tab/>
      </w:r>
      <w:r w:rsidR="007A1FD7" w:rsidRPr="00483F7D">
        <w:t>παρέχουν αιτιολόγηση στην Τελωνειακή Αρχή της ΕΕ σε περίπτωση που δεν έχει εκτελεστεί σύσταση ελέγχου.</w:t>
      </w:r>
    </w:p>
    <w:p w14:paraId="7B13E27B" w14:textId="77777777" w:rsidR="00222342" w:rsidRPr="00483F7D" w:rsidRDefault="007A1FD7" w:rsidP="00B62B15">
      <w:pPr>
        <w:pStyle w:val="NumPar1"/>
      </w:pPr>
      <w:r w:rsidRPr="00483F7D">
        <w:t>Η Τελωνειακή Αρχή της ΕΕ ενημερώνει την Επιτροπή σχετικά με τις δραστηριότητές της για τη διαχείριση κινδύνων και τα αποτελέσματά τους σε τριμηνιαία βάση και, όταν είναι αναγκαίο ή ζητηθεί από την Επιτροπή, σε ad hoc βάση. Παρέχει όλες τις αναγκαίες πληροφορίες στην Επιτροπή για τον σκοπό αυτό.</w:t>
      </w:r>
    </w:p>
    <w:p w14:paraId="44E48D88" w14:textId="77777777" w:rsidR="00E0244C" w:rsidRPr="00483F7D" w:rsidRDefault="007A1FD7" w:rsidP="00B62B15">
      <w:pPr>
        <w:pStyle w:val="NumPar1"/>
      </w:pPr>
      <w:r w:rsidRPr="00483F7D">
        <w:t>Έως την ημερομηνία που ορίζεται στο άρθρο 265 παράγραφος 1, η Επιτροπή μπορεί να εκτελεί τα καθήκοντα διαχείρισης κινδύνων της Τελωνειακής Αρχής της ΕΕ που αναφέρονται στο παρόν άρθρο.</w:t>
      </w:r>
    </w:p>
    <w:p w14:paraId="0F167632" w14:textId="77777777" w:rsidR="00E0244C" w:rsidRPr="00483F7D" w:rsidRDefault="007A1FD7">
      <w:pPr>
        <w:pStyle w:val="Titrearticle"/>
      </w:pPr>
      <w:bookmarkStart w:id="71" w:name="__akn_article_VmtgwG"/>
      <w:bookmarkEnd w:id="71"/>
      <w:r w:rsidRPr="00483F7D">
        <w:t>Άρθρο 52</w:t>
      </w:r>
    </w:p>
    <w:p w14:paraId="6BC12332" w14:textId="77777777" w:rsidR="00E0244C" w:rsidRPr="00483F7D" w:rsidRDefault="007A1FD7">
      <w:pPr>
        <w:pStyle w:val="NormalCentered"/>
      </w:pPr>
      <w:r w:rsidRPr="00483F7D">
        <w:rPr>
          <w:b/>
        </w:rPr>
        <w:t>Κοινά κριτήρια και πρότυπα κινδύνου</w:t>
      </w:r>
    </w:p>
    <w:p w14:paraId="6B70167E" w14:textId="77777777" w:rsidR="00E0244C" w:rsidRPr="00483F7D" w:rsidRDefault="007A1FD7">
      <w:pPr>
        <w:pStyle w:val="ManualNumPar10"/>
      </w:pPr>
      <w:r w:rsidRPr="00483F7D">
        <w:t>1.</w:t>
      </w:r>
      <w:r w:rsidRPr="00483F7D">
        <w:tab/>
        <w:t>Τα κοινά κριτήρια και πρότυπα κινδύνου περιλαμβάνουν όλα τα ακόλουθα:</w:t>
      </w:r>
    </w:p>
    <w:p w14:paraId="461BDE2D" w14:textId="6469AA68" w:rsidR="00782BE5" w:rsidRPr="00483F7D" w:rsidRDefault="00BC60FC" w:rsidP="00BC60FC">
      <w:pPr>
        <w:pStyle w:val="Point1"/>
      </w:pPr>
      <w:r w:rsidRPr="00483F7D">
        <w:t>α)</w:t>
      </w:r>
      <w:r w:rsidRPr="00483F7D">
        <w:tab/>
      </w:r>
      <w:r w:rsidR="007A1FD7" w:rsidRPr="00483F7D">
        <w:t>περιγραφή των κινδύνων·</w:t>
      </w:r>
    </w:p>
    <w:p w14:paraId="36274EAC" w14:textId="0106EE96" w:rsidR="00782BE5" w:rsidRPr="00483F7D" w:rsidRDefault="00BC60FC" w:rsidP="00BC60FC">
      <w:pPr>
        <w:pStyle w:val="Point1"/>
      </w:pPr>
      <w:r w:rsidRPr="00483F7D">
        <w:t>β)</w:t>
      </w:r>
      <w:r w:rsidRPr="00483F7D">
        <w:tab/>
      </w:r>
      <w:r w:rsidR="007A1FD7" w:rsidRPr="00483F7D">
        <w:t>τους παράγοντες ή τους δείκτες κινδύνου που πρέπει να χρησιμοποιούνται για την επιλογή εμπορευμάτων ή οικονομικών φορέων για τελωνειακούς ελέγχους·</w:t>
      </w:r>
    </w:p>
    <w:p w14:paraId="1D01ECA9" w14:textId="05A27A0F" w:rsidR="00782BE5" w:rsidRPr="00483F7D" w:rsidRDefault="00BC60FC" w:rsidP="00BC60FC">
      <w:pPr>
        <w:pStyle w:val="Point1"/>
      </w:pPr>
      <w:r w:rsidRPr="00483F7D">
        <w:t>γ)</w:t>
      </w:r>
      <w:r w:rsidRPr="00483F7D">
        <w:tab/>
      </w:r>
      <w:r w:rsidR="007A1FD7" w:rsidRPr="00483F7D">
        <w:t>τη φύση των τελωνειακών ελέγχων στους οποίους πρέπει να προβούν οι τελωνειακές αρχές·</w:t>
      </w:r>
    </w:p>
    <w:p w14:paraId="6DE0D081" w14:textId="42B265E3" w:rsidR="00782BE5" w:rsidRPr="00483F7D" w:rsidRDefault="00BC60FC" w:rsidP="00BC60FC">
      <w:pPr>
        <w:pStyle w:val="Point1"/>
      </w:pPr>
      <w:r w:rsidRPr="00483F7D">
        <w:t>δ)</w:t>
      </w:r>
      <w:r w:rsidRPr="00483F7D">
        <w:tab/>
      </w:r>
      <w:r w:rsidR="007A1FD7" w:rsidRPr="00483F7D">
        <w:t>την εφαρμογή των μέτρων ανάλυσης και μετριασμού του κινδύνου στην εφοδιαστική αλυσίδα, συμπεριλαμβανομένων των αιτημάτων για πληροφορίες ή ανάληψη δράσης και οδηγιών για μη φόρτωση ή μεταφορά·</w:t>
      </w:r>
    </w:p>
    <w:p w14:paraId="64ABDF25" w14:textId="75BE5F33" w:rsidR="00E0244C" w:rsidRPr="00483F7D" w:rsidRDefault="00BC60FC" w:rsidP="00BC60FC">
      <w:pPr>
        <w:pStyle w:val="Point1"/>
      </w:pPr>
      <w:r w:rsidRPr="00483F7D">
        <w:t>ε)</w:t>
      </w:r>
      <w:r w:rsidRPr="00483F7D">
        <w:tab/>
      </w:r>
      <w:r w:rsidR="007A1FD7" w:rsidRPr="00483F7D">
        <w:t>τη διάρκεια εφαρμογής των τελωνειακών ελέγχων που αναφέρονται στο στοιχείο γ).</w:t>
      </w:r>
    </w:p>
    <w:p w14:paraId="309C7911" w14:textId="77777777" w:rsidR="00E0244C" w:rsidRPr="00483F7D" w:rsidRDefault="007A1FD7">
      <w:pPr>
        <w:pStyle w:val="ManualNumPar10"/>
      </w:pPr>
      <w:r w:rsidRPr="00483F7D">
        <w:t>2.</w:t>
      </w:r>
      <w:r w:rsidRPr="00483F7D">
        <w:tab/>
        <w:t>Κατά τον προσδιορισμό κοινών κριτηρίων και προτύπων κινδύνου, λαμβάνονται υπόψη όλα τα ακόλουθα:</w:t>
      </w:r>
    </w:p>
    <w:p w14:paraId="7DDD46DB" w14:textId="6B0627A2" w:rsidR="00782BE5" w:rsidRPr="00483F7D" w:rsidRDefault="00BC60FC" w:rsidP="00BC60FC">
      <w:pPr>
        <w:pStyle w:val="Point1"/>
      </w:pPr>
      <w:r w:rsidRPr="00483F7D">
        <w:t>α)</w:t>
      </w:r>
      <w:r w:rsidRPr="00483F7D">
        <w:tab/>
      </w:r>
      <w:r w:rsidR="007A1FD7" w:rsidRPr="00483F7D">
        <w:t>η αναλογικότητα προς τον κίνδυνο·</w:t>
      </w:r>
    </w:p>
    <w:p w14:paraId="2CF43CEA" w14:textId="22292507" w:rsidR="00782BE5" w:rsidRPr="00483F7D" w:rsidRDefault="00BC60FC" w:rsidP="00BC60FC">
      <w:pPr>
        <w:pStyle w:val="Point1"/>
      </w:pPr>
      <w:r w:rsidRPr="00483F7D">
        <w:t>β)</w:t>
      </w:r>
      <w:r w:rsidRPr="00483F7D">
        <w:tab/>
      </w:r>
      <w:r w:rsidR="007A1FD7" w:rsidRPr="00483F7D">
        <w:t>ο επείγων χαρακτήρας της αναγκαίας εφαρμογής των ελέγχων·</w:t>
      </w:r>
    </w:p>
    <w:p w14:paraId="30D1B281" w14:textId="29585B7C" w:rsidR="00E0244C" w:rsidRPr="00483F7D" w:rsidRDefault="00BC60FC" w:rsidP="00BC60FC">
      <w:pPr>
        <w:pStyle w:val="Point1"/>
      </w:pPr>
      <w:r w:rsidRPr="00483F7D">
        <w:t>γ)</w:t>
      </w:r>
      <w:r w:rsidRPr="00483F7D">
        <w:tab/>
      </w:r>
      <w:r w:rsidR="007A1FD7" w:rsidRPr="00483F7D">
        <w:t>οι εύλογα αναμενόμενες επιπτώσεις στη ροή του εμπορίου, στους ελεγκτικούς πόρους των επιμέρους κρατών μελών.</w:t>
      </w:r>
    </w:p>
    <w:p w14:paraId="77B9BC00" w14:textId="77777777" w:rsidR="00E0244C" w:rsidRPr="00483F7D" w:rsidRDefault="007A1FD7">
      <w:pPr>
        <w:pStyle w:val="Titrearticle"/>
      </w:pPr>
      <w:bookmarkStart w:id="72" w:name="__akn_article_6JEom5"/>
      <w:bookmarkEnd w:id="72"/>
      <w:r w:rsidRPr="00483F7D">
        <w:t>Άρθρο 53</w:t>
      </w:r>
    </w:p>
    <w:p w14:paraId="2B6E5499" w14:textId="77777777" w:rsidR="00E0244C" w:rsidRPr="00483F7D" w:rsidRDefault="007A1FD7">
      <w:pPr>
        <w:pStyle w:val="NormalCentered"/>
      </w:pPr>
      <w:r w:rsidRPr="00483F7D">
        <w:rPr>
          <w:b/>
        </w:rPr>
        <w:t>Πληροφορίες σχετικές με τη διαχείριση κινδύνων και τους ελέγχους</w:t>
      </w:r>
    </w:p>
    <w:p w14:paraId="42B02A27" w14:textId="77777777" w:rsidR="00E0244C" w:rsidRPr="00483F7D" w:rsidRDefault="007A1FD7">
      <w:pPr>
        <w:pStyle w:val="ManualNumPar10"/>
      </w:pPr>
      <w:r w:rsidRPr="00483F7D">
        <w:t>1.</w:t>
      </w:r>
      <w:r w:rsidRPr="00483F7D">
        <w:tab/>
        <w:t>Όλες οι πληροφορίες κινδύνου, τα σήματα, τα αποτελέσματα της ανάλυσης κινδύνου, οι συστάσεις ελέγχου, οι αποφάσεις ελέγχου και τα αποτελέσματα ελέγχου, καταγράφονται στην επιχειρησιακή διαδικασία με την οποία σχετίζονται και στον τελωνειακό κόμβο δεδομένων της ΕΕ, ανεξάρτητα από το αν βασίζονταν σε εθνική ή κοινή ανάλυση κινδύνου ή αν βασίζονταν σε τυχαία επιλογή.  Οι τελωνειακές αρχές ανταλλάσσουν πληροφορίες σχετικά με τους κινδύνους μεταξύ τους, με την Τελωνειακή Αρχή της ΕΕ και με την Επιτροπή.</w:t>
      </w:r>
    </w:p>
    <w:p w14:paraId="7B4DF953" w14:textId="77777777" w:rsidR="00E0244C" w:rsidRPr="00483F7D" w:rsidRDefault="007A1FD7">
      <w:pPr>
        <w:pStyle w:val="ManualNumPar10"/>
      </w:pPr>
      <w:r w:rsidRPr="00483F7D">
        <w:t>2.</w:t>
      </w:r>
      <w:r w:rsidRPr="00483F7D">
        <w:tab/>
        <w:t xml:space="preserve">Οι τελωνειακές αρχές, η Τελωνειακή Αρχή της ΕΕ και η Επιτροπή έχουν το δικαίωμα να επεξεργάζονται τα στοιχεία που αναφέρονται στην παράγραφο 1 του παρόντος άρθρου σύμφωνα με τους ρόλους και τις αρμοδιότητές τους που αναφέρονται στα άρθρα </w:t>
      </w:r>
      <w:hyperlink w:anchor="__akn_article_rTTLtF" w:tooltip="Article 51: 51">
        <w:r w:rsidRPr="00483F7D">
          <w:rPr>
            <w:rStyle w:val="Hyperlink"/>
          </w:rPr>
          <w:t>51</w:t>
        </w:r>
      </w:hyperlink>
      <w:r w:rsidRPr="00483F7D">
        <w:t xml:space="preserve"> και </w:t>
      </w:r>
      <w:hyperlink w:anchor="__akn_article_mQlyVA" w:tooltip="Article 54: 54">
        <w:r w:rsidRPr="00483F7D">
          <w:rPr>
            <w:rStyle w:val="Hyperlink"/>
          </w:rPr>
          <w:t>54</w:t>
        </w:r>
      </w:hyperlink>
      <w:r w:rsidRPr="00483F7D">
        <w:t>.</w:t>
      </w:r>
    </w:p>
    <w:p w14:paraId="7962D937" w14:textId="77777777" w:rsidR="00E0244C" w:rsidRPr="00483F7D" w:rsidRDefault="007A1FD7">
      <w:pPr>
        <w:pStyle w:val="ManualNumPar10"/>
      </w:pPr>
      <w:r w:rsidRPr="00483F7D">
        <w:t>3.</w:t>
      </w:r>
      <w:r w:rsidRPr="00483F7D">
        <w:tab/>
        <w:t>Η Τελωνειακή Αρχή της ΕΕ χρησιμοποιεί τον τελωνειακό κόμβο δεδομένων της ΕΕ, όπου είναι δυνατό, για να συλλέγει ή να διαλειτουργεί με οποιεσδήποτε άλλες πηγές δεδομένων, εγγράφων ή πληροφοριών που προσδιορίζονται ως σχετικές για τη διαχείριση κινδύνων από την Τελωνειακή Αρχή της ΕΕ, από την Επιτροπή ή από τελωνειακή αρχή.</w:t>
      </w:r>
    </w:p>
    <w:p w14:paraId="6033FAC1" w14:textId="77777777" w:rsidR="00E0244C" w:rsidRPr="00483F7D" w:rsidRDefault="007A1FD7">
      <w:pPr>
        <w:pStyle w:val="ManualNumPar10"/>
      </w:pPr>
      <w:r w:rsidRPr="00483F7D">
        <w:t>4.</w:t>
      </w:r>
      <w:r w:rsidRPr="00483F7D">
        <w:tab/>
        <w:t>Έως την ημερομηνία που ορίζεται στο άρθρο 265 παράγραφος 1, η Επιτροπή εκτελεί τα καθήκοντα της Τελωνειακής Αρχής της ΕΕ που αναφέρονται στο παρόν άρθρο.</w:t>
      </w:r>
    </w:p>
    <w:p w14:paraId="4527ADFB" w14:textId="77777777" w:rsidR="00E0244C" w:rsidRPr="00483F7D" w:rsidRDefault="007A1FD7">
      <w:pPr>
        <w:pStyle w:val="Titrearticle"/>
      </w:pPr>
      <w:bookmarkStart w:id="73" w:name="__akn_article_mQlyVA"/>
      <w:bookmarkEnd w:id="73"/>
      <w:r w:rsidRPr="00483F7D">
        <w:t>Άρθρο 54</w:t>
      </w:r>
    </w:p>
    <w:p w14:paraId="1E4A574B" w14:textId="77777777" w:rsidR="00E0244C" w:rsidRPr="00483F7D" w:rsidRDefault="007A1FD7">
      <w:pPr>
        <w:pStyle w:val="NormalCentered"/>
      </w:pPr>
      <w:r w:rsidRPr="00483F7D">
        <w:rPr>
          <w:b/>
        </w:rPr>
        <w:t>Αξιολόγηση της διαχείρισης τελωνειακών κινδύνων</w:t>
      </w:r>
    </w:p>
    <w:p w14:paraId="25039B4F" w14:textId="77777777" w:rsidR="00E0244C" w:rsidRPr="00483F7D" w:rsidRDefault="007A1FD7">
      <w:pPr>
        <w:pStyle w:val="ManualNumPar10"/>
      </w:pPr>
      <w:r w:rsidRPr="00483F7D">
        <w:t>1.</w:t>
      </w:r>
      <w:r w:rsidRPr="00483F7D">
        <w:tab/>
        <w:t>Η Επιτροπή, σε συνεργασία με την Τελωνειακή Αρχή της ΕΕ και τις τελωνειακές αρχές, αξιολογεί την εφαρμογή της διαχείρισης κινδύνων ώστε να βελτιώνει συνεχώς την επιχειρησιακή και στρατηγική αποτελεσματικότητα και αποδοτικότητά της τουλάχιστον μία φορά κάθε 2 έτη· η Επιτροπή μπορεί επιπλέον να οργανώνει δραστηριότητες αξιολόγησης που θα διεξάγονται όπου κρίνει αναγκαίο και σε συνεχή βάση.</w:t>
      </w:r>
    </w:p>
    <w:p w14:paraId="1669EEFB" w14:textId="77777777" w:rsidR="00E0244C" w:rsidRPr="00483F7D" w:rsidRDefault="007A1FD7">
      <w:pPr>
        <w:pStyle w:val="ManualNumPar10"/>
      </w:pPr>
      <w:r w:rsidRPr="00483F7D">
        <w:t>2.</w:t>
      </w:r>
      <w:r w:rsidRPr="00483F7D">
        <w:tab/>
        <w:t>Για τον σκοπό αυτόν, η Τελωνειακή Αρχή της ΕΕ συλλέγει και αναλύει σχετικές πληροφορίες και εκτελεί όλες τις αναγκαίες δραστηριότητες. Η Τελωνειακή Αρχή της ΕΕ μπορεί να ζητεί περιοδικές ή ad-hoc εκθέσεις από ένα ή περισσότερα κράτη μέλη στο πλαίσιο αυτό.</w:t>
      </w:r>
    </w:p>
    <w:p w14:paraId="7901DF62" w14:textId="77777777" w:rsidR="00E0244C" w:rsidRPr="00483F7D" w:rsidRDefault="007A1FD7">
      <w:pPr>
        <w:pStyle w:val="ManualNumPar10"/>
      </w:pPr>
      <w:r w:rsidRPr="00483F7D">
        <w:t>3.</w:t>
      </w:r>
      <w:r w:rsidRPr="00483F7D">
        <w:tab/>
        <w:t>Για τον σκοπό αυτόν, και για την εκπλήρωση του ρόλου και των αρμοδιοτήτων της βάσει του παρόντος τίτλου, η Επιτροπή μπορεί να επεξεργάζεται κάθε σχετική πληροφορία που διατίθεται μέσω του τελωνειακού κόμβου δεδομένων της ΕΕ και να ζητεί περαιτέρω πληροφορίες από την Τελωνειακή Αρχή της ΕΕ και από τις εθνικές αρχές.</w:t>
      </w:r>
    </w:p>
    <w:p w14:paraId="57E3A863" w14:textId="77777777" w:rsidR="00E0244C" w:rsidRPr="00483F7D" w:rsidRDefault="007A1FD7">
      <w:pPr>
        <w:pStyle w:val="ManualNumPar10"/>
      </w:pPr>
      <w:r w:rsidRPr="00483F7D">
        <w:t>4.</w:t>
      </w:r>
      <w:r w:rsidRPr="00483F7D">
        <w:tab/>
        <w:t>Κατά τον προσδιορισμό κοινών κριτηρίων κινδύνου και κοινών τομέων ελέγχου προτεραιότητας, η Επιτροπή λαμβάνει υπόψη, κατά περίπτωση, τις αξιολογήσεις που διενεργούνται δυνάμει του παρόντος άρθρου.</w:t>
      </w:r>
    </w:p>
    <w:p w14:paraId="53BFCC7C" w14:textId="77777777" w:rsidR="00E0244C" w:rsidRPr="00483F7D" w:rsidRDefault="007A1FD7">
      <w:pPr>
        <w:pStyle w:val="Titrearticle"/>
      </w:pPr>
      <w:r w:rsidRPr="00483F7D">
        <w:t>Άρθρο 55</w:t>
      </w:r>
    </w:p>
    <w:p w14:paraId="001487D1" w14:textId="77777777" w:rsidR="00E0244C" w:rsidRPr="00483F7D" w:rsidRDefault="007A1FD7">
      <w:pPr>
        <w:pStyle w:val="NormalCentered"/>
      </w:pPr>
      <w:r w:rsidRPr="00483F7D">
        <w:rPr>
          <w:b/>
        </w:rPr>
        <w:t>Ανάθεση εκτελεστικών αρμοδιοτήτων</w:t>
      </w:r>
    </w:p>
    <w:p w14:paraId="2EAB1D71" w14:textId="77777777" w:rsidR="00E0244C" w:rsidRPr="00483F7D" w:rsidRDefault="001102AF" w:rsidP="00D93D26">
      <w:pPr>
        <w:pStyle w:val="ManualNumPar10"/>
      </w:pPr>
      <w:r w:rsidRPr="00483F7D">
        <w:t>1.</w:t>
      </w:r>
      <w:r w:rsidRPr="00483F7D">
        <w:tab/>
        <w:t>Η Επιτροπή θεσπίζει, με εκτελεστικές πράξεις, μέτρα με σκοπό τη διασφάλιση της εναρμονισμένης εφαρμογής των τελωνειακών ελέγχων και της διαχείρισης κινδύνων, συμπεριλαμβανομένης της ανταλλαγής πληροφοριών, της θέσπισης κοινών κριτηρίων και προτύπων κινδύνου και κοινών τομέων ελέγχου προτεραιότητας που αναφέρονται στον παρόντα τίτλο. Τα μέτρα αυτά αφορούν τουλάχιστον τα ακόλουθα στοιχεία:</w:t>
      </w:r>
    </w:p>
    <w:p w14:paraId="75953A96" w14:textId="31C57A40" w:rsidR="00782BE5" w:rsidRPr="00483F7D" w:rsidRDefault="00BC60FC" w:rsidP="00BC60FC">
      <w:pPr>
        <w:pStyle w:val="Point1"/>
      </w:pPr>
      <w:r w:rsidRPr="00483F7D">
        <w:t>α)</w:t>
      </w:r>
      <w:r w:rsidRPr="00483F7D">
        <w:tab/>
      </w:r>
      <w:r w:rsidR="007A1FD7" w:rsidRPr="00483F7D">
        <w:t>τις πληροφορίες που πρέπει να καταγράφονται στον τελωνειακό κόμβο δεδομένων της ΕΕ σε σχέση με τη διαχείριση κινδύνων και τους ελέγχους, μεταξύ άλλων όσον αφορά τις πληροφορίες σχετικά με τους κινδύνους, τα αποτελέσματα της ανάλυσης κινδύνου, τις συστάσεις ελέγχου, τις αποφάσεις ελέγχου και τα αποτελέσματα ελέγχου, καθώς και τα δικαιώματα πρόσβασης και επεξεργασίας των εν λόγω πληροφοριών·</w:t>
      </w:r>
    </w:p>
    <w:p w14:paraId="78F57F5B" w14:textId="046E6358" w:rsidR="00782BE5" w:rsidRPr="00483F7D" w:rsidRDefault="00BC60FC" w:rsidP="00BC60FC">
      <w:pPr>
        <w:pStyle w:val="Point1"/>
      </w:pPr>
      <w:r w:rsidRPr="00483F7D">
        <w:t>β)</w:t>
      </w:r>
      <w:r w:rsidRPr="00483F7D">
        <w:tab/>
      </w:r>
      <w:r w:rsidR="007A1FD7" w:rsidRPr="00483F7D">
        <w:t>διαδικαστικά μέτρα για τη μεταβατική χρήση ή πρόσβαση σε υφιστάμενα τελωνειακά συστήματα πληροφοριών· διαδικαστικά μέτρα για τη διαχείριση της διαλειτουργικότητας μεταξύ του τελωνειακού κόμβου δεδομένων της ΕΕ και άλλων συστημάτων·</w:t>
      </w:r>
    </w:p>
    <w:p w14:paraId="7D23B16D" w14:textId="539E7A3E" w:rsidR="00782BE5" w:rsidRPr="00483F7D" w:rsidRDefault="00BC60FC" w:rsidP="00BC60FC">
      <w:pPr>
        <w:pStyle w:val="Point1"/>
      </w:pPr>
      <w:r w:rsidRPr="00483F7D">
        <w:t>γ)</w:t>
      </w:r>
      <w:r w:rsidRPr="00483F7D">
        <w:tab/>
      </w:r>
      <w:r w:rsidR="007A1FD7" w:rsidRPr="00483F7D">
        <w:t>διαδικαστικά μέτρα σε σχέση με την εφαρμογή της απαίτησης υποβολής εκθέσεων στο πλαίσιο των εκ των υστέρων ελέγχων και των τυχαίων ελέγχων·</w:t>
      </w:r>
    </w:p>
    <w:p w14:paraId="5D5AAE0A" w14:textId="1F263BFE" w:rsidR="00782BE5" w:rsidRPr="00483F7D" w:rsidRDefault="00BC60FC" w:rsidP="00BC60FC">
      <w:pPr>
        <w:pStyle w:val="Point1"/>
      </w:pPr>
      <w:r w:rsidRPr="00483F7D">
        <w:t>δ)</w:t>
      </w:r>
      <w:r w:rsidRPr="00483F7D">
        <w:tab/>
      </w:r>
      <w:r w:rsidR="007A1FD7" w:rsidRPr="00483F7D">
        <w:t>ρυθμίσεις για τη συνεργασία, συμπεριλαμβανομένης της ανταλλαγής πληροφοριών, μεταξύ της Τελωνειακής Αρχής της ΕΕ και συγκεκριμένων άλλων θεσμικών και λοιπών οργάνων και οργανισμών της Ένωσης, και άλλων εθνικών αρμόδιων αρχών·</w:t>
      </w:r>
    </w:p>
    <w:p w14:paraId="7AD390D1" w14:textId="6866D67D" w:rsidR="00782BE5" w:rsidRPr="00483F7D" w:rsidRDefault="00BC60FC" w:rsidP="00BC60FC">
      <w:pPr>
        <w:pStyle w:val="Point1"/>
      </w:pPr>
      <w:r w:rsidRPr="00483F7D">
        <w:t>ε)</w:t>
      </w:r>
      <w:r w:rsidRPr="00483F7D">
        <w:tab/>
      </w:r>
      <w:r w:rsidR="007A1FD7" w:rsidRPr="00483F7D">
        <w:t>τον προσδιορισμό της αρμόδιας τελωνειακής αρχής στην περίπτωση ειδικών διαδικασιών διαχείρισης κινδύνων, οι οποίες μπορεί να αφορούν περισσότερα του ενός κράτη μέλη·</w:t>
      </w:r>
    </w:p>
    <w:p w14:paraId="2167A44E" w14:textId="60221ADE" w:rsidR="00782BE5" w:rsidRPr="00483F7D" w:rsidRDefault="00BC60FC" w:rsidP="00BC60FC">
      <w:pPr>
        <w:pStyle w:val="Point1"/>
      </w:pPr>
      <w:r w:rsidRPr="00483F7D">
        <w:t>στ)</w:t>
      </w:r>
      <w:r w:rsidRPr="00483F7D">
        <w:tab/>
      </w:r>
      <w:r w:rsidR="007A1FD7" w:rsidRPr="00483F7D">
        <w:t>διαδικαστικές πτυχές των ελέγχων, συμπεριλαμβανομένων των εκ των υστέρων ελέγχων, που αφορούν περισσότερα του ενός κράτη μέλη, και τη διαθεσιμότητα των αποτελεσμάτων των δειγμάτων και άλλων ελέγχων μεταξύ των ενδιαφερόμενων τελωνειακών αρχών·</w:t>
      </w:r>
    </w:p>
    <w:p w14:paraId="2016F9E9" w14:textId="4ABBEAE4" w:rsidR="00782BE5" w:rsidRPr="00483F7D" w:rsidRDefault="00BC60FC" w:rsidP="00BC60FC">
      <w:pPr>
        <w:pStyle w:val="Point1"/>
      </w:pPr>
      <w:r w:rsidRPr="00483F7D">
        <w:t>ζ)</w:t>
      </w:r>
      <w:r w:rsidRPr="00483F7D">
        <w:tab/>
      </w:r>
      <w:r w:rsidR="007A1FD7" w:rsidRPr="00483F7D">
        <w:t>ρυθμίσεις για την κοινοχρησία πληροφοριών σχετικά με τους κινδύνους μεταξύ των τελωνειακών αρχών, της Τελωνειακής Αρχής της ΕΕ και της Επιτροπής·</w:t>
      </w:r>
    </w:p>
    <w:p w14:paraId="2C7E349D" w14:textId="7E19CB39" w:rsidR="00CE6C3E" w:rsidRPr="00483F7D" w:rsidRDefault="00BC60FC" w:rsidP="00BC60FC">
      <w:pPr>
        <w:pStyle w:val="Point1"/>
      </w:pPr>
      <w:r w:rsidRPr="00483F7D">
        <w:t>η)</w:t>
      </w:r>
      <w:r w:rsidRPr="00483F7D">
        <w:tab/>
      </w:r>
      <w:r w:rsidR="00CE6C3E" w:rsidRPr="00483F7D">
        <w:t>κοινούς τομείς ελέγχου προτεραιότητας και κοινά κριτήρια και πρότυπα κινδύνου, όπως αναφέρονται στο άρθρο 51 παράγραφοι 1 και 2 και στο άρθρο 52, συμπεριλαμβανομένων των λεπτομερειών για την επείγουσα εφαρμογή τους, όταν αυτό είναι αναγκαίο.</w:t>
      </w:r>
    </w:p>
    <w:p w14:paraId="00B54421" w14:textId="77777777" w:rsidR="001102AF" w:rsidRPr="00483F7D" w:rsidRDefault="001102AF" w:rsidP="00A3564A">
      <w:pPr>
        <w:pStyle w:val="Text1"/>
      </w:pPr>
      <w:r w:rsidRPr="00483F7D">
        <w:t>Οι εν λόγω εκτελεστικές πράξεις εκδίδονται σύμφωνα με τη διαδικασία εξέτασης που αναφέρεται στο άρθρο 262 παράγραφος 4.</w:t>
      </w:r>
    </w:p>
    <w:p w14:paraId="45035857" w14:textId="77777777" w:rsidR="00E0244C" w:rsidRPr="00483F7D" w:rsidRDefault="001102AF" w:rsidP="001D21F4">
      <w:pPr>
        <w:pStyle w:val="ManualNumPar10"/>
      </w:pPr>
      <w:r w:rsidRPr="00483F7D">
        <w:t>2.</w:t>
      </w:r>
      <w:r w:rsidRPr="00483F7D">
        <w:tab/>
        <w:t xml:space="preserve">Για επιτακτικούς λόγους επείγουσας ανάγκης που σχετίζονται με τα εν λόγω μέτρα, συμπεριλαμβανομένων των λεπτομερειών για την επείγουσα εφαρμογή τους με σκοπό την αποτελεσματική αντιμετώπιση κρίσεων ή περιστατικών που μπορεί να συνιστούν άμεσο κίνδυνο για την ασφάλεια ή την προστασία, και οι οποίοι δικαιολογούνται δεόντως από την ανάγκη ταχείας επικαιροποίησης της κοινής διαχείρισης κινδύνων και προσαρμογής της ανταλλαγής πληροφοριών, των κοινών κριτηρίων και προτύπων κινδύνου, καθώς και των κοινών τομέων ελέγχου προτεραιότητας στην εξέλιξη των κινδύνων, η Επιτροπή εκδίδει άμεσα εφαρμοστέες εκτελεστικές πράξεις σύμφωνα με τη διαδικασία που αναφέρεται στο άρθρο 262 παράγραφος </w:t>
      </w:r>
      <w:hyperlink w:anchor="_bill__akn_article_OheJbS_B2A1Cf" w:tooltip="Article 258(5): (5)">
        <w:r w:rsidRPr="00483F7D">
          <w:rPr>
            <w:rStyle w:val="Hyperlink"/>
          </w:rPr>
          <w:t>5</w:t>
        </w:r>
      </w:hyperlink>
      <w:r w:rsidRPr="00483F7D">
        <w:t>.</w:t>
      </w:r>
    </w:p>
    <w:p w14:paraId="2C60DDD8" w14:textId="77777777" w:rsidR="00E0244C" w:rsidRPr="00483F7D" w:rsidRDefault="00E0244C"/>
    <w:p w14:paraId="1B2B7D6A" w14:textId="77777777" w:rsidR="00E0244C" w:rsidRPr="00483F7D" w:rsidRDefault="007A1FD7">
      <w:pPr>
        <w:pStyle w:val="ChapterTitle"/>
      </w:pPr>
      <w:r w:rsidRPr="00483F7D">
        <w:t xml:space="preserve">Τίτλος V </w:t>
      </w:r>
      <w:r w:rsidRPr="00483F7D">
        <w:br/>
        <w:t>ΥΠΑΓΩΓΗ ΕΜΠΟΡΕΥΜΑΤΩΝ ΣΕ ΤΕΛΩΝΕΙΑΚΟ ΚΑΘΕΣΤΩΣ</w:t>
      </w:r>
    </w:p>
    <w:p w14:paraId="6E770C18" w14:textId="77777777" w:rsidR="00E0244C" w:rsidRPr="00483F7D" w:rsidRDefault="007A1FD7">
      <w:pPr>
        <w:pStyle w:val="ChapterTitle"/>
      </w:pPr>
      <w:r w:rsidRPr="00483F7D">
        <w:t xml:space="preserve">Κεφάλαιο 1 </w:t>
      </w:r>
      <w:r w:rsidRPr="00483F7D">
        <w:br/>
        <w:t>Τελωνειακός χαρακτήρας των εμπορευμάτων</w:t>
      </w:r>
    </w:p>
    <w:p w14:paraId="6817E496" w14:textId="77777777" w:rsidR="00E0244C" w:rsidRPr="00483F7D" w:rsidRDefault="007A1FD7">
      <w:pPr>
        <w:pStyle w:val="Titrearticle"/>
      </w:pPr>
      <w:r w:rsidRPr="00483F7D">
        <w:t>Άρθρο 56</w:t>
      </w:r>
    </w:p>
    <w:p w14:paraId="77A92FAC" w14:textId="77777777" w:rsidR="008A5B23" w:rsidRPr="00483F7D" w:rsidRDefault="008A5B23" w:rsidP="008A5B23">
      <w:pPr>
        <w:pStyle w:val="NormalCentered"/>
      </w:pPr>
      <w:r w:rsidRPr="00483F7D">
        <w:rPr>
          <w:b/>
        </w:rPr>
        <w:t>Τεκμήριο του τελωνειακού χαρακτήρα εμπορευμάτων ως ενωσιακών εμπορευμάτων</w:t>
      </w:r>
    </w:p>
    <w:p w14:paraId="3096C9E1" w14:textId="77777777" w:rsidR="00E0244C" w:rsidRPr="00483F7D" w:rsidRDefault="007A1FD7">
      <w:pPr>
        <w:pStyle w:val="ManualNumPar10"/>
      </w:pPr>
      <w:r w:rsidRPr="00483F7D">
        <w:t>1.</w:t>
      </w:r>
      <w:r w:rsidRPr="00483F7D">
        <w:tab/>
        <w:t>Όλα τα εμπορεύματα στο τελωνειακό έδαφος της Ένωσης τεκμαίρεται ότι έχουν τον τελωνειακό χαρακτήρα ενωσιακών εμπορευμάτων, εκτός αν αποδειχθεί ότι δεν είναι ενωσιακά εμπορεύματα.</w:t>
      </w:r>
    </w:p>
    <w:p w14:paraId="23CB81E6" w14:textId="77777777" w:rsidR="00E0244C" w:rsidRPr="00483F7D" w:rsidRDefault="007A1FD7">
      <w:pPr>
        <w:pStyle w:val="ManualNumPar10"/>
      </w:pPr>
      <w:r w:rsidRPr="00483F7D">
        <w:t>2.</w:t>
      </w:r>
      <w:r w:rsidRPr="00483F7D">
        <w:tab/>
        <w:t>Σε ειδικές περιπτώσεις στις οποίες δεν εφαρμόζεται το τεκμήριο που ορίζεται στην παράγραφο 1, πρέπει να αποδειχθεί ο τελωνειακός χαρακτήρας ενωσιακών εμπορευμάτων.</w:t>
      </w:r>
    </w:p>
    <w:p w14:paraId="51432121" w14:textId="77777777" w:rsidR="00E0244C" w:rsidRPr="00483F7D" w:rsidRDefault="007A1FD7">
      <w:pPr>
        <w:pStyle w:val="ManualNumPar10"/>
      </w:pPr>
      <w:r w:rsidRPr="00483F7D">
        <w:t>3.</w:t>
      </w:r>
      <w:r w:rsidRPr="00483F7D">
        <w:tab/>
        <w:t>Σε ειδικές περιπτώσεις, τα εμπορεύματα που παράγονται εξ ολοκλήρου στο τελωνειακό έδαφος της Ένωσης δεν έχουν τον τελωνειακό χαρακτήρα ενωσιακών εμπορευμάτων αν προέρχονται από εμπορεύματα σε προσωρινή εναπόθεση ή υπαχθέντα σε καθεστώς εξωτερικής διαμετακόμισης, αποθήκευσης, προσωρινής εισαγωγής ή τελειοποίησης προς επανεξαγωγή.</w:t>
      </w:r>
    </w:p>
    <w:p w14:paraId="175AE142" w14:textId="77777777" w:rsidR="00E0244C" w:rsidRPr="00483F7D" w:rsidRDefault="007A1FD7">
      <w:pPr>
        <w:pStyle w:val="ManualNumPar10"/>
      </w:pPr>
      <w:r w:rsidRPr="00483F7D">
        <w:t>4.</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14805488" w14:textId="5EC9D436" w:rsidR="00782BE5" w:rsidRPr="00483F7D" w:rsidRDefault="00BC60FC" w:rsidP="00BC60FC">
      <w:pPr>
        <w:pStyle w:val="Point1"/>
      </w:pPr>
      <w:r w:rsidRPr="00483F7D">
        <w:t>α)</w:t>
      </w:r>
      <w:r w:rsidRPr="00483F7D">
        <w:tab/>
      </w:r>
      <w:r w:rsidR="007A1FD7" w:rsidRPr="00483F7D">
        <w:t>των ειδικών περιπτώσεων στις οποίες δεν εφαρμόζεται το τεκμήριο που ορίζεται στην παράγραφο 1·</w:t>
      </w:r>
    </w:p>
    <w:p w14:paraId="1A3797B0" w14:textId="065B3415" w:rsidR="00782BE5" w:rsidRPr="00483F7D" w:rsidRDefault="00BC60FC" w:rsidP="00BC60FC">
      <w:pPr>
        <w:pStyle w:val="Point1"/>
      </w:pPr>
      <w:r w:rsidRPr="00483F7D">
        <w:t>β)</w:t>
      </w:r>
      <w:r w:rsidRPr="00483F7D">
        <w:tab/>
      </w:r>
      <w:r w:rsidR="007A1FD7" w:rsidRPr="00483F7D">
        <w:t>των όρων για τη χορήγηση διευκόλυνσης της απόδειξης του τελωνειακού χαρακτήρα ενωσιακών εμπορευμάτων·</w:t>
      </w:r>
    </w:p>
    <w:p w14:paraId="61C2E9D7" w14:textId="25E3339A" w:rsidR="00E0244C" w:rsidRPr="00483F7D" w:rsidRDefault="00BC60FC" w:rsidP="00BC60FC">
      <w:pPr>
        <w:pStyle w:val="Point1"/>
      </w:pPr>
      <w:r w:rsidRPr="00483F7D">
        <w:t>γ)</w:t>
      </w:r>
      <w:r w:rsidRPr="00483F7D">
        <w:tab/>
      </w:r>
      <w:r w:rsidR="007A1FD7" w:rsidRPr="00483F7D">
        <w:t>των ειδικών περιπτώσεων στις οποίες τα εμπορεύματα που αναφέρονται στην παράγραφο 3 δεν έχουν τον τελωνειακό χαρακτήρα ενωσιακών εμπορευμάτων.</w:t>
      </w:r>
    </w:p>
    <w:p w14:paraId="0D91D212" w14:textId="77777777" w:rsidR="00E0244C" w:rsidRPr="00483F7D" w:rsidRDefault="007A1FD7">
      <w:pPr>
        <w:pStyle w:val="ManualNumPar10"/>
      </w:pPr>
      <w:r w:rsidRPr="00483F7D">
        <w:t>5.</w:t>
      </w:r>
      <w:r w:rsidRPr="00483F7D">
        <w:tab/>
        <w:t>Η Επιτροπή ορίζει, με εκτελεστικές πράξεις, τους διαδικαστικούς κανόνες για την προσκόμιση και την επαλήθευση του αποδεικτικού του τελωνειακού χαρακτήρα ενωσιακών εμπορευμάτων. Οι εν λόγω εκτελεστικές πράξεις εκδίδονται σύμφωνα με τη διαδικασία εξέτασης που αναφέρεται στο άρθρο 262 παράγραφος 4.</w:t>
      </w:r>
    </w:p>
    <w:p w14:paraId="2E34C4C5" w14:textId="77777777" w:rsidR="00E0244C" w:rsidRPr="00483F7D" w:rsidRDefault="007A1FD7">
      <w:pPr>
        <w:pStyle w:val="Titrearticle"/>
      </w:pPr>
      <w:bookmarkStart w:id="74" w:name="_bill__akn_article_oKipaF"/>
      <w:bookmarkEnd w:id="74"/>
      <w:r w:rsidRPr="00483F7D">
        <w:t>Άρθρο 57</w:t>
      </w:r>
    </w:p>
    <w:p w14:paraId="396D974D" w14:textId="77777777" w:rsidR="00E0244C" w:rsidRPr="00483F7D" w:rsidRDefault="007A1FD7">
      <w:pPr>
        <w:pStyle w:val="NormalCentered"/>
      </w:pPr>
      <w:r w:rsidRPr="00483F7D">
        <w:rPr>
          <w:b/>
        </w:rPr>
        <w:t>Απώλεια του τελωνειακού χαρακτήρα ενωσιακών εμπορευμάτων</w:t>
      </w:r>
    </w:p>
    <w:p w14:paraId="3C5247BB" w14:textId="77777777" w:rsidR="00E0244C" w:rsidRPr="00483F7D" w:rsidRDefault="007A1FD7" w:rsidP="00113C61">
      <w:pPr>
        <w:pStyle w:val="ManualNumPar10"/>
      </w:pPr>
      <w:r w:rsidRPr="00483F7D">
        <w:t>Τα ενωσιακά εμπορεύματα καθίστανται μη ενωσιακά εμπορεύματα στις ακόλουθες περιπτώσεις:</w:t>
      </w:r>
    </w:p>
    <w:p w14:paraId="3B9693D8" w14:textId="7C99E54D" w:rsidR="00782BE5" w:rsidRPr="00483F7D" w:rsidRDefault="00BC60FC" w:rsidP="00BC60FC">
      <w:pPr>
        <w:pStyle w:val="Point1"/>
      </w:pPr>
      <w:r w:rsidRPr="00483F7D">
        <w:t>α)</w:t>
      </w:r>
      <w:r w:rsidRPr="00483F7D">
        <w:tab/>
      </w:r>
      <w:r w:rsidR="007A1FD7" w:rsidRPr="00483F7D">
        <w:t>όταν μεταφέρονται εκτός του τελωνειακού εδάφους της Ένωσης, εφόσον δεν εφαρμόζονται οι κανόνες περί εσωτερικής διαμετακόμισης·</w:t>
      </w:r>
    </w:p>
    <w:p w14:paraId="1AB2A72E" w14:textId="0391848E" w:rsidR="00782BE5" w:rsidRPr="00483F7D" w:rsidRDefault="00BC60FC" w:rsidP="00BC60FC">
      <w:pPr>
        <w:pStyle w:val="Point1"/>
      </w:pPr>
      <w:r w:rsidRPr="00483F7D">
        <w:t>β)</w:t>
      </w:r>
      <w:r w:rsidRPr="00483F7D">
        <w:tab/>
      </w:r>
      <w:r w:rsidR="007A1FD7" w:rsidRPr="00483F7D">
        <w:t>όταν έχουν υπαχθεί σε καθεστώς εξωτερικής διαμετακόμισης, αποθήκευσης ή τελειοποίησης προς επανεξαγωγή, εφόσον το επιτρέπει η τελωνειακή νομοθεσία·</w:t>
      </w:r>
    </w:p>
    <w:p w14:paraId="52C43DCB" w14:textId="250641F0" w:rsidR="00782BE5" w:rsidRPr="00483F7D" w:rsidRDefault="00BC60FC" w:rsidP="00BC60FC">
      <w:pPr>
        <w:pStyle w:val="Point1"/>
      </w:pPr>
      <w:r w:rsidRPr="00483F7D">
        <w:t>γ)</w:t>
      </w:r>
      <w:r w:rsidRPr="00483F7D">
        <w:tab/>
      </w:r>
      <w:r w:rsidR="007A1FD7" w:rsidRPr="00483F7D">
        <w:t>όταν έχουν υπαχθεί στο καθεστώς ειδικού προορισμού και είτε εγκαταλείπονται στη συνέχεια υπέρ του Δημοσίου είτε καταστρέφονται και αφήνουν απορρίμματα·</w:t>
      </w:r>
    </w:p>
    <w:p w14:paraId="4D83636C" w14:textId="67E8A0CE" w:rsidR="00E0244C" w:rsidRPr="00483F7D" w:rsidRDefault="00BC60FC" w:rsidP="00BC60FC">
      <w:pPr>
        <w:pStyle w:val="Point1"/>
      </w:pPr>
      <w:r w:rsidRPr="00483F7D">
        <w:t>δ)</w:t>
      </w:r>
      <w:r w:rsidRPr="00483F7D">
        <w:tab/>
      </w:r>
      <w:r w:rsidR="007A1FD7" w:rsidRPr="00483F7D">
        <w:tab/>
        <w:t>όταν η διασάφηση για τη θέση σε ελεύθερη κυκλοφορία ακυρώνεται μετά την παραλαβή των εμπορευμάτων.</w:t>
      </w:r>
    </w:p>
    <w:p w14:paraId="4489F56F" w14:textId="77777777" w:rsidR="00E0244C" w:rsidRPr="00483F7D" w:rsidRDefault="007A1FD7">
      <w:pPr>
        <w:pStyle w:val="Titrearticle"/>
      </w:pPr>
      <w:bookmarkStart w:id="75" w:name="_bill__akn_article_y4VlnP"/>
      <w:bookmarkEnd w:id="75"/>
      <w:r w:rsidRPr="00483F7D">
        <w:t>Άρθρο 58</w:t>
      </w:r>
    </w:p>
    <w:p w14:paraId="7B997CEF" w14:textId="77777777" w:rsidR="00E0244C" w:rsidRPr="00483F7D" w:rsidRDefault="007A1FD7">
      <w:pPr>
        <w:pStyle w:val="NormalCentered"/>
      </w:pPr>
      <w:r w:rsidRPr="00483F7D">
        <w:rPr>
          <w:b/>
        </w:rPr>
        <w:t>Ενωσιακά εμπορεύματα που εγκαταλείπουν προσωρινά το τελωνειακό έδαφος της Ένωσης</w:t>
      </w:r>
    </w:p>
    <w:p w14:paraId="4A5AE651" w14:textId="77777777" w:rsidR="00E0244C" w:rsidRPr="00483F7D" w:rsidRDefault="007A1FD7">
      <w:pPr>
        <w:pStyle w:val="ManualNumPar10"/>
      </w:pPr>
      <w:r w:rsidRPr="00483F7D">
        <w:t>1.</w:t>
      </w:r>
      <w:r w:rsidRPr="00483F7D">
        <w:tab/>
        <w:t xml:space="preserve">Στις περιπτώσεις που αναφέρονται στο άρθρο 112 παράγραφος 2 στοιχεία </w:t>
      </w:r>
      <w:hyperlink w:anchor="__akn_article_WagpZB_gSW5Be" w:tooltip="Article 112(2), points (b), (c), (d) and (e): (b)">
        <w:r w:rsidRPr="00483F7D">
          <w:rPr>
            <w:rStyle w:val="Hyperlink"/>
          </w:rPr>
          <w:t>β)</w:t>
        </w:r>
      </w:hyperlink>
      <w:r w:rsidRPr="00483F7D">
        <w:t xml:space="preserve">, </w:t>
      </w:r>
      <w:hyperlink w:anchor="__akn_article_WagpZB_6jZgcx" w:tooltip="Article 112(2), points (b), (c), (d) and (e): (c)">
        <w:r w:rsidRPr="00483F7D">
          <w:rPr>
            <w:rStyle w:val="Hyperlink"/>
          </w:rPr>
          <w:t>γ)</w:t>
        </w:r>
      </w:hyperlink>
      <w:r w:rsidRPr="00483F7D">
        <w:t xml:space="preserve">, </w:t>
      </w:r>
      <w:hyperlink w:anchor="__akn_article_WagpZB_Puzs3y" w:tooltip="Article 112(2), points (b), (c), (d) and (e): (d)">
        <w:r w:rsidRPr="00483F7D">
          <w:rPr>
            <w:rStyle w:val="Hyperlink"/>
          </w:rPr>
          <w:t>δ)</w:t>
        </w:r>
      </w:hyperlink>
      <w:r w:rsidRPr="00483F7D">
        <w:t xml:space="preserve"> και </w:t>
      </w:r>
      <w:hyperlink w:anchor="__akn_article_WagpZB_oItUWK" w:tooltip="Article 112(2), points (b), (c), (d) and (e): (e)">
        <w:r w:rsidRPr="00483F7D">
          <w:rPr>
            <w:rStyle w:val="Hyperlink"/>
          </w:rPr>
          <w:t>ε)</w:t>
        </w:r>
      </w:hyperlink>
      <w:r w:rsidRPr="00483F7D">
        <w:t>, τα εμπορεύματα διατηρούν τον τελωνειακό τους χαρακτήρα ως ενωσιακών εμπορευμάτων μόνον εφόσον ο εν λόγω χαρακτήρας αποδεικνύεται σύμφωνα με τους όρους και με τα μέσα που καθορίζονται στην τελωνειακή νομοθεσία.</w:t>
      </w:r>
    </w:p>
    <w:p w14:paraId="1C429741" w14:textId="77777777" w:rsidR="00E0244C" w:rsidRPr="00483F7D" w:rsidRDefault="007A1FD7">
      <w:pPr>
        <w:pStyle w:val="ManualNumPar10"/>
      </w:pPr>
      <w:bookmarkStart w:id="76" w:name="_bill__akn_article_y4VlnP-par1"/>
      <w:bookmarkEnd w:id="76"/>
      <w:r w:rsidRPr="00483F7D">
        <w:t>2.</w:t>
      </w:r>
      <w:r w:rsidRPr="00483F7D">
        <w:tab/>
        <w:t>Σε ειδικές περιπτώσεις, τα ενωσιακά εμπορεύματα είναι δυνατό να διακινούνται, χωρίς να υπάγονται σε τελωνειακό καθεστώς, μεταξύ δύο σημείων εντός του τελωνειακού εδάφους της Ένωσης και προσωρινά εκτός του εν λόγω εδάφους χωρίς μεταβολή του τελωνειακού τους χαρακτήρα.</w:t>
      </w:r>
    </w:p>
    <w:p w14:paraId="41B16CAF" w14:textId="77777777" w:rsidR="00E0244C" w:rsidRPr="00483F7D" w:rsidRDefault="00651053">
      <w:pPr>
        <w:pStyle w:val="ManualNumPar10"/>
      </w:pPr>
      <w:r w:rsidRPr="00483F7D">
        <w:t>3.</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ειδικών περιπτώσεων στις οποίες δεν μεταβάλλεται ο τελωνειακός χαρακτήρας των εμπορευμάτων που αναφέρονται στην παράγραφο 2 του παρόντος άρθρου.</w:t>
      </w:r>
    </w:p>
    <w:p w14:paraId="4EA347C5" w14:textId="77777777" w:rsidR="00E0244C" w:rsidRPr="00483F7D" w:rsidRDefault="007A1FD7">
      <w:pPr>
        <w:pStyle w:val="ChapterTitle"/>
      </w:pPr>
      <w:r w:rsidRPr="00483F7D">
        <w:t xml:space="preserve">Κεφάλαιο 2 </w:t>
      </w:r>
      <w:r w:rsidRPr="00483F7D">
        <w:br/>
        <w:t>Υπαγωγή σε τελωνειακό καθεστώς και παράδοση</w:t>
      </w:r>
    </w:p>
    <w:p w14:paraId="6905345E" w14:textId="77777777" w:rsidR="00E0244C" w:rsidRPr="00483F7D" w:rsidRDefault="007A1FD7">
      <w:pPr>
        <w:pStyle w:val="Titrearticle"/>
      </w:pPr>
      <w:r w:rsidRPr="00483F7D">
        <w:t>Άρθρο 59</w:t>
      </w:r>
    </w:p>
    <w:p w14:paraId="07B6F842" w14:textId="77777777" w:rsidR="00E0244C" w:rsidRPr="00483F7D" w:rsidRDefault="007A1FD7">
      <w:pPr>
        <w:pStyle w:val="NormalCentered"/>
      </w:pPr>
      <w:r w:rsidRPr="00483F7D">
        <w:rPr>
          <w:b/>
        </w:rPr>
        <w:t>Υπαγωγή εμπορευμάτων σε τελωνειακό καθεστώς </w:t>
      </w:r>
    </w:p>
    <w:p w14:paraId="115EA3FE" w14:textId="77777777" w:rsidR="00E0244C" w:rsidRPr="00483F7D" w:rsidRDefault="007A1FD7">
      <w:pPr>
        <w:pStyle w:val="ManualNumPar10"/>
      </w:pPr>
      <w:r w:rsidRPr="00483F7D">
        <w:t>1.</w:t>
      </w:r>
      <w:r w:rsidRPr="00483F7D">
        <w:tab/>
        <w:t>Οι εισαγωγείς, οι εξαγωγείς και οι δικαιούχοι του καθεστώτος που προτίθενται να υπαγάγουν εμπορεύματα σε τελωνειακό καθεστώς παρέχουν ή καθιστούν διαθέσιμα τα δεδομένα που είναι αναγκαία για το σχετικό καθεστώς μόλις καταστούν διαθέσιμα και σε κάθε περίπτωση πριν από την παράδοση των εμπορευμάτων.</w:t>
      </w:r>
    </w:p>
    <w:p w14:paraId="76C5FA99" w14:textId="77777777" w:rsidR="00E0244C" w:rsidRPr="00483F7D" w:rsidRDefault="007A1FD7">
      <w:pPr>
        <w:pStyle w:val="ManualNumPar10"/>
      </w:pPr>
      <w:bookmarkStart w:id="77" w:name="__akn_article_U2tqR7_LjHcRj"/>
      <w:bookmarkEnd w:id="77"/>
      <w:r w:rsidRPr="00483F7D">
        <w:t>2.</w:t>
      </w:r>
      <w:r w:rsidRPr="00483F7D">
        <w:tab/>
        <w:t>Οι θεωρούμενοι εισαγωγείς παρέχουν ή καθιστούν διαθέσιμες τις πληροφορίες σχετικά με τις εξ αποστάσεως πωλήσεις εμπορευμάτων που πρόκειται να εισαχθούν στο τελωνειακό έδαφος της Ένωσης το αργότερο την επομένη της ημερομηνίας αποδοχής της πληρωμής και, σε κάθε περίπτωση, πριν από την παράδοση των εμπορευμάτων.</w:t>
      </w:r>
    </w:p>
    <w:p w14:paraId="242BA9AF" w14:textId="77777777" w:rsidR="00E0244C" w:rsidRPr="00483F7D" w:rsidRDefault="007A1FD7">
      <w:pPr>
        <w:pStyle w:val="ManualNumPar10"/>
      </w:pPr>
      <w:bookmarkStart w:id="78" w:name="__akn_article_U2tqR7_QsRlAh"/>
      <w:bookmarkEnd w:id="78"/>
      <w:r w:rsidRPr="00483F7D">
        <w:t>3.</w:t>
      </w:r>
      <w:r w:rsidRPr="00483F7D">
        <w:tab/>
        <w:t>Κατά παρέκκλιση από την παράγραφο 1, σε δεόντως αιτιολογημένες περιστάσεις που συνδέονται με τα δικαιολογητικά έγγραφα ή τον καθορισμό της τελικής αξίας των εμπορευμάτων, οι τελωνειακές αρχές μπορούν να χορηγούν άδεια στους αξιόπιστους και ελεγμένους συναλλασσομένους να παρέχουν μέρος των δεδομένων πέραν των εκ των προτέρων πληροφοριών για τα φορτία μετά την παράδοση των εμπορευμάτων. Ο εισαγωγέας ή ο εξαγωγέας παρέχει τις πληροφορίες που παραλείπονται εντός συγκεκριμένης προθεσμίας.</w:t>
      </w:r>
    </w:p>
    <w:p w14:paraId="3A1959D8" w14:textId="77777777" w:rsidR="00E0244C" w:rsidRPr="00483F7D" w:rsidRDefault="007A1FD7">
      <w:pPr>
        <w:pStyle w:val="ManualNumPar10"/>
      </w:pPr>
      <w:r w:rsidRPr="00483F7D">
        <w:t>4.</w:t>
      </w:r>
      <w:r w:rsidRPr="00483F7D">
        <w:tab/>
        <w:t>Τα εμπορεύματα υπάγονται στο τελωνειακό καθεστώς κατά τη στιγμή της παράδοσής τους. Εκτός αν ορίζεται άλλως, η ημερομηνία παράδοσης είναι η ημερομηνία η οποία πρέπει να λαμβάνεται υπόψη για την εφαρμογή των διατάξεων που διέπουν το τελωνειακό καθεστώς στο οποίο υπάγονται τα εμπορεύματα και για όλες τις άλλες διατυπώσεις εισαγωγής ή εξαγωγής.</w:t>
      </w:r>
    </w:p>
    <w:p w14:paraId="799880F1"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δεδομένων και των πληροφοριών που αναφέρονται στις παραγράφους 1 και 2 του παρόντος άρθρου, καθώς και των συγκεκριμένων δεδομένων που είναι δυνατό να παρασχεθούν μετά την παράδοση των εμπορευμάτων και τις προθεσμίες για την παροχή των εν λόγω δεδομένων, όπως αναφέρεται στην παράγραφο 3 του παρόντος άρθρου.</w:t>
      </w:r>
    </w:p>
    <w:p w14:paraId="6A9796B5" w14:textId="77777777" w:rsidR="00E0244C" w:rsidRPr="00483F7D" w:rsidRDefault="007A1FD7">
      <w:pPr>
        <w:pStyle w:val="Titrearticle"/>
      </w:pPr>
      <w:bookmarkStart w:id="79" w:name="_bill__akn_article_u5jicl"/>
      <w:bookmarkEnd w:id="79"/>
      <w:r w:rsidRPr="00483F7D">
        <w:t>Άρθρο 60</w:t>
      </w:r>
    </w:p>
    <w:p w14:paraId="547D9304" w14:textId="77777777" w:rsidR="00E0244C" w:rsidRPr="00483F7D" w:rsidRDefault="007A1FD7">
      <w:pPr>
        <w:pStyle w:val="NormalCentered"/>
      </w:pPr>
      <w:r w:rsidRPr="00483F7D">
        <w:rPr>
          <w:b/>
        </w:rPr>
        <w:t>Παράδοση των εμπορευμάτων</w:t>
      </w:r>
    </w:p>
    <w:p w14:paraId="707DE48E" w14:textId="77777777" w:rsidR="00437098" w:rsidRPr="00483F7D" w:rsidRDefault="007A1FD7" w:rsidP="5DA9B26A">
      <w:pPr>
        <w:pStyle w:val="ManualNumPar10"/>
      </w:pPr>
      <w:bookmarkStart w:id="80" w:name="_bill__akn_article_u5jicl_MxeRFv"/>
      <w:bookmarkEnd w:id="80"/>
      <w:r w:rsidRPr="00483F7D">
        <w:t>1.</w:t>
      </w:r>
      <w:r w:rsidRPr="00483F7D">
        <w:tab/>
        <w:t>Οι τελωνειακές αρχές που είναι αρμόδιες για την υπαγωγή των εμπορευμάτων σε τελωνειακό καθεστώς σύμφωνα με το άρθρο 42 παράγραφος 3 αποφασίζουν σχετικά με την παράδοση των εμπορευμάτων, λαμβάνοντας υπόψη το αποτέλεσμα της ανάλυσης κινδύνου των δεδομένων που παρέχονται από τον εισαγωγέα ή τον εξαγωγέα και, κατά περίπτωση, τα αποτελέσματα τυχόν ελέγχων.</w:t>
      </w:r>
    </w:p>
    <w:p w14:paraId="28B60F34" w14:textId="77777777" w:rsidR="00E0244C" w:rsidRPr="00483F7D" w:rsidRDefault="007A1FD7">
      <w:pPr>
        <w:pStyle w:val="ManualNumPar10"/>
      </w:pPr>
      <w:r w:rsidRPr="00483F7D">
        <w:t>2.</w:t>
      </w:r>
      <w:r w:rsidRPr="00483F7D">
        <w:tab/>
        <w:t>Τα εμπορεύματα παραδίδονται αν πληρούνται οι ακόλουθοι όροι:</w:t>
      </w:r>
    </w:p>
    <w:p w14:paraId="6B71FBDB" w14:textId="28AC150A" w:rsidR="00782BE5" w:rsidRPr="00483F7D" w:rsidRDefault="00BC60FC" w:rsidP="00BC60FC">
      <w:pPr>
        <w:pStyle w:val="Point1"/>
      </w:pPr>
      <w:r w:rsidRPr="00483F7D">
        <w:t>α)</w:t>
      </w:r>
      <w:r w:rsidRPr="00483F7D">
        <w:tab/>
      </w:r>
      <w:r w:rsidR="007A1FD7" w:rsidRPr="00483F7D">
        <w:t>ένας εισαγωγέας ή εξαγωγέας είναι υπεύθυνος για τα εμπορεύματα·</w:t>
      </w:r>
    </w:p>
    <w:p w14:paraId="0ED7E2B8" w14:textId="070FBBE4" w:rsidR="00782BE5" w:rsidRPr="00483F7D" w:rsidRDefault="00BC60FC" w:rsidP="00BC60FC">
      <w:pPr>
        <w:pStyle w:val="Point1"/>
      </w:pPr>
      <w:r w:rsidRPr="00483F7D">
        <w:t>β)</w:t>
      </w:r>
      <w:r w:rsidRPr="00483F7D">
        <w:tab/>
      </w:r>
      <w:r w:rsidR="007A1FD7" w:rsidRPr="00483F7D">
        <w:t>κάθε πληροφορία που ζητείται από τις τελωνειακές αρχές και οι ελάχιστες αναγκαίες πληροφορίες για το συγκεκριμένο καθεστώς έχουν παρασχεθεί ή τεθεί στη διάθεση των τελωνειακών αρχών·</w:t>
      </w:r>
    </w:p>
    <w:p w14:paraId="0B215E86" w14:textId="5C2244EC" w:rsidR="00782BE5" w:rsidRPr="00483F7D" w:rsidRDefault="00BC60FC" w:rsidP="00BC60FC">
      <w:pPr>
        <w:pStyle w:val="Point1"/>
      </w:pPr>
      <w:r w:rsidRPr="00483F7D">
        <w:t>γ)</w:t>
      </w:r>
      <w:r w:rsidRPr="00483F7D">
        <w:tab/>
      </w:r>
      <w:r w:rsidR="007A1FD7" w:rsidRPr="00483F7D">
        <w:t xml:space="preserve">πληρούνται οι όροι υπαγωγής των εμπορευμάτων στο σχετικό καθεστώς σύμφωνα με τα άρθρα </w:t>
      </w:r>
      <w:hyperlink w:anchor="__akn_article_YeZ4od" w:tooltip="Articles 88, 118, 132 and 135: 88">
        <w:r w:rsidR="007A1FD7" w:rsidRPr="00483F7D">
          <w:rPr>
            <w:rStyle w:val="Hyperlink"/>
          </w:rPr>
          <w:t>88</w:t>
        </w:r>
      </w:hyperlink>
      <w:r w:rsidR="007A1FD7" w:rsidRPr="00483F7D">
        <w:t xml:space="preserve">, </w:t>
      </w:r>
      <w:hyperlink w:anchor="__akn_article_EVW1Pv" w:tooltip="Articles 88, 118, 132 and 135: 118">
        <w:r w:rsidR="007A1FD7" w:rsidRPr="00483F7D">
          <w:rPr>
            <w:rStyle w:val="Hyperlink"/>
          </w:rPr>
          <w:t>118</w:t>
        </w:r>
      </w:hyperlink>
      <w:r w:rsidR="007A1FD7" w:rsidRPr="00483F7D">
        <w:t xml:space="preserve">, </w:t>
      </w:r>
      <w:hyperlink w:anchor="__akn_article_dVslcy" w:tooltip="Articles 88, 118, 132 and 135: 132">
        <w:r w:rsidR="007A1FD7" w:rsidRPr="00483F7D">
          <w:rPr>
            <w:rStyle w:val="Hyperlink"/>
          </w:rPr>
          <w:t>132</w:t>
        </w:r>
      </w:hyperlink>
      <w:r w:rsidR="007A1FD7" w:rsidRPr="00483F7D">
        <w:t xml:space="preserve"> και </w:t>
      </w:r>
      <w:hyperlink w:anchor="__akn_article_B55LHZ" w:tooltip="Articles 88, 118, 132 and 135: 135">
        <w:r w:rsidR="007A1FD7" w:rsidRPr="00483F7D">
          <w:rPr>
            <w:rStyle w:val="Hyperlink"/>
          </w:rPr>
          <w:t>135</w:t>
        </w:r>
      </w:hyperlink>
      <w:r w:rsidR="007A1FD7" w:rsidRPr="00483F7D">
        <w:t>·</w:t>
      </w:r>
    </w:p>
    <w:p w14:paraId="1A33FE91" w14:textId="250BD92C" w:rsidR="00E0244C" w:rsidRPr="00483F7D" w:rsidRDefault="00BC60FC" w:rsidP="00BC60FC">
      <w:pPr>
        <w:pStyle w:val="Point1"/>
      </w:pPr>
      <w:r w:rsidRPr="00483F7D">
        <w:t>δ)</w:t>
      </w:r>
      <w:r w:rsidRPr="00483F7D">
        <w:tab/>
      </w:r>
      <w:r w:rsidR="007A1FD7" w:rsidRPr="00483F7D">
        <w:t>τα εμπορεύματα δεν έχουν επιλεγεί για κανέναν έλεγχο.</w:t>
      </w:r>
    </w:p>
    <w:p w14:paraId="57B9C9E1" w14:textId="77777777" w:rsidR="00E0244C" w:rsidRPr="00483F7D" w:rsidRDefault="007A1FD7">
      <w:pPr>
        <w:pStyle w:val="ManualNumPar10"/>
      </w:pPr>
      <w:bookmarkStart w:id="81" w:name="_bill__akn_article_u5jicl_8vivHV"/>
      <w:bookmarkEnd w:id="81"/>
      <w:r w:rsidRPr="00483F7D">
        <w:t>3.</w:t>
      </w:r>
      <w:r w:rsidRPr="00483F7D">
        <w:tab/>
        <w:t>Οι τελωνειακές αρχές αρνούνται την παράδοση σε οποιαδήποτε από τις ακόλουθες περιπτώσεις:</w:t>
      </w:r>
    </w:p>
    <w:p w14:paraId="0D82A857" w14:textId="614FC9A8" w:rsidR="00782BE5" w:rsidRPr="00483F7D" w:rsidRDefault="00BC60FC" w:rsidP="00BC60FC">
      <w:pPr>
        <w:pStyle w:val="Point1"/>
      </w:pPr>
      <w:r w:rsidRPr="00483F7D">
        <w:t>α)</w:t>
      </w:r>
      <w:r w:rsidRPr="00483F7D">
        <w:tab/>
      </w:r>
      <w:r w:rsidR="0072119E" w:rsidRPr="00483F7D">
        <w:t>όταν δεν πληρούνται οι όροι για την υπαγωγή των εμπορευμάτων στο σχετικό καθεστώς, συμπεριλαμβανομένων τυχόν ενωσιακών μη τελωνειακών διατυπώσεων, όπως ορίζονται στο άρθρο 2 σημείο 11 του κανονισμού (ΕΕ) 2022/2399, οι οποίες αφορούν τα εμπορεύματα·</w:t>
      </w:r>
    </w:p>
    <w:p w14:paraId="6880BEC9" w14:textId="679B2EA5" w:rsidR="00782BE5" w:rsidRPr="00483F7D" w:rsidRDefault="00BC60FC" w:rsidP="00BC60FC">
      <w:pPr>
        <w:pStyle w:val="Point1"/>
      </w:pPr>
      <w:r w:rsidRPr="00483F7D">
        <w:t>β)</w:t>
      </w:r>
      <w:r w:rsidRPr="00483F7D">
        <w:tab/>
      </w:r>
      <w:r w:rsidR="003F2D1E" w:rsidRPr="00483F7D">
        <w:t>όταν διαθέτουν αποδεικτικά στοιχεία ότι τα εμπορεύματα δεν συμμορφώνονται με τη σχετική λοιπή νομοθεσία που εφαρμόζεται από τις τελωνειακές αρχές, εκτός αν η εν λόγω νομοθεσία απαιτεί προηγούμενη διαβούλευση με άλλες αρχές·</w:t>
      </w:r>
    </w:p>
    <w:p w14:paraId="2E24132A" w14:textId="56C57140" w:rsidR="00E0244C" w:rsidRPr="00483F7D" w:rsidRDefault="00BC60FC" w:rsidP="00BC60FC">
      <w:pPr>
        <w:pStyle w:val="Point1"/>
      </w:pPr>
      <w:r w:rsidRPr="00483F7D">
        <w:t>γ)</w:t>
      </w:r>
      <w:r w:rsidRPr="00483F7D">
        <w:tab/>
      </w:r>
      <w:r w:rsidR="008412B5" w:rsidRPr="00483F7D">
        <w:t>όταν διαθέτουν αποδεικτικά στοιχεία ότι τα παρεχόμενα δεδομένα δεν είναι ακριβή.</w:t>
      </w:r>
    </w:p>
    <w:p w14:paraId="39000C8C" w14:textId="77777777" w:rsidR="00E0244C" w:rsidRPr="00483F7D" w:rsidRDefault="007A1FD7">
      <w:pPr>
        <w:pStyle w:val="ManualNumPar10"/>
      </w:pPr>
      <w:r w:rsidRPr="00483F7D">
        <w:t>4.</w:t>
      </w:r>
      <w:r w:rsidRPr="00483F7D">
        <w:tab/>
        <w:t>Οι τελωνειακές αρχές αναστέλλουν την παράδοση σε οποιαδήποτε από τις ακόλουθες περιπτώσεις:</w:t>
      </w:r>
    </w:p>
    <w:p w14:paraId="51EE2BFA" w14:textId="36BA789A" w:rsidR="00782BE5" w:rsidRPr="00483F7D" w:rsidRDefault="00BC60FC" w:rsidP="00BC60FC">
      <w:pPr>
        <w:pStyle w:val="Point1"/>
      </w:pPr>
      <w:r w:rsidRPr="00483F7D">
        <w:t>α)</w:t>
      </w:r>
      <w:r w:rsidRPr="00483F7D">
        <w:tab/>
      </w:r>
      <w:r w:rsidR="008412B5" w:rsidRPr="00483F7D">
        <w:t>όταν έχουν λόγους να πιστεύουν ότι τα εμπορεύματα δεν συμμορφώνονται με τη σχετική λοιπή νομοθεσία που εφαρμόζεται από τις τελωνειακές αρχές ή ότι παρουσιάζουν σοβαρό κίνδυνο για την υγεία και τη ζωή των ανθρώπων, των ζώων ή των φυτών ή για το περιβάλλον ή για οποιοδήποτε άλλο δημόσιο συμφέρον, συμπεριλαμβανομένου του οικονομικού συμφέροντος· ή</w:t>
      </w:r>
    </w:p>
    <w:p w14:paraId="3919FCD9" w14:textId="07236365" w:rsidR="00E0244C" w:rsidRPr="00483F7D" w:rsidRDefault="00BC60FC" w:rsidP="00BC60FC">
      <w:pPr>
        <w:pStyle w:val="Point1"/>
      </w:pPr>
      <w:r w:rsidRPr="00483F7D">
        <w:t>β)</w:t>
      </w:r>
      <w:r w:rsidRPr="00483F7D">
        <w:tab/>
      </w:r>
      <w:r w:rsidR="008412B5" w:rsidRPr="00483F7D">
        <w:t>όταν οι άλλες αρχές το έχουν ζητήσει σύμφωνα με τη λοιπή νομοθεσία που εφαρμόζεται από τις τελωνειακές αρχές. </w:t>
      </w:r>
    </w:p>
    <w:p w14:paraId="3505E14E" w14:textId="77777777" w:rsidR="00E0244C" w:rsidRPr="00483F7D" w:rsidRDefault="007A1FD7">
      <w:pPr>
        <w:pStyle w:val="ManualNumPar10"/>
      </w:pPr>
      <w:r w:rsidRPr="00483F7D">
        <w:t>5.</w:t>
      </w:r>
      <w:r w:rsidRPr="00483F7D">
        <w:tab/>
        <w:t>Όταν η παράδοση έχει ανασταλεί σύμφωνα με την παράγραφο 4, οι τελωνειακές αρχές διαβουλεύονται με τις άλλες αρχές, αν το απαιτεί η σχετική λοιπή νομοθεσία που εφαρμόζεται από τις τελωνειακές αρχές, και:</w:t>
      </w:r>
    </w:p>
    <w:p w14:paraId="3DA14A53" w14:textId="0A04C1F9" w:rsidR="00782BE5" w:rsidRPr="00483F7D" w:rsidRDefault="00BC60FC" w:rsidP="00BC60FC">
      <w:pPr>
        <w:pStyle w:val="Point1"/>
      </w:pPr>
      <w:r w:rsidRPr="00483F7D">
        <w:t>α)</w:t>
      </w:r>
      <w:r w:rsidRPr="00483F7D">
        <w:tab/>
      </w:r>
      <w:r w:rsidR="007A1FD7" w:rsidRPr="00483F7D">
        <w:t>αρνούνται την παράδοση, αν οι άλλες αρχές το έχουν ζητήσει σύμφωνα με τη λοιπή νομοθεσία που εφαρμόζεται από τις τελωνειακές αρχές· ή</w:t>
      </w:r>
    </w:p>
    <w:p w14:paraId="6FAD1596" w14:textId="42754179" w:rsidR="00E0244C" w:rsidRPr="00483F7D" w:rsidRDefault="00BC60FC" w:rsidP="00BC60FC">
      <w:pPr>
        <w:pStyle w:val="Point1"/>
      </w:pPr>
      <w:r w:rsidRPr="00483F7D">
        <w:t>β)</w:t>
      </w:r>
      <w:r w:rsidRPr="00483F7D">
        <w:tab/>
      </w:r>
      <w:r w:rsidR="007A1FD7" w:rsidRPr="00483F7D">
        <w:t>παραδίδουν τα εμπορεύματα αν δεν υπάρχουν λόγοι να πιστεύεται ότι δεν πληρούνται οι άλλες απαιτήσεις και διατυπώσεις οι οποίες απαιτούνται από τη λοιπή νομοθεσία που εφαρμόζεται από τις τελωνειακές αρχές σχετικά με την εν λόγω παράδοση και:</w:t>
      </w:r>
    </w:p>
    <w:p w14:paraId="5E22079D" w14:textId="17BC9757" w:rsidR="00E0244C" w:rsidRPr="00483F7D" w:rsidRDefault="00483C4C" w:rsidP="00483C4C">
      <w:pPr>
        <w:pStyle w:val="Point2"/>
      </w:pPr>
      <w:r w:rsidRPr="00483F7D">
        <w:t>i)</w:t>
      </w:r>
      <w:r w:rsidRPr="00483F7D">
        <w:tab/>
        <w:t>οι άλλες αρχές έχουν εγκρίνει την παράδοση, ή</w:t>
      </w:r>
    </w:p>
    <w:p w14:paraId="5A8AF012" w14:textId="5074C7BA" w:rsidR="00E0244C" w:rsidRPr="00483F7D" w:rsidRDefault="00483C4C" w:rsidP="00483C4C">
      <w:pPr>
        <w:pStyle w:val="Point2"/>
      </w:pPr>
      <w:r w:rsidRPr="00483F7D">
        <w:t>ii)</w:t>
      </w:r>
      <w:r w:rsidRPr="00483F7D">
        <w:tab/>
        <w:t>οι άλλες αρχές δεν απάντησαν εντός της προθεσμίας που καθορίζεται στη σχετική λοιπή νομοθεσία που εφαρμόζεται από τις τελωνειακές αρχές, ή</w:t>
      </w:r>
    </w:p>
    <w:p w14:paraId="1F28BACF" w14:textId="60A57A0E" w:rsidR="00E0244C" w:rsidRPr="00483F7D" w:rsidRDefault="00483C4C" w:rsidP="00483C4C">
      <w:pPr>
        <w:pStyle w:val="Point2"/>
      </w:pPr>
      <w:r w:rsidRPr="00483F7D">
        <w:t>iii)</w:t>
      </w:r>
      <w:r w:rsidRPr="00483F7D">
        <w:tab/>
        <w:t>οι άλλες αρχές γνωστοποιούν στις τελωνειακές αρχές ότι χρειάζεται περισσότερος χρόνος για να αξιολογήσουν αν τα εμπορεύματα συμμορφώνονται με τη σχετική λοιπή νομοθεσία που εφαρμόζεται από τις τελωνειακές αρχές, υπό τον όρο ότι δεν έχουν ζητήσει τη διατήρηση της αναστολής, και ο εισαγωγέας ή ο εξαγωγέας παρέχει στις τελωνειακές αρχές πλήρη ιχνηλασιμότητα των εν λόγω εμπορευμάτων για 15 ημέρες από τη γνωστοποίηση των άλλων αρχών ή έως ότου οι άλλες αρχές αξιολογήσουν και κοινοποιήσουν το αποτέλεσμα των ελέγχων τους στον εισαγωγέα ή στον εξαγωγέα, όποιο από τα δύο συμβεί πρώτο. Οι τελωνειακές αρχές καθιστούν την ιχνηλασιμότητα διαθέσιμη στις άλλες αρχές.</w:t>
      </w:r>
    </w:p>
    <w:p w14:paraId="7893499F" w14:textId="77777777" w:rsidR="00E0244C" w:rsidRPr="00483F7D" w:rsidRDefault="007A1FD7">
      <w:pPr>
        <w:pStyle w:val="ManualNumPar10"/>
      </w:pPr>
      <w:r w:rsidRPr="00483F7D">
        <w:t>6.</w:t>
      </w:r>
      <w:r w:rsidRPr="00483F7D">
        <w:tab/>
        <w:t>Με την επιφύλαξη της σχετικής λοιπής νομοθεσίας που εφαρμόζεται από τις τελωνειακές αρχές, οι τελωνειακές αρχές θεωρείται ότι έχουν παραδώσει τα εμπορεύματα όταν δεν τα έχουν επιλέξει για έλεγχο εντός εύλογου χρονικού διαστήματος από τη στιγμή που:</w:t>
      </w:r>
    </w:p>
    <w:p w14:paraId="457C6254" w14:textId="3ADC62F5" w:rsidR="00782BE5" w:rsidRPr="00483F7D" w:rsidRDefault="00BC60FC" w:rsidP="00BC60FC">
      <w:pPr>
        <w:pStyle w:val="Point1"/>
      </w:pPr>
      <w:r w:rsidRPr="00483F7D">
        <w:t>α)</w:t>
      </w:r>
      <w:r w:rsidRPr="00483F7D">
        <w:tab/>
      </w:r>
      <w:r w:rsidR="007A1FD7" w:rsidRPr="00483F7D">
        <w:t>τα εμπορεύματα των θεωρούμενων εισαγωγέων έχουν φθάσει στο τελωνειακό έδαφος της Ένωσης· ή</w:t>
      </w:r>
    </w:p>
    <w:p w14:paraId="4FD51D3C" w14:textId="131A7EE4" w:rsidR="00782BE5" w:rsidRPr="00483F7D" w:rsidRDefault="00BC60FC" w:rsidP="00BC60FC">
      <w:pPr>
        <w:pStyle w:val="Point1"/>
      </w:pPr>
      <w:r w:rsidRPr="00483F7D">
        <w:t>β)</w:t>
      </w:r>
      <w:r w:rsidRPr="00483F7D">
        <w:tab/>
      </w:r>
      <w:r w:rsidR="007A1FD7" w:rsidRPr="00483F7D">
        <w:t>τα εμπορεύματα των εισαγωγέων έχουν φθάσει στον τελικό προορισμό τους· ή</w:t>
      </w:r>
    </w:p>
    <w:p w14:paraId="3DCF7624" w14:textId="4CA063A1" w:rsidR="00E0244C" w:rsidRPr="00483F7D" w:rsidRDefault="00BC60FC" w:rsidP="00BC60FC">
      <w:pPr>
        <w:pStyle w:val="Point1"/>
      </w:pPr>
      <w:r w:rsidRPr="00483F7D">
        <w:t>γ)</w:t>
      </w:r>
      <w:r w:rsidRPr="00483F7D">
        <w:tab/>
      </w:r>
      <w:r w:rsidR="007A1FD7" w:rsidRPr="00483F7D">
        <w:t>ο εξαγωγέας έχει αποστείλει τις πληροφορίες πριν από την αναχώρηση. </w:t>
      </w:r>
    </w:p>
    <w:p w14:paraId="5AF419C5" w14:textId="77777777" w:rsidR="00E0244C" w:rsidRPr="00483F7D" w:rsidRDefault="007A1FD7" w:rsidP="00113C61">
      <w:pPr>
        <w:pStyle w:val="ManualNumPar10"/>
      </w:pPr>
      <w:r w:rsidRPr="00483F7D">
        <w:t>7.</w:t>
      </w:r>
      <w:r w:rsidRPr="00483F7D">
        <w:tab/>
        <w:t>Όταν οι τελωνειακές αρχές έχουν αναστείλει την παράδοση των εμπορευμάτων σύμφωνα με την παράγραφο 4 ή έχουν αρνηθεί την παράδοση των εμπορευμάτων σύμφωνα με την παράγραφο 3 ή την παράγραφο 5 στοιχείο α), καταγράφουν την απόφασή τους και κάθε άλλη πληροφορία, κατά περίπτωση, που απαιτείται από το ενωσιακό δίκαιο στον τελωνειακό κόμβο δεδομένων της ΕΕ. Αυτές οι πληροφορίες καθίστανται διαθέσιμες στις άλλες τελωνειακές αρχές.</w:t>
      </w:r>
    </w:p>
    <w:p w14:paraId="618D7A79" w14:textId="77777777" w:rsidR="00E0244C" w:rsidRPr="00483F7D" w:rsidRDefault="007A1FD7">
      <w:pPr>
        <w:pStyle w:val="ManualNumPar10"/>
      </w:pPr>
      <w:r w:rsidRPr="00483F7D">
        <w:t>8.</w:t>
      </w:r>
      <w:r w:rsidRPr="00483F7D">
        <w:tab/>
        <w:t>Όταν οι τελωνειακές αρχές έχουν αρνηθεί την παράδοση των εμπορευμάτων σύμφωνα με την παράγραφο 3 ή 5:</w:t>
      </w:r>
    </w:p>
    <w:p w14:paraId="0BA060FB" w14:textId="26E60D8C" w:rsidR="00782BE5" w:rsidRPr="00483F7D" w:rsidRDefault="00BC60FC" w:rsidP="00BC60FC">
      <w:pPr>
        <w:pStyle w:val="Point1"/>
      </w:pPr>
      <w:r w:rsidRPr="00483F7D">
        <w:t>α)</w:t>
      </w:r>
      <w:r w:rsidRPr="00483F7D">
        <w:tab/>
      </w:r>
      <w:r w:rsidR="007A1FD7" w:rsidRPr="00483F7D">
        <w:t>αν οι άλλες αρχές δεν έχουν προβάλει αντιρρήσεις, τα εμπορεύματα είναι δυνατό στη συνέχεια να υπαχθούν σε άλλο τελωνειακό καθεστώς με ένδειξη ότι τα εμπορεύματα είχαν προηγουμένως απορριφθεί για άλλο τελωνειακό καθεστώς·</w:t>
      </w:r>
    </w:p>
    <w:p w14:paraId="22B53BAD" w14:textId="679C7A81" w:rsidR="00E0244C" w:rsidRPr="00483F7D" w:rsidRDefault="00BC60FC" w:rsidP="00BC60FC">
      <w:pPr>
        <w:pStyle w:val="Point1"/>
      </w:pPr>
      <w:r w:rsidRPr="00483F7D">
        <w:t>β)</w:t>
      </w:r>
      <w:r w:rsidRPr="00483F7D">
        <w:tab/>
      </w:r>
      <w:r w:rsidR="007A1FD7" w:rsidRPr="00483F7D">
        <w:t>αν οι άλλες αρχές έχουν προβάλει αντιρρήσεις στην υπαγωγή των εμπορευμάτων σε ένα ή περισσότερα τελωνειακά καθεστώτα, οι τελωνειακές αρχές καταχωρίζουν τις πληροφορίες αυτές στον τελωνειακό κόμβο δεδομένων της ΕΕ και ενεργούν αναλόγως.</w:t>
      </w:r>
    </w:p>
    <w:p w14:paraId="1DBF220F" w14:textId="77777777" w:rsidR="00C44849" w:rsidRPr="00483F7D" w:rsidRDefault="00A15FE2">
      <w:pPr>
        <w:pStyle w:val="ManualNumPar10"/>
      </w:pPr>
      <w:bookmarkStart w:id="82" w:name="_bill__akn_article_hx6eu7"/>
      <w:bookmarkEnd w:id="82"/>
      <w:r w:rsidRPr="00483F7D">
        <w:t>9.</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εύλογων χρονικών περιόδων που αναφέρονται στην παράγραφο 6 του παρόντος άρθρου.</w:t>
      </w:r>
    </w:p>
    <w:p w14:paraId="488A547E" w14:textId="77777777" w:rsidR="00E0244C" w:rsidRPr="00483F7D" w:rsidRDefault="007A1FD7">
      <w:pPr>
        <w:pStyle w:val="Titrearticle"/>
      </w:pPr>
      <w:r w:rsidRPr="00483F7D">
        <w:t>Άρθρο 61</w:t>
      </w:r>
    </w:p>
    <w:p w14:paraId="7DD844B4" w14:textId="77777777" w:rsidR="00E0244C" w:rsidRPr="00483F7D" w:rsidRDefault="008716BB">
      <w:pPr>
        <w:pStyle w:val="NormalCentered"/>
      </w:pPr>
      <w:r w:rsidRPr="00483F7D">
        <w:rPr>
          <w:b/>
        </w:rPr>
        <w:t>Παράδοση των εμπορευμάτων για λογαριασμό των τελωνειακών αρχών από τους αξιόπιστους και ελεγμένους συναλλασσομένους</w:t>
      </w:r>
    </w:p>
    <w:p w14:paraId="6CD0B2E9" w14:textId="77777777" w:rsidR="00E0244C" w:rsidRPr="00483F7D" w:rsidRDefault="007A1FD7">
      <w:pPr>
        <w:pStyle w:val="ManualNumPar10"/>
      </w:pPr>
      <w:r w:rsidRPr="00483F7D">
        <w:t>1.</w:t>
      </w:r>
      <w:r w:rsidRPr="00483F7D">
        <w:tab/>
        <w:t>Κατά παρέκκλιση από το άρθρο 60 παράγραφος 1, οι τελωνειακές αρχές μπορούν να επιτρέπουν στους αξιόπιστους και ελεγμένους συναλλασσομένους να παραδίδουν τα εμπορεύματα για λογαριασμό τους κατά την παραλαβή των εν λόγω εμπορευμάτων στον τόπο επιχειρηματικής δραστηριότητας του εισαγωγέα, του ιδιοκτήτη ή του παραλήπτη ή κατά την αποστολή από τον τόπο επιχειρηματικής δραστηριότητας του εξαγωγέα, του ιδιοκτήτη ή του αποστολέα, εφόσον παρέχονται ή καθίστανται διαθέσιμα στις τελωνειακές αρχές τα αναγκαία δεδομένα για το σχετικό καθεστώς και οι πληροφορίες σε πραγματικό χρόνο σχετικά με την άφιξη ή την αποστολή των εμπορευμάτων.</w:t>
      </w:r>
    </w:p>
    <w:p w14:paraId="1D6C88DC" w14:textId="77777777" w:rsidR="00E0244C" w:rsidRPr="00483F7D" w:rsidRDefault="007A1FD7">
      <w:pPr>
        <w:pStyle w:val="ManualNumPar10"/>
      </w:pPr>
      <w:r w:rsidRPr="00483F7D">
        <w:t>2.</w:t>
      </w:r>
      <w:r w:rsidRPr="00483F7D">
        <w:tab/>
        <w:t>Με την επιφύλαξη του άρθρου 43, οι τελωνειακές αρχές μπορούν να επιτρέπουν στους αξιόπιστους και ελεγμένους συναλλασσομένους να διενεργούν ορισμένους ελέγχους σε εμπορεύματα υπό τελωνειακή επιτήρηση. Στις περιπτώσεις αυτές, όταν τα εμπορεύματα υπόκεινται στη λοιπή νομοθεσία που εφαρμόζεται από τις τελωνειακές αρχές, οι τελωνειακές αρχές διαβουλεύονται με τις άλλες αρχές πριν χορηγήσουν την εν λόγω άδεια και μπορούν να συμφωνήσουν μαζί τους σχέδιο ελέγχου.</w:t>
      </w:r>
    </w:p>
    <w:p w14:paraId="67CB2F45" w14:textId="77777777" w:rsidR="00E0244C" w:rsidRPr="00483F7D" w:rsidRDefault="007A1FD7">
      <w:pPr>
        <w:pStyle w:val="ManualNumPar10"/>
      </w:pPr>
      <w:r w:rsidRPr="00483F7D">
        <w:t>3.</w:t>
      </w:r>
      <w:r w:rsidRPr="00483F7D">
        <w:tab/>
        <w:t>Όταν ο αξιόπιστος και ελεγμένος συναλλασσόμενος που αναφέρεται στην παράγραφο 2 έχει λόγους να πιστεύει ότι τα εμπορεύματα δεν συμμορφώνονται με τη σχετική λοιπή νομοθεσία που εφαρμόζεται από τις τελωνειακές αρχές, ενημερώνει αμέσως τις τελωνειακές αρχές και, κατά περίπτωση, τις άλλες αρχές. Στην περίπτωση αυτή, οι τελωνειακές αρχές αποφασίζουν σχετικά με την παράδοση. </w:t>
      </w:r>
    </w:p>
    <w:p w14:paraId="78E1519D" w14:textId="77777777" w:rsidR="00E0244C" w:rsidRPr="00483F7D" w:rsidRDefault="007A1FD7">
      <w:pPr>
        <w:pStyle w:val="ManualNumPar10"/>
      </w:pPr>
      <w:r w:rsidRPr="00483F7D">
        <w:t>4.</w:t>
      </w:r>
      <w:r w:rsidRPr="00483F7D">
        <w:tab/>
        <w:t>Οι τελωνειακές αρχές μπορούν ανά πάσα στιγμή να απαιτήσουν από τον αξιόπιστο και ελεγμένο συναλλασσόμενο να προσκομίσει τα εμπορεύματα για έλεγχο σε τελωνείο ή στον τόπο όπου επρόκειτο να παραδοθούν τα εμπορεύματα.</w:t>
      </w:r>
    </w:p>
    <w:p w14:paraId="7704F549" w14:textId="77777777" w:rsidR="00E0244C" w:rsidRPr="00483F7D" w:rsidRDefault="007A1FD7">
      <w:pPr>
        <w:pStyle w:val="ManualNumPar10"/>
      </w:pPr>
      <w:r w:rsidRPr="00483F7D">
        <w:t>5.</w:t>
      </w:r>
      <w:r w:rsidRPr="00483F7D">
        <w:tab/>
        <w:t>Σε περίπτωση που οι τελωνειακές αρχές διαπιστώσουν νέο σοβαρό χρηματοοικονομικό κίνδυνο ή άλλη ειδική κατάσταση σε σχέση με άδεια παράδοσης για λογαριασμό τους, μπορούν να αναστείλουν την ικανότητα παράδοσης για λογαριασμό τους για συγκεκριμένο χρονικό διάστημα και να ενημερώσουν τον αξιόπιστο και ελεγμένο συναλλασσόμενο. Στις περιπτώσεις αυτές, οι τελωνειακές αρχές αποφασίζουν σχετικά με την παράδοση των εμπορευμάτων.</w:t>
      </w:r>
    </w:p>
    <w:p w14:paraId="1442D819" w14:textId="77777777" w:rsidR="00E0244C" w:rsidRPr="00483F7D" w:rsidRDefault="007A1FD7">
      <w:pPr>
        <w:pStyle w:val="Titrearticle"/>
      </w:pPr>
      <w:r w:rsidRPr="00483F7D">
        <w:t>Άρθρο 62</w:t>
      </w:r>
    </w:p>
    <w:p w14:paraId="6369042E" w14:textId="77777777" w:rsidR="00E0244C" w:rsidRPr="00483F7D" w:rsidRDefault="007A1FD7">
      <w:pPr>
        <w:pStyle w:val="NormalCentered"/>
      </w:pPr>
      <w:r w:rsidRPr="00483F7D">
        <w:rPr>
          <w:b/>
        </w:rPr>
        <w:t>Τροποποίηση και ακύρωση των πληροφοριών για την υπαγωγή εμπορευμάτων σε τελωνειακό καθεστώς</w:t>
      </w:r>
    </w:p>
    <w:p w14:paraId="4ED25564" w14:textId="77777777" w:rsidR="00E0244C" w:rsidRPr="00483F7D" w:rsidRDefault="007A1FD7">
      <w:pPr>
        <w:pStyle w:val="ManualNumPar10"/>
      </w:pPr>
      <w:r w:rsidRPr="00483F7D">
        <w:t>1.</w:t>
      </w:r>
      <w:r w:rsidRPr="00483F7D">
        <w:tab/>
        <w:t>Ο εισαγωγέας και ο εξαγωγέας διορθώνουν ένα ή περισσότερα στοιχεία των δεδομένων που παρέχονται για την υπαγωγή των εμπορευμάτων σε τελωνειακό καθεστώς, όταν περιέλθει σε γνώση τους ότι οι σχετικές πληροφορίες έχουν αλλάξει στα αρχεία τους, ή όταν η τελωνειακή αρχή τούς δίνει σχετική εντολή ή τούς γνωστοποιεί ζήτημα ακρίβειας, πληρότητας ή ποιότητας των δεδομένων, εκτός αν οι τελωνειακές αρχές έχουν ενημερώσει ότι προτίθενται να εξετάσουν τα εμπορεύματα ή ότι έχουν διαπιστώσει ότι τα παρεχόμενα δεδομένα είναι εσφαλμένα ή αν τα εμπορεύματα έχουν ήδη προσκομιστεί στο τελωνείο.</w:t>
      </w:r>
    </w:p>
    <w:p w14:paraId="7622C0C1" w14:textId="77777777" w:rsidR="00E0244C" w:rsidRPr="00483F7D" w:rsidRDefault="007A1FD7">
      <w:pPr>
        <w:pStyle w:val="ManualNumPar10"/>
      </w:pPr>
      <w:r w:rsidRPr="00483F7D">
        <w:t>2.</w:t>
      </w:r>
      <w:r w:rsidRPr="00483F7D">
        <w:tab/>
        <w:t>Ο εισαγωγέας και ο εξαγωγέας ακυρώνουν τα δεδομένα που παρέχονται για την υπαγωγή εμπορευμάτων σε τελωνειακό καθεστώς μόλις περιέλθει σε γνώση τους ότι τα εμπορεύματα δεν θα μεταφερθούν εντός ή εκτός του τελωνειακού εδάφους της Ένωσης. Οι τελωνειακές αρχές ακυρώνουν τα δεδομένα που παρέχονται για την υπαγωγή εμπορευμάτων σε τελωνειακό καθεστώς, αν, μετά την παρέλευση 200 ημερών από την ημερομηνία κατά την οποία παρασχέθηκαν ή κατέστησαν διαθέσιμες οι πληροφορίες, τα εμπορεύματα δεν έχουν μεταφερθεί εντός ή εκτός του τελωνειακού εδάφους της Ένωσης.</w:t>
      </w:r>
    </w:p>
    <w:p w14:paraId="2E49ADBE" w14:textId="77777777" w:rsidR="00E0244C" w:rsidRPr="00483F7D" w:rsidRDefault="007A1FD7">
      <w:pPr>
        <w:pStyle w:val="ManualNumPar10"/>
      </w:pPr>
      <w:r w:rsidRPr="00483F7D">
        <w:t>3.</w:t>
      </w:r>
      <w:r w:rsidRPr="00483F7D">
        <w:tab/>
        <w:t>Η Επιτροπή ορίζει, με εκτελεστικές πράξεις, τους διαδικαστικούς κανόνες για την τροποποίηση και την ακύρωση των πληροφοριών που αναφέρονται στις παραγράφους 1 και 2 του παρόντος άρθρου. Οι εν λόγω εκτελεστικές πράξεις εκδίδονται σύμφωνα με τη διαδικασία εξέτασης που αναφέρεται στο άρθρο 262 παράγραφος 4.</w:t>
      </w:r>
    </w:p>
    <w:p w14:paraId="5B9B0ECA" w14:textId="77777777" w:rsidR="00E0244C" w:rsidRPr="00483F7D" w:rsidRDefault="007A1FD7">
      <w:pPr>
        <w:pStyle w:val="ChapterTitle"/>
      </w:pPr>
      <w:r w:rsidRPr="00483F7D">
        <w:t xml:space="preserve">Κεφάλαιο 3 </w:t>
      </w:r>
      <w:r w:rsidRPr="00483F7D">
        <w:br/>
        <w:t>Μεταβατικές διατάξεις</w:t>
      </w:r>
    </w:p>
    <w:p w14:paraId="66934122" w14:textId="77777777" w:rsidR="00E0244C" w:rsidRPr="00483F7D" w:rsidRDefault="007A1FD7">
      <w:pPr>
        <w:pStyle w:val="Titrearticle"/>
      </w:pPr>
      <w:r w:rsidRPr="00483F7D">
        <w:t>Άρθρο 63</w:t>
      </w:r>
    </w:p>
    <w:p w14:paraId="3A36A8D1" w14:textId="77777777" w:rsidR="00E0244C" w:rsidRPr="00483F7D" w:rsidRDefault="007A1FD7">
      <w:pPr>
        <w:pStyle w:val="NormalCentered"/>
      </w:pPr>
      <w:r w:rsidRPr="00483F7D">
        <w:rPr>
          <w:b/>
        </w:rPr>
        <w:t>Τελωνειακή διασάφηση εμπορευμάτων</w:t>
      </w:r>
    </w:p>
    <w:p w14:paraId="5DF7303E" w14:textId="77777777" w:rsidR="00E0244C" w:rsidRPr="00483F7D" w:rsidRDefault="007A1FD7">
      <w:pPr>
        <w:pStyle w:val="ManualNumPar10"/>
      </w:pPr>
      <w:r w:rsidRPr="00483F7D">
        <w:t>1.</w:t>
      </w:r>
      <w:r w:rsidRPr="00483F7D">
        <w:tab/>
        <w:t>Έως την ημερομηνία που ορίζεται στο άρθρο 265 παράγραφος 4, όλα τα εμπορεύματα που προορίζονται να υπαχθούν σε τελωνειακό καθεστώς καλύπτονται από τελωνειακή διασάφηση κατάλληλη για το συγκεκριμένο καθεστώς.</w:t>
      </w:r>
    </w:p>
    <w:p w14:paraId="6F029DF3" w14:textId="77777777" w:rsidR="00E0244C" w:rsidRPr="00483F7D" w:rsidRDefault="007A1FD7">
      <w:pPr>
        <w:pStyle w:val="ManualNumPar10"/>
      </w:pPr>
      <w:r w:rsidRPr="00483F7D">
        <w:t>2.</w:t>
      </w:r>
      <w:r w:rsidRPr="00483F7D">
        <w:tab/>
        <w:t>Από την ημερομηνία που ορίζεται στο άρθρο 265 παράγραφος 4, οι εισαγωγείς, οι εξαγωγείς και οι δικαιούχοι του καθεστώτος διαμετακόμισης μπορούν, για την υπαγωγή εμπορευμάτων σε τελωνειακό καθεστώς, να υποβάλλουν τελωνειακή διασάφηση ή να παρέχουν ή να καθιστούν διαθέσιμες τις σχετικές πληροφορίες που είναι κατάλληλες για το σχετικό καθεστώς μέσω του τελωνειακού κόμβου δεδομένων της ΕΕ. Από την ημερομηνία που ορίζεται στο άρθρο 265 παράγραφος 3, οι εισαγωγείς, οι εξαγωγείς και οι δικαιούχοι του καθεστώτος διαμετακόμισης παρέχουν ή καθιστούν διαθέσιμες, για την υπαγωγή εμπορευμάτων σε τελωνειακό καθεστώς, τις πληροφορίες που είναι κατάλληλες για το σχετικό καθεστώς, χρησιμοποιώντας τον τελωνειακό κόμβο δεδομένων της ΕΕ.</w:t>
      </w:r>
    </w:p>
    <w:p w14:paraId="527274E7" w14:textId="77777777" w:rsidR="00E0244C" w:rsidRPr="00483F7D" w:rsidRDefault="007A1FD7">
      <w:pPr>
        <w:pStyle w:val="ManualNumPar10"/>
      </w:pPr>
      <w:r w:rsidRPr="00483F7D">
        <w:t>3.</w:t>
      </w:r>
      <w:r w:rsidRPr="00483F7D">
        <w:tab/>
        <w:t>Σε ειδικές περιπτώσεις, η υποβολή της τελωνειακής διασάφησης μπορεί να γίνει με χρήση μέσων άλλων από τις ηλεκτρονικές τεχνικές επεξεργασίας δεδομένων.</w:t>
      </w:r>
    </w:p>
    <w:p w14:paraId="0BFBA50D" w14:textId="77777777" w:rsidR="009A1554" w:rsidRPr="00483F7D" w:rsidRDefault="007A1FD7" w:rsidP="009A1554">
      <w:pPr>
        <w:pStyle w:val="ManualNumPar10"/>
      </w:pPr>
      <w:r w:rsidRPr="00483F7D">
        <w:t>4.</w:t>
      </w:r>
      <w:r w:rsidRPr="00483F7D">
        <w:tab/>
        <w:t>Η τελωνειακή διασάφηση υποβάλλεται σε ένα από τα ακόλουθα, ανάλογα με τις περιστάσεις:</w:t>
      </w:r>
    </w:p>
    <w:p w14:paraId="4FF7A31D" w14:textId="634AE26C" w:rsidR="00782BE5" w:rsidRPr="00483F7D" w:rsidRDefault="00BC60FC" w:rsidP="00BC60FC">
      <w:pPr>
        <w:pStyle w:val="Point1"/>
      </w:pPr>
      <w:r w:rsidRPr="00483F7D">
        <w:t>α)</w:t>
      </w:r>
      <w:r w:rsidRPr="00483F7D">
        <w:tab/>
      </w:r>
      <w:r w:rsidR="009A1554" w:rsidRPr="00483F7D">
        <w:t>το τελωνείο που είναι αρμόδιο για τον τόπο πρώτης άφιξης των εμπορευμάτων στο τελωνειακό έδαφος της Ένωσης· ή</w:t>
      </w:r>
    </w:p>
    <w:p w14:paraId="6A395CA2" w14:textId="34D542A1" w:rsidR="00782BE5" w:rsidRPr="00483F7D" w:rsidRDefault="00BC60FC" w:rsidP="00BC60FC">
      <w:pPr>
        <w:pStyle w:val="Point1"/>
      </w:pPr>
      <w:r w:rsidRPr="00483F7D">
        <w:t>β)</w:t>
      </w:r>
      <w:r w:rsidRPr="00483F7D">
        <w:tab/>
      </w:r>
      <w:r w:rsidR="009A1554" w:rsidRPr="00483F7D">
        <w:t>το τελωνείο που είναι αρμόδιο για τον τόπο εκφόρτωσης των εμπορευμάτων που φθάνουν διά θαλάσσιας ή αεροπορικής οδού·</w:t>
      </w:r>
    </w:p>
    <w:p w14:paraId="35A3AF88" w14:textId="396A75B7" w:rsidR="00782BE5" w:rsidRPr="00483F7D" w:rsidRDefault="00BC60FC" w:rsidP="00BC60FC">
      <w:pPr>
        <w:pStyle w:val="Point1"/>
      </w:pPr>
      <w:r w:rsidRPr="00483F7D">
        <w:t>γ)</w:t>
      </w:r>
      <w:r w:rsidRPr="00483F7D">
        <w:tab/>
      </w:r>
      <w:r w:rsidR="009A1554" w:rsidRPr="00483F7D">
        <w:t>το τελωνείο προορισμού του καθεστώτος διαμετακόμισης, αν τα εμπορεύματα έχουν εισέλθει στο τελωνειακό έδαφος της Ένωσης υπό καθεστώς διαμετακόμισης·</w:t>
      </w:r>
    </w:p>
    <w:p w14:paraId="6391D7D6" w14:textId="7AFAD12C" w:rsidR="00782BE5" w:rsidRPr="00483F7D" w:rsidRDefault="00BC60FC" w:rsidP="00BC60FC">
      <w:pPr>
        <w:pStyle w:val="Point1"/>
      </w:pPr>
      <w:r w:rsidRPr="00483F7D">
        <w:t>δ)</w:t>
      </w:r>
      <w:r w:rsidRPr="00483F7D">
        <w:tab/>
      </w:r>
      <w:r w:rsidR="00651053" w:rsidRPr="00483F7D">
        <w:tab/>
        <w:t>το τελωνείο που είναι αρμόδιο για τον τόπο όπου βρίσκονται τα εμπορεύματα τα οποία πρόκειται να υπαχθούν σε καθεστώς διαμετακόμισης·</w:t>
      </w:r>
    </w:p>
    <w:p w14:paraId="6D120801" w14:textId="23C35D48" w:rsidR="00782BE5" w:rsidRPr="00483F7D" w:rsidRDefault="00BC60FC" w:rsidP="00BC60FC">
      <w:pPr>
        <w:pStyle w:val="Point1"/>
      </w:pPr>
      <w:r w:rsidRPr="00483F7D">
        <w:t>ε)</w:t>
      </w:r>
      <w:r w:rsidRPr="00483F7D">
        <w:tab/>
      </w:r>
      <w:r w:rsidR="009A1554" w:rsidRPr="00483F7D">
        <w:t>το τελωνείο που είναι αρμόδιο για τον τόπο εγκατάστασης του εγκεκριμένου οικονομικού φορέα για τις τελωνειακές απλουστεύσεις, ο οποίος είναι εξουσιοδοτημένος να εφαρμόζει κεντρικό τελωνισμό·</w:t>
      </w:r>
    </w:p>
    <w:p w14:paraId="67C9F157" w14:textId="5E50DCA7" w:rsidR="00651053" w:rsidRPr="00483F7D" w:rsidRDefault="00BC60FC" w:rsidP="00BC60FC">
      <w:pPr>
        <w:pStyle w:val="Point1"/>
      </w:pPr>
      <w:r w:rsidRPr="00483F7D">
        <w:t>στ)</w:t>
      </w:r>
      <w:r w:rsidRPr="00483F7D">
        <w:tab/>
      </w:r>
      <w:r w:rsidR="009A1554" w:rsidRPr="00483F7D">
        <w:t>το τελωνείο που είναι αρμόδιο για τον τόπο όπου βρίσκονται τα εμπορεύματα που προορίζονται να μεταφερθούν εκτός του τελωνειακού εδάφους της Ένωσης.</w:t>
      </w:r>
    </w:p>
    <w:p w14:paraId="493C94DC"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ειδικών περιπτώσεων στις οποίες μια τελωνειακή διασάφηση μπορεί να υποβληθεί με χρήση μέσων άλλων από τις ηλεκτρονικές τεχνικές επεξεργασίας δεδομένων σύμφωνα με την παράγραφο 2 του παρόντος άρθρου.</w:t>
      </w:r>
    </w:p>
    <w:p w14:paraId="3427983C" w14:textId="77777777" w:rsidR="00E0244C" w:rsidRPr="00483F7D" w:rsidRDefault="007A1FD7">
      <w:pPr>
        <w:pStyle w:val="ManualNumPar10"/>
      </w:pPr>
      <w:r w:rsidRPr="00483F7D">
        <w:t>6.</w:t>
      </w:r>
      <w:r w:rsidRPr="00483F7D">
        <w:tab/>
        <w:t>Η Επιτροπή ορίζει, με εκτελεστικές πράξεις:</w:t>
      </w:r>
    </w:p>
    <w:p w14:paraId="6E08073E" w14:textId="453BA027" w:rsidR="00782BE5" w:rsidRPr="00483F7D" w:rsidRDefault="00BC60FC" w:rsidP="00BC60FC">
      <w:pPr>
        <w:pStyle w:val="Point1"/>
      </w:pPr>
      <w:r w:rsidRPr="00483F7D">
        <w:t>α)</w:t>
      </w:r>
      <w:r w:rsidRPr="00483F7D">
        <w:tab/>
      </w:r>
      <w:r w:rsidR="00204B5E" w:rsidRPr="00483F7D">
        <w:t>τη διαδικασία υποβολής τελωνειακής διασάφησης στις περιπτώσεις που αναφέρονται στην παράγραφο 3·</w:t>
      </w:r>
    </w:p>
    <w:p w14:paraId="450AC05F" w14:textId="48D07A43" w:rsidR="005801AE" w:rsidRPr="00483F7D" w:rsidRDefault="00BC60FC" w:rsidP="00BC60FC">
      <w:pPr>
        <w:pStyle w:val="Point1"/>
      </w:pPr>
      <w:r w:rsidRPr="00483F7D">
        <w:t>β)</w:t>
      </w:r>
      <w:r w:rsidRPr="00483F7D">
        <w:tab/>
      </w:r>
      <w:r w:rsidR="00204B5E" w:rsidRPr="00483F7D">
        <w:t>τους κανόνες για τον καθορισμό των αρμόδιων τελωνείων άλλων από αυτά που αναφέρονται στην παράγραφο 4, συμπεριλαμβανομένων των τελωνείων εισόδου και των τελωνείων εξόδου.</w:t>
      </w:r>
    </w:p>
    <w:p w14:paraId="4882D740" w14:textId="77777777" w:rsidR="00E0244C" w:rsidRPr="00483F7D" w:rsidRDefault="005801AE" w:rsidP="00A3564A">
      <w:pPr>
        <w:pStyle w:val="Text1"/>
      </w:pPr>
      <w:r w:rsidRPr="00483F7D">
        <w:t xml:space="preserve">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5E888AD0" w14:textId="77777777" w:rsidR="00E0244C" w:rsidRPr="00483F7D" w:rsidRDefault="007A1FD7">
      <w:pPr>
        <w:pStyle w:val="Titrearticle"/>
      </w:pPr>
      <w:r w:rsidRPr="00483F7D">
        <w:t>Άρθρο 64</w:t>
      </w:r>
    </w:p>
    <w:p w14:paraId="3742423A" w14:textId="77777777" w:rsidR="00E0244C" w:rsidRPr="00483F7D" w:rsidRDefault="007A1FD7">
      <w:pPr>
        <w:pStyle w:val="NormalCentered"/>
      </w:pPr>
      <w:r w:rsidRPr="00483F7D">
        <w:rPr>
          <w:b/>
        </w:rPr>
        <w:t>Συνήθης τελωνειακή διασάφηση</w:t>
      </w:r>
    </w:p>
    <w:p w14:paraId="03F37DCC" w14:textId="77777777" w:rsidR="00E0244C" w:rsidRPr="00483F7D" w:rsidRDefault="007A1FD7">
      <w:pPr>
        <w:pStyle w:val="ManualNumPar10"/>
      </w:pPr>
      <w:r w:rsidRPr="00483F7D">
        <w:t>1.</w:t>
      </w:r>
      <w:r w:rsidRPr="00483F7D">
        <w:tab/>
        <w:t>Οι συνήθεις τελωνειακές διασαφήσεις περιέχουν όλα τα στοιχεία τα οποία είναι αναγκαία για την εφαρμογή των διατάξεων που διέπουν το τελωνειακό καθεστώς για το οποίο διασαφίζονται τα εμπορεύματα.</w:t>
      </w:r>
    </w:p>
    <w:p w14:paraId="2F2D9C9B" w14:textId="77777777" w:rsidR="00E0244C" w:rsidRPr="00483F7D" w:rsidRDefault="007A1FD7">
      <w:pPr>
        <w:pStyle w:val="ManualNumPar10"/>
      </w:pPr>
      <w:r w:rsidRPr="00483F7D">
        <w:t>2.</w:t>
      </w:r>
      <w:r w:rsidRPr="00483F7D">
        <w:tab/>
        <w:t>Η Επιτροπή ορίζει, με εκτελεστικές πράξεις, τη διαδικασία για την υποβολή της συνήθους τελωνειακής διασάφησης που αναφέρεται στην παράγραφο 1. Οι εν λόγω εκτελεστικές πράξεις εκδίδονται σύμφωνα με τη διαδικασία εξέτασης που αναφέρεται στο άρθρο 262 παράγραφος 4.</w:t>
      </w:r>
    </w:p>
    <w:p w14:paraId="03DDA135" w14:textId="77777777" w:rsidR="00E0244C" w:rsidRPr="00483F7D" w:rsidRDefault="007A1FD7">
      <w:pPr>
        <w:pStyle w:val="Titrearticle"/>
      </w:pPr>
      <w:bookmarkStart w:id="83" w:name="__akn_article_JRqtIV"/>
      <w:bookmarkEnd w:id="83"/>
      <w:r w:rsidRPr="00483F7D">
        <w:t>Άρθρο 65</w:t>
      </w:r>
    </w:p>
    <w:p w14:paraId="687E18E3" w14:textId="77777777" w:rsidR="00E0244C" w:rsidRPr="00483F7D" w:rsidRDefault="007A1FD7">
      <w:pPr>
        <w:pStyle w:val="NormalCentered"/>
      </w:pPr>
      <w:r w:rsidRPr="00483F7D">
        <w:rPr>
          <w:b/>
        </w:rPr>
        <w:t>Απλουστευμένη διασάφηση</w:t>
      </w:r>
    </w:p>
    <w:p w14:paraId="488DA3DE" w14:textId="77777777" w:rsidR="00E0244C" w:rsidRPr="00483F7D" w:rsidRDefault="007A1FD7">
      <w:pPr>
        <w:pStyle w:val="ManualNumPar10"/>
      </w:pPr>
      <w:r w:rsidRPr="00483F7D">
        <w:t>1.</w:t>
      </w:r>
      <w:r w:rsidRPr="00483F7D">
        <w:tab/>
        <w:t xml:space="preserve">Έως την ημερομηνία που ορίζεται στο άρθρο 265 παράγραφος 3, οι τελωνειακές αρχές μπορούν να επιτρέπουν σε ένα πρόσωπο να υπαγάγει τα εμπορεύματά του σε τελωνειακό καθεστώς με βάση απλουστευμένη διασάφηση, στην οποία είναι δυνατό να παραλείπονται ορισμένα από τα στοιχεία ή τα δικαιολογητικά έγγραφα που αναφέρονται στο άρθρο </w:t>
      </w:r>
      <w:hyperlink w:anchor="__akn_article_AgT1z0" w:tooltip="Article 40: 40">
        <w:r w:rsidRPr="00483F7D">
          <w:rPr>
            <w:rStyle w:val="Hyperlink"/>
          </w:rPr>
          <w:t>40</w:t>
        </w:r>
      </w:hyperlink>
      <w:r w:rsidRPr="00483F7D">
        <w:t>.</w:t>
      </w:r>
    </w:p>
    <w:p w14:paraId="7CD44899" w14:textId="77777777" w:rsidR="00E0244C" w:rsidRPr="00483F7D" w:rsidRDefault="007A1FD7">
      <w:pPr>
        <w:pStyle w:val="ManualNumPar10"/>
      </w:pPr>
      <w:r w:rsidRPr="00483F7D">
        <w:t>2.</w:t>
      </w:r>
      <w:r w:rsidRPr="00483F7D">
        <w:tab/>
        <w:t>Έως την ημερομηνία που ορίζεται στο άρθρο 265 παράγραφος 4, οι τελωνειακές αρχές μπορούν να επιτρέπουν την τακτική χρήση απλουστευμένης διασάφησης.</w:t>
      </w:r>
    </w:p>
    <w:p w14:paraId="76F20453" w14:textId="77777777" w:rsidR="00E0244C" w:rsidRPr="00483F7D" w:rsidRDefault="007A1FD7">
      <w:pPr>
        <w:pStyle w:val="ManualNumPar10"/>
      </w:pPr>
      <w:r w:rsidRPr="00483F7D">
        <w:t>3.</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για τη χορήγηση της άδειας που αναφέρεται στην παράγραφο 2 του παρόντος άρθρου.</w:t>
      </w:r>
    </w:p>
    <w:p w14:paraId="3D9CCFFA" w14:textId="77777777" w:rsidR="00E0244C" w:rsidRPr="00483F7D" w:rsidRDefault="007A1FD7">
      <w:pPr>
        <w:pStyle w:val="ManualNumPar10"/>
      </w:pPr>
      <w:r w:rsidRPr="00483F7D">
        <w:t>4.</w:t>
      </w:r>
      <w:r w:rsidRPr="00483F7D">
        <w:tab/>
        <w:t xml:space="preserve">Η Επιτροπή ορίζει, με εκτελεστικές πράξεις, τη διαδικασία για την υποβολή της απλουστευμένης διασάφησης.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43E36BFB" w14:textId="77777777" w:rsidR="00E0244C" w:rsidRPr="00483F7D" w:rsidRDefault="007A1FD7">
      <w:pPr>
        <w:pStyle w:val="Titrearticle"/>
      </w:pPr>
      <w:r w:rsidRPr="00483F7D">
        <w:t>Άρθρο 66</w:t>
      </w:r>
    </w:p>
    <w:p w14:paraId="06B264F0" w14:textId="77777777" w:rsidR="00E0244C" w:rsidRPr="00483F7D" w:rsidRDefault="007A1FD7">
      <w:pPr>
        <w:pStyle w:val="NormalCentered"/>
      </w:pPr>
      <w:r w:rsidRPr="00483F7D">
        <w:rPr>
          <w:b/>
        </w:rPr>
        <w:t>Συμπληρωματική διασάφηση</w:t>
      </w:r>
    </w:p>
    <w:p w14:paraId="04D6FC1F" w14:textId="77777777" w:rsidR="00E0244C" w:rsidRPr="00483F7D" w:rsidRDefault="007A1FD7">
      <w:pPr>
        <w:pStyle w:val="ManualNumPar10"/>
      </w:pPr>
      <w:bookmarkStart w:id="84" w:name="__akn_article_XD0yy4-par1"/>
      <w:bookmarkEnd w:id="84"/>
      <w:r w:rsidRPr="00483F7D">
        <w:t>1.</w:t>
      </w:r>
      <w:r w:rsidRPr="00483F7D">
        <w:tab/>
        <w:t xml:space="preserve">Στην περίπτωση απλουστευμένης διασάφησης σύμφωνα με το άρθρο </w:t>
      </w:r>
      <w:hyperlink w:anchor="__akn_article_JRqtIV" w:tooltip="Article 65: 65">
        <w:r w:rsidRPr="00483F7D">
          <w:rPr>
            <w:rStyle w:val="Hyperlink"/>
          </w:rPr>
          <w:t>65</w:t>
        </w:r>
      </w:hyperlink>
      <w:r w:rsidRPr="00483F7D">
        <w:t xml:space="preserve"> ή εγγραφής στις λογιστικές καταχωρίσεις του διασαφιστή, σύμφωνα με το άρθρο </w:t>
      </w:r>
      <w:hyperlink w:anchor="__akn_article_rHveVQ" w:tooltip="Article 73: 73">
        <w:r w:rsidRPr="00483F7D">
          <w:rPr>
            <w:rStyle w:val="Hyperlink"/>
          </w:rPr>
          <w:t>73</w:t>
        </w:r>
      </w:hyperlink>
      <w:r w:rsidRPr="00483F7D">
        <w:t>, ο διασαφιστής υποβάλλει, στο αρμόδιο τελωνείο και εντός συγκεκριμένης προθεσμίας, συμπληρωματική διασάφηση, στην οποία περιέχονται τα στοιχεία που είναι αναγκαία για το σχετικό τελωνειακό καθεστώς.</w:t>
      </w:r>
    </w:p>
    <w:p w14:paraId="4692D5D4" w14:textId="77777777" w:rsidR="00E0244C" w:rsidRPr="00483F7D" w:rsidRDefault="007A1FD7">
      <w:pPr>
        <w:pStyle w:val="Text1"/>
      </w:pPr>
      <w:r w:rsidRPr="00483F7D">
        <w:t xml:space="preserve">Στην περίπτωση απλουστευμένης διασάφησης σύμφωνα με το άρθρο </w:t>
      </w:r>
      <w:hyperlink w:anchor="__akn_article_JRqtIV" w:tooltip="Article 65: 65">
        <w:r w:rsidRPr="00483F7D">
          <w:rPr>
            <w:rStyle w:val="Hyperlink"/>
          </w:rPr>
          <w:t>65</w:t>
        </w:r>
      </w:hyperlink>
      <w:r w:rsidRPr="00483F7D">
        <w:t>, τα αναγκαία δικαιολογητικά έγγραφα πρέπει να βρίσκονται στην κατοχή του διασαφιστή και να τίθενται στη διάθεση των τελωνειακών αρχών εντός συγκεκριμένης προθεσμίας.</w:t>
      </w:r>
    </w:p>
    <w:p w14:paraId="0A21F212" w14:textId="77777777" w:rsidR="00E0244C" w:rsidRPr="00483F7D" w:rsidRDefault="007A1FD7">
      <w:pPr>
        <w:pStyle w:val="Text1"/>
      </w:pPr>
      <w:r w:rsidRPr="00483F7D">
        <w:t>Η συμπληρωματική διασάφηση μπορεί να είναι συνολική, περιοδική ή ανακεφαλαιωτική.</w:t>
      </w:r>
    </w:p>
    <w:p w14:paraId="53505E07" w14:textId="77777777" w:rsidR="00E0244C" w:rsidRPr="00483F7D" w:rsidRDefault="007A1FD7">
      <w:pPr>
        <w:pStyle w:val="ManualNumPar10"/>
      </w:pPr>
      <w:r w:rsidRPr="00483F7D">
        <w:t>2.</w:t>
      </w:r>
      <w:r w:rsidRPr="00483F7D">
        <w:tab/>
        <w:t>Η υποχρέωση υποβολής συμπληρωματικής διασάφησης αίρεται στις ακόλουθες περιπτώσεις:</w:t>
      </w:r>
    </w:p>
    <w:p w14:paraId="4D3402F1" w14:textId="3D081753" w:rsidR="00782BE5" w:rsidRPr="00483F7D" w:rsidRDefault="00BC60FC" w:rsidP="00BC60FC">
      <w:pPr>
        <w:pStyle w:val="Point1"/>
      </w:pPr>
      <w:r w:rsidRPr="00483F7D">
        <w:t>α)</w:t>
      </w:r>
      <w:r w:rsidRPr="00483F7D">
        <w:tab/>
      </w:r>
      <w:r w:rsidR="007A1FD7" w:rsidRPr="00483F7D">
        <w:t>όταν τα εμπορεύματα έχουν υπαχθεί σε καθεστώς τελωνειακής αποταμίευσης·</w:t>
      </w:r>
    </w:p>
    <w:p w14:paraId="5F61AD91" w14:textId="64F13774" w:rsidR="00E0244C" w:rsidRPr="00483F7D" w:rsidRDefault="00BC60FC" w:rsidP="00BC60FC">
      <w:pPr>
        <w:pStyle w:val="Point1"/>
      </w:pPr>
      <w:r w:rsidRPr="00483F7D">
        <w:t>β)</w:t>
      </w:r>
      <w:r w:rsidRPr="00483F7D">
        <w:tab/>
      </w:r>
      <w:r w:rsidR="007A1FD7" w:rsidRPr="00483F7D">
        <w:t>σε άλλες ειδικές περιπτώσεις.</w:t>
      </w:r>
    </w:p>
    <w:p w14:paraId="414C8199" w14:textId="77777777" w:rsidR="00E0244C" w:rsidRPr="00483F7D" w:rsidRDefault="007A1FD7">
      <w:pPr>
        <w:pStyle w:val="ManualNumPar10"/>
      </w:pPr>
      <w:r w:rsidRPr="00483F7D">
        <w:t>3.</w:t>
      </w:r>
      <w:r w:rsidRPr="00483F7D">
        <w:tab/>
        <w:t>Οι τελωνειακές αρχές μπορούν να αίρουν την απαίτηση υποβολής συμπληρωματικής διασάφησης εφόσον πληρούνται οι ακόλουθοι όροι:</w:t>
      </w:r>
    </w:p>
    <w:p w14:paraId="2F148FF8" w14:textId="6D4BFC39" w:rsidR="00782BE5" w:rsidRPr="00483F7D" w:rsidRDefault="00BC60FC" w:rsidP="00BC60FC">
      <w:pPr>
        <w:pStyle w:val="Point1"/>
      </w:pPr>
      <w:r w:rsidRPr="00483F7D">
        <w:t>α)</w:t>
      </w:r>
      <w:r w:rsidRPr="00483F7D">
        <w:tab/>
      </w:r>
      <w:r w:rsidR="007A1FD7" w:rsidRPr="00483F7D">
        <w:t>η απλουστευμένη διασάφηση αφορά εμπορεύματα των οποίων η αξία και η ποσότητα δεν υπερβαίνει το στατιστικό κατώφλι·</w:t>
      </w:r>
    </w:p>
    <w:p w14:paraId="42E3D836" w14:textId="5E226274" w:rsidR="00782BE5" w:rsidRPr="00483F7D" w:rsidRDefault="00BC60FC" w:rsidP="00BC60FC">
      <w:pPr>
        <w:pStyle w:val="Point1"/>
      </w:pPr>
      <w:r w:rsidRPr="00483F7D">
        <w:t>β)</w:t>
      </w:r>
      <w:r w:rsidRPr="00483F7D">
        <w:tab/>
      </w:r>
      <w:r w:rsidR="007A1FD7" w:rsidRPr="00483F7D">
        <w:t>η απλουστευμένη διασάφηση περιέχει ήδη όλες τις αναγκαίες πληροφορίες για την υπαγωγή στο σχετικό τελωνειακό καθεστώς·</w:t>
      </w:r>
    </w:p>
    <w:p w14:paraId="39EA7585" w14:textId="68F50D4C" w:rsidR="00E0244C" w:rsidRPr="00483F7D" w:rsidRDefault="00BC60FC" w:rsidP="00BC60FC">
      <w:pPr>
        <w:pStyle w:val="Point1"/>
      </w:pPr>
      <w:r w:rsidRPr="00483F7D">
        <w:t>γ)</w:t>
      </w:r>
      <w:r w:rsidRPr="00483F7D">
        <w:tab/>
      </w:r>
      <w:r w:rsidR="007A1FD7" w:rsidRPr="00483F7D">
        <w:t>η απλουστευμένη διασάφηση δεν γίνεται με εγγραφή στις λογιστικές καταχωρίσεις του διασαφιστή.</w:t>
      </w:r>
    </w:p>
    <w:p w14:paraId="72AB4A5A" w14:textId="77777777" w:rsidR="00E0244C" w:rsidRPr="00483F7D" w:rsidRDefault="007A1FD7">
      <w:pPr>
        <w:pStyle w:val="ManualNumPar10"/>
      </w:pPr>
      <w:r w:rsidRPr="00483F7D">
        <w:t>4.</w:t>
      </w:r>
      <w:r w:rsidRPr="00483F7D">
        <w:tab/>
        <w:t xml:space="preserve">Η απλουστευμένη διασάφηση που αναφέρεται στο άρθρο </w:t>
      </w:r>
      <w:hyperlink w:anchor="__akn_article_JRqtIV" w:tooltip="Article 65: 65">
        <w:r w:rsidRPr="00483F7D">
          <w:rPr>
            <w:rStyle w:val="Hyperlink"/>
          </w:rPr>
          <w:t>65</w:t>
        </w:r>
      </w:hyperlink>
      <w:r w:rsidRPr="00483F7D">
        <w:t xml:space="preserve"> ή η εγγραφή στις λογιστικές καταχωρίσεις του διασαφιστή που αναφέρεται στο άρθρο </w:t>
      </w:r>
      <w:hyperlink w:anchor="__akn_article_rHveVQ" w:tooltip="Article 73: 73">
        <w:r w:rsidRPr="00483F7D">
          <w:rPr>
            <w:rStyle w:val="Hyperlink"/>
          </w:rPr>
          <w:t>73</w:t>
        </w:r>
      </w:hyperlink>
      <w:r w:rsidRPr="00483F7D">
        <w:t xml:space="preserve">, καθώς και η συμπληρωματική διασάφηση, θεωρείται ότι συναποτελούν ενιαία και αδιαίρετη πράξη που ισχύει, αντίστοιχα, από την ημερομηνία αποδοχής της απλουστευμένης διασάφησης σύμφωνα με το άρθρο </w:t>
      </w:r>
      <w:hyperlink w:anchor="__akn_article_MNeA2v" w:tooltip="Article 69: 69">
        <w:r w:rsidRPr="00483F7D">
          <w:rPr>
            <w:rStyle w:val="Hyperlink"/>
          </w:rPr>
          <w:t>69</w:t>
        </w:r>
      </w:hyperlink>
      <w:r w:rsidRPr="00483F7D">
        <w:t xml:space="preserve"> και την ημερομηνία εγγραφής των εμπορευμάτων στις λογιστικές καταχωρίσεις του διασαφιστή.</w:t>
      </w:r>
    </w:p>
    <w:p w14:paraId="30505323" w14:textId="77777777" w:rsidR="00E0244C" w:rsidRPr="00483F7D" w:rsidRDefault="007A1FD7">
      <w:pPr>
        <w:pStyle w:val="ManualNumPar10"/>
      </w:pPr>
      <w:r w:rsidRPr="00483F7D">
        <w:t>5.</w:t>
      </w:r>
      <w:r w:rsidRPr="00483F7D">
        <w:tab/>
        <w:t xml:space="preserve">Για τους σκοπούς του άρθρου </w:t>
      </w:r>
      <w:hyperlink w:anchor="__akn_article_GeBvjG" w:tooltip="Article 169: 169">
        <w:r w:rsidRPr="00483F7D">
          <w:rPr>
            <w:rStyle w:val="Hyperlink"/>
          </w:rPr>
          <w:t>169</w:t>
        </w:r>
      </w:hyperlink>
      <w:r w:rsidRPr="00483F7D">
        <w:t>, ως τόπος στον οποίο πρέπει να υποβληθεί η συμπληρωματική διασάφηση θεωρείται εκείνος στον οποίο έχει υποβληθεί η τελωνειακή διασάφηση.</w:t>
      </w:r>
    </w:p>
    <w:p w14:paraId="149223AF" w14:textId="77777777" w:rsidR="00E0244C" w:rsidRPr="00483F7D" w:rsidRDefault="007A1FD7">
      <w:pPr>
        <w:pStyle w:val="ManualNumPar10"/>
      </w:pPr>
      <w:r w:rsidRPr="00483F7D">
        <w:t>6.</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456FAC5E" w14:textId="3829DBD3" w:rsidR="00782BE5" w:rsidRPr="00483F7D" w:rsidRDefault="00BC60FC" w:rsidP="00BC60FC">
      <w:pPr>
        <w:pStyle w:val="Point1"/>
      </w:pPr>
      <w:r w:rsidRPr="00483F7D">
        <w:t>α)</w:t>
      </w:r>
      <w:r w:rsidRPr="00483F7D">
        <w:tab/>
      </w:r>
      <w:r w:rsidR="007A1FD7" w:rsidRPr="00483F7D">
        <w:t>της συγκεκριμένης προθεσμίας που αναφέρεται στην παράγραφο 1 πρώτο εδάφιο, εντός της οποίας πρέπει να υποβληθεί η συμπληρωματική διασάφηση·</w:t>
      </w:r>
    </w:p>
    <w:p w14:paraId="68346A0A" w14:textId="1BD8AFC9" w:rsidR="00782BE5" w:rsidRPr="00483F7D" w:rsidRDefault="00BC60FC" w:rsidP="00BC60FC">
      <w:pPr>
        <w:pStyle w:val="Point1"/>
      </w:pPr>
      <w:r w:rsidRPr="00483F7D">
        <w:t>β)</w:t>
      </w:r>
      <w:r w:rsidRPr="00483F7D">
        <w:tab/>
      </w:r>
      <w:r w:rsidR="00782BE5" w:rsidRPr="00483F7D">
        <w:t>της συγκεκριμένης προθεσμίας που αναφέρεται στην παράγραφο 1 δεύτερο εδάφιο, εντός της οποίας πρέπει να βρίσκονται στην κατοχή του διασαφιστή και να τίθενται στη διάθεση των τελωνειακών αρχών τα δικαιολογητικά έγγραφα·</w:t>
      </w:r>
    </w:p>
    <w:p w14:paraId="3DD4DDF2" w14:textId="72156B7B" w:rsidR="00E0244C" w:rsidRPr="00483F7D" w:rsidRDefault="00BC60FC" w:rsidP="00BC60FC">
      <w:pPr>
        <w:pStyle w:val="Point1"/>
      </w:pPr>
      <w:r w:rsidRPr="00483F7D">
        <w:t>γ)</w:t>
      </w:r>
      <w:r w:rsidRPr="00483F7D">
        <w:tab/>
      </w:r>
      <w:r w:rsidR="007A1FD7" w:rsidRPr="00483F7D">
        <w:t>των ειδικών περιπτώσεων στις οποίες αίρεται η υποχρέωση υποβολής συμπληρωματικής διασάφησης σύμφωνα με την παράγραφο 2 στοιχείο β).</w:t>
      </w:r>
    </w:p>
    <w:p w14:paraId="2A535E5D" w14:textId="77777777" w:rsidR="00E0244C" w:rsidRPr="00483F7D" w:rsidRDefault="007A1FD7">
      <w:pPr>
        <w:pStyle w:val="ManualNumPar10"/>
      </w:pPr>
      <w:r w:rsidRPr="00483F7D">
        <w:t>7.</w:t>
      </w:r>
      <w:r w:rsidRPr="00483F7D">
        <w:tab/>
        <w:t xml:space="preserve">Η Επιτροπή ορίζει, με εκτελεστικές πράξεις, τους διαδικαστικούς κανόνες για την υποβολή της συμπληρωματικής διασάφησης.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5B57DA45" w14:textId="77777777" w:rsidR="00E0244C" w:rsidRPr="00483F7D" w:rsidRDefault="007A1FD7">
      <w:pPr>
        <w:pStyle w:val="Titrearticle"/>
      </w:pPr>
      <w:bookmarkStart w:id="85" w:name="_Hlk132360278"/>
      <w:r w:rsidRPr="00483F7D">
        <w:t>Άρθρο 67</w:t>
      </w:r>
    </w:p>
    <w:p w14:paraId="545D63A7" w14:textId="77777777" w:rsidR="00E0244C" w:rsidRPr="00483F7D" w:rsidRDefault="007A1FD7">
      <w:pPr>
        <w:pStyle w:val="NormalCentered"/>
      </w:pPr>
      <w:r w:rsidRPr="00483F7D">
        <w:rPr>
          <w:b/>
        </w:rPr>
        <w:t>Υποβολή τελωνειακής διασάφησης</w:t>
      </w:r>
    </w:p>
    <w:p w14:paraId="1DC4EEAA" w14:textId="77777777" w:rsidR="00E0244C" w:rsidRPr="00483F7D" w:rsidRDefault="007A1FD7">
      <w:pPr>
        <w:pStyle w:val="ManualNumPar10"/>
      </w:pPr>
      <w:r w:rsidRPr="00483F7D">
        <w:t>1.</w:t>
      </w:r>
      <w:r w:rsidRPr="00483F7D">
        <w:tab/>
        <w:t xml:space="preserve">Έως την ημερομηνία που ορίζεται στο άρθρο 265 παράγραφος 3, με την επιφύλαξη του άρθρου 66 παράγραφος </w:t>
      </w:r>
      <w:hyperlink w:anchor="__akn_article_XD0yy4-par1" w:tooltip="Article 66(1): (1)">
        <w:r w:rsidRPr="00483F7D">
          <w:rPr>
            <w:rStyle w:val="Hyperlink"/>
          </w:rPr>
          <w:t>1</w:t>
        </w:r>
      </w:hyperlink>
      <w:r w:rsidRPr="00483F7D">
        <w:t>, τελωνειακή διασάφηση μπορεί να υποβάλλει οποιοδήποτε πρόσωπο μπορεί να παρέχει όλες τις απαιτούμενες πληροφορίες για την εφαρμογή των διατάξεων που διέπουν το τελωνειακό καθεστώς για το οποίο διασαφίζονται τα εμπορεύματα. Το πρόσωπο αυτό πρέπει επίσης να μπορεί να προσκομίσει το ίδιο ή να φροντίσει να προσκομιστούν τα εν λόγω εμπορεύματα στο τελωνείο.</w:t>
      </w:r>
    </w:p>
    <w:p w14:paraId="27049FF0" w14:textId="77777777" w:rsidR="00E0244C" w:rsidRPr="00483F7D" w:rsidRDefault="007A1FD7">
      <w:pPr>
        <w:pStyle w:val="Text1"/>
      </w:pPr>
      <w:r w:rsidRPr="00483F7D">
        <w:t>Ωστόσο, όταν η αποδοχή τελωνειακής διασάφησης συνεπάγεται ιδιαίτερες υποχρεώσεις για συγκεκριμένο πρόσωπο, η διασάφηση αυτή υποβάλλεται από το εν λόγω πρόσωπο ή από τον αντιπρόσωπό του.</w:t>
      </w:r>
    </w:p>
    <w:p w14:paraId="77788C28" w14:textId="77777777" w:rsidR="00E0244C" w:rsidRPr="00483F7D" w:rsidRDefault="007A1FD7">
      <w:pPr>
        <w:pStyle w:val="ManualNumPar10"/>
      </w:pPr>
      <w:bookmarkStart w:id="86" w:name="__akn_article_aPmmxR_zwqT6y"/>
      <w:bookmarkEnd w:id="86"/>
      <w:r w:rsidRPr="00483F7D">
        <w:t>2.</w:t>
      </w:r>
      <w:r w:rsidRPr="00483F7D">
        <w:tab/>
        <w:t>Κατά παρέκκλιση από την παράγραφο 1 πρώτο εδάφιο, η τελωνειακή διασάφηση για θέση σε ελεύθερη κυκλοφορία εμπορευμάτων που πρόκειται να εισαχθούν στο τελωνειακό έδαφος της Ένωσης στο πλαίσιο του ειδικού καθεστώτος για τις εξ αποστάσεως πωλήσεις που προβλέπεται στον τίτλο XII κεφάλαιο 6 τμήμα 4 της οδηγίας 2006/112/ΕΚ για εξ αποστάσεως πωλήσεις υποβάλλεται από τον θεωρούμενο εισαγωγέα ή για λογαριασμό του.</w:t>
      </w:r>
    </w:p>
    <w:p w14:paraId="66A5CFCB" w14:textId="77777777" w:rsidR="00E0244C" w:rsidRPr="00483F7D" w:rsidRDefault="007A1FD7">
      <w:pPr>
        <w:pStyle w:val="ManualNumPar10"/>
      </w:pPr>
      <w:r w:rsidRPr="00483F7D">
        <w:t>3.</w:t>
      </w:r>
      <w:r w:rsidRPr="00483F7D">
        <w:tab/>
        <w:t>Ο διασαφιστής είναι εγκατεστημένος στο τελωνειακό έδαφος της Ένωσης.</w:t>
      </w:r>
    </w:p>
    <w:p w14:paraId="022182EE" w14:textId="77777777" w:rsidR="00E0244C" w:rsidRPr="00483F7D" w:rsidRDefault="007A1FD7">
      <w:pPr>
        <w:pStyle w:val="ManualNumPar10"/>
      </w:pPr>
      <w:r w:rsidRPr="00483F7D">
        <w:t>4.</w:t>
      </w:r>
      <w:r w:rsidRPr="00483F7D">
        <w:tab/>
        <w:t>Κατά παρέκκλιση από την παράγραφο 3, οι ακόλουθοι διασαφιστές δεν απαιτείται να είναι εγκατεστημένοι στο τελωνειακό έδαφος της Ένωσης:</w:t>
      </w:r>
    </w:p>
    <w:p w14:paraId="5AA89251" w14:textId="43E79E2E" w:rsidR="00782BE5" w:rsidRPr="00483F7D" w:rsidRDefault="00BC60FC" w:rsidP="00BC60FC">
      <w:pPr>
        <w:pStyle w:val="Point1"/>
      </w:pPr>
      <w:r w:rsidRPr="00483F7D">
        <w:t>α)</w:t>
      </w:r>
      <w:r w:rsidRPr="00483F7D">
        <w:tab/>
      </w:r>
      <w:r w:rsidR="007A1FD7" w:rsidRPr="00483F7D">
        <w:t>πρόσωπα που υποβάλλουν τελωνειακή διασάφηση για διαμετακόμιση ή προσωρινή εισαγωγή·</w:t>
      </w:r>
    </w:p>
    <w:p w14:paraId="10020D90" w14:textId="018D7A1A" w:rsidR="00782BE5" w:rsidRPr="00483F7D" w:rsidRDefault="00BC60FC" w:rsidP="00BC60FC">
      <w:pPr>
        <w:pStyle w:val="Point1"/>
      </w:pPr>
      <w:r w:rsidRPr="00483F7D">
        <w:t>β)</w:t>
      </w:r>
      <w:r w:rsidRPr="00483F7D">
        <w:tab/>
      </w:r>
      <w:r w:rsidR="007A1FD7" w:rsidRPr="00483F7D">
        <w:t>πρόσωπα που υποβάλλουν περιστασιακά τελωνειακές διασαφήσεις, μεταξύ άλλων για καθεστώς ειδικού προορισμού ή τελειοποίησης προς επανεξαγωγή, εφόσον οι τελωνειακές αρχές κρίνουν ότι αυτό δικαιολογείται·</w:t>
      </w:r>
    </w:p>
    <w:p w14:paraId="39CF1984" w14:textId="3B346240" w:rsidR="00782BE5" w:rsidRPr="00483F7D" w:rsidRDefault="00BC60FC" w:rsidP="00BC60FC">
      <w:pPr>
        <w:pStyle w:val="Point1"/>
      </w:pPr>
      <w:r w:rsidRPr="00483F7D">
        <w:t>γ)</w:t>
      </w:r>
      <w:r w:rsidRPr="00483F7D">
        <w:tab/>
      </w:r>
      <w:r w:rsidR="007A1FD7" w:rsidRPr="00483F7D">
        <w:t>πρόσωπα που είναι εγκατεστημένα σε χώρα της οποίας το έδαφος συνορεύει με το τελωνειακό έδαφος της Ένωσης και προσκομίζουν τα εμπορεύματα στα οποία αναφέρεται η τελωνειακή διασάφηση σε ενωσιακό μεθοριακό τελωνείο που βρίσκεται στα σύνορα με την εν λόγω χώρα, εφόσον η χώρα στην οποία είναι εγκατεστημένα τα πρόσωπα επιτρέπει στα πρόσωπα που είναι εγκατεστημένα στο τελωνειακό έδαφος της Ένωσης να επωφελούνται από την αρχή της αμοιβαιότητας·</w:t>
      </w:r>
    </w:p>
    <w:p w14:paraId="5912AC60" w14:textId="766D1FE7" w:rsidR="00E0244C" w:rsidRPr="00483F7D" w:rsidRDefault="00BC60FC" w:rsidP="00BC60FC">
      <w:pPr>
        <w:pStyle w:val="Point1"/>
      </w:pPr>
      <w:r w:rsidRPr="00483F7D">
        <w:t>δ)</w:t>
      </w:r>
      <w:r w:rsidRPr="00483F7D">
        <w:tab/>
      </w:r>
      <w:r w:rsidR="007A1FD7" w:rsidRPr="00483F7D">
        <w:t>θεωρούμενοι εισαγωγείς που συμμετέχουν στην εξ αποστάσεως πώληση εμπορευμάτων στο πλαίσιο του ειδικού καθεστώτος που ορίζεται στον τίτλο XII κεφάλαιο 6 τμήμα 4 της οδηγίας 2006/112/ΕΚ, τα οποία πρόκειται να εισαχθούν στο τελωνειακό έδαφος της Ένωσης, εφόσον ορίζουν έμμεσο αντιπρόσωπο.</w:t>
      </w:r>
    </w:p>
    <w:p w14:paraId="3C6BCD65" w14:textId="77777777" w:rsidR="00E0244C" w:rsidRPr="00483F7D" w:rsidRDefault="007A1FD7">
      <w:pPr>
        <w:pStyle w:val="ManualNumPar10"/>
      </w:pPr>
      <w:r w:rsidRPr="00483F7D">
        <w:t>5.</w:t>
      </w:r>
      <w:r w:rsidRPr="00483F7D">
        <w:tab/>
        <w:t>Οι τελωνειακές διασαφήσεις επικυρώνονται.</w:t>
      </w:r>
    </w:p>
    <w:bookmarkEnd w:id="85"/>
    <w:p w14:paraId="0EB37276" w14:textId="77777777" w:rsidR="00E0244C" w:rsidRPr="00483F7D" w:rsidRDefault="007A1FD7">
      <w:pPr>
        <w:pStyle w:val="Titrearticle"/>
      </w:pPr>
      <w:r w:rsidRPr="00483F7D">
        <w:t>Άρθρο 68</w:t>
      </w:r>
    </w:p>
    <w:p w14:paraId="153AD962" w14:textId="77777777" w:rsidR="00E0244C" w:rsidRPr="00483F7D" w:rsidRDefault="007A1FD7">
      <w:pPr>
        <w:pStyle w:val="NormalCentered"/>
      </w:pPr>
      <w:r w:rsidRPr="00483F7D">
        <w:rPr>
          <w:b/>
        </w:rPr>
        <w:t>Υποβολή τελωνειακής διασάφησης πριν από την προσκόμιση των εμπορευμάτων</w:t>
      </w:r>
    </w:p>
    <w:p w14:paraId="0DB24724" w14:textId="77777777" w:rsidR="00E0244C" w:rsidRPr="00483F7D" w:rsidRDefault="007A1FD7">
      <w:pPr>
        <w:pStyle w:val="ManualNumPar10"/>
      </w:pPr>
      <w:r w:rsidRPr="00483F7D">
        <w:t>1.</w:t>
      </w:r>
      <w:r w:rsidRPr="00483F7D">
        <w:tab/>
        <w:t>Η τελωνειακή διασάφηση μπορεί να υποβληθεί πριν από την αναμενόμενη προσκόμιση των εμπορευμάτων στο τελωνείο. Αν τα εμπορεύματα δεν προσκομιστούν εντός 30 ημερών από την ημερομηνία υποβολή της τελωνειακής διασάφησης στο τελωνείο, η τελωνειακή διασάφηση θεωρείται ότι δεν έχει υποβληθεί.</w:t>
      </w:r>
    </w:p>
    <w:p w14:paraId="0B5FEEF2" w14:textId="77777777" w:rsidR="00E0244C" w:rsidRPr="00483F7D" w:rsidRDefault="007A1FD7">
      <w:pPr>
        <w:pStyle w:val="ManualNumPar10"/>
      </w:pPr>
      <w:r w:rsidRPr="00483F7D">
        <w:t>2.</w:t>
      </w:r>
      <w:r w:rsidRPr="00483F7D">
        <w:tab/>
        <w:t>Η Επιτροπή ορίζει, με εκτελεστικές πράξεις, τους διαδικαστικούς κανόνες για την υποβολή της τελωνειακής διασάφησης που αναφέρεται στην παράγραφο 1. Οι εν λόγω εκτελεστικές πράξεις εκδίδονται σύμφωνα με τη διαδικασία εξέτασης που αναφέρεται στο άρθρο 262 παράγραφος 4.</w:t>
      </w:r>
    </w:p>
    <w:p w14:paraId="7A5E7C99" w14:textId="77777777" w:rsidR="00E0244C" w:rsidRPr="00483F7D" w:rsidRDefault="007A1FD7">
      <w:pPr>
        <w:pStyle w:val="Titrearticle"/>
      </w:pPr>
      <w:bookmarkStart w:id="87" w:name="__akn_article_MNeA2v"/>
      <w:bookmarkEnd w:id="87"/>
      <w:r w:rsidRPr="00483F7D">
        <w:t>Άρθρο 69</w:t>
      </w:r>
    </w:p>
    <w:p w14:paraId="15DEECC0" w14:textId="77777777" w:rsidR="00E0244C" w:rsidRPr="00483F7D" w:rsidRDefault="007A1FD7">
      <w:pPr>
        <w:pStyle w:val="NormalCentered"/>
      </w:pPr>
      <w:r w:rsidRPr="00483F7D">
        <w:rPr>
          <w:b/>
        </w:rPr>
        <w:t>Αποδοχή τελωνειακής διασάφησης</w:t>
      </w:r>
    </w:p>
    <w:p w14:paraId="242D3C45" w14:textId="77777777" w:rsidR="00E0244C" w:rsidRPr="00483F7D" w:rsidRDefault="007A1FD7">
      <w:pPr>
        <w:pStyle w:val="ManualNumPar10"/>
      </w:pPr>
      <w:r w:rsidRPr="00483F7D">
        <w:t>1.</w:t>
      </w:r>
      <w:r w:rsidRPr="00483F7D">
        <w:tab/>
        <w:t>Οι τελωνειακές διασαφήσεις που πληρούν τους όρους του παρόντος κεφαλαίου και του άρθρου 40 γίνονται αμέσως δεκτές από τις τελωνειακές αρχές, εφόσον τα εμπορεύματα στα οποία αναφέρονται έχουν προσκομιστεί στο τελωνείο.</w:t>
      </w:r>
    </w:p>
    <w:p w14:paraId="766DF795" w14:textId="77777777" w:rsidR="00E0244C" w:rsidRPr="00483F7D" w:rsidRDefault="007A1FD7">
      <w:pPr>
        <w:pStyle w:val="ManualNumPar10"/>
      </w:pPr>
      <w:r w:rsidRPr="00483F7D">
        <w:t>2.</w:t>
      </w:r>
      <w:r w:rsidRPr="00483F7D">
        <w:tab/>
        <w:t>Εκτός αν άλλως ορίζεται, η ημερομηνία αποδοχής της τελωνειακής διασάφησης από τις τελωνειακές αρχές είναι η ημερομηνία η οποία πρέπει να λαμβάνεται υπόψη για την εφαρμογή των διατάξεων που διέπουν το τελωνειακό καθεστώς για το οποίο διασαφίζονται τα εμπορεύματα και για όλες τις άλλες διατυπώσεις εισαγωγής ή εξαγωγής.</w:t>
      </w:r>
    </w:p>
    <w:p w14:paraId="73C00B22" w14:textId="77777777" w:rsidR="00E0244C" w:rsidRPr="00483F7D" w:rsidRDefault="007A1FD7">
      <w:pPr>
        <w:pStyle w:val="ManualNumPar10"/>
      </w:pPr>
      <w:r w:rsidRPr="00483F7D">
        <w:t>3.</w:t>
      </w:r>
      <w:r w:rsidRPr="00483F7D">
        <w:tab/>
        <w:t xml:space="preserve">Η Επιτροπή ορίζει, με εκτελεστικές πράξεις, τους διαδικαστικούς κανόνες για την αποδοχή της τελωνειακής διασάφησης, συμπεριλαμβανομένης της εφαρμογής των εν λόγω κανόνων στις περιπτώσεις που αναφέρονται στο άρθρο </w:t>
      </w:r>
      <w:hyperlink w:anchor="__akn_article_O817q1" w:tooltip="Article 72: 72">
        <w:r w:rsidRPr="00483F7D">
          <w:rPr>
            <w:rStyle w:val="Hyperlink"/>
          </w:rPr>
          <w:t>72</w:t>
        </w:r>
      </w:hyperlink>
      <w:r w:rsidRPr="00483F7D">
        <w:t>. Οι εν λόγω εκτελεστικές πράξεις εκδίδονται σύμφωνα με τη διαδικασία εξέτασης που αναφέρεται στο άρθρο 262 παράγραφος 4.</w:t>
      </w:r>
    </w:p>
    <w:p w14:paraId="297808DF" w14:textId="77777777" w:rsidR="00E0244C" w:rsidRPr="00483F7D" w:rsidRDefault="007A1FD7">
      <w:pPr>
        <w:pStyle w:val="Titrearticle"/>
      </w:pPr>
      <w:r w:rsidRPr="00483F7D">
        <w:t>Άρθρο 70</w:t>
      </w:r>
    </w:p>
    <w:p w14:paraId="7CF90DAD" w14:textId="77777777" w:rsidR="00E0244C" w:rsidRPr="00483F7D" w:rsidRDefault="007A1FD7">
      <w:pPr>
        <w:pStyle w:val="NormalCentered"/>
      </w:pPr>
      <w:r w:rsidRPr="00483F7D">
        <w:rPr>
          <w:b/>
        </w:rPr>
        <w:t>Τροποποίηση τελωνειακής διασάφησης</w:t>
      </w:r>
    </w:p>
    <w:p w14:paraId="798EAEAA" w14:textId="77777777" w:rsidR="00E0244C" w:rsidRPr="00483F7D" w:rsidRDefault="007A1FD7">
      <w:pPr>
        <w:pStyle w:val="ManualNumPar10"/>
      </w:pPr>
      <w:r w:rsidRPr="00483F7D">
        <w:t>1.</w:t>
      </w:r>
      <w:r w:rsidRPr="00483F7D">
        <w:tab/>
        <w:t>Κατόπιν αίτησής του, επιτρέπεται στον διασαφιστή να διορθώσει ένα ή περισσότερα στοιχεία της τελωνειακής διασάφησης μετά την αποδοχή της από τις τελωνειακές αρχές. Η τροποποίηση δεν μπορεί να έχει ως αποτέλεσμα την ισχύ της τελωνειακής διασάφησης για εμπορεύματα άλλα από αυτά που κάλυπτε αρχικά.</w:t>
      </w:r>
    </w:p>
    <w:p w14:paraId="71CFA3AB" w14:textId="77777777" w:rsidR="00E0244C" w:rsidRPr="00483F7D" w:rsidRDefault="007A1FD7">
      <w:pPr>
        <w:pStyle w:val="ManualNumPar10"/>
      </w:pPr>
      <w:r w:rsidRPr="00483F7D">
        <w:t>2.</w:t>
      </w:r>
      <w:r w:rsidRPr="00483F7D">
        <w:tab/>
        <w:t>Δεν επιτρέπεται να πραγματοποιηθεί καμία τέτοιου είδους τροποποίηση κατόπιν αίτησης για οποιαδήποτε από τις ακόλουθες περιπτώσεις:</w:t>
      </w:r>
    </w:p>
    <w:p w14:paraId="45C6D753" w14:textId="41041B6B" w:rsidR="00782BE5" w:rsidRPr="00483F7D" w:rsidRDefault="00BC60FC" w:rsidP="00BC60FC">
      <w:pPr>
        <w:pStyle w:val="Point1"/>
      </w:pPr>
      <w:r w:rsidRPr="00483F7D">
        <w:t>α)</w:t>
      </w:r>
      <w:r w:rsidRPr="00483F7D">
        <w:tab/>
      </w:r>
      <w:r w:rsidR="007A1FD7" w:rsidRPr="00483F7D">
        <w:t>αφού οι τελωνειακές αρχές έχουν πληροφορήσει τον διασαφιστή ότι προτίθενται να εξετάσουν τα εμπορεύματα·</w:t>
      </w:r>
    </w:p>
    <w:p w14:paraId="783F5CE5" w14:textId="2B1C70C1" w:rsidR="00782BE5" w:rsidRPr="00483F7D" w:rsidRDefault="00BC60FC" w:rsidP="00BC60FC">
      <w:pPr>
        <w:pStyle w:val="Point1"/>
      </w:pPr>
      <w:r w:rsidRPr="00483F7D">
        <w:t>β)</w:t>
      </w:r>
      <w:r w:rsidRPr="00483F7D">
        <w:tab/>
      </w:r>
      <w:r w:rsidR="007A1FD7" w:rsidRPr="00483F7D">
        <w:t>αφού οι τελωνειακές αρχές έχουν διαπιστώσει την ανακρίβεια των στοιχείων της τελωνειακής διασάφησης·</w:t>
      </w:r>
    </w:p>
    <w:p w14:paraId="31DBC3EA" w14:textId="527C7DBC" w:rsidR="00E0244C" w:rsidRPr="00483F7D" w:rsidRDefault="00BC60FC" w:rsidP="00BC60FC">
      <w:pPr>
        <w:pStyle w:val="Point1"/>
      </w:pPr>
      <w:r w:rsidRPr="00483F7D">
        <w:t>γ)</w:t>
      </w:r>
      <w:r w:rsidRPr="00483F7D">
        <w:tab/>
      </w:r>
      <w:r w:rsidR="007A1FD7" w:rsidRPr="00483F7D">
        <w:t>αφού οι τελωνειακές αρχές έχουν παραδώσει τα εμπορεύματα.</w:t>
      </w:r>
    </w:p>
    <w:p w14:paraId="56F7B243" w14:textId="77777777" w:rsidR="00E0244C" w:rsidRPr="00483F7D" w:rsidRDefault="007A1FD7">
      <w:pPr>
        <w:pStyle w:val="ManualNumPar10"/>
      </w:pPr>
      <w:r w:rsidRPr="00483F7D">
        <w:t>3.</w:t>
      </w:r>
      <w:r w:rsidRPr="00483F7D">
        <w:tab/>
        <w:t>Κατόπιν αίτησης του διασαφιστή και εντός 3 ετών από την ημερομηνία αποδοχής της τελωνειακής διασάφησης, μπορεί να επιτραπεί η τροποποίηση της τελωνειακής διασάφησης μετά την παράδοση των εμπορευμάτων προκειμένου ο διασαφιστής να συμμορφωθεί με τις υποχρεώσεις του που απορρέουν από την υπαγωγή των εμπορευμάτων στο σχετικό τελωνειακό καθεστώς.</w:t>
      </w:r>
    </w:p>
    <w:p w14:paraId="777E8E67" w14:textId="77777777" w:rsidR="00E0244C" w:rsidRPr="00483F7D" w:rsidRDefault="007A1FD7">
      <w:pPr>
        <w:pStyle w:val="ManualNumPar10"/>
      </w:pPr>
      <w:r w:rsidRPr="00483F7D">
        <w:t>4.</w:t>
      </w:r>
      <w:r w:rsidRPr="00483F7D">
        <w:tab/>
        <w:t>Η Επιτροπή ορίζει, με εκτελεστικές πράξεις, τη διαδικασία για την τροποποίηση της τελωνειακής διασάφησης μετά την παράδοση των εμπορευμάτων σύμφωνα με την παράγραφο 3. Οι εν λόγω εκτελεστικές πράξεις εκδίδονται σύμφωνα με τη διαδικασία εξέτασης που αναφέρεται στο άρθρο 262 παράγραφος 4.</w:t>
      </w:r>
    </w:p>
    <w:p w14:paraId="4D29EBFF" w14:textId="77777777" w:rsidR="00E0244C" w:rsidRPr="00483F7D" w:rsidRDefault="007A1FD7">
      <w:pPr>
        <w:pStyle w:val="Titrearticle"/>
      </w:pPr>
      <w:r w:rsidRPr="00483F7D">
        <w:t>Άρθρο 71</w:t>
      </w:r>
    </w:p>
    <w:p w14:paraId="5C4F62BD" w14:textId="77777777" w:rsidR="00E0244C" w:rsidRPr="00483F7D" w:rsidRDefault="007A1FD7">
      <w:pPr>
        <w:pStyle w:val="NormalCentered"/>
      </w:pPr>
      <w:r w:rsidRPr="00483F7D">
        <w:rPr>
          <w:b/>
        </w:rPr>
        <w:t>Ακύρωση τελωνειακής διασάφησης</w:t>
      </w:r>
    </w:p>
    <w:p w14:paraId="6C8BC2FA" w14:textId="77777777" w:rsidR="00E0244C" w:rsidRPr="00483F7D" w:rsidRDefault="007A1FD7">
      <w:pPr>
        <w:pStyle w:val="ManualNumPar10"/>
      </w:pPr>
      <w:r w:rsidRPr="00483F7D">
        <w:t>1.</w:t>
      </w:r>
      <w:r w:rsidRPr="00483F7D">
        <w:tab/>
        <w:t>Κατόπιν αίτησης του διασαφιστή, οι τελωνειακές αρχές ακυρώνουν τελωνειακή διασάφηση που έχει ήδη γίνει αποδεκτή, σε οποιαδήποτε από τις ακόλουθες περιπτώσεις:</w:t>
      </w:r>
    </w:p>
    <w:p w14:paraId="48C3D440" w14:textId="18B7322A" w:rsidR="00782BE5" w:rsidRPr="00483F7D" w:rsidRDefault="00BC60FC" w:rsidP="00BC60FC">
      <w:pPr>
        <w:pStyle w:val="Point1"/>
      </w:pPr>
      <w:r w:rsidRPr="00483F7D">
        <w:t>α)</w:t>
      </w:r>
      <w:r w:rsidRPr="00483F7D">
        <w:tab/>
      </w:r>
      <w:r w:rsidR="007A1FD7" w:rsidRPr="00483F7D">
        <w:t>όταν είναι πεπεισμένες ότι τα εμπορεύματα πρέπει να υπαχθούν αμέσως σε άλλο τελωνειακό καθεστώς·</w:t>
      </w:r>
    </w:p>
    <w:p w14:paraId="1BB27697" w14:textId="068A5060" w:rsidR="00E0244C" w:rsidRPr="00483F7D" w:rsidRDefault="00BC60FC" w:rsidP="00BC60FC">
      <w:pPr>
        <w:pStyle w:val="Point1"/>
      </w:pPr>
      <w:r w:rsidRPr="00483F7D">
        <w:t>β)</w:t>
      </w:r>
      <w:r w:rsidRPr="00483F7D">
        <w:tab/>
      </w:r>
      <w:r w:rsidR="007A1FD7" w:rsidRPr="00483F7D">
        <w:t>όταν είναι πεπεισμένες ότι, λόγω ειδικών περιστάσεων, η υπαγωγή των εμπορευμάτων στο τελωνειακό καθεστώς για το οποίο είχαν διασαφιστεί δεν είναι πλέον δικαιολογημένη.</w:t>
      </w:r>
    </w:p>
    <w:p w14:paraId="287C4271" w14:textId="77777777" w:rsidR="00E0244C" w:rsidRPr="00483F7D" w:rsidRDefault="007A1FD7">
      <w:pPr>
        <w:pStyle w:val="Text1"/>
      </w:pPr>
      <w:r w:rsidRPr="00483F7D">
        <w:t>Ωστόσο, αν οι τελωνειακές αρχές έχουν πληροφορήσει τον διασαφιστή ότι προτίθενται να εξετάσουν τα εμπορεύματα, η αίτηση ακύρωσης της τελωνειακής διασάφησης δεν γίνεται δεκτή πριν από την πραγματοποίηση της εξέτασης.</w:t>
      </w:r>
    </w:p>
    <w:p w14:paraId="420DBCBF" w14:textId="77777777" w:rsidR="00E0244C" w:rsidRPr="00483F7D" w:rsidRDefault="007A1FD7">
      <w:pPr>
        <w:pStyle w:val="ManualNumPar10"/>
      </w:pPr>
      <w:r w:rsidRPr="00483F7D">
        <w:t>2.</w:t>
      </w:r>
      <w:r w:rsidRPr="00483F7D">
        <w:tab/>
        <w:t>Κατά παρέκκλιση από την παράγραφο 1, σε ειδικές περιπτώσεις η τελωνειακή διασάφηση μπορεί να ακυρωθεί από τις τελωνειακές αρχές χωρίς προηγούμενη αίτηση του διασαφιστή.</w:t>
      </w:r>
    </w:p>
    <w:p w14:paraId="240EC11B" w14:textId="77777777" w:rsidR="00E0244C" w:rsidRPr="00483F7D" w:rsidRDefault="007A1FD7">
      <w:pPr>
        <w:pStyle w:val="ManualNumPar10"/>
      </w:pPr>
      <w:r w:rsidRPr="00483F7D">
        <w:t>3.</w:t>
      </w:r>
      <w:r w:rsidRPr="00483F7D">
        <w:tab/>
        <w:t>Η τελωνειακή διασάφηση δεν μπορεί να ακυρωθεί μετά την παράδοση των εμπορευμάτων, εκτός αν ορίζεται άλλως.</w:t>
      </w:r>
    </w:p>
    <w:p w14:paraId="6512FADA" w14:textId="77777777" w:rsidR="00E0244C" w:rsidRPr="00483F7D" w:rsidRDefault="007A1FD7">
      <w:pPr>
        <w:pStyle w:val="ManualNumPar10"/>
      </w:pPr>
      <w:r w:rsidRPr="00483F7D">
        <w:t>4.</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ειδικών περιπτώσεων στις οποίες η τελωνειακή διασάφηση ακυρώνεται από τις τελωνειακές αρχές, όπως αναφέρεται στην παράγραφο 2 του παρόντος άρθρου, και μετά την παράδοση των εμπορευμάτων, όπως αναφέρεται στην παράγραφο 3 του παρόντος άρθρου.</w:t>
      </w:r>
    </w:p>
    <w:p w14:paraId="242E796E" w14:textId="77777777" w:rsidR="00E0244C" w:rsidRPr="00483F7D" w:rsidRDefault="007A1FD7">
      <w:pPr>
        <w:pStyle w:val="ManualNumPar10"/>
      </w:pPr>
      <w:r w:rsidRPr="00483F7D">
        <w:t>5.</w:t>
      </w:r>
      <w:r w:rsidRPr="00483F7D">
        <w:tab/>
        <w:t>Η Επιτροπή ορίζει, με εκτελεστικές πράξεις, τους διαδικαστικούς κανόνες για την ακύρωση της τελωνειακής διασάφησης, μετά την παράδοση των εμπορευμάτων, όπως αναφέρεται στην παράγραφο 3. Οι εν λόγω εκτελεστικές πράξεις εκδίδονται σύμφωνα με τη διαδικασία εξέτασης που αναφέρεται στο άρθρο 262 παράγραφος 4.</w:t>
      </w:r>
    </w:p>
    <w:p w14:paraId="25F52A95" w14:textId="77777777" w:rsidR="00E0244C" w:rsidRPr="00483F7D" w:rsidRDefault="007A1FD7">
      <w:pPr>
        <w:pStyle w:val="Titrearticle"/>
      </w:pPr>
      <w:bookmarkStart w:id="88" w:name="__akn_article_O817q1"/>
      <w:bookmarkEnd w:id="88"/>
      <w:r w:rsidRPr="00483F7D">
        <w:t>Άρθρο 72</w:t>
      </w:r>
    </w:p>
    <w:p w14:paraId="496F63C1" w14:textId="77777777" w:rsidR="00E0244C" w:rsidRPr="00483F7D" w:rsidRDefault="007A1FD7">
      <w:pPr>
        <w:pStyle w:val="NormalCentered"/>
      </w:pPr>
      <w:r w:rsidRPr="00483F7D">
        <w:rPr>
          <w:b/>
        </w:rPr>
        <w:t>Κεντρικός τελωνισμός</w:t>
      </w:r>
    </w:p>
    <w:p w14:paraId="5152C3D8" w14:textId="77777777" w:rsidR="00E0244C" w:rsidRPr="00483F7D" w:rsidRDefault="007A1FD7">
      <w:pPr>
        <w:pStyle w:val="ManualNumPar10"/>
      </w:pPr>
      <w:r w:rsidRPr="00483F7D">
        <w:t>1.</w:t>
      </w:r>
      <w:r w:rsidRPr="00483F7D">
        <w:tab/>
        <w:t>Έως την ημερομηνία που ορίζεται στο άρθρο 265 παράγραφος 4, οι τελωνειακές αρχές μπορούν, κατόπιν αίτησης, να χορηγούν άδεια σε ένα πρόσωπο να υποβάλει σε τελωνείο αρμόδιο για τον τόπο στον οποίο το εν λόγω πρόσωπο είναι εγκατεστημένο τελωνειακή διασάφηση για εμπορεύματα που προσκομίζονται σε άλλο τελωνείο.</w:t>
      </w:r>
    </w:p>
    <w:p w14:paraId="6F302269" w14:textId="77777777" w:rsidR="00E0244C" w:rsidRPr="00483F7D" w:rsidRDefault="007A1FD7">
      <w:pPr>
        <w:pStyle w:val="Text1"/>
      </w:pPr>
      <w:r w:rsidRPr="00483F7D">
        <w:t>Η απαίτηση για την άδεια που αναφέρεται στο πρώτο εδάφιο μπορεί να αίρεται στις περιπτώσεις στις οποίες η τελωνειακή διασάφηση υποβάλλεται και τα εμπορεύματα προσκομίζονται σε τελωνεία υπαγόμενα στην αρμοδιότητα μίας τελωνειακής αρχής.</w:t>
      </w:r>
    </w:p>
    <w:p w14:paraId="24A51A65" w14:textId="77777777" w:rsidR="00E0244C" w:rsidRPr="00483F7D" w:rsidRDefault="007A1FD7" w:rsidP="56013CD1">
      <w:pPr>
        <w:pStyle w:val="ManualNumPar10"/>
      </w:pPr>
      <w:r w:rsidRPr="00483F7D">
        <w:t>2.</w:t>
      </w:r>
      <w:r w:rsidRPr="00483F7D">
        <w:tab/>
        <w:t xml:space="preserve">Ο αιτών την άδεια που αναφέρεται στην παράγραφο 1 είναι εγκεκριμένος οικονομικός φορέας για τελωνειακές απλουστεύσεις, όπως αναφέρεται στο άρθρο 23 παράγραφος 1 στοιχείο </w:t>
      </w:r>
      <w:hyperlink w:anchor="__akn_article_hgTPEo_feSMfc" w:tooltip="Article 23(1), point (a): (a)">
        <w:r w:rsidRPr="00483F7D">
          <w:rPr>
            <w:rStyle w:val="Hyperlink"/>
          </w:rPr>
          <w:t>α)</w:t>
        </w:r>
      </w:hyperlink>
      <w:r w:rsidRPr="00483F7D">
        <w:t>.</w:t>
      </w:r>
    </w:p>
    <w:p w14:paraId="6CF25F18" w14:textId="77777777" w:rsidR="009903AF" w:rsidRPr="00483F7D" w:rsidRDefault="009903AF" w:rsidP="0031659F">
      <w:pPr>
        <w:pStyle w:val="ManualNumPar10"/>
      </w:pPr>
      <w:r w:rsidRPr="00483F7D">
        <w:t xml:space="preserve">3. </w:t>
      </w:r>
      <w:r w:rsidRPr="00483F7D">
        <w:tab/>
        <w:t>Το τελωνείο στο οποίο υποβάλλεται η τελωνειακή διασάφηση:</w:t>
      </w:r>
    </w:p>
    <w:p w14:paraId="293703B9" w14:textId="542520B3" w:rsidR="00782BE5" w:rsidRPr="00483F7D" w:rsidRDefault="00BC60FC" w:rsidP="00BC60FC">
      <w:pPr>
        <w:pStyle w:val="Point1"/>
      </w:pPr>
      <w:r w:rsidRPr="00483F7D">
        <w:t>α)</w:t>
      </w:r>
      <w:r w:rsidRPr="00483F7D">
        <w:tab/>
      </w:r>
      <w:r w:rsidR="009903AF" w:rsidRPr="00483F7D">
        <w:t>επιτηρεί την υπαγωγή των εμπορευμάτων στο σχετικό τελωνειακό καθεστώς·</w:t>
      </w:r>
    </w:p>
    <w:p w14:paraId="3E96882E" w14:textId="74A7D836" w:rsidR="00782BE5" w:rsidRPr="00483F7D" w:rsidRDefault="00BC60FC" w:rsidP="00BC60FC">
      <w:pPr>
        <w:pStyle w:val="Point1"/>
      </w:pPr>
      <w:r w:rsidRPr="00483F7D">
        <w:t>β)</w:t>
      </w:r>
      <w:r w:rsidRPr="00483F7D">
        <w:tab/>
      </w:r>
      <w:r w:rsidR="009903AF" w:rsidRPr="00483F7D">
        <w:t>διενεργεί τους τελωνειακούς ελέγχους για την επαλήθευση της τελωνειακής διασάφησης·</w:t>
      </w:r>
    </w:p>
    <w:p w14:paraId="2FF31A7D" w14:textId="137020F7" w:rsidR="00782BE5" w:rsidRPr="00483F7D" w:rsidRDefault="00BC60FC" w:rsidP="00BC60FC">
      <w:pPr>
        <w:pStyle w:val="Point1"/>
      </w:pPr>
      <w:r w:rsidRPr="00483F7D">
        <w:t>γ)</w:t>
      </w:r>
      <w:r w:rsidRPr="00483F7D">
        <w:tab/>
      </w:r>
      <w:r w:rsidR="00B34C5F" w:rsidRPr="00483F7D">
        <w:tab/>
        <w:t>εφόσον δικαιολογείται, ζητεί από το τελωνείο στο οποίο προσκομίστηκαν τα εμπορεύματα να διεξαγάγει ορισμένους τελωνειακούς ελέγχους για την επαλήθευση της τελωνειακής διασάφησης· και</w:t>
      </w:r>
    </w:p>
    <w:p w14:paraId="1C4BF5B8" w14:textId="15EBA6C4" w:rsidR="009903AF" w:rsidRPr="00483F7D" w:rsidRDefault="00BC60FC" w:rsidP="00BC60FC">
      <w:pPr>
        <w:pStyle w:val="Point1"/>
      </w:pPr>
      <w:r w:rsidRPr="00483F7D">
        <w:t>δ)</w:t>
      </w:r>
      <w:r w:rsidRPr="00483F7D">
        <w:tab/>
      </w:r>
      <w:r w:rsidR="009903AF" w:rsidRPr="00483F7D">
        <w:t>διεκπεραιώνει τις τελωνειακές διατυπώσεις για την είσπραξη του ποσού του εισαγωγικού ή εξαγωγικού δασμού που αντιστοιχεί σε ενδεχόμενη τελωνειακή οφειλή.</w:t>
      </w:r>
    </w:p>
    <w:p w14:paraId="291E5230" w14:textId="77777777" w:rsidR="009903AF" w:rsidRPr="00483F7D" w:rsidRDefault="009903AF" w:rsidP="0031659F">
      <w:pPr>
        <w:pStyle w:val="ManualNumPar10"/>
      </w:pPr>
      <w:r w:rsidRPr="00483F7D">
        <w:t>4.   </w:t>
      </w:r>
      <w:r w:rsidRPr="00483F7D">
        <w:tab/>
        <w:t>Το τελωνείο στο οποίο υποβάλλεται η τελωνειακή διασάφηση και το τελωνείο στο οποίο προσκομίζονται τα εμπορεύματα ανταλλάσσουν τις πληροφορίες που είναι αναγκαίες για την επαλήθευση της τελωνειακής διασάφησης και για την παράδοση των εμπορευμάτων.</w:t>
      </w:r>
    </w:p>
    <w:p w14:paraId="0B43B3B6" w14:textId="77777777" w:rsidR="009903AF" w:rsidRPr="00483F7D" w:rsidRDefault="009903AF" w:rsidP="0031659F">
      <w:pPr>
        <w:pStyle w:val="ManualNumPar10"/>
      </w:pPr>
      <w:r w:rsidRPr="00483F7D">
        <w:t>5.   </w:t>
      </w:r>
      <w:r w:rsidRPr="00483F7D">
        <w:tab/>
        <w:t>Το τελωνείο στο οποίο προσκομίζονται τα εμπορεύματα διενεργεί, με την επιφύλαξη των δικών του ελέγχων στα εμπορεύματα που μεταφέρονται εντός ή εκτός του τελωνειακού εδάφους της Ένωσης, τους τελωνειακούς ελέγχους που αναφέρονται στην παράγραφο 3 στοιχείο γ) και παρέχει στο τελωνείο στο οποίο υποβάλλεται η τελωνειακή διασάφηση τα αποτελέσματα των ανωτέρω ελέγχων.</w:t>
      </w:r>
    </w:p>
    <w:p w14:paraId="3F521067" w14:textId="77777777" w:rsidR="009903AF" w:rsidRPr="00483F7D" w:rsidRDefault="009903AF" w:rsidP="0031659F">
      <w:pPr>
        <w:pStyle w:val="ManualNumPar10"/>
      </w:pPr>
      <w:r w:rsidRPr="00483F7D">
        <w:t>6.   </w:t>
      </w:r>
      <w:r w:rsidRPr="00483F7D">
        <w:tab/>
        <w:t>Το τελωνείο στο οποίο υποβάλλεται η τελωνειακή διασάφηση παραδίδει τα εμπορεύματα, λαμβάνοντας υπόψη:</w:t>
      </w:r>
    </w:p>
    <w:p w14:paraId="4A4C1D9A" w14:textId="1C950F43" w:rsidR="00782BE5" w:rsidRPr="00483F7D" w:rsidRDefault="00BC60FC" w:rsidP="00BC60FC">
      <w:pPr>
        <w:pStyle w:val="Point1"/>
      </w:pPr>
      <w:r w:rsidRPr="00483F7D">
        <w:t>α)</w:t>
      </w:r>
      <w:r w:rsidRPr="00483F7D">
        <w:tab/>
      </w:r>
      <w:r w:rsidR="009903AF" w:rsidRPr="00483F7D">
        <w:t>τα αποτελέσματα των δικών του ελέγχων για αφορούν την επαλήθευση της τελωνειακής διασάφησης·</w:t>
      </w:r>
    </w:p>
    <w:p w14:paraId="65188325" w14:textId="74AEFC74" w:rsidR="009903AF" w:rsidRPr="00483F7D" w:rsidRDefault="00BC60FC" w:rsidP="00BC60FC">
      <w:pPr>
        <w:pStyle w:val="Point1"/>
      </w:pPr>
      <w:r w:rsidRPr="00483F7D">
        <w:t>β)</w:t>
      </w:r>
      <w:r w:rsidRPr="00483F7D">
        <w:tab/>
      </w:r>
      <w:r w:rsidR="009903AF" w:rsidRPr="00483F7D">
        <w:t>τα αποτελέσματα των ελέγχων που διενήργησε το τελωνείο στο οποίο προσκομίζονται τα εμπορεύματα για την επαλήθευση της τελωνειακής διασάφησης και των ελέγχων στα εμπορεύματα που μεταφέρονται εντός ή εκτός του τελωνειακού εδάφους της Ένωσης.</w:t>
      </w:r>
    </w:p>
    <w:p w14:paraId="786C1959" w14:textId="77777777" w:rsidR="00E0244C" w:rsidRPr="00483F7D" w:rsidRDefault="00630695" w:rsidP="00B34C5F">
      <w:pPr>
        <w:pStyle w:val="ManualNumPar10"/>
      </w:pPr>
      <w:r w:rsidRPr="00483F7D">
        <w:t>7.</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για τη χορήγηση της άδειας που αναφέρεται στην παράγραφο 1 πρώτο εδάφιο του παρόντος άρθρου.</w:t>
      </w:r>
    </w:p>
    <w:p w14:paraId="661575A6" w14:textId="77777777" w:rsidR="000C057D" w:rsidRPr="00483F7D" w:rsidRDefault="00630695" w:rsidP="00EE3E23">
      <w:pPr>
        <w:pStyle w:val="ManualNumPar10"/>
      </w:pPr>
      <w:r w:rsidRPr="00483F7D">
        <w:t>8.</w:t>
      </w:r>
      <w:r w:rsidRPr="00483F7D">
        <w:tab/>
        <w:t>Η Επιτροπή ορίζει, με εκτελεστικές πράξεις, τη διαδικασία για τον κεντρικό τελωνισμό που αναφέρεται στο παρόν άρθρο, συμπεριλαμβανομένων των σχετικών τελωνειακών διατυπώσεων και ελέγχων. Οι εν λόγω εκτελεστικές πράξεις εκδίδονται σύμφωνα με τη διαδικασία εξέτασης που αναφέρεται στο άρθρο 262 παράγραφος 4.</w:t>
      </w:r>
    </w:p>
    <w:p w14:paraId="604F4721" w14:textId="77777777" w:rsidR="00E0244C" w:rsidRPr="00483F7D" w:rsidRDefault="007A1FD7">
      <w:pPr>
        <w:pStyle w:val="Titrearticle"/>
      </w:pPr>
      <w:r w:rsidRPr="00483F7D">
        <w:t>Άρθρο 73</w:t>
      </w:r>
    </w:p>
    <w:p w14:paraId="5C68B76B" w14:textId="77777777" w:rsidR="00E0244C" w:rsidRPr="00483F7D" w:rsidRDefault="007A1FD7">
      <w:pPr>
        <w:pStyle w:val="NormalCentered"/>
      </w:pPr>
      <w:r w:rsidRPr="00483F7D">
        <w:rPr>
          <w:b/>
        </w:rPr>
        <w:t>Εγγραφή στις λογιστικές καταχωρίσεις του διασαφιστή</w:t>
      </w:r>
    </w:p>
    <w:p w14:paraId="38517C6E" w14:textId="77777777" w:rsidR="00E0244C" w:rsidRPr="00483F7D" w:rsidRDefault="007A1FD7">
      <w:pPr>
        <w:pStyle w:val="ManualNumPar10"/>
      </w:pPr>
      <w:r w:rsidRPr="00483F7D">
        <w:t>1.</w:t>
      </w:r>
      <w:r w:rsidRPr="00483F7D">
        <w:tab/>
        <w:t>Έως την ημερομηνία που ορίζεται στο άρθρο 265 παράγραφος 4, κατόπιν αίτησης, οι τελωνειακές αρχές μπορούν να χορηγούν σε ένα πρόσωπο την άδεια να υποβάλει τελωνειακή διασάφηση, συμπεριλαμβανομένης της απλουστευμένης διασάφησης, με τη μορφή εγγραφής στις λογιστικές καταχωρίσεις του διασαφιστή, εφόσον τα στοιχεία της εν λόγω διασάφησης βρίσκονται στη διάθεση των τελωνειακών αρχών μέσω του ηλεκτρονικού συστήματος του διασαφιστή κατά τον χρόνο υποβολής της τελωνειακής διασάφησης με τη μορφή εγγραφής στις λογιστικές καταχωρίσεις του διασαφιστή.</w:t>
      </w:r>
    </w:p>
    <w:p w14:paraId="291F6BC4" w14:textId="77777777" w:rsidR="00E0244C" w:rsidRPr="00483F7D" w:rsidRDefault="007A1FD7">
      <w:pPr>
        <w:pStyle w:val="ManualNumPar10"/>
      </w:pPr>
      <w:r w:rsidRPr="00483F7D">
        <w:t>2.</w:t>
      </w:r>
      <w:r w:rsidRPr="00483F7D">
        <w:tab/>
        <w:t>Η τελωνειακή διασάφηση θεωρείται ότι έχει γίνει αποδεκτή τη στιγμή της εγγραφής των εμπορευμάτων στις λογιστικές καταχωρίσεις.</w:t>
      </w:r>
    </w:p>
    <w:p w14:paraId="357615F2" w14:textId="77777777" w:rsidR="00E0244C" w:rsidRPr="00483F7D" w:rsidRDefault="007A1FD7">
      <w:pPr>
        <w:pStyle w:val="ManualNumPar10"/>
      </w:pPr>
      <w:r w:rsidRPr="00483F7D">
        <w:t>3.</w:t>
      </w:r>
      <w:r w:rsidRPr="00483F7D">
        <w:tab/>
        <w:t>Κατόπιν αίτησης, οι τελωνειακές αρχές μπορούν να αίρουν την υποχρέωση προσκόμισης των εμπορευμάτων. Στην περίπτωση αυτή, τα εμπορεύματα θεωρούνται ότι έχουν παραδοθεί κατά τη στιγμή της εγγραφής στις λογιστικές καταχωρίσεις του διασαφιστή.</w:t>
      </w:r>
    </w:p>
    <w:p w14:paraId="0E34B34B" w14:textId="77777777" w:rsidR="00E0244C" w:rsidRPr="00483F7D" w:rsidRDefault="007A1FD7">
      <w:pPr>
        <w:pStyle w:val="Text1"/>
      </w:pPr>
      <w:r w:rsidRPr="00483F7D">
        <w:t>Η ανωτέρω άρση της υποχρέωσης χορηγείται εφόσον πληρούνται όλοι οι ακόλουθοι όροι:</w:t>
      </w:r>
    </w:p>
    <w:p w14:paraId="16CEF793" w14:textId="365B8FCA" w:rsidR="00782BE5" w:rsidRPr="00483F7D" w:rsidRDefault="00BC60FC" w:rsidP="00BC60FC">
      <w:pPr>
        <w:pStyle w:val="Point1"/>
      </w:pPr>
      <w:r w:rsidRPr="00483F7D">
        <w:t>α)</w:t>
      </w:r>
      <w:r w:rsidRPr="00483F7D">
        <w:tab/>
      </w:r>
      <w:r w:rsidR="007A1FD7" w:rsidRPr="00483F7D">
        <w:t xml:space="preserve">ο διασαφιστής είναι εγκεκριμένος οικονομικός φορέας για τελωνειακές απλουστεύσεις, όπως αναφέρεται στο άρθρο 23 παράγραφος 1 στοιχείο </w:t>
      </w:r>
      <w:hyperlink w:anchor="__akn_article_hgTPEo_feSMfc" w:tooltip="Article 23(1), point (a): (a)">
        <w:r w:rsidR="007A1FD7" w:rsidRPr="00483F7D">
          <w:rPr>
            <w:rStyle w:val="Hyperlink"/>
          </w:rPr>
          <w:t>α)</w:t>
        </w:r>
      </w:hyperlink>
      <w:r w:rsidR="007A1FD7" w:rsidRPr="00483F7D">
        <w:t>·</w:t>
      </w:r>
    </w:p>
    <w:p w14:paraId="1CFC8624" w14:textId="5AA67A4B" w:rsidR="00782BE5" w:rsidRPr="00483F7D" w:rsidRDefault="00BC60FC" w:rsidP="00BC60FC">
      <w:pPr>
        <w:pStyle w:val="Point1"/>
      </w:pPr>
      <w:r w:rsidRPr="00483F7D">
        <w:t>β)</w:t>
      </w:r>
      <w:r w:rsidRPr="00483F7D">
        <w:tab/>
      </w:r>
      <w:r w:rsidR="007A1FD7" w:rsidRPr="00483F7D">
        <w:t>δικαιολογείται από τη φύση και τη ροή των σχετικών εμπορευμάτων, οι οποίες είναι γνωστές στις τελωνειακές αρχές·</w:t>
      </w:r>
    </w:p>
    <w:p w14:paraId="1EB2CE59" w14:textId="58757C0F" w:rsidR="00782BE5" w:rsidRPr="00483F7D" w:rsidRDefault="00BC60FC" w:rsidP="00BC60FC">
      <w:pPr>
        <w:pStyle w:val="Point1"/>
      </w:pPr>
      <w:r w:rsidRPr="00483F7D">
        <w:t>γ)</w:t>
      </w:r>
      <w:r w:rsidRPr="00483F7D">
        <w:tab/>
      </w:r>
      <w:r w:rsidR="007A1FD7" w:rsidRPr="00483F7D">
        <w:t>το τελωνείο ελέγχου έχει πρόσβαση σε όλες τις πληροφορίες που θεωρεί αναγκαίες ώστε να μπορεί να ασκήσει το δικαίωμά του να διενεργεί ελέγχους επί των εμπορευμάτων, εφόσον παρουσιαστεί ανάγκη·</w:t>
      </w:r>
    </w:p>
    <w:p w14:paraId="4CA2F9CF" w14:textId="718F0B58" w:rsidR="00E0244C" w:rsidRPr="00483F7D" w:rsidRDefault="00BC60FC" w:rsidP="00BC60FC">
      <w:pPr>
        <w:pStyle w:val="Point1"/>
      </w:pPr>
      <w:r w:rsidRPr="00483F7D">
        <w:t>δ)</w:t>
      </w:r>
      <w:r w:rsidRPr="00483F7D">
        <w:tab/>
      </w:r>
      <w:r w:rsidR="007A1FD7" w:rsidRPr="00483F7D">
        <w:t>κατά τον χρόνο εγγραφής στις λογιστικές καταχωρίσεις, τα εμπορεύματα δεν υπόκεινται πλέον στη λοιπή νομοθεσία που εφαρμόζεται από τις τελωνειακές αρχές, εκτός αν ορίζεται άλλως στην άδεια.</w:t>
      </w:r>
    </w:p>
    <w:p w14:paraId="23564CFF" w14:textId="77777777" w:rsidR="00E0244C" w:rsidRPr="00483F7D" w:rsidRDefault="007A1FD7" w:rsidP="00EE3E23">
      <w:pPr>
        <w:pStyle w:val="ManualNumPar10"/>
        <w:ind w:firstLine="0"/>
      </w:pPr>
      <w:r w:rsidRPr="00483F7D">
        <w:t>Ωστόσο, σε ειδικές περιπτώσεις, το τελωνείο ελέγχου μπορεί να ζητήσει την προσκόμιση των εμπορευμάτων.</w:t>
      </w:r>
    </w:p>
    <w:p w14:paraId="40D4A176" w14:textId="77777777" w:rsidR="00E0244C" w:rsidRPr="00483F7D" w:rsidRDefault="007A1FD7">
      <w:pPr>
        <w:pStyle w:val="ManualNumPar10"/>
      </w:pPr>
      <w:r w:rsidRPr="00483F7D">
        <w:t>4.</w:t>
      </w:r>
      <w:r w:rsidRPr="00483F7D">
        <w:tab/>
        <w:t>Οι όροι υπό τους οποίους επιτρέπεται η παράδοση των εμπορευμάτων καθορίζονται στην άδεια.</w:t>
      </w:r>
    </w:p>
    <w:p w14:paraId="38430901"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για τη χορήγηση της άδειας που αναφέρεται στην παράγραφο 1 του παρόντος άρθρου.</w:t>
      </w:r>
    </w:p>
    <w:p w14:paraId="7EBD3CBB" w14:textId="77777777" w:rsidR="00E0244C" w:rsidRPr="00483F7D" w:rsidRDefault="007A1FD7">
      <w:pPr>
        <w:pStyle w:val="ManualNumPar10"/>
      </w:pPr>
      <w:r w:rsidRPr="00483F7D">
        <w:t>6.</w:t>
      </w:r>
      <w:r w:rsidRPr="00483F7D">
        <w:tab/>
        <w:t>Η Επιτροπή ορίζει, με εκτελεστικές πράξεις, τους διαδικαστικούς κανόνες σχετικά με την εγγραφή στις λογιστικές καταχωρίσεις του διασαφιστή, συμπεριλαμβανομένων των σχετικών τελωνειακών διατυπώσεων και ελέγχων, και την άρση της υποχρέωσης προσκόμισης των εμπορευμάτων που αναφέρονται στην παράγραφο 3. Οι εν λόγω εκτελεστικές πράξεις εκδίδονται σύμφωνα με τη διαδικασία εξέτασης που αναφέρεται στο άρθρο 262 παράγραφος 4.</w:t>
      </w:r>
    </w:p>
    <w:p w14:paraId="3CCFDC2D" w14:textId="77777777" w:rsidR="00E0244C" w:rsidRPr="00483F7D" w:rsidRDefault="007A1FD7">
      <w:pPr>
        <w:pStyle w:val="Titrearticle"/>
      </w:pPr>
      <w:r w:rsidRPr="00483F7D">
        <w:t>Άρθρο 74</w:t>
      </w:r>
    </w:p>
    <w:p w14:paraId="0D3E8923" w14:textId="77777777" w:rsidR="00E0244C" w:rsidRPr="00483F7D" w:rsidRDefault="00424D02">
      <w:pPr>
        <w:pStyle w:val="NormalCentered"/>
      </w:pPr>
      <w:r w:rsidRPr="00483F7D">
        <w:rPr>
          <w:b/>
        </w:rPr>
        <w:t>Λήξη ισχύος</w:t>
      </w:r>
    </w:p>
    <w:p w14:paraId="331FAE93" w14:textId="77777777" w:rsidR="00E0244C" w:rsidRPr="00483F7D" w:rsidRDefault="007A1FD7">
      <w:r w:rsidRPr="00483F7D">
        <w:t xml:space="preserve">Οι άδειες για απλουστευμένες διασαφήσεις, κεντρικό τελωνισμό και εγγραφή στις λογιστικές καταχωρίσεις του διασαφιστή λήγουν την ημερομηνία που ορίζεται στο άρθρο 265 παράγραφος </w:t>
      </w:r>
      <w:hyperlink w:anchor="_bill__akn_article_BG6Seo_VYhe2Y" w:tooltip="Article 261(3): (3)">
        <w:r w:rsidRPr="00483F7D">
          <w:rPr>
            <w:rStyle w:val="Hyperlink"/>
          </w:rPr>
          <w:t>3</w:t>
        </w:r>
      </w:hyperlink>
      <w:r w:rsidRPr="00483F7D">
        <w:t>.</w:t>
      </w:r>
    </w:p>
    <w:p w14:paraId="61791358" w14:textId="77777777" w:rsidR="00E0244C" w:rsidRPr="00483F7D" w:rsidRDefault="007A1FD7">
      <w:pPr>
        <w:pStyle w:val="ChapterTitle"/>
      </w:pPr>
      <w:r w:rsidRPr="00483F7D">
        <w:t xml:space="preserve">Κεφάλαιο 4 </w:t>
      </w:r>
      <w:r w:rsidRPr="00483F7D">
        <w:br/>
        <w:t>Διάθεση των εμπορευμάτων</w:t>
      </w:r>
    </w:p>
    <w:p w14:paraId="7CE7FDEB" w14:textId="77777777" w:rsidR="00E0244C" w:rsidRPr="00483F7D" w:rsidRDefault="007A1FD7">
      <w:pPr>
        <w:pStyle w:val="Titrearticle"/>
      </w:pPr>
      <w:r w:rsidRPr="00483F7D">
        <w:t>Άρθρο 75</w:t>
      </w:r>
    </w:p>
    <w:p w14:paraId="6B05103D" w14:textId="77777777" w:rsidR="00E0244C" w:rsidRPr="00483F7D" w:rsidRDefault="007A1FD7">
      <w:pPr>
        <w:pStyle w:val="NormalCentered"/>
      </w:pPr>
      <w:r w:rsidRPr="00483F7D">
        <w:rPr>
          <w:b/>
        </w:rPr>
        <w:t>Διάθεση των εμπορευμάτων</w:t>
      </w:r>
    </w:p>
    <w:p w14:paraId="3C4CD558" w14:textId="77777777" w:rsidR="00E0244C" w:rsidRPr="00483F7D" w:rsidRDefault="007A1FD7">
      <w:r w:rsidRPr="00483F7D">
        <w:t xml:space="preserve">Όταν για οποιονδήποτε λόγο τα εμπορεύματα δεν είναι δυνατό να παραμείνουν σε προσωρινή εναπόθεση, οι τελωνειακές αρχές λαμβάνουν χωρίς καθυστέρηση όλα τα αναγκαία μέτρα για τη διάθεση των εμπορευμάτων σύμφωνα με τα άρθρα </w:t>
      </w:r>
      <w:hyperlink w:anchor="__akn_article_uHPhni" w:tooltip="Articles 76, 77 and 78: 76">
        <w:r w:rsidRPr="00483F7D">
          <w:rPr>
            <w:rStyle w:val="Hyperlink"/>
          </w:rPr>
          <w:t>76</w:t>
        </w:r>
      </w:hyperlink>
      <w:r w:rsidRPr="00483F7D">
        <w:t xml:space="preserve">, </w:t>
      </w:r>
      <w:hyperlink w:anchor="__akn_article_AfOm8m" w:tooltip="Articles 76, 77 and 78: 77">
        <w:r w:rsidRPr="00483F7D">
          <w:rPr>
            <w:rStyle w:val="Hyperlink"/>
          </w:rPr>
          <w:t>77</w:t>
        </w:r>
      </w:hyperlink>
      <w:r w:rsidRPr="00483F7D">
        <w:t xml:space="preserve"> και </w:t>
      </w:r>
      <w:hyperlink w:anchor="__akn_article_rGbS3o" w:tooltip="Articles 76, 77 and 78: 78">
        <w:r w:rsidRPr="00483F7D">
          <w:rPr>
            <w:rStyle w:val="Hyperlink"/>
          </w:rPr>
          <w:t>78</w:t>
        </w:r>
      </w:hyperlink>
      <w:r w:rsidRPr="00483F7D">
        <w:t>.</w:t>
      </w:r>
    </w:p>
    <w:p w14:paraId="6AA15B12" w14:textId="77777777" w:rsidR="00E0244C" w:rsidRPr="00483F7D" w:rsidRDefault="007A1FD7">
      <w:pPr>
        <w:pStyle w:val="Titrearticle"/>
      </w:pPr>
      <w:bookmarkStart w:id="89" w:name="__akn_article_uHPhni"/>
      <w:bookmarkEnd w:id="89"/>
      <w:r w:rsidRPr="00483F7D">
        <w:t>Άρθρο 76</w:t>
      </w:r>
    </w:p>
    <w:p w14:paraId="4B2FB407" w14:textId="77777777" w:rsidR="00E0244C" w:rsidRPr="00483F7D" w:rsidRDefault="007A1FD7">
      <w:pPr>
        <w:pStyle w:val="NormalCentered"/>
      </w:pPr>
      <w:r w:rsidRPr="00483F7D">
        <w:rPr>
          <w:b/>
        </w:rPr>
        <w:t>Καταστροφή των εμπορευμάτων</w:t>
      </w:r>
    </w:p>
    <w:p w14:paraId="001A5F5E" w14:textId="77777777" w:rsidR="00E0244C" w:rsidRPr="00483F7D" w:rsidRDefault="007A1FD7">
      <w:pPr>
        <w:pStyle w:val="ManualNumPar10"/>
      </w:pPr>
      <w:r w:rsidRPr="00483F7D">
        <w:t>1.</w:t>
      </w:r>
      <w:r w:rsidRPr="00483F7D">
        <w:tab/>
        <w:t>Όταν οι τελωνειακές αρχές διαθέτουν επαρκείς λόγους, μπορούν να ζητούν την καταστροφή εμπορευμάτων που τους έχουν προσκομιστεί και ενημερώνουν σχετικά τον εισαγωγέα, τον εξαγωγέα και τον κάτοχο των εμπορευμάτων. Το κόστος της καταστροφής των εμπορευμάτων βαρύνει τον εισαγωγέα ή τον εξαγωγέα.</w:t>
      </w:r>
    </w:p>
    <w:p w14:paraId="0EC93F11" w14:textId="77777777" w:rsidR="00E0244C" w:rsidRPr="00483F7D" w:rsidRDefault="007A1FD7">
      <w:pPr>
        <w:pStyle w:val="ManualNumPar10"/>
      </w:pPr>
      <w:r w:rsidRPr="00483F7D">
        <w:t>2.</w:t>
      </w:r>
      <w:r w:rsidRPr="00483F7D">
        <w:tab/>
        <w:t>Όταν η καταστροφή πρόκειται να πραγματοποιηθεί υπό την ευθύνη του υπέρ ου η απόφαση για δικαίωμα διανοητικής ιδιοκτησίας, όπως ορίζεται στο άρθρο 2 σημείο 13 του κανονισμού (ΕΕ) αριθ. 608/2013 του Ευρωπαϊκού Κοινοβουλίου και του Συμβουλίου</w:t>
      </w:r>
      <w:r w:rsidRPr="00483F7D">
        <w:rPr>
          <w:rStyle w:val="FootnoteReference"/>
        </w:rPr>
        <w:footnoteReference w:id="69"/>
      </w:r>
      <w:r w:rsidRPr="00483F7D">
        <w:t>, η καταστροφή πρέπει να διενεργείται από τις τελωνειακές αρχές ή υπό την επιτήρησή τους.</w:t>
      </w:r>
    </w:p>
    <w:p w14:paraId="59851F34" w14:textId="77777777" w:rsidR="00E0244C" w:rsidRPr="00483F7D" w:rsidRDefault="007A1FD7">
      <w:pPr>
        <w:pStyle w:val="ManualNumPar10"/>
      </w:pPr>
      <w:r w:rsidRPr="00483F7D">
        <w:t>3.</w:t>
      </w:r>
      <w:r w:rsidRPr="00483F7D">
        <w:tab/>
        <w:t>Αν κρίνουν ότι είναι αναγκαίο και αναλογικό, οι τελωνειακές αρχές μπορούν να κατάσχουν και να καταστρέψουν ή να καταστήσουν με άλλον τρόπο ακατάλληλο για χρήση ένα προϊόν που δεν τους έχει προσκομιστεί και το οποίο παρουσιάζει κίνδυνο για την υγεία και την ασφάλεια των τελικών χρηστών. Το κόστος του εν λόγω μέτρου βαρύνει τον εισαγωγέα ή τον εξαγωγέα.</w:t>
      </w:r>
    </w:p>
    <w:p w14:paraId="630B06A8" w14:textId="77777777" w:rsidR="00E0244C" w:rsidRPr="00483F7D" w:rsidRDefault="007A1FD7" w:rsidP="00111C0F">
      <w:pPr>
        <w:pStyle w:val="ManualNumPar10"/>
      </w:pPr>
      <w:r w:rsidRPr="00483F7D">
        <w:t>4.</w:t>
      </w:r>
      <w:r w:rsidRPr="00483F7D">
        <w:tab/>
        <w:t>Η Επιτροπή ορίζει, με εκτελεστικές πράξεις, τη διαδικασία για την καταστροφή εμπορευμάτων. Οι εν λόγω εκτελεστικές πράξεις εκδίδονται σύμφωνα με τη διαδικασία εξέτασης που αναφέρεται στο άρθρο 262 παράγραφος 4.</w:t>
      </w:r>
    </w:p>
    <w:p w14:paraId="390B353F" w14:textId="77777777" w:rsidR="00E0244C" w:rsidRPr="00483F7D" w:rsidRDefault="007A1FD7">
      <w:pPr>
        <w:pStyle w:val="Titrearticle"/>
      </w:pPr>
      <w:bookmarkStart w:id="90" w:name="__akn_article_AfOm8m"/>
      <w:bookmarkEnd w:id="90"/>
      <w:r w:rsidRPr="00483F7D">
        <w:t>Άρθρο 77</w:t>
      </w:r>
    </w:p>
    <w:p w14:paraId="7E068009" w14:textId="77777777" w:rsidR="00E0244C" w:rsidRPr="00483F7D" w:rsidRDefault="007A1FD7">
      <w:pPr>
        <w:pStyle w:val="NormalCentered"/>
      </w:pPr>
      <w:r w:rsidRPr="00483F7D">
        <w:rPr>
          <w:b/>
        </w:rPr>
        <w:t>Μέτρα που πρέπει να λαμβάνουν οι τελωνειακές αρχές</w:t>
      </w:r>
    </w:p>
    <w:p w14:paraId="5A6AC46A" w14:textId="77777777" w:rsidR="00E0244C" w:rsidRPr="00483F7D" w:rsidRDefault="007A1FD7">
      <w:pPr>
        <w:pStyle w:val="ManualNumPar10"/>
      </w:pPr>
      <w:r w:rsidRPr="00483F7D">
        <w:t>1.</w:t>
      </w:r>
      <w:r w:rsidRPr="00483F7D">
        <w:tab/>
        <w:t>Οι τελωνειακές αρχές λαμβάνουν όλα τα αναγκαία μέτρα, συμπεριλαμβανομένης της δήμευσης, της πώλησης, της δωρεάς για ανθρωπιστικούς σκοπούς ή της καταστροφής των εμπορευμάτων, για τη διάθεση εμπορευμάτων, στις ακόλουθες περιπτώσεις:</w:t>
      </w:r>
    </w:p>
    <w:p w14:paraId="4CFE0D1E" w14:textId="49335D10" w:rsidR="00782BE5" w:rsidRPr="00483F7D" w:rsidRDefault="00BC60FC" w:rsidP="00BC60FC">
      <w:pPr>
        <w:pStyle w:val="Point1"/>
      </w:pPr>
      <w:r w:rsidRPr="00483F7D">
        <w:t>α)</w:t>
      </w:r>
      <w:r w:rsidRPr="00483F7D">
        <w:tab/>
      </w:r>
      <w:r w:rsidR="007A1FD7" w:rsidRPr="00483F7D">
        <w:t>όταν μία από τις υποχρεώσεις που προβλέπονται στην τελωνειακή νομοθεσία σχετικά με την εισαγωγή μη ενωσιακών εμπορευμάτων στο τελωνειακό έδαφος της Ένωσης δεν έχει τηρηθεί ή όταν τα εμπορεύματα έχουν διαφύγει από την τελωνειακή επιτήρηση·</w:t>
      </w:r>
    </w:p>
    <w:p w14:paraId="494A2658" w14:textId="3F37784E" w:rsidR="00E0244C" w:rsidRPr="00483F7D" w:rsidRDefault="00BC60FC" w:rsidP="00BC60FC">
      <w:pPr>
        <w:pStyle w:val="Point1"/>
      </w:pPr>
      <w:r w:rsidRPr="00483F7D">
        <w:t>β)</w:t>
      </w:r>
      <w:r w:rsidRPr="00483F7D">
        <w:tab/>
      </w:r>
      <w:r w:rsidR="007A1FD7" w:rsidRPr="00483F7D">
        <w:t>όταν δεν είναι δυνατή η παράδοση των εμπορευμάτων για οποιονδήποτε από τους ακόλουθους λόγους:</w:t>
      </w:r>
    </w:p>
    <w:p w14:paraId="3CADCDC5" w14:textId="21CAFDAC" w:rsidR="00E0244C" w:rsidRPr="00483F7D" w:rsidRDefault="00483C4C" w:rsidP="00483C4C">
      <w:pPr>
        <w:pStyle w:val="Point2"/>
      </w:pPr>
      <w:r w:rsidRPr="00483F7D">
        <w:t>i)</w:t>
      </w:r>
      <w:r w:rsidRPr="00483F7D">
        <w:tab/>
        <w:t>η εξέτασή τους δεν ήταν δυνατό να διενεργηθεί ή να συνεχιστεί εντός της καθορισμένης από τις τελωνειακές αρχές προθεσμίας, για λόγους που οφείλονται στον οικονομικό φορέα·</w:t>
      </w:r>
    </w:p>
    <w:p w14:paraId="72BBC333" w14:textId="586D7077" w:rsidR="00E0244C" w:rsidRPr="00483F7D" w:rsidRDefault="00483C4C" w:rsidP="00483C4C">
      <w:pPr>
        <w:pStyle w:val="Point2"/>
      </w:pPr>
      <w:r w:rsidRPr="00483F7D">
        <w:t>ii)</w:t>
      </w:r>
      <w:r w:rsidRPr="00483F7D">
        <w:tab/>
        <w:t>δεν έχουν υποβληθεί τα έγγραφα από την υποβολή των οποίων εξαρτάται η υπαγωγή των εμπορευμάτων στο ζητούμενο τελωνειακό καθεστώς·</w:t>
      </w:r>
    </w:p>
    <w:p w14:paraId="283C640E" w14:textId="501EE0EE" w:rsidR="00E0244C" w:rsidRPr="00483F7D" w:rsidRDefault="00483C4C" w:rsidP="00483C4C">
      <w:pPr>
        <w:pStyle w:val="Point2"/>
      </w:pPr>
      <w:r w:rsidRPr="00483F7D">
        <w:t>iii)</w:t>
      </w:r>
      <w:r w:rsidRPr="00483F7D">
        <w:tab/>
        <w:t>ο εισαγωγικός ή εξαγωγικός δασμός, ανάλογα με την περίπτωση, που έπρεπε να είχε καταβληθεί ή για τον οποίο έπρεπε να είχε συσταθεί εγγύηση δεν καταβλήθηκε ή δεν αποτέλεσε αντικείμενο εγγύησης εντός της καθορισμένης προθεσμίας·</w:t>
      </w:r>
    </w:p>
    <w:p w14:paraId="2FD72F8C" w14:textId="040DA2B7" w:rsidR="00E0244C" w:rsidRPr="00483F7D" w:rsidRDefault="00483C4C" w:rsidP="00483C4C">
      <w:pPr>
        <w:pStyle w:val="Point2"/>
      </w:pPr>
      <w:r w:rsidRPr="00483F7D">
        <w:t>iv)</w:t>
      </w:r>
      <w:r w:rsidRPr="00483F7D">
        <w:tab/>
        <w:t>τα εμπορεύματα δεν πληρούν τους όρους παράδοσης που προβλέπονται στο άρθρο 60·</w:t>
      </w:r>
    </w:p>
    <w:p w14:paraId="6D47EC1E" w14:textId="53EB591F" w:rsidR="00E0244C" w:rsidRPr="00483F7D" w:rsidRDefault="00BC60FC" w:rsidP="00BC60FC">
      <w:pPr>
        <w:pStyle w:val="Point1"/>
      </w:pPr>
      <w:r w:rsidRPr="00483F7D">
        <w:t>γ)</w:t>
      </w:r>
      <w:r w:rsidRPr="00483F7D">
        <w:tab/>
      </w:r>
      <w:r w:rsidR="007A1FD7" w:rsidRPr="00483F7D">
        <w:t>όταν τα εμπορεύματα δεν απομακρύνθηκαν εντός εύλογου διαστήματος μετά την παράδοσή τους·</w:t>
      </w:r>
    </w:p>
    <w:p w14:paraId="7B3A2811" w14:textId="5AEB2ABE" w:rsidR="00E0244C" w:rsidRPr="00483F7D" w:rsidRDefault="00BC60FC" w:rsidP="00BC60FC">
      <w:pPr>
        <w:pStyle w:val="Point1"/>
      </w:pPr>
      <w:r w:rsidRPr="00483F7D">
        <w:t>δ)</w:t>
      </w:r>
      <w:r w:rsidRPr="00483F7D">
        <w:tab/>
      </w:r>
      <w:r w:rsidR="007A1FD7" w:rsidRPr="00483F7D">
        <w:t>όταν, μετά την παράδοσή τους, τα εμπορεύματα διαπιστώνεται ότι δεν πληρούν τους όρους της εν λόγω παράδοσης· ή</w:t>
      </w:r>
    </w:p>
    <w:p w14:paraId="0120070C" w14:textId="1EEB446E" w:rsidR="00E0244C" w:rsidRPr="00483F7D" w:rsidRDefault="00BC60FC" w:rsidP="00BC60FC">
      <w:pPr>
        <w:pStyle w:val="Point1"/>
      </w:pPr>
      <w:r w:rsidRPr="00483F7D">
        <w:t>ε)</w:t>
      </w:r>
      <w:r w:rsidRPr="00483F7D">
        <w:tab/>
      </w:r>
      <w:r w:rsidR="007A1FD7" w:rsidRPr="00483F7D">
        <w:t xml:space="preserve">όταν τα εμπορεύματα εγκαταλείπονται υπέρ του Δημοσίου σύμφωνα με το άρθρο </w:t>
      </w:r>
      <w:hyperlink w:anchor="__akn_article_rGbS3o" w:tooltip="Article 78: 78">
        <w:r w:rsidR="007A1FD7" w:rsidRPr="00483F7D">
          <w:t>78</w:t>
        </w:r>
      </w:hyperlink>
      <w:r w:rsidR="007A1FD7" w:rsidRPr="00483F7D">
        <w:t>.</w:t>
      </w:r>
    </w:p>
    <w:p w14:paraId="44BAF601" w14:textId="77777777" w:rsidR="00E0244C" w:rsidRPr="00483F7D" w:rsidRDefault="007A1FD7">
      <w:pPr>
        <w:pStyle w:val="ManualNumPar10"/>
      </w:pPr>
      <w:r w:rsidRPr="00483F7D">
        <w:t>2.</w:t>
      </w:r>
      <w:r w:rsidRPr="00483F7D">
        <w:tab/>
        <w:t>Μη ενωσιακά εμπορεύματα που έχουν εγκαταλειφθεί υπέρ του Δημοσίου, έχουν κατασχεθεί ή δημευθεί θεωρείται ότι έχουν υπαχθεί στο καθεστώς τελωνειακής αποταμίευσης. Εγγράφονται στις λογιστικές καταχωρίσεις είτε του διαχειριστή της τελωνειακής αποταμίευσης είτε των τελωνειακών αρχών, εφόσον βρίσκονται στην κατοχή των τελευταίων.</w:t>
      </w:r>
    </w:p>
    <w:p w14:paraId="537C695E" w14:textId="77777777" w:rsidR="00E0244C" w:rsidRPr="00483F7D" w:rsidRDefault="007A1FD7">
      <w:pPr>
        <w:pStyle w:val="Text1"/>
      </w:pPr>
      <w:r w:rsidRPr="00483F7D">
        <w:t>Όταν οι τελωνειακές αρχές έχουν ήδη λάβει δεδομένα σχετικά με τα εμπορεύματα που πρόκειται να καταστραφούν, να εγκαταλειφθούν υπέρ του Δημοσίου, να κατασχεθούν ή να δημευθούν, οι καταχωρίσεις περιλαμβάνουν αναφορά στα εν λόγω δεδομένα.</w:t>
      </w:r>
    </w:p>
    <w:p w14:paraId="66E31AC1" w14:textId="77777777" w:rsidR="00E0244C" w:rsidRPr="00483F7D" w:rsidRDefault="007A1FD7">
      <w:pPr>
        <w:pStyle w:val="ManualNumPar10"/>
      </w:pPr>
      <w:r w:rsidRPr="00483F7D">
        <w:t>3.</w:t>
      </w:r>
      <w:r w:rsidRPr="00483F7D">
        <w:tab/>
        <w:t>Το κόστος των μέτρων που αναφέρονται στην παράγραφο 1 βαρύνει:</w:t>
      </w:r>
    </w:p>
    <w:p w14:paraId="318655A0" w14:textId="75CEB1DB" w:rsidR="00C140B9" w:rsidRPr="00483F7D" w:rsidRDefault="00BC60FC" w:rsidP="00BC60FC">
      <w:pPr>
        <w:pStyle w:val="Point1"/>
      </w:pPr>
      <w:r w:rsidRPr="00483F7D">
        <w:t>α)</w:t>
      </w:r>
      <w:r w:rsidRPr="00483F7D">
        <w:tab/>
      </w:r>
      <w:r w:rsidR="007A1FD7" w:rsidRPr="00483F7D">
        <w:t>στην περίπτωση που αναφέρεται στην παράγραφο 1 στοιχείο α), τον μεταφορέα, τον εισαγωγέα ή τον δικαιούχο του καθεστώτος διαμετακόμισης ή το πρόσωπο που απέκρυψε τα εμπορεύματα από την τελωνειακή επιτήρηση·</w:t>
      </w:r>
    </w:p>
    <w:p w14:paraId="098FAA1A" w14:textId="01C5F00A" w:rsidR="00C140B9" w:rsidRPr="00483F7D" w:rsidRDefault="00BC60FC" w:rsidP="00BC60FC">
      <w:pPr>
        <w:pStyle w:val="Point1"/>
      </w:pPr>
      <w:r w:rsidRPr="00483F7D">
        <w:t>β)</w:t>
      </w:r>
      <w:r w:rsidRPr="00483F7D">
        <w:tab/>
      </w:r>
      <w:r w:rsidR="007A1FD7" w:rsidRPr="00483F7D">
        <w:t>στις περιπτώσεις που αναφέρονται στην παράγραφο 1 στοιχεία β), γ) και δ), τον εισαγωγέα, τον εξαγωγέα ή τον δικαιούχο του καθεστώτος διαμετακόμισης·</w:t>
      </w:r>
    </w:p>
    <w:p w14:paraId="677D6C27" w14:textId="020FF24C" w:rsidR="00E0244C" w:rsidRPr="00483F7D" w:rsidRDefault="00BC60FC" w:rsidP="00BC60FC">
      <w:pPr>
        <w:pStyle w:val="Point1"/>
      </w:pPr>
      <w:r w:rsidRPr="00483F7D">
        <w:t>γ)</w:t>
      </w:r>
      <w:r w:rsidRPr="00483F7D">
        <w:tab/>
      </w:r>
      <w:r w:rsidR="007A1FD7" w:rsidRPr="00483F7D">
        <w:t>στην περίπτωση που αναφέρεται στην παράγραφο 1 στοιχείο ε), το πρόσωπο που εγκαταλείπει τα εμπορεύματα υπέρ του Δημοσίου.</w:t>
      </w:r>
    </w:p>
    <w:p w14:paraId="51AB03A9" w14:textId="77777777" w:rsidR="003A0822" w:rsidRPr="00483F7D" w:rsidRDefault="007A1FD7" w:rsidP="5DA9B26A">
      <w:pPr>
        <w:pStyle w:val="ManualNumPar10"/>
      </w:pPr>
      <w:r w:rsidRPr="00483F7D">
        <w:t>4.</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και της διαδικασίας για την δήμευση εμπορευμάτων.</w:t>
      </w:r>
    </w:p>
    <w:p w14:paraId="28B84F06" w14:textId="77777777" w:rsidR="00E0244C" w:rsidRPr="00483F7D" w:rsidRDefault="003A0822">
      <w:pPr>
        <w:pStyle w:val="ManualNumPar10"/>
      </w:pPr>
      <w:r w:rsidRPr="00483F7D">
        <w:t>5.</w:t>
      </w:r>
      <w:r w:rsidRPr="00483F7D">
        <w:tab/>
        <w:t>Η Επιτροπή ορίζει, με εκτελεστικές πράξεις, τη διαδικασία για την πώληση των εμπορευμάτων από τις τελωνειακές αρχές που αναφέρεται στην παράγραφο 1. Οι εν λόγω εκτελεστικές πράξεις εκδίδονται σύμφωνα με τη διαδικασία εξέτασης που αναφέρεται στο άρθρο 262 παράγραφος 4.</w:t>
      </w:r>
    </w:p>
    <w:p w14:paraId="41BC70D9" w14:textId="77777777" w:rsidR="00E0244C" w:rsidRPr="00483F7D" w:rsidRDefault="007A1FD7">
      <w:pPr>
        <w:pStyle w:val="Titrearticle"/>
      </w:pPr>
      <w:bookmarkStart w:id="91" w:name="__akn_article_rGbS3o"/>
      <w:bookmarkEnd w:id="91"/>
      <w:r w:rsidRPr="00483F7D">
        <w:t>Άρθρο 78</w:t>
      </w:r>
    </w:p>
    <w:p w14:paraId="7541FC3C" w14:textId="77777777" w:rsidR="00E0244C" w:rsidRPr="00483F7D" w:rsidRDefault="007A1FD7">
      <w:pPr>
        <w:pStyle w:val="NormalCentered"/>
      </w:pPr>
      <w:r w:rsidRPr="00483F7D">
        <w:rPr>
          <w:b/>
        </w:rPr>
        <w:t>Εγκατάλειψη</w:t>
      </w:r>
    </w:p>
    <w:p w14:paraId="7F768DF8" w14:textId="77777777" w:rsidR="00E0244C" w:rsidRPr="00483F7D" w:rsidRDefault="007A1FD7">
      <w:pPr>
        <w:pStyle w:val="ManualNumPar10"/>
      </w:pPr>
      <w:r w:rsidRPr="00483F7D">
        <w:t>1.</w:t>
      </w:r>
      <w:r w:rsidRPr="00483F7D">
        <w:tab/>
        <w:t>Μη ενωσιακά εμπορεύματα και εμπορεύματα υπαγόμενα στο καθεστώς ειδικού προορισμού είναι δυνατό, κατόπιν προηγούμενης άδειας των τελωνειακών αρχών, να εγκαταλείπονται υπέρ του Δημοσίου από τον δικαιούχο του καθεστώτος ή, ανάλογα με την περίπτωση, από τον κάτοχο των εμπορευμάτων.</w:t>
      </w:r>
    </w:p>
    <w:p w14:paraId="02314CD2" w14:textId="77777777" w:rsidR="00E0244C" w:rsidRPr="00483F7D" w:rsidRDefault="007A1FD7">
      <w:pPr>
        <w:pStyle w:val="ManualNumPar10"/>
      </w:pPr>
      <w:r w:rsidRPr="00483F7D">
        <w:t>2.</w:t>
      </w:r>
      <w:r w:rsidRPr="00483F7D">
        <w:tab/>
        <w:t xml:space="preserve">Η Επιτροπή ορίζει, με εκτελεστικές πράξεις, τη διαδικασία σχετικά με την εγκατάλειψη εμπορευμάτων υπέρ του Δημοσίου.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385CD328" w14:textId="77777777" w:rsidR="00E0244C" w:rsidRPr="00483F7D" w:rsidRDefault="007A1FD7">
      <w:pPr>
        <w:pStyle w:val="ChapterTitle"/>
      </w:pPr>
      <w:r w:rsidRPr="00483F7D">
        <w:t xml:space="preserve">Τίτλος VI </w:t>
      </w:r>
      <w:r w:rsidRPr="00483F7D">
        <w:br/>
        <w:t>ΕΜΠΟΡΕΥΜΑΤΑ ΠΟΥ ΜΕΤΑΦΕΡΟΝΤΑΙ ΕΝΤΟΣ ΤΟΥ ΤΕΛΩΝΕΙΑΚΟΥ ΕΔΑΦΟΥΣ ΤΗΣ ΕΝΩΣΗΣ</w:t>
      </w:r>
    </w:p>
    <w:p w14:paraId="5C1D6838" w14:textId="77777777" w:rsidR="00E0244C" w:rsidRPr="00483F7D" w:rsidRDefault="007A1FD7">
      <w:pPr>
        <w:pStyle w:val="ChapterTitle"/>
      </w:pPr>
      <w:r w:rsidRPr="00483F7D">
        <w:t xml:space="preserve">Κεφάλαιο 1 </w:t>
      </w:r>
      <w:r w:rsidRPr="00483F7D">
        <w:br/>
        <w:t>Εκ των προτέρων πληροφορίες για τα φορτία</w:t>
      </w:r>
    </w:p>
    <w:p w14:paraId="6F341025" w14:textId="77777777" w:rsidR="00E0244C" w:rsidRPr="00483F7D" w:rsidRDefault="007A1FD7">
      <w:pPr>
        <w:pStyle w:val="Titrearticle"/>
      </w:pPr>
      <w:r w:rsidRPr="00483F7D">
        <w:t>Άρθρο 79</w:t>
      </w:r>
    </w:p>
    <w:p w14:paraId="3B5C598C" w14:textId="77777777" w:rsidR="00E0244C" w:rsidRPr="00483F7D" w:rsidRDefault="007A1FD7">
      <w:pPr>
        <w:pStyle w:val="NormalCentered"/>
      </w:pPr>
      <w:r w:rsidRPr="00483F7D">
        <w:rPr>
          <w:b/>
        </w:rPr>
        <w:t>Είσοδος εμπορευμάτων</w:t>
      </w:r>
    </w:p>
    <w:p w14:paraId="60E41E4F" w14:textId="77777777" w:rsidR="00E0244C" w:rsidRPr="00483F7D" w:rsidRDefault="007A1FD7">
      <w:bookmarkStart w:id="92" w:name="_Hlk133999041"/>
      <w:r w:rsidRPr="00483F7D">
        <w:t xml:space="preserve">Τα εμπορεύματα μπορούν να εισέρχονται στο τελωνειακό έδαφος της Ένωσης μόνον αν ο μεταφορέας ή άλλα πρόσωπα έχουν παράσχει ή καταστήσει διαθέσιμη στις αρμόδιες τελωνειακές αρχές τις εκ των προτέρων πληροφορίες για τα φορτία που αναφέρονται στο άρθρο </w:t>
      </w:r>
      <w:hyperlink w:anchor="__akn_article_nvmTk3" w:tooltip="Article 80: 80">
        <w:r w:rsidRPr="00483F7D">
          <w:rPr>
            <w:rStyle w:val="Hyperlink"/>
          </w:rPr>
          <w:t>80</w:t>
        </w:r>
      </w:hyperlink>
      <w:r w:rsidRPr="00483F7D">
        <w:t>. </w:t>
      </w:r>
    </w:p>
    <w:p w14:paraId="2A6B9D5C" w14:textId="77777777" w:rsidR="00E0244C" w:rsidRPr="00483F7D" w:rsidRDefault="007A1FD7">
      <w:pPr>
        <w:pStyle w:val="Titrearticle"/>
      </w:pPr>
      <w:bookmarkStart w:id="93" w:name="__akn_article_nvmTk3"/>
      <w:bookmarkEnd w:id="92"/>
      <w:bookmarkEnd w:id="93"/>
      <w:r w:rsidRPr="00483F7D">
        <w:t>Άρθρο 80</w:t>
      </w:r>
    </w:p>
    <w:p w14:paraId="7D809208" w14:textId="77777777" w:rsidR="00E0244C" w:rsidRPr="00483F7D" w:rsidRDefault="007A1FD7">
      <w:pPr>
        <w:pStyle w:val="NormalCentered"/>
      </w:pPr>
      <w:r w:rsidRPr="00483F7D">
        <w:rPr>
          <w:b/>
        </w:rPr>
        <w:t>Εκ των προτέρων πληροφορίες για τα φορτία</w:t>
      </w:r>
    </w:p>
    <w:p w14:paraId="486F4547" w14:textId="77777777" w:rsidR="00E0244C" w:rsidRPr="00483F7D" w:rsidRDefault="007A1FD7">
      <w:pPr>
        <w:pStyle w:val="ManualNumPar10"/>
      </w:pPr>
      <w:r w:rsidRPr="00483F7D">
        <w:t>1.</w:t>
      </w:r>
      <w:r w:rsidRPr="00483F7D">
        <w:tab/>
        <w:t>Οι μεταφορείς που εισάγουν εμπορεύματα στο τελωνειακό έδαφος της Ένωσης παρέχουν ή καθιστούν διαθέσιμη τις εκ των προτέρων πληροφορίες για τα φορτία που αφορούν κάθε αποστολή στο προβλεπόμενο τελωνείο πρώτης εισόδου εντός καθορισμένων προθεσμιών.</w:t>
      </w:r>
    </w:p>
    <w:p w14:paraId="6FC17EBF" w14:textId="77777777" w:rsidR="00E0244C" w:rsidRPr="00483F7D" w:rsidRDefault="007A1FD7">
      <w:pPr>
        <w:pStyle w:val="ManualNumPar10"/>
      </w:pPr>
      <w:r w:rsidRPr="00483F7D">
        <w:t>2.</w:t>
      </w:r>
      <w:r w:rsidRPr="00483F7D">
        <w:tab/>
        <w:t>Στις εκ των προτέρων πληροφορίες για τα φορτία περιλαμβάνεται τουλάχιστον ο εισαγωγέας που είναι υπεύθυνος για τα εμπορεύματα, ο μοναδικός αριθμός αναφοράς για την αποστολή, ο αποστολέας, ο παραλήπτης, περιγραφή των εμπορευμάτων, η δασμολογική κατάταξη, η αξία, τα στοιχεία σχετικά με τη διαδρομή, η φύση και η ταυτοποίηση του μεταφορικού μέσου που μεταφέρει τα εμπορεύματα και το κόστος μεταφοράς. Οι εκ των προτέρων πληροφορίες για τα φορτία παρέχονται πριν από την άφιξη των εμπορευμάτων στο τελωνειακό έδαφος της Ένωσης.</w:t>
      </w:r>
    </w:p>
    <w:p w14:paraId="6D2849F0" w14:textId="77777777" w:rsidR="00E0244C" w:rsidRPr="00483F7D" w:rsidRDefault="007A1FD7">
      <w:pPr>
        <w:pStyle w:val="ManualNumPar10"/>
      </w:pPr>
      <w:r w:rsidRPr="00483F7D">
        <w:t>3.</w:t>
      </w:r>
      <w:r w:rsidRPr="00483F7D">
        <w:tab/>
        <w:t>Ο εισαγωγέας μπορεί να παρέχει μέρος των εκ των προτέρων πληροφοριών για τα φορτία εντός των προθεσμιών που καθορίζονται σύμφωνα με την παράγραφο 1. Αν ο εισαγωγέας έχει ήδη παράσχει ή διαθέσει μέρος των απαιτούμενων εκ των προτέρων πληροφοριών για τα φορτία, ο μεταφορέας συνδέει τις δικές του πρόσθετες πληροφορίες με τις πληροφορίες του εισαγωγέα.</w:t>
      </w:r>
    </w:p>
    <w:p w14:paraId="3DA97366" w14:textId="77777777" w:rsidR="00E0244C" w:rsidRPr="00483F7D" w:rsidRDefault="007A1FD7">
      <w:pPr>
        <w:pStyle w:val="ManualNumPar10"/>
      </w:pPr>
      <w:r w:rsidRPr="00483F7D">
        <w:t>4.</w:t>
      </w:r>
      <w:r w:rsidRPr="00483F7D">
        <w:tab/>
        <w:t>Ο εισαγωγέας ενημερώνεται όταν ένας μεταφορέας συνδέει τις πληροφορίες που αφορούν μια αποστολή με τις προηγούμενες πληροφορίες του.</w:t>
      </w:r>
    </w:p>
    <w:p w14:paraId="28BCE999" w14:textId="77777777" w:rsidR="00E0244C" w:rsidRPr="00483F7D" w:rsidRDefault="007A1FD7">
      <w:pPr>
        <w:pStyle w:val="ManualNumPar10"/>
      </w:pPr>
      <w:r w:rsidRPr="00483F7D">
        <w:t>5.</w:t>
      </w:r>
      <w:r w:rsidRPr="00483F7D">
        <w:tab/>
        <w:t>Σε ειδικές περιπτώσεις, όταν το σύνολο των εκ των προτέρων πληροφοριών για τα φορτία που αναφέρεται στις παραγράφους 1 και 2 δεν μπορεί να ληφθεί από τον μεταφορέα ή τον εισαγωγέα, μπορεί να απαιτηθεί από άλλα πρόσωπα που κατέχουν τις εν λόγω πληροφορίες, καθώς και τα κατάλληλα δικαιώματα για την παροχή τους.</w:t>
      </w:r>
    </w:p>
    <w:p w14:paraId="725A4861" w14:textId="77777777" w:rsidR="00E0244C" w:rsidRPr="00483F7D" w:rsidRDefault="007A1FD7">
      <w:pPr>
        <w:pStyle w:val="ManualNumPar10"/>
      </w:pPr>
      <w:r w:rsidRPr="00483F7D">
        <w:t>6.</w:t>
      </w:r>
      <w:r w:rsidRPr="00483F7D">
        <w:tab/>
        <w:t>Η οριζόμενη στην παράγραφο 1 υποχρέωση αίρεται:</w:t>
      </w:r>
    </w:p>
    <w:p w14:paraId="0C979B1E" w14:textId="6D941269" w:rsidR="00C140B9" w:rsidRPr="00483F7D" w:rsidRDefault="00BC60FC" w:rsidP="00BC60FC">
      <w:pPr>
        <w:pStyle w:val="Point1"/>
      </w:pPr>
      <w:r w:rsidRPr="00483F7D">
        <w:t>α)</w:t>
      </w:r>
      <w:r w:rsidRPr="00483F7D">
        <w:tab/>
      </w:r>
      <w:r w:rsidR="007A1FD7" w:rsidRPr="00483F7D">
        <w:t>για μεταφορικά μέσα και τα εμπορεύματα που αυτά μεταφέρουν τα οποία διέρχονται απλώς μέσω των χωρικών υδάτων ή του εναέριου χώρου του τελωνειακού εδάφους της Ένωσης χωρίς στάση εντός του εν λόγω εδάφους·</w:t>
      </w:r>
    </w:p>
    <w:p w14:paraId="2F267457" w14:textId="6B60455D" w:rsidR="00C140B9" w:rsidRPr="00483F7D" w:rsidRDefault="00BC60FC" w:rsidP="00BC60FC">
      <w:pPr>
        <w:pStyle w:val="Point1"/>
      </w:pPr>
      <w:r w:rsidRPr="00483F7D">
        <w:t>β)</w:t>
      </w:r>
      <w:r w:rsidRPr="00483F7D">
        <w:tab/>
      </w:r>
      <w:r w:rsidR="00C140B9" w:rsidRPr="00483F7D">
        <w:t>για εμπορεύματα που μεταφέρονται εντός του τελωνειακού εδάφους της Ένωσης αφού έχουν εγκαταλείψει προσωρινά το εν λόγω έδαφος διά θαλάσσιας ή αεροπορικής οδού και έχουν μεταφερθεί με απευθείας δρομολόγιο χωρίς στάση εκτός του τελωνειακού εδάφους της Ένωσης· και</w:t>
      </w:r>
    </w:p>
    <w:p w14:paraId="7149E80C" w14:textId="59620153" w:rsidR="00E0244C" w:rsidRPr="00483F7D" w:rsidRDefault="00BC60FC" w:rsidP="00BC60FC">
      <w:pPr>
        <w:pStyle w:val="Point1"/>
      </w:pPr>
      <w:r w:rsidRPr="00483F7D">
        <w:t>γ)</w:t>
      </w:r>
      <w:r w:rsidRPr="00483F7D">
        <w:tab/>
      </w:r>
      <w:r w:rsidR="007A1FD7" w:rsidRPr="00483F7D">
        <w:t>σε άλλες περιπτώσεις, όταν δικαιολογείται δεόντως από το είδος των εμπορευμάτων ή της διακίνησης ή όταν απαιτείται από διεθνείς συμφωνίες.</w:t>
      </w:r>
    </w:p>
    <w:p w14:paraId="3B580846" w14:textId="77777777" w:rsidR="00E0244C" w:rsidRPr="00483F7D" w:rsidRDefault="007A1FD7">
      <w:pPr>
        <w:pStyle w:val="ManualNumPar10"/>
      </w:pPr>
      <w:r w:rsidRPr="00483F7D">
        <w:t>7.</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xml:space="preserve">, για τη συμπλήρωση του παρόντος κανονισμού με τον καθορισμό: </w:t>
      </w:r>
    </w:p>
    <w:p w14:paraId="3B423F45" w14:textId="3C63F892" w:rsidR="00C140B9" w:rsidRPr="00483F7D" w:rsidRDefault="00BC60FC" w:rsidP="00BC60FC">
      <w:pPr>
        <w:pStyle w:val="Point1"/>
      </w:pPr>
      <w:r w:rsidRPr="00483F7D">
        <w:t>α)</w:t>
      </w:r>
      <w:r w:rsidRPr="00483F7D">
        <w:tab/>
      </w:r>
      <w:r w:rsidR="007A1FD7" w:rsidRPr="00483F7D">
        <w:t>του προβλεπόμενου τελωνείου πρώτης εισόδου που αναφέρεται στην παράγραφο 1·</w:t>
      </w:r>
    </w:p>
    <w:p w14:paraId="77820BBC" w14:textId="435BC650" w:rsidR="00C140B9" w:rsidRPr="00483F7D" w:rsidRDefault="00BC60FC" w:rsidP="00BC60FC">
      <w:pPr>
        <w:pStyle w:val="Point1"/>
      </w:pPr>
      <w:r w:rsidRPr="00483F7D">
        <w:t>β)</w:t>
      </w:r>
      <w:r w:rsidRPr="00483F7D">
        <w:tab/>
      </w:r>
      <w:r w:rsidR="007C5BE9" w:rsidRPr="00483F7D">
        <w:t>των πρόσθετων δεδομένων που πρέπει να παρέχονται ως εκ των προτέρων πληροφορίες για τα φορτία και αναφέρονται στην παράγραφο 2·</w:t>
      </w:r>
    </w:p>
    <w:p w14:paraId="53092B0C" w14:textId="16273A0A" w:rsidR="00C140B9" w:rsidRPr="00483F7D" w:rsidRDefault="00BC60FC" w:rsidP="00BC60FC">
      <w:pPr>
        <w:pStyle w:val="Point1"/>
      </w:pPr>
      <w:r w:rsidRPr="00483F7D">
        <w:t>γ)</w:t>
      </w:r>
      <w:r w:rsidRPr="00483F7D">
        <w:tab/>
      </w:r>
      <w:r w:rsidR="007A1FD7" w:rsidRPr="00483F7D">
        <w:t>των προθεσμιών που αναφέρονται στις παραγράφους 1 και 3·</w:t>
      </w:r>
    </w:p>
    <w:p w14:paraId="21C56006" w14:textId="357F4E5F" w:rsidR="00C140B9" w:rsidRPr="00483F7D" w:rsidRDefault="00BC60FC" w:rsidP="00BC60FC">
      <w:pPr>
        <w:pStyle w:val="Point1"/>
      </w:pPr>
      <w:r w:rsidRPr="00483F7D">
        <w:t>δ)</w:t>
      </w:r>
      <w:r w:rsidRPr="00483F7D">
        <w:tab/>
      </w:r>
      <w:r w:rsidR="007A1FD7" w:rsidRPr="00483F7D">
        <w:t>των ειδικών περιπτώσεων και των άλλων προσώπων που ενδέχεται να υποχρεωθούν να παράσχουν εκ των προτέρων πληροφορίες για τα φορτία, όπως αναφέρεται στην παράγραφο 5·</w:t>
      </w:r>
    </w:p>
    <w:p w14:paraId="2C0198E7" w14:textId="3D9B69D0" w:rsidR="00C140B9" w:rsidRPr="00483F7D" w:rsidRDefault="00BC60FC" w:rsidP="00BC60FC">
      <w:pPr>
        <w:pStyle w:val="Point1"/>
      </w:pPr>
      <w:r w:rsidRPr="00483F7D">
        <w:t>ε)</w:t>
      </w:r>
      <w:r w:rsidRPr="00483F7D">
        <w:tab/>
      </w:r>
      <w:r w:rsidR="007A1FD7" w:rsidRPr="00483F7D">
        <w:t>των περιπτώσεων στις οποίες αίρεται η υποχρέωση παροχής ή διάθεσης εκ των προτέρων πληροφοριών για τα φορτία, επειδή η εν λόγω άρση δικαιολογείται δεόντως από το είδος των εμπορευμάτων ή της διακίνησης, όπως αναφέρεται στην παράγραφο 6 στοιχείο γ)·</w:t>
      </w:r>
    </w:p>
    <w:p w14:paraId="54539DC6" w14:textId="7C7ADE02" w:rsidR="007C5BE9" w:rsidRPr="00483F7D" w:rsidRDefault="00BC60FC" w:rsidP="00BC60FC">
      <w:pPr>
        <w:pStyle w:val="Point1"/>
      </w:pPr>
      <w:r w:rsidRPr="00483F7D">
        <w:t>στ)</w:t>
      </w:r>
      <w:r w:rsidRPr="00483F7D">
        <w:tab/>
      </w:r>
      <w:r w:rsidR="007C5BE9" w:rsidRPr="00483F7D">
        <w:t>των όρων υπό τους οποίους ένα πρόσωπο που παρέχει ή καθιστά διαθέσιμες πληροφορίες μπορεί να περιορίσει την προβολή της ταυτότητάς του σε ένα ή περισσότερα άλλα πρόσωπα που υποβάλλουν επίσης στοιχεία, με την επιφύλαξη της χρησιμοποίησης όλων των στοιχείων για σκοπούς τελωνειακής επιτήρησης.</w:t>
      </w:r>
    </w:p>
    <w:p w14:paraId="26D89630" w14:textId="77777777" w:rsidR="00E0244C" w:rsidRPr="00483F7D" w:rsidRDefault="007A1FD7" w:rsidP="383BEB26">
      <w:pPr>
        <w:pStyle w:val="ManualNumPar10"/>
      </w:pPr>
      <w:r w:rsidRPr="00483F7D">
        <w:t>8.</w:t>
      </w:r>
      <w:r w:rsidRPr="00483F7D">
        <w:tab/>
        <w:t xml:space="preserve">Η Επιτροπή ορίζει, με εκτελεστικές πράξεις, τη διαδικασία για την παροχή και τη λήψη των εκ των προτέρων πληροφοριών για τα φορτία, όπως αναφέρεται στις παραγράφους 1 έως 5.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5E06806F" w14:textId="77777777" w:rsidR="006A01FA" w:rsidRPr="00483F7D" w:rsidRDefault="006A01FA" w:rsidP="00A3564A">
      <w:pPr>
        <w:pStyle w:val="ManualNumPar10"/>
      </w:pPr>
      <w:r w:rsidRPr="00483F7D">
        <w:t>9.</w:t>
      </w:r>
      <w:r w:rsidRPr="00483F7D">
        <w:tab/>
        <w:t>Έως την ημερομηνία που αναφέρεται στο άρθρο 265 παράγραφος 3, η συνοπτική διασάφηση εισόδου θεωρείται ως οι εκ των προτέρων πληροφορίες για τα φορτία.</w:t>
      </w:r>
    </w:p>
    <w:p w14:paraId="3A7A09BA" w14:textId="77777777" w:rsidR="00E0244C" w:rsidRPr="00483F7D" w:rsidRDefault="007A1FD7">
      <w:pPr>
        <w:pStyle w:val="Titrearticle"/>
      </w:pPr>
      <w:r w:rsidRPr="00483F7D">
        <w:t>Άρθρο 81</w:t>
      </w:r>
    </w:p>
    <w:p w14:paraId="76D3F185" w14:textId="77777777" w:rsidR="00E0244C" w:rsidRPr="00483F7D" w:rsidRDefault="007A1FD7">
      <w:pPr>
        <w:pStyle w:val="NormalCentered"/>
      </w:pPr>
      <w:r w:rsidRPr="00483F7D">
        <w:rPr>
          <w:b/>
        </w:rPr>
        <w:t>Ανάλυση κινδύνου των εκ των προτέρων πληροφοριών για τα φορτία</w:t>
      </w:r>
    </w:p>
    <w:p w14:paraId="3BE56A10" w14:textId="77777777" w:rsidR="00E0244C" w:rsidRPr="00483F7D" w:rsidRDefault="007A1FD7">
      <w:pPr>
        <w:pStyle w:val="ManualNumPar10"/>
      </w:pPr>
      <w:r w:rsidRPr="00483F7D">
        <w:t>1.</w:t>
      </w:r>
      <w:r w:rsidRPr="00483F7D">
        <w:tab/>
        <w:t xml:space="preserve">Με την επιφύλαξη των δραστηριοτήτων της Τελωνειακής Αρχής της ΕΕ που ορίζονται στον τίτλο </w:t>
      </w:r>
      <w:hyperlink w:anchor="__akn_title_BYsUlO" w:tooltip="Title XII: XII">
        <w:r w:rsidRPr="00483F7D">
          <w:rPr>
            <w:rStyle w:val="Hyperlink"/>
          </w:rPr>
          <w:t>XII</w:t>
        </w:r>
      </w:hyperlink>
      <w:r w:rsidRPr="00483F7D">
        <w:t>, το τελωνείο πρώτης εισόδου διασφαλίζει, εντός συγκεκριμένων προθεσμιών, τη διενέργεια ανάλυσης κινδύνου, πρωτίστως για σκοπούς ασφάλειας και προστασίας και, όπου είναι δυνατό, για άλλους σκοπούς, με βάση τις εκ των προτέρων πληροφορίες για τα φορτία και άλλες πληροφορίες που παρέχονται ή καθίστανται διαθέσιμες μέσω του τελωνειακού κόμβου δεδομένων της ΕΕ και λαμβάνει τα αναγκαία μέτρα με βάση τα αποτελέσματα της εν λόγω ανάλυσης κινδύνου.</w:t>
      </w:r>
    </w:p>
    <w:p w14:paraId="6B22AD45" w14:textId="77777777" w:rsidR="00E0244C" w:rsidRPr="00483F7D" w:rsidRDefault="007A1FD7">
      <w:pPr>
        <w:pStyle w:val="ManualNumPar10"/>
      </w:pPr>
      <w:r w:rsidRPr="00483F7D">
        <w:t>2.</w:t>
      </w:r>
      <w:r w:rsidRPr="00483F7D">
        <w:tab/>
        <w:t>Το τελωνείο πρώτης εισόδου μπορεί να λαμβάνει τα κατάλληλα μέτρα μετριασμού, μεταξύ άλλων:</w:t>
      </w:r>
    </w:p>
    <w:p w14:paraId="2C5E1885" w14:textId="400BF4B4" w:rsidR="00C140B9" w:rsidRPr="00483F7D" w:rsidRDefault="00BC60FC" w:rsidP="00BC60FC">
      <w:pPr>
        <w:pStyle w:val="Point1"/>
      </w:pPr>
      <w:r w:rsidRPr="00483F7D">
        <w:t>α)</w:t>
      </w:r>
      <w:r w:rsidRPr="00483F7D">
        <w:tab/>
      </w:r>
      <w:r w:rsidR="007A1FD7" w:rsidRPr="00483F7D">
        <w:t>παροχή οδηγιών στον μεταφορέα για μη φόρτωση ή μεταφορά των εμπορευμάτων ·</w:t>
      </w:r>
    </w:p>
    <w:p w14:paraId="30DF61E3" w14:textId="3BCA6105" w:rsidR="00C140B9" w:rsidRPr="00483F7D" w:rsidRDefault="00BC60FC" w:rsidP="00BC60FC">
      <w:pPr>
        <w:pStyle w:val="Point1"/>
      </w:pPr>
      <w:r w:rsidRPr="00483F7D">
        <w:t>β)</w:t>
      </w:r>
      <w:r w:rsidRPr="00483F7D">
        <w:tab/>
      </w:r>
      <w:r w:rsidR="00C140B9" w:rsidRPr="00483F7D">
        <w:t>αίτημα παροχής πρόσθετων πληροφοριών ή ανάληψης δράσης·</w:t>
      </w:r>
    </w:p>
    <w:p w14:paraId="04BB0474" w14:textId="407CF48D" w:rsidR="00C140B9" w:rsidRPr="00483F7D" w:rsidRDefault="00BC60FC" w:rsidP="00BC60FC">
      <w:pPr>
        <w:pStyle w:val="Point1"/>
      </w:pPr>
      <w:r w:rsidRPr="00483F7D">
        <w:t>γ)</w:t>
      </w:r>
      <w:r w:rsidRPr="00483F7D">
        <w:tab/>
      </w:r>
      <w:r w:rsidR="00C140B9" w:rsidRPr="00483F7D">
        <w:t>εντοπισμός καταστάσεων στις οποίες μπορεί να ενδείκνυται η ανάληψη δράσης από άλλη τελωνειακή αρχή·</w:t>
      </w:r>
    </w:p>
    <w:p w14:paraId="15A69874" w14:textId="47F4D2C3" w:rsidR="00E0244C" w:rsidRPr="00483F7D" w:rsidRDefault="00BC60FC" w:rsidP="00BC60FC">
      <w:pPr>
        <w:pStyle w:val="Point1"/>
      </w:pPr>
      <w:r w:rsidRPr="00483F7D">
        <w:t>δ)</w:t>
      </w:r>
      <w:r w:rsidRPr="00483F7D">
        <w:tab/>
      </w:r>
      <w:r w:rsidR="007A1FD7" w:rsidRPr="00483F7D">
        <w:t>σύσταση του καταλληλότερου τόπου και των καταλληλότερων μέτρων για τη διενέργεια ελέγχου.</w:t>
      </w:r>
    </w:p>
    <w:p w14:paraId="33336A77" w14:textId="77777777" w:rsidR="00E0244C" w:rsidRPr="00483F7D" w:rsidRDefault="007A1FD7" w:rsidP="5DA9B26A">
      <w:pPr>
        <w:pStyle w:val="ManualNumPar10"/>
      </w:pPr>
      <w:r w:rsidRPr="00483F7D">
        <w:t>3.</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προθεσμιών εντός των οποίων πρέπει να διενεργείται η ανάλυση κινδύνου και να λαμβάνονται τα αναγκαία μέτρα, όπως αναφέρεται στην παράγραφο 1 του παρόντος άρθρου, καθώς και των μέτρων μετριασμού που αναφέρονται στην παράγραφο 2 του παρόντος άρθρου.</w:t>
      </w:r>
    </w:p>
    <w:p w14:paraId="56882647" w14:textId="77777777" w:rsidR="00D54C40" w:rsidRPr="00483F7D" w:rsidRDefault="00D54C40" w:rsidP="00D54C40">
      <w:pPr>
        <w:pStyle w:val="ManualNumPar10"/>
      </w:pPr>
      <w:r w:rsidRPr="00483F7D">
        <w:t>4.</w:t>
      </w:r>
      <w:r w:rsidRPr="00483F7D">
        <w:tab/>
        <w:t>Έως την ημερομηνία που ορίζεται στο άρθρο 265 παράγραφος 3, η ανάλυση κινδύνου διενεργείται με βάση τη συνοπτική διασάφηση εισόδου.</w:t>
      </w:r>
    </w:p>
    <w:p w14:paraId="403163D6" w14:textId="77777777" w:rsidR="00E0244C" w:rsidRPr="00483F7D" w:rsidRDefault="007A1FD7">
      <w:pPr>
        <w:pStyle w:val="Titrearticle"/>
      </w:pPr>
      <w:r w:rsidRPr="00483F7D">
        <w:t>Άρθρο 82</w:t>
      </w:r>
    </w:p>
    <w:p w14:paraId="41CFCDC0" w14:textId="77777777" w:rsidR="00E0244C" w:rsidRPr="00483F7D" w:rsidRDefault="007A1FD7">
      <w:pPr>
        <w:pStyle w:val="NormalCentered"/>
      </w:pPr>
      <w:r w:rsidRPr="00483F7D">
        <w:rPr>
          <w:b/>
        </w:rPr>
        <w:t>Τροποποίηση και ακύρωση των εκ των προτέρων πληροφοριών για τα φορτία</w:t>
      </w:r>
    </w:p>
    <w:p w14:paraId="5C1523C0" w14:textId="77777777" w:rsidR="00E0244C" w:rsidRPr="00483F7D" w:rsidRDefault="007A1FD7">
      <w:pPr>
        <w:pStyle w:val="ManualNumPar10"/>
      </w:pPr>
      <w:r w:rsidRPr="00483F7D">
        <w:t>1.</w:t>
      </w:r>
      <w:r w:rsidRPr="00483F7D">
        <w:tab/>
        <w:t>Ο μεταφορέας ενημερώνει τις ενδιαφερόμενες τελωνειακές αρχές για εκτροπές που επηρεάζουν τη διαδρομή του φορτίου, όπως γνωστοποιείται με τις εκ των προτέρων πληροφορίες για τα φορτία.</w:t>
      </w:r>
    </w:p>
    <w:p w14:paraId="32097742" w14:textId="77777777" w:rsidR="00E0244C" w:rsidRPr="00483F7D" w:rsidRDefault="007A1FD7">
      <w:pPr>
        <w:pStyle w:val="ManualNumPar10"/>
      </w:pPr>
      <w:r w:rsidRPr="00483F7D">
        <w:t>2.</w:t>
      </w:r>
      <w:r w:rsidRPr="00483F7D">
        <w:tab/>
        <w:t>Ο εισαγωγέας και ο μεταφορέας διορθώνουν ένα ή περισσότερα στοιχεία των εκ των προτέρων πληροφοριών για τα φορτία, όταν περιέλθει σε γνώση τους ότι οι σχετικές πληροφορίες έχουν αλλάξει στα αρχεία τους, ή όταν η τελωνειακή αρχή τούς ζητήσει ή τούς δώσει εντολή να το πράξουν λόγω ζητήματος ακρίβειας, πληρότητας ή ποιότητας των δεδομένων, εκτός αν οι τελωνειακές αρχές έχουν ενημερώσει τον μεταφορέα ότι προτίθενται να εξετάσουν τα εμπορεύματα ή ότι έχουν διαπιστώσει ότι οι εκ των προτέρων πληροφορίες για τα φορτία είναι εσφαλμένες ή τα εμπορεύματα έχουν ήδη προσκομιστεί στο τελωνείο.</w:t>
      </w:r>
    </w:p>
    <w:p w14:paraId="3030F824" w14:textId="77777777" w:rsidR="00E0244C" w:rsidRPr="00483F7D" w:rsidRDefault="007A1FD7">
      <w:pPr>
        <w:pStyle w:val="ManualNumPar10"/>
      </w:pPr>
      <w:r w:rsidRPr="00483F7D">
        <w:t>3.</w:t>
      </w:r>
      <w:r w:rsidRPr="00483F7D">
        <w:tab/>
        <w:t>Ο μεταφορέας ακυρώνει τις εκ των προτέρων πληροφορίες για τα φορτία σχετικά με εμπορεύματα που δεν μεταφέρονται εντός του τελωνειακού εδάφους της Ένωσης το συντομότερο δυνατό. Οι τελωνειακές αρχές ακυρώνουν τις εκ των προτέρων πληροφορίες για τα φορτία σχετικά με τα εν λόγω εμπορεύματα ύστερα από 200 ημέρες από την ημερομηνία κατά την οποία παρασχέθηκαν ή κατέστησαν διαθέσιμες οι πληροφορίες.</w:t>
      </w:r>
    </w:p>
    <w:p w14:paraId="61AC5CC3" w14:textId="77777777" w:rsidR="00E0244C" w:rsidRPr="00483F7D" w:rsidRDefault="007A1FD7">
      <w:pPr>
        <w:pStyle w:val="ManualNumPar10"/>
      </w:pPr>
      <w:r w:rsidRPr="00483F7D">
        <w:t>4.</w:t>
      </w:r>
      <w:r w:rsidRPr="00483F7D">
        <w:tab/>
        <w:t xml:space="preserve">Η Επιτροπή ορίζει, με εκτελεστικές πράξεις, τη διαδικασία για την τροποποίηση των εκ των προτέρων πληροφοριών για τα φορτία που αναφέρεται στην παράγραφο 2 και για την ακύρωση των εκ των προτέρων πληροφοριών για τα φορτία που αναφέρεται στην παράγραφο 3.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2C6F7CF5" w14:textId="77777777" w:rsidR="00E0244C" w:rsidRPr="00483F7D" w:rsidRDefault="007A1FD7">
      <w:pPr>
        <w:pStyle w:val="Titrearticle"/>
      </w:pPr>
      <w:bookmarkStart w:id="94" w:name="__akn_article_mI3XA5"/>
      <w:bookmarkEnd w:id="94"/>
      <w:r w:rsidRPr="00483F7D">
        <w:t>Άρθρο 83</w:t>
      </w:r>
    </w:p>
    <w:p w14:paraId="4C198DDB" w14:textId="77777777" w:rsidR="00E0244C" w:rsidRPr="00483F7D" w:rsidRDefault="007A1FD7">
      <w:pPr>
        <w:pStyle w:val="NormalCentered"/>
      </w:pPr>
      <w:r w:rsidRPr="00483F7D">
        <w:rPr>
          <w:b/>
        </w:rPr>
        <w:t>Γνωστοποίηση άφιξης</w:t>
      </w:r>
    </w:p>
    <w:p w14:paraId="0B63F602" w14:textId="77777777" w:rsidR="00E0244C" w:rsidRPr="00483F7D" w:rsidRDefault="007A1FD7">
      <w:pPr>
        <w:pStyle w:val="ManualNumPar10"/>
      </w:pPr>
      <w:r w:rsidRPr="00483F7D">
        <w:t>1.</w:t>
      </w:r>
      <w:r w:rsidRPr="00483F7D">
        <w:tab/>
        <w:t>Ο μεταφορέας γνωστοποιεί στο πραγματικό τελωνείο πρώτης εισόδου την άφιξη του μεταφορικού μέσου που εισέρχεται στο τελωνειακό έδαφος της Ένωσης και των αποστολών που περιέχει.</w:t>
      </w:r>
    </w:p>
    <w:p w14:paraId="14E17057" w14:textId="77777777" w:rsidR="00E0244C" w:rsidRPr="00483F7D" w:rsidRDefault="007A1FD7">
      <w:pPr>
        <w:pStyle w:val="ManualNumPar10"/>
      </w:pPr>
      <w:r w:rsidRPr="00483F7D">
        <w:t>2.</w:t>
      </w:r>
      <w:r w:rsidRPr="00483F7D">
        <w:tab/>
        <w:t>Σε ειδικές περιπτώσεις, όταν δεν είναι δυνατό να ληφθούν όλα τα δεδομένα σχετικά με τις αποστολές από τον μεταφορέα, μπορεί να απαιτηθεί από επόμενο μεταφορέα ή άλλα πρόσωπα που διαθέτουν τα εν λόγω δεδομένα και τα κατάλληλα δικαιώματα για την παροχή τους να γνωστοποιήσουν στο πραγματικό τελωνείο πρώτης εισόδου την άφιξη των αποστολών.</w:t>
      </w:r>
    </w:p>
    <w:p w14:paraId="279F6344" w14:textId="77777777" w:rsidR="00E0244C" w:rsidRPr="00483F7D" w:rsidRDefault="007A1FD7" w:rsidP="5DA9B26A">
      <w:pPr>
        <w:pStyle w:val="ManualNumPar10"/>
      </w:pPr>
      <w:r w:rsidRPr="00483F7D">
        <w:t>3.</w:t>
      </w:r>
      <w:r w:rsidRPr="00483F7D">
        <w:tab/>
        <w:t>Οι πληροφορίες σχετικά με την άφιξη του μεταφορικού μέσου και των αποστολών είναι δυνατό να παρέχονται ή να καθίστανται διαθέσιμες στις τελωνειακές αρχές με μέσα διαφορετικά από τον τελωνειακό κόμβο δεδομένων της ΕΕ. Στις περιπτώσεις αυτές, οι πληροφορίες που παρέχονται ή καθίστανται διαθέσιμες με αυτά τα άλλα μέσα διαβιβάζονται στον τελωνειακό κόμβο δεδομένων της ΕΕ.</w:t>
      </w:r>
    </w:p>
    <w:p w14:paraId="28B0013F" w14:textId="77777777" w:rsidR="006A01FA" w:rsidRPr="00483F7D" w:rsidRDefault="006A01FA" w:rsidP="5DA9B26A">
      <w:pPr>
        <w:pStyle w:val="ManualNumPar10"/>
      </w:pPr>
      <w:r w:rsidRPr="00483F7D">
        <w:t>4.</w:t>
      </w:r>
      <w:r w:rsidRPr="00483F7D">
        <w:tab/>
        <w:t>Όταν η άφιξη του μεταφορικού μέσου και των αποστολών που περιέχονται σε αυτό δεν καλύπτεται από τη γνωστοποίηση που αναφέρεται στην παράγραφο 1, ο μεταφορέας γνωστοποιεί την άφιξη των εμπορευμάτων που μεταφέρονται εντός του τελωνειακού εδάφους της Ένωσης διά θαλάσσιας ή αεροπορικής οδού στον λιμένα ή στον αερολιμένα όπου εκφορτώνονται ή μεταφορτώνονται.</w:t>
      </w:r>
    </w:p>
    <w:p w14:paraId="032C83B0" w14:textId="77777777" w:rsidR="006A01FA" w:rsidRPr="00483F7D" w:rsidRDefault="006A01FA" w:rsidP="5DA9B26A">
      <w:pPr>
        <w:pStyle w:val="ManualNumPar10"/>
      </w:pPr>
      <w:r w:rsidRPr="00483F7D">
        <w:t>5.</w:t>
      </w:r>
      <w:r w:rsidRPr="00483F7D">
        <w:tab/>
        <w:t>Κατά παρέκκλιση από την παράγραφο 4, ο μεταφορέας δεν γνωστοποιεί εμπορεύματα που μεταφέρονται εντός του τελωνειακού εδάφους της Ένωσης και τα οποία εκφορτώνονται και φορτώνονται εκ νέου στο ίδιο μεταφορικό μέσο κατά το ταξίδι του, προκειμένου να καταστεί δυνατή η εκφόρτωση ή φόρτωση άλλων εμπορευμάτων στον ίδιο λιμένα ή αερολιμένα.</w:t>
      </w:r>
    </w:p>
    <w:p w14:paraId="5DC4BA72" w14:textId="77777777" w:rsidR="006A01FA" w:rsidRPr="00483F7D" w:rsidRDefault="006A01FA" w:rsidP="5DA9B26A">
      <w:pPr>
        <w:pStyle w:val="ManualNumPar10"/>
      </w:pPr>
      <w:r w:rsidRPr="00483F7D">
        <w:t>6.</w:t>
      </w:r>
      <w:r w:rsidRPr="00483F7D">
        <w:tab/>
        <w:t>Ο μεταφορέας δεν εκφορτώνει, στο τελωνειακό έδαφος της Ένωσης, τα εμπορεύματα για τα οποία δεν έχουν παρασχεθεί ή καταστούν διαθέσιμες στο τελωνείο οι ελάχιστες εκ των προτέρων πληροφορίες για τα φορτία, εκτός αν οι τελωνειακές αρχές έχουν ζητήσει από τον μεταφορέα να τα προσκομίσει σύμφωνα με το άρθρο 85.</w:t>
      </w:r>
    </w:p>
    <w:p w14:paraId="5F319A81" w14:textId="77777777" w:rsidR="006A01FA" w:rsidRPr="00483F7D" w:rsidRDefault="006A01FA" w:rsidP="5DA9B26A">
      <w:pPr>
        <w:pStyle w:val="ManualNumPar10"/>
      </w:pPr>
      <w:r w:rsidRPr="00483F7D">
        <w:t>7.</w:t>
      </w:r>
      <w:r w:rsidRPr="00483F7D">
        <w:tab/>
        <w:t>Κατά παρέκκλιση από την παράγραφο 6, σε περίπτωση επικείμενου κινδύνου που καθιστά αναγκαία την άμεση εκφόρτωση του συνόλου ή μέρους των εμπορευμάτων, οι τελωνειακές αρχές μπορούν να επιτρέψουν στον μεταφορέα να εκφορτώσει τα εμπορεύματα.</w:t>
      </w:r>
    </w:p>
    <w:p w14:paraId="0D0137B5" w14:textId="77777777" w:rsidR="003D0670" w:rsidRPr="00483F7D" w:rsidRDefault="006A01FA" w:rsidP="5DA9B26A">
      <w:pPr>
        <w:pStyle w:val="ManualNumPar10"/>
      </w:pPr>
      <w:r w:rsidRPr="00483F7D">
        <w:t>8.</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ειδικών περιπτώσεων που αναφέρονται στην παράγραφο 2 και των άλλων προσώπων από τα οποία μπορεί να απαιτηθεί να γνωστοποιήσουν στο πραγματικό τελωνείο πρώτης εισόδου την άφιξη των αποστολών.</w:t>
      </w:r>
    </w:p>
    <w:p w14:paraId="02C2E35D" w14:textId="77777777" w:rsidR="006A01FA" w:rsidRPr="00483F7D" w:rsidRDefault="003D0670" w:rsidP="5DA9B26A">
      <w:pPr>
        <w:pStyle w:val="ManualNumPar10"/>
      </w:pPr>
      <w:r w:rsidRPr="00483F7D">
        <w:t>9.</w:t>
      </w:r>
      <w:r w:rsidRPr="00483F7D">
        <w:tab/>
        <w:t>Η Επιτροπή ορίζει, με εκτελεστικές πράξεις, τη διαδικασία σχετικά με τη γνωστοποίηση άφιξης που αναφέρεται στο παρόν άρθρο. Οι εν λόγω εκτελεστικές πράξεις εκδίδονται σύμφωνα με τη διαδικασία εξέτασης που αναφέρεται στο άρθρο 262 παράγραφος 4.</w:t>
      </w:r>
    </w:p>
    <w:p w14:paraId="09991AA4" w14:textId="77777777" w:rsidR="00E0244C" w:rsidRPr="00483F7D" w:rsidRDefault="007A1FD7">
      <w:pPr>
        <w:pStyle w:val="Titrearticle"/>
      </w:pPr>
      <w:r w:rsidRPr="00483F7D">
        <w:t>Άρθρο 84</w:t>
      </w:r>
    </w:p>
    <w:p w14:paraId="519FAD5E" w14:textId="77777777" w:rsidR="00E0244C" w:rsidRPr="00483F7D" w:rsidRDefault="007A1FD7">
      <w:pPr>
        <w:pStyle w:val="NormalCentered"/>
      </w:pPr>
      <w:r w:rsidRPr="00483F7D">
        <w:rPr>
          <w:b/>
        </w:rPr>
        <w:t>Μεταφορά στον κατάλληλο τόπο</w:t>
      </w:r>
    </w:p>
    <w:p w14:paraId="75CACAEC" w14:textId="77777777" w:rsidR="00E0244C" w:rsidRPr="00483F7D" w:rsidRDefault="007A1FD7">
      <w:pPr>
        <w:pStyle w:val="ManualNumPar10"/>
      </w:pPr>
      <w:r w:rsidRPr="00483F7D">
        <w:t>1.</w:t>
      </w:r>
      <w:r w:rsidRPr="00483F7D">
        <w:tab/>
        <w:t>Ο μεταφορέας που μεταφέρει εμπορεύματα εντός του τελωνειακού εδάφους της Ένωσης τα μεταφέρει χωρίς καθυστέρηση, μέσω της διαδρομής που ορίζουν οι τελωνειακές αρχές και σύμφωνα με τις τυχόν οδηγίες τους, στο τελωνείο που όρισαν οι τελωνειακές αρχές ή σε οποιοδήποτε άλλο σημείο όρισαν ή ενέκριναν οι εν λόγω αρχές.</w:t>
      </w:r>
    </w:p>
    <w:p w14:paraId="7FD7C434" w14:textId="77777777" w:rsidR="00E0244C" w:rsidRPr="00483F7D" w:rsidRDefault="007A1FD7">
      <w:pPr>
        <w:pStyle w:val="ManualNumPar10"/>
      </w:pPr>
      <w:r w:rsidRPr="00483F7D">
        <w:t>2.</w:t>
      </w:r>
      <w:r w:rsidRPr="00483F7D">
        <w:tab/>
        <w:t>Όταν, λόγω απρόβλεπτων περιστάσεων ή ανωτέρας βίας, οι μεταφορείς δεν μπορούν να συμμορφωθούν με την υποχρέωση της παραγράφου 1, ενημερώνουν χωρίς καθυστέρηση τις τελωνειακές αρχές για την κατάσταση και τον ακριβή τόπο όπου βρίσκονται τα εμπορεύματα.</w:t>
      </w:r>
    </w:p>
    <w:p w14:paraId="138F047E" w14:textId="77777777" w:rsidR="00E0244C" w:rsidRPr="00483F7D" w:rsidRDefault="007A1FD7">
      <w:pPr>
        <w:pStyle w:val="ManualNumPar10"/>
      </w:pPr>
      <w:r w:rsidRPr="00483F7D">
        <w:t>3.</w:t>
      </w:r>
      <w:r w:rsidRPr="00483F7D">
        <w:tab/>
        <w:t>Οι τελωνειακές αρχές καθορίζουν τα μέτρα που πρέπει να ληφθούν για να είναι δυνατή η τελωνειακή επιτήρηση των εμπορευμάτων που αναφέρονται στην παράγραφο 1, ή του πλοίου ή του αεροσκάφους, καθώς και τυχόν εμπορευμάτων που βρίσκονται σε αυτά, σύμφωνα με την παράγραφο 2, και για να εξασφαλίζεται, κατά περίπτωση, η προσκόμισή τους στη συνέχεια σε τελωνείο ή σε άλλον χώρο ορισμένο ή εγκεκριμένο από τις αρχές ή σε ελεύθερη ζώνη.</w:t>
      </w:r>
    </w:p>
    <w:p w14:paraId="70AC0427" w14:textId="77777777" w:rsidR="00E0244C" w:rsidRPr="00483F7D" w:rsidRDefault="007A1FD7">
      <w:pPr>
        <w:pStyle w:val="ManualNumPar10"/>
      </w:pPr>
      <w:r w:rsidRPr="00483F7D">
        <w:t>4.</w:t>
      </w:r>
      <w:r w:rsidRPr="00483F7D">
        <w:tab/>
        <w:t>Η είσοδος των εμπορευμάτων σε ελεύθερη ζώνη πραγματοποιείται με απευθείας μεταφορά τους εντός της εν λόγω ζώνης, είτε διά θαλάσσιας ή αεροπορικής οδού είτε, εφόσον πραγματοποιείται διά χερσαίας οδού, χωρίς διέλευση από άλλο μέρος του τελωνειακού εδάφους της Ένωσης, αν η ελεύθερη ζώνη εφάπτεται σε χερσαίο σύνορο μεταξύ κράτους μέλους και τρίτης χώρας.</w:t>
      </w:r>
    </w:p>
    <w:p w14:paraId="122836B8" w14:textId="77777777" w:rsidR="00E0244C" w:rsidRPr="00483F7D" w:rsidRDefault="007A1FD7">
      <w:pPr>
        <w:pStyle w:val="ManualNumPar10"/>
      </w:pPr>
      <w:r w:rsidRPr="00483F7D">
        <w:t>5.</w:t>
      </w:r>
      <w:r w:rsidRPr="00483F7D">
        <w:tab/>
        <w:t>Η τελωνειακή αρχή μπορεί να υποβάλλει σε τελωνειακούς ελέγχους εμπορεύματα που εξακολουθούν να βρίσκονται εκτός του τελωνειακού εδάφους της Ένωσης, ως αποτέλεσμα συμφωνίας που έχει συναφθεί με τη σχετική τρίτη χώρα. Οι τελωνειακές αρχές μεταχειρίζονται τα εν λόγω εμπορεύματα με τον ίδιο τρόπο όπως τα εμπορεύματα που μεταφέρονται εντός του τελωνειακού εδάφους της Ένωσης.</w:t>
      </w:r>
    </w:p>
    <w:p w14:paraId="2BC7EFB6" w14:textId="77777777" w:rsidR="00E0244C" w:rsidRPr="00483F7D" w:rsidRDefault="007A1FD7">
      <w:pPr>
        <w:pStyle w:val="ManualNumPar10"/>
      </w:pPr>
      <w:r w:rsidRPr="00483F7D">
        <w:t>6.</w:t>
      </w:r>
      <w:r w:rsidRPr="00483F7D">
        <w:tab/>
        <w:t>Κατά παρέκκλιση από τις παραγράφους 1 και 2, είναι δυνατό να εφαρμόζονται ειδικοί κανόνες σε εμπορεύματα που μεταφέρονται εντός παραμεθόριων ζωνών ή μέσω αγωγών και καλωδίων, σε οικονομικώς ασήμαντη διακίνηση ή σε εμπορεύματα που μεταφέρονται από ταξιδιώτες, εφόσον δεν θίγονται η τελωνειακή επιτήρηση και οι δυνατότητες τελωνειακού ελέγχου.</w:t>
      </w:r>
    </w:p>
    <w:p w14:paraId="3043DBCE" w14:textId="77777777" w:rsidR="00E0244C" w:rsidRPr="00483F7D" w:rsidRDefault="007A1FD7">
      <w:pPr>
        <w:pStyle w:val="ManualNumPar10"/>
      </w:pPr>
      <w:r w:rsidRPr="00483F7D">
        <w:t>7.</w:t>
      </w:r>
      <w:r w:rsidRPr="00483F7D">
        <w:tab/>
        <w:t>Η παράγραφος 1 δεν εφαρμόζεται σε μεταφορικά μέσα και στα εμπορεύματα τα οποία μεταφέρονται με αυτά που απλώς διασχίζουν τα χωρικά ύδατα ή τον εναέριο χώρο του τελωνειακού εδάφους της Ένωσης χωρίς στάση εντός του εν λόγω εδάφους.</w:t>
      </w:r>
    </w:p>
    <w:p w14:paraId="36543AA3" w14:textId="77777777" w:rsidR="00E0244C" w:rsidRPr="00483F7D" w:rsidRDefault="007A1FD7">
      <w:pPr>
        <w:pStyle w:val="ManualNumPar10"/>
      </w:pPr>
      <w:r w:rsidRPr="00483F7D">
        <w:t>8.</w:t>
      </w:r>
      <w:r w:rsidRPr="00483F7D">
        <w:tab/>
        <w:t xml:space="preserve">Τα άρθρα </w:t>
      </w:r>
      <w:hyperlink w:anchor="__akn_article_mI3XA5" w:tooltip="Article 83: 83">
        <w:r w:rsidRPr="00483F7D">
          <w:rPr>
            <w:rStyle w:val="Hyperlink"/>
          </w:rPr>
          <w:t>83</w:t>
        </w:r>
      </w:hyperlink>
      <w:r w:rsidRPr="00483F7D">
        <w:t xml:space="preserve"> και </w:t>
      </w:r>
      <w:hyperlink w:anchor="__akn_article_r99DiU" w:tooltip="Article 85: 85">
        <w:r w:rsidRPr="00483F7D">
          <w:rPr>
            <w:rStyle w:val="Hyperlink"/>
          </w:rPr>
          <w:t>85</w:t>
        </w:r>
      </w:hyperlink>
      <w:r w:rsidRPr="00483F7D">
        <w:t xml:space="preserve"> δεν εφαρμόζονται στις περιπτώσεις κατά τις οποίες ενωσιακά εμπορεύματα τα οποία διακινούνται χωρίς μεταβολή του τελωνειακού τους χαρακτήρα σύμφωνα με το άρθρο 58 παράγραφος </w:t>
      </w:r>
      <w:hyperlink w:anchor="_bill__akn_article_y4VlnP-par1" w:tooltip="Article 58(2): (2)">
        <w:r w:rsidRPr="00483F7D">
          <w:rPr>
            <w:rStyle w:val="Hyperlink"/>
          </w:rPr>
          <w:t>2</w:t>
        </w:r>
      </w:hyperlink>
      <w:r w:rsidRPr="00483F7D">
        <w:t xml:space="preserve"> μεταφέρονται εντός του τελωνειακού εδάφους της Ένωσης αφού έχουν εγκαταλείψει προσωρινά το εν λόγω έδαφος διά θαλάσσιας ή αεροπορικής οδού και έχουν μεταφερθεί με απευθείας δρομολόγιο χωρίς στάση εκτός του τελωνειακού εδάφους της Ένωσης.</w:t>
      </w:r>
    </w:p>
    <w:p w14:paraId="585A6005" w14:textId="77777777" w:rsidR="00E0244C" w:rsidRPr="00483F7D" w:rsidRDefault="007A1FD7">
      <w:pPr>
        <w:pStyle w:val="Titrearticle"/>
      </w:pPr>
      <w:bookmarkStart w:id="95" w:name="__akn_article_r99DiU"/>
      <w:bookmarkEnd w:id="95"/>
      <w:r w:rsidRPr="00483F7D">
        <w:t>Άρθρο 85</w:t>
      </w:r>
    </w:p>
    <w:p w14:paraId="1E2293BC" w14:textId="77777777" w:rsidR="00E0244C" w:rsidRPr="00483F7D" w:rsidRDefault="007A1FD7">
      <w:pPr>
        <w:pStyle w:val="NormalCentered"/>
      </w:pPr>
      <w:r w:rsidRPr="00483F7D">
        <w:rPr>
          <w:b/>
        </w:rPr>
        <w:t>Προσκόμιση στο τελωνείο</w:t>
      </w:r>
    </w:p>
    <w:p w14:paraId="2F8A46B3" w14:textId="77777777" w:rsidR="00E0244C" w:rsidRPr="00483F7D" w:rsidRDefault="007A1FD7">
      <w:pPr>
        <w:pStyle w:val="ManualNumPar10"/>
      </w:pPr>
      <w:r w:rsidRPr="00483F7D">
        <w:t>1.</w:t>
      </w:r>
      <w:r w:rsidRPr="00483F7D">
        <w:tab/>
        <w:t>Όταν το απαιτούν οι τελωνειακές αρχές ή η λοιπή νομοθεσία που εφαρμόζεται από τις τελωνειακές αρχές, ο μεταφορέας προσκομίζει τα εμπορεύματα που μεταφέρονται εντός του τελωνειακού εδάφους της Ένωσης στο τελωνείο κατά την άφιξή τους στο καθορισμένο τελωνείο ή σε οποιονδήποτε άλλον τόπο ορίζεται ή εγκρίνεται από τις τελωνειακές αρχές ή στην ελεύθερη ζώνη.</w:t>
      </w:r>
    </w:p>
    <w:p w14:paraId="66C70BBB" w14:textId="77777777" w:rsidR="006F2D28" w:rsidRPr="00483F7D" w:rsidRDefault="007A1FD7" w:rsidP="5DA9B26A">
      <w:pPr>
        <w:pStyle w:val="ManualNumPar10"/>
      </w:pPr>
      <w:r w:rsidRPr="00483F7D">
        <w:t>2.</w:t>
      </w:r>
      <w:r w:rsidRPr="00483F7D">
        <w:tab/>
      </w:r>
      <w:bookmarkStart w:id="96" w:name="_Hlk134000048"/>
      <w:r w:rsidRPr="00483F7D">
        <w:t xml:space="preserve">Οι τελωνειακές αρχές απαιτούν από τον μεταφορέα να προσκομίσει τα εμπορεύματα και να παράσχει τις εκ των προτέρων πληροφορίες για τα φορτία που αναφέρονται στο άρθρο </w:t>
      </w:r>
      <w:hyperlink w:anchor="__akn_article_nvmTk3" w:tooltip="Article 80: 80">
        <w:r w:rsidRPr="00483F7D">
          <w:rPr>
            <w:rStyle w:val="Hyperlink"/>
          </w:rPr>
          <w:t>80</w:t>
        </w:r>
      </w:hyperlink>
      <w:r w:rsidRPr="00483F7D">
        <w:t xml:space="preserve">, όταν οι πληροφορίες αυτές δεν έχουν παρασχεθεί σε προγενέστερο στάδιο. </w:t>
      </w:r>
      <w:bookmarkEnd w:id="96"/>
    </w:p>
    <w:p w14:paraId="7D19E271" w14:textId="77777777" w:rsidR="00E0244C" w:rsidRPr="00483F7D" w:rsidRDefault="006F2D28">
      <w:pPr>
        <w:pStyle w:val="ManualNumPar10"/>
      </w:pPr>
      <w:r w:rsidRPr="00483F7D">
        <w:t>3.</w:t>
      </w:r>
      <w:r w:rsidRPr="00483F7D">
        <w:tab/>
        <w:t>Εμπορεύματα που προσκομίζονται στο τελωνείο δεν απομακρύνονται από τον χώρο στον οποίο προσκομίστηκαν χωρίς την άδεια των τελωνειακών αρχών.</w:t>
      </w:r>
    </w:p>
    <w:p w14:paraId="6510FD43" w14:textId="77777777" w:rsidR="00E0244C" w:rsidRPr="00483F7D" w:rsidRDefault="007A1FD7" w:rsidP="5DA9B26A">
      <w:pPr>
        <w:pStyle w:val="ManualNumPar10"/>
      </w:pPr>
      <w:r w:rsidRPr="00483F7D">
        <w:t>3.</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για τον ορισμό και την έγκριση των τόπων εκτός του καθορισμένου τελωνείου, όπως αναφέρεται στην παράγραφο 1.</w:t>
      </w:r>
    </w:p>
    <w:p w14:paraId="57D0E90D" w14:textId="77777777" w:rsidR="00B34C5F" w:rsidRPr="00483F7D" w:rsidRDefault="007A2EAA" w:rsidP="0002140E">
      <w:pPr>
        <w:pStyle w:val="ManualNumPar10"/>
      </w:pPr>
      <w:r w:rsidRPr="00483F7D">
        <w:t>4.</w:t>
      </w:r>
      <w:r w:rsidRPr="00483F7D">
        <w:tab/>
        <w:t>Η Επιτροπή θεσπίζει, με εκτελεστικές πράξεις, τη διαδικασία σχετικά με την προσκόμιση των εμπορευμάτων στο τελωνείο που αναφέρεται στο παρόν άρθρο. Οι εν λόγω εκτελεστικές πράξεις εκδίδονται σύμφωνα με τη διαδικασία εξέτασης που αναφέρεται στο άρθρο 262 παράγραφος 4.</w:t>
      </w:r>
    </w:p>
    <w:p w14:paraId="04897F47" w14:textId="77777777" w:rsidR="00E0244C" w:rsidRPr="00483F7D" w:rsidRDefault="007A1FD7">
      <w:pPr>
        <w:pStyle w:val="Titrearticle"/>
      </w:pPr>
      <w:r w:rsidRPr="00483F7D">
        <w:t>Άρθρο 86</w:t>
      </w:r>
    </w:p>
    <w:p w14:paraId="29E47B52" w14:textId="77777777" w:rsidR="00E0244C" w:rsidRPr="00483F7D" w:rsidRDefault="007A1FD7">
      <w:pPr>
        <w:pStyle w:val="NormalCentered"/>
      </w:pPr>
      <w:r w:rsidRPr="00483F7D">
        <w:rPr>
          <w:b/>
        </w:rPr>
        <w:t>Προσωρινή εναπόθεση εμπορευμάτων</w:t>
      </w:r>
    </w:p>
    <w:p w14:paraId="3D5BB8EE" w14:textId="77777777" w:rsidR="00A3564A" w:rsidRPr="00483F7D" w:rsidRDefault="007A1FD7" w:rsidP="00CF7E35">
      <w:pPr>
        <w:pStyle w:val="NumPar1"/>
        <w:numPr>
          <w:ilvl w:val="0"/>
          <w:numId w:val="17"/>
        </w:numPr>
      </w:pPr>
      <w:r w:rsidRPr="00483F7D">
        <w:t xml:space="preserve">Μη ενωσιακά εμπορεύματα βρίσκονται σε προσωρινή εναπόθεση από τη στιγμή που ο μεταφορέας γνωστοποιεί την άφιξή τους στο τελωνειακό έδαφος της Ένωσης, έως ότου υπαχθούν σε τελωνειακό καθεστώς ή οι τελωνειακές αρχές διευθετήσουν την κατάστασή τους σύμφωνα με την παράγραφο 6. </w:t>
      </w:r>
    </w:p>
    <w:p w14:paraId="02D24886" w14:textId="77777777" w:rsidR="00A3564A" w:rsidRPr="00483F7D" w:rsidRDefault="007A1FD7" w:rsidP="00CF7E35">
      <w:pPr>
        <w:pStyle w:val="NumPar1"/>
        <w:numPr>
          <w:ilvl w:val="0"/>
          <w:numId w:val="17"/>
        </w:numPr>
      </w:pPr>
      <w:r w:rsidRPr="00483F7D">
        <w:t xml:space="preserve">Εμπορεύματα που φθάνουν στο τελωνειακό έδαφος υπό διαμετακόμιση βρίσκονται σε προσωρινή εναπόθεση μετά την προσκόμισή τους στο τελωνείο προορισμού στο τελωνειακό έδαφος της Ένωσης σύμφωνα με τους κανόνες που διέπουν το καθεστώς διαμετακόμισης του τίτλου VIII κεφάλαιο </w:t>
      </w:r>
      <w:hyperlink w:anchor="__akn_chapter_jivlmF" w:tooltip="Title VIII, Chapter 2: 2">
        <w:r w:rsidRPr="00483F7D">
          <w:t>2</w:t>
        </w:r>
      </w:hyperlink>
      <w:r w:rsidRPr="00483F7D">
        <w:t>, έως ότου υπαχθούν σε άλλο τελωνειακό καθεστώς ή οι τελωνειακές αρχές διευθετήσουν την κατάστασή τους σύμφωνα με την παράγραφο 6.</w:t>
      </w:r>
    </w:p>
    <w:p w14:paraId="5834E9C9" w14:textId="77777777" w:rsidR="00A3564A" w:rsidRPr="00483F7D" w:rsidRDefault="007A1FD7" w:rsidP="00CF7E35">
      <w:pPr>
        <w:pStyle w:val="NumPar1"/>
        <w:numPr>
          <w:ilvl w:val="0"/>
          <w:numId w:val="17"/>
        </w:numPr>
      </w:pPr>
      <w:r w:rsidRPr="00483F7D">
        <w:t>Εμπορεύματα σε προσωρινή εναπόθεση αποθηκεύονται αποκλειστικά σε αποθήκες τελωνειακής αποταμίευσης ή, εφόσον δικαιολογείται, σε άλλους χώρους που έχουν ορίσει ή εγκρίνει οι τελωνειακές αρχές.</w:t>
      </w:r>
    </w:p>
    <w:p w14:paraId="00F9AB34" w14:textId="77777777" w:rsidR="00A3564A" w:rsidRPr="00483F7D" w:rsidRDefault="007A1FD7" w:rsidP="00CF7E35">
      <w:pPr>
        <w:pStyle w:val="NumPar1"/>
        <w:numPr>
          <w:ilvl w:val="0"/>
          <w:numId w:val="17"/>
        </w:numPr>
      </w:pPr>
      <w:r w:rsidRPr="00483F7D">
        <w:t>Ο διαχειριστής της προσωρινής εναπόθεσης ή της αποθήκης τελωνειακής αποταμίευσης διατηρεί τα εμπορεύματα σε προσωρινή εναπόθεση, αλλά δεν τα μεταβάλλει ούτε τροποποιεί την εμφάνιση ή τα τεχνικά χαρακτηριστικά τους.</w:t>
      </w:r>
      <w:bookmarkStart w:id="97" w:name="__akn_article_fyeR6N_vrAhLc"/>
      <w:bookmarkEnd w:id="97"/>
    </w:p>
    <w:p w14:paraId="05299295" w14:textId="77777777" w:rsidR="00A3564A" w:rsidRPr="00483F7D" w:rsidRDefault="007A1FD7" w:rsidP="00CF7E35">
      <w:pPr>
        <w:pStyle w:val="NumPar1"/>
        <w:numPr>
          <w:ilvl w:val="0"/>
          <w:numId w:val="17"/>
        </w:numPr>
      </w:pPr>
      <w:r w:rsidRPr="00483F7D">
        <w:t xml:space="preserve">Τα μη ενωσιακά εμπορεύματα σε προσωρινή εναπόθεση υπάγονται σε τελωνειακό καθεστώς το αργότερο 3 ημέρες μετά τη γνωστοποίηση της άφιξής τους ή το αργότερο 6 ημέρες από τη γνωστοποίηση της άφιξής τους στην περίπτωση εγκεκριμένου παραλήπτη, όπως αναφέρεται στο άρθρο 116 παράγραφος 4 στοιχείο </w:t>
      </w:r>
      <w:hyperlink w:anchor="__akn_article_D6iBz3_sQhYv0" w:tooltip="Article 116(4), point (b): (b)">
        <w:r w:rsidRPr="00483F7D">
          <w:rPr>
            <w:rStyle w:val="Hyperlink"/>
          </w:rPr>
          <w:t>β)</w:t>
        </w:r>
      </w:hyperlink>
      <w:r w:rsidRPr="00483F7D">
        <w:t>, εκτός αν οι τελωνειακές αρχές απαιτούν την προσκόμιση των εμπορευμάτων. Σε εξαιρετικές περιπτώσεις, η προθεσμία αυτή είναι δυνατό να παραταθεί.</w:t>
      </w:r>
    </w:p>
    <w:p w14:paraId="26E90372" w14:textId="77777777" w:rsidR="00A3564A" w:rsidRPr="00483F7D" w:rsidRDefault="007A1FD7" w:rsidP="00CF7E35">
      <w:pPr>
        <w:pStyle w:val="NumPar1"/>
        <w:numPr>
          <w:ilvl w:val="0"/>
          <w:numId w:val="17"/>
        </w:numPr>
      </w:pPr>
      <w:r w:rsidRPr="00483F7D">
        <w:t>Όταν για δεόντως αιτιολογημένο λόγο τα εμπορεύματα δεν είναι δυνατό να παραμείνουν σε προσωρινή εναπόθεση, οι τελωνειακές αρχές λαμβάνουν χωρίς καθυστέρηση όλα τα αναγκαία μέτρα για τη διάθεση των εμπορευμάτων σύμφωνα με το κεφάλαιο 4 του παρόντος τίτλου.</w:t>
      </w:r>
    </w:p>
    <w:p w14:paraId="5435FCEB" w14:textId="77777777" w:rsidR="00E0244C" w:rsidRPr="00483F7D" w:rsidRDefault="007A1FD7" w:rsidP="00CF7E35">
      <w:pPr>
        <w:pStyle w:val="NumPar1"/>
        <w:numPr>
          <w:ilvl w:val="0"/>
          <w:numId w:val="17"/>
        </w:numPr>
      </w:pPr>
      <w:r w:rsidRPr="00483F7D">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για τον ορισμό ή την έγκριση των χώρων που αναφέρονται στην παράγραφο 3 του παρόντος άρθρου και των περιπτώσεων στις οποίες μπορεί να παραταθεί η προθεσμία που αναφέρεται στην παράγραφο 5 του παρόντος άρθρου.</w:t>
      </w:r>
    </w:p>
    <w:p w14:paraId="3634AF62" w14:textId="77777777" w:rsidR="00E0244C" w:rsidRPr="00483F7D" w:rsidRDefault="007A1FD7">
      <w:pPr>
        <w:pStyle w:val="Titrearticle"/>
      </w:pPr>
      <w:r w:rsidRPr="00483F7D">
        <w:t>Άρθρο 87</w:t>
      </w:r>
    </w:p>
    <w:p w14:paraId="1E3902E4" w14:textId="77777777" w:rsidR="00E0244C" w:rsidRPr="00483F7D" w:rsidRDefault="007A1FD7">
      <w:pPr>
        <w:pStyle w:val="NormalCentered"/>
      </w:pPr>
      <w:r w:rsidRPr="00483F7D">
        <w:rPr>
          <w:b/>
        </w:rPr>
        <w:t>Μεταβατική διάταξη σχετικά με άδειες λειτουργίας εγκαταστάσεων προσωρινής εναπόθεσης</w:t>
      </w:r>
    </w:p>
    <w:p w14:paraId="0C30B8D4" w14:textId="77777777" w:rsidR="00E0244C" w:rsidRPr="00483F7D" w:rsidRDefault="007A1FD7">
      <w:r w:rsidRPr="00483F7D">
        <w:t xml:space="preserve">Έως την ημερομηνία που ορίζεται στο άρθρο 265 παράγραφος </w:t>
      </w:r>
      <w:hyperlink w:anchor="_bill__akn_article_BG6Seo_GMrrCj" w:tooltip="Article 261(7): (7)">
        <w:r w:rsidRPr="00483F7D">
          <w:rPr>
            <w:rStyle w:val="Hyperlink"/>
          </w:rPr>
          <w:t>3</w:t>
        </w:r>
      </w:hyperlink>
      <w:r w:rsidRPr="00483F7D">
        <w:t>, οι τελωνειακές αρχές επαναξιολογούν τις άδειες λειτουργίας εγκαταστάσεων προσωρινής εναπόθεσης προκειμένου να ελέγξουν αν οι δικαιούχοι τους μπορούν να λάβουν άδεια τελωνειακής αποταμίευσης. Σε αντίθετη περίπτωση, οι άδειες λειτουργίας εγκαταστάσεων προσωρινής εναπόθεσης ανακαλούνται.</w:t>
      </w:r>
    </w:p>
    <w:p w14:paraId="442F41E1" w14:textId="77777777" w:rsidR="00E0244C" w:rsidRPr="00483F7D" w:rsidRDefault="007A1FD7">
      <w:pPr>
        <w:pStyle w:val="ChapterTitle"/>
      </w:pPr>
      <w:r w:rsidRPr="00483F7D">
        <w:t xml:space="preserve">Κεφάλαιο 2 </w:t>
      </w:r>
      <w:r w:rsidRPr="00483F7D">
        <w:br/>
        <w:t>Θέση σε ελεύθερη κυκλοφορία</w:t>
      </w:r>
    </w:p>
    <w:p w14:paraId="63FF3CA9" w14:textId="77777777" w:rsidR="00E0244C" w:rsidRPr="00483F7D" w:rsidRDefault="007A1FD7">
      <w:pPr>
        <w:pStyle w:val="Titrearticle"/>
      </w:pPr>
      <w:bookmarkStart w:id="98" w:name="__akn_article_YeZ4od"/>
      <w:bookmarkEnd w:id="98"/>
      <w:r w:rsidRPr="00483F7D">
        <w:t>Άρθρο 88</w:t>
      </w:r>
    </w:p>
    <w:p w14:paraId="51C71D20" w14:textId="77777777" w:rsidR="00E0244C" w:rsidRPr="00483F7D" w:rsidRDefault="007A1FD7">
      <w:pPr>
        <w:pStyle w:val="NormalCentered"/>
      </w:pPr>
      <w:r w:rsidRPr="00483F7D">
        <w:rPr>
          <w:b/>
        </w:rPr>
        <w:t>Πεδίο εφαρμογής και αποτελέσματα</w:t>
      </w:r>
    </w:p>
    <w:p w14:paraId="5EB52685" w14:textId="77777777" w:rsidR="00E0244C" w:rsidRPr="00483F7D" w:rsidRDefault="007A1FD7">
      <w:pPr>
        <w:pStyle w:val="ManualNumPar10"/>
      </w:pPr>
      <w:r w:rsidRPr="00483F7D">
        <w:t>1.</w:t>
      </w:r>
      <w:r w:rsidRPr="00483F7D">
        <w:tab/>
        <w:t>Μη ενωσιακά εμπορεύματα που προορίζονται να διατεθούν στην ενωσιακή αγορά ή για ιδιωτική χρήση ή κατανάλωση εντός του τελωνειακού εδάφους της Ένωσης υπάγονται σε καθεστώς θέσης σε ελεύθερη κυκλοφορία.</w:t>
      </w:r>
    </w:p>
    <w:p w14:paraId="6693AA9C" w14:textId="77777777" w:rsidR="00E0244C" w:rsidRPr="00483F7D" w:rsidRDefault="007A1FD7">
      <w:pPr>
        <w:pStyle w:val="ManualNumPar10"/>
      </w:pPr>
      <w:r w:rsidRPr="00483F7D">
        <w:t>2.</w:t>
      </w:r>
      <w:r w:rsidRPr="00483F7D">
        <w:tab/>
        <w:t>Η θέση σε ελεύθερη κυκλοφορία δεν θεωρείται απόδειξη συμμόρφωσης με τη σχετική λοιπή νομοθεσία που εφαρμόζεται από τις τελωνειακές αρχές.</w:t>
      </w:r>
    </w:p>
    <w:p w14:paraId="4A050AE6" w14:textId="77777777" w:rsidR="00E0244C" w:rsidRPr="00483F7D" w:rsidRDefault="007A1FD7">
      <w:pPr>
        <w:pStyle w:val="ManualNumPar10"/>
      </w:pPr>
      <w:bookmarkStart w:id="99" w:name="__akn_article_YeZ4od_lRiUjo"/>
      <w:bookmarkEnd w:id="99"/>
      <w:r w:rsidRPr="00483F7D">
        <w:t>3.</w:t>
      </w:r>
      <w:r w:rsidRPr="00483F7D">
        <w:tab/>
        <w:t>Οι όροι για τη θέση εμπορευμάτων σε ελεύθερη κυκλοφορία είναι οι ακόλουθοι:</w:t>
      </w:r>
    </w:p>
    <w:p w14:paraId="3E7FE66E" w14:textId="135FF260" w:rsidR="00C140B9" w:rsidRPr="00483F7D" w:rsidRDefault="00BC60FC" w:rsidP="00BC60FC">
      <w:pPr>
        <w:pStyle w:val="Point1"/>
      </w:pPr>
      <w:r w:rsidRPr="00483F7D">
        <w:t>α)</w:t>
      </w:r>
      <w:r w:rsidRPr="00483F7D">
        <w:tab/>
      </w:r>
      <w:r w:rsidR="007A1FD7" w:rsidRPr="00483F7D">
        <w:t>έχουν παρασχεθεί ή καταστεί διαθέσιμα στις τελωνειακές αρχές τα απαιτούμενα δεδομένα, τα οποία πρέπει να περιλαμβάνουν τουλάχιστον τον εισαγωγέα που είναι υπεύθυνος για τα εμπορεύματα, τον πωλητή, τον αγοραστή, τον κατασκευαστή, τον προμηθευτή προϊόντος, όταν αυτός είναι διαφορετικός από τον κατασκευαστή, τον υπεύθυνο οικονομικό φορέα στην Ένωση σύμφωνα με το άρθρο 4 του κανονισμού (ΕΕ) 2019/1020 και το άρθρο 16 του κανονισμού (ΕΕ) 2023/XXXX του Ευρωπαϊκού Κοινοβουλίου και του Συμβουλίου</w:t>
      </w:r>
      <w:r w:rsidR="007A1FD7" w:rsidRPr="00483F7D">
        <w:rPr>
          <w:rStyle w:val="FootnoteReference"/>
        </w:rPr>
        <w:footnoteReference w:id="70"/>
      </w:r>
      <w:r w:rsidR="007A1FD7" w:rsidRPr="00483F7D">
        <w:t>, την αξία, την καταγωγή, τη δασμολογική κατάταξη και την περιγραφή των εμπορευμάτων, τον μοναδικό αριθμό αναφοράς της αποστολής και την τοποθεσία της, καθώς και τον κατάλογο της σχετικής λοιπής νομοθεσίας που εφαρμόζεται από τις τελωνειακές αρχές·</w:t>
      </w:r>
    </w:p>
    <w:p w14:paraId="4BB7F1BC" w14:textId="07E83EB3" w:rsidR="00C140B9" w:rsidRPr="00483F7D" w:rsidRDefault="00BC60FC" w:rsidP="00BC60FC">
      <w:pPr>
        <w:pStyle w:val="Point1"/>
      </w:pPr>
      <w:r w:rsidRPr="00483F7D">
        <w:t>β)</w:t>
      </w:r>
      <w:r w:rsidRPr="00483F7D">
        <w:tab/>
      </w:r>
      <w:r w:rsidR="007A1FD7" w:rsidRPr="00483F7D">
        <w:t>όλοι οι οφειλόμενοι εισαγωγικοί δασμοί ή λοιπές επιβαρύνσεις, συμπεριλαμβανομένων των δασμών αντιντάμπινγκ, των αντισταθμιστικών δασμών ή των μέτρων διασφάλισης, καταβάλλονται ή καλύπτονται από εγγύηση, εκτός αν τα εμπορεύματα αποτελούν αντικείμενο αίτησης για ανάληψη ποσότητας από δασμολογική ποσόστωση ή ο εισαγωγέας είναι αξιόπιστος και ελεγμένος συναλλασσόμενος·</w:t>
      </w:r>
    </w:p>
    <w:p w14:paraId="6AC1A916" w14:textId="08511D00" w:rsidR="00C140B9" w:rsidRPr="00483F7D" w:rsidRDefault="00BC60FC" w:rsidP="00BC60FC">
      <w:pPr>
        <w:pStyle w:val="Point1"/>
      </w:pPr>
      <w:r w:rsidRPr="00483F7D">
        <w:t>γ)</w:t>
      </w:r>
      <w:r w:rsidRPr="00483F7D">
        <w:tab/>
      </w:r>
      <w:r w:rsidR="007A1FD7" w:rsidRPr="00483F7D">
        <w:t>τα εμπορεύματα έχουν φθάσει στο τελωνειακό έδαφος της Ένωσης· και</w:t>
      </w:r>
    </w:p>
    <w:p w14:paraId="2280B17F" w14:textId="36AC8D91" w:rsidR="00E0244C" w:rsidRPr="00483F7D" w:rsidRDefault="00BC60FC" w:rsidP="00BC60FC">
      <w:pPr>
        <w:pStyle w:val="Point1"/>
      </w:pPr>
      <w:r w:rsidRPr="00483F7D">
        <w:t>δ)</w:t>
      </w:r>
      <w:r w:rsidRPr="00483F7D">
        <w:tab/>
      </w:r>
      <w:r w:rsidR="00EB4A21" w:rsidRPr="00483F7D">
        <w:t>τα εμπορεύματα συμμορφώνονται με τη σχετική λοιπή νομοθεσία που εφαρμόζεται από τις τελωνειακές αρχές.</w:t>
      </w:r>
    </w:p>
    <w:p w14:paraId="3E261C52" w14:textId="77777777" w:rsidR="007760E2" w:rsidRPr="00483F7D" w:rsidRDefault="007760E2">
      <w:pPr>
        <w:pStyle w:val="ManualNumPar10"/>
      </w:pPr>
      <w:r w:rsidRPr="00483F7D">
        <w:t>4.</w:t>
      </w:r>
      <w:r w:rsidRPr="00483F7D">
        <w:tab/>
        <w:t>Ανατίθεται στην Επιτροπή η εξουσία να εκδίδει κατ’ εξουσιοδότηση πράξεις, σύμφωνα με το άρθρο 261, για τη συμπλήρωση και την τροποποίηση του παρόντος κανονισμού με τον καθορισμό των δεδομένων που παρέχονται ή καθίστανται διαθέσιμα στις τελωνειακές αρχές για τη θέση των εμπορευμάτων σε ελεύθερη κυκλοφορία, όπως αναφέρεται στην παράγραφο 3 στοιχείο α) του παρόντος άρθρου.</w:t>
      </w:r>
    </w:p>
    <w:p w14:paraId="57193EB1" w14:textId="77777777" w:rsidR="00E0244C" w:rsidRPr="00483F7D" w:rsidRDefault="007A1FD7">
      <w:pPr>
        <w:pStyle w:val="Titrearticle"/>
      </w:pPr>
      <w:r w:rsidRPr="00483F7D">
        <w:t>Άρθρο 89</w:t>
      </w:r>
    </w:p>
    <w:p w14:paraId="7E870262" w14:textId="77777777" w:rsidR="00E0244C" w:rsidRPr="00483F7D" w:rsidRDefault="007A1FD7">
      <w:pPr>
        <w:pStyle w:val="NormalCentered"/>
      </w:pPr>
      <w:r w:rsidRPr="00483F7D">
        <w:rPr>
          <w:b/>
        </w:rPr>
        <w:t>Εφαρμογή μέτρων εμπορικής πολιτικής στο καθεστώς τελειοποίησης προς επανεξαγωγή και επανεισαγωγή</w:t>
      </w:r>
    </w:p>
    <w:p w14:paraId="1C7373FF" w14:textId="77777777" w:rsidR="00E0244C" w:rsidRPr="00483F7D" w:rsidRDefault="007A1FD7">
      <w:pPr>
        <w:pStyle w:val="ManualNumPar10"/>
      </w:pPr>
      <w:r w:rsidRPr="00483F7D">
        <w:t>1.</w:t>
      </w:r>
      <w:r w:rsidRPr="00483F7D">
        <w:tab/>
        <w:t xml:space="preserve">Όταν τίθενται σε ελεύθερη κυκλοφορία μεταποιημένα προϊόντα τα οποία λαμβάνονται στο πλαίσιο καθεστώτος τελειοποίησης προς επανεξαγωγή και ο υπολογισμός του ποσού του εισαγωγικού δασμού γίνεται σύμφωνα με το άρθρο 168 παράγραφος </w:t>
      </w:r>
      <w:hyperlink w:anchor="__akn_article_EHApSv_tzWb7c" w:tooltip="Article 168(3): (3)">
        <w:r w:rsidRPr="00483F7D">
          <w:rPr>
            <w:rStyle w:val="Hyperlink"/>
          </w:rPr>
          <w:t>3</w:t>
        </w:r>
      </w:hyperlink>
      <w:r w:rsidRPr="00483F7D">
        <w:t>, τα μέτρα εμπορικής πολιτικής που πρέπει να εφαρμόζονται είναι αυτά που ισχύουν για τη θέση σε ελεύθερη κυκλοφορία των εμπορευμάτων τα οποία έχουν υπαχθεί στο καθεστώς τελειοποίησης προς επανεξαγωγή.</w:t>
      </w:r>
    </w:p>
    <w:p w14:paraId="1435C3FF" w14:textId="77777777" w:rsidR="00E0244C" w:rsidRPr="00483F7D" w:rsidRDefault="007A1FD7">
      <w:pPr>
        <w:pStyle w:val="ManualNumPar10"/>
      </w:pPr>
      <w:r w:rsidRPr="00483F7D">
        <w:t>2.</w:t>
      </w:r>
      <w:r w:rsidRPr="00483F7D">
        <w:tab/>
        <w:t>Η παράγραφος 1 δεν εφαρμόζεται σε περιπτώσεις απορριμμάτων και θραυσμάτων.</w:t>
      </w:r>
    </w:p>
    <w:p w14:paraId="6DACD69D" w14:textId="77777777" w:rsidR="00E0244C" w:rsidRPr="00483F7D" w:rsidRDefault="007A1FD7">
      <w:pPr>
        <w:pStyle w:val="ManualNumPar10"/>
      </w:pPr>
      <w:r w:rsidRPr="00483F7D">
        <w:t>3.</w:t>
      </w:r>
      <w:r w:rsidRPr="00483F7D">
        <w:tab/>
        <w:t xml:space="preserve">Όταν τίθενται σε ελεύθερη κυκλοφορία μεταποιημένα προϊόντα τα οποία λαμβάνονται στο πλαίσιο καθεστώτος τελειοποίησης προς επανεξαγωγή και ο υπολογισμός του ποσού του εισαγωγικού δασμού γίνεται σύμφωνα με το άρθρο 167 παράγραφος </w:t>
      </w:r>
      <w:hyperlink w:anchor="__akn_article_vkFYNe_BsW4oE" w:tooltip="Article 167(1): (1)">
        <w:r w:rsidRPr="00483F7D">
          <w:rPr>
            <w:rStyle w:val="Hyperlink"/>
          </w:rPr>
          <w:t>1</w:t>
        </w:r>
      </w:hyperlink>
      <w:r w:rsidRPr="00483F7D">
        <w:t>, τα μέτρα εμπορικής πολιτικής που ισχύουν για τα εν λόγω εμπορεύματα εφαρμόζονται μόνον εφόσον τα εμπορεύματα που έχουν υπαχθεί στο καθεστώς τελειοποίησης προς επανεξαγωγή υπόκεινται στα εν λόγω μέτρα.</w:t>
      </w:r>
    </w:p>
    <w:p w14:paraId="1AB24218" w14:textId="77777777" w:rsidR="00E0244C" w:rsidRPr="00483F7D" w:rsidRDefault="007A1FD7">
      <w:pPr>
        <w:pStyle w:val="ManualNumPar10"/>
      </w:pPr>
      <w:r w:rsidRPr="00483F7D">
        <w:t>4.</w:t>
      </w:r>
      <w:r w:rsidRPr="00483F7D">
        <w:tab/>
        <w:t>Τα μέτρα εμπορικής πολιτικής δεν εφαρμόζονται στα μεταποιημένα προϊόντα που τίθενται σε ελεύθερη κυκλοφορία μετά το καθεστώς τελειοποίησης προς επανεισαγωγή, όταν:</w:t>
      </w:r>
    </w:p>
    <w:p w14:paraId="439E4C57" w14:textId="1299D25C" w:rsidR="00C140B9" w:rsidRPr="00483F7D" w:rsidRDefault="00BC60FC" w:rsidP="00BC60FC">
      <w:pPr>
        <w:pStyle w:val="Point1"/>
      </w:pPr>
      <w:r w:rsidRPr="00483F7D">
        <w:t>α)</w:t>
      </w:r>
      <w:r w:rsidRPr="00483F7D">
        <w:tab/>
      </w:r>
      <w:r w:rsidR="007A1FD7" w:rsidRPr="00483F7D">
        <w:t xml:space="preserve">τα μεταποιημένα προϊόντα διατηρούν την ενωσιακή καταγωγή τους κατά την έννοια του άρθρου </w:t>
      </w:r>
      <w:hyperlink w:anchor="_bill__akn_article_ghjfN3" w:tooltip="Article 148: 148">
        <w:r w:rsidR="007A1FD7" w:rsidRPr="00483F7D">
          <w:rPr>
            <w:rStyle w:val="Hyperlink"/>
          </w:rPr>
          <w:t>148</w:t>
        </w:r>
      </w:hyperlink>
      <w:r w:rsidR="007A1FD7" w:rsidRPr="00483F7D">
        <w:t>·</w:t>
      </w:r>
    </w:p>
    <w:p w14:paraId="2AE3733C" w14:textId="4800738E" w:rsidR="00C140B9" w:rsidRPr="00483F7D" w:rsidRDefault="00BC60FC" w:rsidP="00BC60FC">
      <w:pPr>
        <w:pStyle w:val="Point1"/>
      </w:pPr>
      <w:r w:rsidRPr="00483F7D">
        <w:t>β)</w:t>
      </w:r>
      <w:r w:rsidRPr="00483F7D">
        <w:tab/>
      </w:r>
      <w:r w:rsidR="007A1FD7" w:rsidRPr="00483F7D">
        <w:t>το καθεστώς τελειοποίησης προς επανεισαγωγή περιλαμβάνει επισκευή, συμπεριλαμβανομένου του συστήματος σταθερών ανταλλαγών που αναφέρεται στο άρθρο 143· ή</w:t>
      </w:r>
    </w:p>
    <w:p w14:paraId="72C87F2A" w14:textId="62F72955" w:rsidR="00E0244C" w:rsidRPr="00483F7D" w:rsidRDefault="00BC60FC" w:rsidP="00BC60FC">
      <w:pPr>
        <w:pStyle w:val="Point1"/>
      </w:pPr>
      <w:r w:rsidRPr="00483F7D">
        <w:t>γ)</w:t>
      </w:r>
      <w:r w:rsidRPr="00483F7D">
        <w:tab/>
      </w:r>
      <w:r w:rsidR="007A1FD7" w:rsidRPr="00483F7D">
        <w:t xml:space="preserve">το καθεστώς τελειοποίησης προς επανεισαγωγή έπεται περαιτέρω εργασιών τελειοποίησης, σύμφωνα με το άρθρο </w:t>
      </w:r>
      <w:hyperlink w:anchor="__akn_article_xJ7lzk" w:tooltip="Article 139: 139">
        <w:r w:rsidR="007A1FD7" w:rsidRPr="00483F7D">
          <w:rPr>
            <w:rStyle w:val="Hyperlink"/>
          </w:rPr>
          <w:t>139</w:t>
        </w:r>
      </w:hyperlink>
      <w:r w:rsidR="007A1FD7" w:rsidRPr="00483F7D">
        <w:t>.</w:t>
      </w:r>
    </w:p>
    <w:p w14:paraId="10C35B35" w14:textId="77777777" w:rsidR="00E0244C" w:rsidRPr="00483F7D" w:rsidRDefault="007A1FD7">
      <w:pPr>
        <w:pStyle w:val="ChapterTitle"/>
      </w:pPr>
      <w:r w:rsidRPr="00483F7D">
        <w:t xml:space="preserve">Κεφάλαιο 3 </w:t>
      </w:r>
      <w:r w:rsidRPr="00483F7D">
        <w:br/>
        <w:t>Απαλλαγή από εισαγωγικούς δασμούς</w:t>
      </w:r>
    </w:p>
    <w:p w14:paraId="318EB7ED" w14:textId="77777777" w:rsidR="00E0244C" w:rsidRPr="00483F7D" w:rsidRDefault="007A1FD7">
      <w:pPr>
        <w:pStyle w:val="Titrearticle"/>
      </w:pPr>
      <w:bookmarkStart w:id="100" w:name="__akn_article_S51MUu"/>
      <w:bookmarkEnd w:id="100"/>
      <w:r w:rsidRPr="00483F7D">
        <w:t>Άρθρο 90</w:t>
      </w:r>
    </w:p>
    <w:p w14:paraId="4B32D75D" w14:textId="77777777" w:rsidR="00E0244C" w:rsidRPr="00483F7D" w:rsidRDefault="007A1FD7">
      <w:pPr>
        <w:pStyle w:val="NormalCentered"/>
      </w:pPr>
      <w:r w:rsidRPr="00483F7D">
        <w:rPr>
          <w:b/>
        </w:rPr>
        <w:t xml:space="preserve">Πεδίο εφαρμογής και αποτελέσματα </w:t>
      </w:r>
    </w:p>
    <w:p w14:paraId="787CE392" w14:textId="77777777" w:rsidR="00E0244C" w:rsidRPr="00483F7D" w:rsidRDefault="007A1FD7">
      <w:pPr>
        <w:pStyle w:val="ManualNumPar10"/>
      </w:pPr>
      <w:r w:rsidRPr="00483F7D">
        <w:t>1.</w:t>
      </w:r>
      <w:r w:rsidRPr="00483F7D">
        <w:tab/>
        <w:t>Μη ενωσιακά εμπορεύματα τα οποία, αφού αρχικά έχουν εξαχθεί από το τελωνειακό έδαφος της Ένωσης ως ενωσιακά εμπορεύματα, επιστρέφουν στο εν λόγω έδαφος εντός περιόδου 3 ετών και διασαφίζονται για θέση σε ελεύθερη κυκλοφορία απαλλάσσονται από τον εισαγωγικό δασμό κατόπιν αίτησης του ενδιαφερόμενου προσώπου.</w:t>
      </w:r>
    </w:p>
    <w:p w14:paraId="6A33619B" w14:textId="77777777" w:rsidR="00E0244C" w:rsidRPr="00483F7D" w:rsidRDefault="00857E68">
      <w:pPr>
        <w:pStyle w:val="Text1"/>
      </w:pPr>
      <w:r w:rsidRPr="00483F7D">
        <w:t>Το πρώτο εδάφιο εφαρμόζεται ακόμη και όταν τα επιστρεφόμενα εμπορεύματα αποτελούν μέρος μόνο των εμπορευμάτων τα οποία είχαν προηγουμένως εξαχθεί από το τελωνειακό έδαφος της Ένωσης.</w:t>
      </w:r>
    </w:p>
    <w:p w14:paraId="50346407" w14:textId="77777777" w:rsidR="00E0244C" w:rsidRPr="00483F7D" w:rsidRDefault="007A1FD7">
      <w:pPr>
        <w:pStyle w:val="ManualNumPar10"/>
      </w:pPr>
      <w:r w:rsidRPr="00483F7D">
        <w:t>2.</w:t>
      </w:r>
      <w:r w:rsidRPr="00483F7D">
        <w:tab/>
        <w:t>Το διάστημα των 3 ετών που αναφέρεται στην παράγραφο 1 μπορεί να παρατείνεται για να ληφθούν υπόψη ειδικές περιστάσεις.</w:t>
      </w:r>
    </w:p>
    <w:p w14:paraId="04EE4FE4" w14:textId="77777777" w:rsidR="00E0244C" w:rsidRPr="00483F7D" w:rsidRDefault="007A1FD7">
      <w:pPr>
        <w:pStyle w:val="ManualNumPar10"/>
      </w:pPr>
      <w:r w:rsidRPr="00483F7D">
        <w:t>3.</w:t>
      </w:r>
      <w:r w:rsidRPr="00483F7D">
        <w:tab/>
        <w:t>Όταν, πριν από την εξαγωγή τους εκτός του τελωνειακού εδάφους της Ένωσης, τα επιστρεφόμενα εμπορεύματα είχαν τεθεί σε ελεύθερη κυκλοφορία αδασμολόγητα ή με μειωμένο εισαγωγικό δασμό λόγω συγκεκριμένου ειδικού προορισμού, η προβλεπόμενη στην παράγραφο 1 απαλλαγή από τον δασμό χορηγείται μόνον αν πρόκειται να τεθούν σε ελεύθερη κυκλοφορία για τον ίδιο ειδικό προορισμό.</w:t>
      </w:r>
    </w:p>
    <w:p w14:paraId="457B8E28" w14:textId="77777777" w:rsidR="00E0244C" w:rsidRPr="00483F7D" w:rsidRDefault="007A1FD7">
      <w:pPr>
        <w:pStyle w:val="Text1"/>
      </w:pPr>
      <w:r w:rsidRPr="00483F7D">
        <w:t>Όταν ο ειδικός προορισμός για τον οποίο τα ανωτέρω εμπορεύματα πρόκειται να τεθούν σε ελεύθερη κυκλοφορία δεν είναι πλέον ο ίδιος, το ποσό του εισαγωγικού δασμού μειώνεται κατά το ποσό που έχει ενδεχομένως εισπραχθεί κατά την πρώτη θέση των εμπορευμάτων αυτών σε ελεύθερη κυκλοφορία. Αν το τελευταίο αυτό ποσό υπερβαίνει εκείνο το οποίο καταβάλλεται για τη θέση σε ελεύθερη κυκλοφορία των επιστρεφόμενων εμπορευμάτων, δεν χορηγείται καμία επιστροφή.</w:t>
      </w:r>
    </w:p>
    <w:p w14:paraId="30097471" w14:textId="77777777" w:rsidR="00E0244C" w:rsidRPr="00483F7D" w:rsidRDefault="007A1FD7">
      <w:pPr>
        <w:pStyle w:val="ManualNumPar10"/>
      </w:pPr>
      <w:r w:rsidRPr="00483F7D">
        <w:t>4.</w:t>
      </w:r>
      <w:r w:rsidRPr="00483F7D">
        <w:tab/>
        <w:t xml:space="preserve">Όταν ενωσιακά εμπορεύματα έχουν απολέσει τον τελωνειακό τους χαρακτήρα σύμφωνα με το άρθρο </w:t>
      </w:r>
      <w:hyperlink w:anchor="_bill__akn_article_oKipaF" w:tooltip="Article 57: 57">
        <w:r w:rsidRPr="00483F7D">
          <w:rPr>
            <w:rStyle w:val="Hyperlink"/>
          </w:rPr>
          <w:t>57</w:t>
        </w:r>
      </w:hyperlink>
      <w:r w:rsidRPr="00483F7D">
        <w:t xml:space="preserve"> και στη συνέχεια τίθενται σε ελεύθερη κυκλοφορία, εφαρμόζονται οι παράγραφοι 1, 2 και 3 του παρόντος άρθρου.</w:t>
      </w:r>
    </w:p>
    <w:p w14:paraId="75C4D9B5" w14:textId="77777777" w:rsidR="00E0244C" w:rsidRPr="00483F7D" w:rsidRDefault="007A1FD7">
      <w:pPr>
        <w:pStyle w:val="ManualNumPar10"/>
      </w:pPr>
      <w:r w:rsidRPr="00483F7D">
        <w:t>5.</w:t>
      </w:r>
      <w:r w:rsidRPr="00483F7D">
        <w:tab/>
        <w:t>Η απαλλαγή από τον εισαγωγικό δασμό χορηγείται μόνον εφόσον τα εμπορεύματα επιστρέφονται στην κατάσταση στην οποία είχαν εξαχθεί.</w:t>
      </w:r>
    </w:p>
    <w:p w14:paraId="1BE0D99C" w14:textId="77777777" w:rsidR="00E0244C" w:rsidRPr="00483F7D" w:rsidRDefault="007A1FD7">
      <w:pPr>
        <w:pStyle w:val="ManualNumPar10"/>
      </w:pPr>
      <w:r w:rsidRPr="00483F7D">
        <w:t>6.</w:t>
      </w:r>
      <w:r w:rsidRPr="00483F7D">
        <w:tab/>
        <w:t>Η απαλλαγή από τον εισαγωγικό δασμό τεκμηριώνεται με πληροφορίες που αποδεικνύουν ότι πληρούνται οι όροι για τη χορήγηση της απαλλαγής.</w:t>
      </w:r>
    </w:p>
    <w:p w14:paraId="1C08FC08" w14:textId="77777777" w:rsidR="00E0244C" w:rsidRPr="00483F7D" w:rsidRDefault="007A1FD7">
      <w:pPr>
        <w:pStyle w:val="ManualNumPar10"/>
      </w:pPr>
      <w:r w:rsidRPr="00483F7D">
        <w:t>7.</w:t>
      </w:r>
      <w:r w:rsidRPr="00483F7D">
        <w:tab/>
        <w:t>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περιπτώσεων στις οποίες θεωρείται ότι τα εμπορεύματα επιστρέφονται στην κατάσταση στην οποία είχαν εξαχθεί όπως αναφέρεται στην παράγραφο 5 του παρόντος άρθρου.</w:t>
      </w:r>
    </w:p>
    <w:p w14:paraId="1FB987E4" w14:textId="77777777" w:rsidR="00E0244C" w:rsidRPr="00483F7D" w:rsidRDefault="007A1FD7">
      <w:pPr>
        <w:pStyle w:val="ManualNumPar10"/>
      </w:pPr>
      <w:r w:rsidRPr="00483F7D">
        <w:t>8.</w:t>
      </w:r>
      <w:r w:rsidRPr="00483F7D">
        <w:tab/>
        <w:t xml:space="preserve">Η Επιτροπή ορίζει, με εκτελεστικές πράξεις, τη διαδικασία για την παροχή πληροφοριών που αναφέρεται στην παράγραφο 6 του παρόντος άρθρου.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2B9EE629" w14:textId="77777777" w:rsidR="00E0244C" w:rsidRPr="00483F7D" w:rsidRDefault="007A1FD7">
      <w:pPr>
        <w:pStyle w:val="Titrearticle"/>
      </w:pPr>
      <w:bookmarkStart w:id="101" w:name="__akn_article_6zjzOy"/>
      <w:bookmarkEnd w:id="101"/>
      <w:r w:rsidRPr="00483F7D">
        <w:t>Άρθρο 91</w:t>
      </w:r>
    </w:p>
    <w:p w14:paraId="09F06C71" w14:textId="77777777" w:rsidR="00E0244C" w:rsidRPr="00483F7D" w:rsidRDefault="007A1FD7">
      <w:pPr>
        <w:pStyle w:val="NormalCentered"/>
      </w:pPr>
      <w:r w:rsidRPr="00483F7D">
        <w:rPr>
          <w:b/>
        </w:rPr>
        <w:t>Εμπορεύματα που έχουν επωφεληθεί από μέτρα στο πλαίσιο της κοινής γεωργικής πολιτικής</w:t>
      </w:r>
    </w:p>
    <w:p w14:paraId="677CF1B5" w14:textId="77777777" w:rsidR="00E0244C" w:rsidRPr="00483F7D" w:rsidRDefault="007A1FD7">
      <w:pPr>
        <w:pStyle w:val="ManualNumPar10"/>
      </w:pPr>
      <w:r w:rsidRPr="00483F7D">
        <w:t>1.</w:t>
      </w:r>
      <w:r w:rsidRPr="00483F7D">
        <w:tab/>
        <w:t xml:space="preserve">Η απαλλαγή από τον εισαγωγικό δασμό που προβλέπεται στο άρθρο </w:t>
      </w:r>
      <w:hyperlink w:anchor="__akn_article_S51MUu" w:tooltip="Article 90: 90">
        <w:r w:rsidRPr="00483F7D">
          <w:rPr>
            <w:rStyle w:val="Hyperlink"/>
          </w:rPr>
          <w:t>90</w:t>
        </w:r>
      </w:hyperlink>
      <w:r w:rsidRPr="00483F7D">
        <w:t xml:space="preserve"> δεν χορηγείται σε εμπορεύματα τα οποία έχουν επωφεληθεί από μέτρα στο πλαίσιο της κοινής γεωργικής πολιτικής που περιλαμβάνουν την εξαγωγή τους εκτός του τελωνειακού εδάφους της Ένωσης, εκτός αν ορίζεται άλλως σε ειδικές περιπτώσεις.</w:t>
      </w:r>
    </w:p>
    <w:p w14:paraId="3F51919C" w14:textId="77777777" w:rsidR="00E0244C" w:rsidRPr="00483F7D" w:rsidRDefault="007A1FD7">
      <w:pPr>
        <w:pStyle w:val="ManualNumPar10"/>
      </w:pPr>
      <w:r w:rsidRPr="00483F7D">
        <w:t>2.</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ειδικών περιπτώσεων που αναφέρονται στην παράγραφο 1 του παρόντος άρθρου.</w:t>
      </w:r>
    </w:p>
    <w:p w14:paraId="374BD3E1" w14:textId="77777777" w:rsidR="00E0244C" w:rsidRPr="00483F7D" w:rsidRDefault="007A1FD7">
      <w:pPr>
        <w:pStyle w:val="Titrearticle"/>
      </w:pPr>
      <w:bookmarkStart w:id="102" w:name="__akn_article_PgQrv1"/>
      <w:bookmarkEnd w:id="102"/>
      <w:r w:rsidRPr="00483F7D">
        <w:t>Άρθρο 92</w:t>
      </w:r>
    </w:p>
    <w:p w14:paraId="730C4024" w14:textId="77777777" w:rsidR="00E0244C" w:rsidRPr="00483F7D" w:rsidRDefault="007A1FD7">
      <w:pPr>
        <w:pStyle w:val="NormalCentered"/>
      </w:pPr>
      <w:r w:rsidRPr="00483F7D">
        <w:rPr>
          <w:b/>
        </w:rPr>
        <w:t>Εμπορεύματα που έχουν υπαχθεί προηγουμένως στο καθεστώς τελειοποίησης προς επανεξαγωγή</w:t>
      </w:r>
    </w:p>
    <w:p w14:paraId="3805AA60" w14:textId="77777777" w:rsidR="00E0244C" w:rsidRPr="00483F7D" w:rsidRDefault="007A1FD7">
      <w:pPr>
        <w:pStyle w:val="ManualNumPar10"/>
      </w:pPr>
      <w:r w:rsidRPr="00483F7D">
        <w:t>1.</w:t>
      </w:r>
      <w:r w:rsidRPr="00483F7D">
        <w:tab/>
        <w:t xml:space="preserve">Το άρθρο </w:t>
      </w:r>
      <w:hyperlink w:anchor="__akn_article_S51MUu" w:tooltip="Article 90: 90">
        <w:r w:rsidRPr="00483F7D">
          <w:rPr>
            <w:rStyle w:val="Hyperlink"/>
          </w:rPr>
          <w:t>90</w:t>
        </w:r>
      </w:hyperlink>
      <w:r w:rsidRPr="00483F7D">
        <w:t xml:space="preserve"> εφαρμόζεται σε μεταποιημένα προϊόντα τα οποία είχαν αρχικά επανεξαχθεί από το τελωνειακό έδαφος της Ένωσης έπειτα από υπαγωγή σε καθεστώς τελειοποίησης προς επανεξαγωγή.</w:t>
      </w:r>
    </w:p>
    <w:p w14:paraId="4C66041C" w14:textId="77777777" w:rsidR="00E0244C" w:rsidRPr="00483F7D" w:rsidRDefault="007A1FD7">
      <w:pPr>
        <w:pStyle w:val="ManualNumPar10"/>
      </w:pPr>
      <w:r w:rsidRPr="00483F7D">
        <w:t>2.</w:t>
      </w:r>
      <w:r w:rsidRPr="00483F7D">
        <w:tab/>
        <w:t xml:space="preserve">Κατόπιν αίτησης του εισαγωγέα και παροχής των αναγκαίων πληροφοριών, το ποσό του εισαγωγικού δασμού για τα εμπορεύματα που καλύπτονται από την παράγραφο 1 καθορίζεται σύμφωνα με το άρθρο 168 παράγραφος </w:t>
      </w:r>
      <w:hyperlink w:anchor="__akn_article_EHApSv_tzWb7c" w:tooltip="Article 168(3): (3)">
        <w:r w:rsidRPr="00483F7D">
          <w:rPr>
            <w:rStyle w:val="Hyperlink"/>
          </w:rPr>
          <w:t>3</w:t>
        </w:r>
      </w:hyperlink>
      <w:r w:rsidRPr="00483F7D">
        <w:t>. Η ημερομηνία επανεξαγωγής θεωρείται ως η ημερομηνία θέσης σε ελεύθερη κυκλοφορία.</w:t>
      </w:r>
    </w:p>
    <w:p w14:paraId="00B87AD8" w14:textId="77777777" w:rsidR="00E0244C" w:rsidRPr="00483F7D" w:rsidRDefault="007A1FD7">
      <w:pPr>
        <w:pStyle w:val="ManualNumPar10"/>
      </w:pPr>
      <w:r w:rsidRPr="00483F7D">
        <w:t>3.</w:t>
      </w:r>
      <w:r w:rsidRPr="00483F7D">
        <w:tab/>
        <w:t xml:space="preserve">Η απαλλαγή από τον εισαγωγικό δασμό που προβλέπεται στο άρθρο </w:t>
      </w:r>
      <w:hyperlink w:anchor="__akn_article_S51MUu" w:tooltip="Article 90: 90">
        <w:r w:rsidRPr="00483F7D">
          <w:rPr>
            <w:rStyle w:val="Hyperlink"/>
          </w:rPr>
          <w:t>90</w:t>
        </w:r>
      </w:hyperlink>
      <w:r w:rsidRPr="00483F7D">
        <w:t xml:space="preserve"> δεν χορηγείται για μεταποιημένα προϊόντα τα οποία είχαν εξαχθεί σύμφωνα με το άρθρο 109 παράγραφος 2 στοιχείο </w:t>
      </w:r>
      <w:hyperlink w:anchor="__akn_article_V3e6Sw_FZmaV9" w:tooltip="Article 109(2), point (c): (c)">
        <w:r w:rsidRPr="00483F7D">
          <w:rPr>
            <w:rStyle w:val="Hyperlink"/>
          </w:rPr>
          <w:t>γ)</w:t>
        </w:r>
      </w:hyperlink>
      <w:r w:rsidRPr="00483F7D">
        <w:t>, εκτός αν διασφαλίζεται ότι κανένα εμπόρευμα δεν θα υπαχθεί στο καθεστώς τελειοποίησης προς επανεξαγωγή.</w:t>
      </w:r>
    </w:p>
    <w:p w14:paraId="404D6DAF" w14:textId="77777777" w:rsidR="00E0244C" w:rsidRPr="00483F7D" w:rsidRDefault="007A1FD7">
      <w:pPr>
        <w:pStyle w:val="Titrearticle"/>
      </w:pPr>
      <w:bookmarkStart w:id="103" w:name="__akn_article_P1NZDT"/>
      <w:bookmarkEnd w:id="103"/>
      <w:r w:rsidRPr="00483F7D">
        <w:t>Άρθρο 93</w:t>
      </w:r>
    </w:p>
    <w:p w14:paraId="7575BBC6" w14:textId="77777777" w:rsidR="00E0244C" w:rsidRPr="00483F7D" w:rsidRDefault="007A1FD7">
      <w:pPr>
        <w:pStyle w:val="NormalCentered"/>
      </w:pPr>
      <w:r w:rsidRPr="00483F7D">
        <w:rPr>
          <w:b/>
        </w:rPr>
        <w:t>Προϊόντα της θαλάσσιας αλιείας και άλλα προϊόντα που λαμβάνονται από τη θάλασσα</w:t>
      </w:r>
    </w:p>
    <w:p w14:paraId="40B18122" w14:textId="77777777" w:rsidR="00E0244C" w:rsidRPr="00483F7D" w:rsidRDefault="007A1FD7">
      <w:pPr>
        <w:pStyle w:val="ManualNumPar10"/>
      </w:pPr>
      <w:r w:rsidRPr="00483F7D">
        <w:t>1.</w:t>
      </w:r>
      <w:r w:rsidRPr="00483F7D">
        <w:tab/>
        <w:t xml:space="preserve">Με την επιφύλαξη του άρθρου 148 παράγραφος </w:t>
      </w:r>
      <w:hyperlink w:anchor="_bill__akn_article_ghjfN3_lAa5R7" w:tooltip="Article 148(1): (1)">
        <w:r w:rsidRPr="00483F7D">
          <w:rPr>
            <w:rStyle w:val="Hyperlink"/>
          </w:rPr>
          <w:t>1</w:t>
        </w:r>
      </w:hyperlink>
      <w:r w:rsidRPr="00483F7D">
        <w:t>, απαλλάσσονται από τον εισαγωγικό δασμό όταν τίθενται σε ελεύθερη κυκλοφορία τα ακόλουθα:</w:t>
      </w:r>
    </w:p>
    <w:p w14:paraId="74B3C5E6" w14:textId="5EDFE280" w:rsidR="00C140B9" w:rsidRPr="00483F7D" w:rsidRDefault="00BC60FC" w:rsidP="00BC60FC">
      <w:pPr>
        <w:pStyle w:val="Point1"/>
      </w:pPr>
      <w:r w:rsidRPr="00483F7D">
        <w:t>α)</w:t>
      </w:r>
      <w:r w:rsidRPr="00483F7D">
        <w:tab/>
      </w:r>
      <w:r w:rsidR="007A1FD7" w:rsidRPr="00483F7D">
        <w:t>προϊόντα της αλιείας και άλλα προϊόντα που λαμβάνονται από τα θαλάσσια χωρικά ύδατα τρίτης χώρας από πλοία τα οποία είναι μόνο νηολογημένα ή εγγεγραμμένα σε κράτος μέλος και φέρουν τη σημαία του·</w:t>
      </w:r>
    </w:p>
    <w:p w14:paraId="2FBBEC83" w14:textId="1E6B92ED" w:rsidR="00E0244C" w:rsidRPr="00483F7D" w:rsidRDefault="00BC60FC" w:rsidP="00BC60FC">
      <w:pPr>
        <w:pStyle w:val="Point1"/>
      </w:pPr>
      <w:r w:rsidRPr="00483F7D">
        <w:t>β)</w:t>
      </w:r>
      <w:r w:rsidRPr="00483F7D">
        <w:tab/>
      </w:r>
      <w:r w:rsidR="007A1FD7" w:rsidRPr="00483F7D">
        <w:t>προϊόντα που λαμβάνονται από προϊόντα τα οποία αναφέρονται στο στοιχείο α), πάνω σε πλοία-εργοστάσια που πληρούν τους όρους οι οποίοι τίθενται στο εν λόγω στοιχείο.</w:t>
      </w:r>
    </w:p>
    <w:p w14:paraId="576D1D0E" w14:textId="77777777" w:rsidR="00E0244C" w:rsidRPr="00483F7D" w:rsidRDefault="007A1FD7">
      <w:pPr>
        <w:pStyle w:val="ManualNumPar10"/>
      </w:pPr>
      <w:r w:rsidRPr="00483F7D">
        <w:t>2.</w:t>
      </w:r>
      <w:r w:rsidRPr="00483F7D">
        <w:tab/>
        <w:t>Η απαλλαγή από τον εισαγωγικό δασμό που αναφέρεται στην παράγραφο 1 τεκμηριώνεται με στοιχεία που αποδεικνύουν ότι πληρούνται οι όροι οι οποίοι τίθενται στην παράγραφο αυτή.</w:t>
      </w:r>
    </w:p>
    <w:p w14:paraId="10007629" w14:textId="77777777" w:rsidR="00E0244C" w:rsidRPr="00483F7D" w:rsidRDefault="007A1FD7">
      <w:pPr>
        <w:pStyle w:val="ManualNumPar10"/>
      </w:pPr>
      <w:r w:rsidRPr="00483F7D">
        <w:t>3.</w:t>
      </w:r>
      <w:r w:rsidRPr="00483F7D">
        <w:tab/>
        <w:t xml:space="preserve">Η Επιτροπή ορίζει, με εκτελεστικές πράξεις, τη διαδικασία για την παροχή των αποδεικτικών στοιχείων που αναφέρονται στην παράγραφο 2.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7CC1AEB9" w14:textId="77777777" w:rsidR="00E0244C" w:rsidRPr="00483F7D" w:rsidRDefault="007A1FD7">
      <w:pPr>
        <w:pStyle w:val="ChapterTitle"/>
      </w:pPr>
      <w:r w:rsidRPr="00483F7D">
        <w:t xml:space="preserve">Τίτλος VII </w:t>
      </w:r>
      <w:r w:rsidRPr="00483F7D">
        <w:br/>
        <w:t>ΕΜΠΟΡΕΥΜΑΤΑ ΠΟΥ ΜΕΤΑΦΕΡΟΝΤΑΙ ΕΚΤΟΣ ΤΟΥ ΤΕΛΩΝΕΙΑΚΟΥ ΕΔΑΦΟΥΣ ΤΗΣ ΕΝΩΣΗΣ</w:t>
      </w:r>
    </w:p>
    <w:p w14:paraId="2D58F960" w14:textId="77777777" w:rsidR="00E0244C" w:rsidRPr="00483F7D" w:rsidRDefault="007A1FD7">
      <w:pPr>
        <w:pStyle w:val="ChapterTitle"/>
      </w:pPr>
      <w:r w:rsidRPr="00483F7D">
        <w:t xml:space="preserve">Κεφάλαιο 1 </w:t>
      </w:r>
      <w:r w:rsidRPr="00483F7D">
        <w:br/>
        <w:t>Έξοδος εμπορευμάτων και καθεστώς εξαγωγής</w:t>
      </w:r>
    </w:p>
    <w:p w14:paraId="4963AF9E" w14:textId="77777777" w:rsidR="00E0244C" w:rsidRPr="00483F7D" w:rsidRDefault="007A1FD7">
      <w:pPr>
        <w:pStyle w:val="Titrearticle"/>
      </w:pPr>
      <w:r w:rsidRPr="00483F7D">
        <w:t>Άρθρο 94</w:t>
      </w:r>
    </w:p>
    <w:p w14:paraId="10550EC7" w14:textId="77777777" w:rsidR="00E0244C" w:rsidRPr="00483F7D" w:rsidRDefault="007A1FD7">
      <w:pPr>
        <w:pStyle w:val="NormalCentered"/>
      </w:pPr>
      <w:r w:rsidRPr="00483F7D">
        <w:rPr>
          <w:b/>
        </w:rPr>
        <w:t>Έξοδος εμπορευμάτων</w:t>
      </w:r>
    </w:p>
    <w:p w14:paraId="2A249B9F" w14:textId="77777777" w:rsidR="00E0244C" w:rsidRPr="00483F7D" w:rsidRDefault="007A1FD7">
      <w:pPr>
        <w:pStyle w:val="ManualNumPar10"/>
      </w:pPr>
      <w:r w:rsidRPr="00483F7D">
        <w:t>1.</w:t>
      </w:r>
      <w:r w:rsidRPr="00483F7D">
        <w:tab/>
        <w:t xml:space="preserve">Τα εμπορεύματα είναι δυνατό να εξέρχονται από το τελωνειακό έδαφος της Ένωσης μόνον αν ο εξαγωγέας ή άλλα πρόσωπα έχουν παράσχει ή καταστήσει διαθέσιμες στις αρμόδιες τελωνειακές αρχές τις πληροφορίες πριν από την αναχώρηση που αναφέρονται στο άρθρο </w:t>
      </w:r>
      <w:hyperlink w:anchor="__akn_article_TjMYEM" w:tooltip="Article 95: 95">
        <w:r w:rsidRPr="00483F7D">
          <w:rPr>
            <w:rStyle w:val="Hyperlink"/>
          </w:rPr>
          <w:t>95</w:t>
        </w:r>
      </w:hyperlink>
      <w:r w:rsidRPr="00483F7D">
        <w:t>.</w:t>
      </w:r>
    </w:p>
    <w:p w14:paraId="5972E67F" w14:textId="77777777" w:rsidR="00E0244C" w:rsidRPr="00483F7D" w:rsidRDefault="007A1FD7">
      <w:pPr>
        <w:pStyle w:val="ManualNumPar10"/>
      </w:pPr>
      <w:r w:rsidRPr="00483F7D">
        <w:t>2.</w:t>
      </w:r>
      <w:r w:rsidRPr="00483F7D">
        <w:tab/>
        <w:t xml:space="preserve">Η Επιτροπή ορίζει, με εκτελεστικές πράξεις, τους κανόνες σχετικά με τις διατυπώσεις που πρέπει να διεκπεραιώνονται πριν και κατά την έξοδο των εμπορευμάτων. Οι εν λόγω εκτελεστικές πράξεις εκδίδονται σύμφωνα με τη διαδικασία εξέτασης του άρθρου 262 παράγραφος </w:t>
      </w:r>
      <w:hyperlink r:id="rId17" w:anchor="_bill__akn_article_OheJbS_RcHcve" w:history="1">
        <w:r w:rsidRPr="00483F7D">
          <w:rPr>
            <w:rStyle w:val="Hyperlink"/>
          </w:rPr>
          <w:t>4</w:t>
        </w:r>
      </w:hyperlink>
      <w:r w:rsidRPr="00483F7D">
        <w:rPr>
          <w:rStyle w:val="Hyperlink"/>
        </w:rPr>
        <w:t>.</w:t>
      </w:r>
    </w:p>
    <w:p w14:paraId="280177C5" w14:textId="77777777" w:rsidR="00E0244C" w:rsidRPr="00483F7D" w:rsidRDefault="007A1FD7">
      <w:pPr>
        <w:pStyle w:val="Titrearticle"/>
      </w:pPr>
      <w:bookmarkStart w:id="104" w:name="__akn_article_TjMYEM"/>
      <w:bookmarkEnd w:id="104"/>
      <w:r w:rsidRPr="00483F7D">
        <w:t>Άρθρο 95</w:t>
      </w:r>
    </w:p>
    <w:p w14:paraId="5B5C8E0A" w14:textId="77777777" w:rsidR="00E0244C" w:rsidRPr="00483F7D" w:rsidRDefault="007A1FD7">
      <w:pPr>
        <w:pStyle w:val="NormalCentered"/>
      </w:pPr>
      <w:r w:rsidRPr="00483F7D">
        <w:rPr>
          <w:b/>
        </w:rPr>
        <w:t>Πληροφορίες πριν από την αναχώρηση</w:t>
      </w:r>
    </w:p>
    <w:p w14:paraId="08C20ECC" w14:textId="77777777" w:rsidR="00E0244C" w:rsidRPr="00483F7D" w:rsidRDefault="007A1FD7">
      <w:pPr>
        <w:pStyle w:val="ManualNumPar10"/>
      </w:pPr>
      <w:r w:rsidRPr="00483F7D">
        <w:t>1.</w:t>
      </w:r>
      <w:r w:rsidRPr="00483F7D">
        <w:tab/>
        <w:t>Οι εξαγωγείς που επιθυμούν να μεταφέρουν εμπορεύματα εκτός του τελωνειακού εδάφους της Ένωσης παρέχουν τις ελάχιστες πληροφορίες πριν από την αναχώρηση εντός συγκεκριμένης προθεσμίας πριν από τη μεταφορά των εμπορευμάτων εκτός του τελωνειακού εδάφους της Ένωσης.</w:t>
      </w:r>
    </w:p>
    <w:p w14:paraId="17BE5093" w14:textId="77777777" w:rsidR="00E0244C" w:rsidRPr="00483F7D" w:rsidRDefault="007A1FD7">
      <w:pPr>
        <w:pStyle w:val="ManualNumPar10"/>
      </w:pPr>
      <w:r w:rsidRPr="00483F7D">
        <w:t>2.</w:t>
      </w:r>
      <w:r w:rsidRPr="00483F7D">
        <w:tab/>
        <w:t>Η υποχρέωση που αναφέρεται στην παράγραφο 1 αίρεται σε μία από τις ακόλουθες περιπτώσεις:</w:t>
      </w:r>
    </w:p>
    <w:p w14:paraId="7B25CE2C" w14:textId="54FA9288" w:rsidR="00C140B9" w:rsidRPr="00483F7D" w:rsidRDefault="00BC60FC" w:rsidP="00BC60FC">
      <w:pPr>
        <w:pStyle w:val="Point1"/>
      </w:pPr>
      <w:r w:rsidRPr="00483F7D">
        <w:t>α)</w:t>
      </w:r>
      <w:r w:rsidRPr="00483F7D">
        <w:tab/>
      </w:r>
      <w:r w:rsidR="007A1FD7" w:rsidRPr="00483F7D">
        <w:t>για μεταφορικά μέσα και τα εμπορεύματα που αυτά μεταφέρουν τα οποία διέρχονται απλώς μέσω των χωρικών υδάτων ή του εναέριου χώρου του τελωνειακού εδάφους της Ένωσης χωρίς στάση εντός του εν λόγω εδάφους·</w:t>
      </w:r>
    </w:p>
    <w:p w14:paraId="746365B8" w14:textId="588AB5C0" w:rsidR="00C140B9" w:rsidRPr="00483F7D" w:rsidRDefault="00BC60FC" w:rsidP="00BC60FC">
      <w:pPr>
        <w:pStyle w:val="Point1"/>
      </w:pPr>
      <w:r w:rsidRPr="00483F7D">
        <w:t>β)</w:t>
      </w:r>
      <w:r w:rsidRPr="00483F7D">
        <w:tab/>
      </w:r>
      <w:r w:rsidR="00C140B9" w:rsidRPr="00483F7D">
        <w:t>σε άλλες ειδικές περιπτώσεις, στις οποίες δικαιολογείται δεόντως από το είδος των εμπορευμάτων ή της διακίνησης ή όταν απαιτείται από διεθνείς συμφωνίες·</w:t>
      </w:r>
    </w:p>
    <w:p w14:paraId="244227E0" w14:textId="5D3D629A" w:rsidR="00E0244C" w:rsidRPr="00483F7D" w:rsidRDefault="00BC60FC" w:rsidP="00BC60FC">
      <w:pPr>
        <w:pStyle w:val="Point1"/>
      </w:pPr>
      <w:r w:rsidRPr="00483F7D">
        <w:t>γ)</w:t>
      </w:r>
      <w:r w:rsidRPr="00483F7D">
        <w:tab/>
      </w:r>
      <w:r w:rsidR="00525BEB" w:rsidRPr="00483F7D">
        <w:t xml:space="preserve">για εμπορεύματα που μεταφέρονται προσωρινά εκτός του τελωνειακού εδάφους της Ένωσης, σύμφωνα με το άρθρο </w:t>
      </w:r>
      <w:hyperlink w:anchor="_bill__akn_article_y4VlnP" w:tooltip="Article 58: 58">
        <w:r w:rsidR="00525BEB" w:rsidRPr="00483F7D">
          <w:t>58</w:t>
        </w:r>
      </w:hyperlink>
      <w:r w:rsidR="00525BEB" w:rsidRPr="00483F7D">
        <w:t>.  </w:t>
      </w:r>
    </w:p>
    <w:p w14:paraId="190082BC" w14:textId="77777777" w:rsidR="00E0244C" w:rsidRPr="00483F7D" w:rsidRDefault="007A1FD7">
      <w:pPr>
        <w:pStyle w:val="ManualNumPar10"/>
      </w:pPr>
      <w:r w:rsidRPr="00483F7D">
        <w:t>3.</w:t>
      </w:r>
      <w:r w:rsidRPr="00483F7D">
        <w:tab/>
        <w:t>Οι ελάχιστες πληροφορίες πριν από την αναχώρηση, οι οποίες αναφέρονται στην παράγραφο 1, δηλώνουν αν τα εμπορεύματα είναι:</w:t>
      </w:r>
    </w:p>
    <w:p w14:paraId="43A42F47" w14:textId="7CCC81C6" w:rsidR="00C140B9" w:rsidRPr="00483F7D" w:rsidRDefault="00BC60FC" w:rsidP="00BC60FC">
      <w:pPr>
        <w:pStyle w:val="Point1"/>
      </w:pPr>
      <w:r w:rsidRPr="00483F7D">
        <w:t>α)</w:t>
      </w:r>
      <w:r w:rsidRPr="00483F7D">
        <w:tab/>
      </w:r>
      <w:r w:rsidR="007A1FD7" w:rsidRPr="00483F7D">
        <w:t>ενωσιακά εμπορεύματα που πρόκειται να υπαχθούν στο καθεστώς εξαγωγής·</w:t>
      </w:r>
    </w:p>
    <w:p w14:paraId="0CB68D7D" w14:textId="228BFF83" w:rsidR="00C140B9" w:rsidRPr="00483F7D" w:rsidRDefault="00BC60FC" w:rsidP="00BC60FC">
      <w:pPr>
        <w:pStyle w:val="Point1"/>
      </w:pPr>
      <w:r w:rsidRPr="00483F7D">
        <w:t>β)</w:t>
      </w:r>
      <w:r w:rsidRPr="00483F7D">
        <w:tab/>
      </w:r>
      <w:r w:rsidR="007A1FD7" w:rsidRPr="00483F7D">
        <w:t>ενωσιακά εμπορεύματα που πρόκειται να υπαχθούν στο καθεστώς τελειοποίησης προς επανεισαγωγή·</w:t>
      </w:r>
    </w:p>
    <w:p w14:paraId="525EADF4" w14:textId="183D10A3" w:rsidR="00C140B9" w:rsidRPr="00483F7D" w:rsidRDefault="00BC60FC" w:rsidP="00BC60FC">
      <w:pPr>
        <w:pStyle w:val="Point1"/>
      </w:pPr>
      <w:r w:rsidRPr="00483F7D">
        <w:t>γ)</w:t>
      </w:r>
      <w:r w:rsidRPr="00483F7D">
        <w:tab/>
      </w:r>
      <w:r w:rsidR="007A1FD7" w:rsidRPr="00483F7D">
        <w:t>ενωσιακά εμπορεύματα που πρόκειται να μεταφερθούν εκτός του τελωνειακού εδάφους της Ένωσης αφού έχουν υπαχθεί σε καθεστώς ειδικού προορισμού·</w:t>
      </w:r>
    </w:p>
    <w:p w14:paraId="154456AA" w14:textId="74238CCF" w:rsidR="00C140B9" w:rsidRPr="00483F7D" w:rsidRDefault="00BC60FC" w:rsidP="00BC60FC">
      <w:pPr>
        <w:pStyle w:val="Point1"/>
      </w:pPr>
      <w:r w:rsidRPr="00483F7D">
        <w:t>δ)</w:t>
      </w:r>
      <w:r w:rsidRPr="00483F7D">
        <w:tab/>
      </w:r>
      <w:r w:rsidR="007A1FD7" w:rsidRPr="00483F7D">
        <w:t>ενωσιακά εμπορεύματα απαλλασσόμενα από ΦΠΑ ή ειδικό φόρο κατανάλωσης που πρόκειται να παραδοθούν για τον εφοδιασμό αεροσκαφών η πλοίων, ανεξάρτητα από τον προορισμό του αεροσκάφους ή του πλοίου, για τα οποία απαιτείται απόδειξη του εφοδιασμού·</w:t>
      </w:r>
    </w:p>
    <w:p w14:paraId="79BD763F" w14:textId="21F91F3B" w:rsidR="00C140B9" w:rsidRPr="00483F7D" w:rsidRDefault="00BC60FC" w:rsidP="00BC60FC">
      <w:pPr>
        <w:pStyle w:val="Point1"/>
      </w:pPr>
      <w:r w:rsidRPr="00483F7D">
        <w:t>ε)</w:t>
      </w:r>
      <w:r w:rsidRPr="00483F7D">
        <w:tab/>
      </w:r>
      <w:r w:rsidR="007A1FD7" w:rsidRPr="00483F7D">
        <w:t>ενωσιακά εμπορεύματα που πρόκειται να υπαχθούν στο καθεστώς εσωτερικής διαμετακόμισης· ή</w:t>
      </w:r>
    </w:p>
    <w:p w14:paraId="746E3B74" w14:textId="79E0C75D" w:rsidR="00E0244C" w:rsidRPr="00483F7D" w:rsidRDefault="00BC60FC" w:rsidP="00BC60FC">
      <w:pPr>
        <w:pStyle w:val="Point1"/>
      </w:pPr>
      <w:r w:rsidRPr="00483F7D">
        <w:t>στ)</w:t>
      </w:r>
      <w:r w:rsidRPr="00483F7D">
        <w:tab/>
      </w:r>
      <w:r w:rsidR="007A1FD7" w:rsidRPr="00483F7D">
        <w:t>μη ενωσιακά εμπορεύματα που πρόκειται να εξαχθούν αφού έχουν τεθεί σε προσωρινή εναπόθεση ή έχουν υπαχθεί σε τελωνειακό καθεστώς.</w:t>
      </w:r>
    </w:p>
    <w:p w14:paraId="43EBD8FC" w14:textId="77777777" w:rsidR="00E0244C" w:rsidRPr="00483F7D" w:rsidRDefault="007A1FD7">
      <w:pPr>
        <w:pStyle w:val="ManualNumPar10"/>
      </w:pPr>
      <w:r w:rsidRPr="00483F7D">
        <w:t>4.</w:t>
      </w:r>
      <w:r w:rsidRPr="00483F7D">
        <w:tab/>
        <w:t>Ο μεταφορέας μπορεί να φορτώσει, στο τελωνειακό έδαφος της Ένωσης, μόνο τα εμπορεύματα για τα οποία έχουν παρασχεθεί ή καταστεί διαθέσιμες στο τελωνείο εξόδου οι ελάχιστες πληροφορίες πριν από την αναχώρηση.</w:t>
      </w:r>
    </w:p>
    <w:p w14:paraId="49F02186" w14:textId="77777777" w:rsidR="00E0244C" w:rsidRPr="00483F7D" w:rsidRDefault="007A1FD7">
      <w:pPr>
        <w:pStyle w:val="ManualNumPar10"/>
      </w:pPr>
      <w:r w:rsidRPr="00483F7D">
        <w:t>5.</w:t>
      </w:r>
      <w:r w:rsidRPr="00483F7D">
        <w:tab/>
        <w:t>Ο μεταφορέας μεταφέρει τα ενωσιακά εμπορεύματα εκτός του τελωνειακού εδάφους της Ένωσης στην ίδια κατάσταση με εκείνη κατά την οποία παρασχέθηκαν ή κατέστησαν διαθέσιμες οι πληροφορίες πριν από την αναχώρηση.</w:t>
      </w:r>
    </w:p>
    <w:p w14:paraId="1C42F3B0" w14:textId="77777777" w:rsidR="00E0244C" w:rsidRPr="00483F7D" w:rsidRDefault="007A1FD7">
      <w:pPr>
        <w:pStyle w:val="ManualNumPar10"/>
      </w:pPr>
      <w:bookmarkStart w:id="105" w:name="__akn_article_TjMYEM_Fp2Mrr"/>
      <w:bookmarkEnd w:id="105"/>
      <w:r w:rsidRPr="00483F7D">
        <w:t>6.</w:t>
      </w:r>
      <w:r w:rsidRPr="00483F7D">
        <w:tab/>
        <w:t>Όταν ο εξαγωγέας δεν έχει παράσχει τις πληροφορίες πριν από την αναχώρηση ή οι παρεχόμενες πληροφορίες πριν από την αναχώρηση δεν αντιστοιχούν στα σχετικά εμπορεύματα, ο μεταφορέας τις παρέχει στο τελωνείο εξόδου εντός συγκεκριμένης προθεσμίας, πριν από τη μεταφορά των εμπορευμάτων εκτός του τελωνειακού εδάφους της Ένωσης.</w:t>
      </w:r>
    </w:p>
    <w:p w14:paraId="4F8B70E4" w14:textId="77777777" w:rsidR="00E0244C" w:rsidRPr="00483F7D" w:rsidRDefault="007A1FD7">
      <w:pPr>
        <w:pStyle w:val="ManualNumPar10"/>
      </w:pPr>
      <w:r w:rsidRPr="00483F7D">
        <w:t>7.</w:t>
      </w:r>
      <w:r w:rsidRPr="00483F7D">
        <w:tab/>
        <w:t>Τα απαραίτητα στοιχεία των πληροφοριών πριν από την αναχώρηση παρέχονται αμέσως ή καθίστανται αμέσως διαθέσιμα στο τελωνείο εξόδου.</w:t>
      </w:r>
    </w:p>
    <w:p w14:paraId="3376BF62" w14:textId="77777777" w:rsidR="00E0244C" w:rsidRPr="00483F7D" w:rsidRDefault="007A1FD7">
      <w:pPr>
        <w:pStyle w:val="ManualNumPar10"/>
      </w:pPr>
      <w:r w:rsidRPr="00483F7D">
        <w:t>9.</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ή την τροποποίηση του παρόντος κανονισμού με τον καθορισμό:</w:t>
      </w:r>
    </w:p>
    <w:p w14:paraId="6D98E34C" w14:textId="2C3541F4" w:rsidR="00C140B9" w:rsidRPr="00483F7D" w:rsidRDefault="00BC60FC" w:rsidP="00BC60FC">
      <w:pPr>
        <w:pStyle w:val="Point1"/>
      </w:pPr>
      <w:r w:rsidRPr="00483F7D">
        <w:t>α)</w:t>
      </w:r>
      <w:r w:rsidRPr="00483F7D">
        <w:tab/>
      </w:r>
      <w:r w:rsidR="007A1FD7" w:rsidRPr="00483F7D">
        <w:t>των ελάχιστων πληροφοριών πριν από την αναχώρηση που πρέπει να παρέχονται, λαμβανομένου υπόψη του καθεστώτος στο οποίο πρόκειται να υπαχθούν τα εμπορεύματα και του κατά πόσον τα εμπορεύματα είναι ενωσιακά ή μη ενωσιακά·</w:t>
      </w:r>
    </w:p>
    <w:p w14:paraId="1D54CC81" w14:textId="1CD02E7C" w:rsidR="00C140B9" w:rsidRPr="00483F7D" w:rsidRDefault="00BC60FC" w:rsidP="00BC60FC">
      <w:pPr>
        <w:pStyle w:val="Point1"/>
      </w:pPr>
      <w:r w:rsidRPr="00483F7D">
        <w:t>β)</w:t>
      </w:r>
      <w:r w:rsidRPr="00483F7D">
        <w:tab/>
      </w:r>
      <w:r w:rsidR="007A1FD7" w:rsidRPr="00483F7D">
        <w:t>της ειδικής προθεσμίας που αναφέρεται στις παραγράφους 1 και 6, εντός της οποίας πρέπει να παρασχεθούν ή να καταστούν διαθέσιμες οι πληροφορίες πριν από την αναχώρηση, πριν μεταφερθούν τα εμπορεύματα εκτός του τελωνειακού εδάφους της Ένωσης, λαμβανομένου υπόψη του τρόπου διακίνησης και του μέσου μεταφοράς·</w:t>
      </w:r>
    </w:p>
    <w:p w14:paraId="593627EF" w14:textId="2BC667E9" w:rsidR="00C140B9" w:rsidRPr="00483F7D" w:rsidRDefault="00BC60FC" w:rsidP="00BC60FC">
      <w:pPr>
        <w:pStyle w:val="Point1"/>
      </w:pPr>
      <w:r w:rsidRPr="00483F7D">
        <w:t>γ)</w:t>
      </w:r>
      <w:r w:rsidRPr="00483F7D">
        <w:tab/>
      </w:r>
      <w:r w:rsidR="007A1FD7" w:rsidRPr="00483F7D">
        <w:t>των ειδικών περιπτώσεων στις οποίες αίρεται η υποχρέωση παροχής ή διάθεσης πληροφοριών πριν από την αναχώρηση, όπως αναφέρεται στην παράγραφο 2 στοιχείο β)·</w:t>
      </w:r>
    </w:p>
    <w:p w14:paraId="0DA6E913" w14:textId="70E955AC" w:rsidR="00E0244C" w:rsidRPr="00483F7D" w:rsidRDefault="00BC60FC" w:rsidP="00BC60FC">
      <w:pPr>
        <w:pStyle w:val="Point1"/>
      </w:pPr>
      <w:r w:rsidRPr="00483F7D">
        <w:t>δ)</w:t>
      </w:r>
      <w:r w:rsidRPr="00483F7D">
        <w:tab/>
      </w:r>
      <w:r w:rsidR="007A1FD7" w:rsidRPr="00483F7D">
        <w:t>των πληροφοριών οι οποίες πρέπει να γνωστοποιούνται κατά την έξοδο των εμπορευμάτων που αναφέρονται στην παράγραφο 8.</w:t>
      </w:r>
    </w:p>
    <w:p w14:paraId="57482AEF" w14:textId="77777777" w:rsidR="00B57BC1" w:rsidRPr="00483F7D" w:rsidRDefault="007A1FD7" w:rsidP="5DA9B26A">
      <w:pPr>
        <w:pStyle w:val="ManualNumPar10"/>
      </w:pPr>
      <w:r w:rsidRPr="00483F7D">
        <w:t>10.</w:t>
      </w:r>
      <w:r w:rsidRPr="00483F7D">
        <w:tab/>
        <w:t>Η Επιτροπή ορίζει, με εκτελεστικές πράξεις, τη διαδικασία για την παροχή και τη λήψη των πληροφοριών πριν από την αναχώρηση και την επιβεβαίωση εξόδου που αναφέρονται στο παρόν άρθρο. Οι εν λόγω εκτελεστικές πράξεις εκδίδονται σύμφωνα με τη διαδικασία εξέτασης που αναφέρεται στο άρθρο 262 παράγραφος 4.</w:t>
      </w:r>
    </w:p>
    <w:p w14:paraId="06A3F309" w14:textId="77777777" w:rsidR="00E0244C" w:rsidRPr="00483F7D" w:rsidRDefault="00B57BC1">
      <w:pPr>
        <w:pStyle w:val="ManualNumPar10"/>
      </w:pPr>
      <w:r w:rsidRPr="00483F7D">
        <w:t>11.</w:t>
      </w:r>
      <w:r w:rsidRPr="00483F7D">
        <w:tab/>
        <w:t xml:space="preserve">Έως την ημερομηνία λήξης που ορίζεται στο άρθρο 265 παράγραφος </w:t>
      </w:r>
      <w:hyperlink w:anchor="_bill__akn_article_BG6Seo_VYhe2Y" w:tooltip="Article 261(3): (3)">
        <w:r w:rsidRPr="00483F7D">
          <w:rPr>
            <w:rStyle w:val="Hyperlink"/>
          </w:rPr>
          <w:t>3</w:t>
        </w:r>
      </w:hyperlink>
      <w:r w:rsidRPr="00483F7D">
        <w:t>, η συνοπτική διασάφηση εξόδου, η διασάφηση εξαγωγής, η διασάφηση επανεξαγωγής και η γνωστοποίηση επανεξαγωγής θεωρούνται πληροφορίες πριν από την αναχώρηση.</w:t>
      </w:r>
    </w:p>
    <w:p w14:paraId="5AAF5C70" w14:textId="77777777" w:rsidR="00E0244C" w:rsidRPr="00483F7D" w:rsidRDefault="007A1FD7">
      <w:pPr>
        <w:pStyle w:val="Titrearticle"/>
      </w:pPr>
      <w:r w:rsidRPr="00483F7D">
        <w:t>Άρθρο 96</w:t>
      </w:r>
    </w:p>
    <w:p w14:paraId="147A090F" w14:textId="77777777" w:rsidR="00E0244C" w:rsidRPr="00483F7D" w:rsidRDefault="007A1FD7">
      <w:pPr>
        <w:pStyle w:val="NormalCentered"/>
      </w:pPr>
      <w:r w:rsidRPr="00483F7D">
        <w:rPr>
          <w:b/>
        </w:rPr>
        <w:t>Τροποποίηση και ακύρωση των πληροφοριών πριν από την αναχώρηση</w:t>
      </w:r>
    </w:p>
    <w:p w14:paraId="28BA4C28" w14:textId="77777777" w:rsidR="00E0244C" w:rsidRPr="00483F7D" w:rsidRDefault="007A1FD7">
      <w:pPr>
        <w:pStyle w:val="ManualNumPar10"/>
      </w:pPr>
      <w:r w:rsidRPr="00483F7D">
        <w:t>1.</w:t>
      </w:r>
      <w:r w:rsidRPr="00483F7D">
        <w:tab/>
        <w:t>Ο εξαγωγέας ή ο μεταφορέας μπορεί να τροποποιήσει ένα ή περισσότερα στοιχεία των πληροφοριών πριν από την αναχώρηση μετά την παροχή ή τη διάθεσή τους.</w:t>
      </w:r>
    </w:p>
    <w:p w14:paraId="0E086DDB" w14:textId="77777777" w:rsidR="00E0244C" w:rsidRPr="00483F7D" w:rsidRDefault="007A1FD7">
      <w:pPr>
        <w:pStyle w:val="Text1"/>
      </w:pPr>
      <w:r w:rsidRPr="00483F7D">
        <w:t>Δεν είναι δυνατή η τροποποίηση σε καμία από τις ακόλουθες περιπτώσεις:</w:t>
      </w:r>
    </w:p>
    <w:p w14:paraId="746B1D6F" w14:textId="649E121C" w:rsidR="00C140B9" w:rsidRPr="00483F7D" w:rsidRDefault="00BC60FC" w:rsidP="00BC60FC">
      <w:pPr>
        <w:pStyle w:val="Point1"/>
      </w:pPr>
      <w:r w:rsidRPr="00483F7D">
        <w:t>α)</w:t>
      </w:r>
      <w:r w:rsidRPr="00483F7D">
        <w:tab/>
      </w:r>
      <w:r w:rsidR="007A1FD7" w:rsidRPr="00483F7D">
        <w:t>όταν οι τελωνειακές αρχές έχουν πληροφορήσει ότι προτίθενται να εξετάσουν τα εμπορεύματα·</w:t>
      </w:r>
    </w:p>
    <w:p w14:paraId="4C5511FA" w14:textId="7C311671" w:rsidR="00C140B9" w:rsidRPr="00483F7D" w:rsidRDefault="00BC60FC" w:rsidP="00BC60FC">
      <w:pPr>
        <w:pStyle w:val="Point1"/>
      </w:pPr>
      <w:r w:rsidRPr="00483F7D">
        <w:t>β)</w:t>
      </w:r>
      <w:r w:rsidRPr="00483F7D">
        <w:tab/>
      </w:r>
      <w:r w:rsidR="007A1FD7" w:rsidRPr="00483F7D">
        <w:t>όταν οι τελωνειακές αρχές έχουν διαπιστώσει ότι ένα ή περισσότερα στοιχεία των πληροφοριών είναι ανακριβή ή ελλιπή·</w:t>
      </w:r>
    </w:p>
    <w:p w14:paraId="769F77F6" w14:textId="576AD45A" w:rsidR="00E0244C" w:rsidRPr="00483F7D" w:rsidRDefault="00BC60FC" w:rsidP="00BC60FC">
      <w:pPr>
        <w:pStyle w:val="Point1"/>
      </w:pPr>
      <w:r w:rsidRPr="00483F7D">
        <w:t>γ)</w:t>
      </w:r>
      <w:r w:rsidRPr="00483F7D">
        <w:tab/>
      </w:r>
      <w:r w:rsidR="007A1FD7" w:rsidRPr="00483F7D">
        <w:t>όταν οι τελωνειακές αρχές έχουν ήδη χορηγήσει την άδεια παράδοσης των εμπορευμάτων για έξοδο.</w:t>
      </w:r>
    </w:p>
    <w:p w14:paraId="5ECA17E5" w14:textId="77777777" w:rsidR="00E0244C" w:rsidRPr="00483F7D" w:rsidRDefault="007A1FD7">
      <w:pPr>
        <w:pStyle w:val="ManualNumPar10"/>
      </w:pPr>
      <w:r w:rsidRPr="00483F7D">
        <w:t>2.</w:t>
      </w:r>
      <w:r w:rsidRPr="00483F7D">
        <w:tab/>
        <w:t>Ο εξαγωγέας ή ο μεταφορέας ακυρώνει τις πληροφορίες πριν από την αναχώρηση σχετικά με τα εμπορεύματα που δεν μεταφέρονται εκτός του τελωνειακού εδάφους της Ένωσης το συντομότερο δυνατό. Οι τελωνειακές αρχές ακυρώνουν τις πληροφορίες πριν από την αναχώρηση σχετικά με τα εν λόγω εμπορεύματα ύστερα από 150 ημέρες από την ημερομηνία κατά την οποία παρασχέθηκαν ή κατέστησαν διαθέσιμες οι πληροφορίες.</w:t>
      </w:r>
    </w:p>
    <w:p w14:paraId="0A038C07" w14:textId="77777777" w:rsidR="00E0244C" w:rsidRPr="00483F7D" w:rsidRDefault="007A1FD7">
      <w:pPr>
        <w:pStyle w:val="ManualNumPar10"/>
      </w:pPr>
      <w:r w:rsidRPr="00483F7D">
        <w:t>3.</w:t>
      </w:r>
      <w:r w:rsidRPr="00483F7D">
        <w:tab/>
        <w:t xml:space="preserve">Η Επιτροπή ορίζει, με εκτελεστικές πράξεις, τη διαδικασία για την τροποποίηση των πληροφοριών πριν από την αναχώρηση, όπως αναφέρεται στην παράγραφο 1 πρώτο εδάφιο, και για την ακύρωση των πληροφοριών πριν από την αναχώρηση, όπως αναφέρεται στην παράγραφο 2. Οι εν λόγω εκτελεστικές πράξεις εκδίδονται σύμφωνα με τη διαδικασία εξέτασης του άρθρου 262 παράγραφος </w:t>
      </w:r>
      <w:hyperlink r:id="rId18" w:anchor="_bill__akn_article_OheJbS_RcHcve" w:history="1">
        <w:r w:rsidRPr="00483F7D">
          <w:rPr>
            <w:rStyle w:val="Hyperlink"/>
          </w:rPr>
          <w:t>4</w:t>
        </w:r>
      </w:hyperlink>
      <w:r w:rsidRPr="00483F7D">
        <w:rPr>
          <w:rStyle w:val="Hyperlink"/>
        </w:rPr>
        <w:t>.</w:t>
      </w:r>
    </w:p>
    <w:p w14:paraId="451FA83B" w14:textId="77777777" w:rsidR="00E0244C" w:rsidRPr="00483F7D" w:rsidRDefault="007A1FD7">
      <w:pPr>
        <w:pStyle w:val="Titrearticle"/>
      </w:pPr>
      <w:r w:rsidRPr="00483F7D">
        <w:t>Άρθρο 97</w:t>
      </w:r>
    </w:p>
    <w:p w14:paraId="6A85C868" w14:textId="77777777" w:rsidR="00E0244C" w:rsidRPr="00483F7D" w:rsidRDefault="007A1FD7">
      <w:pPr>
        <w:pStyle w:val="NormalCentered"/>
      </w:pPr>
      <w:r w:rsidRPr="00483F7D">
        <w:rPr>
          <w:b/>
        </w:rPr>
        <w:t>Ανάλυση κινδύνου των πληροφοριών πριν από την αναχώρηση</w:t>
      </w:r>
    </w:p>
    <w:p w14:paraId="296629FB" w14:textId="77777777" w:rsidR="00E0244C" w:rsidRPr="00483F7D" w:rsidRDefault="007A1FD7">
      <w:pPr>
        <w:pStyle w:val="ManualNumPar10"/>
      </w:pPr>
      <w:r w:rsidRPr="00483F7D">
        <w:t>1.</w:t>
      </w:r>
      <w:r w:rsidRPr="00483F7D">
        <w:tab/>
        <w:t>Με την επιφύλαξη των δραστηριοτήτων της Τελωνειακής Αρχής της ΕΕ που ορίζονται στον τίτλο IV, το τελωνείο εξόδου διασφαλίζει, εντός συγκεκριμένης προθεσμίας, τη διενέργεια ανάλυσης κινδύνου, πρωτίστως για σκοπούς ασφάλειας και προστασίας και, όπου είναι δυνατό, για άλλους σκοπούς, με βάση τις πληροφορίες πριν από την αναχώρηση και άλλες πληροφορίες που παρέχονται ή καθίστανται διαθέσιμες μέσω του τελωνειακού κόμβου δεδομένων της ΕΕ και λαμβάνει τα αναγκαία μέτρα με βάση τα αποτελέσματα της εν λόγω ανάλυσης κινδύνου.</w:t>
      </w:r>
    </w:p>
    <w:p w14:paraId="4F6540C0" w14:textId="77777777" w:rsidR="00E0244C" w:rsidRPr="00483F7D" w:rsidRDefault="007A1FD7">
      <w:pPr>
        <w:pStyle w:val="ManualNumPar10"/>
      </w:pPr>
      <w:r w:rsidRPr="00483F7D">
        <w:t>2.</w:t>
      </w:r>
      <w:r w:rsidRPr="00483F7D">
        <w:tab/>
        <w:t>Το τελωνείο που είναι αρμόδιο για τον τόπο όπου είναι εγκατεστημένος ο εξαγωγέας μπορεί να λαμβάνει κατάλληλα μέτρα μετριασμού, μεταξύ άλλων:</w:t>
      </w:r>
    </w:p>
    <w:p w14:paraId="7A71D2EC" w14:textId="3EA67222" w:rsidR="00C140B9" w:rsidRPr="00483F7D" w:rsidRDefault="00BC60FC" w:rsidP="00BC60FC">
      <w:pPr>
        <w:pStyle w:val="Point1"/>
      </w:pPr>
      <w:r w:rsidRPr="00483F7D">
        <w:t>α)</w:t>
      </w:r>
      <w:r w:rsidRPr="00483F7D">
        <w:tab/>
      </w:r>
      <w:r w:rsidR="007A1FD7" w:rsidRPr="00483F7D">
        <w:t>παροχή οδηγιών στον εξαγωγέα ή στον μεταφορέα για μη φόρτωση ή μεταφορά των εμπορευμάτων·</w:t>
      </w:r>
    </w:p>
    <w:p w14:paraId="7BB5AB61" w14:textId="7D8B587B" w:rsidR="00C140B9" w:rsidRPr="00483F7D" w:rsidRDefault="00BC60FC" w:rsidP="00BC60FC">
      <w:pPr>
        <w:pStyle w:val="Point1"/>
      </w:pPr>
      <w:r w:rsidRPr="00483F7D">
        <w:t>β)</w:t>
      </w:r>
      <w:r w:rsidRPr="00483F7D">
        <w:tab/>
      </w:r>
      <w:r w:rsidR="007A1FD7" w:rsidRPr="00483F7D">
        <w:t>αίτημα παροχής πρόσθετων πληροφοριών ή ανάληψης δράσης·</w:t>
      </w:r>
    </w:p>
    <w:p w14:paraId="037CADFD" w14:textId="7BE551DC" w:rsidR="00C140B9" w:rsidRPr="00483F7D" w:rsidRDefault="00BC60FC" w:rsidP="00BC60FC">
      <w:pPr>
        <w:pStyle w:val="Point1"/>
      </w:pPr>
      <w:r w:rsidRPr="00483F7D">
        <w:t>γ)</w:t>
      </w:r>
      <w:r w:rsidRPr="00483F7D">
        <w:tab/>
      </w:r>
      <w:r w:rsidR="007A1FD7" w:rsidRPr="00483F7D">
        <w:t>εντοπισμό καταστάσεων στις οποίες μπορεί να ενδείκνυται η ανάληψη δράσης από άλλη αρχή·</w:t>
      </w:r>
    </w:p>
    <w:p w14:paraId="612B7F3A" w14:textId="06AA083F" w:rsidR="00C140B9" w:rsidRPr="00483F7D" w:rsidRDefault="00BC60FC" w:rsidP="00BC60FC">
      <w:pPr>
        <w:pStyle w:val="Point1"/>
      </w:pPr>
      <w:r w:rsidRPr="00483F7D">
        <w:t>δ)</w:t>
      </w:r>
      <w:r w:rsidRPr="00483F7D">
        <w:tab/>
      </w:r>
      <w:r w:rsidR="007A1FD7" w:rsidRPr="00483F7D">
        <w:t>σύσταση του καταλληλότερου τόπου και των καταλληλότερων μέτρων για τη διενέργεια ελέγχου·</w:t>
      </w:r>
    </w:p>
    <w:p w14:paraId="5CBCB660" w14:textId="579966B7" w:rsidR="00E0244C" w:rsidRPr="00483F7D" w:rsidRDefault="00BC60FC" w:rsidP="00BC60FC">
      <w:pPr>
        <w:pStyle w:val="Point1"/>
      </w:pPr>
      <w:r w:rsidRPr="00483F7D">
        <w:t>ε)</w:t>
      </w:r>
      <w:r w:rsidRPr="00483F7D">
        <w:tab/>
      </w:r>
      <w:r w:rsidR="007A1FD7" w:rsidRPr="00483F7D">
        <w:t>καθορισμό της διαδρομής που πρέπει να χρησιμοποιηθεί και της προθεσμίας που πρέπει να τηρηθεί, όταν τα εμπορεύματα πρόκειται να μεταφερθούν εκτός του τελωνειακού εδάφους της Ένωσης.</w:t>
      </w:r>
    </w:p>
    <w:p w14:paraId="4EAD66B4" w14:textId="77777777" w:rsidR="00E0244C" w:rsidRPr="00483F7D" w:rsidRDefault="007A1FD7">
      <w:pPr>
        <w:pStyle w:val="ManualNumPar10"/>
      </w:pPr>
      <w:r w:rsidRPr="00483F7D">
        <w:t>3.</w:t>
      </w:r>
      <w:r w:rsidRPr="00483F7D">
        <w:tab/>
        <w:t xml:space="preserve">Το τελωνείο εξόδου διενεργεί επίσης ανάλυση κινδύνου όταν ο μεταφορέας τού παρέχει τις πληροφορίες σχετικά με τα εμπορεύματα σύμφωνα με το άρθρο 95 παράγραφος </w:t>
      </w:r>
      <w:hyperlink w:anchor="__akn_article_TjMYEM_Fp2Mrr" w:tooltip="Article 95(6): (6)">
        <w:r w:rsidRPr="00483F7D">
          <w:rPr>
            <w:rStyle w:val="Hyperlink"/>
          </w:rPr>
          <w:t>6</w:t>
        </w:r>
      </w:hyperlink>
      <w:r w:rsidRPr="00483F7D">
        <w:t>.</w:t>
      </w:r>
    </w:p>
    <w:p w14:paraId="6D49DB75" w14:textId="77777777" w:rsidR="00E0244C" w:rsidRPr="00483F7D" w:rsidRDefault="007A1FD7">
      <w:pPr>
        <w:pStyle w:val="ManualNumPar10"/>
      </w:pPr>
      <w:r w:rsidRPr="00483F7D">
        <w:t>4.</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προθεσμιών εντός των οποίων πρέπει να διενεργείται η ανάλυση κινδύνου και να λαμβάνονται τα αναγκαία μέτρα με βάση τα αποτελέσματα της ανάλυσης κινδύνου, όπως αναφέρεται στην παράγραφο 1 του παρόντος άρθρου, καθώς και των μέτρων μετριασμού που αναφέρονται στην παράγραφο 2 του παρόντος άρθρου.</w:t>
      </w:r>
    </w:p>
    <w:p w14:paraId="45751010" w14:textId="77777777" w:rsidR="00E0244C" w:rsidRPr="00483F7D" w:rsidRDefault="007A1FD7">
      <w:pPr>
        <w:pStyle w:val="Titrearticle"/>
      </w:pPr>
      <w:r w:rsidRPr="00483F7D">
        <w:t>Άρθρο 98</w:t>
      </w:r>
    </w:p>
    <w:p w14:paraId="36F619B1" w14:textId="77777777" w:rsidR="00E0244C" w:rsidRPr="00483F7D" w:rsidRDefault="007A1FD7">
      <w:pPr>
        <w:pStyle w:val="NormalCentered"/>
      </w:pPr>
      <w:r w:rsidRPr="00483F7D">
        <w:rPr>
          <w:b/>
        </w:rPr>
        <w:t>Προσκόμιση και επιβεβαίωση εξόδου</w:t>
      </w:r>
    </w:p>
    <w:p w14:paraId="1A447A03" w14:textId="77777777" w:rsidR="00E0244C" w:rsidRPr="00483F7D" w:rsidRDefault="007A1FD7">
      <w:pPr>
        <w:pStyle w:val="ManualNumPar10"/>
      </w:pPr>
      <w:r w:rsidRPr="00483F7D">
        <w:t>1.</w:t>
      </w:r>
      <w:r w:rsidRPr="00483F7D">
        <w:tab/>
        <w:t>Όταν οι πληροφορίες πριν από την αναχώρηση δεν έχουν παρασχεθεί εντός της συγκεκριμένης προθεσμίας ή όταν το απαιτούν οι τελωνειακές αρχές ή η λοιπή νομοθεσία που εφαρμόζεται από τις τελωνειακές αρχές, ο μεταφορέας προσκομίζει τα εμπορεύματα που πρόκειται να μεταφερθούν εκτός του τελωνειακού εδάφους της Ένωσης στο τελωνείο εξόδου πριν από την αναχώρησή τους.</w:t>
      </w:r>
    </w:p>
    <w:p w14:paraId="50098F58" w14:textId="77777777" w:rsidR="00E0244C" w:rsidRPr="00483F7D" w:rsidRDefault="007A1FD7">
      <w:pPr>
        <w:pStyle w:val="ManualNumPar10"/>
      </w:pPr>
      <w:r w:rsidRPr="00483F7D">
        <w:t>2.</w:t>
      </w:r>
      <w:r w:rsidRPr="00483F7D">
        <w:tab/>
        <w:t>Ο μεταφορέας επιβεβαιώνει στις τελωνειακές αρχές την έξοδο των εμπορευμάτων από το τελωνειακό έδαφος της Ένωσης.</w:t>
      </w:r>
    </w:p>
    <w:p w14:paraId="19CCFD09" w14:textId="77777777" w:rsidR="00E0244C" w:rsidRPr="00483F7D" w:rsidRDefault="007A1FD7">
      <w:pPr>
        <w:pStyle w:val="Titrearticle"/>
      </w:pPr>
      <w:bookmarkStart w:id="106" w:name="__akn_article_buGHiV"/>
      <w:bookmarkEnd w:id="106"/>
      <w:r w:rsidRPr="00483F7D">
        <w:t>Άρθρο 99</w:t>
      </w:r>
    </w:p>
    <w:p w14:paraId="6814027B" w14:textId="77777777" w:rsidR="00E0244C" w:rsidRPr="00483F7D" w:rsidRDefault="007A1FD7">
      <w:pPr>
        <w:pStyle w:val="NormalCentered"/>
      </w:pPr>
      <w:r w:rsidRPr="00483F7D">
        <w:rPr>
          <w:b/>
        </w:rPr>
        <w:t>Καθεστώς εξαγωγής</w:t>
      </w:r>
    </w:p>
    <w:p w14:paraId="62B01C12" w14:textId="77777777" w:rsidR="00E0244C" w:rsidRPr="00483F7D" w:rsidRDefault="007A1FD7">
      <w:pPr>
        <w:pStyle w:val="ManualNumPar10"/>
      </w:pPr>
      <w:r w:rsidRPr="00483F7D">
        <w:t>1.</w:t>
      </w:r>
      <w:r w:rsidRPr="00483F7D">
        <w:tab/>
        <w:t>Ενωσιακά και μη ενωσιακά εμπορεύματα που προορίζονται να μεταφερθούν εκτός του τελωνειακού εδάφους της Ένωσης υπάγονται στο καθεστώς εξαγωγής.</w:t>
      </w:r>
    </w:p>
    <w:p w14:paraId="1931D441" w14:textId="77777777" w:rsidR="00E0244C" w:rsidRPr="00483F7D" w:rsidRDefault="007A1FD7">
      <w:pPr>
        <w:pStyle w:val="ManualNumPar10"/>
      </w:pPr>
      <w:r w:rsidRPr="00483F7D">
        <w:t>2.</w:t>
      </w:r>
      <w:r w:rsidRPr="00483F7D">
        <w:tab/>
        <w:t>Οι όροι για την υπαγωγή εμπορευμάτων στο καθεστώς εξαγωγής είναι οι ακόλουθοι:</w:t>
      </w:r>
    </w:p>
    <w:p w14:paraId="27A882CD" w14:textId="53A8A0AF" w:rsidR="00C140B9" w:rsidRPr="00483F7D" w:rsidRDefault="00BC60FC" w:rsidP="00BC60FC">
      <w:pPr>
        <w:pStyle w:val="Point1"/>
      </w:pPr>
      <w:r w:rsidRPr="00483F7D">
        <w:t>α)</w:t>
      </w:r>
      <w:r w:rsidRPr="00483F7D">
        <w:tab/>
      </w:r>
      <w:r w:rsidR="007A1FD7" w:rsidRPr="00483F7D">
        <w:t>έχουν παρασχεθεί ή καταστεί διαθέσιμες στις τελωνειακές αρχές οι ελάχιστες πληροφορίες, στις οποίες πρέπει να περιλαμβάνονται τουλάχιστον ο εξαγωγέας που είναι υπεύθυνος για τα εμπορεύματα, ο πωλητής, ο αγοραστής, η αξία, η καταγωγή, η δασμολογική κατάταξη, η περιγραφή των εμπορευμάτων και η τοποθεσία τους·</w:t>
      </w:r>
    </w:p>
    <w:p w14:paraId="06AECD5D" w14:textId="4F8A4B3F" w:rsidR="00552D9A" w:rsidRPr="00483F7D" w:rsidRDefault="00BC60FC" w:rsidP="00BC60FC">
      <w:pPr>
        <w:pStyle w:val="Point1"/>
      </w:pPr>
      <w:r w:rsidRPr="00483F7D">
        <w:t>β)</w:t>
      </w:r>
      <w:r w:rsidRPr="00483F7D">
        <w:tab/>
      </w:r>
      <w:r w:rsidR="007A1FD7" w:rsidRPr="00483F7D">
        <w:t>τυχόν οφειλόμενοι εξαγωγικοί δασμοί ή λοιπές επιβαρύνσεις έχουν καταβληθεί ή είναι εγγυημένες· και</w:t>
      </w:r>
    </w:p>
    <w:p w14:paraId="7B0928EC" w14:textId="4262837B" w:rsidR="00E0244C" w:rsidRPr="00483F7D" w:rsidRDefault="00BC60FC" w:rsidP="00BC60FC">
      <w:pPr>
        <w:pStyle w:val="Point1"/>
      </w:pPr>
      <w:r w:rsidRPr="00483F7D">
        <w:t>γ)</w:t>
      </w:r>
      <w:r w:rsidRPr="00483F7D">
        <w:tab/>
      </w:r>
      <w:r w:rsidR="007A1FD7" w:rsidRPr="00483F7D">
        <w:tab/>
        <w:t>τα εμπορεύματα συμμορφώνονται με τη σχετική λοιπή νομοθεσία που εφαρμόζεται από τις τελωνειακές αρχές.</w:t>
      </w:r>
    </w:p>
    <w:p w14:paraId="2973D228" w14:textId="77777777" w:rsidR="00E0244C" w:rsidRPr="00483F7D" w:rsidRDefault="007A1FD7">
      <w:pPr>
        <w:pStyle w:val="ManualNumPar10"/>
      </w:pPr>
      <w:r w:rsidRPr="00483F7D">
        <w:t>3.</w:t>
      </w:r>
      <w:r w:rsidRPr="00483F7D">
        <w:tab/>
        <w:t>Τα εμπορεύματα που πρόκειται να μεταφερθούν εκτός του τελωνειακού εδάφους της Ένωσης υπόκεινται, κατά περίπτωση, στα ακόλουθα:</w:t>
      </w:r>
    </w:p>
    <w:p w14:paraId="5B521C13" w14:textId="74E71DC0" w:rsidR="00C140B9" w:rsidRPr="00483F7D" w:rsidRDefault="00BC60FC" w:rsidP="00BC60FC">
      <w:pPr>
        <w:pStyle w:val="Point1"/>
      </w:pPr>
      <w:r w:rsidRPr="00483F7D">
        <w:t>α)</w:t>
      </w:r>
      <w:r w:rsidRPr="00483F7D">
        <w:tab/>
      </w:r>
      <w:r w:rsidR="007A1FD7" w:rsidRPr="00483F7D">
        <w:t>επιστροφή ή διαγραφή του εισαγωγικού δασμού·</w:t>
      </w:r>
    </w:p>
    <w:p w14:paraId="780BF30B" w14:textId="49297A0B" w:rsidR="00C140B9" w:rsidRPr="00483F7D" w:rsidRDefault="00BC60FC" w:rsidP="00BC60FC">
      <w:pPr>
        <w:pStyle w:val="Point1"/>
      </w:pPr>
      <w:r w:rsidRPr="00483F7D">
        <w:t>β)</w:t>
      </w:r>
      <w:r w:rsidRPr="00483F7D">
        <w:tab/>
      </w:r>
      <w:r w:rsidR="00C140B9" w:rsidRPr="00483F7D">
        <w:t>πληρωμή επιστροφών κατά την εξαγωγή·</w:t>
      </w:r>
    </w:p>
    <w:p w14:paraId="7D77EDA5" w14:textId="025946F8" w:rsidR="00E0244C" w:rsidRPr="00483F7D" w:rsidRDefault="00BC60FC" w:rsidP="00BC60FC">
      <w:pPr>
        <w:pStyle w:val="Point1"/>
      </w:pPr>
      <w:r w:rsidRPr="00483F7D">
        <w:t>γ)</w:t>
      </w:r>
      <w:r w:rsidRPr="00483F7D">
        <w:tab/>
      </w:r>
      <w:r w:rsidR="007A1FD7" w:rsidRPr="00483F7D">
        <w:t>διατυπώσεις που απαιτούνται βάσει ισχυουσών διατάξεων για τις λοιπές επιβαρύνσεις.</w:t>
      </w:r>
    </w:p>
    <w:p w14:paraId="7CE4CE7F" w14:textId="77777777" w:rsidR="006C593D" w:rsidRPr="00483F7D" w:rsidRDefault="007A1FD7" w:rsidP="5DA9B26A">
      <w:pPr>
        <w:pStyle w:val="ManualNumPar10"/>
      </w:pPr>
      <w:r w:rsidRPr="00483F7D">
        <w:t>4.</w:t>
      </w:r>
      <w:r w:rsidRPr="00483F7D">
        <w:tab/>
        <w:t>Ανατίθεται στην Επιτροπή η εξουσία να εκδίδει κατ’ εξουσιοδότηση πράξεις, σύμφωνα με το άρθρο 261, για τη συμπλήρωση και την τροποποίηση του παρόντος κανονισμού με τον καθορισμό των δεδομένων που παρέχονται ή καθίστανται διαθέσιμα στις τελωνειακές αρχές για την υπαγωγή των εμπορευμάτων σε καθεστώς εξαγωγής, όπως αναφέρεται στην παράγραφο 2 στοιχείο α).</w:t>
      </w:r>
    </w:p>
    <w:p w14:paraId="70D2CC34" w14:textId="77777777" w:rsidR="00E0244C" w:rsidRPr="00483F7D" w:rsidRDefault="006C593D">
      <w:pPr>
        <w:pStyle w:val="ManualNumPar10"/>
      </w:pPr>
      <w:r w:rsidRPr="00483F7D">
        <w:t>5.</w:t>
      </w:r>
      <w:r w:rsidRPr="00483F7D">
        <w:tab/>
        <w:t xml:space="preserve">Η Επιτροπή ορίζει, με εκτελεστικές πράξεις, τη διαδικασία για την επιστροφή του ΦΠΑ σε φυσικά πρόσωπα που δεν είναι εγκατεστημένα στην Ένωση, όπως αναφέρεται στην παράγραφο 3 στοιχείο β). Οι εν λόγω εκτελεστικές πράξεις εκδίδονται σύμφωνα με τη διαδικασία εξέτασης του άρθρου 262 παράγραφος </w:t>
      </w:r>
      <w:hyperlink r:id="rId19" w:anchor="_bill__akn_article_OheJbS_RcHcve" w:history="1">
        <w:r w:rsidRPr="00483F7D">
          <w:rPr>
            <w:rStyle w:val="Hyperlink"/>
          </w:rPr>
          <w:t>4</w:t>
        </w:r>
      </w:hyperlink>
      <w:r w:rsidRPr="00483F7D">
        <w:rPr>
          <w:rStyle w:val="Hyperlink"/>
        </w:rPr>
        <w:t>.</w:t>
      </w:r>
    </w:p>
    <w:p w14:paraId="61F0E0A6" w14:textId="77777777" w:rsidR="00E0244C" w:rsidRPr="00483F7D" w:rsidRDefault="007A1FD7">
      <w:pPr>
        <w:pStyle w:val="Titrearticle"/>
      </w:pPr>
      <w:r w:rsidRPr="00483F7D">
        <w:t>Άρθρο 100</w:t>
      </w:r>
    </w:p>
    <w:p w14:paraId="70E72096" w14:textId="77777777" w:rsidR="00E0244C" w:rsidRPr="00483F7D" w:rsidRDefault="007A1FD7">
      <w:pPr>
        <w:pStyle w:val="NormalCentered"/>
      </w:pPr>
      <w:r w:rsidRPr="00483F7D">
        <w:rPr>
          <w:b/>
        </w:rPr>
        <w:t>Απαλλαγή προσωρινά εξαχθέντων ενωσιακών εμπορευμάτων από τον εξαγωγικό δασμό</w:t>
      </w:r>
    </w:p>
    <w:p w14:paraId="6DDA03FD" w14:textId="77777777" w:rsidR="00E0244C" w:rsidRPr="00483F7D" w:rsidRDefault="007A1FD7">
      <w:r w:rsidRPr="00483F7D">
        <w:t xml:space="preserve">Με την επιφύλαξη του άρθρου </w:t>
      </w:r>
      <w:hyperlink w:anchor="__akn_article_kMrONf" w:tooltip="Article 140: 140">
        <w:r w:rsidRPr="00483F7D">
          <w:rPr>
            <w:rStyle w:val="Hyperlink"/>
          </w:rPr>
          <w:t>140</w:t>
        </w:r>
      </w:hyperlink>
      <w:r w:rsidRPr="00483F7D">
        <w:t>, ενωσιακά εμπορεύματα που εξάγονται προσωρινά από το τελωνειακό έδαφος της Ένωσης επωφελούνται από απαλλαγή από τον εξαγωγικό δασμό, υπό τον όρο ότι θα επανεισαχθούν.</w:t>
      </w:r>
    </w:p>
    <w:p w14:paraId="5FD7F785" w14:textId="77777777" w:rsidR="00E0244C" w:rsidRPr="00483F7D" w:rsidRDefault="007A1FD7">
      <w:pPr>
        <w:pStyle w:val="ChapterTitle"/>
      </w:pPr>
      <w:r w:rsidRPr="00483F7D">
        <w:t xml:space="preserve">Τίτλος VIII </w:t>
      </w:r>
      <w:r w:rsidRPr="00483F7D">
        <w:br/>
        <w:t>ΕΙΔΙΚΑ ΚΑΘΕΣΤΩΤΑ</w:t>
      </w:r>
    </w:p>
    <w:p w14:paraId="7B3F97D5" w14:textId="77777777" w:rsidR="00E0244C" w:rsidRPr="00483F7D" w:rsidRDefault="007A1FD7">
      <w:pPr>
        <w:pStyle w:val="ChapterTitle"/>
      </w:pPr>
      <w:r w:rsidRPr="00483F7D">
        <w:t xml:space="preserve">Κεφάλαιο 1 </w:t>
      </w:r>
      <w:r w:rsidRPr="00483F7D">
        <w:br/>
        <w:t>Γενικές διατάξεις</w:t>
      </w:r>
    </w:p>
    <w:p w14:paraId="51B0C382" w14:textId="77777777" w:rsidR="00E0244C" w:rsidRPr="00483F7D" w:rsidRDefault="007A1FD7">
      <w:pPr>
        <w:pStyle w:val="Titrearticle"/>
      </w:pPr>
      <w:r w:rsidRPr="00483F7D">
        <w:t>Άρθρο 101</w:t>
      </w:r>
    </w:p>
    <w:p w14:paraId="05493942" w14:textId="77777777" w:rsidR="00E0244C" w:rsidRPr="00483F7D" w:rsidRDefault="007A1FD7">
      <w:pPr>
        <w:pStyle w:val="NormalCentered"/>
      </w:pPr>
      <w:r w:rsidRPr="00483F7D">
        <w:rPr>
          <w:b/>
        </w:rPr>
        <w:t>Πεδίο εφαρμογής</w:t>
      </w:r>
    </w:p>
    <w:p w14:paraId="65264316" w14:textId="77777777" w:rsidR="00E0244C" w:rsidRPr="00483F7D" w:rsidRDefault="006D1FE2" w:rsidP="0031659F">
      <w:pPr>
        <w:pStyle w:val="ManualNumPar10"/>
      </w:pPr>
      <w:r w:rsidRPr="00483F7D">
        <w:t>1.</w:t>
      </w:r>
      <w:r w:rsidRPr="00483F7D">
        <w:tab/>
        <w:t>Είναι δυνατή η υπαγωγή εμπορευμάτων σε οποιαδήποτε από τις ακόλουθες κατηγορίες ειδικών καθεστώτων:</w:t>
      </w:r>
    </w:p>
    <w:p w14:paraId="07E87FFB" w14:textId="6FA27993" w:rsidR="00C140B9" w:rsidRPr="00483F7D" w:rsidRDefault="00BC60FC" w:rsidP="00BC60FC">
      <w:pPr>
        <w:pStyle w:val="Point1"/>
      </w:pPr>
      <w:r w:rsidRPr="00483F7D">
        <w:t>α)</w:t>
      </w:r>
      <w:r w:rsidRPr="00483F7D">
        <w:tab/>
      </w:r>
      <w:r w:rsidR="007A1FD7" w:rsidRPr="00483F7D">
        <w:t>διαμετακόμιση, που περιλαμβάνει την εξωτερική και την εσωτερική διαμετακόμιση·</w:t>
      </w:r>
    </w:p>
    <w:p w14:paraId="7D82839E" w14:textId="466ACE1E" w:rsidR="00C140B9" w:rsidRPr="00483F7D" w:rsidRDefault="00BC60FC" w:rsidP="00BC60FC">
      <w:pPr>
        <w:pStyle w:val="Point1"/>
      </w:pPr>
      <w:r w:rsidRPr="00483F7D">
        <w:t>β)</w:t>
      </w:r>
      <w:r w:rsidRPr="00483F7D">
        <w:tab/>
      </w:r>
      <w:r w:rsidR="007A1FD7" w:rsidRPr="00483F7D">
        <w:t>αποθήκευση, που περιλαμβάνει την τελωνειακή αποταμίευση και τις ελεύθερες ζώνες·</w:t>
      </w:r>
    </w:p>
    <w:p w14:paraId="13003086" w14:textId="452B8C5C" w:rsidR="00C140B9" w:rsidRPr="00483F7D" w:rsidRDefault="00BC60FC" w:rsidP="00BC60FC">
      <w:pPr>
        <w:pStyle w:val="Point1"/>
      </w:pPr>
      <w:r w:rsidRPr="00483F7D">
        <w:t>γ)</w:t>
      </w:r>
      <w:r w:rsidRPr="00483F7D">
        <w:tab/>
      </w:r>
      <w:r w:rsidR="007A1FD7" w:rsidRPr="00483F7D">
        <w:t>ειδικές χρήσεις, που περιλαμβάνουν την προσωρινή εισαγωγή και τον ειδικό προορισμό·</w:t>
      </w:r>
    </w:p>
    <w:p w14:paraId="09523C5B" w14:textId="32DA5F43" w:rsidR="00E0244C" w:rsidRPr="00483F7D" w:rsidRDefault="00BC60FC" w:rsidP="00BC60FC">
      <w:pPr>
        <w:pStyle w:val="Point1"/>
      </w:pPr>
      <w:r w:rsidRPr="00483F7D">
        <w:t>δ)</w:t>
      </w:r>
      <w:r w:rsidRPr="00483F7D">
        <w:tab/>
      </w:r>
      <w:r w:rsidR="007A1FD7" w:rsidRPr="00483F7D">
        <w:t>τελειοποίηση, που περιλαμβάνει την τελειοποίηση προς επανεξαγωγή και την τελειοποίηση προς επανεισαγωγή.</w:t>
      </w:r>
    </w:p>
    <w:p w14:paraId="32E220F6" w14:textId="77777777" w:rsidR="006D1FE2" w:rsidRPr="00483F7D" w:rsidRDefault="006D1FE2" w:rsidP="00573206">
      <w:pPr>
        <w:pStyle w:val="ManualNumPar10"/>
      </w:pPr>
      <w:r w:rsidRPr="00483F7D">
        <w:t xml:space="preserve">2. </w:t>
      </w:r>
      <w:r w:rsidRPr="00483F7D">
        <w:tab/>
        <w:t>Ανατίθεται στην Επιτροπή η εξουσία να εκδίδει κατ’ εξουσιοδότηση πράξεις, σύμφωνα με το άρθρο 261, για τη συμπλήρωση και την τροποποίηση του παρόντος κανονισμού με τον καθορισμό των στοιχείων που παρέχονται ή καθίστανται διαθέσιμα στις τελωνειακές αρχές για την υπαγωγή εμπορευμάτων σε ειδικά καθεστώτα.</w:t>
      </w:r>
    </w:p>
    <w:p w14:paraId="28175629" w14:textId="77777777" w:rsidR="00E0244C" w:rsidRPr="00483F7D" w:rsidRDefault="007A1FD7">
      <w:pPr>
        <w:pStyle w:val="Titrearticle"/>
      </w:pPr>
      <w:bookmarkStart w:id="107" w:name="__akn_article_Lt0uL8"/>
      <w:bookmarkStart w:id="108" w:name="_Hlk132360332"/>
      <w:bookmarkEnd w:id="107"/>
      <w:r w:rsidRPr="00483F7D">
        <w:t>Άρθρο 102</w:t>
      </w:r>
    </w:p>
    <w:p w14:paraId="22511FBD" w14:textId="77777777" w:rsidR="00E0244C" w:rsidRPr="00483F7D" w:rsidRDefault="007A1FD7">
      <w:pPr>
        <w:pStyle w:val="NormalCentered"/>
      </w:pPr>
      <w:r w:rsidRPr="00483F7D">
        <w:rPr>
          <w:b/>
        </w:rPr>
        <w:t>Άδεια</w:t>
      </w:r>
    </w:p>
    <w:p w14:paraId="1D3B5C05" w14:textId="77777777" w:rsidR="00E0244C" w:rsidRPr="00483F7D" w:rsidRDefault="007A1FD7">
      <w:pPr>
        <w:pStyle w:val="ManualNumPar10"/>
      </w:pPr>
      <w:r w:rsidRPr="00483F7D">
        <w:t>1.</w:t>
      </w:r>
      <w:r w:rsidRPr="00483F7D">
        <w:tab/>
        <w:t>Οι εισαγωγείς ή εξαγωγείς που προτίθενται να υπάγουν εμπορεύματα σε ειδικό τελωνειακό καθεστώς διαθέτουν άδεια από τις τελωνειακές αρχές για τα ακόλουθα:</w:t>
      </w:r>
    </w:p>
    <w:p w14:paraId="0945F4CD" w14:textId="26262E9C" w:rsidR="00C140B9" w:rsidRPr="00483F7D" w:rsidRDefault="00BC60FC" w:rsidP="00BC60FC">
      <w:pPr>
        <w:pStyle w:val="Point1"/>
      </w:pPr>
      <w:r w:rsidRPr="00483F7D">
        <w:t>α)</w:t>
      </w:r>
      <w:r w:rsidRPr="00483F7D">
        <w:tab/>
      </w:r>
      <w:r w:rsidR="007A1FD7" w:rsidRPr="00483F7D">
        <w:t>τη χρήση καθεστώτος τελειοποίησης προς επανεξαγωγή ή τελειοποίησης προς επανεισαγωγή, προσωρινής εισαγωγής ή ειδικού προορισμού·</w:t>
      </w:r>
    </w:p>
    <w:p w14:paraId="5BCD0CCD" w14:textId="6805039E" w:rsidR="00E0244C" w:rsidRPr="00483F7D" w:rsidRDefault="00BC60FC" w:rsidP="00BC60FC">
      <w:pPr>
        <w:pStyle w:val="Point1"/>
      </w:pPr>
      <w:r w:rsidRPr="00483F7D">
        <w:t>β)</w:t>
      </w:r>
      <w:r w:rsidRPr="00483F7D">
        <w:tab/>
      </w:r>
      <w:r w:rsidR="007A1FD7" w:rsidRPr="00483F7D">
        <w:t>τη λειτουργία εγκαταστάσεων αποθήκευσης που προορίζονται για την τελωνειακή αποταμίευση εμπορευμάτων, εκτός από τις περιπτώσεις όπου διαχειρίστρια της εγκατάστασης αποθήκευσης είναι η ίδια η τελωνειακή αρχή.</w:t>
      </w:r>
    </w:p>
    <w:p w14:paraId="6470F461" w14:textId="77777777" w:rsidR="00E0244C" w:rsidRPr="00483F7D" w:rsidRDefault="007A1FD7" w:rsidP="004F6055">
      <w:pPr>
        <w:pStyle w:val="ManualNumPar10"/>
        <w:ind w:firstLine="0"/>
      </w:pPr>
      <w:r w:rsidRPr="00483F7D">
        <w:t>Η άδεια καθορίζει τους όρους χρήσης των εν λόγω καθεστώτων ή λειτουργίας των εν λόγω εγκαταστάσεων αποθήκευσης.</w:t>
      </w:r>
    </w:p>
    <w:p w14:paraId="5C5C1A42" w14:textId="77777777" w:rsidR="00E0244C" w:rsidRPr="00483F7D" w:rsidRDefault="007A1FD7">
      <w:pPr>
        <w:pStyle w:val="ManualNumPar10"/>
      </w:pPr>
      <w:r w:rsidRPr="00483F7D">
        <w:t>2.</w:t>
      </w:r>
      <w:r w:rsidRPr="00483F7D">
        <w:tab/>
        <w:t>Εκτός αν ορίζεται άλλως, οι τελωνειακές αρχές χορηγούν την άδεια που αναφέρεται στην παράγραφο 1 μόνον όταν πληρούνται όλοι οι ακόλουθοι όροι:</w:t>
      </w:r>
    </w:p>
    <w:p w14:paraId="54683AD4" w14:textId="3A2513DF" w:rsidR="00C140B9" w:rsidRPr="00483F7D" w:rsidRDefault="00BC60FC" w:rsidP="00BC60FC">
      <w:pPr>
        <w:pStyle w:val="Point1"/>
      </w:pPr>
      <w:r w:rsidRPr="00483F7D">
        <w:t>α)</w:t>
      </w:r>
      <w:r w:rsidRPr="00483F7D">
        <w:tab/>
      </w:r>
      <w:r w:rsidR="007A1FD7" w:rsidRPr="00483F7D">
        <w:t>ο δικαιούχος της άδειας είναι εγκατεστημένος στο τελωνειακό έδαφος της Ένωσης, εκτός αν προβλέπεται διαφορετικά για προσωρινή εισαγωγή ή, σε εξαιρετικές περιπτώσεις, για καθεστώς ειδικού προορισμού ή τελειοποίησης προς επανεξαγωγή·</w:t>
      </w:r>
      <w:bookmarkEnd w:id="108"/>
    </w:p>
    <w:p w14:paraId="3DA5C396" w14:textId="5AC31C2B" w:rsidR="00C140B9" w:rsidRPr="00483F7D" w:rsidRDefault="00BC60FC" w:rsidP="00BC60FC">
      <w:pPr>
        <w:pStyle w:val="Point1"/>
      </w:pPr>
      <w:r w:rsidRPr="00483F7D">
        <w:t>β)</w:t>
      </w:r>
      <w:r w:rsidRPr="00483F7D">
        <w:tab/>
      </w:r>
      <w:r w:rsidR="007A1FD7" w:rsidRPr="00483F7D">
        <w:t xml:space="preserve">ο δικαιούχος της άδειας παρέχει τα αναγκαία εχέγγυα για την ορθή διεξαγωγή των πράξεων· ένας αξιόπιστος και ελεγμένος συναλλασσόμενος θεωρείται ότι πληροί τον παρόντα όρο, εφόσον η δραστηριότητα που αφορά το οικείο ειδικό καθεστώς λαμβάνεται υπόψη στην άδεια που αναφέρεται στο άρθρο </w:t>
      </w:r>
      <w:hyperlink w:anchor="_bill__akn_article_s1DBwy" w:tooltip="Article 25: 25">
        <w:r w:rsidR="007A1FD7" w:rsidRPr="00483F7D">
          <w:rPr>
            <w:rStyle w:val="Hyperlink"/>
          </w:rPr>
          <w:t>25</w:t>
        </w:r>
      </w:hyperlink>
      <w:r w:rsidR="007A1FD7" w:rsidRPr="00483F7D">
        <w:t>·</w:t>
      </w:r>
    </w:p>
    <w:p w14:paraId="1B4D32E7" w14:textId="0FA08C3F" w:rsidR="00C140B9" w:rsidRPr="00483F7D" w:rsidRDefault="00BC60FC" w:rsidP="00BC60FC">
      <w:pPr>
        <w:pStyle w:val="Point1"/>
      </w:pPr>
      <w:r w:rsidRPr="00483F7D">
        <w:t>γ)</w:t>
      </w:r>
      <w:r w:rsidRPr="00483F7D">
        <w:tab/>
      </w:r>
      <w:r w:rsidR="007A1FD7" w:rsidRPr="00483F7D">
        <w:t>οι τελωνειακές αρχές έκριναν αναγκαίο ότι, όταν ο δικαιούχος της άδειας δεν είναι αξιόπιστος και ελεγμένος συναλλασσόμενος, παρέχεται εγγύηση για την ενδεχόμενη τελωνειακή οφειλή ή τις λοιπές επιβαρύνσεις που σχετίζονται με τα εμπορεύματα τα οποία υπάγονται στο ειδικό καθεστώς·</w:t>
      </w:r>
    </w:p>
    <w:p w14:paraId="7BA6807C" w14:textId="3122D040" w:rsidR="00C140B9" w:rsidRPr="00483F7D" w:rsidRDefault="00BC60FC" w:rsidP="00BC60FC">
      <w:pPr>
        <w:pStyle w:val="Point1"/>
      </w:pPr>
      <w:r w:rsidRPr="00483F7D">
        <w:t>δ)</w:t>
      </w:r>
      <w:r w:rsidRPr="00483F7D">
        <w:tab/>
      </w:r>
      <w:r w:rsidR="007A1FD7" w:rsidRPr="00483F7D">
        <w:t>οι τελωνειακές αρχές μπορούν να ασκήσουν τελωνειακή επιτήρηση χωρίς να χρειαστεί να θεσπίσουν διοικητικές ρυθμίσεις δυσανάλογες προς τις σχετικές οικονομικές ανάγκες·</w:t>
      </w:r>
    </w:p>
    <w:p w14:paraId="3D9C1A92" w14:textId="792C5669" w:rsidR="00C140B9" w:rsidRPr="00483F7D" w:rsidRDefault="00BC60FC" w:rsidP="00BC60FC">
      <w:pPr>
        <w:pStyle w:val="Point1"/>
      </w:pPr>
      <w:r w:rsidRPr="00483F7D">
        <w:t>ε)</w:t>
      </w:r>
      <w:r w:rsidRPr="00483F7D">
        <w:tab/>
      </w:r>
      <w:r w:rsidR="007A1FD7" w:rsidRPr="00483F7D">
        <w:t>αν η άδεια αφορά προσωρινή εισαγωγή, ο δικαιούχος της άδειας χρησιμοποιεί τα εμπορεύματα ή μεριμνά για τη χρήση τους·</w:t>
      </w:r>
    </w:p>
    <w:p w14:paraId="28B420E4" w14:textId="76A47A03" w:rsidR="00C140B9" w:rsidRPr="00483F7D" w:rsidRDefault="00BC60FC" w:rsidP="00BC60FC">
      <w:pPr>
        <w:pStyle w:val="Point1"/>
      </w:pPr>
      <w:r w:rsidRPr="00483F7D">
        <w:t>στ)</w:t>
      </w:r>
      <w:r w:rsidRPr="00483F7D">
        <w:tab/>
      </w:r>
      <w:r w:rsidR="007A1FD7" w:rsidRPr="00483F7D">
        <w:t xml:space="preserve">αν η άδεια αφορά το καθεστώς τελειοποίησης, ο δικαιούχος της άδειας διενεργεί εργασίες τελειοποίησης επί των εμπορευμάτων ή μεριμνά για τη διενέργειά τους· </w:t>
      </w:r>
    </w:p>
    <w:p w14:paraId="215E9A1B" w14:textId="5661BE98" w:rsidR="00E0244C" w:rsidRPr="00483F7D" w:rsidRDefault="00BC60FC" w:rsidP="00BC60FC">
      <w:pPr>
        <w:pStyle w:val="Point1"/>
      </w:pPr>
      <w:r w:rsidRPr="00483F7D">
        <w:t>ζ)</w:t>
      </w:r>
      <w:r w:rsidRPr="00483F7D">
        <w:tab/>
      </w:r>
      <w:r w:rsidR="007A1FD7" w:rsidRPr="00483F7D">
        <w:t>δεν επηρεάζονται αρνητικά τα ουσιώδη συμφέροντα των ενωσιακών παραγωγών από την άδεια υπαγωγής σε καθεστώς τελειοποίησης (στο εξής: εξέταση των οικονομικών όρων).</w:t>
      </w:r>
    </w:p>
    <w:p w14:paraId="454AB807" w14:textId="77777777" w:rsidR="00E0244C" w:rsidRPr="00483F7D" w:rsidRDefault="007A1FD7">
      <w:pPr>
        <w:pStyle w:val="ManualNumPar10"/>
      </w:pPr>
      <w:r w:rsidRPr="00483F7D">
        <w:t>3.</w:t>
      </w:r>
      <w:r w:rsidRPr="00483F7D">
        <w:tab/>
        <w:t>Εκτός αν δικαιολογείται διαφορετικά από τον οικονομικό χαρακτήρα της τελειοποίησης, προκειμένου να εκτιμηθεί αν η χορήγηση άδειας για καθεστώς τελειοποίησης προς επανεξαγωγή επηρεάζει αρνητικά τα ουσιώδη συμφέροντα των ενωσιακών παραγωγών, οι τελωνειακές αρχές που χορηγούν την άδεια, πριν εκδώσουν την απόφασή τους σχετικά με την άδεια, ζητούν τη γνώμη της Τελωνειακής Αρχής της ΕΕ αν:</w:t>
      </w:r>
    </w:p>
    <w:p w14:paraId="5E82C38D" w14:textId="2BCAB6B2" w:rsidR="00C140B9" w:rsidRPr="00483F7D" w:rsidRDefault="00BC60FC" w:rsidP="00BC60FC">
      <w:pPr>
        <w:pStyle w:val="Point1"/>
      </w:pPr>
      <w:r w:rsidRPr="00483F7D">
        <w:t>α)</w:t>
      </w:r>
      <w:r w:rsidRPr="00483F7D">
        <w:tab/>
      </w:r>
      <w:r w:rsidR="007A1FD7" w:rsidRPr="00483F7D">
        <w:t xml:space="preserve">ο εισαγωγικός δασμός που επιβάλλεται κατά τη θέση σε ελεύθερη κυκλοφορία των μεταποιημένων προϊόντων καθορίζεται με βάση τη δασμολογική κατάταξη, τη δασμολογητέα αξία, την ποσότητα, τη φύση και την καταγωγή των εμπορευμάτων που έχουν υπαχθεί στο καθεστώς τελειοποίησης προς επανεξαγωγή σύμφωνα με το άρθρο 168 παράγραφοι </w:t>
      </w:r>
      <w:hyperlink w:anchor="__akn_article_EHApSv_tzWb7c" w:tooltip="Article 168(3) and (4): (3)">
        <w:r w:rsidR="007A1FD7" w:rsidRPr="00483F7D">
          <w:rPr>
            <w:rStyle w:val="Hyperlink"/>
          </w:rPr>
          <w:t>3</w:t>
        </w:r>
      </w:hyperlink>
      <w:r w:rsidR="007A1FD7" w:rsidRPr="00483F7D">
        <w:t xml:space="preserve"> και </w:t>
      </w:r>
      <w:hyperlink w:anchor="__akn_article_EHApSv_qqQeu1" w:tooltip="Article 168(3) and (4): (4)">
        <w:r w:rsidR="007A1FD7" w:rsidRPr="00483F7D">
          <w:rPr>
            <w:rStyle w:val="Hyperlink"/>
          </w:rPr>
          <w:t>4</w:t>
        </w:r>
      </w:hyperlink>
      <w:r w:rsidR="007A1FD7" w:rsidRPr="00483F7D">
        <w:t>· και</w:t>
      </w:r>
    </w:p>
    <w:p w14:paraId="5994DE59" w14:textId="6427D828" w:rsidR="00E0244C" w:rsidRPr="00483F7D" w:rsidRDefault="00BC60FC" w:rsidP="00BC60FC">
      <w:pPr>
        <w:pStyle w:val="Point1"/>
      </w:pPr>
      <w:r w:rsidRPr="00483F7D">
        <w:t>β)</w:t>
      </w:r>
      <w:r w:rsidRPr="00483F7D">
        <w:tab/>
      </w:r>
      <w:r w:rsidR="007A1FD7" w:rsidRPr="00483F7D">
        <w:t xml:space="preserve">υπάρχουν αποδείξεις ότι ενδέχεται να επηρεαστούν αρνητικά τα ουσιώδη συμφέροντα των ενωσιακών παραγωγών. Τέτοιες αποδείξεις θεωρείται ότι υπάρχουν όταν τα εμπορεύματα που πρόκειται να υπαχθούν σε καθεστώς τελειοποίησης προς επανεξαγωγή θα είχαν αποτελέσει αντικείμενο μέτρου γεωργικής πολιτικής, προσωρινού ή οριστικού δασμού αντιντάμπινγκ, αντισταθμιστικού δασμού, μέτρου διασφάλισης ή πρόσθετου δασμού που προκύπτει από την αναστολή παραχωρήσεων, αν τέθηκαν σε ελεύθερη κυκλοφορία. </w:t>
      </w:r>
    </w:p>
    <w:p w14:paraId="3F22EC46" w14:textId="77777777" w:rsidR="00E0244C" w:rsidRPr="00483F7D" w:rsidRDefault="007A1FD7">
      <w:pPr>
        <w:pStyle w:val="ManualNumPar10"/>
      </w:pPr>
      <w:r w:rsidRPr="00483F7D">
        <w:t>4.</w:t>
      </w:r>
      <w:r w:rsidRPr="00483F7D">
        <w:tab/>
        <w:t>Προκειμένου να αξιολογήσουν αν η χορήγηση άδειας για καθεστώς τελειοποίησης προς επανεισαγωγή επηρεάζει αρνητικά τα ουσιώδη συμφέροντα των ενωσιακών παραγωγών, οι τελωνειακές αρχές, πριν εκδώσουν την απόφασή τους σχετικά με την άδεια, ζητούν τη γνώμη της Τελωνειακής Αρχής της ΕΕ, όταν υπάρχουν στοιχεία που αποδεικνύουν ότι τα ουσιώδη συμφέροντα των ενωσιακών παραγωγών εμπορευμάτων που θεωρούνται ευαίσθητα ενδέχεται να επηρεαστούν αρνητικά και τα εμπορεύματα δεν προορίζονται για επισκευή.</w:t>
      </w:r>
    </w:p>
    <w:p w14:paraId="39CF2181" w14:textId="77777777" w:rsidR="00E0244C" w:rsidRPr="00483F7D" w:rsidRDefault="007A1FD7">
      <w:pPr>
        <w:pStyle w:val="ManualNumPar10"/>
      </w:pPr>
      <w:r w:rsidRPr="00483F7D">
        <w:t>5.</w:t>
      </w:r>
      <w:r w:rsidRPr="00483F7D">
        <w:tab/>
        <w:t>Όταν ζητείται σύμφωνα με τις παραγράφους 3 και 4, η Τελωνειακή Αρχή της ΕΕ μπορεί να καταλήξει σε μία από τις ακόλουθες γνώμες:</w:t>
      </w:r>
    </w:p>
    <w:p w14:paraId="5A45372A" w14:textId="34C8778A" w:rsidR="00C140B9" w:rsidRPr="00483F7D" w:rsidRDefault="00BC60FC" w:rsidP="00BC60FC">
      <w:pPr>
        <w:pStyle w:val="Point1"/>
      </w:pPr>
      <w:r w:rsidRPr="00483F7D">
        <w:t>α)</w:t>
      </w:r>
      <w:r w:rsidRPr="00483F7D">
        <w:tab/>
      </w:r>
      <w:r w:rsidR="007A1FD7" w:rsidRPr="00483F7D">
        <w:t>η χορήγηση της άδειας δεν επηρεάζει αρνητικά τα ουσιώδη συμφέροντα των ενωσιακών παραγωγών·</w:t>
      </w:r>
    </w:p>
    <w:p w14:paraId="2C623647" w14:textId="124B078D" w:rsidR="00C140B9" w:rsidRPr="00483F7D" w:rsidRDefault="00BC60FC" w:rsidP="00BC60FC">
      <w:pPr>
        <w:pStyle w:val="Point1"/>
      </w:pPr>
      <w:r w:rsidRPr="00483F7D">
        <w:t>β)</w:t>
      </w:r>
      <w:r w:rsidRPr="00483F7D">
        <w:tab/>
      </w:r>
      <w:r w:rsidR="007A1FD7" w:rsidRPr="00483F7D">
        <w:t>η χορήγηση της άδειας επηρεάζει αρνητικά τα ουσιώδη συμφέροντα των ενωσιακών παραγωγών·</w:t>
      </w:r>
    </w:p>
    <w:p w14:paraId="4EC90A79" w14:textId="1A4F9B02" w:rsidR="00E0244C" w:rsidRPr="00483F7D" w:rsidRDefault="00BC60FC" w:rsidP="00BC60FC">
      <w:pPr>
        <w:pStyle w:val="Point1"/>
      </w:pPr>
      <w:r w:rsidRPr="00483F7D">
        <w:t>γ)</w:t>
      </w:r>
      <w:r w:rsidRPr="00483F7D">
        <w:tab/>
      </w:r>
      <w:r w:rsidR="007A1FD7" w:rsidRPr="00483F7D">
        <w:t xml:space="preserve">η χορήγηση άδειας για δεόντως τεκμηριωμένη και παρακολουθούμενη ποσότητα εμπορευμάτων που ορίζεται στη γνώμη δεν επηρεάζει αρνητικά τα ουσιώδη συμφέροντα των ενωσιακών παραγωγών. </w:t>
      </w:r>
    </w:p>
    <w:p w14:paraId="11A3A524" w14:textId="77777777" w:rsidR="004D7F2B" w:rsidRPr="00483F7D" w:rsidRDefault="00234D6B" w:rsidP="00A51C23">
      <w:pPr>
        <w:pStyle w:val="ManualNumPar10"/>
        <w:ind w:firstLine="0"/>
      </w:pPr>
      <w:r w:rsidRPr="00483F7D">
        <w:t>Η γνώμη της Τελωνειακής Αρχής της ΕΕ λαμβάνεται υπόψη από τις τελωνειακές αρχές που χορηγούν τις άδειες, καθώς και από κάθε άλλη τελωνειακή αρχή που χειρίζεται παρόμοιες άδειες. Οι τελωνειακές αρχές που χορηγούν την άδεια μπορούν να αγνοήσουν τη γνώμη που εξέδωσε η Τελωνειακή Αρχή της ΕΕ, υπό τον όρο ότι αιτιολογούν τη σχετική απόφασή τους.</w:t>
      </w:r>
    </w:p>
    <w:p w14:paraId="4E03201B" w14:textId="77777777" w:rsidR="00E0244C" w:rsidRPr="00483F7D" w:rsidRDefault="007A1FD7" w:rsidP="004F6055">
      <w:pPr>
        <w:pStyle w:val="ManualNumPar10"/>
      </w:pPr>
      <w:r w:rsidRPr="00483F7D">
        <w:t>6.</w:t>
      </w:r>
      <w:r w:rsidRPr="00483F7D">
        <w:tab/>
        <w:t>Οι τελωνειακές αρχές που χορηγούν την άδεια παρέχουν ή καθιστούν διαθέσιμες τις άδειες στον τελωνειακό κόμβο δεδομένων της ΕΕ. Όταν οι άδειες για ειδικά καθεστώτα περιέχουν εμπορικά ευαίσθητες πληροφορίες, η πρόσβαση στα στοιχεία τους περιορίζεται.</w:t>
      </w:r>
    </w:p>
    <w:p w14:paraId="68F39754" w14:textId="77777777" w:rsidR="00E0244C" w:rsidRPr="00483F7D" w:rsidRDefault="007A1FD7">
      <w:pPr>
        <w:pStyle w:val="ManualNumPar10"/>
      </w:pPr>
      <w:r w:rsidRPr="00483F7D">
        <w:t>7.</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σκοπό τον καθορισμό:</w:t>
      </w:r>
    </w:p>
    <w:p w14:paraId="64016474" w14:textId="1872D434" w:rsidR="00C140B9" w:rsidRPr="00483F7D" w:rsidRDefault="00BC60FC" w:rsidP="00BC60FC">
      <w:pPr>
        <w:pStyle w:val="Point1"/>
      </w:pPr>
      <w:r w:rsidRPr="00483F7D">
        <w:t>α)</w:t>
      </w:r>
      <w:r w:rsidRPr="00483F7D">
        <w:tab/>
      </w:r>
      <w:r w:rsidR="007A1FD7" w:rsidRPr="00483F7D">
        <w:t>των εξαιρέσεων από τους όρους που αναφέρονται στην παράγραφο 2·</w:t>
      </w:r>
    </w:p>
    <w:p w14:paraId="2477A869" w14:textId="7708182A" w:rsidR="00C140B9" w:rsidRPr="00483F7D" w:rsidRDefault="00BC60FC" w:rsidP="00BC60FC">
      <w:pPr>
        <w:pStyle w:val="Point1"/>
      </w:pPr>
      <w:r w:rsidRPr="00483F7D">
        <w:t>β)</w:t>
      </w:r>
      <w:r w:rsidRPr="00483F7D">
        <w:tab/>
      </w:r>
      <w:r w:rsidR="007A1FD7" w:rsidRPr="00483F7D">
        <w:t>των περιπτώσεων που αναφέρονται στην παράγραφο 3 στις οποίες ο οικονομικός χαρακτήρας της τελειοποίησης αιτιολογεί την αξιολόγηση από τις τελωνειακές αρχές του κατά πόσον η χορήγηση άδειας για καθεστώς τελειοποίησης προς επανεξαγωγή επηρεάζει αρνητικά τα ουσιώδη συμφέροντα των ενωσιακών παραγωγών χωρίς τη γνώμη της Τελωνειακής Αρχής της ΕΕ·</w:t>
      </w:r>
    </w:p>
    <w:p w14:paraId="1D8477B3" w14:textId="7FBF3FB9" w:rsidR="00E0244C" w:rsidRPr="00483F7D" w:rsidRDefault="00BC60FC" w:rsidP="00BC60FC">
      <w:pPr>
        <w:pStyle w:val="Point1"/>
      </w:pPr>
      <w:r w:rsidRPr="00483F7D">
        <w:t>γ)</w:t>
      </w:r>
      <w:r w:rsidRPr="00483F7D">
        <w:tab/>
      </w:r>
      <w:r w:rsidR="007A1FD7" w:rsidRPr="00483F7D">
        <w:t>του καταλόγου των εμπορευμάτων που θεωρούνται ευαίσθητα και αναφέρονται στην παράγραφο 4.</w:t>
      </w:r>
    </w:p>
    <w:p w14:paraId="7DF0C04D" w14:textId="77777777" w:rsidR="00190BAB" w:rsidRPr="00483F7D" w:rsidRDefault="007A1FD7" w:rsidP="5DA9B26A">
      <w:pPr>
        <w:pStyle w:val="ManualNumPar10"/>
      </w:pPr>
      <w:r w:rsidRPr="00483F7D">
        <w:t>8.</w:t>
      </w:r>
      <w:r w:rsidRPr="00483F7D">
        <w:tab/>
        <w:t>Η Επιτροπή ορίζει, με εκτελεστικές πράξεις:</w:t>
      </w:r>
    </w:p>
    <w:p w14:paraId="180E459B" w14:textId="3BA1D224" w:rsidR="00190BAB" w:rsidRPr="00483F7D" w:rsidRDefault="00BC60FC" w:rsidP="00BC60FC">
      <w:pPr>
        <w:pStyle w:val="Point1"/>
      </w:pPr>
      <w:r w:rsidRPr="00483F7D">
        <w:t>α)</w:t>
      </w:r>
      <w:r w:rsidRPr="00483F7D">
        <w:tab/>
      </w:r>
      <w:r w:rsidR="00190BAB" w:rsidRPr="00483F7D">
        <w:t>τους διαδικαστικούς κανόνες για τη χορήγηση της άδειας σχετικά με τα καθεστώτα που αναφέρονται στην παράγραφο 1·</w:t>
      </w:r>
    </w:p>
    <w:p w14:paraId="76911A0E" w14:textId="5366EC79" w:rsidR="00190BAB" w:rsidRPr="00483F7D" w:rsidRDefault="00BC60FC" w:rsidP="00BC60FC">
      <w:pPr>
        <w:pStyle w:val="Point1"/>
      </w:pPr>
      <w:r w:rsidRPr="00483F7D">
        <w:t>β)</w:t>
      </w:r>
      <w:r w:rsidRPr="00483F7D">
        <w:tab/>
      </w:r>
      <w:r w:rsidR="00190BAB" w:rsidRPr="00483F7D">
        <w:t>τους διαδικαστικούς κανόνες για την παροχή της γνώμης της Τελωνειακής Αρχής της ΕΕ· και</w:t>
      </w:r>
    </w:p>
    <w:p w14:paraId="37A1879E" w14:textId="38BCA75B" w:rsidR="00190BAB" w:rsidRPr="00483F7D" w:rsidRDefault="00BC60FC" w:rsidP="00BC60FC">
      <w:pPr>
        <w:pStyle w:val="Point1"/>
      </w:pPr>
      <w:r w:rsidRPr="00483F7D">
        <w:t>γ)</w:t>
      </w:r>
      <w:r w:rsidRPr="00483F7D">
        <w:tab/>
      </w:r>
      <w:r w:rsidR="00190BAB" w:rsidRPr="00483F7D">
        <w:t>την ποσότητα και τους κανόνες για την παρακολούθηση του ορίου, που αναφέρονται στην παράγραφο 5.</w:t>
      </w:r>
    </w:p>
    <w:p w14:paraId="4ADC8E0B" w14:textId="77777777" w:rsidR="00190BAB" w:rsidRPr="00483F7D" w:rsidRDefault="00190BAB" w:rsidP="00190BAB">
      <w:pPr>
        <w:pStyle w:val="ManualNumPar10"/>
        <w:ind w:firstLine="0"/>
        <w:rPr>
          <w:rStyle w:val="Hyperlink"/>
        </w:rPr>
      </w:pPr>
      <w:r w:rsidRPr="00483F7D">
        <w:t xml:space="preserve">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 xml:space="preserve">. </w:t>
      </w:r>
    </w:p>
    <w:p w14:paraId="0A420714" w14:textId="77777777" w:rsidR="00E0244C" w:rsidRPr="00483F7D" w:rsidRDefault="007A1FD7">
      <w:pPr>
        <w:pStyle w:val="ManualNumPar10"/>
      </w:pPr>
      <w:r w:rsidRPr="00483F7D">
        <w:t>9.</w:t>
      </w:r>
      <w:r w:rsidRPr="00483F7D">
        <w:tab/>
        <w:t xml:space="preserve">Έως την ημερομηνία που ορίζεται στο άρθρο 265 παράγραφος </w:t>
      </w:r>
      <w:hyperlink w:anchor="_bill__akn_article_BG6Seo_qx0egR" w:tooltip="Article 261(2): (2)">
        <w:r w:rsidRPr="00483F7D">
          <w:rPr>
            <w:rStyle w:val="Hyperlink"/>
          </w:rPr>
          <w:t>1</w:t>
        </w:r>
      </w:hyperlink>
      <w:r w:rsidRPr="00483F7D">
        <w:t xml:space="preserve">, πραγματοποιείται εξέταση των οικονομικών όρων που αναφέρονται στην παράγραφο 2 στοιχείο στ) σε ενωσιακό επίπεδο υπό την αιγίδα της Επιτροπής. Έως την εν λόγω ημερομηνία, όταν γίνεται αναφορά στη γνώμη της Τελωνειακής Αρχής της ΕΕ δυνάμει του παρόντος κεφαλαίου, νοείται η αναφορά στην εξέταση σε ενωσιακό επίπεδο, όπως προβλέπεται στην παράγραφο 5 του παρόντος άρθρου. </w:t>
      </w:r>
    </w:p>
    <w:p w14:paraId="22163DE5" w14:textId="77777777" w:rsidR="00E0244C" w:rsidRPr="00483F7D" w:rsidRDefault="007A1FD7">
      <w:pPr>
        <w:pStyle w:val="Titrearticle"/>
      </w:pPr>
      <w:bookmarkStart w:id="109" w:name="__akn_article_OEeCKA"/>
      <w:bookmarkEnd w:id="109"/>
      <w:r w:rsidRPr="00483F7D">
        <w:t>Άρθρο 103</w:t>
      </w:r>
    </w:p>
    <w:p w14:paraId="4A513370" w14:textId="77777777" w:rsidR="00E0244C" w:rsidRPr="00483F7D" w:rsidRDefault="007A1FD7">
      <w:pPr>
        <w:pStyle w:val="NormalCentered"/>
      </w:pPr>
      <w:r w:rsidRPr="00483F7D">
        <w:rPr>
          <w:b/>
        </w:rPr>
        <w:t>Άδειες με αναδρομική ισχύ</w:t>
      </w:r>
    </w:p>
    <w:p w14:paraId="282F20D6" w14:textId="77777777" w:rsidR="00E0244C" w:rsidRPr="00483F7D" w:rsidRDefault="007A1FD7">
      <w:pPr>
        <w:pStyle w:val="ManualNumPar10"/>
      </w:pPr>
      <w:r w:rsidRPr="00483F7D">
        <w:t>1.</w:t>
      </w:r>
      <w:r w:rsidRPr="00483F7D">
        <w:tab/>
        <w:t>Οι τελωνειακές αρχές χορηγούν άδεια με αναδρομική ισχύ, εφόσον πληρούνται όλοι οι ακόλουθοι όροι:</w:t>
      </w:r>
    </w:p>
    <w:p w14:paraId="330B80B8" w14:textId="3B74D80A" w:rsidR="00C140B9" w:rsidRPr="00483F7D" w:rsidRDefault="00BC60FC" w:rsidP="00BC60FC">
      <w:pPr>
        <w:pStyle w:val="Point1"/>
      </w:pPr>
      <w:r w:rsidRPr="00483F7D">
        <w:t>α)</w:t>
      </w:r>
      <w:r w:rsidRPr="00483F7D">
        <w:tab/>
      </w:r>
      <w:r w:rsidR="007A1FD7" w:rsidRPr="00483F7D">
        <w:t>υφίσταται αποδεδειγμένη οικονομική ανάγκη·</w:t>
      </w:r>
    </w:p>
    <w:p w14:paraId="5B55D78D" w14:textId="0BCD65D4" w:rsidR="00C140B9" w:rsidRPr="00483F7D" w:rsidRDefault="00BC60FC" w:rsidP="00BC60FC">
      <w:pPr>
        <w:pStyle w:val="Point1"/>
      </w:pPr>
      <w:r w:rsidRPr="00483F7D">
        <w:t>β)</w:t>
      </w:r>
      <w:r w:rsidRPr="00483F7D">
        <w:tab/>
      </w:r>
      <w:r w:rsidR="007A1FD7" w:rsidRPr="00483F7D">
        <w:t>η αίτηση δεν συνδέεται με απόπειρα παραπλάνησης·</w:t>
      </w:r>
    </w:p>
    <w:p w14:paraId="073B2BB8" w14:textId="5417D212" w:rsidR="00E0244C" w:rsidRPr="00483F7D" w:rsidRDefault="00BC60FC" w:rsidP="00BC60FC">
      <w:pPr>
        <w:pStyle w:val="Point1"/>
      </w:pPr>
      <w:r w:rsidRPr="00483F7D">
        <w:t>γ)</w:t>
      </w:r>
      <w:r w:rsidRPr="00483F7D">
        <w:tab/>
      </w:r>
      <w:r w:rsidR="007A1FD7" w:rsidRPr="00483F7D">
        <w:t>ο αιτών έχει αποδείξει βάσει λογιστικών στοιχείων ή λογιστικών καταχωρίσεων ότι:</w:t>
      </w:r>
    </w:p>
    <w:p w14:paraId="0408F01D" w14:textId="507573CF" w:rsidR="00E0244C" w:rsidRPr="00483F7D" w:rsidRDefault="00483C4C" w:rsidP="00483C4C">
      <w:pPr>
        <w:pStyle w:val="Point2"/>
      </w:pPr>
      <w:r w:rsidRPr="00483F7D">
        <w:t>i)</w:t>
      </w:r>
      <w:r w:rsidRPr="00483F7D">
        <w:tab/>
        <w:t>πληρούνται όλες οι απαιτήσεις του καθεστώτος·</w:t>
      </w:r>
    </w:p>
    <w:p w14:paraId="65F039D6" w14:textId="2D8F8FC9" w:rsidR="00E0244C" w:rsidRPr="00483F7D" w:rsidRDefault="00483C4C" w:rsidP="00483C4C">
      <w:pPr>
        <w:pStyle w:val="Point2"/>
      </w:pPr>
      <w:r w:rsidRPr="00483F7D">
        <w:t>ii)</w:t>
      </w:r>
      <w:r w:rsidRPr="00483F7D">
        <w:tab/>
        <w:t>κατά περίπτωση, μπορεί να εξακριβωθεί η ταυτότητα των εμπορευμάτων για τη σχετική χρονική περίοδο·</w:t>
      </w:r>
    </w:p>
    <w:p w14:paraId="4BE7B483" w14:textId="4E73E220" w:rsidR="00E0244C" w:rsidRPr="00483F7D" w:rsidRDefault="00483C4C" w:rsidP="00483C4C">
      <w:pPr>
        <w:pStyle w:val="Point2"/>
      </w:pPr>
      <w:r w:rsidRPr="00483F7D">
        <w:t>iii)</w:t>
      </w:r>
      <w:r w:rsidRPr="00483F7D">
        <w:tab/>
        <w:t>τα εν λόγω λογιστικά στοιχεία ή λογιστικές καταχωρήσεις καθιστούν δυνατό τον έλεγχο του καθεστώτος·</w:t>
      </w:r>
    </w:p>
    <w:p w14:paraId="1304E367" w14:textId="48FF341B" w:rsidR="00E0244C" w:rsidRPr="00483F7D" w:rsidRDefault="00BC60FC" w:rsidP="00BC60FC">
      <w:pPr>
        <w:pStyle w:val="Point1"/>
      </w:pPr>
      <w:r w:rsidRPr="00483F7D">
        <w:t>δ)</w:t>
      </w:r>
      <w:r w:rsidRPr="00483F7D">
        <w:tab/>
      </w:r>
      <w:r w:rsidR="007A1FD7" w:rsidRPr="00483F7D">
        <w:t>είναι δυνατό να διεκπεραιωθούν όλες οι αναγκαίες διατυπώσεις για τη διευθέτηση της κατάστασης των εμπορευμάτων, συμπεριλαμβανομένης, όπου είναι αναγκαία, της ακύρωσης των σχετικών προηγούμενων καταχωρίσεων·</w:t>
      </w:r>
    </w:p>
    <w:p w14:paraId="3D94A9C7" w14:textId="6AC6FD1C" w:rsidR="00E0244C" w:rsidRPr="00483F7D" w:rsidRDefault="00BC60FC" w:rsidP="00BC60FC">
      <w:pPr>
        <w:pStyle w:val="Point1"/>
      </w:pPr>
      <w:r w:rsidRPr="00483F7D">
        <w:t>ε)</w:t>
      </w:r>
      <w:r w:rsidRPr="00483F7D">
        <w:tab/>
      </w:r>
      <w:r w:rsidR="007A1FD7" w:rsidRPr="00483F7D">
        <w:t>καμία άδεια με αναδρομική ισχύ δεν έχει χορηγηθεί στον αιτούντα εντός 3 ετών από την ημερομηνία αποδοχής της αίτησης·</w:t>
      </w:r>
    </w:p>
    <w:p w14:paraId="0B421C73" w14:textId="5C88485E" w:rsidR="00E0244C" w:rsidRPr="00483F7D" w:rsidRDefault="00BC60FC" w:rsidP="00BC60FC">
      <w:pPr>
        <w:pStyle w:val="Point1"/>
      </w:pPr>
      <w:r w:rsidRPr="00483F7D">
        <w:t>στ)</w:t>
      </w:r>
      <w:r w:rsidRPr="00483F7D">
        <w:tab/>
      </w:r>
      <w:r w:rsidR="007A1FD7" w:rsidRPr="00483F7D">
        <w:t>η γνώμη της Τελωνειακής Αρχής της ΕΕ δεν απαιτείται για να αξιολογηθεί αν η χορήγηση της άδειας θα επηρέαζε αρνητικά τα ουσιώδη συμφέροντα των ενωσιακών παραγωγών, εκτός αν η αίτηση αφορά την ανανέωση άδειας για το ίδιο είδος πράξεων και εμπορευμάτων·</w:t>
      </w:r>
    </w:p>
    <w:p w14:paraId="024A2380" w14:textId="142EE949" w:rsidR="00E0244C" w:rsidRPr="00483F7D" w:rsidRDefault="00BC60FC" w:rsidP="00BC60FC">
      <w:pPr>
        <w:pStyle w:val="Point1"/>
      </w:pPr>
      <w:r w:rsidRPr="00483F7D">
        <w:t>ζ)</w:t>
      </w:r>
      <w:r w:rsidRPr="00483F7D">
        <w:tab/>
      </w:r>
      <w:r w:rsidR="007A1FD7" w:rsidRPr="00483F7D">
        <w:t>η αίτηση δεν αφορά τη λειτουργία των εγκαταστάσεων αποθήκευσης για την τελωνειακή αποταμίευση των εμπορευμάτων·</w:t>
      </w:r>
    </w:p>
    <w:p w14:paraId="7140900E" w14:textId="0D8CD96B" w:rsidR="00E0244C" w:rsidRPr="00483F7D" w:rsidRDefault="00BC60FC" w:rsidP="00BC60FC">
      <w:pPr>
        <w:pStyle w:val="Point1"/>
      </w:pPr>
      <w:r w:rsidRPr="00483F7D">
        <w:t>η)</w:t>
      </w:r>
      <w:r w:rsidRPr="00483F7D">
        <w:tab/>
      </w:r>
      <w:r w:rsidR="007A1FD7" w:rsidRPr="00483F7D">
        <w:t>όταν η αίτηση αφορά την ανανέωση άδειας για το ίδιο είδος πράξεων και εμπορευμάτων, η αίτηση υποβάλλεται εντός 3 ετών μετά τη λήξη της αρχικής άδειας.</w:t>
      </w:r>
    </w:p>
    <w:p w14:paraId="54E36FE2" w14:textId="77777777" w:rsidR="00E0244C" w:rsidRPr="00483F7D" w:rsidRDefault="007A1FD7">
      <w:pPr>
        <w:pStyle w:val="ManualNumPar10"/>
      </w:pPr>
      <w:r w:rsidRPr="00483F7D">
        <w:t>2.</w:t>
      </w:r>
      <w:r w:rsidRPr="00483F7D">
        <w:tab/>
        <w:t>Οι τελωνειακές αρχές δύνανται να χορηγήσουν άδεια με αναδρομική ισχύ και στις περιπτώσεις που τα υπαγόμενα σε τελωνειακό καθεστώς εμπορεύματα δεν είναι πλέον διαθέσιμα κατά τον χρόνο αποδοχής της αίτησης για την εν λόγω άδεια.</w:t>
      </w:r>
    </w:p>
    <w:p w14:paraId="3448192E" w14:textId="77777777" w:rsidR="00E0244C" w:rsidRPr="00483F7D" w:rsidRDefault="007A1FD7">
      <w:pPr>
        <w:pStyle w:val="Titrearticle"/>
      </w:pPr>
      <w:r w:rsidRPr="00483F7D">
        <w:t>Άρθρο 104</w:t>
      </w:r>
    </w:p>
    <w:p w14:paraId="4CFAB8A6" w14:textId="77777777" w:rsidR="00E0244C" w:rsidRPr="00483F7D" w:rsidRDefault="007A1FD7">
      <w:pPr>
        <w:pStyle w:val="NormalCentered"/>
      </w:pPr>
      <w:r w:rsidRPr="00483F7D">
        <w:rPr>
          <w:b/>
        </w:rPr>
        <w:t>Λογιστικές καταχωρίσεις</w:t>
      </w:r>
    </w:p>
    <w:p w14:paraId="498AA852" w14:textId="77777777" w:rsidR="00E0244C" w:rsidRPr="00483F7D" w:rsidRDefault="007A1FD7">
      <w:pPr>
        <w:pStyle w:val="ManualNumPar10"/>
      </w:pPr>
      <w:r w:rsidRPr="00483F7D">
        <w:t>1.</w:t>
      </w:r>
      <w:r w:rsidRPr="00483F7D">
        <w:tab/>
        <w:t>Ο δικαιούχος της άδειας, ο εισαγωγέας ή εξαγωγέας και όλα τα πρόσωπα που ασκούν δραστηριότητα η οποία περιλαμβάνει την αποθήκευση, επεξεργασία ή μεταποίηση εμπορευμάτων, ή την αγορά ή πώληση εμπορευμάτων σε ελεύθερες ζώνες, τηρούν κατάλληλες λογιστικές καταχωρίσεις σε μορφή εγκεκριμένη από τις τελωνειακές αρχές και παρέχουν ή καθιστούν διαθέσιμες τις εν λόγω καταχωρίσεις στον τελωνειακό κόμβο δεδομένων της ΕΕ.</w:t>
      </w:r>
    </w:p>
    <w:p w14:paraId="676840D5" w14:textId="77777777" w:rsidR="00E0244C" w:rsidRPr="00483F7D" w:rsidRDefault="007A1FD7">
      <w:pPr>
        <w:pStyle w:val="Text1"/>
      </w:pPr>
      <w:r w:rsidRPr="00483F7D">
        <w:t>Οι εν λόγω καταχωρίσεις περιέχουν τις πληροφορίες και τα στοιχεία που παρέχουν στις τελωνειακές αρχές τη δυνατότητα να επιτηρούν το σχετικό καθεστώς, ιδίως όσον αφορά την εξακρίβωση της ταυτότητας των εμπορευμάτων που έχουν υπαχθεί στο εν λόγω καθεστώς, τον τελωνειακό τους χαρακτήρα και τις διακινήσεις τους.</w:t>
      </w:r>
    </w:p>
    <w:p w14:paraId="258C0C90" w14:textId="77777777" w:rsidR="00E0244C" w:rsidRPr="00483F7D" w:rsidRDefault="007A1FD7">
      <w:pPr>
        <w:pStyle w:val="ManualNumPar10"/>
      </w:pPr>
      <w:r w:rsidRPr="00483F7D">
        <w:t>2.</w:t>
      </w:r>
      <w:r w:rsidRPr="00483F7D">
        <w:tab/>
        <w:t>Ένας αξιόπιστος και ελεγμένος συναλλασσόμενος θεωρείται ότι συμμορφώνεται με την υποχρέωση της παραγράφου 1.</w:t>
      </w:r>
    </w:p>
    <w:p w14:paraId="08CABA58" w14:textId="77777777" w:rsidR="00E0244C" w:rsidRPr="00483F7D" w:rsidRDefault="007A1FD7">
      <w:pPr>
        <w:pStyle w:val="Titrearticle"/>
      </w:pPr>
      <w:bookmarkStart w:id="110" w:name="__akn_article_WnQV83"/>
      <w:bookmarkEnd w:id="110"/>
      <w:r w:rsidRPr="00483F7D">
        <w:t>Άρθρο 105</w:t>
      </w:r>
    </w:p>
    <w:p w14:paraId="645B8720" w14:textId="77777777" w:rsidR="00E0244C" w:rsidRPr="00483F7D" w:rsidRDefault="007A1FD7">
      <w:pPr>
        <w:pStyle w:val="NormalCentered"/>
      </w:pPr>
      <w:r w:rsidRPr="00483F7D">
        <w:rPr>
          <w:b/>
        </w:rPr>
        <w:t>Εκκαθάριση ειδικού καθεστώτος</w:t>
      </w:r>
    </w:p>
    <w:p w14:paraId="265BC991" w14:textId="77777777" w:rsidR="00E0244C" w:rsidRPr="00483F7D" w:rsidRDefault="007A1FD7">
      <w:pPr>
        <w:pStyle w:val="ManualNumPar10"/>
      </w:pPr>
      <w:r w:rsidRPr="00483F7D">
        <w:t>1.</w:t>
      </w:r>
      <w:r w:rsidRPr="00483F7D">
        <w:tab/>
        <w:t xml:space="preserve">Σε περιπτώσεις άλλες εκτός από το καθεστώς διαμετακόμισης και με την επιφύλαξη της τελωνειακής επιτήρησης σχετικά με ειδικό προορισμό που ορίζεται στο άρθρο </w:t>
      </w:r>
      <w:hyperlink w:anchor="__akn_article_B55LHZ" w:tooltip="Article 135: 135">
        <w:r w:rsidRPr="00483F7D">
          <w:rPr>
            <w:rStyle w:val="Hyperlink"/>
          </w:rPr>
          <w:t>135</w:t>
        </w:r>
      </w:hyperlink>
      <w:r w:rsidRPr="00483F7D">
        <w:t xml:space="preserve">, ένα ειδικό καθεστώς εκκαθαρίζεται όταν τα εμπορεύματα που έχουν υπαχθεί στο καθεστώς ή τα μεταποιημένα προϊόντα υπάγονται σε επόμενο τελωνειακό καθεστώς, έχουν μεταφερθεί εκτός του τελωνειακού εδάφους της Ένωσης, ή έχουν καταστραφεί χωρίς να αφήσουν απορρίμματα ή εγκαταλείπονται υπέρ του Δημοσίου σύμφωνα με το άρθρο </w:t>
      </w:r>
      <w:hyperlink w:anchor="__akn_article_rGbS3o" w:tooltip="Article 78: 78">
        <w:r w:rsidRPr="00483F7D">
          <w:rPr>
            <w:rStyle w:val="Hyperlink"/>
          </w:rPr>
          <w:t>78</w:t>
        </w:r>
      </w:hyperlink>
      <w:r w:rsidRPr="00483F7D">
        <w:t>.</w:t>
      </w:r>
    </w:p>
    <w:p w14:paraId="2A508B94" w14:textId="77777777" w:rsidR="00E0244C" w:rsidRPr="00483F7D" w:rsidRDefault="007A1FD7">
      <w:pPr>
        <w:pStyle w:val="ManualNumPar10"/>
      </w:pPr>
      <w:r w:rsidRPr="00483F7D">
        <w:t>2.</w:t>
      </w:r>
      <w:r w:rsidRPr="00483F7D">
        <w:tab/>
        <w:t>Οι τελωνειακές αρχές εκκαθαρίζουν το καθεστώς διαμετακόμισης όταν είναι σε θέση να διαπιστώσουν, με βάση σύγκριση των δεδομένων που παρέχονται ή καθίστανται διαθέσιμα στο τελωνείο αναχώρησης με τα δεδομένα που παρέχονται ή καθίστανται διαθέσιμα στο τελωνείο προορισμού, ότι το καθεστώς έχει λήξει κατά τον δέοντα τρόπο.</w:t>
      </w:r>
    </w:p>
    <w:p w14:paraId="6F0786AD" w14:textId="77777777" w:rsidR="00E0244C" w:rsidRPr="00483F7D" w:rsidRDefault="007A1FD7">
      <w:pPr>
        <w:pStyle w:val="ManualNumPar10"/>
      </w:pPr>
      <w:r w:rsidRPr="00483F7D">
        <w:t>3.</w:t>
      </w:r>
      <w:r w:rsidRPr="00483F7D">
        <w:tab/>
        <w:t>Οι τελωνειακές αρχές λαμβάνουν όλα τα μέτρα που είναι αναγκαία για την τακτοποίηση της κατάστασης των εμπορευμάτων για τα οποία το καθεστώς δεν έχει εκκαθαριστεί υπό τους προβλεπόμενους όρους.</w:t>
      </w:r>
    </w:p>
    <w:p w14:paraId="0EC699DB" w14:textId="77777777" w:rsidR="00E0244C" w:rsidRPr="00483F7D" w:rsidRDefault="007A1FD7">
      <w:pPr>
        <w:pStyle w:val="ManualNumPar10"/>
      </w:pPr>
      <w:r w:rsidRPr="00483F7D">
        <w:t>4.</w:t>
      </w:r>
      <w:r w:rsidRPr="00483F7D">
        <w:tab/>
        <w:t>Η εκκαθάριση του καθεστώτος πραγματοποιείται εντός ορισμένης προθεσμίας, εκτός αν ορίζεται άλλως.</w:t>
      </w:r>
    </w:p>
    <w:p w14:paraId="74091589" w14:textId="77777777" w:rsidR="00E0244C" w:rsidRPr="00483F7D" w:rsidRDefault="007A1FD7">
      <w:pPr>
        <w:pStyle w:val="ManualNumPar10"/>
      </w:pPr>
      <w:r w:rsidRPr="00483F7D">
        <w:t>5.</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της προθεσμίας που αναφέρεται στην παράγραφο 4.</w:t>
      </w:r>
    </w:p>
    <w:p w14:paraId="1B8C24B4" w14:textId="77777777" w:rsidR="00E0244C" w:rsidRPr="00483F7D" w:rsidRDefault="007A1FD7">
      <w:pPr>
        <w:pStyle w:val="ManualNumPar10"/>
      </w:pPr>
      <w:r w:rsidRPr="00483F7D">
        <w:t>6.</w:t>
      </w:r>
      <w:r w:rsidRPr="00483F7D">
        <w:tab/>
        <w:t xml:space="preserve">Η Επιτροπή ορίζει, με εκτελεστικές πράξεις, τους διαδικαστικούς κανόνες σχετικά με την εκκαθάριση ειδικού καθεστώτος που αναφέρεται στο παρόν άρθρο.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6A68D1A6" w14:textId="77777777" w:rsidR="00E0244C" w:rsidRPr="00483F7D" w:rsidRDefault="007A1FD7">
      <w:pPr>
        <w:pStyle w:val="Titrearticle"/>
      </w:pPr>
      <w:r w:rsidRPr="00483F7D">
        <w:t>Άρθρο 106</w:t>
      </w:r>
    </w:p>
    <w:p w14:paraId="523FB95A" w14:textId="77777777" w:rsidR="00E0244C" w:rsidRPr="00483F7D" w:rsidRDefault="007A1FD7">
      <w:pPr>
        <w:pStyle w:val="NormalCentered"/>
      </w:pPr>
      <w:r w:rsidRPr="00483F7D">
        <w:rPr>
          <w:b/>
        </w:rPr>
        <w:t>Μεταβίβαση δικαιωμάτων και υποχρεώσεων</w:t>
      </w:r>
    </w:p>
    <w:p w14:paraId="71B688AF" w14:textId="77777777" w:rsidR="00E0244C" w:rsidRPr="00483F7D" w:rsidRDefault="007A1FD7">
      <w:pPr>
        <w:pStyle w:val="ManualNumPar10"/>
      </w:pPr>
      <w:r w:rsidRPr="00483F7D">
        <w:t>1.</w:t>
      </w:r>
      <w:r w:rsidRPr="00483F7D">
        <w:tab/>
        <w:t>Οι τελωνειακές αρχές μπορούν να επιτρέπουν στον δικαιούχο άδειας για ειδικό καθεστώς πλην της διαμετακόμισης να μεταβιβάζει πλήρως ή εν μέρει τα δικαιώματα και τις υποχρεώσεις του όσον αφορά εμπορεύματα που έχουν υπαχθεί στο εν λόγω ειδικό καθεστώς σε εισαγωγέα ή εξαγωγέα που πληροί επίσης τους όρους για το σχετικό καθεστώς.</w:t>
      </w:r>
    </w:p>
    <w:p w14:paraId="02A69D5C" w14:textId="77777777" w:rsidR="00E0244C" w:rsidRPr="00483F7D" w:rsidRDefault="007A1FD7">
      <w:pPr>
        <w:pStyle w:val="ManualNumPar10"/>
      </w:pPr>
      <w:r w:rsidRPr="00483F7D">
        <w:t>2.</w:t>
      </w:r>
      <w:r w:rsidRPr="00483F7D">
        <w:tab/>
        <w:t>Ο δικαιούχος της άδειας που μεταβιβάζει τα δικαιώματα και τις υποχρεώσεις του ενημερώνει τις τελωνειακές αρχές σχετικά με τη μεταβίβαση και την εκκαθάριση του καθεστώτος, εκτός αν οι τελωνειακές αρχές έχουν επίσης χορηγήσει άδεια στον εισαγωγέα ή τον εξαγωγέα στον οποίο μεταβιβάζονται τα δικαιώματα και οι υποχρεώσεις.</w:t>
      </w:r>
    </w:p>
    <w:p w14:paraId="4CEF8898" w14:textId="77777777" w:rsidR="00E0244C" w:rsidRPr="00483F7D" w:rsidRDefault="007A1FD7">
      <w:pPr>
        <w:pStyle w:val="ManualNumPar10"/>
      </w:pPr>
      <w:r w:rsidRPr="00483F7D">
        <w:t>3.</w:t>
      </w:r>
      <w:r w:rsidRPr="00483F7D">
        <w:tab/>
        <w:t>Όταν η μεταβίβαση δικαιωμάτων και υποχρεώσεων αφορά περισσότερα του ενός κράτη μέλη, οι τελωνειακές αρχές που επιτρέπουν τη μεταβίβαση διαβουλεύονται με τα άλλα ενδιαφερόμενα κράτη μέλη.</w:t>
      </w:r>
    </w:p>
    <w:p w14:paraId="1C581593" w14:textId="77777777" w:rsidR="00E0244C" w:rsidRPr="00483F7D" w:rsidRDefault="007A1FD7">
      <w:pPr>
        <w:pStyle w:val="ManualNumPar10"/>
      </w:pPr>
      <w:r w:rsidRPr="00483F7D">
        <w:t>4.</w:t>
      </w:r>
      <w:r w:rsidRPr="00483F7D">
        <w:tab/>
        <w:t xml:space="preserve">Η Επιτροπή ορίζει, με εκτελεστικές πράξεις, τους διαδικαστικούς κανόνες σχετικά με τη μεταβίβαση των δικαιωμάτων και υποχρεώσεων του δικαιούχου της άδειας όσον αφορά εμπορεύματα που έχουν υπαχθεί σε ειδικό καθεστώς πλην της διαμετακόμισης.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7A407786" w14:textId="77777777" w:rsidR="00E0244C" w:rsidRPr="00483F7D" w:rsidRDefault="007A1FD7">
      <w:pPr>
        <w:pStyle w:val="Titrearticle"/>
      </w:pPr>
      <w:r w:rsidRPr="00483F7D">
        <w:t>Άρθρο 107</w:t>
      </w:r>
    </w:p>
    <w:p w14:paraId="163648B1" w14:textId="77777777" w:rsidR="00E0244C" w:rsidRPr="00483F7D" w:rsidRDefault="007A1FD7">
      <w:pPr>
        <w:pStyle w:val="NormalCentered"/>
      </w:pPr>
      <w:r w:rsidRPr="00483F7D">
        <w:rPr>
          <w:b/>
        </w:rPr>
        <w:t>Διακίνηση εμπορευμάτων</w:t>
      </w:r>
    </w:p>
    <w:p w14:paraId="3B8F6F44" w14:textId="77777777" w:rsidR="00E0244C" w:rsidRPr="00483F7D" w:rsidRDefault="007A1FD7">
      <w:pPr>
        <w:pStyle w:val="ManualNumPar10"/>
      </w:pPr>
      <w:r w:rsidRPr="00483F7D">
        <w:t>1.</w:t>
      </w:r>
      <w:r w:rsidRPr="00483F7D">
        <w:tab/>
        <w:t>Σε ειδικές περιπτώσεις, εισαγωγείς και εξαγωγείς μπορούν να διακινούν εμπορεύματα που έχουν υπαχθεί σε ειδικό καθεστώς άλλο εκτός της διαμετακόμισης ή σε ελεύθερη ζώνη μεταξύ διαφόρων τόπων στο τελωνειακό έδαφος της Ένωσης.</w:t>
      </w:r>
    </w:p>
    <w:p w14:paraId="08AC49B1" w14:textId="77777777" w:rsidR="00E0244C" w:rsidRPr="00483F7D" w:rsidRDefault="007A1FD7">
      <w:pPr>
        <w:pStyle w:val="ManualNumPar10"/>
      </w:pPr>
      <w:r w:rsidRPr="00483F7D">
        <w:t>2.</w:t>
      </w:r>
      <w:r w:rsidRPr="00483F7D">
        <w:tab/>
        <w:t xml:space="preserve">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περιπτώσεων και των όρων υπό τους οποίους εισαγωγείς και εξαγωγείς μπορούν να διακινούν εμπορεύματα όπως αναφέρεται στην παράγραφο 1 του παρόντος άρθρου.  </w:t>
      </w:r>
    </w:p>
    <w:p w14:paraId="5493B170" w14:textId="77777777" w:rsidR="00E0244C" w:rsidRPr="00483F7D" w:rsidRDefault="007A1FD7">
      <w:pPr>
        <w:pStyle w:val="ManualNumPar10"/>
      </w:pPr>
      <w:r w:rsidRPr="00483F7D">
        <w:t>3.</w:t>
      </w:r>
      <w:r w:rsidRPr="00483F7D">
        <w:tab/>
        <w:t xml:space="preserve">Η Επιτροπή ορίζει, με εκτελεστικές πράξεις, τους διαδικαστικούς κανόνες σχετικά με τη διακίνηση εμπορευμάτων που υπάγονται σε ειδικό καθεστώς πλην της διαμετακόμισης ή σε ελεύθερη ζώνη, όπως αναφέρεται στην παράγραφο 1.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410B00FC" w14:textId="77777777" w:rsidR="00E0244C" w:rsidRPr="00483F7D" w:rsidRDefault="007A1FD7">
      <w:pPr>
        <w:pStyle w:val="Titrearticle"/>
      </w:pPr>
      <w:bookmarkStart w:id="111" w:name="__akn_article_cZCDZU"/>
      <w:bookmarkEnd w:id="111"/>
      <w:r w:rsidRPr="00483F7D">
        <w:t>Άρθρο 108</w:t>
      </w:r>
    </w:p>
    <w:p w14:paraId="5E31A195" w14:textId="77777777" w:rsidR="00E0244C" w:rsidRPr="00483F7D" w:rsidRDefault="007A1FD7">
      <w:pPr>
        <w:pStyle w:val="NormalCentered"/>
      </w:pPr>
      <w:r w:rsidRPr="00483F7D">
        <w:rPr>
          <w:b/>
        </w:rPr>
        <w:t>Συνήθεις εργασίες</w:t>
      </w:r>
    </w:p>
    <w:p w14:paraId="3110A965" w14:textId="77777777" w:rsidR="00E0244C" w:rsidRPr="00483F7D" w:rsidRDefault="007A1FD7">
      <w:pPr>
        <w:pStyle w:val="ManualNumPar10"/>
      </w:pPr>
      <w:r w:rsidRPr="00483F7D">
        <w:t>1.</w:t>
      </w:r>
      <w:r w:rsidRPr="00483F7D">
        <w:tab/>
        <w:t>Εμπορεύματα τα οποία έχουν υπαχθεί σε καθεστώς τελωνειακής αποταμίευσης ή τελειοποίησης ή βρίσκονται σε ελεύθερη ζώνη είναι δυνατό να υποβάλλονται σε συνήθεις εργασίες που αποσκοπούν στη διατήρησή τους, τη βελτίωση της εμφάνισης ή της εμπορικής ποιότητάς τους ή την προετοιμασία τους για διανομή ή μεταπώληση.</w:t>
      </w:r>
    </w:p>
    <w:p w14:paraId="673F607B" w14:textId="77777777" w:rsidR="00E0244C" w:rsidRPr="00483F7D" w:rsidRDefault="007A1FD7">
      <w:pPr>
        <w:pStyle w:val="ManualNumPar10"/>
      </w:pPr>
      <w:r w:rsidRPr="00483F7D">
        <w:t>2.</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xml:space="preserve">, για τη συμπλήρωση του παρόντος κανονισμού με τον καθορισμό των συνήθων εργασιών για εμπορεύματα που αναφέρονται στην παράγραφο 1 του παρόντος άρθρου.  </w:t>
      </w:r>
    </w:p>
    <w:p w14:paraId="056531E4" w14:textId="77777777" w:rsidR="00E0244C" w:rsidRPr="00483F7D" w:rsidRDefault="007A1FD7">
      <w:pPr>
        <w:pStyle w:val="Titrearticle"/>
      </w:pPr>
      <w:bookmarkStart w:id="112" w:name="__akn_article_V3e6Sw"/>
      <w:bookmarkEnd w:id="112"/>
      <w:r w:rsidRPr="00483F7D">
        <w:t>Άρθρο 109</w:t>
      </w:r>
    </w:p>
    <w:p w14:paraId="1637BE30" w14:textId="77777777" w:rsidR="00E0244C" w:rsidRPr="00483F7D" w:rsidRDefault="007A1FD7">
      <w:pPr>
        <w:pStyle w:val="NormalCentered"/>
      </w:pPr>
      <w:r w:rsidRPr="00483F7D">
        <w:rPr>
          <w:b/>
        </w:rPr>
        <w:t>Ισοδύναμα εμπορεύματα</w:t>
      </w:r>
    </w:p>
    <w:p w14:paraId="7388006A" w14:textId="77777777" w:rsidR="00E0244C" w:rsidRPr="00483F7D" w:rsidRDefault="007A1FD7">
      <w:pPr>
        <w:pStyle w:val="ManualNumPar10"/>
      </w:pPr>
      <w:r w:rsidRPr="00483F7D">
        <w:t>1.</w:t>
      </w:r>
      <w:r w:rsidRPr="00483F7D">
        <w:tab/>
        <w:t>Ως ισοδύναμα εμπορεύματα, νοούνται ενωσιακά εμπορεύματα τα οποία αποθηκεύονται, χρησιμοποιούνται ή μεταποιούνται αντί για εμπορεύματα που έχουν υπαχθεί σε ειδικό καθεστώς.</w:t>
      </w:r>
    </w:p>
    <w:p w14:paraId="4384DF90" w14:textId="77777777" w:rsidR="00E0244C" w:rsidRPr="00483F7D" w:rsidRDefault="007A1FD7">
      <w:pPr>
        <w:pStyle w:val="Text1"/>
      </w:pPr>
      <w:r w:rsidRPr="00483F7D">
        <w:t>Στο πλαίσιο του καθεστώτος τελειοποίησης προς επανεισαγωγή, ως ισοδύναμα εμπορεύματα νοούνται μη ενωσιακά εμπορεύματα τα οποία μεταποιούνται αντί για ενωσιακά εμπορεύματα που έχουν υπαχθεί στο καθεστώς τελειοποίησης προς επανεισαγωγή.</w:t>
      </w:r>
    </w:p>
    <w:p w14:paraId="5B81774B" w14:textId="77777777" w:rsidR="00E0244C" w:rsidRPr="00483F7D" w:rsidRDefault="007A1FD7">
      <w:pPr>
        <w:pStyle w:val="Text1"/>
      </w:pPr>
      <w:r w:rsidRPr="00483F7D">
        <w:t>Εκτός αν ορίζεται άλλως, τα ισοδύναμα εμπορεύματα έχουν τον ίδιο οκταψήφιο κωδικό της συνδυασμένης ονοματολογίας, την ίδια εμπορική ποιότητα και τα ίδια τεχνικά χαρακτηριστικά με τα εμπορεύματα τα οποία υποκαθιστούν.</w:t>
      </w:r>
    </w:p>
    <w:p w14:paraId="10CA6C3D" w14:textId="77777777" w:rsidR="00E0244C" w:rsidRPr="00483F7D" w:rsidRDefault="007A1FD7">
      <w:pPr>
        <w:pStyle w:val="ManualNumPar10"/>
      </w:pPr>
      <w:r w:rsidRPr="00483F7D">
        <w:t>2.</w:t>
      </w:r>
      <w:r w:rsidRPr="00483F7D">
        <w:tab/>
        <w:t>Κατόπιν αίτησης, οι τελωνειακές αρχές επιτρέπουν τα ακόλουθα, εφόσον διασφαλίζεται η δέουσα εφαρμογή του καθεστώτος, ιδίως όσον αφορά την τελωνειακή επιτήρηση:</w:t>
      </w:r>
    </w:p>
    <w:p w14:paraId="40A71A88" w14:textId="1D54A988" w:rsidR="00E0244C" w:rsidRPr="00483F7D" w:rsidRDefault="00BC60FC" w:rsidP="00BC60FC">
      <w:pPr>
        <w:pStyle w:val="Point1"/>
      </w:pPr>
      <w:r w:rsidRPr="00483F7D">
        <w:t>α)</w:t>
      </w:r>
      <w:r w:rsidRPr="00483F7D">
        <w:tab/>
      </w:r>
      <w:r w:rsidR="007A1FD7" w:rsidRPr="00483F7D">
        <w:t>τη χρήση ισοδύναμων εμπορευμάτων στο πλαίσιο καθεστώτος τελωνειακής αποταμίευσης, ελεύθερων ζωνών, ειδικού προορισμού και τελειοποίησης·</w:t>
      </w:r>
    </w:p>
    <w:p w14:paraId="65B199FD" w14:textId="62F16110" w:rsidR="00E0244C" w:rsidRPr="00483F7D" w:rsidRDefault="00BC60FC" w:rsidP="00BC60FC">
      <w:pPr>
        <w:pStyle w:val="Point1"/>
      </w:pPr>
      <w:r w:rsidRPr="00483F7D">
        <w:t>β)</w:t>
      </w:r>
      <w:r w:rsidRPr="00483F7D">
        <w:tab/>
      </w:r>
      <w:r w:rsidR="007A1FD7" w:rsidRPr="00483F7D">
        <w:t>τη χρήση ισοδύναμων εμπορευμάτων στο πλαίσιο του καθεστώτος προσωρινής εισαγωγής, σε ειδικές περιπτώσεις·</w:t>
      </w:r>
    </w:p>
    <w:p w14:paraId="696D5CCB" w14:textId="6E63B63C" w:rsidR="00E0244C" w:rsidRPr="00483F7D" w:rsidRDefault="00BC60FC" w:rsidP="00BC60FC">
      <w:pPr>
        <w:pStyle w:val="Point1"/>
      </w:pPr>
      <w:r w:rsidRPr="00483F7D">
        <w:t>γ)</w:t>
      </w:r>
      <w:r w:rsidRPr="00483F7D">
        <w:tab/>
      </w:r>
      <w:r w:rsidR="007A1FD7" w:rsidRPr="00483F7D">
        <w:t>στην περίπτωση του καθεστώτος τελειοποίησης προς επανεξαγωγή, την εξαγωγή μεταποιημένων προϊόντων που έχουν ληφθεί από τα ισοδύναμα εμπορεύματα πριν από την εισαγωγή των εμπορευμάτων που υποκαθιστούν·</w:t>
      </w:r>
    </w:p>
    <w:p w14:paraId="238DC871" w14:textId="7AD32EE5" w:rsidR="00E0244C" w:rsidRPr="00483F7D" w:rsidRDefault="00BC60FC" w:rsidP="00BC60FC">
      <w:pPr>
        <w:pStyle w:val="Point1"/>
      </w:pPr>
      <w:r w:rsidRPr="00483F7D">
        <w:t>δ)</w:t>
      </w:r>
      <w:r w:rsidRPr="00483F7D">
        <w:tab/>
      </w:r>
      <w:r w:rsidR="007A1FD7" w:rsidRPr="00483F7D">
        <w:t>στην περίπτωση του καθεστώτος τελειοποίησης προς επανεισαγωγή, την εισαγωγή μεταποιημένων προϊόντων που έχουν ληφθεί από ισοδύναμα εμπορεύματα πριν από την εξαγωγή των εμπορευμάτων που υποκαθιστούν.</w:t>
      </w:r>
    </w:p>
    <w:p w14:paraId="114F51B9" w14:textId="77777777" w:rsidR="00E0244C" w:rsidRPr="00483F7D" w:rsidRDefault="007A1FD7" w:rsidP="00AC0036">
      <w:pPr>
        <w:pStyle w:val="ManualNumPar10"/>
        <w:ind w:firstLine="0"/>
      </w:pPr>
      <w:r w:rsidRPr="00483F7D">
        <w:t xml:space="preserve">Ένας αξιόπιστος και ελεγμένος συναλλασσόμενος θεωρείται ότι πληροί τον όρο σχετικά με τη διασφάλιση της δέουσας εφαρμογής του καθεστώτος, εφόσον η δραστηριότητα που αφορά τη χρήση ισοδύναμων εμπορευμάτων για το οικείο καθεστώς λαμβάνεται υπόψη για την άδεια που αναφέρεται στο άρθρο </w:t>
      </w:r>
      <w:hyperlink w:anchor="_bill__akn_article_s1DBwy" w:tooltip="Article 25: 25">
        <w:r w:rsidRPr="00483F7D">
          <w:rPr>
            <w:rStyle w:val="Hyperlink"/>
          </w:rPr>
          <w:t>25</w:t>
        </w:r>
      </w:hyperlink>
      <w:r w:rsidRPr="00483F7D">
        <w:t>.</w:t>
      </w:r>
    </w:p>
    <w:p w14:paraId="2AFEE24D" w14:textId="77777777" w:rsidR="00E0244C" w:rsidRPr="00483F7D" w:rsidRDefault="007A1FD7">
      <w:pPr>
        <w:pStyle w:val="ManualNumPar10"/>
      </w:pPr>
      <w:r w:rsidRPr="00483F7D">
        <w:t>3.</w:t>
      </w:r>
      <w:r w:rsidRPr="00483F7D">
        <w:tab/>
        <w:t>Η χρήση ισοδύναμων εμπορευμάτων δεν επιτρέπεται σε καμία από τις ακόλουθες περιπτώσεις:</w:t>
      </w:r>
    </w:p>
    <w:p w14:paraId="0F3C7160" w14:textId="0DAED366" w:rsidR="00E0244C" w:rsidRPr="00483F7D" w:rsidRDefault="00BC60FC" w:rsidP="00BC60FC">
      <w:pPr>
        <w:pStyle w:val="Point1"/>
      </w:pPr>
      <w:r w:rsidRPr="00483F7D">
        <w:t>α)</w:t>
      </w:r>
      <w:r w:rsidRPr="00483F7D">
        <w:tab/>
      </w:r>
      <w:r w:rsidR="007A1FD7" w:rsidRPr="00483F7D">
        <w:t xml:space="preserve">όταν πραγματοποιούνται μόνο συνήθεις εργασίες όπως ορίζονται στο άρθρο </w:t>
      </w:r>
      <w:hyperlink w:anchor="__akn_article_cZCDZU" w:tooltip="Article 108: 108">
        <w:r w:rsidR="007A1FD7" w:rsidRPr="00483F7D">
          <w:rPr>
            <w:rStyle w:val="Hyperlink"/>
          </w:rPr>
          <w:t>108</w:t>
        </w:r>
      </w:hyperlink>
      <w:r w:rsidR="007A1FD7" w:rsidRPr="00483F7D">
        <w:t>, στο πλαίσιο καθεστώτος τελειοποίησης προς επανεξαγωγή·</w:t>
      </w:r>
    </w:p>
    <w:p w14:paraId="1CD63BB4" w14:textId="3E0CC9D9" w:rsidR="00E0244C" w:rsidRPr="00483F7D" w:rsidRDefault="00BC60FC" w:rsidP="00BC60FC">
      <w:pPr>
        <w:pStyle w:val="Point1"/>
      </w:pPr>
      <w:r w:rsidRPr="00483F7D">
        <w:t>β)</w:t>
      </w:r>
      <w:r w:rsidRPr="00483F7D">
        <w:tab/>
      </w:r>
      <w:r w:rsidR="007A1FD7" w:rsidRPr="00483F7D">
        <w:t>όταν εφαρμόζεται απαγόρευση επιστροφής του εισαγωγικού δασμού ή απαλλαγής από τον εισαγωγικό δασμό σε μη καταγόμενα εμπορεύματα που χρησιμοποιούνται για την κατασκευή μεταποιημένων προϊόντων στο πλαίσιο καθεστώτος τελειοποίησης προς επανεξαγωγή, για τα οποία εκδίδεται ή συντάσσεται αποδεικτικό καταγωγής στο πλαίσιο προτιμησιακού καθεστώτος μεταξύ της Ένωσης και ορισμένων τρίτων χωρών ή ομάδων τέτοιων χωρών·</w:t>
      </w:r>
    </w:p>
    <w:p w14:paraId="61BD3B56" w14:textId="33F52EEA" w:rsidR="00E0244C" w:rsidRPr="00483F7D" w:rsidRDefault="00BC60FC" w:rsidP="00BC60FC">
      <w:pPr>
        <w:pStyle w:val="Point1"/>
      </w:pPr>
      <w:r w:rsidRPr="00483F7D">
        <w:t>γ)</w:t>
      </w:r>
      <w:r w:rsidRPr="00483F7D">
        <w:tab/>
      </w:r>
      <w:r w:rsidR="007A1FD7" w:rsidRPr="00483F7D">
        <w:t>όταν θα είχε ως αποτέλεσμα τη δημιουργία αδικαιολόγητου πλεονεκτήματος ως προς τον εισαγωγικό δασμό ή όταν προβλέπεται από την ενωσιακή νομοθεσία.</w:t>
      </w:r>
    </w:p>
    <w:p w14:paraId="339A2F01" w14:textId="77777777" w:rsidR="00E0244C" w:rsidRPr="00483F7D" w:rsidRDefault="007A1FD7">
      <w:pPr>
        <w:pStyle w:val="ManualNumPar10"/>
      </w:pPr>
      <w:r w:rsidRPr="00483F7D">
        <w:t>4.</w:t>
      </w:r>
      <w:r w:rsidRPr="00483F7D">
        <w:tab/>
        <w:t xml:space="preserve">Στην περίπτωση που αναφέρεται στην παράγραφο 2 στοιχείο γ) και εφόσον τα μεταποιημένα προϊόντα θα ήταν υποκείμενα σε εξαγωγικό δασμό αν δεν εξάγονταν στο πλαίσιο του καθεστώτος τελειοποίησης προς επανεξαγωγή, ο δικαιούχος της άδειας παρέχει εγγύηση για τη διασφάλιση της πληρωμής του εξαγωγικού δασμού σε περίπτωση μη εισαγωγής των μη ενωσιακών εμπορευμάτων εντός της προθεσμίας που αναφέρεται στο άρθρο 138 παράγραφος </w:t>
      </w:r>
      <w:hyperlink w:anchor="_bill__akn_article_6F09zy-par1" w:tooltip="Article 138(3): (3)">
        <w:r w:rsidRPr="00483F7D">
          <w:rPr>
            <w:rStyle w:val="Hyperlink"/>
          </w:rPr>
          <w:t>3</w:t>
        </w:r>
      </w:hyperlink>
      <w:r w:rsidRPr="00483F7D">
        <w:t>.</w:t>
      </w:r>
    </w:p>
    <w:p w14:paraId="3D0A0E42"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σκοπό τον καθορισμό:</w:t>
      </w:r>
    </w:p>
    <w:p w14:paraId="45D1CC19" w14:textId="14922B3E" w:rsidR="00E0244C" w:rsidRPr="00483F7D" w:rsidRDefault="00BC60FC" w:rsidP="00BC60FC">
      <w:pPr>
        <w:pStyle w:val="Point1"/>
      </w:pPr>
      <w:r w:rsidRPr="00483F7D">
        <w:t>α)</w:t>
      </w:r>
      <w:r w:rsidRPr="00483F7D">
        <w:tab/>
      </w:r>
      <w:r w:rsidR="007A1FD7" w:rsidRPr="00483F7D">
        <w:t xml:space="preserve">των εξαιρέσεων που αναφέρονται στην παράγραφο 1 τρίτο εδάφιο·  </w:t>
      </w:r>
    </w:p>
    <w:p w14:paraId="1C8FB7EC" w14:textId="0DFF43B4" w:rsidR="00E0244C" w:rsidRPr="00483F7D" w:rsidRDefault="00BC60FC" w:rsidP="00BC60FC">
      <w:pPr>
        <w:pStyle w:val="Point1"/>
      </w:pPr>
      <w:r w:rsidRPr="00483F7D">
        <w:t>β)</w:t>
      </w:r>
      <w:r w:rsidRPr="00483F7D">
        <w:tab/>
      </w:r>
      <w:r w:rsidR="007A1FD7" w:rsidRPr="00483F7D">
        <w:t>των όρων υπό τους οποίους χρησιμοποιούνται ισοδύναμα εμπορεύματα σύμφωνα με την παράγραφο 2·</w:t>
      </w:r>
    </w:p>
    <w:p w14:paraId="508F8E3C" w14:textId="0FA3E22A" w:rsidR="00E0244C" w:rsidRPr="00483F7D" w:rsidRDefault="00BC60FC" w:rsidP="00BC60FC">
      <w:pPr>
        <w:pStyle w:val="Point1"/>
      </w:pPr>
      <w:r w:rsidRPr="00483F7D">
        <w:t>γ)</w:t>
      </w:r>
      <w:r w:rsidRPr="00483F7D">
        <w:tab/>
      </w:r>
      <w:r w:rsidR="007A1FD7" w:rsidRPr="00483F7D">
        <w:t>των ειδικών περιπτώσεων στις οποίες χρησιμοποιούνται ισοδύναμα εμπορεύματα στο πλαίσιο του καθεστώτος προσωρινής εισαγωγής, όπως αναφέρεται στην παράγραφο 2 στοιχείο β)·</w:t>
      </w:r>
    </w:p>
    <w:p w14:paraId="2E5061CC" w14:textId="7E10837C" w:rsidR="00E0244C" w:rsidRPr="00483F7D" w:rsidRDefault="00BC60FC" w:rsidP="00BC60FC">
      <w:pPr>
        <w:pStyle w:val="Point1"/>
      </w:pPr>
      <w:r w:rsidRPr="00483F7D">
        <w:t>δ)</w:t>
      </w:r>
      <w:r w:rsidRPr="00483F7D">
        <w:tab/>
      </w:r>
      <w:r w:rsidR="007A1FD7" w:rsidRPr="00483F7D">
        <w:t>των περιπτώσεων στις οποίες δεν επιτρέπεται η χρήση ισοδύναμων εμπορευμάτων σύμφωνα με την παράγραφο 3 στοιχείο γ).</w:t>
      </w:r>
    </w:p>
    <w:p w14:paraId="5CC4AC52" w14:textId="77777777" w:rsidR="00E0244C" w:rsidRPr="00483F7D" w:rsidRDefault="007A1FD7">
      <w:pPr>
        <w:pStyle w:val="ManualNumPar10"/>
      </w:pPr>
      <w:r w:rsidRPr="00483F7D">
        <w:t>6.</w:t>
      </w:r>
      <w:r w:rsidRPr="00483F7D">
        <w:tab/>
        <w:t xml:space="preserve">Η Επιτροπή ορίζει, με εκτελεστικές πράξεις, τους διαδικαστικούς κανόνες για τη χρήση ισοδυνάμων εμπορευμάτων που επιτρέπεται σύμφωνα με την παράγραφο 2.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 xml:space="preserve">. </w:t>
      </w:r>
    </w:p>
    <w:p w14:paraId="00139E22" w14:textId="77777777" w:rsidR="00E0244C" w:rsidRPr="00483F7D" w:rsidRDefault="007A1FD7">
      <w:pPr>
        <w:pStyle w:val="ChapterTitle"/>
      </w:pPr>
      <w:bookmarkStart w:id="113" w:name="__akn_chapter_jivlmF"/>
      <w:bookmarkEnd w:id="113"/>
      <w:r w:rsidRPr="00483F7D">
        <w:t xml:space="preserve">Κεφάλαιο 2 </w:t>
      </w:r>
      <w:r w:rsidRPr="00483F7D">
        <w:br/>
        <w:t>Διαμετακόμιση</w:t>
      </w:r>
    </w:p>
    <w:p w14:paraId="0BA637C0" w14:textId="77777777" w:rsidR="00E0244C" w:rsidRPr="00483F7D" w:rsidRDefault="007A1FD7">
      <w:pPr>
        <w:pStyle w:val="SectionTitle"/>
      </w:pPr>
      <w:r w:rsidRPr="00483F7D">
        <w:t xml:space="preserve">Τμήμα 1 </w:t>
      </w:r>
      <w:r w:rsidRPr="00483F7D">
        <w:br/>
        <w:t>Γενικοί κανόνες</w:t>
      </w:r>
    </w:p>
    <w:p w14:paraId="02B5797A" w14:textId="77777777" w:rsidR="00E0244C" w:rsidRPr="00483F7D" w:rsidRDefault="007A1FD7">
      <w:pPr>
        <w:pStyle w:val="Titrearticle"/>
      </w:pPr>
      <w:r w:rsidRPr="00483F7D">
        <w:t>Άρθρο 110</w:t>
      </w:r>
    </w:p>
    <w:p w14:paraId="0701EB59" w14:textId="77777777" w:rsidR="00E0244C" w:rsidRPr="00483F7D" w:rsidRDefault="007A1FD7">
      <w:pPr>
        <w:pStyle w:val="NormalCentered"/>
      </w:pPr>
      <w:r w:rsidRPr="00483F7D">
        <w:rPr>
          <w:b/>
        </w:rPr>
        <w:t>Πεδίο εφαρμογής</w:t>
      </w:r>
    </w:p>
    <w:p w14:paraId="6FAE7530" w14:textId="77777777" w:rsidR="00E0244C" w:rsidRPr="00483F7D" w:rsidRDefault="007A1FD7">
      <w:pPr>
        <w:pStyle w:val="ManualNumPar10"/>
      </w:pPr>
      <w:r w:rsidRPr="00483F7D">
        <w:t>1.</w:t>
      </w:r>
      <w:r w:rsidRPr="00483F7D">
        <w:tab/>
        <w:t xml:space="preserve">Τα εμπορεύματα υπάγονται σε καθεστώς διαμετακόμισης κατά την είσοδό τους στο τελωνειακό έδαφος, εκτός αν έχουν ήδη υπαχθεί σε καθεστώς διαμετακόμισης που ορίζεται στα άρθρα </w:t>
      </w:r>
      <w:hyperlink w:anchor="__akn_article_vIGFy2" w:tooltip="Articles 111 and 112: 111">
        <w:r w:rsidRPr="00483F7D">
          <w:rPr>
            <w:rStyle w:val="Hyperlink"/>
          </w:rPr>
          <w:t>111</w:t>
        </w:r>
      </w:hyperlink>
      <w:r w:rsidRPr="00483F7D">
        <w:t xml:space="preserve"> και </w:t>
      </w:r>
      <w:hyperlink w:anchor="__akn_article_WagpZB" w:tooltip="Articles 111 and 112: 112">
        <w:r w:rsidRPr="00483F7D">
          <w:rPr>
            <w:rStyle w:val="Hyperlink"/>
          </w:rPr>
          <w:t>112</w:t>
        </w:r>
      </w:hyperlink>
      <w:r w:rsidRPr="00483F7D">
        <w:t xml:space="preserve"> ή έχουν υπαχθεί σε άλλο τελωνειακό καθεστώς εντός της προθεσμίας που ορίζεται στο άρθρο 86 παράγραφος </w:t>
      </w:r>
      <w:hyperlink w:anchor="__akn_article_fyeR6N_vrAhLc" w:tooltip="Article 86(4): (4)">
        <w:r w:rsidRPr="00483F7D">
          <w:rPr>
            <w:rStyle w:val="Hyperlink"/>
          </w:rPr>
          <w:t>4</w:t>
        </w:r>
      </w:hyperlink>
      <w:r w:rsidRPr="00483F7D">
        <w:t>.</w:t>
      </w:r>
    </w:p>
    <w:p w14:paraId="12D2B87F" w14:textId="77777777" w:rsidR="00E0244C" w:rsidRPr="00483F7D" w:rsidRDefault="007A1FD7">
      <w:pPr>
        <w:pStyle w:val="ManualNumPar10"/>
      </w:pPr>
      <w:r w:rsidRPr="00483F7D">
        <w:t>2.</w:t>
      </w:r>
      <w:r w:rsidRPr="00483F7D">
        <w:tab/>
        <w:t>Ο κάτοχος των εμπορευμάτων θεωρείται ότι είναι ο εισαγωγέας ή ο εξαγωγέας των εμπορευμάτων και είναι υπεύθυνος για την καταβολή των τελωνειακών δασμών και λοιπών φόρων και επιβαρύνσεων, εκτός αν οι τελωνειακές αρχές διαθέτουν δεδομένα για άλλον εισαγωγέα ή εξαγωγέα.</w:t>
      </w:r>
    </w:p>
    <w:p w14:paraId="38FCA140" w14:textId="77777777" w:rsidR="00E0244C" w:rsidRPr="00483F7D" w:rsidRDefault="007A1FD7" w:rsidP="00BA77CF">
      <w:pPr>
        <w:pStyle w:val="ManualNumPar10"/>
      </w:pPr>
      <w:r w:rsidRPr="00483F7D">
        <w:t>3.</w:t>
      </w:r>
      <w:r w:rsidRPr="00483F7D">
        <w:tab/>
        <w:t>Τα εμπορεύματα που έχουν υπαχθεί στο καθεστώς ενωσιακής διαμετακόμισης παραμένουν στο εν λόγω καθεστώς έως ότου υπαχθούν σε άλλο τελωνειακό καθεστώς.</w:t>
      </w:r>
      <w:bookmarkStart w:id="114" w:name="_bill__akn_article_Kr1v8Z-par1"/>
      <w:bookmarkEnd w:id="114"/>
    </w:p>
    <w:p w14:paraId="4EC2E82B" w14:textId="77777777" w:rsidR="00E0244C" w:rsidRPr="00483F7D" w:rsidRDefault="007A1FD7">
      <w:pPr>
        <w:pStyle w:val="Titrearticle"/>
      </w:pPr>
      <w:bookmarkStart w:id="115" w:name="__akn_article_vIGFy2"/>
      <w:bookmarkEnd w:id="115"/>
      <w:r w:rsidRPr="00483F7D">
        <w:t>Άρθρο 111</w:t>
      </w:r>
    </w:p>
    <w:p w14:paraId="2651A43F" w14:textId="77777777" w:rsidR="00E0244C" w:rsidRPr="00483F7D" w:rsidRDefault="007A1FD7">
      <w:pPr>
        <w:pStyle w:val="NormalCentered"/>
      </w:pPr>
      <w:r w:rsidRPr="00483F7D">
        <w:rPr>
          <w:b/>
        </w:rPr>
        <w:t>Εξωτερική διαμετακόμιση</w:t>
      </w:r>
    </w:p>
    <w:p w14:paraId="2516CA92" w14:textId="77777777" w:rsidR="00E0244C" w:rsidRPr="00483F7D" w:rsidRDefault="007A1FD7">
      <w:pPr>
        <w:pStyle w:val="ManualNumPar10"/>
      </w:pPr>
      <w:r w:rsidRPr="00483F7D">
        <w:t>1.</w:t>
      </w:r>
      <w:r w:rsidRPr="00483F7D">
        <w:tab/>
        <w:t>Στο πλαίσιο του καθεστώτος εξωτερικής διαμετακόμισης, είναι δυνατή η διακίνηση μη ενωσιακών εμπορευμάτων από ένα σημείο εντός του τελωνειακού εδάφους της Ένωσης σε άλλο, χωρίς να υπόκεινται στα ακόλουθα:</w:t>
      </w:r>
    </w:p>
    <w:p w14:paraId="76661A07" w14:textId="07784E73" w:rsidR="006C333F" w:rsidRPr="00483F7D" w:rsidRDefault="00BC60FC" w:rsidP="00BC60FC">
      <w:pPr>
        <w:pStyle w:val="Point1"/>
      </w:pPr>
      <w:r w:rsidRPr="00483F7D">
        <w:t>α)</w:t>
      </w:r>
      <w:r w:rsidRPr="00483F7D">
        <w:tab/>
      </w:r>
      <w:r w:rsidR="007A1FD7" w:rsidRPr="00483F7D">
        <w:t>εισαγωγικούς δασμούς ή λοιπές επιβαρύνσεις, συμπεριλαμβανομένων των δασμών αντιντάμπινγκ, των αντισταθμιστικών δασμών ή των μέτρων διασφάλισης·</w:t>
      </w:r>
    </w:p>
    <w:p w14:paraId="46017A53" w14:textId="0E97C240" w:rsidR="00E0244C" w:rsidRPr="00483F7D" w:rsidRDefault="00BC60FC" w:rsidP="00BC60FC">
      <w:pPr>
        <w:pStyle w:val="Point1"/>
      </w:pPr>
      <w:r w:rsidRPr="00483F7D">
        <w:t>β)</w:t>
      </w:r>
      <w:r w:rsidRPr="00483F7D">
        <w:tab/>
      </w:r>
      <w:r w:rsidR="00571FC6" w:rsidRPr="00483F7D">
        <w:t>μέτρα εμπορικής πολιτικής, εφόσον αυτά δεν απαγορεύουν την είσοδο ή την έξοδο των εμπορευμάτων στο ή από το τελωνειακό έδαφος της Ένωσης.</w:t>
      </w:r>
    </w:p>
    <w:p w14:paraId="41BE9EB0" w14:textId="77777777" w:rsidR="00E0244C" w:rsidRPr="00483F7D" w:rsidRDefault="007A1FD7">
      <w:pPr>
        <w:pStyle w:val="ManualNumPar10"/>
      </w:pPr>
      <w:r w:rsidRPr="00483F7D">
        <w:t>2.</w:t>
      </w:r>
      <w:r w:rsidRPr="00483F7D">
        <w:tab/>
        <w:t>Σε ειδικές περιπτώσεις, τα ενωσιακά εμπορεύματα υπάγονται σε καθεστώς εξωτερικής διαμετακόμισης.</w:t>
      </w:r>
    </w:p>
    <w:p w14:paraId="48DAAC4A" w14:textId="77777777" w:rsidR="00E0244C" w:rsidRPr="00483F7D" w:rsidRDefault="007A1FD7">
      <w:pPr>
        <w:pStyle w:val="ManualNumPar10"/>
      </w:pPr>
      <w:r w:rsidRPr="00483F7D">
        <w:t>3.</w:t>
      </w:r>
      <w:r w:rsidRPr="00483F7D">
        <w:tab/>
        <w:t>Η διακίνηση που αναφέρεται στην παράγραφο 1 πραγματοποιείται με έναν από τους ακόλουθους τρόπους:</w:t>
      </w:r>
    </w:p>
    <w:p w14:paraId="0810715F" w14:textId="23EC80E7" w:rsidR="006C333F" w:rsidRPr="00483F7D" w:rsidRDefault="00BC60FC" w:rsidP="00BC60FC">
      <w:pPr>
        <w:pStyle w:val="Point1"/>
      </w:pPr>
      <w:r w:rsidRPr="00483F7D">
        <w:t>α)</w:t>
      </w:r>
      <w:r w:rsidRPr="00483F7D">
        <w:tab/>
      </w:r>
      <w:r w:rsidR="007A1FD7" w:rsidRPr="00483F7D">
        <w:t>στο πλαίσιο του καθεστώτος εξωτερικής ενωσιακής διαμετακόμισης·</w:t>
      </w:r>
    </w:p>
    <w:p w14:paraId="79D9FEDC" w14:textId="0CDA5D4F" w:rsidR="00E0244C" w:rsidRPr="00483F7D" w:rsidRDefault="00BC60FC" w:rsidP="00BC60FC">
      <w:pPr>
        <w:pStyle w:val="Point1"/>
      </w:pPr>
      <w:r w:rsidRPr="00483F7D">
        <w:t>β)</w:t>
      </w:r>
      <w:r w:rsidRPr="00483F7D">
        <w:tab/>
      </w:r>
      <w:r w:rsidR="007A1FD7" w:rsidRPr="00483F7D">
        <w:t>σύμφωνα με τη σύμβαση TIR, εφόσον η εν λόγω διακίνηση:</w:t>
      </w:r>
    </w:p>
    <w:p w14:paraId="3B132459" w14:textId="310E3BB1" w:rsidR="00E0244C" w:rsidRPr="00483F7D" w:rsidRDefault="00483C4C" w:rsidP="00483C4C">
      <w:pPr>
        <w:pStyle w:val="Point2"/>
      </w:pPr>
      <w:r w:rsidRPr="00483F7D">
        <w:t>i)</w:t>
      </w:r>
      <w:r w:rsidRPr="00483F7D">
        <w:tab/>
        <w:t>άρχισε ή πρόκειται να λήξει εκτός του τελωνειακού εδάφους της Ένωσης·</w:t>
      </w:r>
    </w:p>
    <w:p w14:paraId="68664FDC" w14:textId="5AE2AF2E" w:rsidR="00E0244C" w:rsidRPr="00483F7D" w:rsidRDefault="00483C4C" w:rsidP="00483C4C">
      <w:pPr>
        <w:pStyle w:val="Point2"/>
      </w:pPr>
      <w:r w:rsidRPr="00483F7D">
        <w:t>ii)</w:t>
      </w:r>
      <w:r w:rsidRPr="00483F7D">
        <w:tab/>
        <w:t>πραγματοποιείται μεταξύ δύο σημείων του τελωνειακού εδάφους της Ένωσης μέσω του εδάφους τρίτης χώρας·</w:t>
      </w:r>
    </w:p>
    <w:p w14:paraId="3812897B" w14:textId="2F4F2F65" w:rsidR="00E0244C" w:rsidRPr="00483F7D" w:rsidRDefault="00BC60FC" w:rsidP="00BC60FC">
      <w:pPr>
        <w:pStyle w:val="Point1"/>
      </w:pPr>
      <w:r w:rsidRPr="00483F7D">
        <w:t>γ)</w:t>
      </w:r>
      <w:r w:rsidRPr="00483F7D">
        <w:tab/>
      </w:r>
      <w:r w:rsidR="007A1FD7" w:rsidRPr="00483F7D">
        <w:t>σύμφωνα με τη σύμβαση ΑΤΑ ή τη σύμβαση της Κωνσταντινούπολης, όταν πραγματοποιείται πράξη διαμετακόμισης· </w:t>
      </w:r>
    </w:p>
    <w:p w14:paraId="3A31165D" w14:textId="03DE7EFB" w:rsidR="00E0244C" w:rsidRPr="00483F7D" w:rsidRDefault="00BC60FC" w:rsidP="00BC60FC">
      <w:pPr>
        <w:pStyle w:val="Point1"/>
      </w:pPr>
      <w:r w:rsidRPr="00483F7D">
        <w:t>δ)</w:t>
      </w:r>
      <w:r w:rsidRPr="00483F7D">
        <w:tab/>
      </w:r>
      <w:r w:rsidR="007A1FD7" w:rsidRPr="00483F7D">
        <w:t>με κάλυψη του εντύπου 302 το οποίο προβλέπεται στο πλαίσιο της Σύμβασης μεταξύ των κρατών μελών της Συνθήκης του βορείου Ατλαντικού επί του νομικού καθεστώτος των δυνάμεων αυτών, η οποία υπεγράφη στο Λονδίνο στις 19 Ιουνίου 1951, και του εντύπου 302 της ΕΕ·</w:t>
      </w:r>
    </w:p>
    <w:p w14:paraId="0833D018" w14:textId="7634ABA0" w:rsidR="00E0244C" w:rsidRPr="00483F7D" w:rsidRDefault="00BC60FC" w:rsidP="00BC60FC">
      <w:pPr>
        <w:pStyle w:val="Point1"/>
      </w:pPr>
      <w:r w:rsidRPr="00483F7D">
        <w:t>ε)</w:t>
      </w:r>
      <w:r w:rsidRPr="00483F7D">
        <w:tab/>
      </w:r>
      <w:r w:rsidR="007A1FD7" w:rsidRPr="00483F7D">
        <w:t>μέσω ταχυδρομείου σύμφωνα με τις πράξεις της Παγκόσμιας Ταχυδρομικής Ένωσης, όταν τα εμπορεύματα μεταφέρονται από ή για τους δικαιούχους δικαιωμάτων και υποχρεώσεων δυνάμει των εν λόγω πράξεων.</w:t>
      </w:r>
    </w:p>
    <w:p w14:paraId="46C2E82F" w14:textId="77777777" w:rsidR="00E0244C" w:rsidRPr="00483F7D" w:rsidRDefault="007A1FD7">
      <w:pPr>
        <w:pStyle w:val="ManualNumPar10"/>
      </w:pPr>
      <w:r w:rsidRPr="00483F7D">
        <w:t>4.</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ειδικών περιπτώσεων κατά τις οποίες ενωσιακά εμπορεύματα πρέπει να υπάγονται στο καθεστώς εξωτερικής διαμετακόμισης.</w:t>
      </w:r>
    </w:p>
    <w:p w14:paraId="3E522725" w14:textId="77777777" w:rsidR="00E0244C" w:rsidRPr="00483F7D" w:rsidRDefault="007A1FD7">
      <w:pPr>
        <w:pStyle w:val="ManualNumPar10"/>
      </w:pPr>
      <w:r w:rsidRPr="00483F7D">
        <w:t>5.</w:t>
      </w:r>
      <w:r w:rsidRPr="00483F7D">
        <w:tab/>
        <w:t xml:space="preserve">Η Επιτροπή ορίζει, με εκτελεστικές πράξεις, τους διαδικαστικούς κανόνες για την εφαρμογή της παραγράφου 3 στοιχεία β) έως ε) στο τελωνειακό έδαφος της Ένωσης, λαμβάνοντας υπόψη τις ανάγκες της Ένωσης.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70B488A3" w14:textId="77777777" w:rsidR="00E0244C" w:rsidRPr="00483F7D" w:rsidRDefault="007A1FD7">
      <w:pPr>
        <w:pStyle w:val="Titrearticle"/>
      </w:pPr>
      <w:bookmarkStart w:id="116" w:name="__akn_article_WagpZB"/>
      <w:bookmarkEnd w:id="116"/>
      <w:r w:rsidRPr="00483F7D">
        <w:t>Άρθρο 112</w:t>
      </w:r>
    </w:p>
    <w:p w14:paraId="58EAB905" w14:textId="77777777" w:rsidR="00E0244C" w:rsidRPr="00483F7D" w:rsidRDefault="007A1FD7">
      <w:pPr>
        <w:pStyle w:val="NormalCentered"/>
      </w:pPr>
      <w:r w:rsidRPr="00483F7D">
        <w:rPr>
          <w:b/>
        </w:rPr>
        <w:t>Εσωτερική διαμετακόμιση</w:t>
      </w:r>
    </w:p>
    <w:p w14:paraId="3FC8CC8F" w14:textId="77777777" w:rsidR="00E0244C" w:rsidRPr="00483F7D" w:rsidRDefault="007A1FD7">
      <w:pPr>
        <w:pStyle w:val="ManualNumPar10"/>
      </w:pPr>
      <w:r w:rsidRPr="00483F7D">
        <w:t>1.</w:t>
      </w:r>
      <w:r w:rsidRPr="00483F7D">
        <w:tab/>
        <w:t>Υπό το καθεστώς εσωτερικής διαμετακόμισης και υπό τους όρους της παραγράφου 2, είναι δυνατή η διακίνηση ενωσιακών εμπορευμάτων από ένα σημείο εντός του τελωνειακού εδάφους της Ένωσης σε άλλο, με διέλευση από τρίτη χώρα, χωρίς μεταβολή του τελωνειακού τους χαρακτήρα.</w:t>
      </w:r>
    </w:p>
    <w:p w14:paraId="155C5854" w14:textId="77777777" w:rsidR="00E0244C" w:rsidRPr="00483F7D" w:rsidRDefault="007A1FD7">
      <w:pPr>
        <w:pStyle w:val="ManualNumPar10"/>
      </w:pPr>
      <w:r w:rsidRPr="00483F7D">
        <w:t>2.</w:t>
      </w:r>
      <w:r w:rsidRPr="00483F7D">
        <w:tab/>
        <w:t>Η διακίνηση που αναφέρεται στην παράγραφο 1 πραγματοποιείται με έναν από τους ακόλουθους τρόπους:</w:t>
      </w:r>
    </w:p>
    <w:p w14:paraId="12B541D8" w14:textId="0CEB148E" w:rsidR="00E0244C" w:rsidRPr="00483F7D" w:rsidRDefault="00BC60FC" w:rsidP="00BC60FC">
      <w:pPr>
        <w:pStyle w:val="Point1"/>
      </w:pPr>
      <w:r w:rsidRPr="00483F7D">
        <w:t>α)</w:t>
      </w:r>
      <w:r w:rsidRPr="00483F7D">
        <w:tab/>
      </w:r>
      <w:r w:rsidR="007A1FD7" w:rsidRPr="00483F7D">
        <w:t>υπό το καθεστώς εσωτερικής ενωσιακής διαμετακόμισης, εφόσον προβλέπεται η δυνατότητα αυτή με διεθνή συμφωνία·</w:t>
      </w:r>
    </w:p>
    <w:p w14:paraId="4EABBF34" w14:textId="0A593153" w:rsidR="00E0244C" w:rsidRPr="00483F7D" w:rsidRDefault="00BC60FC" w:rsidP="00BC60FC">
      <w:pPr>
        <w:pStyle w:val="Point1"/>
      </w:pPr>
      <w:r w:rsidRPr="00483F7D">
        <w:t>β)</w:t>
      </w:r>
      <w:r w:rsidRPr="00483F7D">
        <w:tab/>
      </w:r>
      <w:r w:rsidR="007A1FD7" w:rsidRPr="00483F7D">
        <w:t>σύμφωνα με τη σύμβαση TIR·</w:t>
      </w:r>
    </w:p>
    <w:p w14:paraId="2DD30F86" w14:textId="343D64BE" w:rsidR="00E0244C" w:rsidRPr="00483F7D" w:rsidRDefault="00BC60FC" w:rsidP="00BC60FC">
      <w:pPr>
        <w:pStyle w:val="Point1"/>
      </w:pPr>
      <w:r w:rsidRPr="00483F7D">
        <w:t>γ)</w:t>
      </w:r>
      <w:r w:rsidRPr="00483F7D">
        <w:tab/>
      </w:r>
      <w:r w:rsidR="007A1FD7" w:rsidRPr="00483F7D">
        <w:t>σύμφωνα με τη σύμβαση ΑΤΑ ή τη σύμβαση της Κωνσταντινούπολης, όταν πραγματοποιείται πράξη διαμετακόμισης·</w:t>
      </w:r>
    </w:p>
    <w:p w14:paraId="15075529" w14:textId="565C7B0B" w:rsidR="00E0244C" w:rsidRPr="00483F7D" w:rsidRDefault="00BC60FC" w:rsidP="00BC60FC">
      <w:pPr>
        <w:pStyle w:val="Point1"/>
      </w:pPr>
      <w:r w:rsidRPr="00483F7D">
        <w:t>δ)</w:t>
      </w:r>
      <w:r w:rsidRPr="00483F7D">
        <w:tab/>
      </w:r>
      <w:r w:rsidR="007A1FD7" w:rsidRPr="00483F7D">
        <w:t>με κάλυψη του εντύπου 302 το οποίο προβλέπεται στο πλαίσιο της Σύμβασης μεταξύ των κρατών μελών της Συνθήκης του βορείου Ατλαντικού επί του νομικού καθεστώτος των δυνάμεων αυτών, η οποία υπεγράφη στο Λονδίνο στις 19 Ιουνίου 1951, και του εντύπου 302 της ΕΕ·</w:t>
      </w:r>
    </w:p>
    <w:p w14:paraId="555AB253" w14:textId="66C00E12" w:rsidR="00E0244C" w:rsidRPr="00483F7D" w:rsidRDefault="00BC60FC" w:rsidP="00BC60FC">
      <w:pPr>
        <w:pStyle w:val="Point1"/>
      </w:pPr>
      <w:r w:rsidRPr="00483F7D">
        <w:t>ε)</w:t>
      </w:r>
      <w:r w:rsidRPr="00483F7D">
        <w:tab/>
      </w:r>
      <w:r w:rsidR="007A1FD7" w:rsidRPr="00483F7D">
        <w:t>μέσω ταχυδρομείου σύμφωνα με τις πράξεις της Παγκόσμιας Ταχυδρομικής Ένωσης, όταν τα εμπορεύματα μεταφέρονται από ή για τους δικαιούχους δικαιωμάτων και υποχρεώσεων δυνάμει των εν λόγω πράξεων.</w:t>
      </w:r>
    </w:p>
    <w:p w14:paraId="13780F58" w14:textId="77777777" w:rsidR="00E0244C" w:rsidRPr="00483F7D" w:rsidRDefault="007A1FD7">
      <w:pPr>
        <w:pStyle w:val="ManualNumPar10"/>
      </w:pPr>
      <w:r w:rsidRPr="00483F7D">
        <w:t>3.</w:t>
      </w:r>
      <w:r w:rsidRPr="00483F7D">
        <w:tab/>
        <w:t xml:space="preserve">Η Επιτροπή ορίζει, με εκτελεστικές πράξεις, τους διαδικαστικούς κανόνες για την εφαρμογή της παραγράφου 2 στοιχεία β) έως στ) στο τελωνειακό έδαφος της Ένωσης, λαμβάνοντας υπόψη τις ανάγκες της Ένωσης.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7FF159BD" w14:textId="77777777" w:rsidR="00E0244C" w:rsidRPr="00483F7D" w:rsidRDefault="007A1FD7">
      <w:pPr>
        <w:pStyle w:val="Titrearticle"/>
      </w:pPr>
      <w:r w:rsidRPr="00483F7D">
        <w:t>Άρθρο 113</w:t>
      </w:r>
    </w:p>
    <w:p w14:paraId="690C9F65" w14:textId="77777777" w:rsidR="00E0244C" w:rsidRPr="00483F7D" w:rsidRDefault="007A1FD7">
      <w:pPr>
        <w:pStyle w:val="NormalCentered"/>
      </w:pPr>
      <w:r w:rsidRPr="00483F7D">
        <w:rPr>
          <w:b/>
        </w:rPr>
        <w:t>Ενιαίο έδαφος για τους σκοπούς της διαμετακόμισης</w:t>
      </w:r>
    </w:p>
    <w:p w14:paraId="244BC9B9" w14:textId="77777777" w:rsidR="00E0244C" w:rsidRPr="00483F7D" w:rsidRDefault="007A1FD7">
      <w:r w:rsidRPr="00483F7D">
        <w:t>Όταν διακινούνται εμπορεύματα από ένα σημείο του τελωνειακού εδάφους της Ένωσης σε άλλο σύμφωνα με τη σύμβαση TIR, τη σύμβαση ΑΤΑ ή τη σύμβαση της Κωνσταντινούπολης, με κάλυψη του εντύπου 302, του εντύπου 302 της ΕΕ ή μέσω ταχυδρομείου, το τελωνειακό έδαφος της Ένωσης, για τους σκοπούς της εν λόγω διακίνησης, λογίζεται ενιαίο έδαφος.</w:t>
      </w:r>
    </w:p>
    <w:p w14:paraId="0A86847E" w14:textId="77777777" w:rsidR="00E0244C" w:rsidRPr="00483F7D" w:rsidRDefault="007A1FD7">
      <w:pPr>
        <w:pStyle w:val="Titrearticle"/>
      </w:pPr>
      <w:r w:rsidRPr="00483F7D">
        <w:t>Άρθρο 114</w:t>
      </w:r>
    </w:p>
    <w:p w14:paraId="659597C9" w14:textId="77777777" w:rsidR="00E0244C" w:rsidRPr="00483F7D" w:rsidRDefault="007A1FD7">
      <w:pPr>
        <w:pStyle w:val="NormalCentered"/>
      </w:pPr>
      <w:r w:rsidRPr="00483F7D">
        <w:rPr>
          <w:b/>
        </w:rPr>
        <w:t>Αποκλεισμός προσώπων από τις πράξεις μεταφοράς με δελτίο TIR</w:t>
      </w:r>
    </w:p>
    <w:p w14:paraId="36ECD4D5" w14:textId="77777777" w:rsidR="00E0244C" w:rsidRPr="00483F7D" w:rsidRDefault="007A1FD7">
      <w:pPr>
        <w:pStyle w:val="ManualNumPar10"/>
      </w:pPr>
      <w:r w:rsidRPr="00483F7D">
        <w:t>1.</w:t>
      </w:r>
      <w:r w:rsidRPr="00483F7D">
        <w:tab/>
        <w:t>Όταν οι τελωνειακές αρχές κράτους μέλους αποφασίζουν να αποκλείσουν πρόσωπο από τις πράξεις μεταφοράς με δελτίο TIR σύμφωνα με το άρθρο 38 της σύμβασης TIR, η εν λόγω απόφαση εφαρμόζεται σε όλο το τελωνειακό έδαφος της Ένωσης και τα δελτία TIR που έχουν υποβληθεί από το εν λόγω πρόσωπο δεν γίνονται δεκτά από κανένα τελωνείο.</w:t>
      </w:r>
    </w:p>
    <w:p w14:paraId="36ADCEEA" w14:textId="77777777" w:rsidR="00E0244C" w:rsidRPr="00483F7D" w:rsidRDefault="007A1FD7">
      <w:pPr>
        <w:pStyle w:val="ManualNumPar10"/>
      </w:pPr>
      <w:r w:rsidRPr="00483F7D">
        <w:t>2.</w:t>
      </w:r>
      <w:r w:rsidRPr="00483F7D">
        <w:tab/>
        <w:t>Το κράτος μέλος κοινοποιεί την απόφασή του που αναφέρεται στην παράγραφο 1, καθώς και την ημερομηνία ισχύος της, στα άλλα κράτη μέλη και στην Επιτροπή και στην Τελωνειακή Αρχή της ΕΕ.</w:t>
      </w:r>
    </w:p>
    <w:p w14:paraId="44E7B130" w14:textId="77777777" w:rsidR="00E0244C" w:rsidRPr="00483F7D" w:rsidRDefault="007A1FD7">
      <w:pPr>
        <w:pStyle w:val="Titrearticle"/>
      </w:pPr>
      <w:r w:rsidRPr="00483F7D">
        <w:t>Άρθρο 115</w:t>
      </w:r>
    </w:p>
    <w:p w14:paraId="07855189" w14:textId="77777777" w:rsidR="00E0244C" w:rsidRPr="00483F7D" w:rsidRDefault="007A1FD7">
      <w:pPr>
        <w:pStyle w:val="NormalCentered"/>
      </w:pPr>
      <w:r w:rsidRPr="00483F7D">
        <w:rPr>
          <w:b/>
        </w:rPr>
        <w:t>Εγκεκριμένος αποστολέας και εγκεκριμένος παραλήπτης για τους σκοπούς της σύμβασης TIR</w:t>
      </w:r>
    </w:p>
    <w:p w14:paraId="2095B91B" w14:textId="77777777" w:rsidR="00E0244C" w:rsidRPr="00483F7D" w:rsidRDefault="007A1FD7">
      <w:pPr>
        <w:pStyle w:val="ManualNumPar10"/>
      </w:pPr>
      <w:r w:rsidRPr="00483F7D">
        <w:t>1.</w:t>
      </w:r>
      <w:r w:rsidRPr="00483F7D">
        <w:tab/>
        <w:t>Κατόπιν αίτησης, οι τελωνειακές αρχές μπορούν να χορηγούν άδεια σε πρόσωπο, καλούμενο «εγκεκριμένος παραλήπτης», να παραλαμβάνει εμπορεύματα που διακινούνται σύμφωνα με τη σύμβαση TIR σε εγκεκριμένο τόπο, κατά τρόπο ώστε το καθεστώς να περατώνεται σύμφωνα με το άρθρο 1 στοιχείο δ) της σύμβασης TIR.</w:t>
      </w:r>
    </w:p>
    <w:p w14:paraId="2AEB0D76" w14:textId="77777777" w:rsidR="00E0244C" w:rsidRPr="00483F7D" w:rsidRDefault="007A1FD7">
      <w:pPr>
        <w:pStyle w:val="ManualNumPar10"/>
      </w:pPr>
      <w:r w:rsidRPr="00483F7D">
        <w:t>2.</w:t>
      </w:r>
      <w:r w:rsidRPr="00483F7D">
        <w:tab/>
        <w:t>Κατόπιν αίτησης, οι τελωνειακές αρχές μπορούν να χορηγούν άδεια σε πρόσωπο, καλούμενο «εγκεκριμένος αποστολέας», να αποστέλλει εμπορεύματα που πρόκειται να διακινηθούν σύμφωνα με τη σύμβαση TIR σε εγκεκριμένο τόπο, κατά τρόπο ώστε το καθεστώς να αρχίζει σύμφωνα με το άρθρο 1 στοιχείο γ) της σύμβασης TIR.</w:t>
      </w:r>
    </w:p>
    <w:p w14:paraId="16703ABE" w14:textId="77777777" w:rsidR="00E0244C" w:rsidRPr="00483F7D" w:rsidRDefault="007A1FD7">
      <w:pPr>
        <w:pStyle w:val="Text1"/>
      </w:pPr>
      <w:r w:rsidRPr="00483F7D">
        <w:t xml:space="preserve">Για τους σκοπούς του πρώτου εδαφίου, ο εγκεκριμένος αποστολέας επιτρέπεται να χρησιμοποιεί ειδικές τελωνειακές σφραγίδες σύμφωνα με το άρθρο 116 παράγραφος 4 στοιχείο </w:t>
      </w:r>
      <w:hyperlink w:anchor="__akn_article_D6iBz3_QP7wRI" w:tooltip="Article 116(4), point (c): (c)">
        <w:r w:rsidRPr="00483F7D">
          <w:rPr>
            <w:rStyle w:val="Hyperlink"/>
          </w:rPr>
          <w:t>γ)</w:t>
        </w:r>
      </w:hyperlink>
      <w:r w:rsidRPr="00483F7D">
        <w:t>.</w:t>
      </w:r>
    </w:p>
    <w:p w14:paraId="6A8A3A73" w14:textId="77777777" w:rsidR="00E0244C" w:rsidRPr="00483F7D" w:rsidRDefault="007A1FD7">
      <w:pPr>
        <w:pStyle w:val="ManualNumPar10"/>
      </w:pPr>
      <w:r w:rsidRPr="00483F7D">
        <w:t>3.</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για τη χορήγηση των αδειών που αναφέρονται στις παραγράφους 1 και 2.</w:t>
      </w:r>
    </w:p>
    <w:p w14:paraId="53F14D28" w14:textId="77777777" w:rsidR="00E0244C" w:rsidRPr="00483F7D" w:rsidRDefault="007A1FD7">
      <w:pPr>
        <w:pStyle w:val="SectionTitle"/>
      </w:pPr>
      <w:r w:rsidRPr="00483F7D">
        <w:t xml:space="preserve">Τμήμα 3 </w:t>
      </w:r>
      <w:r w:rsidRPr="00483F7D">
        <w:br/>
        <w:t>Ενωσιακή διαμετακόμιση</w:t>
      </w:r>
    </w:p>
    <w:p w14:paraId="6B29C947" w14:textId="77777777" w:rsidR="00E0244C" w:rsidRPr="00483F7D" w:rsidRDefault="007A1FD7">
      <w:pPr>
        <w:pStyle w:val="Titrearticle"/>
      </w:pPr>
      <w:r w:rsidRPr="00483F7D">
        <w:t>Άρθρο 116</w:t>
      </w:r>
    </w:p>
    <w:p w14:paraId="3D1B8927" w14:textId="77777777" w:rsidR="00E0244C" w:rsidRPr="00483F7D" w:rsidRDefault="007A1FD7">
      <w:pPr>
        <w:pStyle w:val="NormalCentered"/>
      </w:pPr>
      <w:r w:rsidRPr="00483F7D">
        <w:rPr>
          <w:b/>
        </w:rPr>
        <w:t>Υποχρεώσεις του δικαιούχου του καθεστώτος ενωσιακής διαμετακόμισης και του μεταφορέα και του παραλήπτη εμπορευμάτων που διακινούνται στο πλαίσιο καθεστώτος ενωσιακής διαμετακόμισης</w:t>
      </w:r>
    </w:p>
    <w:p w14:paraId="6469676C" w14:textId="77777777" w:rsidR="00E0244C" w:rsidRPr="00483F7D" w:rsidRDefault="007A1FD7">
      <w:pPr>
        <w:pStyle w:val="ManualNumPar10"/>
      </w:pPr>
      <w:bookmarkStart w:id="117" w:name="__akn_article_D6iBz3_q9rbHG"/>
      <w:bookmarkEnd w:id="117"/>
      <w:r w:rsidRPr="00483F7D">
        <w:t>1.</w:t>
      </w:r>
      <w:r w:rsidRPr="00483F7D">
        <w:tab/>
        <w:t>Ο δικαιούχος του καθεστώτος ενωσιακής διαμετακόμισης ευθύνεται για όλες τις ακόλουθες υποχρεώσεις:</w:t>
      </w:r>
    </w:p>
    <w:p w14:paraId="3AB1744D" w14:textId="4409B518" w:rsidR="006C333F" w:rsidRPr="00483F7D" w:rsidRDefault="00BC60FC" w:rsidP="00BC60FC">
      <w:pPr>
        <w:pStyle w:val="Point1"/>
      </w:pPr>
      <w:r w:rsidRPr="00483F7D">
        <w:t>α)</w:t>
      </w:r>
      <w:r w:rsidRPr="00483F7D">
        <w:tab/>
      </w:r>
      <w:r w:rsidR="007A1FD7" w:rsidRPr="00483F7D">
        <w:t>να παρέχει στοιχεία που διευκολύνουν τις τελωνειακές αρχές να επιτηρούν τα εμπορεύματα, συμπεριλαμβανομένης τουλάχιστον της εξακρίβωσης της ταυτότητας των εμπορευμάτων που έχουν υπαχθεί στο εν λόγω καθεστώς, των μεταφορικών μέσων, του εισαγωγέα ή του εξαγωγέα, του τελωνειακού χαρακτήρα και των διακινήσεων·</w:t>
      </w:r>
    </w:p>
    <w:p w14:paraId="44C76E30" w14:textId="4042846B" w:rsidR="006C333F" w:rsidRPr="00483F7D" w:rsidRDefault="00BC60FC" w:rsidP="00BC60FC">
      <w:pPr>
        <w:pStyle w:val="Point1"/>
      </w:pPr>
      <w:r w:rsidRPr="00483F7D">
        <w:t>β)</w:t>
      </w:r>
      <w:r w:rsidRPr="00483F7D">
        <w:tab/>
      </w:r>
      <w:r w:rsidR="007A1FD7" w:rsidRPr="00483F7D">
        <w:t>να προσκομίζει άθικτα τα εμπορεύματα και τα απαιτούμενα δεδομένα στο τελωνείο προορισμού εντός της προβλεπόμενης προθεσμίας και σύμφωνα με τα μέτρα τα οποία έχουν ληφθεί από τις τελωνειακές αρχές για να εξασφαλίζεται η εξακρίβωση της ταυτότητάς τους·</w:t>
      </w:r>
    </w:p>
    <w:p w14:paraId="31DAF477" w14:textId="6A7E87ED" w:rsidR="006C333F" w:rsidRPr="00483F7D" w:rsidRDefault="00BC60FC" w:rsidP="00BC60FC">
      <w:pPr>
        <w:pStyle w:val="Point1"/>
      </w:pPr>
      <w:r w:rsidRPr="00483F7D">
        <w:t>γ)</w:t>
      </w:r>
      <w:r w:rsidRPr="00483F7D">
        <w:tab/>
      </w:r>
      <w:r w:rsidR="007A1FD7" w:rsidRPr="00483F7D">
        <w:t>να τηρεί τις τελωνειακές διατάξεις σχετικά με το καθεστώς·</w:t>
      </w:r>
    </w:p>
    <w:p w14:paraId="37E14895" w14:textId="36AFAB11" w:rsidR="00E0244C" w:rsidRPr="00483F7D" w:rsidRDefault="00BC60FC" w:rsidP="00BC60FC">
      <w:pPr>
        <w:pStyle w:val="Point1"/>
      </w:pPr>
      <w:r w:rsidRPr="00483F7D">
        <w:t>δ)</w:t>
      </w:r>
      <w:r w:rsidRPr="00483F7D">
        <w:tab/>
      </w:r>
      <w:r w:rsidR="007A1FD7" w:rsidRPr="00483F7D">
        <w:t>εκτός αν ορίζεται άλλως στην τελωνειακή νομοθεσία, να παρέχει εγγύηση για την εξασφάλιση της πληρωμής του ποσού του εισαγωγικού ή εξαγωγικού δασμού που αντιστοιχεί σε τυχόν τελωνειακή οφειλή ή λοιπών επιβαρύνσεων, που ενδέχεται να γεννηθούν σε σχέση με τα εμπορεύματα.</w:t>
      </w:r>
    </w:p>
    <w:p w14:paraId="58AA3D51" w14:textId="77777777" w:rsidR="00E0244C" w:rsidRPr="00483F7D" w:rsidRDefault="007A1FD7">
      <w:pPr>
        <w:pStyle w:val="ManualNumPar10"/>
      </w:pPr>
      <w:r w:rsidRPr="00483F7D">
        <w:t>2.</w:t>
      </w:r>
      <w:r w:rsidRPr="00483F7D">
        <w:tab/>
        <w:t>Οι υποχρεώσεις του δικαιούχου του καθεστώτος εκπληρώνονται και το καθεστώς διαμετακόμισης λήγει όταν τα εμπορεύματα που έχουν υπαχθεί στο καθεστώς και οι απαιτούμενες πληροφορίες είναι διαθέσιμες στο τελωνείο προορισμού σύμφωνα με την τελωνειακή νομοθεσία.</w:t>
      </w:r>
    </w:p>
    <w:p w14:paraId="15FF2751" w14:textId="77777777" w:rsidR="00E0244C" w:rsidRPr="00483F7D" w:rsidRDefault="007A1FD7">
      <w:pPr>
        <w:pStyle w:val="ManualNumPar10"/>
      </w:pPr>
      <w:r w:rsidRPr="00483F7D">
        <w:t>3.</w:t>
      </w:r>
      <w:r w:rsidRPr="00483F7D">
        <w:tab/>
        <w:t>Μεταφορέας ή παραλήπτης εμπορευμάτων που αποδέχεται εμπορεύματα γνωρίζοντας ότι διακινούνται στο πλαίσιο καθεστώτος ενωσιακής διαμετακόμισης είναι επίσης υπεύθυνος για την προσκόμιση των εμπορευμάτων άθικτων στο τελωνείο προορισμού εντός της προβλεπόμενης προθεσμίας και σύμφωνα με τα μέτρα που έχουν ληφθεί από τις τελωνειακές αρχές για να εξασφαλίζεται η εξακρίβωση της ταυτότητάς τους.</w:t>
      </w:r>
    </w:p>
    <w:p w14:paraId="78940E90" w14:textId="77777777" w:rsidR="00E0244C" w:rsidRPr="00483F7D" w:rsidRDefault="007A1FD7">
      <w:pPr>
        <w:pStyle w:val="ManualNumPar10"/>
      </w:pPr>
      <w:r w:rsidRPr="00483F7D">
        <w:t>4.</w:t>
      </w:r>
      <w:r w:rsidRPr="00483F7D">
        <w:tab/>
        <w:t>Κατόπιν αίτησης, οι τελωνειακές αρχές μπορούν να χορηγούν άδεια για οποιαδήποτε από τις ακόλουθες απλουστεύσεις όσον αφορά την υπαγωγή εμπορευμάτων στο καθεστώς ενωσιακής διαμετακόμισης ή την εκκαθάριση του εν λόγω καθεστώτος:</w:t>
      </w:r>
    </w:p>
    <w:p w14:paraId="62FF96BB" w14:textId="24AF9D35" w:rsidR="006C333F" w:rsidRPr="00483F7D" w:rsidRDefault="00BC60FC" w:rsidP="00BC60FC">
      <w:pPr>
        <w:pStyle w:val="Point1"/>
      </w:pPr>
      <w:r w:rsidRPr="00483F7D">
        <w:t>α)</w:t>
      </w:r>
      <w:r w:rsidRPr="00483F7D">
        <w:tab/>
      </w:r>
      <w:r w:rsidR="007A1FD7" w:rsidRPr="00483F7D">
        <w:t>την ιδιότητα εγκεκριμένου αποστολέα, που επιτρέπει στον δικαιούχο της άδειας να υπάγει εμπορεύματα στο καθεστώς ενωσιακής διαμετακόμισης χωρίς να τα προσκομίζει στο τελωνείο·</w:t>
      </w:r>
    </w:p>
    <w:p w14:paraId="02467DD9" w14:textId="5E5054DB" w:rsidR="006C333F" w:rsidRPr="00483F7D" w:rsidRDefault="00BC60FC" w:rsidP="00BC60FC">
      <w:pPr>
        <w:pStyle w:val="Point1"/>
      </w:pPr>
      <w:r w:rsidRPr="00483F7D">
        <w:t>β)</w:t>
      </w:r>
      <w:r w:rsidRPr="00483F7D">
        <w:tab/>
      </w:r>
      <w:r w:rsidR="007A1FD7" w:rsidRPr="00483F7D">
        <w:t>την ιδιότητα εγκεκριμένου παραλήπτη, που επιτρέπει στον δικαιούχο της άδειας να παραλαμβάνει εμπορεύματα τα οποία διακινούνται στο πλαίσιο του καθεστώτος ενωσιακής διαμετακόμισης σε εγκεκριμένο τόπο, να εκκαθαρίζει το καθεστώς σύμφωνα με την παράγραφο 2·</w:t>
      </w:r>
    </w:p>
    <w:p w14:paraId="65568F40" w14:textId="51E0BF9E" w:rsidR="006C333F" w:rsidRPr="00483F7D" w:rsidRDefault="00BC60FC" w:rsidP="00BC60FC">
      <w:pPr>
        <w:pStyle w:val="Point1"/>
      </w:pPr>
      <w:r w:rsidRPr="00483F7D">
        <w:t>γ)</w:t>
      </w:r>
      <w:r w:rsidRPr="00483F7D">
        <w:tab/>
      </w:r>
      <w:r w:rsidR="007A1FD7" w:rsidRPr="00483F7D">
        <w:t>τη χρήση ειδικών τελωνειακών σφραγίδων, όταν απαιτείται σφράγιση για να εξασφαλίζεται η εξακρίβωση της ταυτότητας των εμπορευμάτων που υπάγονται στο καθεστώς ενωσιακής διαμετακόμισης·</w:t>
      </w:r>
    </w:p>
    <w:p w14:paraId="44C2648A" w14:textId="1CD13750" w:rsidR="00E0244C" w:rsidRPr="00483F7D" w:rsidRDefault="00BC60FC" w:rsidP="00BC60FC">
      <w:pPr>
        <w:pStyle w:val="Point1"/>
      </w:pPr>
      <w:r w:rsidRPr="00483F7D">
        <w:t>δ)</w:t>
      </w:r>
      <w:r w:rsidRPr="00483F7D">
        <w:tab/>
      </w:r>
      <w:r w:rsidR="007A1FD7" w:rsidRPr="00483F7D">
        <w:t>τη χρήση ηλεκτρονικού εγγράφου μεταφοράς για την υπαγωγή εμπορευμάτων στο καθεστώς ενωσιακής διαμετακόμισης, εφόσον περιλαμβάνει τις αναγκαίες πληροφορίες οι οποίες διαθέσιμες στις τελωνειακές αρχές στον τόπο αναχώρησης και προορισμού για να είναι δυνατή η τελωνειακή επιτήρηση των εμπορευμάτων και η εκκαθάριση του καθεστώτος.</w:t>
      </w:r>
    </w:p>
    <w:p w14:paraId="7097EE40" w14:textId="77777777" w:rsidR="00E0244C" w:rsidRPr="00483F7D" w:rsidRDefault="007A1FD7">
      <w:pPr>
        <w:pStyle w:val="ManualNumPar10"/>
      </w:pPr>
      <w:r w:rsidRPr="00483F7D">
        <w:t>5.</w:t>
      </w:r>
      <w:r w:rsidRPr="00483F7D">
        <w:tab/>
        <w:t>Οι τελωνειακές αρχές διενεργούν τουλάχιστον ανά 3 έτη εμπεριστατωμένη παρακολούθηση των δραστηριοτήτων των εγκεκριμένων αποστολέων και παραληπτών, προκειμένου να αξιολογούν τη συμμόρφωσή τους με τις απαιτήσεις της άδειας.</w:t>
      </w:r>
    </w:p>
    <w:p w14:paraId="0F9C1194" w14:textId="77777777" w:rsidR="00E0244C" w:rsidRPr="00483F7D" w:rsidRDefault="007A1FD7">
      <w:pPr>
        <w:pStyle w:val="ManualNumPar10"/>
      </w:pPr>
      <w:r w:rsidRPr="00483F7D">
        <w:t>6.</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περαιτέρω καθορισμό των απαιτήσεων δεδομένων που προβλέπονται στην παράγραφο 1 στοιχεία α) και β) και των όρων για τη χορήγηση των αδειών που αναφέρονται στην παράγραφο 4.</w:t>
      </w:r>
    </w:p>
    <w:p w14:paraId="715B05D9" w14:textId="77777777" w:rsidR="00E0244C" w:rsidRPr="00483F7D" w:rsidRDefault="007A1FD7">
      <w:pPr>
        <w:pStyle w:val="ManualNumPar10"/>
      </w:pPr>
      <w:r w:rsidRPr="00483F7D">
        <w:t>7.</w:t>
      </w:r>
      <w:r w:rsidRPr="00483F7D">
        <w:tab/>
        <w:t>Η Επιτροπή ορίζει, με εκτελεστικές πράξεις, τους διαδικαστικούς κανόνες σχετικά με:</w:t>
      </w:r>
    </w:p>
    <w:p w14:paraId="4BFC40AE" w14:textId="2BC11C94" w:rsidR="006C333F" w:rsidRPr="00483F7D" w:rsidRDefault="00BC60FC" w:rsidP="00BC60FC">
      <w:pPr>
        <w:pStyle w:val="Point1"/>
      </w:pPr>
      <w:r w:rsidRPr="00483F7D">
        <w:t>α)</w:t>
      </w:r>
      <w:r w:rsidRPr="00483F7D">
        <w:tab/>
      </w:r>
      <w:r w:rsidR="007A1FD7" w:rsidRPr="00483F7D">
        <w:t>την υπαγωγή εμπορευμάτων στο καθεστώς ενωσιακής διαμετακόμισης και την εκκαθάριση του καθεστώτος·</w:t>
      </w:r>
    </w:p>
    <w:p w14:paraId="274A2DF3" w14:textId="77728B6B" w:rsidR="00E0244C" w:rsidRPr="00483F7D" w:rsidRDefault="00BC60FC" w:rsidP="00BC60FC">
      <w:pPr>
        <w:pStyle w:val="Point1"/>
      </w:pPr>
      <w:r w:rsidRPr="00483F7D">
        <w:t>β)</w:t>
      </w:r>
      <w:r w:rsidRPr="00483F7D">
        <w:tab/>
      </w:r>
      <w:r w:rsidR="007A1FD7" w:rsidRPr="00483F7D">
        <w:t>την εφαρμογή των απλουστεύσεων που αναφέρονται στην παράγραφο 4.</w:t>
      </w:r>
    </w:p>
    <w:p w14:paraId="63D19BD7" w14:textId="77777777" w:rsidR="00B820A7" w:rsidRPr="00483F7D" w:rsidRDefault="00B820A7" w:rsidP="00954621">
      <w:pPr>
        <w:pStyle w:val="ManualNumPar10"/>
        <w:ind w:firstLine="0"/>
      </w:pPr>
      <w:r w:rsidRPr="00483F7D">
        <w:t xml:space="preserve">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7B547BC4" w14:textId="77777777" w:rsidR="00E0244C" w:rsidRPr="00483F7D" w:rsidRDefault="007A1FD7">
      <w:pPr>
        <w:pStyle w:val="Titrearticle"/>
      </w:pPr>
      <w:r w:rsidRPr="00483F7D">
        <w:t>Άρθρο 117</w:t>
      </w:r>
    </w:p>
    <w:p w14:paraId="731D0749" w14:textId="77777777" w:rsidR="00E0244C" w:rsidRPr="00483F7D" w:rsidRDefault="007A1FD7">
      <w:pPr>
        <w:pStyle w:val="NormalCentered"/>
      </w:pPr>
      <w:r w:rsidRPr="00483F7D">
        <w:rPr>
          <w:b/>
        </w:rPr>
        <w:t>Εμπορεύματα που διέρχονται από το έδαφος τρίτης χώρας στο πλαίσιο του καθεστώτος εξωτερικής ενωσιακής διαμετακόμισης</w:t>
      </w:r>
    </w:p>
    <w:p w14:paraId="3BAD69BD" w14:textId="77777777" w:rsidR="00B820A7" w:rsidRPr="00483F7D" w:rsidRDefault="007A1FD7" w:rsidP="5DA9B26A">
      <w:pPr>
        <w:pStyle w:val="ManualNumPar10"/>
      </w:pPr>
      <w:r w:rsidRPr="00483F7D">
        <w:t>1.</w:t>
      </w:r>
      <w:r w:rsidRPr="00483F7D">
        <w:tab/>
        <w:t>Το καθεστώς εξωτερικής ενωσιακής διαμετακόμισης εφαρμόζεται σε εμπορεύματα που διέρχονται από τρίτη χώρα εφόσον πληρούται ένας από τους παρακάτω όρους:</w:t>
      </w:r>
    </w:p>
    <w:p w14:paraId="06BE58FF" w14:textId="1733E6F2" w:rsidR="006C333F" w:rsidRPr="00483F7D" w:rsidRDefault="00BC60FC" w:rsidP="00BC60FC">
      <w:pPr>
        <w:pStyle w:val="Point1"/>
      </w:pPr>
      <w:r w:rsidRPr="00483F7D">
        <w:t>α)</w:t>
      </w:r>
      <w:r w:rsidRPr="00483F7D">
        <w:tab/>
      </w:r>
      <w:r w:rsidR="007A1FD7" w:rsidRPr="00483F7D">
        <w:t>αυτή η δυνατότητα προβλέπεται από διεθνή συμφωνία·</w:t>
      </w:r>
    </w:p>
    <w:p w14:paraId="4F68E03D" w14:textId="74928AAE" w:rsidR="006C333F" w:rsidRPr="00483F7D" w:rsidRDefault="00BC60FC" w:rsidP="00BC60FC">
      <w:pPr>
        <w:pStyle w:val="Point1"/>
      </w:pPr>
      <w:r w:rsidRPr="00483F7D">
        <w:t>β)</w:t>
      </w:r>
      <w:r w:rsidRPr="00483F7D">
        <w:tab/>
      </w:r>
      <w:r w:rsidR="006C333F" w:rsidRPr="00483F7D">
        <w:t>η διέλευση από την εν λόγω τρίτη χώρα πραγματοποιείται με κάλυψη ενιαίου εγγράφου μεταφοράς που έχει συνταχθεί στο τελωνειακό έδαφος της Ένωσης.</w:t>
      </w:r>
    </w:p>
    <w:p w14:paraId="056F6772" w14:textId="77777777" w:rsidR="00E0244C" w:rsidRPr="00483F7D" w:rsidRDefault="007A1FD7">
      <w:pPr>
        <w:pStyle w:val="ManualNumPar10"/>
      </w:pPr>
      <w:r w:rsidRPr="00483F7D">
        <w:t>2.</w:t>
      </w:r>
      <w:r w:rsidRPr="00483F7D">
        <w:tab/>
        <w:t>Στην περίπτωση της παραγράφου 1 στοιχείο β), η πράξη του καθεστώτος εξωτερικής ενωσιακής διαμετακόμισης αναστέλλεται για το διάστημα κατά το οποίο τα εμπορεύματα βρίσκονται εκτός του τελωνειακού εδάφους της Ένωσης.</w:t>
      </w:r>
    </w:p>
    <w:p w14:paraId="1DE02761" w14:textId="77777777" w:rsidR="00E0244C" w:rsidRPr="00483F7D" w:rsidRDefault="007A1FD7">
      <w:pPr>
        <w:pStyle w:val="ManualNumPar10"/>
      </w:pPr>
      <w:r w:rsidRPr="00483F7D">
        <w:t>3.</w:t>
      </w:r>
      <w:r w:rsidRPr="00483F7D">
        <w:tab/>
        <w:t xml:space="preserve">Η Επιτροπή ορίζει, με εκτελεστικές πράξεις, τους διαδικαστικούς κανόνες σχετικά με την τελωνειακή επιτήρηση εμπορευμάτων που διέρχονται από το έδαφος τρίτης χώρας στο πλαίσιο του καθεστώτος εξωτερικής ενωσιακής διαμετακόμισης.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3B537919" w14:textId="77777777" w:rsidR="00E0244C" w:rsidRPr="00483F7D" w:rsidRDefault="007A1FD7">
      <w:pPr>
        <w:pStyle w:val="ChapterTitle"/>
      </w:pPr>
      <w:r w:rsidRPr="00483F7D">
        <w:t xml:space="preserve">Κεφάλαιο 3 </w:t>
      </w:r>
      <w:r w:rsidRPr="00483F7D">
        <w:br/>
        <w:t>Αποθήκευση</w:t>
      </w:r>
    </w:p>
    <w:p w14:paraId="0C598B27" w14:textId="77777777" w:rsidR="00E0244C" w:rsidRPr="00483F7D" w:rsidRDefault="007A1FD7">
      <w:pPr>
        <w:pStyle w:val="SectionTitle"/>
      </w:pPr>
      <w:r w:rsidRPr="00483F7D">
        <w:t xml:space="preserve">Τμήμα 1 </w:t>
      </w:r>
      <w:r w:rsidRPr="00483F7D">
        <w:br/>
        <w:t>Κοινές διατάξεις</w:t>
      </w:r>
    </w:p>
    <w:p w14:paraId="623C0D31" w14:textId="77777777" w:rsidR="00E0244C" w:rsidRPr="00483F7D" w:rsidRDefault="007A1FD7">
      <w:pPr>
        <w:pStyle w:val="Titrearticle"/>
      </w:pPr>
      <w:bookmarkStart w:id="118" w:name="__akn_article_EVW1Pv"/>
      <w:bookmarkEnd w:id="118"/>
      <w:r w:rsidRPr="00483F7D">
        <w:t>Άρθρο 118</w:t>
      </w:r>
    </w:p>
    <w:p w14:paraId="34D2E938" w14:textId="77777777" w:rsidR="00E0244C" w:rsidRPr="00483F7D" w:rsidRDefault="007A1FD7">
      <w:pPr>
        <w:pStyle w:val="NormalCentered"/>
      </w:pPr>
      <w:r w:rsidRPr="00483F7D">
        <w:rPr>
          <w:b/>
        </w:rPr>
        <w:t>Πεδίο εφαρμογής</w:t>
      </w:r>
    </w:p>
    <w:p w14:paraId="1A49C9B6" w14:textId="77777777" w:rsidR="00E0244C" w:rsidRPr="00483F7D" w:rsidRDefault="007A1FD7">
      <w:pPr>
        <w:pStyle w:val="ManualNumPar10"/>
      </w:pPr>
      <w:r w:rsidRPr="00483F7D">
        <w:t>1.</w:t>
      </w:r>
      <w:r w:rsidRPr="00483F7D">
        <w:tab/>
        <w:t>Στο πλαίσιο του καθεστώτος αποθήκευσης, είναι δυνατή η αποθήκευση μη ενωσιακών εμπορευμάτων στο τελωνειακό έδαφος της Ένωσης, χωρίς να υπόκεινται σε οποιοδήποτε από τα ακόλουθα:</w:t>
      </w:r>
    </w:p>
    <w:p w14:paraId="1BCBFFB8" w14:textId="01867530" w:rsidR="006C28AC" w:rsidRPr="00483F7D" w:rsidRDefault="00BC60FC" w:rsidP="00BC60FC">
      <w:pPr>
        <w:pStyle w:val="Point1"/>
      </w:pPr>
      <w:r w:rsidRPr="00483F7D">
        <w:t>α)</w:t>
      </w:r>
      <w:r w:rsidRPr="00483F7D">
        <w:tab/>
      </w:r>
      <w:r w:rsidR="007A1FD7" w:rsidRPr="00483F7D">
        <w:t>εισαγωγικό δασμό·</w:t>
      </w:r>
    </w:p>
    <w:p w14:paraId="7C1DFCF3" w14:textId="2A89F744" w:rsidR="00A17FAC" w:rsidRPr="00483F7D" w:rsidRDefault="00BC60FC" w:rsidP="00BC60FC">
      <w:pPr>
        <w:pStyle w:val="Point1"/>
      </w:pPr>
      <w:r w:rsidRPr="00483F7D">
        <w:t>β)</w:t>
      </w:r>
      <w:r w:rsidRPr="00483F7D">
        <w:tab/>
      </w:r>
      <w:r w:rsidR="00A17FAC" w:rsidRPr="00483F7D">
        <w:t>λοιπές επιβαρύνσεις όπως προβλέπονται σε άλλες σχετικές ισχύουσες διατάξεις·</w:t>
      </w:r>
    </w:p>
    <w:p w14:paraId="257DDE94" w14:textId="4A243F45" w:rsidR="00A17FAC" w:rsidRPr="00483F7D" w:rsidRDefault="00BC60FC" w:rsidP="00BC60FC">
      <w:pPr>
        <w:pStyle w:val="Point1"/>
      </w:pPr>
      <w:r w:rsidRPr="00483F7D">
        <w:t>γ)</w:t>
      </w:r>
      <w:r w:rsidRPr="00483F7D">
        <w:tab/>
      </w:r>
      <w:r w:rsidR="00A17FAC" w:rsidRPr="00483F7D">
        <w:t>μέτρα εμπορικής πολιτικής, εφόσον αυτά δεν απαγορεύουν την είσοδο ή την έξοδο εμπορευμάτων στο ή από το τελωνειακό έδαφος της Ένωσης.</w:t>
      </w:r>
    </w:p>
    <w:p w14:paraId="68D0A79C" w14:textId="77777777" w:rsidR="00E0244C" w:rsidRPr="00483F7D" w:rsidRDefault="007A1FD7">
      <w:pPr>
        <w:pStyle w:val="ManualNumPar10"/>
      </w:pPr>
      <w:r w:rsidRPr="00483F7D">
        <w:t>2.</w:t>
      </w:r>
      <w:r w:rsidRPr="00483F7D">
        <w:tab/>
        <w:t>Οι όροι για την υπαγωγή εμπορευμάτων στο καθεστώς αποθήκευσης είναι οι ακόλουθοι:</w:t>
      </w:r>
    </w:p>
    <w:p w14:paraId="27BAEF54" w14:textId="40DC8144" w:rsidR="00A17FAC" w:rsidRPr="00483F7D" w:rsidRDefault="00BC60FC" w:rsidP="00BC60FC">
      <w:pPr>
        <w:pStyle w:val="Point1"/>
      </w:pPr>
      <w:r w:rsidRPr="00483F7D">
        <w:t>α)</w:t>
      </w:r>
      <w:r w:rsidRPr="00483F7D">
        <w:tab/>
      </w:r>
      <w:r w:rsidR="007A1FD7" w:rsidRPr="00483F7D">
        <w:t>έχουν παρασχεθεί ή καταστεί διαθέσιμα στο τελωνείο τα ελάχιστα δεδομένα, τα οποία πρέπει να περιλαμβάνουν τουλάχιστον τον εισαγωγέα που είναι υπεύθυνος για τα εμπορεύματα, τον κατασκευαστή, την αξία, την καταγωγή, τη δασμολογική κατάταξη και την περιγραφή των εμπορευμάτων, καθώς και τον κατάλογο της σχετικής λοιπής νομοθεσίας που εφαρμόζεται από τις τελωνειακές αρχές για τα εν λόγω εμπορεύματα, εκτός αν προβλέπεται διαφορετικά· και</w:t>
      </w:r>
    </w:p>
    <w:p w14:paraId="497C3352" w14:textId="02FBF965" w:rsidR="00A17FAC" w:rsidRPr="00483F7D" w:rsidRDefault="00BC60FC" w:rsidP="00BC60FC">
      <w:pPr>
        <w:pStyle w:val="Point1"/>
      </w:pPr>
      <w:r w:rsidRPr="00483F7D">
        <w:t>β)</w:t>
      </w:r>
      <w:r w:rsidRPr="00483F7D">
        <w:tab/>
      </w:r>
      <w:r w:rsidR="00A17FAC" w:rsidRPr="00483F7D">
        <w:t>τα εμπορεύματα συμμορφώνονται με τη λοιπή νομοθεσία που εφαρμόζεται από τις τελωνειακές αρχές.</w:t>
      </w:r>
    </w:p>
    <w:p w14:paraId="3CC9A768" w14:textId="77777777" w:rsidR="00571FC6" w:rsidRPr="00483F7D" w:rsidRDefault="007A1FD7">
      <w:pPr>
        <w:pStyle w:val="ManualNumPar10"/>
      </w:pPr>
      <w:r w:rsidRPr="00483F7D">
        <w:t>3.</w:t>
      </w:r>
      <w:r w:rsidRPr="00483F7D">
        <w:tab/>
        <w:t>Είναι δυνατή η υπαγωγή ενωσιακών εμπορευμάτων σε καθεστώς τελωνειακής αποταμίευσης ή ελεύθερης ζώνης σύμφωνα με τη λοιπή νομοθεσία που εφαρμόζεται από τις τελωνειακές αρχές ή με στόχο να επωφεληθούν από απόφαση για την επιστροφή ή διαγραφή του εισαγωγικού δασμού. Είναι δυνατή η είσοδος, αποθήκευση, διακίνηση, χρησιμοποίηση, μεταποίηση ή ανάλωση ενωσιακών εμπορευμάτων ενόσω βρίσκονται σε αποθήκη τελωνειακής αποταμίευσης ή ελεύθερη ζώνη. Σε αυτές τις περιπτώσεις, τα εμπορεύματα δεν θεωρείται ότι υπάγονται σε καθεστώς αποθήκευσης.</w:t>
      </w:r>
    </w:p>
    <w:p w14:paraId="1F2819B9" w14:textId="77777777" w:rsidR="00E0244C" w:rsidRPr="00483F7D" w:rsidRDefault="007A1FD7">
      <w:pPr>
        <w:pStyle w:val="ManualNumPar10"/>
      </w:pPr>
      <w:r w:rsidRPr="00483F7D">
        <w:t>4.</w:t>
      </w:r>
      <w:r w:rsidRPr="00483F7D">
        <w:tab/>
        <w:t>Ο εισαγωγέας υπάγει μη ενωσιακά εμπορεύματα που μεταφέρονται εντός αποθήκης τελωνειακής αποταμίευσης ή ελεύθερης ζώνης υπό το κατάλληλο καθεστώς αποθήκευσης.</w:t>
      </w:r>
    </w:p>
    <w:p w14:paraId="606F98FC" w14:textId="77777777" w:rsidR="00E0244C" w:rsidRPr="00483F7D" w:rsidRDefault="007A1FD7">
      <w:pPr>
        <w:pStyle w:val="ManualNumPar10"/>
      </w:pPr>
      <w:r w:rsidRPr="00483F7D">
        <w:t>5.</w:t>
      </w:r>
      <w:r w:rsidRPr="00483F7D">
        <w:tab/>
        <w:t xml:space="preserve">Η Επιτροπή ορίζει, με εκτελεστικές πράξεις, τη διαδικασία για την υπαγωγή ενωσιακών εμπορευμάτων σε καθεστώς τελωνειακής αποταμίευσης ή ελεύθερης ζώνης, όπως αναφέρεται στην παράγραφο 2.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rPr>
          <w:rStyle w:val="Hyperlink"/>
        </w:rPr>
        <w:t>.</w:t>
      </w:r>
    </w:p>
    <w:p w14:paraId="344CE007" w14:textId="77777777" w:rsidR="00E0244C" w:rsidRPr="00483F7D" w:rsidRDefault="007A1FD7">
      <w:pPr>
        <w:pStyle w:val="Titrearticle"/>
      </w:pPr>
      <w:r w:rsidRPr="00483F7D">
        <w:t>Άρθρο 119</w:t>
      </w:r>
    </w:p>
    <w:p w14:paraId="043B3647" w14:textId="77777777" w:rsidR="00E0244C" w:rsidRPr="00483F7D" w:rsidRDefault="007A1FD7">
      <w:pPr>
        <w:pStyle w:val="NormalCentered"/>
      </w:pPr>
      <w:r w:rsidRPr="00483F7D">
        <w:rPr>
          <w:b/>
        </w:rPr>
        <w:t>Πληροφορίες αποθήκευσης</w:t>
      </w:r>
    </w:p>
    <w:p w14:paraId="6E9DEB13" w14:textId="77777777" w:rsidR="00E0244C" w:rsidRPr="00483F7D" w:rsidRDefault="007A1FD7">
      <w:pPr>
        <w:pStyle w:val="ManualNumPar10"/>
      </w:pPr>
      <w:r w:rsidRPr="00483F7D">
        <w:t>1.</w:t>
      </w:r>
      <w:r w:rsidRPr="00483F7D">
        <w:tab/>
        <w:t>Ο διαχειριστής αποθήκης τελωνειακής αποταμίευσης ή ελεύθερης ζώνης παρέχει ή καθιστά διαθέσιμα στις τελωνειακές αρχές τα ελάχιστα δεδομένα που είναι αναγκαία για την εφαρμογή των διατάξεων οι οποίες διέπουν την αποθήκευση των εμπορευμάτων που βρίσκονται σε αυτήν, ιδίως τα δεδομένα που αναφέρονται στο άρθρο 118 παράγραφος 2 στοιχείο α), τον τελωνειακό χαρακτήρα των εμπορευμάτων που έχουν υπαχθεί στο καθεστώς αποθήκευσης και τις μετέπειτα διακινήσεις των εν λόγω εμπορευμάτων.</w:t>
      </w:r>
    </w:p>
    <w:p w14:paraId="3B503B54" w14:textId="77777777" w:rsidR="00E0244C" w:rsidRPr="00483F7D" w:rsidRDefault="007A1FD7">
      <w:pPr>
        <w:pStyle w:val="ManualNumPar10"/>
      </w:pPr>
      <w:r w:rsidRPr="00483F7D">
        <w:t>2.</w:t>
      </w:r>
      <w:r w:rsidRPr="00483F7D">
        <w:tab/>
        <w:t>Όταν ο εισαγωγέας ή ο μεταφορέας έχει ήδη παράσχει ή καταστήσει διαθέσιμο το σύνολο ή μέρος των πληροφοριών που αναφέρονται στην παράγραφο 1, ο διαχειριστής αποθήκης τελωνειακής αποταμίευσης ή ελεύθερης ζώνης συνδέει τις δικές του πρόσθετες πληροφορίες με τις πληροφορίες του εισαγωγέα ή του μεταφορέα.</w:t>
      </w:r>
    </w:p>
    <w:p w14:paraId="1000D013" w14:textId="77777777" w:rsidR="00E0244C" w:rsidRPr="00483F7D" w:rsidRDefault="007A1FD7">
      <w:pPr>
        <w:pStyle w:val="ManualNumPar10"/>
      </w:pPr>
      <w:r w:rsidRPr="00483F7D">
        <w:t>3.</w:t>
      </w:r>
      <w:r w:rsidRPr="00483F7D">
        <w:tab/>
        <w:t>Ο διαχειριστής δεν πρέπει να δέχεται εμπορεύματα για τα οποία οι ελάχιστες πληροφορίες δεν έχουν παρασχεθεί ή καταστεί διαθέσιμες στο τελωνείο.</w:t>
      </w:r>
    </w:p>
    <w:p w14:paraId="0A3B121E" w14:textId="77777777" w:rsidR="00E0244C" w:rsidRPr="00483F7D" w:rsidRDefault="007A1FD7">
      <w:pPr>
        <w:pStyle w:val="ManualNumPar10"/>
      </w:pPr>
      <w:r w:rsidRPr="00483F7D">
        <w:t>4.</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ελάχιστων πληροφοριών που αναφέρονται στην παράγραφο 1 του παρόντος άρθρου.</w:t>
      </w:r>
    </w:p>
    <w:p w14:paraId="1732B8A1" w14:textId="77777777" w:rsidR="00E0244C" w:rsidRPr="00483F7D" w:rsidRDefault="007A1FD7">
      <w:pPr>
        <w:pStyle w:val="Titrearticle"/>
      </w:pPr>
      <w:r w:rsidRPr="00483F7D">
        <w:t>Άρθρο 120</w:t>
      </w:r>
    </w:p>
    <w:p w14:paraId="0FE1C704" w14:textId="77777777" w:rsidR="00E0244C" w:rsidRPr="00483F7D" w:rsidRDefault="007A1FD7">
      <w:pPr>
        <w:pStyle w:val="NormalCentered"/>
      </w:pPr>
      <w:r w:rsidRPr="00483F7D">
        <w:rPr>
          <w:b/>
        </w:rPr>
        <w:t>Τροποποίηση και ακύρωση των πληροφοριών αποθήκευσης</w:t>
      </w:r>
    </w:p>
    <w:p w14:paraId="639CA5B7" w14:textId="77777777" w:rsidR="00E0244C" w:rsidRPr="00483F7D" w:rsidRDefault="007A1FD7">
      <w:pPr>
        <w:pStyle w:val="ManualNumPar10"/>
      </w:pPr>
      <w:r w:rsidRPr="00483F7D">
        <w:t>1.</w:t>
      </w:r>
      <w:r w:rsidRPr="00483F7D">
        <w:tab/>
        <w:t>Ο διαχειριστής αποθήκης τελωνειακής αποταμίευσης ή ελεύθερης ζώνης μπορεί να τροποποιήσει ένα ή περισσότερα στοιχεία των πληροφοριών σχετικά με τα εμπορεύματα που βρίσκονται στην εγκατάστασή του μετά την παροχή ή τη διάθεσή τους, εκτός αν οι τελωνειακές αρχές έχουν ενημερώσει τον διαχειριστή ότι προτίθενται να εξετάσουν τα εμπορεύματα ή ότι έχουν διαπιστώσει ότι οι πληροφορίες σχετικά με τα εμπορεύματα είναι εσφαλμένες.</w:t>
      </w:r>
    </w:p>
    <w:p w14:paraId="0B8E3F57" w14:textId="77777777" w:rsidR="00E0244C" w:rsidRPr="00483F7D" w:rsidRDefault="007A1FD7">
      <w:pPr>
        <w:pStyle w:val="ManualNumPar10"/>
      </w:pPr>
      <w:r w:rsidRPr="00483F7D">
        <w:t>2.</w:t>
      </w:r>
      <w:r w:rsidRPr="00483F7D">
        <w:tab/>
        <w:t>Ο εισαγωγέας, ο μεταφορέας ή ο διαχειριστής της αποθήκης ελεύθερης ζώνης ακυρώνει το συντομότερο δυνατό τις πληροφορίες σχετικά με τα εμπορεύματα που δεν έχουν μεταφερθεί εντός του τελωνειακού εδάφους της Ένωσης. Οι τελωνειακές αρχές ακυρώνουν τις πληροφορίες σχετικά με τα εν λόγω εμπορεύματα ύστερα από 30 ημέρες από την ημερομηνία κατά την οποία παρασχέθηκαν ή κατέστησαν διαθέσιμες οι πληροφορίες.</w:t>
      </w:r>
    </w:p>
    <w:p w14:paraId="6B20A89F" w14:textId="77777777" w:rsidR="00E0244C" w:rsidRPr="00483F7D" w:rsidRDefault="007A1FD7">
      <w:pPr>
        <w:pStyle w:val="Titrearticle"/>
      </w:pPr>
      <w:r w:rsidRPr="00483F7D">
        <w:t>Άρθρο 121</w:t>
      </w:r>
    </w:p>
    <w:p w14:paraId="5EF1C88E" w14:textId="77777777" w:rsidR="00E0244C" w:rsidRPr="00483F7D" w:rsidRDefault="007A1FD7">
      <w:pPr>
        <w:pStyle w:val="NormalCentered"/>
      </w:pPr>
      <w:r w:rsidRPr="00483F7D">
        <w:rPr>
          <w:b/>
        </w:rPr>
        <w:t>Διάρκεια του καθεστώτος αποθήκευσης</w:t>
      </w:r>
    </w:p>
    <w:p w14:paraId="7CA7E5E5" w14:textId="77777777" w:rsidR="00E0244C" w:rsidRPr="00483F7D" w:rsidRDefault="007A1FD7">
      <w:pPr>
        <w:pStyle w:val="ManualNumPar10"/>
      </w:pPr>
      <w:r w:rsidRPr="00483F7D">
        <w:t>1.</w:t>
      </w:r>
      <w:r w:rsidRPr="00483F7D">
        <w:tab/>
        <w:t>Η χρονική διάρκεια παραμονής εμπορευμάτων υπό καθεστώς αποθήκευσης είναι απεριόριστη.</w:t>
      </w:r>
    </w:p>
    <w:p w14:paraId="502B7B20" w14:textId="77777777" w:rsidR="00E0244C" w:rsidRPr="00483F7D" w:rsidRDefault="007A1FD7">
      <w:pPr>
        <w:pStyle w:val="ManualNumPar10"/>
      </w:pPr>
      <w:r w:rsidRPr="00483F7D">
        <w:t>2.</w:t>
      </w:r>
      <w:r w:rsidRPr="00483F7D">
        <w:tab/>
        <w:t>Σε εξαιρετικές περιστάσεις, οι τελωνειακές αρχές μπορούν να τάσσουν προθεσμία για την εκκαθάριση του καθεστώτος αποθήκευσης και ιδίως όταν, λόγω του είδους και της φύσης των εμπορευμάτων, ενδέχεται, σε περίπτωση μακροχρόνιας αποθήκευσης, να απειλείται η υγεία των ανθρώπων, των ζώων ή των φυτών, ή το περιβάλλον.</w:t>
      </w:r>
    </w:p>
    <w:p w14:paraId="2F1F5B0F" w14:textId="77777777" w:rsidR="00E0244C" w:rsidRPr="00483F7D" w:rsidRDefault="007A1FD7">
      <w:pPr>
        <w:pStyle w:val="SectionTitle"/>
      </w:pPr>
      <w:r w:rsidRPr="00483F7D">
        <w:t xml:space="preserve">Τμήμα 2 </w:t>
      </w:r>
      <w:r w:rsidRPr="00483F7D">
        <w:br/>
        <w:t>Τελωνειακή αποταμίευση</w:t>
      </w:r>
    </w:p>
    <w:p w14:paraId="60F51F85" w14:textId="77777777" w:rsidR="00E0244C" w:rsidRPr="00483F7D" w:rsidRDefault="007A1FD7">
      <w:pPr>
        <w:pStyle w:val="Titrearticle"/>
      </w:pPr>
      <w:r w:rsidRPr="00483F7D">
        <w:t>Άρθρο 122</w:t>
      </w:r>
    </w:p>
    <w:p w14:paraId="36C71FB0" w14:textId="77777777" w:rsidR="00E0244C" w:rsidRPr="00483F7D" w:rsidRDefault="007A1FD7">
      <w:pPr>
        <w:pStyle w:val="NormalCentered"/>
      </w:pPr>
      <w:r w:rsidRPr="00483F7D">
        <w:rPr>
          <w:b/>
        </w:rPr>
        <w:t>Αποθήκευση σε αποθήκη τελωνειακής αποταμίευσης</w:t>
      </w:r>
    </w:p>
    <w:p w14:paraId="10176BC5" w14:textId="77777777" w:rsidR="00E0244C" w:rsidRPr="00483F7D" w:rsidRDefault="007A1FD7">
      <w:pPr>
        <w:pStyle w:val="ManualNumPar10"/>
      </w:pPr>
      <w:r w:rsidRPr="00483F7D">
        <w:t>1.</w:t>
      </w:r>
      <w:r w:rsidRPr="00483F7D">
        <w:tab/>
        <w:t>Στο πλαίσιο του καθεστώτος τελωνειακής αποταμίευσης, είναι δυνατή η αποθήκευση μη ενωσιακών εμπορευμάτων σε εγκαταστάσεις ή κάθε άλλο χώρο εγκεκριμένο για το συγκεκριμένο καθεστώς από τις τελωνειακές αρχές και υπό τελωνειακή επιτήρηση («αποθήκες τελωνειακής αποταμίευσης»).</w:t>
      </w:r>
    </w:p>
    <w:p w14:paraId="6D8E2D52" w14:textId="77777777" w:rsidR="00E0244C" w:rsidRPr="00483F7D" w:rsidRDefault="007A1FD7">
      <w:pPr>
        <w:pStyle w:val="ManualNumPar10"/>
      </w:pPr>
      <w:r w:rsidRPr="00483F7D">
        <w:t>2.</w:t>
      </w:r>
      <w:r w:rsidRPr="00483F7D">
        <w:tab/>
        <w:t>Οι αποθήκες τελωνειακής αποταμίευσης είναι δυνατό να χρησιμοποιούνται από οποιονδήποτε εισαγωγέα για την τελωνειακή αποταμίευση εμπορευμάτων (στο εξής: δημόσιες αποθήκες τελωνειακής αποταμίευσης) ή για την αποθήκευση εισαγόμενων εμπορευμάτων από τον δικαιούχο άδειας καθεστώτος τελωνειακής αποταμίευσης (στο εξής: ιδιωτικές αποθήκες τελωνειακής αποταμίευσης).</w:t>
      </w:r>
    </w:p>
    <w:p w14:paraId="026D8AF2" w14:textId="77777777" w:rsidR="00E0244C" w:rsidRPr="00483F7D" w:rsidRDefault="007A1FD7">
      <w:pPr>
        <w:pStyle w:val="Titrearticle"/>
      </w:pPr>
      <w:bookmarkStart w:id="119" w:name="__akn_article_DMoe3i"/>
      <w:bookmarkEnd w:id="119"/>
      <w:r w:rsidRPr="00483F7D">
        <w:t>Άρθρο 123</w:t>
      </w:r>
    </w:p>
    <w:p w14:paraId="3F78059C" w14:textId="77777777" w:rsidR="00E0244C" w:rsidRPr="00483F7D" w:rsidRDefault="007A1FD7">
      <w:pPr>
        <w:pStyle w:val="NormalCentered"/>
      </w:pPr>
      <w:r w:rsidRPr="00483F7D">
        <w:rPr>
          <w:b/>
        </w:rPr>
        <w:t>Άδεια λειτουργίας αποθήκης τελωνειακής αποταμίευσης</w:t>
      </w:r>
    </w:p>
    <w:p w14:paraId="7A7C0524" w14:textId="77777777" w:rsidR="00E0244C" w:rsidRPr="00483F7D" w:rsidRDefault="007A1FD7">
      <w:pPr>
        <w:pStyle w:val="ManualNumPar10"/>
      </w:pPr>
      <w:r w:rsidRPr="00483F7D">
        <w:t>1.</w:t>
      </w:r>
      <w:r w:rsidRPr="00483F7D">
        <w:tab/>
        <w:t>Για τη λειτουργία αποθήκης τελωνειακής αποταμίευσης απαιτείται άδεια των τελωνειακών αρχών, εκτός αν ο διαχειριστής της αποθήκης τελωνειακής αποταμίευσης είναι η ίδια η τελωνειακή αρχή. Η άδεια καθορίζει τους όρους λειτουργίας της αποθήκης τελωνειακής αποταμίευσης.</w:t>
      </w:r>
    </w:p>
    <w:p w14:paraId="02DE3443" w14:textId="77777777" w:rsidR="00E0244C" w:rsidRPr="00483F7D" w:rsidRDefault="007A1FD7">
      <w:pPr>
        <w:pStyle w:val="ManualNumPar10"/>
      </w:pPr>
      <w:r w:rsidRPr="00483F7D">
        <w:t>2.</w:t>
      </w:r>
      <w:r w:rsidRPr="00483F7D">
        <w:tab/>
        <w:t>Η άδεια που αναφέρεται στην παράγραφο 1 χορηγείται μόνο σε πρόσωπα που πληρούν τους ακόλουθους όρους:</w:t>
      </w:r>
    </w:p>
    <w:p w14:paraId="21879D52" w14:textId="0B3FA298" w:rsidR="00A17FAC" w:rsidRPr="00483F7D" w:rsidRDefault="00BC60FC" w:rsidP="00BC60FC">
      <w:pPr>
        <w:pStyle w:val="Point1"/>
      </w:pPr>
      <w:r w:rsidRPr="00483F7D">
        <w:t>α)</w:t>
      </w:r>
      <w:r w:rsidRPr="00483F7D">
        <w:tab/>
      </w:r>
      <w:r w:rsidR="007A1FD7" w:rsidRPr="00483F7D">
        <w:t>είναι εγκατεστημένα στο τελωνειακό έδαφος της Ένωσης,</w:t>
      </w:r>
    </w:p>
    <w:p w14:paraId="6AAB285B" w14:textId="423EFAC8" w:rsidR="00A17FAC" w:rsidRPr="00483F7D" w:rsidRDefault="00BC60FC" w:rsidP="00BC60FC">
      <w:pPr>
        <w:pStyle w:val="Point1"/>
      </w:pPr>
      <w:r w:rsidRPr="00483F7D">
        <w:t>β)</w:t>
      </w:r>
      <w:r w:rsidRPr="00483F7D">
        <w:tab/>
      </w:r>
      <w:r w:rsidR="00A17FAC" w:rsidRPr="00483F7D">
        <w:t>παρέχουν τα αναγκαία εχέγγυα για την ορθή διεξαγωγή των πράξεων·</w:t>
      </w:r>
    </w:p>
    <w:p w14:paraId="43382C89" w14:textId="43BB7CD5" w:rsidR="00A17FAC" w:rsidRPr="00483F7D" w:rsidRDefault="00BC60FC" w:rsidP="00BC60FC">
      <w:pPr>
        <w:pStyle w:val="Point1"/>
      </w:pPr>
      <w:r w:rsidRPr="00483F7D">
        <w:t>γ)</w:t>
      </w:r>
      <w:r w:rsidRPr="00483F7D">
        <w:tab/>
      </w:r>
      <w:r w:rsidR="00A17FAC" w:rsidRPr="00483F7D">
        <w:t xml:space="preserve">ο αξιόπιστος και ελεγμένος συναλλασσόμενος θεωρείται ότι πληροί τον όρο αυτό, εφόσον η λειτουργία αποθήκης τελωνειακής αποταμίευσης λαμβάνεται υπόψη στην άδεια που αναφέρεται στο άρθρο </w:t>
      </w:r>
      <w:hyperlink w:anchor="_bill__akn_article_s1DBwy" w:tooltip="Article 25: 25">
        <w:r w:rsidR="00A17FAC" w:rsidRPr="00483F7D">
          <w:rPr>
            <w:rStyle w:val="Hyperlink"/>
          </w:rPr>
          <w:t>25</w:t>
        </w:r>
      </w:hyperlink>
      <w:r w:rsidR="00A17FAC" w:rsidRPr="00483F7D">
        <w:t>·</w:t>
      </w:r>
    </w:p>
    <w:p w14:paraId="5D1158D0" w14:textId="51FFD6B6" w:rsidR="00A17FAC" w:rsidRPr="00483F7D" w:rsidRDefault="00BC60FC" w:rsidP="00BC60FC">
      <w:pPr>
        <w:pStyle w:val="Point1"/>
      </w:pPr>
      <w:r w:rsidRPr="00483F7D">
        <w:t>δ)</w:t>
      </w:r>
      <w:r w:rsidRPr="00483F7D">
        <w:tab/>
      </w:r>
      <w:r w:rsidR="00A17FAC" w:rsidRPr="00483F7D">
        <w:t>παρέχουν εγγύηση για την ενδεχόμενη τελωνειακή οφειλή.</w:t>
      </w:r>
    </w:p>
    <w:p w14:paraId="7D89039E" w14:textId="77777777" w:rsidR="00E0244C" w:rsidRPr="00483F7D" w:rsidRDefault="007A1FD7">
      <w:pPr>
        <w:pStyle w:val="ManualNumPar10"/>
      </w:pPr>
      <w:r w:rsidRPr="00483F7D">
        <w:t>3.</w:t>
      </w:r>
      <w:r w:rsidRPr="00483F7D">
        <w:tab/>
        <w:t>Η άδεια που αναφέρεται στην παράγραφο 1 χορηγείται μόνο εφόσον οι τελωνειακές αρχές μπορούν να ασκήσουν τελωνειακή επιτήρηση χωρίς να χρειαστεί να θεσπίσουν διοικητικές ρυθμίσεις δυσανάλογες προς τις σχετικές οικονομικές ανάγκες.</w:t>
      </w:r>
    </w:p>
    <w:p w14:paraId="0C5CBF5C" w14:textId="77777777" w:rsidR="00E0244C" w:rsidRPr="00483F7D" w:rsidRDefault="007A1FD7">
      <w:pPr>
        <w:pStyle w:val="ManualNumPar10"/>
      </w:pPr>
      <w:r w:rsidRPr="00483F7D">
        <w:t>4.</w:t>
      </w:r>
      <w:r w:rsidRPr="00483F7D">
        <w:tab/>
        <w:t xml:space="preserve">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όρων για τη χορήγηση της άδειας που αναφέρεται στην παράγραφο 1 του παρόντος άρθρου. </w:t>
      </w:r>
    </w:p>
    <w:p w14:paraId="5D25E2BE" w14:textId="77777777" w:rsidR="00E0244C" w:rsidRPr="00483F7D" w:rsidRDefault="007A1FD7">
      <w:pPr>
        <w:pStyle w:val="Titrearticle"/>
      </w:pPr>
      <w:r w:rsidRPr="00483F7D">
        <w:t>Άρθρο 124</w:t>
      </w:r>
    </w:p>
    <w:p w14:paraId="11788751" w14:textId="77777777" w:rsidR="00E0244C" w:rsidRPr="00483F7D" w:rsidRDefault="007A1FD7">
      <w:pPr>
        <w:pStyle w:val="NormalCentered"/>
      </w:pPr>
      <w:r w:rsidRPr="00483F7D">
        <w:rPr>
          <w:b/>
        </w:rPr>
        <w:t>Διακίνηση εμπορευμάτων σε αποθήκη τελωνειακής αποταμίευσης</w:t>
      </w:r>
    </w:p>
    <w:p w14:paraId="57EBDE4E" w14:textId="77777777" w:rsidR="00E0244C" w:rsidRPr="00483F7D" w:rsidRDefault="007A1FD7">
      <w:pPr>
        <w:pStyle w:val="ManualNumPar10"/>
      </w:pPr>
      <w:r w:rsidRPr="00483F7D">
        <w:t>1.</w:t>
      </w:r>
      <w:r w:rsidRPr="00483F7D">
        <w:tab/>
        <w:t>Οι τελωνειακές αρχές μπορούν να χορηγούν άδεια σε διαχειριστή αποθήκης τελωνειακής αποταμίευσης να διακινεί εμπορεύματα υπό τους ακόλουθους όρους:</w:t>
      </w:r>
    </w:p>
    <w:p w14:paraId="0EBC32CD" w14:textId="33FBBFB2" w:rsidR="00E0244C" w:rsidRPr="00483F7D" w:rsidRDefault="00BC60FC" w:rsidP="00BC60FC">
      <w:pPr>
        <w:pStyle w:val="Point1"/>
      </w:pPr>
      <w:r w:rsidRPr="00483F7D">
        <w:t>α)</w:t>
      </w:r>
      <w:r w:rsidRPr="00483F7D">
        <w:tab/>
      </w:r>
      <w:r w:rsidR="007A1FD7" w:rsidRPr="00483F7D">
        <w:t>η δυνατότητα διακίνησης των εμπορευμάτων προβλέπεται στην άδεια αποθήκης τελωνειακής αποταμίευσης·</w:t>
      </w:r>
    </w:p>
    <w:p w14:paraId="64F59B7E" w14:textId="6AF4E474" w:rsidR="00E0244C" w:rsidRPr="00483F7D" w:rsidRDefault="00BC60FC" w:rsidP="00BC60FC">
      <w:pPr>
        <w:pStyle w:val="Point1"/>
      </w:pPr>
      <w:r w:rsidRPr="00483F7D">
        <w:t>β)</w:t>
      </w:r>
      <w:r w:rsidRPr="00483F7D">
        <w:tab/>
      </w:r>
      <w:r w:rsidR="007A1FD7" w:rsidRPr="00483F7D">
        <w:t>ο διαχειριστής της αποθήκης τελωνειακής αποταμίευσης είναι αξιόπιστος και ελεγμένος εγκεκριμένος οικονομικός φορέας·</w:t>
      </w:r>
    </w:p>
    <w:p w14:paraId="3D5B1361" w14:textId="1DE99E42" w:rsidR="00E0244C" w:rsidRPr="00483F7D" w:rsidRDefault="00BC60FC" w:rsidP="00BC60FC">
      <w:pPr>
        <w:pStyle w:val="Point1"/>
      </w:pPr>
      <w:r w:rsidRPr="00483F7D">
        <w:t>γ)</w:t>
      </w:r>
      <w:r w:rsidRPr="00483F7D">
        <w:tab/>
      </w:r>
      <w:r w:rsidR="007A1FD7" w:rsidRPr="00483F7D">
        <w:t>οι πληροφορίες σχετικά με τις διακινήσεις καταγράφονται στα αρχεία του διαχειριστή και παρέχονται ή καθίστανται διαθέσιμες στις τελωνειακές αρχές αναχώρησης και άφιξης των εμπορευμάτων.</w:t>
      </w:r>
    </w:p>
    <w:p w14:paraId="6A034B93" w14:textId="77777777" w:rsidR="00E0244C" w:rsidRPr="00483F7D" w:rsidRDefault="007A1FD7">
      <w:pPr>
        <w:pStyle w:val="ManualNumPar10"/>
      </w:pPr>
      <w:r w:rsidRPr="00483F7D">
        <w:t>2.</w:t>
      </w:r>
      <w:r w:rsidRPr="00483F7D">
        <w:tab/>
        <w:t xml:space="preserve">Η Επιτροπή ορίζει, με εκτελεστικές πράξεις, τη διαδικασία για τη διακίνηση των εμπορευμάτων στην αποθήκη τελωνειακής αποταμίευσης που αναφέρεται στην παράγραφο 1.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t>4</w:t>
        </w:r>
      </w:hyperlink>
      <w:r w:rsidRPr="00483F7D">
        <w:t>.</w:t>
      </w:r>
    </w:p>
    <w:p w14:paraId="1B77305A" w14:textId="77777777" w:rsidR="00E0244C" w:rsidRPr="00483F7D" w:rsidRDefault="007A1FD7">
      <w:pPr>
        <w:pStyle w:val="Titrearticle"/>
      </w:pPr>
      <w:r w:rsidRPr="00483F7D">
        <w:t>Άρθρο 125</w:t>
      </w:r>
    </w:p>
    <w:p w14:paraId="4686C064" w14:textId="77777777" w:rsidR="00E0244C" w:rsidRPr="00483F7D" w:rsidRDefault="007A1FD7">
      <w:pPr>
        <w:pStyle w:val="NormalCentered"/>
      </w:pPr>
      <w:r w:rsidRPr="00483F7D">
        <w:rPr>
          <w:b/>
        </w:rPr>
        <w:t>Τελειοποίηση σε αποθήκη τελωνειακής αποταμίευσης</w:t>
      </w:r>
    </w:p>
    <w:p w14:paraId="3A8F920C" w14:textId="77777777" w:rsidR="00E0244C" w:rsidRPr="00483F7D" w:rsidRDefault="007A1FD7">
      <w:r w:rsidRPr="00483F7D">
        <w:t>Σε περίπτωση οικονομικής ανάγκης και εφόσον δεν επηρεάζεται αρνητικά η τελωνειακή επιτήρηση, οι τελωνειακές αρχές μπορούν να επιτρέπουν εμπορεύματα που βρίσκονται σε τελωνειακή αποταμίευση να υπάγονται στη συνέχεια στο καθεστώς τελειοποίησης προς επανεξαγωγή ή στο καθεστώς ειδικού προορισμού προς μεταποίηση στην αποθήκη τελωνειακής αποταμίευσης, υπό τον όρο ότι πληρούνται οι όροι που ισχύουν για τα εν λόγω καθεστώτα.</w:t>
      </w:r>
    </w:p>
    <w:p w14:paraId="30E2A868" w14:textId="77777777" w:rsidR="00E0244C" w:rsidRPr="00483F7D" w:rsidRDefault="007A1FD7">
      <w:pPr>
        <w:pStyle w:val="Titrearticle"/>
      </w:pPr>
      <w:r w:rsidRPr="00483F7D">
        <w:t>Άρθρο 126</w:t>
      </w:r>
    </w:p>
    <w:p w14:paraId="026373A7" w14:textId="77777777" w:rsidR="00E0244C" w:rsidRPr="00483F7D" w:rsidRDefault="00A71330">
      <w:pPr>
        <w:pStyle w:val="NormalCentered"/>
      </w:pPr>
      <w:r w:rsidRPr="00483F7D">
        <w:rPr>
          <w:b/>
        </w:rPr>
        <w:t>Τελωνειακή επιτήρηση</w:t>
      </w:r>
    </w:p>
    <w:p w14:paraId="3C58874A" w14:textId="77777777" w:rsidR="00E0244C" w:rsidRPr="00483F7D" w:rsidRDefault="007A1FD7" w:rsidP="00BC036D">
      <w:r w:rsidRPr="00483F7D">
        <w:t>Ο δικαιούχος της άδειας είναι υπεύθυνος να διασφαλίζει ότι τα εμπορεύματα που υπάγονται στο καθεστώς τελωνειακής αποταμίευσης δεν απομακρύνονται από την τελωνειακή επιτήρηση.</w:t>
      </w:r>
    </w:p>
    <w:p w14:paraId="2B4AEF83" w14:textId="77777777" w:rsidR="00E0244C" w:rsidRPr="00483F7D" w:rsidRDefault="007A1FD7">
      <w:pPr>
        <w:pStyle w:val="SectionTitle"/>
      </w:pPr>
      <w:r w:rsidRPr="00483F7D">
        <w:t xml:space="preserve">Τμήμα 3 </w:t>
      </w:r>
      <w:r w:rsidRPr="00483F7D">
        <w:br/>
        <w:t>Ελεύθερες ζώνες</w:t>
      </w:r>
    </w:p>
    <w:p w14:paraId="74D345F6" w14:textId="77777777" w:rsidR="00E0244C" w:rsidRPr="00483F7D" w:rsidRDefault="007A1FD7">
      <w:pPr>
        <w:pStyle w:val="Titrearticle"/>
      </w:pPr>
      <w:r w:rsidRPr="00483F7D">
        <w:t>Άρθρο 127</w:t>
      </w:r>
    </w:p>
    <w:p w14:paraId="682FD23F" w14:textId="77777777" w:rsidR="00E0244C" w:rsidRPr="00483F7D" w:rsidRDefault="007A1FD7">
      <w:pPr>
        <w:pStyle w:val="NormalCentered"/>
      </w:pPr>
      <w:r w:rsidRPr="00483F7D">
        <w:rPr>
          <w:b/>
        </w:rPr>
        <w:t>Ορισμός ελεύθερων ζωνών</w:t>
      </w:r>
    </w:p>
    <w:p w14:paraId="0DA199AD" w14:textId="77777777" w:rsidR="00E0244C" w:rsidRPr="00483F7D" w:rsidRDefault="007A1FD7">
      <w:pPr>
        <w:pStyle w:val="ManualNumPar10"/>
      </w:pPr>
      <w:r w:rsidRPr="00483F7D">
        <w:t>1.</w:t>
      </w:r>
      <w:r w:rsidRPr="00483F7D">
        <w:tab/>
        <w:t>Τα κράτη μέλη μπορούν να ορίζουν τμήματα του τελωνειακού εδάφους της Ένωσης ως ελεύθερες ζώνες.</w:t>
      </w:r>
    </w:p>
    <w:p w14:paraId="0B912CB6" w14:textId="77777777" w:rsidR="00E0244C" w:rsidRPr="00483F7D" w:rsidRDefault="007A1FD7">
      <w:pPr>
        <w:pStyle w:val="Text1"/>
      </w:pPr>
      <w:r w:rsidRPr="00483F7D">
        <w:t>Για κάθε ελεύθερη ζώνη, το κράτος μέλος καθορίζει τα γεωγραφικά της όρια και ορίζει τα σημεία εισόδου και εξόδου.</w:t>
      </w:r>
    </w:p>
    <w:p w14:paraId="5B6CF1B2" w14:textId="77777777" w:rsidR="00E0244C" w:rsidRPr="00483F7D" w:rsidRDefault="007A1FD7">
      <w:pPr>
        <w:pStyle w:val="ManualNumPar10"/>
      </w:pPr>
      <w:r w:rsidRPr="00483F7D">
        <w:t>2.</w:t>
      </w:r>
      <w:r w:rsidRPr="00483F7D">
        <w:tab/>
        <w:t>Τα κράτη μέλη κοινοποιούν στην Επιτροπή πληροφορίες σχετικά με τις ελεύθερες ζώνες τους οι οποίες λειτουργούν.</w:t>
      </w:r>
    </w:p>
    <w:p w14:paraId="7D81209D" w14:textId="77777777" w:rsidR="00E0244C" w:rsidRPr="00483F7D" w:rsidRDefault="007A1FD7">
      <w:pPr>
        <w:pStyle w:val="ManualNumPar10"/>
      </w:pPr>
      <w:r w:rsidRPr="00483F7D">
        <w:t>3.</w:t>
      </w:r>
      <w:r w:rsidRPr="00483F7D">
        <w:tab/>
        <w:t>Οι ελεύθερες ζώνες είναι περίκλειστες.</w:t>
      </w:r>
    </w:p>
    <w:p w14:paraId="5DCD16E7" w14:textId="77777777" w:rsidR="00E0244C" w:rsidRPr="00483F7D" w:rsidRDefault="007A1FD7">
      <w:pPr>
        <w:pStyle w:val="Text1"/>
      </w:pPr>
      <w:r w:rsidRPr="00483F7D">
        <w:t>Η περίμετρος και τα σημεία εισόδου και εξόδου της περιοχής των ελευθέρων ζωνών υπόκεινται σε τελωνειακή επιτήρηση.</w:t>
      </w:r>
    </w:p>
    <w:p w14:paraId="1FF47D1A" w14:textId="77777777" w:rsidR="00E0244C" w:rsidRPr="00483F7D" w:rsidRDefault="007A1FD7">
      <w:pPr>
        <w:pStyle w:val="ManualNumPar10"/>
      </w:pPr>
      <w:r w:rsidRPr="00483F7D">
        <w:t>4.</w:t>
      </w:r>
      <w:r w:rsidRPr="00483F7D">
        <w:tab/>
        <w:t>Τα πρόσωπα, τα εμπορεύματα και τα μεταφορικά μέσα που εισέρχονται σε ελεύθερη ζώνη ή εξέρχονται απ’ αυτήν είναι δυνατό να υποβάλλονται σε τελωνειακούς ελέγχους.</w:t>
      </w:r>
    </w:p>
    <w:p w14:paraId="0170187B" w14:textId="77777777" w:rsidR="00E0244C" w:rsidRPr="00483F7D" w:rsidRDefault="007A1FD7">
      <w:pPr>
        <w:pStyle w:val="Titrearticle"/>
      </w:pPr>
      <w:r w:rsidRPr="00483F7D">
        <w:t>Άρθρο 128</w:t>
      </w:r>
    </w:p>
    <w:p w14:paraId="4467C57B" w14:textId="77777777" w:rsidR="00E0244C" w:rsidRPr="00483F7D" w:rsidRDefault="007A1FD7">
      <w:pPr>
        <w:pStyle w:val="NormalCentered"/>
      </w:pPr>
      <w:r w:rsidRPr="00483F7D">
        <w:rPr>
          <w:b/>
        </w:rPr>
        <w:t>Κτίρια και δραστηριότητες σε ελεύθερες ζώνες</w:t>
      </w:r>
    </w:p>
    <w:p w14:paraId="5C0FCC43" w14:textId="77777777" w:rsidR="00E0244C" w:rsidRPr="00483F7D" w:rsidRDefault="007A1FD7">
      <w:pPr>
        <w:pStyle w:val="ManualNumPar10"/>
      </w:pPr>
      <w:r w:rsidRPr="00483F7D">
        <w:t>1.</w:t>
      </w:r>
      <w:r w:rsidRPr="00483F7D">
        <w:tab/>
        <w:t>Κάθε κατασκευή οποιουδήποτε κτιρίου σε ελεύθερη ζώνη προϋποθέτει την προηγούμενη έγκριση των τελωνειακών αρχών.</w:t>
      </w:r>
    </w:p>
    <w:p w14:paraId="651BFDB4" w14:textId="77777777" w:rsidR="00E0244C" w:rsidRPr="00483F7D" w:rsidRDefault="007A1FD7">
      <w:pPr>
        <w:pStyle w:val="ManualNumPar10"/>
      </w:pPr>
      <w:r w:rsidRPr="00483F7D">
        <w:t>2.</w:t>
      </w:r>
      <w:r w:rsidRPr="00483F7D">
        <w:tab/>
        <w:t>Με την επιφύλαξη της τελωνειακής νομοθεσίας, στην ελεύθερη ζώνη επιτρέπεται η άσκηση κάθε δραστηριότητας βιομηχανικής ή εμπορικής φύσης ή παροχής υπηρεσιών. Για την άσκηση των εν λόγω δραστηριοτήτων απαιτείται εκ των προτέρων γνωστοποίηση στις τελωνειακές αρχές.</w:t>
      </w:r>
    </w:p>
    <w:p w14:paraId="7DE0DAA6" w14:textId="77777777" w:rsidR="00E0244C" w:rsidRPr="00483F7D" w:rsidRDefault="007A1FD7">
      <w:pPr>
        <w:pStyle w:val="ManualNumPar10"/>
      </w:pPr>
      <w:r w:rsidRPr="00483F7D">
        <w:t>3.</w:t>
      </w:r>
      <w:r w:rsidRPr="00483F7D">
        <w:tab/>
        <w:t>Οι τελωνειακές αρχές μπορούν να απαγορεύουν ή να περιορίζουν τις δραστηριότητες που αναφέρονται στην παράγραφο 2, λαμβάνοντας υπόψη τη φύση των εκάστοτε εμπορευμάτων ή τις απαιτήσεις τελωνειακής επιτήρησης ή τις απαιτήσεις προστασίας και ασφάλειας.</w:t>
      </w:r>
    </w:p>
    <w:p w14:paraId="3631009A" w14:textId="77777777" w:rsidR="00E0244C" w:rsidRPr="00483F7D" w:rsidRDefault="007A1FD7">
      <w:pPr>
        <w:pStyle w:val="ManualNumPar10"/>
      </w:pPr>
      <w:r w:rsidRPr="00483F7D">
        <w:t>4.</w:t>
      </w:r>
      <w:r w:rsidRPr="00483F7D">
        <w:tab/>
        <w:t>Οι τελωνειακές αρχές μπορούν να απαγορεύουν την άσκηση δραστηριότητας σε ελεύθερη ζώνη σε πρόσωπα τα οποία δεν παρέχουν τα απαραίτητα εχέγγυα για την τήρηση των τελωνειακών διατάξεων.</w:t>
      </w:r>
    </w:p>
    <w:p w14:paraId="10F0D5CF" w14:textId="77777777" w:rsidR="00E0244C" w:rsidRPr="00483F7D" w:rsidRDefault="007A1FD7">
      <w:pPr>
        <w:pStyle w:val="Titrearticle"/>
      </w:pPr>
      <w:r w:rsidRPr="00483F7D">
        <w:t>Άρθρο 129</w:t>
      </w:r>
    </w:p>
    <w:p w14:paraId="02473314" w14:textId="77777777" w:rsidR="00E0244C" w:rsidRPr="00483F7D" w:rsidRDefault="007A1FD7">
      <w:pPr>
        <w:pStyle w:val="NormalCentered"/>
      </w:pPr>
      <w:r w:rsidRPr="00483F7D">
        <w:rPr>
          <w:b/>
        </w:rPr>
        <w:t>Μη ενωσιακά εμπορεύματα σε ελεύθερες ζώνες</w:t>
      </w:r>
    </w:p>
    <w:p w14:paraId="007F47AF" w14:textId="77777777" w:rsidR="00E0244C" w:rsidRPr="00483F7D" w:rsidRDefault="007A1FD7">
      <w:pPr>
        <w:pStyle w:val="ManualNumPar10"/>
      </w:pPr>
      <w:r w:rsidRPr="00483F7D">
        <w:t>1.</w:t>
      </w:r>
      <w:r w:rsidRPr="00483F7D">
        <w:tab/>
        <w:t>Είναι δυνατή η θέση μη ενωσιακών εμπορευμάτων σε ελεύθερη κυκλοφορία ή η υπαγωγή τους σε καθεστώς τελειοποίησης προς επανεξαγωγή, προσωρινής εισαγωγής ή ειδικού προορισμού, ενόσω αυτά παραμένουν σε ελεύθερη ζώνη, υπό τους όρους που ισχύουν για τα εν λόγω καθεστώτα.</w:t>
      </w:r>
    </w:p>
    <w:p w14:paraId="2DEDA7A5" w14:textId="77777777" w:rsidR="00E0244C" w:rsidRPr="00483F7D" w:rsidRDefault="007A1FD7">
      <w:pPr>
        <w:pStyle w:val="Text1"/>
      </w:pPr>
      <w:r w:rsidRPr="00483F7D">
        <w:t>Σε αυτές τις περιπτώσεις, τα εμπορεύματα δεν θεωρείται ότι υπάγονται σε καθεστώς ελεύθερης ζώνης.</w:t>
      </w:r>
    </w:p>
    <w:p w14:paraId="11452FB8" w14:textId="77777777" w:rsidR="00E0244C" w:rsidRPr="00483F7D" w:rsidRDefault="007A1FD7">
      <w:pPr>
        <w:pStyle w:val="ManualNumPar10"/>
      </w:pPr>
      <w:r w:rsidRPr="00483F7D">
        <w:t>2.</w:t>
      </w:r>
      <w:r w:rsidRPr="00483F7D">
        <w:tab/>
        <w:t>Με την επιφύλαξη των διατάξεων που εφαρμόζονται κατά τον εφοδιασμό ή σε αποθήκες ανεφοδιασμού και εφόσον προβλέπεται από το οικείο καθεστώς, η παράγραφος 1 δεν εμποδίζει τη χρησιμοποίηση ή την κατανάλωση εμπορευμάτων των οποίων η θέση σε ελεύθερη κυκλοφορία ή η υπαγωγή σε καθεστώς προσωρινής εισαγωγής δεν θα συνεπαγόταν την εφαρμογή μέτρων εισαγωγικών δασμών που προβλέπονται στο πλαίσιο της κοινής γεωργικής ή εμπορικής πολιτικής ή μέτρων που απαγορεύουν τη χρησιμοποίηση των εν λόγω εμπορευμάτων στην Ένωση.</w:t>
      </w:r>
    </w:p>
    <w:p w14:paraId="264450D1" w14:textId="77777777" w:rsidR="00E0244C" w:rsidRPr="00483F7D" w:rsidRDefault="007A1FD7">
      <w:pPr>
        <w:pStyle w:val="Text1"/>
      </w:pPr>
      <w:r w:rsidRPr="00483F7D">
        <w:t>Για την εν λόγω χρησιμοποίηση ή κατανάλωση απαιτείται η παροχή ή η διάθεση των κατάλληλων πληροφοριών στο τελωνείο. </w:t>
      </w:r>
    </w:p>
    <w:p w14:paraId="25DD2F24" w14:textId="77777777" w:rsidR="00E0244C" w:rsidRPr="00483F7D" w:rsidRDefault="007A1FD7">
      <w:pPr>
        <w:pStyle w:val="Titrearticle"/>
      </w:pPr>
      <w:r w:rsidRPr="00483F7D">
        <w:t>Άρθρο 130</w:t>
      </w:r>
    </w:p>
    <w:p w14:paraId="316645AB" w14:textId="77777777" w:rsidR="00E0244C" w:rsidRPr="00483F7D" w:rsidRDefault="007A1FD7">
      <w:pPr>
        <w:pStyle w:val="NormalCentered"/>
      </w:pPr>
      <w:r w:rsidRPr="00483F7D">
        <w:rPr>
          <w:b/>
        </w:rPr>
        <w:t>Μεταφορά εμπορευμάτων εκτός ελεύθερης ζώνης</w:t>
      </w:r>
    </w:p>
    <w:p w14:paraId="3B8B7B30" w14:textId="77777777" w:rsidR="00E0244C" w:rsidRPr="00483F7D" w:rsidRDefault="007A1FD7">
      <w:r w:rsidRPr="00483F7D">
        <w:t>Είναι δυνατό να μεταφέρονται εμπορεύματα εκτός ελεύθερης ζώνης μόνο αν έχουν υπαχθεί σε άλλο τελωνειακό καθεστώς.</w:t>
      </w:r>
    </w:p>
    <w:p w14:paraId="7101BC42" w14:textId="77777777" w:rsidR="00E0244C" w:rsidRPr="00483F7D" w:rsidRDefault="007A1FD7">
      <w:pPr>
        <w:pStyle w:val="Titrearticle"/>
      </w:pPr>
      <w:r w:rsidRPr="00483F7D">
        <w:t>Άρθρο 131</w:t>
      </w:r>
    </w:p>
    <w:p w14:paraId="6AA033FF" w14:textId="77777777" w:rsidR="00E0244C" w:rsidRPr="00483F7D" w:rsidRDefault="007A1FD7">
      <w:pPr>
        <w:pStyle w:val="NormalCentered"/>
      </w:pPr>
      <w:r w:rsidRPr="00483F7D">
        <w:rPr>
          <w:b/>
        </w:rPr>
        <w:t>Τελωνειακός χαρακτήρας</w:t>
      </w:r>
    </w:p>
    <w:p w14:paraId="1EF7BFF0" w14:textId="77777777" w:rsidR="00E0244C" w:rsidRPr="00483F7D" w:rsidRDefault="007A1FD7">
      <w:pPr>
        <w:pStyle w:val="ManualNumPar10"/>
      </w:pPr>
      <w:r w:rsidRPr="00483F7D">
        <w:t>1.</w:t>
      </w:r>
      <w:r w:rsidRPr="00483F7D">
        <w:tab/>
        <w:t>Κατόπιν αίτησης του ενδιαφερόμενου προσώπου, οι τελωνειακές αρχές αποδίδουν τον τελωνειακό χαρακτήρα ενωσιακών εμπορευμάτων στα ακόλουθα εμπορεύματα:</w:t>
      </w:r>
    </w:p>
    <w:p w14:paraId="218B2F29" w14:textId="166D4A0B" w:rsidR="00E0244C" w:rsidRPr="00483F7D" w:rsidRDefault="00BC60FC" w:rsidP="00BC60FC">
      <w:pPr>
        <w:pStyle w:val="Point1"/>
      </w:pPr>
      <w:r w:rsidRPr="00483F7D">
        <w:t>α)</w:t>
      </w:r>
      <w:r w:rsidRPr="00483F7D">
        <w:tab/>
      </w:r>
      <w:r w:rsidR="007A1FD7" w:rsidRPr="00483F7D">
        <w:t>ενωσιακά εμπορεύματα που εισέρχονται σε ελεύθερη ζώνη·</w:t>
      </w:r>
    </w:p>
    <w:p w14:paraId="739CEA9E" w14:textId="2DBA0C43" w:rsidR="00E0244C" w:rsidRPr="00483F7D" w:rsidRDefault="00BC60FC" w:rsidP="00BC60FC">
      <w:pPr>
        <w:pStyle w:val="Point1"/>
      </w:pPr>
      <w:r w:rsidRPr="00483F7D">
        <w:t>β)</w:t>
      </w:r>
      <w:r w:rsidRPr="00483F7D">
        <w:tab/>
      </w:r>
      <w:r w:rsidR="007A1FD7" w:rsidRPr="00483F7D">
        <w:t>ενωσιακά εμπορεύματα που έχουν υποβληθεί σε εργασίες τελειοποίησης εντός ελεύθερης ζώνης·</w:t>
      </w:r>
    </w:p>
    <w:p w14:paraId="65E1AE7A" w14:textId="48C04328" w:rsidR="00E0244C" w:rsidRPr="00483F7D" w:rsidRDefault="00BC60FC" w:rsidP="00BC60FC">
      <w:pPr>
        <w:pStyle w:val="Point1"/>
      </w:pPr>
      <w:r w:rsidRPr="00483F7D">
        <w:t>γ)</w:t>
      </w:r>
      <w:r w:rsidRPr="00483F7D">
        <w:tab/>
      </w:r>
      <w:r w:rsidR="007A1FD7" w:rsidRPr="00483F7D">
        <w:t>εμπορεύματα που έχουν τεθεί σε ελεύθερη κυκλοφορία εντός ελεύθερης ζώνης.</w:t>
      </w:r>
    </w:p>
    <w:p w14:paraId="1DEF5A8F" w14:textId="77777777" w:rsidR="00E0244C" w:rsidRPr="00483F7D" w:rsidRDefault="007A1FD7">
      <w:pPr>
        <w:pStyle w:val="ManualNumPar10"/>
      </w:pPr>
      <w:r w:rsidRPr="00483F7D">
        <w:t>2.</w:t>
      </w:r>
      <w:r w:rsidRPr="00483F7D">
        <w:tab/>
        <w:t>Σε περίπτωση που εμπορεύματα μεταφέρονται εκτός ελεύθερης ζώνης σε άλλο τμήμα του τελωνειακού εδάφους της Ένωσης ή υπάγονται σε τελωνειακό καθεστώς, τα εν λόγω εμπορεύματα θεωρούνται ως μη ενωσιακά, εκτός αν έχει αποδειχθεί ο τελωνειακός τους χαρακτήρας ως ενωσιακών εμπορευμάτων.</w:t>
      </w:r>
    </w:p>
    <w:p w14:paraId="0271EA6F" w14:textId="77777777" w:rsidR="00E0244C" w:rsidRPr="00483F7D" w:rsidRDefault="007A1FD7">
      <w:pPr>
        <w:pStyle w:val="ManualNumPar10"/>
      </w:pPr>
      <w:r w:rsidRPr="00483F7D">
        <w:t>3.</w:t>
      </w:r>
      <w:r w:rsidRPr="00483F7D">
        <w:tab/>
        <w:t>Ωστόσο, για την εφαρμογή μέτρων εξαγωγικών δασμών και αδειών εξαγωγής ή μέτρων ελέγχου των εξαγωγών που προβλέπονται στο πλαίσιο της κοινής γεωργικής ή εμπορικής πολιτικής, τα εν λόγω εμπορεύματα θεωρούνται ως ενωσιακά, εκτός αν αποδεικνύεται ότι δεν έχουν τον τελωνειακό χαρακτήρα ενωσιακών εμπορευμάτων.</w:t>
      </w:r>
    </w:p>
    <w:p w14:paraId="673B4690" w14:textId="77777777" w:rsidR="00E0244C" w:rsidRPr="00483F7D" w:rsidRDefault="007A1FD7">
      <w:pPr>
        <w:pStyle w:val="ChapterTitle"/>
      </w:pPr>
      <w:r w:rsidRPr="00483F7D">
        <w:t xml:space="preserve">Κεφάλαιο 4 </w:t>
      </w:r>
      <w:r w:rsidRPr="00483F7D">
        <w:br/>
        <w:t>Ειδική χρήση</w:t>
      </w:r>
    </w:p>
    <w:p w14:paraId="680F02E4" w14:textId="77777777" w:rsidR="00E0244C" w:rsidRPr="00483F7D" w:rsidRDefault="007A1FD7">
      <w:pPr>
        <w:pStyle w:val="SectionTitle"/>
      </w:pPr>
      <w:r w:rsidRPr="00483F7D">
        <w:t xml:space="preserve">Τμήμα 1 </w:t>
      </w:r>
      <w:r w:rsidRPr="00483F7D">
        <w:br/>
        <w:t>Προσωρινή εισαγωγή</w:t>
      </w:r>
    </w:p>
    <w:p w14:paraId="22EEC9FC" w14:textId="77777777" w:rsidR="00E0244C" w:rsidRPr="00483F7D" w:rsidRDefault="007A1FD7">
      <w:pPr>
        <w:pStyle w:val="Titrearticle"/>
      </w:pPr>
      <w:bookmarkStart w:id="120" w:name="__akn_article_dVslcy"/>
      <w:bookmarkEnd w:id="120"/>
      <w:r w:rsidRPr="00483F7D">
        <w:t>Άρθρο 132</w:t>
      </w:r>
    </w:p>
    <w:p w14:paraId="3DC78444" w14:textId="77777777" w:rsidR="00E0244C" w:rsidRPr="00483F7D" w:rsidRDefault="007A1FD7">
      <w:pPr>
        <w:pStyle w:val="NormalCentered"/>
      </w:pPr>
      <w:r w:rsidRPr="00483F7D">
        <w:rPr>
          <w:b/>
        </w:rPr>
        <w:t>Πεδίο εφαρμογής</w:t>
      </w:r>
    </w:p>
    <w:p w14:paraId="2A29F5A1" w14:textId="77777777" w:rsidR="00E0244C" w:rsidRPr="00483F7D" w:rsidRDefault="007A1FD7">
      <w:pPr>
        <w:pStyle w:val="ManualNumPar10"/>
      </w:pPr>
      <w:r w:rsidRPr="00483F7D">
        <w:t>1.</w:t>
      </w:r>
      <w:r w:rsidRPr="00483F7D">
        <w:tab/>
        <w:t>Στο πλαίσιο του καθεστώτος προσωρινής εισαγωγής, μη ενωσιακά εμπορεύματα που προορίζονται για εξαγωγή είναι δυνατό να αποτελούν αντικείμενο ειδικής χρήσης στο τελωνειακό έδαφος της Ένωσης, με πλήρη ή μερική απαλλαγή από εισαγωγικούς δασμούς, χωρίς να υπόκεινται σε οποιοδήποτε από τα ακόλουθα:</w:t>
      </w:r>
    </w:p>
    <w:p w14:paraId="26C0DB8F" w14:textId="11A5CEAA" w:rsidR="00E0244C" w:rsidRPr="00483F7D" w:rsidRDefault="00BC60FC" w:rsidP="00BC60FC">
      <w:pPr>
        <w:pStyle w:val="Point1"/>
      </w:pPr>
      <w:r w:rsidRPr="00483F7D">
        <w:t>α)</w:t>
      </w:r>
      <w:r w:rsidRPr="00483F7D">
        <w:tab/>
      </w:r>
      <w:r w:rsidR="007A1FD7" w:rsidRPr="00483F7D">
        <w:t>λοιπές επιβαρύνσεις όπως προβλέπονται σε άλλες σχετικές ισχύουσες διατάξεις·</w:t>
      </w:r>
    </w:p>
    <w:p w14:paraId="4FB3CE05" w14:textId="46900C08" w:rsidR="00E0244C" w:rsidRPr="00483F7D" w:rsidRDefault="00BC60FC" w:rsidP="00BC60FC">
      <w:pPr>
        <w:pStyle w:val="Point1"/>
      </w:pPr>
      <w:r w:rsidRPr="00483F7D">
        <w:t>β)</w:t>
      </w:r>
      <w:r w:rsidRPr="00483F7D">
        <w:tab/>
      </w:r>
      <w:r w:rsidR="006859FD" w:rsidRPr="00483F7D">
        <w:t>μέτρα εμπορικής πολιτικής, εφόσον αυτά δεν απαγορεύουν την είσοδο ή την έξοδο εμπορευμάτων στο ή από το τελωνειακό έδαφος της Ένωσης.</w:t>
      </w:r>
    </w:p>
    <w:p w14:paraId="3FF38430" w14:textId="77777777" w:rsidR="00E0244C" w:rsidRPr="00483F7D" w:rsidRDefault="007A1FD7">
      <w:pPr>
        <w:pStyle w:val="ManualNumPar10"/>
      </w:pPr>
      <w:r w:rsidRPr="00483F7D">
        <w:t>2.</w:t>
      </w:r>
      <w:r w:rsidRPr="00483F7D">
        <w:tab/>
        <w:t>Το καθεστώς προσωρινής εισαγωγής μπορεί να χρησιμοποιείται μόνον εφόσον πληρούνται οι παρακάτω όροι:</w:t>
      </w:r>
    </w:p>
    <w:p w14:paraId="7C22EE44" w14:textId="7E90346A" w:rsidR="00E0244C" w:rsidRPr="00483F7D" w:rsidRDefault="00BC60FC" w:rsidP="00BC60FC">
      <w:pPr>
        <w:pStyle w:val="Point1"/>
      </w:pPr>
      <w:r w:rsidRPr="00483F7D">
        <w:t>α)</w:t>
      </w:r>
      <w:r w:rsidRPr="00483F7D">
        <w:tab/>
      </w:r>
      <w:r w:rsidR="007A1FD7" w:rsidRPr="00483F7D">
        <w:t>τα εμπορεύματα δεν προορίζονται να υποστούν καμία μεταβολή, εκτός από τη συνήθη μείωση της αξίας τους λόγω της χρήσης τους·</w:t>
      </w:r>
    </w:p>
    <w:p w14:paraId="631B95D2" w14:textId="0FADF03B" w:rsidR="00E0244C" w:rsidRPr="00483F7D" w:rsidRDefault="00BC60FC" w:rsidP="00BC60FC">
      <w:pPr>
        <w:pStyle w:val="Point1"/>
      </w:pPr>
      <w:r w:rsidRPr="00483F7D">
        <w:t>β)</w:t>
      </w:r>
      <w:r w:rsidRPr="00483F7D">
        <w:tab/>
      </w:r>
      <w:r w:rsidR="007A1FD7" w:rsidRPr="00483F7D">
        <w:t xml:space="preserve">είναι δυνατό να εξασφαλιστεί η εξακρίβωση της ταυτότητας των εμπορευμάτων που υπάγονται στο καθεστώς, εκτός αν, λόγω της φύσης των εμπορευμάτων ή της προοριζόμενης χρήσης τους, η έλλειψη μέτρων εξακρίβωσης της ταυτότητας δεν πρόκειται να προκαλέσει κατάχρηση του καθεστώτος ή, στην περίπτωση που αναφέρεται στο άρθρο </w:t>
      </w:r>
      <w:hyperlink w:anchor="__akn_article_V3e6Sw" w:tooltip="Article 109: 109">
        <w:r w:rsidR="007A1FD7" w:rsidRPr="00483F7D">
          <w:t>109</w:t>
        </w:r>
      </w:hyperlink>
      <w:r w:rsidR="007A1FD7" w:rsidRPr="00483F7D">
        <w:t>, αν μπορεί να επαληθευτεί η τήρηση των όρων που προβλέπονται για τα ισοδύναμα εμπορεύματα·</w:t>
      </w:r>
    </w:p>
    <w:p w14:paraId="344F8184" w14:textId="4C3DB088" w:rsidR="00E0244C" w:rsidRPr="00483F7D" w:rsidRDefault="00BC60FC" w:rsidP="00BC60FC">
      <w:pPr>
        <w:pStyle w:val="Point1"/>
      </w:pPr>
      <w:r w:rsidRPr="00483F7D">
        <w:t>γ)</w:t>
      </w:r>
      <w:r w:rsidRPr="00483F7D">
        <w:tab/>
      </w:r>
      <w:r w:rsidR="00940104" w:rsidRPr="00483F7D">
        <w:t xml:space="preserve">όταν απαιτείται, έχει χορηγηθεί άδεια σύμφωνα με το άρθρο </w:t>
      </w:r>
      <w:hyperlink w:anchor="__akn_article_Lt0uL8" w:tooltip="Article 102: 102">
        <w:r w:rsidR="00940104" w:rsidRPr="00483F7D">
          <w:t>102</w:t>
        </w:r>
      </w:hyperlink>
      <w:r w:rsidR="00940104" w:rsidRPr="00483F7D">
        <w:t xml:space="preserve"> και τα ελάχιστα δεδομένα έχουν παρασχεθεί ή καταστεί διαθέσιμα στο τελωνείο πριν από την παράδοση των εμπορευμάτων, τα οποία δεδομένα πρέπει να περιλαμβάνουν τουλάχιστον τον εισαγωγέα που είναι υπεύθυνος για τα εμπορεύματα, την αξία, την καταγωγή, τη δασμολογική κατάταξη, την περιγραφή και την προοριζόμενη χρήση των εμπορευμάτων·</w:t>
      </w:r>
    </w:p>
    <w:p w14:paraId="692871D4" w14:textId="73FAE889" w:rsidR="00E0244C" w:rsidRPr="00483F7D" w:rsidRDefault="00BC60FC" w:rsidP="00BC60FC">
      <w:pPr>
        <w:pStyle w:val="Point1"/>
      </w:pPr>
      <w:r w:rsidRPr="00483F7D">
        <w:t>δ)</w:t>
      </w:r>
      <w:r w:rsidRPr="00483F7D">
        <w:tab/>
      </w:r>
      <w:r w:rsidR="007A1FD7" w:rsidRPr="00483F7D">
        <w:t>πληρούνται οι απαιτήσεις της τελωνειακής νομοθεσίας για πλήρη ή μερική απαλλαγή από δασμούς·</w:t>
      </w:r>
    </w:p>
    <w:p w14:paraId="4FA3B9CA" w14:textId="47D3828D" w:rsidR="00E0244C" w:rsidRPr="00483F7D" w:rsidRDefault="00BC60FC" w:rsidP="00BC60FC">
      <w:pPr>
        <w:pStyle w:val="Point1"/>
      </w:pPr>
      <w:r w:rsidRPr="00483F7D">
        <w:t>ε)</w:t>
      </w:r>
      <w:r w:rsidRPr="00483F7D">
        <w:tab/>
      </w:r>
      <w:r w:rsidR="007A1FD7" w:rsidRPr="00483F7D">
        <w:t>τα εμπορεύματα έχουν φθάσει στο τελωνειακό έδαφος της Ένωσης·</w:t>
      </w:r>
    </w:p>
    <w:p w14:paraId="571B6A2D" w14:textId="7099A88E" w:rsidR="00E0244C" w:rsidRPr="00483F7D" w:rsidRDefault="00BC60FC" w:rsidP="00BC60FC">
      <w:pPr>
        <w:pStyle w:val="Point1"/>
      </w:pPr>
      <w:r w:rsidRPr="00483F7D">
        <w:t>στ)</w:t>
      </w:r>
      <w:r w:rsidRPr="00483F7D">
        <w:tab/>
      </w:r>
      <w:r w:rsidR="007A1FD7" w:rsidRPr="00483F7D">
        <w:t>τα εμπορεύματα συμμορφώνονται με τη σχετική λοιπή νομοθεσία που εφαρμόζεται από τις τελωνειακές αρχές.</w:t>
      </w:r>
    </w:p>
    <w:p w14:paraId="51C51A7C" w14:textId="77777777" w:rsidR="00E0244C" w:rsidRPr="00483F7D" w:rsidRDefault="007A1FD7">
      <w:pPr>
        <w:pStyle w:val="ManualNumPar10"/>
      </w:pPr>
      <w:r w:rsidRPr="00483F7D">
        <w:t>3.</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w:t>
      </w:r>
    </w:p>
    <w:p w14:paraId="1195F498" w14:textId="56285C77" w:rsidR="00A17FAC" w:rsidRPr="00483F7D" w:rsidRDefault="00BC60FC" w:rsidP="00BC60FC">
      <w:pPr>
        <w:pStyle w:val="Point1"/>
      </w:pPr>
      <w:r w:rsidRPr="00483F7D">
        <w:t>α)</w:t>
      </w:r>
      <w:r w:rsidRPr="00483F7D">
        <w:tab/>
      </w:r>
      <w:r w:rsidR="007A1FD7" w:rsidRPr="00483F7D">
        <w:t>της ειδικής χρήσης που αναφέρεται στην παράγραφο 1 του παρόντος άρθρου·</w:t>
      </w:r>
    </w:p>
    <w:p w14:paraId="40D53420" w14:textId="47D430AB" w:rsidR="00E0244C" w:rsidRPr="00483F7D" w:rsidRDefault="00BC60FC" w:rsidP="00BC60FC">
      <w:pPr>
        <w:pStyle w:val="Point1"/>
      </w:pPr>
      <w:r w:rsidRPr="00483F7D">
        <w:t>β)</w:t>
      </w:r>
      <w:r w:rsidRPr="00483F7D">
        <w:tab/>
      </w:r>
      <w:r w:rsidR="007A1FD7" w:rsidRPr="00483F7D">
        <w:t>των απαιτήσεων για την πλήρη απαλλαγή από τον εισαγωγικό δασμό που αναφέρεται στην παράγραφο 2 στοιχείο δ) του παρόντος άρθρου.</w:t>
      </w:r>
    </w:p>
    <w:p w14:paraId="4E3D7F59" w14:textId="77777777" w:rsidR="00E0244C" w:rsidRPr="00483F7D" w:rsidRDefault="007A1FD7">
      <w:pPr>
        <w:pStyle w:val="Titrearticle"/>
      </w:pPr>
      <w:r w:rsidRPr="00483F7D">
        <w:t>Άρθρο 133</w:t>
      </w:r>
    </w:p>
    <w:p w14:paraId="284B5D5D" w14:textId="77777777" w:rsidR="00E0244C" w:rsidRPr="00483F7D" w:rsidRDefault="007A1FD7">
      <w:pPr>
        <w:pStyle w:val="NormalCentered"/>
      </w:pPr>
      <w:r w:rsidRPr="00483F7D">
        <w:rPr>
          <w:b/>
        </w:rPr>
        <w:t>Χρονική περίοδος κατά την οποία είναι δυνατό να παραμείνουν τα εμπορεύματα υπό το καθεστώς προσωρινής εισαγωγής</w:t>
      </w:r>
    </w:p>
    <w:p w14:paraId="6E497F11" w14:textId="77777777" w:rsidR="00E0244C" w:rsidRPr="00483F7D" w:rsidRDefault="007A1FD7">
      <w:pPr>
        <w:pStyle w:val="ManualNumPar10"/>
      </w:pPr>
      <w:r w:rsidRPr="00483F7D">
        <w:t>1.</w:t>
      </w:r>
      <w:r w:rsidRPr="00483F7D">
        <w:tab/>
        <w:t>Οι τελωνειακές αρχές ορίζουν τη χρονική περίοδο εντός της οποίας τα εμπορεύματα υπό καθεστώς προσωρινής εισαγωγής πρέπει να υπαχθούν σε επόμενο τελωνειακό καθεστώς. Η εν λόγω χρονική περίοδος επαρκεί για την επίτευξη του στόχου της εγκεκριμένης χρήσης.</w:t>
      </w:r>
    </w:p>
    <w:p w14:paraId="149C978E" w14:textId="77777777" w:rsidR="00E0244C" w:rsidRPr="00483F7D" w:rsidRDefault="007A1FD7">
      <w:pPr>
        <w:pStyle w:val="ManualNumPar10"/>
      </w:pPr>
      <w:r w:rsidRPr="00483F7D">
        <w:t>2.</w:t>
      </w:r>
      <w:r w:rsidRPr="00483F7D">
        <w:tab/>
        <w:t>Η μέγιστη χρονική περίοδος κατά την οποία είναι δυνατό να παραμείνουν τα εμπορεύματα υπό το καθεστώς προσωρινής εισαγωγής για τον ίδιο σκοπό και υπό την ευθύνη του ίδιου δικαιούχου της άδειας ανέρχεται σε 24 μήνες, ακόμη και σε περιπτώσεις εκκαθάρισης του καθεστώτος με υπαγωγή των εμπορευμάτων σε άλλο ειδικό καθεστώς και την υπαγωγή τους στη συνέχεια και πάλι στο καθεστώς προσωρινής εισαγωγής.</w:t>
      </w:r>
    </w:p>
    <w:p w14:paraId="566ED71C" w14:textId="77777777" w:rsidR="00E0244C" w:rsidRPr="00483F7D" w:rsidRDefault="007A1FD7">
      <w:pPr>
        <w:pStyle w:val="ManualNumPar10"/>
      </w:pPr>
      <w:r w:rsidRPr="00483F7D">
        <w:t>3.</w:t>
      </w:r>
      <w:r w:rsidRPr="00483F7D">
        <w:tab/>
        <w:t>Όταν, σε εξαιρετικές περιπτώσεις, δεν είναι δυνατό να επιτευχθεί η εγκεκριμένη χρήση εντός της προβλεπόμενης στις παραγράφους 1 και 2 χρονικής περιόδου, οι τελωνειακές αρχές μπορούν να παρατείνουν, για εύλογο χρονικό διάστημα, την εν λόγω χρονική περίοδο, κατόπιν δεόντως αιτιολογημένης αίτησης του εισαγωγέα.</w:t>
      </w:r>
    </w:p>
    <w:p w14:paraId="753F33AC" w14:textId="77777777" w:rsidR="00E0244C" w:rsidRPr="00483F7D" w:rsidRDefault="007A1FD7">
      <w:pPr>
        <w:pStyle w:val="ManualNumPar10"/>
      </w:pPr>
      <w:r w:rsidRPr="00483F7D">
        <w:t>4.</w:t>
      </w:r>
      <w:r w:rsidRPr="00483F7D">
        <w:tab/>
        <w:t>Η συνολική χρονική περίοδος κατά την οποία είναι δυνατό να παραμείνουν τα εμπορεύματα υπό το καθεστώς προσωρινής εισαγωγής δεν υπερβαίνει τα 10 έτη, εκτός από την περίπτωση απρόβλεπτου περιστατικού.</w:t>
      </w:r>
    </w:p>
    <w:p w14:paraId="14AE39E9" w14:textId="77777777" w:rsidR="00E0244C" w:rsidRPr="00483F7D" w:rsidRDefault="007A1FD7">
      <w:pPr>
        <w:pStyle w:val="Titrearticle"/>
      </w:pPr>
      <w:r w:rsidRPr="00483F7D">
        <w:t>Άρθρο 134</w:t>
      </w:r>
    </w:p>
    <w:p w14:paraId="7AF04CD3" w14:textId="77777777" w:rsidR="00E0244C" w:rsidRPr="00483F7D" w:rsidRDefault="007A1FD7">
      <w:pPr>
        <w:pStyle w:val="NormalCentered"/>
      </w:pPr>
      <w:r w:rsidRPr="00483F7D">
        <w:rPr>
          <w:b/>
        </w:rPr>
        <w:t>Ποσό εισαγωγικών δασμών σε περίπτωση προσωρινής εισαγωγής με μερική απαλλαγή από τους εισαγωγικούς δασμούς</w:t>
      </w:r>
    </w:p>
    <w:p w14:paraId="6FC028CB" w14:textId="77777777" w:rsidR="00E0244C" w:rsidRPr="00483F7D" w:rsidRDefault="007A1FD7">
      <w:pPr>
        <w:pStyle w:val="ManualNumPar10"/>
      </w:pPr>
      <w:r w:rsidRPr="00483F7D">
        <w:t>1.</w:t>
      </w:r>
      <w:r w:rsidRPr="00483F7D">
        <w:tab/>
        <w:t>Το ποσό των εισαγωγικών δασμών για εμπορεύματα που υπάγονται στο καθεστώς προσωρινής εισαγωγής με μερική απαλλαγή από τους εισαγωγικούς δασμούς ορίζεται στο 3 % του ποσού των εισαγωγικών δασμών που θα ήταν καταβλητέος για τα εν λόγω εμπορεύματα, αν αυτά είχαν τεθεί σε ελεύθερη κυκλοφορία κατά την ημερομηνία υπαγωγής τους στο καθεστώς προσωρινής εισαγωγής.</w:t>
      </w:r>
    </w:p>
    <w:p w14:paraId="39E9F48C" w14:textId="77777777" w:rsidR="00E0244C" w:rsidRPr="00483F7D" w:rsidRDefault="007A1FD7">
      <w:pPr>
        <w:pStyle w:val="Text1"/>
      </w:pPr>
      <w:r w:rsidRPr="00483F7D">
        <w:t>Το ποσό αυτό είναι καταβλητέο για κάθε μήνα ή κλάσμα μήνα κατά τον οποίο τα εμπορεύματα τελούν υπό το καθεστώς προσωρινής εισαγωγής με μερική απαλλαγή από τους εισαγωγικούς δασμούς.</w:t>
      </w:r>
    </w:p>
    <w:p w14:paraId="5F5781FD" w14:textId="77777777" w:rsidR="00E0244C" w:rsidRPr="00483F7D" w:rsidRDefault="007A1FD7">
      <w:pPr>
        <w:pStyle w:val="ManualNumPar10"/>
      </w:pPr>
      <w:r w:rsidRPr="00483F7D">
        <w:t>2.</w:t>
      </w:r>
      <w:r w:rsidRPr="00483F7D">
        <w:tab/>
        <w:t>Το ποσό των εισαγωγικών δασμών δεν υπερβαίνει το ποσό που θα ήταν καταβλητέο αν τα εν λόγω εμπορεύματα είχαν τεθεί σε ελεύθερη κυκλοφορία κατά την ημερομηνία υπαγωγής τους στο καθεστώς προσωρινής εισαγωγής.</w:t>
      </w:r>
    </w:p>
    <w:p w14:paraId="3B22ACAA" w14:textId="77777777" w:rsidR="00E0244C" w:rsidRPr="00483F7D" w:rsidRDefault="007A1FD7">
      <w:pPr>
        <w:pStyle w:val="SectionTitle"/>
      </w:pPr>
      <w:r w:rsidRPr="00483F7D">
        <w:t xml:space="preserve">Τμήμα 2 </w:t>
      </w:r>
      <w:r w:rsidRPr="00483F7D">
        <w:br/>
        <w:t>Ειδικός προορισμός</w:t>
      </w:r>
    </w:p>
    <w:p w14:paraId="3C46C2DC" w14:textId="77777777" w:rsidR="00E0244C" w:rsidRPr="00483F7D" w:rsidRDefault="007A1FD7">
      <w:pPr>
        <w:pStyle w:val="Titrearticle"/>
      </w:pPr>
      <w:bookmarkStart w:id="121" w:name="__akn_article_B55LHZ"/>
      <w:bookmarkEnd w:id="121"/>
      <w:r w:rsidRPr="00483F7D">
        <w:t>Άρθρο 135</w:t>
      </w:r>
    </w:p>
    <w:p w14:paraId="01AE483E" w14:textId="77777777" w:rsidR="00E0244C" w:rsidRPr="00483F7D" w:rsidRDefault="007A1FD7">
      <w:pPr>
        <w:pStyle w:val="NormalCentered"/>
      </w:pPr>
      <w:r w:rsidRPr="00483F7D">
        <w:rPr>
          <w:b/>
        </w:rPr>
        <w:t>Καθεστώς ειδικού προορισμού</w:t>
      </w:r>
    </w:p>
    <w:p w14:paraId="16162F98" w14:textId="77777777" w:rsidR="00E0244C" w:rsidRPr="00483F7D" w:rsidRDefault="007A1FD7">
      <w:pPr>
        <w:pStyle w:val="ManualNumPar10"/>
      </w:pPr>
      <w:r w:rsidRPr="00483F7D">
        <w:t>1.</w:t>
      </w:r>
      <w:r w:rsidRPr="00483F7D">
        <w:tab/>
        <w:t>Στο πλαίσιο του καθεστώτος ειδικού προορισμού, είναι δυνατή η θέση εμπορευμάτων σε ελεύθερη κυκλοφορία με απαλλαγή από δασμούς ή με μειωμένο δασμολογικό συντελεστή που προβλέπεται στην ενωσιακή νομοθεσία υπό τον όρο ότι ο εισαγωγέας υπάγει τα εμπορεύματα σε ειδικό προορισμό.</w:t>
      </w:r>
    </w:p>
    <w:p w14:paraId="6C2C8F1E" w14:textId="77777777" w:rsidR="00E0244C" w:rsidRPr="00483F7D" w:rsidRDefault="007A1FD7">
      <w:pPr>
        <w:pStyle w:val="ManualNumPar10"/>
      </w:pPr>
      <w:r w:rsidRPr="00483F7D">
        <w:t>2.</w:t>
      </w:r>
      <w:r w:rsidRPr="00483F7D">
        <w:tab/>
        <w:t>Οι όροι για την υπαγωγή εμπορευμάτων στο καθεστώς ειδικού προορισμού είναι οι ακόλουθοι:</w:t>
      </w:r>
    </w:p>
    <w:p w14:paraId="047B6BE3" w14:textId="44E21F70" w:rsidR="00F0385C" w:rsidRPr="00483F7D" w:rsidRDefault="00BC60FC" w:rsidP="00BC60FC">
      <w:pPr>
        <w:pStyle w:val="Point1"/>
        <w:rPr>
          <w:rStyle w:val="Hyperlink"/>
        </w:rPr>
      </w:pPr>
      <w:r w:rsidRPr="00483F7D">
        <w:t>α)</w:t>
      </w:r>
      <w:r w:rsidRPr="00483F7D">
        <w:tab/>
      </w:r>
      <w:r w:rsidR="00F0385C" w:rsidRPr="00483F7D">
        <w:t xml:space="preserve">όπου απαιτείται, έχει χορηγηθεί άδεια σύμφωνα με το άρθρο </w:t>
      </w:r>
      <w:hyperlink w:anchor="__akn_article_Lt0uL8" w:tooltip="Article 102: 102">
        <w:r w:rsidR="00F0385C" w:rsidRPr="00483F7D">
          <w:rPr>
            <w:rStyle w:val="Hyperlink"/>
          </w:rPr>
          <w:t>102</w:t>
        </w:r>
      </w:hyperlink>
      <w:r w:rsidR="00F0385C" w:rsidRPr="00483F7D">
        <w:rPr>
          <w:rStyle w:val="Hyperlink"/>
        </w:rPr>
        <w:t>·</w:t>
      </w:r>
    </w:p>
    <w:p w14:paraId="0DE68BDB" w14:textId="19D561D4" w:rsidR="00E0244C" w:rsidRPr="00483F7D" w:rsidRDefault="00BC60FC" w:rsidP="00BC60FC">
      <w:pPr>
        <w:pStyle w:val="Point1"/>
      </w:pPr>
      <w:r w:rsidRPr="00483F7D">
        <w:t>β)</w:t>
      </w:r>
      <w:r w:rsidRPr="00483F7D">
        <w:tab/>
      </w:r>
      <w:r w:rsidR="007A1FD7" w:rsidRPr="00483F7D">
        <w:t>έχουν παρασχεθεί ή καταστεί διαθέσιμα στις τελωνειακές αρχές τα ελάχιστα δεδομένα, τα οποία πρέπει να περιλαμβάνουν τουλάχιστον τον εισαγωγέα που είναι υπεύθυνος για τα εμπορεύματα, τον πωλητή, τον αγοραστή, τον κατασκευαστή, τον προμηθευτή προϊόντος, όταν αυτός είναι διαφορετικός από τον κατασκευαστή, τον υπεύθυνο οικονομικό φορέα στην Ένωση σύμφωνα με το άρθρο 4 του κανονισμού (ΕΕ) 2019/1020 και το άρθρο 16 του κανονισμού (ΕΕ) 2023/XXXX</w:t>
      </w:r>
      <w:r w:rsidR="007A1FD7" w:rsidRPr="00483F7D">
        <w:rPr>
          <w:rStyle w:val="FootnoteReference"/>
        </w:rPr>
        <w:footnoteReference w:id="71"/>
      </w:r>
      <w:r w:rsidR="007A1FD7" w:rsidRPr="00483F7D">
        <w:t>, την αξία, την καταγωγή, τη δασμολογική κατάταξη και την περιγραφή των εμπορευμάτων, τον μοναδικό αριθμό αναφοράς της αποστολής και την τοποθεσία της, καθώς και τον κατάλογο της σχετικής λοιπής νομοθεσίας που εφαρμόζεται από τις τελωνειακές αρχές για τα εν λόγω εμπορεύματα·</w:t>
      </w:r>
    </w:p>
    <w:p w14:paraId="6090005C" w14:textId="05F8AFFD" w:rsidR="00E0244C" w:rsidRPr="00483F7D" w:rsidRDefault="00BC60FC" w:rsidP="00BC60FC">
      <w:pPr>
        <w:pStyle w:val="Point1"/>
      </w:pPr>
      <w:r w:rsidRPr="00483F7D">
        <w:t>γ)</w:t>
      </w:r>
      <w:r w:rsidRPr="00483F7D">
        <w:tab/>
      </w:r>
      <w:r w:rsidR="007A1FD7" w:rsidRPr="00483F7D">
        <w:t>όλοι οι οφειλόμενοι εισαγωγικοί δασμοί ή λοιπές επιβαρύνσεις, συμπεριλαμβανομένων των δασμών αντιντάμπινγκ, των αντισταθμιστικών δασμών ή των μέτρων διασφάλισης, καταβάλλονται ή καλύπτονται από εγγύηση, εκτός αν τα εμπορεύματα αποτελούν αντικείμενο αίτησης για ανάληψη ποσότητας από δασμολογική ποσόστωση·</w:t>
      </w:r>
    </w:p>
    <w:p w14:paraId="0F6AC548" w14:textId="2B916807" w:rsidR="00E0244C" w:rsidRPr="00483F7D" w:rsidRDefault="00BC60FC" w:rsidP="00BC60FC">
      <w:pPr>
        <w:pStyle w:val="Point1"/>
      </w:pPr>
      <w:r w:rsidRPr="00483F7D">
        <w:t>δ)</w:t>
      </w:r>
      <w:r w:rsidRPr="00483F7D">
        <w:tab/>
      </w:r>
      <w:r w:rsidR="007A1FD7" w:rsidRPr="00483F7D">
        <w:t>τα εμπορεύματα έχουν φθάσει στο τελωνειακό έδαφος της Ένωσης·</w:t>
      </w:r>
    </w:p>
    <w:p w14:paraId="0E1F184D" w14:textId="0C075C4E" w:rsidR="00E0244C" w:rsidRPr="00483F7D" w:rsidRDefault="00BC60FC" w:rsidP="00BC60FC">
      <w:pPr>
        <w:pStyle w:val="Point1"/>
      </w:pPr>
      <w:r w:rsidRPr="00483F7D">
        <w:t>ε)</w:t>
      </w:r>
      <w:r w:rsidRPr="00483F7D">
        <w:tab/>
      </w:r>
      <w:r w:rsidR="006859FD" w:rsidRPr="00483F7D">
        <w:t>τα εμπορεύματα συμμορφώνονται με τη σχετική λοιπή νομοθεσία που εφαρμόζεται από τις τελωνειακές αρχές.</w:t>
      </w:r>
    </w:p>
    <w:p w14:paraId="59F3FDD7" w14:textId="77777777" w:rsidR="00E0244C" w:rsidRPr="00483F7D" w:rsidRDefault="007A1FD7">
      <w:pPr>
        <w:pStyle w:val="ManualNumPar10"/>
      </w:pPr>
      <w:r w:rsidRPr="00483F7D">
        <w:t>3.</w:t>
      </w:r>
      <w:r w:rsidRPr="00483F7D">
        <w:tab/>
        <w:t>Όταν τα εμπορεύματα είναι σε στάδιο παραγωγής το οποίο από οικονομική άποψη καθιστά δυνατό μόνο τον προβλεπόμενο ειδικό προορισμό, οι τελωνειακές αρχές μπορούν να θέτουν στην άδεια τους όρους υπό τους οποίους θα θεωρείται ότι τα εμπορεύματα έχουν χρησιμοποιηθεί για τους σκοπούς που καθορίζονται στην ενωσιακή νομοθεσία στην οποία προβλέπεται η απαλλαγή από δασμούς ή επιβολή μειωμένου δασμολογικού συντελεστή.</w:t>
      </w:r>
    </w:p>
    <w:p w14:paraId="005DFFF8" w14:textId="77777777" w:rsidR="00E0244C" w:rsidRPr="00483F7D" w:rsidRDefault="007A1FD7">
      <w:pPr>
        <w:pStyle w:val="ManualNumPar10"/>
      </w:pPr>
      <w:r w:rsidRPr="00483F7D">
        <w:t>4.</w:t>
      </w:r>
      <w:r w:rsidRPr="00483F7D">
        <w:tab/>
        <w:t>Όταν τα εμπορεύματα είναι κατάλληλα για επαναλαμβανόμενη χρήση και οι τελωνειακές αρχές το θεωρούν σκόπιμο για την αποφυγή της κατάχρησης, η τελωνειακή επιτήρηση συνεχίζεται για περίοδο που δεν υπερβαίνει τα 2 έτη μετά την ημερομηνία της πρώτης χρησιμοποίησής τους για τους σκοπούς που καθορίζονται στην ενωσιακή νομοθεσία στην οποία προβλέπεται η απαλλαγή από δασμούς ή επιβολή μειωμένου δασμολογικού συντελεστή.</w:t>
      </w:r>
    </w:p>
    <w:p w14:paraId="31317EEC" w14:textId="77777777" w:rsidR="00E0244C" w:rsidRPr="00483F7D" w:rsidRDefault="007A1FD7">
      <w:pPr>
        <w:pStyle w:val="ManualNumPar10"/>
      </w:pPr>
      <w:r w:rsidRPr="00483F7D">
        <w:t>5.</w:t>
      </w:r>
      <w:r w:rsidRPr="00483F7D">
        <w:tab/>
        <w:t>Η τελωνειακή επιτήρηση στο πλαίσιο του καθεστώτος ειδικού προορισμού λήγει σε οποιαδήποτε από τις ακόλουθες περιπτώσεις:</w:t>
      </w:r>
    </w:p>
    <w:p w14:paraId="52DEF58F" w14:textId="7C93F720" w:rsidR="00E0244C" w:rsidRPr="00483F7D" w:rsidRDefault="00BC60FC" w:rsidP="00BC60FC">
      <w:pPr>
        <w:pStyle w:val="Point1"/>
      </w:pPr>
      <w:r w:rsidRPr="00483F7D">
        <w:t>α)</w:t>
      </w:r>
      <w:r w:rsidRPr="00483F7D">
        <w:tab/>
      </w:r>
      <w:r w:rsidR="007A1FD7" w:rsidRPr="00483F7D">
        <w:t>όταν τα εμπορεύματα έχουν χρησιμοποιηθεί για τους σκοπούς που καθορίζονται στην ενωσιακή νομοθεσία στην οποία προβλέπεται η απαλλαγή από δασμούς ή επιβολή μειωμένου δασμολογικού συντελεστή·</w:t>
      </w:r>
    </w:p>
    <w:p w14:paraId="4E7F3E4C" w14:textId="4BC3493E" w:rsidR="00E0244C" w:rsidRPr="00483F7D" w:rsidRDefault="00BC60FC" w:rsidP="00BC60FC">
      <w:pPr>
        <w:pStyle w:val="Point1"/>
      </w:pPr>
      <w:r w:rsidRPr="00483F7D">
        <w:t>β)</w:t>
      </w:r>
      <w:r w:rsidRPr="00483F7D">
        <w:tab/>
      </w:r>
      <w:r w:rsidR="007A1FD7" w:rsidRPr="00483F7D">
        <w:t>όταν τα εμπορεύματα έχουν μεταφερθεί εκτός του τελωνειακού εδάφους της Ένωσης, έχουν καταστραφεί ή έχουν εγκαταλειφθεί υπέρ του Δημοσίου·</w:t>
      </w:r>
    </w:p>
    <w:p w14:paraId="0285D12A" w14:textId="7C3BB8C0" w:rsidR="00E0244C" w:rsidRPr="00483F7D" w:rsidRDefault="00BC60FC" w:rsidP="00BC60FC">
      <w:pPr>
        <w:pStyle w:val="Point1"/>
      </w:pPr>
      <w:r w:rsidRPr="00483F7D">
        <w:t>γ)</w:t>
      </w:r>
      <w:r w:rsidRPr="00483F7D">
        <w:tab/>
      </w:r>
      <w:r w:rsidR="007A1FD7" w:rsidRPr="00483F7D">
        <w:t>όταν τα εμπορεύματα έχουν χρησιμοποιηθεί για σκοπούς άλλους από τους καθοριζόμενους στην ενωσιακή νομοθεσία στην οποία προβλέπεται η απαλλαγή από δασμούς ή επιβολή μειωμένου δασμολογικού συντελεστή και έχει καταβληθεί ο εφαρμοστέος εισαγωγικός δασμός.</w:t>
      </w:r>
    </w:p>
    <w:p w14:paraId="62B5ECC8" w14:textId="77777777" w:rsidR="00E0244C" w:rsidRPr="00483F7D" w:rsidRDefault="007A1FD7">
      <w:pPr>
        <w:pStyle w:val="ManualNumPar10"/>
      </w:pPr>
      <w:r w:rsidRPr="00483F7D">
        <w:t>6.</w:t>
      </w:r>
      <w:r w:rsidRPr="00483F7D">
        <w:tab/>
        <w:t xml:space="preserve">Όταν απαιτείται συντελεστής απόδοσης, το άρθρο </w:t>
      </w:r>
      <w:hyperlink w:anchor="__akn_article_5xDu0f" w:tooltip="Article 136: 136">
        <w:r w:rsidRPr="00483F7D">
          <w:rPr>
            <w:rStyle w:val="Hyperlink"/>
          </w:rPr>
          <w:t>136</w:t>
        </w:r>
      </w:hyperlink>
      <w:r w:rsidRPr="00483F7D">
        <w:t xml:space="preserve"> εφαρμόζεται στο καθεστώς ειδικού προορισμού.</w:t>
      </w:r>
    </w:p>
    <w:p w14:paraId="78499B28" w14:textId="77777777" w:rsidR="00E0244C" w:rsidRPr="00483F7D" w:rsidRDefault="007A1FD7">
      <w:pPr>
        <w:pStyle w:val="ManualNumPar10"/>
      </w:pPr>
      <w:r w:rsidRPr="00483F7D">
        <w:t>7.</w:t>
      </w:r>
      <w:r w:rsidRPr="00483F7D">
        <w:tab/>
        <w:t>Απορρίμματα και θραύσματα που προκύπτουν από την επεξεργασία ή μεταποίηση εμπορευμάτων σύμφωνα με τον προβλεπόμενο ειδικό προορισμό, καθώς και απώλειες υλικών που οφείλονται σε φυσικές αιτίες, θεωρούνται ως εμπορεύματα που έχουν υπαχθεί στον προβλεπόμενο ειδικό προορισμό.</w:t>
      </w:r>
    </w:p>
    <w:p w14:paraId="3AD250F5" w14:textId="77777777" w:rsidR="00E0244C" w:rsidRPr="00483F7D" w:rsidRDefault="007A1FD7">
      <w:pPr>
        <w:pStyle w:val="ManualNumPar10"/>
      </w:pPr>
      <w:r w:rsidRPr="00483F7D">
        <w:t>8.</w:t>
      </w:r>
      <w:r w:rsidRPr="00483F7D">
        <w:tab/>
        <w:t>Απορρίμματα και θραύσματα που προκύπτουν από την καταστροφή εμπορευμάτων τα οποία υπάγονται σε καθεστώς ειδικού προορισμού θεωρείται ότι υπάγονται στο καθεστώς τελωνειακής αποταμίευσης.</w:t>
      </w:r>
    </w:p>
    <w:p w14:paraId="3178918F" w14:textId="77777777" w:rsidR="00E0244C" w:rsidRPr="00483F7D" w:rsidRDefault="007A1FD7">
      <w:pPr>
        <w:pStyle w:val="ChapterTitle"/>
      </w:pPr>
      <w:r w:rsidRPr="00483F7D">
        <w:t xml:space="preserve">Κεφάλαιο 5 </w:t>
      </w:r>
      <w:r w:rsidRPr="00483F7D">
        <w:br/>
        <w:t>Τελειοποίηση</w:t>
      </w:r>
    </w:p>
    <w:p w14:paraId="7974EA85" w14:textId="77777777" w:rsidR="00E0244C" w:rsidRPr="00483F7D" w:rsidRDefault="007A1FD7">
      <w:pPr>
        <w:pStyle w:val="SectionTitle"/>
      </w:pPr>
      <w:r w:rsidRPr="00483F7D">
        <w:t xml:space="preserve">Τμήμα 1 </w:t>
      </w:r>
      <w:r w:rsidRPr="00483F7D">
        <w:br/>
        <w:t>Γενικές διατάξεις</w:t>
      </w:r>
    </w:p>
    <w:p w14:paraId="1555ECC6" w14:textId="77777777" w:rsidR="00E0244C" w:rsidRPr="00483F7D" w:rsidRDefault="007A1FD7">
      <w:pPr>
        <w:pStyle w:val="Titrearticle"/>
      </w:pPr>
      <w:bookmarkStart w:id="122" w:name="__akn_article_5xDu0f"/>
      <w:bookmarkEnd w:id="122"/>
      <w:r w:rsidRPr="00483F7D">
        <w:t>Άρθρο 136</w:t>
      </w:r>
    </w:p>
    <w:p w14:paraId="1C693688" w14:textId="77777777" w:rsidR="00E0244C" w:rsidRPr="00483F7D" w:rsidRDefault="007A1FD7">
      <w:pPr>
        <w:pStyle w:val="NormalCentered"/>
      </w:pPr>
      <w:r w:rsidRPr="00483F7D">
        <w:rPr>
          <w:b/>
        </w:rPr>
        <w:t>Συντελεστής απόδοσης</w:t>
      </w:r>
    </w:p>
    <w:p w14:paraId="0B5DC7A4" w14:textId="77777777" w:rsidR="00E0244C" w:rsidRPr="00483F7D" w:rsidRDefault="007A1FD7">
      <w:r w:rsidRPr="00483F7D">
        <w:t>Εκτός από τις περιπτώσεις όπου ο συντελεστής απόδοσης έχει καθοριστεί στην ενωσιακή νομοθεσία που διέπει συγκεκριμένους τομείς, οι τελωνειακές αρχές καθορίζουν είτε τον συντελεστή απόδοσης είτε τον μέσο συντελεστή απόδοσης για την εργασία τελειοποίησης ή, όπου κρίνεται αναγκαίο, τη μέθοδο υπολογισμού αυτού του συντελεστή.</w:t>
      </w:r>
    </w:p>
    <w:p w14:paraId="27C095F4" w14:textId="77777777" w:rsidR="00E0244C" w:rsidRPr="00483F7D" w:rsidRDefault="007A1FD7">
      <w:r w:rsidRPr="00483F7D">
        <w:t xml:space="preserve">Ο συντελεστής απόδοσης ή ο μέσος συντελεστής απόδοσης καθορίζεται ανάλογα με τις πραγματικές συνθήκες υπό τις οποίες διενεργούνται ή πρόκειται να διενεργηθούν οι εργασίες τελειοποίησης. Ο εν λόγω συντελεστής μπορεί να αναπροσαρμόζεται, όταν κρίνεται αναγκαίο, σύμφωνα με το άρθρο </w:t>
      </w:r>
      <w:hyperlink w:anchor="_bill__akn_article_F8k6wz" w:tooltip="Article 10: 10">
        <w:r w:rsidRPr="00483F7D">
          <w:rPr>
            <w:rStyle w:val="Hyperlink"/>
          </w:rPr>
          <w:t>10</w:t>
        </w:r>
      </w:hyperlink>
      <w:r w:rsidRPr="00483F7D">
        <w:t>.</w:t>
      </w:r>
    </w:p>
    <w:p w14:paraId="22456E09" w14:textId="77777777" w:rsidR="00E0244C" w:rsidRPr="00483F7D" w:rsidRDefault="007A1FD7">
      <w:pPr>
        <w:pStyle w:val="SectionTitle"/>
      </w:pPr>
      <w:r w:rsidRPr="00483F7D">
        <w:t xml:space="preserve">Τμήμα 2 </w:t>
      </w:r>
      <w:r w:rsidRPr="00483F7D">
        <w:br/>
        <w:t>Τελειοποίηση προς επανεξαγωγή</w:t>
      </w:r>
    </w:p>
    <w:p w14:paraId="5C9B122E" w14:textId="77777777" w:rsidR="00E0244C" w:rsidRPr="00483F7D" w:rsidRDefault="007A1FD7">
      <w:pPr>
        <w:pStyle w:val="Titrearticle"/>
      </w:pPr>
      <w:r w:rsidRPr="00483F7D">
        <w:t>Άρθρο 137</w:t>
      </w:r>
    </w:p>
    <w:p w14:paraId="4415506B" w14:textId="77777777" w:rsidR="00E0244C" w:rsidRPr="00483F7D" w:rsidRDefault="007A1FD7">
      <w:pPr>
        <w:pStyle w:val="NormalCentered"/>
      </w:pPr>
      <w:r w:rsidRPr="00483F7D">
        <w:rPr>
          <w:b/>
        </w:rPr>
        <w:t>Πεδίο εφαρμογής</w:t>
      </w:r>
    </w:p>
    <w:p w14:paraId="00BAED52" w14:textId="77777777" w:rsidR="00E0244C" w:rsidRPr="00483F7D" w:rsidRDefault="007A1FD7">
      <w:pPr>
        <w:pStyle w:val="ManualNumPar10"/>
      </w:pPr>
      <w:r w:rsidRPr="00483F7D">
        <w:t>1.</w:t>
      </w:r>
      <w:r w:rsidRPr="00483F7D">
        <w:tab/>
        <w:t xml:space="preserve">Με την επιφύλαξη του άρθρου </w:t>
      </w:r>
      <w:hyperlink w:anchor="__akn_article_V3e6Sw" w:tooltip="Article 109: 109">
        <w:r w:rsidRPr="00483F7D">
          <w:rPr>
            <w:rStyle w:val="Hyperlink"/>
          </w:rPr>
          <w:t>109</w:t>
        </w:r>
      </w:hyperlink>
      <w:r w:rsidRPr="00483F7D">
        <w:t>, στο πλαίσιο του καθεστώτος τελειοποίησης προς επανεξαγωγή είναι δυνατή η χρησιμοποίηση μη ενωσιακών εμπορευμάτων στο τελωνειακό έδαφος της Ένωσης σε μία ή περισσότερες εργασίες τελειοποίησης χωρίς τα εν λόγω εμπορεύματα να υπόκεινται σε οποιοδήποτε από τα εξής:</w:t>
      </w:r>
    </w:p>
    <w:p w14:paraId="1E2F0B1A" w14:textId="03A3BE0B" w:rsidR="00E0244C" w:rsidRPr="00483F7D" w:rsidRDefault="00BC60FC" w:rsidP="00BC60FC">
      <w:pPr>
        <w:pStyle w:val="Point1"/>
      </w:pPr>
      <w:r w:rsidRPr="00483F7D">
        <w:t>α)</w:t>
      </w:r>
      <w:r w:rsidRPr="00483F7D">
        <w:tab/>
      </w:r>
      <w:r w:rsidR="007A1FD7" w:rsidRPr="00483F7D">
        <w:t>εισαγωγικούς δασμούς ή λοιπές επιβαρύνσεις, συμπεριλαμβανομένων των δασμών αντιντάμπινγκ, των αντισταθμιστικών δασμών ή των μέτρων διασφάλισης·</w:t>
      </w:r>
    </w:p>
    <w:p w14:paraId="0DC9B3A6" w14:textId="371057C2" w:rsidR="00A17FAC" w:rsidRPr="00483F7D" w:rsidRDefault="00BC60FC" w:rsidP="00BC60FC">
      <w:pPr>
        <w:pStyle w:val="Point1"/>
      </w:pPr>
      <w:r w:rsidRPr="00483F7D">
        <w:t>β)</w:t>
      </w:r>
      <w:r w:rsidRPr="00483F7D">
        <w:tab/>
      </w:r>
      <w:r w:rsidR="00A17FAC" w:rsidRPr="00483F7D">
        <w:t>μέτρα εμπορικής πολιτικής, εφόσον αυτά δεν απαγορεύουν την είσοδο ή την έξοδο εμπορευμάτων στο ή από το τελωνειακό έδαφος της Ένωσης.</w:t>
      </w:r>
    </w:p>
    <w:p w14:paraId="0DFDA60F" w14:textId="77777777" w:rsidR="00E0244C" w:rsidRPr="00483F7D" w:rsidRDefault="007A1FD7">
      <w:pPr>
        <w:pStyle w:val="ManualNumPar10"/>
      </w:pPr>
      <w:r w:rsidRPr="00483F7D">
        <w:t>2.</w:t>
      </w:r>
      <w:r w:rsidRPr="00483F7D">
        <w:tab/>
        <w:t>Οι όροι για την υπαγωγή εμπορευμάτων στο καθεστώς τελειοποίησης προς επανεξαγωγή είναι οι ακόλουθοι:</w:t>
      </w:r>
    </w:p>
    <w:p w14:paraId="56D858DD" w14:textId="5EBE7C95" w:rsidR="00E0244C" w:rsidRPr="00483F7D" w:rsidRDefault="00BC60FC" w:rsidP="00BC60FC">
      <w:pPr>
        <w:pStyle w:val="Point1"/>
      </w:pPr>
      <w:r w:rsidRPr="00483F7D">
        <w:t>α)</w:t>
      </w:r>
      <w:r w:rsidRPr="00483F7D">
        <w:tab/>
      </w:r>
      <w:r w:rsidR="00AF753E" w:rsidRPr="00483F7D">
        <w:t xml:space="preserve">όπου απαιτείται, έχει χορηγηθεί άδεια σύμφωνα με το άρθρο </w:t>
      </w:r>
      <w:hyperlink w:anchor="__akn_article_Lt0uL8" w:tooltip="Article 102: 102">
        <w:r w:rsidR="00AF753E" w:rsidRPr="00483F7D">
          <w:rPr>
            <w:rStyle w:val="Hyperlink"/>
          </w:rPr>
          <w:t>102</w:t>
        </w:r>
      </w:hyperlink>
      <w:r w:rsidR="00AF753E" w:rsidRPr="00483F7D">
        <w:t>, για μία από τις χρήσεις που αναφέρονται στην παράγραφο 3 του παρόντος άρθρου·</w:t>
      </w:r>
    </w:p>
    <w:p w14:paraId="44D5FC73" w14:textId="365EB3AB" w:rsidR="00E0244C" w:rsidRPr="00483F7D" w:rsidRDefault="00BC60FC" w:rsidP="00BC60FC">
      <w:pPr>
        <w:pStyle w:val="Point1"/>
      </w:pPr>
      <w:r w:rsidRPr="00483F7D">
        <w:t>β)</w:t>
      </w:r>
      <w:r w:rsidRPr="00483F7D">
        <w:tab/>
      </w:r>
      <w:r w:rsidR="007A1FD7" w:rsidRPr="00483F7D">
        <w:t>έχουν παρασχεθεί ή καταστεί διαθέσιμα στο τελωνείο τα ελάχιστα δεδομένα, τα οποία πρέπει να περιλαμβάνουν τουλάχιστον τον εισαγωγέα που είναι υπεύθυνος για τα εμπορεύματα, τον πωλητή, τον αγοραστή, τον κατασκευαστή, την αξία, την καταγωγή, τη δασμολογική κατάταξη και την περιγραφή των εμπορευμάτων και την τοποθεσία τους, καθώς και τον κατάλογο της σχετικής λοιπής νομοθεσίας που εφαρμόζεται από τις τελωνειακές αρχές·</w:t>
      </w:r>
    </w:p>
    <w:p w14:paraId="6042A7FC" w14:textId="587FBE8D" w:rsidR="00E0244C" w:rsidRPr="00483F7D" w:rsidRDefault="00BC60FC" w:rsidP="00BC60FC">
      <w:pPr>
        <w:pStyle w:val="Point1"/>
      </w:pPr>
      <w:r w:rsidRPr="00483F7D">
        <w:t>γ)</w:t>
      </w:r>
      <w:r w:rsidRPr="00483F7D">
        <w:tab/>
      </w:r>
      <w:r w:rsidR="007A1FD7" w:rsidRPr="00483F7D">
        <w:t>τα εμπορεύματα έχουν φθάσει στο τελωνειακό έδαφος της Ένωσης.</w:t>
      </w:r>
    </w:p>
    <w:p w14:paraId="78335113" w14:textId="77777777" w:rsidR="00E0244C" w:rsidRPr="00483F7D" w:rsidRDefault="007A1FD7">
      <w:pPr>
        <w:pStyle w:val="ManualNumPar10"/>
      </w:pPr>
      <w:r w:rsidRPr="00483F7D">
        <w:t>3.</w:t>
      </w:r>
      <w:r w:rsidRPr="00483F7D">
        <w:tab/>
        <w:t>Οι εισαγωγείς μπορούν να χρησιμοποιούν το καθεστώς τελειοποίησης προς επανεξαγωγή για οποιοδήποτε από τα ακόλουθα:</w:t>
      </w:r>
    </w:p>
    <w:p w14:paraId="63BA40A2" w14:textId="19297203" w:rsidR="00E0244C" w:rsidRPr="00483F7D" w:rsidRDefault="00BC60FC" w:rsidP="00BC60FC">
      <w:pPr>
        <w:pStyle w:val="Point1"/>
      </w:pPr>
      <w:r w:rsidRPr="00483F7D">
        <w:t>α)</w:t>
      </w:r>
      <w:r w:rsidRPr="00483F7D">
        <w:tab/>
      </w:r>
      <w:r w:rsidR="007A1FD7" w:rsidRPr="00483F7D">
        <w:t>επισκευή των εμπορευμάτων που προορίζονται να υπαχθούν σε καθεστώς τελειοποίησης προς επανεξαγωγή·</w:t>
      </w:r>
    </w:p>
    <w:p w14:paraId="7B4E7511" w14:textId="5DC6B2D3" w:rsidR="00E0244C" w:rsidRPr="00483F7D" w:rsidRDefault="00BC60FC" w:rsidP="00BC60FC">
      <w:pPr>
        <w:pStyle w:val="Point1"/>
      </w:pPr>
      <w:r w:rsidRPr="00483F7D">
        <w:t>β)</w:t>
      </w:r>
      <w:r w:rsidRPr="00483F7D">
        <w:tab/>
      </w:r>
      <w:r w:rsidR="007A1FD7" w:rsidRPr="00483F7D">
        <w:t>καταστροφή των εμπορευμάτων που προορίζονται να υπαχθούν σε καθεστώς τελειοποίησης προς επανεξαγωγή·</w:t>
      </w:r>
    </w:p>
    <w:p w14:paraId="0BEE14CD" w14:textId="67FE5640" w:rsidR="00E0244C" w:rsidRPr="00483F7D" w:rsidRDefault="00BC60FC" w:rsidP="00BC60FC">
      <w:pPr>
        <w:pStyle w:val="Point1"/>
      </w:pPr>
      <w:r w:rsidRPr="00483F7D">
        <w:t>γ)</w:t>
      </w:r>
      <w:r w:rsidRPr="00483F7D">
        <w:tab/>
      </w:r>
      <w:r w:rsidR="007A1FD7" w:rsidRPr="00483F7D">
        <w:t>παραγωγή μεταποιημένων προϊόντων στα οποία είναι δυνατή η εξακρίβωση της ταυτότητας των εμπορευμάτων που έχουν υπαχθεί σε καθεστώς τελειοποίησης προς επανεξαγωγή, με την επιφύλαξη της χρήσης εξαρτημάτων παραγωγής·</w:t>
      </w:r>
    </w:p>
    <w:p w14:paraId="47A0A742" w14:textId="533449E7" w:rsidR="00E0244C" w:rsidRPr="00483F7D" w:rsidRDefault="00BC60FC" w:rsidP="00BC60FC">
      <w:pPr>
        <w:pStyle w:val="Point1"/>
      </w:pPr>
      <w:r w:rsidRPr="00483F7D">
        <w:t>δ)</w:t>
      </w:r>
      <w:r w:rsidRPr="00483F7D">
        <w:tab/>
      </w:r>
      <w:r w:rsidR="007A1FD7" w:rsidRPr="00483F7D">
        <w:t>πραγματοποίηση εργασιών σε εμπορεύματα που έχουν υπαχθεί σε καθεστώς τελειοποίησης προς επανεξαγωγή ώστε να διασφαλιστεί η συμμόρφωσή τους προς τις τεχνικές απαιτήσεις για τη θέση τους σε ελεύθερη κυκλοφορία·</w:t>
      </w:r>
    </w:p>
    <w:p w14:paraId="793D5DF3" w14:textId="3020B512" w:rsidR="00E0244C" w:rsidRPr="00483F7D" w:rsidRDefault="00BC60FC" w:rsidP="00BC60FC">
      <w:pPr>
        <w:pStyle w:val="Point1"/>
      </w:pPr>
      <w:r w:rsidRPr="00483F7D">
        <w:t>ε)</w:t>
      </w:r>
      <w:r w:rsidRPr="00483F7D">
        <w:tab/>
      </w:r>
      <w:r w:rsidR="007A1FD7" w:rsidRPr="00483F7D">
        <w:t xml:space="preserve">υποβολή των εμπορευμάτων που έχουν υπαχθεί στο καθεστώς τελειοποίησης προς επανεξαγωγή σε συνήθεις εργασίες σύμφωνα με το άρθρο </w:t>
      </w:r>
      <w:hyperlink w:anchor="__akn_article_cZCDZU" w:tooltip="Article 108: 108">
        <w:r w:rsidR="007A1FD7" w:rsidRPr="00483F7D">
          <w:t>108</w:t>
        </w:r>
      </w:hyperlink>
      <w:r w:rsidR="007A1FD7" w:rsidRPr="00483F7D">
        <w:t>·</w:t>
      </w:r>
    </w:p>
    <w:p w14:paraId="424A1E5A" w14:textId="774556A4" w:rsidR="00E0244C" w:rsidRPr="00483F7D" w:rsidRDefault="00BC60FC" w:rsidP="00BC60FC">
      <w:pPr>
        <w:pStyle w:val="Point1"/>
      </w:pPr>
      <w:r w:rsidRPr="00483F7D">
        <w:t>στ)</w:t>
      </w:r>
      <w:r w:rsidRPr="00483F7D">
        <w:tab/>
      </w:r>
      <w:r w:rsidR="007A1FD7" w:rsidRPr="00483F7D">
        <w:t xml:space="preserve">παραγωγή μεταποιημένων προϊόντων με εμπορεύματα ισοδύναμα με τα εμπορεύματα που έχουν υπαχθεί στο καθεστώς τελειοποίησης προς επανεξαγωγή, σύμφωνα με το άρθρο </w:t>
      </w:r>
      <w:hyperlink w:anchor="__akn_article_V3e6Sw" w:tooltip="Article 109: 109">
        <w:r w:rsidR="007A1FD7" w:rsidRPr="00483F7D">
          <w:t>109</w:t>
        </w:r>
      </w:hyperlink>
      <w:r w:rsidR="007A1FD7" w:rsidRPr="00483F7D">
        <w:t>.</w:t>
      </w:r>
    </w:p>
    <w:p w14:paraId="307B2BE7" w14:textId="77777777" w:rsidR="00E0244C" w:rsidRPr="00483F7D" w:rsidRDefault="007A1FD7">
      <w:pPr>
        <w:pStyle w:val="Titrearticle"/>
      </w:pPr>
      <w:r w:rsidRPr="00483F7D">
        <w:t>Άρθρο 138</w:t>
      </w:r>
    </w:p>
    <w:p w14:paraId="00500228" w14:textId="77777777" w:rsidR="00E0244C" w:rsidRPr="00483F7D" w:rsidRDefault="007A1FD7">
      <w:pPr>
        <w:pStyle w:val="NormalCentered"/>
      </w:pPr>
      <w:r w:rsidRPr="00483F7D">
        <w:rPr>
          <w:b/>
        </w:rPr>
        <w:t>Προθεσμία εκκαθάρισης</w:t>
      </w:r>
    </w:p>
    <w:p w14:paraId="186F65B7" w14:textId="77777777" w:rsidR="00E0244C" w:rsidRPr="00483F7D" w:rsidRDefault="007A1FD7">
      <w:pPr>
        <w:pStyle w:val="ManualNumPar10"/>
      </w:pPr>
      <w:r w:rsidRPr="00483F7D">
        <w:t>1.</w:t>
      </w:r>
      <w:r w:rsidRPr="00483F7D">
        <w:tab/>
        <w:t xml:space="preserve">Οι τελωνειακές αρχές καθορίζουν την προθεσμία εντός της οποίας πρέπει να γίνεται η εκκαθάριση του καθεστώτος τελειοποίησης προς επανεξαγωγή, σύμφωνα με το άρθρο </w:t>
      </w:r>
      <w:hyperlink w:anchor="__akn_article_WnQV83" w:tooltip="Article 105: 105">
        <w:r w:rsidRPr="00483F7D">
          <w:rPr>
            <w:rStyle w:val="Hyperlink"/>
          </w:rPr>
          <w:t>105</w:t>
        </w:r>
      </w:hyperlink>
      <w:r w:rsidRPr="00483F7D">
        <w:t>. </w:t>
      </w:r>
    </w:p>
    <w:p w14:paraId="049DE544" w14:textId="77777777" w:rsidR="00E0244C" w:rsidRPr="00483F7D" w:rsidRDefault="007A1FD7">
      <w:pPr>
        <w:pStyle w:val="Text1"/>
      </w:pPr>
      <w:r w:rsidRPr="00483F7D">
        <w:t>Η προθεσμία αυτή αρχίζει την ημερομηνία κατά την οποία τα μη ενωσιακά εμπορεύματα υπάγονται στο καθεστώς και περιλαμβάνει τον χρόνο που απαιτείται για τη διενέργεια των εργασιών τελειοποίησης και την εκκαθάριση του καθεστώτος.</w:t>
      </w:r>
    </w:p>
    <w:p w14:paraId="387123FF" w14:textId="77777777" w:rsidR="00E0244C" w:rsidRPr="00483F7D" w:rsidRDefault="007A1FD7">
      <w:pPr>
        <w:pStyle w:val="ManualNumPar10"/>
      </w:pPr>
      <w:r w:rsidRPr="00483F7D">
        <w:t>2.</w:t>
      </w:r>
      <w:r w:rsidRPr="00483F7D">
        <w:tab/>
        <w:t>Οι τελωνειακές αρχές μπορούν να παρατείνουν, για εύλογο χρονικό διάστημα, την προθεσμία που καθορίζεται σύμφωνα με την παράγραφο 1, κατόπιν δεόντως αιτιολογημένης αίτησης του δικαιούχου της άδειας.</w:t>
      </w:r>
    </w:p>
    <w:p w14:paraId="677EC5CE" w14:textId="77777777" w:rsidR="00E0244C" w:rsidRPr="00483F7D" w:rsidRDefault="007A1FD7">
      <w:pPr>
        <w:pStyle w:val="Text1"/>
      </w:pPr>
      <w:r w:rsidRPr="00483F7D">
        <w:t>Η άδεια μπορεί να διευκρινίζει ότι η προθεσμία που αρχίζει να υπολογίζεται κατά τη διάρκεια μήνα, τριμήνου ή εξαμήνου λήγει την τελευταία ημέρα του επόμενου μήνα, τριμήνου ή εξαμήνου, αντίστοιχα.</w:t>
      </w:r>
    </w:p>
    <w:p w14:paraId="05776FE4" w14:textId="77777777" w:rsidR="00E0244C" w:rsidRPr="00483F7D" w:rsidRDefault="007A1FD7">
      <w:pPr>
        <w:pStyle w:val="ManualNumPar10"/>
      </w:pPr>
      <w:bookmarkStart w:id="123" w:name="_bill__akn_article_6F09zy-par1"/>
      <w:bookmarkEnd w:id="123"/>
      <w:r w:rsidRPr="00483F7D">
        <w:t>3.</w:t>
      </w:r>
      <w:r w:rsidRPr="00483F7D">
        <w:tab/>
        <w:t xml:space="preserve">Σε περίπτωση προκαταβολικής εξαγωγής σύμφωνα με το άρθρο 109 παράγραφος 2 στοιχείο </w:t>
      </w:r>
      <w:hyperlink w:anchor="__akn_article_V3e6Sw_FZmaV9" w:tooltip="Article 109(2), point (c): (c)">
        <w:r w:rsidRPr="00483F7D">
          <w:rPr>
            <w:rStyle w:val="Hyperlink"/>
          </w:rPr>
          <w:t>γ)</w:t>
        </w:r>
      </w:hyperlink>
      <w:r w:rsidRPr="00483F7D">
        <w:t>, η άδεια καθορίζει την προθεσμία εντός της οποίας τα μη ενωσιακά εμπορεύματα διασαφίζονται για υπαγωγή στο καθεστώς τελειοποίησης προς επανεξαγωγή, λαμβανομένου υπόψη του χρόνου που απαιτείται για την προμήθεια και μεταφορά στο τελωνειακό έδαφος της Ένωσης.</w:t>
      </w:r>
    </w:p>
    <w:p w14:paraId="520C4190" w14:textId="77777777" w:rsidR="00E0244C" w:rsidRPr="00483F7D" w:rsidRDefault="007A1FD7">
      <w:pPr>
        <w:pStyle w:val="Text1"/>
      </w:pPr>
      <w:r w:rsidRPr="00483F7D">
        <w:t>Η προθεσμία του πρώτου εδαφίου ορίζεται σε μήνες και δεν υπερβαίνει τους 6 μήνες. Η προθεσμία αυτή υπολογίζεται από την ημερομηνία αποδοχής της διασάφησης εξαγωγής που αφορά τα μεταποιημένα προϊόντα τα οποία ελήφθησαν από τα αντίστοιχα ισοδύναμα εμπορεύματα.</w:t>
      </w:r>
    </w:p>
    <w:p w14:paraId="3B3C12F2" w14:textId="77777777" w:rsidR="00E0244C" w:rsidRPr="00483F7D" w:rsidRDefault="007A1FD7">
      <w:pPr>
        <w:pStyle w:val="ManualNumPar10"/>
      </w:pPr>
      <w:r w:rsidRPr="00483F7D">
        <w:t>4.</w:t>
      </w:r>
      <w:r w:rsidRPr="00483F7D">
        <w:tab/>
        <w:t>Κατόπιν αίτησης του δικαιούχου της άδειας, η προθεσμία 6 μηνών που αναφέρεται στην παράγραφο 3 μπορεί να παραταθεί, ακόμη και αφού λήξει, εφόσον η συνολική προθεσμία δεν υπερβαίνει τους 12 μήνες.</w:t>
      </w:r>
    </w:p>
    <w:p w14:paraId="0AAF9B65" w14:textId="77777777" w:rsidR="00E0244C" w:rsidRPr="00483F7D" w:rsidRDefault="007A1FD7">
      <w:pPr>
        <w:pStyle w:val="Titrearticle"/>
      </w:pPr>
      <w:bookmarkStart w:id="124" w:name="__akn_article_xJ7lzk"/>
      <w:bookmarkEnd w:id="124"/>
      <w:r w:rsidRPr="00483F7D">
        <w:t>Άρθρο 139</w:t>
      </w:r>
    </w:p>
    <w:p w14:paraId="0DE91E21" w14:textId="77777777" w:rsidR="00E0244C" w:rsidRPr="00483F7D" w:rsidRDefault="007A1FD7">
      <w:pPr>
        <w:pStyle w:val="NormalCentered"/>
      </w:pPr>
      <w:r w:rsidRPr="00483F7D">
        <w:rPr>
          <w:b/>
        </w:rPr>
        <w:t>Προσωρινή εξαγωγή για περαιτέρω τελειοποίηση</w:t>
      </w:r>
    </w:p>
    <w:p w14:paraId="43358073" w14:textId="77777777" w:rsidR="00E0244C" w:rsidRPr="00483F7D" w:rsidRDefault="007A1FD7">
      <w:r w:rsidRPr="00483F7D">
        <w:t>Κατόπιν αίτησης, οι τελωνειακές αρχές μπορούν να χορηγήσουν άδεια ώστε το σύνολο ή τμήμα των εμπορευμάτων που έχουν υπαχθεί στο καθεστώς τελειοποίησης προς επανεξαγωγή ή των μεταποιημένων προϊόντων να εξαχθεί προσωρινά για να υποβληθεί σε περαιτέρω εργασίες τελειοποίησης εκτός του τελωνειακού εδάφους της Ένωσης σύμφωνα με τους όρους που προβλέπονται για το καθεστώς τελειοποίησης προς επανεισαγωγή.</w:t>
      </w:r>
    </w:p>
    <w:p w14:paraId="768D98E9" w14:textId="77777777" w:rsidR="00E0244C" w:rsidRPr="00483F7D" w:rsidRDefault="007A1FD7">
      <w:pPr>
        <w:pStyle w:val="SectionTitle"/>
      </w:pPr>
      <w:r w:rsidRPr="00483F7D">
        <w:t xml:space="preserve">Τμήμα 3 </w:t>
      </w:r>
      <w:r w:rsidRPr="00483F7D">
        <w:br/>
        <w:t>Τελειοποίηση προς επανεισαγωγή</w:t>
      </w:r>
    </w:p>
    <w:p w14:paraId="31301A62" w14:textId="77777777" w:rsidR="00E0244C" w:rsidRPr="00483F7D" w:rsidRDefault="007A1FD7">
      <w:pPr>
        <w:pStyle w:val="Titrearticle"/>
      </w:pPr>
      <w:bookmarkStart w:id="125" w:name="__akn_article_kMrONf"/>
      <w:bookmarkEnd w:id="125"/>
      <w:r w:rsidRPr="00483F7D">
        <w:t>Άρθρο 140</w:t>
      </w:r>
    </w:p>
    <w:p w14:paraId="1D70DF45" w14:textId="77777777" w:rsidR="00E0244C" w:rsidRPr="00483F7D" w:rsidRDefault="007A1FD7">
      <w:pPr>
        <w:pStyle w:val="NormalCentered"/>
      </w:pPr>
      <w:r w:rsidRPr="00483F7D">
        <w:rPr>
          <w:b/>
        </w:rPr>
        <w:t>Πεδίο εφαρμογής</w:t>
      </w:r>
    </w:p>
    <w:p w14:paraId="0E32205A" w14:textId="77777777" w:rsidR="00E0244C" w:rsidRPr="00483F7D" w:rsidRDefault="007A1FD7">
      <w:pPr>
        <w:pStyle w:val="ManualNumPar10"/>
      </w:pPr>
      <w:r w:rsidRPr="00483F7D">
        <w:t>1.</w:t>
      </w:r>
      <w:r w:rsidRPr="00483F7D">
        <w:tab/>
        <w:t>Στο πλαίσιο του καθεστώτος τελειοποίησης προς επανεισαγωγή, είναι δυνατή η προσωρινή εξαγωγή ενωσιακών εμπορευμάτων από το τελωνειακό έδαφος της Ένωσης για να υποβληθούν σε εργασίες τελειοποίησης. Τα μεταποιημένα προϊόντα που προκύπτουν από τα εν λόγω εμπορεύματα είναι δυνατό να τίθενται σε ελεύθερη κυκλοφορία με ολική ή μερική απαλλαγή από τον εισαγωγικό δασμό, κατόπιν αίτησης του δικαιούχου της άδειας ή οιουδήποτε άλλου προσώπου εγκατεστημένου στο τελωνειακό έδαφος της Ένωσης, εφόσον το εν λόγω πρόσωπο έχει λάβει τη συγκατάθεση του δικαιούχου της άδειας και πληρούνται οι όροι της άδειας.</w:t>
      </w:r>
    </w:p>
    <w:p w14:paraId="340FDEB5" w14:textId="77777777" w:rsidR="00E0244C" w:rsidRPr="00483F7D" w:rsidRDefault="007A1FD7">
      <w:pPr>
        <w:pStyle w:val="ManualNumPar10"/>
      </w:pPr>
      <w:r w:rsidRPr="00483F7D">
        <w:t>2.</w:t>
      </w:r>
      <w:r w:rsidRPr="00483F7D">
        <w:tab/>
        <w:t>Οι όροι για την υπαγωγή εμπορευμάτων στο καθεστώς τελειοποίησης προς επανεισαγωγή είναι οι ακόλουθοι:</w:t>
      </w:r>
    </w:p>
    <w:p w14:paraId="5FDFA091" w14:textId="3C6C9CEB" w:rsidR="00E0244C" w:rsidRPr="00483F7D" w:rsidRDefault="00BC60FC" w:rsidP="00BC60FC">
      <w:pPr>
        <w:pStyle w:val="Point1"/>
      </w:pPr>
      <w:r w:rsidRPr="00483F7D">
        <w:t>α)</w:t>
      </w:r>
      <w:r w:rsidRPr="00483F7D">
        <w:tab/>
      </w:r>
      <w:r w:rsidR="005A0DA6" w:rsidRPr="00483F7D">
        <w:t xml:space="preserve">όπου απαιτείται, έχει χορηγηθεί άδεια σύμφωνα με το άρθρο </w:t>
      </w:r>
      <w:hyperlink w:anchor="__akn_article_Lt0uL8" w:tooltip="Article 102: 102">
        <w:r w:rsidR="005A0DA6" w:rsidRPr="00483F7D">
          <w:rPr>
            <w:rStyle w:val="Hyperlink"/>
          </w:rPr>
          <w:t>102</w:t>
        </w:r>
      </w:hyperlink>
      <w:r w:rsidR="005A0DA6" w:rsidRPr="00483F7D">
        <w:t xml:space="preserve"> και το παρόν άρθρο·</w:t>
      </w:r>
    </w:p>
    <w:p w14:paraId="211FBA36" w14:textId="546C38D7" w:rsidR="00E0244C" w:rsidRPr="00483F7D" w:rsidRDefault="00BC60FC" w:rsidP="00BC60FC">
      <w:pPr>
        <w:pStyle w:val="Point1"/>
      </w:pPr>
      <w:r w:rsidRPr="00483F7D">
        <w:t>β)</w:t>
      </w:r>
      <w:r w:rsidRPr="00483F7D">
        <w:tab/>
      </w:r>
      <w:r w:rsidR="007A1FD7" w:rsidRPr="00483F7D">
        <w:t>έχουν παρασχεθεί ή καταστεί διαθέσιμα στο τελωνείο τα ελάχιστα δεδομένα, στα οποία πρέπει να περιλαμβάνονται τουλάχιστον ο εξαγωγέας που είναι υπεύθυνος για τα εμπορεύματα, ο πωλητής, ο αγοραστής, η αξία, η καταγωγή, η δασμολογική κατάταξη και η περιγραφή των εμπορευμάτων·</w:t>
      </w:r>
    </w:p>
    <w:p w14:paraId="593773CC" w14:textId="07A35AF6" w:rsidR="00E0244C" w:rsidRPr="00483F7D" w:rsidRDefault="00BC60FC" w:rsidP="00BC60FC">
      <w:pPr>
        <w:pStyle w:val="Point1"/>
      </w:pPr>
      <w:r w:rsidRPr="00483F7D">
        <w:t>γ)</w:t>
      </w:r>
      <w:r w:rsidRPr="00483F7D">
        <w:tab/>
      </w:r>
      <w:r w:rsidR="007A1FD7" w:rsidRPr="00483F7D">
        <w:t>τυχόν οφειλόμενοι εξαγωγικοί δασμοί ή λοιπές επιβαρύνσεις έχουν καταβληθεί ή καλύπτονται από εγγύηση·</w:t>
      </w:r>
    </w:p>
    <w:p w14:paraId="3F622C35" w14:textId="4C98DE75" w:rsidR="00E0244C" w:rsidRPr="00483F7D" w:rsidRDefault="00BC60FC" w:rsidP="00BC60FC">
      <w:pPr>
        <w:pStyle w:val="Point1"/>
      </w:pPr>
      <w:r w:rsidRPr="00483F7D">
        <w:t>δ)</w:t>
      </w:r>
      <w:r w:rsidRPr="00483F7D">
        <w:tab/>
      </w:r>
      <w:r w:rsidR="007E774F" w:rsidRPr="00483F7D">
        <w:t xml:space="preserve">τα εμπορεύματα συμμορφώνονται με τη σχετική λοιπή νομοθεσία που εφαρμόζεται από τις τελωνειακές αρχές. </w:t>
      </w:r>
    </w:p>
    <w:p w14:paraId="3446B197" w14:textId="77777777" w:rsidR="00E0244C" w:rsidRPr="00483F7D" w:rsidRDefault="007A1FD7">
      <w:pPr>
        <w:pStyle w:val="ManualNumPar10"/>
      </w:pPr>
      <w:r w:rsidRPr="00483F7D">
        <w:t>3.</w:t>
      </w:r>
      <w:r w:rsidRPr="00483F7D">
        <w:tab/>
        <w:t>Οι τελωνειακές αρχές δεν χορηγούν άδεια για καθεστώς τελειοποίησης προς επανεισαγωγή για κανένα από τα ακόλουθα ενωσιακά εμπορεύματα:</w:t>
      </w:r>
    </w:p>
    <w:p w14:paraId="1717BA83" w14:textId="728EEC12" w:rsidR="00E0244C" w:rsidRPr="00483F7D" w:rsidRDefault="00BC60FC" w:rsidP="00BC60FC">
      <w:pPr>
        <w:pStyle w:val="Point1"/>
      </w:pPr>
      <w:r w:rsidRPr="00483F7D">
        <w:t>α)</w:t>
      </w:r>
      <w:r w:rsidRPr="00483F7D">
        <w:tab/>
      </w:r>
      <w:r w:rsidR="007A1FD7" w:rsidRPr="00483F7D">
        <w:t>εμπορεύματα των οποίων η εξαγωγή παρέχει δικαίωμα επιστροφής ή διαγραφής του εισαγωγικού δασμού·</w:t>
      </w:r>
    </w:p>
    <w:p w14:paraId="045AE01A" w14:textId="1F34E149" w:rsidR="00E0244C" w:rsidRPr="00483F7D" w:rsidRDefault="00BC60FC" w:rsidP="00BC60FC">
      <w:pPr>
        <w:pStyle w:val="Point1"/>
      </w:pPr>
      <w:r w:rsidRPr="00483F7D">
        <w:t>β)</w:t>
      </w:r>
      <w:r w:rsidRPr="00483F7D">
        <w:tab/>
      </w:r>
      <w:r w:rsidR="007A1FD7" w:rsidRPr="00483F7D">
        <w:t>εμπορεύματα τα οποία είχαν τεθεί, πριν από την εξαγωγή τους, σε ελεύθερη κυκλοφορία με απαλλαγή από δασμούς ή με μειωμένο δασμολογικό συντελεστή λόγω του ειδικού τους προορισμού, για όσο διάστημα εξακολουθούν να παραμένουν ανεκπλήρωτοι οι στόχοι που τέθηκαν για τον εν λόγω ειδικό προορισμό, εκτός αν τα εν λόγω εμπορεύματα πρέπει να υποβληθούν σε εργασίες επισκευής·</w:t>
      </w:r>
    </w:p>
    <w:p w14:paraId="2D53F4E0" w14:textId="390C27A5" w:rsidR="00E0244C" w:rsidRPr="00483F7D" w:rsidRDefault="00BC60FC" w:rsidP="00BC60FC">
      <w:pPr>
        <w:pStyle w:val="Point1"/>
      </w:pPr>
      <w:r w:rsidRPr="00483F7D">
        <w:t>γ)</w:t>
      </w:r>
      <w:r w:rsidRPr="00483F7D">
        <w:tab/>
      </w:r>
      <w:r w:rsidR="007A1FD7" w:rsidRPr="00483F7D">
        <w:t>εμπορεύματα των οποίων η εξαγωγή παρέχει δικαίωμα χορήγησης επιστροφών κατά την εξαγωγή·</w:t>
      </w:r>
    </w:p>
    <w:p w14:paraId="08E60E65" w14:textId="05164698" w:rsidR="00E0244C" w:rsidRPr="00483F7D" w:rsidRDefault="00BC60FC" w:rsidP="00BC60FC">
      <w:pPr>
        <w:pStyle w:val="Point1"/>
      </w:pPr>
      <w:r w:rsidRPr="00483F7D">
        <w:t>δ)</w:t>
      </w:r>
      <w:r w:rsidRPr="00483F7D">
        <w:tab/>
      </w:r>
      <w:r w:rsidR="007A1FD7" w:rsidRPr="00483F7D">
        <w:t>εμπορεύματα για τα οποία παρέχεται οικονομικό πλεονέκτημα, εκτός από τις επιστροφές που αναφέρονται στο στοιχείο γ), στο πλαίσιο της κοινής γεωργικής πολιτικής και λόγω της εξαγωγής των εν λόγω εμπορευμάτων.</w:t>
      </w:r>
    </w:p>
    <w:p w14:paraId="7CC2E412" w14:textId="77777777" w:rsidR="00E0244C" w:rsidRPr="00483F7D" w:rsidRDefault="007A1FD7">
      <w:pPr>
        <w:pStyle w:val="ManualNumPar10"/>
      </w:pPr>
      <w:r w:rsidRPr="00483F7D">
        <w:t>4.</w:t>
      </w:r>
      <w:r w:rsidRPr="00483F7D">
        <w:tab/>
        <w:t>Οι τελωνειακές αρχές καθορίζουν την προθεσμία εντός της οποίας προσωρινά εξαχθέντα εμπορεύματα επιβάλλεται να επανεισαχθούν στο τελωνειακό έδαφος της Ένωσης με τη μορφή μεταποιημένων προϊόντων και να τεθούν σε ελεύθερη κυκλοφορία, ώστε να μπορεί να εφαρμοστεί σ’ αυτά πλήρης ή μερική απαλλαγή από τον εισαγωγικό δασμό. Οι τελωνειακές αρχές μπορούν να παρατείνουν την προθεσμία αυτή, για εύλογο χρονικό διάστημα, μετά από δεόντως αιτιολογημένη αίτηση του δικαιούχου της άδειας.</w:t>
      </w:r>
    </w:p>
    <w:p w14:paraId="5BB48D42" w14:textId="77777777" w:rsidR="00E0244C" w:rsidRPr="00483F7D" w:rsidRDefault="007A1FD7">
      <w:pPr>
        <w:pStyle w:val="Titrearticle"/>
      </w:pPr>
      <w:bookmarkStart w:id="126" w:name="__akn_article_ZG99IF"/>
      <w:bookmarkEnd w:id="126"/>
      <w:r w:rsidRPr="00483F7D">
        <w:t>Άρθρο 141</w:t>
      </w:r>
    </w:p>
    <w:p w14:paraId="389C0D98" w14:textId="77777777" w:rsidR="00E0244C" w:rsidRPr="00483F7D" w:rsidRDefault="007A1FD7">
      <w:pPr>
        <w:pStyle w:val="NormalCentered"/>
      </w:pPr>
      <w:r w:rsidRPr="00483F7D">
        <w:rPr>
          <w:b/>
        </w:rPr>
        <w:t>Εμπορεύματα που επισκευάζονται ή αντικαθίστανται δωρεάν</w:t>
      </w:r>
    </w:p>
    <w:p w14:paraId="55C25A48" w14:textId="77777777" w:rsidR="00E0244C" w:rsidRPr="00483F7D" w:rsidRDefault="007A1FD7">
      <w:pPr>
        <w:pStyle w:val="ManualNumPar10"/>
      </w:pPr>
      <w:r w:rsidRPr="00483F7D">
        <w:t>1.</w:t>
      </w:r>
      <w:r w:rsidRPr="00483F7D">
        <w:tab/>
        <w:t>Όταν αποδεικνύεται, με τρόπο ικανοποιητικό για τις τελωνειακές αρχές, ότι τα εμπορεύματα επισκευάστηκαν ή αντικαταστάθηκαν δωρεάν, είτε λόγω συμβατικής ή νομικής υποχρέωσης που απορρέει από εγγύηση είτε λόγω κατασκευαστικού ελαττώματος ή ελαττώματος υλικού, είτε επειδή τα εμπορεύματα δεν πληρούσαν τις προδιαγραφές που ζήτησε ο αγοραστής από τον πωλητή των εμπορευμάτων, αυτά απαλλάσσονται πλήρως από τον εισαγωγικό δασμό.</w:t>
      </w:r>
    </w:p>
    <w:p w14:paraId="1C0E62BC" w14:textId="77777777" w:rsidR="00E0244C" w:rsidRPr="00483F7D" w:rsidRDefault="007A1FD7">
      <w:pPr>
        <w:pStyle w:val="ManualNumPar10"/>
      </w:pPr>
      <w:r w:rsidRPr="00483F7D">
        <w:t>2.</w:t>
      </w:r>
      <w:r w:rsidRPr="00483F7D">
        <w:tab/>
        <w:t>Η παράγραφος 1 δεν εφαρμόζεται όταν τα κατασκευαστικά ελαττώματα ή τα ελαττώματα των υλικών έχουν ληφθεί υπόψη κατά τον χρόνο της πρώτης θέσης σε ελεύθερη κυκλοφορία των εν λόγω εμπορευμάτων.</w:t>
      </w:r>
    </w:p>
    <w:p w14:paraId="6EEE9352" w14:textId="77777777" w:rsidR="00E0244C" w:rsidRPr="00483F7D" w:rsidRDefault="007A1FD7">
      <w:pPr>
        <w:pStyle w:val="Titrearticle"/>
      </w:pPr>
      <w:bookmarkStart w:id="127" w:name="__akn_article_3AXXIw"/>
      <w:bookmarkEnd w:id="127"/>
      <w:r w:rsidRPr="00483F7D">
        <w:t>Άρθρο 142</w:t>
      </w:r>
    </w:p>
    <w:p w14:paraId="5196A680" w14:textId="77777777" w:rsidR="00E0244C" w:rsidRPr="00483F7D" w:rsidRDefault="007A1FD7">
      <w:pPr>
        <w:pStyle w:val="NormalCentered"/>
      </w:pPr>
      <w:r w:rsidRPr="00483F7D">
        <w:rPr>
          <w:b/>
        </w:rPr>
        <w:t>Εμπορεύματα που έχουν επισκευαστεί ή υποστεί μεταβολή στο πλαίσιο διεθνών συμφωνιών</w:t>
      </w:r>
    </w:p>
    <w:p w14:paraId="1B7E6421" w14:textId="77777777" w:rsidR="00E0244C" w:rsidRPr="00483F7D" w:rsidRDefault="007A1FD7">
      <w:pPr>
        <w:pStyle w:val="ManualNumPar10"/>
      </w:pPr>
      <w:r w:rsidRPr="00483F7D">
        <w:t>1.</w:t>
      </w:r>
      <w:r w:rsidRPr="00483F7D">
        <w:tab/>
        <w:t>Απαλλάσσονται πλήρως από τον εισαγωγικό δασμό μεταποιημένα προϊόντα που προκύπτουν από εμπορεύματα τα οποία έχουν υπαχθεί στο καθεστώς τελειοποίησης προς επανεισαγωγή, εφόσον αποδεικνύεται, με τρόπο ικανοποιητικό για τις τελωνειακές αρχές, ότι:</w:t>
      </w:r>
    </w:p>
    <w:p w14:paraId="5AD4017B" w14:textId="3E4B7036" w:rsidR="00A17FAC" w:rsidRPr="00483F7D" w:rsidRDefault="00BC60FC" w:rsidP="00BC60FC">
      <w:pPr>
        <w:pStyle w:val="Point1"/>
      </w:pPr>
      <w:r w:rsidRPr="00483F7D">
        <w:t>α)</w:t>
      </w:r>
      <w:r w:rsidRPr="00483F7D">
        <w:tab/>
      </w:r>
      <w:r w:rsidR="007A1FD7" w:rsidRPr="00483F7D">
        <w:t>τα εν λόγω εμπορεύματα έχουν επισκευαστεί ή υποστεί μεταβολή σε τρίτη χώρα με την οποία η Ένωση έχει συνάψει διεθνή συμφωνία που προβλέπει την εν λόγω απαλλαγή· και</w:t>
      </w:r>
    </w:p>
    <w:p w14:paraId="1249AE11" w14:textId="43326959" w:rsidR="00E0244C" w:rsidRPr="00483F7D" w:rsidRDefault="00BC60FC" w:rsidP="00BC60FC">
      <w:pPr>
        <w:pStyle w:val="Point1"/>
      </w:pPr>
      <w:r w:rsidRPr="00483F7D">
        <w:t>β)</w:t>
      </w:r>
      <w:r w:rsidRPr="00483F7D">
        <w:tab/>
      </w:r>
      <w:r w:rsidR="007A1FD7" w:rsidRPr="00483F7D">
        <w:t>πληρούνται οι όροι για την απαλλαγή από εισαγωγικούς δασμούς που καθορίζονται στη συμφωνία η οποία αναφέρεται στο στοιχείο α).</w:t>
      </w:r>
    </w:p>
    <w:p w14:paraId="2FA7889C" w14:textId="77777777" w:rsidR="00E0244C" w:rsidRPr="00483F7D" w:rsidRDefault="007A1FD7">
      <w:pPr>
        <w:pStyle w:val="ManualNumPar10"/>
      </w:pPr>
      <w:r w:rsidRPr="00483F7D">
        <w:t>2.</w:t>
      </w:r>
      <w:r w:rsidRPr="00483F7D">
        <w:tab/>
        <w:t>Η παράγραφος 1 δεν εφαρμόζεται σε μεταποιημένα προϊόντα που προκύπτουν από ισοδύναμα εμπορεύματα όπως αναφέρονται στο άρθρο </w:t>
      </w:r>
      <w:hyperlink w:anchor="__akn_article_V3e6Sw" w:tooltip="Article 109: 109">
        <w:r w:rsidRPr="00483F7D">
          <w:rPr>
            <w:rStyle w:val="Hyperlink"/>
          </w:rPr>
          <w:t>109</w:t>
        </w:r>
      </w:hyperlink>
      <w:r w:rsidRPr="00483F7D">
        <w:t xml:space="preserve"> και σε προϊόντα αντικατάστασης, όπως αναφέρονται στα άρθρα </w:t>
      </w:r>
      <w:hyperlink w:anchor="__akn_article_0c3Gp1" w:tooltip="Article 143: 143">
        <w:r w:rsidRPr="00483F7D">
          <w:rPr>
            <w:rStyle w:val="Hyperlink"/>
          </w:rPr>
          <w:t>143</w:t>
        </w:r>
      </w:hyperlink>
      <w:r w:rsidRPr="00483F7D">
        <w:t xml:space="preserve"> και </w:t>
      </w:r>
      <w:hyperlink w:anchor="__akn_article_uV56j7" w:tooltip="Article 144: 144">
        <w:r w:rsidRPr="00483F7D">
          <w:rPr>
            <w:rStyle w:val="Hyperlink"/>
          </w:rPr>
          <w:t>144</w:t>
        </w:r>
      </w:hyperlink>
      <w:r w:rsidRPr="00483F7D">
        <w:t>.</w:t>
      </w:r>
    </w:p>
    <w:p w14:paraId="4930989F" w14:textId="77777777" w:rsidR="00E0244C" w:rsidRPr="00483F7D" w:rsidRDefault="007A1FD7">
      <w:pPr>
        <w:pStyle w:val="Titrearticle"/>
      </w:pPr>
      <w:bookmarkStart w:id="128" w:name="__akn_article_0c3Gp1"/>
      <w:bookmarkEnd w:id="128"/>
      <w:r w:rsidRPr="00483F7D">
        <w:t>Άρθρο 143</w:t>
      </w:r>
    </w:p>
    <w:p w14:paraId="685BDE55" w14:textId="77777777" w:rsidR="00E0244C" w:rsidRPr="00483F7D" w:rsidRDefault="007A1FD7">
      <w:pPr>
        <w:pStyle w:val="NormalCentered"/>
      </w:pPr>
      <w:r w:rsidRPr="00483F7D">
        <w:rPr>
          <w:b/>
        </w:rPr>
        <w:t>Σύστημα τυποποιημένων ανταλλαγών</w:t>
      </w:r>
    </w:p>
    <w:p w14:paraId="276D432A" w14:textId="77777777" w:rsidR="00E0244C" w:rsidRPr="00483F7D" w:rsidRDefault="007A1FD7">
      <w:pPr>
        <w:pStyle w:val="ManualNumPar10"/>
      </w:pPr>
      <w:bookmarkStart w:id="129" w:name="__akn_article_0c3Gp1_ospAyU"/>
      <w:bookmarkEnd w:id="129"/>
      <w:r w:rsidRPr="00483F7D">
        <w:t>1.</w:t>
      </w:r>
      <w:r w:rsidRPr="00483F7D">
        <w:tab/>
        <w:t>Στο πλαίσιο του συστήματος τυποποιημένων ανταλλαγών, ένα εισαγόμενο προϊόν (στο εξής: προϊόν αντικατάστασης) μπορεί, σύμφωνα με τις παραγράφους 2 έως 5, να αντικαθιστά ένα μεταποιημένο προϊόν.</w:t>
      </w:r>
    </w:p>
    <w:p w14:paraId="25B66565" w14:textId="77777777" w:rsidR="00E0244C" w:rsidRPr="00483F7D" w:rsidRDefault="007A1FD7">
      <w:pPr>
        <w:pStyle w:val="ManualNumPar10"/>
      </w:pPr>
      <w:r w:rsidRPr="00483F7D">
        <w:t>2.</w:t>
      </w:r>
      <w:r w:rsidRPr="00483F7D">
        <w:tab/>
        <w:t>Οι τελωνειακές αρχές επιτρέπουν, κατόπιν αίτησης, τη χρήση του συστήματος τυποποιημένων ανταλλαγών όταν στην εργασία τελειοποίησης περιλαμβάνεται η επισκευή ελαττωματικών ενωσιακών εμπορευμάτων άλλων από εκείνα που υπάγονται σε διατάξεις στο πλαίσιο της κοινής γεωργικής πολιτικής ή στις ειδικές ρυθμίσεις οι οποίες εφαρμόζονται σε ορισμένα εμπορεύματα που προκύπτουν από τη μεταποίηση γεωργικών προϊόντων.</w:t>
      </w:r>
    </w:p>
    <w:p w14:paraId="615CA3F0" w14:textId="77777777" w:rsidR="00E0244C" w:rsidRPr="00483F7D" w:rsidRDefault="007A1FD7">
      <w:pPr>
        <w:pStyle w:val="ManualNumPar10"/>
      </w:pPr>
      <w:r w:rsidRPr="00483F7D">
        <w:t>3.</w:t>
      </w:r>
      <w:r w:rsidRPr="00483F7D">
        <w:tab/>
        <w:t>Τα προϊόντα αντικατάστασης έχουν τον ίδιο οκταψήφιο κωδικό της Συνδυασμένης Ονοματολογίας, την ίδια εμπορική ποιότητα και τα ίδια τεχνικά χαρακτηριστικά που θα είχαν τα ελαττωματικά εμπορεύματα, αν είχαν υποβληθεί σε επισκευή.</w:t>
      </w:r>
    </w:p>
    <w:p w14:paraId="3A0A1CA2" w14:textId="77777777" w:rsidR="00E0244C" w:rsidRPr="00483F7D" w:rsidRDefault="007A1FD7">
      <w:pPr>
        <w:pStyle w:val="ManualNumPar10"/>
      </w:pPr>
      <w:r w:rsidRPr="00483F7D">
        <w:t>4.</w:t>
      </w:r>
      <w:r w:rsidRPr="00483F7D">
        <w:tab/>
        <w:t>Στην περίπτωση που τα ελαττωματικά εμπορεύματα έχουν χρησιμοποιηθεί πριν από την εξαγωγή, τα προϊόντα αντικατάστασης πρέπει επίσης να έχουν χρησιμοποιηθεί.</w:t>
      </w:r>
    </w:p>
    <w:p w14:paraId="30F942A7" w14:textId="77777777" w:rsidR="00E0244C" w:rsidRPr="00483F7D" w:rsidRDefault="007A1FD7">
      <w:pPr>
        <w:pStyle w:val="Text1"/>
      </w:pPr>
      <w:r w:rsidRPr="00483F7D">
        <w:t>Ωστόσο, οι τελωνειακές αρχές αίρουν την απαίτηση που καθορίζεται στο πρώτο εδάφιο, αν το προϊόν αντικατάστασης έχει παραδοθεί δωρεάν, είτε λόγω συμβατικής ή κανονιστικής υποχρέωσης που απορρέει από την εγγύηση, είτε λόγω κατασκευαστικού ελαττώματος ή ελαττώματος των υλικών.</w:t>
      </w:r>
    </w:p>
    <w:p w14:paraId="657EC54D" w14:textId="77777777" w:rsidR="00E0244C" w:rsidRPr="00483F7D" w:rsidRDefault="007A1FD7">
      <w:pPr>
        <w:pStyle w:val="ManualNumPar10"/>
      </w:pPr>
      <w:r w:rsidRPr="00483F7D">
        <w:t>5.</w:t>
      </w:r>
      <w:r w:rsidRPr="00483F7D">
        <w:tab/>
        <w:t>Οι διατάξεις που εφαρμόζονται στα μεταποιημένα προϊόντα εφαρμόζονται και στα προϊόντα αντικατάστασης.</w:t>
      </w:r>
    </w:p>
    <w:p w14:paraId="4B64037F" w14:textId="77777777" w:rsidR="00E0244C" w:rsidRPr="00483F7D" w:rsidRDefault="007A1FD7">
      <w:pPr>
        <w:pStyle w:val="Titrearticle"/>
      </w:pPr>
      <w:bookmarkStart w:id="130" w:name="__akn_article_uV56j7"/>
      <w:bookmarkEnd w:id="130"/>
      <w:r w:rsidRPr="00483F7D">
        <w:t>Άρθρο 144</w:t>
      </w:r>
    </w:p>
    <w:p w14:paraId="56E707E3" w14:textId="77777777" w:rsidR="00E0244C" w:rsidRPr="00483F7D" w:rsidRDefault="007A1FD7">
      <w:pPr>
        <w:pStyle w:val="NormalCentered"/>
      </w:pPr>
      <w:r w:rsidRPr="00483F7D">
        <w:rPr>
          <w:b/>
        </w:rPr>
        <w:t>Προκαταβολική εισαγωγή προϊόντων αντικατάστασης</w:t>
      </w:r>
    </w:p>
    <w:p w14:paraId="782666C1" w14:textId="77777777" w:rsidR="00E0244C" w:rsidRPr="00483F7D" w:rsidRDefault="007A1FD7">
      <w:pPr>
        <w:pStyle w:val="ManualNumPar10"/>
      </w:pPr>
      <w:r w:rsidRPr="00483F7D">
        <w:t>1.</w:t>
      </w:r>
      <w:r w:rsidRPr="00483F7D">
        <w:tab/>
        <w:t>Οι τελωνειακές αρχές επιτρέπουν, σύμφωνα με τους όρους που καθορίζουν οι ίδιες, κατόπιν αίτησης του ενδιαφερόμενου προσώπου, την εισαγωγή προϊόντων αντικατάστασης πριν από την εξαγωγή των ελαττωματικών εμπορευμάτων.</w:t>
      </w:r>
    </w:p>
    <w:p w14:paraId="7440EB67" w14:textId="77777777" w:rsidR="00E0244C" w:rsidRPr="00483F7D" w:rsidRDefault="007A1FD7">
      <w:pPr>
        <w:pStyle w:val="Text1"/>
      </w:pPr>
      <w:r w:rsidRPr="00483F7D">
        <w:t>Όταν πραγματοποιείται τέτοια προκαταβολική εισαγωγή προϊόντος αντικατάστασης, συστήνεται εγγύηση που καλύπτει το ποσό του εισαγωγικού δασμού ο οποίος θα ήταν καταβλητέος σε περίπτωση μη εξαγωγής των ελαττωματικών εμπορευμάτων σύμφωνα με την παράγραφο 2.</w:t>
      </w:r>
    </w:p>
    <w:p w14:paraId="7993C0D5" w14:textId="77777777" w:rsidR="00E0244C" w:rsidRPr="00483F7D" w:rsidRDefault="007A1FD7">
      <w:pPr>
        <w:pStyle w:val="ManualNumPar10"/>
      </w:pPr>
      <w:r w:rsidRPr="00483F7D">
        <w:t>2.</w:t>
      </w:r>
      <w:r w:rsidRPr="00483F7D">
        <w:tab/>
        <w:t>Τα ελαττωματικά εμπορεύματα εξάγονται εντός προθεσμίας 2 μηνών από την ημερομηνία αποδοχής εκ μέρους των τελωνειακών αρχών της διασάφησης για τη θέση σε ελεύθερη κυκλοφορία των προϊόντων αντικατάστασης.</w:t>
      </w:r>
    </w:p>
    <w:p w14:paraId="3459934E" w14:textId="77777777" w:rsidR="00E0244C" w:rsidRPr="00483F7D" w:rsidRDefault="007A1FD7">
      <w:pPr>
        <w:pStyle w:val="ManualNumPar10"/>
      </w:pPr>
      <w:r w:rsidRPr="00483F7D">
        <w:t>3.</w:t>
      </w:r>
      <w:r w:rsidRPr="00483F7D">
        <w:tab/>
        <w:t>Όταν, σε εξαιρετικές περιπτώσεις, τα ελαττωματικά εμπορεύματα δεν είναι δυνατό να εξαχθούν εντός της προθεσμίας που αναφέρεται στην παράγραφο 2, οι τελωνειακές αρχές μπορούν να παρατείνουν την εν λόγω προθεσμία για εύλογο χρονικό διάστημα, κατόπιν δεόντως δικαιολογημένης αίτησης του δικαιούχου της άδειας.</w:t>
      </w:r>
    </w:p>
    <w:p w14:paraId="6B74EEC6" w14:textId="77777777" w:rsidR="00E0244C" w:rsidRPr="00483F7D" w:rsidRDefault="007A1FD7">
      <w:pPr>
        <w:pStyle w:val="ChapterTitle"/>
      </w:pPr>
      <w:bookmarkStart w:id="131" w:name="__akn_title_074wPR"/>
      <w:bookmarkEnd w:id="131"/>
      <w:r w:rsidRPr="00483F7D">
        <w:t xml:space="preserve">Τίτλος IX </w:t>
      </w:r>
      <w:r w:rsidRPr="00483F7D">
        <w:br/>
        <w:t>ΔΑΣΜΟΛΟΓΙΚΗ ΚΑΤΑΤΑΞΗ, ΚΑΤΑΓΩΓΗ ΚΑΙ ΑΞΙΑ ΕΜΠΟΡΕΥΜΑΤΩΝ</w:t>
      </w:r>
    </w:p>
    <w:p w14:paraId="7FF92128" w14:textId="77777777" w:rsidR="00E0244C" w:rsidRPr="00483F7D" w:rsidRDefault="007A1FD7">
      <w:pPr>
        <w:pStyle w:val="ChapterTitle"/>
      </w:pPr>
      <w:bookmarkStart w:id="132" w:name="_Hlk132196487"/>
      <w:r w:rsidRPr="00483F7D">
        <w:t xml:space="preserve">Κεφάλαιο 1 </w:t>
      </w:r>
      <w:r w:rsidRPr="00483F7D">
        <w:br/>
        <w:t>Κοινό δασμολόγιο και δασμολογική κατάταξη εμπορευμάτων</w:t>
      </w:r>
    </w:p>
    <w:p w14:paraId="1379E5DC" w14:textId="77777777" w:rsidR="00E0244C" w:rsidRPr="00483F7D" w:rsidRDefault="007A1FD7">
      <w:pPr>
        <w:pStyle w:val="Titrearticle"/>
      </w:pPr>
      <w:r w:rsidRPr="00483F7D">
        <w:t>Άρθρο 145</w:t>
      </w:r>
    </w:p>
    <w:p w14:paraId="4673D2CF" w14:textId="77777777" w:rsidR="00E0244C" w:rsidRPr="00483F7D" w:rsidRDefault="007A1FD7">
      <w:pPr>
        <w:pStyle w:val="NormalCentered"/>
      </w:pPr>
      <w:r w:rsidRPr="00483F7D">
        <w:rPr>
          <w:b/>
        </w:rPr>
        <w:t>Κοινό δασμολόγιο και τελωνειακή παρακολούθηση</w:t>
      </w:r>
    </w:p>
    <w:p w14:paraId="646B1747" w14:textId="77777777" w:rsidR="00E0244C" w:rsidRPr="00483F7D" w:rsidRDefault="007A1FD7">
      <w:pPr>
        <w:pStyle w:val="ManualNumPar10"/>
      </w:pPr>
      <w:r w:rsidRPr="00483F7D">
        <w:t>1.</w:t>
      </w:r>
      <w:r w:rsidRPr="00483F7D">
        <w:tab/>
        <w:t>Ο οφειλόμενος εισαγωγικός και εξαγωγικός δασμός βασίζεται στο κοινό δασμολόγιο.</w:t>
      </w:r>
    </w:p>
    <w:p w14:paraId="7B68F4F4" w14:textId="77777777" w:rsidR="00E0244C" w:rsidRPr="00483F7D" w:rsidRDefault="007A1FD7">
      <w:pPr>
        <w:pStyle w:val="Text1"/>
      </w:pPr>
      <w:r w:rsidRPr="00483F7D">
        <w:t>Άλλα μέτρα που προβλέπονται από ενωσιακές διατάξεις οι οποίες διέπουν συγκεκριμένους τομείς σχετικούς με τις εμπορευματικές συναλλαγές εφαρμόζονται, κατά περίπτωση, σύμφωνα με τη δασμολογική κατάταξη των εκάστοτε εμπορευμάτων.</w:t>
      </w:r>
    </w:p>
    <w:p w14:paraId="048A1FA4" w14:textId="77777777" w:rsidR="00E0244C" w:rsidRPr="00483F7D" w:rsidRDefault="007A1FD7">
      <w:pPr>
        <w:pStyle w:val="ManualNumPar10"/>
      </w:pPr>
      <w:r w:rsidRPr="00483F7D">
        <w:t>2.</w:t>
      </w:r>
      <w:r w:rsidRPr="00483F7D">
        <w:tab/>
        <w:t>Το κοινό δασμολόγιο περιέχει όλα τα ακόλουθα:</w:t>
      </w:r>
    </w:p>
    <w:p w14:paraId="41EC98BD" w14:textId="75050A54" w:rsidR="00A17FAC" w:rsidRPr="00483F7D" w:rsidRDefault="00BC60FC" w:rsidP="00BC60FC">
      <w:pPr>
        <w:pStyle w:val="Point1"/>
      </w:pPr>
      <w:r w:rsidRPr="00483F7D">
        <w:t>α)</w:t>
      </w:r>
      <w:r w:rsidRPr="00483F7D">
        <w:tab/>
      </w:r>
      <w:r w:rsidR="007A1FD7" w:rsidRPr="00483F7D">
        <w:t>τη Συνδυασμένη Ονοματολογία εμπορευμάτων, που θεσπίστηκε με τον κανονισμό (ΕΟΚ) αριθ. 2658/87·</w:t>
      </w:r>
    </w:p>
    <w:p w14:paraId="2CAC7369" w14:textId="0209B05D" w:rsidR="00E0244C" w:rsidRPr="00483F7D" w:rsidRDefault="00BC60FC" w:rsidP="00BC60FC">
      <w:pPr>
        <w:pStyle w:val="Point1"/>
      </w:pPr>
      <w:r w:rsidRPr="00483F7D">
        <w:t>β)</w:t>
      </w:r>
      <w:r w:rsidRPr="00483F7D">
        <w:tab/>
      </w:r>
      <w:r w:rsidR="007A1FD7" w:rsidRPr="00483F7D">
        <w:t>κάθε άλλη ονοματολογία που βασίζεται, εξ ολοκλήρου ή εν μέρει, στη Συνδυασμένη Ονοματολογία ή προβλέπει περαιτέρω υποδιαιρέσεις της, και η οποία θεσπίζεται με ενωσιακές διατάξεις που διέπουν συγκεκριμένους τομείς για την εφαρμογή δασμολογικών μέτρων σχετικών με τις εμπορευματικές συναλλαγές·</w:t>
      </w:r>
    </w:p>
    <w:p w14:paraId="6ED45A6F" w14:textId="1A27405E" w:rsidR="00E0244C" w:rsidRPr="00483F7D" w:rsidRDefault="00BC60FC" w:rsidP="00BC60FC">
      <w:pPr>
        <w:pStyle w:val="Point1"/>
      </w:pPr>
      <w:r w:rsidRPr="00483F7D">
        <w:t>γ)</w:t>
      </w:r>
      <w:r w:rsidRPr="00483F7D">
        <w:tab/>
      </w:r>
      <w:r w:rsidR="007A1FD7" w:rsidRPr="00483F7D">
        <w:t>τον συμβατικό ή κανονικό αυτόνομο δασμό που εφαρμόζεται σε εμπορεύματα τα οποία καλύπτονται από τη Συνδυασμένη Ονοματολογία·</w:t>
      </w:r>
    </w:p>
    <w:p w14:paraId="639E459D" w14:textId="5F3EC55D" w:rsidR="00E0244C" w:rsidRPr="00483F7D" w:rsidRDefault="00BC60FC" w:rsidP="00BC60FC">
      <w:pPr>
        <w:pStyle w:val="Point1"/>
      </w:pPr>
      <w:r w:rsidRPr="00483F7D">
        <w:t>δ)</w:t>
      </w:r>
      <w:r w:rsidRPr="00483F7D">
        <w:tab/>
      </w:r>
      <w:r w:rsidR="007A1FD7" w:rsidRPr="00483F7D">
        <w:t>τα προτιμησιακά δασμολογικά μέτρα που περιλαμβάνονται σε συμφωνίες τις οποίες έχει συνάψει η Ένωση με ορισμένες τρίτες χώρες ή ομάδες τρίτων χωρών·</w:t>
      </w:r>
    </w:p>
    <w:p w14:paraId="49E18A73" w14:textId="5CAC2746" w:rsidR="00E0244C" w:rsidRPr="00483F7D" w:rsidRDefault="00BC60FC" w:rsidP="00BC60FC">
      <w:pPr>
        <w:pStyle w:val="Point1"/>
      </w:pPr>
      <w:r w:rsidRPr="00483F7D">
        <w:t>ε)</w:t>
      </w:r>
      <w:r w:rsidRPr="00483F7D">
        <w:tab/>
      </w:r>
      <w:r w:rsidR="007A1FD7" w:rsidRPr="00483F7D">
        <w:t>προτιμησιακά δασμολογικά μέτρα που θεσπίζονται μονομερώς από την Ένωση όσον αφορά ορισμένες τρίτες χώρες ή ομάδες τρίτων χωρών·</w:t>
      </w:r>
    </w:p>
    <w:p w14:paraId="6C8945A0" w14:textId="14992DA1" w:rsidR="00E0244C" w:rsidRPr="00483F7D" w:rsidRDefault="00BC60FC" w:rsidP="00BC60FC">
      <w:pPr>
        <w:pStyle w:val="Point1"/>
      </w:pPr>
      <w:r w:rsidRPr="00483F7D">
        <w:t>στ)</w:t>
      </w:r>
      <w:r w:rsidRPr="00483F7D">
        <w:tab/>
      </w:r>
      <w:r w:rsidR="007A1FD7" w:rsidRPr="00483F7D">
        <w:t>αυτόνομα μέτρα που προβλέπουν μειώσεις του δασμού ή απαλλαγές από τον δασμό ο οποίος επιβάλλεται σε ορισμένα εμπορεύματα·</w:t>
      </w:r>
    </w:p>
    <w:p w14:paraId="694101E2" w14:textId="359B1EC0" w:rsidR="00E0244C" w:rsidRPr="00483F7D" w:rsidRDefault="00BC60FC" w:rsidP="00BC60FC">
      <w:pPr>
        <w:pStyle w:val="Point1"/>
      </w:pPr>
      <w:r w:rsidRPr="00483F7D">
        <w:t>ζ)</w:t>
      </w:r>
      <w:r w:rsidRPr="00483F7D">
        <w:tab/>
      </w:r>
      <w:r w:rsidR="007A1FD7" w:rsidRPr="00483F7D">
        <w:t>ευνοϊκή δασμολογική μεταχείριση για ορισμένα εμπορεύματα, λόγω της φύσης τους ή του ειδικού τους προορισμού, στο πλαίσιο μέτρων που αναφέρονται στα στοιχεία γ) έως στ) ή η)·</w:t>
      </w:r>
    </w:p>
    <w:p w14:paraId="7DF2378E" w14:textId="1DF5117C" w:rsidR="00E0244C" w:rsidRPr="00483F7D" w:rsidRDefault="00BC60FC" w:rsidP="00BC60FC">
      <w:pPr>
        <w:pStyle w:val="Point1"/>
      </w:pPr>
      <w:r w:rsidRPr="00483F7D">
        <w:t>η)</w:t>
      </w:r>
      <w:r w:rsidRPr="00483F7D">
        <w:tab/>
      </w:r>
      <w:r w:rsidR="007A1FD7" w:rsidRPr="00483F7D">
        <w:t>άλλα μέτρα που προβλέπονται από τη γεωργική ή εμπορική ή άλλη ενωσιακή νομοθεσία και βασίζονται στη δασμολογική κατάταξη των εμπορευμάτων, ιδίως προσωρινό ή οριστικό δασμό αντιντάμπινγκ, αντισταθμιστικό δασμό ή μέτρο διασφάλισης.</w:t>
      </w:r>
    </w:p>
    <w:p w14:paraId="504A3779" w14:textId="77777777" w:rsidR="00E0244C" w:rsidRPr="00483F7D" w:rsidRDefault="007A1FD7">
      <w:pPr>
        <w:pStyle w:val="ManualNumPar10"/>
      </w:pPr>
      <w:r w:rsidRPr="00483F7D">
        <w:t>3.</w:t>
      </w:r>
      <w:r w:rsidRPr="00483F7D">
        <w:tab/>
        <w:t>Εφόσον τα εμπορεύματα πληρούν τους όρους που περιλαμβάνονται στα μέτρα τα οποία καθορίζονται στην παράγραφο 2 στοιχεία δ) έως ζ), είναι δυνατό να εφαρμόζονται τα εν λόγω μέτρα αντί για εκείνα που προβλέπονται στο στοιχείο γ) της εν λόγω παραγράφου. Τα μέτρα αυτά είναι δυνατό να εφαρμοστούν αναδρομικά, εφόσον τηρούνται οι προθεσμίες και οι όροι που προβλέπονται στο σχετικό μέτρο ή στον παρόντα κανονισμό και:</w:t>
      </w:r>
    </w:p>
    <w:p w14:paraId="4A3F0495" w14:textId="5BFE67D8" w:rsidR="00E0244C" w:rsidRPr="00483F7D" w:rsidRDefault="00BC60FC" w:rsidP="00BC60FC">
      <w:pPr>
        <w:pStyle w:val="Point1"/>
      </w:pPr>
      <w:r w:rsidRPr="00483F7D">
        <w:t>α)</w:t>
      </w:r>
      <w:r w:rsidRPr="00483F7D">
        <w:tab/>
      </w:r>
      <w:r w:rsidR="007A1FD7" w:rsidRPr="00483F7D">
        <w:t>όσον αφορά τα μέτρα που προβλέπονται στα στοιχεία δ) και ε), προβλέπουν την αναδρομική αυτή εφαρμογή·</w:t>
      </w:r>
    </w:p>
    <w:p w14:paraId="6E9FA9FC" w14:textId="32F58F17" w:rsidR="00E0244C" w:rsidRPr="00483F7D" w:rsidRDefault="00BC60FC" w:rsidP="00BC60FC">
      <w:pPr>
        <w:pStyle w:val="Point1"/>
      </w:pPr>
      <w:r w:rsidRPr="00483F7D">
        <w:t>β)</w:t>
      </w:r>
      <w:r w:rsidRPr="00483F7D">
        <w:tab/>
      </w:r>
      <w:r w:rsidR="00A17FAC" w:rsidRPr="00483F7D">
        <w:t>όσον αφορά τα μέτρα που ορίζονται στο στοιχείο δ), η τρίτη χώρα ή ομάδα τρίτων χωρών προβλέπει επίσης την αναδρομική αυτή εφαρμογή.</w:t>
      </w:r>
      <w:r w:rsidR="00A17FAC" w:rsidRPr="00483F7D">
        <w:tab/>
      </w:r>
    </w:p>
    <w:p w14:paraId="7E490AED" w14:textId="77777777" w:rsidR="00E0244C" w:rsidRPr="00483F7D" w:rsidRDefault="007A1FD7">
      <w:pPr>
        <w:pStyle w:val="ManualNumPar10"/>
      </w:pPr>
      <w:r w:rsidRPr="00483F7D">
        <w:t>4.</w:t>
      </w:r>
      <w:r w:rsidRPr="00483F7D">
        <w:tab/>
      </w:r>
      <w:bookmarkStart w:id="133" w:name="__akn_article_FtviyP_mfigZO"/>
      <w:bookmarkEnd w:id="133"/>
      <w:r w:rsidRPr="00483F7D">
        <w:t>Εφόσον η εφαρμογή των μέτρων που αναφέρονται στην παράγραφο 2, στοιχεία δ) έως ζ) ή η απαλλαγή από τα μέτρα που αναφέρονται στο στοιχείο η) της εν λόγω παραγράφου περιορίζεται σε ορισμένο όγκο εισαγωγών ή εξαγωγών, η εν λόγω εφαρμογή ή απαλλαγή, στην περίπτωση δασμολογικών ή άλλων ποσοστώσεων, παύει μόλις επιτευχθεί ο καθορισμένος όγκος εισαγωγών ή εξαγωγών.</w:t>
      </w:r>
    </w:p>
    <w:p w14:paraId="533512F8" w14:textId="77777777" w:rsidR="00E0244C" w:rsidRPr="00483F7D" w:rsidRDefault="007A1FD7" w:rsidP="00C343E0">
      <w:pPr>
        <w:pStyle w:val="Text1"/>
      </w:pPr>
      <w:r w:rsidRPr="00483F7D">
        <w:t>Στην περίπτωση δασμολογικών ανώτατων ορίων η εφαρμογή αυτή παύει δυνάμει νομικής πράξης της Ένωσης.</w:t>
      </w:r>
    </w:p>
    <w:p w14:paraId="36258B16" w14:textId="77777777" w:rsidR="00D8157E" w:rsidRPr="00483F7D" w:rsidRDefault="00AF2976" w:rsidP="00364534">
      <w:pPr>
        <w:pStyle w:val="ManualNumPar10"/>
      </w:pPr>
      <w:bookmarkStart w:id="134" w:name="__akn_article_FtviyP_sOUXhx"/>
      <w:bookmarkStart w:id="135" w:name="_Hlk132196390"/>
      <w:bookmarkEnd w:id="134"/>
      <w:r w:rsidRPr="00483F7D">
        <w:t>5.</w:t>
      </w:r>
      <w:r w:rsidRPr="00483F7D">
        <w:tab/>
        <w:t>Οι τελωνειακές αρχές αρνούνται την εφαρμογή του απλουστευμένου τιμολογίου για τις εξ αποστάσεως πωλήσεις όταν διαπιστώνουν, βάσει σχετικών και αντικειμενικών δεδομένων, ότι η εξ αποστάσεως πώληση εμπορευμάτων τα οποία εισάγονται από τρίτες χώρες προοριζόταν για πρόσωπα άλλα από εκείνα που αναφέρονται στο άρθρο 14 παράγραφος 2 στοιχείο α) της οδηγίας ΦΠΑ.</w:t>
      </w:r>
    </w:p>
    <w:p w14:paraId="5955A069" w14:textId="77777777" w:rsidR="00E0244C" w:rsidRPr="00483F7D" w:rsidRDefault="00AF2976" w:rsidP="00364534">
      <w:pPr>
        <w:pStyle w:val="ManualNumPar10"/>
      </w:pPr>
      <w:r w:rsidRPr="00483F7D">
        <w:t>6.</w:t>
      </w:r>
      <w:r w:rsidRPr="00483F7D">
        <w:tab/>
        <w:t>Η Επιτροπή μπορεί να υπαγάγει σε τελωνειακή παρακολούθηση τη θέση σε ελεύθερη κυκλοφορία, την εξαγωγή και την υπαγωγή εμπορευμάτων σε ορισμένα ειδικά καθεστώτα, για τους σκοπούς που αναφέρονται στο άρθρο 31 παράγραφος 4.</w:t>
      </w:r>
      <w:bookmarkStart w:id="136" w:name="__akn_article_FtviyP_YcWpt7"/>
      <w:bookmarkStart w:id="137" w:name="__akn_article_FtviyP_IPaoG0"/>
      <w:bookmarkEnd w:id="135"/>
      <w:bookmarkEnd w:id="136"/>
      <w:bookmarkEnd w:id="137"/>
    </w:p>
    <w:p w14:paraId="44F7B8AE" w14:textId="77777777" w:rsidR="00E0244C" w:rsidRPr="00483F7D" w:rsidRDefault="000B56C6">
      <w:pPr>
        <w:pStyle w:val="ManualNumPar10"/>
      </w:pPr>
      <w:r w:rsidRPr="00483F7D">
        <w:t>7.</w:t>
      </w:r>
      <w:r w:rsidRPr="00483F7D">
        <w:tab/>
        <w:t>Η Επιτροπή θεσπίζει, με εκτελεστικές πράξεις, τα μέτρα για την ενιαία διαχείριση των δασμολογικών και άλλων ποσοστώσεων και των ανωτάτων δασμολογικών και άλλων ορίων που αναφέρονται στην παράγραφο 4, καθώς και για τη διαχείριση της τελωνειακής παρακολούθησης που αναφέρεται στην παράγραφο 6. Οι εν λόγω εκτελεστικές πράξεις εκδίδονται σύμφωνα με τη διαδικασία εξέτασης που αναφέρεται στο άρθρο 262 παράγραφος 4.</w:t>
      </w:r>
    </w:p>
    <w:bookmarkEnd w:id="132"/>
    <w:p w14:paraId="6E74D18F" w14:textId="77777777" w:rsidR="00E0244C" w:rsidRPr="00483F7D" w:rsidRDefault="007A1FD7">
      <w:pPr>
        <w:pStyle w:val="Titrearticle"/>
      </w:pPr>
      <w:r w:rsidRPr="00483F7D">
        <w:t>Άρθρο 146</w:t>
      </w:r>
    </w:p>
    <w:p w14:paraId="12985FCD" w14:textId="77777777" w:rsidR="00E0244C" w:rsidRPr="00483F7D" w:rsidRDefault="007A1FD7">
      <w:pPr>
        <w:pStyle w:val="NormalCentered"/>
      </w:pPr>
      <w:r w:rsidRPr="00483F7D">
        <w:rPr>
          <w:b/>
        </w:rPr>
        <w:t>Δασμολογική κατάταξη εμπορευμάτων</w:t>
      </w:r>
    </w:p>
    <w:p w14:paraId="7A9FF0E5" w14:textId="77777777" w:rsidR="00E0244C" w:rsidRPr="00483F7D" w:rsidRDefault="007A1FD7">
      <w:pPr>
        <w:pStyle w:val="ManualNumPar10"/>
      </w:pPr>
      <w:r w:rsidRPr="00483F7D">
        <w:t>1.</w:t>
      </w:r>
      <w:r w:rsidRPr="00483F7D">
        <w:tab/>
        <w:t>Για την εφαρμογή του κοινού δασμολογίου, η δασμολογική κατάταξη εμπορευμάτων συνίσταται στον προσδιορισμό μίας από τις διακρίσεις ή περαιτέρω υποδιαιρέσεις της Συνδυασμένης Ονοματολογίας στην οποία πρέπει να κατατάσσονται τα εν λόγω εμπορεύματα.</w:t>
      </w:r>
    </w:p>
    <w:p w14:paraId="64E96E96" w14:textId="77777777" w:rsidR="00E0244C" w:rsidRPr="00483F7D" w:rsidRDefault="007A1FD7" w:rsidP="003E361C">
      <w:pPr>
        <w:pStyle w:val="ManualNumPar10"/>
      </w:pPr>
      <w:r w:rsidRPr="00483F7D">
        <w:t>2.</w:t>
      </w:r>
      <w:r w:rsidRPr="00483F7D">
        <w:tab/>
        <w:t>Για την εφαρμογή μη δασμολογικών μέτρων, η δασμολογική κατάταξη των εμπορευμάτων συνίσταται στον προσδιορισμό μίας από τις διακρίσεις ή περαιτέρω υποδιαιρέσεις της Συνδυασμένης Ονοματολογίας ή οποιασδήποτε άλλης ονοματολογίας η οποία θεσπίζεται με ενωσιακές διατάξεις και βασίζεται, εξ ολοκλήρου ή εν μέρει, στη Συνδυασμένη Ονοματολογία ή προβλέπει περαιτέρω υποδιαιρέσεις της, στην οποία πρέπει να κατατάσσονται τα εν λόγω εμπορεύματα.</w:t>
      </w:r>
    </w:p>
    <w:p w14:paraId="6A4451D2" w14:textId="77777777" w:rsidR="00E0244C" w:rsidRPr="00483F7D" w:rsidRDefault="007A1FD7">
      <w:pPr>
        <w:pStyle w:val="ManualNumPar10"/>
      </w:pPr>
      <w:r w:rsidRPr="00483F7D">
        <w:t>3.</w:t>
      </w:r>
      <w:r w:rsidRPr="00483F7D">
        <w:tab/>
        <w:t>Η διάκριση ή περαιτέρω υποδιαίρεση που προσδιορίζεται σύμφωνα με τις παραγράφους 1 και 2 χρησιμοποιείται για την εφαρμογή των μέτρων που αφορούν την εν λόγω διάκριση.</w:t>
      </w:r>
    </w:p>
    <w:p w14:paraId="5A03E39E" w14:textId="77777777" w:rsidR="006D46C9" w:rsidRPr="00483F7D" w:rsidRDefault="007A1FD7">
      <w:pPr>
        <w:pStyle w:val="ManualNumPar10"/>
      </w:pPr>
      <w:bookmarkStart w:id="138" w:name="__akn_article_aHr4tI_NR0Xd0"/>
      <w:bookmarkEnd w:id="138"/>
      <w:r w:rsidRPr="00483F7D">
        <w:t>4.</w:t>
      </w:r>
      <w:r w:rsidRPr="00483F7D">
        <w:tab/>
        <w:t xml:space="preserve">Η Επιτροπή μπορεί να προσδιορίζει, με εκτελεστικές πράξεις, τη δασμολογική κατάταξη εμπορευμάτων σύμφωνα με τις παραγράφους 1 και 2. </w:t>
      </w:r>
      <w:r w:rsidRPr="00483F7D">
        <w:br/>
        <w:t>Οι εν λόγω εκτελεστικές πράξεις εκδίδονται σύμφωνα με τη διαδικασία εξέτασης που αναφέρεται στο άρθρο 262 παράγραφος 4.</w:t>
      </w:r>
    </w:p>
    <w:p w14:paraId="624007AD" w14:textId="77777777" w:rsidR="00E0244C" w:rsidRPr="00483F7D" w:rsidRDefault="00BE4A4D" w:rsidP="00AC0036">
      <w:pPr>
        <w:pStyle w:val="ManualNumPar10"/>
        <w:ind w:firstLine="0"/>
      </w:pPr>
      <w:r w:rsidRPr="00483F7D">
        <w:t>Όταν συντρέχουν δεόντως δικαιολογημένοι επιτακτικοί λόγοι επείγουσας ανάγκης σχετικοί με την ανάγκη για ταχεία εξασφάλιση της ορθής και ενιαίας εφαρμογής της Συνδυασμένης Ονοματολογίας, η Επιτροπή εκδίδει εκτελεστικές πράξεις που έχουν άμεση εφαρμογή σύμφωνα με τη διαδικασία που αναφέρεται στο άρθρο 262 παράγραφος 5.</w:t>
      </w:r>
    </w:p>
    <w:p w14:paraId="4D736B89" w14:textId="77777777" w:rsidR="00E0244C" w:rsidRPr="00483F7D" w:rsidRDefault="007A1FD7">
      <w:pPr>
        <w:pStyle w:val="ChapterTitle"/>
      </w:pPr>
      <w:r w:rsidRPr="00483F7D">
        <w:t xml:space="preserve">Κεφάλαιο 2 </w:t>
      </w:r>
      <w:r w:rsidRPr="00483F7D">
        <w:br/>
        <w:t>Καταγωγή εμπορευμάτων</w:t>
      </w:r>
    </w:p>
    <w:p w14:paraId="5FF151FE" w14:textId="77777777" w:rsidR="00E0244C" w:rsidRPr="00483F7D" w:rsidRDefault="007A1FD7">
      <w:pPr>
        <w:pStyle w:val="Titrearticle"/>
      </w:pPr>
      <w:bookmarkStart w:id="139" w:name="__akn_article_ViSxrX"/>
      <w:bookmarkEnd w:id="139"/>
      <w:r w:rsidRPr="00483F7D">
        <w:t>Άρθρο 147</w:t>
      </w:r>
    </w:p>
    <w:p w14:paraId="47E35457" w14:textId="77777777" w:rsidR="00E0244C" w:rsidRPr="00483F7D" w:rsidRDefault="007A1FD7">
      <w:pPr>
        <w:pStyle w:val="NormalCentered"/>
      </w:pPr>
      <w:r w:rsidRPr="00483F7D">
        <w:rPr>
          <w:b/>
        </w:rPr>
        <w:t>Μη προτιμησιακή καταγωγή</w:t>
      </w:r>
    </w:p>
    <w:p w14:paraId="772769FD" w14:textId="77777777" w:rsidR="00E0244C" w:rsidRPr="00483F7D" w:rsidRDefault="007A1FD7">
      <w:r w:rsidRPr="00483F7D">
        <w:t xml:space="preserve">Οι κανόνες για τον προσδιορισμό της μη προτιμησιακής καταγωγής των εμπορευμάτων στα άρθρα </w:t>
      </w:r>
      <w:hyperlink w:anchor="_bill__akn_article_ghjfN3" w:tooltip="Article 148: 148">
        <w:r w:rsidRPr="00483F7D">
          <w:rPr>
            <w:rStyle w:val="Hyperlink"/>
          </w:rPr>
          <w:t>148</w:t>
        </w:r>
      </w:hyperlink>
      <w:r w:rsidRPr="00483F7D">
        <w:t xml:space="preserve"> και </w:t>
      </w:r>
      <w:hyperlink w:anchor="__akn_article_umwf5s" w:tooltip="Article 149: 149">
        <w:r w:rsidRPr="00483F7D">
          <w:rPr>
            <w:rStyle w:val="Hyperlink"/>
          </w:rPr>
          <w:t>149</w:t>
        </w:r>
      </w:hyperlink>
      <w:r w:rsidRPr="00483F7D">
        <w:t xml:space="preserve"> χρησιμοποιούνται για την εφαρμογή των ακόλουθων:</w:t>
      </w:r>
    </w:p>
    <w:p w14:paraId="3E1A0DB0" w14:textId="0276FC6F" w:rsidR="009A15CD" w:rsidRPr="00483F7D" w:rsidRDefault="00BC60FC" w:rsidP="00BC60FC">
      <w:pPr>
        <w:pStyle w:val="Point1"/>
      </w:pPr>
      <w:r w:rsidRPr="00483F7D">
        <w:t>α)</w:t>
      </w:r>
      <w:r w:rsidRPr="00483F7D">
        <w:tab/>
      </w:r>
      <w:r w:rsidR="007A1FD7" w:rsidRPr="00483F7D">
        <w:t xml:space="preserve">του κοινού δασμολογίου, εκτός από τα μέτρα που αναφέρονται στο άρθρο 145 παράγραφος 2 στοιχεία </w:t>
      </w:r>
      <w:hyperlink w:anchor="__akn_article_FtviyP_yywiad" w:tooltip="Article 145(2), points (d) and (e): (d)">
        <w:r w:rsidR="007A1FD7" w:rsidRPr="00483F7D">
          <w:rPr>
            <w:rStyle w:val="Hyperlink"/>
          </w:rPr>
          <w:t>δ)</w:t>
        </w:r>
      </w:hyperlink>
      <w:r w:rsidR="007A1FD7" w:rsidRPr="00483F7D">
        <w:t xml:space="preserve"> και </w:t>
      </w:r>
      <w:hyperlink w:anchor="__akn_article_FtviyP_yFHq2h" w:tooltip="Article 145(2), points (d) and (e): (e)">
        <w:r w:rsidR="007A1FD7" w:rsidRPr="00483F7D">
          <w:rPr>
            <w:rStyle w:val="Hyperlink"/>
          </w:rPr>
          <w:t>ε)</w:t>
        </w:r>
      </w:hyperlink>
      <w:r w:rsidR="007A1FD7" w:rsidRPr="00483F7D">
        <w:t>·</w:t>
      </w:r>
    </w:p>
    <w:p w14:paraId="088BFFAB" w14:textId="3AB7F01A" w:rsidR="00E0244C" w:rsidRPr="00483F7D" w:rsidRDefault="00BC60FC" w:rsidP="00BC60FC">
      <w:pPr>
        <w:pStyle w:val="Point1"/>
      </w:pPr>
      <w:r w:rsidRPr="00483F7D">
        <w:t>β)</w:t>
      </w:r>
      <w:r w:rsidRPr="00483F7D">
        <w:tab/>
      </w:r>
      <w:r w:rsidR="007A1FD7" w:rsidRPr="00483F7D">
        <w:t>μέτρων, εκτός των δασμολογικών, που θεσπίζονται με ενωσιακές διατάξεις οι οποίες διέπουν συγκεκριμένους τομείς σχετικούς με τις εμπορευματικές συναλλαγές· και</w:t>
      </w:r>
    </w:p>
    <w:p w14:paraId="7DDBF7B8" w14:textId="2DEA7539" w:rsidR="00E0244C" w:rsidRPr="00483F7D" w:rsidRDefault="00BC60FC" w:rsidP="00BC60FC">
      <w:pPr>
        <w:pStyle w:val="Point1"/>
      </w:pPr>
      <w:r w:rsidRPr="00483F7D">
        <w:t>γ)</w:t>
      </w:r>
      <w:r w:rsidRPr="00483F7D">
        <w:tab/>
      </w:r>
      <w:r w:rsidR="007A1FD7" w:rsidRPr="00483F7D">
        <w:t>άλλων ενωσιακών μέτρων που αφορούν την καταγωγή των εμπορευμάτων.</w:t>
      </w:r>
    </w:p>
    <w:p w14:paraId="7ABB3B50" w14:textId="77777777" w:rsidR="00E0244C" w:rsidRPr="00483F7D" w:rsidRDefault="007A1FD7">
      <w:pPr>
        <w:pStyle w:val="Titrearticle"/>
      </w:pPr>
      <w:bookmarkStart w:id="140" w:name="_bill__akn_article_ghjfN3"/>
      <w:bookmarkEnd w:id="140"/>
      <w:r w:rsidRPr="00483F7D">
        <w:t>Άρθρο 148</w:t>
      </w:r>
    </w:p>
    <w:p w14:paraId="7BDF546F" w14:textId="77777777" w:rsidR="00E0244C" w:rsidRPr="00483F7D" w:rsidRDefault="007A1FD7">
      <w:pPr>
        <w:pStyle w:val="NormalCentered"/>
      </w:pPr>
      <w:r w:rsidRPr="00483F7D">
        <w:rPr>
          <w:b/>
        </w:rPr>
        <w:t>Απόκτηση της καταγωγής</w:t>
      </w:r>
    </w:p>
    <w:p w14:paraId="41B72793" w14:textId="77777777" w:rsidR="00E0244C" w:rsidRPr="00483F7D" w:rsidRDefault="007A1FD7">
      <w:pPr>
        <w:pStyle w:val="ManualNumPar10"/>
      </w:pPr>
      <w:bookmarkStart w:id="141" w:name="_bill__akn_article_ghjfN3_lAa5R7"/>
      <w:bookmarkEnd w:id="141"/>
      <w:r w:rsidRPr="00483F7D">
        <w:t>1.</w:t>
      </w:r>
      <w:r w:rsidRPr="00483F7D">
        <w:tab/>
        <w:t>Εμπορεύματα που έχουν παραχθεί εξ ολοκλήρου σε μία μόνο χώρα ή ένα μόνο έδαφος θεωρούνται ως καταγόμενα από την εν λόγω χώρα ή έδαφος.</w:t>
      </w:r>
    </w:p>
    <w:p w14:paraId="2A7618FB" w14:textId="77777777" w:rsidR="00E0244C" w:rsidRPr="00483F7D" w:rsidRDefault="007A1FD7">
      <w:pPr>
        <w:pStyle w:val="ManualNumPar10"/>
      </w:pPr>
      <w:r w:rsidRPr="00483F7D">
        <w:t>2.</w:t>
      </w:r>
      <w:r w:rsidRPr="00483F7D">
        <w:tab/>
        <w:t>Εμπορεύματα στην παραγωγή των οποίων συμμετέχουν μία ή περισσότερες χώρες ή εδάφη θεωρούνται ως καταγόμενα από τη χώρα ή το έδαφος όπου υποβλήθηκαν στην τελευταία, ουσιαστική, οικονομικά δικαιολογημένη μεταποίηση ή επεξεργασία, σε επιχείρηση εξοπλισμένη για τον σκοπό αυτό, η οποία κατέληξε στην παρασκευή νέου προϊόντος ή αντιπροσωπεύει σημαντικό στάδιο της παρασκευής.</w:t>
      </w:r>
    </w:p>
    <w:p w14:paraId="0FA92237" w14:textId="77777777" w:rsidR="00E0244C" w:rsidRPr="00483F7D" w:rsidRDefault="007A1FD7">
      <w:pPr>
        <w:pStyle w:val="ManualNumPar10"/>
      </w:pPr>
      <w:r w:rsidRPr="00483F7D">
        <w:t>3.</w:t>
      </w:r>
      <w:r w:rsidRPr="00483F7D">
        <w:tab/>
        <w:t xml:space="preserve">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κανόνων σύμφωνα με τους οποίους εμπορεύματα, των οποίων ο προσδιορισμός της μη προτιμησιακής καταγωγής απαιτείται για τους σκοπούς της εφαρμογής των ενωσιακών μέτρων που αναφέρονται στο άρθρο </w:t>
      </w:r>
      <w:hyperlink w:anchor="__akn_article_ViSxrX" w:tooltip="Article 147: 147">
        <w:r w:rsidRPr="00483F7D">
          <w:rPr>
            <w:rStyle w:val="Hyperlink"/>
          </w:rPr>
          <w:t>147</w:t>
        </w:r>
      </w:hyperlink>
      <w:r w:rsidRPr="00483F7D">
        <w:t>, θεωρείται ότι έχουν ληφθεί εξ ολοκλήρου σε μία μόνο χώρα ή ένα μόνο έδαφος ή έχουν υποβληθεί στην τελευταία, ουσιαστική, οικονομικά δικαιολογημένη μεταποίηση ή επεξεργασία, σε επιχείρηση εξοπλισμένη για τον σκοπό αυτό, η οποία κατέληξε στην παρασκευή νέου προϊόντος ή αντιπροσωπεύει σημαντικό στάδιο της παρασκευής σε χώρα ή έδαφος, σύμφωνα με τις παραγράφους 1 και 2 του παρόντος άρθρου.</w:t>
      </w:r>
    </w:p>
    <w:p w14:paraId="669240F7" w14:textId="77777777" w:rsidR="00E0244C" w:rsidRPr="00483F7D" w:rsidRDefault="007A1FD7">
      <w:pPr>
        <w:pStyle w:val="Titrearticle"/>
      </w:pPr>
      <w:bookmarkStart w:id="142" w:name="__akn_article_umwf5s"/>
      <w:bookmarkEnd w:id="142"/>
      <w:r w:rsidRPr="00483F7D">
        <w:t>Άρθρο 149</w:t>
      </w:r>
    </w:p>
    <w:p w14:paraId="13D32B49" w14:textId="77777777" w:rsidR="00E0244C" w:rsidRPr="00483F7D" w:rsidRDefault="007A1FD7">
      <w:pPr>
        <w:pStyle w:val="NormalCentered"/>
      </w:pPr>
      <w:r w:rsidRPr="00483F7D">
        <w:rPr>
          <w:b/>
        </w:rPr>
        <w:t>Απόδειξη της μη προτιμησιακής καταγωγής</w:t>
      </w:r>
    </w:p>
    <w:p w14:paraId="2730440C" w14:textId="77777777" w:rsidR="00E0244C" w:rsidRPr="00483F7D" w:rsidRDefault="007A1FD7">
      <w:pPr>
        <w:pStyle w:val="ManualNumPar10"/>
      </w:pPr>
      <w:r w:rsidRPr="00483F7D">
        <w:t>1.</w:t>
      </w:r>
      <w:r w:rsidRPr="00483F7D">
        <w:tab/>
        <w:t>Όταν ο εισαγωγέας έχει δηλώσει καταγωγή των εμπορευμάτων σύμφωνα με την τελωνειακή νομοθεσία, οι τελωνειακές αρχές μπορούν να ζητήσουν απόδειξη της καταγωγής των εμπορευμάτων.</w:t>
      </w:r>
    </w:p>
    <w:p w14:paraId="01AF4081" w14:textId="77777777" w:rsidR="00E0244C" w:rsidRPr="00483F7D" w:rsidRDefault="007A1FD7">
      <w:pPr>
        <w:pStyle w:val="ManualNumPar10"/>
      </w:pPr>
      <w:r w:rsidRPr="00483F7D">
        <w:t>2.</w:t>
      </w:r>
      <w:r w:rsidRPr="00483F7D">
        <w:tab/>
        <w:t>Εφόσον προσκομίζεται απόδειξη της καταγωγής των εμπορευμάτων σύμφωνα με την τελωνειακή νομοθεσία ή άλλη ενωσιακή νομοθεσία που διέπει συγκεκριμένους τομείς, οι τελωνειακές αρχές μπορούν, σε περίπτωση εύλογης αμφιβολίας, να ζητούν πρόσθετα αποδεικτικά στοιχεία για να διασφαλίζουν ότι η ένδειξη καταγωγής συνάδει με τους κανόνες που καθορίζονται με τη σχετική ενωσιακή νομοθεσία.</w:t>
      </w:r>
    </w:p>
    <w:p w14:paraId="3B4A348F" w14:textId="77777777" w:rsidR="00E0244C" w:rsidRPr="00483F7D" w:rsidRDefault="007A1FD7">
      <w:pPr>
        <w:pStyle w:val="ManualNumPar10"/>
      </w:pPr>
      <w:r w:rsidRPr="00483F7D">
        <w:t>3.</w:t>
      </w:r>
      <w:r w:rsidRPr="00483F7D">
        <w:tab/>
        <w:t>Εφόσον το απαιτούν οι εμπορικές συναλλαγές, μπορεί να εκδοθεί στην Ένωση έγγραφο που αποδεικνύει την καταγωγή σύμφωνα με τους κανόνες καταγωγής οι οποίοι ισχύουν στην χώρα ή το έδαφος προορισμού ή με οποιαδήποτε άλλη μέθοδο για τον προσδιορισμό της χώρας όπου τα εμπορεύματα ελήφθησαν εξ ολοκλήρου ή υποβλήθηκαν στην τελευταία ουσιαστική μεταποίησή τους.</w:t>
      </w:r>
    </w:p>
    <w:p w14:paraId="28CF256C" w14:textId="77777777" w:rsidR="00E0244C" w:rsidRPr="00483F7D" w:rsidRDefault="007A1FD7">
      <w:pPr>
        <w:pStyle w:val="ManualNumPar10"/>
      </w:pPr>
      <w:bookmarkStart w:id="143" w:name="__akn_article_umwf5s_bQ1xUI"/>
      <w:bookmarkEnd w:id="143"/>
      <w:r w:rsidRPr="00483F7D">
        <w:t>4.</w:t>
      </w:r>
      <w:r w:rsidRPr="00483F7D">
        <w:tab/>
        <w:t xml:space="preserve">Εφόσον ο εισαγωγέας έχει επιλέξει να εφαρμόσει την απλουστευμένη δασμολογική μεταχείριση για τις εξ αποστάσεως πωλήσεις, όπως αναφέρεται στο άρθρο 156 παράγραφος </w:t>
      </w:r>
      <w:hyperlink w:anchor="__akn_article_zTkYYE_NYZKHB" w:tooltip="Article 156(2): (2)">
        <w:r w:rsidRPr="00483F7D">
          <w:rPr>
            <w:rStyle w:val="Hyperlink"/>
          </w:rPr>
          <w:t>2</w:t>
        </w:r>
      </w:hyperlink>
      <w:r w:rsidRPr="00483F7D">
        <w:t>, οι τελωνειακές αρχές δεν απαιτούν από τον εισαγωγέα να αποδείξει την καταγωγή των εμπορευμάτων.</w:t>
      </w:r>
    </w:p>
    <w:p w14:paraId="2DDB780D" w14:textId="77777777" w:rsidR="00E0244C" w:rsidRPr="00483F7D" w:rsidRDefault="007A1FD7">
      <w:pPr>
        <w:pStyle w:val="ManualNumPar10"/>
      </w:pPr>
      <w:r w:rsidRPr="00483F7D">
        <w:t>5.</w:t>
      </w:r>
      <w:r w:rsidRPr="00483F7D">
        <w:tab/>
        <w:t xml:space="preserve">Η Επιτροπή θεσπίζει, με εκτελεστικές πράξεις, τους διαδικαστικούς κανόνες για την προσκόμιση και επαλήθευση της απόδειξης της καταγωγής.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57996011" w14:textId="77777777" w:rsidR="00E0244C" w:rsidRPr="00483F7D" w:rsidRDefault="007A1FD7">
      <w:pPr>
        <w:pStyle w:val="Titrearticle"/>
      </w:pPr>
      <w:r w:rsidRPr="00483F7D">
        <w:t>Άρθρο 150</w:t>
      </w:r>
    </w:p>
    <w:p w14:paraId="320741BF" w14:textId="77777777" w:rsidR="00E0244C" w:rsidRPr="00483F7D" w:rsidRDefault="007A1FD7">
      <w:pPr>
        <w:pStyle w:val="NormalCentered"/>
      </w:pPr>
      <w:r w:rsidRPr="00483F7D">
        <w:rPr>
          <w:b/>
        </w:rPr>
        <w:t>Προτιμησιακή καταγωγή εμπορευμάτων</w:t>
      </w:r>
    </w:p>
    <w:p w14:paraId="5B72007F" w14:textId="77777777" w:rsidR="00E0244C" w:rsidRPr="00483F7D" w:rsidRDefault="007A1FD7">
      <w:pPr>
        <w:pStyle w:val="ManualNumPar10"/>
      </w:pPr>
      <w:r w:rsidRPr="00483F7D">
        <w:t>1.</w:t>
      </w:r>
      <w:r w:rsidRPr="00483F7D">
        <w:tab/>
        <w:t xml:space="preserve">Για να επωφεληθούν από τα μέτρα που αναφέρονται στο άρθρο 145 παράγραφος 2 στοιχεία </w:t>
      </w:r>
      <w:hyperlink w:anchor="__akn_article_FtviyP_yywiad" w:tooltip="Article 145(2), points (d) and (e): (d)">
        <w:r w:rsidRPr="00483F7D">
          <w:rPr>
            <w:rStyle w:val="Hyperlink"/>
          </w:rPr>
          <w:t>δ)</w:t>
        </w:r>
      </w:hyperlink>
      <w:r w:rsidRPr="00483F7D">
        <w:t xml:space="preserve"> και </w:t>
      </w:r>
      <w:hyperlink w:anchor="__akn_article_FtviyP_yFHq2h" w:tooltip="Article 145(2), points (d) and (e): (e)">
        <w:r w:rsidRPr="00483F7D">
          <w:rPr>
            <w:rStyle w:val="Hyperlink"/>
          </w:rPr>
          <w:t>ε)</w:t>
        </w:r>
      </w:hyperlink>
      <w:r w:rsidRPr="00483F7D">
        <w:t xml:space="preserve"> ή από μη δασμολογικά προτιμησιακά μέτρα, τα εμπορεύματα πρέπει να πληρούν τους κανόνες για την προτιμησιακή καταγωγή που αναφέρονται στις παραγράφους 2 έως 5 του παρόντος άρθρου.</w:t>
      </w:r>
    </w:p>
    <w:p w14:paraId="3F89E63F" w14:textId="77777777" w:rsidR="00792F40" w:rsidRPr="00483F7D" w:rsidRDefault="007A1FD7" w:rsidP="00ED12E1">
      <w:pPr>
        <w:pStyle w:val="ManualNumPar10"/>
      </w:pPr>
      <w:r w:rsidRPr="00483F7D">
        <w:t>2.</w:t>
      </w:r>
      <w:r w:rsidRPr="00483F7D">
        <w:tab/>
        <w:t>Στην περίπτωση εμπορευμάτων στα οποία εφαρμόζονται προτιμησιακά μέτρα που περιέχονται σε συμφωνίες τις οποίες έχει συνάψει η Ένωση με ορισμένες τρίτες χώρες ή ομάδες τρίτων χωρών, οι κανόνες προτιμησιακής καταγωγής καθορίζονται στις εν λόγω συμφωνίες.</w:t>
      </w:r>
    </w:p>
    <w:p w14:paraId="2852DE1F" w14:textId="77777777" w:rsidR="0006406F" w:rsidRPr="00483F7D" w:rsidRDefault="0006406F" w:rsidP="00ED12E1">
      <w:pPr>
        <w:pStyle w:val="ManualNumPar10"/>
      </w:pPr>
      <w:r w:rsidRPr="00483F7D">
        <w:t xml:space="preserve">3. </w:t>
      </w:r>
      <w:r w:rsidRPr="00483F7D">
        <w:tab/>
        <w:t>Στην περίπτωση εμπορευμάτων στα οποία εφαρμόζονται προτιμησιακά μέτρα που θεσπίζονται μονομερώς από την Ένωση για ορισμένες τρίτες χώρες ή ομάδες τέτοιων χωρών, εκτός εκείνων που αναφέρονται στην παράγραφο 5, η Επιτροπή εκδίδει κατ’ εξουσιοδότηση πράξεις σύμφωνα με το άρθρο 261 για τη συμπλήρωση του παρόντος κανονισμού με τον καθορισμό κανόνων προτιμησιακής καταγωγής. Οι κανόνες αυτοί βασίζονται είτε στο κριτήριο της εξ ολοκλήρου λήψης των εμπορευμάτων είτε στο κριτήριο της επαρκούς μεταποίησης ή επεξεργασίας από την οποία προκύπτουν τα εμπορεύματα.</w:t>
      </w:r>
    </w:p>
    <w:p w14:paraId="0E201FEF" w14:textId="77777777" w:rsidR="00E0244C" w:rsidRPr="00483F7D" w:rsidRDefault="007A1FD7" w:rsidP="00ED12E1">
      <w:pPr>
        <w:pStyle w:val="ManualNumPar10"/>
      </w:pPr>
      <w:r w:rsidRPr="00483F7D">
        <w:t>4.</w:t>
      </w:r>
      <w:r w:rsidRPr="00483F7D">
        <w:tab/>
        <w:t>Στην περίπτωση εμπορευμάτων στα οποία εφαρμόζονται προτιμησιακά μέτρα που προβλέπονται στις εμπορικές συναλλαγές μεταξύ του τελωνειακού εδάφους της Ένωσης και της Θέουτας και Μελίγιας, όπως περιέχονται στο πρωτόκολλο 2 της πράξης προσχώρησης του 1985, οι κανόνες προτιμησιακής καταγωγής θεσπίζονται σύμφωνα με το άρθρο 9 του εν λόγω πρωτοκόλλου.</w:t>
      </w:r>
    </w:p>
    <w:p w14:paraId="0175D10B" w14:textId="77777777" w:rsidR="00E0244C" w:rsidRPr="00483F7D" w:rsidRDefault="007A1FD7" w:rsidP="00ED12E1">
      <w:pPr>
        <w:pStyle w:val="ManualNumPar10"/>
      </w:pPr>
      <w:r w:rsidRPr="00483F7D">
        <w:t>5.</w:t>
      </w:r>
      <w:r w:rsidRPr="00483F7D">
        <w:tab/>
        <w:t>Στην περίπτωση εμπορευμάτων στα οποία εφαρμόζονται προτιμησιακά μέτρα που περιέχονται σε προτιμησιακές ρυθμίσεις υπέρ των υπερπόντιων χωρών και εδαφών που συνδέονται με την Ένωση, οι κανόνες προτιμησιακής καταγωγής θεσπίζονται σύμφωνα με το άρθρο 203 της ΣΛΕΕ.</w:t>
      </w:r>
    </w:p>
    <w:p w14:paraId="1FE155D6" w14:textId="77777777" w:rsidR="00E0244C" w:rsidRPr="00483F7D" w:rsidRDefault="007A1FD7" w:rsidP="00ED12E1">
      <w:pPr>
        <w:pStyle w:val="ManualNumPar10"/>
      </w:pPr>
      <w:r w:rsidRPr="00483F7D">
        <w:t>6.</w:t>
      </w:r>
      <w:r w:rsidRPr="00483F7D">
        <w:tab/>
        <w:t>Με δική της πρωτοβουλία ή μετά από αίτηση δικαιούχου χώρας ή εδάφους, η Επιτροπή μπορεί να χορηγεί στην εν λόγω χώρα ή το εν λόγω έδαφος, όσον αφορά ορισμένα εμπορεύματα, προσωρινή παρέκκλιση από τους κανόνες προτιμησιακής καταγωγής που αναφέρονται στην παράγραφο 3.</w:t>
      </w:r>
    </w:p>
    <w:p w14:paraId="22A6A71F" w14:textId="77777777" w:rsidR="00E0244C" w:rsidRPr="00483F7D" w:rsidRDefault="007A1FD7">
      <w:pPr>
        <w:pStyle w:val="Text1"/>
      </w:pPr>
      <w:r w:rsidRPr="00483F7D">
        <w:t>Η προσωρινή παρέκκλιση αιτιολογείται με έναν από τους ακόλουθους λόγους:</w:t>
      </w:r>
    </w:p>
    <w:p w14:paraId="6E660DF6" w14:textId="150DBEFE" w:rsidR="00E0244C" w:rsidRPr="00483F7D" w:rsidRDefault="00BC60FC" w:rsidP="00BC60FC">
      <w:pPr>
        <w:pStyle w:val="Point1"/>
      </w:pPr>
      <w:r w:rsidRPr="00483F7D">
        <w:t>α)</w:t>
      </w:r>
      <w:r w:rsidRPr="00483F7D">
        <w:tab/>
      </w:r>
      <w:r w:rsidR="007A1FD7" w:rsidRPr="00483F7D">
        <w:t>εσωτερικοί ή εξωτερικοί παράγοντες δεν στερούν προσωρινά από τη δικαιούχο χώρα ή στο δικαιούχο έδαφος τη δυνατότητα συμμόρφωσης με τους κανόνες προτιμησιακής καταγωγής· </w:t>
      </w:r>
    </w:p>
    <w:p w14:paraId="5C3299AD" w14:textId="440D9FEC" w:rsidR="00E0244C" w:rsidRPr="00483F7D" w:rsidRDefault="00BC60FC" w:rsidP="00BC60FC">
      <w:pPr>
        <w:pStyle w:val="Point1"/>
      </w:pPr>
      <w:r w:rsidRPr="00483F7D">
        <w:t>β)</w:t>
      </w:r>
      <w:r w:rsidRPr="00483F7D">
        <w:tab/>
      </w:r>
      <w:r w:rsidR="007A1FD7" w:rsidRPr="00483F7D">
        <w:t>η δικαιούχος χώρα ή το δικαιούχο έδαφος απαιτεί χρόνο για να προετοιμαστεί ώστε να συμμορφωθεί με τους εν λόγω κανόνες.</w:t>
      </w:r>
    </w:p>
    <w:p w14:paraId="1C3E7B75" w14:textId="77777777" w:rsidR="00E0244C" w:rsidRPr="00483F7D" w:rsidRDefault="007A1FD7">
      <w:pPr>
        <w:pStyle w:val="ManualNumPar10"/>
      </w:pPr>
      <w:r w:rsidRPr="00483F7D">
        <w:t>7.</w:t>
      </w:r>
      <w:r w:rsidRPr="00483F7D">
        <w:tab/>
        <w:t>Η αίτηση παρέκκλισης υποβάλλεται στην Επιτροπή από τη συγκεκριμένη δικαιούχο χώρα ή το συγκεκριμένο δικαιούχο έδαφος. Η εν λόγω αίτηση αναφέρει τους λόγους, όπως προβλέπεται στο δεύτερο εδάφιο, για τους οποίους ζητείται παρέκκλιση και περιλαμβάνει τα κατάλληλα δικαιολογητικά έγγραφα.</w:t>
      </w:r>
    </w:p>
    <w:p w14:paraId="241309C7" w14:textId="77777777" w:rsidR="00E0244C" w:rsidRPr="00483F7D" w:rsidRDefault="007A1FD7">
      <w:pPr>
        <w:pStyle w:val="ManualNumPar10"/>
      </w:pPr>
      <w:r w:rsidRPr="00483F7D">
        <w:t>8.</w:t>
      </w:r>
      <w:r w:rsidRPr="00483F7D">
        <w:tab/>
        <w:t>Η προσωρινή παρέκκλιση περιορίζεται χρονικά στη διάρκεια των επιπτώσεων των εσωτερικών ή εξωτερικών παραγόντων βάσει των οποίων χορηγείται ή στο χρονικό διάστημα που είναι αναγκαίο για να επιτύχει η δικαιούχος χώρα ή το δικαιούχο έδαφος τη συμμόρφωση με τους κανόνες.</w:t>
      </w:r>
    </w:p>
    <w:p w14:paraId="096ADBB5" w14:textId="77777777" w:rsidR="00E0244C" w:rsidRPr="00483F7D" w:rsidRDefault="007A1FD7">
      <w:pPr>
        <w:pStyle w:val="ManualNumPar10"/>
      </w:pPr>
      <w:r w:rsidRPr="00483F7D">
        <w:t>9.</w:t>
      </w:r>
      <w:r w:rsidRPr="00483F7D">
        <w:tab/>
        <w:t>Όταν χορηγείται παρέκκλιση, η δικαιούχος χώρα ή το δικαιούχο έδαφος συμμορφώνεται με κάθε απαίτηση που καθορίζεται σχετικά με τα στοιχεία τα οποία πρέπει να παρέχονται στην Επιτροπή όσον αφορά τη χρήση της παρέκκλισης και τη διαχείριση των ποσοτήτων για τις οποίες χορηγείται η παρέκκλιση.</w:t>
      </w:r>
    </w:p>
    <w:p w14:paraId="637B5C02" w14:textId="77777777" w:rsidR="00E0244C" w:rsidRPr="00483F7D" w:rsidRDefault="007A1FD7">
      <w:pPr>
        <w:pStyle w:val="ManualNumPar10"/>
      </w:pPr>
      <w:bookmarkStart w:id="144" w:name="__akn_article_m0OkZt_DYiNgL"/>
      <w:bookmarkEnd w:id="144"/>
      <w:r w:rsidRPr="00483F7D">
        <w:t>10.</w:t>
      </w:r>
      <w:r w:rsidRPr="00483F7D">
        <w:tab/>
        <w:t xml:space="preserve">Όταν ο εισαγωγέας έχει επιλέξει να εφαρμόσει την απλουστευμένη δασμολογική μεταχείριση για τις εξ αποστάσεως πωλήσεις, ο εισαγωγέας δεν μπορεί να επωφεληθεί από τα μέτρα που αναφέρονται στο άρθρο 145 παράγραφος 2 στοιχεία </w:t>
      </w:r>
      <w:hyperlink w:anchor="__akn_article_FtviyP_yywiad" w:tooltip="Article 145(2), points (d) and (e): (d)">
        <w:r w:rsidRPr="00483F7D">
          <w:rPr>
            <w:rStyle w:val="Hyperlink"/>
          </w:rPr>
          <w:t>δ)</w:t>
        </w:r>
      </w:hyperlink>
      <w:r w:rsidRPr="00483F7D">
        <w:t xml:space="preserve"> και </w:t>
      </w:r>
      <w:hyperlink w:anchor="__akn_article_FtviyP_yFHq2h" w:tooltip="Article 145(2), points (d) and (e): (e)">
        <w:r w:rsidRPr="00483F7D">
          <w:rPr>
            <w:rStyle w:val="Hyperlink"/>
          </w:rPr>
          <w:t>ε)</w:t>
        </w:r>
      </w:hyperlink>
      <w:r w:rsidRPr="00483F7D">
        <w:t xml:space="preserve"> ή από μη δασμολογικά προτιμησιακά μέτρα.</w:t>
      </w:r>
    </w:p>
    <w:p w14:paraId="0E85ADD8" w14:textId="77777777" w:rsidR="00E0244C" w:rsidRPr="00483F7D" w:rsidRDefault="007A1FD7">
      <w:pPr>
        <w:pStyle w:val="ManualNumPar10"/>
      </w:pPr>
      <w:r w:rsidRPr="00483F7D">
        <w:t>11.</w:t>
      </w:r>
      <w:r w:rsidRPr="00483F7D">
        <w:tab/>
        <w:t>Η Επιτροπή θεσπίζει, με εκτελεστικές πράξεις:</w:t>
      </w:r>
    </w:p>
    <w:p w14:paraId="396AE746" w14:textId="2DD09007" w:rsidR="00E0244C" w:rsidRPr="00483F7D" w:rsidRDefault="00BC60FC" w:rsidP="00BC60FC">
      <w:pPr>
        <w:pStyle w:val="Point1"/>
      </w:pPr>
      <w:r w:rsidRPr="00483F7D">
        <w:t>α)</w:t>
      </w:r>
      <w:r w:rsidRPr="00483F7D">
        <w:tab/>
      </w:r>
      <w:r w:rsidR="007A1FD7" w:rsidRPr="00483F7D">
        <w:t>τους διαδικαστικούς κανόνες σχετικά με την προτιμησιακή καταγωγή των εμπορευμάτων για τους σκοπούς των μέτρων που αναφέρονται στην παράγραφο 1·</w:t>
      </w:r>
    </w:p>
    <w:p w14:paraId="55373DEC" w14:textId="34C07625" w:rsidR="00E0244C" w:rsidRPr="00483F7D" w:rsidRDefault="00BC60FC" w:rsidP="00BC60FC">
      <w:pPr>
        <w:pStyle w:val="Point1"/>
      </w:pPr>
      <w:r w:rsidRPr="00483F7D">
        <w:t>β)</w:t>
      </w:r>
      <w:r w:rsidRPr="00483F7D">
        <w:tab/>
      </w:r>
      <w:r w:rsidR="007A1FD7" w:rsidRPr="00483F7D">
        <w:t>μέτρο για τη χορήγηση σε δικαιούχο χώρα ή έδαφος της προσωρινής παρέκκλισης που αναφέρεται στην παράγραφο 6.</w:t>
      </w:r>
    </w:p>
    <w:p w14:paraId="434F6A3D" w14:textId="77777777" w:rsidR="00792F40" w:rsidRPr="00483F7D" w:rsidRDefault="00792F40" w:rsidP="00C343E0">
      <w:pPr>
        <w:pStyle w:val="Text1"/>
      </w:pPr>
      <w:r w:rsidRPr="00483F7D">
        <w:t>Οι εν λόγω εκτελεστικές πράξεις εκδίδονται σύμφωνα με τη διαδικασία εξέτασης που αναφέρεται στο άρθρο 262 παράγραφος 4.</w:t>
      </w:r>
    </w:p>
    <w:p w14:paraId="58AB8864" w14:textId="77777777" w:rsidR="00E0244C" w:rsidRPr="00483F7D" w:rsidRDefault="007A1FD7">
      <w:pPr>
        <w:pStyle w:val="Titrearticle"/>
      </w:pPr>
      <w:r w:rsidRPr="00483F7D">
        <w:t>Άρθρο 151</w:t>
      </w:r>
    </w:p>
    <w:p w14:paraId="479C4330" w14:textId="77777777" w:rsidR="00E0244C" w:rsidRPr="00483F7D" w:rsidRDefault="007A1FD7">
      <w:pPr>
        <w:pStyle w:val="NormalCentered"/>
      </w:pPr>
      <w:r w:rsidRPr="00483F7D">
        <w:rPr>
          <w:b/>
        </w:rPr>
        <w:t>Προσδιορισμός της καταγωγής συγκεκριμένων εμπορευμάτων</w:t>
      </w:r>
    </w:p>
    <w:p w14:paraId="50CA60A1" w14:textId="77777777" w:rsidR="00792F40" w:rsidRPr="00483F7D" w:rsidRDefault="007A1FD7" w:rsidP="00364534">
      <w:bookmarkStart w:id="145" w:name="__akn_article_wyzCkN_s7B3aW"/>
      <w:bookmarkEnd w:id="145"/>
      <w:r w:rsidRPr="00483F7D">
        <w:t xml:space="preserve">Η Επιτροπή μπορεί να θεσπίζει, με εκτελεστικές πράξεις, μέτρα για τον προσδιορισμό της καταγωγής συγκεκριμένων εμπορευμάτων σύμφωνα με τους κανόνες καταγωγής που εφαρμόζονται στα εν λόγω εμπορεύματα.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color w:val="auto"/>
            <w:u w:val="none"/>
          </w:rPr>
          <w:t>4</w:t>
        </w:r>
      </w:hyperlink>
      <w:r w:rsidRPr="00483F7D">
        <w:t xml:space="preserve">. </w:t>
      </w:r>
    </w:p>
    <w:p w14:paraId="7EE9D24E" w14:textId="77777777" w:rsidR="00E0244C" w:rsidRPr="00483F7D" w:rsidRDefault="007A1FD7" w:rsidP="00364534">
      <w:r w:rsidRPr="00483F7D">
        <w:t xml:space="preserve">Όταν συντρέχουν επιτακτικοί λόγοι επείγουσας ανάγκης σχετικοί με τα εν λόγω μέτρα, που δικαιολογούνται δεόντως από την ανάγκη για ταχεία εξασφάλιση της ορθής και ενιαίας εφαρμογής των κανόνων καταγωγής, η Επιτροπή εκδίδει εκτελεστικές πράξεις που έχουν άμεση εφαρμογή σύμφωνα με τη διαδικασία που αναφέρεται στο άρθρο 262 παράγραφος </w:t>
      </w:r>
      <w:hyperlink w:anchor="_bill__akn_article_OheJbS_B2A1Cf" w:tooltip="Article 258(5): (5)">
        <w:r w:rsidRPr="00483F7D">
          <w:rPr>
            <w:rStyle w:val="Hyperlink"/>
            <w:color w:val="auto"/>
            <w:u w:val="none"/>
          </w:rPr>
          <w:t>5</w:t>
        </w:r>
      </w:hyperlink>
      <w:r w:rsidRPr="00483F7D">
        <w:t>.</w:t>
      </w:r>
    </w:p>
    <w:p w14:paraId="6B360806" w14:textId="77777777" w:rsidR="00E0244C" w:rsidRPr="00483F7D" w:rsidRDefault="007A1FD7">
      <w:pPr>
        <w:pStyle w:val="ChapterTitle"/>
      </w:pPr>
      <w:r w:rsidRPr="00483F7D">
        <w:t xml:space="preserve">Κεφάλαιο 3 </w:t>
      </w:r>
      <w:r w:rsidRPr="00483F7D">
        <w:br/>
        <w:t>Δασμολογητέα αξία εμπορευμάτων</w:t>
      </w:r>
    </w:p>
    <w:p w14:paraId="12DEBA9B" w14:textId="77777777" w:rsidR="00E0244C" w:rsidRPr="00483F7D" w:rsidRDefault="007A1FD7">
      <w:pPr>
        <w:pStyle w:val="Titrearticle"/>
      </w:pPr>
      <w:r w:rsidRPr="00483F7D">
        <w:t>Άρθρο 152</w:t>
      </w:r>
    </w:p>
    <w:p w14:paraId="05A9797F" w14:textId="77777777" w:rsidR="00E0244C" w:rsidRPr="00483F7D" w:rsidRDefault="007A1FD7">
      <w:pPr>
        <w:pStyle w:val="NormalCentered"/>
      </w:pPr>
      <w:r w:rsidRPr="00483F7D">
        <w:rPr>
          <w:b/>
        </w:rPr>
        <w:t>Πεδίο εφαρμογής</w:t>
      </w:r>
    </w:p>
    <w:p w14:paraId="51A69E8E" w14:textId="77777777" w:rsidR="00E0244C" w:rsidRPr="00483F7D" w:rsidRDefault="007A1FD7">
      <w:r w:rsidRPr="00483F7D">
        <w:t xml:space="preserve">Η δασμολογητέα αξία των εμπορευμάτων, για την εφαρμογή του κοινού δασμολογίου και μη δασμολογικών μέτρων που θεσπίζονται με ενωσιακές διατάξεις οι οποίες διέπουν συγκεκριμένους τομείς σχετικούς με τις εμπορευματικές συναλλαγές, καθορίζεται σύμφωνα με τα άρθρα </w:t>
      </w:r>
      <w:hyperlink w:anchor="__akn_article_VQgkQV" w:tooltip="Article 153: 153">
        <w:r w:rsidRPr="00483F7D">
          <w:rPr>
            <w:rStyle w:val="Hyperlink"/>
          </w:rPr>
          <w:t>153</w:t>
        </w:r>
      </w:hyperlink>
      <w:r w:rsidRPr="00483F7D">
        <w:t xml:space="preserve"> και </w:t>
      </w:r>
      <w:hyperlink w:anchor="__akn_article_V05tA8" w:tooltip="Article 157: 157">
        <w:r w:rsidRPr="00483F7D">
          <w:rPr>
            <w:rStyle w:val="Hyperlink"/>
          </w:rPr>
          <w:t>157</w:t>
        </w:r>
      </w:hyperlink>
      <w:r w:rsidRPr="00483F7D">
        <w:t>.</w:t>
      </w:r>
    </w:p>
    <w:p w14:paraId="001D87E1" w14:textId="77777777" w:rsidR="00E0244C" w:rsidRPr="00483F7D" w:rsidRDefault="007A1FD7">
      <w:pPr>
        <w:pStyle w:val="Titrearticle"/>
      </w:pPr>
      <w:bookmarkStart w:id="146" w:name="__akn_article_VQgkQV"/>
      <w:bookmarkEnd w:id="146"/>
      <w:r w:rsidRPr="00483F7D">
        <w:t>Άρθρο 153</w:t>
      </w:r>
    </w:p>
    <w:p w14:paraId="07F2717F" w14:textId="77777777" w:rsidR="00E0244C" w:rsidRPr="00483F7D" w:rsidRDefault="007A1FD7">
      <w:pPr>
        <w:pStyle w:val="NormalCentered"/>
      </w:pPr>
      <w:r w:rsidRPr="00483F7D">
        <w:rPr>
          <w:b/>
        </w:rPr>
        <w:t>Μέθοδος υπολογισμού της δασμολογητέας αξίας βάσει της συναλλακτικής αξίας</w:t>
      </w:r>
    </w:p>
    <w:p w14:paraId="7AF8D5CC" w14:textId="77777777" w:rsidR="00E0244C" w:rsidRPr="00483F7D" w:rsidRDefault="007A1FD7">
      <w:pPr>
        <w:pStyle w:val="ManualNumPar10"/>
      </w:pPr>
      <w:r w:rsidRPr="00483F7D">
        <w:t>1.</w:t>
      </w:r>
      <w:r w:rsidRPr="00483F7D">
        <w:tab/>
        <w:t>Η κύρια βάση της δασμολογητέας αξίας εμπορευμάτων είναι η συναλλακτική αξία, δηλαδή η πράγματι πληρωθείσα ή πληρωτέα για τα εμπορεύματα τιμή, όταν αυτά πωλούνται προς εξαγωγή με προορισμό το τελωνειακό έδαφος της Ένωσης, προσαρμοσμένη σύμφωνα με τα άρθρα 154 και 155.</w:t>
      </w:r>
    </w:p>
    <w:p w14:paraId="372EF853" w14:textId="77777777" w:rsidR="00E0244C" w:rsidRPr="00483F7D" w:rsidRDefault="007A1FD7">
      <w:pPr>
        <w:pStyle w:val="ManualNumPar10"/>
      </w:pPr>
      <w:bookmarkStart w:id="147" w:name="__akn_article_VQgkQV-par1"/>
      <w:bookmarkEnd w:id="147"/>
      <w:r w:rsidRPr="00483F7D">
        <w:t>2.</w:t>
      </w:r>
      <w:r w:rsidRPr="00483F7D">
        <w:tab/>
        <w:t>Η πράγματι πληρωθείσα ή πληρωτέα τιμή είναι η συνολική πληρωμή που έγινε ή πρόκειται να γίνει από τον αγοραστή προς τον πωλητή ή από τον αγοραστή προς τρίτο προς όφελος του πωλητή για τα εισαγόμενα εμπορεύματα και περιλαμβάνει όλες τις πληρωμές που έγιναν ή πρόκειται να γίνουν, ως προϋπόθεση για την πώληση των εισαγόμενων εμπορευμάτων.</w:t>
      </w:r>
    </w:p>
    <w:p w14:paraId="1FF95136" w14:textId="77777777" w:rsidR="00E0244C" w:rsidRPr="00483F7D" w:rsidRDefault="007A1FD7">
      <w:pPr>
        <w:pStyle w:val="ManualNumPar10"/>
      </w:pPr>
      <w:r w:rsidRPr="00483F7D">
        <w:t>3.</w:t>
      </w:r>
      <w:r w:rsidRPr="00483F7D">
        <w:tab/>
        <w:t>Η συναλλακτική αξία εφαρμόζεται εφόσον πληρούνται όλοι οι ακόλουθοι όροι:</w:t>
      </w:r>
    </w:p>
    <w:p w14:paraId="3AAD3BEA" w14:textId="67EED9BD" w:rsidR="00E0244C" w:rsidRPr="00483F7D" w:rsidRDefault="00BC60FC" w:rsidP="00BC60FC">
      <w:pPr>
        <w:pStyle w:val="Point1"/>
      </w:pPr>
      <w:r w:rsidRPr="00483F7D">
        <w:t>α)</w:t>
      </w:r>
      <w:r w:rsidRPr="00483F7D">
        <w:tab/>
      </w:r>
      <w:r w:rsidR="007A1FD7" w:rsidRPr="00483F7D">
        <w:t>δεν υφίστανται περιορισμοί όσον αφορά τη διάθεση ή τη χρησιμοποίηση των εμπορευμάτων από τον αγοραστή, εκτός από οποιονδήποτε από τους ακόλουθους:</w:t>
      </w:r>
    </w:p>
    <w:p w14:paraId="22E05BCC" w14:textId="75B1B396" w:rsidR="00E0244C" w:rsidRPr="00483F7D" w:rsidRDefault="00483C4C" w:rsidP="00483C4C">
      <w:pPr>
        <w:pStyle w:val="Point2"/>
      </w:pPr>
      <w:r w:rsidRPr="00483F7D">
        <w:t>i)</w:t>
      </w:r>
      <w:r w:rsidRPr="00483F7D">
        <w:tab/>
        <w:t>περιορισμοί που επιβάλλονται ή απαιτούνται από τον νόμο ή από τις δημόσιες αρχές στην Ένωση·</w:t>
      </w:r>
    </w:p>
    <w:p w14:paraId="142E6825" w14:textId="5E9780A8" w:rsidR="00E0244C" w:rsidRPr="00483F7D" w:rsidRDefault="00483C4C" w:rsidP="00483C4C">
      <w:pPr>
        <w:pStyle w:val="Point2"/>
      </w:pPr>
      <w:r w:rsidRPr="00483F7D">
        <w:t>ii)</w:t>
      </w:r>
      <w:r w:rsidRPr="00483F7D">
        <w:tab/>
        <w:t>περιορισμοί όσον αφορά τη γεωγραφική περιοχή στην οποία είναι δυνατή η μεταπώληση των εμπορευμάτων·</w:t>
      </w:r>
    </w:p>
    <w:p w14:paraId="535E0E69" w14:textId="3BF40392" w:rsidR="00E0244C" w:rsidRPr="00483F7D" w:rsidRDefault="00483C4C" w:rsidP="00483C4C">
      <w:pPr>
        <w:pStyle w:val="Point2"/>
      </w:pPr>
      <w:r w:rsidRPr="00483F7D">
        <w:t>iii)</w:t>
      </w:r>
      <w:r w:rsidRPr="00483F7D">
        <w:tab/>
        <w:t>περιορισμοί που δεν επηρεάζουν ουσιωδώς τη δασμολογητέα αξία των εμπορευμάτων·</w:t>
      </w:r>
    </w:p>
    <w:p w14:paraId="5A5BAA1C" w14:textId="3F2E3D41" w:rsidR="00E0244C" w:rsidRPr="00483F7D" w:rsidRDefault="00BC60FC" w:rsidP="00BC60FC">
      <w:pPr>
        <w:pStyle w:val="Point1"/>
      </w:pPr>
      <w:r w:rsidRPr="00483F7D">
        <w:t>β)</w:t>
      </w:r>
      <w:r w:rsidRPr="00483F7D">
        <w:tab/>
      </w:r>
      <w:r w:rsidR="007A1FD7" w:rsidRPr="00483F7D">
        <w:t>η πώληση ή η τιμή δεν εξαρτάται από όρους ή παροχές των οποίων η αξία δεν είναι δυνατό να καθοριστεί όσον αφορά τα υπό εκτίμηση εμπορεύματα·</w:t>
      </w:r>
    </w:p>
    <w:p w14:paraId="0999D775" w14:textId="0CA4C782" w:rsidR="00E0244C" w:rsidRPr="00483F7D" w:rsidRDefault="00BC60FC" w:rsidP="00BC60FC">
      <w:pPr>
        <w:pStyle w:val="Point1"/>
      </w:pPr>
      <w:r w:rsidRPr="00483F7D">
        <w:t>γ)</w:t>
      </w:r>
      <w:r w:rsidRPr="00483F7D">
        <w:tab/>
      </w:r>
      <w:r w:rsidR="007A1FD7" w:rsidRPr="00483F7D">
        <w:t>κανένα μέρος των εσόδων από κάθε μεταγενέστερη μεταπώληση, διάθεση ή χρησιμοποίηση των εμπορευμάτων από τον αγοραστή δεν περιέρχεται άμεσα ή έμμεσα στον πωλητή, εκτός αν είναι δυνατό να γίνει κατάλληλη αναπροσαρμογή·</w:t>
      </w:r>
    </w:p>
    <w:p w14:paraId="6DEB4A77" w14:textId="7B772D7E" w:rsidR="00E0244C" w:rsidRPr="00483F7D" w:rsidRDefault="00BC60FC" w:rsidP="00BC60FC">
      <w:pPr>
        <w:pStyle w:val="Point1"/>
      </w:pPr>
      <w:r w:rsidRPr="00483F7D">
        <w:t>δ)</w:t>
      </w:r>
      <w:r w:rsidRPr="00483F7D">
        <w:tab/>
      </w:r>
      <w:r w:rsidR="007A1FD7" w:rsidRPr="00483F7D">
        <w:t>ο αγοραστής και ο πωλητής δεν συνδέονται μεταξύ τους ή η σχέση μεταξύ αγοραστή και πωλητή δεν επηρέασε την τιμή.</w:t>
      </w:r>
    </w:p>
    <w:p w14:paraId="7694A273" w14:textId="77777777" w:rsidR="00E0244C" w:rsidRPr="00483F7D" w:rsidRDefault="007A1FD7">
      <w:pPr>
        <w:pStyle w:val="ManualNumPar10"/>
      </w:pPr>
      <w:r w:rsidRPr="00483F7D">
        <w:t>4.</w:t>
      </w:r>
      <w:r w:rsidRPr="00483F7D">
        <w:tab/>
        <w:t>Η Επιτροπή ορίζει, με εκτελεστικές πράξεις, τους διαδικαστικούς κανόνες για τον καθορισμό της δασμολογητέας αξίας σύμφωνα με τις παραγράφους 1 και 2, συμπεριλαμβανομένων εκείνων για την προσαρμογή της πράγματι πληρωθείσας ή πληρωτέας τιμής, και για την εφαρμογή των όρων που αναφέρονται στην παράγραφο 3. Οι εν λόγω εκτελεστικές πράξεις εκδίδονται σύμφωνα με τη διαδικασία εξέτασης που αναφέρεται στο άρθρο 262 παράγραφος 4.</w:t>
      </w:r>
    </w:p>
    <w:p w14:paraId="3F291348" w14:textId="77777777" w:rsidR="00E0244C" w:rsidRPr="00483F7D" w:rsidRDefault="007A1FD7">
      <w:pPr>
        <w:pStyle w:val="Titrearticle"/>
      </w:pPr>
      <w:bookmarkStart w:id="148" w:name="__akn_article_vqs8ID"/>
      <w:bookmarkEnd w:id="148"/>
      <w:r w:rsidRPr="00483F7D">
        <w:t>Άρθρο 154</w:t>
      </w:r>
    </w:p>
    <w:p w14:paraId="25D59497" w14:textId="77777777" w:rsidR="00E0244C" w:rsidRPr="00483F7D" w:rsidRDefault="007A1FD7">
      <w:pPr>
        <w:pStyle w:val="NormalCentered"/>
      </w:pPr>
      <w:r w:rsidRPr="00483F7D">
        <w:rPr>
          <w:b/>
        </w:rPr>
        <w:t>Στοιχεία της συναλλακτικής αξίας</w:t>
      </w:r>
    </w:p>
    <w:p w14:paraId="0DB219C2" w14:textId="77777777" w:rsidR="00E0244C" w:rsidRPr="00483F7D" w:rsidRDefault="007A1FD7">
      <w:pPr>
        <w:pStyle w:val="ManualNumPar10"/>
      </w:pPr>
      <w:r w:rsidRPr="00483F7D">
        <w:t>1.</w:t>
      </w:r>
      <w:r w:rsidRPr="00483F7D">
        <w:tab/>
        <w:t xml:space="preserve">Για τον καθορισμό της δασμολογητέας αξίας σύμφωνα με το άρθρο </w:t>
      </w:r>
      <w:hyperlink w:anchor="__akn_article_VQgkQV" w:tooltip="Article 153: 153">
        <w:r w:rsidRPr="00483F7D">
          <w:rPr>
            <w:rStyle w:val="Hyperlink"/>
          </w:rPr>
          <w:t>153</w:t>
        </w:r>
      </w:hyperlink>
      <w:r w:rsidRPr="00483F7D">
        <w:t>, η πράγματι πληρωθείσα ή πληρωτέα για τα εισαγόμενα εμπορεύματα τιμή συμπληρώνεται με:</w:t>
      </w:r>
    </w:p>
    <w:p w14:paraId="0492E419" w14:textId="36CB4950" w:rsidR="00E0244C" w:rsidRPr="00483F7D" w:rsidRDefault="00BC60FC" w:rsidP="00BC60FC">
      <w:pPr>
        <w:pStyle w:val="Point1"/>
      </w:pPr>
      <w:r w:rsidRPr="00483F7D">
        <w:t>α)</w:t>
      </w:r>
      <w:r w:rsidRPr="00483F7D">
        <w:tab/>
      </w:r>
      <w:r w:rsidR="007A1FD7" w:rsidRPr="00483F7D">
        <w:t>τα ακόλουθα στοιχεία, στον βαθμό που βαρύνουν τον αγοραστή αλλά δεν έχουν περιληφθεί στην πράγματι πληρωθείσα ή πληρωτέα για τα εμπορεύματα τιμή:</w:t>
      </w:r>
    </w:p>
    <w:p w14:paraId="1245448A" w14:textId="5F89AC61" w:rsidR="00E0244C" w:rsidRPr="00483F7D" w:rsidRDefault="00483C4C" w:rsidP="00483C4C">
      <w:pPr>
        <w:pStyle w:val="Point2"/>
      </w:pPr>
      <w:r w:rsidRPr="00483F7D">
        <w:t>i)</w:t>
      </w:r>
      <w:r w:rsidRPr="00483F7D">
        <w:tab/>
        <w:t>οι προμήθειες και τα μεσιτικά έξοδα, με εξαίρεση τις προμήθειες αγοράς·</w:t>
      </w:r>
    </w:p>
    <w:p w14:paraId="0663111E" w14:textId="04A57BF1" w:rsidR="00E0244C" w:rsidRPr="00483F7D" w:rsidRDefault="00483C4C" w:rsidP="00483C4C">
      <w:pPr>
        <w:pStyle w:val="Point2"/>
      </w:pPr>
      <w:r w:rsidRPr="00483F7D">
        <w:t>ii)</w:t>
      </w:r>
      <w:r w:rsidRPr="00483F7D">
        <w:tab/>
        <w:t>το κόστος των ειδών συσκευασίας τα οποία, από τελωνειακής πλευράς, θεωρείται ότι αποτελούν ενιαίο σύνολο με το εκάστοτε εμπόρευμα· και</w:t>
      </w:r>
    </w:p>
    <w:p w14:paraId="21945B1B" w14:textId="5446DECA" w:rsidR="00E0244C" w:rsidRPr="00483F7D" w:rsidRDefault="00483C4C" w:rsidP="00483C4C">
      <w:pPr>
        <w:pStyle w:val="Point2"/>
      </w:pPr>
      <w:r w:rsidRPr="00483F7D">
        <w:t>iii)</w:t>
      </w:r>
      <w:r w:rsidRPr="00483F7D">
        <w:tab/>
        <w:t>το κόστος της συσκευασίας, το οποίο περιλαμβάνει τόσο τα εργατικά όσο και τα υλικά·</w:t>
      </w:r>
    </w:p>
    <w:p w14:paraId="5377DEEB" w14:textId="7B91316C" w:rsidR="00E0244C" w:rsidRPr="00483F7D" w:rsidRDefault="00BC60FC" w:rsidP="00BC60FC">
      <w:pPr>
        <w:pStyle w:val="Point1"/>
      </w:pPr>
      <w:r w:rsidRPr="00483F7D">
        <w:t>β)</w:t>
      </w:r>
      <w:r w:rsidRPr="00483F7D">
        <w:tab/>
      </w:r>
      <w:r w:rsidR="007A1FD7" w:rsidRPr="00483F7D">
        <w:t>η αξία, επιμεριζόμενη με τον κατάλληλο τρόπο, των προϊόντων και υπηρεσιών που αναφέρονται κατωτέρω, όταν παραδίδονται ή παρέχονται άμεσα ή έμμεσα από τον αγοραστή, δωρεάν ή με μειωμένο κόστος, για χρήση σε σύνδεση με την παραγωγή και την πώληση προς εξαγωγή των εισαγόμενων εμπορευμάτων στον βαθμό που η αξία αυτή δεν έχει περιληφθεί στην πράγματι πληρωθείσα ή πληρωτέα τιμή:</w:t>
      </w:r>
    </w:p>
    <w:p w14:paraId="38AFBB7B" w14:textId="5C92FA26" w:rsidR="00E0244C" w:rsidRPr="00483F7D" w:rsidRDefault="00483C4C" w:rsidP="00483C4C">
      <w:pPr>
        <w:pStyle w:val="Point2"/>
      </w:pPr>
      <w:r w:rsidRPr="00483F7D">
        <w:t>i)</w:t>
      </w:r>
      <w:r w:rsidRPr="00483F7D">
        <w:tab/>
        <w:t>υλικά, συστατικά, μέρη και παρόμοια στοιχεία που έχουν ενσωματωθεί στα εισαγόμενα εμπορεύματα·</w:t>
      </w:r>
    </w:p>
    <w:p w14:paraId="48B83CEB" w14:textId="6A458B8F" w:rsidR="00E0244C" w:rsidRPr="00483F7D" w:rsidRDefault="00483C4C" w:rsidP="00483C4C">
      <w:pPr>
        <w:pStyle w:val="Point2"/>
      </w:pPr>
      <w:r w:rsidRPr="00483F7D">
        <w:t>ii)</w:t>
      </w:r>
      <w:r w:rsidRPr="00483F7D">
        <w:tab/>
        <w:t>εργαλεία, μήτρες, καλούπια και παρόμοια είδη που χρησιμοποιούνται κατά την παραγωγή των εισαγόμενων εμπορευμάτων·</w:t>
      </w:r>
    </w:p>
    <w:p w14:paraId="5F05D80A" w14:textId="0D13E605" w:rsidR="00E0244C" w:rsidRPr="00483F7D" w:rsidRDefault="00483C4C" w:rsidP="00483C4C">
      <w:pPr>
        <w:pStyle w:val="Point2"/>
      </w:pPr>
      <w:r w:rsidRPr="00483F7D">
        <w:t>iii)</w:t>
      </w:r>
      <w:r w:rsidRPr="00483F7D">
        <w:tab/>
        <w:t>υλικά που έχουν καταναλωθεί κατά την παραγωγή των εισαγόμενων εμπορευμάτων· και</w:t>
      </w:r>
    </w:p>
    <w:p w14:paraId="7E3DDB36" w14:textId="7EAB1E35" w:rsidR="00E0244C" w:rsidRPr="00483F7D" w:rsidRDefault="00483C4C" w:rsidP="00483C4C">
      <w:pPr>
        <w:pStyle w:val="Point2"/>
      </w:pPr>
      <w:r w:rsidRPr="00483F7D">
        <w:t>iv)</w:t>
      </w:r>
      <w:r w:rsidRPr="00483F7D">
        <w:tab/>
        <w:t>εργασίες μηχανικής ή μηχανολογίας, μελέτης, τέχνης, σχεδιασμού, σχεδίων και ιχνογραφημάτων, οι οποίες γίνονται εκτός της Ένωσης και είναι αναγκαίες για την παραγωγή των εισαγόμενων εμπορευμάτων·</w:t>
      </w:r>
    </w:p>
    <w:p w14:paraId="260F8FD2" w14:textId="1E915342" w:rsidR="00E0244C" w:rsidRPr="00483F7D" w:rsidRDefault="00BC60FC" w:rsidP="00BC60FC">
      <w:pPr>
        <w:pStyle w:val="Point1"/>
      </w:pPr>
      <w:r w:rsidRPr="00483F7D">
        <w:t>γ)</w:t>
      </w:r>
      <w:r w:rsidRPr="00483F7D">
        <w:tab/>
      </w:r>
      <w:r w:rsidR="007A1FD7" w:rsidRPr="00483F7D">
        <w:t>πάσης φύσης δικαιώματα και τέλη αδειοδότησης σχετικά με τα υπό εκτίμηση εμπορεύματα τα οποία, κατά τους όρους της πώλησης των υπό εκτίμηση εμπορευμάτων, πρέπει να καταβάλει ο αγοραστής, είτε άμεσα είτε έμμεσα, στον βαθμό που τα δικαιώματα και τέλη αυτά δεν έχουν περιληφθεί στην πράγματι πληρωθείσα ή πληρωτέα τιμή·</w:t>
      </w:r>
    </w:p>
    <w:p w14:paraId="3E0D1FAA" w14:textId="4446439C" w:rsidR="00E0244C" w:rsidRPr="00483F7D" w:rsidRDefault="00BC60FC" w:rsidP="00BC60FC">
      <w:pPr>
        <w:pStyle w:val="Point1"/>
      </w:pPr>
      <w:r w:rsidRPr="00483F7D">
        <w:t>δ)</w:t>
      </w:r>
      <w:r w:rsidRPr="00483F7D">
        <w:tab/>
      </w:r>
      <w:r w:rsidR="007A1FD7" w:rsidRPr="00483F7D">
        <w:t>η αξία κάθε μέρους των εσόδων από τυχόν μεταγενέστερη μεταπώληση, διάθεση ή χρησιμοποίηση των εισαγόμενων εμπορευμάτων που περιέρχεται άμεσα ή έμμεσα στον πωλητή· και</w:t>
      </w:r>
    </w:p>
    <w:p w14:paraId="18849553" w14:textId="529C3E20" w:rsidR="00E0244C" w:rsidRPr="00483F7D" w:rsidRDefault="00BC60FC" w:rsidP="00BC60FC">
      <w:pPr>
        <w:pStyle w:val="Point1"/>
      </w:pPr>
      <w:r w:rsidRPr="00483F7D">
        <w:t>ε)</w:t>
      </w:r>
      <w:r w:rsidRPr="00483F7D">
        <w:tab/>
      </w:r>
      <w:r w:rsidR="007A1FD7" w:rsidRPr="00483F7D">
        <w:t>τα ακόλουθα έξοδα έως τον τόπο στον οποίο μεταφέρονται τα εμπορεύματα εντός του τελωνειακού εδάφους της Ένωσης:</w:t>
      </w:r>
    </w:p>
    <w:p w14:paraId="31615F74" w14:textId="6C609408" w:rsidR="00E0244C" w:rsidRPr="00483F7D" w:rsidRDefault="00483C4C" w:rsidP="00483C4C">
      <w:pPr>
        <w:pStyle w:val="Point2"/>
      </w:pPr>
      <w:r w:rsidRPr="00483F7D">
        <w:t>i)</w:t>
      </w:r>
      <w:r w:rsidRPr="00483F7D">
        <w:tab/>
        <w:t>τα έξοδα μεταφοράς και ασφάλισης των εισαγόμενων εμπορευμάτων· και</w:t>
      </w:r>
    </w:p>
    <w:p w14:paraId="7F97B7DC" w14:textId="58E4415F" w:rsidR="00E0244C" w:rsidRPr="00483F7D" w:rsidRDefault="00483C4C" w:rsidP="00483C4C">
      <w:pPr>
        <w:pStyle w:val="Point2"/>
      </w:pPr>
      <w:r w:rsidRPr="00483F7D">
        <w:t>ii)</w:t>
      </w:r>
      <w:r w:rsidRPr="00483F7D">
        <w:tab/>
        <w:t>επιβαρύνσεις φόρτωσης και διεκπεραίωσης που συνδέονται με τη μεταφορά των εισαγόμενων εμπορευμάτων.</w:t>
      </w:r>
    </w:p>
    <w:p w14:paraId="7A756123" w14:textId="77777777" w:rsidR="00E0244C" w:rsidRPr="00483F7D" w:rsidRDefault="007A1FD7">
      <w:pPr>
        <w:pStyle w:val="ManualNumPar10"/>
      </w:pPr>
      <w:r w:rsidRPr="00483F7D">
        <w:t>2.</w:t>
      </w:r>
      <w:r w:rsidRPr="00483F7D">
        <w:tab/>
        <w:t>Κάθε στοιχείο που προστίθεται κατ' εφαρμογή της παραγράφου 1 στην πράγματι πληρωθείσα ή πληρωτέα τιμή βασίζεται αποκλειστικά σε αντικειμενικά δεδομένα που είναι δυνατό να αποτιμηθούν.</w:t>
      </w:r>
    </w:p>
    <w:p w14:paraId="041C836A" w14:textId="77777777" w:rsidR="00E0244C" w:rsidRPr="00483F7D" w:rsidRDefault="007A1FD7">
      <w:pPr>
        <w:pStyle w:val="ManualNumPar10"/>
      </w:pPr>
      <w:r w:rsidRPr="00483F7D">
        <w:t>3.</w:t>
      </w:r>
      <w:r w:rsidRPr="00483F7D">
        <w:tab/>
        <w:t>Για τον καθορισμό της δασμολογητέας αξίας, δεν προστίθεται κανένα στοιχείο στην πράγματι πληρωθείσα ή πληρωτέα τιμή, με εξαίρεση τις περιπτώσεις που προβλέπονται στο παρόν άρθρο.</w:t>
      </w:r>
    </w:p>
    <w:p w14:paraId="54EA2B2F" w14:textId="77777777" w:rsidR="00E0244C" w:rsidRPr="00483F7D" w:rsidRDefault="007A1FD7">
      <w:pPr>
        <w:pStyle w:val="ManualNumPar10"/>
      </w:pPr>
      <w:r w:rsidRPr="00483F7D">
        <w:t>4.</w:t>
      </w:r>
      <w:r w:rsidRPr="00483F7D">
        <w:tab/>
        <w:t>Η Επιτροπή ορίζει, με εκτελεστικές πράξεις, τους διαδικαστικούς κανόνες σχετικά με τον καθορισμό της δασμολογητέας αξίας σύμφωνα με το παρόν άρθρο, συμπεριλαμβανομένων εκείνων για την προσαρμογή της πράγματι πληρωθείσας ή πληρωτέας τιμής. Οι εν λόγω εκτελεστικές πράξεις εκδίδονται σύμφωνα με τη διαδικασία εξέτασης που αναφέρεται στο άρθρο 262 παράγραφος 4.</w:t>
      </w:r>
    </w:p>
    <w:p w14:paraId="36879453" w14:textId="77777777" w:rsidR="00E0244C" w:rsidRPr="00483F7D" w:rsidRDefault="007A1FD7">
      <w:pPr>
        <w:pStyle w:val="Titrearticle"/>
      </w:pPr>
      <w:bookmarkStart w:id="149" w:name="__akn_article_xpPCvM"/>
      <w:bookmarkEnd w:id="149"/>
      <w:r w:rsidRPr="00483F7D">
        <w:t>Άρθρο 155</w:t>
      </w:r>
    </w:p>
    <w:p w14:paraId="0A51FD5C" w14:textId="77777777" w:rsidR="00E0244C" w:rsidRPr="00483F7D" w:rsidRDefault="007A1FD7">
      <w:pPr>
        <w:pStyle w:val="NormalCentered"/>
      </w:pPr>
      <w:r w:rsidRPr="00483F7D">
        <w:rPr>
          <w:b/>
        </w:rPr>
        <w:t>Στοιχεία που δεν πρέπει να περιλαμβάνονται στη δασμολογητέα αξία</w:t>
      </w:r>
    </w:p>
    <w:p w14:paraId="067177A9" w14:textId="77777777" w:rsidR="00E0244C" w:rsidRPr="00483F7D" w:rsidRDefault="007A1FD7">
      <w:pPr>
        <w:pStyle w:val="ManualNumPar10"/>
      </w:pPr>
      <w:r w:rsidRPr="00483F7D">
        <w:t>1.</w:t>
      </w:r>
      <w:r w:rsidRPr="00483F7D">
        <w:tab/>
        <w:t xml:space="preserve">Για τον καθορισμό της δασμολογητέας αξίας δυνάμει του άρθρου </w:t>
      </w:r>
      <w:hyperlink w:anchor="__akn_article_VQgkQV" w:tooltip="Article 153: 153">
        <w:r w:rsidRPr="00483F7D">
          <w:rPr>
            <w:rStyle w:val="Hyperlink"/>
          </w:rPr>
          <w:t>153</w:t>
        </w:r>
      </w:hyperlink>
      <w:r w:rsidRPr="00483F7D">
        <w:t>, δεν περιλαμβάνεται κανένα από τα ακόλουθα:</w:t>
      </w:r>
    </w:p>
    <w:p w14:paraId="4A083B93" w14:textId="51150F52" w:rsidR="00E0244C" w:rsidRPr="00483F7D" w:rsidRDefault="00BC60FC" w:rsidP="00BC60FC">
      <w:pPr>
        <w:pStyle w:val="Point1"/>
      </w:pPr>
      <w:r w:rsidRPr="00483F7D">
        <w:t>α)</w:t>
      </w:r>
      <w:r w:rsidRPr="00483F7D">
        <w:tab/>
      </w:r>
      <w:r w:rsidR="0044368A" w:rsidRPr="00483F7D">
        <w:t>έξοδα μεταφοράς των εισαγόμενων εμπορευμάτων μετά την είσοδό τους στο τελωνειακό έδαφος της Ένωσης·</w:t>
      </w:r>
    </w:p>
    <w:p w14:paraId="38E2648C" w14:textId="0F30E0C3" w:rsidR="00E0244C" w:rsidRPr="00483F7D" w:rsidRDefault="00BC60FC" w:rsidP="00BC60FC">
      <w:pPr>
        <w:pStyle w:val="Point1"/>
      </w:pPr>
      <w:r w:rsidRPr="00483F7D">
        <w:t>β)</w:t>
      </w:r>
      <w:r w:rsidRPr="00483F7D">
        <w:tab/>
      </w:r>
      <w:r w:rsidR="007A1FD7" w:rsidRPr="00483F7D">
        <w:t>επιβαρύνσεις σχετικά με εργασίες κατασκευής, εγκατάστασης, συναρμολόγησης, συντήρησης ή τεχνικής βοήθειας, οι οποίες λαμβάνουν χώρα μετά την είσοδο στο τελωνειακό έδαφος της Ένωσης των εισαγόμενων εμπορευμάτων, όπως βιομηχανικές εγκαταστάσεις, μηχανές ή εξοπλισμός·</w:t>
      </w:r>
    </w:p>
    <w:p w14:paraId="60382925" w14:textId="11992DDD" w:rsidR="00E0244C" w:rsidRPr="00483F7D" w:rsidRDefault="00BC60FC" w:rsidP="00BC60FC">
      <w:pPr>
        <w:pStyle w:val="Point1"/>
      </w:pPr>
      <w:r w:rsidRPr="00483F7D">
        <w:t>γ)</w:t>
      </w:r>
      <w:r w:rsidRPr="00483F7D">
        <w:tab/>
      </w:r>
      <w:r w:rsidR="007A1FD7" w:rsidRPr="00483F7D">
        <w:t>επιβαρύνσεις για τόκους που καταβάλλονται βάσει συμφωνίας χρηματοδότησης που έχει συνάψει ο αγοραστής και αφορά την αγορά των εισαγόμενων εμπορευμάτων, ανεξάρτητα από το αν η χρηματοδότηση παρέχεται από τον πωλητή ή άλλο πρόσωπο, εφόσον η σχετική συμφωνία χρηματοδότησης έχει συναφθεί εγγράφως και ο αγοραστής μπορεί να αποδείξει, αν του ζητηθεί, ότι πληρούνται οι ακόλουθοι όροι:</w:t>
      </w:r>
    </w:p>
    <w:p w14:paraId="658F6BEC" w14:textId="0D98EEDC" w:rsidR="00E0244C" w:rsidRPr="00483F7D" w:rsidRDefault="00483C4C" w:rsidP="00483C4C">
      <w:pPr>
        <w:pStyle w:val="Point2"/>
      </w:pPr>
      <w:r w:rsidRPr="00483F7D">
        <w:t>i)</w:t>
      </w:r>
      <w:r w:rsidRPr="00483F7D">
        <w:tab/>
        <w:t>τα εν λόγω εμπορεύματα πράγματι πωλούνται στην τιμή που δηλώθηκε ως πράγματι πληρωθείσα ή πληρωτέα·</w:t>
      </w:r>
    </w:p>
    <w:p w14:paraId="4A2C23C3" w14:textId="6A1489C2" w:rsidR="00E0244C" w:rsidRPr="00483F7D" w:rsidRDefault="00483C4C" w:rsidP="00483C4C">
      <w:pPr>
        <w:pStyle w:val="Point2"/>
      </w:pPr>
      <w:r w:rsidRPr="00483F7D">
        <w:t>ii)</w:t>
      </w:r>
      <w:r w:rsidRPr="00483F7D">
        <w:tab/>
        <w:t>το αιτούμενο επιτόκιο δεν υπερβαίνει το επίπεδο που επικρατεί για τις συναλλαγές του είδους αυτού στη χώρα όπου παρασχέθηκε η χρηματοδότηση και τη στιγμή κατά την οποία παρασχέθηκε·</w:t>
      </w:r>
    </w:p>
    <w:p w14:paraId="1A64C051" w14:textId="1DF8509C" w:rsidR="00E0244C" w:rsidRPr="00483F7D" w:rsidRDefault="00BC60FC" w:rsidP="00BC60FC">
      <w:pPr>
        <w:pStyle w:val="Point1"/>
      </w:pPr>
      <w:r w:rsidRPr="00483F7D">
        <w:t>δ)</w:t>
      </w:r>
      <w:r w:rsidRPr="00483F7D">
        <w:tab/>
      </w:r>
      <w:r w:rsidR="007A1FD7" w:rsidRPr="00483F7D">
        <w:t>έξοδα για το δικαίωμα αναπαραγωγής των εισαγόμενων εμπορευμάτων στην Ένωση· προμήθειες αγοράς·</w:t>
      </w:r>
    </w:p>
    <w:p w14:paraId="26329A0D" w14:textId="729EFC31" w:rsidR="00E0244C" w:rsidRPr="00483F7D" w:rsidRDefault="00BC60FC" w:rsidP="00BC60FC">
      <w:pPr>
        <w:pStyle w:val="Point1"/>
      </w:pPr>
      <w:r w:rsidRPr="00483F7D">
        <w:t>ε)</w:t>
      </w:r>
      <w:r w:rsidRPr="00483F7D">
        <w:tab/>
      </w:r>
      <w:r w:rsidR="007A1FD7" w:rsidRPr="00483F7D">
        <w:t>εισαγωγικοί δασμοί και λοιπές επιβαρύνσεις που πρέπει να καταβληθούν στην Ένωση λόγω της εισαγωγής ή της πώλησης των εμπορευμάτων·</w:t>
      </w:r>
    </w:p>
    <w:p w14:paraId="7E4CA828" w14:textId="2FAE9D98" w:rsidR="00E0244C" w:rsidRPr="00483F7D" w:rsidRDefault="00BC60FC" w:rsidP="00BC60FC">
      <w:pPr>
        <w:pStyle w:val="Point1"/>
      </w:pPr>
      <w:r w:rsidRPr="00483F7D">
        <w:t>στ)</w:t>
      </w:r>
      <w:r w:rsidRPr="00483F7D">
        <w:tab/>
      </w:r>
      <w:r w:rsidR="007A1FD7" w:rsidRPr="00483F7D">
        <w:t xml:space="preserve">κατά παρέκκλιση από το άρθρο 154 παράγραφος 1 στοιχείο </w:t>
      </w:r>
      <w:hyperlink w:anchor="__akn_article_vqs8ID_WR4S9T" w:tooltip="Article 154(1), point (c): (c)">
        <w:r w:rsidR="007A1FD7" w:rsidRPr="00483F7D">
          <w:t>γ)</w:t>
        </w:r>
      </w:hyperlink>
      <w:r w:rsidR="007A1FD7" w:rsidRPr="00483F7D">
        <w:t>, πληρωμές που καταβάλλονται από τον αγοραστή για το δικαίωμα διανομής ή μεταπώλησης των εισαγόμενων εμπορευμάτων, εφόσον οι πληρωμές αυτές δεν αποτελούν όρο της πώλησης για την εξαγωγή των εμπορευμάτων στην Ένωση.</w:t>
      </w:r>
    </w:p>
    <w:p w14:paraId="5DDBF2A7" w14:textId="77777777" w:rsidR="00E0244C" w:rsidRPr="00483F7D" w:rsidRDefault="007A1FD7">
      <w:pPr>
        <w:pStyle w:val="ManualNumPar10"/>
      </w:pPr>
      <w:r w:rsidRPr="00483F7D">
        <w:t>2.</w:t>
      </w:r>
      <w:r w:rsidRPr="00483F7D">
        <w:tab/>
        <w:t>Η Επιτροπή ορίζει, με εκτελεστικές πράξεις, τους διαδικαστικούς κανόνες σχετικά με τον καθορισμό της δασμολογητέας αξίας σύμφωνα με το παρόν άρθρο, συμπεριλαμβανομένων εκείνων για την προσαρμογή της πράγματι πληρωθείσας ή πληρωτέας τιμής. Οι εν λόγω εκτελεστικές πράξεις εκδίδονται σύμφωνα με τη διαδικασία εξέτασης που αναφέρεται στο άρθρο 262 παράγραφος 4.</w:t>
      </w:r>
    </w:p>
    <w:p w14:paraId="59F8CEB4" w14:textId="77777777" w:rsidR="00E0244C" w:rsidRPr="00483F7D" w:rsidRDefault="007A1FD7">
      <w:pPr>
        <w:pStyle w:val="Titrearticle"/>
      </w:pPr>
      <w:r w:rsidRPr="00483F7D">
        <w:t>Άρθρο 156</w:t>
      </w:r>
    </w:p>
    <w:p w14:paraId="391EA7A8" w14:textId="77777777" w:rsidR="00E0244C" w:rsidRPr="00483F7D" w:rsidRDefault="007A1FD7">
      <w:pPr>
        <w:pStyle w:val="NormalCentered"/>
      </w:pPr>
      <w:r w:rsidRPr="00483F7D">
        <w:rPr>
          <w:b/>
        </w:rPr>
        <w:t>Απλουστεύσεις</w:t>
      </w:r>
    </w:p>
    <w:p w14:paraId="6812B0D2" w14:textId="77777777" w:rsidR="00E0244C" w:rsidRPr="00483F7D" w:rsidRDefault="007A1FD7">
      <w:pPr>
        <w:pStyle w:val="ManualNumPar10"/>
      </w:pPr>
      <w:r w:rsidRPr="00483F7D">
        <w:t>1.</w:t>
      </w:r>
      <w:r w:rsidRPr="00483F7D">
        <w:tab/>
        <w:t>Οι τελωνειακές αρχές μπορούν, κατόπιν αίτησης, να επιτρέπουν τον προσδιορισμό των ακόλουθων ποσών βάσει συγκεκριμένων κριτηρίων, εφόσον αυτά δεν είναι δυνατό να ποσοτικοποιηθούν την ημερομηνία κατά την οποία γίνεται δεκτή η τελωνειακή διασάφηση:</w:t>
      </w:r>
    </w:p>
    <w:p w14:paraId="30164B7F" w14:textId="5386F211" w:rsidR="00E0244C" w:rsidRPr="00483F7D" w:rsidRDefault="00BC60FC" w:rsidP="00BC60FC">
      <w:pPr>
        <w:pStyle w:val="Point1"/>
      </w:pPr>
      <w:r w:rsidRPr="00483F7D">
        <w:t>α)</w:t>
      </w:r>
      <w:r w:rsidRPr="00483F7D">
        <w:tab/>
      </w:r>
      <w:r w:rsidR="007A1FD7" w:rsidRPr="00483F7D">
        <w:t xml:space="preserve">ποσά που πρέπει να περιλαμβάνονται στη δασμολογητέα αξία σύμφωνα με το άρθρο 153 παράγραφος </w:t>
      </w:r>
      <w:hyperlink w:anchor="__akn_article_VQgkQV-par1" w:tooltip="Article 153(2): (2)">
        <w:r w:rsidR="007A1FD7" w:rsidRPr="00483F7D">
          <w:t>2</w:t>
        </w:r>
      </w:hyperlink>
      <w:r w:rsidR="007A1FD7" w:rsidRPr="00483F7D">
        <w:t>· και</w:t>
      </w:r>
    </w:p>
    <w:p w14:paraId="625B0D7E" w14:textId="5329013F" w:rsidR="00E0244C" w:rsidRPr="00483F7D" w:rsidRDefault="00BC60FC" w:rsidP="00BC60FC">
      <w:pPr>
        <w:pStyle w:val="Point1"/>
      </w:pPr>
      <w:r w:rsidRPr="00483F7D">
        <w:t>β)</w:t>
      </w:r>
      <w:r w:rsidRPr="00483F7D">
        <w:tab/>
      </w:r>
      <w:r w:rsidR="007A1FD7" w:rsidRPr="00483F7D">
        <w:t xml:space="preserve">τα ποσά που αναφέρονται στα άρθρα </w:t>
      </w:r>
      <w:hyperlink w:anchor="__akn_article_vqs8ID" w:tooltip="Article 154: 154">
        <w:r w:rsidR="007A1FD7" w:rsidRPr="00483F7D">
          <w:t>154</w:t>
        </w:r>
      </w:hyperlink>
      <w:r w:rsidR="007A1FD7" w:rsidRPr="00483F7D">
        <w:t xml:space="preserve"> και </w:t>
      </w:r>
      <w:hyperlink w:anchor="__akn_article_xpPCvM" w:tooltip="Article 155: 155">
        <w:r w:rsidR="007A1FD7" w:rsidRPr="00483F7D">
          <w:t>155</w:t>
        </w:r>
      </w:hyperlink>
      <w:r w:rsidR="007A1FD7" w:rsidRPr="00483F7D">
        <w:t>.</w:t>
      </w:r>
    </w:p>
    <w:p w14:paraId="5A218A1E" w14:textId="77777777" w:rsidR="00E0244C" w:rsidRPr="00483F7D" w:rsidRDefault="007A1FD7">
      <w:pPr>
        <w:pStyle w:val="ManualNumPar10"/>
      </w:pPr>
      <w:bookmarkStart w:id="150" w:name="__akn_article_zTkYYE_NYZKHB"/>
      <w:bookmarkEnd w:id="150"/>
      <w:r w:rsidRPr="00483F7D">
        <w:t>2.</w:t>
      </w:r>
      <w:r w:rsidRPr="00483F7D">
        <w:tab/>
        <w:t xml:space="preserve">Όταν ο εισαγωγέας έχει επιλέξει να εφαρμόσει την απλουστευμένη δασμολογική μεταχείριση για τις εξ αποστάσεως πωλήσεις, δεν εφαρμόζεται το άρθρο 155 παράγραφος 1 στοιχείο </w:t>
      </w:r>
      <w:hyperlink w:anchor="__akn_article_xpPCvM_NF9Zod" w:tooltip="Article 155(1), point (a): (a)">
        <w:r w:rsidRPr="00483F7D">
          <w:rPr>
            <w:rStyle w:val="Hyperlink"/>
          </w:rPr>
          <w:t>α)</w:t>
        </w:r>
      </w:hyperlink>
      <w:r w:rsidRPr="00483F7D">
        <w:t xml:space="preserve"> και τόσο τα έξοδα μεταφοράς των εισαγόμενων εμπορευμάτων έως τον τόπο όπου τα εμπορεύματα μεταφέρονται εντός του τελωνειακού εδάφους της Ένωσης όσο και τα έξοδα μεταφοράς μετά την είσοδό τους στο εν λόγω έδαφος περιλαμβάνονται στη δασμολογητέα αξία.</w:t>
      </w:r>
    </w:p>
    <w:p w14:paraId="53BC7797" w14:textId="77777777" w:rsidR="00E0244C" w:rsidRPr="00483F7D" w:rsidRDefault="007A1FD7">
      <w:pPr>
        <w:pStyle w:val="ManualNumPar10"/>
      </w:pPr>
      <w:r w:rsidRPr="00483F7D">
        <w:t>3.</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όρων για τη χορήγηση της άδειας που αναφέρεται στην παράγραφο 1.</w:t>
      </w:r>
    </w:p>
    <w:p w14:paraId="0044BBC5" w14:textId="77777777" w:rsidR="00E0244C" w:rsidRPr="00483F7D" w:rsidRDefault="007A1FD7">
      <w:pPr>
        <w:pStyle w:val="Titrearticle"/>
      </w:pPr>
      <w:bookmarkStart w:id="151" w:name="__akn_article_V05tA8"/>
      <w:bookmarkEnd w:id="151"/>
      <w:r w:rsidRPr="00483F7D">
        <w:t>Άρθρο 157</w:t>
      </w:r>
    </w:p>
    <w:p w14:paraId="67E414DC" w14:textId="77777777" w:rsidR="00E0244C" w:rsidRPr="00483F7D" w:rsidRDefault="007A1FD7">
      <w:pPr>
        <w:pStyle w:val="NormalCentered"/>
      </w:pPr>
      <w:r w:rsidRPr="00483F7D">
        <w:rPr>
          <w:b/>
        </w:rPr>
        <w:t>Βοηθητικές μέθοδοι υπολογισμού της δασμολογητέας αξίας</w:t>
      </w:r>
    </w:p>
    <w:p w14:paraId="340120C7" w14:textId="77777777" w:rsidR="00E0244C" w:rsidRPr="00483F7D" w:rsidRDefault="007A1FD7">
      <w:pPr>
        <w:pStyle w:val="ManualNumPar10"/>
      </w:pPr>
      <w:r w:rsidRPr="00483F7D">
        <w:t>1.</w:t>
      </w:r>
      <w:r w:rsidRPr="00483F7D">
        <w:tab/>
        <w:t xml:space="preserve">Όταν η δασμολογητέα αξία των εμπορευμάτων δεν μπορεί να καθοριστεί σύμφωνα με το άρθρο </w:t>
      </w:r>
      <w:hyperlink w:anchor="__akn_article_VQgkQV" w:tooltip="Article 153: 153">
        <w:r w:rsidRPr="00483F7D">
          <w:rPr>
            <w:rStyle w:val="Hyperlink"/>
          </w:rPr>
          <w:t>153</w:t>
        </w:r>
      </w:hyperlink>
      <w:r w:rsidRPr="00483F7D">
        <w:t>, καθορίζεται με διαδοχική εφαρμογή των διατάξεων της παραγράφου 2 στοιχεία α) έως δ), μέχρι την πρώτη μεταξύ αυτών διάταξη η οποία καθιστά δυνατό τον καθορισμό της αξίας των εμπορευμάτων.</w:t>
      </w:r>
    </w:p>
    <w:p w14:paraId="2A5346E3" w14:textId="77777777" w:rsidR="00E0244C" w:rsidRPr="00483F7D" w:rsidRDefault="007A1FD7">
      <w:pPr>
        <w:pStyle w:val="Text1"/>
      </w:pPr>
      <w:r w:rsidRPr="00483F7D">
        <w:t>Η σειρά εφαρμογής των στοιχείων γ) και δ) της παραγράφου 2 αντιστρέφεται αν το ζητήσει ο εισαγωγέας ή ο εξαγωγέας ή, κατά περίπτωση, ο διασαφιστής.</w:t>
      </w:r>
    </w:p>
    <w:p w14:paraId="57D34F13" w14:textId="77777777" w:rsidR="00E0244C" w:rsidRPr="00483F7D" w:rsidRDefault="007A1FD7">
      <w:pPr>
        <w:pStyle w:val="ManualNumPar10"/>
      </w:pPr>
      <w:r w:rsidRPr="00483F7D">
        <w:t>2.</w:t>
      </w:r>
      <w:r w:rsidRPr="00483F7D">
        <w:tab/>
        <w:t>Η δασμολογητέα αξία, σύμφωνα με την παράγραφο 1, είναι:</w:t>
      </w:r>
    </w:p>
    <w:p w14:paraId="608D7939" w14:textId="7FB6523E" w:rsidR="00E0244C" w:rsidRPr="00483F7D" w:rsidRDefault="00BC60FC" w:rsidP="00BC60FC">
      <w:pPr>
        <w:pStyle w:val="Point1"/>
      </w:pPr>
      <w:r w:rsidRPr="00483F7D">
        <w:t>α)</w:t>
      </w:r>
      <w:r w:rsidRPr="00483F7D">
        <w:tab/>
      </w:r>
      <w:r w:rsidR="007A1FD7" w:rsidRPr="00483F7D">
        <w:t>η συναλλακτική αξία πανομοιότυπων εμπορευμάτων τα οποία πωλούνται για εξαγωγή στο τελωνειακό έδαφος της Ένωσης και εξάγονται κατά την ίδια ή περίπου την ίδια χρονική στιγμή με τα υπό εκτίμηση εμπορεύματα·</w:t>
      </w:r>
    </w:p>
    <w:p w14:paraId="2E705A12" w14:textId="240AEC9A" w:rsidR="00E0244C" w:rsidRPr="00483F7D" w:rsidRDefault="00BC60FC" w:rsidP="00BC60FC">
      <w:pPr>
        <w:pStyle w:val="Point1"/>
      </w:pPr>
      <w:r w:rsidRPr="00483F7D">
        <w:t>β)</w:t>
      </w:r>
      <w:r w:rsidRPr="00483F7D">
        <w:tab/>
      </w:r>
      <w:r w:rsidR="007A1FD7" w:rsidRPr="00483F7D">
        <w:t>η συναλλακτική αξία ομοειδών εμπορευμάτων τα οποία πωλούνται για εξαγωγή στο τελωνειακό έδαφος της Ένωσης και εξάγονται κατά την ίδια ή περίπου την ίδια χρονική στιγμή με τα υπό εκτίμηση εμπορεύματα·</w:t>
      </w:r>
    </w:p>
    <w:p w14:paraId="273C40A1" w14:textId="7E957EF4" w:rsidR="00E0244C" w:rsidRPr="00483F7D" w:rsidRDefault="00BC60FC" w:rsidP="00BC60FC">
      <w:pPr>
        <w:pStyle w:val="Point1"/>
      </w:pPr>
      <w:r w:rsidRPr="00483F7D">
        <w:t>γ)</w:t>
      </w:r>
      <w:r w:rsidRPr="00483F7D">
        <w:tab/>
      </w:r>
      <w:r w:rsidR="007A1FD7" w:rsidRPr="00483F7D">
        <w:t>η αξία που βασίζεται στη μοναδιαία τιμή πώλησης των εισαγόμενων εμπορευμάτων, ή πανομοιότυπων ή ομοειδών εισαγόμενων εμπορευμάτων, εντός του τελωνειακού εδάφους της Ένωσης η οποία αντιπροσωπεύει συνολικά τη μεγαλύτερη ποσότητα και πραγματοποιείται προς πρόσωπα που δεν συνδέονται με τους πωλητές· ή</w:t>
      </w:r>
    </w:p>
    <w:p w14:paraId="4D881D08" w14:textId="32D71FE5" w:rsidR="00E0244C" w:rsidRPr="00483F7D" w:rsidRDefault="00BC60FC" w:rsidP="00BC60FC">
      <w:pPr>
        <w:pStyle w:val="Point1"/>
      </w:pPr>
      <w:r w:rsidRPr="00483F7D">
        <w:t>δ)</w:t>
      </w:r>
      <w:r w:rsidRPr="00483F7D">
        <w:tab/>
      </w:r>
      <w:r w:rsidR="007A1FD7" w:rsidRPr="00483F7D">
        <w:t>η υπολογιζόμενη αξία, που συνίσταται στο άθροισμα:</w:t>
      </w:r>
    </w:p>
    <w:p w14:paraId="79CE8CC0" w14:textId="69EC644D" w:rsidR="00E0244C" w:rsidRPr="00483F7D" w:rsidRDefault="00483C4C" w:rsidP="00483C4C">
      <w:pPr>
        <w:pStyle w:val="Point2"/>
      </w:pPr>
      <w:r w:rsidRPr="00483F7D">
        <w:t>i)</w:t>
      </w:r>
      <w:r w:rsidRPr="00483F7D">
        <w:tab/>
        <w:t>του κόστους ή της αξίας των υλών και των εργασιών κατασκευής ή άλλης μεταποίησης που υπεισέρχονται στην παραγωγή των εισαγόμενων εμπορευμάτων·</w:t>
      </w:r>
    </w:p>
    <w:p w14:paraId="03FAA195" w14:textId="61BA8F1B" w:rsidR="00E0244C" w:rsidRPr="00483F7D" w:rsidRDefault="00483C4C" w:rsidP="00483C4C">
      <w:pPr>
        <w:pStyle w:val="Point2"/>
      </w:pPr>
      <w:r w:rsidRPr="00483F7D">
        <w:t>ii)</w:t>
      </w:r>
      <w:r w:rsidRPr="00483F7D">
        <w:tab/>
        <w:t>ποσού που αντιπροσωπεύει τα κέρδη και τα γενικά έξοδα, ίσου με το ποσό που συνήθως αντιστοιχεί στις πωλήσεις εμπορευμάτων της ίδιας κατηγορίας ή του ίδιου είδους με τα υπό εκτίμηση εμπορεύματα, οι οποίες γίνονται από παραγωγούς στη χώρα εξαγωγής για την εξαγωγή προς την Ένωση·</w:t>
      </w:r>
    </w:p>
    <w:p w14:paraId="4115801C" w14:textId="1F16F325" w:rsidR="00E0244C" w:rsidRPr="00483F7D" w:rsidRDefault="00483C4C" w:rsidP="00483C4C">
      <w:pPr>
        <w:pStyle w:val="Point2"/>
      </w:pPr>
      <w:r w:rsidRPr="00483F7D">
        <w:t>iii)</w:t>
      </w:r>
      <w:r w:rsidRPr="00483F7D">
        <w:tab/>
        <w:t xml:space="preserve">του κόστους ή της αξίας των στοιχείων που αναφέρονται στο άρθρο 154 παράγραφος 1 στοιχείο </w:t>
      </w:r>
      <w:hyperlink w:anchor="__akn_article_vqs8ID_WooK0a" w:tooltip="Article 154(1), point (e): (e)">
        <w:r w:rsidRPr="00483F7D">
          <w:rPr>
            <w:rStyle w:val="Hyperlink"/>
          </w:rPr>
          <w:t>ε)</w:t>
        </w:r>
      </w:hyperlink>
      <w:r w:rsidRPr="00483F7D">
        <w:t>.</w:t>
      </w:r>
    </w:p>
    <w:p w14:paraId="70E087BD" w14:textId="77777777" w:rsidR="00E0244C" w:rsidRPr="00483F7D" w:rsidRDefault="007A1FD7">
      <w:pPr>
        <w:pStyle w:val="ManualNumPar10"/>
      </w:pPr>
      <w:r w:rsidRPr="00483F7D">
        <w:t>3.</w:t>
      </w:r>
      <w:r w:rsidRPr="00483F7D">
        <w:tab/>
        <w:t>Όταν η δασμολογητέα αξία δεν μπορεί να καθοριστεί σύμφωνα με την παράγραφο 1, προσδιορίζεται με βάση τα διαθέσιμα δεδομένα στο τελωνειακό έδαφος της Ένωσης, με εύλογα μέσα που συνάδουν με τις αρχές και τις γενικές διατάξεις όλων των κατωτέρω:</w:t>
      </w:r>
    </w:p>
    <w:p w14:paraId="70C44821" w14:textId="14464960" w:rsidR="00E0244C" w:rsidRPr="00483F7D" w:rsidRDefault="00BC60FC" w:rsidP="00BC60FC">
      <w:pPr>
        <w:pStyle w:val="Point1"/>
      </w:pPr>
      <w:r w:rsidRPr="00483F7D">
        <w:t>α)</w:t>
      </w:r>
      <w:r w:rsidRPr="00483F7D">
        <w:tab/>
      </w:r>
      <w:r w:rsidR="007A1FD7" w:rsidRPr="00483F7D">
        <w:t>της συμφωνίας για την εφαρμογή του άρθρου VII της Γενικής Συμφωνίας Δασμών και Εμπορίου·</w:t>
      </w:r>
    </w:p>
    <w:p w14:paraId="35101E8A" w14:textId="5424A2D2" w:rsidR="00E0244C" w:rsidRPr="00483F7D" w:rsidRDefault="00BC60FC" w:rsidP="00BC60FC">
      <w:pPr>
        <w:pStyle w:val="Point1"/>
      </w:pPr>
      <w:r w:rsidRPr="00483F7D">
        <w:t>β)</w:t>
      </w:r>
      <w:r w:rsidRPr="00483F7D">
        <w:tab/>
      </w:r>
      <w:r w:rsidR="007A1FD7" w:rsidRPr="00483F7D">
        <w:t>του άρθρου VII της Γενικής Συμφωνίας Δασμών και Εμπορίου·</w:t>
      </w:r>
    </w:p>
    <w:p w14:paraId="4670540C" w14:textId="49C87406" w:rsidR="00E0244C" w:rsidRPr="00483F7D" w:rsidRDefault="00BC60FC" w:rsidP="00BC60FC">
      <w:pPr>
        <w:pStyle w:val="Point1"/>
      </w:pPr>
      <w:r w:rsidRPr="00483F7D">
        <w:t>γ)</w:t>
      </w:r>
      <w:r w:rsidRPr="00483F7D">
        <w:tab/>
      </w:r>
      <w:r w:rsidR="007A1FD7" w:rsidRPr="00483F7D">
        <w:t>του παρόντος κεφαλαίου.</w:t>
      </w:r>
    </w:p>
    <w:p w14:paraId="5E5527E0" w14:textId="77777777" w:rsidR="00E0244C" w:rsidRPr="00483F7D" w:rsidRDefault="007A1FD7">
      <w:pPr>
        <w:pStyle w:val="ManualNumPar10"/>
      </w:pPr>
      <w:r w:rsidRPr="00483F7D">
        <w:t>4.</w:t>
      </w:r>
      <w:r w:rsidRPr="00483F7D">
        <w:tab/>
        <w:t>Η Επιτροπή ορίζει, με εκτελεστικές πράξεις, τους διαδικαστικούς κανόνες σχετικά με τον καθορισμό της δασμολογητέας αξίας που αναφέρεται στο παρόν άρθρο. Οι εν λόγω εκτελεστικές πράξεις εκδίδονται σύμφωνα με τη διαδικασία εξέτασης που αναφέρεται στο άρθρο 262 παράγραφος 4.</w:t>
      </w:r>
    </w:p>
    <w:p w14:paraId="03E79C36" w14:textId="77777777" w:rsidR="00E0244C" w:rsidRPr="00483F7D" w:rsidRDefault="007A1FD7">
      <w:pPr>
        <w:pStyle w:val="Titrearticle"/>
      </w:pPr>
      <w:r w:rsidRPr="00483F7D">
        <w:t>Άρθρο 158</w:t>
      </w:r>
    </w:p>
    <w:p w14:paraId="6760834E" w14:textId="77777777" w:rsidR="00E0244C" w:rsidRPr="00483F7D" w:rsidRDefault="007A1FD7">
      <w:pPr>
        <w:pStyle w:val="NormalCentered"/>
      </w:pPr>
      <w:r w:rsidRPr="00483F7D">
        <w:rPr>
          <w:b/>
        </w:rPr>
        <w:t>Καθορισμός της αξίας των εμπορευμάτων σε ειδικές περιπτώσεις</w:t>
      </w:r>
    </w:p>
    <w:p w14:paraId="7C9A304F" w14:textId="77777777" w:rsidR="00792F40" w:rsidRPr="00483F7D" w:rsidRDefault="007A1FD7" w:rsidP="00ED12E1">
      <w:pPr>
        <w:pStyle w:val="ManualNumPar10"/>
        <w:ind w:left="0" w:firstLine="0"/>
      </w:pPr>
      <w:r w:rsidRPr="00483F7D">
        <w:t xml:space="preserve">Η Επιτροπή μπορεί να θεσπίζει, με εκτελεστικές πράξεις, μέτρα για τον καθορισμό της κατάλληλης μεθόδου δασμολογητέας αξίας ή των κριτηρίων που πρέπει να χρησιμοποιούνται για τον καθορισμό της δασμολογητέας αξίας των εμπορευμάτων σε ειδικές περιπτώσεις.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 xml:space="preserve">. </w:t>
      </w:r>
    </w:p>
    <w:p w14:paraId="423C32E5" w14:textId="77777777" w:rsidR="00E0244C" w:rsidRPr="00483F7D" w:rsidRDefault="007A1FD7" w:rsidP="00ED12E1">
      <w:pPr>
        <w:pStyle w:val="ManualNumPar10"/>
        <w:ind w:left="0" w:firstLine="0"/>
      </w:pPr>
      <w:r w:rsidRPr="00483F7D">
        <w:t xml:space="preserve">Όταν συντρέχουν επιτακτικοί λόγοι επείγουσας ανάγκης σχετικοί με τα εν λόγω μέτρα, που δικαιολογούνται δεόντως από την ανάγκη για ταχεία εξασφάλιση της ορθής και ενιαίας εφαρμογής των κανόνων για τον καθορισμό της δασμολογητέας αξίας εμπορευμάτων, η Επιτροπή εκδίδει εκτελεστικές πράξεις που έχουν άμεση εφαρμογή σύμφωνα με τη διαδικασία που αναφέρεται στο άρθρο 262 παράγραφος </w:t>
      </w:r>
      <w:hyperlink w:anchor="_bill__akn_article_OheJbS_B2A1Cf" w:tooltip="Article 258(5): (5)">
        <w:r w:rsidRPr="00483F7D">
          <w:rPr>
            <w:rStyle w:val="Hyperlink"/>
          </w:rPr>
          <w:t>5</w:t>
        </w:r>
      </w:hyperlink>
      <w:r w:rsidRPr="00483F7D">
        <w:t>.</w:t>
      </w:r>
    </w:p>
    <w:p w14:paraId="1A79601F" w14:textId="77777777" w:rsidR="00E0244C" w:rsidRPr="00483F7D" w:rsidRDefault="007A1FD7">
      <w:pPr>
        <w:pStyle w:val="ChapterTitle"/>
      </w:pPr>
      <w:r w:rsidRPr="00483F7D">
        <w:t xml:space="preserve">Τίτλος X </w:t>
      </w:r>
      <w:r w:rsidRPr="00483F7D">
        <w:br/>
        <w:t>ΤΕΛΩΝΕΙΑΚΕΣ ΟΦΕΙΛΕΣ ΚΑΙ ΕΓΓΥΗΣΕΙΣ</w:t>
      </w:r>
    </w:p>
    <w:p w14:paraId="3D695270" w14:textId="77777777" w:rsidR="00E0244C" w:rsidRPr="00483F7D" w:rsidRDefault="007A1FD7">
      <w:pPr>
        <w:pStyle w:val="ChapterTitle"/>
      </w:pPr>
      <w:r w:rsidRPr="00483F7D">
        <w:t xml:space="preserve">Κεφάλαιο 1 </w:t>
      </w:r>
      <w:r w:rsidRPr="00483F7D">
        <w:br/>
        <w:t>Γένεση τελωνειακής οφειλής</w:t>
      </w:r>
    </w:p>
    <w:p w14:paraId="0C8C6FFA" w14:textId="77777777" w:rsidR="00E0244C" w:rsidRPr="00483F7D" w:rsidRDefault="007A1FD7">
      <w:pPr>
        <w:pStyle w:val="SectionTitle"/>
      </w:pPr>
      <w:r w:rsidRPr="00483F7D">
        <w:t xml:space="preserve">Τμήμα 1 </w:t>
      </w:r>
      <w:r w:rsidRPr="00483F7D">
        <w:br/>
        <w:t>Τελωνειακή οφειλή κατά την εισαγωγή</w:t>
      </w:r>
    </w:p>
    <w:p w14:paraId="02B082C5" w14:textId="77777777" w:rsidR="00E0244C" w:rsidRPr="00483F7D" w:rsidRDefault="007A1FD7">
      <w:pPr>
        <w:pStyle w:val="Titrearticle"/>
      </w:pPr>
      <w:r w:rsidRPr="00483F7D">
        <w:t>Άρθρο 159</w:t>
      </w:r>
    </w:p>
    <w:p w14:paraId="489574D7" w14:textId="77777777" w:rsidR="00E0244C" w:rsidRPr="00483F7D" w:rsidRDefault="007A1FD7">
      <w:pPr>
        <w:pStyle w:val="NormalCentered"/>
      </w:pPr>
      <w:r w:rsidRPr="00483F7D">
        <w:rPr>
          <w:b/>
        </w:rPr>
        <w:t>Θέση σε ελεύθερη κυκλοφορία και προσωρινή εισαγωγή</w:t>
      </w:r>
    </w:p>
    <w:p w14:paraId="28B03B91" w14:textId="77777777" w:rsidR="00E0244C" w:rsidRPr="00483F7D" w:rsidRDefault="007A1FD7">
      <w:pPr>
        <w:pStyle w:val="ManualNumPar10"/>
      </w:pPr>
      <w:bookmarkStart w:id="152" w:name="__akn_article_OrdkOK_mUEb45"/>
      <w:bookmarkEnd w:id="152"/>
      <w:r w:rsidRPr="00483F7D">
        <w:t>1.</w:t>
      </w:r>
      <w:r w:rsidRPr="00483F7D">
        <w:tab/>
        <w:t xml:space="preserve">Σε βάρος του εισαγωγέα γεννάται τελωνειακή οφειλή κατά τη θέση των εμπορευμάτων σε ελεύθερη κυκλοφορία, για το καθεστώς ειδικού προορισμού ή για το καθεστώς προσωρινής εισαγωγής με μερική απαλλαγή από τον εισαγωγικό δασμό. </w:t>
      </w:r>
    </w:p>
    <w:p w14:paraId="0BEA03E5" w14:textId="77777777" w:rsidR="0090188B" w:rsidRPr="00483F7D" w:rsidRDefault="007A1FD7" w:rsidP="5DA9B26A">
      <w:pPr>
        <w:pStyle w:val="ManualNumPar10"/>
      </w:pPr>
      <w:bookmarkStart w:id="153" w:name="__akn_article_OrdkOK_wKZZ1z"/>
      <w:bookmarkEnd w:id="153"/>
      <w:r w:rsidRPr="00483F7D">
        <w:t>2.</w:t>
      </w:r>
      <w:r w:rsidRPr="00483F7D">
        <w:tab/>
        <w:t>Οφειλέτης είναι ο εισαγωγέας. Σε περίπτωση έμμεσης αντιπροσώπευσης, ο εισαγωγέας και το πρόσωπο για λογαριασμό του οποίου ενεργεί ο εισαγωγέας είναι αμφότεροι οφειλέτες και είναι εις ολόκληρον υπόχρεοι για την τελωνειακή οφειλή.</w:t>
      </w:r>
    </w:p>
    <w:p w14:paraId="2BA40FFB" w14:textId="77777777" w:rsidR="0090188B" w:rsidRPr="00483F7D" w:rsidRDefault="0090188B" w:rsidP="5DA9B26A">
      <w:pPr>
        <w:pStyle w:val="Text1"/>
      </w:pPr>
      <w:r w:rsidRPr="00483F7D">
        <w:t>Όταν οι πληροφορίες που παρέχονται ή καθίστανται διαθέσιμες για τον σκοπό των καθεστώτων που αναφέρονται στην παράγραφο 1 έχουν ως αποτέλεσμα να μην εισπραχθεί το σύνολο ή μέρος του εισαγωγικού δασμού, οφειλέτης είναι επίσης το πρόσωπο που παρείχε τις πληροφορίες αυτές και γνώριζε, ή όφειλε ευλόγως να γνωρίζει, ότι οι εν λόγω πληροφορίες ήταν εσφαλμένες.</w:t>
      </w:r>
    </w:p>
    <w:p w14:paraId="5005D4F8" w14:textId="77777777" w:rsidR="00E0244C" w:rsidRPr="00483F7D" w:rsidRDefault="007A1FD7" w:rsidP="00000B52">
      <w:pPr>
        <w:pStyle w:val="ManualNumPar10"/>
      </w:pPr>
      <w:r w:rsidRPr="00483F7D">
        <w:t>3.</w:t>
      </w:r>
      <w:r w:rsidRPr="00483F7D">
        <w:tab/>
        <w:t>Όταν ο τίτλος XII κεφάλαιο 6 τμήμα 4 της οδηγίας 2006/112/ΕΚ εφαρμόζεται στις εξ αποστάσεως πωλήσεις εμπορευμάτων που πρόκειται να εισαχθούν από τρίτες χώρες ή εδάφη σε πελάτη στο τελωνειακό έδαφος της Ένωσης, γεννάται τελωνειακή οφειλή σε βάρος του θεωρούμενου εισαγωγέα όταν γίνει δεκτή η πληρωμή για την εξ αποστάσεως πώληση και ο θεωρούμενος εισαγωγέας είναι ο οφειλέτης.</w:t>
      </w:r>
    </w:p>
    <w:p w14:paraId="0AC7FE32" w14:textId="77777777" w:rsidR="00E0244C" w:rsidRPr="00483F7D" w:rsidRDefault="007A1FD7">
      <w:pPr>
        <w:pStyle w:val="Titrearticle"/>
      </w:pPr>
      <w:bookmarkStart w:id="154" w:name="__akn_article_HtS6Rf"/>
      <w:bookmarkEnd w:id="154"/>
      <w:r w:rsidRPr="00483F7D">
        <w:t>Άρθρο 160</w:t>
      </w:r>
    </w:p>
    <w:p w14:paraId="356F7E4F" w14:textId="77777777" w:rsidR="00E0244C" w:rsidRPr="00483F7D" w:rsidRDefault="007A1FD7">
      <w:pPr>
        <w:pStyle w:val="NormalCentered"/>
      </w:pPr>
      <w:r w:rsidRPr="00483F7D">
        <w:rPr>
          <w:b/>
        </w:rPr>
        <w:t>Ειδικές διατάξεις σχετικά με μη καταγόμενα εμπορεύματα</w:t>
      </w:r>
    </w:p>
    <w:p w14:paraId="114D74BE" w14:textId="77777777" w:rsidR="00E0244C" w:rsidRPr="00483F7D" w:rsidRDefault="007A1FD7">
      <w:pPr>
        <w:pStyle w:val="ManualNumPar10"/>
      </w:pPr>
      <w:r w:rsidRPr="00483F7D">
        <w:t>1.</w:t>
      </w:r>
      <w:r w:rsidRPr="00483F7D">
        <w:tab/>
        <w:t>Σε βάρος του εξαγωγέα γεννάται τελωνειακή οφειλή κατά τη στιγμή της παράδοσης των προϊόντων προς εξαγωγή όταν: </w:t>
      </w:r>
    </w:p>
    <w:p w14:paraId="638460E8" w14:textId="05C4116C" w:rsidR="00E0244C" w:rsidRPr="00483F7D" w:rsidRDefault="00BC60FC" w:rsidP="00BC60FC">
      <w:pPr>
        <w:pStyle w:val="Point1"/>
      </w:pPr>
      <w:r w:rsidRPr="00483F7D">
        <w:t>α)</w:t>
      </w:r>
      <w:r w:rsidRPr="00483F7D">
        <w:tab/>
      </w:r>
      <w:r w:rsidR="007A1FD7" w:rsidRPr="00483F7D">
        <w:t>προτιμησιακό καθεστώς μεταξύ της Ένωσης και ορισμένων τρίτων χωρών ή ομάδων τέτοιων χωρών προβλέπει ότι η προτιμησιακή δασμολογική μεταχείριση των προϊόντων καταγωγής Ένωσης απαιτεί τα μη καταγόμενα εμπορεύματα που χρησιμοποιούνται για την κατασκευή τους να υπόκεινται σε υποχρέωση καταβολής των εισαγωγικών δασμών· και</w:t>
      </w:r>
    </w:p>
    <w:p w14:paraId="688693D9" w14:textId="47161AE1" w:rsidR="00E0244C" w:rsidRPr="00483F7D" w:rsidRDefault="00BC60FC" w:rsidP="00BC60FC">
      <w:pPr>
        <w:pStyle w:val="Point1"/>
      </w:pPr>
      <w:r w:rsidRPr="00483F7D">
        <w:t>β)</w:t>
      </w:r>
      <w:r w:rsidRPr="00483F7D">
        <w:tab/>
      </w:r>
      <w:r w:rsidR="007A1FD7" w:rsidRPr="00483F7D">
        <w:t>έχει εκδοθεί ή συνταχθεί απόδειξη καταγωγής για τα εν λόγω προϊόντα.</w:t>
      </w:r>
    </w:p>
    <w:p w14:paraId="0DE2D76F" w14:textId="77777777" w:rsidR="00E0244C" w:rsidRPr="00483F7D" w:rsidRDefault="007A1FD7">
      <w:pPr>
        <w:pStyle w:val="ManualNumPar10"/>
      </w:pPr>
      <w:r w:rsidRPr="00483F7D">
        <w:t>2.</w:t>
      </w:r>
      <w:r w:rsidRPr="00483F7D">
        <w:tab/>
        <w:t>Ο εξαγωγέας υπολογίζει το ποσό του εισαγωγικού δασμού που αντιστοιχεί στην οφειλή σαν τα μη καταγόμενα εμπορεύματα που χρησιμοποιήθηκαν για την κατασκευή των εξαγόμενων προϊόντων να είχαν τεθεί σε ελεύθερη κυκλοφορία την ίδια ημερομηνία.</w:t>
      </w:r>
    </w:p>
    <w:p w14:paraId="526F6A81" w14:textId="77777777" w:rsidR="00E0244C" w:rsidRPr="00483F7D" w:rsidRDefault="007A1FD7">
      <w:pPr>
        <w:pStyle w:val="ManualNumPar10"/>
      </w:pPr>
      <w:r w:rsidRPr="00483F7D">
        <w:t>3.</w:t>
      </w:r>
      <w:r w:rsidRPr="00483F7D">
        <w:tab/>
        <w:t>Σε περίπτωση έμμεσης αντιπροσώπευσης, ο εξαγωγέας και το πρόσωπο για λογαριασμό του οποίου ενεργεί ο εξαγωγέας είναι αμφότεροι οφειλέτες και είναι εις ολόκληρον υπόχρεοι για την τελωνειακή οφειλή.</w:t>
      </w:r>
    </w:p>
    <w:p w14:paraId="1755C503" w14:textId="77777777" w:rsidR="00E0244C" w:rsidRPr="00483F7D" w:rsidRDefault="007A1FD7">
      <w:pPr>
        <w:pStyle w:val="Titrearticle"/>
      </w:pPr>
      <w:bookmarkStart w:id="155" w:name="__akn_article_jGjnqv"/>
      <w:bookmarkEnd w:id="155"/>
      <w:r w:rsidRPr="00483F7D">
        <w:t>Άρθρο 161</w:t>
      </w:r>
    </w:p>
    <w:p w14:paraId="5073B804" w14:textId="77777777" w:rsidR="00E0244C" w:rsidRPr="00483F7D" w:rsidRDefault="007A1FD7">
      <w:pPr>
        <w:pStyle w:val="NormalCentered"/>
      </w:pPr>
      <w:r w:rsidRPr="00483F7D">
        <w:rPr>
          <w:b/>
        </w:rPr>
        <w:t>Τελωνειακή οφειλή που γεννάται λόγω μη συμμόρφωσης</w:t>
      </w:r>
    </w:p>
    <w:p w14:paraId="02674693" w14:textId="77777777" w:rsidR="00E0244C" w:rsidRPr="00483F7D" w:rsidRDefault="007A1FD7">
      <w:pPr>
        <w:pStyle w:val="ManualNumPar10"/>
      </w:pPr>
      <w:bookmarkStart w:id="156" w:name="__akn_article_jGjnqv_jhDLdh"/>
      <w:bookmarkEnd w:id="156"/>
      <w:r w:rsidRPr="00483F7D">
        <w:t>1.</w:t>
      </w:r>
      <w:r w:rsidRPr="00483F7D">
        <w:tab/>
        <w:t>Για εμπορεύματα που υπόκεινται σε εισαγωγικό δασμό, τελωνειακή οφειλή κατά την εισαγωγή γεννάται λόγω μη συμμόρφωσης με οποιοδήποτε από τα ακόλουθα:</w:t>
      </w:r>
    </w:p>
    <w:p w14:paraId="4F0B3611" w14:textId="6AA815DB" w:rsidR="00E0244C" w:rsidRPr="00483F7D" w:rsidRDefault="00BC60FC" w:rsidP="00BC60FC">
      <w:pPr>
        <w:pStyle w:val="Point1"/>
      </w:pPr>
      <w:r w:rsidRPr="00483F7D">
        <w:t>α)</w:t>
      </w:r>
      <w:r w:rsidRPr="00483F7D">
        <w:tab/>
      </w:r>
      <w:r w:rsidR="007A1FD7" w:rsidRPr="00483F7D">
        <w:t>μία από τις υποχρεώσεις που καθορίζονται στην τελωνειακή νομοθεσία όσον αφορά την είσοδο μη ενωσιακών εμπορευμάτων στο τελωνειακό έδαφος της Ένωσης, την απομάκρυνσή τους από την τελωνειακή επιτήρηση ή τη διακίνηση, μεταποίηση, αποθήκευση, προσωρινή εναπόθεση, προσωρινή εισαγωγή ή διάθεση των εμπορευμάτων αυτών εντός του εν λόγω εδάφους·</w:t>
      </w:r>
    </w:p>
    <w:p w14:paraId="7C25FAA6" w14:textId="78FEB67D" w:rsidR="00E0244C" w:rsidRPr="00483F7D" w:rsidRDefault="00BC60FC" w:rsidP="00BC60FC">
      <w:pPr>
        <w:pStyle w:val="Point1"/>
      </w:pPr>
      <w:r w:rsidRPr="00483F7D">
        <w:t>β)</w:t>
      </w:r>
      <w:r w:rsidRPr="00483F7D">
        <w:tab/>
      </w:r>
      <w:r w:rsidR="007A1FD7" w:rsidRPr="00483F7D">
        <w:t>μία από τις υποχρεώσεις που ορίζονται στην τελωνειακή νομοθεσία σχετικά με τον ειδικό προορισμό εμπορευμάτων εντός του τελωνειακού εδάφους της Ένωσης·</w:t>
      </w:r>
    </w:p>
    <w:p w14:paraId="580DA64B" w14:textId="2C134715" w:rsidR="00E0244C" w:rsidRPr="00483F7D" w:rsidRDefault="00BC60FC" w:rsidP="00BC60FC">
      <w:pPr>
        <w:pStyle w:val="Point1"/>
      </w:pPr>
      <w:r w:rsidRPr="00483F7D">
        <w:t>γ)</w:t>
      </w:r>
      <w:r w:rsidRPr="00483F7D">
        <w:tab/>
      </w:r>
      <w:r w:rsidR="007A1FD7" w:rsidRPr="00483F7D">
        <w:t>όρο που διέπει την υπαγωγή μη ενωσιακών εμπορευμάτων σε τελωνειακό καθεστώς ή τη χορήγηση, λόγω του ειδικού προορισμού των εμπορευμάτων, δασμολογικής απαλλαγής ή μειωμένου συντελεστή εισαγωγικού δασμού.</w:t>
      </w:r>
    </w:p>
    <w:p w14:paraId="1EB16BFB" w14:textId="77777777" w:rsidR="00E0244C" w:rsidRPr="00483F7D" w:rsidRDefault="007A1FD7">
      <w:pPr>
        <w:pStyle w:val="ManualNumPar10"/>
      </w:pPr>
      <w:r w:rsidRPr="00483F7D">
        <w:t>2.</w:t>
      </w:r>
      <w:r w:rsidRPr="00483F7D">
        <w:tab/>
        <w:t>Η στιγμή γένεσης της τελωνειακής οφειλής είναι μία από τις ακόλουθες:</w:t>
      </w:r>
    </w:p>
    <w:p w14:paraId="178842C5" w14:textId="607BED7F" w:rsidR="00E0244C" w:rsidRPr="00483F7D" w:rsidRDefault="00BC60FC" w:rsidP="00BC60FC">
      <w:pPr>
        <w:pStyle w:val="Point1"/>
      </w:pPr>
      <w:r w:rsidRPr="00483F7D">
        <w:t>α)</w:t>
      </w:r>
      <w:r w:rsidRPr="00483F7D">
        <w:tab/>
      </w:r>
      <w:r w:rsidR="007A1FD7" w:rsidRPr="00483F7D">
        <w:t>η στιγμή κατά την οποία δεν τηρείται ή παύει να τηρείται υποχρέωση, η μη εκπλήρωση της οποίας συνεπάγεται τη γένεση τελωνειακής οφειλής·</w:t>
      </w:r>
    </w:p>
    <w:p w14:paraId="61763716" w14:textId="6260B519" w:rsidR="00E0244C" w:rsidRPr="00483F7D" w:rsidRDefault="00BC60FC" w:rsidP="00BC60FC">
      <w:pPr>
        <w:pStyle w:val="Point1"/>
      </w:pPr>
      <w:r w:rsidRPr="00483F7D">
        <w:t>β)</w:t>
      </w:r>
      <w:r w:rsidRPr="00483F7D">
        <w:tab/>
      </w:r>
      <w:r w:rsidR="007A1FD7" w:rsidRPr="00483F7D">
        <w:t>ο χρόνος κατά τον οποίο εμπορεύματα υπάγονται σε τελωνειακό καθεστώς, στην περίπτωση που διαπιστώνεται στη συνέχεια ότι ένας όρος που διέπει την υπαγωγή των εμπορευμάτων στο εν λόγω καθεστώς ή τη χορήγηση δασμολογικής απαλλαγής ή μειωμένου συντελεστή εισαγωγικού δασμού λόγω του ειδικού προορισμού των εμπορευμάτων στην πραγματικότητα δεν είχε τηρηθεί.</w:t>
      </w:r>
    </w:p>
    <w:p w14:paraId="0F2C37B0" w14:textId="77777777" w:rsidR="00E0244C" w:rsidRPr="00483F7D" w:rsidRDefault="007A1FD7">
      <w:pPr>
        <w:pStyle w:val="ManualNumPar10"/>
      </w:pPr>
      <w:r w:rsidRPr="00483F7D">
        <w:t>3.</w:t>
      </w:r>
      <w:r w:rsidRPr="00483F7D">
        <w:tab/>
        <w:t>Στις περιπτώσεις που αναφέρονται στην παράγραφο 1 στοιχεία α) και β), οφειλέτης είναι οποιοδήποτε από τα ακόλουθα πρόσωπα:</w:t>
      </w:r>
    </w:p>
    <w:p w14:paraId="2E61159C" w14:textId="07420748" w:rsidR="00E0244C" w:rsidRPr="00483F7D" w:rsidRDefault="00BC60FC" w:rsidP="00BC60FC">
      <w:pPr>
        <w:pStyle w:val="Point1"/>
      </w:pPr>
      <w:r w:rsidRPr="00483F7D">
        <w:t>α)</w:t>
      </w:r>
      <w:r w:rsidRPr="00483F7D">
        <w:tab/>
      </w:r>
      <w:r w:rsidR="007A1FD7" w:rsidRPr="00483F7D">
        <w:t>πρόσωπο που όφειλε να τηρήσει τις συγκεκριμένες υποχρεώσεις·</w:t>
      </w:r>
    </w:p>
    <w:p w14:paraId="5D86BDC3" w14:textId="584E4281" w:rsidR="00E0244C" w:rsidRPr="00483F7D" w:rsidRDefault="00BC60FC" w:rsidP="00BC60FC">
      <w:pPr>
        <w:pStyle w:val="Point1"/>
      </w:pPr>
      <w:r w:rsidRPr="00483F7D">
        <w:t>β)</w:t>
      </w:r>
      <w:r w:rsidRPr="00483F7D">
        <w:tab/>
      </w:r>
      <w:r w:rsidR="007A1FD7" w:rsidRPr="00483F7D">
        <w:t>πρόσωπο που γνώριζε ή όφειλε ευλόγως να γνωρίζει ότι δεν τηρήθηκε υποχρέωση η οποία προβλέπεται από την τελωνειακή νομοθεσία και που ενήργησε για λογαριασμό του προσώπου το οποίο όφειλε να τηρήσει την υποχρέωση ή που έλαβε μέρος στην πράξη η οποία οδήγησε στη μη τήρηση της υποχρέωσης·</w:t>
      </w:r>
    </w:p>
    <w:p w14:paraId="152AD59B" w14:textId="465C4B2F" w:rsidR="00E0244C" w:rsidRPr="00483F7D" w:rsidRDefault="00BC60FC" w:rsidP="00BC60FC">
      <w:pPr>
        <w:pStyle w:val="Point1"/>
      </w:pPr>
      <w:r w:rsidRPr="00483F7D">
        <w:t>γ)</w:t>
      </w:r>
      <w:r w:rsidRPr="00483F7D">
        <w:tab/>
      </w:r>
      <w:r w:rsidR="007A1FD7" w:rsidRPr="00483F7D">
        <w:t>πρόσωπο που απέκτησε ή κατείχε τα εν λόγω εμπορεύματα και το οποίο γνώριζε ή όφειλε ευλόγως να γνωρίζει, τη στιγμή της απόκτησης ή παραλαβής των εμπορευμάτων, ότι δεν είχε τηρηθεί υποχρέωση που προβλέπεται από την τελωνειακή νομοθεσία.</w:t>
      </w:r>
    </w:p>
    <w:p w14:paraId="27516723" w14:textId="77777777" w:rsidR="00E0244C" w:rsidRPr="00483F7D" w:rsidRDefault="007A1FD7">
      <w:pPr>
        <w:pStyle w:val="ManualNumPar10"/>
      </w:pPr>
      <w:r w:rsidRPr="00483F7D">
        <w:t>4.</w:t>
      </w:r>
      <w:r w:rsidRPr="00483F7D">
        <w:tab/>
        <w:t>Στις περιπτώσεις που αναφέρονται στην παράγραφο 1 στοιχείο γ), ο οφειλέτης είναι το πρόσωπο που οφείλει να τηρεί τους όρους οι οποίοι διέπουν την υπαγωγή των εμπορευμάτων σε τελωνειακό καθεστώς ή τη χορήγηση δασμολογικής απαλλαγής ή μειωμένου συντελεστή εισαγωγικού δασμού λόγω του ειδικού προορισμού των εμπορευμάτων.</w:t>
      </w:r>
    </w:p>
    <w:p w14:paraId="78EE7CA8" w14:textId="77777777" w:rsidR="00E0244C" w:rsidRPr="00483F7D" w:rsidRDefault="007A1FD7">
      <w:pPr>
        <w:pStyle w:val="Text1"/>
      </w:pPr>
      <w:r w:rsidRPr="00483F7D">
        <w:t>Όταν παρέχονται στις τελωνειακές αρχές πληροφορίες οι οποίες απαιτούνται από την τελωνειακή νομοθεσία σχετικά με τους όρους που διέπουν την υπαγωγή των εμπορευμάτων στο εν λόγω τελωνειακό καθεστώς, και οι πληροφορίες αυτές έχουν ως αποτέλεσμα να μην εισπραχθεί το σύνολο ή μέρος του εισαγωγικού δασμού, οφειλέτης είναι επίσης το πρόσωπο που παρείχε τις πληροφορίες αυτές και γνώριζε, ή όφειλε ευλόγως να γνωρίζει, ότι οι εν λόγω πληροφορίες ήταν εσφαλμένες.</w:t>
      </w:r>
    </w:p>
    <w:p w14:paraId="70313C27" w14:textId="77777777" w:rsidR="00E0244C" w:rsidRPr="00483F7D" w:rsidRDefault="007A1FD7">
      <w:pPr>
        <w:pStyle w:val="Titrearticle"/>
      </w:pPr>
      <w:r w:rsidRPr="00483F7D">
        <w:t>Άρθρο 162</w:t>
      </w:r>
    </w:p>
    <w:p w14:paraId="2BDD9F94" w14:textId="77777777" w:rsidR="00E0244C" w:rsidRPr="00483F7D" w:rsidRDefault="007A1FD7">
      <w:pPr>
        <w:pStyle w:val="NormalCentered"/>
      </w:pPr>
      <w:r w:rsidRPr="00483F7D">
        <w:rPr>
          <w:b/>
        </w:rPr>
        <w:t>Έκπτωση ποσού ήδη καταβληθέντος εισαγωγικού δασμού</w:t>
      </w:r>
    </w:p>
    <w:p w14:paraId="703FAA88" w14:textId="77777777" w:rsidR="00E0244C" w:rsidRPr="00483F7D" w:rsidRDefault="007A1FD7">
      <w:pPr>
        <w:pStyle w:val="ManualNumPar10"/>
      </w:pPr>
      <w:r w:rsidRPr="00483F7D">
        <w:t>1.</w:t>
      </w:r>
      <w:r w:rsidRPr="00483F7D">
        <w:tab/>
        <w:t xml:space="preserve">Όταν, σύμφωνα με το άρθρο 161 παράγραφος </w:t>
      </w:r>
      <w:hyperlink w:anchor="__akn_article_jGjnqv_jhDLdh" w:tooltip="Article 161(1): (1)">
        <w:r w:rsidRPr="00483F7D">
          <w:rPr>
            <w:rStyle w:val="Hyperlink"/>
          </w:rPr>
          <w:t>1</w:t>
        </w:r>
      </w:hyperlink>
      <w:r w:rsidRPr="00483F7D">
        <w:t>, γεννάται τελωνειακή οφειλή για εμπορεύματα που έχουν τεθεί σε ελεύθερη κυκλοφορία με μειωμένο εισαγωγικό δασμό λόγω του ειδικού προορισμού τους, το ποσό του εισαγωγικού δασμού που καταβάλλεται τη στιγμή της θέσης των εμπορευμάτων σε ελεύθερη κυκλοφορία αφαιρείται από το ποσό του εισαγωγικού δασμού που αντιστοιχεί στην τελωνειακή οφειλή.</w:t>
      </w:r>
    </w:p>
    <w:p w14:paraId="557E2555" w14:textId="77777777" w:rsidR="00E0244C" w:rsidRPr="00483F7D" w:rsidRDefault="007A1FD7">
      <w:pPr>
        <w:pStyle w:val="Text1"/>
      </w:pPr>
      <w:r w:rsidRPr="00483F7D">
        <w:t>Το πρώτο εδάφιο εφαρμόζεται όταν γεννάται τελωνειακή οφειλή για απορρίμματα και θραύσματα που προκύπτουν από την καταστροφή των εν λόγω εμπορευμάτων.</w:t>
      </w:r>
    </w:p>
    <w:p w14:paraId="636B0684" w14:textId="77777777" w:rsidR="00E0244C" w:rsidRPr="00483F7D" w:rsidRDefault="007A1FD7">
      <w:pPr>
        <w:pStyle w:val="ManualNumPar10"/>
      </w:pPr>
      <w:r w:rsidRPr="00483F7D">
        <w:t>2.</w:t>
      </w:r>
      <w:r w:rsidRPr="00483F7D">
        <w:tab/>
        <w:t xml:space="preserve">Όταν, σύμφωνα με το άρθρο 159 παράγραφος </w:t>
      </w:r>
      <w:hyperlink w:anchor="__akn_article_OrdkOK_mUEb45" w:tooltip="Article 159(1): (1)">
        <w:r w:rsidRPr="00483F7D">
          <w:rPr>
            <w:rStyle w:val="Hyperlink"/>
          </w:rPr>
          <w:t>1</w:t>
        </w:r>
      </w:hyperlink>
      <w:r w:rsidRPr="00483F7D">
        <w:t xml:space="preserve"> ή το άρθρο 161 παράγραφος </w:t>
      </w:r>
      <w:hyperlink w:anchor="__akn_article_jGjnqv_jhDLdh" w:tooltip="Article 161(1): (1)">
        <w:r w:rsidRPr="00483F7D">
          <w:rPr>
            <w:rStyle w:val="Hyperlink"/>
          </w:rPr>
          <w:t>1</w:t>
        </w:r>
      </w:hyperlink>
      <w:r w:rsidRPr="00483F7D">
        <w:t>, γεννάται τελωνειακή οφειλή για εμπορεύματα που υπάγονται σε καθεστώς προσωρινής εισαγωγής με μερική απαλλαγή από τον εισαγωγικό δασμό, το ποσό του εισαγωγικού δασμού που καταβάλλεται δυνάμει της μερικής απαλλαγής αφαιρείται από το ποσό του εισαγωγικού δασμού που αντιστοιχεί στην τελωνειακή οφειλή.</w:t>
      </w:r>
    </w:p>
    <w:p w14:paraId="1BE5F196" w14:textId="77777777" w:rsidR="00E0244C" w:rsidRPr="00483F7D" w:rsidRDefault="007A1FD7">
      <w:pPr>
        <w:pStyle w:val="SectionTitle"/>
      </w:pPr>
      <w:r w:rsidRPr="00483F7D">
        <w:t xml:space="preserve">Τμήμα 2 </w:t>
      </w:r>
      <w:r w:rsidRPr="00483F7D">
        <w:br/>
        <w:t>Τελωνειακή οφειλή κατά την εξαγωγή</w:t>
      </w:r>
    </w:p>
    <w:p w14:paraId="5F71D617" w14:textId="77777777" w:rsidR="00E0244C" w:rsidRPr="00483F7D" w:rsidRDefault="007A1FD7">
      <w:pPr>
        <w:pStyle w:val="Titrearticle"/>
      </w:pPr>
      <w:r w:rsidRPr="00483F7D">
        <w:t>Άρθρο 163</w:t>
      </w:r>
    </w:p>
    <w:p w14:paraId="2D2F1EF3" w14:textId="77777777" w:rsidR="00E0244C" w:rsidRPr="00483F7D" w:rsidRDefault="007A1FD7">
      <w:pPr>
        <w:pStyle w:val="NormalCentered"/>
      </w:pPr>
      <w:r w:rsidRPr="00483F7D">
        <w:rPr>
          <w:b/>
        </w:rPr>
        <w:t>Εξαγωγή και τελειοποίηση προς επανεισαγωγή</w:t>
      </w:r>
    </w:p>
    <w:p w14:paraId="03C32E04" w14:textId="77777777" w:rsidR="00E0244C" w:rsidRPr="00483F7D" w:rsidRDefault="007A1FD7">
      <w:pPr>
        <w:pStyle w:val="ManualNumPar10"/>
      </w:pPr>
      <w:r w:rsidRPr="00483F7D">
        <w:t>1.</w:t>
      </w:r>
      <w:r w:rsidRPr="00483F7D">
        <w:tab/>
        <w:t xml:space="preserve">Σε βάρος του εξαγωγέα γεννάται τελωνειακή οφειλή κατά την παράδοση των εμπορευμάτων που υπόκεινται σε εξαγωγικό δασμό στο πλαίσιο του καθεστώτος εξαγωγής ή του καθεστώτος τελειοποίησης προς επανεισαγωγή. </w:t>
      </w:r>
    </w:p>
    <w:p w14:paraId="71C90BD8" w14:textId="77777777" w:rsidR="00E0244C" w:rsidRPr="00483F7D" w:rsidRDefault="007A1FD7">
      <w:pPr>
        <w:pStyle w:val="ManualNumPar10"/>
      </w:pPr>
      <w:r w:rsidRPr="00483F7D">
        <w:t>2.</w:t>
      </w:r>
      <w:r w:rsidRPr="00483F7D">
        <w:tab/>
        <w:t>Οφειλέτης είναι ο εξαγωγέας. Σε περίπτωση έμμεσης αντιπροσώπευσης, ο εξαγωγέας και το πρόσωπο για λογαριασμό του οποίου ενεργεί ο εξαγωγέας είναι αμφότεροι οφειλέτες και είναι εις ολόκληρον υπόχρεοι για την τελωνειακή οφειλή.</w:t>
      </w:r>
    </w:p>
    <w:p w14:paraId="48D846BE" w14:textId="77777777" w:rsidR="00E0244C" w:rsidRPr="00483F7D" w:rsidRDefault="007A1FD7">
      <w:pPr>
        <w:pStyle w:val="ManualNumPar10"/>
      </w:pPr>
      <w:r w:rsidRPr="00483F7D">
        <w:t>3.</w:t>
      </w:r>
      <w:r w:rsidRPr="00483F7D">
        <w:tab/>
        <w:t>Όταν οι πληροφορίες που παρέχονται για την υπαγωγή των εμπορευμάτων στο καθεστώς εξαγωγής έχουν ως αποτέλεσμα να μην εισπραχθεί το σύνολο ή μέρος του εξαγωγικού δασμού, οφειλέτης είναι επίσης το πρόσωπο που παρείχε τις πληροφορίες και γνώριζε, ή όφειλε ευλόγως να γνωρίζει, ότι οι εν λόγω πληροφορίες ήταν εσφαλμένες.</w:t>
      </w:r>
    </w:p>
    <w:p w14:paraId="2C1EC8CE" w14:textId="77777777" w:rsidR="00E0244C" w:rsidRPr="00483F7D" w:rsidRDefault="007A1FD7">
      <w:pPr>
        <w:pStyle w:val="Titrearticle"/>
      </w:pPr>
      <w:bookmarkStart w:id="157" w:name="__akn_article_puQ6TX"/>
      <w:bookmarkEnd w:id="157"/>
      <w:r w:rsidRPr="00483F7D">
        <w:t>Άρθρο 164</w:t>
      </w:r>
    </w:p>
    <w:p w14:paraId="340A6240" w14:textId="77777777" w:rsidR="00E0244C" w:rsidRPr="00483F7D" w:rsidRDefault="007A1FD7">
      <w:pPr>
        <w:pStyle w:val="NormalCentered"/>
      </w:pPr>
      <w:r w:rsidRPr="00483F7D">
        <w:rPr>
          <w:b/>
        </w:rPr>
        <w:t>Τελωνειακή οφειλή που γεννάται λόγω μη συμμόρφωσης</w:t>
      </w:r>
    </w:p>
    <w:p w14:paraId="0D67FBCF" w14:textId="77777777" w:rsidR="00E0244C" w:rsidRPr="00483F7D" w:rsidRDefault="007A1FD7">
      <w:pPr>
        <w:pStyle w:val="ManualNumPar10"/>
      </w:pPr>
      <w:r w:rsidRPr="00483F7D">
        <w:t>1.</w:t>
      </w:r>
      <w:r w:rsidRPr="00483F7D">
        <w:tab/>
        <w:t>Για εμπορεύματα που υπόκεινται σε εξαγωγικό δασμό, τελωνειακή οφειλή κατά την εξαγωγή γεννάται λόγω μη συμμόρφωσης με οποιοδήποτε από τα ακόλουθα:</w:t>
      </w:r>
    </w:p>
    <w:p w14:paraId="6933DD68" w14:textId="69E73B94" w:rsidR="00E0244C" w:rsidRPr="00483F7D" w:rsidRDefault="00BC60FC" w:rsidP="00BC60FC">
      <w:pPr>
        <w:pStyle w:val="Point1"/>
      </w:pPr>
      <w:r w:rsidRPr="00483F7D">
        <w:t>α)</w:t>
      </w:r>
      <w:r w:rsidRPr="00483F7D">
        <w:tab/>
      </w:r>
      <w:r w:rsidR="007A1FD7" w:rsidRPr="00483F7D">
        <w:t>μία από τις υποχρεώσεις που καθορίζονται στην τελωνειακή νομοθεσία για την έξοδο των εμπορευμάτων·</w:t>
      </w:r>
    </w:p>
    <w:p w14:paraId="05C1DB3E" w14:textId="543D66D9" w:rsidR="00E0244C" w:rsidRPr="00483F7D" w:rsidRDefault="00BC60FC" w:rsidP="00BC60FC">
      <w:pPr>
        <w:pStyle w:val="Point1"/>
      </w:pPr>
      <w:r w:rsidRPr="00483F7D">
        <w:t>β)</w:t>
      </w:r>
      <w:r w:rsidRPr="00483F7D">
        <w:tab/>
      </w:r>
      <w:r w:rsidR="007A1FD7" w:rsidRPr="00483F7D">
        <w:t>τους όρους βάσει των οποίων επιτράπηκε η μεταφορά των εμπορευμάτων εκτός του τελωνειακού εδάφους της Ένωσης με ολική ή μερική απαλλαγή από τον εξαγωγικό δασμό.</w:t>
      </w:r>
    </w:p>
    <w:p w14:paraId="790481AF" w14:textId="77777777" w:rsidR="00E0244C" w:rsidRPr="00483F7D" w:rsidRDefault="007A1FD7">
      <w:pPr>
        <w:pStyle w:val="ManualNumPar10"/>
      </w:pPr>
      <w:r w:rsidRPr="00483F7D">
        <w:t>2.</w:t>
      </w:r>
      <w:r w:rsidRPr="00483F7D">
        <w:tab/>
        <w:t>Η στιγμή γένεσης της τελωνειακής οφειλής είναι μία από τις ακόλουθες:</w:t>
      </w:r>
    </w:p>
    <w:p w14:paraId="3CEFFE33" w14:textId="54DD8A46" w:rsidR="0044368A" w:rsidRPr="00483F7D" w:rsidRDefault="00BC60FC" w:rsidP="00BC60FC">
      <w:pPr>
        <w:pStyle w:val="Point1"/>
      </w:pPr>
      <w:r w:rsidRPr="00483F7D">
        <w:t>α)</w:t>
      </w:r>
      <w:r w:rsidRPr="00483F7D">
        <w:tab/>
      </w:r>
      <w:r w:rsidR="007A1FD7" w:rsidRPr="00483F7D">
        <w:t>η στιγμή της πραγματικής μεταφοράς των εμπορευμάτων εκτός του τελωνειακού εδάφους της Ένωσης χωρίς την παροχή πληροφοριών στις τελωνειακές αρχές σχετικά με την εξαγωγή αυτή·</w:t>
      </w:r>
    </w:p>
    <w:p w14:paraId="5DF7CC75" w14:textId="2980C677" w:rsidR="00E0244C" w:rsidRPr="00483F7D" w:rsidRDefault="00BC60FC" w:rsidP="00BC60FC">
      <w:pPr>
        <w:pStyle w:val="Point1"/>
      </w:pPr>
      <w:r w:rsidRPr="00483F7D">
        <w:t>β)</w:t>
      </w:r>
      <w:r w:rsidRPr="00483F7D">
        <w:tab/>
      </w:r>
      <w:r w:rsidR="007A1FD7" w:rsidRPr="00483F7D">
        <w:t>η στιγμή άφιξης των εμπορευμάτων σε προορισμό άλλον από εκείνον για τον οποίο επιτράπηκε η μεταφορά τους εκτός του τελωνειακού εδάφους της Ένωσης με ολική ή μερική απαλλαγή από τον εξαγωγικό δασμό·</w:t>
      </w:r>
    </w:p>
    <w:p w14:paraId="066B8DDB" w14:textId="685E883B" w:rsidR="00E0244C" w:rsidRPr="00483F7D" w:rsidRDefault="00BC60FC" w:rsidP="00BC60FC">
      <w:pPr>
        <w:pStyle w:val="Point1"/>
      </w:pPr>
      <w:r w:rsidRPr="00483F7D">
        <w:t>γ)</w:t>
      </w:r>
      <w:r w:rsidRPr="00483F7D">
        <w:tab/>
      </w:r>
      <w:r w:rsidR="007A1FD7" w:rsidRPr="00483F7D">
        <w:t>η λήξη της προθεσμίας που έχει καθοριστεί για την προσκόμιση αποδεικτικών στοιχείων που βεβαιώνουν ότι τηρήθηκαν οι προβλεπόμενοι όροι για την παροχή της απαλλαγής αυτής για τα εμπορεύματα, εφόσον οι τελωνειακές αρχές δεν μπορούν να προσδιορίσουν τη στιγμή που αναφέρεται στο στοιχείο β).</w:t>
      </w:r>
    </w:p>
    <w:p w14:paraId="672DCCDE" w14:textId="77777777" w:rsidR="00E0244C" w:rsidRPr="00483F7D" w:rsidRDefault="007A1FD7">
      <w:pPr>
        <w:pStyle w:val="ManualNumPar10"/>
      </w:pPr>
      <w:r w:rsidRPr="00483F7D">
        <w:t>3.</w:t>
      </w:r>
      <w:r w:rsidRPr="00483F7D">
        <w:tab/>
        <w:t>Στις περιπτώσεις που αναφέρονται στην παράγραφο 1 στοιχείο α), οφειλέτης είναι οποιοδήποτε από τα ακόλουθα πρόσωπα:</w:t>
      </w:r>
    </w:p>
    <w:p w14:paraId="63195755" w14:textId="23BFD6F5" w:rsidR="00E0244C" w:rsidRPr="00483F7D" w:rsidRDefault="00BC60FC" w:rsidP="00BC60FC">
      <w:pPr>
        <w:pStyle w:val="Point1"/>
      </w:pPr>
      <w:r w:rsidRPr="00483F7D">
        <w:t>α)</w:t>
      </w:r>
      <w:r w:rsidRPr="00483F7D">
        <w:tab/>
      </w:r>
      <w:r w:rsidR="007A1FD7" w:rsidRPr="00483F7D">
        <w:t>πρόσωπο που όφειλε να τηρήσει τη συγκεκριμένη υποχρέωση,</w:t>
      </w:r>
    </w:p>
    <w:p w14:paraId="5E384D4A" w14:textId="0B4A6EE7" w:rsidR="00E0244C" w:rsidRPr="00483F7D" w:rsidRDefault="00BC60FC" w:rsidP="00BC60FC">
      <w:pPr>
        <w:pStyle w:val="Point1"/>
      </w:pPr>
      <w:r w:rsidRPr="00483F7D">
        <w:t>β)</w:t>
      </w:r>
      <w:r w:rsidRPr="00483F7D">
        <w:tab/>
      </w:r>
      <w:r w:rsidR="007A1FD7" w:rsidRPr="00483F7D">
        <w:t>πρόσωπο που γνώριζε ή όφειλε ευλόγως να γνωρίζει ότι δεν τηρήθηκε η συγκεκριμένη υποχρέωση και που ενήργησε για λογαριασμό του προσώπου που ήταν υποχρεωμένο να τηρήσει την υποχρέωση,</w:t>
      </w:r>
    </w:p>
    <w:p w14:paraId="30FA01ED" w14:textId="426B7496" w:rsidR="00E0244C" w:rsidRPr="00483F7D" w:rsidRDefault="00BC60FC" w:rsidP="00BC60FC">
      <w:pPr>
        <w:pStyle w:val="Point1"/>
      </w:pPr>
      <w:r w:rsidRPr="00483F7D">
        <w:t>γ)</w:t>
      </w:r>
      <w:r w:rsidRPr="00483F7D">
        <w:tab/>
      </w:r>
      <w:r w:rsidR="007A1FD7" w:rsidRPr="00483F7D">
        <w:t>πρόσωπο που έλαβε μέρος στην πράξη η οποία οδήγησε στη μη τήρηση της υποχρέωσης και το οποίο γνώριζε, ή όφειλε ευλόγως να γνωρίζει, ότι δεν είχαν παρασχεθεί οι απαιτούμενες πληροφορίες ή, κατά περίπτωση, δεν είχε υποβληθεί τελωνειακή διασάφηση, ενώ έπρεπε να είχε υποβληθεί.</w:t>
      </w:r>
    </w:p>
    <w:p w14:paraId="0228A61C" w14:textId="77777777" w:rsidR="00E0244C" w:rsidRPr="00483F7D" w:rsidRDefault="007A1FD7">
      <w:pPr>
        <w:pStyle w:val="ManualNumPar10"/>
      </w:pPr>
      <w:r w:rsidRPr="00483F7D">
        <w:t>4.</w:t>
      </w:r>
      <w:r w:rsidRPr="00483F7D">
        <w:tab/>
        <w:t>Στις περιπτώσεις που αναφέρονται στην παράγραφο 1 στοιχείο β), ο οφειλέτης είναι οποιοδήποτε πρόσωπο οφείλει να τηρεί τους όρους υπό τους οποίους επιτράπηκε η μεταφορά των εμπορευμάτων εκτός του τελωνειακού εδάφους της Ένωσης με ολική ή μερική απαλλαγή από τον εξαγωγικό δασμό.</w:t>
      </w:r>
    </w:p>
    <w:p w14:paraId="6C793ECF" w14:textId="77777777" w:rsidR="00E0244C" w:rsidRPr="00483F7D" w:rsidRDefault="007A1FD7">
      <w:pPr>
        <w:pStyle w:val="SectionTitle"/>
      </w:pPr>
      <w:r w:rsidRPr="00483F7D">
        <w:t xml:space="preserve">Τμήμα 3 </w:t>
      </w:r>
      <w:r w:rsidRPr="00483F7D">
        <w:br/>
        <w:t>Κοινές διατάξεις για την τελωνειακή οφειλή που γεννάται κατά την εισαγωγή και την εξαγωγή</w:t>
      </w:r>
    </w:p>
    <w:p w14:paraId="026B85B7" w14:textId="77777777" w:rsidR="00E0244C" w:rsidRPr="00483F7D" w:rsidRDefault="007A1FD7">
      <w:pPr>
        <w:pStyle w:val="Titrearticle"/>
      </w:pPr>
      <w:r w:rsidRPr="00483F7D">
        <w:t>Άρθρο 165</w:t>
      </w:r>
    </w:p>
    <w:p w14:paraId="71F560EB" w14:textId="77777777" w:rsidR="00E0244C" w:rsidRPr="00483F7D" w:rsidRDefault="007A1FD7">
      <w:pPr>
        <w:pStyle w:val="NormalCentered"/>
      </w:pPr>
      <w:r w:rsidRPr="00483F7D">
        <w:rPr>
          <w:b/>
        </w:rPr>
        <w:t>Τελωνειακή οφειλή σε περίπτωση απαγορεύσεων και περιορισμών</w:t>
      </w:r>
    </w:p>
    <w:p w14:paraId="6D94145A" w14:textId="77777777" w:rsidR="00E0244C" w:rsidRPr="00483F7D" w:rsidRDefault="007A1FD7">
      <w:pPr>
        <w:pStyle w:val="ManualNumPar10"/>
      </w:pPr>
      <w:r w:rsidRPr="00483F7D">
        <w:t>1.</w:t>
      </w:r>
      <w:r w:rsidRPr="00483F7D">
        <w:tab/>
        <w:t>Η τελωνειακή οφειλή κατά την εισαγωγή ή την εξαγωγή γεννάται ακόμη και αν αφορά εμπορεύματα που υπόκεινται σε λοιπή νομοθεσία που εφαρμόζεται από τις τελωνειακές αρχές κατά την εισαγωγή ή την εξαγωγή οποιουδήποτε είδους.</w:t>
      </w:r>
    </w:p>
    <w:p w14:paraId="64DDB0B6" w14:textId="77777777" w:rsidR="00E0244C" w:rsidRPr="00483F7D" w:rsidRDefault="007A1FD7">
      <w:pPr>
        <w:pStyle w:val="ManualNumPar10"/>
      </w:pPr>
      <w:r w:rsidRPr="00483F7D">
        <w:t>2.</w:t>
      </w:r>
      <w:r w:rsidRPr="00483F7D">
        <w:tab/>
        <w:t>Ωστόσο, δεν γεννάται τελωνειακή οφειλή στις ακόλουθες περιπτώσεις:</w:t>
      </w:r>
    </w:p>
    <w:p w14:paraId="27D1253D" w14:textId="05744470" w:rsidR="00E0244C" w:rsidRPr="00483F7D" w:rsidRDefault="00BC60FC" w:rsidP="00BC60FC">
      <w:pPr>
        <w:pStyle w:val="Point1"/>
      </w:pPr>
      <w:r w:rsidRPr="00483F7D">
        <w:t>α)</w:t>
      </w:r>
      <w:r w:rsidRPr="00483F7D">
        <w:tab/>
      </w:r>
      <w:r w:rsidR="007A1FD7" w:rsidRPr="00483F7D">
        <w:t>κατά την παράνομη είσοδο πλαστού χρήματος στο τελωνειακό έδαφος της Ένωσης·</w:t>
      </w:r>
    </w:p>
    <w:p w14:paraId="1D8E56F3" w14:textId="2D7AF53E" w:rsidR="00E0244C" w:rsidRPr="00483F7D" w:rsidRDefault="00BC60FC" w:rsidP="00BC60FC">
      <w:pPr>
        <w:pStyle w:val="Point1"/>
      </w:pPr>
      <w:r w:rsidRPr="00483F7D">
        <w:t>β)</w:t>
      </w:r>
      <w:r w:rsidRPr="00483F7D">
        <w:tab/>
      </w:r>
      <w:r w:rsidR="007A1FD7" w:rsidRPr="00483F7D">
        <w:t>κατά την είσοδο στο τελωνειακό έδαφος της Ένωσης ναρκωτικών και ψυχοτρόπων ουσιών που δεν εμπίπτουν στις αυστηρά εποπτευόμενες από τις αρμόδιες αρχές ουσίες με σκοπό τη χρήση τους για ιατρικούς και επιστημονικούς σκοπούς.</w:t>
      </w:r>
    </w:p>
    <w:p w14:paraId="78AA6E2F" w14:textId="77777777" w:rsidR="00E0244C" w:rsidRPr="00483F7D" w:rsidRDefault="007A1FD7">
      <w:pPr>
        <w:pStyle w:val="ManualNumPar10"/>
      </w:pPr>
      <w:r w:rsidRPr="00483F7D">
        <w:t>3.</w:t>
      </w:r>
      <w:r w:rsidRPr="00483F7D">
        <w:tab/>
        <w:t>Για τους σκοπούς, ωστόσο, των εφαρμοστέων στις τελωνειακές παραβάσεις κυρώσεων, η τελωνειακή οφειλή θεωρείται ότι γεννάται όταν, σύμφωνα με τον παρόντα κανονισμό ή σύμφωνα με το δίκαιο κράτους μέλους, ο εισαγωγικός ή εξαγωγικός δασμός ή η ύπαρξη τελωνειακής οφειλής αποτελούν τη βάση για τον καθορισμό κυρώσεων.</w:t>
      </w:r>
    </w:p>
    <w:p w14:paraId="3D51ECF9" w14:textId="77777777" w:rsidR="00E0244C" w:rsidRPr="00483F7D" w:rsidRDefault="007A1FD7">
      <w:pPr>
        <w:pStyle w:val="Titrearticle"/>
      </w:pPr>
      <w:r w:rsidRPr="00483F7D">
        <w:t>Άρθρο 166</w:t>
      </w:r>
    </w:p>
    <w:p w14:paraId="0AFCD584" w14:textId="77777777" w:rsidR="00E0244C" w:rsidRPr="00483F7D" w:rsidRDefault="007A1FD7">
      <w:pPr>
        <w:pStyle w:val="NormalCentered"/>
      </w:pPr>
      <w:r w:rsidRPr="00483F7D">
        <w:rPr>
          <w:b/>
        </w:rPr>
        <w:t>Περισσότεροι του ενός οφειλέτες</w:t>
      </w:r>
    </w:p>
    <w:p w14:paraId="2097E041" w14:textId="77777777" w:rsidR="00E0244C" w:rsidRPr="00483F7D" w:rsidRDefault="007A1FD7">
      <w:r w:rsidRPr="00483F7D">
        <w:t>Σε περίπτωση που περισσότερα του ενός πρόσωπα οφείλουν την καταβολή του ποσού του εισαγωγικού ή εξαγωγικού δασμού που αντιστοιχεί σε μία τελωνειακή οφειλή, τα πρόσωπα αυτά είναι εις ολόκληρον υπόχρεα για την καταβολή του εν λόγω ποσού.</w:t>
      </w:r>
    </w:p>
    <w:p w14:paraId="7D82D309" w14:textId="77777777" w:rsidR="00E0244C" w:rsidRPr="00483F7D" w:rsidRDefault="007A1FD7">
      <w:pPr>
        <w:pStyle w:val="Titrearticle"/>
      </w:pPr>
      <w:r w:rsidRPr="00483F7D">
        <w:t>Άρθρο 167</w:t>
      </w:r>
    </w:p>
    <w:p w14:paraId="1EE6EDAB" w14:textId="77777777" w:rsidR="00E0244C" w:rsidRPr="00483F7D" w:rsidRDefault="007A1FD7">
      <w:pPr>
        <w:pStyle w:val="NormalCentered"/>
      </w:pPr>
      <w:r w:rsidRPr="00483F7D">
        <w:rPr>
          <w:b/>
        </w:rPr>
        <w:t>Γενικοί κανόνες για τον υπολογισμό του ποσού του εισαγωγικού ή του εξαγωγικού δασμού</w:t>
      </w:r>
    </w:p>
    <w:p w14:paraId="1C387418" w14:textId="77777777" w:rsidR="00E0244C" w:rsidRPr="00483F7D" w:rsidRDefault="007A1FD7">
      <w:pPr>
        <w:pStyle w:val="ManualNumPar10"/>
      </w:pPr>
      <w:bookmarkStart w:id="158" w:name="__akn_article_vkFYNe_BsW4oE"/>
      <w:bookmarkEnd w:id="158"/>
      <w:r w:rsidRPr="00483F7D">
        <w:t>1.</w:t>
      </w:r>
      <w:r w:rsidRPr="00483F7D">
        <w:tab/>
        <w:t>Το ποσό του εισαγωγικού ή εξαγωγικού δασμού καθορίζεται με βάση τη δασμολογική κατάταξη, τη δασμολογητέα αξία, την ποσότητα, τη φύση και την καταγωγή των εμπορευμάτων. Οι κανόνες υπολογισμού του δασμού είναι εκείνοι που εφαρμόζονται στα σχετικά εμπορεύματα κατά τον χρόνο γένεσης της τελωνειακής οφειλής που τα αφορά.</w:t>
      </w:r>
    </w:p>
    <w:p w14:paraId="3CCA6E52" w14:textId="77777777" w:rsidR="00E0244C" w:rsidRPr="00483F7D" w:rsidRDefault="007A1FD7">
      <w:pPr>
        <w:pStyle w:val="ManualNumPar10"/>
      </w:pPr>
      <w:r w:rsidRPr="00483F7D">
        <w:t>2.</w:t>
      </w:r>
      <w:r w:rsidRPr="00483F7D">
        <w:tab/>
        <w:t>Όταν δεν είναι δυνατό να προσδιοριστεί με ακρίβεια η στιγμή γένεσης της τελωνειακής οφειλής, θεωρείται ότι η στιγμή αυτή είναι εκείνη κατά την οποία οι τελωνειακές αρχές διαπιστώνουν ότι τα εμπορεύματα βρίσκονται σε κατάσταση που συνεπάγεται τη γένεση της τελωνειακής οφειλής.</w:t>
      </w:r>
    </w:p>
    <w:p w14:paraId="3CF72312" w14:textId="77777777" w:rsidR="00E0244C" w:rsidRPr="00483F7D" w:rsidRDefault="007A1FD7">
      <w:pPr>
        <w:pStyle w:val="Text1"/>
      </w:pPr>
      <w:r w:rsidRPr="00483F7D">
        <w:t>Ωστόσο, όταν οι πληροφορίες που διαθέτουν οι τελωνειακές αρχές τούς επιτρέπουν να διαπιστώσουν ότι η τελωνειακή οφειλή γεννήθηκε σε χρονικό σημείο προγενέστερο της διαπίστωσης αυτής, η τελωνειακή οφειλή θεωρείται ότι γεννήθηκε κατά το απώτερο χρονικό σημείο στο οποίο μπορεί να αποδειχθεί η κατάσταση αυτή.</w:t>
      </w:r>
    </w:p>
    <w:p w14:paraId="700936DD" w14:textId="77777777" w:rsidR="00E0244C" w:rsidRPr="00483F7D" w:rsidRDefault="007A1FD7">
      <w:pPr>
        <w:pStyle w:val="ManualNumPar10"/>
      </w:pPr>
      <w:r w:rsidRPr="00483F7D">
        <w:t>3.</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κανόνων οι οποίοι αναφέρονται στο παρόν άρθρο για τον υπολογισμό του ποσού του εισαγωγικού ή εξαγωγικού δασμού που εφαρμόζεται σε εμπορεύματα για τα οποία γεννάται τελωνειακή οφειλή στο πλαίσιο ειδικού καθεστώτος.</w:t>
      </w:r>
    </w:p>
    <w:p w14:paraId="2C8AA782" w14:textId="77777777" w:rsidR="00E0244C" w:rsidRPr="00483F7D" w:rsidRDefault="007A1FD7">
      <w:pPr>
        <w:pStyle w:val="Titrearticle"/>
      </w:pPr>
      <w:r w:rsidRPr="00483F7D">
        <w:t>Άρθρο 168</w:t>
      </w:r>
    </w:p>
    <w:p w14:paraId="5E48FD5E" w14:textId="77777777" w:rsidR="00E0244C" w:rsidRPr="00483F7D" w:rsidRDefault="007A1FD7">
      <w:pPr>
        <w:pStyle w:val="NormalCentered"/>
      </w:pPr>
      <w:r w:rsidRPr="00483F7D">
        <w:rPr>
          <w:b/>
        </w:rPr>
        <w:t>Ειδικοί κανόνες για τον υπολογισμό του ποσού του εισαγωγικού δασμού</w:t>
      </w:r>
    </w:p>
    <w:p w14:paraId="312CE281" w14:textId="77777777" w:rsidR="00E0244C" w:rsidRPr="00483F7D" w:rsidRDefault="007A1FD7">
      <w:pPr>
        <w:pStyle w:val="ManualNumPar10"/>
      </w:pPr>
      <w:r w:rsidRPr="00483F7D">
        <w:t>1.</w:t>
      </w:r>
      <w:r w:rsidRPr="00483F7D">
        <w:tab/>
        <w:t>Όταν προκύπτουν δαπάνες για αποθήκευση ή για συνήθεις εργασίες εντός του τελωνειακού εδάφους της Ένωσης όσον αφορά εμπορεύματα που υπάγονται σε τελωνειακό καθεστώς ή σε προσωρινή εναπόθεση, οι δαπάνες αυτές ή η αύξηση της αξίας δεν λαμβάνονται υπόψη για τον υπολογισμό του ποσού του εισαγωγικού δασμού, όταν ο εισαγωγέας ή ο εξαγωγέας ή, κατά περίπτωση, ο διασαφιστής προσκομίζει ικανοποιητικές αποδείξεις αυτών των δαπανών.</w:t>
      </w:r>
    </w:p>
    <w:p w14:paraId="21FA4329" w14:textId="77777777" w:rsidR="00E0244C" w:rsidRPr="00483F7D" w:rsidRDefault="007A1FD7">
      <w:pPr>
        <w:pStyle w:val="Text1"/>
      </w:pPr>
      <w:r w:rsidRPr="00483F7D">
        <w:t>Ωστόσο, η δασμολογητέα αξία, η ποσότητα, η φύση και η καταγωγή μη ενωσιακών εμπορευμάτων που χρησιμοποιούνται κατά τις εργασίες λαμβάνονται υπόψη για τον υπολογισμό του ποσού του εισαγωγικού δασμού.</w:t>
      </w:r>
    </w:p>
    <w:p w14:paraId="18EF3CA3" w14:textId="77777777" w:rsidR="00E0244C" w:rsidRPr="00483F7D" w:rsidRDefault="007A1FD7">
      <w:pPr>
        <w:pStyle w:val="ManualNumPar10"/>
      </w:pPr>
      <w:r w:rsidRPr="00483F7D">
        <w:t>2.</w:t>
      </w:r>
      <w:r w:rsidRPr="00483F7D">
        <w:tab/>
        <w:t>Όταν η δασμολογική κατάταξη εμπορευμάτων που υπάγονται σε τελωνειακό καθεστώς αλλάζει λόγω των συνήθων εργασιών εντός του τελωνειακού εδάφους της Ένωσης, εφαρμόζεται, κατόπιν αίτησης του εισαγωγέα ή, κατά περίπτωση, του διασαφιστή, η αρχική δασμολογική κατάταξη για τα εμπορεύματα που είχαν υπαχθεί στο καθεστώς.</w:t>
      </w:r>
    </w:p>
    <w:p w14:paraId="2CF5EA4B" w14:textId="77777777" w:rsidR="00E0244C" w:rsidRPr="00483F7D" w:rsidRDefault="007A1FD7">
      <w:pPr>
        <w:pStyle w:val="ManualNumPar10"/>
      </w:pPr>
      <w:bookmarkStart w:id="159" w:name="__akn_article_EHApSv_tzWb7c"/>
      <w:bookmarkEnd w:id="159"/>
      <w:r w:rsidRPr="00483F7D">
        <w:t>3.</w:t>
      </w:r>
      <w:r w:rsidRPr="00483F7D">
        <w:tab/>
        <w:t>Όταν γεννάται τελωνειακή οφειλή για μεταποιημένα προϊόντα που προκύπτουν από το καθεστώς της τελειοποίησης προς επανεξαγωγή, το ποσό του εισαγωγικού δασμού που αντιστοιχεί στην οφειλή αυτή καθορίζεται, κατόπιν αίτησης του εισαγωγέα, με βάση τη δασμολογική κατάταξη, τη δασμολογητέα αξία, την ποσότητα, τη φύση και την καταγωγή των εμπορευμάτων που είχαν υπαχθεί στο καθεστώς τελειοποίησης προς επανεξαγωγή.</w:t>
      </w:r>
    </w:p>
    <w:p w14:paraId="712A181C" w14:textId="77777777" w:rsidR="00E0244C" w:rsidRPr="00483F7D" w:rsidRDefault="007A1FD7">
      <w:pPr>
        <w:pStyle w:val="ManualNumPar10"/>
      </w:pPr>
      <w:bookmarkStart w:id="160" w:name="__akn_article_EHApSv_qqQeu1"/>
      <w:bookmarkEnd w:id="160"/>
      <w:r w:rsidRPr="00483F7D">
        <w:t>4.</w:t>
      </w:r>
      <w:r w:rsidRPr="00483F7D">
        <w:tab/>
        <w:t>Όταν τα μεταποιημένα προϊόντα προκύπτουν από επόμενα καθεστώτα τελειοποίησης προς επανεξαγωγή, ο εισαγωγέας μπορεί να ζητήσει μόνο να καθοριστεί η οφειλή με βάση τη δασμολογική κατάταξη, τη δασμολογητέα αξία, την ποσότητα, τη φύση και την καταγωγή των εμπορευμάτων που έχουν υπαχθεί στο πρώτο καθεστώς τελειοποίησης προς επανεξαγωγή.</w:t>
      </w:r>
    </w:p>
    <w:p w14:paraId="76EBD458" w14:textId="77777777" w:rsidR="00E0244C" w:rsidRPr="00483F7D" w:rsidRDefault="007A1FD7">
      <w:pPr>
        <w:pStyle w:val="ManualNumPar10"/>
      </w:pPr>
      <w:r w:rsidRPr="00483F7D">
        <w:t>5.</w:t>
      </w:r>
      <w:r w:rsidRPr="00483F7D">
        <w:tab/>
        <w:t xml:space="preserve">Σε ειδικές περιπτώσεις, το ποσό του εισαγωγικού δασμού καθορίζεται σύμφωνα με τις παραγράφους 2, 3 και 4 του παρόντος άρθρου χωρίς αίτηση του εισαγωγέα ή του εξαγωγέα ή, κατά περίπτωση, του διασαφιστή με σκοπό την αποφυγή της καταστρατήγησης των δασμολογικών μέτρων που αναφέρονται στο άρθρο 145 παράγραφος 2 στοιχείο </w:t>
      </w:r>
      <w:hyperlink w:anchor="__akn_article_FtviyP_zOQRXT" w:tooltip="Article 145(2), point (h): (h)">
        <w:r w:rsidRPr="00483F7D">
          <w:rPr>
            <w:rStyle w:val="Hyperlink"/>
          </w:rPr>
          <w:t>η)</w:t>
        </w:r>
      </w:hyperlink>
      <w:r w:rsidRPr="00483F7D">
        <w:t>.</w:t>
      </w:r>
    </w:p>
    <w:p w14:paraId="503E1CA5" w14:textId="77777777" w:rsidR="00E0244C" w:rsidRPr="00483F7D" w:rsidRDefault="007A1FD7">
      <w:pPr>
        <w:pStyle w:val="ManualNumPar10"/>
      </w:pPr>
      <w:r w:rsidRPr="00483F7D">
        <w:t>6.</w:t>
      </w:r>
      <w:r w:rsidRPr="00483F7D">
        <w:tab/>
        <w:t xml:space="preserve">Όταν γεννάται τελωνειακή οφειλή για μεταποιημένα προϊόντα που προκύπτουν από το καθεστώς τελειοποίησης προς επανεισαγωγή ή από προϊόντα αντικατάστασης όπως αναφέρονται στο άρθρο 143 παράγραφος </w:t>
      </w:r>
      <w:hyperlink w:anchor="__akn_article_0c3Gp1_ospAyU" w:tooltip="Article 143(1): (1)">
        <w:r w:rsidRPr="00483F7D">
          <w:rPr>
            <w:rStyle w:val="Hyperlink"/>
          </w:rPr>
          <w:t>1</w:t>
        </w:r>
      </w:hyperlink>
      <w:r w:rsidRPr="00483F7D">
        <w:t>, το ποσοστό του εισαγωγικού δασμού υπολογίζεται με βάση το κόστος των εργασιών τελειοποίησης που διενεργούνται εκτός του τελωνειακού εδάφους της Ένωσης.</w:t>
      </w:r>
    </w:p>
    <w:p w14:paraId="79DDB656" w14:textId="77777777" w:rsidR="00E0244C" w:rsidRPr="00483F7D" w:rsidRDefault="007A1FD7">
      <w:pPr>
        <w:pStyle w:val="ManualNumPar10"/>
      </w:pPr>
      <w:r w:rsidRPr="00483F7D">
        <w:t>7.</w:t>
      </w:r>
      <w:r w:rsidRPr="00483F7D">
        <w:tab/>
        <w:t xml:space="preserve">Όταν γεννάται τελωνειακή οφειλή σύμφωνα με το άρθρο </w:t>
      </w:r>
      <w:hyperlink w:anchor="__akn_article_jGjnqv" w:tooltip="Article 161: 161">
        <w:r w:rsidRPr="00483F7D">
          <w:rPr>
            <w:rStyle w:val="Hyperlink"/>
          </w:rPr>
          <w:t>161</w:t>
        </w:r>
      </w:hyperlink>
      <w:r w:rsidRPr="00483F7D">
        <w:t xml:space="preserve"> ή το άρθρο </w:t>
      </w:r>
      <w:hyperlink w:anchor="__akn_article_puQ6TX" w:tooltip="Article 164: 164">
        <w:r w:rsidRPr="00483F7D">
          <w:rPr>
            <w:rStyle w:val="Hyperlink"/>
          </w:rPr>
          <w:t>164</w:t>
        </w:r>
      </w:hyperlink>
      <w:r w:rsidRPr="00483F7D">
        <w:t xml:space="preserve"> του παρόντος κανονισμού και αν η παράλειψη που οδήγησε στη γένεση τελωνειακής οφειλής δεν συνιστά απόπειρα παραπλάνησης, εφαρμόζονται επίσης τα ακόλουθα: </w:t>
      </w:r>
    </w:p>
    <w:p w14:paraId="49A8FD9F" w14:textId="3DA20EA6" w:rsidR="00E0244C" w:rsidRPr="00483F7D" w:rsidRDefault="00BC60FC" w:rsidP="00BC60FC">
      <w:pPr>
        <w:pStyle w:val="Point1"/>
      </w:pPr>
      <w:r w:rsidRPr="00483F7D">
        <w:t>α)</w:t>
      </w:r>
      <w:r w:rsidRPr="00483F7D">
        <w:tab/>
      </w:r>
      <w:r w:rsidR="007A1FD7" w:rsidRPr="00483F7D">
        <w:t>η ευνοϊκή δασμολογική μεταχείριση εμπορευμάτων δυνάμει της τελωνειακής νομοθεσίας· ή</w:t>
      </w:r>
    </w:p>
    <w:p w14:paraId="7316AAAE" w14:textId="1E7FB748" w:rsidR="00E0244C" w:rsidRPr="00483F7D" w:rsidRDefault="00BC60FC" w:rsidP="00BC60FC">
      <w:pPr>
        <w:pStyle w:val="Point1"/>
      </w:pPr>
      <w:r w:rsidRPr="00483F7D">
        <w:t>β)</w:t>
      </w:r>
      <w:r w:rsidRPr="00483F7D">
        <w:tab/>
      </w:r>
      <w:r w:rsidR="007A1FD7" w:rsidRPr="00483F7D">
        <w:t xml:space="preserve">η ατέλεια ή μερική ή πλήρης απαλλαγή από τον εισαγωγικό ή εξαγωγικό δασμό δυνάμει του άρθρου 145 παράγραφος 2 στοιχεία </w:t>
      </w:r>
      <w:hyperlink w:anchor="__akn_article_FtviyP_yywiad" w:tooltip="Article 145(2), points (d), (e), (f) and (g): (d)">
        <w:r w:rsidR="007A1FD7" w:rsidRPr="00483F7D">
          <w:t>δ)</w:t>
        </w:r>
      </w:hyperlink>
      <w:r w:rsidR="007A1FD7" w:rsidRPr="00483F7D">
        <w:t xml:space="preserve">, </w:t>
      </w:r>
      <w:hyperlink w:anchor="__akn_article_FtviyP_yFHq2h" w:tooltip="Article 145(2), points (d), (e), (f) and (g): (e)">
        <w:r w:rsidR="007A1FD7" w:rsidRPr="00483F7D">
          <w:t>ε)</w:t>
        </w:r>
      </w:hyperlink>
      <w:r w:rsidR="007A1FD7" w:rsidRPr="00483F7D">
        <w:t xml:space="preserve">, </w:t>
      </w:r>
      <w:hyperlink w:anchor="__akn_article_FtviyP_08Cwui" w:tooltip="Article 145(2), points (d), (e), (f) and (g): (f)">
        <w:r w:rsidR="007A1FD7" w:rsidRPr="00483F7D">
          <w:t>στ)</w:t>
        </w:r>
      </w:hyperlink>
      <w:r w:rsidR="007A1FD7" w:rsidRPr="00483F7D">
        <w:t xml:space="preserve"> και </w:t>
      </w:r>
      <w:hyperlink w:anchor="__akn_article_FtviyP_ogCAzd" w:tooltip="Article 145(2), points (d), (e), (f) and (g): (g)">
        <w:r w:rsidR="007A1FD7" w:rsidRPr="00483F7D">
          <w:t>ζ)</w:t>
        </w:r>
      </w:hyperlink>
      <w:r w:rsidR="007A1FD7" w:rsidRPr="00483F7D">
        <w:t xml:space="preserve"> ή των άρθρων </w:t>
      </w:r>
      <w:hyperlink w:anchor="__akn_article_S51MUu" w:tooltip="Articles 90, 91, 92 and 93: 90">
        <w:r w:rsidR="007A1FD7" w:rsidRPr="00483F7D">
          <w:t>90</w:t>
        </w:r>
      </w:hyperlink>
      <w:r w:rsidR="007A1FD7" w:rsidRPr="00483F7D">
        <w:t xml:space="preserve">, </w:t>
      </w:r>
      <w:hyperlink w:anchor="__akn_article_6zjzOy" w:tooltip="Articles 90, 91, 92 and 93: 91">
        <w:r w:rsidR="007A1FD7" w:rsidRPr="00483F7D">
          <w:t>91</w:t>
        </w:r>
      </w:hyperlink>
      <w:r w:rsidR="007A1FD7" w:rsidRPr="00483F7D">
        <w:t xml:space="preserve">, </w:t>
      </w:r>
      <w:hyperlink w:anchor="__akn_article_PgQrv1" w:tooltip="Articles 90, 91, 92 and 93: 92">
        <w:r w:rsidR="007A1FD7" w:rsidRPr="00483F7D">
          <w:t>92</w:t>
        </w:r>
      </w:hyperlink>
      <w:r w:rsidR="007A1FD7" w:rsidRPr="00483F7D">
        <w:t xml:space="preserve"> και </w:t>
      </w:r>
      <w:hyperlink w:anchor="__akn_article_P1NZDT" w:tooltip="Articles 90, 91, 92 and 93: 93">
        <w:r w:rsidR="007A1FD7" w:rsidRPr="00483F7D">
          <w:t>93</w:t>
        </w:r>
      </w:hyperlink>
      <w:r w:rsidR="007A1FD7" w:rsidRPr="00483F7D">
        <w:t xml:space="preserve"> ή των άρθρων </w:t>
      </w:r>
      <w:hyperlink w:anchor="__akn_article_kMrONf" w:tooltip="Articles 140, 141, 142, 143 and 144: 140">
        <w:r w:rsidR="007A1FD7" w:rsidRPr="00483F7D">
          <w:t>140</w:t>
        </w:r>
      </w:hyperlink>
      <w:r w:rsidR="007A1FD7" w:rsidRPr="00483F7D">
        <w:t xml:space="preserve">, </w:t>
      </w:r>
      <w:hyperlink w:anchor="__akn_article_ZG99IF" w:tooltip="Articles 140, 141, 142, 143 and 144: 141">
        <w:r w:rsidR="007A1FD7" w:rsidRPr="00483F7D">
          <w:t>141</w:t>
        </w:r>
      </w:hyperlink>
      <w:r w:rsidR="007A1FD7" w:rsidRPr="00483F7D">
        <w:t xml:space="preserve">, </w:t>
      </w:r>
      <w:hyperlink w:anchor="__akn_article_3AXXIw" w:tooltip="Articles 140, 141, 142, 143 and 144: 142">
        <w:r w:rsidR="007A1FD7" w:rsidRPr="00483F7D">
          <w:t>142</w:t>
        </w:r>
      </w:hyperlink>
      <w:r w:rsidR="007A1FD7" w:rsidRPr="00483F7D">
        <w:t xml:space="preserve">, </w:t>
      </w:r>
      <w:hyperlink w:anchor="__akn_article_0c3Gp1" w:tooltip="Articles 140, 141, 142, 143 and 144: 143">
        <w:r w:rsidR="007A1FD7" w:rsidRPr="00483F7D">
          <w:t>143</w:t>
        </w:r>
      </w:hyperlink>
      <w:r w:rsidR="007A1FD7" w:rsidRPr="00483F7D">
        <w:t xml:space="preserve"> και </w:t>
      </w:r>
      <w:hyperlink w:anchor="__akn_article_uV56j7" w:tooltip="Articles 140, 141, 142, 143 and 144: 144">
        <w:r w:rsidR="007A1FD7" w:rsidRPr="00483F7D">
          <w:t>144</w:t>
        </w:r>
      </w:hyperlink>
      <w:r w:rsidR="007A1FD7" w:rsidRPr="00483F7D">
        <w:t>· ή</w:t>
      </w:r>
    </w:p>
    <w:p w14:paraId="479EC0F5" w14:textId="546624C8" w:rsidR="00E0244C" w:rsidRPr="00483F7D" w:rsidRDefault="00BC60FC" w:rsidP="00BC60FC">
      <w:pPr>
        <w:pStyle w:val="Point1"/>
      </w:pPr>
      <w:r w:rsidRPr="00483F7D">
        <w:t>γ)</w:t>
      </w:r>
      <w:r w:rsidRPr="00483F7D">
        <w:tab/>
      </w:r>
      <w:r w:rsidR="007A1FD7" w:rsidRPr="00483F7D">
        <w:t>η ατέλεια σύμφωνα με τον κανονισμό (ΕΚ) αριθ. 1186/2009 του Συμβουλίου.</w:t>
      </w:r>
    </w:p>
    <w:p w14:paraId="305D58A3" w14:textId="77777777" w:rsidR="00E0244C" w:rsidRPr="00483F7D" w:rsidRDefault="007A1FD7">
      <w:pPr>
        <w:pStyle w:val="ManualNumPar10"/>
      </w:pPr>
      <w:r w:rsidRPr="00483F7D">
        <w:t>8.</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κανόνων οι οποίοι αναφέρονται στο παρόν άρθρο για τον υπολογισμό του ποσού του εισαγωγικού ή εξαγωγικού δασμού που εφαρμόζεται σε εμπορεύματα για τα οποία γεννάται τελωνειακή οφειλή στο πλαίσιο ειδικού καθεστώτος, καθώς και των ειδικών περιπτώσεων που αναφέρονται στην παράγραφο 5.</w:t>
      </w:r>
    </w:p>
    <w:p w14:paraId="081E32B2" w14:textId="77777777" w:rsidR="00E0244C" w:rsidRPr="00483F7D" w:rsidRDefault="007A1FD7">
      <w:pPr>
        <w:pStyle w:val="Titrearticle"/>
      </w:pPr>
      <w:bookmarkStart w:id="161" w:name="__akn_article_GeBvjG"/>
      <w:bookmarkEnd w:id="161"/>
      <w:r w:rsidRPr="00483F7D">
        <w:t>Άρθρο 169</w:t>
      </w:r>
    </w:p>
    <w:p w14:paraId="098B831A" w14:textId="77777777" w:rsidR="00E0244C" w:rsidRPr="00483F7D" w:rsidRDefault="007A1FD7">
      <w:pPr>
        <w:pStyle w:val="NormalCentered"/>
      </w:pPr>
      <w:r w:rsidRPr="00483F7D">
        <w:rPr>
          <w:b/>
        </w:rPr>
        <w:t>Τόπος γένεσης της τελωνειακής οφειλής</w:t>
      </w:r>
    </w:p>
    <w:p w14:paraId="483124E8" w14:textId="77777777" w:rsidR="008C74DC" w:rsidRPr="00483F7D" w:rsidRDefault="007A1FD7" w:rsidP="11CEB65D">
      <w:pPr>
        <w:pStyle w:val="ManualNumPar10"/>
      </w:pPr>
      <w:r w:rsidRPr="00483F7D">
        <w:t>1.</w:t>
      </w:r>
      <w:r w:rsidRPr="00483F7D">
        <w:tab/>
        <w:t xml:space="preserve">Η τελωνειακή οφειλή γεννάται στον τόπο εγκατάστασης του εισαγωγέα ή του εξαγωγέα. </w:t>
      </w:r>
    </w:p>
    <w:p w14:paraId="2061B56B" w14:textId="77777777" w:rsidR="00E9306A" w:rsidRPr="00483F7D" w:rsidRDefault="00E9306A" w:rsidP="00E9306A">
      <w:pPr>
        <w:pStyle w:val="Text1"/>
      </w:pPr>
      <w:r w:rsidRPr="00483F7D">
        <w:t>Κατά παρέκκλιση από το πρώτο εδάφιο, σε σχέση με εισαγωγείς και εξαγωγείς εκτός των αξιόπιστων και ελεγμένων συναλλασσομένων και των θεωρούμενων εισαγωγέων, η τελωνειακή οφειλή γεννάται στον τόπο όπου έχει υποβληθεί ή θα είχε υποβληθεί η τελωνειακή διασάφηση σύμφωνα με το άρθρο 63 παράγραφος 4, εκτός από την τροποποίηση της μεθόδου παροχής πληροφοριών που προβλέπεται στο άρθρο 63 παράγραφος 2.</w:t>
      </w:r>
    </w:p>
    <w:p w14:paraId="5F799B3E" w14:textId="77777777" w:rsidR="00E0244C" w:rsidRPr="00483F7D" w:rsidRDefault="008C74DC" w:rsidP="00E9306A">
      <w:pPr>
        <w:pStyle w:val="Text1"/>
      </w:pPr>
      <w:r w:rsidRPr="00483F7D">
        <w:t>Σε όλες τις άλλες περιπτώσεις, η τελωνειακή οφειλή γεννάται στον τόπο όπου λαμβάνουν χώρα τα γεγονότα που γεννούν την οφειλή αυτή.</w:t>
      </w:r>
    </w:p>
    <w:p w14:paraId="57457D67" w14:textId="77777777" w:rsidR="00E0244C" w:rsidRPr="00483F7D" w:rsidRDefault="007A1FD7" w:rsidP="00E9306A">
      <w:pPr>
        <w:pStyle w:val="Text1"/>
      </w:pPr>
      <w:r w:rsidRPr="00483F7D">
        <w:t>Αν δεν είναι δυνατό να προσδιοριστεί ο τόπος αυτός, η τελωνειακή οφειλή γεννάται στον τόπο όπου οι τελωνειακές αρχές διαπιστώνουν ότι τα εμπορεύματα βρίσκονται σε κατάσταση η οποία γεννά τελωνειακή οφειλή.</w:t>
      </w:r>
    </w:p>
    <w:p w14:paraId="1FE8B721" w14:textId="77777777" w:rsidR="00E0244C" w:rsidRPr="00483F7D" w:rsidRDefault="007A1FD7">
      <w:pPr>
        <w:pStyle w:val="ManualNumPar10"/>
      </w:pPr>
      <w:r w:rsidRPr="00483F7D">
        <w:t>2.</w:t>
      </w:r>
      <w:r w:rsidRPr="00483F7D">
        <w:tab/>
        <w:t>Αν τα εμπορεύματα έχουν υπαχθεί σε τελωνειακό καθεστώς που δεν έχει εκκαθαριστεί ή όταν η προσωρινή εναπόθεση δεν έληξε όπως προβλέπεται, και εφόσον ο τόπος γένεσης της τελωνειακής οφειλής δεν είναι δυνατό να προσδιοριστεί δυνάμει της παραγράφου 1 δεύτερο και τρίτο εδάφιο εντός συγκεκριμένης προθεσμίας, η τελωνειακή οφειλή γεννάται στον τόπο όπου τα εμπορεύματα έχουν υπαχθεί στο εν λόγω καθεστώς ή στον τόπο από τον οποίο εισήλθαν στο τελωνειακό έδαφος της Ένωσης υπό το εν λόγω καθεστώς ή στον τόπο όπου βρίσκονταν σε προσωρινή εναπόθεση.</w:t>
      </w:r>
    </w:p>
    <w:p w14:paraId="3DC6373E" w14:textId="77777777" w:rsidR="00E0244C" w:rsidRPr="00483F7D" w:rsidRDefault="007A1FD7">
      <w:pPr>
        <w:pStyle w:val="ManualNumPar10"/>
      </w:pPr>
      <w:r w:rsidRPr="00483F7D">
        <w:t>3.</w:t>
      </w:r>
      <w:r w:rsidRPr="00483F7D">
        <w:tab/>
        <w:t>Όταν οι πληροφορίες που διαθέτουν οι τελωνειακές αρχές τους επιτρέπουν να προσδιορίσουν ότι η τελωνειακή οφειλή είναι πιθανό να έχει γεννηθεί σε διάφορους τόπους, η τελωνειακή οφειλή θεωρείται ότι έχει γεννηθεί στον τόπο όπου αρχικά γεννήθηκε.</w:t>
      </w:r>
    </w:p>
    <w:p w14:paraId="78421F96" w14:textId="77777777" w:rsidR="00E0244C" w:rsidRPr="00483F7D" w:rsidRDefault="007A1FD7">
      <w:pPr>
        <w:pStyle w:val="ManualNumPar10"/>
      </w:pPr>
      <w:r w:rsidRPr="00483F7D">
        <w:t>4.</w:t>
      </w:r>
      <w:r w:rsidRPr="00483F7D">
        <w:tab/>
        <w:t xml:space="preserve">Αν τελωνειακή αρχή διαπιστώσει ότι, δυνάμει του άρθρου </w:t>
      </w:r>
      <w:hyperlink w:anchor="__akn_article_jGjnqv" w:tooltip="Article 161: 161">
        <w:r w:rsidRPr="00483F7D">
          <w:rPr>
            <w:rStyle w:val="Hyperlink"/>
          </w:rPr>
          <w:t>161</w:t>
        </w:r>
      </w:hyperlink>
      <w:r w:rsidRPr="00483F7D">
        <w:t xml:space="preserve"> ή του άρθρου </w:t>
      </w:r>
      <w:hyperlink w:anchor="__akn_article_puQ6TX" w:tooltip="Article 164: 164">
        <w:r w:rsidRPr="00483F7D">
          <w:rPr>
            <w:rStyle w:val="Hyperlink"/>
          </w:rPr>
          <w:t>164</w:t>
        </w:r>
      </w:hyperlink>
      <w:r w:rsidRPr="00483F7D">
        <w:t>, γεννήθηκε τελωνειακή οφειλή σε άλλο κράτος μέλος και ότι το ποσό του εισαγωγικού ή εξαγωγικού δασμού που αντιστοιχεί στην εν λόγω οφειλή είναι μικρότερο των 10 000 EUR, η τελωνειακή οφειλή θεωρείται ότι έχει γεννηθεί στο κράτος μέλος στο οποίο διαπιστώθηκε η γένεσή της.</w:t>
      </w:r>
    </w:p>
    <w:p w14:paraId="1BC2A412"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της προθεσμίας που αναφέρεται στην παράγραφο 2.</w:t>
      </w:r>
    </w:p>
    <w:p w14:paraId="151D13A5" w14:textId="77777777" w:rsidR="00E0244C" w:rsidRPr="00483F7D" w:rsidRDefault="007A1FD7">
      <w:pPr>
        <w:pStyle w:val="ChapterTitle"/>
      </w:pPr>
      <w:r w:rsidRPr="00483F7D">
        <w:t xml:space="preserve">Κεφάλαιο 2 </w:t>
      </w:r>
      <w:r w:rsidRPr="00483F7D">
        <w:br/>
        <w:t>Εγγύηση για ενδεχόμενη ή υπάρχουσα τελωνειακή οφειλή</w:t>
      </w:r>
    </w:p>
    <w:p w14:paraId="178750E6" w14:textId="77777777" w:rsidR="00E0244C" w:rsidRPr="00483F7D" w:rsidRDefault="007A1FD7">
      <w:pPr>
        <w:pStyle w:val="Titrearticle"/>
      </w:pPr>
      <w:r w:rsidRPr="00483F7D">
        <w:t>Άρθρο 170</w:t>
      </w:r>
    </w:p>
    <w:p w14:paraId="3D37449F" w14:textId="77777777" w:rsidR="00E0244C" w:rsidRPr="00483F7D" w:rsidRDefault="007A1FD7">
      <w:pPr>
        <w:pStyle w:val="NormalCentered"/>
      </w:pPr>
      <w:r w:rsidRPr="00483F7D">
        <w:rPr>
          <w:b/>
        </w:rPr>
        <w:t>Γενικές διατάξεις</w:t>
      </w:r>
    </w:p>
    <w:p w14:paraId="0C506307" w14:textId="77777777" w:rsidR="00E0244C" w:rsidRPr="00483F7D" w:rsidRDefault="007A1FD7">
      <w:pPr>
        <w:pStyle w:val="ManualNumPar10"/>
      </w:pPr>
      <w:r w:rsidRPr="00483F7D">
        <w:t>1.</w:t>
      </w:r>
      <w:r w:rsidRPr="00483F7D">
        <w:tab/>
        <w:t>Εκτός αν ορίζεται διαφορετικά, το παρόν κεφάλαιο εφαρμόζεται σε εγγυήσεις για τελωνειακές οφειλές που έχουν γεννηθεί αλλά των οποίων η πληρωμή αναβάλλεται (στο εξής: υπάρχουσες τελωνειακές οφειλές) και στις εγγυήσεις που απαιτούνται σε περίπτωση ενδεχόμενης γένεσης τελωνειακής οφειλής (στο εξής: ενδεχόμενες τελωνειακές οφειλές).</w:t>
      </w:r>
    </w:p>
    <w:p w14:paraId="02F3C02A" w14:textId="77777777" w:rsidR="00E0244C" w:rsidRPr="00483F7D" w:rsidRDefault="007A1FD7">
      <w:pPr>
        <w:pStyle w:val="ManualNumPar10"/>
      </w:pPr>
      <w:r w:rsidRPr="00483F7D">
        <w:t>2.</w:t>
      </w:r>
      <w:r w:rsidRPr="00483F7D">
        <w:tab/>
        <w:t>Όταν οι τελωνειακές αρχές απαιτούν τη σύσταση εγγύησης για ενδεχόμενη ή υπάρχουσα τελωνειακή οφειλή, η εγγύηση αυτή καλύπτει το ποσό του εισαγωγικού ή εξαγωγικού δασμού και τις λοιπές οφειλόμενες επιβαρύνσεις που συνδέονται με την εισαγωγή ή εξαγωγή των εμπορευμάτων όταν:</w:t>
      </w:r>
    </w:p>
    <w:p w14:paraId="5C1FBCB6" w14:textId="03F0B9AA" w:rsidR="00E0244C" w:rsidRPr="00483F7D" w:rsidRDefault="00BC60FC" w:rsidP="00BC60FC">
      <w:pPr>
        <w:pStyle w:val="Point1"/>
      </w:pPr>
      <w:r w:rsidRPr="00483F7D">
        <w:t>α)</w:t>
      </w:r>
      <w:r w:rsidRPr="00483F7D">
        <w:tab/>
      </w:r>
      <w:r w:rsidR="007A1FD7" w:rsidRPr="00483F7D">
        <w:t>η εγγύηση χρησιμοποιείται για την υπαγωγή εμπορευμάτων στο καθεστώς ενωσιακής διαμετακόμισης· ή</w:t>
      </w:r>
    </w:p>
    <w:p w14:paraId="48976776" w14:textId="0BC6BEDE" w:rsidR="00E0244C" w:rsidRPr="00483F7D" w:rsidRDefault="00BC60FC" w:rsidP="00BC60FC">
      <w:pPr>
        <w:pStyle w:val="Point1"/>
      </w:pPr>
      <w:r w:rsidRPr="00483F7D">
        <w:t>β)</w:t>
      </w:r>
      <w:r w:rsidRPr="00483F7D">
        <w:tab/>
      </w:r>
      <w:r w:rsidR="007A1FD7" w:rsidRPr="00483F7D">
        <w:t>η εγγύηση μπορεί να χρησιμοποιηθεί σε περισσότερα του ενός κράτη μέλη.</w:t>
      </w:r>
    </w:p>
    <w:p w14:paraId="7369066F" w14:textId="77777777" w:rsidR="00E0244C" w:rsidRPr="00483F7D" w:rsidRDefault="007A1FD7" w:rsidP="00865F2C">
      <w:pPr>
        <w:pStyle w:val="ManualNumPar10"/>
        <w:ind w:firstLine="0"/>
      </w:pPr>
      <w:r w:rsidRPr="00483F7D">
        <w:t>Εγγύηση που αποδέχονται ή εγκρίνουν οι τελωνειακές αρχές ισχύει σε ολόκληρο το τελωνειακό έδαφος της Ένωσης, για τους σκοπούς για τους οποίους έχει συσταθεί.</w:t>
      </w:r>
    </w:p>
    <w:p w14:paraId="1F28D819" w14:textId="77777777" w:rsidR="00E0244C" w:rsidRPr="00483F7D" w:rsidRDefault="007A1FD7">
      <w:pPr>
        <w:pStyle w:val="ManualNumPar10"/>
      </w:pPr>
      <w:bookmarkStart w:id="162" w:name="__akn_article_gKJWKR_275fRJ"/>
      <w:bookmarkEnd w:id="162"/>
      <w:r w:rsidRPr="00483F7D">
        <w:t>3.</w:t>
      </w:r>
      <w:r w:rsidRPr="00483F7D">
        <w:tab/>
        <w:t>Η εγγύηση παρέχεται από τον οφειλέτη ή το πρόσωπο που ενδέχεται να καταστεί οφειλέτης ή, αν το επιτρέπουν οι τελωνειακές αρχές, από οποιοδήποτε άλλο πρόσωπο.</w:t>
      </w:r>
    </w:p>
    <w:p w14:paraId="7CF6EFA6" w14:textId="77777777" w:rsidR="00E0244C" w:rsidRPr="00483F7D" w:rsidRDefault="007A1FD7">
      <w:pPr>
        <w:pStyle w:val="ManualNumPar10"/>
      </w:pPr>
      <w:r w:rsidRPr="00483F7D">
        <w:t>4.</w:t>
      </w:r>
      <w:r w:rsidRPr="00483F7D">
        <w:tab/>
        <w:t xml:space="preserve">Με την επιφύλαξη του άρθρου </w:t>
      </w:r>
      <w:hyperlink w:anchor="__akn_article_DzbhzR" w:tooltip="Article 178: 178">
        <w:r w:rsidRPr="00483F7D">
          <w:rPr>
            <w:rStyle w:val="Hyperlink"/>
          </w:rPr>
          <w:t>178</w:t>
        </w:r>
      </w:hyperlink>
      <w:r w:rsidRPr="00483F7D">
        <w:t>, οι τελωνειακές αρχές απαιτούν τη σύσταση μίας μόνο εγγύησης για συγκεκριμένα εμπορεύματα.</w:t>
      </w:r>
    </w:p>
    <w:p w14:paraId="2854B8D4" w14:textId="77777777" w:rsidR="00E0244C" w:rsidRPr="00483F7D" w:rsidRDefault="007A1FD7">
      <w:pPr>
        <w:pStyle w:val="Text1"/>
      </w:pPr>
      <w:r w:rsidRPr="00483F7D">
        <w:t>Η εγγύηση που συστήνεται για συγκεκριμένα εμπορεύματα εφαρμόζεται στο ποσό του εισαγωγικού ή εξαγωγικού δασμού που αντιστοιχεί στην τελωνειακή οφειλή και στις λοιπές επιβαρύνσεις που αφορούν τα εν λόγω εμπορεύματα, έστω και αν οι παρεχόμενες ή διαθέσιμες πληροφορίες για τα εν λόγω εμπορεύματα είναι ανακριβείς.</w:t>
      </w:r>
    </w:p>
    <w:p w14:paraId="55436ADD" w14:textId="77777777" w:rsidR="00E0244C" w:rsidRPr="00483F7D" w:rsidRDefault="007A1FD7">
      <w:pPr>
        <w:pStyle w:val="Text1"/>
      </w:pPr>
      <w:r w:rsidRPr="00483F7D">
        <w:t>Αν η εγγύηση δεν έχει αποδεσμευτεί, μπορεί να χρησιμοποιείται επίσης, εντός των ορίων του εγγυημένου ποσού, για την είσπραξη ποσών εισαγωγικού ή εξαγωγικού δασμού και λοιπών επιβαρύνσεων που πρέπει να καταβληθούν μετά τη διενέργεια εκ των υστέρων ελέγχου των εν λόγω εμπορευμάτων.</w:t>
      </w:r>
    </w:p>
    <w:p w14:paraId="166795ED" w14:textId="77777777" w:rsidR="00E0244C" w:rsidRPr="00483F7D" w:rsidRDefault="007A1FD7">
      <w:pPr>
        <w:pStyle w:val="ManualNumPar10"/>
      </w:pPr>
      <w:bookmarkStart w:id="163" w:name="__akn_article_gKJWKR_h7Q7rD"/>
      <w:bookmarkEnd w:id="163"/>
      <w:r w:rsidRPr="00483F7D">
        <w:t>5.</w:t>
      </w:r>
      <w:r w:rsidRPr="00483F7D">
        <w:tab/>
        <w:t xml:space="preserve">Κατόπιν αίτησης του προσώπου που αναφέρεται στην παράγραφο 3, οι τελωνειακές αρχές μπορούν, σύμφωνα με το άρθρο 176 παράγραφοι </w:t>
      </w:r>
      <w:hyperlink w:anchor="__akn_article_F7ESJ7_8HFTZX" w:tooltip="Article 176(1) and (2): (1)">
        <w:r w:rsidRPr="00483F7D">
          <w:rPr>
            <w:rStyle w:val="Hyperlink"/>
          </w:rPr>
          <w:t>1</w:t>
        </w:r>
      </w:hyperlink>
      <w:r w:rsidRPr="00483F7D">
        <w:t xml:space="preserve"> και </w:t>
      </w:r>
      <w:hyperlink w:anchor="__akn_article_F7ESJ7_xh4Due" w:tooltip="Article 176(1) and (2): (2)">
        <w:r w:rsidRPr="00483F7D">
          <w:rPr>
            <w:rStyle w:val="Hyperlink"/>
          </w:rPr>
          <w:t>2</w:t>
        </w:r>
      </w:hyperlink>
      <w:r w:rsidRPr="00483F7D">
        <w:t>, να εγκρίνουν τη σύσταση συνολικής εγγύησης για να καλύψουν το ποσό του εισαγωγικού ή εξαγωγικού δασμού που αντιστοιχεί στην τελωνειακή οφειλή όσον αφορά δύο ή περισσότερες πράξεις ή τελωνειακά καθεστώτα.</w:t>
      </w:r>
    </w:p>
    <w:p w14:paraId="1EEF5F52" w14:textId="77777777" w:rsidR="00E0244C" w:rsidRPr="00483F7D" w:rsidRDefault="007A1FD7">
      <w:pPr>
        <w:pStyle w:val="ManualNumPar10"/>
      </w:pPr>
      <w:r w:rsidRPr="00483F7D">
        <w:t>6.</w:t>
      </w:r>
      <w:r w:rsidRPr="00483F7D">
        <w:tab/>
        <w:t>Οι τελωνειακές αρχές παρακολουθούν την εγγύηση.</w:t>
      </w:r>
    </w:p>
    <w:p w14:paraId="6028856F" w14:textId="77777777" w:rsidR="00E0244C" w:rsidRPr="00483F7D" w:rsidRDefault="007A1FD7">
      <w:pPr>
        <w:pStyle w:val="ManualNumPar10"/>
      </w:pPr>
      <w:r w:rsidRPr="00483F7D">
        <w:t>7.</w:t>
      </w:r>
      <w:r w:rsidRPr="00483F7D">
        <w:tab/>
        <w:t>Δεν απαιτείται η σύσταση εγγύησης σε οποιαδήποτε από τις ακόλουθες περιπτώσεις:</w:t>
      </w:r>
    </w:p>
    <w:p w14:paraId="0D93D974" w14:textId="674BCDE1" w:rsidR="00E0244C" w:rsidRPr="00483F7D" w:rsidRDefault="00BC60FC" w:rsidP="00BC60FC">
      <w:pPr>
        <w:pStyle w:val="Point1"/>
      </w:pPr>
      <w:r w:rsidRPr="00483F7D">
        <w:t>α)</w:t>
      </w:r>
      <w:r w:rsidRPr="00483F7D">
        <w:tab/>
      </w:r>
      <w:r w:rsidR="007A1FD7" w:rsidRPr="00483F7D">
        <w:t>από κράτη, αρχές περιφερειακής και τοπικής αυτοδιοίκησης ή άλλους οργανισμούς δημοσίου δικαίου, όσον αφορά τις δραστηριότητες που αναλαμβάνουν ως δημόσιες αρχές·</w:t>
      </w:r>
    </w:p>
    <w:p w14:paraId="7C0A00B8" w14:textId="1895A4D6" w:rsidR="00E0244C" w:rsidRPr="00483F7D" w:rsidRDefault="00BC60FC" w:rsidP="00BC60FC">
      <w:pPr>
        <w:pStyle w:val="Point1"/>
      </w:pPr>
      <w:r w:rsidRPr="00483F7D">
        <w:t>β)</w:t>
      </w:r>
      <w:r w:rsidRPr="00483F7D">
        <w:tab/>
      </w:r>
      <w:r w:rsidR="00883E4A" w:rsidRPr="00483F7D">
        <w:t>για εμπορεύματα που μεταφέρονται μέσω του Ρήνου, των πλωτών οδών του Ρήνου, του Δούναβη ή των πλωτών οδών του Δούναβη·</w:t>
      </w:r>
    </w:p>
    <w:p w14:paraId="26CA7AEC" w14:textId="4DB385A1" w:rsidR="00E0244C" w:rsidRPr="00483F7D" w:rsidRDefault="00BC60FC" w:rsidP="00BC60FC">
      <w:pPr>
        <w:pStyle w:val="Point1"/>
      </w:pPr>
      <w:r w:rsidRPr="00483F7D">
        <w:t>γ)</w:t>
      </w:r>
      <w:r w:rsidRPr="00483F7D">
        <w:tab/>
      </w:r>
      <w:r w:rsidR="00883E4A" w:rsidRPr="00483F7D">
        <w:t>για εμπορεύματα που μεταφέρονται μέσω σταθερών μεταφορικών εγκαταστάσεων·</w:t>
      </w:r>
    </w:p>
    <w:p w14:paraId="40DA6EC0" w14:textId="2B6178DD" w:rsidR="00E0244C" w:rsidRPr="00483F7D" w:rsidRDefault="00BC60FC" w:rsidP="00BC60FC">
      <w:pPr>
        <w:pStyle w:val="Point1"/>
      </w:pPr>
      <w:r w:rsidRPr="00483F7D">
        <w:t>δ)</w:t>
      </w:r>
      <w:r w:rsidRPr="00483F7D">
        <w:tab/>
      </w:r>
      <w:r w:rsidR="007A1FD7" w:rsidRPr="00483F7D">
        <w:t>σε ειδικές περιπτώσεις, όταν εμπορεύματα έχουν υπαχθεί στο καθεστώς προσωρινής εισαγωγής·</w:t>
      </w:r>
    </w:p>
    <w:p w14:paraId="16D78C60" w14:textId="0C57C646" w:rsidR="00E0244C" w:rsidRPr="00483F7D" w:rsidRDefault="00BC60FC" w:rsidP="00BC60FC">
      <w:pPr>
        <w:pStyle w:val="Point1"/>
      </w:pPr>
      <w:r w:rsidRPr="00483F7D">
        <w:t>ε)</w:t>
      </w:r>
      <w:r w:rsidRPr="00483F7D">
        <w:tab/>
      </w:r>
      <w:r w:rsidR="00883E4A" w:rsidRPr="00483F7D">
        <w:t>για εμπορεύματα που μεταφέρονται διά θαλάσσιας ή αεροπορικής οδού μεταξύ ενωσιακών λιμένων ή αερολιμένων.</w:t>
      </w:r>
    </w:p>
    <w:p w14:paraId="6631036F" w14:textId="77777777" w:rsidR="00E0244C" w:rsidRPr="00483F7D" w:rsidRDefault="007A1FD7">
      <w:pPr>
        <w:pStyle w:val="ManualNumPar10"/>
      </w:pPr>
      <w:r w:rsidRPr="00483F7D">
        <w:t>8.</w:t>
      </w:r>
      <w:r w:rsidRPr="00483F7D">
        <w:tab/>
      </w:r>
      <w:bookmarkStart w:id="164" w:name="_Hlk134197003"/>
      <w:r w:rsidRPr="00483F7D">
        <w:t>Οι τελωνειακές αρχές μπορούν να άρουν την απαίτηση για σύσταση εγγύησης όταν το ποσό του εισαγωγικού ή εξαγωγικού δασμού που πρόκειται να διασφαλιστεί δεν υπερβαίνει την αξία του στατιστικού κατωφλίου των 1 000 EUR.</w:t>
      </w:r>
      <w:bookmarkEnd w:id="164"/>
    </w:p>
    <w:p w14:paraId="015D9AE3" w14:textId="77777777" w:rsidR="00E0244C" w:rsidRPr="00483F7D" w:rsidRDefault="007A1FD7">
      <w:pPr>
        <w:pStyle w:val="ManualNumPar10"/>
      </w:pPr>
      <w:r w:rsidRPr="00483F7D">
        <w:t>9.</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ειδικών περιπτώσεων κατά τις οποίες δεν απαιτείται η σύσταση εγγύησης για εμπορεύματα που έχουν υπαχθεί στο καθεστώς προσωρινής εισαγωγής, όπως αναφέρεται στην παράγραφο 7 στοιχείο δ).</w:t>
      </w:r>
    </w:p>
    <w:p w14:paraId="7F0B969B" w14:textId="77777777" w:rsidR="00E0244C" w:rsidRPr="00483F7D" w:rsidRDefault="007A1FD7">
      <w:pPr>
        <w:pStyle w:val="ManualNumPar10"/>
      </w:pPr>
      <w:r w:rsidRPr="00483F7D">
        <w:t>10.</w:t>
      </w:r>
      <w:r w:rsidRPr="00483F7D">
        <w:tab/>
        <w:t>Η Επιτροπή ορίζει, με εκτελεστικές πράξεις, τους διαδικαστικούς κανόνες σχετικά με τη σύσταση και την παρακολούθηση της εγγύησης που αναφέρεται στο παρόν άρθρο. Οι εν λόγω εκτελεστικές πράξεις εκδίδονται σύμφωνα με τη διαδικασία εξέτασης που αναφέρεται στο άρθρο 262 παράγραφος 4.</w:t>
      </w:r>
    </w:p>
    <w:p w14:paraId="7A9DB596" w14:textId="77777777" w:rsidR="00E0244C" w:rsidRPr="00483F7D" w:rsidRDefault="007A1FD7">
      <w:pPr>
        <w:pStyle w:val="Titrearticle"/>
      </w:pPr>
      <w:bookmarkStart w:id="165" w:name="__akn_article_G4hmdW"/>
      <w:bookmarkEnd w:id="165"/>
      <w:r w:rsidRPr="00483F7D">
        <w:t>Άρθρο 171</w:t>
      </w:r>
    </w:p>
    <w:p w14:paraId="0F4C3BD9" w14:textId="77777777" w:rsidR="00E0244C" w:rsidRPr="00483F7D" w:rsidRDefault="007A1FD7">
      <w:pPr>
        <w:pStyle w:val="NormalCentered"/>
      </w:pPr>
      <w:r w:rsidRPr="00483F7D">
        <w:rPr>
          <w:b/>
        </w:rPr>
        <w:t>Ποσό αναφοράς υποχρεωτικής εγγύησης</w:t>
      </w:r>
    </w:p>
    <w:p w14:paraId="7AA0AD26" w14:textId="77777777" w:rsidR="00E0244C" w:rsidRPr="00483F7D" w:rsidRDefault="007A1FD7">
      <w:pPr>
        <w:pStyle w:val="ManualNumPar10"/>
      </w:pPr>
      <w:r w:rsidRPr="00483F7D">
        <w:t>1.</w:t>
      </w:r>
      <w:r w:rsidRPr="00483F7D">
        <w:tab/>
        <w:t>Όταν οι τελωνειακές αρχές πρέπει να απαιτήσουν τη σύσταση εγγύησης και μπορούν να καθορίσουν το ακριβές ποσό του εισαγωγικού ή εξαγωγικού δασμού που αντιστοιχεί στην τελωνειακή οφειλή και των λοιπών επιβαρύνσεων κατά τη στιγμή που απαιτείται η εγγύηση, η εγγύηση καλύπτει το ακριβές αυτό ποσό.</w:t>
      </w:r>
    </w:p>
    <w:p w14:paraId="011F894A" w14:textId="77777777" w:rsidR="00E0244C" w:rsidRPr="00483F7D" w:rsidRDefault="007A1FD7">
      <w:pPr>
        <w:pStyle w:val="Text1"/>
      </w:pPr>
      <w:r w:rsidRPr="00483F7D">
        <w:t>Όταν δεν είναι δυνατό να καθοριστεί το ακριβές ποσό, η εγγύηση καθορίζεται στο μέγιστο ποσό, όπως υπολογίζεται από τις τελωνειακές αρχές, του εισαγωγικού ή εξαγωγικού δασμού που αντιστοιχεί στην τελωνειακή οφειλή και των λοιπών επιβαρύνσεων που έχουν γεννηθεί ή είναι δυνατό να γεννηθούν.</w:t>
      </w:r>
    </w:p>
    <w:p w14:paraId="31E28060" w14:textId="77777777" w:rsidR="00E0244C" w:rsidRPr="00483F7D" w:rsidRDefault="007A1FD7">
      <w:pPr>
        <w:pStyle w:val="ManualNumPar10"/>
      </w:pPr>
      <w:r w:rsidRPr="00483F7D">
        <w:t>2.</w:t>
      </w:r>
      <w:r w:rsidRPr="00483F7D">
        <w:tab/>
        <w:t xml:space="preserve">Με την επιφύλαξη του άρθρου </w:t>
      </w:r>
      <w:hyperlink w:anchor="__akn_article_F7ESJ7" w:tooltip="Article 176: 176">
        <w:r w:rsidRPr="00483F7D">
          <w:rPr>
            <w:rStyle w:val="Hyperlink"/>
          </w:rPr>
          <w:t>176</w:t>
        </w:r>
      </w:hyperlink>
      <w:r w:rsidRPr="00483F7D">
        <w:t>, σε περίπτωση σύστασης συνολικής εγγύησης για το ποσό του εισαγωγικού ή εξαγωγικού δασμού που αντιστοιχεί σε τελωνειακές οφειλές και λοιπές επιβαρύνσεις των οποίων το ποσό ποικίλλει διαχρονικά, το ποσό της εν λόγω εγγύησης καθορίζεται σε επίπεδο που παρέχει τη δυνατότητα να καλύπτεται, ανά πάσα στιγμή, το ποσό του εισαγωγικού ή εξαγωγικού δασμού που αντιστοιχεί στις τελωνειακές οφειλές και στις λοιπές επιβαρύνσεις.</w:t>
      </w:r>
    </w:p>
    <w:p w14:paraId="5963A7F5" w14:textId="77777777" w:rsidR="00E0244C" w:rsidRPr="00483F7D" w:rsidRDefault="007A1FD7">
      <w:pPr>
        <w:pStyle w:val="Titrearticle"/>
      </w:pPr>
      <w:r w:rsidRPr="00483F7D">
        <w:t>Άρθρο 172</w:t>
      </w:r>
    </w:p>
    <w:p w14:paraId="5F2F597A" w14:textId="77777777" w:rsidR="00E0244C" w:rsidRPr="00483F7D" w:rsidRDefault="007A1FD7">
      <w:pPr>
        <w:pStyle w:val="NormalCentered"/>
      </w:pPr>
      <w:r w:rsidRPr="00483F7D">
        <w:rPr>
          <w:b/>
        </w:rPr>
        <w:t>Ποσό αναφοράς της προληπτικής εγγύησης</w:t>
      </w:r>
    </w:p>
    <w:p w14:paraId="36887C08" w14:textId="77777777" w:rsidR="00E0244C" w:rsidRPr="00483F7D" w:rsidRDefault="007A1FD7" w:rsidP="00C343E0">
      <w:r w:rsidRPr="00483F7D">
        <w:t xml:space="preserve">Όταν η σύσταση εγγύησης δεν είναι υποχρεωτική, αλλά οι τελωνειακές αρχές δεν είναι βέβαιες ότι το ποσό του εισαγωγικού ή εξαγωγικού δασμού που αντιστοιχεί σε τελωνειακή οφειλή και λοιπές επιβαρύνσεις θα καταβληθεί εντός της καθορισμένης προθεσμίας, οι τελωνειακές αρχές απαιτούν εγγύηση για ποσό που δεν μπορεί να υπερβαίνει το επίπεδο που αναφέρεται στο άρθρο </w:t>
      </w:r>
      <w:hyperlink w:anchor="__akn_article_G4hmdW" w:tooltip="Article 171: 171">
        <w:r w:rsidRPr="00483F7D">
          <w:rPr>
            <w:rStyle w:val="Hyperlink"/>
            <w:color w:val="auto"/>
            <w:u w:val="none"/>
          </w:rPr>
          <w:t>171</w:t>
        </w:r>
      </w:hyperlink>
      <w:r w:rsidRPr="00483F7D">
        <w:t>.</w:t>
      </w:r>
    </w:p>
    <w:p w14:paraId="2D0B0929" w14:textId="77777777" w:rsidR="00E0244C" w:rsidRPr="00483F7D" w:rsidRDefault="007A1FD7">
      <w:pPr>
        <w:pStyle w:val="Titrearticle"/>
      </w:pPr>
      <w:r w:rsidRPr="00483F7D">
        <w:t>Άρθρο 173</w:t>
      </w:r>
    </w:p>
    <w:p w14:paraId="1B6B43F6" w14:textId="77777777" w:rsidR="00E0244C" w:rsidRPr="00483F7D" w:rsidRDefault="007A1FD7">
      <w:pPr>
        <w:pStyle w:val="NormalCentered"/>
      </w:pPr>
      <w:r w:rsidRPr="00483F7D">
        <w:rPr>
          <w:b/>
        </w:rPr>
        <w:t>Σύσταση εγγύησης</w:t>
      </w:r>
    </w:p>
    <w:p w14:paraId="7D1AF494" w14:textId="77777777" w:rsidR="00E0244C" w:rsidRPr="00483F7D" w:rsidRDefault="007A1FD7">
      <w:pPr>
        <w:pStyle w:val="ManualNumPar10"/>
      </w:pPr>
      <w:bookmarkStart w:id="166" w:name="__akn_article_CJrJtF_caLFHe"/>
      <w:bookmarkEnd w:id="166"/>
      <w:r w:rsidRPr="00483F7D">
        <w:t>1.</w:t>
      </w:r>
      <w:r w:rsidRPr="00483F7D">
        <w:tab/>
        <w:t>Η εγγύηση μπορεί να συστήνεται με μία από τις ακόλουθες μορφές:</w:t>
      </w:r>
    </w:p>
    <w:p w14:paraId="0E25C529" w14:textId="51C2E548" w:rsidR="00E0244C" w:rsidRPr="00483F7D" w:rsidRDefault="00BC60FC" w:rsidP="00BC60FC">
      <w:pPr>
        <w:pStyle w:val="Point1"/>
      </w:pPr>
      <w:r w:rsidRPr="00483F7D">
        <w:t>α)</w:t>
      </w:r>
      <w:r w:rsidRPr="00483F7D">
        <w:tab/>
      </w:r>
      <w:r w:rsidR="007A1FD7" w:rsidRPr="00483F7D">
        <w:t>με οποιονδήποτε τρόπο πληρωμής αναγνωρίζεται από τις τελωνειακές αρχές, σε ευρώ ή στο νόμισμα του κράτους μέλους στο οποίο απαιτείται η εγγύηση·</w:t>
      </w:r>
    </w:p>
    <w:p w14:paraId="5A095EE1" w14:textId="655208C1" w:rsidR="00E0244C" w:rsidRPr="00483F7D" w:rsidRDefault="00BC60FC" w:rsidP="00BC60FC">
      <w:pPr>
        <w:pStyle w:val="Point1"/>
      </w:pPr>
      <w:r w:rsidRPr="00483F7D">
        <w:t>β)</w:t>
      </w:r>
      <w:r w:rsidRPr="00483F7D">
        <w:tab/>
      </w:r>
      <w:r w:rsidR="007A1FD7" w:rsidRPr="00483F7D">
        <w:t>με ανάληψη υποχρέωσης από τριτεγγυητή·</w:t>
      </w:r>
    </w:p>
    <w:p w14:paraId="3489C54A" w14:textId="1DC22866" w:rsidR="00E0244C" w:rsidRPr="00483F7D" w:rsidRDefault="00BC60FC" w:rsidP="00BC60FC">
      <w:pPr>
        <w:pStyle w:val="Point1"/>
      </w:pPr>
      <w:r w:rsidRPr="00483F7D">
        <w:t>γ)</w:t>
      </w:r>
      <w:r w:rsidRPr="00483F7D">
        <w:tab/>
      </w:r>
      <w:r w:rsidR="007A1FD7" w:rsidRPr="00483F7D">
        <w:t>με άλλη μορφή εγγύησης που εξασφαλίζει κατά τρόπο ισοδύναμο την πληρωμή του ποσού του εισαγωγικού ή εξαγωγικού δασμού που αντιστοιχεί στην τελωνειακή οφειλή και λοιπών επιβαρύνσεων.</w:t>
      </w:r>
    </w:p>
    <w:p w14:paraId="246282C6" w14:textId="77777777" w:rsidR="00E0244C" w:rsidRPr="00483F7D" w:rsidRDefault="007A1FD7">
      <w:pPr>
        <w:pStyle w:val="ManualNumPar10"/>
      </w:pPr>
      <w:r w:rsidRPr="00483F7D">
        <w:t>2.</w:t>
      </w:r>
      <w:r w:rsidRPr="00483F7D">
        <w:tab/>
        <w:t>Η εγγύηση με μορφή κατάθεσης μετρητών ή με κάθε άλλο ισοδύναμο τρόπο πληρωμής συστήνεται σύμφωνα με τις ισχύουσες διατάξεις του κράτους μέλους στο οποίο απαιτείται η εγγύηση.</w:t>
      </w:r>
    </w:p>
    <w:p w14:paraId="723FA611" w14:textId="77777777" w:rsidR="00E0244C" w:rsidRPr="00483F7D" w:rsidRDefault="007A1FD7">
      <w:pPr>
        <w:pStyle w:val="Text1"/>
      </w:pPr>
      <w:r w:rsidRPr="00483F7D">
        <w:t>Η σύσταση εγγύησης με οποιονδήποτε τρόπο πληρωμής αναγνωρίζεται από τις τελωνειακές αρχές δεν γεννά απαίτηση για την καταβολή τόκων εκ μέρους των τελωνειακών αρχών.</w:t>
      </w:r>
    </w:p>
    <w:p w14:paraId="0ED2C69A" w14:textId="77777777" w:rsidR="00E0244C" w:rsidRPr="00483F7D" w:rsidRDefault="007A1FD7">
      <w:pPr>
        <w:pStyle w:val="ManualNumPar10"/>
      </w:pPr>
      <w:r w:rsidRPr="00483F7D">
        <w:t>3.</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της μορφής της εγγύησης που αναφέρεται στην παράγραφο 1 στοιχείο γ).</w:t>
      </w:r>
    </w:p>
    <w:p w14:paraId="4719AF21" w14:textId="77777777" w:rsidR="00E0244C" w:rsidRPr="00483F7D" w:rsidRDefault="007A1FD7">
      <w:pPr>
        <w:pStyle w:val="Titrearticle"/>
      </w:pPr>
      <w:r w:rsidRPr="00483F7D">
        <w:t>Άρθρο 174</w:t>
      </w:r>
    </w:p>
    <w:p w14:paraId="3F604CC5" w14:textId="77777777" w:rsidR="00E0244C" w:rsidRPr="00483F7D" w:rsidRDefault="007A1FD7">
      <w:pPr>
        <w:pStyle w:val="NormalCentered"/>
      </w:pPr>
      <w:r w:rsidRPr="00483F7D">
        <w:rPr>
          <w:b/>
        </w:rPr>
        <w:t>Επιλογή εγγύησης</w:t>
      </w:r>
    </w:p>
    <w:p w14:paraId="6C6DFBDA" w14:textId="77777777" w:rsidR="00E0244C" w:rsidRPr="00483F7D" w:rsidRDefault="007A1FD7">
      <w:r w:rsidRPr="00483F7D">
        <w:t xml:space="preserve">Το πρόσωπο που οφείλει να συστήσει εγγύηση, έχει τη δυνατότητα επιλογής μεταξύ των μορφών εγγύησης που καθορίζονται στο άρθρο 173 παράγραφος </w:t>
      </w:r>
      <w:hyperlink w:anchor="__akn_article_CJrJtF_caLFHe" w:tooltip="Article 173(1): (1)">
        <w:r w:rsidRPr="00483F7D">
          <w:rPr>
            <w:rStyle w:val="Hyperlink"/>
          </w:rPr>
          <w:t>1</w:t>
        </w:r>
      </w:hyperlink>
      <w:r w:rsidRPr="00483F7D">
        <w:t>.</w:t>
      </w:r>
    </w:p>
    <w:p w14:paraId="5263D5AD" w14:textId="77777777" w:rsidR="00E0244C" w:rsidRPr="00483F7D" w:rsidRDefault="007A1FD7">
      <w:r w:rsidRPr="00483F7D">
        <w:t>Ωστόσο, οι τελωνειακές αρχές μπορούν να αρνηθούν να δεχθούν τη μορφή εγγύησης που έχει επιλεγεί, όταν αυτή δεν είναι συμβατή με την ορθή λειτουργία του συγκεκριμένου τελωνειακού καθεστώτος.</w:t>
      </w:r>
    </w:p>
    <w:p w14:paraId="5B0934DF" w14:textId="77777777" w:rsidR="00E0244C" w:rsidRPr="00483F7D" w:rsidRDefault="007A1FD7">
      <w:r w:rsidRPr="00483F7D">
        <w:t>Οι τελωνειακές αρχές μπορούν να απαιτήσουν τη διατήρηση, επί συγκεκριμένη περίοδο, της μορφής εγγύησης που έχει επιλεγεί.</w:t>
      </w:r>
    </w:p>
    <w:p w14:paraId="0B3E45DA" w14:textId="77777777" w:rsidR="00E0244C" w:rsidRPr="00483F7D" w:rsidRDefault="007A1FD7">
      <w:pPr>
        <w:pStyle w:val="Titrearticle"/>
      </w:pPr>
      <w:bookmarkStart w:id="167" w:name="_Hlk132360382"/>
      <w:r w:rsidRPr="00483F7D">
        <w:t>Άρθρο 175</w:t>
      </w:r>
    </w:p>
    <w:p w14:paraId="6F0A72D1" w14:textId="77777777" w:rsidR="00E0244C" w:rsidRPr="00483F7D" w:rsidRDefault="007A1FD7">
      <w:pPr>
        <w:pStyle w:val="NormalCentered"/>
      </w:pPr>
      <w:r w:rsidRPr="00483F7D">
        <w:rPr>
          <w:b/>
        </w:rPr>
        <w:t>Τριτεγγυητής</w:t>
      </w:r>
    </w:p>
    <w:p w14:paraId="7EE3A5B9" w14:textId="77777777" w:rsidR="00E0244C" w:rsidRPr="00483F7D" w:rsidRDefault="007A1FD7">
      <w:pPr>
        <w:pStyle w:val="ManualNumPar10"/>
      </w:pPr>
      <w:r w:rsidRPr="00483F7D">
        <w:t>1.</w:t>
      </w:r>
      <w:r w:rsidRPr="00483F7D">
        <w:tab/>
        <w:t xml:space="preserve">Ο τριτεγγυητής που αναφέρεται στο άρθρο 173 παράγραφος 1 στοιχείο </w:t>
      </w:r>
      <w:hyperlink w:anchor="__akn_article_CJrJtF_40VItx" w:tooltip="Article 173(1), point (b): (b)">
        <w:r w:rsidRPr="00483F7D">
          <w:rPr>
            <w:rStyle w:val="Hyperlink"/>
          </w:rPr>
          <w:t>β)</w:t>
        </w:r>
      </w:hyperlink>
      <w:r w:rsidRPr="00483F7D">
        <w:t xml:space="preserve"> είναι τρίτο πρόσωπο που κατοικεί, είναι εγγεγραμμένο σε μητρώο ή εγκατεστημένο στο τελωνειακό έδαφος της Ένωσης. Ο τριτεγγυητής εγκρίνεται από τις τελωνειακές αρχές που απαιτούν την εγγύηση, εκτός αν πρόκειται για πιστωτικό ίδρυμα, χρηματοπιστωτικό ίδρυμα ή ασφαλιστική εταιρεία διαπιστευμένα στην Ένωση σύμφωνα με τις ισχύουσες ενωσιακές διατάξεις.</w:t>
      </w:r>
    </w:p>
    <w:bookmarkEnd w:id="167"/>
    <w:p w14:paraId="7E599653" w14:textId="77777777" w:rsidR="00E0244C" w:rsidRPr="00483F7D" w:rsidRDefault="007A1FD7">
      <w:pPr>
        <w:pStyle w:val="ManualNumPar10"/>
      </w:pPr>
      <w:r w:rsidRPr="00483F7D">
        <w:t>2.</w:t>
      </w:r>
      <w:r w:rsidRPr="00483F7D">
        <w:tab/>
        <w:t>Ο τριτεγγυητής αναλαμβάνει γραπτώς την ευθύνη να καταβάλει το εγγυημένο ποσό του εισαγωγικού ή εξαγωγικού δασμού που αντιστοιχεί σε τελωνειακή οφειλή και τις λοιπές επιβαρύνσεις.</w:t>
      </w:r>
    </w:p>
    <w:p w14:paraId="4DE8F28D" w14:textId="77777777" w:rsidR="00E0244C" w:rsidRPr="00483F7D" w:rsidRDefault="007A1FD7">
      <w:pPr>
        <w:pStyle w:val="ManualNumPar10"/>
      </w:pPr>
      <w:r w:rsidRPr="00483F7D">
        <w:t>3.</w:t>
      </w:r>
      <w:r w:rsidRPr="00483F7D">
        <w:tab/>
        <w:t>Οι τελωνειακές αρχές μπορούν να αρνηθούν να εγκρίνουν τον προτεινόμενο τριτεγγυητή ή το προτεινόμενο είδος εγγύησης, όταν κρίνουν ότι δεν εξασφαλίζεται απόλυτα η καταβολή εντός της καθορισμένης προθεσμίας του ποσού του εισαγωγικού ή εξαγωγικού δασμού που αντιστοιχεί στην τελωνειακή οφειλή και των λοιπών επιβαρύνσεων.</w:t>
      </w:r>
    </w:p>
    <w:p w14:paraId="7CADE38F" w14:textId="77777777" w:rsidR="00E0244C" w:rsidRPr="00483F7D" w:rsidRDefault="007A1FD7">
      <w:pPr>
        <w:pStyle w:val="ManualNumPar10"/>
      </w:pPr>
      <w:r w:rsidRPr="00483F7D">
        <w:t>4.</w:t>
      </w:r>
      <w:r w:rsidRPr="00483F7D">
        <w:tab/>
        <w:t>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κανόνων σχετικά με τις μορφές σύστασης εγγύησης και των κανόνων που ισχύουν για τον τριτεγγυητή που αναφέρεται στο παρόν άρθρο.</w:t>
      </w:r>
    </w:p>
    <w:p w14:paraId="35FFEB12" w14:textId="77777777" w:rsidR="00E0244C" w:rsidRPr="00483F7D" w:rsidRDefault="007A1FD7">
      <w:pPr>
        <w:pStyle w:val="ManualNumPar10"/>
      </w:pPr>
      <w:r w:rsidRPr="00483F7D">
        <w:t>5.</w:t>
      </w:r>
      <w:r w:rsidRPr="00483F7D">
        <w:tab/>
        <w:t>Η Επιτροπή ορίζει, με εκτελεστικές πράξεις, τους διαδικαστικούς κανόνες σχετικά με την ανάκληση και υπαναχώρηση του τριτεγγυητή από τις υποχρεώσεις του που αναφέρονται στο παρόν άρθρο. Οι εν λόγω εκτελεστικές πράξεις εκδίδονται σύμφωνα με τη διαδικασία εξέτασης που αναφέρεται στο άρθρο 262 παράγραφος 4.</w:t>
      </w:r>
    </w:p>
    <w:p w14:paraId="35E9F0C6" w14:textId="77777777" w:rsidR="00E0244C" w:rsidRPr="00483F7D" w:rsidRDefault="007A1FD7">
      <w:pPr>
        <w:pStyle w:val="Titrearticle"/>
      </w:pPr>
      <w:bookmarkStart w:id="168" w:name="__akn_article_F7ESJ7"/>
      <w:bookmarkEnd w:id="168"/>
      <w:r w:rsidRPr="00483F7D">
        <w:t>Άρθρο 176</w:t>
      </w:r>
    </w:p>
    <w:p w14:paraId="6AC6B099" w14:textId="77777777" w:rsidR="00E0244C" w:rsidRPr="00483F7D" w:rsidRDefault="007A1FD7">
      <w:pPr>
        <w:pStyle w:val="NormalCentered"/>
      </w:pPr>
      <w:r w:rsidRPr="00483F7D">
        <w:rPr>
          <w:b/>
        </w:rPr>
        <w:t>Συνολική εγγύηση</w:t>
      </w:r>
    </w:p>
    <w:p w14:paraId="6371C129" w14:textId="77777777" w:rsidR="00E0244C" w:rsidRPr="00483F7D" w:rsidRDefault="007A1FD7">
      <w:pPr>
        <w:pStyle w:val="ManualNumPar10"/>
      </w:pPr>
      <w:bookmarkStart w:id="169" w:name="__akn_article_F7ESJ7_8HFTZX"/>
      <w:bookmarkEnd w:id="169"/>
      <w:r w:rsidRPr="00483F7D">
        <w:t>1.</w:t>
      </w:r>
      <w:r w:rsidRPr="00483F7D">
        <w:tab/>
        <w:t xml:space="preserve">Οι τελωνειακές αρχές μπορούν να χορηγούν την άδεια που αναφέρεται στο άρθρο 170 παράγραφος </w:t>
      </w:r>
      <w:hyperlink w:anchor="__akn_article_gKJWKR_h7Q7rD" w:tooltip="Article 170(5): (5)">
        <w:r w:rsidRPr="00483F7D">
          <w:rPr>
            <w:rStyle w:val="Hyperlink"/>
          </w:rPr>
          <w:t>5</w:t>
        </w:r>
      </w:hyperlink>
      <w:r w:rsidRPr="00483F7D">
        <w:t xml:space="preserve"> μόνο σε πρόσωπα που πληρούν τους ακόλουθους όρους:</w:t>
      </w:r>
    </w:p>
    <w:p w14:paraId="1E0C2B2C" w14:textId="2FD49461" w:rsidR="00E0244C" w:rsidRPr="00483F7D" w:rsidRDefault="00BC60FC" w:rsidP="00BC60FC">
      <w:pPr>
        <w:pStyle w:val="Point1"/>
      </w:pPr>
      <w:r w:rsidRPr="00483F7D">
        <w:t>α)</w:t>
      </w:r>
      <w:r w:rsidRPr="00483F7D">
        <w:tab/>
      </w:r>
      <w:r w:rsidR="007A1FD7" w:rsidRPr="00483F7D">
        <w:t>είναι εγκατεστημένα στο τελωνειακό έδαφος της Ένωσης·</w:t>
      </w:r>
    </w:p>
    <w:p w14:paraId="53E0F254" w14:textId="55BD0B56" w:rsidR="00E0244C" w:rsidRPr="00483F7D" w:rsidRDefault="00BC60FC" w:rsidP="00BC60FC">
      <w:pPr>
        <w:pStyle w:val="Point1"/>
      </w:pPr>
      <w:r w:rsidRPr="00483F7D">
        <w:t>β)</w:t>
      </w:r>
      <w:r w:rsidRPr="00483F7D">
        <w:tab/>
      </w:r>
      <w:r w:rsidR="007A1FD7" w:rsidRPr="00483F7D">
        <w:t xml:space="preserve">πληρούν τα κριτήρια του άρθρου 24 παράγραφος 1 στοιχείο </w:t>
      </w:r>
      <w:hyperlink w:anchor="_bill__akn_article_KWXF5n_cFbI2m" w:tooltip="Article 24(1), point (a): (a)">
        <w:r w:rsidR="007A1FD7" w:rsidRPr="00483F7D">
          <w:t>α)</w:t>
        </w:r>
      </w:hyperlink>
      <w:r w:rsidR="007A1FD7" w:rsidRPr="00483F7D">
        <w:t>·</w:t>
      </w:r>
    </w:p>
    <w:p w14:paraId="77BD54F5" w14:textId="72C5216C" w:rsidR="00E0244C" w:rsidRPr="00483F7D" w:rsidRDefault="00BC60FC" w:rsidP="00BC60FC">
      <w:pPr>
        <w:pStyle w:val="Point1"/>
      </w:pPr>
      <w:r w:rsidRPr="00483F7D">
        <w:t>γ)</w:t>
      </w:r>
      <w:r w:rsidRPr="00483F7D">
        <w:tab/>
      </w:r>
      <w:r w:rsidR="007A1FD7" w:rsidRPr="00483F7D">
        <w:t xml:space="preserve">χρησιμοποιούν τακτικά τα σχετικά τελωνειακά καθεστώτα ή εκμεταλλεύονται εγκαταστάσεις προσωρινής εναπόθεσης ή πληρούν τα κριτήρια του άρθρου 24 παράγραφος 1 στοιχείο </w:t>
      </w:r>
      <w:hyperlink w:anchor="_bill__akn_article_KWXF5n_fYYgaV" w:tooltip="Article 24(1), point (d): (d)">
        <w:r w:rsidR="007A1FD7" w:rsidRPr="00483F7D">
          <w:t>δ)</w:t>
        </w:r>
      </w:hyperlink>
      <w:r w:rsidR="007A1FD7" w:rsidRPr="00483F7D">
        <w:t>.</w:t>
      </w:r>
    </w:p>
    <w:p w14:paraId="3571300B" w14:textId="77777777" w:rsidR="00E0244C" w:rsidRPr="00483F7D" w:rsidRDefault="007A1FD7">
      <w:pPr>
        <w:pStyle w:val="ManualNumPar10"/>
      </w:pPr>
      <w:bookmarkStart w:id="170" w:name="__akn_article_F7ESJ7_xh4Due"/>
      <w:bookmarkEnd w:id="170"/>
      <w:r w:rsidRPr="00483F7D">
        <w:t>2.</w:t>
      </w:r>
      <w:r w:rsidRPr="00483F7D">
        <w:tab/>
        <w:t xml:space="preserve">Οι τελωνειακές αρχές μπορούν να επιτρέπουν σε οικονομικό φορέα ο οποίος πληροί τα κριτήρια που ορίζονται στο άρθρο 24 παράγραφος 1 στοιχεία </w:t>
      </w:r>
      <w:hyperlink w:anchor="_bill__akn_article_KWXF5n_nh0s2A" w:tooltip="Article 24(1), points (b) and (c): (b)">
        <w:r w:rsidRPr="00483F7D">
          <w:rPr>
            <w:rStyle w:val="Hyperlink"/>
          </w:rPr>
          <w:t>β)</w:t>
        </w:r>
      </w:hyperlink>
      <w:r w:rsidRPr="00483F7D">
        <w:t xml:space="preserve"> και </w:t>
      </w:r>
      <w:hyperlink w:anchor="_bill__akn_article_KWXF5n_FfVblC" w:tooltip="Article 24(1), points (b) and (c): (c)">
        <w:r w:rsidRPr="00483F7D">
          <w:rPr>
            <w:rStyle w:val="Hyperlink"/>
          </w:rPr>
          <w:t>γ)</w:t>
        </w:r>
      </w:hyperlink>
      <w:r w:rsidRPr="00483F7D">
        <w:t xml:space="preserve"> και σε αξιόπιστους και ελεγμένους συναλλασσομένους να συστήσουν συνολική εγγύηση για ενδεχόμενες τελωνειακές οφειλές και λοιπές επιβαρύνσεις με μειωμένο ποσό ή να ζητήσει άρση της υποχρέωσης σύστασης εγγύησης.</w:t>
      </w:r>
    </w:p>
    <w:p w14:paraId="524CE558" w14:textId="77777777" w:rsidR="00E0244C" w:rsidRPr="00483F7D" w:rsidRDefault="007A1FD7">
      <w:pPr>
        <w:pStyle w:val="ManualNumPar10"/>
      </w:pPr>
      <w:r w:rsidRPr="00483F7D">
        <w:t>3.</w:t>
      </w:r>
      <w:r w:rsidRPr="00483F7D">
        <w:tab/>
        <w:t>Οι τελωνειακές αρχές μπορούν να επιτρέπουν σε εγκεκριμένο οικονομικό φορέα για τελωνειακές απλουστεύσεις και σε αξιόπιστο και ελεγμένο συναλλασσόμενο να συστήσουν συνολική εγγύηση για υπάρχουσες τελωνειακές οφειλές και λοιπές επιβαρύνσεις, κατόπιν αίτησης, με μειωμένο ποσό.</w:t>
      </w:r>
    </w:p>
    <w:p w14:paraId="6B074884" w14:textId="77777777" w:rsidR="00E0244C" w:rsidRPr="00483F7D" w:rsidRDefault="007A1FD7">
      <w:pPr>
        <w:pStyle w:val="ManualNumPar10"/>
      </w:pPr>
      <w:r w:rsidRPr="00483F7D">
        <w:t>4.</w:t>
      </w:r>
      <w:r w:rsidRPr="00483F7D">
        <w:tab/>
        <w:t>Η συνολική εγγύηση για μειωμένο ποσό που αναφέρεται στην παράγραφο 3 ισοδυναμεί με τη σύσταση εγγύησης.</w:t>
      </w:r>
    </w:p>
    <w:p w14:paraId="1175F135"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όρων για τη χορήγηση άδειας χρήσης συνολικής εγγύησης με μειωμένο ποσό ή άρσης της υποχρέωσης σύστασης εγγύησης που αναφέρεται στην παράγραφο 2.</w:t>
      </w:r>
    </w:p>
    <w:p w14:paraId="74B33E77" w14:textId="77777777" w:rsidR="00E0244C" w:rsidRPr="00483F7D" w:rsidRDefault="007A1FD7">
      <w:pPr>
        <w:pStyle w:val="ManualNumPar10"/>
      </w:pPr>
      <w:r w:rsidRPr="00483F7D">
        <w:t>6.</w:t>
      </w:r>
      <w:r w:rsidRPr="00483F7D">
        <w:tab/>
        <w:t>Η Επιτροπή ορίζει, με εκτελεστικές πράξεις, τους διαδικαστικούς κανόνες για τον καθορισμό του ποσού της εγγύησης, συμπεριλαμβανομένου του μειωμένου ποσού που αναφέρεται στην παράγραφο 2. Οι εν λόγω εκτελεστικές πράξεις εκδίδονται σύμφωνα με τη διαδικασία εξέτασης που αναφέρεται στο άρθρο 262 παράγραφος 4.</w:t>
      </w:r>
    </w:p>
    <w:p w14:paraId="1B704E9F" w14:textId="77777777" w:rsidR="00E0244C" w:rsidRPr="00483F7D" w:rsidRDefault="007A1FD7">
      <w:pPr>
        <w:pStyle w:val="Titrearticle"/>
      </w:pPr>
      <w:r w:rsidRPr="00483F7D">
        <w:t>Άρθρο 177</w:t>
      </w:r>
    </w:p>
    <w:p w14:paraId="3E84F91C" w14:textId="77777777" w:rsidR="00E0244C" w:rsidRPr="00483F7D" w:rsidRDefault="007A1FD7">
      <w:pPr>
        <w:pStyle w:val="NormalCentered"/>
      </w:pPr>
      <w:r w:rsidRPr="00483F7D">
        <w:rPr>
          <w:b/>
        </w:rPr>
        <w:t>Προσωρινές απαγορεύσεις σχετικά με τη χρησιμοποίηση συνολικών εγγυήσεων</w:t>
      </w:r>
    </w:p>
    <w:p w14:paraId="0E558EBA" w14:textId="77777777" w:rsidR="00E0244C" w:rsidRPr="00483F7D" w:rsidRDefault="007A1FD7">
      <w:pPr>
        <w:pStyle w:val="ManualNumPar10"/>
      </w:pPr>
      <w:r w:rsidRPr="00483F7D">
        <w:t>1.</w:t>
      </w:r>
      <w:r w:rsidRPr="00483F7D">
        <w:tab/>
        <w:t>Στο πλαίσιο ειδικών καθεστώτων ή προσωρινής εναπόθεσης, η Επιτροπή μπορεί να αποφασίσει να απαγορεύσει προσωρινά τη χρήση οποιασδήποτε από τις ακόλουθες:</w:t>
      </w:r>
    </w:p>
    <w:p w14:paraId="03512A19" w14:textId="22217764" w:rsidR="00E0244C" w:rsidRPr="00483F7D" w:rsidRDefault="00BC60FC" w:rsidP="00BC60FC">
      <w:pPr>
        <w:pStyle w:val="Point1"/>
      </w:pPr>
      <w:r w:rsidRPr="00483F7D">
        <w:t>α)</w:t>
      </w:r>
      <w:r w:rsidRPr="00483F7D">
        <w:tab/>
      </w:r>
      <w:r w:rsidR="007A1FD7" w:rsidRPr="00483F7D">
        <w:t xml:space="preserve">της συνολικής εγγύησης για μειωμένο ποσό ή άρση της υποχρέωσης σύστασης εγγύησης που αναφέρεται στο άρθρο 176 παράγραφος </w:t>
      </w:r>
      <w:hyperlink w:anchor="__akn_article_F7ESJ7_xh4Due" w:tooltip="Article 176(2): (2)">
        <w:r w:rsidR="007A1FD7" w:rsidRPr="00483F7D">
          <w:rPr>
            <w:rStyle w:val="Hyperlink"/>
          </w:rPr>
          <w:t>2</w:t>
        </w:r>
      </w:hyperlink>
      <w:r w:rsidR="007A1FD7" w:rsidRPr="00483F7D">
        <w:t>,</w:t>
      </w:r>
    </w:p>
    <w:p w14:paraId="5BC8C138" w14:textId="6D71D026" w:rsidR="00E0244C" w:rsidRPr="00483F7D" w:rsidRDefault="00BC60FC" w:rsidP="00BC60FC">
      <w:pPr>
        <w:pStyle w:val="Point1"/>
      </w:pPr>
      <w:r w:rsidRPr="00483F7D">
        <w:t>β)</w:t>
      </w:r>
      <w:r w:rsidRPr="00483F7D">
        <w:tab/>
      </w:r>
      <w:r w:rsidR="007A1FD7" w:rsidRPr="00483F7D">
        <w:t xml:space="preserve">της συνολικής εγγύησης που αναφέρεται στο άρθρο </w:t>
      </w:r>
      <w:hyperlink w:anchor="__akn_article_F7ESJ7" w:tooltip="Article 176: 176">
        <w:r w:rsidR="007A1FD7" w:rsidRPr="00483F7D">
          <w:t>176</w:t>
        </w:r>
      </w:hyperlink>
      <w:r w:rsidR="007A1FD7" w:rsidRPr="00483F7D">
        <w:t xml:space="preserve"> όσον αφορά εμπορεύματα που έχει διαπιστωθεί ότι αποτέλεσαν αντικείμενο απάτης μεγάλης κλίμακας.</w:t>
      </w:r>
    </w:p>
    <w:p w14:paraId="3FA96DC5" w14:textId="77777777" w:rsidR="00E0244C" w:rsidRPr="00483F7D" w:rsidRDefault="007A1FD7">
      <w:pPr>
        <w:pStyle w:val="ManualNumPar10"/>
      </w:pPr>
      <w:r w:rsidRPr="00483F7D">
        <w:t>2.</w:t>
      </w:r>
      <w:r w:rsidRPr="00483F7D">
        <w:tab/>
        <w:t xml:space="preserve">Όταν εφαρμόζεται η παράγραφος 1 στοιχεία α) ή β), μπορεί να επιτραπεί η χρήση συνολικής εγγύησης για μειωμένο ποσό ή η άρση της υποχρέωσης σύστασης εγγύησης ή η χρήση της συνολικής εγγύησης που αναφέρεται στο άρθρο </w:t>
      </w:r>
      <w:hyperlink w:anchor="__akn_article_F7ESJ7" w:tooltip="Article 176: 176">
        <w:r w:rsidRPr="00483F7D">
          <w:rPr>
            <w:rStyle w:val="Hyperlink"/>
          </w:rPr>
          <w:t>176</w:t>
        </w:r>
      </w:hyperlink>
      <w:r w:rsidRPr="00483F7D">
        <w:t xml:space="preserve"> όταν το ενδιαφερόμενο πρόσωπο πληροί έναν από τους ακόλουθους όρους:</w:t>
      </w:r>
    </w:p>
    <w:p w14:paraId="61E4E2AD" w14:textId="0AED208B" w:rsidR="00E0244C" w:rsidRPr="00483F7D" w:rsidRDefault="00BC60FC" w:rsidP="00BC60FC">
      <w:pPr>
        <w:pStyle w:val="Point1"/>
      </w:pPr>
      <w:r w:rsidRPr="00483F7D">
        <w:t>α)</w:t>
      </w:r>
      <w:r w:rsidRPr="00483F7D">
        <w:tab/>
      </w:r>
      <w:r w:rsidR="007A1FD7" w:rsidRPr="00483F7D">
        <w:t>μπορεί να αποδείξει ότι δεν έχει γεννηθεί τελωνειακή οφειλή για τα εν λόγω εμπορεύματα στο πλαίσιο των πράξεων που έχει εκτελέσει κατά τα 2 έτη που προηγούνται της απόφασης η οποία αναφέρεται στην παράγραφο 1·</w:t>
      </w:r>
    </w:p>
    <w:p w14:paraId="24D8E4F6" w14:textId="2F50637F" w:rsidR="00E0244C" w:rsidRPr="00483F7D" w:rsidRDefault="00BC60FC" w:rsidP="00BC60FC">
      <w:pPr>
        <w:pStyle w:val="Point1"/>
      </w:pPr>
      <w:r w:rsidRPr="00483F7D">
        <w:t>β)</w:t>
      </w:r>
      <w:r w:rsidRPr="00483F7D">
        <w:tab/>
      </w:r>
      <w:r w:rsidR="007A1FD7" w:rsidRPr="00483F7D">
        <w:t>στην περίπτωση που έχουν γεννηθεί τελωνειακές οφειλές κατά τα 2 έτη που προηγούνται της απόφασης η οποία αναφέρεται στην παράγραφο 1, μπορεί να αποδείξει ότι οι εν λόγω οφειλές καταβλήθηκαν πλήρως από τον οφειλέτη ή τους οφειλέτες ή τον τριτεγγυητή εντός της καθορισμένης προθεσμίας.</w:t>
      </w:r>
    </w:p>
    <w:p w14:paraId="2FD46A3D" w14:textId="77777777" w:rsidR="00E0244C" w:rsidRPr="00483F7D" w:rsidRDefault="007A1FD7">
      <w:pPr>
        <w:pStyle w:val="Text1"/>
      </w:pPr>
      <w:r w:rsidRPr="00483F7D">
        <w:t xml:space="preserve">Για να λάβει άδεια χρήσης προσωρινά απαγορευμένης συνολικής εγγύησης, το ενδιαφερόμενο πρόσωπο πρέπει επίσης να πληροί τα κριτήρια που ορίζονται στο άρθρο 24 παράγραφος 1 στοιχεία </w:t>
      </w:r>
      <w:hyperlink w:anchor="_bill__akn_article_KWXF5n_nh0s2A" w:tooltip="Article 24(1), points (b) and (c): (b)">
        <w:r w:rsidRPr="00483F7D">
          <w:rPr>
            <w:rStyle w:val="Hyperlink"/>
          </w:rPr>
          <w:t>β)</w:t>
        </w:r>
      </w:hyperlink>
      <w:r w:rsidRPr="00483F7D">
        <w:t xml:space="preserve"> και </w:t>
      </w:r>
      <w:hyperlink w:anchor="_bill__akn_article_KWXF5n_FfVblC" w:tooltip="Article 24(1), points (b) and (c): (c)">
        <w:r w:rsidRPr="00483F7D">
          <w:rPr>
            <w:rStyle w:val="Hyperlink"/>
          </w:rPr>
          <w:t>γ)</w:t>
        </w:r>
      </w:hyperlink>
      <w:r w:rsidRPr="00483F7D">
        <w:t>.</w:t>
      </w:r>
    </w:p>
    <w:p w14:paraId="02FC7AD5" w14:textId="77777777" w:rsidR="00E0244C" w:rsidRPr="00483F7D" w:rsidRDefault="007A1FD7">
      <w:pPr>
        <w:pStyle w:val="ManualNumPar10"/>
      </w:pPr>
      <w:r w:rsidRPr="00483F7D">
        <w:t>3.</w:t>
      </w:r>
      <w:r w:rsidRPr="00483F7D">
        <w:tab/>
        <w:t xml:space="preserve">Η Επιτροπή ορίζει, με εκτελεστικές πράξεις, τους κανόνες σχετικά με τις προσωρινές απαγορεύσεις που αφορούν τη χρησιμοποίηση συνολικών εγγυήσεων οι οποίες αναφέρονται στην παράγραφο 1.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2B00FA99" w14:textId="77777777" w:rsidR="00E0244C" w:rsidRPr="00483F7D" w:rsidRDefault="007A1FD7">
      <w:pPr>
        <w:pStyle w:val="Text1"/>
      </w:pPr>
      <w:r w:rsidRPr="00483F7D">
        <w:t xml:space="preserve">Όταν συντρέχουν επιτακτικοί λόγοι επείγουσας ανάγκης σχετικοί με τα εν λόγω μέτρα, που δικαιολογούνται δεόντως από την ανάγκη για ταχεία ενίσχυση της προστασίας των δημοσιονομικών συμφερόντων της Ένωσης και των κρατών μελών της, η Επιτροπή εκδίδει εκτελεστικές πράξεις που έχουν άμεση εφαρμογή σύμφωνα με τη διαδικασία που αναφέρεται στο άρθρο 262 παράγραφος </w:t>
      </w:r>
      <w:hyperlink w:anchor="_bill__akn_article_OheJbS_B2A1Cf" w:tooltip="Article 258(5): (5)">
        <w:r w:rsidRPr="00483F7D">
          <w:rPr>
            <w:rStyle w:val="Hyperlink"/>
          </w:rPr>
          <w:t>5</w:t>
        </w:r>
      </w:hyperlink>
      <w:r w:rsidRPr="00483F7D">
        <w:t>.</w:t>
      </w:r>
    </w:p>
    <w:p w14:paraId="5F9A826B" w14:textId="77777777" w:rsidR="00E0244C" w:rsidRPr="00483F7D" w:rsidRDefault="007A1FD7">
      <w:pPr>
        <w:pStyle w:val="Titrearticle"/>
      </w:pPr>
      <w:bookmarkStart w:id="171" w:name="__akn_article_DzbhzR"/>
      <w:bookmarkEnd w:id="171"/>
      <w:r w:rsidRPr="00483F7D">
        <w:t>Άρθρο 178</w:t>
      </w:r>
    </w:p>
    <w:p w14:paraId="458A349D" w14:textId="77777777" w:rsidR="00E0244C" w:rsidRPr="00483F7D" w:rsidRDefault="007A1FD7">
      <w:pPr>
        <w:pStyle w:val="NormalCentered"/>
      </w:pPr>
      <w:r w:rsidRPr="00483F7D">
        <w:rPr>
          <w:b/>
        </w:rPr>
        <w:t>Συμπληρωματική εγγύηση ή αντικατάσταση εγγύησης</w:t>
      </w:r>
    </w:p>
    <w:p w14:paraId="62113A88" w14:textId="77777777" w:rsidR="00E0244C" w:rsidRPr="00483F7D" w:rsidRDefault="007A1FD7">
      <w:r w:rsidRPr="00483F7D">
        <w:t xml:space="preserve">Όταν οι τελωνειακές αρχές διαπιστώνουν ότι η εγγύηση που έχει συσταθεί δεν εξασφαλίζει ή δεν εξασφαλίζει πλέον με βεβαιότητα ή επαρκώς την καταβολή του ποσού του εισαγωγικού ή εξαγωγικού δασμού που αντιστοιχεί στην τελωνειακή οφειλή και των λοιπών επιβαρύνσεων εντός της καθορισμένης προθεσμίας, απαιτούν από οποιοδήποτε από τα πρόσωπα που αναφέρονται στο άρθρο 170 παράγραφος </w:t>
      </w:r>
      <w:hyperlink w:anchor="__akn_article_gKJWKR_275fRJ" w:tooltip="Article 170(3): (3)">
        <w:r w:rsidRPr="00483F7D">
          <w:rPr>
            <w:rStyle w:val="Hyperlink"/>
          </w:rPr>
          <w:t>3</w:t>
        </w:r>
      </w:hyperlink>
      <w:r w:rsidRPr="00483F7D">
        <w:t xml:space="preserve"> είτε την παροχή συμπληρωματικής εγγύησης είτε την αντικατάσταση της αρχικής εγγύησης με νέα εγγύηση, ανάλογα με την επιλογή του εν λόγω προσώπου.</w:t>
      </w:r>
    </w:p>
    <w:p w14:paraId="49FF68E5" w14:textId="77777777" w:rsidR="00E0244C" w:rsidRPr="00483F7D" w:rsidRDefault="007A1FD7">
      <w:pPr>
        <w:pStyle w:val="Titrearticle"/>
      </w:pPr>
      <w:r w:rsidRPr="00483F7D">
        <w:t>Άρθρο 179</w:t>
      </w:r>
    </w:p>
    <w:p w14:paraId="6667EBD6" w14:textId="77777777" w:rsidR="00E0244C" w:rsidRPr="00483F7D" w:rsidRDefault="007A1FD7">
      <w:pPr>
        <w:pStyle w:val="NormalCentered"/>
      </w:pPr>
      <w:r w:rsidRPr="00483F7D">
        <w:rPr>
          <w:b/>
        </w:rPr>
        <w:t>Αποδέσμευση της εγγύησης</w:t>
      </w:r>
    </w:p>
    <w:p w14:paraId="3BCF57FE" w14:textId="77777777" w:rsidR="00E0244C" w:rsidRPr="00483F7D" w:rsidRDefault="007A1FD7">
      <w:pPr>
        <w:pStyle w:val="ManualNumPar10"/>
      </w:pPr>
      <w:r w:rsidRPr="00483F7D">
        <w:t>1.</w:t>
      </w:r>
      <w:r w:rsidRPr="00483F7D">
        <w:tab/>
        <w:t>Οι τελωνειακές αρχές αποδεσμεύουν την εγγύηση αμέσως μόλις αποσβεστεί η τελωνειακή οφειλή ή η ευθύνη για λοιπές επιβαρύνσεις ή καταστεί αδύνατη πλέον η γένεσή τους.</w:t>
      </w:r>
    </w:p>
    <w:p w14:paraId="1C6F90A7" w14:textId="77777777" w:rsidR="00E0244C" w:rsidRPr="00483F7D" w:rsidRDefault="007A1FD7">
      <w:pPr>
        <w:pStyle w:val="ManualNumPar10"/>
      </w:pPr>
      <w:r w:rsidRPr="00483F7D">
        <w:t>2.</w:t>
      </w:r>
      <w:r w:rsidRPr="00483F7D">
        <w:tab/>
        <w:t>Όταν η τελωνειακή οφειλή ή η ευθύνη για λοιπές επιβαρύνσεις έχει αποσβεστεί εν μέρει ή μπορεί πλέον να γεννηθεί μόνο για μέρος του εγγυημένου ποσού, η εγγύηση που έχει συσταθεί αποδεσμεύεται κατά αντίστοιχο μέρος, κατόπιν αίτησης του ενδιαφερόμενου προσώπου, εκτός αν το ύψος του σχετικού ποσού δεν δικαιολογεί τέτοια ενέργεια.</w:t>
      </w:r>
    </w:p>
    <w:p w14:paraId="7F0D274A" w14:textId="77777777" w:rsidR="00E0244C" w:rsidRPr="00483F7D" w:rsidRDefault="007A1FD7">
      <w:pPr>
        <w:pStyle w:val="ManualNumPar10"/>
      </w:pPr>
      <w:r w:rsidRPr="00483F7D">
        <w:t>3.</w:t>
      </w:r>
      <w:r w:rsidRPr="00483F7D">
        <w:tab/>
        <w:t>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προθεσμιών για την αποδέσμευση εγγύησης.</w:t>
      </w:r>
    </w:p>
    <w:p w14:paraId="36A92CCE" w14:textId="77777777" w:rsidR="00E0244C" w:rsidRPr="00483F7D" w:rsidRDefault="007A1FD7">
      <w:pPr>
        <w:pStyle w:val="ManualNumPar10"/>
      </w:pPr>
      <w:r w:rsidRPr="00483F7D">
        <w:t>4.</w:t>
      </w:r>
      <w:r w:rsidRPr="00483F7D">
        <w:tab/>
        <w:t>Η Επιτροπή ορίζει, με εκτελεστικές πράξεις, τους διαδικαστικούς κανόνες σχετικά με την αποδέσμευση της εγγύησης που αναφέρεται στο παρόν άρθρο. Οι εν λόγω εκτελεστικές πράξεις εκδίδονται σύμφωνα με τη διαδικασία εξέτασης που αναφέρεται στο άρθρο 262 παράγραφος 4.</w:t>
      </w:r>
    </w:p>
    <w:p w14:paraId="1328BC78" w14:textId="77777777" w:rsidR="00E0244C" w:rsidRPr="00483F7D" w:rsidRDefault="007A1FD7">
      <w:pPr>
        <w:pStyle w:val="ChapterTitle"/>
      </w:pPr>
      <w:bookmarkStart w:id="172" w:name="__akn_chapter_pIs9rE"/>
      <w:bookmarkEnd w:id="172"/>
      <w:r w:rsidRPr="00483F7D">
        <w:t xml:space="preserve">Κεφάλαιο 3 </w:t>
      </w:r>
      <w:r w:rsidRPr="00483F7D">
        <w:br/>
        <w:t>Είσπραξη, καταβολή, επιστροφή και διαγραφή του ποσού του εισαγωγικού ή εξαγωγικού δασμού</w:t>
      </w:r>
    </w:p>
    <w:p w14:paraId="1CD31512" w14:textId="77777777" w:rsidR="00E0244C" w:rsidRPr="00483F7D" w:rsidRDefault="007A1FD7">
      <w:pPr>
        <w:pStyle w:val="SectionTitle"/>
      </w:pPr>
      <w:r w:rsidRPr="00483F7D">
        <w:t xml:space="preserve">Τμήμα 1 </w:t>
      </w:r>
      <w:r w:rsidRPr="00483F7D">
        <w:br/>
        <w:t>Καθορισμός του ποσού του εισαγωγικού ή εξαγωγικού δασμού, γνωστοποίηση και καταλογισμός της τελωνειακής οφειλής</w:t>
      </w:r>
    </w:p>
    <w:p w14:paraId="68DC2655" w14:textId="77777777" w:rsidR="00E0244C" w:rsidRPr="00483F7D" w:rsidRDefault="007A1FD7">
      <w:pPr>
        <w:pStyle w:val="Titrearticle"/>
      </w:pPr>
      <w:bookmarkStart w:id="173" w:name="__akn_article_IhRWRH"/>
      <w:bookmarkEnd w:id="173"/>
      <w:r w:rsidRPr="00483F7D">
        <w:t>Άρθρο 180</w:t>
      </w:r>
    </w:p>
    <w:p w14:paraId="60B78011" w14:textId="77777777" w:rsidR="00E0244C" w:rsidRPr="00483F7D" w:rsidRDefault="007A1FD7">
      <w:pPr>
        <w:pStyle w:val="NormalCentered"/>
      </w:pPr>
      <w:r w:rsidRPr="00483F7D">
        <w:rPr>
          <w:b/>
        </w:rPr>
        <w:t>Καθορισμός του ποσού των εισαγωγικών ή εξαγωγικών δασμών</w:t>
      </w:r>
    </w:p>
    <w:p w14:paraId="7AB8E94F" w14:textId="77777777" w:rsidR="00E83F61" w:rsidRPr="00483F7D" w:rsidRDefault="007A1FD7">
      <w:pPr>
        <w:pStyle w:val="ManualNumPar10"/>
        <w:rPr>
          <w:rFonts w:eastAsia="Calibri"/>
        </w:rPr>
      </w:pPr>
      <w:r w:rsidRPr="00483F7D">
        <w:t>1.</w:t>
      </w:r>
      <w:r w:rsidRPr="00483F7D">
        <w:tab/>
        <w:t xml:space="preserve">Ο εισαγωγέας και ο εξαγωγέας υπολογίζουν το ποσό του καταβλητέου εισαγωγικού ή εξαγωγικού δασμού. Κατά την παράδοση των εμπορευμάτων, οι τελωνειακές αρχές θεωρείται ότι αποδέχονται το ποσό του καταβλητέου εισαγωγικού ή εξαγωγικού δασμού, όπως υπολογίζεται από τον εισαγωγέα και τον εξαγωγέα, με την επιφύλαξη εκ των υστέρων ελέγχων. Αν το πρόσωπο αυτό δεν υπολογίσει το ποσό ή οι τελωνειακές αρχές διαφωνούν με το ποσό που υπολογίστηκε από το εν λόγω πρόσωπο, οι τελωνειακές αρχές που είναι αρμόδιες για τον τόπο στον οποίο γεννάται ή θεωρείται ότι γεννήθηκε η τελωνειακή οφειλή σύμφωνα με το άρθρο </w:t>
      </w:r>
      <w:hyperlink w:anchor="__akn_article_GeBvjG" w:tooltip="Article 169: 169">
        <w:r w:rsidRPr="00483F7D">
          <w:rPr>
            <w:rStyle w:val="Hyperlink"/>
          </w:rPr>
          <w:t>169</w:t>
        </w:r>
      </w:hyperlink>
      <w:r w:rsidRPr="00483F7D">
        <w:t xml:space="preserve"> καθορίζουν το ποσό του καταβλητέου εισαγωγικού ή εξαγωγικού δασμού μόλις λάβουν τις αναγκαίες πληροφορίες. </w:t>
      </w:r>
    </w:p>
    <w:p w14:paraId="22DB7370" w14:textId="77777777" w:rsidR="00E0244C" w:rsidRPr="00483F7D" w:rsidRDefault="007A1FD7">
      <w:pPr>
        <w:pStyle w:val="ManualNumPar10"/>
      </w:pPr>
      <w:r w:rsidRPr="00483F7D">
        <w:t>2.</w:t>
      </w:r>
      <w:r w:rsidRPr="00483F7D">
        <w:tab/>
        <w:t xml:space="preserve">Κατά παρέκκλιση από την παράγραφο 1, έως την ημερομηνία που ορίζεται στο άρθρο 265 παράγραφος </w:t>
      </w:r>
      <w:hyperlink w:anchor="_bill__akn_article_BG6Seo_VYhe2Y" w:tooltip="Article 261(3): (3)">
        <w:r w:rsidRPr="00483F7D">
          <w:rPr>
            <w:rStyle w:val="Hyperlink"/>
          </w:rPr>
          <w:t>3</w:t>
        </w:r>
      </w:hyperlink>
      <w:r w:rsidRPr="00483F7D">
        <w:t xml:space="preserve">, όταν έχει υποβληθεί τελωνειακή διασάφηση, οι τελωνειακές αρχές μπορούν να αποδέχονται το ποσό του καταβλητέου εισαγωγικού ή εξαγωγικού δασμού που καθορίζεται στην τελωνειακή διασάφηση, με την επιφύλαξη εκ των υστέρων ελέγχων. Αν οι τελωνειακές αρχές διαφωνούν με το ποσό αυτό, καθορίζουν το ποσό του καταβλητέου εισαγωγικού ή εξαγωγικού δασμού μόλις λάβουν τις αναγκαίες πληροφορίες.  </w:t>
      </w:r>
    </w:p>
    <w:p w14:paraId="57E84D5A" w14:textId="77777777" w:rsidR="00E0244C" w:rsidRPr="00483F7D" w:rsidRDefault="007A1FD7">
      <w:pPr>
        <w:pStyle w:val="ManualNumPar10"/>
      </w:pPr>
      <w:r w:rsidRPr="00483F7D">
        <w:t>3.</w:t>
      </w:r>
      <w:r w:rsidRPr="00483F7D">
        <w:tab/>
        <w:t>Όταν το ποσό του καταβλητέου εισαγωγικού ή εξαγωγικού δασμού δεν συνίσταται σε ακέραιο αριθμό, το ποσό αυτό μπορεί να στρογγυλοποιείται.</w:t>
      </w:r>
    </w:p>
    <w:p w14:paraId="05EC6258" w14:textId="77777777" w:rsidR="00E0244C" w:rsidRPr="00483F7D" w:rsidRDefault="007A1FD7">
      <w:pPr>
        <w:pStyle w:val="Text1"/>
      </w:pPr>
      <w:r w:rsidRPr="00483F7D">
        <w:t>Όταν το ποσό που αναφέρεται στο πρώτο εδάφιο εκφράζεται σε ευρώ, η στρογγυλοποίηση περιορίζεται στον πλησιέστερο ακέραιο αριθμό προς τα πάνω ή προς τα κάτω.</w:t>
      </w:r>
    </w:p>
    <w:p w14:paraId="58858BFB" w14:textId="77777777" w:rsidR="00E0244C" w:rsidRPr="00483F7D" w:rsidRDefault="007A1FD7">
      <w:pPr>
        <w:pStyle w:val="Text1"/>
      </w:pPr>
      <w:r w:rsidRPr="00483F7D">
        <w:t>Εισαγωγείς και εξαγωγείς εγκατεστημένοι σε κράτος μέλος που δεν έχει ως νόμισμα το ευρώ μπορούν είτε να εφαρμόζουν κατ’ αναλογία τις διατάξεις του δεύτερου εδαφίου είτε να παρεκκλίνουν από το εν λόγω εδάφιο, εφόσον οι κανόνες σχετικά με τη στρογγυλοποίηση δεν έχουν μεγαλύτερο δημοσιονομικό αντίκτυπο από τους κανόνες του δεύτερου εδαφίου.</w:t>
      </w:r>
    </w:p>
    <w:p w14:paraId="1657F700" w14:textId="77777777" w:rsidR="00E0244C" w:rsidRPr="00483F7D" w:rsidRDefault="007A1FD7">
      <w:pPr>
        <w:pStyle w:val="Titrearticle"/>
      </w:pPr>
      <w:bookmarkStart w:id="174" w:name="__akn_article_FJYK13"/>
      <w:bookmarkEnd w:id="174"/>
      <w:r w:rsidRPr="00483F7D">
        <w:t>Άρθρο 181</w:t>
      </w:r>
    </w:p>
    <w:p w14:paraId="47AB742C" w14:textId="77777777" w:rsidR="00E0244C" w:rsidRPr="00483F7D" w:rsidRDefault="007A1FD7">
      <w:pPr>
        <w:pStyle w:val="NormalCentered"/>
      </w:pPr>
      <w:r w:rsidRPr="00483F7D">
        <w:rPr>
          <w:b/>
        </w:rPr>
        <w:t>Γνωστοποίηση της τελωνειακής οφειλής</w:t>
      </w:r>
    </w:p>
    <w:p w14:paraId="1794862B" w14:textId="77777777" w:rsidR="00ED12E1" w:rsidRPr="00483F7D" w:rsidRDefault="00ED12E1" w:rsidP="00ED12E1">
      <w:pPr>
        <w:pStyle w:val="ManualNumPar10"/>
      </w:pPr>
      <w:r w:rsidRPr="00483F7D">
        <w:t xml:space="preserve">1. </w:t>
      </w:r>
      <w:r w:rsidRPr="00483F7D">
        <w:tab/>
        <w:t>Κατά την παράδοση των εμπορευμάτων, οι τελωνειακές αρχές θεωρείται ότι έχουν γνωστοποιήσει την τελωνειακή οφειλή στον εισαγωγέα ή τον εξαγωγέα.</w:t>
      </w:r>
    </w:p>
    <w:p w14:paraId="37EBCC5B" w14:textId="77777777" w:rsidR="00E0244C" w:rsidRPr="00483F7D" w:rsidRDefault="00ED12E1" w:rsidP="00ED12E1">
      <w:pPr>
        <w:pStyle w:val="ManualNumPar10"/>
      </w:pPr>
      <w:r w:rsidRPr="00483F7D">
        <w:t>2.</w:t>
      </w:r>
      <w:r w:rsidRPr="00483F7D">
        <w:tab/>
        <w:t xml:space="preserve">Όταν οι τελωνειακές αρχές έχουν καθορίσει το ποσό του καταβλητέου εισαγωγικού ή εξαγωγικού δασμού, το γνωστοποιούν στον οφειλέτη με τον οριζόμενο τρόπο στον τόπο στον οποίο γεννάται ή θεωρείται ότι έχει γεννηθεί η τελωνειακή οφειλή, σύμφωνα με το άρθρο </w:t>
      </w:r>
      <w:hyperlink w:anchor="__akn_article_GeBvjG" w:tooltip="Article 169: 169">
        <w:r w:rsidRPr="00483F7D">
          <w:rPr>
            <w:rStyle w:val="Hyperlink"/>
          </w:rPr>
          <w:t>169</w:t>
        </w:r>
      </w:hyperlink>
      <w:r w:rsidRPr="00483F7D">
        <w:t>.</w:t>
      </w:r>
    </w:p>
    <w:p w14:paraId="6C0B8364" w14:textId="77777777" w:rsidR="00E0244C" w:rsidRPr="00483F7D" w:rsidRDefault="007A1FD7" w:rsidP="00ED12E1">
      <w:pPr>
        <w:pStyle w:val="ManualNumPar10"/>
        <w:ind w:firstLine="0"/>
      </w:pPr>
      <w:bookmarkStart w:id="175" w:name="__akn_article_FJYK13_GRoKqO"/>
      <w:bookmarkEnd w:id="175"/>
      <w:r w:rsidRPr="00483F7D">
        <w:t>Η γνωστοποίηση που αναφέρεται στο πρώτο εδάφιο δεν πραγματοποιείται σε οποιαδήποτε από τις ακόλουθες περιπτώσεις:</w:t>
      </w:r>
    </w:p>
    <w:p w14:paraId="10BC8659" w14:textId="56D1D345" w:rsidR="00E0244C" w:rsidRPr="00483F7D" w:rsidRDefault="00BC60FC" w:rsidP="00BC60FC">
      <w:pPr>
        <w:pStyle w:val="Point1"/>
      </w:pPr>
      <w:r w:rsidRPr="00483F7D">
        <w:t>α)</w:t>
      </w:r>
      <w:r w:rsidRPr="00483F7D">
        <w:tab/>
      </w:r>
      <w:r w:rsidR="007A1FD7" w:rsidRPr="00483F7D">
        <w:t>όταν, εν αναμονή του οριστικού καθορισμού του ποσού του εισαγωγικού ή εξαγωγικού δασμού, έχει επιβληθεί προσωρινός δασμός αντιντάμπινγκ ή προσωρινός αντισταθμιστικός δασμός ή προσωρινό μέτρο διασφάλισης·</w:t>
      </w:r>
    </w:p>
    <w:p w14:paraId="2B7AB0EA" w14:textId="3CAA9891" w:rsidR="00E0244C" w:rsidRPr="00483F7D" w:rsidRDefault="00BC60FC" w:rsidP="00BC60FC">
      <w:pPr>
        <w:pStyle w:val="Point1"/>
      </w:pPr>
      <w:r w:rsidRPr="00483F7D">
        <w:t>β)</w:t>
      </w:r>
      <w:r w:rsidRPr="00483F7D">
        <w:tab/>
      </w:r>
      <w:r w:rsidR="007A1FD7" w:rsidRPr="00483F7D">
        <w:t xml:space="preserve">όταν το ποσό του καταβλητέου εισαγωγικού ή εξαγωγικού δασμού υπερβαίνει το ποσό που καθορίζεται με βάση απόφαση που λαμβάνεται σύμφωνα με το άρθρο </w:t>
      </w:r>
      <w:hyperlink w:anchor="__akn_article_j8Pdtu" w:tooltip="Article 13: 13">
        <w:r w:rsidR="007A1FD7" w:rsidRPr="00483F7D">
          <w:t>13</w:t>
        </w:r>
      </w:hyperlink>
      <w:r w:rsidR="007A1FD7" w:rsidRPr="00483F7D">
        <w:t>·</w:t>
      </w:r>
    </w:p>
    <w:p w14:paraId="1CE1DDC6" w14:textId="397F5AFC" w:rsidR="00E0244C" w:rsidRPr="00483F7D" w:rsidRDefault="00BC60FC" w:rsidP="00BC60FC">
      <w:pPr>
        <w:pStyle w:val="Point1"/>
      </w:pPr>
      <w:r w:rsidRPr="00483F7D">
        <w:t>γ)</w:t>
      </w:r>
      <w:r w:rsidRPr="00483F7D">
        <w:tab/>
      </w:r>
      <w:r w:rsidR="007A1FD7" w:rsidRPr="00483F7D">
        <w:t>όταν η αρχική απόφαση να μη γνωστοποιηθεί η τελωνειακή οφειλή, ή να γνωστοποιηθεί με ποσό εισαγωγικού ή εξαγωγικού δασμού χαμηλότερο από το ποσό του καταβλητέου εισαγωγικού ή εξαγωγικού δασμού, είχε ληφθεί βάσει γενικών διατάξεων που ακυρώθηκαν μεταγενέστερα με δικαστική απόφαση·</w:t>
      </w:r>
    </w:p>
    <w:p w14:paraId="2005A376" w14:textId="0D98B41C" w:rsidR="00E0244C" w:rsidRPr="00483F7D" w:rsidRDefault="00BC60FC" w:rsidP="00BC60FC">
      <w:pPr>
        <w:pStyle w:val="Point1"/>
      </w:pPr>
      <w:r w:rsidRPr="00483F7D">
        <w:t>δ)</w:t>
      </w:r>
      <w:r w:rsidRPr="00483F7D">
        <w:tab/>
      </w:r>
      <w:r w:rsidR="007A1FD7" w:rsidRPr="00483F7D">
        <w:t>όταν οι τελωνειακές αρχές απαλλάσσονται δυνάμει της τελωνειακής νομοθεσίας από την υποχρέωση γνωστοποίησης της τελωνειακής οφειλής.</w:t>
      </w:r>
    </w:p>
    <w:p w14:paraId="135CB7FE" w14:textId="77777777" w:rsidR="00E0244C" w:rsidRPr="00483F7D" w:rsidRDefault="007A1FD7">
      <w:pPr>
        <w:pStyle w:val="ManualNumPar10"/>
      </w:pPr>
      <w:r w:rsidRPr="00483F7D">
        <w:t>3.</w:t>
      </w:r>
      <w:r w:rsidRPr="00483F7D">
        <w:tab/>
        <w:t>Όταν οι τελωνειακές αρχές πρέπει να γνωστοποιήσουν το ποσό του καταβλητέου εισαγωγικού ή εξαγωγικού δασμού σύμφωνα με την παράγραφο 2, οι τελωνειακές αρχές γνωστοποιούν την τελωνειακή οφειλή στον οφειλέτη όταν είναι σε θέση να καθορίσουν το ποσό αυτό και να λάβουν σχετική απόφαση.</w:t>
      </w:r>
    </w:p>
    <w:p w14:paraId="670B41BF" w14:textId="77777777" w:rsidR="00E0244C" w:rsidRPr="00483F7D" w:rsidRDefault="007A1FD7">
      <w:pPr>
        <w:pStyle w:val="Text1"/>
      </w:pPr>
      <w:bookmarkStart w:id="176" w:name="__akn_article_FJYK13_C8Ej1O"/>
      <w:bookmarkEnd w:id="176"/>
      <w:r w:rsidRPr="00483F7D">
        <w:t>Ωστόσο, όταν η γνωστοποίηση της τελωνειακής οφειλής θα έθετε σε κίνδυνο ποινική έρευνα, οι τελωνειακές αρχές μπορούν να αναβάλλουν την εν λόγω γνωστοποίηση έως ότου να μην τίθεται πλέον σε κίνδυνο η ποινική έρευνα.</w:t>
      </w:r>
    </w:p>
    <w:p w14:paraId="35E61840" w14:textId="77777777" w:rsidR="00E0244C" w:rsidRPr="00483F7D" w:rsidRDefault="007A1FD7">
      <w:pPr>
        <w:pStyle w:val="ManualNumPar10"/>
      </w:pPr>
      <w:bookmarkStart w:id="177" w:name="__akn_article_FJYK13_2wGUNh"/>
      <w:bookmarkEnd w:id="177"/>
      <w:r w:rsidRPr="00483F7D">
        <w:t>4.</w:t>
      </w:r>
      <w:r w:rsidRPr="00483F7D">
        <w:tab/>
        <w:t xml:space="preserve">Οι τελωνειακές αρχές μπορούν να επιτρέπουν σε αξιόπιστο και ελεγμένο συναλλασσόμενο να υπολογίζει την τελωνειακή οφειλή η οποία αντιστοιχεί στο συνολικό ποσό του εισαγωγικού ή εξαγωγικού δασμού που αφορά όλα τα εμπορεύματα τα οποία ο εν λόγω φορέας έχει παραδώσει για λογαριασμό των τελωνειακών αρχών για χρονικό διάστημα που δεν υπερβαίνει τις 31 ημερολογιακές ημέρες και να την κοινοποιεί στις τελωνειακές αρχές με ανάλυση των ποσών που αφορούν κάθε συγκεκριμένη αποστολή εμπορευμάτων. Αν οι τελωνειακές αρχές διαφωνούν με το ποσό που υπολογίστηκε και κοινοποιήθηκε, καθορίζουν το ποσό του καταβλητέου εισαγωγικού ή εξαγωγικού δασμού. </w:t>
      </w:r>
    </w:p>
    <w:p w14:paraId="573D1D40" w14:textId="77777777" w:rsidR="00E0244C" w:rsidRPr="00483F7D" w:rsidRDefault="007A1FD7">
      <w:pPr>
        <w:pStyle w:val="ManualNumPar10"/>
      </w:pPr>
      <w:bookmarkStart w:id="178" w:name="__akn_article_FJYK13_d3Y6GF"/>
      <w:bookmarkEnd w:id="178"/>
      <w:r w:rsidRPr="00483F7D">
        <w:t>5.</w:t>
      </w:r>
      <w:r w:rsidRPr="00483F7D">
        <w:tab/>
        <w:t xml:space="preserve">Κατά παρέκκλιση από την παράγραφο 1, όταν ο τίτλος XII κεφάλαιο 6 τμήμα 4 της οδηγίας 2006/112/ΕΚ εφαρμόζεται στις εξ αποστάσεως πωλήσεις εμπορευμάτων που πρόκειται να εισαχθούν από τρίτες χώρες σε πελάτη στο τελωνειακό έδαφος της Ένωσης, οι τελωνειακές αρχές μπορούν να επιτρέψουν σε θεωρούμενο εισαγωγέα να υπολογίσει και να κοινοποιήσει την τελωνειακή οφειλή η οποία αντιστοιχεί στο συνολικό ποσό του εισαγωγικού δασμού που αφορά όλα τα εμπορεύματα τα οποία παραδόθηκαν στον εν λόγω θεωρούμενο εισαγωγέα κατά τη διάρκεια ενός μήνα έως το τέλος του επόμενου μήνα, με ανάλυση των ποσών που αφορούν κάθε συγκεκριμένη αποστολή εμπορευμάτων.  Η εν λόγω κοινοποίηση μπορεί να τροποποιήσει ή να ακυρώσει τις πληροφορίες που είχε παράσχει ο θεωρούμενος εισαγωγέας σύμφωνα με το άρθρο 59 παράγραφος </w:t>
      </w:r>
      <w:hyperlink w:anchor="__akn_article_U2tqR7_LjHcRj" w:tooltip="Article 59(2): (2)">
        <w:r w:rsidRPr="00483F7D">
          <w:rPr>
            <w:rStyle w:val="Hyperlink"/>
          </w:rPr>
          <w:t>2</w:t>
        </w:r>
      </w:hyperlink>
      <w:r w:rsidRPr="00483F7D">
        <w:t>. Αν οι τελωνειακές αρχές διαφωνούν με το ποσό που υπολογίστηκε και κοινοποιήθηκε, καθορίζουν το ποσό του καταβλητέου εισαγωγικού ή εξαγωγικού δασμού. Οι τελωνειακές αρχές θεωρείται ότι έχουν γνωστοποιήσει την τελωνειακή οφειλή όταν δεν έχουν διαφωνήσει με την κοινοποίηση εντός εύλογου χρονικού διαστήματος από την υποβολή της από τον συναλλασσόμενο.</w:t>
      </w:r>
    </w:p>
    <w:p w14:paraId="5E97FD76" w14:textId="77777777" w:rsidR="00E0244C" w:rsidRPr="00483F7D" w:rsidRDefault="007A1FD7">
      <w:pPr>
        <w:pStyle w:val="ManualNumPar10"/>
      </w:pPr>
      <w:r w:rsidRPr="00483F7D">
        <w:t>6.</w:t>
      </w:r>
      <w:r w:rsidRPr="00483F7D">
        <w:tab/>
        <w:t xml:space="preserve">Έως την ημερομηνία που ορίζεται στο άρθρο 265 παράγραφος </w:t>
      </w:r>
      <w:hyperlink w:anchor="_bill__akn_article_BG6Seo_VYhe2Y" w:tooltip="Article 261(3): (3)">
        <w:r w:rsidRPr="00483F7D">
          <w:rPr>
            <w:rStyle w:val="Hyperlink"/>
          </w:rPr>
          <w:t>3</w:t>
        </w:r>
      </w:hyperlink>
      <w:r w:rsidRPr="00483F7D">
        <w:t>, όταν έχει υποβληθεί τελωνειακή διασάφηση, εφόσον έχει κατατεθεί εγγύηση για την καταβολή, οι τελωνειακές αρχές μπορούν να επιτρέπουν να γνωστοποιείται στο τέλος της περιόδου αυτής η τελωνειακή οφειλή η οποία αντιστοιχεί στο συνολικό ποσό του εισαγωγικού ή εξαγωγικού δασμού που αφορά όλα τα εμπορεύματα τα οποία παραδόθηκαν σε ένα και το αυτό πρόσωπο εντός καθορισμένης περιόδου. Η περίοδος που ορίζεται από τις τελωνειακές αρχές δεν υπερβαίνει τις 31 ημέρες.</w:t>
      </w:r>
    </w:p>
    <w:p w14:paraId="07E37036" w14:textId="77777777" w:rsidR="00670E19" w:rsidRPr="00483F7D" w:rsidRDefault="007A1FD7">
      <w:pPr>
        <w:pStyle w:val="ManualNumPar10"/>
      </w:pPr>
      <w:r w:rsidRPr="00483F7D">
        <w:t>7.</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w:t>
      </w:r>
    </w:p>
    <w:p w14:paraId="3B548103" w14:textId="24479CA1" w:rsidR="00670E19" w:rsidRPr="00483F7D" w:rsidRDefault="00BC60FC" w:rsidP="00BC60FC">
      <w:pPr>
        <w:pStyle w:val="Point1"/>
      </w:pPr>
      <w:r w:rsidRPr="00483F7D">
        <w:t>α)</w:t>
      </w:r>
      <w:r w:rsidRPr="00483F7D">
        <w:tab/>
      </w:r>
      <w:r w:rsidR="007A1FD7" w:rsidRPr="00483F7D">
        <w:t>των περιπτώσεων που αναφέρονται στην παράγραφο 2 δεύτερο εδάφιο στοιχείο δ), όταν οι τελωνειακές αρχές απαλλάσσονται από την υποχρέωση γνωστοποίησης της τελωνειακής οφειλής·</w:t>
      </w:r>
    </w:p>
    <w:p w14:paraId="33E62F2D" w14:textId="5AF7A895" w:rsidR="00670E19" w:rsidRPr="00483F7D" w:rsidRDefault="00BC60FC" w:rsidP="00BC60FC">
      <w:pPr>
        <w:pStyle w:val="Point1"/>
      </w:pPr>
      <w:r w:rsidRPr="00483F7D">
        <w:t>β)</w:t>
      </w:r>
      <w:r w:rsidRPr="00483F7D">
        <w:tab/>
      </w:r>
      <w:r w:rsidR="00670E19" w:rsidRPr="00483F7D">
        <w:t>του εύλογου χρονικού διαστήματος μετά το οποίο θεωρείται ότι υπάρχει έλλειψη διαφωνίας, όπως αναφέρεται στην παράγραφο 5·</w:t>
      </w:r>
    </w:p>
    <w:p w14:paraId="20AC9815" w14:textId="1BF256E7" w:rsidR="00E0244C" w:rsidRPr="00483F7D" w:rsidRDefault="00BC60FC" w:rsidP="00BC60FC">
      <w:pPr>
        <w:pStyle w:val="Point1"/>
      </w:pPr>
      <w:r w:rsidRPr="00483F7D">
        <w:t>γ)</w:t>
      </w:r>
      <w:r w:rsidRPr="00483F7D">
        <w:tab/>
      </w:r>
      <w:r w:rsidR="007A1FD7" w:rsidRPr="00483F7D">
        <w:t>των πληροφοριών που πρέπει να παρέχονται στην κοινοποίηση από τον θεωρούμενο εισαγωγέα στην παράγραφο 5.</w:t>
      </w:r>
    </w:p>
    <w:p w14:paraId="18532317" w14:textId="77777777" w:rsidR="00E0244C" w:rsidRPr="00483F7D" w:rsidRDefault="007A1FD7">
      <w:pPr>
        <w:pStyle w:val="Titrearticle"/>
      </w:pPr>
      <w:bookmarkStart w:id="179" w:name="__akn_article_ISfROZ"/>
      <w:bookmarkEnd w:id="179"/>
      <w:r w:rsidRPr="00483F7D">
        <w:t>Άρθρο 182</w:t>
      </w:r>
    </w:p>
    <w:p w14:paraId="4875EB71" w14:textId="77777777" w:rsidR="00E0244C" w:rsidRPr="00483F7D" w:rsidRDefault="007A1FD7">
      <w:pPr>
        <w:pStyle w:val="NormalCentered"/>
      </w:pPr>
      <w:r w:rsidRPr="00483F7D">
        <w:rPr>
          <w:b/>
        </w:rPr>
        <w:t>Περιορισμός της τελωνειακής οφειλής</w:t>
      </w:r>
    </w:p>
    <w:p w14:paraId="6ED62FD4" w14:textId="77777777" w:rsidR="00E0244C" w:rsidRPr="00483F7D" w:rsidRDefault="007A1FD7">
      <w:pPr>
        <w:pStyle w:val="ManualNumPar10"/>
      </w:pPr>
      <w:r w:rsidRPr="00483F7D">
        <w:t>1.</w:t>
      </w:r>
      <w:r w:rsidRPr="00483F7D">
        <w:tab/>
        <w:t>Οι τελωνειακές αρχές δεν γνωστοποιούν τελωνειακή οφειλή στον οφειλέτη μετά τη λήξη περιόδου 3 ετών από την ημερομηνία γένεσης της τελωνειακής οφειλής.</w:t>
      </w:r>
    </w:p>
    <w:p w14:paraId="29F5D9CB" w14:textId="77777777" w:rsidR="00E0244C" w:rsidRPr="00483F7D" w:rsidRDefault="007A1FD7">
      <w:pPr>
        <w:pStyle w:val="ManualNumPar10"/>
      </w:pPr>
      <w:r w:rsidRPr="00483F7D">
        <w:t>2.</w:t>
      </w:r>
      <w:r w:rsidRPr="00483F7D">
        <w:tab/>
        <w:t>Αν η τελωνειακή οφειλή έχει γεννηθεί ως αποτέλεσμα πράξης η οποία, κατά τον χρόνο τέλεσής της, διωκόταν ως ποινικό αδίκημα, η περίοδος των τριών ετών που καθορίζεται στην παράγραφο 1 παρατείνεται σε 5 έτη κατ’ ελάχιστο όριο και 10 έτη κατ’ ανώτατο όριο σύμφωνα με την εθνική νομοθεσία.</w:t>
      </w:r>
    </w:p>
    <w:p w14:paraId="57B10B4C" w14:textId="77777777" w:rsidR="00E0244C" w:rsidRPr="00483F7D" w:rsidRDefault="007A1FD7">
      <w:pPr>
        <w:pStyle w:val="ManualNumPar10"/>
      </w:pPr>
      <w:r w:rsidRPr="00483F7D">
        <w:t>3.</w:t>
      </w:r>
      <w:r w:rsidRPr="00483F7D">
        <w:tab/>
        <w:t>Οι περίοδοι που καθορίζονται στις παραγράφους 1 και 2 αναστέλλονται:</w:t>
      </w:r>
    </w:p>
    <w:p w14:paraId="3E0B588C" w14:textId="221C6828" w:rsidR="00E0244C" w:rsidRPr="00483F7D" w:rsidRDefault="00BC60FC" w:rsidP="00BC60FC">
      <w:pPr>
        <w:pStyle w:val="Point1"/>
      </w:pPr>
      <w:r w:rsidRPr="00483F7D">
        <w:t>α)</w:t>
      </w:r>
      <w:r w:rsidRPr="00483F7D">
        <w:tab/>
      </w:r>
      <w:r w:rsidR="007A1FD7" w:rsidRPr="00483F7D">
        <w:t xml:space="preserve">όταν ασκείται προσφυγή σύμφωνα με το άρθρο </w:t>
      </w:r>
      <w:hyperlink w:anchor="_bill__akn_article_IvuScu" w:tooltip="Article 16: 16">
        <w:r w:rsidR="007A1FD7" w:rsidRPr="00483F7D">
          <w:rPr>
            <w:rStyle w:val="Hyperlink"/>
          </w:rPr>
          <w:t>16</w:t>
        </w:r>
      </w:hyperlink>
      <w:r w:rsidR="007A1FD7" w:rsidRPr="00483F7D">
        <w:t>·</w:t>
      </w:r>
    </w:p>
    <w:p w14:paraId="5450C8F3" w14:textId="003F71E4" w:rsidR="00E0244C" w:rsidRPr="00483F7D" w:rsidRDefault="00BC60FC" w:rsidP="00BC60FC">
      <w:pPr>
        <w:pStyle w:val="Point1"/>
      </w:pPr>
      <w:r w:rsidRPr="00483F7D">
        <w:t>β)</w:t>
      </w:r>
      <w:r w:rsidRPr="00483F7D">
        <w:tab/>
      </w:r>
      <w:r w:rsidR="007A1FD7" w:rsidRPr="00483F7D">
        <w:t>η αναστολή αυτή εφαρμόζεται από την ημερομηνία άσκησης της προσφυγής και ισχύει καθόλη τη διάρκεια της διαδικασίας προσφυγής· ή</w:t>
      </w:r>
    </w:p>
    <w:p w14:paraId="3A3A072B" w14:textId="1D697130" w:rsidR="00E0244C" w:rsidRPr="00483F7D" w:rsidRDefault="00BC60FC" w:rsidP="00BC60FC">
      <w:pPr>
        <w:pStyle w:val="Point1"/>
      </w:pPr>
      <w:r w:rsidRPr="00483F7D">
        <w:t>γ)</w:t>
      </w:r>
      <w:r w:rsidRPr="00483F7D">
        <w:tab/>
      </w:r>
      <w:r w:rsidR="007A1FD7" w:rsidRPr="00483F7D">
        <w:t xml:space="preserve">αν οι τελωνειακές αρχές κοινοποιήσουν στον οφειλέτη, σύμφωνα με το άρθρο 6 παράγραφος </w:t>
      </w:r>
      <w:hyperlink w:anchor="__akn_article_lnAJsr_Z3GeoE" w:tooltip="Article 6(6): (6)">
        <w:r w:rsidR="007A1FD7" w:rsidRPr="00483F7D">
          <w:t>6</w:t>
        </w:r>
      </w:hyperlink>
      <w:r w:rsidR="007A1FD7" w:rsidRPr="00483F7D">
        <w:t>, τους λόγους για τους οποίους προτίθενται να γνωστοποιήσουν την τελωνειακή οφειλή· η αναστολή αυτή εφαρμόζεται από την ημερομηνία της εν λόγω κοινοποίησης έως τη λήξη της περιόδου εντός της οποίας ο οφειλέτης έχει την ευκαιρία να εκφράσει την άποψή του.</w:t>
      </w:r>
    </w:p>
    <w:p w14:paraId="5F31BDE2" w14:textId="77777777" w:rsidR="00E0244C" w:rsidRPr="00483F7D" w:rsidRDefault="007A1FD7">
      <w:pPr>
        <w:pStyle w:val="ManualNumPar10"/>
      </w:pPr>
      <w:bookmarkStart w:id="180" w:name="__akn_article_ISfROZ_GMcKQ1"/>
      <w:bookmarkEnd w:id="180"/>
      <w:r w:rsidRPr="00483F7D">
        <w:t>4.</w:t>
      </w:r>
      <w:r w:rsidRPr="00483F7D">
        <w:tab/>
        <w:t xml:space="preserve">Όταν μια τελωνειακή οφειλή έχει αναβιώσει σύμφωνα με το άρθρο 193 παράγραφος </w:t>
      </w:r>
      <w:hyperlink w:anchor="__akn_article_LhGmFv_7DL6u4" w:tooltip="Article 193(7): (7)">
        <w:r w:rsidRPr="00483F7D">
          <w:rPr>
            <w:rStyle w:val="Hyperlink"/>
          </w:rPr>
          <w:t>7</w:t>
        </w:r>
      </w:hyperlink>
      <w:r w:rsidRPr="00483F7D">
        <w:t xml:space="preserve">, οι περίοδοι που καθορίζονται στις παραγράφους 1 και 2 θεωρείται ότι αναστέλλονται από την ημερομηνία υποβολής της αίτησης επιστροφής ή διαγραφής, σύμφωνα με το άρθρο </w:t>
      </w:r>
      <w:hyperlink w:anchor="__akn_article_ycnCxF" w:tooltip="Article 198: 198">
        <w:r w:rsidRPr="00483F7D">
          <w:rPr>
            <w:rStyle w:val="Hyperlink"/>
          </w:rPr>
          <w:t>198</w:t>
        </w:r>
      </w:hyperlink>
      <w:r w:rsidRPr="00483F7D">
        <w:t>, έως την ημερομηνία κατά την οποία λήφθηκε η απόφαση σχετικά με την επιστροφή ή διαγραφή.</w:t>
      </w:r>
    </w:p>
    <w:p w14:paraId="124E68F6" w14:textId="77777777" w:rsidR="00E0244C" w:rsidRPr="00483F7D" w:rsidRDefault="007A1FD7">
      <w:pPr>
        <w:pStyle w:val="Titrearticle"/>
      </w:pPr>
      <w:r w:rsidRPr="00483F7D">
        <w:t>Άρθρο 183</w:t>
      </w:r>
    </w:p>
    <w:p w14:paraId="651D6162" w14:textId="77777777" w:rsidR="00E0244C" w:rsidRPr="00483F7D" w:rsidRDefault="007A1FD7">
      <w:pPr>
        <w:pStyle w:val="NormalCentered"/>
      </w:pPr>
      <w:r w:rsidRPr="00483F7D">
        <w:rPr>
          <w:b/>
        </w:rPr>
        <w:t>Καταλογισμός</w:t>
      </w:r>
    </w:p>
    <w:p w14:paraId="332DD966" w14:textId="77777777" w:rsidR="00E0244C" w:rsidRPr="00483F7D" w:rsidRDefault="007A1FD7" w:rsidP="003612F6">
      <w:pPr>
        <w:pStyle w:val="ManualNumPar10"/>
      </w:pPr>
      <w:r w:rsidRPr="00483F7D">
        <w:t>1.</w:t>
      </w:r>
      <w:r w:rsidRPr="00483F7D">
        <w:tab/>
        <w:t xml:space="preserve">Οι τελωνειακές αρχές που αναφέρονται στο άρθρο </w:t>
      </w:r>
      <w:hyperlink w:anchor="__akn_article_IhRWRH" w:tooltip="Article 180: 180">
        <w:r w:rsidRPr="00483F7D">
          <w:rPr>
            <w:rStyle w:val="Hyperlink"/>
          </w:rPr>
          <w:t>180</w:t>
        </w:r>
      </w:hyperlink>
      <w:r w:rsidRPr="00483F7D">
        <w:t xml:space="preserve"> προβαίνουν, σύμφωνα με την εθνική νομοθεσία, στον καταλογισμό του ποσού του καταβλητέου εισαγωγικού ή εξαγωγικού δασμού που έχει γνωστοποιηθεί σύμφωνα με το άρθρο </w:t>
      </w:r>
      <w:hyperlink w:anchor="__akn_article_FJYK13" w:tooltip="Article 181: 181">
        <w:r w:rsidRPr="00483F7D">
          <w:rPr>
            <w:rStyle w:val="Hyperlink"/>
          </w:rPr>
          <w:t>181</w:t>
        </w:r>
      </w:hyperlink>
      <w:r w:rsidRPr="00483F7D">
        <w:t>. </w:t>
      </w:r>
    </w:p>
    <w:p w14:paraId="00F9EE02" w14:textId="77777777" w:rsidR="00E0244C" w:rsidRPr="00483F7D" w:rsidRDefault="007A1FD7">
      <w:pPr>
        <w:pStyle w:val="Text1"/>
      </w:pPr>
      <w:r w:rsidRPr="00483F7D">
        <w:t xml:space="preserve">Η υποχρέωση των τελωνειακών αρχών του πρώτου εδαφίου δεν ισχύει στις περιπτώσεις που αναφέρονται στο άρθρο 181 παράγραφος 2 </w:t>
      </w:r>
      <w:hyperlink w:anchor="__akn_article_FJYK13_GRoKqO" w:tooltip="Article 181(1), second subparagraph: second">
        <w:r w:rsidRPr="00483F7D">
          <w:rPr>
            <w:rStyle w:val="Hyperlink"/>
          </w:rPr>
          <w:t>δεύτερο</w:t>
        </w:r>
      </w:hyperlink>
      <w:r w:rsidRPr="00483F7D">
        <w:t xml:space="preserve"> εδάφιο.</w:t>
      </w:r>
    </w:p>
    <w:p w14:paraId="0F2C6EF0" w14:textId="77777777" w:rsidR="00E0244C" w:rsidRPr="00483F7D" w:rsidRDefault="007A1FD7">
      <w:pPr>
        <w:pStyle w:val="ManualNumPar10"/>
      </w:pPr>
      <w:r w:rsidRPr="00483F7D">
        <w:t>2.</w:t>
      </w:r>
      <w:r w:rsidRPr="00483F7D">
        <w:tab/>
        <w:t xml:space="preserve">Οι τελωνειακές αρχές δεν χρειάζεται να προβαίνουν στον καταλογισμό των ποσών του εισαγωγικού ή εξαγωγικού δασμού που, σύμφωνα με το άρθρο </w:t>
      </w:r>
      <w:hyperlink w:anchor="__akn_article_ISfROZ" w:tooltip="Article 182: 182">
        <w:r w:rsidRPr="00483F7D">
          <w:rPr>
            <w:rStyle w:val="Hyperlink"/>
          </w:rPr>
          <w:t>182</w:t>
        </w:r>
      </w:hyperlink>
      <w:r w:rsidRPr="00483F7D">
        <w:t>, αντιστοιχούν σε τελωνειακή οφειλή η οποία δεν μπορεί πλέον να γνωστοποιηθεί στον οφειλέτη.</w:t>
      </w:r>
    </w:p>
    <w:p w14:paraId="36A8A71C" w14:textId="77777777" w:rsidR="00E0244C" w:rsidRPr="00483F7D" w:rsidRDefault="007A1FD7">
      <w:pPr>
        <w:pStyle w:val="ManualNumPar10"/>
      </w:pPr>
      <w:r w:rsidRPr="00483F7D">
        <w:t>3.</w:t>
      </w:r>
      <w:r w:rsidRPr="00483F7D">
        <w:tab/>
        <w:t>Οι πρακτικές διαδικασίες καταλογισμού των ποσών του εισαγωγικού ή εξαγωγικού δασμού καθορίζονται από τα κράτη μέλη. Οι διαδικασίες αυτές μπορεί να διαφέρουν ανάλογα με το κατά πόσον, λαμβανομένων υπόψη των συνθηκών υπό τις οποίες γεννάται η τελωνειακή οφειλή, οι τελωνειακές αρχές είναι πεπεισμένες ότι τα εν λόγω ποσά θα καταβληθούν.</w:t>
      </w:r>
    </w:p>
    <w:p w14:paraId="7F1FABCE" w14:textId="77777777" w:rsidR="00E0244C" w:rsidRPr="00483F7D" w:rsidRDefault="007A1FD7">
      <w:pPr>
        <w:pStyle w:val="Titrearticle"/>
      </w:pPr>
      <w:r w:rsidRPr="00483F7D">
        <w:t>Άρθρο 184</w:t>
      </w:r>
    </w:p>
    <w:p w14:paraId="7D0F030E" w14:textId="77777777" w:rsidR="00E0244C" w:rsidRPr="00483F7D" w:rsidRDefault="007A1FD7">
      <w:pPr>
        <w:pStyle w:val="NormalCentered"/>
      </w:pPr>
      <w:r w:rsidRPr="00483F7D">
        <w:rPr>
          <w:b/>
        </w:rPr>
        <w:t>Προθεσμία καταλογισμού</w:t>
      </w:r>
    </w:p>
    <w:p w14:paraId="43F52ECA" w14:textId="77777777" w:rsidR="00E0244C" w:rsidRPr="00483F7D" w:rsidRDefault="007A1FD7">
      <w:pPr>
        <w:pStyle w:val="ManualNumPar10"/>
      </w:pPr>
      <w:bookmarkStart w:id="181" w:name="__akn_article_Btlbw6_aoGhtr"/>
      <w:bookmarkEnd w:id="181"/>
      <w:r w:rsidRPr="00483F7D">
        <w:t>1.</w:t>
      </w:r>
      <w:r w:rsidRPr="00483F7D">
        <w:tab/>
        <w:t>Οι τελωνειακές αρχές προβαίνουν στον καταλογισμό του καταβλητέου ποσού του εισαγωγικού ή εξαγωγικού δασμού εντός 14 ημερών από την παράδοση των εμπορευμάτων, εκτός αν τα εμπορεύματα έχουν υπαχθεί σε καθεστώς προσωρινής εισαγωγής με μερική απαλλαγή από τον εισαγωγικό δασμό.</w:t>
      </w:r>
    </w:p>
    <w:p w14:paraId="3010DB38" w14:textId="77777777" w:rsidR="00E0244C" w:rsidRPr="00483F7D" w:rsidRDefault="007A1FD7">
      <w:pPr>
        <w:pStyle w:val="ManualNumPar10"/>
      </w:pPr>
      <w:bookmarkStart w:id="182" w:name="__akn_article_Btlbw6_DP1XG4"/>
      <w:bookmarkEnd w:id="182"/>
      <w:r w:rsidRPr="00483F7D">
        <w:t>2.</w:t>
      </w:r>
      <w:r w:rsidRPr="00483F7D">
        <w:tab/>
        <w:t xml:space="preserve">Κατά παρέκκλιση από την παράγραφο 1, οι τελωνειακές αρχές μπορούν να καλύπτουν το συνολικό ποσό του εισαγωγικού ή εξαγωγικού δασμού που αφορά όλα τα εμπορεύματα τα οποία παραδόθηκαν σε αξιόπιστο και ελεγμένο συναλλασσόμενο εντός καθορισμένης προθεσμίας, σύμφωνα με το άρθρο 181 παράγραφος </w:t>
      </w:r>
      <w:hyperlink w:anchor="__akn_article_FJYK13_2wGUNh" w:tooltip="Article 181(4): (4)">
        <w:r w:rsidRPr="00483F7D">
          <w:rPr>
            <w:rStyle w:val="Hyperlink"/>
          </w:rPr>
          <w:t>4</w:t>
        </w:r>
      </w:hyperlink>
      <w:r w:rsidRPr="00483F7D">
        <w:t>, με έναν και μοναδικό καταλογισμό στο τέλος της εν λόγω προθεσμίας.</w:t>
      </w:r>
    </w:p>
    <w:p w14:paraId="11B6B309" w14:textId="77777777" w:rsidR="00E0244C" w:rsidRPr="00483F7D" w:rsidRDefault="007A1FD7">
      <w:pPr>
        <w:pStyle w:val="Text1"/>
      </w:pPr>
      <w:r w:rsidRPr="00483F7D">
        <w:t>Ο καταλογισμός αυτός πρέπει να πραγματοποιείται εντός 14 ημερών από τη λήξη της εν λόγω προθεσμίας.</w:t>
      </w:r>
    </w:p>
    <w:p w14:paraId="28FF22E2" w14:textId="77777777" w:rsidR="00E0244C" w:rsidRPr="00483F7D" w:rsidRDefault="007A1FD7">
      <w:pPr>
        <w:pStyle w:val="ManualNumPar10"/>
      </w:pPr>
      <w:bookmarkStart w:id="183" w:name="__akn_article_Btlbw6_K5e8h6"/>
      <w:bookmarkEnd w:id="183"/>
      <w:r w:rsidRPr="00483F7D">
        <w:t>3.</w:t>
      </w:r>
      <w:r w:rsidRPr="00483F7D">
        <w:tab/>
        <w:t xml:space="preserve">Κατά παρέκκλιση από την παράγραφο 1, το συνολικό ποσό του εισαγωγικού δασμού που αφορά όλα τα εμπορεύματα τα οποία  παραδόθηκαν σε θεωρούμενο εισαγωγέα εντός ενός μήνα, σύμφωνα με το άρθρο 181 παράγραφος </w:t>
      </w:r>
      <w:hyperlink w:anchor="__akn_article_FJYK13_d3Y6GF" w:tooltip="Article 181(5): (5)">
        <w:r w:rsidRPr="00483F7D">
          <w:rPr>
            <w:rStyle w:val="Hyperlink"/>
          </w:rPr>
          <w:t>5</w:t>
        </w:r>
      </w:hyperlink>
      <w:r w:rsidRPr="00483F7D">
        <w:t>, μπορεί να καλύπτεται με έναν και μοναδικό καταλογισμό έως το τέλος του επόμενου μήνα, ο οποίος περιλαμβάνει την ανάλυση των ποσών που αφορούν κάθε συγκεκριμένη αποστολή εμπορευμάτων.</w:t>
      </w:r>
    </w:p>
    <w:p w14:paraId="5EE9FDEF" w14:textId="77777777" w:rsidR="00E0244C" w:rsidRPr="00483F7D" w:rsidRDefault="007A1FD7">
      <w:pPr>
        <w:pStyle w:val="ManualNumPar10"/>
      </w:pPr>
      <w:bookmarkStart w:id="184" w:name="__akn_article_Btlbw6_flIwRn"/>
      <w:bookmarkEnd w:id="184"/>
      <w:r w:rsidRPr="00483F7D">
        <w:t>4.</w:t>
      </w:r>
      <w:r w:rsidRPr="00483F7D">
        <w:tab/>
        <w:t xml:space="preserve">Έως την ημερομηνία που ορίζεται στο άρθρο 265 παράγραφος </w:t>
      </w:r>
      <w:hyperlink w:anchor="_bill__akn_article_BG6Seo_VYhe2Y" w:tooltip="Article 261(3): (3)">
        <w:r w:rsidRPr="00483F7D">
          <w:rPr>
            <w:rStyle w:val="Hyperlink"/>
          </w:rPr>
          <w:t>3</w:t>
        </w:r>
      </w:hyperlink>
      <w:r w:rsidRPr="00483F7D">
        <w:t>, όταν υποβάλλεται τελωνειακή διασάφηση, εφόσον έχει κατατεθεί εγγύηση για την καταβολή, οι τελωνειακές αρχές μπορούν να επιτρέπουν να γνωστοποιείται στο τέλος της εν λόγω περιόδου η τελωνειακή οφειλή η οποία αντιστοιχεί στο συνολικό ποσό του εισαγωγικού ή εξαγωγικού δασμού για όλα τα εμπορεύματα τα οποία παραδόθηκαν σε ένα και το αυτό πρόσωπο εντός καθορισμένης περιόδου, η οποία δεν μπορεί να υπερβαίνει τις 31 ημέρες.</w:t>
      </w:r>
    </w:p>
    <w:p w14:paraId="51BF9EC0" w14:textId="77777777" w:rsidR="00E0244C" w:rsidRPr="00483F7D" w:rsidRDefault="007A1FD7">
      <w:pPr>
        <w:pStyle w:val="Text1"/>
      </w:pPr>
      <w:r w:rsidRPr="00483F7D">
        <w:t>Ο καταλογισμός αυτός πρέπει να πραγματοποιείται εντός 14 ημερών από τη λήξη της εν λόγω προθεσμίας.</w:t>
      </w:r>
    </w:p>
    <w:p w14:paraId="3F3A1F4A" w14:textId="77777777" w:rsidR="00E0244C" w:rsidRPr="00483F7D" w:rsidRDefault="007A1FD7">
      <w:pPr>
        <w:pStyle w:val="ManualNumPar10"/>
      </w:pPr>
      <w:r w:rsidRPr="00483F7D">
        <w:t>5.</w:t>
      </w:r>
      <w:r w:rsidRPr="00483F7D">
        <w:tab/>
        <w:t>Όταν η παράδοση των εμπορευμάτων εξαρτάται από ορισμένους όρους που διέπουν είτε τον καθορισμό του ποσού του καταβλητέου εισαγωγικού ή εξαγωγικού δασμού είτε την είσπραξή του, ο καταλογισμός πραγματοποιείται εντός 14 ημερών από την ημέρα κατά την οποία καθορίζεται το ποσό του καταβλητέου εισαγωγικού ή εξαγωγικού δασμού ή προσδιορίζεται η υποχρέωση καταβολής του εν λόγω δασμού.</w:t>
      </w:r>
    </w:p>
    <w:p w14:paraId="33CF372B" w14:textId="77777777" w:rsidR="00E0244C" w:rsidRPr="00483F7D" w:rsidRDefault="007A1FD7">
      <w:pPr>
        <w:pStyle w:val="Text1"/>
      </w:pPr>
      <w:r w:rsidRPr="00483F7D">
        <w:t>Ωστόσο, όταν η τελωνειακή οφειλή αφορά προσωρινό δασμό αντιντάμπινγκ, προσωρινό αντισταθμιστικό δασμό ή προσωρινό μέτρο διασφάλισης, ο καταλογισμός του ποσού του καταβλητέου εισαγωγικού ή εξαγωγικού δασμού πραγματοποιείται εντός δύο μηνών από την ημερομηνία δημοσίευσης στην Επίσημη Εφημερίδα της Ευρωπαϊκής Ένωσης του κανονισμού που επιβάλλει τον οριστικό δασμό.</w:t>
      </w:r>
    </w:p>
    <w:p w14:paraId="2F844BEE" w14:textId="77777777" w:rsidR="00E0244C" w:rsidRPr="00483F7D" w:rsidRDefault="007A1FD7">
      <w:pPr>
        <w:pStyle w:val="ManualNumPar10"/>
      </w:pPr>
      <w:r w:rsidRPr="00483F7D">
        <w:t>6.</w:t>
      </w:r>
      <w:r w:rsidRPr="00483F7D">
        <w:tab/>
        <w:t>Όταν γεννάται τελωνειακή οφειλή υπό περιστάσεις που δεν καλύπτονται από την παράγραφο 1, το ποσό του καταβλητέου εισαγωγικού ή εξαγωγικού δασμού καταλογίζεται εντός 14 ημερών από την ημερομηνία κατά την οποία οι τελωνειακές αρχές είναι σε θέση να καθορίσουν το εν λόγω ποσό του εισαγωγικού ή εξαγωγικού δασμού και να λάβουν απόφαση.</w:t>
      </w:r>
    </w:p>
    <w:p w14:paraId="0161C51A" w14:textId="77777777" w:rsidR="00E0244C" w:rsidRPr="00483F7D" w:rsidRDefault="007A1FD7">
      <w:pPr>
        <w:pStyle w:val="ManualNumPar10"/>
      </w:pPr>
      <w:bookmarkStart w:id="185" w:name="__akn_article_Btlbw6_REmV21"/>
      <w:bookmarkEnd w:id="185"/>
      <w:r w:rsidRPr="00483F7D">
        <w:t>7.</w:t>
      </w:r>
      <w:r w:rsidRPr="00483F7D">
        <w:tab/>
        <w:t>Όταν το ποσό του καταβλητέου εισαγωγικού ή εξαγωγικού δασμού δεν έχει καταλογιστεί σύμφωνα με τις παραγράφους 1 έως 6, ή έχει καθοριστεί και καταλογιστεί σε επίπεδο κατώτερο από το καταβλητέο ποσό, η παράγραφος 6 εφαρμόζεται στο ποσό του εισαγωγικού ή εξαγωγικού δασμού που πρόκειται ή που απομένει να εισπραχθεί.</w:t>
      </w:r>
    </w:p>
    <w:p w14:paraId="1ED32F8B" w14:textId="77777777" w:rsidR="00E0244C" w:rsidRPr="00483F7D" w:rsidRDefault="007A1FD7">
      <w:pPr>
        <w:pStyle w:val="ManualNumPar10"/>
      </w:pPr>
      <w:r w:rsidRPr="00483F7D">
        <w:t>8.</w:t>
      </w:r>
      <w:r w:rsidRPr="00483F7D">
        <w:tab/>
        <w:t>Οι προθεσμίες για τον καταλογισμό που προβλέπονται στις παραγράφους 1 έως 6 δεν εφαρμόζονται στις περιπτώσεις απρόβλεπτων περιστάσεων ή ανωτέρας βίας.</w:t>
      </w:r>
    </w:p>
    <w:p w14:paraId="26D3AAB6" w14:textId="77777777" w:rsidR="00E0244C" w:rsidRPr="00483F7D" w:rsidRDefault="007A1FD7">
      <w:pPr>
        <w:pStyle w:val="ManualNumPar10"/>
      </w:pPr>
      <w:r w:rsidRPr="00483F7D">
        <w:t>9.</w:t>
      </w:r>
      <w:r w:rsidRPr="00483F7D">
        <w:tab/>
        <w:t xml:space="preserve">Ο καταλογισμός μπορεί να αναβληθεί στην περίπτωση που αναφέρεται στο άρθρο 181 παράγραφος 3 </w:t>
      </w:r>
      <w:hyperlink w:anchor="__akn_article_FJYK13_C8Ej1O" w:tooltip="Article 181(3), second subparagraph: second">
        <w:r w:rsidRPr="00483F7D">
          <w:rPr>
            <w:rStyle w:val="Hyperlink"/>
          </w:rPr>
          <w:t>δεύτερο</w:t>
        </w:r>
      </w:hyperlink>
      <w:r w:rsidRPr="00483F7D">
        <w:t xml:space="preserve"> εδάφιο, έως ότου η γνωστοποίηση της τελωνειακής οφειλής να μην θέτει πλέον σε κίνδυνο ποινική έρευνα.</w:t>
      </w:r>
    </w:p>
    <w:p w14:paraId="2148C479" w14:textId="77777777" w:rsidR="00E0244C" w:rsidRPr="00483F7D" w:rsidRDefault="007A1FD7">
      <w:pPr>
        <w:pStyle w:val="Titrearticle"/>
      </w:pPr>
      <w:r w:rsidRPr="00483F7D">
        <w:t>Άρθρο 185</w:t>
      </w:r>
    </w:p>
    <w:p w14:paraId="7FA62890" w14:textId="77777777" w:rsidR="00E0244C" w:rsidRPr="00483F7D" w:rsidRDefault="007A1FD7">
      <w:pPr>
        <w:pStyle w:val="NormalCentered"/>
      </w:pPr>
      <w:r w:rsidRPr="00483F7D">
        <w:rPr>
          <w:b/>
        </w:rPr>
        <w:t>Ανάθεση εκτελεστικών αρμοδιοτήτων</w:t>
      </w:r>
    </w:p>
    <w:p w14:paraId="246F1343" w14:textId="77777777" w:rsidR="00E0244C" w:rsidRPr="00483F7D" w:rsidRDefault="007A1FD7" w:rsidP="00A55320">
      <w:r w:rsidRPr="00483F7D">
        <w:t>Η Επιτροπή θεσπίζει, με εκτελεστικές πράξεις, μέτρα για να διασφαλίζεται η αμοιβαία συνδρομή μεταξύ των τελωνειακών αρχών σε περίπτωση γένεσης τελωνειακής οφειλής.</w:t>
      </w:r>
    </w:p>
    <w:p w14:paraId="5442C5A2" w14:textId="77777777" w:rsidR="00E0244C" w:rsidRPr="00483F7D" w:rsidRDefault="007A1FD7" w:rsidP="00A55320">
      <w:r w:rsidRPr="00483F7D">
        <w:t xml:space="preserve">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rPr>
            <w:rStyle w:val="Hyperlink"/>
          </w:rPr>
          <w:t>4</w:t>
        </w:r>
      </w:hyperlink>
      <w:r w:rsidRPr="00483F7D">
        <w:t>.</w:t>
      </w:r>
    </w:p>
    <w:p w14:paraId="20A4BEF5" w14:textId="77777777" w:rsidR="00E0244C" w:rsidRPr="00483F7D" w:rsidRDefault="007A1FD7">
      <w:pPr>
        <w:pStyle w:val="SectionTitle"/>
      </w:pPr>
      <w:r w:rsidRPr="00483F7D">
        <w:t xml:space="preserve">Τμήμα 2 </w:t>
      </w:r>
      <w:r w:rsidRPr="00483F7D">
        <w:br/>
        <w:t>Καταβολή του ποσού του εισαγωγικού ή εξαγωγικού δασμού</w:t>
      </w:r>
    </w:p>
    <w:p w14:paraId="6B3E6E14" w14:textId="77777777" w:rsidR="00E0244C" w:rsidRPr="00483F7D" w:rsidRDefault="007A1FD7">
      <w:pPr>
        <w:pStyle w:val="Titrearticle"/>
      </w:pPr>
      <w:r w:rsidRPr="00483F7D">
        <w:t>Άρθρο 186</w:t>
      </w:r>
    </w:p>
    <w:p w14:paraId="5511F47E" w14:textId="77777777" w:rsidR="00E0244C" w:rsidRPr="00483F7D" w:rsidRDefault="007A1FD7">
      <w:pPr>
        <w:pStyle w:val="NormalCentered"/>
      </w:pPr>
      <w:r w:rsidRPr="00483F7D">
        <w:rPr>
          <w:b/>
        </w:rPr>
        <w:t>Γενικές προθεσμίες καταβολής και αναστολή της προθεσμίας καταβολής</w:t>
      </w:r>
    </w:p>
    <w:p w14:paraId="2CDD7019" w14:textId="77777777" w:rsidR="00E0244C" w:rsidRPr="00483F7D" w:rsidRDefault="007A1FD7">
      <w:pPr>
        <w:pStyle w:val="ManualNumPar10"/>
      </w:pPr>
      <w:r w:rsidRPr="00483F7D">
        <w:t>1.</w:t>
      </w:r>
      <w:r w:rsidRPr="00483F7D">
        <w:tab/>
        <w:t xml:space="preserve">Ο οφειλέτης καταβάλλει τα ποσά του εισαγωγικού ή εξαγωγικού δασμού, τα οποία αντιστοιχούν σε τελωνειακή οφειλή που έχει γνωστοποιηθεί σύμφωνα με το άρθρο </w:t>
      </w:r>
      <w:hyperlink w:anchor="__akn_article_FJYK13" w:tooltip="Article 181: 181">
        <w:r w:rsidRPr="00483F7D">
          <w:rPr>
            <w:rStyle w:val="Hyperlink"/>
          </w:rPr>
          <w:t>181</w:t>
        </w:r>
      </w:hyperlink>
      <w:r w:rsidRPr="00483F7D">
        <w:t>, εντός της προθεσμίας που καθορίζουν οι τελωνειακές αρχές.</w:t>
      </w:r>
    </w:p>
    <w:p w14:paraId="46223F41" w14:textId="77777777" w:rsidR="00E0244C" w:rsidRPr="00483F7D" w:rsidRDefault="007A1FD7">
      <w:pPr>
        <w:pStyle w:val="Text1"/>
      </w:pPr>
      <w:r w:rsidRPr="00483F7D">
        <w:t xml:space="preserve">Με την επιφύλαξη του άρθρου 17 παράγραφος </w:t>
      </w:r>
      <w:hyperlink w:anchor="_bill__akn_article_ouIbLI_bz5cEz" w:tooltip="Article 17(2): (2)">
        <w:r w:rsidRPr="00483F7D">
          <w:rPr>
            <w:rStyle w:val="Hyperlink"/>
          </w:rPr>
          <w:t>2</w:t>
        </w:r>
      </w:hyperlink>
      <w:r w:rsidRPr="00483F7D">
        <w:t>, η προθεσμία αυτή δεν μπορεί να υπερβαίνει τις 10 ημέρες από τη γνωστοποίηση της τελωνειακής οφειλής στον οφειλέτη. </w:t>
      </w:r>
    </w:p>
    <w:p w14:paraId="2AE18817" w14:textId="77777777" w:rsidR="00E0244C" w:rsidRPr="00483F7D" w:rsidRDefault="007A1FD7">
      <w:pPr>
        <w:pStyle w:val="Text1"/>
      </w:pPr>
      <w:r w:rsidRPr="00483F7D">
        <w:t xml:space="preserve">Κατόπιν αίτησης του οφειλέτη, οι τελωνειακές αρχές μπορούν να παρατείνουν την εν λόγω προθεσμία, όταν το ποσό του καταβλητέου εισαγωγικού ή εξαγωγικού δασμού έχει καθοριστεί κατά τη διάρκεια εκ των υστέρων ελέγχου όπως αναφέρεται στο άρθρο </w:t>
      </w:r>
      <w:hyperlink w:anchor="__akn_article_FCz90W" w:tooltip="Article 48: 48">
        <w:r w:rsidRPr="00483F7D">
          <w:rPr>
            <w:rStyle w:val="Hyperlink"/>
          </w:rPr>
          <w:t>48</w:t>
        </w:r>
      </w:hyperlink>
      <w:r w:rsidRPr="00483F7D">
        <w:t xml:space="preserve">. Με την επιφύλαξη του άρθρου 190 παράγραφος </w:t>
      </w:r>
      <w:hyperlink w:anchor="__akn_article_UFY8xd-par1" w:tooltip="Article 190(2): (2)">
        <w:r w:rsidRPr="00483F7D">
          <w:rPr>
            <w:rStyle w:val="Hyperlink"/>
          </w:rPr>
          <w:t>2</w:t>
        </w:r>
      </w:hyperlink>
      <w:r w:rsidRPr="00483F7D">
        <w:t>, η εν λόγω παράταση της προθεσμίας δεν υπερβαίνει τον χρόνο που χρειάζεται ο οφειλέτης για να λάβει τα αναγκαία μέτρα προς εκπλήρωση της υποχρέωσής του.</w:t>
      </w:r>
    </w:p>
    <w:p w14:paraId="292EAE47" w14:textId="77777777" w:rsidR="00E0244C" w:rsidRPr="00483F7D" w:rsidRDefault="007A1FD7">
      <w:pPr>
        <w:pStyle w:val="ManualNumPar10"/>
      </w:pPr>
      <w:r w:rsidRPr="00483F7D">
        <w:t>2.</w:t>
      </w:r>
      <w:r w:rsidRPr="00483F7D">
        <w:tab/>
        <w:t xml:space="preserve">Κατά παρέκκλιση από την παράγραφο 1, το ποσό του εισαγωγικού δασμού που αντιστοιχεί σε τελωνειακή οφειλή η οποία γνωστοποιείται σύμφωνα με το άρθρο 181 παράγραφος </w:t>
      </w:r>
      <w:hyperlink w:anchor="__akn_article_FJYK13_d3Y6GF" w:tooltip="Article 181(5): (5)">
        <w:r w:rsidRPr="00483F7D">
          <w:rPr>
            <w:rStyle w:val="Hyperlink"/>
          </w:rPr>
          <w:t>5</w:t>
        </w:r>
      </w:hyperlink>
      <w:r w:rsidRPr="00483F7D">
        <w:t xml:space="preserve"> καταβάλλεται από τον οφειλέτη το αργότερο κατά τη λήξη της προθεσμίας εντός της οποίας πρέπει να γνωστοποιηθεί η τελωνειακή οφειλή.</w:t>
      </w:r>
    </w:p>
    <w:p w14:paraId="7EE09E0D" w14:textId="77777777" w:rsidR="00E0244C" w:rsidRPr="00483F7D" w:rsidRDefault="007A1FD7">
      <w:pPr>
        <w:pStyle w:val="ManualNumPar10"/>
      </w:pPr>
      <w:r w:rsidRPr="00483F7D">
        <w:t>3.</w:t>
      </w:r>
      <w:r w:rsidRPr="00483F7D">
        <w:tab/>
        <w:t xml:space="preserve">Αν ο οφειλέτης δικαιούται κάποια από τις διευκολύνσεις καταβολής που προβλέπονται στα άρθρα </w:t>
      </w:r>
      <w:hyperlink w:anchor="__akn_article_hnZnwa" w:tooltip="Article 188: 188">
        <w:r w:rsidRPr="00483F7D">
          <w:rPr>
            <w:rStyle w:val="Hyperlink"/>
          </w:rPr>
          <w:t>188</w:t>
        </w:r>
      </w:hyperlink>
      <w:r w:rsidRPr="00483F7D">
        <w:t xml:space="preserve"> έως </w:t>
      </w:r>
      <w:hyperlink w:anchor="__akn_article_UFY8xd" w:tooltip="Article 190: 190">
        <w:r w:rsidRPr="00483F7D">
          <w:rPr>
            <w:rStyle w:val="Hyperlink"/>
          </w:rPr>
          <w:t>190</w:t>
        </w:r>
      </w:hyperlink>
      <w:r w:rsidRPr="00483F7D">
        <w:t>, η καταβολή πραγματοποιείται εντός της περιόδου ή των περιόδων που καθορίζονται όσον αφορά τις εν λόγω διευκολύνσεις.</w:t>
      </w:r>
    </w:p>
    <w:p w14:paraId="0A1C44C6" w14:textId="77777777" w:rsidR="00E0244C" w:rsidRPr="00483F7D" w:rsidRDefault="007A1FD7">
      <w:pPr>
        <w:pStyle w:val="ManualNumPar10"/>
      </w:pPr>
      <w:r w:rsidRPr="00483F7D">
        <w:t>4.</w:t>
      </w:r>
      <w:r w:rsidRPr="00483F7D">
        <w:tab/>
        <w:t>Η προθεσμία καταβολής του ποσού του εισαγωγικού ή εξαγωγικού δασμού που αντιστοιχεί σε τελωνειακή οφειλή αναστέλλεται σε οποιαδήποτε από τις ακόλουθες περιπτώσεις:</w:t>
      </w:r>
    </w:p>
    <w:p w14:paraId="798710B4" w14:textId="3A1748B5" w:rsidR="00E0244C" w:rsidRPr="00483F7D" w:rsidRDefault="00BC60FC" w:rsidP="00BC60FC">
      <w:pPr>
        <w:pStyle w:val="Point1"/>
      </w:pPr>
      <w:r w:rsidRPr="00483F7D">
        <w:t>α)</w:t>
      </w:r>
      <w:r w:rsidRPr="00483F7D">
        <w:tab/>
      </w:r>
      <w:r w:rsidR="007A1FD7" w:rsidRPr="00483F7D">
        <w:t xml:space="preserve">όταν υποβάλλεται αίτηση διαγραφής δασμού σύμφωνα με το άρθρο </w:t>
      </w:r>
      <w:hyperlink w:anchor="__akn_article_ycnCxF" w:tooltip="Article 198: 198">
        <w:r w:rsidR="007A1FD7" w:rsidRPr="00483F7D">
          <w:rPr>
            <w:rStyle w:val="Hyperlink"/>
          </w:rPr>
          <w:t>198</w:t>
        </w:r>
      </w:hyperlink>
      <w:r w:rsidR="007A1FD7" w:rsidRPr="00483F7D">
        <w:t>·</w:t>
      </w:r>
    </w:p>
    <w:p w14:paraId="4D98D31C" w14:textId="25F364E6" w:rsidR="00E0244C" w:rsidRPr="00483F7D" w:rsidRDefault="00BC60FC" w:rsidP="00BC60FC">
      <w:pPr>
        <w:pStyle w:val="Point1"/>
      </w:pPr>
      <w:r w:rsidRPr="00483F7D">
        <w:t>β)</w:t>
      </w:r>
      <w:r w:rsidRPr="00483F7D">
        <w:tab/>
      </w:r>
      <w:r w:rsidR="007A1FD7" w:rsidRPr="00483F7D">
        <w:t>όταν τα εμπορεύματα πρόκειται να δημευθούν, να καταστραφούν ή να εγκαταλειφθούν υπέρ του Δημοσίου·</w:t>
      </w:r>
    </w:p>
    <w:p w14:paraId="7AE7AD9D" w14:textId="21AFE15A" w:rsidR="00E0244C" w:rsidRPr="00483F7D" w:rsidRDefault="00BC60FC" w:rsidP="00BC60FC">
      <w:pPr>
        <w:pStyle w:val="Point1"/>
      </w:pPr>
      <w:r w:rsidRPr="00483F7D">
        <w:t>γ)</w:t>
      </w:r>
      <w:r w:rsidRPr="00483F7D">
        <w:tab/>
      </w:r>
      <w:r w:rsidR="007A1FD7" w:rsidRPr="00483F7D">
        <w:t xml:space="preserve">όταν η τελωνειακή οφειλή έχει γεννηθεί δυνάμει του άρθρου </w:t>
      </w:r>
      <w:hyperlink w:anchor="__akn_article_jGjnqv" w:tooltip="Article 161: 161">
        <w:r w:rsidR="007A1FD7" w:rsidRPr="00483F7D">
          <w:t>161</w:t>
        </w:r>
      </w:hyperlink>
      <w:r w:rsidR="007A1FD7" w:rsidRPr="00483F7D">
        <w:t xml:space="preserve"> και οι οφειλέτες είναι περισσότεροι του ενός.</w:t>
      </w:r>
    </w:p>
    <w:p w14:paraId="24FC5513"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των κανόνων για την αναστολή της προθεσμίας καταβολής του ποσού του εισαγωγικού ή εξαγωγικού δασμού που αντιστοιχεί σε τελωνειακή οφειλή η οποία αναφέρεται στην παράγραφο 3 και με τον καθορισμό της περιόδου αναστολής.</w:t>
      </w:r>
    </w:p>
    <w:p w14:paraId="7F58893F" w14:textId="77777777" w:rsidR="00E0244C" w:rsidRPr="00483F7D" w:rsidRDefault="007A1FD7">
      <w:pPr>
        <w:pStyle w:val="Titrearticle"/>
      </w:pPr>
      <w:r w:rsidRPr="00483F7D">
        <w:t>Άρθρο 187</w:t>
      </w:r>
    </w:p>
    <w:p w14:paraId="029643CE" w14:textId="77777777" w:rsidR="00E0244C" w:rsidRPr="00483F7D" w:rsidRDefault="007A1FD7">
      <w:pPr>
        <w:pStyle w:val="NormalCentered"/>
      </w:pPr>
      <w:r w:rsidRPr="00483F7D">
        <w:rPr>
          <w:b/>
        </w:rPr>
        <w:t>Καταβολή</w:t>
      </w:r>
    </w:p>
    <w:p w14:paraId="59B3EA82" w14:textId="77777777" w:rsidR="00E0244C" w:rsidRPr="00483F7D" w:rsidRDefault="007A1FD7">
      <w:pPr>
        <w:pStyle w:val="ManualNumPar10"/>
      </w:pPr>
      <w:r w:rsidRPr="00483F7D">
        <w:t>1.</w:t>
      </w:r>
      <w:r w:rsidRPr="00483F7D">
        <w:tab/>
        <w:t>Η καταβολή πρέπει να πραγματοποιείται σε μετρητά ή με οποιοδήποτε άλλο μέσο έχει παρόμοια εξοφλητική ισχύ, ενδεχομένως και με συμψηφισμό, σύμφωνα με την εθνική νομοθεσία.</w:t>
      </w:r>
    </w:p>
    <w:p w14:paraId="663871AA" w14:textId="77777777" w:rsidR="00E0244C" w:rsidRPr="00483F7D" w:rsidRDefault="007A1FD7">
      <w:pPr>
        <w:pStyle w:val="ManualNumPar10"/>
      </w:pPr>
      <w:r w:rsidRPr="00483F7D">
        <w:t>2.</w:t>
      </w:r>
      <w:r w:rsidRPr="00483F7D">
        <w:tab/>
        <w:t>Η καταβολή μπορεί να γίνεται από τρίτο πρόσωπο αντί για τον οφειλέτη.</w:t>
      </w:r>
    </w:p>
    <w:p w14:paraId="1E6D81F1" w14:textId="77777777" w:rsidR="00E0244C" w:rsidRPr="00483F7D" w:rsidRDefault="007A1FD7">
      <w:pPr>
        <w:pStyle w:val="ManualNumPar10"/>
      </w:pPr>
      <w:r w:rsidRPr="00483F7D">
        <w:t>3.</w:t>
      </w:r>
      <w:r w:rsidRPr="00483F7D">
        <w:tab/>
        <w:t>Ο οφειλέτης μπορεί σε κάθε περίπτωση να καταβάλλει το σύνολο ή μέρος του ποσού του εισαγωγικού ή εξαγωγικού δασμού χωρίς να περιμένει τη λήξη της περιόδου που του χορηγήθηκε για την καταβολή.</w:t>
      </w:r>
    </w:p>
    <w:p w14:paraId="6A1EC5B4" w14:textId="77777777" w:rsidR="00E0244C" w:rsidRPr="00483F7D" w:rsidRDefault="007A1FD7">
      <w:pPr>
        <w:pStyle w:val="Titrearticle"/>
      </w:pPr>
      <w:bookmarkStart w:id="186" w:name="__akn_article_hnZnwa"/>
      <w:bookmarkEnd w:id="186"/>
      <w:r w:rsidRPr="00483F7D">
        <w:t>Άρθρο 188</w:t>
      </w:r>
    </w:p>
    <w:p w14:paraId="39936B59" w14:textId="77777777" w:rsidR="00E0244C" w:rsidRPr="00483F7D" w:rsidRDefault="007A1FD7">
      <w:pPr>
        <w:pStyle w:val="NormalCentered"/>
      </w:pPr>
      <w:r w:rsidRPr="00483F7D">
        <w:rPr>
          <w:b/>
        </w:rPr>
        <w:t>Αναστολή καταβολής</w:t>
      </w:r>
    </w:p>
    <w:p w14:paraId="678A10D1" w14:textId="77777777" w:rsidR="00E0244C" w:rsidRPr="00483F7D" w:rsidRDefault="007A1FD7">
      <w:r w:rsidRPr="00483F7D">
        <w:t>Οι τελωνειακές αρχές, κατόπιν αίτησης του ενδιαφερόμενου προσώπου και εφόσον συστήνεται εγγύηση, επιτρέπουν την αναβολή της καταβολής του καταβλητέου δασμού σύμφωνα με οποιονδήποτε από τους ακόλουθους τρόπους:</w:t>
      </w:r>
    </w:p>
    <w:p w14:paraId="36B419D0" w14:textId="2474221D" w:rsidR="00E0244C" w:rsidRPr="00483F7D" w:rsidRDefault="00BC60FC" w:rsidP="00BC60FC">
      <w:pPr>
        <w:pStyle w:val="Point1"/>
      </w:pPr>
      <w:r w:rsidRPr="00483F7D">
        <w:t>α)</w:t>
      </w:r>
      <w:r w:rsidRPr="00483F7D">
        <w:tab/>
      </w:r>
      <w:r w:rsidR="007A1FD7" w:rsidRPr="00483F7D">
        <w:t xml:space="preserve">χωριστά για κάθε ποσό εισαγωγικού ή εξαγωγικού δασμού που καταλογίζεται σύμφωνα με το άρθρο 184 παράγραφος </w:t>
      </w:r>
      <w:hyperlink w:anchor="__akn_article_Btlbw6_aoGhtr" w:tooltip="Article 184(1): (1)">
        <w:r w:rsidR="007A1FD7" w:rsidRPr="00483F7D">
          <w:rPr>
            <w:rStyle w:val="Hyperlink"/>
          </w:rPr>
          <w:t>1</w:t>
        </w:r>
      </w:hyperlink>
      <w:r w:rsidR="007A1FD7" w:rsidRPr="00483F7D">
        <w:t xml:space="preserve"> ή με το άρθρο 184 παράγραφος </w:t>
      </w:r>
      <w:hyperlink w:anchor="__akn_article_Btlbw6_REmV21" w:tooltip="Article 184(7): (7)">
        <w:r w:rsidR="007A1FD7" w:rsidRPr="00483F7D">
          <w:rPr>
            <w:rStyle w:val="Hyperlink"/>
          </w:rPr>
          <w:t>7</w:t>
        </w:r>
      </w:hyperlink>
      <w:r w:rsidR="007A1FD7" w:rsidRPr="00483F7D">
        <w:t>·</w:t>
      </w:r>
    </w:p>
    <w:p w14:paraId="364F0C04" w14:textId="393032B5" w:rsidR="00E0244C" w:rsidRPr="00483F7D" w:rsidRDefault="00BC60FC" w:rsidP="00BC60FC">
      <w:pPr>
        <w:pStyle w:val="Point1"/>
      </w:pPr>
      <w:r w:rsidRPr="00483F7D">
        <w:t>β)</w:t>
      </w:r>
      <w:r w:rsidRPr="00483F7D">
        <w:tab/>
      </w:r>
      <w:r w:rsidR="007A1FD7" w:rsidRPr="00483F7D">
        <w:t xml:space="preserve">συνολικά για όλα τα ποσά εισαγωγικού ή εξαγωγικού δασμού που καταλογίζονται σύμφωνα με το άρθρο 184 παράγραφος </w:t>
      </w:r>
      <w:hyperlink w:anchor="__akn_article_Btlbw6_aoGhtr" w:tooltip="Article 184(1): (1)">
        <w:r w:rsidR="007A1FD7" w:rsidRPr="00483F7D">
          <w:t>1</w:t>
        </w:r>
      </w:hyperlink>
      <w:r w:rsidR="007A1FD7" w:rsidRPr="00483F7D">
        <w:t>, κατά τη διάρκεια περιόδου που καθορίζεται από τις τελωνειακές αρχές και δεν υπερβαίνει τις 31 ημέρες·</w:t>
      </w:r>
    </w:p>
    <w:p w14:paraId="118CCBEC" w14:textId="4EA98716" w:rsidR="00E0244C" w:rsidRPr="00483F7D" w:rsidRDefault="00BC60FC" w:rsidP="00BC60FC">
      <w:pPr>
        <w:pStyle w:val="Point1"/>
      </w:pPr>
      <w:r w:rsidRPr="00483F7D">
        <w:t>γ)</w:t>
      </w:r>
      <w:r w:rsidRPr="00483F7D">
        <w:tab/>
      </w:r>
      <w:r w:rsidR="007A1FD7" w:rsidRPr="00483F7D">
        <w:t xml:space="preserve">συνολικά για όλα τα ποσά εισαγωγικού ή εξαγωγικού δασμού που αποτελούν το αντικείμενο ενιαίου καταλογισμού σύμφωνα με το άρθρο 184 παράγραφοι </w:t>
      </w:r>
      <w:hyperlink w:anchor="__akn_article_Btlbw6_DP1XG4" w:tooltip="Article 184(2), (3) and (4): (2)">
        <w:r w:rsidR="007A1FD7" w:rsidRPr="00483F7D">
          <w:t>2</w:t>
        </w:r>
      </w:hyperlink>
      <w:r w:rsidR="007A1FD7" w:rsidRPr="00483F7D">
        <w:t xml:space="preserve">, </w:t>
      </w:r>
      <w:hyperlink w:anchor="__akn_article_Btlbw6_K5e8h6" w:tooltip="Article 184(2), (3) and (4): (3)">
        <w:r w:rsidR="007A1FD7" w:rsidRPr="00483F7D">
          <w:t>3</w:t>
        </w:r>
      </w:hyperlink>
      <w:r w:rsidR="007A1FD7" w:rsidRPr="00483F7D">
        <w:t xml:space="preserve"> και </w:t>
      </w:r>
      <w:hyperlink w:anchor="__akn_article_Btlbw6_flIwRn" w:tooltip="Article 184(2), (3) and (4): (4)">
        <w:r w:rsidR="007A1FD7" w:rsidRPr="00483F7D">
          <w:t>4</w:t>
        </w:r>
      </w:hyperlink>
      <w:r w:rsidR="007A1FD7" w:rsidRPr="00483F7D">
        <w:t>.</w:t>
      </w:r>
    </w:p>
    <w:p w14:paraId="6177E7BC" w14:textId="77777777" w:rsidR="00E0244C" w:rsidRPr="00483F7D" w:rsidRDefault="007A1FD7">
      <w:pPr>
        <w:pStyle w:val="Titrearticle"/>
      </w:pPr>
      <w:r w:rsidRPr="00483F7D">
        <w:t>Άρθρο 189</w:t>
      </w:r>
    </w:p>
    <w:p w14:paraId="500210AE" w14:textId="77777777" w:rsidR="00E0244C" w:rsidRPr="00483F7D" w:rsidRDefault="007A1FD7">
      <w:pPr>
        <w:pStyle w:val="NormalCentered"/>
      </w:pPr>
      <w:r w:rsidRPr="00483F7D">
        <w:rPr>
          <w:b/>
        </w:rPr>
        <w:t>Περίοδοι αναβολής της καταβολής</w:t>
      </w:r>
    </w:p>
    <w:p w14:paraId="7A46C6F0" w14:textId="77777777" w:rsidR="00E0244C" w:rsidRPr="00483F7D" w:rsidRDefault="007A1FD7">
      <w:pPr>
        <w:pStyle w:val="ManualNumPar10"/>
      </w:pPr>
      <w:r w:rsidRPr="00483F7D">
        <w:t>1.</w:t>
      </w:r>
      <w:r w:rsidRPr="00483F7D">
        <w:tab/>
        <w:t xml:space="preserve">Η περίοδος για την οποία αναβάλλεται η καταβολή δυνάμει του άρθρου </w:t>
      </w:r>
      <w:hyperlink w:anchor="__akn_article_hnZnwa" w:tooltip="Article 188: 188">
        <w:r w:rsidRPr="00483F7D">
          <w:rPr>
            <w:rStyle w:val="Hyperlink"/>
          </w:rPr>
          <w:t>188</w:t>
        </w:r>
      </w:hyperlink>
      <w:r w:rsidRPr="00483F7D">
        <w:t xml:space="preserve"> ανέρχεται σε 30 ημέρες.</w:t>
      </w:r>
    </w:p>
    <w:p w14:paraId="084ADC54" w14:textId="77777777" w:rsidR="00E0244C" w:rsidRPr="00483F7D" w:rsidRDefault="007A1FD7">
      <w:pPr>
        <w:pStyle w:val="ManualNumPar10"/>
      </w:pPr>
      <w:r w:rsidRPr="00483F7D">
        <w:t>2.</w:t>
      </w:r>
      <w:r w:rsidRPr="00483F7D">
        <w:tab/>
        <w:t xml:space="preserve">Όταν η καταβολή αναβάλλεται σύμφωνα με το άρθρο 188 στοιχείο </w:t>
      </w:r>
      <w:hyperlink w:anchor="__akn_article_hnZnwa_hAIZuI" w:tooltip="Article 188, first paragraph, point (a): (a)">
        <w:r w:rsidRPr="00483F7D">
          <w:rPr>
            <w:rStyle w:val="Hyperlink"/>
          </w:rPr>
          <w:t>α)</w:t>
        </w:r>
      </w:hyperlink>
      <w:r w:rsidRPr="00483F7D">
        <w:t>, η περίοδος ξεκινά την επομένη της ημέρας κατά την οποία γνωστοποιείται η τελωνειακή οφειλή στον οφειλέτη.</w:t>
      </w:r>
    </w:p>
    <w:p w14:paraId="3AF32ECD" w14:textId="77777777" w:rsidR="00E0244C" w:rsidRPr="00483F7D" w:rsidRDefault="007A1FD7">
      <w:pPr>
        <w:pStyle w:val="ManualNumPar10"/>
      </w:pPr>
      <w:r w:rsidRPr="00483F7D">
        <w:t>3.</w:t>
      </w:r>
      <w:r w:rsidRPr="00483F7D">
        <w:tab/>
        <w:t xml:space="preserve">Όταν η καταβολή αναβάλλεται σύμφωνα με το άρθρο 188 στοιχείο </w:t>
      </w:r>
      <w:hyperlink w:anchor="__akn_article_hnZnwa-par1" w:tooltip="Article 188, first paragraph, point (b): (b)">
        <w:r w:rsidRPr="00483F7D">
          <w:rPr>
            <w:rStyle w:val="Hyperlink"/>
          </w:rPr>
          <w:t>β)</w:t>
        </w:r>
      </w:hyperlink>
      <w:r w:rsidRPr="00483F7D">
        <w:t>, η περίοδος ξεκινά την επομένη της ημέρας κατά την οποία λήγει η περίοδος συγκεντρωτικού καταλογισμού. Η περίοδος αυτή μειώνεται κατά τον αριθμό των ημερών που αντιστοιχεί στο ήμισυ του αριθμού των ημερών της περιόδου για τον συγκεντρωτικό καταλογισμό.</w:t>
      </w:r>
    </w:p>
    <w:p w14:paraId="1E572F5D" w14:textId="77777777" w:rsidR="00E0244C" w:rsidRPr="00483F7D" w:rsidRDefault="007A1FD7">
      <w:pPr>
        <w:pStyle w:val="ManualNumPar10"/>
      </w:pPr>
      <w:r w:rsidRPr="00483F7D">
        <w:t>4.</w:t>
      </w:r>
      <w:r w:rsidRPr="00483F7D">
        <w:tab/>
        <w:t xml:space="preserve">Όταν η καταβολή αναβάλλεται σύμφωνα με το άρθρο 188 στοιχείο </w:t>
      </w:r>
      <w:hyperlink w:anchor="__akn_article_hnZnwa_bjJgCi" w:tooltip="Article 188, first paragraph, point (c): (c)">
        <w:r w:rsidRPr="00483F7D">
          <w:rPr>
            <w:rStyle w:val="Hyperlink"/>
          </w:rPr>
          <w:t>γ)</w:t>
        </w:r>
      </w:hyperlink>
      <w:r w:rsidRPr="00483F7D">
        <w:t>, η περίοδος ξεκινά την επομένη της λήξης της περιόδου που έχει καθοριστεί για την παράδοση των εκάστοτε εμπορευμάτων. Η περίοδος αυτή μειώνεται κατά τον αριθμό των ημερών που αντιστοιχεί στο ήμισυ του αριθμού των ημερών της εν λόγω περιόδου.</w:t>
      </w:r>
    </w:p>
    <w:p w14:paraId="11C0C1CE" w14:textId="77777777" w:rsidR="00E0244C" w:rsidRPr="00483F7D" w:rsidRDefault="007A1FD7">
      <w:pPr>
        <w:pStyle w:val="ManualNumPar10"/>
      </w:pPr>
      <w:r w:rsidRPr="00483F7D">
        <w:t>5.</w:t>
      </w:r>
      <w:r w:rsidRPr="00483F7D">
        <w:tab/>
        <w:t>Όταν ο αριθμός των ημερών που αναφέρεται στις παραγράφους 3 και 4 είναι περιττός, ο αριθμός των ημερών που πρέπει να αφαιρεθεί από την περίοδο των 30 ημερών, δυνάμει των εν λόγω παραγράφων, ισούται με το ήμισυ του αμέσως κατώτερου άρτιου αριθμού.</w:t>
      </w:r>
    </w:p>
    <w:p w14:paraId="2AD7A619" w14:textId="77777777" w:rsidR="00E0244C" w:rsidRPr="00483F7D" w:rsidRDefault="007A1FD7">
      <w:pPr>
        <w:pStyle w:val="ManualNumPar10"/>
      </w:pPr>
      <w:r w:rsidRPr="00483F7D">
        <w:t>6.</w:t>
      </w:r>
      <w:r w:rsidRPr="00483F7D">
        <w:tab/>
        <w:t>Όταν οι περίοδοι που αναφέρονται στις παραγράφους 3 και 4 ανέρχονται σε εβδομάδες, τα κράτη μέλη μπορούν να προβλέπουν ότι η καταβολή του ποσού του εισαγωγικού ή εξαγωγικού δασμού για το οποίο έχει αναβληθεί η καταβολή πραγματοποιείται το αργότερο την Παρασκευή της τέταρτης εβδομάδας που ακολουθεί την εν λόγω εβδομάδα.</w:t>
      </w:r>
    </w:p>
    <w:p w14:paraId="2E0BD1A5" w14:textId="77777777" w:rsidR="00E0244C" w:rsidRPr="00483F7D" w:rsidRDefault="007A1FD7">
      <w:pPr>
        <w:pStyle w:val="Text1"/>
      </w:pPr>
      <w:r w:rsidRPr="00483F7D">
        <w:t>Αν οι περίοδοι αυτές ανέρχονται σε μήνες, τα κράτη μέλη μπορούν να προβλέπουν ότι η καταβολή του ποσού του εισαγωγικού ή εξαγωγικού δασμού για το οποίο έχει αναβληθεί η καταβολή πρέπει να πραγματοποιείται μέχρι τη 16η ημέρα του μήνα που ακολουθεί τον εν λόγω μήνα. Οι περίοδοι αυτές δεν είναι δυνατό να παραταθούν ακόμη και αν η λήξη της περιόδου συμπίπτει με αργία.</w:t>
      </w:r>
    </w:p>
    <w:p w14:paraId="16766223" w14:textId="77777777" w:rsidR="00E0244C" w:rsidRPr="00483F7D" w:rsidRDefault="007A1FD7">
      <w:pPr>
        <w:pStyle w:val="Titrearticle"/>
      </w:pPr>
      <w:bookmarkStart w:id="187" w:name="__akn_article_UFY8xd"/>
      <w:bookmarkEnd w:id="187"/>
      <w:r w:rsidRPr="00483F7D">
        <w:t>Άρθρο 190</w:t>
      </w:r>
    </w:p>
    <w:p w14:paraId="569F9F39" w14:textId="77777777" w:rsidR="00E0244C" w:rsidRPr="00483F7D" w:rsidRDefault="007A1FD7">
      <w:pPr>
        <w:pStyle w:val="NormalCentered"/>
      </w:pPr>
      <w:r w:rsidRPr="00483F7D">
        <w:rPr>
          <w:b/>
        </w:rPr>
        <w:t>Άλλες διευκολύνσεις καταβολής</w:t>
      </w:r>
    </w:p>
    <w:p w14:paraId="44AC24A0" w14:textId="77777777" w:rsidR="00E0244C" w:rsidRPr="00483F7D" w:rsidRDefault="007A1FD7">
      <w:pPr>
        <w:pStyle w:val="ManualNumPar10"/>
      </w:pPr>
      <w:r w:rsidRPr="00483F7D">
        <w:t>1.</w:t>
      </w:r>
      <w:r w:rsidRPr="00483F7D">
        <w:tab/>
        <w:t>Οι τελωνειακές αρχές μπορούν να χορηγούν στον οφειλέτη διευκολύνσεις καταβολής άλλες από την αναβολή καταβολής, υπό τον όρο ότι συστήνεται εγγύηση.</w:t>
      </w:r>
    </w:p>
    <w:p w14:paraId="1B05DC94" w14:textId="77777777" w:rsidR="00E0244C" w:rsidRPr="00483F7D" w:rsidRDefault="007A1FD7">
      <w:pPr>
        <w:pStyle w:val="ManualNumPar10"/>
      </w:pPr>
      <w:bookmarkStart w:id="188" w:name="__akn_article_UFY8xd-par1"/>
      <w:bookmarkEnd w:id="188"/>
      <w:r w:rsidRPr="00483F7D">
        <w:t>2.</w:t>
      </w:r>
      <w:r w:rsidRPr="00483F7D">
        <w:tab/>
        <w:t>Όταν χορηγούνται διευκολύνσεις σύμφωνα με την παράγραφο 1, επιβάλλεται πιστωτικός τόκος επί του ποσού του εισαγωγικού ή εξαγωγικού δασμού.</w:t>
      </w:r>
    </w:p>
    <w:p w14:paraId="4AEBD40F" w14:textId="77777777" w:rsidR="00E0244C" w:rsidRPr="00483F7D" w:rsidRDefault="007A1FD7">
      <w:pPr>
        <w:pStyle w:val="Text1"/>
      </w:pPr>
      <w:r w:rsidRPr="00483F7D">
        <w:t>Για κράτος μέλος με νόμισμα το ευρώ, το επιτόκιο του πιστωτικού τόκου ισούται με το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προσαυξημένο κατά μία ποσοστιαία μονάδα.</w:t>
      </w:r>
    </w:p>
    <w:p w14:paraId="5433296D" w14:textId="77777777" w:rsidR="00E0244C" w:rsidRPr="00483F7D" w:rsidRDefault="007A1FD7">
      <w:pPr>
        <w:pStyle w:val="Text1"/>
      </w:pPr>
      <w:r w:rsidRPr="00483F7D">
        <w:t>Για κράτος μέλος που δεν έχει νόμισμα το ευρώ, το επιτόκιο του πιστωτικού τόκου ισούται με το επιτόκιο που εφαρμόζει την πρώτη ημέρα του εν λόγω μήνα η Εθνική Κεντρική Τράπεζα για τις κύριες πράξεις αναχρηματοδότησής της, προσαυξημένο κατά μία ποσοστιαία μονάδα, ή, για κράτος μέλος για το οποίο το επιτόκιο της Εθνικής Κεντρικής Τράπεζας δεν είναι διαθέσιμο, το πλέον ισοδύναμο επιτόκιο που εφαρμόζεται την πρώτη ημέρα του εν λόγω μήνα στη χρηματαγορά του κράτους μέλους, προσαυξημένο κατά μία ποσοστιαία μονάδα.</w:t>
      </w:r>
    </w:p>
    <w:p w14:paraId="49C91C9B" w14:textId="77777777" w:rsidR="00E0244C" w:rsidRPr="00483F7D" w:rsidRDefault="007A1FD7">
      <w:pPr>
        <w:pStyle w:val="ManualNumPar10"/>
      </w:pPr>
      <w:r w:rsidRPr="00483F7D">
        <w:t>3.</w:t>
      </w:r>
      <w:r w:rsidRPr="00483F7D">
        <w:tab/>
        <w:t>Οι τελωνειακές αρχές μπορούν να μην απαιτούν εγγύηση ή να μην επιβάλλουν πιστωτικό τόκο, εφόσον στοιχειοθετείται, βάσει τεκμηριωμένης αξιολόγησης της κατάστασης του οφειλέτη, ότι έτσι θα προκαλούνταν σοβαρές οικονομικές ή κοινωνικές δυσχέρειες.</w:t>
      </w:r>
    </w:p>
    <w:p w14:paraId="435B3043" w14:textId="77777777" w:rsidR="00E0244C" w:rsidRPr="00483F7D" w:rsidRDefault="007A1FD7">
      <w:pPr>
        <w:pStyle w:val="ManualNumPar10"/>
      </w:pPr>
      <w:r w:rsidRPr="00483F7D">
        <w:t>4.</w:t>
      </w:r>
      <w:r w:rsidRPr="00483F7D">
        <w:tab/>
        <w:t>Οι τελωνειακές αρχές δεν επιβάλλουν πιστωτικό τόκο όταν το ποσό για κάθε πράξη είσπραξης δεν υπερβαίνει τα 10 EUR.</w:t>
      </w:r>
    </w:p>
    <w:p w14:paraId="1C575EE5" w14:textId="77777777" w:rsidR="00E0244C" w:rsidRPr="00483F7D" w:rsidRDefault="007A1FD7">
      <w:pPr>
        <w:pStyle w:val="Titrearticle"/>
      </w:pPr>
      <w:r w:rsidRPr="00483F7D">
        <w:t>Άρθρο 191</w:t>
      </w:r>
    </w:p>
    <w:p w14:paraId="5EE047E3" w14:textId="77777777" w:rsidR="00E0244C" w:rsidRPr="00483F7D" w:rsidRDefault="007A1FD7">
      <w:pPr>
        <w:pStyle w:val="NormalCentered"/>
      </w:pPr>
      <w:r w:rsidRPr="00483F7D">
        <w:rPr>
          <w:b/>
        </w:rPr>
        <w:t>Αναγκαστική εκτέλεση</w:t>
      </w:r>
    </w:p>
    <w:p w14:paraId="5D32C15B" w14:textId="77777777" w:rsidR="00E0244C" w:rsidRPr="00483F7D" w:rsidRDefault="007A1FD7" w:rsidP="00FC063E">
      <w:r w:rsidRPr="00483F7D">
        <w:t>Όταν το ποσό του καταβλητέου εισαγωγικού ή εξαγωγικού δασμού δεν έχει καταβληθεί εντός της καθορισμένης προθεσμίας, οι τελωνειακές αρχές διασφαλίζουν την καταβολή του εν λόγω ποσού με όλα τα διαθέσιμα μέσα, σύμφωνα με το δίκαιο του οικείου κράτους μέλους.</w:t>
      </w:r>
    </w:p>
    <w:p w14:paraId="7F309D7E" w14:textId="77777777" w:rsidR="00E0244C" w:rsidRPr="00483F7D" w:rsidRDefault="007A1FD7">
      <w:pPr>
        <w:pStyle w:val="Titrearticle"/>
      </w:pPr>
      <w:r w:rsidRPr="00483F7D">
        <w:t>Άρθρο 192</w:t>
      </w:r>
    </w:p>
    <w:p w14:paraId="0716D806" w14:textId="77777777" w:rsidR="00E0244C" w:rsidRPr="00483F7D" w:rsidRDefault="007A1FD7">
      <w:pPr>
        <w:pStyle w:val="NormalCentered"/>
      </w:pPr>
      <w:r w:rsidRPr="00483F7D">
        <w:rPr>
          <w:b/>
        </w:rPr>
        <w:t>Τόκος υπερημερίας</w:t>
      </w:r>
    </w:p>
    <w:p w14:paraId="126A0B5D" w14:textId="77777777" w:rsidR="00E0244C" w:rsidRPr="00483F7D" w:rsidRDefault="007A1FD7">
      <w:pPr>
        <w:pStyle w:val="ManualNumPar10"/>
      </w:pPr>
      <w:r w:rsidRPr="00483F7D">
        <w:t>1.</w:t>
      </w:r>
      <w:r w:rsidRPr="00483F7D">
        <w:tab/>
        <w:t>Επί του ποσού του εισαγωγικού ή εξαγωγικού δασμού επιβάλλεται τόκος υπερημερίας από την ημερομηνία λήξης της καθορισμένης προθεσμίας έως την ημερομηνία καταβολής.</w:t>
      </w:r>
    </w:p>
    <w:p w14:paraId="0942B692" w14:textId="77777777" w:rsidR="00E0244C" w:rsidRPr="00483F7D" w:rsidRDefault="007A1FD7">
      <w:pPr>
        <w:pStyle w:val="Text1"/>
      </w:pPr>
      <w:r w:rsidRPr="00483F7D">
        <w:t>Για κράτος μέλος με νόμισμα το ευρώ, το επιτόκιο του τόκου υπερημερίας ισούται με το δημοσιευμένο στην Επίσημη Εφημερίδα της Ευρωπαϊκής Ένωσης, σειρά C, επιτόκιο που εφαρμόζει η Ευρωπαϊκή Κεντρική Τράπεζα στις κύριες πράξεις αναχρηματοδότησής της την πρώτη ημέρα του μήνα λήξης της προθεσμίας, προσαυξημένο κατά δύο ποσοστιαίες μονάδες.</w:t>
      </w:r>
    </w:p>
    <w:p w14:paraId="5F62B2F6" w14:textId="77777777" w:rsidR="00E0244C" w:rsidRPr="00483F7D" w:rsidRDefault="007A1FD7">
      <w:pPr>
        <w:pStyle w:val="Text1"/>
      </w:pPr>
      <w:r w:rsidRPr="00483F7D">
        <w:t>Για κράτος μέλος που δεν έχει νόμισμα το ευρώ, το επιτόκιο του τόκου υπερημερίας ισούται με το επιτόκιο που εφαρμόζει την πρώτη ημέρα του εν λόγω μήνα η Εθνική Κεντρική Τράπεζα για τις κύριες πράξεις αναχρηματοδότησής της, προσαυξημένο κατά δύο ποσοστιαίες μονάδες, ή, για κράτος μέλος για το οποίο το επιτόκιο της Εθνικής Κεντρικής Τράπεζας δεν είναι διαθέσιμο, το πλησιέστερο επιτόκιο που εφαρμόζεται την πρώτη ημέρα του εν λόγω μήνα στη χρηματαγορά του κράτους μέλους, προσαυξημένο κατά δύο ποσοστιαίες μονάδες.</w:t>
      </w:r>
    </w:p>
    <w:p w14:paraId="687882D9" w14:textId="77777777" w:rsidR="00E0244C" w:rsidRPr="00483F7D" w:rsidRDefault="007A1FD7">
      <w:pPr>
        <w:pStyle w:val="ManualNumPar10"/>
      </w:pPr>
      <w:r w:rsidRPr="00483F7D">
        <w:t>2.</w:t>
      </w:r>
      <w:r w:rsidRPr="00483F7D">
        <w:tab/>
        <w:t xml:space="preserve">Όταν η τελωνειακή οφειλή γεννάται βάσει του άρθρου </w:t>
      </w:r>
      <w:hyperlink w:anchor="__akn_article_jGjnqv" w:tooltip="Article 161: 161">
        <w:r w:rsidRPr="00483F7D">
          <w:rPr>
            <w:rStyle w:val="Hyperlink"/>
          </w:rPr>
          <w:t>161</w:t>
        </w:r>
      </w:hyperlink>
      <w:r w:rsidRPr="00483F7D">
        <w:t xml:space="preserve"> ή </w:t>
      </w:r>
      <w:hyperlink w:anchor="__akn_article_puQ6TX" w:tooltip="Article 164: 164">
        <w:r w:rsidRPr="00483F7D">
          <w:rPr>
            <w:rStyle w:val="Hyperlink"/>
          </w:rPr>
          <w:t>164</w:t>
        </w:r>
      </w:hyperlink>
      <w:r w:rsidRPr="00483F7D">
        <w:t xml:space="preserve"> ή όταν η γνωστοποίηση της τελωνειακής οφειλής προκύπτει από εκ των υστέρων έλεγχο, επιβάλλεται τόκος υπερημερίας πέραν του ποσού του εισαγωγικού ή εξαγωγικού δασμού, από την ημερομηνία γένεσης της τελωνειακής οφειλής έως την ημερομηνία γνωστοποίησής της.</w:t>
      </w:r>
    </w:p>
    <w:p w14:paraId="7240A5DB" w14:textId="77777777" w:rsidR="00E0244C" w:rsidRPr="00483F7D" w:rsidRDefault="007A1FD7">
      <w:pPr>
        <w:pStyle w:val="Text1"/>
      </w:pPr>
      <w:r w:rsidRPr="00483F7D">
        <w:t>Το επιτόκιο του τόκου υπερημερίας καθορίζεται σύμφωνα με την παράγραφο 1.</w:t>
      </w:r>
    </w:p>
    <w:p w14:paraId="3527B965" w14:textId="77777777" w:rsidR="00E0244C" w:rsidRPr="00483F7D" w:rsidRDefault="007A1FD7">
      <w:pPr>
        <w:pStyle w:val="ManualNumPar10"/>
      </w:pPr>
      <w:r w:rsidRPr="00483F7D">
        <w:t>3.</w:t>
      </w:r>
      <w:r w:rsidRPr="00483F7D">
        <w:tab/>
        <w:t>Οι τελωνειακές αρχές μπορούν να μην επιβάλλουν τόκο υπερημερίας εφόσον στοιχειοθετείται, βάσει τεκμηριωμένης αξιολόγησης της κατάστασης του οφειλέτη, ότι η επιβολή του θα προκαλούσε σοβαρές οικονομικές ή κοινωνικές δυσχέρειες.</w:t>
      </w:r>
    </w:p>
    <w:p w14:paraId="500034D4" w14:textId="77777777" w:rsidR="00E0244C" w:rsidRPr="00483F7D" w:rsidRDefault="007A1FD7">
      <w:pPr>
        <w:pStyle w:val="ManualNumPar10"/>
      </w:pPr>
      <w:r w:rsidRPr="00483F7D">
        <w:t>4.</w:t>
      </w:r>
      <w:r w:rsidRPr="00483F7D">
        <w:tab/>
        <w:t>Οι τελωνειακές αρχές δεν χρεώνουν τόκο υπερημερίας όταν το ποσό για κάθε πράξη είσπραξης δεν υπερβαίνει τα 10 EUR.</w:t>
      </w:r>
    </w:p>
    <w:p w14:paraId="32F77A64" w14:textId="77777777" w:rsidR="00E0244C" w:rsidRPr="00483F7D" w:rsidRDefault="007A1FD7">
      <w:pPr>
        <w:pStyle w:val="SectionTitle"/>
      </w:pPr>
      <w:r w:rsidRPr="00483F7D">
        <w:t xml:space="preserve">Τμήμα 3 </w:t>
      </w:r>
      <w:r w:rsidRPr="00483F7D">
        <w:br/>
        <w:t>Επιστροφή και διαγραφή</w:t>
      </w:r>
    </w:p>
    <w:p w14:paraId="5B1F0BD8" w14:textId="77777777" w:rsidR="00E0244C" w:rsidRPr="00483F7D" w:rsidRDefault="007A1FD7">
      <w:pPr>
        <w:pStyle w:val="Titrearticle"/>
      </w:pPr>
      <w:bookmarkStart w:id="189" w:name="__akn_article_LhGmFv"/>
      <w:bookmarkEnd w:id="189"/>
      <w:r w:rsidRPr="00483F7D">
        <w:t>Άρθρο 193</w:t>
      </w:r>
    </w:p>
    <w:p w14:paraId="51163C2D" w14:textId="77777777" w:rsidR="00E0244C" w:rsidRPr="00483F7D" w:rsidRDefault="007A1FD7">
      <w:pPr>
        <w:pStyle w:val="NormalCentered"/>
      </w:pPr>
      <w:r w:rsidRPr="00483F7D">
        <w:rPr>
          <w:b/>
        </w:rPr>
        <w:t>Επιστροφή και διαγραφή</w:t>
      </w:r>
    </w:p>
    <w:p w14:paraId="5D0F7AF7" w14:textId="77777777" w:rsidR="00E0244C" w:rsidRPr="00483F7D" w:rsidRDefault="007A1FD7">
      <w:pPr>
        <w:pStyle w:val="ManualNumPar10"/>
      </w:pPr>
      <w:r w:rsidRPr="00483F7D">
        <w:t>1.</w:t>
      </w:r>
      <w:r w:rsidRPr="00483F7D">
        <w:tab/>
        <w:t>Με την επιφύλαξη των όρων που καθορίζονται στο παρόν τμήμα, οι τελωνειακές αρχές επιστρέφουν ή διαγράφουν ποσά του εισαγωγικού ή εξαγωγικού δασμού για οποιονδήποτε από τους ακόλουθους λόγους:</w:t>
      </w:r>
    </w:p>
    <w:p w14:paraId="35ED2FCC" w14:textId="4033DEA1" w:rsidR="00E0244C" w:rsidRPr="00483F7D" w:rsidRDefault="00BC60FC" w:rsidP="00BC60FC">
      <w:pPr>
        <w:pStyle w:val="Point1"/>
      </w:pPr>
      <w:r w:rsidRPr="00483F7D">
        <w:t>α)</w:t>
      </w:r>
      <w:r w:rsidRPr="00483F7D">
        <w:tab/>
      </w:r>
      <w:r w:rsidR="007A1FD7" w:rsidRPr="00483F7D">
        <w:t>ποσά επιπλέον του καταβλητέου εισαγωγικού ή εξαγωγικού δασμού·</w:t>
      </w:r>
    </w:p>
    <w:p w14:paraId="674F6552" w14:textId="5CE7A325" w:rsidR="00E0244C" w:rsidRPr="00483F7D" w:rsidRDefault="00BC60FC" w:rsidP="00BC60FC">
      <w:pPr>
        <w:pStyle w:val="Point1"/>
      </w:pPr>
      <w:r w:rsidRPr="00483F7D">
        <w:t>β)</w:t>
      </w:r>
      <w:r w:rsidRPr="00483F7D">
        <w:tab/>
      </w:r>
      <w:r w:rsidR="007A1FD7" w:rsidRPr="00483F7D">
        <w:t>ελαττωματικά εμπορεύματα ή εμπορεύματα που δεν πληρούν τους όρους της σύμβασης·</w:t>
      </w:r>
    </w:p>
    <w:p w14:paraId="6BEEEE2D" w14:textId="646DD167" w:rsidR="00E0244C" w:rsidRPr="00483F7D" w:rsidRDefault="00BC60FC" w:rsidP="00BC60FC">
      <w:pPr>
        <w:pStyle w:val="Point1"/>
      </w:pPr>
      <w:r w:rsidRPr="00483F7D">
        <w:t>γ)</w:t>
      </w:r>
      <w:r w:rsidRPr="00483F7D">
        <w:tab/>
      </w:r>
      <w:r w:rsidR="007A1FD7" w:rsidRPr="00483F7D">
        <w:t>σφάλμα των αρμόδιων αρχών·</w:t>
      </w:r>
    </w:p>
    <w:p w14:paraId="48342A0F" w14:textId="441437AD" w:rsidR="00E0244C" w:rsidRPr="00483F7D" w:rsidRDefault="00BC60FC" w:rsidP="00BC60FC">
      <w:pPr>
        <w:pStyle w:val="Point1"/>
      </w:pPr>
      <w:r w:rsidRPr="00483F7D">
        <w:t>δ)</w:t>
      </w:r>
      <w:r w:rsidRPr="00483F7D">
        <w:tab/>
      </w:r>
      <w:r w:rsidR="007A1FD7" w:rsidRPr="00483F7D">
        <w:t>δίκαιη μεταχείριση·</w:t>
      </w:r>
    </w:p>
    <w:p w14:paraId="143E6914" w14:textId="1943E2C9" w:rsidR="00E0244C" w:rsidRPr="00483F7D" w:rsidRDefault="00BC60FC" w:rsidP="00BC60FC">
      <w:pPr>
        <w:pStyle w:val="Point1"/>
      </w:pPr>
      <w:r w:rsidRPr="00483F7D">
        <w:t>ε)</w:t>
      </w:r>
      <w:r w:rsidRPr="00483F7D">
        <w:tab/>
      </w:r>
      <w:r w:rsidR="007A1FD7" w:rsidRPr="00483F7D">
        <w:t>ακύρωση των δεδομένων βάσει των οποίων βεβαιώθηκε η τελωνειακή οφειλή για τα αντίστοιχα εμπορεύματα ή, κατά περίπτωση, της αντίστοιχης τελωνειακής διασάφησης.</w:t>
      </w:r>
    </w:p>
    <w:p w14:paraId="3951DFC2" w14:textId="77777777" w:rsidR="00E0244C" w:rsidRPr="00483F7D" w:rsidRDefault="007A1FD7">
      <w:pPr>
        <w:pStyle w:val="ManualNumPar10"/>
      </w:pPr>
      <w:r w:rsidRPr="00483F7D">
        <w:t>2.</w:t>
      </w:r>
      <w:r w:rsidRPr="00483F7D">
        <w:tab/>
        <w:t>Οι τελωνειακές αρχές επιστρέφουν ή διαγράφουν το ποσό του εισαγωγικού ή εξαγωγικού δασμού που αναφέρεται στην παράγραφο 1 αν ανέρχεται σε 10 EUR και άνω, εκτός αν το ενδιαφερόμενο πρόσωπο ζητήσει την επιστροφή ή διαγραφή μικρότερου ποσού.</w:t>
      </w:r>
    </w:p>
    <w:p w14:paraId="1501F7DC" w14:textId="77777777" w:rsidR="00E0244C" w:rsidRPr="00483F7D" w:rsidRDefault="007A1FD7">
      <w:pPr>
        <w:pStyle w:val="ManualNumPar10"/>
      </w:pPr>
      <w:r w:rsidRPr="00483F7D">
        <w:t>3.</w:t>
      </w:r>
      <w:r w:rsidRPr="00483F7D">
        <w:tab/>
        <w:t xml:space="preserve">Όταν οι τελωνειακές αρχές κρίνουν ότι θα πρέπει να χορηγηθεί επιστροφή ή διαγραφή βάσει των άρθρων </w:t>
      </w:r>
      <w:hyperlink w:anchor="__akn_article_thNzXJ" w:tooltip="Articles 196 and 197: 196">
        <w:r w:rsidRPr="00483F7D">
          <w:rPr>
            <w:rStyle w:val="Hyperlink"/>
          </w:rPr>
          <w:t>196</w:t>
        </w:r>
      </w:hyperlink>
      <w:r w:rsidRPr="00483F7D">
        <w:t xml:space="preserve"> και </w:t>
      </w:r>
      <w:hyperlink w:anchor="__akn_article_UvwgGZ" w:tooltip="Articles 196 and 197: 197">
        <w:r w:rsidRPr="00483F7D">
          <w:rPr>
            <w:rStyle w:val="Hyperlink"/>
          </w:rPr>
          <w:t>197</w:t>
        </w:r>
      </w:hyperlink>
      <w:r w:rsidRPr="00483F7D">
        <w:t>, το ενδιαφερόμενο κράτος μέλος διαβιβάζει τον φάκελο στην Επιτροπή προς λήψη απόφασης σε οποιαδήποτε από τις ακόλουθες περιπτώσεις:</w:t>
      </w:r>
    </w:p>
    <w:p w14:paraId="078E795C" w14:textId="77D802F1" w:rsidR="00E0244C" w:rsidRPr="00483F7D" w:rsidRDefault="00BC60FC" w:rsidP="00BC60FC">
      <w:pPr>
        <w:pStyle w:val="Point1"/>
      </w:pPr>
      <w:r w:rsidRPr="00483F7D">
        <w:t>α)</w:t>
      </w:r>
      <w:r w:rsidRPr="00483F7D">
        <w:tab/>
      </w:r>
      <w:r w:rsidR="007A1FD7" w:rsidRPr="00483F7D">
        <w:t>όταν οι τελωνειακές αρχές κρίνουν ότι οι ειδικές περιστάσεις οφείλονται σε αθέτηση των υποχρεώσεων της Επιτροπής·</w:t>
      </w:r>
    </w:p>
    <w:p w14:paraId="7FD26801" w14:textId="08591FEB" w:rsidR="00E0244C" w:rsidRPr="00483F7D" w:rsidRDefault="00BC60FC" w:rsidP="00BC60FC">
      <w:pPr>
        <w:pStyle w:val="Point1"/>
      </w:pPr>
      <w:r w:rsidRPr="00483F7D">
        <w:t>β)</w:t>
      </w:r>
      <w:r w:rsidRPr="00483F7D">
        <w:tab/>
      </w:r>
      <w:r w:rsidR="007A1FD7" w:rsidRPr="00483F7D">
        <w:t xml:space="preserve">όταν οι τελωνειακές αρχές κρίνουν ότι η Επιτροπή έχει διαπράξει σφάλμα κατά την έννοια του άρθρου </w:t>
      </w:r>
      <w:hyperlink w:anchor="__akn_article_thNzXJ" w:tooltip="Article 196: 196">
        <w:r w:rsidR="007A1FD7" w:rsidRPr="00483F7D">
          <w:t>196</w:t>
        </w:r>
      </w:hyperlink>
      <w:r w:rsidR="007A1FD7" w:rsidRPr="00483F7D">
        <w:t>·</w:t>
      </w:r>
    </w:p>
    <w:p w14:paraId="45ECE74C" w14:textId="42921B7F" w:rsidR="00E0244C" w:rsidRPr="00483F7D" w:rsidRDefault="00BC60FC" w:rsidP="00BC60FC">
      <w:pPr>
        <w:pStyle w:val="Point1"/>
      </w:pPr>
      <w:r w:rsidRPr="00483F7D">
        <w:t>γ)</w:t>
      </w:r>
      <w:r w:rsidRPr="00483F7D">
        <w:tab/>
      </w:r>
      <w:r w:rsidR="007A1FD7" w:rsidRPr="00483F7D">
        <w:t>όταν οι περιστάσεις στη συγκεκριμένη περίπτωση έχουν σχέση με τα πορίσματα ενωσιακής έρευνας που διενεργείται δυνάμει του κανονισμού (ΕΚ) αριθ. 515/97 ή δυνάμει κάθε άλλης ενωσιακής νομοθεσίας ή οποιασδήποτε συμφωνίας έχει συνάψει η Ένωση με ορισμένες χώρες ή ομάδες χωρών, όπου προβλέπεται η δυνατότητα διενέργειας τέτοιων ενωσιακών ερευνών·</w:t>
      </w:r>
    </w:p>
    <w:p w14:paraId="2C722F0B" w14:textId="21309FE2" w:rsidR="00E0244C" w:rsidRPr="00483F7D" w:rsidRDefault="00BC60FC" w:rsidP="00BC60FC">
      <w:pPr>
        <w:pStyle w:val="Point1"/>
      </w:pPr>
      <w:r w:rsidRPr="00483F7D">
        <w:t>δ)</w:t>
      </w:r>
      <w:r w:rsidRPr="00483F7D">
        <w:tab/>
      </w:r>
      <w:r w:rsidR="007A1FD7" w:rsidRPr="00483F7D">
        <w:t>όταν το ποσό για το οποίο ενδέχεται να ευθύνεται το ενδιαφερόμενο πρόσωπο σε σχέση με μία ή περισσότερες πράξεις εισαγωγής ή εξαγωγής ισούται με ή υπερβαίνει τα 500 000 EUR λόγω σφάλματος ή ειδικών περιστάσεων.</w:t>
      </w:r>
    </w:p>
    <w:p w14:paraId="33838A12" w14:textId="77777777" w:rsidR="00E0244C" w:rsidRPr="00483F7D" w:rsidRDefault="007A1FD7" w:rsidP="003612F6">
      <w:pPr>
        <w:pStyle w:val="Text1"/>
      </w:pPr>
      <w:r w:rsidRPr="00483F7D">
        <w:t>Κατά παρέκκλιση του πρώτου εδαφίου, οι φάκελοι δεν διαβιβάζονται σε καμία από τις ακόλουθες καταστάσεις:</w:t>
      </w:r>
    </w:p>
    <w:p w14:paraId="58549C8B" w14:textId="792D2179" w:rsidR="00E0244C" w:rsidRPr="00483F7D" w:rsidRDefault="00BC60FC" w:rsidP="00BC60FC">
      <w:pPr>
        <w:pStyle w:val="Point1"/>
      </w:pPr>
      <w:r w:rsidRPr="00483F7D">
        <w:t>α)</w:t>
      </w:r>
      <w:r w:rsidRPr="00483F7D">
        <w:tab/>
      </w:r>
      <w:r w:rsidR="007A1FD7" w:rsidRPr="00483F7D">
        <w:t>όταν η Επιτροπή έχει λάβει ήδη απόφαση σχετικά με υπόθεση η οποία παρουσιάζει παρόμοια πραγματικά και νομικά στοιχεία·</w:t>
      </w:r>
    </w:p>
    <w:p w14:paraId="41066FB1" w14:textId="7B6D15F2" w:rsidR="00E0244C" w:rsidRPr="00483F7D" w:rsidRDefault="00BC60FC" w:rsidP="00BC60FC">
      <w:pPr>
        <w:pStyle w:val="Point1"/>
      </w:pPr>
      <w:r w:rsidRPr="00483F7D">
        <w:t>β)</w:t>
      </w:r>
      <w:r w:rsidRPr="00483F7D">
        <w:tab/>
      </w:r>
      <w:r w:rsidR="007A1FD7" w:rsidRPr="00483F7D">
        <w:t>όταν η Επιτροπή ασχολείται ήδη με υπόθεση η οποία παρουσιάζει παρόμοια πραγματικά και νομικά στοιχεία.</w:t>
      </w:r>
    </w:p>
    <w:p w14:paraId="2EF7A20F" w14:textId="77777777" w:rsidR="00E0244C" w:rsidRPr="00483F7D" w:rsidRDefault="007A1FD7">
      <w:pPr>
        <w:pStyle w:val="ManualNumPar10"/>
      </w:pPr>
      <w:r w:rsidRPr="00483F7D">
        <w:t>4.</w:t>
      </w:r>
      <w:r w:rsidRPr="00483F7D">
        <w:tab/>
        <w:t xml:space="preserve">Με την επιφύλαξη των κανόνων αρμοδιότητας για τη λήψη αποφάσεων, οι τελωνειακές αρχές προβαίνουν αυτεπαγγέλτως στην επιστροφή ή τη διαγραφή, όταν οι ίδιες διαπιστώσουν, εντός των προθεσμιών που αναφέρονται στο άρθρο 198 παράγραφος </w:t>
      </w:r>
      <w:hyperlink w:anchor="__akn_article_D6iBz3_q9rbHG" w:tooltip="Article 116(1): (1)">
        <w:r w:rsidRPr="00483F7D">
          <w:rPr>
            <w:rStyle w:val="Hyperlink"/>
          </w:rPr>
          <w:t>1</w:t>
        </w:r>
      </w:hyperlink>
      <w:r w:rsidRPr="00483F7D">
        <w:t xml:space="preserve">, ότι ένα ποσό εισαγωγικού ή εξαγωγικού δασμού πρέπει να επιστραφεί ή να διαγραφεί σύμφωνα με τα άρθρα </w:t>
      </w:r>
      <w:hyperlink w:anchor="__akn_article_wPdA8c" w:tooltip="Articles 194, 196 and 197: 194">
        <w:r w:rsidRPr="00483F7D">
          <w:rPr>
            <w:rStyle w:val="Hyperlink"/>
          </w:rPr>
          <w:t>194</w:t>
        </w:r>
      </w:hyperlink>
      <w:r w:rsidRPr="00483F7D">
        <w:t xml:space="preserve">, </w:t>
      </w:r>
      <w:hyperlink w:anchor="__akn_article_thNzXJ" w:tooltip="Articles 194, 196 and 197: 196">
        <w:r w:rsidRPr="00483F7D">
          <w:rPr>
            <w:rStyle w:val="Hyperlink"/>
          </w:rPr>
          <w:t>196</w:t>
        </w:r>
      </w:hyperlink>
      <w:r w:rsidRPr="00483F7D">
        <w:t xml:space="preserve"> και </w:t>
      </w:r>
      <w:hyperlink w:anchor="__akn_article_UvwgGZ" w:tooltip="Articles 194, 196 and 197: 197">
        <w:r w:rsidRPr="00483F7D">
          <w:rPr>
            <w:rStyle w:val="Hyperlink"/>
          </w:rPr>
          <w:t>197</w:t>
        </w:r>
      </w:hyperlink>
      <w:r w:rsidRPr="00483F7D">
        <w:t>.</w:t>
      </w:r>
    </w:p>
    <w:p w14:paraId="6D10DB3C" w14:textId="77777777" w:rsidR="00E0244C" w:rsidRPr="00483F7D" w:rsidRDefault="007A1FD7">
      <w:pPr>
        <w:pStyle w:val="ManualNumPar10"/>
      </w:pPr>
      <w:r w:rsidRPr="00483F7D">
        <w:t>5.</w:t>
      </w:r>
      <w:r w:rsidRPr="00483F7D">
        <w:tab/>
        <w:t>Δεν χορηγείται επιστροφή ή διαγραφή δασμού, όταν η κατάσταση η οποία οδήγησε στη γνωστοποίηση της τελωνειακής οφειλής είναι αποτέλεσμα παραπλάνησης από τον οφειλέτη.</w:t>
      </w:r>
    </w:p>
    <w:p w14:paraId="3AB77912" w14:textId="77777777" w:rsidR="008D0511" w:rsidRPr="00483F7D" w:rsidRDefault="007A1FD7" w:rsidP="5DA9B26A">
      <w:pPr>
        <w:pStyle w:val="ManualNumPar10"/>
      </w:pPr>
      <w:r w:rsidRPr="00483F7D">
        <w:t>6.</w:t>
      </w:r>
      <w:r w:rsidRPr="00483F7D">
        <w:tab/>
        <w:t xml:space="preserve">Η επιστροφή δεν συνεπάγεται την καταβολή τόκων από τις ενδιαφερόμενες τελωνειακές αρχές, εκτός από τις περιπτώσεις που αναφέρονται στην παράγραφο 1 στοιχεία α) και γ). </w:t>
      </w:r>
    </w:p>
    <w:p w14:paraId="2BAC6D26" w14:textId="77777777" w:rsidR="00E0244C" w:rsidRPr="00483F7D" w:rsidRDefault="008D0511" w:rsidP="0031659F">
      <w:pPr>
        <w:pStyle w:val="ManualNumPar10"/>
        <w:ind w:firstLine="0"/>
      </w:pPr>
      <w:r w:rsidRPr="00483F7D">
        <w:t>Ωστόσο, στις περιπτώσεις αυτές, η επιστροφή δεν συνεπάγεται την καταβολή τόκων από τις ενδιαφερόμενες τελωνειακές αρχές αν οι τελωνειακές αρχές επιστρέψουν ένα ποσό εισαγωγικού ή εξαγωγικού δασμού χωρίς αδικαιολόγητη καθυστέρηση, αφού διαπιστωθεί ότι το ποσό είναι επιστρεπτέο. Σε περίπτωση που οι τελωνειακές αρχές δεν επιστρέψουν το εν λόγω ποσό χωρίς αδικαιολόγητη καθυστέρηση και ο οφειλέτης κινήσει διαδικασία με σκοπό την επιστροφή του, οι τόκοι καταβάλλονται για την περίοδο από την ημερομηνία καταβολής των εν λόγω δασμών έως την ημερομηνία επιστροφής τους.</w:t>
      </w:r>
    </w:p>
    <w:p w14:paraId="10E41AD5" w14:textId="77777777" w:rsidR="00E0244C" w:rsidRPr="00483F7D" w:rsidRDefault="008D0511">
      <w:pPr>
        <w:pStyle w:val="Text1"/>
      </w:pPr>
      <w:r w:rsidRPr="00483F7D">
        <w:t>Επιπλέον, καταβάλλεται τόκος όταν μια απόφαση που εγκρίνει την επιστροφή δεν εκτελείται εντός τριών μηνών από την ημερομηνία έκδοσής της, εκτός αν η μη τήρηση της προθεσμίας οφείλεται σε περιστάσεις εκτός του ελέγχου των τελωνειακών αρχών.</w:t>
      </w:r>
    </w:p>
    <w:p w14:paraId="19E6108F" w14:textId="77777777" w:rsidR="00E0244C" w:rsidRPr="00483F7D" w:rsidRDefault="007A1FD7">
      <w:pPr>
        <w:pStyle w:val="Text1"/>
      </w:pPr>
      <w:r w:rsidRPr="00483F7D">
        <w:t xml:space="preserve">Στις περιπτώσεις αυτές, ο τόκος καταβάλλεται από τη λήξη της περιόδου των τριών μηνών έως την ημερομηνία επιστροφής. Το επιτόκιο καθορίζεται σύμφωνα με το άρθρο </w:t>
      </w:r>
      <w:hyperlink w:anchor="__akn_article_UFY8xd" w:tooltip="Article 190: 190">
        <w:r w:rsidRPr="00483F7D">
          <w:rPr>
            <w:rStyle w:val="Hyperlink"/>
          </w:rPr>
          <w:t>190</w:t>
        </w:r>
      </w:hyperlink>
      <w:r w:rsidRPr="00483F7D">
        <w:t>.</w:t>
      </w:r>
    </w:p>
    <w:p w14:paraId="2A15F3C0" w14:textId="77777777" w:rsidR="00E0244C" w:rsidRPr="00483F7D" w:rsidRDefault="007A1FD7">
      <w:pPr>
        <w:pStyle w:val="ManualNumPar10"/>
      </w:pPr>
      <w:bookmarkStart w:id="190" w:name="__akn_article_LhGmFv_7DL6u4"/>
      <w:bookmarkEnd w:id="190"/>
      <w:r w:rsidRPr="00483F7D">
        <w:t>7.</w:t>
      </w:r>
      <w:r w:rsidRPr="00483F7D">
        <w:tab/>
        <w:t xml:space="preserve">Αν οι τελωνειακές αρχές έχουν εσφαλμένα χορηγήσει επιστροφή ή διαγραφή δασμού, η αρχική τελωνειακή οφειλή αναβιώνει εφόσον δεν έχει παραγραφεί σύμφωνα με το άρθρο </w:t>
      </w:r>
      <w:hyperlink w:anchor="__akn_article_ISfROZ" w:tooltip="Article 182: 182">
        <w:r w:rsidRPr="00483F7D">
          <w:rPr>
            <w:rStyle w:val="Hyperlink"/>
          </w:rPr>
          <w:t>182</w:t>
        </w:r>
      </w:hyperlink>
      <w:r w:rsidRPr="00483F7D">
        <w:t>.</w:t>
      </w:r>
    </w:p>
    <w:p w14:paraId="2734D043" w14:textId="77777777" w:rsidR="00E0244C" w:rsidRPr="00483F7D" w:rsidRDefault="007A1FD7">
      <w:pPr>
        <w:pStyle w:val="Text1"/>
      </w:pPr>
      <w:r w:rsidRPr="00483F7D">
        <w:t>Στις περιπτώσεις αυτές, οι τόκοι που έχουν καταβληθεί σύμφωνα με την παράγραφο 6 δεύτερο εδάφιο επιστρέφονται.</w:t>
      </w:r>
    </w:p>
    <w:p w14:paraId="30266711" w14:textId="77777777" w:rsidR="00E0244C" w:rsidRPr="00483F7D" w:rsidRDefault="007A1FD7">
      <w:pPr>
        <w:pStyle w:val="ManualNumPar10"/>
      </w:pPr>
      <w:r w:rsidRPr="00483F7D">
        <w:t>8.</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μυ τον καθορισμό των κανόνων με τους οποίους πρέπει να συμμορφώνεται όταν λαμβάνει την αναφερόμενη στην παράγραφος 3 απόφαση, ιδίως όσον αφορά τα ακόλουθα ζητήματα:</w:t>
      </w:r>
    </w:p>
    <w:p w14:paraId="4C4CD104" w14:textId="326AC7EA" w:rsidR="00E0244C" w:rsidRPr="00483F7D" w:rsidRDefault="00BC60FC" w:rsidP="00BC60FC">
      <w:pPr>
        <w:pStyle w:val="Point1"/>
      </w:pPr>
      <w:r w:rsidRPr="00483F7D">
        <w:t>α)</w:t>
      </w:r>
      <w:r w:rsidRPr="00483F7D">
        <w:tab/>
      </w:r>
      <w:r w:rsidR="007A1FD7" w:rsidRPr="00483F7D">
        <w:t>τους όρους αποδοχής του φακέλου·</w:t>
      </w:r>
    </w:p>
    <w:p w14:paraId="39FB5820" w14:textId="1B1F3A68" w:rsidR="00E0244C" w:rsidRPr="00483F7D" w:rsidRDefault="00BC60FC" w:rsidP="00BC60FC">
      <w:pPr>
        <w:pStyle w:val="Point1"/>
      </w:pPr>
      <w:r w:rsidRPr="00483F7D">
        <w:t>β)</w:t>
      </w:r>
      <w:r w:rsidRPr="00483F7D">
        <w:tab/>
      </w:r>
      <w:r w:rsidR="007A1FD7" w:rsidRPr="00483F7D">
        <w:t>την προθεσμία λήψης απόφασης και την αναστολή της προθεσμίας αυτής·</w:t>
      </w:r>
    </w:p>
    <w:p w14:paraId="7A709D03" w14:textId="567671A4" w:rsidR="00E0244C" w:rsidRPr="00483F7D" w:rsidRDefault="00BC60FC" w:rsidP="00BC60FC">
      <w:pPr>
        <w:pStyle w:val="Point1"/>
      </w:pPr>
      <w:r w:rsidRPr="00483F7D">
        <w:t>γ)</w:t>
      </w:r>
      <w:r w:rsidRPr="00483F7D">
        <w:tab/>
      </w:r>
      <w:r w:rsidR="007A1FD7" w:rsidRPr="00483F7D">
        <w:t>την κοινοποίηση των λόγων στους οποίους προτίθεται να βασίσει η Επιτροπή την απόφασή της, πριν από τη λήψη απόφασης που θα μπορούσε να επηρεάσει αρνητικά το ενδιαφερόμενο πρόσωπο·</w:t>
      </w:r>
    </w:p>
    <w:p w14:paraId="4D4470AE" w14:textId="17C43114" w:rsidR="00E0244C" w:rsidRPr="00483F7D" w:rsidRDefault="00BC60FC" w:rsidP="00BC60FC">
      <w:pPr>
        <w:pStyle w:val="Point1"/>
      </w:pPr>
      <w:r w:rsidRPr="00483F7D">
        <w:t>δ)</w:t>
      </w:r>
      <w:r w:rsidRPr="00483F7D">
        <w:tab/>
      </w:r>
      <w:r w:rsidR="007A1FD7" w:rsidRPr="00483F7D">
        <w:t>τη γνωστοποίηση της απόφασης·</w:t>
      </w:r>
    </w:p>
    <w:p w14:paraId="55A38EF6" w14:textId="1AAFC229" w:rsidR="00E0244C" w:rsidRPr="00483F7D" w:rsidRDefault="00BC60FC" w:rsidP="00BC60FC">
      <w:pPr>
        <w:pStyle w:val="Point1"/>
      </w:pPr>
      <w:r w:rsidRPr="00483F7D">
        <w:t>ε)</w:t>
      </w:r>
      <w:r w:rsidRPr="00483F7D">
        <w:tab/>
      </w:r>
      <w:r w:rsidR="007A1FD7" w:rsidRPr="00483F7D">
        <w:t>τις συνέπειες της μη λήψης απόφασης ή της μη γνωστοποίησής της.</w:t>
      </w:r>
    </w:p>
    <w:p w14:paraId="7EB065B4" w14:textId="77777777" w:rsidR="00E0244C" w:rsidRPr="00483F7D" w:rsidRDefault="007A1FD7">
      <w:pPr>
        <w:pStyle w:val="ManualNumPar10"/>
      </w:pPr>
      <w:r w:rsidRPr="00483F7D">
        <w:t>9.</w:t>
      </w:r>
      <w:r w:rsidRPr="00483F7D">
        <w:tab/>
        <w:t xml:space="preserve">Η Επιτροπή ορίζει, με εκτελεστικές πράξεις, τους διαδικαστικούς κανόνες για την επιστροφή και τη διαγραφή και για την απόφαση που αναφέρεται στην παράγραφο 3. Οι εν λόγω εκτελεστικές πράξεις εκδίδονται σύμφωνα με τη συμβουλευτική διαδικασία που αναφέρεται στο άρθρο 262 παράγραφος </w:t>
      </w:r>
      <w:hyperlink w:anchor="_bill__akn_article_OheJbS_vuW2uu" w:tooltip="Article 260(2): (2)">
        <w:r w:rsidRPr="00483F7D">
          <w:rPr>
            <w:color w:val="0000FF" w:themeColor="hyperlink"/>
            <w:u w:val="single"/>
          </w:rPr>
          <w:t>2</w:t>
        </w:r>
      </w:hyperlink>
      <w:r w:rsidRPr="00483F7D">
        <w:t>.</w:t>
      </w:r>
    </w:p>
    <w:p w14:paraId="503AB1A3" w14:textId="77777777" w:rsidR="00E0244C" w:rsidRPr="00483F7D" w:rsidRDefault="007A1FD7">
      <w:pPr>
        <w:pStyle w:val="Text1"/>
      </w:pPr>
      <w:r w:rsidRPr="00483F7D">
        <w:t xml:space="preserve">Όταν η γνώμη της επιτροπής που αναφέρεται στο άρθρο 262 παράγραφος </w:t>
      </w:r>
      <w:hyperlink w:anchor="_bill__akn_article_OheJbS_Vi7QNL" w:tooltip="Article 258(1): (1)">
        <w:r w:rsidRPr="00483F7D">
          <w:rPr>
            <w:rStyle w:val="Hyperlink"/>
          </w:rPr>
          <w:t>1</w:t>
        </w:r>
      </w:hyperlink>
      <w:r w:rsidRPr="00483F7D">
        <w:t xml:space="preserve"> πρέπει να λαμβάνεται με γραπτή διαδικασία, εφαρμόζεται το άρθρο 262 παράγραφος </w:t>
      </w:r>
      <w:hyperlink w:anchor="_bill__akn_article_OheJbS-par1" w:tooltip="Article 258(6): (6)">
        <w:r w:rsidRPr="00483F7D">
          <w:rPr>
            <w:rStyle w:val="Hyperlink"/>
          </w:rPr>
          <w:t>6</w:t>
        </w:r>
      </w:hyperlink>
      <w:r w:rsidRPr="00483F7D">
        <w:t>.</w:t>
      </w:r>
    </w:p>
    <w:p w14:paraId="76BD8ECE" w14:textId="77777777" w:rsidR="00E0244C" w:rsidRPr="00483F7D" w:rsidRDefault="007A1FD7">
      <w:pPr>
        <w:pStyle w:val="Titrearticle"/>
      </w:pPr>
      <w:bookmarkStart w:id="191" w:name="__akn_article_wPdA8c"/>
      <w:bookmarkEnd w:id="191"/>
      <w:r w:rsidRPr="00483F7D">
        <w:t>Άρθρο 194</w:t>
      </w:r>
    </w:p>
    <w:p w14:paraId="611C77CF" w14:textId="77777777" w:rsidR="00E0244C" w:rsidRPr="00483F7D" w:rsidRDefault="007A1FD7">
      <w:pPr>
        <w:pStyle w:val="NormalCentered"/>
      </w:pPr>
      <w:r w:rsidRPr="00483F7D">
        <w:rPr>
          <w:b/>
        </w:rPr>
        <w:t>Ποσά επιπλέον του καταβλητέου εισαγωγικού ή εξαγωγικού δασμού</w:t>
      </w:r>
    </w:p>
    <w:p w14:paraId="1C2D2D86" w14:textId="77777777" w:rsidR="00E0244C" w:rsidRPr="00483F7D" w:rsidRDefault="007A1FD7">
      <w:pPr>
        <w:pStyle w:val="ManualNumPar10"/>
      </w:pPr>
      <w:r w:rsidRPr="00483F7D">
        <w:t>1.</w:t>
      </w:r>
      <w:r w:rsidRPr="00483F7D">
        <w:tab/>
        <w:t xml:space="preserve">Ποσά εισαγωγικού ή εξαγωγικού δασμού επιστρέφονται ή διαγράφονται εφόσον το ποσό που αντιστοιχεί στην αρχικώς γνωστοποιηθείσα τελωνειακή οφειλή υπερβαίνει το καταβλητέο ποσό ή η τελωνειακή οφειλή γνωστοποιήθηκε στον οφειλέτη σε αντίθεση προς το άρθρο 181 παράγραφος 1 στοιχεία </w:t>
      </w:r>
      <w:hyperlink w:anchor="__akn_article_FJYK13_lvTYR6" w:tooltip="Article 181(1), points (c) and (d): (c)">
        <w:r w:rsidRPr="00483F7D">
          <w:rPr>
            <w:rStyle w:val="Hyperlink"/>
          </w:rPr>
          <w:t>γ)</w:t>
        </w:r>
      </w:hyperlink>
      <w:r w:rsidRPr="00483F7D">
        <w:t xml:space="preserve"> και </w:t>
      </w:r>
      <w:hyperlink w:anchor="__akn_article_FJYK13_gZ1BLp" w:tooltip="Article 181(1), points (c) and (d): (d)">
        <w:r w:rsidRPr="00483F7D">
          <w:rPr>
            <w:rStyle w:val="Hyperlink"/>
          </w:rPr>
          <w:t>δ)</w:t>
        </w:r>
      </w:hyperlink>
      <w:r w:rsidRPr="00483F7D">
        <w:t>.</w:t>
      </w:r>
    </w:p>
    <w:p w14:paraId="0C3821AF" w14:textId="77777777" w:rsidR="00E0244C" w:rsidRPr="00483F7D" w:rsidRDefault="007A1FD7">
      <w:pPr>
        <w:pStyle w:val="ManualNumPar10"/>
      </w:pPr>
      <w:bookmarkStart w:id="192" w:name="__akn_article_wPdA8c-par1"/>
      <w:bookmarkEnd w:id="192"/>
      <w:r w:rsidRPr="00483F7D">
        <w:t>2.</w:t>
      </w:r>
      <w:r w:rsidRPr="00483F7D">
        <w:tab/>
        <w:t>Όταν η αίτηση για επιστροφή ή διαγραφή βασίζεται στην ύπαρξη, κατά τον χρόνο θέσης των εμπορευμάτων σε ελεύθερη κυκλοφορία, μειωμένου ή μηδενικού συντελεστή εισαγωγικού δασμού επί των εμπορευμάτων που εφαρμόζεται στο πλαίσιο δασμολογικής ποσόστωσης, δασμολογικού ανώτατου ορίου ή άλλων ευνοϊκών δασμολογικών μέτρων, η επιστροφή ή η διαγραφή χορηγείται μόνον εφόσον, κατά τον χρόνο υποβολής της, η αίτηση συνοδευόταν από τα αναγκαία έγγραφα και πληρούται ένας από τους ακόλουθους όρους:</w:t>
      </w:r>
    </w:p>
    <w:p w14:paraId="6070EC4C" w14:textId="75F97BB6" w:rsidR="00E0244C" w:rsidRPr="00483F7D" w:rsidRDefault="00BC60FC" w:rsidP="00BC60FC">
      <w:pPr>
        <w:pStyle w:val="Point1"/>
      </w:pPr>
      <w:r w:rsidRPr="00483F7D">
        <w:t>α)</w:t>
      </w:r>
      <w:r w:rsidRPr="00483F7D">
        <w:tab/>
      </w:r>
      <w:r w:rsidR="007A1FD7" w:rsidRPr="00483F7D">
        <w:t>αν πρόκειται για δασμολογική ποσόστωση, ο όγκος της δεν έχει εξαντληθεί·</w:t>
      </w:r>
    </w:p>
    <w:p w14:paraId="67260283" w14:textId="12A4D433" w:rsidR="00E0244C" w:rsidRPr="00483F7D" w:rsidRDefault="00BC60FC" w:rsidP="00BC60FC">
      <w:pPr>
        <w:pStyle w:val="Point1"/>
      </w:pPr>
      <w:r w:rsidRPr="00483F7D">
        <w:t>β)</w:t>
      </w:r>
      <w:r w:rsidRPr="00483F7D">
        <w:tab/>
      </w:r>
      <w:r w:rsidR="007A1FD7" w:rsidRPr="00483F7D">
        <w:t>στις άλλες περιπτώσεις, δεν έχει στο μεταξύ γίνει επαναφορά του κανονικά οφειλόμενου δασμολογικού συντελεστή.</w:t>
      </w:r>
    </w:p>
    <w:p w14:paraId="383B52CD" w14:textId="77777777" w:rsidR="00E0244C" w:rsidRPr="00483F7D" w:rsidRDefault="007A1FD7">
      <w:pPr>
        <w:pStyle w:val="Titrearticle"/>
      </w:pPr>
      <w:bookmarkStart w:id="193" w:name="__akn_article_T1mg4p"/>
      <w:bookmarkEnd w:id="193"/>
      <w:r w:rsidRPr="00483F7D">
        <w:t>Άρθρο 195</w:t>
      </w:r>
    </w:p>
    <w:p w14:paraId="56E45BF0" w14:textId="77777777" w:rsidR="00E0244C" w:rsidRPr="00483F7D" w:rsidRDefault="007A1FD7">
      <w:pPr>
        <w:pStyle w:val="NormalCentered"/>
      </w:pPr>
      <w:r w:rsidRPr="00483F7D">
        <w:rPr>
          <w:b/>
        </w:rPr>
        <w:t>Ελαττωματικά εμπορεύματα ή εμπορεύματα που δεν πληρούν τους όρους της σύμβασης</w:t>
      </w:r>
    </w:p>
    <w:p w14:paraId="11A7DB62" w14:textId="77777777" w:rsidR="00E0244C" w:rsidRPr="00483F7D" w:rsidRDefault="007A1FD7">
      <w:pPr>
        <w:pStyle w:val="ManualNumPar10"/>
      </w:pPr>
      <w:r w:rsidRPr="00483F7D">
        <w:t>1.</w:t>
      </w:r>
      <w:r w:rsidRPr="00483F7D">
        <w:tab/>
        <w:t>Οι τελωνειακές αρχές επιστρέφουν ή διαγράφουν ποσό εισαγωγικού δασμού όταν πληρούνται οι ακόλουθοι όροι: </w:t>
      </w:r>
    </w:p>
    <w:p w14:paraId="6F98063B" w14:textId="41BB4F72" w:rsidR="00E0244C" w:rsidRPr="00483F7D" w:rsidRDefault="00BC60FC" w:rsidP="00BC60FC">
      <w:pPr>
        <w:pStyle w:val="Point1"/>
      </w:pPr>
      <w:r w:rsidRPr="00483F7D">
        <w:t>α)</w:t>
      </w:r>
      <w:r w:rsidRPr="00483F7D">
        <w:tab/>
      </w:r>
      <w:r w:rsidR="007A1FD7" w:rsidRPr="00483F7D">
        <w:t>η γνωστοποίηση της τελωνειακής οφειλής αφορά εμπορεύματα τα οποία απέρριψε ο εισαγωγέας επειδή, κατά τον χρόνο της παράδοσής τους, ήταν ελαττωματικά ή δεν ήταν σύμφωνα προς τους όρους της σύμβασης βάσει της οποίας εισήχθησαν·</w:t>
      </w:r>
    </w:p>
    <w:p w14:paraId="3633F826" w14:textId="3157ADD4" w:rsidR="00E0244C" w:rsidRPr="00483F7D" w:rsidRDefault="00BC60FC" w:rsidP="00BC60FC">
      <w:pPr>
        <w:pStyle w:val="Point1"/>
      </w:pPr>
      <w:r w:rsidRPr="00483F7D">
        <w:t>β)</w:t>
      </w:r>
      <w:r w:rsidRPr="00483F7D">
        <w:tab/>
      </w:r>
      <w:r w:rsidR="007A1FD7" w:rsidRPr="00483F7D">
        <w:t>τα εμπορεύματα δεν έχουν χρησιμοποιηθεί, εκτός αν κατέστη αναγκαία η αρχική χρησιμοποίησή τους για να διαπιστωθεί ότι ήταν ελαττωματικά ή δεν ήταν σύμφωνα προς τους όρους της σύμβασης·</w:t>
      </w:r>
    </w:p>
    <w:p w14:paraId="02C3A73F" w14:textId="79B8AAE7" w:rsidR="00E0244C" w:rsidRPr="00483F7D" w:rsidRDefault="00BC60FC" w:rsidP="00BC60FC">
      <w:pPr>
        <w:pStyle w:val="Point1"/>
      </w:pPr>
      <w:r w:rsidRPr="00483F7D">
        <w:t>γ)</w:t>
      </w:r>
      <w:r w:rsidRPr="00483F7D">
        <w:tab/>
      </w:r>
      <w:r w:rsidR="007A1FD7" w:rsidRPr="00483F7D">
        <w:t>τα εμπορεύματα μεταφέρονται εκτός του τελωνειακού εδάφους της Ένωσης ή, κατόπιν αίτησης του ενδιαφερόμενου προσώπου, οι τελωνειακές αρχές έχουν εγκρίνει την υπαγωγή των εμπορευμάτων στο καθεστώς τελειοποίησης προς επανεξαγωγή, μεταξύ άλλων, για την καταστροφή τους, ή την υπαγωγή τους στο καθεστώς εξωτερικής διαμετακόμισης, της τελωνειακής αποταμίευσης ή της ελεύθερης ζώνης.</w:t>
      </w:r>
    </w:p>
    <w:p w14:paraId="26F3BC68" w14:textId="77777777" w:rsidR="00E0244C" w:rsidRPr="00483F7D" w:rsidRDefault="007A1FD7">
      <w:pPr>
        <w:pStyle w:val="ManualNumPar10"/>
      </w:pPr>
      <w:r w:rsidRPr="00483F7D">
        <w:t>2.</w:t>
      </w:r>
      <w:r w:rsidRPr="00483F7D">
        <w:tab/>
        <w:t>Οι τελωνειακές αρχές δεν επιστρέφουν ούτε διαγράφουν ποσό εισαγωγικού δασμού σε καμία από τις ακόλουθες περιπτώσεις:</w:t>
      </w:r>
    </w:p>
    <w:p w14:paraId="6F8FB52D" w14:textId="57D0C47E" w:rsidR="00E0244C" w:rsidRPr="00483F7D" w:rsidRDefault="00BC60FC" w:rsidP="00BC60FC">
      <w:pPr>
        <w:pStyle w:val="Point1"/>
      </w:pPr>
      <w:r w:rsidRPr="00483F7D">
        <w:t>α)</w:t>
      </w:r>
      <w:r w:rsidRPr="00483F7D">
        <w:tab/>
      </w:r>
      <w:r w:rsidR="007A1FD7" w:rsidRPr="00483F7D">
        <w:t>τα εμπορεύματα, πριν τεθούν σε ελεύθερη κυκλοφορία, είχαν υπαχθεί σε ειδικό καθεστώς για δοκιμές, εκτός αν αποδεικνύεται ότι το γεγονός ότι τα εμπορεύματα ήταν ελαττωματικά ή δεν ήταν σύμφωνα προς τους όρους της σύμβασης δεν θα ήταν κανονικά δυνατό να διαπιστωθεί κατά τη διάρκεια των δοκιμών αυτών·</w:t>
      </w:r>
    </w:p>
    <w:p w14:paraId="7726768E" w14:textId="27F2DEF8" w:rsidR="00E0244C" w:rsidRPr="00483F7D" w:rsidRDefault="00BC60FC" w:rsidP="00BC60FC">
      <w:pPr>
        <w:pStyle w:val="Point1"/>
      </w:pPr>
      <w:r w:rsidRPr="00483F7D">
        <w:t>β)</w:t>
      </w:r>
      <w:r w:rsidRPr="00483F7D">
        <w:tab/>
      </w:r>
      <w:r w:rsidR="007A1FD7" w:rsidRPr="00483F7D">
        <w:t xml:space="preserve">ο ελαττωματικός χαρακτήρας των εμπορευμάτων είχε ληφθεί υπόψη κατά τον καθορισμό των όρων της σύμβασης, ιδίως της τιμής, πριν υπαχθούν τα εν λόγω εμπορεύματα σε τελωνειακό καθεστώς που συνεπάγεται τη γένεση τελωνειακής οφειλής· </w:t>
      </w:r>
    </w:p>
    <w:p w14:paraId="199F257E" w14:textId="57321BD2" w:rsidR="00E0244C" w:rsidRPr="00483F7D" w:rsidRDefault="00BC60FC" w:rsidP="00BC60FC">
      <w:pPr>
        <w:pStyle w:val="Point1"/>
      </w:pPr>
      <w:r w:rsidRPr="00483F7D">
        <w:t>γ)</w:t>
      </w:r>
      <w:r w:rsidRPr="00483F7D">
        <w:tab/>
      </w:r>
      <w:r w:rsidR="007A1FD7" w:rsidRPr="00483F7D">
        <w:t>τα εμπορεύματα πωλούνται από τον αιτούντα αφού διαπιστωθεί ότι είναι ελαττωματικά ή δεν είναι σύμφωνα προς τους όρους της σύμβασης.</w:t>
      </w:r>
    </w:p>
    <w:p w14:paraId="096E08A7" w14:textId="77777777" w:rsidR="00E0244C" w:rsidRPr="00483F7D" w:rsidRDefault="007A1FD7">
      <w:pPr>
        <w:pStyle w:val="ManualNumPar10"/>
      </w:pPr>
      <w:r w:rsidRPr="00483F7D">
        <w:t>3.</w:t>
      </w:r>
      <w:r w:rsidRPr="00483F7D">
        <w:tab/>
        <w:t>Εξομοιώνονται με ελαττωματικά εμπορεύματα τα εμπορεύματα που έχουν φθαρεί πριν από την παράδοσή τους.</w:t>
      </w:r>
    </w:p>
    <w:p w14:paraId="5D4E92C8" w14:textId="77777777" w:rsidR="00E0244C" w:rsidRPr="00483F7D" w:rsidRDefault="007A1FD7">
      <w:pPr>
        <w:pStyle w:val="Titrearticle"/>
      </w:pPr>
      <w:bookmarkStart w:id="194" w:name="__akn_article_thNzXJ"/>
      <w:bookmarkEnd w:id="194"/>
      <w:r w:rsidRPr="00483F7D">
        <w:t>Άρθρο 196</w:t>
      </w:r>
    </w:p>
    <w:p w14:paraId="2A61F1A0" w14:textId="77777777" w:rsidR="00E0244C" w:rsidRPr="00483F7D" w:rsidRDefault="007A1FD7">
      <w:pPr>
        <w:pStyle w:val="NormalCentered"/>
      </w:pPr>
      <w:r w:rsidRPr="00483F7D">
        <w:rPr>
          <w:b/>
        </w:rPr>
        <w:t>Σφάλμα των τελωνειακών αρχών</w:t>
      </w:r>
    </w:p>
    <w:p w14:paraId="0A7F6158" w14:textId="77777777" w:rsidR="00E0244C" w:rsidRPr="00483F7D" w:rsidRDefault="007A1FD7">
      <w:pPr>
        <w:pStyle w:val="ManualNumPar10"/>
      </w:pPr>
      <w:r w:rsidRPr="00483F7D">
        <w:t>1.</w:t>
      </w:r>
      <w:r w:rsidRPr="00483F7D">
        <w:tab/>
        <w:t xml:space="preserve">Σε περιπτώσεις άλλες από εκείνες που αναφέρονται στο άρθρο 193 παράγραφος 1 στοιχείο </w:t>
      </w:r>
      <w:hyperlink w:anchor="__akn_article_LhGmFv_zKcdIT" w:tooltip="Article 193(1), point (e): (e)">
        <w:r w:rsidRPr="00483F7D">
          <w:rPr>
            <w:rStyle w:val="Hyperlink"/>
          </w:rPr>
          <w:t>ε)</w:t>
        </w:r>
      </w:hyperlink>
      <w:r w:rsidRPr="00483F7D">
        <w:t xml:space="preserve"> και στα άρθρα </w:t>
      </w:r>
      <w:hyperlink w:anchor="__akn_article_wPdA8c" w:tooltip="Articles 194, 195 and 197: 194">
        <w:r w:rsidRPr="00483F7D">
          <w:rPr>
            <w:rStyle w:val="Hyperlink"/>
          </w:rPr>
          <w:t>194</w:t>
        </w:r>
      </w:hyperlink>
      <w:r w:rsidRPr="00483F7D">
        <w:t xml:space="preserve">, </w:t>
      </w:r>
      <w:hyperlink w:anchor="__akn_article_T1mg4p" w:tooltip="Articles 194, 195 and 197: 195">
        <w:r w:rsidRPr="00483F7D">
          <w:rPr>
            <w:rStyle w:val="Hyperlink"/>
          </w:rPr>
          <w:t>195</w:t>
        </w:r>
      </w:hyperlink>
      <w:r w:rsidRPr="00483F7D">
        <w:t xml:space="preserve"> και </w:t>
      </w:r>
      <w:hyperlink w:anchor="__akn_article_UvwgGZ" w:tooltip="Articles 194, 195 and 197: 197">
        <w:r w:rsidRPr="00483F7D">
          <w:rPr>
            <w:rStyle w:val="Hyperlink"/>
          </w:rPr>
          <w:t>197</w:t>
        </w:r>
      </w:hyperlink>
      <w:r w:rsidRPr="00483F7D">
        <w:t>, οι τελωνειακές αρχές επιστρέφουν ή διαγράφουν ποσό εισαγωγικού ή εξαγωγικού δασμού όταν, λόγω σφάλματος εκ μέρους τους, έχουν γνωστοποιήσει ποσό που αντιστοιχεί στην τελωνειακή οφειλή κατώτερο από το καταβλητέο ποσό, εφόσον πληρούνται οι ακόλουθοι όροι:</w:t>
      </w:r>
    </w:p>
    <w:p w14:paraId="53C614C1" w14:textId="312AE877" w:rsidR="00E0244C" w:rsidRPr="00483F7D" w:rsidRDefault="00BC60FC" w:rsidP="00BC60FC">
      <w:pPr>
        <w:pStyle w:val="Point1"/>
      </w:pPr>
      <w:r w:rsidRPr="00483F7D">
        <w:t>α)</w:t>
      </w:r>
      <w:r w:rsidRPr="00483F7D">
        <w:tab/>
      </w:r>
      <w:r w:rsidR="007A1FD7" w:rsidRPr="00483F7D">
        <w:t xml:space="preserve">ο οφειλέτης δεν μπορούσε ευλόγως να έχει διαπιστώσει το εν λόγω σφάλμα· </w:t>
      </w:r>
    </w:p>
    <w:p w14:paraId="71171B42" w14:textId="6F330230" w:rsidR="00E0244C" w:rsidRPr="00483F7D" w:rsidRDefault="00BC60FC" w:rsidP="00BC60FC">
      <w:pPr>
        <w:pStyle w:val="Point1"/>
      </w:pPr>
      <w:r w:rsidRPr="00483F7D">
        <w:t>β)</w:t>
      </w:r>
      <w:r w:rsidRPr="00483F7D">
        <w:tab/>
      </w:r>
      <w:r w:rsidR="007A1FD7" w:rsidRPr="00483F7D">
        <w:t>ο οφειλέτης ενεργούσε με καλή πίστη.</w:t>
      </w:r>
    </w:p>
    <w:p w14:paraId="1E7DA971" w14:textId="77777777" w:rsidR="00E0244C" w:rsidRPr="00483F7D" w:rsidRDefault="007A1FD7">
      <w:pPr>
        <w:pStyle w:val="ManualNumPar10"/>
      </w:pPr>
      <w:r w:rsidRPr="00483F7D">
        <w:t>2.</w:t>
      </w:r>
      <w:r w:rsidRPr="00483F7D">
        <w:tab/>
        <w:t xml:space="preserve">Όταν δεν πληρούνται οι όροι που προβλέπονται στο άρθρο 194 παράγραφος </w:t>
      </w:r>
      <w:hyperlink w:anchor="__akn_article_wPdA8c-par1" w:tooltip="Article 194(2): (2)">
        <w:r w:rsidRPr="00483F7D">
          <w:rPr>
            <w:rStyle w:val="Hyperlink"/>
          </w:rPr>
          <w:t>2</w:t>
        </w:r>
      </w:hyperlink>
      <w:r w:rsidRPr="00483F7D">
        <w:t>, οι τελωνειακές αρχές προβαίνουν σε επιστροφή ή διαγραφή αν, λόγω σφάλματος από την πλευρά τους, ο μειωμένος ή μηδενικός δασμολογικός συντελεστής δεν εφαρμόστηκε σε εμπορεύματα και τα δεδομένα βάσει των οποίων παραδόθηκαν τα εμπορεύματα ή, κατά περίπτωση, η τελωνειακή διασάφηση θέσης σε ελεύθερη κυκλοφορία, περιείχαν όλα τα στοιχεία και συνοδεύονταν από όλα τα αναγκαία έγγραφα για την εφαρμογή του μειωμένου ή μηδενικού συντελεστή.</w:t>
      </w:r>
    </w:p>
    <w:p w14:paraId="55DA0E45" w14:textId="77777777" w:rsidR="00E0244C" w:rsidRPr="00483F7D" w:rsidRDefault="007A1FD7">
      <w:pPr>
        <w:pStyle w:val="ManualNumPar10"/>
      </w:pPr>
      <w:r w:rsidRPr="00483F7D">
        <w:t>3.</w:t>
      </w:r>
      <w:r w:rsidRPr="00483F7D">
        <w:tab/>
        <w:t>Όταν η προτιμησιακή μεταχείριση των εμπορευμάτων χορηγείται βάσει συστήματος διοικητικής συνεργασίας στο οποίο συμμετέχουν οι αρχές τρίτης χώρας, η έκδοση πιστοποιητικού από τις εν λόγω αρχές, εφόσον αυτό αποδειχθεί ανακριβές, συνιστά σφάλμα το οποίο δεν θα μπορούσε ευλόγως να έχει διαπιστωθεί κατά την έννοια της παραγράφου 1 στοιχείο α).</w:t>
      </w:r>
    </w:p>
    <w:p w14:paraId="29624C14" w14:textId="77777777" w:rsidR="00E0244C" w:rsidRPr="00483F7D" w:rsidRDefault="007A1FD7">
      <w:pPr>
        <w:pStyle w:val="Text1"/>
      </w:pPr>
      <w:r w:rsidRPr="00483F7D">
        <w:t>Ωστόσο, η έκδοση ανακριβούς πιστοποιητικού δεν συνιστά σφάλμα όταν το πιστοποιητικό βασίζεται σε ανακριβή έκθεση των πραγματικών περιστατικών από τον εξαγωγέα, εκτός αν είναι προφανές ότι οι αρχές που το εξέδωσαν γνώριζαν ή θα έπρεπε να γνωρίζουν ότι τα εμπορεύματα δεν πληρούσαν τους προβλεπόμενους όρους για να τύχουν προτιμησιακής μεταχείρισης.</w:t>
      </w:r>
    </w:p>
    <w:p w14:paraId="3B0D5B08" w14:textId="77777777" w:rsidR="00E0244C" w:rsidRPr="00483F7D" w:rsidRDefault="007A1FD7">
      <w:pPr>
        <w:pStyle w:val="Text1"/>
      </w:pPr>
      <w:r w:rsidRPr="00483F7D">
        <w:t>Ο οφειλέτης θεωρείται καλής πίστης αν μπορεί να αποδείξει ότι, κατά την περίοδο των σχετικών εμπορικών πράξεων, κατέβαλε τη δέουσα επιμέλεια για να διασφαλίσει ότι συνέτρεχαν όλοι οι όροι για την προτιμησιακή μεταχείριση.</w:t>
      </w:r>
    </w:p>
    <w:p w14:paraId="0A6A0B7D" w14:textId="77777777" w:rsidR="00E0244C" w:rsidRPr="00483F7D" w:rsidRDefault="007A1FD7">
      <w:pPr>
        <w:pStyle w:val="Text1"/>
      </w:pPr>
      <w:r w:rsidRPr="00483F7D">
        <w:t>Ο οφειλέτης δεν μπορεί να επικαλεστεί την καλή του πίστη, αν η Επιτροπή έχει δημοσιεύσει στην Επίσημη Εφημερίδα της Ευρωπαϊκής Ένωσης ανακοίνωση στην οποία αναφέρεται ότι υπάρχουν βάσιμες αμφιβολίες όσον αφορά την ορθή εφαρμογή των προτιμησιακών ρυθμίσεων από τη δικαιούχο χώρα ή έδαφος.</w:t>
      </w:r>
    </w:p>
    <w:p w14:paraId="21477C20" w14:textId="77777777" w:rsidR="00E0244C" w:rsidRPr="00483F7D" w:rsidRDefault="007A1FD7">
      <w:pPr>
        <w:pStyle w:val="Titrearticle"/>
      </w:pPr>
      <w:bookmarkStart w:id="195" w:name="__akn_article_UvwgGZ"/>
      <w:bookmarkEnd w:id="195"/>
      <w:r w:rsidRPr="00483F7D">
        <w:t>Άρθρο 197</w:t>
      </w:r>
    </w:p>
    <w:p w14:paraId="4E719690" w14:textId="77777777" w:rsidR="00E0244C" w:rsidRPr="00483F7D" w:rsidRDefault="007A1FD7">
      <w:pPr>
        <w:pStyle w:val="NormalCentered"/>
      </w:pPr>
      <w:r w:rsidRPr="00483F7D">
        <w:rPr>
          <w:b/>
        </w:rPr>
        <w:t>Δίκαιη μεταχείριση</w:t>
      </w:r>
    </w:p>
    <w:p w14:paraId="76AA0254" w14:textId="77777777" w:rsidR="00E0244C" w:rsidRPr="00483F7D" w:rsidRDefault="007A1FD7">
      <w:pPr>
        <w:pStyle w:val="ManualNumPar10"/>
      </w:pPr>
      <w:r w:rsidRPr="00483F7D">
        <w:t>1.</w:t>
      </w:r>
      <w:r w:rsidRPr="00483F7D">
        <w:tab/>
        <w:t xml:space="preserve">Σε περιπτώσεις άλλες από εκείνες που αναφέρονται στο άρθρο 193 παράγραφος 1 στοιχείο </w:t>
      </w:r>
      <w:hyperlink w:anchor="__akn_article_LhGmFv_zKcdIT" w:tooltip="Article 193(1), point (e): (e)">
        <w:r w:rsidRPr="00483F7D">
          <w:rPr>
            <w:rStyle w:val="Hyperlink"/>
          </w:rPr>
          <w:t>ε)</w:t>
        </w:r>
      </w:hyperlink>
      <w:r w:rsidRPr="00483F7D">
        <w:t xml:space="preserve"> και στα άρθρα </w:t>
      </w:r>
      <w:hyperlink w:anchor="__akn_article_wPdA8c" w:tooltip="Articles 194, 195 and 196: 194">
        <w:r w:rsidRPr="00483F7D">
          <w:rPr>
            <w:rStyle w:val="Hyperlink"/>
          </w:rPr>
          <w:t>194</w:t>
        </w:r>
      </w:hyperlink>
      <w:r w:rsidRPr="00483F7D">
        <w:t xml:space="preserve">, </w:t>
      </w:r>
      <w:hyperlink w:anchor="__akn_article_T1mg4p" w:tooltip="Articles 194, 195 and 196: 195">
        <w:r w:rsidRPr="00483F7D">
          <w:rPr>
            <w:rStyle w:val="Hyperlink"/>
          </w:rPr>
          <w:t>195</w:t>
        </w:r>
      </w:hyperlink>
      <w:r w:rsidRPr="00483F7D">
        <w:t xml:space="preserve"> και </w:t>
      </w:r>
      <w:hyperlink w:anchor="__akn_article_thNzXJ" w:tooltip="Articles 194, 195 and 196: 196">
        <w:r w:rsidRPr="00483F7D">
          <w:rPr>
            <w:rStyle w:val="Hyperlink"/>
          </w:rPr>
          <w:t>196</w:t>
        </w:r>
      </w:hyperlink>
      <w:r w:rsidRPr="00483F7D">
        <w:t>, οι τελωνειακές αρχές επιστρέφουν ή διαγράφουν το ποσό εισαγωγικού ή εξαγωγικού δασμού για λόγους δίκαιης μεταχείρισης, όταν γεννάται τελωνειακή οφειλή υπό ειδικές περιστάσεις στις οποίες δεν μπορεί να αποδοθεί παραπλάνηση ή προφανής αμέλεια στον οφειλέτη.</w:t>
      </w:r>
    </w:p>
    <w:p w14:paraId="73283F8E" w14:textId="77777777" w:rsidR="00E0244C" w:rsidRPr="00483F7D" w:rsidRDefault="007A1FD7">
      <w:pPr>
        <w:pStyle w:val="ManualNumPar10"/>
      </w:pPr>
      <w:r w:rsidRPr="00483F7D">
        <w:t>2.</w:t>
      </w:r>
      <w:r w:rsidRPr="00483F7D">
        <w:tab/>
        <w:t>Οι ειδικές περιστάσεις σύμφωνα με την παράγραφο 1 θεωρείται ότι συντρέχουν όταν είναι σαφές από τις περιστάσεις της υπόθεσης ότι η περίπτωση του οφειλέτη είναι εξαιρετική σε σύγκριση με άλλους οικονομικούς φορείς του ίδιου επιχειρηματικού τομέα και ότι, αν δεν υπήρχαν οι περιστάσεις αυτές, δεν θα είχε βρεθεί σε μειονεκτική θέση λόγω της είσπραξης του ποσού του εισαγωγικού ή εξαγωγικού δασμού.</w:t>
      </w:r>
    </w:p>
    <w:p w14:paraId="6A1B3247" w14:textId="77777777" w:rsidR="00E0244C" w:rsidRPr="00483F7D" w:rsidRDefault="007A1FD7">
      <w:pPr>
        <w:pStyle w:val="Titrearticle"/>
      </w:pPr>
      <w:bookmarkStart w:id="196" w:name="__akn_article_ycnCxF"/>
      <w:bookmarkEnd w:id="196"/>
      <w:r w:rsidRPr="00483F7D">
        <w:t>Άρθρο 198</w:t>
      </w:r>
    </w:p>
    <w:p w14:paraId="3064CC33" w14:textId="77777777" w:rsidR="00E0244C" w:rsidRPr="00483F7D" w:rsidRDefault="007A1FD7">
      <w:pPr>
        <w:pStyle w:val="NormalCentered"/>
      </w:pPr>
      <w:r w:rsidRPr="00483F7D">
        <w:rPr>
          <w:b/>
        </w:rPr>
        <w:t>Διαδικασία επιστροφής και διαγραφής</w:t>
      </w:r>
    </w:p>
    <w:p w14:paraId="25FA846A" w14:textId="77777777" w:rsidR="00E0244C" w:rsidRPr="00483F7D" w:rsidRDefault="007A1FD7">
      <w:pPr>
        <w:pStyle w:val="ManualNumPar10"/>
      </w:pPr>
      <w:r w:rsidRPr="00483F7D">
        <w:t>1.</w:t>
      </w:r>
      <w:r w:rsidRPr="00483F7D">
        <w:tab/>
        <w:t xml:space="preserve">Οι αιτήσεις για επιστροφή ή διαγραφή σύμφωνα με το άρθρο </w:t>
      </w:r>
      <w:hyperlink w:anchor="__akn_article_LhGmFv" w:tooltip="Article 193: 193">
        <w:r w:rsidRPr="00483F7D">
          <w:rPr>
            <w:rStyle w:val="Hyperlink"/>
          </w:rPr>
          <w:t>193</w:t>
        </w:r>
      </w:hyperlink>
      <w:r w:rsidRPr="00483F7D">
        <w:t xml:space="preserve"> υποβάλλονται στις τελωνειακές αρχές εντός των ακόλουθων προθεσμιών:</w:t>
      </w:r>
    </w:p>
    <w:p w14:paraId="16B69FB7" w14:textId="14F0EDA7" w:rsidR="00E0244C" w:rsidRPr="00483F7D" w:rsidRDefault="00BC60FC" w:rsidP="00BC60FC">
      <w:pPr>
        <w:pStyle w:val="Point1"/>
      </w:pPr>
      <w:r w:rsidRPr="00483F7D">
        <w:t>α)</w:t>
      </w:r>
      <w:r w:rsidRPr="00483F7D">
        <w:tab/>
      </w:r>
      <w:r w:rsidR="007A1FD7" w:rsidRPr="00483F7D">
        <w:t>στην περίπτωση επιβολής ποσών επιπλέον του καταβλητέου εισαγωγικού ή εξαγωγικού δασμού, σφάλματος των αρμόδιων αρχών ή για λόγους δίκαιης μεταχείρισης, εντός 3 ετών από την ημερομηνία γνωστοποίησης της τελωνειακής οφειλής·</w:t>
      </w:r>
    </w:p>
    <w:p w14:paraId="7719F4B6" w14:textId="39273491" w:rsidR="00E0244C" w:rsidRPr="00483F7D" w:rsidRDefault="00BC60FC" w:rsidP="00BC60FC">
      <w:pPr>
        <w:pStyle w:val="Point1"/>
      </w:pPr>
      <w:r w:rsidRPr="00483F7D">
        <w:t>β)</w:t>
      </w:r>
      <w:r w:rsidRPr="00483F7D">
        <w:tab/>
      </w:r>
      <w:r w:rsidR="007A1FD7" w:rsidRPr="00483F7D">
        <w:t>στην περίπτωση ελαττωματικών εμπορευμάτων ή εμπορευμάτων που δεν συμφωνούν με τους όρους της σύμβασης, εντός ενός έτους από την ημερομηνία γνωστοποίησης της τελωνειακής οφειλής·</w:t>
      </w:r>
    </w:p>
    <w:p w14:paraId="39CDE407" w14:textId="7F3215D9" w:rsidR="00E0244C" w:rsidRPr="00483F7D" w:rsidRDefault="00BC60FC" w:rsidP="00BC60FC">
      <w:pPr>
        <w:pStyle w:val="Point1"/>
      </w:pPr>
      <w:r w:rsidRPr="00483F7D">
        <w:t>γ)</w:t>
      </w:r>
      <w:r w:rsidRPr="00483F7D">
        <w:tab/>
      </w:r>
      <w:r w:rsidR="007A1FD7" w:rsidRPr="00483F7D">
        <w:t>σε περίπτωση ακύρωσης των δεδομένων ή, κατά περίπτωση, της τελωνειακής διασάφησης βάσει των οποίων παραδόθηκαν τα εμπορεύματα, εντός ενός έτους από την ημερομηνία ακύρωσης των εν λόγω δεδομένων ή της εν λόγω τελωνειακής διασάφησης, εκτός αν ορίζεται διαφορετικά στους κανόνες που ισχύουν για την ακύρωση.</w:t>
      </w:r>
    </w:p>
    <w:p w14:paraId="2AB1A867" w14:textId="77777777" w:rsidR="00E0244C" w:rsidRPr="00483F7D" w:rsidRDefault="007A1FD7">
      <w:pPr>
        <w:pStyle w:val="Text1"/>
      </w:pPr>
      <w:r w:rsidRPr="00483F7D">
        <w:t>Η προθεσμία που ορίζεται στο πρώτο εδάφιο στοιχεία α) και β) παρατείνεται, όταν ο αιτών παρέχει στοιχεία που αποδεικνύουν ότι δεν υπέβαλε αίτηση εντός της καθορισμένης προθεσμίας λόγω απρόβλεπτων περιστάσεων ή ανωτέρας βίας.</w:t>
      </w:r>
    </w:p>
    <w:p w14:paraId="7C96324F" w14:textId="77777777" w:rsidR="00E0244C" w:rsidRPr="00483F7D" w:rsidRDefault="007A1FD7">
      <w:pPr>
        <w:pStyle w:val="ManualNumPar10"/>
      </w:pPr>
      <w:r w:rsidRPr="00483F7D">
        <w:t>2.</w:t>
      </w:r>
      <w:r w:rsidRPr="00483F7D">
        <w:tab/>
        <w:t xml:space="preserve">Όταν οι τελωνειακές αρχές δεν είναι σε θέση, βάσει των λόγων που προβλήθηκαν, να χορηγήσουν επιστροφή ή διαγραφή ποσού εισαγωγικού ή εξαγωγικού δασμού, απαιτείται να εξετάζουν την ουσία αίτησης επιστροφής ή διαγραφής λαμβάνοντας υπόψη τους άλλους λόγους επιστροφής ή διαγραφής που αναφέρονται στο άρθρο </w:t>
      </w:r>
      <w:hyperlink w:anchor="__akn_article_LhGmFv" w:tooltip="Article 193: 193">
        <w:r w:rsidRPr="00483F7D">
          <w:rPr>
            <w:rStyle w:val="Hyperlink"/>
          </w:rPr>
          <w:t>193</w:t>
        </w:r>
      </w:hyperlink>
      <w:r w:rsidRPr="00483F7D">
        <w:t>.</w:t>
      </w:r>
    </w:p>
    <w:p w14:paraId="2914F810" w14:textId="77777777" w:rsidR="00E0244C" w:rsidRPr="00483F7D" w:rsidRDefault="007A1FD7">
      <w:pPr>
        <w:pStyle w:val="ManualNumPar10"/>
      </w:pPr>
      <w:r w:rsidRPr="00483F7D">
        <w:t>3.</w:t>
      </w:r>
      <w:r w:rsidRPr="00483F7D">
        <w:tab/>
        <w:t xml:space="preserve">Όταν ασκείται προσφυγή σύμφωνα με το άρθρο </w:t>
      </w:r>
      <w:hyperlink w:anchor="_bill__akn_article_IvuScu" w:tooltip="Article 16: 16">
        <w:r w:rsidRPr="00483F7D">
          <w:rPr>
            <w:rStyle w:val="Hyperlink"/>
          </w:rPr>
          <w:t>16</w:t>
        </w:r>
      </w:hyperlink>
      <w:r w:rsidRPr="00483F7D">
        <w:t xml:space="preserve"> κατά της γνωστοποίησης της τελωνειακής οφειλής, η σχετική προθεσμία που καθορίζεται στην παράγραφο 1 πρώτο εδάφιο, καθώς και η εξέταση των αιτήσεων διαγραφής και επιστροφής και οι σχετικές προθεσμίες αναστέλλονται, από την ημερομηνία που ασκείται η προσφυγή και καθ’ όλη τη διάρκεια της διαδικασίας προσφυγής.</w:t>
      </w:r>
    </w:p>
    <w:p w14:paraId="247D3EED" w14:textId="77777777" w:rsidR="00E0244C" w:rsidRPr="00483F7D" w:rsidRDefault="007A1FD7">
      <w:pPr>
        <w:pStyle w:val="ManualNumPar10"/>
      </w:pPr>
      <w:r w:rsidRPr="00483F7D">
        <w:t>4.</w:t>
      </w:r>
      <w:r w:rsidRPr="00483F7D">
        <w:tab/>
        <w:t xml:space="preserve">Όταν η τελωνειακή αρχή χορηγεί επιστροφή ή διαγραφή σύμφωνα με τα άρθρα </w:t>
      </w:r>
      <w:hyperlink w:anchor="__akn_article_thNzXJ" w:tooltip="Articles 196 and 197: 196">
        <w:r w:rsidRPr="00483F7D">
          <w:rPr>
            <w:rStyle w:val="Hyperlink"/>
          </w:rPr>
          <w:t>196</w:t>
        </w:r>
      </w:hyperlink>
      <w:r w:rsidRPr="00483F7D">
        <w:t xml:space="preserve"> και </w:t>
      </w:r>
      <w:hyperlink w:anchor="__akn_article_UvwgGZ" w:tooltip="Articles 196 and 197: 197">
        <w:r w:rsidRPr="00483F7D">
          <w:rPr>
            <w:rStyle w:val="Hyperlink"/>
          </w:rPr>
          <w:t>197</w:t>
        </w:r>
      </w:hyperlink>
      <w:r w:rsidRPr="00483F7D">
        <w:t>, το οικείο κράτος μέλος ενημερώνει σχετικά την Επιτροπή.</w:t>
      </w:r>
    </w:p>
    <w:p w14:paraId="73E3DE04" w14:textId="77777777" w:rsidR="00E0244C" w:rsidRPr="00483F7D" w:rsidRDefault="007A1FD7">
      <w:pPr>
        <w:pStyle w:val="ManualNumPar10"/>
      </w:pPr>
      <w:r w:rsidRPr="00483F7D">
        <w:t>5.</w:t>
      </w:r>
      <w:r w:rsidRPr="00483F7D">
        <w:tab/>
        <w:t xml:space="preserve">Η Επιτροπή ορίζει, με εκτελεστικές πράξεις, τους διαδικαστικούς κανόνες για την ενημέρωση της Επιτροπής σύμφωνα με την παράγραφο 4 και τις πληροφορίες που πρέπει να παρέχονται. Οι εν λόγω εκτελεστικές πράξεις εκδίδονται σύμφωνα με τη διαδικασία εξέτασης του άρθρου 262 παράγραφος </w:t>
      </w:r>
      <w:hyperlink w:anchor="_bill__akn_article_OheJbS_RcHcve" w:tooltip="Article 260(4): (4)">
        <w:r w:rsidRPr="00483F7D">
          <w:rPr>
            <w:color w:val="0000FF" w:themeColor="hyperlink"/>
            <w:u w:val="single"/>
          </w:rPr>
          <w:t>4</w:t>
        </w:r>
      </w:hyperlink>
      <w:r w:rsidRPr="00483F7D">
        <w:rPr>
          <w:color w:val="0000FF" w:themeColor="hyperlink"/>
          <w:u w:val="single"/>
        </w:rPr>
        <w:t>.</w:t>
      </w:r>
    </w:p>
    <w:p w14:paraId="07C92A14" w14:textId="77777777" w:rsidR="00E0244C" w:rsidRPr="00483F7D" w:rsidRDefault="007A1FD7">
      <w:pPr>
        <w:pStyle w:val="ChapterTitle"/>
      </w:pPr>
      <w:r w:rsidRPr="00483F7D">
        <w:t xml:space="preserve">Κεφάλαιο 4 </w:t>
      </w:r>
      <w:r w:rsidRPr="00483F7D">
        <w:br/>
        <w:t>Απόσβεση τελωνειακής οφειλής</w:t>
      </w:r>
    </w:p>
    <w:p w14:paraId="4B600706" w14:textId="77777777" w:rsidR="00E0244C" w:rsidRPr="00483F7D" w:rsidRDefault="007A1FD7">
      <w:pPr>
        <w:pStyle w:val="Titrearticle"/>
      </w:pPr>
      <w:r w:rsidRPr="00483F7D">
        <w:t>Άρθρο 199</w:t>
      </w:r>
    </w:p>
    <w:p w14:paraId="3DFA4F24" w14:textId="77777777" w:rsidR="00E0244C" w:rsidRPr="00483F7D" w:rsidRDefault="007A1FD7">
      <w:pPr>
        <w:pStyle w:val="NormalCentered"/>
      </w:pPr>
      <w:r w:rsidRPr="00483F7D">
        <w:rPr>
          <w:b/>
        </w:rPr>
        <w:t>Απόσβεση</w:t>
      </w:r>
    </w:p>
    <w:p w14:paraId="46BAE960" w14:textId="77777777" w:rsidR="00E0244C" w:rsidRPr="00483F7D" w:rsidRDefault="007A1FD7">
      <w:pPr>
        <w:pStyle w:val="ManualNumPar10"/>
      </w:pPr>
      <w:r w:rsidRPr="00483F7D">
        <w:t>1.</w:t>
      </w:r>
      <w:r w:rsidRPr="00483F7D">
        <w:tab/>
        <w:t>Με την επιφύλαξη των ισχυουσών διατάξεων σχετικά με τη μη είσπραξη του ποσού του εισαγωγικού ή εξαγωγικού δασμού που αντιστοιχεί σε τελωνειακή οφειλή σε περίπτωση δικαστικά διαπιστωμένης αφερεγγυότητας του οφειλέτη, η απόσβεση της τελωνειακής οφειλής, κατά την εισαγωγή ή την εξαγωγή, πραγματοποιείται με έναν από τους ακόλουθους τρόπους:</w:t>
      </w:r>
    </w:p>
    <w:p w14:paraId="0B97E4CA" w14:textId="437250AC" w:rsidR="00E0244C" w:rsidRPr="00483F7D" w:rsidRDefault="00BC60FC" w:rsidP="00BC60FC">
      <w:pPr>
        <w:pStyle w:val="Point1"/>
      </w:pPr>
      <w:r w:rsidRPr="00483F7D">
        <w:t>α)</w:t>
      </w:r>
      <w:r w:rsidRPr="00483F7D">
        <w:tab/>
      </w:r>
      <w:r w:rsidR="007A1FD7" w:rsidRPr="00483F7D">
        <w:t xml:space="preserve">όταν η τελωνειακή οφειλή δεν μπορεί πλέον να γνωστοποιηθεί στον οφειλέτη σύμφωνα με το άρθρο </w:t>
      </w:r>
      <w:hyperlink w:anchor="__akn_article_FJYK13" w:tooltip="Article 181: 181">
        <w:r w:rsidR="007A1FD7" w:rsidRPr="00483F7D">
          <w:rPr>
            <w:rStyle w:val="Hyperlink"/>
          </w:rPr>
          <w:t>181</w:t>
        </w:r>
      </w:hyperlink>
      <w:r w:rsidR="007A1FD7" w:rsidRPr="00483F7D">
        <w:t>·</w:t>
      </w:r>
    </w:p>
    <w:p w14:paraId="5D30D5D9" w14:textId="0D12F9FA" w:rsidR="00E0244C" w:rsidRPr="00483F7D" w:rsidRDefault="00BC60FC" w:rsidP="00BC60FC">
      <w:pPr>
        <w:pStyle w:val="Point1"/>
      </w:pPr>
      <w:r w:rsidRPr="00483F7D">
        <w:t>β)</w:t>
      </w:r>
      <w:r w:rsidRPr="00483F7D">
        <w:tab/>
      </w:r>
      <w:r w:rsidR="007A1FD7" w:rsidRPr="00483F7D">
        <w:t>με την καταβολή του ποσού του εισαγωγικού ή εξαγωγικού δασμού·</w:t>
      </w:r>
    </w:p>
    <w:p w14:paraId="3588D613" w14:textId="065185FC" w:rsidR="00E0244C" w:rsidRPr="00483F7D" w:rsidRDefault="00BC60FC" w:rsidP="00BC60FC">
      <w:pPr>
        <w:pStyle w:val="Point1"/>
      </w:pPr>
      <w:r w:rsidRPr="00483F7D">
        <w:t>γ)</w:t>
      </w:r>
      <w:r w:rsidRPr="00483F7D">
        <w:tab/>
      </w:r>
      <w:r w:rsidR="007A1FD7" w:rsidRPr="00483F7D">
        <w:t>με διαγραφή του ποσού του εισαγωγικού ή εξαγωγικού δασμού, με την επιφύλαξη της παραγράφου 5·</w:t>
      </w:r>
    </w:p>
    <w:p w14:paraId="5D89747C" w14:textId="758A1336" w:rsidR="00E0244C" w:rsidRPr="00483F7D" w:rsidRDefault="00BC60FC" w:rsidP="00BC60FC">
      <w:pPr>
        <w:pStyle w:val="Point1"/>
      </w:pPr>
      <w:r w:rsidRPr="00483F7D">
        <w:t>δ)</w:t>
      </w:r>
      <w:r w:rsidRPr="00483F7D">
        <w:tab/>
      </w:r>
      <w:r w:rsidR="007A1FD7" w:rsidRPr="00483F7D">
        <w:t>όταν, όσον αφορά εμπορεύματα τα οποία έχουν παραδοθεί για τελωνειακό καθεστώς που συνεπάγεται την υποχρέωση καταβολής εισαγωγικού ή εξαγωγικού δασμού, τα δεδομένα βάσει των οποίων πραγματοποιήθηκε η παράδοση ή η τελωνειακή διασάφηση ακυρώνονται·</w:t>
      </w:r>
    </w:p>
    <w:p w14:paraId="7D46B43A" w14:textId="63F56042" w:rsidR="00E0244C" w:rsidRPr="00483F7D" w:rsidRDefault="00BC60FC" w:rsidP="00BC60FC">
      <w:pPr>
        <w:pStyle w:val="Point1"/>
      </w:pPr>
      <w:r w:rsidRPr="00483F7D">
        <w:t>ε)</w:t>
      </w:r>
      <w:r w:rsidRPr="00483F7D">
        <w:tab/>
      </w:r>
      <w:r w:rsidR="007A1FD7" w:rsidRPr="00483F7D">
        <w:t>όταν εμπορεύματα που υπόκεινται σε εισαγωγικό ή εξαγωγικό δασμό δημευθούν ή κατασχεθούν και συγχρόνως ή στη συνέχεια δημευθούν·</w:t>
      </w:r>
    </w:p>
    <w:p w14:paraId="1C7D0697" w14:textId="4FE1D4CD" w:rsidR="00E0244C" w:rsidRPr="00483F7D" w:rsidRDefault="00BC60FC" w:rsidP="00BC60FC">
      <w:pPr>
        <w:pStyle w:val="Point1"/>
      </w:pPr>
      <w:r w:rsidRPr="00483F7D">
        <w:t>στ)</w:t>
      </w:r>
      <w:r w:rsidRPr="00483F7D">
        <w:tab/>
      </w:r>
      <w:r w:rsidR="007A1FD7" w:rsidRPr="00483F7D">
        <w:t>όταν εμπορεύματα που υπόκεινται σε εισαγωγικό ή εξαγωγικό δασμό καταστραφούν υπό τελωνειακή επιτήρηση ή εγκαταλειφθούν υπέρ του Δημοσίου·</w:t>
      </w:r>
    </w:p>
    <w:p w14:paraId="03728987" w14:textId="29DAD0B3" w:rsidR="00E0244C" w:rsidRPr="00483F7D" w:rsidRDefault="00BC60FC" w:rsidP="00BC60FC">
      <w:pPr>
        <w:pStyle w:val="Point1"/>
      </w:pPr>
      <w:r w:rsidRPr="00483F7D">
        <w:t>ζ)</w:t>
      </w:r>
      <w:r w:rsidRPr="00483F7D">
        <w:tab/>
      </w:r>
      <w:r w:rsidR="007A1FD7" w:rsidRPr="00483F7D">
        <w:t>όταν η εξαφάνιση των εμπορευμάτων ή η μη τήρηση των υποχρεώσεων που απορρέουν από την τελωνειακή νομοθεσία οφείλεται στην ολική καταστροφή ή την ανεπανόρθωτη απώλεια των εν λόγω εμπορευμάτων από αιτία αναγόμενη στην ίδια τη φύση των εμπορευμάτων ή σε απρόβλεπτες περιστάσεις ή ανωτέρα βία ή ακόμη συνεπεία οδηγιών των τελωνειακών αρχών· για τον σκοπό του παρόντος στοιχείου, θεωρείται ότι τα εμπορεύματα έχουν υποστεί ανεπανόρθωτη απώλεια όταν έχουν πλέον καταστεί μη χρησιμοποιήσιμα από κανένα πρόσωπο·</w:t>
      </w:r>
    </w:p>
    <w:p w14:paraId="5C12BC22" w14:textId="36C88F6F" w:rsidR="00E0244C" w:rsidRPr="00483F7D" w:rsidRDefault="00BC60FC" w:rsidP="00BC60FC">
      <w:pPr>
        <w:pStyle w:val="Point1"/>
      </w:pPr>
      <w:r w:rsidRPr="00483F7D">
        <w:t>η)</w:t>
      </w:r>
      <w:r w:rsidRPr="00483F7D">
        <w:tab/>
      </w:r>
      <w:r w:rsidR="007A1FD7" w:rsidRPr="00483F7D">
        <w:t xml:space="preserve">όταν η τελωνειακή οφειλή έχει γεννηθεί σύμφωνα με το άρθρο </w:t>
      </w:r>
      <w:hyperlink w:anchor="__akn_article_jGjnqv" w:tooltip="Article 161: 161">
        <w:r w:rsidR="007A1FD7" w:rsidRPr="00483F7D">
          <w:t>161</w:t>
        </w:r>
      </w:hyperlink>
      <w:r w:rsidR="007A1FD7" w:rsidRPr="00483F7D">
        <w:t xml:space="preserve"> ή το άρθρο </w:t>
      </w:r>
      <w:hyperlink w:anchor="__akn_article_puQ6TX" w:tooltip="Article 164: 164">
        <w:r w:rsidR="007A1FD7" w:rsidRPr="00483F7D">
          <w:t>164</w:t>
        </w:r>
      </w:hyperlink>
      <w:r w:rsidR="007A1FD7" w:rsidRPr="00483F7D">
        <w:t xml:space="preserve"> και πληρούνται οι ακόλουθοι όροι:</w:t>
      </w:r>
    </w:p>
    <w:p w14:paraId="55C8581D" w14:textId="05DFC136" w:rsidR="00E0244C" w:rsidRPr="00483F7D" w:rsidRDefault="00483C4C" w:rsidP="00483C4C">
      <w:pPr>
        <w:pStyle w:val="Point2"/>
      </w:pPr>
      <w:r w:rsidRPr="00483F7D">
        <w:t>i)</w:t>
      </w:r>
      <w:r w:rsidRPr="00483F7D">
        <w:tab/>
        <w:t>οι παραλείψεις που οδήγησαν στη γένεση τελωνειακής οφειλής δεν είχαν ουσιαστικές συνέπειες για την ορθή λειτουργία της προσωρινής εναπόθεσης ή του οικείου τελωνειακού καθεστώτος και δεν συνιστούσαν απόπειρα παραπλάνησης·</w:t>
      </w:r>
    </w:p>
    <w:p w14:paraId="01E942BB" w14:textId="54677857" w:rsidR="00E0244C" w:rsidRPr="00483F7D" w:rsidRDefault="00483C4C" w:rsidP="00483C4C">
      <w:pPr>
        <w:pStyle w:val="Point2"/>
      </w:pPr>
      <w:r w:rsidRPr="00483F7D">
        <w:t>ii)</w:t>
      </w:r>
      <w:r w:rsidRPr="00483F7D">
        <w:tab/>
        <w:t>έχουν διεκπεραιωθεί στη συνέχεια όλες οι αναγκαίες διατυπώσεις για την τακτοποίηση της κατάστασης των εμπορευμάτων·</w:t>
      </w:r>
    </w:p>
    <w:p w14:paraId="6CB1AC83" w14:textId="67BFCC30" w:rsidR="00E0244C" w:rsidRPr="00483F7D" w:rsidRDefault="00BC60FC" w:rsidP="00BC60FC">
      <w:pPr>
        <w:pStyle w:val="Point1"/>
      </w:pPr>
      <w:r w:rsidRPr="00483F7D">
        <w:t>θ)</w:t>
      </w:r>
      <w:r w:rsidRPr="00483F7D">
        <w:tab/>
      </w:r>
      <w:r w:rsidR="007A1FD7" w:rsidRPr="00483F7D">
        <w:t>όταν εμπορεύματα που είχαν τεθεί σε ελεύθερη κυκλοφορία με απαλλαγή από δασμό, ή με μειωμένο συντελεστή εισαγωγικού δασμού λόγω του ειδικού προορισμού τους, έχουν εξαχθεί με την άδεια των τελωνειακών αρχών·</w:t>
      </w:r>
    </w:p>
    <w:p w14:paraId="773420B7" w14:textId="01E6C199" w:rsidR="00E0244C" w:rsidRPr="00483F7D" w:rsidRDefault="00BC60FC" w:rsidP="00BC60FC">
      <w:pPr>
        <w:pStyle w:val="Point1"/>
      </w:pPr>
      <w:r w:rsidRPr="00483F7D">
        <w:t>ι)</w:t>
      </w:r>
      <w:r w:rsidRPr="00483F7D">
        <w:tab/>
      </w:r>
      <w:r w:rsidR="007A1FD7" w:rsidRPr="00483F7D">
        <w:t xml:space="preserve">όταν η οφειλή έχει γεννηθεί σύμφωνα με το άρθρο </w:t>
      </w:r>
      <w:hyperlink w:anchor="__akn_article_HtS6Rf" w:tooltip="Article 160: 160">
        <w:r w:rsidR="007A1FD7" w:rsidRPr="00483F7D">
          <w:t>160</w:t>
        </w:r>
      </w:hyperlink>
      <w:r w:rsidR="007A1FD7" w:rsidRPr="00483F7D">
        <w:t xml:space="preserve"> και οι διατυπώσεις που πραγματοποιούνται για τη χορήγηση της προτιμησιακής δασμολογικής μεταχείρισης που αναφέρεται στο ίδιο άρθρο ακυρώνονται·</w:t>
      </w:r>
    </w:p>
    <w:p w14:paraId="25D7F874" w14:textId="07CBDA89" w:rsidR="00E0244C" w:rsidRPr="00483F7D" w:rsidRDefault="00BC60FC" w:rsidP="00BC60FC">
      <w:pPr>
        <w:pStyle w:val="Point1"/>
      </w:pPr>
      <w:r w:rsidRPr="00483F7D">
        <w:t>ια)</w:t>
      </w:r>
      <w:r w:rsidRPr="00483F7D">
        <w:tab/>
      </w:r>
      <w:r w:rsidR="007A1FD7" w:rsidRPr="00483F7D">
        <w:t xml:space="preserve">όταν, με την επιφύλαξη της παραγράφου 6, η τελωνειακή οφειλή έχει γεννηθεί δυνάμει του άρθρου </w:t>
      </w:r>
      <w:hyperlink w:anchor="__akn_article_jGjnqv" w:tooltip="Article 161: 161">
        <w:r w:rsidR="007A1FD7" w:rsidRPr="00483F7D">
          <w:t>161</w:t>
        </w:r>
      </w:hyperlink>
      <w:r w:rsidR="007A1FD7" w:rsidRPr="00483F7D">
        <w:t xml:space="preserve"> και έχουν παρασχεθεί στις τελωνειακές αρχές ικανοποιητικές αποδείξεις σύμφωνα με τις οποίες τα εμπορεύματα δεν έχουν χρησιμοποιηθεί ή καταναλωθεί και έχουν μεταφερθεί εκτός του τελωνειακού εδάφους της Ένωσης.</w:t>
      </w:r>
    </w:p>
    <w:p w14:paraId="69634A3D" w14:textId="77777777" w:rsidR="00E0244C" w:rsidRPr="00483F7D" w:rsidRDefault="007A1FD7">
      <w:pPr>
        <w:pStyle w:val="ManualNumPar10"/>
      </w:pPr>
      <w:r w:rsidRPr="00483F7D">
        <w:t>2.</w:t>
      </w:r>
      <w:r w:rsidRPr="00483F7D">
        <w:tab/>
        <w:t>Ωστόσο, στις περιπτώσεις που αναφέρονται στην παράγραφο 1 στοιχείο ε), η τελωνειακή οφειλή θεωρείται, για τους σκοπούς του καθορισμού των κυρώσεων που επιβάλλονται στις τελωνειακές παραβάσεις, ότι δεν έχει αποσβεστεί όταν, σύμφωνα με τον παρόντα κανονισμό και σύμφωνα με το δίκαιο κράτους μέλους, ο εισαγωγικός ή εξαγωγικός δασμός ή η ύπαρξη τελωνειακής οφειλής αποτελούν τη βάση για τον καθορισμό κυρώσεων.</w:t>
      </w:r>
    </w:p>
    <w:p w14:paraId="2123E6AC" w14:textId="77777777" w:rsidR="00E0244C" w:rsidRPr="00483F7D" w:rsidRDefault="007A1FD7">
      <w:pPr>
        <w:pStyle w:val="ManualNumPar10"/>
      </w:pPr>
      <w:r w:rsidRPr="00483F7D">
        <w:t>3.</w:t>
      </w:r>
      <w:r w:rsidRPr="00483F7D">
        <w:tab/>
        <w:t>Όταν, σύμφωνα με την παράγραφο 1 στοιχείο ζ), η οφειλή αποσβεστεί για εμπορεύματα που έχουν τεθεί σε ελεύθερη κυκλοφορία με απαλλαγή από τον εισαγωγικό δασμό, ή με μειωμένο συντελεστή εισαγωγικού δασμού λόγω του ειδικού τους προορισμού, τυχόν απορρίμματα και θραύσματα που προκύπτουν από την καταστροφή τους θεωρούνται μη ενωσιακά εμπορεύματα.</w:t>
      </w:r>
    </w:p>
    <w:p w14:paraId="79550629" w14:textId="77777777" w:rsidR="00E0244C" w:rsidRPr="00483F7D" w:rsidRDefault="007A1FD7">
      <w:pPr>
        <w:pStyle w:val="ManualNumPar10"/>
      </w:pPr>
      <w:r w:rsidRPr="00483F7D">
        <w:t>4.</w:t>
      </w:r>
      <w:r w:rsidRPr="00483F7D">
        <w:tab/>
        <w:t>Σε περίπτωση που το ενδιαφερόμενο πρόσωπο δεν αποδεικνύει ότι η πραγματική απώλεια είναι μεγαλύτερη από εκείνη που υπολογίστηκε με την εφαρμογή του κανονικού συντελεστή για τα εν λόγω εμπορεύματα, εφαρμόζονται οι διατάξεις που ισχύουν για τους κανονικούς συντελεστές ανεπανόρθωτης απώλειας από αιτία αναγόμενη στην ίδια τη φύση των εμπορευμάτων.</w:t>
      </w:r>
    </w:p>
    <w:p w14:paraId="4DDA3D24" w14:textId="77777777" w:rsidR="00E0244C" w:rsidRPr="00483F7D" w:rsidRDefault="007A1FD7">
      <w:pPr>
        <w:pStyle w:val="ManualNumPar10"/>
      </w:pPr>
      <w:r w:rsidRPr="00483F7D">
        <w:t>5.</w:t>
      </w:r>
      <w:r w:rsidRPr="00483F7D">
        <w:tab/>
        <w:t>Σε περίπτωση που περισσότερα του ενός πρόσωπα οφείλουν την καταβολή του ποσού του εισαγωγικού ή εξαγωγικού δασμού που αντιστοιχεί στην τελωνειακή οφειλή και χορηγείται διαγραφή, η απόσβεση της τελωνειακής οφειλής αφορά μόνο το πρόσωπο ή τα πρόσωπα στα οποία έχει χορηγηθεί η διαγραφή.</w:t>
      </w:r>
    </w:p>
    <w:p w14:paraId="48687DCC" w14:textId="77777777" w:rsidR="00E0244C" w:rsidRPr="00483F7D" w:rsidRDefault="007A1FD7">
      <w:pPr>
        <w:pStyle w:val="ManualNumPar10"/>
      </w:pPr>
      <w:r w:rsidRPr="00483F7D">
        <w:t>6.</w:t>
      </w:r>
      <w:r w:rsidRPr="00483F7D">
        <w:tab/>
        <w:t>Στην περίπτωση που αναφέρεται στην παράγραφο 1 στοιχείο ια), η απόσβεση της τελωνειακής οφειλής δεν αφορά το πρόσωπο ή τα πρόσωπα που διέπραξαν απόπειρα παραπλάνησης.</w:t>
      </w:r>
    </w:p>
    <w:p w14:paraId="6BAECE47" w14:textId="77777777" w:rsidR="00E0244C" w:rsidRPr="00483F7D" w:rsidRDefault="007A1FD7">
      <w:pPr>
        <w:pStyle w:val="ManualNumPar10"/>
      </w:pPr>
      <w:r w:rsidRPr="00483F7D">
        <w:t>7.</w:t>
      </w:r>
      <w:r w:rsidRPr="00483F7D">
        <w:tab/>
        <w:t xml:space="preserve">Όταν η τελωνειακή οφειλή έχει γεννηθεί δυνάμει του άρθρου </w:t>
      </w:r>
      <w:hyperlink w:anchor="__akn_article_jGjnqv" w:tooltip="Article 161: 161">
        <w:r w:rsidRPr="00483F7D">
          <w:rPr>
            <w:rStyle w:val="Hyperlink"/>
          </w:rPr>
          <w:t>161</w:t>
        </w:r>
      </w:hyperlink>
      <w:r w:rsidRPr="00483F7D">
        <w:t>, η απόσβεσή της αφορά το πρόσωπο του οποίου η συμπεριφορά δεν ενέχει απόπειρα διάπραξης παραπλάνησης και το οποίο συνέβαλε στην καταπολέμηση της απάτης.</w:t>
      </w:r>
    </w:p>
    <w:p w14:paraId="2C2C6B76" w14:textId="77777777" w:rsidR="00E0244C" w:rsidRPr="00483F7D" w:rsidRDefault="007A1FD7">
      <w:pPr>
        <w:pStyle w:val="ManualNumPar10"/>
      </w:pPr>
      <w:r w:rsidRPr="00483F7D">
        <w:t>8.</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rPr>
            <w:rStyle w:val="Hyperlink"/>
          </w:rPr>
          <w:t>261</w:t>
        </w:r>
      </w:hyperlink>
      <w:r w:rsidRPr="00483F7D">
        <w:t>, για τη συμπλήρωση του παρόντος κανονισμού με τον καθορισμό του καταλόγου των παραλείψεων που δεν έχουν ουσιαστικές συνέπειες για την ορθή λειτουργία της προσωρινής εναπόθεσης ή του οικείου τελωνειακού καθεστώτος, όπως αναφέρεται στην παράγραφο 1 στοιχείο η) σημείο i).</w:t>
      </w:r>
    </w:p>
    <w:p w14:paraId="3F235679" w14:textId="77777777" w:rsidR="00E0244C" w:rsidRPr="00483F7D" w:rsidRDefault="007A1FD7">
      <w:pPr>
        <w:pStyle w:val="Titrearticle"/>
      </w:pPr>
      <w:r w:rsidRPr="00483F7D">
        <w:t>Άρθρο 200</w:t>
      </w:r>
    </w:p>
    <w:p w14:paraId="49B93A2C" w14:textId="77777777" w:rsidR="00E0244C" w:rsidRPr="00483F7D" w:rsidRDefault="007A1FD7">
      <w:pPr>
        <w:pStyle w:val="NormalCentered"/>
      </w:pPr>
      <w:r w:rsidRPr="00483F7D">
        <w:rPr>
          <w:b/>
        </w:rPr>
        <w:t>Εφαρμογή κυρώσεων</w:t>
      </w:r>
    </w:p>
    <w:p w14:paraId="61F97822" w14:textId="77777777" w:rsidR="00E0244C" w:rsidRPr="00483F7D" w:rsidRDefault="007A1FD7">
      <w:r w:rsidRPr="00483F7D">
        <w:t xml:space="preserve">Όταν η απόσβεση της τελωνειακής οφειλής πραγματοποιείται βάσει του άρθρου 199 παράγραφος 1 στοιχείο </w:t>
      </w:r>
      <w:hyperlink w:anchor="__akn_article_3L4kCg_PhXhBb" w:tooltip="Article 199(1), point (h): (h)">
        <w:r w:rsidRPr="00483F7D">
          <w:rPr>
            <w:rStyle w:val="Hyperlink"/>
          </w:rPr>
          <w:t>η)</w:t>
        </w:r>
      </w:hyperlink>
      <w:r w:rsidRPr="00483F7D">
        <w:t>, τα κράτη μέλη δεν εμποδίζονται να εφαρμόζουν κυρώσεις για μη συμμόρφωση με την τελωνειακή νομοθεσία.</w:t>
      </w:r>
    </w:p>
    <w:p w14:paraId="3A829B80" w14:textId="77777777" w:rsidR="00E0244C" w:rsidRPr="00483F7D" w:rsidRDefault="007A1FD7">
      <w:pPr>
        <w:pStyle w:val="ChapterTitle"/>
      </w:pPr>
      <w:bookmarkStart w:id="197" w:name="__akn_title_JyY8i7"/>
      <w:bookmarkEnd w:id="197"/>
      <w:r w:rsidRPr="00483F7D">
        <w:t xml:space="preserve">Τίτλος XI </w:t>
      </w:r>
      <w:r w:rsidRPr="00483F7D">
        <w:br/>
        <w:t>ΠΕΡΙΟΡΙΣΤΙΚΑ ΜΕΤΡΑ ΚΑΙ ΜΗΧΑΝΙΣΜΟΣ ΔΙΑΧΕΙΡΙΣΗΣ ΚΡΙΣΕΩΝ</w:t>
      </w:r>
    </w:p>
    <w:p w14:paraId="3F944D99" w14:textId="77777777" w:rsidR="00E0244C" w:rsidRPr="00483F7D" w:rsidRDefault="007A1FD7" w:rsidP="11CEB65D">
      <w:pPr>
        <w:pStyle w:val="ChapterTitle"/>
      </w:pPr>
      <w:r w:rsidRPr="00483F7D">
        <w:t xml:space="preserve">Κεφάλαιο 1 </w:t>
      </w:r>
      <w:r w:rsidRPr="00483F7D">
        <w:br/>
        <w:t>Περιοριστικά μέτρα</w:t>
      </w:r>
    </w:p>
    <w:p w14:paraId="3771C717" w14:textId="77777777" w:rsidR="003A45A1" w:rsidRPr="00483F7D" w:rsidRDefault="003A45A1" w:rsidP="5DA9B26A">
      <w:pPr>
        <w:pStyle w:val="Titrearticle"/>
      </w:pPr>
      <w:r w:rsidRPr="00483F7D">
        <w:t>Άρθρο 201</w:t>
      </w:r>
    </w:p>
    <w:p w14:paraId="22EF9566" w14:textId="77777777" w:rsidR="000FE2F9" w:rsidRPr="00483F7D" w:rsidRDefault="5CCE3E7A" w:rsidP="0031659F">
      <w:pPr>
        <w:pStyle w:val="NormalCentered"/>
        <w:rPr>
          <w:b/>
          <w:bCs/>
        </w:rPr>
      </w:pPr>
      <w:r w:rsidRPr="00483F7D">
        <w:rPr>
          <w:b/>
        </w:rPr>
        <w:t>Ρόλος της Τελωνειακής Αρχής της ΕΕ και των τελωνειακών αρχών</w:t>
      </w:r>
    </w:p>
    <w:p w14:paraId="5C432DF0" w14:textId="77777777" w:rsidR="00D5776B" w:rsidRPr="00483F7D" w:rsidRDefault="4A4FD690" w:rsidP="00CF7E35">
      <w:pPr>
        <w:pStyle w:val="NumPar1"/>
        <w:numPr>
          <w:ilvl w:val="0"/>
          <w:numId w:val="5"/>
        </w:numPr>
      </w:pPr>
      <w:r w:rsidRPr="00483F7D">
        <w:t>Η Τελωνειακή αρχή της ΕΕ συμβάλλει στην ορθή εφαρμογή των περιοριστικών μέτρων που θεσπίζονται σύμφωνα με το άρθρο 215 της ΣΛΕΕ, παρακολουθώντας την εφαρμογή τους στους τομείς που εμπίπτουν στην αρμοδιότητά της και, με την επιφύλαξη της επανεξέτασης και της έγκρισης της Επιτροπής, παρέχοντας κατάλληλη καθοδήγηση στις τελωνειακές αρχές.</w:t>
      </w:r>
    </w:p>
    <w:p w14:paraId="18463FC2" w14:textId="77777777" w:rsidR="008B7991" w:rsidRPr="00483F7D" w:rsidRDefault="008838BB" w:rsidP="00B62B15">
      <w:pPr>
        <w:pStyle w:val="NumPar1"/>
      </w:pPr>
      <w:r w:rsidRPr="00483F7D">
        <w:t xml:space="preserve">Οι τελωνειακές αρχές λαμβάνουν όλα τα αναγκαία μέτρα για να συμμορφωθούν με τα περιοριστικά μέτρα, λαμβάνοντας υπόψη την καθοδήγηση της Τελωνειακής Αρχής της ΕΕ. </w:t>
      </w:r>
    </w:p>
    <w:p w14:paraId="5A08BAB6" w14:textId="77777777" w:rsidR="008B7991" w:rsidRPr="00483F7D" w:rsidRDefault="008B7991" w:rsidP="008D0EC4">
      <w:pPr>
        <w:pStyle w:val="Titrearticle"/>
      </w:pPr>
      <w:r w:rsidRPr="00483F7D">
        <w:t>Άρθρο 202</w:t>
      </w:r>
    </w:p>
    <w:p w14:paraId="1BEFABAA" w14:textId="77777777" w:rsidR="008B7991" w:rsidRPr="00483F7D" w:rsidRDefault="7A20057C" w:rsidP="00536042">
      <w:pPr>
        <w:pStyle w:val="NormalCentered"/>
        <w:rPr>
          <w:szCs w:val="24"/>
        </w:rPr>
      </w:pPr>
      <w:r w:rsidRPr="00483F7D">
        <w:rPr>
          <w:b/>
        </w:rPr>
        <w:t>Υποβολή εκθέσεων</w:t>
      </w:r>
      <w:r w:rsidRPr="00483F7D">
        <w:t xml:space="preserve"> </w:t>
      </w:r>
    </w:p>
    <w:p w14:paraId="5499608A" w14:textId="77777777" w:rsidR="008B7991" w:rsidRPr="00483F7D" w:rsidDel="478749F2" w:rsidRDefault="7A20057C" w:rsidP="00CF7E35">
      <w:pPr>
        <w:pStyle w:val="NumPar1"/>
        <w:numPr>
          <w:ilvl w:val="0"/>
          <w:numId w:val="6"/>
        </w:numPr>
      </w:pPr>
      <w:r w:rsidRPr="00483F7D">
        <w:t>Η Τελωνειακή Αρχή της ΕΕ υποβάλλει τακτικά και όποτε είναι αναγκαίο έκθεση στην Επιτροπή σχετικά με την εφαρμογή των περιοριστικών μέτρων από τις τελωνειακές αρχές και στην περίπτωση τυχόν παραβίασης των εν λόγω μέτρων.</w:t>
      </w:r>
    </w:p>
    <w:p w14:paraId="1B19686D" w14:textId="77777777" w:rsidR="008B7991" w:rsidRPr="00483F7D" w:rsidRDefault="478749F2" w:rsidP="00B62B15">
      <w:pPr>
        <w:pStyle w:val="NumPar1"/>
      </w:pPr>
      <w:r w:rsidRPr="00483F7D">
        <w:t xml:space="preserve">Οι τελωνειακές αρχές ενημερώνουν την Τελωνειακή Αρχή της ΕΕ, την Επιτροπή και τις εθνικές αρχές των κρατών μελών που είναι αρμόδιες για την εφαρμογή των κυρώσεων σχετικά με κάθε υπόνοια και περίπτωση καταστρατήγησης των περιοριστικών μέτρων και των μέτρων μετριασμού τους εν προκειμένω. </w:t>
      </w:r>
    </w:p>
    <w:p w14:paraId="38C7CC5B" w14:textId="77777777" w:rsidR="00E0244C" w:rsidRPr="00483F7D" w:rsidRDefault="007A1FD7">
      <w:pPr>
        <w:pStyle w:val="ChapterTitle"/>
      </w:pPr>
      <w:r w:rsidRPr="00483F7D">
        <w:t xml:space="preserve">Κεφάλαιο 2 </w:t>
      </w:r>
      <w:r w:rsidRPr="00483F7D">
        <w:br/>
        <w:t>Μηχανισμός διαχείρισης κρίσεων</w:t>
      </w:r>
    </w:p>
    <w:p w14:paraId="63F77FB8" w14:textId="77777777" w:rsidR="00E0244C" w:rsidRPr="00483F7D" w:rsidRDefault="007A1FD7">
      <w:pPr>
        <w:pStyle w:val="Titrearticle"/>
      </w:pPr>
      <w:r w:rsidRPr="00483F7D">
        <w:t>Άρθρο 203</w:t>
      </w:r>
    </w:p>
    <w:p w14:paraId="28EBACAF" w14:textId="77777777" w:rsidR="00E0244C" w:rsidRPr="00483F7D" w:rsidRDefault="007A1FD7">
      <w:pPr>
        <w:pStyle w:val="NormalCentered"/>
      </w:pPr>
      <w:r w:rsidRPr="00483F7D">
        <w:rPr>
          <w:b/>
        </w:rPr>
        <w:t>Κατάρτιση πρωτοκόλλων και διαδικασιών</w:t>
      </w:r>
    </w:p>
    <w:p w14:paraId="744C6C32" w14:textId="77777777" w:rsidR="00D67C49" w:rsidRPr="00483F7D" w:rsidRDefault="007A1FD7" w:rsidP="00CF7E35">
      <w:pPr>
        <w:pStyle w:val="NumPar1"/>
        <w:numPr>
          <w:ilvl w:val="0"/>
          <w:numId w:val="7"/>
        </w:numPr>
      </w:pPr>
      <w:r w:rsidRPr="00483F7D">
        <w:t>Η Τελωνειακή Αρχή της ΕΕ καταρτίζει διαδικασίες και πρωτόκολλα που είναι δυνατό να ενεργοποιηθούν σύμφωνα με το άρθρο 204 παράγραφος 1 σε περίπτωση:</w:t>
      </w:r>
    </w:p>
    <w:p w14:paraId="32DFA3F7" w14:textId="584A1DC2" w:rsidR="00D67C49" w:rsidRPr="00483F7D" w:rsidRDefault="00BC60FC" w:rsidP="00BC60FC">
      <w:pPr>
        <w:pStyle w:val="Point1"/>
      </w:pPr>
      <w:r w:rsidRPr="00483F7D">
        <w:t>α)</w:t>
      </w:r>
      <w:r w:rsidRPr="00483F7D">
        <w:tab/>
      </w:r>
      <w:r w:rsidR="00D67C49" w:rsidRPr="00483F7D">
        <w:t xml:space="preserve">κρίσης στα σύνορα ενός ή περισσότερων κρατών μελών που έχει αντίκτυπο στις τελωνειακές διαδικασίες· </w:t>
      </w:r>
    </w:p>
    <w:p w14:paraId="48A2007D" w14:textId="39F3E0EC" w:rsidR="00D67C49" w:rsidRPr="00483F7D" w:rsidRDefault="00BC60FC" w:rsidP="00BC60FC">
      <w:pPr>
        <w:pStyle w:val="Point1"/>
      </w:pPr>
      <w:r w:rsidRPr="00483F7D">
        <w:t>β)</w:t>
      </w:r>
      <w:r w:rsidRPr="00483F7D">
        <w:tab/>
      </w:r>
      <w:r w:rsidR="003335A9" w:rsidRPr="00483F7D">
        <w:t xml:space="preserve">κρίσης σε άλλον τομέα που απαιτεί την ανάληψη δράσης από τις τελωνειακές αρχές σε συνεργασία με τις αρμόδιες αρχές· </w:t>
      </w:r>
    </w:p>
    <w:p w14:paraId="09F99960" w14:textId="3D07B32B" w:rsidR="003335A9" w:rsidRPr="00483F7D" w:rsidRDefault="00BC60FC" w:rsidP="00BC60FC">
      <w:pPr>
        <w:pStyle w:val="Point1"/>
      </w:pPr>
      <w:r w:rsidRPr="00483F7D">
        <w:t>γ)</w:t>
      </w:r>
      <w:r w:rsidRPr="00483F7D">
        <w:tab/>
      </w:r>
      <w:r w:rsidR="007A1FD7" w:rsidRPr="00483F7D">
        <w:t>με σκοπό την εξασφάλιση ταχείας, αποτελεσματικής και αναλογικής αντίδρασης στη συγκεκριμένη κατάσταση.</w:t>
      </w:r>
    </w:p>
    <w:p w14:paraId="477DA2CF" w14:textId="77777777" w:rsidR="00D92F82" w:rsidRPr="00483F7D" w:rsidRDefault="007A1FD7" w:rsidP="00B62B15">
      <w:pPr>
        <w:pStyle w:val="NumPar1"/>
      </w:pPr>
      <w:r w:rsidRPr="00483F7D">
        <w:t xml:space="preserve">Τα πρωτόκολλα και οι διαδικασίες μπορούν να καλύπτουν ειδικότερα: </w:t>
      </w:r>
    </w:p>
    <w:p w14:paraId="39DBBC1C" w14:textId="6D5D4C3F" w:rsidR="00D92F82" w:rsidRPr="00483F7D" w:rsidRDefault="00BC60FC" w:rsidP="00BC60FC">
      <w:pPr>
        <w:pStyle w:val="Point1"/>
      </w:pPr>
      <w:r w:rsidRPr="00483F7D">
        <w:t>α)</w:t>
      </w:r>
      <w:r w:rsidRPr="00483F7D">
        <w:tab/>
      </w:r>
      <w:r w:rsidR="00D5776B" w:rsidRPr="00483F7D">
        <w:t xml:space="preserve">την εφαρμογή κοινών κριτηρίων κινδύνου, κοινών τομέων ελέγχου προτεραιότητας και προφίλ κινδύνου, κατάλληλων μέτρων μετριασμού και τελωνειακών ελέγχων· </w:t>
      </w:r>
    </w:p>
    <w:p w14:paraId="3DCC6101" w14:textId="77417A6D" w:rsidR="00D92F82" w:rsidRPr="00483F7D" w:rsidRDefault="00BC60FC" w:rsidP="00BC60FC">
      <w:pPr>
        <w:pStyle w:val="Point1"/>
      </w:pPr>
      <w:r w:rsidRPr="00483F7D">
        <w:t>β)</w:t>
      </w:r>
      <w:r w:rsidRPr="00483F7D">
        <w:tab/>
      </w:r>
      <w:r w:rsidR="00D5776B" w:rsidRPr="00483F7D">
        <w:t>πλαίσιο συνεργασίας που καθιστά δυνατή την προσωρινή διάθεση τελωνειακών υπαλλήλων και εξοπλισμού τελωνειακών ελέγχων από ένα κράτος μέλος σε άλλο.</w:t>
      </w:r>
    </w:p>
    <w:p w14:paraId="64B22D3E" w14:textId="77777777" w:rsidR="00E0244C" w:rsidRPr="00483F7D" w:rsidRDefault="007A1FD7">
      <w:pPr>
        <w:pStyle w:val="Titrearticle"/>
      </w:pPr>
      <w:r w:rsidRPr="00483F7D">
        <w:t>Άρθρο 204</w:t>
      </w:r>
    </w:p>
    <w:p w14:paraId="227E811C" w14:textId="77777777" w:rsidR="00E0244C" w:rsidRPr="00483F7D" w:rsidRDefault="007B6A73">
      <w:pPr>
        <w:pStyle w:val="NormalCentered"/>
      </w:pPr>
      <w:r w:rsidRPr="00483F7D">
        <w:rPr>
          <w:b/>
        </w:rPr>
        <w:t>Ενεργοποίηση του μηχανισμού διαχείρισης κρίσεων</w:t>
      </w:r>
    </w:p>
    <w:p w14:paraId="6A2BE3FD" w14:textId="77777777" w:rsidR="00E0244C" w:rsidRPr="00483F7D" w:rsidRDefault="007A1FD7">
      <w:pPr>
        <w:pStyle w:val="ManualNumPar10"/>
      </w:pPr>
      <w:r w:rsidRPr="00483F7D">
        <w:t>1.</w:t>
      </w:r>
      <w:r w:rsidRPr="00483F7D">
        <w:tab/>
        <w:t>Η Επιτροπή, με δική της πρωτοβουλία ή βάσει αιτήματος ενός ή περισσότερων κρατών μελών ή της Τελωνειακής Αρχής της ΕΕ, μπορεί να εκδώσει εκτελεστική πράξη, σύμφωνα με τη διαδικασία εξέτασης που αναφέρεται στο άρθρο 262 παράγραφοι 4 και 5 του παρόντος κανονισμού, λαμβάνοντας υπόψη τα πρωτόκολλα και τις διαδικασίες που αναφέρονται στο άρθρο 203, τα κατάλληλα και αναγκαία μέτρα και ρυθμίσεις που θα πρέπει να εφαρμόζονται για την αντιμετώπιση μιας κατάστασης κρίσης ή για τον μετριασμό των αρνητικών της επιπτώσεων.</w:t>
      </w:r>
    </w:p>
    <w:p w14:paraId="30D6526E" w14:textId="77777777" w:rsidR="00E0244C" w:rsidRPr="00483F7D" w:rsidRDefault="007A1FD7">
      <w:pPr>
        <w:pStyle w:val="ManualNumPar10"/>
      </w:pPr>
      <w:r w:rsidRPr="00483F7D">
        <w:t>2.</w:t>
      </w:r>
      <w:r w:rsidRPr="00483F7D">
        <w:tab/>
        <w:t>Η Τελωνειακή Αρχή της ΕΕ συντονίζει και επιβλέπει την εφαρμογή και την υλοποίηση των κατάλληλων μέτρων και ρυθμίσεων από τις τελωνειακές αρχές και υποβάλλει έκθεση σχετικά με τα αποτελέσματα της εν λόγω υλοποίησης στην Επιτροπή.</w:t>
      </w:r>
    </w:p>
    <w:p w14:paraId="2925008E" w14:textId="77777777" w:rsidR="00E0244C" w:rsidRPr="00483F7D" w:rsidRDefault="007A1FD7">
      <w:pPr>
        <w:pStyle w:val="ManualNumPar10"/>
      </w:pPr>
      <w:r w:rsidRPr="00483F7D">
        <w:t>3.</w:t>
      </w:r>
      <w:r w:rsidRPr="00483F7D">
        <w:tab/>
        <w:t>Η Τελωνειακή Αρχή της ΕΕ συγκροτεί μονάδα αντιμετώπισης κρίσεων η οποία είναι μόνιμα διαθέσιμη καθ’ όλη τη διάρκεια της κρίσης.</w:t>
      </w:r>
    </w:p>
    <w:p w14:paraId="0B932314" w14:textId="77777777" w:rsidR="00E0244C" w:rsidRPr="00483F7D" w:rsidRDefault="007A1FD7" w:rsidP="00F33EC7">
      <w:pPr>
        <w:pStyle w:val="ManualNumPar10"/>
      </w:pPr>
      <w:r w:rsidRPr="00483F7D">
        <w:t>4.</w:t>
      </w:r>
      <w:r w:rsidRPr="00483F7D">
        <w:tab/>
        <w:t xml:space="preserve">Οι τελωνειακές αρχές υλοποιούν και εφαρμόζουν τα μέτρα και τις ρυθμίσεις που θεσπίζονται σύμφωνα με το παρόν άρθρο και υποβάλλουν έκθεση στην Τελωνειακή Αρχή της ΕΕ σχετικά με την υλοποίηση και την εφαρμογή τους. </w:t>
      </w:r>
    </w:p>
    <w:p w14:paraId="26B5616D" w14:textId="77777777" w:rsidR="00E0244C" w:rsidRPr="00483F7D" w:rsidRDefault="007A1FD7">
      <w:pPr>
        <w:pStyle w:val="ChapterTitle"/>
      </w:pPr>
      <w:bookmarkStart w:id="198" w:name="__akn_title_BYsUlO"/>
      <w:bookmarkEnd w:id="198"/>
      <w:r w:rsidRPr="00483F7D">
        <w:t xml:space="preserve">Τίτλος XII </w:t>
      </w:r>
      <w:r w:rsidRPr="00483F7D">
        <w:br/>
        <w:t>Η ΤΕΛΩΝΕΙΑΚΗ ΑΡΧΗ ΤΗΣ ΕΥΡΩΠΑΪΚΗΣ ΕΝΩΣΗΣ</w:t>
      </w:r>
    </w:p>
    <w:p w14:paraId="17675E0E" w14:textId="77777777" w:rsidR="00E0244C" w:rsidRPr="00483F7D" w:rsidRDefault="007A1FD7">
      <w:pPr>
        <w:pStyle w:val="ChapterTitle"/>
      </w:pPr>
      <w:r w:rsidRPr="00483F7D">
        <w:t xml:space="preserve">Κεφάλαιο 1 </w:t>
      </w:r>
      <w:r w:rsidRPr="00483F7D">
        <w:br/>
        <w:t>Αρχές</w:t>
      </w:r>
    </w:p>
    <w:p w14:paraId="738FEF30" w14:textId="77777777" w:rsidR="00E0244C" w:rsidRPr="00483F7D" w:rsidRDefault="007A1FD7">
      <w:pPr>
        <w:pStyle w:val="Titrearticle"/>
      </w:pPr>
      <w:r w:rsidRPr="00483F7D">
        <w:t>Άρθρο 205</w:t>
      </w:r>
    </w:p>
    <w:p w14:paraId="73D7F5CD" w14:textId="77777777" w:rsidR="00E0244C" w:rsidRPr="00483F7D" w:rsidRDefault="007A1FD7">
      <w:pPr>
        <w:pStyle w:val="NormalCentered"/>
      </w:pPr>
      <w:r w:rsidRPr="00483F7D">
        <w:rPr>
          <w:b/>
        </w:rPr>
        <w:t>Νομικό καθεστώς</w:t>
      </w:r>
    </w:p>
    <w:p w14:paraId="3EFDB2EF" w14:textId="77777777" w:rsidR="00E0244C" w:rsidRPr="00483F7D" w:rsidRDefault="007A1FD7">
      <w:pPr>
        <w:pStyle w:val="ManualNumPar10"/>
      </w:pPr>
      <w:r w:rsidRPr="00483F7D">
        <w:t>1.</w:t>
      </w:r>
      <w:r w:rsidRPr="00483F7D">
        <w:tab/>
        <w:t>Η Τελωνειακή Αρχή της ΕΕ είναι όργανο της Ένωσης και διαθέτει νομική προσωπικότητα.</w:t>
      </w:r>
    </w:p>
    <w:p w14:paraId="25C63F3C" w14:textId="77777777" w:rsidR="00E0244C" w:rsidRPr="00483F7D" w:rsidRDefault="007A1FD7">
      <w:pPr>
        <w:pStyle w:val="ManualNumPar10"/>
      </w:pPr>
      <w:r w:rsidRPr="00483F7D">
        <w:t>2.</w:t>
      </w:r>
      <w:r w:rsidRPr="00483F7D">
        <w:tab/>
        <w:t>Σε καθένα από τα κράτη μέλη, η Τελωνειακή Αρχή της ΕΕ διαθέτει την ευρύτερη δυνατή δικαιοπρακτική ικανότητα που αναγνωρίζεται σε νομικά πρόσωπα βάσει της εθνικής νομοθεσίας τους. Μπορεί, ειδικότερα, να αποκτά ή να διαθέτει κινητή και ακίνητη περιουσία και να παρίσταται ενώπιον δικαστηρίου.</w:t>
      </w:r>
    </w:p>
    <w:p w14:paraId="4174B46B" w14:textId="77777777" w:rsidR="00E0244C" w:rsidRPr="00483F7D" w:rsidRDefault="007A1FD7">
      <w:pPr>
        <w:pStyle w:val="ManualNumPar10"/>
      </w:pPr>
      <w:r w:rsidRPr="00483F7D">
        <w:t>3.</w:t>
      </w:r>
      <w:r w:rsidRPr="00483F7D">
        <w:tab/>
        <w:t>Η Τελωνειακή Αρχή της ΕΕ εκπροσωπείται από τον/την εκτελεστικό/-ή της διευθυντή/-ρια.</w:t>
      </w:r>
    </w:p>
    <w:p w14:paraId="353A3B9F" w14:textId="77777777" w:rsidR="00E0244C" w:rsidRPr="00483F7D" w:rsidRDefault="007A1FD7">
      <w:pPr>
        <w:pStyle w:val="Titrearticle"/>
      </w:pPr>
      <w:r w:rsidRPr="00483F7D">
        <w:t>Άρθρο 206</w:t>
      </w:r>
    </w:p>
    <w:p w14:paraId="160E18EF" w14:textId="77777777" w:rsidR="00E0244C" w:rsidRPr="00483F7D" w:rsidRDefault="007A1FD7">
      <w:pPr>
        <w:pStyle w:val="NormalCentered"/>
      </w:pPr>
      <w:r w:rsidRPr="00483F7D">
        <w:rPr>
          <w:b/>
        </w:rPr>
        <w:t>Έδρα</w:t>
      </w:r>
    </w:p>
    <w:p w14:paraId="35DF37F4" w14:textId="77777777" w:rsidR="00E0244C" w:rsidRPr="00483F7D" w:rsidRDefault="007A1FD7">
      <w:r w:rsidRPr="00483F7D">
        <w:t>Η έδρα της Τελωνειακής Αρχής της ΕΕ είναι [...].</w:t>
      </w:r>
    </w:p>
    <w:p w14:paraId="4F726F25" w14:textId="77777777" w:rsidR="00E0244C" w:rsidRPr="00483F7D" w:rsidRDefault="007A1FD7">
      <w:pPr>
        <w:pStyle w:val="Titrearticle"/>
      </w:pPr>
      <w:r w:rsidRPr="00483F7D">
        <w:t>Άρθρο 207</w:t>
      </w:r>
    </w:p>
    <w:p w14:paraId="741EC0AB" w14:textId="77777777" w:rsidR="00E0244C" w:rsidRPr="00483F7D" w:rsidRDefault="007A1FD7">
      <w:pPr>
        <w:pStyle w:val="NormalCentered"/>
      </w:pPr>
      <w:r w:rsidRPr="00483F7D">
        <w:rPr>
          <w:b/>
        </w:rPr>
        <w:t>Αποστολή και στόχοι της Τελωνειακής Αρχής της ΕΕ</w:t>
      </w:r>
    </w:p>
    <w:p w14:paraId="5AD26558" w14:textId="77777777" w:rsidR="00E0244C" w:rsidRPr="00483F7D" w:rsidRDefault="007A1FD7">
      <w:pPr>
        <w:pStyle w:val="ManualNumPar10"/>
      </w:pPr>
      <w:r w:rsidRPr="00483F7D">
        <w:t>1.</w:t>
      </w:r>
      <w:r w:rsidRPr="00483F7D">
        <w:tab/>
        <w:t xml:space="preserve">Η Τελωνειακή Αρχή της ΕΕ συμβάλλει στην επίτευξη της αποστολής των τελωνειακών αρχών, όπως ορίζεται στο άρθρο </w:t>
      </w:r>
      <w:hyperlink w:anchor="__akn_article_lz6gSh" w:tooltip="Article 2: 2">
        <w:r w:rsidRPr="00483F7D">
          <w:rPr>
            <w:rStyle w:val="Hyperlink"/>
          </w:rPr>
          <w:t>2</w:t>
        </w:r>
      </w:hyperlink>
      <w:r w:rsidRPr="00483F7D">
        <w:t>.</w:t>
      </w:r>
    </w:p>
    <w:p w14:paraId="5486B94F" w14:textId="77777777" w:rsidR="00E0244C" w:rsidRPr="00483F7D" w:rsidRDefault="007A1FD7">
      <w:pPr>
        <w:pStyle w:val="ManualNumPar10"/>
      </w:pPr>
      <w:r w:rsidRPr="00483F7D">
        <w:t>2.</w:t>
      </w:r>
      <w:r w:rsidRPr="00483F7D">
        <w:tab/>
        <w:t>Με την επιφύλαξη των αντίστοιχων αρμοδιοτήτων της Επιτροπής, της OLAF και των κρατών μελών, η Τελωνειακή Αρχή της ΕΕ επιδιώκει τους ακόλουθους στόχους:</w:t>
      </w:r>
    </w:p>
    <w:p w14:paraId="4F7FEB75" w14:textId="0F621DA0" w:rsidR="00E0244C" w:rsidRPr="00483F7D" w:rsidRDefault="00BC60FC" w:rsidP="00BC60FC">
      <w:pPr>
        <w:pStyle w:val="Point1"/>
      </w:pPr>
      <w:r w:rsidRPr="00483F7D">
        <w:t>α)</w:t>
      </w:r>
      <w:r w:rsidRPr="00483F7D">
        <w:tab/>
      </w:r>
      <w:r w:rsidR="002E4E78" w:rsidRPr="00483F7D">
        <w:t>η Τελωνειακή Αρχή της ΕΕ συμβάλλει στην επιχειρησιακή διαχείριση της τελωνειακής ένωσης και, ως εκ τούτου, συντονίζει και επιβλέπει την επιχειρησιακή συνεργασία μεταξύ των τελωνειακών αρχών και συγκεντρώνει και παρέχει τεχνική εμπειρογνωσία για την αύξηση της αποδοτικότητας και της επίτευξης αποτελεσμάτων·</w:t>
      </w:r>
    </w:p>
    <w:p w14:paraId="7978C696" w14:textId="64221637" w:rsidR="00E0244C" w:rsidRPr="00483F7D" w:rsidRDefault="00BC60FC" w:rsidP="00BC60FC">
      <w:pPr>
        <w:pStyle w:val="Point1"/>
      </w:pPr>
      <w:r w:rsidRPr="00483F7D">
        <w:t>β)</w:t>
      </w:r>
      <w:r w:rsidRPr="00483F7D">
        <w:tab/>
      </w:r>
      <w:r w:rsidR="002E4E78" w:rsidRPr="00483F7D">
        <w:t>η Τελωνειακή Αρχή της ΕΕ αναπτύσσει, λειτουργεί και διατηρεί τεχνολογίες πληροφοριών για την εφαρμογή των διαδικασιών που προβλέπονται στον παρόντα κανονισμό και συμβάλλει στη βέλτιστη χρήση των διαθέσιμων δεδομένων για σκοπούς τελωνειακής επιτήρησης, ελέγχου και διαχείρισης κινδύνων·</w:t>
      </w:r>
    </w:p>
    <w:p w14:paraId="29675597" w14:textId="2E4536D5" w:rsidR="00E0244C" w:rsidRPr="00483F7D" w:rsidRDefault="00BC60FC" w:rsidP="00BC60FC">
      <w:pPr>
        <w:pStyle w:val="Point1"/>
      </w:pPr>
      <w:r w:rsidRPr="00483F7D">
        <w:t>γ)</w:t>
      </w:r>
      <w:r w:rsidRPr="00483F7D">
        <w:tab/>
      </w:r>
      <w:r w:rsidR="002E4E78" w:rsidRPr="00483F7D">
        <w:t>η Τελωνειακή Αρχή της ΕΕ υποστηρίζει τις τελωνειακές αρχές στην επίτευξη ενιαίας εφαρμογής της τελωνειακής νομοθεσίας, ιδίως με σκοπό να διασφαλιστεί ότι οι τελωνειακοί έλεγχοι και η διαχείριση κινδύνων διενεργούνται με εναρμονισμένο τρόπο·</w:t>
      </w:r>
    </w:p>
    <w:p w14:paraId="7C4B4750" w14:textId="38B2A24F" w:rsidR="00E0244C" w:rsidRPr="00483F7D" w:rsidRDefault="00BC60FC" w:rsidP="00BC60FC">
      <w:pPr>
        <w:pStyle w:val="Point1"/>
      </w:pPr>
      <w:r w:rsidRPr="00483F7D">
        <w:t>δ)</w:t>
      </w:r>
      <w:r w:rsidRPr="00483F7D">
        <w:tab/>
      </w:r>
      <w:r w:rsidR="002E4E78" w:rsidRPr="00483F7D">
        <w:t>η Τελωνειακή Αρχή της ΕΕ συμβάλλει στην επιβολή της λοιπής ενωσιακής νομοθεσίας που εφαρμόζεται από τις τελωνειακές αρχές.</w:t>
      </w:r>
    </w:p>
    <w:p w14:paraId="6EFBB083" w14:textId="77777777" w:rsidR="00E0244C" w:rsidRPr="00483F7D" w:rsidRDefault="007A1FD7">
      <w:pPr>
        <w:pStyle w:val="ChapterTitle"/>
      </w:pPr>
      <w:bookmarkStart w:id="199" w:name="__akn_chapter_gNRJ6z"/>
      <w:bookmarkEnd w:id="199"/>
      <w:r w:rsidRPr="00483F7D">
        <w:t xml:space="preserve">Κεφάλαιο 2 </w:t>
      </w:r>
      <w:r w:rsidRPr="00483F7D">
        <w:br/>
        <w:t>Καθήκοντα</w:t>
      </w:r>
    </w:p>
    <w:p w14:paraId="48AF7385" w14:textId="77777777" w:rsidR="00E0244C" w:rsidRPr="00483F7D" w:rsidRDefault="007A1FD7">
      <w:pPr>
        <w:pStyle w:val="Titrearticle"/>
      </w:pPr>
      <w:bookmarkStart w:id="200" w:name="__akn_article_Z1ESNs"/>
      <w:bookmarkEnd w:id="200"/>
      <w:r w:rsidRPr="00483F7D">
        <w:t>Άρθρο 208</w:t>
      </w:r>
    </w:p>
    <w:p w14:paraId="0DEF9EBE" w14:textId="77777777" w:rsidR="00E0244C" w:rsidRPr="00483F7D" w:rsidRDefault="007A1FD7">
      <w:pPr>
        <w:pStyle w:val="NormalCentered"/>
      </w:pPr>
      <w:r w:rsidRPr="00483F7D">
        <w:rPr>
          <w:b/>
        </w:rPr>
        <w:t>Βασικά καθήκοντα</w:t>
      </w:r>
    </w:p>
    <w:p w14:paraId="3CA9A84E" w14:textId="77777777" w:rsidR="00E0244C" w:rsidRPr="00483F7D" w:rsidRDefault="007A1FD7">
      <w:pPr>
        <w:pStyle w:val="ManualNumPar10"/>
      </w:pPr>
      <w:r w:rsidRPr="00483F7D">
        <w:t>1.</w:t>
      </w:r>
      <w:r w:rsidRPr="00483F7D">
        <w:tab/>
        <w:t xml:space="preserve">Η Τελωνειακή Αρχή της ΕΕ εκτελεί καθήκοντα διαχείρισης κινδύνων, σύμφωνα με τον τίτλο IV κεφάλαιο </w:t>
      </w:r>
      <w:hyperlink w:anchor="__akn_chapter_7bAibc" w:tooltip="Title IV, Chapter 3: 3">
        <w:r w:rsidRPr="00483F7D">
          <w:rPr>
            <w:rStyle w:val="Hyperlink"/>
          </w:rPr>
          <w:t>3</w:t>
        </w:r>
      </w:hyperlink>
      <w:r w:rsidRPr="00483F7D">
        <w:t>.</w:t>
      </w:r>
    </w:p>
    <w:p w14:paraId="53AA848A" w14:textId="77777777" w:rsidR="00E0244C" w:rsidRPr="00483F7D" w:rsidRDefault="007A1FD7">
      <w:pPr>
        <w:pStyle w:val="ManualNumPar10"/>
      </w:pPr>
      <w:r w:rsidRPr="00483F7D">
        <w:t>2.</w:t>
      </w:r>
      <w:r w:rsidRPr="00483F7D">
        <w:tab/>
        <w:t xml:space="preserve">Η Τελωνειακή Αρχή της ΕΕ εκτελεί καθήκοντα σε σχέση με τα περιοριστικά μέτρα και τον μηχανισμό διαχείρισης κρίσεων σύμφωνα με τον τίτλο </w:t>
      </w:r>
      <w:hyperlink w:anchor="__akn_title_JyY8i7" w:tooltip="Title XI: XI">
        <w:r w:rsidRPr="00483F7D">
          <w:t>XI</w:t>
        </w:r>
      </w:hyperlink>
      <w:r w:rsidRPr="00483F7D">
        <w:t>.</w:t>
      </w:r>
    </w:p>
    <w:p w14:paraId="4FAB718E" w14:textId="77777777" w:rsidR="00E0244C" w:rsidRPr="00483F7D" w:rsidRDefault="007A1FD7">
      <w:pPr>
        <w:pStyle w:val="ManualNumPar10"/>
      </w:pPr>
      <w:r w:rsidRPr="00483F7D">
        <w:t>3.</w:t>
      </w:r>
      <w:r w:rsidRPr="00483F7D">
        <w:tab/>
        <w:t>Η Τελωνειακή Αρχή της ΕΕ εκτελεί δραστηριότητες ανάπτυξης ικανοτήτων και παρέχει επιχειρησιακή υποστήριξη και συντονισμό στις τελωνειακές αρχές. Ειδικότερα:</w:t>
      </w:r>
    </w:p>
    <w:p w14:paraId="7F30431A" w14:textId="0D2E73BA" w:rsidR="00E0244C" w:rsidRPr="00483F7D" w:rsidRDefault="00BC60FC" w:rsidP="00BC60FC">
      <w:pPr>
        <w:pStyle w:val="Point1"/>
      </w:pPr>
      <w:r w:rsidRPr="00483F7D">
        <w:t>α)</w:t>
      </w:r>
      <w:r w:rsidRPr="00483F7D">
        <w:tab/>
      </w:r>
      <w:r w:rsidR="00C32B54" w:rsidRPr="00483F7D">
        <w:t>διενεργεί διάγνωση και παρακολούθηση των συνοριακών σημείων διέλευσης και άλλων σημείων ελέγχου, αναπτύσσει κοινά πρότυπα και εκδίδει συστάσεις για βέλτιστες πρακτικές·</w:t>
      </w:r>
    </w:p>
    <w:p w14:paraId="798B3993" w14:textId="463D27A4" w:rsidR="00E0244C" w:rsidRPr="00483F7D" w:rsidRDefault="00BC60FC" w:rsidP="00BC60FC">
      <w:pPr>
        <w:pStyle w:val="Point1"/>
      </w:pPr>
      <w:r w:rsidRPr="00483F7D">
        <w:t>β)</w:t>
      </w:r>
      <w:r w:rsidRPr="00483F7D">
        <w:tab/>
      </w:r>
      <w:r w:rsidR="00C32B54" w:rsidRPr="00483F7D">
        <w:t xml:space="preserve">διενεργεί μετρήσεις επιδόσεων για την τελωνειακή ένωση και υποστηρίζει την Επιτροπή στην αξιολόγηση των επιδόσεων της τελωνειακής ένωσης, σύμφωνα με τον τίτλο XV κεφάλαιο </w:t>
      </w:r>
      <w:hyperlink w:anchor="__akn_chapter_A2mhrl" w:tooltip="Title XV, Chapter 1: 1">
        <w:r w:rsidR="00C32B54" w:rsidRPr="00483F7D">
          <w:t>1</w:t>
        </w:r>
      </w:hyperlink>
      <w:r w:rsidR="00C32B54" w:rsidRPr="00483F7D">
        <w:t>·</w:t>
      </w:r>
    </w:p>
    <w:p w14:paraId="6D2CA36D" w14:textId="4689CD2E" w:rsidR="00E0244C" w:rsidRPr="00483F7D" w:rsidRDefault="00BC60FC" w:rsidP="00BC60FC">
      <w:pPr>
        <w:pStyle w:val="Point1"/>
      </w:pPr>
      <w:r w:rsidRPr="00483F7D">
        <w:t>γ)</w:t>
      </w:r>
      <w:r w:rsidRPr="00483F7D">
        <w:tab/>
      </w:r>
      <w:r w:rsidR="00C32B54" w:rsidRPr="00483F7D">
        <w:t>προετοιμάζει το ελάχιστο κοινό περιεχόμενο κατάρτισης για τους τελωνειακούς υπαλλήλους στην Ένωση και παρακολουθεί τη χρήση του από τις τελωνειακές αρχές·</w:t>
      </w:r>
    </w:p>
    <w:p w14:paraId="64868382" w14:textId="6F41C4B5" w:rsidR="00E0244C" w:rsidRPr="00483F7D" w:rsidRDefault="00BC60FC" w:rsidP="00BC60FC">
      <w:pPr>
        <w:pStyle w:val="Point1"/>
      </w:pPr>
      <w:r w:rsidRPr="00483F7D">
        <w:t>δ)</w:t>
      </w:r>
      <w:r w:rsidRPr="00483F7D">
        <w:tab/>
      </w:r>
      <w:r w:rsidR="5BE1912F" w:rsidRPr="00483F7D">
        <w:t>συμβάλλει σε ένα ενωσιακό σύστημα αναγνώρισης για πανεπιστήμια και άλλες σχολές που προσφέρουν προγράμματα κατάρτισης και εκπαίδευσης στον τελωνειακό τομέα·</w:t>
      </w:r>
    </w:p>
    <w:p w14:paraId="176FF642" w14:textId="04EDD728" w:rsidR="00E0244C" w:rsidRPr="00483F7D" w:rsidRDefault="00BC60FC" w:rsidP="00BC60FC">
      <w:pPr>
        <w:pStyle w:val="Point1"/>
      </w:pPr>
      <w:r w:rsidRPr="00483F7D">
        <w:t>ε)</w:t>
      </w:r>
      <w:r w:rsidRPr="00483F7D">
        <w:tab/>
      </w:r>
      <w:r w:rsidR="00C32B54" w:rsidRPr="00483F7D">
        <w:t>συντονίζει και υποστηρίζει τη δημιουργία από τα κράτη μέλη εξειδικευμένων κέντρων αριστείας για ενωσιακούς σκοπούς σε σχετικούς τελωνειακούς τομείς, ιδίως όσον αφορά την κατάρτιση και τα τελωνειακά εργαστήρια·</w:t>
      </w:r>
    </w:p>
    <w:p w14:paraId="3D470843" w14:textId="5E4C1C33" w:rsidR="00E0244C" w:rsidRPr="00483F7D" w:rsidRDefault="00BC60FC" w:rsidP="00BC60FC">
      <w:pPr>
        <w:pStyle w:val="Point1"/>
      </w:pPr>
      <w:r w:rsidRPr="00483F7D">
        <w:t>στ)</w:t>
      </w:r>
      <w:r w:rsidRPr="00483F7D">
        <w:tab/>
      </w:r>
      <w:r w:rsidR="00C32B54" w:rsidRPr="00483F7D">
        <w:t>διευκολύνει και συντονίζει τις δραστηριότητες έρευνας και καινοτομίας στον τελωνειακό τομέα·</w:t>
      </w:r>
    </w:p>
    <w:p w14:paraId="6914B459" w14:textId="7DB9E747" w:rsidR="00E0244C" w:rsidRPr="00483F7D" w:rsidRDefault="00BC60FC" w:rsidP="00BC60FC">
      <w:pPr>
        <w:pStyle w:val="Point1"/>
      </w:pPr>
      <w:r w:rsidRPr="00483F7D">
        <w:t>ζ)</w:t>
      </w:r>
      <w:r w:rsidRPr="00483F7D">
        <w:tab/>
      </w:r>
      <w:r w:rsidR="00C32B54" w:rsidRPr="00483F7D">
        <w:t>εκπονεί και διαδίδει επιχειρησιακά εγχειρίδια για την πρακτική εφαρμογή των τελωνειακών διαδικασιών και μεθόδων εργασίας και αναπτύσσει κοινά πρότυπα στο πλαίσιο αυτό·</w:t>
      </w:r>
    </w:p>
    <w:p w14:paraId="5A57BB82" w14:textId="6F0CF3AF" w:rsidR="0030290A" w:rsidRPr="00483F7D" w:rsidRDefault="00BC60FC" w:rsidP="00BC60FC">
      <w:pPr>
        <w:pStyle w:val="Point1"/>
      </w:pPr>
      <w:bookmarkStart w:id="201" w:name="_Hlk133913716"/>
      <w:r w:rsidRPr="00483F7D">
        <w:t>η)</w:t>
      </w:r>
      <w:r w:rsidRPr="00483F7D">
        <w:tab/>
      </w:r>
      <w:r w:rsidR="000772CD" w:rsidRPr="00483F7D">
        <w:t>εκδίδει γνώμη σχετικά με το αν η χορήγηση άδειας για ειδικά καθεστώτα θα επηρέαζε αρνητικά τα συμφέροντα των ενωσιακών παραγωγών, σύμφωνα με το άρθρο 102 παράγραφοι 3, 4 και 5·</w:t>
      </w:r>
    </w:p>
    <w:p w14:paraId="72C149C2" w14:textId="2AFC2BD8" w:rsidR="00E0244C" w:rsidRPr="00483F7D" w:rsidRDefault="00BC60FC" w:rsidP="00BC60FC">
      <w:pPr>
        <w:pStyle w:val="Point1"/>
      </w:pPr>
      <w:r w:rsidRPr="00483F7D">
        <w:t>θ)</w:t>
      </w:r>
      <w:r w:rsidRPr="00483F7D">
        <w:tab/>
      </w:r>
      <w:r w:rsidR="00C32B54" w:rsidRPr="00483F7D">
        <w:t>συνεργάζεται με οργανισμούς της Ένωσης και εθνικές αρχές εκτός των τελωνείων σύμφωνα με το άρθρο 240 παράγραφος 9·</w:t>
      </w:r>
    </w:p>
    <w:p w14:paraId="7C378804" w14:textId="20678AD7" w:rsidR="00E0244C" w:rsidRPr="00483F7D" w:rsidRDefault="00BC60FC" w:rsidP="00BC60FC">
      <w:pPr>
        <w:pStyle w:val="Point1"/>
      </w:pPr>
      <w:r w:rsidRPr="00483F7D">
        <w:t>ι)</w:t>
      </w:r>
      <w:r w:rsidRPr="00483F7D">
        <w:tab/>
      </w:r>
      <w:r w:rsidR="00C32B54" w:rsidRPr="00483F7D">
        <w:t xml:space="preserve">συντονίζει και υποστηρίζει την επιχειρησιακή συνεργασία μεταξύ των τελωνειακών αρχών και μεταξύ των τελωνειακών αρχών και άλλων αρχών σε εθνικό επίπεδο σύμφωνα με τον τίτλο </w:t>
      </w:r>
      <w:hyperlink w:anchor="__akn_title_eL2ru7" w:tooltip="Title XIII: XIII">
        <w:r w:rsidR="00C32B54" w:rsidRPr="00483F7D">
          <w:t>XIII</w:t>
        </w:r>
      </w:hyperlink>
      <w:r w:rsidR="00C32B54" w:rsidRPr="00483F7D">
        <w:t>·</w:t>
      </w:r>
    </w:p>
    <w:p w14:paraId="7969FB0F" w14:textId="6370FB22" w:rsidR="00E0244C" w:rsidRPr="00483F7D" w:rsidRDefault="00BC60FC" w:rsidP="00BC60FC">
      <w:pPr>
        <w:pStyle w:val="Point1"/>
      </w:pPr>
      <w:r w:rsidRPr="00483F7D">
        <w:t>ια)</w:t>
      </w:r>
      <w:r w:rsidRPr="00483F7D">
        <w:tab/>
      </w:r>
      <w:r w:rsidR="00C32B54" w:rsidRPr="00483F7D">
        <w:t>οργανώνει και συντονίζει τους κοινούς ελέγχους που αναφέρονται στο άρθρο 241·</w:t>
      </w:r>
    </w:p>
    <w:bookmarkEnd w:id="201"/>
    <w:p w14:paraId="71D16728" w14:textId="65EA33B6" w:rsidR="00E0244C" w:rsidRPr="00483F7D" w:rsidRDefault="00BC60FC" w:rsidP="00BC60FC">
      <w:pPr>
        <w:pStyle w:val="Point1"/>
      </w:pPr>
      <w:r w:rsidRPr="00483F7D">
        <w:t>ιβ)</w:t>
      </w:r>
      <w:r w:rsidRPr="00483F7D">
        <w:tab/>
      </w:r>
      <w:r w:rsidR="00C32B54" w:rsidRPr="00483F7D">
        <w:t>παρέχει υποστήριξη και εμπειρογνωσία στην Επιτροπή για την επίλυση πολύπλοκων υποθέσεων δασμολογικής κατάταξης, δασμολογητέας αξίας και καταγωγής, καθώς και για την παρακολούθηση των αποφάσεων και την εφαρμογή των σχετικών αποφάσεων.</w:t>
      </w:r>
    </w:p>
    <w:p w14:paraId="096F5B5A" w14:textId="77777777" w:rsidR="00E0244C" w:rsidRPr="00483F7D" w:rsidRDefault="007A1FD7">
      <w:pPr>
        <w:pStyle w:val="ManualNumPar10"/>
      </w:pPr>
      <w:r w:rsidRPr="00483F7D">
        <w:t>4.</w:t>
      </w:r>
      <w:r w:rsidRPr="00483F7D">
        <w:tab/>
        <w:t>Η Τελωνειακή Αρχή της ΕΕ εκτελεί δραστηριότητες διαχείρισης και επεξεργασίας δεδομένων αναγκαίες για την εκπλήρωση των καθηκόντων της και για την ανάπτυξη των εθνικών εφαρμογών που αναφέρονται στο άρθρο 30 του παρόντος κανονισμού.</w:t>
      </w:r>
    </w:p>
    <w:p w14:paraId="10103BE1" w14:textId="77777777" w:rsidR="00E0244C" w:rsidRPr="00483F7D" w:rsidRDefault="007A1FD7">
      <w:pPr>
        <w:pStyle w:val="Titrearticle"/>
      </w:pPr>
      <w:r w:rsidRPr="00483F7D">
        <w:t>Άρθρο 209</w:t>
      </w:r>
    </w:p>
    <w:p w14:paraId="59D5D258" w14:textId="77777777" w:rsidR="00E0244C" w:rsidRPr="00483F7D" w:rsidRDefault="007A1FD7">
      <w:pPr>
        <w:pStyle w:val="NormalCentered"/>
      </w:pPr>
      <w:r w:rsidRPr="00483F7D">
        <w:rPr>
          <w:b/>
        </w:rPr>
        <w:t>Λοιπά καθήκοντα</w:t>
      </w:r>
    </w:p>
    <w:p w14:paraId="7AF36F3A" w14:textId="77777777" w:rsidR="00E0244C" w:rsidRPr="00483F7D" w:rsidRDefault="007A1FD7">
      <w:r w:rsidRPr="00483F7D">
        <w:t>Η Επιτροπή μπορεί να αναθέσει στην Τελωνειακή Αρχή της ΕΕ τα ακόλουθα καθήκοντα για την υλοποίηση των προγραμμάτων χρηματοδότησης που σχετίζονται με τα τελωνεία:</w:t>
      </w:r>
    </w:p>
    <w:p w14:paraId="67FF0E89" w14:textId="19CB135B" w:rsidR="00E0244C" w:rsidRPr="00483F7D" w:rsidRDefault="00BC60FC" w:rsidP="00BC60FC">
      <w:pPr>
        <w:pStyle w:val="Point1"/>
      </w:pPr>
      <w:r w:rsidRPr="00483F7D">
        <w:t>α)</w:t>
      </w:r>
      <w:r w:rsidRPr="00483F7D">
        <w:tab/>
      </w:r>
      <w:r w:rsidR="006B1C1A" w:rsidRPr="00483F7D">
        <w:t xml:space="preserve">δραστηριότητες που σχετίζονται με την ανάπτυξη, τη λειτουργία και τη διατήρηση των συστημάτων τεχνολογίας πληροφοριών που χρησιμοποιούνται για την υλοποίηση της τελωνειακής ένωσης, όπως ο τελωνειακός κόμβος δεδομένων της ΕΕ, όπως ορίζεται στον τίτλο </w:t>
      </w:r>
      <w:hyperlink w:anchor="__akn_title_XAsDvV" w:tooltip="Title III: III">
        <w:r w:rsidR="006B1C1A" w:rsidRPr="00483F7D">
          <w:rPr>
            <w:rStyle w:val="Hyperlink"/>
          </w:rPr>
          <w:t>III</w:t>
        </w:r>
      </w:hyperlink>
      <w:r w:rsidR="006B1C1A" w:rsidRPr="00483F7D">
        <w:t>·</w:t>
      </w:r>
    </w:p>
    <w:p w14:paraId="3EDD9162" w14:textId="037E4205" w:rsidR="00E0244C" w:rsidRPr="00483F7D" w:rsidRDefault="00BC60FC" w:rsidP="00BC60FC">
      <w:pPr>
        <w:pStyle w:val="Point1"/>
      </w:pPr>
      <w:r w:rsidRPr="00483F7D">
        <w:t>β)</w:t>
      </w:r>
      <w:r w:rsidRPr="00483F7D">
        <w:tab/>
      </w:r>
      <w:r w:rsidR="006B1C1A" w:rsidRPr="00483F7D">
        <w:t>παροχή στήριξης στην Επιτροπή για την ανάπτυξη και την εφαρμογή επιχειρησιακής στρατηγικής για δραστηριότητες που σχετίζονται με την κατανομή, τη χρηματοδότηση και την προμήθεια εξοπλισμού ελέγχου, συμπεριλαμβανομένης της εκτίμησης των αναγκών, της από κοινού προμήθειας και της κοινής χρήσης εξοπλισμού.</w:t>
      </w:r>
    </w:p>
    <w:p w14:paraId="551F40DB" w14:textId="77777777" w:rsidR="00E0244C" w:rsidRPr="00483F7D" w:rsidRDefault="007A1FD7">
      <w:pPr>
        <w:pStyle w:val="Titrearticle"/>
      </w:pPr>
      <w:r w:rsidRPr="00483F7D">
        <w:t>Άρθρο 210</w:t>
      </w:r>
    </w:p>
    <w:p w14:paraId="2B07ECBF" w14:textId="77777777" w:rsidR="00E0244C" w:rsidRPr="00483F7D" w:rsidRDefault="007A1FD7">
      <w:pPr>
        <w:pStyle w:val="NormalCentered"/>
      </w:pPr>
      <w:r w:rsidRPr="00483F7D">
        <w:rPr>
          <w:b/>
        </w:rPr>
        <w:t>Περαιτέρω καθήκοντα</w:t>
      </w:r>
    </w:p>
    <w:p w14:paraId="6A123765" w14:textId="77777777" w:rsidR="00E0244C" w:rsidRPr="00483F7D" w:rsidRDefault="007A1FD7">
      <w:r w:rsidRPr="00483F7D">
        <w:t>Στην Τελωνειακή Αρχή της ΕΕ είναι δυνατό να ανατεθούν περαιτέρω καθήκοντα στον τομέα της ελεύθερης διακίνησης, εισαγωγής και εξαγωγής εμπορευμάτων τρίτων χωρών, αν αυτό προβλέπεται από σχετικές νομικές πράξεις της Ένωσης. Όταν τέτοια καθήκοντα ανατίθενται ή εκχωρούνται στην Τελωνειακή Αρχή της ΕΕ, εξασφαλίζονται οι κατάλληλοι οικονομικοί και ανθρώπινοι πόροι για την εφαρμογή τους.</w:t>
      </w:r>
    </w:p>
    <w:p w14:paraId="57E41FFE" w14:textId="77777777" w:rsidR="00E0244C" w:rsidRPr="00483F7D" w:rsidRDefault="007A1FD7">
      <w:pPr>
        <w:pStyle w:val="ChapterTitle"/>
      </w:pPr>
      <w:r w:rsidRPr="00483F7D">
        <w:t xml:space="preserve">Κεφάλαιο 3 </w:t>
      </w:r>
      <w:r w:rsidRPr="00483F7D">
        <w:br/>
        <w:t>Οργάνωση της Τελωνειακής Αρχής της ΕΕ</w:t>
      </w:r>
    </w:p>
    <w:p w14:paraId="65AC283D" w14:textId="77777777" w:rsidR="00E0244C" w:rsidRPr="00483F7D" w:rsidRDefault="007A1FD7">
      <w:pPr>
        <w:pStyle w:val="Titrearticle"/>
      </w:pPr>
      <w:r w:rsidRPr="00483F7D">
        <w:t>Άρθρο 211</w:t>
      </w:r>
    </w:p>
    <w:p w14:paraId="1890AB9E" w14:textId="77777777" w:rsidR="00E0244C" w:rsidRPr="00483F7D" w:rsidRDefault="007A1FD7">
      <w:pPr>
        <w:pStyle w:val="NormalCentered"/>
      </w:pPr>
      <w:r w:rsidRPr="00483F7D">
        <w:rPr>
          <w:b/>
        </w:rPr>
        <w:t>Διοικητική και διαχειριστική δομή</w:t>
      </w:r>
    </w:p>
    <w:p w14:paraId="01147EC1" w14:textId="77777777" w:rsidR="00E0244C" w:rsidRPr="00483F7D" w:rsidRDefault="007A1FD7">
      <w:r w:rsidRPr="00483F7D">
        <w:t>Η διοικητική και διαχειριστική δομή της Τελωνειακής Αρχής της ΕΕ περιλαμβάνει:</w:t>
      </w:r>
    </w:p>
    <w:p w14:paraId="0A4F67FE" w14:textId="4FEF5DC1" w:rsidR="00E0244C" w:rsidRPr="00483F7D" w:rsidRDefault="00BC60FC" w:rsidP="00BC60FC">
      <w:pPr>
        <w:pStyle w:val="Point1"/>
      </w:pPr>
      <w:bookmarkStart w:id="202" w:name="_Hlk133914957"/>
      <w:r w:rsidRPr="00483F7D">
        <w:t>α)</w:t>
      </w:r>
      <w:r w:rsidRPr="00483F7D">
        <w:tab/>
      </w:r>
      <w:r w:rsidR="007A1FD7" w:rsidRPr="00483F7D">
        <w:t>διοικητικό συμβούλιο, το οποίο ασκεί τα καθήκοντα που καθορίζονται στο άρθρο </w:t>
      </w:r>
      <w:hyperlink w:anchor="_bill__akn_article_cxC5LS" w:tooltip="Article 214: 214">
        <w:r w:rsidR="007A1FD7" w:rsidRPr="00483F7D">
          <w:rPr>
            <w:rStyle w:val="Hyperlink"/>
          </w:rPr>
          <w:t>215</w:t>
        </w:r>
      </w:hyperlink>
      <w:r w:rsidR="007A1FD7" w:rsidRPr="00483F7D">
        <w:t>·</w:t>
      </w:r>
    </w:p>
    <w:p w14:paraId="23551F64" w14:textId="0597E52F" w:rsidR="00E0244C" w:rsidRPr="00483F7D" w:rsidRDefault="00BC60FC" w:rsidP="00BC60FC">
      <w:pPr>
        <w:pStyle w:val="Point1"/>
      </w:pPr>
      <w:r w:rsidRPr="00483F7D">
        <w:t>β)</w:t>
      </w:r>
      <w:r w:rsidRPr="00483F7D">
        <w:tab/>
      </w:r>
      <w:r w:rsidR="007A1FD7" w:rsidRPr="00483F7D">
        <w:t>το εκτελεστικό γραφείο, το οποίο ασκεί τις αρμοδιότητες που καθορίζονται στο άρθρο 217·</w:t>
      </w:r>
    </w:p>
    <w:p w14:paraId="13A21370" w14:textId="608043F3" w:rsidR="00E0244C" w:rsidRPr="00483F7D" w:rsidRDefault="00BC60FC" w:rsidP="00BC60FC">
      <w:pPr>
        <w:pStyle w:val="Point1"/>
      </w:pPr>
      <w:r w:rsidRPr="00483F7D">
        <w:t>γ)</w:t>
      </w:r>
      <w:r w:rsidRPr="00483F7D">
        <w:tab/>
      </w:r>
      <w:r w:rsidR="007A1FD7" w:rsidRPr="00483F7D">
        <w:t xml:space="preserve">εκτελεστικό/-ή διευθυντή/-ρια, που ασκεί τις αρμοδιότητες οι οποίες καθορίζονται στο άρθρο </w:t>
      </w:r>
      <w:hyperlink w:anchor="_bill__akn_article_kfFj0S" w:tooltip="Article 218: 218">
        <w:r w:rsidR="007A1FD7" w:rsidRPr="00483F7D">
          <w:t>219</w:t>
        </w:r>
      </w:hyperlink>
      <w:r w:rsidR="007A1FD7" w:rsidRPr="00483F7D">
        <w:t>·</w:t>
      </w:r>
    </w:p>
    <w:bookmarkEnd w:id="202"/>
    <w:p w14:paraId="4BD07230" w14:textId="2B8350D8" w:rsidR="00C0018C" w:rsidRPr="00483F7D" w:rsidRDefault="00BC60FC" w:rsidP="00BC60FC">
      <w:pPr>
        <w:pStyle w:val="Point1"/>
      </w:pPr>
      <w:r w:rsidRPr="00483F7D">
        <w:t>δ)</w:t>
      </w:r>
      <w:r w:rsidRPr="00483F7D">
        <w:tab/>
      </w:r>
      <w:r w:rsidR="00C0018C" w:rsidRPr="00483F7D">
        <w:t>αναπληρωτή/-τρια εκτελεστικό/-ή διευθυντή/-ρια, που ασκεί τις αρμοδιότητες οι οποίες καθορίζονται στο άρθρο 221, αν το διοικητικό συμβούλιο αποφασίσει να δημιουργήσει τέτοια θέση.</w:t>
      </w:r>
    </w:p>
    <w:p w14:paraId="16B96A01" w14:textId="77777777" w:rsidR="00C0018C" w:rsidRPr="00483F7D" w:rsidRDefault="00C0018C">
      <w:pPr>
        <w:pStyle w:val="Point1"/>
      </w:pPr>
    </w:p>
    <w:p w14:paraId="622459F7" w14:textId="77777777" w:rsidR="00E0244C" w:rsidRPr="00483F7D" w:rsidRDefault="007A1FD7">
      <w:pPr>
        <w:pStyle w:val="SectionTitle"/>
      </w:pPr>
      <w:r w:rsidRPr="00483F7D">
        <w:t xml:space="preserve">Τμήμα 1 </w:t>
      </w:r>
      <w:r w:rsidRPr="00483F7D">
        <w:br/>
        <w:t>Το διοικητικό συμβούλιο</w:t>
      </w:r>
    </w:p>
    <w:p w14:paraId="279C3C03" w14:textId="77777777" w:rsidR="00E0244C" w:rsidRPr="00483F7D" w:rsidRDefault="007A1FD7">
      <w:pPr>
        <w:pStyle w:val="Titrearticle"/>
      </w:pPr>
      <w:r w:rsidRPr="00483F7D">
        <w:t>Άρθρο 212</w:t>
      </w:r>
    </w:p>
    <w:p w14:paraId="2FB70C6B" w14:textId="77777777" w:rsidR="00E0244C" w:rsidRPr="00483F7D" w:rsidRDefault="007A1FD7">
      <w:pPr>
        <w:pStyle w:val="NormalCentered"/>
      </w:pPr>
      <w:r w:rsidRPr="00483F7D">
        <w:rPr>
          <w:b/>
        </w:rPr>
        <w:t>Σύνθεση του διοικητικού συμβουλίου</w:t>
      </w:r>
    </w:p>
    <w:p w14:paraId="1C6429BC" w14:textId="77777777" w:rsidR="00E0244C" w:rsidRPr="00483F7D" w:rsidRDefault="007A1FD7">
      <w:pPr>
        <w:pStyle w:val="ManualNumPar10"/>
      </w:pPr>
      <w:r w:rsidRPr="00483F7D">
        <w:t>1.</w:t>
      </w:r>
      <w:r w:rsidRPr="00483F7D">
        <w:tab/>
        <w:t>Το διοικητικό συμβούλιο απαρτίζεται από έναν εκπρόσωπο από κάθε κράτος μέλος και από δύο εκπροσώπους της Επιτροπής, οι οποίοι έχουν όλοι δικαίωμα ψήφου.</w:t>
      </w:r>
    </w:p>
    <w:p w14:paraId="49A1C200" w14:textId="77777777" w:rsidR="00E0244C" w:rsidRPr="00483F7D" w:rsidRDefault="007A1FD7">
      <w:pPr>
        <w:pStyle w:val="ManualNumPar10"/>
      </w:pPr>
      <w:r w:rsidRPr="00483F7D">
        <w:t>2.</w:t>
      </w:r>
      <w:r w:rsidRPr="00483F7D">
        <w:tab/>
        <w:t>Το διοικητικό συμβούλιο περιλαμβάνει επίσης ένα μέλος διορισμένο από το Ευρωπαϊκό Κοινοβούλιο, το οποίο δεν έχει δικαίωμα ψήφου.</w:t>
      </w:r>
    </w:p>
    <w:p w14:paraId="5D9C5663" w14:textId="77777777" w:rsidR="00E0244C" w:rsidRPr="00483F7D" w:rsidRDefault="007A1FD7">
      <w:pPr>
        <w:pStyle w:val="ManualNumPar10"/>
      </w:pPr>
      <w:r w:rsidRPr="00483F7D">
        <w:t>3.</w:t>
      </w:r>
      <w:r w:rsidRPr="00483F7D">
        <w:tab/>
        <w:t>Για όλα τα μέλη του διοικητικού συμβουλίου προβλέπονται αναπληρωματικά μέλη. Το αναπληρωματικό μέλος εκπροσωπεί το τακτικό μέλος σε περίπτωση απουσίας του.</w:t>
      </w:r>
    </w:p>
    <w:p w14:paraId="51AAEC61" w14:textId="77777777" w:rsidR="00E0244C" w:rsidRPr="00483F7D" w:rsidRDefault="007A1FD7">
      <w:pPr>
        <w:pStyle w:val="ManualNumPar10"/>
      </w:pPr>
      <w:r w:rsidRPr="00483F7D">
        <w:t>4.</w:t>
      </w:r>
      <w:r w:rsidRPr="00483F7D">
        <w:tab/>
        <w:t>Τα μέλη του διοικητικού συμβουλίου και οι αναπληρωτές τους διορίζονται με κριτήριο τις γνώσεις τους στον τομέα των τελωνείων, λαμβανομένων υπόψη των σχετικών δεξιοτήτων τους στη διαχείριση, τη διοίκηση και την κατάρτιση προϋπολογισμού. Όλα τα μέρη που εκπροσωπούνται στο διοικητικό συμβούλιο καταβάλλουν προσπάθειες ώστε να περιορίζεται η εναλλαγή των εκπροσώπων τους, προκειμένου να εξασφαλίζεται η συνέχεια των εργασιών του συμβουλίου. Όλα τα μέρη στοχεύουν στην επίτευξη ισόρροπης εκπροσώπησης των φύλων στο διοικητικό συμβούλιο.</w:t>
      </w:r>
    </w:p>
    <w:p w14:paraId="253B2BF8" w14:textId="77777777" w:rsidR="0044659A" w:rsidRPr="00483F7D" w:rsidRDefault="0044659A" w:rsidP="0044659A">
      <w:pPr>
        <w:pStyle w:val="ManualNumPar10"/>
      </w:pPr>
      <w:r w:rsidRPr="00483F7D">
        <w:t>5.</w:t>
      </w:r>
      <w:r w:rsidRPr="00483F7D">
        <w:tab/>
        <w:t>Η διάρκεια της θητείας των μελών και των αναπληρωτών τους είναι 4 έτη. Η θητεία αυτή μπορεί να παραταθεί.</w:t>
      </w:r>
    </w:p>
    <w:p w14:paraId="6A127DB1" w14:textId="77777777" w:rsidR="00E0244C" w:rsidRPr="00483F7D" w:rsidRDefault="007A1FD7">
      <w:pPr>
        <w:pStyle w:val="Titrearticle"/>
      </w:pPr>
      <w:r w:rsidRPr="00483F7D">
        <w:t>Άρθρο 213</w:t>
      </w:r>
    </w:p>
    <w:p w14:paraId="626CDCC5" w14:textId="77777777" w:rsidR="00E0244C" w:rsidRPr="00483F7D" w:rsidRDefault="007A1FD7">
      <w:pPr>
        <w:pStyle w:val="NormalCentered"/>
      </w:pPr>
      <w:r w:rsidRPr="00483F7D">
        <w:rPr>
          <w:b/>
        </w:rPr>
        <w:t>Πρόεδρος του διοικητικού συμβουλίου</w:t>
      </w:r>
    </w:p>
    <w:p w14:paraId="055E59DF" w14:textId="77777777" w:rsidR="00E0244C" w:rsidRPr="00483F7D" w:rsidRDefault="007A1FD7">
      <w:pPr>
        <w:pStyle w:val="ManualNumPar10"/>
      </w:pPr>
      <w:r w:rsidRPr="00483F7D">
        <w:t>1.</w:t>
      </w:r>
      <w:r w:rsidRPr="00483F7D">
        <w:tab/>
        <w:t>Το διοικητικό συμβούλιο εκλέγει πρόεδρο μεταξύ των εκπροσώπων της Επιτροπής και αναπληρωτή/-ρια πρόεδρο μεταξύ των άλλων μελών του που έχουν δικαίωμα ψήφου. </w:t>
      </w:r>
    </w:p>
    <w:p w14:paraId="0FAA6D7F" w14:textId="77777777" w:rsidR="00E0244C" w:rsidRPr="00483F7D" w:rsidRDefault="007A1FD7">
      <w:pPr>
        <w:pStyle w:val="ManualNumPar10"/>
      </w:pPr>
      <w:r w:rsidRPr="00483F7D">
        <w:t>2.</w:t>
      </w:r>
      <w:r w:rsidRPr="00483F7D">
        <w:tab/>
        <w:t>Ο/Η αναπληρωτής/-ρια πρόεδρος αντικαθιστά αυτομάτως τον/την πρόεδρο σε περίπτωση που αυτός/-ή αδυνατεί να εκτελέσει τα καθήκοντά του/της.</w:t>
      </w:r>
    </w:p>
    <w:p w14:paraId="18375E6E" w14:textId="77777777" w:rsidR="00E0244C" w:rsidRPr="00483F7D" w:rsidRDefault="007A1FD7">
      <w:pPr>
        <w:pStyle w:val="ManualNumPar10"/>
      </w:pPr>
      <w:r w:rsidRPr="00483F7D">
        <w:t>3.</w:t>
      </w:r>
      <w:r w:rsidRPr="00483F7D">
        <w:tab/>
        <w:t>Η θητεία του/της προέδρου και του/της αναπληρωτή/-ριας προέδρου είναι 4 έτη. Η θητεία τους μπορεί να ανανεωθεί άπαξ. Ωστόσο, αν απολέσουν την ιδιότητα του μέλους του διοικητικού συμβουλίου σε οποιαδήποτε στιγμή της θητείας τους, η θητεία τους λήγει την ίδια ημερομηνία αυτομάτως.</w:t>
      </w:r>
    </w:p>
    <w:p w14:paraId="1F2E6BC5" w14:textId="77777777" w:rsidR="00E0244C" w:rsidRPr="00483F7D" w:rsidRDefault="007A1FD7">
      <w:pPr>
        <w:pStyle w:val="Titrearticle"/>
      </w:pPr>
      <w:r w:rsidRPr="00483F7D">
        <w:t>Άρθρο 214</w:t>
      </w:r>
    </w:p>
    <w:p w14:paraId="52E914D2" w14:textId="77777777" w:rsidR="00E0244C" w:rsidRPr="00483F7D" w:rsidRDefault="007A1FD7">
      <w:pPr>
        <w:pStyle w:val="NormalCentered"/>
      </w:pPr>
      <w:r w:rsidRPr="00483F7D">
        <w:rPr>
          <w:b/>
        </w:rPr>
        <w:t>Συνεδριάσεις του διοικητικού συμβουλίου</w:t>
      </w:r>
    </w:p>
    <w:p w14:paraId="52D0953A" w14:textId="77777777" w:rsidR="00E0244C" w:rsidRPr="00483F7D" w:rsidRDefault="007A1FD7">
      <w:pPr>
        <w:pStyle w:val="ManualNumPar10"/>
      </w:pPr>
      <w:r w:rsidRPr="00483F7D">
        <w:t>1.</w:t>
      </w:r>
      <w:r w:rsidRPr="00483F7D">
        <w:tab/>
        <w:t>Ο/Η πρόεδρος συγκαλεί τις συνεδριάσεις του διοικητικού συμβουλίου.</w:t>
      </w:r>
    </w:p>
    <w:p w14:paraId="26F9C337" w14:textId="77777777" w:rsidR="00E0244C" w:rsidRPr="00483F7D" w:rsidRDefault="007A1FD7">
      <w:pPr>
        <w:pStyle w:val="ManualNumPar10"/>
      </w:pPr>
      <w:r w:rsidRPr="00483F7D">
        <w:t>2.</w:t>
      </w:r>
      <w:r w:rsidRPr="00483F7D">
        <w:tab/>
        <w:t>Ο/Η εκτελεστικός/-ή διευθυντής/-ρια συμμετέχει στις συζητήσεις, χωρίς δικαίωμα ψήφου.</w:t>
      </w:r>
    </w:p>
    <w:p w14:paraId="56C2D318" w14:textId="77777777" w:rsidR="00E0244C" w:rsidRPr="00483F7D" w:rsidRDefault="007A1FD7">
      <w:pPr>
        <w:pStyle w:val="ManualNumPar10"/>
      </w:pPr>
      <w:r w:rsidRPr="00483F7D">
        <w:t>3.</w:t>
      </w:r>
      <w:r w:rsidRPr="00483F7D">
        <w:tab/>
        <w:t>Το διοικητικό συμβούλιο πραγματοποιεί τουλάχιστον δύο τακτικές συνεδριάσεις ανά έτος. Επιπλέον, συνέρχεται με πρωτοβουλία του/της προέδρου του, κατόπιν αιτήματος της Επιτροπής ή κατόπιν αιτήματος του ενός τρίτου τουλάχιστον των μελών του.</w:t>
      </w:r>
    </w:p>
    <w:p w14:paraId="0B292FD1" w14:textId="77777777" w:rsidR="00E0244C" w:rsidRPr="00483F7D" w:rsidRDefault="007A1FD7">
      <w:pPr>
        <w:pStyle w:val="ManualNumPar10"/>
      </w:pPr>
      <w:r w:rsidRPr="00483F7D">
        <w:t>4.</w:t>
      </w:r>
      <w:r w:rsidRPr="00483F7D">
        <w:tab/>
        <w:t>Το διοικητικό συμβούλιο μπορεί να προσκαλεί οποιοδήποτε άτομο του οποίου η γνώμη ενδέχεται να παρουσιάζει ενδιαφέρον να παραστεί στις συνεδριάσεις του ως παρατηρητής.</w:t>
      </w:r>
    </w:p>
    <w:p w14:paraId="461C0E36" w14:textId="77777777" w:rsidR="00E0244C" w:rsidRPr="00483F7D" w:rsidRDefault="007A1FD7">
      <w:pPr>
        <w:pStyle w:val="ManualNumPar10"/>
      </w:pPr>
      <w:r w:rsidRPr="00483F7D">
        <w:t>5.</w:t>
      </w:r>
      <w:r w:rsidRPr="00483F7D">
        <w:tab/>
        <w:t>Τα τακτικά και τα αναπληρωματικά μέλη του διοικητικού συμβουλίου μπορούν, με την επιφύλαξη του εσωτερικού του κανονισμού, να επικουρούνται κατά τις συνεδριάσεις από συμβούλους ή εμπειρογνώμονες.</w:t>
      </w:r>
    </w:p>
    <w:p w14:paraId="3D5A0AAE" w14:textId="77777777" w:rsidR="00E0244C" w:rsidRPr="00483F7D" w:rsidRDefault="007A1FD7">
      <w:pPr>
        <w:pStyle w:val="ManualNumPar10"/>
      </w:pPr>
      <w:r w:rsidRPr="00483F7D">
        <w:t>6.</w:t>
      </w:r>
      <w:r w:rsidRPr="00483F7D">
        <w:tab/>
        <w:t>Όταν ένα θέμα εμπιστευτικότητας ή σύγκρουσης συμφερόντων περιλαμβάνεται στην ημερήσια διάταξη, το διοικητικό συμβούλιο συζητά και αποφασίζει για το θέμα αυτό χωρίς την παρουσία του ενδιαφερόμενου μέλους. Λεπτομερείς κανόνες για την εφαρμογή της διάταξης αυτής είναι δυνατό να καθοριστούν στον εσωτερικό κανονισμό.</w:t>
      </w:r>
    </w:p>
    <w:p w14:paraId="42587F9D" w14:textId="77777777" w:rsidR="00E0244C" w:rsidRPr="00483F7D" w:rsidRDefault="007A1FD7">
      <w:pPr>
        <w:pStyle w:val="ManualNumPar10"/>
      </w:pPr>
      <w:r w:rsidRPr="00483F7D">
        <w:t>7.</w:t>
      </w:r>
      <w:r w:rsidRPr="00483F7D">
        <w:tab/>
        <w:t>Η Τελωνειακή Αρχή της ΕΕ παρέχει τη γραμματειακή υποστήριξη στο διοικητικό συμβούλιο.</w:t>
      </w:r>
    </w:p>
    <w:p w14:paraId="58249209" w14:textId="77777777" w:rsidR="00E0244C" w:rsidRPr="00483F7D" w:rsidRDefault="007A1FD7">
      <w:pPr>
        <w:pStyle w:val="Titrearticle"/>
      </w:pPr>
      <w:bookmarkStart w:id="203" w:name="_bill__akn_article_cxC5LS"/>
      <w:bookmarkEnd w:id="203"/>
      <w:r w:rsidRPr="00483F7D">
        <w:t>Άρθρο 215</w:t>
      </w:r>
    </w:p>
    <w:p w14:paraId="0E03419C" w14:textId="77777777" w:rsidR="00FA597D" w:rsidRPr="00483F7D" w:rsidRDefault="00FA597D" w:rsidP="00FA597D">
      <w:pPr>
        <w:pStyle w:val="NormalCentered"/>
      </w:pPr>
      <w:r w:rsidRPr="00483F7D">
        <w:rPr>
          <w:b/>
        </w:rPr>
        <w:t>Καθήκοντα του διοικητικού συμβουλίου</w:t>
      </w:r>
    </w:p>
    <w:p w14:paraId="2DF8A516" w14:textId="77777777" w:rsidR="00E0244C" w:rsidRPr="00483F7D" w:rsidRDefault="007A1FD7">
      <w:pPr>
        <w:pStyle w:val="ManualNumPar10"/>
      </w:pPr>
      <w:r w:rsidRPr="00483F7D">
        <w:t>1.</w:t>
      </w:r>
      <w:r w:rsidRPr="00483F7D">
        <w:tab/>
        <w:t>Το διοικητικό συμβούλιο:</w:t>
      </w:r>
    </w:p>
    <w:p w14:paraId="36E2054D" w14:textId="5920EFCF" w:rsidR="00E0244C" w:rsidRPr="00483F7D" w:rsidRDefault="00BC60FC" w:rsidP="00BC60FC">
      <w:pPr>
        <w:pStyle w:val="Point1"/>
      </w:pPr>
      <w:r w:rsidRPr="00483F7D">
        <w:t>α)</w:t>
      </w:r>
      <w:r w:rsidRPr="00483F7D">
        <w:tab/>
      </w:r>
      <w:r w:rsidR="007A1FD7" w:rsidRPr="00483F7D">
        <w:t>παρέχει τις γενικές κατευθύνσεις των δραστηριοτήτων της Τελωνειακής Αρχής της ΕΕ·</w:t>
      </w:r>
    </w:p>
    <w:p w14:paraId="17F21951" w14:textId="196694AF" w:rsidR="00E0244C" w:rsidRPr="00483F7D" w:rsidRDefault="00BC60FC" w:rsidP="00BC60FC">
      <w:pPr>
        <w:pStyle w:val="Point1"/>
      </w:pPr>
      <w:r w:rsidRPr="00483F7D">
        <w:t>β)</w:t>
      </w:r>
      <w:r w:rsidRPr="00483F7D">
        <w:tab/>
      </w:r>
      <w:r w:rsidR="007A1FD7" w:rsidRPr="00483F7D">
        <w:t xml:space="preserve">εγκρίνει, με πλειοψηφία των δύο τρίτων των μελών του που έχουν δικαίωμα ψήφου, τον ετήσιο προϋπολογισμό της Τελωνειακής Αρχής της ΕΕ και ασκεί άλλα καθήκοντα σε σχέση με τον προϋπολογισμό της Τελωνειακής Αρχής της ΕΕ, σύμφωνα με το κεφάλαιο </w:t>
      </w:r>
      <w:hyperlink w:anchor="__akn_chapter_U9SD4B" w:tooltip="This title Chapter 4: 4">
        <w:r w:rsidR="007A1FD7" w:rsidRPr="00483F7D">
          <w:t>4</w:t>
        </w:r>
      </w:hyperlink>
      <w:r w:rsidR="007A1FD7" w:rsidRPr="00483F7D">
        <w:t>,</w:t>
      </w:r>
    </w:p>
    <w:p w14:paraId="3DC1F0B3" w14:textId="0BA5BF5E" w:rsidR="00E0244C" w:rsidRPr="00483F7D" w:rsidRDefault="00BC60FC" w:rsidP="00BC60FC">
      <w:pPr>
        <w:pStyle w:val="Point1"/>
      </w:pPr>
      <w:r w:rsidRPr="00483F7D">
        <w:t>γ)</w:t>
      </w:r>
      <w:r w:rsidRPr="00483F7D">
        <w:tab/>
      </w:r>
      <w:r w:rsidR="007A1FD7" w:rsidRPr="00483F7D">
        <w:t>αξιολογεί και εγκρίνει την ενοποιημένη ετήσια έκθεση δραστηριοτήτων της Τελωνειακής Αρχής της ΕΕ, συμπεριλαμβανομένης επισκόπησης της εκπλήρωσης των καθηκόντων της και των συνολικών επιδόσεών της όσον αφορά την επίτευξη των στόχων της τελωνειακής πολιτικής, και διαβιβάζει τόσο την έκθεση όσο και την αξιολόγησή της έως την 1η Ιουλίου κάθε έτους στο Ευρωπαϊκό Κοινοβούλιο, το Συμβούλιο, την Επιτροπή και το Ελεγκτικό Συνέδριο. Η ενοποιημένη ετήσια έκθεση δραστηριοτήτων δημοσιεύεται·</w:t>
      </w:r>
    </w:p>
    <w:p w14:paraId="543BC650" w14:textId="74EB5146" w:rsidR="00E0244C" w:rsidRPr="00483F7D" w:rsidRDefault="00BC60FC" w:rsidP="00BC60FC">
      <w:pPr>
        <w:pStyle w:val="Point1"/>
      </w:pPr>
      <w:r w:rsidRPr="00483F7D">
        <w:t>δ)</w:t>
      </w:r>
      <w:r w:rsidRPr="00483F7D">
        <w:tab/>
      </w:r>
      <w:r w:rsidR="007A1FD7" w:rsidRPr="00483F7D">
        <w:t xml:space="preserve">θεσπίζει τους δημοσιονομικούς κανόνες που εφαρμόζονται στην Τελωνειακή Αρχή της ΕΕ σύμφωνα με το άρθρο </w:t>
      </w:r>
      <w:hyperlink w:anchor="__akn_article_sgy0Rh" w:tooltip="Article 219: 219">
        <w:r w:rsidR="007A1FD7" w:rsidRPr="00483F7D">
          <w:t>222</w:t>
        </w:r>
      </w:hyperlink>
      <w:r w:rsidR="007A1FD7" w:rsidRPr="00483F7D">
        <w:t>,</w:t>
      </w:r>
    </w:p>
    <w:p w14:paraId="1433C940" w14:textId="5F686868" w:rsidR="00E0244C" w:rsidRPr="00483F7D" w:rsidRDefault="00BC60FC" w:rsidP="00BC60FC">
      <w:pPr>
        <w:pStyle w:val="Point1"/>
      </w:pPr>
      <w:r w:rsidRPr="00483F7D">
        <w:t>ε)</w:t>
      </w:r>
      <w:r w:rsidRPr="00483F7D">
        <w:tab/>
      </w:r>
      <w:r w:rsidR="007A1FD7" w:rsidRPr="00483F7D">
        <w:t>εγκρίνει στρατηγική για την καταπολέμηση της απάτης, ανάλογη προς τους κινδύνους απάτης, λαμβάνοντας υπόψη το κόστος και τα οφέλη των μέτρων που θα εφαρμοστούν·</w:t>
      </w:r>
    </w:p>
    <w:p w14:paraId="21BC5C17" w14:textId="039B3264" w:rsidR="00E0244C" w:rsidRPr="00483F7D" w:rsidRDefault="00BC60FC" w:rsidP="00BC60FC">
      <w:pPr>
        <w:pStyle w:val="Point1"/>
      </w:pPr>
      <w:r w:rsidRPr="00483F7D">
        <w:t>στ)</w:t>
      </w:r>
      <w:r w:rsidRPr="00483F7D">
        <w:tab/>
      </w:r>
      <w:r w:rsidR="007A1FD7" w:rsidRPr="00483F7D">
        <w:t>θεσπίζει κανόνες για την πρόληψη και τη διαχείριση συγκρούσεων συμφερόντων στις οποίες εμπλέκονται τα μέλη του· και δημοσιεύει ετησίως στον ιστότοπό του τη δήλωση συμφερόντων των μελών του διοικητικού συμβουλίου·</w:t>
      </w:r>
    </w:p>
    <w:p w14:paraId="5225AEE7" w14:textId="1A314401" w:rsidR="00E0244C" w:rsidRPr="00483F7D" w:rsidRDefault="00BC60FC" w:rsidP="00BC60FC">
      <w:pPr>
        <w:pStyle w:val="Point1"/>
      </w:pPr>
      <w:r w:rsidRPr="00483F7D">
        <w:t>ζ)</w:t>
      </w:r>
      <w:r w:rsidRPr="00483F7D">
        <w:tab/>
      </w:r>
      <w:r w:rsidR="007A1FD7" w:rsidRPr="00483F7D">
        <w:t>εγκρίνει και επικαιροποιεί τακτικά τα σχέδια επικοινωνίας και διάδοσης που αναφέρονται στο άρθρο </w:t>
      </w:r>
      <w:hyperlink w:anchor="__akn_article_BlJzBc" w:tooltip="Article 229: 229">
        <w:r w:rsidR="007A1FD7" w:rsidRPr="00483F7D">
          <w:t>232</w:t>
        </w:r>
      </w:hyperlink>
      <w:r w:rsidR="007A1FD7" w:rsidRPr="00483F7D">
        <w:t>, βάσει ανάλυσης των αναγκών·</w:t>
      </w:r>
    </w:p>
    <w:p w14:paraId="0AB3B7E0" w14:textId="05DB8084" w:rsidR="00E0244C" w:rsidRPr="00483F7D" w:rsidRDefault="00BC60FC" w:rsidP="00BC60FC">
      <w:pPr>
        <w:pStyle w:val="Point1"/>
      </w:pPr>
      <w:r w:rsidRPr="00483F7D">
        <w:t>η)</w:t>
      </w:r>
      <w:r w:rsidRPr="00483F7D">
        <w:tab/>
      </w:r>
      <w:r w:rsidR="007A1FD7" w:rsidRPr="00483F7D">
        <w:t>θεσπίζει τον εσωτερικό κανονισμό του·</w:t>
      </w:r>
    </w:p>
    <w:p w14:paraId="2BA1CBB1" w14:textId="505F64EB" w:rsidR="00E0244C" w:rsidRPr="00483F7D" w:rsidRDefault="00BC60FC" w:rsidP="00BC60FC">
      <w:pPr>
        <w:pStyle w:val="Point1"/>
      </w:pPr>
      <w:r w:rsidRPr="00483F7D">
        <w:t>θ)</w:t>
      </w:r>
      <w:r w:rsidRPr="00483F7D">
        <w:tab/>
      </w:r>
      <w:r w:rsidR="007A1FD7" w:rsidRPr="00483F7D">
        <w:t>σύμφωνα με την παράγραφο </w:t>
      </w:r>
      <w:hyperlink w:anchor="_bill__akn_article_cxC5LS_mI0XkC" w:tooltip="paragraph (2): (2)">
        <w:r w:rsidR="007A1FD7" w:rsidRPr="00483F7D">
          <w:t>2</w:t>
        </w:r>
      </w:hyperlink>
      <w:r w:rsidR="007A1FD7" w:rsidRPr="00483F7D">
        <w:t>, ασκεί, έναντι του προσωπικού της Τελωνειακής Αρχής της ΕΕ, εξουσίες αρμόδιας για τους διορισμούς αρχής, οι οποίες του ανατίθενται δυνάμει του κανονισμού υπηρεσιακής κατάστασης, και εξουσίες αρμόδιας αρχής για τη σύναψη συμβάσεων εργασίας οι οποίες του ανατίθενται δυνάμει του καθεστώτος που εφαρμόζεται στο λοιπό προσωπικό της Ευρωπαϊκής Ένωσης</w:t>
      </w:r>
      <w:r w:rsidR="007A1FD7" w:rsidRPr="00483F7D">
        <w:rPr>
          <w:rStyle w:val="FootnoteReference"/>
        </w:rPr>
        <w:footnoteReference w:id="72"/>
      </w:r>
      <w:r w:rsidR="007A1FD7" w:rsidRPr="00483F7D">
        <w:t xml:space="preserve"> (στο εξής: εξουσίες αρμόδιας για τους διορισμούς αρχής)·</w:t>
      </w:r>
    </w:p>
    <w:p w14:paraId="79100B6E" w14:textId="2EF7DEE9" w:rsidR="00E0244C" w:rsidRPr="00483F7D" w:rsidRDefault="00BC60FC" w:rsidP="00BC60FC">
      <w:pPr>
        <w:pStyle w:val="Point1"/>
      </w:pPr>
      <w:r w:rsidRPr="00483F7D">
        <w:t>ι)</w:t>
      </w:r>
      <w:r w:rsidRPr="00483F7D">
        <w:tab/>
      </w:r>
      <w:r w:rsidR="007A1FD7" w:rsidRPr="00483F7D">
        <w:t>θεσπίζει εκτελεστικούς κανόνες για την εφαρμογή του κανονισμού υπηρεσιακής κατάστασης των υπαλλήλων και του καθεστώτος που εφαρμόζεται στο λοιπό προσωπικό σύμφωνα με το άρθρο 110 παράγραφος 2 του κανονισμού υπηρεσιακής κατάστασης·</w:t>
      </w:r>
    </w:p>
    <w:p w14:paraId="77937BC2" w14:textId="076B4425" w:rsidR="00E0244C" w:rsidRPr="00483F7D" w:rsidRDefault="00BC60FC" w:rsidP="00BC60FC">
      <w:pPr>
        <w:pStyle w:val="Point1"/>
      </w:pPr>
      <w:r w:rsidRPr="00483F7D">
        <w:t>ια)</w:t>
      </w:r>
      <w:r w:rsidRPr="00483F7D">
        <w:tab/>
      </w:r>
      <w:r w:rsidR="007A1FD7" w:rsidRPr="00483F7D">
        <w:t>συστήνει, κατά περίπτωση, ικανότητα εσωτερικού ελέγχου·</w:t>
      </w:r>
    </w:p>
    <w:p w14:paraId="6FFFCAF8" w14:textId="438F688B" w:rsidR="00E0244C" w:rsidRPr="00483F7D" w:rsidRDefault="00BC60FC" w:rsidP="00BC60FC">
      <w:pPr>
        <w:pStyle w:val="Point1"/>
      </w:pPr>
      <w:r w:rsidRPr="00483F7D">
        <w:t>ιβ)</w:t>
      </w:r>
      <w:r w:rsidRPr="00483F7D">
        <w:tab/>
      </w:r>
      <w:r w:rsidR="007A1FD7" w:rsidRPr="00483F7D">
        <w:t xml:space="preserve">εγκρίνει τους κανόνες ασφάλειας της Τελωνειακής Αρχής της ΕΕ κατά την έννοια του </w:t>
      </w:r>
      <w:hyperlink w:anchor="__akn_article_HDZbTN" w:tooltip="Article 230: 230">
        <w:r w:rsidR="007A1FD7" w:rsidRPr="00483F7D">
          <w:t>άρθρου</w:t>
        </w:r>
      </w:hyperlink>
      <w:r w:rsidR="007A1FD7" w:rsidRPr="00483F7D">
        <w:t xml:space="preserve"> 233·</w:t>
      </w:r>
    </w:p>
    <w:p w14:paraId="431A71EC" w14:textId="6924C9B5" w:rsidR="00E0244C" w:rsidRPr="00483F7D" w:rsidRDefault="00BC60FC" w:rsidP="00BC60FC">
      <w:pPr>
        <w:pStyle w:val="Point1"/>
      </w:pPr>
      <w:r w:rsidRPr="00483F7D">
        <w:t>ιγ)</w:t>
      </w:r>
      <w:r w:rsidRPr="00483F7D">
        <w:tab/>
      </w:r>
      <w:r w:rsidR="007A1FD7" w:rsidRPr="00483F7D">
        <w:t xml:space="preserve">διορίζει τον/την εκτελεστικό/-ή διευθυντή/-ρια και τον/την αναπληρωτή/-ρια εκτελεστικό/-ή διευθυντή/-ρια, εφόσον συστήνεται τέτοια θέση, και, ανάλογα με την περίπτωση, ανανεώνει τις θητείες τους ή τους απαλλάσσει από τα καθήκοντά τους, σύμφωνα με το άρθρο </w:t>
      </w:r>
      <w:hyperlink w:anchor="__akn_article_a1OSkN" w:tooltip="Article 217: 217">
        <w:r w:rsidR="007A1FD7" w:rsidRPr="00483F7D">
          <w:t>217</w:t>
        </w:r>
      </w:hyperlink>
      <w:r w:rsidR="007A1FD7" w:rsidRPr="00483F7D">
        <w:t>·</w:t>
      </w:r>
    </w:p>
    <w:p w14:paraId="68913EE0" w14:textId="49D10486" w:rsidR="00E0244C" w:rsidRPr="00483F7D" w:rsidRDefault="00BC60FC" w:rsidP="00BC60FC">
      <w:pPr>
        <w:pStyle w:val="Point1"/>
      </w:pPr>
      <w:r w:rsidRPr="00483F7D">
        <w:t>ιδ)</w:t>
      </w:r>
      <w:r w:rsidRPr="00483F7D">
        <w:tab/>
      </w:r>
      <w:r w:rsidR="007A1FD7" w:rsidRPr="00483F7D">
        <w:t>διορίζει υπόλογο, οποίος μπορεί να είναι ο υπόλογος της Επιτροπής και ο οποίος υπάγεται στον κανονισμό υπηρεσιακής κατάστασης των υπαλλήλων και στο καθεστώς που εφαρμόζεται στο λοιπό προσωπικό και είναι απολύτως ανεξάρτητος κατά την εκτέλεση των καθηκόντων του·</w:t>
      </w:r>
    </w:p>
    <w:p w14:paraId="272616E8" w14:textId="737D5E90" w:rsidR="00E0244C" w:rsidRPr="00483F7D" w:rsidRDefault="00BC60FC" w:rsidP="00BC60FC">
      <w:pPr>
        <w:pStyle w:val="Point1"/>
      </w:pPr>
      <w:r w:rsidRPr="00483F7D">
        <w:t>ιε)</w:t>
      </w:r>
      <w:r w:rsidRPr="00483F7D">
        <w:tab/>
      </w:r>
      <w:r w:rsidR="007A1FD7" w:rsidRPr="00483F7D">
        <w:t>λαμβάνει όλες τις αποφάσεις σχετικά με τη θέσπιση των εσωτερικών δομών της Τελωνειακής Αρχής της ΕΕ και, όπου απαιτείται, σχετικά με την τροποποίησή τους, συνεκτιμώντας τις ανάγκες που αφορούν τις δραστηριότητες της Τελωνειακής Αρχής της ΕΕ και λαμβάνοντας υπόψη τη χρηστή δημοσιονομική διαχείριση.</w:t>
      </w:r>
    </w:p>
    <w:p w14:paraId="7B497B99" w14:textId="01A7E2BC" w:rsidR="00E0244C" w:rsidRPr="00483F7D" w:rsidRDefault="00BC60FC" w:rsidP="00BC60FC">
      <w:pPr>
        <w:pStyle w:val="Point1"/>
      </w:pPr>
      <w:r w:rsidRPr="00483F7D">
        <w:t>ιστ)</w:t>
      </w:r>
      <w:r w:rsidRPr="00483F7D">
        <w:tab/>
      </w:r>
      <w:r w:rsidR="007A1FD7" w:rsidRPr="00483F7D">
        <w:t xml:space="preserve">εγκρίνει τη σύναψη ρυθμίσεων συνεργασίας σύμφωνα με το άρθρο 240 παράγραφος </w:t>
      </w:r>
      <w:hyperlink w:anchor="__akn_article_RNLLEm-par1" w:tooltip="Article 237(9): (9)">
        <w:r w:rsidR="007A1FD7" w:rsidRPr="00483F7D">
          <w:t>9</w:t>
        </w:r>
      </w:hyperlink>
      <w:r w:rsidR="007A1FD7" w:rsidRPr="00483F7D">
        <w:t>.</w:t>
      </w:r>
    </w:p>
    <w:p w14:paraId="4D179B0F" w14:textId="6E8B1108" w:rsidR="00E0244C" w:rsidRPr="00483F7D" w:rsidRDefault="00BC60FC" w:rsidP="00BC60FC">
      <w:pPr>
        <w:pStyle w:val="Point1"/>
      </w:pPr>
      <w:r w:rsidRPr="00483F7D">
        <w:t>ιζ)</w:t>
      </w:r>
      <w:r w:rsidRPr="00483F7D">
        <w:tab/>
      </w:r>
      <w:r w:rsidR="007A1FD7" w:rsidRPr="00483F7D">
        <w:t>συγκροτεί ομάδες εργασίας και ομάδες εμπειρογνωμόνων και εγκρίνει τον εσωτερικό τους κανονισμό·</w:t>
      </w:r>
    </w:p>
    <w:p w14:paraId="1DA47FAB" w14:textId="3EC828D3" w:rsidR="00E0244C" w:rsidRPr="00483F7D" w:rsidRDefault="00BC60FC" w:rsidP="00BC60FC">
      <w:pPr>
        <w:pStyle w:val="Point1"/>
      </w:pPr>
      <w:r w:rsidRPr="00483F7D">
        <w:t>ιη)</w:t>
      </w:r>
      <w:r w:rsidRPr="00483F7D">
        <w:tab/>
      </w:r>
      <w:r w:rsidR="007A1FD7" w:rsidRPr="00483F7D">
        <w:t>εγκρίνει το σχέδιο ενιαίου εγγράφου προγραμματισμού που αναφέρεται στο άρθρο 22</w:t>
      </w:r>
      <w:hyperlink w:anchor="__akn_article_UlpyVn" w:tooltip="Article 220: 220">
        <w:r w:rsidR="007A1FD7" w:rsidRPr="00483F7D">
          <w:t>3</w:t>
        </w:r>
      </w:hyperlink>
      <w:r w:rsidR="007A1FD7" w:rsidRPr="00483F7D">
        <w:t>, πριν από την υποβολή του στην Επιτροπή προκειμένου αυτή να γνωμοδοτήσει σχετικά·</w:t>
      </w:r>
    </w:p>
    <w:p w14:paraId="4AC28834" w14:textId="5143D798" w:rsidR="00E0244C" w:rsidRPr="00483F7D" w:rsidRDefault="00BC60FC" w:rsidP="00BC60FC">
      <w:pPr>
        <w:pStyle w:val="Point1"/>
      </w:pPr>
      <w:r w:rsidRPr="00483F7D">
        <w:t>ιθ)</w:t>
      </w:r>
      <w:r w:rsidRPr="00483F7D">
        <w:tab/>
      </w:r>
      <w:r w:rsidR="007A1FD7" w:rsidRPr="00483F7D">
        <w:t xml:space="preserve">λαμβάνοντας υπόψη τη γνώμη της Επιτροπής, εγκρίνει το ενιαίο έγγραφο προγραμματισμού της Τελωνειακής Αρχής της ΕΕ με πλειοψηφία των δύο τρίτων των μελών με δικαίωμα ψήφου και σύμφωνα με το άρθρο </w:t>
      </w:r>
      <w:hyperlink w:anchor="_bill__akn_article_YeYLtv" w:tooltip="Article 215: 215">
        <w:r w:rsidR="007A1FD7" w:rsidRPr="00483F7D">
          <w:t>216</w:t>
        </w:r>
      </w:hyperlink>
      <w:r w:rsidR="007A1FD7" w:rsidRPr="00483F7D">
        <w:t>·</w:t>
      </w:r>
    </w:p>
    <w:p w14:paraId="23F01EDD" w14:textId="09CD5BE9" w:rsidR="00E0244C" w:rsidRPr="00483F7D" w:rsidRDefault="00BC60FC" w:rsidP="00BC60FC">
      <w:pPr>
        <w:pStyle w:val="Point1"/>
      </w:pPr>
      <w:r w:rsidRPr="00483F7D">
        <w:t>κ)</w:t>
      </w:r>
      <w:r w:rsidRPr="00483F7D">
        <w:tab/>
      </w:r>
      <w:r w:rsidR="007A1FD7" w:rsidRPr="00483F7D">
        <w:t>εγκρίνει στρατηγική για την αύξηση της αποδοτικότητας και την επίτευξη συνεργειών·</w:t>
      </w:r>
    </w:p>
    <w:p w14:paraId="4DDCD44F" w14:textId="31F78649" w:rsidR="00E0244C" w:rsidRPr="00483F7D" w:rsidRDefault="00BC60FC" w:rsidP="00BC60FC">
      <w:pPr>
        <w:pStyle w:val="Point1"/>
      </w:pPr>
      <w:r w:rsidRPr="00483F7D">
        <w:t>κα)</w:t>
      </w:r>
      <w:r w:rsidRPr="00483F7D">
        <w:tab/>
      </w:r>
      <w:r w:rsidR="007A1FD7" w:rsidRPr="00483F7D">
        <w:t>εγκρίνει στρατηγική για τις σχέσεις με τρίτες χώρες και/ή διεθνείς οργανισμούς·</w:t>
      </w:r>
    </w:p>
    <w:p w14:paraId="2BC9B43D" w14:textId="09E063B6" w:rsidR="00E0244C" w:rsidRPr="00483F7D" w:rsidRDefault="00BC60FC" w:rsidP="00BC60FC">
      <w:pPr>
        <w:pStyle w:val="Point1"/>
      </w:pPr>
      <w:r w:rsidRPr="00483F7D">
        <w:t>κβ)</w:t>
      </w:r>
      <w:r w:rsidRPr="00483F7D">
        <w:tab/>
      </w:r>
      <w:r w:rsidR="007A1FD7" w:rsidRPr="00483F7D">
        <w:t>εγκρίνει στρατηγική για τα συστήματα οργανωτικής διαχείρισης και εσωτερικού ελέγχου·</w:t>
      </w:r>
    </w:p>
    <w:p w14:paraId="74146452" w14:textId="77777777" w:rsidR="00E0244C" w:rsidRPr="00483F7D" w:rsidRDefault="007A1FD7">
      <w:pPr>
        <w:pStyle w:val="ManualNumPar10"/>
      </w:pPr>
      <w:bookmarkStart w:id="204" w:name="_bill__akn_article_cxC5LS_mI0XkC"/>
      <w:bookmarkEnd w:id="204"/>
      <w:r w:rsidRPr="00483F7D">
        <w:t>2.</w:t>
      </w:r>
      <w:r w:rsidRPr="00483F7D">
        <w:tab/>
        <w:t>Το διοικητικό συμβούλιο εκδίδει, σύμφωνα με το άρθρο 110 του κανονισμού υπηρεσιακής κατάστασης, απόφαση με βάση το άρθρο 2 παράγραφος 1 του κανονισμού υπηρεσιακής κατάστασης και το άρθρο 6 του καθεστώτος του λοιπού προσωπικού, για τη μεταβίβαση των σχετικών εξουσιών αρμόδιας για τους διορισμούς αρχής στον εκτελεστικό διευθυντή, καθώς και για τον καθορισμό των όρων με βάση τους οποίους μπορεί να ανασταλεί η εν λόγω μεταβίβαση. Ο/Η εκτελεστικός/-ή διευθυντής/-ρια έχει το δικαίωμα να μεταβιβάζει περαιτέρω τις εν λόγω εξουσίες.</w:t>
      </w:r>
    </w:p>
    <w:p w14:paraId="4D5987AA" w14:textId="77777777" w:rsidR="00E0244C" w:rsidRPr="00483F7D" w:rsidRDefault="007A1FD7">
      <w:pPr>
        <w:pStyle w:val="ManualNumPar10"/>
      </w:pPr>
      <w:r w:rsidRPr="00483F7D">
        <w:t>3.</w:t>
      </w:r>
      <w:r w:rsidRPr="00483F7D">
        <w:tab/>
        <w:t>Όταν το επιβάλλουν εξαιρετικές περιστάσεις, το διοικητικό συμβούλιο δύναται, με απόφασή του, να αναστείλει προσωρινά τη μεταβίβαση στον/στην εκτελεστικό/-ή διευθυντή/-ρια των εξουσιών αρμόδιας για τους διορισμούς αρχής και των εξουσιών που ο/η εκτελεστικός/-ή διευθυντής/-ρια μεταβίβασε περαιτέρω και να τις ασκήσει το ίδιο ή να τις αναθέσει σε ένα από τα μέλη του ή σε άλλο μέλος του προσωπικού πλην του/της εκτελεστικού/-ής διευθυντή/-ριας.</w:t>
      </w:r>
    </w:p>
    <w:p w14:paraId="7EB6518E" w14:textId="77777777" w:rsidR="00E0244C" w:rsidRPr="00483F7D" w:rsidRDefault="007A1FD7">
      <w:pPr>
        <w:pStyle w:val="Titrearticle"/>
      </w:pPr>
      <w:bookmarkStart w:id="205" w:name="_bill__akn_article_YeYLtv"/>
      <w:bookmarkEnd w:id="205"/>
      <w:r w:rsidRPr="00483F7D">
        <w:t>Άρθρο 216</w:t>
      </w:r>
    </w:p>
    <w:p w14:paraId="3363BBC2" w14:textId="77777777" w:rsidR="00E0244C" w:rsidRPr="00483F7D" w:rsidRDefault="007A1FD7">
      <w:pPr>
        <w:pStyle w:val="NormalCentered"/>
      </w:pPr>
      <w:r w:rsidRPr="00483F7D">
        <w:rPr>
          <w:b/>
        </w:rPr>
        <w:t>Κανόνες ψηφοφορίας του διοικητικού συμβουλίου</w:t>
      </w:r>
    </w:p>
    <w:p w14:paraId="1426CF08" w14:textId="77777777" w:rsidR="00E0244C" w:rsidRPr="00483F7D" w:rsidRDefault="007A1FD7">
      <w:pPr>
        <w:pStyle w:val="ManualNumPar10"/>
      </w:pPr>
      <w:r w:rsidRPr="00483F7D">
        <w:t>1.</w:t>
      </w:r>
      <w:r w:rsidRPr="00483F7D">
        <w:tab/>
        <w:t xml:space="preserve">Με την επιφύλαξη του άρθρου 215 παράγραφος 1 στοιχεία </w:t>
      </w:r>
      <w:hyperlink w:anchor="_bill__akn_article_cxC5LS_jJCjJA" w:tooltip="Article 214(1), points (b), (m) and (s): (b)">
        <w:r w:rsidRPr="00483F7D">
          <w:t>β)</w:t>
        </w:r>
      </w:hyperlink>
      <w:r w:rsidRPr="00483F7D">
        <w:t xml:space="preserve">, </w:t>
      </w:r>
      <w:hyperlink w:anchor="_bill__akn_article_cxC5LS_GdymDR" w:tooltip="Article 214(1), points (b), (m) and (s): (m)">
        <w:r w:rsidRPr="00483F7D">
          <w:t>ιγ)</w:t>
        </w:r>
      </w:hyperlink>
      <w:r w:rsidRPr="00483F7D">
        <w:t xml:space="preserve"> και </w:t>
      </w:r>
      <w:hyperlink w:anchor="_bill__akn_article_cxC5LS_Jh2iXc" w:tooltip="Article 214(1), points (b), (m) and (s): (s)">
        <w:r w:rsidRPr="00483F7D">
          <w:t>ιθ)</w:t>
        </w:r>
      </w:hyperlink>
      <w:r w:rsidRPr="00483F7D">
        <w:t>, οι αποφάσεις του διοικητικού συμβουλίου λαμβάνονται με απόλυτη πλειοψηφία των μελών του που έχουν δικαίωμα ψήφου.</w:t>
      </w:r>
    </w:p>
    <w:p w14:paraId="2FE1194F" w14:textId="77777777" w:rsidR="00E0244C" w:rsidRPr="00483F7D" w:rsidRDefault="007A1FD7">
      <w:pPr>
        <w:pStyle w:val="ManualNumPar10"/>
      </w:pPr>
      <w:r w:rsidRPr="00483F7D">
        <w:t>2.</w:t>
      </w:r>
      <w:r w:rsidRPr="00483F7D">
        <w:tab/>
        <w:t>Η απόφαση που αναφέρεται στο άρθρο 215 παράγραφος 1 στοιχεία </w:t>
      </w:r>
      <w:hyperlink w:anchor="_bill__akn_article_cxC5LS_jJCjJA" w:tooltip="Article 214(1), points (b), (j), (o) and (s): (b)">
        <w:r w:rsidRPr="00483F7D">
          <w:t>β)</w:t>
        </w:r>
      </w:hyperlink>
      <w:r w:rsidRPr="00483F7D">
        <w:t>, γ), ε), στ), ι), ιγ), ιδ), ιε) και ιθ) μπορεί να λαμβάνεται μόνον αν η ψήφος των εκπροσώπων της Επιτροπής είναι θετική. Για τους σκοπούς της λήψης της απόφασης που αναφέρεται στο άρθρο 215 παράγραφος 1 στοιχείο ιθ), απαιτείται η συγκατάθεση των εκπροσώπων της Επιτροπής μόνο για τα στοιχεία της απόφασης που δεν σχετίζονται με το ετήσιο και το πολυετές πρόγραμμα εργασίας της Τελωνειακής Αρχής της ΕΕ.</w:t>
      </w:r>
    </w:p>
    <w:p w14:paraId="6994B667" w14:textId="77777777" w:rsidR="00E0244C" w:rsidRPr="00483F7D" w:rsidRDefault="007A1FD7">
      <w:pPr>
        <w:pStyle w:val="ManualNumPar10"/>
      </w:pPr>
      <w:r w:rsidRPr="00483F7D">
        <w:t>3.</w:t>
      </w:r>
      <w:r w:rsidRPr="00483F7D">
        <w:tab/>
        <w:t>Κάθε μέλος με δικαίωμα ψήφου διαθέτει μία ψήφο. Κατά την απουσία μέλους με δικαίωμα ψήφου, το δικαίωμα ψήφου του δικαιούται να ασκήσει ο/η αναπληρωτής/-ριά του.</w:t>
      </w:r>
    </w:p>
    <w:p w14:paraId="09266AEF" w14:textId="77777777" w:rsidR="00E0244C" w:rsidRPr="00483F7D" w:rsidRDefault="007A1FD7">
      <w:pPr>
        <w:pStyle w:val="ManualNumPar10"/>
      </w:pPr>
      <w:r w:rsidRPr="00483F7D">
        <w:t>4.</w:t>
      </w:r>
      <w:r w:rsidRPr="00483F7D">
        <w:tab/>
        <w:t>Ο/Η πρόεδρος συμμετέχει στην ψηφοφορία.</w:t>
      </w:r>
    </w:p>
    <w:p w14:paraId="21E0FA50" w14:textId="77777777" w:rsidR="00E0244C" w:rsidRPr="00483F7D" w:rsidRDefault="007A1FD7">
      <w:pPr>
        <w:pStyle w:val="ManualNumPar10"/>
      </w:pPr>
      <w:r w:rsidRPr="00483F7D">
        <w:t>5.</w:t>
      </w:r>
      <w:r w:rsidRPr="00483F7D">
        <w:tab/>
        <w:t>Ο/Η εκτελεστικός/-ή διευθυντής/-ρια δεν συμμετέχει στην ψηφοφορία.</w:t>
      </w:r>
    </w:p>
    <w:p w14:paraId="4EEF9E56" w14:textId="77777777" w:rsidR="00E0244C" w:rsidRPr="00483F7D" w:rsidRDefault="007A1FD7">
      <w:pPr>
        <w:pStyle w:val="ManualNumPar10"/>
      </w:pPr>
      <w:r w:rsidRPr="00483F7D">
        <w:t>6.</w:t>
      </w:r>
      <w:r w:rsidRPr="00483F7D">
        <w:tab/>
        <w:t>Λεπτομερέστερες ρυθμίσεις σχετικά με την ψηφοφορία, ιδίως όσον αφορά τις προϋποθέσεις υπό τις οποίες ένα μέλος μπορεί να ενεργεί για λογαριασμό άλλου μέλους, καθορίζονται στον εσωτερικό κανονισμό του διοικητικού συμβουλίου.</w:t>
      </w:r>
    </w:p>
    <w:p w14:paraId="599A29D3" w14:textId="77777777" w:rsidR="00E0244C" w:rsidRPr="00483F7D" w:rsidRDefault="007A1FD7">
      <w:pPr>
        <w:pStyle w:val="SectionTitle"/>
      </w:pPr>
      <w:r w:rsidRPr="00483F7D">
        <w:t xml:space="preserve">Τμήμα 2 </w:t>
      </w:r>
      <w:r w:rsidRPr="00483F7D">
        <w:br/>
        <w:t>Το εκτελεστικό γραφείο</w:t>
      </w:r>
    </w:p>
    <w:p w14:paraId="0A4362AA" w14:textId="77777777" w:rsidR="00E0244C" w:rsidRPr="00483F7D" w:rsidRDefault="007A1FD7">
      <w:pPr>
        <w:pStyle w:val="Titrearticle"/>
      </w:pPr>
      <w:bookmarkStart w:id="206" w:name="__akn_article_8iDj4B"/>
      <w:bookmarkEnd w:id="206"/>
      <w:r w:rsidRPr="00483F7D">
        <w:t>Άρθρο 217</w:t>
      </w:r>
    </w:p>
    <w:p w14:paraId="562CD385" w14:textId="77777777" w:rsidR="00146A3F" w:rsidRPr="00483F7D" w:rsidRDefault="00146A3F" w:rsidP="00146A3F">
      <w:pPr>
        <w:pStyle w:val="NormalCentered"/>
      </w:pPr>
      <w:r w:rsidRPr="00483F7D">
        <w:rPr>
          <w:b/>
        </w:rPr>
        <w:t>Εκτελεστικό γραφείο</w:t>
      </w:r>
    </w:p>
    <w:p w14:paraId="10BB8543" w14:textId="77777777" w:rsidR="00E0244C" w:rsidRPr="00483F7D" w:rsidRDefault="007A1FD7">
      <w:pPr>
        <w:pStyle w:val="ManualNumPar10"/>
      </w:pPr>
      <w:r w:rsidRPr="00483F7D">
        <w:t>1.</w:t>
      </w:r>
      <w:r w:rsidRPr="00483F7D">
        <w:tab/>
        <w:t>Το διοικητικό συμβούλιο επικουρείται από εκτελεστικό γραφείο.</w:t>
      </w:r>
    </w:p>
    <w:p w14:paraId="04F41D0E" w14:textId="77777777" w:rsidR="006254D6" w:rsidRPr="00483F7D" w:rsidRDefault="006254D6" w:rsidP="006254D6">
      <w:pPr>
        <w:pStyle w:val="ManualNumPar10"/>
      </w:pPr>
      <w:r w:rsidRPr="00483F7D">
        <w:t>2.</w:t>
      </w:r>
      <w:r w:rsidRPr="00483F7D">
        <w:tab/>
        <w:t>Το εκτελεστικό γραφείο:</w:t>
      </w:r>
    </w:p>
    <w:p w14:paraId="240B6107" w14:textId="51805707" w:rsidR="00E0244C" w:rsidRPr="00483F7D" w:rsidRDefault="00BC60FC" w:rsidP="00BC60FC">
      <w:pPr>
        <w:pStyle w:val="Point1"/>
      </w:pPr>
      <w:r w:rsidRPr="00483F7D">
        <w:t>α)</w:t>
      </w:r>
      <w:r w:rsidRPr="00483F7D">
        <w:tab/>
      </w:r>
      <w:r w:rsidR="00363FD1" w:rsidRPr="00483F7D">
        <w:t>επιβλέπει τις προπαρασκευαστικές εργασίες για τη λήψη αποφάσεων από το διοικητικό συμβούλιο·</w:t>
      </w:r>
    </w:p>
    <w:p w14:paraId="63961332" w14:textId="32DF3C76" w:rsidR="00E0244C" w:rsidRPr="00483F7D" w:rsidRDefault="00BC60FC" w:rsidP="00BC60FC">
      <w:pPr>
        <w:pStyle w:val="Point1"/>
      </w:pPr>
      <w:r w:rsidRPr="00483F7D">
        <w:t>β)</w:t>
      </w:r>
      <w:r w:rsidRPr="00483F7D">
        <w:tab/>
      </w:r>
      <w:r w:rsidR="007A1FD7" w:rsidRPr="00483F7D">
        <w:t>μεριμνά ώστε, από κοινού με το διοικητικό συμβούλιο, να δίνεται κατάλληλη συνέχεια στα πορίσματα και στις συστάσεις που απορρέουν από τις εσωτερικές ή εξωτερικές εκθέσεις ελέγχου και τις αξιολογήσεις, καθώς και από έρευνες της OLAF και της Ευρωπαϊκής Εισαγγελίας·</w:t>
      </w:r>
    </w:p>
    <w:p w14:paraId="0F6B5436" w14:textId="4EC85277" w:rsidR="006254D6" w:rsidRPr="00483F7D" w:rsidRDefault="00BC60FC" w:rsidP="00BC60FC">
      <w:pPr>
        <w:pStyle w:val="Point1"/>
      </w:pPr>
      <w:r w:rsidRPr="00483F7D">
        <w:t>γ)</w:t>
      </w:r>
      <w:r w:rsidRPr="00483F7D">
        <w:tab/>
      </w:r>
      <w:r w:rsidR="00743087" w:rsidRPr="00483F7D">
        <w:t>επιβλέπει την εφαρμογή των αποφάσεων του διοικητικού συμβουλίου με σκοπό την ενίσχυση της επίβλεψης της διοικητικής και δημοσιονομικής διαχείρισης.</w:t>
      </w:r>
    </w:p>
    <w:p w14:paraId="238A5670" w14:textId="77777777" w:rsidR="00160855" w:rsidRPr="00483F7D" w:rsidRDefault="007A1FD7" w:rsidP="5DA9B26A">
      <w:pPr>
        <w:pStyle w:val="ManualNumPar10"/>
      </w:pPr>
      <w:r w:rsidRPr="00483F7D">
        <w:t>3.</w:t>
      </w:r>
      <w:r w:rsidRPr="00483F7D">
        <w:tab/>
        <w:t>Όταν είναι απαραίτητο, λόγω επείγουσας ανάγκης, το εκτελεστικό γραφείο μπορεί να λαμβάνει ορισμένες προσωρινές αποφάσεις για λογαριασμό του διοικητικού συμβουλίου, ιδίως όσον αφορά τα ακόλουθα θέματα:</w:t>
      </w:r>
    </w:p>
    <w:p w14:paraId="0D22D0B8" w14:textId="74A8D271" w:rsidR="00E0244C" w:rsidRPr="00483F7D" w:rsidRDefault="00BC60FC" w:rsidP="00BC60FC">
      <w:pPr>
        <w:pStyle w:val="Point1"/>
      </w:pPr>
      <w:r w:rsidRPr="00483F7D">
        <w:t>α)</w:t>
      </w:r>
      <w:r w:rsidRPr="00483F7D">
        <w:tab/>
      </w:r>
      <w:r w:rsidR="007A1FD7" w:rsidRPr="00483F7D">
        <w:t>ζητήματα διοικητικής διαχείρισης, συμπεριλαμβανομένης της αναστολής της ανάθεσης των εξουσιών αρμόδιας για τους διορισμούς αρχής και σε θέματα προϋπολογισμού·</w:t>
      </w:r>
    </w:p>
    <w:p w14:paraId="0BADE802" w14:textId="0688B8D4" w:rsidR="00E0244C" w:rsidRPr="00483F7D" w:rsidRDefault="00BC60FC" w:rsidP="00BC60FC">
      <w:pPr>
        <w:pStyle w:val="Point1"/>
      </w:pPr>
      <w:r w:rsidRPr="00483F7D">
        <w:t>β)</w:t>
      </w:r>
      <w:r w:rsidRPr="00483F7D">
        <w:tab/>
      </w:r>
      <w:r w:rsidR="00160855" w:rsidRPr="00483F7D">
        <w:t xml:space="preserve">όταν έχει διαπιστωθεί κατάσταση κρίσης, όπως ορίζεται στον τίτλο </w:t>
      </w:r>
      <w:hyperlink w:anchor="__akn_title_JyY8i7" w:tooltip="Title XI: XI">
        <w:r w:rsidR="00160855" w:rsidRPr="00483F7D">
          <w:t>XI</w:t>
        </w:r>
      </w:hyperlink>
      <w:r w:rsidR="00160855" w:rsidRPr="00483F7D">
        <w:t>, και απαιτεί άμεση ανάληψη δράσης ή προσαρμογή των δραστηριοτήτων της Τελωνειακής Αρχής της ΕΕ.</w:t>
      </w:r>
    </w:p>
    <w:p w14:paraId="29AA3AF1" w14:textId="77777777" w:rsidR="00E0244C" w:rsidRPr="00483F7D" w:rsidRDefault="007A1FD7">
      <w:pPr>
        <w:pStyle w:val="ManualNumPar10"/>
      </w:pPr>
      <w:r w:rsidRPr="00483F7D">
        <w:t>5.</w:t>
      </w:r>
      <w:r w:rsidRPr="00483F7D">
        <w:tab/>
        <w:t>Το εκτελεστικό γραφείο απαρτίζεται από τους δύο εκπροσώπους της Επιτροπής στο διοικητικό συμβούλιο και τρία άλλα μέλη που διορίζονται από το διοικητικό συμβούλιο και επιλέγονται μεταξύ των μελών του που έχουν δικαίωμα ψήφου. Ο/Η πρόεδρος του διοικητικού συμβουλίου είναι επίσης πρόεδρος του εκτελεστικού γραφείου. Ο/Η εκτελεστικός/-ή διευθυντής/-ρια συμμετέχει στις συνεδριάσεις του εκτελεστικού γραφείου, αλλά χωρίς δικαίωμα ψήφου. Οι αποφάσεις του εκτελεστικού γραφείου λαμβάνονται με απλή πλειοψηφία των μελών του. Οι αποφάσεις που αναφέρονται στην παράγραφο 2 στοιχείο β) είναι δυνατό να λαμβάνονται μόνον αν η ψήφος ενός εκπροσώπου της Επιτροπής είναι θετική.</w:t>
      </w:r>
    </w:p>
    <w:p w14:paraId="02A3FB75" w14:textId="77777777" w:rsidR="00E0244C" w:rsidRPr="00483F7D" w:rsidRDefault="007A1FD7">
      <w:pPr>
        <w:pStyle w:val="ManualNumPar10"/>
      </w:pPr>
      <w:r w:rsidRPr="00483F7D">
        <w:t>6.</w:t>
      </w:r>
      <w:r w:rsidRPr="00483F7D">
        <w:tab/>
        <w:t>Η θητεία των μελών του εκτελεστικού γραφείου είναι 4 έτη, με δυνατότητα ανανέωσης. Η θητεία των μελών του εκτελεστικού γραφείου λήγει όταν παύουν να είναι μέλη του διοικητικού συμβουλίου.</w:t>
      </w:r>
    </w:p>
    <w:p w14:paraId="67F26B0D" w14:textId="77777777" w:rsidR="00E0244C" w:rsidRPr="00483F7D" w:rsidRDefault="007A1FD7">
      <w:pPr>
        <w:pStyle w:val="ManualNumPar10"/>
      </w:pPr>
      <w:r w:rsidRPr="00483F7D">
        <w:t>7.</w:t>
      </w:r>
      <w:r w:rsidRPr="00483F7D">
        <w:tab/>
        <w:t>Το εκτελεστικό γραφείο πραγματοποιεί τουλάχιστον μία τακτική συνεδρίαση ανά τρίμηνο. Επιπλέον, συνέρχεται με πρωτοβουλία του/της προέδρου του ή κατόπιν αιτήματος των μελών του.</w:t>
      </w:r>
    </w:p>
    <w:p w14:paraId="5A01D0BA" w14:textId="77777777" w:rsidR="00E0244C" w:rsidRPr="00483F7D" w:rsidRDefault="007A1FD7">
      <w:pPr>
        <w:pStyle w:val="ManualNumPar10"/>
      </w:pPr>
      <w:r w:rsidRPr="00483F7D">
        <w:t>8.</w:t>
      </w:r>
      <w:r w:rsidRPr="00483F7D">
        <w:tab/>
        <w:t>Το διοικητικό συμβούλιο θεσπίζει τον εσωτερικό κανονισμό του εκτελεστικού γραφείου.</w:t>
      </w:r>
    </w:p>
    <w:p w14:paraId="12B15BD8" w14:textId="77777777" w:rsidR="00E0244C" w:rsidRPr="00483F7D" w:rsidRDefault="007A1FD7">
      <w:pPr>
        <w:pStyle w:val="SectionTitle"/>
      </w:pPr>
      <w:r w:rsidRPr="00483F7D">
        <w:t xml:space="preserve">Τμήμα 3 </w:t>
      </w:r>
      <w:r w:rsidRPr="00483F7D">
        <w:br/>
        <w:t>Ο/Η εκτελεστικός/ή διευθυντής/-ρια</w:t>
      </w:r>
    </w:p>
    <w:p w14:paraId="391D3301" w14:textId="77777777" w:rsidR="00990817" w:rsidRPr="00483F7D" w:rsidRDefault="00990817" w:rsidP="00990817">
      <w:pPr>
        <w:pStyle w:val="Titrearticle"/>
      </w:pPr>
      <w:bookmarkStart w:id="207" w:name="__akn_article_a1OSkN"/>
      <w:bookmarkEnd w:id="207"/>
      <w:r w:rsidRPr="00483F7D">
        <w:t xml:space="preserve">Άρθρο 218 </w:t>
      </w:r>
    </w:p>
    <w:p w14:paraId="303A766B" w14:textId="77777777" w:rsidR="00E0244C" w:rsidRPr="00483F7D" w:rsidRDefault="007A1FD7">
      <w:pPr>
        <w:pStyle w:val="NormalCentered"/>
      </w:pPr>
      <w:r w:rsidRPr="00483F7D">
        <w:rPr>
          <w:b/>
        </w:rPr>
        <w:t>Διορισμός, παύση και παράταση της θητείας</w:t>
      </w:r>
    </w:p>
    <w:p w14:paraId="4DDDC488" w14:textId="77777777" w:rsidR="00E0244C" w:rsidRPr="00483F7D" w:rsidRDefault="007A1FD7">
      <w:pPr>
        <w:pStyle w:val="ManualNumPar10"/>
      </w:pPr>
      <w:r w:rsidRPr="00483F7D">
        <w:t>1.</w:t>
      </w:r>
      <w:r w:rsidRPr="00483F7D">
        <w:tab/>
        <w:t>Ο/Η εκτελεστικός/ή διευθυντής/-ρια προσλαμβάνεται ως έκτακτος/-η υπάλληλος της Τελωνειακής Αρχής της ΕΕ σύμφωνα με το άρθρο 2 στοιχείο α) του καθεστώτος που εφαρμόζεται στο λοιπό προσωπικό.</w:t>
      </w:r>
    </w:p>
    <w:p w14:paraId="4FC97131" w14:textId="77777777" w:rsidR="00E0244C" w:rsidRPr="00483F7D" w:rsidRDefault="007A1FD7">
      <w:pPr>
        <w:pStyle w:val="Text1"/>
      </w:pPr>
      <w:r w:rsidRPr="00483F7D">
        <w:t>Ο/Η εκτελεστικός/ή διευθυντής/-ρια διορίζεται από το διοικητικό συμβούλιο αξιοκρατικά και με βάση τις τεκμηριωμένες διοικητικές και διαχειριστικές του/της ικανότητες, καθώς και τα σχετικά προσόντα και εμπειρία, από κατάλογο τουλάχιστον τριών υποψηφίων που προτείνει η Επιτροπή, ύστερα από ανοικτή και διαφανή διαδικασία επιλογής.</w:t>
      </w:r>
    </w:p>
    <w:p w14:paraId="7E085231" w14:textId="77777777" w:rsidR="00E0244C" w:rsidRPr="00483F7D" w:rsidRDefault="0047346C">
      <w:pPr>
        <w:pStyle w:val="Text1"/>
      </w:pPr>
      <w:r w:rsidRPr="00483F7D">
        <w:t>Για τη σύναψη της σύμβασης με τον/την εκτελεστικό/ή διευθυντή/-ρια, η Τελωνειακή Αρχή της ΕΕ εκπροσωπείται από τον/την πρόεδρο του διοικητικού συμβουλίου.</w:t>
      </w:r>
    </w:p>
    <w:p w14:paraId="20462980" w14:textId="77777777" w:rsidR="00E0244C" w:rsidRPr="00483F7D" w:rsidRDefault="007A1FD7">
      <w:pPr>
        <w:pStyle w:val="ManualNumPar10"/>
      </w:pPr>
      <w:bookmarkStart w:id="208" w:name="__akn_article_a1OSkN_fNpnW9"/>
      <w:bookmarkEnd w:id="208"/>
      <w:r w:rsidRPr="00483F7D">
        <w:t>2.</w:t>
      </w:r>
      <w:r w:rsidRPr="00483F7D">
        <w:tab/>
        <w:t>Η θητεία του/της εκτελεστικού/-ής διευθυντή/-ριας είναι 5 έτη. Εγκαίρως πριν από τη λήξη αυτής της περιόδου, η Επιτροπή διεξάγει αξιολόγηση, στην οποία λαμβάνονται υπόψη η αποτίμηση των επιδόσεων του/της εκτελεστικού/-ής διευθυντή/-ριας, καθώς και τα μελλοντικά καθήκοντα και οι προκλήσεις της Τελωνειακής Αρχής της ΕΕ.</w:t>
      </w:r>
    </w:p>
    <w:p w14:paraId="3EB2C52E" w14:textId="77777777" w:rsidR="00E0244C" w:rsidRPr="00483F7D" w:rsidRDefault="007A1FD7">
      <w:pPr>
        <w:pStyle w:val="ManualNumPar10"/>
      </w:pPr>
      <w:r w:rsidRPr="00483F7D">
        <w:t>3.</w:t>
      </w:r>
      <w:r w:rsidRPr="00483F7D">
        <w:tab/>
        <w:t>Το διοικητικό συμβούλιο, κατόπιν πρότασης της Επιτροπής που λαμβάνει υπόψη την αναφερόμενη στην παράγραφο 2 αξιολόγηση, μπορεί να παρατείνει άπαξ τη θητεία του/της εκτελεστικού/-ής διευθυντή/-ριας για μέγιστη περίοδο 5 ετών.</w:t>
      </w:r>
    </w:p>
    <w:p w14:paraId="6B433998" w14:textId="77777777" w:rsidR="00E0244C" w:rsidRPr="00483F7D" w:rsidRDefault="007A1FD7">
      <w:pPr>
        <w:pStyle w:val="ManualNumPar10"/>
      </w:pPr>
      <w:r w:rsidRPr="00483F7D">
        <w:t>4.</w:t>
      </w:r>
      <w:r w:rsidRPr="00483F7D">
        <w:tab/>
        <w:t>Εκτελεστικός/-ή διευθυντής/-ρια του/της οποίου/-ας η θητεία έχει παραταθεί δεν μπορεί να συμμετάσχει σε άλλη διαδικασία επιλογής για την ίδια θέση στο τέλος της συνολικής περιόδου.</w:t>
      </w:r>
    </w:p>
    <w:p w14:paraId="0D056BCA" w14:textId="77777777" w:rsidR="00E0244C" w:rsidRPr="00483F7D" w:rsidRDefault="007A1FD7">
      <w:pPr>
        <w:pStyle w:val="ManualNumPar10"/>
      </w:pPr>
      <w:r w:rsidRPr="00483F7D">
        <w:t>5.</w:t>
      </w:r>
      <w:r w:rsidRPr="00483F7D">
        <w:tab/>
        <w:t>Ο/Η εκτελεστικός/ή διευθυντής/-ρια μπορεί να απαλλαγεί από τα καθήκοντά του/της μόνο με απόφαση του διοικητικού συμβουλίου, κατόπιν πρότασης της Επιτροπής.</w:t>
      </w:r>
    </w:p>
    <w:p w14:paraId="2404E9B2" w14:textId="77777777" w:rsidR="00E0244C" w:rsidRPr="00483F7D" w:rsidRDefault="007A1FD7">
      <w:pPr>
        <w:pStyle w:val="ManualNumPar10"/>
      </w:pPr>
      <w:r w:rsidRPr="00483F7D">
        <w:t>6.</w:t>
      </w:r>
      <w:r w:rsidRPr="00483F7D">
        <w:tab/>
        <w:t>Το διοικητικό συμβούλιο λαμβάνει αποφάσεις για τον διορισμό, την παράταση της θητείας και την απαλλαγή του/της εκτελεστικού/-ής διευθυντή/-ριας και/ή του/της αναπληρωτή/-ριας εκτελεστικού/-ής διευθυντή/-ριας από τα καθήκοντα τους, βάσει πλειοψηφίας των δύο τρίτων των μελών του που έχουν δικαίωμα ψήφου.</w:t>
      </w:r>
    </w:p>
    <w:p w14:paraId="6B8605D0" w14:textId="77777777" w:rsidR="00E0244C" w:rsidRPr="00483F7D" w:rsidRDefault="007A1FD7">
      <w:pPr>
        <w:pStyle w:val="Titrearticle"/>
      </w:pPr>
      <w:bookmarkStart w:id="209" w:name="_bill__akn_article_kfFj0S"/>
      <w:bookmarkEnd w:id="209"/>
      <w:r w:rsidRPr="00483F7D">
        <w:t>Άρθρο 219</w:t>
      </w:r>
    </w:p>
    <w:p w14:paraId="0F99E697" w14:textId="77777777" w:rsidR="00E0244C" w:rsidRPr="00483F7D" w:rsidRDefault="007A1FD7">
      <w:pPr>
        <w:pStyle w:val="NormalCentered"/>
      </w:pPr>
      <w:r w:rsidRPr="00483F7D">
        <w:rPr>
          <w:b/>
        </w:rPr>
        <w:t>Καθήκοντα και αρμοδιότητες του/της εκτελεστικού/-ής διευθυντή/-ριας</w:t>
      </w:r>
    </w:p>
    <w:p w14:paraId="1E2FE33C" w14:textId="77777777" w:rsidR="00E0244C" w:rsidRPr="00483F7D" w:rsidRDefault="007A1FD7">
      <w:pPr>
        <w:pStyle w:val="ManualNumPar10"/>
      </w:pPr>
      <w:r w:rsidRPr="00483F7D">
        <w:t>1.</w:t>
      </w:r>
      <w:r w:rsidRPr="00483F7D">
        <w:tab/>
        <w:t>Ο/Η εκτελεστικός/-ή διευθυντής/-ρια είναι αρμόδιος/-α για τη διαχείριση της Τελωνειακής Αρχής της ΕΕ. Ο/Η εκτελεστικός/ή διευθυντής/-ρια λογοδοτεί στο διοικητικό συμβούλιο.</w:t>
      </w:r>
    </w:p>
    <w:p w14:paraId="2E2D2700" w14:textId="77777777" w:rsidR="00122D95" w:rsidRPr="00483F7D" w:rsidRDefault="00122D95" w:rsidP="00122D95">
      <w:pPr>
        <w:pStyle w:val="ManualNumPar10"/>
      </w:pPr>
      <w:r w:rsidRPr="00483F7D">
        <w:t>2.</w:t>
      </w:r>
      <w:r w:rsidRPr="00483F7D">
        <w:tab/>
        <w:t>Με την επιφύλαξη των εξουσιών της Επιτροπής και του διοικητικού συμβουλίου, ο/η εκτελεστικός/ή διευθυντής/-ρια ενεργεί υπό καθεστώς πλήρους ανεξαρτησίας κατά την εκτέλεση των καθηκόντων του/της και δεν επιζητεί ούτε λαμβάνει οδηγίες από καμία κυβέρνηση ούτε από οποιονδήποτε άλλο φορέα.</w:t>
      </w:r>
    </w:p>
    <w:p w14:paraId="153DF94E" w14:textId="77777777" w:rsidR="00E0244C" w:rsidRPr="00483F7D" w:rsidRDefault="007A1FD7">
      <w:pPr>
        <w:pStyle w:val="ManualNumPar10"/>
      </w:pPr>
      <w:r w:rsidRPr="00483F7D">
        <w:t>3.</w:t>
      </w:r>
      <w:r w:rsidRPr="00483F7D">
        <w:tab/>
        <w:t>Ο/Η εκτελεστικός/-ή διευθυντής/-ρια υποβάλλει έκθεση στο Ευρωπαϊκό Κοινοβούλιο και στο Συμβούλιο σχετικά με την εκτέλεση των καθηκόντων του/της και τις συνολικές επιδόσεις της Τελωνειακής Αρχής της ΕΕ, όταν του/της ζητηθεί.</w:t>
      </w:r>
    </w:p>
    <w:p w14:paraId="0591D1B3" w14:textId="77777777" w:rsidR="00122D95" w:rsidRPr="00483F7D" w:rsidRDefault="00122D95" w:rsidP="00122D95">
      <w:pPr>
        <w:pStyle w:val="ManualNumPar10"/>
      </w:pPr>
      <w:r w:rsidRPr="00483F7D">
        <w:t>4.</w:t>
      </w:r>
      <w:r w:rsidRPr="00483F7D">
        <w:tab/>
        <w:t>Ο/Η εκτελεστικός/ή διευθυντής/-ρια είναι ο νόμιμος εκπρόσωπος της Τελωνειακής Αρχής της ΕΕ.</w:t>
      </w:r>
    </w:p>
    <w:p w14:paraId="46266185" w14:textId="77777777" w:rsidR="00E0244C" w:rsidRPr="00483F7D" w:rsidRDefault="007A1FD7">
      <w:pPr>
        <w:pStyle w:val="ManualNumPar10"/>
      </w:pPr>
      <w:r w:rsidRPr="00483F7D">
        <w:t>5.</w:t>
      </w:r>
      <w:r w:rsidRPr="00483F7D">
        <w:tab/>
        <w:t>Ο/Η εκτελεστικός/ή διευθυντής/-ρια είναι υπεύθυνος/-η για την εκτέλεση των καθηκόντων που ανατίθενται στην Τελωνειακή Αρχή της ΕΕ δυνάμει του παρόντος κανονισμού. Ειδικότερα, ο/η εκτελεστικός/ή διευθυντής/-ρια:</w:t>
      </w:r>
    </w:p>
    <w:p w14:paraId="49780C93" w14:textId="6E7A867A" w:rsidR="00E0244C" w:rsidRPr="00483F7D" w:rsidRDefault="00BC60FC" w:rsidP="00BC60FC">
      <w:pPr>
        <w:pStyle w:val="Point1"/>
      </w:pPr>
      <w:r w:rsidRPr="00483F7D">
        <w:t>α)</w:t>
      </w:r>
      <w:r w:rsidRPr="00483F7D">
        <w:tab/>
      </w:r>
      <w:r w:rsidR="007A1FD7" w:rsidRPr="00483F7D">
        <w:t>διασφαλίζει την καθημερινή διοίκηση της Τελωνειακής Αρχής της ΕΕ·</w:t>
      </w:r>
    </w:p>
    <w:p w14:paraId="1D873467" w14:textId="12E05B91" w:rsidR="00E0244C" w:rsidRPr="00483F7D" w:rsidRDefault="00BC60FC" w:rsidP="00BC60FC">
      <w:pPr>
        <w:pStyle w:val="Point1"/>
      </w:pPr>
      <w:r w:rsidRPr="00483F7D">
        <w:t>β)</w:t>
      </w:r>
      <w:r w:rsidRPr="00483F7D">
        <w:tab/>
      </w:r>
      <w:r w:rsidR="007A1FD7" w:rsidRPr="00483F7D">
        <w:t>υλοποιεί αποφάσεις που λαμβάνονται από το διοικητικό συμβούλιο·</w:t>
      </w:r>
    </w:p>
    <w:p w14:paraId="66F21474" w14:textId="26821B04" w:rsidR="00E0244C" w:rsidRPr="00483F7D" w:rsidRDefault="00BC60FC" w:rsidP="00BC60FC">
      <w:pPr>
        <w:pStyle w:val="Point1"/>
      </w:pPr>
      <w:r w:rsidRPr="00483F7D">
        <w:t>γ)</w:t>
      </w:r>
      <w:r w:rsidRPr="00483F7D">
        <w:tab/>
      </w:r>
      <w:r w:rsidR="007A1FD7" w:rsidRPr="00483F7D">
        <w:t>προετοιμάζει το σχέδιο ενιαίου εγγράφου προγραμματισμού που αναφέρεται στο άρθρο </w:t>
      </w:r>
      <w:hyperlink w:anchor="__akn_article_UlpyVn" w:tooltip="Article 220: 220">
        <w:r w:rsidR="007A1FD7" w:rsidRPr="00483F7D">
          <w:t>223</w:t>
        </w:r>
      </w:hyperlink>
      <w:r w:rsidR="007A1FD7" w:rsidRPr="00483F7D">
        <w:t xml:space="preserve"> και το υποβάλλει στο διοικητικό συμβούλιο, κατόπιν διαβούλευσης με την Επιτροπή·</w:t>
      </w:r>
    </w:p>
    <w:p w14:paraId="70079974" w14:textId="3C045FEB" w:rsidR="00E0244C" w:rsidRPr="00483F7D" w:rsidRDefault="00BC60FC" w:rsidP="00BC60FC">
      <w:pPr>
        <w:pStyle w:val="Point1"/>
      </w:pPr>
      <w:r w:rsidRPr="00483F7D">
        <w:t>δ)</w:t>
      </w:r>
      <w:r w:rsidRPr="00483F7D">
        <w:tab/>
      </w:r>
      <w:r w:rsidR="007A1FD7" w:rsidRPr="00483F7D">
        <w:t xml:space="preserve">εφαρμόζει το ενιαίο έγγραφο προγραμματισμού που αναφέρεται στο άρθρο </w:t>
      </w:r>
      <w:hyperlink w:anchor="__akn_article_UlpyVn" w:tooltip="Article 220: 220">
        <w:r w:rsidR="007A1FD7" w:rsidRPr="00483F7D">
          <w:t>223</w:t>
        </w:r>
      </w:hyperlink>
      <w:r w:rsidR="007A1FD7" w:rsidRPr="00483F7D">
        <w:t xml:space="preserve"> και υποβάλλει έκθεση στο εκτελεστικό συμβούλιο και στο διοικητικό συμβούλιο σχετικά με την εφαρμογή του·</w:t>
      </w:r>
    </w:p>
    <w:p w14:paraId="6E96E5E2" w14:textId="6893C9A9" w:rsidR="00E0244C" w:rsidRPr="00483F7D" w:rsidRDefault="00BC60FC" w:rsidP="00BC60FC">
      <w:pPr>
        <w:pStyle w:val="Point1"/>
      </w:pPr>
      <w:r w:rsidRPr="00483F7D">
        <w:t>ε)</w:t>
      </w:r>
      <w:r w:rsidRPr="00483F7D">
        <w:tab/>
      </w:r>
      <w:r w:rsidR="007A1FD7" w:rsidRPr="00483F7D">
        <w:t>καταρτίζει την ενοποιημένη ετήσια έκθεση δραστηριοτήτων της Τελωνειακής Αρχής της ΕΕ και την υποβάλλει στο διοικητικό συμβούλιο προς αξιολόγηση και έγκριση·</w:t>
      </w:r>
    </w:p>
    <w:p w14:paraId="2DFDFAED" w14:textId="304AEEA3" w:rsidR="00E0244C" w:rsidRPr="00483F7D" w:rsidRDefault="00BC60FC" w:rsidP="00BC60FC">
      <w:pPr>
        <w:pStyle w:val="Point1"/>
      </w:pPr>
      <w:r w:rsidRPr="00483F7D">
        <w:t>στ)</w:t>
      </w:r>
      <w:r w:rsidRPr="00483F7D">
        <w:tab/>
      </w:r>
      <w:r w:rsidR="007A1FD7" w:rsidRPr="00483F7D">
        <w:t>καταρτίζει σχέδιο δράσης με βάση τα συμπεράσματα εσωτερικών ή εξωτερικών εκθέσεων ελέγχου και αξιολογήσεων, καθώς και ερευνών της OLAF και της Ευρωπαϊκής Εισαγγελίας, και υποβάλλει έκθεση προόδου στην Επιτροπή δύο φορές ανά έτος και ανά τακτά χρονικά διαστήματα στο διοικητικό συμβούλιο και στο εκτελεστικό γραφείο·</w:t>
      </w:r>
    </w:p>
    <w:p w14:paraId="03901843" w14:textId="5C909FB0" w:rsidR="00E0244C" w:rsidRPr="00483F7D" w:rsidRDefault="00BC60FC" w:rsidP="00BC60FC">
      <w:pPr>
        <w:pStyle w:val="Point1"/>
      </w:pPr>
      <w:r w:rsidRPr="00483F7D">
        <w:t>ζ)</w:t>
      </w:r>
      <w:r w:rsidRPr="00483F7D">
        <w:tab/>
      </w:r>
      <w:r w:rsidR="007A1FD7" w:rsidRPr="00483F7D">
        <w:t>με την επιφύλαξη της ερευνητικής αρμοδιότητας της OLAF και της Ευρωπαϊκής Εισαγγελίας, προασπίζει τα οικονομικά συμφέροντα της Ένωσης μέσω της εφαρμογής εσωτερικών προληπτικών μέτρων κατά της απάτης, της διαφθοράς και κάθε άλλης παράνομης δραστηριότητας, με αποτελεσματικούς ελέγχους και, αν εντοπίζονται παρατυπίες, με την είσπραξη αχρεωστήτως καταβληθέντων ποσών και, κατά περίπτωση, με την επιβολή αποτελεσματικών, αναλογικών και αποτρεπτικών διοικητικών και οικονομικών κυρώσεων·</w:t>
      </w:r>
    </w:p>
    <w:p w14:paraId="49FF84BA" w14:textId="7155D99F" w:rsidR="00E0244C" w:rsidRPr="00483F7D" w:rsidRDefault="00BC60FC" w:rsidP="00BC60FC">
      <w:pPr>
        <w:pStyle w:val="Point1"/>
      </w:pPr>
      <w:r w:rsidRPr="00483F7D">
        <w:t>η)</w:t>
      </w:r>
      <w:r w:rsidRPr="00483F7D">
        <w:tab/>
      </w:r>
      <w:r w:rsidR="007A1FD7" w:rsidRPr="00483F7D">
        <w:t>καταρτίζει στρατηγική για την καταπολέμηση της απάτης, στρατηγική συνεργειών και βελτίωσης της αποδοτικότητας, στρατηγική συνεργασίας με τρίτες χώρες και/ή διεθνείς οργανισμούς και στρατηγική για τα συστήματα οργανωτικής διαχείρισης και εσωτερικού ελέγχου της Τελωνειακής Αρχής της ΕΕ, και τις υποβάλλει στο διοικητικό συμβούλιο προς έγκριση·</w:t>
      </w:r>
    </w:p>
    <w:p w14:paraId="6A93AADC" w14:textId="4FA14C85" w:rsidR="00E0244C" w:rsidRPr="00483F7D" w:rsidRDefault="00BC60FC" w:rsidP="00BC60FC">
      <w:pPr>
        <w:pStyle w:val="Point1"/>
      </w:pPr>
      <w:r w:rsidRPr="00483F7D">
        <w:t>θ)</w:t>
      </w:r>
      <w:r w:rsidRPr="00483F7D">
        <w:tab/>
      </w:r>
      <w:r w:rsidR="007A1FD7" w:rsidRPr="00483F7D">
        <w:t>καταρτίζει σχέδιο δημοσιονομικών κανόνων που εφαρμόζονται στην Τελωνειακή Αρχή της ΕΕ και το υποβάλλει στο διοικητικό συμβούλιο για έγκριση κατόπιν διαβούλευσης με την Επιτροπή·</w:t>
      </w:r>
    </w:p>
    <w:p w14:paraId="3E0EAB37" w14:textId="04E1D9BE" w:rsidR="00E0244C" w:rsidRPr="00483F7D" w:rsidRDefault="00BC60FC" w:rsidP="00BC60FC">
      <w:pPr>
        <w:pStyle w:val="Point1"/>
      </w:pPr>
      <w:r w:rsidRPr="00483F7D">
        <w:t>ι)</w:t>
      </w:r>
      <w:r w:rsidRPr="00483F7D">
        <w:tab/>
      </w:r>
      <w:r w:rsidR="007A1FD7" w:rsidRPr="00483F7D">
        <w:t xml:space="preserve">καταρτίζει προσωρινά σχέδια κατάστασης προβλέψεων των εσόδων και των δαπανών της Τελωνειακής Αρχής της ΕΕ σύμφωνα με το άρθρο </w:t>
      </w:r>
      <w:hyperlink w:anchor="_bill__akn_article_9UeOrD" w:tooltip="Article 221: 221">
        <w:r w:rsidR="007A1FD7" w:rsidRPr="00483F7D">
          <w:t>224</w:t>
        </w:r>
      </w:hyperlink>
      <w:r w:rsidR="007A1FD7" w:rsidRPr="00483F7D">
        <w:t xml:space="preserve"> και εκτελεί τον προϋπολογισμό της·</w:t>
      </w:r>
    </w:p>
    <w:p w14:paraId="53CB2908" w14:textId="3E29FD3D" w:rsidR="00E0244C" w:rsidRPr="00483F7D" w:rsidRDefault="00BC60FC" w:rsidP="00BC60FC">
      <w:pPr>
        <w:pStyle w:val="Point1"/>
      </w:pPr>
      <w:r w:rsidRPr="00483F7D">
        <w:t>ια)</w:t>
      </w:r>
      <w:r w:rsidRPr="00483F7D">
        <w:tab/>
      </w:r>
      <w:r w:rsidR="007A1FD7" w:rsidRPr="00483F7D">
        <w:t xml:space="preserve">όσον αφορά το προσωπικό της Τελωνειακής Αρχής της ΕΕ, ασκεί τις εξουσίες αρμόδιας για τους διορισμούς αρχής που αναφέρονται στο άρθρο 215 παράγραφος 1 στοιχείο </w:t>
      </w:r>
      <w:hyperlink w:anchor="_bill__akn_article_cxC5LS_0guyqm" w:tooltip="Article 214(1), point (i): (i)">
        <w:r w:rsidR="007A1FD7" w:rsidRPr="00483F7D">
          <w:t>θ)</w:t>
        </w:r>
      </w:hyperlink>
      <w:r w:rsidR="007A1FD7" w:rsidRPr="00483F7D">
        <w:t xml:space="preserve">, στον βαθμό που οι εξουσίες αυτές του/της έχουν ανατεθεί σύμφωνα με το άρθρο 215 παράγραφος </w:t>
      </w:r>
      <w:hyperlink w:anchor="_bill__akn_article_cxC5LS_mI0XkC" w:tooltip="Article 214(2): (2)">
        <w:r w:rsidR="007A1FD7" w:rsidRPr="00483F7D">
          <w:t>2</w:t>
        </w:r>
      </w:hyperlink>
      <w:r w:rsidR="007A1FD7" w:rsidRPr="00483F7D">
        <w:t>·</w:t>
      </w:r>
    </w:p>
    <w:p w14:paraId="33F1FFC2" w14:textId="149445F9" w:rsidR="00E0244C" w:rsidRPr="00483F7D" w:rsidRDefault="00BC60FC" w:rsidP="00BC60FC">
      <w:pPr>
        <w:pStyle w:val="Point1"/>
      </w:pPr>
      <w:r w:rsidRPr="00483F7D">
        <w:t>ιβ)</w:t>
      </w:r>
      <w:r w:rsidRPr="00483F7D">
        <w:tab/>
      </w:r>
      <w:r w:rsidR="007A1FD7" w:rsidRPr="00483F7D">
        <w:t>λαμβάνει αποφάσεις για τις εσωτερικές δομές της Τελωνειακής Αρχής της ΕΕ, μεταξύ άλλων, όπου κρίνεται αναγκαίο, για την ανάθεση καθηκόντων που μπορούν να καλύπτουν τη διαχείριση της Τελωνειακής Αρχής της ΕΕ σε καθημερινή βάση και, όπου είναι αναγκαίο, την τροποποίησή τους, λαμβανομένων υπόψη των αναγκών που σχετίζονται με τις δραστηριότητες της Τελωνειακής Αρχής της ΕΕ και τη χρηστή διαχείριση του προϋπολογισμού·</w:t>
      </w:r>
    </w:p>
    <w:p w14:paraId="65ED85DF" w14:textId="75D089C7" w:rsidR="0080141D" w:rsidRPr="00483F7D" w:rsidRDefault="00BC60FC" w:rsidP="00BC60FC">
      <w:pPr>
        <w:pStyle w:val="Point1"/>
      </w:pPr>
      <w:r w:rsidRPr="00483F7D">
        <w:t>ιγ)</w:t>
      </w:r>
      <w:r w:rsidRPr="00483F7D">
        <w:tab/>
      </w:r>
      <w:r w:rsidR="0080141D" w:rsidRPr="00483F7D">
        <w:t>διαπραγματεύεται και, κατόπιν έγκρισης από το διοικητικό συμβούλιο, υπογράφει συμφωνία για την έδρα της Τελωνειακής Αρχής της ΕΕ και, κατά περίπτωση, παρόμοιες συμφωνίες με τα κράτη μέλη υποδοχής στα οποία βρίσκονται τοπικά γραφεία·</w:t>
      </w:r>
    </w:p>
    <w:p w14:paraId="6435B864" w14:textId="7F875FA8" w:rsidR="00E0244C" w:rsidRPr="00483F7D" w:rsidRDefault="00BC60FC" w:rsidP="00BC60FC">
      <w:pPr>
        <w:pStyle w:val="Point1"/>
      </w:pPr>
      <w:r w:rsidRPr="00483F7D">
        <w:t>ιδ)</w:t>
      </w:r>
      <w:r w:rsidRPr="00483F7D">
        <w:tab/>
      </w:r>
      <w:r w:rsidR="007A1FD7" w:rsidRPr="00483F7D">
        <w:t>προετοιμάζει τις πρακτικές ρυθμίσεις για την εφαρμογή του κανονισμού (ΕΚ) αριθ. 1049/2001 του Ευρωπαϊκού Κοινοβουλίου και του Συμβουλίου και</w:t>
      </w:r>
      <w:r w:rsidR="007A1FD7" w:rsidRPr="00483F7D">
        <w:rPr>
          <w:rStyle w:val="FootnoteReference"/>
        </w:rPr>
        <w:footnoteReference w:id="73"/>
      </w:r>
      <w:r w:rsidR="007A1FD7" w:rsidRPr="00483F7D">
        <w:t xml:space="preserve"> τις υποβάλλει στο διοικητικό συμβούλιο προς έγκριση·</w:t>
      </w:r>
    </w:p>
    <w:p w14:paraId="7BEFC23F" w14:textId="61EE46E0" w:rsidR="00E0244C" w:rsidRPr="00483F7D" w:rsidRDefault="00BC60FC" w:rsidP="00BC60FC">
      <w:pPr>
        <w:pStyle w:val="Point1"/>
      </w:pPr>
      <w:r w:rsidRPr="00483F7D">
        <w:t>ιε)</w:t>
      </w:r>
      <w:r w:rsidRPr="00483F7D">
        <w:tab/>
      </w:r>
      <w:r w:rsidR="007A1FD7" w:rsidRPr="00483F7D">
        <w:t>προάγει την πολυμορφία και αποσκοπεί στη διασφάλιση της ισόρροπης εκπροσώπησης των φύλων όσον αφορά την πρόσληψη του προσωπικού της Τελωνειακής Αρχής της ΕΕ·</w:t>
      </w:r>
    </w:p>
    <w:p w14:paraId="37FBD6A2" w14:textId="5894276D" w:rsidR="001E1FBA" w:rsidRPr="00483F7D" w:rsidRDefault="00BC60FC" w:rsidP="00BC60FC">
      <w:pPr>
        <w:pStyle w:val="Point1"/>
      </w:pPr>
      <w:r w:rsidRPr="00483F7D">
        <w:t>ιστ)</w:t>
      </w:r>
      <w:r w:rsidRPr="00483F7D">
        <w:tab/>
      </w:r>
      <w:r w:rsidR="001F344B" w:rsidRPr="00483F7D">
        <w:t>αποσκοπεί στην πρόσληψη προσωπικού με την ευρύτερη δυνατή γεωγραφική βάση, λαμβάνοντας υπόψη ότι τα κριτήρια πρόσληψης πρέπει να βασίζονται αποκλειστικά σε αξιοκρατικά κριτήρια.</w:t>
      </w:r>
      <w:bookmarkStart w:id="210" w:name="__akn_chapter_U9SD4B"/>
      <w:bookmarkEnd w:id="210"/>
    </w:p>
    <w:p w14:paraId="5365E67B" w14:textId="77777777" w:rsidR="001E1FBA" w:rsidRPr="00483F7D" w:rsidRDefault="001E1FBA" w:rsidP="5DA9B26A">
      <w:pPr>
        <w:pStyle w:val="Titrearticle"/>
      </w:pPr>
      <w:r w:rsidRPr="00483F7D">
        <w:t>Άρθρο 220</w:t>
      </w:r>
    </w:p>
    <w:p w14:paraId="0747F087" w14:textId="77777777" w:rsidR="001E1FBA" w:rsidRPr="00483F7D" w:rsidRDefault="001E1FBA" w:rsidP="0031659F">
      <w:pPr>
        <w:pStyle w:val="NormalCentered"/>
        <w:rPr>
          <w:b/>
          <w:bCs/>
        </w:rPr>
      </w:pPr>
      <w:r w:rsidRPr="00483F7D">
        <w:rPr>
          <w:b/>
        </w:rPr>
        <w:t>Αναπληρωτής εκτελεστικός διευθυντής</w:t>
      </w:r>
    </w:p>
    <w:p w14:paraId="6DE31779" w14:textId="77777777" w:rsidR="001E1FBA" w:rsidRPr="00483F7D" w:rsidRDefault="001E1FBA" w:rsidP="001B534F">
      <w:pPr>
        <w:pStyle w:val="ManualNumPar10"/>
      </w:pPr>
      <w:r w:rsidRPr="00483F7D">
        <w:t>1.</w:t>
      </w:r>
      <w:r w:rsidRPr="00483F7D">
        <w:tab/>
        <w:t xml:space="preserve">Το διοικητικό συμβούλιο μπορεί να αποφασίσει τη δημιουργία θέσης αναπληρωτή/-ριας εκτελεστικού/-ής διευθυντή/-ριας, που θα επικουρεί τον/την εκτελεστικό/-ή διευθυντή/-ρια. </w:t>
      </w:r>
    </w:p>
    <w:p w14:paraId="3C087225" w14:textId="77777777" w:rsidR="001E1FBA" w:rsidRPr="00483F7D" w:rsidRDefault="001E1FBA" w:rsidP="001B534F">
      <w:pPr>
        <w:pStyle w:val="ManualNumPar10"/>
      </w:pPr>
      <w:r w:rsidRPr="00483F7D">
        <w:t>2.</w:t>
      </w:r>
      <w:r w:rsidRPr="00483F7D">
        <w:tab/>
        <w:t>Σε περίπτωση που το διοικητικό συμβούλιο αποφασίσει να δημιουργήσει θέση αναπληρωτή/-ριας εκτελεστικού/-ής διευθυντή/-ριας, οι διατάξεις του άρθρου 217 εφαρμόζονται αναλόγως στον/στην αναπληρωτή/-ρια εκτελεστικό/-ή διευθυντή/-ρια.</w:t>
      </w:r>
    </w:p>
    <w:p w14:paraId="2B0FD294" w14:textId="77777777" w:rsidR="00C0018C" w:rsidRPr="00483F7D" w:rsidRDefault="00C0018C" w:rsidP="0031659F">
      <w:pPr>
        <w:pStyle w:val="Titrearticle"/>
      </w:pPr>
      <w:r w:rsidRPr="00483F7D">
        <w:t>Άρθρο 221</w:t>
      </w:r>
    </w:p>
    <w:p w14:paraId="190E4924" w14:textId="77777777" w:rsidR="00C0018C" w:rsidRPr="00483F7D" w:rsidRDefault="00C0018C" w:rsidP="0031659F">
      <w:pPr>
        <w:pStyle w:val="NormalCentered"/>
        <w:rPr>
          <w:b/>
          <w:bCs/>
        </w:rPr>
      </w:pPr>
      <w:r w:rsidRPr="00483F7D">
        <w:rPr>
          <w:b/>
        </w:rPr>
        <w:t>Καθήκοντα και αρμοδιότητες του/της αναπληρωτή/-ριας εκτελεστικού/-ής διευθυντή/-ριας</w:t>
      </w:r>
    </w:p>
    <w:p w14:paraId="5418A798" w14:textId="77777777" w:rsidR="00C0018C" w:rsidRPr="00483F7D" w:rsidRDefault="00C0018C" w:rsidP="0031659F">
      <w:pPr>
        <w:spacing w:after="200"/>
        <w:rPr>
          <w:rFonts w:eastAsia="Times New Roman"/>
        </w:rPr>
      </w:pPr>
      <w:r w:rsidRPr="00483F7D">
        <w:t xml:space="preserve">Αν συσταθεί η θέση του/της αναπληρωτή/-ριας εκτελεστικού/-ής διευθυντή/-ριας, ο/η αναπληρωτής/-ρια εκτελεστικός/-ή διευθυντής/-ρια επικουρεί τον/την εκτελεστικό/-ή διευθυντή/-ρια στη διαχείριση του Οργανισμού και στην εκτέλεση των καθηκόντων που αναφέρονται στο άρθρο 218. Αν ο/η εκτελεστικός/ή διευθυντής/-ρια απουσιάζει ή κωλύεται, ή αν η θέση είναι κενή, τα καθήκοντά του/της αναλαμβάνει ο/η αναπληρωτής/-ρια εκτελεστικός/ή διευθυντής/-ρια. </w:t>
      </w:r>
    </w:p>
    <w:p w14:paraId="50E250ED" w14:textId="77777777" w:rsidR="00C0018C" w:rsidRPr="00483F7D" w:rsidRDefault="00C0018C" w:rsidP="0031659F">
      <w:pPr>
        <w:pStyle w:val="Point1"/>
        <w:ind w:left="0" w:firstLine="0"/>
      </w:pPr>
    </w:p>
    <w:p w14:paraId="154784B8" w14:textId="77777777" w:rsidR="00E0244C" w:rsidRPr="00483F7D" w:rsidRDefault="007A1FD7">
      <w:pPr>
        <w:pStyle w:val="ChapterTitle"/>
      </w:pPr>
      <w:r w:rsidRPr="00483F7D">
        <w:t xml:space="preserve">Κεφάλαιο 4 </w:t>
      </w:r>
      <w:r w:rsidRPr="00483F7D">
        <w:br/>
        <w:t>Κατάρτιση και διάρθρωση του προϋπολογισμού της Τελωνειακής Αρχής της ΕΕ</w:t>
      </w:r>
    </w:p>
    <w:p w14:paraId="73BB3A8B" w14:textId="77777777" w:rsidR="00E0244C" w:rsidRPr="00483F7D" w:rsidRDefault="007A1FD7">
      <w:pPr>
        <w:pStyle w:val="Titrearticle"/>
      </w:pPr>
      <w:bookmarkStart w:id="211" w:name="__akn_article_sgy0Rh"/>
      <w:bookmarkEnd w:id="211"/>
      <w:r w:rsidRPr="00483F7D">
        <w:t>Άρθρο 222</w:t>
      </w:r>
    </w:p>
    <w:p w14:paraId="70C1CD12" w14:textId="77777777" w:rsidR="00E0244C" w:rsidRPr="00483F7D" w:rsidRDefault="007A1FD7">
      <w:pPr>
        <w:pStyle w:val="NormalCentered"/>
      </w:pPr>
      <w:r w:rsidRPr="00483F7D">
        <w:rPr>
          <w:b/>
        </w:rPr>
        <w:t>Γενικές διατάξεις</w:t>
      </w:r>
    </w:p>
    <w:p w14:paraId="55E51F01" w14:textId="77777777" w:rsidR="00E0244C" w:rsidRPr="00483F7D" w:rsidRDefault="007A1FD7">
      <w:r w:rsidRPr="00483F7D">
        <w:t>Οι δημοσιονομικοί κανόνες που ισχύουν για την Τελωνειακή Αρχή της ΕΕ εγκρίνονται από το διοικητικό συμβούλιο κατόπιν διαβούλευσης με την Επιτροπή. Οι εν λόγω κανόνες δεν αποκλίνουν από τον κατ’ εξουσιοδότηση κανονισμό (ΕΕ) αριθ. 2019/715 της Επιτροπής</w:t>
      </w:r>
      <w:r w:rsidRPr="00483F7D">
        <w:rPr>
          <w:rStyle w:val="FootnoteReference"/>
        </w:rPr>
        <w:footnoteReference w:id="74"/>
      </w:r>
      <w:r w:rsidRPr="00483F7D">
        <w:t xml:space="preserve"> παρά μόνον αν το απαιτούν ειδικές ανάγκες λειτουργίας της Τελωνειακής Αρχής της ΕΕ και με προηγούμενη συμφωνία της Επιτροπής.</w:t>
      </w:r>
    </w:p>
    <w:p w14:paraId="51E33FC1" w14:textId="77777777" w:rsidR="00E0244C" w:rsidRPr="00483F7D" w:rsidRDefault="007A1FD7">
      <w:pPr>
        <w:pStyle w:val="Titrearticle"/>
      </w:pPr>
      <w:bookmarkStart w:id="212" w:name="__akn_article_UlpyVn"/>
      <w:bookmarkEnd w:id="212"/>
      <w:r w:rsidRPr="00483F7D">
        <w:t>Άρθρο 223</w:t>
      </w:r>
    </w:p>
    <w:p w14:paraId="1611B984" w14:textId="77777777" w:rsidR="00E0244C" w:rsidRPr="00483F7D" w:rsidRDefault="007A1FD7">
      <w:pPr>
        <w:pStyle w:val="NormalCentered"/>
      </w:pPr>
      <w:r w:rsidRPr="00483F7D">
        <w:rPr>
          <w:b/>
        </w:rPr>
        <w:t>Ενιαίο έγγραφο προγραμματισμού</w:t>
      </w:r>
    </w:p>
    <w:p w14:paraId="4106ADBB" w14:textId="77777777" w:rsidR="00E0244C" w:rsidRPr="00483F7D" w:rsidRDefault="007A1FD7">
      <w:pPr>
        <w:pStyle w:val="ManualNumPar10"/>
      </w:pPr>
      <w:bookmarkStart w:id="213" w:name="__akn_article_UlpyVn_zCqdAD"/>
      <w:bookmarkEnd w:id="213"/>
      <w:r w:rsidRPr="00483F7D">
        <w:t>1.</w:t>
      </w:r>
      <w:r w:rsidRPr="00483F7D">
        <w:tab/>
        <w:t xml:space="preserve">Κάθε έτος, ο/η εκτελεστικός/-ή διευθυντής/-ρια καταρτίζει σχέδιο ενιαίου εγγράφου προγραμματισμού το οποίο περιλαμβάνει ιδίως τον πολυετή και ετήσιο προγραμματισμό σύμφωνα με τις διατάξεις που ορίζονται στον κατ’ εξουσιοδότηση κανονισμό (ΕΕ) 2019/715 της Επιτροπής και με τη σχετική διάταξη των δημοσιονομικών κανόνων της Τελωνειακής Αρχής της ΕΕ που θεσπίζονται δυνάμει του άρθρου </w:t>
      </w:r>
      <w:hyperlink w:anchor="__akn_article_sgy0Rh" w:tooltip="Article 219: 219">
        <w:r w:rsidRPr="00483F7D">
          <w:t>222</w:t>
        </w:r>
      </w:hyperlink>
      <w:r w:rsidRPr="00483F7D">
        <w:t xml:space="preserve"> του παρόντος κανονισμού, και λαμβανομένων υπόψη των κατευθυντήριων γραμμών που καθορίζει η Επιτροπή. Ο ετήσιος και πολυετής προγραμματισμός συνάδει με την τελωνειακή πολιτική και τις γενικές προτεραιότητες της τελωνειακής ένωσης.</w:t>
      </w:r>
    </w:p>
    <w:p w14:paraId="3843C24A" w14:textId="77777777" w:rsidR="00E0244C" w:rsidRPr="00483F7D" w:rsidRDefault="007A1FD7">
      <w:pPr>
        <w:pStyle w:val="ManualNumPar10"/>
      </w:pPr>
      <w:r w:rsidRPr="00483F7D">
        <w:t>2.</w:t>
      </w:r>
      <w:r w:rsidRPr="00483F7D">
        <w:tab/>
        <w:t>Το διοικητικό συμβούλιο διαβιβάζει το σχέδιο ενιαίου εγγράφου προγραμματισμού στην Επιτροπή, στο Ευρωπαϊκό Κοινοβούλιο, στο Συμβούλιο και στο Ευρωπαϊκό Ελεγκτικό Συνέδριο έως τις 31 Ιανουαρίου του έτους που προηγείται της περιόδου προγραμματισμού.</w:t>
      </w:r>
    </w:p>
    <w:p w14:paraId="1A81652E" w14:textId="77777777" w:rsidR="00E0244C" w:rsidRPr="00483F7D" w:rsidRDefault="007A1FD7">
      <w:pPr>
        <w:pStyle w:val="ManualNumPar10"/>
      </w:pPr>
      <w:r w:rsidRPr="00483F7D">
        <w:t>3.</w:t>
      </w:r>
      <w:r w:rsidRPr="00483F7D">
        <w:tab/>
        <w:t>Έως τις 30 Νοεμβρίου κάθε έτους, το διοικητικό συμβούλιο εγκρίνει το ενιαίο έγγραφο προγραμματισμού. Διαβιβάζει το ενιαίο έγγραφο προγραμματισμού στο Ευρωπαϊκό Κοινοβούλιο, στο Συμβούλιο και στην Επιτροπή, καθώς και κάθε μεταγενέστερη επικαιροποιημένη έκδοση του εν λόγω εγγράφου. Το ενιαίο έγγραφο προγραμματισμού οριστικοποιείται μετά την τελική έγκριση του γενικού προϋπολογισμού της Ένωσης και, αν είναι αναγκαίο, προσαρμόζεται ανάλογα.</w:t>
      </w:r>
    </w:p>
    <w:p w14:paraId="71135672" w14:textId="77777777" w:rsidR="00E0244C" w:rsidRPr="00483F7D" w:rsidRDefault="007A1FD7">
      <w:pPr>
        <w:pStyle w:val="ManualNumPar10"/>
      </w:pPr>
      <w:r w:rsidRPr="00483F7D">
        <w:t>4.</w:t>
      </w:r>
      <w:r w:rsidRPr="00483F7D">
        <w:tab/>
        <w:t>Το ετήσιο πρόγραμμα εργασίας καθορίζει λεπτομερείς στόχους και αναμενόμενα αποτελέσματα, καθώς και δείκτες επιδόσεων. Περιλαμβάνει επίσης περιγραφή των δράσεων που θα χρηματοδοτηθούν και αναφέρει τους οικονομικούς και ανθρώπινους πόρους που διατίθενται για κάθε δράση. Το ετήσιο πρόγραμμα εργασίας συνάδει με το πολυετές πρόγραμμα εργασίας που αναφέρεται στην παράγραφο 5. Καθορίζει με σαφήνεια τα καθήκοντα που προστίθενται, τροποποιούνται ή καταργούνται σε σχέση με το προηγούμενο οικονομικό έτος. Όταν ανατίθεται στην Τελωνειακή Αρχή της ΕΕ νέο καθήκον εντός του πεδίου εφαρμογής του παρόντος κανονισμού, το διοικητικό συμβούλιο τροποποιεί το εγκεκριμένο ετήσιο πρόγραμμα εργασίας. Κάθε ουσιώδης τροποποίηση του ετήσιου προγράμματος εργασίας εγκρίνεται σύμφωνα με την ίδια διαδικασία που εφαρμόζεται και για το αρχικό ετήσιο πρόγραμμα εργασίας. Το διοικητικό συμβούλιο μπορεί να αναθέτει στον/στην εκτελεστικό/-ή διευθυντή/-ρια την εξουσία να επιφέρει μη ουσιώδεις τροποποιήσεις στο ετήσιο πρόγραμμα εργασίας.</w:t>
      </w:r>
    </w:p>
    <w:p w14:paraId="0DE85139" w14:textId="77777777" w:rsidR="00E0244C" w:rsidRPr="00483F7D" w:rsidRDefault="007A1FD7">
      <w:pPr>
        <w:pStyle w:val="ManualNumPar10"/>
      </w:pPr>
      <w:bookmarkStart w:id="214" w:name="__akn_article_UlpyVn_i7rfpM"/>
      <w:bookmarkEnd w:id="214"/>
      <w:r w:rsidRPr="00483F7D">
        <w:t>5.</w:t>
      </w:r>
      <w:r w:rsidRPr="00483F7D">
        <w:tab/>
        <w:t>Το πολυετές πρόγραμμα εργασίας καθορίζει τον συνολικό στρατηγικό προγραμματισμό που περιλαμβάνει στόχους, αναμενόμενα αποτελέσματα και δείκτες επιδόσεων. Επίσης, αναφέρει, για κάθε δραστηριότητα, τους ενδεικτικούς οικονομικούς και ανθρώπινους πόρους που θεωρούνται αναγκαίοι για την επίτευξη των καθορισμένων στόχων. Ο στρατηγικός προγραμματισμός επικαιροποιείται κατά περίπτωση και καταδεικνύει τη συμβολή της Τελωνειακής Αρχής της ΕΕ στην επίτευξη των πολιτικών προτεραιοτήτων της Ένωσης.</w:t>
      </w:r>
    </w:p>
    <w:p w14:paraId="2480AA49" w14:textId="77777777" w:rsidR="00E0244C" w:rsidRPr="00483F7D" w:rsidRDefault="007A1FD7">
      <w:pPr>
        <w:pStyle w:val="Titrearticle"/>
      </w:pPr>
      <w:bookmarkStart w:id="215" w:name="_bill__akn_article_9UeOrD"/>
      <w:bookmarkEnd w:id="215"/>
      <w:r w:rsidRPr="00483F7D">
        <w:t>Άρθρο 224</w:t>
      </w:r>
    </w:p>
    <w:p w14:paraId="77117D4C" w14:textId="77777777" w:rsidR="0080141D" w:rsidRPr="00483F7D" w:rsidRDefault="0080141D" w:rsidP="0080141D">
      <w:pPr>
        <w:pStyle w:val="NormalCentered"/>
      </w:pPr>
      <w:r w:rsidRPr="00483F7D">
        <w:rPr>
          <w:b/>
        </w:rPr>
        <w:t>Κατάρτιση του προϋπολογισμού</w:t>
      </w:r>
    </w:p>
    <w:p w14:paraId="7500B116" w14:textId="77777777" w:rsidR="00E0244C" w:rsidRPr="00483F7D" w:rsidRDefault="007A1FD7">
      <w:pPr>
        <w:pStyle w:val="ManualNumPar10"/>
      </w:pPr>
      <w:r w:rsidRPr="00483F7D">
        <w:t>1.</w:t>
      </w:r>
      <w:r w:rsidRPr="00483F7D">
        <w:tab/>
        <w:t xml:space="preserve">Κάθε έτος ο/ή εκτελεστικός/-ή διευθυντής/-ρια καταρτίζει προσωρινό σχέδιο κατάστασης προβλέψεων των εσόδων και των δαπανών Τελωνειακής Αρχής της ΕΕ για το επόμενο οικονομικό έτος, το οποίο περιλαμβάνει και τον πίνακα προσωπικού, και το διαβιβάζει στο διοικητικό συμβούλιο. Οι πληροφορίες που περιέχονται στο προσωρινό σχέδιο κατάστασης προβλέψεων συνάδουν με το σχέδιο ενιαίου εγγράφου προγραμματισμού που αναφέρεται στο άρθρο 223 παράγραφος </w:t>
      </w:r>
      <w:hyperlink w:anchor="__akn_article_UlpyVn_zCqdAD" w:tooltip="Article 220(1): (1)">
        <w:r w:rsidRPr="00483F7D">
          <w:t>1</w:t>
        </w:r>
      </w:hyperlink>
      <w:r w:rsidRPr="00483F7D">
        <w:t>.</w:t>
      </w:r>
    </w:p>
    <w:p w14:paraId="36968929" w14:textId="77777777" w:rsidR="00E0244C" w:rsidRPr="00483F7D" w:rsidRDefault="007A1FD7">
      <w:pPr>
        <w:pStyle w:val="ManualNumPar10"/>
      </w:pPr>
      <w:r w:rsidRPr="00483F7D">
        <w:t>2.</w:t>
      </w:r>
      <w:r w:rsidRPr="00483F7D">
        <w:tab/>
        <w:t>Το διοικητικό συμβούλιο εγκρίνει, με βάση το προσωρινό σχέδιο κατάστασης προβλέψεων της παραγράφου 1, το σχέδιο κατάστασης προβλέψεων των εσόδων και των δαπανών Τελωνειακής Αρχής της ΕΕ για το επόμενο οικονομικό έτος.</w:t>
      </w:r>
    </w:p>
    <w:p w14:paraId="4818C096" w14:textId="77777777" w:rsidR="00E0244C" w:rsidRPr="00483F7D" w:rsidRDefault="007A1FD7">
      <w:pPr>
        <w:pStyle w:val="ManualNumPar10"/>
      </w:pPr>
      <w:r w:rsidRPr="00483F7D">
        <w:t>3.</w:t>
      </w:r>
      <w:r w:rsidRPr="00483F7D">
        <w:tab/>
        <w:t>Το διοικητικό συμβούλιο διαβιβάζει στην Επιτροπή το σχέδιο κατάστασης προβλέψεων των εσόδων και των δαπανών Τελωνειακής Αρχής της ΕΕ έως τις 31 Ιανουαρίου κάθε έτους.</w:t>
      </w:r>
    </w:p>
    <w:p w14:paraId="78A11A66" w14:textId="77777777" w:rsidR="00E0244C" w:rsidRPr="00483F7D" w:rsidRDefault="007A1FD7">
      <w:pPr>
        <w:pStyle w:val="ManualNumPar10"/>
      </w:pPr>
      <w:r w:rsidRPr="00483F7D">
        <w:t>4.</w:t>
      </w:r>
      <w:r w:rsidRPr="00483F7D">
        <w:tab/>
        <w:t>Η Επιτροπή διαβιβάζει το σχέδιο κατάστασης προβλέψεων στην αρμόδια για τον προϋπολογισμό αρχή μαζί με το σχέδιο γενικού προϋπολογισμού της Ευρωπαϊκής Ένωσης.</w:t>
      </w:r>
    </w:p>
    <w:p w14:paraId="577EA813" w14:textId="77777777" w:rsidR="00E0244C" w:rsidRPr="00483F7D" w:rsidRDefault="007A1FD7">
      <w:pPr>
        <w:pStyle w:val="ManualNumPar10"/>
      </w:pPr>
      <w:r w:rsidRPr="00483F7D">
        <w:t>5.</w:t>
      </w:r>
      <w:r w:rsidRPr="00483F7D">
        <w:tab/>
        <w:t>Βάσει του σχεδίου κατάστασης προβλέψεων, η Επιτροπή εγγράφει στο σχέδιο γενικού προϋπολογισμού της Ένωσης τις προβλέψεις που κρίνει αναγκαίες για τον πίνακα προσωπικού και το ποσό της συνεισφοράς από τον γενικό προϋπολογισμό, και καταθέτει το σχέδιο αυτό στην αρμόδια για τον προϋπολογισμό αρχή σύμφωνα με τα άρθρα 313 και 314 της ΣΛΕΕ.</w:t>
      </w:r>
    </w:p>
    <w:p w14:paraId="3102C5D5" w14:textId="77777777" w:rsidR="00E0244C" w:rsidRPr="00483F7D" w:rsidRDefault="007A1FD7">
      <w:pPr>
        <w:pStyle w:val="ManualNumPar10"/>
      </w:pPr>
      <w:r w:rsidRPr="00483F7D">
        <w:t>6.</w:t>
      </w:r>
      <w:r w:rsidRPr="00483F7D">
        <w:tab/>
        <w:t>Η αρμόδια για τον προϋπολογισμό αρχή εγκρίνει τις πιστώσεις για τη συνεισφορά από τον γενικό προϋπολογισμό της Ένωσης προς την Τελωνειακή Αρχή της ΕΕ.</w:t>
      </w:r>
    </w:p>
    <w:p w14:paraId="526C498E" w14:textId="77777777" w:rsidR="00E0244C" w:rsidRPr="00483F7D" w:rsidRDefault="007A1FD7">
      <w:pPr>
        <w:pStyle w:val="ManualNumPar10"/>
      </w:pPr>
      <w:r w:rsidRPr="00483F7D">
        <w:t>7.</w:t>
      </w:r>
      <w:r w:rsidRPr="00483F7D">
        <w:tab/>
        <w:t>Η αρμόδια για τον προϋπολογισμό αρχή εγκρίνει τον πίνακα προσωπικού της Τελωνειακής Αρχής της ΕΕ.</w:t>
      </w:r>
    </w:p>
    <w:p w14:paraId="1F4EA9E0" w14:textId="77777777" w:rsidR="00E0244C" w:rsidRPr="00483F7D" w:rsidRDefault="007A1FD7">
      <w:pPr>
        <w:pStyle w:val="ManualNumPar10"/>
      </w:pPr>
      <w:r w:rsidRPr="00483F7D">
        <w:t>8.</w:t>
      </w:r>
      <w:r w:rsidRPr="00483F7D">
        <w:tab/>
        <w:t>Το διοικητικό συμβούλιο εγκρίνει τον προϋπολογισμό της Τελωνειακής Αρχής της ΕΕ. Ο εν λόγω προϋπολογισμός οριστικοποιείται μετά την τελική έγκριση του γενικού προϋπολογισμού της Ένωσης. Αν είναι αναγκαίο, ο προϋπολογισμός της Τελωνειακής Αρχής της ΕΕ προσαρμόζεται ανάλογα.</w:t>
      </w:r>
    </w:p>
    <w:p w14:paraId="27D7AF53" w14:textId="77777777" w:rsidR="00E0244C" w:rsidRPr="00483F7D" w:rsidRDefault="007A1FD7">
      <w:pPr>
        <w:pStyle w:val="Titrearticle"/>
      </w:pPr>
      <w:r w:rsidRPr="00483F7D">
        <w:t>Άρθρο 225</w:t>
      </w:r>
    </w:p>
    <w:p w14:paraId="186DB86E" w14:textId="77777777" w:rsidR="00E0244C" w:rsidRPr="00483F7D" w:rsidRDefault="007A1FD7">
      <w:pPr>
        <w:pStyle w:val="NormalCentered"/>
      </w:pPr>
      <w:r w:rsidRPr="00483F7D">
        <w:rPr>
          <w:b/>
        </w:rPr>
        <w:t>Διάρθρωση του προϋπολογισμού</w:t>
      </w:r>
    </w:p>
    <w:p w14:paraId="44490D0E" w14:textId="77777777" w:rsidR="00E0244C" w:rsidRPr="00483F7D" w:rsidRDefault="007A1FD7">
      <w:pPr>
        <w:pStyle w:val="ManualNumPar10"/>
      </w:pPr>
      <w:r w:rsidRPr="00483F7D">
        <w:t>1.</w:t>
      </w:r>
      <w:r w:rsidRPr="00483F7D">
        <w:tab/>
        <w:t>Για κάθε οικονομικό έτος καταρτίζονται προβλέψεις για το σύνολο των εσόδων και των δαπανών της Τελωνειακής Αρχής της ΕΕ και εγγράφονται στον προϋπολογισμό της. Το οικονομικό έτος αντιστοιχεί στο ημερολογιακό έτος.</w:t>
      </w:r>
    </w:p>
    <w:p w14:paraId="4186BBA9" w14:textId="77777777" w:rsidR="00E0244C" w:rsidRPr="00483F7D" w:rsidRDefault="007A1FD7">
      <w:pPr>
        <w:pStyle w:val="ManualNumPar10"/>
      </w:pPr>
      <w:r w:rsidRPr="00483F7D">
        <w:t>2.</w:t>
      </w:r>
      <w:r w:rsidRPr="00483F7D">
        <w:tab/>
        <w:t>Ο προϋπολογισμός της Τελωνειακής Αρχής της ΕΕ είναι ισοσκελισμένος ως προς τα έσοδα και τις δαπάνες.</w:t>
      </w:r>
    </w:p>
    <w:p w14:paraId="68DA199C" w14:textId="77777777" w:rsidR="00E0244C" w:rsidRPr="00483F7D" w:rsidRDefault="007A1FD7">
      <w:pPr>
        <w:pStyle w:val="ManualNumPar10"/>
      </w:pPr>
      <w:r w:rsidRPr="00483F7D">
        <w:t>3.</w:t>
      </w:r>
      <w:r w:rsidRPr="00483F7D">
        <w:tab/>
        <w:t>Με την επιφύλαξη άλλων πόρων, τα έσοδα της Τελωνειακής Αρχής της ΕΕ προέρχονται από:</w:t>
      </w:r>
    </w:p>
    <w:p w14:paraId="12156000" w14:textId="0DA03111" w:rsidR="00E0244C" w:rsidRPr="00483F7D" w:rsidRDefault="00BC60FC" w:rsidP="00BC60FC">
      <w:pPr>
        <w:pStyle w:val="Point1"/>
      </w:pPr>
      <w:r w:rsidRPr="00483F7D">
        <w:t>α)</w:t>
      </w:r>
      <w:r w:rsidRPr="00483F7D">
        <w:tab/>
      </w:r>
      <w:r w:rsidR="007A1FD7" w:rsidRPr="00483F7D">
        <w:t>συνεισφορά της Ένωσης, η οποία εγγράφεται στον γενικό προϋπολογισμό της Ένωσης·</w:t>
      </w:r>
    </w:p>
    <w:p w14:paraId="591089CF" w14:textId="56686235" w:rsidR="002128EC" w:rsidRPr="00483F7D" w:rsidRDefault="00BC60FC" w:rsidP="00BC60FC">
      <w:pPr>
        <w:pStyle w:val="Point1"/>
      </w:pPr>
      <w:r w:rsidRPr="00483F7D">
        <w:t>β)</w:t>
      </w:r>
      <w:r w:rsidRPr="00483F7D">
        <w:tab/>
      </w:r>
      <w:r w:rsidR="002128EC" w:rsidRPr="00483F7D">
        <w:t>τυχόν προαιρετική οικονομική συνεισφορά των κρατών μελών·</w:t>
      </w:r>
    </w:p>
    <w:p w14:paraId="6A83B1AC" w14:textId="6F2A0306" w:rsidR="00E0244C" w:rsidRPr="00483F7D" w:rsidRDefault="00BC60FC" w:rsidP="00BC60FC">
      <w:pPr>
        <w:pStyle w:val="Point1"/>
      </w:pPr>
      <w:r w:rsidRPr="00483F7D">
        <w:t>γ)</w:t>
      </w:r>
      <w:r w:rsidRPr="00483F7D">
        <w:tab/>
      </w:r>
      <w:r w:rsidR="007A1FD7" w:rsidRPr="00483F7D">
        <w:t xml:space="preserve">ενδεχόμενη ενωσιακή χρηματοδότηση υπό μορφή συμφωνιών συνεισφοράς ή επιχορηγήσεων σύμφωνα με τους δημοσιονομικούς κανόνες Τελωνειακής Αρχής της ΕΕ που αναφέρονται στο άρθρο </w:t>
      </w:r>
      <w:hyperlink w:anchor="__akn_article_sgy0Rh" w:tooltip="Article 219: 219">
        <w:r w:rsidR="007A1FD7" w:rsidRPr="00483F7D">
          <w:t>222</w:t>
        </w:r>
      </w:hyperlink>
      <w:r w:rsidR="007A1FD7" w:rsidRPr="00483F7D">
        <w:t xml:space="preserve"> και με τις διατάξεις των συναφών νομικών πράξεων που πλαισιώνουν τις πολιτικές της Ένωσης·</w:t>
      </w:r>
    </w:p>
    <w:p w14:paraId="59440DC4" w14:textId="55C4F0FD" w:rsidR="000D1732" w:rsidRPr="00483F7D" w:rsidRDefault="00BC60FC" w:rsidP="00BC60FC">
      <w:pPr>
        <w:pStyle w:val="Point1"/>
      </w:pPr>
      <w:r w:rsidRPr="00483F7D">
        <w:t>δ)</w:t>
      </w:r>
      <w:r w:rsidRPr="00483F7D">
        <w:tab/>
      </w:r>
      <w:r w:rsidR="000D1732" w:rsidRPr="00483F7D">
        <w:t>δικαιώματα που εισπράττει από δημοσιεύσεις ή άλλες υπηρεσίες που παρέχει η Τελωνειακή Αρχή της ΕΕ.</w:t>
      </w:r>
    </w:p>
    <w:p w14:paraId="22D102D4" w14:textId="77777777" w:rsidR="00E0244C" w:rsidRPr="00483F7D" w:rsidRDefault="007A1FD7">
      <w:pPr>
        <w:pStyle w:val="ManualNumPar10"/>
      </w:pPr>
      <w:r w:rsidRPr="00483F7D">
        <w:t>4.</w:t>
      </w:r>
      <w:r w:rsidRPr="00483F7D">
        <w:tab/>
        <w:t>Οι δαπάνες της Τελωνειακής Αρχής της ΕΕ περιλαμβάνουν τις αμοιβές του προσωπικού, τις διοικητικές δαπάνες και τις δαπάνες υποδομής, καθώς και τις επιχειρησιακές δαπάνες.</w:t>
      </w:r>
    </w:p>
    <w:p w14:paraId="476644B3" w14:textId="77777777" w:rsidR="00E0244C" w:rsidRPr="00483F7D" w:rsidRDefault="007A1FD7">
      <w:pPr>
        <w:pStyle w:val="ManualNumPar10"/>
      </w:pPr>
      <w:r w:rsidRPr="00483F7D">
        <w:t>5.</w:t>
      </w:r>
      <w:r w:rsidRPr="00483F7D">
        <w:tab/>
        <w:t>Οι δημοσιονομικές δεσμεύσεις για δράσεις στο πλαίσιο σχεδίων μεγάλης κλίμακας που εκτείνονται πέραν του ενός οικονομικού έτους, είναι δυνατό να κατανεμηθούν σε περισσότερες της μίας ετήσιες δόσεις.</w:t>
      </w:r>
    </w:p>
    <w:p w14:paraId="39665E05" w14:textId="77777777" w:rsidR="00E0244C" w:rsidRPr="00483F7D" w:rsidRDefault="007A1FD7">
      <w:pPr>
        <w:pStyle w:val="Titrearticle"/>
      </w:pPr>
      <w:r w:rsidRPr="00483F7D">
        <w:t>Άρθρο 226</w:t>
      </w:r>
    </w:p>
    <w:p w14:paraId="2731BB3D" w14:textId="77777777" w:rsidR="00E0244C" w:rsidRPr="00483F7D" w:rsidRDefault="007A1FD7">
      <w:pPr>
        <w:pStyle w:val="NormalCentered"/>
      </w:pPr>
      <w:r w:rsidRPr="00483F7D">
        <w:rPr>
          <w:b/>
        </w:rPr>
        <w:t>Εκτέλεση του προϋπολογισμού της Τελωνειακής Αρχής της ΕΕ</w:t>
      </w:r>
    </w:p>
    <w:p w14:paraId="39E8C956" w14:textId="77777777" w:rsidR="00E0244C" w:rsidRPr="00483F7D" w:rsidRDefault="007A1FD7">
      <w:pPr>
        <w:pStyle w:val="ManualNumPar10"/>
      </w:pPr>
      <w:r w:rsidRPr="00483F7D">
        <w:t>1.</w:t>
      </w:r>
      <w:r w:rsidRPr="00483F7D">
        <w:tab/>
        <w:t>Ο/Η εκτελεστικός/ή διευθυντής/-ρια εκτελεί τον προϋπολογισμό της Τελωνειακής Αρχής της ΕΕ.</w:t>
      </w:r>
    </w:p>
    <w:p w14:paraId="3280A83B" w14:textId="77777777" w:rsidR="00E0244C" w:rsidRPr="00483F7D" w:rsidRDefault="007A1FD7">
      <w:pPr>
        <w:pStyle w:val="ManualNumPar10"/>
      </w:pPr>
      <w:r w:rsidRPr="00483F7D">
        <w:t>2.</w:t>
      </w:r>
      <w:r w:rsidRPr="00483F7D">
        <w:tab/>
        <w:t>Κάθε έτος, ο/η εκτελεστικός/ή διευθυντής/-ρια διαβιβάζει στην αρμόδια για τον προϋπολογισμό αρχή όλες τις πληροφορίες που είναι αναγκαίες για την εκτέλεση των καθηκόντων της όσον αφορά την αξιολόγηση.</w:t>
      </w:r>
    </w:p>
    <w:p w14:paraId="0CC2BDEC" w14:textId="77777777" w:rsidR="00E0244C" w:rsidRPr="00483F7D" w:rsidRDefault="007A1FD7">
      <w:pPr>
        <w:pStyle w:val="Titrearticle"/>
      </w:pPr>
      <w:r w:rsidRPr="00483F7D">
        <w:t>Άρθρο 227</w:t>
      </w:r>
    </w:p>
    <w:p w14:paraId="25FCBC16" w14:textId="77777777" w:rsidR="00E0244C" w:rsidRPr="00483F7D" w:rsidRDefault="007A1FD7">
      <w:pPr>
        <w:pStyle w:val="NormalCentered"/>
      </w:pPr>
      <w:r w:rsidRPr="00483F7D">
        <w:rPr>
          <w:b/>
        </w:rPr>
        <w:t>Απόδοση λογαριασμών και απαλλαγή</w:t>
      </w:r>
    </w:p>
    <w:p w14:paraId="6BC8580E" w14:textId="77777777" w:rsidR="00E0244C" w:rsidRPr="00483F7D" w:rsidRDefault="007A1FD7">
      <w:pPr>
        <w:pStyle w:val="ManualNumPar10"/>
      </w:pPr>
      <w:r w:rsidRPr="00483F7D">
        <w:t>1.</w:t>
      </w:r>
      <w:r w:rsidRPr="00483F7D">
        <w:tab/>
        <w:t>Το επόμενο οικονομικό έτος (έτος N+1), ο/η υπόλογος της Τελωνειακής Αρχής της ΕΕ διαβιβάζει τους προσωρινούς λογαριασμούς για το οικονομικό έτος (έτος Ν) στον/στην υπόλογο της Επιτροπής και στο Ελεγκτικό Συνέδριο έως την 1η Μαρτίου του επομένου οικονομικού έτους (έτος Ν+1).</w:t>
      </w:r>
    </w:p>
    <w:p w14:paraId="7FE6F689" w14:textId="77777777" w:rsidR="00E0244C" w:rsidRPr="00483F7D" w:rsidRDefault="007A1FD7">
      <w:pPr>
        <w:pStyle w:val="ManualNumPar10"/>
      </w:pPr>
      <w:r w:rsidRPr="00483F7D">
        <w:t>2.</w:t>
      </w:r>
      <w:r w:rsidRPr="00483F7D">
        <w:tab/>
        <w:t>Έως τις 31 Μαρτίου του έτους Ν+1, η Τελωνειακή Αρχή της ΕΕ διαβιβάζει την έκθεση σχετικά με τη δημοσιονομική και οικονομική διαχείριση για το έτος N στο Ευρωπαϊκό Κοινοβούλιο, στο Συμβούλιο και στο Ελεγκτικό Συνέδριο.</w:t>
      </w:r>
    </w:p>
    <w:p w14:paraId="5A8CE3DF" w14:textId="77777777" w:rsidR="00E0244C" w:rsidRPr="00483F7D" w:rsidRDefault="007A1FD7">
      <w:pPr>
        <w:pStyle w:val="ManualNumPar10"/>
      </w:pPr>
      <w:r w:rsidRPr="00483F7D">
        <w:t>3.</w:t>
      </w:r>
      <w:r w:rsidRPr="00483F7D">
        <w:tab/>
        <w:t>Έως τις 31 Μαρτίου του έτους Ν+1, ο/η υπόλογος της Επιτροπής διαβιβάζει στο Ελεγκτικό Συνέδριο τους προσωρινούς λογαριασμούς της Τελωνειακής Αρχής της ΕΕ, αφού τους έχει ενοποιήσει με τους λογαριασμούς της Επιτροπής.</w:t>
      </w:r>
    </w:p>
    <w:p w14:paraId="6A0ED6D3" w14:textId="77777777" w:rsidR="00E0244C" w:rsidRPr="00483F7D" w:rsidRDefault="007A1FD7">
      <w:pPr>
        <w:pStyle w:val="ManualNumPar10"/>
      </w:pPr>
      <w:r w:rsidRPr="00483F7D">
        <w:t>4.</w:t>
      </w:r>
      <w:r w:rsidRPr="00483F7D">
        <w:tab/>
        <w:t>Μετά την παραλαβή των παρατηρήσεων του Ελεγκτικού Συνεδρίου όσον αφορά τους προσωρινούς λογαριασμούς της Τελωνειακής Αρχής της ΕΕ, δυνάμει του άρθρου 246 του κανονισμού (ΕΕ, Ευρατόμ) 2018/1046 του Ευρωπαϊκού Κοινοβουλίου και του Συμβουλίου</w:t>
      </w:r>
      <w:r w:rsidRPr="00483F7D">
        <w:rPr>
          <w:rStyle w:val="FootnoteReference"/>
        </w:rPr>
        <w:footnoteReference w:id="75"/>
      </w:r>
      <w:r w:rsidRPr="00483F7D">
        <w:t>, ο/η υπόλογος της Τελωνειακής Αρχής της ΕΕ καταρτίζει τους οριστικούς λογαριασμούς της Τελωνειακής Αρχής της ΕΕ για το συγκεκριμένο έτος. Ο/Η εκτελεστικός/ή διευθυντής/-ρια τούς διαβιβάζει προς γνωμοδότηση στο εκτελεστικό γραφείο. Η γνωμοδότηση αυτή εγκρίνεται από το διοικητικό συμβούλιο.</w:t>
      </w:r>
    </w:p>
    <w:p w14:paraId="56543D4F" w14:textId="77777777" w:rsidR="00E0244C" w:rsidRPr="00483F7D" w:rsidRDefault="007A1FD7">
      <w:pPr>
        <w:pStyle w:val="ManualNumPar10"/>
      </w:pPr>
      <w:r w:rsidRPr="00483F7D">
        <w:t>5.</w:t>
      </w:r>
      <w:r w:rsidRPr="00483F7D">
        <w:tab/>
        <w:t>Ο/Η υπόλογος της Τελωνειακής Αρχής της ΕΕ διαβιβάζει, έως την 1η Ιουλίου του έτους Ν+1, τους οριστικούς λογαριασμούς για το έτος Ν στο Ευρωπαϊκό Κοινοβούλιο, το Συμβούλιο, την Επιτροπή και το Ελεγκτικό Συνέδριο, μαζί με τη γνωμοδότηση που ενέκρινε το διοικητικό συμβούλιο.</w:t>
      </w:r>
    </w:p>
    <w:p w14:paraId="78C0E5AC" w14:textId="77777777" w:rsidR="00E0244C" w:rsidRPr="00483F7D" w:rsidRDefault="007A1FD7">
      <w:pPr>
        <w:pStyle w:val="ManualNumPar10"/>
      </w:pPr>
      <w:r w:rsidRPr="00483F7D">
        <w:t>6.</w:t>
      </w:r>
      <w:r w:rsidRPr="00483F7D">
        <w:tab/>
        <w:t>Οι οριστικοί λογαριασμοί για το έτος Ν δημοσιεύονται στην Επίσημη Εφημερίδα της Ευρωπαϊκής Ένωσης έως τις 15 Νοεμβρίου του έτους Ν+1.</w:t>
      </w:r>
    </w:p>
    <w:p w14:paraId="1B37FFDB" w14:textId="77777777" w:rsidR="00E0244C" w:rsidRPr="00483F7D" w:rsidRDefault="007A1FD7">
      <w:pPr>
        <w:pStyle w:val="ManualNumPar10"/>
      </w:pPr>
      <w:r w:rsidRPr="00483F7D">
        <w:t>7.</w:t>
      </w:r>
      <w:r w:rsidRPr="00483F7D">
        <w:tab/>
        <w:t>Ο/Η εκτελεστικός/ή διευθυντής/-ρια διαβιβάζει στο Ελεγκτικό Συνέδριο απάντηση επί των παρατηρήσεων του τελευταίου, έως τις 30 Σεπτεμβρίου του έτους N+1. Την εν λόγω απάντηση αποστέλλει ο/η εκτελεστικός/-ή διευθυντής/-ρια και στο διοικητικό συμβούλιο.</w:t>
      </w:r>
    </w:p>
    <w:p w14:paraId="4E5F3E83" w14:textId="77777777" w:rsidR="00E0244C" w:rsidRPr="00483F7D" w:rsidRDefault="007A1FD7">
      <w:pPr>
        <w:pStyle w:val="ManualNumPar10"/>
      </w:pPr>
      <w:r w:rsidRPr="00483F7D">
        <w:t>8.</w:t>
      </w:r>
      <w:r w:rsidRPr="00483F7D">
        <w:tab/>
        <w:t>Ο/Η εκτελεστικός/-ή διευθυντής/-ρια υποβάλλει στο Ευρωπαϊκό Κοινοβούλιο, κατόπιν αιτήματος του τελευταίου, κάθε πληροφορία που απαιτείται για την ομαλή εφαρμογή της διαδικασίας απαλλαγής για το οικονομικό έτος N, σύμφωνα με το άρθρο 261 παράγραφος 3 του κανονισμού (ΕΕ, Ευρατόμ) 2018/1046.</w:t>
      </w:r>
    </w:p>
    <w:p w14:paraId="36EE0C25" w14:textId="77777777" w:rsidR="00E0244C" w:rsidRPr="00483F7D" w:rsidRDefault="007A1FD7">
      <w:pPr>
        <w:pStyle w:val="ManualNumPar10"/>
      </w:pPr>
      <w:r w:rsidRPr="00483F7D">
        <w:t>9.</w:t>
      </w:r>
      <w:r w:rsidRPr="00483F7D">
        <w:tab/>
        <w:t>Πριν από τις 15 Μαΐου του έτους Ν+2 και έπειτα από σύσταση του Συμβουλίου που αποφασίζει με ειδική πλειοψηφία, το Ευρωπαϊκό Κοινοβούλιο χορηγεί απαλλαγή στον/στην εκτελεστικό/-ή διευθυντή/-ρια όσον αφορά την εκτέλεση του προϋπολογισμού του έτους Ν.</w:t>
      </w:r>
    </w:p>
    <w:p w14:paraId="6554B823" w14:textId="77777777" w:rsidR="00E0244C" w:rsidRPr="00483F7D" w:rsidRDefault="007A1FD7">
      <w:pPr>
        <w:pStyle w:val="Titrearticle"/>
      </w:pPr>
      <w:r w:rsidRPr="00483F7D">
        <w:t>Άρθρο 228</w:t>
      </w:r>
    </w:p>
    <w:p w14:paraId="7E29089A" w14:textId="77777777" w:rsidR="00E0244C" w:rsidRPr="00483F7D" w:rsidRDefault="007A1FD7">
      <w:pPr>
        <w:pStyle w:val="NormalCentered"/>
      </w:pPr>
      <w:r w:rsidRPr="00483F7D">
        <w:rPr>
          <w:b/>
        </w:rPr>
        <w:t>Καταπολέμηση της απάτης</w:t>
      </w:r>
    </w:p>
    <w:p w14:paraId="073BFFBF" w14:textId="77777777" w:rsidR="00E0244C" w:rsidRPr="00483F7D" w:rsidRDefault="007A1FD7">
      <w:pPr>
        <w:pStyle w:val="ManualNumPar10"/>
      </w:pPr>
      <w:r w:rsidRPr="00483F7D">
        <w:t>1.</w:t>
      </w:r>
      <w:r w:rsidRPr="00483F7D">
        <w:tab/>
        <w:t>Για την καταπολέμηση της απάτης, της διαφθοράς και άλλων παράνομων δραστηριοτήτων εντός της Τελωνειακής Αρχής της ΕΕ, εφαρμόζονται χωρίς περιορισμό οι διατάξεις του κανονισμού (ΕΕ, Ευρατόμ) αριθ. 883/2013.</w:t>
      </w:r>
    </w:p>
    <w:p w14:paraId="23CF0959" w14:textId="77777777" w:rsidR="00E0244C" w:rsidRPr="00483F7D" w:rsidRDefault="007A1FD7">
      <w:pPr>
        <w:pStyle w:val="ManualNumPar10"/>
      </w:pPr>
      <w:r w:rsidRPr="00483F7D">
        <w:t>2.</w:t>
      </w:r>
      <w:r w:rsidRPr="00483F7D">
        <w:tab/>
        <w:t>Η Τελωνειακή Αρχή της ΕΕ προσχωρεί στη διοργανική συμφωνία της 25ης Μαΐου 1999 μεταξύ του Ευρωπαϊκού Κοινοβουλίου, του Συμβουλίου της Ευρωπαϊκής Ένωσης και της Επιτροπής των Ευρωπαϊκών Κοινοτήτων σχετικά με τις εσωτερικές έρευνες που πραγματοποιούνται από την OLAF</w:t>
      </w:r>
      <w:r w:rsidRPr="00483F7D">
        <w:rPr>
          <w:rStyle w:val="FootnoteReference"/>
        </w:rPr>
        <w:footnoteReference w:id="76"/>
      </w:r>
      <w:r w:rsidRPr="00483F7D">
        <w:t xml:space="preserve"> εντός έξι μηνών από τις [XXX] και εκδίδει τις κατάλληλες διατάξεις που εφαρμόζονται για το προσωπικό της χρησιμοποιώντας το υπόδειγμα που παρατίθεται στο παράρτημα της εν λόγω συμφωνίας.</w:t>
      </w:r>
    </w:p>
    <w:p w14:paraId="58A64F55" w14:textId="77777777" w:rsidR="00E0244C" w:rsidRPr="00483F7D" w:rsidRDefault="007A1FD7">
      <w:pPr>
        <w:pStyle w:val="ManualNumPar10"/>
      </w:pPr>
      <w:r w:rsidRPr="00483F7D">
        <w:t>3.</w:t>
      </w:r>
      <w:r w:rsidRPr="00483F7D">
        <w:tab/>
        <w:t>Το Ευρωπαϊκό Ελεγκτικό Συνέδριο έχει την εξουσία να ελέγχει, βάσει παραστατικών και επιτόπιων ελέγχων, όλους τους δικαιούχους επιχορηγήσεων, τους εργολάβους και τους υπεργολάβους που έχουν λάβει ενωσιακά κονδύλια από την Τελωνειακή Αρχή της ΕΕ.</w:t>
      </w:r>
    </w:p>
    <w:p w14:paraId="7F3E4BF6" w14:textId="77777777" w:rsidR="00E0244C" w:rsidRPr="00483F7D" w:rsidRDefault="007A1FD7">
      <w:pPr>
        <w:pStyle w:val="ManualNumPar10"/>
      </w:pPr>
      <w:r w:rsidRPr="00483F7D">
        <w:t>4.</w:t>
      </w:r>
      <w:r w:rsidRPr="00483F7D">
        <w:tab/>
        <w:t>Η OLAF μπορεί να διενεργεί έρευνες, συμπεριλαμβανομένων επιτόπιων ελέγχων και εξακριβώσεων, για τη διαπίστωση τυχόν απάτης, διαφθοράς ή οποιασδήποτε άλλης παράνομης ενέργειας σε βάρος των οικονομικών συμφερόντων της Ένωσης σε σχέση με επιχορήγηση ή σύμβαση χρηματοδοτούμενη από την Τελωνειακή Αρχή της ΕΕ, σύμφωνα με τις διατάξεις και τις διαδικασίες που προβλέπονται στον κανονισμό (ΕΕ, Ευρατόμ) αριθ. 883/2013 και στον κανονισμό (Ευρατόμ, ΕΚ) αριθ. 2185/96 του Συμβουλίου</w:t>
      </w:r>
      <w:r w:rsidRPr="00483F7D">
        <w:rPr>
          <w:rStyle w:val="FootnoteReference"/>
        </w:rPr>
        <w:footnoteReference w:id="77"/>
      </w:r>
      <w:r w:rsidRPr="00483F7D">
        <w:t>.</w:t>
      </w:r>
    </w:p>
    <w:p w14:paraId="13F525A4" w14:textId="77777777" w:rsidR="00E0244C" w:rsidRPr="00483F7D" w:rsidRDefault="007A1FD7">
      <w:pPr>
        <w:pStyle w:val="ManualNumPar10"/>
      </w:pPr>
      <w:r w:rsidRPr="00483F7D">
        <w:t>5.</w:t>
      </w:r>
      <w:r w:rsidRPr="00483F7D">
        <w:tab/>
        <w:t>Με την επιφύλαξη των παραγράφων 1, 2, 3 και 4, οι συμβάσεις, οι συμφωνίες επιχορήγησης και οι αποφάσεις επιχορήγησης Τελωνειακής Αρχής της ΕΕ περιέχουν διατάξεις που εξουσιοδοτούν ρητά το Ελεγκτικό Συνέδριο και την OLAF να διενεργούν τέτοιου είδους ελέγχους και έρευνες σύμφωνα με τις αντίστοιχες αρμοδιότητές τους. Οι ρυθμίσεις συνεργασίας με αρμόδιες αρχές τρίτων χωρών και διεθνείς οργανισμούς καλύπτουν τη συνδρομή και τη συνεργασία των εν λόγω αρχών και διεθνών οργανισμών σε σχέση με ελέγχους και έρευνες που διενεργούνται από το Ελεγκτικό Συνέδριο και την OLAF.</w:t>
      </w:r>
    </w:p>
    <w:p w14:paraId="3EB1AF10" w14:textId="77777777" w:rsidR="00E0244C" w:rsidRPr="00483F7D" w:rsidRDefault="007A1FD7">
      <w:pPr>
        <w:pStyle w:val="ManualNumPar10"/>
      </w:pPr>
      <w:r w:rsidRPr="00483F7D">
        <w:t>6.</w:t>
      </w:r>
      <w:r w:rsidRPr="00483F7D">
        <w:tab/>
        <w:t>Σύμφωνα με τον κανονισμό (ΕΕ) 2017/1939, η Ευρωπαϊκή Εισαγγελία μπορεί να διερευνά και να ασκεί δίωξη σε περιπτώσεις απάτης και άλλων παράνομων δραστηριοτήτων που θίγουν τα οικονομικά συμφέροντα της Ένωσης, όπως προβλέπεται στην οδηγία (ΕΕ) 2017/1371 του Ευρωπαϊκού Κοινοβουλίου και του Συμβουλίου</w:t>
      </w:r>
      <w:r w:rsidRPr="00483F7D">
        <w:rPr>
          <w:rStyle w:val="FootnoteReference"/>
        </w:rPr>
        <w:footnoteReference w:id="78"/>
      </w:r>
      <w:r w:rsidRPr="00483F7D">
        <w:t>.</w:t>
      </w:r>
    </w:p>
    <w:p w14:paraId="4195D247" w14:textId="77777777" w:rsidR="00E0244C" w:rsidRPr="00483F7D" w:rsidRDefault="007A1FD7">
      <w:pPr>
        <w:pStyle w:val="ChapterTitle"/>
      </w:pPr>
      <w:r w:rsidRPr="00483F7D">
        <w:t xml:space="preserve">Κεφάλαιο 5 </w:t>
      </w:r>
      <w:r w:rsidRPr="00483F7D">
        <w:br/>
        <w:t>Διατάξεις σχετικά με το προσωπικό</w:t>
      </w:r>
    </w:p>
    <w:p w14:paraId="2BB0C2FD" w14:textId="77777777" w:rsidR="00E0244C" w:rsidRPr="00483F7D" w:rsidRDefault="007A1FD7">
      <w:pPr>
        <w:pStyle w:val="Titrearticle"/>
      </w:pPr>
      <w:r w:rsidRPr="00483F7D">
        <w:t>Άρθρο 229</w:t>
      </w:r>
    </w:p>
    <w:p w14:paraId="37352B8B" w14:textId="77777777" w:rsidR="00E0244C" w:rsidRPr="00483F7D" w:rsidRDefault="007A1FD7">
      <w:pPr>
        <w:pStyle w:val="NormalCentered"/>
      </w:pPr>
      <w:r w:rsidRPr="00483F7D">
        <w:rPr>
          <w:b/>
        </w:rPr>
        <w:t>Γενική διάταξη</w:t>
      </w:r>
    </w:p>
    <w:p w14:paraId="0DD43FDA" w14:textId="77777777" w:rsidR="00E0244C" w:rsidRPr="00483F7D" w:rsidRDefault="007A1FD7">
      <w:r w:rsidRPr="00483F7D">
        <w:t>Στους υπαλλήλους της Τελωνειακής Αρχής της ΕΕ εφαρμόζονται ο κανονισμός υπηρεσιακής κατάστασης των υπαλλήλων και το καθεστώς που εφαρμόζεται στο λοιπό προσωπικό της Ευρωπαϊκής Ένωσης, καθώς και οι κανόνες που θεσπίστηκαν με συμφωνία μεταξύ των θεσμικών οργάνων της Ένωσης για την εφαρμογή του κανονισμού υπηρεσιακής κατάστασης των υπαλλήλων και του καθεστώτος που εφαρμόζεται στο λοιπό προσωπικό.</w:t>
      </w:r>
    </w:p>
    <w:p w14:paraId="22A24532" w14:textId="77777777" w:rsidR="00E0244C" w:rsidRPr="00483F7D" w:rsidRDefault="007A1FD7">
      <w:pPr>
        <w:pStyle w:val="Titrearticle"/>
      </w:pPr>
      <w:r w:rsidRPr="00483F7D">
        <w:t>Άρθρο 230</w:t>
      </w:r>
    </w:p>
    <w:p w14:paraId="46454F14" w14:textId="77777777" w:rsidR="00E0244C" w:rsidRPr="00483F7D" w:rsidRDefault="007A1FD7">
      <w:pPr>
        <w:pStyle w:val="NormalCentered"/>
      </w:pPr>
      <w:r w:rsidRPr="00483F7D">
        <w:rPr>
          <w:b/>
        </w:rPr>
        <w:t>Αποσπασμένοι εθνικοί εμπειρογνώμονες και λοιπό προσωπικό</w:t>
      </w:r>
    </w:p>
    <w:p w14:paraId="6BF789C8" w14:textId="77777777" w:rsidR="00E0244C" w:rsidRPr="00483F7D" w:rsidRDefault="007A1FD7">
      <w:pPr>
        <w:pStyle w:val="ManualNumPar10"/>
      </w:pPr>
      <w:r w:rsidRPr="00483F7D">
        <w:t>1.</w:t>
      </w:r>
      <w:r w:rsidRPr="00483F7D">
        <w:tab/>
        <w:t>Η Τελωνειακή Αρχή της ΕΕ μπορεί να χρησιμοποιεί αποσπασμένους εθνικούς εμπειρογνώμονες ή άλλο προσωπικό που δεν έχει προσληφθεί από την Τελωνειακή Αρχή της ΕΕ.</w:t>
      </w:r>
    </w:p>
    <w:p w14:paraId="126D9D7E" w14:textId="77777777" w:rsidR="00E0244C" w:rsidRPr="00483F7D" w:rsidRDefault="007A1FD7">
      <w:pPr>
        <w:pStyle w:val="ManualNumPar10"/>
      </w:pPr>
      <w:r w:rsidRPr="00483F7D">
        <w:t>2.</w:t>
      </w:r>
      <w:r w:rsidRPr="00483F7D">
        <w:tab/>
        <w:t>Το διοικητικό συμβούλιο εκδίδει απόφαση για τη θέσπιση κανόνων σχετικά με την απόσπαση εθνικών εμπειρογνωμόνων στην Τελωνειακή Αρχή της ΕΕ.</w:t>
      </w:r>
    </w:p>
    <w:p w14:paraId="123FAA8A" w14:textId="77777777" w:rsidR="00E0244C" w:rsidRPr="00483F7D" w:rsidRDefault="007A1FD7">
      <w:pPr>
        <w:pStyle w:val="Titrearticle"/>
      </w:pPr>
      <w:r w:rsidRPr="00483F7D">
        <w:t>Άρθρο 231</w:t>
      </w:r>
    </w:p>
    <w:p w14:paraId="2F7E39B7" w14:textId="77777777" w:rsidR="00E0244C" w:rsidRPr="00483F7D" w:rsidRDefault="007A1FD7">
      <w:pPr>
        <w:pStyle w:val="NormalCentered"/>
      </w:pPr>
      <w:r w:rsidRPr="00483F7D">
        <w:rPr>
          <w:b/>
        </w:rPr>
        <w:t>Προνόμια και ασυλίες</w:t>
      </w:r>
    </w:p>
    <w:p w14:paraId="1878E332" w14:textId="77777777" w:rsidR="00E0244C" w:rsidRPr="00483F7D" w:rsidRDefault="007A1FD7">
      <w:r w:rsidRPr="00483F7D">
        <w:t>Στην Τελωνειακή Αρχή της ΕΕ και το προσωπικό της εφαρμόζεται το πρωτόκολλο αριθ. 7 περί προνομίων και ασυλιών της Ευρωπαϊκής Ένωσης το οποίο προσαρτάται στη Συνθήκη για τη λειτουργία της Ευρωπαϊκής Ένωσης.</w:t>
      </w:r>
    </w:p>
    <w:p w14:paraId="70B0B41A" w14:textId="77777777" w:rsidR="00E0244C" w:rsidRPr="00483F7D" w:rsidRDefault="007A1FD7">
      <w:pPr>
        <w:pStyle w:val="ChapterTitle"/>
      </w:pPr>
      <w:r w:rsidRPr="00483F7D">
        <w:t xml:space="preserve">Κεφάλαιο 6 </w:t>
      </w:r>
      <w:r w:rsidRPr="00483F7D">
        <w:br/>
        <w:t>Γενικές και τελικές διατάξεις</w:t>
      </w:r>
    </w:p>
    <w:p w14:paraId="45FA3977" w14:textId="77777777" w:rsidR="00E0244C" w:rsidRPr="00483F7D" w:rsidRDefault="007A1FD7">
      <w:pPr>
        <w:pStyle w:val="Titrearticle"/>
      </w:pPr>
      <w:bookmarkStart w:id="216" w:name="__akn_article_BlJzBc"/>
      <w:bookmarkEnd w:id="216"/>
      <w:r w:rsidRPr="00483F7D">
        <w:t>Άρθρο 232</w:t>
      </w:r>
    </w:p>
    <w:p w14:paraId="2B7B52FD" w14:textId="77777777" w:rsidR="00E0244C" w:rsidRPr="00483F7D" w:rsidRDefault="007A1FD7">
      <w:pPr>
        <w:pStyle w:val="NormalCentered"/>
      </w:pPr>
      <w:r w:rsidRPr="00483F7D">
        <w:rPr>
          <w:b/>
        </w:rPr>
        <w:t>Διαφάνεια και επικοινωνία</w:t>
      </w:r>
    </w:p>
    <w:p w14:paraId="352B75B3" w14:textId="77777777" w:rsidR="00E0244C" w:rsidRPr="00483F7D" w:rsidRDefault="007A1FD7">
      <w:pPr>
        <w:pStyle w:val="ManualNumPar10"/>
      </w:pPr>
      <w:r w:rsidRPr="00483F7D">
        <w:t>1.</w:t>
      </w:r>
      <w:r w:rsidRPr="00483F7D">
        <w:tab/>
        <w:t>Για τα έγγραφα που έχει στην κατοχή της η Τελωνειακή Αρχή της ΕΕ ισχύει ο κανονισμός (ΕΚ) αριθ. 1049/2001. Το διοικητικό συμβούλιο, εντός έξι μηνών από την ημερομηνία της πρώτης συνεδρίασής του, θεσπίζει τους λεπτομερείς κανόνες εφαρμογής του κανονισμού (ΕΚ) αριθ. 1049/2001.</w:t>
      </w:r>
    </w:p>
    <w:p w14:paraId="5F4F19EF" w14:textId="77777777" w:rsidR="00E0244C" w:rsidRPr="00483F7D" w:rsidRDefault="007A1FD7">
      <w:pPr>
        <w:pStyle w:val="ManualNumPar10"/>
      </w:pPr>
      <w:r w:rsidRPr="00483F7D">
        <w:t>2.</w:t>
      </w:r>
      <w:r w:rsidRPr="00483F7D">
        <w:tab/>
        <w:t>Η επεξεργασία δεδομένων προσωπικού χαρακτήρα από την Τελωνειακή Αρχή της ΕΕ υπόκειται στον κανονισμό (ΕΕ) 2018/1725. Εντός έξι μηνών από την ημερομηνία της πρώτης συνεδρίασής του, το διοικητικό συμβούλιο θεσπίζει μέτρα για την εφαρμογή του κανονισμού (ΕΕ) 2018/1725 από την Τελωνειακή Αρχή της ΕΕ, συμπεριλαμβανομένων εκείνων που αφορούν τον διορισμό υπευθύνου προστασίας δεδομένων της Τελωνειακής Αρχής της ΕΕ. Τα μέτρα αυτά θεσπίζονται κατόπιν διαβουλεύσεων με τον Ευρωπαίο Επόπτη Προστασίας Δεδομένων.</w:t>
      </w:r>
    </w:p>
    <w:p w14:paraId="78A2D1B8" w14:textId="77777777" w:rsidR="00E0244C" w:rsidRPr="00483F7D" w:rsidRDefault="007A1FD7">
      <w:pPr>
        <w:pStyle w:val="ManualNumPar10"/>
      </w:pPr>
      <w:r w:rsidRPr="00483F7D">
        <w:t>3.</w:t>
      </w:r>
      <w:r w:rsidRPr="00483F7D">
        <w:tab/>
        <w:t>Η Τελωνειακή Αρχή της ΕΕ μπορεί να αναλαμβάνει δραστηριότητες επικοινωνίας με δική της πρωτοβουλία στο πεδίο των αρμοδιοτήτων της. Η διάθεση πόρων για δραστηριότητες επικοινωνίας δεν αποβαίνει σε βάρος της αποτελεσματικής άσκησης των καθηκόντων της Τελωνειακής Αρχής της ΕΕ. Οι δραστηριότητες επικοινωνίας διεξάγονται σύμφωνα με τα συναφή σχέδια επικοινωνίας και διάδοσης που εγκρίνονται από το διοικητικό συμβούλιο.</w:t>
      </w:r>
    </w:p>
    <w:p w14:paraId="19546F44" w14:textId="77777777" w:rsidR="00E0244C" w:rsidRPr="00483F7D" w:rsidRDefault="007A1FD7">
      <w:pPr>
        <w:pStyle w:val="Titrearticle"/>
      </w:pPr>
      <w:bookmarkStart w:id="217" w:name="__akn_article_HDZbTN"/>
      <w:bookmarkEnd w:id="217"/>
      <w:r w:rsidRPr="00483F7D">
        <w:t>Άρθρο 233</w:t>
      </w:r>
    </w:p>
    <w:p w14:paraId="573D3B13" w14:textId="77777777" w:rsidR="00E0244C" w:rsidRPr="00483F7D" w:rsidRDefault="007A1FD7">
      <w:pPr>
        <w:pStyle w:val="NormalCentered"/>
      </w:pPr>
      <w:r w:rsidRPr="00483F7D">
        <w:rPr>
          <w:b/>
        </w:rPr>
        <w:t>Κανόνες ασφάλειας για την προστασία διαβαθμισμένων και ευαίσθητων μη-διαβαθμισμένων πληροφοριών</w:t>
      </w:r>
    </w:p>
    <w:p w14:paraId="63102AA8" w14:textId="77777777" w:rsidR="00E0244C" w:rsidRPr="00483F7D" w:rsidRDefault="007A1FD7">
      <w:pPr>
        <w:pStyle w:val="ManualNumPar10"/>
      </w:pPr>
      <w:r w:rsidRPr="00483F7D">
        <w:t>1.</w:t>
      </w:r>
      <w:r w:rsidRPr="00483F7D">
        <w:tab/>
        <w:t>Η Τελωνειακή Αρχή της ΕΕ θεσπίζει δικούς της κανόνες ασφάλειας οι οποίοι βασίζονται στις αρχές και τους κανόνες που προβλέπονται στους κανόνες ασφάλειας της Επιτροπής για την προστασία των διαβαθμισμένων πληροφοριών της Ευρωπαϊκής Ένωσης (ΔΠΕΕ) και των ευαίσθητων μη διαβαθμισμένων πληροφοριών, συμπεριλαμβανομένων, μεταξύ άλλων, διατάξεων περί ανταλλαγής με τρίτες χώρες, επεξεργασίας και αποθήκευσης τέτοιων πληροφοριών, όπως καθορίζονται στις αποφάσεις της Επιτροπής (ΕΕ, Ευρατόμ) 2015/443</w:t>
      </w:r>
      <w:r w:rsidRPr="00483F7D">
        <w:rPr>
          <w:rStyle w:val="FootnoteReference"/>
        </w:rPr>
        <w:footnoteReference w:id="79"/>
      </w:r>
      <w:r w:rsidRPr="00483F7D">
        <w:t xml:space="preserve"> και (ΕΕ, Ευρατόμ) 2015/444</w:t>
      </w:r>
      <w:r w:rsidRPr="00483F7D">
        <w:rPr>
          <w:rStyle w:val="FootnoteReference"/>
        </w:rPr>
        <w:footnoteReference w:id="80"/>
      </w:r>
      <w:r w:rsidRPr="00483F7D">
        <w:t>. Οποιεσδήποτε διοικητικές ρυθμίσεις σχετικά με την ανταλλαγή διαβαθμισμένων πληροφοριών με τις αρμόδιες αρχές τρίτης χώρας ή, απουσία τέτοιου διακανονισμού, οποιαδήποτε έκτακτη ad hoc κοινοποίηση ΔΠΕΕ στις αρχές αυτές πρέπει να έχει εγκριθεί προηγουμένως από την Επιτροπή.</w:t>
      </w:r>
    </w:p>
    <w:p w14:paraId="7E41584D" w14:textId="77777777" w:rsidR="00E0244C" w:rsidRPr="00483F7D" w:rsidRDefault="007A1FD7">
      <w:pPr>
        <w:pStyle w:val="ManualNumPar10"/>
      </w:pPr>
      <w:r w:rsidRPr="00483F7D">
        <w:t>2.</w:t>
      </w:r>
      <w:r w:rsidRPr="00483F7D">
        <w:tab/>
        <w:t>Το  διοικητικό συμβούλιο θεσπίζει τους κανόνες ασφάλειας της Τελωνειακής Αρχής της ΕΕ, κατόπιν έγκρισης της Επιτροπής. Κατά την αξιολόγηση των προτεινόμενων κανόνων ασφάλειας, η Επιτροπή διασφαλίζει τη συμβατότητά τους με τις αποφάσεις (ΕΕ, Ευρατόμ) 2015/443 και (ΕΕ, Ευρατόμ) 2015/444.</w:t>
      </w:r>
    </w:p>
    <w:p w14:paraId="2BE58A0B" w14:textId="77777777" w:rsidR="00E0244C" w:rsidRPr="00483F7D" w:rsidRDefault="007A1FD7">
      <w:pPr>
        <w:pStyle w:val="ManualNumPar10"/>
      </w:pPr>
      <w:r w:rsidRPr="00483F7D">
        <w:t>3.</w:t>
      </w:r>
      <w:r w:rsidRPr="00483F7D">
        <w:tab/>
        <w:t>Τα μέλη του διοικητικού συμβουλίου, ο/η εκτελεστικός/ή διευθυντής/-ρια, οι εξωτερικοί εμπειρογνώμονες που συμμετέχουν στις ad hoc ομάδες εργασίας, και τα μέλη του προσωπικού της Τελωνειακής Αρχής της ΕΕ συμμορφώνονται, ακόμη και μετά την παύση των καθηκόντων τους, με τις απαιτήσεις τήρησης του απορρήτου, σύμφωνα με το άρθρο 339 της ΣΛΕΕ.</w:t>
      </w:r>
    </w:p>
    <w:p w14:paraId="1FED9C71" w14:textId="77777777" w:rsidR="00E0244C" w:rsidRPr="00483F7D" w:rsidRDefault="007A1FD7">
      <w:pPr>
        <w:pStyle w:val="ManualNumPar10"/>
      </w:pPr>
      <w:r w:rsidRPr="00483F7D">
        <w:t>4.</w:t>
      </w:r>
      <w:r w:rsidRPr="00483F7D">
        <w:tab/>
        <w:t>Η Τελωνειακή Αρχή της ΕΕ μπορεί να λαμβάνει όλα τα αναγκαία μέτρα για να διευκολύνει την ανταλλαγή σχετικών με τα καθήκοντά της πληροφοριών με την Επιτροπή και τα κράτη μέλη και, όπου κρίνεται σκόπιμο, με τα συναφή θεσμικά και λοιπά όργανα και οργανισμούς της Ένωσης. Οποιεσδήποτε διοικητικές ρυθμίσεις συμφωνούνται προς τον σκοπό αυτό όσον αφορά την ανταλλαγή διαβαθμισμένων πληροφοριών της EE (ΔΠΕΕ) ή, ελλείψει τέτοιων ρυθμίσεων, οποιαδήποτε έκτακτη ad hoc κοινοποίηση ΔΠΕΕ πρέπει να έχει εγκριθεί προηγουμένως από την Επιτροπή.</w:t>
      </w:r>
    </w:p>
    <w:p w14:paraId="799769B9" w14:textId="77777777" w:rsidR="00E0244C" w:rsidRPr="00483F7D" w:rsidRDefault="007A1FD7">
      <w:pPr>
        <w:pStyle w:val="Titrearticle"/>
      </w:pPr>
      <w:r w:rsidRPr="00483F7D">
        <w:t>Άρθρο 234</w:t>
      </w:r>
    </w:p>
    <w:p w14:paraId="40BFD3C5" w14:textId="77777777" w:rsidR="00E0244C" w:rsidRPr="00483F7D" w:rsidRDefault="007A1FD7">
      <w:pPr>
        <w:pStyle w:val="NormalCentered"/>
      </w:pPr>
      <w:r w:rsidRPr="00483F7D">
        <w:rPr>
          <w:b/>
        </w:rPr>
        <w:t>Γλωσσικό καθεστώς</w:t>
      </w:r>
    </w:p>
    <w:p w14:paraId="1A2C0642" w14:textId="77777777" w:rsidR="00A16B92" w:rsidRPr="00483F7D" w:rsidRDefault="007A1FD7" w:rsidP="5DA9B26A">
      <w:pPr>
        <w:pStyle w:val="ManualNumPar10"/>
      </w:pPr>
      <w:r w:rsidRPr="00483F7D">
        <w:t>1.</w:t>
      </w:r>
      <w:r w:rsidRPr="00483F7D">
        <w:tab/>
        <w:t>Στην Τελωνειακή Αρχή της ΕΕ εφαρμόζονται οι διατάξεις του κανονισμού αριθ. 1 του Συμβουλίου</w:t>
      </w:r>
      <w:r w:rsidRPr="00483F7D">
        <w:rPr>
          <w:rStyle w:val="FootnoteReference"/>
        </w:rPr>
        <w:footnoteReference w:id="81"/>
      </w:r>
      <w:r w:rsidRPr="00483F7D">
        <w:t>.</w:t>
      </w:r>
    </w:p>
    <w:p w14:paraId="25F8D5B7" w14:textId="77777777" w:rsidR="00E0244C" w:rsidRPr="00483F7D" w:rsidRDefault="007A1FD7">
      <w:pPr>
        <w:pStyle w:val="ManualNumPar10"/>
      </w:pPr>
      <w:r w:rsidRPr="00483F7D">
        <w:t>2.</w:t>
      </w:r>
      <w:r w:rsidRPr="00483F7D">
        <w:tab/>
        <w:t>Το διοικητικό συμβούλιο αποφασίζει σχετικά με το εσωτερικό γλωσσικό καθεστώς που εφαρμόζεται στην Τελωνειακή Αρχή της ΕΕ.</w:t>
      </w:r>
    </w:p>
    <w:p w14:paraId="562B88BF" w14:textId="77777777" w:rsidR="00E0244C" w:rsidRPr="00483F7D" w:rsidRDefault="007A1FD7">
      <w:pPr>
        <w:pStyle w:val="ManualNumPar10"/>
      </w:pPr>
      <w:r w:rsidRPr="00483F7D">
        <w:t>3.</w:t>
      </w:r>
      <w:r w:rsidRPr="00483F7D">
        <w:tab/>
        <w:t>Οι μεταφραστικές υπηρεσίες που απαιτούνται για τη λειτουργία της Τελωνειακής Αρχής της ΕΕ παρέχονται από το Μεταφραστικό Κέντρο των Οργάνων της Ευρωπαϊκής Ένωσης.</w:t>
      </w:r>
    </w:p>
    <w:p w14:paraId="5F29FB39" w14:textId="77777777" w:rsidR="00E0244C" w:rsidRPr="00483F7D" w:rsidRDefault="007A1FD7">
      <w:pPr>
        <w:pStyle w:val="Titrearticle"/>
      </w:pPr>
      <w:r w:rsidRPr="00483F7D">
        <w:t>Άρθρο 235</w:t>
      </w:r>
    </w:p>
    <w:p w14:paraId="6897B2DD" w14:textId="77777777" w:rsidR="00E0244C" w:rsidRPr="00483F7D" w:rsidRDefault="007A1FD7">
      <w:pPr>
        <w:pStyle w:val="NormalCentered"/>
      </w:pPr>
      <w:r w:rsidRPr="00483F7D">
        <w:rPr>
          <w:b/>
        </w:rPr>
        <w:t>Αξιολόγηση</w:t>
      </w:r>
    </w:p>
    <w:p w14:paraId="1EB5BD7A" w14:textId="77777777" w:rsidR="00E0244C" w:rsidRPr="00483F7D" w:rsidRDefault="007A1FD7">
      <w:pPr>
        <w:pStyle w:val="ManualNumPar10"/>
      </w:pPr>
      <w:bookmarkStart w:id="218" w:name="__akn_article_2KzOzM_QPbUp4"/>
      <w:bookmarkEnd w:id="218"/>
      <w:r w:rsidRPr="00483F7D">
        <w:t>1.</w:t>
      </w:r>
      <w:r w:rsidRPr="00483F7D">
        <w:tab/>
        <w:t>Το αργότερο στις [Υπηρεσία Εκδόσεων: να προστεθεί η ημερομηνία = 5 έτη μετά την ημερομηνία έναρξης ισχύος του παρόντος κανονισμού], και στη συνέχεια κάθε 5 έτη, η Επιτροπή διασφαλίζει ότι διενεργείται αξιολόγηση, σύμφωνα με τις κατευθυντήριες γραμμές της Επιτροπής, των επιδόσεων της Τελωνειακής Αρχής της ΕΕ σε σχέση με τους στόχους, την εντολή, τα καθήκοντα, τη διακυβέρνηση και την τοποθεσία ή τις τοποθεσίες της.</w:t>
      </w:r>
    </w:p>
    <w:p w14:paraId="3D32A818" w14:textId="77777777" w:rsidR="00E0244C" w:rsidRPr="00483F7D" w:rsidRDefault="007A1FD7">
      <w:pPr>
        <w:pStyle w:val="ManualNumPar10"/>
      </w:pPr>
      <w:bookmarkStart w:id="219" w:name="__akn_article_2KzOzM_5Pj9Hj"/>
      <w:bookmarkEnd w:id="219"/>
      <w:r w:rsidRPr="00483F7D">
        <w:t>2.</w:t>
      </w:r>
      <w:r w:rsidRPr="00483F7D">
        <w:tab/>
        <w:t>Στην αξιολόγηση εξετάζονται, ειδικότερα, η ενδεχόμενη ανάγκη τροποποίησης της εντολής της Τελωνειακής Αρχής της ΕΕ, καθώς και οι δημοσιονομικές επιπτώσεις τυχόν τέτοιας τροποποίησης.</w:t>
      </w:r>
    </w:p>
    <w:p w14:paraId="5B677217" w14:textId="77777777" w:rsidR="00E0244C" w:rsidRPr="00483F7D" w:rsidRDefault="007A1FD7">
      <w:pPr>
        <w:pStyle w:val="ManualNumPar10"/>
      </w:pPr>
      <w:r w:rsidRPr="00483F7D">
        <w:t>3.</w:t>
      </w:r>
      <w:r w:rsidRPr="00483F7D">
        <w:tab/>
        <w:t>Στο πλαίσιο κάθε δεύτερης αξιολόγησης που αναφέρεται στην παράγραφο 1, τα αποτελέσματα που έχουν επιτευχθεί από την Τελωνειακή Αρχή της ΕΕ αποτιμώνται, λαμβανομένων υπόψη των στόχων, της εντολής, των καθηκόντων και της διακυβέρνησής της, συμπεριλαμβανομένης αξιολόγησης του κατά πόσον η συνέχιση της λειτουργίας της Τελωνειακής Αρχής της ΕΕ εξακολουθεί να δικαιολογείται σε σχέση με τους εν λόγω στόχους, την εντολή, τη διακυβέρνηση και τα καθήκοντά της.</w:t>
      </w:r>
    </w:p>
    <w:p w14:paraId="2A90C03D" w14:textId="77777777" w:rsidR="00E0244C" w:rsidRPr="00483F7D" w:rsidRDefault="007A1FD7">
      <w:pPr>
        <w:pStyle w:val="ManualNumPar10"/>
      </w:pPr>
      <w:r w:rsidRPr="00483F7D">
        <w:t>4.</w:t>
      </w:r>
      <w:r w:rsidRPr="00483F7D">
        <w:tab/>
        <w:t>Η Επιτροπή υποβάλλει στο Ευρωπαϊκό Κοινοβούλιο και στο Συμβούλιο τα πορίσματα της αξιολόγησης που αναφέρεται στην παράγραφο 2. Τα πορίσματα της αξιολόγησης δημοσιοποιούνται.</w:t>
      </w:r>
    </w:p>
    <w:p w14:paraId="0E2B9C82" w14:textId="77777777" w:rsidR="00E0244C" w:rsidRPr="00483F7D" w:rsidRDefault="007A1FD7">
      <w:pPr>
        <w:pStyle w:val="Titrearticle"/>
      </w:pPr>
      <w:r w:rsidRPr="00483F7D">
        <w:t>Άρθρο 236</w:t>
      </w:r>
    </w:p>
    <w:p w14:paraId="3A1FF17B" w14:textId="77777777" w:rsidR="00E0244C" w:rsidRPr="00483F7D" w:rsidRDefault="007A1FD7">
      <w:pPr>
        <w:pStyle w:val="NormalCentered"/>
      </w:pPr>
      <w:r w:rsidRPr="00483F7D">
        <w:rPr>
          <w:b/>
        </w:rPr>
        <w:t>Ευθύνη της Τελωνειακής Αρχής της ΕΕ</w:t>
      </w:r>
    </w:p>
    <w:p w14:paraId="767FD5BF" w14:textId="77777777" w:rsidR="00E0244C" w:rsidRPr="00483F7D" w:rsidRDefault="007A1FD7">
      <w:pPr>
        <w:pStyle w:val="ManualNumPar10"/>
      </w:pPr>
      <w:r w:rsidRPr="00483F7D">
        <w:t>1.</w:t>
      </w:r>
      <w:r w:rsidRPr="00483F7D">
        <w:tab/>
        <w:t>Η συμβατική ευθύνη της Τελωνειακής Αρχής της ΕΕ διέπεται από το δίκαιο που εφαρμόζεται στη σχετική σύμβαση.</w:t>
      </w:r>
    </w:p>
    <w:p w14:paraId="2137E6F7" w14:textId="77777777" w:rsidR="00E0244C" w:rsidRPr="00483F7D" w:rsidRDefault="007A1FD7">
      <w:pPr>
        <w:pStyle w:val="ManualNumPar10"/>
      </w:pPr>
      <w:r w:rsidRPr="00483F7D">
        <w:t>2.</w:t>
      </w:r>
      <w:r w:rsidRPr="00483F7D">
        <w:tab/>
        <w:t>Το Δικαστήριο της Ευρωπαϊκής Ένωσης είναι αρμόδιο να αποφαίνεται δυνάμει τυχόν ρήτρας διαιτησίας που περιλαμβάνεται σε σύμβαση που συνάπτει η Τελωνειακή Αρχή της ΕΕ.</w:t>
      </w:r>
    </w:p>
    <w:p w14:paraId="78A45ED4" w14:textId="77777777" w:rsidR="00E0244C" w:rsidRPr="00483F7D" w:rsidRDefault="007A1FD7">
      <w:pPr>
        <w:pStyle w:val="ManualNumPar10"/>
      </w:pPr>
      <w:bookmarkStart w:id="220" w:name="__akn_article_qAAp30_lqWgV6"/>
      <w:bookmarkEnd w:id="220"/>
      <w:r w:rsidRPr="00483F7D">
        <w:t>3.</w:t>
      </w:r>
      <w:r w:rsidRPr="00483F7D">
        <w:tab/>
        <w:t>Στην περίπτωση εξωσυμβατικής ευθύνης, η Τελωνειακή Αρχή της ΕΕ υποχρεούται, σύμφωνα με τις γενικές αρχές του δικαίου που είναι κοινές στα δίκαια των κρατών μελών, να αποκαθιστά τη ζημία που προξενούν οι υπηρεσίες ή οι υπάλληλοί της κατά την άσκηση των καθηκόντων τους.</w:t>
      </w:r>
    </w:p>
    <w:p w14:paraId="54D6E7B2" w14:textId="77777777" w:rsidR="00E0244C" w:rsidRPr="00483F7D" w:rsidRDefault="007A1FD7">
      <w:pPr>
        <w:pStyle w:val="ManualNumPar10"/>
      </w:pPr>
      <w:r w:rsidRPr="00483F7D">
        <w:t>4.</w:t>
      </w:r>
      <w:r w:rsidRPr="00483F7D">
        <w:tab/>
        <w:t>Το Δικαστήριο της Ευρωπαϊκής Ένωσης έχει δικαιοδοσία να εκδικάζει τις διαφορές που αφορούν τις αποζημιώσεις για τις ζημίες που αναφέρονται στην παράγραφο 3.</w:t>
      </w:r>
    </w:p>
    <w:p w14:paraId="53837B18" w14:textId="77777777" w:rsidR="00E0244C" w:rsidRPr="00483F7D" w:rsidRDefault="007A1FD7">
      <w:pPr>
        <w:pStyle w:val="ManualNumPar10"/>
      </w:pPr>
      <w:r w:rsidRPr="00483F7D">
        <w:t>5.</w:t>
      </w:r>
      <w:r w:rsidRPr="00483F7D">
        <w:tab/>
        <w:t>Η προσωπική ευθύνη των μελών του προσωπικού της έναντι της Τελωνειακής Αρχής της ΕΕ διέπεται από τις αντίστοιχες διατάξεις του κανονισμού υπηρεσιακής κατάστασης των υπαλλήλων ή του καθεστώτος που εφαρμόζεται στο λοιπό προσωπικό.</w:t>
      </w:r>
    </w:p>
    <w:p w14:paraId="761622FA" w14:textId="77777777" w:rsidR="00E0244C" w:rsidRPr="00483F7D" w:rsidRDefault="007A1FD7">
      <w:pPr>
        <w:pStyle w:val="ManualNumPar10"/>
      </w:pPr>
      <w:r w:rsidRPr="00483F7D">
        <w:t>6.</w:t>
      </w:r>
      <w:r w:rsidRPr="00483F7D">
        <w:tab/>
        <w:t>Η οικονομική ευθύνη της Ένωσης και των κρατών μελών για τα χρέη Τελωνειακής Αρχής της ΕΕ περιορίζεται στην ήδη καταβληθείσα συνεισφορά τους για τις διοικητικές δαπάνες.</w:t>
      </w:r>
    </w:p>
    <w:p w14:paraId="4A48DA2A" w14:textId="77777777" w:rsidR="00E0244C" w:rsidRPr="00483F7D" w:rsidRDefault="007A1FD7">
      <w:pPr>
        <w:pStyle w:val="Titrearticle"/>
      </w:pPr>
      <w:r w:rsidRPr="00483F7D">
        <w:t>Άρθρο 237</w:t>
      </w:r>
    </w:p>
    <w:p w14:paraId="67E65526" w14:textId="77777777" w:rsidR="00E0244C" w:rsidRPr="00483F7D" w:rsidRDefault="007A1FD7">
      <w:pPr>
        <w:pStyle w:val="NormalCentered"/>
      </w:pPr>
      <w:r w:rsidRPr="00483F7D">
        <w:rPr>
          <w:b/>
        </w:rPr>
        <w:t>Συμφωνία σχετικά με την έδρα και όροι λειτουργίας</w:t>
      </w:r>
    </w:p>
    <w:p w14:paraId="0A5D6F1F" w14:textId="77777777" w:rsidR="00E0244C" w:rsidRPr="00483F7D" w:rsidRDefault="007A1FD7">
      <w:pPr>
        <w:pStyle w:val="ManualNumPar10"/>
      </w:pPr>
      <w:r w:rsidRPr="00483F7D">
        <w:t>1.</w:t>
      </w:r>
      <w:r w:rsidRPr="00483F7D">
        <w:tab/>
        <w:t>Οι απαραίτητες ρυθμίσεις σχετικά με τη στέγαση της Τελωνειακής Αρχής της ΕΕ στο κράτος μέλος υποδοχής και τις εγκαταστάσεις που πρέπει να θέσει στη διάθεσή της το εν λόγω κράτος μέλος, καθώς και οι ειδικοί κανόνες που ισχύουν στο κράτος μέλος υποδοχής για τον/την εκτελεστικό/ή διευθυντή/-ρια, τα μέλη του διοικητικού συμβουλίου, το προσωπικό Τελωνειακής Αρχής της ΕΕ και τα μέλη των οικογενειών τους, καθορίζονται σε συμφωνία για την έδρα Τελωνειακής Αρχής της ΕΕ η οποία συνάπτεται μεταξύ Τελωνειακής Αρχής της ΕΕ και του κράτους μέλους της έδρας της μόλις ληφθεί η έγκριση του διοικητικού συμβουλίου και το αργότερο ... [Υπηρεσία Εκδόσεων: να προστεθεί η ακριβής ημερομηνία = δύο έτη μετά την ημερομηνία έναρξης ισχύος του παρόντος κανονισμού].</w:t>
      </w:r>
    </w:p>
    <w:p w14:paraId="3D7CA359" w14:textId="77777777" w:rsidR="00E0244C" w:rsidRPr="00483F7D" w:rsidRDefault="007A1FD7">
      <w:pPr>
        <w:pStyle w:val="ManualNumPar10"/>
      </w:pPr>
      <w:r w:rsidRPr="00483F7D">
        <w:t>2.</w:t>
      </w:r>
      <w:r w:rsidRPr="00483F7D">
        <w:tab/>
        <w:t>Το κράτος μέλος υποδοχής της Τελωνειακής Αρχής της ΕΕ παρέχει τις καλύτερες δυνατές συνθήκες για τη διασφάλιση της εύρυθμης λειτουργίας της Τελωνειακής Αρχής της ΕΕ, συμπεριλαμβανομένων της πολύγλωσσης σχολικής εκπαίδευσης με ευρωπαϊκό προσανατολισμό και των κατάλληλων συγκοινωνιακών συνδέσεων.</w:t>
      </w:r>
    </w:p>
    <w:p w14:paraId="719351D0" w14:textId="77777777" w:rsidR="00E0244C" w:rsidRPr="00483F7D" w:rsidRDefault="007A1FD7">
      <w:pPr>
        <w:pStyle w:val="ManualNumPar10"/>
      </w:pPr>
      <w:r w:rsidRPr="00483F7D">
        <w:t>3.</w:t>
      </w:r>
      <w:r w:rsidRPr="00483F7D">
        <w:tab/>
        <w:t>Όταν το απαιτούν εξαιρετικές περιστάσεις, ο/η εκτελεστικός/ή διευθυντής/-ρια μπορεί να αποφασίσει να ιδρύσει τοπικό γραφείο σε άλλο κράτος μέλος με σκοπό την άσκηση των καθηκόντων της Τελωνειακής Αρχής της ΕΕ με πιο αποδοτικό, αποτελεσματικό και συνεκτικό τρόπο.</w:t>
      </w:r>
    </w:p>
    <w:p w14:paraId="3BB69984" w14:textId="77777777" w:rsidR="00E0244C" w:rsidRPr="00483F7D" w:rsidRDefault="007A1FD7">
      <w:pPr>
        <w:pStyle w:val="Text1"/>
      </w:pPr>
      <w:r w:rsidRPr="00483F7D">
        <w:t>Προτού λάβει απόφαση για ίδρυση τοπικού γραφείου, ο/η εκτελεστικός/-ή διευθυντής/-ρια λαμβάνει την προηγούμενη συγκατάθεση της Επιτροπής, του διοικητικού συμβουλίου και του οικείου κράτους μέλους. Η απόφαση βασίζεται σε κατάλληλη ανάλυση κόστους-οφέλους που καταδεικνύει ιδίως την προστιθέμενη αξία της εν λόγω απόφασης. Στην απόφαση διευκρινίζεται το πεδίο εφαρμογής των δραστηριοτήτων που πρόκειται να αναλάβει το τοπικό γραφείο, ώστε να αποφεύγεται το αδικαιολόγητο κόστος και η αλληλεπικάλυψη των διοικητικών καθηκόντων της Τελωνειακής Αρχής της ΕΕ.</w:t>
      </w:r>
    </w:p>
    <w:p w14:paraId="672C27A8" w14:textId="77777777" w:rsidR="00E0244C" w:rsidRPr="00483F7D" w:rsidRDefault="007A1FD7">
      <w:pPr>
        <w:pStyle w:val="Titrearticle"/>
      </w:pPr>
      <w:r w:rsidRPr="00483F7D">
        <w:t>Άρθρο 238</w:t>
      </w:r>
    </w:p>
    <w:p w14:paraId="23FA358B" w14:textId="77777777" w:rsidR="00E0244C" w:rsidRPr="00483F7D" w:rsidRDefault="007A1FD7">
      <w:pPr>
        <w:pStyle w:val="NormalCentered"/>
      </w:pPr>
      <w:r w:rsidRPr="00483F7D">
        <w:rPr>
          <w:b/>
        </w:rPr>
        <w:t>Έναρξη των δραστηριοτήτων της Τελωνειακής Αρχής της ΕΕ</w:t>
      </w:r>
    </w:p>
    <w:p w14:paraId="50E4E359" w14:textId="77777777" w:rsidR="00E0244C" w:rsidRPr="00483F7D" w:rsidRDefault="007A1FD7">
      <w:pPr>
        <w:pStyle w:val="ManualNumPar10"/>
      </w:pPr>
      <w:bookmarkStart w:id="221" w:name="__akn_article_MTpzhC_S4ZH5H"/>
      <w:bookmarkEnd w:id="221"/>
      <w:r w:rsidRPr="00483F7D">
        <w:t>1.</w:t>
      </w:r>
      <w:r w:rsidRPr="00483F7D">
        <w:tab/>
        <w:t xml:space="preserve">Η Τελωνειακή Αρχή της ΕΕ </w:t>
      </w:r>
      <w:r w:rsidRPr="00483F7D">
        <w:rPr>
          <w:color w:val="000000" w:themeColor="text1"/>
        </w:rPr>
        <w:t xml:space="preserve">ιδρύεται από το 2026 και </w:t>
      </w:r>
      <w:r w:rsidRPr="00483F7D">
        <w:t>καθίσταται πλήρως λειτουργική έως το 2028.</w:t>
      </w:r>
    </w:p>
    <w:p w14:paraId="77F29C9A" w14:textId="77777777" w:rsidR="00E0244C" w:rsidRPr="00483F7D" w:rsidRDefault="007A1FD7">
      <w:pPr>
        <w:pStyle w:val="ManualNumPar10"/>
      </w:pPr>
      <w:r w:rsidRPr="00483F7D">
        <w:t>2.</w:t>
      </w:r>
      <w:r w:rsidRPr="00483F7D">
        <w:tab/>
        <w:t>Η Επιτροπή είναι υπεύθυνη για την εγκατάσταση και την αρχική λειτουργία της Τελωνειακής Αρχής της ΕΕ, έως ότου αποκτήσει η Τελωνειακή Αρχή της ΕΕ την επιχειρησιακή ικανότητα να εκτελεί τον δικό της προϋπολογισμό. Για τον σκοπό αυτό:</w:t>
      </w:r>
    </w:p>
    <w:p w14:paraId="316EC6E4" w14:textId="1E218BF6" w:rsidR="00E0244C" w:rsidRPr="00483F7D" w:rsidRDefault="00BC60FC" w:rsidP="00BC60FC">
      <w:pPr>
        <w:pStyle w:val="Point1"/>
      </w:pPr>
      <w:r w:rsidRPr="00483F7D">
        <w:t>α)</w:t>
      </w:r>
      <w:r w:rsidRPr="00483F7D">
        <w:tab/>
      </w:r>
      <w:r w:rsidR="007A1FD7" w:rsidRPr="00483F7D">
        <w:t xml:space="preserve">έως ότου αναλάβει ο/η εκτελεστικός/ή διευθυντής/-ρια τα καθήκοντά του/της, έπειτα από τον διορισμό του/της από το διοικητικό συμβούλιο σύμφωνα με το άρθρο </w:t>
      </w:r>
      <w:hyperlink w:anchor="__akn_article_a1OSkN" w:tooltip="Article 217: 217">
        <w:r w:rsidR="007A1FD7" w:rsidRPr="00483F7D">
          <w:rPr>
            <w:rStyle w:val="Hyperlink"/>
          </w:rPr>
          <w:t>218</w:t>
        </w:r>
      </w:hyperlink>
      <w:r w:rsidR="007A1FD7" w:rsidRPr="00483F7D">
        <w:t>, η Επιτροπή μπορεί να ορίσει υπάλληλο της Επιτροπής για να ενεργεί ως προσωρινός/-ή εκτελεστικός/-ή διευθυντής/-ρια, ασκώντας τα καθήκοντα του/της εκτελεστικού/-ής διευθυντή/-ριας·</w:t>
      </w:r>
    </w:p>
    <w:p w14:paraId="01D0F7EB" w14:textId="6923B183" w:rsidR="00E0244C" w:rsidRPr="00483F7D" w:rsidRDefault="00BC60FC" w:rsidP="00BC60FC">
      <w:pPr>
        <w:pStyle w:val="Point1"/>
      </w:pPr>
      <w:r w:rsidRPr="00483F7D">
        <w:t>β)</w:t>
      </w:r>
      <w:r w:rsidRPr="00483F7D">
        <w:tab/>
      </w:r>
      <w:r w:rsidR="007A1FD7" w:rsidRPr="00483F7D">
        <w:t xml:space="preserve">κατά παρέκκλιση από το άρθρο 215 παράγραφος 1 στοιχείο </w:t>
      </w:r>
      <w:hyperlink w:anchor="_bill__akn_article_cxC5LS_0guyqm" w:tooltip="Article 214(1), point (i): (i)">
        <w:r w:rsidR="007A1FD7" w:rsidRPr="00483F7D">
          <w:t>θ)</w:t>
        </w:r>
      </w:hyperlink>
      <w:r w:rsidR="007A1FD7" w:rsidRPr="00483F7D">
        <w:t xml:space="preserve"> και έως την έκδοση της απόφασης που προβλέπεται στο άρθρο 215 παράγραφος </w:t>
      </w:r>
      <w:hyperlink w:anchor="_bill__akn_article_cxC5LS_mI0XkC" w:tooltip="Article 214(2): (2)">
        <w:r w:rsidR="007A1FD7" w:rsidRPr="00483F7D">
          <w:t>2</w:t>
        </w:r>
      </w:hyperlink>
      <w:r w:rsidR="007A1FD7" w:rsidRPr="00483F7D">
        <w:t>, ο/η προσωρινός/-ή εκτελεστικός/-ή διευθυντής/-ρια ασκεί εξουσίες αρμόδιας για τους διορισμούς αρχής· </w:t>
      </w:r>
    </w:p>
    <w:p w14:paraId="48C392BD" w14:textId="00C29A7A" w:rsidR="00E0244C" w:rsidRPr="00483F7D" w:rsidRDefault="00BC60FC" w:rsidP="00BC60FC">
      <w:pPr>
        <w:pStyle w:val="Point1"/>
      </w:pPr>
      <w:r w:rsidRPr="00483F7D">
        <w:t>γ)</w:t>
      </w:r>
      <w:r w:rsidRPr="00483F7D">
        <w:tab/>
      </w:r>
      <w:r w:rsidR="007A1FD7" w:rsidRPr="00483F7D">
        <w:t>η Επιτροπή μπορεί να προσφέρει συνδρομή στην Τελωνειακή Αρχή της ΕΕ, ιδίως με την απόσπαση υπαλλήλων της Επιτροπής για την εκτέλεση των δραστηριοτήτων της Τελωνειακής Αρχής της ΕΕ υπό την ευθύνη του/της προσωρινού/-ής εκτελεστικού/-ής διευθυντή/-ριας ή του/της εκτελεστικού/-ής διευθυντή/-ριας·</w:t>
      </w:r>
    </w:p>
    <w:p w14:paraId="11E1487D" w14:textId="486026F7" w:rsidR="00E0244C" w:rsidRPr="00483F7D" w:rsidRDefault="00BC60FC" w:rsidP="00BC60FC">
      <w:pPr>
        <w:pStyle w:val="Point1"/>
      </w:pPr>
      <w:r w:rsidRPr="00483F7D">
        <w:t>δ)</w:t>
      </w:r>
      <w:r w:rsidRPr="00483F7D">
        <w:tab/>
      </w:r>
      <w:r w:rsidR="007A1FD7" w:rsidRPr="00483F7D">
        <w:t>ο/η προσωρινός/-ή εκτελεστικός/-ή διευθυντής/-ρια μπορεί να εγκρίνει όλες τις πληρωμές που καλύπτονται από τις πιστώσεις που προβλέπονται στον προϋπολογισμό της Τελωνειακής Αρχής της ΕΕ και μπορεί να συνάπτει συμβάσεις, συμπεριλαμβανομένων των συμβάσεων για την πρόσληψη προσωπικού, έπειτα από την έγκριση του πίνακα προσωπικού Τελωνειακής Αρχής της ΕΕ.</w:t>
      </w:r>
    </w:p>
    <w:p w14:paraId="0AA69624" w14:textId="77777777" w:rsidR="00E0244C" w:rsidRPr="00483F7D" w:rsidRDefault="007A1FD7">
      <w:pPr>
        <w:pStyle w:val="ChapterTitle"/>
      </w:pPr>
      <w:bookmarkStart w:id="222" w:name="__akn_title_eL2ru7"/>
      <w:bookmarkEnd w:id="222"/>
      <w:r w:rsidRPr="00483F7D">
        <w:t xml:space="preserve">Τίτλος XIII </w:t>
      </w:r>
      <w:r w:rsidRPr="00483F7D">
        <w:br/>
        <w:t>ΤΕΛΩΝΕΙΑΚΗ ΣΥΝΕΡΓΑΣΙΑ</w:t>
      </w:r>
    </w:p>
    <w:p w14:paraId="33DA956E" w14:textId="77777777" w:rsidR="00E0244C" w:rsidRPr="00483F7D" w:rsidRDefault="007A1FD7">
      <w:pPr>
        <w:pStyle w:val="Titrearticle"/>
      </w:pPr>
      <w:r w:rsidRPr="00483F7D">
        <w:t>Άρθρο 239</w:t>
      </w:r>
    </w:p>
    <w:p w14:paraId="63A37932" w14:textId="77777777" w:rsidR="00E0244C" w:rsidRPr="00483F7D" w:rsidRDefault="007A1FD7">
      <w:pPr>
        <w:pStyle w:val="NormalCentered"/>
      </w:pPr>
      <w:r w:rsidRPr="00483F7D">
        <w:rPr>
          <w:b/>
        </w:rPr>
        <w:t>Εσωτερική τελωνειακή συνεργασία</w:t>
      </w:r>
    </w:p>
    <w:p w14:paraId="116D6402" w14:textId="77777777" w:rsidR="00E0244C" w:rsidRPr="00483F7D" w:rsidRDefault="007A1FD7">
      <w:pPr>
        <w:pStyle w:val="ManualNumPar10"/>
      </w:pPr>
      <w:r w:rsidRPr="00483F7D">
        <w:t>1.</w:t>
      </w:r>
      <w:r w:rsidRPr="00483F7D">
        <w:tab/>
        <w:t>Με την επιφύλαξη των διατάξεων του κανονισμού (ΕΚ) αριθ. 515/97, οι τελωνειακές αρχές συνεργάζονται μεταξύ τους, με την Επιτροπή και με την Τελωνειακή Αρχή της ΕΕ, σύμφωνα με την τελωνειακή νομοθεσία και κάθε άλλη ενωσιακή νομοθεσία που προβλέπει τη συνεργασία αυτή, με σκοπό τη διασφάλιση της ορθής και ενιαίας εφαρμογής της εν λόγω νομοθεσίας και τη στήριξη της εκπλήρωσης της αποστολής τους, όπως ορίζεται στο άρθρο 2.</w:t>
      </w:r>
    </w:p>
    <w:p w14:paraId="2CA26955" w14:textId="77777777" w:rsidR="00E0244C" w:rsidRPr="00483F7D" w:rsidRDefault="007A1FD7">
      <w:pPr>
        <w:pStyle w:val="ManualNumPar10"/>
      </w:pPr>
      <w:r w:rsidRPr="00483F7D">
        <w:t>2.</w:t>
      </w:r>
      <w:r w:rsidRPr="00483F7D">
        <w:tab/>
        <w:t>Οι τελωνειακές αρχές μπορούν να θέτουν προσωρινά τελωνειακούς υπαλλήλους στη διάθεση των τελωνειακών αρχών άλλου κράτους μέλους προκειμένου να εργαστούν εκεί. Η Τελωνειακή Αρχή της ΕΕ ενημερώνεται και μπορεί να συντονίζει τις εν λόγω αποσπάσεις.</w:t>
      </w:r>
    </w:p>
    <w:p w14:paraId="6DAFBC17" w14:textId="77777777" w:rsidR="00E0244C" w:rsidRPr="00483F7D" w:rsidRDefault="007A1FD7">
      <w:pPr>
        <w:pStyle w:val="ManualNumPar10"/>
      </w:pPr>
      <w:r w:rsidRPr="00483F7D">
        <w:t>3.</w:t>
      </w:r>
      <w:r w:rsidRPr="00483F7D">
        <w:tab/>
        <w:t>Οι τελωνειακές αρχές μπορούν να διενεργούν από κοινού ελέγχους επιπλέον εκείνων που προβλέπονται στο άρθρο 241.  Οι τελωνειακές αρχές ενημερώνουν την Τελωνειακή Αρχή της ΕΕ για τους εν λόγω κοινούς ελέγχους.</w:t>
      </w:r>
    </w:p>
    <w:p w14:paraId="09CFB2DF" w14:textId="77777777" w:rsidR="00E0244C" w:rsidRPr="00483F7D" w:rsidRDefault="007A1FD7">
      <w:pPr>
        <w:pStyle w:val="ManualNumPar10"/>
      </w:pPr>
      <w:r w:rsidRPr="00483F7D">
        <w:t>4.</w:t>
      </w:r>
      <w:r w:rsidRPr="00483F7D">
        <w:tab/>
        <w:t xml:space="preserve">Η Επιτροπή, η OLAF και η Τελωνειακή Αρχή της ΕΕ μπορούν να ανταλλάσσουν δεδομένα σχετικά με τη συνεργασία που αναφέρεται στον παρόντα τίτλο, συμπεριλαμβανομένων των πληροφοριών σχετικά με τους κινδύνους. Η Τελωνειακή Αρχή της ΕΕ διασφαλίζει την αποτελεσματική χρήση των εν λόγω πληροφοριών στις δραστηριότητές της για τη διαχείριση κινδύνων σύμφωνα με τον παρόντα τίτλο και τον τίτλο </w:t>
      </w:r>
      <w:hyperlink w:anchor="__akn_title_BYsUlO" w:tooltip="Title XII: XII">
        <w:r w:rsidRPr="00483F7D">
          <w:rPr>
            <w:rStyle w:val="Hyperlink"/>
          </w:rPr>
          <w:t>XII</w:t>
        </w:r>
      </w:hyperlink>
      <w:r w:rsidRPr="00483F7D">
        <w:t>.</w:t>
      </w:r>
    </w:p>
    <w:p w14:paraId="000DD9E0" w14:textId="77777777" w:rsidR="00E0244C" w:rsidRPr="00483F7D" w:rsidRDefault="007A1FD7">
      <w:pPr>
        <w:pStyle w:val="Titrearticle"/>
      </w:pPr>
      <w:bookmarkStart w:id="223" w:name="__akn_article_RNLLEm"/>
      <w:bookmarkEnd w:id="223"/>
      <w:r w:rsidRPr="00483F7D">
        <w:t>Άρθρο 240</w:t>
      </w:r>
    </w:p>
    <w:p w14:paraId="2E6C1714" w14:textId="77777777" w:rsidR="00E0244C" w:rsidRPr="00483F7D" w:rsidRDefault="007A1FD7">
      <w:pPr>
        <w:pStyle w:val="NormalCentered"/>
      </w:pPr>
      <w:r w:rsidRPr="00483F7D">
        <w:rPr>
          <w:b/>
        </w:rPr>
        <w:t>Πλαίσιο συνεργασίας με άλλες αρχές</w:t>
      </w:r>
    </w:p>
    <w:p w14:paraId="03BE36A8" w14:textId="77777777" w:rsidR="001B534F" w:rsidRPr="00483F7D" w:rsidRDefault="007A1FD7" w:rsidP="00CF7E35">
      <w:pPr>
        <w:pStyle w:val="NumPar1"/>
        <w:numPr>
          <w:ilvl w:val="0"/>
          <w:numId w:val="18"/>
        </w:numPr>
      </w:pPr>
      <w:bookmarkStart w:id="224" w:name="__akn_article_RNLLEm_aFRLNy"/>
      <w:bookmarkEnd w:id="224"/>
      <w:r w:rsidRPr="00483F7D">
        <w:t>Οι τελωνειακές αρχές συνεργάζονται με άλλες αρχές σε εθνικό επίπεδο, συμπεριλαμβανομένων, μεταξύ άλλων, των αρχών εποπτείας της αγοράς, των υγειονομικών και φυτοϋγειονομικών αρχών, των αρχών επιβολής του νόμου και των φορολογικών αρχών, στον τομέα της λοιπής νομοθεσίας που εφαρμόζεται από τις τελωνειακές αρχές, της είσπραξης δασμών και φόρων και άλλων σχετικών τομέων συνεργασίας. Κατά περίπτωση, οι τελωνειακές αρχές συνεργάζονται επίσης με σχετικούς φορείς, ομάδες εμπειρογνωμόνων, οργανισμούς, υπηρεσίες ή δίκτυα που συντονίζουν τις δραστηριότητες άλλων αρχών σε ενωσιακό επίπεδο. Κατά περίπτωση, οι τελωνειακές αρχές συνεργάζονται επίσης με άλλα σχετικά μέρη σε επίπεδο ΕΕ, όπως αναφέρεται στην παράγραφο 9, και οι εμπλεκόμενες τελωνειακές αρχές ενημερώνουν σχετικά την Τελωνειακή Αρχή της ΕΕ.</w:t>
      </w:r>
      <w:bookmarkStart w:id="225" w:name="__akn_article_RNLLEm_j38f9s"/>
      <w:bookmarkEnd w:id="225"/>
    </w:p>
    <w:p w14:paraId="33438AB9" w14:textId="77777777" w:rsidR="00E0244C" w:rsidRPr="00483F7D" w:rsidRDefault="007A1FD7" w:rsidP="00CF7E35">
      <w:pPr>
        <w:pStyle w:val="NumPar1"/>
        <w:numPr>
          <w:ilvl w:val="0"/>
          <w:numId w:val="18"/>
        </w:numPr>
      </w:pPr>
      <w:r w:rsidRPr="00483F7D">
        <w:t>Η συνεργασία που αναφέρεται στην παράγραφο 1 πραγματοποιείται τακτικά και με δομημένο τρόπο. Επιδιώκει ιδίως τους ακόλουθους στόχους:</w:t>
      </w:r>
    </w:p>
    <w:p w14:paraId="412D9DD2" w14:textId="3957B452" w:rsidR="00E0244C" w:rsidRPr="00483F7D" w:rsidRDefault="00BC60FC" w:rsidP="00BC60FC">
      <w:pPr>
        <w:pStyle w:val="Point1"/>
      </w:pPr>
      <w:r w:rsidRPr="00483F7D">
        <w:t>α)</w:t>
      </w:r>
      <w:r w:rsidRPr="00483F7D">
        <w:tab/>
      </w:r>
      <w:r w:rsidR="00AF0F06" w:rsidRPr="00483F7D">
        <w:t>συμβολή και παρακολούθηση των νομοθετικών εξελίξεων σε τομείς πολιτικής που αφορούν τα τελωνεία·</w:t>
      </w:r>
    </w:p>
    <w:p w14:paraId="0E0C4720" w14:textId="54D60FCC" w:rsidR="00E0244C" w:rsidRPr="00483F7D" w:rsidRDefault="00BC60FC" w:rsidP="00BC60FC">
      <w:pPr>
        <w:pStyle w:val="Point1"/>
      </w:pPr>
      <w:r w:rsidRPr="00483F7D">
        <w:t>β)</w:t>
      </w:r>
      <w:r w:rsidRPr="00483F7D">
        <w:tab/>
      </w:r>
      <w:r w:rsidR="00AF0F06" w:rsidRPr="00483F7D">
        <w:t xml:space="preserve">ανταλλαγή δεδομένων, ιδίως δεδομένων σχετικών με τη διαχείριση κινδύνων σύμφωνα με τον τίτλο IV κεφάλαιο </w:t>
      </w:r>
      <w:hyperlink w:anchor="__akn_chapter_7bAibc" w:tooltip="Title IV, Chapter 3: 3">
        <w:r w:rsidR="00AF0F06" w:rsidRPr="00483F7D">
          <w:t>3</w:t>
        </w:r>
      </w:hyperlink>
      <w:r w:rsidR="00AF0F06" w:rsidRPr="00483F7D">
        <w:t>·</w:t>
      </w:r>
    </w:p>
    <w:p w14:paraId="08115532" w14:textId="1A782537" w:rsidR="00E0244C" w:rsidRPr="00483F7D" w:rsidRDefault="00BC60FC" w:rsidP="00BC60FC">
      <w:pPr>
        <w:pStyle w:val="Point1"/>
      </w:pPr>
      <w:r w:rsidRPr="00483F7D">
        <w:t>γ)</w:t>
      </w:r>
      <w:r w:rsidRPr="00483F7D">
        <w:tab/>
      </w:r>
      <w:r w:rsidR="00AF0F06" w:rsidRPr="00483F7D">
        <w:t xml:space="preserve">ανάπτυξη συνεκτικών και συντονισμένων στρατηγικών επιτήρησης για τη διαχείριση των κινδύνων των εμπορευμάτων που εμπίπτουν στους τομείς ευθύνης τόσο των τελωνειακών αρχών όσο και άλλων αρχών, σύμφωνα με τον τίτλο IV κεφάλαιο </w:t>
      </w:r>
      <w:hyperlink w:anchor="__akn_chapter_7bAibc" w:tooltip="Title IV, Chapter 3: 3">
        <w:r w:rsidR="00AF0F06" w:rsidRPr="00483F7D">
          <w:t>3</w:t>
        </w:r>
      </w:hyperlink>
      <w:r w:rsidR="00AF0F06" w:rsidRPr="00483F7D">
        <w:t>·</w:t>
      </w:r>
    </w:p>
    <w:p w14:paraId="1BFE05FB" w14:textId="4E075EDD" w:rsidR="001B534F" w:rsidRPr="00483F7D" w:rsidRDefault="00BC60FC" w:rsidP="00BC60FC">
      <w:pPr>
        <w:pStyle w:val="Point1"/>
      </w:pPr>
      <w:r w:rsidRPr="00483F7D">
        <w:t>δ)</w:t>
      </w:r>
      <w:r w:rsidRPr="00483F7D">
        <w:tab/>
      </w:r>
      <w:r w:rsidR="00AF0F06" w:rsidRPr="00483F7D">
        <w:t xml:space="preserve">επιχειρησιακή εφαρμογή, συμπεριλαμβανομένης της διενέργειας κοινών ελέγχων σύμφωνα με το άρθρο </w:t>
      </w:r>
      <w:hyperlink w:anchor="_bill__akn_article_OvqKO7" w:tooltip="Article 238: 238">
        <w:r w:rsidR="00AF0F06" w:rsidRPr="00483F7D">
          <w:t>241</w:t>
        </w:r>
      </w:hyperlink>
      <w:r w:rsidR="00AF0F06" w:rsidRPr="00483F7D">
        <w:t>.</w:t>
      </w:r>
      <w:bookmarkStart w:id="226" w:name="__akn_article_RNLLEm_M92hWr"/>
      <w:bookmarkEnd w:id="226"/>
    </w:p>
    <w:p w14:paraId="7B38251A" w14:textId="77777777" w:rsidR="001B534F" w:rsidRPr="00483F7D" w:rsidRDefault="007A1FD7" w:rsidP="00B62B15">
      <w:pPr>
        <w:pStyle w:val="NumPar1"/>
      </w:pPr>
      <w:r w:rsidRPr="00483F7D">
        <w:t>Η Τελωνειακή Αρχή της ΕΕ, με την επιφύλαξη των εξουσιών της Επιτροπής και με την επιφύλαξη της προηγούμενης έγκρισής της, συνάπτει ρυθμίσεις συνεργασίας για την ανάπτυξη και την επικαιροποίηση του πλαισίου συνεργασίας που αναφέρεται στην παράγραφο 1, με τη συμμετοχή άλλων σχετικών μερών, όπως αναφέρεται στην παράγραφο 9, παρέχοντας κατευθύνσεις για την πρακτική εφαρμογή του, τους στόχους και τους βασικούς τομείς συνεργασίας, σύμφωνα με την παράγραφο 2 του παρόντος άρθρου και τον τίτλο III του παρόντος κανονισμού.</w:t>
      </w:r>
    </w:p>
    <w:p w14:paraId="33F45C1E" w14:textId="77777777" w:rsidR="001B534F" w:rsidRPr="00483F7D" w:rsidRDefault="001B534F" w:rsidP="00B62B15">
      <w:pPr>
        <w:pStyle w:val="NumPar1"/>
      </w:pPr>
      <w:r w:rsidRPr="00483F7D">
        <w:t xml:space="preserve">Όταν τελωνειακή αρχή συνεργάζεται με άλλη αρχή διαφορετικού κράτους μέλους, ενημερώνει σχετικά την τελωνειακή αρχή του εν λόγω κράτους μέλους. Όταν η συνεργασία αφορά περισσότερα από δύο κράτη μέλη, οι εμπλεκόμενες τελωνειακές αρχές ενημερώνουν σχετικά την Τελωνειακή Αρχή της ΕΕ, η οποία μπορεί να παρέχει επιχειρησιακή και συντονιστική υποστήριξη σύμφωνα με το άρθρο </w:t>
      </w:r>
      <w:hyperlink w:anchor="__akn_article_Z1ESNs" w:tooltip="Article 207: 207">
        <w:r w:rsidRPr="00483F7D">
          <w:t>208</w:t>
        </w:r>
      </w:hyperlink>
      <w:r w:rsidRPr="00483F7D">
        <w:t>.</w:t>
      </w:r>
    </w:p>
    <w:p w14:paraId="407EC689" w14:textId="77777777" w:rsidR="001B534F" w:rsidRPr="00483F7D" w:rsidRDefault="007A1FD7" w:rsidP="00B62B15">
      <w:pPr>
        <w:pStyle w:val="NumPar1"/>
      </w:pPr>
      <w:r w:rsidRPr="00483F7D">
        <w:t xml:space="preserve">Τα κράτη μέλη υποβάλλουν έκθεση σε ετήσια βάση στην Τελωνειακή Αρχή της ΕΕ σχετικά με την εφαρμογή του πλαισίου συνεργασίας. Η Τελωνειακή Αρχή της ΕΕ λαμβάνει υπόψη τα πορίσματα της εν λόγω υποβολής εκθέσεων στις </w:t>
      </w:r>
      <w:bookmarkStart w:id="227" w:name="_Hlk133920921"/>
      <w:r w:rsidRPr="00483F7D">
        <w:t xml:space="preserve">δραστηριότητες παρακολούθησης που αναφέρονται στο άρθρο 208 παράγραφος 3 στοιχείο </w:t>
      </w:r>
      <w:hyperlink w:anchor="__akn_article_Z1ESNs_Sw5JdS" w:tooltip="Article 207(3), point (a): (a)">
        <w:r w:rsidRPr="00483F7D">
          <w:t>α)</w:t>
        </w:r>
      </w:hyperlink>
      <w:r w:rsidRPr="00483F7D">
        <w:t xml:space="preserve"> και στα καθήκοντά της για τη μέτρηση των επιδόσεων που αναφέρονται στο άρθρο 208 παράγραφος 3 στοιχείο </w:t>
      </w:r>
      <w:hyperlink w:anchor="__akn_article_Z1ESNs_VTKEgY" w:tooltip="Article 207(3), point (b): (b)">
        <w:r w:rsidRPr="00483F7D">
          <w:t>β)</w:t>
        </w:r>
      </w:hyperlink>
      <w:r w:rsidRPr="00483F7D">
        <w:t>.</w:t>
      </w:r>
      <w:bookmarkEnd w:id="227"/>
    </w:p>
    <w:p w14:paraId="5A93553A" w14:textId="77777777" w:rsidR="001B534F" w:rsidRPr="00483F7D" w:rsidRDefault="007A1FD7" w:rsidP="00B62B15">
      <w:pPr>
        <w:pStyle w:val="NumPar1"/>
      </w:pPr>
      <w:r w:rsidRPr="00483F7D">
        <w:t xml:space="preserve">Έως την ημερομηνία που αναφέρεται στο άρθρο 238 παράγραφος </w:t>
      </w:r>
      <w:hyperlink w:anchor="__akn_article_MTpzhC_S4ZH5H" w:tooltip="Article 235(1): (1)">
        <w:r w:rsidRPr="00483F7D">
          <w:t>1</w:t>
        </w:r>
      </w:hyperlink>
      <w:r w:rsidRPr="00483F7D">
        <w:t xml:space="preserve">, η Επιτροπή μπορεί να εκτελεί τα καθήκοντα της Τελωνειακής Αρχής της ΕΕ, όπως αναφέρονται στην παράγραφο </w:t>
      </w:r>
      <w:hyperlink w:anchor="__akn_article_RNLLEm_M92hWr" w:tooltip="paragraph (4): (4)">
        <w:r w:rsidRPr="00483F7D">
          <w:t>3</w:t>
        </w:r>
      </w:hyperlink>
      <w:r w:rsidRPr="00483F7D">
        <w:t>.</w:t>
      </w:r>
      <w:bookmarkStart w:id="228" w:name="__akn_article_RNLLEm-par1"/>
      <w:bookmarkEnd w:id="228"/>
    </w:p>
    <w:p w14:paraId="61397BA4" w14:textId="77777777" w:rsidR="00E0244C" w:rsidRPr="00483F7D" w:rsidRDefault="007A1FD7" w:rsidP="00B62B15">
      <w:pPr>
        <w:pStyle w:val="NumPar1"/>
      </w:pPr>
      <w:r w:rsidRPr="00483F7D">
        <w:t>Η Τελωνειακή Αρχή της ΕΕ μπορεί να συνεργάζεται με άλλες αρχές σε εθνικό επίπεδο, καθώς και με την Επιτροπή και άλλα θεσμικά και λοιπά όργανα, υπηρεσίες, οργανισμούς, δίκτυα και φορείς της Ένωσης, προκειμένου να συμβάλει στην επίτευξη των στόχων που αναφέρονται στην παράγραφο 2 και στο πλαίσιο συνεργασίας που αναφέρεται στην παράγραφο 3.</w:t>
      </w:r>
    </w:p>
    <w:p w14:paraId="75494028" w14:textId="77777777" w:rsidR="00E0244C" w:rsidRPr="00483F7D" w:rsidRDefault="007A1FD7">
      <w:pPr>
        <w:pStyle w:val="Text1"/>
      </w:pPr>
      <w:r w:rsidRPr="00483F7D">
        <w:t>Για τον σκοπό αυτό, η Τελωνειακή Αρχή της ΕΕ μπορεί, με την επιφύλαξη της έγκρισης του διοικητικού συμβουλίου της και κατόπιν έγκρισης της Επιτροπής, να συνάπτει ρυθμίσεις συνεργασίας με τους οργανισμούς της Ένωσης ή άλλες αρχές σε εθνικό επίπεδο. Οι εν λόγω διοικητικές ρυθμίσεις δεν δημιουργούν νομικές υποχρεώσεις και καθορίζουν τη φύση, την έκταση και τον τρόπο με τον οποίο πραγματοποιείται η σκοπούμενη συνεργασία.</w:t>
      </w:r>
    </w:p>
    <w:p w14:paraId="162F28DB" w14:textId="77777777" w:rsidR="00060CC3" w:rsidRPr="00483F7D" w:rsidRDefault="007A1FD7" w:rsidP="00B62B15">
      <w:pPr>
        <w:pStyle w:val="NumPar1"/>
      </w:pPr>
      <w:r w:rsidRPr="00483F7D">
        <w:t>Η Τελωνειακή Αρχή της ΕΕ συνεργάζεται στενά με την OLAF σε περίπτωση απάτης ή υπόνοιας απάτης σε οποιαδήποτε από τις δραστηριότητες συνεργασίας της.</w:t>
      </w:r>
    </w:p>
    <w:p w14:paraId="2A3F29CF" w14:textId="77777777" w:rsidR="00060CC3" w:rsidRPr="00483F7D" w:rsidRDefault="00060CC3" w:rsidP="00B62B15">
      <w:pPr>
        <w:pStyle w:val="NumPar1"/>
      </w:pPr>
      <w:r w:rsidRPr="00483F7D">
        <w:t>Η Τελωνειακή Αρχή της ΕΕ μπορεί να αναπτύξει πλαίσιο επιχειρησιακής συνεργασίας με άλλους οργανισμούς της ΕΕ, συμπεριλαμβανομένης της Ευρωπόλ και του Frontex, σύμφωνα με τις παραγράφους 2, 4 και 5, και μπορεί να συμμετέχει και να συμβάλλει σε στρατηγικές αναλύσεις και αξιολογήσεις απειλών, κύκλους πολιτικής, προγράμματα καινοτομίας, δραστηριότητες κατάρτισης, δίκτυα και άλλες δραστηριότητες που σχετίζονται με την εκτέλεση των καθηκόντων της και οργανώνονται από τέτοιους άλλους οργανισμούς.</w:t>
      </w:r>
    </w:p>
    <w:p w14:paraId="5433B248" w14:textId="77777777" w:rsidR="00E0244C" w:rsidRPr="00483F7D" w:rsidRDefault="007A1FD7">
      <w:pPr>
        <w:pStyle w:val="Titrearticle"/>
      </w:pPr>
      <w:bookmarkStart w:id="229" w:name="_bill__akn_article_OvqKO7"/>
      <w:bookmarkEnd w:id="229"/>
      <w:r w:rsidRPr="00483F7D">
        <w:t>Άρθρο 241</w:t>
      </w:r>
    </w:p>
    <w:p w14:paraId="5E4B43F4" w14:textId="77777777" w:rsidR="00E0244C" w:rsidRPr="00483F7D" w:rsidRDefault="007A1FD7">
      <w:pPr>
        <w:pStyle w:val="NormalCentered"/>
      </w:pPr>
      <w:r w:rsidRPr="00483F7D">
        <w:rPr>
          <w:b/>
        </w:rPr>
        <w:t xml:space="preserve">Κοινοί έλεγχοι </w:t>
      </w:r>
    </w:p>
    <w:p w14:paraId="087AD2A4" w14:textId="77777777" w:rsidR="00E0244C" w:rsidRPr="00483F7D" w:rsidRDefault="007A1FD7">
      <w:pPr>
        <w:pStyle w:val="ManualNumPar10"/>
      </w:pPr>
      <w:r w:rsidRPr="00483F7D">
        <w:t>1.</w:t>
      </w:r>
      <w:r w:rsidRPr="00483F7D">
        <w:tab/>
        <w:t xml:space="preserve">Η Τελωνειακή Αρχή της ΕΕ σχεδιάζει, οργανώνει και συντονίζει κοινούς ελέγχους που διενεργούνται από τις τελωνειακές αρχές, κατά περίπτωση σε συνεργασία με άλλες αρχές, φορείς και οργανισμούς σύμφωνα με το άρθρο 240 παράγραφος </w:t>
      </w:r>
      <w:hyperlink w:anchor="__akn_article_RNLLEm-par1" w:tooltip="Article 237(9): (9)">
        <w:r w:rsidRPr="00483F7D">
          <w:t>9</w:t>
        </w:r>
      </w:hyperlink>
      <w:r w:rsidRPr="00483F7D">
        <w:t>.</w:t>
      </w:r>
    </w:p>
    <w:p w14:paraId="6AEF9FBD" w14:textId="77777777" w:rsidR="00E0244C" w:rsidRPr="00483F7D" w:rsidRDefault="007A1FD7">
      <w:pPr>
        <w:pStyle w:val="ManualNumPar10"/>
      </w:pPr>
      <w:r w:rsidRPr="00483F7D">
        <w:t>2.</w:t>
      </w:r>
      <w:r w:rsidRPr="00483F7D">
        <w:tab/>
        <w:t>Για τον σκοπό αυτό, η Τελωνειακή Αρχή της ΕΕ ακολουθεί τις προτεραιότητες της τελωνειακής πολιτικής και διασφαλίζει τους απαραίτητους συνδέσμους και τον αναγκαίο συντονισμό με τις δραστηριότητες της OLAF και της Ευρωπαϊκής Εισαγγελίας για την καταπολέμηση της απάτης και τις εθνικές τελωνειακές έρευνες.</w:t>
      </w:r>
    </w:p>
    <w:p w14:paraId="05CFFE6A" w14:textId="77777777" w:rsidR="00E0244C" w:rsidRPr="00483F7D" w:rsidRDefault="007A1FD7">
      <w:pPr>
        <w:pStyle w:val="ManualNumPar10"/>
      </w:pPr>
      <w:r w:rsidRPr="00483F7D">
        <w:t>3.</w:t>
      </w:r>
      <w:r w:rsidRPr="00483F7D">
        <w:tab/>
        <w:t>Για να μπορέσει η Τελωνειακή Αρχή της ΕΕ να συντάξει έκθεση και να διενεργήσει αξιολόγηση, οι τελωνειακές αρχές παρέχουν ανατροφοδότηση στην Τελωνειακή Αρχή της ΕΕ σχετικά με τις δραστηριότητες και τους ελέγχους που έχουν διενεργήσει στο πλαίσιο κοινού ελέγχου.</w:t>
      </w:r>
    </w:p>
    <w:p w14:paraId="175FD997" w14:textId="77777777" w:rsidR="00E0244C" w:rsidRPr="00483F7D" w:rsidRDefault="007A1FD7">
      <w:pPr>
        <w:pStyle w:val="Titrearticle"/>
      </w:pPr>
      <w:r w:rsidRPr="00483F7D">
        <w:t>Άρθρο 242</w:t>
      </w:r>
    </w:p>
    <w:p w14:paraId="532B285B" w14:textId="77777777" w:rsidR="00E0244C" w:rsidRPr="00483F7D" w:rsidRDefault="007A1FD7">
      <w:pPr>
        <w:pStyle w:val="NormalCentered"/>
      </w:pPr>
      <w:r w:rsidRPr="00483F7D">
        <w:rPr>
          <w:b/>
        </w:rPr>
        <w:t>Μέτρα που πρέπει να λαμβάνουν οι τελωνειακές αρχές</w:t>
      </w:r>
    </w:p>
    <w:p w14:paraId="39B8153C" w14:textId="77777777" w:rsidR="00E0244C" w:rsidRPr="00483F7D" w:rsidRDefault="007A1FD7">
      <w:pPr>
        <w:pStyle w:val="ManualNumPar10"/>
      </w:pPr>
      <w:r w:rsidRPr="00483F7D">
        <w:t>1.</w:t>
      </w:r>
      <w:r w:rsidRPr="00483F7D">
        <w:tab/>
        <w:t>Σύμφωνα με τη λοιπή νομοθεσία που εφαρμόζεται από τις τελωνειακές αρχές, οι τελωνειακές αρχές μπορούν να λαμβάνουν οποιοδήποτε από τα ακόλουθα μέτρα:</w:t>
      </w:r>
    </w:p>
    <w:p w14:paraId="66136108" w14:textId="3445541F" w:rsidR="00E0244C" w:rsidRPr="00483F7D" w:rsidRDefault="00BC60FC" w:rsidP="00BC60FC">
      <w:pPr>
        <w:pStyle w:val="Point1"/>
      </w:pPr>
      <w:r w:rsidRPr="00483F7D">
        <w:t>α)</w:t>
      </w:r>
      <w:r w:rsidRPr="00483F7D">
        <w:tab/>
      </w:r>
      <w:r w:rsidR="00B1689B" w:rsidRPr="00483F7D">
        <w:t>συλλογή ειδικών δεδομένων για όλες τις αποστολές, συμπεριλαμβανομένων των αυτοματοποιημένων ελέγχων των ενωσιακών μη τελωνειακών διατυπώσεων, εφόσον αποθηκεύονται σε κεντρικό μητρώο της Ένωσης·</w:t>
      </w:r>
    </w:p>
    <w:p w14:paraId="107E5FA1" w14:textId="1C64D451" w:rsidR="00E0244C" w:rsidRPr="00483F7D" w:rsidRDefault="00BC60FC" w:rsidP="00BC60FC">
      <w:pPr>
        <w:pStyle w:val="Point1"/>
      </w:pPr>
      <w:r w:rsidRPr="00483F7D">
        <w:t>β)</w:t>
      </w:r>
      <w:r w:rsidRPr="00483F7D">
        <w:tab/>
      </w:r>
      <w:r w:rsidR="007A1FD7" w:rsidRPr="00483F7D">
        <w:t>παροχή στατιστικών στοιχείων, αναλύσεων και τάσεων, ιδίως στον τομέα των κινδύνων·</w:t>
      </w:r>
    </w:p>
    <w:p w14:paraId="5B27504B" w14:textId="215382C7" w:rsidR="00E0244C" w:rsidRPr="00483F7D" w:rsidRDefault="00BC60FC" w:rsidP="00BC60FC">
      <w:pPr>
        <w:pStyle w:val="Point1"/>
      </w:pPr>
      <w:r w:rsidRPr="00483F7D">
        <w:t>γ)</w:t>
      </w:r>
      <w:r w:rsidRPr="00483F7D">
        <w:tab/>
      </w:r>
      <w:r w:rsidR="007A1FD7" w:rsidRPr="00483F7D">
        <w:t>διευκόλυνση και συντονισμό των ελέγχων από άλλες αρχές·</w:t>
      </w:r>
    </w:p>
    <w:p w14:paraId="0E403EEA" w14:textId="2111AA25" w:rsidR="00E0244C" w:rsidRPr="00483F7D" w:rsidRDefault="00BC60FC" w:rsidP="00BC60FC">
      <w:pPr>
        <w:pStyle w:val="Point1"/>
      </w:pPr>
      <w:r w:rsidRPr="00483F7D">
        <w:t>δ)</w:t>
      </w:r>
      <w:r w:rsidRPr="00483F7D">
        <w:tab/>
      </w:r>
      <w:r w:rsidR="00B1689B" w:rsidRPr="00483F7D">
        <w:t xml:space="preserve">διενέργεια ελέγχων σε ορισμένες αποστολές, οι οποίες επιλέγονται με βάση τη διαχείριση κινδύνων σύμφωνα με τον τίτλο IV και λαμβανομένης υπόψη της ανάλυσης που αναφέρεται στο στοιχείο </w:t>
      </w:r>
      <w:hyperlink w:anchor="__akn_article_0RGMSC_iwq0Pf" w:tooltip="point (b): (b)">
        <w:r w:rsidR="00B1689B" w:rsidRPr="00483F7D">
          <w:t>β)</w:t>
        </w:r>
      </w:hyperlink>
      <w:r w:rsidR="00B1689B" w:rsidRPr="00483F7D">
        <w:t>·</w:t>
      </w:r>
    </w:p>
    <w:p w14:paraId="51BA5F8A" w14:textId="7B37EBB4" w:rsidR="00E0244C" w:rsidRPr="00483F7D" w:rsidRDefault="00BC60FC" w:rsidP="00BC60FC">
      <w:pPr>
        <w:pStyle w:val="Point1"/>
      </w:pPr>
      <w:r w:rsidRPr="00483F7D">
        <w:t>ε)</w:t>
      </w:r>
      <w:r w:rsidRPr="00483F7D">
        <w:tab/>
      </w:r>
      <w:r w:rsidR="007A1FD7" w:rsidRPr="00483F7D">
        <w:t xml:space="preserve">διαβούλευση με άλλες αρχές πριν από την παράδοση των εμπορευμάτων σύμφωνα με το άρθρο </w:t>
      </w:r>
      <w:hyperlink w:anchor="_bill__akn_article_u5jicl" w:tooltip="Article 60: 60">
        <w:r w:rsidR="007A1FD7" w:rsidRPr="00483F7D">
          <w:t>60</w:t>
        </w:r>
      </w:hyperlink>
      <w:r w:rsidR="007A1FD7" w:rsidRPr="00483F7D">
        <w:t>·</w:t>
      </w:r>
    </w:p>
    <w:p w14:paraId="75F00460" w14:textId="5DCA9D53" w:rsidR="00E0244C" w:rsidRPr="00483F7D" w:rsidRDefault="00BC60FC" w:rsidP="00BC60FC">
      <w:pPr>
        <w:pStyle w:val="Point1"/>
      </w:pPr>
      <w:r w:rsidRPr="00483F7D">
        <w:t>στ)</w:t>
      </w:r>
      <w:r w:rsidRPr="00483F7D">
        <w:tab/>
      </w:r>
      <w:r w:rsidR="007A1FD7" w:rsidRPr="00483F7D">
        <w:t>λήψη κάθε αναγκαίου μέτρου για τα μη συμμορφούμενα εμπορεύματα, συμπεριλαμβανομένης της δήμευσης, της πώλησης ή της καταστροφής των εν λόγω εμπορευμάτων·</w:t>
      </w:r>
    </w:p>
    <w:p w14:paraId="13E4CF83" w14:textId="3FCF1225" w:rsidR="00E0244C" w:rsidRPr="00483F7D" w:rsidRDefault="00BC60FC" w:rsidP="00BC60FC">
      <w:pPr>
        <w:pStyle w:val="Point1"/>
      </w:pPr>
      <w:r w:rsidRPr="00483F7D">
        <w:t>ζ)</w:t>
      </w:r>
      <w:r w:rsidRPr="00483F7D">
        <w:tab/>
      </w:r>
      <w:r w:rsidR="007A1FD7" w:rsidRPr="00483F7D">
        <w:t xml:space="preserve">εφαρμογή του πλαισίου συνεργασίας που αναφέρεται στο άρθρο </w:t>
      </w:r>
      <w:hyperlink w:anchor="__akn_article_RNLLEm" w:tooltip="Article 237: 237">
        <w:r w:rsidR="007A1FD7" w:rsidRPr="00483F7D">
          <w:t>240</w:t>
        </w:r>
      </w:hyperlink>
      <w:r w:rsidR="007A1FD7" w:rsidRPr="00483F7D">
        <w:t>·</w:t>
      </w:r>
    </w:p>
    <w:p w14:paraId="4BF99926" w14:textId="277F586F" w:rsidR="00E0244C" w:rsidRPr="00483F7D" w:rsidRDefault="00BC60FC" w:rsidP="00BC60FC">
      <w:pPr>
        <w:pStyle w:val="Point1"/>
      </w:pPr>
      <w:r w:rsidRPr="00483F7D">
        <w:t>η)</w:t>
      </w:r>
      <w:r w:rsidRPr="00483F7D">
        <w:tab/>
      </w:r>
      <w:r w:rsidR="007A1FD7" w:rsidRPr="00483F7D">
        <w:t>ειδοποίηση άλλων αρχών σχετικά με κινδύνους που σχετίζονται με τις εργασίες τους·</w:t>
      </w:r>
    </w:p>
    <w:p w14:paraId="4175285D" w14:textId="68D93469" w:rsidR="00E0244C" w:rsidRPr="00483F7D" w:rsidRDefault="00BC60FC" w:rsidP="00BC60FC">
      <w:pPr>
        <w:pStyle w:val="Point1"/>
      </w:pPr>
      <w:r w:rsidRPr="00483F7D">
        <w:t>θ)</w:t>
      </w:r>
      <w:r w:rsidRPr="00483F7D">
        <w:tab/>
      </w:r>
      <w:r w:rsidR="007A1FD7" w:rsidRPr="00483F7D">
        <w:t>παρακολούθηση σε περίπτωση που η διακίνηση εμπορευμάτων παραβιάζει λοιπή νομοθεσία που εφαρμόζεται από τις τελωνειακές αρχές·</w:t>
      </w:r>
    </w:p>
    <w:p w14:paraId="469A3E4B" w14:textId="39205FC8" w:rsidR="00E0244C" w:rsidRPr="00483F7D" w:rsidRDefault="00BC60FC" w:rsidP="00BC60FC">
      <w:pPr>
        <w:pStyle w:val="Point1"/>
      </w:pPr>
      <w:r w:rsidRPr="00483F7D">
        <w:t>ι)</w:t>
      </w:r>
      <w:r w:rsidRPr="00483F7D">
        <w:tab/>
      </w:r>
      <w:r w:rsidR="007A1FD7" w:rsidRPr="00483F7D">
        <w:t>κάθε άλλη συμπληρωματική δράση.</w:t>
      </w:r>
    </w:p>
    <w:p w14:paraId="26549A2A" w14:textId="77777777" w:rsidR="00E0244C" w:rsidRPr="00483F7D" w:rsidRDefault="007A1FD7">
      <w:pPr>
        <w:pStyle w:val="ManualNumPar10"/>
      </w:pPr>
      <w:bookmarkStart w:id="230" w:name="__akn_article_0RGMSC_2TW221"/>
      <w:bookmarkEnd w:id="230"/>
      <w:r w:rsidRPr="00483F7D">
        <w:t>2.</w:t>
      </w:r>
      <w:r w:rsidRPr="00483F7D">
        <w:tab/>
        <w:t>Ένα κράτος μέλος μπορεί να ορίσει ειδικό τελωνειακό συνοριακό σημείο διέλευσης, για ορισμένη από τη λοιπή νομοθεσία που εφαρμόζεται από τις τελωνειακές αρχές. Οι περιορισμοί που απορρέουν από τον εν λόγω ορισμό για τη διέλευση από ειδικά τελωνειακά συνοριακά σημεία διέλευσης δεν πρέπει να είναι δυσανάλογοι, όσον αφορά τους οικονομικούς φορείς, σε σχέση με τον επιδιωκόμενο στόχο και λαμβανομένων δεόντως υπόψη των περιστάσεων που μπορεί να δικαιολογούν την υποχρέωση αυτή.</w:t>
      </w:r>
    </w:p>
    <w:p w14:paraId="16AB0BB6" w14:textId="77777777" w:rsidR="00E0244C" w:rsidRPr="00483F7D" w:rsidRDefault="007A1FD7">
      <w:pPr>
        <w:pStyle w:val="ManualNumPar10"/>
      </w:pPr>
      <w:r w:rsidRPr="00483F7D">
        <w:t>3.</w:t>
      </w:r>
      <w:r w:rsidRPr="00483F7D">
        <w:tab/>
        <w:t>Το κράτος μέλος ενημερώνει την Τελωνειακή Αρχή της ΕΕ σχετικά με τον ορισμό που αναφέρεται στην παράγραφο 2 και η Τελωνειακή Αρχή της ΕΕ επικαιροποιεί και δημοσιεύει κατάλογο των εν λόγω ειδικών τελωνειακών συνοριακών σημείων διέλευσης.</w:t>
      </w:r>
    </w:p>
    <w:p w14:paraId="3AECFF69" w14:textId="77777777" w:rsidR="00E0244C" w:rsidRPr="00483F7D" w:rsidRDefault="007A1FD7">
      <w:pPr>
        <w:pStyle w:val="ManualNumPar10"/>
      </w:pPr>
      <w:r w:rsidRPr="00483F7D">
        <w:t>4.</w:t>
      </w:r>
      <w:r w:rsidRPr="00483F7D">
        <w:tab/>
        <w:t>Για να διευκολυνθεί ο προσδιορισμός, η εφαρμογή και η επιβολή της λοιπής νομοθεσίας που εφαρμόζεται από τις τελωνειακές αρχές, η Επιτροπή καταρτίζει και επικαιροποιεί τακτικά ολοκληρωμένο κατάλογο της ενωσιακής νομοθεσίας που θεσπίζει τις απαιτήσεις οι οποίες ισχύουν για εμπορεύματα που υπόκεινται σε τελωνειακούς ελέγχους με στόχο την προστασία των δημόσιων συμφερόντων</w:t>
      </w:r>
      <w:r w:rsidRPr="00483F7D">
        <w:rPr>
          <w:b/>
        </w:rPr>
        <w:t xml:space="preserve"> </w:t>
      </w:r>
      <w:r w:rsidRPr="00483F7D">
        <w:t>και τον δημοσιεύει στον ιστότοπό της.</w:t>
      </w:r>
    </w:p>
    <w:p w14:paraId="310F4520" w14:textId="77777777" w:rsidR="00E0244C" w:rsidRPr="00483F7D" w:rsidRDefault="007A1FD7">
      <w:pPr>
        <w:pStyle w:val="ManualNumPar10"/>
      </w:pPr>
      <w:r w:rsidRPr="00483F7D">
        <w:t>5.</w:t>
      </w:r>
      <w:r w:rsidRPr="00483F7D">
        <w:tab/>
        <w:t xml:space="preserve">Ανατίθεται στην Επιτροπή η εξουσία να εκδίδει κατ’ εξουσιοδότηση πράξεις σύμφωνα με το άρθρο </w:t>
      </w:r>
      <w:hyperlink w:anchor="__akn_article_36z6jR" w:tooltip="Article 257: 257">
        <w:r w:rsidRPr="00483F7D">
          <w:t>261</w:t>
        </w:r>
      </w:hyperlink>
      <w:r w:rsidRPr="00483F7D">
        <w:t xml:space="preserve"> για τη συμπλήρωση του παρόντος κανονισμού με τον καθορισμό οποιασδήποτε άλλης συμπληρωματικής δράσης που αναφέρεται στην παράγραφο 1 στοιχείο ι).</w:t>
      </w:r>
    </w:p>
    <w:p w14:paraId="31DB9845" w14:textId="77777777" w:rsidR="00E0244C" w:rsidRPr="00483F7D" w:rsidRDefault="007A1FD7">
      <w:pPr>
        <w:pStyle w:val="Titrearticle"/>
      </w:pPr>
      <w:bookmarkStart w:id="231" w:name="__akn_article_QYcobt"/>
      <w:bookmarkEnd w:id="231"/>
      <w:r w:rsidRPr="00483F7D">
        <w:t>Άρθρο 243</w:t>
      </w:r>
    </w:p>
    <w:p w14:paraId="506D5905" w14:textId="77777777" w:rsidR="00E0244C" w:rsidRPr="00483F7D" w:rsidRDefault="007A1FD7">
      <w:pPr>
        <w:pStyle w:val="NormalCentered"/>
      </w:pPr>
      <w:r w:rsidRPr="00483F7D">
        <w:rPr>
          <w:b/>
        </w:rPr>
        <w:t>Διεθνής τελωνειακή συνεργασία</w:t>
      </w:r>
    </w:p>
    <w:p w14:paraId="0DFCF960" w14:textId="77777777" w:rsidR="00E0244C" w:rsidRPr="00483F7D" w:rsidRDefault="006B3481">
      <w:pPr>
        <w:pStyle w:val="ManualNumPar10"/>
      </w:pPr>
      <w:bookmarkStart w:id="232" w:name="__akn_article_QYcobt_WOCHSL"/>
      <w:bookmarkEnd w:id="232"/>
      <w:r w:rsidRPr="00483F7D">
        <w:tab/>
        <w:t>Η Τελωνειακή Αρχή της ΕΕ μπορεί, με την επιφύλαξη των εξουσιών της Επιτροπής και με την επιφύλαξη της προηγούμενης έγκρισής της, να συνάπτει ρυθμίσεις συνεργασίας με τις αρχές τρίτων χωρών και διεθνείς οργανισμούς. Οι ρυθμίσεις αυτές δεν δημιουργούν νομικές υποχρεώσεις για την Ένωση.</w:t>
      </w:r>
    </w:p>
    <w:p w14:paraId="3CF78236" w14:textId="77777777" w:rsidR="00E0244C" w:rsidRPr="00483F7D" w:rsidRDefault="007A1FD7">
      <w:pPr>
        <w:pStyle w:val="Titrearticle"/>
      </w:pPr>
      <w:bookmarkStart w:id="233" w:name="_bill__akn_article_pHgzYs"/>
      <w:bookmarkEnd w:id="233"/>
      <w:r w:rsidRPr="00483F7D">
        <w:t>Άρθρο 244</w:t>
      </w:r>
    </w:p>
    <w:p w14:paraId="7E4B1D24" w14:textId="77777777" w:rsidR="00E0244C" w:rsidRPr="00483F7D" w:rsidRDefault="007A1FD7">
      <w:pPr>
        <w:pStyle w:val="NormalCentered"/>
      </w:pPr>
      <w:r w:rsidRPr="00483F7D">
        <w:rPr>
          <w:b/>
        </w:rPr>
        <w:t>Ανταλλαγή δεδομένων με τρίτες χώρες</w:t>
      </w:r>
    </w:p>
    <w:p w14:paraId="22A9F1E1" w14:textId="77777777" w:rsidR="00E0244C" w:rsidRPr="00483F7D" w:rsidRDefault="007A1FD7">
      <w:pPr>
        <w:pStyle w:val="ManualNumPar10"/>
      </w:pPr>
      <w:bookmarkStart w:id="234" w:name="_bill__akn_article_pHgzYs_ByxKGr"/>
      <w:bookmarkEnd w:id="234"/>
      <w:r w:rsidRPr="00483F7D">
        <w:t>1.</w:t>
      </w:r>
      <w:r w:rsidRPr="00483F7D">
        <w:tab/>
        <w:t>Η Επιτροπή, οι τελωνειακές αρχές και η Τελωνειακή Αρχή της ΕΕ μπορούν να ανταλλάσσουν και να διαμοιράζονται δεδομένα με τελωνειακές αρχές και άλλες αρχές τρίτων χωρών για τους σκοπούς της τελωνειακής συνεργασίας, όταν διεθνής συμφωνία της Ένωσης, η τελωνειακή νομοθεσία, η ενωσιακή νομοθεσία στον τομέα της κοινής εμπορικής πολιτικής ή της κοινής εξωτερικής πολιτικής και πολιτικής ασφάλειας, καθώς και η λοιπή ενωσιακή νομοθεσία που εφαρμόζεται από τις τελωνειακές αρχές, προβλέπει την εν λόγω ανταλλαγή και διασφαλίζεται ότι η διαβίβαση δεδομένων προσωπικού χαρακτήρα είναι σύμφωνη με τις διατάξεις του κεφαλαίου V του κανονισμού (ΕΕ) 2018/1725 ή του κεφαλαίου V του κανονισμού (ΕΕ) 2016/679, αντίστοιχα.</w:t>
      </w:r>
    </w:p>
    <w:p w14:paraId="6CB10BB1" w14:textId="77777777" w:rsidR="006B3481" w:rsidRPr="00483F7D" w:rsidRDefault="006B3481" w:rsidP="0031659F">
      <w:pPr>
        <w:pStyle w:val="Text1"/>
      </w:pPr>
      <w:r w:rsidRPr="00483F7D">
        <w:t xml:space="preserve">Η Επιτροπή ενημερώνεται σχετικά με τις ανταλλαγές δεδομένων μεταξύ των τελωνειακών αρχών και της Τελωνειακής Αρχής της ΕΕ με τις τελωνειακές αρχές και άλλες αρχές τρίτων χωρών. </w:t>
      </w:r>
    </w:p>
    <w:p w14:paraId="5F1A8607" w14:textId="77777777" w:rsidR="00E0244C" w:rsidRPr="00483F7D" w:rsidRDefault="007A1FD7">
      <w:pPr>
        <w:pStyle w:val="ManualNumPar10"/>
      </w:pPr>
      <w:r w:rsidRPr="00483F7D">
        <w:t>2.</w:t>
      </w:r>
      <w:r w:rsidRPr="00483F7D">
        <w:tab/>
        <w:t>Η ανταλλαγή που αναφέρεται στην παράγραφο 1 μπορεί να αφορά ιδίως τις ακόλουθες κατηγορίες δεδομένων:</w:t>
      </w:r>
    </w:p>
    <w:p w14:paraId="179496C8" w14:textId="534056D3" w:rsidR="00E0244C" w:rsidRPr="00483F7D" w:rsidRDefault="00BC60FC" w:rsidP="00BC60FC">
      <w:pPr>
        <w:pStyle w:val="Point1"/>
      </w:pPr>
      <w:r w:rsidRPr="00483F7D">
        <w:t>α)</w:t>
      </w:r>
      <w:r w:rsidRPr="00483F7D">
        <w:tab/>
      </w:r>
      <w:r w:rsidR="007A1FD7" w:rsidRPr="00483F7D">
        <w:t>στοιχεία που περιλαμβάνονται σε αποφάσεις οι οποίες λαμβάνονται από τις τελωνειακές αρχές ή παρόμοιες αποφάσεις που λαμβάνονται σε τρίτες χώρες, σχετικά με δεσμευτικές πληροφορίες, την ιδιότητα του εγκεκριμένου οικονομικού φορέα, τη δασμολογητέα αξία, τον τελωνειακό χαρακτήρα εμπορευμάτων ή ειδικά καθεστώτα·</w:t>
      </w:r>
    </w:p>
    <w:p w14:paraId="3A694123" w14:textId="5D5B05C6" w:rsidR="00E0244C" w:rsidRPr="00483F7D" w:rsidRDefault="00BC60FC" w:rsidP="00BC60FC">
      <w:pPr>
        <w:pStyle w:val="Point1"/>
      </w:pPr>
      <w:r w:rsidRPr="00483F7D">
        <w:t>β)</w:t>
      </w:r>
      <w:r w:rsidRPr="00483F7D">
        <w:tab/>
      </w:r>
      <w:r w:rsidR="007A1FD7" w:rsidRPr="00483F7D">
        <w:t>στοιχεία που περιλαμβάνονται σε διασαφήσεις, γνωστοποιήσεις και αποδεικτικά του τελωνειακού χαρακτήρα εμπορευμάτων και σε δικαιολογητικά έγγραφα, τα οποία υποβάλλονται είτε στις τελωνειακές αρχές των κρατών μελών ή στην Επιτροπή, αφενός, είτε στις αρχές τρίτων χωρών που είναι αρμόδιες για τελωνειακά θέματα, αφετέρου, είτε εκδίδονται από τις εν λόγω αρχές·</w:t>
      </w:r>
    </w:p>
    <w:p w14:paraId="72F4A451" w14:textId="3195EC42" w:rsidR="00E0244C" w:rsidRPr="00483F7D" w:rsidRDefault="00BC60FC" w:rsidP="00BC60FC">
      <w:pPr>
        <w:pStyle w:val="Point1"/>
      </w:pPr>
      <w:r w:rsidRPr="00483F7D">
        <w:t>γ)</w:t>
      </w:r>
      <w:r w:rsidRPr="00483F7D">
        <w:tab/>
      </w:r>
      <w:r w:rsidR="007A1FD7" w:rsidRPr="00483F7D">
        <w:t>δεδομένα σχετικά με τους κινδύνους που εντοπίζουν και τα πορίσματα και τα αποτελέσματα στα οποία καταλήγουν οι τελωνειακές αρχές των κρατών μελών ή η Επιτροπή, αφενός, και οι αρχές τρίτων χωρών που είναι αρμόδιες για τελωνειακά θέματα, αφετέρου, κατά τη διενέργεια της ανάλυσης κινδύνων και των ελέγχων τους.</w:t>
      </w:r>
    </w:p>
    <w:p w14:paraId="2E50B801" w14:textId="77777777" w:rsidR="00E0244C" w:rsidRPr="00483F7D" w:rsidRDefault="007A1FD7">
      <w:pPr>
        <w:pStyle w:val="ManualNumPar10"/>
      </w:pPr>
      <w:bookmarkStart w:id="235" w:name="_Hlk133930763"/>
      <w:r w:rsidRPr="00483F7D">
        <w:t>3.</w:t>
      </w:r>
      <w:r w:rsidRPr="00483F7D">
        <w:tab/>
        <w:t xml:space="preserve">Η ανταλλαγή που αναφέρεται στην παράγραφο 1 πραγματοποιείται με κατάλληλα ασφαλή μέσα επικοινωνίας, είτε κατόπιν αιτήματος είτε με ιδία πρωτοβουλία, και με την επιφύλαξη του σεβασμού των εμπιστευτικών δεδομένων και της προστασίας των δεδομένων προσωπικού χαρακτήρα σύμφωνα με τα άρθρα 31 και </w:t>
      </w:r>
      <w:hyperlink w:anchor="__akn_article_zFuQW0" w:tooltip="Article 35: 35">
        <w:r w:rsidRPr="00483F7D">
          <w:rPr>
            <w:rStyle w:val="Hyperlink"/>
          </w:rPr>
          <w:t>35</w:t>
        </w:r>
      </w:hyperlink>
      <w:r w:rsidRPr="00483F7D">
        <w:rPr>
          <w:rStyle w:val="Hyperlink"/>
        </w:rPr>
        <w:t xml:space="preserve"> και την παράγραφο 1 του παρόντος άρθρου</w:t>
      </w:r>
      <w:r w:rsidRPr="00483F7D">
        <w:t>.</w:t>
      </w:r>
    </w:p>
    <w:bookmarkEnd w:id="235"/>
    <w:p w14:paraId="69AFCC83" w14:textId="77777777" w:rsidR="00E0244C" w:rsidRPr="00483F7D" w:rsidRDefault="007A1FD7">
      <w:pPr>
        <w:pStyle w:val="ManualNumPar10"/>
      </w:pPr>
      <w:r w:rsidRPr="00483F7D">
        <w:t>4.</w:t>
      </w:r>
      <w:r w:rsidRPr="00483F7D">
        <w:tab/>
        <w:t>Η ανταλλαγή που αναφέρεται στην παράγραφο 1 πραγματοποιείται με την επιφύλαξη των ανταλλαγών πληροφοριών οι οποίες πραγματοποιούνται βάσει των διατάξεων περί αμοιβαίας διοικητικής συνδρομής που περιέχονται σε συμφωνίες μεταξύ της Ένωσης και τρίτων χωρών και των διατάξεων του κανονισμού (ΕΚ) αριθ. 517/97.</w:t>
      </w:r>
    </w:p>
    <w:p w14:paraId="1845A8BD" w14:textId="77777777" w:rsidR="00E0244C" w:rsidRPr="00483F7D" w:rsidRDefault="007A1FD7">
      <w:pPr>
        <w:pStyle w:val="ManualNumPar10"/>
      </w:pPr>
      <w:r w:rsidRPr="00483F7D">
        <w:t>5.</w:t>
      </w:r>
      <w:r w:rsidRPr="00483F7D">
        <w:tab/>
        <w:t>Ένα κράτος μέλος μπορεί να εξουσιοδοτηθεί, σύμφωνα με τις διαδικασίες και τους όρους που προβλέπονται σε κατ’ εξουσιοδότηση πράξη η οποία εκδίδεται σύμφωνα με την παράγραφο 6, να αρχίσει διαπραγματεύσεις με τρίτη χώρα με σκοπό τη σύναψη διμερούς συμφωνίας για την ανταλλαγή που αναφέρεται στην παράγραφο 1 ή τη διατήρηση υφιστάμενης συμφωνίας. Μια τέτοια διμερής συμφωνία θα παύσει να ισχύει μόλις αρχίσει να ισχύει η συμφωνία που προβλέπει την ανταλλαγή τελωνειακών πληροφοριών μεταξύ της Ένωσης και της ενδιαφερόμενης τρίτης χώρας.</w:t>
      </w:r>
    </w:p>
    <w:p w14:paraId="43672AC2" w14:textId="77777777" w:rsidR="00E0244C" w:rsidRPr="00483F7D" w:rsidRDefault="007A1FD7">
      <w:pPr>
        <w:pStyle w:val="ManualNumPar10"/>
      </w:pPr>
      <w:r w:rsidRPr="00483F7D">
        <w:t>6.</w:t>
      </w:r>
      <w:r w:rsidRPr="00483F7D">
        <w:tab/>
        <w:t xml:space="preserve">Ανατίθεται στην Επιτροπή η εξουσία να εκδίδει κατ’ εξουσιοδότηση πράξεις, σύμφωνα με το άρθρο 261, για τη συμπλήρωση του παρόντος κανονισμού με τον καθορισμό των όρων και των διαδικασιών σύμφωνα με τις οποίες ένα κράτος μέλος μπορεί να εξουσιοδοτηθεί να αρχίσει τις διαπραγματεύσεις που αναφέρονται στην παράγραφο 5. Σε αυτές περιλαμβάνεται η γνωστοποίηση από το ενδιαφερόμενο κράτος μέλος στην Επιτροπή και σε όλα τα άλλα κράτη μέλη σχετικά με το πιθανό περιεχόμενο της διμερούς συμφωνίας και η αξιολόγηση από την Επιτροπή του αντικτύπου της στο ενωσιακό δίκαιο και στις μελλοντικές διαπραγματεύσεις σε επίπεδο Ένωσης, συμπεριλαμβανομένου του κατά πόσον το περιεχόμενό της περιορίζεται στην εφαρμογή των υποχρεώσεων που απορρέουν από το ενωσιακό ή το διεθνές δίκαιο. Η κατ’ εξουσιοδότηση πράξη προβλέπει επίσης την παρακολούθηση της εφαρμογής των εν λόγω συμφωνιών.  </w:t>
      </w:r>
    </w:p>
    <w:p w14:paraId="67E034FB" w14:textId="77777777" w:rsidR="00E0244C" w:rsidRPr="00483F7D" w:rsidRDefault="007A1FD7">
      <w:pPr>
        <w:pStyle w:val="ManualNumPar10"/>
      </w:pPr>
      <w:r w:rsidRPr="00483F7D">
        <w:t>8.</w:t>
      </w:r>
      <w:r w:rsidRPr="00483F7D">
        <w:tab/>
        <w:t xml:space="preserve">Η Επιτροπή αποφασίζει εντός 90 ημερών από την παραλαβή της γνωστοποίησης, με εκτελεστική πράξη, αν θα εξουσιοδοτήσει το κράτος μέλος να συνάψει τη διμερή συμφωνία. Οι εν λόγω εκτελεστικές πράξεις εκδίδονται σύμφωνα με τη συμβουλευτική διαδικασία που αναφέρεται στο άρθρο 262 παράγραφος </w:t>
      </w:r>
      <w:hyperlink w:anchor="_bill__akn_article_OheJbS_vuW2uu" w:tooltip="Article 258(2): (2)">
        <w:r w:rsidRPr="00483F7D">
          <w:t>2</w:t>
        </w:r>
      </w:hyperlink>
      <w:r w:rsidRPr="00483F7D">
        <w:t>.</w:t>
      </w:r>
    </w:p>
    <w:p w14:paraId="1F5D7F97" w14:textId="77777777" w:rsidR="00E0244C" w:rsidRPr="00483F7D" w:rsidRDefault="007A1FD7">
      <w:pPr>
        <w:pStyle w:val="Text1"/>
      </w:pPr>
      <w:r w:rsidRPr="00483F7D">
        <w:t xml:space="preserve">Όταν συντρέχουν επιτακτικοί λόγοι επείγουσας ανάγκης σχετικά με την εν λόγω εξουσιοδότηση, που δικαιολογούνται δεόντως από την ανάγκη να καταστεί ταχέως δυνατή η ζητούμενη ανταλλαγή πληροφοριών, η Επιτροπή εκδίδει άμεσα εφαρμοστέες εκτελεστικές πράξεις σύμφωνα με τη διαδικασία που αναφέρεται στο άρθρο 262 παράγραφος </w:t>
      </w:r>
      <w:hyperlink w:anchor="_bill__akn_article_OheJbS_wUh6VE" w:tooltip="Article 258(3): (3)">
        <w:r w:rsidRPr="00483F7D">
          <w:t>5</w:t>
        </w:r>
      </w:hyperlink>
      <w:r w:rsidRPr="00483F7D">
        <w:t>. </w:t>
      </w:r>
    </w:p>
    <w:p w14:paraId="60F487BD" w14:textId="77777777" w:rsidR="00E0244C" w:rsidRPr="00483F7D" w:rsidRDefault="007A1FD7">
      <w:pPr>
        <w:pStyle w:val="ChapterTitle"/>
      </w:pPr>
      <w:r w:rsidRPr="00483F7D">
        <w:t xml:space="preserve">Τίτλος XIV </w:t>
      </w:r>
      <w:r w:rsidRPr="00483F7D">
        <w:br/>
        <w:t>ΚΟΙΝΕΣ ΔΙΑΤΑΞΕΙΣ ΣΧΕΤΙΚΑ ΜΕ ΤΙΣ ΤΕΛΩΝΕΙΑΚΕΣ ΠΑΡΑΒΑΣΕΙΣ ΚΑΙ ΤΙΣ ΜΗ ΠΟΙΝΙΚΕΣ ΚΥΡΩΣΕΙΣ</w:t>
      </w:r>
    </w:p>
    <w:p w14:paraId="20084D3B" w14:textId="77777777" w:rsidR="00E0244C" w:rsidRPr="00483F7D" w:rsidRDefault="007A1FD7">
      <w:pPr>
        <w:pStyle w:val="ChapterTitle"/>
      </w:pPr>
      <w:r w:rsidRPr="00483F7D">
        <w:t xml:space="preserve">Κεφάλαιο 1 </w:t>
      </w:r>
      <w:r w:rsidRPr="00483F7D">
        <w:br/>
        <w:t>Γενικές διατάξεις</w:t>
      </w:r>
    </w:p>
    <w:p w14:paraId="798795AA" w14:textId="77777777" w:rsidR="00E0244C" w:rsidRPr="00483F7D" w:rsidRDefault="007A1FD7">
      <w:pPr>
        <w:pStyle w:val="Titrearticle"/>
      </w:pPr>
      <w:r w:rsidRPr="00483F7D">
        <w:t>Άρθρο 245</w:t>
      </w:r>
    </w:p>
    <w:p w14:paraId="618594AA" w14:textId="77777777" w:rsidR="00E0244C" w:rsidRPr="00483F7D" w:rsidRDefault="007A1FD7">
      <w:pPr>
        <w:pStyle w:val="NormalCentered"/>
      </w:pPr>
      <w:r w:rsidRPr="00483F7D">
        <w:rPr>
          <w:b/>
        </w:rPr>
        <w:t>Αντικείμενο</w:t>
      </w:r>
    </w:p>
    <w:p w14:paraId="5CA52BFA" w14:textId="77777777" w:rsidR="000B18C4" w:rsidRPr="00483F7D" w:rsidRDefault="000B18C4" w:rsidP="00B92532">
      <w:r w:rsidRPr="00483F7D">
        <w:t>Ο παρών τίτλος θεσπίζει κατάλογο τελωνειακών παραβάσεων και μη ποινικών κυρώσεων για τις εν λόγω παραβάσεις.  Δεν εμποδίζει τα κράτη μέλη να λαμβάνουν αυστηρότερα μέτρα με την πρόβλεψη διοικητικών ή ποινικών κυρώσεων σύμφωνα με το εθνικό τους δίκαιο.  Ούτε επηρεάζει άλλες παραβάσεις που προβλέπονται από την ενωσιακή νομοθεσία.</w:t>
      </w:r>
    </w:p>
    <w:p w14:paraId="4794F714" w14:textId="77777777" w:rsidR="00E0244C" w:rsidRPr="00483F7D" w:rsidRDefault="007A1FD7">
      <w:pPr>
        <w:pStyle w:val="Titrearticle"/>
      </w:pPr>
      <w:r w:rsidRPr="00483F7D">
        <w:t>Άρθρο 246</w:t>
      </w:r>
    </w:p>
    <w:p w14:paraId="38D78B44" w14:textId="77777777" w:rsidR="00E0244C" w:rsidRPr="00483F7D" w:rsidRDefault="007A1FD7">
      <w:pPr>
        <w:pStyle w:val="NormalCentered"/>
      </w:pPr>
      <w:r w:rsidRPr="00483F7D">
        <w:rPr>
          <w:b/>
        </w:rPr>
        <w:t>Γενικές απαιτήσεις</w:t>
      </w:r>
    </w:p>
    <w:p w14:paraId="400670BE" w14:textId="77777777" w:rsidR="00E0244C" w:rsidRPr="00483F7D" w:rsidRDefault="007A1FD7">
      <w:pPr>
        <w:pStyle w:val="ManualNumPar10"/>
      </w:pPr>
      <w:r w:rsidRPr="00483F7D">
        <w:t>1.</w:t>
      </w:r>
      <w:r w:rsidRPr="00483F7D">
        <w:tab/>
        <w:t xml:space="preserve">Οι πράξεις ή παραλείψεις που αναφέρονται στο άρθρο </w:t>
      </w:r>
      <w:hyperlink w:anchor="__akn_article_Sj4a3a" w:tooltip="Article 249: 249">
        <w:r w:rsidRPr="00483F7D">
          <w:rPr>
            <w:rStyle w:val="Hyperlink"/>
          </w:rPr>
          <w:t>252</w:t>
        </w:r>
      </w:hyperlink>
      <w:r w:rsidRPr="00483F7D">
        <w:t xml:space="preserve"> συνιστούν τελωνειακές παραβάσεις.</w:t>
      </w:r>
    </w:p>
    <w:p w14:paraId="521FF5F9" w14:textId="77777777" w:rsidR="00E0244C" w:rsidRPr="00483F7D" w:rsidRDefault="007A1FD7">
      <w:pPr>
        <w:pStyle w:val="ManualNumPar10"/>
      </w:pPr>
      <w:r w:rsidRPr="00483F7D">
        <w:t>2.</w:t>
      </w:r>
      <w:r w:rsidRPr="00483F7D">
        <w:tab/>
        <w:t xml:space="preserve">Η ηθική αυτουργία, η υποβοήθηση και η συνέργεια σε πράξη ή παράλειψη που αναφέρεται στο άρθρο </w:t>
      </w:r>
      <w:hyperlink w:anchor="__akn_article_Sj4a3a" w:tooltip="Article 249: 249">
        <w:r w:rsidRPr="00483F7D">
          <w:rPr>
            <w:rStyle w:val="Hyperlink"/>
          </w:rPr>
          <w:t>252</w:t>
        </w:r>
      </w:hyperlink>
      <w:r w:rsidRPr="00483F7D">
        <w:t xml:space="preserve"> συνιστά τελωνειακή παράβαση.</w:t>
      </w:r>
    </w:p>
    <w:p w14:paraId="2F2C4034" w14:textId="77777777" w:rsidR="00D13448" w:rsidRPr="00483F7D" w:rsidRDefault="00D13448" w:rsidP="00B92532">
      <w:pPr>
        <w:pStyle w:val="Text1"/>
      </w:pPr>
      <w:r w:rsidRPr="00483F7D">
        <w:t>Η απόπειρα τέλεσης πράξης ή παράλειψης που αναφέρεται στο άρθρο 252 συνιστά τελωνειακή παράβαση.</w:t>
      </w:r>
    </w:p>
    <w:p w14:paraId="4FA7D033" w14:textId="77777777" w:rsidR="00E0244C" w:rsidRPr="00483F7D" w:rsidRDefault="007A1FD7">
      <w:pPr>
        <w:pStyle w:val="ManualNumPar10"/>
      </w:pPr>
      <w:r w:rsidRPr="00483F7D">
        <w:t>3.</w:t>
      </w:r>
      <w:r w:rsidRPr="00483F7D">
        <w:tab/>
        <w:t xml:space="preserve">Τα κράτη μέλη καθορίζουν αν οι παραβάσεις που αναφέρονται στο άρθρο </w:t>
      </w:r>
      <w:hyperlink w:anchor="__akn_article_Sj4a3a" w:tooltip="Article 249: 249">
        <w:r w:rsidRPr="00483F7D">
          <w:rPr>
            <w:rStyle w:val="Hyperlink"/>
          </w:rPr>
          <w:t>252</w:t>
        </w:r>
      </w:hyperlink>
      <w:r w:rsidRPr="00483F7D">
        <w:t xml:space="preserve"> διαπράττονται από πρόθεση ή από προφανή αμέλεια ή πρόδηλο σφάλμα. </w:t>
      </w:r>
    </w:p>
    <w:p w14:paraId="73EB0F0A" w14:textId="77777777" w:rsidR="00E0244C" w:rsidRPr="00483F7D" w:rsidRDefault="008336D6">
      <w:pPr>
        <w:pStyle w:val="ManualNumPar10"/>
      </w:pPr>
      <w:r w:rsidRPr="00483F7D">
        <w:t>4.</w:t>
      </w:r>
      <w:r w:rsidRPr="00483F7D">
        <w:tab/>
        <w:t>Σφάλματα εκ παραδρομής ή ήσσονος σημασίας δεν συνιστούν τελωνειακή παράβαση, εκτός αν η τελωνειακή αρχή μπορεί να αποδείξει ότι διαπράχθηκαν από πρόθεση ή λόγω προφανούς αμέλειας ή πρόδηλου σφάλματος.</w:t>
      </w:r>
    </w:p>
    <w:p w14:paraId="1BACDCA9" w14:textId="77777777" w:rsidR="00E0244C" w:rsidRPr="00483F7D" w:rsidRDefault="008336D6">
      <w:pPr>
        <w:pStyle w:val="ManualNumPar10"/>
      </w:pPr>
      <w:r w:rsidRPr="00483F7D">
        <w:t>5.</w:t>
      </w:r>
      <w:r w:rsidRPr="00483F7D">
        <w:tab/>
        <w:t xml:space="preserve">Σε περίπτωση πράξης ή παράλειψης η οποία οδήγησε σε τελωνειακή παράβαση που αναφέρεται στο άρθρο </w:t>
      </w:r>
      <w:hyperlink w:anchor="__akn_article_Sj4a3a" w:tooltip="Article 249: 249">
        <w:r w:rsidRPr="00483F7D">
          <w:rPr>
            <w:rStyle w:val="Hyperlink"/>
          </w:rPr>
          <w:t>252</w:t>
        </w:r>
      </w:hyperlink>
      <w:r w:rsidRPr="00483F7D">
        <w:t xml:space="preserve"> και διαπράχθηκε ως αντίδραση σε ασυνήθεις και απρόβλεπτες περιστάσεις που δεν συνδέονται με το ενδιαφερόμενο πρόσωπο, οι συνέπειες των οποίων, παρά την επίδειξη κάθε δέουσας επιμέλειας, δεν θα ήταν δυνατό να αποφευχθούν, η ευθύνη του προσώπου που τη διέπραξε αποκλείεται.</w:t>
      </w:r>
    </w:p>
    <w:p w14:paraId="5199F3C5" w14:textId="77777777" w:rsidR="00E0244C" w:rsidRPr="00483F7D" w:rsidRDefault="007A1FD7">
      <w:pPr>
        <w:pStyle w:val="Titrearticle"/>
      </w:pPr>
      <w:r w:rsidRPr="00483F7D">
        <w:t>Άρθρο 247</w:t>
      </w:r>
    </w:p>
    <w:p w14:paraId="1A29A522" w14:textId="77777777" w:rsidR="00E0244C" w:rsidRPr="00483F7D" w:rsidRDefault="007A1FD7">
      <w:pPr>
        <w:pStyle w:val="NormalCentered"/>
      </w:pPr>
      <w:r w:rsidRPr="00483F7D">
        <w:rPr>
          <w:b/>
        </w:rPr>
        <w:t>Ελαφρυντικές περιστάσεις</w:t>
      </w:r>
    </w:p>
    <w:p w14:paraId="4AB0D7A7" w14:textId="77777777" w:rsidR="00E0244C" w:rsidRPr="00483F7D" w:rsidRDefault="007A1FD7">
      <w:pPr>
        <w:pStyle w:val="ManualNumPar10"/>
      </w:pPr>
      <w:r w:rsidRPr="00483F7D">
        <w:t>1.</w:t>
      </w:r>
      <w:r w:rsidRPr="00483F7D">
        <w:tab/>
        <w:t xml:space="preserve">Όταν το πρόσωπο που είναι υπεύθυνο για πράξη ή παράλειψη η οποία οδήγησε σε τελωνειακή παράβαση που αναφέρεται στο άρθρο </w:t>
      </w:r>
      <w:hyperlink w:anchor="__akn_article_Sj4a3a" w:tooltip="Article 249: 249">
        <w:r w:rsidRPr="00483F7D">
          <w:rPr>
            <w:rStyle w:val="Hyperlink"/>
          </w:rPr>
          <w:t>252</w:t>
        </w:r>
      </w:hyperlink>
      <w:r w:rsidRPr="00483F7D">
        <w:t xml:space="preserve"> παρέχει στοιχεία που αποδεικνύουν ότι το εν λόγω πρόσωπο ενήργησε καλόπιστα, τα στοιχεία αυτά λαμβάνονται υπόψη για τον καθορισμό της κύρωσης που αναφέρεται στο άρθρο 254.</w:t>
      </w:r>
    </w:p>
    <w:p w14:paraId="7D4DF463" w14:textId="77777777" w:rsidR="00E0244C" w:rsidRPr="00483F7D" w:rsidRDefault="007A1FD7">
      <w:pPr>
        <w:pStyle w:val="ManualNumPar10"/>
      </w:pPr>
      <w:r w:rsidRPr="00483F7D">
        <w:t>2.</w:t>
      </w:r>
      <w:r w:rsidRPr="00483F7D">
        <w:tab/>
        <w:t>Για τη μείωση της κύρωσης που πρέπει να επιβάλλεται για την τελωνειακή παράβαση λαμβάνονται υπόψη οι ακόλουθες περιστάσεις:</w:t>
      </w:r>
    </w:p>
    <w:p w14:paraId="32A5682F" w14:textId="3CC5802A" w:rsidR="00E0244C" w:rsidRPr="00483F7D" w:rsidRDefault="00BC60FC" w:rsidP="00BC60FC">
      <w:pPr>
        <w:pStyle w:val="Point1"/>
      </w:pPr>
      <w:r w:rsidRPr="00483F7D">
        <w:t>α)</w:t>
      </w:r>
      <w:r w:rsidRPr="00483F7D">
        <w:tab/>
      </w:r>
      <w:r w:rsidR="006B7A77" w:rsidRPr="00483F7D">
        <w:t>τα εμπλεκόμενα εμπορεύματα δεν υπόκεινται στη λοιπή νομοθεσία που εφαρμόζεται από τις τελωνειακές αρχές·</w:t>
      </w:r>
    </w:p>
    <w:p w14:paraId="0E9AB469" w14:textId="1A072D7A" w:rsidR="00E0244C" w:rsidRPr="00483F7D" w:rsidRDefault="00BC60FC" w:rsidP="00BC60FC">
      <w:pPr>
        <w:pStyle w:val="Point1"/>
      </w:pPr>
      <w:r w:rsidRPr="00483F7D">
        <w:t>β)</w:t>
      </w:r>
      <w:r w:rsidRPr="00483F7D">
        <w:tab/>
      </w:r>
      <w:r w:rsidR="006B7A77" w:rsidRPr="00483F7D">
        <w:t>η τελωνειακή παράβαση δεν επηρεάζει τον καθορισμό του ποσού των δασμών και λοιπών φόρων που πρέπει να καταβληθούν·</w:t>
      </w:r>
      <w:r w:rsidR="006B7A77" w:rsidRPr="00483F7D">
        <w:tab/>
      </w:r>
    </w:p>
    <w:p w14:paraId="6007D1BF" w14:textId="08D8D16E" w:rsidR="006B7A77" w:rsidRPr="00483F7D" w:rsidRDefault="00BC60FC" w:rsidP="00BC60FC">
      <w:pPr>
        <w:pStyle w:val="Point1"/>
      </w:pPr>
      <w:r w:rsidRPr="00483F7D">
        <w:t>γ)</w:t>
      </w:r>
      <w:r w:rsidRPr="00483F7D">
        <w:tab/>
      </w:r>
      <w:r w:rsidR="00CE0C47" w:rsidRPr="00483F7D">
        <w:t>το πρόσωπο που είναι υπεύθυνο για την τελωνειακή παράβαση συνεργάζεται αποτελεσματικά με την τελωνειακή αρχή.</w:t>
      </w:r>
    </w:p>
    <w:p w14:paraId="27066FAB" w14:textId="77777777" w:rsidR="00E0244C" w:rsidRPr="00483F7D" w:rsidRDefault="007A1FD7">
      <w:pPr>
        <w:pStyle w:val="Titrearticle"/>
      </w:pPr>
      <w:r w:rsidRPr="00483F7D">
        <w:t>Άρθρο 248</w:t>
      </w:r>
    </w:p>
    <w:p w14:paraId="3CF6C073" w14:textId="77777777" w:rsidR="00E0244C" w:rsidRPr="00483F7D" w:rsidRDefault="007A1FD7">
      <w:pPr>
        <w:pStyle w:val="NormalCentered"/>
      </w:pPr>
      <w:r w:rsidRPr="00483F7D">
        <w:rPr>
          <w:b/>
        </w:rPr>
        <w:t>Επιβαρυντικές περιστάσεις</w:t>
      </w:r>
    </w:p>
    <w:p w14:paraId="6141C0A2" w14:textId="77777777" w:rsidR="00E0244C" w:rsidRPr="00483F7D" w:rsidRDefault="007A1FD7">
      <w:r w:rsidRPr="00483F7D">
        <w:t>Οι ακόλουθες περιστάσεις λαμβάνονται υπόψη ως επιβαρυντικές για την κύρωση που αναφέρεται στο άρθρο 254 και η οποία επιβάλλεται για τις τελωνειακές παραβάσεις:</w:t>
      </w:r>
    </w:p>
    <w:p w14:paraId="32880448" w14:textId="2FB82400" w:rsidR="00E0244C" w:rsidRPr="00483F7D" w:rsidRDefault="00BC60FC" w:rsidP="00BC60FC">
      <w:pPr>
        <w:pStyle w:val="Point1"/>
      </w:pPr>
      <w:r w:rsidRPr="00483F7D">
        <w:t>α)</w:t>
      </w:r>
      <w:r w:rsidRPr="00483F7D">
        <w:tab/>
      </w:r>
      <w:r w:rsidR="002466E1" w:rsidRPr="00483F7D">
        <w:t>το πρόσωπο που είναι υπεύθυνο για την τελωνειακή παράβαση έχει ήδη υποστεί κυρώσεις για τελωνειακή παράβαση ή έχει διαπράξει διαρκείς και επαναλαμβανόμενες τελωνειακές παραβάσεις·</w:t>
      </w:r>
    </w:p>
    <w:p w14:paraId="27191A8B" w14:textId="589ACCF3" w:rsidR="00E0244C" w:rsidRPr="00483F7D" w:rsidRDefault="00BC60FC" w:rsidP="00BC60FC">
      <w:pPr>
        <w:pStyle w:val="Point1"/>
      </w:pPr>
      <w:r w:rsidRPr="00483F7D">
        <w:t>β)</w:t>
      </w:r>
      <w:r w:rsidRPr="00483F7D">
        <w:tab/>
      </w:r>
      <w:r w:rsidR="002466E1" w:rsidRPr="00483F7D">
        <w:t>η τελωνειακή παράβαση έχει σημαντικό αντίκτυπο στη λοιπή νομοθεσία που εφαρμόζεται από τις τελωνειακές αρχές·</w:t>
      </w:r>
    </w:p>
    <w:p w14:paraId="091C1EEA" w14:textId="43133B26" w:rsidR="00E0244C" w:rsidRPr="00483F7D" w:rsidRDefault="00BC60FC" w:rsidP="00BC60FC">
      <w:pPr>
        <w:pStyle w:val="Point1"/>
      </w:pPr>
      <w:r w:rsidRPr="00483F7D">
        <w:t>γ)</w:t>
      </w:r>
      <w:r w:rsidRPr="00483F7D">
        <w:tab/>
      </w:r>
      <w:r w:rsidR="002466E1" w:rsidRPr="00483F7D">
        <w:t>η τελωνειακή παράβαση έχει σημαντικό οικονομικό αντίκτυπο στην είσπραξη τελωνειακών δασμών ή λοιπών επιβαρύνσεων·</w:t>
      </w:r>
    </w:p>
    <w:p w14:paraId="16DAB760" w14:textId="7D5085C7" w:rsidR="003E6F47" w:rsidRPr="00483F7D" w:rsidRDefault="00BC60FC" w:rsidP="00BC60FC">
      <w:pPr>
        <w:pStyle w:val="Point1"/>
      </w:pPr>
      <w:r w:rsidRPr="00483F7D">
        <w:t>δ)</w:t>
      </w:r>
      <w:r w:rsidRPr="00483F7D">
        <w:tab/>
      </w:r>
      <w:r w:rsidR="00CE0C47" w:rsidRPr="00483F7D">
        <w:t>η τελωνειακή παράβαση συνιστά απειλή για την ασφάλεια και την προστασία της Ένωσης και των κατοίκων της.</w:t>
      </w:r>
    </w:p>
    <w:p w14:paraId="5FB99279" w14:textId="77777777" w:rsidR="00E0244C" w:rsidRPr="00483F7D" w:rsidRDefault="007A1FD7">
      <w:pPr>
        <w:pStyle w:val="Titrearticle"/>
      </w:pPr>
      <w:r w:rsidRPr="00483F7D">
        <w:t>Άρθρο 249</w:t>
      </w:r>
    </w:p>
    <w:p w14:paraId="6D35196D" w14:textId="77777777" w:rsidR="00E0244C" w:rsidRPr="00483F7D" w:rsidRDefault="007A1FD7">
      <w:pPr>
        <w:pStyle w:val="NormalCentered"/>
      </w:pPr>
      <w:r w:rsidRPr="00483F7D">
        <w:rPr>
          <w:b/>
        </w:rPr>
        <w:t>Περιορισμός</w:t>
      </w:r>
    </w:p>
    <w:p w14:paraId="291D52E6" w14:textId="77777777" w:rsidR="00E0244C" w:rsidRPr="00483F7D" w:rsidRDefault="004A27CA" w:rsidP="00CF7E35">
      <w:pPr>
        <w:pStyle w:val="NumPar1"/>
        <w:numPr>
          <w:ilvl w:val="0"/>
          <w:numId w:val="52"/>
        </w:numPr>
      </w:pPr>
      <w:r w:rsidRPr="00483F7D">
        <w:t xml:space="preserve">Τα κράτη μέλη ορίζουν την προθεσμία παραγραφής για την κίνηση διαδικασίας σχετικά με τελωνειακή παράβαση που αναφέρεται στο άρθρο </w:t>
      </w:r>
      <w:hyperlink w:anchor="__akn_article_Sj4a3a" w:tooltip="Article 249: 249">
        <w:r w:rsidRPr="00483F7D">
          <w:rPr>
            <w:rStyle w:val="Hyperlink"/>
          </w:rPr>
          <w:t>252</w:t>
        </w:r>
      </w:hyperlink>
      <w:r w:rsidRPr="00483F7D">
        <w:t xml:space="preserve"> μεταξύ 5 και 10 ετών από την ημερομηνία τέλεσης της πράξης ή της παράλειψης.</w:t>
      </w:r>
    </w:p>
    <w:p w14:paraId="65021566" w14:textId="77777777" w:rsidR="000B18C4" w:rsidRPr="00483F7D" w:rsidRDefault="000B18C4" w:rsidP="00B62B15">
      <w:pPr>
        <w:pStyle w:val="NumPar1"/>
      </w:pPr>
      <w:r w:rsidRPr="00483F7D">
        <w:t>Τα κράτη μέλη διασφαλίζουν ότι, για διαρκείς ή επαναλαμβανόμενες τελωνειακές παραβάσεις, η προθεσμία παραγραφής αρχίζει να υπολογίζεται από την ημέρα κατά την οποία παύει η πράξη ή παράλειψη που συνιστά την τελωνειακή παράβαση.</w:t>
      </w:r>
    </w:p>
    <w:p w14:paraId="1BFBCDB6" w14:textId="77777777" w:rsidR="000B18C4" w:rsidRPr="00483F7D" w:rsidRDefault="000B18C4" w:rsidP="00B62B15">
      <w:pPr>
        <w:pStyle w:val="NumPar1"/>
      </w:pPr>
      <w:r w:rsidRPr="00483F7D">
        <w:t>Τα κράτη μέλη διασφαλίζουν ότι η προθεσμία παραγραφής διακόπτεται από κάθε πράξη της αρμόδιας αρχής, η οποία γνωστοποιείται στο ενδιαφερόμενο πρόσωπο και αφορά έρευνα ή δικαστική διαδικασία σχετικά με την ίδια τελωνειακή παράβαση. Η προθεσμία παραγραφής αρχίζει να ισχύει από την ημέρα της πράξης που τη διακόπτει.</w:t>
      </w:r>
    </w:p>
    <w:p w14:paraId="260F88EC" w14:textId="77777777" w:rsidR="000B18C4" w:rsidRPr="00483F7D" w:rsidRDefault="000B18C4" w:rsidP="00B62B15">
      <w:pPr>
        <w:pStyle w:val="NumPar1"/>
      </w:pPr>
      <w:r w:rsidRPr="00483F7D">
        <w:t>Τα κράτη μέλη διασφαλίζουν ότι η έναρξη ή η συνέχιση οποιασδήποτε διαδικασίας σχετικά με τελωνειακή παράβαση που αναφέρεται στο άρθρο 252 αποκλείεται μετά τη λήξη περιόδου οκτώ ετών από την ημέρα που αναφέρεται στην παράγραφο 1 ή 2.</w:t>
      </w:r>
    </w:p>
    <w:p w14:paraId="3D049C5A" w14:textId="77777777" w:rsidR="000B18C4" w:rsidRPr="00483F7D" w:rsidRDefault="000B18C4" w:rsidP="00B62B15">
      <w:pPr>
        <w:pStyle w:val="NumPar1"/>
      </w:pPr>
      <w:r w:rsidRPr="00483F7D">
        <w:t>Τα κράτη μέλη διασφαλίζουν ότι η προθεσμία παραγραφής για την εκτέλεση απόφασης επιβολής κυρώσεων ανέρχεται στα τρία έτη. Η εν λόγω προθεσμία αρχίζει να ισχύει από την ημέρα κατά την οποία η εν λόγω απόφαση καθίσταται οριστική.</w:t>
      </w:r>
    </w:p>
    <w:p w14:paraId="74EF01A2" w14:textId="77777777" w:rsidR="000B18C4" w:rsidRPr="00483F7D" w:rsidRDefault="000B18C4" w:rsidP="00B62B15">
      <w:pPr>
        <w:pStyle w:val="NumPar1"/>
      </w:pPr>
      <w:r w:rsidRPr="00483F7D">
        <w:t>Τα κράτη μέλη καθορίζουν τις περιπτώσεις κατά τις οποίες οι προθεσμίες παραγραφής που προβλέπονται στις παραγράφους 1, 4 και 5 αναστέλλονται.</w:t>
      </w:r>
    </w:p>
    <w:p w14:paraId="101E94FF" w14:textId="77777777" w:rsidR="00E0244C" w:rsidRPr="00483F7D" w:rsidRDefault="007A1FD7">
      <w:pPr>
        <w:pStyle w:val="Titrearticle"/>
      </w:pPr>
      <w:r w:rsidRPr="00483F7D">
        <w:t>Άρθρο 250</w:t>
      </w:r>
    </w:p>
    <w:p w14:paraId="0046B8E8" w14:textId="77777777" w:rsidR="00E0244C" w:rsidRPr="00483F7D" w:rsidRDefault="007A1FD7">
      <w:pPr>
        <w:pStyle w:val="NormalCentered"/>
      </w:pPr>
      <w:r w:rsidRPr="00483F7D">
        <w:rPr>
          <w:b/>
        </w:rPr>
        <w:t>Δικαιοδοσία</w:t>
      </w:r>
    </w:p>
    <w:p w14:paraId="34304D96" w14:textId="77777777" w:rsidR="00E0244C" w:rsidRPr="00483F7D" w:rsidRDefault="007A1FD7">
      <w:r w:rsidRPr="00483F7D">
        <w:t xml:space="preserve">Τα κράτη μέλη ασκούν δικαιοδοσία για τις τελωνειακές παραβάσεις που αναφέρονται στο άρθρο </w:t>
      </w:r>
      <w:hyperlink w:anchor="__akn_article_Sj4a3a" w:tooltip="Article 249: 249">
        <w:r w:rsidRPr="00483F7D">
          <w:rPr>
            <w:rStyle w:val="Hyperlink"/>
          </w:rPr>
          <w:t>252</w:t>
        </w:r>
      </w:hyperlink>
      <w:r w:rsidRPr="00483F7D">
        <w:t xml:space="preserve"> σύμφωνα με το εθνικό δίκαιο και όταν η εν λόγω παράβαση διαπράττεται εξ ολοκλήρου ή εν μέρει εντός του εδάφους του εν λόγω κράτους μέλους.</w:t>
      </w:r>
    </w:p>
    <w:p w14:paraId="3C1D3AE7" w14:textId="77777777" w:rsidR="00E0244C" w:rsidRPr="00483F7D" w:rsidRDefault="007A1FD7">
      <w:pPr>
        <w:pStyle w:val="Titrearticle"/>
      </w:pPr>
      <w:r w:rsidRPr="00483F7D">
        <w:t>Άρθρο 251</w:t>
      </w:r>
    </w:p>
    <w:p w14:paraId="486975C0" w14:textId="77777777" w:rsidR="00E0244C" w:rsidRPr="00483F7D" w:rsidRDefault="007A1FD7">
      <w:pPr>
        <w:pStyle w:val="NormalCentered"/>
      </w:pPr>
      <w:r w:rsidRPr="00483F7D">
        <w:rPr>
          <w:b/>
        </w:rPr>
        <w:t>Συνεργασία μεταξύ κρατών μελών</w:t>
      </w:r>
    </w:p>
    <w:p w14:paraId="10D72BAE" w14:textId="77777777" w:rsidR="00E0244C" w:rsidRPr="00483F7D" w:rsidRDefault="007A1FD7">
      <w:pPr>
        <w:pStyle w:val="ManualNumPar10"/>
      </w:pPr>
      <w:r w:rsidRPr="00483F7D">
        <w:t>1.</w:t>
      </w:r>
      <w:r w:rsidRPr="00483F7D">
        <w:tab/>
        <w:t xml:space="preserve">Όταν οι τελωνειακές παραβάσεις που αναφέρονται στο άρθρο </w:t>
      </w:r>
      <w:hyperlink w:anchor="__akn_article_Sj4a3a" w:tooltip="Article 249: 249">
        <w:r w:rsidRPr="00483F7D">
          <w:rPr>
            <w:rStyle w:val="Hyperlink"/>
          </w:rPr>
          <w:t>252</w:t>
        </w:r>
      </w:hyperlink>
      <w:r w:rsidRPr="00483F7D">
        <w:t xml:space="preserve"> διαπράττονται σε περισσότερα του ενός κράτη μέλη και μια αρμόδια αρχή κράτους μέλους κινεί για πρώτη φορά διαδικασία σχετικά με την εν λόγω παράβαση, η εν λόγω αρμόδια αρχή συνεργάζεται με τις αρμόδιες αρχές των κρατών μελών τις οποίες αφορά η ίδια τελωνειακή παράβαση κατά του ίδιου προσώπου για τα ίδια πραγματικά περιστατικά.</w:t>
      </w:r>
    </w:p>
    <w:p w14:paraId="29B37F64" w14:textId="77777777" w:rsidR="00E0244C" w:rsidRPr="00483F7D" w:rsidRDefault="007A1FD7">
      <w:pPr>
        <w:pStyle w:val="ManualNumPar10"/>
      </w:pPr>
      <w:r w:rsidRPr="00483F7D">
        <w:t>2.</w:t>
      </w:r>
      <w:r w:rsidRPr="00483F7D">
        <w:tab/>
        <w:t>Η Επιτροπή παρακολουθεί τη συνεργασία μεταξύ των κρατών μελών σύμφωνα με την παράγραφο 1.</w:t>
      </w:r>
    </w:p>
    <w:p w14:paraId="662AD640" w14:textId="77777777" w:rsidR="00E0244C" w:rsidRPr="00483F7D" w:rsidRDefault="007A1FD7">
      <w:pPr>
        <w:pStyle w:val="ChapterTitle"/>
      </w:pPr>
      <w:r w:rsidRPr="00483F7D">
        <w:t xml:space="preserve">Κεφάλαιο 2 </w:t>
      </w:r>
      <w:r w:rsidRPr="00483F7D">
        <w:br/>
        <w:t>Ενωσιακές τελωνειακές παραβάσεις και μη ποινικές κυρώσεις</w:t>
      </w:r>
    </w:p>
    <w:p w14:paraId="146A3490" w14:textId="77777777" w:rsidR="00E0244C" w:rsidRPr="00483F7D" w:rsidRDefault="007A1FD7">
      <w:pPr>
        <w:pStyle w:val="Titrearticle"/>
      </w:pPr>
      <w:bookmarkStart w:id="236" w:name="__akn_article_Sj4a3a"/>
      <w:bookmarkEnd w:id="236"/>
      <w:r w:rsidRPr="00483F7D">
        <w:t>Άρθρο 252</w:t>
      </w:r>
    </w:p>
    <w:p w14:paraId="496F2D96" w14:textId="77777777" w:rsidR="00E0244C" w:rsidRPr="00483F7D" w:rsidRDefault="00044A59">
      <w:pPr>
        <w:pStyle w:val="NormalCentered"/>
      </w:pPr>
      <w:r w:rsidRPr="00483F7D">
        <w:rPr>
          <w:b/>
        </w:rPr>
        <w:t>Ενωσιακές τελωνειακές παραβάσεις</w:t>
      </w:r>
    </w:p>
    <w:p w14:paraId="4934B2F3" w14:textId="77777777" w:rsidR="00E0244C" w:rsidRPr="00483F7D" w:rsidRDefault="007A1FD7">
      <w:pPr>
        <w:pStyle w:val="ManualNumPar10"/>
      </w:pPr>
      <w:r w:rsidRPr="00483F7D">
        <w:t>1.</w:t>
      </w:r>
      <w:r w:rsidRPr="00483F7D">
        <w:tab/>
        <w:t>Οι ακόλουθες πράξεις ή παραλείψεις συνιστούν τελωνειακές παραβάσεις:</w:t>
      </w:r>
    </w:p>
    <w:p w14:paraId="05C1FDDB" w14:textId="32790349" w:rsidR="00E0244C" w:rsidRPr="00483F7D" w:rsidRDefault="00BC60FC" w:rsidP="00BC60FC">
      <w:pPr>
        <w:pStyle w:val="Point1"/>
      </w:pPr>
      <w:r w:rsidRPr="00483F7D">
        <w:t>α)</w:t>
      </w:r>
      <w:r w:rsidRPr="00483F7D">
        <w:tab/>
      </w:r>
      <w:r w:rsidR="00ED6DCC" w:rsidRPr="00483F7D">
        <w:t>παράλειψη του δικαιούχου απόφασης σχετικής με την εφαρμογή της τελωνειακής νομοθεσίας να συμμορφωθεί με τις υποχρεώσεις που απορρέουν από την εν λόγω απόφαση και να ενημερώσει χωρίς καθυστέρηση τις τελωνειακές αρχές για κάθε στοιχείο που προκύπτει μετά τη λήψη απόφασης από τις εν λόγω αρχές και επηρεάζει τη συνέχιση ή το περιεχόμενό της, σύμφωνα με τους τίτλους I και II·</w:t>
      </w:r>
    </w:p>
    <w:p w14:paraId="7E346B69" w14:textId="6E48DDF4" w:rsidR="00E0244C" w:rsidRPr="00483F7D" w:rsidRDefault="00BC60FC" w:rsidP="00BC60FC">
      <w:pPr>
        <w:pStyle w:val="Point1"/>
      </w:pPr>
      <w:r w:rsidRPr="00483F7D">
        <w:t>β)</w:t>
      </w:r>
      <w:r w:rsidRPr="00483F7D">
        <w:tab/>
      </w:r>
      <w:r w:rsidR="00ED6DCC" w:rsidRPr="00483F7D">
        <w:t>μη τήρηση της υποχρέωσης παροχής πληροφοριών στο τελωνείο σύμφωνα με τον παρόντα κανονισμό, συμπεριλαμβανομένης της μη υποβολής τελωνειακής διασάφησης·</w:t>
      </w:r>
    </w:p>
    <w:p w14:paraId="3C098578" w14:textId="6C1F6B75" w:rsidR="00E0244C" w:rsidRPr="00483F7D" w:rsidRDefault="00BC60FC" w:rsidP="00BC60FC">
      <w:pPr>
        <w:pStyle w:val="Point1"/>
      </w:pPr>
      <w:r w:rsidRPr="00483F7D">
        <w:t>γ)</w:t>
      </w:r>
      <w:r w:rsidRPr="00483F7D">
        <w:tab/>
      </w:r>
      <w:r w:rsidR="00ED6DCC" w:rsidRPr="00483F7D">
        <w:t>παροχή ελλιπών, ανακριβών, άκυρων, μη γνήσιων, πλαστών ή παραποιημένων πληροφοριών ή εγγράφων στο τελωνείο·</w:t>
      </w:r>
    </w:p>
    <w:p w14:paraId="54521CD7" w14:textId="37DDB266" w:rsidR="00E0244C" w:rsidRPr="00483F7D" w:rsidRDefault="00BC60FC" w:rsidP="00BC60FC">
      <w:pPr>
        <w:pStyle w:val="Point1"/>
      </w:pPr>
      <w:r w:rsidRPr="00483F7D">
        <w:t>δ)</w:t>
      </w:r>
      <w:r w:rsidRPr="00483F7D">
        <w:tab/>
      </w:r>
      <w:r w:rsidR="00ED6DCC" w:rsidRPr="00483F7D">
        <w:t>παράλειψη του υπευθύνου να τηρήσει τα έγγραφα και τις πληροφορίες που σχετίζονται με τη διεκπεραίωση τελωνειακών διατυπώσεων·</w:t>
      </w:r>
    </w:p>
    <w:p w14:paraId="6D29528C" w14:textId="070B469A" w:rsidR="00E0244C" w:rsidRPr="00483F7D" w:rsidRDefault="00BC60FC" w:rsidP="00BC60FC">
      <w:pPr>
        <w:pStyle w:val="Point1"/>
      </w:pPr>
      <w:r w:rsidRPr="00483F7D">
        <w:t>ε)</w:t>
      </w:r>
      <w:r w:rsidRPr="00483F7D">
        <w:tab/>
      </w:r>
      <w:r w:rsidR="00ED6DCC" w:rsidRPr="00483F7D">
        <w:t>απομάκρυνση εμπορευμάτων από την τελωνειακή επιτήρηση·</w:t>
      </w:r>
    </w:p>
    <w:p w14:paraId="6550BB05" w14:textId="2229528E" w:rsidR="00E0244C" w:rsidRPr="00483F7D" w:rsidRDefault="00BC60FC" w:rsidP="00BC60FC">
      <w:pPr>
        <w:pStyle w:val="Point1"/>
      </w:pPr>
      <w:r w:rsidRPr="00483F7D">
        <w:t>στ)</w:t>
      </w:r>
      <w:r w:rsidRPr="00483F7D">
        <w:tab/>
      </w:r>
      <w:r w:rsidR="00ED6DCC" w:rsidRPr="00483F7D">
        <w:t>μη συμμόρφωση του υπευθύνου με τις υποχρεώσεις που σχετίζονται με τελωνειακά καθεστώτα·  </w:t>
      </w:r>
    </w:p>
    <w:p w14:paraId="652399E3" w14:textId="5B58210B" w:rsidR="00E0244C" w:rsidRPr="00483F7D" w:rsidRDefault="00BC60FC" w:rsidP="00BC60FC">
      <w:pPr>
        <w:pStyle w:val="Point1"/>
      </w:pPr>
      <w:r w:rsidRPr="00483F7D">
        <w:t>ζ)</w:t>
      </w:r>
      <w:r w:rsidRPr="00483F7D">
        <w:tab/>
      </w:r>
      <w:r w:rsidR="00ED6DCC" w:rsidRPr="00483F7D">
        <w:t xml:space="preserve">μη καταβολή εισαγωγικών ή εξαγωγικών δασμών από τον υπόχρεο εντός της προθεσμίας που προβλέπεται σύμφωνα με τον τίτλο X κεφάλαιο </w:t>
      </w:r>
      <w:hyperlink w:anchor="__akn_chapter_pIs9rE" w:tooltip="Title X, Chapter 3: 3">
        <w:r w:rsidR="00ED6DCC" w:rsidRPr="00483F7D">
          <w:t>3</w:t>
        </w:r>
      </w:hyperlink>
      <w:r w:rsidR="00ED6DCC" w:rsidRPr="00483F7D">
        <w:t>.</w:t>
      </w:r>
    </w:p>
    <w:p w14:paraId="21D388F6" w14:textId="77777777" w:rsidR="00E0244C" w:rsidRPr="00483F7D" w:rsidRDefault="007A1FD7">
      <w:pPr>
        <w:pStyle w:val="ManualNumPar10"/>
      </w:pPr>
      <w:r w:rsidRPr="00483F7D">
        <w:t>2.</w:t>
      </w:r>
      <w:r w:rsidRPr="00483F7D">
        <w:tab/>
        <w:t>Με την επιφύλαξη της παραγράφου 1, τα κράτη μέλη μπορούν να προβλέπουν περαιτέρω πράξεις και παραλείψεις που συνιστούν τελωνειακές παραβάσεις.</w:t>
      </w:r>
    </w:p>
    <w:p w14:paraId="4B3A03A2" w14:textId="77777777" w:rsidR="00A773D3" w:rsidRPr="00483F7D" w:rsidRDefault="00A773D3" w:rsidP="00A83AD4">
      <w:pPr>
        <w:pStyle w:val="ManualNumPar10"/>
      </w:pPr>
      <w:r w:rsidRPr="00483F7D">
        <w:t>3.</w:t>
      </w:r>
      <w:r w:rsidRPr="00483F7D">
        <w:tab/>
        <w:t>Τα κράτη μέλη κοινοποιούν στην Επιτροπή, εντός 180 ημερών από την ημερομηνία εφαρμογής του παρόντος άρθρου, τις ισχύουσες εθνικές διατάξεις σύμφωνα με την παράγραφο 2 του παρόντος άρθρου, και της κοινοποιούν χωρίς καθυστέρηση οποιαδήποτε μεταγενέστερη τροποποίηση που επηρεάζει τις εν λόγω διατάξεις.</w:t>
      </w:r>
    </w:p>
    <w:p w14:paraId="0BAA3585" w14:textId="77777777" w:rsidR="00E0244C" w:rsidRPr="00483F7D" w:rsidRDefault="007A1FD7">
      <w:pPr>
        <w:pStyle w:val="Titrearticle"/>
      </w:pPr>
      <w:r w:rsidRPr="00483F7D">
        <w:t>Άρθρο 253</w:t>
      </w:r>
    </w:p>
    <w:p w14:paraId="1BD3F6BA" w14:textId="77777777" w:rsidR="00E0244C" w:rsidRPr="00483F7D" w:rsidRDefault="007A1FD7">
      <w:pPr>
        <w:pStyle w:val="NormalCentered"/>
      </w:pPr>
      <w:r w:rsidRPr="00483F7D">
        <w:rPr>
          <w:b/>
        </w:rPr>
        <w:t>Γενικές απαιτήσεις για κυρώσεις</w:t>
      </w:r>
    </w:p>
    <w:p w14:paraId="2DACF505" w14:textId="77777777" w:rsidR="00E0244C" w:rsidRPr="00483F7D" w:rsidRDefault="007A1FD7" w:rsidP="00CF7E35">
      <w:pPr>
        <w:pStyle w:val="NumPar1"/>
        <w:numPr>
          <w:ilvl w:val="0"/>
          <w:numId w:val="49"/>
        </w:numPr>
      </w:pPr>
      <w:r w:rsidRPr="00483F7D">
        <w:t>Με την επιφύλαξη των κυρώσεων που προβλέπονται στο άρθρο 254, τα κράτη μέλη μπορούν να προβλέπουν πρόσθετες κυρώσεις για τελωνειακές παραβάσεις που αναφέρονται στο άρθρο 252 και όλα τα αναγκαία μέτρα για να εξασφαλίζεται η εφαρμογή των εν λόγω κυρώσεων. Οι εν λόγω κυρώσεις είναι αποτελεσματικές, αναλογικές και αποτρεπτικές.</w:t>
      </w:r>
    </w:p>
    <w:p w14:paraId="5F40842D" w14:textId="77777777" w:rsidR="008336D6" w:rsidRPr="00483F7D" w:rsidRDefault="007A1FD7" w:rsidP="00B62B15">
      <w:pPr>
        <w:pStyle w:val="NumPar1"/>
      </w:pPr>
      <w:r w:rsidRPr="00483F7D">
        <w:t>Τα κράτη μέλη κοινοποιούν στην Επιτροπή, εντός 180 ημερών από την ημερομηνία εφαρμογής του παρόντος άρθρου, τις ισχύουσες εθνικές διατάξεις σύμφωνα με την παράγραφο 1 του παρόντος άρθρου, και της κοινοποιούν χωρίς καθυστέρηση οποιαδήποτε μεταγενέστερη τροποποίηση που επηρεάζει τις εν λόγω διατάξεις.</w:t>
      </w:r>
      <w:bookmarkStart w:id="237" w:name="__akn_article_U1zdml"/>
      <w:bookmarkEnd w:id="237"/>
    </w:p>
    <w:p w14:paraId="491B9780" w14:textId="77777777" w:rsidR="00E0244C" w:rsidRPr="00483F7D" w:rsidRDefault="007A1FD7">
      <w:pPr>
        <w:pStyle w:val="Titrearticle"/>
      </w:pPr>
      <w:r w:rsidRPr="00483F7D">
        <w:t>Άρθρο 254</w:t>
      </w:r>
    </w:p>
    <w:p w14:paraId="428FEB95" w14:textId="77777777" w:rsidR="00E0244C" w:rsidRPr="00483F7D" w:rsidRDefault="0046443C">
      <w:pPr>
        <w:pStyle w:val="NormalCentered"/>
      </w:pPr>
      <w:r w:rsidRPr="00483F7D">
        <w:rPr>
          <w:b/>
        </w:rPr>
        <w:t>Ελάχιστες μη ποινικές κυρώσεις</w:t>
      </w:r>
    </w:p>
    <w:p w14:paraId="264D840E" w14:textId="77777777" w:rsidR="00E0244C" w:rsidRPr="00483F7D" w:rsidRDefault="007A1FD7">
      <w:r w:rsidRPr="00483F7D">
        <w:t xml:space="preserve">Όταν επιβάλλονται κυρώσεις για τελωνειακές παραβάσεις που αναφέρονται στο άρθρο </w:t>
      </w:r>
      <w:hyperlink w:anchor="__akn_article_Sj4a3a" w:tooltip="Article 249: 249">
        <w:r w:rsidRPr="00483F7D">
          <w:rPr>
            <w:rStyle w:val="Hyperlink"/>
          </w:rPr>
          <w:t>252</w:t>
        </w:r>
      </w:hyperlink>
      <w:r w:rsidRPr="00483F7D">
        <w:t>, λαμβάνουν τουλάχιστον μία ή περισσότερες από τις ακόλουθες μορφές, ενώ παράλληλα διασφαλίζεται ότι οι κυρώσεις είναι αποτελεσματικές, αναλογικές και αποτρεπτικές και λαμβάνονται υπόψη οι ελαφρυντικές περιστάσεις που αναφέρονται στο άρθρο 247 και οι επιβαρυντικές περιστάσεις που αναφέρονται στο άρθρο 248:</w:t>
      </w:r>
    </w:p>
    <w:p w14:paraId="06CFC729" w14:textId="293CA9BC" w:rsidR="00E0244C" w:rsidRPr="00483F7D" w:rsidRDefault="00BC60FC" w:rsidP="00BC60FC">
      <w:pPr>
        <w:pStyle w:val="Point1"/>
      </w:pPr>
      <w:r w:rsidRPr="00483F7D">
        <w:t>α)</w:t>
      </w:r>
      <w:r w:rsidRPr="00483F7D">
        <w:tab/>
      </w:r>
      <w:r w:rsidR="007A1FD7" w:rsidRPr="00483F7D">
        <w:t>χρηματική επιβάρυνση εκ μέρους των τελωνειακών αρχών, συμπεριλαμβανομένου, κατά περίπτωση, διακανονισμού που επέχει θέση ποινικής κύρωσης, και υπολογίζεται με βάση τα ακόλουθα ελάχιστα ποσά ή ποσοστά:</w:t>
      </w:r>
    </w:p>
    <w:p w14:paraId="6C181A9A" w14:textId="494552B6" w:rsidR="00E0244C" w:rsidRPr="00483F7D" w:rsidRDefault="00483C4C" w:rsidP="00483C4C">
      <w:pPr>
        <w:pStyle w:val="Point2"/>
      </w:pPr>
      <w:r w:rsidRPr="00483F7D">
        <w:t>i)</w:t>
      </w:r>
      <w:r w:rsidRPr="00483F7D">
        <w:tab/>
        <w:t>όταν η τελωνειακή παράβαση έχει αντίκτυπο στους τελωνειακούς δασμούς και σε λοιπές επιβαρύνσεις, η χρηματική επιβάρυνση υπολογίζεται με βάση το ποσό των διαφυγόντων τελωνειακών δασμών και λοιπών επιβαρύνσεων, ως εξής:</w:t>
      </w:r>
    </w:p>
    <w:p w14:paraId="73C17450" w14:textId="75D4B257" w:rsidR="00E0244C" w:rsidRPr="00483F7D" w:rsidRDefault="00BC60FC" w:rsidP="00BC60FC">
      <w:pPr>
        <w:pStyle w:val="Point3"/>
      </w:pPr>
      <w:r w:rsidRPr="00483F7D">
        <w:t>1)</w:t>
      </w:r>
      <w:r w:rsidRPr="00483F7D">
        <w:tab/>
      </w:r>
      <w:r w:rsidR="007A1FD7" w:rsidRPr="00483F7D">
        <w:t>όταν η τελωνειακή παράβαση διαπράχθηκε από πρόθεση, η χρηματική επιβάρυνση περιλαμβάνει ποσό που κυμαίνεται μεταξύ του 100 % και του 200 % του ποσού των διαφυγόντων τελωνειακών δασμών και λοιπών επιβαρύνσεων·</w:t>
      </w:r>
    </w:p>
    <w:p w14:paraId="5F981054" w14:textId="43752E86" w:rsidR="00E0244C" w:rsidRPr="00483F7D" w:rsidRDefault="00BC60FC" w:rsidP="00BC60FC">
      <w:pPr>
        <w:pStyle w:val="Point3"/>
      </w:pPr>
      <w:r w:rsidRPr="00483F7D">
        <w:t>2)</w:t>
      </w:r>
      <w:r w:rsidRPr="00483F7D">
        <w:tab/>
      </w:r>
      <w:r w:rsidR="00867E53" w:rsidRPr="00483F7D">
        <w:t>στις άλλες περιπτώσεις, η χρηματική επιβάρυνση περιλαμβάνει ποσό που κυμαίνεται μεταξύ του 30 % και του 100 % του ποσού των διαφυγόντων τελωνειακών δασμών και λοιπών επιβαρύνσεων·</w:t>
      </w:r>
    </w:p>
    <w:p w14:paraId="67B75CAD" w14:textId="7BF558DE" w:rsidR="00E0244C" w:rsidRPr="00483F7D" w:rsidRDefault="00483C4C" w:rsidP="00483C4C">
      <w:pPr>
        <w:pStyle w:val="Point2"/>
      </w:pPr>
      <w:r w:rsidRPr="00483F7D">
        <w:t>ii)</w:t>
      </w:r>
      <w:r w:rsidRPr="00483F7D">
        <w:tab/>
        <w:t>όταν δεν είναι δυνατός ο υπολογισμός της χρηματικής επιβάρυνσης σύμφωνα με το σημείο i), η χρηματική επιβάρυνση υπολογίζεται με βάση τη δασμολογητέα αξία των εμπορευμάτων, ως εξής:</w:t>
      </w:r>
    </w:p>
    <w:p w14:paraId="006B43D9" w14:textId="6B4C3B0B" w:rsidR="00E0244C" w:rsidRPr="00483F7D" w:rsidRDefault="00BC60FC" w:rsidP="00BC60FC">
      <w:pPr>
        <w:pStyle w:val="Point3"/>
      </w:pPr>
      <w:r w:rsidRPr="00483F7D">
        <w:t>1)</w:t>
      </w:r>
      <w:r w:rsidRPr="00483F7D">
        <w:tab/>
      </w:r>
      <w:r w:rsidR="00867E53" w:rsidRPr="00483F7D">
        <w:t>όταν η τελωνειακή παράβαση διαπράχθηκε από πρόθεση, η χρηματική επιβάρυνση περιλαμβάνει ποσό που κυμαίνεται μεταξύ του 100 % και του 200 % του ποσού της δασμολογητέας αξίας των εμπορευμάτων·</w:t>
      </w:r>
    </w:p>
    <w:p w14:paraId="2E169DFF" w14:textId="718466C6" w:rsidR="00E0244C" w:rsidRPr="00483F7D" w:rsidRDefault="00BC60FC" w:rsidP="00BC60FC">
      <w:pPr>
        <w:pStyle w:val="Point3"/>
      </w:pPr>
      <w:r w:rsidRPr="00483F7D">
        <w:t>2)</w:t>
      </w:r>
      <w:r w:rsidRPr="00483F7D">
        <w:tab/>
      </w:r>
      <w:r w:rsidR="00867E53" w:rsidRPr="00483F7D">
        <w:t>στις άλλες περιπτώσεις, η χρηματική επιβάρυνση περιλαμβάνει ποσό που κυμαίνεται μεταξύ του 30 % και του 100 % του ποσού της δασμολογητέας αξίας των εμπορευμάτων·</w:t>
      </w:r>
    </w:p>
    <w:p w14:paraId="34B80206" w14:textId="34F6A61B" w:rsidR="00E0244C" w:rsidRPr="00483F7D" w:rsidRDefault="00483C4C" w:rsidP="00483C4C">
      <w:pPr>
        <w:pStyle w:val="Point2"/>
      </w:pPr>
      <w:r w:rsidRPr="00483F7D">
        <w:t>iii)</w:t>
      </w:r>
      <w:r w:rsidRPr="00483F7D">
        <w:tab/>
        <w:t>όταν η τελωνειακή παράβαση δεν αφορά συγκεκριμένα εμπορεύματα, η χρηματική επιβάρυνση περιλαμβάνει ποσό που κυμαίνεται μεταξύ 150 EUR και 150 000 EUR·</w:t>
      </w:r>
    </w:p>
    <w:p w14:paraId="123282FA" w14:textId="1A3E6FEF" w:rsidR="00E0244C" w:rsidRPr="00483F7D" w:rsidRDefault="00BC60FC" w:rsidP="00BC60FC">
      <w:pPr>
        <w:pStyle w:val="Point1"/>
      </w:pPr>
      <w:r w:rsidRPr="00483F7D">
        <w:t>β)</w:t>
      </w:r>
      <w:r w:rsidRPr="00483F7D">
        <w:tab/>
      </w:r>
      <w:r w:rsidR="00302A69" w:rsidRPr="00483F7D">
        <w:t>ανάκληση, αναστολή ή τροποποίηση τελωνειακών αποφάσεων με δικαιούχο το ενδιαφερόμενο πρόσωπο, όταν η εν λόγω απόφαση επηρεάζεται από την παράβαση·</w:t>
      </w:r>
    </w:p>
    <w:p w14:paraId="36D76409" w14:textId="26A0A6BE" w:rsidR="00E0244C" w:rsidRPr="00483F7D" w:rsidRDefault="00BC60FC" w:rsidP="00BC60FC">
      <w:pPr>
        <w:pStyle w:val="Point1"/>
      </w:pPr>
      <w:r w:rsidRPr="00483F7D">
        <w:t>γ)</w:t>
      </w:r>
      <w:r w:rsidRPr="00483F7D">
        <w:tab/>
      </w:r>
      <w:r w:rsidR="00302A69" w:rsidRPr="00483F7D">
        <w:t>δήμευση των εμπορευμάτων και των μεταφορικών μέσων.</w:t>
      </w:r>
    </w:p>
    <w:p w14:paraId="002579BD" w14:textId="77777777" w:rsidR="00E0244C" w:rsidRPr="00483F7D" w:rsidRDefault="00D35ED8" w:rsidP="00D35ED8">
      <w:pPr>
        <w:pStyle w:val="Text1"/>
      </w:pPr>
      <w:r w:rsidRPr="00483F7D">
        <w:t>Οι πράξεις ή οι αποφάσεις σχετικά με τις κυρώσεις που επιβάλλονται για οποιαδήποτε τελωνειακή παράβαση καταγράφονται στον τελωνειακό κόμβο δεδομένων της ΕΕ παράλληλα με το αποτέλεσμα των τελωνειακών ελέγχων.</w:t>
      </w:r>
    </w:p>
    <w:p w14:paraId="38BBF5F7" w14:textId="77777777" w:rsidR="00E0244C" w:rsidRPr="00483F7D" w:rsidRDefault="007A1FD7">
      <w:pPr>
        <w:pStyle w:val="ChapterTitle"/>
      </w:pPr>
      <w:r w:rsidRPr="00483F7D">
        <w:t xml:space="preserve">Τίτλος XV </w:t>
      </w:r>
      <w:r w:rsidRPr="00483F7D">
        <w:br/>
        <w:t>ΤΕΛΙΚΕΣ ΔΙΑΤΑΞΕΙΣ</w:t>
      </w:r>
    </w:p>
    <w:p w14:paraId="1DD7E850" w14:textId="77777777" w:rsidR="00E0244C" w:rsidRPr="00483F7D" w:rsidRDefault="007A1FD7">
      <w:pPr>
        <w:pStyle w:val="ChapterTitle"/>
      </w:pPr>
      <w:bookmarkStart w:id="238" w:name="__akn_chapter_A2mhrl"/>
      <w:bookmarkEnd w:id="238"/>
      <w:r w:rsidRPr="00483F7D">
        <w:t xml:space="preserve">Κεφάλαιο 1 </w:t>
      </w:r>
      <w:r w:rsidRPr="00483F7D">
        <w:br/>
        <w:t>Μέτρηση επιδόσεων της τελωνειακής ένωσης</w:t>
      </w:r>
    </w:p>
    <w:p w14:paraId="7EF81648" w14:textId="77777777" w:rsidR="00E0244C" w:rsidRPr="00483F7D" w:rsidRDefault="007A1FD7">
      <w:pPr>
        <w:pStyle w:val="Titrearticle"/>
      </w:pPr>
      <w:bookmarkStart w:id="239" w:name="__akn_article_9TWzru"/>
      <w:bookmarkEnd w:id="239"/>
      <w:r w:rsidRPr="00483F7D">
        <w:t>Άρθρο 255</w:t>
      </w:r>
    </w:p>
    <w:p w14:paraId="0E7BC477" w14:textId="77777777" w:rsidR="00E0244C" w:rsidRPr="00483F7D" w:rsidRDefault="007A1FD7">
      <w:pPr>
        <w:pStyle w:val="NormalCentered"/>
      </w:pPr>
      <w:r w:rsidRPr="00483F7D">
        <w:rPr>
          <w:b/>
        </w:rPr>
        <w:t>Πεδίο εφαρμογής και στόχοι</w:t>
      </w:r>
    </w:p>
    <w:p w14:paraId="3D2CC9E5" w14:textId="77777777" w:rsidR="00E0244C" w:rsidRPr="00483F7D" w:rsidRDefault="007A1FD7">
      <w:pPr>
        <w:pStyle w:val="ManualNumPar10"/>
      </w:pPr>
      <w:r w:rsidRPr="00483F7D">
        <w:t>1.</w:t>
      </w:r>
      <w:r w:rsidRPr="00483F7D">
        <w:tab/>
        <w:t>Η Επιτροπή εκτιμά και αξιολογεί τις επιδόσεις της τελωνειακής ένωσης τουλάχιστον σε ετήσια βάση. Αυτή η εκτίμηση και αξιολόγηση περιλαμβάνει τη μέτρηση των τελωνειακών δραστηριοτήτων που εκτελούνται από τις τελωνειακές αρχές των κρατών μελών και, όπου είναι δυνατό, των υποψήφιων χωρών σε εθνικό επίπεδο και σε επίπεδο συνοριακών σημείων διέλευσης. Η μέτρηση αυτή μπορεί να βασίζεται σε υφιστάμενα εργαλεία που έχουν αναπτυχθεί από την Επιτροπή και τα κράτη μέλη για τον σκοπό αυτό.</w:t>
      </w:r>
    </w:p>
    <w:p w14:paraId="7A4A26A9" w14:textId="77777777" w:rsidR="00E0244C" w:rsidRPr="00483F7D" w:rsidRDefault="007A1FD7">
      <w:pPr>
        <w:pStyle w:val="ManualNumPar10"/>
      </w:pPr>
      <w:r w:rsidRPr="00483F7D">
        <w:t>2.</w:t>
      </w:r>
      <w:r w:rsidRPr="00483F7D">
        <w:tab/>
        <w:t xml:space="preserve">Η Τελωνειακή Αρχή της ΕΕ επικουρεί την Επιτροπή στο έργο αυτό. Η Τελωνειακή Αρχή της ΕΕ, για να υποστηρίξει την Επιτροπή στην αξιολόγηση των επιδόσεων της τελωνειακής ένωσης, προσδιορίζει τον τρόπο με τον οποίο οι τελωνειακές δραστηριότητες και πράξεις υποστηρίζουν την επίτευξη των στρατηγικών στόχων και προτεραιοτήτων της τελωνειακής ένωσης και συμβάλλουν στην αποστολή των τελωνειακών αρχών που ορίζεται στο άρθρο </w:t>
      </w:r>
      <w:hyperlink w:anchor="__akn_article_lz6gSh" w:tooltip="Article 2: 2">
        <w:r w:rsidRPr="00483F7D">
          <w:rPr>
            <w:rStyle w:val="Hyperlink"/>
          </w:rPr>
          <w:t>2</w:t>
        </w:r>
      </w:hyperlink>
      <w:r w:rsidRPr="00483F7D">
        <w:t>. Ειδικότερα, η Τελωνειακή Αρχή της ΕΕ εντοπίζει βασικές τάσεις, πλεονεκτήματα, αδυναμίες, κενά και δυνητικούς κινδύνους και παρέχει συστάσεις για βελτίωση στην Επιτροπή. </w:t>
      </w:r>
    </w:p>
    <w:p w14:paraId="09BA24BF" w14:textId="77777777" w:rsidR="00E0244C" w:rsidRPr="00483F7D" w:rsidRDefault="007A1FD7">
      <w:pPr>
        <w:pStyle w:val="Titrearticle"/>
      </w:pPr>
      <w:r w:rsidRPr="00483F7D">
        <w:t>Άρθρο 256</w:t>
      </w:r>
    </w:p>
    <w:p w14:paraId="452076E6" w14:textId="77777777" w:rsidR="00E0244C" w:rsidRPr="00483F7D" w:rsidRDefault="007A1FD7">
      <w:pPr>
        <w:pStyle w:val="NormalCentered"/>
      </w:pPr>
      <w:r w:rsidRPr="00483F7D">
        <w:rPr>
          <w:b/>
        </w:rPr>
        <w:t>Ορισμός πλαισίου και ετήσια υποβολή εκθέσεων</w:t>
      </w:r>
    </w:p>
    <w:p w14:paraId="097E2249" w14:textId="77777777" w:rsidR="00E0244C" w:rsidRPr="00483F7D" w:rsidRDefault="007A1FD7">
      <w:pPr>
        <w:pStyle w:val="ManualNumPar10"/>
      </w:pPr>
      <w:r w:rsidRPr="00483F7D">
        <w:t>1.</w:t>
      </w:r>
      <w:r w:rsidRPr="00483F7D">
        <w:tab/>
        <w:t xml:space="preserve">Η Τελωνειακή Αρχή της ΕΕ, σε συνεργασία με τις τελωνειακές αρχές, καταρτίζει εκθέσεις και άλλα είδη εγγράφων για την επίτευξη των στόχων που ορίζονται στο άρθρο </w:t>
      </w:r>
      <w:hyperlink w:anchor="__akn_article_9TWzru" w:tooltip="Article 252: 252">
        <w:r w:rsidRPr="00483F7D">
          <w:rPr>
            <w:rStyle w:val="Hyperlink"/>
          </w:rPr>
          <w:t>255</w:t>
        </w:r>
      </w:hyperlink>
      <w:r w:rsidRPr="00483F7D">
        <w:t>.</w:t>
      </w:r>
    </w:p>
    <w:p w14:paraId="46F5FDFF" w14:textId="77777777" w:rsidR="00E0244C" w:rsidRPr="00483F7D" w:rsidRDefault="007A1FD7">
      <w:pPr>
        <w:pStyle w:val="ManualNumPar10"/>
      </w:pPr>
      <w:r w:rsidRPr="00483F7D">
        <w:t>2.</w:t>
      </w:r>
      <w:r w:rsidRPr="00483F7D">
        <w:tab/>
        <w:t xml:space="preserve">Τα κράτη μέλη παρέχουν στην Τελωνειακή Αρχή της ΕΕ στοιχεία που περιέχουν πληροφορίες τόσο σε εθνικό επίπεδο όσο και σε επίπεδο συνοριακών σημείων διέλευσης. Με βάση τα δεδομένα που λαμβάνει από τις τελωνειακές αρχές, η Τελωνειακή Αρχή της ΕΕ καταρτίζει ετήσια έκθεση, η οποία περιέχει γεγονότα και αριθμητικά στοιχεία σχετικά με το έτος που παρήλθε για κάθε τελωνειακή αρχή σε εθνικό επίπεδο και επίπεδο συνοριακών σημείων διέλευσης. </w:t>
      </w:r>
    </w:p>
    <w:p w14:paraId="661DF14E" w14:textId="77777777" w:rsidR="00E0244C" w:rsidRPr="00483F7D" w:rsidRDefault="007A1FD7">
      <w:pPr>
        <w:pStyle w:val="ManualNumPar10"/>
      </w:pPr>
      <w:r w:rsidRPr="00483F7D">
        <w:t>3.</w:t>
      </w:r>
      <w:r w:rsidRPr="00483F7D">
        <w:tab/>
        <w:t>Η Τελωνειακή Αρχή της ΕΕ διαβιβάζει το σχέδιο ετήσιας έκθεσης στην Επιτροπή προς έγκριση.</w:t>
      </w:r>
    </w:p>
    <w:p w14:paraId="25BF3D17" w14:textId="77777777" w:rsidR="00E0244C" w:rsidRPr="00483F7D" w:rsidRDefault="007A1FD7">
      <w:pPr>
        <w:pStyle w:val="ManualNumPar10"/>
      </w:pPr>
      <w:r w:rsidRPr="00483F7D">
        <w:t>4.</w:t>
      </w:r>
      <w:r w:rsidRPr="00483F7D">
        <w:tab/>
        <w:t>Η Επιτροπή επαληθεύει την έκθεση και στη συνέχεια τη διαβιβάζει στα κράτη μέλη προς ενημέρωση.</w:t>
      </w:r>
    </w:p>
    <w:p w14:paraId="34976995" w14:textId="77777777" w:rsidR="00E0244C" w:rsidRPr="00483F7D" w:rsidRDefault="007A1FD7">
      <w:pPr>
        <w:pStyle w:val="ManualNumPar10"/>
      </w:pPr>
      <w:r w:rsidRPr="00483F7D">
        <w:t>5.</w:t>
      </w:r>
      <w:r w:rsidRPr="00483F7D">
        <w:tab/>
        <w:t xml:space="preserve">Η Επιτροπή ορίζει, με εκτελεστικές πράξεις, τα δεδομένα που αναφέρονται στην παράγραφο 2, καθώς και το επίπεδο εμπιστευτικότητάς τους και τον σχεδιασμό του πλαισίου μέτρησης των επιδόσεων.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t>4</w:t>
        </w:r>
      </w:hyperlink>
      <w:r w:rsidRPr="00483F7D">
        <w:t>.</w:t>
      </w:r>
    </w:p>
    <w:p w14:paraId="2FBA44E2" w14:textId="77777777" w:rsidR="00E0244C" w:rsidRPr="00483F7D" w:rsidRDefault="007A1FD7">
      <w:pPr>
        <w:pStyle w:val="ChapterTitle"/>
      </w:pPr>
      <w:r w:rsidRPr="00483F7D">
        <w:t xml:space="preserve">Κεφάλαιο 2 </w:t>
      </w:r>
      <w:r w:rsidRPr="00483F7D">
        <w:br/>
        <w:t>Παρακολούθηση, αξιολόγηση και υποβολή εκθέσεων</w:t>
      </w:r>
    </w:p>
    <w:p w14:paraId="17F15E15" w14:textId="77777777" w:rsidR="00E0244C" w:rsidRPr="00483F7D" w:rsidRDefault="007A1FD7">
      <w:pPr>
        <w:pStyle w:val="Titrearticle"/>
      </w:pPr>
      <w:r w:rsidRPr="00483F7D">
        <w:t>Άρθρο 257</w:t>
      </w:r>
    </w:p>
    <w:p w14:paraId="21B30626" w14:textId="77777777" w:rsidR="00E0244C" w:rsidRPr="00483F7D" w:rsidRDefault="007A1FD7">
      <w:pPr>
        <w:pStyle w:val="NormalCentered"/>
      </w:pPr>
      <w:r w:rsidRPr="00483F7D">
        <w:rPr>
          <w:b/>
        </w:rPr>
        <w:t>Παρακολούθηση</w:t>
      </w:r>
    </w:p>
    <w:p w14:paraId="6BFFB452" w14:textId="77777777" w:rsidR="00445B37" w:rsidRPr="00483F7D" w:rsidRDefault="007A1FD7" w:rsidP="007F32D7">
      <w:pPr>
        <w:pStyle w:val="ManualNumPar10"/>
        <w:ind w:left="0" w:firstLine="0"/>
      </w:pPr>
      <w:bookmarkStart w:id="240" w:name="_Hlk133932371"/>
      <w:r w:rsidRPr="00483F7D">
        <w:t>Η Επιτροπή παρακολουθεί τακτικά την εφαρμογή του παρόντος κανονισμού, λαμβάνοντας υπόψη, μεταξύ άλλων, πληροφορίες και αναλύσεις σχετικά με τους σκοπούς της παρακολούθησης που παρέχονται ή καθίστανται διαθέσιμες από τις τελωνειακές αρχές και την Τελωνειακή Αρχή της ΕΕ στον τελωνειακό κόμβο δεδομένων της ΕΕ.</w:t>
      </w:r>
      <w:bookmarkEnd w:id="240"/>
    </w:p>
    <w:p w14:paraId="4BB5A9CC" w14:textId="77777777" w:rsidR="00445B37" w:rsidRPr="00483F7D" w:rsidRDefault="00140475" w:rsidP="00140475">
      <w:pPr>
        <w:pStyle w:val="Titrearticle"/>
        <w:tabs>
          <w:tab w:val="center" w:pos="4536"/>
          <w:tab w:val="left" w:pos="7508"/>
        </w:tabs>
        <w:jc w:val="left"/>
      </w:pPr>
      <w:r w:rsidRPr="00483F7D">
        <w:tab/>
        <w:t>Άρθρο 258</w:t>
      </w:r>
      <w:r w:rsidRPr="00483F7D">
        <w:tab/>
      </w:r>
    </w:p>
    <w:p w14:paraId="133FC244" w14:textId="77777777" w:rsidR="00445B37" w:rsidRPr="00483F7D" w:rsidRDefault="00445B37" w:rsidP="0031659F">
      <w:pPr>
        <w:jc w:val="center"/>
      </w:pPr>
      <w:r w:rsidRPr="00483F7D">
        <w:rPr>
          <w:b/>
        </w:rPr>
        <w:t>Αξιολόγηση και υποβολή εκθέσεων</w:t>
      </w:r>
    </w:p>
    <w:p w14:paraId="100C654D" w14:textId="77777777" w:rsidR="00E0244C" w:rsidRPr="00483F7D" w:rsidRDefault="007A1FD7" w:rsidP="00CF7E35">
      <w:pPr>
        <w:pStyle w:val="NumPar1"/>
        <w:numPr>
          <w:ilvl w:val="0"/>
          <w:numId w:val="19"/>
        </w:numPr>
      </w:pPr>
      <w:r w:rsidRPr="00483F7D">
        <w:t>Έως ... [Υπηρεσία Εκδόσεων: να προστεθεί η ημερομηνία = 5 έτη μετά την έναρξη ισχύος] και στη συνέχεια κάθε 5 έτη, η Επιτροπή προβαίνει σε αξιολόγηση του παρόντος κανονισμού σε σχέση με τους στόχους που επιδιώκει και υποβάλλει σχετική έκθεση στο Ευρωπαϊκό Κοινοβούλιο, στο Συμβούλιο και στην Ευρωπαϊκή Οικονομική και Κοινωνική Επιτροπή.</w:t>
      </w:r>
    </w:p>
    <w:p w14:paraId="4696F019" w14:textId="77777777" w:rsidR="00E0244C" w:rsidRPr="00483F7D" w:rsidRDefault="007A1FD7">
      <w:pPr>
        <w:pStyle w:val="Text1"/>
      </w:pPr>
      <w:r w:rsidRPr="00483F7D">
        <w:t>Η εν λόγω έκθεση περιλαμβάνει:</w:t>
      </w:r>
    </w:p>
    <w:p w14:paraId="2785C09B" w14:textId="2DF82910" w:rsidR="00E0244C" w:rsidRPr="00483F7D" w:rsidRDefault="00BC60FC" w:rsidP="00BC60FC">
      <w:pPr>
        <w:pStyle w:val="Point1"/>
      </w:pPr>
      <w:r w:rsidRPr="00483F7D">
        <w:t>α)</w:t>
      </w:r>
      <w:r w:rsidRPr="00483F7D">
        <w:tab/>
      </w:r>
      <w:r w:rsidR="007A1FD7" w:rsidRPr="00483F7D">
        <w:t>επισκόπηση της προόδου που έχουν σημειώσει τα κράτη μέλη όσον αφορά την εφαρμογή του παρόντος κανονισμού·</w:t>
      </w:r>
    </w:p>
    <w:p w14:paraId="513AC5C3" w14:textId="0F68A590" w:rsidR="00E0244C" w:rsidRPr="00483F7D" w:rsidRDefault="00BC60FC" w:rsidP="00BC60FC">
      <w:pPr>
        <w:pStyle w:val="Point1"/>
      </w:pPr>
      <w:r w:rsidRPr="00483F7D">
        <w:t>β)</w:t>
      </w:r>
      <w:r w:rsidRPr="00483F7D">
        <w:tab/>
      </w:r>
      <w:r w:rsidR="007A1FD7" w:rsidRPr="00483F7D">
        <w:t xml:space="preserve">αξιολόγηση της αποτελεσματικότητας, της αποδοτικότητας, της συνοχής, της συνάφειας και της ενωσιακής προστιθέμενης αξίας του παρόντος κανονισμού, ιδίως όσον αφορά τους στόχους που αναφέρονται στο άρθρο </w:t>
      </w:r>
      <w:hyperlink w:anchor="__akn_article_lz6gSh" w:tooltip="Article 2: 2">
        <w:r w:rsidR="007A1FD7" w:rsidRPr="00483F7D">
          <w:t>2</w:t>
        </w:r>
      </w:hyperlink>
      <w:r w:rsidR="007A1FD7" w:rsidRPr="00483F7D">
        <w:t>.</w:t>
      </w:r>
    </w:p>
    <w:p w14:paraId="56C1A04E" w14:textId="77777777" w:rsidR="00445B37" w:rsidRPr="00483F7D" w:rsidRDefault="007A1FD7" w:rsidP="00B62B15">
      <w:pPr>
        <w:pStyle w:val="NumPar1"/>
      </w:pPr>
      <w:r w:rsidRPr="00483F7D">
        <w:t xml:space="preserve">Κατόπιν αιτήματος της Επιτροπής και σύμφωνα με το κεφάλαιο </w:t>
      </w:r>
      <w:hyperlink w:anchor="__akn_chapter_A2mhrl" w:tooltip="This title Chapter 1: 1">
        <w:r w:rsidRPr="00483F7D">
          <w:rPr>
            <w:rStyle w:val="Hyperlink"/>
          </w:rPr>
          <w:t>1</w:t>
        </w:r>
      </w:hyperlink>
      <w:r w:rsidRPr="00483F7D">
        <w:t xml:space="preserve"> του παρόντος τίτλου, τα κράτη μέλη παρέχουν τις πληροφορίες σχετικά με την εφαρμογή του παρόντος κανονισμού που είναι αναγκαίες για την εκπόνηση της έκθεσης η οποία αναφέρεται στην παράγραφο 2.</w:t>
      </w:r>
    </w:p>
    <w:p w14:paraId="5D2FC1B3" w14:textId="77777777" w:rsidR="00E0244C" w:rsidRPr="00483F7D" w:rsidRDefault="007A1FD7">
      <w:pPr>
        <w:pStyle w:val="ChapterTitle"/>
      </w:pPr>
      <w:r w:rsidRPr="00483F7D">
        <w:t xml:space="preserve">Κεφάλαιο 3 </w:t>
      </w:r>
      <w:r w:rsidRPr="00483F7D">
        <w:br/>
        <w:t>Μετατροπή νομισμάτων και προθεσμίες</w:t>
      </w:r>
    </w:p>
    <w:p w14:paraId="0C26E96A" w14:textId="77777777" w:rsidR="00E0244C" w:rsidRPr="00483F7D" w:rsidRDefault="007A1FD7">
      <w:pPr>
        <w:pStyle w:val="Titrearticle"/>
      </w:pPr>
      <w:r w:rsidRPr="00483F7D">
        <w:t>Άρθρο 259</w:t>
      </w:r>
    </w:p>
    <w:p w14:paraId="4BD544E0" w14:textId="77777777" w:rsidR="00E0244C" w:rsidRPr="00483F7D" w:rsidRDefault="007A1FD7">
      <w:pPr>
        <w:pStyle w:val="NormalCentered"/>
      </w:pPr>
      <w:r w:rsidRPr="00483F7D">
        <w:rPr>
          <w:b/>
        </w:rPr>
        <w:t>Μετατροπή νομισμάτων</w:t>
      </w:r>
    </w:p>
    <w:p w14:paraId="4FC01626" w14:textId="77777777" w:rsidR="00E0244C" w:rsidRPr="00483F7D" w:rsidRDefault="007A1FD7">
      <w:pPr>
        <w:pStyle w:val="ManualNumPar10"/>
      </w:pPr>
      <w:r w:rsidRPr="00483F7D">
        <w:t>1.</w:t>
      </w:r>
      <w:r w:rsidRPr="00483F7D">
        <w:tab/>
        <w:t>Οι αρμόδιες αρχές δημοσιεύουν και/ή καθιστούν διαθέσιμη διαδικτυακά τη συναλλαγματική ισοτιμία που εφαρμόζεται όταν η μετατροπή νομισμάτων είναι αναγκαία για έναν από τους ακόλουθους λόγους:</w:t>
      </w:r>
    </w:p>
    <w:p w14:paraId="171E824E" w14:textId="7D6EDD9B" w:rsidR="00E0244C" w:rsidRPr="00483F7D" w:rsidRDefault="00BC60FC" w:rsidP="00BC60FC">
      <w:pPr>
        <w:pStyle w:val="Point1"/>
      </w:pPr>
      <w:r w:rsidRPr="00483F7D">
        <w:t>α)</w:t>
      </w:r>
      <w:r w:rsidRPr="00483F7D">
        <w:tab/>
      </w:r>
      <w:r w:rsidR="007A1FD7" w:rsidRPr="00483F7D">
        <w:t>επειδή οι παράγοντες που χρησιμοποιούνται για τον καθορισμό της δασμολογητέας αξίας των εμπορευμάτων εκφράζονται σε νόμισμα άλλο από αυτό του κράτους μέλους στο οποίο καθορίζεται η δασμολογητέα αξία·</w:t>
      </w:r>
    </w:p>
    <w:p w14:paraId="08799D4A" w14:textId="37EB9E6C" w:rsidR="00E0244C" w:rsidRPr="00483F7D" w:rsidRDefault="00BC60FC" w:rsidP="00BC60FC">
      <w:pPr>
        <w:pStyle w:val="Point1"/>
      </w:pPr>
      <w:r w:rsidRPr="00483F7D">
        <w:t>β)</w:t>
      </w:r>
      <w:r w:rsidRPr="00483F7D">
        <w:tab/>
      </w:r>
      <w:r w:rsidR="007A1FD7" w:rsidRPr="00483F7D">
        <w:t>επειδή απαιτείται η ισοτιμία του ευρώ σε εθνικό νόμισμα για τον προσδιορισμό της δασμολογικής κατάταξης των εμπορευμάτων και του ποσού του εισαγωγικού ή εξαγωγικού δασμού, συμπεριλαμβανομένων των κατώτατων ορίων αξίας στο κοινό δασμολόγιο.</w:t>
      </w:r>
    </w:p>
    <w:p w14:paraId="3C93E724" w14:textId="77777777" w:rsidR="00E0244C" w:rsidRPr="00483F7D" w:rsidRDefault="007A1FD7">
      <w:pPr>
        <w:pStyle w:val="ManualNumPar10"/>
      </w:pPr>
      <w:r w:rsidRPr="00483F7D">
        <w:t>2.</w:t>
      </w:r>
      <w:r w:rsidRPr="00483F7D">
        <w:tab/>
        <w:t>Εφόσον η μετατροπή του νομίσματος είναι αναγκαία για λόγους άλλους από αυτούς που αναφέρονται στην παράγραφο 1, η ισοτιμία του ευρώ σε εθνικό νόμισμα που εφαρμόζεται στο πλαίσιο της τελωνειακής νομοθεσίας καθορίζεται τουλάχιστον μία φορά ετησίως.</w:t>
      </w:r>
    </w:p>
    <w:p w14:paraId="11171FF4" w14:textId="77777777" w:rsidR="00E0244C" w:rsidRPr="00483F7D" w:rsidRDefault="007A1FD7">
      <w:pPr>
        <w:pStyle w:val="ManualNumPar10"/>
      </w:pPr>
      <w:r w:rsidRPr="00483F7D">
        <w:t>3.</w:t>
      </w:r>
      <w:r w:rsidRPr="00483F7D">
        <w:tab/>
        <w:t xml:space="preserve">Η Επιτροπή ορίζει, με εκτελεστικές πράξεις, κανόνες σχετικά με τη μετατροπή νομισμάτων για τους σκοπούς που αναφέρονται στις παραγράφους 1 και 2. Οι εν λόγω εκτελεστικές πράξεις εκδίδονται σύμφωνα με τη διαδικασία εξέτασης του άρθρου 262 παράγραφος </w:t>
      </w:r>
      <w:hyperlink w:anchor="_bill__akn_article_OheJbS_RcHcve" w:tooltip="Article 258(4): (4)">
        <w:r w:rsidRPr="00483F7D">
          <w:t>4</w:t>
        </w:r>
      </w:hyperlink>
      <w:r w:rsidRPr="00483F7D">
        <w:t>.</w:t>
      </w:r>
    </w:p>
    <w:p w14:paraId="3F319F3E" w14:textId="77777777" w:rsidR="00E0244C" w:rsidRPr="00483F7D" w:rsidRDefault="007A1FD7">
      <w:pPr>
        <w:pStyle w:val="Titrearticle"/>
      </w:pPr>
      <w:r w:rsidRPr="00483F7D">
        <w:t>Άρθρο 260</w:t>
      </w:r>
    </w:p>
    <w:p w14:paraId="6DB6F1ED" w14:textId="77777777" w:rsidR="00E0244C" w:rsidRPr="00483F7D" w:rsidRDefault="007A1FD7">
      <w:pPr>
        <w:pStyle w:val="NormalCentered"/>
      </w:pPr>
      <w:r w:rsidRPr="00483F7D">
        <w:rPr>
          <w:b/>
        </w:rPr>
        <w:t>Προθεσμίες, ημερομηνίες και διορίες</w:t>
      </w:r>
    </w:p>
    <w:p w14:paraId="1E6BFA39" w14:textId="77777777" w:rsidR="00E0244C" w:rsidRPr="00483F7D" w:rsidRDefault="007A1FD7">
      <w:pPr>
        <w:pStyle w:val="ManualNumPar10"/>
      </w:pPr>
      <w:r w:rsidRPr="00483F7D">
        <w:t>1.</w:t>
      </w:r>
      <w:r w:rsidRPr="00483F7D">
        <w:tab/>
        <w:t>Εκτός αν ορίζεται άλλως, όταν στο πλαίσιο της τελωνειακής νομοθεσίας καθορίζεται προθεσμία, ημερομηνία ή διορία, η εν λόγω προθεσμία δεν παρατείνεται ούτε μειώνεται και η εν λόγω ημερομηνία ή διορία δεν μετατίθεται ούτε επισπεύδεται.</w:t>
      </w:r>
    </w:p>
    <w:p w14:paraId="2F6B308E" w14:textId="77777777" w:rsidR="00E0244C" w:rsidRPr="00483F7D" w:rsidRDefault="007A1FD7">
      <w:pPr>
        <w:pStyle w:val="ManualNumPar10"/>
      </w:pPr>
      <w:r w:rsidRPr="00483F7D">
        <w:t>2.</w:t>
      </w:r>
      <w:r w:rsidRPr="00483F7D">
        <w:tab/>
        <w:t>Εφαρμόζονται οι κανόνες που ισχύουν για τις προθεσμίες, ημερομηνίες και διορίες που καθορίζονται στον κανονισμό (ΕΟΚ, Ευρατόμ) αριθ. 1182/71 του Συμβουλίου</w:t>
      </w:r>
      <w:r w:rsidRPr="00483F7D">
        <w:rPr>
          <w:rStyle w:val="FootnoteReference"/>
        </w:rPr>
        <w:footnoteReference w:id="82"/>
      </w:r>
      <w:r w:rsidRPr="00483F7D">
        <w:t>, εκτός αν ορίζεται άλλως στην τελωνειακή νομοθεσία.</w:t>
      </w:r>
    </w:p>
    <w:p w14:paraId="3E3274E1" w14:textId="77777777" w:rsidR="00E0244C" w:rsidRPr="00483F7D" w:rsidRDefault="007A1FD7">
      <w:pPr>
        <w:pStyle w:val="ChapterTitle"/>
      </w:pPr>
      <w:r w:rsidRPr="00483F7D">
        <w:t xml:space="preserve">Κεφάλαιο 4 </w:t>
      </w:r>
      <w:r w:rsidRPr="00483F7D">
        <w:br/>
        <w:t>Εξουσιοδότηση και διαδικασία επιτροπής</w:t>
      </w:r>
    </w:p>
    <w:p w14:paraId="30BAA58B" w14:textId="77777777" w:rsidR="00E0244C" w:rsidRPr="00483F7D" w:rsidRDefault="007A1FD7">
      <w:pPr>
        <w:pStyle w:val="Titrearticle"/>
      </w:pPr>
      <w:bookmarkStart w:id="241" w:name="__akn_article_36z6jR"/>
      <w:bookmarkEnd w:id="241"/>
      <w:r w:rsidRPr="00483F7D">
        <w:t>Άρθρο 261</w:t>
      </w:r>
    </w:p>
    <w:p w14:paraId="036D9C1E" w14:textId="77777777" w:rsidR="00E0244C" w:rsidRPr="00483F7D" w:rsidRDefault="007A1FD7">
      <w:pPr>
        <w:pStyle w:val="NormalCentered"/>
      </w:pPr>
      <w:r w:rsidRPr="00483F7D">
        <w:rPr>
          <w:b/>
        </w:rPr>
        <w:t>Άσκηση της εξουσιοδότησης</w:t>
      </w:r>
    </w:p>
    <w:p w14:paraId="1F0ADD7A" w14:textId="77777777" w:rsidR="00E0244C" w:rsidRPr="00483F7D" w:rsidRDefault="007A1FD7">
      <w:pPr>
        <w:pStyle w:val="ManualNumPar10"/>
      </w:pPr>
      <w:r w:rsidRPr="00483F7D">
        <w:t>1.</w:t>
      </w:r>
      <w:r w:rsidRPr="00483F7D">
        <w:tab/>
        <w:t>Ανατίθεται στην Επιτροπή η εξουσία να εκδίδει κατ’ εξουσιοδότηση πράξεις υπό τους όρους του παρόντος άρθρου.</w:t>
      </w:r>
    </w:p>
    <w:p w14:paraId="7EDF5C18" w14:textId="77777777" w:rsidR="00891F08" w:rsidRPr="00483F7D" w:rsidRDefault="007A1FD7" w:rsidP="003B5CE3">
      <w:pPr>
        <w:pStyle w:val="ManualNumPar10"/>
      </w:pPr>
      <w:bookmarkStart w:id="242" w:name="__akn_article_36z6jR_Q2Sw5V"/>
      <w:bookmarkEnd w:id="242"/>
      <w:r w:rsidRPr="00483F7D">
        <w:t>2.</w:t>
      </w:r>
      <w:r w:rsidRPr="00483F7D">
        <w:tab/>
        <w:t xml:space="preserve">Ανατίθεται στην Επιτροπή η εξουσία έκδοσης κατ’ εξουσιοδότηση πράξεων που αναφέρεται στα άρθρα 4, 6, 7, 10, 14, 19, 23, 25, 27, 28, 29, 31, 32, 56, 58, 59, 60, 63, 65, 66, 71, 72, 73, 77, 80, 81, 83, 85, 86, 88, 90, 91, 95, 97, 99, 101, 102, 105, 107, 108, 109, 111, 115, 116, 119, 123, 132, 148, 150, 156, 167, 168, 169, 170, 173, 175, 176, 179, 181, 186, 193, 199, 242, 244 και 265. </w:t>
      </w:r>
    </w:p>
    <w:p w14:paraId="59DD0F8F" w14:textId="77777777" w:rsidR="00E0244C" w:rsidRPr="00483F7D" w:rsidRDefault="00891F08" w:rsidP="003B5CE3">
      <w:pPr>
        <w:pStyle w:val="ManualNumPar10"/>
      </w:pPr>
      <w:r w:rsidRPr="00483F7D">
        <w:t>3.</w:t>
      </w:r>
      <w:r w:rsidRPr="00483F7D">
        <w:tab/>
        <w:t xml:space="preserve">Η εξουσιοδότηση που αναφέρεται στα άρθρα 4, 6, 7, 10, 14, 19, 23, 25, 27, 28, 29, 31, 32, 56, 58, 59, 60, 63, 65, 66, 71, 72, 73, 77, 80, 81, 83, 85, 86, 88, 90, 91, 95, 97, 99, 101, 102, 105, 107, 108, 109, 111, 115, 116, 119, 123, 132, 148, 150, 156, 167, 168, 169, 170, 173, 175, 176, 179, 181, 186, 193, 199, 242, 244 και 265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επομένη της δημοσίευσής της στην </w:t>
      </w:r>
      <w:r w:rsidRPr="00483F7D">
        <w:rPr>
          <w:i/>
        </w:rPr>
        <w:t>Επίσημη Εφημερίδα της Ευρωπαϊκής Ένωσης</w:t>
      </w:r>
      <w:r w:rsidRPr="00483F7D">
        <w:t xml:space="preserve"> ή σε μεταγενέστερη ημερομηνία η οποία προσδιορίζεται στην εν λόγω απόφαση. Δεν θίγει το κύρος των κατ’ εξουσιοδότηση πράξεων που ισχύουν ήδη.</w:t>
      </w:r>
    </w:p>
    <w:p w14:paraId="10AAD11F" w14:textId="77777777" w:rsidR="00E0244C" w:rsidRPr="00483F7D" w:rsidRDefault="00891F08">
      <w:pPr>
        <w:pStyle w:val="ManualNumPar10"/>
      </w:pPr>
      <w:r w:rsidRPr="00483F7D">
        <w:t>4.</w:t>
      </w:r>
      <w:r w:rsidRPr="00483F7D">
        <w:tab/>
        <w:t>Πριν εκδώσει κατ’ εξουσιοδότηση πράξη, η Επιτροπή διεξάγει διαβουλεύσεις με εμπειρογνώμονες που ορίζουν τα κράτη μέλη σύμφωνα με τις αρχές της διοργανικής συμφωνίας της 13ης Απριλίου 2016 για τη βελτίωση του νομοθετικού έργου.</w:t>
      </w:r>
    </w:p>
    <w:p w14:paraId="04254285" w14:textId="77777777" w:rsidR="00E0244C" w:rsidRPr="00483F7D" w:rsidRDefault="00891F08">
      <w:pPr>
        <w:pStyle w:val="ManualNumPar10"/>
      </w:pPr>
      <w:r w:rsidRPr="00483F7D">
        <w:t>5.</w:t>
      </w:r>
      <w:r w:rsidRPr="00483F7D">
        <w:tab/>
        <w:t>Μόλις εκδώσει κατ’ εξουσιοδότηση πράξη, η Επιτροπή την κοινοποιεί ταυτόχρονα στο Ευρωπαϊκό Κοινοβούλιο και το Συμβούλιο.</w:t>
      </w:r>
    </w:p>
    <w:p w14:paraId="24759AE5" w14:textId="77777777" w:rsidR="00E0244C" w:rsidRPr="00483F7D" w:rsidRDefault="00891F08">
      <w:pPr>
        <w:pStyle w:val="ManualNumPar10"/>
      </w:pPr>
      <w:r w:rsidRPr="00483F7D">
        <w:t>6.</w:t>
      </w:r>
      <w:r w:rsidRPr="00483F7D">
        <w:tab/>
        <w:t>Κατ’ εξουσιοδότηση πράξη που εκδίδεται δυνάμει των άρθρων 4, 6, 7, 10, 14, 19, 23, 25, 27, 28, 29, 31, 32, 56, 58, 59, 60, 63, 65, 66, 71, 72, 73, 77, 80, 81, 83, 85, 86, 88, 90, 91, 95, 97, 99, 101, 102, 105, 107, 108, 109, 111, 115, 116, 119, 123, 132, 148, 150, 156, 167, 168, 169, 170, 173, 175, 176, 179, 181, 186, 193, 199, 242, 244 ή 265 τίθεται σε ισχύ μόνον αν δεν έχει διατυπωθεί αντίρρηση από το Ευρωπαϊκό Κοινοβούλιο ή το Συμβούλιο εντός περιόδου δύο μηνών από την κοινοποίηση της εν λόγω πράξης στο Ευρωπαϊκό Κοινοβούλιο και στο Συμβούλιο ή αν, πριν λήξει αυτή η περίοδος, το Ευρωπαϊκό Κοινοβούλιο και το Συμβούλιο ενημερώσουν αμφότερα την Επιτροπή ότι δεν θα προβάλουν αντιρρήσεις. Η περίοδος αυτή παρατείνεται κατά δύο μήνες κατόπιν πρωτοβουλίας του Ευρωπαϊκού Κοινοβουλίου ή του Συμβουλίου.</w:t>
      </w:r>
    </w:p>
    <w:p w14:paraId="4EC40DF8" w14:textId="77777777" w:rsidR="00E0244C" w:rsidRPr="00483F7D" w:rsidRDefault="007A1FD7">
      <w:pPr>
        <w:pStyle w:val="Titrearticle"/>
      </w:pPr>
      <w:bookmarkStart w:id="243" w:name="_bill__akn_article_OheJbS"/>
      <w:bookmarkStart w:id="244" w:name="_Hlk133931716"/>
      <w:bookmarkEnd w:id="243"/>
      <w:r w:rsidRPr="00483F7D">
        <w:t>Άρθρο 262</w:t>
      </w:r>
    </w:p>
    <w:p w14:paraId="5258C792" w14:textId="77777777" w:rsidR="00E0244C" w:rsidRPr="00483F7D" w:rsidRDefault="007A1FD7">
      <w:pPr>
        <w:pStyle w:val="NormalCentered"/>
      </w:pPr>
      <w:r w:rsidRPr="00483F7D">
        <w:rPr>
          <w:b/>
        </w:rPr>
        <w:t>Διαδικασία επιτροπής</w:t>
      </w:r>
    </w:p>
    <w:p w14:paraId="32ED1C22" w14:textId="77777777" w:rsidR="00E0244C" w:rsidRPr="00483F7D" w:rsidRDefault="007A1FD7">
      <w:pPr>
        <w:pStyle w:val="ManualNumPar10"/>
      </w:pPr>
      <w:bookmarkStart w:id="245" w:name="_bill__akn_article_OheJbS_Vi7QNL"/>
      <w:bookmarkEnd w:id="245"/>
      <w:r w:rsidRPr="00483F7D">
        <w:t>1.</w:t>
      </w:r>
      <w:r w:rsidRPr="00483F7D">
        <w:tab/>
        <w:t>Η Επιτροπή επικουρείται από την επιτροπή τελωνειακού κώδικα. Η εν λόγω επιτροπή είναι επιτροπή κατά την έννοια του κανονισμού (ΕΕ) αριθ. 182/2011.</w:t>
      </w:r>
    </w:p>
    <w:p w14:paraId="4D5D1400" w14:textId="77777777" w:rsidR="00E0244C" w:rsidRPr="00483F7D" w:rsidRDefault="007A1FD7">
      <w:pPr>
        <w:pStyle w:val="ManualNumPar10"/>
      </w:pPr>
      <w:bookmarkStart w:id="246" w:name="_bill__akn_article_OheJbS_vuW2uu"/>
      <w:bookmarkEnd w:id="246"/>
      <w:r w:rsidRPr="00483F7D">
        <w:t>2.</w:t>
      </w:r>
      <w:r w:rsidRPr="00483F7D">
        <w:tab/>
        <w:t>Όταν γίνεται παραπομπή στην παρούσα παράγραφο, εφαρμόζεται το άρθρο 4 του κανονισμού (ΕΕ) αριθ. 182/2011.</w:t>
      </w:r>
    </w:p>
    <w:p w14:paraId="06D52111" w14:textId="77777777" w:rsidR="00E0244C" w:rsidRPr="00483F7D" w:rsidRDefault="007A1FD7">
      <w:pPr>
        <w:pStyle w:val="ManualNumPar10"/>
      </w:pPr>
      <w:bookmarkStart w:id="247" w:name="_bill__akn_article_OheJbS_wUh6VE"/>
      <w:bookmarkEnd w:id="247"/>
      <w:r w:rsidRPr="00483F7D">
        <w:t>3.</w:t>
      </w:r>
      <w:r w:rsidRPr="00483F7D">
        <w:tab/>
        <w:t>Όταν γίνεται παραπομπή στην παρούσα παράγραφο, εφαρμόζεται το άρθρο 8 του κανονισμού (ΕΕ) αριθ. 182/2011 σε συνδυασμό με το άρθρο 4 του εν λόγω κανονισμού.</w:t>
      </w:r>
    </w:p>
    <w:p w14:paraId="39622D38" w14:textId="77777777" w:rsidR="00E0244C" w:rsidRPr="00483F7D" w:rsidRDefault="007A1FD7">
      <w:pPr>
        <w:pStyle w:val="ManualNumPar10"/>
      </w:pPr>
      <w:bookmarkStart w:id="248" w:name="_bill__akn_article_OheJbS_RcHcve"/>
      <w:bookmarkEnd w:id="248"/>
      <w:r w:rsidRPr="00483F7D">
        <w:t>4.</w:t>
      </w:r>
      <w:r w:rsidRPr="00483F7D">
        <w:tab/>
        <w:t>Όταν γίνεται παραπομπή στην παρούσα παράγραφο, εφαρμόζεται το άρθρο 5 του κανονισμού (ΕΕ) αριθ. 182/2011.</w:t>
      </w:r>
    </w:p>
    <w:p w14:paraId="066D7EFC" w14:textId="77777777" w:rsidR="00E0244C" w:rsidRPr="00483F7D" w:rsidRDefault="007A1FD7">
      <w:pPr>
        <w:pStyle w:val="ManualNumPar10"/>
      </w:pPr>
      <w:bookmarkStart w:id="249" w:name="_bill__akn_article_OheJbS_B2A1Cf"/>
      <w:bookmarkEnd w:id="249"/>
      <w:r w:rsidRPr="00483F7D">
        <w:t>5.</w:t>
      </w:r>
      <w:r w:rsidRPr="00483F7D">
        <w:tab/>
        <w:t>Όταν γίνεται παραπομπή στην παρούσα παράγραφο, εφαρμόζεται το άρθρο 8 του κανονισμού (ΕΕ) αριθ. 182/2011 σε συνδυασμό με το άρθρο 5 του εν λόγω κανονισμού.</w:t>
      </w:r>
    </w:p>
    <w:p w14:paraId="31AD4185" w14:textId="77777777" w:rsidR="00E0244C" w:rsidRPr="00483F7D" w:rsidRDefault="007A1FD7">
      <w:pPr>
        <w:pStyle w:val="ManualNumPar10"/>
      </w:pPr>
      <w:bookmarkStart w:id="250" w:name="_bill__akn_article_OheJbS-par1"/>
      <w:bookmarkEnd w:id="250"/>
      <w:r w:rsidRPr="00483F7D">
        <w:t>6.</w:t>
      </w:r>
      <w:r w:rsidRPr="00483F7D">
        <w:tab/>
        <w:t>Όταν η γνώμη της επιτροπής λαμβάνεται με γραπτή διαδικασία και γίνεται παραπομπή στην παρούσα παράγραφο, η εν λόγω διαδικασία περατώνεται χωρίς αποτέλεσμα μόνον όταν, εντός της προθεσμίας υποβολής της γνώμης, η προεδρία της επιτροπής λάβει σχετική απόφαση.</w:t>
      </w:r>
    </w:p>
    <w:bookmarkEnd w:id="244"/>
    <w:p w14:paraId="5EB75917" w14:textId="77777777" w:rsidR="00E0244C" w:rsidRPr="00483F7D" w:rsidRDefault="007A1FD7">
      <w:pPr>
        <w:pStyle w:val="ChapterTitle"/>
      </w:pPr>
      <w:r w:rsidRPr="00483F7D">
        <w:t xml:space="preserve">Κεφάλαιο 5 </w:t>
      </w:r>
      <w:r w:rsidRPr="00483F7D">
        <w:br/>
        <w:t>Τελικές διατάξεις</w:t>
      </w:r>
    </w:p>
    <w:p w14:paraId="3AE1B606" w14:textId="77777777" w:rsidR="00E0244C" w:rsidRPr="00483F7D" w:rsidRDefault="007A1FD7">
      <w:pPr>
        <w:pStyle w:val="Titrearticle"/>
      </w:pPr>
      <w:r w:rsidRPr="00483F7D">
        <w:t>Άρθρο 263</w:t>
      </w:r>
    </w:p>
    <w:p w14:paraId="0010E8E3" w14:textId="77777777" w:rsidR="00E0244C" w:rsidRPr="00483F7D" w:rsidRDefault="007A1FD7">
      <w:pPr>
        <w:pStyle w:val="NormalCentered"/>
      </w:pPr>
      <w:r w:rsidRPr="00483F7D">
        <w:rPr>
          <w:b/>
        </w:rPr>
        <w:t xml:space="preserve">Κατάργηση </w:t>
      </w:r>
    </w:p>
    <w:p w14:paraId="23C304BD" w14:textId="77777777" w:rsidR="00E0244C" w:rsidRPr="00483F7D" w:rsidRDefault="007A1FD7" w:rsidP="00CF7E35">
      <w:pPr>
        <w:pStyle w:val="NumPar1"/>
        <w:numPr>
          <w:ilvl w:val="0"/>
          <w:numId w:val="23"/>
        </w:numPr>
      </w:pPr>
      <w:r w:rsidRPr="00483F7D">
        <w:t>Ο κανονισμός (ΕΕ) αριθ. 952/2013 καταργείται.</w:t>
      </w:r>
    </w:p>
    <w:p w14:paraId="0B9989F3" w14:textId="77777777" w:rsidR="00E0244C" w:rsidRPr="00483F7D" w:rsidRDefault="007A1FD7" w:rsidP="00B62B15">
      <w:pPr>
        <w:pStyle w:val="NumPar1"/>
      </w:pPr>
      <w:r w:rsidRPr="00483F7D">
        <w:t>Οι παραπομπές στον κανονισμό (ΕΕ) αριθ. 952/2013 θεωρούνται ως παραπομπές στον παρόντα κανονισμό και διαβάζονται σύμφωνα με τον πίνακα αντιστοιχίας του παραρτήματος.</w:t>
      </w:r>
    </w:p>
    <w:p w14:paraId="1C4DF4BD" w14:textId="77777777" w:rsidR="000F60D2" w:rsidRPr="00483F7D" w:rsidRDefault="000F60D2" w:rsidP="00B62B15">
      <w:pPr>
        <w:pStyle w:val="NumPar1"/>
      </w:pPr>
      <w:r w:rsidRPr="00483F7D">
        <w:t xml:space="preserve">Από την ημερομηνία που ορίζεται στο άρθρο 265 παράγραφος 4, οι παραπομπές στην τελωνειακή διασάφηση θεωρείται ότι καλύπτουν την παροχή των δεδομένων που είναι αναγκαία για την υπαγωγή εμπορευμάτων σε τελωνειακό καθεστώς με τη χρήση των δυνατοτήτων του τελωνειακού κόμβου δεδομένων της ΕΕ. </w:t>
      </w:r>
    </w:p>
    <w:p w14:paraId="75B2B8BE" w14:textId="77777777" w:rsidR="00ED287B" w:rsidRPr="00483F7D" w:rsidRDefault="000F60D2" w:rsidP="00B62B15">
      <w:pPr>
        <w:pStyle w:val="NumPar1"/>
      </w:pPr>
      <w:r w:rsidRPr="00483F7D">
        <w:t>Από την ημερομηνία που ορίζεται στο άρθρο 265 παράγραφος 4, οι παραπομπές στον διασαφιστή θεωρείται ότι καλύπτουν τον μεταφορέα, τον εισαγωγέα, τον εξαγωγέα ή τον δικαιούχο του καθεστώτος διαμετακόμισης, ανάλογα με την περίπτωση.</w:t>
      </w:r>
    </w:p>
    <w:p w14:paraId="6466592B" w14:textId="77777777" w:rsidR="00E0244C" w:rsidRPr="00483F7D" w:rsidRDefault="007A1FD7">
      <w:pPr>
        <w:pStyle w:val="Titrearticle"/>
      </w:pPr>
      <w:r w:rsidRPr="00483F7D">
        <w:t>Άρθρο 264</w:t>
      </w:r>
    </w:p>
    <w:p w14:paraId="4577A21C" w14:textId="77777777" w:rsidR="00E0244C" w:rsidRPr="00483F7D" w:rsidRDefault="007A1FD7">
      <w:pPr>
        <w:pStyle w:val="NormalCentered"/>
      </w:pPr>
      <w:r w:rsidRPr="00483F7D">
        <w:rPr>
          <w:b/>
        </w:rPr>
        <w:t>Έναρξη ισχύος</w:t>
      </w:r>
    </w:p>
    <w:p w14:paraId="1992DDB2" w14:textId="77777777" w:rsidR="00E0244C" w:rsidRPr="00483F7D" w:rsidRDefault="007A1FD7">
      <w:r w:rsidRPr="00483F7D">
        <w:t xml:space="preserve">Ο παρών κανονισμός αρχίζει να ισχύει την εικοστή ημέρα από τη δημοσίευσή του στην </w:t>
      </w:r>
      <w:r w:rsidRPr="00483F7D">
        <w:rPr>
          <w:i/>
        </w:rPr>
        <w:t>Επίσημη Εφημερίδα της Ευρωπαϊκής Ένωσης</w:t>
      </w:r>
      <w:r w:rsidRPr="00483F7D">
        <w:t>. </w:t>
      </w:r>
    </w:p>
    <w:p w14:paraId="324FC11E" w14:textId="77777777" w:rsidR="00E0244C" w:rsidRPr="00483F7D" w:rsidRDefault="007A1FD7">
      <w:pPr>
        <w:pStyle w:val="Titrearticle"/>
      </w:pPr>
      <w:r w:rsidRPr="00483F7D">
        <w:t>Άρθρο 265</w:t>
      </w:r>
    </w:p>
    <w:p w14:paraId="38B0725E" w14:textId="77777777" w:rsidR="00E0244C" w:rsidRPr="00483F7D" w:rsidRDefault="007A1FD7">
      <w:pPr>
        <w:pStyle w:val="NormalCentered"/>
        <w:rPr>
          <w:b/>
          <w:bCs/>
        </w:rPr>
      </w:pPr>
      <w:r w:rsidRPr="00483F7D">
        <w:rPr>
          <w:b/>
        </w:rPr>
        <w:t>Εφαρμογή</w:t>
      </w:r>
    </w:p>
    <w:p w14:paraId="64204B26" w14:textId="77777777" w:rsidR="00496B92" w:rsidRPr="00483F7D" w:rsidRDefault="00F52D34" w:rsidP="006D3AE7">
      <w:pPr>
        <w:pStyle w:val="ManualNumPar10"/>
      </w:pPr>
      <w:bookmarkStart w:id="251" w:name="_bill__akn_article_BG6Seo_DQjwi9"/>
      <w:bookmarkEnd w:id="251"/>
      <w:r w:rsidRPr="00483F7D">
        <w:t>1.</w:t>
      </w:r>
      <w:r w:rsidRPr="00483F7D">
        <w:tab/>
        <w:t xml:space="preserve">Τα άρθρα 205 έως 237 εφαρμόζονται από την 1η Ιανουαρίου 2028. </w:t>
      </w:r>
    </w:p>
    <w:p w14:paraId="45EFEA30" w14:textId="77777777" w:rsidR="00496B92" w:rsidRPr="00483F7D" w:rsidRDefault="00496B92" w:rsidP="5DA9B26A">
      <w:pPr>
        <w:pStyle w:val="ManualNumPar10"/>
      </w:pPr>
      <w:r w:rsidRPr="00483F7D">
        <w:t>2.</w:t>
      </w:r>
      <w:r w:rsidRPr="00483F7D">
        <w:tab/>
        <w:t>Οι ακόλουθες διατάξεις εφαρμόζονται από την 1η Μαρτίου 2028:</w:t>
      </w:r>
    </w:p>
    <w:p w14:paraId="1FF8172B" w14:textId="583D2B37" w:rsidR="00496B92" w:rsidRPr="00483F7D" w:rsidRDefault="00BC60FC" w:rsidP="00BC60FC">
      <w:pPr>
        <w:pStyle w:val="Point1"/>
      </w:pPr>
      <w:r w:rsidRPr="00483F7D">
        <w:t>α)</w:t>
      </w:r>
      <w:r w:rsidRPr="00483F7D">
        <w:tab/>
      </w:r>
      <w:r w:rsidR="00496B92" w:rsidRPr="00483F7D">
        <w:t xml:space="preserve">οι διατάξεις σχετικά με την απλουστευμένη δασμολογική μεταχείριση που προβλέπονται στο άρθρο 145 παράγραφοι </w:t>
      </w:r>
      <w:hyperlink w:anchor="__akn_article_FtviyP_sOUXhx" w:tooltip="Article 145(5), (6) and (7): (5)">
        <w:r w:rsidR="00496B92" w:rsidRPr="00483F7D">
          <w:rPr>
            <w:rStyle w:val="Hyperlink"/>
          </w:rPr>
          <w:t>5</w:t>
        </w:r>
      </w:hyperlink>
      <w:r w:rsidR="00496B92" w:rsidRPr="00483F7D">
        <w:t xml:space="preserve">, </w:t>
      </w:r>
      <w:hyperlink w:anchor="__akn_article_FtviyP_YcWpt7" w:tooltip="Article 145(5), (6) and (7): (6)">
        <w:r w:rsidR="00496B92" w:rsidRPr="00483F7D">
          <w:rPr>
            <w:rStyle w:val="Hyperlink"/>
          </w:rPr>
          <w:t>6</w:t>
        </w:r>
      </w:hyperlink>
      <w:r w:rsidR="00496B92" w:rsidRPr="00483F7D">
        <w:t xml:space="preserve"> και </w:t>
      </w:r>
      <w:hyperlink w:anchor="__akn_article_FtviyP_IPaoG0" w:tooltip="Article 145(5), (6) and (7): (7)">
        <w:r w:rsidR="00496B92" w:rsidRPr="00483F7D">
          <w:rPr>
            <w:rStyle w:val="Hyperlink"/>
          </w:rPr>
          <w:t>7</w:t>
        </w:r>
      </w:hyperlink>
      <w:r w:rsidR="00496B92" w:rsidRPr="00483F7D">
        <w:t xml:space="preserve"> και στο άρθρο 147 στοιχείο </w:t>
      </w:r>
      <w:hyperlink w:anchor="__akn_article_ViSxrX_mgbjfc" w:tooltip="Article 147, first paragraph, point (a): (a)">
        <w:r w:rsidR="00496B92" w:rsidRPr="00483F7D">
          <w:rPr>
            <w:rStyle w:val="Hyperlink"/>
          </w:rPr>
          <w:t>α)</w:t>
        </w:r>
      </w:hyperlink>
      <w:r w:rsidR="00496B92" w:rsidRPr="00483F7D">
        <w:t xml:space="preserve"> σημείο </w:t>
      </w:r>
      <w:r w:rsidR="00496B92" w:rsidRPr="00483F7D">
        <w:rPr>
          <w:rStyle w:val="Hyperlink"/>
        </w:rPr>
        <w:t>ii)</w:t>
      </w:r>
      <w:r w:rsidR="00496B92" w:rsidRPr="00483F7D">
        <w:t>·</w:t>
      </w:r>
    </w:p>
    <w:p w14:paraId="0B9D9D66" w14:textId="6FD621F7" w:rsidR="00496B92" w:rsidRPr="00483F7D" w:rsidRDefault="00BC60FC" w:rsidP="00BC60FC">
      <w:pPr>
        <w:pStyle w:val="Point1"/>
      </w:pPr>
      <w:r w:rsidRPr="00483F7D">
        <w:t>β)</w:t>
      </w:r>
      <w:r w:rsidRPr="00483F7D">
        <w:tab/>
      </w:r>
      <w:r w:rsidR="00496B92" w:rsidRPr="00483F7D">
        <w:t xml:space="preserve">οι διατάξεις σχετικά με την απλουστευμένη δασμολογική μεταχείριση για εξ αποστάσεως πωλήσεις που προβλέπονται στο άρθρο 149 παράγραφος </w:t>
      </w:r>
      <w:hyperlink w:anchor="__akn_article_umwf5s_bQ1xUI" w:tooltip="Article 149(4): (4)">
        <w:r w:rsidR="00496B92" w:rsidRPr="00483F7D">
          <w:t>4</w:t>
        </w:r>
      </w:hyperlink>
      <w:r w:rsidR="00496B92" w:rsidRPr="00483F7D">
        <w:t xml:space="preserve">, στο άρθρο 150 παράγραφος </w:t>
      </w:r>
      <w:hyperlink w:anchor="__akn_article_m0OkZt_DYiNgL" w:tooltip="Article 150(10): (10)">
        <w:r w:rsidR="00496B92" w:rsidRPr="00483F7D">
          <w:t>10</w:t>
        </w:r>
      </w:hyperlink>
      <w:r w:rsidR="00496B92" w:rsidRPr="00483F7D">
        <w:t xml:space="preserve"> και στο άρθρο 156 παράγραφος </w:t>
      </w:r>
      <w:hyperlink w:anchor="__akn_article_zTkYYE_NYZKHB" w:tooltip="Article 156(2): (2)">
        <w:r w:rsidR="00496B92" w:rsidRPr="00483F7D">
          <w:t>2</w:t>
        </w:r>
      </w:hyperlink>
      <w:r w:rsidR="00496B92" w:rsidRPr="00483F7D">
        <w:t>· </w:t>
      </w:r>
    </w:p>
    <w:p w14:paraId="38ABFE30" w14:textId="263CC71A" w:rsidR="00496B92" w:rsidRPr="00483F7D" w:rsidRDefault="00BC60FC" w:rsidP="00BC60FC">
      <w:pPr>
        <w:pStyle w:val="Point1"/>
      </w:pPr>
      <w:r w:rsidRPr="00483F7D">
        <w:t>γ)</w:t>
      </w:r>
      <w:r w:rsidRPr="00483F7D">
        <w:tab/>
      </w:r>
      <w:r w:rsidR="00496B92" w:rsidRPr="00483F7D">
        <w:t xml:space="preserve">οι διατάξεις σχετικά με τους θεωρούμενους εισαγωγείς που ορίζονται στο άρθρο 20 παράγραφος 3 στοιχείο </w:t>
      </w:r>
      <w:hyperlink w:anchor="_bill__akn_article_XHAN8y_cOMVwd" w:tooltip="Article 20(3), point (e): (e)">
        <w:r w:rsidR="00496B92" w:rsidRPr="00483F7D">
          <w:t>ε)</w:t>
        </w:r>
      </w:hyperlink>
      <w:r w:rsidR="00496B92" w:rsidRPr="00483F7D">
        <w:t xml:space="preserve">, στο άρθρο </w:t>
      </w:r>
      <w:hyperlink w:anchor="__akn_article_1KI8m9" w:tooltip="Article 21: 21">
        <w:r w:rsidR="00496B92" w:rsidRPr="00483F7D">
          <w:t>21</w:t>
        </w:r>
      </w:hyperlink>
      <w:r w:rsidR="00496B92" w:rsidRPr="00483F7D">
        <w:t xml:space="preserve">, στο άρθρο 59 παράγραφος </w:t>
      </w:r>
      <w:hyperlink w:anchor="__akn_article_U2tqR7_LjHcRj" w:tooltip="Article 59(2): (2)">
        <w:r w:rsidR="00496B92" w:rsidRPr="00483F7D">
          <w:t>2</w:t>
        </w:r>
      </w:hyperlink>
      <w:r w:rsidR="00496B92" w:rsidRPr="00483F7D">
        <w:t xml:space="preserve">, στο άρθρο 60 παράγραφος 6 στοιχείο </w:t>
      </w:r>
      <w:hyperlink w:anchor="_bill__akn_article_u5jicl_a70B4F" w:tooltip="Article 60(6), point (a): (a)">
        <w:r w:rsidR="00496B92" w:rsidRPr="00483F7D">
          <w:t>α)</w:t>
        </w:r>
      </w:hyperlink>
      <w:r w:rsidR="00496B92" w:rsidRPr="00483F7D">
        <w:t xml:space="preserve">, στο άρθρο 67 παράγραφος </w:t>
      </w:r>
      <w:hyperlink w:anchor="__akn_article_aPmmxR_zwqT6y" w:tooltip="Article 67(2): (2)">
        <w:r w:rsidR="00496B92" w:rsidRPr="00483F7D">
          <w:t>2</w:t>
        </w:r>
      </w:hyperlink>
      <w:r w:rsidR="00496B92" w:rsidRPr="00483F7D">
        <w:t xml:space="preserve">, στο άρθρο 67 παράγραφος 4 στοιχείο </w:t>
      </w:r>
      <w:hyperlink w:anchor="__akn_article_aPmmxR_KPF3dX" w:tooltip="Article 67(4), point (d): (d)">
        <w:r w:rsidR="00496B92" w:rsidRPr="00483F7D">
          <w:t>δ)</w:t>
        </w:r>
      </w:hyperlink>
      <w:r w:rsidR="00496B92" w:rsidRPr="00483F7D">
        <w:t xml:space="preserve">, στο άρθρο 159 παράγραφος </w:t>
      </w:r>
      <w:hyperlink w:anchor="__akn_article_OrdkOK_wKZZ1z" w:tooltip="Article 159(2): (2)">
        <w:r w:rsidR="00496B92" w:rsidRPr="00483F7D">
          <w:t>2</w:t>
        </w:r>
      </w:hyperlink>
      <w:r w:rsidR="00496B92" w:rsidRPr="00483F7D">
        <w:t xml:space="preserve">, στο άρθρο 181 παράγραφος </w:t>
      </w:r>
      <w:hyperlink w:anchor="__akn_article_FJYK13_d3Y6GF" w:tooltip="Article 181(5): (5)">
        <w:r w:rsidR="00496B92" w:rsidRPr="00483F7D">
          <w:t>5</w:t>
        </w:r>
      </w:hyperlink>
      <w:r w:rsidR="00496B92" w:rsidRPr="00483F7D">
        <w:t xml:space="preserve"> και στο άρθρο 184 παράγραφος </w:t>
      </w:r>
      <w:hyperlink w:anchor="__akn_article_Btlbw6_K5e8h6" w:tooltip="Article 184(3): (3)">
        <w:r w:rsidR="00496B92" w:rsidRPr="00483F7D">
          <w:t>3</w:t>
        </w:r>
      </w:hyperlink>
      <w:r w:rsidR="00496B92" w:rsidRPr="00483F7D">
        <w:t>.</w:t>
      </w:r>
    </w:p>
    <w:p w14:paraId="394350C1" w14:textId="77777777" w:rsidR="00E0244C" w:rsidRPr="00483F7D" w:rsidRDefault="007A1FD7" w:rsidP="00ED287B">
      <w:pPr>
        <w:pStyle w:val="ManualNumPar10"/>
      </w:pPr>
      <w:bookmarkStart w:id="252" w:name="_bill__akn_article_BG6Seo_qx0egR"/>
      <w:bookmarkStart w:id="253" w:name="_bill__akn_article_BG6Seo_VYhe2Y"/>
      <w:bookmarkEnd w:id="252"/>
      <w:bookmarkEnd w:id="253"/>
      <w:r w:rsidRPr="00483F7D">
        <w:t>3.</w:t>
      </w:r>
      <w:r w:rsidRPr="00483F7D">
        <w:tab/>
        <w:t>Οι λειτουργίες του τελωνειακού κόμβου δεδομένων της ΕΕ που ορίζονται στο άρθρο 29 καθίστανται πλήρως επιχειρησιακές έως τις 31 Δεκεμβρίου 2037.</w:t>
      </w:r>
    </w:p>
    <w:p w14:paraId="667DC35E" w14:textId="77777777" w:rsidR="000B256F" w:rsidRPr="00483F7D" w:rsidRDefault="007A1FD7" w:rsidP="009D7E38">
      <w:pPr>
        <w:pStyle w:val="ManualNumPar10"/>
      </w:pPr>
      <w:bookmarkStart w:id="254" w:name="_Hlk133576517"/>
      <w:r w:rsidRPr="00483F7D">
        <w:t>4.</w:t>
      </w:r>
      <w:r w:rsidRPr="00483F7D">
        <w:tab/>
        <w:t>Οι οικονομικοί φορείς μπορούν να αρχίσουν να εκπληρώνουν τις υποχρεώσεις υποβολής εκθέσεων που υπέχουν δυνάμει του παρόντος κανονισμού χρησιμοποιώντας τον τελωνειακό κόμβο δεδομένων της ΕΕ από την 1η Μαρτίου 2032.</w:t>
      </w:r>
    </w:p>
    <w:p w14:paraId="01BCE364" w14:textId="77777777" w:rsidR="000B256F" w:rsidRPr="00483F7D" w:rsidRDefault="000B256F">
      <w:pPr>
        <w:pStyle w:val="ManualNumPar10"/>
      </w:pPr>
      <w:bookmarkStart w:id="255" w:name="_bill__akn_article_BG6Seo_OwaHzE"/>
      <w:bookmarkEnd w:id="254"/>
      <w:bookmarkEnd w:id="255"/>
      <w:r w:rsidRPr="00483F7D">
        <w:t>5.</w:t>
      </w:r>
      <w:r w:rsidRPr="00483F7D">
        <w:tab/>
      </w:r>
      <w:bookmarkStart w:id="256" w:name="_bill__akn_article_BG6Seo_WPMLWW"/>
      <w:bookmarkStart w:id="257" w:name="_bill__akn_article_BG6Seo_GMrrCj"/>
      <w:bookmarkEnd w:id="256"/>
      <w:bookmarkEnd w:id="257"/>
      <w:r w:rsidRPr="00483F7D">
        <w:t>Οι τελωνειακές αρχές επαναξιολογούν τις άδειες που χορηγήθηκαν σύμφωνα με τον κανονισμό (ΕΕ) αριθ. 952/2013 από την 1η Ιανουαρίου 2035 έως τις 31 Δεκεμβρίου 2037. </w:t>
      </w:r>
    </w:p>
    <w:p w14:paraId="466C1891" w14:textId="77777777" w:rsidR="000B256F" w:rsidRPr="00483F7D" w:rsidRDefault="000B256F" w:rsidP="009D7E38">
      <w:pPr>
        <w:pStyle w:val="ManualNumPar10"/>
      </w:pPr>
      <w:r w:rsidRPr="00483F7D">
        <w:t>6.</w:t>
      </w:r>
      <w:r w:rsidRPr="00483F7D">
        <w:tab/>
        <w:t>Πριν από τις 31 Δεκεμβρίου 2027, η Επιτροπή υποβάλλει στο Ευρωπαϊκό Κοινοβούλιο και στο Συμβούλιο έκθεση σχετικά με την αξιολόγηση του κεντρικού τελωνισμού που αναφέρεται στο άρθρο 72. Κατά περίπτωση, η Επιτροπή μπορεί να υποβάλει νομοθετική πρόταση με σκοπό να διασφαλιστεί η δίκαιη κατανομή των δικαιωμάτων και των υποχρεώσεων των κρατών μελών σε σχέση με την αξιολόγηση και την ευθύνη για την τελωνειακή οφειλή κατά την εισαγωγή.</w:t>
      </w:r>
    </w:p>
    <w:p w14:paraId="3BF75715" w14:textId="77777777" w:rsidR="005659AD" w:rsidRPr="00483F7D" w:rsidRDefault="000B256F" w:rsidP="005D66FF">
      <w:pPr>
        <w:pStyle w:val="ManualNumPar10"/>
      </w:pPr>
      <w:r w:rsidRPr="00483F7D">
        <w:t xml:space="preserve">7. </w:t>
      </w:r>
      <w:r w:rsidRPr="00483F7D">
        <w:tab/>
      </w:r>
      <w:bookmarkStart w:id="258" w:name="_Hlk133576357"/>
      <w:r w:rsidRPr="00483F7D">
        <w:t>Έως τις 31 Δεκεμβρίου 2035, η Επιτροπή υποβάλλει στο Ευρωπαϊκό Κοινοβούλιο και το Συμβούλιο έκθεση με την οποία αξιολογεί, ιδίως:</w:t>
      </w:r>
    </w:p>
    <w:p w14:paraId="1AD49A65" w14:textId="193C74F0" w:rsidR="005659AD" w:rsidRPr="00483F7D" w:rsidRDefault="00BC60FC" w:rsidP="00BC60FC">
      <w:pPr>
        <w:pStyle w:val="Point1"/>
      </w:pPr>
      <w:r w:rsidRPr="00483F7D">
        <w:t>α)</w:t>
      </w:r>
      <w:r w:rsidRPr="00483F7D">
        <w:tab/>
      </w:r>
      <w:r w:rsidR="005659AD" w:rsidRPr="00483F7D">
        <w:t>την αποτελεσματικότητα της τελωνειακής επιτήρησης των αξιόπιστων και ελεγμένων συναλλασσομένων από τις τελωνειακές αρχές του κράτους μέλους εγκατάστασης και της εφαρμογής των διατάξεων που διέπουν τον τόπο γένεσης της τελωνειακής οφειλής·</w:t>
      </w:r>
    </w:p>
    <w:p w14:paraId="6933DF65" w14:textId="7826DB3B" w:rsidR="005659AD" w:rsidRPr="00483F7D" w:rsidRDefault="00BC60FC" w:rsidP="00BC60FC">
      <w:pPr>
        <w:pStyle w:val="Point1"/>
      </w:pPr>
      <w:r w:rsidRPr="00483F7D">
        <w:t>β)</w:t>
      </w:r>
      <w:r w:rsidRPr="00483F7D">
        <w:tab/>
      </w:r>
      <w:r w:rsidR="005D66FF" w:rsidRPr="00483F7D">
        <w:t>την αποτελεσματικότητα της τελωνειακής επιτήρησης των οικονομικών φορέων εκτός των αξιόπιστων και ελεγμένων συναλλασσομένων·</w:t>
      </w:r>
    </w:p>
    <w:p w14:paraId="060E0335" w14:textId="1E798515" w:rsidR="005D66FF" w:rsidRPr="00483F7D" w:rsidRDefault="00BC60FC" w:rsidP="00BC60FC">
      <w:pPr>
        <w:pStyle w:val="Point1"/>
      </w:pPr>
      <w:r w:rsidRPr="00483F7D">
        <w:t>γ)</w:t>
      </w:r>
      <w:r w:rsidRPr="00483F7D">
        <w:tab/>
      </w:r>
      <w:r w:rsidR="005659AD" w:rsidRPr="00483F7D">
        <w:t>τον πιθανό αντίκτυπο των τροποποιήσεων που προβλέπονται στην παράγραφο 8.</w:t>
      </w:r>
    </w:p>
    <w:p w14:paraId="629DAFBD" w14:textId="77777777" w:rsidR="005D66FF" w:rsidRPr="00483F7D" w:rsidRDefault="005D66FF" w:rsidP="0010095C">
      <w:pPr>
        <w:pStyle w:val="ManualNumPar10"/>
      </w:pPr>
      <w:r w:rsidRPr="00483F7D">
        <w:t xml:space="preserve">8. </w:t>
      </w:r>
      <w:r w:rsidRPr="00483F7D">
        <w:tab/>
        <w:t xml:space="preserve">Ανατίθεται στην Επιτροπή η εξουσία να εκδίδει κατ’ εξουσιοδότηση πράξεις, σύμφωνα με το άρθρο 261, για την τροποποίηση του παρόντος κανονισμού, κατά περίπτωση με βάση την έκθεση που αναφέρεται στην παράγραφο 7, με τη διαγραφή ή την τροποποίηση των παρεκκλίσεων που προβλέπονται στο άρθρο 42 παράγραφος 3 δεύτερο εδάφιο και στο άρθρο 169 παράγραφος 1 δεύτερο εδάφιο. </w:t>
      </w:r>
    </w:p>
    <w:bookmarkEnd w:id="258"/>
    <w:p w14:paraId="566BDB4C" w14:textId="77777777" w:rsidR="00E0244C" w:rsidRPr="00483F7D" w:rsidRDefault="007A1FD7">
      <w:pPr>
        <w:pStyle w:val="Applicationdirecte"/>
      </w:pPr>
      <w:r w:rsidRPr="00483F7D">
        <w:t>Ο παρών κανονισμός είναι δεσμευτικός ως προς όλα τα μέρη του και ισχύει άμεσα σε κάθε κράτος μέλος.</w:t>
      </w:r>
    </w:p>
    <w:p w14:paraId="02C8D332" w14:textId="68C87634" w:rsidR="00E0244C" w:rsidRPr="00483F7D" w:rsidRDefault="00483F7D" w:rsidP="00483F7D">
      <w:pPr>
        <w:pStyle w:val="Fait"/>
      </w:pPr>
      <w:r w:rsidRPr="00483F7D">
        <w:t>Βρυξέλλες,</w:t>
      </w:r>
    </w:p>
    <w:p w14:paraId="6D5ADDCF" w14:textId="77777777" w:rsidR="00E0244C" w:rsidRPr="00483F7D" w:rsidRDefault="007A1FD7">
      <w:pPr>
        <w:pStyle w:val="Institutionquisigne"/>
      </w:pPr>
      <w:r w:rsidRPr="00483F7D">
        <w:t>Για το Ευρωπαϊκό Κοινοβούλιο</w:t>
      </w:r>
      <w:r w:rsidRPr="00483F7D">
        <w:tab/>
        <w:t>Για το Συμβούλιο</w:t>
      </w:r>
    </w:p>
    <w:p w14:paraId="51FC3454" w14:textId="77777777" w:rsidR="00E0244C" w:rsidRPr="00483F7D" w:rsidRDefault="007A1FD7">
      <w:pPr>
        <w:pStyle w:val="Personnequisigne"/>
      </w:pPr>
      <w:r w:rsidRPr="00483F7D">
        <w:t>Η Πρόεδρος</w:t>
      </w:r>
      <w:r w:rsidRPr="00483F7D">
        <w:tab/>
        <w:t>Ο/Η Πρόεδρος</w:t>
      </w:r>
    </w:p>
    <w:p w14:paraId="53705B19" w14:textId="77777777" w:rsidR="00E0244C" w:rsidRPr="00483F7D" w:rsidRDefault="007A1FD7" w:rsidP="00E0244C">
      <w:pPr>
        <w:spacing w:before="0" w:after="0" w:line="276" w:lineRule="auto"/>
        <w:jc w:val="left"/>
        <w:rPr>
          <w:i/>
          <w:sz w:val="2"/>
        </w:rPr>
      </w:pPr>
      <w:r w:rsidRPr="00483F7D">
        <w:br w:type="page"/>
      </w:r>
    </w:p>
    <w:p w14:paraId="1863AD18" w14:textId="77777777" w:rsidR="00E0244C" w:rsidRPr="00483F7D" w:rsidRDefault="007A1FD7">
      <w:pPr>
        <w:pStyle w:val="Personnequisigne"/>
      </w:pPr>
      <w:r w:rsidRPr="00483F7D">
        <w:t>[...]</w:t>
      </w:r>
      <w:r w:rsidRPr="00483F7D">
        <w:tab/>
        <w:t>[...]</w:t>
      </w:r>
    </w:p>
    <w:p w14:paraId="42F4317C" w14:textId="77777777" w:rsidR="004E6F6D" w:rsidRPr="00483F7D" w:rsidRDefault="004E6F6D">
      <w:pPr>
        <w:spacing w:before="0" w:after="200" w:line="276" w:lineRule="auto"/>
        <w:jc w:val="left"/>
      </w:pPr>
      <w:r w:rsidRPr="00483F7D">
        <w:br w:type="page"/>
      </w:r>
    </w:p>
    <w:p w14:paraId="2D1B2BA1" w14:textId="77777777" w:rsidR="001D4028" w:rsidRPr="00483F7D" w:rsidRDefault="001D4028" w:rsidP="004E6F6D">
      <w:pPr>
        <w:spacing w:before="0" w:after="200" w:line="276" w:lineRule="auto"/>
        <w:jc w:val="left"/>
        <w:sectPr w:rsidR="001D4028" w:rsidRPr="00483F7D" w:rsidSect="00483F7D">
          <w:footnotePr>
            <w:numRestart w:val="eachSect"/>
          </w:footnotePr>
          <w:pgSz w:w="11907" w:h="16839"/>
          <w:pgMar w:top="1134" w:right="1417" w:bottom="1134" w:left="1417" w:header="709" w:footer="709" w:gutter="0"/>
          <w:cols w:space="720"/>
          <w:docGrid w:linePitch="360"/>
        </w:sectPr>
      </w:pPr>
    </w:p>
    <w:p w14:paraId="06658134" w14:textId="77777777" w:rsidR="001D4028" w:rsidRPr="00483F7D" w:rsidRDefault="001D4028" w:rsidP="003D5244">
      <w:pPr>
        <w:pStyle w:val="Fichefinanciretitre"/>
        <w:keepNext/>
        <w:rPr>
          <w:noProof/>
        </w:rPr>
      </w:pPr>
      <w:bookmarkStart w:id="259" w:name="_TocB7751C055C4744A28A002AAF436526DF"/>
      <w:r w:rsidRPr="00483F7D">
        <w:t>ΝΟΜΟΘΕΤΙΚΟ ΔΗΜΟΣΙΟΝΟΜΙΚΟ ΔΕΛΤΙΟ</w:t>
      </w:r>
      <w:bookmarkEnd w:id="259"/>
    </w:p>
    <w:p w14:paraId="7F1A66D4" w14:textId="77777777" w:rsidR="008F6AC1" w:rsidRPr="00483F7D" w:rsidRDefault="008F6AC1" w:rsidP="008F6AC1">
      <w:pPr>
        <w:pStyle w:val="ManualHeading1"/>
        <w:rPr>
          <w:bCs/>
          <w:noProof/>
          <w:szCs w:val="24"/>
        </w:rPr>
      </w:pPr>
      <w:bookmarkStart w:id="260" w:name="_Toc133320600"/>
      <w:r w:rsidRPr="00483F7D">
        <w:t>1.</w:t>
      </w:r>
      <w:r w:rsidRPr="00483F7D">
        <w:tab/>
        <w:t>ΠΛΑΙΣΙΟ ΤΗΣ ΠΡΟΤΑΣΗΣ/ΠΡΩΤΟΒΟΥΛΙΑΣ</w:t>
      </w:r>
      <w:bookmarkEnd w:id="260"/>
      <w:r w:rsidRPr="00483F7D">
        <w:t xml:space="preserve"> </w:t>
      </w:r>
    </w:p>
    <w:p w14:paraId="32E7C309" w14:textId="77777777" w:rsidR="008F6AC1" w:rsidRPr="00483F7D" w:rsidRDefault="008F6AC1" w:rsidP="008F6AC1">
      <w:pPr>
        <w:pStyle w:val="ManualHeading2"/>
        <w:rPr>
          <w:bCs/>
          <w:noProof/>
          <w:szCs w:val="24"/>
        </w:rPr>
      </w:pPr>
      <w:bookmarkStart w:id="261" w:name="_Toc514938660"/>
      <w:bookmarkStart w:id="262" w:name="_Toc520485419"/>
      <w:bookmarkStart w:id="263" w:name="_Toc133320601"/>
      <w:r w:rsidRPr="00483F7D">
        <w:t>1.1.</w:t>
      </w:r>
      <w:r w:rsidRPr="00483F7D">
        <w:tab/>
        <w:t>Τίτλος της πρότασης/πρωτοβουλίας</w:t>
      </w:r>
      <w:bookmarkEnd w:id="261"/>
      <w:bookmarkEnd w:id="262"/>
      <w:bookmarkEnd w:id="263"/>
    </w:p>
    <w:p w14:paraId="0031F90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483F7D">
        <w:t>Πρόταση κανονισμού του Ευρωπαϊκού Κοινοβουλίου και του Συμβουλίου για τη θέσπιση του ενωσιακού τελωνειακού κώδικα και της τελωνειακής αρχής της Ευρωπαϊκής Ένωσης, και για την κατάργηση του κανονισμού (ΕΕ) αριθ. 952/2013.</w:t>
      </w:r>
    </w:p>
    <w:p w14:paraId="182B4355" w14:textId="77777777" w:rsidR="008F6AC1" w:rsidRPr="00483F7D" w:rsidRDefault="008F6AC1" w:rsidP="008F6AC1">
      <w:pPr>
        <w:pStyle w:val="ManualHeading2"/>
        <w:rPr>
          <w:bCs/>
          <w:noProof/>
          <w:szCs w:val="24"/>
        </w:rPr>
      </w:pPr>
      <w:bookmarkStart w:id="264" w:name="_Toc514938661"/>
      <w:bookmarkStart w:id="265" w:name="_Toc520485420"/>
      <w:bookmarkStart w:id="266" w:name="_Toc133320602"/>
      <w:r w:rsidRPr="00483F7D">
        <w:t>1.2.</w:t>
      </w:r>
      <w:r w:rsidRPr="00483F7D">
        <w:tab/>
        <w:t>Σχετικοί τομείς πολιτικής</w:t>
      </w:r>
      <w:bookmarkEnd w:id="264"/>
      <w:bookmarkEnd w:id="265"/>
      <w:bookmarkEnd w:id="266"/>
    </w:p>
    <w:p w14:paraId="4EC2D9CA" w14:textId="77777777" w:rsidR="008F6AC1" w:rsidRPr="00483F7D" w:rsidRDefault="008F6AC1" w:rsidP="008F6AC1">
      <w:pPr>
        <w:pStyle w:val="Text1"/>
        <w:pBdr>
          <w:top w:val="single" w:sz="4" w:space="1" w:color="auto"/>
          <w:left w:val="single" w:sz="4" w:space="4" w:color="auto"/>
          <w:bottom w:val="single" w:sz="4" w:space="6" w:color="auto"/>
          <w:right w:val="single" w:sz="4" w:space="4" w:color="auto"/>
        </w:pBdr>
        <w:rPr>
          <w:noProof/>
          <w:color w:val="000000" w:themeColor="text1"/>
        </w:rPr>
      </w:pPr>
      <w:r w:rsidRPr="00483F7D">
        <w:rPr>
          <w:b/>
          <w:color w:val="000000" w:themeColor="text1"/>
        </w:rPr>
        <w:t>Τομέας πολιτικής:</w:t>
      </w:r>
      <w:r w:rsidRPr="00483F7D">
        <w:rPr>
          <w:color w:val="000000" w:themeColor="text1"/>
        </w:rPr>
        <w:t xml:space="preserve"> </w:t>
      </w:r>
      <w:r w:rsidRPr="00483F7D">
        <w:t>Ενιαία αγορά, καινοτομία και ψηφιακή οικονομία - Τομέας 1</w:t>
      </w:r>
    </w:p>
    <w:p w14:paraId="2429EE49" w14:textId="77777777" w:rsidR="008F6AC1" w:rsidRPr="00483F7D" w:rsidRDefault="008F6AC1" w:rsidP="008F6AC1">
      <w:pPr>
        <w:pStyle w:val="Text1"/>
        <w:pBdr>
          <w:top w:val="single" w:sz="4" w:space="1" w:color="auto"/>
          <w:left w:val="single" w:sz="4" w:space="4" w:color="auto"/>
          <w:bottom w:val="single" w:sz="4" w:space="6" w:color="auto"/>
          <w:right w:val="single" w:sz="4" w:space="4" w:color="auto"/>
        </w:pBdr>
        <w:rPr>
          <w:b/>
          <w:noProof/>
        </w:rPr>
      </w:pPr>
      <w:r w:rsidRPr="00483F7D">
        <w:rPr>
          <w:b/>
        </w:rPr>
        <w:t xml:space="preserve">Δραστηριότητα: </w:t>
      </w:r>
    </w:p>
    <w:p w14:paraId="77A732A5" w14:textId="77777777" w:rsidR="008F6AC1" w:rsidRPr="00483F7D" w:rsidRDefault="008F6AC1" w:rsidP="008F6AC1">
      <w:pPr>
        <w:pStyle w:val="Text1"/>
        <w:pBdr>
          <w:top w:val="single" w:sz="4" w:space="1" w:color="auto"/>
          <w:left w:val="single" w:sz="4" w:space="4" w:color="auto"/>
          <w:bottom w:val="single" w:sz="4" w:space="6" w:color="auto"/>
          <w:right w:val="single" w:sz="4" w:space="4" w:color="auto"/>
        </w:pBdr>
        <w:rPr>
          <w:noProof/>
        </w:rPr>
      </w:pPr>
      <w:r w:rsidRPr="00483F7D">
        <w:t>Συνεργασία στον τομέα των τελωνείων (Τελωνεία) – υποτομέας 03 05 01</w:t>
      </w:r>
    </w:p>
    <w:p w14:paraId="644ED2C2" w14:textId="77777777" w:rsidR="008F6AC1" w:rsidRPr="00483F7D" w:rsidRDefault="008F6AC1" w:rsidP="008F6AC1">
      <w:pPr>
        <w:pStyle w:val="Text1"/>
        <w:pBdr>
          <w:top w:val="single" w:sz="4" w:space="1" w:color="auto"/>
          <w:left w:val="single" w:sz="4" w:space="4" w:color="auto"/>
          <w:bottom w:val="single" w:sz="4" w:space="6" w:color="auto"/>
          <w:right w:val="single" w:sz="4" w:space="4" w:color="auto"/>
        </w:pBdr>
        <w:rPr>
          <w:noProof/>
        </w:rPr>
      </w:pPr>
      <w:r w:rsidRPr="00483F7D">
        <w:t>Τελωνειακή Αρχή της ΕΕ (νέος υποτομέας – 03 05 XX)</w:t>
      </w:r>
    </w:p>
    <w:p w14:paraId="3EF84F31" w14:textId="77777777" w:rsidR="008F6AC1" w:rsidRPr="00483F7D" w:rsidRDefault="008F6AC1" w:rsidP="008F6AC1">
      <w:pPr>
        <w:pStyle w:val="ManualHeading2"/>
        <w:rPr>
          <w:bCs/>
          <w:noProof/>
          <w:szCs w:val="24"/>
        </w:rPr>
      </w:pPr>
      <w:bookmarkStart w:id="267" w:name="_Toc514938662"/>
      <w:bookmarkStart w:id="268" w:name="_Toc520485421"/>
      <w:bookmarkStart w:id="269" w:name="_Toc133320603"/>
      <w:r w:rsidRPr="00483F7D">
        <w:t>1.3.</w:t>
      </w:r>
      <w:r w:rsidRPr="00483F7D">
        <w:tab/>
        <w:t>Η πρόταση αφορά</w:t>
      </w:r>
      <w:bookmarkEnd w:id="267"/>
      <w:bookmarkEnd w:id="268"/>
      <w:bookmarkEnd w:id="269"/>
      <w:r w:rsidRPr="00483F7D">
        <w:t xml:space="preserve"> </w:t>
      </w:r>
    </w:p>
    <w:p w14:paraId="5702E829" w14:textId="77777777" w:rsidR="008F6AC1" w:rsidRPr="00483F7D" w:rsidRDefault="008F6AC1" w:rsidP="008F6AC1">
      <w:pPr>
        <w:pStyle w:val="Text1"/>
        <w:rPr>
          <w:b/>
          <w:noProof/>
        </w:rPr>
      </w:pPr>
      <w:r w:rsidRPr="00483F7D">
        <w:rPr>
          <w:b/>
        </w:rPr>
        <w:t>X</w:t>
      </w:r>
      <w:r w:rsidRPr="00483F7D">
        <w:rPr>
          <w:b/>
          <w:i/>
        </w:rPr>
        <w:t xml:space="preserve"> </w:t>
      </w:r>
      <w:r w:rsidRPr="00483F7D">
        <w:rPr>
          <w:b/>
        </w:rPr>
        <w:t xml:space="preserve">νέα δράση </w:t>
      </w:r>
    </w:p>
    <w:p w14:paraId="2591532C" w14:textId="77777777" w:rsidR="008F6AC1" w:rsidRPr="00483F7D" w:rsidRDefault="008F6AC1" w:rsidP="008F6AC1">
      <w:pPr>
        <w:pStyle w:val="Text1"/>
        <w:rPr>
          <w:noProof/>
          <w:sz w:val="22"/>
        </w:rPr>
      </w:pPr>
      <w:r w:rsidRPr="00483F7D">
        <w:rPr>
          <w:sz w:val="22"/>
        </w:rPr>
        <w:sym w:font="Wingdings" w:char="F0A8"/>
      </w:r>
      <w:r w:rsidRPr="00483F7D">
        <w:rPr>
          <w:i/>
          <w:sz w:val="22"/>
        </w:rPr>
        <w:t xml:space="preserve"> </w:t>
      </w:r>
      <w:r w:rsidRPr="00483F7D">
        <w:rPr>
          <w:b/>
        </w:rPr>
        <w:t>νέα δράση έπειτα από δοκιμαστικό σχέδιο / προπαρασκευαστική ενέργεια</w:t>
      </w:r>
      <w:r w:rsidRPr="00483F7D">
        <w:rPr>
          <w:rStyle w:val="FootnoteReference"/>
          <w:b/>
          <w:noProof/>
        </w:rPr>
        <w:footnoteReference w:id="83"/>
      </w:r>
      <w:r w:rsidRPr="00483F7D">
        <w:rPr>
          <w:sz w:val="22"/>
        </w:rPr>
        <w:t xml:space="preserve"> </w:t>
      </w:r>
    </w:p>
    <w:p w14:paraId="53309680" w14:textId="77777777" w:rsidR="008F6AC1" w:rsidRPr="00483F7D" w:rsidRDefault="008F6AC1" w:rsidP="008F6AC1">
      <w:pPr>
        <w:pStyle w:val="Text1"/>
        <w:rPr>
          <w:noProof/>
        </w:rPr>
      </w:pPr>
      <w:r w:rsidRPr="00483F7D">
        <w:rPr>
          <w:b/>
        </w:rPr>
        <w:t>X</w:t>
      </w:r>
      <w:r w:rsidRPr="00483F7D">
        <w:rPr>
          <w:i/>
        </w:rPr>
        <w:t xml:space="preserve"> </w:t>
      </w:r>
      <w:r w:rsidRPr="00483F7D">
        <w:rPr>
          <w:b/>
        </w:rPr>
        <w:t>την παράταση υφιστάμενης δράσης</w:t>
      </w:r>
      <w:r w:rsidRPr="00483F7D">
        <w:t xml:space="preserve"> </w:t>
      </w:r>
    </w:p>
    <w:p w14:paraId="0A0A8C56" w14:textId="77777777" w:rsidR="008F6AC1" w:rsidRPr="00483F7D" w:rsidRDefault="008F6AC1" w:rsidP="008F6AC1">
      <w:pPr>
        <w:pStyle w:val="Text1"/>
        <w:rPr>
          <w:noProof/>
        </w:rPr>
      </w:pPr>
      <w:r w:rsidRPr="00483F7D">
        <w:sym w:font="Wingdings" w:char="F0A8"/>
      </w:r>
      <w:r w:rsidRPr="00483F7D">
        <w:rPr>
          <w:i/>
        </w:rPr>
        <w:t xml:space="preserve"> </w:t>
      </w:r>
      <w:r w:rsidRPr="00483F7D">
        <w:rPr>
          <w:b/>
        </w:rPr>
        <w:t>συγχώνευση μίας ή περισσότερων</w:t>
      </w:r>
      <w:r w:rsidRPr="00483F7D">
        <w:t xml:space="preserve"> </w:t>
      </w:r>
      <w:r w:rsidRPr="00483F7D">
        <w:rPr>
          <w:b/>
        </w:rPr>
        <w:t>δράσεων προς άλλη/νέα δράση</w:t>
      </w:r>
      <w:r w:rsidRPr="00483F7D">
        <w:t xml:space="preserve"> </w:t>
      </w:r>
    </w:p>
    <w:p w14:paraId="51B67EEE" w14:textId="77777777" w:rsidR="008F6AC1" w:rsidRPr="00483F7D" w:rsidRDefault="008F6AC1" w:rsidP="008F6AC1">
      <w:pPr>
        <w:pStyle w:val="ManualHeading2"/>
        <w:rPr>
          <w:bCs/>
          <w:noProof/>
          <w:szCs w:val="24"/>
        </w:rPr>
      </w:pPr>
      <w:bookmarkStart w:id="270" w:name="_Toc514938663"/>
      <w:bookmarkStart w:id="271" w:name="_Toc520485422"/>
      <w:bookmarkStart w:id="272" w:name="_Toc133320604"/>
      <w:r w:rsidRPr="00483F7D">
        <w:t>1.4.</w:t>
      </w:r>
      <w:r w:rsidRPr="00483F7D">
        <w:tab/>
        <w:t>Στόχοι</w:t>
      </w:r>
      <w:bookmarkEnd w:id="270"/>
      <w:bookmarkEnd w:id="271"/>
      <w:bookmarkEnd w:id="272"/>
    </w:p>
    <w:p w14:paraId="6130596F" w14:textId="77777777" w:rsidR="008F6AC1" w:rsidRPr="00483F7D" w:rsidRDefault="008F6AC1" w:rsidP="008F6AC1">
      <w:pPr>
        <w:pStyle w:val="ManualHeading3"/>
        <w:rPr>
          <w:bCs/>
          <w:noProof/>
          <w:szCs w:val="24"/>
        </w:rPr>
      </w:pPr>
      <w:bookmarkStart w:id="273" w:name="_Toc514938664"/>
      <w:bookmarkStart w:id="274" w:name="_Toc520485423"/>
      <w:bookmarkStart w:id="275" w:name="_Toc133320605"/>
      <w:r w:rsidRPr="00483F7D">
        <w:t>1.4.1.</w:t>
      </w:r>
      <w:r w:rsidRPr="00483F7D">
        <w:tab/>
        <w:t>Γενικοί στόχοι</w:t>
      </w:r>
      <w:bookmarkEnd w:id="273"/>
      <w:bookmarkEnd w:id="274"/>
      <w:bookmarkEnd w:id="275"/>
    </w:p>
    <w:p w14:paraId="16E3E386" w14:textId="77777777" w:rsidR="008F6AC1" w:rsidRPr="00483F7D" w:rsidRDefault="008F6AC1" w:rsidP="008F6AC1">
      <w:pPr>
        <w:rPr>
          <w:noProof/>
        </w:rPr>
      </w:pPr>
      <w:r w:rsidRPr="00483F7D">
        <w:t xml:space="preserve">Να δοθεί η δυνατότητα στις τελωνειακές αρχές να </w:t>
      </w:r>
      <w:r w:rsidRPr="00483F7D">
        <w:rPr>
          <w:b/>
        </w:rPr>
        <w:t>ενεργούν ως ενιαίο σύνολο</w:t>
      </w:r>
      <w:r w:rsidRPr="00483F7D">
        <w:t xml:space="preserve"> σε ολόκληρη την ΕΕ, ώστε:</w:t>
      </w:r>
    </w:p>
    <w:p w14:paraId="3F9C4A3F" w14:textId="77777777" w:rsidR="008F6AC1" w:rsidRPr="00483F7D" w:rsidRDefault="008F6AC1" w:rsidP="00CF7E35">
      <w:pPr>
        <w:pStyle w:val="ListNumberLevel2"/>
        <w:numPr>
          <w:ilvl w:val="1"/>
          <w:numId w:val="36"/>
        </w:numPr>
        <w:pBdr>
          <w:top w:val="single" w:sz="4" w:space="1" w:color="auto"/>
          <w:left w:val="single" w:sz="4" w:space="4" w:color="auto"/>
          <w:bottom w:val="single" w:sz="4" w:space="1" w:color="auto"/>
          <w:right w:val="single" w:sz="4" w:space="4" w:color="auto"/>
        </w:pBdr>
        <w:rPr>
          <w:noProof/>
        </w:rPr>
      </w:pPr>
      <w:r w:rsidRPr="00483F7D">
        <w:t xml:space="preserve">να προστατεύσουν αποδοτικά και αποτελεσματικά την ενιαία αγορά, τους πολίτες και τις αξίες της ΕΕ με τη διασφάλιση της συμμόρφωσης με μια αυξανόμενη σειρά μη χρηματοοικονομικών απαιτήσεων· </w:t>
      </w:r>
    </w:p>
    <w:p w14:paraId="69D92010" w14:textId="77777777" w:rsidR="008F6AC1" w:rsidRPr="00483F7D" w:rsidRDefault="008F6AC1" w:rsidP="00CF7E35">
      <w:pPr>
        <w:pStyle w:val="ListNumberLevel2"/>
        <w:numPr>
          <w:ilvl w:val="1"/>
          <w:numId w:val="36"/>
        </w:numPr>
        <w:pBdr>
          <w:top w:val="single" w:sz="4" w:space="1" w:color="auto"/>
          <w:left w:val="single" w:sz="4" w:space="4" w:color="auto"/>
          <w:bottom w:val="single" w:sz="4" w:space="1" w:color="auto"/>
          <w:right w:val="single" w:sz="4" w:space="4" w:color="auto"/>
        </w:pBdr>
        <w:rPr>
          <w:noProof/>
        </w:rPr>
      </w:pPr>
      <w:r w:rsidRPr="00483F7D">
        <w:t>να διασφαλίσουν την ορθή, αποτελεσματική και έγκαιρη είσπραξη των οφειλόμενων τελωνειακών δασμών και φόρων, συμπεριλαμβανομένης της αποτροπής της διαφυγής τελωνειακών δασμών και, ως εκ τούτου, της πρόληψης της απώλειας εσόδων τόσο για τον προϋπολογισμό της ΕΕ όσο και για τα κράτη μέλη·</w:t>
      </w:r>
    </w:p>
    <w:p w14:paraId="49AFE319" w14:textId="77777777" w:rsidR="008F6AC1" w:rsidRPr="00483F7D" w:rsidRDefault="008F6AC1" w:rsidP="00CF7E35">
      <w:pPr>
        <w:pStyle w:val="ListNumberLevel2"/>
        <w:numPr>
          <w:ilvl w:val="1"/>
          <w:numId w:val="36"/>
        </w:numPr>
        <w:pBdr>
          <w:top w:val="single" w:sz="4" w:space="1" w:color="auto"/>
          <w:left w:val="single" w:sz="4" w:space="4" w:color="auto"/>
          <w:bottom w:val="single" w:sz="4" w:space="1" w:color="auto"/>
          <w:right w:val="single" w:sz="4" w:space="4" w:color="auto"/>
        </w:pBdr>
        <w:rPr>
          <w:noProof/>
        </w:rPr>
      </w:pPr>
      <w:r w:rsidRPr="00483F7D">
        <w:t>να διευκολύνουν το νόμιμο εμπόριο, με τη σωστή ισορροπία μεταξύ της διευκόλυνσης και της διασφάλισης αποτελεσματικών ελέγχων σε όλους τους διάφορους τύπους κινδύνων, με όσο το δυνατό μικρότερο κόστος και διοικητική επιβάρυνση.</w:t>
      </w:r>
    </w:p>
    <w:p w14:paraId="7BA81563" w14:textId="77777777" w:rsidR="008F6AC1" w:rsidRPr="00483F7D" w:rsidRDefault="008F6AC1" w:rsidP="008F6AC1">
      <w:pPr>
        <w:pStyle w:val="ManualHeading3"/>
        <w:rPr>
          <w:bCs/>
          <w:noProof/>
          <w:szCs w:val="24"/>
        </w:rPr>
      </w:pPr>
      <w:bookmarkStart w:id="276" w:name="_Toc514938665"/>
      <w:bookmarkStart w:id="277" w:name="_Toc520485424"/>
      <w:bookmarkStart w:id="278" w:name="_Toc133320606"/>
      <w:r w:rsidRPr="00483F7D">
        <w:t>1.4.2.</w:t>
      </w:r>
      <w:r w:rsidRPr="00483F7D">
        <w:tab/>
        <w:t>Ειδικοί στόχοι</w:t>
      </w:r>
      <w:bookmarkEnd w:id="276"/>
      <w:bookmarkEnd w:id="277"/>
      <w:bookmarkEnd w:id="278"/>
      <w:r w:rsidRPr="00483F7D">
        <w:t xml:space="preserve"> </w:t>
      </w:r>
    </w:p>
    <w:p w14:paraId="7A4978F6" w14:textId="77777777" w:rsidR="008F6AC1" w:rsidRPr="00483F7D" w:rsidRDefault="008F6AC1" w:rsidP="00CF7E35">
      <w:pPr>
        <w:pStyle w:val="ListNumber4"/>
        <w:numPr>
          <w:ilvl w:val="0"/>
          <w:numId w:val="35"/>
        </w:numPr>
        <w:pBdr>
          <w:top w:val="single" w:sz="4" w:space="1" w:color="auto"/>
          <w:left w:val="single" w:sz="4" w:space="11" w:color="auto"/>
          <w:bottom w:val="single" w:sz="4" w:space="1" w:color="auto"/>
          <w:right w:val="single" w:sz="4" w:space="4" w:color="auto"/>
        </w:pBdr>
        <w:contextualSpacing/>
      </w:pPr>
      <w:r w:rsidRPr="00483F7D">
        <w:rPr>
          <w:b/>
        </w:rPr>
        <w:t>Ενίσχυση της διαχείρισης των κινδύνων από τα τελωνεία της ΕΕ</w:t>
      </w:r>
      <w:r w:rsidRPr="00483F7D">
        <w:t xml:space="preserve">. </w:t>
      </w:r>
    </w:p>
    <w:p w14:paraId="6FB27B43" w14:textId="77777777" w:rsidR="008F6AC1" w:rsidRPr="00483F7D" w:rsidRDefault="008F6AC1" w:rsidP="00CF7E35">
      <w:pPr>
        <w:pStyle w:val="ListNumber4"/>
        <w:numPr>
          <w:ilvl w:val="0"/>
          <w:numId w:val="35"/>
        </w:numPr>
        <w:pBdr>
          <w:top w:val="single" w:sz="4" w:space="1" w:color="auto"/>
          <w:left w:val="single" w:sz="4" w:space="11" w:color="auto"/>
          <w:bottom w:val="single" w:sz="4" w:space="1" w:color="auto"/>
          <w:right w:val="single" w:sz="4" w:space="4" w:color="auto"/>
        </w:pBdr>
        <w:contextualSpacing/>
      </w:pPr>
      <w:r w:rsidRPr="00483F7D">
        <w:rPr>
          <w:b/>
        </w:rPr>
        <w:t>Μείωση της διοικητικής επιβάρυνσης</w:t>
      </w:r>
      <w:r w:rsidRPr="00483F7D">
        <w:t xml:space="preserve"> και απλούστευση των διαδικασιών για τους συναλλασσομένους, τους καταναλωτές και τις τελωνειακές αρχές, χωρίς να τίθεται σε κίνδυνο η αποτελεσματική τελωνειακή επιτήρηση. </w:t>
      </w:r>
    </w:p>
    <w:p w14:paraId="2D2FA9F5" w14:textId="77777777" w:rsidR="008F6AC1" w:rsidRPr="00483F7D" w:rsidRDefault="008F6AC1" w:rsidP="00CF7E35">
      <w:pPr>
        <w:pStyle w:val="ListNumber4"/>
        <w:numPr>
          <w:ilvl w:val="0"/>
          <w:numId w:val="35"/>
        </w:numPr>
        <w:pBdr>
          <w:top w:val="single" w:sz="4" w:space="1" w:color="auto"/>
          <w:left w:val="single" w:sz="4" w:space="11" w:color="auto"/>
          <w:bottom w:val="single" w:sz="4" w:space="1" w:color="auto"/>
          <w:right w:val="single" w:sz="4" w:space="4" w:color="auto"/>
        </w:pBdr>
        <w:contextualSpacing/>
      </w:pPr>
      <w:r w:rsidRPr="00483F7D">
        <w:t xml:space="preserve">Διασφάλιση </w:t>
      </w:r>
      <w:r w:rsidRPr="00483F7D">
        <w:rPr>
          <w:b/>
        </w:rPr>
        <w:t>ισότιμων όρων ανταγωνισμού μεταξύ του ηλεκτρονικού εμπορίου και του παραδοσιακού εμπορίου</w:t>
      </w:r>
      <w:r w:rsidRPr="00483F7D">
        <w:t xml:space="preserve"> όσον αφορά τα τελωνεία, σύμφωνα με τους κανόνες ΦΠΑ. </w:t>
      </w:r>
    </w:p>
    <w:p w14:paraId="1897F625" w14:textId="77777777" w:rsidR="008F6AC1" w:rsidRPr="00483F7D" w:rsidRDefault="008F6AC1" w:rsidP="00CF7E35">
      <w:pPr>
        <w:pStyle w:val="ListNumber4"/>
        <w:numPr>
          <w:ilvl w:val="0"/>
          <w:numId w:val="35"/>
        </w:numPr>
        <w:pBdr>
          <w:top w:val="single" w:sz="4" w:space="1" w:color="auto"/>
          <w:left w:val="single" w:sz="4" w:space="11" w:color="auto"/>
          <w:bottom w:val="single" w:sz="4" w:space="1" w:color="auto"/>
          <w:right w:val="single" w:sz="4" w:space="4" w:color="auto"/>
        </w:pBdr>
        <w:contextualSpacing/>
      </w:pPr>
      <w:r w:rsidRPr="00483F7D">
        <w:rPr>
          <w:b/>
        </w:rPr>
        <w:t>Ενίσχυση της πρόσβασης και της χρήσης δεδομένων</w:t>
      </w:r>
      <w:r w:rsidRPr="00483F7D">
        <w:t xml:space="preserve"> για τη στρατηγική δράση των τελωνείων με σκοπό την ορθότερη υποστήριξη της καλύτερης διαχείρισης κινδύνων, της αντιμετώπισης κρίσεων, της μέτρησης των επιδόσεων της τελωνειακής ένωσης και της απλούστευσης των κανόνων για το εμπόριο.</w:t>
      </w:r>
    </w:p>
    <w:p w14:paraId="18CAB0A0" w14:textId="77777777" w:rsidR="008F6AC1" w:rsidRPr="00483F7D" w:rsidRDefault="008F6AC1" w:rsidP="00CF7E35">
      <w:pPr>
        <w:pStyle w:val="ListNumber4"/>
        <w:numPr>
          <w:ilvl w:val="0"/>
          <w:numId w:val="35"/>
        </w:numPr>
        <w:pBdr>
          <w:top w:val="single" w:sz="4" w:space="1" w:color="auto"/>
          <w:left w:val="single" w:sz="4" w:space="11" w:color="auto"/>
          <w:bottom w:val="single" w:sz="4" w:space="1" w:color="auto"/>
          <w:right w:val="single" w:sz="4" w:space="4" w:color="auto"/>
        </w:pBdr>
        <w:contextualSpacing/>
        <w:rPr>
          <w:noProof/>
        </w:rPr>
      </w:pPr>
      <w:r w:rsidRPr="00483F7D">
        <w:rPr>
          <w:b/>
        </w:rPr>
        <w:t>Να καταστεί δυνατό η τελωνειακή ένωση να ενεργήσει</w:t>
      </w:r>
      <w:r w:rsidRPr="00483F7D">
        <w:t xml:space="preserve"> ως ενιαίο σύνολο, με τη διασφάλιση της αποτελεσματικής προστασίας σε επίπεδο ΕΕ, ανεξάρτητα από τον τόπο διέλευσης των εμπορευμάτων από τα σύνορα, μεταξύ άλλων σε σενάρια κρίσης.</w:t>
      </w:r>
    </w:p>
    <w:p w14:paraId="32E6B308" w14:textId="77777777" w:rsidR="008F6AC1" w:rsidRPr="00483F7D" w:rsidRDefault="008F6AC1" w:rsidP="008F6AC1">
      <w:pPr>
        <w:rPr>
          <w:noProof/>
        </w:rPr>
      </w:pPr>
      <w:r w:rsidRPr="00483F7D">
        <w:t xml:space="preserve">Από την άποψη των δαπανών, οι στόχοι αυτοί επιτυγχάνονται μέσω της μεταρρύθμισης των τελωνειακών διαδικασιών, η οποία στηρίζεται στα ακόλουθα δύο σημαντικά αποτελέσματα: </w:t>
      </w:r>
      <w:r w:rsidRPr="00483F7D">
        <w:rPr>
          <w:b/>
        </w:rPr>
        <w:t>νέος τελωνειακός κόμβος δεδομένων της ΕΕ</w:t>
      </w:r>
      <w:r w:rsidRPr="00483F7D">
        <w:t xml:space="preserve"> και </w:t>
      </w:r>
      <w:r w:rsidRPr="00483F7D">
        <w:rPr>
          <w:b/>
        </w:rPr>
        <w:t>νέα Τελωνειακή Αρχή της ΕΕ (EUCA)</w:t>
      </w:r>
      <w:r w:rsidRPr="00483F7D">
        <w:t>.</w:t>
      </w:r>
    </w:p>
    <w:p w14:paraId="576F09A1" w14:textId="77777777" w:rsidR="008F6AC1" w:rsidRPr="00483F7D" w:rsidRDefault="008F6AC1" w:rsidP="008F6AC1">
      <w:pPr>
        <w:pStyle w:val="ManualHeading3"/>
        <w:rPr>
          <w:bCs/>
          <w:noProof/>
          <w:szCs w:val="24"/>
        </w:rPr>
      </w:pPr>
      <w:bookmarkStart w:id="279" w:name="_Toc514938666"/>
      <w:bookmarkStart w:id="280" w:name="_Toc520485425"/>
      <w:bookmarkStart w:id="281" w:name="_Toc133320607"/>
      <w:r w:rsidRPr="00483F7D">
        <w:t>1.4.3.</w:t>
      </w:r>
      <w:r w:rsidRPr="00483F7D">
        <w:tab/>
        <w:t>Αναμενόμενα αποτελέσματα και επιπτώσεις</w:t>
      </w:r>
      <w:bookmarkEnd w:id="279"/>
      <w:bookmarkEnd w:id="280"/>
      <w:bookmarkEnd w:id="281"/>
    </w:p>
    <w:p w14:paraId="59D14984"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483F7D">
        <w:rPr>
          <w:b/>
        </w:rPr>
        <w:t>Υπηρεσίες της ΕΕ:</w:t>
      </w:r>
    </w:p>
    <w:p w14:paraId="4CFE3999"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Στο πλαίσιο της μεταρρύθμισης, θα υπάρξει σημαντική αλλαγή στον τρόπο χειρισμού των τελωνειακών συστημάτων ΤΠ της Ευρωπαϊκής Επιτροπής. Η Επιτροπή αναπτύσσει, εφαρμόζει και διατηρεί τον νέο τελωνειακό κόμβο δεδομένων της ΕΕ, τον οποίο μπορεί να αποφασίσει να αναθέσει στην Τελωνειακή Αρχή της ΕΕ. Επιπλέον, η Αρχή πρόκειται να αναλάβει από την Επιτροπή το μεγαλύτερο μέρος της ανάπτυξης και της επιχειρησιακής λειτουργίας των υφιστάμενων διευρωπαϊκών συστημάτων ΤΠ</w:t>
      </w:r>
      <w:r w:rsidRPr="00483F7D">
        <w:rPr>
          <w:rStyle w:val="FootnoteReference"/>
          <w:noProof/>
        </w:rPr>
        <w:footnoteReference w:id="84"/>
      </w:r>
      <w:r w:rsidRPr="00483F7D">
        <w:t xml:space="preserve">. Ο σημερινός ρόλος της Επιτροπής στην υποστήριξη της συνεργασίας μεταξύ τελωνείων και της συνεργασίας μεταξύ αρχών, της επιχειρησιακής υποστήριξης και συντονισμού και της επιχειρησιακής ανάπτυξης ικανοτήτων θα αντικατασταθεί σε μεγάλο βαθμό και θα εμβαθυνθεί από την Τελωνειακή Αρχή της ΕΕ. Η Επιτροπή θα διατηρήσει τον πολιτικό και νομοθετικό της ρόλο. </w:t>
      </w:r>
    </w:p>
    <w:p w14:paraId="4FF48AF5"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Η Τελωνειακή Αρχή της ΕΕ θα συμβάλει στην ανάπτυξη και στον εξορθολογισμό (μεταξύ των αρχών) στρατηγικών, συμπεριλαμβανομένης της ανάπτυξης πληροφοριών, της καινοτομίας, της προετοιμασίας για την αντιμετώπιση κρίσεων, της εφαρμογής αναλυτικών μεθόδων της ΕΕ και των συγχρονισμένων λειτουργιών. Η Τελωνειακή Αρχή της ΕΕ θα χρησιμοποιήσει τον νέο κόμβο δεδομένων για να αναλάβει πρόσθετες προσπάθειες σε επίπεδο ΕΕ σε βασικούς τομείς, συμπεριλαμβανομένης της διαχείρισης κινδύνων, της κατάρτισης, της παρακολούθησης και της αξιολόγησης των επιδόσεων, προσφέροντας την κρίσιμη μάζα, την εστίαση και την οργανωτική/συντονιστική αποστολή της στα βασικά καθήκοντα που πρέπει να εκτελούνται «ως ενιαίο σύνολο». Η Τελωνειακή Αρχή της ΕΕ θα παρακολουθεί επίσης την κοινή εφαρμογή των απλουστεύσεων για τους συναλλασσομένους, συμπεριλαμβανομένων εκείνων που διαθέτουν την </w:t>
      </w:r>
      <w:r w:rsidRPr="00483F7D">
        <w:rPr>
          <w:i/>
        </w:rPr>
        <w:t>προσέγγιση αξιοπιστίας και ελέγχου</w:t>
      </w:r>
      <w:r w:rsidRPr="00483F7D">
        <w:t xml:space="preserve">, και θα προετοιμάζει μικροεφαρμογές για την υποστήριξη των υπηρεσιών διευκόλυνσης του εμπορίου, καθώς και για τη διαχείριση της συνολικής διεπαφής συναλλασσομένων με την τελωνειακή ένωση. </w:t>
      </w:r>
    </w:p>
    <w:p w14:paraId="7383B3D0"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Ως εκ τούτου, η Τελωνειακή Αρχή της ΕΕ θα διαδραματίσει καίριο και βαθύτερο ρόλο στην επίτευξη αποτελεσματικότερης και πιο ενιαίας εφαρμογής των τελωνειακών κανόνων και διαδικασιών. Θα προσφέρει πραγματική στρατηγική ικανότητα. Αυτό θα συμβάλει στη συστηματική παροχή ενωσιακής προστασίας και διευκολύνσεων προς όφελος των πολιτών, των επιχειρήσεων και όλων των σχετικών πολιτικών και υπηρεσιών της ΕΕ. Η ΕΕ θα επωφεληθεί από την αποτελεσματικότερη πρόληψη της απώλειας εσόδων και από την αυξημένη είσπραξη τελωνειακών δασμών που προκύπτει από την κατάργηση του κατώτατου ορίου των 150 EUR.</w:t>
      </w:r>
    </w:p>
    <w:p w14:paraId="1E963876"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483F7D">
        <w:rPr>
          <w:b/>
        </w:rPr>
        <w:t>Τελωνειακές αρχές των κρατών μελών:</w:t>
      </w:r>
    </w:p>
    <w:p w14:paraId="0400D120"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Λόγω του νέου προτύπου του τελωνειακού κόμβου δεδομένων της ΕΕ, ο φόρτος εργασίας ΤΠ των τελωνείων στα κράτη μέλη θα μειωθεί σημαντικά με την πάροδο των ετών, καθώς τα κράτη μέλη δεν θα υποχρεούνται να διατηρούν τα βασικά τελωνειακά συστήματα ΤΠ. Μόνο τα συστήματα ΤΠ στα οποία οι εθνικές ιδιαιτερότητες ή η ενοποίηση απαιτούν προσαρμογή θα διατηρούνται σε εθνικό επίπεδο και, ακόμη και στις περιπτώσεις αυτές, θα γίνεται με τη χρήση των δυνατοτήτων του τελωνειακού κόμβου δεδομένων της ΕΕ, που θα διευκολύνει το έργο. </w:t>
      </w:r>
    </w:p>
    <w:p w14:paraId="2E636C54"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Τα κράτη μέλη θα επωφεληθούν από ένα νέο επίπεδο της ΕΕ ανάλυσης τελωνειακών δεδομένων και ανάλυσης κινδύνου που διενεργείται σε κεντρικό επίπεδο στην Τελωνειακή Αρχή της ΕΕ και θα αλληλεπιδρούν με αυτό. </w:t>
      </w:r>
    </w:p>
    <w:p w14:paraId="373F92BB"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Τα κράτη μέλη θα επωφεληθούν από τη μείωση των απαιτήσεων σε ισοδύναμο πλήρους απασχόλησης προσωπικού λόγω της κοινής εκτέλεσης καθηκόντων στην Τελωνειακή Αρχή της ΕΕ, ιδίως στους τομείς της διαχείρισης κινδύνων, της ΤΠ και των γενικών λειτουργιών τελωνειακής διαχείρισης. Αυτό δεν συνεπάγεται τη μείωση του αριθμού των υπαλλήλων, αλλά οι εθνικές τελωνειακές διοικήσεις θα είναι σε θέση να χρησιμοποιούν αποτελεσματικότερα τους πόρους τους.</w:t>
      </w:r>
    </w:p>
    <w:p w14:paraId="1CECDCF6"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Τα κράτη μέλη θα επωφεληθούν από την καλύτερη απόδοση της αξίας της τελωνειακής και ενωσιακής πολιτικής. Τα κοινά συμφέροντα για την προστασία των πολιτών, των καταναλωτών, του εμπορίου και των επιχειρήσεων που αντικατοπτρίζονται σε κοινές πολιτικές σχετικά με τα πρότυπα προϊόντων, την ασφάλεια, την προστασία, την υγεία κ.λπ. θα επιτευχθούν πιο αποτελεσματικά, αποδοτικά και συστηματικά σε όλα τα σημεία εισόδου, με μείωση των δυνατοτήτων του παράνομου εμπορίου να παρακάμπτει την επιβολή της νομοθεσίας σε ένα κράτος μέλος με την αναζήτηση εισόδου μέσω άλλου εξωτερικού συνόρου. </w:t>
      </w:r>
    </w:p>
    <w:p w14:paraId="45E598B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Τα κράτη μέλη θα επωφεληθούν επίσης από την αποτελεσματικότερη πρόληψη της απώλειας εσόδων (διαφυγή τελωνειακών δασμών) και από την αυξημένη είσπραξη τελωνειακών δασμών που θα προκύψει από την κατάργηση του κατώτατου ορίου των 150 EUR. </w:t>
      </w:r>
    </w:p>
    <w:p w14:paraId="14208C09"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483F7D">
        <w:rPr>
          <w:b/>
        </w:rPr>
        <w:t>Επιχειρήσεις και εμπόριο:</w:t>
      </w:r>
    </w:p>
    <w:p w14:paraId="3FA8E9CB"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Οι οικονομικοί φορείς θα επωφεληθούν σημαντικά από μια θεμελιώδη αλλαγή στις τελωνειακές διαδικασίες, η οποία θα παρέχεται απευθείας μέσω του τελωνειακού κόμβου δεδομένων της ΕΕ.</w:t>
      </w:r>
    </w:p>
    <w:p w14:paraId="4E1DF73F"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Όλοι οι συναλλασσόμενοι θα επωφεληθούν από την απλούστευση και τον εξορθολογισμό των σταδίων των τελωνειακών διαδικασιών. </w:t>
      </w:r>
      <w:bookmarkStart w:id="282" w:name="_Hlk127801370"/>
      <w:r w:rsidRPr="00483F7D">
        <w:t>Ο αριθμός των σημείων παροχής δεδομένων μειώνεται και τα δεδομένα παρέχονται σε μία ενιαία διεπαφή της ΕΕ αντί μέσω 27 εθνικών διεπαφών και διαδικασιών. Τα δεδομένα μπορούν να παρέχονται εκ των προτέρων και να επαναχρησιμοποιούνται, αντί να παρέχονται επαναλαμβανόμενα. Οι απαιτήσεις δεδομένων επανεξισορροπούνται ώστε να ανταποκρίνονται καλύτερα στις εμπορικές πρακτικές: τα δεδομένα απαιτούνται καταρχήν από εκείνους που είναι σε καλύτερη θέση να τα παράσχουν, τα δεδομένα γίνονται δεκτά σε πολλαπλές μορφές και ο ρόλος του διασαφιστή καταργείται.</w:t>
      </w:r>
      <w:bookmarkEnd w:id="282"/>
      <w:r w:rsidRPr="00483F7D">
        <w:t xml:space="preserve"> Η Τελωνειακή Αρχή της ΕΕ ενισχύει τη συνεργασία μεταξύ των εθνικών τελωνειακών αρχών και επί τόπου στα σύνορα και υποστηρίζει την ενιαία εφαρμογή απλούστερων διαδικασιών.</w:t>
      </w:r>
    </w:p>
    <w:p w14:paraId="6EA3184E"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Θα παρασχεθούν ορισμένες πρόσθετες πληροφορίες (ιδίως ο κατασκευαστής των εμπορευμάτων). Ωστόσο, η προσπάθεια που απαιτείται για την παροχή πρόσθετων πληροφοριών θα αντισταθμιστεί με το παραπάνω από την απλούστευση και τη μείωση των τελωνειακών διαδικασιών.</w:t>
      </w:r>
    </w:p>
    <w:p w14:paraId="01E8622C"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Οι βελτιώσεις στην τελωνειακή στόχευση θα βελτιώσουν την προστασία των νόμιμων επιχειρήσεων από μη συμμορφούμενες εφοδιαστικές αλυσίδες και απειλές για την ασφάλεια της εφοδιαστικής αλυσίδας, και θα μειώσουν τον αθέμιτο ανταγωνισμό, μέσω της καλύτερης επιβολής των κανονιστικών μέτρων. Αυτό βελτιώνει την προστασία των θέσεων εργασίας, της καινοτομίας και των επενδύσεων. Επιπλέον, η ανθεκτικότητα των εφοδιαστικών αλυσίδων σε σενάρια κρίσης, όπως επιδημικές εξάρσεις νόσων ή περιστατικά ασφάλειας, θα ενισχυθεί σημαντικά με την παροχή άμεσης, ειδικής και ενιαίας στόχευσης των επικίνδυνων ροών, με παράλληλη ελαχιστοποίηση του εύρους και της κλίμακας των διαταραχών, και με τη διατήρηση της ετοιμότητας αντιμετώπισης κρίσεων σε 24ωρη βάση, 7 ημέρες την εβδομάδα, 365 ημέρες τον χρόνο, με την υποστήριξη μακροπρόθεσμης συνεργασίας με άλλες αρμόδιες αρχές. </w:t>
      </w:r>
    </w:p>
    <w:p w14:paraId="4B0AF2F2"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Οι </w:t>
      </w:r>
      <w:r w:rsidRPr="00483F7D">
        <w:rPr>
          <w:i/>
        </w:rPr>
        <w:t>αξιόπιστοι και ελεγμένοι</w:t>
      </w:r>
      <w:r w:rsidRPr="00483F7D">
        <w:t xml:space="preserve"> συναλλασσόμενοι θα επωφεληθούν από τη βελτίωση της εταιρικής σχέσης με τα τελωνεία. Οι εν λόγω συναλλασσόμενοι θα πληρούν όρους παρόμοιους με τις ισχύουσες απαιτήσεις ΕΟΦ και θα παρέχουν επίσης πρόσθετη διαφάνεια μέσω της συστηματικής διάθεσης των δεδομένων στα τελωνειακά συστήματα. Τα δεδομένα αυτά θα είναι δυνατό να επαναχρησιμοποιηθούν από τους μεταφορείς σε διαδικασίες εκ των προτέρων πληροφοριών για τα φορτία, και οι ροές εμπορευμάτων θα είναι δυνατό να «αυτοπαραδοθούν» κατά την άφιξή τους (καταρχήν τα εμπορεύματα θα συνεχίσουν να διακινούνται, με τις διαδικασίες των εκ των προτέρων πληροφοριών για τα φορτία να παρέχουν στα τελωνεία τα μέσα για να παρέμβουν, αν αυτό καταστεί αναγκαίο). Οι </w:t>
      </w:r>
      <w:r w:rsidRPr="00483F7D">
        <w:rPr>
          <w:i/>
        </w:rPr>
        <w:t>αξιόπιστοι και ελεγμένοι</w:t>
      </w:r>
      <w:r w:rsidRPr="00483F7D">
        <w:t xml:space="preserve"> συναλλασσόμενοι θα επωφεληθούν από λιγότερους και πιο στοχευμένους τελωνειακούς ελέγχους, θα λαμβάνουν γενικά εκ των προτέρων προειδοποιήσεις και, στο μέτρο του δυνατού, οι έλεγχοι και οι διατυπώσεις θα μεταφέρονται σε εξυπηρετικές τοποθεσίες. Στον βαθμό που συμφωνήθηκε με άλλες αρχές, ορισμένοι μη χρηματοοικονομικοί έλεγχοι θα μπορούσαν επίσης να απομακρυνθούν από τα σύνορα και να διενεργηθούν από τον </w:t>
      </w:r>
      <w:r w:rsidRPr="00483F7D">
        <w:rPr>
          <w:i/>
        </w:rPr>
        <w:t>αξιόπιστο και ελεγμένο</w:t>
      </w:r>
      <w:r w:rsidRPr="00483F7D">
        <w:t xml:space="preserve"> συναλλασσόμενο. Οι απαιτήσεις εγγύησης θα μειωθούν.</w:t>
      </w:r>
    </w:p>
    <w:p w14:paraId="7E171A42"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Όσον αφορά το ηλεκτρονικό εμπόριο, η κατάργηση του κατώτατου ορίου απαλλαγής από τελωνειακούς δασμούς θα σημάνει ότι θα πρέπει να παρέχονται περισσότερες τελωνειακές πληροφορίες, με γνώμονα ότι τα δεδομένα παρέχονται ήδη για όλα τα εισαγόμενα εμπορεύματα σύμφωνα με τους νέους κανόνες ΦΠΑ για το ηλεκτρονικό εμπόριο από τον Ιούλιο του 2021. Ο τελωνειακός κόμβος δεδομένων της ΕΕ θα παρέχει μια ενιαία διεπαφή που θα διευκολύνει τόσο την παροχή πληροφοριών από τους ενδιάμεσους φορείς στο ηλεκτρονικό εμπόριο όσο και την επεξεργασία των εν λόγω πληροφοριών για τις τελωνειακές αρχές. </w:t>
      </w:r>
    </w:p>
    <w:p w14:paraId="57575FD8"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Με την άμεση αντιμετώπιση της τελωνειακής συμμόρφωσης, οι πλατφόρμες ηλεκτρονικού εμπορίου θα επωφεληθούν από το γεγονός ότι θα προσφέρουν τελική τιμή στους πελάτες τους και πιθανότατα θα διαπιστώσουν μείωση των καταγγελιών και των επιστροφών λόγω του απροσδόκητου κόστους συμμόρφωσης στα σύνορα, με αποτέλεσμα να μειωθούν οι τριγμοί που παρατηρούνται επί του παρόντος στις εφοδιαστικές αλυσίδες τους. Συνολικά, η προτιμώμενη επιλογή αναμένεται να οδηγήσει σε χαμηλότερο κόστος συμμόρφωσης για τους οικονομικούς φορείς, ιδίως κατά την εισαγωγή. Θα εξαλείψει σχεδόν την ανάγκη έναρξης του τρέχοντος καθεστώτος «εσωτερικής διαμετακόμισης» και των σχετικών διασαφήσεων στις περιπτώσεις που τα εμπορεύματα μεταφέρονται από το κράτος μέλος εισόδου στο κράτος μέλος παράδοσης.</w:t>
      </w:r>
    </w:p>
    <w:p w14:paraId="4E04C3B3"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483F7D">
        <w:rPr>
          <w:b/>
        </w:rPr>
        <w:t>Πολίτες — καταναλωτές:</w:t>
      </w:r>
    </w:p>
    <w:p w14:paraId="27D488E3"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Η κατάργηση του κατώτατου ορίου των 150 EUR για τους τελωνειακούς δασμούς μπορεί να προκαλέσει ελαφρά ανοδική πίεση στις τιμές για τους καταναλωτές εμπορευμάτων αξίας χαμηλότερης από το ποσό αυτό· ωστόσο, η απλούστευση και η σταθεροποίηση των διαδικασιών θα αυξήσουν την αποδοτικότητα της εφοδιαστικής αλυσίδας και ο αντίκτυπος στο κόστος και στις τιμές θα καθορίζεται από ανταγωνιστικούς παράγοντες. </w:t>
      </w:r>
    </w:p>
    <w:p w14:paraId="1F9444A8" w14:textId="77777777" w:rsidR="00C16CE8" w:rsidRPr="00483F7D" w:rsidRDefault="008F6AC1" w:rsidP="00C16CE8">
      <w:pPr>
        <w:pStyle w:val="Text1"/>
        <w:pBdr>
          <w:top w:val="single" w:sz="4" w:space="1" w:color="auto"/>
          <w:left w:val="single" w:sz="4" w:space="4" w:color="auto"/>
          <w:bottom w:val="single" w:sz="4" w:space="1" w:color="auto"/>
          <w:right w:val="single" w:sz="4" w:space="4" w:color="auto"/>
        </w:pBdr>
        <w:rPr>
          <w:noProof/>
        </w:rPr>
      </w:pPr>
      <w:r w:rsidRPr="00483F7D">
        <w:t>Οι πολίτες και οι καταναλωτές θα επωφεληθούν από πιο διαφανείς και προβλέψιμες διαδικασίες όσον αφορά τις αγορές ηλεκτρονικού εμπορίου από χώρες εκτός της ΕΕ και από λιγότερα αιφνιδιαστικά αιτήματα για καταβολή δασμών και για τέλη υπηρεσιών εφοδιαστικής για τη διεκπεραίωσή τους, καθώς και από επισκέψεις σε ταχυδρομεία σε σύγκριση με το βασικό σενάριο, με αποτέλεσμα να αμβλυνθεί η σημερινή εμπειρία των απροσδόκητων επιβαρύνσεων και καθυστερήσεων. Οι πολίτες και οι καταναλωτές θα επωφεληθούν σημαντικά από την καλύτερη και πιο ορατή προστασία στο πλαίσιο των πολιτικών της ΕΕ από τις συνέπειες επιβλαβών και δόλιων προϊόντων λόγω της συστηματικής βελτίωσης σε επίπεδο ΕΕ όσον αφορά τον εντοπισμό επιβλαβών εφοδιαστικών αλυσίδων.</w:t>
      </w:r>
      <w:bookmarkStart w:id="283" w:name="_Toc514938667"/>
      <w:bookmarkStart w:id="284" w:name="_Toc520485426"/>
      <w:bookmarkStart w:id="285" w:name="_Toc133320608"/>
    </w:p>
    <w:p w14:paraId="161AB2DB" w14:textId="77777777" w:rsidR="00C16CE8" w:rsidRPr="00483F7D" w:rsidRDefault="00C16CE8" w:rsidP="00C16CE8">
      <w:pPr>
        <w:pStyle w:val="Text1"/>
      </w:pPr>
    </w:p>
    <w:p w14:paraId="194C3C86" w14:textId="77777777" w:rsidR="00C16CE8" w:rsidRPr="00483F7D" w:rsidRDefault="00C16CE8" w:rsidP="00C16CE8">
      <w:pPr>
        <w:pStyle w:val="Text1"/>
      </w:pPr>
    </w:p>
    <w:p w14:paraId="1CBAA6AA" w14:textId="77777777" w:rsidR="00C16CE8" w:rsidRPr="00483F7D" w:rsidRDefault="00C16CE8" w:rsidP="00C16CE8">
      <w:pPr>
        <w:pStyle w:val="Text1"/>
      </w:pPr>
    </w:p>
    <w:p w14:paraId="3F989443" w14:textId="77777777" w:rsidR="00C16CE8" w:rsidRPr="00483F7D" w:rsidRDefault="00C16CE8" w:rsidP="00C16CE8">
      <w:pPr>
        <w:pStyle w:val="Text1"/>
      </w:pPr>
    </w:p>
    <w:p w14:paraId="5B7C9346" w14:textId="77777777" w:rsidR="008F6AC1" w:rsidRPr="00483F7D" w:rsidRDefault="008F6AC1" w:rsidP="00C16CE8">
      <w:pPr>
        <w:pStyle w:val="ManualHeading3"/>
      </w:pPr>
      <w:r w:rsidRPr="00483F7D">
        <w:t>1.4.4.</w:t>
      </w:r>
      <w:r w:rsidRPr="00483F7D">
        <w:tab/>
        <w:t>Δείκτες επιδόσεων</w:t>
      </w:r>
      <w:bookmarkEnd w:id="283"/>
      <w:bookmarkEnd w:id="284"/>
      <w:bookmarkEnd w:id="285"/>
      <w:r w:rsidRPr="00483F7D">
        <w:t xml:space="preserve"> </w:t>
      </w:r>
    </w:p>
    <w:p w14:paraId="552AC277" w14:textId="77777777" w:rsidR="008F6AC1" w:rsidRPr="00483F7D" w:rsidRDefault="008F6AC1" w:rsidP="008F6AC1">
      <w:pPr>
        <w:pStyle w:val="Text1"/>
      </w:pPr>
      <w:r w:rsidRPr="00483F7D">
        <w:t>Οι δείκτες προβλέπονται στους παρακάτω τίτλους. Η μεταρρύθμιση θα ενισχύσει επίσης τη βάση για την αξιολόγηση των επιδόσεων της τελωνειακής ένωσης ως τέτοια, καθιστώντας δυνατή την επεξεργασία επιχειρησιακών δεδομένων σε επίπεδο ΕΕ για τον σκοπό αυτόν.</w:t>
      </w:r>
    </w:p>
    <w:p w14:paraId="6473277E" w14:textId="77777777" w:rsidR="008F6AC1" w:rsidRPr="00483F7D" w:rsidRDefault="008F6AC1" w:rsidP="00CF7E35">
      <w:pPr>
        <w:pStyle w:val="ListNumber4"/>
        <w:numPr>
          <w:ilvl w:val="0"/>
          <w:numId w:val="42"/>
        </w:numPr>
        <w:pBdr>
          <w:top w:val="single" w:sz="4" w:space="1" w:color="auto"/>
          <w:left w:val="single" w:sz="4" w:space="4" w:color="auto"/>
          <w:bottom w:val="single" w:sz="4" w:space="1" w:color="auto"/>
          <w:right w:val="single" w:sz="4" w:space="4" w:color="auto"/>
        </w:pBdr>
        <w:contextualSpacing/>
        <w:rPr>
          <w:b/>
        </w:rPr>
      </w:pPr>
      <w:r w:rsidRPr="00483F7D">
        <w:rPr>
          <w:b/>
        </w:rPr>
        <w:t>Βελτίωση της είσπραξης εσόδων μέσω της διαχείρισης επιχειρησιακών κινδύνων σε επίπεδο ΕΕ:</w:t>
      </w:r>
    </w:p>
    <w:p w14:paraId="30BF0BEE"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Είσπραξη εσόδων για εμπορεύματα αξίας άνω των 150 EUR </w:t>
      </w:r>
    </w:p>
    <w:p w14:paraId="2C39664E"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Ποσοστό μη καταβληθέντων δασμών </w:t>
      </w:r>
    </w:p>
    <w:p w14:paraId="311684B2"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στρατηγικών διαχείρισης κινδύνων με άλλες αρχές (αρμόδιες π.χ. για  </w:t>
      </w:r>
      <w:r w:rsidRPr="00483F7D">
        <w:br/>
        <w:t xml:space="preserve"> </w:t>
      </w:r>
      <w:r w:rsidRPr="00483F7D">
        <w:tab/>
        <w:t xml:space="preserve">τη φορολογία και την καταπολέμηση της απάτης) </w:t>
      </w:r>
    </w:p>
    <w:p w14:paraId="47ED69A5"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Κατασχέσεις</w:t>
      </w:r>
    </w:p>
    <w:p w14:paraId="79FAB5A1" w14:textId="77777777" w:rsidR="008F6AC1" w:rsidRPr="00483F7D" w:rsidRDefault="008F6AC1" w:rsidP="00CF7E35">
      <w:pPr>
        <w:pStyle w:val="ListNumber4"/>
        <w:numPr>
          <w:ilvl w:val="0"/>
          <w:numId w:val="35"/>
        </w:numPr>
        <w:pBdr>
          <w:top w:val="single" w:sz="4" w:space="1" w:color="auto"/>
          <w:left w:val="single" w:sz="4" w:space="4" w:color="auto"/>
          <w:bottom w:val="single" w:sz="4" w:space="1" w:color="auto"/>
          <w:right w:val="single" w:sz="4" w:space="4" w:color="auto"/>
        </w:pBdr>
        <w:contextualSpacing/>
        <w:rPr>
          <w:b/>
        </w:rPr>
      </w:pPr>
      <w:r w:rsidRPr="00483F7D">
        <w:rPr>
          <w:b/>
        </w:rPr>
        <w:t>Βελτίωση του εντοπισμού των μη συμμορφούμενων εισαγόμενων προϊόντων μέσω της διαχείρισης επιχειρησιακών κινδύνων σε επίπεδο ΕΕ:</w:t>
      </w:r>
      <w:r w:rsidRPr="00483F7D">
        <w:tab/>
      </w:r>
      <w:r w:rsidRPr="00483F7D">
        <w:rPr>
          <w:b/>
        </w:rPr>
        <w:t xml:space="preserve"> </w:t>
      </w:r>
    </w:p>
    <w:p w14:paraId="2216E7C3"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Αριθμός στρατηγικών επιτήρησης με άλλες αρχές (αρμόδιες π.χ. για την καταπολέμηση της απάτης, την εποπτεία της αγοράς, την προστασία των τροφίμων, των ζώων και της υγείας, την ασφάλεια των προϊόντων)</w:t>
      </w:r>
    </w:p>
    <w:p w14:paraId="63C5EA7F"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Κατασχέσεις</w:t>
      </w:r>
    </w:p>
    <w:p w14:paraId="3AC1EEFE" w14:textId="77777777" w:rsidR="008F6AC1" w:rsidRPr="00483F7D" w:rsidRDefault="008F6AC1" w:rsidP="00CF7E35">
      <w:pPr>
        <w:pStyle w:val="ListNumber4"/>
        <w:numPr>
          <w:ilvl w:val="0"/>
          <w:numId w:val="35"/>
        </w:numPr>
        <w:pBdr>
          <w:top w:val="single" w:sz="4" w:space="1" w:color="auto"/>
          <w:left w:val="single" w:sz="4" w:space="4" w:color="auto"/>
          <w:bottom w:val="single" w:sz="4" w:space="1" w:color="auto"/>
          <w:right w:val="single" w:sz="4" w:space="4" w:color="auto"/>
        </w:pBdr>
        <w:contextualSpacing/>
      </w:pPr>
      <w:r w:rsidRPr="00483F7D">
        <w:rPr>
          <w:b/>
        </w:rPr>
        <w:t>Διευκόλυνση των ροών του εμπορίου για τους αξιόπιστους φορείς</w:t>
      </w:r>
      <w:r w:rsidRPr="00483F7D">
        <w:t>:</w:t>
      </w:r>
    </w:p>
    <w:p w14:paraId="3CFA4C7B"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w:t>
      </w:r>
      <w:r w:rsidRPr="00483F7D">
        <w:rPr>
          <w:i/>
        </w:rPr>
        <w:t>αξιόπιστων και ελεγμένων</w:t>
      </w:r>
      <w:r w:rsidRPr="00483F7D">
        <w:t xml:space="preserve"> συναλλασσομένων </w:t>
      </w:r>
    </w:p>
    <w:p w14:paraId="6954EC17"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Ποσοστό εμπορικών συναλλαγών που χειρίζονται οι </w:t>
      </w:r>
      <w:r w:rsidRPr="00483F7D">
        <w:rPr>
          <w:i/>
        </w:rPr>
        <w:t>αξιόπιστοι και ελεγμένοι</w:t>
      </w:r>
      <w:r w:rsidRPr="00483F7D">
        <w:t xml:space="preserve"> συναλλασσόμενοι </w:t>
      </w:r>
    </w:p>
    <w:p w14:paraId="79F20D49"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διαδικασιών που απαιτούνται για τη διακίνηση εμπορευμάτων </w:t>
      </w:r>
    </w:p>
    <w:p w14:paraId="55F4AF0A"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ελέγχων που διενεργήθηκαν σε </w:t>
      </w:r>
      <w:r w:rsidRPr="00483F7D">
        <w:rPr>
          <w:i/>
        </w:rPr>
        <w:t>αξιόπιστους και ελεγμένους</w:t>
      </w:r>
      <w:r w:rsidRPr="00483F7D">
        <w:t xml:space="preserve"> συναλλασσομένους </w:t>
      </w:r>
    </w:p>
    <w:p w14:paraId="26EC06D9"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ανασταλεισών αδειών των </w:t>
      </w:r>
      <w:r w:rsidRPr="00483F7D">
        <w:rPr>
          <w:i/>
        </w:rPr>
        <w:t>αξιόπιστων και ελεγμένων</w:t>
      </w:r>
      <w:r w:rsidRPr="00483F7D">
        <w:t xml:space="preserve"> συναλλασσομένων</w:t>
      </w:r>
    </w:p>
    <w:p w14:paraId="47CF821B" w14:textId="77777777" w:rsidR="008F6AC1" w:rsidRPr="00483F7D" w:rsidRDefault="008F6AC1" w:rsidP="00CF7E35">
      <w:pPr>
        <w:pStyle w:val="ListNumber4"/>
        <w:numPr>
          <w:ilvl w:val="0"/>
          <w:numId w:val="35"/>
        </w:numPr>
        <w:pBdr>
          <w:top w:val="single" w:sz="4" w:space="1" w:color="auto"/>
          <w:left w:val="single" w:sz="4" w:space="4" w:color="auto"/>
          <w:bottom w:val="single" w:sz="4" w:space="1" w:color="auto"/>
          <w:right w:val="single" w:sz="4" w:space="4" w:color="auto"/>
        </w:pBdr>
        <w:contextualSpacing/>
        <w:rPr>
          <w:b/>
        </w:rPr>
      </w:pPr>
      <w:r w:rsidRPr="00483F7D">
        <w:rPr>
          <w:b/>
        </w:rPr>
        <w:t>Είσπραξη εσόδων από το ηλεκτρονικό εμπόριο:</w:t>
      </w:r>
    </w:p>
    <w:p w14:paraId="7EBF2663"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Είσπραξη εσόδων από αποστολές αξίας έως 150 EUR </w:t>
      </w:r>
    </w:p>
    <w:p w14:paraId="0630A957"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Αριθμός αποστολών αξίας έως 150 EUR</w:t>
      </w:r>
    </w:p>
    <w:p w14:paraId="13DD2E5F" w14:textId="77777777" w:rsidR="008F6AC1" w:rsidRPr="00483F7D" w:rsidRDefault="008F6AC1" w:rsidP="00CF7E35">
      <w:pPr>
        <w:pStyle w:val="ListNumber4"/>
        <w:numPr>
          <w:ilvl w:val="0"/>
          <w:numId w:val="35"/>
        </w:numPr>
        <w:pBdr>
          <w:top w:val="single" w:sz="4" w:space="1" w:color="auto"/>
          <w:left w:val="single" w:sz="4" w:space="4" w:color="auto"/>
          <w:bottom w:val="single" w:sz="4" w:space="1" w:color="auto"/>
          <w:right w:val="single" w:sz="4" w:space="4" w:color="auto"/>
        </w:pBdr>
        <w:contextualSpacing/>
        <w:rPr>
          <w:b/>
        </w:rPr>
      </w:pPr>
      <w:r w:rsidRPr="00483F7D">
        <w:rPr>
          <w:b/>
        </w:rPr>
        <w:t>Αξιοποίηση δεδομένων για την ανάληψη στρατηγικής δράσης από τα τελωνεία:</w:t>
      </w:r>
    </w:p>
    <w:p w14:paraId="2748BC18"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Όγκος και είδος των διαθέσιμων δεδομένων </w:t>
      </w:r>
    </w:p>
    <w:p w14:paraId="2C64A66F"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σφαλμάτων δεδομένων και παρεμβάσεων </w:t>
      </w:r>
    </w:p>
    <w:p w14:paraId="2C51AF44"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Διαλειτουργικότητα με πρόσθετες πηγές δεδομένων (χρόνος και πεδίο εφαρμογής)</w:t>
      </w:r>
    </w:p>
    <w:p w14:paraId="54BD8D5B" w14:textId="77777777" w:rsidR="008F6AC1" w:rsidRPr="00483F7D" w:rsidRDefault="008F6AC1" w:rsidP="00CF7E35">
      <w:pPr>
        <w:pStyle w:val="ListNumber4"/>
        <w:numPr>
          <w:ilvl w:val="0"/>
          <w:numId w:val="35"/>
        </w:numPr>
        <w:pBdr>
          <w:top w:val="single" w:sz="4" w:space="1" w:color="auto"/>
          <w:left w:val="single" w:sz="4" w:space="4" w:color="auto"/>
          <w:bottom w:val="single" w:sz="4" w:space="1" w:color="auto"/>
          <w:right w:val="single" w:sz="4" w:space="4" w:color="auto"/>
        </w:pBdr>
        <w:contextualSpacing/>
        <w:rPr>
          <w:b/>
        </w:rPr>
      </w:pPr>
      <w:r w:rsidRPr="00483F7D">
        <w:rPr>
          <w:b/>
        </w:rPr>
        <w:t>(Δράση ως ενιαίο σύνολο) Ενίσχυση της ενιαίας εφαρμογής και των ενιαίων πρακτικών αποφυγής άγρας ευνοϊκών τελωνειακών σημείων εισόδου(«port shopping»):</w:t>
      </w:r>
    </w:p>
    <w:p w14:paraId="06E4CB1B"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ελέγχων και ανατροφοδότησης σχετικά με τους ελέγχους </w:t>
      </w:r>
    </w:p>
    <w:p w14:paraId="125085A1"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Ελάχιστα πρότυπα για τη διαχείριση των κινδύνων </w:t>
      </w:r>
    </w:p>
    <w:p w14:paraId="36233B85"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rPr>
          <w:b/>
          <w:bCs/>
        </w:rPr>
      </w:pPr>
      <w:r w:rsidRPr="00483F7D">
        <w:t>Αριθμός προφίλ κινδύνου της ΕΕ και αποτελέσματα ελέγχου</w:t>
      </w:r>
    </w:p>
    <w:p w14:paraId="00AF227B"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rPr>
          <w:bCs/>
        </w:rPr>
      </w:pPr>
      <w:r w:rsidRPr="00483F7D">
        <w:t>Αριθμός συστάσεων ελέγχου</w:t>
      </w:r>
    </w:p>
    <w:p w14:paraId="59CA6EE5" w14:textId="77777777" w:rsidR="008F6AC1" w:rsidRPr="00483F7D" w:rsidRDefault="008F6AC1" w:rsidP="00CF7E35">
      <w:pPr>
        <w:pStyle w:val="ListNumber4"/>
        <w:numPr>
          <w:ilvl w:val="0"/>
          <w:numId w:val="35"/>
        </w:numPr>
        <w:pBdr>
          <w:top w:val="single" w:sz="4" w:space="1" w:color="auto"/>
          <w:left w:val="single" w:sz="4" w:space="4" w:color="auto"/>
          <w:bottom w:val="single" w:sz="4" w:space="1" w:color="auto"/>
          <w:right w:val="single" w:sz="4" w:space="4" w:color="auto"/>
        </w:pBdr>
        <w:contextualSpacing/>
        <w:rPr>
          <w:b/>
        </w:rPr>
      </w:pPr>
      <w:r w:rsidRPr="00483F7D">
        <w:rPr>
          <w:b/>
        </w:rPr>
        <w:t>(Δράση ως ενιαίο σύνολο) Ενδυνάμωση των τελωνειακών αρχών να ενεργούν με τον ίδιο τρόπο:</w:t>
      </w:r>
    </w:p>
    <w:p w14:paraId="460D3975" w14:textId="77777777" w:rsidR="008F6AC1"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 xml:space="preserve">Αριθμός και ποιότητα των προγραμμάτων κατάρτισης </w:t>
      </w:r>
    </w:p>
    <w:p w14:paraId="046222E3" w14:textId="77777777" w:rsidR="00C16CE8" w:rsidRPr="00483F7D" w:rsidRDefault="008F6AC1" w:rsidP="008F6AC1">
      <w:pPr>
        <w:pStyle w:val="ListBullet4"/>
        <w:pBdr>
          <w:top w:val="single" w:sz="4" w:space="1" w:color="auto"/>
          <w:left w:val="single" w:sz="4" w:space="4" w:color="auto"/>
          <w:bottom w:val="single" w:sz="4" w:space="1" w:color="auto"/>
          <w:right w:val="single" w:sz="4" w:space="4" w:color="auto"/>
        </w:pBdr>
      </w:pPr>
      <w:r w:rsidRPr="00483F7D">
        <w:t>Αριθμός κοινών δραστηριοτήτων, έργων, εργαστηρίων</w:t>
      </w:r>
    </w:p>
    <w:p w14:paraId="43E108B9" w14:textId="77777777" w:rsidR="008F6AC1" w:rsidRPr="00483F7D" w:rsidRDefault="008F6AC1" w:rsidP="00C16CE8">
      <w:pPr>
        <w:spacing w:before="0" w:after="200" w:line="276" w:lineRule="auto"/>
        <w:jc w:val="left"/>
      </w:pPr>
    </w:p>
    <w:p w14:paraId="2B188C22" w14:textId="77777777" w:rsidR="008F6AC1" w:rsidRPr="00483F7D" w:rsidRDefault="008F6AC1" w:rsidP="008F6AC1">
      <w:pPr>
        <w:pStyle w:val="ManualHeading2"/>
        <w:rPr>
          <w:bCs/>
          <w:noProof/>
          <w:szCs w:val="24"/>
        </w:rPr>
      </w:pPr>
      <w:bookmarkStart w:id="286" w:name="_Toc514938668"/>
      <w:bookmarkStart w:id="287" w:name="_Toc520485427"/>
      <w:bookmarkStart w:id="288" w:name="_Toc133320609"/>
      <w:r w:rsidRPr="00483F7D">
        <w:t>1.5.</w:t>
      </w:r>
      <w:r w:rsidRPr="00483F7D">
        <w:tab/>
        <w:t>Αιτιολόγηση της πρότασης/πρωτοβουλίας</w:t>
      </w:r>
      <w:bookmarkEnd w:id="286"/>
      <w:bookmarkEnd w:id="287"/>
      <w:bookmarkEnd w:id="288"/>
      <w:r w:rsidRPr="00483F7D">
        <w:t xml:space="preserve"> </w:t>
      </w:r>
    </w:p>
    <w:p w14:paraId="67C4AF8B" w14:textId="77777777" w:rsidR="008F6AC1" w:rsidRPr="00483F7D" w:rsidRDefault="008F6AC1" w:rsidP="008F6AC1">
      <w:pPr>
        <w:pStyle w:val="ManualHeading3"/>
        <w:rPr>
          <w:noProof/>
        </w:rPr>
      </w:pPr>
      <w:bookmarkStart w:id="289" w:name="_Toc514938669"/>
      <w:bookmarkStart w:id="290" w:name="_Toc520485428"/>
      <w:bookmarkStart w:id="291" w:name="_Toc133320610"/>
      <w:r w:rsidRPr="00483F7D">
        <w:t>1.5.1.</w:t>
      </w:r>
      <w:r w:rsidRPr="00483F7D">
        <w:tab/>
        <w:t>Βραχυπρόθεσμη ή μακροπρόθεσμη κάλυψη αναγκών, συμπεριλαμβανομένου λεπτομερούς χρονοδιαγράμματος για τη σταδιακή υλοποίηση της πρωτοβουλίας</w:t>
      </w:r>
      <w:bookmarkEnd w:id="289"/>
      <w:bookmarkEnd w:id="290"/>
      <w:bookmarkEnd w:id="291"/>
    </w:p>
    <w:p w14:paraId="7F8F545D" w14:textId="77777777" w:rsidR="008F6AC1" w:rsidRPr="00483F7D" w:rsidRDefault="008F6AC1" w:rsidP="008F6AC1">
      <w:pPr>
        <w:pStyle w:val="Text1"/>
        <w:rPr>
          <w:noProof/>
        </w:rPr>
      </w:pPr>
      <w:r w:rsidRPr="00483F7D">
        <w:t>Η πρόταση συνεπάγεται τη μεταρρύθμιση των τελωνειακών διαδικασιών, και ιδίως:</w:t>
      </w:r>
    </w:p>
    <w:p w14:paraId="38A47111" w14:textId="7F7EC759" w:rsidR="008F6AC1" w:rsidRPr="00483F7D" w:rsidRDefault="00BC60FC" w:rsidP="00BC60FC">
      <w:pPr>
        <w:pStyle w:val="Point2"/>
        <w:rPr>
          <w:noProof/>
        </w:rPr>
      </w:pPr>
      <w:r w:rsidRPr="00483F7D">
        <w:t>α)</w:t>
      </w:r>
      <w:r w:rsidRPr="00483F7D">
        <w:tab/>
      </w:r>
      <w:r w:rsidR="008F6AC1" w:rsidRPr="00483F7D">
        <w:t>την προετοιμασία και την ανάπτυξη κοινού περιβάλλοντος διαχείρισης δεδομένων (τελωνειακός κόμβος δεδομένων της ΕΕ) για τελωνειακές πράξεις σε επίπεδο ΕΕ·</w:t>
      </w:r>
    </w:p>
    <w:p w14:paraId="179267A1" w14:textId="2837772F" w:rsidR="008F6AC1" w:rsidRPr="00483F7D" w:rsidRDefault="00BC60FC" w:rsidP="00BC60FC">
      <w:pPr>
        <w:pStyle w:val="Point2"/>
        <w:rPr>
          <w:noProof/>
        </w:rPr>
      </w:pPr>
      <w:r w:rsidRPr="00483F7D">
        <w:t>β)</w:t>
      </w:r>
      <w:r w:rsidRPr="00483F7D">
        <w:tab/>
      </w:r>
      <w:r w:rsidR="008F6AC1" w:rsidRPr="00483F7D">
        <w:t>τη σύσταση Τελωνειακής Αρχής της ΕΕ με επιχειρησιακή εντολή για την εκτέλεση βασικών καθηκόντων σε επίπεδο ΕΕ, ιδίως όσον αφορά τη συνεχή ανάπτυξη και διαχείριση του κόμβου δεδομένων, την κοινή διαχείριση κινδύνων, τη διαχείριση κρίσεων και τις δραστηριότητες συνεργασίας, ώστε να μπορεί η τελωνειακή ένωση να εκτελεί τα καθήκοντά της και να εκπληρώνει την αξία της κοινής πολιτικής της με ενιαίο τρόπο, ανεξάρτητα από τον τόπο διέλευσης των εξωτερικών συνόρων της ΕΕ.</w:t>
      </w:r>
    </w:p>
    <w:p w14:paraId="669E45C8" w14:textId="77777777" w:rsidR="008F6AC1" w:rsidRPr="00483F7D" w:rsidRDefault="008F6AC1" w:rsidP="008F6AC1">
      <w:pPr>
        <w:pStyle w:val="Text1"/>
        <w:rPr>
          <w:noProof/>
        </w:rPr>
      </w:pPr>
      <w:r w:rsidRPr="00483F7D">
        <w:t>Η εφαρμογή της σταδιακής υλοποίησης της μεταρρύθμισης προβλέπεται να πραγματοποιηθεί ως εξής:</w:t>
      </w:r>
      <w:r w:rsidRPr="00483F7D">
        <w:rPr>
          <w:u w:val="single"/>
        </w:rPr>
        <w:t xml:space="preserve"> </w:t>
      </w:r>
    </w:p>
    <w:p w14:paraId="60E7EFA2" w14:textId="77777777" w:rsidR="008F6AC1" w:rsidRPr="00483F7D" w:rsidRDefault="008F6AC1" w:rsidP="008F6AC1">
      <w:pPr>
        <w:pStyle w:val="Text1"/>
        <w:rPr>
          <w:b/>
          <w:noProof/>
        </w:rPr>
      </w:pPr>
      <w:r w:rsidRPr="00483F7D">
        <w:rPr>
          <w:b/>
        </w:rPr>
        <w:t>Πρώτη φάση 2024-2027:</w:t>
      </w:r>
    </w:p>
    <w:p w14:paraId="3CE0FBDC" w14:textId="77777777" w:rsidR="008F6AC1" w:rsidRPr="00483F7D" w:rsidRDefault="008F6AC1" w:rsidP="008F6AC1">
      <w:pPr>
        <w:pStyle w:val="Text1"/>
        <w:rPr>
          <w:noProof/>
          <w:u w:val="single"/>
        </w:rPr>
      </w:pPr>
      <w:r w:rsidRPr="00483F7D">
        <w:rPr>
          <w:u w:val="single"/>
        </w:rPr>
        <w:t>ΤΠ / Κόμβος δεδομένων της ΕΕ</w:t>
      </w:r>
    </w:p>
    <w:p w14:paraId="1E2AF0E1" w14:textId="77777777" w:rsidR="008F6AC1" w:rsidRPr="00483F7D" w:rsidRDefault="008F6AC1" w:rsidP="008F6AC1">
      <w:pPr>
        <w:pStyle w:val="ListBullet4"/>
        <w:rPr>
          <w:noProof/>
        </w:rPr>
      </w:pPr>
      <w:r w:rsidRPr="00483F7D">
        <w:t>προετοιμασία των αρχικών συνιστωσών της δομής του κόμβου δεδομένων της ΕΕ, συμπεριλαμβανομένης της προετοιμασίας για τη συλλογή δεδομένων ηλεκτρονικού εμπορίου και τις αρχικές περιπτώσεις χρήσης της διαλειτουργικότητας·</w:t>
      </w:r>
    </w:p>
    <w:p w14:paraId="7067A5ED" w14:textId="77777777" w:rsidR="008F6AC1" w:rsidRPr="00483F7D" w:rsidRDefault="008F6AC1" w:rsidP="008F6AC1">
      <w:pPr>
        <w:pStyle w:val="ListBullet4"/>
        <w:rPr>
          <w:noProof/>
        </w:rPr>
      </w:pPr>
      <w:r w:rsidRPr="00483F7D">
        <w:t xml:space="preserve">όραμα, χάρτης πορείας, κοστολόγηση και στρατηγική σύναψης συμβάσεων για την ολοκλήρωση των δυνατοτήτων και των επιχειρηματικών εφαρμογών του κόμβου δεδομένων· </w:t>
      </w:r>
    </w:p>
    <w:p w14:paraId="53556C28" w14:textId="77777777" w:rsidR="008F6AC1" w:rsidRPr="00483F7D" w:rsidRDefault="008F6AC1" w:rsidP="008F6AC1">
      <w:pPr>
        <w:pStyle w:val="ListBullet4"/>
        <w:ind w:left="1208" w:hanging="357"/>
        <w:contextualSpacing w:val="0"/>
        <w:rPr>
          <w:noProof/>
        </w:rPr>
      </w:pPr>
      <w:r w:rsidRPr="00483F7D">
        <w:t xml:space="preserve">συνέχεια των υφιστάμενων συστημάτων ΤΠ του ΕΤΚ και σχεδιασμός της μετάβασης. </w:t>
      </w:r>
    </w:p>
    <w:p w14:paraId="0F232C80" w14:textId="77777777" w:rsidR="008F6AC1" w:rsidRPr="00483F7D" w:rsidRDefault="008F6AC1" w:rsidP="008F6AC1">
      <w:pPr>
        <w:pStyle w:val="Text1"/>
        <w:rPr>
          <w:noProof/>
          <w:u w:val="single"/>
        </w:rPr>
      </w:pPr>
      <w:r w:rsidRPr="00483F7D">
        <w:rPr>
          <w:u w:val="single"/>
        </w:rPr>
        <w:t>Τελωνειακή Αρχή της ΕΕ</w:t>
      </w:r>
    </w:p>
    <w:p w14:paraId="536EE88A" w14:textId="77777777" w:rsidR="008F6AC1" w:rsidRPr="00483F7D" w:rsidRDefault="008F6AC1" w:rsidP="008F6AC1">
      <w:pPr>
        <w:pStyle w:val="ListBullet4"/>
        <w:rPr>
          <w:noProof/>
        </w:rPr>
      </w:pPr>
      <w:r w:rsidRPr="00483F7D">
        <w:t xml:space="preserve">σύσταση της Αρχής το 2026, με σκοπό να τεθεί σε λειτουργία από το 2028· πρόσληψη προσωρινού εκτελεστικού διευθυντή και περιορισμένου προσωπικού για την πραγματοποίηση των προσλήψεων, ρυθμίσεις για τη φιλοξενία και τη στέγαση, καθώς και απαιτούμενες διοικητικές διαδικασίες για την επιχειρησιακή ετοιμότητα το 2028· </w:t>
      </w:r>
    </w:p>
    <w:p w14:paraId="60DBDF41" w14:textId="77777777" w:rsidR="008F6AC1" w:rsidRPr="00483F7D" w:rsidRDefault="008F6AC1" w:rsidP="008F6AC1">
      <w:pPr>
        <w:pStyle w:val="ListBullet4"/>
        <w:spacing w:after="240"/>
        <w:ind w:left="1208" w:hanging="357"/>
        <w:contextualSpacing w:val="0"/>
        <w:rPr>
          <w:noProof/>
        </w:rPr>
      </w:pPr>
      <w:r w:rsidRPr="00483F7D">
        <w:t xml:space="preserve">προετοιμασία των αρχικών δραστηριοτήτων για την παράδοση από ειδική ομάδα εργασίας της Επιτροπής, η οποία θα προετοιμάσει τα δίκτυα και τις διαδικασίες διαχείρισης κινδύνων ώστε να είναι έτοιμη να εργαστεί στο πεδίο εφαρμογής των δεδομένων της ΕΕ μόλις τεθεί σε λειτουργία η EUCA. </w:t>
      </w:r>
    </w:p>
    <w:p w14:paraId="6E10BABE" w14:textId="77777777" w:rsidR="008F6AC1" w:rsidRPr="00483F7D" w:rsidRDefault="008F6AC1" w:rsidP="008F6AC1">
      <w:pPr>
        <w:pStyle w:val="Text1"/>
        <w:rPr>
          <w:b/>
          <w:noProof/>
        </w:rPr>
      </w:pPr>
      <w:r w:rsidRPr="00483F7D">
        <w:rPr>
          <w:b/>
        </w:rPr>
        <w:t>Δεύτερη φάση 2028-2034:</w:t>
      </w:r>
    </w:p>
    <w:p w14:paraId="12D90E13" w14:textId="77777777" w:rsidR="008F6AC1" w:rsidRPr="00483F7D" w:rsidRDefault="008F6AC1" w:rsidP="008F6AC1">
      <w:pPr>
        <w:pStyle w:val="Text1"/>
        <w:rPr>
          <w:noProof/>
        </w:rPr>
      </w:pPr>
      <w:r w:rsidRPr="00483F7D">
        <w:rPr>
          <w:u w:val="single"/>
        </w:rPr>
        <w:t>ΤΠ / Κόμβος δεδομένων της ΕΕ</w:t>
      </w:r>
      <w:r w:rsidRPr="00483F7D">
        <w:t xml:space="preserve"> </w:t>
      </w:r>
    </w:p>
    <w:p w14:paraId="2BFDBCE7" w14:textId="77777777" w:rsidR="008F6AC1" w:rsidRPr="00483F7D" w:rsidRDefault="008F6AC1" w:rsidP="008F6AC1">
      <w:pPr>
        <w:pStyle w:val="ListBullet4"/>
        <w:rPr>
          <w:noProof/>
        </w:rPr>
      </w:pPr>
      <w:r w:rsidRPr="00483F7D">
        <w:t xml:space="preserve">πιθανή έναρξη της παράδοσης από την Επιτροπή στην Τελωνειακή Αρχή της ΕΕ των αρχικών συνιστωσών του κόμβου δεδομένων και των σχετικών κεντρικών συστημάτων (π.χ. ICS2, ηλεκτρονικό εμπόριο, ενιαία θυρίδα) που πρέπει να ολοκληρωθούν έως το 2030· η Τελωνειακή Αρχή της ΕΕ αναλαμβάνει την ικανότητα και η Επιτροπή μεταβιβάζει την ικανότητα προμήθειας και διαχείρισης ΤΠ σε διάστημα τριών ετών· </w:t>
      </w:r>
    </w:p>
    <w:p w14:paraId="4044C721" w14:textId="77777777" w:rsidR="008F6AC1" w:rsidRPr="00483F7D" w:rsidRDefault="008F6AC1" w:rsidP="008F6AC1">
      <w:pPr>
        <w:pStyle w:val="ListBullet4"/>
        <w:rPr>
          <w:noProof/>
        </w:rPr>
      </w:pPr>
      <w:r w:rsidRPr="00483F7D">
        <w:t>ολοκλήρωση των υποδομών και των δυνατοτήτων του κόμβου δεδομένων έως το 2031·</w:t>
      </w:r>
    </w:p>
    <w:p w14:paraId="29981555" w14:textId="77777777" w:rsidR="008F6AC1" w:rsidRPr="00483F7D" w:rsidRDefault="008F6AC1" w:rsidP="008F6AC1">
      <w:pPr>
        <w:pStyle w:val="ListBullet4"/>
        <w:rPr>
          <w:noProof/>
        </w:rPr>
      </w:pPr>
      <w:r w:rsidRPr="00483F7D">
        <w:t>μετάβαση των τελωνειακών συστημάτων (κεντρικών και εθνικών) στον κόμβο δεδομένων.</w:t>
      </w:r>
    </w:p>
    <w:p w14:paraId="4A771746" w14:textId="77777777" w:rsidR="008F6AC1" w:rsidRPr="00483F7D" w:rsidRDefault="008F6AC1" w:rsidP="008F6AC1">
      <w:pPr>
        <w:pStyle w:val="Text1"/>
        <w:rPr>
          <w:noProof/>
          <w:u w:val="single"/>
        </w:rPr>
      </w:pPr>
      <w:r w:rsidRPr="00483F7D">
        <w:rPr>
          <w:u w:val="single"/>
        </w:rPr>
        <w:t>Τελωνειακή Αρχή της ΕΕ</w:t>
      </w:r>
    </w:p>
    <w:p w14:paraId="55C4B783" w14:textId="77777777" w:rsidR="008F6AC1" w:rsidRPr="00483F7D" w:rsidRDefault="008F6AC1" w:rsidP="008F6AC1">
      <w:pPr>
        <w:pStyle w:val="ListBullet4"/>
        <w:rPr>
          <w:noProof/>
        </w:rPr>
      </w:pPr>
      <w:r w:rsidRPr="00483F7D">
        <w:t>σταδιακή παράδοση ορισμένων δραστηριοτήτων από την Επιτροπή στην Τελωνειακή Αρχή της ΕΕ· σταδιακή ανάπτυξη των νέων δραστηριοτήτων που αναφέρονται στην παρούσα πρόταση από την Τελωνειακή Αρχή της ΕΕ·</w:t>
      </w:r>
    </w:p>
    <w:p w14:paraId="76C109AF" w14:textId="77777777" w:rsidR="008F6AC1" w:rsidRPr="00483F7D" w:rsidRDefault="008F6AC1" w:rsidP="008F6AC1">
      <w:pPr>
        <w:pStyle w:val="ListBullet4"/>
        <w:spacing w:after="240"/>
        <w:ind w:left="1208" w:hanging="357"/>
        <w:contextualSpacing w:val="0"/>
        <w:rPr>
          <w:noProof/>
        </w:rPr>
      </w:pPr>
      <w:r w:rsidRPr="00483F7D">
        <w:t>ανάθεση ορισμένων εκτελεστικών καθηκόντων από την Επιτροπή στην Τελωνειακή Αρχή της ΕΕ μέσω συμφωνιών συνεισφοράς.</w:t>
      </w:r>
    </w:p>
    <w:p w14:paraId="669D6A65" w14:textId="77777777" w:rsidR="008F6AC1" w:rsidRPr="00483F7D" w:rsidRDefault="008F6AC1" w:rsidP="008F6AC1">
      <w:pPr>
        <w:pStyle w:val="ManualHeading3"/>
        <w:rPr>
          <w:noProof/>
        </w:rPr>
      </w:pPr>
      <w:bookmarkStart w:id="292" w:name="_Toc133320611"/>
      <w:bookmarkStart w:id="293" w:name="_Toc514938670"/>
      <w:bookmarkStart w:id="294" w:name="_Toc520485429"/>
      <w:r w:rsidRPr="00483F7D">
        <w:t>1.5.2.</w:t>
      </w:r>
      <w:r w:rsidRPr="00483F7D">
        <w:tab/>
        <w:t>Προστιθέμενη αξία της ενωσιακής παρέμβασης.</w:t>
      </w:r>
      <w:bookmarkEnd w:id="292"/>
      <w:r w:rsidRPr="00483F7D">
        <w:t xml:space="preserve"> </w:t>
      </w:r>
    </w:p>
    <w:bookmarkEnd w:id="293"/>
    <w:bookmarkEnd w:id="294"/>
    <w:p w14:paraId="40078D3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483F7D">
        <w:rPr>
          <w:b/>
        </w:rPr>
        <w:t xml:space="preserve">Λόγοι για ανάληψη δράσης σε ευρωπαϊκό επίπεδο (εκ των προτέρων): </w:t>
      </w:r>
    </w:p>
    <w:p w14:paraId="7CC15FBA"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Όπως αναλύεται στην εκτίμηση των επιπτώσεων που συνοδεύει την παρούσα νομοθετική πρόταση, τα προβλήματα που επιχειρούνται να αντιμετωπιστούν είναι οι δυσκολίες των τελωνειακών αρχών να εκπληρώσουν την αποστολή τους για την προστασία της ΕΕ (τόσο για χρηματοοικονομικούς όσο και για μη χρηματοοικονομικούς κινδύνους)· ο επαχθής χαρακτήρας των τελωνειακών διατυπώσεων για το νόμιμο εμπόριο· η αναντιστοιχία μεταξύ του τελωνειακού μοντέλου και των νέων επιχειρηματικών μοντέλων ηλεκτρονικού εμπορίου· η περιορισμένη διαθεσιμότητα και χρήση δεδομένων για τις τελωνειακές διαδικασίες (συμπεριλαμβανομένης της αποτελεσματικής διαχείρισης κινδύνων)· και οι αποκλίσεις μεταξύ των κρατών μελών όσον αφορά την εφαρμογή των τελωνειακών κανόνων. Οι συνέπειες των προβλημάτων αυτών περιλαμβάνουν την απώλεια εσόδων για τα κράτη μέλη και την Ένωση· την είσοδο μη συμμορφούμενων και επικίνδυνων προϊόντων στην ενιαία αγορά και τη συνακόλουθη ζημία για τους καταναλωτές και τις επιχειρήσεις της ΕΕ και για το περιβάλλον· και την εκμετάλλευση των εφοδιαστικών αλυσίδων από εγκληματικές δραστηριότητες.</w:t>
      </w:r>
    </w:p>
    <w:p w14:paraId="2182603A"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Η μεταρρύθμιση αντιμετωπίζει τα προβλήματα που τα κράτη μέλη δεν μπορούν να επιλύσουν μόνα τους. Η ανάληψη δράσης σε ενωσιακό επίπεδο είναι απαραίτητη για τη μεταρρύθμιση των διαδικασιών της τελωνειακής ένωσης, της διαχείρισης δεδομένων και της διακυβέρνησης, ώστε να αντιμετωπιστούν τα προβλήματα που εντοπίστηκαν. Η επιλογή του μέσου (κανονισμός) είναι ουσιώδης διότι η τελωνειακή ένωση πρέπει να παρέχει ασφάλεια δικαίου για το εμπόριο και τις δημόσιες αρχές, να διασφαλίζει την ομαλή ροή του νόμιμου εμπορίου και, ταυτόχρονα, να προβλέπει αποτελεσματική παρέμβαση των δημόσιων αρχών βάσει κινδύνου για την εφαρμογή σημαντικών στοιχείων του κεκτημένου της ΕΕ, ιδίως στους τομείς της ενιαίας αγοράς, της ασφάλειας και των ιδίων πόρων.</w:t>
      </w:r>
    </w:p>
    <w:p w14:paraId="21B25C13"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483F7D">
        <w:rPr>
          <w:b/>
        </w:rPr>
        <w:t xml:space="preserve">Αναμενόμενη προστιθέμενη αξία της Ένωσης (εκ των υστέρων):  </w:t>
      </w:r>
    </w:p>
    <w:p w14:paraId="528317EC"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Η πρόταση αντιμετωπίζει τις αιτίες του προβλήματος:  την ανεπάρκεια και την υπερβολική πολυπλοκότητα των τελωνειακών διαδικασιών, μεταξύ άλλων για τις συναλλαγές ηλεκτρονικού εμπορίου, την κατακερματισμένη και πολύπλοκη ψηφιοποίηση των τελωνείων και την κατακερματισμένη δομή διακυβέρνησης της τελωνειακής ένωσης. Προβλέπει τη μεταρρύθμιση των τελωνειακών διαδικασιών, μεταξύ άλλων για τη διαχείριση των συναλλαγών του ηλεκτρονικού εμπορίου, σε συνδυασμό με ένα κοινό περιβάλλον διαχείρισης δεδομένων (χώρος τελωνειακών δεδομένων της ΕΕ) και τη σύσταση Τελωνειακής Αρχής της ΕΕ που θα παρέχει ένα επίπεδο επιχειρησιακής διακυβέρνησης. Τα στοιχεία αυτά αλληλοενισχύονται, καθιστώντας δυνατή τη σημαντική μείωση του φόρτου τόσο για τις δημόσιες αρχές όσο και για τους φορείς του ιδιωτικού τομέα και τη σημαντική βελτίωση της ενιαίας εφαρμογής των πολιτικών της ΕΕ μέσω της τελωνειακής ένωσης, όπως αναλύεται στην εκτίμηση των επιπτώσεων.</w:t>
      </w:r>
    </w:p>
    <w:p w14:paraId="0A399C78" w14:textId="77777777" w:rsidR="008F6AC1" w:rsidRPr="00483F7D" w:rsidRDefault="008F6AC1" w:rsidP="008F6AC1">
      <w:pPr>
        <w:pStyle w:val="ManualHeading3"/>
        <w:rPr>
          <w:noProof/>
        </w:rPr>
      </w:pPr>
      <w:bookmarkStart w:id="295" w:name="_Toc514938671"/>
      <w:bookmarkStart w:id="296" w:name="_Toc520485430"/>
      <w:bookmarkStart w:id="297" w:name="_Toc133320612"/>
      <w:r w:rsidRPr="00483F7D">
        <w:t>1.5.3.</w:t>
      </w:r>
      <w:r w:rsidRPr="00483F7D">
        <w:tab/>
        <w:t>Διδάγματα από ανάλογες εμπειρίες του παρελθόντος</w:t>
      </w:r>
      <w:bookmarkEnd w:id="295"/>
      <w:bookmarkEnd w:id="296"/>
      <w:bookmarkEnd w:id="297"/>
    </w:p>
    <w:p w14:paraId="5F345200"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Η </w:t>
      </w:r>
      <w:hyperlink r:id="rId20" w:anchor=":~:text=Η%20αξιολόγηση%20επιβεβαίωσε%20ότι%20το%20πρόγραμμα%20" w:history="1">
        <w:r w:rsidRPr="00483F7D">
          <w:rPr>
            <w:rStyle w:val="Hyperlink"/>
            <w:i/>
          </w:rPr>
          <w:t>αξιολόγηση του προγράμματος «Τελωνεία 2020»</w:t>
        </w:r>
      </w:hyperlink>
      <w:r w:rsidRPr="00483F7D">
        <w:t xml:space="preserve"> καταλήγει στο συμπέρασμα ότι το πρόγραμμα συνέβαλε σημαντικά στη βελτίωση της λειτουργίας της τελωνειακής ένωσης και στον εκσυγχρονισμό της. Προώθησε τη συνεργασία και την ανταλλαγή πληροφοριών, μέσω δραστηριοτήτων οι οποίες εκτείνονταν από τη διευκόλυνση της σύγκλισης σε στρατηγικό επίπεδο έως την εναρμόνιση των προσεγγίσεων, της ερμηνείας, των διοικητικών διαδικασιών, των βέλτιστων πρακτικών και των κανόνων σε επιχειρησιακό επίπεδο. Το πρόγραμμα ήταν ιδιαίτερα σημαντικό για τη μετάβαση σε ένα τελωνειακό περιβάλλον χωρίς χαρτί. Ωστόσο, η αξιολόγηση εντόπισε επίσης τομείς στους οποίους απαιτούνται βελτιώσεις, ιδίως i) τις διαφορές στην εφαρμογή των τελωνειακών ελέγχων, ii) την απάτη στο ηλεκτρονικό εμπόριο, iii) τους οικονομικούς φορείς που δεν αντιλαμβάνονται τα οφέλη του ΕΤΚ και εκφράζουν ανησυχίες σχετικά με iv) την πολυπλοκότητα του τελωνειακού περιβάλλοντος ΤΠ, της τελωνειακής νομοθεσίας και των τελωνειακών διαδικασιών. Η αξιολόγηση του προγράμματος έδειξε ότι θα ήταν σκόπιμο η Επιτροπή και τα κράτη μέλη να ανταλλάσσουν περισσότερα τελωνειακά δεδομένα. Με τον τρόπο αυτό, θα καταστεί δυνατή η καλύτερη μέτρηση του κόστους και των οφελών των επενδύσεων που πραγματοποιούνται. </w:t>
      </w:r>
    </w:p>
    <w:p w14:paraId="753AC2DB"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Πρόσθετα στοιχεία σχετικά με το θέμα αυτό υπάρχουν στην </w:t>
      </w:r>
      <w:hyperlink r:id="rId21" w:history="1">
        <w:r w:rsidRPr="00483F7D">
          <w:rPr>
            <w:rStyle w:val="Hyperlink"/>
            <w:i/>
          </w:rPr>
          <w:t>ενδιάμεση αξιολόγηση του ΕΤΚ</w:t>
        </w:r>
      </w:hyperlink>
      <w:r w:rsidRPr="00483F7D">
        <w:t xml:space="preserve">, στην οποία επισημαίνονται οι δυνατότητες ευελιξίας όσον αφορά τις μεθόδους και τις κυρώσεις για την αντιμετώπιση της μη συμμόρφωσης με την τελωνειακή νομοθεσία και την παρακολούθηση των οικονομικών φορέων που θεωρούνται αξιόπιστοι (εγκεκριμένοι οικονομικοί φορείς, ΕΟΦ). </w:t>
      </w:r>
    </w:p>
    <w:p w14:paraId="6A524B3C"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Οι επιχειρήσεις επιβεβαιώνουν επίσης την αποκλίνουσα εφαρμογή του ΕΤΚ. Στο πλαίσιο ευρείας έρευνας για εξωτερική μελέτη σχετικά με τους ΕΟΦ (σχεδόν 2 000 απαντήσεις), το 28 % των 900 αξιόπιστων φορέων που δραστηριοποιούνται σε περισσότερα από ένα κράτη μέλη θεωρούν ότι ορισμένα από τα οφέλη μπορεί να διαφέρουν σημαντικά μεταξύ των κρατών μελών</w:t>
      </w:r>
      <w:r w:rsidRPr="00483F7D">
        <w:rPr>
          <w:rStyle w:val="FootnoteReference"/>
        </w:rPr>
        <w:footnoteReference w:id="85"/>
      </w:r>
      <w:r w:rsidRPr="00483F7D">
        <w:t>.</w:t>
      </w:r>
    </w:p>
    <w:p w14:paraId="721D2A6A"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color w:val="984806" w:themeColor="accent6" w:themeShade="80"/>
        </w:rPr>
      </w:pPr>
      <w:r w:rsidRPr="00483F7D">
        <w:t xml:space="preserve">Όσον αφορά τους χρηματοοικονομικούς κινδύνους, το Ευρωπαϊκό Ελεγκτικό Συνέδριο εντόπισε διαρθρωτικές προκλήσεις όσον αφορά τη διαχείριση των χρηματοοικονομικών κινδύνων, διαπιστώνοντας ότι η έλλειψη ενιαίας εφαρμογής των τελωνειακών ελέγχων και εναρμονισμένης διαχείρισης και ανάλυσης κινδύνων βλάπτει τα οικονομικά συμφέροντα της ΕΕ και προειδοποιεί ότι οι τρέχουσες αδυναμίες </w:t>
      </w:r>
      <w:r w:rsidRPr="00483F7D">
        <w:rPr>
          <w:i/>
        </w:rPr>
        <w:t>«επιτρέπουν [...] [στους] οικονομικ[ούς] φορείς που δεν συμμορφώνονται με τη νομοθεσία να έχουν τη δυνατότητα να επιλέγουν σημεία εισόδου στην ΕΕ με χαμηλότερα επίπεδα ελέγχων»</w:t>
      </w:r>
      <w:r w:rsidRPr="00483F7D">
        <w:t>.</w:t>
      </w:r>
      <w:r w:rsidRPr="00483F7D">
        <w:rPr>
          <w:i/>
        </w:rPr>
        <w:t xml:space="preserve"> </w:t>
      </w:r>
      <w:r w:rsidRPr="00483F7D">
        <w:t xml:space="preserve">(Βλ. επίσης: </w:t>
      </w:r>
      <w:hyperlink r:id="rId22" w:history="1">
        <w:r w:rsidRPr="00483F7D">
          <w:rPr>
            <w:rStyle w:val="Hyperlink"/>
            <w:i/>
          </w:rPr>
          <w:t>Ειδική έκθεση 04/2021:</w:t>
        </w:r>
      </w:hyperlink>
      <w:hyperlink r:id="rId23" w:history="1">
        <w:r w:rsidRPr="00483F7D">
          <w:rPr>
            <w:rStyle w:val="Hyperlink"/>
            <w:i/>
          </w:rPr>
          <w:t>Τελωνειακοί έλεγχοι:</w:t>
        </w:r>
      </w:hyperlink>
      <w:hyperlink r:id="rId24" w:history="1">
        <w:r w:rsidRPr="00483F7D">
          <w:rPr>
            <w:rStyle w:val="Hyperlink"/>
            <w:i/>
          </w:rPr>
          <w:t>η ανεπαρκής εναρμόνιση βλάπτει τα οικονομικά συμφέροντα της ΕΕ</w:t>
        </w:r>
      </w:hyperlink>
      <w:r w:rsidRPr="00483F7D">
        <w:t>).</w:t>
      </w:r>
    </w:p>
    <w:p w14:paraId="63F11ABE"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Όσον αφορά τους μη χρηματοοικονομικούς κινδύνους, το ισχύον πλαίσιο διαχείρισης κινδύνων δεν αντιμετωπίζει επαρκώς τη δυνητική συμβολή των τελωνείων στην εφαρμογή των απαιτήσεων που σχετίζονται με τον αυξανόμενο αριθμό μη χρηματοοικονομικών θεμάτων που απασχολούν τους πολίτες της ΕΕ, συμπεριλαμβανομένων των ανθρωπίνων δικαιωμάτων, των εργασιακών δικαιωμάτων, της βιωσιμότητας, της προστασίας του περιβάλλοντος, της υγείας, της ασφάλειας και της προστασίας. </w:t>
      </w:r>
    </w:p>
    <w:p w14:paraId="339BDD24"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Η πείρα από την ψηφιοποίηση των τελωνειακών διαδικασιών και την ανταλλαγή πληροφοριών υπήρξε θετική —ωστόσο, εξακολουθούν να υπάρχουν προκλήσεις όσον αφορά τη συλλογή, την ανάλυση και την κοινοχρησία δεδομένων.  Οι τρέχουσες τελωνειακές διαδικασίες απαιτούν την υποβολή των δεδομένων σε διαφορετικά εθνικά και κοινά συστήματα και στα σχετικά κράτη μέλη.  Η </w:t>
      </w:r>
      <w:r w:rsidRPr="00483F7D">
        <w:rPr>
          <w:i/>
        </w:rPr>
        <w:t>ομάδα σοφών</w:t>
      </w:r>
      <w:r w:rsidRPr="00483F7D">
        <w:t xml:space="preserve"> σημείωσε επίσης ότι τα διάφορα συστήματα ΤΠ συχνά δεν είναι διασυνδεδεμένα [βλ. περαιτέρω</w:t>
      </w:r>
      <w:r w:rsidRPr="00483F7D">
        <w:rPr>
          <w:color w:val="984806" w:themeColor="accent6" w:themeShade="80"/>
        </w:rPr>
        <w:t xml:space="preserve">: </w:t>
      </w:r>
      <w:hyperlink r:id="rId25" w:history="1">
        <w:r w:rsidRPr="00483F7D">
          <w:rPr>
            <w:rStyle w:val="Hyperlink"/>
            <w:i/>
          </w:rPr>
          <w:t>Report by the Wise Persons Group on the Reform of the EU Customs Union</w:t>
        </w:r>
      </w:hyperlink>
      <w:r w:rsidRPr="00483F7D">
        <w:t xml:space="preserve"> (Έκθεση της ομάδας σοφών σχετικά με τη μεταρρύθμιση της τελωνειακής ένωσης της ΕΕ)]. Τα δεδομένα δεν μεταφέρονται από το ένα σύστημα διασαφήσεων στο άλλο. Οι πληροφορίες είναι κατακερματισμένες σε διάφορες βάσεις δεδομένων και συστήματα, γεγονός που δυσχεραίνει τη διασφάλιση της συνοχής και της ακεραιότητας των δεδομένων, η οποία είναι απαραίτητη για τη διαχείριση των τελωνειακών κινδύνων, ιδίως για την ανάλυση κινδύνου σε επίπεδο ΕΕ. Αυτό μειώνει την ικανότητα των τελωνείων να αντιμετωπίζουν τους κινδύνους δήλωσης δασμολογητέας αξίας χαμηλότερης της πραγματικής, μη συμμόρφωσης ή τους κινδύνους ασφάλειας σε ενιαία βάση. Το Ευρωπαϊκό Ελεγκτικό Συνέδριο εντόπισε διάφορους λόγους για το αυξημένο κόστος και τον πρόσθετο χρόνο που απαιτείται για τη δημιουργία των συστημάτων ΕΤΚ (βλ. περαιτέρω:</w:t>
      </w:r>
      <w:r w:rsidRPr="00483F7D">
        <w:rPr>
          <w:i/>
        </w:rPr>
        <w:t xml:space="preserve"> </w:t>
      </w:r>
      <w:hyperlink r:id="rId26" w:history="1">
        <w:r w:rsidRPr="00483F7D">
          <w:rPr>
            <w:rStyle w:val="Hyperlink"/>
            <w:i/>
          </w:rPr>
          <w:t>Ειδική έκθεση 26/2018:</w:t>
        </w:r>
      </w:hyperlink>
      <w:hyperlink r:id="rId27" w:history="1">
        <w:r w:rsidRPr="00483F7D">
          <w:rPr>
            <w:rStyle w:val="Hyperlink"/>
            <w:i/>
          </w:rPr>
          <w:t>Σειρά καθυστερήσεων στην υλοποίηση των συστημάτων ΤΠ των τελωνείων:</w:t>
        </w:r>
      </w:hyperlink>
      <w:hyperlink r:id="rId28" w:history="1">
        <w:r w:rsidRPr="00483F7D">
          <w:rPr>
            <w:rStyle w:val="Hyperlink"/>
            <w:i/>
          </w:rPr>
          <w:t>τι έφταιξε;</w:t>
        </w:r>
      </w:hyperlink>
      <w:r w:rsidRPr="00483F7D">
        <w:t>).</w:t>
      </w:r>
      <w:r w:rsidRPr="00483F7D">
        <w:rPr>
          <w:color w:val="984806" w:themeColor="accent6" w:themeShade="80"/>
        </w:rPr>
        <w:t xml:space="preserve"> </w:t>
      </w:r>
      <w:r w:rsidRPr="00483F7D">
        <w:t>Η αξιολόγηση του ΕΤΚ παρουσιάζει μια μεικτή εικόνα της εφαρμογής ΤΠ, με θετικές πτυχές όσον αφορά τις κεντρικά ανεπτυγμένες συνιστώσες.</w:t>
      </w:r>
    </w:p>
    <w:p w14:paraId="7D7F7A0D"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Η πείρα που αποκτήθηκε κατά την προσπάθεια οργάνωσης της τελωνειακής συνεργασίας σε μονιμότερη βάση στο πλαίσιο του προγράμματος για τα τελωνεία αποδείχθηκε και πάλι πολύτιμη για την ενίσχυση της κατανόησης της πολιτικής και την επίτευξη προόδου σε συγκεκριμένα θέματα ανωτέρω, αλλά αυτές οι εθελοντικές συνεργασίες δεν μπορούν να έχουν την ικανότητα υποδομής ή τον χαρακτήρα διακυβέρνησης που θα ήταν αναγκαίος για την ενιαία εφαρμογή της τελωνειακής ένωσης.</w:t>
      </w:r>
    </w:p>
    <w:p w14:paraId="1E7A4BF8"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Έχει επίσης ληφθεί υπόψη η πείρα σε σχέση με τη σύσταση και τη λειτουργία άλλων οργανισμών και οργάνων της ΕΕ. </w:t>
      </w:r>
    </w:p>
    <w:p w14:paraId="54C13DB0"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Η πρόταση ακολουθεί σε μεγάλο βαθμό το ισχύον μοντέλο για τους αποκεντρωμένους οργανισμούς και αντιμετωπίζει την πλειονότητα των ζητημάτων σύμφωνα με τυποποιημένες διατάξεις. </w:t>
      </w:r>
    </w:p>
    <w:p w14:paraId="1468658D"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Από πρακτική άποψη, επισημαίνεται η ανάγκη διάθεσης πόρων εντός της Επιτροπής για την προετοιμασία της Τελωνειακής Αρχής της ΕΕ πριν από την έναρξη λειτουργίας της. Οι αναγκαίες δράσεις για τη σύσταση της Τελωνειακής Αρχής της ΕΕ, όπως η προετοιμασία των διοικητικών διαδικασιών, των δομών διακυβέρνησης και της οργανωτικής δομής, καθώς και οι αρχικές προσλήψεις, θα μπορούσαν να πραγματοποιηθούν από ειδική ομάδα προσωπικού της Επιτροπής πριν από την έναρξη των δραστηριοτήτων της Τελωνειακής Αρχής της ΕΕ. Λαμβανομένης υπόψη της πείρας άλλων οργανισμών που συστάθηκαν πρόσφατα, θα πρέπει να προβλεφθούν περίπου 10 ΙΠΑ για τη δραστηριότητα αυτή.</w:t>
      </w:r>
    </w:p>
    <w:p w14:paraId="040C992F"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Όσον αφορά την προετοιμασία των επιχειρησιακών δραστηριοτήτων της Τελωνειακής Αρχής της ΕΕ, η Επιτροπή διαθέτει σημαντική πείρα στην ανάπτυξη πολιτικής σε σχέση με τα καθήκοντα και στην πιλοτική εφαρμογή κοινών έργων σε εθελοντική βάση (βλ. </w:t>
      </w:r>
      <w:hyperlink r:id="rId29" w:history="1">
        <w:r w:rsidRPr="00483F7D">
          <w:rPr>
            <w:rStyle w:val="Hyperlink"/>
            <w:i/>
          </w:rPr>
          <w:t>ετήσιες εκθέσεις για τα ηλεκτρονικά τελωνεία</w:t>
        </w:r>
      </w:hyperlink>
      <w:r w:rsidRPr="00483F7D">
        <w:t>). Αυτό περιλάμβανε τη διαχείριση της ανάπτυξης διευρωπαϊκών συστημάτων ΤΠ, συμπεριλαμβανομένων των ενιαίων πυλών της ΕΕ για την αλληλεπίδραση των συναλλασσομένων (το μεταρρυθμισμένο σύστημα ελέγχου των εισαγωγών — ICS2), την οργάνωση συνεργατικών δράσεων ανάλυσης κινδύνου, την ανάπτυξη κοινής προσέγγισης για την αξιολόγηση των επιδόσεων της τελωνειακής ένωσης, την ανάπτυξη κοινής τελωνειακής κατάρτισης, την οργάνωση της συνεργασίας μεταξύ τελωνειακών και άλλων τομεακών αρχών σε επίπεδο ΕΕ σε συγκεκριμένα θέματα (όπως η ασφάλεια του αεροπορικού φορτίου), τον χειρισμό της αντιμετώπισης τελωνειακών κρίσεων, καθώς και τη στενή και διαρθρωμένη συνεργασία με τις εθνικές τελωνειακές αρχές σε όλους αυτούς τους τομείς. Η πείρα αυτή θα βοηθήσει σημαντικά στην προετοιμασία της αρχικής δομής και λειτουργίας της Τελωνειακής Αρχής της ΕΕ, καθώς και στην παρακολούθηση και αξιολόγηση των επιδόσεών της.</w:t>
      </w:r>
    </w:p>
    <w:p w14:paraId="725D5412" w14:textId="77777777" w:rsidR="008F6AC1" w:rsidRPr="00483F7D" w:rsidRDefault="008F6AC1" w:rsidP="008F6AC1">
      <w:pPr>
        <w:pStyle w:val="ManualHeading3"/>
        <w:rPr>
          <w:noProof/>
        </w:rPr>
      </w:pPr>
      <w:bookmarkStart w:id="298" w:name="_Toc514938672"/>
      <w:bookmarkStart w:id="299" w:name="_Toc520485431"/>
      <w:bookmarkStart w:id="300" w:name="_Toc133320613"/>
      <w:r w:rsidRPr="00483F7D">
        <w:t>1.5.4.</w:t>
      </w:r>
      <w:r w:rsidRPr="00483F7D">
        <w:tab/>
        <w:t>Συμβατότητα με το πολυετές δημοσιονομικό πλαίσιο και ενδεχόμενες συνέργειες με άλλα κατάλληλα μέσα</w:t>
      </w:r>
      <w:bookmarkEnd w:id="298"/>
      <w:bookmarkEnd w:id="299"/>
      <w:bookmarkEnd w:id="300"/>
    </w:p>
    <w:p w14:paraId="016F38FE" w14:textId="77777777" w:rsidR="008F6AC1" w:rsidRPr="00483F7D" w:rsidRDefault="008F6AC1" w:rsidP="008F6AC1">
      <w:pPr>
        <w:pStyle w:val="Text1"/>
        <w:rPr>
          <w:noProof/>
        </w:rPr>
      </w:pPr>
      <w:r w:rsidRPr="00483F7D">
        <w:t>Στο ισχύον πολυετές δημοσιονομικό πλαίσιο, θα χρειαστεί να δημιουργηθεί νέα γραμμή του προϋπολογισμού, η οποία θα αντιστοιχεί στη σύσταση της Τελωνειακής Αρχής της ΕΕ. Το επόμενο πολυετές πλαίσιο θα πρέπει επίσης να προγραμματιστεί έτσι ώστε να προβλεφθούν οι απαιτούμενοι πόροι για την εφαρμογή της εν λόγω νομοθεσίας.</w:t>
      </w:r>
    </w:p>
    <w:p w14:paraId="22EA24E4" w14:textId="77777777" w:rsidR="008F6AC1" w:rsidRPr="00483F7D" w:rsidRDefault="008F6AC1" w:rsidP="008F6AC1">
      <w:pPr>
        <w:pStyle w:val="Text1"/>
        <w:rPr>
          <w:noProof/>
        </w:rPr>
      </w:pPr>
      <w:r w:rsidRPr="00483F7D">
        <w:t xml:space="preserve">Όσον αφορά τις </w:t>
      </w:r>
      <w:r w:rsidRPr="00483F7D">
        <w:rPr>
          <w:b/>
        </w:rPr>
        <w:t>συνέργειες με άλλα μέσα</w:t>
      </w:r>
      <w:r w:rsidRPr="00483F7D">
        <w:t xml:space="preserve">, η μεταρρύθμιση αποσκοπεί στη δημιουργία στρατηγικής ικανότητας της Ένωσης για την υποστήριξη της καλύτερης εφαρμογής και επιβολής σημαντικών πολιτικών της ΕΕ που εφαρμόζονται στις εμπορευματικές συναλλαγές και μέσω αυτών, καθώς και για την αντιμετώπιση της εκμετάλλευσης των εφοδιαστικών αλυσίδων από το οργανωμένο έγκλημα και την τρομοκρατία. Η μεταρρύθμιση θα συμβάλει άμεσα στα εξής: </w:t>
      </w:r>
    </w:p>
    <w:p w14:paraId="0B9616A6" w14:textId="77777777" w:rsidR="008F6AC1" w:rsidRPr="00483F7D" w:rsidRDefault="008F6AC1" w:rsidP="008F6AC1">
      <w:pPr>
        <w:pStyle w:val="ListBullet4"/>
        <w:rPr>
          <w:noProof/>
        </w:rPr>
      </w:pPr>
      <w:r w:rsidRPr="00483F7D">
        <w:t>στην καλύτερη είσπραξη των εσόδων, συμπεριλαμβανομένων των παραδοσιακών ιδίων πόρων, τόσο μέσω της είσπραξης πρόσθετων εσόδων —που εκτιμώνται σε 6,035 δισ. EUR για την περίοδο 2028-2034 στην εκτίμηση των επιπτώσεων που συνοδεύει την παρούσα πρόταση</w:t>
      </w:r>
      <w:r w:rsidRPr="00483F7D">
        <w:rPr>
          <w:rStyle w:val="FootnoteReference"/>
          <w:noProof/>
        </w:rPr>
        <w:footnoteReference w:id="86"/>
      </w:r>
      <w:r w:rsidRPr="00483F7D">
        <w:t>— όσο και μέσω της καλύτερης πρόληψης της απώλειας εσόδων λόγω μη συμμόρφωσης·</w:t>
      </w:r>
    </w:p>
    <w:p w14:paraId="17EF98CA" w14:textId="77777777" w:rsidR="008F6AC1" w:rsidRPr="00483F7D" w:rsidRDefault="008F6AC1" w:rsidP="008F6AC1">
      <w:pPr>
        <w:pStyle w:val="ListBullet4"/>
        <w:rPr>
          <w:noProof/>
        </w:rPr>
      </w:pPr>
      <w:r w:rsidRPr="00483F7D">
        <w:t>στην καλύτερη προστασία των πολιτών και των επιχειρήσεων της ΕΕ που προβλέπεται από τις πολιτικές της ΕΕ οι οποίες εξαρτώνται σε μεγάλο βαθμό από το έργο της τελωνειακής επιβολής, συμπεριλαμβανομένων των απαγορεύσεων και των περιορισμών, της ενιαίας αγοράς και της ασφάλειας· μολονότι αυτό δεν μπορεί να προσδιοριστεί ποσοτικά με οικονομικούς όρους, η εκτίμηση των επιπτώσεων δείχνει πώς μια ενδεικτική περίπτωση χρήσης για την καλύτερη επιβολή των απαιτήσεων οικολογικού σχεδιασμού και ασφάλειας των προϊόντων θα μπορούσε να οδηγήσει σε εξοικονόμηση 7,7 δισ. EUR για τους καταναλωτές κατά την περίοδο 2028-2034·</w:t>
      </w:r>
    </w:p>
    <w:p w14:paraId="5DC53B3C" w14:textId="77777777" w:rsidR="008F6AC1" w:rsidRPr="00483F7D" w:rsidRDefault="008F6AC1" w:rsidP="008F6AC1">
      <w:pPr>
        <w:pStyle w:val="ListBullet4"/>
        <w:rPr>
          <w:noProof/>
        </w:rPr>
      </w:pPr>
      <w:r w:rsidRPr="00483F7D">
        <w:t xml:space="preserve">στη μείωση της διοικητικής επιβάρυνσης, με την υποστήριξη της ανταγωνιστικότητας —η εκτίμηση των επιπτώσεων εντοπίζει επίσης πιθανή εξοικονόμηση 11,6 δισ. EUR για τους συναλλασσομένους, κυρίως όσον αφορά τη συνολική μείωση του χρόνου που απαιτείται για την ολοκλήρωση των διαδικασιών εισαγωγής. </w:t>
      </w:r>
    </w:p>
    <w:p w14:paraId="727E57AE" w14:textId="77777777" w:rsidR="008F6AC1" w:rsidRPr="00483F7D" w:rsidRDefault="008F6AC1" w:rsidP="008F6AC1">
      <w:pPr>
        <w:pStyle w:val="Text1"/>
        <w:rPr>
          <w:noProof/>
        </w:rPr>
      </w:pPr>
      <w:r w:rsidRPr="00483F7D">
        <w:t>Στην εκτίμηση των επιπτώσεων που συνοδεύει την παρούσα πρόταση, χρησιμοποιήθηκε αντιπροσωπευτικό δείγμα περιπτώσεων χρήσης για την αξιολόγηση των επιδόσεων κάθε επιλογής μεταρρύθμισης, με έμφαση στην προστιθέμενη αξία που θα προέκυπτε από τη βελτιωμένη διαχείριση των κινδύνων στην εφοδιαστική αλυσίδα. Οι περιπτώσεις αυτές κατέδειξαν τη συνοχή με άλλους ειδικούς τομείς πολιτικής, όπως η οδηγία για τα πλαστικά προϊόντα μίας χρήσης, οι περιβαλλοντικές πολιτικές για την αντιμετώπιση των ανθεκτικών χημικών ουσιών και των εκπομπών από τους καταναλωτές, η αξιολόγηση απειλών όσον αφορά το σοβαρό και το οργανωμένο έγκλημα της Ευρωπαϊκής Ένωσης (SOCTA), οι πρόδρομες ουσίες ναρκωτικών</w:t>
      </w:r>
      <w:r w:rsidRPr="00483F7D">
        <w:rPr>
          <w:rStyle w:val="FootnoteReference"/>
        </w:rPr>
        <w:footnoteReference w:id="87"/>
      </w:r>
      <w:r w:rsidRPr="00483F7D">
        <w:t>, η ασφάλεια της πολιτικής αεροπορίας</w:t>
      </w:r>
      <w:r w:rsidRPr="00483F7D">
        <w:rPr>
          <w:rStyle w:val="FootnoteReference"/>
        </w:rPr>
        <w:footnoteReference w:id="88"/>
      </w:r>
      <w:r w:rsidRPr="00483F7D">
        <w:t xml:space="preserve">, το λαθρεμπόριο καπνού, η ασφάλεια των παιχνιδιών, ο κανονισμός για την εποπτεία της αγοράς, η οδηγία για τον οικολογικό σχεδιασμό και ο προτεινόμενος κανονισμός για τον οικολογικό σχεδιασμό για βιώσιμα προϊόντα, καθώς και ο προτεινόμενος κανονισμός για τη γενική ασφάλεια των προϊόντων. </w:t>
      </w:r>
    </w:p>
    <w:p w14:paraId="73F69F80" w14:textId="77777777" w:rsidR="008F6AC1" w:rsidRPr="00483F7D" w:rsidRDefault="008F6AC1" w:rsidP="008F6AC1">
      <w:pPr>
        <w:pStyle w:val="Text1"/>
      </w:pPr>
      <w:r w:rsidRPr="00483F7D">
        <w:t>Οι περισσότεροι από αυτούς τους τομείς πολιτικής υφίστανται αλλαγές και η δράση των τελωνείων περιλαμβάνεται μέσω του περιβάλλοντος ενιαίας θυρίδας της ΕΕ για τα τελωνεία. Ωστόσο, η ενιαία θυρίδα αντιμετωπίζει μόνο έμμεσα την ανταλλαγή πληροφοριών σχετικά με τους κινδύνους, καθώς ο κύριος σκοπός της είναι να διευκολύνει την ανταλλαγή των πληροφοριών που απαιτούνται για τον τελωνισμό των εμπορευμάτων. Η μεταρρύθμιση θα βελτιώσει την αποτελεσματικότητα της ενιαίας θυρίδας και θα βασιστεί σε αυτήν, καθώς θα δώσει τη δυνατότητα στα τελωνεία να ανακτούν όλα τα απαραίτητα δεδομένα μέσω ενωσιακών μη τελωνειακών διατυπώσεων σε κεντρικό επίπεδο και να τα χρησιμοποιούν για τη διαχείριση κινδύνων σε επίπεδο ΕΕ.</w:t>
      </w:r>
    </w:p>
    <w:p w14:paraId="5751E3EA" w14:textId="77777777" w:rsidR="008F6AC1" w:rsidRPr="00483F7D" w:rsidRDefault="008F6AC1" w:rsidP="008F6AC1">
      <w:pPr>
        <w:pStyle w:val="Text1"/>
        <w:rPr>
          <w:noProof/>
        </w:rPr>
      </w:pPr>
      <w:r w:rsidRPr="00483F7D">
        <w:t xml:space="preserve">Γενικότερα, η μεταρρύθμιση θα παράσχει μια στρατηγική ικανότητα τελωνειακής ένωσης για την προετοιμασία και την υλοποίηση ενός πλαισίου συνεργασίας με άλλες πολιτικές για την υποστήριξη της υλοποίησής τους σε συνοριακές πράξεις· για την επιχειρησιακή ορατότητα των ροών του εμπορίου σε επίπεδο ΕΕ· για την προβολή των επιδόσεων πολιτικής σε επίπεδο ΕΕ και για την αναλυτική εικόνα του τρόπου εφαρμογής των ελέγχων και των απλουστεύσεων· για την προσαρμογή στις μελλοντικές ανάγκες και στα μεταβαλλόμενα επιχειρηματικά μοντέλα, ιδίως στην ετοιμότητα του περιβάλλοντος πληροφοριών της τελωνειακής ένωσης για την ενσωμάτωση διαφορετικών πηγών πληροφοριών και την υποστήριξη ευέλικτης δράσης κατά των κινδύνων· και για τον χρόνο διάθεσης στην αγορά. Επιπλέον, θα παράσχει την «κρίσιμη μάζα» που απουσιάζει επί του παρόντος και η οποία απαιτείται για την παράλληλη διαχείριση πολλών προτεραιοτήτων και την προετοιμασία για την αντιμετώπιση κρίσεων. </w:t>
      </w:r>
    </w:p>
    <w:p w14:paraId="7BA16FEE" w14:textId="77777777" w:rsidR="008F6AC1" w:rsidRPr="00483F7D" w:rsidRDefault="008F6AC1" w:rsidP="008F6AC1">
      <w:pPr>
        <w:pStyle w:val="Text1"/>
        <w:rPr>
          <w:noProof/>
        </w:rPr>
      </w:pPr>
      <w:r w:rsidRPr="00483F7D">
        <w:t>Αυτή η στρατηγική ικανότητα θα δώσει στην τελωνειακή ένωση τη δυνατότητα να στηρίξει άλλα καθήκοντα στα οποία μπορεί να της ζητηθεί να συμβάλει, όπως για παράδειγμα στους τομείς του μηχανισμού συνοριακής προσαρμογής άνθρακα, ή των στρατηγικών εμπορικών ελέγχων και κυρώσεων ή άλλων περιοριστικών μέτρων.</w:t>
      </w:r>
    </w:p>
    <w:p w14:paraId="7B4FFB30" w14:textId="77777777" w:rsidR="008F6AC1" w:rsidRPr="00483F7D" w:rsidRDefault="008F6AC1" w:rsidP="008F6AC1">
      <w:pPr>
        <w:pStyle w:val="Text1"/>
        <w:rPr>
          <w:noProof/>
        </w:rPr>
      </w:pPr>
      <w:r w:rsidRPr="00483F7D">
        <w:t xml:space="preserve">Όσον αφορά τις συνέργειες ευρύτερα, η πρόταση θα οδηγήσει επίσης σε εξοικονόμηση διοικητικών πόρων για τις εθνικές τελωνειακές διοικήσεις, με την απλούστευση των διαδικασιών και την παροχή κεντρικών κοινών διεπαφών και εργαλείων που θα μειώσουν σε μόνιμη βάση το κόστος τελωνειακής συμμόρφωσης και διοίκησης. Στην εκτίμηση των επιπτώσεων που συνοδεύει την παρούσα πρόταση, εκτιμάται ότι ανέρχονται περίπου σε 7,9 δισ. EUR για τα κράτη μέλη, τα οποία προέρχονται κυρίως από εξοικονομήσεις στον τομέα ΤΠ, αλλά και από τη μείωση της διοικητικής προσπάθειας που απαιτείται για ορισμένα σημαντικά καθήκοντα, με την αποδέσμευση διοικητικών ικανοτήτων. </w:t>
      </w:r>
    </w:p>
    <w:p w14:paraId="466458D9" w14:textId="77777777" w:rsidR="008F6AC1" w:rsidRPr="00483F7D" w:rsidRDefault="008F6AC1" w:rsidP="008F6AC1">
      <w:pPr>
        <w:pStyle w:val="ManualHeading3"/>
      </w:pPr>
      <w:bookmarkStart w:id="301" w:name="_Toc514938673"/>
      <w:bookmarkStart w:id="302" w:name="_Toc520485432"/>
      <w:bookmarkStart w:id="303" w:name="_Toc133320614"/>
      <w:r w:rsidRPr="00483F7D">
        <w:t>1.5.5. Αξιολόγηση των διάφορων διαθέσιμων επιλογών χρηματοδότησης, συμπεριλαμβανομένων των δυνατοτήτων ανακατανομής</w:t>
      </w:r>
      <w:bookmarkEnd w:id="301"/>
      <w:bookmarkEnd w:id="302"/>
      <w:bookmarkEnd w:id="303"/>
    </w:p>
    <w:p w14:paraId="12B152C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Στο πλαίσιο του τρέχοντος ΠΔΠ, οι ανάγκες μπορούν να καλυφθούν με ανακατανομή στο πλαίσιο της υφιστάμενης γραμμής του προϋπολογισμού για τη </w:t>
      </w:r>
      <w:r w:rsidRPr="00483F7D">
        <w:rPr>
          <w:i/>
        </w:rPr>
        <w:t>συνεργασία στον τομέα των τελωνείων (Customs) — υποτομέας 03 05 01 και με νέα γραμμή του προϋπολογισμού για την Τελωνειακή Αρχή της ΕΕ — υποτομέας 03 05 XX</w:t>
      </w:r>
      <w:r w:rsidRPr="00483F7D">
        <w:t>.</w:t>
      </w:r>
      <w:r w:rsidRPr="00483F7D">
        <w:rPr>
          <w:i/>
        </w:rPr>
        <w:t xml:space="preserve"> </w:t>
      </w:r>
      <w:r w:rsidRPr="00483F7D">
        <w:t>Δηλαδή, δεν προβλέπεται πρόσθετο κόστος στο πλαίσιο του τρέχοντος ΠΔΠ.</w:t>
      </w:r>
    </w:p>
    <w:p w14:paraId="37C15CE2"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 xml:space="preserve">Στο ΠΔΠ μετά το 2027, το κόστος για τον κόμβο δεδομένων και την Τελωνειακή Αρχή προτείνεται να χρηματοδοτηθεί μέσω του επόμενου ΠΔΠ, χωρίς να προδικάζεται η συμφωνία για το ΠΔΠ και τα προγράμματα.  </w:t>
      </w:r>
    </w:p>
    <w:p w14:paraId="1015139C" w14:textId="77777777" w:rsidR="008F6AC1" w:rsidRPr="00483F7D" w:rsidRDefault="008F6AC1" w:rsidP="008F6AC1">
      <w:pPr>
        <w:pStyle w:val="ManualHeading2"/>
        <w:ind w:left="0" w:firstLine="0"/>
        <w:rPr>
          <w:bCs/>
          <w:noProof/>
          <w:szCs w:val="24"/>
        </w:rPr>
      </w:pPr>
      <w:bookmarkStart w:id="304" w:name="_Toc514938674"/>
      <w:bookmarkStart w:id="305" w:name="_Toc520485433"/>
      <w:bookmarkStart w:id="306" w:name="_Toc133320615"/>
      <w:r w:rsidRPr="00483F7D">
        <w:t>1.6.</w:t>
      </w:r>
      <w:r w:rsidRPr="00483F7D">
        <w:tab/>
        <w:t>Διάρκεια και δημοσιονομικές επιπτώσεις της πρότασης/πρωτοβουλίας</w:t>
      </w:r>
      <w:bookmarkEnd w:id="304"/>
      <w:bookmarkEnd w:id="305"/>
      <w:bookmarkEnd w:id="306"/>
    </w:p>
    <w:p w14:paraId="139E026B" w14:textId="77777777" w:rsidR="008F6AC1" w:rsidRPr="00483F7D" w:rsidRDefault="008F6AC1" w:rsidP="008F6AC1">
      <w:pPr>
        <w:pStyle w:val="Text1"/>
        <w:rPr>
          <w:noProof/>
        </w:rPr>
      </w:pPr>
      <w:r w:rsidRPr="00483F7D">
        <w:sym w:font="Wingdings" w:char="F0A8"/>
      </w:r>
      <w:r w:rsidRPr="00483F7D">
        <w:rPr>
          <w:b/>
          <w:i/>
        </w:rPr>
        <w:t xml:space="preserve"> </w:t>
      </w:r>
      <w:r w:rsidRPr="00483F7D">
        <w:rPr>
          <w:b/>
        </w:rPr>
        <w:t xml:space="preserve">περιορισμένη διάρκεια </w:t>
      </w:r>
    </w:p>
    <w:p w14:paraId="2FCF85EF" w14:textId="77777777" w:rsidR="008F6AC1" w:rsidRPr="00483F7D" w:rsidRDefault="008F6AC1" w:rsidP="00CF7E35">
      <w:pPr>
        <w:pStyle w:val="ListDash2"/>
        <w:numPr>
          <w:ilvl w:val="0"/>
          <w:numId w:val="39"/>
        </w:numPr>
        <w:rPr>
          <w:noProof/>
        </w:rPr>
      </w:pPr>
      <w:r w:rsidRPr="00483F7D">
        <w:sym w:font="Wingdings" w:char="F0A8"/>
      </w:r>
      <w:r w:rsidRPr="00483F7D">
        <w:tab/>
        <w:t xml:space="preserve">Πρόταση/πρωτοβουλία με ισχύ από [ΗΗ/MM]ΕΕΕΕ έως [ΗΗ/MM]ΕΕΕΕ </w:t>
      </w:r>
    </w:p>
    <w:p w14:paraId="4751EB1B" w14:textId="77777777" w:rsidR="008F6AC1" w:rsidRPr="00483F7D" w:rsidRDefault="008F6AC1" w:rsidP="00CF7E35">
      <w:pPr>
        <w:pStyle w:val="ListDash2"/>
        <w:numPr>
          <w:ilvl w:val="0"/>
          <w:numId w:val="39"/>
        </w:numPr>
        <w:rPr>
          <w:noProof/>
        </w:rPr>
      </w:pPr>
      <w:r w:rsidRPr="00483F7D">
        <w:sym w:font="Wingdings" w:char="F0A8"/>
      </w:r>
      <w:r w:rsidRPr="00483F7D">
        <w:tab/>
        <w:t>Δημοσιονομικές επιπτώσεις από το ΕΕΕΕ έως το ΕΕΕΕ</w:t>
      </w:r>
    </w:p>
    <w:p w14:paraId="2CB53703" w14:textId="77777777" w:rsidR="008F6AC1" w:rsidRPr="00483F7D" w:rsidRDefault="008F6AC1" w:rsidP="008F6AC1">
      <w:pPr>
        <w:pStyle w:val="Text1"/>
        <w:rPr>
          <w:noProof/>
        </w:rPr>
      </w:pPr>
      <w:r w:rsidRPr="00483F7D">
        <w:rPr>
          <w:b/>
        </w:rPr>
        <w:t>X</w:t>
      </w:r>
      <w:r w:rsidRPr="00483F7D">
        <w:rPr>
          <w:b/>
          <w:i/>
        </w:rPr>
        <w:t xml:space="preserve"> </w:t>
      </w:r>
      <w:r w:rsidRPr="00483F7D">
        <w:rPr>
          <w:b/>
        </w:rPr>
        <w:t>απεριόριστη διάρκεια</w:t>
      </w:r>
    </w:p>
    <w:p w14:paraId="3F0C3D84" w14:textId="77777777" w:rsidR="008F6AC1" w:rsidRPr="00483F7D" w:rsidRDefault="008F6AC1" w:rsidP="00CF7E35">
      <w:pPr>
        <w:pStyle w:val="ListDash1"/>
        <w:numPr>
          <w:ilvl w:val="0"/>
          <w:numId w:val="38"/>
        </w:numPr>
        <w:rPr>
          <w:noProof/>
        </w:rPr>
      </w:pPr>
      <w:r w:rsidRPr="00483F7D">
        <w:t>Περίοδος σταδιακής εφαρμογής από το 2026 έως το 2027,</w:t>
      </w:r>
    </w:p>
    <w:p w14:paraId="53A0B91C" w14:textId="77777777" w:rsidR="008F6AC1" w:rsidRPr="00483F7D" w:rsidRDefault="008F6AC1" w:rsidP="00CF7E35">
      <w:pPr>
        <w:pStyle w:val="ListDash1"/>
        <w:numPr>
          <w:ilvl w:val="0"/>
          <w:numId w:val="38"/>
        </w:numPr>
        <w:rPr>
          <w:noProof/>
        </w:rPr>
      </w:pPr>
      <w:r w:rsidRPr="00483F7D">
        <w:t>και στη συνέχεια πλήρης εφαρμογή.</w:t>
      </w:r>
    </w:p>
    <w:p w14:paraId="57EA3DF0" w14:textId="77777777" w:rsidR="008F6AC1" w:rsidRPr="00483F7D" w:rsidRDefault="008F6AC1" w:rsidP="008F6AC1">
      <w:pPr>
        <w:pStyle w:val="ManualHeading2"/>
        <w:rPr>
          <w:bCs/>
          <w:noProof/>
          <w:szCs w:val="24"/>
        </w:rPr>
      </w:pPr>
      <w:bookmarkStart w:id="307" w:name="_Toc514938675"/>
      <w:bookmarkStart w:id="308" w:name="_Toc520485434"/>
      <w:bookmarkStart w:id="309" w:name="_Toc133320616"/>
      <w:r w:rsidRPr="00483F7D">
        <w:t>1.7.</w:t>
      </w:r>
      <w:r w:rsidRPr="00483F7D">
        <w:tab/>
        <w:t>Προβλεπόμενες μέθοδοι εκτέλεσης του προϋπολογισμού</w:t>
      </w:r>
      <w:bookmarkEnd w:id="307"/>
      <w:bookmarkEnd w:id="308"/>
      <w:bookmarkEnd w:id="309"/>
      <w:r w:rsidRPr="00483F7D">
        <w:rPr>
          <w:rStyle w:val="FootnoteReference"/>
        </w:rPr>
        <w:t xml:space="preserve"> </w:t>
      </w:r>
    </w:p>
    <w:p w14:paraId="50570710" w14:textId="77777777" w:rsidR="008F6AC1" w:rsidRPr="00483F7D" w:rsidRDefault="008F6AC1" w:rsidP="008F6AC1">
      <w:pPr>
        <w:pStyle w:val="Text1"/>
        <w:rPr>
          <w:noProof/>
        </w:rPr>
      </w:pPr>
      <w:r w:rsidRPr="00483F7D">
        <w:rPr>
          <w:b/>
        </w:rPr>
        <w:t>X Άμεση διαχείριση</w:t>
      </w:r>
      <w:r w:rsidRPr="00483F7D">
        <w:t xml:space="preserve"> από την Επιτροπή</w:t>
      </w:r>
    </w:p>
    <w:p w14:paraId="35B6D9B7" w14:textId="77777777" w:rsidR="008F6AC1" w:rsidRPr="00483F7D" w:rsidRDefault="008F6AC1" w:rsidP="00CF7E35">
      <w:pPr>
        <w:pStyle w:val="ListDash2"/>
        <w:numPr>
          <w:ilvl w:val="0"/>
          <w:numId w:val="39"/>
        </w:numPr>
        <w:rPr>
          <w:noProof/>
        </w:rPr>
      </w:pPr>
      <w:r w:rsidRPr="00483F7D">
        <w:sym w:font="Wingdings" w:char="F0A8"/>
      </w:r>
      <w:r w:rsidRPr="00483F7D">
        <w:tab/>
        <w:t xml:space="preserve">από τους εκτελεστικούς οργανισμούς </w:t>
      </w:r>
    </w:p>
    <w:p w14:paraId="42CB0058" w14:textId="77777777" w:rsidR="008F6AC1" w:rsidRPr="00483F7D" w:rsidRDefault="008F6AC1" w:rsidP="00CF7E35">
      <w:pPr>
        <w:pStyle w:val="ListDash2"/>
        <w:numPr>
          <w:ilvl w:val="0"/>
          <w:numId w:val="39"/>
        </w:numPr>
        <w:rPr>
          <w:noProof/>
        </w:rPr>
      </w:pPr>
      <w:r w:rsidRPr="00483F7D">
        <w:rPr>
          <w:b/>
        </w:rPr>
        <w:t>X</w:t>
      </w:r>
      <w:r w:rsidRPr="00483F7D">
        <w:t xml:space="preserve"> από τις υπηρεσίες της, συμπεριλαμβανομένου του προσωπικού της στις αντιπροσωπείες της Ένωσης· </w:t>
      </w:r>
    </w:p>
    <w:p w14:paraId="00D91906" w14:textId="77777777" w:rsidR="008F6AC1" w:rsidRPr="00483F7D" w:rsidRDefault="008F6AC1" w:rsidP="008F6AC1">
      <w:pPr>
        <w:pStyle w:val="Text1"/>
        <w:rPr>
          <w:noProof/>
        </w:rPr>
      </w:pPr>
      <w:r w:rsidRPr="00483F7D">
        <w:sym w:font="Wingdings" w:char="F0A8"/>
      </w:r>
      <w:r w:rsidRPr="00483F7D">
        <w:rPr>
          <w:b/>
          <w:i/>
        </w:rPr>
        <w:t xml:space="preserve"> </w:t>
      </w:r>
      <w:r w:rsidRPr="00483F7D">
        <w:rPr>
          <w:b/>
        </w:rPr>
        <w:t>Επιμερισμένη διαχείριση</w:t>
      </w:r>
      <w:r w:rsidRPr="00483F7D">
        <w:t xml:space="preserve"> με τα κράτη μέλη </w:t>
      </w:r>
    </w:p>
    <w:p w14:paraId="23A1A19F" w14:textId="77777777" w:rsidR="008F6AC1" w:rsidRPr="00483F7D" w:rsidRDefault="008F6AC1" w:rsidP="008F6AC1">
      <w:pPr>
        <w:pStyle w:val="Text1"/>
        <w:rPr>
          <w:noProof/>
        </w:rPr>
      </w:pPr>
      <w:r w:rsidRPr="00483F7D">
        <w:rPr>
          <w:b/>
        </w:rPr>
        <w:t>X</w:t>
      </w:r>
      <w:r w:rsidRPr="00483F7D">
        <w:rPr>
          <w:i/>
        </w:rPr>
        <w:t xml:space="preserve"> </w:t>
      </w:r>
      <w:r w:rsidRPr="00483F7D">
        <w:rPr>
          <w:b/>
        </w:rPr>
        <w:t>Έμμεση διαχείριση</w:t>
      </w:r>
      <w:r w:rsidRPr="00483F7D">
        <w:t xml:space="preserve"> με ανάθεση καθηκόντων εκτέλεσης του προϋπολογισμού:</w:t>
      </w:r>
    </w:p>
    <w:p w14:paraId="0AC20B36" w14:textId="77777777" w:rsidR="008F6AC1" w:rsidRPr="00483F7D" w:rsidRDefault="008F6AC1" w:rsidP="008F6AC1">
      <w:pPr>
        <w:pStyle w:val="Text1"/>
        <w:rPr>
          <w:noProof/>
        </w:rPr>
      </w:pPr>
      <w:r w:rsidRPr="00483F7D">
        <w:sym w:font="Wingdings" w:char="F0A8"/>
      </w:r>
      <w:r w:rsidRPr="00483F7D">
        <w:t xml:space="preserve"> σε διεθνείς οργανισμούς και στις οργανώσεις τους (να προσδιοριστούν)</w:t>
      </w:r>
    </w:p>
    <w:p w14:paraId="5134C94E" w14:textId="77777777" w:rsidR="008F6AC1" w:rsidRPr="00483F7D" w:rsidRDefault="008F6AC1" w:rsidP="008F6AC1">
      <w:pPr>
        <w:pStyle w:val="Text1"/>
        <w:rPr>
          <w:noProof/>
        </w:rPr>
      </w:pPr>
      <w:r w:rsidRPr="00483F7D">
        <w:sym w:font="Wingdings" w:char="F0A8"/>
      </w:r>
      <w:r w:rsidRPr="00483F7D">
        <w:t xml:space="preserve"> στην ΕΤΕπ και στο Ευρωπαϊκό Ταμείο Επενδύσεων</w:t>
      </w:r>
    </w:p>
    <w:p w14:paraId="711B9DBF" w14:textId="77777777" w:rsidR="008F6AC1" w:rsidRPr="00483F7D" w:rsidRDefault="008F6AC1" w:rsidP="008F6AC1">
      <w:pPr>
        <w:pStyle w:val="Text1"/>
        <w:rPr>
          <w:noProof/>
        </w:rPr>
      </w:pPr>
      <w:r w:rsidRPr="00483F7D">
        <w:rPr>
          <w:b/>
        </w:rPr>
        <w:t>X</w:t>
      </w:r>
      <w:r w:rsidRPr="00483F7D">
        <w:t xml:space="preserve"> στους οργανισμούς που αναφέρονται στο άρθρο 70</w:t>
      </w:r>
    </w:p>
    <w:p w14:paraId="4B7F99D4" w14:textId="77777777" w:rsidR="008F6AC1" w:rsidRPr="00483F7D" w:rsidRDefault="008F6AC1" w:rsidP="008F6AC1">
      <w:pPr>
        <w:pStyle w:val="Text1"/>
        <w:rPr>
          <w:noProof/>
        </w:rPr>
      </w:pPr>
      <w:r w:rsidRPr="00483F7D">
        <w:sym w:font="Wingdings" w:char="F0A8"/>
      </w:r>
      <w:r w:rsidRPr="00483F7D">
        <w:t xml:space="preserve"> σε οργανισμούς δημοσίου δικαίου</w:t>
      </w:r>
    </w:p>
    <w:p w14:paraId="793D3427" w14:textId="77777777" w:rsidR="008F6AC1" w:rsidRPr="00483F7D" w:rsidRDefault="008F6AC1" w:rsidP="008F6AC1">
      <w:pPr>
        <w:pStyle w:val="Text1"/>
        <w:rPr>
          <w:noProof/>
        </w:rPr>
      </w:pPr>
      <w:r w:rsidRPr="00483F7D">
        <w:sym w:font="Wingdings" w:char="F0A8"/>
      </w:r>
      <w:r w:rsidRPr="00483F7D">
        <w:t xml:space="preserve"> σε οργανισμούς που διέπονται από ιδιωτικό δίκαιο και έχουν αποστολή δημόσιας υπηρεσίας, στον βαθμό που τους παρέχονται επαρκείς οικονομικές εγγυήσεις</w:t>
      </w:r>
    </w:p>
    <w:p w14:paraId="3C06A9B7" w14:textId="77777777" w:rsidR="008F6AC1" w:rsidRPr="00483F7D" w:rsidRDefault="008F6AC1" w:rsidP="008F6AC1">
      <w:pPr>
        <w:pStyle w:val="Text1"/>
        <w:rPr>
          <w:noProof/>
        </w:rPr>
      </w:pPr>
      <w:r w:rsidRPr="00483F7D">
        <w:sym w:font="Wingdings" w:char="F0A8"/>
      </w:r>
      <w:r w:rsidRPr="00483F7D">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στους οποίους παρέχονται επαρκείς οικονομικές εγγυήσεις</w:t>
      </w:r>
    </w:p>
    <w:p w14:paraId="66A99A89" w14:textId="77777777" w:rsidR="008F6AC1" w:rsidRPr="00483F7D" w:rsidRDefault="008F6AC1" w:rsidP="008F6AC1">
      <w:pPr>
        <w:pStyle w:val="Text1"/>
        <w:rPr>
          <w:noProof/>
        </w:rPr>
      </w:pPr>
      <w:r w:rsidRPr="00483F7D">
        <w:sym w:font="Wingdings" w:char="F0A8"/>
      </w:r>
      <w:r w:rsidRPr="00483F7D">
        <w:t xml:space="preserve"> σε οργανισμούς ή πρόσωπα επιφορτισμένα με την εφαρμογή συγκεκριμένων δράσεων στην ΚΕΠΠΑ βάσει του τίτλου V της ΣΕΕ και τα οποία προσδιορίζονται στην αντίστοιχη βασική πράξη.</w:t>
      </w:r>
    </w:p>
    <w:p w14:paraId="139A576F" w14:textId="77777777" w:rsidR="008F6AC1" w:rsidRPr="00483F7D" w:rsidRDefault="008F6AC1" w:rsidP="008F6AC1">
      <w:pPr>
        <w:rPr>
          <w:noProof/>
        </w:rPr>
      </w:pPr>
      <w:r w:rsidRPr="00483F7D">
        <w:t>Παρατηρήσεις:</w:t>
      </w:r>
    </w:p>
    <w:p w14:paraId="2318F2C0" w14:textId="77777777" w:rsidR="008F6AC1" w:rsidRPr="00483F7D" w:rsidRDefault="008F6AC1" w:rsidP="008F6AC1">
      <w:pPr>
        <w:pBdr>
          <w:top w:val="single" w:sz="4" w:space="1" w:color="auto"/>
          <w:left w:val="single" w:sz="4" w:space="4" w:color="auto"/>
          <w:bottom w:val="single" w:sz="4" w:space="1" w:color="auto"/>
          <w:right w:val="single" w:sz="4" w:space="4" w:color="auto"/>
        </w:pBdr>
        <w:ind w:left="720"/>
        <w:rPr>
          <w:noProof/>
        </w:rPr>
      </w:pPr>
      <w:r w:rsidRPr="00483F7D">
        <w:t xml:space="preserve">Κατά την έναρξη ισχύος, η Επιτροπή θα εξακολουθήσει να διαχειρίζεται την ανάπτυξη και τη διατήρηση των ισχυόντων συστημάτων ΕΤΚ και θα πρέπει να προωθήσει την προετοιμασία των αρχικών στοιχείων του κόμβου δεδομένων κατά τη διάρκεια του τρέχοντος ΠΔΠ. </w:t>
      </w:r>
    </w:p>
    <w:p w14:paraId="0F2576C9" w14:textId="77777777" w:rsidR="008F6AC1" w:rsidRPr="00483F7D" w:rsidRDefault="008F6AC1" w:rsidP="008F6AC1">
      <w:pPr>
        <w:pBdr>
          <w:top w:val="single" w:sz="4" w:space="1" w:color="auto"/>
          <w:left w:val="single" w:sz="4" w:space="4" w:color="auto"/>
          <w:bottom w:val="single" w:sz="4" w:space="1" w:color="auto"/>
          <w:right w:val="single" w:sz="4" w:space="4" w:color="auto"/>
        </w:pBdr>
        <w:ind w:left="720"/>
        <w:rPr>
          <w:noProof/>
        </w:rPr>
      </w:pPr>
      <w:r w:rsidRPr="00483F7D">
        <w:t>Κατά την περίοδο που ακολουθεί το τρέχον ΠΔΠ, για επιλεγμένα καθήκοντα, ιδίως την παροχή του κόμβου δεδομένων, η Επιτροπή θα διατηρήσει τη χρηματοδότηση και θα αναθέσει καθήκοντα στο πλαίσιο συμφωνίας συνεισφοράς στην Τελωνειακή Αρχή της ΕΕ. Η διατήρηση της άμεσης διαχείρισης των κονδυλίων για τα ισχύοντα συστήματα ΕΤΚ και η έμμεση διαχείριση των κονδυλίων του κόμβου δεδομένων μέσω συμφωνιών συνεισφοράς με την Τελωνειακή Αρχή της ΕΕ θα συμβάλουν στη διασφάλιση της μεταβατικής συνέχειας και της αποτελεσματικής υλοποίησης της πολιτικής του μελλοντικού περιβάλλοντος τελωνειακών δεδομένων της ΕΕ, ενώ η Αρχή θα επεκτείνει τις δυνατότητές της μετά τη σύστασή της το 2028.</w:t>
      </w:r>
    </w:p>
    <w:p w14:paraId="2B4AB7FD" w14:textId="77777777" w:rsidR="008F6AC1" w:rsidRPr="00483F7D" w:rsidRDefault="008F6AC1" w:rsidP="008F6AC1">
      <w:pPr>
        <w:rPr>
          <w:noProof/>
        </w:rPr>
      </w:pPr>
      <w:r w:rsidRPr="00483F7D">
        <w:t xml:space="preserve"> </w:t>
      </w:r>
    </w:p>
    <w:p w14:paraId="6C813CE0" w14:textId="77777777" w:rsidR="008F6AC1" w:rsidRPr="00483F7D" w:rsidRDefault="008F6AC1" w:rsidP="008F6AC1">
      <w:pPr>
        <w:pStyle w:val="ManualHeading1"/>
        <w:rPr>
          <w:bCs/>
          <w:noProof/>
          <w:szCs w:val="24"/>
        </w:rPr>
      </w:pPr>
      <w:bookmarkStart w:id="310" w:name="_Toc514938676"/>
      <w:bookmarkStart w:id="311" w:name="_Toc520485435"/>
      <w:bookmarkStart w:id="312" w:name="_Toc133320617"/>
      <w:r w:rsidRPr="00483F7D">
        <w:t>2.</w:t>
      </w:r>
      <w:r w:rsidRPr="00483F7D">
        <w:tab/>
        <w:t>ΜΕΤΡΑ ΔΙΑΧΕΙΡΙΣΗΣ</w:t>
      </w:r>
      <w:bookmarkEnd w:id="310"/>
      <w:bookmarkEnd w:id="311"/>
      <w:bookmarkEnd w:id="312"/>
      <w:r w:rsidRPr="00483F7D">
        <w:t xml:space="preserve"> </w:t>
      </w:r>
    </w:p>
    <w:p w14:paraId="350940A8" w14:textId="77777777" w:rsidR="008F6AC1" w:rsidRPr="00483F7D" w:rsidRDefault="008F6AC1" w:rsidP="008F6AC1">
      <w:pPr>
        <w:pStyle w:val="ManualHeading2"/>
        <w:rPr>
          <w:bCs/>
          <w:noProof/>
          <w:szCs w:val="24"/>
        </w:rPr>
      </w:pPr>
      <w:bookmarkStart w:id="313" w:name="_Toc514938677"/>
      <w:bookmarkStart w:id="314" w:name="_Toc520485436"/>
      <w:bookmarkStart w:id="315" w:name="_Toc133320618"/>
      <w:r w:rsidRPr="00483F7D">
        <w:t>2.1.</w:t>
      </w:r>
      <w:r w:rsidRPr="00483F7D">
        <w:tab/>
        <w:t>Κανόνες παρακολούθησης και υποβολής εκθέσεων</w:t>
      </w:r>
      <w:bookmarkEnd w:id="313"/>
      <w:bookmarkEnd w:id="314"/>
      <w:bookmarkEnd w:id="315"/>
      <w:r w:rsidRPr="00483F7D">
        <w:t xml:space="preserve"> </w:t>
      </w:r>
    </w:p>
    <w:p w14:paraId="3F023A6F"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483F7D">
        <w:rPr>
          <w:b/>
          <w:u w:val="single"/>
        </w:rPr>
        <w:t>Όσον αφορά τη συνολική μεταρρύθμιση:</w:t>
      </w:r>
    </w:p>
    <w:p w14:paraId="5388802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Η Επιτροπή θα παρακολουθεί τακτικά την εφαρμογή του προτεινόμενου κανονισμού. Για τον σκοπό αυτόν, η πρόταση προβλέπει τη διάθεση στην Επιτροπή εργαλείων πληροφόρησης και ανάλυσης μέσω του τελωνειακού κόμβου δεδομένων της ΕΕ, τα οποία θα καλύπτουν όλες τις τελωνειακές διαδικασίες που εμπίπτουν στο πεδίο εφαρμογής της μεταρρύθμισης. </w:t>
      </w:r>
    </w:p>
    <w:p w14:paraId="36A92B1D"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Με τη βοήθεια της Τελωνειακής Αρχής της ΕΕ, η Επιτροπή θα εκτιμά και θα αξιολογεί επίσης τις επιδόσεις της τελωνειακής ένωσης ως τέτοιας, τουλάχιστον σε ετήσια βάση. Αυτό θα περιλαμβάνει τη μέτρηση των τελωνειακών δραστηριοτήτων που εκτελούνται από τις τελωνειακές αρχές των κρατών μελών. Για τον σκοπό αυτόν, η Τελωνειακή Αρχή της ΕΕ θα εντοπίζει βασικές τάσεις, πλεονεκτήματα, αδυναμίες, κενά και δυνητικούς κινδύνους και θα παρέχει συστάσεις για βελτίωση στην Επιτροπή.</w:t>
      </w:r>
    </w:p>
    <w:p w14:paraId="12E7D44D"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Η Επιτροπή, σε συνεργασία με την Τελωνειακή Αρχή της ΕΕ και τις εθνικές τελωνειακές αρχές, θα αξιολογεί επίσης την εφαρμογή της </w:t>
      </w:r>
      <w:r w:rsidRPr="00483F7D">
        <w:rPr>
          <w:b/>
        </w:rPr>
        <w:t>διαχείρισης κινδύνων</w:t>
      </w:r>
      <w:r w:rsidRPr="00483F7D">
        <w:t xml:space="preserve"> ειδικότερα, με σκοπό τη συνεχή βελτίωση της επιχειρησιακής και στρατηγικής αποτελεσματικότητας και αποδοτικότητάς της. Η Επιτροπή θα χρησιμοποιεί επίσης τις πληροφορίες που είναι διαθέσιμες στον κόμβο δεδομένων για τον σκοπό αυτόν και μπορεί να ζητήσει περαιτέρω πληροφορίες από την Τελωνειακή Αρχή της ΕΕ και από τις εθνικές τελωνειακές και άλλες αρχές. Αυτές οι εργασίες αξιολόγησης θα χρησιμοποιηθούν από την Επιτροπή για τη θέσπιση κοινών διατάξεων διαχείρισης κινδύνων, ιδίως κοινών κριτηρίων κινδύνου και κοινών τομέων ελέγχου προτεραιότητας.</w:t>
      </w:r>
    </w:p>
    <w:p w14:paraId="62C83C80"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483F7D">
        <w:rPr>
          <w:b/>
          <w:u w:val="single"/>
        </w:rPr>
        <w:t>Σε σχέση με την Τελωνειακή Αρχή της ΕΕ συγκεκριμένα:</w:t>
      </w:r>
    </w:p>
    <w:p w14:paraId="36C5F2FC"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bookmarkStart w:id="316" w:name="_Hlk126762845"/>
      <w:r w:rsidRPr="00483F7D">
        <w:t>Όλοι οι οργανισμοί της Ένωσης λειτουργούν υπό αυστηρό σύστημα παρακολούθησης που συγκροτείται από συντονιστή εσωτερικού ελέγχου, την Υπηρεσία Εσωτερικού Ελέγχου της Επιτροπής, το διοικητικό συμβούλιο, την Επιτροπή, το Ελεγκτικό Συνέδριο και την αρμόδια για τον προϋπολογισμό αρχή</w:t>
      </w:r>
      <w:bookmarkEnd w:id="316"/>
      <w:r w:rsidRPr="00483F7D">
        <w:t xml:space="preserve">. Το σύστημα αυτό αποτυπώνεται και καθορίζεται στον ΤΙΤΛΟ XII. Σύμφωνα με την κοινή προσέγγιση για τους αποκεντρωμένους οργανισμούς της ΕΕ, το ετήσιο πρόγραμμα εργασίας της Τελωνειακής Αρχής της ΕΕ περιλαμβάνει λεπτομερείς στόχους και αναμενόμενα αποτελέσματα, καθώς και δείκτες επιδόσεων. Οι δραστηριότητες της Τελωνειακής Αρχής της ΕΕ θα μετριούνται στη συνέχεια με βάση αυτούς τους δείκτες στην ετήσια έκθεση δραστηριοτήτων. Το ετήσιο πρόγραμμα εργασίας θα συνάδει με το πολυετές πρόγραμμα εργασίας και αμφότερα θα περιλαμβάνονται σε ενιαίο έγγραφο προγραμματισμού το οποίο θα υποβάλλεται στο Ευρωπαϊκό Κοινοβούλιο, στο Συμβούλιο και στην Επιτροπή. </w:t>
      </w:r>
    </w:p>
    <w:p w14:paraId="63078A62"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Το διοικητικό συμβούλιο της Τελωνειακής Αρχής της ΕΕ θα είναι υπεύθυνο για την επιτήρηση της αποτελεσματικής διοικητικής, επιχειρησιακής και δημοσιονομικής διαχείρισης της Τελωνειακής Αρχής της ΕΕ. Επικουρείται από το εκτελεστικό γραφείο αρμόδιο για την προετοιμασία των αποφάσεων του διοικητικού συμβουλίου.</w:t>
      </w:r>
    </w:p>
    <w:p w14:paraId="3354AD7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Η Επιτροπή θα διασφαλίσει τη διενέργεια τακτικών αξιολογήσεων των επιδόσεων της Τελωνειακής Αρχής της ΕΕ σε σχέση με τους στόχους, την εντολή, τα καθήκοντα, τη διακυβέρνηση και την τοποθεσία ή τις τοποθεσίες της. Στις αξιολογήσεις εξετάζονται, ειδικότερα, η ενδεχόμενη ανάγκη τροποποίησης της εντολής της Τελωνειακής Αρχής της ΕΕ, καθώς και οι δημοσιονομικές επιπτώσεις τυχόν τέτοιας τροποποίησης. Στο πλαίσιο κάθε δεύτερης αξιολόγησης, τα αποτελέσματα που έχουν επιτευχθεί από την Τελωνειακή Αρχή της ΕΕ θα αποτιμώνται, λαμβανομένων υπόψη των στόχων, της εντολής, των καθηκόντων και της διακυβέρνησής της, συμπεριλαμβανομένης αξιολόγησης του κατά πόσον η συνέχιση της λειτουργίας της Τελωνειακής Αρχής της ΕΕ εξακολουθεί να δικαιολογείται σε σχέση με τους εν λόγω στόχους, την εντολή, τη διακυβέρνηση και τα καθήκοντά της. Η Επιτροπή θα υποβάλλει έκθεση στο Ευρωπαϊκό Κοινοβούλιο και στο Συμβούλιο σχετικά με τα πορίσματα της αξιολόγησης. Τα πορίσματα της αξιολόγησης δημοσιοποιούνται.</w:t>
      </w:r>
    </w:p>
    <w:p w14:paraId="528F7C3B" w14:textId="77777777" w:rsidR="008F6AC1" w:rsidRPr="00483F7D" w:rsidRDefault="008F6AC1" w:rsidP="008F6AC1">
      <w:pPr>
        <w:pStyle w:val="ManualHeading2"/>
        <w:rPr>
          <w:bCs/>
          <w:noProof/>
          <w:szCs w:val="24"/>
        </w:rPr>
      </w:pPr>
      <w:bookmarkStart w:id="317" w:name="_Toc514938678"/>
      <w:bookmarkStart w:id="318" w:name="_Toc520485437"/>
      <w:bookmarkStart w:id="319" w:name="_Toc133320619"/>
      <w:r w:rsidRPr="00483F7D">
        <w:t>2.2.</w:t>
      </w:r>
      <w:r w:rsidRPr="00483F7D">
        <w:tab/>
        <w:t>Συστήματα διαχείρισης και ελέγχου</w:t>
      </w:r>
      <w:bookmarkEnd w:id="317"/>
      <w:bookmarkEnd w:id="318"/>
      <w:bookmarkEnd w:id="319"/>
      <w:r w:rsidRPr="00483F7D">
        <w:t xml:space="preserve"> </w:t>
      </w:r>
    </w:p>
    <w:p w14:paraId="659DC0A4" w14:textId="77777777" w:rsidR="008F6AC1" w:rsidRPr="00483F7D" w:rsidRDefault="008F6AC1" w:rsidP="008F6AC1">
      <w:pPr>
        <w:pStyle w:val="ManualHeading3"/>
        <w:rPr>
          <w:noProof/>
        </w:rPr>
      </w:pPr>
      <w:bookmarkStart w:id="320" w:name="_Toc514938679"/>
      <w:bookmarkStart w:id="321" w:name="_Toc520485438"/>
      <w:bookmarkStart w:id="322" w:name="_Toc133320620"/>
      <w:r w:rsidRPr="00483F7D">
        <w:t>2.2.1.</w:t>
      </w:r>
      <w:r w:rsidRPr="00483F7D">
        <w:tab/>
        <w:t>Αιτιολόγηση των τρόπων διαχείρισης, των μηχανισμών εκτέλεσης της χρηματοδότησης, των όρων πληρωμής και της προτεινόμενης στρατηγικής ελέγχου</w:t>
      </w:r>
      <w:bookmarkEnd w:id="320"/>
      <w:bookmarkEnd w:id="321"/>
      <w:bookmarkEnd w:id="322"/>
    </w:p>
    <w:p w14:paraId="6FF4524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rPr>
      </w:pPr>
      <w:r w:rsidRPr="00483F7D">
        <w:t>Η Τελωνειακή Αρχή της ΕΕ θα διασφαλίσει την τήρηση των κατάλληλων προτύπων για τον εσωτερικό έλεγχο.</w:t>
      </w:r>
    </w:p>
    <w:p w14:paraId="0B0573EB"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 xml:space="preserve">Όσον αφορά τους εκ των υστέρων ελέγχους, η Τελωνειακή Αρχή, ως αποκεντρωμένου οργανισμού, υπόκειται ιδίως σε: i) εσωτερικό έλεγχο από την Υπηρεσία Εσωτερικού Λογιστικού Ελέγχου της Επιτροπής· ii) ετήσιες εκθέσεις του Ευρωπαϊκού Ελεγκτικού Συνεδρίου, το οποίο παρέχει δήλωση αξιοπιστίας σχετικά με την αξιοπιστία των ετήσιων λογαριασμών, καθώς και σχετικά με τη νομιμότητα και κανονικότητα των υποκείμενων πράξεων· iii) ετήσια απαλλαγή που χορηγείται από το Ευρωπαϊκό Κοινοβούλιο·  iv) πιθανές έρευνες που διεξάγει η OLAF για να διασφαλίσει, ιδίως, την ορθή χρήση των πόρων που διατίθενται στους οργανισμούς. </w:t>
      </w:r>
    </w:p>
    <w:p w14:paraId="6B3CB73D"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Οι δραστηριότητες της Τελωνειακής Αρχής της ΕΕ αποτελούν επίσης αντικείμενο των ερευνών του Ευρωπαίου Διαμεσολαβητή, σύμφωνα με το άρθρο 228 της ΣΛΕΕ.</w:t>
      </w:r>
    </w:p>
    <w:p w14:paraId="134E9A32"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Λαμβανομένης υπόψη της αποκλειστικής αρμοδιότητας της Ένωσης στον τομέα των τελωνείων και δεδομένου ότι η πρόταση περιλαμβάνει σημαντικές επενδύσεις για την ανάπτυξη, τη λειτουργία, τη διατήρηση και τη χρήση ενός κόμβου δεδομένων, κρίνεται σκόπιμο να διατηρηθεί η δημοσιονομική ευθύνη για ορισμένες δραστηριότητες στην Επιτροπή και να ανατεθούν στην Τελωνειακή Αρχή της ΕΕ ορισμένα εκτελεστικά καθήκοντα στο πλαίσιο συμφωνιών συνεισφοράς. Οι διατάξεις αυτές θα πρέπει να περιλαμβάνουν διατάξεις που θα επιτρέπουν στην Επιτροπή να διατηρεί υψηλό βαθμό ελέγχου των κατ’ εξουσιοδότηση δραστηριοτήτων, όπως προβλέπεται στην παρούσα πρόταση.</w:t>
      </w:r>
    </w:p>
    <w:p w14:paraId="497E2D88"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Επιπλέον, είναι σκόπιμο η Επιτροπή να διαδραματίζει σημαντικό ρόλο στις δραστηριότητες προγραμματισμού και παρακολούθησης του διοικητικού συμβουλίου και του εκτελεστικού γραφείου της Τελωνειακής Αρχής της ΕΕ.</w:t>
      </w:r>
    </w:p>
    <w:p w14:paraId="08A58B2F" w14:textId="77777777" w:rsidR="008F6AC1" w:rsidRPr="00483F7D" w:rsidRDefault="008F6AC1" w:rsidP="008F6AC1">
      <w:pPr>
        <w:pStyle w:val="ManualHeading3"/>
        <w:rPr>
          <w:noProof/>
        </w:rPr>
      </w:pPr>
      <w:bookmarkStart w:id="323" w:name="_Toc514938680"/>
      <w:bookmarkStart w:id="324" w:name="_Toc520485439"/>
      <w:bookmarkStart w:id="325" w:name="_Toc133320621"/>
      <w:r w:rsidRPr="00483F7D">
        <w:t>2.2.2.</w:t>
      </w:r>
      <w:r w:rsidRPr="00483F7D">
        <w:tab/>
        <w:t>Πληροφορίες σχετικά με τους κινδύνους που έχουν εντοπιστεί και τα συστήματα εσωτερικού ελέγχου που έχουν δημιουργηθεί για τον μετριασμό τους</w:t>
      </w:r>
      <w:bookmarkEnd w:id="323"/>
      <w:bookmarkEnd w:id="324"/>
      <w:bookmarkEnd w:id="325"/>
    </w:p>
    <w:p w14:paraId="51D93635"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483F7D">
        <w:t>Δεδομένου ότι η Τελωνειακή Αρχή της ΕΕ θα είναι νέος φορέας, υπάρχει κίνδυνος οι διαδικασίες πρόσληψης και οι διοικητικές διαδικασίες να μην είναι εντός χρονοδιαγράμματος και να επηρεάσουν την επιχειρησιακή ικανότητα της Τελωνειακής Αρχής της ΕΕ κατά την έναρξη των δραστηριοτήτων της. Ως εκ τούτου, είναι ζωτικής σημασίας η ΓΔ-εταίρος να προετοιμάσει την έναρξη λειτουργίας με τη θέσπιση διοικητικών διαδικασιών, δομών διακυβέρνησης, αρχικών προγραμμάτων εργασίας και να εκτελέσει ορισμένες αρχικές δραστηριότητες πρόσληψης, ώστε η Τελωνειακή Αρχή της ΕΕ να μπορέσει σύντομα να επιτύχει πλήρη διοικητική αυτονομία. Είναι σκόπιμο τα κράτη μέλη να συμμετέχουν σε τέτοιες προπαρασκευαστικές ενέργειες μέσω τακτικών ανταλλαγών απόψεων.</w:t>
      </w:r>
    </w:p>
    <w:p w14:paraId="15016892"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483F7D">
        <w:t xml:space="preserve">Θα απαιτηθούν συχνές συνεδριάσεις και τακτικές επαφές μεταξύ της ΓΔ-εταίρου και της Τελωνειακής Αρχής της ΕΕ καθ’ όλη τη διάρκεια των πρώτων ετών λειτουργίας της Τελωνειακής Αρχής της ΕΕ, προκειμένου να διευκολυνθεί η εκκίνησή της. Θα μπορούσε να προβλεφθεί η απόσπαση έμπειρου προσωπικού της Επιτροπής. </w:t>
      </w:r>
    </w:p>
    <w:p w14:paraId="7215704B"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483F7D">
        <w:t xml:space="preserve">Η Τελωνειακή Αρχή της ΕΕ θα κληθεί να εφαρμόσει ένα πλαίσιο εσωτερικού ελέγχου σύμφωνα με το πλαίσιο εσωτερικού ελέγχου της Ευρωπαϊκής Επιτροπής. Πληροφορίες σχετικά με τους εσωτερικούς ελέγχους της Τελωνειακής Αρχής της ΕΕ θα περιλαμβάνονται στις ετήσιες εκθέσεις της Τελωνειακής Αρχής της ΕΕ. </w:t>
      </w:r>
    </w:p>
    <w:p w14:paraId="3B81E37C"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483F7D">
        <w:t xml:space="preserve">Θα συσταθεί κλιμάκιο εσωτερικού ελέγχου που θα λαμβάνει υπόψη τους κινδύνους που αφορούν ειδικά τη λειτουργία της Τελωνειακής Αρχής της ΕΕ και θα εφαρμόζει συστηματική και πειθαρχημένη προσέγγιση για την αξιολόγηση της αποτελεσματικότητας των διαδικασιών διαχείρισης κινδύνων, ελέγχου και διακυβέρνησης, ενώ θα εκδίδει και συστάσεις για τη βελτίωσή τους. </w:t>
      </w:r>
    </w:p>
    <w:p w14:paraId="0100D7CE"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rPr>
          <w:noProof/>
        </w:rPr>
      </w:pPr>
      <w:r w:rsidRPr="00483F7D">
        <w:t>Όσον αφορά τα κονδύλια της TAXUD: Η πρόληψη και ο εντοπισμός της απάτης είναι ένας από τους στόχους του εσωτερικού ελέγχου όπως προβλέπεται στον δημοσιονομικό κανονισμό και αποτελεί βασικό ζήτημα διακυβέρνησης που πρέπει να αντιμετωπίσει η Επιτροπή σε όλο τον κύκλο ζωής των δαπανών. Επιπλέον, η στρατηγική της TAXUD για την καταπολέμηση της φοροδιαφυγής αποσκοπεί κυρίως στην πρόληψη, τον εντοπισμό και την αποζημίωση της απάτης, διασφαλίζοντας μεταξύ άλλων ότι οι εσωτερικοί έλεγχοί της για την καταπολέμηση της απάτης είναι πλήρως εναρμονισμένοι με τη στρατηγική της Επιτροπής για την καταπολέμηση της απάτης και ότι η προσέγγισή της για τη διαχείριση του κινδύνου απάτης είναι στραμμένη στον εντοπισμό τομέων που ενέχουν κίνδυνο απάτης και κατάλληλων απαντήσεων.</w:t>
      </w:r>
    </w:p>
    <w:p w14:paraId="18639F74" w14:textId="77777777" w:rsidR="008F6AC1" w:rsidRPr="00483F7D" w:rsidRDefault="008F6AC1" w:rsidP="008F6AC1">
      <w:pPr>
        <w:pStyle w:val="ManualHeading3"/>
        <w:rPr>
          <w:noProof/>
        </w:rPr>
      </w:pPr>
      <w:bookmarkStart w:id="326" w:name="_Toc133320622"/>
      <w:bookmarkStart w:id="327" w:name="_Toc514938681"/>
      <w:bookmarkStart w:id="328" w:name="_Toc520485440"/>
      <w:r w:rsidRPr="00483F7D">
        <w:t>2.2.3.</w:t>
      </w:r>
      <w:r w:rsidRPr="00483F7D">
        <w:tab/>
        <w:t>Εκτίμηση και αιτιολόγηση της οικονομικής αποδοτικότητας των ελέγχων</w:t>
      </w:r>
      <w:bookmarkEnd w:id="326"/>
      <w:r w:rsidRPr="00483F7D">
        <w:t xml:space="preserve"> </w:t>
      </w:r>
      <w:bookmarkEnd w:id="327"/>
      <w:bookmarkEnd w:id="328"/>
    </w:p>
    <w:p w14:paraId="40E8DFA9" w14:textId="77777777" w:rsidR="008F6AC1" w:rsidRPr="00483F7D" w:rsidRDefault="008F6AC1" w:rsidP="008F6AC1">
      <w:pPr>
        <w:pBdr>
          <w:top w:val="single" w:sz="4" w:space="1" w:color="auto"/>
          <w:left w:val="single" w:sz="4" w:space="4" w:color="auto"/>
          <w:bottom w:val="single" w:sz="4" w:space="1" w:color="auto"/>
          <w:right w:val="single" w:sz="4" w:space="4" w:color="auto"/>
        </w:pBdr>
        <w:spacing w:before="0" w:after="240"/>
        <w:ind w:left="851"/>
        <w:rPr>
          <w:noProof/>
        </w:rPr>
      </w:pPr>
      <w:r w:rsidRPr="00483F7D">
        <w:t>Οι δαπάνες της ΓΔ-εταίρου για τη συνολική εποπτεία της Τελωνειακής Αρχής της ΕΕ εκτιμάται ότι ανέρχονται στο 0,5 % του ετήσιου προϋπολογισμού που έχει ανατεθεί στην Τελωνειακή Αρχή της ΕΕ, συμπεριλαμβανομένων των κατ’ εξουσιοδότηση κονδυλίων. Οι δαπάνες αυτές περιλαμβάνουν, για παράδειγμα, μεταξύ άλλων, τις δαπάνες που αφορούν την αξιολόγηση του ετήσιου προγραμματισμού και του ετήσιου προϋπολογισμού, τη συμμετοχή των εκπροσώπων της Επιτροπής στο διοικητικό συμβούλιο και στο εκτελεστικό γραφείο και στις σχετικές προπαρασκευαστικές εργασίες.</w:t>
      </w:r>
      <w:bookmarkStart w:id="329" w:name="_Toc514938682"/>
    </w:p>
    <w:p w14:paraId="40D9366A" w14:textId="77777777" w:rsidR="008F6AC1" w:rsidRPr="00483F7D" w:rsidRDefault="008F6AC1" w:rsidP="008F6AC1">
      <w:pPr>
        <w:pStyle w:val="ManualHeading2"/>
        <w:rPr>
          <w:bCs/>
          <w:noProof/>
          <w:szCs w:val="24"/>
        </w:rPr>
      </w:pPr>
      <w:bookmarkStart w:id="330" w:name="_Toc520485441"/>
      <w:bookmarkStart w:id="331" w:name="_Toc133320623"/>
      <w:r w:rsidRPr="00483F7D">
        <w:t>2.3.</w:t>
      </w:r>
      <w:r w:rsidRPr="00483F7D">
        <w:tab/>
        <w:t>Μέτρα για την πρόληψη περιπτώσεων απάτης και παρατυπίας</w:t>
      </w:r>
      <w:bookmarkEnd w:id="329"/>
      <w:bookmarkEnd w:id="330"/>
      <w:bookmarkEnd w:id="331"/>
      <w:r w:rsidRPr="00483F7D">
        <w:t xml:space="preserve"> </w:t>
      </w:r>
    </w:p>
    <w:p w14:paraId="680964C2" w14:textId="77777777" w:rsidR="008F6AC1" w:rsidRPr="00483F7D" w:rsidRDefault="008F6AC1" w:rsidP="008F6AC1">
      <w:pPr>
        <w:pStyle w:val="Text1"/>
        <w:rPr>
          <w:i/>
          <w:noProof/>
          <w:sz w:val="20"/>
        </w:rPr>
      </w:pPr>
      <w:r w:rsidRPr="00483F7D">
        <w:rPr>
          <w:i/>
          <w:sz w:val="20"/>
        </w:rPr>
        <w:t>Να προσδιοριστούν τα ισχύοντα ή τα προβλεπόμενα μέτρα πρόληψης και προστασίας, π.χ. στη στρατηγική για την καταπολέμηση της απάτης.</w:t>
      </w:r>
    </w:p>
    <w:p w14:paraId="4B6B680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Τα μέτρα καταπολέμησης της απάτης προβλέπονται στις διατάξεις που αφορούν την Τελωνειακή Αρχή της ΕΕ. Σύμφωνα με την κοινή προσέγγιση για τους αποκεντρωμένους οργανισμούς, η Τελωνειακή Αρχή της ΕΕ θα θεσπίσει στρατηγική για την καταπολέμηση της απάτης.</w:t>
      </w:r>
    </w:p>
    <w:p w14:paraId="7282B08D"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pPr>
      <w:r w:rsidRPr="00483F7D">
        <w:t>Θα θεσπίσει επίσης κανόνες για την πρόληψη και τη διαχείριση συγκρούσεων μεταξύ των μελών του διοικητικού συμβουλίου και του εκτελεστικού γραφείου.</w:t>
      </w:r>
    </w:p>
    <w:p w14:paraId="1ABC1387"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483F7D">
        <w:t>Επιπλέον, η Τελωνειακή Αρχή της ΕΕ θα θεσπίσει κανόνες ασφάλειας οι οποίοι θα βασίζονται στις αρχές και τους κανόνες που προβλέπονται στους κανόνες ασφάλειας της Επιτροπής για την προστασία των διαβαθμισμένων πληροφοριών της Ευρωπαϊκής Ένωσης (ΔΠΕΕ) και των ευαίσθητων μη διαβαθμισμένων πληροφοριών.</w:t>
      </w:r>
      <w:bookmarkStart w:id="332" w:name="_Toc514938683"/>
      <w:bookmarkStart w:id="333" w:name="_Toc520485442"/>
    </w:p>
    <w:p w14:paraId="3C45D0B9" w14:textId="77777777" w:rsidR="008F6AC1" w:rsidRPr="00483F7D" w:rsidRDefault="008F6AC1" w:rsidP="008F6AC1">
      <w:pPr>
        <w:pStyle w:val="ManualHeading1"/>
        <w:rPr>
          <w:bCs/>
          <w:noProof/>
          <w:szCs w:val="24"/>
        </w:rPr>
      </w:pPr>
      <w:bookmarkStart w:id="334" w:name="_Toc133320624"/>
      <w:r w:rsidRPr="00483F7D">
        <w:t>3.</w:t>
      </w:r>
      <w:r w:rsidRPr="00483F7D">
        <w:tab/>
        <w:t>ΕΚΤΙΜΩΜΕΝΕΣ ΔΗΜΟΣΙΟΝΟΜΙΚΕΣ ΕΠΙΠΤΩΣΕΙΣ ΤΗΣ ΠΡΟΤΑΣΗΣ/ΠΡΩΤΟΒΟΥΛΙΑΣ</w:t>
      </w:r>
      <w:bookmarkEnd w:id="332"/>
      <w:bookmarkEnd w:id="333"/>
      <w:bookmarkEnd w:id="334"/>
      <w:r w:rsidRPr="00483F7D">
        <w:t xml:space="preserve"> </w:t>
      </w:r>
    </w:p>
    <w:p w14:paraId="5D652943" w14:textId="77777777" w:rsidR="008F6AC1" w:rsidRPr="00483F7D" w:rsidRDefault="008F6AC1" w:rsidP="008F6AC1">
      <w:pPr>
        <w:pStyle w:val="ManualHeading2"/>
        <w:rPr>
          <w:noProof/>
        </w:rPr>
      </w:pPr>
      <w:bookmarkStart w:id="335" w:name="_Toc514938684"/>
      <w:bookmarkStart w:id="336" w:name="_Toc520485443"/>
      <w:bookmarkStart w:id="337" w:name="_Toc133320625"/>
      <w:r w:rsidRPr="00483F7D">
        <w:t>3.1.</w:t>
      </w:r>
      <w:r w:rsidRPr="00483F7D">
        <w:tab/>
        <w:t>Τομείς του πολυετούς δημοσιονομικού πλαισίου και γραμμές δαπανών του προϋπολογισμού που επηρεάζονται</w:t>
      </w:r>
      <w:bookmarkEnd w:id="335"/>
      <w:bookmarkEnd w:id="336"/>
      <w:bookmarkEnd w:id="337"/>
      <w:r w:rsidRPr="00483F7D">
        <w:t xml:space="preserve"> </w:t>
      </w:r>
    </w:p>
    <w:p w14:paraId="0CECEA4D" w14:textId="77777777" w:rsidR="008F6AC1" w:rsidRPr="00483F7D" w:rsidRDefault="008F6AC1" w:rsidP="00CF7E35">
      <w:pPr>
        <w:pStyle w:val="ListBullet1"/>
        <w:numPr>
          <w:ilvl w:val="0"/>
          <w:numId w:val="37"/>
        </w:numPr>
        <w:rPr>
          <w:noProof/>
        </w:rPr>
      </w:pPr>
      <w:r w:rsidRPr="00483F7D">
        <w:t xml:space="preserve">Υφιστάμενες γραμμές του προϋπολογισμού </w:t>
      </w:r>
    </w:p>
    <w:p w14:paraId="77E54238" w14:textId="77777777" w:rsidR="008F6AC1" w:rsidRPr="00483F7D" w:rsidRDefault="008F6AC1" w:rsidP="008F6AC1">
      <w:pPr>
        <w:pStyle w:val="Text1"/>
        <w:rPr>
          <w:noProof/>
        </w:rPr>
      </w:pPr>
      <w:r w:rsidRPr="00483F7D">
        <w:rPr>
          <w:u w:val="single"/>
        </w:rPr>
        <w:t>Κατά σειρά</w:t>
      </w:r>
      <w:r w:rsidRPr="00483F7D">
        <w:t xml:space="preserve"> τομέων του πολυετούς δημοσιονομικού πλαισίου και γραμμών του προϋπολογισμού.</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2902"/>
        <w:gridCol w:w="1052"/>
        <w:gridCol w:w="931"/>
        <w:gridCol w:w="1052"/>
        <w:gridCol w:w="931"/>
        <w:gridCol w:w="824"/>
      </w:tblGrid>
      <w:tr w:rsidR="008F6AC1" w:rsidRPr="00483F7D" w14:paraId="046E224A" w14:textId="77777777" w:rsidTr="005563C1">
        <w:trPr>
          <w:trHeight w:val="538"/>
        </w:trPr>
        <w:tc>
          <w:tcPr>
            <w:tcW w:w="1238" w:type="dxa"/>
            <w:vMerge w:val="restart"/>
            <w:vAlign w:val="center"/>
          </w:tcPr>
          <w:p w14:paraId="312A4BAA" w14:textId="77777777" w:rsidR="008F6AC1" w:rsidRPr="00483F7D" w:rsidRDefault="008F6AC1" w:rsidP="005563C1">
            <w:pPr>
              <w:spacing w:before="60" w:after="60"/>
              <w:jc w:val="center"/>
              <w:rPr>
                <w:noProof/>
                <w:sz w:val="18"/>
              </w:rPr>
            </w:pPr>
            <w:r w:rsidRPr="00483F7D">
              <w:rPr>
                <w:sz w:val="18"/>
              </w:rPr>
              <w:t>Τομέας του πολυετούς δημοσιονομικού πλαισίου</w:t>
            </w:r>
          </w:p>
        </w:tc>
        <w:tc>
          <w:tcPr>
            <w:tcW w:w="2902" w:type="dxa"/>
            <w:vAlign w:val="center"/>
          </w:tcPr>
          <w:p w14:paraId="3EA59332" w14:textId="77777777" w:rsidR="008F6AC1" w:rsidRPr="00483F7D" w:rsidRDefault="008F6AC1" w:rsidP="005563C1">
            <w:pPr>
              <w:spacing w:before="60" w:after="60"/>
              <w:jc w:val="center"/>
              <w:rPr>
                <w:noProof/>
              </w:rPr>
            </w:pPr>
            <w:r w:rsidRPr="00483F7D">
              <w:rPr>
                <w:sz w:val="20"/>
              </w:rPr>
              <w:t>Γραμμή του προϋπολογισμού</w:t>
            </w:r>
          </w:p>
        </w:tc>
        <w:tc>
          <w:tcPr>
            <w:tcW w:w="1052" w:type="dxa"/>
            <w:vAlign w:val="center"/>
          </w:tcPr>
          <w:p w14:paraId="710CC837" w14:textId="77777777" w:rsidR="008F6AC1" w:rsidRPr="00483F7D" w:rsidRDefault="008F6AC1" w:rsidP="005563C1">
            <w:pPr>
              <w:spacing w:before="60" w:after="60"/>
              <w:jc w:val="center"/>
              <w:rPr>
                <w:noProof/>
              </w:rPr>
            </w:pPr>
            <w:r w:rsidRPr="00483F7D">
              <w:rPr>
                <w:sz w:val="18"/>
              </w:rPr>
              <w:t xml:space="preserve">Είδος </w:t>
            </w:r>
            <w:r w:rsidRPr="00483F7D">
              <w:t xml:space="preserve"> </w:t>
            </w:r>
            <w:r w:rsidRPr="00483F7D">
              <w:br/>
            </w:r>
            <w:r w:rsidRPr="00483F7D">
              <w:rPr>
                <w:sz w:val="18"/>
              </w:rPr>
              <w:t>δαπάνης</w:t>
            </w:r>
          </w:p>
        </w:tc>
        <w:tc>
          <w:tcPr>
            <w:tcW w:w="3738" w:type="dxa"/>
            <w:gridSpan w:val="4"/>
            <w:vAlign w:val="center"/>
          </w:tcPr>
          <w:p w14:paraId="1269EB22" w14:textId="77777777" w:rsidR="008F6AC1" w:rsidRPr="00483F7D" w:rsidRDefault="008F6AC1" w:rsidP="005563C1">
            <w:pPr>
              <w:spacing w:before="60" w:after="60"/>
              <w:jc w:val="center"/>
              <w:rPr>
                <w:noProof/>
              </w:rPr>
            </w:pPr>
            <w:r w:rsidRPr="00483F7D">
              <w:rPr>
                <w:sz w:val="20"/>
              </w:rPr>
              <w:t xml:space="preserve">Συμμετοχή </w:t>
            </w:r>
          </w:p>
        </w:tc>
      </w:tr>
      <w:tr w:rsidR="008F6AC1" w:rsidRPr="00483F7D" w14:paraId="61CC3EF3" w14:textId="77777777" w:rsidTr="005563C1">
        <w:trPr>
          <w:trHeight w:val="1310"/>
        </w:trPr>
        <w:tc>
          <w:tcPr>
            <w:tcW w:w="1238" w:type="dxa"/>
            <w:vMerge/>
            <w:vAlign w:val="center"/>
          </w:tcPr>
          <w:p w14:paraId="1026276F" w14:textId="77777777" w:rsidR="008F6AC1" w:rsidRPr="00483F7D" w:rsidRDefault="008F6AC1" w:rsidP="005563C1">
            <w:pPr>
              <w:rPr>
                <w:noProof/>
                <w:sz w:val="18"/>
              </w:rPr>
            </w:pPr>
          </w:p>
        </w:tc>
        <w:tc>
          <w:tcPr>
            <w:tcW w:w="2902" w:type="dxa"/>
            <w:vAlign w:val="center"/>
          </w:tcPr>
          <w:p w14:paraId="22C389CB" w14:textId="77777777" w:rsidR="008F6AC1" w:rsidRPr="00483F7D" w:rsidRDefault="008F6AC1" w:rsidP="005563C1">
            <w:pPr>
              <w:jc w:val="left"/>
              <w:rPr>
                <w:noProof/>
              </w:rPr>
            </w:pPr>
            <w:r w:rsidRPr="00483F7D">
              <w:rPr>
                <w:sz w:val="20"/>
              </w:rPr>
              <w:t>Αριθμός 1</w:t>
            </w:r>
            <w:r w:rsidRPr="00483F7D">
              <w:t xml:space="preserve"> </w:t>
            </w:r>
            <w:r w:rsidRPr="00483F7D">
              <w:br/>
            </w:r>
          </w:p>
        </w:tc>
        <w:tc>
          <w:tcPr>
            <w:tcW w:w="1052" w:type="dxa"/>
            <w:vAlign w:val="center"/>
          </w:tcPr>
          <w:p w14:paraId="4289FAA0" w14:textId="77777777" w:rsidR="008F6AC1" w:rsidRPr="00483F7D" w:rsidRDefault="008F6AC1" w:rsidP="005563C1">
            <w:pPr>
              <w:jc w:val="center"/>
              <w:rPr>
                <w:noProof/>
              </w:rPr>
            </w:pPr>
            <w:r w:rsidRPr="00483F7D">
              <w:rPr>
                <w:sz w:val="18"/>
              </w:rPr>
              <w:t>ΔΠ/ΜΔΠ</w:t>
            </w:r>
            <w:r w:rsidRPr="00483F7D">
              <w:rPr>
                <w:rStyle w:val="FootnoteReference"/>
                <w:noProof/>
                <w:sz w:val="18"/>
              </w:rPr>
              <w:footnoteReference w:id="89"/>
            </w:r>
            <w:r w:rsidRPr="00483F7D">
              <w:t>.</w:t>
            </w:r>
          </w:p>
        </w:tc>
        <w:tc>
          <w:tcPr>
            <w:tcW w:w="931" w:type="dxa"/>
            <w:vAlign w:val="center"/>
          </w:tcPr>
          <w:p w14:paraId="4260A9B6" w14:textId="77777777" w:rsidR="008F6AC1" w:rsidRPr="00483F7D" w:rsidRDefault="008F6AC1" w:rsidP="005563C1">
            <w:pPr>
              <w:jc w:val="center"/>
              <w:rPr>
                <w:noProof/>
              </w:rPr>
            </w:pPr>
            <w:r w:rsidRPr="00483F7D">
              <w:rPr>
                <w:sz w:val="18"/>
              </w:rPr>
              <w:t>χωρών ΕΖΕΣ</w:t>
            </w:r>
            <w:r w:rsidRPr="00483F7D">
              <w:rPr>
                <w:rStyle w:val="FootnoteReference"/>
                <w:noProof/>
                <w:sz w:val="18"/>
              </w:rPr>
              <w:footnoteReference w:id="90"/>
            </w:r>
          </w:p>
        </w:tc>
        <w:tc>
          <w:tcPr>
            <w:tcW w:w="1052" w:type="dxa"/>
            <w:vAlign w:val="center"/>
          </w:tcPr>
          <w:p w14:paraId="115B7FF0" w14:textId="77777777" w:rsidR="008F6AC1" w:rsidRPr="00483F7D" w:rsidRDefault="008F6AC1" w:rsidP="005563C1">
            <w:pPr>
              <w:jc w:val="center"/>
              <w:rPr>
                <w:noProof/>
                <w:sz w:val="18"/>
              </w:rPr>
            </w:pPr>
            <w:r w:rsidRPr="00483F7D">
              <w:rPr>
                <w:sz w:val="18"/>
              </w:rPr>
              <w:t>υποψήφιων προς ένταξη χωρών και δυνάμει υποψήφιων χωρών</w:t>
            </w:r>
            <w:r w:rsidRPr="00483F7D">
              <w:rPr>
                <w:rStyle w:val="FootnoteReference"/>
                <w:noProof/>
                <w:sz w:val="18"/>
              </w:rPr>
              <w:footnoteReference w:id="91"/>
            </w:r>
          </w:p>
        </w:tc>
        <w:tc>
          <w:tcPr>
            <w:tcW w:w="931" w:type="dxa"/>
            <w:vAlign w:val="center"/>
          </w:tcPr>
          <w:p w14:paraId="7E47E556" w14:textId="77777777" w:rsidR="008F6AC1" w:rsidRPr="00483F7D" w:rsidRDefault="008F6AC1" w:rsidP="005563C1">
            <w:pPr>
              <w:jc w:val="center"/>
              <w:rPr>
                <w:noProof/>
                <w:sz w:val="18"/>
              </w:rPr>
            </w:pPr>
            <w:r w:rsidRPr="00483F7D">
              <w:rPr>
                <w:sz w:val="18"/>
              </w:rPr>
              <w:t>άλλων τρίτων χωρών</w:t>
            </w:r>
          </w:p>
        </w:tc>
        <w:tc>
          <w:tcPr>
            <w:tcW w:w="824" w:type="dxa"/>
            <w:vAlign w:val="center"/>
          </w:tcPr>
          <w:p w14:paraId="27361B91" w14:textId="77777777" w:rsidR="008F6AC1" w:rsidRPr="00483F7D" w:rsidRDefault="008F6AC1" w:rsidP="005563C1">
            <w:pPr>
              <w:jc w:val="center"/>
              <w:rPr>
                <w:noProof/>
                <w:sz w:val="16"/>
                <w:szCs w:val="16"/>
              </w:rPr>
            </w:pPr>
            <w:r w:rsidRPr="00483F7D">
              <w:rPr>
                <w:sz w:val="16"/>
              </w:rPr>
              <w:t xml:space="preserve">άλλα έσοδα για ειδικό προορισμό </w:t>
            </w:r>
          </w:p>
        </w:tc>
      </w:tr>
      <w:tr w:rsidR="008F6AC1" w:rsidRPr="00483F7D" w14:paraId="7F7C69E6" w14:textId="77777777" w:rsidTr="005563C1">
        <w:trPr>
          <w:trHeight w:val="1351"/>
        </w:trPr>
        <w:tc>
          <w:tcPr>
            <w:tcW w:w="1238" w:type="dxa"/>
            <w:vAlign w:val="center"/>
          </w:tcPr>
          <w:p w14:paraId="7397CFBC" w14:textId="77777777" w:rsidR="008F6AC1" w:rsidRPr="00483F7D" w:rsidRDefault="008F6AC1" w:rsidP="005563C1">
            <w:pPr>
              <w:jc w:val="center"/>
              <w:rPr>
                <w:noProof/>
              </w:rPr>
            </w:pPr>
            <w:r w:rsidRPr="00483F7D">
              <w:t>01</w:t>
            </w:r>
          </w:p>
          <w:p w14:paraId="220948DF" w14:textId="77777777" w:rsidR="008F6AC1" w:rsidRPr="00483F7D" w:rsidRDefault="008F6AC1" w:rsidP="005563C1">
            <w:pPr>
              <w:jc w:val="center"/>
              <w:rPr>
                <w:noProof/>
              </w:rPr>
            </w:pPr>
          </w:p>
        </w:tc>
        <w:tc>
          <w:tcPr>
            <w:tcW w:w="2902" w:type="dxa"/>
            <w:vAlign w:val="center"/>
          </w:tcPr>
          <w:p w14:paraId="593D6A4D" w14:textId="77777777" w:rsidR="008F6AC1" w:rsidRPr="00483F7D" w:rsidRDefault="008F6AC1" w:rsidP="005563C1">
            <w:pPr>
              <w:spacing w:before="60"/>
              <w:rPr>
                <w:noProof/>
              </w:rPr>
            </w:pPr>
            <w:r w:rsidRPr="00483F7D">
              <w:t>Ενιαία αγορά</w:t>
            </w:r>
          </w:p>
          <w:p w14:paraId="2423FD44" w14:textId="77777777" w:rsidR="008F6AC1" w:rsidRPr="00483F7D" w:rsidRDefault="008F6AC1" w:rsidP="005563C1">
            <w:pPr>
              <w:spacing w:after="60"/>
              <w:jc w:val="left"/>
              <w:rPr>
                <w:noProof/>
              </w:rPr>
            </w:pPr>
            <w:r w:rsidRPr="00483F7D">
              <w:t>Συνεργασία στον τομέα των τελωνείων (Τελωνεία) – υποτομέας 03 05 01</w:t>
            </w:r>
          </w:p>
        </w:tc>
        <w:tc>
          <w:tcPr>
            <w:tcW w:w="1052" w:type="dxa"/>
            <w:vAlign w:val="center"/>
          </w:tcPr>
          <w:p w14:paraId="13B7E5C2" w14:textId="77777777" w:rsidR="008F6AC1" w:rsidRPr="00483F7D" w:rsidRDefault="008F6AC1" w:rsidP="005563C1">
            <w:pPr>
              <w:jc w:val="center"/>
              <w:rPr>
                <w:noProof/>
                <w:color w:val="0000FF"/>
                <w:sz w:val="22"/>
                <w:szCs w:val="28"/>
              </w:rPr>
            </w:pPr>
            <w:r w:rsidRPr="00483F7D">
              <w:rPr>
                <w:sz w:val="22"/>
              </w:rPr>
              <w:t>ΔΠ</w:t>
            </w:r>
          </w:p>
        </w:tc>
        <w:tc>
          <w:tcPr>
            <w:tcW w:w="931" w:type="dxa"/>
            <w:vAlign w:val="center"/>
          </w:tcPr>
          <w:p w14:paraId="10F604F8" w14:textId="77777777" w:rsidR="008F6AC1" w:rsidRPr="00483F7D" w:rsidRDefault="008F6AC1" w:rsidP="005563C1">
            <w:pPr>
              <w:jc w:val="center"/>
              <w:rPr>
                <w:noProof/>
                <w:sz w:val="22"/>
                <w:szCs w:val="28"/>
              </w:rPr>
            </w:pPr>
            <w:r w:rsidRPr="00483F7D">
              <w:rPr>
                <w:sz w:val="22"/>
              </w:rPr>
              <w:t>ΟΧΙ</w:t>
            </w:r>
          </w:p>
        </w:tc>
        <w:tc>
          <w:tcPr>
            <w:tcW w:w="1052" w:type="dxa"/>
            <w:vAlign w:val="center"/>
          </w:tcPr>
          <w:p w14:paraId="49294821" w14:textId="77777777" w:rsidR="008F6AC1" w:rsidRPr="00483F7D" w:rsidRDefault="008F6AC1" w:rsidP="005563C1">
            <w:pPr>
              <w:jc w:val="center"/>
              <w:rPr>
                <w:noProof/>
                <w:sz w:val="22"/>
                <w:szCs w:val="28"/>
              </w:rPr>
            </w:pPr>
            <w:r w:rsidRPr="00483F7D">
              <w:rPr>
                <w:sz w:val="22"/>
              </w:rPr>
              <w:t>ΟΧΙ</w:t>
            </w:r>
          </w:p>
        </w:tc>
        <w:tc>
          <w:tcPr>
            <w:tcW w:w="931" w:type="dxa"/>
            <w:vAlign w:val="center"/>
          </w:tcPr>
          <w:p w14:paraId="4FC0F001" w14:textId="77777777" w:rsidR="008F6AC1" w:rsidRPr="00483F7D" w:rsidRDefault="008F6AC1" w:rsidP="005563C1">
            <w:pPr>
              <w:jc w:val="center"/>
              <w:rPr>
                <w:noProof/>
                <w:sz w:val="22"/>
                <w:szCs w:val="28"/>
              </w:rPr>
            </w:pPr>
            <w:r w:rsidRPr="00483F7D">
              <w:rPr>
                <w:sz w:val="22"/>
              </w:rPr>
              <w:t>ΟΧΙ</w:t>
            </w:r>
          </w:p>
        </w:tc>
        <w:tc>
          <w:tcPr>
            <w:tcW w:w="824" w:type="dxa"/>
            <w:vAlign w:val="center"/>
          </w:tcPr>
          <w:p w14:paraId="37C44449" w14:textId="77777777" w:rsidR="008F6AC1" w:rsidRPr="00483F7D" w:rsidRDefault="008F6AC1" w:rsidP="005563C1">
            <w:pPr>
              <w:jc w:val="center"/>
              <w:rPr>
                <w:noProof/>
                <w:sz w:val="22"/>
                <w:szCs w:val="28"/>
              </w:rPr>
            </w:pPr>
            <w:r w:rsidRPr="00483F7D">
              <w:rPr>
                <w:sz w:val="22"/>
              </w:rPr>
              <w:t>ΟΧΙ</w:t>
            </w:r>
          </w:p>
        </w:tc>
      </w:tr>
    </w:tbl>
    <w:p w14:paraId="62F7A466" w14:textId="77777777" w:rsidR="008F6AC1" w:rsidRPr="00483F7D" w:rsidRDefault="008F6AC1" w:rsidP="008F6AC1">
      <w:pPr>
        <w:pStyle w:val="Text1"/>
        <w:rPr>
          <w:noProof/>
        </w:rPr>
      </w:pPr>
      <w:r w:rsidRPr="00483F7D">
        <w:t xml:space="preserve">Μπορεί να αναμένεται ότι θα παρέχονται συνεισφορές από ορισμένες τρίτες χώρες σε σχέση με την ανάπτυξη και τη λειτουργία του τελωνειακού κόμβου δεδομένων της ΕΕ· οι συνεισφορές αυτές πραγματοποιούνται επί του παρόντος όσον αφορά τη συμμετοχή στο νέο σύστημα ελέγχου των εισαγωγών (ICS2). Ωστόσο, δεν προβλέπονται στο παρόν δημοσιονομικό δελτίο, καθώς οι εν λόγω συμφωνίες δεν αποτελούν μέρος της νομικής πρότασης. </w:t>
      </w:r>
    </w:p>
    <w:p w14:paraId="516AC308" w14:textId="77777777" w:rsidR="008F6AC1" w:rsidRPr="00483F7D" w:rsidRDefault="008F6AC1" w:rsidP="00CF7E35">
      <w:pPr>
        <w:pStyle w:val="ListBullet1"/>
        <w:numPr>
          <w:ilvl w:val="0"/>
          <w:numId w:val="37"/>
        </w:numPr>
        <w:rPr>
          <w:noProof/>
        </w:rPr>
      </w:pPr>
      <w:r w:rsidRPr="00483F7D">
        <w:t xml:space="preserve">Νέες γραμμές του προϋπολογισμού των οποίων έχει ζητηθεί η δημιουργία </w:t>
      </w:r>
    </w:p>
    <w:p w14:paraId="07C8EBEB" w14:textId="77777777" w:rsidR="008F6AC1" w:rsidRPr="00483F7D" w:rsidRDefault="008F6AC1" w:rsidP="008F6AC1">
      <w:pPr>
        <w:pStyle w:val="Text1"/>
        <w:rPr>
          <w:i/>
          <w:noProof/>
          <w:sz w:val="20"/>
        </w:rPr>
      </w:pPr>
      <w:r w:rsidRPr="00483F7D">
        <w:rPr>
          <w:u w:val="single"/>
        </w:rPr>
        <w:t>Κατά σειρά</w:t>
      </w:r>
      <w:r w:rsidRPr="00483F7D">
        <w:t xml:space="preserve"> τομέων του πολυετούς δημοσιονομικού πλαισίου και γραμμών του προϋπολογισμού.</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10"/>
        <w:gridCol w:w="1276"/>
        <w:gridCol w:w="992"/>
        <w:gridCol w:w="1276"/>
        <w:gridCol w:w="992"/>
        <w:gridCol w:w="851"/>
      </w:tblGrid>
      <w:tr w:rsidR="008F6AC1" w:rsidRPr="00483F7D" w14:paraId="37F38DA2" w14:textId="77777777" w:rsidTr="005563C1">
        <w:tc>
          <w:tcPr>
            <w:tcW w:w="1417" w:type="dxa"/>
            <w:vMerge w:val="restart"/>
            <w:vAlign w:val="center"/>
          </w:tcPr>
          <w:p w14:paraId="420F39F6" w14:textId="77777777" w:rsidR="008F6AC1" w:rsidRPr="00483F7D" w:rsidRDefault="008F6AC1" w:rsidP="005563C1">
            <w:pPr>
              <w:spacing w:before="60" w:after="60"/>
              <w:jc w:val="center"/>
              <w:rPr>
                <w:noProof/>
              </w:rPr>
            </w:pPr>
            <w:r w:rsidRPr="00483F7D">
              <w:rPr>
                <w:sz w:val="18"/>
              </w:rPr>
              <w:t>Τομέας του πολυετούς δημοσιονομικού πλαισίου</w:t>
            </w:r>
          </w:p>
        </w:tc>
        <w:tc>
          <w:tcPr>
            <w:tcW w:w="2410" w:type="dxa"/>
            <w:vAlign w:val="center"/>
          </w:tcPr>
          <w:p w14:paraId="5D2F76EB" w14:textId="77777777" w:rsidR="008F6AC1" w:rsidRPr="00483F7D" w:rsidRDefault="008F6AC1" w:rsidP="005563C1">
            <w:pPr>
              <w:spacing w:before="60" w:after="60"/>
              <w:jc w:val="center"/>
              <w:rPr>
                <w:noProof/>
              </w:rPr>
            </w:pPr>
            <w:r w:rsidRPr="00483F7D">
              <w:rPr>
                <w:sz w:val="20"/>
              </w:rPr>
              <w:t>Γραμμή του προϋπολογισμού</w:t>
            </w:r>
          </w:p>
        </w:tc>
        <w:tc>
          <w:tcPr>
            <w:tcW w:w="1276" w:type="dxa"/>
            <w:vAlign w:val="center"/>
          </w:tcPr>
          <w:p w14:paraId="00F20C70" w14:textId="77777777" w:rsidR="008F6AC1" w:rsidRPr="00483F7D" w:rsidRDefault="008F6AC1" w:rsidP="005563C1">
            <w:pPr>
              <w:spacing w:before="60" w:after="60"/>
              <w:jc w:val="center"/>
              <w:rPr>
                <w:noProof/>
              </w:rPr>
            </w:pPr>
            <w:r w:rsidRPr="00483F7D">
              <w:rPr>
                <w:sz w:val="18"/>
              </w:rPr>
              <w:t>Είδος</w:t>
            </w:r>
            <w:r w:rsidRPr="00483F7D">
              <w:t xml:space="preserve"> </w:t>
            </w:r>
            <w:r w:rsidRPr="00483F7D">
              <w:br/>
            </w:r>
            <w:r w:rsidRPr="00483F7D">
              <w:rPr>
                <w:sz w:val="18"/>
              </w:rPr>
              <w:t>δαπάνης</w:t>
            </w:r>
          </w:p>
        </w:tc>
        <w:tc>
          <w:tcPr>
            <w:tcW w:w="4111" w:type="dxa"/>
            <w:gridSpan w:val="4"/>
            <w:vAlign w:val="center"/>
          </w:tcPr>
          <w:p w14:paraId="60D3C9DA" w14:textId="77777777" w:rsidR="008F6AC1" w:rsidRPr="00483F7D" w:rsidRDefault="008F6AC1" w:rsidP="005563C1">
            <w:pPr>
              <w:spacing w:before="60" w:after="60"/>
              <w:jc w:val="center"/>
              <w:rPr>
                <w:noProof/>
              </w:rPr>
            </w:pPr>
            <w:r w:rsidRPr="00483F7D">
              <w:rPr>
                <w:sz w:val="20"/>
              </w:rPr>
              <w:t xml:space="preserve">Συμμετοχή </w:t>
            </w:r>
          </w:p>
        </w:tc>
      </w:tr>
      <w:tr w:rsidR="008F6AC1" w:rsidRPr="00483F7D" w14:paraId="1C969B9E" w14:textId="77777777" w:rsidTr="005563C1">
        <w:tc>
          <w:tcPr>
            <w:tcW w:w="1417" w:type="dxa"/>
            <w:vMerge/>
            <w:vAlign w:val="center"/>
          </w:tcPr>
          <w:p w14:paraId="158D5233" w14:textId="77777777" w:rsidR="008F6AC1" w:rsidRPr="00483F7D" w:rsidRDefault="008F6AC1" w:rsidP="005563C1">
            <w:pPr>
              <w:rPr>
                <w:noProof/>
              </w:rPr>
            </w:pPr>
          </w:p>
        </w:tc>
        <w:tc>
          <w:tcPr>
            <w:tcW w:w="2410" w:type="dxa"/>
            <w:vAlign w:val="center"/>
          </w:tcPr>
          <w:p w14:paraId="699739E7" w14:textId="77777777" w:rsidR="008F6AC1" w:rsidRPr="00483F7D" w:rsidRDefault="008F6AC1" w:rsidP="005563C1">
            <w:pPr>
              <w:jc w:val="left"/>
              <w:rPr>
                <w:noProof/>
              </w:rPr>
            </w:pPr>
            <w:r w:rsidRPr="00483F7D">
              <w:rPr>
                <w:sz w:val="20"/>
              </w:rPr>
              <w:t>Αριθμός 1</w:t>
            </w:r>
            <w:r w:rsidRPr="00483F7D">
              <w:t xml:space="preserve"> </w:t>
            </w:r>
            <w:r w:rsidRPr="00483F7D">
              <w:br/>
            </w:r>
          </w:p>
        </w:tc>
        <w:tc>
          <w:tcPr>
            <w:tcW w:w="1276" w:type="dxa"/>
            <w:vAlign w:val="center"/>
          </w:tcPr>
          <w:p w14:paraId="699548C7" w14:textId="77777777" w:rsidR="008F6AC1" w:rsidRPr="00483F7D" w:rsidRDefault="008F6AC1" w:rsidP="005563C1">
            <w:pPr>
              <w:jc w:val="center"/>
              <w:rPr>
                <w:noProof/>
              </w:rPr>
            </w:pPr>
            <w:r w:rsidRPr="00483F7D">
              <w:rPr>
                <w:sz w:val="18"/>
              </w:rPr>
              <w:t>ΔΠ/ΜΔΠ</w:t>
            </w:r>
          </w:p>
        </w:tc>
        <w:tc>
          <w:tcPr>
            <w:tcW w:w="992" w:type="dxa"/>
            <w:vAlign w:val="center"/>
          </w:tcPr>
          <w:p w14:paraId="1F15EFC8" w14:textId="77777777" w:rsidR="008F6AC1" w:rsidRPr="00483F7D" w:rsidRDefault="008F6AC1" w:rsidP="005563C1">
            <w:pPr>
              <w:jc w:val="center"/>
              <w:rPr>
                <w:noProof/>
                <w:sz w:val="18"/>
              </w:rPr>
            </w:pPr>
            <w:r w:rsidRPr="00483F7D">
              <w:rPr>
                <w:sz w:val="18"/>
              </w:rPr>
              <w:t>χωρών ΕΖΕΣ</w:t>
            </w:r>
          </w:p>
        </w:tc>
        <w:tc>
          <w:tcPr>
            <w:tcW w:w="1276" w:type="dxa"/>
            <w:vAlign w:val="center"/>
          </w:tcPr>
          <w:p w14:paraId="279C9E4E" w14:textId="77777777" w:rsidR="008F6AC1" w:rsidRPr="00483F7D" w:rsidRDefault="008F6AC1" w:rsidP="005563C1">
            <w:pPr>
              <w:jc w:val="center"/>
              <w:rPr>
                <w:noProof/>
                <w:sz w:val="18"/>
              </w:rPr>
            </w:pPr>
            <w:r w:rsidRPr="00483F7D">
              <w:rPr>
                <w:sz w:val="18"/>
              </w:rPr>
              <w:t>υποψήφιων προς ένταξη χωρών και δυνάμει υποψήφιων χωρών</w:t>
            </w:r>
          </w:p>
        </w:tc>
        <w:tc>
          <w:tcPr>
            <w:tcW w:w="992" w:type="dxa"/>
            <w:vAlign w:val="center"/>
          </w:tcPr>
          <w:p w14:paraId="3E71D739" w14:textId="77777777" w:rsidR="008F6AC1" w:rsidRPr="00483F7D" w:rsidRDefault="008F6AC1" w:rsidP="005563C1">
            <w:pPr>
              <w:jc w:val="center"/>
              <w:rPr>
                <w:noProof/>
                <w:sz w:val="18"/>
              </w:rPr>
            </w:pPr>
            <w:r w:rsidRPr="00483F7D">
              <w:rPr>
                <w:sz w:val="18"/>
              </w:rPr>
              <w:t>άλλων τρίτων χωρών</w:t>
            </w:r>
          </w:p>
        </w:tc>
        <w:tc>
          <w:tcPr>
            <w:tcW w:w="851" w:type="dxa"/>
            <w:vAlign w:val="center"/>
          </w:tcPr>
          <w:p w14:paraId="305A8B16" w14:textId="77777777" w:rsidR="008F6AC1" w:rsidRPr="00483F7D" w:rsidRDefault="008F6AC1" w:rsidP="005563C1">
            <w:pPr>
              <w:jc w:val="center"/>
              <w:rPr>
                <w:noProof/>
              </w:rPr>
            </w:pPr>
            <w:r w:rsidRPr="00483F7D">
              <w:rPr>
                <w:sz w:val="16"/>
              </w:rPr>
              <w:t xml:space="preserve">άλλα έσοδα για ειδικό προορισμό </w:t>
            </w:r>
          </w:p>
        </w:tc>
      </w:tr>
      <w:tr w:rsidR="008F6AC1" w:rsidRPr="00483F7D" w14:paraId="6846BD3F" w14:textId="77777777" w:rsidTr="005563C1">
        <w:tc>
          <w:tcPr>
            <w:tcW w:w="1417" w:type="dxa"/>
            <w:vAlign w:val="center"/>
          </w:tcPr>
          <w:p w14:paraId="58DCC0F5" w14:textId="77777777" w:rsidR="008F6AC1" w:rsidRPr="00483F7D" w:rsidRDefault="008F6AC1" w:rsidP="005563C1">
            <w:pPr>
              <w:jc w:val="center"/>
              <w:rPr>
                <w:noProof/>
                <w:color w:val="0000FF"/>
              </w:rPr>
            </w:pPr>
          </w:p>
        </w:tc>
        <w:tc>
          <w:tcPr>
            <w:tcW w:w="2410" w:type="dxa"/>
            <w:vAlign w:val="center"/>
          </w:tcPr>
          <w:p w14:paraId="27E35890" w14:textId="77777777" w:rsidR="008F6AC1" w:rsidRPr="00483F7D" w:rsidRDefault="008F6AC1" w:rsidP="005563C1">
            <w:pPr>
              <w:spacing w:before="60"/>
              <w:rPr>
                <w:noProof/>
              </w:rPr>
            </w:pPr>
            <w:r w:rsidRPr="00483F7D">
              <w:rPr>
                <w:b/>
              </w:rPr>
              <w:t>03 XX XX Τελωνειακή Αρχή της ΕΕ</w:t>
            </w:r>
            <w:r w:rsidRPr="00483F7D">
              <w:rPr>
                <w:sz w:val="28"/>
              </w:rPr>
              <w:t xml:space="preserve"> </w:t>
            </w:r>
          </w:p>
        </w:tc>
        <w:tc>
          <w:tcPr>
            <w:tcW w:w="1276" w:type="dxa"/>
            <w:vAlign w:val="center"/>
          </w:tcPr>
          <w:p w14:paraId="57C952D2" w14:textId="77777777" w:rsidR="008F6AC1" w:rsidRPr="00483F7D" w:rsidRDefault="008F6AC1" w:rsidP="005563C1">
            <w:pPr>
              <w:jc w:val="center"/>
              <w:rPr>
                <w:noProof/>
                <w:sz w:val="20"/>
                <w:szCs w:val="18"/>
              </w:rPr>
            </w:pPr>
            <w:r w:rsidRPr="00483F7D">
              <w:rPr>
                <w:sz w:val="20"/>
              </w:rPr>
              <w:t>ΔΠ</w:t>
            </w:r>
          </w:p>
        </w:tc>
        <w:tc>
          <w:tcPr>
            <w:tcW w:w="992" w:type="dxa"/>
            <w:vAlign w:val="center"/>
          </w:tcPr>
          <w:p w14:paraId="617B1934" w14:textId="77777777" w:rsidR="008F6AC1" w:rsidRPr="00483F7D" w:rsidRDefault="008F6AC1" w:rsidP="005563C1">
            <w:pPr>
              <w:jc w:val="center"/>
              <w:rPr>
                <w:noProof/>
                <w:sz w:val="20"/>
              </w:rPr>
            </w:pPr>
            <w:r w:rsidRPr="00483F7D">
              <w:rPr>
                <w:sz w:val="20"/>
              </w:rPr>
              <w:t>ΟΧΙ</w:t>
            </w:r>
          </w:p>
        </w:tc>
        <w:tc>
          <w:tcPr>
            <w:tcW w:w="1276" w:type="dxa"/>
            <w:vAlign w:val="center"/>
          </w:tcPr>
          <w:p w14:paraId="4A82D4B4" w14:textId="77777777" w:rsidR="008F6AC1" w:rsidRPr="00483F7D" w:rsidRDefault="008F6AC1" w:rsidP="005563C1">
            <w:pPr>
              <w:jc w:val="center"/>
              <w:rPr>
                <w:noProof/>
                <w:sz w:val="20"/>
              </w:rPr>
            </w:pPr>
            <w:r w:rsidRPr="00483F7D">
              <w:rPr>
                <w:sz w:val="20"/>
              </w:rPr>
              <w:t>ΟΧΙ</w:t>
            </w:r>
          </w:p>
        </w:tc>
        <w:tc>
          <w:tcPr>
            <w:tcW w:w="992" w:type="dxa"/>
            <w:vAlign w:val="center"/>
          </w:tcPr>
          <w:p w14:paraId="1826DE0D" w14:textId="77777777" w:rsidR="008F6AC1" w:rsidRPr="00483F7D" w:rsidRDefault="008F6AC1" w:rsidP="005563C1">
            <w:pPr>
              <w:jc w:val="center"/>
              <w:rPr>
                <w:noProof/>
                <w:sz w:val="20"/>
              </w:rPr>
            </w:pPr>
            <w:r w:rsidRPr="00483F7D">
              <w:rPr>
                <w:sz w:val="20"/>
              </w:rPr>
              <w:t>ΟΧΙ</w:t>
            </w:r>
          </w:p>
        </w:tc>
        <w:tc>
          <w:tcPr>
            <w:tcW w:w="851" w:type="dxa"/>
            <w:vAlign w:val="center"/>
          </w:tcPr>
          <w:p w14:paraId="26215857" w14:textId="77777777" w:rsidR="008F6AC1" w:rsidRPr="00483F7D" w:rsidRDefault="008F6AC1" w:rsidP="005563C1">
            <w:pPr>
              <w:jc w:val="center"/>
              <w:rPr>
                <w:noProof/>
                <w:sz w:val="20"/>
              </w:rPr>
            </w:pPr>
            <w:r w:rsidRPr="00483F7D">
              <w:rPr>
                <w:sz w:val="20"/>
              </w:rPr>
              <w:t>ΟΧΙ</w:t>
            </w:r>
          </w:p>
        </w:tc>
      </w:tr>
      <w:tr w:rsidR="008F6AC1" w:rsidRPr="00483F7D" w14:paraId="1AF3BC69" w14:textId="77777777" w:rsidTr="005563C1">
        <w:tc>
          <w:tcPr>
            <w:tcW w:w="1417" w:type="dxa"/>
            <w:vAlign w:val="center"/>
          </w:tcPr>
          <w:p w14:paraId="7CD70A33" w14:textId="77777777" w:rsidR="008F6AC1" w:rsidRPr="00483F7D" w:rsidRDefault="008F6AC1" w:rsidP="005563C1">
            <w:pPr>
              <w:jc w:val="center"/>
              <w:rPr>
                <w:noProof/>
                <w:color w:val="984806" w:themeColor="accent6" w:themeShade="80"/>
              </w:rPr>
            </w:pPr>
          </w:p>
        </w:tc>
        <w:tc>
          <w:tcPr>
            <w:tcW w:w="2410" w:type="dxa"/>
            <w:vAlign w:val="center"/>
          </w:tcPr>
          <w:p w14:paraId="60AF5171" w14:textId="77777777" w:rsidR="008F6AC1" w:rsidRPr="00483F7D" w:rsidRDefault="008F6AC1" w:rsidP="005563C1">
            <w:pPr>
              <w:spacing w:before="60"/>
              <w:rPr>
                <w:noProof/>
                <w:color w:val="984806" w:themeColor="accent6" w:themeShade="80"/>
              </w:rPr>
            </w:pPr>
          </w:p>
        </w:tc>
        <w:tc>
          <w:tcPr>
            <w:tcW w:w="1276" w:type="dxa"/>
            <w:vAlign w:val="center"/>
          </w:tcPr>
          <w:p w14:paraId="40D45343" w14:textId="77777777" w:rsidR="008F6AC1" w:rsidRPr="00483F7D" w:rsidRDefault="008F6AC1" w:rsidP="005563C1">
            <w:pPr>
              <w:jc w:val="center"/>
              <w:rPr>
                <w:noProof/>
                <w:color w:val="0000FF"/>
              </w:rPr>
            </w:pPr>
          </w:p>
        </w:tc>
        <w:tc>
          <w:tcPr>
            <w:tcW w:w="992" w:type="dxa"/>
            <w:vAlign w:val="center"/>
          </w:tcPr>
          <w:p w14:paraId="2C8B0ACE" w14:textId="77777777" w:rsidR="008F6AC1" w:rsidRPr="00483F7D" w:rsidRDefault="008F6AC1" w:rsidP="005563C1">
            <w:pPr>
              <w:jc w:val="center"/>
              <w:rPr>
                <w:noProof/>
                <w:sz w:val="20"/>
              </w:rPr>
            </w:pPr>
          </w:p>
        </w:tc>
        <w:tc>
          <w:tcPr>
            <w:tcW w:w="1276" w:type="dxa"/>
            <w:vAlign w:val="center"/>
          </w:tcPr>
          <w:p w14:paraId="6D2A5607" w14:textId="77777777" w:rsidR="008F6AC1" w:rsidRPr="00483F7D" w:rsidRDefault="008F6AC1" w:rsidP="005563C1">
            <w:pPr>
              <w:jc w:val="center"/>
              <w:rPr>
                <w:noProof/>
                <w:sz w:val="20"/>
              </w:rPr>
            </w:pPr>
          </w:p>
        </w:tc>
        <w:tc>
          <w:tcPr>
            <w:tcW w:w="992" w:type="dxa"/>
            <w:vAlign w:val="center"/>
          </w:tcPr>
          <w:p w14:paraId="0C33388B" w14:textId="77777777" w:rsidR="008F6AC1" w:rsidRPr="00483F7D" w:rsidRDefault="008F6AC1" w:rsidP="005563C1">
            <w:pPr>
              <w:jc w:val="center"/>
              <w:rPr>
                <w:noProof/>
                <w:sz w:val="20"/>
              </w:rPr>
            </w:pPr>
          </w:p>
        </w:tc>
        <w:tc>
          <w:tcPr>
            <w:tcW w:w="851" w:type="dxa"/>
            <w:vAlign w:val="center"/>
          </w:tcPr>
          <w:p w14:paraId="240CD27D" w14:textId="77777777" w:rsidR="008F6AC1" w:rsidRPr="00483F7D" w:rsidRDefault="008F6AC1" w:rsidP="005563C1">
            <w:pPr>
              <w:jc w:val="center"/>
              <w:rPr>
                <w:noProof/>
                <w:sz w:val="20"/>
              </w:rPr>
            </w:pPr>
          </w:p>
        </w:tc>
      </w:tr>
    </w:tbl>
    <w:p w14:paraId="138FC810" w14:textId="77777777" w:rsidR="008F6AC1" w:rsidRPr="00483F7D" w:rsidRDefault="008F6AC1" w:rsidP="008F6AC1">
      <w:pPr>
        <w:rPr>
          <w:noProof/>
        </w:rPr>
        <w:sectPr w:rsidR="008F6AC1" w:rsidRPr="00483F7D" w:rsidSect="00483F7D">
          <w:footnotePr>
            <w:numRestart w:val="eachSect"/>
          </w:footnotePr>
          <w:pgSz w:w="11906" w:h="16838"/>
          <w:pgMar w:top="1134" w:right="1417" w:bottom="1134" w:left="1417" w:header="709" w:footer="709" w:gutter="0"/>
          <w:pgNumType w:start="0"/>
          <w:cols w:space="720"/>
          <w:docGrid w:linePitch="326"/>
        </w:sectPr>
      </w:pPr>
    </w:p>
    <w:p w14:paraId="0DFABEF8" w14:textId="77777777" w:rsidR="008F6AC1" w:rsidRPr="00483F7D" w:rsidRDefault="008F6AC1" w:rsidP="008F6AC1">
      <w:pPr>
        <w:pStyle w:val="ManualHeading2"/>
        <w:rPr>
          <w:noProof/>
        </w:rPr>
      </w:pPr>
      <w:bookmarkStart w:id="338" w:name="_Toc514938685"/>
      <w:bookmarkStart w:id="339" w:name="_Toc520485444"/>
      <w:bookmarkStart w:id="340" w:name="_Toc133320626"/>
      <w:r w:rsidRPr="00483F7D">
        <w:t>3.2.</w:t>
      </w:r>
      <w:r w:rsidRPr="00483F7D">
        <w:tab/>
        <w:t>Εκτιμώμενες επιπτώσεις στις δαπάνες</w:t>
      </w:r>
      <w:bookmarkEnd w:id="338"/>
      <w:bookmarkEnd w:id="339"/>
      <w:bookmarkEnd w:id="340"/>
      <w:r w:rsidRPr="00483F7D">
        <w:t xml:space="preserve"> </w:t>
      </w:r>
    </w:p>
    <w:p w14:paraId="677CE990" w14:textId="77777777" w:rsidR="008F6AC1" w:rsidRPr="00483F7D" w:rsidRDefault="008F6AC1" w:rsidP="008F6AC1">
      <w:pPr>
        <w:pStyle w:val="ManualHeading3"/>
        <w:rPr>
          <w:noProof/>
        </w:rPr>
      </w:pPr>
      <w:bookmarkStart w:id="341" w:name="_Toc514938686"/>
      <w:bookmarkStart w:id="342" w:name="_Toc520485445"/>
      <w:bookmarkStart w:id="343" w:name="_Toc133320627"/>
      <w:r w:rsidRPr="00483F7D">
        <w:t>3.2.1.</w:t>
      </w:r>
      <w:r w:rsidRPr="00483F7D">
        <w:tab/>
        <w:t>Συνοπτική παρουσίαση των εκτιμώμενων επιπτώσεων στις δαπάνες</w:t>
      </w:r>
      <w:bookmarkEnd w:id="341"/>
      <w:bookmarkEnd w:id="342"/>
      <w:bookmarkEnd w:id="343"/>
      <w:r w:rsidRPr="00483F7D">
        <w:t xml:space="preserve"> </w:t>
      </w:r>
    </w:p>
    <w:p w14:paraId="3E191F5E" w14:textId="77777777" w:rsidR="008F6AC1" w:rsidRPr="00483F7D" w:rsidRDefault="008F6AC1" w:rsidP="008F6AC1">
      <w:pPr>
        <w:pStyle w:val="Text1"/>
      </w:pPr>
      <w:r w:rsidRPr="00483F7D">
        <w:t>Γενικές επιφυλάξεις: μετά τη θέσπιση της νομοθεσίας, στο πλαίσιο της ετήσιας διαδικασίας του προϋπολογισμού, ο προϋπολογισμός μπορεί να αναπροσαρμόζεται ανάλογα με τον πραγματικό μισθολογικό συντελεστή προσαρμογής. Τα παρακάτω αριθμητικά στοιχεία υπόκεινται σε τιμαριθμική αναπροσαρμογή 2 % από τις τιμές του 2025. Σε περίπτωση που η διαθέσιμη χρηματοδότηση κατά την περίοδο 2028-2034 θα είναι μικρότερη, τα καθήκοντα θα μειωθούν ώστε να ενταχθούν στη διαθέσιμη χρηματοδότηση στο πλαίσιο του ΠΔΠ μετά το 2027 και του προγράμματος για τα τελωνεία μετά το 2027. Αν ανατεθούν στην Τελωνειακή Αρχή της ΕΕ λιγότερα καθήκοντα από τα προβλεπόμενα, τότε τα επίπεδα προσωπικού θα μειωθούν αναλόγως (και δεν θα ανέλθουν στα 250 μέλη προσωπικού).</w:t>
      </w:r>
    </w:p>
    <w:p w14:paraId="64D51BC2" w14:textId="77777777" w:rsidR="008F6AC1" w:rsidRPr="00483F7D" w:rsidRDefault="008F6AC1" w:rsidP="008F6AC1">
      <w:pPr>
        <w:jc w:val="right"/>
        <w:rPr>
          <w:noProof/>
          <w:sz w:val="20"/>
        </w:rPr>
      </w:pPr>
      <w:r w:rsidRPr="00483F7D">
        <w:rPr>
          <w:sz w:val="20"/>
        </w:rPr>
        <w:t>σε εκατ. EUR (με τρία δεκαδικά ψηφία)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70"/>
        <w:gridCol w:w="7728"/>
      </w:tblGrid>
      <w:tr w:rsidR="008F6AC1" w:rsidRPr="00483F7D" w14:paraId="014EF03C" w14:textId="77777777" w:rsidTr="005563C1">
        <w:tc>
          <w:tcPr>
            <w:tcW w:w="4111" w:type="dxa"/>
            <w:shd w:val="thinDiagStripe" w:color="C0C0C0" w:fill="auto"/>
            <w:vAlign w:val="center"/>
          </w:tcPr>
          <w:p w14:paraId="5E96CDAC" w14:textId="77777777" w:rsidR="008F6AC1" w:rsidRPr="00483F7D" w:rsidRDefault="008F6AC1" w:rsidP="005563C1">
            <w:pPr>
              <w:spacing w:before="60" w:after="60"/>
              <w:jc w:val="center"/>
              <w:rPr>
                <w:b/>
                <w:noProof/>
              </w:rPr>
            </w:pPr>
            <w:r w:rsidRPr="00483F7D">
              <w:rPr>
                <w:b/>
                <w:sz w:val="22"/>
              </w:rPr>
              <w:t xml:space="preserve">Τομέας του πολυετούς δημοσιονομικού </w:t>
            </w:r>
            <w:r w:rsidRPr="00483F7D">
              <w:t xml:space="preserve"> </w:t>
            </w:r>
            <w:r w:rsidRPr="00483F7D">
              <w:br/>
            </w:r>
            <w:r w:rsidRPr="00483F7D">
              <w:rPr>
                <w:b/>
                <w:sz w:val="22"/>
              </w:rPr>
              <w:t xml:space="preserve">πλαισίου </w:t>
            </w:r>
          </w:p>
        </w:tc>
        <w:tc>
          <w:tcPr>
            <w:tcW w:w="1570" w:type="dxa"/>
            <w:vAlign w:val="center"/>
          </w:tcPr>
          <w:p w14:paraId="5A5D2469" w14:textId="77777777" w:rsidR="008F6AC1" w:rsidRPr="00483F7D" w:rsidRDefault="008F6AC1" w:rsidP="005563C1">
            <w:pPr>
              <w:spacing w:before="60" w:after="60"/>
              <w:jc w:val="center"/>
              <w:rPr>
                <w:noProof/>
              </w:rPr>
            </w:pPr>
            <w:r w:rsidRPr="00483F7D">
              <w:rPr>
                <w:sz w:val="22"/>
              </w:rPr>
              <w:t>Αριθμός</w:t>
            </w:r>
          </w:p>
        </w:tc>
        <w:tc>
          <w:tcPr>
            <w:tcW w:w="7728" w:type="dxa"/>
            <w:vAlign w:val="center"/>
          </w:tcPr>
          <w:p w14:paraId="424AC3AF" w14:textId="77777777" w:rsidR="008F6AC1" w:rsidRPr="00483F7D" w:rsidRDefault="008F6AC1" w:rsidP="005563C1">
            <w:pPr>
              <w:spacing w:before="60" w:after="60"/>
              <w:jc w:val="left"/>
              <w:rPr>
                <w:noProof/>
              </w:rPr>
            </w:pPr>
            <w:r w:rsidRPr="00483F7D">
              <w:t>[Τομέας 1 – Ενιαία αγορά, καινοτομία και ψηφιακή οικονομία .......</w:t>
            </w:r>
          </w:p>
          <w:p w14:paraId="4941EDDC" w14:textId="77777777" w:rsidR="008F6AC1" w:rsidRPr="00483F7D" w:rsidRDefault="008F6AC1" w:rsidP="005563C1">
            <w:pPr>
              <w:spacing w:before="60" w:after="60"/>
              <w:jc w:val="left"/>
              <w:rPr>
                <w:noProof/>
              </w:rPr>
            </w:pPr>
            <w:r w:rsidRPr="00483F7D">
              <w:rPr>
                <w:b/>
                <w:sz w:val="22"/>
              </w:rPr>
              <w:t>03 XX XX Τελωνειακή Αρχή της ΕΕ</w:t>
            </w:r>
            <w:r w:rsidRPr="00483F7D">
              <w:t xml:space="preserve"> ………………]</w:t>
            </w:r>
          </w:p>
        </w:tc>
      </w:tr>
    </w:tbl>
    <w:p w14:paraId="4C62E312" w14:textId="77777777" w:rsidR="008F6AC1" w:rsidRPr="00483F7D" w:rsidRDefault="008F6AC1" w:rsidP="008F6AC1">
      <w:pPr>
        <w:spacing w:before="0" w:after="0"/>
        <w:jc w:val="left"/>
      </w:pPr>
    </w:p>
    <w:p w14:paraId="08AE0901" w14:textId="77777777" w:rsidR="008F6AC1" w:rsidRPr="00483F7D" w:rsidRDefault="008F6AC1" w:rsidP="008F6AC1">
      <w:pPr>
        <w:pStyle w:val="Text1"/>
        <w:rPr>
          <w:noProof/>
          <w:color w:val="984806" w:themeColor="accent6" w:themeShade="80"/>
        </w:rPr>
      </w:pPr>
      <w:r w:rsidRPr="00483F7D">
        <w:t>Εκτίμηση για την περίοδο 2026-2034:</w:t>
      </w:r>
    </w:p>
    <w:tbl>
      <w:tblPr>
        <w:tblW w:w="1346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1275"/>
        <w:gridCol w:w="1155"/>
        <w:gridCol w:w="679"/>
        <w:gridCol w:w="680"/>
        <w:gridCol w:w="816"/>
        <w:gridCol w:w="816"/>
        <w:gridCol w:w="816"/>
        <w:gridCol w:w="952"/>
        <w:gridCol w:w="816"/>
        <w:gridCol w:w="816"/>
        <w:gridCol w:w="816"/>
        <w:gridCol w:w="953"/>
      </w:tblGrid>
      <w:tr w:rsidR="00C16CE8" w:rsidRPr="00483F7D" w14:paraId="375490A4" w14:textId="77777777" w:rsidTr="00C1660F">
        <w:trPr>
          <w:trHeight w:val="542"/>
        </w:trPr>
        <w:tc>
          <w:tcPr>
            <w:tcW w:w="2876" w:type="dxa"/>
            <w:vAlign w:val="center"/>
          </w:tcPr>
          <w:p w14:paraId="179C13AD" w14:textId="77777777" w:rsidR="00C16CE8" w:rsidRPr="00483F7D" w:rsidRDefault="00C16CE8" w:rsidP="00C16CE8">
            <w:pPr>
              <w:jc w:val="center"/>
              <w:rPr>
                <w:noProof/>
              </w:rPr>
            </w:pPr>
            <w:bookmarkStart w:id="344" w:name="_Hlk130562798"/>
            <w:r w:rsidRPr="00483F7D">
              <w:rPr>
                <w:b/>
                <w:sz w:val="22"/>
              </w:rPr>
              <w:t>Τελωνειακή Αρχή της ΕΕ</w:t>
            </w:r>
          </w:p>
        </w:tc>
        <w:tc>
          <w:tcPr>
            <w:tcW w:w="1275" w:type="dxa"/>
            <w:vAlign w:val="center"/>
          </w:tcPr>
          <w:p w14:paraId="59ABA30C" w14:textId="77777777" w:rsidR="00C16CE8" w:rsidRPr="00483F7D" w:rsidRDefault="00C16CE8" w:rsidP="00C16CE8">
            <w:pPr>
              <w:rPr>
                <w:noProof/>
                <w:sz w:val="20"/>
              </w:rPr>
            </w:pPr>
          </w:p>
        </w:tc>
        <w:tc>
          <w:tcPr>
            <w:tcW w:w="1155" w:type="dxa"/>
            <w:vAlign w:val="center"/>
          </w:tcPr>
          <w:p w14:paraId="289ADCFA" w14:textId="77777777" w:rsidR="00C16CE8" w:rsidRPr="00483F7D" w:rsidRDefault="00C16CE8" w:rsidP="00C16CE8">
            <w:pPr>
              <w:jc w:val="center"/>
              <w:rPr>
                <w:noProof/>
                <w:sz w:val="20"/>
              </w:rPr>
            </w:pPr>
          </w:p>
        </w:tc>
        <w:tc>
          <w:tcPr>
            <w:tcW w:w="679" w:type="dxa"/>
          </w:tcPr>
          <w:p w14:paraId="581C1F96" w14:textId="77777777" w:rsidR="00C16CE8" w:rsidRPr="00483F7D" w:rsidRDefault="00C16CE8" w:rsidP="00C16CE8">
            <w:pPr>
              <w:jc w:val="center"/>
              <w:rPr>
                <w:noProof/>
                <w:sz w:val="20"/>
              </w:rPr>
            </w:pPr>
            <w:r w:rsidRPr="00483F7D">
              <w:rPr>
                <w:sz w:val="20"/>
              </w:rPr>
              <w:t>2026</w:t>
            </w:r>
          </w:p>
        </w:tc>
        <w:tc>
          <w:tcPr>
            <w:tcW w:w="680" w:type="dxa"/>
          </w:tcPr>
          <w:p w14:paraId="49F4A33F" w14:textId="77777777" w:rsidR="00C16CE8" w:rsidRPr="00483F7D" w:rsidRDefault="00C16CE8" w:rsidP="00C16CE8">
            <w:pPr>
              <w:jc w:val="center"/>
              <w:rPr>
                <w:noProof/>
                <w:sz w:val="20"/>
              </w:rPr>
            </w:pPr>
            <w:r w:rsidRPr="00483F7D">
              <w:rPr>
                <w:sz w:val="20"/>
              </w:rPr>
              <w:t>2027</w:t>
            </w:r>
          </w:p>
        </w:tc>
        <w:tc>
          <w:tcPr>
            <w:tcW w:w="816" w:type="dxa"/>
            <w:vAlign w:val="center"/>
          </w:tcPr>
          <w:p w14:paraId="492774FD" w14:textId="77777777" w:rsidR="00C16CE8" w:rsidRPr="00483F7D" w:rsidRDefault="00C16CE8" w:rsidP="00C16CE8">
            <w:pPr>
              <w:jc w:val="center"/>
              <w:rPr>
                <w:noProof/>
                <w:sz w:val="20"/>
              </w:rPr>
            </w:pPr>
            <w:r w:rsidRPr="00483F7D">
              <w:rPr>
                <w:sz w:val="20"/>
              </w:rPr>
              <w:t>2028</w:t>
            </w:r>
          </w:p>
        </w:tc>
        <w:tc>
          <w:tcPr>
            <w:tcW w:w="816" w:type="dxa"/>
            <w:vAlign w:val="center"/>
          </w:tcPr>
          <w:p w14:paraId="09BFE43B" w14:textId="77777777" w:rsidR="00C16CE8" w:rsidRPr="00483F7D" w:rsidRDefault="00C16CE8" w:rsidP="00C16CE8">
            <w:pPr>
              <w:jc w:val="center"/>
              <w:rPr>
                <w:noProof/>
                <w:sz w:val="20"/>
              </w:rPr>
            </w:pPr>
            <w:r w:rsidRPr="00483F7D">
              <w:rPr>
                <w:sz w:val="20"/>
              </w:rPr>
              <w:t>2029</w:t>
            </w:r>
          </w:p>
        </w:tc>
        <w:tc>
          <w:tcPr>
            <w:tcW w:w="816" w:type="dxa"/>
            <w:vAlign w:val="center"/>
          </w:tcPr>
          <w:p w14:paraId="21A36881" w14:textId="77777777" w:rsidR="00C16CE8" w:rsidRPr="00483F7D" w:rsidRDefault="00C16CE8" w:rsidP="00C16CE8">
            <w:pPr>
              <w:jc w:val="center"/>
              <w:rPr>
                <w:noProof/>
                <w:sz w:val="20"/>
              </w:rPr>
            </w:pPr>
            <w:r w:rsidRPr="00483F7D">
              <w:rPr>
                <w:sz w:val="20"/>
              </w:rPr>
              <w:t>2030</w:t>
            </w:r>
          </w:p>
        </w:tc>
        <w:tc>
          <w:tcPr>
            <w:tcW w:w="952" w:type="dxa"/>
            <w:vAlign w:val="center"/>
          </w:tcPr>
          <w:p w14:paraId="14ECD1C4" w14:textId="77777777" w:rsidR="00C16CE8" w:rsidRPr="00483F7D" w:rsidRDefault="00C16CE8" w:rsidP="00C16CE8">
            <w:pPr>
              <w:jc w:val="center"/>
              <w:rPr>
                <w:noProof/>
                <w:sz w:val="20"/>
              </w:rPr>
            </w:pPr>
            <w:r w:rsidRPr="00483F7D">
              <w:rPr>
                <w:sz w:val="20"/>
              </w:rPr>
              <w:t>2031</w:t>
            </w:r>
          </w:p>
        </w:tc>
        <w:tc>
          <w:tcPr>
            <w:tcW w:w="816" w:type="dxa"/>
            <w:vAlign w:val="center"/>
          </w:tcPr>
          <w:p w14:paraId="5C3808D2" w14:textId="77777777" w:rsidR="00C16CE8" w:rsidRPr="00483F7D" w:rsidRDefault="00C16CE8" w:rsidP="00C16CE8">
            <w:pPr>
              <w:jc w:val="center"/>
              <w:rPr>
                <w:bCs/>
                <w:noProof/>
                <w:sz w:val="18"/>
              </w:rPr>
            </w:pPr>
            <w:r w:rsidRPr="00483F7D">
              <w:rPr>
                <w:sz w:val="18"/>
              </w:rPr>
              <w:t>2032</w:t>
            </w:r>
          </w:p>
        </w:tc>
        <w:tc>
          <w:tcPr>
            <w:tcW w:w="816" w:type="dxa"/>
            <w:vAlign w:val="center"/>
          </w:tcPr>
          <w:p w14:paraId="6CB7381A" w14:textId="77777777" w:rsidR="00C16CE8" w:rsidRPr="00483F7D" w:rsidRDefault="00C16CE8" w:rsidP="00C16CE8">
            <w:pPr>
              <w:jc w:val="center"/>
              <w:rPr>
                <w:bCs/>
                <w:noProof/>
                <w:sz w:val="18"/>
              </w:rPr>
            </w:pPr>
            <w:r w:rsidRPr="00483F7D">
              <w:rPr>
                <w:sz w:val="18"/>
              </w:rPr>
              <w:t>2033</w:t>
            </w:r>
          </w:p>
        </w:tc>
        <w:tc>
          <w:tcPr>
            <w:tcW w:w="816" w:type="dxa"/>
            <w:vAlign w:val="center"/>
          </w:tcPr>
          <w:p w14:paraId="4BF03927" w14:textId="77777777" w:rsidR="00C16CE8" w:rsidRPr="00483F7D" w:rsidRDefault="00C16CE8" w:rsidP="00C16CE8">
            <w:pPr>
              <w:jc w:val="center"/>
              <w:rPr>
                <w:bCs/>
                <w:noProof/>
                <w:sz w:val="18"/>
              </w:rPr>
            </w:pPr>
            <w:r w:rsidRPr="00483F7D">
              <w:rPr>
                <w:sz w:val="18"/>
              </w:rPr>
              <w:t>2034</w:t>
            </w:r>
          </w:p>
        </w:tc>
        <w:tc>
          <w:tcPr>
            <w:tcW w:w="953" w:type="dxa"/>
            <w:vAlign w:val="center"/>
          </w:tcPr>
          <w:p w14:paraId="59CD62CF" w14:textId="77777777" w:rsidR="00C16CE8" w:rsidRPr="00483F7D" w:rsidRDefault="00C16CE8" w:rsidP="00C16CE8">
            <w:pPr>
              <w:jc w:val="center"/>
              <w:rPr>
                <w:b/>
                <w:noProof/>
                <w:sz w:val="20"/>
              </w:rPr>
            </w:pPr>
            <w:r w:rsidRPr="00483F7D">
              <w:rPr>
                <w:b/>
                <w:sz w:val="20"/>
              </w:rPr>
              <w:t>ΣΥΝΟΛΟ</w:t>
            </w:r>
          </w:p>
        </w:tc>
      </w:tr>
      <w:tr w:rsidR="00C16CE8" w:rsidRPr="00483F7D" w14:paraId="6CDF9C36" w14:textId="77777777" w:rsidTr="00C1660F">
        <w:trPr>
          <w:trHeight w:hRule="exact" w:val="607"/>
        </w:trPr>
        <w:tc>
          <w:tcPr>
            <w:tcW w:w="2876" w:type="dxa"/>
            <w:vMerge w:val="restart"/>
            <w:vAlign w:val="center"/>
          </w:tcPr>
          <w:p w14:paraId="423DBD91" w14:textId="77777777" w:rsidR="00C16CE8" w:rsidRPr="00483F7D" w:rsidRDefault="00C16CE8" w:rsidP="00C16CE8">
            <w:pPr>
              <w:rPr>
                <w:i/>
                <w:iCs/>
                <w:noProof/>
              </w:rPr>
            </w:pPr>
            <w:r w:rsidRPr="00483F7D">
              <w:rPr>
                <w:sz w:val="20"/>
              </w:rPr>
              <w:t xml:space="preserve">Τίτλος 1: </w:t>
            </w:r>
            <w:r w:rsidRPr="00483F7D">
              <w:rPr>
                <w:i/>
                <w:sz w:val="20"/>
              </w:rPr>
              <w:t>(διοικητικές δαπάνες, συμπεριλαμβανομένων των μισθών)</w:t>
            </w:r>
          </w:p>
        </w:tc>
        <w:tc>
          <w:tcPr>
            <w:tcW w:w="1275" w:type="dxa"/>
            <w:vAlign w:val="center"/>
          </w:tcPr>
          <w:p w14:paraId="559E4349" w14:textId="77777777" w:rsidR="00C16CE8" w:rsidRPr="00483F7D" w:rsidRDefault="00C16CE8" w:rsidP="00C16CE8">
            <w:pPr>
              <w:spacing w:before="20" w:after="20"/>
              <w:rPr>
                <w:noProof/>
              </w:rPr>
            </w:pPr>
            <w:r w:rsidRPr="00483F7D">
              <w:rPr>
                <w:sz w:val="18"/>
              </w:rPr>
              <w:t>Αναλήψεις υποχρεώσεων</w:t>
            </w:r>
          </w:p>
        </w:tc>
        <w:tc>
          <w:tcPr>
            <w:tcW w:w="1155" w:type="dxa"/>
            <w:vAlign w:val="center"/>
          </w:tcPr>
          <w:p w14:paraId="338818AB" w14:textId="77777777" w:rsidR="00C16CE8" w:rsidRPr="00483F7D" w:rsidRDefault="00C16CE8" w:rsidP="00C16CE8">
            <w:pPr>
              <w:spacing w:before="20" w:after="20"/>
              <w:jc w:val="center"/>
              <w:rPr>
                <w:noProof/>
                <w:sz w:val="14"/>
              </w:rPr>
            </w:pPr>
            <w:r w:rsidRPr="00483F7D">
              <w:rPr>
                <w:sz w:val="14"/>
              </w:rPr>
              <w:t>(1)</w:t>
            </w:r>
          </w:p>
        </w:tc>
        <w:tc>
          <w:tcPr>
            <w:tcW w:w="679" w:type="dxa"/>
            <w:shd w:val="clear" w:color="auto" w:fill="auto"/>
            <w:vAlign w:val="center"/>
          </w:tcPr>
          <w:p w14:paraId="07272719" w14:textId="77777777" w:rsidR="00C16CE8" w:rsidRPr="00483F7D" w:rsidRDefault="00C16CE8" w:rsidP="00C16CE8">
            <w:pPr>
              <w:spacing w:before="20" w:after="20"/>
              <w:jc w:val="right"/>
              <w:rPr>
                <w:sz w:val="20"/>
                <w:szCs w:val="20"/>
              </w:rPr>
            </w:pPr>
            <w:r w:rsidRPr="00483F7D">
              <w:rPr>
                <w:sz w:val="20"/>
              </w:rPr>
              <w:t>0,494</w:t>
            </w:r>
          </w:p>
        </w:tc>
        <w:tc>
          <w:tcPr>
            <w:tcW w:w="680" w:type="dxa"/>
            <w:shd w:val="clear" w:color="auto" w:fill="auto"/>
            <w:vAlign w:val="center"/>
          </w:tcPr>
          <w:p w14:paraId="0413AECC" w14:textId="77777777" w:rsidR="00C16CE8" w:rsidRPr="00483F7D" w:rsidRDefault="00C16CE8" w:rsidP="00C16CE8">
            <w:pPr>
              <w:spacing w:before="20" w:after="20"/>
              <w:jc w:val="right"/>
              <w:rPr>
                <w:sz w:val="20"/>
                <w:szCs w:val="20"/>
              </w:rPr>
            </w:pPr>
            <w:r w:rsidRPr="00483F7D">
              <w:rPr>
                <w:sz w:val="20"/>
              </w:rPr>
              <w:t>1,392</w:t>
            </w:r>
          </w:p>
        </w:tc>
        <w:tc>
          <w:tcPr>
            <w:tcW w:w="816" w:type="dxa"/>
            <w:shd w:val="clear" w:color="auto" w:fill="auto"/>
            <w:vAlign w:val="center"/>
          </w:tcPr>
          <w:p w14:paraId="02256AE1" w14:textId="77777777" w:rsidR="00C16CE8" w:rsidRPr="00483F7D" w:rsidRDefault="00C16CE8" w:rsidP="00C16CE8">
            <w:pPr>
              <w:spacing w:before="20" w:after="20"/>
              <w:jc w:val="right"/>
              <w:rPr>
                <w:noProof/>
                <w:sz w:val="20"/>
                <w:szCs w:val="20"/>
              </w:rPr>
            </w:pPr>
            <w:r w:rsidRPr="00483F7D">
              <w:rPr>
                <w:sz w:val="20"/>
              </w:rPr>
              <w:t>4,078</w:t>
            </w:r>
          </w:p>
        </w:tc>
        <w:tc>
          <w:tcPr>
            <w:tcW w:w="816" w:type="dxa"/>
            <w:shd w:val="clear" w:color="auto" w:fill="auto"/>
            <w:vAlign w:val="center"/>
          </w:tcPr>
          <w:p w14:paraId="7081F800" w14:textId="77777777" w:rsidR="00C16CE8" w:rsidRPr="00483F7D" w:rsidRDefault="00C16CE8" w:rsidP="00C16CE8">
            <w:pPr>
              <w:spacing w:before="20" w:after="20"/>
              <w:jc w:val="right"/>
              <w:rPr>
                <w:noProof/>
                <w:sz w:val="20"/>
                <w:szCs w:val="20"/>
              </w:rPr>
            </w:pPr>
            <w:r w:rsidRPr="00483F7D">
              <w:rPr>
                <w:sz w:val="20"/>
              </w:rPr>
              <w:t>7,270</w:t>
            </w:r>
          </w:p>
        </w:tc>
        <w:tc>
          <w:tcPr>
            <w:tcW w:w="816" w:type="dxa"/>
            <w:shd w:val="clear" w:color="auto" w:fill="auto"/>
            <w:vAlign w:val="center"/>
          </w:tcPr>
          <w:p w14:paraId="45141608" w14:textId="77777777" w:rsidR="00C16CE8" w:rsidRPr="00483F7D" w:rsidRDefault="00C16CE8" w:rsidP="00C16CE8">
            <w:pPr>
              <w:spacing w:before="20" w:after="20"/>
              <w:jc w:val="right"/>
              <w:rPr>
                <w:noProof/>
                <w:sz w:val="20"/>
                <w:szCs w:val="20"/>
              </w:rPr>
            </w:pPr>
            <w:r w:rsidRPr="00483F7D">
              <w:rPr>
                <w:sz w:val="20"/>
              </w:rPr>
              <w:t>12,641</w:t>
            </w:r>
          </w:p>
        </w:tc>
        <w:tc>
          <w:tcPr>
            <w:tcW w:w="952" w:type="dxa"/>
            <w:shd w:val="clear" w:color="auto" w:fill="auto"/>
            <w:vAlign w:val="center"/>
          </w:tcPr>
          <w:p w14:paraId="2E9E0F64" w14:textId="77777777" w:rsidR="00C16CE8" w:rsidRPr="00483F7D" w:rsidRDefault="00C16CE8" w:rsidP="00C16CE8">
            <w:pPr>
              <w:spacing w:before="20" w:after="20"/>
              <w:jc w:val="right"/>
              <w:rPr>
                <w:noProof/>
                <w:sz w:val="20"/>
                <w:szCs w:val="20"/>
              </w:rPr>
            </w:pPr>
            <w:r w:rsidRPr="00483F7D">
              <w:rPr>
                <w:sz w:val="20"/>
              </w:rPr>
              <w:t>20,493</w:t>
            </w:r>
          </w:p>
        </w:tc>
        <w:tc>
          <w:tcPr>
            <w:tcW w:w="816" w:type="dxa"/>
            <w:shd w:val="clear" w:color="auto" w:fill="auto"/>
            <w:vAlign w:val="center"/>
          </w:tcPr>
          <w:p w14:paraId="00C14B0B" w14:textId="77777777" w:rsidR="00C16CE8" w:rsidRPr="00483F7D" w:rsidRDefault="00C16CE8" w:rsidP="00C16CE8">
            <w:pPr>
              <w:spacing w:before="20" w:after="20"/>
              <w:jc w:val="right"/>
              <w:rPr>
                <w:noProof/>
                <w:sz w:val="20"/>
                <w:szCs w:val="20"/>
              </w:rPr>
            </w:pPr>
            <w:r w:rsidRPr="00483F7D">
              <w:rPr>
                <w:sz w:val="20"/>
              </w:rPr>
              <w:t>29,748</w:t>
            </w:r>
          </w:p>
        </w:tc>
        <w:tc>
          <w:tcPr>
            <w:tcW w:w="816" w:type="dxa"/>
            <w:shd w:val="clear" w:color="auto" w:fill="auto"/>
            <w:vAlign w:val="center"/>
          </w:tcPr>
          <w:p w14:paraId="1268A510" w14:textId="77777777" w:rsidR="00C16CE8" w:rsidRPr="00483F7D" w:rsidRDefault="00C16CE8" w:rsidP="00C16CE8">
            <w:pPr>
              <w:spacing w:before="20" w:after="20"/>
              <w:jc w:val="right"/>
              <w:rPr>
                <w:noProof/>
                <w:sz w:val="20"/>
                <w:szCs w:val="20"/>
              </w:rPr>
            </w:pPr>
            <w:r w:rsidRPr="00483F7D">
              <w:rPr>
                <w:sz w:val="20"/>
              </w:rPr>
              <w:t>38,237</w:t>
            </w:r>
          </w:p>
        </w:tc>
        <w:tc>
          <w:tcPr>
            <w:tcW w:w="816" w:type="dxa"/>
            <w:shd w:val="clear" w:color="auto" w:fill="auto"/>
            <w:vAlign w:val="center"/>
          </w:tcPr>
          <w:p w14:paraId="539115E7" w14:textId="77777777" w:rsidR="00C16CE8" w:rsidRPr="00483F7D" w:rsidRDefault="00C16CE8" w:rsidP="00C16CE8">
            <w:pPr>
              <w:spacing w:before="20" w:after="20"/>
              <w:jc w:val="right"/>
              <w:rPr>
                <w:b/>
                <w:noProof/>
                <w:sz w:val="20"/>
                <w:szCs w:val="20"/>
              </w:rPr>
            </w:pPr>
            <w:r w:rsidRPr="00483F7D">
              <w:rPr>
                <w:sz w:val="20"/>
              </w:rPr>
              <w:t>44,365</w:t>
            </w:r>
          </w:p>
        </w:tc>
        <w:tc>
          <w:tcPr>
            <w:tcW w:w="953" w:type="dxa"/>
            <w:shd w:val="clear" w:color="auto" w:fill="auto"/>
            <w:vAlign w:val="center"/>
          </w:tcPr>
          <w:p w14:paraId="00022204" w14:textId="77777777" w:rsidR="00C16CE8" w:rsidRPr="00483F7D" w:rsidRDefault="00C16CE8" w:rsidP="00C16CE8">
            <w:pPr>
              <w:spacing w:before="20" w:after="20"/>
              <w:jc w:val="right"/>
              <w:rPr>
                <w:b/>
                <w:noProof/>
                <w:sz w:val="20"/>
                <w:szCs w:val="20"/>
              </w:rPr>
            </w:pPr>
            <w:r w:rsidRPr="00483F7D">
              <w:rPr>
                <w:sz w:val="20"/>
              </w:rPr>
              <w:t>158,718</w:t>
            </w:r>
          </w:p>
        </w:tc>
      </w:tr>
      <w:tr w:rsidR="00C16CE8" w:rsidRPr="00483F7D" w14:paraId="62AC441D" w14:textId="77777777" w:rsidTr="00C1660F">
        <w:trPr>
          <w:trHeight w:hRule="exact" w:val="581"/>
        </w:trPr>
        <w:tc>
          <w:tcPr>
            <w:tcW w:w="2876" w:type="dxa"/>
            <w:vMerge/>
            <w:vAlign w:val="center"/>
          </w:tcPr>
          <w:p w14:paraId="5978BCA0" w14:textId="77777777" w:rsidR="00C16CE8" w:rsidRPr="00483F7D" w:rsidRDefault="00C16CE8" w:rsidP="00C16CE8">
            <w:pPr>
              <w:rPr>
                <w:noProof/>
              </w:rPr>
            </w:pPr>
          </w:p>
        </w:tc>
        <w:tc>
          <w:tcPr>
            <w:tcW w:w="1275" w:type="dxa"/>
            <w:vAlign w:val="center"/>
          </w:tcPr>
          <w:p w14:paraId="07E93B3E" w14:textId="77777777" w:rsidR="00C16CE8" w:rsidRPr="00483F7D" w:rsidRDefault="00C16CE8" w:rsidP="00C16CE8">
            <w:pPr>
              <w:spacing w:before="20" w:after="20"/>
              <w:rPr>
                <w:noProof/>
                <w:sz w:val="18"/>
              </w:rPr>
            </w:pPr>
            <w:r w:rsidRPr="00483F7D">
              <w:rPr>
                <w:sz w:val="18"/>
              </w:rPr>
              <w:t>Πληρωμές</w:t>
            </w:r>
          </w:p>
        </w:tc>
        <w:tc>
          <w:tcPr>
            <w:tcW w:w="1155" w:type="dxa"/>
            <w:vAlign w:val="center"/>
          </w:tcPr>
          <w:p w14:paraId="19926955" w14:textId="77777777" w:rsidR="00C16CE8" w:rsidRPr="00483F7D" w:rsidRDefault="00C16CE8" w:rsidP="00C16CE8">
            <w:pPr>
              <w:spacing w:before="20" w:after="20"/>
              <w:jc w:val="center"/>
              <w:rPr>
                <w:noProof/>
                <w:sz w:val="14"/>
              </w:rPr>
            </w:pPr>
            <w:r w:rsidRPr="00483F7D">
              <w:rPr>
                <w:sz w:val="14"/>
              </w:rPr>
              <w:t>(2)</w:t>
            </w:r>
          </w:p>
        </w:tc>
        <w:tc>
          <w:tcPr>
            <w:tcW w:w="679" w:type="dxa"/>
            <w:shd w:val="clear" w:color="auto" w:fill="auto"/>
            <w:vAlign w:val="center"/>
          </w:tcPr>
          <w:p w14:paraId="20DF9103" w14:textId="77777777" w:rsidR="00C16CE8" w:rsidRPr="00483F7D" w:rsidRDefault="00C16CE8" w:rsidP="00C16CE8">
            <w:pPr>
              <w:spacing w:before="20" w:after="20"/>
              <w:jc w:val="right"/>
              <w:rPr>
                <w:sz w:val="20"/>
                <w:szCs w:val="20"/>
              </w:rPr>
            </w:pPr>
            <w:r w:rsidRPr="00483F7D">
              <w:rPr>
                <w:sz w:val="20"/>
              </w:rPr>
              <w:t>0,494</w:t>
            </w:r>
          </w:p>
        </w:tc>
        <w:tc>
          <w:tcPr>
            <w:tcW w:w="680" w:type="dxa"/>
            <w:shd w:val="clear" w:color="auto" w:fill="auto"/>
            <w:vAlign w:val="center"/>
          </w:tcPr>
          <w:p w14:paraId="3BCADD3B" w14:textId="77777777" w:rsidR="00C16CE8" w:rsidRPr="00483F7D" w:rsidRDefault="00C16CE8" w:rsidP="00C16CE8">
            <w:pPr>
              <w:spacing w:before="20" w:after="20"/>
              <w:jc w:val="right"/>
              <w:rPr>
                <w:sz w:val="20"/>
                <w:szCs w:val="20"/>
              </w:rPr>
            </w:pPr>
            <w:r w:rsidRPr="00483F7D">
              <w:rPr>
                <w:sz w:val="20"/>
              </w:rPr>
              <w:t>1,392</w:t>
            </w:r>
          </w:p>
        </w:tc>
        <w:tc>
          <w:tcPr>
            <w:tcW w:w="816" w:type="dxa"/>
            <w:shd w:val="clear" w:color="auto" w:fill="auto"/>
            <w:vAlign w:val="center"/>
          </w:tcPr>
          <w:p w14:paraId="709602A9" w14:textId="77777777" w:rsidR="00C16CE8" w:rsidRPr="00483F7D" w:rsidRDefault="00C16CE8" w:rsidP="00C16CE8">
            <w:pPr>
              <w:spacing w:before="20" w:after="20"/>
              <w:jc w:val="right"/>
              <w:rPr>
                <w:noProof/>
                <w:sz w:val="20"/>
                <w:szCs w:val="20"/>
              </w:rPr>
            </w:pPr>
            <w:r w:rsidRPr="00483F7D">
              <w:rPr>
                <w:sz w:val="20"/>
              </w:rPr>
              <w:t>4,078</w:t>
            </w:r>
          </w:p>
        </w:tc>
        <w:tc>
          <w:tcPr>
            <w:tcW w:w="816" w:type="dxa"/>
            <w:shd w:val="clear" w:color="auto" w:fill="auto"/>
            <w:vAlign w:val="center"/>
          </w:tcPr>
          <w:p w14:paraId="45F1129E" w14:textId="77777777" w:rsidR="00C16CE8" w:rsidRPr="00483F7D" w:rsidRDefault="00C16CE8" w:rsidP="00C16CE8">
            <w:pPr>
              <w:spacing w:before="20" w:after="20"/>
              <w:jc w:val="right"/>
              <w:rPr>
                <w:noProof/>
                <w:sz w:val="20"/>
                <w:szCs w:val="20"/>
              </w:rPr>
            </w:pPr>
            <w:r w:rsidRPr="00483F7D">
              <w:rPr>
                <w:sz w:val="20"/>
              </w:rPr>
              <w:t>7,270</w:t>
            </w:r>
          </w:p>
        </w:tc>
        <w:tc>
          <w:tcPr>
            <w:tcW w:w="816" w:type="dxa"/>
            <w:shd w:val="clear" w:color="auto" w:fill="auto"/>
            <w:vAlign w:val="center"/>
          </w:tcPr>
          <w:p w14:paraId="4C640FBD" w14:textId="77777777" w:rsidR="00C16CE8" w:rsidRPr="00483F7D" w:rsidRDefault="00C16CE8" w:rsidP="00C16CE8">
            <w:pPr>
              <w:spacing w:before="20" w:after="20"/>
              <w:jc w:val="right"/>
              <w:rPr>
                <w:noProof/>
                <w:sz w:val="20"/>
                <w:szCs w:val="20"/>
              </w:rPr>
            </w:pPr>
            <w:r w:rsidRPr="00483F7D">
              <w:rPr>
                <w:sz w:val="20"/>
              </w:rPr>
              <w:t>12,641</w:t>
            </w:r>
          </w:p>
        </w:tc>
        <w:tc>
          <w:tcPr>
            <w:tcW w:w="952" w:type="dxa"/>
            <w:shd w:val="clear" w:color="auto" w:fill="auto"/>
            <w:vAlign w:val="center"/>
          </w:tcPr>
          <w:p w14:paraId="35BCA56B" w14:textId="77777777" w:rsidR="00C16CE8" w:rsidRPr="00483F7D" w:rsidRDefault="00C16CE8" w:rsidP="00C16CE8">
            <w:pPr>
              <w:spacing w:before="20" w:after="20"/>
              <w:jc w:val="right"/>
              <w:rPr>
                <w:noProof/>
                <w:sz w:val="20"/>
                <w:szCs w:val="20"/>
              </w:rPr>
            </w:pPr>
            <w:r w:rsidRPr="00483F7D">
              <w:rPr>
                <w:sz w:val="20"/>
              </w:rPr>
              <w:t>20,493</w:t>
            </w:r>
          </w:p>
        </w:tc>
        <w:tc>
          <w:tcPr>
            <w:tcW w:w="816" w:type="dxa"/>
            <w:shd w:val="clear" w:color="auto" w:fill="auto"/>
            <w:vAlign w:val="center"/>
          </w:tcPr>
          <w:p w14:paraId="2122D8F5" w14:textId="77777777" w:rsidR="00C16CE8" w:rsidRPr="00483F7D" w:rsidRDefault="00C16CE8" w:rsidP="00C16CE8">
            <w:pPr>
              <w:spacing w:before="20" w:after="20"/>
              <w:jc w:val="right"/>
              <w:rPr>
                <w:noProof/>
                <w:sz w:val="20"/>
                <w:szCs w:val="20"/>
              </w:rPr>
            </w:pPr>
            <w:r w:rsidRPr="00483F7D">
              <w:rPr>
                <w:sz w:val="20"/>
              </w:rPr>
              <w:t>29,748</w:t>
            </w:r>
          </w:p>
        </w:tc>
        <w:tc>
          <w:tcPr>
            <w:tcW w:w="816" w:type="dxa"/>
            <w:shd w:val="clear" w:color="auto" w:fill="auto"/>
            <w:vAlign w:val="center"/>
          </w:tcPr>
          <w:p w14:paraId="50E9F5BC" w14:textId="77777777" w:rsidR="00C16CE8" w:rsidRPr="00483F7D" w:rsidRDefault="00C16CE8" w:rsidP="00C16CE8">
            <w:pPr>
              <w:spacing w:before="20" w:after="20"/>
              <w:jc w:val="right"/>
              <w:rPr>
                <w:noProof/>
                <w:sz w:val="20"/>
                <w:szCs w:val="20"/>
              </w:rPr>
            </w:pPr>
            <w:r w:rsidRPr="00483F7D">
              <w:rPr>
                <w:sz w:val="20"/>
              </w:rPr>
              <w:t>38,237</w:t>
            </w:r>
          </w:p>
        </w:tc>
        <w:tc>
          <w:tcPr>
            <w:tcW w:w="816" w:type="dxa"/>
            <w:shd w:val="clear" w:color="auto" w:fill="auto"/>
            <w:vAlign w:val="center"/>
          </w:tcPr>
          <w:p w14:paraId="3A85191F" w14:textId="77777777" w:rsidR="00C16CE8" w:rsidRPr="00483F7D" w:rsidRDefault="00C16CE8" w:rsidP="00C16CE8">
            <w:pPr>
              <w:spacing w:before="20" w:after="20"/>
              <w:jc w:val="right"/>
              <w:rPr>
                <w:b/>
                <w:noProof/>
                <w:sz w:val="20"/>
                <w:szCs w:val="20"/>
              </w:rPr>
            </w:pPr>
            <w:r w:rsidRPr="00483F7D">
              <w:rPr>
                <w:sz w:val="20"/>
              </w:rPr>
              <w:t>44,365</w:t>
            </w:r>
          </w:p>
        </w:tc>
        <w:tc>
          <w:tcPr>
            <w:tcW w:w="953" w:type="dxa"/>
            <w:shd w:val="clear" w:color="auto" w:fill="auto"/>
            <w:vAlign w:val="center"/>
          </w:tcPr>
          <w:p w14:paraId="1F217C5A" w14:textId="77777777" w:rsidR="00C16CE8" w:rsidRPr="00483F7D" w:rsidRDefault="00C16CE8" w:rsidP="00C16CE8">
            <w:pPr>
              <w:spacing w:before="20" w:after="20"/>
              <w:jc w:val="right"/>
              <w:rPr>
                <w:b/>
                <w:noProof/>
                <w:sz w:val="20"/>
                <w:szCs w:val="20"/>
              </w:rPr>
            </w:pPr>
            <w:r w:rsidRPr="00483F7D">
              <w:rPr>
                <w:sz w:val="20"/>
              </w:rPr>
              <w:t>158,718</w:t>
            </w:r>
          </w:p>
        </w:tc>
      </w:tr>
      <w:tr w:rsidR="00C16CE8" w:rsidRPr="00483F7D" w14:paraId="5C90372E" w14:textId="77777777" w:rsidTr="00C1660F">
        <w:trPr>
          <w:trHeight w:hRule="exact" w:val="317"/>
        </w:trPr>
        <w:tc>
          <w:tcPr>
            <w:tcW w:w="2876" w:type="dxa"/>
            <w:vMerge w:val="restart"/>
            <w:vAlign w:val="center"/>
          </w:tcPr>
          <w:p w14:paraId="05BDE7F4" w14:textId="77777777" w:rsidR="00C16CE8" w:rsidRPr="00483F7D" w:rsidRDefault="00C16CE8" w:rsidP="00C16CE8">
            <w:pPr>
              <w:rPr>
                <w:i/>
                <w:iCs/>
                <w:noProof/>
              </w:rPr>
            </w:pPr>
            <w:r w:rsidRPr="00483F7D">
              <w:rPr>
                <w:sz w:val="20"/>
              </w:rPr>
              <w:t xml:space="preserve">Τίτλος 2: </w:t>
            </w:r>
            <w:r w:rsidRPr="00483F7D">
              <w:rPr>
                <w:i/>
                <w:sz w:val="20"/>
              </w:rPr>
              <w:t>(άλλες διοικητικές δαπάνες, συμπεριλαμβανομένων των υποδομών)</w:t>
            </w:r>
          </w:p>
        </w:tc>
        <w:tc>
          <w:tcPr>
            <w:tcW w:w="1275" w:type="dxa"/>
            <w:vAlign w:val="center"/>
          </w:tcPr>
          <w:p w14:paraId="61781FD4" w14:textId="77777777" w:rsidR="00C16CE8" w:rsidRPr="00483F7D" w:rsidRDefault="00C16CE8" w:rsidP="00C16CE8">
            <w:pPr>
              <w:spacing w:before="20" w:after="20"/>
              <w:rPr>
                <w:noProof/>
                <w:sz w:val="18"/>
              </w:rPr>
            </w:pPr>
            <w:r w:rsidRPr="00483F7D">
              <w:rPr>
                <w:sz w:val="18"/>
              </w:rPr>
              <w:t>Αναλήψεις υποχρεώσεων</w:t>
            </w:r>
          </w:p>
        </w:tc>
        <w:tc>
          <w:tcPr>
            <w:tcW w:w="1155" w:type="dxa"/>
            <w:vAlign w:val="center"/>
          </w:tcPr>
          <w:p w14:paraId="5869FDF4" w14:textId="77777777" w:rsidR="00C16CE8" w:rsidRPr="00483F7D" w:rsidRDefault="00C16CE8" w:rsidP="00C16CE8">
            <w:pPr>
              <w:spacing w:before="20" w:after="20"/>
              <w:jc w:val="center"/>
              <w:rPr>
                <w:noProof/>
                <w:sz w:val="14"/>
              </w:rPr>
            </w:pPr>
            <w:r w:rsidRPr="00483F7D">
              <w:rPr>
                <w:sz w:val="14"/>
              </w:rPr>
              <w:t>(1α)</w:t>
            </w:r>
          </w:p>
        </w:tc>
        <w:tc>
          <w:tcPr>
            <w:tcW w:w="679" w:type="dxa"/>
            <w:shd w:val="clear" w:color="auto" w:fill="auto"/>
            <w:vAlign w:val="center"/>
          </w:tcPr>
          <w:p w14:paraId="75404FBB" w14:textId="77777777" w:rsidR="00C16CE8" w:rsidRPr="00483F7D" w:rsidRDefault="00C16CE8" w:rsidP="00C16CE8">
            <w:pPr>
              <w:spacing w:before="20" w:after="20"/>
              <w:jc w:val="right"/>
              <w:rPr>
                <w:sz w:val="20"/>
                <w:szCs w:val="20"/>
              </w:rPr>
            </w:pPr>
            <w:r w:rsidRPr="00483F7D">
              <w:rPr>
                <w:sz w:val="20"/>
              </w:rPr>
              <w:t>0,434</w:t>
            </w:r>
          </w:p>
        </w:tc>
        <w:tc>
          <w:tcPr>
            <w:tcW w:w="680" w:type="dxa"/>
            <w:shd w:val="clear" w:color="auto" w:fill="auto"/>
            <w:vAlign w:val="center"/>
          </w:tcPr>
          <w:p w14:paraId="3F3FADD2" w14:textId="77777777" w:rsidR="00C16CE8" w:rsidRPr="00483F7D" w:rsidRDefault="00C16CE8" w:rsidP="00C16CE8">
            <w:pPr>
              <w:spacing w:before="20" w:after="20"/>
              <w:jc w:val="right"/>
              <w:rPr>
                <w:sz w:val="20"/>
                <w:szCs w:val="20"/>
              </w:rPr>
            </w:pPr>
            <w:r w:rsidRPr="00483F7D">
              <w:rPr>
                <w:sz w:val="20"/>
              </w:rPr>
              <w:t>0,662</w:t>
            </w:r>
          </w:p>
        </w:tc>
        <w:tc>
          <w:tcPr>
            <w:tcW w:w="816" w:type="dxa"/>
            <w:shd w:val="clear" w:color="auto" w:fill="auto"/>
            <w:vAlign w:val="center"/>
          </w:tcPr>
          <w:p w14:paraId="08FC38EB" w14:textId="77777777" w:rsidR="00C16CE8" w:rsidRPr="00483F7D" w:rsidRDefault="00C16CE8" w:rsidP="00C16CE8">
            <w:pPr>
              <w:spacing w:before="20" w:after="20"/>
              <w:jc w:val="right"/>
              <w:rPr>
                <w:noProof/>
                <w:sz w:val="20"/>
                <w:szCs w:val="20"/>
              </w:rPr>
            </w:pPr>
            <w:r w:rsidRPr="00483F7D">
              <w:rPr>
                <w:sz w:val="20"/>
              </w:rPr>
              <w:t>4,416</w:t>
            </w:r>
          </w:p>
        </w:tc>
        <w:tc>
          <w:tcPr>
            <w:tcW w:w="816" w:type="dxa"/>
            <w:shd w:val="clear" w:color="auto" w:fill="auto"/>
            <w:vAlign w:val="center"/>
          </w:tcPr>
          <w:p w14:paraId="4F204ADD" w14:textId="77777777" w:rsidR="00C16CE8" w:rsidRPr="00483F7D" w:rsidRDefault="00C16CE8" w:rsidP="00C16CE8">
            <w:pPr>
              <w:spacing w:before="20" w:after="20"/>
              <w:jc w:val="right"/>
              <w:rPr>
                <w:noProof/>
                <w:sz w:val="20"/>
                <w:szCs w:val="20"/>
              </w:rPr>
            </w:pPr>
            <w:r w:rsidRPr="00483F7D">
              <w:rPr>
                <w:sz w:val="20"/>
              </w:rPr>
              <w:t>3,235</w:t>
            </w:r>
          </w:p>
        </w:tc>
        <w:tc>
          <w:tcPr>
            <w:tcW w:w="816" w:type="dxa"/>
            <w:shd w:val="clear" w:color="auto" w:fill="auto"/>
            <w:vAlign w:val="center"/>
          </w:tcPr>
          <w:p w14:paraId="24E4E2AB" w14:textId="77777777" w:rsidR="00C16CE8" w:rsidRPr="00483F7D" w:rsidRDefault="00C16CE8" w:rsidP="00C16CE8">
            <w:pPr>
              <w:spacing w:before="20" w:after="20"/>
              <w:jc w:val="right"/>
              <w:rPr>
                <w:noProof/>
                <w:sz w:val="20"/>
                <w:szCs w:val="20"/>
              </w:rPr>
            </w:pPr>
            <w:r w:rsidRPr="00483F7D">
              <w:rPr>
                <w:sz w:val="20"/>
              </w:rPr>
              <w:t>3,469</w:t>
            </w:r>
          </w:p>
        </w:tc>
        <w:tc>
          <w:tcPr>
            <w:tcW w:w="952" w:type="dxa"/>
            <w:shd w:val="clear" w:color="auto" w:fill="auto"/>
            <w:vAlign w:val="center"/>
          </w:tcPr>
          <w:p w14:paraId="7BD8808D" w14:textId="77777777" w:rsidR="00C16CE8" w:rsidRPr="00483F7D" w:rsidRDefault="00C16CE8" w:rsidP="00C16CE8">
            <w:pPr>
              <w:spacing w:before="20" w:after="20"/>
              <w:jc w:val="right"/>
              <w:rPr>
                <w:noProof/>
                <w:sz w:val="20"/>
                <w:szCs w:val="20"/>
              </w:rPr>
            </w:pPr>
            <w:r w:rsidRPr="00483F7D">
              <w:rPr>
                <w:sz w:val="20"/>
              </w:rPr>
              <w:t>4,365</w:t>
            </w:r>
          </w:p>
        </w:tc>
        <w:tc>
          <w:tcPr>
            <w:tcW w:w="816" w:type="dxa"/>
            <w:shd w:val="clear" w:color="auto" w:fill="auto"/>
            <w:vAlign w:val="center"/>
          </w:tcPr>
          <w:p w14:paraId="3BC89789" w14:textId="77777777" w:rsidR="00C16CE8" w:rsidRPr="00483F7D" w:rsidRDefault="00C16CE8" w:rsidP="00C16CE8">
            <w:pPr>
              <w:spacing w:before="20" w:after="20"/>
              <w:jc w:val="right"/>
              <w:rPr>
                <w:noProof/>
                <w:sz w:val="20"/>
                <w:szCs w:val="20"/>
              </w:rPr>
            </w:pPr>
            <w:r w:rsidRPr="00483F7D">
              <w:rPr>
                <w:sz w:val="20"/>
              </w:rPr>
              <w:t>4,681</w:t>
            </w:r>
          </w:p>
        </w:tc>
        <w:tc>
          <w:tcPr>
            <w:tcW w:w="816" w:type="dxa"/>
            <w:shd w:val="clear" w:color="auto" w:fill="auto"/>
            <w:vAlign w:val="center"/>
          </w:tcPr>
          <w:p w14:paraId="196A356B" w14:textId="77777777" w:rsidR="00C16CE8" w:rsidRPr="00483F7D" w:rsidRDefault="00C16CE8" w:rsidP="00C16CE8">
            <w:pPr>
              <w:spacing w:before="20" w:after="20"/>
              <w:jc w:val="right"/>
              <w:rPr>
                <w:noProof/>
                <w:sz w:val="20"/>
                <w:szCs w:val="20"/>
              </w:rPr>
            </w:pPr>
            <w:r w:rsidRPr="00483F7D">
              <w:rPr>
                <w:sz w:val="20"/>
              </w:rPr>
              <w:t>5,396</w:t>
            </w:r>
          </w:p>
        </w:tc>
        <w:tc>
          <w:tcPr>
            <w:tcW w:w="816" w:type="dxa"/>
            <w:shd w:val="clear" w:color="auto" w:fill="auto"/>
            <w:vAlign w:val="center"/>
          </w:tcPr>
          <w:p w14:paraId="1A900AC3" w14:textId="77777777" w:rsidR="00C16CE8" w:rsidRPr="00483F7D" w:rsidRDefault="00C16CE8" w:rsidP="00C16CE8">
            <w:pPr>
              <w:spacing w:before="20" w:after="20"/>
              <w:jc w:val="right"/>
              <w:rPr>
                <w:b/>
                <w:noProof/>
                <w:sz w:val="20"/>
                <w:szCs w:val="20"/>
              </w:rPr>
            </w:pPr>
            <w:r w:rsidRPr="00483F7D">
              <w:rPr>
                <w:sz w:val="20"/>
              </w:rPr>
              <w:t>5,516</w:t>
            </w:r>
          </w:p>
        </w:tc>
        <w:tc>
          <w:tcPr>
            <w:tcW w:w="953" w:type="dxa"/>
            <w:shd w:val="clear" w:color="auto" w:fill="auto"/>
            <w:vAlign w:val="center"/>
          </w:tcPr>
          <w:p w14:paraId="22F999DB" w14:textId="77777777" w:rsidR="00C16CE8" w:rsidRPr="00483F7D" w:rsidRDefault="00C16CE8" w:rsidP="00C16CE8">
            <w:pPr>
              <w:spacing w:before="20" w:after="20"/>
              <w:jc w:val="right"/>
              <w:rPr>
                <w:b/>
                <w:noProof/>
                <w:sz w:val="20"/>
                <w:szCs w:val="20"/>
              </w:rPr>
            </w:pPr>
            <w:r w:rsidRPr="00483F7D">
              <w:rPr>
                <w:sz w:val="20"/>
              </w:rPr>
              <w:t>32,173</w:t>
            </w:r>
          </w:p>
        </w:tc>
      </w:tr>
      <w:tr w:rsidR="00C16CE8" w:rsidRPr="00483F7D" w14:paraId="29D1EAFE" w14:textId="77777777" w:rsidTr="00C1660F">
        <w:trPr>
          <w:trHeight w:hRule="exact" w:val="519"/>
        </w:trPr>
        <w:tc>
          <w:tcPr>
            <w:tcW w:w="2876" w:type="dxa"/>
            <w:vMerge/>
            <w:vAlign w:val="center"/>
          </w:tcPr>
          <w:p w14:paraId="23A1CAA3" w14:textId="77777777" w:rsidR="00C16CE8" w:rsidRPr="00483F7D" w:rsidRDefault="00C16CE8" w:rsidP="00C16CE8">
            <w:pPr>
              <w:rPr>
                <w:noProof/>
              </w:rPr>
            </w:pPr>
          </w:p>
        </w:tc>
        <w:tc>
          <w:tcPr>
            <w:tcW w:w="1275" w:type="dxa"/>
            <w:vAlign w:val="center"/>
          </w:tcPr>
          <w:p w14:paraId="10E78A69" w14:textId="77777777" w:rsidR="00C16CE8" w:rsidRPr="00483F7D" w:rsidRDefault="00C16CE8" w:rsidP="00C16CE8">
            <w:pPr>
              <w:spacing w:before="20" w:after="20"/>
              <w:rPr>
                <w:noProof/>
                <w:sz w:val="18"/>
              </w:rPr>
            </w:pPr>
            <w:r w:rsidRPr="00483F7D">
              <w:rPr>
                <w:sz w:val="18"/>
              </w:rPr>
              <w:t>Πληρωμές</w:t>
            </w:r>
          </w:p>
        </w:tc>
        <w:tc>
          <w:tcPr>
            <w:tcW w:w="1155" w:type="dxa"/>
            <w:vAlign w:val="center"/>
          </w:tcPr>
          <w:p w14:paraId="1DB5A4A8" w14:textId="77777777" w:rsidR="00C16CE8" w:rsidRPr="00483F7D" w:rsidRDefault="00C16CE8" w:rsidP="00C16CE8">
            <w:pPr>
              <w:spacing w:before="20" w:after="20"/>
              <w:jc w:val="center"/>
              <w:rPr>
                <w:noProof/>
                <w:sz w:val="14"/>
              </w:rPr>
            </w:pPr>
            <w:r w:rsidRPr="00483F7D">
              <w:rPr>
                <w:sz w:val="14"/>
              </w:rPr>
              <w:t>(2α)</w:t>
            </w:r>
          </w:p>
        </w:tc>
        <w:tc>
          <w:tcPr>
            <w:tcW w:w="679" w:type="dxa"/>
            <w:shd w:val="clear" w:color="auto" w:fill="auto"/>
            <w:vAlign w:val="center"/>
          </w:tcPr>
          <w:p w14:paraId="5C7A7195" w14:textId="77777777" w:rsidR="00C16CE8" w:rsidRPr="00483F7D" w:rsidRDefault="00C16CE8" w:rsidP="00C16CE8">
            <w:pPr>
              <w:spacing w:before="20" w:after="20"/>
              <w:jc w:val="right"/>
              <w:rPr>
                <w:sz w:val="20"/>
                <w:szCs w:val="20"/>
              </w:rPr>
            </w:pPr>
            <w:r w:rsidRPr="00483F7D">
              <w:rPr>
                <w:sz w:val="20"/>
              </w:rPr>
              <w:t>0,434</w:t>
            </w:r>
          </w:p>
        </w:tc>
        <w:tc>
          <w:tcPr>
            <w:tcW w:w="680" w:type="dxa"/>
            <w:shd w:val="clear" w:color="auto" w:fill="auto"/>
            <w:vAlign w:val="center"/>
          </w:tcPr>
          <w:p w14:paraId="606455F1" w14:textId="77777777" w:rsidR="00C16CE8" w:rsidRPr="00483F7D" w:rsidRDefault="00C16CE8" w:rsidP="00C16CE8">
            <w:pPr>
              <w:spacing w:before="20" w:after="20"/>
              <w:jc w:val="right"/>
              <w:rPr>
                <w:sz w:val="20"/>
                <w:szCs w:val="20"/>
              </w:rPr>
            </w:pPr>
            <w:r w:rsidRPr="00483F7D">
              <w:rPr>
                <w:sz w:val="20"/>
              </w:rPr>
              <w:t>0,662</w:t>
            </w:r>
          </w:p>
        </w:tc>
        <w:tc>
          <w:tcPr>
            <w:tcW w:w="816" w:type="dxa"/>
            <w:shd w:val="clear" w:color="auto" w:fill="auto"/>
            <w:vAlign w:val="center"/>
          </w:tcPr>
          <w:p w14:paraId="0441DF36" w14:textId="77777777" w:rsidR="00C16CE8" w:rsidRPr="00483F7D" w:rsidRDefault="00C16CE8" w:rsidP="00C16CE8">
            <w:pPr>
              <w:spacing w:before="20" w:after="20"/>
              <w:jc w:val="right"/>
              <w:rPr>
                <w:noProof/>
                <w:sz w:val="20"/>
                <w:szCs w:val="20"/>
              </w:rPr>
            </w:pPr>
            <w:r w:rsidRPr="00483F7D">
              <w:rPr>
                <w:sz w:val="20"/>
              </w:rPr>
              <w:t>4,416</w:t>
            </w:r>
          </w:p>
        </w:tc>
        <w:tc>
          <w:tcPr>
            <w:tcW w:w="816" w:type="dxa"/>
            <w:shd w:val="clear" w:color="auto" w:fill="auto"/>
            <w:vAlign w:val="center"/>
          </w:tcPr>
          <w:p w14:paraId="6E1CDA3B" w14:textId="77777777" w:rsidR="00C16CE8" w:rsidRPr="00483F7D" w:rsidRDefault="00C16CE8" w:rsidP="00C16CE8">
            <w:pPr>
              <w:spacing w:before="20" w:after="20"/>
              <w:jc w:val="right"/>
              <w:rPr>
                <w:noProof/>
                <w:sz w:val="20"/>
                <w:szCs w:val="20"/>
              </w:rPr>
            </w:pPr>
            <w:r w:rsidRPr="00483F7D">
              <w:rPr>
                <w:sz w:val="20"/>
              </w:rPr>
              <w:t>3,235</w:t>
            </w:r>
          </w:p>
        </w:tc>
        <w:tc>
          <w:tcPr>
            <w:tcW w:w="816" w:type="dxa"/>
            <w:shd w:val="clear" w:color="auto" w:fill="auto"/>
            <w:vAlign w:val="center"/>
          </w:tcPr>
          <w:p w14:paraId="63ECEB70" w14:textId="77777777" w:rsidR="00C16CE8" w:rsidRPr="00483F7D" w:rsidRDefault="00C16CE8" w:rsidP="00C16CE8">
            <w:pPr>
              <w:spacing w:before="20" w:after="20"/>
              <w:jc w:val="right"/>
              <w:rPr>
                <w:noProof/>
                <w:sz w:val="20"/>
                <w:szCs w:val="20"/>
              </w:rPr>
            </w:pPr>
            <w:r w:rsidRPr="00483F7D">
              <w:rPr>
                <w:sz w:val="20"/>
              </w:rPr>
              <w:t>3,469</w:t>
            </w:r>
          </w:p>
        </w:tc>
        <w:tc>
          <w:tcPr>
            <w:tcW w:w="952" w:type="dxa"/>
            <w:shd w:val="clear" w:color="auto" w:fill="auto"/>
            <w:vAlign w:val="center"/>
          </w:tcPr>
          <w:p w14:paraId="13111802" w14:textId="77777777" w:rsidR="00C16CE8" w:rsidRPr="00483F7D" w:rsidRDefault="00C16CE8" w:rsidP="00C16CE8">
            <w:pPr>
              <w:spacing w:before="20" w:after="20"/>
              <w:jc w:val="right"/>
              <w:rPr>
                <w:noProof/>
                <w:sz w:val="20"/>
                <w:szCs w:val="20"/>
              </w:rPr>
            </w:pPr>
            <w:r w:rsidRPr="00483F7D">
              <w:rPr>
                <w:sz w:val="20"/>
              </w:rPr>
              <w:t>4,365</w:t>
            </w:r>
          </w:p>
        </w:tc>
        <w:tc>
          <w:tcPr>
            <w:tcW w:w="816" w:type="dxa"/>
            <w:shd w:val="clear" w:color="auto" w:fill="auto"/>
            <w:vAlign w:val="center"/>
          </w:tcPr>
          <w:p w14:paraId="11D2C2EC" w14:textId="77777777" w:rsidR="00C16CE8" w:rsidRPr="00483F7D" w:rsidRDefault="00C16CE8" w:rsidP="00C16CE8">
            <w:pPr>
              <w:spacing w:before="20" w:after="20"/>
              <w:jc w:val="right"/>
              <w:rPr>
                <w:noProof/>
                <w:sz w:val="20"/>
                <w:szCs w:val="20"/>
              </w:rPr>
            </w:pPr>
            <w:r w:rsidRPr="00483F7D">
              <w:rPr>
                <w:sz w:val="20"/>
              </w:rPr>
              <w:t>4,681</w:t>
            </w:r>
          </w:p>
        </w:tc>
        <w:tc>
          <w:tcPr>
            <w:tcW w:w="816" w:type="dxa"/>
            <w:shd w:val="clear" w:color="auto" w:fill="auto"/>
            <w:vAlign w:val="center"/>
          </w:tcPr>
          <w:p w14:paraId="5D8C8211" w14:textId="77777777" w:rsidR="00C16CE8" w:rsidRPr="00483F7D" w:rsidRDefault="00C16CE8" w:rsidP="00C16CE8">
            <w:pPr>
              <w:spacing w:before="20" w:after="20"/>
              <w:jc w:val="right"/>
              <w:rPr>
                <w:noProof/>
                <w:sz w:val="20"/>
                <w:szCs w:val="20"/>
              </w:rPr>
            </w:pPr>
            <w:r w:rsidRPr="00483F7D">
              <w:rPr>
                <w:sz w:val="20"/>
              </w:rPr>
              <w:t>5,396</w:t>
            </w:r>
          </w:p>
        </w:tc>
        <w:tc>
          <w:tcPr>
            <w:tcW w:w="816" w:type="dxa"/>
            <w:shd w:val="clear" w:color="auto" w:fill="auto"/>
            <w:vAlign w:val="center"/>
          </w:tcPr>
          <w:p w14:paraId="7266B810" w14:textId="77777777" w:rsidR="00C16CE8" w:rsidRPr="00483F7D" w:rsidRDefault="00C16CE8" w:rsidP="00C16CE8">
            <w:pPr>
              <w:spacing w:before="20" w:after="20"/>
              <w:jc w:val="right"/>
              <w:rPr>
                <w:b/>
                <w:noProof/>
                <w:sz w:val="20"/>
                <w:szCs w:val="20"/>
              </w:rPr>
            </w:pPr>
            <w:r w:rsidRPr="00483F7D">
              <w:rPr>
                <w:sz w:val="20"/>
              </w:rPr>
              <w:t>5,516</w:t>
            </w:r>
          </w:p>
        </w:tc>
        <w:tc>
          <w:tcPr>
            <w:tcW w:w="953" w:type="dxa"/>
            <w:shd w:val="clear" w:color="auto" w:fill="auto"/>
            <w:vAlign w:val="center"/>
          </w:tcPr>
          <w:p w14:paraId="69B0419C" w14:textId="77777777" w:rsidR="00C16CE8" w:rsidRPr="00483F7D" w:rsidRDefault="00C16CE8" w:rsidP="00C16CE8">
            <w:pPr>
              <w:spacing w:before="20" w:after="20"/>
              <w:jc w:val="right"/>
              <w:rPr>
                <w:b/>
                <w:noProof/>
                <w:sz w:val="20"/>
                <w:szCs w:val="20"/>
              </w:rPr>
            </w:pPr>
            <w:r w:rsidRPr="00483F7D">
              <w:rPr>
                <w:sz w:val="20"/>
              </w:rPr>
              <w:t>32,173</w:t>
            </w:r>
          </w:p>
        </w:tc>
      </w:tr>
      <w:tr w:rsidR="00C16CE8" w:rsidRPr="00483F7D" w14:paraId="3452CF55" w14:textId="77777777" w:rsidTr="00C1660F">
        <w:trPr>
          <w:trHeight w:hRule="exact" w:val="317"/>
        </w:trPr>
        <w:tc>
          <w:tcPr>
            <w:tcW w:w="2876" w:type="dxa"/>
            <w:vMerge w:val="restart"/>
            <w:vAlign w:val="center"/>
          </w:tcPr>
          <w:p w14:paraId="7530ECA2" w14:textId="77777777" w:rsidR="00C16CE8" w:rsidRPr="00483F7D" w:rsidRDefault="00C16CE8" w:rsidP="00C16CE8">
            <w:pPr>
              <w:spacing w:before="60" w:after="60"/>
              <w:rPr>
                <w:i/>
                <w:iCs/>
                <w:noProof/>
              </w:rPr>
            </w:pPr>
            <w:r w:rsidRPr="00483F7D">
              <w:rPr>
                <w:sz w:val="20"/>
              </w:rPr>
              <w:t xml:space="preserve">Τίτλος 3: </w:t>
            </w:r>
            <w:r w:rsidRPr="00483F7D">
              <w:rPr>
                <w:i/>
                <w:sz w:val="20"/>
              </w:rPr>
              <w:t>(επιχειρησιακές δαπάνες, συμπεριλαμβανομένης της τελωνειακής συνεργασίας)</w:t>
            </w:r>
          </w:p>
        </w:tc>
        <w:tc>
          <w:tcPr>
            <w:tcW w:w="1275" w:type="dxa"/>
            <w:vAlign w:val="center"/>
          </w:tcPr>
          <w:p w14:paraId="70F3054D" w14:textId="77777777" w:rsidR="00C16CE8" w:rsidRPr="00483F7D" w:rsidRDefault="00C16CE8" w:rsidP="00C16CE8">
            <w:pPr>
              <w:spacing w:before="40" w:after="40"/>
              <w:rPr>
                <w:noProof/>
                <w:sz w:val="18"/>
              </w:rPr>
            </w:pPr>
            <w:r w:rsidRPr="00483F7D">
              <w:rPr>
                <w:sz w:val="18"/>
              </w:rPr>
              <w:t>Αναλήψεις υποχρεώσεων</w:t>
            </w:r>
          </w:p>
        </w:tc>
        <w:tc>
          <w:tcPr>
            <w:tcW w:w="1155" w:type="dxa"/>
            <w:vAlign w:val="center"/>
          </w:tcPr>
          <w:p w14:paraId="361F3DF4" w14:textId="77777777" w:rsidR="00C16CE8" w:rsidRPr="00483F7D" w:rsidRDefault="00C16CE8" w:rsidP="00C16CE8">
            <w:pPr>
              <w:spacing w:before="40" w:after="40"/>
              <w:jc w:val="center"/>
              <w:rPr>
                <w:noProof/>
                <w:sz w:val="14"/>
              </w:rPr>
            </w:pPr>
            <w:r w:rsidRPr="00483F7D">
              <w:rPr>
                <w:sz w:val="14"/>
              </w:rPr>
              <w:t>(3α)</w:t>
            </w:r>
          </w:p>
        </w:tc>
        <w:tc>
          <w:tcPr>
            <w:tcW w:w="679" w:type="dxa"/>
            <w:shd w:val="clear" w:color="auto" w:fill="auto"/>
            <w:vAlign w:val="center"/>
          </w:tcPr>
          <w:p w14:paraId="67989188" w14:textId="77777777" w:rsidR="00C16CE8" w:rsidRPr="00483F7D" w:rsidRDefault="00C16CE8" w:rsidP="00C16CE8">
            <w:pPr>
              <w:spacing w:before="40" w:after="40"/>
              <w:jc w:val="right"/>
              <w:rPr>
                <w:bCs/>
                <w:noProof/>
                <w:sz w:val="20"/>
                <w:szCs w:val="20"/>
              </w:rPr>
            </w:pPr>
            <w:r w:rsidRPr="00483F7D">
              <w:rPr>
                <w:sz w:val="20"/>
              </w:rPr>
              <w:t>0</w:t>
            </w:r>
          </w:p>
        </w:tc>
        <w:tc>
          <w:tcPr>
            <w:tcW w:w="680" w:type="dxa"/>
            <w:shd w:val="clear" w:color="auto" w:fill="auto"/>
            <w:vAlign w:val="center"/>
          </w:tcPr>
          <w:p w14:paraId="6313EAB7" w14:textId="77777777" w:rsidR="00C16CE8" w:rsidRPr="00483F7D" w:rsidRDefault="00C16CE8" w:rsidP="00C16CE8">
            <w:pPr>
              <w:spacing w:before="40" w:after="40"/>
              <w:jc w:val="right"/>
              <w:rPr>
                <w:bCs/>
                <w:noProof/>
                <w:sz w:val="20"/>
                <w:szCs w:val="20"/>
              </w:rPr>
            </w:pPr>
            <w:r w:rsidRPr="00483F7D">
              <w:rPr>
                <w:sz w:val="20"/>
              </w:rPr>
              <w:t>0</w:t>
            </w:r>
          </w:p>
        </w:tc>
        <w:tc>
          <w:tcPr>
            <w:tcW w:w="816" w:type="dxa"/>
            <w:shd w:val="clear" w:color="auto" w:fill="auto"/>
            <w:vAlign w:val="center"/>
          </w:tcPr>
          <w:p w14:paraId="0E20664B" w14:textId="77777777" w:rsidR="00C16CE8" w:rsidRPr="00483F7D" w:rsidRDefault="00C16CE8" w:rsidP="00C16CE8">
            <w:pPr>
              <w:spacing w:before="40" w:after="40"/>
              <w:jc w:val="right"/>
              <w:rPr>
                <w:bCs/>
                <w:noProof/>
                <w:sz w:val="20"/>
                <w:szCs w:val="20"/>
              </w:rPr>
            </w:pPr>
            <w:r w:rsidRPr="00483F7D">
              <w:rPr>
                <w:sz w:val="20"/>
              </w:rPr>
              <w:t>9,742</w:t>
            </w:r>
          </w:p>
        </w:tc>
        <w:tc>
          <w:tcPr>
            <w:tcW w:w="816" w:type="dxa"/>
            <w:shd w:val="clear" w:color="auto" w:fill="auto"/>
            <w:vAlign w:val="center"/>
          </w:tcPr>
          <w:p w14:paraId="0C010FBC" w14:textId="77777777" w:rsidR="00C16CE8" w:rsidRPr="00483F7D" w:rsidRDefault="00C16CE8" w:rsidP="00C16CE8">
            <w:pPr>
              <w:spacing w:before="40" w:after="40"/>
              <w:jc w:val="right"/>
              <w:rPr>
                <w:bCs/>
                <w:noProof/>
                <w:sz w:val="20"/>
                <w:szCs w:val="20"/>
              </w:rPr>
            </w:pPr>
            <w:r w:rsidRPr="00483F7D">
              <w:rPr>
                <w:sz w:val="20"/>
              </w:rPr>
              <w:t>11,041</w:t>
            </w:r>
          </w:p>
        </w:tc>
        <w:tc>
          <w:tcPr>
            <w:tcW w:w="816" w:type="dxa"/>
            <w:shd w:val="clear" w:color="auto" w:fill="auto"/>
            <w:vAlign w:val="center"/>
          </w:tcPr>
          <w:p w14:paraId="1FC55386" w14:textId="77777777" w:rsidR="00C16CE8" w:rsidRPr="00483F7D" w:rsidRDefault="00C16CE8" w:rsidP="00C16CE8">
            <w:pPr>
              <w:spacing w:before="40" w:after="40"/>
              <w:jc w:val="right"/>
              <w:rPr>
                <w:bCs/>
                <w:noProof/>
                <w:sz w:val="20"/>
                <w:szCs w:val="20"/>
              </w:rPr>
            </w:pPr>
            <w:r w:rsidRPr="00483F7D">
              <w:rPr>
                <w:sz w:val="20"/>
              </w:rPr>
              <w:t>11,262</w:t>
            </w:r>
          </w:p>
        </w:tc>
        <w:tc>
          <w:tcPr>
            <w:tcW w:w="952" w:type="dxa"/>
            <w:shd w:val="clear" w:color="auto" w:fill="auto"/>
            <w:vAlign w:val="center"/>
          </w:tcPr>
          <w:p w14:paraId="7022064E" w14:textId="77777777" w:rsidR="00C16CE8" w:rsidRPr="00483F7D" w:rsidRDefault="00C16CE8" w:rsidP="00C16CE8">
            <w:pPr>
              <w:spacing w:before="40" w:after="40"/>
              <w:jc w:val="right"/>
              <w:rPr>
                <w:bCs/>
                <w:noProof/>
                <w:sz w:val="20"/>
                <w:szCs w:val="20"/>
              </w:rPr>
            </w:pPr>
            <w:r w:rsidRPr="00483F7D">
              <w:rPr>
                <w:sz w:val="20"/>
              </w:rPr>
              <w:t>12,636</w:t>
            </w:r>
          </w:p>
        </w:tc>
        <w:tc>
          <w:tcPr>
            <w:tcW w:w="816" w:type="dxa"/>
            <w:shd w:val="clear" w:color="auto" w:fill="auto"/>
            <w:vAlign w:val="center"/>
          </w:tcPr>
          <w:p w14:paraId="6458DB3D" w14:textId="77777777" w:rsidR="00C16CE8" w:rsidRPr="00483F7D" w:rsidRDefault="00C16CE8" w:rsidP="00C16CE8">
            <w:pPr>
              <w:spacing w:before="40" w:after="40"/>
              <w:jc w:val="right"/>
              <w:rPr>
                <w:bCs/>
                <w:noProof/>
                <w:sz w:val="20"/>
                <w:szCs w:val="20"/>
              </w:rPr>
            </w:pPr>
            <w:r w:rsidRPr="00483F7D">
              <w:rPr>
                <w:sz w:val="20"/>
              </w:rPr>
              <w:t>14,060</w:t>
            </w:r>
          </w:p>
        </w:tc>
        <w:tc>
          <w:tcPr>
            <w:tcW w:w="816" w:type="dxa"/>
            <w:shd w:val="clear" w:color="auto" w:fill="auto"/>
            <w:vAlign w:val="center"/>
          </w:tcPr>
          <w:p w14:paraId="3FDFAB92" w14:textId="77777777" w:rsidR="00C16CE8" w:rsidRPr="00483F7D" w:rsidRDefault="00C16CE8" w:rsidP="00C16CE8">
            <w:pPr>
              <w:spacing w:before="40" w:after="40"/>
              <w:jc w:val="right"/>
              <w:rPr>
                <w:bCs/>
                <w:noProof/>
                <w:sz w:val="20"/>
                <w:szCs w:val="20"/>
              </w:rPr>
            </w:pPr>
            <w:r w:rsidRPr="00483F7D">
              <w:rPr>
                <w:sz w:val="20"/>
              </w:rPr>
              <w:t>15,536</w:t>
            </w:r>
          </w:p>
        </w:tc>
        <w:tc>
          <w:tcPr>
            <w:tcW w:w="816" w:type="dxa"/>
            <w:shd w:val="clear" w:color="auto" w:fill="auto"/>
            <w:vAlign w:val="center"/>
          </w:tcPr>
          <w:p w14:paraId="02C5D5E9" w14:textId="77777777" w:rsidR="00C16CE8" w:rsidRPr="00483F7D" w:rsidRDefault="00C16CE8" w:rsidP="00C16CE8">
            <w:pPr>
              <w:spacing w:before="40" w:after="40"/>
              <w:jc w:val="right"/>
              <w:rPr>
                <w:bCs/>
                <w:noProof/>
                <w:sz w:val="20"/>
                <w:szCs w:val="20"/>
              </w:rPr>
            </w:pPr>
            <w:r w:rsidRPr="00483F7D">
              <w:rPr>
                <w:sz w:val="20"/>
              </w:rPr>
              <w:t>18,285</w:t>
            </w:r>
          </w:p>
        </w:tc>
        <w:tc>
          <w:tcPr>
            <w:tcW w:w="953" w:type="dxa"/>
            <w:shd w:val="clear" w:color="auto" w:fill="auto"/>
            <w:vAlign w:val="center"/>
          </w:tcPr>
          <w:p w14:paraId="7AAC0543" w14:textId="77777777" w:rsidR="00C16CE8" w:rsidRPr="00483F7D" w:rsidRDefault="00C16CE8" w:rsidP="00C16CE8">
            <w:pPr>
              <w:spacing w:before="40" w:after="40"/>
              <w:jc w:val="right"/>
              <w:rPr>
                <w:bCs/>
                <w:noProof/>
                <w:sz w:val="20"/>
                <w:szCs w:val="20"/>
              </w:rPr>
            </w:pPr>
            <w:r w:rsidRPr="00483F7D">
              <w:rPr>
                <w:sz w:val="20"/>
              </w:rPr>
              <w:t>92,561</w:t>
            </w:r>
          </w:p>
        </w:tc>
      </w:tr>
      <w:tr w:rsidR="00C16CE8" w:rsidRPr="00483F7D" w14:paraId="66C41A00" w14:textId="77777777" w:rsidTr="00C1660F">
        <w:trPr>
          <w:trHeight w:hRule="exact" w:val="317"/>
        </w:trPr>
        <w:tc>
          <w:tcPr>
            <w:tcW w:w="2876" w:type="dxa"/>
            <w:vMerge/>
            <w:vAlign w:val="center"/>
          </w:tcPr>
          <w:p w14:paraId="67E8C153" w14:textId="77777777" w:rsidR="00C16CE8" w:rsidRPr="00483F7D" w:rsidRDefault="00C16CE8" w:rsidP="00C16CE8">
            <w:pPr>
              <w:spacing w:before="60" w:after="60"/>
              <w:rPr>
                <w:b/>
                <w:noProof/>
                <w:sz w:val="20"/>
              </w:rPr>
            </w:pPr>
          </w:p>
        </w:tc>
        <w:tc>
          <w:tcPr>
            <w:tcW w:w="1275" w:type="dxa"/>
            <w:vAlign w:val="center"/>
          </w:tcPr>
          <w:p w14:paraId="674D77FF" w14:textId="77777777" w:rsidR="00C16CE8" w:rsidRPr="00483F7D" w:rsidRDefault="00C16CE8" w:rsidP="00C16CE8">
            <w:pPr>
              <w:spacing w:before="40" w:after="40"/>
              <w:rPr>
                <w:noProof/>
                <w:sz w:val="18"/>
              </w:rPr>
            </w:pPr>
            <w:r w:rsidRPr="00483F7D">
              <w:rPr>
                <w:sz w:val="18"/>
              </w:rPr>
              <w:t>Πληρωμές</w:t>
            </w:r>
          </w:p>
        </w:tc>
        <w:tc>
          <w:tcPr>
            <w:tcW w:w="1155" w:type="dxa"/>
            <w:vAlign w:val="center"/>
          </w:tcPr>
          <w:p w14:paraId="22017297" w14:textId="77777777" w:rsidR="00C16CE8" w:rsidRPr="00483F7D" w:rsidRDefault="00C16CE8" w:rsidP="00C16CE8">
            <w:pPr>
              <w:spacing w:before="40" w:after="40"/>
              <w:jc w:val="center"/>
              <w:rPr>
                <w:noProof/>
                <w:sz w:val="14"/>
              </w:rPr>
            </w:pPr>
            <w:r w:rsidRPr="00483F7D">
              <w:rPr>
                <w:sz w:val="14"/>
              </w:rPr>
              <w:t>(3β)</w:t>
            </w:r>
          </w:p>
        </w:tc>
        <w:tc>
          <w:tcPr>
            <w:tcW w:w="679" w:type="dxa"/>
            <w:shd w:val="clear" w:color="auto" w:fill="auto"/>
            <w:vAlign w:val="center"/>
          </w:tcPr>
          <w:p w14:paraId="2C95D57C" w14:textId="77777777" w:rsidR="00C16CE8" w:rsidRPr="00483F7D" w:rsidRDefault="00C16CE8" w:rsidP="00C16CE8">
            <w:pPr>
              <w:spacing w:before="40" w:after="40"/>
              <w:jc w:val="right"/>
              <w:rPr>
                <w:bCs/>
                <w:noProof/>
                <w:sz w:val="20"/>
                <w:szCs w:val="20"/>
              </w:rPr>
            </w:pPr>
            <w:r w:rsidRPr="00483F7D">
              <w:rPr>
                <w:sz w:val="20"/>
              </w:rPr>
              <w:t>0</w:t>
            </w:r>
          </w:p>
        </w:tc>
        <w:tc>
          <w:tcPr>
            <w:tcW w:w="680" w:type="dxa"/>
            <w:shd w:val="clear" w:color="auto" w:fill="auto"/>
            <w:vAlign w:val="center"/>
          </w:tcPr>
          <w:p w14:paraId="0B2BCC98" w14:textId="77777777" w:rsidR="00C16CE8" w:rsidRPr="00483F7D" w:rsidRDefault="00C16CE8" w:rsidP="00C16CE8">
            <w:pPr>
              <w:spacing w:before="40" w:after="40"/>
              <w:jc w:val="right"/>
              <w:rPr>
                <w:bCs/>
                <w:noProof/>
                <w:sz w:val="20"/>
                <w:szCs w:val="20"/>
              </w:rPr>
            </w:pPr>
            <w:r w:rsidRPr="00483F7D">
              <w:rPr>
                <w:sz w:val="20"/>
              </w:rPr>
              <w:t>0</w:t>
            </w:r>
          </w:p>
        </w:tc>
        <w:tc>
          <w:tcPr>
            <w:tcW w:w="816" w:type="dxa"/>
            <w:shd w:val="clear" w:color="auto" w:fill="auto"/>
            <w:vAlign w:val="center"/>
          </w:tcPr>
          <w:p w14:paraId="2A548ED4" w14:textId="77777777" w:rsidR="00C16CE8" w:rsidRPr="00483F7D" w:rsidRDefault="00C16CE8" w:rsidP="00C16CE8">
            <w:pPr>
              <w:spacing w:before="40" w:after="40"/>
              <w:jc w:val="right"/>
              <w:rPr>
                <w:bCs/>
                <w:noProof/>
                <w:sz w:val="20"/>
                <w:szCs w:val="20"/>
              </w:rPr>
            </w:pPr>
            <w:r w:rsidRPr="00483F7D">
              <w:rPr>
                <w:sz w:val="20"/>
              </w:rPr>
              <w:t>9,742</w:t>
            </w:r>
          </w:p>
        </w:tc>
        <w:tc>
          <w:tcPr>
            <w:tcW w:w="816" w:type="dxa"/>
            <w:shd w:val="clear" w:color="auto" w:fill="auto"/>
            <w:vAlign w:val="center"/>
          </w:tcPr>
          <w:p w14:paraId="08F829EB" w14:textId="77777777" w:rsidR="00C16CE8" w:rsidRPr="00483F7D" w:rsidRDefault="00C16CE8" w:rsidP="00C16CE8">
            <w:pPr>
              <w:spacing w:before="40" w:after="40"/>
              <w:jc w:val="right"/>
              <w:rPr>
                <w:bCs/>
                <w:noProof/>
                <w:sz w:val="20"/>
                <w:szCs w:val="20"/>
              </w:rPr>
            </w:pPr>
            <w:r w:rsidRPr="00483F7D">
              <w:rPr>
                <w:sz w:val="20"/>
              </w:rPr>
              <w:t>11,041</w:t>
            </w:r>
          </w:p>
        </w:tc>
        <w:tc>
          <w:tcPr>
            <w:tcW w:w="816" w:type="dxa"/>
            <w:shd w:val="clear" w:color="auto" w:fill="auto"/>
            <w:vAlign w:val="center"/>
          </w:tcPr>
          <w:p w14:paraId="336CDA1D" w14:textId="77777777" w:rsidR="00C16CE8" w:rsidRPr="00483F7D" w:rsidRDefault="00C16CE8" w:rsidP="00C16CE8">
            <w:pPr>
              <w:spacing w:before="40" w:after="40"/>
              <w:jc w:val="right"/>
              <w:rPr>
                <w:bCs/>
                <w:noProof/>
                <w:sz w:val="20"/>
                <w:szCs w:val="20"/>
              </w:rPr>
            </w:pPr>
            <w:r w:rsidRPr="00483F7D">
              <w:rPr>
                <w:sz w:val="20"/>
              </w:rPr>
              <w:t>11,262</w:t>
            </w:r>
          </w:p>
        </w:tc>
        <w:tc>
          <w:tcPr>
            <w:tcW w:w="952" w:type="dxa"/>
            <w:shd w:val="clear" w:color="auto" w:fill="auto"/>
            <w:vAlign w:val="center"/>
          </w:tcPr>
          <w:p w14:paraId="71F857C9" w14:textId="77777777" w:rsidR="00C16CE8" w:rsidRPr="00483F7D" w:rsidRDefault="00C16CE8" w:rsidP="00C16CE8">
            <w:pPr>
              <w:spacing w:before="40" w:after="40"/>
              <w:jc w:val="right"/>
              <w:rPr>
                <w:bCs/>
                <w:noProof/>
                <w:sz w:val="20"/>
                <w:szCs w:val="20"/>
              </w:rPr>
            </w:pPr>
            <w:r w:rsidRPr="00483F7D">
              <w:rPr>
                <w:sz w:val="20"/>
              </w:rPr>
              <w:t>12,636</w:t>
            </w:r>
          </w:p>
        </w:tc>
        <w:tc>
          <w:tcPr>
            <w:tcW w:w="816" w:type="dxa"/>
            <w:shd w:val="clear" w:color="auto" w:fill="auto"/>
            <w:vAlign w:val="center"/>
          </w:tcPr>
          <w:p w14:paraId="5F4C9E46" w14:textId="77777777" w:rsidR="00C16CE8" w:rsidRPr="00483F7D" w:rsidRDefault="00C16CE8" w:rsidP="00C16CE8">
            <w:pPr>
              <w:spacing w:before="40" w:after="40"/>
              <w:jc w:val="right"/>
              <w:rPr>
                <w:bCs/>
                <w:noProof/>
                <w:sz w:val="20"/>
                <w:szCs w:val="20"/>
              </w:rPr>
            </w:pPr>
            <w:r w:rsidRPr="00483F7D">
              <w:rPr>
                <w:sz w:val="20"/>
              </w:rPr>
              <w:t>14,060</w:t>
            </w:r>
          </w:p>
        </w:tc>
        <w:tc>
          <w:tcPr>
            <w:tcW w:w="816" w:type="dxa"/>
            <w:shd w:val="clear" w:color="auto" w:fill="auto"/>
            <w:vAlign w:val="center"/>
          </w:tcPr>
          <w:p w14:paraId="1960BEC5" w14:textId="77777777" w:rsidR="00C16CE8" w:rsidRPr="00483F7D" w:rsidRDefault="00C16CE8" w:rsidP="00C16CE8">
            <w:pPr>
              <w:spacing w:before="40" w:after="40"/>
              <w:jc w:val="right"/>
              <w:rPr>
                <w:bCs/>
                <w:noProof/>
                <w:sz w:val="20"/>
                <w:szCs w:val="20"/>
              </w:rPr>
            </w:pPr>
            <w:r w:rsidRPr="00483F7D">
              <w:rPr>
                <w:sz w:val="20"/>
              </w:rPr>
              <w:t>15,536</w:t>
            </w:r>
          </w:p>
        </w:tc>
        <w:tc>
          <w:tcPr>
            <w:tcW w:w="816" w:type="dxa"/>
            <w:shd w:val="clear" w:color="auto" w:fill="auto"/>
            <w:vAlign w:val="center"/>
          </w:tcPr>
          <w:p w14:paraId="2F834F27" w14:textId="77777777" w:rsidR="00C16CE8" w:rsidRPr="00483F7D" w:rsidRDefault="00C16CE8" w:rsidP="00C16CE8">
            <w:pPr>
              <w:spacing w:before="40" w:after="40"/>
              <w:jc w:val="right"/>
              <w:rPr>
                <w:bCs/>
                <w:noProof/>
                <w:sz w:val="20"/>
                <w:szCs w:val="20"/>
              </w:rPr>
            </w:pPr>
            <w:r w:rsidRPr="00483F7D">
              <w:rPr>
                <w:sz w:val="20"/>
              </w:rPr>
              <w:t>18,285</w:t>
            </w:r>
          </w:p>
        </w:tc>
        <w:tc>
          <w:tcPr>
            <w:tcW w:w="953" w:type="dxa"/>
            <w:shd w:val="clear" w:color="auto" w:fill="auto"/>
            <w:vAlign w:val="center"/>
          </w:tcPr>
          <w:p w14:paraId="5B805EDD" w14:textId="77777777" w:rsidR="00C16CE8" w:rsidRPr="00483F7D" w:rsidRDefault="00C16CE8" w:rsidP="00C16CE8">
            <w:pPr>
              <w:spacing w:before="40" w:after="40"/>
              <w:jc w:val="right"/>
              <w:rPr>
                <w:bCs/>
                <w:noProof/>
                <w:sz w:val="20"/>
                <w:szCs w:val="20"/>
              </w:rPr>
            </w:pPr>
            <w:r w:rsidRPr="00483F7D">
              <w:rPr>
                <w:sz w:val="20"/>
              </w:rPr>
              <w:t>92,561</w:t>
            </w:r>
          </w:p>
        </w:tc>
      </w:tr>
      <w:tr w:rsidR="00C16CE8" w:rsidRPr="00483F7D" w14:paraId="25629410" w14:textId="77777777" w:rsidTr="00C1660F">
        <w:trPr>
          <w:trHeight w:hRule="exact" w:val="599"/>
        </w:trPr>
        <w:tc>
          <w:tcPr>
            <w:tcW w:w="2876" w:type="dxa"/>
            <w:vMerge w:val="restart"/>
            <w:vAlign w:val="center"/>
          </w:tcPr>
          <w:p w14:paraId="0C266A6A" w14:textId="77777777" w:rsidR="00C16CE8" w:rsidRPr="00483F7D" w:rsidRDefault="00C16CE8" w:rsidP="00C16CE8">
            <w:pPr>
              <w:jc w:val="center"/>
              <w:rPr>
                <w:noProof/>
              </w:rPr>
            </w:pPr>
            <w:r w:rsidRPr="00483F7D">
              <w:rPr>
                <w:b/>
                <w:sz w:val="22"/>
              </w:rPr>
              <w:t>ΣΥΝΟΛΟ πιστώσεων</w:t>
            </w:r>
            <w:r w:rsidRPr="00483F7D">
              <w:t xml:space="preserve"> </w:t>
            </w:r>
            <w:r w:rsidRPr="00483F7D">
              <w:br/>
            </w:r>
            <w:r w:rsidRPr="00483F7D">
              <w:rPr>
                <w:b/>
                <w:sz w:val="22"/>
              </w:rPr>
              <w:t>για την Τελωνειακή Αρχή της ΕΕ</w:t>
            </w:r>
          </w:p>
        </w:tc>
        <w:tc>
          <w:tcPr>
            <w:tcW w:w="1275" w:type="dxa"/>
            <w:vAlign w:val="center"/>
          </w:tcPr>
          <w:p w14:paraId="38CD1403" w14:textId="77777777" w:rsidR="00C16CE8" w:rsidRPr="00483F7D" w:rsidRDefault="00C16CE8" w:rsidP="00C16CE8">
            <w:pPr>
              <w:rPr>
                <w:noProof/>
                <w:sz w:val="18"/>
              </w:rPr>
            </w:pPr>
            <w:r w:rsidRPr="00483F7D">
              <w:rPr>
                <w:sz w:val="18"/>
              </w:rPr>
              <w:t>Αναλήψεις υποχρεώσεων</w:t>
            </w:r>
          </w:p>
        </w:tc>
        <w:tc>
          <w:tcPr>
            <w:tcW w:w="1155" w:type="dxa"/>
            <w:vAlign w:val="center"/>
          </w:tcPr>
          <w:p w14:paraId="2E859713" w14:textId="77777777" w:rsidR="00C16CE8" w:rsidRPr="00483F7D" w:rsidRDefault="00C16CE8" w:rsidP="00C16CE8">
            <w:pPr>
              <w:jc w:val="center"/>
              <w:rPr>
                <w:noProof/>
                <w:sz w:val="14"/>
              </w:rPr>
            </w:pPr>
            <w:r w:rsidRPr="00483F7D">
              <w:rPr>
                <w:sz w:val="14"/>
              </w:rPr>
              <w:t>=1+1α+3α</w:t>
            </w:r>
          </w:p>
        </w:tc>
        <w:tc>
          <w:tcPr>
            <w:tcW w:w="679" w:type="dxa"/>
            <w:shd w:val="clear" w:color="auto" w:fill="auto"/>
            <w:vAlign w:val="center"/>
          </w:tcPr>
          <w:p w14:paraId="56018187" w14:textId="77777777" w:rsidR="00C16CE8" w:rsidRPr="00483F7D" w:rsidRDefault="00C16CE8" w:rsidP="00C16CE8">
            <w:pPr>
              <w:spacing w:before="0" w:after="0"/>
              <w:jc w:val="right"/>
              <w:rPr>
                <w:noProof/>
                <w:sz w:val="20"/>
                <w:szCs w:val="20"/>
              </w:rPr>
            </w:pPr>
            <w:r w:rsidRPr="00483F7D">
              <w:rPr>
                <w:sz w:val="20"/>
              </w:rPr>
              <w:t>0,928</w:t>
            </w:r>
          </w:p>
        </w:tc>
        <w:tc>
          <w:tcPr>
            <w:tcW w:w="680" w:type="dxa"/>
            <w:shd w:val="clear" w:color="auto" w:fill="auto"/>
            <w:vAlign w:val="center"/>
          </w:tcPr>
          <w:p w14:paraId="12D2F8C7" w14:textId="77777777" w:rsidR="00C16CE8" w:rsidRPr="00483F7D" w:rsidRDefault="00C16CE8" w:rsidP="00C16CE8">
            <w:pPr>
              <w:spacing w:before="0" w:after="0"/>
              <w:rPr>
                <w:noProof/>
                <w:sz w:val="20"/>
                <w:szCs w:val="20"/>
              </w:rPr>
            </w:pPr>
            <w:r w:rsidRPr="00483F7D">
              <w:rPr>
                <w:sz w:val="20"/>
              </w:rPr>
              <w:t>2,054</w:t>
            </w:r>
          </w:p>
        </w:tc>
        <w:tc>
          <w:tcPr>
            <w:tcW w:w="816" w:type="dxa"/>
            <w:shd w:val="clear" w:color="auto" w:fill="auto"/>
            <w:vAlign w:val="center"/>
          </w:tcPr>
          <w:p w14:paraId="429EB0E0" w14:textId="77777777" w:rsidR="00C16CE8" w:rsidRPr="00483F7D" w:rsidRDefault="00C16CE8" w:rsidP="00C16CE8">
            <w:pPr>
              <w:spacing w:before="0" w:after="0"/>
              <w:jc w:val="right"/>
              <w:rPr>
                <w:noProof/>
                <w:sz w:val="20"/>
                <w:szCs w:val="20"/>
              </w:rPr>
            </w:pPr>
            <w:r w:rsidRPr="00483F7D">
              <w:rPr>
                <w:sz w:val="20"/>
              </w:rPr>
              <w:t>18,236</w:t>
            </w:r>
          </w:p>
        </w:tc>
        <w:tc>
          <w:tcPr>
            <w:tcW w:w="816" w:type="dxa"/>
            <w:shd w:val="clear" w:color="auto" w:fill="auto"/>
            <w:vAlign w:val="center"/>
          </w:tcPr>
          <w:p w14:paraId="5CF45F42" w14:textId="77777777" w:rsidR="00C16CE8" w:rsidRPr="00483F7D" w:rsidRDefault="00C16CE8" w:rsidP="00C16CE8">
            <w:pPr>
              <w:spacing w:before="0" w:after="0"/>
              <w:jc w:val="right"/>
              <w:rPr>
                <w:noProof/>
                <w:sz w:val="20"/>
                <w:szCs w:val="20"/>
              </w:rPr>
            </w:pPr>
            <w:r w:rsidRPr="00483F7D">
              <w:rPr>
                <w:sz w:val="20"/>
              </w:rPr>
              <w:t>21,546</w:t>
            </w:r>
          </w:p>
        </w:tc>
        <w:tc>
          <w:tcPr>
            <w:tcW w:w="816" w:type="dxa"/>
            <w:shd w:val="clear" w:color="auto" w:fill="auto"/>
            <w:vAlign w:val="center"/>
          </w:tcPr>
          <w:p w14:paraId="25F757AC" w14:textId="77777777" w:rsidR="00C16CE8" w:rsidRPr="00483F7D" w:rsidRDefault="00C16CE8" w:rsidP="00C16CE8">
            <w:pPr>
              <w:spacing w:before="0" w:after="0"/>
              <w:jc w:val="right"/>
              <w:rPr>
                <w:noProof/>
                <w:sz w:val="20"/>
                <w:szCs w:val="20"/>
              </w:rPr>
            </w:pPr>
            <w:r w:rsidRPr="00483F7D">
              <w:rPr>
                <w:sz w:val="20"/>
              </w:rPr>
              <w:t>27,371</w:t>
            </w:r>
          </w:p>
        </w:tc>
        <w:tc>
          <w:tcPr>
            <w:tcW w:w="952" w:type="dxa"/>
            <w:shd w:val="clear" w:color="auto" w:fill="auto"/>
            <w:vAlign w:val="center"/>
          </w:tcPr>
          <w:p w14:paraId="1CEB1C28" w14:textId="77777777" w:rsidR="00C16CE8" w:rsidRPr="00483F7D" w:rsidRDefault="00C16CE8" w:rsidP="00C16CE8">
            <w:pPr>
              <w:spacing w:before="0" w:after="0"/>
              <w:jc w:val="right"/>
              <w:rPr>
                <w:noProof/>
                <w:sz w:val="20"/>
                <w:szCs w:val="20"/>
              </w:rPr>
            </w:pPr>
            <w:r w:rsidRPr="00483F7D">
              <w:rPr>
                <w:sz w:val="20"/>
              </w:rPr>
              <w:t>37,493</w:t>
            </w:r>
          </w:p>
        </w:tc>
        <w:tc>
          <w:tcPr>
            <w:tcW w:w="816" w:type="dxa"/>
            <w:shd w:val="clear" w:color="auto" w:fill="auto"/>
            <w:vAlign w:val="center"/>
          </w:tcPr>
          <w:p w14:paraId="02A3E6A1" w14:textId="77777777" w:rsidR="00C16CE8" w:rsidRPr="00483F7D" w:rsidRDefault="00C16CE8" w:rsidP="00C16CE8">
            <w:pPr>
              <w:spacing w:before="0" w:after="0"/>
              <w:jc w:val="right"/>
              <w:rPr>
                <w:noProof/>
                <w:sz w:val="20"/>
                <w:szCs w:val="20"/>
              </w:rPr>
            </w:pPr>
            <w:r w:rsidRPr="00483F7D">
              <w:rPr>
                <w:sz w:val="20"/>
              </w:rPr>
              <w:t>48,489</w:t>
            </w:r>
          </w:p>
        </w:tc>
        <w:tc>
          <w:tcPr>
            <w:tcW w:w="816" w:type="dxa"/>
            <w:shd w:val="clear" w:color="auto" w:fill="auto"/>
            <w:vAlign w:val="center"/>
          </w:tcPr>
          <w:p w14:paraId="64D35586" w14:textId="77777777" w:rsidR="00C16CE8" w:rsidRPr="00483F7D" w:rsidRDefault="00C16CE8" w:rsidP="00C16CE8">
            <w:pPr>
              <w:spacing w:before="0" w:after="0"/>
              <w:jc w:val="right"/>
              <w:rPr>
                <w:noProof/>
                <w:sz w:val="20"/>
                <w:szCs w:val="20"/>
              </w:rPr>
            </w:pPr>
            <w:r w:rsidRPr="00483F7D">
              <w:rPr>
                <w:sz w:val="20"/>
              </w:rPr>
              <w:t>59,169</w:t>
            </w:r>
          </w:p>
        </w:tc>
        <w:tc>
          <w:tcPr>
            <w:tcW w:w="816" w:type="dxa"/>
            <w:shd w:val="clear" w:color="auto" w:fill="auto"/>
            <w:vAlign w:val="center"/>
          </w:tcPr>
          <w:p w14:paraId="1A84E7E0" w14:textId="77777777" w:rsidR="00C16CE8" w:rsidRPr="00483F7D" w:rsidRDefault="00C16CE8" w:rsidP="00C16CE8">
            <w:pPr>
              <w:spacing w:before="0" w:after="0"/>
              <w:jc w:val="right"/>
              <w:rPr>
                <w:bCs/>
                <w:noProof/>
                <w:sz w:val="20"/>
                <w:szCs w:val="20"/>
              </w:rPr>
            </w:pPr>
            <w:r w:rsidRPr="00483F7D">
              <w:rPr>
                <w:sz w:val="20"/>
              </w:rPr>
              <w:t>68,166</w:t>
            </w:r>
          </w:p>
        </w:tc>
        <w:tc>
          <w:tcPr>
            <w:tcW w:w="953" w:type="dxa"/>
            <w:shd w:val="clear" w:color="auto" w:fill="auto"/>
            <w:vAlign w:val="center"/>
          </w:tcPr>
          <w:p w14:paraId="77C03FF5" w14:textId="77777777" w:rsidR="00C16CE8" w:rsidRPr="00483F7D" w:rsidRDefault="00C16CE8" w:rsidP="00C16CE8">
            <w:pPr>
              <w:spacing w:before="0" w:after="0"/>
              <w:jc w:val="right"/>
              <w:rPr>
                <w:bCs/>
                <w:noProof/>
                <w:sz w:val="20"/>
                <w:szCs w:val="20"/>
              </w:rPr>
            </w:pPr>
            <w:r w:rsidRPr="00483F7D">
              <w:rPr>
                <w:sz w:val="20"/>
              </w:rPr>
              <w:t>283,452</w:t>
            </w:r>
          </w:p>
        </w:tc>
      </w:tr>
      <w:tr w:rsidR="00C16CE8" w:rsidRPr="00483F7D" w14:paraId="493786CC" w14:textId="77777777" w:rsidTr="00C1660F">
        <w:trPr>
          <w:trHeight w:hRule="exact" w:val="481"/>
        </w:trPr>
        <w:tc>
          <w:tcPr>
            <w:tcW w:w="2876" w:type="dxa"/>
            <w:vMerge/>
            <w:vAlign w:val="center"/>
          </w:tcPr>
          <w:p w14:paraId="51D6FF9B" w14:textId="77777777" w:rsidR="00C16CE8" w:rsidRPr="00483F7D" w:rsidRDefault="00C16CE8" w:rsidP="00C16CE8">
            <w:pPr>
              <w:rPr>
                <w:b/>
                <w:noProof/>
              </w:rPr>
            </w:pPr>
          </w:p>
        </w:tc>
        <w:tc>
          <w:tcPr>
            <w:tcW w:w="1275" w:type="dxa"/>
            <w:vAlign w:val="center"/>
          </w:tcPr>
          <w:p w14:paraId="4018B653" w14:textId="77777777" w:rsidR="00C16CE8" w:rsidRPr="00483F7D" w:rsidRDefault="00C16CE8" w:rsidP="00C16CE8">
            <w:pPr>
              <w:rPr>
                <w:noProof/>
                <w:sz w:val="18"/>
              </w:rPr>
            </w:pPr>
            <w:r w:rsidRPr="00483F7D">
              <w:rPr>
                <w:sz w:val="18"/>
              </w:rPr>
              <w:t>Πληρωμές</w:t>
            </w:r>
          </w:p>
        </w:tc>
        <w:tc>
          <w:tcPr>
            <w:tcW w:w="1155" w:type="dxa"/>
            <w:vAlign w:val="center"/>
          </w:tcPr>
          <w:p w14:paraId="0F175FE7" w14:textId="77777777" w:rsidR="00C16CE8" w:rsidRPr="00483F7D" w:rsidRDefault="00C16CE8" w:rsidP="00C16CE8">
            <w:pPr>
              <w:jc w:val="center"/>
              <w:rPr>
                <w:noProof/>
                <w:sz w:val="14"/>
              </w:rPr>
            </w:pPr>
            <w:r w:rsidRPr="00483F7D">
              <w:rPr>
                <w:sz w:val="14"/>
              </w:rPr>
              <w:t>=2+2α+3β</w:t>
            </w:r>
          </w:p>
        </w:tc>
        <w:tc>
          <w:tcPr>
            <w:tcW w:w="679" w:type="dxa"/>
            <w:shd w:val="clear" w:color="auto" w:fill="auto"/>
            <w:vAlign w:val="center"/>
          </w:tcPr>
          <w:p w14:paraId="0EC6DAEA" w14:textId="77777777" w:rsidR="00C16CE8" w:rsidRPr="00483F7D" w:rsidRDefault="00C16CE8" w:rsidP="00C16CE8">
            <w:pPr>
              <w:spacing w:before="20" w:after="20"/>
              <w:jc w:val="right"/>
              <w:rPr>
                <w:noProof/>
                <w:sz w:val="20"/>
                <w:szCs w:val="20"/>
              </w:rPr>
            </w:pPr>
            <w:r w:rsidRPr="00483F7D">
              <w:rPr>
                <w:sz w:val="20"/>
              </w:rPr>
              <w:t>0,928</w:t>
            </w:r>
          </w:p>
        </w:tc>
        <w:tc>
          <w:tcPr>
            <w:tcW w:w="680" w:type="dxa"/>
            <w:shd w:val="clear" w:color="auto" w:fill="auto"/>
            <w:vAlign w:val="center"/>
          </w:tcPr>
          <w:p w14:paraId="7DC90D1C" w14:textId="77777777" w:rsidR="00C16CE8" w:rsidRPr="00483F7D" w:rsidRDefault="00C16CE8" w:rsidP="00C16CE8">
            <w:pPr>
              <w:spacing w:before="20" w:after="20"/>
              <w:jc w:val="right"/>
              <w:rPr>
                <w:noProof/>
                <w:sz w:val="20"/>
                <w:szCs w:val="20"/>
              </w:rPr>
            </w:pPr>
            <w:r w:rsidRPr="00483F7D">
              <w:rPr>
                <w:sz w:val="20"/>
              </w:rPr>
              <w:t>2,054</w:t>
            </w:r>
          </w:p>
        </w:tc>
        <w:tc>
          <w:tcPr>
            <w:tcW w:w="816" w:type="dxa"/>
            <w:shd w:val="clear" w:color="auto" w:fill="auto"/>
            <w:vAlign w:val="center"/>
          </w:tcPr>
          <w:p w14:paraId="2508DDAA" w14:textId="77777777" w:rsidR="00C16CE8" w:rsidRPr="00483F7D" w:rsidRDefault="00C16CE8" w:rsidP="00C16CE8">
            <w:pPr>
              <w:spacing w:before="20" w:after="20"/>
              <w:jc w:val="right"/>
              <w:rPr>
                <w:noProof/>
                <w:sz w:val="20"/>
                <w:szCs w:val="20"/>
              </w:rPr>
            </w:pPr>
            <w:r w:rsidRPr="00483F7D">
              <w:rPr>
                <w:sz w:val="20"/>
              </w:rPr>
              <w:t>18,236</w:t>
            </w:r>
          </w:p>
        </w:tc>
        <w:tc>
          <w:tcPr>
            <w:tcW w:w="816" w:type="dxa"/>
            <w:shd w:val="clear" w:color="auto" w:fill="auto"/>
            <w:vAlign w:val="center"/>
          </w:tcPr>
          <w:p w14:paraId="602C8B36" w14:textId="77777777" w:rsidR="00C16CE8" w:rsidRPr="00483F7D" w:rsidRDefault="00C16CE8" w:rsidP="00C16CE8">
            <w:pPr>
              <w:spacing w:before="20" w:after="20"/>
              <w:jc w:val="right"/>
              <w:rPr>
                <w:noProof/>
                <w:sz w:val="20"/>
                <w:szCs w:val="20"/>
              </w:rPr>
            </w:pPr>
            <w:r w:rsidRPr="00483F7D">
              <w:rPr>
                <w:sz w:val="20"/>
              </w:rPr>
              <w:t>21,546</w:t>
            </w:r>
          </w:p>
        </w:tc>
        <w:tc>
          <w:tcPr>
            <w:tcW w:w="816" w:type="dxa"/>
            <w:shd w:val="clear" w:color="auto" w:fill="auto"/>
            <w:vAlign w:val="center"/>
          </w:tcPr>
          <w:p w14:paraId="27E58942" w14:textId="77777777" w:rsidR="00C16CE8" w:rsidRPr="00483F7D" w:rsidRDefault="00C16CE8" w:rsidP="00C16CE8">
            <w:pPr>
              <w:spacing w:before="20" w:after="20"/>
              <w:jc w:val="right"/>
              <w:rPr>
                <w:noProof/>
                <w:sz w:val="20"/>
                <w:szCs w:val="20"/>
              </w:rPr>
            </w:pPr>
            <w:r w:rsidRPr="00483F7D">
              <w:rPr>
                <w:sz w:val="20"/>
              </w:rPr>
              <w:t>27,371</w:t>
            </w:r>
          </w:p>
        </w:tc>
        <w:tc>
          <w:tcPr>
            <w:tcW w:w="952" w:type="dxa"/>
            <w:shd w:val="clear" w:color="auto" w:fill="auto"/>
            <w:vAlign w:val="center"/>
          </w:tcPr>
          <w:p w14:paraId="2BCF7F5F" w14:textId="77777777" w:rsidR="00C16CE8" w:rsidRPr="00483F7D" w:rsidRDefault="00C16CE8" w:rsidP="00C16CE8">
            <w:pPr>
              <w:spacing w:before="20" w:after="20"/>
              <w:jc w:val="right"/>
              <w:rPr>
                <w:noProof/>
                <w:sz w:val="20"/>
                <w:szCs w:val="20"/>
              </w:rPr>
            </w:pPr>
            <w:r w:rsidRPr="00483F7D">
              <w:rPr>
                <w:sz w:val="20"/>
              </w:rPr>
              <w:t>37,493</w:t>
            </w:r>
          </w:p>
        </w:tc>
        <w:tc>
          <w:tcPr>
            <w:tcW w:w="816" w:type="dxa"/>
            <w:shd w:val="clear" w:color="auto" w:fill="auto"/>
            <w:vAlign w:val="center"/>
          </w:tcPr>
          <w:p w14:paraId="5256238C" w14:textId="77777777" w:rsidR="00C16CE8" w:rsidRPr="00483F7D" w:rsidRDefault="00C16CE8" w:rsidP="00C16CE8">
            <w:pPr>
              <w:spacing w:before="20" w:after="20"/>
              <w:jc w:val="right"/>
              <w:rPr>
                <w:noProof/>
                <w:sz w:val="20"/>
                <w:szCs w:val="20"/>
              </w:rPr>
            </w:pPr>
            <w:r w:rsidRPr="00483F7D">
              <w:rPr>
                <w:sz w:val="20"/>
              </w:rPr>
              <w:t>48,489</w:t>
            </w:r>
          </w:p>
        </w:tc>
        <w:tc>
          <w:tcPr>
            <w:tcW w:w="816" w:type="dxa"/>
            <w:shd w:val="clear" w:color="auto" w:fill="auto"/>
            <w:vAlign w:val="center"/>
          </w:tcPr>
          <w:p w14:paraId="4D9E8900" w14:textId="77777777" w:rsidR="00C16CE8" w:rsidRPr="00483F7D" w:rsidRDefault="00C16CE8" w:rsidP="00C16CE8">
            <w:pPr>
              <w:spacing w:before="20" w:after="20"/>
              <w:jc w:val="right"/>
              <w:rPr>
                <w:noProof/>
                <w:sz w:val="20"/>
                <w:szCs w:val="20"/>
              </w:rPr>
            </w:pPr>
            <w:r w:rsidRPr="00483F7D">
              <w:rPr>
                <w:sz w:val="20"/>
              </w:rPr>
              <w:t>59,169</w:t>
            </w:r>
          </w:p>
        </w:tc>
        <w:tc>
          <w:tcPr>
            <w:tcW w:w="816" w:type="dxa"/>
            <w:shd w:val="clear" w:color="auto" w:fill="auto"/>
            <w:vAlign w:val="center"/>
          </w:tcPr>
          <w:p w14:paraId="55FAA85B" w14:textId="77777777" w:rsidR="00C16CE8" w:rsidRPr="00483F7D" w:rsidRDefault="00C16CE8" w:rsidP="00C16CE8">
            <w:pPr>
              <w:spacing w:before="20" w:after="20"/>
              <w:jc w:val="right"/>
              <w:rPr>
                <w:b/>
                <w:noProof/>
                <w:sz w:val="20"/>
                <w:szCs w:val="20"/>
              </w:rPr>
            </w:pPr>
            <w:r w:rsidRPr="00483F7D">
              <w:rPr>
                <w:sz w:val="20"/>
              </w:rPr>
              <w:t>68,166</w:t>
            </w:r>
          </w:p>
        </w:tc>
        <w:tc>
          <w:tcPr>
            <w:tcW w:w="953" w:type="dxa"/>
            <w:shd w:val="clear" w:color="auto" w:fill="auto"/>
            <w:vAlign w:val="center"/>
          </w:tcPr>
          <w:p w14:paraId="0C197F5B" w14:textId="77777777" w:rsidR="00C16CE8" w:rsidRPr="00483F7D" w:rsidRDefault="00C16CE8" w:rsidP="00C16CE8">
            <w:pPr>
              <w:spacing w:before="20" w:after="20"/>
              <w:jc w:val="right"/>
              <w:rPr>
                <w:b/>
                <w:noProof/>
                <w:sz w:val="20"/>
                <w:szCs w:val="20"/>
              </w:rPr>
            </w:pPr>
            <w:r w:rsidRPr="00483F7D">
              <w:rPr>
                <w:sz w:val="20"/>
              </w:rPr>
              <w:t>283,452</w:t>
            </w:r>
          </w:p>
        </w:tc>
      </w:tr>
      <w:bookmarkEnd w:id="344"/>
    </w:tbl>
    <w:p w14:paraId="723B178C" w14:textId="77777777" w:rsidR="00C16CE8" w:rsidRPr="00483F7D" w:rsidRDefault="00C16CE8" w:rsidP="00C16CE8">
      <w:pPr>
        <w:pStyle w:val="Text1"/>
        <w:ind w:left="0"/>
        <w:rPr>
          <w:noProof/>
        </w:rPr>
      </w:pPr>
    </w:p>
    <w:p w14:paraId="60035516" w14:textId="77777777" w:rsidR="008F6AC1" w:rsidRPr="00483F7D" w:rsidRDefault="008F6AC1" w:rsidP="00C16CE8">
      <w:pPr>
        <w:pStyle w:val="Text1"/>
        <w:rPr>
          <w:noProof/>
        </w:rPr>
      </w:pPr>
      <w:r w:rsidRPr="00483F7D">
        <w:t>Περίοδος 2026-2027 – ανακατανομή: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1503"/>
        <w:gridCol w:w="591"/>
        <w:gridCol w:w="868"/>
        <w:gridCol w:w="868"/>
        <w:gridCol w:w="868"/>
        <w:gridCol w:w="868"/>
        <w:gridCol w:w="868"/>
        <w:gridCol w:w="868"/>
        <w:gridCol w:w="868"/>
        <w:gridCol w:w="1777"/>
      </w:tblGrid>
      <w:tr w:rsidR="00C16CE8" w:rsidRPr="00483F7D" w14:paraId="22BEC9E3" w14:textId="77777777" w:rsidTr="00C16CE8">
        <w:trPr>
          <w:trHeight w:val="335"/>
        </w:trPr>
        <w:tc>
          <w:tcPr>
            <w:tcW w:w="2839" w:type="dxa"/>
            <w:vAlign w:val="center"/>
          </w:tcPr>
          <w:p w14:paraId="7AE41750" w14:textId="77777777" w:rsidR="00C16CE8" w:rsidRPr="00483F7D" w:rsidRDefault="00C16CE8" w:rsidP="00C16CE8">
            <w:pPr>
              <w:spacing w:before="60"/>
              <w:rPr>
                <w:noProof/>
                <w:sz w:val="22"/>
                <w:szCs w:val="20"/>
              </w:rPr>
            </w:pPr>
            <w:r w:rsidRPr="00483F7D">
              <w:rPr>
                <w:sz w:val="22"/>
              </w:rPr>
              <w:t>03 XX XX</w:t>
            </w:r>
          </w:p>
        </w:tc>
        <w:tc>
          <w:tcPr>
            <w:tcW w:w="1503" w:type="dxa"/>
            <w:vAlign w:val="center"/>
          </w:tcPr>
          <w:p w14:paraId="1B5F4E9A" w14:textId="77777777" w:rsidR="00C16CE8" w:rsidRPr="00483F7D" w:rsidRDefault="00C16CE8" w:rsidP="00C16CE8">
            <w:pPr>
              <w:rPr>
                <w:noProof/>
                <w:sz w:val="20"/>
              </w:rPr>
            </w:pPr>
          </w:p>
        </w:tc>
        <w:tc>
          <w:tcPr>
            <w:tcW w:w="591" w:type="dxa"/>
            <w:vAlign w:val="center"/>
          </w:tcPr>
          <w:p w14:paraId="32572B36" w14:textId="77777777" w:rsidR="00C16CE8" w:rsidRPr="00483F7D" w:rsidRDefault="00C16CE8" w:rsidP="00C16CE8">
            <w:pPr>
              <w:jc w:val="center"/>
              <w:rPr>
                <w:noProof/>
                <w:sz w:val="20"/>
              </w:rPr>
            </w:pPr>
          </w:p>
        </w:tc>
        <w:tc>
          <w:tcPr>
            <w:tcW w:w="868" w:type="dxa"/>
            <w:vAlign w:val="center"/>
          </w:tcPr>
          <w:p w14:paraId="5521721C" w14:textId="77777777" w:rsidR="00C16CE8" w:rsidRPr="00483F7D" w:rsidRDefault="00C16CE8" w:rsidP="00C16CE8">
            <w:pPr>
              <w:jc w:val="center"/>
              <w:rPr>
                <w:noProof/>
                <w:sz w:val="20"/>
              </w:rPr>
            </w:pPr>
          </w:p>
        </w:tc>
        <w:tc>
          <w:tcPr>
            <w:tcW w:w="868" w:type="dxa"/>
            <w:vAlign w:val="center"/>
          </w:tcPr>
          <w:p w14:paraId="7F237E8D" w14:textId="77777777" w:rsidR="00C16CE8" w:rsidRPr="00483F7D" w:rsidRDefault="00C16CE8" w:rsidP="00C16CE8">
            <w:pPr>
              <w:jc w:val="center"/>
              <w:rPr>
                <w:noProof/>
                <w:sz w:val="20"/>
              </w:rPr>
            </w:pPr>
          </w:p>
        </w:tc>
        <w:tc>
          <w:tcPr>
            <w:tcW w:w="868" w:type="dxa"/>
            <w:vAlign w:val="center"/>
          </w:tcPr>
          <w:p w14:paraId="0FBAD406" w14:textId="77777777" w:rsidR="00C16CE8" w:rsidRPr="00483F7D" w:rsidRDefault="00C16CE8" w:rsidP="00C16CE8">
            <w:pPr>
              <w:jc w:val="center"/>
              <w:rPr>
                <w:noProof/>
                <w:sz w:val="20"/>
              </w:rPr>
            </w:pPr>
          </w:p>
        </w:tc>
        <w:tc>
          <w:tcPr>
            <w:tcW w:w="868" w:type="dxa"/>
            <w:vAlign w:val="center"/>
          </w:tcPr>
          <w:p w14:paraId="0D6493C5" w14:textId="77777777" w:rsidR="00C16CE8" w:rsidRPr="00483F7D" w:rsidRDefault="00C16CE8" w:rsidP="00C16CE8">
            <w:pPr>
              <w:jc w:val="center"/>
              <w:rPr>
                <w:noProof/>
                <w:sz w:val="20"/>
              </w:rPr>
            </w:pPr>
          </w:p>
        </w:tc>
        <w:tc>
          <w:tcPr>
            <w:tcW w:w="868" w:type="dxa"/>
            <w:vAlign w:val="center"/>
          </w:tcPr>
          <w:p w14:paraId="668598C6" w14:textId="77777777" w:rsidR="00C16CE8" w:rsidRPr="00483F7D" w:rsidRDefault="00C16CE8" w:rsidP="00C16CE8">
            <w:pPr>
              <w:jc w:val="center"/>
              <w:rPr>
                <w:bCs/>
                <w:noProof/>
                <w:sz w:val="18"/>
              </w:rPr>
            </w:pPr>
          </w:p>
        </w:tc>
        <w:tc>
          <w:tcPr>
            <w:tcW w:w="868" w:type="dxa"/>
            <w:vAlign w:val="center"/>
          </w:tcPr>
          <w:p w14:paraId="2E42C437" w14:textId="77777777" w:rsidR="00C16CE8" w:rsidRPr="00483F7D" w:rsidRDefault="00C16CE8" w:rsidP="00C16CE8">
            <w:pPr>
              <w:jc w:val="center"/>
              <w:rPr>
                <w:bCs/>
                <w:noProof/>
                <w:sz w:val="18"/>
              </w:rPr>
            </w:pPr>
            <w:r w:rsidRPr="00483F7D">
              <w:rPr>
                <w:sz w:val="18"/>
              </w:rPr>
              <w:t>2026</w:t>
            </w:r>
          </w:p>
        </w:tc>
        <w:tc>
          <w:tcPr>
            <w:tcW w:w="868" w:type="dxa"/>
            <w:vAlign w:val="center"/>
          </w:tcPr>
          <w:p w14:paraId="526E351E" w14:textId="77777777" w:rsidR="00C16CE8" w:rsidRPr="00483F7D" w:rsidRDefault="00C16CE8" w:rsidP="00C16CE8">
            <w:pPr>
              <w:jc w:val="center"/>
              <w:rPr>
                <w:bCs/>
                <w:noProof/>
                <w:sz w:val="18"/>
              </w:rPr>
            </w:pPr>
            <w:r w:rsidRPr="00483F7D">
              <w:rPr>
                <w:sz w:val="18"/>
              </w:rPr>
              <w:t>2027</w:t>
            </w:r>
          </w:p>
        </w:tc>
        <w:tc>
          <w:tcPr>
            <w:tcW w:w="1777" w:type="dxa"/>
            <w:vAlign w:val="center"/>
          </w:tcPr>
          <w:p w14:paraId="68F89025" w14:textId="77777777" w:rsidR="00C16CE8" w:rsidRPr="00483F7D" w:rsidRDefault="00C16CE8" w:rsidP="00C16CE8">
            <w:pPr>
              <w:jc w:val="center"/>
              <w:rPr>
                <w:b/>
                <w:noProof/>
                <w:sz w:val="20"/>
              </w:rPr>
            </w:pPr>
            <w:r w:rsidRPr="00483F7D">
              <w:rPr>
                <w:b/>
                <w:sz w:val="20"/>
              </w:rPr>
              <w:t>ΣΥΝΟΛΟ</w:t>
            </w:r>
          </w:p>
        </w:tc>
      </w:tr>
      <w:tr w:rsidR="00C16CE8" w:rsidRPr="00483F7D" w14:paraId="4786871C" w14:textId="77777777" w:rsidTr="00C16CE8">
        <w:trPr>
          <w:trHeight w:hRule="exact" w:val="306"/>
        </w:trPr>
        <w:tc>
          <w:tcPr>
            <w:tcW w:w="2839" w:type="dxa"/>
            <w:vMerge w:val="restart"/>
            <w:vAlign w:val="center"/>
          </w:tcPr>
          <w:p w14:paraId="0C53D944" w14:textId="77777777" w:rsidR="00C16CE8" w:rsidRPr="00483F7D" w:rsidRDefault="00C16CE8" w:rsidP="00C16CE8">
            <w:pPr>
              <w:rPr>
                <w:noProof/>
                <w:sz w:val="22"/>
                <w:szCs w:val="20"/>
              </w:rPr>
            </w:pPr>
            <w:r w:rsidRPr="00483F7D">
              <w:rPr>
                <w:sz w:val="22"/>
              </w:rPr>
              <w:t xml:space="preserve">Τελωνειακή Αρχή της ΕΕ </w:t>
            </w:r>
          </w:p>
        </w:tc>
        <w:tc>
          <w:tcPr>
            <w:tcW w:w="1503" w:type="dxa"/>
            <w:vAlign w:val="center"/>
          </w:tcPr>
          <w:p w14:paraId="07C2CA57" w14:textId="77777777" w:rsidR="00C16CE8" w:rsidRPr="00483F7D" w:rsidRDefault="00C16CE8" w:rsidP="00C16CE8">
            <w:pPr>
              <w:spacing w:before="20" w:after="20"/>
              <w:rPr>
                <w:noProof/>
              </w:rPr>
            </w:pPr>
            <w:r w:rsidRPr="00483F7D">
              <w:rPr>
                <w:sz w:val="18"/>
              </w:rPr>
              <w:t>Αναλήψεις υποχρεώσεων</w:t>
            </w:r>
          </w:p>
        </w:tc>
        <w:tc>
          <w:tcPr>
            <w:tcW w:w="591" w:type="dxa"/>
            <w:vAlign w:val="center"/>
          </w:tcPr>
          <w:p w14:paraId="56D92DC4" w14:textId="77777777" w:rsidR="00C16CE8" w:rsidRPr="00483F7D" w:rsidRDefault="00C16CE8" w:rsidP="00C16CE8">
            <w:pPr>
              <w:spacing w:before="20" w:after="20"/>
              <w:jc w:val="center"/>
              <w:rPr>
                <w:noProof/>
                <w:sz w:val="14"/>
              </w:rPr>
            </w:pPr>
            <w:r w:rsidRPr="00483F7D">
              <w:rPr>
                <w:sz w:val="14"/>
              </w:rPr>
              <w:t>(1)</w:t>
            </w:r>
          </w:p>
        </w:tc>
        <w:tc>
          <w:tcPr>
            <w:tcW w:w="868" w:type="dxa"/>
            <w:vAlign w:val="center"/>
          </w:tcPr>
          <w:p w14:paraId="64BDA0F3" w14:textId="77777777" w:rsidR="00C16CE8" w:rsidRPr="00483F7D" w:rsidRDefault="00C16CE8" w:rsidP="00C16CE8">
            <w:pPr>
              <w:spacing w:before="20" w:after="20"/>
              <w:jc w:val="right"/>
              <w:rPr>
                <w:noProof/>
                <w:sz w:val="20"/>
                <w:szCs w:val="20"/>
              </w:rPr>
            </w:pPr>
          </w:p>
        </w:tc>
        <w:tc>
          <w:tcPr>
            <w:tcW w:w="868" w:type="dxa"/>
            <w:vAlign w:val="center"/>
          </w:tcPr>
          <w:p w14:paraId="59D487EE" w14:textId="77777777" w:rsidR="00C16CE8" w:rsidRPr="00483F7D" w:rsidRDefault="00C16CE8" w:rsidP="00C16CE8">
            <w:pPr>
              <w:spacing w:before="20" w:after="20"/>
              <w:jc w:val="right"/>
              <w:rPr>
                <w:noProof/>
                <w:sz w:val="20"/>
                <w:szCs w:val="20"/>
              </w:rPr>
            </w:pPr>
          </w:p>
        </w:tc>
        <w:tc>
          <w:tcPr>
            <w:tcW w:w="868" w:type="dxa"/>
            <w:vAlign w:val="center"/>
          </w:tcPr>
          <w:p w14:paraId="496FA6C1" w14:textId="77777777" w:rsidR="00C16CE8" w:rsidRPr="00483F7D" w:rsidRDefault="00C16CE8" w:rsidP="00C16CE8">
            <w:pPr>
              <w:spacing w:before="20" w:after="20"/>
              <w:jc w:val="right"/>
              <w:rPr>
                <w:noProof/>
                <w:sz w:val="20"/>
                <w:szCs w:val="20"/>
              </w:rPr>
            </w:pPr>
          </w:p>
        </w:tc>
        <w:tc>
          <w:tcPr>
            <w:tcW w:w="868" w:type="dxa"/>
            <w:vAlign w:val="center"/>
          </w:tcPr>
          <w:p w14:paraId="5B5D062A" w14:textId="77777777" w:rsidR="00C16CE8" w:rsidRPr="00483F7D" w:rsidRDefault="00C16CE8" w:rsidP="00C16CE8">
            <w:pPr>
              <w:spacing w:before="20" w:after="20"/>
              <w:jc w:val="right"/>
              <w:rPr>
                <w:noProof/>
                <w:sz w:val="20"/>
                <w:szCs w:val="20"/>
              </w:rPr>
            </w:pPr>
          </w:p>
        </w:tc>
        <w:tc>
          <w:tcPr>
            <w:tcW w:w="868" w:type="dxa"/>
            <w:vAlign w:val="center"/>
          </w:tcPr>
          <w:p w14:paraId="1AC2611C" w14:textId="77777777" w:rsidR="00C16CE8" w:rsidRPr="00483F7D" w:rsidRDefault="00C16CE8" w:rsidP="00C16CE8">
            <w:pPr>
              <w:spacing w:before="20" w:after="20"/>
              <w:jc w:val="right"/>
              <w:rPr>
                <w:noProof/>
                <w:sz w:val="20"/>
                <w:szCs w:val="20"/>
              </w:rPr>
            </w:pPr>
          </w:p>
        </w:tc>
        <w:tc>
          <w:tcPr>
            <w:tcW w:w="868" w:type="dxa"/>
            <w:vAlign w:val="center"/>
          </w:tcPr>
          <w:p w14:paraId="2E143F92" w14:textId="77777777" w:rsidR="00C16CE8" w:rsidRPr="00483F7D" w:rsidRDefault="00C16CE8" w:rsidP="00C16CE8">
            <w:pPr>
              <w:spacing w:before="20" w:after="20"/>
              <w:jc w:val="right"/>
              <w:rPr>
                <w:noProof/>
                <w:sz w:val="20"/>
                <w:szCs w:val="20"/>
              </w:rPr>
            </w:pPr>
            <w:r w:rsidRPr="00483F7D">
              <w:rPr>
                <w:sz w:val="20"/>
              </w:rPr>
              <w:t>0,928</w:t>
            </w:r>
          </w:p>
        </w:tc>
        <w:tc>
          <w:tcPr>
            <w:tcW w:w="868" w:type="dxa"/>
            <w:vAlign w:val="center"/>
          </w:tcPr>
          <w:p w14:paraId="59D79A0E" w14:textId="77777777" w:rsidR="00C16CE8" w:rsidRPr="00483F7D" w:rsidRDefault="00C16CE8" w:rsidP="00C16CE8">
            <w:pPr>
              <w:spacing w:before="20" w:after="20"/>
              <w:jc w:val="right"/>
              <w:rPr>
                <w:bCs/>
                <w:noProof/>
                <w:sz w:val="20"/>
                <w:szCs w:val="20"/>
              </w:rPr>
            </w:pPr>
            <w:r w:rsidRPr="00483F7D">
              <w:rPr>
                <w:sz w:val="20"/>
              </w:rPr>
              <w:t>2,054</w:t>
            </w:r>
          </w:p>
        </w:tc>
        <w:tc>
          <w:tcPr>
            <w:tcW w:w="1777" w:type="dxa"/>
            <w:vAlign w:val="center"/>
          </w:tcPr>
          <w:p w14:paraId="3F3DF902" w14:textId="77777777" w:rsidR="00C16CE8" w:rsidRPr="00483F7D" w:rsidRDefault="00C16CE8" w:rsidP="00C16CE8">
            <w:pPr>
              <w:spacing w:before="20" w:after="20"/>
              <w:jc w:val="right"/>
              <w:rPr>
                <w:bCs/>
                <w:noProof/>
                <w:sz w:val="20"/>
                <w:szCs w:val="20"/>
              </w:rPr>
            </w:pPr>
            <w:r w:rsidRPr="00483F7D">
              <w:rPr>
                <w:sz w:val="20"/>
              </w:rPr>
              <w:t>2,981</w:t>
            </w:r>
          </w:p>
        </w:tc>
      </w:tr>
      <w:tr w:rsidR="00C16CE8" w:rsidRPr="00483F7D" w14:paraId="455AB62C" w14:textId="77777777" w:rsidTr="00C16CE8">
        <w:trPr>
          <w:trHeight w:hRule="exact" w:val="281"/>
        </w:trPr>
        <w:tc>
          <w:tcPr>
            <w:tcW w:w="2839" w:type="dxa"/>
            <w:vMerge/>
            <w:vAlign w:val="center"/>
          </w:tcPr>
          <w:p w14:paraId="0EFA1EA8" w14:textId="77777777" w:rsidR="00C16CE8" w:rsidRPr="00483F7D" w:rsidRDefault="00C16CE8" w:rsidP="00C16CE8">
            <w:pPr>
              <w:rPr>
                <w:noProof/>
                <w:sz w:val="22"/>
                <w:szCs w:val="20"/>
              </w:rPr>
            </w:pPr>
          </w:p>
        </w:tc>
        <w:tc>
          <w:tcPr>
            <w:tcW w:w="1503" w:type="dxa"/>
            <w:vAlign w:val="center"/>
          </w:tcPr>
          <w:p w14:paraId="2C76D292" w14:textId="77777777" w:rsidR="00C16CE8" w:rsidRPr="00483F7D" w:rsidRDefault="00C16CE8" w:rsidP="00C16CE8">
            <w:pPr>
              <w:spacing w:before="20" w:after="20"/>
              <w:rPr>
                <w:noProof/>
                <w:sz w:val="18"/>
              </w:rPr>
            </w:pPr>
            <w:r w:rsidRPr="00483F7D">
              <w:rPr>
                <w:sz w:val="18"/>
              </w:rPr>
              <w:t>Πληρωμές</w:t>
            </w:r>
          </w:p>
        </w:tc>
        <w:tc>
          <w:tcPr>
            <w:tcW w:w="591" w:type="dxa"/>
            <w:vAlign w:val="center"/>
          </w:tcPr>
          <w:p w14:paraId="65790613" w14:textId="77777777" w:rsidR="00C16CE8" w:rsidRPr="00483F7D" w:rsidRDefault="00C16CE8" w:rsidP="00C16CE8">
            <w:pPr>
              <w:spacing w:before="20" w:after="20"/>
              <w:jc w:val="center"/>
              <w:rPr>
                <w:noProof/>
                <w:sz w:val="14"/>
              </w:rPr>
            </w:pPr>
            <w:r w:rsidRPr="00483F7D">
              <w:rPr>
                <w:sz w:val="14"/>
              </w:rPr>
              <w:t>(2)</w:t>
            </w:r>
          </w:p>
        </w:tc>
        <w:tc>
          <w:tcPr>
            <w:tcW w:w="868" w:type="dxa"/>
            <w:vAlign w:val="center"/>
          </w:tcPr>
          <w:p w14:paraId="6EEAFB57" w14:textId="77777777" w:rsidR="00C16CE8" w:rsidRPr="00483F7D" w:rsidRDefault="00C16CE8" w:rsidP="00C16CE8">
            <w:pPr>
              <w:spacing w:before="20" w:after="20"/>
              <w:jc w:val="right"/>
              <w:rPr>
                <w:b/>
                <w:bCs/>
                <w:noProof/>
                <w:sz w:val="20"/>
                <w:szCs w:val="20"/>
              </w:rPr>
            </w:pPr>
          </w:p>
        </w:tc>
        <w:tc>
          <w:tcPr>
            <w:tcW w:w="868" w:type="dxa"/>
            <w:vAlign w:val="center"/>
          </w:tcPr>
          <w:p w14:paraId="47B91CC9" w14:textId="77777777" w:rsidR="00C16CE8" w:rsidRPr="00483F7D" w:rsidRDefault="00C16CE8" w:rsidP="00C16CE8">
            <w:pPr>
              <w:spacing w:before="20" w:after="20"/>
              <w:jc w:val="right"/>
              <w:rPr>
                <w:b/>
                <w:bCs/>
                <w:noProof/>
                <w:sz w:val="20"/>
                <w:szCs w:val="20"/>
              </w:rPr>
            </w:pPr>
          </w:p>
        </w:tc>
        <w:tc>
          <w:tcPr>
            <w:tcW w:w="868" w:type="dxa"/>
            <w:vAlign w:val="center"/>
          </w:tcPr>
          <w:p w14:paraId="23921F51" w14:textId="77777777" w:rsidR="00C16CE8" w:rsidRPr="00483F7D" w:rsidRDefault="00C16CE8" w:rsidP="00C16CE8">
            <w:pPr>
              <w:spacing w:before="20" w:after="20"/>
              <w:jc w:val="right"/>
              <w:rPr>
                <w:b/>
                <w:bCs/>
                <w:noProof/>
                <w:sz w:val="20"/>
                <w:szCs w:val="20"/>
              </w:rPr>
            </w:pPr>
          </w:p>
        </w:tc>
        <w:tc>
          <w:tcPr>
            <w:tcW w:w="868" w:type="dxa"/>
            <w:vAlign w:val="center"/>
          </w:tcPr>
          <w:p w14:paraId="37C8272A" w14:textId="77777777" w:rsidR="00C16CE8" w:rsidRPr="00483F7D" w:rsidRDefault="00C16CE8" w:rsidP="00C16CE8">
            <w:pPr>
              <w:spacing w:before="20" w:after="20"/>
              <w:jc w:val="right"/>
              <w:rPr>
                <w:b/>
                <w:bCs/>
                <w:noProof/>
                <w:sz w:val="20"/>
                <w:szCs w:val="20"/>
              </w:rPr>
            </w:pPr>
          </w:p>
        </w:tc>
        <w:tc>
          <w:tcPr>
            <w:tcW w:w="868" w:type="dxa"/>
            <w:vAlign w:val="center"/>
          </w:tcPr>
          <w:p w14:paraId="14934DB4" w14:textId="77777777" w:rsidR="00C16CE8" w:rsidRPr="00483F7D" w:rsidRDefault="00C16CE8" w:rsidP="00C16CE8">
            <w:pPr>
              <w:spacing w:before="20" w:after="20"/>
              <w:jc w:val="right"/>
              <w:rPr>
                <w:b/>
                <w:bCs/>
                <w:noProof/>
                <w:sz w:val="20"/>
                <w:szCs w:val="20"/>
              </w:rPr>
            </w:pPr>
          </w:p>
        </w:tc>
        <w:tc>
          <w:tcPr>
            <w:tcW w:w="868" w:type="dxa"/>
            <w:vAlign w:val="center"/>
          </w:tcPr>
          <w:p w14:paraId="7218A4E4" w14:textId="77777777" w:rsidR="00C16CE8" w:rsidRPr="00483F7D" w:rsidRDefault="00C16CE8" w:rsidP="00C16CE8">
            <w:pPr>
              <w:spacing w:before="20" w:after="20"/>
              <w:jc w:val="right"/>
              <w:rPr>
                <w:b/>
                <w:bCs/>
                <w:noProof/>
                <w:sz w:val="20"/>
                <w:szCs w:val="20"/>
              </w:rPr>
            </w:pPr>
            <w:r w:rsidRPr="00483F7D">
              <w:rPr>
                <w:sz w:val="20"/>
              </w:rPr>
              <w:t>0,928</w:t>
            </w:r>
          </w:p>
        </w:tc>
        <w:tc>
          <w:tcPr>
            <w:tcW w:w="868" w:type="dxa"/>
            <w:vAlign w:val="center"/>
          </w:tcPr>
          <w:p w14:paraId="367AA901" w14:textId="77777777" w:rsidR="00C16CE8" w:rsidRPr="00483F7D" w:rsidRDefault="00C16CE8" w:rsidP="00C16CE8">
            <w:pPr>
              <w:spacing w:before="20" w:after="20"/>
              <w:jc w:val="right"/>
              <w:rPr>
                <w:b/>
                <w:bCs/>
                <w:noProof/>
                <w:sz w:val="20"/>
                <w:szCs w:val="20"/>
              </w:rPr>
            </w:pPr>
            <w:r w:rsidRPr="00483F7D">
              <w:rPr>
                <w:sz w:val="20"/>
              </w:rPr>
              <w:t>2,054</w:t>
            </w:r>
          </w:p>
        </w:tc>
        <w:tc>
          <w:tcPr>
            <w:tcW w:w="1777" w:type="dxa"/>
            <w:vAlign w:val="center"/>
          </w:tcPr>
          <w:p w14:paraId="1AB24DAD" w14:textId="77777777" w:rsidR="00C16CE8" w:rsidRPr="00483F7D" w:rsidRDefault="00C16CE8" w:rsidP="00C16CE8">
            <w:pPr>
              <w:spacing w:before="20" w:after="20"/>
              <w:jc w:val="right"/>
              <w:rPr>
                <w:b/>
                <w:bCs/>
                <w:noProof/>
                <w:sz w:val="20"/>
                <w:szCs w:val="20"/>
              </w:rPr>
            </w:pPr>
            <w:r w:rsidRPr="00483F7D">
              <w:rPr>
                <w:sz w:val="20"/>
              </w:rPr>
              <w:t>2,981</w:t>
            </w:r>
          </w:p>
        </w:tc>
      </w:tr>
      <w:tr w:rsidR="00C16CE8" w:rsidRPr="00483F7D" w14:paraId="548B2F87" w14:textId="77777777" w:rsidTr="00C16CE8">
        <w:trPr>
          <w:trHeight w:hRule="exact" w:val="568"/>
        </w:trPr>
        <w:tc>
          <w:tcPr>
            <w:tcW w:w="2839" w:type="dxa"/>
            <w:vMerge w:val="restart"/>
            <w:vAlign w:val="center"/>
          </w:tcPr>
          <w:p w14:paraId="440B8509" w14:textId="77777777" w:rsidR="00C16CE8" w:rsidRPr="00483F7D" w:rsidRDefault="00C16CE8" w:rsidP="00C16CE8">
            <w:pPr>
              <w:jc w:val="center"/>
              <w:rPr>
                <w:noProof/>
                <w:sz w:val="22"/>
                <w:szCs w:val="20"/>
              </w:rPr>
            </w:pPr>
            <w:r w:rsidRPr="00483F7D">
              <w:rPr>
                <w:b/>
                <w:sz w:val="22"/>
              </w:rPr>
              <w:t>ΣΥΝΟΛΟ πιστώσεων</w:t>
            </w:r>
            <w:r w:rsidRPr="00483F7D">
              <w:t xml:space="preserve"> </w:t>
            </w:r>
            <w:r w:rsidRPr="00483F7D">
              <w:br/>
            </w:r>
            <w:r w:rsidRPr="00483F7D">
              <w:rPr>
                <w:b/>
                <w:sz w:val="22"/>
              </w:rPr>
              <w:t xml:space="preserve">για </w:t>
            </w:r>
            <w:r w:rsidRPr="00483F7D">
              <w:rPr>
                <w:sz w:val="22"/>
              </w:rPr>
              <w:t>03 XX XX</w:t>
            </w:r>
          </w:p>
        </w:tc>
        <w:tc>
          <w:tcPr>
            <w:tcW w:w="1503" w:type="dxa"/>
            <w:vAlign w:val="center"/>
          </w:tcPr>
          <w:p w14:paraId="08FB75F3" w14:textId="77777777" w:rsidR="00C16CE8" w:rsidRPr="00483F7D" w:rsidRDefault="00C16CE8" w:rsidP="00C16CE8">
            <w:pPr>
              <w:rPr>
                <w:noProof/>
                <w:sz w:val="18"/>
              </w:rPr>
            </w:pPr>
            <w:r w:rsidRPr="00483F7D">
              <w:rPr>
                <w:sz w:val="18"/>
              </w:rPr>
              <w:t>Αναλήψεις υποχρεώσεων</w:t>
            </w:r>
          </w:p>
        </w:tc>
        <w:tc>
          <w:tcPr>
            <w:tcW w:w="591" w:type="dxa"/>
            <w:vAlign w:val="center"/>
          </w:tcPr>
          <w:p w14:paraId="31E8B04A" w14:textId="77777777" w:rsidR="00C16CE8" w:rsidRPr="00483F7D" w:rsidRDefault="00C16CE8" w:rsidP="00C16CE8">
            <w:pPr>
              <w:jc w:val="center"/>
              <w:rPr>
                <w:noProof/>
                <w:sz w:val="14"/>
              </w:rPr>
            </w:pPr>
            <w:r w:rsidRPr="00483F7D">
              <w:rPr>
                <w:sz w:val="14"/>
              </w:rPr>
              <w:t>=1+1α+3α</w:t>
            </w:r>
          </w:p>
        </w:tc>
        <w:tc>
          <w:tcPr>
            <w:tcW w:w="868" w:type="dxa"/>
            <w:vAlign w:val="center"/>
          </w:tcPr>
          <w:p w14:paraId="46BFC586" w14:textId="77777777" w:rsidR="00C16CE8" w:rsidRPr="00483F7D" w:rsidRDefault="00C16CE8" w:rsidP="00C16CE8">
            <w:pPr>
              <w:spacing w:before="0" w:after="0"/>
              <w:jc w:val="right"/>
              <w:rPr>
                <w:noProof/>
                <w:sz w:val="20"/>
                <w:szCs w:val="20"/>
              </w:rPr>
            </w:pPr>
          </w:p>
        </w:tc>
        <w:tc>
          <w:tcPr>
            <w:tcW w:w="868" w:type="dxa"/>
            <w:vAlign w:val="center"/>
          </w:tcPr>
          <w:p w14:paraId="460979D3" w14:textId="77777777" w:rsidR="00C16CE8" w:rsidRPr="00483F7D" w:rsidRDefault="00C16CE8" w:rsidP="00C16CE8">
            <w:pPr>
              <w:spacing w:before="0" w:after="0"/>
              <w:jc w:val="right"/>
              <w:rPr>
                <w:noProof/>
                <w:sz w:val="20"/>
                <w:szCs w:val="20"/>
              </w:rPr>
            </w:pPr>
          </w:p>
        </w:tc>
        <w:tc>
          <w:tcPr>
            <w:tcW w:w="868" w:type="dxa"/>
            <w:vAlign w:val="center"/>
          </w:tcPr>
          <w:p w14:paraId="74936CD0" w14:textId="77777777" w:rsidR="00C16CE8" w:rsidRPr="00483F7D" w:rsidRDefault="00C16CE8" w:rsidP="00C16CE8">
            <w:pPr>
              <w:spacing w:before="0" w:after="0"/>
              <w:jc w:val="right"/>
              <w:rPr>
                <w:noProof/>
                <w:sz w:val="20"/>
                <w:szCs w:val="20"/>
              </w:rPr>
            </w:pPr>
          </w:p>
        </w:tc>
        <w:tc>
          <w:tcPr>
            <w:tcW w:w="868" w:type="dxa"/>
            <w:vAlign w:val="center"/>
          </w:tcPr>
          <w:p w14:paraId="56C26D9C" w14:textId="77777777" w:rsidR="00C16CE8" w:rsidRPr="00483F7D" w:rsidRDefault="00C16CE8" w:rsidP="00C16CE8">
            <w:pPr>
              <w:spacing w:before="0" w:after="0"/>
              <w:jc w:val="right"/>
              <w:rPr>
                <w:noProof/>
                <w:sz w:val="20"/>
                <w:szCs w:val="20"/>
              </w:rPr>
            </w:pPr>
          </w:p>
        </w:tc>
        <w:tc>
          <w:tcPr>
            <w:tcW w:w="868" w:type="dxa"/>
            <w:vAlign w:val="center"/>
          </w:tcPr>
          <w:p w14:paraId="7BF3D1DC" w14:textId="77777777" w:rsidR="00C16CE8" w:rsidRPr="00483F7D" w:rsidRDefault="00C16CE8" w:rsidP="00C16CE8">
            <w:pPr>
              <w:spacing w:before="0" w:after="0"/>
              <w:jc w:val="right"/>
              <w:rPr>
                <w:noProof/>
                <w:sz w:val="20"/>
                <w:szCs w:val="20"/>
              </w:rPr>
            </w:pPr>
          </w:p>
        </w:tc>
        <w:tc>
          <w:tcPr>
            <w:tcW w:w="868" w:type="dxa"/>
            <w:vAlign w:val="center"/>
          </w:tcPr>
          <w:p w14:paraId="53C6DD1B" w14:textId="77777777" w:rsidR="00C16CE8" w:rsidRPr="00483F7D" w:rsidRDefault="00C16CE8" w:rsidP="00C16CE8">
            <w:pPr>
              <w:spacing w:before="0" w:after="0"/>
              <w:jc w:val="right"/>
              <w:rPr>
                <w:noProof/>
                <w:sz w:val="20"/>
                <w:szCs w:val="20"/>
              </w:rPr>
            </w:pPr>
            <w:r w:rsidRPr="00483F7D">
              <w:rPr>
                <w:sz w:val="20"/>
              </w:rPr>
              <w:t>0,928</w:t>
            </w:r>
          </w:p>
        </w:tc>
        <w:tc>
          <w:tcPr>
            <w:tcW w:w="868" w:type="dxa"/>
            <w:vAlign w:val="center"/>
          </w:tcPr>
          <w:p w14:paraId="0F1D3C23" w14:textId="77777777" w:rsidR="00C16CE8" w:rsidRPr="00483F7D" w:rsidRDefault="00C16CE8" w:rsidP="00C16CE8">
            <w:pPr>
              <w:spacing w:before="0" w:after="0"/>
              <w:jc w:val="right"/>
              <w:rPr>
                <w:b/>
                <w:noProof/>
                <w:sz w:val="20"/>
                <w:szCs w:val="20"/>
              </w:rPr>
            </w:pPr>
            <w:r w:rsidRPr="00483F7D">
              <w:rPr>
                <w:sz w:val="20"/>
              </w:rPr>
              <w:t>2,054</w:t>
            </w:r>
          </w:p>
        </w:tc>
        <w:tc>
          <w:tcPr>
            <w:tcW w:w="1777" w:type="dxa"/>
            <w:vAlign w:val="center"/>
          </w:tcPr>
          <w:p w14:paraId="6F98D0B2" w14:textId="77777777" w:rsidR="00C16CE8" w:rsidRPr="00483F7D" w:rsidRDefault="00C16CE8" w:rsidP="00C16CE8">
            <w:pPr>
              <w:spacing w:before="0" w:after="0"/>
              <w:jc w:val="right"/>
              <w:rPr>
                <w:b/>
                <w:noProof/>
                <w:sz w:val="20"/>
                <w:szCs w:val="20"/>
              </w:rPr>
            </w:pPr>
            <w:r w:rsidRPr="00483F7D">
              <w:rPr>
                <w:sz w:val="20"/>
              </w:rPr>
              <w:t>2,981</w:t>
            </w:r>
          </w:p>
        </w:tc>
      </w:tr>
      <w:tr w:rsidR="00C16CE8" w:rsidRPr="00483F7D" w14:paraId="471E4D15" w14:textId="77777777" w:rsidTr="00C16CE8">
        <w:trPr>
          <w:trHeight w:hRule="exact" w:val="661"/>
        </w:trPr>
        <w:tc>
          <w:tcPr>
            <w:tcW w:w="2839" w:type="dxa"/>
            <w:vMerge/>
            <w:vAlign w:val="center"/>
          </w:tcPr>
          <w:p w14:paraId="7AAB3969" w14:textId="77777777" w:rsidR="00C16CE8" w:rsidRPr="00483F7D" w:rsidRDefault="00C16CE8" w:rsidP="00C16CE8">
            <w:pPr>
              <w:rPr>
                <w:b/>
                <w:noProof/>
              </w:rPr>
            </w:pPr>
          </w:p>
        </w:tc>
        <w:tc>
          <w:tcPr>
            <w:tcW w:w="1503" w:type="dxa"/>
            <w:vAlign w:val="center"/>
          </w:tcPr>
          <w:p w14:paraId="15C67C84" w14:textId="77777777" w:rsidR="00C16CE8" w:rsidRPr="00483F7D" w:rsidRDefault="00C16CE8" w:rsidP="00C16CE8">
            <w:pPr>
              <w:rPr>
                <w:noProof/>
                <w:sz w:val="18"/>
              </w:rPr>
            </w:pPr>
            <w:r w:rsidRPr="00483F7D">
              <w:rPr>
                <w:sz w:val="18"/>
              </w:rPr>
              <w:t>Πληρωμές</w:t>
            </w:r>
          </w:p>
        </w:tc>
        <w:tc>
          <w:tcPr>
            <w:tcW w:w="591" w:type="dxa"/>
            <w:vAlign w:val="center"/>
          </w:tcPr>
          <w:p w14:paraId="7AA381BB" w14:textId="77777777" w:rsidR="00C16CE8" w:rsidRPr="00483F7D" w:rsidRDefault="00C16CE8" w:rsidP="00C16CE8">
            <w:pPr>
              <w:jc w:val="center"/>
              <w:rPr>
                <w:noProof/>
                <w:sz w:val="14"/>
              </w:rPr>
            </w:pPr>
            <w:r w:rsidRPr="00483F7D">
              <w:rPr>
                <w:sz w:val="14"/>
              </w:rPr>
              <w:t>=2+2α</w:t>
            </w:r>
          </w:p>
          <w:p w14:paraId="6DB4E276" w14:textId="77777777" w:rsidR="00C16CE8" w:rsidRPr="00483F7D" w:rsidRDefault="00C16CE8" w:rsidP="00C16CE8">
            <w:pPr>
              <w:jc w:val="center"/>
              <w:rPr>
                <w:noProof/>
                <w:sz w:val="14"/>
              </w:rPr>
            </w:pPr>
            <w:r w:rsidRPr="00483F7D">
              <w:rPr>
                <w:sz w:val="14"/>
              </w:rPr>
              <w:t>+3β</w:t>
            </w:r>
          </w:p>
        </w:tc>
        <w:tc>
          <w:tcPr>
            <w:tcW w:w="868" w:type="dxa"/>
            <w:vAlign w:val="center"/>
          </w:tcPr>
          <w:p w14:paraId="4F60A8B3" w14:textId="77777777" w:rsidR="00C16CE8" w:rsidRPr="00483F7D" w:rsidRDefault="00C16CE8" w:rsidP="00C16CE8">
            <w:pPr>
              <w:spacing w:before="20" w:after="20"/>
              <w:jc w:val="right"/>
              <w:rPr>
                <w:noProof/>
                <w:sz w:val="20"/>
                <w:szCs w:val="20"/>
                <w:highlight w:val="yellow"/>
              </w:rPr>
            </w:pPr>
          </w:p>
        </w:tc>
        <w:tc>
          <w:tcPr>
            <w:tcW w:w="868" w:type="dxa"/>
            <w:vAlign w:val="center"/>
          </w:tcPr>
          <w:p w14:paraId="4A34C128" w14:textId="77777777" w:rsidR="00C16CE8" w:rsidRPr="00483F7D" w:rsidRDefault="00C16CE8" w:rsidP="00C16CE8">
            <w:pPr>
              <w:spacing w:before="20" w:after="20"/>
              <w:jc w:val="right"/>
              <w:rPr>
                <w:noProof/>
                <w:sz w:val="20"/>
                <w:szCs w:val="20"/>
                <w:highlight w:val="yellow"/>
              </w:rPr>
            </w:pPr>
          </w:p>
        </w:tc>
        <w:tc>
          <w:tcPr>
            <w:tcW w:w="868" w:type="dxa"/>
            <w:vAlign w:val="center"/>
          </w:tcPr>
          <w:p w14:paraId="64E2E51C" w14:textId="77777777" w:rsidR="00C16CE8" w:rsidRPr="00483F7D" w:rsidRDefault="00C16CE8" w:rsidP="00C16CE8">
            <w:pPr>
              <w:spacing w:before="20" w:after="20"/>
              <w:jc w:val="right"/>
              <w:rPr>
                <w:noProof/>
                <w:sz w:val="20"/>
                <w:szCs w:val="20"/>
                <w:highlight w:val="yellow"/>
              </w:rPr>
            </w:pPr>
          </w:p>
        </w:tc>
        <w:tc>
          <w:tcPr>
            <w:tcW w:w="868" w:type="dxa"/>
            <w:vAlign w:val="center"/>
          </w:tcPr>
          <w:p w14:paraId="6F7C4B3F" w14:textId="77777777" w:rsidR="00C16CE8" w:rsidRPr="00483F7D" w:rsidRDefault="00C16CE8" w:rsidP="00C16CE8">
            <w:pPr>
              <w:spacing w:before="20" w:after="20"/>
              <w:jc w:val="right"/>
              <w:rPr>
                <w:noProof/>
                <w:sz w:val="20"/>
                <w:szCs w:val="20"/>
              </w:rPr>
            </w:pPr>
          </w:p>
        </w:tc>
        <w:tc>
          <w:tcPr>
            <w:tcW w:w="868" w:type="dxa"/>
            <w:vAlign w:val="center"/>
          </w:tcPr>
          <w:p w14:paraId="0E5F9531" w14:textId="77777777" w:rsidR="00C16CE8" w:rsidRPr="00483F7D" w:rsidRDefault="00C16CE8" w:rsidP="00C16CE8">
            <w:pPr>
              <w:spacing w:before="20" w:after="20"/>
              <w:jc w:val="right"/>
              <w:rPr>
                <w:noProof/>
                <w:sz w:val="20"/>
                <w:szCs w:val="20"/>
              </w:rPr>
            </w:pPr>
          </w:p>
        </w:tc>
        <w:tc>
          <w:tcPr>
            <w:tcW w:w="868" w:type="dxa"/>
            <w:vAlign w:val="center"/>
          </w:tcPr>
          <w:p w14:paraId="03EB4276" w14:textId="77777777" w:rsidR="00C16CE8" w:rsidRPr="00483F7D" w:rsidRDefault="00C16CE8" w:rsidP="00C16CE8">
            <w:pPr>
              <w:spacing w:before="20" w:after="20"/>
              <w:jc w:val="right"/>
              <w:rPr>
                <w:noProof/>
                <w:sz w:val="20"/>
                <w:szCs w:val="20"/>
              </w:rPr>
            </w:pPr>
            <w:r w:rsidRPr="00483F7D">
              <w:rPr>
                <w:sz w:val="20"/>
              </w:rPr>
              <w:t>0,928</w:t>
            </w:r>
          </w:p>
        </w:tc>
        <w:tc>
          <w:tcPr>
            <w:tcW w:w="868" w:type="dxa"/>
            <w:vAlign w:val="center"/>
          </w:tcPr>
          <w:p w14:paraId="73614B2E" w14:textId="77777777" w:rsidR="00C16CE8" w:rsidRPr="00483F7D" w:rsidRDefault="00C16CE8" w:rsidP="00C16CE8">
            <w:pPr>
              <w:spacing w:before="20" w:after="20"/>
              <w:jc w:val="right"/>
              <w:rPr>
                <w:b/>
                <w:noProof/>
                <w:sz w:val="20"/>
                <w:szCs w:val="20"/>
              </w:rPr>
            </w:pPr>
            <w:r w:rsidRPr="00483F7D">
              <w:rPr>
                <w:sz w:val="20"/>
              </w:rPr>
              <w:t>2,054</w:t>
            </w:r>
          </w:p>
        </w:tc>
        <w:tc>
          <w:tcPr>
            <w:tcW w:w="1777" w:type="dxa"/>
            <w:vAlign w:val="center"/>
          </w:tcPr>
          <w:p w14:paraId="768E2B41" w14:textId="77777777" w:rsidR="00C16CE8" w:rsidRPr="00483F7D" w:rsidRDefault="00C16CE8" w:rsidP="00C16CE8">
            <w:pPr>
              <w:spacing w:before="20" w:after="20"/>
              <w:jc w:val="right"/>
              <w:rPr>
                <w:b/>
                <w:noProof/>
                <w:sz w:val="20"/>
                <w:szCs w:val="20"/>
              </w:rPr>
            </w:pPr>
            <w:r w:rsidRPr="00483F7D">
              <w:rPr>
                <w:sz w:val="20"/>
              </w:rPr>
              <w:t>2,981</w:t>
            </w:r>
          </w:p>
        </w:tc>
      </w:tr>
    </w:tbl>
    <w:p w14:paraId="707FEAD4" w14:textId="77777777" w:rsidR="008F6AC1" w:rsidRPr="00483F7D" w:rsidRDefault="008F6AC1" w:rsidP="008F6AC1">
      <w:pPr>
        <w:spacing w:before="0" w:after="200" w:line="276" w:lineRule="auto"/>
        <w:jc w:val="left"/>
        <w:rPr>
          <w:noProof/>
          <w:sz w:val="6"/>
          <w:szCs w:val="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2"/>
        <w:gridCol w:w="1080"/>
        <w:gridCol w:w="7775"/>
      </w:tblGrid>
      <w:tr w:rsidR="008F6AC1" w:rsidRPr="00483F7D" w14:paraId="4A703374" w14:textId="77777777" w:rsidTr="00C16CE8">
        <w:tc>
          <w:tcPr>
            <w:tcW w:w="3902" w:type="dxa"/>
            <w:shd w:val="thinDiagStripe" w:color="C0C0C0" w:fill="auto"/>
            <w:vAlign w:val="center"/>
          </w:tcPr>
          <w:p w14:paraId="7660BCCD" w14:textId="77777777" w:rsidR="008F6AC1" w:rsidRPr="00483F7D" w:rsidRDefault="008F6AC1" w:rsidP="005563C1">
            <w:pPr>
              <w:spacing w:before="60" w:after="60"/>
              <w:jc w:val="center"/>
              <w:rPr>
                <w:b/>
                <w:noProof/>
              </w:rPr>
            </w:pPr>
            <w:r w:rsidRPr="00483F7D">
              <w:rPr>
                <w:b/>
                <w:sz w:val="22"/>
              </w:rPr>
              <w:t xml:space="preserve">Τομέας του πολυετούς δημοσιονομικού </w:t>
            </w:r>
            <w:r w:rsidRPr="00483F7D">
              <w:t xml:space="preserve"> </w:t>
            </w:r>
            <w:r w:rsidRPr="00483F7D">
              <w:br/>
            </w:r>
            <w:r w:rsidRPr="00483F7D">
              <w:rPr>
                <w:b/>
                <w:sz w:val="22"/>
              </w:rPr>
              <w:t xml:space="preserve">πλαισίου </w:t>
            </w:r>
          </w:p>
        </w:tc>
        <w:tc>
          <w:tcPr>
            <w:tcW w:w="1080" w:type="dxa"/>
            <w:vAlign w:val="center"/>
          </w:tcPr>
          <w:p w14:paraId="7837F2FD" w14:textId="77777777" w:rsidR="008F6AC1" w:rsidRPr="00483F7D" w:rsidRDefault="008F6AC1" w:rsidP="005563C1">
            <w:pPr>
              <w:spacing w:before="60" w:after="60"/>
              <w:jc w:val="center"/>
              <w:rPr>
                <w:noProof/>
              </w:rPr>
            </w:pPr>
            <w:r w:rsidRPr="00483F7D">
              <w:rPr>
                <w:sz w:val="22"/>
              </w:rPr>
              <w:t>Αριθμός</w:t>
            </w:r>
          </w:p>
        </w:tc>
        <w:tc>
          <w:tcPr>
            <w:tcW w:w="7775" w:type="dxa"/>
            <w:vAlign w:val="center"/>
          </w:tcPr>
          <w:p w14:paraId="1571D11E" w14:textId="77777777" w:rsidR="008F6AC1" w:rsidRPr="00483F7D" w:rsidRDefault="008F6AC1" w:rsidP="005563C1">
            <w:pPr>
              <w:spacing w:before="60" w:after="60"/>
              <w:jc w:val="left"/>
              <w:rPr>
                <w:noProof/>
              </w:rPr>
            </w:pPr>
            <w:r w:rsidRPr="00483F7D">
              <w:rPr>
                <w:sz w:val="22"/>
              </w:rPr>
              <w:t>Τομέας</w:t>
            </w:r>
            <w:r w:rsidRPr="00483F7D">
              <w:rPr>
                <w:color w:val="984806" w:themeColor="accent6" w:themeShade="80"/>
                <w:sz w:val="22"/>
              </w:rPr>
              <w:t xml:space="preserve"> </w:t>
            </w:r>
            <w:r w:rsidRPr="00483F7D">
              <w:rPr>
                <w:sz w:val="22"/>
              </w:rPr>
              <w:t>1 – Ενιαία αγορά, καινοτομία και ψηφιακή οικονομία</w:t>
            </w:r>
          </w:p>
        </w:tc>
      </w:tr>
    </w:tbl>
    <w:p w14:paraId="4D72D4E3" w14:textId="77777777" w:rsidR="00C16CE8" w:rsidRPr="00483F7D" w:rsidRDefault="00C16CE8" w:rsidP="00C16CE8">
      <w:pPr>
        <w:pStyle w:val="Text1"/>
        <w:ind w:left="0"/>
        <w:rPr>
          <w:noProof/>
          <w:sz w:val="4"/>
          <w:szCs w:val="2"/>
        </w:rPr>
      </w:pPr>
    </w:p>
    <w:tbl>
      <w:tblPr>
        <w:tblW w:w="4567"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223"/>
        <w:gridCol w:w="810"/>
        <w:gridCol w:w="905"/>
        <w:gridCol w:w="766"/>
        <w:gridCol w:w="866"/>
        <w:gridCol w:w="866"/>
        <w:gridCol w:w="866"/>
        <w:gridCol w:w="866"/>
        <w:gridCol w:w="866"/>
        <w:gridCol w:w="866"/>
        <w:gridCol w:w="866"/>
        <w:gridCol w:w="1091"/>
      </w:tblGrid>
      <w:tr w:rsidR="00C16CE8" w:rsidRPr="00483F7D" w14:paraId="62DC75C1" w14:textId="77777777" w:rsidTr="00C16CE8">
        <w:trPr>
          <w:trHeight w:val="425"/>
        </w:trPr>
        <w:tc>
          <w:tcPr>
            <w:tcW w:w="800" w:type="pct"/>
            <w:vAlign w:val="center"/>
          </w:tcPr>
          <w:p w14:paraId="495DE9F2" w14:textId="77777777" w:rsidR="00C16CE8" w:rsidRPr="00483F7D" w:rsidRDefault="00C16CE8" w:rsidP="00C16CE8">
            <w:pPr>
              <w:rPr>
                <w:b/>
                <w:bCs/>
                <w:noProof/>
              </w:rPr>
            </w:pPr>
            <w:r w:rsidRPr="00483F7D">
              <w:rPr>
                <w:b/>
              </w:rPr>
              <w:t>03 05 01</w:t>
            </w:r>
          </w:p>
        </w:tc>
        <w:tc>
          <w:tcPr>
            <w:tcW w:w="483" w:type="pct"/>
            <w:vAlign w:val="center"/>
          </w:tcPr>
          <w:p w14:paraId="32E4CED1" w14:textId="77777777" w:rsidR="00C16CE8" w:rsidRPr="00483F7D" w:rsidRDefault="00C16CE8" w:rsidP="00C16CE8">
            <w:pPr>
              <w:rPr>
                <w:noProof/>
                <w:sz w:val="20"/>
              </w:rPr>
            </w:pPr>
          </w:p>
        </w:tc>
        <w:tc>
          <w:tcPr>
            <w:tcW w:w="225" w:type="pct"/>
            <w:vAlign w:val="center"/>
          </w:tcPr>
          <w:p w14:paraId="0EDF02F8" w14:textId="77777777" w:rsidR="00C16CE8" w:rsidRPr="00483F7D" w:rsidRDefault="00C16CE8" w:rsidP="00C16CE8">
            <w:pPr>
              <w:jc w:val="center"/>
              <w:rPr>
                <w:noProof/>
                <w:sz w:val="20"/>
              </w:rPr>
            </w:pPr>
          </w:p>
        </w:tc>
        <w:tc>
          <w:tcPr>
            <w:tcW w:w="426" w:type="pct"/>
            <w:vAlign w:val="center"/>
          </w:tcPr>
          <w:p w14:paraId="1C818BCF" w14:textId="77777777" w:rsidR="00C16CE8" w:rsidRPr="00483F7D" w:rsidRDefault="00C16CE8" w:rsidP="00C16CE8">
            <w:pPr>
              <w:jc w:val="center"/>
              <w:rPr>
                <w:noProof/>
                <w:sz w:val="20"/>
              </w:rPr>
            </w:pPr>
            <w:r w:rsidRPr="00483F7D">
              <w:rPr>
                <w:sz w:val="20"/>
              </w:rPr>
              <w:t>2026</w:t>
            </w:r>
          </w:p>
        </w:tc>
        <w:tc>
          <w:tcPr>
            <w:tcW w:w="299" w:type="pct"/>
            <w:vAlign w:val="center"/>
          </w:tcPr>
          <w:p w14:paraId="30DD4204" w14:textId="77777777" w:rsidR="00C16CE8" w:rsidRPr="00483F7D" w:rsidRDefault="00C16CE8" w:rsidP="00C16CE8">
            <w:pPr>
              <w:jc w:val="center"/>
              <w:rPr>
                <w:noProof/>
                <w:sz w:val="20"/>
              </w:rPr>
            </w:pPr>
            <w:r w:rsidRPr="00483F7D">
              <w:rPr>
                <w:sz w:val="20"/>
              </w:rPr>
              <w:t>2027</w:t>
            </w:r>
          </w:p>
        </w:tc>
        <w:tc>
          <w:tcPr>
            <w:tcW w:w="338" w:type="pct"/>
            <w:vAlign w:val="center"/>
          </w:tcPr>
          <w:p w14:paraId="333A67AC" w14:textId="77777777" w:rsidR="00C16CE8" w:rsidRPr="00483F7D" w:rsidRDefault="00C16CE8" w:rsidP="00C16CE8">
            <w:pPr>
              <w:jc w:val="center"/>
              <w:rPr>
                <w:noProof/>
                <w:sz w:val="20"/>
              </w:rPr>
            </w:pPr>
            <w:r w:rsidRPr="00483F7D">
              <w:rPr>
                <w:sz w:val="20"/>
              </w:rPr>
              <w:t>2028</w:t>
            </w:r>
          </w:p>
        </w:tc>
        <w:tc>
          <w:tcPr>
            <w:tcW w:w="338" w:type="pct"/>
            <w:vAlign w:val="center"/>
          </w:tcPr>
          <w:p w14:paraId="62A8119E" w14:textId="77777777" w:rsidR="00C16CE8" w:rsidRPr="00483F7D" w:rsidRDefault="00C16CE8" w:rsidP="00C16CE8">
            <w:pPr>
              <w:jc w:val="center"/>
              <w:rPr>
                <w:noProof/>
                <w:sz w:val="20"/>
              </w:rPr>
            </w:pPr>
            <w:r w:rsidRPr="00483F7D">
              <w:rPr>
                <w:sz w:val="20"/>
              </w:rPr>
              <w:t>2029</w:t>
            </w:r>
          </w:p>
        </w:tc>
        <w:tc>
          <w:tcPr>
            <w:tcW w:w="338" w:type="pct"/>
            <w:vAlign w:val="center"/>
          </w:tcPr>
          <w:p w14:paraId="64B8B5F5" w14:textId="77777777" w:rsidR="00C16CE8" w:rsidRPr="00483F7D" w:rsidRDefault="00C16CE8" w:rsidP="00C16CE8">
            <w:pPr>
              <w:jc w:val="center"/>
              <w:rPr>
                <w:noProof/>
                <w:sz w:val="20"/>
              </w:rPr>
            </w:pPr>
            <w:r w:rsidRPr="00483F7D">
              <w:rPr>
                <w:sz w:val="20"/>
              </w:rPr>
              <w:t>2030</w:t>
            </w:r>
          </w:p>
        </w:tc>
        <w:tc>
          <w:tcPr>
            <w:tcW w:w="338" w:type="pct"/>
            <w:vAlign w:val="center"/>
          </w:tcPr>
          <w:p w14:paraId="1D2976DC" w14:textId="77777777" w:rsidR="00C16CE8" w:rsidRPr="00483F7D" w:rsidRDefault="00C16CE8" w:rsidP="00C16CE8">
            <w:pPr>
              <w:jc w:val="center"/>
              <w:rPr>
                <w:noProof/>
                <w:sz w:val="20"/>
              </w:rPr>
            </w:pPr>
            <w:r w:rsidRPr="00483F7D">
              <w:rPr>
                <w:sz w:val="20"/>
              </w:rPr>
              <w:t>2031</w:t>
            </w:r>
          </w:p>
        </w:tc>
        <w:tc>
          <w:tcPr>
            <w:tcW w:w="338" w:type="pct"/>
            <w:vAlign w:val="center"/>
          </w:tcPr>
          <w:p w14:paraId="5AC19D41" w14:textId="77777777" w:rsidR="00C16CE8" w:rsidRPr="00483F7D" w:rsidRDefault="00C16CE8" w:rsidP="00C16CE8">
            <w:pPr>
              <w:jc w:val="center"/>
              <w:rPr>
                <w:bCs/>
                <w:noProof/>
                <w:sz w:val="18"/>
              </w:rPr>
            </w:pPr>
            <w:r w:rsidRPr="00483F7D">
              <w:rPr>
                <w:sz w:val="18"/>
              </w:rPr>
              <w:t>2032</w:t>
            </w:r>
          </w:p>
        </w:tc>
        <w:tc>
          <w:tcPr>
            <w:tcW w:w="338" w:type="pct"/>
            <w:vAlign w:val="center"/>
          </w:tcPr>
          <w:p w14:paraId="50BA9D74" w14:textId="77777777" w:rsidR="00C16CE8" w:rsidRPr="00483F7D" w:rsidRDefault="00C16CE8" w:rsidP="00C16CE8">
            <w:pPr>
              <w:jc w:val="center"/>
              <w:rPr>
                <w:bCs/>
                <w:noProof/>
                <w:sz w:val="18"/>
              </w:rPr>
            </w:pPr>
            <w:r w:rsidRPr="00483F7D">
              <w:rPr>
                <w:sz w:val="18"/>
              </w:rPr>
              <w:t>2033</w:t>
            </w:r>
          </w:p>
        </w:tc>
        <w:tc>
          <w:tcPr>
            <w:tcW w:w="338" w:type="pct"/>
            <w:vAlign w:val="center"/>
          </w:tcPr>
          <w:p w14:paraId="223758FD" w14:textId="77777777" w:rsidR="00C16CE8" w:rsidRPr="00483F7D" w:rsidRDefault="00C16CE8" w:rsidP="00C16CE8">
            <w:pPr>
              <w:jc w:val="center"/>
              <w:rPr>
                <w:bCs/>
                <w:noProof/>
                <w:sz w:val="18"/>
              </w:rPr>
            </w:pPr>
            <w:r w:rsidRPr="00483F7D">
              <w:rPr>
                <w:sz w:val="18"/>
              </w:rPr>
              <w:t>2034</w:t>
            </w:r>
          </w:p>
        </w:tc>
        <w:tc>
          <w:tcPr>
            <w:tcW w:w="399" w:type="pct"/>
            <w:vAlign w:val="center"/>
          </w:tcPr>
          <w:p w14:paraId="405DA053" w14:textId="77777777" w:rsidR="00C16CE8" w:rsidRPr="00483F7D" w:rsidRDefault="00C16CE8" w:rsidP="00C16CE8">
            <w:pPr>
              <w:jc w:val="center"/>
              <w:rPr>
                <w:b/>
                <w:noProof/>
                <w:sz w:val="20"/>
              </w:rPr>
            </w:pPr>
            <w:r w:rsidRPr="00483F7D">
              <w:rPr>
                <w:b/>
                <w:sz w:val="20"/>
              </w:rPr>
              <w:t>ΣΥΝΟΛΟ</w:t>
            </w:r>
          </w:p>
        </w:tc>
      </w:tr>
      <w:tr w:rsidR="00C16CE8" w:rsidRPr="00483F7D" w14:paraId="1AEF21B8" w14:textId="77777777" w:rsidTr="00C16CE8">
        <w:trPr>
          <w:trHeight w:hRule="exact" w:val="789"/>
        </w:trPr>
        <w:tc>
          <w:tcPr>
            <w:tcW w:w="800" w:type="pct"/>
            <w:vMerge w:val="restart"/>
            <w:vAlign w:val="center"/>
          </w:tcPr>
          <w:p w14:paraId="3E9E52A4" w14:textId="77777777" w:rsidR="00C16CE8" w:rsidRPr="00483F7D" w:rsidRDefault="00C16CE8" w:rsidP="00C16CE8">
            <w:pPr>
              <w:jc w:val="left"/>
              <w:rPr>
                <w:noProof/>
                <w:sz w:val="20"/>
                <w:szCs w:val="18"/>
              </w:rPr>
            </w:pPr>
            <w:r w:rsidRPr="00483F7D">
              <w:rPr>
                <w:sz w:val="20"/>
              </w:rPr>
              <w:t>Συνεργασία στον τομέα των τελωνείων (Κόμβος δεδομένων - Επιτροπή)</w:t>
            </w:r>
          </w:p>
        </w:tc>
        <w:tc>
          <w:tcPr>
            <w:tcW w:w="483" w:type="pct"/>
            <w:vAlign w:val="center"/>
          </w:tcPr>
          <w:p w14:paraId="5AD53C23" w14:textId="77777777" w:rsidR="00C16CE8" w:rsidRPr="00483F7D" w:rsidRDefault="00C16CE8" w:rsidP="00C16CE8">
            <w:pPr>
              <w:spacing w:before="20" w:after="20"/>
              <w:rPr>
                <w:noProof/>
              </w:rPr>
            </w:pPr>
            <w:r w:rsidRPr="00483F7D">
              <w:rPr>
                <w:sz w:val="18"/>
              </w:rPr>
              <w:t>Αναλήψεις υποχρεώσεων</w:t>
            </w:r>
          </w:p>
        </w:tc>
        <w:tc>
          <w:tcPr>
            <w:tcW w:w="225" w:type="pct"/>
            <w:vAlign w:val="center"/>
          </w:tcPr>
          <w:p w14:paraId="4170ED65" w14:textId="77777777" w:rsidR="00C16CE8" w:rsidRPr="00483F7D" w:rsidRDefault="00C16CE8" w:rsidP="00C16CE8">
            <w:pPr>
              <w:spacing w:before="20" w:after="20"/>
              <w:jc w:val="center"/>
              <w:rPr>
                <w:noProof/>
                <w:sz w:val="14"/>
              </w:rPr>
            </w:pPr>
            <w:r w:rsidRPr="00483F7D">
              <w:rPr>
                <w:sz w:val="14"/>
              </w:rPr>
              <w:t>(1)</w:t>
            </w:r>
          </w:p>
        </w:tc>
        <w:tc>
          <w:tcPr>
            <w:tcW w:w="426" w:type="pct"/>
            <w:shd w:val="clear" w:color="auto" w:fill="auto"/>
            <w:vAlign w:val="center"/>
          </w:tcPr>
          <w:p w14:paraId="24501E00" w14:textId="77777777" w:rsidR="00C16CE8" w:rsidRPr="00483F7D" w:rsidRDefault="00C16CE8" w:rsidP="00C16CE8">
            <w:pPr>
              <w:spacing w:before="20" w:after="20"/>
              <w:jc w:val="right"/>
              <w:rPr>
                <w:sz w:val="20"/>
                <w:szCs w:val="20"/>
              </w:rPr>
            </w:pPr>
            <w:r w:rsidRPr="00483F7D">
              <w:rPr>
                <w:sz w:val="20"/>
              </w:rPr>
              <w:t>23,072</w:t>
            </w:r>
          </w:p>
        </w:tc>
        <w:tc>
          <w:tcPr>
            <w:tcW w:w="299" w:type="pct"/>
            <w:shd w:val="clear" w:color="auto" w:fill="auto"/>
            <w:vAlign w:val="center"/>
          </w:tcPr>
          <w:p w14:paraId="309BA577" w14:textId="77777777" w:rsidR="00C16CE8" w:rsidRPr="00483F7D" w:rsidRDefault="00C16CE8" w:rsidP="00C16CE8">
            <w:pPr>
              <w:spacing w:before="20" w:after="20"/>
              <w:jc w:val="right"/>
              <w:rPr>
                <w:sz w:val="20"/>
                <w:szCs w:val="20"/>
              </w:rPr>
            </w:pPr>
            <w:r w:rsidRPr="00483F7D">
              <w:rPr>
                <w:sz w:val="20"/>
              </w:rPr>
              <w:t>31,946</w:t>
            </w:r>
          </w:p>
        </w:tc>
        <w:tc>
          <w:tcPr>
            <w:tcW w:w="338" w:type="pct"/>
            <w:shd w:val="clear" w:color="auto" w:fill="auto"/>
            <w:vAlign w:val="center"/>
          </w:tcPr>
          <w:p w14:paraId="5E279A4C" w14:textId="77777777" w:rsidR="00C16CE8" w:rsidRPr="00483F7D" w:rsidRDefault="00C16CE8" w:rsidP="00C16CE8">
            <w:pPr>
              <w:spacing w:before="20" w:after="20"/>
              <w:jc w:val="right"/>
              <w:rPr>
                <w:noProof/>
                <w:sz w:val="20"/>
                <w:szCs w:val="20"/>
              </w:rPr>
            </w:pPr>
            <w:r w:rsidRPr="00483F7D">
              <w:rPr>
                <w:sz w:val="20"/>
              </w:rPr>
              <w:t>101,682</w:t>
            </w:r>
          </w:p>
        </w:tc>
        <w:tc>
          <w:tcPr>
            <w:tcW w:w="338" w:type="pct"/>
            <w:shd w:val="clear" w:color="auto" w:fill="auto"/>
            <w:vAlign w:val="center"/>
          </w:tcPr>
          <w:p w14:paraId="30574E2C" w14:textId="77777777" w:rsidR="00C16CE8" w:rsidRPr="00483F7D" w:rsidRDefault="00C16CE8" w:rsidP="00C16CE8">
            <w:pPr>
              <w:spacing w:before="20" w:after="20"/>
              <w:jc w:val="right"/>
              <w:rPr>
                <w:noProof/>
                <w:sz w:val="20"/>
                <w:szCs w:val="20"/>
              </w:rPr>
            </w:pPr>
            <w:r w:rsidRPr="00483F7D">
              <w:rPr>
                <w:sz w:val="20"/>
              </w:rPr>
              <w:t>127,015</w:t>
            </w:r>
          </w:p>
        </w:tc>
        <w:tc>
          <w:tcPr>
            <w:tcW w:w="338" w:type="pct"/>
            <w:shd w:val="clear" w:color="auto" w:fill="auto"/>
            <w:vAlign w:val="center"/>
          </w:tcPr>
          <w:p w14:paraId="205EAB6E" w14:textId="77777777" w:rsidR="00C16CE8" w:rsidRPr="00483F7D" w:rsidRDefault="00C16CE8" w:rsidP="00C16CE8">
            <w:pPr>
              <w:spacing w:before="20" w:after="20"/>
              <w:jc w:val="right"/>
              <w:rPr>
                <w:noProof/>
                <w:sz w:val="20"/>
                <w:szCs w:val="20"/>
              </w:rPr>
            </w:pPr>
            <w:r w:rsidRPr="00483F7D">
              <w:rPr>
                <w:sz w:val="20"/>
              </w:rPr>
              <w:t>50,817</w:t>
            </w:r>
          </w:p>
        </w:tc>
        <w:tc>
          <w:tcPr>
            <w:tcW w:w="338" w:type="pct"/>
            <w:shd w:val="clear" w:color="auto" w:fill="auto"/>
            <w:vAlign w:val="center"/>
          </w:tcPr>
          <w:p w14:paraId="6AE34C56" w14:textId="77777777" w:rsidR="00C16CE8" w:rsidRPr="00483F7D" w:rsidRDefault="00C16CE8" w:rsidP="00C16CE8">
            <w:pPr>
              <w:spacing w:before="20" w:after="20"/>
              <w:jc w:val="right"/>
              <w:rPr>
                <w:noProof/>
                <w:sz w:val="20"/>
                <w:szCs w:val="20"/>
              </w:rPr>
            </w:pPr>
            <w:r w:rsidRPr="00483F7D">
              <w:rPr>
                <w:sz w:val="20"/>
              </w:rPr>
              <w:t>0</w:t>
            </w:r>
          </w:p>
        </w:tc>
        <w:tc>
          <w:tcPr>
            <w:tcW w:w="338" w:type="pct"/>
            <w:shd w:val="clear" w:color="auto" w:fill="auto"/>
            <w:vAlign w:val="center"/>
          </w:tcPr>
          <w:p w14:paraId="2CF473FB" w14:textId="77777777" w:rsidR="00C16CE8" w:rsidRPr="00483F7D" w:rsidRDefault="00C16CE8" w:rsidP="00C16CE8">
            <w:pPr>
              <w:spacing w:before="20" w:after="20"/>
              <w:jc w:val="right"/>
              <w:rPr>
                <w:noProof/>
                <w:sz w:val="20"/>
                <w:szCs w:val="20"/>
              </w:rPr>
            </w:pPr>
            <w:r w:rsidRPr="00483F7D">
              <w:rPr>
                <w:sz w:val="20"/>
              </w:rPr>
              <w:t>0</w:t>
            </w:r>
          </w:p>
        </w:tc>
        <w:tc>
          <w:tcPr>
            <w:tcW w:w="338" w:type="pct"/>
            <w:shd w:val="clear" w:color="auto" w:fill="auto"/>
            <w:vAlign w:val="center"/>
          </w:tcPr>
          <w:p w14:paraId="39123E06" w14:textId="77777777" w:rsidR="00C16CE8" w:rsidRPr="00483F7D" w:rsidRDefault="00C16CE8" w:rsidP="00C16CE8">
            <w:pPr>
              <w:spacing w:before="20" w:after="20"/>
              <w:jc w:val="right"/>
              <w:rPr>
                <w:noProof/>
                <w:sz w:val="20"/>
                <w:szCs w:val="20"/>
              </w:rPr>
            </w:pPr>
            <w:r w:rsidRPr="00483F7D">
              <w:rPr>
                <w:sz w:val="20"/>
              </w:rPr>
              <w:t>0</w:t>
            </w:r>
          </w:p>
        </w:tc>
        <w:tc>
          <w:tcPr>
            <w:tcW w:w="338" w:type="pct"/>
            <w:shd w:val="clear" w:color="auto" w:fill="auto"/>
            <w:vAlign w:val="center"/>
          </w:tcPr>
          <w:p w14:paraId="0BE23DDB" w14:textId="77777777" w:rsidR="00C16CE8" w:rsidRPr="00483F7D" w:rsidRDefault="00C16CE8" w:rsidP="00C16CE8">
            <w:pPr>
              <w:spacing w:before="20" w:after="20"/>
              <w:jc w:val="right"/>
              <w:rPr>
                <w:bCs/>
                <w:noProof/>
                <w:sz w:val="20"/>
                <w:szCs w:val="20"/>
              </w:rPr>
            </w:pPr>
            <w:r w:rsidRPr="00483F7D">
              <w:rPr>
                <w:sz w:val="20"/>
              </w:rPr>
              <w:t>0</w:t>
            </w:r>
          </w:p>
        </w:tc>
        <w:tc>
          <w:tcPr>
            <w:tcW w:w="399" w:type="pct"/>
            <w:shd w:val="clear" w:color="auto" w:fill="auto"/>
            <w:vAlign w:val="center"/>
          </w:tcPr>
          <w:p w14:paraId="016BAD97" w14:textId="77777777" w:rsidR="00C16CE8" w:rsidRPr="00483F7D" w:rsidRDefault="00C16CE8" w:rsidP="00C16CE8">
            <w:pPr>
              <w:spacing w:before="20" w:after="20"/>
              <w:jc w:val="right"/>
              <w:rPr>
                <w:b/>
                <w:noProof/>
                <w:sz w:val="20"/>
                <w:szCs w:val="20"/>
              </w:rPr>
            </w:pPr>
            <w:r w:rsidRPr="00483F7D">
              <w:rPr>
                <w:b/>
                <w:sz w:val="20"/>
              </w:rPr>
              <w:t>334,533</w:t>
            </w:r>
          </w:p>
        </w:tc>
      </w:tr>
      <w:tr w:rsidR="00C16CE8" w:rsidRPr="00483F7D" w14:paraId="127EF9BD" w14:textId="77777777" w:rsidTr="00C16CE8">
        <w:trPr>
          <w:trHeight w:hRule="exact" w:val="535"/>
        </w:trPr>
        <w:tc>
          <w:tcPr>
            <w:tcW w:w="800" w:type="pct"/>
            <w:vMerge/>
            <w:vAlign w:val="center"/>
          </w:tcPr>
          <w:p w14:paraId="62ED5B98" w14:textId="77777777" w:rsidR="00C16CE8" w:rsidRPr="00483F7D" w:rsidRDefault="00C16CE8" w:rsidP="00C16CE8">
            <w:pPr>
              <w:rPr>
                <w:noProof/>
                <w:sz w:val="20"/>
                <w:szCs w:val="18"/>
              </w:rPr>
            </w:pPr>
          </w:p>
        </w:tc>
        <w:tc>
          <w:tcPr>
            <w:tcW w:w="483" w:type="pct"/>
            <w:vAlign w:val="center"/>
          </w:tcPr>
          <w:p w14:paraId="46DFD410" w14:textId="77777777" w:rsidR="00C16CE8" w:rsidRPr="00483F7D" w:rsidRDefault="00C16CE8" w:rsidP="00C16CE8">
            <w:pPr>
              <w:spacing w:before="20" w:after="20"/>
              <w:rPr>
                <w:noProof/>
                <w:sz w:val="18"/>
              </w:rPr>
            </w:pPr>
            <w:r w:rsidRPr="00483F7D">
              <w:rPr>
                <w:sz w:val="18"/>
              </w:rPr>
              <w:t>Πληρωμές</w:t>
            </w:r>
          </w:p>
        </w:tc>
        <w:tc>
          <w:tcPr>
            <w:tcW w:w="225" w:type="pct"/>
            <w:vAlign w:val="center"/>
          </w:tcPr>
          <w:p w14:paraId="13D732F2" w14:textId="77777777" w:rsidR="00C16CE8" w:rsidRPr="00483F7D" w:rsidRDefault="00C16CE8" w:rsidP="00C16CE8">
            <w:pPr>
              <w:spacing w:before="20" w:after="20"/>
              <w:jc w:val="center"/>
              <w:rPr>
                <w:noProof/>
                <w:sz w:val="14"/>
              </w:rPr>
            </w:pPr>
            <w:r w:rsidRPr="00483F7D">
              <w:rPr>
                <w:sz w:val="14"/>
              </w:rPr>
              <w:t>(2)</w:t>
            </w:r>
          </w:p>
        </w:tc>
        <w:tc>
          <w:tcPr>
            <w:tcW w:w="426" w:type="pct"/>
            <w:shd w:val="clear" w:color="auto" w:fill="auto"/>
            <w:vAlign w:val="center"/>
          </w:tcPr>
          <w:p w14:paraId="41CA2C2E" w14:textId="77777777" w:rsidR="00C16CE8" w:rsidRPr="00483F7D" w:rsidRDefault="00C16CE8" w:rsidP="00C16CE8">
            <w:pPr>
              <w:spacing w:before="20" w:after="20"/>
              <w:jc w:val="right"/>
              <w:rPr>
                <w:sz w:val="20"/>
                <w:szCs w:val="20"/>
              </w:rPr>
            </w:pPr>
            <w:r w:rsidRPr="00483F7D">
              <w:rPr>
                <w:sz w:val="20"/>
              </w:rPr>
              <w:t>23,072</w:t>
            </w:r>
          </w:p>
        </w:tc>
        <w:tc>
          <w:tcPr>
            <w:tcW w:w="299" w:type="pct"/>
            <w:shd w:val="clear" w:color="auto" w:fill="auto"/>
            <w:vAlign w:val="center"/>
          </w:tcPr>
          <w:p w14:paraId="040DB862" w14:textId="77777777" w:rsidR="00C16CE8" w:rsidRPr="00483F7D" w:rsidRDefault="00C16CE8" w:rsidP="00C16CE8">
            <w:pPr>
              <w:spacing w:before="20" w:after="20"/>
              <w:jc w:val="right"/>
              <w:rPr>
                <w:sz w:val="20"/>
                <w:szCs w:val="20"/>
              </w:rPr>
            </w:pPr>
            <w:r w:rsidRPr="00483F7D">
              <w:rPr>
                <w:sz w:val="20"/>
              </w:rPr>
              <w:t>31,946</w:t>
            </w:r>
          </w:p>
        </w:tc>
        <w:tc>
          <w:tcPr>
            <w:tcW w:w="338" w:type="pct"/>
            <w:shd w:val="clear" w:color="auto" w:fill="auto"/>
            <w:vAlign w:val="center"/>
          </w:tcPr>
          <w:p w14:paraId="1D6728A6" w14:textId="77777777" w:rsidR="00C16CE8" w:rsidRPr="00483F7D" w:rsidRDefault="00C16CE8" w:rsidP="00C16CE8">
            <w:pPr>
              <w:spacing w:before="20" w:after="20"/>
              <w:jc w:val="right"/>
              <w:rPr>
                <w:noProof/>
                <w:sz w:val="20"/>
                <w:szCs w:val="20"/>
                <w:highlight w:val="yellow"/>
              </w:rPr>
            </w:pPr>
            <w:r w:rsidRPr="00483F7D">
              <w:rPr>
                <w:sz w:val="20"/>
              </w:rPr>
              <w:t>101,682</w:t>
            </w:r>
          </w:p>
        </w:tc>
        <w:tc>
          <w:tcPr>
            <w:tcW w:w="338" w:type="pct"/>
            <w:shd w:val="clear" w:color="auto" w:fill="auto"/>
            <w:vAlign w:val="center"/>
          </w:tcPr>
          <w:p w14:paraId="198F1FC1" w14:textId="77777777" w:rsidR="00C16CE8" w:rsidRPr="00483F7D" w:rsidRDefault="00C16CE8" w:rsidP="00C16CE8">
            <w:pPr>
              <w:spacing w:before="20" w:after="20"/>
              <w:jc w:val="right"/>
              <w:rPr>
                <w:noProof/>
                <w:sz w:val="20"/>
                <w:szCs w:val="20"/>
                <w:highlight w:val="yellow"/>
              </w:rPr>
            </w:pPr>
            <w:r w:rsidRPr="00483F7D">
              <w:rPr>
                <w:sz w:val="20"/>
              </w:rPr>
              <w:t>127,015</w:t>
            </w:r>
          </w:p>
        </w:tc>
        <w:tc>
          <w:tcPr>
            <w:tcW w:w="338" w:type="pct"/>
            <w:shd w:val="clear" w:color="auto" w:fill="auto"/>
            <w:vAlign w:val="center"/>
          </w:tcPr>
          <w:p w14:paraId="22C1F27A" w14:textId="77777777" w:rsidR="00C16CE8" w:rsidRPr="00483F7D" w:rsidRDefault="00C16CE8" w:rsidP="00C16CE8">
            <w:pPr>
              <w:spacing w:before="20" w:after="20"/>
              <w:jc w:val="right"/>
              <w:rPr>
                <w:noProof/>
                <w:sz w:val="20"/>
                <w:szCs w:val="20"/>
              </w:rPr>
            </w:pPr>
            <w:r w:rsidRPr="00483F7D">
              <w:rPr>
                <w:sz w:val="20"/>
              </w:rPr>
              <w:t>50,817</w:t>
            </w:r>
          </w:p>
        </w:tc>
        <w:tc>
          <w:tcPr>
            <w:tcW w:w="338" w:type="pct"/>
            <w:shd w:val="clear" w:color="auto" w:fill="auto"/>
            <w:vAlign w:val="center"/>
          </w:tcPr>
          <w:p w14:paraId="057FF11D" w14:textId="77777777" w:rsidR="00C16CE8" w:rsidRPr="00483F7D" w:rsidRDefault="00C16CE8" w:rsidP="00C16CE8">
            <w:pPr>
              <w:spacing w:before="20" w:after="20"/>
              <w:jc w:val="right"/>
              <w:rPr>
                <w:noProof/>
                <w:sz w:val="20"/>
                <w:szCs w:val="20"/>
              </w:rPr>
            </w:pPr>
            <w:r w:rsidRPr="00483F7D">
              <w:rPr>
                <w:sz w:val="20"/>
              </w:rPr>
              <w:t>0</w:t>
            </w:r>
          </w:p>
        </w:tc>
        <w:tc>
          <w:tcPr>
            <w:tcW w:w="338" w:type="pct"/>
            <w:shd w:val="clear" w:color="auto" w:fill="auto"/>
            <w:vAlign w:val="center"/>
          </w:tcPr>
          <w:p w14:paraId="1851A141" w14:textId="77777777" w:rsidR="00C16CE8" w:rsidRPr="00483F7D" w:rsidRDefault="00C16CE8" w:rsidP="00C16CE8">
            <w:pPr>
              <w:spacing w:before="20" w:after="20"/>
              <w:jc w:val="right"/>
              <w:rPr>
                <w:noProof/>
                <w:sz w:val="20"/>
                <w:szCs w:val="20"/>
              </w:rPr>
            </w:pPr>
            <w:r w:rsidRPr="00483F7D">
              <w:rPr>
                <w:sz w:val="20"/>
              </w:rPr>
              <w:t>0</w:t>
            </w:r>
          </w:p>
        </w:tc>
        <w:tc>
          <w:tcPr>
            <w:tcW w:w="338" w:type="pct"/>
            <w:shd w:val="clear" w:color="auto" w:fill="auto"/>
            <w:vAlign w:val="center"/>
          </w:tcPr>
          <w:p w14:paraId="0EA40B8A" w14:textId="77777777" w:rsidR="00C16CE8" w:rsidRPr="00483F7D" w:rsidRDefault="00C16CE8" w:rsidP="00C16CE8">
            <w:pPr>
              <w:spacing w:before="20" w:after="20"/>
              <w:jc w:val="right"/>
              <w:rPr>
                <w:noProof/>
                <w:sz w:val="20"/>
                <w:szCs w:val="20"/>
              </w:rPr>
            </w:pPr>
            <w:r w:rsidRPr="00483F7D">
              <w:rPr>
                <w:sz w:val="20"/>
              </w:rPr>
              <w:t>0</w:t>
            </w:r>
          </w:p>
        </w:tc>
        <w:tc>
          <w:tcPr>
            <w:tcW w:w="338" w:type="pct"/>
            <w:shd w:val="clear" w:color="auto" w:fill="auto"/>
            <w:vAlign w:val="center"/>
          </w:tcPr>
          <w:p w14:paraId="465B6734" w14:textId="77777777" w:rsidR="00C16CE8" w:rsidRPr="00483F7D" w:rsidRDefault="00C16CE8" w:rsidP="00C16CE8">
            <w:pPr>
              <w:spacing w:before="20" w:after="20"/>
              <w:jc w:val="right"/>
              <w:rPr>
                <w:bCs/>
                <w:noProof/>
                <w:sz w:val="20"/>
                <w:szCs w:val="20"/>
              </w:rPr>
            </w:pPr>
            <w:r w:rsidRPr="00483F7D">
              <w:rPr>
                <w:sz w:val="20"/>
              </w:rPr>
              <w:t>0</w:t>
            </w:r>
          </w:p>
        </w:tc>
        <w:tc>
          <w:tcPr>
            <w:tcW w:w="399" w:type="pct"/>
            <w:shd w:val="clear" w:color="auto" w:fill="auto"/>
            <w:vAlign w:val="center"/>
          </w:tcPr>
          <w:p w14:paraId="3B9306F7" w14:textId="77777777" w:rsidR="00C16CE8" w:rsidRPr="00483F7D" w:rsidRDefault="00C16CE8" w:rsidP="00C16CE8">
            <w:pPr>
              <w:spacing w:before="20" w:after="20"/>
              <w:jc w:val="right"/>
              <w:rPr>
                <w:b/>
                <w:noProof/>
                <w:sz w:val="20"/>
                <w:szCs w:val="20"/>
              </w:rPr>
            </w:pPr>
            <w:r w:rsidRPr="00483F7D">
              <w:rPr>
                <w:b/>
                <w:sz w:val="20"/>
              </w:rPr>
              <w:t>334,533</w:t>
            </w:r>
          </w:p>
        </w:tc>
      </w:tr>
      <w:tr w:rsidR="00C16CE8" w:rsidRPr="00483F7D" w14:paraId="3F394643" w14:textId="77777777" w:rsidTr="00C16CE8">
        <w:trPr>
          <w:trHeight w:hRule="exact" w:val="410"/>
        </w:trPr>
        <w:tc>
          <w:tcPr>
            <w:tcW w:w="800" w:type="pct"/>
            <w:vMerge w:val="restart"/>
            <w:vAlign w:val="center"/>
          </w:tcPr>
          <w:p w14:paraId="2C3F907E" w14:textId="77777777" w:rsidR="00C16CE8" w:rsidRPr="00483F7D" w:rsidRDefault="00C16CE8" w:rsidP="00C16CE8">
            <w:pPr>
              <w:jc w:val="left"/>
              <w:rPr>
                <w:i/>
                <w:iCs/>
                <w:noProof/>
                <w:sz w:val="20"/>
                <w:szCs w:val="18"/>
              </w:rPr>
            </w:pPr>
            <w:r w:rsidRPr="00483F7D">
              <w:rPr>
                <w:sz w:val="20"/>
              </w:rPr>
              <w:t xml:space="preserve">Συνεργασία στον τομέα των τελωνείων (Κόμβος δεδομένων — </w:t>
            </w:r>
            <w:r w:rsidRPr="00483F7D">
              <w:rPr>
                <w:b/>
                <w:sz w:val="20"/>
              </w:rPr>
              <w:t>ρύθμιση συνεισφοράς</w:t>
            </w:r>
            <w:r w:rsidRPr="00483F7D">
              <w:rPr>
                <w:sz w:val="20"/>
              </w:rPr>
              <w:t xml:space="preserve"> στην Τελωνειακή Αρχή της ΕΕ)</w:t>
            </w:r>
          </w:p>
        </w:tc>
        <w:tc>
          <w:tcPr>
            <w:tcW w:w="483" w:type="pct"/>
            <w:vAlign w:val="center"/>
          </w:tcPr>
          <w:p w14:paraId="1D96FA88" w14:textId="77777777" w:rsidR="00C16CE8" w:rsidRPr="00483F7D" w:rsidRDefault="00C16CE8" w:rsidP="00C16CE8">
            <w:pPr>
              <w:spacing w:before="20" w:after="20"/>
              <w:rPr>
                <w:noProof/>
                <w:sz w:val="18"/>
              </w:rPr>
            </w:pPr>
            <w:r w:rsidRPr="00483F7D">
              <w:rPr>
                <w:sz w:val="18"/>
              </w:rPr>
              <w:t>Αναλήψεις υποχρεώσεων</w:t>
            </w:r>
          </w:p>
        </w:tc>
        <w:tc>
          <w:tcPr>
            <w:tcW w:w="225" w:type="pct"/>
            <w:vAlign w:val="center"/>
          </w:tcPr>
          <w:p w14:paraId="4415F532" w14:textId="77777777" w:rsidR="00C16CE8" w:rsidRPr="00483F7D" w:rsidRDefault="00C16CE8" w:rsidP="00C16CE8">
            <w:pPr>
              <w:spacing w:before="20" w:after="20"/>
              <w:jc w:val="center"/>
              <w:rPr>
                <w:noProof/>
                <w:sz w:val="14"/>
              </w:rPr>
            </w:pPr>
            <w:r w:rsidRPr="00483F7D">
              <w:rPr>
                <w:sz w:val="14"/>
              </w:rPr>
              <w:t>(1α)</w:t>
            </w:r>
          </w:p>
        </w:tc>
        <w:tc>
          <w:tcPr>
            <w:tcW w:w="426" w:type="pct"/>
            <w:shd w:val="clear" w:color="auto" w:fill="auto"/>
            <w:vAlign w:val="center"/>
          </w:tcPr>
          <w:p w14:paraId="196C4513" w14:textId="77777777" w:rsidR="00C16CE8" w:rsidRPr="00483F7D" w:rsidRDefault="00C16CE8" w:rsidP="00C16CE8">
            <w:pPr>
              <w:spacing w:before="20" w:after="20"/>
              <w:jc w:val="right"/>
              <w:rPr>
                <w:sz w:val="20"/>
                <w:szCs w:val="20"/>
              </w:rPr>
            </w:pPr>
          </w:p>
        </w:tc>
        <w:tc>
          <w:tcPr>
            <w:tcW w:w="299" w:type="pct"/>
            <w:shd w:val="clear" w:color="auto" w:fill="auto"/>
            <w:vAlign w:val="center"/>
          </w:tcPr>
          <w:p w14:paraId="69A2AF6F" w14:textId="77777777" w:rsidR="00C16CE8" w:rsidRPr="00483F7D" w:rsidRDefault="00C16CE8" w:rsidP="00C16CE8">
            <w:pPr>
              <w:spacing w:before="20" w:after="20"/>
              <w:jc w:val="right"/>
              <w:rPr>
                <w:sz w:val="20"/>
                <w:szCs w:val="20"/>
              </w:rPr>
            </w:pPr>
          </w:p>
        </w:tc>
        <w:tc>
          <w:tcPr>
            <w:tcW w:w="338" w:type="pct"/>
            <w:shd w:val="clear" w:color="auto" w:fill="auto"/>
            <w:vAlign w:val="center"/>
          </w:tcPr>
          <w:p w14:paraId="213124BF" w14:textId="77777777" w:rsidR="00C16CE8" w:rsidRPr="00483F7D" w:rsidRDefault="00C16CE8" w:rsidP="00C16CE8">
            <w:pPr>
              <w:spacing w:before="20" w:after="20"/>
              <w:jc w:val="right"/>
              <w:rPr>
                <w:noProof/>
                <w:sz w:val="20"/>
                <w:szCs w:val="20"/>
              </w:rPr>
            </w:pPr>
            <w:r w:rsidRPr="00483F7D">
              <w:rPr>
                <w:sz w:val="20"/>
              </w:rPr>
              <w:t>25,420</w:t>
            </w:r>
          </w:p>
        </w:tc>
        <w:tc>
          <w:tcPr>
            <w:tcW w:w="338" w:type="pct"/>
            <w:shd w:val="clear" w:color="auto" w:fill="auto"/>
            <w:vAlign w:val="center"/>
          </w:tcPr>
          <w:p w14:paraId="755B6AAE" w14:textId="77777777" w:rsidR="00C16CE8" w:rsidRPr="00483F7D" w:rsidRDefault="00C16CE8" w:rsidP="00C16CE8">
            <w:pPr>
              <w:spacing w:before="20" w:after="20"/>
              <w:jc w:val="right"/>
              <w:rPr>
                <w:noProof/>
                <w:sz w:val="20"/>
                <w:szCs w:val="20"/>
              </w:rPr>
            </w:pPr>
            <w:r w:rsidRPr="00483F7D">
              <w:rPr>
                <w:sz w:val="20"/>
              </w:rPr>
              <w:t>84,677</w:t>
            </w:r>
          </w:p>
        </w:tc>
        <w:tc>
          <w:tcPr>
            <w:tcW w:w="338" w:type="pct"/>
            <w:shd w:val="clear" w:color="auto" w:fill="auto"/>
            <w:vAlign w:val="center"/>
          </w:tcPr>
          <w:p w14:paraId="4F18975C" w14:textId="77777777" w:rsidR="00C16CE8" w:rsidRPr="00483F7D" w:rsidRDefault="00C16CE8" w:rsidP="00C16CE8">
            <w:pPr>
              <w:spacing w:before="20" w:after="20"/>
              <w:jc w:val="right"/>
              <w:rPr>
                <w:noProof/>
                <w:sz w:val="20"/>
                <w:szCs w:val="20"/>
              </w:rPr>
            </w:pPr>
            <w:r w:rsidRPr="00483F7D">
              <w:rPr>
                <w:sz w:val="20"/>
              </w:rPr>
              <w:t>203,268</w:t>
            </w:r>
          </w:p>
        </w:tc>
        <w:tc>
          <w:tcPr>
            <w:tcW w:w="338" w:type="pct"/>
            <w:shd w:val="clear" w:color="auto" w:fill="auto"/>
            <w:vAlign w:val="center"/>
          </w:tcPr>
          <w:p w14:paraId="7D7391E4" w14:textId="77777777" w:rsidR="00C16CE8" w:rsidRPr="00483F7D" w:rsidRDefault="00C16CE8" w:rsidP="00C16CE8">
            <w:pPr>
              <w:spacing w:before="20" w:after="20"/>
              <w:jc w:val="right"/>
              <w:rPr>
                <w:noProof/>
                <w:sz w:val="20"/>
                <w:szCs w:val="20"/>
              </w:rPr>
            </w:pPr>
            <w:r w:rsidRPr="00483F7D">
              <w:rPr>
                <w:sz w:val="20"/>
              </w:rPr>
              <w:t>268,580</w:t>
            </w:r>
          </w:p>
        </w:tc>
        <w:tc>
          <w:tcPr>
            <w:tcW w:w="338" w:type="pct"/>
            <w:shd w:val="clear" w:color="auto" w:fill="auto"/>
            <w:vAlign w:val="center"/>
          </w:tcPr>
          <w:p w14:paraId="55B0C021" w14:textId="77777777" w:rsidR="00C16CE8" w:rsidRPr="00483F7D" w:rsidRDefault="00C16CE8" w:rsidP="00C16CE8">
            <w:pPr>
              <w:spacing w:before="20" w:after="20"/>
              <w:jc w:val="right"/>
              <w:rPr>
                <w:noProof/>
                <w:sz w:val="20"/>
                <w:szCs w:val="20"/>
              </w:rPr>
            </w:pPr>
            <w:r w:rsidRPr="00483F7D">
              <w:rPr>
                <w:sz w:val="20"/>
              </w:rPr>
              <w:t>227,785</w:t>
            </w:r>
          </w:p>
        </w:tc>
        <w:tc>
          <w:tcPr>
            <w:tcW w:w="338" w:type="pct"/>
            <w:shd w:val="clear" w:color="auto" w:fill="auto"/>
            <w:vAlign w:val="center"/>
          </w:tcPr>
          <w:p w14:paraId="78C785D4" w14:textId="77777777" w:rsidR="00C16CE8" w:rsidRPr="00483F7D" w:rsidRDefault="00C16CE8" w:rsidP="00C16CE8">
            <w:pPr>
              <w:spacing w:before="20" w:after="20"/>
              <w:jc w:val="right"/>
              <w:rPr>
                <w:noProof/>
                <w:sz w:val="20"/>
                <w:szCs w:val="20"/>
              </w:rPr>
            </w:pPr>
            <w:r w:rsidRPr="00483F7D">
              <w:rPr>
                <w:sz w:val="20"/>
              </w:rPr>
              <w:t>237,611</w:t>
            </w:r>
          </w:p>
        </w:tc>
        <w:tc>
          <w:tcPr>
            <w:tcW w:w="338" w:type="pct"/>
            <w:shd w:val="clear" w:color="auto" w:fill="auto"/>
            <w:vAlign w:val="center"/>
          </w:tcPr>
          <w:p w14:paraId="19662009" w14:textId="77777777" w:rsidR="00C16CE8" w:rsidRPr="00483F7D" w:rsidRDefault="00C16CE8" w:rsidP="00C16CE8">
            <w:pPr>
              <w:spacing w:before="20" w:after="20"/>
              <w:jc w:val="right"/>
              <w:rPr>
                <w:bCs/>
                <w:noProof/>
                <w:sz w:val="20"/>
                <w:szCs w:val="20"/>
              </w:rPr>
            </w:pPr>
            <w:r w:rsidRPr="00483F7D">
              <w:rPr>
                <w:sz w:val="20"/>
              </w:rPr>
              <w:t>247,739</w:t>
            </w:r>
          </w:p>
        </w:tc>
        <w:tc>
          <w:tcPr>
            <w:tcW w:w="399" w:type="pct"/>
            <w:shd w:val="clear" w:color="auto" w:fill="auto"/>
            <w:vAlign w:val="center"/>
          </w:tcPr>
          <w:p w14:paraId="7DE7C338" w14:textId="77777777" w:rsidR="00C16CE8" w:rsidRPr="00483F7D" w:rsidRDefault="00C16CE8" w:rsidP="00C16CE8">
            <w:pPr>
              <w:spacing w:before="20" w:after="20"/>
              <w:jc w:val="right"/>
              <w:rPr>
                <w:b/>
                <w:noProof/>
                <w:sz w:val="20"/>
                <w:szCs w:val="20"/>
              </w:rPr>
            </w:pPr>
            <w:r w:rsidRPr="00483F7D">
              <w:rPr>
                <w:b/>
                <w:sz w:val="20"/>
              </w:rPr>
              <w:t>1 295,080</w:t>
            </w:r>
          </w:p>
        </w:tc>
      </w:tr>
      <w:tr w:rsidR="00C16CE8" w:rsidRPr="00483F7D" w14:paraId="75781B76" w14:textId="77777777" w:rsidTr="00C16CE8">
        <w:trPr>
          <w:trHeight w:hRule="exact" w:val="930"/>
        </w:trPr>
        <w:tc>
          <w:tcPr>
            <w:tcW w:w="800" w:type="pct"/>
            <w:vMerge/>
            <w:vAlign w:val="center"/>
          </w:tcPr>
          <w:p w14:paraId="13494931" w14:textId="77777777" w:rsidR="00C16CE8" w:rsidRPr="00483F7D" w:rsidRDefault="00C16CE8" w:rsidP="00C16CE8">
            <w:pPr>
              <w:rPr>
                <w:noProof/>
                <w:sz w:val="20"/>
                <w:szCs w:val="18"/>
              </w:rPr>
            </w:pPr>
          </w:p>
        </w:tc>
        <w:tc>
          <w:tcPr>
            <w:tcW w:w="483" w:type="pct"/>
            <w:vAlign w:val="center"/>
          </w:tcPr>
          <w:p w14:paraId="7D898FE6" w14:textId="77777777" w:rsidR="00C16CE8" w:rsidRPr="00483F7D" w:rsidRDefault="00C16CE8" w:rsidP="00C16CE8">
            <w:pPr>
              <w:spacing w:before="20" w:after="20"/>
              <w:rPr>
                <w:noProof/>
                <w:sz w:val="18"/>
              </w:rPr>
            </w:pPr>
            <w:r w:rsidRPr="00483F7D">
              <w:rPr>
                <w:sz w:val="18"/>
              </w:rPr>
              <w:t>Πληρωμές</w:t>
            </w:r>
          </w:p>
        </w:tc>
        <w:tc>
          <w:tcPr>
            <w:tcW w:w="225" w:type="pct"/>
            <w:vAlign w:val="center"/>
          </w:tcPr>
          <w:p w14:paraId="2162661D" w14:textId="77777777" w:rsidR="00C16CE8" w:rsidRPr="00483F7D" w:rsidRDefault="00C16CE8" w:rsidP="00C16CE8">
            <w:pPr>
              <w:spacing w:before="20" w:after="20"/>
              <w:jc w:val="center"/>
              <w:rPr>
                <w:noProof/>
                <w:sz w:val="14"/>
              </w:rPr>
            </w:pPr>
            <w:r w:rsidRPr="00483F7D">
              <w:rPr>
                <w:sz w:val="14"/>
              </w:rPr>
              <w:t>(2α)</w:t>
            </w:r>
          </w:p>
        </w:tc>
        <w:tc>
          <w:tcPr>
            <w:tcW w:w="426" w:type="pct"/>
            <w:shd w:val="clear" w:color="auto" w:fill="auto"/>
            <w:vAlign w:val="center"/>
          </w:tcPr>
          <w:p w14:paraId="56F42E3E" w14:textId="77777777" w:rsidR="00C16CE8" w:rsidRPr="00483F7D" w:rsidRDefault="00C16CE8" w:rsidP="00C16CE8">
            <w:pPr>
              <w:spacing w:before="20" w:after="20"/>
              <w:jc w:val="right"/>
              <w:rPr>
                <w:sz w:val="20"/>
                <w:szCs w:val="20"/>
              </w:rPr>
            </w:pPr>
          </w:p>
        </w:tc>
        <w:tc>
          <w:tcPr>
            <w:tcW w:w="299" w:type="pct"/>
            <w:shd w:val="clear" w:color="auto" w:fill="auto"/>
            <w:vAlign w:val="center"/>
          </w:tcPr>
          <w:p w14:paraId="709ED3D7" w14:textId="77777777" w:rsidR="00C16CE8" w:rsidRPr="00483F7D" w:rsidRDefault="00C16CE8" w:rsidP="00C16CE8">
            <w:pPr>
              <w:spacing w:before="20" w:after="20"/>
              <w:jc w:val="right"/>
              <w:rPr>
                <w:sz w:val="20"/>
                <w:szCs w:val="20"/>
              </w:rPr>
            </w:pPr>
          </w:p>
        </w:tc>
        <w:tc>
          <w:tcPr>
            <w:tcW w:w="338" w:type="pct"/>
            <w:shd w:val="clear" w:color="auto" w:fill="auto"/>
            <w:vAlign w:val="center"/>
          </w:tcPr>
          <w:p w14:paraId="1831DEB6" w14:textId="77777777" w:rsidR="00C16CE8" w:rsidRPr="00483F7D" w:rsidRDefault="00C16CE8" w:rsidP="00C16CE8">
            <w:pPr>
              <w:spacing w:before="20" w:after="20"/>
              <w:jc w:val="right"/>
              <w:rPr>
                <w:noProof/>
                <w:sz w:val="20"/>
                <w:szCs w:val="20"/>
              </w:rPr>
            </w:pPr>
            <w:r w:rsidRPr="00483F7D">
              <w:rPr>
                <w:sz w:val="20"/>
              </w:rPr>
              <w:t>19,065</w:t>
            </w:r>
          </w:p>
        </w:tc>
        <w:tc>
          <w:tcPr>
            <w:tcW w:w="338" w:type="pct"/>
            <w:shd w:val="clear" w:color="auto" w:fill="auto"/>
            <w:vAlign w:val="center"/>
          </w:tcPr>
          <w:p w14:paraId="4C39AC7B" w14:textId="77777777" w:rsidR="00C16CE8" w:rsidRPr="00483F7D" w:rsidRDefault="00C16CE8" w:rsidP="00C16CE8">
            <w:pPr>
              <w:spacing w:before="20" w:after="20"/>
              <w:jc w:val="right"/>
              <w:rPr>
                <w:noProof/>
                <w:sz w:val="20"/>
                <w:szCs w:val="20"/>
              </w:rPr>
            </w:pPr>
            <w:r w:rsidRPr="00483F7D">
              <w:rPr>
                <w:sz w:val="20"/>
              </w:rPr>
              <w:t>82,564</w:t>
            </w:r>
          </w:p>
        </w:tc>
        <w:tc>
          <w:tcPr>
            <w:tcW w:w="338" w:type="pct"/>
            <w:shd w:val="clear" w:color="auto" w:fill="auto"/>
            <w:vAlign w:val="center"/>
          </w:tcPr>
          <w:p w14:paraId="5B9AC5A5" w14:textId="77777777" w:rsidR="00C16CE8" w:rsidRPr="00483F7D" w:rsidRDefault="00C16CE8" w:rsidP="00C16CE8">
            <w:pPr>
              <w:spacing w:before="20" w:after="20"/>
              <w:jc w:val="right"/>
              <w:rPr>
                <w:noProof/>
                <w:sz w:val="20"/>
                <w:szCs w:val="20"/>
              </w:rPr>
            </w:pPr>
            <w:r w:rsidRPr="00483F7D">
              <w:rPr>
                <w:sz w:val="20"/>
              </w:rPr>
              <w:t>211,736</w:t>
            </w:r>
          </w:p>
        </w:tc>
        <w:tc>
          <w:tcPr>
            <w:tcW w:w="338" w:type="pct"/>
            <w:shd w:val="clear" w:color="auto" w:fill="auto"/>
            <w:vAlign w:val="center"/>
          </w:tcPr>
          <w:p w14:paraId="5B9D3869" w14:textId="77777777" w:rsidR="00C16CE8" w:rsidRPr="00483F7D" w:rsidRDefault="00C16CE8" w:rsidP="00C16CE8">
            <w:pPr>
              <w:spacing w:before="20" w:after="20"/>
              <w:jc w:val="right"/>
              <w:rPr>
                <w:noProof/>
                <w:sz w:val="20"/>
                <w:szCs w:val="20"/>
              </w:rPr>
            </w:pPr>
            <w:r w:rsidRPr="00483F7D">
              <w:rPr>
                <w:sz w:val="20"/>
              </w:rPr>
              <w:t>268,580</w:t>
            </w:r>
          </w:p>
        </w:tc>
        <w:tc>
          <w:tcPr>
            <w:tcW w:w="338" w:type="pct"/>
            <w:shd w:val="clear" w:color="auto" w:fill="auto"/>
            <w:vAlign w:val="center"/>
          </w:tcPr>
          <w:p w14:paraId="3989FC72" w14:textId="77777777" w:rsidR="00C16CE8" w:rsidRPr="00483F7D" w:rsidRDefault="00C16CE8" w:rsidP="00C16CE8">
            <w:pPr>
              <w:spacing w:before="20" w:after="20"/>
              <w:jc w:val="right"/>
              <w:rPr>
                <w:noProof/>
                <w:sz w:val="20"/>
                <w:szCs w:val="20"/>
              </w:rPr>
            </w:pPr>
            <w:r w:rsidRPr="00483F7D">
              <w:rPr>
                <w:sz w:val="20"/>
              </w:rPr>
              <w:t>227,785</w:t>
            </w:r>
          </w:p>
        </w:tc>
        <w:tc>
          <w:tcPr>
            <w:tcW w:w="338" w:type="pct"/>
            <w:shd w:val="clear" w:color="auto" w:fill="auto"/>
            <w:vAlign w:val="center"/>
          </w:tcPr>
          <w:p w14:paraId="7DA67541" w14:textId="77777777" w:rsidR="00C16CE8" w:rsidRPr="00483F7D" w:rsidRDefault="00C16CE8" w:rsidP="00C16CE8">
            <w:pPr>
              <w:spacing w:before="20" w:after="20"/>
              <w:jc w:val="right"/>
              <w:rPr>
                <w:noProof/>
                <w:sz w:val="20"/>
                <w:szCs w:val="20"/>
              </w:rPr>
            </w:pPr>
            <w:r w:rsidRPr="00483F7D">
              <w:rPr>
                <w:sz w:val="20"/>
              </w:rPr>
              <w:t>237,611</w:t>
            </w:r>
          </w:p>
        </w:tc>
        <w:tc>
          <w:tcPr>
            <w:tcW w:w="338" w:type="pct"/>
            <w:shd w:val="clear" w:color="auto" w:fill="auto"/>
            <w:vAlign w:val="center"/>
          </w:tcPr>
          <w:p w14:paraId="75ED48A1" w14:textId="77777777" w:rsidR="00C16CE8" w:rsidRPr="00483F7D" w:rsidRDefault="00C16CE8" w:rsidP="00C16CE8">
            <w:pPr>
              <w:spacing w:before="20" w:after="20"/>
              <w:jc w:val="right"/>
              <w:rPr>
                <w:bCs/>
                <w:noProof/>
                <w:sz w:val="20"/>
                <w:szCs w:val="20"/>
              </w:rPr>
            </w:pPr>
            <w:r w:rsidRPr="00483F7D">
              <w:rPr>
                <w:sz w:val="20"/>
              </w:rPr>
              <w:t>247,739</w:t>
            </w:r>
          </w:p>
        </w:tc>
        <w:tc>
          <w:tcPr>
            <w:tcW w:w="399" w:type="pct"/>
            <w:shd w:val="clear" w:color="auto" w:fill="auto"/>
            <w:vAlign w:val="center"/>
          </w:tcPr>
          <w:p w14:paraId="2B0838CF" w14:textId="77777777" w:rsidR="00C16CE8" w:rsidRPr="00483F7D" w:rsidRDefault="00C16CE8" w:rsidP="00C16CE8">
            <w:pPr>
              <w:spacing w:before="20" w:after="20"/>
              <w:jc w:val="right"/>
              <w:rPr>
                <w:b/>
                <w:noProof/>
                <w:sz w:val="20"/>
                <w:szCs w:val="20"/>
              </w:rPr>
            </w:pPr>
            <w:r w:rsidRPr="00483F7D">
              <w:rPr>
                <w:b/>
                <w:sz w:val="20"/>
              </w:rPr>
              <w:t>1 295,080</w:t>
            </w:r>
          </w:p>
        </w:tc>
      </w:tr>
      <w:tr w:rsidR="00C16CE8" w:rsidRPr="00483F7D" w14:paraId="0A504E4D" w14:textId="77777777" w:rsidTr="00C16CE8">
        <w:trPr>
          <w:trHeight w:hRule="exact" w:val="779"/>
        </w:trPr>
        <w:tc>
          <w:tcPr>
            <w:tcW w:w="800" w:type="pct"/>
            <w:vMerge w:val="restart"/>
            <w:vAlign w:val="center"/>
          </w:tcPr>
          <w:p w14:paraId="1BC27BE6" w14:textId="77777777" w:rsidR="00C16CE8" w:rsidRPr="00483F7D" w:rsidRDefault="00C16CE8" w:rsidP="00C16CE8">
            <w:pPr>
              <w:jc w:val="center"/>
              <w:rPr>
                <w:noProof/>
                <w:sz w:val="20"/>
                <w:szCs w:val="18"/>
              </w:rPr>
            </w:pPr>
            <w:r w:rsidRPr="00483F7D">
              <w:rPr>
                <w:b/>
                <w:sz w:val="20"/>
              </w:rPr>
              <w:t>ΣΥΝΟΛΟ πιστώσεων</w:t>
            </w:r>
            <w:r w:rsidRPr="00483F7D">
              <w:t xml:space="preserve"> </w:t>
            </w:r>
            <w:r w:rsidRPr="00483F7D">
              <w:br/>
            </w:r>
            <w:r w:rsidRPr="00483F7D">
              <w:rPr>
                <w:b/>
                <w:sz w:val="20"/>
              </w:rPr>
              <w:t>για 03 05 01</w:t>
            </w:r>
          </w:p>
        </w:tc>
        <w:tc>
          <w:tcPr>
            <w:tcW w:w="483" w:type="pct"/>
            <w:vAlign w:val="center"/>
          </w:tcPr>
          <w:p w14:paraId="0F17EE1D" w14:textId="77777777" w:rsidR="00C16CE8" w:rsidRPr="00483F7D" w:rsidRDefault="00C16CE8" w:rsidP="00C16CE8">
            <w:pPr>
              <w:rPr>
                <w:noProof/>
                <w:sz w:val="18"/>
              </w:rPr>
            </w:pPr>
            <w:r w:rsidRPr="00483F7D">
              <w:rPr>
                <w:sz w:val="18"/>
              </w:rPr>
              <w:t>Αναλήψεις υποχρεώσεων</w:t>
            </w:r>
          </w:p>
        </w:tc>
        <w:tc>
          <w:tcPr>
            <w:tcW w:w="225" w:type="pct"/>
            <w:vAlign w:val="center"/>
          </w:tcPr>
          <w:p w14:paraId="241693EC" w14:textId="77777777" w:rsidR="00C16CE8" w:rsidRPr="00483F7D" w:rsidRDefault="00C16CE8" w:rsidP="00C16CE8">
            <w:pPr>
              <w:jc w:val="center"/>
              <w:rPr>
                <w:noProof/>
                <w:sz w:val="14"/>
              </w:rPr>
            </w:pPr>
            <w:r w:rsidRPr="00483F7D">
              <w:rPr>
                <w:sz w:val="14"/>
              </w:rPr>
              <w:t>=1+1α+3α</w:t>
            </w:r>
          </w:p>
        </w:tc>
        <w:tc>
          <w:tcPr>
            <w:tcW w:w="426" w:type="pct"/>
            <w:shd w:val="clear" w:color="auto" w:fill="auto"/>
            <w:vAlign w:val="center"/>
          </w:tcPr>
          <w:p w14:paraId="11357FDB" w14:textId="77777777" w:rsidR="00C16CE8" w:rsidRPr="00483F7D" w:rsidRDefault="00C16CE8" w:rsidP="00C16CE8">
            <w:pPr>
              <w:spacing w:before="0" w:after="0"/>
              <w:jc w:val="right"/>
              <w:rPr>
                <w:noProof/>
                <w:sz w:val="20"/>
                <w:szCs w:val="20"/>
              </w:rPr>
            </w:pPr>
            <w:r w:rsidRPr="00483F7D">
              <w:rPr>
                <w:sz w:val="20"/>
              </w:rPr>
              <w:t>23,072</w:t>
            </w:r>
          </w:p>
        </w:tc>
        <w:tc>
          <w:tcPr>
            <w:tcW w:w="299" w:type="pct"/>
            <w:shd w:val="clear" w:color="auto" w:fill="auto"/>
            <w:vAlign w:val="center"/>
          </w:tcPr>
          <w:p w14:paraId="4C76B419" w14:textId="77777777" w:rsidR="00C16CE8" w:rsidRPr="00483F7D" w:rsidRDefault="00C16CE8" w:rsidP="00C16CE8">
            <w:pPr>
              <w:spacing w:before="0" w:after="0"/>
              <w:rPr>
                <w:noProof/>
                <w:sz w:val="20"/>
                <w:szCs w:val="20"/>
              </w:rPr>
            </w:pPr>
            <w:r w:rsidRPr="00483F7D">
              <w:rPr>
                <w:sz w:val="20"/>
              </w:rPr>
              <w:t>31,946</w:t>
            </w:r>
          </w:p>
        </w:tc>
        <w:tc>
          <w:tcPr>
            <w:tcW w:w="338" w:type="pct"/>
            <w:shd w:val="clear" w:color="auto" w:fill="auto"/>
            <w:vAlign w:val="center"/>
          </w:tcPr>
          <w:p w14:paraId="00E7FE20" w14:textId="77777777" w:rsidR="00C16CE8" w:rsidRPr="00483F7D" w:rsidRDefault="00C16CE8" w:rsidP="00C16CE8">
            <w:pPr>
              <w:spacing w:before="0" w:after="0"/>
              <w:jc w:val="right"/>
              <w:rPr>
                <w:noProof/>
                <w:sz w:val="20"/>
                <w:szCs w:val="20"/>
              </w:rPr>
            </w:pPr>
            <w:r w:rsidRPr="00483F7D">
              <w:rPr>
                <w:sz w:val="20"/>
              </w:rPr>
              <w:t>127,102</w:t>
            </w:r>
          </w:p>
        </w:tc>
        <w:tc>
          <w:tcPr>
            <w:tcW w:w="338" w:type="pct"/>
            <w:shd w:val="clear" w:color="auto" w:fill="auto"/>
            <w:vAlign w:val="center"/>
          </w:tcPr>
          <w:p w14:paraId="5F0CB956" w14:textId="77777777" w:rsidR="00C16CE8" w:rsidRPr="00483F7D" w:rsidRDefault="00C16CE8" w:rsidP="00C16CE8">
            <w:pPr>
              <w:spacing w:before="0" w:after="0"/>
              <w:jc w:val="right"/>
              <w:rPr>
                <w:noProof/>
                <w:sz w:val="20"/>
                <w:szCs w:val="20"/>
              </w:rPr>
            </w:pPr>
            <w:r w:rsidRPr="00483F7D">
              <w:rPr>
                <w:sz w:val="20"/>
              </w:rPr>
              <w:t>211,692</w:t>
            </w:r>
          </w:p>
        </w:tc>
        <w:tc>
          <w:tcPr>
            <w:tcW w:w="338" w:type="pct"/>
            <w:shd w:val="clear" w:color="auto" w:fill="auto"/>
            <w:vAlign w:val="center"/>
          </w:tcPr>
          <w:p w14:paraId="062EFC6D" w14:textId="77777777" w:rsidR="00C16CE8" w:rsidRPr="00483F7D" w:rsidRDefault="00C16CE8" w:rsidP="00C16CE8">
            <w:pPr>
              <w:spacing w:before="0" w:after="0"/>
              <w:jc w:val="right"/>
              <w:rPr>
                <w:noProof/>
                <w:sz w:val="20"/>
                <w:szCs w:val="20"/>
              </w:rPr>
            </w:pPr>
            <w:r w:rsidRPr="00483F7D">
              <w:rPr>
                <w:sz w:val="20"/>
              </w:rPr>
              <w:t>254,085</w:t>
            </w:r>
          </w:p>
        </w:tc>
        <w:tc>
          <w:tcPr>
            <w:tcW w:w="338" w:type="pct"/>
            <w:shd w:val="clear" w:color="auto" w:fill="auto"/>
            <w:vAlign w:val="center"/>
          </w:tcPr>
          <w:p w14:paraId="53969AEB" w14:textId="77777777" w:rsidR="00C16CE8" w:rsidRPr="00483F7D" w:rsidRDefault="00C16CE8" w:rsidP="00C16CE8">
            <w:pPr>
              <w:spacing w:before="0" w:after="0"/>
              <w:jc w:val="right"/>
              <w:rPr>
                <w:noProof/>
                <w:sz w:val="20"/>
                <w:szCs w:val="20"/>
              </w:rPr>
            </w:pPr>
            <w:r w:rsidRPr="00483F7D">
              <w:rPr>
                <w:sz w:val="20"/>
              </w:rPr>
              <w:t>268,580</w:t>
            </w:r>
          </w:p>
        </w:tc>
        <w:tc>
          <w:tcPr>
            <w:tcW w:w="338" w:type="pct"/>
            <w:shd w:val="clear" w:color="auto" w:fill="auto"/>
            <w:vAlign w:val="center"/>
          </w:tcPr>
          <w:p w14:paraId="53C2017C" w14:textId="77777777" w:rsidR="00C16CE8" w:rsidRPr="00483F7D" w:rsidRDefault="00C16CE8" w:rsidP="00C16CE8">
            <w:pPr>
              <w:spacing w:before="0" w:after="0"/>
              <w:jc w:val="right"/>
              <w:rPr>
                <w:noProof/>
                <w:sz w:val="20"/>
                <w:szCs w:val="20"/>
              </w:rPr>
            </w:pPr>
            <w:r w:rsidRPr="00483F7D">
              <w:rPr>
                <w:sz w:val="20"/>
              </w:rPr>
              <w:t>227,785</w:t>
            </w:r>
          </w:p>
        </w:tc>
        <w:tc>
          <w:tcPr>
            <w:tcW w:w="338" w:type="pct"/>
            <w:shd w:val="clear" w:color="auto" w:fill="auto"/>
            <w:vAlign w:val="center"/>
          </w:tcPr>
          <w:p w14:paraId="54BFE343" w14:textId="77777777" w:rsidR="00C16CE8" w:rsidRPr="00483F7D" w:rsidRDefault="00C16CE8" w:rsidP="00C16CE8">
            <w:pPr>
              <w:spacing w:before="0" w:after="0"/>
              <w:jc w:val="right"/>
              <w:rPr>
                <w:noProof/>
                <w:sz w:val="20"/>
                <w:szCs w:val="20"/>
              </w:rPr>
            </w:pPr>
            <w:r w:rsidRPr="00483F7D">
              <w:rPr>
                <w:sz w:val="20"/>
              </w:rPr>
              <w:t>237,611</w:t>
            </w:r>
          </w:p>
        </w:tc>
        <w:tc>
          <w:tcPr>
            <w:tcW w:w="338" w:type="pct"/>
            <w:shd w:val="clear" w:color="auto" w:fill="auto"/>
            <w:vAlign w:val="center"/>
          </w:tcPr>
          <w:p w14:paraId="607E6CC9" w14:textId="77777777" w:rsidR="00C16CE8" w:rsidRPr="00483F7D" w:rsidRDefault="00C16CE8" w:rsidP="00C16CE8">
            <w:pPr>
              <w:spacing w:before="0" w:after="0"/>
              <w:jc w:val="right"/>
              <w:rPr>
                <w:bCs/>
                <w:noProof/>
                <w:sz w:val="20"/>
                <w:szCs w:val="20"/>
              </w:rPr>
            </w:pPr>
            <w:r w:rsidRPr="00483F7D">
              <w:rPr>
                <w:sz w:val="20"/>
              </w:rPr>
              <w:t>247,739</w:t>
            </w:r>
          </w:p>
        </w:tc>
        <w:tc>
          <w:tcPr>
            <w:tcW w:w="399" w:type="pct"/>
            <w:shd w:val="clear" w:color="auto" w:fill="auto"/>
            <w:vAlign w:val="center"/>
          </w:tcPr>
          <w:p w14:paraId="6D2046FD" w14:textId="77777777" w:rsidR="00C16CE8" w:rsidRPr="00483F7D" w:rsidRDefault="00C16CE8" w:rsidP="00C16CE8">
            <w:pPr>
              <w:spacing w:before="0" w:after="0"/>
              <w:jc w:val="right"/>
              <w:rPr>
                <w:b/>
                <w:noProof/>
                <w:sz w:val="20"/>
                <w:szCs w:val="20"/>
              </w:rPr>
            </w:pPr>
            <w:r w:rsidRPr="00483F7D">
              <w:rPr>
                <w:b/>
                <w:sz w:val="20"/>
              </w:rPr>
              <w:t>1 629,613</w:t>
            </w:r>
          </w:p>
        </w:tc>
      </w:tr>
      <w:tr w:rsidR="00C16CE8" w:rsidRPr="00483F7D" w14:paraId="09E4D953" w14:textId="77777777" w:rsidTr="00C16CE8">
        <w:trPr>
          <w:trHeight w:hRule="exact" w:val="626"/>
        </w:trPr>
        <w:tc>
          <w:tcPr>
            <w:tcW w:w="800" w:type="pct"/>
            <w:vMerge/>
            <w:vAlign w:val="center"/>
          </w:tcPr>
          <w:p w14:paraId="45D89326" w14:textId="77777777" w:rsidR="00C16CE8" w:rsidRPr="00483F7D" w:rsidRDefault="00C16CE8" w:rsidP="00C16CE8">
            <w:pPr>
              <w:rPr>
                <w:b/>
                <w:noProof/>
              </w:rPr>
            </w:pPr>
          </w:p>
        </w:tc>
        <w:tc>
          <w:tcPr>
            <w:tcW w:w="483" w:type="pct"/>
            <w:vAlign w:val="center"/>
          </w:tcPr>
          <w:p w14:paraId="2091F4F8" w14:textId="77777777" w:rsidR="00C16CE8" w:rsidRPr="00483F7D" w:rsidRDefault="00C16CE8" w:rsidP="00C16CE8">
            <w:pPr>
              <w:rPr>
                <w:noProof/>
                <w:sz w:val="18"/>
              </w:rPr>
            </w:pPr>
            <w:r w:rsidRPr="00483F7D">
              <w:rPr>
                <w:sz w:val="18"/>
              </w:rPr>
              <w:t>Πληρωμές</w:t>
            </w:r>
          </w:p>
        </w:tc>
        <w:tc>
          <w:tcPr>
            <w:tcW w:w="225" w:type="pct"/>
            <w:vAlign w:val="center"/>
          </w:tcPr>
          <w:p w14:paraId="1A6F919B" w14:textId="77777777" w:rsidR="00C16CE8" w:rsidRPr="00483F7D" w:rsidRDefault="00C16CE8" w:rsidP="00C16CE8">
            <w:pPr>
              <w:jc w:val="center"/>
              <w:rPr>
                <w:noProof/>
                <w:sz w:val="14"/>
              </w:rPr>
            </w:pPr>
            <w:r w:rsidRPr="00483F7D">
              <w:rPr>
                <w:sz w:val="14"/>
              </w:rPr>
              <w:t>=2+2α</w:t>
            </w:r>
          </w:p>
          <w:p w14:paraId="4531B409" w14:textId="77777777" w:rsidR="00C16CE8" w:rsidRPr="00483F7D" w:rsidRDefault="00C16CE8" w:rsidP="00C16CE8">
            <w:pPr>
              <w:jc w:val="center"/>
              <w:rPr>
                <w:noProof/>
                <w:sz w:val="14"/>
              </w:rPr>
            </w:pPr>
            <w:r w:rsidRPr="00483F7D">
              <w:rPr>
                <w:sz w:val="14"/>
              </w:rPr>
              <w:t>+3β</w:t>
            </w:r>
          </w:p>
        </w:tc>
        <w:tc>
          <w:tcPr>
            <w:tcW w:w="426" w:type="pct"/>
            <w:shd w:val="clear" w:color="auto" w:fill="auto"/>
            <w:vAlign w:val="center"/>
          </w:tcPr>
          <w:p w14:paraId="1ED4971C" w14:textId="77777777" w:rsidR="00C16CE8" w:rsidRPr="00483F7D" w:rsidRDefault="00C16CE8" w:rsidP="00C16CE8">
            <w:pPr>
              <w:spacing w:before="20" w:after="20"/>
              <w:jc w:val="right"/>
              <w:rPr>
                <w:noProof/>
                <w:sz w:val="20"/>
                <w:szCs w:val="20"/>
              </w:rPr>
            </w:pPr>
            <w:r w:rsidRPr="00483F7D">
              <w:rPr>
                <w:sz w:val="20"/>
              </w:rPr>
              <w:t>23,072</w:t>
            </w:r>
          </w:p>
        </w:tc>
        <w:tc>
          <w:tcPr>
            <w:tcW w:w="299" w:type="pct"/>
            <w:shd w:val="clear" w:color="auto" w:fill="auto"/>
            <w:vAlign w:val="center"/>
          </w:tcPr>
          <w:p w14:paraId="5CB5DED8" w14:textId="77777777" w:rsidR="00C16CE8" w:rsidRPr="00483F7D" w:rsidRDefault="00C16CE8" w:rsidP="00C16CE8">
            <w:pPr>
              <w:spacing w:before="20" w:after="20"/>
              <w:jc w:val="right"/>
              <w:rPr>
                <w:noProof/>
                <w:sz w:val="20"/>
                <w:szCs w:val="20"/>
              </w:rPr>
            </w:pPr>
            <w:r w:rsidRPr="00483F7D">
              <w:rPr>
                <w:sz w:val="20"/>
              </w:rPr>
              <w:t>31,946</w:t>
            </w:r>
          </w:p>
        </w:tc>
        <w:tc>
          <w:tcPr>
            <w:tcW w:w="338" w:type="pct"/>
            <w:shd w:val="clear" w:color="auto" w:fill="auto"/>
            <w:vAlign w:val="center"/>
          </w:tcPr>
          <w:p w14:paraId="4832DDDC" w14:textId="77777777" w:rsidR="00C16CE8" w:rsidRPr="00483F7D" w:rsidRDefault="00C16CE8" w:rsidP="00C16CE8">
            <w:pPr>
              <w:spacing w:before="20" w:after="20"/>
              <w:jc w:val="right"/>
              <w:rPr>
                <w:noProof/>
                <w:sz w:val="20"/>
                <w:szCs w:val="20"/>
              </w:rPr>
            </w:pPr>
            <w:r w:rsidRPr="00483F7D">
              <w:rPr>
                <w:sz w:val="20"/>
              </w:rPr>
              <w:t>120,747</w:t>
            </w:r>
          </w:p>
        </w:tc>
        <w:tc>
          <w:tcPr>
            <w:tcW w:w="338" w:type="pct"/>
            <w:shd w:val="clear" w:color="auto" w:fill="auto"/>
            <w:vAlign w:val="center"/>
          </w:tcPr>
          <w:p w14:paraId="62760F25" w14:textId="77777777" w:rsidR="00C16CE8" w:rsidRPr="00483F7D" w:rsidRDefault="00C16CE8" w:rsidP="00C16CE8">
            <w:pPr>
              <w:spacing w:before="20" w:after="20"/>
              <w:jc w:val="right"/>
              <w:rPr>
                <w:noProof/>
                <w:sz w:val="20"/>
                <w:szCs w:val="20"/>
              </w:rPr>
            </w:pPr>
            <w:r w:rsidRPr="00483F7D">
              <w:rPr>
                <w:sz w:val="20"/>
              </w:rPr>
              <w:t>209,579</w:t>
            </w:r>
          </w:p>
        </w:tc>
        <w:tc>
          <w:tcPr>
            <w:tcW w:w="338" w:type="pct"/>
            <w:shd w:val="clear" w:color="auto" w:fill="auto"/>
            <w:vAlign w:val="center"/>
          </w:tcPr>
          <w:p w14:paraId="662FF08E" w14:textId="77777777" w:rsidR="00C16CE8" w:rsidRPr="00483F7D" w:rsidRDefault="00C16CE8" w:rsidP="00C16CE8">
            <w:pPr>
              <w:spacing w:before="20" w:after="20"/>
              <w:jc w:val="right"/>
              <w:rPr>
                <w:noProof/>
                <w:sz w:val="20"/>
                <w:szCs w:val="20"/>
              </w:rPr>
            </w:pPr>
            <w:r w:rsidRPr="00483F7D">
              <w:rPr>
                <w:sz w:val="20"/>
              </w:rPr>
              <w:t>262,553</w:t>
            </w:r>
          </w:p>
        </w:tc>
        <w:tc>
          <w:tcPr>
            <w:tcW w:w="338" w:type="pct"/>
            <w:shd w:val="clear" w:color="auto" w:fill="auto"/>
            <w:vAlign w:val="center"/>
          </w:tcPr>
          <w:p w14:paraId="582C69ED" w14:textId="77777777" w:rsidR="00C16CE8" w:rsidRPr="00483F7D" w:rsidRDefault="00C16CE8" w:rsidP="00C16CE8">
            <w:pPr>
              <w:spacing w:before="20" w:after="20"/>
              <w:jc w:val="right"/>
              <w:rPr>
                <w:noProof/>
                <w:sz w:val="20"/>
                <w:szCs w:val="20"/>
              </w:rPr>
            </w:pPr>
            <w:r w:rsidRPr="00483F7D">
              <w:rPr>
                <w:sz w:val="20"/>
              </w:rPr>
              <w:t>268,580</w:t>
            </w:r>
          </w:p>
        </w:tc>
        <w:tc>
          <w:tcPr>
            <w:tcW w:w="338" w:type="pct"/>
            <w:shd w:val="clear" w:color="auto" w:fill="auto"/>
            <w:vAlign w:val="center"/>
          </w:tcPr>
          <w:p w14:paraId="3AE889FB" w14:textId="77777777" w:rsidR="00C16CE8" w:rsidRPr="00483F7D" w:rsidRDefault="00C16CE8" w:rsidP="00C16CE8">
            <w:pPr>
              <w:spacing w:before="20" w:after="20"/>
              <w:jc w:val="right"/>
              <w:rPr>
                <w:noProof/>
                <w:sz w:val="20"/>
                <w:szCs w:val="20"/>
              </w:rPr>
            </w:pPr>
            <w:r w:rsidRPr="00483F7D">
              <w:rPr>
                <w:sz w:val="20"/>
              </w:rPr>
              <w:t>227,785</w:t>
            </w:r>
          </w:p>
        </w:tc>
        <w:tc>
          <w:tcPr>
            <w:tcW w:w="338" w:type="pct"/>
            <w:shd w:val="clear" w:color="auto" w:fill="auto"/>
            <w:vAlign w:val="center"/>
          </w:tcPr>
          <w:p w14:paraId="060236B5" w14:textId="77777777" w:rsidR="00C16CE8" w:rsidRPr="00483F7D" w:rsidRDefault="00C16CE8" w:rsidP="00C16CE8">
            <w:pPr>
              <w:spacing w:before="20" w:after="20"/>
              <w:jc w:val="right"/>
              <w:rPr>
                <w:noProof/>
                <w:sz w:val="20"/>
                <w:szCs w:val="20"/>
              </w:rPr>
            </w:pPr>
            <w:r w:rsidRPr="00483F7D">
              <w:rPr>
                <w:sz w:val="20"/>
              </w:rPr>
              <w:t>237,611</w:t>
            </w:r>
          </w:p>
        </w:tc>
        <w:tc>
          <w:tcPr>
            <w:tcW w:w="338" w:type="pct"/>
            <w:shd w:val="clear" w:color="auto" w:fill="auto"/>
            <w:vAlign w:val="center"/>
          </w:tcPr>
          <w:p w14:paraId="1DF96D09" w14:textId="77777777" w:rsidR="00C16CE8" w:rsidRPr="00483F7D" w:rsidRDefault="00C16CE8" w:rsidP="00C16CE8">
            <w:pPr>
              <w:spacing w:before="20" w:after="20"/>
              <w:jc w:val="right"/>
              <w:rPr>
                <w:b/>
                <w:noProof/>
                <w:sz w:val="20"/>
                <w:szCs w:val="20"/>
              </w:rPr>
            </w:pPr>
            <w:r w:rsidRPr="00483F7D">
              <w:rPr>
                <w:sz w:val="20"/>
              </w:rPr>
              <w:t>247,739</w:t>
            </w:r>
          </w:p>
        </w:tc>
        <w:tc>
          <w:tcPr>
            <w:tcW w:w="399" w:type="pct"/>
            <w:shd w:val="clear" w:color="auto" w:fill="auto"/>
            <w:vAlign w:val="center"/>
          </w:tcPr>
          <w:p w14:paraId="04D8BD5A" w14:textId="77777777" w:rsidR="00C16CE8" w:rsidRPr="00483F7D" w:rsidRDefault="00C16CE8" w:rsidP="00C16CE8">
            <w:pPr>
              <w:spacing w:before="20" w:after="20"/>
              <w:jc w:val="right"/>
              <w:rPr>
                <w:b/>
                <w:noProof/>
                <w:sz w:val="20"/>
                <w:szCs w:val="20"/>
              </w:rPr>
            </w:pPr>
            <w:r w:rsidRPr="00483F7D">
              <w:rPr>
                <w:b/>
                <w:sz w:val="20"/>
              </w:rPr>
              <w:t>1 629,613</w:t>
            </w:r>
          </w:p>
        </w:tc>
      </w:tr>
    </w:tbl>
    <w:p w14:paraId="2B71FE66" w14:textId="77777777" w:rsidR="008F6AC1" w:rsidRPr="00483F7D" w:rsidRDefault="008F6AC1" w:rsidP="00DD7747">
      <w:pPr>
        <w:pStyle w:val="Text1"/>
        <w:spacing w:after="240"/>
        <w:ind w:left="720"/>
        <w:rPr>
          <w:noProof/>
        </w:rPr>
      </w:pPr>
      <w:r w:rsidRPr="00483F7D">
        <w:t>Στην περίπτωση της Τελωνειακής Αρχής της ΕΕ, θεωρείται ότι οι πληρωμές ανέρχονται στο 75 % των αναλήψεων υποχρεώσεων το 2028 και στο 90 % των αναλήψεων υποχρεώσεων το 2029. Στην περίπτωση της Επιτροπής, θεωρείται ότι οι πληρωμές και οι αναλήψεις υποχρεώσεων βρίσκονται στο ίδιο επίπεδο, καθώς υπάρχει συνέχεια από τα υφιστάμενα προγράμματα.</w:t>
      </w:r>
    </w:p>
    <w:p w14:paraId="4F396034" w14:textId="77777777" w:rsidR="008F6AC1" w:rsidRPr="00483F7D" w:rsidRDefault="008F6AC1" w:rsidP="00DD7747">
      <w:pPr>
        <w:pStyle w:val="Text1"/>
        <w:ind w:left="0" w:firstLine="720"/>
        <w:rPr>
          <w:noProof/>
        </w:rPr>
      </w:pPr>
      <w:r w:rsidRPr="00483F7D">
        <w:t>Περίοδος 2026-2027 – ανακατανομή: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7"/>
        <w:gridCol w:w="1503"/>
        <w:gridCol w:w="591"/>
        <w:gridCol w:w="868"/>
        <w:gridCol w:w="868"/>
        <w:gridCol w:w="868"/>
        <w:gridCol w:w="868"/>
        <w:gridCol w:w="868"/>
        <w:gridCol w:w="868"/>
        <w:gridCol w:w="868"/>
        <w:gridCol w:w="1257"/>
      </w:tblGrid>
      <w:tr w:rsidR="00DD7747" w:rsidRPr="00483F7D" w14:paraId="5D4408E8" w14:textId="77777777" w:rsidTr="00DD7747">
        <w:tc>
          <w:tcPr>
            <w:tcW w:w="3047" w:type="dxa"/>
            <w:vAlign w:val="center"/>
          </w:tcPr>
          <w:p w14:paraId="672C79DD" w14:textId="77777777" w:rsidR="00DD7747" w:rsidRPr="00483F7D" w:rsidRDefault="00DD7747" w:rsidP="00DD7747">
            <w:pPr>
              <w:spacing w:before="60"/>
              <w:rPr>
                <w:noProof/>
                <w:sz w:val="20"/>
                <w:szCs w:val="20"/>
              </w:rPr>
            </w:pPr>
            <w:bookmarkStart w:id="345" w:name="_Hlk130562452"/>
            <w:r w:rsidRPr="00483F7D">
              <w:rPr>
                <w:sz w:val="20"/>
              </w:rPr>
              <w:t>03 05 01</w:t>
            </w:r>
          </w:p>
        </w:tc>
        <w:tc>
          <w:tcPr>
            <w:tcW w:w="1503" w:type="dxa"/>
            <w:vAlign w:val="center"/>
          </w:tcPr>
          <w:p w14:paraId="304BFE5C" w14:textId="77777777" w:rsidR="00DD7747" w:rsidRPr="00483F7D" w:rsidRDefault="00DD7747" w:rsidP="00DD7747">
            <w:pPr>
              <w:rPr>
                <w:noProof/>
                <w:sz w:val="20"/>
                <w:szCs w:val="20"/>
              </w:rPr>
            </w:pPr>
          </w:p>
        </w:tc>
        <w:tc>
          <w:tcPr>
            <w:tcW w:w="591" w:type="dxa"/>
            <w:vAlign w:val="center"/>
          </w:tcPr>
          <w:p w14:paraId="6E69D88D" w14:textId="77777777" w:rsidR="00DD7747" w:rsidRPr="00483F7D" w:rsidRDefault="00DD7747" w:rsidP="00DD7747">
            <w:pPr>
              <w:jc w:val="center"/>
              <w:rPr>
                <w:noProof/>
                <w:sz w:val="20"/>
                <w:szCs w:val="20"/>
              </w:rPr>
            </w:pPr>
          </w:p>
        </w:tc>
        <w:tc>
          <w:tcPr>
            <w:tcW w:w="868" w:type="dxa"/>
            <w:vAlign w:val="center"/>
          </w:tcPr>
          <w:p w14:paraId="6DA57DD9" w14:textId="77777777" w:rsidR="00DD7747" w:rsidRPr="00483F7D" w:rsidRDefault="00DD7747" w:rsidP="00DD7747">
            <w:pPr>
              <w:jc w:val="center"/>
              <w:rPr>
                <w:noProof/>
                <w:sz w:val="20"/>
                <w:szCs w:val="20"/>
              </w:rPr>
            </w:pPr>
          </w:p>
        </w:tc>
        <w:tc>
          <w:tcPr>
            <w:tcW w:w="868" w:type="dxa"/>
            <w:vAlign w:val="center"/>
          </w:tcPr>
          <w:p w14:paraId="00D9EBF1" w14:textId="77777777" w:rsidR="00DD7747" w:rsidRPr="00483F7D" w:rsidRDefault="00DD7747" w:rsidP="00DD7747">
            <w:pPr>
              <w:jc w:val="center"/>
              <w:rPr>
                <w:noProof/>
                <w:sz w:val="20"/>
                <w:szCs w:val="20"/>
              </w:rPr>
            </w:pPr>
          </w:p>
        </w:tc>
        <w:tc>
          <w:tcPr>
            <w:tcW w:w="868" w:type="dxa"/>
            <w:vAlign w:val="center"/>
          </w:tcPr>
          <w:p w14:paraId="433D24A3" w14:textId="77777777" w:rsidR="00DD7747" w:rsidRPr="00483F7D" w:rsidRDefault="00DD7747" w:rsidP="00DD7747">
            <w:pPr>
              <w:jc w:val="center"/>
              <w:rPr>
                <w:noProof/>
                <w:sz w:val="20"/>
                <w:szCs w:val="20"/>
              </w:rPr>
            </w:pPr>
          </w:p>
        </w:tc>
        <w:tc>
          <w:tcPr>
            <w:tcW w:w="868" w:type="dxa"/>
            <w:vAlign w:val="center"/>
          </w:tcPr>
          <w:p w14:paraId="1BB361E0" w14:textId="77777777" w:rsidR="00DD7747" w:rsidRPr="00483F7D" w:rsidRDefault="00DD7747" w:rsidP="00DD7747">
            <w:pPr>
              <w:jc w:val="center"/>
              <w:rPr>
                <w:noProof/>
                <w:sz w:val="20"/>
                <w:szCs w:val="20"/>
              </w:rPr>
            </w:pPr>
          </w:p>
        </w:tc>
        <w:tc>
          <w:tcPr>
            <w:tcW w:w="868" w:type="dxa"/>
            <w:vAlign w:val="center"/>
          </w:tcPr>
          <w:p w14:paraId="4BBE9974" w14:textId="77777777" w:rsidR="00DD7747" w:rsidRPr="00483F7D" w:rsidRDefault="00DD7747" w:rsidP="00DD7747">
            <w:pPr>
              <w:jc w:val="center"/>
              <w:rPr>
                <w:noProof/>
                <w:sz w:val="20"/>
                <w:szCs w:val="20"/>
              </w:rPr>
            </w:pPr>
          </w:p>
        </w:tc>
        <w:tc>
          <w:tcPr>
            <w:tcW w:w="868" w:type="dxa"/>
            <w:vAlign w:val="center"/>
          </w:tcPr>
          <w:p w14:paraId="6A11D121" w14:textId="77777777" w:rsidR="00DD7747" w:rsidRPr="00483F7D" w:rsidRDefault="00DD7747" w:rsidP="00DD7747">
            <w:pPr>
              <w:jc w:val="center"/>
              <w:rPr>
                <w:noProof/>
                <w:sz w:val="20"/>
                <w:szCs w:val="20"/>
              </w:rPr>
            </w:pPr>
            <w:r w:rsidRPr="00483F7D">
              <w:rPr>
                <w:sz w:val="20"/>
              </w:rPr>
              <w:t>2026</w:t>
            </w:r>
          </w:p>
        </w:tc>
        <w:tc>
          <w:tcPr>
            <w:tcW w:w="868" w:type="dxa"/>
            <w:vAlign w:val="center"/>
          </w:tcPr>
          <w:p w14:paraId="4890BE99" w14:textId="77777777" w:rsidR="00DD7747" w:rsidRPr="00483F7D" w:rsidRDefault="00DD7747" w:rsidP="00DD7747">
            <w:pPr>
              <w:jc w:val="center"/>
              <w:rPr>
                <w:noProof/>
                <w:sz w:val="20"/>
                <w:szCs w:val="20"/>
              </w:rPr>
            </w:pPr>
            <w:r w:rsidRPr="00483F7D">
              <w:rPr>
                <w:sz w:val="20"/>
              </w:rPr>
              <w:t>2027</w:t>
            </w:r>
          </w:p>
        </w:tc>
        <w:tc>
          <w:tcPr>
            <w:tcW w:w="1257" w:type="dxa"/>
            <w:vAlign w:val="center"/>
          </w:tcPr>
          <w:p w14:paraId="73ECC4BA" w14:textId="77777777" w:rsidR="00DD7747" w:rsidRPr="00483F7D" w:rsidRDefault="00DD7747" w:rsidP="00DD7747">
            <w:pPr>
              <w:jc w:val="right"/>
              <w:rPr>
                <w:noProof/>
                <w:sz w:val="20"/>
                <w:szCs w:val="20"/>
              </w:rPr>
            </w:pPr>
            <w:r w:rsidRPr="00483F7D">
              <w:rPr>
                <w:sz w:val="20"/>
              </w:rPr>
              <w:t>ΣΥΝΟΛΟ</w:t>
            </w:r>
          </w:p>
        </w:tc>
      </w:tr>
      <w:tr w:rsidR="00DD7747" w:rsidRPr="00483F7D" w14:paraId="200C522B" w14:textId="77777777" w:rsidTr="00DD7747">
        <w:trPr>
          <w:trHeight w:hRule="exact" w:val="567"/>
        </w:trPr>
        <w:tc>
          <w:tcPr>
            <w:tcW w:w="3047" w:type="dxa"/>
            <w:vMerge w:val="restart"/>
            <w:vAlign w:val="center"/>
          </w:tcPr>
          <w:p w14:paraId="16169782" w14:textId="77777777" w:rsidR="00DD7747" w:rsidRPr="00483F7D" w:rsidRDefault="00DD7747" w:rsidP="00DD7747">
            <w:pPr>
              <w:rPr>
                <w:noProof/>
                <w:sz w:val="20"/>
                <w:szCs w:val="20"/>
              </w:rPr>
            </w:pPr>
            <w:r w:rsidRPr="00483F7D">
              <w:rPr>
                <w:sz w:val="20"/>
              </w:rPr>
              <w:t>Συνεργασία στον τομέα των τελωνείων (Τελωνεία) – υποτομέας 03 05 01</w:t>
            </w:r>
          </w:p>
        </w:tc>
        <w:tc>
          <w:tcPr>
            <w:tcW w:w="1503" w:type="dxa"/>
            <w:vAlign w:val="center"/>
          </w:tcPr>
          <w:p w14:paraId="7BBF06ED" w14:textId="77777777" w:rsidR="00DD7747" w:rsidRPr="00483F7D" w:rsidRDefault="00DD7747" w:rsidP="00DD7747">
            <w:pPr>
              <w:spacing w:before="20" w:after="20"/>
              <w:rPr>
                <w:noProof/>
                <w:sz w:val="20"/>
                <w:szCs w:val="20"/>
              </w:rPr>
            </w:pPr>
            <w:r w:rsidRPr="00483F7D">
              <w:rPr>
                <w:sz w:val="20"/>
              </w:rPr>
              <w:t>Αναλήψεις υποχρεώσεων</w:t>
            </w:r>
          </w:p>
        </w:tc>
        <w:tc>
          <w:tcPr>
            <w:tcW w:w="591" w:type="dxa"/>
            <w:vAlign w:val="center"/>
          </w:tcPr>
          <w:p w14:paraId="6A79B4D8" w14:textId="77777777" w:rsidR="00DD7747" w:rsidRPr="00483F7D" w:rsidRDefault="00DD7747" w:rsidP="00DD7747">
            <w:pPr>
              <w:spacing w:before="20" w:after="20"/>
              <w:jc w:val="center"/>
              <w:rPr>
                <w:noProof/>
                <w:sz w:val="20"/>
                <w:szCs w:val="20"/>
              </w:rPr>
            </w:pPr>
            <w:r w:rsidRPr="00483F7D">
              <w:rPr>
                <w:sz w:val="20"/>
              </w:rPr>
              <w:t>(1)</w:t>
            </w:r>
          </w:p>
        </w:tc>
        <w:tc>
          <w:tcPr>
            <w:tcW w:w="868" w:type="dxa"/>
            <w:vAlign w:val="center"/>
          </w:tcPr>
          <w:p w14:paraId="5A1BC152" w14:textId="77777777" w:rsidR="00DD7747" w:rsidRPr="00483F7D" w:rsidRDefault="00DD7747" w:rsidP="00DD7747">
            <w:pPr>
              <w:spacing w:before="20" w:after="20"/>
              <w:jc w:val="right"/>
              <w:rPr>
                <w:noProof/>
                <w:sz w:val="20"/>
                <w:szCs w:val="20"/>
              </w:rPr>
            </w:pPr>
          </w:p>
        </w:tc>
        <w:tc>
          <w:tcPr>
            <w:tcW w:w="868" w:type="dxa"/>
            <w:vAlign w:val="center"/>
          </w:tcPr>
          <w:p w14:paraId="75D4547B" w14:textId="77777777" w:rsidR="00DD7747" w:rsidRPr="00483F7D" w:rsidRDefault="00DD7747" w:rsidP="00DD7747">
            <w:pPr>
              <w:spacing w:before="20" w:after="20"/>
              <w:jc w:val="right"/>
              <w:rPr>
                <w:noProof/>
                <w:sz w:val="20"/>
                <w:szCs w:val="20"/>
              </w:rPr>
            </w:pPr>
          </w:p>
        </w:tc>
        <w:tc>
          <w:tcPr>
            <w:tcW w:w="868" w:type="dxa"/>
            <w:vAlign w:val="center"/>
          </w:tcPr>
          <w:p w14:paraId="6DB9EFE3" w14:textId="77777777" w:rsidR="00DD7747" w:rsidRPr="00483F7D" w:rsidRDefault="00DD7747" w:rsidP="00DD7747">
            <w:pPr>
              <w:spacing w:before="20" w:after="20"/>
              <w:jc w:val="right"/>
              <w:rPr>
                <w:noProof/>
                <w:sz w:val="20"/>
                <w:szCs w:val="20"/>
              </w:rPr>
            </w:pPr>
          </w:p>
        </w:tc>
        <w:tc>
          <w:tcPr>
            <w:tcW w:w="868" w:type="dxa"/>
            <w:vAlign w:val="center"/>
          </w:tcPr>
          <w:p w14:paraId="1134C563" w14:textId="77777777" w:rsidR="00DD7747" w:rsidRPr="00483F7D" w:rsidRDefault="00DD7747" w:rsidP="00DD7747">
            <w:pPr>
              <w:spacing w:before="20" w:after="20"/>
              <w:jc w:val="right"/>
              <w:rPr>
                <w:noProof/>
                <w:sz w:val="20"/>
                <w:szCs w:val="20"/>
              </w:rPr>
            </w:pPr>
          </w:p>
        </w:tc>
        <w:tc>
          <w:tcPr>
            <w:tcW w:w="868" w:type="dxa"/>
            <w:vAlign w:val="center"/>
          </w:tcPr>
          <w:p w14:paraId="30852C6D" w14:textId="77777777" w:rsidR="00DD7747" w:rsidRPr="00483F7D" w:rsidRDefault="00DD7747" w:rsidP="00DD7747">
            <w:pPr>
              <w:spacing w:before="20" w:after="20"/>
              <w:jc w:val="right"/>
              <w:rPr>
                <w:noProof/>
                <w:sz w:val="20"/>
                <w:szCs w:val="20"/>
              </w:rPr>
            </w:pPr>
          </w:p>
        </w:tc>
        <w:tc>
          <w:tcPr>
            <w:tcW w:w="868" w:type="dxa"/>
            <w:vAlign w:val="center"/>
          </w:tcPr>
          <w:p w14:paraId="000613B0" w14:textId="77777777" w:rsidR="00DD7747" w:rsidRPr="00483F7D" w:rsidRDefault="00DD7747" w:rsidP="00DD7747">
            <w:pPr>
              <w:spacing w:before="20" w:after="20"/>
              <w:jc w:val="right"/>
              <w:rPr>
                <w:noProof/>
                <w:sz w:val="20"/>
                <w:szCs w:val="20"/>
              </w:rPr>
            </w:pPr>
            <w:r w:rsidRPr="00483F7D">
              <w:rPr>
                <w:sz w:val="20"/>
              </w:rPr>
              <w:t>23,072</w:t>
            </w:r>
          </w:p>
        </w:tc>
        <w:tc>
          <w:tcPr>
            <w:tcW w:w="868" w:type="dxa"/>
            <w:vAlign w:val="center"/>
          </w:tcPr>
          <w:p w14:paraId="042E025C" w14:textId="77777777" w:rsidR="00DD7747" w:rsidRPr="00483F7D" w:rsidRDefault="00DD7747" w:rsidP="00DD7747">
            <w:pPr>
              <w:spacing w:before="20" w:after="20"/>
              <w:jc w:val="right"/>
              <w:rPr>
                <w:noProof/>
                <w:sz w:val="20"/>
                <w:szCs w:val="20"/>
              </w:rPr>
            </w:pPr>
            <w:r w:rsidRPr="00483F7D">
              <w:rPr>
                <w:sz w:val="20"/>
              </w:rPr>
              <w:t>31,946</w:t>
            </w:r>
          </w:p>
        </w:tc>
        <w:tc>
          <w:tcPr>
            <w:tcW w:w="1257" w:type="dxa"/>
            <w:vAlign w:val="center"/>
          </w:tcPr>
          <w:p w14:paraId="741D3878" w14:textId="77777777" w:rsidR="00DD7747" w:rsidRPr="00483F7D" w:rsidRDefault="00DD7747" w:rsidP="00DD7747">
            <w:pPr>
              <w:spacing w:before="20" w:after="20"/>
              <w:jc w:val="right"/>
              <w:rPr>
                <w:noProof/>
                <w:sz w:val="20"/>
                <w:szCs w:val="20"/>
              </w:rPr>
            </w:pPr>
            <w:r w:rsidRPr="00483F7D">
              <w:rPr>
                <w:sz w:val="20"/>
              </w:rPr>
              <w:t>55,019</w:t>
            </w:r>
          </w:p>
        </w:tc>
      </w:tr>
      <w:tr w:rsidR="00DD7747" w:rsidRPr="00483F7D" w14:paraId="46C61AC7" w14:textId="77777777" w:rsidTr="00DD7747">
        <w:trPr>
          <w:trHeight w:hRule="exact" w:val="561"/>
        </w:trPr>
        <w:tc>
          <w:tcPr>
            <w:tcW w:w="3047" w:type="dxa"/>
            <w:vMerge/>
            <w:vAlign w:val="center"/>
          </w:tcPr>
          <w:p w14:paraId="13B905BA" w14:textId="77777777" w:rsidR="00DD7747" w:rsidRPr="00483F7D" w:rsidRDefault="00DD7747" w:rsidP="00DD7747">
            <w:pPr>
              <w:rPr>
                <w:noProof/>
                <w:sz w:val="20"/>
                <w:szCs w:val="20"/>
              </w:rPr>
            </w:pPr>
          </w:p>
        </w:tc>
        <w:tc>
          <w:tcPr>
            <w:tcW w:w="1503" w:type="dxa"/>
            <w:vAlign w:val="center"/>
          </w:tcPr>
          <w:p w14:paraId="3C1D7CB3" w14:textId="77777777" w:rsidR="00DD7747" w:rsidRPr="00483F7D" w:rsidRDefault="00DD7747" w:rsidP="00DD7747">
            <w:pPr>
              <w:spacing w:before="20" w:after="20"/>
              <w:rPr>
                <w:noProof/>
                <w:sz w:val="20"/>
                <w:szCs w:val="20"/>
              </w:rPr>
            </w:pPr>
            <w:r w:rsidRPr="00483F7D">
              <w:rPr>
                <w:sz w:val="20"/>
              </w:rPr>
              <w:t>Πληρωμές</w:t>
            </w:r>
          </w:p>
        </w:tc>
        <w:tc>
          <w:tcPr>
            <w:tcW w:w="591" w:type="dxa"/>
            <w:vAlign w:val="center"/>
          </w:tcPr>
          <w:p w14:paraId="5245A77B" w14:textId="77777777" w:rsidR="00DD7747" w:rsidRPr="00483F7D" w:rsidRDefault="00DD7747" w:rsidP="00DD7747">
            <w:pPr>
              <w:spacing w:before="20" w:after="20"/>
              <w:jc w:val="center"/>
              <w:rPr>
                <w:noProof/>
                <w:sz w:val="20"/>
                <w:szCs w:val="20"/>
              </w:rPr>
            </w:pPr>
            <w:r w:rsidRPr="00483F7D">
              <w:rPr>
                <w:sz w:val="20"/>
              </w:rPr>
              <w:t>(2)</w:t>
            </w:r>
          </w:p>
        </w:tc>
        <w:tc>
          <w:tcPr>
            <w:tcW w:w="868" w:type="dxa"/>
            <w:vAlign w:val="center"/>
          </w:tcPr>
          <w:p w14:paraId="55370C53" w14:textId="77777777" w:rsidR="00DD7747" w:rsidRPr="00483F7D" w:rsidRDefault="00DD7747" w:rsidP="00DD7747">
            <w:pPr>
              <w:spacing w:before="20" w:after="20"/>
              <w:jc w:val="right"/>
              <w:rPr>
                <w:b/>
                <w:bCs/>
                <w:noProof/>
                <w:sz w:val="20"/>
                <w:szCs w:val="20"/>
              </w:rPr>
            </w:pPr>
          </w:p>
        </w:tc>
        <w:tc>
          <w:tcPr>
            <w:tcW w:w="868" w:type="dxa"/>
            <w:vAlign w:val="center"/>
          </w:tcPr>
          <w:p w14:paraId="3BE0A28C" w14:textId="77777777" w:rsidR="00DD7747" w:rsidRPr="00483F7D" w:rsidRDefault="00DD7747" w:rsidP="00DD7747">
            <w:pPr>
              <w:spacing w:before="20" w:after="20"/>
              <w:jc w:val="right"/>
              <w:rPr>
                <w:b/>
                <w:bCs/>
                <w:noProof/>
                <w:sz w:val="20"/>
                <w:szCs w:val="20"/>
              </w:rPr>
            </w:pPr>
          </w:p>
        </w:tc>
        <w:tc>
          <w:tcPr>
            <w:tcW w:w="868" w:type="dxa"/>
            <w:vAlign w:val="center"/>
          </w:tcPr>
          <w:p w14:paraId="33C898E5" w14:textId="77777777" w:rsidR="00DD7747" w:rsidRPr="00483F7D" w:rsidRDefault="00DD7747" w:rsidP="00DD7747">
            <w:pPr>
              <w:spacing w:before="20" w:after="20"/>
              <w:jc w:val="right"/>
              <w:rPr>
                <w:b/>
                <w:bCs/>
                <w:noProof/>
                <w:sz w:val="20"/>
                <w:szCs w:val="20"/>
              </w:rPr>
            </w:pPr>
          </w:p>
        </w:tc>
        <w:tc>
          <w:tcPr>
            <w:tcW w:w="868" w:type="dxa"/>
            <w:vAlign w:val="center"/>
          </w:tcPr>
          <w:p w14:paraId="319E6056" w14:textId="77777777" w:rsidR="00DD7747" w:rsidRPr="00483F7D" w:rsidRDefault="00DD7747" w:rsidP="00DD7747">
            <w:pPr>
              <w:spacing w:before="20" w:after="20"/>
              <w:jc w:val="right"/>
              <w:rPr>
                <w:b/>
                <w:bCs/>
                <w:noProof/>
                <w:sz w:val="20"/>
                <w:szCs w:val="20"/>
              </w:rPr>
            </w:pPr>
          </w:p>
        </w:tc>
        <w:tc>
          <w:tcPr>
            <w:tcW w:w="868" w:type="dxa"/>
            <w:vAlign w:val="center"/>
          </w:tcPr>
          <w:p w14:paraId="23E2803C" w14:textId="77777777" w:rsidR="00DD7747" w:rsidRPr="00483F7D" w:rsidRDefault="00DD7747" w:rsidP="00DD7747">
            <w:pPr>
              <w:spacing w:before="20" w:after="20"/>
              <w:jc w:val="right"/>
              <w:rPr>
                <w:b/>
                <w:bCs/>
                <w:noProof/>
                <w:sz w:val="20"/>
                <w:szCs w:val="20"/>
              </w:rPr>
            </w:pPr>
          </w:p>
        </w:tc>
        <w:tc>
          <w:tcPr>
            <w:tcW w:w="868" w:type="dxa"/>
            <w:vAlign w:val="center"/>
          </w:tcPr>
          <w:p w14:paraId="435E5217" w14:textId="77777777" w:rsidR="00DD7747" w:rsidRPr="00483F7D" w:rsidRDefault="00DD7747" w:rsidP="00DD7747">
            <w:pPr>
              <w:spacing w:before="20" w:after="20"/>
              <w:jc w:val="right"/>
              <w:rPr>
                <w:b/>
                <w:bCs/>
                <w:noProof/>
                <w:sz w:val="20"/>
                <w:szCs w:val="20"/>
              </w:rPr>
            </w:pPr>
            <w:r w:rsidRPr="00483F7D">
              <w:rPr>
                <w:sz w:val="20"/>
              </w:rPr>
              <w:t>23,072</w:t>
            </w:r>
          </w:p>
        </w:tc>
        <w:tc>
          <w:tcPr>
            <w:tcW w:w="868" w:type="dxa"/>
            <w:vAlign w:val="center"/>
          </w:tcPr>
          <w:p w14:paraId="14802376" w14:textId="77777777" w:rsidR="00DD7747" w:rsidRPr="00483F7D" w:rsidRDefault="00DD7747" w:rsidP="00DD7747">
            <w:pPr>
              <w:spacing w:before="20" w:after="20"/>
              <w:jc w:val="right"/>
              <w:rPr>
                <w:b/>
                <w:bCs/>
                <w:noProof/>
                <w:sz w:val="20"/>
                <w:szCs w:val="20"/>
              </w:rPr>
            </w:pPr>
            <w:r w:rsidRPr="00483F7D">
              <w:rPr>
                <w:sz w:val="20"/>
              </w:rPr>
              <w:t>31,946</w:t>
            </w:r>
          </w:p>
        </w:tc>
        <w:tc>
          <w:tcPr>
            <w:tcW w:w="1257" w:type="dxa"/>
            <w:vAlign w:val="center"/>
          </w:tcPr>
          <w:p w14:paraId="12DD16F3" w14:textId="77777777" w:rsidR="00DD7747" w:rsidRPr="00483F7D" w:rsidRDefault="00DD7747" w:rsidP="00DD7747">
            <w:pPr>
              <w:spacing w:before="20" w:after="20"/>
              <w:jc w:val="right"/>
              <w:rPr>
                <w:b/>
                <w:bCs/>
                <w:noProof/>
                <w:sz w:val="20"/>
                <w:szCs w:val="20"/>
              </w:rPr>
            </w:pPr>
            <w:r w:rsidRPr="00483F7D">
              <w:rPr>
                <w:sz w:val="20"/>
              </w:rPr>
              <w:t>55,019</w:t>
            </w:r>
          </w:p>
        </w:tc>
      </w:tr>
      <w:tr w:rsidR="00DD7747" w:rsidRPr="00483F7D" w14:paraId="3F6581AE" w14:textId="77777777" w:rsidTr="00DD7747">
        <w:trPr>
          <w:trHeight w:hRule="exact" w:val="628"/>
        </w:trPr>
        <w:tc>
          <w:tcPr>
            <w:tcW w:w="3047" w:type="dxa"/>
            <w:vMerge w:val="restart"/>
            <w:vAlign w:val="center"/>
          </w:tcPr>
          <w:p w14:paraId="38FE2E78" w14:textId="77777777" w:rsidR="00DD7747" w:rsidRPr="00483F7D" w:rsidRDefault="00DD7747" w:rsidP="00DD7747">
            <w:pPr>
              <w:jc w:val="center"/>
              <w:rPr>
                <w:noProof/>
                <w:sz w:val="20"/>
                <w:szCs w:val="20"/>
              </w:rPr>
            </w:pPr>
            <w:r w:rsidRPr="00483F7D">
              <w:rPr>
                <w:b/>
                <w:sz w:val="20"/>
              </w:rPr>
              <w:t>ΣΥΝΟΛΟ πιστώσεων</w:t>
            </w:r>
            <w:r w:rsidRPr="00483F7D">
              <w:t xml:space="preserve"> </w:t>
            </w:r>
            <w:r w:rsidRPr="00483F7D">
              <w:br/>
            </w:r>
            <w:r w:rsidRPr="00483F7D">
              <w:rPr>
                <w:b/>
                <w:sz w:val="20"/>
              </w:rPr>
              <w:t>για</w:t>
            </w:r>
            <w:r w:rsidRPr="00483F7D">
              <w:rPr>
                <w:sz w:val="20"/>
              </w:rPr>
              <w:t xml:space="preserve"> 03 05 01</w:t>
            </w:r>
          </w:p>
        </w:tc>
        <w:tc>
          <w:tcPr>
            <w:tcW w:w="1503" w:type="dxa"/>
            <w:vAlign w:val="center"/>
          </w:tcPr>
          <w:p w14:paraId="0A4973D5" w14:textId="77777777" w:rsidR="00DD7747" w:rsidRPr="00483F7D" w:rsidRDefault="00DD7747" w:rsidP="00DD7747">
            <w:pPr>
              <w:rPr>
                <w:noProof/>
                <w:sz w:val="20"/>
                <w:szCs w:val="20"/>
              </w:rPr>
            </w:pPr>
            <w:r w:rsidRPr="00483F7D">
              <w:rPr>
                <w:sz w:val="20"/>
              </w:rPr>
              <w:t>Αναλήψεις υποχρεώσεων</w:t>
            </w:r>
          </w:p>
        </w:tc>
        <w:tc>
          <w:tcPr>
            <w:tcW w:w="591" w:type="dxa"/>
            <w:vAlign w:val="center"/>
          </w:tcPr>
          <w:p w14:paraId="3EED7BBC" w14:textId="77777777" w:rsidR="00DD7747" w:rsidRPr="00483F7D" w:rsidRDefault="00DD7747" w:rsidP="00DD7747">
            <w:pPr>
              <w:jc w:val="center"/>
              <w:rPr>
                <w:noProof/>
                <w:sz w:val="20"/>
                <w:szCs w:val="20"/>
              </w:rPr>
            </w:pPr>
            <w:r w:rsidRPr="00483F7D">
              <w:rPr>
                <w:sz w:val="20"/>
              </w:rPr>
              <w:t>=1+1α+3α</w:t>
            </w:r>
          </w:p>
        </w:tc>
        <w:tc>
          <w:tcPr>
            <w:tcW w:w="868" w:type="dxa"/>
            <w:vAlign w:val="center"/>
          </w:tcPr>
          <w:p w14:paraId="37B0AE78" w14:textId="77777777" w:rsidR="00DD7747" w:rsidRPr="00483F7D" w:rsidRDefault="00DD7747" w:rsidP="00DD7747">
            <w:pPr>
              <w:spacing w:before="0" w:after="0"/>
              <w:jc w:val="right"/>
              <w:rPr>
                <w:noProof/>
                <w:sz w:val="20"/>
                <w:szCs w:val="20"/>
              </w:rPr>
            </w:pPr>
          </w:p>
        </w:tc>
        <w:tc>
          <w:tcPr>
            <w:tcW w:w="868" w:type="dxa"/>
            <w:vAlign w:val="center"/>
          </w:tcPr>
          <w:p w14:paraId="1021FCE6" w14:textId="77777777" w:rsidR="00DD7747" w:rsidRPr="00483F7D" w:rsidRDefault="00DD7747" w:rsidP="00DD7747">
            <w:pPr>
              <w:spacing w:before="0" w:after="0"/>
              <w:jc w:val="right"/>
              <w:rPr>
                <w:noProof/>
                <w:sz w:val="20"/>
                <w:szCs w:val="20"/>
              </w:rPr>
            </w:pPr>
          </w:p>
        </w:tc>
        <w:tc>
          <w:tcPr>
            <w:tcW w:w="868" w:type="dxa"/>
            <w:vAlign w:val="center"/>
          </w:tcPr>
          <w:p w14:paraId="02EFCC17" w14:textId="77777777" w:rsidR="00DD7747" w:rsidRPr="00483F7D" w:rsidRDefault="00DD7747" w:rsidP="00DD7747">
            <w:pPr>
              <w:spacing w:before="0" w:after="0"/>
              <w:jc w:val="right"/>
              <w:rPr>
                <w:noProof/>
                <w:sz w:val="20"/>
                <w:szCs w:val="20"/>
              </w:rPr>
            </w:pPr>
          </w:p>
        </w:tc>
        <w:tc>
          <w:tcPr>
            <w:tcW w:w="868" w:type="dxa"/>
            <w:vAlign w:val="center"/>
          </w:tcPr>
          <w:p w14:paraId="44753B3D" w14:textId="77777777" w:rsidR="00DD7747" w:rsidRPr="00483F7D" w:rsidRDefault="00DD7747" w:rsidP="00DD7747">
            <w:pPr>
              <w:spacing w:before="0" w:after="0"/>
              <w:jc w:val="right"/>
              <w:rPr>
                <w:noProof/>
                <w:sz w:val="20"/>
                <w:szCs w:val="20"/>
              </w:rPr>
            </w:pPr>
          </w:p>
        </w:tc>
        <w:tc>
          <w:tcPr>
            <w:tcW w:w="868" w:type="dxa"/>
            <w:vAlign w:val="center"/>
          </w:tcPr>
          <w:p w14:paraId="606E656F" w14:textId="77777777" w:rsidR="00DD7747" w:rsidRPr="00483F7D" w:rsidRDefault="00DD7747" w:rsidP="00DD7747">
            <w:pPr>
              <w:spacing w:before="0" w:after="0"/>
              <w:jc w:val="right"/>
              <w:rPr>
                <w:noProof/>
                <w:sz w:val="20"/>
                <w:szCs w:val="20"/>
              </w:rPr>
            </w:pPr>
          </w:p>
        </w:tc>
        <w:tc>
          <w:tcPr>
            <w:tcW w:w="868" w:type="dxa"/>
            <w:vAlign w:val="center"/>
          </w:tcPr>
          <w:p w14:paraId="06362EBE" w14:textId="77777777" w:rsidR="00DD7747" w:rsidRPr="00483F7D" w:rsidRDefault="00DD7747" w:rsidP="00DD7747">
            <w:pPr>
              <w:spacing w:before="0" w:after="0"/>
              <w:jc w:val="right"/>
              <w:rPr>
                <w:noProof/>
                <w:sz w:val="20"/>
                <w:szCs w:val="20"/>
              </w:rPr>
            </w:pPr>
            <w:r w:rsidRPr="00483F7D">
              <w:rPr>
                <w:sz w:val="20"/>
              </w:rPr>
              <w:t>23,072</w:t>
            </w:r>
          </w:p>
        </w:tc>
        <w:tc>
          <w:tcPr>
            <w:tcW w:w="868" w:type="dxa"/>
            <w:vAlign w:val="center"/>
          </w:tcPr>
          <w:p w14:paraId="67ABD336" w14:textId="77777777" w:rsidR="00DD7747" w:rsidRPr="00483F7D" w:rsidRDefault="00DD7747" w:rsidP="00DD7747">
            <w:pPr>
              <w:spacing w:before="0" w:after="0"/>
              <w:jc w:val="right"/>
              <w:rPr>
                <w:b/>
                <w:noProof/>
                <w:sz w:val="20"/>
                <w:szCs w:val="20"/>
              </w:rPr>
            </w:pPr>
            <w:r w:rsidRPr="00483F7D">
              <w:rPr>
                <w:sz w:val="20"/>
              </w:rPr>
              <w:t>31,946</w:t>
            </w:r>
          </w:p>
        </w:tc>
        <w:tc>
          <w:tcPr>
            <w:tcW w:w="1257" w:type="dxa"/>
            <w:vAlign w:val="center"/>
          </w:tcPr>
          <w:p w14:paraId="45D2B48E" w14:textId="77777777" w:rsidR="00DD7747" w:rsidRPr="00483F7D" w:rsidRDefault="00DD7747" w:rsidP="00DD7747">
            <w:pPr>
              <w:spacing w:before="0" w:after="0"/>
              <w:jc w:val="right"/>
              <w:rPr>
                <w:b/>
                <w:noProof/>
                <w:sz w:val="20"/>
                <w:szCs w:val="20"/>
              </w:rPr>
            </w:pPr>
            <w:r w:rsidRPr="00483F7D">
              <w:rPr>
                <w:sz w:val="20"/>
              </w:rPr>
              <w:t>55,019</w:t>
            </w:r>
          </w:p>
        </w:tc>
      </w:tr>
      <w:tr w:rsidR="00DD7747" w:rsidRPr="00483F7D" w14:paraId="70205F7D" w14:textId="77777777" w:rsidTr="00DD7747">
        <w:trPr>
          <w:trHeight w:hRule="exact" w:val="661"/>
        </w:trPr>
        <w:tc>
          <w:tcPr>
            <w:tcW w:w="3047" w:type="dxa"/>
            <w:vMerge/>
            <w:vAlign w:val="center"/>
          </w:tcPr>
          <w:p w14:paraId="342CBEBD" w14:textId="77777777" w:rsidR="00DD7747" w:rsidRPr="00483F7D" w:rsidRDefault="00DD7747" w:rsidP="00DD7747">
            <w:pPr>
              <w:rPr>
                <w:b/>
                <w:noProof/>
                <w:sz w:val="20"/>
                <w:szCs w:val="20"/>
              </w:rPr>
            </w:pPr>
          </w:p>
        </w:tc>
        <w:tc>
          <w:tcPr>
            <w:tcW w:w="1503" w:type="dxa"/>
            <w:vAlign w:val="center"/>
          </w:tcPr>
          <w:p w14:paraId="339E19EC" w14:textId="77777777" w:rsidR="00DD7747" w:rsidRPr="00483F7D" w:rsidRDefault="00DD7747" w:rsidP="00DD7747">
            <w:pPr>
              <w:rPr>
                <w:noProof/>
                <w:sz w:val="20"/>
                <w:szCs w:val="20"/>
              </w:rPr>
            </w:pPr>
            <w:r w:rsidRPr="00483F7D">
              <w:rPr>
                <w:sz w:val="20"/>
              </w:rPr>
              <w:t>Πληρωμές</w:t>
            </w:r>
          </w:p>
        </w:tc>
        <w:tc>
          <w:tcPr>
            <w:tcW w:w="591" w:type="dxa"/>
            <w:vAlign w:val="center"/>
          </w:tcPr>
          <w:p w14:paraId="53555497" w14:textId="77777777" w:rsidR="00DD7747" w:rsidRPr="00483F7D" w:rsidRDefault="00DD7747" w:rsidP="00DD7747">
            <w:pPr>
              <w:jc w:val="center"/>
              <w:rPr>
                <w:noProof/>
                <w:sz w:val="20"/>
                <w:szCs w:val="20"/>
              </w:rPr>
            </w:pPr>
            <w:r w:rsidRPr="00483F7D">
              <w:rPr>
                <w:sz w:val="20"/>
              </w:rPr>
              <w:t>=2+2α</w:t>
            </w:r>
          </w:p>
          <w:p w14:paraId="0B9B073D" w14:textId="77777777" w:rsidR="00DD7747" w:rsidRPr="00483F7D" w:rsidRDefault="00DD7747" w:rsidP="00DD7747">
            <w:pPr>
              <w:jc w:val="center"/>
              <w:rPr>
                <w:noProof/>
                <w:sz w:val="20"/>
                <w:szCs w:val="20"/>
              </w:rPr>
            </w:pPr>
            <w:r w:rsidRPr="00483F7D">
              <w:rPr>
                <w:sz w:val="20"/>
              </w:rPr>
              <w:t>+3β</w:t>
            </w:r>
          </w:p>
        </w:tc>
        <w:tc>
          <w:tcPr>
            <w:tcW w:w="868" w:type="dxa"/>
            <w:vAlign w:val="center"/>
          </w:tcPr>
          <w:p w14:paraId="55717597" w14:textId="77777777" w:rsidR="00DD7747" w:rsidRPr="00483F7D" w:rsidRDefault="00DD7747" w:rsidP="00DD7747">
            <w:pPr>
              <w:spacing w:before="20" w:after="20"/>
              <w:jc w:val="right"/>
              <w:rPr>
                <w:noProof/>
                <w:sz w:val="20"/>
                <w:szCs w:val="20"/>
              </w:rPr>
            </w:pPr>
          </w:p>
        </w:tc>
        <w:tc>
          <w:tcPr>
            <w:tcW w:w="868" w:type="dxa"/>
            <w:vAlign w:val="center"/>
          </w:tcPr>
          <w:p w14:paraId="7CB9182A" w14:textId="77777777" w:rsidR="00DD7747" w:rsidRPr="00483F7D" w:rsidRDefault="00DD7747" w:rsidP="00DD7747">
            <w:pPr>
              <w:spacing w:before="20" w:after="20"/>
              <w:jc w:val="right"/>
              <w:rPr>
                <w:noProof/>
                <w:sz w:val="20"/>
                <w:szCs w:val="20"/>
              </w:rPr>
            </w:pPr>
          </w:p>
        </w:tc>
        <w:tc>
          <w:tcPr>
            <w:tcW w:w="868" w:type="dxa"/>
            <w:vAlign w:val="center"/>
          </w:tcPr>
          <w:p w14:paraId="63E0FC31" w14:textId="77777777" w:rsidR="00DD7747" w:rsidRPr="00483F7D" w:rsidRDefault="00DD7747" w:rsidP="00DD7747">
            <w:pPr>
              <w:spacing w:before="20" w:after="20"/>
              <w:jc w:val="right"/>
              <w:rPr>
                <w:noProof/>
                <w:sz w:val="20"/>
                <w:szCs w:val="20"/>
              </w:rPr>
            </w:pPr>
          </w:p>
        </w:tc>
        <w:tc>
          <w:tcPr>
            <w:tcW w:w="868" w:type="dxa"/>
            <w:vAlign w:val="center"/>
          </w:tcPr>
          <w:p w14:paraId="4937C43C" w14:textId="77777777" w:rsidR="00DD7747" w:rsidRPr="00483F7D" w:rsidRDefault="00DD7747" w:rsidP="00DD7747">
            <w:pPr>
              <w:spacing w:before="20" w:after="20"/>
              <w:jc w:val="right"/>
              <w:rPr>
                <w:noProof/>
                <w:sz w:val="20"/>
                <w:szCs w:val="20"/>
              </w:rPr>
            </w:pPr>
          </w:p>
        </w:tc>
        <w:tc>
          <w:tcPr>
            <w:tcW w:w="868" w:type="dxa"/>
            <w:vAlign w:val="center"/>
          </w:tcPr>
          <w:p w14:paraId="7B7002DE" w14:textId="77777777" w:rsidR="00DD7747" w:rsidRPr="00483F7D" w:rsidRDefault="00DD7747" w:rsidP="00DD7747">
            <w:pPr>
              <w:spacing w:before="20" w:after="20"/>
              <w:jc w:val="right"/>
              <w:rPr>
                <w:noProof/>
                <w:sz w:val="20"/>
                <w:szCs w:val="20"/>
              </w:rPr>
            </w:pPr>
          </w:p>
        </w:tc>
        <w:tc>
          <w:tcPr>
            <w:tcW w:w="868" w:type="dxa"/>
            <w:vAlign w:val="center"/>
          </w:tcPr>
          <w:p w14:paraId="132AED05" w14:textId="77777777" w:rsidR="00DD7747" w:rsidRPr="00483F7D" w:rsidRDefault="00DD7747" w:rsidP="00DD7747">
            <w:pPr>
              <w:spacing w:before="20" w:after="20"/>
              <w:jc w:val="right"/>
              <w:rPr>
                <w:noProof/>
                <w:sz w:val="20"/>
                <w:szCs w:val="20"/>
              </w:rPr>
            </w:pPr>
            <w:r w:rsidRPr="00483F7D">
              <w:rPr>
                <w:sz w:val="20"/>
              </w:rPr>
              <w:t>23,072</w:t>
            </w:r>
          </w:p>
        </w:tc>
        <w:tc>
          <w:tcPr>
            <w:tcW w:w="868" w:type="dxa"/>
            <w:vAlign w:val="center"/>
          </w:tcPr>
          <w:p w14:paraId="70D3A1B8" w14:textId="77777777" w:rsidR="00DD7747" w:rsidRPr="00483F7D" w:rsidRDefault="00DD7747" w:rsidP="00DD7747">
            <w:pPr>
              <w:spacing w:before="20" w:after="20"/>
              <w:jc w:val="right"/>
              <w:rPr>
                <w:b/>
                <w:noProof/>
                <w:sz w:val="20"/>
                <w:szCs w:val="20"/>
              </w:rPr>
            </w:pPr>
            <w:r w:rsidRPr="00483F7D">
              <w:rPr>
                <w:sz w:val="20"/>
              </w:rPr>
              <w:t>31,946</w:t>
            </w:r>
          </w:p>
        </w:tc>
        <w:tc>
          <w:tcPr>
            <w:tcW w:w="1257" w:type="dxa"/>
            <w:vAlign w:val="center"/>
          </w:tcPr>
          <w:p w14:paraId="01F005EF" w14:textId="77777777" w:rsidR="00DD7747" w:rsidRPr="00483F7D" w:rsidRDefault="00DD7747" w:rsidP="00DD7747">
            <w:pPr>
              <w:spacing w:before="20" w:after="20"/>
              <w:jc w:val="right"/>
              <w:rPr>
                <w:b/>
                <w:noProof/>
                <w:sz w:val="20"/>
                <w:szCs w:val="20"/>
              </w:rPr>
            </w:pPr>
            <w:r w:rsidRPr="00483F7D">
              <w:rPr>
                <w:sz w:val="20"/>
              </w:rPr>
              <w:t>55,019</w:t>
            </w:r>
          </w:p>
        </w:tc>
      </w:tr>
    </w:tbl>
    <w:bookmarkEnd w:id="345"/>
    <w:p w14:paraId="24FC2B0F" w14:textId="77777777" w:rsidR="008F6AC1" w:rsidRPr="00483F7D" w:rsidRDefault="008F6AC1" w:rsidP="00DD7747">
      <w:pPr>
        <w:pStyle w:val="Text1"/>
        <w:spacing w:before="240"/>
        <w:ind w:left="851"/>
      </w:pPr>
      <w:r w:rsidRPr="00483F7D">
        <w:t xml:space="preserve">Στο τρέχον ΠΔΠ, η μεταρρύθμιση συνεπάγεται δαπάνες της ΕΕ ύψους 60 165 000 EUR, συνδυάζοντας επιχειρησιακές και διοικητικές δαπάνες. Από το ποσό αυτό, 55,019 εκατ. EUR σε </w:t>
      </w:r>
      <w:r w:rsidRPr="00483F7D">
        <w:rPr>
          <w:b/>
        </w:rPr>
        <w:t xml:space="preserve">επιχειρησιακές δαπάνες </w:t>
      </w:r>
      <w:r w:rsidRPr="00483F7D">
        <w:t>που</w:t>
      </w:r>
      <w:r w:rsidRPr="00483F7D">
        <w:rPr>
          <w:b/>
        </w:rPr>
        <w:t xml:space="preserve"> </w:t>
      </w:r>
      <w:r w:rsidRPr="00483F7D">
        <w:t xml:space="preserve">αναφέρονται ανωτέρω προορίζονται για την ανάπτυξη των πρώτων διαρθρωτικών δυνατοτήτων του τελωνειακού κόμβου δεδομένων της ΕΕ και για την έναρξη λειτουργίας της Τελωνειακής Αρχής της ΕΕ. </w:t>
      </w:r>
    </w:p>
    <w:p w14:paraId="790CB789" w14:textId="77777777" w:rsidR="008F6AC1" w:rsidRPr="00483F7D" w:rsidRDefault="008F6AC1" w:rsidP="008F6AC1">
      <w:pPr>
        <w:pStyle w:val="Text1"/>
      </w:pPr>
      <w:r w:rsidRPr="00483F7D">
        <w:t>Οι δαπάνες αυτές θα προέλθουν από τον υφιστάμενο προϋπολογισμό του προγράμματος «Τελωνεία». Στα αποτελέσματα περιλαμβάνονται η ετοιμότητα είσπραξης νέων δασμών για το ηλεκτρονικό εμπόριο από το 2028, οι πιλοτικές εργασίες υπό την καθοδήγηση της Επιτροπής για επιλεγμένα σχέδια διαχείρισης χρηματοοικονομικών και μη χρηματοοικονομικών κινδύνων, καθώς και η προετοιμασία για τη λειτουργία της Τελωνειακής Αρχής της ΕΕ.</w:t>
      </w:r>
    </w:p>
    <w:p w14:paraId="77EA01D8" w14:textId="77777777" w:rsidR="008F6AC1" w:rsidRPr="00483F7D" w:rsidRDefault="008F6AC1" w:rsidP="008F6AC1">
      <w:pPr>
        <w:pStyle w:val="Text1"/>
      </w:pPr>
      <w:r w:rsidRPr="00483F7D">
        <w:t xml:space="preserve">Με την επιφύλαξη του επόμενου ΠΔΠ, παρουσιάζεται ανάλυση σχετικά με την περίοδο 2028-2034 ανωτέρω, η οποία εξετάζει το αναμενόμενο κόστος για τον προϋπολογισμό της Ένωσης όσον αφορά την κάλυψη των δαπανών για τον κόμβο δεδομένων της ΕΕ και τον προϋπολογισμό της Τελωνειακής Αρχής της ΕΕ. </w:t>
      </w:r>
    </w:p>
    <w:p w14:paraId="6755BE11" w14:textId="77777777" w:rsidR="008F6AC1" w:rsidRPr="00483F7D" w:rsidRDefault="008F6AC1" w:rsidP="008F6AC1">
      <w:pPr>
        <w:spacing w:after="240"/>
        <w:ind w:left="720"/>
      </w:pPr>
      <w:r w:rsidRPr="00483F7D">
        <w:t xml:space="preserve">Όσον αφορά τις </w:t>
      </w:r>
      <w:r w:rsidRPr="00483F7D">
        <w:rPr>
          <w:b/>
        </w:rPr>
        <w:t>επιχειρησιακές δαπάνες</w:t>
      </w:r>
      <w:r w:rsidRPr="00483F7D">
        <w:t xml:space="preserve">: </w:t>
      </w:r>
    </w:p>
    <w:p w14:paraId="5F698317" w14:textId="77777777" w:rsidR="008F6AC1" w:rsidRPr="00483F7D" w:rsidRDefault="008F6AC1" w:rsidP="00CF7E35">
      <w:pPr>
        <w:pStyle w:val="ListBullet1"/>
        <w:numPr>
          <w:ilvl w:val="0"/>
          <w:numId w:val="37"/>
        </w:numPr>
      </w:pPr>
      <w:r w:rsidRPr="00483F7D">
        <w:t xml:space="preserve">Το παρόν δημοσιονομικό δελτίο αφορά τις νέες δημοσιονομικές ανάγκες που προκύπτουν από την παρούσα πρόταση μεταρρύθμισης. Δεν αφορά τη συνεχιζόμενη στήριξη της Επιτροπής για την τελωνειακή συνεργασία και τα υφιστάμενα συστήματα ΕΤΚ στο πλαίσιο του υποτομέα 03 05 01, ούτε το μέσο χρηματοδοτικής στήριξης για τον εξοπλισμό τελωνειακών ελέγχων βάσει του υποτομέα 11 01 02. Η Επιτροπή θα συνεχίσει να διαχειρίζεται τα υφιστάμενα συστήματα ΕΤΚ και θα μειώσει τις επιχειρησιακές δαπάνες της για τα συστήματα αυτά με την πάροδο του χρόνου. Η Επιτροπή θα πραγματοποιήσει επίσης ορισμένες δραστηριότητες τελωνειακής συνεργασίας, οι οποίες θα μειωθούν λόγω των νέων δραστηριοτήτων της EUCA στον τομέα αυτόν. Οι δαπάνες αυτές δεν περιλαμβάνονται στο παρόν νομοθετικό δημοσιονομικό δελτίο, καθώς δεν αποτελούν δαπάνες της παρούσας πρότασης. </w:t>
      </w:r>
    </w:p>
    <w:p w14:paraId="6DD6FF4A" w14:textId="77777777" w:rsidR="008F6AC1" w:rsidRPr="00483F7D" w:rsidRDefault="008F6AC1" w:rsidP="00CF7E35">
      <w:pPr>
        <w:pStyle w:val="ListBullet1"/>
        <w:numPr>
          <w:ilvl w:val="0"/>
          <w:numId w:val="37"/>
        </w:numPr>
      </w:pPr>
      <w:r w:rsidRPr="00483F7D">
        <w:t>Οι δαπάνες ΤΠ που εμπίπτουν στο πεδίο εφαρμογής της παρούσας πρότασης αφορούν την ανάπτυξη του κόμβου δεδομένων. Η ανωτέρω γραμμή χρηματοδότησης καλύπτει περίπου 1,63 δισ. EUR μετά από τιμαριθμική αναπροσαρμογή 2 % σύμφωνα με τον πίνακα ανωτέρω.</w:t>
      </w:r>
    </w:p>
    <w:p w14:paraId="6C0CB656" w14:textId="77777777" w:rsidR="008F6AC1" w:rsidRPr="00483F7D" w:rsidRDefault="008F6AC1" w:rsidP="00CF7E35">
      <w:pPr>
        <w:pStyle w:val="ListBullet1"/>
        <w:numPr>
          <w:ilvl w:val="0"/>
          <w:numId w:val="37"/>
        </w:numPr>
      </w:pPr>
      <w:r w:rsidRPr="00483F7D">
        <w:t xml:space="preserve">Η Επιτροπή θα αναθέσει τα καθήκοντα του κόμβου δεδομένων στην EUCA μέσω ρυθμίσεων συνεισφοράς. Ως εκ τούτου, οι σχετικές δαπάνες περιλαμβάνονται στη διαδοχή του προγράμματος «Τελωνεία» στο ΠΔΠ μετά το 2027. </w:t>
      </w:r>
    </w:p>
    <w:p w14:paraId="3EBBF635" w14:textId="77777777" w:rsidR="008F6AC1" w:rsidRPr="00483F7D" w:rsidRDefault="008F6AC1" w:rsidP="00CF7E35">
      <w:pPr>
        <w:pStyle w:val="ListBullet1"/>
        <w:numPr>
          <w:ilvl w:val="0"/>
          <w:numId w:val="37"/>
        </w:numPr>
      </w:pPr>
      <w:r w:rsidRPr="00483F7D">
        <w:t>Οι επιχειρησιακές δαπάνες της EUCA, οι οποίες αφορούν κυρίως την υλοποίηση της τελωνειακής συνεργασίας, περιγράφονται αναλυτικότερα στο παράρτημα. Η EUCA θεωρείται ότι θα εισέλθει στη φάση έναρξης το 2026, με 7 υπαλλήλους (5 συμβασιούχους υπαλλήλους και 2 έκτακτους υπαλλήλους), αυξάνοντας το προσωπικό κατά επιπλέον 7 το 2027 και ξεκινώντας τις εργασίες το 2028 (καταλήγοντας με 30 υπαλλήλους κατά το εν λόγω έτος).</w:t>
      </w:r>
    </w:p>
    <w:p w14:paraId="4BE1178F" w14:textId="77777777" w:rsidR="008F6AC1" w:rsidRPr="00483F7D" w:rsidRDefault="008F6AC1" w:rsidP="00CF7E35">
      <w:pPr>
        <w:pStyle w:val="ListBullet1"/>
        <w:numPr>
          <w:ilvl w:val="0"/>
          <w:numId w:val="37"/>
        </w:numPr>
      </w:pPr>
      <w:r w:rsidRPr="00483F7D">
        <w:t>Ο τίτλος I περιλαμβάνει εκτιμώμενη στελέχωση για την EUCA σε 250 υπαλλήλους το 2034, εκ των οποίων περίπου 115 υπάλληλοι θα συνδέονται άμεσα με καθήκοντα ΤΠ και διαχείρισης δεδομένων. Οι εν λόγω θέσεις ΤΠ και διαχείρισης δεδομένων θα αφορούν τόσο την ανάπτυξη της πλατφόρμας και των εφαρμογών του κόμβου δεδομένων, όπως έχουν ανατεθεί βάσει συμφωνίας συνεισφοράς, όσο και την τεχνική διαχείριση του κόμβου δεδομένων για έργα δεδομένων, αναλύσεις και διαχείριση του μοντέλου τελωνειακών δεδομένων.</w:t>
      </w:r>
    </w:p>
    <w:p w14:paraId="1551ADA8" w14:textId="77777777" w:rsidR="00DD7747" w:rsidRPr="00483F7D" w:rsidRDefault="00DD7747" w:rsidP="003663B7">
      <w:pPr>
        <w:pStyle w:val="ListBullet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1080"/>
        <w:gridCol w:w="7278"/>
      </w:tblGrid>
      <w:tr w:rsidR="008F6AC1" w:rsidRPr="00483F7D" w14:paraId="4FD937DB" w14:textId="77777777" w:rsidTr="00DD7747">
        <w:trPr>
          <w:jc w:val="center"/>
        </w:trPr>
        <w:tc>
          <w:tcPr>
            <w:tcW w:w="3806" w:type="dxa"/>
            <w:shd w:val="thinDiagStripe" w:color="C0C0C0" w:fill="auto"/>
            <w:vAlign w:val="center"/>
          </w:tcPr>
          <w:p w14:paraId="797FBE4D" w14:textId="77777777" w:rsidR="008F6AC1" w:rsidRPr="00483F7D" w:rsidRDefault="008F6AC1" w:rsidP="005563C1">
            <w:pPr>
              <w:spacing w:before="60" w:after="60"/>
              <w:jc w:val="center"/>
              <w:rPr>
                <w:b/>
                <w:noProof/>
              </w:rPr>
            </w:pPr>
            <w:r w:rsidRPr="00483F7D">
              <w:br w:type="page"/>
            </w:r>
            <w:r w:rsidRPr="00483F7D">
              <w:br w:type="page"/>
            </w:r>
            <w:r w:rsidRPr="00483F7D">
              <w:rPr>
                <w:b/>
                <w:sz w:val="22"/>
              </w:rPr>
              <w:t xml:space="preserve">Τομέας του πολυετούς δημοσιονομικού </w:t>
            </w:r>
            <w:r w:rsidRPr="00483F7D">
              <w:t xml:space="preserve"> </w:t>
            </w:r>
            <w:r w:rsidRPr="00483F7D">
              <w:br/>
            </w:r>
            <w:r w:rsidRPr="00483F7D">
              <w:rPr>
                <w:b/>
                <w:sz w:val="22"/>
              </w:rPr>
              <w:t xml:space="preserve">πλαισίου </w:t>
            </w:r>
          </w:p>
        </w:tc>
        <w:tc>
          <w:tcPr>
            <w:tcW w:w="1080" w:type="dxa"/>
            <w:shd w:val="thinDiagStripe" w:color="C0C0C0" w:fill="auto"/>
            <w:vAlign w:val="center"/>
          </w:tcPr>
          <w:p w14:paraId="34B4799F" w14:textId="77777777" w:rsidR="008F6AC1" w:rsidRPr="00483F7D" w:rsidRDefault="008F6AC1" w:rsidP="005563C1">
            <w:pPr>
              <w:spacing w:before="60" w:after="60"/>
              <w:jc w:val="center"/>
              <w:rPr>
                <w:noProof/>
              </w:rPr>
            </w:pPr>
            <w:r w:rsidRPr="00483F7D">
              <w:rPr>
                <w:b/>
                <w:sz w:val="22"/>
              </w:rPr>
              <w:t>7</w:t>
            </w:r>
          </w:p>
        </w:tc>
        <w:tc>
          <w:tcPr>
            <w:tcW w:w="7278" w:type="dxa"/>
            <w:vAlign w:val="center"/>
          </w:tcPr>
          <w:p w14:paraId="0AAAA71A" w14:textId="77777777" w:rsidR="008F6AC1" w:rsidRPr="00483F7D" w:rsidRDefault="008F6AC1" w:rsidP="005563C1">
            <w:pPr>
              <w:spacing w:before="60" w:after="60"/>
              <w:rPr>
                <w:noProof/>
              </w:rPr>
            </w:pPr>
            <w:r w:rsidRPr="00483F7D">
              <w:rPr>
                <w:sz w:val="22"/>
              </w:rPr>
              <w:t>«Διοικητικές δαπάνες»</w:t>
            </w:r>
          </w:p>
        </w:tc>
      </w:tr>
    </w:tbl>
    <w:p w14:paraId="5B40BB3A" w14:textId="77777777" w:rsidR="008F6AC1" w:rsidRPr="00483F7D" w:rsidRDefault="008F6AC1" w:rsidP="008F6AC1">
      <w:pPr>
        <w:ind w:left="8640" w:firstLine="720"/>
        <w:jc w:val="center"/>
        <w:rPr>
          <w:noProof/>
          <w:sz w:val="20"/>
        </w:rPr>
      </w:pPr>
      <w:r w:rsidRPr="00483F7D">
        <w:rPr>
          <w:sz w:val="20"/>
        </w:rPr>
        <w:t>σε εκατ. EUR (με τρία δεκαδικά ψηφία)</w:t>
      </w:r>
    </w:p>
    <w:tbl>
      <w:tblPr>
        <w:tblW w:w="1233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9"/>
        <w:gridCol w:w="868"/>
        <w:gridCol w:w="692"/>
        <w:gridCol w:w="85"/>
        <w:gridCol w:w="151"/>
        <w:gridCol w:w="841"/>
        <w:gridCol w:w="851"/>
        <w:gridCol w:w="850"/>
        <w:gridCol w:w="851"/>
        <w:gridCol w:w="709"/>
        <w:gridCol w:w="850"/>
        <w:gridCol w:w="851"/>
        <w:gridCol w:w="850"/>
        <w:gridCol w:w="1134"/>
      </w:tblGrid>
      <w:tr w:rsidR="008F6AC1" w:rsidRPr="00483F7D" w14:paraId="0EF81331" w14:textId="77777777" w:rsidTr="005563C1">
        <w:tc>
          <w:tcPr>
            <w:tcW w:w="2749" w:type="dxa"/>
            <w:tcBorders>
              <w:top w:val="nil"/>
              <w:left w:val="nil"/>
              <w:right w:val="nil"/>
            </w:tcBorders>
            <w:vAlign w:val="center"/>
          </w:tcPr>
          <w:p w14:paraId="5D5B84C6" w14:textId="77777777" w:rsidR="008F6AC1" w:rsidRPr="00483F7D" w:rsidRDefault="008F6AC1" w:rsidP="005563C1">
            <w:pPr>
              <w:jc w:val="center"/>
              <w:rPr>
                <w:noProof/>
              </w:rPr>
            </w:pPr>
          </w:p>
        </w:tc>
        <w:tc>
          <w:tcPr>
            <w:tcW w:w="1560" w:type="dxa"/>
            <w:gridSpan w:val="2"/>
            <w:tcBorders>
              <w:top w:val="nil"/>
              <w:left w:val="nil"/>
              <w:right w:val="nil"/>
            </w:tcBorders>
          </w:tcPr>
          <w:p w14:paraId="1B017E91" w14:textId="77777777" w:rsidR="008F6AC1" w:rsidRPr="00483F7D" w:rsidRDefault="008F6AC1" w:rsidP="005563C1">
            <w:pPr>
              <w:rPr>
                <w:noProof/>
                <w:sz w:val="20"/>
              </w:rPr>
            </w:pPr>
          </w:p>
        </w:tc>
        <w:tc>
          <w:tcPr>
            <w:tcW w:w="236" w:type="dxa"/>
            <w:gridSpan w:val="2"/>
            <w:tcBorders>
              <w:top w:val="nil"/>
              <w:left w:val="nil"/>
            </w:tcBorders>
          </w:tcPr>
          <w:p w14:paraId="236143F7" w14:textId="77777777" w:rsidR="008F6AC1" w:rsidRPr="00483F7D" w:rsidRDefault="008F6AC1" w:rsidP="005563C1">
            <w:pPr>
              <w:jc w:val="center"/>
              <w:rPr>
                <w:noProof/>
                <w:sz w:val="20"/>
              </w:rPr>
            </w:pPr>
          </w:p>
        </w:tc>
        <w:tc>
          <w:tcPr>
            <w:tcW w:w="841" w:type="dxa"/>
            <w:vAlign w:val="center"/>
          </w:tcPr>
          <w:p w14:paraId="6579128D" w14:textId="77777777" w:rsidR="008F6AC1" w:rsidRPr="00483F7D" w:rsidRDefault="008F6AC1" w:rsidP="005563C1">
            <w:pPr>
              <w:jc w:val="center"/>
              <w:rPr>
                <w:noProof/>
                <w:sz w:val="20"/>
              </w:rPr>
            </w:pPr>
          </w:p>
        </w:tc>
        <w:tc>
          <w:tcPr>
            <w:tcW w:w="851" w:type="dxa"/>
            <w:vAlign w:val="center"/>
          </w:tcPr>
          <w:p w14:paraId="70C9916C" w14:textId="77777777" w:rsidR="008F6AC1" w:rsidRPr="00483F7D" w:rsidRDefault="008F6AC1" w:rsidP="005563C1">
            <w:pPr>
              <w:jc w:val="center"/>
              <w:rPr>
                <w:noProof/>
                <w:sz w:val="20"/>
              </w:rPr>
            </w:pPr>
          </w:p>
        </w:tc>
        <w:tc>
          <w:tcPr>
            <w:tcW w:w="850" w:type="dxa"/>
            <w:vAlign w:val="center"/>
          </w:tcPr>
          <w:p w14:paraId="7FDCD324" w14:textId="77777777" w:rsidR="008F6AC1" w:rsidRPr="00483F7D" w:rsidRDefault="008F6AC1" w:rsidP="005563C1">
            <w:pPr>
              <w:jc w:val="center"/>
              <w:rPr>
                <w:noProof/>
                <w:sz w:val="20"/>
              </w:rPr>
            </w:pPr>
          </w:p>
        </w:tc>
        <w:tc>
          <w:tcPr>
            <w:tcW w:w="851" w:type="dxa"/>
          </w:tcPr>
          <w:p w14:paraId="559D1678" w14:textId="77777777" w:rsidR="008F6AC1" w:rsidRPr="00483F7D" w:rsidRDefault="008F6AC1" w:rsidP="005563C1">
            <w:pPr>
              <w:jc w:val="center"/>
              <w:rPr>
                <w:noProof/>
                <w:sz w:val="20"/>
              </w:rPr>
            </w:pPr>
          </w:p>
        </w:tc>
        <w:tc>
          <w:tcPr>
            <w:tcW w:w="709" w:type="dxa"/>
            <w:vAlign w:val="center"/>
          </w:tcPr>
          <w:p w14:paraId="0673E652" w14:textId="77777777" w:rsidR="008F6AC1" w:rsidRPr="00483F7D" w:rsidRDefault="008F6AC1" w:rsidP="005563C1">
            <w:pPr>
              <w:jc w:val="center"/>
              <w:rPr>
                <w:noProof/>
                <w:sz w:val="20"/>
              </w:rPr>
            </w:pPr>
          </w:p>
        </w:tc>
        <w:tc>
          <w:tcPr>
            <w:tcW w:w="850" w:type="dxa"/>
            <w:vAlign w:val="center"/>
          </w:tcPr>
          <w:p w14:paraId="27577A68" w14:textId="77777777" w:rsidR="008F6AC1" w:rsidRPr="00483F7D" w:rsidRDefault="008F6AC1" w:rsidP="005563C1">
            <w:pPr>
              <w:jc w:val="center"/>
              <w:rPr>
                <w:b/>
                <w:noProof/>
                <w:sz w:val="18"/>
              </w:rPr>
            </w:pPr>
          </w:p>
        </w:tc>
        <w:tc>
          <w:tcPr>
            <w:tcW w:w="851" w:type="dxa"/>
            <w:vAlign w:val="center"/>
          </w:tcPr>
          <w:p w14:paraId="61FFBE79" w14:textId="77777777" w:rsidR="008F6AC1" w:rsidRPr="00483F7D" w:rsidRDefault="008F6AC1" w:rsidP="005563C1">
            <w:pPr>
              <w:jc w:val="center"/>
              <w:rPr>
                <w:b/>
                <w:noProof/>
                <w:sz w:val="18"/>
              </w:rPr>
            </w:pPr>
            <w:r w:rsidRPr="00483F7D">
              <w:rPr>
                <w:sz w:val="20"/>
              </w:rPr>
              <w:t>2026</w:t>
            </w:r>
          </w:p>
        </w:tc>
        <w:tc>
          <w:tcPr>
            <w:tcW w:w="850" w:type="dxa"/>
            <w:vAlign w:val="center"/>
          </w:tcPr>
          <w:p w14:paraId="2B3B07DE" w14:textId="77777777" w:rsidR="008F6AC1" w:rsidRPr="00483F7D" w:rsidRDefault="008F6AC1" w:rsidP="005563C1">
            <w:pPr>
              <w:jc w:val="center"/>
              <w:rPr>
                <w:b/>
                <w:noProof/>
                <w:sz w:val="18"/>
              </w:rPr>
            </w:pPr>
            <w:r w:rsidRPr="00483F7D">
              <w:rPr>
                <w:sz w:val="20"/>
              </w:rPr>
              <w:t>2027</w:t>
            </w:r>
          </w:p>
        </w:tc>
        <w:tc>
          <w:tcPr>
            <w:tcW w:w="1134" w:type="dxa"/>
            <w:vAlign w:val="center"/>
          </w:tcPr>
          <w:p w14:paraId="12A9964F" w14:textId="77777777" w:rsidR="008F6AC1" w:rsidRPr="00483F7D" w:rsidRDefault="008F6AC1" w:rsidP="005563C1">
            <w:pPr>
              <w:jc w:val="center"/>
              <w:rPr>
                <w:b/>
                <w:noProof/>
                <w:sz w:val="20"/>
              </w:rPr>
            </w:pPr>
            <w:r w:rsidRPr="00483F7D">
              <w:rPr>
                <w:b/>
                <w:sz w:val="20"/>
              </w:rPr>
              <w:t>ΣΥΝΟΛΟ</w:t>
            </w:r>
          </w:p>
        </w:tc>
      </w:tr>
      <w:tr w:rsidR="008F6AC1" w:rsidRPr="00483F7D" w14:paraId="25519A4A" w14:textId="77777777" w:rsidTr="005563C1">
        <w:trPr>
          <w:gridAfter w:val="12"/>
          <w:wAfter w:w="8715" w:type="dxa"/>
        </w:trPr>
        <w:tc>
          <w:tcPr>
            <w:tcW w:w="2749" w:type="dxa"/>
            <w:vAlign w:val="center"/>
          </w:tcPr>
          <w:p w14:paraId="5E050502" w14:textId="77777777" w:rsidR="008F6AC1" w:rsidRPr="00483F7D" w:rsidRDefault="008F6AC1" w:rsidP="005563C1">
            <w:pPr>
              <w:spacing w:before="60" w:after="60"/>
              <w:jc w:val="center"/>
              <w:rPr>
                <w:noProof/>
              </w:rPr>
            </w:pPr>
            <w:r w:rsidRPr="00483F7D">
              <w:rPr>
                <w:sz w:val="22"/>
              </w:rPr>
              <w:t xml:space="preserve">ΓΔ: </w:t>
            </w:r>
            <w:r w:rsidRPr="00483F7D">
              <w:t>TAXUD</w:t>
            </w:r>
          </w:p>
        </w:tc>
        <w:tc>
          <w:tcPr>
            <w:tcW w:w="868" w:type="dxa"/>
          </w:tcPr>
          <w:p w14:paraId="019DFF23" w14:textId="77777777" w:rsidR="008F6AC1" w:rsidRPr="00483F7D" w:rsidRDefault="008F6AC1" w:rsidP="005563C1">
            <w:pPr>
              <w:spacing w:before="60" w:after="60"/>
              <w:jc w:val="center"/>
              <w:rPr>
                <w:noProof/>
                <w:sz w:val="22"/>
              </w:rPr>
            </w:pPr>
          </w:p>
        </w:tc>
      </w:tr>
      <w:tr w:rsidR="008F6AC1" w:rsidRPr="00483F7D" w14:paraId="0D82BDE9" w14:textId="77777777" w:rsidTr="005563C1">
        <w:trPr>
          <w:trHeight w:val="313"/>
        </w:trPr>
        <w:tc>
          <w:tcPr>
            <w:tcW w:w="4394" w:type="dxa"/>
            <w:gridSpan w:val="4"/>
            <w:vAlign w:val="center"/>
          </w:tcPr>
          <w:p w14:paraId="4698C1AE" w14:textId="77777777" w:rsidR="008F6AC1" w:rsidRPr="00483F7D" w:rsidRDefault="008F6AC1" w:rsidP="005563C1">
            <w:pPr>
              <w:spacing w:before="20" w:after="20"/>
              <w:rPr>
                <w:noProof/>
              </w:rPr>
            </w:pPr>
            <w:r w:rsidRPr="00483F7D">
              <w:rPr>
                <w:sz w:val="22"/>
              </w:rPr>
              <w:sym w:font="Wingdings" w:char="F09F"/>
            </w:r>
            <w:r w:rsidRPr="00483F7D">
              <w:rPr>
                <w:sz w:val="22"/>
              </w:rPr>
              <w:t xml:space="preserve"> Μόνιμοι υπάλληλοι </w:t>
            </w:r>
          </w:p>
        </w:tc>
        <w:tc>
          <w:tcPr>
            <w:tcW w:w="992" w:type="dxa"/>
            <w:gridSpan w:val="2"/>
            <w:vAlign w:val="center"/>
          </w:tcPr>
          <w:p w14:paraId="6D4B0969" w14:textId="77777777" w:rsidR="008F6AC1" w:rsidRPr="00483F7D" w:rsidRDefault="008F6AC1" w:rsidP="005563C1">
            <w:pPr>
              <w:spacing w:before="20" w:after="20"/>
              <w:jc w:val="right"/>
              <w:rPr>
                <w:noProof/>
                <w:sz w:val="20"/>
              </w:rPr>
            </w:pPr>
          </w:p>
        </w:tc>
        <w:tc>
          <w:tcPr>
            <w:tcW w:w="851" w:type="dxa"/>
            <w:vAlign w:val="center"/>
          </w:tcPr>
          <w:p w14:paraId="72B4F787" w14:textId="77777777" w:rsidR="008F6AC1" w:rsidRPr="00483F7D" w:rsidRDefault="008F6AC1" w:rsidP="005563C1">
            <w:pPr>
              <w:spacing w:before="20" w:after="20"/>
              <w:jc w:val="right"/>
              <w:rPr>
                <w:noProof/>
                <w:sz w:val="20"/>
              </w:rPr>
            </w:pPr>
          </w:p>
        </w:tc>
        <w:tc>
          <w:tcPr>
            <w:tcW w:w="850" w:type="dxa"/>
            <w:vAlign w:val="center"/>
          </w:tcPr>
          <w:p w14:paraId="2388F5F3" w14:textId="77777777" w:rsidR="008F6AC1" w:rsidRPr="00483F7D" w:rsidRDefault="008F6AC1" w:rsidP="005563C1">
            <w:pPr>
              <w:spacing w:before="20" w:after="20"/>
              <w:jc w:val="right"/>
              <w:rPr>
                <w:noProof/>
                <w:sz w:val="20"/>
              </w:rPr>
            </w:pPr>
          </w:p>
        </w:tc>
        <w:tc>
          <w:tcPr>
            <w:tcW w:w="851" w:type="dxa"/>
          </w:tcPr>
          <w:p w14:paraId="58502126" w14:textId="77777777" w:rsidR="008F6AC1" w:rsidRPr="00483F7D" w:rsidRDefault="008F6AC1" w:rsidP="005563C1">
            <w:pPr>
              <w:spacing w:before="20" w:after="20"/>
              <w:jc w:val="right"/>
              <w:rPr>
                <w:noProof/>
                <w:sz w:val="20"/>
              </w:rPr>
            </w:pPr>
          </w:p>
        </w:tc>
        <w:tc>
          <w:tcPr>
            <w:tcW w:w="709" w:type="dxa"/>
            <w:vAlign w:val="center"/>
          </w:tcPr>
          <w:p w14:paraId="15149FA6" w14:textId="77777777" w:rsidR="008F6AC1" w:rsidRPr="00483F7D" w:rsidRDefault="008F6AC1" w:rsidP="005563C1">
            <w:pPr>
              <w:spacing w:before="20" w:after="20"/>
              <w:jc w:val="right"/>
              <w:rPr>
                <w:noProof/>
                <w:sz w:val="20"/>
              </w:rPr>
            </w:pPr>
          </w:p>
        </w:tc>
        <w:tc>
          <w:tcPr>
            <w:tcW w:w="850" w:type="dxa"/>
            <w:vAlign w:val="center"/>
          </w:tcPr>
          <w:p w14:paraId="533D6BE9" w14:textId="77777777" w:rsidR="008F6AC1" w:rsidRPr="00483F7D" w:rsidRDefault="008F6AC1" w:rsidP="005563C1">
            <w:pPr>
              <w:spacing w:before="20" w:after="20"/>
              <w:jc w:val="right"/>
              <w:rPr>
                <w:noProof/>
                <w:sz w:val="20"/>
              </w:rPr>
            </w:pPr>
          </w:p>
        </w:tc>
        <w:tc>
          <w:tcPr>
            <w:tcW w:w="851" w:type="dxa"/>
            <w:vAlign w:val="center"/>
          </w:tcPr>
          <w:p w14:paraId="7661A3DB" w14:textId="77777777" w:rsidR="008F6AC1" w:rsidRPr="00483F7D" w:rsidRDefault="008F6AC1" w:rsidP="005563C1">
            <w:pPr>
              <w:spacing w:before="20" w:after="20"/>
              <w:jc w:val="right"/>
              <w:rPr>
                <w:noProof/>
                <w:sz w:val="20"/>
              </w:rPr>
            </w:pPr>
            <w:r w:rsidRPr="00483F7D">
              <w:rPr>
                <w:sz w:val="20"/>
              </w:rPr>
              <w:t xml:space="preserve">0,513 </w:t>
            </w:r>
          </w:p>
        </w:tc>
        <w:tc>
          <w:tcPr>
            <w:tcW w:w="850" w:type="dxa"/>
            <w:vAlign w:val="center"/>
          </w:tcPr>
          <w:p w14:paraId="1AD7FD13" w14:textId="77777777" w:rsidR="008F6AC1" w:rsidRPr="00483F7D" w:rsidRDefault="008F6AC1" w:rsidP="005563C1">
            <w:pPr>
              <w:spacing w:before="20" w:after="20"/>
              <w:jc w:val="right"/>
              <w:rPr>
                <w:b/>
                <w:noProof/>
                <w:sz w:val="20"/>
              </w:rPr>
            </w:pPr>
            <w:r w:rsidRPr="00483F7D">
              <w:rPr>
                <w:sz w:val="20"/>
              </w:rPr>
              <w:t xml:space="preserve">1,197  </w:t>
            </w:r>
          </w:p>
        </w:tc>
        <w:tc>
          <w:tcPr>
            <w:tcW w:w="1134" w:type="dxa"/>
            <w:vAlign w:val="center"/>
          </w:tcPr>
          <w:p w14:paraId="6B1486C2" w14:textId="77777777" w:rsidR="008F6AC1" w:rsidRPr="00483F7D" w:rsidRDefault="008F6AC1" w:rsidP="005563C1">
            <w:pPr>
              <w:spacing w:before="20" w:after="20"/>
              <w:jc w:val="right"/>
              <w:rPr>
                <w:b/>
                <w:noProof/>
                <w:sz w:val="20"/>
              </w:rPr>
            </w:pPr>
            <w:r w:rsidRPr="00483F7D">
              <w:rPr>
                <w:sz w:val="20"/>
              </w:rPr>
              <w:t>1,710 </w:t>
            </w:r>
            <w:r w:rsidRPr="00483F7D">
              <w:rPr>
                <w:b/>
                <w:sz w:val="20"/>
              </w:rPr>
              <w:t xml:space="preserve"> </w:t>
            </w:r>
          </w:p>
        </w:tc>
      </w:tr>
      <w:tr w:rsidR="008F6AC1" w:rsidRPr="00483F7D" w14:paraId="5BBC133D" w14:textId="77777777" w:rsidTr="005563C1">
        <w:trPr>
          <w:trHeight w:val="351"/>
        </w:trPr>
        <w:tc>
          <w:tcPr>
            <w:tcW w:w="4394" w:type="dxa"/>
            <w:gridSpan w:val="4"/>
            <w:vAlign w:val="center"/>
          </w:tcPr>
          <w:p w14:paraId="6BBC49D1" w14:textId="77777777" w:rsidR="008F6AC1" w:rsidRPr="00483F7D" w:rsidRDefault="008F6AC1" w:rsidP="005563C1">
            <w:pPr>
              <w:spacing w:before="20" w:after="20"/>
              <w:rPr>
                <w:noProof/>
                <w:sz w:val="22"/>
              </w:rPr>
            </w:pPr>
            <w:r w:rsidRPr="00483F7D">
              <w:rPr>
                <w:sz w:val="22"/>
              </w:rPr>
              <w:sym w:font="Wingdings" w:char="F09F"/>
            </w:r>
            <w:r w:rsidRPr="00483F7D">
              <w:rPr>
                <w:sz w:val="22"/>
              </w:rPr>
              <w:t xml:space="preserve"> Συμβασιούχοι υπάλληλοι</w:t>
            </w:r>
          </w:p>
        </w:tc>
        <w:tc>
          <w:tcPr>
            <w:tcW w:w="992" w:type="dxa"/>
            <w:gridSpan w:val="2"/>
            <w:vAlign w:val="center"/>
          </w:tcPr>
          <w:p w14:paraId="3168BD47" w14:textId="77777777" w:rsidR="008F6AC1" w:rsidRPr="00483F7D" w:rsidRDefault="008F6AC1" w:rsidP="005563C1">
            <w:pPr>
              <w:spacing w:before="20" w:after="20"/>
              <w:jc w:val="right"/>
              <w:rPr>
                <w:b/>
                <w:noProof/>
                <w:sz w:val="20"/>
              </w:rPr>
            </w:pPr>
          </w:p>
        </w:tc>
        <w:tc>
          <w:tcPr>
            <w:tcW w:w="851" w:type="dxa"/>
            <w:vAlign w:val="center"/>
          </w:tcPr>
          <w:p w14:paraId="1A322B6E" w14:textId="77777777" w:rsidR="008F6AC1" w:rsidRPr="00483F7D" w:rsidRDefault="008F6AC1" w:rsidP="005563C1">
            <w:pPr>
              <w:spacing w:before="20" w:after="20"/>
              <w:jc w:val="right"/>
              <w:rPr>
                <w:b/>
                <w:noProof/>
                <w:sz w:val="20"/>
              </w:rPr>
            </w:pPr>
          </w:p>
        </w:tc>
        <w:tc>
          <w:tcPr>
            <w:tcW w:w="850" w:type="dxa"/>
            <w:vAlign w:val="center"/>
          </w:tcPr>
          <w:p w14:paraId="11B8DE40" w14:textId="77777777" w:rsidR="008F6AC1" w:rsidRPr="00483F7D" w:rsidRDefault="008F6AC1" w:rsidP="005563C1">
            <w:pPr>
              <w:spacing w:before="20" w:after="20"/>
              <w:jc w:val="right"/>
              <w:rPr>
                <w:b/>
                <w:noProof/>
                <w:sz w:val="20"/>
              </w:rPr>
            </w:pPr>
          </w:p>
        </w:tc>
        <w:tc>
          <w:tcPr>
            <w:tcW w:w="851" w:type="dxa"/>
          </w:tcPr>
          <w:p w14:paraId="7C32F511" w14:textId="77777777" w:rsidR="008F6AC1" w:rsidRPr="00483F7D" w:rsidRDefault="008F6AC1" w:rsidP="005563C1">
            <w:pPr>
              <w:spacing w:before="20" w:after="20"/>
              <w:jc w:val="right"/>
              <w:rPr>
                <w:b/>
                <w:noProof/>
                <w:sz w:val="20"/>
              </w:rPr>
            </w:pPr>
          </w:p>
        </w:tc>
        <w:tc>
          <w:tcPr>
            <w:tcW w:w="709" w:type="dxa"/>
            <w:vAlign w:val="center"/>
          </w:tcPr>
          <w:p w14:paraId="49F099BE" w14:textId="77777777" w:rsidR="008F6AC1" w:rsidRPr="00483F7D" w:rsidRDefault="008F6AC1" w:rsidP="005563C1">
            <w:pPr>
              <w:spacing w:before="20" w:after="20"/>
              <w:jc w:val="right"/>
              <w:rPr>
                <w:b/>
                <w:noProof/>
                <w:sz w:val="20"/>
              </w:rPr>
            </w:pPr>
          </w:p>
        </w:tc>
        <w:tc>
          <w:tcPr>
            <w:tcW w:w="850" w:type="dxa"/>
            <w:vAlign w:val="center"/>
          </w:tcPr>
          <w:p w14:paraId="2E46DE93" w14:textId="77777777" w:rsidR="008F6AC1" w:rsidRPr="00483F7D" w:rsidRDefault="008F6AC1" w:rsidP="005563C1">
            <w:pPr>
              <w:spacing w:before="20" w:after="20"/>
              <w:jc w:val="right"/>
              <w:rPr>
                <w:b/>
                <w:noProof/>
                <w:sz w:val="20"/>
              </w:rPr>
            </w:pPr>
          </w:p>
        </w:tc>
        <w:tc>
          <w:tcPr>
            <w:tcW w:w="851" w:type="dxa"/>
            <w:vAlign w:val="center"/>
          </w:tcPr>
          <w:p w14:paraId="6FD56AFE" w14:textId="77777777" w:rsidR="008F6AC1" w:rsidRPr="00483F7D" w:rsidRDefault="008F6AC1" w:rsidP="005563C1">
            <w:pPr>
              <w:spacing w:before="20" w:after="20"/>
              <w:jc w:val="right"/>
              <w:rPr>
                <w:b/>
                <w:noProof/>
                <w:sz w:val="20"/>
              </w:rPr>
            </w:pPr>
            <w:r w:rsidRPr="00483F7D">
              <w:rPr>
                <w:sz w:val="20"/>
              </w:rPr>
              <w:t>0,182</w:t>
            </w:r>
          </w:p>
        </w:tc>
        <w:tc>
          <w:tcPr>
            <w:tcW w:w="850" w:type="dxa"/>
            <w:vAlign w:val="center"/>
          </w:tcPr>
          <w:p w14:paraId="697677F3" w14:textId="77777777" w:rsidR="008F6AC1" w:rsidRPr="00483F7D" w:rsidRDefault="008F6AC1" w:rsidP="005563C1">
            <w:pPr>
              <w:spacing w:before="20" w:after="20"/>
              <w:jc w:val="right"/>
              <w:rPr>
                <w:b/>
                <w:noProof/>
                <w:sz w:val="20"/>
              </w:rPr>
            </w:pPr>
            <w:r w:rsidRPr="00483F7D">
              <w:rPr>
                <w:sz w:val="20"/>
              </w:rPr>
              <w:t>0,273 </w:t>
            </w:r>
          </w:p>
        </w:tc>
        <w:tc>
          <w:tcPr>
            <w:tcW w:w="1134" w:type="dxa"/>
            <w:vAlign w:val="center"/>
          </w:tcPr>
          <w:p w14:paraId="00E491DA" w14:textId="77777777" w:rsidR="008F6AC1" w:rsidRPr="00483F7D" w:rsidRDefault="008F6AC1" w:rsidP="005563C1">
            <w:pPr>
              <w:spacing w:before="20" w:after="20"/>
              <w:jc w:val="right"/>
              <w:rPr>
                <w:b/>
                <w:noProof/>
                <w:sz w:val="20"/>
              </w:rPr>
            </w:pPr>
            <w:r w:rsidRPr="00483F7D">
              <w:rPr>
                <w:sz w:val="20"/>
              </w:rPr>
              <w:t>0,455 </w:t>
            </w:r>
          </w:p>
        </w:tc>
      </w:tr>
      <w:tr w:rsidR="008F6AC1" w:rsidRPr="00483F7D" w14:paraId="6837B7DD" w14:textId="77777777" w:rsidTr="005563C1">
        <w:tc>
          <w:tcPr>
            <w:tcW w:w="2749" w:type="dxa"/>
            <w:vAlign w:val="center"/>
          </w:tcPr>
          <w:p w14:paraId="593AEA18" w14:textId="77777777" w:rsidR="008F6AC1" w:rsidRPr="00483F7D" w:rsidRDefault="008F6AC1" w:rsidP="005563C1">
            <w:pPr>
              <w:jc w:val="center"/>
              <w:rPr>
                <w:b/>
                <w:noProof/>
              </w:rPr>
            </w:pPr>
            <w:r w:rsidRPr="00483F7D">
              <w:rPr>
                <w:b/>
                <w:sz w:val="22"/>
              </w:rPr>
              <w:t>ΣΥΝΟΛΟ ΓΔ</w:t>
            </w:r>
            <w:r w:rsidRPr="00483F7D">
              <w:t xml:space="preserve"> TAXUD</w:t>
            </w:r>
          </w:p>
        </w:tc>
        <w:tc>
          <w:tcPr>
            <w:tcW w:w="1645" w:type="dxa"/>
            <w:gridSpan w:val="3"/>
            <w:vAlign w:val="center"/>
          </w:tcPr>
          <w:p w14:paraId="44338557" w14:textId="77777777" w:rsidR="008F6AC1" w:rsidRPr="00483F7D" w:rsidRDefault="008F6AC1" w:rsidP="005563C1">
            <w:pPr>
              <w:rPr>
                <w:noProof/>
                <w:sz w:val="14"/>
              </w:rPr>
            </w:pPr>
            <w:r w:rsidRPr="00483F7D">
              <w:rPr>
                <w:sz w:val="18"/>
              </w:rPr>
              <w:t xml:space="preserve">Πιστώσεις </w:t>
            </w:r>
          </w:p>
        </w:tc>
        <w:tc>
          <w:tcPr>
            <w:tcW w:w="992" w:type="dxa"/>
            <w:gridSpan w:val="2"/>
            <w:vAlign w:val="center"/>
          </w:tcPr>
          <w:p w14:paraId="078F46A8" w14:textId="77777777" w:rsidR="008F6AC1" w:rsidRPr="00483F7D" w:rsidRDefault="008F6AC1" w:rsidP="005563C1">
            <w:pPr>
              <w:spacing w:before="60" w:after="60"/>
              <w:jc w:val="right"/>
              <w:rPr>
                <w:noProof/>
                <w:sz w:val="20"/>
              </w:rPr>
            </w:pPr>
          </w:p>
        </w:tc>
        <w:tc>
          <w:tcPr>
            <w:tcW w:w="851" w:type="dxa"/>
            <w:vAlign w:val="center"/>
          </w:tcPr>
          <w:p w14:paraId="1E964BA9" w14:textId="77777777" w:rsidR="008F6AC1" w:rsidRPr="00483F7D" w:rsidRDefault="008F6AC1" w:rsidP="005563C1">
            <w:pPr>
              <w:spacing w:before="20" w:after="20"/>
              <w:jc w:val="right"/>
              <w:rPr>
                <w:noProof/>
                <w:sz w:val="20"/>
              </w:rPr>
            </w:pPr>
          </w:p>
        </w:tc>
        <w:tc>
          <w:tcPr>
            <w:tcW w:w="850" w:type="dxa"/>
            <w:vAlign w:val="center"/>
          </w:tcPr>
          <w:p w14:paraId="06E167D1" w14:textId="77777777" w:rsidR="008F6AC1" w:rsidRPr="00483F7D" w:rsidRDefault="008F6AC1" w:rsidP="005563C1">
            <w:pPr>
              <w:spacing w:before="20" w:after="20"/>
              <w:jc w:val="right"/>
              <w:rPr>
                <w:noProof/>
                <w:sz w:val="20"/>
              </w:rPr>
            </w:pPr>
          </w:p>
        </w:tc>
        <w:tc>
          <w:tcPr>
            <w:tcW w:w="851" w:type="dxa"/>
          </w:tcPr>
          <w:p w14:paraId="1058731A" w14:textId="77777777" w:rsidR="008F6AC1" w:rsidRPr="00483F7D" w:rsidRDefault="008F6AC1" w:rsidP="005563C1">
            <w:pPr>
              <w:spacing w:before="20" w:after="20"/>
              <w:jc w:val="right"/>
              <w:rPr>
                <w:noProof/>
                <w:sz w:val="20"/>
              </w:rPr>
            </w:pPr>
          </w:p>
        </w:tc>
        <w:tc>
          <w:tcPr>
            <w:tcW w:w="709" w:type="dxa"/>
            <w:vAlign w:val="center"/>
          </w:tcPr>
          <w:p w14:paraId="2C446C70" w14:textId="77777777" w:rsidR="008F6AC1" w:rsidRPr="00483F7D" w:rsidRDefault="008F6AC1" w:rsidP="005563C1">
            <w:pPr>
              <w:spacing w:before="20" w:after="20"/>
              <w:jc w:val="right"/>
              <w:rPr>
                <w:noProof/>
                <w:sz w:val="20"/>
              </w:rPr>
            </w:pPr>
          </w:p>
        </w:tc>
        <w:tc>
          <w:tcPr>
            <w:tcW w:w="850" w:type="dxa"/>
            <w:vAlign w:val="center"/>
          </w:tcPr>
          <w:p w14:paraId="5800BCCF" w14:textId="77777777" w:rsidR="008F6AC1" w:rsidRPr="00483F7D" w:rsidRDefault="008F6AC1" w:rsidP="005563C1">
            <w:pPr>
              <w:spacing w:before="20" w:after="20"/>
              <w:jc w:val="right"/>
              <w:rPr>
                <w:noProof/>
                <w:sz w:val="20"/>
              </w:rPr>
            </w:pPr>
          </w:p>
        </w:tc>
        <w:tc>
          <w:tcPr>
            <w:tcW w:w="851" w:type="dxa"/>
            <w:vAlign w:val="center"/>
          </w:tcPr>
          <w:p w14:paraId="2F582CEA" w14:textId="77777777" w:rsidR="008F6AC1" w:rsidRPr="00483F7D" w:rsidRDefault="008F6AC1" w:rsidP="005563C1">
            <w:pPr>
              <w:spacing w:before="20" w:after="20"/>
              <w:jc w:val="right"/>
              <w:rPr>
                <w:noProof/>
                <w:sz w:val="20"/>
              </w:rPr>
            </w:pPr>
            <w:r w:rsidRPr="00483F7D">
              <w:rPr>
                <w:sz w:val="20"/>
              </w:rPr>
              <w:t>0,695</w:t>
            </w:r>
          </w:p>
        </w:tc>
        <w:tc>
          <w:tcPr>
            <w:tcW w:w="850" w:type="dxa"/>
            <w:vAlign w:val="center"/>
          </w:tcPr>
          <w:p w14:paraId="64BFCD12" w14:textId="77777777" w:rsidR="008F6AC1" w:rsidRPr="00483F7D" w:rsidRDefault="008F6AC1" w:rsidP="005563C1">
            <w:pPr>
              <w:spacing w:before="20" w:after="20"/>
              <w:jc w:val="right"/>
              <w:rPr>
                <w:b/>
                <w:noProof/>
                <w:sz w:val="20"/>
              </w:rPr>
            </w:pPr>
            <w:r w:rsidRPr="00483F7D">
              <w:rPr>
                <w:sz w:val="20"/>
              </w:rPr>
              <w:t>1,470</w:t>
            </w:r>
          </w:p>
        </w:tc>
        <w:tc>
          <w:tcPr>
            <w:tcW w:w="1134" w:type="dxa"/>
            <w:vAlign w:val="center"/>
          </w:tcPr>
          <w:p w14:paraId="2D2B10FE" w14:textId="77777777" w:rsidR="008F6AC1" w:rsidRPr="00483F7D" w:rsidRDefault="008F6AC1" w:rsidP="005563C1">
            <w:pPr>
              <w:spacing w:before="20" w:after="20"/>
              <w:jc w:val="right"/>
              <w:rPr>
                <w:b/>
                <w:noProof/>
                <w:sz w:val="20"/>
              </w:rPr>
            </w:pPr>
            <w:r w:rsidRPr="00483F7D">
              <w:rPr>
                <w:b/>
                <w:sz w:val="20"/>
              </w:rPr>
              <w:t>2,165</w:t>
            </w:r>
          </w:p>
        </w:tc>
      </w:tr>
    </w:tbl>
    <w:p w14:paraId="3C958016" w14:textId="77777777" w:rsidR="00DD7747" w:rsidRPr="00483F7D" w:rsidRDefault="00DD7747" w:rsidP="008F6AC1">
      <w:pPr>
        <w:spacing w:after="240"/>
        <w:ind w:left="720"/>
        <w:jc w:val="left"/>
      </w:pPr>
    </w:p>
    <w:p w14:paraId="4E5FADEC" w14:textId="77777777" w:rsidR="00DD7747" w:rsidRPr="00483F7D" w:rsidRDefault="00DD7747" w:rsidP="008F6AC1">
      <w:pPr>
        <w:spacing w:after="240"/>
        <w:ind w:left="720"/>
        <w:jc w:val="left"/>
      </w:pPr>
    </w:p>
    <w:p w14:paraId="47A02015" w14:textId="77777777" w:rsidR="008F6AC1" w:rsidRPr="00483F7D" w:rsidRDefault="008F6AC1" w:rsidP="008F6AC1">
      <w:pPr>
        <w:spacing w:after="240"/>
        <w:ind w:left="720"/>
        <w:jc w:val="left"/>
      </w:pPr>
      <w:r w:rsidRPr="00483F7D">
        <w:t xml:space="preserve">Όσον αφορά τις </w:t>
      </w:r>
      <w:r w:rsidRPr="00483F7D">
        <w:rPr>
          <w:b/>
        </w:rPr>
        <w:t>διοικητικές δαπάνες</w:t>
      </w:r>
      <w:r w:rsidRPr="00483F7D">
        <w:t>:</w:t>
      </w:r>
      <w:r w:rsidRPr="00483F7D">
        <w:rPr>
          <w:b/>
        </w:rPr>
        <w:t xml:space="preserve"> </w:t>
      </w:r>
      <w:r w:rsidRPr="00483F7D">
        <w:t>Στο τρέχον ΠΔΠ, η TAXUD θα χρειαστεί επιπλέον 5 ΙΠΑ το 2026 και επιπλέον 5 ΙΠΑ το 2027 για την προετοιμασία της Αρχής.</w:t>
      </w:r>
    </w:p>
    <w:p w14:paraId="64FBAE4D" w14:textId="77777777" w:rsidR="008F6AC1" w:rsidRPr="00483F7D" w:rsidRDefault="008F6AC1" w:rsidP="008F6AC1">
      <w:pPr>
        <w:ind w:firstLine="720"/>
        <w:jc w:val="center"/>
        <w:rPr>
          <w:noProof/>
          <w:sz w:val="20"/>
        </w:rPr>
      </w:pPr>
      <w:r w:rsidRPr="00483F7D">
        <w:rPr>
          <w:sz w:val="20"/>
        </w:rPr>
        <w:t>σε εκατ. EUR (με τρία δεκαδικά ψηφία)</w:t>
      </w:r>
    </w:p>
    <w:tbl>
      <w:tblPr>
        <w:tblW w:w="1289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3286"/>
        <w:gridCol w:w="1361"/>
        <w:gridCol w:w="1361"/>
        <w:gridCol w:w="2577"/>
      </w:tblGrid>
      <w:tr w:rsidR="00DD7747" w:rsidRPr="00483F7D" w14:paraId="425D5A80" w14:textId="77777777" w:rsidTr="00DD7747">
        <w:trPr>
          <w:trHeight w:val="1126"/>
        </w:trPr>
        <w:tc>
          <w:tcPr>
            <w:tcW w:w="4314" w:type="dxa"/>
            <w:shd w:val="thinDiagStripe" w:color="C0C0C0" w:fill="auto"/>
            <w:vAlign w:val="center"/>
          </w:tcPr>
          <w:p w14:paraId="265AB6A9" w14:textId="77777777" w:rsidR="00DD7747" w:rsidRPr="00483F7D" w:rsidRDefault="00DD7747" w:rsidP="00DD7747">
            <w:pPr>
              <w:jc w:val="center"/>
              <w:rPr>
                <w:b/>
                <w:noProof/>
                <w:sz w:val="22"/>
              </w:rPr>
            </w:pPr>
          </w:p>
          <w:p w14:paraId="011E4073" w14:textId="77777777" w:rsidR="00DD7747" w:rsidRPr="00483F7D" w:rsidRDefault="00DD7747" w:rsidP="00DD7747">
            <w:pPr>
              <w:jc w:val="center"/>
              <w:rPr>
                <w:b/>
                <w:noProof/>
              </w:rPr>
            </w:pPr>
            <w:r w:rsidRPr="00483F7D">
              <w:rPr>
                <w:b/>
                <w:sz w:val="22"/>
              </w:rPr>
              <w:t>ΣΥΝΟΛΟ πιστώσεων</w:t>
            </w:r>
            <w:r w:rsidRPr="00483F7D">
              <w:t xml:space="preserve"> </w:t>
            </w:r>
            <w:r w:rsidRPr="00483F7D">
              <w:br/>
            </w:r>
            <w:r w:rsidRPr="00483F7D">
              <w:rPr>
                <w:b/>
                <w:sz w:val="22"/>
              </w:rPr>
              <w:t>του ΤΟΜΕΑ 7</w:t>
            </w:r>
            <w:r w:rsidRPr="00483F7D">
              <w:t xml:space="preserve"> </w:t>
            </w:r>
            <w:r w:rsidRPr="00483F7D">
              <w:br/>
            </w:r>
            <w:r w:rsidRPr="00483F7D">
              <w:rPr>
                <w:sz w:val="22"/>
              </w:rPr>
              <w:t>του πολυετούς δημοσιονομικού πλαισίου</w:t>
            </w:r>
            <w:r w:rsidRPr="00483F7D">
              <w:rPr>
                <w:b/>
                <w:sz w:val="22"/>
              </w:rPr>
              <w:t xml:space="preserve"> </w:t>
            </w:r>
          </w:p>
        </w:tc>
        <w:tc>
          <w:tcPr>
            <w:tcW w:w="3286" w:type="dxa"/>
            <w:vAlign w:val="center"/>
          </w:tcPr>
          <w:p w14:paraId="009B2119" w14:textId="77777777" w:rsidR="00DD7747" w:rsidRPr="00483F7D" w:rsidRDefault="00DD7747" w:rsidP="00DD7747">
            <w:pPr>
              <w:spacing w:before="40" w:after="40"/>
              <w:rPr>
                <w:noProof/>
                <w:sz w:val="22"/>
                <w:szCs w:val="28"/>
              </w:rPr>
            </w:pPr>
            <w:r w:rsidRPr="00483F7D">
              <w:rPr>
                <w:sz w:val="22"/>
              </w:rPr>
              <w:t>Καθαρό σύνολο 2026-2027</w:t>
            </w:r>
          </w:p>
          <w:p w14:paraId="5A515ABA" w14:textId="77777777" w:rsidR="00DD7747" w:rsidRPr="00483F7D" w:rsidRDefault="00DD7747" w:rsidP="00DD7747">
            <w:pPr>
              <w:spacing w:before="40" w:after="40"/>
              <w:rPr>
                <w:noProof/>
              </w:rPr>
            </w:pPr>
            <w:r w:rsidRPr="00483F7D">
              <w:rPr>
                <w:sz w:val="18"/>
              </w:rPr>
              <w:t>(Σύνολο αναλήψεων υποχρεώσεων = Σύνολο πληρωμών)</w:t>
            </w:r>
          </w:p>
        </w:tc>
        <w:tc>
          <w:tcPr>
            <w:tcW w:w="1361" w:type="dxa"/>
            <w:vAlign w:val="center"/>
          </w:tcPr>
          <w:p w14:paraId="7E128212" w14:textId="77777777" w:rsidR="00DD7747" w:rsidRPr="00483F7D" w:rsidRDefault="00DD7747" w:rsidP="00DD7747">
            <w:pPr>
              <w:spacing w:before="20" w:after="20"/>
              <w:jc w:val="right"/>
              <w:rPr>
                <w:noProof/>
                <w:sz w:val="20"/>
              </w:rPr>
            </w:pPr>
            <w:r w:rsidRPr="00483F7D">
              <w:rPr>
                <w:sz w:val="20"/>
              </w:rPr>
              <w:t>0,695</w:t>
            </w:r>
          </w:p>
        </w:tc>
        <w:tc>
          <w:tcPr>
            <w:tcW w:w="1361" w:type="dxa"/>
            <w:vAlign w:val="center"/>
          </w:tcPr>
          <w:p w14:paraId="2714DEBB" w14:textId="77777777" w:rsidR="00DD7747" w:rsidRPr="00483F7D" w:rsidRDefault="00DD7747" w:rsidP="00DD7747">
            <w:pPr>
              <w:spacing w:before="20" w:after="20"/>
              <w:jc w:val="right"/>
              <w:rPr>
                <w:noProof/>
                <w:sz w:val="20"/>
                <w:highlight w:val="yellow"/>
              </w:rPr>
            </w:pPr>
            <w:r w:rsidRPr="00483F7D">
              <w:rPr>
                <w:sz w:val="20"/>
              </w:rPr>
              <w:t>1,470</w:t>
            </w:r>
          </w:p>
        </w:tc>
        <w:tc>
          <w:tcPr>
            <w:tcW w:w="2577" w:type="dxa"/>
            <w:vAlign w:val="center"/>
          </w:tcPr>
          <w:p w14:paraId="66B17EE1" w14:textId="77777777" w:rsidR="00DD7747" w:rsidRPr="00483F7D" w:rsidRDefault="00DD7747" w:rsidP="00DD7747">
            <w:pPr>
              <w:spacing w:before="20" w:after="20"/>
              <w:jc w:val="right"/>
              <w:rPr>
                <w:noProof/>
                <w:sz w:val="20"/>
              </w:rPr>
            </w:pPr>
          </w:p>
        </w:tc>
      </w:tr>
    </w:tbl>
    <w:p w14:paraId="1265B566" w14:textId="77777777" w:rsidR="008F6AC1" w:rsidRPr="00483F7D" w:rsidRDefault="008F6AC1" w:rsidP="00DD7747">
      <w:pPr>
        <w:jc w:val="left"/>
        <w:rPr>
          <w:noProof/>
          <w:sz w:val="20"/>
        </w:rPr>
      </w:pPr>
    </w:p>
    <w:p w14:paraId="62ECB5D0" w14:textId="77777777" w:rsidR="008F6AC1" w:rsidRPr="00483F7D" w:rsidRDefault="008F6AC1" w:rsidP="008F6AC1">
      <w:pPr>
        <w:ind w:left="720"/>
        <w:rPr>
          <w:noProof/>
          <w:color w:val="984806" w:themeColor="accent6" w:themeShade="80"/>
        </w:rPr>
      </w:pPr>
      <w:r w:rsidRPr="00483F7D">
        <w:t xml:space="preserve">Τα εκτιμώμενα συνολικά ποσά </w:t>
      </w:r>
      <w:r w:rsidRPr="00483F7D">
        <w:rPr>
          <w:b/>
          <w:u w:val="single"/>
        </w:rPr>
        <w:t>σε όλους τους τομείς</w:t>
      </w:r>
      <w:r w:rsidRPr="00483F7D">
        <w:t xml:space="preserve"> για την περίοδο 2026-2034 συνοψίζονται κατωτέρω:</w:t>
      </w:r>
      <w:r w:rsidRPr="00483F7D">
        <w:tab/>
      </w:r>
    </w:p>
    <w:tbl>
      <w:tblPr>
        <w:tblW w:w="129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850"/>
        <w:gridCol w:w="851"/>
        <w:gridCol w:w="992"/>
        <w:gridCol w:w="992"/>
        <w:gridCol w:w="993"/>
        <w:gridCol w:w="992"/>
        <w:gridCol w:w="969"/>
        <w:gridCol w:w="874"/>
        <w:gridCol w:w="992"/>
        <w:gridCol w:w="1030"/>
      </w:tblGrid>
      <w:tr w:rsidR="008F6AC1" w:rsidRPr="00483F7D" w14:paraId="091DFBF7" w14:textId="77777777" w:rsidTr="005563C1">
        <w:trPr>
          <w:trHeight w:val="584"/>
        </w:trPr>
        <w:tc>
          <w:tcPr>
            <w:tcW w:w="2126" w:type="dxa"/>
            <w:tcBorders>
              <w:right w:val="single" w:sz="4" w:space="0" w:color="auto"/>
            </w:tcBorders>
            <w:vAlign w:val="center"/>
          </w:tcPr>
          <w:p w14:paraId="2E07C966" w14:textId="77777777" w:rsidR="008F6AC1" w:rsidRPr="00483F7D" w:rsidRDefault="008F6AC1" w:rsidP="005563C1">
            <w:pPr>
              <w:jc w:val="center"/>
              <w:rPr>
                <w:noProof/>
              </w:rPr>
            </w:pPr>
          </w:p>
        </w:tc>
        <w:tc>
          <w:tcPr>
            <w:tcW w:w="1276" w:type="dxa"/>
            <w:tcBorders>
              <w:top w:val="single" w:sz="4" w:space="0" w:color="auto"/>
              <w:left w:val="single" w:sz="4" w:space="0" w:color="auto"/>
              <w:bottom w:val="single" w:sz="4" w:space="0" w:color="auto"/>
              <w:right w:val="single" w:sz="4" w:space="0" w:color="auto"/>
            </w:tcBorders>
          </w:tcPr>
          <w:p w14:paraId="7BC629EA" w14:textId="77777777" w:rsidR="008F6AC1" w:rsidRPr="00483F7D" w:rsidRDefault="008F6AC1" w:rsidP="005563C1">
            <w:pPr>
              <w:jc w:val="center"/>
              <w:rPr>
                <w:noProof/>
                <w:sz w:val="20"/>
              </w:rPr>
            </w:pPr>
          </w:p>
        </w:tc>
        <w:tc>
          <w:tcPr>
            <w:tcW w:w="850" w:type="dxa"/>
            <w:tcBorders>
              <w:top w:val="single" w:sz="4" w:space="0" w:color="auto"/>
              <w:left w:val="single" w:sz="4" w:space="0" w:color="auto"/>
              <w:bottom w:val="single" w:sz="4" w:space="0" w:color="auto"/>
              <w:right w:val="single" w:sz="4" w:space="0" w:color="auto"/>
            </w:tcBorders>
          </w:tcPr>
          <w:p w14:paraId="7C42EA5E" w14:textId="77777777" w:rsidR="008F6AC1" w:rsidRPr="00483F7D" w:rsidRDefault="008F6AC1" w:rsidP="005563C1">
            <w:pPr>
              <w:jc w:val="center"/>
              <w:rPr>
                <w:noProof/>
                <w:sz w:val="20"/>
                <w:szCs w:val="20"/>
              </w:rPr>
            </w:pPr>
            <w:r w:rsidRPr="00483F7D">
              <w:rPr>
                <w:sz w:val="20"/>
              </w:rPr>
              <w:t>2026</w:t>
            </w:r>
          </w:p>
        </w:tc>
        <w:tc>
          <w:tcPr>
            <w:tcW w:w="851" w:type="dxa"/>
            <w:tcBorders>
              <w:top w:val="single" w:sz="4" w:space="0" w:color="auto"/>
              <w:left w:val="single" w:sz="4" w:space="0" w:color="auto"/>
              <w:bottom w:val="single" w:sz="4" w:space="0" w:color="auto"/>
              <w:right w:val="single" w:sz="4" w:space="0" w:color="auto"/>
            </w:tcBorders>
          </w:tcPr>
          <w:p w14:paraId="2E261BCD" w14:textId="77777777" w:rsidR="008F6AC1" w:rsidRPr="00483F7D" w:rsidRDefault="008F6AC1" w:rsidP="005563C1">
            <w:pPr>
              <w:jc w:val="center"/>
              <w:rPr>
                <w:noProof/>
                <w:sz w:val="20"/>
                <w:szCs w:val="20"/>
              </w:rPr>
            </w:pPr>
            <w:r w:rsidRPr="00483F7D">
              <w:rPr>
                <w:sz w:val="20"/>
              </w:rPr>
              <w:t>2027</w:t>
            </w:r>
          </w:p>
        </w:tc>
        <w:tc>
          <w:tcPr>
            <w:tcW w:w="992" w:type="dxa"/>
            <w:tcBorders>
              <w:top w:val="single" w:sz="4" w:space="0" w:color="auto"/>
              <w:left w:val="single" w:sz="4" w:space="0" w:color="auto"/>
              <w:bottom w:val="single" w:sz="4" w:space="0" w:color="auto"/>
              <w:right w:val="single" w:sz="4" w:space="0" w:color="auto"/>
            </w:tcBorders>
            <w:vAlign w:val="center"/>
          </w:tcPr>
          <w:p w14:paraId="0705407F" w14:textId="77777777" w:rsidR="008F6AC1" w:rsidRPr="00483F7D" w:rsidRDefault="008F6AC1" w:rsidP="005563C1">
            <w:pPr>
              <w:jc w:val="center"/>
              <w:rPr>
                <w:noProof/>
                <w:sz w:val="20"/>
                <w:szCs w:val="20"/>
              </w:rPr>
            </w:pPr>
            <w:r w:rsidRPr="00483F7D">
              <w:rPr>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14:paraId="6F880460" w14:textId="77777777" w:rsidR="008F6AC1" w:rsidRPr="00483F7D" w:rsidRDefault="008F6AC1" w:rsidP="005563C1">
            <w:pPr>
              <w:jc w:val="center"/>
              <w:rPr>
                <w:noProof/>
                <w:sz w:val="20"/>
                <w:szCs w:val="20"/>
              </w:rPr>
            </w:pPr>
            <w:r w:rsidRPr="00483F7D">
              <w:rPr>
                <w:sz w:val="20"/>
              </w:rPr>
              <w:t>2029</w:t>
            </w:r>
          </w:p>
        </w:tc>
        <w:tc>
          <w:tcPr>
            <w:tcW w:w="993" w:type="dxa"/>
            <w:tcBorders>
              <w:top w:val="single" w:sz="4" w:space="0" w:color="auto"/>
              <w:left w:val="single" w:sz="4" w:space="0" w:color="auto"/>
              <w:bottom w:val="single" w:sz="4" w:space="0" w:color="auto"/>
              <w:right w:val="single" w:sz="4" w:space="0" w:color="auto"/>
            </w:tcBorders>
            <w:vAlign w:val="center"/>
          </w:tcPr>
          <w:p w14:paraId="501CD893" w14:textId="77777777" w:rsidR="008F6AC1" w:rsidRPr="00483F7D" w:rsidRDefault="008F6AC1" w:rsidP="005563C1">
            <w:pPr>
              <w:jc w:val="center"/>
              <w:rPr>
                <w:noProof/>
                <w:sz w:val="20"/>
                <w:szCs w:val="20"/>
              </w:rPr>
            </w:pPr>
            <w:r w:rsidRPr="00483F7D">
              <w:rPr>
                <w:sz w:val="20"/>
              </w:rPr>
              <w:t>2030</w:t>
            </w:r>
          </w:p>
        </w:tc>
        <w:tc>
          <w:tcPr>
            <w:tcW w:w="992" w:type="dxa"/>
            <w:tcBorders>
              <w:top w:val="single" w:sz="4" w:space="0" w:color="auto"/>
              <w:left w:val="single" w:sz="4" w:space="0" w:color="auto"/>
              <w:bottom w:val="single" w:sz="4" w:space="0" w:color="auto"/>
              <w:right w:val="single" w:sz="4" w:space="0" w:color="auto"/>
            </w:tcBorders>
            <w:vAlign w:val="center"/>
          </w:tcPr>
          <w:p w14:paraId="7DAD696C" w14:textId="77777777" w:rsidR="008F6AC1" w:rsidRPr="00483F7D" w:rsidRDefault="008F6AC1" w:rsidP="005563C1">
            <w:pPr>
              <w:jc w:val="center"/>
              <w:rPr>
                <w:noProof/>
                <w:sz w:val="20"/>
                <w:szCs w:val="20"/>
              </w:rPr>
            </w:pPr>
            <w:r w:rsidRPr="00483F7D">
              <w:rPr>
                <w:sz w:val="20"/>
              </w:rPr>
              <w:t>2031</w:t>
            </w:r>
          </w:p>
        </w:tc>
        <w:tc>
          <w:tcPr>
            <w:tcW w:w="969" w:type="dxa"/>
            <w:tcBorders>
              <w:top w:val="single" w:sz="4" w:space="0" w:color="auto"/>
              <w:left w:val="single" w:sz="4" w:space="0" w:color="auto"/>
              <w:bottom w:val="single" w:sz="4" w:space="0" w:color="auto"/>
              <w:right w:val="single" w:sz="4" w:space="0" w:color="auto"/>
            </w:tcBorders>
            <w:vAlign w:val="center"/>
          </w:tcPr>
          <w:p w14:paraId="00B25544" w14:textId="77777777" w:rsidR="008F6AC1" w:rsidRPr="00483F7D" w:rsidRDefault="008F6AC1" w:rsidP="005563C1">
            <w:pPr>
              <w:jc w:val="center"/>
              <w:rPr>
                <w:noProof/>
                <w:sz w:val="20"/>
                <w:szCs w:val="20"/>
              </w:rPr>
            </w:pPr>
            <w:r w:rsidRPr="00483F7D">
              <w:rPr>
                <w:sz w:val="20"/>
              </w:rPr>
              <w:t>2032</w:t>
            </w:r>
          </w:p>
        </w:tc>
        <w:tc>
          <w:tcPr>
            <w:tcW w:w="874" w:type="dxa"/>
            <w:tcBorders>
              <w:top w:val="single" w:sz="4" w:space="0" w:color="auto"/>
              <w:left w:val="single" w:sz="4" w:space="0" w:color="auto"/>
              <w:bottom w:val="single" w:sz="4" w:space="0" w:color="auto"/>
              <w:right w:val="single" w:sz="4" w:space="0" w:color="auto"/>
            </w:tcBorders>
            <w:vAlign w:val="center"/>
          </w:tcPr>
          <w:p w14:paraId="547DBD16" w14:textId="77777777" w:rsidR="008F6AC1" w:rsidRPr="00483F7D" w:rsidRDefault="008F6AC1" w:rsidP="005563C1">
            <w:pPr>
              <w:jc w:val="center"/>
              <w:rPr>
                <w:noProof/>
                <w:sz w:val="20"/>
                <w:szCs w:val="20"/>
              </w:rPr>
            </w:pPr>
            <w:r w:rsidRPr="00483F7D">
              <w:rPr>
                <w:sz w:val="20"/>
              </w:rPr>
              <w:t>2033</w:t>
            </w:r>
          </w:p>
        </w:tc>
        <w:tc>
          <w:tcPr>
            <w:tcW w:w="992" w:type="dxa"/>
            <w:tcBorders>
              <w:top w:val="single" w:sz="4" w:space="0" w:color="auto"/>
              <w:left w:val="single" w:sz="4" w:space="0" w:color="auto"/>
              <w:bottom w:val="single" w:sz="4" w:space="0" w:color="auto"/>
              <w:right w:val="single" w:sz="4" w:space="0" w:color="auto"/>
            </w:tcBorders>
            <w:vAlign w:val="center"/>
          </w:tcPr>
          <w:p w14:paraId="76CBD559" w14:textId="77777777" w:rsidR="008F6AC1" w:rsidRPr="00483F7D" w:rsidRDefault="008F6AC1" w:rsidP="005563C1">
            <w:pPr>
              <w:jc w:val="center"/>
              <w:rPr>
                <w:noProof/>
                <w:sz w:val="20"/>
                <w:szCs w:val="20"/>
              </w:rPr>
            </w:pPr>
            <w:r w:rsidRPr="00483F7D">
              <w:rPr>
                <w:sz w:val="20"/>
              </w:rPr>
              <w:t>2034</w:t>
            </w:r>
          </w:p>
        </w:tc>
        <w:tc>
          <w:tcPr>
            <w:tcW w:w="1030" w:type="dxa"/>
            <w:tcBorders>
              <w:left w:val="single" w:sz="4" w:space="0" w:color="auto"/>
            </w:tcBorders>
            <w:vAlign w:val="center"/>
          </w:tcPr>
          <w:p w14:paraId="04C4B344" w14:textId="77777777" w:rsidR="008F6AC1" w:rsidRPr="00483F7D" w:rsidRDefault="008F6AC1" w:rsidP="005563C1">
            <w:pPr>
              <w:jc w:val="center"/>
              <w:rPr>
                <w:b/>
                <w:noProof/>
                <w:sz w:val="20"/>
              </w:rPr>
            </w:pPr>
            <w:r w:rsidRPr="00483F7D">
              <w:rPr>
                <w:b/>
                <w:sz w:val="20"/>
              </w:rPr>
              <w:t>ΣΥΝΟΛΟ</w:t>
            </w:r>
          </w:p>
        </w:tc>
      </w:tr>
      <w:tr w:rsidR="008F6AC1" w:rsidRPr="00483F7D" w14:paraId="2BF2A0BE" w14:textId="77777777" w:rsidTr="005563C1">
        <w:trPr>
          <w:trHeight w:val="519"/>
        </w:trPr>
        <w:tc>
          <w:tcPr>
            <w:tcW w:w="2126" w:type="dxa"/>
            <w:vMerge w:val="restart"/>
            <w:tcBorders>
              <w:right w:val="single" w:sz="4" w:space="0" w:color="auto"/>
            </w:tcBorders>
            <w:shd w:val="clear" w:color="auto" w:fill="C0C0C0"/>
            <w:vAlign w:val="center"/>
          </w:tcPr>
          <w:p w14:paraId="5E57F86A" w14:textId="77777777" w:rsidR="008F6AC1" w:rsidRPr="00483F7D" w:rsidRDefault="008F6AC1" w:rsidP="005563C1">
            <w:pPr>
              <w:jc w:val="center"/>
              <w:rPr>
                <w:b/>
                <w:noProof/>
              </w:rPr>
            </w:pPr>
            <w:r w:rsidRPr="00483F7D">
              <w:rPr>
                <w:b/>
                <w:sz w:val="22"/>
              </w:rPr>
              <w:t>ΣΥΝΟΛΟ πιστώσεων</w:t>
            </w:r>
            <w:r w:rsidRPr="00483F7D">
              <w:t xml:space="preserve"> </w:t>
            </w:r>
            <w:r w:rsidRPr="00483F7D">
              <w:br/>
            </w:r>
            <w:r w:rsidRPr="00483F7D">
              <w:rPr>
                <w:b/>
                <w:sz w:val="22"/>
              </w:rPr>
              <w:t>των ΤΟΜΕΩΝ 1 έως 7</w:t>
            </w:r>
            <w:r w:rsidRPr="00483F7D">
              <w:t xml:space="preserve"> </w:t>
            </w:r>
            <w:r w:rsidRPr="00483F7D">
              <w:br/>
            </w:r>
            <w:r w:rsidRPr="00483F7D">
              <w:rPr>
                <w:sz w:val="22"/>
              </w:rPr>
              <w:t>του πολυετούς δημοσιονομικού πλαισίου</w:t>
            </w:r>
            <w:r w:rsidRPr="00483F7D">
              <w:rPr>
                <w:b/>
                <w:sz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FE1D17F" w14:textId="77777777" w:rsidR="008F6AC1" w:rsidRPr="00483F7D" w:rsidRDefault="008F6AC1" w:rsidP="005563C1">
            <w:pPr>
              <w:rPr>
                <w:noProof/>
                <w:sz w:val="14"/>
              </w:rPr>
            </w:pPr>
            <w:r w:rsidRPr="00483F7D">
              <w:rPr>
                <w:sz w:val="18"/>
              </w:rPr>
              <w:t>Αναλήψεις υποχρεώσεων</w:t>
            </w:r>
          </w:p>
        </w:tc>
        <w:tc>
          <w:tcPr>
            <w:tcW w:w="850" w:type="dxa"/>
            <w:tcBorders>
              <w:top w:val="single" w:sz="4" w:space="0" w:color="auto"/>
              <w:left w:val="single" w:sz="4" w:space="0" w:color="auto"/>
              <w:bottom w:val="single" w:sz="4" w:space="0" w:color="auto"/>
              <w:right w:val="single" w:sz="4" w:space="0" w:color="auto"/>
            </w:tcBorders>
            <w:vAlign w:val="center"/>
          </w:tcPr>
          <w:p w14:paraId="452EF0EB" w14:textId="77777777" w:rsidR="008F6AC1" w:rsidRPr="00483F7D" w:rsidDel="00C6343A" w:rsidRDefault="008F6AC1" w:rsidP="005563C1">
            <w:pPr>
              <w:spacing w:before="60" w:after="60"/>
              <w:jc w:val="right"/>
              <w:rPr>
                <w:noProof/>
                <w:sz w:val="20"/>
                <w:highlight w:val="yellow"/>
              </w:rPr>
            </w:pPr>
            <w:r w:rsidRPr="00483F7D">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34DD43E9" w14:textId="77777777" w:rsidR="008F6AC1" w:rsidRPr="00483F7D" w:rsidDel="00C6343A" w:rsidRDefault="008F6AC1" w:rsidP="005563C1">
            <w:pPr>
              <w:spacing w:before="60" w:after="60"/>
              <w:jc w:val="right"/>
              <w:rPr>
                <w:noProof/>
                <w:sz w:val="20"/>
                <w:highlight w:val="yellow"/>
              </w:rPr>
            </w:pPr>
            <w:r w:rsidRPr="00483F7D">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278301A3" w14:textId="77777777" w:rsidR="008F6AC1" w:rsidRPr="00483F7D" w:rsidRDefault="008F6AC1" w:rsidP="005563C1">
            <w:pPr>
              <w:spacing w:before="60" w:after="60"/>
              <w:jc w:val="right"/>
              <w:rPr>
                <w:noProof/>
                <w:sz w:val="20"/>
              </w:rPr>
            </w:pPr>
            <w:r w:rsidRPr="00483F7D">
              <w:rPr>
                <w:sz w:val="20"/>
              </w:rPr>
              <w:t>145,338</w:t>
            </w:r>
          </w:p>
        </w:tc>
        <w:tc>
          <w:tcPr>
            <w:tcW w:w="992" w:type="dxa"/>
            <w:tcBorders>
              <w:top w:val="single" w:sz="4" w:space="0" w:color="auto"/>
              <w:left w:val="single" w:sz="4" w:space="0" w:color="auto"/>
              <w:bottom w:val="single" w:sz="4" w:space="0" w:color="auto"/>
              <w:right w:val="single" w:sz="4" w:space="0" w:color="auto"/>
            </w:tcBorders>
            <w:vAlign w:val="center"/>
          </w:tcPr>
          <w:p w14:paraId="67E28256" w14:textId="77777777" w:rsidR="008F6AC1" w:rsidRPr="00483F7D" w:rsidRDefault="008F6AC1" w:rsidP="005563C1">
            <w:pPr>
              <w:spacing w:before="60" w:after="60"/>
              <w:jc w:val="right"/>
              <w:rPr>
                <w:noProof/>
                <w:sz w:val="20"/>
              </w:rPr>
            </w:pPr>
            <w:r w:rsidRPr="00483F7D">
              <w:rPr>
                <w:sz w:val="20"/>
              </w:rPr>
              <w:t>233,238</w:t>
            </w:r>
          </w:p>
        </w:tc>
        <w:tc>
          <w:tcPr>
            <w:tcW w:w="993" w:type="dxa"/>
            <w:tcBorders>
              <w:top w:val="single" w:sz="4" w:space="0" w:color="auto"/>
              <w:left w:val="single" w:sz="4" w:space="0" w:color="auto"/>
              <w:bottom w:val="single" w:sz="4" w:space="0" w:color="auto"/>
              <w:right w:val="single" w:sz="4" w:space="0" w:color="auto"/>
            </w:tcBorders>
            <w:vAlign w:val="center"/>
          </w:tcPr>
          <w:p w14:paraId="77AEF8F4" w14:textId="77777777" w:rsidR="008F6AC1" w:rsidRPr="00483F7D" w:rsidRDefault="008F6AC1" w:rsidP="005563C1">
            <w:pPr>
              <w:spacing w:before="60" w:after="60"/>
              <w:jc w:val="right"/>
              <w:rPr>
                <w:noProof/>
                <w:sz w:val="20"/>
              </w:rPr>
            </w:pPr>
            <w:r w:rsidRPr="00483F7D">
              <w:rPr>
                <w:sz w:val="20"/>
              </w:rPr>
              <w:t xml:space="preserve"> 281,456</w:t>
            </w:r>
          </w:p>
        </w:tc>
        <w:tc>
          <w:tcPr>
            <w:tcW w:w="992" w:type="dxa"/>
            <w:tcBorders>
              <w:top w:val="single" w:sz="4" w:space="0" w:color="auto"/>
              <w:left w:val="single" w:sz="4" w:space="0" w:color="auto"/>
              <w:bottom w:val="single" w:sz="4" w:space="0" w:color="auto"/>
              <w:right w:val="single" w:sz="4" w:space="0" w:color="auto"/>
            </w:tcBorders>
            <w:vAlign w:val="center"/>
          </w:tcPr>
          <w:p w14:paraId="0E918F12" w14:textId="77777777" w:rsidR="008F6AC1" w:rsidRPr="00483F7D" w:rsidRDefault="008F6AC1" w:rsidP="005563C1">
            <w:pPr>
              <w:spacing w:before="60" w:after="60"/>
              <w:jc w:val="right"/>
              <w:rPr>
                <w:noProof/>
                <w:sz w:val="20"/>
              </w:rPr>
            </w:pPr>
            <w:r w:rsidRPr="00483F7D">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012A64B5" w14:textId="77777777" w:rsidR="008F6AC1" w:rsidRPr="00483F7D" w:rsidRDefault="008F6AC1" w:rsidP="005563C1">
            <w:pPr>
              <w:spacing w:before="60" w:after="60"/>
              <w:jc w:val="right"/>
              <w:rPr>
                <w:noProof/>
                <w:sz w:val="20"/>
              </w:rPr>
            </w:pPr>
            <w:r w:rsidRPr="00483F7D">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52662BF3" w14:textId="77777777" w:rsidR="008F6AC1" w:rsidRPr="00483F7D" w:rsidRDefault="008F6AC1" w:rsidP="005563C1">
            <w:pPr>
              <w:spacing w:before="60" w:after="60"/>
              <w:jc w:val="right"/>
              <w:rPr>
                <w:noProof/>
                <w:sz w:val="20"/>
              </w:rPr>
            </w:pPr>
            <w:r w:rsidRPr="00483F7D">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34B0EBF6" w14:textId="77777777" w:rsidR="008F6AC1" w:rsidRPr="00483F7D" w:rsidRDefault="008F6AC1" w:rsidP="005563C1">
            <w:pPr>
              <w:spacing w:before="60" w:after="60"/>
              <w:jc w:val="right"/>
              <w:rPr>
                <w:noProof/>
                <w:sz w:val="20"/>
              </w:rPr>
            </w:pPr>
            <w:r w:rsidRPr="00483F7D">
              <w:rPr>
                <w:sz w:val="20"/>
              </w:rPr>
              <w:t>315,905</w:t>
            </w:r>
          </w:p>
        </w:tc>
        <w:tc>
          <w:tcPr>
            <w:tcW w:w="1030" w:type="dxa"/>
            <w:tcBorders>
              <w:left w:val="single" w:sz="4" w:space="0" w:color="auto"/>
            </w:tcBorders>
            <w:vAlign w:val="center"/>
          </w:tcPr>
          <w:p w14:paraId="025903C7" w14:textId="77777777" w:rsidR="008F6AC1" w:rsidRPr="00483F7D" w:rsidRDefault="008F6AC1" w:rsidP="005563C1">
            <w:pPr>
              <w:spacing w:before="60" w:after="60"/>
              <w:jc w:val="center"/>
              <w:rPr>
                <w:noProof/>
                <w:sz w:val="20"/>
              </w:rPr>
            </w:pPr>
            <w:r w:rsidRPr="00483F7D">
              <w:rPr>
                <w:sz w:val="20"/>
              </w:rPr>
              <w:t>1 915,230</w:t>
            </w:r>
          </w:p>
        </w:tc>
      </w:tr>
      <w:tr w:rsidR="008F6AC1" w:rsidRPr="00483F7D" w14:paraId="60279B11" w14:textId="77777777" w:rsidTr="005563C1">
        <w:trPr>
          <w:trHeight w:val="909"/>
        </w:trPr>
        <w:tc>
          <w:tcPr>
            <w:tcW w:w="2126" w:type="dxa"/>
            <w:vMerge/>
            <w:tcBorders>
              <w:right w:val="single" w:sz="4" w:space="0" w:color="auto"/>
            </w:tcBorders>
            <w:vAlign w:val="center"/>
          </w:tcPr>
          <w:p w14:paraId="160D5C64" w14:textId="77777777" w:rsidR="008F6AC1" w:rsidRPr="00483F7D" w:rsidRDefault="008F6AC1" w:rsidP="005563C1">
            <w:pPr>
              <w:rPr>
                <w:b/>
                <w:noProof/>
              </w:rPr>
            </w:pPr>
          </w:p>
        </w:tc>
        <w:tc>
          <w:tcPr>
            <w:tcW w:w="1276" w:type="dxa"/>
            <w:tcBorders>
              <w:top w:val="single" w:sz="4" w:space="0" w:color="auto"/>
              <w:left w:val="single" w:sz="4" w:space="0" w:color="auto"/>
              <w:bottom w:val="single" w:sz="4" w:space="0" w:color="auto"/>
              <w:right w:val="single" w:sz="4" w:space="0" w:color="auto"/>
            </w:tcBorders>
            <w:vAlign w:val="center"/>
          </w:tcPr>
          <w:p w14:paraId="199E17C3" w14:textId="77777777" w:rsidR="008F6AC1" w:rsidRPr="00483F7D" w:rsidRDefault="008F6AC1" w:rsidP="005563C1">
            <w:pPr>
              <w:rPr>
                <w:noProof/>
                <w:sz w:val="14"/>
              </w:rPr>
            </w:pPr>
            <w:r w:rsidRPr="00483F7D">
              <w:rPr>
                <w:sz w:val="18"/>
              </w:rPr>
              <w:t>Πληρωμές</w:t>
            </w:r>
          </w:p>
        </w:tc>
        <w:tc>
          <w:tcPr>
            <w:tcW w:w="850" w:type="dxa"/>
            <w:tcBorders>
              <w:top w:val="single" w:sz="4" w:space="0" w:color="auto"/>
              <w:left w:val="single" w:sz="4" w:space="0" w:color="auto"/>
              <w:bottom w:val="single" w:sz="4" w:space="0" w:color="auto"/>
              <w:right w:val="single" w:sz="4" w:space="0" w:color="auto"/>
            </w:tcBorders>
            <w:vAlign w:val="center"/>
          </w:tcPr>
          <w:p w14:paraId="6102467D" w14:textId="77777777" w:rsidR="008F6AC1" w:rsidRPr="00483F7D" w:rsidDel="00C6343A" w:rsidRDefault="008F6AC1" w:rsidP="005563C1">
            <w:pPr>
              <w:spacing w:before="60" w:after="60"/>
              <w:jc w:val="right"/>
              <w:rPr>
                <w:noProof/>
                <w:sz w:val="20"/>
                <w:highlight w:val="yellow"/>
              </w:rPr>
            </w:pPr>
            <w:r w:rsidRPr="00483F7D">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2F572186" w14:textId="77777777" w:rsidR="008F6AC1" w:rsidRPr="00483F7D" w:rsidDel="00C6343A" w:rsidRDefault="008F6AC1" w:rsidP="005563C1">
            <w:pPr>
              <w:spacing w:before="60" w:after="60"/>
              <w:jc w:val="right"/>
              <w:rPr>
                <w:noProof/>
                <w:sz w:val="20"/>
                <w:highlight w:val="yellow"/>
              </w:rPr>
            </w:pPr>
            <w:r w:rsidRPr="00483F7D">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3CADCBAD" w14:textId="77777777" w:rsidR="008F6AC1" w:rsidRPr="00483F7D" w:rsidRDefault="008F6AC1" w:rsidP="005563C1">
            <w:pPr>
              <w:spacing w:before="60" w:after="60"/>
              <w:jc w:val="right"/>
              <w:rPr>
                <w:noProof/>
                <w:sz w:val="20"/>
              </w:rPr>
            </w:pPr>
            <w:r w:rsidRPr="00483F7D">
              <w:rPr>
                <w:sz w:val="20"/>
              </w:rPr>
              <w:t>138,983</w:t>
            </w:r>
          </w:p>
        </w:tc>
        <w:tc>
          <w:tcPr>
            <w:tcW w:w="992" w:type="dxa"/>
            <w:tcBorders>
              <w:top w:val="single" w:sz="4" w:space="0" w:color="auto"/>
              <w:left w:val="single" w:sz="4" w:space="0" w:color="auto"/>
              <w:bottom w:val="single" w:sz="4" w:space="0" w:color="auto"/>
              <w:right w:val="single" w:sz="4" w:space="0" w:color="auto"/>
            </w:tcBorders>
            <w:vAlign w:val="center"/>
          </w:tcPr>
          <w:p w14:paraId="726B75F3" w14:textId="77777777" w:rsidR="008F6AC1" w:rsidRPr="00483F7D" w:rsidRDefault="008F6AC1" w:rsidP="005563C1">
            <w:pPr>
              <w:spacing w:before="60" w:after="60"/>
              <w:jc w:val="right"/>
              <w:rPr>
                <w:noProof/>
                <w:sz w:val="20"/>
              </w:rPr>
            </w:pPr>
            <w:r w:rsidRPr="00483F7D">
              <w:rPr>
                <w:sz w:val="20"/>
              </w:rPr>
              <w:t>231,125</w:t>
            </w:r>
          </w:p>
        </w:tc>
        <w:tc>
          <w:tcPr>
            <w:tcW w:w="993" w:type="dxa"/>
            <w:tcBorders>
              <w:top w:val="single" w:sz="4" w:space="0" w:color="auto"/>
              <w:left w:val="single" w:sz="4" w:space="0" w:color="auto"/>
              <w:bottom w:val="single" w:sz="4" w:space="0" w:color="auto"/>
              <w:right w:val="single" w:sz="4" w:space="0" w:color="auto"/>
            </w:tcBorders>
            <w:vAlign w:val="center"/>
          </w:tcPr>
          <w:p w14:paraId="1F98DDC5" w14:textId="77777777" w:rsidR="008F6AC1" w:rsidRPr="00483F7D" w:rsidRDefault="008F6AC1" w:rsidP="005563C1">
            <w:pPr>
              <w:spacing w:before="60" w:after="60"/>
              <w:jc w:val="right"/>
              <w:rPr>
                <w:noProof/>
                <w:sz w:val="20"/>
              </w:rPr>
            </w:pPr>
            <w:r w:rsidRPr="00483F7D">
              <w:rPr>
                <w:sz w:val="20"/>
              </w:rPr>
              <w:t xml:space="preserve"> 289,924</w:t>
            </w:r>
          </w:p>
        </w:tc>
        <w:tc>
          <w:tcPr>
            <w:tcW w:w="992" w:type="dxa"/>
            <w:tcBorders>
              <w:top w:val="single" w:sz="4" w:space="0" w:color="auto"/>
              <w:left w:val="single" w:sz="4" w:space="0" w:color="auto"/>
              <w:bottom w:val="single" w:sz="4" w:space="0" w:color="auto"/>
              <w:right w:val="single" w:sz="4" w:space="0" w:color="auto"/>
            </w:tcBorders>
            <w:vAlign w:val="center"/>
          </w:tcPr>
          <w:p w14:paraId="46809706" w14:textId="77777777" w:rsidR="008F6AC1" w:rsidRPr="00483F7D" w:rsidRDefault="008F6AC1" w:rsidP="005563C1">
            <w:pPr>
              <w:spacing w:before="60" w:after="60"/>
              <w:jc w:val="right"/>
              <w:rPr>
                <w:noProof/>
                <w:sz w:val="20"/>
              </w:rPr>
            </w:pPr>
            <w:r w:rsidRPr="00483F7D">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4E2E8D75" w14:textId="77777777" w:rsidR="008F6AC1" w:rsidRPr="00483F7D" w:rsidRDefault="008F6AC1" w:rsidP="005563C1">
            <w:pPr>
              <w:spacing w:before="60" w:after="60"/>
              <w:jc w:val="right"/>
              <w:rPr>
                <w:noProof/>
                <w:sz w:val="20"/>
              </w:rPr>
            </w:pPr>
            <w:r w:rsidRPr="00483F7D">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6AF597E5" w14:textId="77777777" w:rsidR="008F6AC1" w:rsidRPr="00483F7D" w:rsidRDefault="008F6AC1" w:rsidP="005563C1">
            <w:pPr>
              <w:spacing w:before="60" w:after="60"/>
              <w:jc w:val="right"/>
              <w:rPr>
                <w:noProof/>
                <w:sz w:val="20"/>
              </w:rPr>
            </w:pPr>
            <w:r w:rsidRPr="00483F7D">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6AD11696" w14:textId="77777777" w:rsidR="008F6AC1" w:rsidRPr="00483F7D" w:rsidRDefault="008F6AC1" w:rsidP="005563C1">
            <w:pPr>
              <w:spacing w:before="60" w:after="60"/>
              <w:jc w:val="right"/>
              <w:rPr>
                <w:noProof/>
                <w:sz w:val="20"/>
              </w:rPr>
            </w:pPr>
            <w:r w:rsidRPr="00483F7D">
              <w:rPr>
                <w:sz w:val="20"/>
              </w:rPr>
              <w:t>315,905</w:t>
            </w:r>
          </w:p>
        </w:tc>
        <w:tc>
          <w:tcPr>
            <w:tcW w:w="1030" w:type="dxa"/>
            <w:tcBorders>
              <w:left w:val="single" w:sz="4" w:space="0" w:color="auto"/>
            </w:tcBorders>
            <w:vAlign w:val="center"/>
          </w:tcPr>
          <w:p w14:paraId="725C75FF" w14:textId="77777777" w:rsidR="008F6AC1" w:rsidRPr="00483F7D" w:rsidRDefault="008F6AC1" w:rsidP="005563C1">
            <w:pPr>
              <w:spacing w:before="60" w:after="60"/>
              <w:jc w:val="center"/>
              <w:rPr>
                <w:noProof/>
                <w:sz w:val="20"/>
              </w:rPr>
            </w:pPr>
            <w:r w:rsidRPr="00483F7D">
              <w:rPr>
                <w:sz w:val="20"/>
              </w:rPr>
              <w:t>1 915,230</w:t>
            </w:r>
          </w:p>
        </w:tc>
      </w:tr>
    </w:tbl>
    <w:p w14:paraId="6A74B683" w14:textId="77777777" w:rsidR="00DD7747" w:rsidRPr="00483F7D" w:rsidRDefault="00DD7747" w:rsidP="00DD7747">
      <w:bookmarkStart w:id="346" w:name="_Toc514938687"/>
      <w:bookmarkStart w:id="347" w:name="_Toc520485446"/>
      <w:bookmarkStart w:id="348" w:name="_Toc133320628"/>
    </w:p>
    <w:p w14:paraId="1A8AA98B" w14:textId="77777777" w:rsidR="00DD7747" w:rsidRPr="00483F7D" w:rsidRDefault="00DD7747" w:rsidP="00DD7747"/>
    <w:p w14:paraId="5496E6D4" w14:textId="77777777" w:rsidR="00DD7747" w:rsidRPr="00483F7D" w:rsidRDefault="00DD7747" w:rsidP="00DD7747"/>
    <w:p w14:paraId="3C2228BC" w14:textId="77777777" w:rsidR="00DD7747" w:rsidRPr="00483F7D" w:rsidRDefault="00DD7747" w:rsidP="00DD7747"/>
    <w:p w14:paraId="05818659" w14:textId="77777777" w:rsidR="00DD7747" w:rsidRPr="00483F7D" w:rsidRDefault="00DD7747" w:rsidP="00DD7747"/>
    <w:p w14:paraId="550BB3D6" w14:textId="77777777" w:rsidR="00DD7747" w:rsidRPr="00483F7D" w:rsidRDefault="00DD7747" w:rsidP="00DD7747"/>
    <w:p w14:paraId="3CFEF8BA" w14:textId="77777777" w:rsidR="00DD7747" w:rsidRPr="00483F7D" w:rsidRDefault="00DD7747" w:rsidP="00DD7747"/>
    <w:p w14:paraId="1C98C533" w14:textId="77777777" w:rsidR="008F6AC1" w:rsidRPr="00483F7D" w:rsidRDefault="008F6AC1" w:rsidP="008F6AC1">
      <w:pPr>
        <w:pStyle w:val="ManualHeading3"/>
        <w:rPr>
          <w:bCs/>
          <w:noProof/>
          <w:szCs w:val="24"/>
        </w:rPr>
      </w:pPr>
      <w:r w:rsidRPr="00483F7D">
        <w:t>3.2.2.</w:t>
      </w:r>
      <w:r w:rsidRPr="00483F7D">
        <w:tab/>
        <w:t>Εκτιμώμενες επιπτώσεις στις πιστώσεις</w:t>
      </w:r>
      <w:bookmarkEnd w:id="346"/>
      <w:bookmarkEnd w:id="347"/>
      <w:bookmarkEnd w:id="348"/>
      <w:r w:rsidRPr="00483F7D">
        <w:t xml:space="preserve"> </w:t>
      </w:r>
    </w:p>
    <w:p w14:paraId="2BD1EFE6" w14:textId="77777777" w:rsidR="008F6AC1" w:rsidRPr="00483F7D" w:rsidRDefault="008F6AC1" w:rsidP="00CF7E35">
      <w:pPr>
        <w:pStyle w:val="ListDash1"/>
        <w:numPr>
          <w:ilvl w:val="0"/>
          <w:numId w:val="38"/>
        </w:numPr>
        <w:rPr>
          <w:noProof/>
        </w:rPr>
      </w:pPr>
      <w:r w:rsidRPr="00483F7D">
        <w:sym w:font="Wingdings" w:char="F0A8"/>
      </w:r>
      <w:r w:rsidRPr="00483F7D">
        <w:tab/>
        <w:t xml:space="preserve">Η πρόταση/πρωτοβουλία δεν συνεπάγεται τη χρησιμοποίηση επιχειρησιακών πιστώσεων </w:t>
      </w:r>
    </w:p>
    <w:p w14:paraId="2FED1123" w14:textId="77777777" w:rsidR="008F6AC1" w:rsidRPr="00483F7D" w:rsidRDefault="008F6AC1" w:rsidP="00CF7E35">
      <w:pPr>
        <w:pStyle w:val="ListDash1"/>
        <w:numPr>
          <w:ilvl w:val="0"/>
          <w:numId w:val="38"/>
        </w:numPr>
        <w:rPr>
          <w:noProof/>
        </w:rPr>
      </w:pPr>
      <w:r w:rsidRPr="00483F7D">
        <w:rPr>
          <w:b/>
        </w:rPr>
        <w:t>X</w:t>
      </w:r>
      <w:r w:rsidRPr="00483F7D">
        <w:t xml:space="preserve">  Η πρόταση/πρωτοβουλία συνεπάγεται τη χρησιμοποίηση επιχειρησιακών πιστώσεων, όπως εξηγείται κατωτέρω.</w:t>
      </w:r>
    </w:p>
    <w:p w14:paraId="34B7499A" w14:textId="77777777" w:rsidR="008F6AC1" w:rsidRPr="00483F7D" w:rsidRDefault="008F6AC1" w:rsidP="008F6AC1">
      <w:pPr>
        <w:pStyle w:val="Text1"/>
        <w:spacing w:after="240"/>
        <w:ind w:left="851"/>
        <w:rPr>
          <w:noProof/>
        </w:rPr>
      </w:pPr>
      <w:r w:rsidRPr="00483F7D">
        <w:t xml:space="preserve">Η πρόταση δεν περιορίζεται στη σύσταση οργανισμού. Μεταρρυθμίζει συνολικά την τελωνειακή ένωση. Παρέχει νέες στρατηγικές δυνατότητες (όσον αφορά τη διακυβέρνηση, μια νέα Τελωνειακή Αρχή της ΕΕ και, όσον αφορά τις ικανότητες, έναν νέο τελωνειακό κόμβο δεδομένων της ΕΕ), σε συνδυασμό με την αναθεώρηση και την απλούστευση των διαδικασιών λειτουργίας για τις εθνικές αρχές και τους εμπορικούς φορείς. Δεδομένου ότι βελτιώνει τη συνεργασία για την υλοποίηση της τελωνειακής ένωσης </w:t>
      </w:r>
      <w:r w:rsidRPr="00483F7D">
        <w:rPr>
          <w:i/>
        </w:rPr>
        <w:t>«ως ενιαίο σύνολο»</w:t>
      </w:r>
      <w:r w:rsidRPr="00483F7D">
        <w:t xml:space="preserve"> και παράγει αποτελέσματα που επιτυγχάνονται από τις εθνικές αρχές (και όχι μόνο από την Αρχή), δεν θα ήταν σκόπιμο να επιχειρηθεί η αποτύπωση των αποτελεσμάτων σε σχέση με τους δείκτες δραστηριότητας της Αρχής.  Είναι πιο σκόπιμη η αποτύπωση των δύο κύριων αποτελεσμάτων (και των κατηγοριών δαπανών) που συνεργάζονται για την επίτευξη του στόχου της μεταρρύθμισης —του τελωνειακού κόμβου δεδομένων της ΕΕ και της Τελωνειακής Αρχής της ΕΕ— σύμφωνα με τους πίνακες που ακολουθούν. </w:t>
      </w:r>
    </w:p>
    <w:p w14:paraId="768F6345" w14:textId="77777777" w:rsidR="008F6AC1" w:rsidRPr="00483F7D" w:rsidRDefault="008F6AC1" w:rsidP="008F6AC1">
      <w:pPr>
        <w:pStyle w:val="Text1"/>
        <w:spacing w:after="240"/>
        <w:ind w:left="851"/>
        <w:rPr>
          <w:noProof/>
        </w:rPr>
      </w:pPr>
      <w:r w:rsidRPr="00483F7D">
        <w:t xml:space="preserve">Τα κατωτέρω αριθμητικά στοιχεία για το </w:t>
      </w:r>
      <w:r w:rsidRPr="00483F7D">
        <w:rPr>
          <w:b/>
        </w:rPr>
        <w:t>τρέχον ΠΔΠ</w:t>
      </w:r>
      <w:r w:rsidRPr="00483F7D">
        <w:t xml:space="preserve"> αφορούν μόνο τις επιχειρησιακές δαπάνες της Επιτροπής. Αυτές αφορούν τον κόμβο δεδομένων.</w:t>
      </w:r>
    </w:p>
    <w:p w14:paraId="75E05575" w14:textId="77777777" w:rsidR="008F6AC1" w:rsidRPr="00483F7D" w:rsidRDefault="008F6AC1" w:rsidP="008F6AC1">
      <w:pPr>
        <w:ind w:left="7920" w:firstLine="720"/>
        <w:jc w:val="center"/>
        <w:rPr>
          <w:noProof/>
          <w:sz w:val="20"/>
        </w:rPr>
      </w:pPr>
      <w:r w:rsidRPr="00483F7D">
        <w:rPr>
          <w:sz w:val="20"/>
        </w:rPr>
        <w:t>Ποσά σε εκατ. EUR (με τρία δεκαδικά ψηφία)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382"/>
        <w:gridCol w:w="283"/>
        <w:gridCol w:w="425"/>
        <w:gridCol w:w="426"/>
        <w:gridCol w:w="425"/>
        <w:gridCol w:w="567"/>
        <w:gridCol w:w="1276"/>
        <w:gridCol w:w="425"/>
        <w:gridCol w:w="1134"/>
        <w:gridCol w:w="425"/>
        <w:gridCol w:w="1134"/>
        <w:gridCol w:w="425"/>
        <w:gridCol w:w="993"/>
        <w:gridCol w:w="425"/>
        <w:gridCol w:w="1515"/>
      </w:tblGrid>
      <w:tr w:rsidR="008F6AC1" w:rsidRPr="00483F7D" w14:paraId="44070FA7" w14:textId="77777777" w:rsidTr="005563C1">
        <w:trPr>
          <w:trHeight w:val="387"/>
          <w:jc w:val="center"/>
        </w:trPr>
        <w:tc>
          <w:tcPr>
            <w:tcW w:w="1423" w:type="dxa"/>
            <w:vMerge w:val="restart"/>
            <w:vAlign w:val="center"/>
          </w:tcPr>
          <w:p w14:paraId="3A3B7266" w14:textId="77777777" w:rsidR="008F6AC1" w:rsidRPr="00483F7D" w:rsidRDefault="008F6AC1" w:rsidP="005563C1">
            <w:pPr>
              <w:ind w:right="-29"/>
              <w:jc w:val="center"/>
              <w:rPr>
                <w:b/>
                <w:noProof/>
                <w:sz w:val="18"/>
              </w:rPr>
            </w:pPr>
            <w:r w:rsidRPr="00483F7D">
              <w:rPr>
                <w:b/>
                <w:sz w:val="18"/>
              </w:rPr>
              <w:t xml:space="preserve">Να προσδιοριστούν οι στόχοι και τα αποτελέσματα </w:t>
            </w:r>
          </w:p>
          <w:p w14:paraId="15A08780" w14:textId="77777777" w:rsidR="008F6AC1" w:rsidRPr="00483F7D" w:rsidRDefault="008F6AC1" w:rsidP="005563C1">
            <w:pPr>
              <w:ind w:right="-29"/>
              <w:jc w:val="center"/>
              <w:rPr>
                <w:b/>
                <w:noProof/>
                <w:sz w:val="18"/>
              </w:rPr>
            </w:pPr>
          </w:p>
          <w:p w14:paraId="4A7B082D" w14:textId="77777777" w:rsidR="008F6AC1" w:rsidRPr="00483F7D" w:rsidRDefault="008F6AC1" w:rsidP="005563C1">
            <w:pPr>
              <w:ind w:right="-29"/>
              <w:jc w:val="center"/>
              <w:rPr>
                <w:noProof/>
                <w:sz w:val="18"/>
              </w:rPr>
            </w:pPr>
            <w:r w:rsidRPr="00483F7D">
              <w:rPr>
                <w:sz w:val="18"/>
              </w:rPr>
              <w:sym w:font="Wingdings" w:char="F0F2"/>
            </w:r>
          </w:p>
        </w:tc>
        <w:tc>
          <w:tcPr>
            <w:tcW w:w="720" w:type="dxa"/>
            <w:vAlign w:val="center"/>
          </w:tcPr>
          <w:p w14:paraId="6CF5758B" w14:textId="77777777" w:rsidR="008F6AC1" w:rsidRPr="00483F7D" w:rsidRDefault="008F6AC1" w:rsidP="005563C1">
            <w:pPr>
              <w:ind w:right="-29"/>
              <w:jc w:val="center"/>
              <w:rPr>
                <w:noProof/>
                <w:sz w:val="18"/>
              </w:rPr>
            </w:pPr>
          </w:p>
        </w:tc>
        <w:tc>
          <w:tcPr>
            <w:tcW w:w="701" w:type="dxa"/>
            <w:vAlign w:val="center"/>
          </w:tcPr>
          <w:p w14:paraId="1FAB557A" w14:textId="77777777" w:rsidR="008F6AC1" w:rsidRPr="00483F7D" w:rsidRDefault="008F6AC1" w:rsidP="005563C1">
            <w:pPr>
              <w:ind w:right="-29"/>
              <w:jc w:val="center"/>
              <w:rPr>
                <w:noProof/>
                <w:sz w:val="18"/>
              </w:rPr>
            </w:pPr>
          </w:p>
        </w:tc>
        <w:tc>
          <w:tcPr>
            <w:tcW w:w="886" w:type="dxa"/>
            <w:gridSpan w:val="2"/>
            <w:tcBorders>
              <w:left w:val="nil"/>
            </w:tcBorders>
            <w:vAlign w:val="center"/>
          </w:tcPr>
          <w:p w14:paraId="0AFAE617" w14:textId="77777777" w:rsidR="008F6AC1" w:rsidRPr="00483F7D" w:rsidRDefault="008F6AC1" w:rsidP="005563C1">
            <w:pPr>
              <w:ind w:right="-29"/>
              <w:jc w:val="center"/>
              <w:rPr>
                <w:noProof/>
                <w:sz w:val="18"/>
              </w:rPr>
            </w:pPr>
          </w:p>
        </w:tc>
        <w:tc>
          <w:tcPr>
            <w:tcW w:w="708" w:type="dxa"/>
            <w:gridSpan w:val="2"/>
            <w:vAlign w:val="center"/>
          </w:tcPr>
          <w:p w14:paraId="5659BFBE" w14:textId="77777777" w:rsidR="008F6AC1" w:rsidRPr="00483F7D" w:rsidRDefault="008F6AC1" w:rsidP="005563C1">
            <w:pPr>
              <w:ind w:right="-29"/>
              <w:jc w:val="center"/>
              <w:rPr>
                <w:noProof/>
                <w:sz w:val="18"/>
              </w:rPr>
            </w:pPr>
          </w:p>
        </w:tc>
        <w:tc>
          <w:tcPr>
            <w:tcW w:w="851" w:type="dxa"/>
            <w:gridSpan w:val="2"/>
            <w:vAlign w:val="center"/>
          </w:tcPr>
          <w:p w14:paraId="4C1DCF7D" w14:textId="77777777" w:rsidR="008F6AC1" w:rsidRPr="00483F7D" w:rsidRDefault="008F6AC1" w:rsidP="005563C1">
            <w:pPr>
              <w:ind w:right="-29"/>
              <w:jc w:val="center"/>
              <w:rPr>
                <w:noProof/>
                <w:sz w:val="18"/>
              </w:rPr>
            </w:pPr>
          </w:p>
        </w:tc>
        <w:tc>
          <w:tcPr>
            <w:tcW w:w="1843" w:type="dxa"/>
            <w:gridSpan w:val="2"/>
            <w:vAlign w:val="center"/>
          </w:tcPr>
          <w:p w14:paraId="2EADC4BB" w14:textId="77777777" w:rsidR="008F6AC1" w:rsidRPr="00483F7D" w:rsidRDefault="008F6AC1" w:rsidP="005563C1">
            <w:pPr>
              <w:ind w:right="-29"/>
              <w:jc w:val="center"/>
              <w:rPr>
                <w:noProof/>
                <w:sz w:val="18"/>
              </w:rPr>
            </w:pPr>
            <w:r w:rsidRPr="00483F7D">
              <w:rPr>
                <w:sz w:val="18"/>
              </w:rPr>
              <w:t>2024</w:t>
            </w:r>
          </w:p>
        </w:tc>
        <w:tc>
          <w:tcPr>
            <w:tcW w:w="1559" w:type="dxa"/>
            <w:gridSpan w:val="2"/>
            <w:vAlign w:val="center"/>
          </w:tcPr>
          <w:p w14:paraId="5B60F700" w14:textId="77777777" w:rsidR="008F6AC1" w:rsidRPr="00483F7D" w:rsidRDefault="008F6AC1" w:rsidP="005563C1">
            <w:pPr>
              <w:jc w:val="center"/>
              <w:rPr>
                <w:bCs/>
                <w:noProof/>
                <w:sz w:val="18"/>
              </w:rPr>
            </w:pPr>
            <w:r w:rsidRPr="00483F7D">
              <w:rPr>
                <w:sz w:val="18"/>
              </w:rPr>
              <w:t>2025</w:t>
            </w:r>
          </w:p>
        </w:tc>
        <w:tc>
          <w:tcPr>
            <w:tcW w:w="1559" w:type="dxa"/>
            <w:gridSpan w:val="2"/>
            <w:vAlign w:val="center"/>
          </w:tcPr>
          <w:p w14:paraId="31F09644" w14:textId="77777777" w:rsidR="008F6AC1" w:rsidRPr="00483F7D" w:rsidRDefault="008F6AC1" w:rsidP="005563C1">
            <w:pPr>
              <w:jc w:val="center"/>
              <w:rPr>
                <w:bCs/>
                <w:noProof/>
                <w:sz w:val="18"/>
              </w:rPr>
            </w:pPr>
            <w:r w:rsidRPr="00483F7D">
              <w:rPr>
                <w:sz w:val="18"/>
              </w:rPr>
              <w:t>2026</w:t>
            </w:r>
          </w:p>
        </w:tc>
        <w:tc>
          <w:tcPr>
            <w:tcW w:w="1418" w:type="dxa"/>
            <w:gridSpan w:val="2"/>
            <w:vAlign w:val="center"/>
          </w:tcPr>
          <w:p w14:paraId="75C16B51" w14:textId="77777777" w:rsidR="008F6AC1" w:rsidRPr="00483F7D" w:rsidRDefault="008F6AC1" w:rsidP="005563C1">
            <w:pPr>
              <w:jc w:val="center"/>
              <w:rPr>
                <w:bCs/>
                <w:noProof/>
                <w:sz w:val="18"/>
              </w:rPr>
            </w:pPr>
            <w:r w:rsidRPr="00483F7D">
              <w:rPr>
                <w:sz w:val="18"/>
              </w:rPr>
              <w:t>2027</w:t>
            </w:r>
          </w:p>
        </w:tc>
        <w:tc>
          <w:tcPr>
            <w:tcW w:w="1940" w:type="dxa"/>
            <w:gridSpan w:val="2"/>
            <w:tcBorders>
              <w:left w:val="nil"/>
              <w:bottom w:val="nil"/>
            </w:tcBorders>
            <w:vAlign w:val="center"/>
          </w:tcPr>
          <w:p w14:paraId="183F009C" w14:textId="77777777" w:rsidR="008F6AC1" w:rsidRPr="00483F7D" w:rsidRDefault="008F6AC1" w:rsidP="005563C1">
            <w:pPr>
              <w:ind w:right="-29"/>
              <w:jc w:val="center"/>
              <w:rPr>
                <w:noProof/>
                <w:sz w:val="18"/>
              </w:rPr>
            </w:pPr>
            <w:r w:rsidRPr="00483F7D">
              <w:rPr>
                <w:b/>
                <w:sz w:val="18"/>
              </w:rPr>
              <w:t>ΣΥΝΟΛΟ</w:t>
            </w:r>
          </w:p>
        </w:tc>
      </w:tr>
      <w:tr w:rsidR="008F6AC1" w:rsidRPr="00483F7D" w14:paraId="4F7D842D" w14:textId="77777777" w:rsidTr="005563C1">
        <w:trPr>
          <w:jc w:val="center"/>
        </w:trPr>
        <w:tc>
          <w:tcPr>
            <w:tcW w:w="1423" w:type="dxa"/>
            <w:vMerge/>
            <w:vAlign w:val="center"/>
          </w:tcPr>
          <w:p w14:paraId="5DF04F3C" w14:textId="77777777" w:rsidR="008F6AC1" w:rsidRPr="00483F7D" w:rsidRDefault="008F6AC1" w:rsidP="005563C1">
            <w:pPr>
              <w:rPr>
                <w:noProof/>
                <w:sz w:val="18"/>
              </w:rPr>
            </w:pPr>
          </w:p>
        </w:tc>
        <w:tc>
          <w:tcPr>
            <w:tcW w:w="12185" w:type="dxa"/>
            <w:gridSpan w:val="18"/>
            <w:vAlign w:val="center"/>
          </w:tcPr>
          <w:p w14:paraId="671C9B45" w14:textId="77777777" w:rsidR="008F6AC1" w:rsidRPr="00483F7D" w:rsidRDefault="008F6AC1" w:rsidP="005563C1">
            <w:pPr>
              <w:spacing w:before="60" w:after="60"/>
              <w:ind w:right="-29"/>
              <w:jc w:val="center"/>
              <w:rPr>
                <w:noProof/>
                <w:sz w:val="18"/>
              </w:rPr>
            </w:pPr>
            <w:r w:rsidRPr="00483F7D">
              <w:rPr>
                <w:b/>
                <w:sz w:val="18"/>
              </w:rPr>
              <w:t>ΑΠΟΤΕΛΕΣΜΑΤΑ</w:t>
            </w:r>
          </w:p>
        </w:tc>
      </w:tr>
      <w:tr w:rsidR="008F6AC1" w:rsidRPr="00483F7D" w14:paraId="3C906046" w14:textId="77777777" w:rsidTr="005563C1">
        <w:trPr>
          <w:cantSplit/>
          <w:trHeight w:val="878"/>
          <w:jc w:val="center"/>
        </w:trPr>
        <w:tc>
          <w:tcPr>
            <w:tcW w:w="1423" w:type="dxa"/>
            <w:vMerge/>
            <w:vAlign w:val="center"/>
          </w:tcPr>
          <w:p w14:paraId="1D449195" w14:textId="77777777" w:rsidR="008F6AC1" w:rsidRPr="00483F7D" w:rsidRDefault="008F6AC1" w:rsidP="005563C1">
            <w:pPr>
              <w:rPr>
                <w:noProof/>
                <w:sz w:val="18"/>
              </w:rPr>
            </w:pPr>
          </w:p>
        </w:tc>
        <w:tc>
          <w:tcPr>
            <w:tcW w:w="720" w:type="dxa"/>
            <w:vAlign w:val="center"/>
          </w:tcPr>
          <w:p w14:paraId="6A91D5CC" w14:textId="77777777" w:rsidR="008F6AC1" w:rsidRPr="00483F7D" w:rsidRDefault="008F6AC1" w:rsidP="005563C1">
            <w:pPr>
              <w:jc w:val="center"/>
              <w:rPr>
                <w:noProof/>
                <w:sz w:val="18"/>
              </w:rPr>
            </w:pPr>
            <w:r w:rsidRPr="00483F7D">
              <w:rPr>
                <w:sz w:val="18"/>
              </w:rPr>
              <w:t>Είδος</w:t>
            </w:r>
            <w:r w:rsidRPr="00483F7D">
              <w:rPr>
                <w:rStyle w:val="FootnoteReference"/>
                <w:noProof/>
                <w:sz w:val="18"/>
              </w:rPr>
              <w:footnoteReference w:id="92"/>
            </w:r>
          </w:p>
        </w:tc>
        <w:tc>
          <w:tcPr>
            <w:tcW w:w="701" w:type="dxa"/>
            <w:vAlign w:val="center"/>
          </w:tcPr>
          <w:p w14:paraId="77C3D6B0" w14:textId="77777777" w:rsidR="008F6AC1" w:rsidRPr="00483F7D" w:rsidRDefault="008F6AC1" w:rsidP="005563C1">
            <w:pPr>
              <w:jc w:val="center"/>
              <w:rPr>
                <w:noProof/>
              </w:rPr>
            </w:pPr>
            <w:r w:rsidRPr="00483F7D">
              <w:rPr>
                <w:sz w:val="18"/>
              </w:rPr>
              <w:t>Μέσο κόστος</w:t>
            </w:r>
          </w:p>
        </w:tc>
        <w:tc>
          <w:tcPr>
            <w:tcW w:w="504" w:type="dxa"/>
            <w:tcBorders>
              <w:left w:val="nil"/>
              <w:right w:val="dashSmallGap" w:sz="4" w:space="0" w:color="auto"/>
            </w:tcBorders>
            <w:shd w:val="pct10" w:color="auto" w:fill="auto"/>
            <w:textDirection w:val="btLr"/>
            <w:vAlign w:val="center"/>
          </w:tcPr>
          <w:p w14:paraId="2F100723" w14:textId="77777777" w:rsidR="008F6AC1" w:rsidRPr="00483F7D" w:rsidRDefault="008F6AC1" w:rsidP="005563C1">
            <w:pPr>
              <w:ind w:left="113" w:right="113"/>
              <w:jc w:val="center"/>
              <w:rPr>
                <w:noProof/>
              </w:rPr>
            </w:pPr>
            <w:r w:rsidRPr="00483F7D">
              <w:rPr>
                <w:sz w:val="18"/>
              </w:rPr>
              <w:t>Αριθ.</w:t>
            </w:r>
          </w:p>
        </w:tc>
        <w:tc>
          <w:tcPr>
            <w:tcW w:w="382" w:type="dxa"/>
            <w:tcBorders>
              <w:left w:val="dashSmallGap" w:sz="4" w:space="0" w:color="auto"/>
            </w:tcBorders>
            <w:shd w:val="pct10" w:color="auto" w:fill="auto"/>
            <w:textDirection w:val="btLr"/>
            <w:vAlign w:val="center"/>
          </w:tcPr>
          <w:p w14:paraId="14EEA475" w14:textId="77777777" w:rsidR="008F6AC1" w:rsidRPr="00483F7D" w:rsidRDefault="008F6AC1" w:rsidP="005563C1">
            <w:pPr>
              <w:ind w:left="113" w:right="113"/>
              <w:jc w:val="center"/>
              <w:rPr>
                <w:noProof/>
                <w:sz w:val="18"/>
              </w:rPr>
            </w:pPr>
            <w:r w:rsidRPr="00483F7D">
              <w:rPr>
                <w:sz w:val="18"/>
              </w:rPr>
              <w:t>Κόστος</w:t>
            </w:r>
          </w:p>
        </w:tc>
        <w:tc>
          <w:tcPr>
            <w:tcW w:w="283" w:type="dxa"/>
            <w:tcBorders>
              <w:right w:val="dashSmallGap" w:sz="4" w:space="0" w:color="auto"/>
            </w:tcBorders>
            <w:shd w:val="pct10" w:color="auto" w:fill="auto"/>
            <w:textDirection w:val="btLr"/>
            <w:vAlign w:val="center"/>
          </w:tcPr>
          <w:p w14:paraId="2227CEB5" w14:textId="77777777" w:rsidR="008F6AC1" w:rsidRPr="00483F7D" w:rsidRDefault="008F6AC1" w:rsidP="005563C1">
            <w:pPr>
              <w:ind w:left="113" w:right="113"/>
              <w:jc w:val="center"/>
              <w:rPr>
                <w:noProof/>
              </w:rPr>
            </w:pPr>
            <w:r w:rsidRPr="00483F7D">
              <w:rPr>
                <w:sz w:val="18"/>
              </w:rPr>
              <w:t>Αριθ.</w:t>
            </w:r>
          </w:p>
        </w:tc>
        <w:tc>
          <w:tcPr>
            <w:tcW w:w="425" w:type="dxa"/>
            <w:tcBorders>
              <w:left w:val="dashSmallGap" w:sz="4" w:space="0" w:color="auto"/>
            </w:tcBorders>
            <w:shd w:val="pct10" w:color="auto" w:fill="auto"/>
            <w:textDirection w:val="btLr"/>
            <w:vAlign w:val="center"/>
          </w:tcPr>
          <w:p w14:paraId="6C31C40D" w14:textId="77777777" w:rsidR="008F6AC1" w:rsidRPr="00483F7D" w:rsidRDefault="008F6AC1" w:rsidP="005563C1">
            <w:pPr>
              <w:ind w:left="113" w:right="113"/>
              <w:jc w:val="center"/>
              <w:rPr>
                <w:noProof/>
                <w:sz w:val="18"/>
              </w:rPr>
            </w:pPr>
            <w:r w:rsidRPr="00483F7D">
              <w:rPr>
                <w:sz w:val="18"/>
              </w:rPr>
              <w:t>Κόστος</w:t>
            </w:r>
          </w:p>
        </w:tc>
        <w:tc>
          <w:tcPr>
            <w:tcW w:w="426" w:type="dxa"/>
            <w:tcBorders>
              <w:right w:val="dashSmallGap" w:sz="4" w:space="0" w:color="auto"/>
            </w:tcBorders>
            <w:shd w:val="pct10" w:color="auto" w:fill="auto"/>
            <w:textDirection w:val="btLr"/>
            <w:vAlign w:val="center"/>
          </w:tcPr>
          <w:p w14:paraId="4C3B1FCE" w14:textId="77777777" w:rsidR="008F6AC1" w:rsidRPr="00483F7D" w:rsidRDefault="008F6AC1" w:rsidP="005563C1">
            <w:pPr>
              <w:ind w:left="113" w:right="113"/>
              <w:jc w:val="center"/>
              <w:rPr>
                <w:noProof/>
              </w:rPr>
            </w:pPr>
            <w:r w:rsidRPr="00483F7D">
              <w:rPr>
                <w:sz w:val="18"/>
              </w:rPr>
              <w:t>Αριθ.</w:t>
            </w:r>
          </w:p>
        </w:tc>
        <w:tc>
          <w:tcPr>
            <w:tcW w:w="425" w:type="dxa"/>
            <w:tcBorders>
              <w:left w:val="dashSmallGap" w:sz="4" w:space="0" w:color="auto"/>
            </w:tcBorders>
            <w:shd w:val="pct10" w:color="auto" w:fill="auto"/>
            <w:textDirection w:val="btLr"/>
            <w:vAlign w:val="center"/>
          </w:tcPr>
          <w:p w14:paraId="1340100F" w14:textId="77777777" w:rsidR="008F6AC1" w:rsidRPr="00483F7D" w:rsidRDefault="008F6AC1" w:rsidP="005563C1">
            <w:pPr>
              <w:ind w:left="113" w:right="113"/>
              <w:jc w:val="center"/>
              <w:rPr>
                <w:noProof/>
                <w:sz w:val="18"/>
              </w:rPr>
            </w:pPr>
            <w:r w:rsidRPr="00483F7D">
              <w:rPr>
                <w:sz w:val="18"/>
              </w:rPr>
              <w:t>Κόστος</w:t>
            </w:r>
          </w:p>
        </w:tc>
        <w:tc>
          <w:tcPr>
            <w:tcW w:w="567" w:type="dxa"/>
            <w:tcBorders>
              <w:right w:val="dashSmallGap" w:sz="4" w:space="0" w:color="auto"/>
            </w:tcBorders>
            <w:shd w:val="pct10" w:color="auto" w:fill="auto"/>
            <w:textDirection w:val="btLr"/>
            <w:vAlign w:val="center"/>
          </w:tcPr>
          <w:p w14:paraId="1BB4CA58" w14:textId="77777777" w:rsidR="008F6AC1" w:rsidRPr="00483F7D" w:rsidRDefault="008F6AC1" w:rsidP="005563C1">
            <w:pPr>
              <w:ind w:left="113" w:right="113"/>
              <w:jc w:val="center"/>
              <w:rPr>
                <w:noProof/>
              </w:rPr>
            </w:pPr>
            <w:r w:rsidRPr="00483F7D">
              <w:rPr>
                <w:sz w:val="18"/>
              </w:rPr>
              <w:t>Αριθ.</w:t>
            </w:r>
          </w:p>
        </w:tc>
        <w:tc>
          <w:tcPr>
            <w:tcW w:w="1276" w:type="dxa"/>
            <w:tcBorders>
              <w:left w:val="dashSmallGap" w:sz="4" w:space="0" w:color="auto"/>
            </w:tcBorders>
            <w:shd w:val="pct10" w:color="auto" w:fill="auto"/>
            <w:vAlign w:val="center"/>
          </w:tcPr>
          <w:p w14:paraId="01C362F8" w14:textId="77777777" w:rsidR="008F6AC1" w:rsidRPr="00483F7D" w:rsidRDefault="008F6AC1" w:rsidP="005563C1">
            <w:pPr>
              <w:jc w:val="center"/>
              <w:rPr>
                <w:noProof/>
                <w:sz w:val="18"/>
              </w:rPr>
            </w:pPr>
            <w:r w:rsidRPr="00483F7D">
              <w:rPr>
                <w:sz w:val="18"/>
              </w:rPr>
              <w:t>Κόστος</w:t>
            </w:r>
          </w:p>
        </w:tc>
        <w:tc>
          <w:tcPr>
            <w:tcW w:w="425" w:type="dxa"/>
            <w:tcBorders>
              <w:right w:val="dashSmallGap" w:sz="4" w:space="0" w:color="auto"/>
            </w:tcBorders>
            <w:shd w:val="pct10" w:color="auto" w:fill="auto"/>
            <w:textDirection w:val="btLr"/>
            <w:vAlign w:val="center"/>
          </w:tcPr>
          <w:p w14:paraId="3FB88522" w14:textId="77777777" w:rsidR="008F6AC1" w:rsidRPr="00483F7D" w:rsidRDefault="008F6AC1" w:rsidP="005563C1">
            <w:pPr>
              <w:ind w:left="113" w:right="113"/>
              <w:jc w:val="center"/>
              <w:rPr>
                <w:noProof/>
              </w:rPr>
            </w:pPr>
            <w:r w:rsidRPr="00483F7D">
              <w:rPr>
                <w:sz w:val="18"/>
              </w:rPr>
              <w:t>Αριθ.</w:t>
            </w:r>
          </w:p>
        </w:tc>
        <w:tc>
          <w:tcPr>
            <w:tcW w:w="1134" w:type="dxa"/>
            <w:tcBorders>
              <w:left w:val="dashSmallGap" w:sz="4" w:space="0" w:color="auto"/>
            </w:tcBorders>
            <w:shd w:val="pct10" w:color="auto" w:fill="auto"/>
            <w:vAlign w:val="center"/>
          </w:tcPr>
          <w:p w14:paraId="24D8364F" w14:textId="77777777" w:rsidR="008F6AC1" w:rsidRPr="00483F7D" w:rsidRDefault="008F6AC1" w:rsidP="005563C1">
            <w:pPr>
              <w:jc w:val="center"/>
              <w:rPr>
                <w:noProof/>
                <w:sz w:val="18"/>
              </w:rPr>
            </w:pPr>
            <w:r w:rsidRPr="00483F7D">
              <w:rPr>
                <w:sz w:val="18"/>
              </w:rPr>
              <w:t>Κόστος</w:t>
            </w:r>
          </w:p>
        </w:tc>
        <w:tc>
          <w:tcPr>
            <w:tcW w:w="425" w:type="dxa"/>
            <w:tcBorders>
              <w:right w:val="dashSmallGap" w:sz="4" w:space="0" w:color="auto"/>
            </w:tcBorders>
            <w:shd w:val="pct10" w:color="auto" w:fill="auto"/>
            <w:textDirection w:val="btLr"/>
            <w:vAlign w:val="center"/>
          </w:tcPr>
          <w:p w14:paraId="15A82DB9" w14:textId="77777777" w:rsidR="008F6AC1" w:rsidRPr="00483F7D" w:rsidRDefault="008F6AC1" w:rsidP="005563C1">
            <w:pPr>
              <w:ind w:left="113" w:right="113"/>
              <w:jc w:val="center"/>
              <w:rPr>
                <w:noProof/>
              </w:rPr>
            </w:pPr>
            <w:r w:rsidRPr="00483F7D">
              <w:rPr>
                <w:sz w:val="18"/>
              </w:rPr>
              <w:t>Αριθ.</w:t>
            </w:r>
          </w:p>
        </w:tc>
        <w:tc>
          <w:tcPr>
            <w:tcW w:w="1134" w:type="dxa"/>
            <w:tcBorders>
              <w:left w:val="dashSmallGap" w:sz="4" w:space="0" w:color="auto"/>
            </w:tcBorders>
            <w:shd w:val="pct10" w:color="auto" w:fill="auto"/>
            <w:vAlign w:val="center"/>
          </w:tcPr>
          <w:p w14:paraId="6FEECE72" w14:textId="77777777" w:rsidR="008F6AC1" w:rsidRPr="00483F7D" w:rsidRDefault="008F6AC1" w:rsidP="005563C1">
            <w:pPr>
              <w:jc w:val="center"/>
              <w:rPr>
                <w:noProof/>
                <w:sz w:val="18"/>
              </w:rPr>
            </w:pPr>
            <w:r w:rsidRPr="00483F7D">
              <w:rPr>
                <w:sz w:val="18"/>
              </w:rPr>
              <w:t>Κόστος</w:t>
            </w:r>
          </w:p>
        </w:tc>
        <w:tc>
          <w:tcPr>
            <w:tcW w:w="425" w:type="dxa"/>
            <w:tcBorders>
              <w:right w:val="dashSmallGap" w:sz="4" w:space="0" w:color="auto"/>
            </w:tcBorders>
            <w:shd w:val="pct10" w:color="auto" w:fill="auto"/>
            <w:textDirection w:val="btLr"/>
            <w:vAlign w:val="center"/>
          </w:tcPr>
          <w:p w14:paraId="3772ED1E" w14:textId="77777777" w:rsidR="008F6AC1" w:rsidRPr="00483F7D" w:rsidRDefault="008F6AC1" w:rsidP="005563C1">
            <w:pPr>
              <w:ind w:left="113" w:right="113"/>
              <w:jc w:val="center"/>
              <w:rPr>
                <w:noProof/>
              </w:rPr>
            </w:pPr>
            <w:r w:rsidRPr="00483F7D">
              <w:rPr>
                <w:sz w:val="18"/>
              </w:rPr>
              <w:t>Αριθ.</w:t>
            </w:r>
          </w:p>
        </w:tc>
        <w:tc>
          <w:tcPr>
            <w:tcW w:w="993" w:type="dxa"/>
            <w:tcBorders>
              <w:left w:val="dashSmallGap" w:sz="4" w:space="0" w:color="auto"/>
            </w:tcBorders>
            <w:shd w:val="pct10" w:color="auto" w:fill="auto"/>
            <w:vAlign w:val="center"/>
          </w:tcPr>
          <w:p w14:paraId="4EFF5B8F" w14:textId="77777777" w:rsidR="008F6AC1" w:rsidRPr="00483F7D" w:rsidRDefault="008F6AC1" w:rsidP="005563C1">
            <w:pPr>
              <w:jc w:val="center"/>
              <w:rPr>
                <w:noProof/>
                <w:sz w:val="18"/>
              </w:rPr>
            </w:pPr>
            <w:r w:rsidRPr="00483F7D">
              <w:rPr>
                <w:sz w:val="18"/>
              </w:rPr>
              <w:t>Κόστος</w:t>
            </w:r>
          </w:p>
        </w:tc>
        <w:tc>
          <w:tcPr>
            <w:tcW w:w="425" w:type="dxa"/>
            <w:tcBorders>
              <w:right w:val="dashSmallGap" w:sz="4" w:space="0" w:color="auto"/>
            </w:tcBorders>
            <w:shd w:val="pct10" w:color="auto" w:fill="auto"/>
            <w:textDirection w:val="btLr"/>
            <w:vAlign w:val="center"/>
          </w:tcPr>
          <w:p w14:paraId="3568579D" w14:textId="77777777" w:rsidR="008F6AC1" w:rsidRPr="00483F7D" w:rsidRDefault="008F6AC1" w:rsidP="005563C1">
            <w:pPr>
              <w:ind w:left="113" w:right="113"/>
              <w:jc w:val="center"/>
              <w:rPr>
                <w:noProof/>
                <w:sz w:val="18"/>
              </w:rPr>
            </w:pPr>
            <w:r w:rsidRPr="00483F7D">
              <w:rPr>
                <w:sz w:val="18"/>
              </w:rPr>
              <w:t>Συνολικός αριθ.</w:t>
            </w:r>
          </w:p>
        </w:tc>
        <w:tc>
          <w:tcPr>
            <w:tcW w:w="1515" w:type="dxa"/>
            <w:tcBorders>
              <w:left w:val="dashSmallGap" w:sz="4" w:space="0" w:color="auto"/>
            </w:tcBorders>
            <w:shd w:val="pct10" w:color="auto" w:fill="auto"/>
            <w:vAlign w:val="center"/>
          </w:tcPr>
          <w:p w14:paraId="7EF5F3A1" w14:textId="77777777" w:rsidR="008F6AC1" w:rsidRPr="00483F7D" w:rsidRDefault="008F6AC1" w:rsidP="005563C1">
            <w:pPr>
              <w:jc w:val="center"/>
              <w:rPr>
                <w:noProof/>
              </w:rPr>
            </w:pPr>
            <w:r w:rsidRPr="00483F7D">
              <w:rPr>
                <w:sz w:val="18"/>
              </w:rPr>
              <w:t>Συνολικό κόστος</w:t>
            </w:r>
          </w:p>
        </w:tc>
      </w:tr>
      <w:tr w:rsidR="008F6AC1" w:rsidRPr="00483F7D" w14:paraId="3D19FD05" w14:textId="77777777" w:rsidTr="005563C1">
        <w:trPr>
          <w:jc w:val="center"/>
        </w:trPr>
        <w:tc>
          <w:tcPr>
            <w:tcW w:w="2844" w:type="dxa"/>
            <w:gridSpan w:val="3"/>
            <w:vAlign w:val="center"/>
          </w:tcPr>
          <w:p w14:paraId="09CA2FC8" w14:textId="77777777" w:rsidR="008F6AC1" w:rsidRPr="00483F7D" w:rsidRDefault="008F6AC1" w:rsidP="005563C1">
            <w:pPr>
              <w:spacing w:before="60" w:after="60"/>
              <w:ind w:right="-29"/>
              <w:jc w:val="center"/>
              <w:rPr>
                <w:b/>
                <w:bCs/>
                <w:noProof/>
                <w:sz w:val="18"/>
              </w:rPr>
            </w:pPr>
            <w:r w:rsidRPr="00483F7D">
              <w:rPr>
                <w:b/>
                <w:sz w:val="18"/>
              </w:rPr>
              <w:t>ΓΕΝΙΚΟΣ ΣΤΟΧΟΣ</w:t>
            </w:r>
          </w:p>
        </w:tc>
        <w:tc>
          <w:tcPr>
            <w:tcW w:w="504" w:type="dxa"/>
            <w:tcBorders>
              <w:top w:val="nil"/>
              <w:left w:val="nil"/>
              <w:bottom w:val="nil"/>
              <w:right w:val="nil"/>
            </w:tcBorders>
          </w:tcPr>
          <w:p w14:paraId="2C97B0AC" w14:textId="77777777" w:rsidR="008F6AC1" w:rsidRPr="00483F7D" w:rsidRDefault="008F6AC1" w:rsidP="005563C1">
            <w:pPr>
              <w:spacing w:before="60" w:after="60"/>
              <w:ind w:right="-29"/>
              <w:jc w:val="center"/>
              <w:rPr>
                <w:noProof/>
                <w:sz w:val="18"/>
              </w:rPr>
            </w:pPr>
          </w:p>
        </w:tc>
        <w:tc>
          <w:tcPr>
            <w:tcW w:w="382" w:type="dxa"/>
            <w:tcBorders>
              <w:top w:val="nil"/>
              <w:left w:val="nil"/>
              <w:bottom w:val="nil"/>
              <w:right w:val="nil"/>
            </w:tcBorders>
          </w:tcPr>
          <w:p w14:paraId="526185FC" w14:textId="77777777" w:rsidR="008F6AC1" w:rsidRPr="00483F7D" w:rsidRDefault="008F6AC1" w:rsidP="005563C1">
            <w:pPr>
              <w:spacing w:before="60" w:after="60"/>
              <w:ind w:right="-29"/>
              <w:jc w:val="center"/>
              <w:rPr>
                <w:noProof/>
                <w:sz w:val="18"/>
              </w:rPr>
            </w:pPr>
          </w:p>
        </w:tc>
        <w:tc>
          <w:tcPr>
            <w:tcW w:w="283" w:type="dxa"/>
            <w:tcBorders>
              <w:top w:val="nil"/>
              <w:left w:val="nil"/>
              <w:bottom w:val="nil"/>
              <w:right w:val="nil"/>
            </w:tcBorders>
          </w:tcPr>
          <w:p w14:paraId="025DE3AD" w14:textId="77777777" w:rsidR="008F6AC1" w:rsidRPr="00483F7D" w:rsidRDefault="008F6AC1" w:rsidP="005563C1">
            <w:pPr>
              <w:spacing w:before="60" w:after="60"/>
              <w:ind w:right="-29"/>
              <w:jc w:val="center"/>
              <w:rPr>
                <w:noProof/>
                <w:sz w:val="18"/>
              </w:rPr>
            </w:pPr>
          </w:p>
        </w:tc>
        <w:tc>
          <w:tcPr>
            <w:tcW w:w="425" w:type="dxa"/>
            <w:tcBorders>
              <w:top w:val="nil"/>
              <w:left w:val="nil"/>
              <w:bottom w:val="nil"/>
              <w:right w:val="nil"/>
            </w:tcBorders>
          </w:tcPr>
          <w:p w14:paraId="66F41021" w14:textId="77777777" w:rsidR="008F6AC1" w:rsidRPr="00483F7D" w:rsidRDefault="008F6AC1" w:rsidP="005563C1">
            <w:pPr>
              <w:spacing w:before="60" w:after="60"/>
              <w:ind w:right="-29"/>
              <w:jc w:val="center"/>
              <w:rPr>
                <w:noProof/>
                <w:sz w:val="18"/>
              </w:rPr>
            </w:pPr>
          </w:p>
        </w:tc>
        <w:tc>
          <w:tcPr>
            <w:tcW w:w="426" w:type="dxa"/>
            <w:tcBorders>
              <w:top w:val="nil"/>
              <w:left w:val="nil"/>
              <w:bottom w:val="nil"/>
              <w:right w:val="nil"/>
            </w:tcBorders>
          </w:tcPr>
          <w:p w14:paraId="3C1BA93E" w14:textId="77777777" w:rsidR="008F6AC1" w:rsidRPr="00483F7D" w:rsidRDefault="008F6AC1" w:rsidP="005563C1">
            <w:pPr>
              <w:spacing w:before="60" w:after="60"/>
              <w:ind w:right="-29"/>
              <w:jc w:val="center"/>
              <w:rPr>
                <w:noProof/>
                <w:sz w:val="18"/>
              </w:rPr>
            </w:pPr>
          </w:p>
        </w:tc>
        <w:tc>
          <w:tcPr>
            <w:tcW w:w="425" w:type="dxa"/>
            <w:tcBorders>
              <w:top w:val="nil"/>
              <w:left w:val="nil"/>
              <w:bottom w:val="nil"/>
              <w:right w:val="nil"/>
            </w:tcBorders>
          </w:tcPr>
          <w:p w14:paraId="0C38858B" w14:textId="77777777" w:rsidR="008F6AC1" w:rsidRPr="00483F7D" w:rsidRDefault="008F6AC1" w:rsidP="005563C1">
            <w:pPr>
              <w:spacing w:before="60" w:after="60"/>
              <w:ind w:right="-29"/>
              <w:jc w:val="center"/>
              <w:rPr>
                <w:noProof/>
                <w:sz w:val="18"/>
              </w:rPr>
            </w:pPr>
          </w:p>
        </w:tc>
        <w:tc>
          <w:tcPr>
            <w:tcW w:w="567" w:type="dxa"/>
            <w:tcBorders>
              <w:top w:val="nil"/>
              <w:left w:val="nil"/>
              <w:bottom w:val="nil"/>
              <w:right w:val="nil"/>
            </w:tcBorders>
          </w:tcPr>
          <w:p w14:paraId="6F67ED0D" w14:textId="77777777" w:rsidR="008F6AC1" w:rsidRPr="00483F7D" w:rsidRDefault="008F6AC1" w:rsidP="005563C1">
            <w:pPr>
              <w:spacing w:before="60" w:after="60"/>
              <w:ind w:right="-29"/>
              <w:jc w:val="center"/>
              <w:rPr>
                <w:noProof/>
                <w:sz w:val="18"/>
              </w:rPr>
            </w:pPr>
          </w:p>
        </w:tc>
        <w:tc>
          <w:tcPr>
            <w:tcW w:w="1276" w:type="dxa"/>
            <w:tcBorders>
              <w:top w:val="nil"/>
              <w:left w:val="nil"/>
              <w:bottom w:val="nil"/>
              <w:right w:val="nil"/>
            </w:tcBorders>
          </w:tcPr>
          <w:p w14:paraId="00FDF779" w14:textId="77777777" w:rsidR="008F6AC1" w:rsidRPr="00483F7D" w:rsidRDefault="008F6AC1" w:rsidP="005563C1">
            <w:pPr>
              <w:spacing w:before="60" w:after="60"/>
              <w:ind w:right="-29"/>
              <w:jc w:val="center"/>
              <w:rPr>
                <w:noProof/>
                <w:sz w:val="18"/>
              </w:rPr>
            </w:pPr>
          </w:p>
        </w:tc>
        <w:tc>
          <w:tcPr>
            <w:tcW w:w="425" w:type="dxa"/>
            <w:tcBorders>
              <w:top w:val="nil"/>
              <w:left w:val="nil"/>
              <w:bottom w:val="nil"/>
              <w:right w:val="nil"/>
            </w:tcBorders>
          </w:tcPr>
          <w:p w14:paraId="2A0B983A" w14:textId="77777777" w:rsidR="008F6AC1" w:rsidRPr="00483F7D" w:rsidRDefault="008F6AC1" w:rsidP="005563C1">
            <w:pPr>
              <w:spacing w:before="60" w:after="60"/>
              <w:ind w:right="-29"/>
              <w:jc w:val="center"/>
              <w:rPr>
                <w:noProof/>
                <w:sz w:val="18"/>
              </w:rPr>
            </w:pPr>
          </w:p>
        </w:tc>
        <w:tc>
          <w:tcPr>
            <w:tcW w:w="1134" w:type="dxa"/>
            <w:tcBorders>
              <w:top w:val="nil"/>
              <w:left w:val="nil"/>
              <w:bottom w:val="nil"/>
              <w:right w:val="nil"/>
            </w:tcBorders>
          </w:tcPr>
          <w:p w14:paraId="19DBB68D" w14:textId="77777777" w:rsidR="008F6AC1" w:rsidRPr="00483F7D" w:rsidRDefault="008F6AC1" w:rsidP="005563C1">
            <w:pPr>
              <w:spacing w:before="60" w:after="60"/>
              <w:ind w:right="-29"/>
              <w:jc w:val="center"/>
              <w:rPr>
                <w:noProof/>
                <w:sz w:val="18"/>
              </w:rPr>
            </w:pPr>
          </w:p>
        </w:tc>
        <w:tc>
          <w:tcPr>
            <w:tcW w:w="425" w:type="dxa"/>
            <w:tcBorders>
              <w:top w:val="nil"/>
              <w:left w:val="nil"/>
              <w:bottom w:val="nil"/>
              <w:right w:val="nil"/>
            </w:tcBorders>
          </w:tcPr>
          <w:p w14:paraId="1CF6F729" w14:textId="77777777" w:rsidR="008F6AC1" w:rsidRPr="00483F7D" w:rsidRDefault="008F6AC1" w:rsidP="005563C1">
            <w:pPr>
              <w:spacing w:before="60" w:after="60"/>
              <w:ind w:right="-29"/>
              <w:jc w:val="center"/>
              <w:rPr>
                <w:noProof/>
                <w:sz w:val="18"/>
              </w:rPr>
            </w:pPr>
          </w:p>
        </w:tc>
        <w:tc>
          <w:tcPr>
            <w:tcW w:w="1134" w:type="dxa"/>
            <w:tcBorders>
              <w:top w:val="nil"/>
              <w:left w:val="nil"/>
              <w:bottom w:val="nil"/>
              <w:right w:val="nil"/>
            </w:tcBorders>
          </w:tcPr>
          <w:p w14:paraId="49749701" w14:textId="77777777" w:rsidR="008F6AC1" w:rsidRPr="00483F7D" w:rsidRDefault="008F6AC1" w:rsidP="005563C1">
            <w:pPr>
              <w:spacing w:before="60" w:after="60"/>
              <w:ind w:right="-29"/>
              <w:jc w:val="center"/>
              <w:rPr>
                <w:noProof/>
                <w:sz w:val="18"/>
              </w:rPr>
            </w:pPr>
          </w:p>
        </w:tc>
        <w:tc>
          <w:tcPr>
            <w:tcW w:w="425" w:type="dxa"/>
            <w:tcBorders>
              <w:top w:val="nil"/>
              <w:left w:val="nil"/>
              <w:bottom w:val="nil"/>
              <w:right w:val="nil"/>
            </w:tcBorders>
          </w:tcPr>
          <w:p w14:paraId="18D1DEEA" w14:textId="77777777" w:rsidR="008F6AC1" w:rsidRPr="00483F7D" w:rsidRDefault="008F6AC1" w:rsidP="005563C1">
            <w:pPr>
              <w:spacing w:before="60" w:after="60"/>
              <w:ind w:right="-29"/>
              <w:jc w:val="center"/>
              <w:rPr>
                <w:noProof/>
                <w:sz w:val="18"/>
              </w:rPr>
            </w:pPr>
          </w:p>
        </w:tc>
        <w:tc>
          <w:tcPr>
            <w:tcW w:w="993" w:type="dxa"/>
            <w:tcBorders>
              <w:top w:val="nil"/>
              <w:left w:val="nil"/>
              <w:bottom w:val="nil"/>
              <w:right w:val="nil"/>
            </w:tcBorders>
          </w:tcPr>
          <w:p w14:paraId="46617533" w14:textId="77777777" w:rsidR="008F6AC1" w:rsidRPr="00483F7D" w:rsidRDefault="008F6AC1" w:rsidP="005563C1">
            <w:pPr>
              <w:spacing w:before="60" w:after="60"/>
              <w:ind w:right="-29"/>
              <w:jc w:val="center"/>
              <w:rPr>
                <w:noProof/>
                <w:sz w:val="18"/>
              </w:rPr>
            </w:pPr>
          </w:p>
        </w:tc>
        <w:tc>
          <w:tcPr>
            <w:tcW w:w="425" w:type="dxa"/>
            <w:tcBorders>
              <w:top w:val="nil"/>
              <w:left w:val="nil"/>
              <w:bottom w:val="nil"/>
              <w:right w:val="nil"/>
            </w:tcBorders>
          </w:tcPr>
          <w:p w14:paraId="23D9F63A" w14:textId="77777777" w:rsidR="008F6AC1" w:rsidRPr="00483F7D" w:rsidRDefault="008F6AC1" w:rsidP="005563C1">
            <w:pPr>
              <w:spacing w:before="60" w:after="60"/>
              <w:ind w:right="-29"/>
              <w:jc w:val="center"/>
              <w:rPr>
                <w:noProof/>
                <w:sz w:val="18"/>
              </w:rPr>
            </w:pPr>
          </w:p>
        </w:tc>
        <w:tc>
          <w:tcPr>
            <w:tcW w:w="1515" w:type="dxa"/>
            <w:tcBorders>
              <w:top w:val="nil"/>
              <w:left w:val="nil"/>
              <w:bottom w:val="nil"/>
              <w:right w:val="nil"/>
            </w:tcBorders>
          </w:tcPr>
          <w:p w14:paraId="7BC7DA98" w14:textId="77777777" w:rsidR="008F6AC1" w:rsidRPr="00483F7D" w:rsidRDefault="008F6AC1" w:rsidP="005563C1">
            <w:pPr>
              <w:spacing w:before="60" w:after="60"/>
              <w:ind w:right="-29"/>
              <w:jc w:val="center"/>
              <w:rPr>
                <w:noProof/>
                <w:sz w:val="18"/>
              </w:rPr>
            </w:pPr>
          </w:p>
        </w:tc>
      </w:tr>
      <w:tr w:rsidR="008F6AC1" w:rsidRPr="00483F7D" w14:paraId="6A8D9864" w14:textId="77777777" w:rsidTr="005563C1">
        <w:trPr>
          <w:trHeight w:hRule="exact" w:val="634"/>
          <w:jc w:val="center"/>
        </w:trPr>
        <w:tc>
          <w:tcPr>
            <w:tcW w:w="1423" w:type="dxa"/>
          </w:tcPr>
          <w:p w14:paraId="290C6FC6" w14:textId="77777777" w:rsidR="008F6AC1" w:rsidRPr="00483F7D" w:rsidRDefault="008F6AC1" w:rsidP="005563C1">
            <w:pPr>
              <w:ind w:right="-29"/>
              <w:jc w:val="center"/>
              <w:rPr>
                <w:noProof/>
                <w:sz w:val="18"/>
              </w:rPr>
            </w:pPr>
            <w:r w:rsidRPr="00483F7D">
              <w:rPr>
                <w:sz w:val="18"/>
              </w:rPr>
              <w:t>- Τελωνειακός κόμβος δεδομένων της ΕΕ</w:t>
            </w:r>
          </w:p>
        </w:tc>
        <w:tc>
          <w:tcPr>
            <w:tcW w:w="720" w:type="dxa"/>
          </w:tcPr>
          <w:p w14:paraId="5D28D94B" w14:textId="77777777" w:rsidR="008F6AC1" w:rsidRPr="00483F7D" w:rsidRDefault="008F6AC1" w:rsidP="005563C1">
            <w:pPr>
              <w:ind w:right="-29"/>
              <w:jc w:val="center"/>
              <w:rPr>
                <w:noProof/>
                <w:sz w:val="18"/>
              </w:rPr>
            </w:pPr>
          </w:p>
        </w:tc>
        <w:tc>
          <w:tcPr>
            <w:tcW w:w="701" w:type="dxa"/>
          </w:tcPr>
          <w:p w14:paraId="0324EE56" w14:textId="77777777" w:rsidR="008F6AC1" w:rsidRPr="00483F7D" w:rsidRDefault="008F6AC1" w:rsidP="005563C1">
            <w:pPr>
              <w:ind w:right="-29"/>
              <w:jc w:val="center"/>
              <w:rPr>
                <w:noProof/>
                <w:sz w:val="18"/>
              </w:rPr>
            </w:pPr>
          </w:p>
        </w:tc>
        <w:tc>
          <w:tcPr>
            <w:tcW w:w="504" w:type="dxa"/>
            <w:tcBorders>
              <w:right w:val="dashSmallGap" w:sz="4" w:space="0" w:color="auto"/>
            </w:tcBorders>
          </w:tcPr>
          <w:p w14:paraId="3AD815C9" w14:textId="77777777" w:rsidR="008F6AC1" w:rsidRPr="00483F7D" w:rsidRDefault="008F6AC1" w:rsidP="005563C1">
            <w:pPr>
              <w:ind w:right="-29"/>
              <w:jc w:val="center"/>
              <w:rPr>
                <w:noProof/>
                <w:sz w:val="18"/>
              </w:rPr>
            </w:pPr>
          </w:p>
        </w:tc>
        <w:tc>
          <w:tcPr>
            <w:tcW w:w="382" w:type="dxa"/>
            <w:tcBorders>
              <w:left w:val="dashSmallGap" w:sz="4" w:space="0" w:color="auto"/>
            </w:tcBorders>
          </w:tcPr>
          <w:p w14:paraId="0EC890DF" w14:textId="77777777" w:rsidR="008F6AC1" w:rsidRPr="00483F7D" w:rsidRDefault="008F6AC1" w:rsidP="005563C1">
            <w:pPr>
              <w:ind w:right="-29"/>
              <w:jc w:val="center"/>
              <w:rPr>
                <w:noProof/>
                <w:sz w:val="18"/>
              </w:rPr>
            </w:pPr>
          </w:p>
        </w:tc>
        <w:tc>
          <w:tcPr>
            <w:tcW w:w="283" w:type="dxa"/>
            <w:tcBorders>
              <w:right w:val="dashSmallGap" w:sz="4" w:space="0" w:color="auto"/>
            </w:tcBorders>
          </w:tcPr>
          <w:p w14:paraId="3F6A851E" w14:textId="77777777" w:rsidR="008F6AC1" w:rsidRPr="00483F7D" w:rsidRDefault="008F6AC1" w:rsidP="005563C1">
            <w:pPr>
              <w:ind w:right="-29"/>
              <w:jc w:val="center"/>
              <w:rPr>
                <w:noProof/>
                <w:sz w:val="18"/>
              </w:rPr>
            </w:pPr>
          </w:p>
        </w:tc>
        <w:tc>
          <w:tcPr>
            <w:tcW w:w="425" w:type="dxa"/>
            <w:tcBorders>
              <w:left w:val="dashSmallGap" w:sz="4" w:space="0" w:color="auto"/>
            </w:tcBorders>
          </w:tcPr>
          <w:p w14:paraId="74819C06" w14:textId="77777777" w:rsidR="008F6AC1" w:rsidRPr="00483F7D" w:rsidRDefault="008F6AC1" w:rsidP="005563C1">
            <w:pPr>
              <w:ind w:right="-29"/>
              <w:jc w:val="center"/>
              <w:rPr>
                <w:noProof/>
                <w:sz w:val="18"/>
              </w:rPr>
            </w:pPr>
          </w:p>
        </w:tc>
        <w:tc>
          <w:tcPr>
            <w:tcW w:w="426" w:type="dxa"/>
            <w:tcBorders>
              <w:right w:val="dashSmallGap" w:sz="4" w:space="0" w:color="auto"/>
            </w:tcBorders>
          </w:tcPr>
          <w:p w14:paraId="2B4B8100" w14:textId="77777777" w:rsidR="008F6AC1" w:rsidRPr="00483F7D" w:rsidRDefault="008F6AC1" w:rsidP="005563C1">
            <w:pPr>
              <w:ind w:right="-29"/>
              <w:jc w:val="center"/>
              <w:rPr>
                <w:noProof/>
                <w:sz w:val="18"/>
              </w:rPr>
            </w:pPr>
          </w:p>
        </w:tc>
        <w:tc>
          <w:tcPr>
            <w:tcW w:w="425" w:type="dxa"/>
            <w:tcBorders>
              <w:left w:val="dashSmallGap" w:sz="4" w:space="0" w:color="auto"/>
            </w:tcBorders>
          </w:tcPr>
          <w:p w14:paraId="0AA0A95B" w14:textId="77777777" w:rsidR="008F6AC1" w:rsidRPr="00483F7D" w:rsidRDefault="008F6AC1" w:rsidP="005563C1">
            <w:pPr>
              <w:ind w:right="-29"/>
              <w:jc w:val="center"/>
              <w:rPr>
                <w:noProof/>
                <w:sz w:val="18"/>
              </w:rPr>
            </w:pPr>
          </w:p>
        </w:tc>
        <w:tc>
          <w:tcPr>
            <w:tcW w:w="567" w:type="dxa"/>
            <w:tcBorders>
              <w:right w:val="dashSmallGap" w:sz="4" w:space="0" w:color="auto"/>
            </w:tcBorders>
          </w:tcPr>
          <w:p w14:paraId="508DBF0E" w14:textId="77777777" w:rsidR="008F6AC1" w:rsidRPr="00483F7D" w:rsidRDefault="008F6AC1" w:rsidP="005563C1">
            <w:pPr>
              <w:ind w:right="-29"/>
              <w:jc w:val="center"/>
              <w:rPr>
                <w:noProof/>
                <w:sz w:val="18"/>
              </w:rPr>
            </w:pPr>
          </w:p>
        </w:tc>
        <w:tc>
          <w:tcPr>
            <w:tcW w:w="1276" w:type="dxa"/>
            <w:tcBorders>
              <w:left w:val="dashSmallGap" w:sz="4" w:space="0" w:color="auto"/>
            </w:tcBorders>
          </w:tcPr>
          <w:p w14:paraId="68E7625C" w14:textId="77777777" w:rsidR="008F6AC1" w:rsidRPr="00483F7D" w:rsidRDefault="008F6AC1" w:rsidP="005563C1">
            <w:pPr>
              <w:ind w:right="-29"/>
              <w:jc w:val="center"/>
              <w:rPr>
                <w:noProof/>
                <w:sz w:val="18"/>
              </w:rPr>
            </w:pPr>
          </w:p>
        </w:tc>
        <w:tc>
          <w:tcPr>
            <w:tcW w:w="425" w:type="dxa"/>
            <w:tcBorders>
              <w:right w:val="dashSmallGap" w:sz="4" w:space="0" w:color="auto"/>
            </w:tcBorders>
          </w:tcPr>
          <w:p w14:paraId="0FB5614E" w14:textId="77777777" w:rsidR="008F6AC1" w:rsidRPr="00483F7D" w:rsidRDefault="008F6AC1" w:rsidP="005563C1">
            <w:pPr>
              <w:ind w:right="-29"/>
              <w:jc w:val="center"/>
              <w:rPr>
                <w:noProof/>
                <w:sz w:val="18"/>
              </w:rPr>
            </w:pPr>
          </w:p>
        </w:tc>
        <w:tc>
          <w:tcPr>
            <w:tcW w:w="1134" w:type="dxa"/>
            <w:tcBorders>
              <w:left w:val="dashSmallGap" w:sz="4" w:space="0" w:color="auto"/>
            </w:tcBorders>
          </w:tcPr>
          <w:p w14:paraId="3C62A6CE" w14:textId="77777777" w:rsidR="008F6AC1" w:rsidRPr="00483F7D" w:rsidRDefault="008F6AC1" w:rsidP="005563C1">
            <w:pPr>
              <w:ind w:right="-29"/>
              <w:jc w:val="center"/>
              <w:rPr>
                <w:noProof/>
                <w:sz w:val="18"/>
              </w:rPr>
            </w:pPr>
          </w:p>
        </w:tc>
        <w:tc>
          <w:tcPr>
            <w:tcW w:w="425" w:type="dxa"/>
            <w:tcBorders>
              <w:right w:val="dashSmallGap" w:sz="4" w:space="0" w:color="auto"/>
            </w:tcBorders>
          </w:tcPr>
          <w:p w14:paraId="2FA612E4" w14:textId="77777777" w:rsidR="008F6AC1" w:rsidRPr="00483F7D" w:rsidRDefault="008F6AC1" w:rsidP="005563C1">
            <w:pPr>
              <w:ind w:right="-29"/>
              <w:jc w:val="center"/>
              <w:rPr>
                <w:noProof/>
                <w:sz w:val="18"/>
              </w:rPr>
            </w:pPr>
          </w:p>
        </w:tc>
        <w:tc>
          <w:tcPr>
            <w:tcW w:w="1134" w:type="dxa"/>
            <w:tcBorders>
              <w:left w:val="dashSmallGap" w:sz="4" w:space="0" w:color="auto"/>
            </w:tcBorders>
          </w:tcPr>
          <w:p w14:paraId="112F7771" w14:textId="77777777" w:rsidR="008F6AC1" w:rsidRPr="00483F7D" w:rsidRDefault="008F6AC1" w:rsidP="005563C1">
            <w:pPr>
              <w:ind w:right="-29"/>
              <w:jc w:val="center"/>
              <w:rPr>
                <w:noProof/>
                <w:sz w:val="18"/>
              </w:rPr>
            </w:pPr>
            <w:r w:rsidRPr="00483F7D">
              <w:rPr>
                <w:sz w:val="18"/>
              </w:rPr>
              <w:t>23,072</w:t>
            </w:r>
          </w:p>
        </w:tc>
        <w:tc>
          <w:tcPr>
            <w:tcW w:w="425" w:type="dxa"/>
            <w:tcBorders>
              <w:right w:val="dashSmallGap" w:sz="4" w:space="0" w:color="auto"/>
            </w:tcBorders>
          </w:tcPr>
          <w:p w14:paraId="6505EFE2" w14:textId="77777777" w:rsidR="008F6AC1" w:rsidRPr="00483F7D" w:rsidRDefault="008F6AC1" w:rsidP="005563C1">
            <w:pPr>
              <w:ind w:right="-29"/>
              <w:jc w:val="center"/>
              <w:rPr>
                <w:noProof/>
                <w:sz w:val="18"/>
              </w:rPr>
            </w:pPr>
          </w:p>
        </w:tc>
        <w:tc>
          <w:tcPr>
            <w:tcW w:w="993" w:type="dxa"/>
            <w:tcBorders>
              <w:left w:val="dashSmallGap" w:sz="4" w:space="0" w:color="auto"/>
            </w:tcBorders>
          </w:tcPr>
          <w:p w14:paraId="2FD09608" w14:textId="77777777" w:rsidR="008F6AC1" w:rsidRPr="00483F7D" w:rsidRDefault="008F6AC1" w:rsidP="005563C1">
            <w:pPr>
              <w:ind w:right="-29"/>
              <w:jc w:val="center"/>
              <w:rPr>
                <w:noProof/>
                <w:sz w:val="18"/>
              </w:rPr>
            </w:pPr>
            <w:r w:rsidRPr="00483F7D">
              <w:rPr>
                <w:sz w:val="18"/>
              </w:rPr>
              <w:t>31,496</w:t>
            </w:r>
          </w:p>
        </w:tc>
        <w:tc>
          <w:tcPr>
            <w:tcW w:w="425" w:type="dxa"/>
          </w:tcPr>
          <w:p w14:paraId="70187E14" w14:textId="77777777" w:rsidR="008F6AC1" w:rsidRPr="00483F7D" w:rsidRDefault="008F6AC1" w:rsidP="005563C1">
            <w:pPr>
              <w:ind w:right="-29"/>
              <w:jc w:val="center"/>
              <w:rPr>
                <w:noProof/>
                <w:sz w:val="18"/>
              </w:rPr>
            </w:pPr>
          </w:p>
        </w:tc>
        <w:tc>
          <w:tcPr>
            <w:tcW w:w="1515" w:type="dxa"/>
          </w:tcPr>
          <w:p w14:paraId="76A9C8E9" w14:textId="77777777" w:rsidR="008F6AC1" w:rsidRPr="00483F7D" w:rsidRDefault="008F6AC1" w:rsidP="005563C1">
            <w:pPr>
              <w:ind w:right="-29"/>
              <w:jc w:val="center"/>
              <w:rPr>
                <w:noProof/>
                <w:sz w:val="18"/>
              </w:rPr>
            </w:pPr>
            <w:r w:rsidRPr="00483F7D">
              <w:rPr>
                <w:sz w:val="18"/>
              </w:rPr>
              <w:t>55,018</w:t>
            </w:r>
          </w:p>
        </w:tc>
      </w:tr>
      <w:tr w:rsidR="008F6AC1" w:rsidRPr="00483F7D" w14:paraId="5949BFF0" w14:textId="77777777" w:rsidTr="005563C1">
        <w:trPr>
          <w:jc w:val="center"/>
        </w:trPr>
        <w:tc>
          <w:tcPr>
            <w:tcW w:w="2844" w:type="dxa"/>
            <w:gridSpan w:val="3"/>
            <w:tcBorders>
              <w:bottom w:val="single" w:sz="12" w:space="0" w:color="auto"/>
            </w:tcBorders>
            <w:vAlign w:val="center"/>
          </w:tcPr>
          <w:p w14:paraId="551C1702" w14:textId="77777777" w:rsidR="008F6AC1" w:rsidRPr="00483F7D" w:rsidRDefault="008F6AC1" w:rsidP="005563C1">
            <w:pPr>
              <w:ind w:right="-29"/>
              <w:jc w:val="center"/>
              <w:rPr>
                <w:noProof/>
                <w:sz w:val="18"/>
              </w:rPr>
            </w:pPr>
            <w:r w:rsidRPr="00483F7D">
              <w:rPr>
                <w:sz w:val="18"/>
              </w:rPr>
              <w:t xml:space="preserve">Μερικό σύνολο </w:t>
            </w:r>
          </w:p>
        </w:tc>
        <w:tc>
          <w:tcPr>
            <w:tcW w:w="504" w:type="dxa"/>
            <w:tcBorders>
              <w:bottom w:val="single" w:sz="12" w:space="0" w:color="auto"/>
            </w:tcBorders>
          </w:tcPr>
          <w:p w14:paraId="31AB8A09" w14:textId="77777777" w:rsidR="008F6AC1" w:rsidRPr="00483F7D" w:rsidRDefault="008F6AC1" w:rsidP="005563C1">
            <w:pPr>
              <w:ind w:right="-29"/>
              <w:jc w:val="center"/>
              <w:rPr>
                <w:noProof/>
                <w:sz w:val="18"/>
              </w:rPr>
            </w:pPr>
          </w:p>
        </w:tc>
        <w:tc>
          <w:tcPr>
            <w:tcW w:w="382" w:type="dxa"/>
            <w:tcBorders>
              <w:bottom w:val="single" w:sz="12" w:space="0" w:color="auto"/>
            </w:tcBorders>
          </w:tcPr>
          <w:p w14:paraId="1CDB3ABC" w14:textId="77777777" w:rsidR="008F6AC1" w:rsidRPr="00483F7D" w:rsidRDefault="008F6AC1" w:rsidP="005563C1">
            <w:pPr>
              <w:ind w:right="-29"/>
              <w:jc w:val="center"/>
              <w:rPr>
                <w:noProof/>
                <w:sz w:val="18"/>
              </w:rPr>
            </w:pPr>
          </w:p>
        </w:tc>
        <w:tc>
          <w:tcPr>
            <w:tcW w:w="283" w:type="dxa"/>
            <w:tcBorders>
              <w:bottom w:val="single" w:sz="12" w:space="0" w:color="auto"/>
            </w:tcBorders>
          </w:tcPr>
          <w:p w14:paraId="2169125E" w14:textId="77777777" w:rsidR="008F6AC1" w:rsidRPr="00483F7D" w:rsidRDefault="008F6AC1" w:rsidP="005563C1">
            <w:pPr>
              <w:ind w:right="-29"/>
              <w:jc w:val="center"/>
              <w:rPr>
                <w:noProof/>
                <w:sz w:val="18"/>
              </w:rPr>
            </w:pPr>
          </w:p>
        </w:tc>
        <w:tc>
          <w:tcPr>
            <w:tcW w:w="425" w:type="dxa"/>
            <w:tcBorders>
              <w:bottom w:val="single" w:sz="12" w:space="0" w:color="auto"/>
            </w:tcBorders>
          </w:tcPr>
          <w:p w14:paraId="56F27258" w14:textId="77777777" w:rsidR="008F6AC1" w:rsidRPr="00483F7D" w:rsidRDefault="008F6AC1" w:rsidP="005563C1">
            <w:pPr>
              <w:ind w:right="-29"/>
              <w:jc w:val="center"/>
              <w:rPr>
                <w:noProof/>
                <w:sz w:val="18"/>
              </w:rPr>
            </w:pPr>
          </w:p>
        </w:tc>
        <w:tc>
          <w:tcPr>
            <w:tcW w:w="426" w:type="dxa"/>
            <w:tcBorders>
              <w:bottom w:val="single" w:sz="12" w:space="0" w:color="auto"/>
            </w:tcBorders>
          </w:tcPr>
          <w:p w14:paraId="2E197DC6" w14:textId="77777777" w:rsidR="008F6AC1" w:rsidRPr="00483F7D" w:rsidRDefault="008F6AC1" w:rsidP="005563C1">
            <w:pPr>
              <w:ind w:right="-29"/>
              <w:jc w:val="center"/>
              <w:rPr>
                <w:noProof/>
                <w:sz w:val="18"/>
              </w:rPr>
            </w:pPr>
          </w:p>
        </w:tc>
        <w:tc>
          <w:tcPr>
            <w:tcW w:w="425" w:type="dxa"/>
            <w:tcBorders>
              <w:bottom w:val="single" w:sz="12" w:space="0" w:color="auto"/>
            </w:tcBorders>
          </w:tcPr>
          <w:p w14:paraId="22FAECAC" w14:textId="77777777" w:rsidR="008F6AC1" w:rsidRPr="00483F7D" w:rsidRDefault="008F6AC1" w:rsidP="005563C1">
            <w:pPr>
              <w:ind w:right="-29"/>
              <w:jc w:val="center"/>
              <w:rPr>
                <w:noProof/>
                <w:sz w:val="18"/>
              </w:rPr>
            </w:pPr>
          </w:p>
        </w:tc>
        <w:tc>
          <w:tcPr>
            <w:tcW w:w="567" w:type="dxa"/>
            <w:tcBorders>
              <w:bottom w:val="single" w:sz="12" w:space="0" w:color="auto"/>
            </w:tcBorders>
          </w:tcPr>
          <w:p w14:paraId="0F5650DD" w14:textId="77777777" w:rsidR="008F6AC1" w:rsidRPr="00483F7D" w:rsidRDefault="008F6AC1" w:rsidP="005563C1">
            <w:pPr>
              <w:ind w:right="-29"/>
              <w:jc w:val="center"/>
              <w:rPr>
                <w:noProof/>
                <w:sz w:val="18"/>
              </w:rPr>
            </w:pPr>
          </w:p>
        </w:tc>
        <w:tc>
          <w:tcPr>
            <w:tcW w:w="1276" w:type="dxa"/>
            <w:tcBorders>
              <w:bottom w:val="single" w:sz="12" w:space="0" w:color="auto"/>
            </w:tcBorders>
          </w:tcPr>
          <w:p w14:paraId="7D68E19C" w14:textId="77777777" w:rsidR="008F6AC1" w:rsidRPr="00483F7D" w:rsidRDefault="008F6AC1" w:rsidP="005563C1">
            <w:pPr>
              <w:ind w:right="-29"/>
              <w:jc w:val="center"/>
              <w:rPr>
                <w:noProof/>
                <w:sz w:val="18"/>
              </w:rPr>
            </w:pPr>
          </w:p>
        </w:tc>
        <w:tc>
          <w:tcPr>
            <w:tcW w:w="425" w:type="dxa"/>
            <w:tcBorders>
              <w:bottom w:val="single" w:sz="12" w:space="0" w:color="auto"/>
            </w:tcBorders>
          </w:tcPr>
          <w:p w14:paraId="3BA407C5" w14:textId="77777777" w:rsidR="008F6AC1" w:rsidRPr="00483F7D" w:rsidRDefault="008F6AC1" w:rsidP="005563C1">
            <w:pPr>
              <w:ind w:right="-29"/>
              <w:jc w:val="center"/>
              <w:rPr>
                <w:noProof/>
                <w:sz w:val="18"/>
              </w:rPr>
            </w:pPr>
          </w:p>
        </w:tc>
        <w:tc>
          <w:tcPr>
            <w:tcW w:w="1134" w:type="dxa"/>
            <w:tcBorders>
              <w:bottom w:val="single" w:sz="12" w:space="0" w:color="auto"/>
            </w:tcBorders>
          </w:tcPr>
          <w:p w14:paraId="1ECAF233" w14:textId="77777777" w:rsidR="008F6AC1" w:rsidRPr="00483F7D" w:rsidRDefault="008F6AC1" w:rsidP="005563C1">
            <w:pPr>
              <w:ind w:right="-29"/>
              <w:jc w:val="center"/>
              <w:rPr>
                <w:noProof/>
                <w:sz w:val="18"/>
              </w:rPr>
            </w:pPr>
          </w:p>
        </w:tc>
        <w:tc>
          <w:tcPr>
            <w:tcW w:w="425" w:type="dxa"/>
            <w:tcBorders>
              <w:bottom w:val="single" w:sz="12" w:space="0" w:color="auto"/>
            </w:tcBorders>
          </w:tcPr>
          <w:p w14:paraId="6ABA5C00" w14:textId="77777777" w:rsidR="008F6AC1" w:rsidRPr="00483F7D" w:rsidRDefault="008F6AC1" w:rsidP="005563C1">
            <w:pPr>
              <w:ind w:right="-29"/>
              <w:jc w:val="center"/>
              <w:rPr>
                <w:noProof/>
                <w:sz w:val="18"/>
              </w:rPr>
            </w:pPr>
          </w:p>
        </w:tc>
        <w:tc>
          <w:tcPr>
            <w:tcW w:w="1134" w:type="dxa"/>
            <w:tcBorders>
              <w:bottom w:val="single" w:sz="12" w:space="0" w:color="auto"/>
            </w:tcBorders>
          </w:tcPr>
          <w:p w14:paraId="0A68652A" w14:textId="77777777" w:rsidR="008F6AC1" w:rsidRPr="00483F7D" w:rsidRDefault="008F6AC1" w:rsidP="005563C1">
            <w:pPr>
              <w:ind w:right="-29"/>
              <w:jc w:val="center"/>
              <w:rPr>
                <w:noProof/>
                <w:sz w:val="18"/>
              </w:rPr>
            </w:pPr>
            <w:r w:rsidRPr="00483F7D">
              <w:rPr>
                <w:sz w:val="18"/>
              </w:rPr>
              <w:t>23,072</w:t>
            </w:r>
          </w:p>
        </w:tc>
        <w:tc>
          <w:tcPr>
            <w:tcW w:w="425" w:type="dxa"/>
            <w:tcBorders>
              <w:bottom w:val="single" w:sz="12" w:space="0" w:color="auto"/>
            </w:tcBorders>
          </w:tcPr>
          <w:p w14:paraId="61FDA4B8" w14:textId="77777777" w:rsidR="008F6AC1" w:rsidRPr="00483F7D" w:rsidRDefault="008F6AC1" w:rsidP="005563C1">
            <w:pPr>
              <w:ind w:right="-29"/>
              <w:jc w:val="center"/>
              <w:rPr>
                <w:noProof/>
                <w:sz w:val="18"/>
              </w:rPr>
            </w:pPr>
          </w:p>
        </w:tc>
        <w:tc>
          <w:tcPr>
            <w:tcW w:w="993" w:type="dxa"/>
            <w:tcBorders>
              <w:bottom w:val="single" w:sz="12" w:space="0" w:color="auto"/>
            </w:tcBorders>
          </w:tcPr>
          <w:p w14:paraId="5AA503FA" w14:textId="77777777" w:rsidR="008F6AC1" w:rsidRPr="00483F7D" w:rsidRDefault="008F6AC1" w:rsidP="005563C1">
            <w:pPr>
              <w:ind w:right="-29"/>
              <w:jc w:val="center"/>
              <w:rPr>
                <w:noProof/>
                <w:sz w:val="18"/>
              </w:rPr>
            </w:pPr>
            <w:r w:rsidRPr="00483F7D">
              <w:rPr>
                <w:sz w:val="18"/>
              </w:rPr>
              <w:t>31,496</w:t>
            </w:r>
          </w:p>
        </w:tc>
        <w:tc>
          <w:tcPr>
            <w:tcW w:w="425" w:type="dxa"/>
            <w:tcBorders>
              <w:bottom w:val="single" w:sz="12" w:space="0" w:color="auto"/>
            </w:tcBorders>
          </w:tcPr>
          <w:p w14:paraId="0796858F" w14:textId="77777777" w:rsidR="008F6AC1" w:rsidRPr="00483F7D" w:rsidRDefault="008F6AC1" w:rsidP="005563C1">
            <w:pPr>
              <w:ind w:right="-29"/>
              <w:jc w:val="center"/>
              <w:rPr>
                <w:noProof/>
                <w:sz w:val="18"/>
              </w:rPr>
            </w:pPr>
          </w:p>
        </w:tc>
        <w:tc>
          <w:tcPr>
            <w:tcW w:w="1515" w:type="dxa"/>
            <w:tcBorders>
              <w:bottom w:val="single" w:sz="12" w:space="0" w:color="auto"/>
            </w:tcBorders>
          </w:tcPr>
          <w:p w14:paraId="348E7C77" w14:textId="77777777" w:rsidR="008F6AC1" w:rsidRPr="00483F7D" w:rsidRDefault="008F6AC1" w:rsidP="005563C1">
            <w:pPr>
              <w:ind w:right="-29"/>
              <w:jc w:val="center"/>
              <w:rPr>
                <w:noProof/>
                <w:sz w:val="18"/>
              </w:rPr>
            </w:pPr>
            <w:r w:rsidRPr="00483F7D">
              <w:rPr>
                <w:sz w:val="18"/>
              </w:rPr>
              <w:t>55,018</w:t>
            </w:r>
          </w:p>
        </w:tc>
      </w:tr>
      <w:tr w:rsidR="008F6AC1" w:rsidRPr="00483F7D" w14:paraId="22826D7D" w14:textId="77777777" w:rsidTr="005563C1">
        <w:trPr>
          <w:jc w:val="center"/>
        </w:trPr>
        <w:tc>
          <w:tcPr>
            <w:tcW w:w="2844" w:type="dxa"/>
            <w:gridSpan w:val="3"/>
            <w:tcBorders>
              <w:top w:val="single" w:sz="12" w:space="0" w:color="auto"/>
              <w:left w:val="single" w:sz="12" w:space="0" w:color="auto"/>
              <w:bottom w:val="single" w:sz="12" w:space="0" w:color="auto"/>
            </w:tcBorders>
            <w:vAlign w:val="center"/>
          </w:tcPr>
          <w:p w14:paraId="7D554ACD" w14:textId="77777777" w:rsidR="008F6AC1" w:rsidRPr="00483F7D" w:rsidRDefault="008F6AC1" w:rsidP="005563C1">
            <w:pPr>
              <w:ind w:right="-29"/>
              <w:jc w:val="center"/>
              <w:rPr>
                <w:noProof/>
                <w:sz w:val="18"/>
              </w:rPr>
            </w:pPr>
            <w:r w:rsidRPr="00483F7D">
              <w:rPr>
                <w:b/>
                <w:sz w:val="18"/>
              </w:rPr>
              <w:t>ΣΥΝΟΛΙΚΟ ΚΟΣΤΟΣ</w:t>
            </w:r>
          </w:p>
        </w:tc>
        <w:tc>
          <w:tcPr>
            <w:tcW w:w="504" w:type="dxa"/>
            <w:tcBorders>
              <w:top w:val="single" w:sz="12" w:space="0" w:color="auto"/>
              <w:bottom w:val="single" w:sz="12" w:space="0" w:color="auto"/>
            </w:tcBorders>
          </w:tcPr>
          <w:p w14:paraId="4C239AE6" w14:textId="77777777" w:rsidR="008F6AC1" w:rsidRPr="00483F7D" w:rsidRDefault="008F6AC1" w:rsidP="005563C1">
            <w:pPr>
              <w:spacing w:before="180" w:after="180"/>
              <w:ind w:right="-29"/>
              <w:jc w:val="center"/>
              <w:rPr>
                <w:noProof/>
                <w:sz w:val="18"/>
              </w:rPr>
            </w:pPr>
          </w:p>
        </w:tc>
        <w:tc>
          <w:tcPr>
            <w:tcW w:w="382" w:type="dxa"/>
            <w:tcBorders>
              <w:top w:val="single" w:sz="12" w:space="0" w:color="auto"/>
              <w:bottom w:val="single" w:sz="12" w:space="0" w:color="auto"/>
            </w:tcBorders>
          </w:tcPr>
          <w:p w14:paraId="0CFA5049" w14:textId="77777777" w:rsidR="008F6AC1" w:rsidRPr="00483F7D" w:rsidRDefault="008F6AC1" w:rsidP="005563C1">
            <w:pPr>
              <w:spacing w:before="180" w:after="180"/>
              <w:ind w:right="-29"/>
              <w:jc w:val="center"/>
              <w:rPr>
                <w:noProof/>
                <w:sz w:val="18"/>
              </w:rPr>
            </w:pPr>
          </w:p>
        </w:tc>
        <w:tc>
          <w:tcPr>
            <w:tcW w:w="283" w:type="dxa"/>
            <w:tcBorders>
              <w:top w:val="single" w:sz="12" w:space="0" w:color="auto"/>
              <w:bottom w:val="single" w:sz="12" w:space="0" w:color="auto"/>
            </w:tcBorders>
          </w:tcPr>
          <w:p w14:paraId="79E6B51E" w14:textId="77777777" w:rsidR="008F6AC1" w:rsidRPr="00483F7D"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22BF2D5F" w14:textId="77777777" w:rsidR="008F6AC1" w:rsidRPr="00483F7D" w:rsidRDefault="008F6AC1" w:rsidP="005563C1">
            <w:pPr>
              <w:spacing w:before="180" w:after="180"/>
              <w:ind w:right="-29"/>
              <w:jc w:val="center"/>
              <w:rPr>
                <w:noProof/>
                <w:sz w:val="18"/>
              </w:rPr>
            </w:pPr>
          </w:p>
        </w:tc>
        <w:tc>
          <w:tcPr>
            <w:tcW w:w="426" w:type="dxa"/>
            <w:tcBorders>
              <w:top w:val="single" w:sz="12" w:space="0" w:color="auto"/>
              <w:bottom w:val="single" w:sz="12" w:space="0" w:color="auto"/>
            </w:tcBorders>
          </w:tcPr>
          <w:p w14:paraId="1B3C5787" w14:textId="77777777" w:rsidR="008F6AC1" w:rsidRPr="00483F7D"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74F68A7D" w14:textId="77777777" w:rsidR="008F6AC1" w:rsidRPr="00483F7D" w:rsidRDefault="008F6AC1" w:rsidP="005563C1">
            <w:pPr>
              <w:spacing w:before="180" w:after="180"/>
              <w:ind w:right="-29"/>
              <w:jc w:val="center"/>
              <w:rPr>
                <w:noProof/>
                <w:sz w:val="18"/>
              </w:rPr>
            </w:pPr>
          </w:p>
        </w:tc>
        <w:tc>
          <w:tcPr>
            <w:tcW w:w="567" w:type="dxa"/>
            <w:tcBorders>
              <w:top w:val="single" w:sz="12" w:space="0" w:color="auto"/>
              <w:bottom w:val="single" w:sz="12" w:space="0" w:color="auto"/>
            </w:tcBorders>
          </w:tcPr>
          <w:p w14:paraId="312BE34F" w14:textId="77777777" w:rsidR="008F6AC1" w:rsidRPr="00483F7D" w:rsidRDefault="008F6AC1" w:rsidP="005563C1">
            <w:pPr>
              <w:spacing w:before="180" w:after="180"/>
              <w:ind w:right="-29"/>
              <w:jc w:val="center"/>
              <w:rPr>
                <w:noProof/>
                <w:sz w:val="18"/>
              </w:rPr>
            </w:pPr>
          </w:p>
        </w:tc>
        <w:tc>
          <w:tcPr>
            <w:tcW w:w="1276" w:type="dxa"/>
            <w:tcBorders>
              <w:top w:val="single" w:sz="12" w:space="0" w:color="auto"/>
              <w:bottom w:val="single" w:sz="12" w:space="0" w:color="auto"/>
            </w:tcBorders>
          </w:tcPr>
          <w:p w14:paraId="7BBC17F3" w14:textId="77777777" w:rsidR="008F6AC1" w:rsidRPr="00483F7D"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79EFC5B4" w14:textId="77777777" w:rsidR="008F6AC1" w:rsidRPr="00483F7D" w:rsidRDefault="008F6AC1" w:rsidP="005563C1">
            <w:pPr>
              <w:spacing w:before="180" w:after="180"/>
              <w:ind w:right="-29"/>
              <w:jc w:val="center"/>
              <w:rPr>
                <w:noProof/>
                <w:sz w:val="18"/>
              </w:rPr>
            </w:pPr>
          </w:p>
        </w:tc>
        <w:tc>
          <w:tcPr>
            <w:tcW w:w="1134" w:type="dxa"/>
            <w:tcBorders>
              <w:top w:val="single" w:sz="12" w:space="0" w:color="auto"/>
              <w:bottom w:val="single" w:sz="12" w:space="0" w:color="auto"/>
            </w:tcBorders>
          </w:tcPr>
          <w:p w14:paraId="7E80711D" w14:textId="77777777" w:rsidR="008F6AC1" w:rsidRPr="00483F7D"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208066F0" w14:textId="77777777" w:rsidR="008F6AC1" w:rsidRPr="00483F7D" w:rsidRDefault="008F6AC1" w:rsidP="005563C1">
            <w:pPr>
              <w:spacing w:before="180" w:after="180"/>
              <w:ind w:right="-29"/>
              <w:jc w:val="center"/>
              <w:rPr>
                <w:noProof/>
                <w:sz w:val="18"/>
              </w:rPr>
            </w:pPr>
          </w:p>
        </w:tc>
        <w:tc>
          <w:tcPr>
            <w:tcW w:w="1134" w:type="dxa"/>
            <w:tcBorders>
              <w:top w:val="single" w:sz="12" w:space="0" w:color="auto"/>
              <w:bottom w:val="single" w:sz="12" w:space="0" w:color="auto"/>
            </w:tcBorders>
          </w:tcPr>
          <w:p w14:paraId="78F9D356" w14:textId="77777777" w:rsidR="008F6AC1" w:rsidRPr="00483F7D" w:rsidRDefault="008F6AC1" w:rsidP="005563C1">
            <w:pPr>
              <w:spacing w:before="180" w:after="180"/>
              <w:ind w:right="-29"/>
              <w:jc w:val="center"/>
              <w:rPr>
                <w:noProof/>
                <w:sz w:val="18"/>
              </w:rPr>
            </w:pPr>
            <w:r w:rsidRPr="00483F7D">
              <w:rPr>
                <w:sz w:val="18"/>
              </w:rPr>
              <w:t>23,072</w:t>
            </w:r>
          </w:p>
        </w:tc>
        <w:tc>
          <w:tcPr>
            <w:tcW w:w="425" w:type="dxa"/>
            <w:tcBorders>
              <w:top w:val="single" w:sz="12" w:space="0" w:color="auto"/>
              <w:bottom w:val="single" w:sz="12" w:space="0" w:color="auto"/>
            </w:tcBorders>
          </w:tcPr>
          <w:p w14:paraId="232D7564" w14:textId="77777777" w:rsidR="008F6AC1" w:rsidRPr="00483F7D" w:rsidRDefault="008F6AC1" w:rsidP="005563C1">
            <w:pPr>
              <w:spacing w:before="180" w:after="180"/>
              <w:ind w:right="-29"/>
              <w:jc w:val="center"/>
              <w:rPr>
                <w:noProof/>
                <w:sz w:val="18"/>
              </w:rPr>
            </w:pPr>
          </w:p>
        </w:tc>
        <w:tc>
          <w:tcPr>
            <w:tcW w:w="993" w:type="dxa"/>
            <w:tcBorders>
              <w:top w:val="single" w:sz="12" w:space="0" w:color="auto"/>
              <w:bottom w:val="single" w:sz="12" w:space="0" w:color="auto"/>
            </w:tcBorders>
          </w:tcPr>
          <w:p w14:paraId="21FD4D94" w14:textId="77777777" w:rsidR="008F6AC1" w:rsidRPr="00483F7D" w:rsidRDefault="008F6AC1" w:rsidP="005563C1">
            <w:pPr>
              <w:spacing w:before="180" w:after="180"/>
              <w:ind w:right="-29"/>
              <w:jc w:val="center"/>
              <w:rPr>
                <w:noProof/>
                <w:sz w:val="18"/>
              </w:rPr>
            </w:pPr>
            <w:r w:rsidRPr="00483F7D">
              <w:rPr>
                <w:sz w:val="18"/>
              </w:rPr>
              <w:t>31,496</w:t>
            </w:r>
          </w:p>
        </w:tc>
        <w:tc>
          <w:tcPr>
            <w:tcW w:w="425" w:type="dxa"/>
            <w:tcBorders>
              <w:top w:val="single" w:sz="12" w:space="0" w:color="auto"/>
              <w:bottom w:val="single" w:sz="12" w:space="0" w:color="auto"/>
            </w:tcBorders>
          </w:tcPr>
          <w:p w14:paraId="0D95EEDA" w14:textId="77777777" w:rsidR="008F6AC1" w:rsidRPr="00483F7D" w:rsidRDefault="008F6AC1" w:rsidP="005563C1">
            <w:pPr>
              <w:spacing w:before="180" w:after="180"/>
              <w:ind w:right="-29"/>
              <w:jc w:val="center"/>
              <w:rPr>
                <w:noProof/>
                <w:sz w:val="18"/>
              </w:rPr>
            </w:pPr>
          </w:p>
        </w:tc>
        <w:tc>
          <w:tcPr>
            <w:tcW w:w="1515" w:type="dxa"/>
            <w:tcBorders>
              <w:top w:val="single" w:sz="12" w:space="0" w:color="auto"/>
              <w:bottom w:val="single" w:sz="12" w:space="0" w:color="auto"/>
              <w:right w:val="single" w:sz="12" w:space="0" w:color="auto"/>
            </w:tcBorders>
          </w:tcPr>
          <w:p w14:paraId="4BF8CAA1" w14:textId="77777777" w:rsidR="008F6AC1" w:rsidRPr="00483F7D" w:rsidRDefault="008F6AC1" w:rsidP="005563C1">
            <w:pPr>
              <w:spacing w:before="180" w:after="180"/>
              <w:ind w:right="-29"/>
              <w:jc w:val="center"/>
              <w:rPr>
                <w:noProof/>
                <w:sz w:val="18"/>
              </w:rPr>
            </w:pPr>
            <w:r w:rsidRPr="00483F7D">
              <w:rPr>
                <w:sz w:val="18"/>
              </w:rPr>
              <w:t>55,018</w:t>
            </w:r>
          </w:p>
        </w:tc>
      </w:tr>
    </w:tbl>
    <w:p w14:paraId="00AF1693" w14:textId="77777777" w:rsidR="008F6AC1" w:rsidRPr="00483F7D" w:rsidRDefault="008F6AC1" w:rsidP="008F6AC1">
      <w:pPr>
        <w:pStyle w:val="Text1"/>
        <w:rPr>
          <w:noProof/>
        </w:rPr>
      </w:pPr>
      <w:r w:rsidRPr="00483F7D">
        <w:t>Τα αριθμητικά στοιχεία για την περίοδο 2028-2034 που</w:t>
      </w:r>
      <w:r w:rsidRPr="00483F7D">
        <w:rPr>
          <w:b/>
        </w:rPr>
        <w:t xml:space="preserve"> </w:t>
      </w:r>
      <w:r w:rsidRPr="00483F7D">
        <w:t>ακολουθούν αφορούν τις δαπάνες ανάπτυξης του τελωνειακού κόμβου δεδομένων της ΕΕ και τη λειτουργία της Τελωνειακής Αρχής της ΕΕ. Πρόκειται για επιχειρησιακές δαπάνες, με τιμαριθμική αναπροσαρμογή 2 % από το 2025.</w:t>
      </w: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85"/>
        <w:gridCol w:w="413"/>
        <w:gridCol w:w="10"/>
        <w:gridCol w:w="352"/>
        <w:gridCol w:w="837"/>
        <w:gridCol w:w="265"/>
        <w:gridCol w:w="819"/>
        <w:gridCol w:w="18"/>
        <w:gridCol w:w="259"/>
        <w:gridCol w:w="917"/>
        <w:gridCol w:w="77"/>
        <w:gridCol w:w="424"/>
        <w:gridCol w:w="858"/>
        <w:gridCol w:w="552"/>
        <w:gridCol w:w="1125"/>
        <w:gridCol w:w="23"/>
        <w:gridCol w:w="290"/>
        <w:gridCol w:w="989"/>
        <w:gridCol w:w="18"/>
        <w:gridCol w:w="398"/>
        <w:gridCol w:w="922"/>
        <w:gridCol w:w="298"/>
        <w:gridCol w:w="1045"/>
      </w:tblGrid>
      <w:tr w:rsidR="008F6AC1" w:rsidRPr="00483F7D" w14:paraId="690EF531" w14:textId="77777777" w:rsidTr="005563C1">
        <w:trPr>
          <w:trHeight w:val="307"/>
          <w:jc w:val="center"/>
        </w:trPr>
        <w:tc>
          <w:tcPr>
            <w:tcW w:w="641" w:type="pct"/>
            <w:vMerge w:val="restart"/>
            <w:vAlign w:val="center"/>
          </w:tcPr>
          <w:p w14:paraId="5801C7CA" w14:textId="77777777" w:rsidR="008F6AC1" w:rsidRPr="00483F7D" w:rsidRDefault="008F6AC1" w:rsidP="005563C1">
            <w:pPr>
              <w:ind w:right="-29"/>
              <w:jc w:val="center"/>
              <w:rPr>
                <w:b/>
                <w:noProof/>
                <w:sz w:val="18"/>
              </w:rPr>
            </w:pPr>
            <w:r w:rsidRPr="00483F7D">
              <w:rPr>
                <w:b/>
                <w:sz w:val="18"/>
              </w:rPr>
              <w:t xml:space="preserve">Να προσδιοριστούν οι στόχοι και τα αποτελέσματα </w:t>
            </w:r>
          </w:p>
          <w:p w14:paraId="575A67AD" w14:textId="77777777" w:rsidR="008F6AC1" w:rsidRPr="00483F7D" w:rsidRDefault="008F6AC1" w:rsidP="005563C1">
            <w:pPr>
              <w:ind w:right="-29"/>
              <w:jc w:val="center"/>
              <w:rPr>
                <w:b/>
                <w:noProof/>
                <w:sz w:val="18"/>
              </w:rPr>
            </w:pPr>
          </w:p>
          <w:p w14:paraId="42482E3D" w14:textId="77777777" w:rsidR="008F6AC1" w:rsidRPr="00483F7D" w:rsidRDefault="008F6AC1" w:rsidP="005563C1">
            <w:pPr>
              <w:ind w:right="-29"/>
              <w:jc w:val="center"/>
              <w:rPr>
                <w:noProof/>
                <w:sz w:val="18"/>
              </w:rPr>
            </w:pPr>
            <w:r w:rsidRPr="00483F7D">
              <w:rPr>
                <w:sz w:val="18"/>
              </w:rPr>
              <w:sym w:font="Wingdings" w:char="F0F2"/>
            </w:r>
          </w:p>
        </w:tc>
        <w:tc>
          <w:tcPr>
            <w:tcW w:w="111" w:type="pct"/>
            <w:vAlign w:val="center"/>
          </w:tcPr>
          <w:p w14:paraId="6622C48E" w14:textId="77777777" w:rsidR="008F6AC1" w:rsidRPr="00483F7D" w:rsidRDefault="008F6AC1" w:rsidP="005563C1">
            <w:pPr>
              <w:ind w:right="-29"/>
              <w:jc w:val="center"/>
              <w:rPr>
                <w:noProof/>
                <w:sz w:val="18"/>
              </w:rPr>
            </w:pPr>
          </w:p>
        </w:tc>
        <w:tc>
          <w:tcPr>
            <w:tcW w:w="161" w:type="pct"/>
            <w:vAlign w:val="center"/>
          </w:tcPr>
          <w:p w14:paraId="5EDB7917" w14:textId="77777777" w:rsidR="008F6AC1" w:rsidRPr="00483F7D" w:rsidRDefault="008F6AC1" w:rsidP="005563C1">
            <w:pPr>
              <w:ind w:right="-29"/>
              <w:jc w:val="center"/>
              <w:rPr>
                <w:noProof/>
                <w:sz w:val="18"/>
              </w:rPr>
            </w:pPr>
          </w:p>
        </w:tc>
        <w:tc>
          <w:tcPr>
            <w:tcW w:w="467" w:type="pct"/>
            <w:gridSpan w:val="3"/>
            <w:tcBorders>
              <w:left w:val="nil"/>
            </w:tcBorders>
            <w:vAlign w:val="center"/>
          </w:tcPr>
          <w:p w14:paraId="24C14AB6" w14:textId="77777777" w:rsidR="008F6AC1" w:rsidRPr="00483F7D" w:rsidRDefault="008F6AC1" w:rsidP="005563C1">
            <w:pPr>
              <w:ind w:right="-29"/>
              <w:jc w:val="center"/>
              <w:rPr>
                <w:b/>
                <w:bCs/>
                <w:noProof/>
                <w:sz w:val="18"/>
              </w:rPr>
            </w:pPr>
            <w:r w:rsidRPr="00483F7D">
              <w:rPr>
                <w:b/>
                <w:sz w:val="18"/>
              </w:rPr>
              <w:t>2028</w:t>
            </w:r>
          </w:p>
        </w:tc>
        <w:tc>
          <w:tcPr>
            <w:tcW w:w="422" w:type="pct"/>
            <w:gridSpan w:val="2"/>
            <w:vAlign w:val="center"/>
          </w:tcPr>
          <w:p w14:paraId="265BFC6A" w14:textId="77777777" w:rsidR="008F6AC1" w:rsidRPr="00483F7D" w:rsidRDefault="008F6AC1" w:rsidP="005563C1">
            <w:pPr>
              <w:ind w:right="-29"/>
              <w:jc w:val="center"/>
              <w:rPr>
                <w:b/>
                <w:bCs/>
                <w:noProof/>
                <w:sz w:val="18"/>
              </w:rPr>
            </w:pPr>
            <w:r w:rsidRPr="00483F7D">
              <w:rPr>
                <w:b/>
                <w:sz w:val="18"/>
              </w:rPr>
              <w:t>2029</w:t>
            </w:r>
          </w:p>
        </w:tc>
        <w:tc>
          <w:tcPr>
            <w:tcW w:w="465" w:type="pct"/>
            <w:gridSpan w:val="3"/>
            <w:vAlign w:val="center"/>
          </w:tcPr>
          <w:p w14:paraId="31EF2F3F" w14:textId="77777777" w:rsidR="008F6AC1" w:rsidRPr="00483F7D" w:rsidRDefault="008F6AC1" w:rsidP="005563C1">
            <w:pPr>
              <w:ind w:right="-29"/>
              <w:jc w:val="center"/>
              <w:rPr>
                <w:b/>
                <w:bCs/>
                <w:noProof/>
                <w:sz w:val="18"/>
              </w:rPr>
            </w:pPr>
            <w:r w:rsidRPr="00483F7D">
              <w:rPr>
                <w:b/>
                <w:sz w:val="18"/>
              </w:rPr>
              <w:t>2030</w:t>
            </w:r>
          </w:p>
        </w:tc>
        <w:tc>
          <w:tcPr>
            <w:tcW w:w="529" w:type="pct"/>
            <w:gridSpan w:val="3"/>
            <w:vAlign w:val="center"/>
          </w:tcPr>
          <w:p w14:paraId="3FF45B54" w14:textId="77777777" w:rsidR="008F6AC1" w:rsidRPr="00483F7D" w:rsidRDefault="008F6AC1" w:rsidP="005563C1">
            <w:pPr>
              <w:ind w:right="-29"/>
              <w:jc w:val="center"/>
              <w:rPr>
                <w:b/>
                <w:bCs/>
                <w:noProof/>
                <w:sz w:val="18"/>
              </w:rPr>
            </w:pPr>
            <w:r w:rsidRPr="00483F7D">
              <w:rPr>
                <w:b/>
                <w:sz w:val="18"/>
              </w:rPr>
              <w:t>2031</w:t>
            </w:r>
          </w:p>
        </w:tc>
        <w:tc>
          <w:tcPr>
            <w:tcW w:w="662" w:type="pct"/>
            <w:gridSpan w:val="3"/>
            <w:vAlign w:val="center"/>
          </w:tcPr>
          <w:p w14:paraId="1C607E62" w14:textId="77777777" w:rsidR="008F6AC1" w:rsidRPr="00483F7D" w:rsidRDefault="008F6AC1" w:rsidP="005563C1">
            <w:pPr>
              <w:jc w:val="center"/>
              <w:rPr>
                <w:b/>
                <w:bCs/>
                <w:noProof/>
                <w:sz w:val="18"/>
              </w:rPr>
            </w:pPr>
            <w:r w:rsidRPr="00483F7D">
              <w:rPr>
                <w:b/>
                <w:sz w:val="18"/>
              </w:rPr>
              <w:t>2032</w:t>
            </w:r>
          </w:p>
        </w:tc>
        <w:tc>
          <w:tcPr>
            <w:tcW w:w="498" w:type="pct"/>
            <w:gridSpan w:val="2"/>
            <w:vAlign w:val="center"/>
          </w:tcPr>
          <w:p w14:paraId="3CDD396A" w14:textId="77777777" w:rsidR="008F6AC1" w:rsidRPr="00483F7D" w:rsidRDefault="008F6AC1" w:rsidP="005563C1">
            <w:pPr>
              <w:jc w:val="center"/>
              <w:rPr>
                <w:b/>
                <w:bCs/>
                <w:noProof/>
                <w:sz w:val="18"/>
              </w:rPr>
            </w:pPr>
            <w:r w:rsidRPr="00483F7D">
              <w:rPr>
                <w:b/>
                <w:sz w:val="18"/>
              </w:rPr>
              <w:t>2033</w:t>
            </w:r>
          </w:p>
        </w:tc>
        <w:tc>
          <w:tcPr>
            <w:tcW w:w="521" w:type="pct"/>
            <w:gridSpan w:val="3"/>
            <w:vAlign w:val="center"/>
          </w:tcPr>
          <w:p w14:paraId="0DF059BF" w14:textId="77777777" w:rsidR="008F6AC1" w:rsidRPr="00483F7D" w:rsidRDefault="008F6AC1" w:rsidP="005563C1">
            <w:pPr>
              <w:jc w:val="center"/>
              <w:rPr>
                <w:b/>
                <w:bCs/>
                <w:noProof/>
                <w:sz w:val="18"/>
              </w:rPr>
            </w:pPr>
            <w:r w:rsidRPr="00483F7D">
              <w:rPr>
                <w:b/>
                <w:sz w:val="18"/>
              </w:rPr>
              <w:t>2034</w:t>
            </w:r>
          </w:p>
        </w:tc>
        <w:tc>
          <w:tcPr>
            <w:tcW w:w="523" w:type="pct"/>
            <w:gridSpan w:val="2"/>
            <w:tcBorders>
              <w:left w:val="nil"/>
              <w:bottom w:val="nil"/>
            </w:tcBorders>
            <w:vAlign w:val="center"/>
          </w:tcPr>
          <w:p w14:paraId="58AFBDBE" w14:textId="77777777" w:rsidR="008F6AC1" w:rsidRPr="00483F7D" w:rsidRDefault="008F6AC1" w:rsidP="005563C1">
            <w:pPr>
              <w:ind w:right="-29"/>
              <w:jc w:val="center"/>
              <w:rPr>
                <w:noProof/>
                <w:sz w:val="18"/>
              </w:rPr>
            </w:pPr>
            <w:r w:rsidRPr="00483F7D">
              <w:rPr>
                <w:b/>
                <w:sz w:val="18"/>
              </w:rPr>
              <w:t>ΣΥΝΟΛΟ</w:t>
            </w:r>
          </w:p>
        </w:tc>
      </w:tr>
      <w:tr w:rsidR="008F6AC1" w:rsidRPr="00483F7D" w14:paraId="65DBECDE" w14:textId="77777777" w:rsidTr="005563C1">
        <w:trPr>
          <w:trHeight w:val="243"/>
          <w:jc w:val="center"/>
        </w:trPr>
        <w:tc>
          <w:tcPr>
            <w:tcW w:w="641" w:type="pct"/>
            <w:vMerge/>
            <w:vAlign w:val="center"/>
          </w:tcPr>
          <w:p w14:paraId="7DE14A77" w14:textId="77777777" w:rsidR="008F6AC1" w:rsidRPr="00483F7D" w:rsidRDefault="008F6AC1" w:rsidP="005563C1">
            <w:pPr>
              <w:rPr>
                <w:noProof/>
                <w:sz w:val="18"/>
              </w:rPr>
            </w:pPr>
          </w:p>
        </w:tc>
        <w:tc>
          <w:tcPr>
            <w:tcW w:w="4359" w:type="pct"/>
            <w:gridSpan w:val="23"/>
            <w:vAlign w:val="center"/>
          </w:tcPr>
          <w:p w14:paraId="46F2A620" w14:textId="77777777" w:rsidR="008F6AC1" w:rsidRPr="00483F7D" w:rsidRDefault="008F6AC1" w:rsidP="005563C1">
            <w:pPr>
              <w:spacing w:before="60" w:after="60"/>
              <w:ind w:right="-29"/>
              <w:jc w:val="center"/>
              <w:rPr>
                <w:noProof/>
                <w:sz w:val="18"/>
              </w:rPr>
            </w:pPr>
            <w:r w:rsidRPr="00483F7D">
              <w:rPr>
                <w:b/>
                <w:sz w:val="18"/>
              </w:rPr>
              <w:t>ΑΠΟΤΕΛΕΣΜΑΤΑ</w:t>
            </w:r>
          </w:p>
        </w:tc>
      </w:tr>
      <w:tr w:rsidR="008F6AC1" w:rsidRPr="00483F7D" w14:paraId="327C01D9" w14:textId="77777777" w:rsidTr="005563C1">
        <w:trPr>
          <w:cantSplit/>
          <w:trHeight w:val="803"/>
          <w:jc w:val="center"/>
        </w:trPr>
        <w:tc>
          <w:tcPr>
            <w:tcW w:w="641" w:type="pct"/>
            <w:vMerge/>
            <w:vAlign w:val="center"/>
          </w:tcPr>
          <w:p w14:paraId="411AF949" w14:textId="77777777" w:rsidR="008F6AC1" w:rsidRPr="00483F7D" w:rsidRDefault="008F6AC1" w:rsidP="005563C1">
            <w:pPr>
              <w:rPr>
                <w:noProof/>
                <w:sz w:val="18"/>
              </w:rPr>
            </w:pPr>
          </w:p>
        </w:tc>
        <w:tc>
          <w:tcPr>
            <w:tcW w:w="111" w:type="pct"/>
            <w:textDirection w:val="btLr"/>
            <w:vAlign w:val="center"/>
          </w:tcPr>
          <w:p w14:paraId="42DA29EE" w14:textId="77777777" w:rsidR="008F6AC1" w:rsidRPr="00483F7D" w:rsidRDefault="008F6AC1" w:rsidP="005563C1">
            <w:pPr>
              <w:ind w:left="113" w:right="113"/>
              <w:jc w:val="center"/>
              <w:rPr>
                <w:noProof/>
                <w:sz w:val="14"/>
                <w:szCs w:val="18"/>
              </w:rPr>
            </w:pPr>
            <w:r w:rsidRPr="00483F7D">
              <w:rPr>
                <w:sz w:val="14"/>
              </w:rPr>
              <w:t>Είδος</w:t>
            </w:r>
            <w:r w:rsidRPr="00483F7D">
              <w:rPr>
                <w:rStyle w:val="FootnoteReference"/>
                <w:noProof/>
                <w:sz w:val="14"/>
                <w:szCs w:val="18"/>
              </w:rPr>
              <w:footnoteReference w:id="93"/>
            </w:r>
          </w:p>
        </w:tc>
        <w:tc>
          <w:tcPr>
            <w:tcW w:w="161" w:type="pct"/>
            <w:textDirection w:val="btLr"/>
            <w:vAlign w:val="center"/>
          </w:tcPr>
          <w:p w14:paraId="46876315" w14:textId="77777777" w:rsidR="008F6AC1" w:rsidRPr="00483F7D" w:rsidRDefault="008F6AC1" w:rsidP="005563C1">
            <w:pPr>
              <w:ind w:left="113" w:right="113"/>
              <w:jc w:val="center"/>
              <w:rPr>
                <w:noProof/>
                <w:sz w:val="14"/>
                <w:szCs w:val="18"/>
              </w:rPr>
            </w:pPr>
            <w:r w:rsidRPr="00483F7D">
              <w:rPr>
                <w:sz w:val="14"/>
              </w:rPr>
              <w:t>Μέσο κόστος</w:t>
            </w:r>
          </w:p>
        </w:tc>
        <w:tc>
          <w:tcPr>
            <w:tcW w:w="141" w:type="pct"/>
            <w:gridSpan w:val="2"/>
            <w:tcBorders>
              <w:left w:val="nil"/>
              <w:right w:val="dashSmallGap" w:sz="4" w:space="0" w:color="auto"/>
            </w:tcBorders>
            <w:shd w:val="pct10" w:color="auto" w:fill="auto"/>
            <w:textDirection w:val="btLr"/>
            <w:vAlign w:val="center"/>
          </w:tcPr>
          <w:p w14:paraId="52F0EB61" w14:textId="77777777" w:rsidR="008F6AC1" w:rsidRPr="00483F7D" w:rsidRDefault="008F6AC1" w:rsidP="005563C1">
            <w:pPr>
              <w:ind w:left="113" w:right="113"/>
              <w:jc w:val="center"/>
              <w:rPr>
                <w:noProof/>
                <w:sz w:val="16"/>
                <w:szCs w:val="20"/>
              </w:rPr>
            </w:pPr>
            <w:r w:rsidRPr="00483F7D">
              <w:rPr>
                <w:sz w:val="16"/>
              </w:rPr>
              <w:t>Αριθ.</w:t>
            </w:r>
          </w:p>
        </w:tc>
        <w:tc>
          <w:tcPr>
            <w:tcW w:w="326" w:type="pct"/>
            <w:tcBorders>
              <w:left w:val="dashSmallGap" w:sz="4" w:space="0" w:color="auto"/>
            </w:tcBorders>
            <w:shd w:val="pct10" w:color="auto" w:fill="auto"/>
            <w:vAlign w:val="center"/>
          </w:tcPr>
          <w:p w14:paraId="7F82BE67" w14:textId="77777777" w:rsidR="008F6AC1" w:rsidRPr="00483F7D" w:rsidRDefault="008F6AC1" w:rsidP="005563C1">
            <w:pPr>
              <w:jc w:val="center"/>
              <w:rPr>
                <w:noProof/>
                <w:sz w:val="16"/>
                <w:szCs w:val="20"/>
              </w:rPr>
            </w:pPr>
            <w:r w:rsidRPr="00483F7D">
              <w:rPr>
                <w:sz w:val="16"/>
              </w:rPr>
              <w:t>Κόστος</w:t>
            </w:r>
          </w:p>
        </w:tc>
        <w:tc>
          <w:tcPr>
            <w:tcW w:w="103" w:type="pct"/>
            <w:tcBorders>
              <w:right w:val="dashSmallGap" w:sz="4" w:space="0" w:color="auto"/>
            </w:tcBorders>
            <w:shd w:val="pct10" w:color="auto" w:fill="auto"/>
            <w:textDirection w:val="btLr"/>
            <w:vAlign w:val="center"/>
          </w:tcPr>
          <w:p w14:paraId="55CF7146" w14:textId="77777777" w:rsidR="008F6AC1" w:rsidRPr="00483F7D" w:rsidRDefault="008F6AC1" w:rsidP="005563C1">
            <w:pPr>
              <w:ind w:left="113" w:right="113"/>
              <w:jc w:val="center"/>
              <w:rPr>
                <w:noProof/>
                <w:sz w:val="16"/>
                <w:szCs w:val="20"/>
              </w:rPr>
            </w:pPr>
            <w:r w:rsidRPr="00483F7D">
              <w:rPr>
                <w:sz w:val="16"/>
              </w:rPr>
              <w:t>Αριθ.</w:t>
            </w:r>
          </w:p>
        </w:tc>
        <w:tc>
          <w:tcPr>
            <w:tcW w:w="326" w:type="pct"/>
            <w:gridSpan w:val="2"/>
            <w:tcBorders>
              <w:left w:val="dashSmallGap" w:sz="4" w:space="0" w:color="auto"/>
            </w:tcBorders>
            <w:shd w:val="pct10" w:color="auto" w:fill="auto"/>
            <w:vAlign w:val="center"/>
          </w:tcPr>
          <w:p w14:paraId="12396E03" w14:textId="77777777" w:rsidR="008F6AC1" w:rsidRPr="00483F7D" w:rsidRDefault="008F6AC1" w:rsidP="005563C1">
            <w:pPr>
              <w:jc w:val="center"/>
              <w:rPr>
                <w:noProof/>
                <w:sz w:val="16"/>
                <w:szCs w:val="20"/>
              </w:rPr>
            </w:pPr>
            <w:r w:rsidRPr="00483F7D">
              <w:rPr>
                <w:sz w:val="16"/>
              </w:rPr>
              <w:t>Κόστος</w:t>
            </w:r>
          </w:p>
        </w:tc>
        <w:tc>
          <w:tcPr>
            <w:tcW w:w="101" w:type="pct"/>
            <w:tcBorders>
              <w:right w:val="dashSmallGap" w:sz="4" w:space="0" w:color="auto"/>
            </w:tcBorders>
            <w:shd w:val="pct10" w:color="auto" w:fill="auto"/>
            <w:textDirection w:val="btLr"/>
            <w:vAlign w:val="center"/>
          </w:tcPr>
          <w:p w14:paraId="403E2BED" w14:textId="77777777" w:rsidR="008F6AC1" w:rsidRPr="00483F7D" w:rsidRDefault="008F6AC1" w:rsidP="005563C1">
            <w:pPr>
              <w:ind w:left="113" w:right="113"/>
              <w:jc w:val="center"/>
              <w:rPr>
                <w:noProof/>
                <w:sz w:val="16"/>
                <w:szCs w:val="20"/>
              </w:rPr>
            </w:pPr>
            <w:r w:rsidRPr="00483F7D">
              <w:rPr>
                <w:sz w:val="16"/>
              </w:rPr>
              <w:t>Αριθ.</w:t>
            </w:r>
          </w:p>
        </w:tc>
        <w:tc>
          <w:tcPr>
            <w:tcW w:w="387" w:type="pct"/>
            <w:gridSpan w:val="2"/>
            <w:tcBorders>
              <w:left w:val="dashSmallGap" w:sz="4" w:space="0" w:color="auto"/>
            </w:tcBorders>
            <w:shd w:val="pct10" w:color="auto" w:fill="auto"/>
            <w:vAlign w:val="center"/>
          </w:tcPr>
          <w:p w14:paraId="2C27FDD6" w14:textId="77777777" w:rsidR="008F6AC1" w:rsidRPr="00483F7D" w:rsidRDefault="008F6AC1" w:rsidP="005563C1">
            <w:pPr>
              <w:jc w:val="center"/>
              <w:rPr>
                <w:noProof/>
                <w:sz w:val="16"/>
                <w:szCs w:val="20"/>
              </w:rPr>
            </w:pPr>
            <w:r w:rsidRPr="00483F7D">
              <w:rPr>
                <w:sz w:val="16"/>
              </w:rPr>
              <w:t>Κόστος</w:t>
            </w:r>
          </w:p>
        </w:tc>
        <w:tc>
          <w:tcPr>
            <w:tcW w:w="165" w:type="pct"/>
            <w:tcBorders>
              <w:right w:val="dashSmallGap" w:sz="4" w:space="0" w:color="auto"/>
            </w:tcBorders>
            <w:shd w:val="pct10" w:color="auto" w:fill="auto"/>
            <w:textDirection w:val="btLr"/>
            <w:vAlign w:val="center"/>
          </w:tcPr>
          <w:p w14:paraId="1541D34F" w14:textId="77777777" w:rsidR="008F6AC1" w:rsidRPr="00483F7D" w:rsidRDefault="008F6AC1" w:rsidP="005563C1">
            <w:pPr>
              <w:ind w:left="113" w:right="113"/>
              <w:jc w:val="center"/>
              <w:rPr>
                <w:noProof/>
                <w:sz w:val="16"/>
                <w:szCs w:val="20"/>
              </w:rPr>
            </w:pPr>
            <w:r w:rsidRPr="00483F7D">
              <w:rPr>
                <w:sz w:val="16"/>
              </w:rPr>
              <w:t>Αριθ.</w:t>
            </w:r>
          </w:p>
        </w:tc>
        <w:tc>
          <w:tcPr>
            <w:tcW w:w="334" w:type="pct"/>
            <w:tcBorders>
              <w:left w:val="dashSmallGap" w:sz="4" w:space="0" w:color="auto"/>
            </w:tcBorders>
            <w:shd w:val="pct10" w:color="auto" w:fill="auto"/>
            <w:vAlign w:val="center"/>
          </w:tcPr>
          <w:p w14:paraId="19544C01" w14:textId="77777777" w:rsidR="008F6AC1" w:rsidRPr="00483F7D" w:rsidRDefault="008F6AC1" w:rsidP="005563C1">
            <w:pPr>
              <w:jc w:val="center"/>
              <w:rPr>
                <w:noProof/>
                <w:sz w:val="16"/>
                <w:szCs w:val="20"/>
              </w:rPr>
            </w:pPr>
            <w:r w:rsidRPr="00483F7D">
              <w:rPr>
                <w:sz w:val="16"/>
              </w:rPr>
              <w:t>Κόστος</w:t>
            </w:r>
          </w:p>
        </w:tc>
        <w:tc>
          <w:tcPr>
            <w:tcW w:w="215" w:type="pct"/>
            <w:tcBorders>
              <w:right w:val="dashSmallGap" w:sz="4" w:space="0" w:color="auto"/>
            </w:tcBorders>
            <w:shd w:val="pct10" w:color="auto" w:fill="auto"/>
            <w:textDirection w:val="btLr"/>
            <w:vAlign w:val="center"/>
          </w:tcPr>
          <w:p w14:paraId="51F46EB8" w14:textId="77777777" w:rsidR="008F6AC1" w:rsidRPr="00483F7D" w:rsidRDefault="008F6AC1" w:rsidP="005563C1">
            <w:pPr>
              <w:ind w:left="113" w:right="113"/>
              <w:jc w:val="center"/>
              <w:rPr>
                <w:noProof/>
                <w:sz w:val="16"/>
                <w:szCs w:val="20"/>
              </w:rPr>
            </w:pPr>
            <w:r w:rsidRPr="00483F7D">
              <w:rPr>
                <w:sz w:val="16"/>
              </w:rPr>
              <w:t>Αριθ.</w:t>
            </w:r>
          </w:p>
        </w:tc>
        <w:tc>
          <w:tcPr>
            <w:tcW w:w="438" w:type="pct"/>
            <w:tcBorders>
              <w:left w:val="dashSmallGap" w:sz="4" w:space="0" w:color="auto"/>
            </w:tcBorders>
            <w:shd w:val="pct10" w:color="auto" w:fill="auto"/>
            <w:vAlign w:val="center"/>
          </w:tcPr>
          <w:p w14:paraId="29487711" w14:textId="77777777" w:rsidR="008F6AC1" w:rsidRPr="00483F7D" w:rsidRDefault="008F6AC1" w:rsidP="005563C1">
            <w:pPr>
              <w:jc w:val="center"/>
              <w:rPr>
                <w:noProof/>
                <w:sz w:val="16"/>
                <w:szCs w:val="20"/>
              </w:rPr>
            </w:pPr>
            <w:r w:rsidRPr="00483F7D">
              <w:rPr>
                <w:sz w:val="16"/>
              </w:rPr>
              <w:t>Κόστος</w:t>
            </w:r>
          </w:p>
        </w:tc>
        <w:tc>
          <w:tcPr>
            <w:tcW w:w="122" w:type="pct"/>
            <w:gridSpan w:val="2"/>
            <w:tcBorders>
              <w:right w:val="dashSmallGap" w:sz="4" w:space="0" w:color="auto"/>
            </w:tcBorders>
            <w:shd w:val="pct10" w:color="auto" w:fill="auto"/>
            <w:textDirection w:val="btLr"/>
            <w:vAlign w:val="center"/>
          </w:tcPr>
          <w:p w14:paraId="5C0C8211" w14:textId="77777777" w:rsidR="008F6AC1" w:rsidRPr="00483F7D" w:rsidRDefault="008F6AC1" w:rsidP="005563C1">
            <w:pPr>
              <w:ind w:left="113" w:right="113"/>
              <w:jc w:val="center"/>
              <w:rPr>
                <w:noProof/>
                <w:sz w:val="16"/>
                <w:szCs w:val="20"/>
              </w:rPr>
            </w:pPr>
            <w:r w:rsidRPr="00483F7D">
              <w:rPr>
                <w:sz w:val="16"/>
              </w:rPr>
              <w:t>Αριθ.</w:t>
            </w:r>
          </w:p>
        </w:tc>
        <w:tc>
          <w:tcPr>
            <w:tcW w:w="392" w:type="pct"/>
            <w:gridSpan w:val="2"/>
            <w:tcBorders>
              <w:left w:val="dashSmallGap" w:sz="4" w:space="0" w:color="auto"/>
            </w:tcBorders>
            <w:shd w:val="pct10" w:color="auto" w:fill="auto"/>
            <w:vAlign w:val="center"/>
          </w:tcPr>
          <w:p w14:paraId="66E6BD89" w14:textId="77777777" w:rsidR="008F6AC1" w:rsidRPr="00483F7D" w:rsidRDefault="008F6AC1" w:rsidP="005563C1">
            <w:pPr>
              <w:jc w:val="center"/>
              <w:rPr>
                <w:noProof/>
                <w:sz w:val="16"/>
                <w:szCs w:val="20"/>
              </w:rPr>
            </w:pPr>
            <w:r w:rsidRPr="00483F7D">
              <w:rPr>
                <w:sz w:val="16"/>
              </w:rPr>
              <w:t>Κόστος</w:t>
            </w:r>
          </w:p>
        </w:tc>
        <w:tc>
          <w:tcPr>
            <w:tcW w:w="155" w:type="pct"/>
            <w:tcBorders>
              <w:right w:val="dashSmallGap" w:sz="4" w:space="0" w:color="auto"/>
            </w:tcBorders>
            <w:shd w:val="pct10" w:color="auto" w:fill="auto"/>
            <w:textDirection w:val="btLr"/>
            <w:vAlign w:val="center"/>
          </w:tcPr>
          <w:p w14:paraId="3D02182C" w14:textId="77777777" w:rsidR="008F6AC1" w:rsidRPr="00483F7D" w:rsidRDefault="008F6AC1" w:rsidP="005563C1">
            <w:pPr>
              <w:ind w:left="113" w:right="113"/>
              <w:jc w:val="center"/>
              <w:rPr>
                <w:noProof/>
                <w:sz w:val="16"/>
                <w:szCs w:val="20"/>
              </w:rPr>
            </w:pPr>
            <w:r w:rsidRPr="00483F7D">
              <w:rPr>
                <w:sz w:val="16"/>
              </w:rPr>
              <w:t>Αριθ.</w:t>
            </w:r>
          </w:p>
        </w:tc>
        <w:tc>
          <w:tcPr>
            <w:tcW w:w="359" w:type="pct"/>
            <w:tcBorders>
              <w:left w:val="dashSmallGap" w:sz="4" w:space="0" w:color="auto"/>
            </w:tcBorders>
            <w:shd w:val="pct10" w:color="auto" w:fill="auto"/>
            <w:vAlign w:val="center"/>
          </w:tcPr>
          <w:p w14:paraId="14661CF0" w14:textId="77777777" w:rsidR="008F6AC1" w:rsidRPr="00483F7D" w:rsidRDefault="008F6AC1" w:rsidP="005563C1">
            <w:pPr>
              <w:jc w:val="center"/>
              <w:rPr>
                <w:noProof/>
                <w:sz w:val="16"/>
                <w:szCs w:val="20"/>
              </w:rPr>
            </w:pPr>
            <w:r w:rsidRPr="00483F7D">
              <w:rPr>
                <w:sz w:val="16"/>
              </w:rPr>
              <w:t>Κόστος</w:t>
            </w:r>
          </w:p>
        </w:tc>
        <w:tc>
          <w:tcPr>
            <w:tcW w:w="116" w:type="pct"/>
            <w:tcBorders>
              <w:right w:val="dashSmallGap" w:sz="4" w:space="0" w:color="auto"/>
            </w:tcBorders>
            <w:shd w:val="pct10" w:color="auto" w:fill="auto"/>
            <w:textDirection w:val="btLr"/>
            <w:vAlign w:val="center"/>
          </w:tcPr>
          <w:p w14:paraId="2C70EB92" w14:textId="77777777" w:rsidR="008F6AC1" w:rsidRPr="00483F7D" w:rsidRDefault="008F6AC1" w:rsidP="005563C1">
            <w:pPr>
              <w:ind w:left="113" w:right="113"/>
              <w:jc w:val="center"/>
              <w:rPr>
                <w:noProof/>
                <w:sz w:val="16"/>
                <w:szCs w:val="20"/>
              </w:rPr>
            </w:pPr>
            <w:r w:rsidRPr="00483F7D">
              <w:rPr>
                <w:sz w:val="16"/>
              </w:rPr>
              <w:t>Συνολικός αριθ.</w:t>
            </w:r>
          </w:p>
        </w:tc>
        <w:tc>
          <w:tcPr>
            <w:tcW w:w="407" w:type="pct"/>
            <w:tcBorders>
              <w:left w:val="dashSmallGap" w:sz="4" w:space="0" w:color="auto"/>
            </w:tcBorders>
            <w:shd w:val="pct10" w:color="auto" w:fill="auto"/>
            <w:vAlign w:val="center"/>
          </w:tcPr>
          <w:p w14:paraId="030A055A" w14:textId="77777777" w:rsidR="008F6AC1" w:rsidRPr="00483F7D" w:rsidRDefault="008F6AC1" w:rsidP="005563C1">
            <w:pPr>
              <w:jc w:val="center"/>
              <w:rPr>
                <w:noProof/>
                <w:sz w:val="16"/>
                <w:szCs w:val="20"/>
              </w:rPr>
            </w:pPr>
            <w:r w:rsidRPr="00483F7D">
              <w:rPr>
                <w:sz w:val="16"/>
              </w:rPr>
              <w:t>Συνολικό κόστος</w:t>
            </w:r>
          </w:p>
        </w:tc>
      </w:tr>
      <w:tr w:rsidR="008F6AC1" w:rsidRPr="00483F7D" w14:paraId="225CC471" w14:textId="77777777" w:rsidTr="005563C1">
        <w:trPr>
          <w:trHeight w:val="381"/>
          <w:jc w:val="center"/>
        </w:trPr>
        <w:tc>
          <w:tcPr>
            <w:tcW w:w="5000" w:type="pct"/>
            <w:gridSpan w:val="24"/>
            <w:vAlign w:val="center"/>
          </w:tcPr>
          <w:p w14:paraId="5A5FA57E" w14:textId="77777777" w:rsidR="008F6AC1" w:rsidRPr="00483F7D" w:rsidRDefault="008F6AC1" w:rsidP="005563C1">
            <w:pPr>
              <w:spacing w:before="60" w:after="60"/>
              <w:ind w:right="-29"/>
              <w:jc w:val="left"/>
              <w:rPr>
                <w:noProof/>
                <w:sz w:val="18"/>
              </w:rPr>
            </w:pPr>
            <w:r w:rsidRPr="00483F7D">
              <w:rPr>
                <w:b/>
                <w:sz w:val="18"/>
              </w:rPr>
              <w:t>ΓΕΝΙΚΟΣ ΣΤΟΧΟΣ</w:t>
            </w:r>
          </w:p>
        </w:tc>
      </w:tr>
      <w:tr w:rsidR="008F6AC1" w:rsidRPr="00483F7D" w14:paraId="0DC81208" w14:textId="77777777" w:rsidTr="005563C1">
        <w:trPr>
          <w:trHeight w:hRule="exact" w:val="311"/>
          <w:jc w:val="center"/>
        </w:trPr>
        <w:tc>
          <w:tcPr>
            <w:tcW w:w="913" w:type="pct"/>
            <w:gridSpan w:val="3"/>
            <w:tcBorders>
              <w:right w:val="dashSmallGap" w:sz="4" w:space="0" w:color="auto"/>
            </w:tcBorders>
            <w:vAlign w:val="center"/>
          </w:tcPr>
          <w:p w14:paraId="5BE8EB94" w14:textId="77777777" w:rsidR="008F6AC1" w:rsidRPr="00483F7D" w:rsidRDefault="008F6AC1" w:rsidP="005563C1">
            <w:pPr>
              <w:spacing w:before="0" w:after="0"/>
              <w:ind w:right="-28"/>
              <w:jc w:val="center"/>
              <w:rPr>
                <w:b/>
                <w:bCs/>
                <w:noProof/>
                <w:sz w:val="18"/>
              </w:rPr>
            </w:pPr>
            <w:r w:rsidRPr="00483F7D">
              <w:rPr>
                <w:b/>
                <w:sz w:val="18"/>
              </w:rPr>
              <w:t>- Τελωνειακός κόμβος δεδομένων της ΕΕ</w:t>
            </w:r>
          </w:p>
        </w:tc>
        <w:tc>
          <w:tcPr>
            <w:tcW w:w="141" w:type="pct"/>
            <w:gridSpan w:val="2"/>
            <w:tcBorders>
              <w:left w:val="dashSmallGap" w:sz="4" w:space="0" w:color="auto"/>
            </w:tcBorders>
            <w:vAlign w:val="center"/>
          </w:tcPr>
          <w:p w14:paraId="11A28661" w14:textId="77777777" w:rsidR="008F6AC1" w:rsidRPr="00483F7D" w:rsidRDefault="008F6AC1" w:rsidP="005563C1">
            <w:pPr>
              <w:ind w:right="-29"/>
              <w:jc w:val="center"/>
              <w:rPr>
                <w:b/>
                <w:bCs/>
                <w:noProof/>
                <w:sz w:val="20"/>
                <w:szCs w:val="20"/>
              </w:rPr>
            </w:pPr>
          </w:p>
        </w:tc>
        <w:tc>
          <w:tcPr>
            <w:tcW w:w="326" w:type="pct"/>
            <w:tcBorders>
              <w:right w:val="dashSmallGap" w:sz="4" w:space="0" w:color="auto"/>
            </w:tcBorders>
            <w:vAlign w:val="center"/>
          </w:tcPr>
          <w:p w14:paraId="2309E326" w14:textId="77777777" w:rsidR="008F6AC1" w:rsidRPr="00483F7D" w:rsidRDefault="008F6AC1" w:rsidP="005563C1">
            <w:pPr>
              <w:ind w:right="-29"/>
              <w:jc w:val="center"/>
              <w:rPr>
                <w:b/>
                <w:bCs/>
                <w:noProof/>
                <w:sz w:val="20"/>
                <w:szCs w:val="20"/>
              </w:rPr>
            </w:pPr>
          </w:p>
        </w:tc>
        <w:tc>
          <w:tcPr>
            <w:tcW w:w="103" w:type="pct"/>
            <w:tcBorders>
              <w:left w:val="dashSmallGap" w:sz="4" w:space="0" w:color="auto"/>
            </w:tcBorders>
            <w:vAlign w:val="center"/>
          </w:tcPr>
          <w:p w14:paraId="4D5BED37" w14:textId="77777777" w:rsidR="008F6AC1" w:rsidRPr="00483F7D" w:rsidRDefault="008F6AC1" w:rsidP="005563C1">
            <w:pPr>
              <w:ind w:right="-29"/>
              <w:jc w:val="center"/>
              <w:rPr>
                <w:b/>
                <w:bCs/>
                <w:noProof/>
                <w:sz w:val="20"/>
                <w:szCs w:val="20"/>
              </w:rPr>
            </w:pPr>
          </w:p>
        </w:tc>
        <w:tc>
          <w:tcPr>
            <w:tcW w:w="326" w:type="pct"/>
            <w:gridSpan w:val="2"/>
            <w:tcBorders>
              <w:right w:val="dashSmallGap" w:sz="4" w:space="0" w:color="auto"/>
            </w:tcBorders>
            <w:vAlign w:val="center"/>
          </w:tcPr>
          <w:p w14:paraId="5AA82A99" w14:textId="77777777" w:rsidR="008F6AC1" w:rsidRPr="00483F7D" w:rsidRDefault="008F6AC1" w:rsidP="005563C1">
            <w:pPr>
              <w:ind w:right="-29"/>
              <w:jc w:val="center"/>
              <w:rPr>
                <w:b/>
                <w:bCs/>
                <w:noProof/>
                <w:sz w:val="20"/>
                <w:szCs w:val="20"/>
              </w:rPr>
            </w:pPr>
          </w:p>
        </w:tc>
        <w:tc>
          <w:tcPr>
            <w:tcW w:w="101" w:type="pct"/>
            <w:tcBorders>
              <w:left w:val="dashSmallGap" w:sz="4" w:space="0" w:color="auto"/>
            </w:tcBorders>
            <w:vAlign w:val="center"/>
          </w:tcPr>
          <w:p w14:paraId="007724B3" w14:textId="77777777" w:rsidR="008F6AC1" w:rsidRPr="00483F7D" w:rsidRDefault="008F6AC1" w:rsidP="005563C1">
            <w:pPr>
              <w:ind w:right="-29"/>
              <w:jc w:val="center"/>
              <w:rPr>
                <w:b/>
                <w:bCs/>
                <w:noProof/>
                <w:sz w:val="20"/>
                <w:szCs w:val="20"/>
              </w:rPr>
            </w:pPr>
          </w:p>
        </w:tc>
        <w:tc>
          <w:tcPr>
            <w:tcW w:w="387" w:type="pct"/>
            <w:gridSpan w:val="2"/>
            <w:tcBorders>
              <w:right w:val="dashSmallGap" w:sz="4" w:space="0" w:color="auto"/>
            </w:tcBorders>
            <w:vAlign w:val="center"/>
          </w:tcPr>
          <w:p w14:paraId="75C796D4" w14:textId="77777777" w:rsidR="008F6AC1" w:rsidRPr="00483F7D" w:rsidRDefault="008F6AC1" w:rsidP="005563C1">
            <w:pPr>
              <w:ind w:right="-29"/>
              <w:jc w:val="center"/>
              <w:rPr>
                <w:b/>
                <w:bCs/>
                <w:noProof/>
                <w:sz w:val="20"/>
                <w:szCs w:val="20"/>
              </w:rPr>
            </w:pPr>
          </w:p>
        </w:tc>
        <w:tc>
          <w:tcPr>
            <w:tcW w:w="165" w:type="pct"/>
            <w:tcBorders>
              <w:left w:val="dashSmallGap" w:sz="4" w:space="0" w:color="auto"/>
            </w:tcBorders>
            <w:vAlign w:val="center"/>
          </w:tcPr>
          <w:p w14:paraId="04F23EE1" w14:textId="77777777" w:rsidR="008F6AC1" w:rsidRPr="00483F7D" w:rsidRDefault="008F6AC1" w:rsidP="005563C1">
            <w:pPr>
              <w:ind w:right="-29"/>
              <w:jc w:val="center"/>
              <w:rPr>
                <w:b/>
                <w:bCs/>
                <w:noProof/>
                <w:sz w:val="20"/>
                <w:szCs w:val="20"/>
              </w:rPr>
            </w:pPr>
          </w:p>
        </w:tc>
        <w:tc>
          <w:tcPr>
            <w:tcW w:w="334" w:type="pct"/>
            <w:tcBorders>
              <w:right w:val="dashSmallGap" w:sz="4" w:space="0" w:color="auto"/>
            </w:tcBorders>
            <w:vAlign w:val="center"/>
          </w:tcPr>
          <w:p w14:paraId="5C62E021" w14:textId="77777777" w:rsidR="008F6AC1" w:rsidRPr="00483F7D" w:rsidRDefault="008F6AC1" w:rsidP="005563C1">
            <w:pPr>
              <w:ind w:right="-29"/>
              <w:jc w:val="center"/>
              <w:rPr>
                <w:b/>
                <w:bCs/>
                <w:noProof/>
                <w:sz w:val="20"/>
                <w:szCs w:val="20"/>
              </w:rPr>
            </w:pPr>
          </w:p>
        </w:tc>
        <w:tc>
          <w:tcPr>
            <w:tcW w:w="215" w:type="pct"/>
            <w:tcBorders>
              <w:left w:val="dashSmallGap" w:sz="4" w:space="0" w:color="auto"/>
            </w:tcBorders>
            <w:vAlign w:val="center"/>
          </w:tcPr>
          <w:p w14:paraId="583D3A23" w14:textId="77777777" w:rsidR="008F6AC1" w:rsidRPr="00483F7D" w:rsidRDefault="008F6AC1" w:rsidP="005563C1">
            <w:pPr>
              <w:ind w:right="-29"/>
              <w:jc w:val="center"/>
              <w:rPr>
                <w:b/>
                <w:bCs/>
                <w:noProof/>
                <w:sz w:val="20"/>
                <w:szCs w:val="20"/>
              </w:rPr>
            </w:pPr>
          </w:p>
        </w:tc>
        <w:tc>
          <w:tcPr>
            <w:tcW w:w="438" w:type="pct"/>
            <w:tcBorders>
              <w:right w:val="dashSmallGap" w:sz="4" w:space="0" w:color="auto"/>
            </w:tcBorders>
            <w:vAlign w:val="center"/>
          </w:tcPr>
          <w:p w14:paraId="3FEC3CFD" w14:textId="77777777" w:rsidR="008F6AC1" w:rsidRPr="00483F7D" w:rsidRDefault="008F6AC1" w:rsidP="005563C1">
            <w:pPr>
              <w:ind w:right="-29"/>
              <w:jc w:val="center"/>
              <w:rPr>
                <w:b/>
                <w:bCs/>
                <w:noProof/>
                <w:sz w:val="20"/>
                <w:szCs w:val="20"/>
              </w:rPr>
            </w:pPr>
          </w:p>
        </w:tc>
        <w:tc>
          <w:tcPr>
            <w:tcW w:w="122" w:type="pct"/>
            <w:gridSpan w:val="2"/>
            <w:tcBorders>
              <w:left w:val="dashSmallGap" w:sz="4" w:space="0" w:color="auto"/>
            </w:tcBorders>
            <w:vAlign w:val="center"/>
          </w:tcPr>
          <w:p w14:paraId="64EC7B71" w14:textId="77777777" w:rsidR="008F6AC1" w:rsidRPr="00483F7D" w:rsidRDefault="008F6AC1" w:rsidP="005563C1">
            <w:pPr>
              <w:ind w:right="-29"/>
              <w:jc w:val="center"/>
              <w:rPr>
                <w:b/>
                <w:bCs/>
                <w:noProof/>
                <w:sz w:val="20"/>
                <w:szCs w:val="20"/>
              </w:rPr>
            </w:pPr>
          </w:p>
        </w:tc>
        <w:tc>
          <w:tcPr>
            <w:tcW w:w="392" w:type="pct"/>
            <w:gridSpan w:val="2"/>
            <w:tcBorders>
              <w:right w:val="dashSmallGap" w:sz="4" w:space="0" w:color="auto"/>
            </w:tcBorders>
            <w:vAlign w:val="center"/>
          </w:tcPr>
          <w:p w14:paraId="5F488D78" w14:textId="77777777" w:rsidR="008F6AC1" w:rsidRPr="00483F7D" w:rsidRDefault="008F6AC1" w:rsidP="005563C1">
            <w:pPr>
              <w:ind w:right="-29"/>
              <w:rPr>
                <w:b/>
                <w:bCs/>
                <w:noProof/>
                <w:sz w:val="20"/>
                <w:szCs w:val="20"/>
              </w:rPr>
            </w:pPr>
          </w:p>
        </w:tc>
        <w:tc>
          <w:tcPr>
            <w:tcW w:w="155" w:type="pct"/>
            <w:tcBorders>
              <w:left w:val="dashSmallGap" w:sz="4" w:space="0" w:color="auto"/>
            </w:tcBorders>
            <w:vAlign w:val="center"/>
          </w:tcPr>
          <w:p w14:paraId="7D681240" w14:textId="77777777" w:rsidR="008F6AC1" w:rsidRPr="00483F7D" w:rsidRDefault="008F6AC1" w:rsidP="005563C1">
            <w:pPr>
              <w:ind w:right="-29"/>
              <w:jc w:val="center"/>
              <w:rPr>
                <w:b/>
                <w:bCs/>
                <w:noProof/>
                <w:sz w:val="20"/>
                <w:szCs w:val="20"/>
              </w:rPr>
            </w:pPr>
          </w:p>
        </w:tc>
        <w:tc>
          <w:tcPr>
            <w:tcW w:w="359" w:type="pct"/>
            <w:tcBorders>
              <w:left w:val="dashSmallGap" w:sz="4" w:space="0" w:color="auto"/>
            </w:tcBorders>
            <w:vAlign w:val="center"/>
          </w:tcPr>
          <w:p w14:paraId="1C912367" w14:textId="77777777" w:rsidR="008F6AC1" w:rsidRPr="00483F7D" w:rsidRDefault="008F6AC1" w:rsidP="005563C1">
            <w:pPr>
              <w:ind w:right="-29"/>
              <w:jc w:val="center"/>
              <w:rPr>
                <w:b/>
                <w:bCs/>
                <w:noProof/>
                <w:sz w:val="20"/>
                <w:szCs w:val="20"/>
              </w:rPr>
            </w:pPr>
          </w:p>
        </w:tc>
        <w:tc>
          <w:tcPr>
            <w:tcW w:w="116" w:type="pct"/>
            <w:vAlign w:val="center"/>
          </w:tcPr>
          <w:p w14:paraId="0707ED87" w14:textId="77777777" w:rsidR="008F6AC1" w:rsidRPr="00483F7D" w:rsidRDefault="008F6AC1" w:rsidP="005563C1">
            <w:pPr>
              <w:ind w:right="-29"/>
              <w:jc w:val="center"/>
              <w:rPr>
                <w:b/>
                <w:bCs/>
                <w:noProof/>
                <w:sz w:val="20"/>
                <w:szCs w:val="20"/>
              </w:rPr>
            </w:pPr>
          </w:p>
        </w:tc>
        <w:tc>
          <w:tcPr>
            <w:tcW w:w="407" w:type="pct"/>
            <w:vAlign w:val="center"/>
          </w:tcPr>
          <w:p w14:paraId="563015FB" w14:textId="77777777" w:rsidR="008F6AC1" w:rsidRPr="00483F7D" w:rsidRDefault="008F6AC1" w:rsidP="005563C1">
            <w:pPr>
              <w:ind w:right="-29"/>
              <w:jc w:val="center"/>
              <w:rPr>
                <w:b/>
                <w:bCs/>
                <w:noProof/>
                <w:sz w:val="20"/>
                <w:szCs w:val="20"/>
              </w:rPr>
            </w:pPr>
          </w:p>
        </w:tc>
      </w:tr>
      <w:tr w:rsidR="008F6AC1" w:rsidRPr="00483F7D" w14:paraId="7288DEFE" w14:textId="77777777" w:rsidTr="005563C1">
        <w:trPr>
          <w:trHeight w:hRule="exact" w:val="602"/>
          <w:jc w:val="center"/>
        </w:trPr>
        <w:tc>
          <w:tcPr>
            <w:tcW w:w="641" w:type="pct"/>
            <w:vAlign w:val="center"/>
          </w:tcPr>
          <w:p w14:paraId="4F687A32" w14:textId="77777777" w:rsidR="008F6AC1" w:rsidRPr="00483F7D" w:rsidRDefault="008F6AC1" w:rsidP="005563C1">
            <w:pPr>
              <w:ind w:right="-29"/>
              <w:jc w:val="right"/>
              <w:rPr>
                <w:i/>
                <w:iCs/>
                <w:noProof/>
                <w:sz w:val="18"/>
              </w:rPr>
            </w:pPr>
            <w:r w:rsidRPr="00483F7D">
              <w:rPr>
                <w:i/>
                <w:sz w:val="18"/>
              </w:rPr>
              <w:t>Κεφαλαιουχικές δαπάνες του χώρου δεδομένων της ΕΕ</w:t>
            </w:r>
          </w:p>
        </w:tc>
        <w:tc>
          <w:tcPr>
            <w:tcW w:w="111" w:type="pct"/>
            <w:vAlign w:val="center"/>
          </w:tcPr>
          <w:p w14:paraId="7624C054" w14:textId="77777777" w:rsidR="008F6AC1" w:rsidRPr="00483F7D" w:rsidRDefault="008F6AC1" w:rsidP="005563C1">
            <w:pPr>
              <w:ind w:right="-29"/>
              <w:jc w:val="center"/>
              <w:rPr>
                <w:noProof/>
                <w:sz w:val="18"/>
              </w:rPr>
            </w:pPr>
          </w:p>
        </w:tc>
        <w:tc>
          <w:tcPr>
            <w:tcW w:w="161" w:type="pct"/>
            <w:vAlign w:val="center"/>
          </w:tcPr>
          <w:p w14:paraId="7AF3537E" w14:textId="77777777" w:rsidR="008F6AC1" w:rsidRPr="00483F7D" w:rsidRDefault="008F6AC1" w:rsidP="005563C1">
            <w:pPr>
              <w:ind w:right="-29"/>
              <w:jc w:val="center"/>
              <w:rPr>
                <w:noProof/>
                <w:sz w:val="18"/>
              </w:rPr>
            </w:pPr>
          </w:p>
        </w:tc>
        <w:tc>
          <w:tcPr>
            <w:tcW w:w="141" w:type="pct"/>
            <w:gridSpan w:val="2"/>
            <w:tcBorders>
              <w:right w:val="dashSmallGap" w:sz="4" w:space="0" w:color="auto"/>
            </w:tcBorders>
            <w:vAlign w:val="center"/>
          </w:tcPr>
          <w:p w14:paraId="63D70813" w14:textId="77777777" w:rsidR="008F6AC1" w:rsidRPr="00483F7D" w:rsidRDefault="008F6AC1" w:rsidP="005563C1">
            <w:pPr>
              <w:ind w:right="-29"/>
              <w:jc w:val="center"/>
              <w:rPr>
                <w:noProof/>
                <w:sz w:val="18"/>
              </w:rPr>
            </w:pPr>
          </w:p>
        </w:tc>
        <w:tc>
          <w:tcPr>
            <w:tcW w:w="326" w:type="pct"/>
            <w:tcBorders>
              <w:left w:val="dashSmallGap" w:sz="4" w:space="0" w:color="auto"/>
            </w:tcBorders>
            <w:vAlign w:val="center"/>
          </w:tcPr>
          <w:p w14:paraId="4B5DB21E" w14:textId="77777777" w:rsidR="008F6AC1" w:rsidRPr="00483F7D" w:rsidRDefault="008F6AC1" w:rsidP="005563C1">
            <w:pPr>
              <w:ind w:right="-29"/>
              <w:jc w:val="center"/>
              <w:rPr>
                <w:noProof/>
                <w:sz w:val="20"/>
                <w:szCs w:val="20"/>
              </w:rPr>
            </w:pPr>
            <w:r w:rsidRPr="00483F7D">
              <w:rPr>
                <w:sz w:val="20"/>
              </w:rPr>
              <w:t>47,424</w:t>
            </w:r>
          </w:p>
        </w:tc>
        <w:tc>
          <w:tcPr>
            <w:tcW w:w="103" w:type="pct"/>
            <w:tcBorders>
              <w:right w:val="dashSmallGap" w:sz="4" w:space="0" w:color="auto"/>
            </w:tcBorders>
            <w:vAlign w:val="center"/>
          </w:tcPr>
          <w:p w14:paraId="64871458" w14:textId="77777777" w:rsidR="008F6AC1" w:rsidRPr="00483F7D" w:rsidRDefault="008F6AC1" w:rsidP="005563C1">
            <w:pPr>
              <w:ind w:right="-29"/>
              <w:jc w:val="center"/>
              <w:rPr>
                <w:noProof/>
                <w:sz w:val="20"/>
                <w:szCs w:val="20"/>
              </w:rPr>
            </w:pPr>
          </w:p>
        </w:tc>
        <w:tc>
          <w:tcPr>
            <w:tcW w:w="326" w:type="pct"/>
            <w:gridSpan w:val="2"/>
            <w:tcBorders>
              <w:left w:val="dashSmallGap" w:sz="4" w:space="0" w:color="auto"/>
            </w:tcBorders>
            <w:vAlign w:val="center"/>
          </w:tcPr>
          <w:p w14:paraId="2D245FF1" w14:textId="77777777" w:rsidR="008F6AC1" w:rsidRPr="00483F7D" w:rsidRDefault="008F6AC1" w:rsidP="005563C1">
            <w:pPr>
              <w:ind w:right="-29"/>
              <w:jc w:val="center"/>
              <w:rPr>
                <w:noProof/>
                <w:sz w:val="20"/>
                <w:szCs w:val="20"/>
              </w:rPr>
            </w:pPr>
            <w:r w:rsidRPr="00483F7D">
              <w:rPr>
                <w:sz w:val="20"/>
              </w:rPr>
              <w:t>60,465</w:t>
            </w:r>
          </w:p>
        </w:tc>
        <w:tc>
          <w:tcPr>
            <w:tcW w:w="101" w:type="pct"/>
            <w:tcBorders>
              <w:right w:val="dashSmallGap" w:sz="4" w:space="0" w:color="auto"/>
            </w:tcBorders>
            <w:vAlign w:val="center"/>
          </w:tcPr>
          <w:p w14:paraId="67817092" w14:textId="77777777" w:rsidR="008F6AC1" w:rsidRPr="00483F7D" w:rsidRDefault="008F6AC1" w:rsidP="005563C1">
            <w:pPr>
              <w:ind w:right="-29"/>
              <w:jc w:val="center"/>
              <w:rPr>
                <w:noProof/>
                <w:sz w:val="20"/>
                <w:szCs w:val="20"/>
              </w:rPr>
            </w:pPr>
          </w:p>
        </w:tc>
        <w:tc>
          <w:tcPr>
            <w:tcW w:w="387" w:type="pct"/>
            <w:gridSpan w:val="2"/>
            <w:tcBorders>
              <w:left w:val="dashSmallGap" w:sz="4" w:space="0" w:color="auto"/>
            </w:tcBorders>
            <w:vAlign w:val="center"/>
          </w:tcPr>
          <w:p w14:paraId="6BC890F0" w14:textId="77777777" w:rsidR="008F6AC1" w:rsidRPr="00483F7D" w:rsidRDefault="008F6AC1" w:rsidP="005563C1">
            <w:pPr>
              <w:ind w:right="-29"/>
              <w:jc w:val="center"/>
              <w:rPr>
                <w:noProof/>
                <w:sz w:val="20"/>
                <w:szCs w:val="20"/>
              </w:rPr>
            </w:pPr>
            <w:r w:rsidRPr="00483F7D">
              <w:rPr>
                <w:sz w:val="20"/>
              </w:rPr>
              <w:t>61,674</w:t>
            </w:r>
          </w:p>
        </w:tc>
        <w:tc>
          <w:tcPr>
            <w:tcW w:w="165" w:type="pct"/>
            <w:tcBorders>
              <w:right w:val="dashSmallGap" w:sz="4" w:space="0" w:color="auto"/>
            </w:tcBorders>
            <w:vAlign w:val="center"/>
          </w:tcPr>
          <w:p w14:paraId="086D49B7" w14:textId="77777777" w:rsidR="008F6AC1" w:rsidRPr="00483F7D" w:rsidRDefault="008F6AC1" w:rsidP="005563C1">
            <w:pPr>
              <w:ind w:right="-29"/>
              <w:jc w:val="center"/>
              <w:rPr>
                <w:noProof/>
                <w:sz w:val="20"/>
                <w:szCs w:val="20"/>
              </w:rPr>
            </w:pPr>
          </w:p>
        </w:tc>
        <w:tc>
          <w:tcPr>
            <w:tcW w:w="334" w:type="pct"/>
            <w:tcBorders>
              <w:left w:val="dashSmallGap" w:sz="4" w:space="0" w:color="auto"/>
            </w:tcBorders>
            <w:vAlign w:val="center"/>
          </w:tcPr>
          <w:p w14:paraId="63B1B524" w14:textId="77777777" w:rsidR="008F6AC1" w:rsidRPr="00483F7D" w:rsidRDefault="008F6AC1" w:rsidP="005563C1">
            <w:pPr>
              <w:ind w:right="-29"/>
              <w:jc w:val="center"/>
              <w:rPr>
                <w:noProof/>
                <w:sz w:val="20"/>
                <w:szCs w:val="20"/>
              </w:rPr>
            </w:pPr>
            <w:r w:rsidRPr="00483F7D">
              <w:rPr>
                <w:sz w:val="20"/>
              </w:rPr>
              <w:t>50,326</w:t>
            </w:r>
          </w:p>
        </w:tc>
        <w:tc>
          <w:tcPr>
            <w:tcW w:w="215" w:type="pct"/>
            <w:tcBorders>
              <w:right w:val="dashSmallGap" w:sz="4" w:space="0" w:color="auto"/>
            </w:tcBorders>
            <w:vAlign w:val="center"/>
          </w:tcPr>
          <w:p w14:paraId="337F00BE" w14:textId="77777777" w:rsidR="008F6AC1" w:rsidRPr="00483F7D" w:rsidRDefault="008F6AC1" w:rsidP="005563C1">
            <w:pPr>
              <w:ind w:right="-29"/>
              <w:jc w:val="center"/>
              <w:rPr>
                <w:noProof/>
                <w:sz w:val="20"/>
                <w:szCs w:val="20"/>
              </w:rPr>
            </w:pPr>
          </w:p>
        </w:tc>
        <w:tc>
          <w:tcPr>
            <w:tcW w:w="438" w:type="pct"/>
            <w:tcBorders>
              <w:left w:val="dashSmallGap" w:sz="4" w:space="0" w:color="auto"/>
            </w:tcBorders>
            <w:vAlign w:val="center"/>
          </w:tcPr>
          <w:p w14:paraId="2A4C4A9F" w14:textId="77777777" w:rsidR="008F6AC1" w:rsidRPr="00483F7D" w:rsidRDefault="008F6AC1" w:rsidP="005563C1">
            <w:pPr>
              <w:ind w:right="-29"/>
              <w:jc w:val="center"/>
              <w:rPr>
                <w:noProof/>
                <w:sz w:val="20"/>
                <w:szCs w:val="20"/>
              </w:rPr>
            </w:pPr>
            <w:r w:rsidRPr="00483F7D">
              <w:rPr>
                <w:sz w:val="20"/>
              </w:rPr>
              <w:t>0</w:t>
            </w:r>
          </w:p>
        </w:tc>
        <w:tc>
          <w:tcPr>
            <w:tcW w:w="122" w:type="pct"/>
            <w:gridSpan w:val="2"/>
            <w:tcBorders>
              <w:right w:val="dashSmallGap" w:sz="4" w:space="0" w:color="auto"/>
            </w:tcBorders>
            <w:vAlign w:val="center"/>
          </w:tcPr>
          <w:p w14:paraId="4BD7882F" w14:textId="77777777" w:rsidR="008F6AC1" w:rsidRPr="00483F7D" w:rsidRDefault="008F6AC1" w:rsidP="005563C1">
            <w:pPr>
              <w:ind w:right="-29"/>
              <w:jc w:val="center"/>
              <w:rPr>
                <w:noProof/>
                <w:sz w:val="20"/>
                <w:szCs w:val="20"/>
              </w:rPr>
            </w:pPr>
          </w:p>
        </w:tc>
        <w:tc>
          <w:tcPr>
            <w:tcW w:w="392" w:type="pct"/>
            <w:gridSpan w:val="2"/>
            <w:tcBorders>
              <w:left w:val="dashSmallGap" w:sz="4" w:space="0" w:color="auto"/>
            </w:tcBorders>
            <w:vAlign w:val="center"/>
          </w:tcPr>
          <w:p w14:paraId="2690456C" w14:textId="77777777" w:rsidR="008F6AC1" w:rsidRPr="00483F7D" w:rsidRDefault="008F6AC1" w:rsidP="005563C1">
            <w:pPr>
              <w:ind w:right="-29"/>
              <w:jc w:val="center"/>
              <w:rPr>
                <w:noProof/>
                <w:sz w:val="20"/>
                <w:szCs w:val="20"/>
              </w:rPr>
            </w:pPr>
            <w:r w:rsidRPr="00483F7D">
              <w:rPr>
                <w:sz w:val="20"/>
              </w:rPr>
              <w:t>0</w:t>
            </w:r>
          </w:p>
        </w:tc>
        <w:tc>
          <w:tcPr>
            <w:tcW w:w="155" w:type="pct"/>
            <w:tcBorders>
              <w:right w:val="dashSmallGap" w:sz="4" w:space="0" w:color="auto"/>
            </w:tcBorders>
            <w:vAlign w:val="center"/>
          </w:tcPr>
          <w:p w14:paraId="07C40B9E" w14:textId="77777777" w:rsidR="008F6AC1" w:rsidRPr="00483F7D" w:rsidRDefault="008F6AC1" w:rsidP="005563C1">
            <w:pPr>
              <w:ind w:right="-29"/>
              <w:rPr>
                <w:noProof/>
                <w:sz w:val="20"/>
                <w:szCs w:val="20"/>
              </w:rPr>
            </w:pPr>
          </w:p>
        </w:tc>
        <w:tc>
          <w:tcPr>
            <w:tcW w:w="359" w:type="pct"/>
            <w:tcBorders>
              <w:left w:val="dashSmallGap" w:sz="4" w:space="0" w:color="auto"/>
            </w:tcBorders>
            <w:vAlign w:val="center"/>
          </w:tcPr>
          <w:p w14:paraId="06FE558A" w14:textId="77777777" w:rsidR="008F6AC1" w:rsidRPr="00483F7D" w:rsidRDefault="008F6AC1" w:rsidP="005563C1">
            <w:pPr>
              <w:ind w:right="-29"/>
              <w:jc w:val="center"/>
              <w:rPr>
                <w:noProof/>
                <w:sz w:val="20"/>
                <w:szCs w:val="20"/>
              </w:rPr>
            </w:pPr>
            <w:r w:rsidRPr="00483F7D">
              <w:rPr>
                <w:sz w:val="20"/>
              </w:rPr>
              <w:t>0</w:t>
            </w:r>
          </w:p>
        </w:tc>
        <w:tc>
          <w:tcPr>
            <w:tcW w:w="116" w:type="pct"/>
            <w:vAlign w:val="center"/>
          </w:tcPr>
          <w:p w14:paraId="662437E4" w14:textId="77777777" w:rsidR="008F6AC1" w:rsidRPr="00483F7D" w:rsidRDefault="008F6AC1" w:rsidP="005563C1">
            <w:pPr>
              <w:ind w:right="-29"/>
              <w:jc w:val="center"/>
              <w:rPr>
                <w:noProof/>
                <w:sz w:val="20"/>
                <w:szCs w:val="20"/>
              </w:rPr>
            </w:pPr>
          </w:p>
        </w:tc>
        <w:tc>
          <w:tcPr>
            <w:tcW w:w="407" w:type="pct"/>
            <w:vAlign w:val="center"/>
          </w:tcPr>
          <w:p w14:paraId="16811ED7" w14:textId="77777777" w:rsidR="008F6AC1" w:rsidRPr="00483F7D" w:rsidRDefault="008F6AC1" w:rsidP="005563C1">
            <w:pPr>
              <w:ind w:right="-29"/>
              <w:jc w:val="center"/>
              <w:rPr>
                <w:noProof/>
                <w:sz w:val="20"/>
                <w:szCs w:val="20"/>
              </w:rPr>
            </w:pPr>
            <w:r w:rsidRPr="00483F7D">
              <w:rPr>
                <w:sz w:val="20"/>
              </w:rPr>
              <w:t>219,889</w:t>
            </w:r>
          </w:p>
        </w:tc>
      </w:tr>
      <w:tr w:rsidR="008F6AC1" w:rsidRPr="00483F7D" w14:paraId="3CA2714A" w14:textId="77777777" w:rsidTr="005563C1">
        <w:trPr>
          <w:trHeight w:hRule="exact" w:val="602"/>
          <w:jc w:val="center"/>
        </w:trPr>
        <w:tc>
          <w:tcPr>
            <w:tcW w:w="641" w:type="pct"/>
            <w:vAlign w:val="center"/>
          </w:tcPr>
          <w:p w14:paraId="07DF9BA8" w14:textId="77777777" w:rsidR="008F6AC1" w:rsidRPr="00483F7D" w:rsidRDefault="008F6AC1" w:rsidP="005563C1">
            <w:pPr>
              <w:ind w:right="-29"/>
              <w:jc w:val="right"/>
              <w:rPr>
                <w:i/>
                <w:iCs/>
                <w:noProof/>
                <w:sz w:val="18"/>
              </w:rPr>
            </w:pPr>
            <w:r w:rsidRPr="00483F7D">
              <w:rPr>
                <w:i/>
                <w:sz w:val="18"/>
              </w:rPr>
              <w:t>Επιχειρησιακές δαπάνες του χώρου δεδομένων της ΕΕ</w:t>
            </w:r>
          </w:p>
        </w:tc>
        <w:tc>
          <w:tcPr>
            <w:tcW w:w="111" w:type="pct"/>
            <w:vAlign w:val="center"/>
          </w:tcPr>
          <w:p w14:paraId="2863265E" w14:textId="77777777" w:rsidR="008F6AC1" w:rsidRPr="00483F7D" w:rsidRDefault="008F6AC1" w:rsidP="005563C1">
            <w:pPr>
              <w:ind w:right="-29"/>
              <w:jc w:val="center"/>
              <w:rPr>
                <w:noProof/>
                <w:sz w:val="18"/>
              </w:rPr>
            </w:pPr>
          </w:p>
        </w:tc>
        <w:tc>
          <w:tcPr>
            <w:tcW w:w="161" w:type="pct"/>
            <w:vAlign w:val="center"/>
          </w:tcPr>
          <w:p w14:paraId="7EC3AFAC" w14:textId="77777777" w:rsidR="008F6AC1" w:rsidRPr="00483F7D" w:rsidRDefault="008F6AC1" w:rsidP="005563C1">
            <w:pPr>
              <w:ind w:right="-29"/>
              <w:jc w:val="center"/>
              <w:rPr>
                <w:noProof/>
                <w:sz w:val="18"/>
              </w:rPr>
            </w:pPr>
          </w:p>
        </w:tc>
        <w:tc>
          <w:tcPr>
            <w:tcW w:w="141" w:type="pct"/>
            <w:gridSpan w:val="2"/>
            <w:tcBorders>
              <w:right w:val="dashSmallGap" w:sz="4" w:space="0" w:color="auto"/>
            </w:tcBorders>
            <w:vAlign w:val="center"/>
          </w:tcPr>
          <w:p w14:paraId="34375D49" w14:textId="77777777" w:rsidR="008F6AC1" w:rsidRPr="00483F7D" w:rsidRDefault="008F6AC1" w:rsidP="005563C1">
            <w:pPr>
              <w:ind w:right="-29"/>
              <w:jc w:val="center"/>
              <w:rPr>
                <w:noProof/>
                <w:sz w:val="18"/>
              </w:rPr>
            </w:pPr>
          </w:p>
        </w:tc>
        <w:tc>
          <w:tcPr>
            <w:tcW w:w="326" w:type="pct"/>
            <w:tcBorders>
              <w:left w:val="dashSmallGap" w:sz="4" w:space="0" w:color="auto"/>
            </w:tcBorders>
            <w:vAlign w:val="center"/>
          </w:tcPr>
          <w:p w14:paraId="4B02807A" w14:textId="77777777" w:rsidR="008F6AC1" w:rsidRPr="00483F7D" w:rsidRDefault="008F6AC1" w:rsidP="005563C1">
            <w:pPr>
              <w:ind w:right="-29"/>
              <w:jc w:val="center"/>
              <w:rPr>
                <w:noProof/>
                <w:sz w:val="20"/>
                <w:szCs w:val="20"/>
              </w:rPr>
            </w:pPr>
            <w:r w:rsidRPr="00483F7D">
              <w:rPr>
                <w:sz w:val="20"/>
              </w:rPr>
              <w:t>47,857</w:t>
            </w:r>
          </w:p>
        </w:tc>
        <w:tc>
          <w:tcPr>
            <w:tcW w:w="103" w:type="pct"/>
            <w:tcBorders>
              <w:right w:val="dashSmallGap" w:sz="4" w:space="0" w:color="auto"/>
            </w:tcBorders>
            <w:vAlign w:val="center"/>
          </w:tcPr>
          <w:p w14:paraId="3A07A2AF" w14:textId="77777777" w:rsidR="008F6AC1" w:rsidRPr="00483F7D" w:rsidRDefault="008F6AC1" w:rsidP="005563C1">
            <w:pPr>
              <w:ind w:right="-29"/>
              <w:jc w:val="center"/>
              <w:rPr>
                <w:noProof/>
                <w:sz w:val="20"/>
                <w:szCs w:val="20"/>
              </w:rPr>
            </w:pPr>
          </w:p>
        </w:tc>
        <w:tc>
          <w:tcPr>
            <w:tcW w:w="326" w:type="pct"/>
            <w:gridSpan w:val="2"/>
            <w:tcBorders>
              <w:left w:val="dashSmallGap" w:sz="4" w:space="0" w:color="auto"/>
            </w:tcBorders>
            <w:vAlign w:val="center"/>
          </w:tcPr>
          <w:p w14:paraId="51F8EFA9" w14:textId="77777777" w:rsidR="008F6AC1" w:rsidRPr="00483F7D" w:rsidRDefault="008F6AC1" w:rsidP="005563C1">
            <w:pPr>
              <w:ind w:right="-29"/>
              <w:jc w:val="center"/>
              <w:rPr>
                <w:noProof/>
                <w:sz w:val="20"/>
                <w:szCs w:val="20"/>
              </w:rPr>
            </w:pPr>
            <w:r w:rsidRPr="00483F7D">
              <w:rPr>
                <w:sz w:val="20"/>
              </w:rPr>
              <w:t>113,900</w:t>
            </w:r>
          </w:p>
        </w:tc>
        <w:tc>
          <w:tcPr>
            <w:tcW w:w="101" w:type="pct"/>
            <w:tcBorders>
              <w:right w:val="dashSmallGap" w:sz="4" w:space="0" w:color="auto"/>
            </w:tcBorders>
            <w:vAlign w:val="center"/>
          </w:tcPr>
          <w:p w14:paraId="560F094D" w14:textId="77777777" w:rsidR="008F6AC1" w:rsidRPr="00483F7D" w:rsidRDefault="008F6AC1" w:rsidP="005563C1">
            <w:pPr>
              <w:ind w:right="-29"/>
              <w:jc w:val="center"/>
              <w:rPr>
                <w:noProof/>
                <w:sz w:val="20"/>
                <w:szCs w:val="20"/>
              </w:rPr>
            </w:pPr>
          </w:p>
        </w:tc>
        <w:tc>
          <w:tcPr>
            <w:tcW w:w="387" w:type="pct"/>
            <w:gridSpan w:val="2"/>
            <w:tcBorders>
              <w:left w:val="dashSmallGap" w:sz="4" w:space="0" w:color="auto"/>
            </w:tcBorders>
            <w:vAlign w:val="center"/>
          </w:tcPr>
          <w:p w14:paraId="19E49FD3" w14:textId="77777777" w:rsidR="008F6AC1" w:rsidRPr="00483F7D" w:rsidRDefault="008F6AC1" w:rsidP="005563C1">
            <w:pPr>
              <w:ind w:right="-29"/>
              <w:jc w:val="center"/>
              <w:rPr>
                <w:noProof/>
                <w:sz w:val="20"/>
                <w:szCs w:val="20"/>
              </w:rPr>
            </w:pPr>
            <w:r w:rsidRPr="00483F7D">
              <w:rPr>
                <w:sz w:val="20"/>
              </w:rPr>
              <w:t>149,371</w:t>
            </w:r>
          </w:p>
        </w:tc>
        <w:tc>
          <w:tcPr>
            <w:tcW w:w="165" w:type="pct"/>
            <w:tcBorders>
              <w:right w:val="dashSmallGap" w:sz="4" w:space="0" w:color="auto"/>
            </w:tcBorders>
            <w:vAlign w:val="center"/>
          </w:tcPr>
          <w:p w14:paraId="72D414C0" w14:textId="77777777" w:rsidR="008F6AC1" w:rsidRPr="00483F7D" w:rsidRDefault="008F6AC1" w:rsidP="005563C1">
            <w:pPr>
              <w:ind w:right="-29"/>
              <w:jc w:val="center"/>
              <w:rPr>
                <w:noProof/>
                <w:sz w:val="20"/>
                <w:szCs w:val="20"/>
              </w:rPr>
            </w:pPr>
          </w:p>
        </w:tc>
        <w:tc>
          <w:tcPr>
            <w:tcW w:w="334" w:type="pct"/>
            <w:tcBorders>
              <w:left w:val="dashSmallGap" w:sz="4" w:space="0" w:color="auto"/>
            </w:tcBorders>
            <w:vAlign w:val="center"/>
          </w:tcPr>
          <w:p w14:paraId="4D2D054E" w14:textId="77777777" w:rsidR="008F6AC1" w:rsidRPr="00483F7D" w:rsidRDefault="008F6AC1" w:rsidP="005563C1">
            <w:pPr>
              <w:ind w:right="-29"/>
              <w:jc w:val="center"/>
              <w:rPr>
                <w:noProof/>
                <w:sz w:val="20"/>
                <w:szCs w:val="20"/>
              </w:rPr>
            </w:pPr>
            <w:r w:rsidRPr="00483F7D">
              <w:rPr>
                <w:sz w:val="20"/>
              </w:rPr>
              <w:t>169,288</w:t>
            </w:r>
          </w:p>
        </w:tc>
        <w:tc>
          <w:tcPr>
            <w:tcW w:w="215" w:type="pct"/>
            <w:tcBorders>
              <w:right w:val="dashSmallGap" w:sz="4" w:space="0" w:color="auto"/>
            </w:tcBorders>
            <w:vAlign w:val="center"/>
          </w:tcPr>
          <w:p w14:paraId="53316F68" w14:textId="77777777" w:rsidR="008F6AC1" w:rsidRPr="00483F7D" w:rsidRDefault="008F6AC1" w:rsidP="005563C1">
            <w:pPr>
              <w:ind w:right="-29"/>
              <w:jc w:val="center"/>
              <w:rPr>
                <w:noProof/>
                <w:sz w:val="20"/>
                <w:szCs w:val="20"/>
              </w:rPr>
            </w:pPr>
          </w:p>
        </w:tc>
        <w:tc>
          <w:tcPr>
            <w:tcW w:w="438" w:type="pct"/>
            <w:tcBorders>
              <w:left w:val="dashSmallGap" w:sz="4" w:space="0" w:color="auto"/>
            </w:tcBorders>
            <w:vAlign w:val="center"/>
          </w:tcPr>
          <w:p w14:paraId="2A8BBC1A" w14:textId="77777777" w:rsidR="008F6AC1" w:rsidRPr="00483F7D" w:rsidRDefault="008F6AC1" w:rsidP="005563C1">
            <w:pPr>
              <w:ind w:right="-29"/>
              <w:jc w:val="center"/>
              <w:rPr>
                <w:noProof/>
                <w:sz w:val="20"/>
                <w:szCs w:val="20"/>
              </w:rPr>
            </w:pPr>
            <w:r w:rsidRPr="00483F7D">
              <w:rPr>
                <w:sz w:val="20"/>
              </w:rPr>
              <w:t>172,673</w:t>
            </w:r>
          </w:p>
        </w:tc>
        <w:tc>
          <w:tcPr>
            <w:tcW w:w="122" w:type="pct"/>
            <w:gridSpan w:val="2"/>
            <w:tcBorders>
              <w:right w:val="dashSmallGap" w:sz="4" w:space="0" w:color="auto"/>
            </w:tcBorders>
            <w:vAlign w:val="center"/>
          </w:tcPr>
          <w:p w14:paraId="4DBC0AAF" w14:textId="77777777" w:rsidR="008F6AC1" w:rsidRPr="00483F7D" w:rsidRDefault="008F6AC1" w:rsidP="005563C1">
            <w:pPr>
              <w:ind w:right="-29"/>
              <w:jc w:val="center"/>
              <w:rPr>
                <w:noProof/>
                <w:sz w:val="20"/>
                <w:szCs w:val="20"/>
              </w:rPr>
            </w:pPr>
          </w:p>
        </w:tc>
        <w:tc>
          <w:tcPr>
            <w:tcW w:w="392" w:type="pct"/>
            <w:gridSpan w:val="2"/>
            <w:tcBorders>
              <w:left w:val="dashSmallGap" w:sz="4" w:space="0" w:color="auto"/>
            </w:tcBorders>
            <w:vAlign w:val="center"/>
          </w:tcPr>
          <w:p w14:paraId="41F2C23A" w14:textId="77777777" w:rsidR="008F6AC1" w:rsidRPr="00483F7D" w:rsidRDefault="008F6AC1" w:rsidP="005563C1">
            <w:pPr>
              <w:ind w:right="-29"/>
              <w:jc w:val="center"/>
              <w:rPr>
                <w:noProof/>
                <w:sz w:val="20"/>
                <w:szCs w:val="20"/>
              </w:rPr>
            </w:pPr>
            <w:r w:rsidRPr="00483F7D">
              <w:rPr>
                <w:sz w:val="20"/>
              </w:rPr>
              <w:t>176,127</w:t>
            </w:r>
          </w:p>
        </w:tc>
        <w:tc>
          <w:tcPr>
            <w:tcW w:w="155" w:type="pct"/>
            <w:tcBorders>
              <w:right w:val="dashSmallGap" w:sz="4" w:space="0" w:color="auto"/>
            </w:tcBorders>
            <w:vAlign w:val="center"/>
          </w:tcPr>
          <w:p w14:paraId="1911FF11" w14:textId="77777777" w:rsidR="008F6AC1" w:rsidRPr="00483F7D" w:rsidRDefault="008F6AC1" w:rsidP="005563C1">
            <w:pPr>
              <w:ind w:right="-29"/>
              <w:rPr>
                <w:noProof/>
                <w:sz w:val="20"/>
                <w:szCs w:val="20"/>
              </w:rPr>
            </w:pPr>
          </w:p>
        </w:tc>
        <w:tc>
          <w:tcPr>
            <w:tcW w:w="359" w:type="pct"/>
            <w:tcBorders>
              <w:left w:val="dashSmallGap" w:sz="4" w:space="0" w:color="auto"/>
            </w:tcBorders>
            <w:vAlign w:val="center"/>
          </w:tcPr>
          <w:p w14:paraId="6272FA67" w14:textId="77777777" w:rsidR="008F6AC1" w:rsidRPr="00483F7D" w:rsidRDefault="008F6AC1" w:rsidP="005563C1">
            <w:pPr>
              <w:ind w:right="-29"/>
              <w:jc w:val="center"/>
              <w:rPr>
                <w:noProof/>
                <w:sz w:val="20"/>
                <w:szCs w:val="20"/>
              </w:rPr>
            </w:pPr>
            <w:r w:rsidRPr="00483F7D">
              <w:rPr>
                <w:sz w:val="20"/>
              </w:rPr>
              <w:t>179,649</w:t>
            </w:r>
          </w:p>
        </w:tc>
        <w:tc>
          <w:tcPr>
            <w:tcW w:w="116" w:type="pct"/>
            <w:vAlign w:val="center"/>
          </w:tcPr>
          <w:p w14:paraId="6FFD2957" w14:textId="77777777" w:rsidR="008F6AC1" w:rsidRPr="00483F7D" w:rsidRDefault="008F6AC1" w:rsidP="005563C1">
            <w:pPr>
              <w:ind w:right="-29"/>
              <w:jc w:val="center"/>
              <w:rPr>
                <w:noProof/>
                <w:sz w:val="20"/>
                <w:szCs w:val="20"/>
              </w:rPr>
            </w:pPr>
          </w:p>
        </w:tc>
        <w:tc>
          <w:tcPr>
            <w:tcW w:w="407" w:type="pct"/>
            <w:vAlign w:val="center"/>
          </w:tcPr>
          <w:p w14:paraId="5E27EC55" w14:textId="77777777" w:rsidR="008F6AC1" w:rsidRPr="00483F7D" w:rsidRDefault="008F6AC1" w:rsidP="005563C1">
            <w:pPr>
              <w:ind w:right="-29"/>
              <w:jc w:val="center"/>
              <w:rPr>
                <w:noProof/>
                <w:sz w:val="20"/>
                <w:szCs w:val="20"/>
              </w:rPr>
            </w:pPr>
            <w:r w:rsidRPr="00483F7D">
              <w:rPr>
                <w:sz w:val="20"/>
              </w:rPr>
              <w:t>1 008,865</w:t>
            </w:r>
          </w:p>
        </w:tc>
      </w:tr>
      <w:tr w:rsidR="008F6AC1" w:rsidRPr="00483F7D" w14:paraId="175CCD45" w14:textId="77777777" w:rsidTr="005563C1">
        <w:trPr>
          <w:trHeight w:hRule="exact" w:val="763"/>
          <w:jc w:val="center"/>
        </w:trPr>
        <w:tc>
          <w:tcPr>
            <w:tcW w:w="641" w:type="pct"/>
            <w:vAlign w:val="center"/>
          </w:tcPr>
          <w:p w14:paraId="3EE0F9C0" w14:textId="77777777" w:rsidR="008F6AC1" w:rsidRPr="00483F7D" w:rsidRDefault="008F6AC1" w:rsidP="005563C1">
            <w:pPr>
              <w:ind w:right="-29"/>
              <w:jc w:val="right"/>
              <w:rPr>
                <w:i/>
                <w:iCs/>
                <w:noProof/>
                <w:sz w:val="18"/>
              </w:rPr>
            </w:pPr>
            <w:r w:rsidRPr="00483F7D">
              <w:rPr>
                <w:i/>
                <w:sz w:val="18"/>
              </w:rPr>
              <w:t>Κεφαλαιουχικές δαπάνες του προγράμματος μετασχηματισμού</w:t>
            </w:r>
          </w:p>
        </w:tc>
        <w:tc>
          <w:tcPr>
            <w:tcW w:w="111" w:type="pct"/>
            <w:vAlign w:val="center"/>
          </w:tcPr>
          <w:p w14:paraId="57DA1ABB" w14:textId="77777777" w:rsidR="008F6AC1" w:rsidRPr="00483F7D" w:rsidRDefault="008F6AC1" w:rsidP="005563C1">
            <w:pPr>
              <w:ind w:right="-29"/>
              <w:jc w:val="center"/>
              <w:rPr>
                <w:noProof/>
                <w:sz w:val="18"/>
              </w:rPr>
            </w:pPr>
          </w:p>
        </w:tc>
        <w:tc>
          <w:tcPr>
            <w:tcW w:w="161" w:type="pct"/>
            <w:vAlign w:val="center"/>
          </w:tcPr>
          <w:p w14:paraId="65406BEC" w14:textId="77777777" w:rsidR="008F6AC1" w:rsidRPr="00483F7D" w:rsidRDefault="008F6AC1" w:rsidP="005563C1">
            <w:pPr>
              <w:ind w:right="-29"/>
              <w:jc w:val="center"/>
              <w:rPr>
                <w:noProof/>
                <w:sz w:val="18"/>
              </w:rPr>
            </w:pPr>
          </w:p>
        </w:tc>
        <w:tc>
          <w:tcPr>
            <w:tcW w:w="141" w:type="pct"/>
            <w:gridSpan w:val="2"/>
            <w:tcBorders>
              <w:right w:val="dashSmallGap" w:sz="4" w:space="0" w:color="auto"/>
            </w:tcBorders>
            <w:vAlign w:val="center"/>
          </w:tcPr>
          <w:p w14:paraId="73791D77" w14:textId="77777777" w:rsidR="008F6AC1" w:rsidRPr="00483F7D" w:rsidRDefault="008F6AC1" w:rsidP="005563C1">
            <w:pPr>
              <w:ind w:right="-29"/>
              <w:jc w:val="center"/>
              <w:rPr>
                <w:noProof/>
                <w:sz w:val="18"/>
              </w:rPr>
            </w:pPr>
          </w:p>
        </w:tc>
        <w:tc>
          <w:tcPr>
            <w:tcW w:w="326" w:type="pct"/>
            <w:tcBorders>
              <w:left w:val="dashSmallGap" w:sz="4" w:space="0" w:color="auto"/>
            </w:tcBorders>
            <w:vAlign w:val="center"/>
          </w:tcPr>
          <w:p w14:paraId="086C4B2E" w14:textId="77777777" w:rsidR="008F6AC1" w:rsidRPr="00483F7D" w:rsidRDefault="008F6AC1" w:rsidP="005563C1">
            <w:pPr>
              <w:ind w:right="-29"/>
              <w:jc w:val="center"/>
              <w:rPr>
                <w:noProof/>
                <w:sz w:val="20"/>
                <w:szCs w:val="20"/>
              </w:rPr>
            </w:pPr>
            <w:r w:rsidRPr="00483F7D">
              <w:rPr>
                <w:sz w:val="20"/>
              </w:rPr>
              <w:t>31,822</w:t>
            </w:r>
          </w:p>
        </w:tc>
        <w:tc>
          <w:tcPr>
            <w:tcW w:w="103" w:type="pct"/>
            <w:tcBorders>
              <w:right w:val="dashSmallGap" w:sz="4" w:space="0" w:color="auto"/>
            </w:tcBorders>
            <w:vAlign w:val="center"/>
          </w:tcPr>
          <w:p w14:paraId="3D8CDB62" w14:textId="77777777" w:rsidR="008F6AC1" w:rsidRPr="00483F7D" w:rsidRDefault="008F6AC1" w:rsidP="005563C1">
            <w:pPr>
              <w:ind w:right="-29"/>
              <w:jc w:val="center"/>
              <w:rPr>
                <w:noProof/>
                <w:sz w:val="20"/>
                <w:szCs w:val="20"/>
              </w:rPr>
            </w:pPr>
          </w:p>
        </w:tc>
        <w:tc>
          <w:tcPr>
            <w:tcW w:w="326" w:type="pct"/>
            <w:gridSpan w:val="2"/>
            <w:tcBorders>
              <w:left w:val="dashSmallGap" w:sz="4" w:space="0" w:color="auto"/>
            </w:tcBorders>
            <w:vAlign w:val="center"/>
          </w:tcPr>
          <w:p w14:paraId="5FC916DE" w14:textId="77777777" w:rsidR="008F6AC1" w:rsidRPr="00483F7D" w:rsidRDefault="008F6AC1" w:rsidP="005563C1">
            <w:pPr>
              <w:ind w:right="-29"/>
              <w:jc w:val="center"/>
              <w:rPr>
                <w:noProof/>
                <w:sz w:val="20"/>
                <w:szCs w:val="20"/>
              </w:rPr>
            </w:pPr>
            <w:r w:rsidRPr="00483F7D">
              <w:rPr>
                <w:sz w:val="20"/>
              </w:rPr>
              <w:t>32,458</w:t>
            </w:r>
          </w:p>
        </w:tc>
        <w:tc>
          <w:tcPr>
            <w:tcW w:w="101" w:type="pct"/>
            <w:tcBorders>
              <w:right w:val="dashSmallGap" w:sz="4" w:space="0" w:color="auto"/>
            </w:tcBorders>
            <w:vAlign w:val="center"/>
          </w:tcPr>
          <w:p w14:paraId="407F1B70" w14:textId="77777777" w:rsidR="008F6AC1" w:rsidRPr="00483F7D" w:rsidRDefault="008F6AC1" w:rsidP="005563C1">
            <w:pPr>
              <w:ind w:right="-29"/>
              <w:jc w:val="center"/>
              <w:rPr>
                <w:noProof/>
                <w:sz w:val="20"/>
                <w:szCs w:val="20"/>
              </w:rPr>
            </w:pPr>
          </w:p>
        </w:tc>
        <w:tc>
          <w:tcPr>
            <w:tcW w:w="387" w:type="pct"/>
            <w:gridSpan w:val="2"/>
            <w:tcBorders>
              <w:left w:val="dashSmallGap" w:sz="4" w:space="0" w:color="auto"/>
            </w:tcBorders>
            <w:vAlign w:val="center"/>
          </w:tcPr>
          <w:p w14:paraId="674C7AE4" w14:textId="77777777" w:rsidR="008F6AC1" w:rsidRPr="00483F7D" w:rsidRDefault="008F6AC1" w:rsidP="005563C1">
            <w:pPr>
              <w:ind w:right="-29"/>
              <w:jc w:val="center"/>
              <w:rPr>
                <w:noProof/>
                <w:sz w:val="20"/>
                <w:szCs w:val="20"/>
              </w:rPr>
            </w:pPr>
            <w:r w:rsidRPr="00483F7D">
              <w:rPr>
                <w:sz w:val="20"/>
              </w:rPr>
              <w:t>33,107</w:t>
            </w:r>
          </w:p>
        </w:tc>
        <w:tc>
          <w:tcPr>
            <w:tcW w:w="165" w:type="pct"/>
            <w:tcBorders>
              <w:right w:val="dashSmallGap" w:sz="4" w:space="0" w:color="auto"/>
            </w:tcBorders>
            <w:vAlign w:val="center"/>
          </w:tcPr>
          <w:p w14:paraId="7C13698C" w14:textId="77777777" w:rsidR="008F6AC1" w:rsidRPr="00483F7D" w:rsidRDefault="008F6AC1" w:rsidP="005563C1">
            <w:pPr>
              <w:ind w:right="-29"/>
              <w:jc w:val="center"/>
              <w:rPr>
                <w:noProof/>
                <w:sz w:val="20"/>
                <w:szCs w:val="20"/>
              </w:rPr>
            </w:pPr>
          </w:p>
        </w:tc>
        <w:tc>
          <w:tcPr>
            <w:tcW w:w="334" w:type="pct"/>
            <w:tcBorders>
              <w:left w:val="dashSmallGap" w:sz="4" w:space="0" w:color="auto"/>
            </w:tcBorders>
            <w:vAlign w:val="center"/>
          </w:tcPr>
          <w:p w14:paraId="0FC50F35" w14:textId="77777777" w:rsidR="008F6AC1" w:rsidRPr="00483F7D" w:rsidRDefault="008F6AC1" w:rsidP="005563C1">
            <w:pPr>
              <w:ind w:right="-29"/>
              <w:jc w:val="center"/>
              <w:rPr>
                <w:noProof/>
                <w:sz w:val="20"/>
                <w:szCs w:val="20"/>
              </w:rPr>
            </w:pPr>
            <w:r w:rsidRPr="00483F7D">
              <w:rPr>
                <w:sz w:val="20"/>
              </w:rPr>
              <w:t>33,770</w:t>
            </w:r>
          </w:p>
        </w:tc>
        <w:tc>
          <w:tcPr>
            <w:tcW w:w="215" w:type="pct"/>
            <w:tcBorders>
              <w:right w:val="dashSmallGap" w:sz="4" w:space="0" w:color="auto"/>
            </w:tcBorders>
            <w:vAlign w:val="center"/>
          </w:tcPr>
          <w:p w14:paraId="15E514BC" w14:textId="77777777" w:rsidR="008F6AC1" w:rsidRPr="00483F7D" w:rsidRDefault="008F6AC1" w:rsidP="005563C1">
            <w:pPr>
              <w:ind w:right="-29"/>
              <w:jc w:val="center"/>
              <w:rPr>
                <w:noProof/>
                <w:sz w:val="20"/>
                <w:szCs w:val="20"/>
              </w:rPr>
            </w:pPr>
          </w:p>
        </w:tc>
        <w:tc>
          <w:tcPr>
            <w:tcW w:w="438" w:type="pct"/>
            <w:tcBorders>
              <w:left w:val="dashSmallGap" w:sz="4" w:space="0" w:color="auto"/>
            </w:tcBorders>
            <w:vAlign w:val="center"/>
          </w:tcPr>
          <w:p w14:paraId="105937C8" w14:textId="77777777" w:rsidR="008F6AC1" w:rsidRPr="00483F7D" w:rsidRDefault="008F6AC1" w:rsidP="005563C1">
            <w:pPr>
              <w:ind w:right="-29"/>
              <w:jc w:val="center"/>
              <w:rPr>
                <w:noProof/>
                <w:sz w:val="20"/>
                <w:szCs w:val="20"/>
              </w:rPr>
            </w:pPr>
            <w:r w:rsidRPr="00483F7D">
              <w:rPr>
                <w:sz w:val="20"/>
              </w:rPr>
              <w:t>34,445</w:t>
            </w:r>
          </w:p>
        </w:tc>
        <w:tc>
          <w:tcPr>
            <w:tcW w:w="122" w:type="pct"/>
            <w:gridSpan w:val="2"/>
            <w:tcBorders>
              <w:right w:val="dashSmallGap" w:sz="4" w:space="0" w:color="auto"/>
            </w:tcBorders>
            <w:vAlign w:val="center"/>
          </w:tcPr>
          <w:p w14:paraId="49BDB212" w14:textId="77777777" w:rsidR="008F6AC1" w:rsidRPr="00483F7D" w:rsidRDefault="008F6AC1" w:rsidP="005563C1">
            <w:pPr>
              <w:ind w:right="-29"/>
              <w:jc w:val="center"/>
              <w:rPr>
                <w:noProof/>
                <w:sz w:val="20"/>
                <w:szCs w:val="20"/>
              </w:rPr>
            </w:pPr>
          </w:p>
        </w:tc>
        <w:tc>
          <w:tcPr>
            <w:tcW w:w="392" w:type="pct"/>
            <w:gridSpan w:val="2"/>
            <w:tcBorders>
              <w:left w:val="dashSmallGap" w:sz="4" w:space="0" w:color="auto"/>
            </w:tcBorders>
            <w:vAlign w:val="center"/>
          </w:tcPr>
          <w:p w14:paraId="0D654225" w14:textId="77777777" w:rsidR="008F6AC1" w:rsidRPr="00483F7D" w:rsidRDefault="008F6AC1" w:rsidP="005563C1">
            <w:pPr>
              <w:ind w:right="-29"/>
              <w:jc w:val="center"/>
              <w:rPr>
                <w:noProof/>
                <w:sz w:val="20"/>
                <w:szCs w:val="20"/>
              </w:rPr>
            </w:pPr>
            <w:r w:rsidRPr="00483F7D">
              <w:rPr>
                <w:sz w:val="20"/>
              </w:rPr>
              <w:t>35,134</w:t>
            </w:r>
          </w:p>
        </w:tc>
        <w:tc>
          <w:tcPr>
            <w:tcW w:w="155" w:type="pct"/>
            <w:tcBorders>
              <w:right w:val="dashSmallGap" w:sz="4" w:space="0" w:color="auto"/>
            </w:tcBorders>
            <w:vAlign w:val="center"/>
          </w:tcPr>
          <w:p w14:paraId="00A7449C" w14:textId="77777777" w:rsidR="008F6AC1" w:rsidRPr="00483F7D" w:rsidRDefault="008F6AC1" w:rsidP="005563C1">
            <w:pPr>
              <w:ind w:right="-29"/>
              <w:rPr>
                <w:noProof/>
                <w:sz w:val="20"/>
                <w:szCs w:val="20"/>
              </w:rPr>
            </w:pPr>
          </w:p>
        </w:tc>
        <w:tc>
          <w:tcPr>
            <w:tcW w:w="359" w:type="pct"/>
            <w:tcBorders>
              <w:left w:val="dashSmallGap" w:sz="4" w:space="0" w:color="auto"/>
            </w:tcBorders>
            <w:vAlign w:val="center"/>
          </w:tcPr>
          <w:p w14:paraId="2BFFCCDF" w14:textId="77777777" w:rsidR="008F6AC1" w:rsidRPr="00483F7D" w:rsidRDefault="008F6AC1" w:rsidP="005563C1">
            <w:pPr>
              <w:ind w:right="-29"/>
              <w:jc w:val="center"/>
              <w:rPr>
                <w:noProof/>
                <w:sz w:val="20"/>
                <w:szCs w:val="20"/>
              </w:rPr>
            </w:pPr>
            <w:r w:rsidRPr="00483F7D">
              <w:rPr>
                <w:sz w:val="20"/>
              </w:rPr>
              <w:t>35,837</w:t>
            </w:r>
          </w:p>
        </w:tc>
        <w:tc>
          <w:tcPr>
            <w:tcW w:w="116" w:type="pct"/>
            <w:vAlign w:val="center"/>
          </w:tcPr>
          <w:p w14:paraId="0F634355" w14:textId="77777777" w:rsidR="008F6AC1" w:rsidRPr="00483F7D" w:rsidRDefault="008F6AC1" w:rsidP="005563C1">
            <w:pPr>
              <w:ind w:right="-29"/>
              <w:jc w:val="center"/>
              <w:rPr>
                <w:noProof/>
                <w:sz w:val="20"/>
                <w:szCs w:val="20"/>
              </w:rPr>
            </w:pPr>
          </w:p>
        </w:tc>
        <w:tc>
          <w:tcPr>
            <w:tcW w:w="407" w:type="pct"/>
            <w:vAlign w:val="center"/>
          </w:tcPr>
          <w:p w14:paraId="6E1ADB52" w14:textId="77777777" w:rsidR="008F6AC1" w:rsidRPr="00483F7D" w:rsidRDefault="008F6AC1" w:rsidP="005563C1">
            <w:pPr>
              <w:ind w:right="-29"/>
              <w:jc w:val="center"/>
              <w:rPr>
                <w:noProof/>
                <w:sz w:val="20"/>
                <w:szCs w:val="20"/>
              </w:rPr>
            </w:pPr>
            <w:r w:rsidRPr="00483F7D">
              <w:rPr>
                <w:sz w:val="20"/>
              </w:rPr>
              <w:t>236,573</w:t>
            </w:r>
          </w:p>
        </w:tc>
      </w:tr>
      <w:tr w:rsidR="008F6AC1" w:rsidRPr="00483F7D" w14:paraId="73DFEB38" w14:textId="77777777" w:rsidTr="005563C1">
        <w:trPr>
          <w:trHeight w:hRule="exact" w:val="815"/>
          <w:jc w:val="center"/>
        </w:trPr>
        <w:tc>
          <w:tcPr>
            <w:tcW w:w="641" w:type="pct"/>
            <w:vAlign w:val="center"/>
          </w:tcPr>
          <w:p w14:paraId="5E3B7E4C" w14:textId="77777777" w:rsidR="008F6AC1" w:rsidRPr="00483F7D" w:rsidRDefault="008F6AC1" w:rsidP="005563C1">
            <w:pPr>
              <w:ind w:right="-29"/>
              <w:jc w:val="right"/>
              <w:rPr>
                <w:i/>
                <w:iCs/>
                <w:noProof/>
                <w:sz w:val="18"/>
              </w:rPr>
            </w:pPr>
            <w:r w:rsidRPr="00483F7D">
              <w:rPr>
                <w:i/>
                <w:sz w:val="18"/>
              </w:rPr>
              <w:t>Επιχειρησιακές δαπάνες του προγράμματος μετασχηματισμού</w:t>
            </w:r>
          </w:p>
        </w:tc>
        <w:tc>
          <w:tcPr>
            <w:tcW w:w="111" w:type="pct"/>
            <w:vAlign w:val="center"/>
          </w:tcPr>
          <w:p w14:paraId="2B690639" w14:textId="77777777" w:rsidR="008F6AC1" w:rsidRPr="00483F7D" w:rsidRDefault="008F6AC1" w:rsidP="005563C1">
            <w:pPr>
              <w:ind w:right="-29"/>
              <w:jc w:val="center"/>
              <w:rPr>
                <w:noProof/>
                <w:sz w:val="18"/>
              </w:rPr>
            </w:pPr>
          </w:p>
        </w:tc>
        <w:tc>
          <w:tcPr>
            <w:tcW w:w="161" w:type="pct"/>
            <w:vAlign w:val="center"/>
          </w:tcPr>
          <w:p w14:paraId="77207FA9" w14:textId="77777777" w:rsidR="008F6AC1" w:rsidRPr="00483F7D" w:rsidRDefault="008F6AC1" w:rsidP="005563C1">
            <w:pPr>
              <w:ind w:right="-29"/>
              <w:jc w:val="center"/>
              <w:rPr>
                <w:noProof/>
                <w:sz w:val="18"/>
              </w:rPr>
            </w:pPr>
          </w:p>
        </w:tc>
        <w:tc>
          <w:tcPr>
            <w:tcW w:w="141" w:type="pct"/>
            <w:gridSpan w:val="2"/>
            <w:tcBorders>
              <w:right w:val="dashSmallGap" w:sz="4" w:space="0" w:color="auto"/>
            </w:tcBorders>
            <w:vAlign w:val="center"/>
          </w:tcPr>
          <w:p w14:paraId="34CE771F" w14:textId="77777777" w:rsidR="008F6AC1" w:rsidRPr="00483F7D" w:rsidRDefault="008F6AC1" w:rsidP="005563C1">
            <w:pPr>
              <w:ind w:right="-29"/>
              <w:jc w:val="center"/>
              <w:rPr>
                <w:noProof/>
                <w:sz w:val="18"/>
              </w:rPr>
            </w:pPr>
          </w:p>
        </w:tc>
        <w:tc>
          <w:tcPr>
            <w:tcW w:w="326" w:type="pct"/>
            <w:tcBorders>
              <w:left w:val="dashSmallGap" w:sz="4" w:space="0" w:color="auto"/>
            </w:tcBorders>
            <w:vAlign w:val="center"/>
          </w:tcPr>
          <w:p w14:paraId="6FBCBC7F" w14:textId="77777777" w:rsidR="008F6AC1" w:rsidRPr="00483F7D" w:rsidRDefault="008F6AC1" w:rsidP="005563C1">
            <w:pPr>
              <w:ind w:right="-29"/>
              <w:jc w:val="center"/>
              <w:rPr>
                <w:noProof/>
                <w:sz w:val="20"/>
                <w:szCs w:val="20"/>
              </w:rPr>
            </w:pPr>
            <w:r w:rsidRPr="00483F7D">
              <w:rPr>
                <w:sz w:val="20"/>
              </w:rPr>
              <w:t>0</w:t>
            </w:r>
          </w:p>
        </w:tc>
        <w:tc>
          <w:tcPr>
            <w:tcW w:w="103" w:type="pct"/>
            <w:tcBorders>
              <w:right w:val="dashSmallGap" w:sz="4" w:space="0" w:color="auto"/>
            </w:tcBorders>
            <w:vAlign w:val="center"/>
          </w:tcPr>
          <w:p w14:paraId="369844FB" w14:textId="77777777" w:rsidR="008F6AC1" w:rsidRPr="00483F7D" w:rsidRDefault="008F6AC1" w:rsidP="005563C1">
            <w:pPr>
              <w:ind w:right="-29"/>
              <w:jc w:val="center"/>
              <w:rPr>
                <w:noProof/>
                <w:sz w:val="20"/>
                <w:szCs w:val="20"/>
              </w:rPr>
            </w:pPr>
          </w:p>
        </w:tc>
        <w:tc>
          <w:tcPr>
            <w:tcW w:w="326" w:type="pct"/>
            <w:gridSpan w:val="2"/>
            <w:tcBorders>
              <w:left w:val="dashSmallGap" w:sz="4" w:space="0" w:color="auto"/>
            </w:tcBorders>
            <w:vAlign w:val="center"/>
          </w:tcPr>
          <w:p w14:paraId="0A9B19F1" w14:textId="77777777" w:rsidR="008F6AC1" w:rsidRPr="00483F7D" w:rsidRDefault="008F6AC1" w:rsidP="005563C1">
            <w:pPr>
              <w:ind w:right="-29"/>
              <w:jc w:val="center"/>
              <w:rPr>
                <w:noProof/>
                <w:sz w:val="20"/>
                <w:szCs w:val="20"/>
              </w:rPr>
            </w:pPr>
            <w:r w:rsidRPr="00483F7D">
              <w:rPr>
                <w:sz w:val="20"/>
              </w:rPr>
              <w:t>4,869</w:t>
            </w:r>
          </w:p>
        </w:tc>
        <w:tc>
          <w:tcPr>
            <w:tcW w:w="101" w:type="pct"/>
            <w:tcBorders>
              <w:right w:val="dashSmallGap" w:sz="4" w:space="0" w:color="auto"/>
            </w:tcBorders>
            <w:vAlign w:val="center"/>
          </w:tcPr>
          <w:p w14:paraId="7B3EF456" w14:textId="77777777" w:rsidR="008F6AC1" w:rsidRPr="00483F7D" w:rsidRDefault="008F6AC1" w:rsidP="005563C1">
            <w:pPr>
              <w:ind w:right="-29"/>
              <w:jc w:val="center"/>
              <w:rPr>
                <w:noProof/>
                <w:sz w:val="20"/>
                <w:szCs w:val="20"/>
              </w:rPr>
            </w:pPr>
          </w:p>
        </w:tc>
        <w:tc>
          <w:tcPr>
            <w:tcW w:w="387" w:type="pct"/>
            <w:gridSpan w:val="2"/>
            <w:tcBorders>
              <w:left w:val="dashSmallGap" w:sz="4" w:space="0" w:color="auto"/>
            </w:tcBorders>
            <w:vAlign w:val="center"/>
          </w:tcPr>
          <w:p w14:paraId="39307384" w14:textId="77777777" w:rsidR="008F6AC1" w:rsidRPr="00483F7D" w:rsidRDefault="008F6AC1" w:rsidP="005563C1">
            <w:pPr>
              <w:ind w:right="-29"/>
              <w:jc w:val="center"/>
              <w:rPr>
                <w:noProof/>
                <w:sz w:val="20"/>
                <w:szCs w:val="20"/>
              </w:rPr>
            </w:pPr>
            <w:r w:rsidRPr="00483F7D">
              <w:rPr>
                <w:sz w:val="20"/>
              </w:rPr>
              <w:t>9,932</w:t>
            </w:r>
          </w:p>
        </w:tc>
        <w:tc>
          <w:tcPr>
            <w:tcW w:w="165" w:type="pct"/>
            <w:tcBorders>
              <w:right w:val="dashSmallGap" w:sz="4" w:space="0" w:color="auto"/>
            </w:tcBorders>
            <w:vAlign w:val="center"/>
          </w:tcPr>
          <w:p w14:paraId="12CC5491" w14:textId="77777777" w:rsidR="008F6AC1" w:rsidRPr="00483F7D" w:rsidRDefault="008F6AC1" w:rsidP="005563C1">
            <w:pPr>
              <w:ind w:right="-29"/>
              <w:jc w:val="center"/>
              <w:rPr>
                <w:noProof/>
                <w:sz w:val="20"/>
                <w:szCs w:val="20"/>
              </w:rPr>
            </w:pPr>
          </w:p>
        </w:tc>
        <w:tc>
          <w:tcPr>
            <w:tcW w:w="334" w:type="pct"/>
            <w:tcBorders>
              <w:left w:val="dashSmallGap" w:sz="4" w:space="0" w:color="auto"/>
            </w:tcBorders>
            <w:vAlign w:val="center"/>
          </w:tcPr>
          <w:p w14:paraId="43D4E856" w14:textId="77777777" w:rsidR="008F6AC1" w:rsidRPr="00483F7D" w:rsidRDefault="008F6AC1" w:rsidP="005563C1">
            <w:pPr>
              <w:ind w:right="-29"/>
              <w:jc w:val="center"/>
              <w:rPr>
                <w:noProof/>
                <w:sz w:val="20"/>
                <w:szCs w:val="20"/>
              </w:rPr>
            </w:pPr>
            <w:r w:rsidRPr="00483F7D">
              <w:rPr>
                <w:sz w:val="20"/>
              </w:rPr>
              <w:t>15,196</w:t>
            </w:r>
          </w:p>
        </w:tc>
        <w:tc>
          <w:tcPr>
            <w:tcW w:w="215" w:type="pct"/>
            <w:tcBorders>
              <w:right w:val="dashSmallGap" w:sz="4" w:space="0" w:color="auto"/>
            </w:tcBorders>
            <w:vAlign w:val="center"/>
          </w:tcPr>
          <w:p w14:paraId="59E204C8" w14:textId="77777777" w:rsidR="008F6AC1" w:rsidRPr="00483F7D" w:rsidRDefault="008F6AC1" w:rsidP="005563C1">
            <w:pPr>
              <w:ind w:right="-29"/>
              <w:jc w:val="center"/>
              <w:rPr>
                <w:noProof/>
                <w:sz w:val="20"/>
                <w:szCs w:val="20"/>
              </w:rPr>
            </w:pPr>
          </w:p>
        </w:tc>
        <w:tc>
          <w:tcPr>
            <w:tcW w:w="438" w:type="pct"/>
            <w:tcBorders>
              <w:left w:val="dashSmallGap" w:sz="4" w:space="0" w:color="auto"/>
            </w:tcBorders>
            <w:vAlign w:val="center"/>
          </w:tcPr>
          <w:p w14:paraId="4EDE48D1" w14:textId="77777777" w:rsidR="008F6AC1" w:rsidRPr="00483F7D" w:rsidRDefault="008F6AC1" w:rsidP="005563C1">
            <w:pPr>
              <w:ind w:right="-29"/>
              <w:jc w:val="center"/>
              <w:rPr>
                <w:noProof/>
                <w:sz w:val="20"/>
                <w:szCs w:val="20"/>
              </w:rPr>
            </w:pPr>
            <w:r w:rsidRPr="00483F7D">
              <w:rPr>
                <w:sz w:val="20"/>
              </w:rPr>
              <w:t>20,667</w:t>
            </w:r>
          </w:p>
        </w:tc>
        <w:tc>
          <w:tcPr>
            <w:tcW w:w="122" w:type="pct"/>
            <w:gridSpan w:val="2"/>
            <w:tcBorders>
              <w:right w:val="dashSmallGap" w:sz="4" w:space="0" w:color="auto"/>
            </w:tcBorders>
            <w:vAlign w:val="center"/>
          </w:tcPr>
          <w:p w14:paraId="409C63CD" w14:textId="77777777" w:rsidR="008F6AC1" w:rsidRPr="00483F7D" w:rsidRDefault="008F6AC1" w:rsidP="005563C1">
            <w:pPr>
              <w:ind w:right="-29"/>
              <w:jc w:val="center"/>
              <w:rPr>
                <w:noProof/>
                <w:sz w:val="20"/>
                <w:szCs w:val="20"/>
              </w:rPr>
            </w:pPr>
          </w:p>
        </w:tc>
        <w:tc>
          <w:tcPr>
            <w:tcW w:w="392" w:type="pct"/>
            <w:gridSpan w:val="2"/>
            <w:tcBorders>
              <w:left w:val="dashSmallGap" w:sz="4" w:space="0" w:color="auto"/>
            </w:tcBorders>
            <w:vAlign w:val="center"/>
          </w:tcPr>
          <w:p w14:paraId="4AAD7C33" w14:textId="77777777" w:rsidR="008F6AC1" w:rsidRPr="00483F7D" w:rsidRDefault="008F6AC1" w:rsidP="005563C1">
            <w:pPr>
              <w:ind w:right="-29"/>
              <w:jc w:val="center"/>
              <w:rPr>
                <w:noProof/>
                <w:sz w:val="20"/>
                <w:szCs w:val="20"/>
              </w:rPr>
            </w:pPr>
            <w:r w:rsidRPr="00483F7D">
              <w:rPr>
                <w:sz w:val="20"/>
              </w:rPr>
              <w:t>26,350</w:t>
            </w:r>
          </w:p>
        </w:tc>
        <w:tc>
          <w:tcPr>
            <w:tcW w:w="155" w:type="pct"/>
            <w:tcBorders>
              <w:right w:val="dashSmallGap" w:sz="4" w:space="0" w:color="auto"/>
            </w:tcBorders>
            <w:vAlign w:val="center"/>
          </w:tcPr>
          <w:p w14:paraId="7C828A5D" w14:textId="77777777" w:rsidR="008F6AC1" w:rsidRPr="00483F7D" w:rsidRDefault="008F6AC1" w:rsidP="005563C1">
            <w:pPr>
              <w:ind w:right="-29"/>
              <w:rPr>
                <w:noProof/>
                <w:sz w:val="20"/>
                <w:szCs w:val="20"/>
              </w:rPr>
            </w:pPr>
          </w:p>
        </w:tc>
        <w:tc>
          <w:tcPr>
            <w:tcW w:w="359" w:type="pct"/>
            <w:tcBorders>
              <w:left w:val="dashSmallGap" w:sz="4" w:space="0" w:color="auto"/>
            </w:tcBorders>
            <w:vAlign w:val="center"/>
          </w:tcPr>
          <w:p w14:paraId="370309D2" w14:textId="77777777" w:rsidR="008F6AC1" w:rsidRPr="00483F7D" w:rsidRDefault="008F6AC1" w:rsidP="005563C1">
            <w:pPr>
              <w:ind w:right="-29"/>
              <w:jc w:val="center"/>
              <w:rPr>
                <w:noProof/>
                <w:sz w:val="20"/>
                <w:szCs w:val="20"/>
              </w:rPr>
            </w:pPr>
            <w:r w:rsidRPr="00483F7D">
              <w:rPr>
                <w:sz w:val="20"/>
              </w:rPr>
              <w:t>32,253</w:t>
            </w:r>
          </w:p>
        </w:tc>
        <w:tc>
          <w:tcPr>
            <w:tcW w:w="116" w:type="pct"/>
            <w:vAlign w:val="center"/>
          </w:tcPr>
          <w:p w14:paraId="0A9C96D5" w14:textId="77777777" w:rsidR="008F6AC1" w:rsidRPr="00483F7D" w:rsidRDefault="008F6AC1" w:rsidP="005563C1">
            <w:pPr>
              <w:ind w:right="-29"/>
              <w:jc w:val="center"/>
              <w:rPr>
                <w:noProof/>
                <w:sz w:val="20"/>
                <w:szCs w:val="20"/>
              </w:rPr>
            </w:pPr>
          </w:p>
        </w:tc>
        <w:tc>
          <w:tcPr>
            <w:tcW w:w="407" w:type="pct"/>
            <w:vAlign w:val="center"/>
          </w:tcPr>
          <w:p w14:paraId="34531F2E" w14:textId="77777777" w:rsidR="008F6AC1" w:rsidRPr="00483F7D" w:rsidRDefault="008F6AC1" w:rsidP="005563C1">
            <w:pPr>
              <w:ind w:right="-29"/>
              <w:jc w:val="center"/>
              <w:rPr>
                <w:noProof/>
                <w:sz w:val="20"/>
                <w:szCs w:val="20"/>
              </w:rPr>
            </w:pPr>
            <w:r w:rsidRPr="00483F7D">
              <w:rPr>
                <w:sz w:val="20"/>
              </w:rPr>
              <w:t>109,268</w:t>
            </w:r>
          </w:p>
        </w:tc>
      </w:tr>
      <w:tr w:rsidR="008F6AC1" w:rsidRPr="00483F7D" w14:paraId="78E25986" w14:textId="77777777" w:rsidTr="005563C1">
        <w:trPr>
          <w:trHeight w:val="488"/>
          <w:jc w:val="center"/>
        </w:trPr>
        <w:tc>
          <w:tcPr>
            <w:tcW w:w="641" w:type="pct"/>
            <w:tcBorders>
              <w:bottom w:val="single" w:sz="12" w:space="0" w:color="auto"/>
            </w:tcBorders>
            <w:vAlign w:val="center"/>
          </w:tcPr>
          <w:p w14:paraId="704FB66E" w14:textId="77777777" w:rsidR="008F6AC1" w:rsidRPr="00483F7D" w:rsidRDefault="008F6AC1" w:rsidP="005563C1">
            <w:pPr>
              <w:ind w:right="-29"/>
              <w:jc w:val="center"/>
              <w:rPr>
                <w:noProof/>
                <w:sz w:val="18"/>
              </w:rPr>
            </w:pPr>
            <w:r w:rsidRPr="00483F7D">
              <w:rPr>
                <w:sz w:val="18"/>
              </w:rPr>
              <w:t xml:space="preserve">Μερικό σύνολο </w:t>
            </w:r>
          </w:p>
        </w:tc>
        <w:tc>
          <w:tcPr>
            <w:tcW w:w="111" w:type="pct"/>
            <w:tcBorders>
              <w:bottom w:val="single" w:sz="12" w:space="0" w:color="auto"/>
            </w:tcBorders>
            <w:vAlign w:val="center"/>
          </w:tcPr>
          <w:p w14:paraId="3D169A2A" w14:textId="77777777" w:rsidR="008F6AC1" w:rsidRPr="00483F7D" w:rsidRDefault="008F6AC1" w:rsidP="005563C1">
            <w:pPr>
              <w:ind w:right="-29"/>
              <w:jc w:val="center"/>
              <w:rPr>
                <w:noProof/>
                <w:sz w:val="18"/>
              </w:rPr>
            </w:pPr>
          </w:p>
        </w:tc>
        <w:tc>
          <w:tcPr>
            <w:tcW w:w="161" w:type="pct"/>
            <w:tcBorders>
              <w:bottom w:val="single" w:sz="12" w:space="0" w:color="auto"/>
            </w:tcBorders>
            <w:vAlign w:val="center"/>
          </w:tcPr>
          <w:p w14:paraId="27250F02" w14:textId="77777777" w:rsidR="008F6AC1" w:rsidRPr="00483F7D" w:rsidRDefault="008F6AC1" w:rsidP="005563C1">
            <w:pPr>
              <w:ind w:right="-29"/>
              <w:jc w:val="center"/>
              <w:rPr>
                <w:noProof/>
                <w:sz w:val="18"/>
              </w:rPr>
            </w:pPr>
          </w:p>
        </w:tc>
        <w:tc>
          <w:tcPr>
            <w:tcW w:w="141" w:type="pct"/>
            <w:gridSpan w:val="2"/>
            <w:tcBorders>
              <w:bottom w:val="single" w:sz="12" w:space="0" w:color="auto"/>
            </w:tcBorders>
            <w:vAlign w:val="center"/>
          </w:tcPr>
          <w:p w14:paraId="53BD79B8" w14:textId="77777777" w:rsidR="008F6AC1" w:rsidRPr="00483F7D" w:rsidRDefault="008F6AC1" w:rsidP="005563C1">
            <w:pPr>
              <w:ind w:right="-29"/>
              <w:jc w:val="center"/>
              <w:rPr>
                <w:noProof/>
                <w:sz w:val="20"/>
                <w:szCs w:val="20"/>
              </w:rPr>
            </w:pPr>
          </w:p>
        </w:tc>
        <w:tc>
          <w:tcPr>
            <w:tcW w:w="326" w:type="pct"/>
            <w:tcBorders>
              <w:bottom w:val="single" w:sz="12" w:space="0" w:color="auto"/>
            </w:tcBorders>
            <w:vAlign w:val="center"/>
          </w:tcPr>
          <w:p w14:paraId="26F37850" w14:textId="77777777" w:rsidR="008F6AC1" w:rsidRPr="00483F7D" w:rsidRDefault="008F6AC1" w:rsidP="005563C1">
            <w:pPr>
              <w:ind w:right="-29"/>
              <w:jc w:val="center"/>
              <w:rPr>
                <w:noProof/>
                <w:sz w:val="20"/>
                <w:szCs w:val="20"/>
              </w:rPr>
            </w:pPr>
            <w:r w:rsidRPr="00483F7D">
              <w:rPr>
                <w:sz w:val="20"/>
              </w:rPr>
              <w:t>127,102</w:t>
            </w:r>
          </w:p>
        </w:tc>
        <w:tc>
          <w:tcPr>
            <w:tcW w:w="103" w:type="pct"/>
            <w:tcBorders>
              <w:bottom w:val="single" w:sz="12" w:space="0" w:color="auto"/>
            </w:tcBorders>
            <w:vAlign w:val="center"/>
          </w:tcPr>
          <w:p w14:paraId="655B6130" w14:textId="77777777" w:rsidR="008F6AC1" w:rsidRPr="00483F7D" w:rsidRDefault="008F6AC1" w:rsidP="005563C1">
            <w:pPr>
              <w:ind w:right="-29"/>
              <w:jc w:val="center"/>
              <w:rPr>
                <w:noProof/>
                <w:sz w:val="20"/>
                <w:szCs w:val="20"/>
              </w:rPr>
            </w:pPr>
          </w:p>
        </w:tc>
        <w:tc>
          <w:tcPr>
            <w:tcW w:w="326" w:type="pct"/>
            <w:gridSpan w:val="2"/>
            <w:tcBorders>
              <w:bottom w:val="single" w:sz="12" w:space="0" w:color="auto"/>
            </w:tcBorders>
            <w:vAlign w:val="center"/>
          </w:tcPr>
          <w:p w14:paraId="7DAC5D41" w14:textId="77777777" w:rsidR="008F6AC1" w:rsidRPr="00483F7D" w:rsidRDefault="008F6AC1" w:rsidP="005563C1">
            <w:pPr>
              <w:ind w:right="-29"/>
              <w:jc w:val="center"/>
              <w:rPr>
                <w:noProof/>
                <w:sz w:val="20"/>
                <w:szCs w:val="20"/>
              </w:rPr>
            </w:pPr>
            <w:r w:rsidRPr="00483F7D">
              <w:rPr>
                <w:sz w:val="20"/>
              </w:rPr>
              <w:t>211,692</w:t>
            </w:r>
          </w:p>
        </w:tc>
        <w:tc>
          <w:tcPr>
            <w:tcW w:w="101" w:type="pct"/>
            <w:tcBorders>
              <w:bottom w:val="single" w:sz="12" w:space="0" w:color="auto"/>
            </w:tcBorders>
            <w:vAlign w:val="center"/>
          </w:tcPr>
          <w:p w14:paraId="58827941" w14:textId="77777777" w:rsidR="008F6AC1" w:rsidRPr="00483F7D" w:rsidRDefault="008F6AC1" w:rsidP="005563C1">
            <w:pPr>
              <w:ind w:right="-29"/>
              <w:jc w:val="center"/>
              <w:rPr>
                <w:noProof/>
                <w:sz w:val="20"/>
                <w:szCs w:val="20"/>
              </w:rPr>
            </w:pPr>
          </w:p>
        </w:tc>
        <w:tc>
          <w:tcPr>
            <w:tcW w:w="387" w:type="pct"/>
            <w:gridSpan w:val="2"/>
            <w:tcBorders>
              <w:bottom w:val="single" w:sz="12" w:space="0" w:color="auto"/>
            </w:tcBorders>
            <w:vAlign w:val="center"/>
          </w:tcPr>
          <w:p w14:paraId="20728928" w14:textId="77777777" w:rsidR="008F6AC1" w:rsidRPr="00483F7D" w:rsidRDefault="008F6AC1" w:rsidP="005563C1">
            <w:pPr>
              <w:ind w:right="-29"/>
              <w:jc w:val="center"/>
              <w:rPr>
                <w:noProof/>
                <w:sz w:val="20"/>
                <w:szCs w:val="20"/>
              </w:rPr>
            </w:pPr>
            <w:r w:rsidRPr="00483F7D">
              <w:rPr>
                <w:sz w:val="20"/>
              </w:rPr>
              <w:t>254,085</w:t>
            </w:r>
          </w:p>
        </w:tc>
        <w:tc>
          <w:tcPr>
            <w:tcW w:w="165" w:type="pct"/>
            <w:tcBorders>
              <w:bottom w:val="single" w:sz="12" w:space="0" w:color="auto"/>
            </w:tcBorders>
            <w:vAlign w:val="center"/>
          </w:tcPr>
          <w:p w14:paraId="65049580" w14:textId="77777777" w:rsidR="008F6AC1" w:rsidRPr="00483F7D" w:rsidRDefault="008F6AC1" w:rsidP="005563C1">
            <w:pPr>
              <w:ind w:right="-29"/>
              <w:jc w:val="center"/>
              <w:rPr>
                <w:noProof/>
                <w:sz w:val="20"/>
                <w:szCs w:val="20"/>
              </w:rPr>
            </w:pPr>
          </w:p>
        </w:tc>
        <w:tc>
          <w:tcPr>
            <w:tcW w:w="334" w:type="pct"/>
            <w:tcBorders>
              <w:bottom w:val="single" w:sz="12" w:space="0" w:color="auto"/>
            </w:tcBorders>
            <w:vAlign w:val="center"/>
          </w:tcPr>
          <w:p w14:paraId="7BE844C2" w14:textId="77777777" w:rsidR="008F6AC1" w:rsidRPr="00483F7D" w:rsidRDefault="008F6AC1" w:rsidP="005563C1">
            <w:pPr>
              <w:ind w:right="-29"/>
              <w:jc w:val="center"/>
              <w:rPr>
                <w:noProof/>
                <w:sz w:val="20"/>
                <w:szCs w:val="20"/>
              </w:rPr>
            </w:pPr>
            <w:r w:rsidRPr="00483F7D">
              <w:rPr>
                <w:sz w:val="20"/>
              </w:rPr>
              <w:t>268,580</w:t>
            </w:r>
          </w:p>
        </w:tc>
        <w:tc>
          <w:tcPr>
            <w:tcW w:w="215" w:type="pct"/>
            <w:tcBorders>
              <w:bottom w:val="single" w:sz="12" w:space="0" w:color="auto"/>
            </w:tcBorders>
            <w:vAlign w:val="center"/>
          </w:tcPr>
          <w:p w14:paraId="18A2D0F2" w14:textId="77777777" w:rsidR="008F6AC1" w:rsidRPr="00483F7D" w:rsidRDefault="008F6AC1" w:rsidP="005563C1">
            <w:pPr>
              <w:ind w:right="-29"/>
              <w:jc w:val="center"/>
              <w:rPr>
                <w:noProof/>
                <w:sz w:val="20"/>
                <w:szCs w:val="20"/>
              </w:rPr>
            </w:pPr>
          </w:p>
        </w:tc>
        <w:tc>
          <w:tcPr>
            <w:tcW w:w="438" w:type="pct"/>
            <w:tcBorders>
              <w:bottom w:val="single" w:sz="12" w:space="0" w:color="auto"/>
            </w:tcBorders>
            <w:vAlign w:val="center"/>
          </w:tcPr>
          <w:p w14:paraId="3936A12A" w14:textId="77777777" w:rsidR="008F6AC1" w:rsidRPr="00483F7D" w:rsidRDefault="008F6AC1" w:rsidP="005563C1">
            <w:pPr>
              <w:ind w:right="-29"/>
              <w:jc w:val="center"/>
              <w:rPr>
                <w:noProof/>
                <w:sz w:val="20"/>
                <w:szCs w:val="20"/>
              </w:rPr>
            </w:pPr>
            <w:r w:rsidRPr="00483F7D">
              <w:rPr>
                <w:sz w:val="20"/>
              </w:rPr>
              <w:t>227,785</w:t>
            </w:r>
          </w:p>
        </w:tc>
        <w:tc>
          <w:tcPr>
            <w:tcW w:w="122" w:type="pct"/>
            <w:gridSpan w:val="2"/>
            <w:tcBorders>
              <w:bottom w:val="single" w:sz="12" w:space="0" w:color="auto"/>
            </w:tcBorders>
            <w:vAlign w:val="center"/>
          </w:tcPr>
          <w:p w14:paraId="7FD1AC82" w14:textId="77777777" w:rsidR="008F6AC1" w:rsidRPr="00483F7D" w:rsidRDefault="008F6AC1" w:rsidP="005563C1">
            <w:pPr>
              <w:ind w:right="-29"/>
              <w:jc w:val="center"/>
              <w:rPr>
                <w:noProof/>
                <w:sz w:val="20"/>
                <w:szCs w:val="20"/>
              </w:rPr>
            </w:pPr>
          </w:p>
        </w:tc>
        <w:tc>
          <w:tcPr>
            <w:tcW w:w="392" w:type="pct"/>
            <w:gridSpan w:val="2"/>
            <w:tcBorders>
              <w:bottom w:val="single" w:sz="12" w:space="0" w:color="auto"/>
            </w:tcBorders>
            <w:vAlign w:val="center"/>
          </w:tcPr>
          <w:p w14:paraId="29D3F8C7" w14:textId="77777777" w:rsidR="008F6AC1" w:rsidRPr="00483F7D" w:rsidRDefault="008F6AC1" w:rsidP="005563C1">
            <w:pPr>
              <w:ind w:right="-29"/>
              <w:jc w:val="center"/>
              <w:rPr>
                <w:noProof/>
                <w:sz w:val="20"/>
                <w:szCs w:val="20"/>
              </w:rPr>
            </w:pPr>
            <w:r w:rsidRPr="00483F7D">
              <w:rPr>
                <w:sz w:val="20"/>
              </w:rPr>
              <w:t>237,622</w:t>
            </w:r>
          </w:p>
        </w:tc>
        <w:tc>
          <w:tcPr>
            <w:tcW w:w="155" w:type="pct"/>
            <w:tcBorders>
              <w:bottom w:val="single" w:sz="12" w:space="0" w:color="auto"/>
            </w:tcBorders>
            <w:vAlign w:val="center"/>
          </w:tcPr>
          <w:p w14:paraId="43FBC661" w14:textId="77777777" w:rsidR="008F6AC1" w:rsidRPr="00483F7D" w:rsidRDefault="008F6AC1" w:rsidP="005563C1">
            <w:pPr>
              <w:ind w:right="-29"/>
              <w:jc w:val="center"/>
              <w:rPr>
                <w:noProof/>
                <w:sz w:val="20"/>
                <w:szCs w:val="20"/>
              </w:rPr>
            </w:pPr>
          </w:p>
        </w:tc>
        <w:tc>
          <w:tcPr>
            <w:tcW w:w="359" w:type="pct"/>
            <w:tcBorders>
              <w:bottom w:val="single" w:sz="12" w:space="0" w:color="auto"/>
            </w:tcBorders>
            <w:vAlign w:val="center"/>
          </w:tcPr>
          <w:p w14:paraId="2CF65A25" w14:textId="77777777" w:rsidR="008F6AC1" w:rsidRPr="00483F7D" w:rsidRDefault="008F6AC1" w:rsidP="005563C1">
            <w:pPr>
              <w:ind w:right="-29"/>
              <w:jc w:val="center"/>
              <w:rPr>
                <w:noProof/>
                <w:sz w:val="20"/>
                <w:szCs w:val="20"/>
              </w:rPr>
            </w:pPr>
            <w:r w:rsidRPr="00483F7D">
              <w:rPr>
                <w:sz w:val="20"/>
              </w:rPr>
              <w:t>247,739</w:t>
            </w:r>
          </w:p>
        </w:tc>
        <w:tc>
          <w:tcPr>
            <w:tcW w:w="116" w:type="pct"/>
            <w:tcBorders>
              <w:bottom w:val="single" w:sz="12" w:space="0" w:color="auto"/>
            </w:tcBorders>
            <w:vAlign w:val="center"/>
          </w:tcPr>
          <w:p w14:paraId="01ED0E4B" w14:textId="77777777" w:rsidR="008F6AC1" w:rsidRPr="00483F7D" w:rsidRDefault="008F6AC1" w:rsidP="005563C1">
            <w:pPr>
              <w:ind w:right="-29"/>
              <w:jc w:val="center"/>
              <w:rPr>
                <w:noProof/>
                <w:sz w:val="20"/>
                <w:szCs w:val="20"/>
              </w:rPr>
            </w:pPr>
          </w:p>
        </w:tc>
        <w:tc>
          <w:tcPr>
            <w:tcW w:w="407" w:type="pct"/>
            <w:tcBorders>
              <w:bottom w:val="single" w:sz="12" w:space="0" w:color="auto"/>
            </w:tcBorders>
            <w:vAlign w:val="center"/>
          </w:tcPr>
          <w:p w14:paraId="7E4A0658" w14:textId="77777777" w:rsidR="008F6AC1" w:rsidRPr="00483F7D" w:rsidRDefault="008F6AC1" w:rsidP="005563C1">
            <w:pPr>
              <w:ind w:right="-29"/>
              <w:jc w:val="center"/>
              <w:rPr>
                <w:noProof/>
                <w:sz w:val="20"/>
                <w:szCs w:val="20"/>
              </w:rPr>
            </w:pPr>
            <w:r w:rsidRPr="00483F7D">
              <w:rPr>
                <w:sz w:val="20"/>
              </w:rPr>
              <w:t>1 574,594</w:t>
            </w:r>
          </w:p>
        </w:tc>
      </w:tr>
      <w:tr w:rsidR="008F6AC1" w:rsidRPr="00483F7D" w14:paraId="7F4ACC17" w14:textId="77777777" w:rsidTr="005563C1">
        <w:trPr>
          <w:trHeight w:hRule="exact" w:val="439"/>
          <w:jc w:val="center"/>
        </w:trPr>
        <w:tc>
          <w:tcPr>
            <w:tcW w:w="917" w:type="pct"/>
            <w:gridSpan w:val="4"/>
            <w:vAlign w:val="center"/>
          </w:tcPr>
          <w:p w14:paraId="1E916EAE" w14:textId="77777777" w:rsidR="008F6AC1" w:rsidRPr="00483F7D" w:rsidRDefault="008F6AC1" w:rsidP="005563C1">
            <w:pPr>
              <w:ind w:right="-29"/>
              <w:jc w:val="center"/>
              <w:rPr>
                <w:noProof/>
                <w:sz w:val="20"/>
                <w:szCs w:val="20"/>
              </w:rPr>
            </w:pPr>
            <w:r w:rsidRPr="00483F7D">
              <w:rPr>
                <w:b/>
                <w:sz w:val="18"/>
              </w:rPr>
              <w:t>- Τελωνειακή Αρχή της ΕΕ</w:t>
            </w:r>
          </w:p>
        </w:tc>
        <w:tc>
          <w:tcPr>
            <w:tcW w:w="137" w:type="pct"/>
            <w:tcBorders>
              <w:left w:val="dashSmallGap" w:sz="4" w:space="0" w:color="auto"/>
            </w:tcBorders>
            <w:vAlign w:val="center"/>
          </w:tcPr>
          <w:p w14:paraId="4C4FCC92" w14:textId="77777777" w:rsidR="008F6AC1" w:rsidRPr="00483F7D" w:rsidRDefault="008F6AC1" w:rsidP="005563C1">
            <w:pPr>
              <w:ind w:right="-29"/>
              <w:jc w:val="center"/>
              <w:rPr>
                <w:noProof/>
                <w:sz w:val="20"/>
                <w:szCs w:val="20"/>
              </w:rPr>
            </w:pPr>
          </w:p>
        </w:tc>
        <w:tc>
          <w:tcPr>
            <w:tcW w:w="326" w:type="pct"/>
            <w:tcBorders>
              <w:right w:val="dashSmallGap" w:sz="4" w:space="0" w:color="auto"/>
            </w:tcBorders>
            <w:vAlign w:val="center"/>
          </w:tcPr>
          <w:p w14:paraId="2C67E232" w14:textId="77777777" w:rsidR="008F6AC1" w:rsidRPr="00483F7D" w:rsidRDefault="008F6AC1" w:rsidP="005563C1">
            <w:pPr>
              <w:ind w:right="-29"/>
              <w:jc w:val="center"/>
              <w:rPr>
                <w:noProof/>
                <w:sz w:val="20"/>
                <w:szCs w:val="20"/>
              </w:rPr>
            </w:pPr>
            <w:r w:rsidRPr="00483F7D">
              <w:rPr>
                <w:sz w:val="20"/>
              </w:rPr>
              <w:t>18,235</w:t>
            </w:r>
          </w:p>
        </w:tc>
        <w:tc>
          <w:tcPr>
            <w:tcW w:w="103" w:type="pct"/>
            <w:tcBorders>
              <w:left w:val="dashSmallGap" w:sz="4" w:space="0" w:color="auto"/>
            </w:tcBorders>
            <w:vAlign w:val="center"/>
          </w:tcPr>
          <w:p w14:paraId="285D53E2" w14:textId="77777777" w:rsidR="008F6AC1" w:rsidRPr="00483F7D" w:rsidRDefault="008F6AC1" w:rsidP="005563C1">
            <w:pPr>
              <w:ind w:right="-29"/>
              <w:jc w:val="center"/>
              <w:rPr>
                <w:noProof/>
                <w:sz w:val="20"/>
                <w:szCs w:val="20"/>
              </w:rPr>
            </w:pPr>
          </w:p>
        </w:tc>
        <w:tc>
          <w:tcPr>
            <w:tcW w:w="326" w:type="pct"/>
            <w:gridSpan w:val="2"/>
            <w:tcBorders>
              <w:right w:val="dashSmallGap" w:sz="4" w:space="0" w:color="auto"/>
            </w:tcBorders>
            <w:vAlign w:val="center"/>
          </w:tcPr>
          <w:p w14:paraId="1F67D607" w14:textId="77777777" w:rsidR="008F6AC1" w:rsidRPr="00483F7D" w:rsidRDefault="008F6AC1" w:rsidP="005563C1">
            <w:pPr>
              <w:ind w:right="-29"/>
              <w:jc w:val="center"/>
              <w:rPr>
                <w:noProof/>
                <w:sz w:val="20"/>
                <w:szCs w:val="20"/>
              </w:rPr>
            </w:pPr>
            <w:r w:rsidRPr="00483F7D">
              <w:rPr>
                <w:sz w:val="20"/>
              </w:rPr>
              <w:t>21,546</w:t>
            </w:r>
          </w:p>
        </w:tc>
        <w:tc>
          <w:tcPr>
            <w:tcW w:w="101" w:type="pct"/>
            <w:tcBorders>
              <w:left w:val="dashSmallGap" w:sz="4" w:space="0" w:color="auto"/>
            </w:tcBorders>
            <w:vAlign w:val="center"/>
          </w:tcPr>
          <w:p w14:paraId="6D8A849C" w14:textId="77777777" w:rsidR="008F6AC1" w:rsidRPr="00483F7D" w:rsidRDefault="008F6AC1" w:rsidP="005563C1">
            <w:pPr>
              <w:ind w:right="-29"/>
              <w:jc w:val="center"/>
              <w:rPr>
                <w:noProof/>
                <w:sz w:val="20"/>
                <w:szCs w:val="20"/>
              </w:rPr>
            </w:pPr>
          </w:p>
        </w:tc>
        <w:tc>
          <w:tcPr>
            <w:tcW w:w="387" w:type="pct"/>
            <w:gridSpan w:val="2"/>
            <w:tcBorders>
              <w:right w:val="dashSmallGap" w:sz="4" w:space="0" w:color="auto"/>
            </w:tcBorders>
            <w:vAlign w:val="center"/>
          </w:tcPr>
          <w:p w14:paraId="760E4C1B" w14:textId="77777777" w:rsidR="008F6AC1" w:rsidRPr="00483F7D" w:rsidRDefault="008F6AC1" w:rsidP="005563C1">
            <w:pPr>
              <w:ind w:right="-29"/>
              <w:jc w:val="center"/>
              <w:rPr>
                <w:noProof/>
                <w:sz w:val="20"/>
                <w:szCs w:val="20"/>
              </w:rPr>
            </w:pPr>
            <w:r w:rsidRPr="00483F7D">
              <w:rPr>
                <w:sz w:val="20"/>
              </w:rPr>
              <w:t>27,371</w:t>
            </w:r>
          </w:p>
        </w:tc>
        <w:tc>
          <w:tcPr>
            <w:tcW w:w="165" w:type="pct"/>
            <w:tcBorders>
              <w:left w:val="dashSmallGap" w:sz="4" w:space="0" w:color="auto"/>
            </w:tcBorders>
            <w:vAlign w:val="center"/>
          </w:tcPr>
          <w:p w14:paraId="1D8A9655" w14:textId="77777777" w:rsidR="008F6AC1" w:rsidRPr="00483F7D" w:rsidRDefault="008F6AC1" w:rsidP="005563C1">
            <w:pPr>
              <w:ind w:right="-29"/>
              <w:jc w:val="center"/>
              <w:rPr>
                <w:noProof/>
                <w:sz w:val="20"/>
                <w:szCs w:val="20"/>
              </w:rPr>
            </w:pPr>
          </w:p>
        </w:tc>
        <w:tc>
          <w:tcPr>
            <w:tcW w:w="334" w:type="pct"/>
            <w:tcBorders>
              <w:right w:val="dashSmallGap" w:sz="4" w:space="0" w:color="auto"/>
            </w:tcBorders>
            <w:vAlign w:val="center"/>
          </w:tcPr>
          <w:p w14:paraId="68B5EB5B" w14:textId="77777777" w:rsidR="008F6AC1" w:rsidRPr="00483F7D" w:rsidRDefault="008F6AC1" w:rsidP="005563C1">
            <w:pPr>
              <w:ind w:right="-29"/>
              <w:jc w:val="center"/>
              <w:rPr>
                <w:noProof/>
                <w:sz w:val="20"/>
                <w:szCs w:val="20"/>
              </w:rPr>
            </w:pPr>
            <w:r w:rsidRPr="00483F7D">
              <w:rPr>
                <w:sz w:val="20"/>
              </w:rPr>
              <w:t>37,943</w:t>
            </w:r>
          </w:p>
        </w:tc>
        <w:tc>
          <w:tcPr>
            <w:tcW w:w="215" w:type="pct"/>
            <w:tcBorders>
              <w:left w:val="dashSmallGap" w:sz="4" w:space="0" w:color="auto"/>
            </w:tcBorders>
            <w:vAlign w:val="center"/>
          </w:tcPr>
          <w:p w14:paraId="2612EFE8" w14:textId="77777777" w:rsidR="008F6AC1" w:rsidRPr="00483F7D" w:rsidRDefault="008F6AC1" w:rsidP="005563C1">
            <w:pPr>
              <w:ind w:right="-29"/>
              <w:jc w:val="center"/>
              <w:rPr>
                <w:noProof/>
                <w:sz w:val="20"/>
                <w:szCs w:val="20"/>
              </w:rPr>
            </w:pPr>
          </w:p>
        </w:tc>
        <w:tc>
          <w:tcPr>
            <w:tcW w:w="438" w:type="pct"/>
            <w:tcBorders>
              <w:right w:val="dashSmallGap" w:sz="4" w:space="0" w:color="auto"/>
            </w:tcBorders>
            <w:vAlign w:val="center"/>
          </w:tcPr>
          <w:p w14:paraId="3F8A55B2" w14:textId="77777777" w:rsidR="008F6AC1" w:rsidRPr="00483F7D" w:rsidRDefault="008F6AC1" w:rsidP="005563C1">
            <w:pPr>
              <w:ind w:right="-29"/>
              <w:jc w:val="center"/>
              <w:rPr>
                <w:noProof/>
                <w:sz w:val="20"/>
                <w:szCs w:val="20"/>
              </w:rPr>
            </w:pPr>
            <w:r w:rsidRPr="00483F7D">
              <w:rPr>
                <w:sz w:val="20"/>
              </w:rPr>
              <w:t>48,489</w:t>
            </w:r>
          </w:p>
        </w:tc>
        <w:tc>
          <w:tcPr>
            <w:tcW w:w="122" w:type="pct"/>
            <w:gridSpan w:val="2"/>
            <w:tcBorders>
              <w:left w:val="dashSmallGap" w:sz="4" w:space="0" w:color="auto"/>
            </w:tcBorders>
            <w:vAlign w:val="center"/>
          </w:tcPr>
          <w:p w14:paraId="39067344" w14:textId="77777777" w:rsidR="008F6AC1" w:rsidRPr="00483F7D" w:rsidRDefault="008F6AC1" w:rsidP="005563C1">
            <w:pPr>
              <w:ind w:right="-29"/>
              <w:jc w:val="center"/>
              <w:rPr>
                <w:noProof/>
                <w:sz w:val="20"/>
                <w:szCs w:val="20"/>
              </w:rPr>
            </w:pPr>
          </w:p>
        </w:tc>
        <w:tc>
          <w:tcPr>
            <w:tcW w:w="392" w:type="pct"/>
            <w:gridSpan w:val="2"/>
            <w:tcBorders>
              <w:right w:val="dashSmallGap" w:sz="4" w:space="0" w:color="auto"/>
            </w:tcBorders>
            <w:vAlign w:val="center"/>
          </w:tcPr>
          <w:p w14:paraId="4780DD3B" w14:textId="77777777" w:rsidR="008F6AC1" w:rsidRPr="00483F7D" w:rsidRDefault="008F6AC1" w:rsidP="005563C1">
            <w:pPr>
              <w:ind w:right="-29"/>
              <w:jc w:val="center"/>
              <w:rPr>
                <w:noProof/>
                <w:sz w:val="20"/>
                <w:szCs w:val="20"/>
              </w:rPr>
            </w:pPr>
            <w:r w:rsidRPr="00483F7D">
              <w:rPr>
                <w:sz w:val="20"/>
              </w:rPr>
              <w:t>59,169</w:t>
            </w:r>
          </w:p>
        </w:tc>
        <w:tc>
          <w:tcPr>
            <w:tcW w:w="155" w:type="pct"/>
            <w:tcBorders>
              <w:left w:val="dashSmallGap" w:sz="4" w:space="0" w:color="auto"/>
            </w:tcBorders>
            <w:vAlign w:val="center"/>
          </w:tcPr>
          <w:p w14:paraId="35B3FEFE" w14:textId="77777777" w:rsidR="008F6AC1" w:rsidRPr="00483F7D" w:rsidRDefault="008F6AC1" w:rsidP="005563C1">
            <w:pPr>
              <w:ind w:right="-29"/>
              <w:jc w:val="center"/>
              <w:rPr>
                <w:noProof/>
                <w:sz w:val="20"/>
                <w:szCs w:val="20"/>
              </w:rPr>
            </w:pPr>
          </w:p>
        </w:tc>
        <w:tc>
          <w:tcPr>
            <w:tcW w:w="359" w:type="pct"/>
            <w:tcBorders>
              <w:left w:val="dashSmallGap" w:sz="4" w:space="0" w:color="auto"/>
            </w:tcBorders>
            <w:vAlign w:val="center"/>
          </w:tcPr>
          <w:p w14:paraId="554A38F4" w14:textId="77777777" w:rsidR="008F6AC1" w:rsidRPr="00483F7D" w:rsidRDefault="008F6AC1" w:rsidP="005563C1">
            <w:pPr>
              <w:ind w:right="-29"/>
              <w:jc w:val="center"/>
              <w:rPr>
                <w:noProof/>
                <w:sz w:val="20"/>
                <w:szCs w:val="20"/>
              </w:rPr>
            </w:pPr>
            <w:r w:rsidRPr="00483F7D">
              <w:rPr>
                <w:sz w:val="20"/>
              </w:rPr>
              <w:t>68,166</w:t>
            </w:r>
          </w:p>
        </w:tc>
        <w:tc>
          <w:tcPr>
            <w:tcW w:w="116" w:type="pct"/>
            <w:vAlign w:val="center"/>
          </w:tcPr>
          <w:p w14:paraId="1B77CAF3" w14:textId="77777777" w:rsidR="008F6AC1" w:rsidRPr="00483F7D" w:rsidRDefault="008F6AC1" w:rsidP="005563C1">
            <w:pPr>
              <w:ind w:right="-29"/>
              <w:jc w:val="center"/>
              <w:rPr>
                <w:noProof/>
                <w:sz w:val="20"/>
                <w:szCs w:val="20"/>
              </w:rPr>
            </w:pPr>
          </w:p>
        </w:tc>
        <w:tc>
          <w:tcPr>
            <w:tcW w:w="407" w:type="pct"/>
            <w:vAlign w:val="center"/>
          </w:tcPr>
          <w:p w14:paraId="5DB18BBD" w14:textId="77777777" w:rsidR="008F6AC1" w:rsidRPr="00483F7D" w:rsidRDefault="008F6AC1" w:rsidP="005563C1">
            <w:pPr>
              <w:ind w:right="-29"/>
              <w:jc w:val="center"/>
              <w:rPr>
                <w:noProof/>
                <w:sz w:val="20"/>
                <w:szCs w:val="20"/>
              </w:rPr>
            </w:pPr>
            <w:r w:rsidRPr="00483F7D">
              <w:rPr>
                <w:sz w:val="20"/>
              </w:rPr>
              <w:t>280,471</w:t>
            </w:r>
          </w:p>
        </w:tc>
      </w:tr>
      <w:tr w:rsidR="008F6AC1" w:rsidRPr="00483F7D" w14:paraId="6BA3795F" w14:textId="77777777" w:rsidTr="005563C1">
        <w:trPr>
          <w:trHeight w:val="488"/>
          <w:jc w:val="center"/>
        </w:trPr>
        <w:tc>
          <w:tcPr>
            <w:tcW w:w="641" w:type="pct"/>
            <w:tcBorders>
              <w:bottom w:val="single" w:sz="12" w:space="0" w:color="auto"/>
            </w:tcBorders>
            <w:vAlign w:val="center"/>
          </w:tcPr>
          <w:p w14:paraId="738486EA" w14:textId="77777777" w:rsidR="008F6AC1" w:rsidRPr="00483F7D" w:rsidRDefault="008F6AC1" w:rsidP="005563C1">
            <w:pPr>
              <w:ind w:right="-29"/>
              <w:jc w:val="center"/>
              <w:rPr>
                <w:noProof/>
                <w:sz w:val="20"/>
                <w:szCs w:val="20"/>
              </w:rPr>
            </w:pPr>
            <w:r w:rsidRPr="00483F7D">
              <w:rPr>
                <w:sz w:val="18"/>
              </w:rPr>
              <w:t xml:space="preserve">Μερικό σύνολο </w:t>
            </w:r>
          </w:p>
        </w:tc>
        <w:tc>
          <w:tcPr>
            <w:tcW w:w="111" w:type="pct"/>
            <w:tcBorders>
              <w:bottom w:val="single" w:sz="12" w:space="0" w:color="auto"/>
            </w:tcBorders>
            <w:vAlign w:val="center"/>
          </w:tcPr>
          <w:p w14:paraId="3E38A2E3" w14:textId="77777777" w:rsidR="008F6AC1" w:rsidRPr="00483F7D" w:rsidRDefault="008F6AC1" w:rsidP="005563C1">
            <w:pPr>
              <w:ind w:right="-29"/>
              <w:jc w:val="center"/>
              <w:rPr>
                <w:noProof/>
                <w:sz w:val="20"/>
                <w:szCs w:val="20"/>
              </w:rPr>
            </w:pPr>
          </w:p>
        </w:tc>
        <w:tc>
          <w:tcPr>
            <w:tcW w:w="165" w:type="pct"/>
            <w:gridSpan w:val="2"/>
            <w:tcBorders>
              <w:bottom w:val="single" w:sz="12" w:space="0" w:color="auto"/>
            </w:tcBorders>
            <w:vAlign w:val="center"/>
          </w:tcPr>
          <w:p w14:paraId="1DCDBD40" w14:textId="77777777" w:rsidR="008F6AC1" w:rsidRPr="00483F7D" w:rsidRDefault="008F6AC1" w:rsidP="005563C1">
            <w:pPr>
              <w:ind w:right="-29"/>
              <w:jc w:val="center"/>
              <w:rPr>
                <w:noProof/>
                <w:sz w:val="20"/>
                <w:szCs w:val="20"/>
              </w:rPr>
            </w:pPr>
          </w:p>
        </w:tc>
        <w:tc>
          <w:tcPr>
            <w:tcW w:w="137" w:type="pct"/>
            <w:tcBorders>
              <w:bottom w:val="single" w:sz="12" w:space="0" w:color="auto"/>
            </w:tcBorders>
            <w:vAlign w:val="center"/>
          </w:tcPr>
          <w:p w14:paraId="78E21178" w14:textId="77777777" w:rsidR="008F6AC1" w:rsidRPr="00483F7D" w:rsidRDefault="008F6AC1" w:rsidP="005563C1">
            <w:pPr>
              <w:ind w:right="-29"/>
              <w:jc w:val="center"/>
              <w:rPr>
                <w:noProof/>
                <w:sz w:val="20"/>
                <w:szCs w:val="20"/>
              </w:rPr>
            </w:pPr>
          </w:p>
        </w:tc>
        <w:tc>
          <w:tcPr>
            <w:tcW w:w="326" w:type="pct"/>
            <w:tcBorders>
              <w:bottom w:val="single" w:sz="12" w:space="0" w:color="auto"/>
            </w:tcBorders>
            <w:vAlign w:val="center"/>
          </w:tcPr>
          <w:p w14:paraId="13C524E7" w14:textId="77777777" w:rsidR="008F6AC1" w:rsidRPr="00483F7D" w:rsidRDefault="008F6AC1" w:rsidP="005563C1">
            <w:pPr>
              <w:ind w:right="-29"/>
              <w:jc w:val="center"/>
              <w:rPr>
                <w:noProof/>
                <w:sz w:val="20"/>
                <w:szCs w:val="20"/>
              </w:rPr>
            </w:pPr>
            <w:r w:rsidRPr="00483F7D">
              <w:rPr>
                <w:sz w:val="20"/>
              </w:rPr>
              <w:t>18,235</w:t>
            </w:r>
          </w:p>
        </w:tc>
        <w:tc>
          <w:tcPr>
            <w:tcW w:w="103" w:type="pct"/>
            <w:tcBorders>
              <w:bottom w:val="single" w:sz="12" w:space="0" w:color="auto"/>
            </w:tcBorders>
            <w:vAlign w:val="center"/>
          </w:tcPr>
          <w:p w14:paraId="0D257296" w14:textId="77777777" w:rsidR="008F6AC1" w:rsidRPr="00483F7D" w:rsidRDefault="008F6AC1" w:rsidP="005563C1">
            <w:pPr>
              <w:ind w:right="-29"/>
              <w:jc w:val="center"/>
              <w:rPr>
                <w:noProof/>
                <w:sz w:val="20"/>
                <w:szCs w:val="20"/>
              </w:rPr>
            </w:pPr>
          </w:p>
        </w:tc>
        <w:tc>
          <w:tcPr>
            <w:tcW w:w="326" w:type="pct"/>
            <w:gridSpan w:val="2"/>
            <w:tcBorders>
              <w:bottom w:val="single" w:sz="12" w:space="0" w:color="auto"/>
            </w:tcBorders>
            <w:vAlign w:val="center"/>
          </w:tcPr>
          <w:p w14:paraId="70A98E99" w14:textId="77777777" w:rsidR="008F6AC1" w:rsidRPr="00483F7D" w:rsidRDefault="008F6AC1" w:rsidP="005563C1">
            <w:pPr>
              <w:ind w:right="-29"/>
              <w:jc w:val="center"/>
              <w:rPr>
                <w:noProof/>
                <w:sz w:val="20"/>
                <w:szCs w:val="20"/>
              </w:rPr>
            </w:pPr>
            <w:r w:rsidRPr="00483F7D">
              <w:rPr>
                <w:sz w:val="20"/>
              </w:rPr>
              <w:t>21,546</w:t>
            </w:r>
          </w:p>
        </w:tc>
        <w:tc>
          <w:tcPr>
            <w:tcW w:w="101" w:type="pct"/>
            <w:tcBorders>
              <w:bottom w:val="single" w:sz="12" w:space="0" w:color="auto"/>
            </w:tcBorders>
            <w:vAlign w:val="center"/>
          </w:tcPr>
          <w:p w14:paraId="33D086EF" w14:textId="77777777" w:rsidR="008F6AC1" w:rsidRPr="00483F7D" w:rsidRDefault="008F6AC1" w:rsidP="005563C1">
            <w:pPr>
              <w:ind w:right="-29"/>
              <w:jc w:val="center"/>
              <w:rPr>
                <w:noProof/>
                <w:sz w:val="20"/>
                <w:szCs w:val="20"/>
              </w:rPr>
            </w:pPr>
          </w:p>
        </w:tc>
        <w:tc>
          <w:tcPr>
            <w:tcW w:w="387" w:type="pct"/>
            <w:gridSpan w:val="2"/>
            <w:tcBorders>
              <w:bottom w:val="single" w:sz="12" w:space="0" w:color="auto"/>
            </w:tcBorders>
            <w:vAlign w:val="center"/>
          </w:tcPr>
          <w:p w14:paraId="61D54255" w14:textId="77777777" w:rsidR="008F6AC1" w:rsidRPr="00483F7D" w:rsidRDefault="008F6AC1" w:rsidP="005563C1">
            <w:pPr>
              <w:ind w:right="-29"/>
              <w:jc w:val="center"/>
              <w:rPr>
                <w:noProof/>
                <w:sz w:val="20"/>
                <w:szCs w:val="20"/>
              </w:rPr>
            </w:pPr>
            <w:r w:rsidRPr="00483F7D">
              <w:rPr>
                <w:sz w:val="20"/>
              </w:rPr>
              <w:t>27,371</w:t>
            </w:r>
          </w:p>
        </w:tc>
        <w:tc>
          <w:tcPr>
            <w:tcW w:w="165" w:type="pct"/>
            <w:tcBorders>
              <w:bottom w:val="single" w:sz="12" w:space="0" w:color="auto"/>
            </w:tcBorders>
            <w:vAlign w:val="center"/>
          </w:tcPr>
          <w:p w14:paraId="4D5EA9F8" w14:textId="77777777" w:rsidR="008F6AC1" w:rsidRPr="00483F7D" w:rsidRDefault="008F6AC1" w:rsidP="005563C1">
            <w:pPr>
              <w:ind w:right="-29"/>
              <w:jc w:val="center"/>
              <w:rPr>
                <w:noProof/>
                <w:sz w:val="20"/>
                <w:szCs w:val="20"/>
              </w:rPr>
            </w:pPr>
          </w:p>
        </w:tc>
        <w:tc>
          <w:tcPr>
            <w:tcW w:w="334" w:type="pct"/>
            <w:tcBorders>
              <w:bottom w:val="single" w:sz="12" w:space="0" w:color="auto"/>
            </w:tcBorders>
            <w:vAlign w:val="center"/>
          </w:tcPr>
          <w:p w14:paraId="43AB68EF" w14:textId="77777777" w:rsidR="008F6AC1" w:rsidRPr="00483F7D" w:rsidRDefault="008F6AC1" w:rsidP="005563C1">
            <w:pPr>
              <w:ind w:right="-29"/>
              <w:jc w:val="center"/>
              <w:rPr>
                <w:noProof/>
                <w:sz w:val="20"/>
                <w:szCs w:val="20"/>
              </w:rPr>
            </w:pPr>
            <w:r w:rsidRPr="00483F7D">
              <w:rPr>
                <w:sz w:val="20"/>
              </w:rPr>
              <w:t>37,943</w:t>
            </w:r>
          </w:p>
        </w:tc>
        <w:tc>
          <w:tcPr>
            <w:tcW w:w="215" w:type="pct"/>
            <w:tcBorders>
              <w:bottom w:val="single" w:sz="12" w:space="0" w:color="auto"/>
            </w:tcBorders>
            <w:vAlign w:val="center"/>
          </w:tcPr>
          <w:p w14:paraId="21E56A80" w14:textId="77777777" w:rsidR="008F6AC1" w:rsidRPr="00483F7D" w:rsidRDefault="008F6AC1" w:rsidP="005563C1">
            <w:pPr>
              <w:ind w:right="-29"/>
              <w:jc w:val="center"/>
              <w:rPr>
                <w:noProof/>
                <w:sz w:val="20"/>
                <w:szCs w:val="20"/>
              </w:rPr>
            </w:pPr>
          </w:p>
        </w:tc>
        <w:tc>
          <w:tcPr>
            <w:tcW w:w="438" w:type="pct"/>
            <w:tcBorders>
              <w:bottom w:val="single" w:sz="12" w:space="0" w:color="auto"/>
            </w:tcBorders>
            <w:vAlign w:val="center"/>
          </w:tcPr>
          <w:p w14:paraId="79336386" w14:textId="77777777" w:rsidR="008F6AC1" w:rsidRPr="00483F7D" w:rsidRDefault="008F6AC1" w:rsidP="005563C1">
            <w:pPr>
              <w:ind w:right="-29"/>
              <w:jc w:val="center"/>
              <w:rPr>
                <w:noProof/>
                <w:sz w:val="20"/>
                <w:szCs w:val="20"/>
              </w:rPr>
            </w:pPr>
            <w:r w:rsidRPr="00483F7D">
              <w:rPr>
                <w:sz w:val="20"/>
              </w:rPr>
              <w:t>48,489</w:t>
            </w:r>
          </w:p>
        </w:tc>
        <w:tc>
          <w:tcPr>
            <w:tcW w:w="122" w:type="pct"/>
            <w:gridSpan w:val="2"/>
            <w:tcBorders>
              <w:bottom w:val="single" w:sz="12" w:space="0" w:color="auto"/>
            </w:tcBorders>
            <w:vAlign w:val="center"/>
          </w:tcPr>
          <w:p w14:paraId="437E0045" w14:textId="77777777" w:rsidR="008F6AC1" w:rsidRPr="00483F7D" w:rsidRDefault="008F6AC1" w:rsidP="005563C1">
            <w:pPr>
              <w:ind w:right="-29"/>
              <w:jc w:val="center"/>
              <w:rPr>
                <w:noProof/>
                <w:sz w:val="20"/>
                <w:szCs w:val="20"/>
              </w:rPr>
            </w:pPr>
          </w:p>
        </w:tc>
        <w:tc>
          <w:tcPr>
            <w:tcW w:w="392" w:type="pct"/>
            <w:gridSpan w:val="2"/>
            <w:tcBorders>
              <w:bottom w:val="single" w:sz="12" w:space="0" w:color="auto"/>
            </w:tcBorders>
            <w:vAlign w:val="center"/>
          </w:tcPr>
          <w:p w14:paraId="53DD22D1" w14:textId="77777777" w:rsidR="008F6AC1" w:rsidRPr="00483F7D" w:rsidRDefault="008F6AC1" w:rsidP="005563C1">
            <w:pPr>
              <w:ind w:right="-29"/>
              <w:jc w:val="center"/>
              <w:rPr>
                <w:noProof/>
                <w:sz w:val="20"/>
                <w:szCs w:val="20"/>
              </w:rPr>
            </w:pPr>
            <w:r w:rsidRPr="00483F7D">
              <w:rPr>
                <w:sz w:val="20"/>
              </w:rPr>
              <w:t>59,169</w:t>
            </w:r>
          </w:p>
        </w:tc>
        <w:tc>
          <w:tcPr>
            <w:tcW w:w="155" w:type="pct"/>
            <w:tcBorders>
              <w:bottom w:val="single" w:sz="12" w:space="0" w:color="auto"/>
            </w:tcBorders>
            <w:vAlign w:val="center"/>
          </w:tcPr>
          <w:p w14:paraId="658D9E44" w14:textId="77777777" w:rsidR="008F6AC1" w:rsidRPr="00483F7D" w:rsidRDefault="008F6AC1" w:rsidP="005563C1">
            <w:pPr>
              <w:ind w:right="-29"/>
              <w:jc w:val="center"/>
              <w:rPr>
                <w:noProof/>
                <w:sz w:val="20"/>
                <w:szCs w:val="20"/>
              </w:rPr>
            </w:pPr>
          </w:p>
        </w:tc>
        <w:tc>
          <w:tcPr>
            <w:tcW w:w="359" w:type="pct"/>
            <w:tcBorders>
              <w:bottom w:val="single" w:sz="12" w:space="0" w:color="auto"/>
            </w:tcBorders>
            <w:vAlign w:val="center"/>
          </w:tcPr>
          <w:p w14:paraId="04FD7797" w14:textId="77777777" w:rsidR="008F6AC1" w:rsidRPr="00483F7D" w:rsidRDefault="008F6AC1" w:rsidP="005563C1">
            <w:pPr>
              <w:ind w:right="-29"/>
              <w:jc w:val="center"/>
              <w:rPr>
                <w:noProof/>
                <w:sz w:val="20"/>
                <w:szCs w:val="20"/>
              </w:rPr>
            </w:pPr>
            <w:r w:rsidRPr="00483F7D">
              <w:rPr>
                <w:sz w:val="20"/>
              </w:rPr>
              <w:t>68,166</w:t>
            </w:r>
          </w:p>
        </w:tc>
        <w:tc>
          <w:tcPr>
            <w:tcW w:w="116" w:type="pct"/>
            <w:tcBorders>
              <w:bottom w:val="single" w:sz="12" w:space="0" w:color="auto"/>
            </w:tcBorders>
            <w:vAlign w:val="center"/>
          </w:tcPr>
          <w:p w14:paraId="0AE18A04" w14:textId="77777777" w:rsidR="008F6AC1" w:rsidRPr="00483F7D" w:rsidRDefault="008F6AC1" w:rsidP="005563C1">
            <w:pPr>
              <w:ind w:right="-29"/>
              <w:jc w:val="center"/>
              <w:rPr>
                <w:noProof/>
                <w:sz w:val="20"/>
                <w:szCs w:val="20"/>
              </w:rPr>
            </w:pPr>
          </w:p>
        </w:tc>
        <w:tc>
          <w:tcPr>
            <w:tcW w:w="407" w:type="pct"/>
            <w:tcBorders>
              <w:bottom w:val="single" w:sz="12" w:space="0" w:color="auto"/>
            </w:tcBorders>
            <w:vAlign w:val="center"/>
          </w:tcPr>
          <w:p w14:paraId="09786ABD" w14:textId="77777777" w:rsidR="008F6AC1" w:rsidRPr="00483F7D" w:rsidRDefault="008F6AC1" w:rsidP="005563C1">
            <w:pPr>
              <w:ind w:right="-29"/>
              <w:jc w:val="center"/>
              <w:rPr>
                <w:noProof/>
                <w:sz w:val="20"/>
                <w:szCs w:val="20"/>
              </w:rPr>
            </w:pPr>
            <w:r w:rsidRPr="00483F7D">
              <w:rPr>
                <w:sz w:val="20"/>
              </w:rPr>
              <w:t>280,471</w:t>
            </w:r>
          </w:p>
        </w:tc>
      </w:tr>
      <w:tr w:rsidR="008F6AC1" w:rsidRPr="00483F7D" w14:paraId="26CA5FED" w14:textId="77777777" w:rsidTr="005563C1">
        <w:trPr>
          <w:trHeight w:val="584"/>
          <w:jc w:val="center"/>
        </w:trPr>
        <w:tc>
          <w:tcPr>
            <w:tcW w:w="917" w:type="pct"/>
            <w:gridSpan w:val="4"/>
            <w:tcBorders>
              <w:top w:val="single" w:sz="12" w:space="0" w:color="auto"/>
              <w:left w:val="single" w:sz="12" w:space="0" w:color="auto"/>
              <w:bottom w:val="single" w:sz="12" w:space="0" w:color="auto"/>
            </w:tcBorders>
            <w:vAlign w:val="center"/>
          </w:tcPr>
          <w:p w14:paraId="797431DC" w14:textId="77777777" w:rsidR="008F6AC1" w:rsidRPr="00483F7D" w:rsidRDefault="008F6AC1" w:rsidP="005563C1">
            <w:pPr>
              <w:spacing w:before="180" w:after="180"/>
              <w:ind w:right="-29"/>
              <w:jc w:val="center"/>
              <w:rPr>
                <w:noProof/>
                <w:sz w:val="20"/>
                <w:szCs w:val="20"/>
              </w:rPr>
            </w:pPr>
            <w:r w:rsidRPr="00483F7D">
              <w:rPr>
                <w:b/>
                <w:sz w:val="18"/>
              </w:rPr>
              <w:t>ΣΥΝΟΛΙΚΟ ΚΟΣΤΟΣ</w:t>
            </w:r>
          </w:p>
        </w:tc>
        <w:tc>
          <w:tcPr>
            <w:tcW w:w="137" w:type="pct"/>
            <w:tcBorders>
              <w:top w:val="single" w:sz="12" w:space="0" w:color="auto"/>
              <w:left w:val="single" w:sz="12" w:space="0" w:color="auto"/>
              <w:bottom w:val="single" w:sz="12" w:space="0" w:color="auto"/>
            </w:tcBorders>
            <w:vAlign w:val="center"/>
          </w:tcPr>
          <w:p w14:paraId="79A9CAF7" w14:textId="77777777" w:rsidR="008F6AC1" w:rsidRPr="00483F7D" w:rsidRDefault="008F6AC1" w:rsidP="005563C1">
            <w:pPr>
              <w:spacing w:before="180" w:after="180"/>
              <w:ind w:right="-29"/>
              <w:jc w:val="center"/>
              <w:rPr>
                <w:noProof/>
                <w:sz w:val="20"/>
                <w:szCs w:val="20"/>
              </w:rPr>
            </w:pPr>
          </w:p>
        </w:tc>
        <w:tc>
          <w:tcPr>
            <w:tcW w:w="326" w:type="pct"/>
            <w:tcBorders>
              <w:top w:val="single" w:sz="12" w:space="0" w:color="auto"/>
              <w:bottom w:val="single" w:sz="12" w:space="0" w:color="auto"/>
            </w:tcBorders>
            <w:vAlign w:val="center"/>
          </w:tcPr>
          <w:p w14:paraId="01DC644A" w14:textId="77777777" w:rsidR="008F6AC1" w:rsidRPr="00483F7D" w:rsidRDefault="008F6AC1" w:rsidP="005563C1">
            <w:pPr>
              <w:spacing w:before="180" w:after="180"/>
              <w:ind w:right="-29"/>
              <w:jc w:val="center"/>
              <w:rPr>
                <w:noProof/>
                <w:sz w:val="20"/>
                <w:szCs w:val="20"/>
              </w:rPr>
            </w:pPr>
            <w:r w:rsidRPr="00483F7D">
              <w:rPr>
                <w:sz w:val="20"/>
              </w:rPr>
              <w:t>145,338</w:t>
            </w:r>
          </w:p>
        </w:tc>
        <w:tc>
          <w:tcPr>
            <w:tcW w:w="103" w:type="pct"/>
            <w:tcBorders>
              <w:top w:val="single" w:sz="12" w:space="0" w:color="auto"/>
              <w:bottom w:val="single" w:sz="12" w:space="0" w:color="auto"/>
            </w:tcBorders>
            <w:vAlign w:val="center"/>
          </w:tcPr>
          <w:p w14:paraId="7F00166A" w14:textId="77777777" w:rsidR="008F6AC1" w:rsidRPr="00483F7D" w:rsidRDefault="008F6AC1" w:rsidP="005563C1">
            <w:pPr>
              <w:spacing w:before="180" w:after="180"/>
              <w:ind w:right="-29"/>
              <w:jc w:val="center"/>
              <w:rPr>
                <w:noProof/>
                <w:sz w:val="20"/>
                <w:szCs w:val="20"/>
              </w:rPr>
            </w:pPr>
          </w:p>
        </w:tc>
        <w:tc>
          <w:tcPr>
            <w:tcW w:w="326" w:type="pct"/>
            <w:gridSpan w:val="2"/>
            <w:tcBorders>
              <w:top w:val="single" w:sz="12" w:space="0" w:color="auto"/>
              <w:bottom w:val="single" w:sz="12" w:space="0" w:color="auto"/>
            </w:tcBorders>
            <w:vAlign w:val="center"/>
          </w:tcPr>
          <w:p w14:paraId="4168CECE" w14:textId="77777777" w:rsidR="008F6AC1" w:rsidRPr="00483F7D" w:rsidRDefault="008F6AC1" w:rsidP="005563C1">
            <w:pPr>
              <w:spacing w:before="180" w:after="180"/>
              <w:ind w:right="-29"/>
              <w:jc w:val="center"/>
              <w:rPr>
                <w:noProof/>
                <w:sz w:val="20"/>
                <w:szCs w:val="20"/>
              </w:rPr>
            </w:pPr>
            <w:r w:rsidRPr="00483F7D">
              <w:rPr>
                <w:sz w:val="20"/>
              </w:rPr>
              <w:t>233,238</w:t>
            </w:r>
          </w:p>
        </w:tc>
        <w:tc>
          <w:tcPr>
            <w:tcW w:w="101" w:type="pct"/>
            <w:tcBorders>
              <w:top w:val="single" w:sz="12" w:space="0" w:color="auto"/>
              <w:bottom w:val="single" w:sz="12" w:space="0" w:color="auto"/>
            </w:tcBorders>
            <w:vAlign w:val="center"/>
          </w:tcPr>
          <w:p w14:paraId="6CD28DC6" w14:textId="77777777" w:rsidR="008F6AC1" w:rsidRPr="00483F7D" w:rsidRDefault="008F6AC1" w:rsidP="005563C1">
            <w:pPr>
              <w:spacing w:before="180" w:after="180"/>
              <w:ind w:right="-29"/>
              <w:jc w:val="center"/>
              <w:rPr>
                <w:noProof/>
                <w:sz w:val="20"/>
                <w:szCs w:val="20"/>
              </w:rPr>
            </w:pPr>
          </w:p>
        </w:tc>
        <w:tc>
          <w:tcPr>
            <w:tcW w:w="387" w:type="pct"/>
            <w:gridSpan w:val="2"/>
            <w:tcBorders>
              <w:top w:val="single" w:sz="12" w:space="0" w:color="auto"/>
              <w:bottom w:val="single" w:sz="12" w:space="0" w:color="auto"/>
            </w:tcBorders>
            <w:vAlign w:val="center"/>
          </w:tcPr>
          <w:p w14:paraId="6495D612" w14:textId="77777777" w:rsidR="008F6AC1" w:rsidRPr="00483F7D" w:rsidRDefault="008F6AC1" w:rsidP="005563C1">
            <w:pPr>
              <w:spacing w:before="180" w:after="180"/>
              <w:ind w:right="-29"/>
              <w:jc w:val="center"/>
              <w:rPr>
                <w:noProof/>
                <w:sz w:val="20"/>
                <w:szCs w:val="20"/>
              </w:rPr>
            </w:pPr>
            <w:r w:rsidRPr="00483F7D">
              <w:rPr>
                <w:sz w:val="20"/>
              </w:rPr>
              <w:t>281,457</w:t>
            </w:r>
          </w:p>
        </w:tc>
        <w:tc>
          <w:tcPr>
            <w:tcW w:w="165" w:type="pct"/>
            <w:tcBorders>
              <w:top w:val="single" w:sz="12" w:space="0" w:color="auto"/>
              <w:bottom w:val="single" w:sz="12" w:space="0" w:color="auto"/>
            </w:tcBorders>
            <w:vAlign w:val="center"/>
          </w:tcPr>
          <w:p w14:paraId="6342552A" w14:textId="77777777" w:rsidR="008F6AC1" w:rsidRPr="00483F7D" w:rsidRDefault="008F6AC1" w:rsidP="005563C1">
            <w:pPr>
              <w:spacing w:before="180" w:after="180"/>
              <w:ind w:right="-29"/>
              <w:jc w:val="center"/>
              <w:rPr>
                <w:noProof/>
                <w:sz w:val="20"/>
                <w:szCs w:val="20"/>
              </w:rPr>
            </w:pPr>
          </w:p>
        </w:tc>
        <w:tc>
          <w:tcPr>
            <w:tcW w:w="334" w:type="pct"/>
            <w:tcBorders>
              <w:top w:val="single" w:sz="12" w:space="0" w:color="auto"/>
              <w:bottom w:val="single" w:sz="12" w:space="0" w:color="auto"/>
            </w:tcBorders>
            <w:vAlign w:val="center"/>
          </w:tcPr>
          <w:p w14:paraId="02CA2A4B" w14:textId="77777777" w:rsidR="008F6AC1" w:rsidRPr="00483F7D" w:rsidRDefault="008F6AC1" w:rsidP="005563C1">
            <w:pPr>
              <w:spacing w:before="180" w:after="180"/>
              <w:ind w:right="-29"/>
              <w:jc w:val="center"/>
              <w:rPr>
                <w:noProof/>
                <w:sz w:val="20"/>
                <w:szCs w:val="20"/>
              </w:rPr>
            </w:pPr>
            <w:r w:rsidRPr="00483F7D">
              <w:rPr>
                <w:sz w:val="20"/>
              </w:rPr>
              <w:t>306,073</w:t>
            </w:r>
          </w:p>
        </w:tc>
        <w:tc>
          <w:tcPr>
            <w:tcW w:w="215" w:type="pct"/>
            <w:tcBorders>
              <w:top w:val="single" w:sz="12" w:space="0" w:color="auto"/>
              <w:bottom w:val="single" w:sz="12" w:space="0" w:color="auto"/>
            </w:tcBorders>
            <w:vAlign w:val="center"/>
          </w:tcPr>
          <w:p w14:paraId="20C5204B" w14:textId="77777777" w:rsidR="008F6AC1" w:rsidRPr="00483F7D" w:rsidRDefault="008F6AC1" w:rsidP="005563C1">
            <w:pPr>
              <w:spacing w:before="180" w:after="180"/>
              <w:ind w:right="-29"/>
              <w:jc w:val="center"/>
              <w:rPr>
                <w:noProof/>
                <w:sz w:val="20"/>
                <w:szCs w:val="20"/>
              </w:rPr>
            </w:pPr>
          </w:p>
        </w:tc>
        <w:tc>
          <w:tcPr>
            <w:tcW w:w="438" w:type="pct"/>
            <w:tcBorders>
              <w:top w:val="single" w:sz="12" w:space="0" w:color="auto"/>
              <w:bottom w:val="single" w:sz="12" w:space="0" w:color="auto"/>
            </w:tcBorders>
            <w:vAlign w:val="center"/>
          </w:tcPr>
          <w:p w14:paraId="457494B2" w14:textId="77777777" w:rsidR="008F6AC1" w:rsidRPr="00483F7D" w:rsidRDefault="008F6AC1" w:rsidP="005563C1">
            <w:pPr>
              <w:spacing w:before="180" w:after="180"/>
              <w:ind w:right="-29"/>
              <w:jc w:val="center"/>
              <w:rPr>
                <w:noProof/>
                <w:sz w:val="20"/>
                <w:szCs w:val="20"/>
              </w:rPr>
            </w:pPr>
            <w:r w:rsidRPr="00483F7D">
              <w:rPr>
                <w:sz w:val="20"/>
              </w:rPr>
              <w:t>276,274</w:t>
            </w:r>
          </w:p>
        </w:tc>
        <w:tc>
          <w:tcPr>
            <w:tcW w:w="122" w:type="pct"/>
            <w:gridSpan w:val="2"/>
            <w:tcBorders>
              <w:top w:val="single" w:sz="12" w:space="0" w:color="auto"/>
              <w:bottom w:val="single" w:sz="12" w:space="0" w:color="auto"/>
            </w:tcBorders>
            <w:vAlign w:val="center"/>
          </w:tcPr>
          <w:p w14:paraId="24794B08" w14:textId="77777777" w:rsidR="008F6AC1" w:rsidRPr="00483F7D" w:rsidRDefault="008F6AC1" w:rsidP="005563C1">
            <w:pPr>
              <w:spacing w:before="180" w:after="180"/>
              <w:ind w:right="-29"/>
              <w:jc w:val="center"/>
              <w:rPr>
                <w:noProof/>
                <w:sz w:val="20"/>
                <w:szCs w:val="20"/>
              </w:rPr>
            </w:pPr>
          </w:p>
        </w:tc>
        <w:tc>
          <w:tcPr>
            <w:tcW w:w="392" w:type="pct"/>
            <w:gridSpan w:val="2"/>
            <w:tcBorders>
              <w:top w:val="single" w:sz="12" w:space="0" w:color="auto"/>
              <w:bottom w:val="single" w:sz="12" w:space="0" w:color="auto"/>
            </w:tcBorders>
            <w:vAlign w:val="center"/>
          </w:tcPr>
          <w:p w14:paraId="5C4027A1" w14:textId="77777777" w:rsidR="008F6AC1" w:rsidRPr="00483F7D" w:rsidRDefault="008F6AC1" w:rsidP="005563C1">
            <w:pPr>
              <w:spacing w:before="180" w:after="180"/>
              <w:ind w:right="-29"/>
              <w:jc w:val="center"/>
              <w:rPr>
                <w:noProof/>
                <w:sz w:val="20"/>
                <w:szCs w:val="20"/>
              </w:rPr>
            </w:pPr>
            <w:r w:rsidRPr="00483F7D">
              <w:rPr>
                <w:sz w:val="20"/>
              </w:rPr>
              <w:t>296,780</w:t>
            </w:r>
          </w:p>
        </w:tc>
        <w:tc>
          <w:tcPr>
            <w:tcW w:w="155" w:type="pct"/>
            <w:tcBorders>
              <w:top w:val="single" w:sz="12" w:space="0" w:color="auto"/>
              <w:bottom w:val="single" w:sz="12" w:space="0" w:color="auto"/>
            </w:tcBorders>
            <w:vAlign w:val="center"/>
          </w:tcPr>
          <w:p w14:paraId="243D2E65" w14:textId="77777777" w:rsidR="008F6AC1" w:rsidRPr="00483F7D" w:rsidRDefault="008F6AC1" w:rsidP="005563C1">
            <w:pPr>
              <w:spacing w:before="180" w:after="180"/>
              <w:ind w:right="-29"/>
              <w:jc w:val="center"/>
              <w:rPr>
                <w:noProof/>
                <w:sz w:val="20"/>
                <w:szCs w:val="20"/>
              </w:rPr>
            </w:pPr>
          </w:p>
        </w:tc>
        <w:tc>
          <w:tcPr>
            <w:tcW w:w="359" w:type="pct"/>
            <w:tcBorders>
              <w:top w:val="single" w:sz="12" w:space="0" w:color="auto"/>
              <w:bottom w:val="single" w:sz="12" w:space="0" w:color="auto"/>
            </w:tcBorders>
            <w:vAlign w:val="center"/>
          </w:tcPr>
          <w:p w14:paraId="5A29A98A" w14:textId="77777777" w:rsidR="008F6AC1" w:rsidRPr="00483F7D" w:rsidRDefault="008F6AC1" w:rsidP="005563C1">
            <w:pPr>
              <w:spacing w:before="180" w:after="180"/>
              <w:ind w:right="-29"/>
              <w:jc w:val="center"/>
              <w:rPr>
                <w:noProof/>
                <w:sz w:val="20"/>
                <w:szCs w:val="20"/>
              </w:rPr>
            </w:pPr>
            <w:r w:rsidRPr="00483F7D">
              <w:rPr>
                <w:sz w:val="20"/>
              </w:rPr>
              <w:t>315,905</w:t>
            </w:r>
          </w:p>
        </w:tc>
        <w:tc>
          <w:tcPr>
            <w:tcW w:w="116" w:type="pct"/>
            <w:tcBorders>
              <w:top w:val="single" w:sz="12" w:space="0" w:color="auto"/>
              <w:bottom w:val="single" w:sz="12" w:space="0" w:color="auto"/>
            </w:tcBorders>
            <w:vAlign w:val="center"/>
          </w:tcPr>
          <w:p w14:paraId="0B59EC9A" w14:textId="77777777" w:rsidR="008F6AC1" w:rsidRPr="00483F7D" w:rsidRDefault="008F6AC1" w:rsidP="005563C1">
            <w:pPr>
              <w:spacing w:before="180" w:after="180"/>
              <w:ind w:right="-29"/>
              <w:jc w:val="center"/>
              <w:rPr>
                <w:noProof/>
                <w:sz w:val="20"/>
                <w:szCs w:val="20"/>
              </w:rPr>
            </w:pPr>
          </w:p>
        </w:tc>
        <w:tc>
          <w:tcPr>
            <w:tcW w:w="407" w:type="pct"/>
            <w:tcBorders>
              <w:top w:val="single" w:sz="12" w:space="0" w:color="auto"/>
              <w:bottom w:val="single" w:sz="12" w:space="0" w:color="auto"/>
              <w:right w:val="single" w:sz="12" w:space="0" w:color="auto"/>
            </w:tcBorders>
            <w:vAlign w:val="center"/>
          </w:tcPr>
          <w:p w14:paraId="13D67EC7" w14:textId="77777777" w:rsidR="008F6AC1" w:rsidRPr="00483F7D" w:rsidRDefault="008F6AC1" w:rsidP="005563C1">
            <w:pPr>
              <w:spacing w:before="180" w:after="180"/>
              <w:ind w:right="-29"/>
              <w:jc w:val="center"/>
              <w:rPr>
                <w:noProof/>
                <w:sz w:val="20"/>
                <w:szCs w:val="20"/>
              </w:rPr>
            </w:pPr>
            <w:r w:rsidRPr="00483F7D">
              <w:rPr>
                <w:sz w:val="20"/>
              </w:rPr>
              <w:t>1 855,065</w:t>
            </w:r>
          </w:p>
        </w:tc>
      </w:tr>
    </w:tbl>
    <w:p w14:paraId="3CCED373" w14:textId="77777777" w:rsidR="008F6AC1" w:rsidRPr="00483F7D" w:rsidRDefault="008F6AC1" w:rsidP="008F6AC1">
      <w:pPr>
        <w:rPr>
          <w:noProof/>
          <w:sz w:val="18"/>
          <w:szCs w:val="18"/>
        </w:rPr>
      </w:pPr>
      <w:r w:rsidRPr="00483F7D">
        <w:rPr>
          <w:sz w:val="18"/>
        </w:rPr>
        <w:t>Ποσά σε εκατ. EUR (με τρία δεκαδικά ψηφία). Κατά περίπτωση, τα ποσά αντικατοπτρίζουν το άθροισμα της συνεισφοράς της Ένωσης στον οργανισμό και των λοιπών εσόδων του οργανισμού (τέλη και επιβαρύνσεις).</w:t>
      </w:r>
    </w:p>
    <w:p w14:paraId="6592C023" w14:textId="77777777" w:rsidR="008F6AC1" w:rsidRPr="00483F7D" w:rsidRDefault="008F6AC1" w:rsidP="008F6AC1">
      <w:pPr>
        <w:jc w:val="left"/>
        <w:rPr>
          <w:noProof/>
          <w:szCs w:val="24"/>
          <w:u w:val="single"/>
        </w:rPr>
      </w:pPr>
      <w:r w:rsidRPr="00483F7D">
        <w:rPr>
          <w:u w:val="single"/>
        </w:rPr>
        <w:t>Πρόσθετες εξηγήσεις για το κόστος του τελωνειακού κόμβου δεδομένων της ΕΕ:</w:t>
      </w:r>
    </w:p>
    <w:p w14:paraId="49E1E4FE" w14:textId="77777777" w:rsidR="008F6AC1" w:rsidRPr="00483F7D" w:rsidRDefault="008F6AC1" w:rsidP="008F6AC1">
      <w:pPr>
        <w:pStyle w:val="Text1"/>
        <w:rPr>
          <w:b/>
          <w:bCs/>
          <w:noProof/>
          <w:szCs w:val="24"/>
        </w:rPr>
      </w:pPr>
      <w:r w:rsidRPr="00483F7D">
        <w:rPr>
          <w:b/>
        </w:rPr>
        <w:t xml:space="preserve">Κεφαλαιουχικές δαπάνες του χώρου δεδομένων της ΕΕ: </w:t>
      </w:r>
    </w:p>
    <w:p w14:paraId="7A1ABBC9" w14:textId="77777777" w:rsidR="008F6AC1" w:rsidRPr="00483F7D" w:rsidRDefault="008F6AC1" w:rsidP="008F6AC1">
      <w:pPr>
        <w:pStyle w:val="Text1"/>
        <w:rPr>
          <w:noProof/>
          <w:szCs w:val="24"/>
        </w:rPr>
      </w:pPr>
      <w:r w:rsidRPr="00483F7D">
        <w:t>Η γραμμή αυτή του προϋπολογισμού καλύπτει τον σχεδιασμό και την υλοποίηση της πλατφόρμας του κόμβου δεδομένων, συμπεριλαμβανομένης της ανάπτυξης (ή της αδειοδότησης/αγοράς) και της ολοκλήρωσης των διαφόρων συνιστωσών που καλύπτουν τις δυνατότητες ανταλλαγής δεδομένων, επεξεργασίας δεδομένων, διαχείρισης εφαρμογών και καταλόγου δεδομένων.</w:t>
      </w:r>
    </w:p>
    <w:p w14:paraId="6EA31437" w14:textId="77777777" w:rsidR="008F6AC1" w:rsidRPr="00483F7D" w:rsidRDefault="008F6AC1" w:rsidP="008F6AC1">
      <w:pPr>
        <w:pStyle w:val="Text1"/>
        <w:rPr>
          <w:b/>
          <w:bCs/>
          <w:noProof/>
          <w:szCs w:val="24"/>
        </w:rPr>
      </w:pPr>
      <w:r w:rsidRPr="00483F7D">
        <w:rPr>
          <w:b/>
        </w:rPr>
        <w:t xml:space="preserve">Επιχειρησιακές δαπάνες του χώρου δεδομένων της ΕΕ: </w:t>
      </w:r>
    </w:p>
    <w:p w14:paraId="014B681D" w14:textId="77777777" w:rsidR="008F6AC1" w:rsidRPr="00483F7D" w:rsidRDefault="008F6AC1" w:rsidP="008F6AC1">
      <w:pPr>
        <w:pStyle w:val="Text1"/>
        <w:rPr>
          <w:noProof/>
          <w:szCs w:val="24"/>
        </w:rPr>
      </w:pPr>
      <w:r w:rsidRPr="00483F7D">
        <w:t xml:space="preserve">Η γραμμή αυτή περιλαμβάνει την παροχή της απαραίτητης υποδομής (μίσθωση κέντρων δεδομένων, υλισμικό, υπηρεσίες υπολογιστικού νέφους, αδειοδότηση λογισμικού κ.λπ.) και τις επιχειρησιακές δυνατότητες (υπηρεσία εξυπηρέτησης, τεχνική υποστήριξη, επιχειρησιακή υποστήριξη κ.λπ.) για τη διασφάλιση του επαρκούς επιπέδου και της ικανότητας παροχής υπηρεσιών. Η γραμμή αυτή καλύπτει επίσης την ενδεχόμενη συντήρηση του κόμβου δεδομένων μόλις παραδοθεί και τεθεί σε λειτουργία.  </w:t>
      </w:r>
    </w:p>
    <w:p w14:paraId="44E5C3D4" w14:textId="77777777" w:rsidR="008F6AC1" w:rsidRPr="00483F7D" w:rsidRDefault="008F6AC1" w:rsidP="008F6AC1">
      <w:pPr>
        <w:pStyle w:val="Text1"/>
        <w:rPr>
          <w:b/>
          <w:bCs/>
          <w:noProof/>
          <w:szCs w:val="24"/>
        </w:rPr>
      </w:pPr>
      <w:r w:rsidRPr="00483F7D">
        <w:rPr>
          <w:b/>
        </w:rPr>
        <w:t>Κεφαλαιουχικές δαπάνες του προγράμματος μετασχηματισμού:</w:t>
      </w:r>
    </w:p>
    <w:p w14:paraId="3D9664B3" w14:textId="77777777" w:rsidR="008F6AC1" w:rsidRPr="00483F7D" w:rsidRDefault="008F6AC1" w:rsidP="008F6AC1">
      <w:pPr>
        <w:pStyle w:val="Text1"/>
        <w:rPr>
          <w:noProof/>
          <w:szCs w:val="24"/>
        </w:rPr>
      </w:pPr>
      <w:r w:rsidRPr="00483F7D">
        <w:t>Η γραμμή αυτή καλύπτει την ανάπτυξη και την υλοποίηση στην πλατφόρμα του κόμβου δεδομένων των λειτουργιών που σχετίζονται με τα εθνικά τελωνειακά συστήματα, τα οποία μεταφέρονται στην κεντρική εφαρμογή σύμφωνα με τη μεταρρυθμιστική νομοθεσία.</w:t>
      </w:r>
    </w:p>
    <w:p w14:paraId="4DA1ED4F" w14:textId="77777777" w:rsidR="008F6AC1" w:rsidRPr="00483F7D" w:rsidRDefault="008F6AC1" w:rsidP="008F6AC1">
      <w:pPr>
        <w:pStyle w:val="Text1"/>
        <w:rPr>
          <w:b/>
          <w:bCs/>
          <w:noProof/>
          <w:szCs w:val="24"/>
        </w:rPr>
      </w:pPr>
      <w:r w:rsidRPr="00483F7D">
        <w:rPr>
          <w:b/>
        </w:rPr>
        <w:t>Λειτουργικές δαπάνες του προγράμματος μετασχηματισμού:</w:t>
      </w:r>
    </w:p>
    <w:p w14:paraId="5819D813" w14:textId="77777777" w:rsidR="008F6AC1" w:rsidRPr="00483F7D" w:rsidRDefault="008F6AC1" w:rsidP="008F6AC1">
      <w:pPr>
        <w:pStyle w:val="Text1"/>
        <w:rPr>
          <w:noProof/>
          <w:szCs w:val="24"/>
        </w:rPr>
      </w:pPr>
      <w:r w:rsidRPr="00483F7D">
        <w:t>Η γραμμή αυτή καλύπτει τις λειτουργικές δαπάνες και τις δαπάνες συντήρησης στην πλατφόρμα του κόμβου δεδομένων του στοιχείου που υλοποιεί τις λειτουργίες σε σχέση με τα εθνικά τελωνειακά συστήματα που μεταφέρονται στην κεντρική εφαρμογή σύμφωνα με τη μεταρρυθμιστική νομοθεσία.</w:t>
      </w:r>
    </w:p>
    <w:p w14:paraId="72832BB6" w14:textId="77777777" w:rsidR="008F6AC1" w:rsidRPr="00483F7D" w:rsidRDefault="008F6AC1" w:rsidP="008F6AC1">
      <w:pPr>
        <w:jc w:val="left"/>
        <w:rPr>
          <w:noProof/>
          <w:sz w:val="20"/>
          <w:szCs w:val="20"/>
        </w:rPr>
      </w:pPr>
    </w:p>
    <w:p w14:paraId="2D30EB04" w14:textId="77777777" w:rsidR="008F6AC1" w:rsidRPr="00483F7D" w:rsidRDefault="008F6AC1" w:rsidP="008F6AC1">
      <w:pPr>
        <w:jc w:val="left"/>
        <w:rPr>
          <w:noProof/>
          <w:sz w:val="20"/>
          <w:szCs w:val="20"/>
        </w:rPr>
      </w:pPr>
    </w:p>
    <w:p w14:paraId="48B4C2B5" w14:textId="77777777" w:rsidR="008F6AC1" w:rsidRPr="00483F7D" w:rsidRDefault="008F6AC1" w:rsidP="008F6AC1">
      <w:pPr>
        <w:jc w:val="left"/>
        <w:rPr>
          <w:noProof/>
          <w:sz w:val="20"/>
          <w:szCs w:val="20"/>
        </w:rPr>
      </w:pPr>
    </w:p>
    <w:p w14:paraId="599E73D1" w14:textId="77777777" w:rsidR="008F6AC1" w:rsidRPr="00483F7D" w:rsidRDefault="008F6AC1" w:rsidP="008F6AC1">
      <w:pPr>
        <w:jc w:val="left"/>
        <w:rPr>
          <w:noProof/>
          <w:sz w:val="20"/>
          <w:szCs w:val="20"/>
        </w:rPr>
      </w:pPr>
    </w:p>
    <w:p w14:paraId="2ECDFF81" w14:textId="77777777" w:rsidR="008F6AC1" w:rsidRPr="00483F7D" w:rsidRDefault="008F6AC1" w:rsidP="008F6AC1">
      <w:pPr>
        <w:jc w:val="left"/>
        <w:rPr>
          <w:noProof/>
          <w:sz w:val="20"/>
          <w:szCs w:val="20"/>
        </w:rPr>
      </w:pPr>
    </w:p>
    <w:p w14:paraId="2FCFC4E4" w14:textId="77777777" w:rsidR="008F6AC1" w:rsidRPr="00483F7D" w:rsidRDefault="008F6AC1" w:rsidP="008F6AC1">
      <w:pPr>
        <w:jc w:val="left"/>
        <w:rPr>
          <w:noProof/>
          <w:sz w:val="20"/>
          <w:szCs w:val="20"/>
        </w:rPr>
      </w:pPr>
    </w:p>
    <w:p w14:paraId="50C12E2D" w14:textId="77777777" w:rsidR="008F6AC1" w:rsidRPr="00483F7D" w:rsidRDefault="008F6AC1" w:rsidP="008F6AC1">
      <w:pPr>
        <w:jc w:val="left"/>
        <w:rPr>
          <w:noProof/>
          <w:sz w:val="20"/>
          <w:szCs w:val="20"/>
        </w:rPr>
      </w:pPr>
    </w:p>
    <w:p w14:paraId="1E155BE7" w14:textId="77777777" w:rsidR="008F6AC1" w:rsidRPr="00483F7D" w:rsidRDefault="008F6AC1" w:rsidP="008F6AC1">
      <w:pPr>
        <w:jc w:val="left"/>
        <w:rPr>
          <w:noProof/>
          <w:sz w:val="20"/>
          <w:szCs w:val="20"/>
        </w:rPr>
      </w:pPr>
    </w:p>
    <w:p w14:paraId="34736172" w14:textId="77777777" w:rsidR="008F6AC1" w:rsidRPr="00483F7D" w:rsidRDefault="008F6AC1" w:rsidP="008F6AC1">
      <w:pPr>
        <w:jc w:val="left"/>
        <w:rPr>
          <w:noProof/>
          <w:sz w:val="20"/>
          <w:szCs w:val="20"/>
        </w:rPr>
        <w:sectPr w:rsidR="008F6AC1" w:rsidRPr="00483F7D" w:rsidSect="00483F7D">
          <w:headerReference w:type="default" r:id="rId30"/>
          <w:footerReference w:type="default" r:id="rId31"/>
          <w:headerReference w:type="first" r:id="rId32"/>
          <w:footerReference w:type="first" r:id="rId33"/>
          <w:footnotePr>
            <w:numRestart w:val="eachSect"/>
          </w:footnotePr>
          <w:pgSz w:w="15840" w:h="12240" w:orient="landscape"/>
          <w:pgMar w:top="1418" w:right="902" w:bottom="902" w:left="1134" w:header="709" w:footer="709" w:gutter="0"/>
          <w:cols w:space="720"/>
          <w:docGrid w:linePitch="326"/>
        </w:sectPr>
      </w:pPr>
    </w:p>
    <w:p w14:paraId="496E128D" w14:textId="77777777" w:rsidR="008F6AC1" w:rsidRPr="00483F7D" w:rsidRDefault="008F6AC1" w:rsidP="008F6AC1">
      <w:pPr>
        <w:pStyle w:val="ManualHeading3"/>
        <w:rPr>
          <w:bCs/>
          <w:noProof/>
          <w:szCs w:val="24"/>
        </w:rPr>
      </w:pPr>
      <w:bookmarkStart w:id="349" w:name="_Toc133320629"/>
      <w:bookmarkStart w:id="350" w:name="_Hlk130563317"/>
      <w:r w:rsidRPr="00483F7D">
        <w:t>3.2.3.</w:t>
      </w:r>
      <w:r w:rsidRPr="00483F7D">
        <w:tab/>
        <w:t>Εκτιμώμενες επιπτώσεις στους ανθρώπινους πόρους της Τελωνειακής Αρχής της ΕΕ</w:t>
      </w:r>
      <w:bookmarkEnd w:id="349"/>
      <w:r w:rsidRPr="00483F7D">
        <w:t xml:space="preserve"> </w:t>
      </w:r>
    </w:p>
    <w:p w14:paraId="1ECA97A5" w14:textId="77777777" w:rsidR="008F6AC1" w:rsidRPr="00483F7D" w:rsidRDefault="008F6AC1" w:rsidP="008F6AC1">
      <w:pPr>
        <w:pStyle w:val="ManualHeading4"/>
        <w:rPr>
          <w:bCs/>
          <w:noProof/>
          <w:szCs w:val="24"/>
        </w:rPr>
      </w:pPr>
      <w:r w:rsidRPr="00483F7D">
        <w:t>3.2.3.1.</w:t>
      </w:r>
      <w:r w:rsidRPr="00483F7D">
        <w:tab/>
        <w:t xml:space="preserve">Συνοπτική παρουσίαση </w:t>
      </w:r>
    </w:p>
    <w:p w14:paraId="5D286869" w14:textId="77777777" w:rsidR="008F6AC1" w:rsidRPr="00483F7D" w:rsidRDefault="008F6AC1" w:rsidP="00CF7E35">
      <w:pPr>
        <w:pStyle w:val="ListDash1"/>
        <w:numPr>
          <w:ilvl w:val="0"/>
          <w:numId w:val="38"/>
        </w:numPr>
        <w:rPr>
          <w:noProof/>
        </w:rPr>
      </w:pPr>
      <w:r w:rsidRPr="00483F7D">
        <w:sym w:font="Wingdings" w:char="F0A8"/>
      </w:r>
      <w:r w:rsidRPr="00483F7D">
        <w:tab/>
        <w:t xml:space="preserve">Η πρόταση/πρωτοβουλία δεν συνεπάγεται τη χρησιμοποίηση πιστώσεων διοικητικού χαρακτήρα. </w:t>
      </w:r>
    </w:p>
    <w:p w14:paraId="723A6B51" w14:textId="77777777" w:rsidR="008F6AC1" w:rsidRPr="00483F7D" w:rsidRDefault="008F6AC1" w:rsidP="00CF7E35">
      <w:pPr>
        <w:pStyle w:val="ListDash1"/>
        <w:numPr>
          <w:ilvl w:val="0"/>
          <w:numId w:val="38"/>
        </w:numPr>
        <w:rPr>
          <w:noProof/>
        </w:rPr>
      </w:pPr>
      <w:r w:rsidRPr="00483F7D">
        <w:rPr>
          <w:b/>
        </w:rPr>
        <w:t>X</w:t>
      </w:r>
      <w:r w:rsidRPr="00483F7D">
        <w:tab/>
        <w:t>Η πρόταση/πρωτοβουλία συνεπάγεται τη χρησιμοποίηση πιστώσεων διοικητικού χαρακτήρα, όπως εξηγείται κατωτέρω:</w:t>
      </w:r>
    </w:p>
    <w:p w14:paraId="46340733" w14:textId="77777777" w:rsidR="008F6AC1" w:rsidRPr="00483F7D" w:rsidRDefault="008F6AC1" w:rsidP="008F6AC1">
      <w:pPr>
        <w:rPr>
          <w:noProof/>
          <w:szCs w:val="24"/>
        </w:rPr>
      </w:pPr>
      <w:r w:rsidRPr="00483F7D">
        <w:t>Τα κατωτέρω αριθμητικά στοιχεία βασίζονται στο γεγονός ότι η Τελωνειακή Αρχή της ΕΕ επιτυγχάνει κανονικό ρυθμό λειτουργίας στα επίπεδα το 2034 και ότι τα επίπεδα των ανθρώπινων πόρων θα παραμείνουν σταθερά από το σημείο αυτό και μετά. Εκτιμάται ότι θα υπάρξει αναλογία 2:1 μεταξύ των θέσεων απασχόλησης του πίνακα προσωπικού και του εξωτερικού προσωπικού. Παρότι στο παρόν στάδιο δεν είναι δυνατό να προσδιοριστεί ποσοτικά ο αριθμός των βαθμών AST ή AD ή ο αριθμός των ΑΕΕ που μπορούν να διατεθούν από τις εθνικές διοικήσεις, δίνεται μια εκτίμηση. Οι δαπάνες υπόκεινται σε τιμαριθμική αναπροσαρμογή 2 %.</w:t>
      </w:r>
    </w:p>
    <w:p w14:paraId="55050445" w14:textId="77777777" w:rsidR="008F6AC1" w:rsidRPr="00483F7D" w:rsidRDefault="008F6AC1" w:rsidP="008F6AC1">
      <w:pPr>
        <w:jc w:val="left"/>
        <w:rPr>
          <w:noProof/>
          <w:szCs w:val="24"/>
        </w:rPr>
      </w:pPr>
      <w:r w:rsidRPr="00483F7D">
        <w:rPr>
          <w:sz w:val="20"/>
        </w:rPr>
        <w:t>Εκατ. EUR (με τρία δεκαδικά ψηφία) Κατά περίπτωση, τα ποσά αντικατοπτρίζουν το άθροισμα της συνεισφοράς της Ένωσης στον οργανισμό και των λοιπών εσόδων του οργανισμού (τέλη και επιβαρύνσεις).</w:t>
      </w:r>
    </w:p>
    <w:tbl>
      <w:tblPr>
        <w:tblW w:w="95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1475"/>
        <w:gridCol w:w="709"/>
        <w:gridCol w:w="708"/>
        <w:gridCol w:w="709"/>
        <w:gridCol w:w="709"/>
        <w:gridCol w:w="709"/>
        <w:gridCol w:w="850"/>
        <w:gridCol w:w="851"/>
        <w:gridCol w:w="992"/>
        <w:gridCol w:w="880"/>
        <w:gridCol w:w="923"/>
      </w:tblGrid>
      <w:tr w:rsidR="008F6AC1" w:rsidRPr="00483F7D" w14:paraId="37A176F1" w14:textId="77777777" w:rsidTr="005563C1">
        <w:trPr>
          <w:trHeight w:val="530"/>
        </w:trPr>
        <w:tc>
          <w:tcPr>
            <w:tcW w:w="1475" w:type="dxa"/>
            <w:vAlign w:val="center"/>
          </w:tcPr>
          <w:p w14:paraId="3C81B59D" w14:textId="77777777" w:rsidR="008F6AC1" w:rsidRPr="00483F7D" w:rsidRDefault="008F6AC1" w:rsidP="005563C1">
            <w:pPr>
              <w:spacing w:before="60" w:after="60"/>
              <w:rPr>
                <w:noProof/>
                <w:sz w:val="20"/>
              </w:rPr>
            </w:pPr>
          </w:p>
        </w:tc>
        <w:tc>
          <w:tcPr>
            <w:tcW w:w="709" w:type="dxa"/>
            <w:vAlign w:val="center"/>
          </w:tcPr>
          <w:p w14:paraId="57212D1D" w14:textId="77777777" w:rsidR="008F6AC1" w:rsidRPr="00483F7D" w:rsidRDefault="008F6AC1" w:rsidP="005563C1">
            <w:pPr>
              <w:spacing w:before="60" w:after="60"/>
              <w:jc w:val="center"/>
              <w:rPr>
                <w:noProof/>
                <w:sz w:val="20"/>
              </w:rPr>
            </w:pPr>
            <w:r w:rsidRPr="00483F7D">
              <w:rPr>
                <w:sz w:val="20"/>
              </w:rPr>
              <w:t>2026</w:t>
            </w:r>
          </w:p>
        </w:tc>
        <w:tc>
          <w:tcPr>
            <w:tcW w:w="708" w:type="dxa"/>
            <w:vAlign w:val="center"/>
          </w:tcPr>
          <w:p w14:paraId="2ECC8CA6" w14:textId="77777777" w:rsidR="008F6AC1" w:rsidRPr="00483F7D" w:rsidRDefault="008F6AC1" w:rsidP="005563C1">
            <w:pPr>
              <w:spacing w:before="60" w:after="60"/>
              <w:jc w:val="center"/>
              <w:rPr>
                <w:noProof/>
                <w:sz w:val="20"/>
              </w:rPr>
            </w:pPr>
            <w:r w:rsidRPr="00483F7D">
              <w:rPr>
                <w:sz w:val="20"/>
              </w:rPr>
              <w:t>2027</w:t>
            </w:r>
          </w:p>
        </w:tc>
        <w:tc>
          <w:tcPr>
            <w:tcW w:w="709" w:type="dxa"/>
            <w:vAlign w:val="center"/>
          </w:tcPr>
          <w:p w14:paraId="783C9158" w14:textId="77777777" w:rsidR="008F6AC1" w:rsidRPr="00483F7D" w:rsidRDefault="008F6AC1" w:rsidP="005563C1">
            <w:pPr>
              <w:spacing w:before="60" w:after="60"/>
              <w:jc w:val="center"/>
              <w:rPr>
                <w:noProof/>
                <w:sz w:val="20"/>
              </w:rPr>
            </w:pPr>
            <w:r w:rsidRPr="00483F7D">
              <w:rPr>
                <w:sz w:val="20"/>
              </w:rPr>
              <w:t>2028</w:t>
            </w:r>
          </w:p>
        </w:tc>
        <w:tc>
          <w:tcPr>
            <w:tcW w:w="709" w:type="dxa"/>
            <w:vAlign w:val="center"/>
          </w:tcPr>
          <w:p w14:paraId="46A0E364" w14:textId="77777777" w:rsidR="008F6AC1" w:rsidRPr="00483F7D" w:rsidRDefault="008F6AC1" w:rsidP="005563C1">
            <w:pPr>
              <w:spacing w:before="60" w:after="60"/>
              <w:jc w:val="center"/>
              <w:rPr>
                <w:noProof/>
                <w:sz w:val="20"/>
              </w:rPr>
            </w:pPr>
            <w:r w:rsidRPr="00483F7D">
              <w:rPr>
                <w:sz w:val="20"/>
              </w:rPr>
              <w:t>2029</w:t>
            </w:r>
          </w:p>
        </w:tc>
        <w:tc>
          <w:tcPr>
            <w:tcW w:w="709" w:type="dxa"/>
            <w:vAlign w:val="center"/>
          </w:tcPr>
          <w:p w14:paraId="25404813" w14:textId="77777777" w:rsidR="008F6AC1" w:rsidRPr="00483F7D" w:rsidRDefault="008F6AC1" w:rsidP="005563C1">
            <w:pPr>
              <w:spacing w:before="60" w:after="60"/>
              <w:jc w:val="center"/>
              <w:rPr>
                <w:noProof/>
                <w:sz w:val="20"/>
              </w:rPr>
            </w:pPr>
            <w:r w:rsidRPr="00483F7D">
              <w:rPr>
                <w:sz w:val="20"/>
              </w:rPr>
              <w:t>2030</w:t>
            </w:r>
          </w:p>
        </w:tc>
        <w:tc>
          <w:tcPr>
            <w:tcW w:w="850" w:type="dxa"/>
            <w:vAlign w:val="center"/>
          </w:tcPr>
          <w:p w14:paraId="2E19C517" w14:textId="77777777" w:rsidR="008F6AC1" w:rsidRPr="00483F7D" w:rsidRDefault="008F6AC1" w:rsidP="005563C1">
            <w:pPr>
              <w:spacing w:before="60" w:after="60"/>
              <w:jc w:val="center"/>
              <w:rPr>
                <w:noProof/>
                <w:sz w:val="20"/>
              </w:rPr>
            </w:pPr>
            <w:r w:rsidRPr="00483F7D">
              <w:rPr>
                <w:sz w:val="20"/>
              </w:rPr>
              <w:t>2031</w:t>
            </w:r>
          </w:p>
        </w:tc>
        <w:tc>
          <w:tcPr>
            <w:tcW w:w="851" w:type="dxa"/>
            <w:vAlign w:val="center"/>
          </w:tcPr>
          <w:p w14:paraId="2DAAC212" w14:textId="77777777" w:rsidR="008F6AC1" w:rsidRPr="00483F7D" w:rsidRDefault="008F6AC1" w:rsidP="005563C1">
            <w:pPr>
              <w:jc w:val="center"/>
              <w:rPr>
                <w:b/>
                <w:noProof/>
                <w:sz w:val="20"/>
              </w:rPr>
            </w:pPr>
            <w:r w:rsidRPr="00483F7D">
              <w:rPr>
                <w:sz w:val="20"/>
              </w:rPr>
              <w:t>2032</w:t>
            </w:r>
          </w:p>
        </w:tc>
        <w:tc>
          <w:tcPr>
            <w:tcW w:w="992" w:type="dxa"/>
            <w:vAlign w:val="center"/>
          </w:tcPr>
          <w:p w14:paraId="0AE407A8" w14:textId="77777777" w:rsidR="008F6AC1" w:rsidRPr="00483F7D" w:rsidRDefault="008F6AC1" w:rsidP="005563C1">
            <w:pPr>
              <w:jc w:val="center"/>
              <w:rPr>
                <w:b/>
                <w:noProof/>
                <w:sz w:val="20"/>
              </w:rPr>
            </w:pPr>
            <w:r w:rsidRPr="00483F7D">
              <w:rPr>
                <w:sz w:val="20"/>
              </w:rPr>
              <w:t>2033</w:t>
            </w:r>
          </w:p>
        </w:tc>
        <w:tc>
          <w:tcPr>
            <w:tcW w:w="880" w:type="dxa"/>
            <w:vAlign w:val="center"/>
          </w:tcPr>
          <w:p w14:paraId="690666B6" w14:textId="77777777" w:rsidR="008F6AC1" w:rsidRPr="00483F7D" w:rsidRDefault="008F6AC1" w:rsidP="005563C1">
            <w:pPr>
              <w:jc w:val="center"/>
              <w:rPr>
                <w:b/>
                <w:noProof/>
                <w:sz w:val="20"/>
              </w:rPr>
            </w:pPr>
            <w:r w:rsidRPr="00483F7D">
              <w:rPr>
                <w:sz w:val="20"/>
              </w:rPr>
              <w:t>2034</w:t>
            </w:r>
          </w:p>
        </w:tc>
        <w:tc>
          <w:tcPr>
            <w:tcW w:w="923" w:type="dxa"/>
            <w:vAlign w:val="center"/>
          </w:tcPr>
          <w:p w14:paraId="359F342D" w14:textId="77777777" w:rsidR="008F6AC1" w:rsidRPr="00483F7D" w:rsidRDefault="008F6AC1" w:rsidP="005563C1">
            <w:pPr>
              <w:spacing w:before="60" w:after="60"/>
              <w:jc w:val="center"/>
              <w:rPr>
                <w:b/>
                <w:noProof/>
                <w:sz w:val="20"/>
              </w:rPr>
            </w:pPr>
            <w:r w:rsidRPr="00483F7D">
              <w:rPr>
                <w:b/>
                <w:sz w:val="20"/>
              </w:rPr>
              <w:t>ΣΥΝΟΛΟ</w:t>
            </w:r>
          </w:p>
        </w:tc>
      </w:tr>
      <w:tr w:rsidR="008F6AC1" w:rsidRPr="00483F7D" w14:paraId="12913972" w14:textId="77777777" w:rsidTr="005563C1">
        <w:trPr>
          <w:trHeight w:val="530"/>
        </w:trPr>
        <w:tc>
          <w:tcPr>
            <w:tcW w:w="1475" w:type="dxa"/>
            <w:shd w:val="clear" w:color="auto" w:fill="D9D9D9" w:themeFill="background1" w:themeFillShade="D9"/>
            <w:vAlign w:val="center"/>
          </w:tcPr>
          <w:p w14:paraId="485CD829" w14:textId="77777777" w:rsidR="008F6AC1" w:rsidRPr="00483F7D" w:rsidRDefault="008F6AC1" w:rsidP="005563C1">
            <w:pPr>
              <w:spacing w:before="60" w:after="60"/>
              <w:jc w:val="left"/>
              <w:rPr>
                <w:noProof/>
                <w:sz w:val="20"/>
                <w:szCs w:val="20"/>
              </w:rPr>
            </w:pPr>
            <w:r w:rsidRPr="00483F7D">
              <w:rPr>
                <w:sz w:val="20"/>
              </w:rPr>
              <w:t>Έκτακτοι υπάλληλοι (βαθμοί AD)</w:t>
            </w:r>
          </w:p>
        </w:tc>
        <w:tc>
          <w:tcPr>
            <w:tcW w:w="709" w:type="dxa"/>
            <w:vAlign w:val="center"/>
          </w:tcPr>
          <w:p w14:paraId="2CDD8A37" w14:textId="77777777" w:rsidR="008F6AC1" w:rsidRPr="00483F7D" w:rsidRDefault="008F6AC1" w:rsidP="005563C1">
            <w:pPr>
              <w:spacing w:before="60" w:after="60"/>
              <w:jc w:val="center"/>
              <w:rPr>
                <w:sz w:val="18"/>
                <w:szCs w:val="18"/>
              </w:rPr>
            </w:pPr>
            <w:r w:rsidRPr="00483F7D">
              <w:rPr>
                <w:sz w:val="18"/>
              </w:rPr>
              <w:t>0,119</w:t>
            </w:r>
          </w:p>
        </w:tc>
        <w:tc>
          <w:tcPr>
            <w:tcW w:w="708" w:type="dxa"/>
            <w:vAlign w:val="center"/>
          </w:tcPr>
          <w:p w14:paraId="4A0C3A58" w14:textId="77777777" w:rsidR="008F6AC1" w:rsidRPr="00483F7D" w:rsidRDefault="008F6AC1" w:rsidP="005563C1">
            <w:pPr>
              <w:spacing w:before="60" w:after="60"/>
              <w:jc w:val="center"/>
              <w:rPr>
                <w:sz w:val="18"/>
                <w:szCs w:val="18"/>
              </w:rPr>
            </w:pPr>
            <w:r w:rsidRPr="00483F7D">
              <w:rPr>
                <w:sz w:val="18"/>
              </w:rPr>
              <w:t>0,423</w:t>
            </w:r>
          </w:p>
        </w:tc>
        <w:tc>
          <w:tcPr>
            <w:tcW w:w="709" w:type="dxa"/>
            <w:vAlign w:val="center"/>
          </w:tcPr>
          <w:p w14:paraId="52271E0E" w14:textId="77777777" w:rsidR="008F6AC1" w:rsidRPr="00483F7D" w:rsidRDefault="008F6AC1" w:rsidP="005563C1">
            <w:pPr>
              <w:spacing w:before="60" w:after="60"/>
              <w:jc w:val="center"/>
              <w:rPr>
                <w:sz w:val="18"/>
                <w:szCs w:val="18"/>
              </w:rPr>
            </w:pPr>
            <w:r w:rsidRPr="00483F7D">
              <w:rPr>
                <w:sz w:val="18"/>
              </w:rPr>
              <w:t>1,542</w:t>
            </w:r>
          </w:p>
        </w:tc>
        <w:tc>
          <w:tcPr>
            <w:tcW w:w="709" w:type="dxa"/>
            <w:vAlign w:val="center"/>
          </w:tcPr>
          <w:p w14:paraId="41B8E1FE" w14:textId="77777777" w:rsidR="008F6AC1" w:rsidRPr="00483F7D" w:rsidRDefault="008F6AC1" w:rsidP="005563C1">
            <w:pPr>
              <w:spacing w:before="60" w:after="60"/>
              <w:jc w:val="center"/>
              <w:rPr>
                <w:noProof/>
                <w:sz w:val="18"/>
                <w:szCs w:val="18"/>
              </w:rPr>
            </w:pPr>
            <w:r w:rsidRPr="00483F7D">
              <w:rPr>
                <w:sz w:val="18"/>
              </w:rPr>
              <w:t>3,335</w:t>
            </w:r>
          </w:p>
        </w:tc>
        <w:tc>
          <w:tcPr>
            <w:tcW w:w="709" w:type="dxa"/>
            <w:vAlign w:val="center"/>
          </w:tcPr>
          <w:p w14:paraId="6CC29E1E" w14:textId="77777777" w:rsidR="008F6AC1" w:rsidRPr="00483F7D" w:rsidRDefault="008F6AC1" w:rsidP="005563C1">
            <w:pPr>
              <w:spacing w:before="60" w:after="60"/>
              <w:jc w:val="center"/>
              <w:rPr>
                <w:noProof/>
                <w:sz w:val="18"/>
                <w:szCs w:val="18"/>
              </w:rPr>
            </w:pPr>
            <w:r w:rsidRPr="00483F7D">
              <w:rPr>
                <w:sz w:val="18"/>
              </w:rPr>
              <w:t>5,970</w:t>
            </w:r>
          </w:p>
        </w:tc>
        <w:tc>
          <w:tcPr>
            <w:tcW w:w="850" w:type="dxa"/>
            <w:vAlign w:val="center"/>
          </w:tcPr>
          <w:p w14:paraId="0138E4BB" w14:textId="77777777" w:rsidR="008F6AC1" w:rsidRPr="00483F7D" w:rsidRDefault="008F6AC1" w:rsidP="005563C1">
            <w:pPr>
              <w:spacing w:before="60" w:after="60"/>
              <w:jc w:val="center"/>
              <w:rPr>
                <w:noProof/>
                <w:sz w:val="18"/>
                <w:szCs w:val="18"/>
              </w:rPr>
            </w:pPr>
            <w:r w:rsidRPr="00483F7D">
              <w:rPr>
                <w:sz w:val="18"/>
              </w:rPr>
              <w:t>10,018</w:t>
            </w:r>
          </w:p>
        </w:tc>
        <w:tc>
          <w:tcPr>
            <w:tcW w:w="851" w:type="dxa"/>
            <w:vAlign w:val="center"/>
          </w:tcPr>
          <w:p w14:paraId="7EAB88E9" w14:textId="77777777" w:rsidR="008F6AC1" w:rsidRPr="00483F7D" w:rsidRDefault="008F6AC1" w:rsidP="005563C1">
            <w:pPr>
              <w:spacing w:before="60" w:after="60"/>
              <w:jc w:val="center"/>
              <w:rPr>
                <w:noProof/>
                <w:sz w:val="18"/>
                <w:szCs w:val="18"/>
              </w:rPr>
            </w:pPr>
            <w:r w:rsidRPr="00483F7D">
              <w:rPr>
                <w:sz w:val="18"/>
              </w:rPr>
              <w:t>14,693</w:t>
            </w:r>
          </w:p>
        </w:tc>
        <w:tc>
          <w:tcPr>
            <w:tcW w:w="992" w:type="dxa"/>
            <w:vAlign w:val="center"/>
          </w:tcPr>
          <w:p w14:paraId="15B04E94" w14:textId="77777777" w:rsidR="008F6AC1" w:rsidRPr="00483F7D" w:rsidRDefault="008F6AC1" w:rsidP="005563C1">
            <w:pPr>
              <w:spacing w:before="60" w:after="60"/>
              <w:jc w:val="center"/>
              <w:rPr>
                <w:noProof/>
                <w:sz w:val="18"/>
                <w:szCs w:val="18"/>
              </w:rPr>
            </w:pPr>
            <w:r w:rsidRPr="00483F7D">
              <w:rPr>
                <w:sz w:val="18"/>
              </w:rPr>
              <w:t>19,073</w:t>
            </w:r>
          </w:p>
        </w:tc>
        <w:tc>
          <w:tcPr>
            <w:tcW w:w="880" w:type="dxa"/>
            <w:vAlign w:val="center"/>
          </w:tcPr>
          <w:p w14:paraId="27C3536B" w14:textId="77777777" w:rsidR="008F6AC1" w:rsidRPr="00483F7D" w:rsidRDefault="008F6AC1" w:rsidP="005563C1">
            <w:pPr>
              <w:spacing w:before="60" w:after="60"/>
              <w:jc w:val="center"/>
              <w:rPr>
                <w:sz w:val="18"/>
                <w:szCs w:val="18"/>
              </w:rPr>
            </w:pPr>
            <w:r w:rsidRPr="00483F7D">
              <w:rPr>
                <w:sz w:val="18"/>
              </w:rPr>
              <w:t>22,234</w:t>
            </w:r>
          </w:p>
        </w:tc>
        <w:tc>
          <w:tcPr>
            <w:tcW w:w="923" w:type="dxa"/>
            <w:vAlign w:val="center"/>
          </w:tcPr>
          <w:p w14:paraId="0B63E693" w14:textId="77777777" w:rsidR="008F6AC1" w:rsidRPr="00483F7D" w:rsidRDefault="008F6AC1" w:rsidP="005563C1">
            <w:pPr>
              <w:spacing w:before="60" w:after="60"/>
              <w:jc w:val="center"/>
              <w:rPr>
                <w:bCs/>
                <w:noProof/>
                <w:sz w:val="20"/>
                <w:szCs w:val="20"/>
              </w:rPr>
            </w:pPr>
            <w:r w:rsidRPr="00483F7D">
              <w:rPr>
                <w:sz w:val="20"/>
              </w:rPr>
              <w:t>77,408</w:t>
            </w:r>
          </w:p>
        </w:tc>
      </w:tr>
      <w:tr w:rsidR="008F6AC1" w:rsidRPr="00483F7D" w14:paraId="046BFA6C" w14:textId="77777777" w:rsidTr="005563C1">
        <w:trPr>
          <w:trHeight w:val="530"/>
        </w:trPr>
        <w:tc>
          <w:tcPr>
            <w:tcW w:w="1475" w:type="dxa"/>
            <w:shd w:val="clear" w:color="auto" w:fill="BFBFBF" w:themeFill="background1" w:themeFillShade="BF"/>
            <w:vAlign w:val="center"/>
          </w:tcPr>
          <w:p w14:paraId="68558C0D" w14:textId="77777777" w:rsidR="008F6AC1" w:rsidRPr="00483F7D" w:rsidRDefault="008F6AC1" w:rsidP="005563C1">
            <w:pPr>
              <w:spacing w:before="60" w:after="60"/>
              <w:ind w:left="72"/>
              <w:jc w:val="left"/>
              <w:rPr>
                <w:noProof/>
                <w:sz w:val="20"/>
                <w:szCs w:val="20"/>
              </w:rPr>
            </w:pPr>
            <w:r w:rsidRPr="00483F7D">
              <w:rPr>
                <w:sz w:val="20"/>
              </w:rPr>
              <w:t>Έκτακτοι υπάλληλοι (βαθμοί AST)</w:t>
            </w:r>
          </w:p>
        </w:tc>
        <w:tc>
          <w:tcPr>
            <w:tcW w:w="709" w:type="dxa"/>
            <w:vAlign w:val="center"/>
          </w:tcPr>
          <w:p w14:paraId="34EAAD0F" w14:textId="77777777" w:rsidR="008F6AC1" w:rsidRPr="00483F7D" w:rsidRDefault="008F6AC1" w:rsidP="005563C1">
            <w:pPr>
              <w:spacing w:before="60" w:after="60"/>
              <w:jc w:val="center"/>
              <w:rPr>
                <w:noProof/>
                <w:sz w:val="18"/>
                <w:szCs w:val="18"/>
              </w:rPr>
            </w:pPr>
            <w:r w:rsidRPr="00483F7D">
              <w:rPr>
                <w:sz w:val="18"/>
              </w:rPr>
              <w:t>0,059</w:t>
            </w:r>
          </w:p>
        </w:tc>
        <w:tc>
          <w:tcPr>
            <w:tcW w:w="708" w:type="dxa"/>
            <w:vAlign w:val="center"/>
          </w:tcPr>
          <w:p w14:paraId="29FDE63A" w14:textId="77777777" w:rsidR="008F6AC1" w:rsidRPr="00483F7D" w:rsidRDefault="008F6AC1" w:rsidP="005563C1">
            <w:pPr>
              <w:spacing w:before="60" w:after="60"/>
              <w:jc w:val="center"/>
              <w:rPr>
                <w:noProof/>
                <w:sz w:val="18"/>
                <w:szCs w:val="18"/>
              </w:rPr>
            </w:pPr>
            <w:r w:rsidRPr="00483F7D">
              <w:rPr>
                <w:sz w:val="18"/>
              </w:rPr>
              <w:t>0,212</w:t>
            </w:r>
          </w:p>
        </w:tc>
        <w:tc>
          <w:tcPr>
            <w:tcW w:w="709" w:type="dxa"/>
            <w:vAlign w:val="center"/>
          </w:tcPr>
          <w:p w14:paraId="0C760761" w14:textId="77777777" w:rsidR="008F6AC1" w:rsidRPr="00483F7D" w:rsidRDefault="008F6AC1" w:rsidP="005563C1">
            <w:pPr>
              <w:spacing w:before="60" w:after="60"/>
              <w:jc w:val="center"/>
              <w:rPr>
                <w:noProof/>
                <w:sz w:val="18"/>
                <w:szCs w:val="18"/>
              </w:rPr>
            </w:pPr>
            <w:r w:rsidRPr="00483F7D">
              <w:rPr>
                <w:sz w:val="18"/>
              </w:rPr>
              <w:t>0,771</w:t>
            </w:r>
          </w:p>
        </w:tc>
        <w:tc>
          <w:tcPr>
            <w:tcW w:w="709" w:type="dxa"/>
            <w:vAlign w:val="center"/>
          </w:tcPr>
          <w:p w14:paraId="2705D295" w14:textId="77777777" w:rsidR="008F6AC1" w:rsidRPr="00483F7D" w:rsidRDefault="008F6AC1" w:rsidP="005563C1">
            <w:pPr>
              <w:spacing w:before="60" w:after="60"/>
              <w:jc w:val="center"/>
              <w:rPr>
                <w:noProof/>
                <w:sz w:val="18"/>
                <w:szCs w:val="18"/>
              </w:rPr>
            </w:pPr>
            <w:r w:rsidRPr="00483F7D">
              <w:rPr>
                <w:sz w:val="18"/>
              </w:rPr>
              <w:t>1,668</w:t>
            </w:r>
          </w:p>
        </w:tc>
        <w:tc>
          <w:tcPr>
            <w:tcW w:w="709" w:type="dxa"/>
            <w:vAlign w:val="center"/>
          </w:tcPr>
          <w:p w14:paraId="256C5667" w14:textId="77777777" w:rsidR="008F6AC1" w:rsidRPr="00483F7D" w:rsidRDefault="008F6AC1" w:rsidP="005563C1">
            <w:pPr>
              <w:spacing w:before="60" w:after="60"/>
              <w:jc w:val="center"/>
              <w:rPr>
                <w:noProof/>
                <w:sz w:val="18"/>
                <w:szCs w:val="18"/>
              </w:rPr>
            </w:pPr>
            <w:r w:rsidRPr="00483F7D">
              <w:rPr>
                <w:sz w:val="18"/>
              </w:rPr>
              <w:t>2,985</w:t>
            </w:r>
          </w:p>
        </w:tc>
        <w:tc>
          <w:tcPr>
            <w:tcW w:w="850" w:type="dxa"/>
            <w:vAlign w:val="center"/>
          </w:tcPr>
          <w:p w14:paraId="483B70B4" w14:textId="77777777" w:rsidR="008F6AC1" w:rsidRPr="00483F7D" w:rsidRDefault="008F6AC1" w:rsidP="005563C1">
            <w:pPr>
              <w:spacing w:before="60" w:after="60"/>
              <w:jc w:val="center"/>
              <w:rPr>
                <w:noProof/>
                <w:sz w:val="18"/>
                <w:szCs w:val="18"/>
              </w:rPr>
            </w:pPr>
            <w:r w:rsidRPr="00483F7D">
              <w:rPr>
                <w:sz w:val="18"/>
              </w:rPr>
              <w:t>5,009</w:t>
            </w:r>
          </w:p>
        </w:tc>
        <w:tc>
          <w:tcPr>
            <w:tcW w:w="851" w:type="dxa"/>
            <w:vAlign w:val="center"/>
          </w:tcPr>
          <w:p w14:paraId="2B5F8794" w14:textId="77777777" w:rsidR="008F6AC1" w:rsidRPr="00483F7D" w:rsidRDefault="008F6AC1" w:rsidP="005563C1">
            <w:pPr>
              <w:spacing w:before="60" w:after="60"/>
              <w:jc w:val="center"/>
              <w:rPr>
                <w:noProof/>
                <w:sz w:val="18"/>
                <w:szCs w:val="18"/>
              </w:rPr>
            </w:pPr>
            <w:r w:rsidRPr="00483F7D">
              <w:rPr>
                <w:sz w:val="18"/>
              </w:rPr>
              <w:t>7,346</w:t>
            </w:r>
          </w:p>
        </w:tc>
        <w:tc>
          <w:tcPr>
            <w:tcW w:w="992" w:type="dxa"/>
            <w:vAlign w:val="center"/>
          </w:tcPr>
          <w:p w14:paraId="0AE0F89C" w14:textId="77777777" w:rsidR="008F6AC1" w:rsidRPr="00483F7D" w:rsidRDefault="008F6AC1" w:rsidP="005563C1">
            <w:pPr>
              <w:spacing w:before="60" w:after="60"/>
              <w:jc w:val="center"/>
              <w:rPr>
                <w:noProof/>
                <w:sz w:val="18"/>
                <w:szCs w:val="18"/>
              </w:rPr>
            </w:pPr>
            <w:r w:rsidRPr="00483F7D">
              <w:rPr>
                <w:sz w:val="18"/>
              </w:rPr>
              <w:t>9,537</w:t>
            </w:r>
          </w:p>
        </w:tc>
        <w:tc>
          <w:tcPr>
            <w:tcW w:w="880" w:type="dxa"/>
            <w:vAlign w:val="center"/>
          </w:tcPr>
          <w:p w14:paraId="73AE22DB" w14:textId="77777777" w:rsidR="008F6AC1" w:rsidRPr="00483F7D" w:rsidRDefault="008F6AC1" w:rsidP="005563C1">
            <w:pPr>
              <w:spacing w:before="60" w:after="60"/>
              <w:jc w:val="center"/>
              <w:rPr>
                <w:bCs/>
                <w:noProof/>
                <w:sz w:val="18"/>
                <w:szCs w:val="18"/>
              </w:rPr>
            </w:pPr>
            <w:r w:rsidRPr="00483F7D">
              <w:rPr>
                <w:sz w:val="18"/>
              </w:rPr>
              <w:t>11,117</w:t>
            </w:r>
          </w:p>
        </w:tc>
        <w:tc>
          <w:tcPr>
            <w:tcW w:w="923" w:type="dxa"/>
            <w:vAlign w:val="center"/>
          </w:tcPr>
          <w:p w14:paraId="7A7C0F82" w14:textId="77777777" w:rsidR="008F6AC1" w:rsidRPr="00483F7D" w:rsidRDefault="008F6AC1" w:rsidP="005563C1">
            <w:pPr>
              <w:spacing w:before="60" w:after="60"/>
              <w:jc w:val="center"/>
              <w:rPr>
                <w:bCs/>
                <w:noProof/>
                <w:sz w:val="20"/>
                <w:szCs w:val="20"/>
              </w:rPr>
            </w:pPr>
            <w:r w:rsidRPr="00483F7D">
              <w:rPr>
                <w:sz w:val="20"/>
              </w:rPr>
              <w:t>38,704</w:t>
            </w:r>
          </w:p>
        </w:tc>
      </w:tr>
      <w:tr w:rsidR="008F6AC1" w:rsidRPr="00483F7D" w14:paraId="3955EF9E" w14:textId="77777777" w:rsidTr="005563C1">
        <w:trPr>
          <w:trHeight w:val="530"/>
        </w:trPr>
        <w:tc>
          <w:tcPr>
            <w:tcW w:w="1475" w:type="dxa"/>
            <w:shd w:val="clear" w:color="auto" w:fill="BFBFBF" w:themeFill="background1" w:themeFillShade="BF"/>
            <w:vAlign w:val="center"/>
          </w:tcPr>
          <w:p w14:paraId="3D72AF04" w14:textId="77777777" w:rsidR="008F6AC1" w:rsidRPr="00483F7D" w:rsidRDefault="008F6AC1" w:rsidP="005563C1">
            <w:pPr>
              <w:spacing w:before="60" w:after="60"/>
              <w:ind w:left="72"/>
              <w:jc w:val="left"/>
              <w:rPr>
                <w:noProof/>
                <w:sz w:val="20"/>
                <w:szCs w:val="20"/>
              </w:rPr>
            </w:pPr>
            <w:r w:rsidRPr="00483F7D">
              <w:rPr>
                <w:sz w:val="20"/>
              </w:rPr>
              <w:t>Συμβασιούχοι υπάλληλοι (CA)</w:t>
            </w:r>
          </w:p>
        </w:tc>
        <w:tc>
          <w:tcPr>
            <w:tcW w:w="709" w:type="dxa"/>
            <w:shd w:val="clear" w:color="auto" w:fill="auto"/>
            <w:vAlign w:val="center"/>
          </w:tcPr>
          <w:p w14:paraId="73B1059D" w14:textId="77777777" w:rsidR="008F6AC1" w:rsidRPr="00483F7D" w:rsidRDefault="008F6AC1" w:rsidP="005563C1">
            <w:pPr>
              <w:spacing w:before="60" w:after="60"/>
              <w:jc w:val="center"/>
              <w:rPr>
                <w:sz w:val="18"/>
                <w:szCs w:val="18"/>
              </w:rPr>
            </w:pPr>
            <w:r w:rsidRPr="00483F7D">
              <w:rPr>
                <w:sz w:val="18"/>
              </w:rPr>
              <w:t>0,237</w:t>
            </w:r>
          </w:p>
        </w:tc>
        <w:tc>
          <w:tcPr>
            <w:tcW w:w="708" w:type="dxa"/>
            <w:shd w:val="clear" w:color="auto" w:fill="auto"/>
            <w:vAlign w:val="center"/>
          </w:tcPr>
          <w:p w14:paraId="69315E14" w14:textId="77777777" w:rsidR="008F6AC1" w:rsidRPr="00483F7D" w:rsidRDefault="008F6AC1" w:rsidP="005563C1">
            <w:pPr>
              <w:spacing w:before="60" w:after="60"/>
              <w:jc w:val="center"/>
              <w:rPr>
                <w:sz w:val="18"/>
                <w:szCs w:val="18"/>
              </w:rPr>
            </w:pPr>
            <w:r w:rsidRPr="00483F7D">
              <w:rPr>
                <w:sz w:val="18"/>
              </w:rPr>
              <w:t>0,676</w:t>
            </w:r>
          </w:p>
        </w:tc>
        <w:tc>
          <w:tcPr>
            <w:tcW w:w="709" w:type="dxa"/>
            <w:shd w:val="clear" w:color="auto" w:fill="auto"/>
            <w:vAlign w:val="center"/>
          </w:tcPr>
          <w:p w14:paraId="25F323D2" w14:textId="77777777" w:rsidR="008F6AC1" w:rsidRPr="00483F7D" w:rsidRDefault="008F6AC1" w:rsidP="005563C1">
            <w:pPr>
              <w:spacing w:before="60" w:after="60"/>
              <w:jc w:val="center"/>
              <w:rPr>
                <w:noProof/>
                <w:sz w:val="18"/>
                <w:szCs w:val="18"/>
              </w:rPr>
            </w:pPr>
            <w:r w:rsidRPr="00483F7D">
              <w:rPr>
                <w:sz w:val="18"/>
              </w:rPr>
              <w:t>0,749</w:t>
            </w:r>
          </w:p>
        </w:tc>
        <w:tc>
          <w:tcPr>
            <w:tcW w:w="709" w:type="dxa"/>
            <w:shd w:val="clear" w:color="auto" w:fill="auto"/>
            <w:vAlign w:val="center"/>
          </w:tcPr>
          <w:p w14:paraId="7BB2011C" w14:textId="77777777" w:rsidR="008F6AC1" w:rsidRPr="00483F7D" w:rsidRDefault="008F6AC1" w:rsidP="005563C1">
            <w:pPr>
              <w:spacing w:before="60" w:after="60"/>
              <w:jc w:val="center"/>
              <w:rPr>
                <w:noProof/>
                <w:sz w:val="18"/>
                <w:szCs w:val="18"/>
              </w:rPr>
            </w:pPr>
            <w:r w:rsidRPr="00483F7D">
              <w:rPr>
                <w:sz w:val="18"/>
              </w:rPr>
              <w:t>1,085</w:t>
            </w:r>
          </w:p>
        </w:tc>
        <w:tc>
          <w:tcPr>
            <w:tcW w:w="709" w:type="dxa"/>
            <w:shd w:val="clear" w:color="auto" w:fill="auto"/>
            <w:vAlign w:val="center"/>
          </w:tcPr>
          <w:p w14:paraId="76E1767F" w14:textId="77777777" w:rsidR="008F6AC1" w:rsidRPr="00483F7D" w:rsidRDefault="008F6AC1" w:rsidP="005563C1">
            <w:pPr>
              <w:spacing w:before="60" w:after="60"/>
              <w:jc w:val="center"/>
              <w:rPr>
                <w:noProof/>
                <w:sz w:val="18"/>
                <w:szCs w:val="18"/>
              </w:rPr>
            </w:pPr>
            <w:r w:rsidRPr="00483F7D">
              <w:rPr>
                <w:sz w:val="18"/>
              </w:rPr>
              <w:t>1,927</w:t>
            </w:r>
          </w:p>
        </w:tc>
        <w:tc>
          <w:tcPr>
            <w:tcW w:w="850" w:type="dxa"/>
            <w:shd w:val="clear" w:color="auto" w:fill="auto"/>
            <w:vAlign w:val="center"/>
          </w:tcPr>
          <w:p w14:paraId="428BD28F" w14:textId="77777777" w:rsidR="008F6AC1" w:rsidRPr="00483F7D" w:rsidRDefault="008F6AC1" w:rsidP="005563C1">
            <w:pPr>
              <w:spacing w:before="60" w:after="60"/>
              <w:jc w:val="center"/>
              <w:rPr>
                <w:noProof/>
                <w:sz w:val="18"/>
                <w:szCs w:val="18"/>
              </w:rPr>
            </w:pPr>
            <w:r w:rsidRPr="00483F7D">
              <w:rPr>
                <w:sz w:val="18"/>
              </w:rPr>
              <w:t>3,220</w:t>
            </w:r>
          </w:p>
        </w:tc>
        <w:tc>
          <w:tcPr>
            <w:tcW w:w="851" w:type="dxa"/>
            <w:shd w:val="clear" w:color="auto" w:fill="auto"/>
            <w:vAlign w:val="center"/>
          </w:tcPr>
          <w:p w14:paraId="09198B7F" w14:textId="77777777" w:rsidR="008F6AC1" w:rsidRPr="00483F7D" w:rsidRDefault="008F6AC1" w:rsidP="005563C1">
            <w:pPr>
              <w:spacing w:before="60" w:after="60"/>
              <w:jc w:val="center"/>
              <w:rPr>
                <w:noProof/>
                <w:sz w:val="18"/>
                <w:szCs w:val="18"/>
              </w:rPr>
            </w:pPr>
            <w:r w:rsidRPr="00483F7D">
              <w:rPr>
                <w:sz w:val="18"/>
              </w:rPr>
              <w:t>4,691</w:t>
            </w:r>
          </w:p>
        </w:tc>
        <w:tc>
          <w:tcPr>
            <w:tcW w:w="992" w:type="dxa"/>
            <w:shd w:val="clear" w:color="auto" w:fill="auto"/>
            <w:vAlign w:val="center"/>
          </w:tcPr>
          <w:p w14:paraId="34094EEB" w14:textId="77777777" w:rsidR="008F6AC1" w:rsidRPr="00483F7D" w:rsidRDefault="008F6AC1" w:rsidP="005563C1">
            <w:pPr>
              <w:spacing w:before="60" w:after="60"/>
              <w:jc w:val="center"/>
              <w:rPr>
                <w:noProof/>
                <w:sz w:val="18"/>
                <w:szCs w:val="18"/>
              </w:rPr>
            </w:pPr>
            <w:r w:rsidRPr="00483F7D">
              <w:rPr>
                <w:sz w:val="18"/>
              </w:rPr>
              <w:t>6,090</w:t>
            </w:r>
          </w:p>
        </w:tc>
        <w:tc>
          <w:tcPr>
            <w:tcW w:w="880" w:type="dxa"/>
            <w:shd w:val="clear" w:color="auto" w:fill="auto"/>
            <w:vAlign w:val="center"/>
          </w:tcPr>
          <w:p w14:paraId="642567A8" w14:textId="77777777" w:rsidR="008F6AC1" w:rsidRPr="00483F7D" w:rsidRDefault="008F6AC1" w:rsidP="005563C1">
            <w:pPr>
              <w:spacing w:before="60" w:after="60"/>
              <w:jc w:val="center"/>
              <w:rPr>
                <w:bCs/>
                <w:noProof/>
                <w:sz w:val="18"/>
                <w:szCs w:val="18"/>
              </w:rPr>
            </w:pPr>
            <w:r w:rsidRPr="00483F7D">
              <w:rPr>
                <w:sz w:val="18"/>
              </w:rPr>
              <w:t>7,099</w:t>
            </w:r>
          </w:p>
        </w:tc>
        <w:tc>
          <w:tcPr>
            <w:tcW w:w="923" w:type="dxa"/>
            <w:shd w:val="clear" w:color="auto" w:fill="auto"/>
            <w:vAlign w:val="center"/>
          </w:tcPr>
          <w:p w14:paraId="0A069384" w14:textId="77777777" w:rsidR="008F6AC1" w:rsidRPr="00483F7D" w:rsidRDefault="008F6AC1" w:rsidP="005563C1">
            <w:pPr>
              <w:spacing w:before="60" w:after="60"/>
              <w:jc w:val="center"/>
              <w:rPr>
                <w:b/>
                <w:noProof/>
                <w:sz w:val="20"/>
                <w:szCs w:val="20"/>
              </w:rPr>
            </w:pPr>
            <w:r w:rsidRPr="00483F7D">
              <w:rPr>
                <w:sz w:val="20"/>
              </w:rPr>
              <w:t>25,773</w:t>
            </w:r>
          </w:p>
        </w:tc>
      </w:tr>
      <w:tr w:rsidR="008F6AC1" w:rsidRPr="00483F7D" w14:paraId="43C4336C" w14:textId="77777777" w:rsidTr="005563C1">
        <w:trPr>
          <w:trHeight w:val="530"/>
        </w:trPr>
        <w:tc>
          <w:tcPr>
            <w:tcW w:w="1475" w:type="dxa"/>
            <w:shd w:val="clear" w:color="auto" w:fill="CCCCCC"/>
            <w:vAlign w:val="center"/>
          </w:tcPr>
          <w:p w14:paraId="30D650DF" w14:textId="77777777" w:rsidR="008F6AC1" w:rsidRPr="00483F7D" w:rsidRDefault="008F6AC1" w:rsidP="005563C1">
            <w:pPr>
              <w:spacing w:before="60" w:after="60"/>
              <w:jc w:val="left"/>
              <w:rPr>
                <w:noProof/>
                <w:sz w:val="20"/>
                <w:szCs w:val="20"/>
              </w:rPr>
            </w:pPr>
            <w:r w:rsidRPr="00483F7D">
              <w:rPr>
                <w:sz w:val="20"/>
              </w:rPr>
              <w:t>Αποσπασμένοι εθνικοί εμπειρογνώμονες</w:t>
            </w:r>
          </w:p>
          <w:p w14:paraId="28E95800" w14:textId="77777777" w:rsidR="008F6AC1" w:rsidRPr="00483F7D" w:rsidRDefault="008F6AC1" w:rsidP="005563C1">
            <w:pPr>
              <w:spacing w:before="60" w:after="60"/>
              <w:jc w:val="left"/>
              <w:rPr>
                <w:noProof/>
                <w:sz w:val="20"/>
                <w:szCs w:val="20"/>
              </w:rPr>
            </w:pPr>
            <w:r w:rsidRPr="00483F7D">
              <w:rPr>
                <w:sz w:val="20"/>
              </w:rPr>
              <w:t>(SNE)</w:t>
            </w:r>
          </w:p>
        </w:tc>
        <w:tc>
          <w:tcPr>
            <w:tcW w:w="709" w:type="dxa"/>
            <w:vAlign w:val="center"/>
          </w:tcPr>
          <w:p w14:paraId="1AE1BB70" w14:textId="77777777" w:rsidR="008F6AC1" w:rsidRPr="00483F7D" w:rsidRDefault="008F6AC1" w:rsidP="005563C1">
            <w:pPr>
              <w:spacing w:before="60" w:after="60"/>
              <w:jc w:val="center"/>
              <w:rPr>
                <w:noProof/>
                <w:sz w:val="18"/>
                <w:szCs w:val="18"/>
              </w:rPr>
            </w:pPr>
          </w:p>
        </w:tc>
        <w:tc>
          <w:tcPr>
            <w:tcW w:w="708" w:type="dxa"/>
            <w:vAlign w:val="center"/>
          </w:tcPr>
          <w:p w14:paraId="60E07D72" w14:textId="77777777" w:rsidR="008F6AC1" w:rsidRPr="00483F7D" w:rsidRDefault="008F6AC1" w:rsidP="005563C1">
            <w:pPr>
              <w:spacing w:before="60" w:after="60"/>
              <w:jc w:val="center"/>
              <w:rPr>
                <w:noProof/>
                <w:sz w:val="18"/>
                <w:szCs w:val="18"/>
              </w:rPr>
            </w:pPr>
          </w:p>
        </w:tc>
        <w:tc>
          <w:tcPr>
            <w:tcW w:w="709" w:type="dxa"/>
            <w:vAlign w:val="center"/>
          </w:tcPr>
          <w:p w14:paraId="1F395C60" w14:textId="77777777" w:rsidR="008F6AC1" w:rsidRPr="00483F7D" w:rsidRDefault="008F6AC1" w:rsidP="005563C1">
            <w:pPr>
              <w:spacing w:before="60" w:after="60"/>
              <w:jc w:val="center"/>
              <w:rPr>
                <w:noProof/>
                <w:sz w:val="18"/>
                <w:szCs w:val="18"/>
              </w:rPr>
            </w:pPr>
            <w:r w:rsidRPr="00483F7D">
              <w:rPr>
                <w:sz w:val="18"/>
              </w:rPr>
              <w:t>0,187</w:t>
            </w:r>
          </w:p>
        </w:tc>
        <w:tc>
          <w:tcPr>
            <w:tcW w:w="709" w:type="dxa"/>
            <w:vAlign w:val="center"/>
          </w:tcPr>
          <w:p w14:paraId="7699A02B" w14:textId="77777777" w:rsidR="008F6AC1" w:rsidRPr="00483F7D" w:rsidRDefault="008F6AC1" w:rsidP="005563C1">
            <w:pPr>
              <w:spacing w:before="60" w:after="60"/>
              <w:jc w:val="center"/>
              <w:rPr>
                <w:noProof/>
                <w:sz w:val="18"/>
                <w:szCs w:val="18"/>
              </w:rPr>
            </w:pPr>
            <w:r w:rsidRPr="00483F7D">
              <w:rPr>
                <w:sz w:val="18"/>
              </w:rPr>
              <w:t>0,271</w:t>
            </w:r>
          </w:p>
        </w:tc>
        <w:tc>
          <w:tcPr>
            <w:tcW w:w="709" w:type="dxa"/>
            <w:vAlign w:val="center"/>
          </w:tcPr>
          <w:p w14:paraId="7EA294E4" w14:textId="77777777" w:rsidR="008F6AC1" w:rsidRPr="00483F7D" w:rsidRDefault="008F6AC1" w:rsidP="005563C1">
            <w:pPr>
              <w:spacing w:before="60" w:after="60"/>
              <w:jc w:val="center"/>
              <w:rPr>
                <w:noProof/>
                <w:sz w:val="18"/>
                <w:szCs w:val="18"/>
              </w:rPr>
            </w:pPr>
            <w:r w:rsidRPr="00483F7D">
              <w:rPr>
                <w:sz w:val="18"/>
              </w:rPr>
              <w:t>0,482</w:t>
            </w:r>
          </w:p>
        </w:tc>
        <w:tc>
          <w:tcPr>
            <w:tcW w:w="850" w:type="dxa"/>
            <w:vAlign w:val="center"/>
          </w:tcPr>
          <w:p w14:paraId="3E36F806" w14:textId="77777777" w:rsidR="008F6AC1" w:rsidRPr="00483F7D" w:rsidRDefault="008F6AC1" w:rsidP="005563C1">
            <w:pPr>
              <w:spacing w:before="60" w:after="60"/>
              <w:jc w:val="center"/>
              <w:rPr>
                <w:noProof/>
                <w:sz w:val="18"/>
                <w:szCs w:val="18"/>
              </w:rPr>
            </w:pPr>
            <w:r w:rsidRPr="00483F7D">
              <w:rPr>
                <w:sz w:val="18"/>
              </w:rPr>
              <w:t>0,805</w:t>
            </w:r>
          </w:p>
        </w:tc>
        <w:tc>
          <w:tcPr>
            <w:tcW w:w="851" w:type="dxa"/>
            <w:vAlign w:val="center"/>
          </w:tcPr>
          <w:p w14:paraId="5DD5C822" w14:textId="77777777" w:rsidR="008F6AC1" w:rsidRPr="00483F7D" w:rsidRDefault="008F6AC1" w:rsidP="005563C1">
            <w:pPr>
              <w:spacing w:before="60" w:after="60"/>
              <w:jc w:val="center"/>
              <w:rPr>
                <w:noProof/>
                <w:sz w:val="18"/>
                <w:szCs w:val="18"/>
              </w:rPr>
            </w:pPr>
            <w:r w:rsidRPr="00483F7D">
              <w:rPr>
                <w:sz w:val="18"/>
              </w:rPr>
              <w:t>1,173</w:t>
            </w:r>
          </w:p>
        </w:tc>
        <w:tc>
          <w:tcPr>
            <w:tcW w:w="992" w:type="dxa"/>
            <w:vAlign w:val="center"/>
          </w:tcPr>
          <w:p w14:paraId="6D6BA4E7" w14:textId="77777777" w:rsidR="008F6AC1" w:rsidRPr="00483F7D" w:rsidRDefault="008F6AC1" w:rsidP="005563C1">
            <w:pPr>
              <w:spacing w:before="60" w:after="60"/>
              <w:jc w:val="center"/>
              <w:rPr>
                <w:noProof/>
                <w:sz w:val="18"/>
                <w:szCs w:val="18"/>
              </w:rPr>
            </w:pPr>
            <w:r w:rsidRPr="00483F7D">
              <w:rPr>
                <w:sz w:val="18"/>
              </w:rPr>
              <w:t>1,523</w:t>
            </w:r>
          </w:p>
        </w:tc>
        <w:tc>
          <w:tcPr>
            <w:tcW w:w="880" w:type="dxa"/>
            <w:vAlign w:val="center"/>
          </w:tcPr>
          <w:p w14:paraId="55A228FA" w14:textId="77777777" w:rsidR="008F6AC1" w:rsidRPr="00483F7D" w:rsidRDefault="008F6AC1" w:rsidP="005563C1">
            <w:pPr>
              <w:spacing w:before="60" w:after="60"/>
              <w:jc w:val="center"/>
              <w:rPr>
                <w:bCs/>
                <w:noProof/>
                <w:sz w:val="18"/>
                <w:szCs w:val="18"/>
              </w:rPr>
            </w:pPr>
            <w:r w:rsidRPr="00483F7D">
              <w:rPr>
                <w:sz w:val="18"/>
              </w:rPr>
              <w:t>1,775</w:t>
            </w:r>
          </w:p>
        </w:tc>
        <w:tc>
          <w:tcPr>
            <w:tcW w:w="923" w:type="dxa"/>
            <w:vAlign w:val="center"/>
          </w:tcPr>
          <w:p w14:paraId="490AF0C9" w14:textId="77777777" w:rsidR="008F6AC1" w:rsidRPr="00483F7D" w:rsidRDefault="008F6AC1" w:rsidP="005563C1">
            <w:pPr>
              <w:spacing w:before="60" w:after="60"/>
              <w:jc w:val="center"/>
              <w:rPr>
                <w:bCs/>
                <w:noProof/>
                <w:sz w:val="20"/>
              </w:rPr>
            </w:pPr>
            <w:r w:rsidRPr="00483F7D">
              <w:rPr>
                <w:sz w:val="20"/>
              </w:rPr>
              <w:t>6,215</w:t>
            </w:r>
          </w:p>
        </w:tc>
      </w:tr>
      <w:tr w:rsidR="008F6AC1" w:rsidRPr="00483F7D" w14:paraId="055BD365" w14:textId="77777777" w:rsidTr="005563C1">
        <w:trPr>
          <w:trHeight w:val="530"/>
        </w:trPr>
        <w:tc>
          <w:tcPr>
            <w:tcW w:w="1475" w:type="dxa"/>
            <w:tcBorders>
              <w:top w:val="single" w:sz="2" w:space="0" w:color="auto"/>
              <w:left w:val="single" w:sz="2" w:space="0" w:color="auto"/>
              <w:bottom w:val="single" w:sz="2" w:space="0" w:color="auto"/>
              <w:right w:val="single" w:sz="2" w:space="0" w:color="auto"/>
            </w:tcBorders>
            <w:shd w:val="clear" w:color="auto" w:fill="CCCCCC"/>
            <w:vAlign w:val="center"/>
          </w:tcPr>
          <w:p w14:paraId="58F59F5C" w14:textId="77777777" w:rsidR="008F6AC1" w:rsidRPr="00483F7D" w:rsidRDefault="008F6AC1" w:rsidP="005563C1">
            <w:pPr>
              <w:spacing w:before="60" w:after="60"/>
              <w:jc w:val="left"/>
              <w:rPr>
                <w:noProof/>
                <w:sz w:val="20"/>
                <w:szCs w:val="20"/>
              </w:rPr>
            </w:pPr>
            <w:r w:rsidRPr="00483F7D">
              <w:rPr>
                <w:sz w:val="20"/>
              </w:rPr>
              <w:t>ΣΥΝΟΛΟ</w:t>
            </w:r>
          </w:p>
        </w:tc>
        <w:tc>
          <w:tcPr>
            <w:tcW w:w="709" w:type="dxa"/>
            <w:tcBorders>
              <w:top w:val="single" w:sz="2" w:space="0" w:color="auto"/>
              <w:left w:val="single" w:sz="2" w:space="0" w:color="auto"/>
              <w:bottom w:val="single" w:sz="2" w:space="0" w:color="auto"/>
              <w:right w:val="single" w:sz="2" w:space="0" w:color="auto"/>
            </w:tcBorders>
            <w:vAlign w:val="center"/>
          </w:tcPr>
          <w:p w14:paraId="61EF6031" w14:textId="77777777" w:rsidR="008F6AC1" w:rsidRPr="00483F7D" w:rsidRDefault="008F6AC1" w:rsidP="005563C1">
            <w:pPr>
              <w:spacing w:before="60" w:after="60"/>
              <w:jc w:val="center"/>
              <w:rPr>
                <w:b/>
                <w:bCs/>
                <w:noProof/>
                <w:sz w:val="18"/>
                <w:szCs w:val="18"/>
              </w:rPr>
            </w:pPr>
            <w:r w:rsidRPr="00483F7D">
              <w:rPr>
                <w:b/>
                <w:sz w:val="18"/>
              </w:rPr>
              <w:t>0,415</w:t>
            </w:r>
          </w:p>
        </w:tc>
        <w:tc>
          <w:tcPr>
            <w:tcW w:w="708" w:type="dxa"/>
            <w:tcBorders>
              <w:top w:val="single" w:sz="2" w:space="0" w:color="auto"/>
              <w:left w:val="single" w:sz="2" w:space="0" w:color="auto"/>
              <w:bottom w:val="single" w:sz="2" w:space="0" w:color="auto"/>
              <w:right w:val="single" w:sz="2" w:space="0" w:color="auto"/>
            </w:tcBorders>
            <w:vAlign w:val="center"/>
          </w:tcPr>
          <w:p w14:paraId="374A147D" w14:textId="77777777" w:rsidR="008F6AC1" w:rsidRPr="00483F7D" w:rsidRDefault="008F6AC1" w:rsidP="005563C1">
            <w:pPr>
              <w:spacing w:before="60" w:after="60"/>
              <w:jc w:val="center"/>
              <w:rPr>
                <w:b/>
                <w:bCs/>
                <w:noProof/>
                <w:sz w:val="18"/>
                <w:szCs w:val="18"/>
              </w:rPr>
            </w:pPr>
            <w:r w:rsidRPr="00483F7D">
              <w:rPr>
                <w:b/>
                <w:sz w:val="18"/>
              </w:rPr>
              <w:t>1,311</w:t>
            </w:r>
          </w:p>
        </w:tc>
        <w:tc>
          <w:tcPr>
            <w:tcW w:w="709" w:type="dxa"/>
            <w:tcBorders>
              <w:top w:val="single" w:sz="2" w:space="0" w:color="auto"/>
              <w:left w:val="single" w:sz="2" w:space="0" w:color="auto"/>
              <w:bottom w:val="single" w:sz="2" w:space="0" w:color="auto"/>
              <w:right w:val="single" w:sz="2" w:space="0" w:color="auto"/>
            </w:tcBorders>
            <w:vAlign w:val="center"/>
          </w:tcPr>
          <w:p w14:paraId="3000CD56" w14:textId="77777777" w:rsidR="008F6AC1" w:rsidRPr="00483F7D" w:rsidRDefault="008F6AC1" w:rsidP="005563C1">
            <w:pPr>
              <w:spacing w:before="60" w:after="60"/>
              <w:jc w:val="center"/>
              <w:rPr>
                <w:b/>
                <w:bCs/>
                <w:noProof/>
                <w:sz w:val="18"/>
                <w:szCs w:val="18"/>
              </w:rPr>
            </w:pPr>
            <w:r w:rsidRPr="00483F7D">
              <w:rPr>
                <w:b/>
                <w:sz w:val="18"/>
              </w:rPr>
              <w:t>3,249</w:t>
            </w:r>
          </w:p>
        </w:tc>
        <w:tc>
          <w:tcPr>
            <w:tcW w:w="709" w:type="dxa"/>
            <w:tcBorders>
              <w:top w:val="single" w:sz="2" w:space="0" w:color="auto"/>
              <w:left w:val="single" w:sz="2" w:space="0" w:color="auto"/>
              <w:bottom w:val="single" w:sz="2" w:space="0" w:color="auto"/>
              <w:right w:val="single" w:sz="2" w:space="0" w:color="auto"/>
            </w:tcBorders>
            <w:vAlign w:val="center"/>
          </w:tcPr>
          <w:p w14:paraId="29D2327D" w14:textId="77777777" w:rsidR="008F6AC1" w:rsidRPr="00483F7D" w:rsidRDefault="008F6AC1" w:rsidP="005563C1">
            <w:pPr>
              <w:spacing w:before="60" w:after="60"/>
              <w:jc w:val="center"/>
              <w:rPr>
                <w:b/>
                <w:bCs/>
                <w:noProof/>
                <w:sz w:val="18"/>
                <w:szCs w:val="18"/>
              </w:rPr>
            </w:pPr>
            <w:r w:rsidRPr="00483F7D">
              <w:rPr>
                <w:b/>
                <w:sz w:val="18"/>
              </w:rPr>
              <w:t>6,360</w:t>
            </w:r>
          </w:p>
        </w:tc>
        <w:tc>
          <w:tcPr>
            <w:tcW w:w="709" w:type="dxa"/>
            <w:tcBorders>
              <w:top w:val="single" w:sz="2" w:space="0" w:color="auto"/>
              <w:left w:val="single" w:sz="2" w:space="0" w:color="auto"/>
              <w:bottom w:val="single" w:sz="2" w:space="0" w:color="auto"/>
              <w:right w:val="single" w:sz="2" w:space="0" w:color="auto"/>
            </w:tcBorders>
            <w:vAlign w:val="center"/>
          </w:tcPr>
          <w:p w14:paraId="7FE79B81" w14:textId="77777777" w:rsidR="008F6AC1" w:rsidRPr="00483F7D" w:rsidRDefault="008F6AC1" w:rsidP="005563C1">
            <w:pPr>
              <w:spacing w:before="60" w:after="60"/>
              <w:jc w:val="center"/>
              <w:rPr>
                <w:b/>
                <w:bCs/>
                <w:noProof/>
                <w:sz w:val="18"/>
                <w:szCs w:val="18"/>
              </w:rPr>
            </w:pPr>
            <w:r w:rsidRPr="00483F7D">
              <w:rPr>
                <w:b/>
                <w:sz w:val="18"/>
              </w:rPr>
              <w:t>11,363</w:t>
            </w:r>
          </w:p>
        </w:tc>
        <w:tc>
          <w:tcPr>
            <w:tcW w:w="850" w:type="dxa"/>
            <w:tcBorders>
              <w:top w:val="single" w:sz="2" w:space="0" w:color="auto"/>
              <w:left w:val="single" w:sz="2" w:space="0" w:color="auto"/>
              <w:bottom w:val="single" w:sz="2" w:space="0" w:color="auto"/>
              <w:right w:val="single" w:sz="2" w:space="0" w:color="auto"/>
            </w:tcBorders>
            <w:vAlign w:val="center"/>
          </w:tcPr>
          <w:p w14:paraId="7345A99C" w14:textId="77777777" w:rsidR="008F6AC1" w:rsidRPr="00483F7D" w:rsidRDefault="008F6AC1" w:rsidP="005563C1">
            <w:pPr>
              <w:spacing w:before="60" w:after="60"/>
              <w:jc w:val="center"/>
              <w:rPr>
                <w:b/>
                <w:bCs/>
                <w:noProof/>
                <w:sz w:val="18"/>
                <w:szCs w:val="18"/>
              </w:rPr>
            </w:pPr>
            <w:r w:rsidRPr="00483F7D">
              <w:rPr>
                <w:b/>
                <w:sz w:val="18"/>
              </w:rPr>
              <w:t>19,051</w:t>
            </w:r>
          </w:p>
        </w:tc>
        <w:tc>
          <w:tcPr>
            <w:tcW w:w="851" w:type="dxa"/>
            <w:tcBorders>
              <w:top w:val="single" w:sz="2" w:space="0" w:color="auto"/>
              <w:left w:val="single" w:sz="2" w:space="0" w:color="auto"/>
              <w:bottom w:val="single" w:sz="2" w:space="0" w:color="auto"/>
              <w:right w:val="single" w:sz="2" w:space="0" w:color="auto"/>
            </w:tcBorders>
            <w:vAlign w:val="center"/>
          </w:tcPr>
          <w:p w14:paraId="5288A85A" w14:textId="77777777" w:rsidR="008F6AC1" w:rsidRPr="00483F7D" w:rsidRDefault="008F6AC1" w:rsidP="005563C1">
            <w:pPr>
              <w:spacing w:before="60" w:after="60"/>
              <w:jc w:val="center"/>
              <w:rPr>
                <w:b/>
                <w:bCs/>
                <w:noProof/>
                <w:sz w:val="18"/>
                <w:szCs w:val="18"/>
              </w:rPr>
            </w:pPr>
            <w:r w:rsidRPr="00483F7D">
              <w:rPr>
                <w:b/>
                <w:sz w:val="18"/>
              </w:rPr>
              <w:t>27,903</w:t>
            </w:r>
          </w:p>
        </w:tc>
        <w:tc>
          <w:tcPr>
            <w:tcW w:w="992" w:type="dxa"/>
            <w:tcBorders>
              <w:top w:val="single" w:sz="2" w:space="0" w:color="auto"/>
              <w:left w:val="single" w:sz="2" w:space="0" w:color="auto"/>
              <w:bottom w:val="single" w:sz="2" w:space="0" w:color="auto"/>
              <w:right w:val="single" w:sz="2" w:space="0" w:color="auto"/>
            </w:tcBorders>
            <w:vAlign w:val="center"/>
          </w:tcPr>
          <w:p w14:paraId="5FAF6713" w14:textId="77777777" w:rsidR="008F6AC1" w:rsidRPr="00483F7D" w:rsidRDefault="008F6AC1" w:rsidP="005563C1">
            <w:pPr>
              <w:spacing w:before="60" w:after="60"/>
              <w:jc w:val="center"/>
              <w:rPr>
                <w:b/>
                <w:bCs/>
                <w:noProof/>
                <w:sz w:val="18"/>
                <w:szCs w:val="18"/>
              </w:rPr>
            </w:pPr>
            <w:r w:rsidRPr="00483F7D">
              <w:rPr>
                <w:b/>
                <w:sz w:val="18"/>
              </w:rPr>
              <w:t>36,223</w:t>
            </w:r>
          </w:p>
        </w:tc>
        <w:tc>
          <w:tcPr>
            <w:tcW w:w="880" w:type="dxa"/>
            <w:tcBorders>
              <w:top w:val="single" w:sz="2" w:space="0" w:color="auto"/>
              <w:left w:val="single" w:sz="2" w:space="0" w:color="auto"/>
              <w:bottom w:val="single" w:sz="2" w:space="0" w:color="auto"/>
              <w:right w:val="single" w:sz="2" w:space="0" w:color="auto"/>
            </w:tcBorders>
            <w:vAlign w:val="center"/>
          </w:tcPr>
          <w:p w14:paraId="671230B2" w14:textId="77777777" w:rsidR="008F6AC1" w:rsidRPr="00483F7D" w:rsidRDefault="008F6AC1" w:rsidP="005563C1">
            <w:pPr>
              <w:spacing w:before="60" w:after="60"/>
              <w:jc w:val="center"/>
              <w:rPr>
                <w:b/>
                <w:bCs/>
                <w:noProof/>
                <w:sz w:val="18"/>
                <w:szCs w:val="18"/>
              </w:rPr>
            </w:pPr>
            <w:r w:rsidRPr="00483F7D">
              <w:rPr>
                <w:b/>
                <w:sz w:val="18"/>
              </w:rPr>
              <w:t>42,226</w:t>
            </w:r>
          </w:p>
        </w:tc>
        <w:tc>
          <w:tcPr>
            <w:tcW w:w="923" w:type="dxa"/>
            <w:tcBorders>
              <w:top w:val="single" w:sz="2" w:space="0" w:color="auto"/>
              <w:left w:val="single" w:sz="2" w:space="0" w:color="auto"/>
              <w:bottom w:val="single" w:sz="2" w:space="0" w:color="auto"/>
              <w:right w:val="single" w:sz="2" w:space="0" w:color="auto"/>
            </w:tcBorders>
            <w:vAlign w:val="center"/>
          </w:tcPr>
          <w:p w14:paraId="3FE312FA" w14:textId="77777777" w:rsidR="008F6AC1" w:rsidRPr="00483F7D" w:rsidRDefault="008F6AC1" w:rsidP="005563C1">
            <w:pPr>
              <w:spacing w:before="60" w:after="60"/>
              <w:jc w:val="center"/>
              <w:rPr>
                <w:b/>
                <w:bCs/>
                <w:noProof/>
                <w:sz w:val="20"/>
              </w:rPr>
            </w:pPr>
            <w:r w:rsidRPr="00483F7D">
              <w:rPr>
                <w:b/>
                <w:sz w:val="20"/>
              </w:rPr>
              <w:t>148,101</w:t>
            </w:r>
          </w:p>
        </w:tc>
      </w:tr>
    </w:tbl>
    <w:p w14:paraId="2EC9839D" w14:textId="77777777" w:rsidR="008F6AC1" w:rsidRPr="00483F7D" w:rsidRDefault="008F6AC1" w:rsidP="008F6AC1">
      <w:pPr>
        <w:rPr>
          <w:noProof/>
          <w:sz w:val="22"/>
        </w:rPr>
      </w:pPr>
      <w:r w:rsidRPr="00483F7D">
        <w:rPr>
          <w:sz w:val="22"/>
        </w:rPr>
        <w:t>Όσον αφορά την κατανομή των δαπανών μεταξύ των ανωτέρω βαθμών, οι θέσεις απασχόλησης του πίνακα προσωπικού θεωρείται ότι θα κατανεμηθούν 2:1 AD:AST, ενώ οι εξωτερικές θέσεις απασχόλησης θεωρείται ότι θα κατανεμηθούν 4:1 CA/ΑΕΕ από την έναρξη λειτουργίας το 2028</w:t>
      </w:r>
      <w:r w:rsidRPr="00483F7D">
        <w:rPr>
          <w:rStyle w:val="FootnoteReference"/>
          <w:noProof/>
          <w:sz w:val="22"/>
        </w:rPr>
        <w:footnoteReference w:id="94"/>
      </w:r>
      <w:r w:rsidRPr="00483F7D">
        <w:t>.</w:t>
      </w:r>
      <w:r w:rsidRPr="00483F7D">
        <w:rPr>
          <w:sz w:val="22"/>
        </w:rPr>
        <w:t xml:space="preserve"> Οι εκτιμήσεις αυτές δεν θίγουν την ενδεχόμενη κατανομή των προσλήψεων.</w:t>
      </w:r>
    </w:p>
    <w:p w14:paraId="03CAE12D" w14:textId="77777777" w:rsidR="008F6AC1" w:rsidRPr="00483F7D" w:rsidRDefault="008F6AC1" w:rsidP="008F6AC1">
      <w:pPr>
        <w:rPr>
          <w:noProof/>
          <w:sz w:val="20"/>
        </w:rPr>
      </w:pPr>
      <w:r w:rsidRPr="00483F7D">
        <w:rPr>
          <w:sz w:val="20"/>
        </w:rPr>
        <w:t>Απαιτήσεις προσωπικού (ΙΠΑ):</w:t>
      </w:r>
    </w:p>
    <w:tbl>
      <w:tblPr>
        <w:tblW w:w="946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804"/>
        <w:gridCol w:w="805"/>
        <w:gridCol w:w="805"/>
        <w:gridCol w:w="805"/>
        <w:gridCol w:w="805"/>
        <w:gridCol w:w="804"/>
        <w:gridCol w:w="805"/>
        <w:gridCol w:w="805"/>
        <w:gridCol w:w="805"/>
        <w:gridCol w:w="805"/>
      </w:tblGrid>
      <w:tr w:rsidR="008F6AC1" w:rsidRPr="00483F7D" w14:paraId="021AFCC7" w14:textId="77777777" w:rsidTr="005563C1">
        <w:trPr>
          <w:trHeight w:val="483"/>
        </w:trPr>
        <w:tc>
          <w:tcPr>
            <w:tcW w:w="1418" w:type="dxa"/>
          </w:tcPr>
          <w:p w14:paraId="192D253C" w14:textId="77777777" w:rsidR="008F6AC1" w:rsidRPr="00483F7D" w:rsidRDefault="008F6AC1" w:rsidP="005563C1">
            <w:pPr>
              <w:spacing w:before="60" w:after="60"/>
              <w:rPr>
                <w:noProof/>
                <w:color w:val="000000" w:themeColor="text1"/>
                <w:sz w:val="20"/>
              </w:rPr>
            </w:pPr>
          </w:p>
        </w:tc>
        <w:tc>
          <w:tcPr>
            <w:tcW w:w="804" w:type="dxa"/>
            <w:vAlign w:val="center"/>
          </w:tcPr>
          <w:p w14:paraId="73FA36E0"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2026</w:t>
            </w:r>
          </w:p>
        </w:tc>
        <w:tc>
          <w:tcPr>
            <w:tcW w:w="805" w:type="dxa"/>
            <w:vAlign w:val="center"/>
          </w:tcPr>
          <w:p w14:paraId="61182589"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2027</w:t>
            </w:r>
          </w:p>
        </w:tc>
        <w:tc>
          <w:tcPr>
            <w:tcW w:w="805" w:type="dxa"/>
            <w:vAlign w:val="center"/>
          </w:tcPr>
          <w:p w14:paraId="7664E3D7"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2028</w:t>
            </w:r>
          </w:p>
        </w:tc>
        <w:tc>
          <w:tcPr>
            <w:tcW w:w="805" w:type="dxa"/>
            <w:vAlign w:val="center"/>
          </w:tcPr>
          <w:p w14:paraId="17859E9A"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2029</w:t>
            </w:r>
          </w:p>
        </w:tc>
        <w:tc>
          <w:tcPr>
            <w:tcW w:w="805" w:type="dxa"/>
            <w:vAlign w:val="center"/>
          </w:tcPr>
          <w:p w14:paraId="7C223835"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2030</w:t>
            </w:r>
          </w:p>
        </w:tc>
        <w:tc>
          <w:tcPr>
            <w:tcW w:w="804" w:type="dxa"/>
            <w:vAlign w:val="center"/>
          </w:tcPr>
          <w:p w14:paraId="47D34748"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2031</w:t>
            </w:r>
          </w:p>
        </w:tc>
        <w:tc>
          <w:tcPr>
            <w:tcW w:w="805" w:type="dxa"/>
            <w:vAlign w:val="center"/>
          </w:tcPr>
          <w:p w14:paraId="0F628314" w14:textId="77777777" w:rsidR="008F6AC1" w:rsidRPr="00483F7D" w:rsidRDefault="008F6AC1" w:rsidP="005563C1">
            <w:pPr>
              <w:jc w:val="center"/>
              <w:rPr>
                <w:noProof/>
                <w:color w:val="000000" w:themeColor="text1"/>
                <w:sz w:val="20"/>
              </w:rPr>
            </w:pPr>
            <w:r w:rsidRPr="00483F7D">
              <w:rPr>
                <w:color w:val="000000" w:themeColor="text1"/>
                <w:sz w:val="20"/>
              </w:rPr>
              <w:t>2032</w:t>
            </w:r>
          </w:p>
        </w:tc>
        <w:tc>
          <w:tcPr>
            <w:tcW w:w="805" w:type="dxa"/>
            <w:vAlign w:val="center"/>
          </w:tcPr>
          <w:p w14:paraId="514B5BA6" w14:textId="77777777" w:rsidR="008F6AC1" w:rsidRPr="00483F7D" w:rsidRDefault="008F6AC1" w:rsidP="005563C1">
            <w:pPr>
              <w:jc w:val="center"/>
              <w:rPr>
                <w:noProof/>
                <w:color w:val="000000" w:themeColor="text1"/>
                <w:sz w:val="20"/>
              </w:rPr>
            </w:pPr>
            <w:r w:rsidRPr="00483F7D">
              <w:rPr>
                <w:color w:val="000000" w:themeColor="text1"/>
                <w:sz w:val="20"/>
              </w:rPr>
              <w:t>2033</w:t>
            </w:r>
          </w:p>
        </w:tc>
        <w:tc>
          <w:tcPr>
            <w:tcW w:w="805" w:type="dxa"/>
            <w:vAlign w:val="center"/>
          </w:tcPr>
          <w:p w14:paraId="5307D0C9" w14:textId="77777777" w:rsidR="008F6AC1" w:rsidRPr="00483F7D" w:rsidRDefault="008F6AC1" w:rsidP="005563C1">
            <w:pPr>
              <w:jc w:val="center"/>
              <w:rPr>
                <w:noProof/>
                <w:color w:val="000000" w:themeColor="text1"/>
                <w:sz w:val="20"/>
              </w:rPr>
            </w:pPr>
            <w:r w:rsidRPr="00483F7D">
              <w:rPr>
                <w:color w:val="000000" w:themeColor="text1"/>
                <w:sz w:val="20"/>
              </w:rPr>
              <w:t>2034</w:t>
            </w:r>
          </w:p>
        </w:tc>
        <w:tc>
          <w:tcPr>
            <w:tcW w:w="805" w:type="dxa"/>
            <w:vAlign w:val="center"/>
          </w:tcPr>
          <w:p w14:paraId="6DE194EB" w14:textId="77777777" w:rsidR="008F6AC1" w:rsidRPr="00483F7D" w:rsidRDefault="008F6AC1" w:rsidP="005563C1">
            <w:pPr>
              <w:spacing w:before="60" w:after="60"/>
              <w:jc w:val="center"/>
              <w:rPr>
                <w:bCs/>
                <w:noProof/>
                <w:color w:val="000000" w:themeColor="text1"/>
                <w:sz w:val="20"/>
              </w:rPr>
            </w:pPr>
            <w:r w:rsidRPr="00483F7D">
              <w:rPr>
                <w:color w:val="000000" w:themeColor="text1"/>
                <w:sz w:val="20"/>
              </w:rPr>
              <w:t>Σύνολο</w:t>
            </w:r>
          </w:p>
        </w:tc>
      </w:tr>
      <w:tr w:rsidR="008F6AC1" w:rsidRPr="00483F7D" w14:paraId="2CAB3010" w14:textId="77777777" w:rsidTr="005563C1">
        <w:trPr>
          <w:trHeight w:val="483"/>
        </w:trPr>
        <w:tc>
          <w:tcPr>
            <w:tcW w:w="1418" w:type="dxa"/>
            <w:shd w:val="clear" w:color="auto" w:fill="D9D9D9" w:themeFill="background1" w:themeFillShade="D9"/>
            <w:vAlign w:val="center"/>
          </w:tcPr>
          <w:p w14:paraId="60600614" w14:textId="77777777" w:rsidR="008F6AC1" w:rsidRPr="00483F7D" w:rsidRDefault="008F6AC1" w:rsidP="005563C1">
            <w:pPr>
              <w:spacing w:before="60" w:after="60"/>
              <w:jc w:val="center"/>
              <w:rPr>
                <w:noProof/>
                <w:color w:val="000000" w:themeColor="text1"/>
              </w:rPr>
            </w:pPr>
            <w:r w:rsidRPr="00483F7D">
              <w:rPr>
                <w:color w:val="000000" w:themeColor="text1"/>
                <w:sz w:val="18"/>
              </w:rPr>
              <w:t>Έκτακτοι υπάλληλοι (βαθμοί AD)</w:t>
            </w:r>
          </w:p>
        </w:tc>
        <w:tc>
          <w:tcPr>
            <w:tcW w:w="804" w:type="dxa"/>
            <w:vAlign w:val="center"/>
          </w:tcPr>
          <w:p w14:paraId="5ED6186A"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w:t>
            </w:r>
          </w:p>
        </w:tc>
        <w:tc>
          <w:tcPr>
            <w:tcW w:w="805" w:type="dxa"/>
            <w:vAlign w:val="center"/>
          </w:tcPr>
          <w:p w14:paraId="5673819C"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5</w:t>
            </w:r>
          </w:p>
        </w:tc>
        <w:tc>
          <w:tcPr>
            <w:tcW w:w="805" w:type="dxa"/>
            <w:vAlign w:val="center"/>
          </w:tcPr>
          <w:p w14:paraId="2840151D"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14</w:t>
            </w:r>
          </w:p>
        </w:tc>
        <w:tc>
          <w:tcPr>
            <w:tcW w:w="805" w:type="dxa"/>
            <w:vAlign w:val="center"/>
          </w:tcPr>
          <w:p w14:paraId="3D76D267"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22</w:t>
            </w:r>
          </w:p>
        </w:tc>
        <w:tc>
          <w:tcPr>
            <w:tcW w:w="805" w:type="dxa"/>
            <w:vAlign w:val="center"/>
          </w:tcPr>
          <w:p w14:paraId="12727D3B"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40</w:t>
            </w:r>
          </w:p>
        </w:tc>
        <w:tc>
          <w:tcPr>
            <w:tcW w:w="804" w:type="dxa"/>
            <w:vAlign w:val="center"/>
          </w:tcPr>
          <w:p w14:paraId="4D3B02AB"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62</w:t>
            </w:r>
          </w:p>
        </w:tc>
        <w:tc>
          <w:tcPr>
            <w:tcW w:w="805" w:type="dxa"/>
            <w:vAlign w:val="center"/>
          </w:tcPr>
          <w:p w14:paraId="6BE249D6"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91</w:t>
            </w:r>
          </w:p>
        </w:tc>
        <w:tc>
          <w:tcPr>
            <w:tcW w:w="805" w:type="dxa"/>
            <w:vAlign w:val="center"/>
          </w:tcPr>
          <w:p w14:paraId="63379046"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122</w:t>
            </w:r>
          </w:p>
        </w:tc>
        <w:tc>
          <w:tcPr>
            <w:tcW w:w="805" w:type="dxa"/>
            <w:vAlign w:val="center"/>
          </w:tcPr>
          <w:p w14:paraId="65A6BF3E" w14:textId="77777777" w:rsidR="008F6AC1" w:rsidRPr="00483F7D" w:rsidRDefault="008F6AC1" w:rsidP="005563C1">
            <w:pPr>
              <w:spacing w:before="60" w:after="60"/>
              <w:jc w:val="center"/>
              <w:rPr>
                <w:b/>
                <w:noProof/>
                <w:color w:val="000000" w:themeColor="text1"/>
                <w:sz w:val="20"/>
              </w:rPr>
            </w:pPr>
            <w:r w:rsidRPr="00483F7D">
              <w:rPr>
                <w:color w:val="000000" w:themeColor="text1"/>
                <w:sz w:val="20"/>
              </w:rPr>
              <w:t>111</w:t>
            </w:r>
          </w:p>
        </w:tc>
        <w:tc>
          <w:tcPr>
            <w:tcW w:w="805" w:type="dxa"/>
            <w:vAlign w:val="center"/>
          </w:tcPr>
          <w:p w14:paraId="4903AA5B" w14:textId="77777777" w:rsidR="008F6AC1" w:rsidRPr="00483F7D" w:rsidRDefault="008F6AC1" w:rsidP="005563C1">
            <w:pPr>
              <w:spacing w:before="60" w:after="60"/>
              <w:jc w:val="center"/>
              <w:rPr>
                <w:b/>
                <w:noProof/>
                <w:color w:val="000000" w:themeColor="text1"/>
                <w:sz w:val="20"/>
              </w:rPr>
            </w:pPr>
            <w:r w:rsidRPr="00483F7D">
              <w:rPr>
                <w:color w:val="000000" w:themeColor="text1"/>
                <w:sz w:val="20"/>
              </w:rPr>
              <w:t>111</w:t>
            </w:r>
          </w:p>
        </w:tc>
      </w:tr>
      <w:tr w:rsidR="008F6AC1" w:rsidRPr="00483F7D" w14:paraId="590022FE" w14:textId="77777777" w:rsidTr="005563C1">
        <w:trPr>
          <w:trHeight w:val="483"/>
        </w:trPr>
        <w:tc>
          <w:tcPr>
            <w:tcW w:w="1418" w:type="dxa"/>
            <w:shd w:val="clear" w:color="auto" w:fill="BFBFBF" w:themeFill="background1" w:themeFillShade="BF"/>
            <w:vAlign w:val="center"/>
          </w:tcPr>
          <w:p w14:paraId="3E5FA8D5" w14:textId="77777777" w:rsidR="008F6AC1" w:rsidRPr="00483F7D" w:rsidRDefault="008F6AC1" w:rsidP="005563C1">
            <w:pPr>
              <w:spacing w:before="60" w:after="60"/>
              <w:ind w:left="72"/>
              <w:rPr>
                <w:noProof/>
                <w:color w:val="000000" w:themeColor="text1"/>
              </w:rPr>
            </w:pPr>
            <w:r w:rsidRPr="00483F7D">
              <w:rPr>
                <w:color w:val="000000" w:themeColor="text1"/>
                <w:sz w:val="20"/>
              </w:rPr>
              <w:t>Έκτακτοι υπάλληλοι (βαθμοί AST)</w:t>
            </w:r>
          </w:p>
        </w:tc>
        <w:tc>
          <w:tcPr>
            <w:tcW w:w="804" w:type="dxa"/>
            <w:vAlign w:val="center"/>
          </w:tcPr>
          <w:p w14:paraId="76DCD71B" w14:textId="77777777" w:rsidR="008F6AC1" w:rsidRPr="00483F7D" w:rsidRDefault="008F6AC1" w:rsidP="005563C1">
            <w:pPr>
              <w:spacing w:before="60" w:after="60"/>
              <w:jc w:val="center"/>
              <w:rPr>
                <w:noProof/>
                <w:color w:val="000000" w:themeColor="text1"/>
                <w:sz w:val="20"/>
              </w:rPr>
            </w:pPr>
          </w:p>
        </w:tc>
        <w:tc>
          <w:tcPr>
            <w:tcW w:w="805" w:type="dxa"/>
            <w:vAlign w:val="center"/>
          </w:tcPr>
          <w:p w14:paraId="11351DF3" w14:textId="77777777" w:rsidR="008F6AC1" w:rsidRPr="00483F7D" w:rsidRDefault="008F6AC1" w:rsidP="005563C1">
            <w:pPr>
              <w:spacing w:before="60" w:after="60"/>
              <w:jc w:val="center"/>
              <w:rPr>
                <w:noProof/>
                <w:color w:val="000000" w:themeColor="text1"/>
                <w:sz w:val="20"/>
              </w:rPr>
            </w:pPr>
          </w:p>
        </w:tc>
        <w:tc>
          <w:tcPr>
            <w:tcW w:w="805" w:type="dxa"/>
            <w:vAlign w:val="center"/>
          </w:tcPr>
          <w:p w14:paraId="3DCA9F8F"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6</w:t>
            </w:r>
          </w:p>
        </w:tc>
        <w:tc>
          <w:tcPr>
            <w:tcW w:w="805" w:type="dxa"/>
            <w:vAlign w:val="center"/>
          </w:tcPr>
          <w:p w14:paraId="21581834"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11</w:t>
            </w:r>
          </w:p>
        </w:tc>
        <w:tc>
          <w:tcPr>
            <w:tcW w:w="805" w:type="dxa"/>
            <w:vAlign w:val="center"/>
          </w:tcPr>
          <w:p w14:paraId="4BA541E8"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20</w:t>
            </w:r>
          </w:p>
        </w:tc>
        <w:tc>
          <w:tcPr>
            <w:tcW w:w="804" w:type="dxa"/>
            <w:vAlign w:val="center"/>
          </w:tcPr>
          <w:p w14:paraId="1DDE31E8"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31</w:t>
            </w:r>
          </w:p>
        </w:tc>
        <w:tc>
          <w:tcPr>
            <w:tcW w:w="805" w:type="dxa"/>
            <w:vAlign w:val="center"/>
          </w:tcPr>
          <w:p w14:paraId="702D55D7"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46</w:t>
            </w:r>
          </w:p>
        </w:tc>
        <w:tc>
          <w:tcPr>
            <w:tcW w:w="805" w:type="dxa"/>
            <w:vAlign w:val="center"/>
          </w:tcPr>
          <w:p w14:paraId="1642FAAA"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31</w:t>
            </w:r>
          </w:p>
        </w:tc>
        <w:tc>
          <w:tcPr>
            <w:tcW w:w="805" w:type="dxa"/>
            <w:vAlign w:val="center"/>
          </w:tcPr>
          <w:p w14:paraId="2297126B" w14:textId="77777777" w:rsidR="008F6AC1" w:rsidRPr="00483F7D" w:rsidRDefault="008F6AC1" w:rsidP="005563C1">
            <w:pPr>
              <w:spacing w:before="60" w:after="60"/>
              <w:jc w:val="center"/>
              <w:rPr>
                <w:bCs/>
                <w:noProof/>
                <w:color w:val="000000" w:themeColor="text1"/>
                <w:sz w:val="20"/>
              </w:rPr>
            </w:pPr>
            <w:r w:rsidRPr="00483F7D">
              <w:rPr>
                <w:color w:val="000000" w:themeColor="text1"/>
                <w:sz w:val="20"/>
              </w:rPr>
              <w:t>56</w:t>
            </w:r>
          </w:p>
        </w:tc>
        <w:tc>
          <w:tcPr>
            <w:tcW w:w="805" w:type="dxa"/>
            <w:vAlign w:val="center"/>
          </w:tcPr>
          <w:p w14:paraId="18AA515D" w14:textId="77777777" w:rsidR="008F6AC1" w:rsidRPr="00483F7D" w:rsidRDefault="008F6AC1" w:rsidP="005563C1">
            <w:pPr>
              <w:spacing w:before="60" w:after="60"/>
              <w:jc w:val="center"/>
              <w:rPr>
                <w:b/>
                <w:noProof/>
                <w:color w:val="000000" w:themeColor="text1"/>
                <w:sz w:val="20"/>
              </w:rPr>
            </w:pPr>
            <w:r w:rsidRPr="00483F7D">
              <w:rPr>
                <w:color w:val="000000" w:themeColor="text1"/>
                <w:sz w:val="20"/>
              </w:rPr>
              <w:t>56</w:t>
            </w:r>
          </w:p>
        </w:tc>
      </w:tr>
      <w:tr w:rsidR="008F6AC1" w:rsidRPr="00483F7D" w14:paraId="09FD6A21" w14:textId="77777777" w:rsidTr="005563C1">
        <w:trPr>
          <w:trHeight w:val="483"/>
        </w:trPr>
        <w:tc>
          <w:tcPr>
            <w:tcW w:w="1418" w:type="dxa"/>
            <w:shd w:val="clear" w:color="auto" w:fill="BFBFBF" w:themeFill="background1" w:themeFillShade="BF"/>
            <w:vAlign w:val="center"/>
          </w:tcPr>
          <w:p w14:paraId="754B4BAD" w14:textId="77777777" w:rsidR="008F6AC1" w:rsidRPr="00483F7D" w:rsidRDefault="008F6AC1" w:rsidP="005563C1">
            <w:pPr>
              <w:spacing w:before="60" w:after="60"/>
              <w:ind w:left="72"/>
              <w:rPr>
                <w:noProof/>
                <w:color w:val="000000" w:themeColor="text1"/>
              </w:rPr>
            </w:pPr>
            <w:r w:rsidRPr="00483F7D">
              <w:rPr>
                <w:color w:val="000000" w:themeColor="text1"/>
                <w:sz w:val="20"/>
              </w:rPr>
              <w:t>Συμβασιούχοι υπάλληλοι</w:t>
            </w:r>
          </w:p>
        </w:tc>
        <w:tc>
          <w:tcPr>
            <w:tcW w:w="804" w:type="dxa"/>
            <w:shd w:val="clear" w:color="auto" w:fill="auto"/>
            <w:vAlign w:val="center"/>
          </w:tcPr>
          <w:p w14:paraId="64A33125"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5</w:t>
            </w:r>
          </w:p>
        </w:tc>
        <w:tc>
          <w:tcPr>
            <w:tcW w:w="805" w:type="dxa"/>
            <w:shd w:val="clear" w:color="auto" w:fill="auto"/>
            <w:vAlign w:val="center"/>
          </w:tcPr>
          <w:p w14:paraId="63A137AC"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9</w:t>
            </w:r>
          </w:p>
        </w:tc>
        <w:tc>
          <w:tcPr>
            <w:tcW w:w="805" w:type="dxa"/>
            <w:shd w:val="clear" w:color="auto" w:fill="auto"/>
            <w:vAlign w:val="center"/>
          </w:tcPr>
          <w:p w14:paraId="3AE1BC84"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8</w:t>
            </w:r>
          </w:p>
        </w:tc>
        <w:tc>
          <w:tcPr>
            <w:tcW w:w="805" w:type="dxa"/>
            <w:shd w:val="clear" w:color="auto" w:fill="auto"/>
            <w:vAlign w:val="center"/>
          </w:tcPr>
          <w:p w14:paraId="0109F789"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16</w:t>
            </w:r>
          </w:p>
        </w:tc>
        <w:tc>
          <w:tcPr>
            <w:tcW w:w="805" w:type="dxa"/>
            <w:shd w:val="clear" w:color="auto" w:fill="auto"/>
            <w:vAlign w:val="center"/>
          </w:tcPr>
          <w:p w14:paraId="766A059A"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24</w:t>
            </w:r>
          </w:p>
        </w:tc>
        <w:tc>
          <w:tcPr>
            <w:tcW w:w="804" w:type="dxa"/>
            <w:shd w:val="clear" w:color="auto" w:fill="auto"/>
            <w:vAlign w:val="center"/>
          </w:tcPr>
          <w:p w14:paraId="5C65E60C"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39</w:t>
            </w:r>
          </w:p>
        </w:tc>
        <w:tc>
          <w:tcPr>
            <w:tcW w:w="805" w:type="dxa"/>
            <w:shd w:val="clear" w:color="auto" w:fill="auto"/>
            <w:vAlign w:val="center"/>
          </w:tcPr>
          <w:p w14:paraId="4C373E8A"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50</w:t>
            </w:r>
          </w:p>
        </w:tc>
        <w:tc>
          <w:tcPr>
            <w:tcW w:w="805" w:type="dxa"/>
            <w:shd w:val="clear" w:color="auto" w:fill="auto"/>
            <w:vAlign w:val="center"/>
          </w:tcPr>
          <w:p w14:paraId="7E670859"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62</w:t>
            </w:r>
          </w:p>
        </w:tc>
        <w:tc>
          <w:tcPr>
            <w:tcW w:w="805" w:type="dxa"/>
            <w:shd w:val="clear" w:color="auto" w:fill="auto"/>
            <w:vAlign w:val="center"/>
          </w:tcPr>
          <w:p w14:paraId="51B844D4" w14:textId="77777777" w:rsidR="008F6AC1" w:rsidRPr="00483F7D" w:rsidRDefault="008F6AC1" w:rsidP="005563C1">
            <w:pPr>
              <w:spacing w:before="60" w:after="60"/>
              <w:jc w:val="center"/>
              <w:rPr>
                <w:b/>
                <w:noProof/>
                <w:color w:val="000000" w:themeColor="text1"/>
                <w:sz w:val="20"/>
              </w:rPr>
            </w:pPr>
            <w:r w:rsidRPr="00483F7D">
              <w:rPr>
                <w:color w:val="000000" w:themeColor="text1"/>
                <w:sz w:val="20"/>
              </w:rPr>
              <w:t>66</w:t>
            </w:r>
          </w:p>
        </w:tc>
        <w:tc>
          <w:tcPr>
            <w:tcW w:w="805" w:type="dxa"/>
            <w:shd w:val="clear" w:color="auto" w:fill="auto"/>
            <w:vAlign w:val="center"/>
          </w:tcPr>
          <w:p w14:paraId="253554A8" w14:textId="77777777" w:rsidR="008F6AC1" w:rsidRPr="00483F7D" w:rsidRDefault="008F6AC1" w:rsidP="005563C1">
            <w:pPr>
              <w:spacing w:before="60" w:after="60"/>
              <w:jc w:val="center"/>
              <w:rPr>
                <w:b/>
                <w:noProof/>
                <w:color w:val="000000" w:themeColor="text1"/>
                <w:sz w:val="20"/>
              </w:rPr>
            </w:pPr>
            <w:r w:rsidRPr="00483F7D">
              <w:rPr>
                <w:color w:val="000000" w:themeColor="text1"/>
                <w:sz w:val="20"/>
              </w:rPr>
              <w:t>66</w:t>
            </w:r>
          </w:p>
        </w:tc>
      </w:tr>
      <w:tr w:rsidR="008F6AC1" w:rsidRPr="00483F7D" w14:paraId="22FFC195" w14:textId="77777777" w:rsidTr="005563C1">
        <w:trPr>
          <w:trHeight w:val="483"/>
        </w:trPr>
        <w:tc>
          <w:tcPr>
            <w:tcW w:w="1418" w:type="dxa"/>
            <w:shd w:val="clear" w:color="auto" w:fill="CCCCCC"/>
            <w:vAlign w:val="center"/>
          </w:tcPr>
          <w:p w14:paraId="59DD3733" w14:textId="77777777" w:rsidR="008F6AC1" w:rsidRPr="00483F7D" w:rsidRDefault="008F6AC1" w:rsidP="005563C1">
            <w:pPr>
              <w:spacing w:before="60" w:after="60"/>
              <w:jc w:val="center"/>
              <w:rPr>
                <w:noProof/>
                <w:color w:val="000000" w:themeColor="text1"/>
              </w:rPr>
            </w:pPr>
            <w:r w:rsidRPr="00483F7D">
              <w:rPr>
                <w:color w:val="000000" w:themeColor="text1"/>
                <w:sz w:val="18"/>
              </w:rPr>
              <w:t>Αποσπασμένοι εθνικοί εμπειρογνώμονες</w:t>
            </w:r>
          </w:p>
        </w:tc>
        <w:tc>
          <w:tcPr>
            <w:tcW w:w="804" w:type="dxa"/>
            <w:vAlign w:val="center"/>
          </w:tcPr>
          <w:p w14:paraId="169B76BF" w14:textId="77777777" w:rsidR="008F6AC1" w:rsidRPr="00483F7D" w:rsidRDefault="008F6AC1" w:rsidP="005563C1">
            <w:pPr>
              <w:spacing w:before="60" w:after="60"/>
              <w:jc w:val="center"/>
              <w:rPr>
                <w:noProof/>
                <w:color w:val="000000" w:themeColor="text1"/>
                <w:sz w:val="20"/>
              </w:rPr>
            </w:pPr>
          </w:p>
        </w:tc>
        <w:tc>
          <w:tcPr>
            <w:tcW w:w="805" w:type="dxa"/>
            <w:vAlign w:val="center"/>
          </w:tcPr>
          <w:p w14:paraId="65274158" w14:textId="77777777" w:rsidR="008F6AC1" w:rsidRPr="00483F7D" w:rsidRDefault="008F6AC1" w:rsidP="005563C1">
            <w:pPr>
              <w:spacing w:before="60" w:after="60"/>
              <w:jc w:val="center"/>
              <w:rPr>
                <w:noProof/>
                <w:color w:val="000000" w:themeColor="text1"/>
                <w:sz w:val="20"/>
              </w:rPr>
            </w:pPr>
          </w:p>
        </w:tc>
        <w:tc>
          <w:tcPr>
            <w:tcW w:w="805" w:type="dxa"/>
            <w:vAlign w:val="center"/>
          </w:tcPr>
          <w:p w14:paraId="2E02C382"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2</w:t>
            </w:r>
          </w:p>
        </w:tc>
        <w:tc>
          <w:tcPr>
            <w:tcW w:w="805" w:type="dxa"/>
            <w:vAlign w:val="center"/>
          </w:tcPr>
          <w:p w14:paraId="3B131357"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3</w:t>
            </w:r>
          </w:p>
        </w:tc>
        <w:tc>
          <w:tcPr>
            <w:tcW w:w="805" w:type="dxa"/>
            <w:vAlign w:val="center"/>
          </w:tcPr>
          <w:p w14:paraId="65D9C486"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6</w:t>
            </w:r>
          </w:p>
        </w:tc>
        <w:tc>
          <w:tcPr>
            <w:tcW w:w="804" w:type="dxa"/>
            <w:vAlign w:val="center"/>
          </w:tcPr>
          <w:p w14:paraId="6E55334D"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8</w:t>
            </w:r>
          </w:p>
        </w:tc>
        <w:tc>
          <w:tcPr>
            <w:tcW w:w="805" w:type="dxa"/>
            <w:vAlign w:val="center"/>
          </w:tcPr>
          <w:p w14:paraId="559DFD05"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13</w:t>
            </w:r>
          </w:p>
        </w:tc>
        <w:tc>
          <w:tcPr>
            <w:tcW w:w="805" w:type="dxa"/>
            <w:vAlign w:val="center"/>
          </w:tcPr>
          <w:p w14:paraId="29007FF6" w14:textId="77777777" w:rsidR="008F6AC1" w:rsidRPr="00483F7D" w:rsidRDefault="008F6AC1" w:rsidP="005563C1">
            <w:pPr>
              <w:spacing w:before="60" w:after="60"/>
              <w:jc w:val="center"/>
              <w:rPr>
                <w:noProof/>
                <w:color w:val="000000" w:themeColor="text1"/>
                <w:sz w:val="20"/>
              </w:rPr>
            </w:pPr>
            <w:r w:rsidRPr="00483F7D">
              <w:rPr>
                <w:color w:val="000000" w:themeColor="text1"/>
                <w:sz w:val="20"/>
              </w:rPr>
              <w:t>15</w:t>
            </w:r>
          </w:p>
        </w:tc>
        <w:tc>
          <w:tcPr>
            <w:tcW w:w="805" w:type="dxa"/>
            <w:vAlign w:val="center"/>
          </w:tcPr>
          <w:p w14:paraId="1339BD5D" w14:textId="77777777" w:rsidR="008F6AC1" w:rsidRPr="00483F7D" w:rsidRDefault="008F6AC1" w:rsidP="005563C1">
            <w:pPr>
              <w:spacing w:before="60" w:after="60"/>
              <w:jc w:val="center"/>
              <w:rPr>
                <w:bCs/>
                <w:noProof/>
                <w:color w:val="000000" w:themeColor="text1"/>
                <w:sz w:val="20"/>
              </w:rPr>
            </w:pPr>
            <w:r w:rsidRPr="00483F7D">
              <w:rPr>
                <w:color w:val="000000" w:themeColor="text1"/>
                <w:sz w:val="20"/>
              </w:rPr>
              <w:t>17</w:t>
            </w:r>
          </w:p>
        </w:tc>
        <w:tc>
          <w:tcPr>
            <w:tcW w:w="805" w:type="dxa"/>
            <w:vAlign w:val="center"/>
          </w:tcPr>
          <w:p w14:paraId="292246B8" w14:textId="77777777" w:rsidR="008F6AC1" w:rsidRPr="00483F7D" w:rsidRDefault="008F6AC1" w:rsidP="005563C1">
            <w:pPr>
              <w:spacing w:before="60" w:after="60"/>
              <w:jc w:val="center"/>
              <w:rPr>
                <w:b/>
                <w:noProof/>
                <w:color w:val="000000" w:themeColor="text1"/>
                <w:sz w:val="20"/>
              </w:rPr>
            </w:pPr>
            <w:r w:rsidRPr="00483F7D">
              <w:rPr>
                <w:color w:val="000000" w:themeColor="text1"/>
                <w:sz w:val="20"/>
              </w:rPr>
              <w:t>17</w:t>
            </w:r>
          </w:p>
        </w:tc>
      </w:tr>
      <w:tr w:rsidR="008F6AC1" w:rsidRPr="00483F7D" w14:paraId="4DA18FBF" w14:textId="77777777" w:rsidTr="005563C1">
        <w:trPr>
          <w:trHeight w:val="346"/>
        </w:trPr>
        <w:tc>
          <w:tcPr>
            <w:tcW w:w="1418" w:type="dxa"/>
            <w:tcBorders>
              <w:top w:val="single" w:sz="12" w:space="0" w:color="auto"/>
              <w:left w:val="single" w:sz="12" w:space="0" w:color="auto"/>
              <w:bottom w:val="single" w:sz="12" w:space="0" w:color="auto"/>
              <w:right w:val="single" w:sz="2" w:space="0" w:color="auto"/>
            </w:tcBorders>
            <w:vAlign w:val="center"/>
          </w:tcPr>
          <w:p w14:paraId="48B24892" w14:textId="77777777" w:rsidR="008F6AC1" w:rsidRPr="00483F7D" w:rsidRDefault="008F6AC1" w:rsidP="005563C1">
            <w:pPr>
              <w:spacing w:before="60" w:after="60"/>
              <w:jc w:val="center"/>
              <w:rPr>
                <w:noProof/>
                <w:color w:val="000000" w:themeColor="text1"/>
                <w:sz w:val="20"/>
              </w:rPr>
            </w:pPr>
            <w:r w:rsidRPr="00483F7D">
              <w:rPr>
                <w:b/>
                <w:color w:val="000000" w:themeColor="text1"/>
                <w:sz w:val="20"/>
              </w:rPr>
              <w:t>ΣΥΝΟΛΟ</w:t>
            </w:r>
          </w:p>
        </w:tc>
        <w:tc>
          <w:tcPr>
            <w:tcW w:w="804" w:type="dxa"/>
            <w:tcBorders>
              <w:top w:val="single" w:sz="12" w:space="0" w:color="auto"/>
              <w:left w:val="single" w:sz="2" w:space="0" w:color="auto"/>
              <w:bottom w:val="single" w:sz="12" w:space="0" w:color="auto"/>
              <w:right w:val="single" w:sz="2" w:space="0" w:color="auto"/>
            </w:tcBorders>
            <w:vAlign w:val="center"/>
          </w:tcPr>
          <w:p w14:paraId="7A96E1E7" w14:textId="77777777" w:rsidR="008F6AC1" w:rsidRPr="00483F7D" w:rsidRDefault="008F6AC1" w:rsidP="005563C1">
            <w:pPr>
              <w:spacing w:before="60" w:after="60"/>
              <w:jc w:val="center"/>
              <w:rPr>
                <w:color w:val="000000" w:themeColor="text1"/>
                <w:sz w:val="20"/>
                <w:szCs w:val="20"/>
              </w:rPr>
            </w:pPr>
            <w:r w:rsidRPr="00483F7D">
              <w:rPr>
                <w:color w:val="000000" w:themeColor="text1"/>
                <w:sz w:val="20"/>
              </w:rPr>
              <w:t>7</w:t>
            </w:r>
          </w:p>
        </w:tc>
        <w:tc>
          <w:tcPr>
            <w:tcW w:w="805" w:type="dxa"/>
            <w:tcBorders>
              <w:top w:val="single" w:sz="12" w:space="0" w:color="auto"/>
              <w:left w:val="single" w:sz="2" w:space="0" w:color="auto"/>
              <w:bottom w:val="single" w:sz="12" w:space="0" w:color="auto"/>
              <w:right w:val="single" w:sz="2" w:space="0" w:color="auto"/>
            </w:tcBorders>
            <w:vAlign w:val="center"/>
          </w:tcPr>
          <w:p w14:paraId="09654518" w14:textId="77777777" w:rsidR="008F6AC1" w:rsidRPr="00483F7D" w:rsidRDefault="008F6AC1" w:rsidP="005563C1">
            <w:pPr>
              <w:spacing w:before="60" w:after="60"/>
              <w:jc w:val="center"/>
              <w:rPr>
                <w:color w:val="000000" w:themeColor="text1"/>
                <w:sz w:val="20"/>
                <w:szCs w:val="20"/>
              </w:rPr>
            </w:pPr>
            <w:r w:rsidRPr="00483F7D">
              <w:rPr>
                <w:color w:val="000000" w:themeColor="text1"/>
                <w:sz w:val="20"/>
              </w:rPr>
              <w:t>14</w:t>
            </w:r>
          </w:p>
        </w:tc>
        <w:tc>
          <w:tcPr>
            <w:tcW w:w="805" w:type="dxa"/>
            <w:tcBorders>
              <w:top w:val="single" w:sz="12" w:space="0" w:color="auto"/>
              <w:left w:val="single" w:sz="2" w:space="0" w:color="auto"/>
              <w:bottom w:val="single" w:sz="12" w:space="0" w:color="auto"/>
              <w:right w:val="single" w:sz="2" w:space="0" w:color="auto"/>
            </w:tcBorders>
            <w:vAlign w:val="center"/>
          </w:tcPr>
          <w:p w14:paraId="0D186C09" w14:textId="77777777" w:rsidR="008F6AC1" w:rsidRPr="00483F7D" w:rsidRDefault="008F6AC1" w:rsidP="005563C1">
            <w:pPr>
              <w:spacing w:before="60" w:after="60"/>
              <w:jc w:val="center"/>
              <w:rPr>
                <w:b/>
                <w:noProof/>
                <w:color w:val="000000" w:themeColor="text1"/>
                <w:sz w:val="20"/>
                <w:szCs w:val="20"/>
              </w:rPr>
            </w:pPr>
            <w:r w:rsidRPr="00483F7D">
              <w:rPr>
                <w:color w:val="000000" w:themeColor="text1"/>
                <w:sz w:val="20"/>
              </w:rPr>
              <w:t>30</w:t>
            </w:r>
          </w:p>
        </w:tc>
        <w:tc>
          <w:tcPr>
            <w:tcW w:w="805" w:type="dxa"/>
            <w:tcBorders>
              <w:top w:val="single" w:sz="12" w:space="0" w:color="auto"/>
              <w:left w:val="single" w:sz="2" w:space="0" w:color="auto"/>
              <w:bottom w:val="single" w:sz="12" w:space="0" w:color="auto"/>
              <w:right w:val="single" w:sz="2" w:space="0" w:color="auto"/>
            </w:tcBorders>
            <w:vAlign w:val="center"/>
          </w:tcPr>
          <w:p w14:paraId="7CF53F3A" w14:textId="77777777" w:rsidR="008F6AC1" w:rsidRPr="00483F7D" w:rsidRDefault="008F6AC1" w:rsidP="005563C1">
            <w:pPr>
              <w:spacing w:before="60" w:after="60"/>
              <w:jc w:val="center"/>
              <w:rPr>
                <w:b/>
                <w:noProof/>
                <w:color w:val="000000" w:themeColor="text1"/>
                <w:sz w:val="20"/>
                <w:szCs w:val="20"/>
              </w:rPr>
            </w:pPr>
            <w:r w:rsidRPr="00483F7D">
              <w:rPr>
                <w:color w:val="000000" w:themeColor="text1"/>
                <w:sz w:val="20"/>
              </w:rPr>
              <w:t>50</w:t>
            </w:r>
          </w:p>
        </w:tc>
        <w:tc>
          <w:tcPr>
            <w:tcW w:w="805" w:type="dxa"/>
            <w:tcBorders>
              <w:top w:val="single" w:sz="12" w:space="0" w:color="auto"/>
              <w:left w:val="single" w:sz="2" w:space="0" w:color="auto"/>
              <w:bottom w:val="single" w:sz="12" w:space="0" w:color="auto"/>
              <w:right w:val="single" w:sz="2" w:space="0" w:color="auto"/>
            </w:tcBorders>
            <w:vAlign w:val="center"/>
          </w:tcPr>
          <w:p w14:paraId="6787897B" w14:textId="77777777" w:rsidR="008F6AC1" w:rsidRPr="00483F7D" w:rsidRDefault="008F6AC1" w:rsidP="005563C1">
            <w:pPr>
              <w:spacing w:before="60" w:after="60"/>
              <w:jc w:val="center"/>
              <w:rPr>
                <w:b/>
                <w:noProof/>
                <w:color w:val="000000" w:themeColor="text1"/>
                <w:sz w:val="20"/>
                <w:szCs w:val="20"/>
              </w:rPr>
            </w:pPr>
            <w:r w:rsidRPr="00483F7D">
              <w:rPr>
                <w:color w:val="000000" w:themeColor="text1"/>
                <w:sz w:val="20"/>
              </w:rPr>
              <w:t>90</w:t>
            </w:r>
          </w:p>
        </w:tc>
        <w:tc>
          <w:tcPr>
            <w:tcW w:w="804" w:type="dxa"/>
            <w:tcBorders>
              <w:top w:val="single" w:sz="12" w:space="0" w:color="auto"/>
              <w:left w:val="single" w:sz="2" w:space="0" w:color="auto"/>
              <w:bottom w:val="single" w:sz="12" w:space="0" w:color="auto"/>
              <w:right w:val="single" w:sz="2" w:space="0" w:color="auto"/>
            </w:tcBorders>
            <w:vAlign w:val="center"/>
          </w:tcPr>
          <w:p w14:paraId="55B225CC" w14:textId="77777777" w:rsidR="008F6AC1" w:rsidRPr="00483F7D" w:rsidRDefault="008F6AC1" w:rsidP="005563C1">
            <w:pPr>
              <w:spacing w:before="60" w:after="60"/>
              <w:jc w:val="center"/>
              <w:rPr>
                <w:b/>
                <w:noProof/>
                <w:color w:val="000000" w:themeColor="text1"/>
                <w:sz w:val="20"/>
                <w:szCs w:val="20"/>
              </w:rPr>
            </w:pPr>
            <w:r w:rsidRPr="00483F7D">
              <w:rPr>
                <w:color w:val="000000" w:themeColor="text1"/>
                <w:sz w:val="20"/>
              </w:rPr>
              <w:t>140</w:t>
            </w:r>
          </w:p>
        </w:tc>
        <w:tc>
          <w:tcPr>
            <w:tcW w:w="805" w:type="dxa"/>
            <w:tcBorders>
              <w:top w:val="single" w:sz="12" w:space="0" w:color="auto"/>
              <w:left w:val="single" w:sz="2" w:space="0" w:color="auto"/>
              <w:bottom w:val="single" w:sz="12" w:space="0" w:color="auto"/>
              <w:right w:val="single" w:sz="2" w:space="0" w:color="auto"/>
            </w:tcBorders>
            <w:vAlign w:val="center"/>
          </w:tcPr>
          <w:p w14:paraId="2E60F574" w14:textId="77777777" w:rsidR="008F6AC1" w:rsidRPr="00483F7D" w:rsidRDefault="008F6AC1" w:rsidP="005563C1">
            <w:pPr>
              <w:spacing w:before="60" w:after="60"/>
              <w:jc w:val="center"/>
              <w:rPr>
                <w:b/>
                <w:noProof/>
                <w:color w:val="000000" w:themeColor="text1"/>
                <w:sz w:val="20"/>
                <w:szCs w:val="20"/>
              </w:rPr>
            </w:pPr>
            <w:r w:rsidRPr="00483F7D">
              <w:rPr>
                <w:color w:val="000000" w:themeColor="text1"/>
                <w:sz w:val="20"/>
              </w:rPr>
              <w:t>190</w:t>
            </w:r>
          </w:p>
        </w:tc>
        <w:tc>
          <w:tcPr>
            <w:tcW w:w="805" w:type="dxa"/>
            <w:tcBorders>
              <w:top w:val="single" w:sz="12" w:space="0" w:color="auto"/>
              <w:left w:val="single" w:sz="2" w:space="0" w:color="auto"/>
              <w:bottom w:val="single" w:sz="12" w:space="0" w:color="auto"/>
              <w:right w:val="single" w:sz="2" w:space="0" w:color="auto"/>
            </w:tcBorders>
            <w:vAlign w:val="center"/>
          </w:tcPr>
          <w:p w14:paraId="58B51DA9" w14:textId="77777777" w:rsidR="008F6AC1" w:rsidRPr="00483F7D" w:rsidRDefault="008F6AC1" w:rsidP="005563C1">
            <w:pPr>
              <w:spacing w:before="60" w:after="60"/>
              <w:jc w:val="center"/>
              <w:rPr>
                <w:b/>
                <w:noProof/>
                <w:color w:val="000000" w:themeColor="text1"/>
                <w:sz w:val="20"/>
                <w:szCs w:val="20"/>
              </w:rPr>
            </w:pPr>
            <w:r w:rsidRPr="00483F7D">
              <w:rPr>
                <w:color w:val="000000" w:themeColor="text1"/>
                <w:sz w:val="20"/>
              </w:rPr>
              <w:t>230</w:t>
            </w:r>
          </w:p>
        </w:tc>
        <w:tc>
          <w:tcPr>
            <w:tcW w:w="805" w:type="dxa"/>
            <w:tcBorders>
              <w:top w:val="single" w:sz="12" w:space="0" w:color="auto"/>
              <w:left w:val="single" w:sz="2" w:space="0" w:color="auto"/>
              <w:bottom w:val="single" w:sz="12" w:space="0" w:color="auto"/>
              <w:right w:val="single" w:sz="2" w:space="0" w:color="auto"/>
            </w:tcBorders>
            <w:vAlign w:val="center"/>
          </w:tcPr>
          <w:p w14:paraId="373FB0EA" w14:textId="77777777" w:rsidR="008F6AC1" w:rsidRPr="00483F7D" w:rsidRDefault="008F6AC1" w:rsidP="005563C1">
            <w:pPr>
              <w:spacing w:before="60" w:after="60"/>
              <w:jc w:val="center"/>
              <w:rPr>
                <w:b/>
                <w:noProof/>
                <w:color w:val="000000" w:themeColor="text1"/>
                <w:sz w:val="20"/>
                <w:szCs w:val="20"/>
              </w:rPr>
            </w:pPr>
            <w:r w:rsidRPr="00483F7D">
              <w:rPr>
                <w:color w:val="000000" w:themeColor="text1"/>
                <w:sz w:val="20"/>
              </w:rPr>
              <w:t>250</w:t>
            </w:r>
          </w:p>
        </w:tc>
        <w:tc>
          <w:tcPr>
            <w:tcW w:w="805" w:type="dxa"/>
            <w:tcBorders>
              <w:top w:val="single" w:sz="12" w:space="0" w:color="auto"/>
              <w:left w:val="single" w:sz="2" w:space="0" w:color="auto"/>
              <w:bottom w:val="single" w:sz="12" w:space="0" w:color="auto"/>
              <w:right w:val="single" w:sz="12" w:space="0" w:color="auto"/>
            </w:tcBorders>
            <w:vAlign w:val="center"/>
          </w:tcPr>
          <w:p w14:paraId="2172D6A7" w14:textId="77777777" w:rsidR="008F6AC1" w:rsidRPr="00483F7D" w:rsidRDefault="008F6AC1" w:rsidP="005563C1">
            <w:pPr>
              <w:spacing w:before="60" w:after="60"/>
              <w:jc w:val="center"/>
              <w:rPr>
                <w:b/>
                <w:noProof/>
                <w:color w:val="000000" w:themeColor="text1"/>
                <w:sz w:val="20"/>
              </w:rPr>
            </w:pPr>
            <w:r w:rsidRPr="00483F7D">
              <w:rPr>
                <w:b/>
                <w:color w:val="000000" w:themeColor="text1"/>
                <w:sz w:val="20"/>
              </w:rPr>
              <w:t>250</w:t>
            </w:r>
          </w:p>
        </w:tc>
      </w:tr>
    </w:tbl>
    <w:p w14:paraId="4A146C60" w14:textId="77777777" w:rsidR="008F6AC1" w:rsidRPr="00483F7D" w:rsidRDefault="008F6AC1" w:rsidP="008F6AC1">
      <w:pPr>
        <w:rPr>
          <w:noProof/>
        </w:rPr>
      </w:pPr>
      <w:bookmarkStart w:id="351" w:name="_Hlk130561376"/>
      <w:bookmarkEnd w:id="350"/>
      <w:r w:rsidRPr="00483F7D">
        <w:t xml:space="preserve">Θεωρείται ότι όλο το νεοπροσλαμβανόμενο προσωπικό εργάζεται για 6 μήνες κατά το έτος πρόσληψής του. </w:t>
      </w:r>
    </w:p>
    <w:p w14:paraId="0C8E7E7D" w14:textId="77777777" w:rsidR="008F6AC1" w:rsidRPr="00483F7D" w:rsidRDefault="008F6AC1" w:rsidP="008F6AC1">
      <w:pPr>
        <w:rPr>
          <w:noProof/>
        </w:rPr>
      </w:pPr>
      <w:r w:rsidRPr="00483F7D">
        <w:t>Παρότι η ακριβής κατανομή του προσωπικού ανά προφίλ δεν μπορεί να προσδιοριστεί οριστικά κατά την παρούσα χρονική στιγμή, ο ακόλουθος πίνακας παρέχει μια γενική επισκόπηση του τι μπορεί να αναμένεται:</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767"/>
        <w:gridCol w:w="768"/>
        <w:gridCol w:w="768"/>
        <w:gridCol w:w="768"/>
        <w:gridCol w:w="767"/>
        <w:gridCol w:w="768"/>
        <w:gridCol w:w="768"/>
        <w:gridCol w:w="768"/>
        <w:gridCol w:w="693"/>
      </w:tblGrid>
      <w:tr w:rsidR="008F6AC1" w:rsidRPr="00483F7D" w14:paraId="4362001A" w14:textId="77777777" w:rsidTr="005563C1">
        <w:trPr>
          <w:trHeight w:val="357"/>
        </w:trPr>
        <w:tc>
          <w:tcPr>
            <w:tcW w:w="22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72C32" w14:textId="77777777" w:rsidR="008F6AC1" w:rsidRPr="00483F7D" w:rsidRDefault="008F6AC1" w:rsidP="005563C1">
            <w:pPr>
              <w:spacing w:line="276" w:lineRule="auto"/>
              <w:rPr>
                <w:rFonts w:eastAsia="Times New Roman"/>
                <w:color w:val="000000" w:themeColor="text1"/>
                <w:sz w:val="22"/>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74924" w14:textId="77777777" w:rsidR="008F6AC1" w:rsidRPr="00483F7D" w:rsidRDefault="008F6AC1" w:rsidP="005563C1">
            <w:pPr>
              <w:spacing w:line="276" w:lineRule="auto"/>
              <w:jc w:val="center"/>
              <w:rPr>
                <w:rFonts w:eastAsia="Times New Roman"/>
                <w:b/>
                <w:bCs/>
                <w:color w:val="000000" w:themeColor="text1"/>
                <w:sz w:val="22"/>
              </w:rPr>
            </w:pPr>
            <w:r w:rsidRPr="00483F7D">
              <w:rPr>
                <w:b/>
                <w:color w:val="000000" w:themeColor="text1"/>
                <w:sz w:val="22"/>
              </w:rPr>
              <w:t>2026</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DAEC9" w14:textId="77777777" w:rsidR="008F6AC1" w:rsidRPr="00483F7D" w:rsidRDefault="008F6AC1" w:rsidP="005563C1">
            <w:pPr>
              <w:spacing w:line="276" w:lineRule="auto"/>
              <w:jc w:val="center"/>
              <w:rPr>
                <w:rFonts w:eastAsia="Times New Roman"/>
                <w:b/>
                <w:bCs/>
                <w:color w:val="000000" w:themeColor="text1"/>
                <w:sz w:val="22"/>
              </w:rPr>
            </w:pPr>
            <w:r w:rsidRPr="00483F7D">
              <w:rPr>
                <w:b/>
                <w:color w:val="000000" w:themeColor="text1"/>
                <w:sz w:val="22"/>
              </w:rPr>
              <w:t>2027</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F74483" w14:textId="77777777" w:rsidR="008F6AC1" w:rsidRPr="00483F7D" w:rsidRDefault="008F6AC1" w:rsidP="005563C1">
            <w:pPr>
              <w:spacing w:line="276" w:lineRule="auto"/>
              <w:jc w:val="center"/>
              <w:rPr>
                <w:rFonts w:eastAsia="Times New Roman"/>
                <w:color w:val="000000" w:themeColor="text1"/>
                <w:sz w:val="22"/>
              </w:rPr>
            </w:pPr>
            <w:r w:rsidRPr="00483F7D">
              <w:rPr>
                <w:b/>
                <w:color w:val="000000" w:themeColor="text1"/>
                <w:sz w:val="22"/>
              </w:rPr>
              <w:t>2028</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80C3A37" w14:textId="77777777" w:rsidR="008F6AC1" w:rsidRPr="00483F7D" w:rsidRDefault="008F6AC1" w:rsidP="005563C1">
            <w:pPr>
              <w:spacing w:line="276" w:lineRule="auto"/>
              <w:jc w:val="center"/>
              <w:rPr>
                <w:rFonts w:eastAsia="Times New Roman"/>
                <w:color w:val="000000" w:themeColor="text1"/>
                <w:sz w:val="22"/>
              </w:rPr>
            </w:pPr>
            <w:r w:rsidRPr="00483F7D">
              <w:rPr>
                <w:b/>
                <w:color w:val="000000" w:themeColor="text1"/>
                <w:sz w:val="22"/>
              </w:rPr>
              <w:t>2029</w:t>
            </w: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224E03" w14:textId="77777777" w:rsidR="008F6AC1" w:rsidRPr="00483F7D" w:rsidRDefault="008F6AC1" w:rsidP="005563C1">
            <w:pPr>
              <w:spacing w:line="276" w:lineRule="auto"/>
              <w:jc w:val="center"/>
              <w:rPr>
                <w:rFonts w:eastAsia="Times New Roman"/>
                <w:color w:val="000000" w:themeColor="text1"/>
                <w:sz w:val="22"/>
              </w:rPr>
            </w:pPr>
            <w:r w:rsidRPr="00483F7D">
              <w:rPr>
                <w:b/>
                <w:color w:val="000000" w:themeColor="text1"/>
                <w:sz w:val="22"/>
              </w:rPr>
              <w:t>2030</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7179080" w14:textId="77777777" w:rsidR="008F6AC1" w:rsidRPr="00483F7D" w:rsidRDefault="008F6AC1" w:rsidP="005563C1">
            <w:pPr>
              <w:spacing w:line="276" w:lineRule="auto"/>
              <w:jc w:val="center"/>
              <w:rPr>
                <w:rFonts w:eastAsia="Times New Roman"/>
                <w:color w:val="000000" w:themeColor="text1"/>
                <w:sz w:val="22"/>
              </w:rPr>
            </w:pPr>
            <w:r w:rsidRPr="00483F7D">
              <w:rPr>
                <w:b/>
                <w:color w:val="000000" w:themeColor="text1"/>
                <w:sz w:val="22"/>
              </w:rPr>
              <w:t>2031</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0F35F2" w14:textId="77777777" w:rsidR="008F6AC1" w:rsidRPr="00483F7D" w:rsidRDefault="008F6AC1" w:rsidP="005563C1">
            <w:pPr>
              <w:spacing w:line="276" w:lineRule="auto"/>
              <w:jc w:val="center"/>
              <w:rPr>
                <w:rFonts w:eastAsia="Times New Roman"/>
                <w:color w:val="000000" w:themeColor="text1"/>
                <w:sz w:val="22"/>
              </w:rPr>
            </w:pPr>
            <w:r w:rsidRPr="00483F7D">
              <w:rPr>
                <w:b/>
                <w:color w:val="000000" w:themeColor="text1"/>
                <w:sz w:val="22"/>
              </w:rPr>
              <w:t>2032</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56EA4" w14:textId="77777777" w:rsidR="008F6AC1" w:rsidRPr="00483F7D" w:rsidRDefault="008F6AC1" w:rsidP="005563C1">
            <w:pPr>
              <w:spacing w:line="276" w:lineRule="auto"/>
              <w:jc w:val="center"/>
              <w:rPr>
                <w:rFonts w:eastAsia="Times New Roman"/>
                <w:color w:val="000000" w:themeColor="text1"/>
                <w:sz w:val="22"/>
              </w:rPr>
            </w:pPr>
            <w:r w:rsidRPr="00483F7D">
              <w:rPr>
                <w:b/>
                <w:color w:val="000000" w:themeColor="text1"/>
                <w:sz w:val="22"/>
              </w:rPr>
              <w:t>2033</w:t>
            </w:r>
          </w:p>
        </w:tc>
        <w:tc>
          <w:tcPr>
            <w:tcW w:w="6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7C24872" w14:textId="77777777" w:rsidR="008F6AC1" w:rsidRPr="00483F7D" w:rsidRDefault="008F6AC1" w:rsidP="005563C1">
            <w:pPr>
              <w:spacing w:line="276" w:lineRule="auto"/>
              <w:jc w:val="center"/>
              <w:rPr>
                <w:rFonts w:eastAsia="Times New Roman"/>
                <w:color w:val="000000" w:themeColor="text1"/>
                <w:sz w:val="22"/>
              </w:rPr>
            </w:pPr>
            <w:r w:rsidRPr="00483F7D">
              <w:rPr>
                <w:b/>
                <w:color w:val="000000" w:themeColor="text1"/>
                <w:sz w:val="22"/>
              </w:rPr>
              <w:t>2034</w:t>
            </w:r>
          </w:p>
        </w:tc>
      </w:tr>
      <w:tr w:rsidR="008F6AC1" w:rsidRPr="00483F7D" w14:paraId="5CAF8BB5"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hideMark/>
          </w:tcPr>
          <w:p w14:paraId="21AAB240" w14:textId="77777777" w:rsidR="008F6AC1" w:rsidRPr="00483F7D" w:rsidRDefault="008F6AC1" w:rsidP="005563C1">
            <w:pPr>
              <w:spacing w:line="276" w:lineRule="auto"/>
              <w:rPr>
                <w:rFonts w:eastAsia="Times New Roman"/>
                <w:b/>
                <w:bCs/>
                <w:color w:val="000000" w:themeColor="text1"/>
                <w:sz w:val="20"/>
                <w:szCs w:val="20"/>
              </w:rPr>
            </w:pPr>
            <w:r w:rsidRPr="00483F7D">
              <w:rPr>
                <w:b/>
                <w:color w:val="000000" w:themeColor="text1"/>
                <w:sz w:val="20"/>
              </w:rPr>
              <w:t xml:space="preserve">Σύνολο </w:t>
            </w:r>
          </w:p>
        </w:tc>
        <w:tc>
          <w:tcPr>
            <w:tcW w:w="767" w:type="dxa"/>
            <w:tcBorders>
              <w:top w:val="single" w:sz="4" w:space="0" w:color="auto"/>
              <w:left w:val="single" w:sz="4" w:space="0" w:color="auto"/>
              <w:bottom w:val="single" w:sz="4" w:space="0" w:color="auto"/>
              <w:right w:val="single" w:sz="4" w:space="0" w:color="auto"/>
            </w:tcBorders>
            <w:vAlign w:val="center"/>
          </w:tcPr>
          <w:p w14:paraId="2C84FBB2"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7</w:t>
            </w:r>
          </w:p>
        </w:tc>
        <w:tc>
          <w:tcPr>
            <w:tcW w:w="768" w:type="dxa"/>
            <w:tcBorders>
              <w:top w:val="single" w:sz="4" w:space="0" w:color="auto"/>
              <w:left w:val="single" w:sz="4" w:space="0" w:color="auto"/>
              <w:bottom w:val="single" w:sz="4" w:space="0" w:color="auto"/>
              <w:right w:val="single" w:sz="4" w:space="0" w:color="auto"/>
            </w:tcBorders>
            <w:vAlign w:val="center"/>
          </w:tcPr>
          <w:p w14:paraId="04B8A938"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14</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B407CBF"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30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3FE7617"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50</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44052DDE"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5BD6B80"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140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ED1DCC7"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190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740F7882"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230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08F189A" w14:textId="77777777" w:rsidR="008F6AC1" w:rsidRPr="00483F7D" w:rsidRDefault="008F6AC1" w:rsidP="005563C1">
            <w:pPr>
              <w:spacing w:line="276" w:lineRule="auto"/>
              <w:jc w:val="center"/>
              <w:rPr>
                <w:rFonts w:eastAsia="Times New Roman"/>
                <w:b/>
                <w:bCs/>
                <w:color w:val="000000" w:themeColor="text1"/>
                <w:sz w:val="20"/>
                <w:szCs w:val="20"/>
              </w:rPr>
            </w:pPr>
            <w:r w:rsidRPr="00483F7D">
              <w:rPr>
                <w:b/>
                <w:color w:val="000000" w:themeColor="text1"/>
                <w:sz w:val="20"/>
              </w:rPr>
              <w:t>250</w:t>
            </w:r>
          </w:p>
        </w:tc>
      </w:tr>
      <w:tr w:rsidR="008F6AC1" w:rsidRPr="00483F7D" w14:paraId="1E02591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58F8EB2" w14:textId="77777777" w:rsidR="008F6AC1" w:rsidRPr="00483F7D" w:rsidRDefault="008F6AC1" w:rsidP="005563C1">
            <w:pPr>
              <w:spacing w:line="276" w:lineRule="auto"/>
              <w:rPr>
                <w:rFonts w:eastAsia="Times New Roman"/>
                <w:color w:val="000000" w:themeColor="text1"/>
                <w:sz w:val="20"/>
                <w:szCs w:val="20"/>
              </w:rPr>
            </w:pPr>
            <w:r w:rsidRPr="00483F7D">
              <w:rPr>
                <w:color w:val="000000" w:themeColor="text1"/>
                <w:sz w:val="20"/>
              </w:rPr>
              <w:t xml:space="preserve">Διοίκηση </w:t>
            </w:r>
          </w:p>
        </w:tc>
        <w:tc>
          <w:tcPr>
            <w:tcW w:w="767" w:type="dxa"/>
            <w:tcBorders>
              <w:top w:val="single" w:sz="4" w:space="0" w:color="auto"/>
              <w:left w:val="single" w:sz="4" w:space="0" w:color="auto"/>
              <w:bottom w:val="single" w:sz="4" w:space="0" w:color="auto"/>
              <w:right w:val="single" w:sz="4" w:space="0" w:color="auto"/>
            </w:tcBorders>
            <w:vAlign w:val="center"/>
          </w:tcPr>
          <w:p w14:paraId="7F622ABC"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6</w:t>
            </w:r>
          </w:p>
        </w:tc>
        <w:tc>
          <w:tcPr>
            <w:tcW w:w="768" w:type="dxa"/>
            <w:tcBorders>
              <w:top w:val="single" w:sz="4" w:space="0" w:color="auto"/>
              <w:left w:val="single" w:sz="4" w:space="0" w:color="auto"/>
              <w:bottom w:val="single" w:sz="4" w:space="0" w:color="auto"/>
              <w:right w:val="single" w:sz="4" w:space="0" w:color="auto"/>
            </w:tcBorders>
            <w:vAlign w:val="center"/>
          </w:tcPr>
          <w:p w14:paraId="740E79F6"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6A69C262"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12</w:t>
            </w:r>
          </w:p>
        </w:tc>
        <w:tc>
          <w:tcPr>
            <w:tcW w:w="768" w:type="dxa"/>
            <w:tcBorders>
              <w:top w:val="single" w:sz="4" w:space="0" w:color="auto"/>
              <w:left w:val="single" w:sz="4" w:space="0" w:color="auto"/>
              <w:bottom w:val="single" w:sz="4" w:space="0" w:color="auto"/>
              <w:right w:val="single" w:sz="4" w:space="0" w:color="auto"/>
            </w:tcBorders>
            <w:noWrap/>
            <w:vAlign w:val="center"/>
          </w:tcPr>
          <w:p w14:paraId="765318B8"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20</w:t>
            </w:r>
          </w:p>
        </w:tc>
        <w:tc>
          <w:tcPr>
            <w:tcW w:w="767" w:type="dxa"/>
            <w:tcBorders>
              <w:top w:val="single" w:sz="4" w:space="0" w:color="auto"/>
              <w:left w:val="single" w:sz="4" w:space="0" w:color="auto"/>
              <w:bottom w:val="single" w:sz="4" w:space="0" w:color="auto"/>
              <w:right w:val="single" w:sz="4" w:space="0" w:color="auto"/>
            </w:tcBorders>
            <w:noWrap/>
            <w:vAlign w:val="center"/>
          </w:tcPr>
          <w:p w14:paraId="6CE832FE"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22F926B2"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4B4E4E35"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161B3567"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22</w:t>
            </w:r>
          </w:p>
        </w:tc>
        <w:tc>
          <w:tcPr>
            <w:tcW w:w="693" w:type="dxa"/>
            <w:tcBorders>
              <w:top w:val="single" w:sz="4" w:space="0" w:color="auto"/>
              <w:left w:val="single" w:sz="4" w:space="0" w:color="auto"/>
              <w:bottom w:val="single" w:sz="4" w:space="0" w:color="auto"/>
              <w:right w:val="single" w:sz="4" w:space="0" w:color="auto"/>
            </w:tcBorders>
            <w:noWrap/>
            <w:vAlign w:val="center"/>
          </w:tcPr>
          <w:p w14:paraId="2CDC6458"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22</w:t>
            </w:r>
          </w:p>
        </w:tc>
      </w:tr>
      <w:tr w:rsidR="008F6AC1" w:rsidRPr="00483F7D" w14:paraId="0551EF99"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B208804" w14:textId="77777777" w:rsidR="008F6AC1" w:rsidRPr="00483F7D" w:rsidRDefault="008F6AC1" w:rsidP="005563C1">
            <w:pPr>
              <w:spacing w:line="276" w:lineRule="auto"/>
              <w:rPr>
                <w:rFonts w:eastAsia="Times New Roman"/>
                <w:color w:val="000000" w:themeColor="text1"/>
                <w:sz w:val="20"/>
                <w:szCs w:val="20"/>
              </w:rPr>
            </w:pPr>
            <w:r w:rsidRPr="00483F7D">
              <w:rPr>
                <w:color w:val="000000" w:themeColor="text1"/>
                <w:sz w:val="20"/>
              </w:rPr>
              <w:t>Δεδομένα και ΤΠ</w:t>
            </w:r>
          </w:p>
        </w:tc>
        <w:tc>
          <w:tcPr>
            <w:tcW w:w="767" w:type="dxa"/>
            <w:tcBorders>
              <w:top w:val="single" w:sz="4" w:space="0" w:color="auto"/>
              <w:left w:val="single" w:sz="4" w:space="0" w:color="auto"/>
              <w:bottom w:val="single" w:sz="4" w:space="0" w:color="auto"/>
              <w:right w:val="single" w:sz="4" w:space="0" w:color="auto"/>
            </w:tcBorders>
            <w:vAlign w:val="center"/>
          </w:tcPr>
          <w:p w14:paraId="0A0EF84B"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w:t>
            </w:r>
          </w:p>
        </w:tc>
        <w:tc>
          <w:tcPr>
            <w:tcW w:w="768" w:type="dxa"/>
            <w:tcBorders>
              <w:top w:val="single" w:sz="4" w:space="0" w:color="auto"/>
              <w:left w:val="single" w:sz="4" w:space="0" w:color="auto"/>
              <w:bottom w:val="single" w:sz="4" w:space="0" w:color="auto"/>
              <w:right w:val="single" w:sz="4" w:space="0" w:color="auto"/>
            </w:tcBorders>
            <w:vAlign w:val="center"/>
          </w:tcPr>
          <w:p w14:paraId="7B580BDE"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4</w:t>
            </w:r>
          </w:p>
        </w:tc>
        <w:tc>
          <w:tcPr>
            <w:tcW w:w="768" w:type="dxa"/>
            <w:tcBorders>
              <w:top w:val="single" w:sz="4" w:space="0" w:color="auto"/>
              <w:left w:val="single" w:sz="4" w:space="0" w:color="auto"/>
              <w:bottom w:val="single" w:sz="4" w:space="0" w:color="auto"/>
              <w:right w:val="single" w:sz="4" w:space="0" w:color="auto"/>
            </w:tcBorders>
            <w:noWrap/>
            <w:vAlign w:val="center"/>
          </w:tcPr>
          <w:p w14:paraId="7BCC2D72"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10</w:t>
            </w:r>
          </w:p>
        </w:tc>
        <w:tc>
          <w:tcPr>
            <w:tcW w:w="768" w:type="dxa"/>
            <w:tcBorders>
              <w:top w:val="single" w:sz="4" w:space="0" w:color="auto"/>
              <w:left w:val="single" w:sz="4" w:space="0" w:color="auto"/>
              <w:bottom w:val="single" w:sz="4" w:space="0" w:color="auto"/>
              <w:right w:val="single" w:sz="4" w:space="0" w:color="auto"/>
            </w:tcBorders>
            <w:noWrap/>
            <w:vAlign w:val="center"/>
          </w:tcPr>
          <w:p w14:paraId="62F85A89"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18</w:t>
            </w:r>
          </w:p>
        </w:tc>
        <w:tc>
          <w:tcPr>
            <w:tcW w:w="767" w:type="dxa"/>
            <w:tcBorders>
              <w:top w:val="single" w:sz="4" w:space="0" w:color="auto"/>
              <w:left w:val="single" w:sz="4" w:space="0" w:color="auto"/>
              <w:bottom w:val="single" w:sz="4" w:space="0" w:color="auto"/>
              <w:right w:val="single" w:sz="4" w:space="0" w:color="auto"/>
            </w:tcBorders>
            <w:noWrap/>
            <w:vAlign w:val="center"/>
          </w:tcPr>
          <w:p w14:paraId="6CB617CD"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40</w:t>
            </w:r>
          </w:p>
        </w:tc>
        <w:tc>
          <w:tcPr>
            <w:tcW w:w="768" w:type="dxa"/>
            <w:tcBorders>
              <w:top w:val="single" w:sz="4" w:space="0" w:color="auto"/>
              <w:left w:val="single" w:sz="4" w:space="0" w:color="auto"/>
              <w:bottom w:val="single" w:sz="4" w:space="0" w:color="auto"/>
              <w:right w:val="single" w:sz="4" w:space="0" w:color="auto"/>
            </w:tcBorders>
            <w:noWrap/>
            <w:vAlign w:val="center"/>
          </w:tcPr>
          <w:p w14:paraId="20BC121B"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65</w:t>
            </w:r>
          </w:p>
        </w:tc>
        <w:tc>
          <w:tcPr>
            <w:tcW w:w="768" w:type="dxa"/>
            <w:tcBorders>
              <w:top w:val="single" w:sz="4" w:space="0" w:color="auto"/>
              <w:left w:val="single" w:sz="4" w:space="0" w:color="auto"/>
              <w:bottom w:val="single" w:sz="4" w:space="0" w:color="auto"/>
              <w:right w:val="single" w:sz="4" w:space="0" w:color="auto"/>
            </w:tcBorders>
            <w:noWrap/>
            <w:vAlign w:val="center"/>
          </w:tcPr>
          <w:p w14:paraId="6A0F4862"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tcPr>
          <w:p w14:paraId="6758C8BE"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105</w:t>
            </w:r>
          </w:p>
        </w:tc>
        <w:tc>
          <w:tcPr>
            <w:tcW w:w="693" w:type="dxa"/>
            <w:tcBorders>
              <w:top w:val="single" w:sz="4" w:space="0" w:color="auto"/>
              <w:left w:val="single" w:sz="4" w:space="0" w:color="auto"/>
              <w:bottom w:val="single" w:sz="4" w:space="0" w:color="auto"/>
              <w:right w:val="single" w:sz="4" w:space="0" w:color="auto"/>
            </w:tcBorders>
            <w:noWrap/>
            <w:vAlign w:val="center"/>
          </w:tcPr>
          <w:p w14:paraId="541A0580"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115</w:t>
            </w:r>
          </w:p>
        </w:tc>
      </w:tr>
      <w:tr w:rsidR="008F6AC1" w:rsidRPr="00483F7D" w14:paraId="3F66D92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336169DE" w14:textId="77777777" w:rsidR="008F6AC1" w:rsidRPr="00483F7D" w:rsidRDefault="008F6AC1" w:rsidP="005563C1">
            <w:pPr>
              <w:spacing w:line="276" w:lineRule="auto"/>
              <w:rPr>
                <w:rFonts w:eastAsia="Times New Roman"/>
                <w:color w:val="000000" w:themeColor="text1"/>
                <w:sz w:val="20"/>
                <w:szCs w:val="20"/>
              </w:rPr>
            </w:pPr>
            <w:r w:rsidRPr="00483F7D">
              <w:rPr>
                <w:color w:val="000000" w:themeColor="text1"/>
                <w:sz w:val="20"/>
              </w:rPr>
              <w:t>Συντονισμός / Ανάπτυξη ικανοτήτων</w:t>
            </w:r>
          </w:p>
        </w:tc>
        <w:tc>
          <w:tcPr>
            <w:tcW w:w="767" w:type="dxa"/>
            <w:tcBorders>
              <w:top w:val="single" w:sz="4" w:space="0" w:color="auto"/>
              <w:left w:val="single" w:sz="4" w:space="0" w:color="auto"/>
              <w:bottom w:val="single" w:sz="4" w:space="0" w:color="auto"/>
              <w:right w:val="single" w:sz="4" w:space="0" w:color="auto"/>
            </w:tcBorders>
            <w:vAlign w:val="center"/>
          </w:tcPr>
          <w:p w14:paraId="3B2746B6" w14:textId="77777777" w:rsidR="008F6AC1" w:rsidRPr="00483F7D" w:rsidRDefault="008F6AC1" w:rsidP="005563C1">
            <w:pPr>
              <w:spacing w:line="276" w:lineRule="auto"/>
              <w:jc w:val="center"/>
              <w:rPr>
                <w:rFonts w:eastAsia="Times New Roman"/>
                <w:color w:val="000000" w:themeColor="text1"/>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14:paraId="6CD07E85"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w:t>
            </w:r>
          </w:p>
        </w:tc>
        <w:tc>
          <w:tcPr>
            <w:tcW w:w="768" w:type="dxa"/>
            <w:tcBorders>
              <w:top w:val="single" w:sz="4" w:space="0" w:color="auto"/>
              <w:left w:val="single" w:sz="4" w:space="0" w:color="auto"/>
              <w:bottom w:val="single" w:sz="4" w:space="0" w:color="auto"/>
              <w:right w:val="single" w:sz="4" w:space="0" w:color="auto"/>
            </w:tcBorders>
            <w:noWrap/>
            <w:vAlign w:val="center"/>
          </w:tcPr>
          <w:p w14:paraId="15929C52"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3483ADC3"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12</w:t>
            </w:r>
          </w:p>
        </w:tc>
        <w:tc>
          <w:tcPr>
            <w:tcW w:w="767" w:type="dxa"/>
            <w:tcBorders>
              <w:top w:val="single" w:sz="4" w:space="0" w:color="auto"/>
              <w:left w:val="single" w:sz="4" w:space="0" w:color="auto"/>
              <w:bottom w:val="single" w:sz="4" w:space="0" w:color="auto"/>
              <w:right w:val="single" w:sz="4" w:space="0" w:color="auto"/>
            </w:tcBorders>
            <w:noWrap/>
            <w:vAlign w:val="center"/>
          </w:tcPr>
          <w:p w14:paraId="3AADDF9E"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28</w:t>
            </w:r>
          </w:p>
        </w:tc>
        <w:tc>
          <w:tcPr>
            <w:tcW w:w="768" w:type="dxa"/>
            <w:tcBorders>
              <w:top w:val="single" w:sz="4" w:space="0" w:color="auto"/>
              <w:left w:val="single" w:sz="4" w:space="0" w:color="auto"/>
              <w:bottom w:val="single" w:sz="4" w:space="0" w:color="auto"/>
              <w:right w:val="single" w:sz="4" w:space="0" w:color="auto"/>
            </w:tcBorders>
            <w:noWrap/>
            <w:vAlign w:val="center"/>
          </w:tcPr>
          <w:p w14:paraId="3B6878B4"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53</w:t>
            </w:r>
          </w:p>
        </w:tc>
        <w:tc>
          <w:tcPr>
            <w:tcW w:w="768" w:type="dxa"/>
            <w:tcBorders>
              <w:top w:val="single" w:sz="4" w:space="0" w:color="auto"/>
              <w:left w:val="single" w:sz="4" w:space="0" w:color="auto"/>
              <w:bottom w:val="single" w:sz="4" w:space="0" w:color="auto"/>
              <w:right w:val="single" w:sz="4" w:space="0" w:color="auto"/>
            </w:tcBorders>
            <w:noWrap/>
            <w:vAlign w:val="center"/>
          </w:tcPr>
          <w:p w14:paraId="31EB7618"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78</w:t>
            </w:r>
          </w:p>
        </w:tc>
        <w:tc>
          <w:tcPr>
            <w:tcW w:w="768" w:type="dxa"/>
            <w:tcBorders>
              <w:top w:val="single" w:sz="4" w:space="0" w:color="auto"/>
              <w:left w:val="single" w:sz="4" w:space="0" w:color="auto"/>
              <w:bottom w:val="single" w:sz="4" w:space="0" w:color="auto"/>
              <w:right w:val="single" w:sz="4" w:space="0" w:color="auto"/>
            </w:tcBorders>
            <w:noWrap/>
            <w:vAlign w:val="center"/>
          </w:tcPr>
          <w:p w14:paraId="311E555B"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103</w:t>
            </w:r>
          </w:p>
        </w:tc>
        <w:tc>
          <w:tcPr>
            <w:tcW w:w="693" w:type="dxa"/>
            <w:tcBorders>
              <w:top w:val="single" w:sz="4" w:space="0" w:color="auto"/>
              <w:left w:val="single" w:sz="4" w:space="0" w:color="auto"/>
              <w:bottom w:val="single" w:sz="4" w:space="0" w:color="auto"/>
              <w:right w:val="single" w:sz="4" w:space="0" w:color="auto"/>
            </w:tcBorders>
            <w:noWrap/>
            <w:vAlign w:val="center"/>
          </w:tcPr>
          <w:p w14:paraId="73BD4757" w14:textId="77777777" w:rsidR="008F6AC1" w:rsidRPr="00483F7D" w:rsidRDefault="008F6AC1" w:rsidP="005563C1">
            <w:pPr>
              <w:spacing w:line="276" w:lineRule="auto"/>
              <w:jc w:val="center"/>
              <w:rPr>
                <w:rFonts w:eastAsia="Times New Roman"/>
                <w:color w:val="000000" w:themeColor="text1"/>
                <w:sz w:val="20"/>
                <w:szCs w:val="20"/>
              </w:rPr>
            </w:pPr>
            <w:r w:rsidRPr="00483F7D">
              <w:rPr>
                <w:color w:val="000000" w:themeColor="text1"/>
                <w:sz w:val="20"/>
              </w:rPr>
              <w:t>113</w:t>
            </w:r>
          </w:p>
        </w:tc>
      </w:tr>
    </w:tbl>
    <w:p w14:paraId="67A59371" w14:textId="77777777" w:rsidR="008F6AC1" w:rsidRPr="00483F7D" w:rsidRDefault="008F6AC1" w:rsidP="008F6AC1">
      <w:pPr>
        <w:rPr>
          <w:noProof/>
        </w:rPr>
      </w:pPr>
      <w:r w:rsidRPr="00483F7D">
        <w:t xml:space="preserve">Τα προφίλ </w:t>
      </w:r>
      <w:r w:rsidRPr="00483F7D">
        <w:rPr>
          <w:b/>
        </w:rPr>
        <w:t>διοίκησης</w:t>
      </w:r>
      <w:r w:rsidRPr="00483F7D">
        <w:t xml:space="preserve"> θα αφορούν θέματα όπως οι ανθρώπινοι πόροι, τα οικονομικά, η λογιστική, οι νομικές υποθέσεις, οι επικοινωνίες, ο ποιοτικός λογιστικός και λοιπός έλεγχος, η διοικητική υποστήριξη των ανώτερων στελεχών, η ΤΠ της EUCA και η εφοδιαστική.</w:t>
      </w:r>
    </w:p>
    <w:p w14:paraId="561653EE" w14:textId="77777777" w:rsidR="008F6AC1" w:rsidRPr="00483F7D" w:rsidRDefault="008F6AC1" w:rsidP="008F6AC1">
      <w:pPr>
        <w:rPr>
          <w:noProof/>
        </w:rPr>
      </w:pPr>
      <w:r w:rsidRPr="00483F7D">
        <w:t xml:space="preserve">Τα προφίλ </w:t>
      </w:r>
      <w:r w:rsidRPr="00483F7D">
        <w:rPr>
          <w:b/>
        </w:rPr>
        <w:t xml:space="preserve">δεδομένων και ΤΠ </w:t>
      </w:r>
      <w:r w:rsidRPr="00483F7D">
        <w:t>θα αφορούν τον τελωνειακό κόμβο δεδομένων της ΕΕ, συμπεριλαμβανομένης της διαχείρισης της ανάπτυξης, των εργασιών και των υποδομών ΤΠ, των έργων δεδομένων και της διαχείρισής τους και της διακυβέρνησής τους.</w:t>
      </w:r>
    </w:p>
    <w:p w14:paraId="319EB14C" w14:textId="77777777" w:rsidR="008F6AC1" w:rsidRPr="00483F7D" w:rsidRDefault="008F6AC1" w:rsidP="008F6AC1">
      <w:pPr>
        <w:rPr>
          <w:noProof/>
        </w:rPr>
      </w:pPr>
      <w:r w:rsidRPr="00483F7D">
        <w:t xml:space="preserve">Τα προφίλ </w:t>
      </w:r>
      <w:r w:rsidRPr="00483F7D">
        <w:rPr>
          <w:b/>
        </w:rPr>
        <w:t xml:space="preserve">συντονισμού και ανάπτυξης ικανοτήτων </w:t>
      </w:r>
      <w:r w:rsidRPr="00483F7D">
        <w:t>θα αφορούν τον επιχειρησιακό συντονισμό των εργασιών στις οποίες συμμετέχουν τα τελωνεία των κρατών μελών και τη συνεργασία με άλλους εξωτερικούς εμπειρογνώμονες, σε τομείς όπως η διαχείριση κινδύνων, η διαχείριση κρίσεων, η συνεργασία με άλλες μη τελωνειακές αρχές, η κατάρτιση και καθοδήγηση σχετικά με κοινές μεθόδους και διαδικασίες εργασίας, και ο συντονισμός των επιχειρησιακών εργασιών, καθώς και η μέτρηση των επιδόσεων, η παρακολούθηση, η έρευνα και η καινοτομία, οι κοινοί έλεγχοι και η υποστήριξη του εξοπλισμού ελέγχου.</w:t>
      </w:r>
    </w:p>
    <w:bookmarkEnd w:id="351"/>
    <w:p w14:paraId="3004704D" w14:textId="77777777" w:rsidR="008F6AC1" w:rsidRPr="00483F7D" w:rsidRDefault="008F6AC1" w:rsidP="008F6AC1">
      <w:pPr>
        <w:rPr>
          <w:noProof/>
          <w:szCs w:val="24"/>
        </w:rPr>
      </w:pPr>
      <w:r w:rsidRPr="00483F7D">
        <w:t>Τα ΙΠΑ στρογγυλοποιούνται προς τον πλησιέστερο ακέραιο.</w:t>
      </w:r>
    </w:p>
    <w:p w14:paraId="3554FC96" w14:textId="77777777" w:rsidR="008F6AC1" w:rsidRPr="00483F7D" w:rsidRDefault="008F6AC1" w:rsidP="008F6AC1">
      <w:pPr>
        <w:rPr>
          <w:noProof/>
        </w:rPr>
        <w:sectPr w:rsidR="008F6AC1" w:rsidRPr="00483F7D" w:rsidSect="00483F7D">
          <w:headerReference w:type="default" r:id="rId34"/>
          <w:footerReference w:type="default" r:id="rId35"/>
          <w:headerReference w:type="first" r:id="rId36"/>
          <w:footerReference w:type="first" r:id="rId37"/>
          <w:footnotePr>
            <w:numRestart w:val="eachSect"/>
          </w:footnotePr>
          <w:pgSz w:w="11907" w:h="16839"/>
          <w:pgMar w:top="1134" w:right="1417" w:bottom="1134" w:left="1417" w:header="709" w:footer="709" w:gutter="0"/>
          <w:cols w:space="720"/>
          <w:docGrid w:linePitch="326"/>
        </w:sectPr>
      </w:pPr>
    </w:p>
    <w:p w14:paraId="186ACC54" w14:textId="77777777" w:rsidR="008F6AC1" w:rsidRPr="00483F7D" w:rsidRDefault="008F6AC1" w:rsidP="008F6AC1">
      <w:pPr>
        <w:pStyle w:val="ManualHeading4"/>
        <w:rPr>
          <w:bCs/>
          <w:noProof/>
          <w:szCs w:val="24"/>
        </w:rPr>
      </w:pPr>
      <w:r w:rsidRPr="00483F7D">
        <w:t>3.2.3.2.</w:t>
      </w:r>
      <w:r w:rsidRPr="00483F7D">
        <w:tab/>
        <w:t>Εκτιμώμενες ανάγκες σε ανθρώπινους πόρους για την αρμόδια ΓΔ</w:t>
      </w:r>
    </w:p>
    <w:p w14:paraId="542D7114" w14:textId="77777777" w:rsidR="008F6AC1" w:rsidRPr="00483F7D" w:rsidRDefault="008F6AC1" w:rsidP="00CF7E35">
      <w:pPr>
        <w:pStyle w:val="ListDash1"/>
        <w:numPr>
          <w:ilvl w:val="0"/>
          <w:numId w:val="38"/>
        </w:numPr>
        <w:rPr>
          <w:noProof/>
        </w:rPr>
      </w:pPr>
      <w:r w:rsidRPr="00483F7D">
        <w:sym w:font="Wingdings" w:char="F0A8"/>
      </w:r>
      <w:r w:rsidRPr="00483F7D">
        <w:tab/>
        <w:t xml:space="preserve">Η πρόταση/πρωτοβουλία δεν συνεπάγεται τη χρησιμοποίηση ανθρώπινων πόρων. </w:t>
      </w:r>
    </w:p>
    <w:p w14:paraId="6E57FFCD" w14:textId="77777777" w:rsidR="008F6AC1" w:rsidRPr="00483F7D" w:rsidRDefault="008F6AC1" w:rsidP="00CF7E35">
      <w:pPr>
        <w:pStyle w:val="ListDash1"/>
        <w:numPr>
          <w:ilvl w:val="0"/>
          <w:numId w:val="38"/>
        </w:numPr>
        <w:rPr>
          <w:noProof/>
        </w:rPr>
      </w:pPr>
      <w:r w:rsidRPr="00483F7D">
        <w:rPr>
          <w:b/>
        </w:rPr>
        <w:t>X</w:t>
      </w:r>
      <w:r w:rsidRPr="00483F7D">
        <w:t xml:space="preserve"> Η πρόταση/πρωτοβουλία συνεπάγεται τη χρησιμοποίηση ανθρώπινων πόρων, όπως εξηγείται κατωτέρω:</w:t>
      </w:r>
    </w:p>
    <w:p w14:paraId="40FD5F1F" w14:textId="77777777" w:rsidR="008F6AC1" w:rsidRPr="00483F7D" w:rsidRDefault="008F6AC1" w:rsidP="008F6AC1">
      <w:pPr>
        <w:spacing w:after="60"/>
        <w:jc w:val="right"/>
        <w:rPr>
          <w:i/>
          <w:noProof/>
          <w:sz w:val="20"/>
        </w:rPr>
      </w:pPr>
      <w:r w:rsidRPr="00483F7D">
        <w:rPr>
          <w:i/>
          <w:sz w:val="20"/>
        </w:rPr>
        <w:t>Εκτίμηση η οποία πρέπει να εκφράζεται σε ακέραιο αριθμό (ή το πολύ με ένα δεκαδικό ψηφίο)</w:t>
      </w:r>
    </w:p>
    <w:tbl>
      <w:tblPr>
        <w:tblW w:w="4637"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96"/>
        <w:gridCol w:w="2734"/>
        <w:gridCol w:w="1478"/>
        <w:gridCol w:w="1805"/>
      </w:tblGrid>
      <w:tr w:rsidR="008F6AC1" w:rsidRPr="00483F7D" w14:paraId="5761C51D" w14:textId="77777777" w:rsidTr="005563C1">
        <w:trPr>
          <w:trHeight w:val="273"/>
        </w:trPr>
        <w:tc>
          <w:tcPr>
            <w:tcW w:w="3094" w:type="pct"/>
            <w:gridSpan w:val="2"/>
            <w:shd w:val="clear" w:color="auto" w:fill="auto"/>
          </w:tcPr>
          <w:p w14:paraId="533707A5" w14:textId="77777777" w:rsidR="008F6AC1" w:rsidRPr="00483F7D" w:rsidRDefault="008F6AC1" w:rsidP="005563C1">
            <w:pPr>
              <w:pStyle w:val="Text1"/>
              <w:spacing w:before="40" w:after="40"/>
              <w:ind w:left="0"/>
              <w:jc w:val="center"/>
              <w:rPr>
                <w:i/>
                <w:noProof/>
                <w:sz w:val="20"/>
              </w:rPr>
            </w:pPr>
          </w:p>
        </w:tc>
        <w:tc>
          <w:tcPr>
            <w:tcW w:w="858" w:type="pct"/>
            <w:shd w:val="clear" w:color="auto" w:fill="EEECE1" w:themeFill="background2"/>
            <w:vAlign w:val="center"/>
          </w:tcPr>
          <w:p w14:paraId="012D278D" w14:textId="77777777" w:rsidR="008F6AC1" w:rsidRPr="00483F7D" w:rsidRDefault="008F6AC1" w:rsidP="005563C1">
            <w:pPr>
              <w:spacing w:before="20" w:after="20"/>
              <w:jc w:val="center"/>
              <w:rPr>
                <w:noProof/>
                <w:sz w:val="20"/>
              </w:rPr>
            </w:pPr>
            <w:r w:rsidRPr="00483F7D">
              <w:rPr>
                <w:sz w:val="20"/>
              </w:rPr>
              <w:t>2026</w:t>
            </w:r>
          </w:p>
        </w:tc>
        <w:tc>
          <w:tcPr>
            <w:tcW w:w="1048" w:type="pct"/>
            <w:shd w:val="clear" w:color="auto" w:fill="EEECE1" w:themeFill="background2"/>
            <w:vAlign w:val="center"/>
          </w:tcPr>
          <w:p w14:paraId="3C530133" w14:textId="77777777" w:rsidR="008F6AC1" w:rsidRPr="00483F7D" w:rsidRDefault="008F6AC1" w:rsidP="005563C1">
            <w:pPr>
              <w:spacing w:before="20" w:after="20"/>
              <w:jc w:val="center"/>
              <w:rPr>
                <w:noProof/>
                <w:sz w:val="20"/>
              </w:rPr>
            </w:pPr>
            <w:r w:rsidRPr="00483F7D">
              <w:rPr>
                <w:sz w:val="20"/>
              </w:rPr>
              <w:t>2027</w:t>
            </w:r>
          </w:p>
        </w:tc>
      </w:tr>
      <w:tr w:rsidR="008F6AC1" w:rsidRPr="00483F7D" w14:paraId="093D4AE0" w14:textId="77777777" w:rsidTr="005563C1">
        <w:trPr>
          <w:trHeight w:val="273"/>
        </w:trPr>
        <w:tc>
          <w:tcPr>
            <w:tcW w:w="3094" w:type="pct"/>
            <w:gridSpan w:val="2"/>
            <w:shd w:val="clear" w:color="auto" w:fill="auto"/>
            <w:vAlign w:val="center"/>
          </w:tcPr>
          <w:p w14:paraId="5CD3C8B1" w14:textId="77777777" w:rsidR="008F6AC1" w:rsidRPr="00483F7D" w:rsidRDefault="008F6AC1" w:rsidP="00CF7E35">
            <w:pPr>
              <w:pStyle w:val="Text1"/>
              <w:numPr>
                <w:ilvl w:val="0"/>
                <w:numId w:val="40"/>
              </w:numPr>
              <w:tabs>
                <w:tab w:val="left" w:pos="208"/>
              </w:tabs>
              <w:spacing w:beforeLines="20" w:before="48" w:afterLines="20" w:after="48"/>
              <w:ind w:left="208" w:hanging="120"/>
              <w:jc w:val="left"/>
              <w:rPr>
                <w:b/>
                <w:noProof/>
                <w:sz w:val="20"/>
              </w:rPr>
            </w:pPr>
            <w:r w:rsidRPr="00483F7D">
              <w:rPr>
                <w:b/>
                <w:sz w:val="20"/>
              </w:rPr>
              <w:t>Θέσεις απασχόλησης του πίνακα προσωπικού (θέσεις μόνιμων και έκτακτων υπαλλήλων)</w:t>
            </w:r>
          </w:p>
        </w:tc>
        <w:tc>
          <w:tcPr>
            <w:tcW w:w="858" w:type="pct"/>
            <w:shd w:val="clear" w:color="auto" w:fill="auto"/>
            <w:vAlign w:val="center"/>
          </w:tcPr>
          <w:p w14:paraId="43C7225D"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497E317C" w14:textId="77777777" w:rsidR="008F6AC1" w:rsidRPr="00483F7D" w:rsidRDefault="008F6AC1" w:rsidP="005563C1">
            <w:pPr>
              <w:spacing w:beforeLines="20" w:before="48" w:afterLines="20" w:after="48"/>
              <w:jc w:val="center"/>
              <w:rPr>
                <w:noProof/>
                <w:sz w:val="20"/>
              </w:rPr>
            </w:pPr>
          </w:p>
        </w:tc>
      </w:tr>
      <w:tr w:rsidR="008F6AC1" w:rsidRPr="00483F7D" w14:paraId="31F2C9D3" w14:textId="77777777" w:rsidTr="005563C1">
        <w:trPr>
          <w:trHeight w:val="273"/>
        </w:trPr>
        <w:tc>
          <w:tcPr>
            <w:tcW w:w="3094" w:type="pct"/>
            <w:gridSpan w:val="2"/>
            <w:shd w:val="clear" w:color="auto" w:fill="auto"/>
            <w:vAlign w:val="center"/>
          </w:tcPr>
          <w:p w14:paraId="0F6E2B46" w14:textId="77777777" w:rsidR="008F6AC1" w:rsidRPr="00483F7D" w:rsidRDefault="008F6AC1" w:rsidP="005563C1">
            <w:pPr>
              <w:rPr>
                <w:b/>
                <w:noProof/>
                <w:sz w:val="18"/>
                <w:szCs w:val="16"/>
              </w:rPr>
            </w:pPr>
            <w:r w:rsidRPr="00483F7D">
              <w:rPr>
                <w:sz w:val="18"/>
              </w:rPr>
              <w:t>20 01 02 01 και 20 01 02 02 (έδρα και αντιπροσωπείες της Επιτροπής)</w:t>
            </w:r>
          </w:p>
        </w:tc>
        <w:tc>
          <w:tcPr>
            <w:tcW w:w="858" w:type="pct"/>
            <w:shd w:val="clear" w:color="auto" w:fill="auto"/>
            <w:vAlign w:val="center"/>
          </w:tcPr>
          <w:p w14:paraId="107EE33D" w14:textId="77777777" w:rsidR="008F6AC1" w:rsidRPr="00483F7D" w:rsidRDefault="008F6AC1" w:rsidP="005563C1">
            <w:pPr>
              <w:spacing w:beforeLines="20" w:before="48" w:afterLines="20" w:after="48"/>
              <w:jc w:val="center"/>
              <w:rPr>
                <w:noProof/>
                <w:sz w:val="20"/>
              </w:rPr>
            </w:pPr>
            <w:r w:rsidRPr="00483F7D">
              <w:rPr>
                <w:sz w:val="20"/>
              </w:rPr>
              <w:t>+3</w:t>
            </w:r>
          </w:p>
        </w:tc>
        <w:tc>
          <w:tcPr>
            <w:tcW w:w="1048" w:type="pct"/>
            <w:shd w:val="clear" w:color="auto" w:fill="auto"/>
            <w:vAlign w:val="center"/>
          </w:tcPr>
          <w:p w14:paraId="6EE06796" w14:textId="77777777" w:rsidR="008F6AC1" w:rsidRPr="00483F7D" w:rsidRDefault="008F6AC1" w:rsidP="005563C1">
            <w:pPr>
              <w:spacing w:beforeLines="20" w:before="48" w:afterLines="20" w:after="48"/>
              <w:jc w:val="center"/>
              <w:rPr>
                <w:noProof/>
                <w:sz w:val="20"/>
              </w:rPr>
            </w:pPr>
            <w:r w:rsidRPr="00483F7D">
              <w:rPr>
                <w:sz w:val="20"/>
              </w:rPr>
              <w:t>+7</w:t>
            </w:r>
          </w:p>
        </w:tc>
      </w:tr>
      <w:tr w:rsidR="008F6AC1" w:rsidRPr="00483F7D" w14:paraId="42DFCE08" w14:textId="77777777" w:rsidTr="005563C1">
        <w:trPr>
          <w:trHeight w:val="273"/>
        </w:trPr>
        <w:tc>
          <w:tcPr>
            <w:tcW w:w="3094" w:type="pct"/>
            <w:gridSpan w:val="2"/>
            <w:shd w:val="clear" w:color="auto" w:fill="auto"/>
            <w:vAlign w:val="center"/>
          </w:tcPr>
          <w:p w14:paraId="4A355F85" w14:textId="77777777" w:rsidR="008F6AC1" w:rsidRPr="00483F7D" w:rsidRDefault="008F6AC1" w:rsidP="005563C1">
            <w:pPr>
              <w:rPr>
                <w:noProof/>
                <w:sz w:val="18"/>
                <w:szCs w:val="16"/>
              </w:rPr>
            </w:pPr>
            <w:r w:rsidRPr="00483F7D">
              <w:rPr>
                <w:sz w:val="18"/>
              </w:rPr>
              <w:t>20 01 02 03 (αντιπροσωπείες της ΕΕ)</w:t>
            </w:r>
          </w:p>
        </w:tc>
        <w:tc>
          <w:tcPr>
            <w:tcW w:w="858" w:type="pct"/>
            <w:shd w:val="clear" w:color="auto" w:fill="auto"/>
            <w:vAlign w:val="center"/>
          </w:tcPr>
          <w:p w14:paraId="7C9E502C"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6076A689" w14:textId="77777777" w:rsidR="008F6AC1" w:rsidRPr="00483F7D" w:rsidRDefault="008F6AC1" w:rsidP="005563C1">
            <w:pPr>
              <w:spacing w:beforeLines="20" w:before="48" w:afterLines="20" w:after="48"/>
              <w:jc w:val="center"/>
              <w:rPr>
                <w:noProof/>
                <w:sz w:val="20"/>
              </w:rPr>
            </w:pPr>
          </w:p>
        </w:tc>
      </w:tr>
      <w:tr w:rsidR="008F6AC1" w:rsidRPr="00483F7D" w14:paraId="1D300106" w14:textId="77777777" w:rsidTr="005563C1">
        <w:trPr>
          <w:trHeight w:val="316"/>
        </w:trPr>
        <w:tc>
          <w:tcPr>
            <w:tcW w:w="3094" w:type="pct"/>
            <w:gridSpan w:val="2"/>
            <w:shd w:val="clear" w:color="auto" w:fill="auto"/>
            <w:vAlign w:val="center"/>
          </w:tcPr>
          <w:p w14:paraId="1EEFD0D7" w14:textId="77777777" w:rsidR="008F6AC1" w:rsidRPr="00483F7D" w:rsidRDefault="008F6AC1" w:rsidP="005563C1">
            <w:pPr>
              <w:rPr>
                <w:noProof/>
                <w:sz w:val="18"/>
                <w:szCs w:val="16"/>
              </w:rPr>
            </w:pPr>
            <w:r w:rsidRPr="00483F7D">
              <w:rPr>
                <w:sz w:val="18"/>
              </w:rPr>
              <w:t>01 01 01 01 (έμμεση έρευνα)</w:t>
            </w:r>
          </w:p>
        </w:tc>
        <w:tc>
          <w:tcPr>
            <w:tcW w:w="858" w:type="pct"/>
            <w:shd w:val="clear" w:color="auto" w:fill="auto"/>
            <w:vAlign w:val="center"/>
          </w:tcPr>
          <w:p w14:paraId="712B89F7"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2E58BBF9" w14:textId="77777777" w:rsidR="008F6AC1" w:rsidRPr="00483F7D" w:rsidRDefault="008F6AC1" w:rsidP="005563C1">
            <w:pPr>
              <w:spacing w:beforeLines="20" w:before="48" w:afterLines="20" w:after="48"/>
              <w:jc w:val="center"/>
              <w:rPr>
                <w:noProof/>
                <w:sz w:val="20"/>
              </w:rPr>
            </w:pPr>
          </w:p>
        </w:tc>
      </w:tr>
      <w:tr w:rsidR="008F6AC1" w:rsidRPr="00483F7D" w14:paraId="5AB5F630" w14:textId="77777777" w:rsidTr="005563C1">
        <w:trPr>
          <w:trHeight w:val="273"/>
        </w:trPr>
        <w:tc>
          <w:tcPr>
            <w:tcW w:w="3094" w:type="pct"/>
            <w:gridSpan w:val="2"/>
            <w:shd w:val="clear" w:color="auto" w:fill="auto"/>
            <w:vAlign w:val="center"/>
          </w:tcPr>
          <w:p w14:paraId="55A3F42F" w14:textId="77777777" w:rsidR="008F6AC1" w:rsidRPr="00483F7D" w:rsidRDefault="008F6AC1" w:rsidP="005563C1">
            <w:pPr>
              <w:rPr>
                <w:noProof/>
                <w:sz w:val="18"/>
                <w:szCs w:val="16"/>
              </w:rPr>
            </w:pPr>
            <w:r w:rsidRPr="00483F7D">
              <w:rPr>
                <w:sz w:val="18"/>
              </w:rPr>
              <w:t>10 01 05 01 (άμεση έρευνα)</w:t>
            </w:r>
          </w:p>
        </w:tc>
        <w:tc>
          <w:tcPr>
            <w:tcW w:w="858" w:type="pct"/>
            <w:shd w:val="clear" w:color="auto" w:fill="auto"/>
            <w:vAlign w:val="center"/>
          </w:tcPr>
          <w:p w14:paraId="0DDB80F9"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38EF9864" w14:textId="77777777" w:rsidR="008F6AC1" w:rsidRPr="00483F7D" w:rsidRDefault="008F6AC1" w:rsidP="005563C1">
            <w:pPr>
              <w:spacing w:beforeLines="20" w:before="48" w:afterLines="20" w:after="48"/>
              <w:jc w:val="center"/>
              <w:rPr>
                <w:noProof/>
                <w:sz w:val="20"/>
              </w:rPr>
            </w:pPr>
          </w:p>
        </w:tc>
      </w:tr>
      <w:tr w:rsidR="008F6AC1" w:rsidRPr="00483F7D" w14:paraId="087BF6BA" w14:textId="77777777" w:rsidTr="005563C1">
        <w:trPr>
          <w:trHeight w:val="273"/>
        </w:trPr>
        <w:tc>
          <w:tcPr>
            <w:tcW w:w="3094" w:type="pct"/>
            <w:gridSpan w:val="2"/>
            <w:shd w:val="clear" w:color="auto" w:fill="auto"/>
            <w:vAlign w:val="center"/>
          </w:tcPr>
          <w:p w14:paraId="11B282AE" w14:textId="77777777" w:rsidR="008F6AC1" w:rsidRPr="00483F7D" w:rsidRDefault="008F6AC1" w:rsidP="005563C1">
            <w:pPr>
              <w:pStyle w:val="Text1"/>
              <w:spacing w:beforeLines="20" w:before="48" w:afterLines="20" w:after="48"/>
              <w:ind w:left="208" w:hanging="120"/>
              <w:jc w:val="left"/>
              <w:rPr>
                <w:noProof/>
                <w:sz w:val="20"/>
              </w:rPr>
            </w:pPr>
            <w:r w:rsidRPr="00483F7D">
              <w:rPr>
                <w:b/>
                <w:sz w:val="20"/>
              </w:rPr>
              <w:sym w:font="Wingdings" w:char="F09F"/>
            </w:r>
            <w:r w:rsidRPr="00483F7D">
              <w:rPr>
                <w:b/>
                <w:sz w:val="20"/>
              </w:rPr>
              <w:t xml:space="preserve"> Εξωτερικό προσωπικό (σε μονάδα ισοδυνάμου πλήρους απασχόλησης: ΙΠΑ)</w:t>
            </w:r>
            <w:r w:rsidRPr="00483F7D">
              <w:rPr>
                <w:rStyle w:val="FootnoteReference"/>
                <w:b/>
                <w:noProof/>
                <w:sz w:val="20"/>
              </w:rPr>
              <w:footnoteReference w:id="95"/>
            </w:r>
          </w:p>
        </w:tc>
        <w:tc>
          <w:tcPr>
            <w:tcW w:w="858" w:type="pct"/>
            <w:shd w:val="clear" w:color="auto" w:fill="auto"/>
            <w:vAlign w:val="center"/>
          </w:tcPr>
          <w:p w14:paraId="084C0EA1"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68D9D98D" w14:textId="77777777" w:rsidR="008F6AC1" w:rsidRPr="00483F7D" w:rsidRDefault="008F6AC1" w:rsidP="005563C1">
            <w:pPr>
              <w:spacing w:beforeLines="20" w:before="48" w:afterLines="20" w:after="48"/>
              <w:jc w:val="center"/>
              <w:rPr>
                <w:noProof/>
                <w:sz w:val="20"/>
              </w:rPr>
            </w:pPr>
          </w:p>
        </w:tc>
      </w:tr>
      <w:tr w:rsidR="008F6AC1" w:rsidRPr="00483F7D" w14:paraId="4451B62A" w14:textId="77777777" w:rsidTr="005563C1">
        <w:trPr>
          <w:trHeight w:val="273"/>
        </w:trPr>
        <w:tc>
          <w:tcPr>
            <w:tcW w:w="3094" w:type="pct"/>
            <w:gridSpan w:val="2"/>
            <w:shd w:val="clear" w:color="auto" w:fill="auto"/>
            <w:vAlign w:val="center"/>
          </w:tcPr>
          <w:p w14:paraId="16B504C1" w14:textId="77777777" w:rsidR="008F6AC1" w:rsidRPr="00483F7D" w:rsidRDefault="008F6AC1" w:rsidP="005563C1">
            <w:pPr>
              <w:rPr>
                <w:b/>
                <w:noProof/>
                <w:sz w:val="18"/>
                <w:szCs w:val="16"/>
              </w:rPr>
            </w:pPr>
            <w:r w:rsidRPr="00483F7D">
              <w:rPr>
                <w:sz w:val="18"/>
              </w:rPr>
              <w:t>20 02 01 (AC, END, INT από το συνολικό κονδύλιο)</w:t>
            </w:r>
          </w:p>
        </w:tc>
        <w:tc>
          <w:tcPr>
            <w:tcW w:w="858" w:type="pct"/>
            <w:shd w:val="clear" w:color="auto" w:fill="auto"/>
            <w:vAlign w:val="center"/>
          </w:tcPr>
          <w:p w14:paraId="39842905" w14:textId="77777777" w:rsidR="008F6AC1" w:rsidRPr="00483F7D" w:rsidRDefault="008F6AC1" w:rsidP="005563C1">
            <w:pPr>
              <w:spacing w:beforeLines="20" w:before="48" w:afterLines="20" w:after="48"/>
              <w:jc w:val="center"/>
              <w:rPr>
                <w:noProof/>
                <w:sz w:val="20"/>
              </w:rPr>
            </w:pPr>
            <w:r w:rsidRPr="00483F7D">
              <w:rPr>
                <w:sz w:val="20"/>
              </w:rPr>
              <w:t>+2</w:t>
            </w:r>
          </w:p>
        </w:tc>
        <w:tc>
          <w:tcPr>
            <w:tcW w:w="1048" w:type="pct"/>
            <w:shd w:val="clear" w:color="auto" w:fill="auto"/>
            <w:vAlign w:val="center"/>
          </w:tcPr>
          <w:p w14:paraId="1E26748B" w14:textId="77777777" w:rsidR="008F6AC1" w:rsidRPr="00483F7D" w:rsidRDefault="008F6AC1" w:rsidP="005563C1">
            <w:pPr>
              <w:spacing w:beforeLines="20" w:before="48" w:afterLines="20" w:after="48"/>
              <w:jc w:val="center"/>
              <w:rPr>
                <w:noProof/>
                <w:sz w:val="20"/>
              </w:rPr>
            </w:pPr>
            <w:r w:rsidRPr="00483F7D">
              <w:rPr>
                <w:sz w:val="20"/>
              </w:rPr>
              <w:t>+3</w:t>
            </w:r>
          </w:p>
        </w:tc>
      </w:tr>
      <w:tr w:rsidR="008F6AC1" w:rsidRPr="00483F7D" w14:paraId="1C454E2B" w14:textId="77777777" w:rsidTr="005563C1">
        <w:trPr>
          <w:trHeight w:val="273"/>
        </w:trPr>
        <w:tc>
          <w:tcPr>
            <w:tcW w:w="3094" w:type="pct"/>
            <w:gridSpan w:val="2"/>
            <w:shd w:val="clear" w:color="auto" w:fill="auto"/>
            <w:vAlign w:val="center"/>
          </w:tcPr>
          <w:p w14:paraId="0DC62F8B" w14:textId="77777777" w:rsidR="008F6AC1" w:rsidRPr="00483F7D" w:rsidRDefault="008F6AC1" w:rsidP="005563C1">
            <w:pPr>
              <w:rPr>
                <w:noProof/>
                <w:sz w:val="18"/>
                <w:szCs w:val="16"/>
              </w:rPr>
            </w:pPr>
            <w:r w:rsidRPr="00483F7D">
              <w:rPr>
                <w:sz w:val="18"/>
              </w:rPr>
              <w:t>20 02 03 (AC, AL, END, INT και JPD στις αντιπροσωπείες της ΕΕ)</w:t>
            </w:r>
          </w:p>
        </w:tc>
        <w:tc>
          <w:tcPr>
            <w:tcW w:w="858" w:type="pct"/>
            <w:shd w:val="clear" w:color="auto" w:fill="auto"/>
            <w:vAlign w:val="center"/>
          </w:tcPr>
          <w:p w14:paraId="071AA983"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24E5BB0B" w14:textId="77777777" w:rsidR="008F6AC1" w:rsidRPr="00483F7D" w:rsidRDefault="008F6AC1" w:rsidP="005563C1">
            <w:pPr>
              <w:spacing w:beforeLines="20" w:before="48" w:afterLines="20" w:after="48"/>
              <w:jc w:val="center"/>
              <w:rPr>
                <w:noProof/>
                <w:sz w:val="20"/>
              </w:rPr>
            </w:pPr>
          </w:p>
        </w:tc>
      </w:tr>
      <w:tr w:rsidR="008F6AC1" w:rsidRPr="00483F7D" w14:paraId="6452C5E9" w14:textId="77777777" w:rsidTr="005563C1">
        <w:trPr>
          <w:trHeight w:val="593"/>
        </w:trPr>
        <w:tc>
          <w:tcPr>
            <w:tcW w:w="1507" w:type="pct"/>
            <w:vMerge w:val="restart"/>
            <w:shd w:val="clear" w:color="auto" w:fill="auto"/>
            <w:vAlign w:val="center"/>
          </w:tcPr>
          <w:p w14:paraId="29D491CD" w14:textId="77777777" w:rsidR="008F6AC1" w:rsidRPr="00483F7D" w:rsidRDefault="008F6AC1" w:rsidP="005563C1">
            <w:pPr>
              <w:rPr>
                <w:b/>
                <w:noProof/>
                <w:sz w:val="18"/>
                <w:szCs w:val="16"/>
              </w:rPr>
            </w:pPr>
            <w:r w:rsidRPr="00483F7D">
              <w:rPr>
                <w:sz w:val="18"/>
              </w:rPr>
              <w:t>Γραμμές του προϋπολογισμού (να προσδιοριστούν)</w:t>
            </w:r>
            <w:r w:rsidRPr="00483F7D">
              <w:rPr>
                <w:rStyle w:val="FootnoteReference"/>
                <w:noProof/>
                <w:sz w:val="18"/>
                <w:szCs w:val="16"/>
              </w:rPr>
              <w:footnoteReference w:id="96"/>
            </w:r>
          </w:p>
        </w:tc>
        <w:tc>
          <w:tcPr>
            <w:tcW w:w="1587" w:type="pct"/>
            <w:shd w:val="clear" w:color="auto" w:fill="auto"/>
            <w:vAlign w:val="center"/>
          </w:tcPr>
          <w:p w14:paraId="5AEA3891" w14:textId="77777777" w:rsidR="008F6AC1" w:rsidRPr="00483F7D" w:rsidRDefault="008F6AC1" w:rsidP="005563C1">
            <w:pPr>
              <w:rPr>
                <w:b/>
                <w:noProof/>
                <w:sz w:val="16"/>
                <w:szCs w:val="16"/>
              </w:rPr>
            </w:pPr>
            <w:r w:rsidRPr="00483F7D">
              <w:rPr>
                <w:sz w:val="16"/>
              </w:rPr>
              <w:t>- στην έδρα</w:t>
            </w:r>
            <w:r w:rsidRPr="00483F7D">
              <w:rPr>
                <w:rStyle w:val="FootnoteReference"/>
                <w:noProof/>
                <w:sz w:val="16"/>
                <w:szCs w:val="16"/>
              </w:rPr>
              <w:footnoteReference w:id="97"/>
            </w:r>
          </w:p>
        </w:tc>
        <w:tc>
          <w:tcPr>
            <w:tcW w:w="858" w:type="pct"/>
            <w:shd w:val="clear" w:color="auto" w:fill="auto"/>
            <w:vAlign w:val="center"/>
          </w:tcPr>
          <w:p w14:paraId="6688FD5F" w14:textId="77777777" w:rsidR="008F6AC1" w:rsidRPr="00483F7D" w:rsidRDefault="008F6AC1" w:rsidP="005563C1">
            <w:pPr>
              <w:pStyle w:val="Text1"/>
              <w:spacing w:beforeLines="20" w:before="48" w:afterLines="20" w:after="48"/>
              <w:rPr>
                <w:noProof/>
                <w:sz w:val="20"/>
              </w:rPr>
            </w:pPr>
          </w:p>
        </w:tc>
        <w:tc>
          <w:tcPr>
            <w:tcW w:w="1048" w:type="pct"/>
            <w:shd w:val="clear" w:color="auto" w:fill="auto"/>
            <w:vAlign w:val="center"/>
          </w:tcPr>
          <w:p w14:paraId="306D1887" w14:textId="77777777" w:rsidR="008F6AC1" w:rsidRPr="00483F7D" w:rsidRDefault="008F6AC1" w:rsidP="005563C1">
            <w:pPr>
              <w:spacing w:beforeLines="20" w:before="48" w:afterLines="20" w:after="48"/>
              <w:jc w:val="center"/>
              <w:rPr>
                <w:noProof/>
                <w:sz w:val="20"/>
              </w:rPr>
            </w:pPr>
          </w:p>
        </w:tc>
      </w:tr>
      <w:tr w:rsidR="008F6AC1" w:rsidRPr="00483F7D" w14:paraId="62F22BCD" w14:textId="77777777" w:rsidTr="005563C1">
        <w:trPr>
          <w:trHeight w:val="273"/>
        </w:trPr>
        <w:tc>
          <w:tcPr>
            <w:tcW w:w="1507" w:type="pct"/>
            <w:vMerge/>
            <w:shd w:val="clear" w:color="auto" w:fill="auto"/>
            <w:vAlign w:val="center"/>
          </w:tcPr>
          <w:p w14:paraId="567F77CD" w14:textId="77777777" w:rsidR="008F6AC1" w:rsidRPr="00483F7D" w:rsidRDefault="008F6AC1" w:rsidP="005563C1">
            <w:pPr>
              <w:rPr>
                <w:b/>
                <w:noProof/>
                <w:sz w:val="18"/>
                <w:szCs w:val="16"/>
              </w:rPr>
            </w:pPr>
          </w:p>
        </w:tc>
        <w:tc>
          <w:tcPr>
            <w:tcW w:w="1587" w:type="pct"/>
            <w:shd w:val="clear" w:color="auto" w:fill="auto"/>
            <w:vAlign w:val="center"/>
          </w:tcPr>
          <w:p w14:paraId="7323CC7C" w14:textId="77777777" w:rsidR="008F6AC1" w:rsidRPr="00483F7D" w:rsidRDefault="008F6AC1" w:rsidP="005563C1">
            <w:pPr>
              <w:rPr>
                <w:b/>
                <w:noProof/>
                <w:sz w:val="16"/>
                <w:szCs w:val="16"/>
              </w:rPr>
            </w:pPr>
            <w:r w:rsidRPr="00483F7D">
              <w:rPr>
                <w:sz w:val="16"/>
              </w:rPr>
              <w:t xml:space="preserve">- στις αντιπροσωπείες της ΕΕ </w:t>
            </w:r>
          </w:p>
        </w:tc>
        <w:tc>
          <w:tcPr>
            <w:tcW w:w="858" w:type="pct"/>
            <w:shd w:val="clear" w:color="auto" w:fill="auto"/>
            <w:vAlign w:val="center"/>
          </w:tcPr>
          <w:p w14:paraId="3F68A928" w14:textId="77777777" w:rsidR="008F6AC1" w:rsidRPr="00483F7D" w:rsidRDefault="008F6AC1" w:rsidP="005563C1">
            <w:pPr>
              <w:pStyle w:val="Text1"/>
              <w:spacing w:beforeLines="20" w:before="48" w:afterLines="20" w:after="48"/>
              <w:rPr>
                <w:noProof/>
                <w:sz w:val="20"/>
              </w:rPr>
            </w:pPr>
          </w:p>
        </w:tc>
        <w:tc>
          <w:tcPr>
            <w:tcW w:w="1048" w:type="pct"/>
            <w:shd w:val="clear" w:color="auto" w:fill="auto"/>
            <w:vAlign w:val="center"/>
          </w:tcPr>
          <w:p w14:paraId="2D2E43F7" w14:textId="77777777" w:rsidR="008F6AC1" w:rsidRPr="00483F7D" w:rsidRDefault="008F6AC1" w:rsidP="005563C1">
            <w:pPr>
              <w:spacing w:beforeLines="20" w:before="48" w:afterLines="20" w:after="48"/>
              <w:jc w:val="center"/>
              <w:rPr>
                <w:noProof/>
                <w:sz w:val="20"/>
              </w:rPr>
            </w:pPr>
          </w:p>
        </w:tc>
      </w:tr>
      <w:tr w:rsidR="008F6AC1" w:rsidRPr="00483F7D" w14:paraId="5EF589B8" w14:textId="77777777" w:rsidTr="005563C1">
        <w:trPr>
          <w:trHeight w:val="273"/>
        </w:trPr>
        <w:tc>
          <w:tcPr>
            <w:tcW w:w="3094" w:type="pct"/>
            <w:gridSpan w:val="2"/>
            <w:shd w:val="clear" w:color="auto" w:fill="auto"/>
            <w:vAlign w:val="center"/>
          </w:tcPr>
          <w:p w14:paraId="7F8745D7" w14:textId="77777777" w:rsidR="008F6AC1" w:rsidRPr="00483F7D" w:rsidRDefault="008F6AC1" w:rsidP="005563C1">
            <w:pPr>
              <w:rPr>
                <w:noProof/>
                <w:sz w:val="20"/>
                <w:szCs w:val="18"/>
              </w:rPr>
            </w:pPr>
            <w:r w:rsidRPr="00483F7D">
              <w:rPr>
                <w:b/>
                <w:sz w:val="20"/>
              </w:rPr>
              <w:t>01 01 01 02</w:t>
            </w:r>
            <w:r w:rsidRPr="00483F7D">
              <w:rPr>
                <w:sz w:val="20"/>
              </w:rPr>
              <w:t xml:space="preserve"> (AC, END, INT – έμμεση έρευνα)</w:t>
            </w:r>
          </w:p>
        </w:tc>
        <w:tc>
          <w:tcPr>
            <w:tcW w:w="858" w:type="pct"/>
            <w:shd w:val="clear" w:color="auto" w:fill="auto"/>
            <w:vAlign w:val="center"/>
          </w:tcPr>
          <w:p w14:paraId="038F384E"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286FAABB" w14:textId="77777777" w:rsidR="008F6AC1" w:rsidRPr="00483F7D" w:rsidRDefault="008F6AC1" w:rsidP="005563C1">
            <w:pPr>
              <w:spacing w:beforeLines="20" w:before="48" w:afterLines="20" w:after="48"/>
              <w:jc w:val="center"/>
              <w:rPr>
                <w:noProof/>
                <w:sz w:val="20"/>
              </w:rPr>
            </w:pPr>
          </w:p>
        </w:tc>
      </w:tr>
      <w:tr w:rsidR="008F6AC1" w:rsidRPr="00483F7D" w14:paraId="5705FDE6" w14:textId="77777777" w:rsidTr="005563C1">
        <w:trPr>
          <w:trHeight w:val="273"/>
        </w:trPr>
        <w:tc>
          <w:tcPr>
            <w:tcW w:w="3094" w:type="pct"/>
            <w:gridSpan w:val="2"/>
            <w:shd w:val="clear" w:color="auto" w:fill="auto"/>
            <w:vAlign w:val="center"/>
          </w:tcPr>
          <w:p w14:paraId="0CB1441E" w14:textId="77777777" w:rsidR="008F6AC1" w:rsidRPr="00483F7D" w:rsidRDefault="008F6AC1" w:rsidP="005563C1">
            <w:pPr>
              <w:rPr>
                <w:noProof/>
                <w:sz w:val="20"/>
                <w:szCs w:val="18"/>
              </w:rPr>
            </w:pPr>
            <w:r w:rsidRPr="00483F7D">
              <w:rPr>
                <w:sz w:val="20"/>
              </w:rPr>
              <w:t>10 01 05 02 (AC, END, INT – άμεση έρευνα)</w:t>
            </w:r>
          </w:p>
        </w:tc>
        <w:tc>
          <w:tcPr>
            <w:tcW w:w="858" w:type="pct"/>
            <w:shd w:val="clear" w:color="auto" w:fill="auto"/>
            <w:vAlign w:val="center"/>
          </w:tcPr>
          <w:p w14:paraId="078EF870" w14:textId="77777777" w:rsidR="008F6AC1" w:rsidRPr="00483F7D" w:rsidRDefault="008F6AC1" w:rsidP="005563C1">
            <w:pPr>
              <w:spacing w:beforeLines="20" w:before="48" w:afterLines="20" w:after="48"/>
              <w:jc w:val="center"/>
              <w:rPr>
                <w:noProof/>
                <w:sz w:val="20"/>
              </w:rPr>
            </w:pPr>
          </w:p>
        </w:tc>
        <w:tc>
          <w:tcPr>
            <w:tcW w:w="1048" w:type="pct"/>
            <w:shd w:val="clear" w:color="auto" w:fill="auto"/>
            <w:vAlign w:val="center"/>
          </w:tcPr>
          <w:p w14:paraId="12DD8362" w14:textId="77777777" w:rsidR="008F6AC1" w:rsidRPr="00483F7D" w:rsidRDefault="008F6AC1" w:rsidP="005563C1">
            <w:pPr>
              <w:spacing w:beforeLines="20" w:before="48" w:afterLines="20" w:after="48"/>
              <w:jc w:val="center"/>
              <w:rPr>
                <w:noProof/>
                <w:sz w:val="20"/>
              </w:rPr>
            </w:pPr>
          </w:p>
        </w:tc>
      </w:tr>
      <w:tr w:rsidR="008F6AC1" w:rsidRPr="00483F7D" w14:paraId="125E6CD9" w14:textId="77777777" w:rsidTr="005563C1">
        <w:trPr>
          <w:trHeight w:val="273"/>
        </w:trPr>
        <w:tc>
          <w:tcPr>
            <w:tcW w:w="3094" w:type="pct"/>
            <w:gridSpan w:val="2"/>
            <w:tcBorders>
              <w:bottom w:val="double" w:sz="4" w:space="0" w:color="auto"/>
            </w:tcBorders>
            <w:shd w:val="clear" w:color="auto" w:fill="auto"/>
            <w:vAlign w:val="center"/>
          </w:tcPr>
          <w:p w14:paraId="1BEA3C58" w14:textId="77777777" w:rsidR="008F6AC1" w:rsidRPr="00483F7D" w:rsidRDefault="008F6AC1" w:rsidP="005563C1">
            <w:pPr>
              <w:rPr>
                <w:noProof/>
                <w:sz w:val="20"/>
                <w:szCs w:val="18"/>
              </w:rPr>
            </w:pPr>
            <w:r w:rsidRPr="00483F7D">
              <w:rPr>
                <w:sz w:val="20"/>
              </w:rPr>
              <w:t>Άλλες γραμμές του προϋπολογισμού (να προσδιοριστούν)</w:t>
            </w:r>
          </w:p>
        </w:tc>
        <w:tc>
          <w:tcPr>
            <w:tcW w:w="858" w:type="pct"/>
            <w:tcBorders>
              <w:bottom w:val="double" w:sz="4" w:space="0" w:color="auto"/>
            </w:tcBorders>
            <w:shd w:val="clear" w:color="auto" w:fill="auto"/>
            <w:vAlign w:val="center"/>
          </w:tcPr>
          <w:p w14:paraId="0419C301" w14:textId="77777777" w:rsidR="008F6AC1" w:rsidRPr="00483F7D" w:rsidRDefault="008F6AC1" w:rsidP="005563C1">
            <w:pPr>
              <w:spacing w:beforeLines="20" w:before="48" w:afterLines="20" w:after="48"/>
              <w:jc w:val="center"/>
              <w:rPr>
                <w:noProof/>
                <w:sz w:val="20"/>
              </w:rPr>
            </w:pPr>
          </w:p>
        </w:tc>
        <w:tc>
          <w:tcPr>
            <w:tcW w:w="1048" w:type="pct"/>
            <w:tcBorders>
              <w:bottom w:val="double" w:sz="4" w:space="0" w:color="auto"/>
            </w:tcBorders>
            <w:shd w:val="clear" w:color="auto" w:fill="auto"/>
            <w:vAlign w:val="center"/>
          </w:tcPr>
          <w:p w14:paraId="6B5AB854" w14:textId="77777777" w:rsidR="008F6AC1" w:rsidRPr="00483F7D" w:rsidRDefault="008F6AC1" w:rsidP="005563C1">
            <w:pPr>
              <w:spacing w:beforeLines="20" w:before="48" w:afterLines="20" w:after="48"/>
              <w:jc w:val="center"/>
              <w:rPr>
                <w:noProof/>
                <w:sz w:val="20"/>
              </w:rPr>
            </w:pPr>
          </w:p>
        </w:tc>
      </w:tr>
      <w:tr w:rsidR="008F6AC1" w:rsidRPr="00483F7D" w14:paraId="71DC5318" w14:textId="77777777" w:rsidTr="005563C1">
        <w:trPr>
          <w:trHeight w:val="273"/>
        </w:trPr>
        <w:tc>
          <w:tcPr>
            <w:tcW w:w="3094" w:type="pct"/>
            <w:gridSpan w:val="2"/>
            <w:tcBorders>
              <w:top w:val="double" w:sz="4" w:space="0" w:color="auto"/>
            </w:tcBorders>
            <w:shd w:val="clear" w:color="auto" w:fill="auto"/>
            <w:vAlign w:val="center"/>
          </w:tcPr>
          <w:p w14:paraId="4B827DE6" w14:textId="77777777" w:rsidR="008F6AC1" w:rsidRPr="00483F7D" w:rsidRDefault="008F6AC1" w:rsidP="005563C1">
            <w:pPr>
              <w:pStyle w:val="Text1"/>
              <w:spacing w:beforeLines="20" w:before="48" w:afterLines="20" w:after="48"/>
              <w:ind w:left="986"/>
              <w:jc w:val="left"/>
              <w:rPr>
                <w:noProof/>
                <w:sz w:val="20"/>
              </w:rPr>
            </w:pPr>
            <w:r w:rsidRPr="00483F7D">
              <w:rPr>
                <w:b/>
                <w:sz w:val="20"/>
              </w:rPr>
              <w:t>ΣΥΝΟΛΟ</w:t>
            </w:r>
          </w:p>
        </w:tc>
        <w:tc>
          <w:tcPr>
            <w:tcW w:w="858" w:type="pct"/>
            <w:tcBorders>
              <w:top w:val="double" w:sz="4" w:space="0" w:color="auto"/>
            </w:tcBorders>
            <w:shd w:val="clear" w:color="auto" w:fill="auto"/>
            <w:vAlign w:val="center"/>
          </w:tcPr>
          <w:p w14:paraId="6824BBD1" w14:textId="77777777" w:rsidR="008F6AC1" w:rsidRPr="00483F7D" w:rsidRDefault="008F6AC1" w:rsidP="005563C1">
            <w:pPr>
              <w:spacing w:beforeLines="20" w:before="48" w:afterLines="20" w:after="48"/>
              <w:jc w:val="center"/>
              <w:rPr>
                <w:b/>
                <w:noProof/>
                <w:sz w:val="20"/>
              </w:rPr>
            </w:pPr>
            <w:r w:rsidRPr="00483F7D">
              <w:rPr>
                <w:b/>
                <w:sz w:val="20"/>
              </w:rPr>
              <w:t>+5</w:t>
            </w:r>
          </w:p>
        </w:tc>
        <w:tc>
          <w:tcPr>
            <w:tcW w:w="1048" w:type="pct"/>
            <w:tcBorders>
              <w:top w:val="double" w:sz="4" w:space="0" w:color="auto"/>
            </w:tcBorders>
            <w:shd w:val="clear" w:color="auto" w:fill="auto"/>
            <w:vAlign w:val="center"/>
          </w:tcPr>
          <w:p w14:paraId="644623E7" w14:textId="77777777" w:rsidR="008F6AC1" w:rsidRPr="00483F7D" w:rsidRDefault="008F6AC1" w:rsidP="005563C1">
            <w:pPr>
              <w:spacing w:beforeLines="20" w:before="48" w:afterLines="20" w:after="48"/>
              <w:jc w:val="center"/>
              <w:rPr>
                <w:b/>
                <w:noProof/>
                <w:sz w:val="20"/>
              </w:rPr>
            </w:pPr>
            <w:r w:rsidRPr="00483F7D">
              <w:rPr>
                <w:b/>
                <w:sz w:val="20"/>
              </w:rPr>
              <w:t>+10</w:t>
            </w:r>
          </w:p>
        </w:tc>
      </w:tr>
    </w:tbl>
    <w:p w14:paraId="2C6CBB6D" w14:textId="77777777" w:rsidR="008F6AC1" w:rsidRPr="00483F7D" w:rsidRDefault="008F6AC1" w:rsidP="008F6AC1">
      <w:pPr>
        <w:pStyle w:val="Text1"/>
        <w:rPr>
          <w:noProof/>
          <w:sz w:val="22"/>
        </w:rPr>
      </w:pPr>
      <w:r w:rsidRPr="00483F7D">
        <w:rPr>
          <w:sz w:val="22"/>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το οποίο θα συμπληρωθεί, αν χρειαστεί, με τυχόν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14:paraId="625F1A3D" w14:textId="77777777" w:rsidR="008F6AC1" w:rsidRPr="00483F7D" w:rsidRDefault="008F6AC1" w:rsidP="008F6AC1">
      <w:pPr>
        <w:rPr>
          <w:noProof/>
        </w:rPr>
      </w:pPr>
    </w:p>
    <w:p w14:paraId="757E8799" w14:textId="77777777" w:rsidR="008F6AC1" w:rsidRPr="00483F7D" w:rsidRDefault="008F6AC1" w:rsidP="008F6AC1">
      <w:pPr>
        <w:rPr>
          <w:noProof/>
        </w:rPr>
      </w:pPr>
    </w:p>
    <w:p w14:paraId="1224F8F0" w14:textId="77777777" w:rsidR="008F6AC1" w:rsidRPr="00483F7D" w:rsidRDefault="008F6AC1" w:rsidP="008F6AC1">
      <w:pPr>
        <w:rPr>
          <w:noProof/>
        </w:rPr>
      </w:pPr>
    </w:p>
    <w:p w14:paraId="2F6EC882" w14:textId="77777777" w:rsidR="008F6AC1" w:rsidRPr="00483F7D" w:rsidRDefault="008F6AC1" w:rsidP="008F6AC1">
      <w:pPr>
        <w:rPr>
          <w:noProof/>
        </w:rPr>
      </w:pPr>
    </w:p>
    <w:p w14:paraId="480EFB58" w14:textId="77777777" w:rsidR="008F6AC1" w:rsidRPr="00483F7D" w:rsidRDefault="008F6AC1" w:rsidP="008F6AC1">
      <w:pPr>
        <w:rPr>
          <w:noProof/>
        </w:rPr>
      </w:pPr>
    </w:p>
    <w:p w14:paraId="01CD29D4" w14:textId="77777777" w:rsidR="008F6AC1" w:rsidRPr="00483F7D" w:rsidRDefault="008F6AC1" w:rsidP="008F6AC1">
      <w:pPr>
        <w:rPr>
          <w:noProof/>
        </w:rPr>
      </w:pPr>
    </w:p>
    <w:p w14:paraId="36CA48BD" w14:textId="77777777" w:rsidR="008F6AC1" w:rsidRPr="00483F7D" w:rsidRDefault="008F6AC1" w:rsidP="008F6AC1">
      <w:pPr>
        <w:rPr>
          <w:noProof/>
        </w:rPr>
      </w:pPr>
      <w:r w:rsidRPr="00483F7D">
        <w:t>Περιγραφή των προς εκτέλεση καθηκόντων:</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7796"/>
      </w:tblGrid>
      <w:tr w:rsidR="008F6AC1" w:rsidRPr="00483F7D" w14:paraId="50B0D5FC" w14:textId="77777777" w:rsidTr="005563C1">
        <w:tc>
          <w:tcPr>
            <w:tcW w:w="1418" w:type="dxa"/>
          </w:tcPr>
          <w:p w14:paraId="09554046" w14:textId="77777777" w:rsidR="008F6AC1" w:rsidRPr="00483F7D" w:rsidRDefault="008F6AC1" w:rsidP="005563C1">
            <w:pPr>
              <w:rPr>
                <w:noProof/>
                <w:sz w:val="20"/>
              </w:rPr>
            </w:pPr>
            <w:r w:rsidRPr="00483F7D">
              <w:rPr>
                <w:sz w:val="20"/>
              </w:rPr>
              <w:t>Μόνιμοι και έκτακτοι υπάλληλοι</w:t>
            </w:r>
          </w:p>
        </w:tc>
        <w:tc>
          <w:tcPr>
            <w:tcW w:w="7796" w:type="dxa"/>
          </w:tcPr>
          <w:p w14:paraId="268F7E18" w14:textId="77777777" w:rsidR="008F6AC1" w:rsidRPr="00483F7D" w:rsidRDefault="008F6AC1" w:rsidP="005563C1">
            <w:bookmarkStart w:id="352" w:name="_Hlk127537923"/>
            <w:r w:rsidRPr="00483F7D">
              <w:t>Η τελωνειακή αρχή της ΕΕ θα αρχίσει τις εργασίες της το 2028, αφήνοντας μια περίοδο περίπου δύο ετών μεταξύ της έκδοσης της ιδρυτικής πράξης και της έναρξης των εργασιών, η οποία θα μπορούσε να αφιερωθεί στις δραστηριότητες που απαιτούνται για τη σύσταση του νέου οργανισμού. Η Επιτροπή θα πρέπει να είναι υπεύθυνη για τη σύσταση της Τελωνειακής Αρχής της ΕΕ. Ως εκ τούτου, πρέπει να προβλεφθούν πόροι για τη διαδικασία αυτή. Το πρόσθετο ΙΠΑ που αναφέρεται το 2026 και το 2027 στον ανωτέρω πίνακα· στη συνέχεια, το καθαρό αποτέλεσμα για το προσωπικό της Επιτροπής συνίσταται σε μείωση.</w:t>
            </w:r>
          </w:p>
          <w:p w14:paraId="69E52F31" w14:textId="77777777" w:rsidR="008F6AC1" w:rsidRPr="00483F7D" w:rsidRDefault="008F6AC1" w:rsidP="005563C1">
            <w:bookmarkStart w:id="353" w:name="_Hlk130561459"/>
            <w:bookmarkEnd w:id="352"/>
            <w:r w:rsidRPr="00483F7D">
              <w:t xml:space="preserve">Προκειμένου η Τελωνειακή Αρχή της ΕΕ να είναι έτοιμη για την έναρξη των εργασιών της, το πρόσθετο ΙΠΑ θα εκτελεί τις ακόλουθες προπαρασκευαστικές δραστηριότητες: </w:t>
            </w:r>
          </w:p>
          <w:p w14:paraId="185047CA" w14:textId="77777777" w:rsidR="008F6AC1" w:rsidRPr="00483F7D" w:rsidRDefault="008F6AC1" w:rsidP="00CF7E35">
            <w:pPr>
              <w:pStyle w:val="ListParagraph"/>
              <w:numPr>
                <w:ilvl w:val="0"/>
                <w:numId w:val="41"/>
              </w:numPr>
              <w:spacing w:before="0" w:after="200" w:line="276" w:lineRule="auto"/>
            </w:pPr>
            <w:r w:rsidRPr="00483F7D">
              <w:t xml:space="preserve">Κατάρτιση του πρώτου προϋπολογισμού, συμπεριλαμβανομένης της ετοιμότητας των εργαλείων </w:t>
            </w:r>
            <w:bookmarkStart w:id="354" w:name="_Hlk129612203"/>
            <w:r w:rsidRPr="00483F7D">
              <w:t xml:space="preserve">(συστήματα λογιστικής/διαχείρισης του προϋπολογισμού) </w:t>
            </w:r>
            <w:bookmarkEnd w:id="354"/>
            <w:r w:rsidRPr="00483F7D">
              <w:t>και των διαδικασιών.</w:t>
            </w:r>
          </w:p>
          <w:p w14:paraId="5ADED3D1" w14:textId="77777777" w:rsidR="008F6AC1" w:rsidRPr="00483F7D" w:rsidRDefault="008F6AC1" w:rsidP="00CF7E35">
            <w:pPr>
              <w:pStyle w:val="ListParagraph"/>
              <w:numPr>
                <w:ilvl w:val="0"/>
                <w:numId w:val="41"/>
              </w:numPr>
              <w:spacing w:before="0" w:after="200" w:line="276" w:lineRule="auto"/>
            </w:pPr>
            <w:r w:rsidRPr="00483F7D">
              <w:t>Διαδικασία επιλογής του/της εκτελεστικού/-ής διευθυντή/-ριας (ξεκινώντας με προσωρινό/-ή εκτελεστικό/-ή διευθυντή/-ρια από την Επιτροπή για το 2026/2027 πριν από την έναρξη λειτουργίας της EUCA).</w:t>
            </w:r>
          </w:p>
          <w:p w14:paraId="3170E50C" w14:textId="77777777" w:rsidR="008F6AC1" w:rsidRPr="00483F7D" w:rsidRDefault="008F6AC1" w:rsidP="00CF7E35">
            <w:pPr>
              <w:pStyle w:val="ListParagraph"/>
              <w:numPr>
                <w:ilvl w:val="0"/>
                <w:numId w:val="41"/>
              </w:numPr>
              <w:spacing w:before="0" w:after="200" w:line="276" w:lineRule="auto"/>
            </w:pPr>
            <w:r w:rsidRPr="00483F7D">
              <w:t>Διορισμός των μελών του διοικητικού συμβουλίου και του εκτελεστικού γραφείου.</w:t>
            </w:r>
          </w:p>
          <w:p w14:paraId="530FDB52" w14:textId="77777777" w:rsidR="008F6AC1" w:rsidRPr="00483F7D" w:rsidRDefault="008F6AC1" w:rsidP="00CF7E35">
            <w:pPr>
              <w:pStyle w:val="ListParagraph"/>
              <w:numPr>
                <w:ilvl w:val="0"/>
                <w:numId w:val="41"/>
              </w:numPr>
              <w:spacing w:before="0" w:after="200" w:line="276" w:lineRule="auto"/>
            </w:pPr>
            <w:r w:rsidRPr="00483F7D">
              <w:t>Προετοιμασία των πρώτων συνεδριάσεων και αποφάσεων.</w:t>
            </w:r>
          </w:p>
          <w:p w14:paraId="225DAA17" w14:textId="77777777" w:rsidR="008F6AC1" w:rsidRPr="00483F7D" w:rsidRDefault="008F6AC1" w:rsidP="00CF7E35">
            <w:pPr>
              <w:pStyle w:val="ListParagraph"/>
              <w:numPr>
                <w:ilvl w:val="0"/>
                <w:numId w:val="41"/>
              </w:numPr>
              <w:spacing w:before="0" w:after="200" w:line="276" w:lineRule="auto"/>
            </w:pPr>
            <w:r w:rsidRPr="00483F7D">
              <w:t>Προετοιμασία του κτιρίου της έδρας σε συντονισμό με το κράτος υποδοχής· διαπραγμάτευση σύμβασης υποδοχής· αγορά εξοπλισμού· ΤΠ· ασφάλεια· συντήρηση.</w:t>
            </w:r>
          </w:p>
          <w:p w14:paraId="7E52EAE6" w14:textId="77777777" w:rsidR="008F6AC1" w:rsidRPr="00483F7D" w:rsidRDefault="008F6AC1" w:rsidP="00CF7E35">
            <w:pPr>
              <w:pStyle w:val="ListParagraph"/>
              <w:numPr>
                <w:ilvl w:val="0"/>
                <w:numId w:val="41"/>
              </w:numPr>
              <w:spacing w:before="0" w:after="200" w:line="276" w:lineRule="auto"/>
              <w:jc w:val="left"/>
            </w:pPr>
            <w:r w:rsidRPr="00483F7D">
              <w:t>Πρόσληψη για λογαριασμό της Τελωνειακής Αρχής της ΕΕ, ενόψει πολύ υψηλών αρχικών αναγκών. Προτεραιότητα στην αρχή στα καθήκοντα που απαιτούνται για τη βασική λειτουργία (μισθολογική ικανότητα, οργάνωση διαχείρισης χρόνου, κατάρτιση κ.λπ.).</w:t>
            </w:r>
          </w:p>
          <w:p w14:paraId="4E0A82BF" w14:textId="77777777" w:rsidR="008F6AC1" w:rsidRPr="00483F7D" w:rsidRDefault="008F6AC1" w:rsidP="00CF7E35">
            <w:pPr>
              <w:pStyle w:val="ListParagraph"/>
              <w:numPr>
                <w:ilvl w:val="0"/>
                <w:numId w:val="41"/>
              </w:numPr>
              <w:spacing w:before="0" w:after="200" w:line="276" w:lineRule="auto"/>
              <w:jc w:val="left"/>
            </w:pPr>
            <w:r w:rsidRPr="00483F7D">
              <w:t>Ορισμός της οργανωτικής δομής, της εσωτερικής οργάνωσης και των διαδικασιών.</w:t>
            </w:r>
          </w:p>
          <w:p w14:paraId="0446C9B5" w14:textId="77777777" w:rsidR="008F6AC1" w:rsidRPr="00483F7D" w:rsidRDefault="008F6AC1" w:rsidP="00CF7E35">
            <w:pPr>
              <w:pStyle w:val="ListParagraph"/>
              <w:numPr>
                <w:ilvl w:val="0"/>
                <w:numId w:val="41"/>
              </w:numPr>
              <w:spacing w:before="0" w:after="200" w:line="276" w:lineRule="auto"/>
            </w:pPr>
            <w:r w:rsidRPr="00483F7D">
              <w:t xml:space="preserve">Προσδιορισμός της δυνατότητας προσωρινής μεταφοράς προσωπικού της Επιτροπής στην Τελωνειακή Αρχή της ΕΕ. </w:t>
            </w:r>
          </w:p>
          <w:p w14:paraId="2AB4E2F2" w14:textId="77777777" w:rsidR="008F6AC1" w:rsidRPr="00483F7D" w:rsidRDefault="008F6AC1" w:rsidP="00CF7E35">
            <w:pPr>
              <w:pStyle w:val="ListParagraph"/>
              <w:numPr>
                <w:ilvl w:val="0"/>
                <w:numId w:val="41"/>
              </w:numPr>
              <w:spacing w:before="0" w:after="200" w:line="276" w:lineRule="auto"/>
            </w:pPr>
            <w:r w:rsidRPr="00483F7D">
              <w:t>Δημιουργία βασικής ιστοσελίδας και οπτικής ταυτότητας.</w:t>
            </w:r>
          </w:p>
          <w:p w14:paraId="78732E9C" w14:textId="77777777" w:rsidR="008F6AC1" w:rsidRPr="00483F7D" w:rsidRDefault="008F6AC1" w:rsidP="00CF7E35">
            <w:pPr>
              <w:pStyle w:val="ListParagraph"/>
              <w:numPr>
                <w:ilvl w:val="0"/>
                <w:numId w:val="41"/>
              </w:numPr>
              <w:spacing w:before="0" w:after="200" w:line="276" w:lineRule="auto"/>
            </w:pPr>
            <w:r w:rsidRPr="00483F7D">
              <w:t>Προετοιμασία του πρώτου ετήσιου προγράμματος εργασίας και/ή του ενιαίου εγγράφου προγραμματισμού.</w:t>
            </w:r>
          </w:p>
          <w:p w14:paraId="75D0088F" w14:textId="77777777" w:rsidR="008F6AC1" w:rsidRPr="00483F7D" w:rsidRDefault="008F6AC1" w:rsidP="00CF7E35">
            <w:pPr>
              <w:pStyle w:val="ListParagraph"/>
              <w:numPr>
                <w:ilvl w:val="0"/>
                <w:numId w:val="41"/>
              </w:numPr>
              <w:spacing w:before="0" w:after="200" w:line="276" w:lineRule="auto"/>
            </w:pPr>
            <w:r w:rsidRPr="00483F7D">
              <w:t>Προετοιμασία της/των συμφωνίας/-ών συνεισφοράς, αν διατηρηθεί/-ούν σε ισχύ.</w:t>
            </w:r>
          </w:p>
          <w:p w14:paraId="48E559BF" w14:textId="77777777" w:rsidR="008F6AC1" w:rsidRPr="00483F7D" w:rsidRDefault="008F6AC1" w:rsidP="00CF7E35">
            <w:pPr>
              <w:pStyle w:val="ListParagraph"/>
              <w:numPr>
                <w:ilvl w:val="0"/>
                <w:numId w:val="41"/>
              </w:numPr>
              <w:spacing w:before="0" w:after="200" w:line="276" w:lineRule="auto"/>
            </w:pPr>
            <w:r w:rsidRPr="00483F7D">
              <w:t>Παροχή στήριξης στο πλαίσιο του προγράμματος «Τελωνεία» για τις πρώτες συνεδριάσεις σε επίπεδο εμπειρογνωμόνων της EUCA το 2026/2027.</w:t>
            </w:r>
          </w:p>
          <w:p w14:paraId="21B0E1B6" w14:textId="77777777" w:rsidR="008F6AC1" w:rsidRPr="00483F7D" w:rsidRDefault="008F6AC1" w:rsidP="005563C1">
            <w:r w:rsidRPr="00483F7D">
              <w:t xml:space="preserve">Από την πείρα άλλων οργανισμών που συστάθηκαν πρόσφατα προκύπτει ότι για την εκτέλεση των εν λόγω καθηκόντων έναρξης απαιτείται μια ομάδα περίπου 10 μελών του προσωπικού της ΓΔ-εταίρου. </w:t>
            </w:r>
          </w:p>
          <w:p w14:paraId="19CFB71F" w14:textId="77777777" w:rsidR="008F6AC1" w:rsidRPr="00483F7D" w:rsidRDefault="008F6AC1" w:rsidP="005563C1">
            <w:bookmarkStart w:id="355" w:name="_Hlk129612251"/>
            <w:bookmarkEnd w:id="353"/>
            <w:r w:rsidRPr="00483F7D">
              <w:t>Τα προαναφερθέντα καθήκοντα είναι κυρίως διοικητικά και διαδικαστικά. Με εξαίρεση το σημείο 12, δεν αφορούν την ουσία των μελλοντικών εργασιών της Τελωνειακής Αρχής της ΕΕ.</w:t>
            </w:r>
            <w:bookmarkEnd w:id="355"/>
          </w:p>
        </w:tc>
      </w:tr>
      <w:tr w:rsidR="008F6AC1" w:rsidRPr="00483F7D" w14:paraId="52C56C60" w14:textId="77777777" w:rsidTr="005563C1">
        <w:tc>
          <w:tcPr>
            <w:tcW w:w="1418" w:type="dxa"/>
          </w:tcPr>
          <w:p w14:paraId="2B0E0774" w14:textId="77777777" w:rsidR="008F6AC1" w:rsidRPr="00483F7D" w:rsidRDefault="008F6AC1" w:rsidP="005563C1">
            <w:pPr>
              <w:spacing w:before="60" w:after="60"/>
              <w:rPr>
                <w:noProof/>
                <w:sz w:val="20"/>
              </w:rPr>
            </w:pPr>
            <w:r w:rsidRPr="00483F7D">
              <w:rPr>
                <w:sz w:val="20"/>
              </w:rPr>
              <w:t>Εξωτερικό προσωπικό</w:t>
            </w:r>
          </w:p>
        </w:tc>
        <w:tc>
          <w:tcPr>
            <w:tcW w:w="7796" w:type="dxa"/>
          </w:tcPr>
          <w:p w14:paraId="5440BDFD" w14:textId="77777777" w:rsidR="008F6AC1" w:rsidRPr="00483F7D" w:rsidRDefault="008F6AC1" w:rsidP="005563C1">
            <w:pPr>
              <w:rPr>
                <w:noProof/>
                <w:sz w:val="20"/>
              </w:rPr>
            </w:pPr>
            <w:r w:rsidRPr="00483F7D">
              <w:t>Εργασίες σε σχέση με τα ανωτέρω καθήκοντα, ιδίως 1, 4, 5, 9, 12.</w:t>
            </w:r>
          </w:p>
        </w:tc>
      </w:tr>
    </w:tbl>
    <w:p w14:paraId="7ADB7411" w14:textId="77777777" w:rsidR="008F6AC1" w:rsidRPr="00483F7D" w:rsidRDefault="008F6AC1" w:rsidP="008F6AC1">
      <w:pPr>
        <w:pStyle w:val="ManualHeading3"/>
        <w:rPr>
          <w:bCs/>
          <w:noProof/>
          <w:szCs w:val="24"/>
        </w:rPr>
      </w:pPr>
      <w:bookmarkStart w:id="356" w:name="_Toc514938689"/>
      <w:bookmarkStart w:id="357" w:name="_Toc520485448"/>
      <w:bookmarkStart w:id="358" w:name="_Toc133320630"/>
      <w:r w:rsidRPr="00483F7D">
        <w:t>3.2.4.</w:t>
      </w:r>
      <w:r w:rsidRPr="00483F7D">
        <w:tab/>
        <w:t>Συμβατότητα με το ισχύον πολυετές δημοσιονομικό πλαίσιο</w:t>
      </w:r>
      <w:bookmarkEnd w:id="356"/>
      <w:bookmarkEnd w:id="357"/>
      <w:bookmarkEnd w:id="358"/>
      <w:r w:rsidRPr="00483F7D">
        <w:t xml:space="preserve"> </w:t>
      </w:r>
    </w:p>
    <w:p w14:paraId="50009E2B" w14:textId="77777777" w:rsidR="008F6AC1" w:rsidRPr="00483F7D" w:rsidRDefault="008F6AC1" w:rsidP="008F6AC1">
      <w:pPr>
        <w:pStyle w:val="Text1"/>
        <w:rPr>
          <w:noProof/>
          <w:szCs w:val="28"/>
        </w:rPr>
      </w:pPr>
      <w:r w:rsidRPr="00483F7D">
        <w:rPr>
          <w:b/>
        </w:rPr>
        <w:t>X</w:t>
      </w:r>
      <w:r w:rsidRPr="00483F7D">
        <w:tab/>
        <w:t xml:space="preserve">Η πρόταση/πρωτοβουλία είναι συμβατή με το ισχύον πολυετές δημοσιονομικό πλαίσιο. Τα 58 εκατ. EUR που απαιτούνται για το 2026 και το 2027 θα διατεθούν στο πλαίσιο της υφιστάμενης πρόβλεψης στο πλαίσιο της γραμμής του προϋπολογισμού για την ενιαία αγορά: </w:t>
      </w:r>
      <w:r w:rsidRPr="00483F7D">
        <w:rPr>
          <w:i/>
        </w:rPr>
        <w:t>Συνεργασία στον τομέα των τελωνείων (Τελωνεία) – υποτομέας 03 05 01</w:t>
      </w:r>
    </w:p>
    <w:p w14:paraId="42C0CA56" w14:textId="77777777" w:rsidR="008F6AC1" w:rsidRPr="00483F7D" w:rsidRDefault="008F6AC1" w:rsidP="00CF7E35">
      <w:pPr>
        <w:pStyle w:val="ListDash1"/>
        <w:numPr>
          <w:ilvl w:val="0"/>
          <w:numId w:val="38"/>
        </w:numPr>
        <w:rPr>
          <w:noProof/>
        </w:rPr>
      </w:pPr>
      <w:r w:rsidRPr="00483F7D">
        <w:sym w:font="Wingdings" w:char="F0A8"/>
      </w:r>
      <w:r w:rsidRPr="00483F7D">
        <w:t xml:space="preserve"> Η πρόταση/πρωτοβουλία απαιτεί αναπρογραμματισμό του σχετικού τομέα του πολυετούς δημοσιονομικού πλαισίου.</w:t>
      </w:r>
    </w:p>
    <w:p w14:paraId="791F229A" w14:textId="77777777" w:rsidR="008F6AC1" w:rsidRPr="00483F7D" w:rsidRDefault="008F6AC1" w:rsidP="008F6AC1">
      <w:pPr>
        <w:pStyle w:val="Text1"/>
        <w:rPr>
          <w:noProof/>
          <w:sz w:val="20"/>
        </w:rPr>
      </w:pPr>
    </w:p>
    <w:p w14:paraId="3A7F5439" w14:textId="77777777" w:rsidR="008F6AC1" w:rsidRPr="00483F7D" w:rsidRDefault="008F6AC1" w:rsidP="00CF7E35">
      <w:pPr>
        <w:pStyle w:val="ListDash1"/>
        <w:numPr>
          <w:ilvl w:val="0"/>
          <w:numId w:val="38"/>
        </w:numPr>
        <w:rPr>
          <w:noProof/>
        </w:rPr>
      </w:pPr>
      <w:r w:rsidRPr="00483F7D">
        <w:sym w:font="Wingdings" w:char="F0A8"/>
      </w:r>
      <w:r w:rsidRPr="00483F7D">
        <w:tab/>
        <w:t>Η πρόταση/πρωτοβουλία απαιτεί τη χρησιμοποίηση του μηχανισμού ευελιξίας ή την αναθεώρηση του πολυετούς δημοσιονομικού πλαισίου</w:t>
      </w:r>
      <w:r w:rsidRPr="00483F7D">
        <w:rPr>
          <w:rStyle w:val="FootnoteReference"/>
          <w:rFonts w:eastAsiaTheme="majorEastAsia"/>
          <w:noProof/>
        </w:rPr>
        <w:footnoteReference w:id="98"/>
      </w:r>
      <w:r w:rsidRPr="00483F7D">
        <w:t>.</w:t>
      </w:r>
    </w:p>
    <w:p w14:paraId="41CEE64C" w14:textId="77777777" w:rsidR="004F2715" w:rsidRPr="00483F7D" w:rsidRDefault="004F2715" w:rsidP="003663B7">
      <w:pPr>
        <w:pStyle w:val="ListDash1"/>
        <w:rPr>
          <w:noProof/>
        </w:rPr>
      </w:pPr>
    </w:p>
    <w:p w14:paraId="3965D869" w14:textId="77777777" w:rsidR="008F6AC1" w:rsidRPr="00483F7D" w:rsidRDefault="008F6AC1" w:rsidP="008F6AC1">
      <w:pPr>
        <w:pStyle w:val="ManualHeading3"/>
        <w:rPr>
          <w:bCs/>
          <w:noProof/>
          <w:szCs w:val="24"/>
        </w:rPr>
      </w:pPr>
      <w:bookmarkStart w:id="359" w:name="_Toc514938690"/>
      <w:bookmarkStart w:id="360" w:name="_Toc520485449"/>
      <w:bookmarkStart w:id="361" w:name="_Toc133320631"/>
      <w:r w:rsidRPr="00483F7D">
        <w:t>3.2.5.</w:t>
      </w:r>
      <w:r w:rsidRPr="00483F7D">
        <w:tab/>
        <w:t>Συμμετοχή τρίτων στη χρηματοδότηση</w:t>
      </w:r>
      <w:bookmarkEnd w:id="359"/>
      <w:bookmarkEnd w:id="360"/>
      <w:bookmarkEnd w:id="361"/>
      <w:r w:rsidRPr="00483F7D">
        <w:t xml:space="preserve"> </w:t>
      </w:r>
    </w:p>
    <w:p w14:paraId="132C1614" w14:textId="77777777" w:rsidR="008F6AC1" w:rsidRPr="00483F7D" w:rsidRDefault="008F6AC1" w:rsidP="008F6AC1">
      <w:pPr>
        <w:rPr>
          <w:noProof/>
        </w:rPr>
      </w:pPr>
      <w:r w:rsidRPr="00483F7D">
        <w:rPr>
          <w:b/>
        </w:rPr>
        <w:t>X</w:t>
      </w:r>
      <w:r w:rsidRPr="00483F7D">
        <w:t xml:space="preserve">  Η πρόταση/πρωτοβουλία δεν προβλέπει συγχρηματοδότηση από τρίτους. </w:t>
      </w:r>
    </w:p>
    <w:p w14:paraId="1D57C041" w14:textId="77777777" w:rsidR="008F6AC1" w:rsidRPr="00483F7D" w:rsidRDefault="008F6AC1" w:rsidP="00CF7E35">
      <w:pPr>
        <w:pStyle w:val="ListDash1"/>
        <w:numPr>
          <w:ilvl w:val="0"/>
          <w:numId w:val="38"/>
        </w:numPr>
        <w:rPr>
          <w:noProof/>
        </w:rPr>
      </w:pPr>
      <w:r w:rsidRPr="00483F7D">
        <w:t>Η πρόταση/πρωτοβουλία προβλέπει τη συγχρηματοδότηση που εκτιμάται κατωτέρω:</w:t>
      </w:r>
    </w:p>
    <w:p w14:paraId="4A773FED" w14:textId="77777777" w:rsidR="008F6AC1" w:rsidRPr="00483F7D" w:rsidRDefault="008F6AC1" w:rsidP="008F6AC1">
      <w:pPr>
        <w:jc w:val="right"/>
        <w:rPr>
          <w:noProof/>
          <w:sz w:val="20"/>
        </w:rPr>
      </w:pPr>
      <w:r w:rsidRPr="00483F7D">
        <w:rPr>
          <w:sz w:val="20"/>
        </w:rPr>
        <w:t>σε εκατ. EUR (με τρία δεκαδικά ψηφία)</w:t>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64"/>
        <w:gridCol w:w="964"/>
        <w:gridCol w:w="964"/>
        <w:gridCol w:w="964"/>
        <w:gridCol w:w="964"/>
        <w:gridCol w:w="964"/>
        <w:gridCol w:w="964"/>
        <w:gridCol w:w="666"/>
      </w:tblGrid>
      <w:tr w:rsidR="008F6AC1" w:rsidRPr="00483F7D" w14:paraId="09911811" w14:textId="77777777" w:rsidTr="005563C1">
        <w:trPr>
          <w:cantSplit/>
        </w:trPr>
        <w:tc>
          <w:tcPr>
            <w:tcW w:w="1374" w:type="dxa"/>
          </w:tcPr>
          <w:p w14:paraId="5BDC376B" w14:textId="77777777" w:rsidR="008F6AC1" w:rsidRPr="00483F7D" w:rsidRDefault="008F6AC1" w:rsidP="005563C1">
            <w:pPr>
              <w:spacing w:before="60" w:after="60"/>
              <w:rPr>
                <w:noProof/>
                <w:sz w:val="20"/>
              </w:rPr>
            </w:pPr>
          </w:p>
        </w:tc>
        <w:tc>
          <w:tcPr>
            <w:tcW w:w="964" w:type="dxa"/>
            <w:vAlign w:val="center"/>
          </w:tcPr>
          <w:p w14:paraId="2A46F949" w14:textId="77777777" w:rsidR="008F6AC1" w:rsidRPr="00483F7D" w:rsidRDefault="008F6AC1" w:rsidP="005563C1">
            <w:pPr>
              <w:jc w:val="center"/>
              <w:rPr>
                <w:noProof/>
                <w:sz w:val="20"/>
              </w:rPr>
            </w:pPr>
            <w:r w:rsidRPr="00483F7D">
              <w:rPr>
                <w:sz w:val="20"/>
              </w:rPr>
              <w:t>Έτος</w:t>
            </w:r>
            <w:r w:rsidRPr="00483F7D">
              <w:t xml:space="preserve"> </w:t>
            </w:r>
            <w:r w:rsidRPr="00483F7D">
              <w:br/>
            </w:r>
            <w:r w:rsidRPr="00483F7D">
              <w:rPr>
                <w:b/>
                <w:sz w:val="20"/>
              </w:rPr>
              <w:t>N</w:t>
            </w:r>
          </w:p>
        </w:tc>
        <w:tc>
          <w:tcPr>
            <w:tcW w:w="964" w:type="dxa"/>
            <w:vAlign w:val="center"/>
          </w:tcPr>
          <w:p w14:paraId="7FD63132" w14:textId="77777777" w:rsidR="008F6AC1" w:rsidRPr="00483F7D" w:rsidRDefault="008F6AC1" w:rsidP="005563C1">
            <w:pPr>
              <w:jc w:val="center"/>
              <w:rPr>
                <w:noProof/>
                <w:sz w:val="20"/>
              </w:rPr>
            </w:pPr>
            <w:r w:rsidRPr="00483F7D">
              <w:rPr>
                <w:sz w:val="20"/>
              </w:rPr>
              <w:t>Έτος</w:t>
            </w:r>
            <w:r w:rsidRPr="00483F7D">
              <w:t xml:space="preserve"> </w:t>
            </w:r>
            <w:r w:rsidRPr="00483F7D">
              <w:br/>
            </w:r>
            <w:r w:rsidRPr="00483F7D">
              <w:rPr>
                <w:b/>
                <w:sz w:val="20"/>
              </w:rPr>
              <w:t>N+1</w:t>
            </w:r>
          </w:p>
        </w:tc>
        <w:tc>
          <w:tcPr>
            <w:tcW w:w="964" w:type="dxa"/>
            <w:vAlign w:val="center"/>
          </w:tcPr>
          <w:p w14:paraId="572A3689" w14:textId="77777777" w:rsidR="008F6AC1" w:rsidRPr="00483F7D" w:rsidRDefault="008F6AC1" w:rsidP="005563C1">
            <w:pPr>
              <w:jc w:val="center"/>
              <w:rPr>
                <w:noProof/>
                <w:sz w:val="20"/>
              </w:rPr>
            </w:pPr>
            <w:r w:rsidRPr="00483F7D">
              <w:rPr>
                <w:sz w:val="20"/>
              </w:rPr>
              <w:t>Έτος</w:t>
            </w:r>
            <w:r w:rsidRPr="00483F7D">
              <w:t xml:space="preserve"> </w:t>
            </w:r>
            <w:r w:rsidRPr="00483F7D">
              <w:br/>
            </w:r>
            <w:r w:rsidRPr="00483F7D">
              <w:rPr>
                <w:b/>
                <w:sz w:val="20"/>
              </w:rPr>
              <w:t>N+2</w:t>
            </w:r>
          </w:p>
        </w:tc>
        <w:tc>
          <w:tcPr>
            <w:tcW w:w="964" w:type="dxa"/>
            <w:vAlign w:val="center"/>
          </w:tcPr>
          <w:p w14:paraId="097B0ADA" w14:textId="77777777" w:rsidR="008F6AC1" w:rsidRPr="00483F7D" w:rsidRDefault="008F6AC1" w:rsidP="005563C1">
            <w:pPr>
              <w:jc w:val="center"/>
              <w:rPr>
                <w:noProof/>
                <w:sz w:val="20"/>
              </w:rPr>
            </w:pPr>
            <w:r w:rsidRPr="00483F7D">
              <w:rPr>
                <w:sz w:val="20"/>
              </w:rPr>
              <w:t>Έτος</w:t>
            </w:r>
            <w:r w:rsidRPr="00483F7D">
              <w:t xml:space="preserve"> </w:t>
            </w:r>
            <w:r w:rsidRPr="00483F7D">
              <w:br/>
            </w:r>
            <w:r w:rsidRPr="00483F7D">
              <w:rPr>
                <w:b/>
                <w:sz w:val="20"/>
              </w:rPr>
              <w:t>N+3</w:t>
            </w:r>
          </w:p>
        </w:tc>
        <w:tc>
          <w:tcPr>
            <w:tcW w:w="2892" w:type="dxa"/>
            <w:gridSpan w:val="3"/>
            <w:vAlign w:val="center"/>
          </w:tcPr>
          <w:p w14:paraId="505C01F2" w14:textId="77777777" w:rsidR="008F6AC1" w:rsidRPr="00483F7D" w:rsidRDefault="008F6AC1" w:rsidP="005563C1">
            <w:pPr>
              <w:jc w:val="center"/>
              <w:rPr>
                <w:b/>
                <w:noProof/>
                <w:sz w:val="20"/>
              </w:rPr>
            </w:pPr>
            <w:r w:rsidRPr="00483F7D">
              <w:rPr>
                <w:sz w:val="20"/>
              </w:rPr>
              <w:t>Να εγγραφούν όσα έτη απαιτούνται, ώστε να εμφανίζεται η διάρκεια των επιπτώσεων (βλ. σημείο 1.6)</w:t>
            </w:r>
          </w:p>
        </w:tc>
        <w:tc>
          <w:tcPr>
            <w:tcW w:w="666" w:type="dxa"/>
            <w:vAlign w:val="center"/>
          </w:tcPr>
          <w:p w14:paraId="74C375F4" w14:textId="77777777" w:rsidR="008F6AC1" w:rsidRPr="00483F7D" w:rsidRDefault="008F6AC1" w:rsidP="005563C1">
            <w:pPr>
              <w:spacing w:before="60" w:after="60"/>
              <w:jc w:val="center"/>
              <w:rPr>
                <w:noProof/>
                <w:sz w:val="20"/>
              </w:rPr>
            </w:pPr>
            <w:r w:rsidRPr="00483F7D">
              <w:rPr>
                <w:sz w:val="20"/>
              </w:rPr>
              <w:t>Σύνολο</w:t>
            </w:r>
          </w:p>
        </w:tc>
      </w:tr>
      <w:tr w:rsidR="008F6AC1" w:rsidRPr="00483F7D" w14:paraId="7AB118E3" w14:textId="77777777" w:rsidTr="005563C1">
        <w:trPr>
          <w:cantSplit/>
        </w:trPr>
        <w:tc>
          <w:tcPr>
            <w:tcW w:w="1374" w:type="dxa"/>
          </w:tcPr>
          <w:p w14:paraId="1E54F28F" w14:textId="77777777" w:rsidR="008F6AC1" w:rsidRPr="00483F7D" w:rsidRDefault="008F6AC1" w:rsidP="005563C1">
            <w:pPr>
              <w:rPr>
                <w:noProof/>
              </w:rPr>
            </w:pPr>
            <w:r w:rsidRPr="00483F7D">
              <w:rPr>
                <w:sz w:val="20"/>
              </w:rPr>
              <w:t>Προσδιορισμός του φορέα συγχρηματοδότησης</w:t>
            </w:r>
            <w:r w:rsidRPr="00483F7D">
              <w:rPr>
                <w:i/>
                <w:sz w:val="20"/>
              </w:rPr>
              <w:t xml:space="preserve"> </w:t>
            </w:r>
          </w:p>
        </w:tc>
        <w:tc>
          <w:tcPr>
            <w:tcW w:w="964" w:type="dxa"/>
            <w:vAlign w:val="center"/>
          </w:tcPr>
          <w:p w14:paraId="3BEA1C22" w14:textId="77777777" w:rsidR="008F6AC1" w:rsidRPr="00483F7D" w:rsidRDefault="008F6AC1" w:rsidP="005563C1">
            <w:pPr>
              <w:spacing w:before="60" w:after="60"/>
              <w:jc w:val="center"/>
              <w:rPr>
                <w:noProof/>
                <w:sz w:val="20"/>
              </w:rPr>
            </w:pPr>
          </w:p>
        </w:tc>
        <w:tc>
          <w:tcPr>
            <w:tcW w:w="964" w:type="dxa"/>
            <w:vAlign w:val="center"/>
          </w:tcPr>
          <w:p w14:paraId="1F46296F" w14:textId="77777777" w:rsidR="008F6AC1" w:rsidRPr="00483F7D" w:rsidRDefault="008F6AC1" w:rsidP="005563C1">
            <w:pPr>
              <w:spacing w:before="60" w:after="60"/>
              <w:jc w:val="center"/>
              <w:rPr>
                <w:noProof/>
                <w:sz w:val="20"/>
              </w:rPr>
            </w:pPr>
          </w:p>
        </w:tc>
        <w:tc>
          <w:tcPr>
            <w:tcW w:w="964" w:type="dxa"/>
            <w:vAlign w:val="center"/>
          </w:tcPr>
          <w:p w14:paraId="61B03C12" w14:textId="77777777" w:rsidR="008F6AC1" w:rsidRPr="00483F7D" w:rsidRDefault="008F6AC1" w:rsidP="005563C1">
            <w:pPr>
              <w:spacing w:before="60" w:after="60"/>
              <w:jc w:val="center"/>
              <w:rPr>
                <w:noProof/>
                <w:sz w:val="20"/>
              </w:rPr>
            </w:pPr>
          </w:p>
        </w:tc>
        <w:tc>
          <w:tcPr>
            <w:tcW w:w="964" w:type="dxa"/>
            <w:vAlign w:val="center"/>
          </w:tcPr>
          <w:p w14:paraId="40FD79F2" w14:textId="77777777" w:rsidR="008F6AC1" w:rsidRPr="00483F7D" w:rsidRDefault="008F6AC1" w:rsidP="005563C1">
            <w:pPr>
              <w:spacing w:before="60" w:after="60"/>
              <w:jc w:val="center"/>
              <w:rPr>
                <w:noProof/>
                <w:sz w:val="20"/>
              </w:rPr>
            </w:pPr>
          </w:p>
        </w:tc>
        <w:tc>
          <w:tcPr>
            <w:tcW w:w="964" w:type="dxa"/>
            <w:vAlign w:val="center"/>
          </w:tcPr>
          <w:p w14:paraId="573C18F9" w14:textId="77777777" w:rsidR="008F6AC1" w:rsidRPr="00483F7D" w:rsidRDefault="008F6AC1" w:rsidP="005563C1">
            <w:pPr>
              <w:spacing w:before="60" w:after="60"/>
              <w:jc w:val="center"/>
              <w:rPr>
                <w:noProof/>
                <w:sz w:val="20"/>
              </w:rPr>
            </w:pPr>
          </w:p>
        </w:tc>
        <w:tc>
          <w:tcPr>
            <w:tcW w:w="964" w:type="dxa"/>
            <w:vAlign w:val="center"/>
          </w:tcPr>
          <w:p w14:paraId="3796DD0D" w14:textId="77777777" w:rsidR="008F6AC1" w:rsidRPr="00483F7D" w:rsidRDefault="008F6AC1" w:rsidP="005563C1">
            <w:pPr>
              <w:spacing w:before="60" w:after="60"/>
              <w:jc w:val="center"/>
              <w:rPr>
                <w:noProof/>
                <w:sz w:val="20"/>
              </w:rPr>
            </w:pPr>
          </w:p>
        </w:tc>
        <w:tc>
          <w:tcPr>
            <w:tcW w:w="964" w:type="dxa"/>
            <w:vAlign w:val="center"/>
          </w:tcPr>
          <w:p w14:paraId="31AB1856" w14:textId="77777777" w:rsidR="008F6AC1" w:rsidRPr="00483F7D" w:rsidRDefault="008F6AC1" w:rsidP="005563C1">
            <w:pPr>
              <w:spacing w:before="60" w:after="60"/>
              <w:jc w:val="center"/>
              <w:rPr>
                <w:noProof/>
                <w:sz w:val="20"/>
              </w:rPr>
            </w:pPr>
          </w:p>
        </w:tc>
        <w:tc>
          <w:tcPr>
            <w:tcW w:w="666" w:type="dxa"/>
            <w:vAlign w:val="center"/>
          </w:tcPr>
          <w:p w14:paraId="0BD16234" w14:textId="77777777" w:rsidR="008F6AC1" w:rsidRPr="00483F7D" w:rsidRDefault="008F6AC1" w:rsidP="005563C1">
            <w:pPr>
              <w:spacing w:before="60" w:after="60"/>
              <w:jc w:val="center"/>
              <w:rPr>
                <w:noProof/>
                <w:sz w:val="20"/>
              </w:rPr>
            </w:pPr>
          </w:p>
        </w:tc>
      </w:tr>
      <w:tr w:rsidR="008F6AC1" w:rsidRPr="00483F7D" w14:paraId="40AD1917" w14:textId="77777777" w:rsidTr="005563C1">
        <w:trPr>
          <w:cantSplit/>
        </w:trPr>
        <w:tc>
          <w:tcPr>
            <w:tcW w:w="1374" w:type="dxa"/>
          </w:tcPr>
          <w:p w14:paraId="7714BEE9" w14:textId="77777777" w:rsidR="008F6AC1" w:rsidRPr="00483F7D" w:rsidRDefault="008F6AC1" w:rsidP="005563C1">
            <w:pPr>
              <w:spacing w:before="60" w:after="60"/>
              <w:rPr>
                <w:noProof/>
                <w:sz w:val="20"/>
              </w:rPr>
            </w:pPr>
            <w:r w:rsidRPr="00483F7D">
              <w:rPr>
                <w:sz w:val="20"/>
              </w:rPr>
              <w:t xml:space="preserve">ΣΥΝΟΛΟ συγχρηματοδοτούμενων πιστώσεων </w:t>
            </w:r>
          </w:p>
        </w:tc>
        <w:tc>
          <w:tcPr>
            <w:tcW w:w="964" w:type="dxa"/>
            <w:vAlign w:val="center"/>
          </w:tcPr>
          <w:p w14:paraId="71ECF9FC" w14:textId="77777777" w:rsidR="008F6AC1" w:rsidRPr="00483F7D" w:rsidRDefault="008F6AC1" w:rsidP="005563C1">
            <w:pPr>
              <w:spacing w:before="60" w:after="60"/>
              <w:jc w:val="center"/>
              <w:rPr>
                <w:noProof/>
                <w:sz w:val="20"/>
              </w:rPr>
            </w:pPr>
          </w:p>
        </w:tc>
        <w:tc>
          <w:tcPr>
            <w:tcW w:w="964" w:type="dxa"/>
            <w:vAlign w:val="center"/>
          </w:tcPr>
          <w:p w14:paraId="2B3F36CD" w14:textId="77777777" w:rsidR="008F6AC1" w:rsidRPr="00483F7D" w:rsidRDefault="008F6AC1" w:rsidP="005563C1">
            <w:pPr>
              <w:spacing w:before="60" w:after="60"/>
              <w:jc w:val="center"/>
              <w:rPr>
                <w:noProof/>
                <w:sz w:val="20"/>
              </w:rPr>
            </w:pPr>
          </w:p>
        </w:tc>
        <w:tc>
          <w:tcPr>
            <w:tcW w:w="964" w:type="dxa"/>
            <w:vAlign w:val="center"/>
          </w:tcPr>
          <w:p w14:paraId="332632DC" w14:textId="77777777" w:rsidR="008F6AC1" w:rsidRPr="00483F7D" w:rsidRDefault="008F6AC1" w:rsidP="005563C1">
            <w:pPr>
              <w:spacing w:before="60" w:after="60"/>
              <w:jc w:val="center"/>
              <w:rPr>
                <w:noProof/>
                <w:sz w:val="20"/>
              </w:rPr>
            </w:pPr>
          </w:p>
        </w:tc>
        <w:tc>
          <w:tcPr>
            <w:tcW w:w="964" w:type="dxa"/>
            <w:vAlign w:val="center"/>
          </w:tcPr>
          <w:p w14:paraId="5B79FA56" w14:textId="77777777" w:rsidR="008F6AC1" w:rsidRPr="00483F7D" w:rsidRDefault="008F6AC1" w:rsidP="005563C1">
            <w:pPr>
              <w:spacing w:before="60" w:after="60"/>
              <w:jc w:val="center"/>
              <w:rPr>
                <w:noProof/>
                <w:sz w:val="20"/>
              </w:rPr>
            </w:pPr>
          </w:p>
        </w:tc>
        <w:tc>
          <w:tcPr>
            <w:tcW w:w="964" w:type="dxa"/>
            <w:vAlign w:val="center"/>
          </w:tcPr>
          <w:p w14:paraId="71859BF7" w14:textId="77777777" w:rsidR="008F6AC1" w:rsidRPr="00483F7D" w:rsidRDefault="008F6AC1" w:rsidP="005563C1">
            <w:pPr>
              <w:spacing w:before="60" w:after="60"/>
              <w:jc w:val="center"/>
              <w:rPr>
                <w:noProof/>
                <w:sz w:val="20"/>
              </w:rPr>
            </w:pPr>
          </w:p>
        </w:tc>
        <w:tc>
          <w:tcPr>
            <w:tcW w:w="964" w:type="dxa"/>
            <w:vAlign w:val="center"/>
          </w:tcPr>
          <w:p w14:paraId="2DBD540F" w14:textId="77777777" w:rsidR="008F6AC1" w:rsidRPr="00483F7D" w:rsidRDefault="008F6AC1" w:rsidP="005563C1">
            <w:pPr>
              <w:spacing w:before="60" w:after="60"/>
              <w:jc w:val="center"/>
              <w:rPr>
                <w:noProof/>
                <w:sz w:val="20"/>
              </w:rPr>
            </w:pPr>
          </w:p>
        </w:tc>
        <w:tc>
          <w:tcPr>
            <w:tcW w:w="964" w:type="dxa"/>
            <w:vAlign w:val="center"/>
          </w:tcPr>
          <w:p w14:paraId="534E8AB5" w14:textId="77777777" w:rsidR="008F6AC1" w:rsidRPr="00483F7D" w:rsidRDefault="008F6AC1" w:rsidP="005563C1">
            <w:pPr>
              <w:spacing w:before="60" w:after="60"/>
              <w:jc w:val="center"/>
              <w:rPr>
                <w:noProof/>
                <w:sz w:val="20"/>
              </w:rPr>
            </w:pPr>
          </w:p>
        </w:tc>
        <w:tc>
          <w:tcPr>
            <w:tcW w:w="666" w:type="dxa"/>
            <w:vAlign w:val="center"/>
          </w:tcPr>
          <w:p w14:paraId="072C11A2" w14:textId="77777777" w:rsidR="008F6AC1" w:rsidRPr="00483F7D" w:rsidRDefault="008F6AC1" w:rsidP="005563C1">
            <w:pPr>
              <w:spacing w:before="60" w:after="60"/>
              <w:jc w:val="center"/>
              <w:rPr>
                <w:noProof/>
                <w:sz w:val="20"/>
              </w:rPr>
            </w:pPr>
          </w:p>
        </w:tc>
      </w:tr>
    </w:tbl>
    <w:p w14:paraId="4BA86BC2" w14:textId="77777777" w:rsidR="008F6AC1" w:rsidRPr="00483F7D" w:rsidRDefault="008F6AC1" w:rsidP="008F6AC1">
      <w:pPr>
        <w:rPr>
          <w:noProof/>
        </w:rPr>
      </w:pPr>
      <w:r w:rsidRPr="00483F7D">
        <w:t xml:space="preserve"> </w:t>
      </w:r>
      <w:r w:rsidRPr="00483F7D">
        <w:br/>
      </w:r>
    </w:p>
    <w:p w14:paraId="173ADA9B" w14:textId="77777777" w:rsidR="008F6AC1" w:rsidRPr="00483F7D" w:rsidRDefault="008F6AC1" w:rsidP="008F6AC1">
      <w:pPr>
        <w:pStyle w:val="ManualHeading2"/>
        <w:rPr>
          <w:bCs/>
          <w:noProof/>
          <w:szCs w:val="24"/>
        </w:rPr>
      </w:pPr>
      <w:r w:rsidRPr="00483F7D">
        <w:br w:type="page"/>
      </w:r>
      <w:bookmarkStart w:id="362" w:name="_Toc514938691"/>
      <w:bookmarkStart w:id="363" w:name="_Toc520485450"/>
      <w:bookmarkStart w:id="364" w:name="_Toc133320632"/>
      <w:r w:rsidRPr="00483F7D">
        <w:t>3.3.</w:t>
      </w:r>
      <w:r w:rsidRPr="00483F7D">
        <w:tab/>
        <w:t>Εκτιμώμενες επιπτώσεις στα έσοδα</w:t>
      </w:r>
      <w:bookmarkEnd w:id="362"/>
      <w:bookmarkEnd w:id="363"/>
      <w:bookmarkEnd w:id="364"/>
      <w:r w:rsidRPr="00483F7D">
        <w:t xml:space="preserve"> </w:t>
      </w:r>
    </w:p>
    <w:p w14:paraId="47E119B7" w14:textId="77777777" w:rsidR="008F6AC1" w:rsidRPr="00483F7D" w:rsidRDefault="008F6AC1" w:rsidP="00CF7E35">
      <w:pPr>
        <w:pStyle w:val="ListDash1"/>
        <w:numPr>
          <w:ilvl w:val="0"/>
          <w:numId w:val="38"/>
        </w:numPr>
        <w:rPr>
          <w:noProof/>
        </w:rPr>
      </w:pPr>
      <w:r w:rsidRPr="00483F7D">
        <w:sym w:font="Wingdings" w:char="F0A8"/>
      </w:r>
      <w:r w:rsidRPr="00483F7D">
        <w:tab/>
        <w:t>Η πρόταση/πρωτοβουλία δεν έχει δημοσιονομικές επιπτώσεις στα έσοδα.</w:t>
      </w:r>
    </w:p>
    <w:p w14:paraId="21A45E2B" w14:textId="77777777" w:rsidR="008F6AC1" w:rsidRPr="00483F7D" w:rsidRDefault="008F6AC1" w:rsidP="00CF7E35">
      <w:pPr>
        <w:pStyle w:val="ListDash1"/>
        <w:numPr>
          <w:ilvl w:val="0"/>
          <w:numId w:val="38"/>
        </w:numPr>
        <w:rPr>
          <w:noProof/>
        </w:rPr>
      </w:pPr>
      <w:r w:rsidRPr="00483F7D">
        <w:sym w:font="Wingdings" w:char="F0A8"/>
      </w:r>
      <w:r w:rsidRPr="00483F7D">
        <w:tab/>
        <w:t>Η πρόταση/πρωτοβουλία έχει τις δημοσιονομικές επιπτώσεις που περιγράφονται κατωτέρω:</w:t>
      </w:r>
    </w:p>
    <w:p w14:paraId="39BD658C" w14:textId="77777777" w:rsidR="008F6AC1" w:rsidRPr="00483F7D" w:rsidRDefault="008F6AC1" w:rsidP="00CF7E35">
      <w:pPr>
        <w:pStyle w:val="ListNumberLevel3"/>
        <w:numPr>
          <w:ilvl w:val="2"/>
          <w:numId w:val="36"/>
        </w:numPr>
        <w:rPr>
          <w:noProof/>
        </w:rPr>
      </w:pPr>
      <w:r w:rsidRPr="00483F7D">
        <w:tab/>
      </w:r>
      <w:r w:rsidRPr="00483F7D">
        <w:rPr>
          <w:b/>
        </w:rPr>
        <w:t xml:space="preserve">X </w:t>
      </w:r>
      <w:r w:rsidRPr="00483F7D">
        <w:t xml:space="preserve">στους ιδίους πόρους </w:t>
      </w:r>
    </w:p>
    <w:p w14:paraId="31ED821A" w14:textId="77777777" w:rsidR="008F6AC1" w:rsidRPr="00483F7D" w:rsidRDefault="008F6AC1" w:rsidP="00CF7E35">
      <w:pPr>
        <w:pStyle w:val="ListNumberLevel3"/>
        <w:numPr>
          <w:ilvl w:val="2"/>
          <w:numId w:val="36"/>
        </w:numPr>
        <w:rPr>
          <w:noProof/>
        </w:rPr>
      </w:pPr>
      <w:r w:rsidRPr="00483F7D">
        <w:sym w:font="Wingdings" w:char="F0A8"/>
      </w:r>
      <w:r w:rsidRPr="00483F7D">
        <w:t xml:space="preserve"> στα λοιπά έσοδα </w:t>
      </w:r>
    </w:p>
    <w:p w14:paraId="7FA4FBE7" w14:textId="77777777" w:rsidR="008F6AC1" w:rsidRPr="00483F7D" w:rsidRDefault="008F6AC1" w:rsidP="00CF7E35">
      <w:pPr>
        <w:pStyle w:val="ListNumberLevel3"/>
        <w:numPr>
          <w:ilvl w:val="2"/>
          <w:numId w:val="36"/>
        </w:numPr>
        <w:rPr>
          <w:noProof/>
        </w:rPr>
      </w:pPr>
      <w:r w:rsidRPr="00483F7D">
        <w:t xml:space="preserve"> Να αναφερθεί αν τα έσοδα προορίζονται για γραμμές δαπανών </w:t>
      </w:r>
      <w:r w:rsidRPr="00483F7D">
        <w:sym w:font="Wingdings" w:char="F0A8"/>
      </w:r>
    </w:p>
    <w:p w14:paraId="7760D2A9" w14:textId="77777777" w:rsidR="008F6AC1" w:rsidRPr="00483F7D" w:rsidRDefault="008F6AC1" w:rsidP="008F6AC1">
      <w:pPr>
        <w:jc w:val="right"/>
        <w:rPr>
          <w:i/>
          <w:noProof/>
          <w:sz w:val="20"/>
        </w:rPr>
      </w:pPr>
      <w:r w:rsidRPr="00483F7D">
        <w:rPr>
          <w:sz w:val="20"/>
        </w:rPr>
        <w:t>σε εκατ. EUR (με τρία δεκαδικά ψηφία)</w:t>
      </w:r>
    </w:p>
    <w:tbl>
      <w:tblPr>
        <w:tblW w:w="8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346"/>
        <w:gridCol w:w="945"/>
        <w:gridCol w:w="723"/>
        <w:gridCol w:w="724"/>
        <w:gridCol w:w="723"/>
        <w:gridCol w:w="724"/>
        <w:gridCol w:w="723"/>
        <w:gridCol w:w="716"/>
        <w:gridCol w:w="714"/>
      </w:tblGrid>
      <w:tr w:rsidR="008F6AC1" w:rsidRPr="00483F7D" w14:paraId="3A2B1D5A" w14:textId="77777777" w:rsidTr="005563C1">
        <w:trPr>
          <w:trHeight w:val="510"/>
        </w:trPr>
        <w:tc>
          <w:tcPr>
            <w:tcW w:w="1206" w:type="dxa"/>
            <w:vMerge w:val="restart"/>
            <w:vAlign w:val="center"/>
          </w:tcPr>
          <w:p w14:paraId="587EA670" w14:textId="77777777" w:rsidR="008F6AC1" w:rsidRPr="00483F7D" w:rsidRDefault="008F6AC1" w:rsidP="005563C1">
            <w:pPr>
              <w:spacing w:before="40" w:after="40"/>
              <w:rPr>
                <w:noProof/>
                <w:sz w:val="18"/>
              </w:rPr>
            </w:pPr>
            <w:r w:rsidRPr="00483F7D">
              <w:rPr>
                <w:sz w:val="18"/>
              </w:rPr>
              <w:t>Γραμμή εσόδων του προϋπολογισμού:</w:t>
            </w:r>
          </w:p>
        </w:tc>
        <w:tc>
          <w:tcPr>
            <w:tcW w:w="1346" w:type="dxa"/>
            <w:vMerge w:val="restart"/>
            <w:vAlign w:val="center"/>
          </w:tcPr>
          <w:p w14:paraId="0DC3F912" w14:textId="77777777" w:rsidR="008F6AC1" w:rsidRPr="00483F7D" w:rsidRDefault="008F6AC1" w:rsidP="005563C1">
            <w:pPr>
              <w:jc w:val="center"/>
              <w:rPr>
                <w:noProof/>
                <w:sz w:val="18"/>
              </w:rPr>
            </w:pPr>
            <w:r w:rsidRPr="00483F7D">
              <w:rPr>
                <w:sz w:val="18"/>
              </w:rPr>
              <w:t>Διαθέσιμες πιστώσεις για το τρέχον οικονομικό έτος</w:t>
            </w:r>
          </w:p>
        </w:tc>
        <w:tc>
          <w:tcPr>
            <w:tcW w:w="5278" w:type="dxa"/>
            <w:gridSpan w:val="7"/>
            <w:vAlign w:val="center"/>
          </w:tcPr>
          <w:p w14:paraId="3236EDF9" w14:textId="77777777" w:rsidR="008F6AC1" w:rsidRPr="00483F7D" w:rsidRDefault="008F6AC1" w:rsidP="005563C1">
            <w:pPr>
              <w:jc w:val="center"/>
              <w:rPr>
                <w:noProof/>
                <w:sz w:val="18"/>
              </w:rPr>
            </w:pPr>
            <w:r w:rsidRPr="00483F7D">
              <w:rPr>
                <w:sz w:val="18"/>
              </w:rPr>
              <w:t>Επιπτώσεις της πρότασης/πρωτοβουλίας</w:t>
            </w:r>
            <w:r w:rsidRPr="00483F7D">
              <w:rPr>
                <w:rStyle w:val="FootnoteReference"/>
                <w:noProof/>
                <w:sz w:val="18"/>
              </w:rPr>
              <w:footnoteReference w:id="99"/>
            </w:r>
          </w:p>
        </w:tc>
        <w:tc>
          <w:tcPr>
            <w:tcW w:w="714" w:type="dxa"/>
          </w:tcPr>
          <w:p w14:paraId="00543969" w14:textId="77777777" w:rsidR="008F6AC1" w:rsidRPr="00483F7D" w:rsidRDefault="008F6AC1" w:rsidP="005563C1">
            <w:pPr>
              <w:jc w:val="center"/>
              <w:rPr>
                <w:noProof/>
                <w:sz w:val="18"/>
              </w:rPr>
            </w:pPr>
          </w:p>
        </w:tc>
      </w:tr>
      <w:tr w:rsidR="008F6AC1" w:rsidRPr="00483F7D" w14:paraId="2822E2E8" w14:textId="77777777" w:rsidTr="005563C1">
        <w:trPr>
          <w:trHeight w:val="510"/>
        </w:trPr>
        <w:tc>
          <w:tcPr>
            <w:tcW w:w="1206" w:type="dxa"/>
            <w:vMerge/>
            <w:vAlign w:val="center"/>
          </w:tcPr>
          <w:p w14:paraId="2311E5FB" w14:textId="77777777" w:rsidR="008F6AC1" w:rsidRPr="00483F7D" w:rsidRDefault="008F6AC1" w:rsidP="005563C1">
            <w:pPr>
              <w:rPr>
                <w:noProof/>
                <w:sz w:val="18"/>
              </w:rPr>
            </w:pPr>
          </w:p>
        </w:tc>
        <w:tc>
          <w:tcPr>
            <w:tcW w:w="1346" w:type="dxa"/>
            <w:vMerge/>
            <w:vAlign w:val="center"/>
          </w:tcPr>
          <w:p w14:paraId="00B09FB6" w14:textId="77777777" w:rsidR="008F6AC1" w:rsidRPr="00483F7D" w:rsidRDefault="008F6AC1" w:rsidP="005563C1">
            <w:pPr>
              <w:rPr>
                <w:noProof/>
                <w:sz w:val="18"/>
              </w:rPr>
            </w:pPr>
          </w:p>
        </w:tc>
        <w:tc>
          <w:tcPr>
            <w:tcW w:w="945" w:type="dxa"/>
            <w:vAlign w:val="center"/>
          </w:tcPr>
          <w:p w14:paraId="12EBAE36" w14:textId="77777777" w:rsidR="008F6AC1" w:rsidRPr="00483F7D" w:rsidRDefault="008F6AC1" w:rsidP="005563C1">
            <w:pPr>
              <w:jc w:val="center"/>
              <w:rPr>
                <w:noProof/>
                <w:sz w:val="20"/>
                <w:szCs w:val="24"/>
              </w:rPr>
            </w:pPr>
            <w:r w:rsidRPr="00483F7D">
              <w:rPr>
                <w:sz w:val="20"/>
              </w:rPr>
              <w:t>2028</w:t>
            </w:r>
          </w:p>
        </w:tc>
        <w:tc>
          <w:tcPr>
            <w:tcW w:w="723" w:type="dxa"/>
            <w:vAlign w:val="center"/>
          </w:tcPr>
          <w:p w14:paraId="7686FDB8" w14:textId="77777777" w:rsidR="008F6AC1" w:rsidRPr="00483F7D" w:rsidRDefault="008F6AC1" w:rsidP="005563C1">
            <w:pPr>
              <w:jc w:val="center"/>
              <w:rPr>
                <w:noProof/>
                <w:sz w:val="20"/>
                <w:szCs w:val="24"/>
              </w:rPr>
            </w:pPr>
            <w:r w:rsidRPr="00483F7D">
              <w:rPr>
                <w:sz w:val="20"/>
              </w:rPr>
              <w:t>2029</w:t>
            </w:r>
          </w:p>
        </w:tc>
        <w:tc>
          <w:tcPr>
            <w:tcW w:w="724" w:type="dxa"/>
            <w:vAlign w:val="center"/>
          </w:tcPr>
          <w:p w14:paraId="33C078B6" w14:textId="77777777" w:rsidR="008F6AC1" w:rsidRPr="00483F7D" w:rsidRDefault="008F6AC1" w:rsidP="005563C1">
            <w:pPr>
              <w:jc w:val="center"/>
              <w:rPr>
                <w:noProof/>
                <w:sz w:val="20"/>
                <w:szCs w:val="24"/>
              </w:rPr>
            </w:pPr>
            <w:r w:rsidRPr="00483F7D">
              <w:rPr>
                <w:sz w:val="20"/>
              </w:rPr>
              <w:t>2030</w:t>
            </w:r>
          </w:p>
        </w:tc>
        <w:tc>
          <w:tcPr>
            <w:tcW w:w="723" w:type="dxa"/>
            <w:vAlign w:val="center"/>
          </w:tcPr>
          <w:p w14:paraId="79E3BFE5" w14:textId="77777777" w:rsidR="008F6AC1" w:rsidRPr="00483F7D" w:rsidRDefault="008F6AC1" w:rsidP="005563C1">
            <w:pPr>
              <w:jc w:val="center"/>
              <w:rPr>
                <w:noProof/>
                <w:sz w:val="20"/>
                <w:szCs w:val="24"/>
              </w:rPr>
            </w:pPr>
            <w:r w:rsidRPr="00483F7D">
              <w:rPr>
                <w:sz w:val="20"/>
              </w:rPr>
              <w:t>2031</w:t>
            </w:r>
          </w:p>
        </w:tc>
        <w:tc>
          <w:tcPr>
            <w:tcW w:w="724" w:type="dxa"/>
            <w:vAlign w:val="center"/>
          </w:tcPr>
          <w:p w14:paraId="3145B5F8" w14:textId="77777777" w:rsidR="008F6AC1" w:rsidRPr="00483F7D" w:rsidRDefault="008F6AC1" w:rsidP="005563C1">
            <w:pPr>
              <w:jc w:val="center"/>
              <w:rPr>
                <w:bCs/>
                <w:noProof/>
                <w:sz w:val="20"/>
                <w:szCs w:val="24"/>
              </w:rPr>
            </w:pPr>
            <w:r w:rsidRPr="00483F7D">
              <w:rPr>
                <w:sz w:val="20"/>
              </w:rPr>
              <w:t>2032</w:t>
            </w:r>
          </w:p>
        </w:tc>
        <w:tc>
          <w:tcPr>
            <w:tcW w:w="723" w:type="dxa"/>
            <w:vAlign w:val="center"/>
          </w:tcPr>
          <w:p w14:paraId="5A62B5A5" w14:textId="77777777" w:rsidR="008F6AC1" w:rsidRPr="00483F7D" w:rsidRDefault="008F6AC1" w:rsidP="005563C1">
            <w:pPr>
              <w:jc w:val="center"/>
              <w:rPr>
                <w:bCs/>
                <w:noProof/>
                <w:sz w:val="20"/>
                <w:szCs w:val="24"/>
              </w:rPr>
            </w:pPr>
            <w:r w:rsidRPr="00483F7D">
              <w:rPr>
                <w:sz w:val="20"/>
              </w:rPr>
              <w:t>2033</w:t>
            </w:r>
          </w:p>
        </w:tc>
        <w:tc>
          <w:tcPr>
            <w:tcW w:w="716" w:type="dxa"/>
            <w:vAlign w:val="center"/>
          </w:tcPr>
          <w:p w14:paraId="17DF70E2" w14:textId="77777777" w:rsidR="008F6AC1" w:rsidRPr="00483F7D" w:rsidRDefault="008F6AC1" w:rsidP="005563C1">
            <w:pPr>
              <w:jc w:val="center"/>
              <w:rPr>
                <w:bCs/>
                <w:noProof/>
                <w:sz w:val="20"/>
                <w:szCs w:val="24"/>
              </w:rPr>
            </w:pPr>
            <w:r w:rsidRPr="00483F7D">
              <w:rPr>
                <w:sz w:val="20"/>
              </w:rPr>
              <w:t>2034</w:t>
            </w:r>
          </w:p>
        </w:tc>
        <w:tc>
          <w:tcPr>
            <w:tcW w:w="714" w:type="dxa"/>
          </w:tcPr>
          <w:p w14:paraId="71FA3DD4" w14:textId="77777777" w:rsidR="008F6AC1" w:rsidRPr="00483F7D" w:rsidRDefault="008F6AC1" w:rsidP="005563C1">
            <w:pPr>
              <w:jc w:val="center"/>
              <w:rPr>
                <w:bCs/>
                <w:noProof/>
                <w:sz w:val="20"/>
                <w:szCs w:val="24"/>
              </w:rPr>
            </w:pPr>
            <w:r w:rsidRPr="00483F7D">
              <w:rPr>
                <w:sz w:val="20"/>
              </w:rPr>
              <w:t>Σύνολο</w:t>
            </w:r>
          </w:p>
        </w:tc>
      </w:tr>
      <w:tr w:rsidR="008F6AC1" w:rsidRPr="00483F7D" w14:paraId="27B59F9E" w14:textId="77777777" w:rsidTr="005563C1">
        <w:trPr>
          <w:trHeight w:val="510"/>
        </w:trPr>
        <w:tc>
          <w:tcPr>
            <w:tcW w:w="1206" w:type="dxa"/>
            <w:vAlign w:val="center"/>
          </w:tcPr>
          <w:p w14:paraId="5D679F8B" w14:textId="77777777" w:rsidR="008F6AC1" w:rsidRPr="00483F7D" w:rsidRDefault="008F6AC1" w:rsidP="005563C1">
            <w:pPr>
              <w:spacing w:before="40" w:after="40"/>
              <w:rPr>
                <w:noProof/>
                <w:sz w:val="18"/>
              </w:rPr>
            </w:pPr>
            <w:r w:rsidRPr="00483F7D">
              <w:rPr>
                <w:sz w:val="18"/>
              </w:rPr>
              <w:t>Άρθρο ………….</w:t>
            </w:r>
          </w:p>
        </w:tc>
        <w:tc>
          <w:tcPr>
            <w:tcW w:w="1346" w:type="dxa"/>
          </w:tcPr>
          <w:p w14:paraId="6B60795A" w14:textId="77777777" w:rsidR="008F6AC1" w:rsidRPr="00483F7D" w:rsidRDefault="008F6AC1" w:rsidP="005563C1">
            <w:pPr>
              <w:spacing w:beforeLines="40" w:before="96" w:afterLines="40" w:after="96"/>
              <w:jc w:val="center"/>
              <w:rPr>
                <w:i/>
                <w:noProof/>
                <w:sz w:val="18"/>
              </w:rPr>
            </w:pPr>
          </w:p>
        </w:tc>
        <w:tc>
          <w:tcPr>
            <w:tcW w:w="945" w:type="dxa"/>
          </w:tcPr>
          <w:p w14:paraId="6F1C5413" w14:textId="77777777" w:rsidR="008F6AC1" w:rsidRPr="00483F7D" w:rsidRDefault="008F6AC1" w:rsidP="005563C1">
            <w:pPr>
              <w:spacing w:beforeLines="40" w:before="96" w:afterLines="40" w:after="96"/>
              <w:jc w:val="center"/>
              <w:rPr>
                <w:noProof/>
                <w:sz w:val="20"/>
                <w:szCs w:val="24"/>
              </w:rPr>
            </w:pPr>
            <w:r w:rsidRPr="00483F7D">
              <w:rPr>
                <w:sz w:val="20"/>
              </w:rPr>
              <w:t>812</w:t>
            </w:r>
          </w:p>
        </w:tc>
        <w:tc>
          <w:tcPr>
            <w:tcW w:w="723" w:type="dxa"/>
          </w:tcPr>
          <w:p w14:paraId="2CD249C6" w14:textId="77777777" w:rsidR="008F6AC1" w:rsidRPr="00483F7D" w:rsidRDefault="008F6AC1" w:rsidP="005563C1">
            <w:pPr>
              <w:spacing w:beforeLines="40" w:before="96" w:afterLines="40" w:after="96"/>
              <w:jc w:val="center"/>
              <w:rPr>
                <w:noProof/>
                <w:sz w:val="20"/>
                <w:szCs w:val="24"/>
              </w:rPr>
            </w:pPr>
            <w:r w:rsidRPr="00483F7D">
              <w:rPr>
                <w:sz w:val="20"/>
              </w:rPr>
              <w:t>828</w:t>
            </w:r>
          </w:p>
        </w:tc>
        <w:tc>
          <w:tcPr>
            <w:tcW w:w="724" w:type="dxa"/>
          </w:tcPr>
          <w:p w14:paraId="1A6507ED" w14:textId="77777777" w:rsidR="008F6AC1" w:rsidRPr="00483F7D" w:rsidRDefault="008F6AC1" w:rsidP="005563C1">
            <w:pPr>
              <w:spacing w:beforeLines="40" w:before="96" w:afterLines="40" w:after="96"/>
              <w:jc w:val="center"/>
              <w:rPr>
                <w:noProof/>
                <w:sz w:val="20"/>
                <w:szCs w:val="24"/>
              </w:rPr>
            </w:pPr>
            <w:r w:rsidRPr="00483F7D">
              <w:rPr>
                <w:sz w:val="20"/>
              </w:rPr>
              <w:t>845</w:t>
            </w:r>
          </w:p>
        </w:tc>
        <w:tc>
          <w:tcPr>
            <w:tcW w:w="723" w:type="dxa"/>
          </w:tcPr>
          <w:p w14:paraId="30EDBE27" w14:textId="77777777" w:rsidR="008F6AC1" w:rsidRPr="00483F7D" w:rsidRDefault="008F6AC1" w:rsidP="005563C1">
            <w:pPr>
              <w:spacing w:beforeLines="40" w:before="96" w:afterLines="40" w:after="96"/>
              <w:jc w:val="center"/>
              <w:rPr>
                <w:noProof/>
                <w:sz w:val="20"/>
                <w:szCs w:val="24"/>
              </w:rPr>
            </w:pPr>
            <w:r w:rsidRPr="00483F7D">
              <w:rPr>
                <w:sz w:val="20"/>
              </w:rPr>
              <w:t>862</w:t>
            </w:r>
          </w:p>
        </w:tc>
        <w:tc>
          <w:tcPr>
            <w:tcW w:w="724" w:type="dxa"/>
          </w:tcPr>
          <w:p w14:paraId="2BA4BAB5" w14:textId="77777777" w:rsidR="008F6AC1" w:rsidRPr="00483F7D" w:rsidRDefault="008F6AC1" w:rsidP="005563C1">
            <w:pPr>
              <w:spacing w:beforeLines="40" w:before="96" w:afterLines="40" w:after="96"/>
              <w:jc w:val="center"/>
              <w:rPr>
                <w:noProof/>
                <w:sz w:val="20"/>
                <w:szCs w:val="24"/>
              </w:rPr>
            </w:pPr>
            <w:r w:rsidRPr="00483F7D">
              <w:rPr>
                <w:sz w:val="20"/>
              </w:rPr>
              <w:t>879</w:t>
            </w:r>
          </w:p>
        </w:tc>
        <w:tc>
          <w:tcPr>
            <w:tcW w:w="723" w:type="dxa"/>
          </w:tcPr>
          <w:p w14:paraId="699B71BE" w14:textId="77777777" w:rsidR="008F6AC1" w:rsidRPr="00483F7D" w:rsidRDefault="008F6AC1" w:rsidP="005563C1">
            <w:pPr>
              <w:spacing w:beforeLines="40" w:before="96" w:afterLines="40" w:after="96"/>
              <w:jc w:val="center"/>
              <w:rPr>
                <w:noProof/>
                <w:sz w:val="20"/>
                <w:szCs w:val="24"/>
              </w:rPr>
            </w:pPr>
            <w:r w:rsidRPr="00483F7D">
              <w:rPr>
                <w:sz w:val="20"/>
              </w:rPr>
              <w:t>896</w:t>
            </w:r>
          </w:p>
        </w:tc>
        <w:tc>
          <w:tcPr>
            <w:tcW w:w="716" w:type="dxa"/>
          </w:tcPr>
          <w:p w14:paraId="0B676483" w14:textId="77777777" w:rsidR="008F6AC1" w:rsidRPr="00483F7D" w:rsidRDefault="008F6AC1" w:rsidP="005563C1">
            <w:pPr>
              <w:spacing w:beforeLines="40" w:before="96" w:afterLines="40" w:after="96"/>
              <w:jc w:val="center"/>
              <w:rPr>
                <w:noProof/>
                <w:sz w:val="20"/>
                <w:szCs w:val="24"/>
              </w:rPr>
            </w:pPr>
            <w:r w:rsidRPr="00483F7D">
              <w:rPr>
                <w:sz w:val="20"/>
              </w:rPr>
              <w:t>914</w:t>
            </w:r>
          </w:p>
        </w:tc>
        <w:tc>
          <w:tcPr>
            <w:tcW w:w="714" w:type="dxa"/>
          </w:tcPr>
          <w:p w14:paraId="1887AAF1" w14:textId="77777777" w:rsidR="008F6AC1" w:rsidRPr="00483F7D" w:rsidRDefault="008F6AC1" w:rsidP="005563C1">
            <w:pPr>
              <w:spacing w:beforeLines="40" w:before="96" w:afterLines="40" w:after="96"/>
              <w:jc w:val="center"/>
              <w:rPr>
                <w:noProof/>
                <w:sz w:val="20"/>
                <w:szCs w:val="24"/>
              </w:rPr>
            </w:pPr>
            <w:r w:rsidRPr="00483F7D">
              <w:rPr>
                <w:sz w:val="20"/>
              </w:rPr>
              <w:t>6 035</w:t>
            </w:r>
          </w:p>
        </w:tc>
      </w:tr>
    </w:tbl>
    <w:p w14:paraId="7DB92F7C" w14:textId="77777777" w:rsidR="008F6AC1" w:rsidRPr="00483F7D" w:rsidRDefault="008F6AC1" w:rsidP="008F6AC1">
      <w:pPr>
        <w:pStyle w:val="Text1"/>
        <w:rPr>
          <w:noProof/>
          <w:sz w:val="20"/>
        </w:rPr>
      </w:pPr>
      <w:r w:rsidRPr="00483F7D">
        <w:rPr>
          <w:sz w:val="20"/>
        </w:rPr>
        <w:t>Ως προς τα έσοδα «για ειδικό προορισμό», να προσδιοριστούν οι γραμμές δαπανών του προϋπολογισμού που επηρεάζονται.</w:t>
      </w:r>
    </w:p>
    <w:p w14:paraId="445FA600" w14:textId="77777777" w:rsidR="008F6AC1" w:rsidRPr="00483F7D" w:rsidRDefault="008F6AC1" w:rsidP="008F6AC1">
      <w:pPr>
        <w:pStyle w:val="Text1"/>
        <w:rPr>
          <w:noProof/>
          <w:sz w:val="20"/>
        </w:rPr>
      </w:pPr>
      <w:r w:rsidRPr="00483F7D">
        <w:rPr>
          <w:sz w:val="20"/>
        </w:rPr>
        <w:t>Να προσδιοριστεί η μέθοδος υπολογισμού των επιπτώσεων στα έσοδα.</w:t>
      </w:r>
    </w:p>
    <w:p w14:paraId="247034E1" w14:textId="77777777" w:rsidR="008F6AC1" w:rsidRPr="00483F7D" w:rsidRDefault="008F6AC1" w:rsidP="008F6AC1">
      <w:pPr>
        <w:pStyle w:val="Text1"/>
        <w:pBdr>
          <w:top w:val="single" w:sz="4" w:space="1" w:color="auto"/>
          <w:left w:val="single" w:sz="4" w:space="4" w:color="auto"/>
          <w:bottom w:val="single" w:sz="4" w:space="1" w:color="auto"/>
          <w:right w:val="single" w:sz="4" w:space="4" w:color="auto"/>
        </w:pBdr>
        <w:spacing w:after="240"/>
        <w:ind w:left="851"/>
        <w:rPr>
          <w:noProof/>
        </w:rPr>
      </w:pPr>
      <w:r w:rsidRPr="00483F7D">
        <w:t>Κατά την περίοδο 2028-2034, η μεταρρύθμιση αποφέρει πρόσθετα έσοδα από δασμούς του ηλεκτρονικού εμπορίου μείον 25 % εθνικό κόστος είσπραξης (καθαροί ΠΙΠ). Το ποσό αυτό εκτιμάται σε 750 εκατ. EUR ετησίως, με τιμαριθμική αναπροσαρμογή 2 %, με αποτέλεσμα περίπου 6,035 δισ. EUR κατά την περίοδο αυτή.</w:t>
      </w:r>
    </w:p>
    <w:p w14:paraId="7FA95E45" w14:textId="77777777" w:rsidR="008F6AC1" w:rsidRPr="00483F7D" w:rsidRDefault="008F6AC1" w:rsidP="008F6AC1">
      <w:pPr>
        <w:jc w:val="right"/>
        <w:rPr>
          <w:i/>
          <w:noProof/>
          <w:sz w:val="20"/>
        </w:rPr>
      </w:pPr>
      <w:r w:rsidRPr="00483F7D">
        <w:rPr>
          <w:sz w:val="20"/>
        </w:rPr>
        <w:t>σε εκατ. EUR (με τρία δεκαδικά ψηφία)</w:t>
      </w:r>
    </w:p>
    <w:p w14:paraId="1F9288A9" w14:textId="77777777" w:rsidR="008F6AC1" w:rsidRPr="00483F7D" w:rsidRDefault="008F6AC1" w:rsidP="008F6AC1">
      <w:pPr>
        <w:pStyle w:val="Text1"/>
        <w:ind w:left="360"/>
        <w:rPr>
          <w:b/>
          <w:bCs/>
          <w:color w:val="984806" w:themeColor="accent6" w:themeShade="80"/>
          <w:u w:val="single"/>
        </w:rPr>
      </w:pPr>
    </w:p>
    <w:p w14:paraId="53917E28" w14:textId="77777777" w:rsidR="008F6AC1" w:rsidRPr="00483F7D" w:rsidRDefault="008F6AC1" w:rsidP="008F6AC1">
      <w:pPr>
        <w:spacing w:before="0" w:after="200" w:line="276" w:lineRule="auto"/>
        <w:jc w:val="left"/>
        <w:rPr>
          <w:b/>
          <w:bCs/>
          <w:color w:val="984806" w:themeColor="accent6" w:themeShade="80"/>
          <w:u w:val="single"/>
        </w:rPr>
      </w:pPr>
      <w:r w:rsidRPr="00483F7D">
        <w:br w:type="page"/>
      </w:r>
    </w:p>
    <w:p w14:paraId="0FA1984E" w14:textId="77777777" w:rsidR="008F6AC1" w:rsidRPr="00483F7D" w:rsidRDefault="008F6AC1" w:rsidP="008F6AC1">
      <w:pPr>
        <w:pStyle w:val="Text1"/>
        <w:ind w:left="360"/>
        <w:rPr>
          <w:b/>
          <w:bCs/>
          <w:u w:val="single"/>
        </w:rPr>
      </w:pPr>
      <w:r w:rsidRPr="00483F7D">
        <w:rPr>
          <w:b/>
          <w:u w:val="single"/>
        </w:rPr>
        <w:t>ΠΑΡΑΡΤΗΜΑ – ΠΑΡΑΔΟΧΕΣ:</w:t>
      </w:r>
    </w:p>
    <w:p w14:paraId="455C9EA9" w14:textId="77777777" w:rsidR="008F6AC1" w:rsidRPr="00483F7D" w:rsidRDefault="008F6AC1" w:rsidP="008F6AC1">
      <w:pPr>
        <w:spacing w:after="200" w:line="276" w:lineRule="auto"/>
        <w:rPr>
          <w:bCs/>
          <w:noProof/>
          <w:szCs w:val="24"/>
        </w:rPr>
      </w:pPr>
    </w:p>
    <w:p w14:paraId="0D3F8753" w14:textId="77777777" w:rsidR="008F6AC1" w:rsidRPr="00483F7D" w:rsidRDefault="008F6AC1" w:rsidP="008F6AC1">
      <w:pPr>
        <w:spacing w:after="200" w:line="276" w:lineRule="auto"/>
        <w:rPr>
          <w:b/>
          <w:noProof/>
          <w:szCs w:val="24"/>
          <w:u w:val="single"/>
        </w:rPr>
      </w:pPr>
      <w:r w:rsidRPr="00483F7D">
        <w:rPr>
          <w:b/>
          <w:u w:val="single"/>
        </w:rPr>
        <w:t>Εξέλιξη του προσωπικού της Αρχής:</w:t>
      </w:r>
    </w:p>
    <w:p w14:paraId="59372B08" w14:textId="77777777" w:rsidR="008F6AC1" w:rsidRPr="00483F7D" w:rsidRDefault="008F6AC1" w:rsidP="008F6AC1">
      <w:pPr>
        <w:spacing w:after="200" w:line="276" w:lineRule="auto"/>
        <w:rPr>
          <w:bCs/>
          <w:noProof/>
          <w:szCs w:val="24"/>
        </w:rPr>
      </w:pPr>
      <w:r w:rsidRPr="00483F7D">
        <w:t>Η συνολική εξέλιξη των ΙΠΑ αναμένεται ως εξής:</w:t>
      </w:r>
    </w:p>
    <w:tbl>
      <w:tblPr>
        <w:tblW w:w="91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08"/>
        <w:gridCol w:w="709"/>
        <w:gridCol w:w="709"/>
        <w:gridCol w:w="709"/>
        <w:gridCol w:w="673"/>
        <w:gridCol w:w="744"/>
        <w:gridCol w:w="716"/>
        <w:gridCol w:w="706"/>
        <w:gridCol w:w="811"/>
      </w:tblGrid>
      <w:tr w:rsidR="008F6AC1" w:rsidRPr="00483F7D" w14:paraId="39080BC3" w14:textId="77777777" w:rsidTr="005563C1">
        <w:trPr>
          <w:trHeight w:val="343"/>
        </w:trPr>
        <w:tc>
          <w:tcPr>
            <w:tcW w:w="26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AAE5E" w14:textId="77777777" w:rsidR="008F6AC1" w:rsidRPr="00483F7D" w:rsidRDefault="008F6AC1" w:rsidP="005563C1">
            <w:pPr>
              <w:spacing w:before="0" w:after="0" w:line="276" w:lineRule="auto"/>
              <w:jc w:val="left"/>
              <w:rPr>
                <w:rFonts w:eastAsia="Times New Roman"/>
                <w:color w:val="000000" w:themeColor="text1"/>
                <w:sz w:val="20"/>
                <w:szCs w:val="20"/>
              </w:rPr>
            </w:pPr>
            <w:bookmarkStart w:id="365" w:name="_Hlk130560959"/>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802B88" w14:textId="77777777" w:rsidR="008F6AC1" w:rsidRPr="00483F7D" w:rsidRDefault="008F6AC1" w:rsidP="005563C1">
            <w:pPr>
              <w:spacing w:before="0" w:after="0" w:line="276" w:lineRule="auto"/>
              <w:jc w:val="left"/>
              <w:rPr>
                <w:rFonts w:eastAsia="Times New Roman"/>
                <w:b/>
                <w:bCs/>
                <w:color w:val="000000" w:themeColor="text1"/>
                <w:sz w:val="20"/>
                <w:szCs w:val="20"/>
              </w:rPr>
            </w:pPr>
            <w:r w:rsidRPr="00483F7D">
              <w:rPr>
                <w:b/>
                <w:color w:val="000000" w:themeColor="text1"/>
                <w:sz w:val="20"/>
              </w:rPr>
              <w:t>2026</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12E304" w14:textId="77777777" w:rsidR="008F6AC1" w:rsidRPr="00483F7D" w:rsidRDefault="008F6AC1" w:rsidP="005563C1">
            <w:pPr>
              <w:spacing w:before="0" w:after="0" w:line="276" w:lineRule="auto"/>
              <w:jc w:val="left"/>
              <w:rPr>
                <w:rFonts w:eastAsia="Times New Roman"/>
                <w:b/>
                <w:bCs/>
                <w:color w:val="000000" w:themeColor="text1"/>
                <w:sz w:val="20"/>
                <w:szCs w:val="20"/>
              </w:rPr>
            </w:pPr>
            <w:r w:rsidRPr="00483F7D">
              <w:rPr>
                <w:b/>
                <w:color w:val="000000" w:themeColor="text1"/>
                <w:sz w:val="20"/>
              </w:rPr>
              <w:t>2027</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BC56E"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b/>
                <w:color w:val="000000" w:themeColor="text1"/>
                <w:sz w:val="20"/>
              </w:rPr>
              <w:t>2028</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AF1D08B"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b/>
                <w:color w:val="000000" w:themeColor="text1"/>
                <w:sz w:val="20"/>
              </w:rPr>
              <w:t>2029</w:t>
            </w:r>
          </w:p>
        </w:tc>
        <w:tc>
          <w:tcPr>
            <w:tcW w:w="67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9DA5E8E"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b/>
                <w:color w:val="000000" w:themeColor="text1"/>
                <w:sz w:val="20"/>
              </w:rPr>
              <w:t>2030</w:t>
            </w:r>
          </w:p>
        </w:tc>
        <w:tc>
          <w:tcPr>
            <w:tcW w:w="7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96A4361"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b/>
                <w:color w:val="000000" w:themeColor="text1"/>
                <w:sz w:val="20"/>
              </w:rPr>
              <w:t>2031</w:t>
            </w:r>
          </w:p>
        </w:tc>
        <w:tc>
          <w:tcPr>
            <w:tcW w:w="71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A7B941"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b/>
                <w:color w:val="000000" w:themeColor="text1"/>
                <w:sz w:val="20"/>
              </w:rPr>
              <w:t>2032</w:t>
            </w:r>
          </w:p>
        </w:tc>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7AC45D"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b/>
                <w:color w:val="000000" w:themeColor="text1"/>
                <w:sz w:val="20"/>
              </w:rPr>
              <w:t>2033</w:t>
            </w:r>
          </w:p>
        </w:tc>
        <w:tc>
          <w:tcPr>
            <w:tcW w:w="8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CBDDC8"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b/>
                <w:color w:val="000000" w:themeColor="text1"/>
                <w:sz w:val="20"/>
              </w:rPr>
              <w:t>2034</w:t>
            </w:r>
          </w:p>
        </w:tc>
      </w:tr>
      <w:tr w:rsidR="008F6AC1" w:rsidRPr="00483F7D" w14:paraId="60861515" w14:textId="77777777" w:rsidTr="005563C1">
        <w:trPr>
          <w:trHeight w:val="327"/>
        </w:trPr>
        <w:tc>
          <w:tcPr>
            <w:tcW w:w="2684" w:type="dxa"/>
            <w:tcBorders>
              <w:top w:val="single" w:sz="4" w:space="0" w:color="auto"/>
              <w:left w:val="single" w:sz="4" w:space="0" w:color="auto"/>
              <w:bottom w:val="single" w:sz="4" w:space="0" w:color="auto"/>
              <w:right w:val="single" w:sz="4" w:space="0" w:color="auto"/>
            </w:tcBorders>
            <w:noWrap/>
            <w:vAlign w:val="center"/>
            <w:hideMark/>
          </w:tcPr>
          <w:p w14:paraId="04B803F9" w14:textId="77777777" w:rsidR="008F6AC1" w:rsidRPr="00483F7D" w:rsidRDefault="008F6AC1" w:rsidP="005563C1">
            <w:pPr>
              <w:spacing w:before="0" w:after="0" w:line="276" w:lineRule="auto"/>
              <w:jc w:val="left"/>
              <w:rPr>
                <w:rFonts w:eastAsia="Times New Roman"/>
                <w:color w:val="000000" w:themeColor="text1"/>
                <w:sz w:val="20"/>
                <w:szCs w:val="20"/>
              </w:rPr>
            </w:pPr>
            <w:r w:rsidRPr="00483F7D">
              <w:rPr>
                <w:color w:val="000000" w:themeColor="text1"/>
                <w:sz w:val="20"/>
              </w:rPr>
              <w:t xml:space="preserve">Τελωνειακή αρχή της ΕΕ </w:t>
            </w:r>
          </w:p>
        </w:tc>
        <w:tc>
          <w:tcPr>
            <w:tcW w:w="708" w:type="dxa"/>
            <w:tcBorders>
              <w:top w:val="single" w:sz="4" w:space="0" w:color="auto"/>
              <w:left w:val="single" w:sz="4" w:space="0" w:color="auto"/>
              <w:bottom w:val="single" w:sz="4" w:space="0" w:color="auto"/>
              <w:right w:val="single" w:sz="4" w:space="0" w:color="auto"/>
            </w:tcBorders>
          </w:tcPr>
          <w:p w14:paraId="227D098D"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tcPr>
          <w:p w14:paraId="31E43280"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722EE5"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7DCB3A"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50</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9EA4736"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90</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BBAC5FA"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140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749B5C1"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190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01CE6DDB"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230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67591BA2" w14:textId="77777777" w:rsidR="008F6AC1" w:rsidRPr="00483F7D" w:rsidRDefault="008F6AC1" w:rsidP="005563C1">
            <w:pPr>
              <w:spacing w:before="0" w:after="0" w:line="276" w:lineRule="auto"/>
              <w:jc w:val="center"/>
              <w:rPr>
                <w:rFonts w:eastAsia="Times New Roman"/>
                <w:color w:val="000000" w:themeColor="text1"/>
                <w:sz w:val="20"/>
                <w:szCs w:val="20"/>
              </w:rPr>
            </w:pPr>
            <w:r w:rsidRPr="00483F7D">
              <w:rPr>
                <w:color w:val="000000" w:themeColor="text1"/>
                <w:sz w:val="20"/>
              </w:rPr>
              <w:t>250</w:t>
            </w:r>
          </w:p>
        </w:tc>
      </w:tr>
    </w:tbl>
    <w:bookmarkEnd w:id="365"/>
    <w:p w14:paraId="12E3A172" w14:textId="77777777" w:rsidR="008F6AC1" w:rsidRPr="00483F7D" w:rsidRDefault="008F6AC1" w:rsidP="008F6AC1">
      <w:pPr>
        <w:spacing w:after="240"/>
      </w:pPr>
      <w:r w:rsidRPr="00483F7D">
        <w:t>Μολονότι δεν εμπίπτει στο πεδίο εφαρμογής του παρόντος δημοσιονομικού δελτίου, είναι χρήσιμο να σημειωθεί ότι η εκτίμηση των επιπτώσεων που συνοδεύει την παρούσα πρόταση παρέχει μια εκτίμηση για την αποδέσμευση των διοικητικών προσπαθειών σε εθνικό επίπεδο που προκύπτουν από την απλούστευση και την επανεξισορρόπηση των τελωνειακών διαδικασιών. Έως το 2034, σε σύγκριση με το βασικό σενάριο, τα κράτη μέλη θα πρέπει να καταβάλλουν χαμηλότερες προσπάθειες για τα συγκεκριμένα καθήκοντα, που εκτιμώνται σε περίπου 2 000 ΙΠΑ</w:t>
      </w:r>
      <w:r w:rsidRPr="00483F7D">
        <w:rPr>
          <w:rStyle w:val="FootnoteReference"/>
        </w:rPr>
        <w:footnoteReference w:id="100"/>
      </w:r>
      <w:r w:rsidRPr="00483F7D">
        <w:t xml:space="preserve">. Αυτό δεν συνεπάγεται ούτε απαιτεί από τα κράτη μέλη να αποφασίσουν να μειώσουν αντίστοιχα τον αριθμό των τελωνειακών υπαλλήλων. </w:t>
      </w:r>
    </w:p>
    <w:p w14:paraId="41B54B96" w14:textId="77777777" w:rsidR="008F6AC1" w:rsidRPr="00483F7D" w:rsidRDefault="008F6AC1" w:rsidP="008F6AC1">
      <w:r w:rsidRPr="00483F7D">
        <w:t>Από το 2028 και μετά θα υπάρξει επίσης σταδιακή αποδέσμευση του προσωπικού της αρμόδιας ΓΔ, καθώς ορισμένες δραστηριότητες που πραγματοποιούνταν προηγουμένως στο πλαίσιο του προγράμματος για τα τελωνεία και υπό τη διαχείριση της TAXUD θα αντικατασταθούν από δραστηριότητες της Αρχής.</w:t>
      </w:r>
    </w:p>
    <w:p w14:paraId="632183AB" w14:textId="77777777" w:rsidR="008F6AC1" w:rsidRPr="00483F7D" w:rsidRDefault="008F6AC1" w:rsidP="008F6AC1">
      <w:pPr>
        <w:spacing w:after="200" w:line="276" w:lineRule="auto"/>
        <w:rPr>
          <w:b/>
          <w:noProof/>
          <w:color w:val="984806" w:themeColor="accent6" w:themeShade="80"/>
          <w:szCs w:val="24"/>
          <w:u w:val="single"/>
        </w:rPr>
        <w:sectPr w:rsidR="008F6AC1" w:rsidRPr="00483F7D" w:rsidSect="00483F7D">
          <w:footnotePr>
            <w:numRestart w:val="eachSect"/>
          </w:footnotePr>
          <w:pgSz w:w="11907" w:h="16839"/>
          <w:pgMar w:top="1134" w:right="1418" w:bottom="1134" w:left="1418" w:header="709" w:footer="709" w:gutter="0"/>
          <w:cols w:space="720"/>
          <w:docGrid w:linePitch="360"/>
        </w:sectPr>
      </w:pPr>
    </w:p>
    <w:p w14:paraId="17C53095" w14:textId="77777777" w:rsidR="008F6AC1" w:rsidRPr="00483F7D" w:rsidRDefault="008F6AC1" w:rsidP="008F6AC1">
      <w:pPr>
        <w:spacing w:after="200" w:line="276" w:lineRule="auto"/>
        <w:rPr>
          <w:b/>
          <w:noProof/>
          <w:szCs w:val="24"/>
        </w:rPr>
      </w:pPr>
      <w:r w:rsidRPr="00483F7D">
        <w:rPr>
          <w:b/>
        </w:rPr>
        <w:t>Title III:</w:t>
      </w:r>
    </w:p>
    <w:tbl>
      <w:tblPr>
        <w:tblW w:w="0" w:type="auto"/>
        <w:tblInd w:w="392" w:type="dxa"/>
        <w:tblLayout w:type="fixed"/>
        <w:tblLook w:val="04A0" w:firstRow="1" w:lastRow="0" w:firstColumn="1" w:lastColumn="0" w:noHBand="0" w:noVBand="1"/>
      </w:tblPr>
      <w:tblGrid>
        <w:gridCol w:w="2835"/>
        <w:gridCol w:w="1546"/>
        <w:gridCol w:w="1414"/>
        <w:gridCol w:w="1413"/>
        <w:gridCol w:w="1272"/>
        <w:gridCol w:w="1413"/>
        <w:gridCol w:w="1414"/>
        <w:gridCol w:w="1412"/>
        <w:gridCol w:w="1634"/>
      </w:tblGrid>
      <w:tr w:rsidR="008F6AC1" w:rsidRPr="00483F7D" w14:paraId="56C08A39" w14:textId="77777777" w:rsidTr="005563C1">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E58878" w14:textId="77777777" w:rsidR="008F6AC1" w:rsidRPr="00483F7D" w:rsidRDefault="008F6AC1" w:rsidP="005563C1">
            <w:pPr>
              <w:spacing w:before="0" w:after="0" w:line="276" w:lineRule="auto"/>
              <w:jc w:val="left"/>
              <w:rPr>
                <w:rFonts w:eastAsia="Times New Roman"/>
                <w:b/>
                <w:bCs/>
                <w:sz w:val="20"/>
                <w:szCs w:val="20"/>
              </w:rPr>
            </w:pPr>
            <w:r w:rsidRPr="00483F7D">
              <w:rPr>
                <w:b/>
                <w:sz w:val="20"/>
              </w:rPr>
              <w:t>Τίτλος III</w:t>
            </w:r>
          </w:p>
        </w:tc>
        <w:tc>
          <w:tcPr>
            <w:tcW w:w="15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B109E2" w14:textId="77777777" w:rsidR="008F6AC1" w:rsidRPr="00483F7D" w:rsidRDefault="008F6AC1" w:rsidP="005563C1">
            <w:pPr>
              <w:spacing w:before="0" w:after="0" w:line="276" w:lineRule="auto"/>
              <w:jc w:val="center"/>
              <w:rPr>
                <w:rFonts w:eastAsia="Times New Roman"/>
                <w:sz w:val="20"/>
                <w:szCs w:val="20"/>
              </w:rPr>
            </w:pPr>
            <w:r w:rsidRPr="00483F7D">
              <w:rPr>
                <w:sz w:val="20"/>
              </w:rPr>
              <w:t>2028</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D4F5FA" w14:textId="77777777" w:rsidR="008F6AC1" w:rsidRPr="00483F7D" w:rsidRDefault="008F6AC1" w:rsidP="005563C1">
            <w:pPr>
              <w:spacing w:before="0" w:after="0" w:line="276" w:lineRule="auto"/>
              <w:jc w:val="center"/>
              <w:rPr>
                <w:rFonts w:eastAsia="Times New Roman"/>
                <w:sz w:val="20"/>
                <w:szCs w:val="20"/>
              </w:rPr>
            </w:pPr>
            <w:r w:rsidRPr="00483F7D">
              <w:rPr>
                <w:sz w:val="20"/>
              </w:rPr>
              <w:t>2029</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ED3E40" w14:textId="77777777" w:rsidR="008F6AC1" w:rsidRPr="00483F7D" w:rsidRDefault="008F6AC1" w:rsidP="005563C1">
            <w:pPr>
              <w:spacing w:before="0" w:after="0" w:line="276" w:lineRule="auto"/>
              <w:jc w:val="center"/>
              <w:rPr>
                <w:rFonts w:eastAsia="Times New Roman"/>
                <w:sz w:val="20"/>
                <w:szCs w:val="20"/>
              </w:rPr>
            </w:pPr>
            <w:r w:rsidRPr="00483F7D">
              <w:rPr>
                <w:sz w:val="20"/>
              </w:rPr>
              <w:t>2030</w:t>
            </w:r>
          </w:p>
        </w:tc>
        <w:tc>
          <w:tcPr>
            <w:tcW w:w="12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07A138F" w14:textId="77777777" w:rsidR="008F6AC1" w:rsidRPr="00483F7D" w:rsidRDefault="008F6AC1" w:rsidP="005563C1">
            <w:pPr>
              <w:spacing w:before="0" w:after="0" w:line="276" w:lineRule="auto"/>
              <w:jc w:val="center"/>
              <w:rPr>
                <w:rFonts w:eastAsia="Times New Roman"/>
                <w:sz w:val="20"/>
                <w:szCs w:val="20"/>
              </w:rPr>
            </w:pPr>
            <w:r w:rsidRPr="00483F7D">
              <w:rPr>
                <w:sz w:val="20"/>
              </w:rPr>
              <w:t>2031</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4D4DE3" w14:textId="77777777" w:rsidR="008F6AC1" w:rsidRPr="00483F7D" w:rsidRDefault="008F6AC1" w:rsidP="005563C1">
            <w:pPr>
              <w:spacing w:before="0" w:after="0" w:line="276" w:lineRule="auto"/>
              <w:jc w:val="center"/>
              <w:rPr>
                <w:rFonts w:eastAsia="Times New Roman"/>
                <w:sz w:val="20"/>
                <w:szCs w:val="20"/>
              </w:rPr>
            </w:pPr>
            <w:r w:rsidRPr="00483F7D">
              <w:rPr>
                <w:sz w:val="20"/>
              </w:rPr>
              <w:t>2032</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B1B789" w14:textId="77777777" w:rsidR="008F6AC1" w:rsidRPr="00483F7D" w:rsidRDefault="008F6AC1" w:rsidP="005563C1">
            <w:pPr>
              <w:spacing w:before="0" w:after="0" w:line="276" w:lineRule="auto"/>
              <w:jc w:val="center"/>
              <w:rPr>
                <w:rFonts w:eastAsia="Times New Roman"/>
                <w:sz w:val="20"/>
                <w:szCs w:val="20"/>
              </w:rPr>
            </w:pPr>
            <w:r w:rsidRPr="00483F7D">
              <w:rPr>
                <w:sz w:val="20"/>
              </w:rPr>
              <w:t>2033</w:t>
            </w:r>
          </w:p>
        </w:tc>
        <w:tc>
          <w:tcPr>
            <w:tcW w:w="14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DAD3D7" w14:textId="77777777" w:rsidR="008F6AC1" w:rsidRPr="00483F7D" w:rsidRDefault="008F6AC1" w:rsidP="005563C1">
            <w:pPr>
              <w:spacing w:before="0" w:after="0" w:line="276" w:lineRule="auto"/>
              <w:jc w:val="center"/>
              <w:rPr>
                <w:rFonts w:eastAsia="Times New Roman"/>
                <w:sz w:val="20"/>
                <w:szCs w:val="20"/>
              </w:rPr>
            </w:pPr>
            <w:r w:rsidRPr="00483F7D">
              <w:rPr>
                <w:sz w:val="20"/>
              </w:rPr>
              <w:t>2034</w:t>
            </w:r>
          </w:p>
        </w:tc>
        <w:tc>
          <w:tcPr>
            <w:tcW w:w="163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FFDCD79" w14:textId="77777777" w:rsidR="008F6AC1" w:rsidRPr="00483F7D" w:rsidRDefault="008F6AC1" w:rsidP="005563C1">
            <w:pPr>
              <w:jc w:val="center"/>
              <w:rPr>
                <w:rFonts w:eastAsia="Times New Roman"/>
                <w:sz w:val="20"/>
                <w:szCs w:val="20"/>
              </w:rPr>
            </w:pPr>
            <w:r w:rsidRPr="00483F7D">
              <w:rPr>
                <w:sz w:val="20"/>
              </w:rPr>
              <w:t>Σύνολα</w:t>
            </w:r>
          </w:p>
        </w:tc>
      </w:tr>
      <w:tr w:rsidR="008F6AC1" w:rsidRPr="00483F7D" w14:paraId="18EE4645"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hideMark/>
          </w:tcPr>
          <w:p w14:paraId="3383A2CC" w14:textId="77777777" w:rsidR="008F6AC1" w:rsidRPr="00483F7D" w:rsidRDefault="008F6AC1" w:rsidP="005563C1">
            <w:pPr>
              <w:spacing w:before="0" w:after="0" w:line="276" w:lineRule="auto"/>
              <w:jc w:val="right"/>
              <w:rPr>
                <w:rFonts w:eastAsia="Times New Roman"/>
                <w:sz w:val="20"/>
                <w:szCs w:val="20"/>
              </w:rPr>
            </w:pPr>
            <w:r w:rsidRPr="00483F7D">
              <w:rPr>
                <w:sz w:val="20"/>
              </w:rPr>
              <w:t xml:space="preserve">Η τελωνειακή συνεργασία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C0929C6" w14:textId="77777777" w:rsidR="008F6AC1" w:rsidRPr="00483F7D" w:rsidRDefault="008F6AC1" w:rsidP="005563C1">
            <w:pPr>
              <w:spacing w:before="0" w:after="0" w:line="276" w:lineRule="auto"/>
              <w:jc w:val="center"/>
              <w:rPr>
                <w:rFonts w:eastAsia="Times New Roman"/>
                <w:sz w:val="20"/>
                <w:szCs w:val="20"/>
                <w:highlight w:val="yellow"/>
              </w:rPr>
            </w:pPr>
            <w:r w:rsidRPr="00483F7D">
              <w:rPr>
                <w:sz w:val="20"/>
              </w:rPr>
              <w:t>9 000 000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6947D93" w14:textId="77777777" w:rsidR="008F6AC1" w:rsidRPr="00483F7D" w:rsidRDefault="008F6AC1" w:rsidP="005563C1">
            <w:pPr>
              <w:spacing w:before="0" w:after="0" w:line="276" w:lineRule="auto"/>
              <w:jc w:val="center"/>
              <w:rPr>
                <w:rFonts w:eastAsia="Times New Roman"/>
                <w:sz w:val="20"/>
                <w:szCs w:val="20"/>
                <w:highlight w:val="yellow"/>
              </w:rPr>
            </w:pPr>
            <w:r w:rsidRPr="00483F7D">
              <w:rPr>
                <w:sz w:val="20"/>
              </w:rPr>
              <w:t>10 000 000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9A258C6" w14:textId="77777777" w:rsidR="008F6AC1" w:rsidRPr="00483F7D" w:rsidRDefault="008F6AC1" w:rsidP="005563C1">
            <w:pPr>
              <w:spacing w:before="0" w:after="0" w:line="276" w:lineRule="auto"/>
              <w:jc w:val="center"/>
              <w:rPr>
                <w:rFonts w:eastAsia="Times New Roman"/>
                <w:sz w:val="20"/>
                <w:szCs w:val="20"/>
                <w:highlight w:val="yellow"/>
              </w:rPr>
            </w:pPr>
            <w:r w:rsidRPr="00483F7D">
              <w:rPr>
                <w:sz w:val="20"/>
              </w:rPr>
              <w:t>10 000 000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434A51C" w14:textId="77777777" w:rsidR="008F6AC1" w:rsidRPr="00483F7D" w:rsidRDefault="008F6AC1" w:rsidP="005563C1">
            <w:pPr>
              <w:spacing w:before="0" w:after="0" w:line="276" w:lineRule="auto"/>
              <w:jc w:val="center"/>
              <w:rPr>
                <w:rFonts w:eastAsia="Times New Roman"/>
                <w:sz w:val="20"/>
                <w:szCs w:val="20"/>
              </w:rPr>
            </w:pPr>
            <w:r w:rsidRPr="00483F7D">
              <w:rPr>
                <w:sz w:val="20"/>
              </w:rPr>
              <w:t>11 000 000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2AEDC58" w14:textId="77777777" w:rsidR="008F6AC1" w:rsidRPr="00483F7D" w:rsidRDefault="008F6AC1" w:rsidP="005563C1">
            <w:pPr>
              <w:spacing w:before="0" w:after="0" w:line="276" w:lineRule="auto"/>
              <w:jc w:val="center"/>
              <w:rPr>
                <w:rFonts w:eastAsia="Times New Roman"/>
                <w:sz w:val="20"/>
                <w:szCs w:val="20"/>
              </w:rPr>
            </w:pPr>
            <w:r w:rsidRPr="00483F7D">
              <w:rPr>
                <w:sz w:val="20"/>
              </w:rPr>
              <w:t>12 000 000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947E626" w14:textId="77777777" w:rsidR="008F6AC1" w:rsidRPr="00483F7D" w:rsidRDefault="008F6AC1" w:rsidP="005563C1">
            <w:pPr>
              <w:spacing w:before="0" w:after="0" w:line="276" w:lineRule="auto"/>
              <w:jc w:val="center"/>
              <w:rPr>
                <w:rFonts w:eastAsia="Times New Roman"/>
                <w:sz w:val="20"/>
                <w:szCs w:val="20"/>
              </w:rPr>
            </w:pPr>
            <w:r w:rsidRPr="00483F7D">
              <w:rPr>
                <w:sz w:val="20"/>
              </w:rPr>
              <w:t>13 000 000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65512E6" w14:textId="77777777" w:rsidR="008F6AC1" w:rsidRPr="00483F7D" w:rsidRDefault="008F6AC1" w:rsidP="005563C1">
            <w:pPr>
              <w:spacing w:before="0" w:after="0" w:line="276" w:lineRule="auto"/>
              <w:jc w:val="center"/>
              <w:rPr>
                <w:rFonts w:eastAsia="Times New Roman"/>
                <w:sz w:val="20"/>
                <w:szCs w:val="20"/>
              </w:rPr>
            </w:pPr>
            <w:r w:rsidRPr="00483F7D">
              <w:rPr>
                <w:sz w:val="20"/>
              </w:rPr>
              <w:t>15 000 000</w:t>
            </w:r>
          </w:p>
        </w:tc>
        <w:tc>
          <w:tcPr>
            <w:tcW w:w="1634" w:type="dxa"/>
            <w:tcBorders>
              <w:top w:val="single" w:sz="4" w:space="0" w:color="auto"/>
              <w:left w:val="single" w:sz="4" w:space="0" w:color="auto"/>
              <w:bottom w:val="single" w:sz="4" w:space="0" w:color="auto"/>
              <w:right w:val="single" w:sz="4" w:space="0" w:color="auto"/>
            </w:tcBorders>
            <w:noWrap/>
            <w:vAlign w:val="center"/>
            <w:hideMark/>
          </w:tcPr>
          <w:p w14:paraId="68C2EC40" w14:textId="77777777" w:rsidR="008F6AC1" w:rsidRPr="00483F7D" w:rsidRDefault="008F6AC1" w:rsidP="005563C1">
            <w:pPr>
              <w:jc w:val="center"/>
              <w:rPr>
                <w:rFonts w:eastAsia="Times New Roman"/>
                <w:sz w:val="20"/>
                <w:szCs w:val="20"/>
              </w:rPr>
            </w:pPr>
            <w:r w:rsidRPr="00483F7D">
              <w:rPr>
                <w:sz w:val="20"/>
              </w:rPr>
              <w:t>80 000 000</w:t>
            </w:r>
          </w:p>
        </w:tc>
      </w:tr>
      <w:tr w:rsidR="008F6AC1" w:rsidRPr="00483F7D" w14:paraId="0BDA1D22"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tcPr>
          <w:p w14:paraId="080A7194" w14:textId="77777777" w:rsidR="008F6AC1" w:rsidRPr="00483F7D" w:rsidRDefault="008F6AC1" w:rsidP="005563C1">
            <w:pPr>
              <w:spacing w:before="0" w:after="0" w:line="276" w:lineRule="auto"/>
              <w:jc w:val="right"/>
              <w:rPr>
                <w:rFonts w:eastAsia="Times New Roman"/>
                <w:sz w:val="20"/>
                <w:szCs w:val="20"/>
              </w:rPr>
            </w:pPr>
            <w:r w:rsidRPr="00483F7D">
              <w:rPr>
                <w:sz w:val="20"/>
              </w:rPr>
              <w:t>Με τιμαριθμική αναπροσαρμογή 2 %</w:t>
            </w:r>
          </w:p>
        </w:tc>
        <w:tc>
          <w:tcPr>
            <w:tcW w:w="1546" w:type="dxa"/>
            <w:tcBorders>
              <w:top w:val="single" w:sz="4" w:space="0" w:color="auto"/>
              <w:left w:val="single" w:sz="4" w:space="0" w:color="auto"/>
              <w:bottom w:val="single" w:sz="4" w:space="0" w:color="auto"/>
              <w:right w:val="single" w:sz="4" w:space="0" w:color="auto"/>
            </w:tcBorders>
            <w:vAlign w:val="center"/>
          </w:tcPr>
          <w:p w14:paraId="13B3EA33" w14:textId="77777777" w:rsidR="008F6AC1" w:rsidRPr="00483F7D" w:rsidRDefault="008F6AC1" w:rsidP="005563C1">
            <w:pPr>
              <w:spacing w:before="0" w:after="0" w:line="276" w:lineRule="auto"/>
              <w:jc w:val="center"/>
              <w:rPr>
                <w:rFonts w:eastAsia="Times New Roman"/>
                <w:sz w:val="20"/>
                <w:szCs w:val="20"/>
              </w:rPr>
            </w:pPr>
            <w:r w:rsidRPr="00483F7D">
              <w:rPr>
                <w:sz w:val="20"/>
              </w:rPr>
              <w:t>9 741 889</w:t>
            </w:r>
          </w:p>
        </w:tc>
        <w:tc>
          <w:tcPr>
            <w:tcW w:w="1414" w:type="dxa"/>
            <w:tcBorders>
              <w:top w:val="single" w:sz="4" w:space="0" w:color="auto"/>
              <w:left w:val="single" w:sz="4" w:space="0" w:color="auto"/>
              <w:bottom w:val="single" w:sz="4" w:space="0" w:color="auto"/>
              <w:right w:val="single" w:sz="4" w:space="0" w:color="auto"/>
            </w:tcBorders>
            <w:vAlign w:val="center"/>
          </w:tcPr>
          <w:p w14:paraId="782C592D" w14:textId="77777777" w:rsidR="008F6AC1" w:rsidRPr="00483F7D" w:rsidRDefault="008F6AC1" w:rsidP="005563C1">
            <w:pPr>
              <w:spacing w:before="0" w:after="0" w:line="276" w:lineRule="auto"/>
              <w:jc w:val="center"/>
              <w:rPr>
                <w:rFonts w:eastAsia="Times New Roman"/>
                <w:sz w:val="20"/>
                <w:szCs w:val="20"/>
              </w:rPr>
            </w:pPr>
            <w:r w:rsidRPr="00483F7D">
              <w:rPr>
                <w:sz w:val="20"/>
              </w:rPr>
              <w:t>11 040 808</w:t>
            </w:r>
          </w:p>
        </w:tc>
        <w:tc>
          <w:tcPr>
            <w:tcW w:w="1413" w:type="dxa"/>
            <w:tcBorders>
              <w:top w:val="single" w:sz="4" w:space="0" w:color="auto"/>
              <w:left w:val="single" w:sz="4" w:space="0" w:color="auto"/>
              <w:bottom w:val="single" w:sz="4" w:space="0" w:color="auto"/>
              <w:right w:val="single" w:sz="4" w:space="0" w:color="auto"/>
            </w:tcBorders>
            <w:vAlign w:val="center"/>
          </w:tcPr>
          <w:p w14:paraId="58660B75" w14:textId="77777777" w:rsidR="008F6AC1" w:rsidRPr="00483F7D" w:rsidRDefault="008F6AC1" w:rsidP="005563C1">
            <w:pPr>
              <w:spacing w:before="0" w:after="0" w:line="276" w:lineRule="auto"/>
              <w:jc w:val="center"/>
              <w:rPr>
                <w:rFonts w:eastAsia="Times New Roman"/>
                <w:sz w:val="20"/>
                <w:szCs w:val="20"/>
              </w:rPr>
            </w:pPr>
            <w:r w:rsidRPr="00483F7D">
              <w:rPr>
                <w:sz w:val="20"/>
              </w:rPr>
              <w:t>11 261 624</w:t>
            </w:r>
          </w:p>
        </w:tc>
        <w:tc>
          <w:tcPr>
            <w:tcW w:w="1272" w:type="dxa"/>
            <w:tcBorders>
              <w:top w:val="single" w:sz="4" w:space="0" w:color="auto"/>
              <w:left w:val="single" w:sz="4" w:space="0" w:color="auto"/>
              <w:bottom w:val="single" w:sz="4" w:space="0" w:color="auto"/>
              <w:right w:val="single" w:sz="4" w:space="0" w:color="auto"/>
            </w:tcBorders>
            <w:vAlign w:val="center"/>
          </w:tcPr>
          <w:p w14:paraId="5DD267EF" w14:textId="77777777" w:rsidR="008F6AC1" w:rsidRPr="00483F7D" w:rsidRDefault="008F6AC1" w:rsidP="005563C1">
            <w:pPr>
              <w:spacing w:before="0" w:after="0" w:line="276" w:lineRule="auto"/>
              <w:jc w:val="center"/>
              <w:rPr>
                <w:rFonts w:eastAsia="Times New Roman"/>
                <w:sz w:val="20"/>
                <w:szCs w:val="20"/>
              </w:rPr>
            </w:pPr>
            <w:r w:rsidRPr="00483F7D">
              <w:rPr>
                <w:sz w:val="20"/>
              </w:rPr>
              <w:t>12 635 542</w:t>
            </w:r>
          </w:p>
        </w:tc>
        <w:tc>
          <w:tcPr>
            <w:tcW w:w="1413" w:type="dxa"/>
            <w:tcBorders>
              <w:top w:val="single" w:sz="4" w:space="0" w:color="auto"/>
              <w:left w:val="single" w:sz="4" w:space="0" w:color="auto"/>
              <w:bottom w:val="single" w:sz="4" w:space="0" w:color="auto"/>
              <w:right w:val="single" w:sz="4" w:space="0" w:color="auto"/>
            </w:tcBorders>
            <w:vAlign w:val="center"/>
          </w:tcPr>
          <w:p w14:paraId="6BEA3342" w14:textId="77777777" w:rsidR="008F6AC1" w:rsidRPr="00483F7D" w:rsidRDefault="008F6AC1" w:rsidP="005563C1">
            <w:pPr>
              <w:spacing w:before="0" w:after="0" w:line="276" w:lineRule="auto"/>
              <w:jc w:val="center"/>
              <w:rPr>
                <w:rFonts w:eastAsia="Times New Roman"/>
                <w:sz w:val="20"/>
                <w:szCs w:val="20"/>
              </w:rPr>
            </w:pPr>
            <w:r w:rsidRPr="00483F7D">
              <w:rPr>
                <w:sz w:val="20"/>
              </w:rPr>
              <w:t>14 059 913</w:t>
            </w:r>
          </w:p>
        </w:tc>
        <w:tc>
          <w:tcPr>
            <w:tcW w:w="1414" w:type="dxa"/>
            <w:tcBorders>
              <w:top w:val="single" w:sz="4" w:space="0" w:color="auto"/>
              <w:left w:val="single" w:sz="4" w:space="0" w:color="auto"/>
              <w:bottom w:val="single" w:sz="4" w:space="0" w:color="auto"/>
              <w:right w:val="single" w:sz="4" w:space="0" w:color="auto"/>
            </w:tcBorders>
            <w:vAlign w:val="center"/>
          </w:tcPr>
          <w:p w14:paraId="12BD5959" w14:textId="77777777" w:rsidR="008F6AC1" w:rsidRPr="00483F7D" w:rsidRDefault="008F6AC1" w:rsidP="005563C1">
            <w:pPr>
              <w:spacing w:before="0" w:after="0" w:line="276" w:lineRule="auto"/>
              <w:jc w:val="center"/>
              <w:rPr>
                <w:rFonts w:eastAsia="Times New Roman"/>
                <w:sz w:val="20"/>
                <w:szCs w:val="20"/>
              </w:rPr>
            </w:pPr>
            <w:r w:rsidRPr="00483F7D">
              <w:rPr>
                <w:sz w:val="20"/>
              </w:rPr>
              <w:t>15 536 203</w:t>
            </w:r>
          </w:p>
        </w:tc>
        <w:tc>
          <w:tcPr>
            <w:tcW w:w="1412" w:type="dxa"/>
            <w:tcBorders>
              <w:top w:val="single" w:sz="4" w:space="0" w:color="auto"/>
              <w:left w:val="single" w:sz="4" w:space="0" w:color="auto"/>
              <w:bottom w:val="single" w:sz="4" w:space="0" w:color="auto"/>
              <w:right w:val="single" w:sz="4" w:space="0" w:color="auto"/>
            </w:tcBorders>
            <w:vAlign w:val="center"/>
          </w:tcPr>
          <w:p w14:paraId="0519743E" w14:textId="77777777" w:rsidR="008F6AC1" w:rsidRPr="00483F7D" w:rsidRDefault="008F6AC1" w:rsidP="005563C1">
            <w:pPr>
              <w:spacing w:before="0" w:after="0" w:line="276" w:lineRule="auto"/>
              <w:jc w:val="center"/>
              <w:rPr>
                <w:rFonts w:eastAsia="Times New Roman"/>
                <w:sz w:val="20"/>
                <w:szCs w:val="20"/>
              </w:rPr>
            </w:pPr>
            <w:r w:rsidRPr="00483F7D">
              <w:rPr>
                <w:sz w:val="20"/>
              </w:rPr>
              <w:t>18 284 916</w:t>
            </w:r>
          </w:p>
        </w:tc>
        <w:tc>
          <w:tcPr>
            <w:tcW w:w="1634" w:type="dxa"/>
            <w:tcBorders>
              <w:top w:val="single" w:sz="4" w:space="0" w:color="auto"/>
              <w:left w:val="single" w:sz="4" w:space="0" w:color="auto"/>
              <w:bottom w:val="single" w:sz="4" w:space="0" w:color="auto"/>
              <w:right w:val="single" w:sz="4" w:space="0" w:color="auto"/>
            </w:tcBorders>
            <w:noWrap/>
            <w:vAlign w:val="center"/>
          </w:tcPr>
          <w:p w14:paraId="3C8D17E2" w14:textId="77777777" w:rsidR="008F6AC1" w:rsidRPr="00483F7D" w:rsidRDefault="008F6AC1" w:rsidP="005563C1">
            <w:pPr>
              <w:spacing w:before="0" w:after="0"/>
              <w:jc w:val="center"/>
              <w:rPr>
                <w:sz w:val="20"/>
                <w:szCs w:val="20"/>
              </w:rPr>
            </w:pPr>
            <w:r w:rsidRPr="00483F7D">
              <w:rPr>
                <w:sz w:val="20"/>
              </w:rPr>
              <w:t>92 560 896</w:t>
            </w:r>
          </w:p>
        </w:tc>
      </w:tr>
    </w:tbl>
    <w:p w14:paraId="499C67A2" w14:textId="77777777" w:rsidR="008F6AC1" w:rsidRPr="00483F7D" w:rsidRDefault="008F6AC1" w:rsidP="008F6AC1">
      <w:pPr>
        <w:spacing w:after="240"/>
        <w:rPr>
          <w:bCs/>
          <w:noProof/>
          <w:szCs w:val="24"/>
        </w:rPr>
      </w:pPr>
      <w:r w:rsidRPr="00483F7D">
        <w:t>Οι επιχειρησιακές δαπάνες της Τελωνειακής Αρχής της ΕΕ αφορούν την επιχειρησιακή τελωνειακή συνεργασία.</w:t>
      </w:r>
    </w:p>
    <w:p w14:paraId="10409A3B" w14:textId="77777777" w:rsidR="008F6AC1" w:rsidRPr="00483F7D" w:rsidRDefault="008F6AC1" w:rsidP="008F6AC1">
      <w:pPr>
        <w:spacing w:before="0" w:after="240"/>
        <w:rPr>
          <w:bCs/>
          <w:noProof/>
          <w:szCs w:val="24"/>
        </w:rPr>
      </w:pPr>
      <w:r w:rsidRPr="00483F7D">
        <w:t xml:space="preserve">Η Τελωνειακή Αρχή της ΕΕ θα διαχειρίζεται επίσης τις δαπάνες στο πλαίσιο ρύθμισης συνεισφοράς, για τον τελωνειακό κόμβο δεδομένων της ΕΕ. </w:t>
      </w:r>
    </w:p>
    <w:p w14:paraId="19697DE3" w14:textId="77777777" w:rsidR="008F6AC1" w:rsidRPr="00483F7D" w:rsidRDefault="008F6AC1" w:rsidP="008F6AC1">
      <w:pPr>
        <w:pStyle w:val="Text1"/>
        <w:spacing w:before="0" w:after="240"/>
        <w:ind w:left="0"/>
        <w:rPr>
          <w:color w:val="000000" w:themeColor="text1"/>
        </w:rPr>
        <w:sectPr w:rsidR="008F6AC1" w:rsidRPr="00483F7D" w:rsidSect="00483F7D">
          <w:headerReference w:type="default" r:id="rId38"/>
          <w:footerReference w:type="default" r:id="rId39"/>
          <w:headerReference w:type="first" r:id="rId40"/>
          <w:footerReference w:type="first" r:id="rId41"/>
          <w:footnotePr>
            <w:numRestart w:val="eachSect"/>
          </w:footnotePr>
          <w:pgSz w:w="16839" w:h="11907" w:orient="landscape"/>
          <w:pgMar w:top="1418" w:right="1134" w:bottom="1418" w:left="1134" w:header="709" w:footer="709" w:gutter="0"/>
          <w:cols w:space="720"/>
          <w:docGrid w:linePitch="360"/>
        </w:sectPr>
      </w:pPr>
      <w:r w:rsidRPr="00483F7D">
        <w:t xml:space="preserve">Η ανωτέρω γραμμή </w:t>
      </w:r>
      <w:r w:rsidRPr="00483F7D">
        <w:rPr>
          <w:b/>
        </w:rPr>
        <w:t>τελωνειακής συνεργασίας</w:t>
      </w:r>
      <w:r w:rsidRPr="00483F7D">
        <w:t xml:space="preserve"> καλύπτει τις δαπάνες για τη σύγκληση ομάδων εργασίας τελωνειακών εμπειρογνωμόνων των κρατών μελών με σκοπό την εντατική συνεργασία σε θέματα που εμπίπτουν στο πεδίο εφαρμογής της πρότασης, μεταξύ άλλων όσον αφορά τη διαχείριση κινδύνων, την εφαρμογή και την αξιολόγηση κοινών κριτηρίων και προτύπων κινδύνου και κοινών τομέων ελέγχου προτεραιότητας, την κατάρτιση, την ανάπτυξη μεθόδων εργασίας και καθοδήγησης σε σχέση με τεχνικά ζητήματα, την εφαρμογή </w:t>
      </w:r>
      <w:r w:rsidRPr="00483F7D">
        <w:rPr>
          <w:i/>
        </w:rPr>
        <w:t>αξιοπιστίας και ελέγχου</w:t>
      </w:r>
      <w:r w:rsidRPr="00483F7D">
        <w:t>, την ανάπτυξη κοινών επιχειρηματικών διαδικασιών και τη διαλειτουργικότητα που σχετίζονται με τον χώρο τελωνειακών δεδομένων της ΕΕ και τη σύνδεσή του με άλλα συστήματα, κλπ. Περιλαμβάνει επίσης τη σύγκληση διεπιστημονικών ομάδων εμπειρογνωμόνων σε διάφορα επίπεδα (τομεακά, εθνικά, διεθνή) για θέματα που εμπίπτουν στο πεδίο εφαρμογής της πρότασης, συμπεριλαμβανομένης της προετοιμασίας και της αντιμετώπισης κρίσεων, της εφαρμογής κοινών προτεραιοτήτων πολιτικής, της ανάπτυξης και εφαρμογής πλαισίων συνεργασίας και των στοιχείων τους (συμπεριλαμβανομένων των στρατηγικών επιτήρησης). Οι ομάδες που οργανώνονται από την Τελωνειακή Αρχή της ΕΕ θα είναι ουσιαστικής σημασίας για την αποτελεσματική ενιαία υλοποίηση της τελωνειακής ένωσης, καθώς το μεγαλύτερο μέρος των επιχειρησιακών εργασιών εξακολουθούν να εκτελούνται επιτόπια από τις εθνικές αρχές</w:t>
      </w:r>
      <w:r w:rsidRPr="00483F7D">
        <w:rPr>
          <w:color w:val="000000" w:themeColor="text1"/>
        </w:rPr>
        <w:t>.</w:t>
      </w:r>
    </w:p>
    <w:p w14:paraId="7F0F26A2" w14:textId="77777777" w:rsidR="001D4028" w:rsidRPr="00483F7D" w:rsidRDefault="001D4028" w:rsidP="008F6AC1">
      <w:pPr>
        <w:pStyle w:val="ManualHeading1"/>
      </w:pPr>
    </w:p>
    <w:sectPr w:rsidR="001D4028" w:rsidRPr="00483F7D" w:rsidSect="00483F7D">
      <w:headerReference w:type="default" r:id="rId42"/>
      <w:footerReference w:type="default" r:id="rId43"/>
      <w:headerReference w:type="first" r:id="rId44"/>
      <w:footerReference w:type="first" r:id="rId45"/>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F865" w14:textId="77777777" w:rsidR="00690EC2" w:rsidRDefault="00690EC2" w:rsidP="0014214F">
      <w:pPr>
        <w:spacing w:before="0" w:after="0"/>
      </w:pPr>
      <w:r>
        <w:separator/>
      </w:r>
    </w:p>
  </w:endnote>
  <w:endnote w:type="continuationSeparator" w:id="0">
    <w:p w14:paraId="37617F4D" w14:textId="77777777" w:rsidR="00690EC2" w:rsidRDefault="00690EC2" w:rsidP="0014214F">
      <w:pPr>
        <w:spacing w:before="0" w:after="0"/>
      </w:pPr>
      <w:r>
        <w:continuationSeparator/>
      </w:r>
    </w:p>
  </w:endnote>
  <w:endnote w:type="continuationNotice" w:id="1">
    <w:p w14:paraId="45917332" w14:textId="77777777" w:rsidR="00690EC2" w:rsidRDefault="00690E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A621" w14:textId="08601B13" w:rsidR="00FE2C2E" w:rsidRPr="00483F7D" w:rsidRDefault="00483F7D" w:rsidP="00483F7D">
    <w:pPr>
      <w:pStyle w:val="Footer"/>
      <w:rPr>
        <w:rFonts w:ascii="Arial" w:hAnsi="Arial" w:cs="Arial"/>
        <w:b/>
        <w:sz w:val="48"/>
      </w:rPr>
    </w:pPr>
    <w:r w:rsidRPr="00483F7D">
      <w:rPr>
        <w:rFonts w:ascii="Arial" w:hAnsi="Arial" w:cs="Arial"/>
        <w:b/>
        <w:sz w:val="48"/>
      </w:rPr>
      <w:t>EL</w:t>
    </w:r>
    <w:r w:rsidRPr="00483F7D">
      <w:rPr>
        <w:rFonts w:ascii="Arial" w:hAnsi="Arial" w:cs="Arial"/>
        <w:b/>
        <w:sz w:val="48"/>
      </w:rPr>
      <w:tab/>
    </w:r>
    <w:r w:rsidRPr="00483F7D">
      <w:rPr>
        <w:rFonts w:ascii="Arial" w:hAnsi="Arial" w:cs="Arial"/>
        <w:b/>
        <w:sz w:val="48"/>
      </w:rPr>
      <w:tab/>
    </w:r>
    <w:r w:rsidRPr="00483F7D">
      <w:tab/>
    </w:r>
    <w:r w:rsidRPr="00483F7D">
      <w:rPr>
        <w:rFonts w:ascii="Arial" w:hAnsi="Arial" w:cs="Arial"/>
        <w:b/>
        <w:sz w:val="48"/>
      </w:rPr>
      <w:t>EL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A56A" w14:textId="77777777" w:rsidR="00483F7D" w:rsidRPr="00483F7D" w:rsidRDefault="00483F7D" w:rsidP="00483F7D">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BC30" w14:textId="451A7888" w:rsidR="00483F7D" w:rsidRPr="00483F7D" w:rsidRDefault="00483F7D" w:rsidP="00483F7D">
    <w:pPr>
      <w:pStyle w:val="Footer"/>
      <w:rPr>
        <w:rFonts w:ascii="Arial" w:hAnsi="Arial" w:cs="Arial"/>
        <w:b/>
        <w:sz w:val="48"/>
      </w:rPr>
    </w:pPr>
    <w:r w:rsidRPr="00483F7D">
      <w:rPr>
        <w:rFonts w:ascii="Arial" w:hAnsi="Arial" w:cs="Arial"/>
        <w:b/>
        <w:sz w:val="48"/>
      </w:rPr>
      <w:t>EL</w:t>
    </w:r>
    <w:r w:rsidRPr="00483F7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83F7D">
      <w:tab/>
    </w:r>
    <w:r w:rsidRPr="00483F7D">
      <w:rPr>
        <w:rFonts w:ascii="Arial" w:hAnsi="Arial" w:cs="Arial"/>
        <w:b/>
        <w:sz w:val="48"/>
      </w:rPr>
      <w:t>EL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B4DA" w14:textId="77777777" w:rsidR="00483F7D" w:rsidRPr="00483F7D" w:rsidRDefault="00483F7D" w:rsidP="00483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C062" w14:textId="047CBDF8" w:rsidR="00FE2C2E" w:rsidRPr="00483F7D" w:rsidRDefault="00483F7D" w:rsidP="00483F7D">
    <w:pPr>
      <w:pStyle w:val="Footer"/>
      <w:rPr>
        <w:rFonts w:ascii="Arial" w:hAnsi="Arial" w:cs="Arial"/>
        <w:b/>
        <w:sz w:val="48"/>
      </w:rPr>
    </w:pPr>
    <w:r w:rsidRPr="00483F7D">
      <w:rPr>
        <w:rFonts w:ascii="Arial" w:hAnsi="Arial" w:cs="Arial"/>
        <w:b/>
        <w:sz w:val="48"/>
      </w:rPr>
      <w:t>EL</w:t>
    </w:r>
    <w:r w:rsidRPr="00483F7D">
      <w:rPr>
        <w:rFonts w:ascii="Arial" w:hAnsi="Arial" w:cs="Arial"/>
        <w:b/>
        <w:sz w:val="48"/>
      </w:rPr>
      <w:tab/>
    </w:r>
    <w:r w:rsidRPr="00483F7D">
      <w:rPr>
        <w:rFonts w:ascii="Arial" w:hAnsi="Arial" w:cs="Arial"/>
        <w:b/>
        <w:sz w:val="48"/>
      </w:rPr>
      <w:tab/>
    </w:r>
    <w:r w:rsidRPr="00483F7D">
      <w:tab/>
    </w:r>
    <w:r w:rsidRPr="00483F7D">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F248" w14:textId="60F0BF91" w:rsidR="00483F7D" w:rsidRPr="00483F7D" w:rsidRDefault="00483F7D" w:rsidP="00483F7D">
    <w:pPr>
      <w:pStyle w:val="Footer"/>
      <w:rPr>
        <w:rFonts w:ascii="Arial" w:hAnsi="Arial" w:cs="Arial"/>
        <w:b/>
        <w:sz w:val="48"/>
      </w:rPr>
    </w:pPr>
    <w:r w:rsidRPr="00483F7D">
      <w:rPr>
        <w:rFonts w:ascii="Arial" w:hAnsi="Arial" w:cs="Arial"/>
        <w:b/>
        <w:sz w:val="48"/>
      </w:rPr>
      <w:t>EL</w:t>
    </w:r>
    <w:r w:rsidRPr="00483F7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83F7D">
      <w:tab/>
    </w:r>
    <w:r w:rsidRPr="00483F7D">
      <w:rPr>
        <w:rFonts w:ascii="Arial" w:hAnsi="Arial" w:cs="Arial"/>
        <w:b/>
        <w:sz w:val="48"/>
      </w:rPr>
      <w:t>EL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59E4" w14:textId="77777777" w:rsidR="00483F7D" w:rsidRPr="00483F7D" w:rsidRDefault="00483F7D" w:rsidP="00483F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CDCF" w14:textId="23F52F8A" w:rsidR="00483F7D" w:rsidRPr="00483F7D" w:rsidRDefault="00483F7D" w:rsidP="00483F7D">
    <w:pPr>
      <w:pStyle w:val="FooterLandscape"/>
      <w:rPr>
        <w:rFonts w:ascii="Arial" w:hAnsi="Arial" w:cs="Arial"/>
        <w:b/>
        <w:sz w:val="48"/>
      </w:rPr>
    </w:pPr>
    <w:r w:rsidRPr="00483F7D">
      <w:rPr>
        <w:rFonts w:ascii="Arial" w:hAnsi="Arial" w:cs="Arial"/>
        <w:b/>
        <w:sz w:val="48"/>
      </w:rPr>
      <w:t>EL</w:t>
    </w:r>
    <w:r w:rsidRPr="00483F7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83F7D">
      <w:tab/>
    </w:r>
    <w:r w:rsidRPr="00483F7D">
      <w:rPr>
        <w:rFonts w:ascii="Arial" w:hAnsi="Arial" w:cs="Arial"/>
        <w:b/>
        <w:sz w:val="48"/>
      </w:rPr>
      <w:t>EL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3C39" w14:textId="77777777" w:rsidR="00483F7D" w:rsidRPr="00483F7D" w:rsidRDefault="00483F7D" w:rsidP="00483F7D">
    <w:pPr>
      <w:pStyle w:val="FooterLandscap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3E98" w14:textId="6448EDAB" w:rsidR="00483F7D" w:rsidRPr="00483F7D" w:rsidRDefault="00483F7D" w:rsidP="00483F7D">
    <w:pPr>
      <w:pStyle w:val="Footer"/>
      <w:rPr>
        <w:rFonts w:ascii="Arial" w:hAnsi="Arial" w:cs="Arial"/>
        <w:b/>
        <w:sz w:val="48"/>
      </w:rPr>
    </w:pPr>
    <w:r w:rsidRPr="00483F7D">
      <w:rPr>
        <w:rFonts w:ascii="Arial" w:hAnsi="Arial" w:cs="Arial"/>
        <w:b/>
        <w:sz w:val="48"/>
      </w:rPr>
      <w:t>EL</w:t>
    </w:r>
    <w:r w:rsidRPr="00483F7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83F7D">
      <w:tab/>
    </w:r>
    <w:r w:rsidRPr="00483F7D">
      <w:rPr>
        <w:rFonts w:ascii="Arial" w:hAnsi="Arial" w:cs="Arial"/>
        <w:b/>
        <w:sz w:val="48"/>
      </w:rPr>
      <w:t>EL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4E78" w14:textId="77777777" w:rsidR="00483F7D" w:rsidRPr="00483F7D" w:rsidRDefault="00483F7D" w:rsidP="00483F7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8590" w14:textId="21E02EC4" w:rsidR="00483F7D" w:rsidRPr="00483F7D" w:rsidRDefault="00483F7D" w:rsidP="00483F7D">
    <w:pPr>
      <w:pStyle w:val="FooterLandscape"/>
      <w:rPr>
        <w:rFonts w:ascii="Arial" w:hAnsi="Arial" w:cs="Arial"/>
        <w:b/>
        <w:sz w:val="48"/>
      </w:rPr>
    </w:pPr>
    <w:r w:rsidRPr="00483F7D">
      <w:rPr>
        <w:rFonts w:ascii="Arial" w:hAnsi="Arial" w:cs="Arial"/>
        <w:b/>
        <w:sz w:val="48"/>
      </w:rPr>
      <w:t>EL</w:t>
    </w:r>
    <w:r w:rsidRPr="00483F7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483F7D">
      <w:tab/>
    </w:r>
    <w:r w:rsidRPr="00483F7D">
      <w:rPr>
        <w:rFonts w:ascii="Arial" w:hAnsi="Arial" w:cs="Arial"/>
        <w:b/>
        <w:sz w:val="48"/>
      </w:rPr>
      <w:t>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8BFF" w14:textId="77777777" w:rsidR="00690EC2" w:rsidRDefault="00690EC2" w:rsidP="0014214F">
      <w:pPr>
        <w:spacing w:before="0" w:after="0"/>
      </w:pPr>
      <w:r>
        <w:separator/>
      </w:r>
    </w:p>
  </w:footnote>
  <w:footnote w:type="continuationSeparator" w:id="0">
    <w:p w14:paraId="7B171C91" w14:textId="77777777" w:rsidR="00690EC2" w:rsidRDefault="00690EC2" w:rsidP="0014214F">
      <w:pPr>
        <w:spacing w:before="0" w:after="0"/>
      </w:pPr>
      <w:r>
        <w:continuationSeparator/>
      </w:r>
    </w:p>
  </w:footnote>
  <w:footnote w:type="continuationNotice" w:id="1">
    <w:p w14:paraId="337639D0" w14:textId="77777777" w:rsidR="00690EC2" w:rsidRDefault="00690EC2">
      <w:pPr>
        <w:spacing w:before="0" w:after="0"/>
      </w:pPr>
    </w:p>
  </w:footnote>
  <w:footnote w:id="2">
    <w:p w14:paraId="045E6F33" w14:textId="77777777" w:rsidR="00F75E1E" w:rsidRPr="00BC60FC" w:rsidRDefault="00F75E1E">
      <w:pPr>
        <w:pStyle w:val="FootnoteText"/>
      </w:pPr>
      <w:r>
        <w:rPr>
          <w:rStyle w:val="FootnoteReference"/>
        </w:rPr>
        <w:footnoteRef/>
      </w:r>
      <w:r w:rsidRPr="00BC60FC">
        <w:tab/>
        <w:t>Ψήφισμα του Ευρωπαϊκού Κοινοβουλίου, της 18ης Ιανουαρίου 2023, σχετικά με την 30ή επέτειο της ενιαίας αγοράς: εορτασμός των επιτευγμάτων με το βλέμμα στις μελλοντικές εξελίξεις [</w:t>
      </w:r>
      <w:hyperlink r:id="rId1" w:history="1">
        <w:r>
          <w:rPr>
            <w:rStyle w:val="Hyperlink"/>
          </w:rPr>
          <w:t>P</w:t>
        </w:r>
        <w:r w:rsidRPr="00BC60FC">
          <w:rPr>
            <w:rStyle w:val="Hyperlink"/>
          </w:rPr>
          <w:t>9_</w:t>
        </w:r>
        <w:r>
          <w:rPr>
            <w:rStyle w:val="Hyperlink"/>
          </w:rPr>
          <w:t>TA</w:t>
        </w:r>
        <w:r w:rsidRPr="00BC60FC">
          <w:rPr>
            <w:rStyle w:val="Hyperlink"/>
          </w:rPr>
          <w:t>(2023)0007</w:t>
        </w:r>
      </w:hyperlink>
      <w:r w:rsidRPr="00BC60FC">
        <w:t>].</w:t>
      </w:r>
    </w:p>
  </w:footnote>
  <w:footnote w:id="3">
    <w:p w14:paraId="35DCA1B7" w14:textId="2811BD99" w:rsidR="00F75E1E" w:rsidRPr="00BC60FC" w:rsidRDefault="00F75E1E" w:rsidP="00F75E1E">
      <w:pPr>
        <w:pStyle w:val="FootnoteText"/>
      </w:pPr>
      <w:r>
        <w:rPr>
          <w:rStyle w:val="FootnoteReference"/>
        </w:rPr>
        <w:footnoteRef/>
      </w:r>
      <w:r w:rsidRPr="00BC60FC">
        <w:tab/>
        <w:t>Μια Ένωση που επιδιώκει περισσότερα</w:t>
      </w:r>
      <w:r>
        <w:t> </w:t>
      </w:r>
      <w:r w:rsidRPr="00BC60FC">
        <w:t xml:space="preserve">— Το πρόγραμμά μου για την Ευρώπη, </w:t>
      </w:r>
      <w:hyperlink r:id="rId2" w:history="1">
        <w:r w:rsidRPr="00BC60FC">
          <w:rPr>
            <w:rStyle w:val="Hyperlink"/>
          </w:rPr>
          <w:t>Πολιτικές κατευθύνσεις για την επόμενη Ευρωπαϊκή Επιτροπή, 2019-2024</w:t>
        </w:r>
      </w:hyperlink>
      <w:r w:rsidRPr="00BC60FC">
        <w:t>.</w:t>
      </w:r>
    </w:p>
  </w:footnote>
  <w:footnote w:id="4">
    <w:p w14:paraId="6C34A712" w14:textId="77777777" w:rsidR="00F75E1E" w:rsidRPr="00BC60FC" w:rsidRDefault="00F75E1E" w:rsidP="00F75E1E">
      <w:pPr>
        <w:pStyle w:val="FootnoteText"/>
      </w:pPr>
      <w:r>
        <w:rPr>
          <w:rStyle w:val="FootnoteReference"/>
        </w:rPr>
        <w:footnoteRef/>
      </w:r>
      <w:r w:rsidRPr="00BC60FC">
        <w:tab/>
        <w:t xml:space="preserve">Ανακοίνωση της Επιτροπής προς το Ευρωπαϊκό Κοινοβούλιο, το Συμβούλιο και την Ευρωπαϊκή Οικονομική και Κοινωνική Επιτροπή — «Μετάβαση της τελωνειακής ένωσης στο επόμενο στάδιο: σχέδιο δράσης» </w:t>
      </w:r>
      <w:hyperlink r:id="rId3" w:history="1">
        <w:r w:rsidRPr="00BC60FC">
          <w:rPr>
            <w:rStyle w:val="Hyperlink"/>
          </w:rPr>
          <w:t>[</w:t>
        </w:r>
        <w:r>
          <w:rPr>
            <w:rStyle w:val="Hyperlink"/>
          </w:rPr>
          <w:t>COM</w:t>
        </w:r>
        <w:r w:rsidRPr="00BC60FC">
          <w:rPr>
            <w:rStyle w:val="Hyperlink"/>
          </w:rPr>
          <w:t xml:space="preserve">(2020) 581 </w:t>
        </w:r>
        <w:r>
          <w:rPr>
            <w:rStyle w:val="Hyperlink"/>
          </w:rPr>
          <w:t>final</w:t>
        </w:r>
        <w:r w:rsidRPr="00BC60FC">
          <w:rPr>
            <w:rStyle w:val="Hyperlink"/>
          </w:rPr>
          <w:t>]</w:t>
        </w:r>
      </w:hyperlink>
      <w:r w:rsidRPr="00BC60FC">
        <w:t>.</w:t>
      </w:r>
    </w:p>
  </w:footnote>
  <w:footnote w:id="5">
    <w:p w14:paraId="3AFA4338" w14:textId="77777777" w:rsidR="00F75E1E" w:rsidRPr="00BC60FC" w:rsidRDefault="00F75E1E" w:rsidP="00F75E1E">
      <w:pPr>
        <w:pStyle w:val="FootnoteText"/>
      </w:pPr>
      <w:r>
        <w:rPr>
          <w:rStyle w:val="FootnoteReference"/>
        </w:rPr>
        <w:footnoteRef/>
      </w:r>
      <w:r w:rsidRPr="00BC60FC">
        <w:tab/>
      </w:r>
      <w:r>
        <w:t>Commission</w:t>
      </w:r>
      <w:r w:rsidRPr="00BC60FC">
        <w:t xml:space="preserve"> </w:t>
      </w:r>
      <w:r>
        <w:t>Staff</w:t>
      </w:r>
      <w:r w:rsidRPr="00BC60FC">
        <w:t xml:space="preserve"> </w:t>
      </w:r>
      <w:r>
        <w:t>Working</w:t>
      </w:r>
      <w:r w:rsidRPr="00BC60FC">
        <w:t xml:space="preserve"> </w:t>
      </w:r>
      <w:r>
        <w:t>Document</w:t>
      </w:r>
      <w:r w:rsidRPr="00BC60FC">
        <w:t xml:space="preserve"> </w:t>
      </w:r>
      <w:r>
        <w:t>on</w:t>
      </w:r>
      <w:r w:rsidRPr="00BC60FC">
        <w:t xml:space="preserve"> </w:t>
      </w:r>
      <w:r>
        <w:t>the</w:t>
      </w:r>
      <w:r w:rsidRPr="00BC60FC">
        <w:t xml:space="preserve"> </w:t>
      </w:r>
      <w:r>
        <w:t>interim</w:t>
      </w:r>
      <w:r w:rsidRPr="00BC60FC">
        <w:t xml:space="preserve"> </w:t>
      </w:r>
      <w:r>
        <w:t>evaluation</w:t>
      </w:r>
      <w:r w:rsidRPr="00BC60FC">
        <w:t xml:space="preserve"> </w:t>
      </w:r>
      <w:r>
        <w:t>of</w:t>
      </w:r>
      <w:r w:rsidRPr="00BC60FC">
        <w:t xml:space="preserve"> </w:t>
      </w:r>
      <w:r>
        <w:t>the</w:t>
      </w:r>
      <w:r w:rsidRPr="00BC60FC">
        <w:t xml:space="preserve"> </w:t>
      </w:r>
      <w:r>
        <w:t>implementation</w:t>
      </w:r>
      <w:r w:rsidRPr="00BC60FC">
        <w:t xml:space="preserve"> </w:t>
      </w:r>
      <w:r>
        <w:t>of</w:t>
      </w:r>
      <w:r w:rsidRPr="00BC60FC">
        <w:t xml:space="preserve"> </w:t>
      </w:r>
      <w:r>
        <w:t>the</w:t>
      </w:r>
      <w:r w:rsidRPr="00BC60FC">
        <w:t xml:space="preserve"> </w:t>
      </w:r>
      <w:r>
        <w:t>Union</w:t>
      </w:r>
      <w:r w:rsidRPr="00BC60FC">
        <w:t xml:space="preserve"> </w:t>
      </w:r>
      <w:r>
        <w:t>Customs</w:t>
      </w:r>
      <w:r w:rsidRPr="00BC60FC">
        <w:t xml:space="preserve"> </w:t>
      </w:r>
      <w:r>
        <w:t>Code</w:t>
      </w:r>
      <w:r w:rsidRPr="00BC60FC">
        <w:t xml:space="preserve"> (Έγγραφο εργασίας των υπηρεσιών της Επιτροπής σχετικά με την ενδιάμεση αξιολόγηση της εφαρμογής του ενωσιακού τελωνειακού κώδικα), </w:t>
      </w:r>
      <w:hyperlink r:id="rId4" w:history="1">
        <w:r>
          <w:rPr>
            <w:rStyle w:val="Hyperlink"/>
          </w:rPr>
          <w:t>SWD</w:t>
        </w:r>
        <w:r w:rsidRPr="00BC60FC">
          <w:rPr>
            <w:rStyle w:val="Hyperlink"/>
          </w:rPr>
          <w:t>(2022)</w:t>
        </w:r>
        <w:r>
          <w:rPr>
            <w:rStyle w:val="Hyperlink"/>
          </w:rPr>
          <w:t> </w:t>
        </w:r>
        <w:r w:rsidRPr="00BC60FC">
          <w:rPr>
            <w:rStyle w:val="Hyperlink"/>
          </w:rPr>
          <w:t xml:space="preserve">158 </w:t>
        </w:r>
        <w:r>
          <w:rPr>
            <w:rStyle w:val="Hyperlink"/>
          </w:rPr>
          <w:t>final</w:t>
        </w:r>
      </w:hyperlink>
      <w:r w:rsidRPr="00BC60FC">
        <w:t>.</w:t>
      </w:r>
    </w:p>
  </w:footnote>
  <w:footnote w:id="6">
    <w:p w14:paraId="2DF1818E" w14:textId="77777777" w:rsidR="00F75E1E" w:rsidRPr="00BC60FC" w:rsidRDefault="00F75E1E" w:rsidP="00F75E1E">
      <w:pPr>
        <w:pStyle w:val="FootnoteText"/>
      </w:pPr>
      <w:r>
        <w:rPr>
          <w:rStyle w:val="FootnoteReference"/>
        </w:rPr>
        <w:footnoteRef/>
      </w:r>
      <w:r w:rsidRPr="00BC60FC">
        <w:tab/>
      </w:r>
      <w:r>
        <w:t>Ghiran</w:t>
      </w:r>
      <w:r w:rsidRPr="00BC60FC">
        <w:t xml:space="preserve">, </w:t>
      </w:r>
      <w:r>
        <w:t>A</w:t>
      </w:r>
      <w:r w:rsidRPr="00BC60FC">
        <w:t xml:space="preserve">., </w:t>
      </w:r>
      <w:r>
        <w:t>Hakami</w:t>
      </w:r>
      <w:r w:rsidRPr="00BC60FC">
        <w:t xml:space="preserve">, </w:t>
      </w:r>
      <w:r>
        <w:t>A</w:t>
      </w:r>
      <w:r w:rsidRPr="00BC60FC">
        <w:t xml:space="preserve">., </w:t>
      </w:r>
      <w:r>
        <w:t>Bontoux</w:t>
      </w:r>
      <w:r w:rsidRPr="00BC60FC">
        <w:t xml:space="preserve">, </w:t>
      </w:r>
      <w:r>
        <w:t>L</w:t>
      </w:r>
      <w:r w:rsidRPr="00BC60FC">
        <w:t xml:space="preserve">. και </w:t>
      </w:r>
      <w:r>
        <w:t>Scapolo</w:t>
      </w:r>
      <w:r w:rsidRPr="00BC60FC">
        <w:t xml:space="preserve">, </w:t>
      </w:r>
      <w:r>
        <w:t>F</w:t>
      </w:r>
      <w:r w:rsidRPr="00BC60FC">
        <w:t xml:space="preserve">., </w:t>
      </w:r>
      <w:hyperlink r:id="rId5" w:history="1">
        <w:r>
          <w:rPr>
            <w:rStyle w:val="Hyperlink"/>
          </w:rPr>
          <w:t>The</w:t>
        </w:r>
        <w:r w:rsidRPr="00BC60FC">
          <w:rPr>
            <w:rStyle w:val="Hyperlink"/>
          </w:rPr>
          <w:t xml:space="preserve"> </w:t>
        </w:r>
        <w:r>
          <w:rPr>
            <w:rStyle w:val="Hyperlink"/>
          </w:rPr>
          <w:t>Future</w:t>
        </w:r>
        <w:r w:rsidRPr="00BC60FC">
          <w:rPr>
            <w:rStyle w:val="Hyperlink"/>
          </w:rPr>
          <w:t xml:space="preserve"> </w:t>
        </w:r>
        <w:r>
          <w:rPr>
            <w:rStyle w:val="Hyperlink"/>
          </w:rPr>
          <w:t>of</w:t>
        </w:r>
        <w:r w:rsidRPr="00BC60FC">
          <w:rPr>
            <w:rStyle w:val="Hyperlink"/>
          </w:rPr>
          <w:t xml:space="preserve"> </w:t>
        </w:r>
        <w:r>
          <w:rPr>
            <w:rStyle w:val="Hyperlink"/>
          </w:rPr>
          <w:t>Customs</w:t>
        </w:r>
        <w:r w:rsidRPr="00BC60FC">
          <w:rPr>
            <w:rStyle w:val="Hyperlink"/>
          </w:rPr>
          <w:t xml:space="preserve"> </w:t>
        </w:r>
        <w:r>
          <w:rPr>
            <w:rStyle w:val="Hyperlink"/>
          </w:rPr>
          <w:t>in</w:t>
        </w:r>
        <w:r w:rsidRPr="00BC60FC">
          <w:rPr>
            <w:rStyle w:val="Hyperlink"/>
          </w:rPr>
          <w:t xml:space="preserve"> </w:t>
        </w:r>
        <w:r>
          <w:rPr>
            <w:rStyle w:val="Hyperlink"/>
          </w:rPr>
          <w:t>the</w:t>
        </w:r>
        <w:r w:rsidRPr="00BC60FC">
          <w:rPr>
            <w:rStyle w:val="Hyperlink"/>
          </w:rPr>
          <w:t xml:space="preserve"> </w:t>
        </w:r>
        <w:r>
          <w:rPr>
            <w:rStyle w:val="Hyperlink"/>
          </w:rPr>
          <w:t>EU</w:t>
        </w:r>
        <w:r w:rsidRPr="00BC60FC">
          <w:rPr>
            <w:rStyle w:val="Hyperlink"/>
          </w:rPr>
          <w:t xml:space="preserve"> 2040</w:t>
        </w:r>
      </w:hyperlink>
      <w:r w:rsidRPr="00BC60FC">
        <w:t xml:space="preserve"> (Το μέλλον των τελωνείων στην ΕΕ το 2040), Υπηρεσία Εκδόσεων της Ευρωπαϊκής Ένωσης, Λουξεμβούργο, 2020.</w:t>
      </w:r>
    </w:p>
  </w:footnote>
  <w:footnote w:id="7">
    <w:p w14:paraId="2503DFA2" w14:textId="77777777" w:rsidR="00F75E1E" w:rsidRPr="00BC60FC" w:rsidRDefault="00F75E1E" w:rsidP="00F75E1E">
      <w:pPr>
        <w:pStyle w:val="FootnoteText"/>
      </w:pPr>
      <w:r>
        <w:rPr>
          <w:rStyle w:val="FootnoteReference"/>
        </w:rPr>
        <w:footnoteRef/>
      </w:r>
      <w:r w:rsidRPr="00BC60FC">
        <w:tab/>
      </w:r>
      <w:hyperlink r:id="rId6" w:history="1">
        <w:r>
          <w:rPr>
            <w:rStyle w:val="Hyperlink"/>
          </w:rPr>
          <w:t>Putting</w:t>
        </w:r>
        <w:r w:rsidRPr="00BC60FC">
          <w:rPr>
            <w:rStyle w:val="Hyperlink"/>
          </w:rPr>
          <w:t xml:space="preserve"> </w:t>
        </w:r>
        <w:r>
          <w:rPr>
            <w:rStyle w:val="Hyperlink"/>
          </w:rPr>
          <w:t>more</w:t>
        </w:r>
        <w:r w:rsidRPr="00BC60FC">
          <w:rPr>
            <w:rStyle w:val="Hyperlink"/>
          </w:rPr>
          <w:t xml:space="preserve"> </w:t>
        </w:r>
        <w:r>
          <w:rPr>
            <w:rStyle w:val="Hyperlink"/>
          </w:rPr>
          <w:t>Union</w:t>
        </w:r>
        <w:r w:rsidRPr="00BC60FC">
          <w:rPr>
            <w:rStyle w:val="Hyperlink"/>
          </w:rPr>
          <w:t xml:space="preserve"> </w:t>
        </w:r>
        <w:r>
          <w:rPr>
            <w:rStyle w:val="Hyperlink"/>
          </w:rPr>
          <w:t>in</w:t>
        </w:r>
        <w:r w:rsidRPr="00BC60FC">
          <w:rPr>
            <w:rStyle w:val="Hyperlink"/>
          </w:rPr>
          <w:t xml:space="preserve"> </w:t>
        </w:r>
        <w:r>
          <w:rPr>
            <w:rStyle w:val="Hyperlink"/>
          </w:rPr>
          <w:t>the</w:t>
        </w:r>
        <w:r w:rsidRPr="00BC60FC">
          <w:rPr>
            <w:rStyle w:val="Hyperlink"/>
          </w:rPr>
          <w:t xml:space="preserve"> </w:t>
        </w:r>
        <w:r>
          <w:rPr>
            <w:rStyle w:val="Hyperlink"/>
          </w:rPr>
          <w:t>European</w:t>
        </w:r>
        <w:r w:rsidRPr="00BC60FC">
          <w:rPr>
            <w:rStyle w:val="Hyperlink"/>
          </w:rPr>
          <w:t xml:space="preserve"> </w:t>
        </w:r>
        <w:r>
          <w:rPr>
            <w:rStyle w:val="Hyperlink"/>
          </w:rPr>
          <w:t>customs</w:t>
        </w:r>
        <w:r w:rsidRPr="00BC60FC">
          <w:rPr>
            <w:rStyle w:val="Hyperlink"/>
          </w:rPr>
          <w:t xml:space="preserve">, </w:t>
        </w:r>
        <w:r>
          <w:rPr>
            <w:rStyle w:val="Hyperlink"/>
          </w:rPr>
          <w:t>Ten</w:t>
        </w:r>
        <w:r w:rsidRPr="00BC60FC">
          <w:rPr>
            <w:rStyle w:val="Hyperlink"/>
          </w:rPr>
          <w:t xml:space="preserve"> </w:t>
        </w:r>
        <w:r>
          <w:rPr>
            <w:rStyle w:val="Hyperlink"/>
          </w:rPr>
          <w:t>proposals</w:t>
        </w:r>
        <w:r w:rsidRPr="00BC60FC">
          <w:rPr>
            <w:rStyle w:val="Hyperlink"/>
          </w:rPr>
          <w:t xml:space="preserve"> </w:t>
        </w:r>
        <w:r>
          <w:rPr>
            <w:rStyle w:val="Hyperlink"/>
          </w:rPr>
          <w:t>to</w:t>
        </w:r>
        <w:r w:rsidRPr="00BC60FC">
          <w:rPr>
            <w:rStyle w:val="Hyperlink"/>
          </w:rPr>
          <w:t xml:space="preserve"> </w:t>
        </w:r>
        <w:r>
          <w:rPr>
            <w:rStyle w:val="Hyperlink"/>
          </w:rPr>
          <w:t>make</w:t>
        </w:r>
        <w:r w:rsidRPr="00BC60FC">
          <w:rPr>
            <w:rStyle w:val="Hyperlink"/>
          </w:rPr>
          <w:t xml:space="preserve"> </w:t>
        </w:r>
        <w:r>
          <w:rPr>
            <w:rStyle w:val="Hyperlink"/>
          </w:rPr>
          <w:t>the</w:t>
        </w:r>
        <w:r w:rsidRPr="00BC60FC">
          <w:rPr>
            <w:rStyle w:val="Hyperlink"/>
          </w:rPr>
          <w:t xml:space="preserve"> </w:t>
        </w:r>
        <w:r>
          <w:rPr>
            <w:rStyle w:val="Hyperlink"/>
          </w:rPr>
          <w:t>EU</w:t>
        </w:r>
        <w:r w:rsidRPr="00BC60FC">
          <w:rPr>
            <w:rStyle w:val="Hyperlink"/>
          </w:rPr>
          <w:t xml:space="preserve"> </w:t>
        </w:r>
        <w:r>
          <w:rPr>
            <w:rStyle w:val="Hyperlink"/>
          </w:rPr>
          <w:t>Customs</w:t>
        </w:r>
        <w:r w:rsidRPr="00BC60FC">
          <w:rPr>
            <w:rStyle w:val="Hyperlink"/>
          </w:rPr>
          <w:t xml:space="preserve"> </w:t>
        </w:r>
        <w:r>
          <w:rPr>
            <w:rStyle w:val="Hyperlink"/>
          </w:rPr>
          <w:t>Union</w:t>
        </w:r>
        <w:r w:rsidRPr="00BC60FC">
          <w:rPr>
            <w:rStyle w:val="Hyperlink"/>
          </w:rPr>
          <w:t xml:space="preserve"> </w:t>
        </w:r>
        <w:r>
          <w:rPr>
            <w:rStyle w:val="Hyperlink"/>
          </w:rPr>
          <w:t>fit</w:t>
        </w:r>
        <w:r w:rsidRPr="00BC60FC">
          <w:rPr>
            <w:rStyle w:val="Hyperlink"/>
          </w:rPr>
          <w:t xml:space="preserve"> </w:t>
        </w:r>
        <w:r>
          <w:rPr>
            <w:rStyle w:val="Hyperlink"/>
          </w:rPr>
          <w:t>for</w:t>
        </w:r>
        <w:r w:rsidRPr="00BC60FC">
          <w:rPr>
            <w:rStyle w:val="Hyperlink"/>
          </w:rPr>
          <w:t xml:space="preserve"> </w:t>
        </w:r>
        <w:r>
          <w:rPr>
            <w:rStyle w:val="Hyperlink"/>
          </w:rPr>
          <w:t>a</w:t>
        </w:r>
        <w:r w:rsidRPr="00BC60FC">
          <w:rPr>
            <w:rStyle w:val="Hyperlink"/>
          </w:rPr>
          <w:t xml:space="preserve"> </w:t>
        </w:r>
        <w:r>
          <w:rPr>
            <w:rStyle w:val="Hyperlink"/>
          </w:rPr>
          <w:t>Geopolitical</w:t>
        </w:r>
        <w:r w:rsidRPr="00BC60FC">
          <w:rPr>
            <w:rStyle w:val="Hyperlink"/>
          </w:rPr>
          <w:t xml:space="preserve"> </w:t>
        </w:r>
        <w:r>
          <w:rPr>
            <w:rStyle w:val="Hyperlink"/>
          </w:rPr>
          <w:t>Europe</w:t>
        </w:r>
      </w:hyperlink>
      <w:r w:rsidRPr="00BC60FC">
        <w:t xml:space="preserve"> (Ενίσχυση της διάστασης της Ένωσης στα ευρωπαϊκά τελωνεία: Δέκα προτάσεις για να καταστεί η τελωνειακή ένωση της ΕΕ κατάλληλη για μια γεωπολιτική Ευρώπη), Έκθεση της ομάδας σοφών σχετικά με τη μεταρρύθμιση της τελωνειακής ένωσης της ΕΕ, Βρυξέλλες, Μάρτιος 2022.</w:t>
      </w:r>
    </w:p>
  </w:footnote>
  <w:footnote w:id="8">
    <w:p w14:paraId="20A7026D" w14:textId="77777777" w:rsidR="00F75E1E" w:rsidRPr="00BC60FC" w:rsidRDefault="00F75E1E">
      <w:pPr>
        <w:pStyle w:val="FootnoteText"/>
      </w:pPr>
      <w:r>
        <w:rPr>
          <w:rStyle w:val="FootnoteReference"/>
        </w:rPr>
        <w:footnoteRef/>
      </w:r>
      <w:r w:rsidRPr="00BC60FC">
        <w:tab/>
      </w:r>
      <w:hyperlink r:id="rId7" w:history="1">
        <w:r w:rsidRPr="00BC60FC">
          <w:rPr>
            <w:rStyle w:val="Hyperlink"/>
          </w:rPr>
          <w:t>Ειδική έκθεση αριθ. 04/2021</w:t>
        </w:r>
      </w:hyperlink>
      <w:r w:rsidRPr="00BC60FC">
        <w:t xml:space="preserve"> του Ευρωπαϊκού Ελεγκτικού Συνεδρίου: Τελωνειακοί έλεγχοι: η ανεπαρκής εναρμόνιση βλάπτει τα οικονομικά συμφέροντα της ΕΕ.</w:t>
      </w:r>
    </w:p>
  </w:footnote>
  <w:footnote w:id="9">
    <w:p w14:paraId="4214C865" w14:textId="77777777" w:rsidR="00F75E1E" w:rsidRPr="00BC60FC" w:rsidRDefault="00F75E1E" w:rsidP="00F75E1E">
      <w:pPr>
        <w:pStyle w:val="FootnoteText"/>
      </w:pPr>
      <w:r>
        <w:rPr>
          <w:rStyle w:val="FootnoteReference"/>
        </w:rPr>
        <w:footnoteRef/>
      </w:r>
      <w:r w:rsidRPr="00BC60FC">
        <w:tab/>
      </w:r>
      <w:hyperlink r:id="rId8" w:history="1">
        <w:r w:rsidRPr="00BC60FC">
          <w:rPr>
            <w:rStyle w:val="Hyperlink"/>
          </w:rPr>
          <w:t>Ειδική έκθεση αριθ. 26/2018</w:t>
        </w:r>
      </w:hyperlink>
      <w:r w:rsidRPr="00BC60FC">
        <w:t xml:space="preserve"> του Ευρωπαϊκού Ελεγκτικού Συνεδρίου: Σειρά καθυστερήσεων στην υλοποίηση των συστημάτων ΤΠ των τελωνείων: τι έφταιξε;</w:t>
      </w:r>
    </w:p>
  </w:footnote>
  <w:footnote w:id="10">
    <w:p w14:paraId="32589865" w14:textId="77777777" w:rsidR="00F75E1E" w:rsidRPr="00BC60FC" w:rsidRDefault="00F75E1E" w:rsidP="00F75E1E">
      <w:pPr>
        <w:pStyle w:val="FootnoteText"/>
      </w:pPr>
      <w:r>
        <w:rPr>
          <w:rStyle w:val="FootnoteReference"/>
        </w:rPr>
        <w:footnoteRef/>
      </w:r>
      <w:r w:rsidRPr="00BC60FC">
        <w:tab/>
      </w:r>
      <w:hyperlink r:id="rId9" w:history="1">
        <w:r w:rsidRPr="00BC60FC">
          <w:rPr>
            <w:rStyle w:val="Hyperlink"/>
          </w:rPr>
          <w:t>Ειδική έκθεση αριθ. 12/2019</w:t>
        </w:r>
      </w:hyperlink>
      <w:r w:rsidRPr="00BC60FC">
        <w:t xml:space="preserve"> του Ευρωπαϊκού Ελεγκτικού Συνεδρίου: Ηλεκτρονικό εμπόριο: πολλές από τις προκλήσεις που σχετίζονται με την είσπραξη του ΦΠΑ και των τελωνειακών δεσμών δεν έχουν αντιμετωπιστεί.</w:t>
      </w:r>
    </w:p>
  </w:footnote>
  <w:footnote w:id="11">
    <w:p w14:paraId="0BDB1C08" w14:textId="77777777" w:rsidR="00F75E1E" w:rsidRPr="00BC60FC" w:rsidRDefault="00F75E1E" w:rsidP="00F75E1E">
      <w:pPr>
        <w:pStyle w:val="FootnoteText"/>
      </w:pPr>
      <w:r>
        <w:rPr>
          <w:rStyle w:val="FootnoteReference"/>
        </w:rPr>
        <w:footnoteRef/>
      </w:r>
      <w:r w:rsidRPr="00BC60FC">
        <w:tab/>
      </w:r>
      <w:hyperlink r:id="rId10" w:history="1">
        <w:r>
          <w:rPr>
            <w:rStyle w:val="Hyperlink"/>
          </w:rPr>
          <w:t>E</w:t>
        </w:r>
        <w:r w:rsidRPr="00BC60FC">
          <w:rPr>
            <w:rStyle w:val="Hyperlink"/>
          </w:rPr>
          <w:t>ιδική έκθεση αριθ. 19/2017</w:t>
        </w:r>
      </w:hyperlink>
      <w:r w:rsidRPr="00BC60FC">
        <w:t xml:space="preserve"> του Ευρωπαϊκού Ελεγκτικού Συνεδρίου: Διαδικασίες εισαγωγής: οι αδυναμίες του νομικού πλαισίου και η αναποτελεσματική εφαρμογή έχουν αντίκτυπο στα οικονομικά συμφέροντα της ΕΕ.</w:t>
      </w:r>
    </w:p>
  </w:footnote>
  <w:footnote w:id="12">
    <w:p w14:paraId="6FCF215D" w14:textId="77777777" w:rsidR="004066FA" w:rsidRPr="00BC60FC" w:rsidRDefault="004066FA">
      <w:pPr>
        <w:pStyle w:val="FootnoteText"/>
      </w:pPr>
      <w:r>
        <w:rPr>
          <w:rStyle w:val="FootnoteReference"/>
        </w:rPr>
        <w:footnoteRef/>
      </w:r>
      <w:r w:rsidRPr="00BC60FC">
        <w:tab/>
      </w:r>
      <w:hyperlink r:id="rId11" w:history="1">
        <w:r w:rsidRPr="00BC60FC">
          <w:rPr>
            <w:rStyle w:val="Hyperlink"/>
          </w:rPr>
          <w:t xml:space="preserve"> Πρόγραμμα εργασίας της Επιτροπής για το 2022</w:t>
        </w:r>
      </w:hyperlink>
      <w:r w:rsidRPr="00BC60FC">
        <w:t>, Μαζί κάνουμε ισχυρότερη την Ευρώπη.</w:t>
      </w:r>
    </w:p>
  </w:footnote>
  <w:footnote w:id="13">
    <w:p w14:paraId="783FF168" w14:textId="77777777" w:rsidR="00F75E1E" w:rsidRPr="00BC60FC" w:rsidRDefault="00F75E1E" w:rsidP="00F75E1E">
      <w:pPr>
        <w:pStyle w:val="FootnoteText"/>
      </w:pPr>
      <w:r>
        <w:rPr>
          <w:rStyle w:val="FootnoteReference"/>
        </w:rPr>
        <w:footnoteRef/>
      </w:r>
      <w:r w:rsidRPr="00BC60FC">
        <w:tab/>
        <w:t>Πρόταση οδηγίας του Συμβουλίου για την τροποποίηση της οδηγίας 2006/112/ΕΚ σχετικά με τους κανόνες ΦΠΑ που αφορούν υποκειμένους στον φόρο οι οποίοι διευκολύνουν τις εξ αποστάσεως πωλήσεις εισαγόμενων αγαθών και την εφαρμογή του ειδικού καθεστώτος για τις εξ αποστάσεως πωλήσεις εμπορευμάτων που εισάγονται από τρίτα εδάφη ή τρίτες χώρες και τις ειδικές ρυθμίσεις για τη δήλωση και την καταβολή του ΦΠΑ κατά την εισαγωγή (ΕΕ</w:t>
      </w:r>
      <w:r>
        <w:t> L</w:t>
      </w:r>
      <w:r w:rsidRPr="00BC60FC">
        <w:t xml:space="preserve"> .....).</w:t>
      </w:r>
    </w:p>
  </w:footnote>
  <w:footnote w:id="14">
    <w:p w14:paraId="481D101A" w14:textId="77777777" w:rsidR="00F75E1E" w:rsidRPr="00BC60FC" w:rsidRDefault="00F75E1E" w:rsidP="00F75E1E">
      <w:pPr>
        <w:pStyle w:val="FootnoteText"/>
      </w:pPr>
      <w:r>
        <w:rPr>
          <w:rStyle w:val="FootnoteReference"/>
        </w:rPr>
        <w:footnoteRef/>
      </w:r>
      <w:r w:rsidRPr="00BC60FC">
        <w:tab/>
        <w:t>Πρόταση οδηγίας του Συμβουλίου για την τροποποίηση του κανονισμού (ΕΚ) αριθ.</w:t>
      </w:r>
      <w:r>
        <w:t> </w:t>
      </w:r>
      <w:r w:rsidRPr="00BC60FC">
        <w:t>1186/2009 του Συμβουλίου, της 16ης Νοεμβρίου 2009, για τη θέσπιση του κοινοτικού καθεστώτος τελωνειακών ατελειών και τον κανονισμό (ΕΟΚ) αριθ.</w:t>
      </w:r>
      <w:r>
        <w:t> </w:t>
      </w:r>
      <w:r w:rsidRPr="00BC60FC">
        <w:t xml:space="preserve">2658/87 του Συμβουλίου, της 23ης Ιουλίου 1987, για τη δασμολογική και στατιστική ονοματολογία και το κοινό δασμολόγιο, στο πλαίσιο ευρείας και συνολικής μεταρρύθμισης της τελωνειακής ένωσης (ΕΕ </w:t>
      </w:r>
      <w:r>
        <w:t>L</w:t>
      </w:r>
      <w:r w:rsidRPr="00BC60FC">
        <w:t xml:space="preserve"> …….).</w:t>
      </w:r>
    </w:p>
  </w:footnote>
  <w:footnote w:id="15">
    <w:p w14:paraId="1DFF8FE3" w14:textId="77777777" w:rsidR="00F75E1E" w:rsidRPr="00BC60FC" w:rsidRDefault="00F75E1E" w:rsidP="00F75E1E">
      <w:pPr>
        <w:pStyle w:val="FootnoteText"/>
      </w:pPr>
      <w:r>
        <w:rPr>
          <w:rStyle w:val="FootnoteReference"/>
        </w:rPr>
        <w:footnoteRef/>
      </w:r>
      <w:r w:rsidRPr="00BC60FC">
        <w:tab/>
        <w:t>Απόφαση (ΕΕ, Ευρατόμ) 2020/2053 του Συμβουλίου, της 14ης</w:t>
      </w:r>
      <w:r>
        <w:t> </w:t>
      </w:r>
      <w:r w:rsidRPr="00BC60FC">
        <w:t>Δεκεμβρίου 2020, για το σύστημα των ιδίων πόρων της Ευρωπαϊκής Ένωσης και για την κατάργηση της απόφασης 2014/335/ΕΕ, Ευρατόμ (ΕΕ</w:t>
      </w:r>
      <w:r>
        <w:t> L </w:t>
      </w:r>
      <w:r w:rsidRPr="00BC60FC">
        <w:t>424 της 15.12.2020, σ.</w:t>
      </w:r>
      <w:r>
        <w:t> </w:t>
      </w:r>
      <w:r w:rsidRPr="00BC60FC">
        <w:t>1).</w:t>
      </w:r>
    </w:p>
  </w:footnote>
  <w:footnote w:id="16">
    <w:p w14:paraId="703FB427" w14:textId="77777777" w:rsidR="00F75E1E" w:rsidRPr="00BC60FC" w:rsidRDefault="00F75E1E" w:rsidP="00F75E1E">
      <w:pPr>
        <w:pStyle w:val="FootnoteText"/>
      </w:pPr>
      <w:r>
        <w:rPr>
          <w:rStyle w:val="FootnoteReference"/>
        </w:rPr>
        <w:footnoteRef/>
      </w:r>
      <w:r w:rsidRPr="00BC60FC">
        <w:tab/>
        <w:t>Κανονισμός (ΕΕ, Ευρατόμ) αριθ.</w:t>
      </w:r>
      <w:r>
        <w:t> </w:t>
      </w:r>
      <w:r w:rsidRPr="00BC60FC">
        <w:t>609/2014 του Συμβουλίου, της 26ης</w:t>
      </w:r>
      <w:r>
        <w:t> </w:t>
      </w:r>
      <w:r w:rsidRPr="00BC60FC">
        <w:t xml:space="preserve">Μαΐου 2014, για τις μεθόδους και τη διαδικασία απόδοσης των παραδοσιακών ιδίων πόρων και των ιδίων πόρων που βασίζονται στον ΦΠΑ και το ΑΕΕ και για τα μέτρα αντιμετώπισης των ταμειακών αναγκών (αναδιατύπωση) (ΕΕ </w:t>
      </w:r>
      <w:r>
        <w:t>L </w:t>
      </w:r>
      <w:r w:rsidRPr="00BC60FC">
        <w:t>168 της 7.6.2014, σ.</w:t>
      </w:r>
      <w:r>
        <w:t> </w:t>
      </w:r>
      <w:r w:rsidRPr="00BC60FC">
        <w:t>39).</w:t>
      </w:r>
    </w:p>
  </w:footnote>
  <w:footnote w:id="17">
    <w:p w14:paraId="56EF4151" w14:textId="77777777" w:rsidR="00F75E1E" w:rsidRPr="00BC60FC" w:rsidRDefault="00F75E1E" w:rsidP="00F75E1E">
      <w:pPr>
        <w:pStyle w:val="FootnoteText"/>
      </w:pPr>
      <w:r>
        <w:rPr>
          <w:rStyle w:val="FootnoteReference"/>
        </w:rPr>
        <w:footnoteRef/>
      </w:r>
      <w:r w:rsidRPr="00BC60FC">
        <w:tab/>
        <w:t>Οδηγία (ΕΕ) 2017/2455 του Συμβουλίου, της 5ης Δεκεμβρίου 2017, για την τροποποίηση της οδηγίας 2006/112/ΕΚ και της οδηγίας 2009/132/ΕΚ όσον αφορά ορισμένες υποχρεώσεις που απορρέουν από τον φόρο προστιθέμενης αξίας για παροχές υπηρεσιών και πωλήσεις αγαθών εξ αποστάσεως (ΕΕ</w:t>
      </w:r>
      <w:r>
        <w:t> L </w:t>
      </w:r>
      <w:r w:rsidRPr="00BC60FC">
        <w:t>348 της 29.12.2017, σ.</w:t>
      </w:r>
      <w:r>
        <w:t> </w:t>
      </w:r>
      <w:r w:rsidRPr="00BC60FC">
        <w:t>7).</w:t>
      </w:r>
    </w:p>
  </w:footnote>
  <w:footnote w:id="18">
    <w:p w14:paraId="33A991B9" w14:textId="77777777" w:rsidR="00F75E1E" w:rsidRPr="00BC60FC" w:rsidRDefault="00F75E1E" w:rsidP="00F75E1E">
      <w:pPr>
        <w:pStyle w:val="FootnoteText"/>
      </w:pPr>
      <w:r>
        <w:rPr>
          <w:rStyle w:val="FootnoteReference"/>
        </w:rPr>
        <w:footnoteRef/>
      </w:r>
      <w:r w:rsidRPr="00BC60FC">
        <w:tab/>
        <w:t xml:space="preserve">Ευρωπαϊκή Επιτροπή, Γενική Διεύθυνση Φορολογίας και Τελωνειακής Ένωσης, </w:t>
      </w:r>
      <w:hyperlink r:id="rId12" w:history="1">
        <w:r>
          <w:rPr>
            <w:rStyle w:val="Hyperlink"/>
          </w:rPr>
          <w:t>Integrated</w:t>
        </w:r>
        <w:r w:rsidRPr="00BC60FC">
          <w:rPr>
            <w:rStyle w:val="Hyperlink"/>
          </w:rPr>
          <w:t xml:space="preserve"> </w:t>
        </w:r>
        <w:r>
          <w:rPr>
            <w:rStyle w:val="Hyperlink"/>
          </w:rPr>
          <w:t>EU</w:t>
        </w:r>
        <w:r w:rsidRPr="00BC60FC">
          <w:rPr>
            <w:rStyle w:val="Hyperlink"/>
          </w:rPr>
          <w:t xml:space="preserve"> </w:t>
        </w:r>
        <w:r>
          <w:rPr>
            <w:rStyle w:val="Hyperlink"/>
          </w:rPr>
          <w:t>prohibitions</w:t>
        </w:r>
        <w:r w:rsidRPr="00BC60FC">
          <w:rPr>
            <w:rStyle w:val="Hyperlink"/>
          </w:rPr>
          <w:t xml:space="preserve"> &amp; </w:t>
        </w:r>
        <w:r>
          <w:rPr>
            <w:rStyle w:val="Hyperlink"/>
          </w:rPr>
          <w:t>restrictions</w:t>
        </w:r>
        <w:r w:rsidRPr="00BC60FC">
          <w:rPr>
            <w:rStyle w:val="Hyperlink"/>
          </w:rPr>
          <w:t xml:space="preserve"> </w:t>
        </w:r>
        <w:r>
          <w:rPr>
            <w:rStyle w:val="Hyperlink"/>
          </w:rPr>
          <w:t>list</w:t>
        </w:r>
      </w:hyperlink>
      <w:r w:rsidRPr="00BC60FC">
        <w:t xml:space="preserve">: </w:t>
      </w:r>
      <w:r>
        <w:t>indicative</w:t>
      </w:r>
      <w:r w:rsidRPr="00BC60FC">
        <w:t xml:space="preserve"> </w:t>
      </w:r>
      <w:r>
        <w:t>calendar</w:t>
      </w:r>
      <w:r w:rsidRPr="00BC60FC">
        <w:t xml:space="preserve"> </w:t>
      </w:r>
      <w:r>
        <w:t>and</w:t>
      </w:r>
      <w:r w:rsidRPr="00BC60FC">
        <w:t xml:space="preserve"> </w:t>
      </w:r>
      <w:r>
        <w:t>list</w:t>
      </w:r>
      <w:r w:rsidRPr="00BC60FC">
        <w:t xml:space="preserve"> </w:t>
      </w:r>
      <w:r>
        <w:t>as</w:t>
      </w:r>
      <w:r w:rsidRPr="00BC60FC">
        <w:t xml:space="preserve"> </w:t>
      </w:r>
      <w:r>
        <w:t>of</w:t>
      </w:r>
      <w:r w:rsidRPr="00BC60FC">
        <w:t xml:space="preserve"> 1.1.2022 </w:t>
      </w:r>
      <w:r>
        <w:t>legal</w:t>
      </w:r>
      <w:r w:rsidRPr="00BC60FC">
        <w:t xml:space="preserve"> </w:t>
      </w:r>
      <w:r>
        <w:t>notice</w:t>
      </w:r>
      <w:r w:rsidRPr="00BC60FC">
        <w:t xml:space="preserve"> (Ολοκληρωμένος κατάλογος απαγορεύσεων και περιορισμών της ΕΕ: ενδεικτικό χρονοδιάγραμμα και κατάλογος σύμφωνα με τη ανακοίνωση νομικού περιεχομένου της 1.1.2022), Υπηρεσία Εκδόσεων της Ευρωπαϊκής Ένωσης, 2022.</w:t>
      </w:r>
    </w:p>
  </w:footnote>
  <w:footnote w:id="19">
    <w:p w14:paraId="0B48431F" w14:textId="77777777" w:rsidR="00F75E1E" w:rsidRPr="00BC60FC" w:rsidRDefault="00F75E1E" w:rsidP="00F75E1E">
      <w:pPr>
        <w:pStyle w:val="FootnoteText"/>
      </w:pPr>
      <w:r>
        <w:rPr>
          <w:rStyle w:val="FootnoteReference"/>
        </w:rPr>
        <w:footnoteRef/>
      </w:r>
      <w:r w:rsidRPr="00BC60FC">
        <w:tab/>
        <w:t>Κανονισμός (ΕΕ)</w:t>
      </w:r>
      <w:r>
        <w:t> </w:t>
      </w:r>
      <w:r w:rsidRPr="00BC60FC">
        <w:t>2019/1020 του Ευρωπαϊκού Κοινοβουλίου και του Συμβουλίου, της 20ής Ιουνίου 2019, για την εποπτεία της αγοράς και τη συμμόρφωση των προϊόντων και για την κατάργηση της οδηγίας</w:t>
      </w:r>
      <w:r>
        <w:t> </w:t>
      </w:r>
      <w:r w:rsidRPr="00BC60FC">
        <w:t>2004/42/ΕΚ και των κανονισμών (ΕΚ) αριθ.</w:t>
      </w:r>
      <w:r>
        <w:t> </w:t>
      </w:r>
      <w:r w:rsidRPr="00BC60FC">
        <w:t>765/2008 και (ΕΕ) αριθ.</w:t>
      </w:r>
      <w:r>
        <w:t> </w:t>
      </w:r>
      <w:r w:rsidRPr="00BC60FC">
        <w:t xml:space="preserve">305/2011 (ΕΕ </w:t>
      </w:r>
      <w:r>
        <w:t>L </w:t>
      </w:r>
      <w:r w:rsidRPr="00BC60FC">
        <w:t>169 της 25.6.2019, σ.</w:t>
      </w:r>
      <w:r>
        <w:t> </w:t>
      </w:r>
      <w:r w:rsidRPr="00BC60FC">
        <w:t>1).</w:t>
      </w:r>
    </w:p>
  </w:footnote>
  <w:footnote w:id="20">
    <w:p w14:paraId="6E43B8BA" w14:textId="77777777" w:rsidR="00F75E1E" w:rsidRPr="00BC60FC" w:rsidRDefault="00F75E1E" w:rsidP="00F75E1E">
      <w:pPr>
        <w:pStyle w:val="FootnoteText"/>
      </w:pPr>
      <w:r>
        <w:rPr>
          <w:rStyle w:val="FootnoteReference"/>
        </w:rPr>
        <w:footnoteRef/>
      </w:r>
      <w:r w:rsidRPr="00BC60FC">
        <w:tab/>
        <w:t>Πρόταση κανονισμού του Ευρωπαϊκού Κοινοβουλίου και του Συμβουλίου για τη γενική ασφάλεια των προϊόντων, την τροποποίηση του κανονισμού (ΕΕ) αριθ.</w:t>
      </w:r>
      <w:r>
        <w:t> </w:t>
      </w:r>
      <w:r w:rsidRPr="00BC60FC">
        <w:t>1025/2012 του Ευρωπαϊκού Κοινοβουλίου και του Συμβουλίου και την κατάργηση της οδηγίας 87/357/ΕΟΚ του Συμβουλίου και της οδηγίας 2001/95/ΕΚ του Ευρωπαϊκού Κοινοβουλίου και του Συμβουλίου [</w:t>
      </w:r>
      <w:r>
        <w:t>COM</w:t>
      </w:r>
      <w:r w:rsidRPr="00BC60FC">
        <w:t>(2021)</w:t>
      </w:r>
      <w:r>
        <w:t> </w:t>
      </w:r>
      <w:r w:rsidRPr="00BC60FC">
        <w:t>346].</w:t>
      </w:r>
    </w:p>
  </w:footnote>
  <w:footnote w:id="21">
    <w:p w14:paraId="3712A7D0" w14:textId="77777777" w:rsidR="00F75E1E" w:rsidRPr="00BC60FC" w:rsidRDefault="00F75E1E" w:rsidP="00F75E1E">
      <w:pPr>
        <w:pStyle w:val="FootnoteText"/>
      </w:pPr>
      <w:r>
        <w:rPr>
          <w:rStyle w:val="FootnoteReference"/>
        </w:rPr>
        <w:footnoteRef/>
      </w:r>
      <w:r w:rsidRPr="00BC60FC">
        <w:tab/>
        <w:t>Πρόταση κανονισμού του Ευρωπαϊκού Κοινοβουλίου και του Συμβουλίου σχετικά με την απαγόρευση των προϊόντων καταναγκαστικής εργασίας στην αγορά της Ένωσης [</w:t>
      </w:r>
      <w:r>
        <w:t>COM</w:t>
      </w:r>
      <w:r w:rsidRPr="00BC60FC">
        <w:t xml:space="preserve">(2022) 453 </w:t>
      </w:r>
      <w:r>
        <w:t>final</w:t>
      </w:r>
      <w:r w:rsidRPr="00BC60FC">
        <w:t>].</w:t>
      </w:r>
    </w:p>
  </w:footnote>
  <w:footnote w:id="22">
    <w:p w14:paraId="61BCB44C" w14:textId="77777777" w:rsidR="00F75E1E" w:rsidRPr="00BC60FC" w:rsidRDefault="00F75E1E" w:rsidP="00F75E1E">
      <w:pPr>
        <w:pStyle w:val="FootnoteText"/>
      </w:pPr>
      <w:r>
        <w:rPr>
          <w:rStyle w:val="FootnoteReference"/>
        </w:rPr>
        <w:footnoteRef/>
      </w:r>
      <w:r w:rsidRPr="00BC60FC">
        <w:tab/>
        <w:t>Κανονισμός (ΕΚ) αριθ.</w:t>
      </w:r>
      <w:r>
        <w:t> </w:t>
      </w:r>
      <w:r w:rsidRPr="00BC60FC">
        <w:t>1907/2006 του Ευρωπαϊκού Κοινοβουλίου και του Συμβουλίου, της 18ης</w:t>
      </w:r>
      <w:r>
        <w:t> </w:t>
      </w:r>
      <w:r w:rsidRPr="00BC60FC">
        <w:t>Δεκεμβρίου 2006 , για την καταχώριση, την αξιολόγηση, την αδειοδότηση και τους περιορισμούς των χημικών προϊόντων (</w:t>
      </w:r>
      <w:r>
        <w:t>REACH</w:t>
      </w:r>
      <w:r w:rsidRPr="00BC60FC">
        <w:t>) και για την ίδρυση του Ευρωπαϊκού Οργανισμού Χημικών Προϊόντων καθώς και για την τροποποίηση της οδηγίας 1999/45/ΕΚ και για την κατάργηση του κανονισμού (ΕΟΚ) αριθ.</w:t>
      </w:r>
      <w:r>
        <w:t> </w:t>
      </w:r>
      <w:r w:rsidRPr="00BC60FC">
        <w:t>793/93 του Συμβουλίου και του κανονισμού (ΕΚ) αριθ.</w:t>
      </w:r>
      <w:r>
        <w:t> </w:t>
      </w:r>
      <w:r w:rsidRPr="00BC60FC">
        <w:t>1488/94 της Επιτροπής καθώς και της οδηγίας 76/769/ΕΟΚ του Συμβουλίου και των οδηγιών της Επιτροπής 91/155/ΕΟΚ, 93/67/ΕΟΚ, 93/105/ΕΚ και 2000/21/ΕΚ.</w:t>
      </w:r>
    </w:p>
  </w:footnote>
  <w:footnote w:id="23">
    <w:p w14:paraId="1F5DAA5E" w14:textId="77777777" w:rsidR="00F75E1E" w:rsidRPr="00BC60FC" w:rsidRDefault="00F75E1E" w:rsidP="00F75E1E">
      <w:pPr>
        <w:pStyle w:val="FootnoteText"/>
      </w:pPr>
      <w:r>
        <w:rPr>
          <w:rStyle w:val="FootnoteReference"/>
        </w:rPr>
        <w:footnoteRef/>
      </w:r>
      <w:r w:rsidRPr="00BC60FC">
        <w:tab/>
        <w:t xml:space="preserve">Κανονισμός (ΕΚ) αριθ. 338/97 του Συμβουλίου, της 9ης Δεκεμβρίου 1996, για την προστασία των ειδών άγριας πανίδας και χλωρίδας με τον έλεγχο του εμπορίου τους (ΕΕ </w:t>
      </w:r>
      <w:r>
        <w:t>L </w:t>
      </w:r>
      <w:r w:rsidRPr="00BC60FC">
        <w:t>61 της 3.3.1997, σ. 1).</w:t>
      </w:r>
    </w:p>
  </w:footnote>
  <w:footnote w:id="24">
    <w:p w14:paraId="675D9B0F" w14:textId="77777777" w:rsidR="00F75E1E" w:rsidRPr="00BC60FC" w:rsidRDefault="00F75E1E" w:rsidP="00F75E1E">
      <w:pPr>
        <w:pStyle w:val="FootnoteText"/>
      </w:pPr>
      <w:r>
        <w:rPr>
          <w:rStyle w:val="FootnoteReference"/>
        </w:rPr>
        <w:footnoteRef/>
      </w:r>
      <w:r w:rsidRPr="00BC60FC">
        <w:tab/>
        <w:t>Κανονισμός (ΕΕ) αριθ.</w:t>
      </w:r>
      <w:r>
        <w:t> </w:t>
      </w:r>
      <w:r w:rsidRPr="00BC60FC">
        <w:t>517/2014 του Ευρωπαϊκού Κοινοβουλίου και του Συμβουλίου, της 16ης Απριλίου 2014, για τα φθοριούχα αέρια του θερμοκηπίου και για την κατάργηση του κανονισμού (ΕΚ) αριθ.</w:t>
      </w:r>
      <w:r>
        <w:t> </w:t>
      </w:r>
      <w:r w:rsidRPr="00BC60FC">
        <w:t xml:space="preserve">842/2006 (ΕΕ </w:t>
      </w:r>
      <w:r>
        <w:t>L</w:t>
      </w:r>
      <w:r w:rsidRPr="00BC60FC">
        <w:t xml:space="preserve"> 150 της 20.5.2014, σ.</w:t>
      </w:r>
      <w:r>
        <w:t> </w:t>
      </w:r>
      <w:r w:rsidRPr="00BC60FC">
        <w:t>195).</w:t>
      </w:r>
    </w:p>
  </w:footnote>
  <w:footnote w:id="25">
    <w:p w14:paraId="0D127029" w14:textId="77777777" w:rsidR="00F75E1E" w:rsidRPr="00BC60FC" w:rsidRDefault="00F75E1E" w:rsidP="00F75E1E">
      <w:pPr>
        <w:pStyle w:val="FootnoteText"/>
      </w:pPr>
      <w:r>
        <w:rPr>
          <w:rStyle w:val="FootnoteReference"/>
        </w:rPr>
        <w:footnoteRef/>
      </w:r>
      <w:r w:rsidRPr="00BC60FC">
        <w:tab/>
        <w:t>Κανονισμός (ΕΚ) αριθ. 1005/2009 του Ευρωπαϊκού Κοινοβουλίου και του Συμβουλίου, της 16ης Σεπτεμβρίου 2009, για τις ουσίες που καταστρέφουν τη στιβάδα του όζοντος (ΕΕ</w:t>
      </w:r>
      <w:r>
        <w:t> L </w:t>
      </w:r>
      <w:r w:rsidRPr="00BC60FC">
        <w:t>286 της 31.10.2009, σ.</w:t>
      </w:r>
      <w:r>
        <w:t> </w:t>
      </w:r>
      <w:r w:rsidRPr="00BC60FC">
        <w:t>1).</w:t>
      </w:r>
    </w:p>
  </w:footnote>
  <w:footnote w:id="26">
    <w:p w14:paraId="176582FA" w14:textId="77777777" w:rsidR="00F75E1E" w:rsidRPr="00BC60FC" w:rsidRDefault="00F75E1E">
      <w:pPr>
        <w:pStyle w:val="FootnoteText"/>
      </w:pPr>
      <w:r>
        <w:rPr>
          <w:rStyle w:val="FootnoteReference"/>
        </w:rPr>
        <w:footnoteRef/>
      </w:r>
      <w:r w:rsidRPr="00BC60FC">
        <w:tab/>
        <w:t>Πρόταση κανονισμού του Ευρωπαϊκού Κοινοβουλίου και του Συμβουλίου για τη διαθεσιμότητα στην αγορά της Ένωσης και την εξαγωγή από την Ένωση ορισμένων βασικών και παράγωγων προϊόντων που συνδέονται με την αποψίλωση και την υποβάθμιση των δασών, και για την κατάργηση του κανονισμού (ΕΕ) αριθ.</w:t>
      </w:r>
      <w:r>
        <w:t> </w:t>
      </w:r>
      <w:r w:rsidRPr="00BC60FC">
        <w:t>995/2010 [</w:t>
      </w:r>
      <w:r>
        <w:t>COM</w:t>
      </w:r>
      <w:r w:rsidRPr="00BC60FC">
        <w:t>(2021)</w:t>
      </w:r>
      <w:r>
        <w:t> </w:t>
      </w:r>
      <w:r w:rsidRPr="00BC60FC">
        <w:t>706].</w:t>
      </w:r>
    </w:p>
  </w:footnote>
  <w:footnote w:id="27">
    <w:p w14:paraId="2C5E7F7F" w14:textId="77777777" w:rsidR="00F75E1E" w:rsidRPr="00BC60FC" w:rsidRDefault="00F75E1E" w:rsidP="00F75E1E">
      <w:pPr>
        <w:pStyle w:val="FootnoteText"/>
      </w:pPr>
      <w:r>
        <w:rPr>
          <w:rStyle w:val="FootnoteReference"/>
        </w:rPr>
        <w:footnoteRef/>
      </w:r>
      <w:r w:rsidRPr="00BC60FC">
        <w:tab/>
        <w:t>Πρόταση κανονισμού του Ευρωπαϊκού Κοινοβουλίου και του Συμβουλίου για τις μεταφορές αποβλήτων και την τροποποίηση των κανονισμών (ΕΕ) αριθ.</w:t>
      </w:r>
      <w:r>
        <w:t> </w:t>
      </w:r>
      <w:r w:rsidRPr="00BC60FC">
        <w:t>1257/2013 και (ΕΕ) 2020/1056 [</w:t>
      </w:r>
      <w:r>
        <w:t>COM</w:t>
      </w:r>
      <w:r w:rsidRPr="00BC60FC">
        <w:t xml:space="preserve">/2021/709 </w:t>
      </w:r>
      <w:r>
        <w:t>final</w:t>
      </w:r>
      <w:r w:rsidRPr="00BC60FC">
        <w:t>].</w:t>
      </w:r>
    </w:p>
  </w:footnote>
  <w:footnote w:id="28">
    <w:p w14:paraId="404DFA56" w14:textId="77777777" w:rsidR="00F75E1E" w:rsidRPr="00BC60FC" w:rsidRDefault="00F75E1E" w:rsidP="00F75E1E">
      <w:pPr>
        <w:pStyle w:val="FootnoteText"/>
      </w:pPr>
      <w:r>
        <w:rPr>
          <w:rStyle w:val="FootnoteReference"/>
        </w:rPr>
        <w:footnoteRef/>
      </w:r>
      <w:r w:rsidRPr="00BC60FC">
        <w:tab/>
        <w:t>Πρόταση κανονισμού του Ευρωπαϊκού Κοινοβουλίου και του Συμβουλίου για τη θέσπιση πλαισίου για τον καθορισμό απαιτήσεων οικολογικού σχεδιασμού όσον αφορά τα βιώσιμα προϊόντα και για την κατάργηση της οδηγίας 2009/125/ΕΚ [</w:t>
      </w:r>
      <w:r>
        <w:t>COM</w:t>
      </w:r>
      <w:r w:rsidRPr="00BC60FC">
        <w:t>(2022)</w:t>
      </w:r>
      <w:r>
        <w:t> </w:t>
      </w:r>
      <w:r w:rsidRPr="00BC60FC">
        <w:t xml:space="preserve">142 </w:t>
      </w:r>
      <w:r>
        <w:t>final</w:t>
      </w:r>
      <w:r w:rsidRPr="00BC60FC">
        <w:t>].</w:t>
      </w:r>
    </w:p>
  </w:footnote>
  <w:footnote w:id="29">
    <w:p w14:paraId="0A898EDC" w14:textId="77777777" w:rsidR="00F75E1E" w:rsidRPr="00BC60FC" w:rsidRDefault="00F75E1E" w:rsidP="00F75E1E">
      <w:pPr>
        <w:pStyle w:val="FootnoteText"/>
      </w:pPr>
      <w:r>
        <w:rPr>
          <w:rStyle w:val="FootnoteReference"/>
        </w:rPr>
        <w:footnoteRef/>
      </w:r>
      <w:r w:rsidRPr="00BC60FC">
        <w:tab/>
        <w:t>Πρόταση κανονισμού του Ευρωπαϊκού Κοινοβουλίου και του Συμβουλίου για τη θέσπιση μηχανισμού συνοριακής προσαρμογής άνθρακα [</w:t>
      </w:r>
      <w:r>
        <w:t>COM</w:t>
      </w:r>
      <w:r w:rsidRPr="00BC60FC">
        <w:t>(2021)</w:t>
      </w:r>
      <w:r>
        <w:t> </w:t>
      </w:r>
      <w:r w:rsidRPr="00BC60FC">
        <w:t>564].</w:t>
      </w:r>
    </w:p>
  </w:footnote>
  <w:footnote w:id="30">
    <w:p w14:paraId="5A3A4AB0" w14:textId="77777777" w:rsidR="00F75E1E" w:rsidRPr="00BC60FC" w:rsidRDefault="00F75E1E" w:rsidP="00F75E1E">
      <w:pPr>
        <w:pStyle w:val="FootnoteText"/>
      </w:pPr>
      <w:r>
        <w:rPr>
          <w:rStyle w:val="FootnoteReference"/>
        </w:rPr>
        <w:footnoteRef/>
      </w:r>
      <w:r w:rsidRPr="00BC60FC">
        <w:tab/>
        <w:t>Κανονισμός (ΕΚ) αριθ.</w:t>
      </w:r>
      <w:r>
        <w:t> </w:t>
      </w:r>
      <w:r w:rsidRPr="00BC60FC">
        <w:t>515/97 του Συμβουλίου, της 13ης</w:t>
      </w:r>
      <w:r>
        <w:t> </w:t>
      </w:r>
      <w:r w:rsidRPr="00BC60FC">
        <w:t xml:space="preserve">Μαρτίου 1997, περί της αμοιβαίας συνδρομής μεταξύ των διοικητικών αρχών των κρατών μελών και της συνεργασίας των αρχών αυτών με την Επιτροπή με σκοπό τη διασφάλιση της ορθής εφαρμογής των τελωνειακών και γεωργικών ρυθμίσεων (ΕΕ </w:t>
      </w:r>
      <w:r>
        <w:t>L </w:t>
      </w:r>
      <w:r w:rsidRPr="00BC60FC">
        <w:t>82 της 22.3.1997, σ.</w:t>
      </w:r>
      <w:r>
        <w:t> </w:t>
      </w:r>
      <w:r w:rsidRPr="00BC60FC">
        <w:t>1).</w:t>
      </w:r>
    </w:p>
  </w:footnote>
  <w:footnote w:id="31">
    <w:p w14:paraId="095027B2" w14:textId="77777777" w:rsidR="00F75E1E" w:rsidRPr="00BC60FC" w:rsidRDefault="00F75E1E" w:rsidP="00F75E1E">
      <w:pPr>
        <w:pStyle w:val="FootnoteText"/>
      </w:pPr>
      <w:r>
        <w:rPr>
          <w:rStyle w:val="FootnoteReference"/>
        </w:rPr>
        <w:footnoteRef/>
      </w:r>
      <w:r w:rsidRPr="00BC60FC">
        <w:tab/>
        <w:t xml:space="preserve">Περισσότερες πληροφορίες σχετικά με την </w:t>
      </w:r>
      <w:hyperlink r:id="rId13" w:history="1">
        <w:r w:rsidRPr="00BC60FC">
          <w:rPr>
            <w:rStyle w:val="Hyperlink"/>
          </w:rPr>
          <w:t>επιχειρησιακή συνεργασία</w:t>
        </w:r>
      </w:hyperlink>
      <w:r w:rsidRPr="00BC60FC">
        <w:t>.</w:t>
      </w:r>
    </w:p>
  </w:footnote>
  <w:footnote w:id="32">
    <w:p w14:paraId="630F7E66" w14:textId="77777777" w:rsidR="00F75E1E" w:rsidRPr="00BC60FC" w:rsidRDefault="00F75E1E" w:rsidP="00F75E1E">
      <w:pPr>
        <w:pStyle w:val="FootnoteText"/>
      </w:pPr>
      <w:r>
        <w:rPr>
          <w:rStyle w:val="FootnoteReference"/>
        </w:rPr>
        <w:footnoteRef/>
      </w:r>
      <w:r w:rsidRPr="00BC60FC">
        <w:tab/>
        <w:t>Κανονισμός (ΕΕ) 2022/2065 του Ευρωπαϊκού Κοινοβουλίου και του Συμβουλίου της 19ης</w:t>
      </w:r>
      <w:r>
        <w:t> </w:t>
      </w:r>
      <w:r w:rsidRPr="00BC60FC">
        <w:t>Οκτωβρίου 2022 σχετικά με την ενιαία αγορά ψηφιακών υπηρεσιών και την τροποποίηση της οδηγίας 2000/31/ΕΚ (πράξη για τις ψηφιακές υπηρεσίες).</w:t>
      </w:r>
    </w:p>
  </w:footnote>
  <w:footnote w:id="33">
    <w:p w14:paraId="64710BBC" w14:textId="77777777" w:rsidR="00835143" w:rsidRPr="00BC60FC" w:rsidRDefault="00835143" w:rsidP="00835143">
      <w:pPr>
        <w:pStyle w:val="FootnoteText"/>
      </w:pPr>
      <w:r>
        <w:rPr>
          <w:rStyle w:val="FootnoteReference"/>
        </w:rPr>
        <w:footnoteRef/>
      </w:r>
      <w:r w:rsidRPr="00BC60FC">
        <w:tab/>
      </w:r>
      <w:r>
        <w:t>Commission</w:t>
      </w:r>
      <w:r w:rsidRPr="00BC60FC">
        <w:t xml:space="preserve"> </w:t>
      </w:r>
      <w:r>
        <w:t>Staff</w:t>
      </w:r>
      <w:r w:rsidRPr="00BC60FC">
        <w:t xml:space="preserve"> </w:t>
      </w:r>
      <w:r>
        <w:t>Working</w:t>
      </w:r>
      <w:r w:rsidRPr="00BC60FC">
        <w:t xml:space="preserve"> </w:t>
      </w:r>
      <w:r>
        <w:t>Document</w:t>
      </w:r>
      <w:r w:rsidRPr="00BC60FC">
        <w:t xml:space="preserve"> </w:t>
      </w:r>
      <w:r>
        <w:t>on</w:t>
      </w:r>
      <w:r w:rsidRPr="00BC60FC">
        <w:t xml:space="preserve"> </w:t>
      </w:r>
      <w:r>
        <w:t>the</w:t>
      </w:r>
      <w:r w:rsidRPr="00BC60FC">
        <w:t xml:space="preserve"> </w:t>
      </w:r>
      <w:r>
        <w:t>interim</w:t>
      </w:r>
      <w:r w:rsidRPr="00BC60FC">
        <w:t xml:space="preserve"> </w:t>
      </w:r>
      <w:r>
        <w:t>evaluation</w:t>
      </w:r>
      <w:r w:rsidRPr="00BC60FC">
        <w:t xml:space="preserve"> </w:t>
      </w:r>
      <w:r>
        <w:t>of</w:t>
      </w:r>
      <w:r w:rsidRPr="00BC60FC">
        <w:t xml:space="preserve"> </w:t>
      </w:r>
      <w:r>
        <w:t>the</w:t>
      </w:r>
      <w:r w:rsidRPr="00BC60FC">
        <w:t xml:space="preserve"> </w:t>
      </w:r>
      <w:r>
        <w:t>implementation</w:t>
      </w:r>
      <w:r w:rsidRPr="00BC60FC">
        <w:t xml:space="preserve"> </w:t>
      </w:r>
      <w:r>
        <w:t>of</w:t>
      </w:r>
      <w:r w:rsidRPr="00BC60FC">
        <w:t xml:space="preserve"> </w:t>
      </w:r>
      <w:r>
        <w:t>the</w:t>
      </w:r>
      <w:r w:rsidRPr="00BC60FC">
        <w:t xml:space="preserve"> </w:t>
      </w:r>
      <w:r>
        <w:t>Union</w:t>
      </w:r>
      <w:r w:rsidRPr="00BC60FC">
        <w:t xml:space="preserve"> </w:t>
      </w:r>
      <w:r>
        <w:t>Customs</w:t>
      </w:r>
      <w:r w:rsidRPr="00BC60FC">
        <w:t xml:space="preserve"> </w:t>
      </w:r>
      <w:r>
        <w:t>Code</w:t>
      </w:r>
      <w:r w:rsidRPr="00BC60FC">
        <w:t xml:space="preserve"> (Έγγραφο εργασίας των υπηρεσιών της Επιτροπής σχετικά με την ενδιάμεση αξιολόγηση της εφαρμογής του ενωσιακού τελωνειακού κώδικα) (</w:t>
      </w:r>
      <w:r>
        <w:t>SWD</w:t>
      </w:r>
      <w:r w:rsidRPr="00BC60FC">
        <w:t>/2022/0158).</w:t>
      </w:r>
    </w:p>
  </w:footnote>
  <w:footnote w:id="34">
    <w:p w14:paraId="5FDC0EBA" w14:textId="77777777" w:rsidR="00835143" w:rsidRPr="00BC60FC" w:rsidRDefault="00835143" w:rsidP="00835143">
      <w:pPr>
        <w:pStyle w:val="FootnoteText"/>
      </w:pPr>
      <w:r>
        <w:rPr>
          <w:rStyle w:val="FootnoteReference"/>
        </w:rPr>
        <w:footnoteRef/>
      </w:r>
      <w:r w:rsidRPr="00BC60FC">
        <w:tab/>
      </w:r>
      <w:hyperlink r:id="rId14" w:history="1">
        <w:r w:rsidRPr="00BC60FC">
          <w:rPr>
            <w:rStyle w:val="Hyperlink"/>
          </w:rPr>
          <w:t xml:space="preserve"> </w:t>
        </w:r>
        <w:r>
          <w:rPr>
            <w:rStyle w:val="Hyperlink"/>
          </w:rPr>
          <w:t>https</w:t>
        </w:r>
        <w:r w:rsidRPr="00BC60FC">
          <w:rPr>
            <w:rStyle w:val="Hyperlink"/>
          </w:rPr>
          <w:t>://</w:t>
        </w:r>
        <w:r>
          <w:rPr>
            <w:rStyle w:val="Hyperlink"/>
          </w:rPr>
          <w:t>ec</w:t>
        </w:r>
        <w:r w:rsidRPr="00BC60FC">
          <w:rPr>
            <w:rStyle w:val="Hyperlink"/>
          </w:rPr>
          <w:t>.</w:t>
        </w:r>
        <w:r>
          <w:rPr>
            <w:rStyle w:val="Hyperlink"/>
          </w:rPr>
          <w:t>europa</w:t>
        </w:r>
        <w:r w:rsidRPr="00BC60FC">
          <w:rPr>
            <w:rStyle w:val="Hyperlink"/>
          </w:rPr>
          <w:t>.</w:t>
        </w:r>
        <w:r>
          <w:rPr>
            <w:rStyle w:val="Hyperlink"/>
          </w:rPr>
          <w:t>eu</w:t>
        </w:r>
        <w:r w:rsidRPr="00BC60FC">
          <w:rPr>
            <w:rStyle w:val="Hyperlink"/>
          </w:rPr>
          <w:t>/</w:t>
        </w:r>
        <w:r>
          <w:rPr>
            <w:rStyle w:val="Hyperlink"/>
          </w:rPr>
          <w:t>info</w:t>
        </w:r>
        <w:r w:rsidRPr="00BC60FC">
          <w:rPr>
            <w:rStyle w:val="Hyperlink"/>
          </w:rPr>
          <w:t>/</w:t>
        </w:r>
        <w:r>
          <w:rPr>
            <w:rStyle w:val="Hyperlink"/>
          </w:rPr>
          <w:t>law</w:t>
        </w:r>
        <w:r w:rsidRPr="00BC60FC">
          <w:rPr>
            <w:rStyle w:val="Hyperlink"/>
          </w:rPr>
          <w:t>/</w:t>
        </w:r>
        <w:r>
          <w:rPr>
            <w:rStyle w:val="Hyperlink"/>
          </w:rPr>
          <w:t>better</w:t>
        </w:r>
        <w:r w:rsidRPr="00BC60FC">
          <w:rPr>
            <w:rStyle w:val="Hyperlink"/>
          </w:rPr>
          <w:t>-</w:t>
        </w:r>
        <w:r>
          <w:rPr>
            <w:rStyle w:val="Hyperlink"/>
          </w:rPr>
          <w:t>regulation</w:t>
        </w:r>
        <w:r w:rsidRPr="00BC60FC">
          <w:rPr>
            <w:rStyle w:val="Hyperlink"/>
          </w:rPr>
          <w:t>/</w:t>
        </w:r>
        <w:r>
          <w:rPr>
            <w:rStyle w:val="Hyperlink"/>
          </w:rPr>
          <w:t>have</w:t>
        </w:r>
        <w:r w:rsidRPr="00BC60FC">
          <w:rPr>
            <w:rStyle w:val="Hyperlink"/>
          </w:rPr>
          <w:t>-</w:t>
        </w:r>
        <w:r>
          <w:rPr>
            <w:rStyle w:val="Hyperlink"/>
          </w:rPr>
          <w:t>your</w:t>
        </w:r>
        <w:r w:rsidRPr="00BC60FC">
          <w:rPr>
            <w:rStyle w:val="Hyperlink"/>
          </w:rPr>
          <w:t>-</w:t>
        </w:r>
        <w:r>
          <w:rPr>
            <w:rStyle w:val="Hyperlink"/>
          </w:rPr>
          <w:t>say</w:t>
        </w:r>
        <w:r w:rsidRPr="00BC60FC">
          <w:rPr>
            <w:rStyle w:val="Hyperlink"/>
          </w:rPr>
          <w:t>/</w:t>
        </w:r>
        <w:r>
          <w:rPr>
            <w:rStyle w:val="Hyperlink"/>
          </w:rPr>
          <w:t>initiatives</w:t>
        </w:r>
        <w:r w:rsidRPr="00BC60FC">
          <w:rPr>
            <w:rStyle w:val="Hyperlink"/>
          </w:rPr>
          <w:t>/13316-%</w:t>
        </w:r>
        <w:r>
          <w:rPr>
            <w:rStyle w:val="Hyperlink"/>
          </w:rPr>
          <w:t>CE</w:t>
        </w:r>
        <w:r w:rsidRPr="00BC60FC">
          <w:rPr>
            <w:rStyle w:val="Hyperlink"/>
          </w:rPr>
          <w:t>%91%</w:t>
        </w:r>
        <w:r>
          <w:rPr>
            <w:rStyle w:val="Hyperlink"/>
          </w:rPr>
          <w:t>CE</w:t>
        </w:r>
        <w:r w:rsidRPr="00BC60FC">
          <w:rPr>
            <w:rStyle w:val="Hyperlink"/>
          </w:rPr>
          <w:t>%</w:t>
        </w:r>
        <w:r>
          <w:rPr>
            <w:rStyle w:val="Hyperlink"/>
          </w:rPr>
          <w:t>BD</w:t>
        </w:r>
        <w:r w:rsidRPr="00BC60FC">
          <w:rPr>
            <w:rStyle w:val="Hyperlink"/>
          </w:rPr>
          <w:t>%</w:t>
        </w:r>
        <w:r>
          <w:rPr>
            <w:rStyle w:val="Hyperlink"/>
          </w:rPr>
          <w:t>CE</w:t>
        </w:r>
        <w:r w:rsidRPr="00BC60FC">
          <w:rPr>
            <w:rStyle w:val="Hyperlink"/>
          </w:rPr>
          <w:t>%</w:t>
        </w:r>
        <w:r>
          <w:rPr>
            <w:rStyle w:val="Hyperlink"/>
          </w:rPr>
          <w:t>B</w:t>
        </w:r>
        <w:r w:rsidRPr="00BC60FC">
          <w:rPr>
            <w:rStyle w:val="Hyperlink"/>
          </w:rPr>
          <w:t>1%</w:t>
        </w:r>
        <w:r>
          <w:rPr>
            <w:rStyle w:val="Hyperlink"/>
          </w:rPr>
          <w:t>CE</w:t>
        </w:r>
        <w:r w:rsidRPr="00BC60FC">
          <w:rPr>
            <w:rStyle w:val="Hyperlink"/>
          </w:rPr>
          <w:t>%</w:t>
        </w:r>
        <w:r>
          <w:rPr>
            <w:rStyle w:val="Hyperlink"/>
          </w:rPr>
          <w:t>B</w:t>
        </w:r>
        <w:r w:rsidRPr="00BC60FC">
          <w:rPr>
            <w:rStyle w:val="Hyperlink"/>
          </w:rPr>
          <w:t>8%</w:t>
        </w:r>
        <w:r>
          <w:rPr>
            <w:rStyle w:val="Hyperlink"/>
          </w:rPr>
          <w:t>CE</w:t>
        </w:r>
        <w:r w:rsidRPr="00BC60FC">
          <w:rPr>
            <w:rStyle w:val="Hyperlink"/>
          </w:rPr>
          <w:t>%</w:t>
        </w:r>
        <w:r>
          <w:rPr>
            <w:rStyle w:val="Hyperlink"/>
          </w:rPr>
          <w:t>B</w:t>
        </w:r>
        <w:r w:rsidRPr="00BC60FC">
          <w:rPr>
            <w:rStyle w:val="Hyperlink"/>
          </w:rPr>
          <w:t>5%</w:t>
        </w:r>
        <w:r>
          <w:rPr>
            <w:rStyle w:val="Hyperlink"/>
          </w:rPr>
          <w:t>CF</w:t>
        </w:r>
        <w:r w:rsidRPr="00BC60FC">
          <w:rPr>
            <w:rStyle w:val="Hyperlink"/>
          </w:rPr>
          <w:t>%89%</w:t>
        </w:r>
        <w:r>
          <w:rPr>
            <w:rStyle w:val="Hyperlink"/>
          </w:rPr>
          <w:t>CF</w:t>
        </w:r>
        <w:r w:rsidRPr="00BC60FC">
          <w:rPr>
            <w:rStyle w:val="Hyperlink"/>
          </w:rPr>
          <w:t>%81%</w:t>
        </w:r>
        <w:r>
          <w:rPr>
            <w:rStyle w:val="Hyperlink"/>
          </w:rPr>
          <w:t>CE</w:t>
        </w:r>
        <w:r w:rsidRPr="00BC60FC">
          <w:rPr>
            <w:rStyle w:val="Hyperlink"/>
          </w:rPr>
          <w:t>%</w:t>
        </w:r>
        <w:r>
          <w:rPr>
            <w:rStyle w:val="Hyperlink"/>
          </w:rPr>
          <w:t>B</w:t>
        </w:r>
        <w:r w:rsidRPr="00BC60FC">
          <w:rPr>
            <w:rStyle w:val="Hyperlink"/>
          </w:rPr>
          <w:t>7%</w:t>
        </w:r>
        <w:r>
          <w:rPr>
            <w:rStyle w:val="Hyperlink"/>
          </w:rPr>
          <w:t>CF</w:t>
        </w:r>
        <w:r w:rsidRPr="00BC60FC">
          <w:rPr>
            <w:rStyle w:val="Hyperlink"/>
          </w:rPr>
          <w:t>%83%</w:t>
        </w:r>
        <w:r>
          <w:rPr>
            <w:rStyle w:val="Hyperlink"/>
          </w:rPr>
          <w:t>CE</w:t>
        </w:r>
        <w:r w:rsidRPr="00BC60FC">
          <w:rPr>
            <w:rStyle w:val="Hyperlink"/>
          </w:rPr>
          <w:t>%</w:t>
        </w:r>
        <w:r>
          <w:rPr>
            <w:rStyle w:val="Hyperlink"/>
          </w:rPr>
          <w:t>B</w:t>
        </w:r>
        <w:r w:rsidRPr="00BC60FC">
          <w:rPr>
            <w:rStyle w:val="Hyperlink"/>
          </w:rPr>
          <w:t>7-%</w:t>
        </w:r>
        <w:r>
          <w:rPr>
            <w:rStyle w:val="Hyperlink"/>
          </w:rPr>
          <w:t>CF</w:t>
        </w:r>
        <w:r w:rsidRPr="00BC60FC">
          <w:rPr>
            <w:rStyle w:val="Hyperlink"/>
          </w:rPr>
          <w:t>%84%</w:t>
        </w:r>
        <w:r>
          <w:rPr>
            <w:rStyle w:val="Hyperlink"/>
          </w:rPr>
          <w:t>CE</w:t>
        </w:r>
        <w:r w:rsidRPr="00BC60FC">
          <w:rPr>
            <w:rStyle w:val="Hyperlink"/>
          </w:rPr>
          <w:t>%</w:t>
        </w:r>
        <w:r>
          <w:rPr>
            <w:rStyle w:val="Hyperlink"/>
          </w:rPr>
          <w:t>BF</w:t>
        </w:r>
        <w:r w:rsidRPr="00BC60FC">
          <w:rPr>
            <w:rStyle w:val="Hyperlink"/>
          </w:rPr>
          <w:t>%</w:t>
        </w:r>
        <w:r>
          <w:rPr>
            <w:rStyle w:val="Hyperlink"/>
          </w:rPr>
          <w:t>CF</w:t>
        </w:r>
        <w:r w:rsidRPr="00BC60FC">
          <w:rPr>
            <w:rStyle w:val="Hyperlink"/>
          </w:rPr>
          <w:t>%85-%</w:t>
        </w:r>
        <w:r>
          <w:rPr>
            <w:rStyle w:val="Hyperlink"/>
          </w:rPr>
          <w:t>CE</w:t>
        </w:r>
        <w:r w:rsidRPr="00BC60FC">
          <w:rPr>
            <w:rStyle w:val="Hyperlink"/>
          </w:rPr>
          <w:t>%</w:t>
        </w:r>
        <w:r>
          <w:rPr>
            <w:rStyle w:val="Hyperlink"/>
          </w:rPr>
          <w:t>B</w:t>
        </w:r>
        <w:r w:rsidRPr="00BC60FC">
          <w:rPr>
            <w:rStyle w:val="Hyperlink"/>
          </w:rPr>
          <w:t>5%</w:t>
        </w:r>
        <w:r>
          <w:rPr>
            <w:rStyle w:val="Hyperlink"/>
          </w:rPr>
          <w:t>CE</w:t>
        </w:r>
        <w:r w:rsidRPr="00BC60FC">
          <w:rPr>
            <w:rStyle w:val="Hyperlink"/>
          </w:rPr>
          <w:t>%</w:t>
        </w:r>
        <w:r>
          <w:rPr>
            <w:rStyle w:val="Hyperlink"/>
          </w:rPr>
          <w:t>BD</w:t>
        </w:r>
        <w:r w:rsidRPr="00BC60FC">
          <w:rPr>
            <w:rStyle w:val="Hyperlink"/>
          </w:rPr>
          <w:t>%</w:t>
        </w:r>
        <w:r>
          <w:rPr>
            <w:rStyle w:val="Hyperlink"/>
          </w:rPr>
          <w:t>CF</w:t>
        </w:r>
        <w:r w:rsidRPr="00BC60FC">
          <w:rPr>
            <w:rStyle w:val="Hyperlink"/>
          </w:rPr>
          <w:t>%89%</w:t>
        </w:r>
        <w:r>
          <w:rPr>
            <w:rStyle w:val="Hyperlink"/>
          </w:rPr>
          <w:t>CF</w:t>
        </w:r>
        <w:r w:rsidRPr="00BC60FC">
          <w:rPr>
            <w:rStyle w:val="Hyperlink"/>
          </w:rPr>
          <w:t>%83%</w:t>
        </w:r>
        <w:r>
          <w:rPr>
            <w:rStyle w:val="Hyperlink"/>
          </w:rPr>
          <w:t>CE</w:t>
        </w:r>
        <w:r w:rsidRPr="00BC60FC">
          <w:rPr>
            <w:rStyle w:val="Hyperlink"/>
          </w:rPr>
          <w:t>%</w:t>
        </w:r>
        <w:r>
          <w:rPr>
            <w:rStyle w:val="Hyperlink"/>
          </w:rPr>
          <w:t>B</w:t>
        </w:r>
        <w:r w:rsidRPr="00BC60FC">
          <w:rPr>
            <w:rStyle w:val="Hyperlink"/>
          </w:rPr>
          <w:t>9%</w:t>
        </w:r>
        <w:r>
          <w:rPr>
            <w:rStyle w:val="Hyperlink"/>
          </w:rPr>
          <w:t>CE</w:t>
        </w:r>
        <w:r w:rsidRPr="00BC60FC">
          <w:rPr>
            <w:rStyle w:val="Hyperlink"/>
          </w:rPr>
          <w:t>%</w:t>
        </w:r>
        <w:r>
          <w:rPr>
            <w:rStyle w:val="Hyperlink"/>
          </w:rPr>
          <w:t>B</w:t>
        </w:r>
        <w:r w:rsidRPr="00BC60FC">
          <w:rPr>
            <w:rStyle w:val="Hyperlink"/>
          </w:rPr>
          <w:t>1%</w:t>
        </w:r>
        <w:r>
          <w:rPr>
            <w:rStyle w:val="Hyperlink"/>
          </w:rPr>
          <w:t>CE</w:t>
        </w:r>
        <w:r w:rsidRPr="00BC60FC">
          <w:rPr>
            <w:rStyle w:val="Hyperlink"/>
          </w:rPr>
          <w:t>%</w:t>
        </w:r>
        <w:r>
          <w:rPr>
            <w:rStyle w:val="Hyperlink"/>
          </w:rPr>
          <w:t>BA</w:t>
        </w:r>
        <w:r w:rsidRPr="00BC60FC">
          <w:rPr>
            <w:rStyle w:val="Hyperlink"/>
          </w:rPr>
          <w:t>%</w:t>
        </w:r>
        <w:r>
          <w:rPr>
            <w:rStyle w:val="Hyperlink"/>
          </w:rPr>
          <w:t>CE</w:t>
        </w:r>
        <w:r w:rsidRPr="00BC60FC">
          <w:rPr>
            <w:rStyle w:val="Hyperlink"/>
          </w:rPr>
          <w:t>%</w:t>
        </w:r>
        <w:r>
          <w:rPr>
            <w:rStyle w:val="Hyperlink"/>
          </w:rPr>
          <w:t>BF</w:t>
        </w:r>
        <w:r w:rsidRPr="00BC60FC">
          <w:rPr>
            <w:rStyle w:val="Hyperlink"/>
          </w:rPr>
          <w:t>%</w:t>
        </w:r>
        <w:r>
          <w:rPr>
            <w:rStyle w:val="Hyperlink"/>
          </w:rPr>
          <w:t>CF</w:t>
        </w:r>
        <w:r w:rsidRPr="00BC60FC">
          <w:rPr>
            <w:rStyle w:val="Hyperlink"/>
          </w:rPr>
          <w:t>%85-%</w:t>
        </w:r>
        <w:r>
          <w:rPr>
            <w:rStyle w:val="Hyperlink"/>
          </w:rPr>
          <w:t>CF</w:t>
        </w:r>
        <w:r w:rsidRPr="00BC60FC">
          <w:rPr>
            <w:rStyle w:val="Hyperlink"/>
          </w:rPr>
          <w:t>%84%</w:t>
        </w:r>
        <w:r>
          <w:rPr>
            <w:rStyle w:val="Hyperlink"/>
          </w:rPr>
          <w:t>CE</w:t>
        </w:r>
        <w:r w:rsidRPr="00BC60FC">
          <w:rPr>
            <w:rStyle w:val="Hyperlink"/>
          </w:rPr>
          <w:t>%</w:t>
        </w:r>
        <w:r>
          <w:rPr>
            <w:rStyle w:val="Hyperlink"/>
          </w:rPr>
          <w:t>B</w:t>
        </w:r>
        <w:r w:rsidRPr="00BC60FC">
          <w:rPr>
            <w:rStyle w:val="Hyperlink"/>
          </w:rPr>
          <w:t>5%</w:t>
        </w:r>
        <w:r>
          <w:rPr>
            <w:rStyle w:val="Hyperlink"/>
          </w:rPr>
          <w:t>CE</w:t>
        </w:r>
        <w:r w:rsidRPr="00BC60FC">
          <w:rPr>
            <w:rStyle w:val="Hyperlink"/>
          </w:rPr>
          <w:t>%</w:t>
        </w:r>
        <w:r>
          <w:rPr>
            <w:rStyle w:val="Hyperlink"/>
          </w:rPr>
          <w:t>BB</w:t>
        </w:r>
        <w:r w:rsidRPr="00BC60FC">
          <w:rPr>
            <w:rStyle w:val="Hyperlink"/>
          </w:rPr>
          <w:t>%</w:t>
        </w:r>
        <w:r>
          <w:rPr>
            <w:rStyle w:val="Hyperlink"/>
          </w:rPr>
          <w:t>CF</w:t>
        </w:r>
        <w:r w:rsidRPr="00BC60FC">
          <w:rPr>
            <w:rStyle w:val="Hyperlink"/>
          </w:rPr>
          <w:t>%89%</w:t>
        </w:r>
        <w:r>
          <w:rPr>
            <w:rStyle w:val="Hyperlink"/>
          </w:rPr>
          <w:t>CE</w:t>
        </w:r>
        <w:r w:rsidRPr="00BC60FC">
          <w:rPr>
            <w:rStyle w:val="Hyperlink"/>
          </w:rPr>
          <w:t>%</w:t>
        </w:r>
        <w:r>
          <w:rPr>
            <w:rStyle w:val="Hyperlink"/>
          </w:rPr>
          <w:t>BD</w:t>
        </w:r>
        <w:r w:rsidRPr="00BC60FC">
          <w:rPr>
            <w:rStyle w:val="Hyperlink"/>
          </w:rPr>
          <w:t>%</w:t>
        </w:r>
        <w:r>
          <w:rPr>
            <w:rStyle w:val="Hyperlink"/>
          </w:rPr>
          <w:t>CE</w:t>
        </w:r>
        <w:r w:rsidRPr="00BC60FC">
          <w:rPr>
            <w:rStyle w:val="Hyperlink"/>
          </w:rPr>
          <w:t>%</w:t>
        </w:r>
        <w:r>
          <w:rPr>
            <w:rStyle w:val="Hyperlink"/>
          </w:rPr>
          <w:t>B</w:t>
        </w:r>
        <w:r w:rsidRPr="00BC60FC">
          <w:rPr>
            <w:rStyle w:val="Hyperlink"/>
          </w:rPr>
          <w:t>5%</w:t>
        </w:r>
        <w:r>
          <w:rPr>
            <w:rStyle w:val="Hyperlink"/>
          </w:rPr>
          <w:t>CE</w:t>
        </w:r>
        <w:r w:rsidRPr="00BC60FC">
          <w:rPr>
            <w:rStyle w:val="Hyperlink"/>
          </w:rPr>
          <w:t>%</w:t>
        </w:r>
        <w:r>
          <w:rPr>
            <w:rStyle w:val="Hyperlink"/>
          </w:rPr>
          <w:t>B</w:t>
        </w:r>
        <w:r w:rsidRPr="00BC60FC">
          <w:rPr>
            <w:rStyle w:val="Hyperlink"/>
          </w:rPr>
          <w:t>9%</w:t>
        </w:r>
        <w:r>
          <w:rPr>
            <w:rStyle w:val="Hyperlink"/>
          </w:rPr>
          <w:t>CE</w:t>
        </w:r>
        <w:r w:rsidRPr="00BC60FC">
          <w:rPr>
            <w:rStyle w:val="Hyperlink"/>
          </w:rPr>
          <w:t>%</w:t>
        </w:r>
        <w:r>
          <w:rPr>
            <w:rStyle w:val="Hyperlink"/>
          </w:rPr>
          <w:t>B</w:t>
        </w:r>
        <w:r w:rsidRPr="00BC60FC">
          <w:rPr>
            <w:rStyle w:val="Hyperlink"/>
          </w:rPr>
          <w:t>1%</w:t>
        </w:r>
        <w:r>
          <w:rPr>
            <w:rStyle w:val="Hyperlink"/>
          </w:rPr>
          <w:t>CE</w:t>
        </w:r>
        <w:r w:rsidRPr="00BC60FC">
          <w:rPr>
            <w:rStyle w:val="Hyperlink"/>
          </w:rPr>
          <w:t>%</w:t>
        </w:r>
        <w:r>
          <w:rPr>
            <w:rStyle w:val="Hyperlink"/>
          </w:rPr>
          <w:t>BA</w:t>
        </w:r>
        <w:r w:rsidRPr="00BC60FC">
          <w:rPr>
            <w:rStyle w:val="Hyperlink"/>
          </w:rPr>
          <w:t>%</w:t>
        </w:r>
        <w:r>
          <w:rPr>
            <w:rStyle w:val="Hyperlink"/>
          </w:rPr>
          <w:t>CE</w:t>
        </w:r>
        <w:r w:rsidRPr="00BC60FC">
          <w:rPr>
            <w:rStyle w:val="Hyperlink"/>
          </w:rPr>
          <w:t>%</w:t>
        </w:r>
        <w:r>
          <w:rPr>
            <w:rStyle w:val="Hyperlink"/>
          </w:rPr>
          <w:t>BF</w:t>
        </w:r>
        <w:r w:rsidRPr="00BC60FC">
          <w:rPr>
            <w:rStyle w:val="Hyperlink"/>
          </w:rPr>
          <w:t>%</w:t>
        </w:r>
        <w:r>
          <w:rPr>
            <w:rStyle w:val="Hyperlink"/>
          </w:rPr>
          <w:t>CF</w:t>
        </w:r>
        <w:r w:rsidRPr="00BC60FC">
          <w:rPr>
            <w:rStyle w:val="Hyperlink"/>
          </w:rPr>
          <w:t>%85-%</w:t>
        </w:r>
        <w:r>
          <w:rPr>
            <w:rStyle w:val="Hyperlink"/>
          </w:rPr>
          <w:t>CE</w:t>
        </w:r>
        <w:r w:rsidRPr="00BC60FC">
          <w:rPr>
            <w:rStyle w:val="Hyperlink"/>
          </w:rPr>
          <w:t>%</w:t>
        </w:r>
        <w:r>
          <w:rPr>
            <w:rStyle w:val="Hyperlink"/>
          </w:rPr>
          <w:t>BA</w:t>
        </w:r>
        <w:r w:rsidRPr="00BC60FC">
          <w:rPr>
            <w:rStyle w:val="Hyperlink"/>
          </w:rPr>
          <w:t>%</w:t>
        </w:r>
        <w:r>
          <w:rPr>
            <w:rStyle w:val="Hyperlink"/>
          </w:rPr>
          <w:t>CF</w:t>
        </w:r>
        <w:r w:rsidRPr="00BC60FC">
          <w:rPr>
            <w:rStyle w:val="Hyperlink"/>
          </w:rPr>
          <w:t>%89%</w:t>
        </w:r>
        <w:r>
          <w:rPr>
            <w:rStyle w:val="Hyperlink"/>
          </w:rPr>
          <w:t>CE</w:t>
        </w:r>
        <w:r w:rsidRPr="00BC60FC">
          <w:rPr>
            <w:rStyle w:val="Hyperlink"/>
          </w:rPr>
          <w:t>%</w:t>
        </w:r>
        <w:r>
          <w:rPr>
            <w:rStyle w:val="Hyperlink"/>
          </w:rPr>
          <w:t>B</w:t>
        </w:r>
        <w:r w:rsidRPr="00BC60FC">
          <w:rPr>
            <w:rStyle w:val="Hyperlink"/>
          </w:rPr>
          <w:t>4%</w:t>
        </w:r>
        <w:r>
          <w:rPr>
            <w:rStyle w:val="Hyperlink"/>
          </w:rPr>
          <w:t>CE</w:t>
        </w:r>
        <w:r w:rsidRPr="00BC60FC">
          <w:rPr>
            <w:rStyle w:val="Hyperlink"/>
          </w:rPr>
          <w:t>%</w:t>
        </w:r>
        <w:r>
          <w:rPr>
            <w:rStyle w:val="Hyperlink"/>
          </w:rPr>
          <w:t>B</w:t>
        </w:r>
        <w:r w:rsidRPr="00BC60FC">
          <w:rPr>
            <w:rStyle w:val="Hyperlink"/>
          </w:rPr>
          <w:t>9%</w:t>
        </w:r>
        <w:r>
          <w:rPr>
            <w:rStyle w:val="Hyperlink"/>
          </w:rPr>
          <w:t>CE</w:t>
        </w:r>
        <w:r w:rsidRPr="00BC60FC">
          <w:rPr>
            <w:rStyle w:val="Hyperlink"/>
          </w:rPr>
          <w:t>%</w:t>
        </w:r>
        <w:r>
          <w:rPr>
            <w:rStyle w:val="Hyperlink"/>
          </w:rPr>
          <w:t>BA</w:t>
        </w:r>
        <w:r w:rsidRPr="00BC60FC">
          <w:rPr>
            <w:rStyle w:val="Hyperlink"/>
          </w:rPr>
          <w:t>%</w:t>
        </w:r>
        <w:r>
          <w:rPr>
            <w:rStyle w:val="Hyperlink"/>
          </w:rPr>
          <w:t>CE</w:t>
        </w:r>
        <w:r w:rsidRPr="00BC60FC">
          <w:rPr>
            <w:rStyle w:val="Hyperlink"/>
          </w:rPr>
          <w:t>%</w:t>
        </w:r>
        <w:r>
          <w:rPr>
            <w:rStyle w:val="Hyperlink"/>
          </w:rPr>
          <w:t>B</w:t>
        </w:r>
        <w:r w:rsidRPr="00BC60FC">
          <w:rPr>
            <w:rStyle w:val="Hyperlink"/>
          </w:rPr>
          <w:t>1_</w:t>
        </w:r>
        <w:r>
          <w:rPr>
            <w:rStyle w:val="Hyperlink"/>
          </w:rPr>
          <w:t>el</w:t>
        </w:r>
      </w:hyperlink>
    </w:p>
  </w:footnote>
  <w:footnote w:id="35">
    <w:p w14:paraId="182DD0D6" w14:textId="77777777" w:rsidR="00835143" w:rsidRPr="00BC60FC" w:rsidRDefault="00835143">
      <w:pPr>
        <w:pStyle w:val="FootnoteText"/>
      </w:pPr>
      <w:r>
        <w:rPr>
          <w:rStyle w:val="FootnoteReference"/>
        </w:rPr>
        <w:footnoteRef/>
      </w:r>
      <w:r w:rsidRPr="00BC60FC">
        <w:tab/>
        <w:t xml:space="preserve">Η ομάδα προβληματισμού για τα τελωνεία είναι υποομάδα της ομάδας εμπειρογνωμόνων τελωνειακής πολιτικής της Επιτροπής. Βλ. μητρώο ομάδων εμπειρογνωμόνων της Επιτροπής, κωδικός </w:t>
      </w:r>
      <w:r>
        <w:t>E</w:t>
      </w:r>
      <w:r w:rsidRPr="00BC60FC">
        <w:t>00944.</w:t>
      </w:r>
    </w:p>
  </w:footnote>
  <w:footnote w:id="36">
    <w:p w14:paraId="30B15E5C" w14:textId="77777777" w:rsidR="00835143" w:rsidRPr="00BC60FC" w:rsidRDefault="00835143" w:rsidP="00835143">
      <w:pPr>
        <w:pStyle w:val="FootnoteText"/>
      </w:pPr>
      <w:r>
        <w:rPr>
          <w:rStyle w:val="FootnoteReference"/>
        </w:rPr>
        <w:footnoteRef/>
      </w:r>
      <w:r w:rsidRPr="00BC60FC">
        <w:tab/>
        <w:t xml:space="preserve">Μητρώο ομάδων εμπειρογνωμόνων της Επιτροπής, κωδικός </w:t>
      </w:r>
      <w:r>
        <w:t>E</w:t>
      </w:r>
      <w:r w:rsidRPr="00BC60FC">
        <w:t>02134.</w:t>
      </w:r>
    </w:p>
  </w:footnote>
  <w:footnote w:id="37">
    <w:p w14:paraId="1F7DC73D" w14:textId="77777777" w:rsidR="00835143" w:rsidRPr="00BC60FC" w:rsidRDefault="00835143" w:rsidP="00835143">
      <w:pPr>
        <w:pStyle w:val="FootnoteText"/>
      </w:pPr>
      <w:r>
        <w:rPr>
          <w:rStyle w:val="FootnoteReference"/>
        </w:rPr>
        <w:footnoteRef/>
      </w:r>
      <w:r w:rsidRPr="00BC60FC">
        <w:tab/>
      </w:r>
      <w:r>
        <w:t>Study</w:t>
      </w:r>
      <w:r w:rsidRPr="00BC60FC">
        <w:t xml:space="preserve"> </w:t>
      </w:r>
      <w:r>
        <w:t>to</w:t>
      </w:r>
      <w:r w:rsidRPr="00BC60FC">
        <w:t xml:space="preserve"> </w:t>
      </w:r>
      <w:r>
        <w:t>support</w:t>
      </w:r>
      <w:r w:rsidRPr="00BC60FC">
        <w:t xml:space="preserve"> </w:t>
      </w:r>
      <w:r>
        <w:t>the</w:t>
      </w:r>
      <w:r w:rsidRPr="00BC60FC">
        <w:t xml:space="preserve"> </w:t>
      </w:r>
      <w:r>
        <w:t>interim</w:t>
      </w:r>
      <w:r w:rsidRPr="00BC60FC">
        <w:t xml:space="preserve"> </w:t>
      </w:r>
      <w:r>
        <w:t>evaluation</w:t>
      </w:r>
      <w:r w:rsidRPr="00BC60FC">
        <w:t xml:space="preserve"> </w:t>
      </w:r>
      <w:r>
        <w:t>of</w:t>
      </w:r>
      <w:r w:rsidRPr="00BC60FC">
        <w:t xml:space="preserve"> </w:t>
      </w:r>
      <w:r>
        <w:t>the</w:t>
      </w:r>
      <w:r w:rsidRPr="00BC60FC">
        <w:t xml:space="preserve"> </w:t>
      </w:r>
      <w:r>
        <w:t>implementation</w:t>
      </w:r>
      <w:r w:rsidRPr="00BC60FC">
        <w:t xml:space="preserve"> </w:t>
      </w:r>
      <w:r>
        <w:t>of</w:t>
      </w:r>
      <w:r w:rsidRPr="00BC60FC">
        <w:t xml:space="preserve"> </w:t>
      </w:r>
      <w:r>
        <w:t>the</w:t>
      </w:r>
      <w:r w:rsidRPr="00BC60FC">
        <w:t xml:space="preserve"> </w:t>
      </w:r>
      <w:r>
        <w:t>Union</w:t>
      </w:r>
      <w:r w:rsidRPr="00BC60FC">
        <w:t xml:space="preserve"> </w:t>
      </w:r>
      <w:r>
        <w:t>Customs</w:t>
      </w:r>
      <w:r w:rsidRPr="00BC60FC">
        <w:t xml:space="preserve"> </w:t>
      </w:r>
      <w:r>
        <w:t>Code</w:t>
      </w:r>
      <w:r w:rsidRPr="00BC60FC">
        <w:t xml:space="preserve"> (Μελέτη για την υποστήριξη της ενδιάμεσης αξιολόγησης σχετικά με την εφαρμογή του ενωσιακού τελωνειακού κώδικα), </w:t>
      </w:r>
      <w:r>
        <w:t>Oxford</w:t>
      </w:r>
      <w:r w:rsidRPr="00BC60FC">
        <w:t xml:space="preserve"> </w:t>
      </w:r>
      <w:r>
        <w:t>Research</w:t>
      </w:r>
      <w:r w:rsidRPr="00BC60FC">
        <w:t xml:space="preserve">, </w:t>
      </w:r>
      <w:r>
        <w:t>Ipsos</w:t>
      </w:r>
      <w:r w:rsidRPr="00BC60FC">
        <w:t xml:space="preserve">, </w:t>
      </w:r>
      <w:r>
        <w:t>CASE</w:t>
      </w:r>
      <w:r w:rsidRPr="00BC60FC">
        <w:t xml:space="preserve">, </w:t>
      </w:r>
      <w:r>
        <w:t>Wavestone</w:t>
      </w:r>
      <w:r w:rsidRPr="00BC60FC">
        <w:t xml:space="preserve"> και </w:t>
      </w:r>
      <w:r>
        <w:t>Economisti</w:t>
      </w:r>
      <w:r w:rsidRPr="00BC60FC">
        <w:t xml:space="preserve"> </w:t>
      </w:r>
      <w:r>
        <w:t>Associati</w:t>
      </w:r>
      <w:r w:rsidRPr="00BC60FC">
        <w:t xml:space="preserve">, 2021. </w:t>
      </w:r>
      <w:r>
        <w:t>Study</w:t>
      </w:r>
      <w:r w:rsidRPr="00BC60FC">
        <w:t xml:space="preserve"> </w:t>
      </w:r>
      <w:r>
        <w:t>on</w:t>
      </w:r>
      <w:r w:rsidRPr="00BC60FC">
        <w:t xml:space="preserve"> </w:t>
      </w:r>
      <w:r>
        <w:t>the</w:t>
      </w:r>
      <w:r w:rsidRPr="00BC60FC">
        <w:t xml:space="preserve"> </w:t>
      </w:r>
      <w:r>
        <w:t>Authorised</w:t>
      </w:r>
      <w:r w:rsidRPr="00BC60FC">
        <w:t xml:space="preserve"> </w:t>
      </w:r>
      <w:r>
        <w:t>Economic</w:t>
      </w:r>
      <w:r w:rsidRPr="00BC60FC">
        <w:t xml:space="preserve"> </w:t>
      </w:r>
      <w:r>
        <w:t>Operator</w:t>
      </w:r>
      <w:r w:rsidRPr="00BC60FC">
        <w:t xml:space="preserve"> </w:t>
      </w:r>
      <w:r>
        <w:t>programme</w:t>
      </w:r>
      <w:r w:rsidRPr="00BC60FC">
        <w:t xml:space="preserve">, </w:t>
      </w:r>
      <w:r>
        <w:t>Oxford</w:t>
      </w:r>
      <w:r w:rsidRPr="00BC60FC">
        <w:t xml:space="preserve"> </w:t>
      </w:r>
      <w:r>
        <w:t>Research</w:t>
      </w:r>
      <w:r w:rsidRPr="00BC60FC">
        <w:t xml:space="preserve"> (Μελέτη του προγράμματος του εγκεκριμένου οικονομικού φορέα), </w:t>
      </w:r>
      <w:r>
        <w:t>Ipsos</w:t>
      </w:r>
      <w:r w:rsidRPr="00BC60FC">
        <w:t xml:space="preserve">, </w:t>
      </w:r>
      <w:r>
        <w:t>Wavestone</w:t>
      </w:r>
      <w:r w:rsidRPr="00BC60FC">
        <w:t xml:space="preserve">, </w:t>
      </w:r>
      <w:r>
        <w:t>CT</w:t>
      </w:r>
      <w:r w:rsidRPr="00BC60FC">
        <w:t xml:space="preserve"> </w:t>
      </w:r>
      <w:r>
        <w:t>Strategies</w:t>
      </w:r>
      <w:r w:rsidRPr="00BC60FC">
        <w:t xml:space="preserve"> και </w:t>
      </w:r>
      <w:r>
        <w:t>Economisti</w:t>
      </w:r>
      <w:r w:rsidRPr="00BC60FC">
        <w:t xml:space="preserve"> </w:t>
      </w:r>
      <w:r>
        <w:t>Associati</w:t>
      </w:r>
      <w:r w:rsidRPr="00BC60FC">
        <w:t xml:space="preserve">, 2023. Μελέτη σχετικά με την ολοκληρωμένη και καινοτόμα αναμόρφωση των κανόνων της ΕΕ που διέπουν τις συναλλαγές ηλεκτρονικού εμπορίου από τρίτες χώρες από τελωνειακή και φορολογική άποψη, </w:t>
      </w:r>
      <w:r>
        <w:t>Pricewaterhouse</w:t>
      </w:r>
      <w:r w:rsidRPr="00BC60FC">
        <w:t xml:space="preserve"> </w:t>
      </w:r>
      <w:r>
        <w:t>Coopers</w:t>
      </w:r>
      <w:r w:rsidRPr="00BC60FC">
        <w:t xml:space="preserve"> </w:t>
      </w:r>
      <w:r>
        <w:t>EU</w:t>
      </w:r>
      <w:r w:rsidRPr="00BC60FC">
        <w:t xml:space="preserve"> </w:t>
      </w:r>
      <w:r>
        <w:t>Services</w:t>
      </w:r>
      <w:r w:rsidRPr="00BC60FC">
        <w:t>, 2022 (δεν είναι οριστική).</w:t>
      </w:r>
    </w:p>
  </w:footnote>
  <w:footnote w:id="38">
    <w:p w14:paraId="37514481" w14:textId="77777777" w:rsidR="00835143" w:rsidRPr="00BC60FC" w:rsidRDefault="00835143" w:rsidP="00835143">
      <w:pPr>
        <w:pStyle w:val="FootnoteText"/>
      </w:pPr>
      <w:r>
        <w:rPr>
          <w:rStyle w:val="FootnoteReference"/>
        </w:rPr>
        <w:footnoteRef/>
      </w:r>
      <w:r w:rsidRPr="00BC60FC">
        <w:tab/>
        <w:t>Με βάση τις παραδοχές και τον χρονικό ορίζοντα που αναφέρονται στην εκτίμηση των επιπτώσεων, κατά τη στιγμή της κατάρτισής της.</w:t>
      </w:r>
    </w:p>
  </w:footnote>
  <w:footnote w:id="39">
    <w:p w14:paraId="43BDDE6E" w14:textId="77777777" w:rsidR="00835143" w:rsidRPr="00BC60FC" w:rsidRDefault="00835143" w:rsidP="00835143">
      <w:pPr>
        <w:pStyle w:val="FootnoteText"/>
      </w:pPr>
      <w:r>
        <w:rPr>
          <w:rStyle w:val="FootnoteReference"/>
        </w:rPr>
        <w:footnoteRef/>
      </w:r>
      <w:r w:rsidRPr="00BC60FC">
        <w:tab/>
        <w:t xml:space="preserve">Απόφαση του Δικαστηρίου της 14.7.2022 στην υπόθεση </w:t>
      </w:r>
      <w:r>
        <w:t>C</w:t>
      </w:r>
      <w:r w:rsidRPr="00BC60FC">
        <w:t>-743/19, Ευρωπαϊκό Κοινοβούλιο κατά Συμβουλίου της Ευρωπαϊκής Ένωσης, σκέψεις 66 και 74.</w:t>
      </w:r>
    </w:p>
  </w:footnote>
  <w:footnote w:id="40">
    <w:p w14:paraId="660B0C6F" w14:textId="77777777" w:rsidR="002169FD" w:rsidRPr="00BC60FC" w:rsidRDefault="002169FD">
      <w:pPr>
        <w:pStyle w:val="FootnoteText"/>
      </w:pPr>
      <w:r>
        <w:rPr>
          <w:rStyle w:val="FootnoteReference"/>
        </w:rPr>
        <w:footnoteRef/>
      </w:r>
      <w:r w:rsidRPr="00BC60FC">
        <w:tab/>
        <w:t xml:space="preserve">ΕΕ </w:t>
      </w:r>
      <w:r>
        <w:t>C</w:t>
      </w:r>
      <w:r w:rsidRPr="00BC60FC">
        <w:t xml:space="preserve"> […] της […], σ. […].</w:t>
      </w:r>
    </w:p>
  </w:footnote>
  <w:footnote w:id="41">
    <w:p w14:paraId="50E8DC6F" w14:textId="77777777" w:rsidR="002169FD" w:rsidRPr="00BC60FC" w:rsidRDefault="002169FD" w:rsidP="002169FD">
      <w:pPr>
        <w:pStyle w:val="FootnoteText"/>
      </w:pPr>
      <w:r>
        <w:rPr>
          <w:rStyle w:val="FootnoteReference"/>
        </w:rPr>
        <w:footnoteRef/>
      </w:r>
      <w:r w:rsidRPr="00BC60FC">
        <w:tab/>
        <w:t>Κανονισμός (ΕΕ) αριθ.</w:t>
      </w:r>
      <w:r>
        <w:t> </w:t>
      </w:r>
      <w:r w:rsidRPr="00BC60FC">
        <w:t>952/2013 του Ευρωπαϊκού Κοινοβουλίου και του Συμβουλίου, της 9ης</w:t>
      </w:r>
      <w:r>
        <w:t> </w:t>
      </w:r>
      <w:r w:rsidRPr="00BC60FC">
        <w:t xml:space="preserve">Οκτωβρίου 2013, για τη θέσπιση του ενωσιακού τελωνειακού κώδικα (αναδιατύπωση) (ΕΕ </w:t>
      </w:r>
      <w:r>
        <w:t>L </w:t>
      </w:r>
      <w:r w:rsidRPr="00BC60FC">
        <w:t>269 της 10.10.2013, σ.</w:t>
      </w:r>
      <w:r>
        <w:t> </w:t>
      </w:r>
      <w:r w:rsidRPr="00BC60FC">
        <w:t>1).</w:t>
      </w:r>
    </w:p>
  </w:footnote>
  <w:footnote w:id="42">
    <w:p w14:paraId="105D6D90" w14:textId="77777777" w:rsidR="002169FD" w:rsidRPr="00BC60FC" w:rsidRDefault="002169FD" w:rsidP="002169FD">
      <w:pPr>
        <w:pStyle w:val="FootnoteText"/>
      </w:pPr>
      <w:r>
        <w:rPr>
          <w:rStyle w:val="FootnoteReference"/>
        </w:rPr>
        <w:footnoteRef/>
      </w:r>
      <w:r w:rsidRPr="00BC60FC">
        <w:tab/>
        <w:t>Ειδική έκθεση αριθ. 4/2021 του Ευρωπαϊκού Ελεγκτικού Συνεδρίου: Τελωνειακοί έλεγχοι: η ανεπαρκής εναρμόνιση βλάπτει τα οικονομικά συμφέροντα της ΕΕ.</w:t>
      </w:r>
    </w:p>
  </w:footnote>
  <w:footnote w:id="43">
    <w:p w14:paraId="6B40DB9E" w14:textId="77777777" w:rsidR="002169FD" w:rsidRPr="00BC60FC" w:rsidRDefault="002169FD" w:rsidP="002169FD">
      <w:pPr>
        <w:pStyle w:val="FootnoteText"/>
      </w:pPr>
      <w:r>
        <w:rPr>
          <w:rStyle w:val="FootnoteReference"/>
        </w:rPr>
        <w:footnoteRef/>
      </w:r>
      <w:r w:rsidRPr="00BC60FC">
        <w:tab/>
        <w:t>[ΕΕ: Να προστεθεί στο κείμενο ο αριθμός του κατ’</w:t>
      </w:r>
      <w:r>
        <w:t> </w:t>
      </w:r>
      <w:r w:rsidRPr="00BC60FC">
        <w:t>εξουσιοδότηση κανονισμού] Κατ’</w:t>
      </w:r>
      <w:r>
        <w:t> </w:t>
      </w:r>
      <w:r w:rsidRPr="00BC60FC">
        <w:t>εξουσιοδότηση κανονισμός (ΕΕ) 2023/... της Επιτροπής, της ηη ΜΜ 2023, για την τροποποίηση του κατ’</w:t>
      </w:r>
      <w:r>
        <w:t> </w:t>
      </w:r>
      <w:r w:rsidRPr="00BC60FC">
        <w:t>εξουσιοδότηση κανονισμού (ΕΕ)</w:t>
      </w:r>
      <w:r>
        <w:t> </w:t>
      </w:r>
      <w:r w:rsidRPr="00BC60FC">
        <w:t>2015/2446 όσον αφορά αποφάσεις που αφορούν δεσμευτικές πληροφορίες στον τομέα της δασμολογητέας αξίας και αποφάσεις που αφορούν δεσμευτικές πληροφορίες καταγωγής [να προστεθεί στην παρούσα υποσημείωση ο αριθμός, η ημερομηνία, ο τίτλος και τα στοιχεία δημοσίευσης του εν λόγω κατ’</w:t>
      </w:r>
      <w:r>
        <w:t> </w:t>
      </w:r>
      <w:r w:rsidRPr="00BC60FC">
        <w:t>εξουσιοδότηση κανονισμού στην Επίσημη Εφημερίδα].</w:t>
      </w:r>
    </w:p>
  </w:footnote>
  <w:footnote w:id="44">
    <w:p w14:paraId="32361FFB" w14:textId="77777777" w:rsidR="002169FD" w:rsidRPr="00BC60FC" w:rsidRDefault="002169FD" w:rsidP="002169FD">
      <w:pPr>
        <w:pStyle w:val="FootnoteText"/>
      </w:pPr>
      <w:r>
        <w:rPr>
          <w:rStyle w:val="FootnoteReference"/>
        </w:rPr>
        <w:footnoteRef/>
      </w:r>
      <w:r w:rsidRPr="00BC60FC">
        <w:tab/>
        <w:t>Εκτελεστικός κανονισμός (ΕΕ) αριθ.</w:t>
      </w:r>
      <w:r>
        <w:t> </w:t>
      </w:r>
      <w:r w:rsidRPr="00BC60FC">
        <w:t>282/2011 του Συμβουλίου, της 15ης</w:t>
      </w:r>
      <w:r>
        <w:t> </w:t>
      </w:r>
      <w:r w:rsidRPr="00BC60FC">
        <w:t xml:space="preserve">Μαρτίου 2011, για τη θέσπιση μέτρων εφαρμογής της οδηγίας 2006/112/ΕΚ σχετικά με το κοινό σύστημα φόρου προστιθέμενης αξίας (ΕΕ </w:t>
      </w:r>
      <w:r>
        <w:t>L </w:t>
      </w:r>
      <w:r w:rsidRPr="00BC60FC">
        <w:t>077 της 23.3.2011, σ.</w:t>
      </w:r>
      <w:r>
        <w:t> </w:t>
      </w:r>
      <w:r w:rsidRPr="00BC60FC">
        <w:t>1).</w:t>
      </w:r>
    </w:p>
  </w:footnote>
  <w:footnote w:id="45">
    <w:p w14:paraId="6175A318" w14:textId="77777777" w:rsidR="002169FD" w:rsidRPr="00BC60FC" w:rsidRDefault="002169FD">
      <w:pPr>
        <w:pStyle w:val="FootnoteText"/>
      </w:pPr>
      <w:r>
        <w:rPr>
          <w:rStyle w:val="FootnoteReference"/>
        </w:rPr>
        <w:footnoteRef/>
      </w:r>
      <w:r w:rsidRPr="00BC60FC">
        <w:tab/>
        <w:t xml:space="preserve">Υπόθεση </w:t>
      </w:r>
      <w:r>
        <w:t>T</w:t>
      </w:r>
      <w:r w:rsidRPr="00BC60FC">
        <w:t xml:space="preserve">‑81/22 (ΕΕ </w:t>
      </w:r>
      <w:r>
        <w:t>C</w:t>
      </w:r>
      <w:r w:rsidRPr="00BC60FC">
        <w:t xml:space="preserve"> 148 της 4.4.2022).</w:t>
      </w:r>
    </w:p>
  </w:footnote>
  <w:footnote w:id="46">
    <w:p w14:paraId="78FEB16C" w14:textId="77777777" w:rsidR="002169FD" w:rsidRPr="00BC60FC" w:rsidRDefault="002169FD" w:rsidP="002169FD">
      <w:pPr>
        <w:pStyle w:val="FootnoteText"/>
      </w:pPr>
      <w:r>
        <w:rPr>
          <w:rStyle w:val="FootnoteReference"/>
        </w:rPr>
        <w:footnoteRef/>
      </w:r>
      <w:r w:rsidRPr="00BC60FC">
        <w:tab/>
        <w:t xml:space="preserve">[ΕΕ: Να προστεθεί στο κείμενο ο αριθμός του κανονισμού που περιέχεται στο έγγραφο </w:t>
      </w:r>
      <w:r>
        <w:t>COM</w:t>
      </w:r>
      <w:r w:rsidRPr="00BC60FC">
        <w:t xml:space="preserve">/2022/720 </w:t>
      </w:r>
      <w:r>
        <w:t>final</w:t>
      </w:r>
      <w:r w:rsidRPr="00BC60FC">
        <w:t xml:space="preserve"> — 2022/0379(</w:t>
      </w:r>
      <w:r>
        <w:t>COD</w:t>
      </w:r>
      <w:r w:rsidRPr="00BC60FC">
        <w:t>) και να προστεθεί στην παρούσα υποσημείωση ο αριθμός, η ημερομηνία, ο τίτλος και τα στοιχεία δημοσίευσης στην Επίσημη Εφημερίδα.] Κανονισμός (ΕΕ) ../…. του Ευρωπαϊκού Κοινοβουλίου και του Συμβουλίου σχετικά με τη θέσπιση μέτρων για υψηλό επίπεδο διαλειτουργικότητας του δημόσιου τομέα σε ολόκληρη την Ένωση (πράξη για τη διαλειτουργική Ευρώπη) [</w:t>
      </w:r>
      <w:r>
        <w:t>COM</w:t>
      </w:r>
      <w:r w:rsidRPr="00BC60FC">
        <w:t xml:space="preserve">/2022/720 </w:t>
      </w:r>
      <w:r>
        <w:t>final</w:t>
      </w:r>
      <w:r w:rsidRPr="00BC60FC">
        <w:t xml:space="preserve"> – 2022/0379 (</w:t>
      </w:r>
      <w:r>
        <w:t>COD</w:t>
      </w:r>
      <w:r w:rsidRPr="00BC60FC">
        <w:t xml:space="preserve">)] (ΕΕ </w:t>
      </w:r>
      <w:r>
        <w:t>L</w:t>
      </w:r>
      <w:r w:rsidRPr="00BC60FC">
        <w:t xml:space="preserve"> .. της 2023, σ.</w:t>
      </w:r>
      <w:r>
        <w:t> </w:t>
      </w:r>
      <w:r w:rsidRPr="00BC60FC">
        <w:t>).</w:t>
      </w:r>
    </w:p>
  </w:footnote>
  <w:footnote w:id="47">
    <w:p w14:paraId="5DE9770A" w14:textId="77777777" w:rsidR="002169FD" w:rsidRPr="00BC60FC" w:rsidRDefault="002169FD">
      <w:pPr>
        <w:pStyle w:val="FootnoteText"/>
      </w:pPr>
      <w:r>
        <w:rPr>
          <w:rStyle w:val="FootnoteReference"/>
        </w:rPr>
        <w:footnoteRef/>
      </w:r>
      <w:r w:rsidRPr="00BC60FC">
        <w:tab/>
        <w:t>Ανακοίνωση της Επιτροπής προς το Ευρωπαϊκό Κοινοβούλιο, το Συμβούλιο, την Ευρωπαϊκή Οικονομική και Κοινωνική Επιτροπή και την Επιτροπή των Περιφερειών: Ευρωπαϊκό πλαίσιο διαλειτουργικότητας – Στρατηγική εφαρμογής [</w:t>
      </w:r>
      <w:r>
        <w:t>COM</w:t>
      </w:r>
      <w:r w:rsidRPr="00BC60FC">
        <w:t xml:space="preserve">(2017) 0134 </w:t>
      </w:r>
      <w:r>
        <w:t>final</w:t>
      </w:r>
      <w:r w:rsidRPr="00BC60FC">
        <w:t>].</w:t>
      </w:r>
    </w:p>
  </w:footnote>
  <w:footnote w:id="48">
    <w:p w14:paraId="6088AFBE" w14:textId="77777777" w:rsidR="00D304C5" w:rsidRPr="00BC60FC" w:rsidRDefault="00D304C5" w:rsidP="00D304C5">
      <w:pPr>
        <w:pStyle w:val="FootnoteText"/>
      </w:pPr>
      <w:r>
        <w:rPr>
          <w:rStyle w:val="FootnoteReference"/>
        </w:rPr>
        <w:footnoteRef/>
      </w:r>
      <w:r w:rsidRPr="00BC60FC">
        <w:tab/>
        <w:t>Κανονισμός (ΕΕ, Ευρατόμ) αριθ.</w:t>
      </w:r>
      <w:r>
        <w:t> </w:t>
      </w:r>
      <w:r w:rsidRPr="00BC60FC">
        <w:t>883/2013 του Ευρωπαϊκού Κοινοβουλίου και του Συμβουλίου, της 11ης Σεπτεμβρίου 2013, σχετικά με τις έρευνες που πραγματοποιούνται από την Ευρωπαϊκή Υπηρεσία Καταπολέμησης της Απάτης (</w:t>
      </w:r>
      <w:r>
        <w:t>OLAF</w:t>
      </w:r>
      <w:r w:rsidRPr="00BC60FC">
        <w:t>) και την κατάργηση του κανονισμού (ΕΚ) αριθ.</w:t>
      </w:r>
      <w:r>
        <w:t> </w:t>
      </w:r>
      <w:r w:rsidRPr="00BC60FC">
        <w:t>1073/1999 του Ευρωπαϊκού Κοινοβουλίου και του Συμβουλίου και του κανονισμού (Ευρατόμ) αριθ.</w:t>
      </w:r>
      <w:r>
        <w:t> </w:t>
      </w:r>
      <w:r w:rsidRPr="00BC60FC">
        <w:t xml:space="preserve">1074/1999 του Συμβουλίου (ΕΕ </w:t>
      </w:r>
      <w:r>
        <w:t>L</w:t>
      </w:r>
      <w:r w:rsidRPr="00BC60FC">
        <w:t xml:space="preserve"> 248 της 18.9.2013, σ. 1).</w:t>
      </w:r>
    </w:p>
  </w:footnote>
  <w:footnote w:id="49">
    <w:p w14:paraId="76CB088D" w14:textId="77777777" w:rsidR="00666DCF" w:rsidRPr="00BC60FC" w:rsidRDefault="00666DCF" w:rsidP="00666DCF">
      <w:pPr>
        <w:pStyle w:val="FootnoteText"/>
      </w:pPr>
      <w:r>
        <w:rPr>
          <w:rStyle w:val="FootnoteReference"/>
        </w:rPr>
        <w:footnoteRef/>
      </w:r>
      <w:r w:rsidRPr="00BC60FC">
        <w:tab/>
        <w:t>Κανονισμός (ΕΚ) αριθ.</w:t>
      </w:r>
      <w:r>
        <w:t> </w:t>
      </w:r>
      <w:r w:rsidRPr="00BC60FC">
        <w:t>515/97 του Συμβουλίου, της 13ης</w:t>
      </w:r>
      <w:r>
        <w:t> </w:t>
      </w:r>
      <w:r w:rsidRPr="00BC60FC">
        <w:t xml:space="preserve">Μαρτίου 1997, περί της αμοιβαίας συνδρομής μεταξύ των διοικητικών αρχών των κρατών μελών και της συνεργασίας των αρχών αυτών με την Επιτροπή με σκοπό τη διασφάλιση της ορθής εφαρμογής των τελωνειακών και γεωργικών ρυθμίσεων (ΕΕ </w:t>
      </w:r>
      <w:r>
        <w:t>L </w:t>
      </w:r>
      <w:r w:rsidRPr="00BC60FC">
        <w:t>82 της 22.3.1997, σ.</w:t>
      </w:r>
      <w:r>
        <w:t> </w:t>
      </w:r>
      <w:r w:rsidRPr="00BC60FC">
        <w:t>1).</w:t>
      </w:r>
    </w:p>
  </w:footnote>
  <w:footnote w:id="50">
    <w:p w14:paraId="66140514" w14:textId="77777777" w:rsidR="00593125" w:rsidRPr="00BC60FC" w:rsidRDefault="00593125" w:rsidP="00593125">
      <w:pPr>
        <w:pStyle w:val="FootnoteText"/>
      </w:pPr>
      <w:r>
        <w:rPr>
          <w:rStyle w:val="FootnoteReference"/>
        </w:rPr>
        <w:footnoteRef/>
      </w:r>
      <w:r w:rsidRPr="00BC60FC">
        <w:tab/>
        <w:t xml:space="preserve">Κανονισμός (ΕΕ)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(ΕΕ)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 (ΕΕ </w:t>
      </w:r>
      <w:r>
        <w:t>L</w:t>
      </w:r>
      <w:r w:rsidRPr="00BC60FC">
        <w:t xml:space="preserve"> 95 της 7.4.2017, σ.</w:t>
      </w:r>
      <w:r>
        <w:t> </w:t>
      </w:r>
      <w:r w:rsidRPr="00BC60FC">
        <w:t>1).</w:t>
      </w:r>
    </w:p>
  </w:footnote>
  <w:footnote w:id="51">
    <w:p w14:paraId="2913B3D9" w14:textId="77777777" w:rsidR="005F0814" w:rsidRPr="00BC60FC" w:rsidRDefault="005F0814">
      <w:pPr>
        <w:pStyle w:val="FootnoteText"/>
      </w:pPr>
      <w:r>
        <w:rPr>
          <w:rStyle w:val="FootnoteReference"/>
        </w:rPr>
        <w:footnoteRef/>
      </w:r>
      <w:r w:rsidRPr="00BC60FC">
        <w:tab/>
        <w:t>Κανονισμός (ΕΕ) 2016/794 του Ευρωπαϊκού Κοινοβουλίου και του Συμβουλίου, της 11ης</w:t>
      </w:r>
      <w:r>
        <w:t> </w:t>
      </w:r>
      <w:r w:rsidRPr="00BC60FC">
        <w:t>Μαΐου</w:t>
      </w:r>
      <w:r>
        <w:t> </w:t>
      </w:r>
      <w:r w:rsidRPr="00BC60FC">
        <w:t>2016, για τον Οργανισμό της Ευρωπαϊκής Ένωσης για τη Συνεργασία στον Τομέα της Επιβολής του Νόμου (Ευρωπόλ) και την αντικατάσταση και κατάργηση των αποφάσεων του Συμβουλίου 2009/371/ΔΕΥ, 2009/934/ΔΕΥ, 2009/935/ΔΕΥ, 2009/936/ΔΕΥ και 2009/968/ΔΕΥ (ΕΕ</w:t>
      </w:r>
      <w:r>
        <w:t> L </w:t>
      </w:r>
      <w:r w:rsidRPr="00BC60FC">
        <w:t>135 της 24.5.2016, σ.</w:t>
      </w:r>
      <w:r>
        <w:t> </w:t>
      </w:r>
      <w:r w:rsidRPr="00BC60FC">
        <w:t>53).</w:t>
      </w:r>
    </w:p>
  </w:footnote>
  <w:footnote w:id="52">
    <w:p w14:paraId="73E74EAA" w14:textId="77777777" w:rsidR="002169FD" w:rsidRPr="00BC60FC" w:rsidRDefault="002169FD" w:rsidP="002169FD">
      <w:pPr>
        <w:pStyle w:val="FootnoteText"/>
      </w:pPr>
      <w:r>
        <w:rPr>
          <w:rStyle w:val="FootnoteReference"/>
        </w:rPr>
        <w:footnoteRef/>
      </w:r>
      <w:r w:rsidRPr="00BC60FC">
        <w:tab/>
        <w:t>Η διαδικασία βασίζεται στην πράξη για τη ναυσιπλοΐα στον Ρήνο (</w:t>
      </w:r>
      <w:r>
        <w:t>Mannheim</w:t>
      </w:r>
      <w:r w:rsidRPr="00BC60FC">
        <w:t xml:space="preserve"> </w:t>
      </w:r>
      <w:r>
        <w:t>Rhine</w:t>
      </w:r>
      <w:r w:rsidRPr="00BC60FC">
        <w:t xml:space="preserve"> </w:t>
      </w:r>
      <w:r>
        <w:t>Navigation</w:t>
      </w:r>
      <w:r w:rsidRPr="00BC60FC">
        <w:t xml:space="preserve"> </w:t>
      </w:r>
      <w:r>
        <w:t>Act</w:t>
      </w:r>
      <w:r w:rsidRPr="00BC60FC">
        <w:t xml:space="preserve">) της 17ης Οκτωβρίου 1868 και στο πρωτόκολλο που εγκρίθηκε από την κεντρική επιτροπή για τη ναυσιπλοΐα στον Ρήνο στις 22 Νοεμβρίου 1963. Η σύμβαση του </w:t>
      </w:r>
      <w:r>
        <w:t>Mannheim</w:t>
      </w:r>
      <w:r w:rsidRPr="00BC60FC">
        <w:t xml:space="preserve"> για τη ναυσιπλοΐα στον Ρήνο αφορά το Βέλγιο, τη Γερμανία, τη Γαλλία, τις Κάτω Χώρες και την Ελβετία ως χώρες που συνορεύουν με τον Ρήνο, οι οποίες θεωρούνται ενιαία περιοχή για τους σκοπούς της πράξης.</w:t>
      </w:r>
    </w:p>
  </w:footnote>
  <w:footnote w:id="53">
    <w:p w14:paraId="0BC1D0DD" w14:textId="77777777" w:rsidR="008812A6" w:rsidRPr="00BC60FC" w:rsidRDefault="008812A6" w:rsidP="008812A6">
      <w:pPr>
        <w:pStyle w:val="FootnoteText"/>
      </w:pPr>
      <w:r>
        <w:rPr>
          <w:rStyle w:val="FootnoteReference"/>
        </w:rPr>
        <w:footnoteRef/>
      </w:r>
      <w:r w:rsidRPr="00BC60FC">
        <w:tab/>
        <w:t xml:space="preserve">Τροποποιήσεις στην τελωνειακή σύμβαση περί της διεθνούς μεταφοράς εμπορευμάτων βάσει των δελτίων </w:t>
      </w:r>
      <w:r>
        <w:t>TIR</w:t>
      </w:r>
      <w:r w:rsidRPr="00BC60FC">
        <w:t xml:space="preserve"> (σύμβαση </w:t>
      </w:r>
      <w:r>
        <w:t>TIR</w:t>
      </w:r>
      <w:r w:rsidRPr="00BC60FC">
        <w:t xml:space="preserve"> 1975) Σύμφωνα με την κοινοποίηση </w:t>
      </w:r>
      <w:r>
        <w:t>C</w:t>
      </w:r>
      <w:r w:rsidRPr="00BC60FC">
        <w:t>.</w:t>
      </w:r>
      <w:r>
        <w:t>N</w:t>
      </w:r>
      <w:r w:rsidRPr="00BC60FC">
        <w:t>.85.2021.</w:t>
      </w:r>
      <w:r>
        <w:t>TREATIES</w:t>
      </w:r>
      <w:r w:rsidRPr="00BC60FC">
        <w:t>-</w:t>
      </w:r>
      <w:r>
        <w:t>XI</w:t>
      </w:r>
      <w:r w:rsidRPr="00BC60FC">
        <w:t>.</w:t>
      </w:r>
      <w:r>
        <w:t>A</w:t>
      </w:r>
      <w:r w:rsidRPr="00BC60FC">
        <w:t xml:space="preserve">.16 του ΟΗΕ, οι ακόλουθες τροποποιήσεις της σύμβασης </w:t>
      </w:r>
      <w:r>
        <w:t>TIR</w:t>
      </w:r>
      <w:r w:rsidRPr="00BC60FC">
        <w:t xml:space="preserve"> αρχίζουν να ισχύουν την 1η Ιουνίου 2021 για όλα τα συμβαλλόμενα μέρη (ΕΕ </w:t>
      </w:r>
      <w:r>
        <w:t>L </w:t>
      </w:r>
      <w:r w:rsidRPr="00BC60FC">
        <w:t>193 της 1.6.2021, σ.</w:t>
      </w:r>
      <w:r>
        <w:t> </w:t>
      </w:r>
      <w:r w:rsidRPr="00BC60FC">
        <w:t>1).</w:t>
      </w:r>
    </w:p>
  </w:footnote>
  <w:footnote w:id="54">
    <w:p w14:paraId="25766090" w14:textId="77777777" w:rsidR="008812A6" w:rsidRPr="00BC60FC" w:rsidRDefault="008812A6">
      <w:pPr>
        <w:pStyle w:val="FootnoteText"/>
      </w:pPr>
      <w:r>
        <w:rPr>
          <w:rStyle w:val="FootnoteReference"/>
        </w:rPr>
        <w:footnoteRef/>
      </w:r>
      <w:r w:rsidRPr="00BC60FC">
        <w:tab/>
        <w:t xml:space="preserve">Κανονισμός (ΕΚ) αριθ. 1186/2009 του Συμβουλίου, της 16ης Νοεμβρίου 2009, για τη θέσπιση του κοινοτικού καθεστώτος τελωνειακών ατελειών (ΕΕ </w:t>
      </w:r>
      <w:r>
        <w:t>L</w:t>
      </w:r>
      <w:r w:rsidRPr="00BC60FC">
        <w:t xml:space="preserve"> 324 της 10.12.2009, σ. 23).</w:t>
      </w:r>
    </w:p>
  </w:footnote>
  <w:footnote w:id="55">
    <w:p w14:paraId="49634995" w14:textId="77777777" w:rsidR="008812A6" w:rsidRPr="00BC60FC" w:rsidRDefault="008812A6">
      <w:pPr>
        <w:pStyle w:val="FootnoteText"/>
      </w:pPr>
      <w:r>
        <w:rPr>
          <w:rStyle w:val="FootnoteReference"/>
        </w:rPr>
        <w:footnoteRef/>
      </w:r>
      <w:r w:rsidRPr="00BC60FC">
        <w:tab/>
        <w:t xml:space="preserve">Κανονισμός (ΕΟΚ) αριθ. 2658/87 του Συμβουλίου, της 23ης Ιουλίου 1987, για τη δασμολογική και στατιστική ονοματολογία και το κοινό δασμολόγιο (ΕΕ </w:t>
      </w:r>
      <w:r>
        <w:t>L</w:t>
      </w:r>
      <w:r w:rsidRPr="00BC60FC">
        <w:t xml:space="preserve"> 256 της 7.9.1987, σ. 1).</w:t>
      </w:r>
    </w:p>
  </w:footnote>
  <w:footnote w:id="56">
    <w:p w14:paraId="010AA7BC" w14:textId="77777777" w:rsidR="008812A6" w:rsidRPr="00BC60FC" w:rsidRDefault="008812A6" w:rsidP="008812A6">
      <w:pPr>
        <w:pStyle w:val="FootnoteText"/>
      </w:pPr>
      <w:r>
        <w:rPr>
          <w:rStyle w:val="FootnoteReference"/>
        </w:rPr>
        <w:footnoteRef/>
      </w:r>
      <w:r w:rsidRPr="00BC60FC">
        <w:tab/>
        <w:t>Ανακοίνωση της Επιτροπής προς το Ευρωπαϊκό Κοινοβούλιο, το Συμβούλιο και την Ευρωπαϊκή Οικονομική και Κοινωνική Επιτροπή — «Μετάβαση της τελωνειακής ένωσης στο επόμενο στάδιο: σχέδιο δράσης», της 28.9.2020 [</w:t>
      </w:r>
      <w:r>
        <w:t>COM</w:t>
      </w:r>
      <w:r w:rsidRPr="00BC60FC">
        <w:t xml:space="preserve">(2020) 581 </w:t>
      </w:r>
      <w:r>
        <w:t>final</w:t>
      </w:r>
      <w:r w:rsidRPr="00BC60FC">
        <w:t>].</w:t>
      </w:r>
    </w:p>
  </w:footnote>
  <w:footnote w:id="57">
    <w:p w14:paraId="10D1792B" w14:textId="77777777" w:rsidR="008812A6" w:rsidRPr="00BC60FC" w:rsidRDefault="008812A6" w:rsidP="008812A6">
      <w:pPr>
        <w:pStyle w:val="FootnoteText"/>
      </w:pPr>
      <w:r>
        <w:rPr>
          <w:rStyle w:val="FootnoteReference"/>
        </w:rPr>
        <w:footnoteRef/>
      </w:r>
      <w:r w:rsidRPr="00BC60FC">
        <w:tab/>
      </w:r>
      <w:hyperlink r:id="rId15" w:history="1">
        <w:r>
          <w:rPr>
            <w:rStyle w:val="Hyperlink"/>
          </w:rPr>
          <w:t>joint</w:t>
        </w:r>
        <w:r w:rsidRPr="00BC60FC">
          <w:rPr>
            <w:rStyle w:val="Hyperlink"/>
          </w:rPr>
          <w:t>_</w:t>
        </w:r>
        <w:r>
          <w:rPr>
            <w:rStyle w:val="Hyperlink"/>
          </w:rPr>
          <w:t>statement</w:t>
        </w:r>
        <w:r w:rsidRPr="00BC60FC">
          <w:rPr>
            <w:rStyle w:val="Hyperlink"/>
          </w:rPr>
          <w:t>_</w:t>
        </w:r>
        <w:r>
          <w:rPr>
            <w:rStyle w:val="Hyperlink"/>
          </w:rPr>
          <w:t>on</w:t>
        </w:r>
        <w:r w:rsidRPr="00BC60FC">
          <w:rPr>
            <w:rStyle w:val="Hyperlink"/>
          </w:rPr>
          <w:t>_</w:t>
        </w:r>
        <w:r>
          <w:rPr>
            <w:rStyle w:val="Hyperlink"/>
          </w:rPr>
          <w:t>decentralised</w:t>
        </w:r>
        <w:r w:rsidRPr="00BC60FC">
          <w:rPr>
            <w:rStyle w:val="Hyperlink"/>
          </w:rPr>
          <w:t>_</w:t>
        </w:r>
        <w:r>
          <w:rPr>
            <w:rStyle w:val="Hyperlink"/>
          </w:rPr>
          <w:t>agencies</w:t>
        </w:r>
        <w:r w:rsidRPr="00BC60FC">
          <w:rPr>
            <w:rStyle w:val="Hyperlink"/>
          </w:rPr>
          <w:t>_</w:t>
        </w:r>
        <w:r>
          <w:rPr>
            <w:rStyle w:val="Hyperlink"/>
          </w:rPr>
          <w:t>en</w:t>
        </w:r>
        <w:r w:rsidRPr="00BC60FC">
          <w:rPr>
            <w:rStyle w:val="Hyperlink"/>
          </w:rPr>
          <w:t>.</w:t>
        </w:r>
        <w:r>
          <w:rPr>
            <w:rStyle w:val="Hyperlink"/>
          </w:rPr>
          <w:t>pdf</w:t>
        </w:r>
        <w:r w:rsidRPr="00BC60FC">
          <w:rPr>
            <w:rStyle w:val="Hyperlink"/>
          </w:rPr>
          <w:t xml:space="preserve"> (</w:t>
        </w:r>
        <w:r>
          <w:rPr>
            <w:rStyle w:val="Hyperlink"/>
          </w:rPr>
          <w:t>europa</w:t>
        </w:r>
        <w:r w:rsidRPr="00BC60FC">
          <w:rPr>
            <w:rStyle w:val="Hyperlink"/>
          </w:rPr>
          <w:t>.</w:t>
        </w:r>
        <w:r>
          <w:rPr>
            <w:rStyle w:val="Hyperlink"/>
          </w:rPr>
          <w:t>eu</w:t>
        </w:r>
        <w:r w:rsidRPr="00BC60FC">
          <w:rPr>
            <w:rStyle w:val="Hyperlink"/>
          </w:rPr>
          <w:t>)</w:t>
        </w:r>
      </w:hyperlink>
    </w:p>
  </w:footnote>
  <w:footnote w:id="58">
    <w:p w14:paraId="4F221DFE" w14:textId="77777777" w:rsidR="008812A6" w:rsidRPr="00BC60FC" w:rsidRDefault="008812A6" w:rsidP="008812A6">
      <w:pPr>
        <w:pStyle w:val="FootnoteText"/>
      </w:pPr>
      <w:r>
        <w:rPr>
          <w:rStyle w:val="FootnoteReference"/>
        </w:rPr>
        <w:footnoteRef/>
      </w:r>
      <w:r w:rsidRPr="00BC60FC">
        <w:tab/>
        <w:t xml:space="preserve">ΕΕ </w:t>
      </w:r>
      <w:r>
        <w:t>L</w:t>
      </w:r>
      <w:r w:rsidRPr="00BC60FC">
        <w:t xml:space="preserve"> 123 της 12.5.2016, σ. 1.</w:t>
      </w:r>
    </w:p>
  </w:footnote>
  <w:footnote w:id="59">
    <w:p w14:paraId="6AE58787" w14:textId="77777777" w:rsidR="008812A6" w:rsidRPr="00BC60FC" w:rsidRDefault="008812A6">
      <w:pPr>
        <w:pStyle w:val="FootnoteText"/>
      </w:pPr>
      <w:r>
        <w:rPr>
          <w:rStyle w:val="FootnoteReference"/>
        </w:rPr>
        <w:footnoteRef/>
      </w:r>
      <w:r w:rsidRPr="00BC60FC">
        <w:tab/>
        <w:t xml:space="preserve">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w:t>
      </w:r>
      <w:r>
        <w:t>L</w:t>
      </w:r>
      <w:r w:rsidRPr="00BC60FC">
        <w:t xml:space="preserve"> 55 της 28.2.2011, σ. 13).</w:t>
      </w:r>
    </w:p>
  </w:footnote>
  <w:footnote w:id="60">
    <w:p w14:paraId="028D3DEF" w14:textId="77777777" w:rsidR="0006097A" w:rsidRPr="00BC60FC" w:rsidRDefault="0006097A" w:rsidP="0006097A">
      <w:pPr>
        <w:pStyle w:val="FootnoteText"/>
      </w:pPr>
      <w:r>
        <w:rPr>
          <w:rStyle w:val="FootnoteReference"/>
        </w:rPr>
        <w:footnoteRef/>
      </w:r>
      <w:r w:rsidRPr="00BC60FC">
        <w:tab/>
        <w:t xml:space="preserve">Οδηγία 2006/112/ΕΚ του Συμβουλίου, της 28ης Νοεμβρίου 2006, σχετικά με το κοινό σύστημα φόρου προστιθέμενης αξίας (ΕΕ </w:t>
      </w:r>
      <w:r>
        <w:t>L</w:t>
      </w:r>
      <w:r w:rsidRPr="00BC60FC">
        <w:t xml:space="preserve"> 347 της 11.12.2006, σ. 1).</w:t>
      </w:r>
    </w:p>
  </w:footnote>
  <w:footnote w:id="61">
    <w:p w14:paraId="7F8D9EE9" w14:textId="77777777" w:rsidR="0006097A" w:rsidRPr="00BC60FC" w:rsidRDefault="0006097A">
      <w:pPr>
        <w:pStyle w:val="FootnoteText"/>
      </w:pPr>
      <w:r>
        <w:rPr>
          <w:rStyle w:val="FootnoteReference"/>
        </w:rPr>
        <w:footnoteRef/>
      </w:r>
      <w:r w:rsidRPr="00BC60FC">
        <w:tab/>
        <w:t>Οδηγία (ΕΕ) 2020/262 του Συμβουλίου, της 19ης</w:t>
      </w:r>
      <w:r>
        <w:t> </w:t>
      </w:r>
      <w:r w:rsidRPr="00BC60FC">
        <w:t>Δεκεμβρίου 2019, για τη θέσπιση του γενικού καθεστώτος των ειδικών φόρων κατανάλωσης (αναδιατύπωση) (ΕΕ</w:t>
      </w:r>
      <w:r>
        <w:t> L </w:t>
      </w:r>
      <w:r w:rsidRPr="00BC60FC">
        <w:t>58 της 27.2.2020, σ.</w:t>
      </w:r>
      <w:r>
        <w:t> </w:t>
      </w:r>
      <w:r w:rsidRPr="00BC60FC">
        <w:t>4).</w:t>
      </w:r>
    </w:p>
  </w:footnote>
  <w:footnote w:id="62">
    <w:p w14:paraId="77164D79" w14:textId="77777777" w:rsidR="0006097A" w:rsidRPr="00BC60FC" w:rsidRDefault="0006097A">
      <w:pPr>
        <w:pStyle w:val="FootnoteText"/>
      </w:pPr>
      <w:r>
        <w:rPr>
          <w:rStyle w:val="FootnoteReference"/>
        </w:rPr>
        <w:footnoteRef/>
      </w:r>
      <w:r w:rsidRPr="00BC60FC">
        <w:tab/>
        <w:t>Κανονισμός (ΕΕ) 2022/2399 του Ευρωπαϊκού Κοινοβουλίου και του Συμβουλίου, της 23ης</w:t>
      </w:r>
      <w:r>
        <w:t> </w:t>
      </w:r>
      <w:r w:rsidRPr="00BC60FC">
        <w:t>Νοεμβρίου 2022, για τη θέσπιση του περιβάλλοντος ενιαίας θυρίδας της Ευρωπαϊκής Ένωσης για τα τελωνεία και για την τροποποίηση του κανονισμού (ΕΕ) αριθ.</w:t>
      </w:r>
      <w:r>
        <w:t> </w:t>
      </w:r>
      <w:r w:rsidRPr="00BC60FC">
        <w:t xml:space="preserve">952/2013 (ΕΕ </w:t>
      </w:r>
      <w:r>
        <w:t>L</w:t>
      </w:r>
      <w:r w:rsidRPr="00BC60FC">
        <w:t xml:space="preserve"> 317 της 9.12.2022, σ. 1).</w:t>
      </w:r>
    </w:p>
  </w:footnote>
  <w:footnote w:id="63">
    <w:p w14:paraId="2DA72367" w14:textId="77777777" w:rsidR="0006097A" w:rsidRPr="00BC60FC" w:rsidRDefault="0006097A">
      <w:pPr>
        <w:pStyle w:val="FootnoteText"/>
      </w:pPr>
      <w:r>
        <w:rPr>
          <w:rStyle w:val="FootnoteReference"/>
        </w:rPr>
        <w:footnoteRef/>
      </w:r>
      <w:r w:rsidRPr="00BC60FC">
        <w:tab/>
        <w:t>Κανονισμός (ΕΕ) .../20.. του Ευρωπαϊκού Κοινοβουλίου και του Συμβουλίου για τη θέσπιση εναρμονισμένων κανόνων σχετικά με την τεχνητή νοημοσύνη (πράξη για την τεχνητή νοημοσύνη) και για την τροποποίηση ορισμένων νομοθετικών πράξεων της Ένωσης [</w:t>
      </w:r>
      <w:r>
        <w:t>COM</w:t>
      </w:r>
      <w:r w:rsidRPr="00BC60FC">
        <w:t xml:space="preserve">(2021)206 </w:t>
      </w:r>
      <w:r>
        <w:t>final</w:t>
      </w:r>
      <w:r w:rsidRPr="00BC60FC">
        <w:t>] [(2021/0106(</w:t>
      </w:r>
      <w:r>
        <w:t>COD</w:t>
      </w:r>
      <w:r w:rsidRPr="00BC60FC">
        <w:t>)].</w:t>
      </w:r>
    </w:p>
  </w:footnote>
  <w:footnote w:id="64">
    <w:p w14:paraId="0005F76B" w14:textId="77777777" w:rsidR="00814F41" w:rsidRPr="00BC60FC" w:rsidRDefault="00814F41">
      <w:pPr>
        <w:pStyle w:val="FootnoteText"/>
      </w:pPr>
      <w:r>
        <w:rPr>
          <w:rStyle w:val="FootnoteReference"/>
        </w:rPr>
        <w:footnoteRef/>
      </w:r>
      <w:r w:rsidRPr="00BC60FC">
        <w:tab/>
        <w:t xml:space="preserve">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1247/2002/ΕΚ·(ΕΕ </w:t>
      </w:r>
      <w:r>
        <w:t>L</w:t>
      </w:r>
      <w:r w:rsidRPr="00BC60FC">
        <w:t xml:space="preserve"> 295 της 21.11.2018, σ. 39).</w:t>
      </w:r>
    </w:p>
  </w:footnote>
  <w:footnote w:id="65">
    <w:p w14:paraId="7FF184E8" w14:textId="77777777" w:rsidR="00814F41" w:rsidRPr="00BC60FC" w:rsidRDefault="00814F41" w:rsidP="00814F41">
      <w:pPr>
        <w:pStyle w:val="FootnoteText"/>
      </w:pPr>
      <w:r>
        <w:rPr>
          <w:rStyle w:val="FootnoteReference"/>
        </w:rPr>
        <w:footnoteRef/>
      </w:r>
      <w:r w:rsidRPr="00BC60FC">
        <w:tab/>
        <w:t xml:space="preserve">Οδηγία (ΕΕ)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του Συμβουλίου (ΕΕ </w:t>
      </w:r>
      <w:r>
        <w:t>L </w:t>
      </w:r>
      <w:r w:rsidRPr="00BC60FC">
        <w:t>119 της 4.5.2016, σ.</w:t>
      </w:r>
      <w:r>
        <w:t> </w:t>
      </w:r>
      <w:r w:rsidRPr="00BC60FC">
        <w:t>89).</w:t>
      </w:r>
    </w:p>
  </w:footnote>
  <w:footnote w:id="66">
    <w:p w14:paraId="6F84AB98" w14:textId="77777777" w:rsidR="00814F41" w:rsidRPr="00BC60FC" w:rsidRDefault="00814F41" w:rsidP="00814F41">
      <w:pPr>
        <w:pStyle w:val="FootnoteText"/>
      </w:pPr>
      <w:r>
        <w:rPr>
          <w:rStyle w:val="FootnoteReference"/>
        </w:rPr>
        <w:footnoteRef/>
      </w:r>
      <w:r w:rsidRPr="00BC60FC">
        <w:tab/>
        <w:t xml:space="preserve">Κανονισμός (ΕΕ) …./.. του Ευρωπαϊκού Κοινοβουλίου και του Συμβουλίου (ΕΕ </w:t>
      </w:r>
      <w:r>
        <w:t>L</w:t>
      </w:r>
      <w:r w:rsidRPr="00BC60FC">
        <w:t xml:space="preserve"> … της ../../…., σ.). [ΕΕ: Να προστεθεί στο κείμενο ο αριθμός του κανονισμού που περιέχεται στο έγγραφο </w:t>
      </w:r>
      <w:r>
        <w:t>COM</w:t>
      </w:r>
      <w:r w:rsidRPr="00BC60FC">
        <w:t>(2021)</w:t>
      </w:r>
      <w:r>
        <w:t> </w:t>
      </w:r>
      <w:r w:rsidRPr="00BC60FC">
        <w:t xml:space="preserve">206 </w:t>
      </w:r>
      <w:r>
        <w:t>final</w:t>
      </w:r>
      <w:r w:rsidRPr="00BC60FC">
        <w:t>, 2021/0106(</w:t>
      </w:r>
      <w:r>
        <w:t>COD</w:t>
      </w:r>
      <w:r w:rsidRPr="00BC60FC">
        <w:t>) και να προστεθεί στην υποσημείωση ο αριθμός, η ημερομηνία, ο τίτλος και τα στοιχεία δημοσίευσης της εν λόγω οδηγίας στην Επίσημη Εφημερίδα.].</w:t>
      </w:r>
    </w:p>
  </w:footnote>
  <w:footnote w:id="67">
    <w:p w14:paraId="4FB7E2D3" w14:textId="77777777" w:rsidR="00814F41" w:rsidRPr="00BC60FC" w:rsidRDefault="00814F41">
      <w:pPr>
        <w:pStyle w:val="FootnoteText"/>
      </w:pPr>
      <w:r>
        <w:rPr>
          <w:rStyle w:val="FootnoteReference"/>
        </w:rPr>
        <w:footnoteRef/>
      </w:r>
      <w:r w:rsidRPr="00BC60FC">
        <w:tab/>
        <w:t>Κανονισμός (ΕΕ) 2017/1939 του Συμβουλίου, της 12ης Οκτωβρίου 2017, σχετικά με την εφαρμογή ενισχυμένης συνεργασίας για τη σύσταση της Ευρωπαϊκής Εισαγγελίας («</w:t>
      </w:r>
      <w:r>
        <w:t>EPPO</w:t>
      </w:r>
      <w:r w:rsidRPr="00BC60FC">
        <w:t>») ( ΕΕ</w:t>
      </w:r>
      <w:r>
        <w:t> L </w:t>
      </w:r>
      <w:r w:rsidRPr="00BC60FC">
        <w:t>283 της 31.10.2017, σ.</w:t>
      </w:r>
      <w:r>
        <w:t> </w:t>
      </w:r>
      <w:r w:rsidRPr="00BC60FC">
        <w:t>1).</w:t>
      </w:r>
    </w:p>
  </w:footnote>
  <w:footnote w:id="68">
    <w:p w14:paraId="5C859530" w14:textId="77777777" w:rsidR="00814F41" w:rsidRPr="00BC60FC" w:rsidRDefault="00814F41">
      <w:pPr>
        <w:pStyle w:val="FootnoteText"/>
      </w:pPr>
      <w:r>
        <w:rPr>
          <w:rStyle w:val="FootnoteReference"/>
        </w:rPr>
        <w:footnoteRef/>
      </w:r>
      <w:r w:rsidRPr="00BC60FC">
        <w:tab/>
        <w:t xml:space="preserve">Κανονισμός (ΕΕ) 2017/625 του Ευρωπαϊκού Κοινοβουλίου και του Συμβουλίου, της 15ης Μαρτίου 2017, για τους επίσημους ελέγχους και τις άλλες επίσημες δραστηριότητες που διενεργούνται με σκοπό την εξασφάλιση της εφαρμογής της νομοθεσίας για τα τρόφιμα και τις ζωοτροφές και των κανόνων για την υγεία και την καλή μεταχείριση των ζώων, την υγεία των φυτών και τα φυτοπροστατευτικά προϊόντα, για την τροποποίηση των κανονισμών του Ευρωπαϊκού Κοινοβουλίου και του Συμβουλίου (ΕΚ) αριθ. 999/2001, (ΕΚ) αριθ. 396/2005, (ΕΚ) αριθ. 1069/2009, (ΕΚ) αριθ. 1107/2009, (ΕΕ) αριθ. 1151/2012, (ΕΕ) αριθ. 652/2014, (ΕΕ) 2016/429 και (ΕΕ) 2016/2031, των κανονισμών του Συμβουλίου (ΕΚ) αριθ. 1/2005 και (ΕΚ) αριθ. 1099/2009 και των οδηγιών του Συμβουλίου 98/58/ΕΚ, 1999/74/ΕΚ, 2007/43/ΕΚ, 2008/119/ΕΚ και 2008/120/ΕΚ και για την κατάργηση των κανονισμών του Ευρωπαϊκού Κοινοβουλίου και του Συμβουλίου (ΕΚ) αριθ. 854/2004 και (ΕΚ) αριθ. 882/2004, των οδηγιών του Συμβουλίου 89/608/ΕΟΚ, 89/662/ΕΟΚ, 90/425/ΕΟΚ, 91/496/ΕΟΚ, 96/23/ΕΚ, 96/93/ΕΚ και 97/78/ΕΚ και της απόφασης 92/438/ΕΟΚ του Συμβουλίου (κανονισμός για τους επίσημους ελέγχους) (ΕΕ </w:t>
      </w:r>
      <w:r>
        <w:t>L</w:t>
      </w:r>
      <w:r w:rsidRPr="00BC60FC">
        <w:t xml:space="preserve"> 95 της 7.4.2017, σ.</w:t>
      </w:r>
      <w:r>
        <w:t> </w:t>
      </w:r>
      <w:r w:rsidRPr="00BC60FC">
        <w:t>1).</w:t>
      </w:r>
    </w:p>
  </w:footnote>
  <w:footnote w:id="69">
    <w:p w14:paraId="0BB938CB" w14:textId="77777777" w:rsidR="00D77693" w:rsidRPr="00BC60FC" w:rsidRDefault="00D77693">
      <w:pPr>
        <w:pStyle w:val="FootnoteText"/>
      </w:pPr>
      <w:r>
        <w:rPr>
          <w:rStyle w:val="FootnoteReference"/>
        </w:rPr>
        <w:footnoteRef/>
      </w:r>
      <w:r w:rsidRPr="00BC60FC">
        <w:tab/>
        <w:t>Κανονισμός (ΕΕ) αριθ.</w:t>
      </w:r>
      <w:r>
        <w:t> </w:t>
      </w:r>
      <w:r w:rsidRPr="00BC60FC">
        <w:t>608/2013 του Ευρωπαϊκού Κοινοβουλίου και του Συμβουλίου, της 12ης Ιουνίου 2013, σχετικά με την τελωνειακή επιβολή των δικαιωμάτων διανοητικής ιδιοκτησίας και την κατάργηση του κανονισμού (ΕΚ) αριθ.</w:t>
      </w:r>
      <w:r>
        <w:t> </w:t>
      </w:r>
      <w:r w:rsidRPr="00BC60FC">
        <w:t>1383/2003 του Συμβουλίου (ΕΕ</w:t>
      </w:r>
      <w:r>
        <w:t> L </w:t>
      </w:r>
      <w:r w:rsidRPr="00BC60FC">
        <w:t>181 της 29.6.2013, σ.</w:t>
      </w:r>
      <w:r>
        <w:t> </w:t>
      </w:r>
      <w:r w:rsidRPr="00BC60FC">
        <w:t>15).</w:t>
      </w:r>
    </w:p>
  </w:footnote>
  <w:footnote w:id="70">
    <w:p w14:paraId="5BC47BDE" w14:textId="77777777" w:rsidR="00D77693" w:rsidRPr="00BC60FC" w:rsidRDefault="00D77693">
      <w:pPr>
        <w:pStyle w:val="FootnoteText"/>
      </w:pPr>
      <w:r>
        <w:rPr>
          <w:rStyle w:val="FootnoteReference"/>
        </w:rPr>
        <w:footnoteRef/>
      </w:r>
      <w:r w:rsidRPr="00BC60FC">
        <w:tab/>
        <w:t>Κανονισμός (ΕΕ) 2023/... του Ευρωπαϊκού Κοινοβουλίου και του Συμβουλίου, της ../../2023 για τη γενική ασφάλεια των προϊόντων, την τροποποίηση του κανονισμού (ΕΕ) αριθ.</w:t>
      </w:r>
      <w:r>
        <w:t> </w:t>
      </w:r>
      <w:r w:rsidRPr="00BC60FC">
        <w:t>1025/2012 του Ευρωπαϊκού Κοινοβουλίου και του Συμβουλίου και την κατάργηση της οδηγίας</w:t>
      </w:r>
      <w:r>
        <w:t> </w:t>
      </w:r>
      <w:r w:rsidRPr="00BC60FC">
        <w:t>87/357/ΕΟΚ του Συμβουλίου και της οδηγίας</w:t>
      </w:r>
      <w:r>
        <w:t> </w:t>
      </w:r>
      <w:r w:rsidRPr="00BC60FC">
        <w:t>2001/95/ΕΚ του Ευρωπαϊκού Κοινοβουλίου και του Συμβουλίου (ΕΕ</w:t>
      </w:r>
      <w:r>
        <w:t> L</w:t>
      </w:r>
      <w:r w:rsidRPr="00BC60FC">
        <w:t xml:space="preserve"> …).</w:t>
      </w:r>
    </w:p>
  </w:footnote>
  <w:footnote w:id="71">
    <w:p w14:paraId="1BD0CF5D" w14:textId="77777777" w:rsidR="00552D9A" w:rsidRPr="00BC60FC" w:rsidRDefault="00552D9A">
      <w:pPr>
        <w:pStyle w:val="FootnoteText"/>
      </w:pPr>
      <w:r>
        <w:rPr>
          <w:rStyle w:val="FootnoteReference"/>
        </w:rPr>
        <w:footnoteRef/>
      </w:r>
      <w:r w:rsidRPr="00BC60FC">
        <w:tab/>
        <w:t>[Υπηρεσία Εκδόσεων: να προστεθεί η τελική παραπομπή στο κείμενο —βλ. υποσημείωση 19].</w:t>
      </w:r>
    </w:p>
  </w:footnote>
  <w:footnote w:id="72">
    <w:p w14:paraId="34AFE2DA" w14:textId="77777777" w:rsidR="00D77693" w:rsidRPr="00BC60FC" w:rsidRDefault="00D77693">
      <w:pPr>
        <w:pStyle w:val="FootnoteText"/>
      </w:pPr>
      <w:r>
        <w:rPr>
          <w:rStyle w:val="FootnoteReference"/>
        </w:rPr>
        <w:footnoteRef/>
      </w:r>
      <w:r w:rsidRPr="00BC60FC">
        <w:tab/>
        <w:t>Κανονισμός (ΕΟΚ, Ευρατόμ, ΕΚΑΧ) αριθ.</w:t>
      </w:r>
      <w:r>
        <w:t> </w:t>
      </w:r>
      <w:r w:rsidRPr="00BC60FC">
        <w:t>259/68 του Συμβουλίου, της 29ης</w:t>
      </w:r>
      <w:r>
        <w:t> </w:t>
      </w:r>
      <w:r w:rsidRPr="00BC60FC">
        <w:t>Φεβρουαρίου</w:t>
      </w:r>
      <w:r>
        <w:t> </w:t>
      </w:r>
      <w:r w:rsidRPr="00BC60FC">
        <w:t>1968, περί καθορισμού του κανονισμού υπηρεσιακής καταστάσεως των υπαλλήλων και του καθεστώτος που εφαρμόζεται επί του λοιπού προσωπικού των Ευρωπαϊκών Κοινοτήτων και περί θεσπίσεως ειδικών μέτρων προσωρινώς εφαρμοστέων στους υπαλλήλους της Επιτροπής (ΕΕ</w:t>
      </w:r>
      <w:r>
        <w:t> L </w:t>
      </w:r>
      <w:r w:rsidRPr="00BC60FC">
        <w:t>56 της 4.3.1968, σ.</w:t>
      </w:r>
      <w:r>
        <w:t> </w:t>
      </w:r>
      <w:r w:rsidRPr="00BC60FC">
        <w:t>1).</w:t>
      </w:r>
    </w:p>
  </w:footnote>
  <w:footnote w:id="73">
    <w:p w14:paraId="5A9E8449" w14:textId="77777777" w:rsidR="00772919" w:rsidRPr="00BC60FC" w:rsidRDefault="00772919">
      <w:pPr>
        <w:pStyle w:val="FootnoteText"/>
      </w:pPr>
      <w:r>
        <w:rPr>
          <w:rStyle w:val="FootnoteReference"/>
        </w:rPr>
        <w:footnoteRef/>
      </w:r>
      <w:r w:rsidRPr="00BC60FC">
        <w:tab/>
        <w:t>Κανονισμός (ΕΚ) αριθ.</w:t>
      </w:r>
      <w:r>
        <w:t> </w:t>
      </w:r>
      <w:r w:rsidRPr="00BC60FC">
        <w:t xml:space="preserve">1049/2001 του Ευρωπαϊκού Κοινοβουλίου και του Συμβουλίου, της 30ής Μαΐου 2001, για την πρόσβαση του κοινού στα έγγραφα του Ευρωπαϊκού Κοινοβουλίου, του Συμβουλίου και της Επιτροπής (ΕΕ </w:t>
      </w:r>
      <w:r>
        <w:t>L </w:t>
      </w:r>
      <w:r w:rsidRPr="00BC60FC">
        <w:t>145 της 31.5.2001, σ.</w:t>
      </w:r>
      <w:r>
        <w:t> </w:t>
      </w:r>
      <w:r w:rsidRPr="00BC60FC">
        <w:t>43).</w:t>
      </w:r>
    </w:p>
  </w:footnote>
  <w:footnote w:id="74">
    <w:p w14:paraId="0E45BC1D" w14:textId="77777777" w:rsidR="00772919" w:rsidRPr="00BC60FC" w:rsidRDefault="00772919">
      <w:pPr>
        <w:pStyle w:val="FootnoteText"/>
      </w:pPr>
      <w:r>
        <w:rPr>
          <w:rStyle w:val="FootnoteReference"/>
        </w:rPr>
        <w:footnoteRef/>
      </w:r>
      <w:r w:rsidRPr="00BC60FC">
        <w:tab/>
        <w:t xml:space="preserve">Κατ’ εξουσιοδότηση κανονισμός (ΕΕ) 2019/715 της Επιτροπής, της 18ης Δεκεμβρίου 2018, για τη θέσπιση του δημοσιονομικού κανονισμού-πλαισίου για τους οργανισμούς που δημιουργούνται δυνάμει της ΣΛΕΕ και της Συνθήκης Ευρατόμ και αναφέρονται στο άρθρο 70 του κανονισμού (ΕΕ, Ευρατόμ) 2018/1046 του Ευρωπαϊκού Κοινοβουλίου και του Συμβουλίου (ΕΕ </w:t>
      </w:r>
      <w:r>
        <w:t>L</w:t>
      </w:r>
      <w:r w:rsidRPr="00BC60FC">
        <w:t xml:space="preserve"> 122 της 10.5.2019, σ. 1).</w:t>
      </w:r>
    </w:p>
  </w:footnote>
  <w:footnote w:id="75">
    <w:p w14:paraId="244E64FA" w14:textId="77777777" w:rsidR="00772919" w:rsidRPr="00BC60FC" w:rsidRDefault="00772919">
      <w:pPr>
        <w:pStyle w:val="FootnoteText"/>
      </w:pPr>
      <w:r>
        <w:rPr>
          <w:rStyle w:val="FootnoteReference"/>
        </w:rPr>
        <w:footnoteRef/>
      </w:r>
      <w:r w:rsidRPr="00BC60FC">
        <w:tab/>
        <w:t>Κανονισμός (</w:t>
      </w:r>
      <w:r>
        <w:t>EU</w:t>
      </w:r>
      <w:r w:rsidRPr="00BC60FC">
        <w:t xml:space="preserve">, Ευρατόμ) 2018/1046 του Ευρωπαϊκού Κοινοβουλίου και του Συμβουλίου, της 18ης Ιουλίου 2018, σχετικά με τους δημοσιονομικούς κανόνες που εφαρμόζονται στον γενικό προϋπολογισμό της Ένωσης, την τροποποίηση των κανονισμών (ΕΕ) αριθ. 1296/2013, (ΕΕ) αριθ. 1301/2013, (ΕΕ) αριθ. 1303/2013, (ΕΕ) αριθ. 1304/2013, (ΕΕ) αριθ. 1309/2013, (ΕΕ) αριθ. 1316/2013, (ΕΕ) αριθ. 223/2014, (ΕΕ) αριθ. 283/2014 και της απόφασης αριθ. 541/2014/ΕΕ και για την κατάργηση του κανονισμού (ΕΕ, Ευρατόμ) αριθ. 966/2012 (ΕΕ </w:t>
      </w:r>
      <w:r>
        <w:t>L</w:t>
      </w:r>
      <w:r w:rsidRPr="00BC60FC">
        <w:t xml:space="preserve"> 193 της 30.7.2018, σ. 1).</w:t>
      </w:r>
    </w:p>
  </w:footnote>
  <w:footnote w:id="76">
    <w:p w14:paraId="6E848663" w14:textId="77777777" w:rsidR="00772919" w:rsidRPr="00BC60FC" w:rsidRDefault="00772919" w:rsidP="00772919">
      <w:pPr>
        <w:pStyle w:val="FootnoteText"/>
        <w:ind w:left="0" w:firstLine="0"/>
      </w:pPr>
      <w:r>
        <w:rPr>
          <w:rStyle w:val="FootnoteReference"/>
        </w:rPr>
        <w:footnoteRef/>
      </w:r>
      <w:r w:rsidRPr="00BC60FC">
        <w:tab/>
        <w:t xml:space="preserve">ΕΕ </w:t>
      </w:r>
      <w:r>
        <w:t>L</w:t>
      </w:r>
      <w:r w:rsidRPr="00BC60FC">
        <w:t xml:space="preserve"> 136 της 31.5.1999, σ. 15.</w:t>
      </w:r>
    </w:p>
  </w:footnote>
  <w:footnote w:id="77">
    <w:p w14:paraId="6D246D50" w14:textId="77777777" w:rsidR="00772919" w:rsidRPr="00BC60FC" w:rsidRDefault="00772919">
      <w:pPr>
        <w:pStyle w:val="FootnoteText"/>
      </w:pPr>
      <w:r>
        <w:rPr>
          <w:rStyle w:val="FootnoteReference"/>
        </w:rPr>
        <w:footnoteRef/>
      </w:r>
      <w:r w:rsidRPr="00BC60FC">
        <w:tab/>
        <w:t xml:space="preserve">Κανονισμός (Ευρατόμ, ΕΚ) αριθ. 2185/96 του Συμβουλίου, της 11ης Νοεμβρίου 1996, σχετικά με τους ελέγχους και εξακριβώσεις που διεξάγει επιτοπίως η Επιτροπή με σκοπό την προστασία των οικονομικών συμφερόντων των Ευρωπαϊκών Κοινοτήτων από απάτες και λοιπές παρατυπίες (ΕΕ </w:t>
      </w:r>
      <w:r>
        <w:t>L</w:t>
      </w:r>
      <w:r w:rsidRPr="00BC60FC">
        <w:t xml:space="preserve"> 292 της 15.11.1996, σ. 2).</w:t>
      </w:r>
    </w:p>
  </w:footnote>
  <w:footnote w:id="78">
    <w:p w14:paraId="29827EE4" w14:textId="77777777" w:rsidR="00772919" w:rsidRPr="00BC60FC" w:rsidRDefault="00772919">
      <w:pPr>
        <w:pStyle w:val="FootnoteText"/>
      </w:pPr>
      <w:r>
        <w:rPr>
          <w:rStyle w:val="FootnoteReference"/>
        </w:rPr>
        <w:footnoteRef/>
      </w:r>
      <w:r w:rsidRPr="00BC60FC">
        <w:tab/>
        <w:t>Οδηγία (ΕΕ) 2017/1371 του Ευρωπαϊκού Κοινοβουλίου και του Συμβουλίου, της 5ης</w:t>
      </w:r>
      <w:r>
        <w:t> </w:t>
      </w:r>
      <w:r w:rsidRPr="00BC60FC">
        <w:t>Ιουλίου</w:t>
      </w:r>
      <w:r>
        <w:t> </w:t>
      </w:r>
      <w:r w:rsidRPr="00BC60FC">
        <w:t>2017, σχετικά με την καταπολέμηση, μέσω του ποινικού δικαίου, της απάτης εις βάρος των οικονομικών συμφερόντων της Ένωσης (ΕΕ</w:t>
      </w:r>
      <w:r>
        <w:t> L </w:t>
      </w:r>
      <w:r w:rsidRPr="00BC60FC">
        <w:t>198 της 28.7.2017, σ.</w:t>
      </w:r>
      <w:r>
        <w:t> </w:t>
      </w:r>
      <w:r w:rsidRPr="00BC60FC">
        <w:t>29).</w:t>
      </w:r>
    </w:p>
  </w:footnote>
  <w:footnote w:id="79">
    <w:p w14:paraId="0E4AA8CE" w14:textId="77777777" w:rsidR="00772919" w:rsidRPr="00BC60FC" w:rsidRDefault="00772919">
      <w:pPr>
        <w:pStyle w:val="FootnoteText"/>
      </w:pPr>
      <w:r>
        <w:rPr>
          <w:rStyle w:val="FootnoteReference"/>
        </w:rPr>
        <w:footnoteRef/>
      </w:r>
      <w:r w:rsidRPr="00BC60FC">
        <w:tab/>
        <w:t xml:space="preserve">Απόφαση (ΕΚ, Ευρατόμ) 2015/443 της Επιτροπής, της 13ης Μαρτίου 2015, σχετικά με την ασφάλεια στην Επιτροπή (ΕΕ </w:t>
      </w:r>
      <w:r>
        <w:t>L</w:t>
      </w:r>
      <w:r w:rsidRPr="00BC60FC">
        <w:t xml:space="preserve"> 72 της 17.3.2015, σ. 41).</w:t>
      </w:r>
    </w:p>
  </w:footnote>
  <w:footnote w:id="80">
    <w:p w14:paraId="613A8E3F" w14:textId="77777777" w:rsidR="00772919" w:rsidRPr="00BC60FC" w:rsidRDefault="00772919">
      <w:pPr>
        <w:pStyle w:val="FootnoteText"/>
      </w:pPr>
      <w:r>
        <w:rPr>
          <w:rStyle w:val="FootnoteReference"/>
        </w:rPr>
        <w:footnoteRef/>
      </w:r>
      <w:r w:rsidRPr="00BC60FC">
        <w:tab/>
        <w:t>Απόφαση (ΕΕ, Ευρατόμ)</w:t>
      </w:r>
      <w:r>
        <w:t> </w:t>
      </w:r>
      <w:r w:rsidRPr="00BC60FC">
        <w:t>2015/444 της Επιτροπής, της 13ης</w:t>
      </w:r>
      <w:r>
        <w:t> </w:t>
      </w:r>
      <w:r w:rsidRPr="00BC60FC">
        <w:t>Μαρτίου 2015, σχετικά με τους κανόνες ασφαλείας για την προστασία των διαβαθμισμένων πληροφοριών της ΕΕ (ΕΕ</w:t>
      </w:r>
      <w:r>
        <w:t> L </w:t>
      </w:r>
      <w:r w:rsidRPr="00BC60FC">
        <w:t>72 της 17.3.2015, σ.</w:t>
      </w:r>
      <w:r>
        <w:t> </w:t>
      </w:r>
      <w:r w:rsidRPr="00BC60FC">
        <w:t>53).</w:t>
      </w:r>
    </w:p>
  </w:footnote>
  <w:footnote w:id="81">
    <w:p w14:paraId="1E6FF58F" w14:textId="77777777" w:rsidR="00772919" w:rsidRPr="00BC60FC" w:rsidRDefault="00772919">
      <w:pPr>
        <w:pStyle w:val="FootnoteText"/>
      </w:pPr>
      <w:r>
        <w:rPr>
          <w:rStyle w:val="FootnoteReference"/>
        </w:rPr>
        <w:footnoteRef/>
      </w:r>
      <w:r w:rsidRPr="00BC60FC">
        <w:tab/>
        <w:t>Κανονισμός αριθ.</w:t>
      </w:r>
      <w:r>
        <w:t> </w:t>
      </w:r>
      <w:r w:rsidRPr="00BC60FC">
        <w:t>1 του Συμβουλίου, της 15ης Απριλίου 1958, περί καθορισμού του γλωσσικού καθεστώτος της Ευρωπαϊκής Οικονομικής Κοινότητος (ΕΕ 17 της 6.10.1958, σ.</w:t>
      </w:r>
      <w:r>
        <w:t> </w:t>
      </w:r>
      <w:r w:rsidRPr="00BC60FC">
        <w:t>385).</w:t>
      </w:r>
    </w:p>
  </w:footnote>
  <w:footnote w:id="82">
    <w:p w14:paraId="482C2D4A" w14:textId="77777777" w:rsidR="00772919" w:rsidRPr="00BC60FC" w:rsidRDefault="00772919">
      <w:pPr>
        <w:pStyle w:val="FootnoteText"/>
      </w:pPr>
      <w:r>
        <w:rPr>
          <w:rStyle w:val="FootnoteReference"/>
        </w:rPr>
        <w:footnoteRef/>
      </w:r>
      <w:r w:rsidRPr="00BC60FC">
        <w:tab/>
        <w:t xml:space="preserve">Κανονισμός (ΕΟΚ, Ευρατόμ) αριθ. 1182/71 του Συμβουλίου, της 3ης Ιουνίου 1971, περί καθορισμού των κανόνων που εφαρμόζονται στις προθεσμίες, ημερομηνίες και διορίες (ΕΕ </w:t>
      </w:r>
      <w:r>
        <w:t>L</w:t>
      </w:r>
      <w:r w:rsidRPr="00BC60FC">
        <w:t xml:space="preserve"> 124 της 8.6.1971, σ. 1).</w:t>
      </w:r>
    </w:p>
  </w:footnote>
  <w:footnote w:id="83">
    <w:p w14:paraId="61D24E84" w14:textId="77777777" w:rsidR="008F6AC1" w:rsidRPr="00BC60FC" w:rsidRDefault="008F6AC1" w:rsidP="008F6AC1">
      <w:pPr>
        <w:pStyle w:val="FootnoteText"/>
      </w:pPr>
      <w:r>
        <w:rPr>
          <w:rStyle w:val="FootnoteReference"/>
        </w:rPr>
        <w:footnoteRef/>
      </w:r>
      <w:r w:rsidRPr="00BC60FC">
        <w:tab/>
        <w:t>Όπως αναφέρεται στο άρθρο</w:t>
      </w:r>
      <w:r>
        <w:t> </w:t>
      </w:r>
      <w:r w:rsidRPr="00BC60FC">
        <w:t>58 παράγραφος</w:t>
      </w:r>
      <w:r>
        <w:t> </w:t>
      </w:r>
      <w:r w:rsidRPr="00BC60FC">
        <w:t>2 στοιχείο α) ή β) του δημοσιονομικού κανονισμού.</w:t>
      </w:r>
    </w:p>
  </w:footnote>
  <w:footnote w:id="84">
    <w:p w14:paraId="5C1B079A" w14:textId="77777777" w:rsidR="008F6AC1" w:rsidRPr="00BC60FC" w:rsidRDefault="008F6AC1" w:rsidP="008F6AC1">
      <w:pPr>
        <w:pStyle w:val="FootnoteText"/>
      </w:pPr>
      <w:r>
        <w:rPr>
          <w:rStyle w:val="FootnoteReference"/>
        </w:rPr>
        <w:footnoteRef/>
      </w:r>
      <w:r w:rsidRPr="00BC60FC">
        <w:tab/>
        <w:t xml:space="preserve">Από τα περισσότερα από 120 τελωνειακά συστήματα που διαχειρίζεται η ΓΔ </w:t>
      </w:r>
      <w:r>
        <w:t>TAXUD</w:t>
      </w:r>
      <w:r w:rsidRPr="00BC60FC">
        <w:t xml:space="preserve">, τα περισσότερα θα μεταβιβαστούν πλήρως στην Τελωνειακή Αρχή της ΕΕ· πρόκειται, καταρχήν, για τα συστήματα που εφαρμόζουν ή υποστηρίζουν τις διαδικαστικές και επιχειρησιακές δραστηριότητες των τελωνείων (για παράδειγμα: τελωνειακές αποφάσεις, </w:t>
      </w:r>
      <w:r>
        <w:t>ICS</w:t>
      </w:r>
      <w:r w:rsidRPr="00BC60FC">
        <w:t xml:space="preserve">2, </w:t>
      </w:r>
      <w:r>
        <w:t>NCTS</w:t>
      </w:r>
      <w:r w:rsidRPr="00BC60FC">
        <w:t xml:space="preserve">, </w:t>
      </w:r>
      <w:r>
        <w:t>EBTI</w:t>
      </w:r>
      <w:r w:rsidRPr="00BC60FC">
        <w:t xml:space="preserve">, </w:t>
      </w:r>
      <w:r>
        <w:t>SMS</w:t>
      </w:r>
      <w:r w:rsidRPr="00BC60FC">
        <w:t xml:space="preserve"> κ.λπ.). Από την άλλη πλευρά, οι εφαρμογές που υποστηρίζουν τη διαχείριση πολιτικών ή προγραμμάτων θα παραμείνουν υπό την ευθύνη της </w:t>
      </w:r>
      <w:r>
        <w:t>TAXUD</w:t>
      </w:r>
      <w:r w:rsidRPr="00BC60FC">
        <w:t xml:space="preserve"> (</w:t>
      </w:r>
      <w:r>
        <w:t>TARIC</w:t>
      </w:r>
      <w:r w:rsidRPr="00BC60FC">
        <w:t xml:space="preserve">, </w:t>
      </w:r>
      <w:r>
        <w:t>ART</w:t>
      </w:r>
      <w:r w:rsidRPr="00BC60FC">
        <w:t xml:space="preserve">, </w:t>
      </w:r>
      <w:r>
        <w:t>CN</w:t>
      </w:r>
      <w:r w:rsidRPr="00BC60FC">
        <w:t xml:space="preserve">, </w:t>
      </w:r>
      <w:r>
        <w:t>Surveillance</w:t>
      </w:r>
      <w:r w:rsidRPr="00BC60FC">
        <w:t xml:space="preserve"> 3 κ.λπ.).   </w:t>
      </w:r>
    </w:p>
  </w:footnote>
  <w:footnote w:id="85">
    <w:p w14:paraId="13FF7D22" w14:textId="77777777" w:rsidR="008F6AC1" w:rsidRPr="00BC60FC" w:rsidRDefault="008F6AC1" w:rsidP="008F6AC1">
      <w:pPr>
        <w:pStyle w:val="FootnoteText"/>
      </w:pPr>
      <w:r>
        <w:rPr>
          <w:rStyle w:val="FootnoteReference"/>
        </w:rPr>
        <w:footnoteRef/>
      </w:r>
      <w:r w:rsidRPr="00BC60FC">
        <w:tab/>
      </w:r>
      <w:r>
        <w:t>Study</w:t>
      </w:r>
      <w:r w:rsidRPr="00BC60FC">
        <w:t xml:space="preserve"> </w:t>
      </w:r>
      <w:r>
        <w:t>on</w:t>
      </w:r>
      <w:r w:rsidRPr="00BC60FC">
        <w:t xml:space="preserve"> </w:t>
      </w:r>
      <w:r>
        <w:t>the</w:t>
      </w:r>
      <w:r w:rsidRPr="00BC60FC">
        <w:t xml:space="preserve"> </w:t>
      </w:r>
      <w:r>
        <w:t>Authorised</w:t>
      </w:r>
      <w:r w:rsidRPr="00BC60FC">
        <w:t xml:space="preserve"> </w:t>
      </w:r>
      <w:r>
        <w:t>Economic</w:t>
      </w:r>
      <w:r w:rsidRPr="00BC60FC">
        <w:t xml:space="preserve"> </w:t>
      </w:r>
      <w:r>
        <w:t>Operator</w:t>
      </w:r>
      <w:r w:rsidRPr="00BC60FC">
        <w:t xml:space="preserve"> </w:t>
      </w:r>
      <w:r>
        <w:t>programme</w:t>
      </w:r>
      <w:r w:rsidRPr="00BC60FC">
        <w:t xml:space="preserve">, </w:t>
      </w:r>
      <w:r>
        <w:t>Oxford</w:t>
      </w:r>
      <w:r w:rsidRPr="00BC60FC">
        <w:t xml:space="preserve"> </w:t>
      </w:r>
      <w:r>
        <w:t>Research</w:t>
      </w:r>
      <w:r w:rsidRPr="00BC60FC">
        <w:t xml:space="preserve"> (Μελέτη του προγράμματος του εγκεκριμένου οικονομικού φορέα), </w:t>
      </w:r>
      <w:r>
        <w:t>Ipsos</w:t>
      </w:r>
      <w:r w:rsidRPr="00BC60FC">
        <w:t xml:space="preserve">, </w:t>
      </w:r>
      <w:r>
        <w:t>Wavestone</w:t>
      </w:r>
      <w:r w:rsidRPr="00BC60FC">
        <w:t xml:space="preserve">, </w:t>
      </w:r>
      <w:r>
        <w:t>CT</w:t>
      </w:r>
      <w:r w:rsidRPr="00BC60FC">
        <w:t xml:space="preserve"> </w:t>
      </w:r>
      <w:r>
        <w:t>Strategies</w:t>
      </w:r>
      <w:r w:rsidRPr="00BC60FC">
        <w:t xml:space="preserve"> και </w:t>
      </w:r>
      <w:r>
        <w:t>Economisti</w:t>
      </w:r>
      <w:r w:rsidRPr="00BC60FC">
        <w:t xml:space="preserve"> </w:t>
      </w:r>
      <w:r>
        <w:t>Associati</w:t>
      </w:r>
      <w:r w:rsidRPr="00BC60FC">
        <w:t xml:space="preserve">, 2022. </w:t>
      </w:r>
    </w:p>
  </w:footnote>
  <w:footnote w:id="86">
    <w:p w14:paraId="4B704131" w14:textId="77777777" w:rsidR="008F6AC1" w:rsidRPr="00BC60FC" w:rsidRDefault="008F6AC1" w:rsidP="008F6AC1">
      <w:pPr>
        <w:pStyle w:val="FootnoteText"/>
      </w:pPr>
      <w:r>
        <w:rPr>
          <w:rStyle w:val="FootnoteReference"/>
        </w:rPr>
        <w:footnoteRef/>
      </w:r>
      <w:r w:rsidRPr="00BC60FC">
        <w:tab/>
        <w:t>Οι παραδοχές που χρησιμοποιούνται για την κατάρτιση αυτών των εκτιμήσεων περιγράφονται λεπτομερώς στην εκτίμηση των επιπτώσεων και στα παραρτήματά της.</w:t>
      </w:r>
    </w:p>
  </w:footnote>
  <w:footnote w:id="87">
    <w:p w14:paraId="2C81C55A" w14:textId="77777777" w:rsidR="008F6AC1" w:rsidRPr="00BC60FC" w:rsidRDefault="008F6AC1" w:rsidP="008F6AC1">
      <w:pPr>
        <w:pStyle w:val="FootnoteText"/>
        <w:rPr>
          <w:sz w:val="18"/>
          <w:szCs w:val="18"/>
        </w:rPr>
      </w:pPr>
      <w:r>
        <w:rPr>
          <w:rStyle w:val="FootnoteReference"/>
        </w:rPr>
        <w:footnoteRef/>
      </w:r>
      <w:r w:rsidRPr="00BC60FC">
        <w:tab/>
      </w:r>
      <w:r w:rsidRPr="00BC60FC">
        <w:rPr>
          <w:sz w:val="18"/>
        </w:rPr>
        <w:t>Κανονισμός (ΕΚ) αριθ.</w:t>
      </w:r>
      <w:r>
        <w:rPr>
          <w:sz w:val="18"/>
        </w:rPr>
        <w:t> </w:t>
      </w:r>
      <w:r w:rsidRPr="00BC60FC">
        <w:rPr>
          <w:sz w:val="18"/>
        </w:rPr>
        <w:t>111/2005 του Συμβουλίου, της 22ας Δεκεμβρίου 2004, σχετικά με τη θέσπιση κανόνων για την παρακολούθηση του εμπορίου πρόδρομων ουσιών ναρκωτικών μεταξύ της Κοινότητας και τρίτων χωρών (ΕΕ</w:t>
      </w:r>
      <w:r>
        <w:rPr>
          <w:sz w:val="18"/>
        </w:rPr>
        <w:t> L </w:t>
      </w:r>
      <w:r w:rsidRPr="00BC60FC">
        <w:rPr>
          <w:sz w:val="18"/>
        </w:rPr>
        <w:t>22 της</w:t>
      </w:r>
      <w:r>
        <w:rPr>
          <w:sz w:val="18"/>
        </w:rPr>
        <w:t> </w:t>
      </w:r>
      <w:r w:rsidRPr="00BC60FC">
        <w:rPr>
          <w:sz w:val="18"/>
        </w:rPr>
        <w:t>26.1.2005, σ.</w:t>
      </w:r>
      <w:r>
        <w:rPr>
          <w:sz w:val="18"/>
        </w:rPr>
        <w:t> </w:t>
      </w:r>
      <w:r w:rsidRPr="00BC60FC">
        <w:rPr>
          <w:sz w:val="18"/>
        </w:rPr>
        <w:t>1).</w:t>
      </w:r>
    </w:p>
  </w:footnote>
  <w:footnote w:id="88">
    <w:p w14:paraId="097CCB4A" w14:textId="77777777" w:rsidR="008F6AC1" w:rsidRPr="00BC60FC" w:rsidRDefault="008F6AC1" w:rsidP="008F6AC1">
      <w:pPr>
        <w:pStyle w:val="FootnoteText"/>
        <w:rPr>
          <w:sz w:val="18"/>
          <w:szCs w:val="18"/>
        </w:rPr>
      </w:pPr>
      <w:r>
        <w:rPr>
          <w:rStyle w:val="FootnoteReference"/>
        </w:rPr>
        <w:footnoteRef/>
      </w:r>
      <w:r w:rsidRPr="00BC60FC">
        <w:tab/>
      </w:r>
      <w:r w:rsidRPr="00BC60FC">
        <w:rPr>
          <w:sz w:val="18"/>
          <w:shd w:val="clear" w:color="auto" w:fill="FFFFFF"/>
        </w:rPr>
        <w:t xml:space="preserve">Κανονισμός (ΕΚ) αριθ. 300/2008 του Ευρωπαϊκού Κοινοβουλίου και του Συμβουλίου, της 11ης Μαρτίου 2008, για τη θέσπιση κοινών κανόνων στο πεδίο της ασφάλειας της πολιτικής αεροπορίας και την κατάργηση του κανονισμού (ΕΚ) αριθ. 2320/2002 (ΕΕ </w:t>
      </w:r>
      <w:r>
        <w:rPr>
          <w:sz w:val="18"/>
          <w:shd w:val="clear" w:color="auto" w:fill="FFFFFF"/>
        </w:rPr>
        <w:t>L</w:t>
      </w:r>
      <w:r w:rsidRPr="00BC60FC">
        <w:rPr>
          <w:sz w:val="18"/>
          <w:shd w:val="clear" w:color="auto" w:fill="FFFFFF"/>
        </w:rPr>
        <w:t xml:space="preserve"> 97 της 9.4.2008, σ. 72)</w:t>
      </w:r>
      <w:r w:rsidRPr="00BC60FC">
        <w:rPr>
          <w:b/>
          <w:color w:val="333333"/>
          <w:sz w:val="18"/>
          <w:shd w:val="clear" w:color="auto" w:fill="FFFFFF"/>
        </w:rPr>
        <w:t>.</w:t>
      </w:r>
    </w:p>
  </w:footnote>
  <w:footnote w:id="89">
    <w:p w14:paraId="138F9533" w14:textId="77777777" w:rsidR="008F6AC1" w:rsidRPr="00BC60FC" w:rsidRDefault="008F6AC1" w:rsidP="008F6AC1">
      <w:pPr>
        <w:pStyle w:val="FootnoteText"/>
      </w:pPr>
      <w:r>
        <w:rPr>
          <w:rStyle w:val="FootnoteReference"/>
        </w:rPr>
        <w:footnoteRef/>
      </w:r>
      <w:r w:rsidRPr="00BC60FC">
        <w:tab/>
        <w:t>ΔΠ = Διαχωριζόμενες πιστώσεις / ΜΔΠ = Μη διαχωριζόμενες πιστώσεις.</w:t>
      </w:r>
    </w:p>
  </w:footnote>
  <w:footnote w:id="90">
    <w:p w14:paraId="065B8BAA" w14:textId="77777777" w:rsidR="008F6AC1" w:rsidRPr="00BC60FC" w:rsidRDefault="008F6AC1" w:rsidP="008F6AC1">
      <w:pPr>
        <w:pStyle w:val="FootnoteText"/>
      </w:pPr>
      <w:r>
        <w:rPr>
          <w:rStyle w:val="FootnoteReference"/>
        </w:rPr>
        <w:footnoteRef/>
      </w:r>
      <w:r w:rsidRPr="00BC60FC">
        <w:tab/>
        <w:t xml:space="preserve">ΕΖΕΣ: Ευρωπαϊκή Ζώνη Ελεύθερων Συναλλαγών. </w:t>
      </w:r>
    </w:p>
  </w:footnote>
  <w:footnote w:id="91">
    <w:p w14:paraId="0109ACD6" w14:textId="77777777" w:rsidR="008F6AC1" w:rsidRPr="00BC60FC" w:rsidRDefault="008F6AC1" w:rsidP="008F6AC1">
      <w:pPr>
        <w:pStyle w:val="FootnoteText"/>
        <w:rPr>
          <w:szCs w:val="24"/>
        </w:rPr>
      </w:pPr>
      <w:r>
        <w:rPr>
          <w:rStyle w:val="FootnoteReference"/>
        </w:rPr>
        <w:footnoteRef/>
      </w:r>
      <w:r w:rsidRPr="00BC60FC">
        <w:tab/>
        <w:t>Υποψήφιες χώρες και, κατά περίπτωση, δυνάμει υποψήφια μέλη της ΕΕ από τα Δυτικά Βαλκάνια.</w:t>
      </w:r>
    </w:p>
  </w:footnote>
  <w:footnote w:id="92">
    <w:p w14:paraId="6B384A6F" w14:textId="77777777" w:rsidR="008F6AC1" w:rsidRPr="00BC60FC" w:rsidRDefault="008F6AC1" w:rsidP="008F6AC1">
      <w:pPr>
        <w:pStyle w:val="FootnoteText"/>
        <w:rPr>
          <w:szCs w:val="24"/>
        </w:rPr>
      </w:pPr>
      <w:r>
        <w:rPr>
          <w:rStyle w:val="FootnoteReference"/>
        </w:rPr>
        <w:footnoteRef/>
      </w:r>
      <w:r w:rsidRPr="00BC60FC">
        <w:tab/>
        <w:t>Τα αποτελέσματα είναι τα προϊόντα και οι υπηρεσίες που θα παρασχεθούν (π.χ.: αριθμός ανταλλαγών φοιτητών που θα χρηματοδοτηθούν, αριθμός χλμ. οδών που θα κατασκευαστούν κ.λπ.).</w:t>
      </w:r>
    </w:p>
  </w:footnote>
  <w:footnote w:id="93">
    <w:p w14:paraId="698C631C" w14:textId="77777777" w:rsidR="008F6AC1" w:rsidRPr="00BC60FC" w:rsidRDefault="008F6AC1" w:rsidP="008F6AC1">
      <w:pPr>
        <w:pStyle w:val="FootnoteText"/>
        <w:rPr>
          <w:szCs w:val="24"/>
        </w:rPr>
      </w:pPr>
      <w:r>
        <w:rPr>
          <w:rStyle w:val="FootnoteReference"/>
        </w:rPr>
        <w:footnoteRef/>
      </w:r>
      <w:r w:rsidRPr="00BC60FC">
        <w:tab/>
        <w:t>Τα αποτελέσματα είναι τα προϊόντα και οι υπηρεσίες που θα παρασχεθούν (π.χ.: αριθμός ανταλλαγών φοιτητών που θα χρηματοδοτηθούν, αριθμός χλμ. οδών που θα κατασκευαστούν κ.λπ.).</w:t>
      </w:r>
    </w:p>
  </w:footnote>
  <w:footnote w:id="94">
    <w:p w14:paraId="49C30602" w14:textId="77777777" w:rsidR="008F6AC1" w:rsidRPr="00BC60FC" w:rsidRDefault="008F6AC1" w:rsidP="008F6AC1">
      <w:pPr>
        <w:pStyle w:val="FootnoteText"/>
      </w:pPr>
      <w:r>
        <w:rPr>
          <w:rStyle w:val="FootnoteReference"/>
        </w:rPr>
        <w:footnoteRef/>
      </w:r>
      <w:r w:rsidRPr="00BC60FC">
        <w:tab/>
        <w:t>Ενδέχεται ορισμένες θέσεις γραμματείας να ανήκουν στην κατηγορία των έκτακτων υπαλλήλων (</w:t>
      </w:r>
      <w:r>
        <w:t>AST</w:t>
      </w:r>
      <w:r w:rsidRPr="00BC60FC">
        <w:t>/</w:t>
      </w:r>
      <w:r>
        <w:t>SC</w:t>
      </w:r>
      <w:r w:rsidRPr="00BC60FC">
        <w:t xml:space="preserve">)· ωστόσο, το παρόν νομοθετικό δημοσιονομικό δελτίο καταρτίζεται με βάση την παραδοχή ότι οι εν λόγω θέσεις θα ανήκουν στις κατηγορίες </w:t>
      </w:r>
      <w:r>
        <w:t>CA</w:t>
      </w:r>
      <w:r w:rsidRPr="00BC60FC">
        <w:t>.</w:t>
      </w:r>
    </w:p>
  </w:footnote>
  <w:footnote w:id="95">
    <w:p w14:paraId="59CA5696" w14:textId="77777777" w:rsidR="008F6AC1" w:rsidRPr="00BC60FC" w:rsidRDefault="008F6AC1" w:rsidP="008F6AC1">
      <w:pPr>
        <w:pStyle w:val="FootnoteText"/>
      </w:pPr>
      <w:r>
        <w:rPr>
          <w:rStyle w:val="FootnoteReference"/>
        </w:rPr>
        <w:footnoteRef/>
      </w:r>
      <w:r w:rsidRPr="00BC60FC">
        <w:tab/>
      </w:r>
      <w:r>
        <w:t>AC</w:t>
      </w:r>
      <w:r w:rsidRPr="00BC60FC">
        <w:t xml:space="preserve"> = Συμβασιούχος υπάλληλος· </w:t>
      </w:r>
      <w:r>
        <w:t>AL</w:t>
      </w:r>
      <w:r w:rsidRPr="00BC60FC">
        <w:t xml:space="preserve"> = Τοπικός υπάλληλος· </w:t>
      </w:r>
      <w:r>
        <w:t>END</w:t>
      </w:r>
      <w:r w:rsidRPr="00BC60FC">
        <w:t xml:space="preserve"> = Αποσπασμένος εθνικός εμπειρογνώμονας· </w:t>
      </w:r>
      <w:r>
        <w:t>INT</w:t>
      </w:r>
      <w:r w:rsidRPr="00BC60FC">
        <w:t xml:space="preserve"> = Προσωρινό προσωπικό· </w:t>
      </w:r>
      <w:r>
        <w:t>JPD</w:t>
      </w:r>
      <w:r w:rsidRPr="00BC60FC">
        <w:t xml:space="preserve"> =</w:t>
      </w:r>
      <w:r>
        <w:t> </w:t>
      </w:r>
      <w:r w:rsidRPr="00BC60FC">
        <w:t xml:space="preserve">Νέος επαγγελματίας σε αντιπροσωπεία της ΕΕ. </w:t>
      </w:r>
    </w:p>
  </w:footnote>
  <w:footnote w:id="96">
    <w:p w14:paraId="4268ACDB" w14:textId="77777777" w:rsidR="008F6AC1" w:rsidRPr="00BC60FC" w:rsidRDefault="008F6AC1" w:rsidP="008F6AC1">
      <w:pPr>
        <w:pStyle w:val="FootnoteText"/>
      </w:pPr>
      <w:r>
        <w:rPr>
          <w:rStyle w:val="FootnoteReference"/>
        </w:rPr>
        <w:footnoteRef/>
      </w:r>
      <w:r w:rsidRPr="00BC60FC">
        <w:tab/>
        <w:t>Επιμέρους ανώτατο όριο εξωτερικού προσωπικού που καλύπτεται από επιχειρησιακές πιστώσεις (πρώην γραμμές «</w:t>
      </w:r>
      <w:r>
        <w:t>BA</w:t>
      </w:r>
      <w:r w:rsidRPr="00BC60FC">
        <w:t>»).</w:t>
      </w:r>
    </w:p>
  </w:footnote>
  <w:footnote w:id="97">
    <w:p w14:paraId="44BC2AC5" w14:textId="77777777" w:rsidR="008F6AC1" w:rsidRPr="00BC60FC" w:rsidRDefault="008F6AC1" w:rsidP="008F6AC1">
      <w:pPr>
        <w:pStyle w:val="FootnoteText"/>
      </w:pPr>
      <w:r>
        <w:rPr>
          <w:rStyle w:val="FootnoteReference"/>
        </w:rPr>
        <w:footnoteRef/>
      </w:r>
      <w:r w:rsidRPr="00BC60FC">
        <w:tab/>
        <w:t>Κυρίως για τα ταμεία πολιτικής συνοχής της ΕΕ, το Ευρωπαϊκό Γεωργικό Ταμείο Αγροτικής Ανάπτυξης (ΕΓΤΑΑ) και το Ευρωπαϊκό Ταμείο Θάλασσας, Αλιείας και Υδατοκαλλιέργειας (ΕΤΘΑΥ).</w:t>
      </w:r>
    </w:p>
  </w:footnote>
  <w:footnote w:id="98">
    <w:p w14:paraId="01C19FE9" w14:textId="77777777" w:rsidR="008F6AC1" w:rsidRPr="00BC60FC" w:rsidRDefault="008F6AC1" w:rsidP="008F6AC1">
      <w:pPr>
        <w:pStyle w:val="FootnoteText"/>
      </w:pPr>
      <w:r>
        <w:rPr>
          <w:rStyle w:val="FootnoteReference"/>
        </w:rPr>
        <w:footnoteRef/>
      </w:r>
      <w:r w:rsidRPr="00BC60FC">
        <w:tab/>
        <w:t>Βλ.</w:t>
      </w:r>
      <w:r>
        <w:t> </w:t>
      </w:r>
      <w:r w:rsidRPr="00BC60FC">
        <w:t>άρθρα</w:t>
      </w:r>
      <w:r>
        <w:t> </w:t>
      </w:r>
      <w:r w:rsidRPr="00BC60FC">
        <w:t>12 και 13 του κανονισμού (ΕΕ, Ευρατόμ) αριθ.</w:t>
      </w:r>
      <w:r>
        <w:t> </w:t>
      </w:r>
      <w:r w:rsidRPr="00BC60FC">
        <w:t>2093/2020 του Συμβουλίου, της 17ης</w:t>
      </w:r>
      <w:r>
        <w:t> </w:t>
      </w:r>
      <w:r w:rsidRPr="00BC60FC">
        <w:t>Δεκεμβρίου</w:t>
      </w:r>
      <w:r>
        <w:t> </w:t>
      </w:r>
      <w:r w:rsidRPr="00BC60FC">
        <w:t>2020, για τον καθορισμό του πολυετούς δημοσιονομικού πλαισίου για την περίοδο 2021 έως 2027.</w:t>
      </w:r>
    </w:p>
  </w:footnote>
  <w:footnote w:id="99">
    <w:p w14:paraId="7C206709" w14:textId="77777777" w:rsidR="008F6AC1" w:rsidRPr="00BC60FC" w:rsidRDefault="008F6AC1" w:rsidP="008F6AC1">
      <w:pPr>
        <w:pStyle w:val="FootnoteText"/>
        <w:rPr>
          <w:szCs w:val="24"/>
        </w:rPr>
      </w:pPr>
      <w:r>
        <w:rPr>
          <w:rStyle w:val="FootnoteReference"/>
        </w:rPr>
        <w:footnoteRef/>
      </w:r>
      <w:r w:rsidRPr="00BC60FC">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20</w:t>
      </w:r>
      <w:r>
        <w:t> </w:t>
      </w:r>
      <w:r w:rsidRPr="00BC60FC">
        <w:t>% για έξοδα είσπραξης.</w:t>
      </w:r>
    </w:p>
  </w:footnote>
  <w:footnote w:id="100">
    <w:p w14:paraId="021DC9B9" w14:textId="77777777" w:rsidR="008F6AC1" w:rsidRPr="00BC60FC" w:rsidRDefault="008F6AC1" w:rsidP="008F6AC1">
      <w:pPr>
        <w:pStyle w:val="FootnoteText"/>
      </w:pPr>
      <w:r>
        <w:rPr>
          <w:rStyle w:val="FootnoteReference"/>
        </w:rPr>
        <w:footnoteRef/>
      </w:r>
      <w:r w:rsidRPr="00BC60FC">
        <w:tab/>
        <w:t>Οι παραδοχές που χρησιμοποιούνται για την κατάρτιση αυτών των εκτιμήσεων περιγράφονται λεπτομερώς στην εκτίμηση των επιπτώσεων και στα παραρτήματά της.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8AE3" w14:textId="77777777" w:rsidR="00483F7D" w:rsidRPr="00483F7D" w:rsidRDefault="00483F7D" w:rsidP="00483F7D">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7366" w14:textId="77777777" w:rsidR="00483F7D" w:rsidRPr="00483F7D" w:rsidRDefault="00483F7D" w:rsidP="00483F7D">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DB5B4" w14:textId="77777777" w:rsidR="00483F7D" w:rsidRPr="00483F7D" w:rsidRDefault="00483F7D" w:rsidP="00483F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43CA" w14:textId="77777777" w:rsidR="00483F7D" w:rsidRPr="00483F7D" w:rsidRDefault="00483F7D" w:rsidP="00483F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287DF" w14:textId="77777777" w:rsidR="00483F7D" w:rsidRPr="00483F7D" w:rsidRDefault="00483F7D" w:rsidP="00483F7D">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B76F" w14:textId="77777777" w:rsidR="00483F7D" w:rsidRPr="00483F7D" w:rsidRDefault="00483F7D" w:rsidP="00483F7D">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BF0E" w14:textId="77777777" w:rsidR="00483F7D" w:rsidRPr="00483F7D" w:rsidRDefault="00483F7D" w:rsidP="00483F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D932" w14:textId="77777777" w:rsidR="00483F7D" w:rsidRPr="00483F7D" w:rsidRDefault="00483F7D" w:rsidP="00483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14AD794"/>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C1D6AA7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7CAA6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3663B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6CD6C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7"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D866739"/>
    <w:multiLevelType w:val="multilevel"/>
    <w:tmpl w:val="8B6C190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8C3B69"/>
    <w:multiLevelType w:val="multilevel"/>
    <w:tmpl w:val="A9AA89E0"/>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1"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3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5"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29623449">
    <w:abstractNumId w:val="4"/>
  </w:num>
  <w:num w:numId="2" w16cid:durableId="211308317">
    <w:abstractNumId w:val="3"/>
  </w:num>
  <w:num w:numId="3" w16cid:durableId="1957176544">
    <w:abstractNumId w:val="2"/>
  </w:num>
  <w:num w:numId="4" w16cid:durableId="1320570849">
    <w:abstractNumId w:val="1"/>
  </w:num>
  <w:num w:numId="5" w16cid:durableId="681275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5152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6178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8720977">
    <w:abstractNumId w:val="20"/>
    <w:lvlOverride w:ilvl="0">
      <w:startOverride w:val="1"/>
    </w:lvlOverride>
  </w:num>
  <w:num w:numId="9" w16cid:durableId="1818835811">
    <w:abstractNumId w:val="20"/>
    <w:lvlOverride w:ilvl="0">
      <w:startOverride w:val="1"/>
    </w:lvlOverride>
  </w:num>
  <w:num w:numId="10" w16cid:durableId="966662279">
    <w:abstractNumId w:val="20"/>
    <w:lvlOverride w:ilvl="0">
      <w:startOverride w:val="1"/>
    </w:lvlOverride>
  </w:num>
  <w:num w:numId="11" w16cid:durableId="1703356122">
    <w:abstractNumId w:val="20"/>
    <w:lvlOverride w:ilvl="0">
      <w:startOverride w:val="1"/>
    </w:lvlOverride>
  </w:num>
  <w:num w:numId="12" w16cid:durableId="1856848184">
    <w:abstractNumId w:val="20"/>
    <w:lvlOverride w:ilvl="0">
      <w:startOverride w:val="1"/>
    </w:lvlOverride>
  </w:num>
  <w:num w:numId="13" w16cid:durableId="1842768189">
    <w:abstractNumId w:val="20"/>
    <w:lvlOverride w:ilvl="0">
      <w:startOverride w:val="1"/>
    </w:lvlOverride>
  </w:num>
  <w:num w:numId="14" w16cid:durableId="719746498">
    <w:abstractNumId w:val="20"/>
    <w:lvlOverride w:ilvl="0">
      <w:startOverride w:val="1"/>
    </w:lvlOverride>
  </w:num>
  <w:num w:numId="15" w16cid:durableId="547306632">
    <w:abstractNumId w:val="20"/>
    <w:lvlOverride w:ilvl="0">
      <w:startOverride w:val="1"/>
    </w:lvlOverride>
  </w:num>
  <w:num w:numId="16" w16cid:durableId="19655002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9845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930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0067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5683855">
    <w:abstractNumId w:val="20"/>
    <w:lvlOverride w:ilvl="0">
      <w:startOverride w:val="1"/>
    </w:lvlOverride>
  </w:num>
  <w:num w:numId="21" w16cid:durableId="2001495548">
    <w:abstractNumId w:val="36"/>
    <w:lvlOverride w:ilvl="0">
      <w:startOverride w:val="1"/>
    </w:lvlOverride>
  </w:num>
  <w:num w:numId="22" w16cid:durableId="1124034000">
    <w:abstractNumId w:val="17"/>
    <w:lvlOverride w:ilvl="0">
      <w:startOverride w:val="1"/>
    </w:lvlOverride>
  </w:num>
  <w:num w:numId="23" w16cid:durableId="2576401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369349">
    <w:abstractNumId w:val="5"/>
  </w:num>
  <w:num w:numId="25" w16cid:durableId="474495947">
    <w:abstractNumId w:val="13"/>
  </w:num>
  <w:num w:numId="26" w16cid:durableId="492378812">
    <w:abstractNumId w:val="22"/>
  </w:num>
  <w:num w:numId="27" w16cid:durableId="800657511">
    <w:abstractNumId w:val="21"/>
  </w:num>
  <w:num w:numId="28" w16cid:durableId="1573853506">
    <w:abstractNumId w:val="35"/>
  </w:num>
  <w:num w:numId="29" w16cid:durableId="1445468067">
    <w:abstractNumId w:val="6"/>
  </w:num>
  <w:num w:numId="30" w16cid:durableId="2016570340">
    <w:abstractNumId w:val="15"/>
  </w:num>
  <w:num w:numId="31" w16cid:durableId="326173073">
    <w:abstractNumId w:val="7"/>
  </w:num>
  <w:num w:numId="32" w16cid:durableId="1145927598">
    <w:abstractNumId w:val="16"/>
  </w:num>
  <w:num w:numId="33" w16cid:durableId="471752744">
    <w:abstractNumId w:val="14"/>
  </w:num>
  <w:num w:numId="34" w16cid:durableId="637688699">
    <w:abstractNumId w:val="23"/>
  </w:num>
  <w:num w:numId="35" w16cid:durableId="853886186">
    <w:abstractNumId w:val="0"/>
  </w:num>
  <w:num w:numId="36" w16cid:durableId="1468275909">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07736983">
    <w:abstractNumId w:val="34"/>
  </w:num>
  <w:num w:numId="38" w16cid:durableId="727916442">
    <w:abstractNumId w:val="31"/>
  </w:num>
  <w:num w:numId="39" w16cid:durableId="2006976379">
    <w:abstractNumId w:val="25"/>
  </w:num>
  <w:num w:numId="40" w16cid:durableId="2046439032">
    <w:abstractNumId w:val="30"/>
  </w:num>
  <w:num w:numId="41" w16cid:durableId="1303774465">
    <w:abstractNumId w:val="9"/>
  </w:num>
  <w:num w:numId="42" w16cid:durableId="1434130450">
    <w:abstractNumId w:val="0"/>
    <w:lvlOverride w:ilvl="0">
      <w:startOverride w:val="1"/>
    </w:lvlOverride>
  </w:num>
  <w:num w:numId="43" w16cid:durableId="1555192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688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2102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27481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99174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1520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4956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21443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153213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22041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69144868">
    <w:abstractNumId w:val="28"/>
  </w:num>
  <w:num w:numId="54" w16cid:durableId="1451164842">
    <w:abstractNumId w:val="17"/>
  </w:num>
  <w:num w:numId="55" w16cid:durableId="683020076">
    <w:abstractNumId w:val="33"/>
  </w:num>
  <w:num w:numId="56" w16cid:durableId="1879395743">
    <w:abstractNumId w:val="12"/>
  </w:num>
  <w:num w:numId="57" w16cid:durableId="334500124">
    <w:abstractNumId w:val="18"/>
  </w:num>
  <w:num w:numId="58" w16cid:durableId="1506700632">
    <w:abstractNumId w:val="19"/>
  </w:num>
  <w:num w:numId="59" w16cid:durableId="628508843">
    <w:abstractNumId w:val="10"/>
  </w:num>
  <w:num w:numId="60" w16cid:durableId="780494299">
    <w:abstractNumId w:val="32"/>
  </w:num>
  <w:num w:numId="61" w16cid:durableId="606694061">
    <w:abstractNumId w:val="8"/>
  </w:num>
  <w:num w:numId="62" w16cid:durableId="1094713603">
    <w:abstractNumId w:val="20"/>
  </w:num>
  <w:num w:numId="63" w16cid:durableId="360983189">
    <w:abstractNumId w:val="26"/>
  </w:num>
  <w:num w:numId="64" w16cid:durableId="2058510533">
    <w:abstractNumId w:val="27"/>
  </w:num>
  <w:num w:numId="65" w16cid:durableId="1618218712">
    <w:abstractNumId w:val="11"/>
  </w:num>
  <w:num w:numId="66" w16cid:durableId="1603686936">
    <w:abstractNumId w:val="24"/>
  </w:num>
  <w:num w:numId="67" w16cid:durableId="1215388805">
    <w:abstractNumId w:val="3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9-06 17:05:1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30303"/>
    <w:docVar w:name="LW_CORRIGENDUM" w:val="&lt;UNUSED&gt;"/>
    <w:docVar w:name="LW_COVERPAGE_EXISTS" w:val="True"/>
    <w:docVar w:name="LW_COVERPAGE_GUID" w:val="1ACF2221-8D12-4972-942D-95713A40591F"/>
    <w:docVar w:name="LW_COVERPAGE_TYPE" w:val="1"/>
    <w:docVar w:name="LW_CROSSREFERENCE" w:val="{SEC(2023) 198}_x000a_{SWD(2023) 140}_x000a_{SWD(2023) 141}"/>
    <w:docVar w:name="LW_DocType" w:val="COM"/>
    <w:docVar w:name="LW_EMISSION" w:val="17.5.2023"/>
    <w:docVar w:name="LW_EMISSION_ISODATE" w:val="2023-05-17"/>
    <w:docVar w:name="LW_EMISSION_LOCATION" w:val="BRX"/>
    <w:docVar w:name="LW_EMISSION_PREFIX" w:val="\u914?\u961?\u965?\u958?\u941?\u955?\u955?\u949?\u962?, "/>
    <w:docVar w:name="LW_EMISSION_SUFFIX" w:val=" "/>
    <w:docVar w:name="LW_ID_DOCSIGNATURE" w:val="SJ-023"/>
    <w:docVar w:name="LW_ID_DOCSTRUCTURE" w:val="COM/PL/ORG"/>
    <w:docVar w:name="LW_ID_DOCTYPE" w:val="SJ-023"/>
    <w:docVar w:name="LW_ID_STATUT" w:val="SJ-023"/>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156"/>
    <w:docVar w:name="LW_REF.II.NEW.CP_YEAR" w:val="2023"/>
    <w:docVar w:name="LW_REF.INST.NEW" w:val="COM"/>
    <w:docVar w:name="LW_REF.INST.NEW_ADOPTED" w:val="&lt;EMPTY&gt;"/>
    <w:docVar w:name="LW_REF.INST.NEW_TEXT" w:val="(2023) 258 final"/>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 \u952?\u941?\u963?\u960?\u953?\u963?\u951? \u964?\u959?\u965? \u949?\u957?\u969?\u963?\u953?\u945?\u954?\u959?\u973? \u964?\u949?\u955?\u969?\u957?\u949?\u953?\u945?\u954?\u959?\u973? \u954?\u974?\u948?\u953?\u954?\u945? \u954?\u945?\u953? \u964?\u951?\u962? T\u949?\u955?\u969?\u957?\u949?\u953?\u945?\u954?\u942?\u962? A\u961?\u967?\u942?\u962? \u964?\u951?\u962? \u917?\u965?\u961?\u969?\u960?\u945?\u970?\u954?\u942?\u962? \u904?\u957?\u969?\u963?\u951?\u962?, \u954?\u945?\u953? \u947?\u953?\u945? \u964?\u951?\u957? \u954?\u945?\u964?\u940?\u961?\u947?\u951?\u963?\u951? \u964?\u959?\u965? \u954?\u945?\u957?\u959?\u957?\u953?\u963?\u956?\u959?\u973? (\u917?\u917?) \u945?\u961?\u953?\u952?. 952/2013"/>
    <w:docVar w:name="LW_TYPE.DOC.CP" w:val="\u922?\u913?\u925?\u927?\u925?\u921?\u931?\u924?\u927?\u931? \u932?\u927?\u933? \u917?\u933?\u929?\u937?\u928?\u913?\u938?\u922?\u927?\u933? \u922?\u927?\u921?\u925?\u927?\u914?\u927?\u933?\u923?\u921?\u927?\u933? \u922?\u913?\u921? \u932?\u927?\u933? \u931?\u933?\u924?\u914?\u927?\u933?\u923?\u921?\u927?\u933?"/>
  </w:docVars>
  <w:rsids>
    <w:rsidRoot w:val="0029533F"/>
    <w:rsid w:val="00000215"/>
    <w:rsid w:val="000006A9"/>
    <w:rsid w:val="00000B52"/>
    <w:rsid w:val="00000EDF"/>
    <w:rsid w:val="00001079"/>
    <w:rsid w:val="00001275"/>
    <w:rsid w:val="000015C3"/>
    <w:rsid w:val="00001950"/>
    <w:rsid w:val="000023A8"/>
    <w:rsid w:val="00002580"/>
    <w:rsid w:val="0000262C"/>
    <w:rsid w:val="0000311A"/>
    <w:rsid w:val="000032F2"/>
    <w:rsid w:val="00004131"/>
    <w:rsid w:val="00004712"/>
    <w:rsid w:val="00005F8C"/>
    <w:rsid w:val="000061F3"/>
    <w:rsid w:val="00006C71"/>
    <w:rsid w:val="00006CAC"/>
    <w:rsid w:val="00006D29"/>
    <w:rsid w:val="00007144"/>
    <w:rsid w:val="000071B7"/>
    <w:rsid w:val="00011D68"/>
    <w:rsid w:val="00012A79"/>
    <w:rsid w:val="00012DC9"/>
    <w:rsid w:val="000134CD"/>
    <w:rsid w:val="000135E2"/>
    <w:rsid w:val="00014E95"/>
    <w:rsid w:val="000150F4"/>
    <w:rsid w:val="000152C7"/>
    <w:rsid w:val="0001542E"/>
    <w:rsid w:val="000162CD"/>
    <w:rsid w:val="00016647"/>
    <w:rsid w:val="000166F1"/>
    <w:rsid w:val="00016913"/>
    <w:rsid w:val="00016C96"/>
    <w:rsid w:val="00017398"/>
    <w:rsid w:val="00017ACF"/>
    <w:rsid w:val="00017D4D"/>
    <w:rsid w:val="00020C3D"/>
    <w:rsid w:val="0002116E"/>
    <w:rsid w:val="0002140E"/>
    <w:rsid w:val="000216E3"/>
    <w:rsid w:val="000221DE"/>
    <w:rsid w:val="000223A0"/>
    <w:rsid w:val="00022FD5"/>
    <w:rsid w:val="000235DA"/>
    <w:rsid w:val="00023893"/>
    <w:rsid w:val="00023C66"/>
    <w:rsid w:val="0002478C"/>
    <w:rsid w:val="0002494B"/>
    <w:rsid w:val="00024E72"/>
    <w:rsid w:val="000259CC"/>
    <w:rsid w:val="00025ED3"/>
    <w:rsid w:val="00026F4F"/>
    <w:rsid w:val="0002756C"/>
    <w:rsid w:val="000276AE"/>
    <w:rsid w:val="000277F8"/>
    <w:rsid w:val="0002784A"/>
    <w:rsid w:val="00027884"/>
    <w:rsid w:val="000304F3"/>
    <w:rsid w:val="00030EF5"/>
    <w:rsid w:val="00031056"/>
    <w:rsid w:val="00031DBC"/>
    <w:rsid w:val="000320B4"/>
    <w:rsid w:val="0003408B"/>
    <w:rsid w:val="00034C2C"/>
    <w:rsid w:val="00035441"/>
    <w:rsid w:val="00035845"/>
    <w:rsid w:val="00036017"/>
    <w:rsid w:val="0003668B"/>
    <w:rsid w:val="00036839"/>
    <w:rsid w:val="00036E96"/>
    <w:rsid w:val="00037E3A"/>
    <w:rsid w:val="00041756"/>
    <w:rsid w:val="000419F5"/>
    <w:rsid w:val="00042BA3"/>
    <w:rsid w:val="0004313A"/>
    <w:rsid w:val="00043C3F"/>
    <w:rsid w:val="00044520"/>
    <w:rsid w:val="000449D0"/>
    <w:rsid w:val="00044A59"/>
    <w:rsid w:val="00044C40"/>
    <w:rsid w:val="00044C65"/>
    <w:rsid w:val="0004537A"/>
    <w:rsid w:val="00046071"/>
    <w:rsid w:val="00046786"/>
    <w:rsid w:val="000469F5"/>
    <w:rsid w:val="00046C0C"/>
    <w:rsid w:val="0004707D"/>
    <w:rsid w:val="000503E2"/>
    <w:rsid w:val="00050F95"/>
    <w:rsid w:val="00051309"/>
    <w:rsid w:val="0005152A"/>
    <w:rsid w:val="000520DE"/>
    <w:rsid w:val="00052754"/>
    <w:rsid w:val="000544DB"/>
    <w:rsid w:val="000550C2"/>
    <w:rsid w:val="00057829"/>
    <w:rsid w:val="0006097A"/>
    <w:rsid w:val="00060C64"/>
    <w:rsid w:val="00060CC3"/>
    <w:rsid w:val="00062514"/>
    <w:rsid w:val="00062C83"/>
    <w:rsid w:val="0006406F"/>
    <w:rsid w:val="000642ED"/>
    <w:rsid w:val="0006557E"/>
    <w:rsid w:val="00065CDB"/>
    <w:rsid w:val="00066241"/>
    <w:rsid w:val="000665F1"/>
    <w:rsid w:val="00067E25"/>
    <w:rsid w:val="000703D4"/>
    <w:rsid w:val="0007047B"/>
    <w:rsid w:val="00070562"/>
    <w:rsid w:val="00071AD5"/>
    <w:rsid w:val="00071B13"/>
    <w:rsid w:val="00071FF9"/>
    <w:rsid w:val="00072314"/>
    <w:rsid w:val="000726EB"/>
    <w:rsid w:val="00072EF6"/>
    <w:rsid w:val="0007309D"/>
    <w:rsid w:val="00073D7A"/>
    <w:rsid w:val="00073D85"/>
    <w:rsid w:val="000748AD"/>
    <w:rsid w:val="00075147"/>
    <w:rsid w:val="00076305"/>
    <w:rsid w:val="000768CB"/>
    <w:rsid w:val="000768DE"/>
    <w:rsid w:val="00076FCB"/>
    <w:rsid w:val="00077294"/>
    <w:rsid w:val="000772CD"/>
    <w:rsid w:val="000773B8"/>
    <w:rsid w:val="00077CFA"/>
    <w:rsid w:val="00077E9B"/>
    <w:rsid w:val="000802B6"/>
    <w:rsid w:val="000802CA"/>
    <w:rsid w:val="0008083A"/>
    <w:rsid w:val="00080875"/>
    <w:rsid w:val="00081245"/>
    <w:rsid w:val="00081588"/>
    <w:rsid w:val="000821EB"/>
    <w:rsid w:val="00083145"/>
    <w:rsid w:val="000835C4"/>
    <w:rsid w:val="00084793"/>
    <w:rsid w:val="00084F35"/>
    <w:rsid w:val="00085361"/>
    <w:rsid w:val="00085F2D"/>
    <w:rsid w:val="00085F32"/>
    <w:rsid w:val="00085F71"/>
    <w:rsid w:val="000867A0"/>
    <w:rsid w:val="00086B9A"/>
    <w:rsid w:val="00086C08"/>
    <w:rsid w:val="0008756E"/>
    <w:rsid w:val="00087950"/>
    <w:rsid w:val="00087D0A"/>
    <w:rsid w:val="00087FF7"/>
    <w:rsid w:val="0009049C"/>
    <w:rsid w:val="00090C0A"/>
    <w:rsid w:val="00090CCF"/>
    <w:rsid w:val="0009175B"/>
    <w:rsid w:val="000924F6"/>
    <w:rsid w:val="0009269B"/>
    <w:rsid w:val="00092DC3"/>
    <w:rsid w:val="00093534"/>
    <w:rsid w:val="000941A5"/>
    <w:rsid w:val="0009432F"/>
    <w:rsid w:val="000945E8"/>
    <w:rsid w:val="00094814"/>
    <w:rsid w:val="00094A51"/>
    <w:rsid w:val="00094ACA"/>
    <w:rsid w:val="00095A54"/>
    <w:rsid w:val="00095D9E"/>
    <w:rsid w:val="00095F53"/>
    <w:rsid w:val="00096114"/>
    <w:rsid w:val="000968A3"/>
    <w:rsid w:val="00096DBE"/>
    <w:rsid w:val="000977B5"/>
    <w:rsid w:val="000A12E0"/>
    <w:rsid w:val="000A16A3"/>
    <w:rsid w:val="000A3BCF"/>
    <w:rsid w:val="000A4134"/>
    <w:rsid w:val="000A41EF"/>
    <w:rsid w:val="000A46DF"/>
    <w:rsid w:val="000A4C33"/>
    <w:rsid w:val="000A536B"/>
    <w:rsid w:val="000A54C6"/>
    <w:rsid w:val="000A55D6"/>
    <w:rsid w:val="000A5A1C"/>
    <w:rsid w:val="000A6681"/>
    <w:rsid w:val="000A713E"/>
    <w:rsid w:val="000B016F"/>
    <w:rsid w:val="000B11D2"/>
    <w:rsid w:val="000B1342"/>
    <w:rsid w:val="000B16F3"/>
    <w:rsid w:val="000B1713"/>
    <w:rsid w:val="000B18C4"/>
    <w:rsid w:val="000B1E1F"/>
    <w:rsid w:val="000B256F"/>
    <w:rsid w:val="000B259E"/>
    <w:rsid w:val="000B30BF"/>
    <w:rsid w:val="000B33D1"/>
    <w:rsid w:val="000B4817"/>
    <w:rsid w:val="000B49A6"/>
    <w:rsid w:val="000B4E96"/>
    <w:rsid w:val="000B52E2"/>
    <w:rsid w:val="000B56C6"/>
    <w:rsid w:val="000B59F0"/>
    <w:rsid w:val="000B6336"/>
    <w:rsid w:val="000B6AB1"/>
    <w:rsid w:val="000B6D48"/>
    <w:rsid w:val="000B79D4"/>
    <w:rsid w:val="000C0170"/>
    <w:rsid w:val="000C057D"/>
    <w:rsid w:val="000C05C3"/>
    <w:rsid w:val="000C0CEE"/>
    <w:rsid w:val="000C0F1E"/>
    <w:rsid w:val="000C10C0"/>
    <w:rsid w:val="000C10DA"/>
    <w:rsid w:val="000C1230"/>
    <w:rsid w:val="000C13AF"/>
    <w:rsid w:val="000C1F72"/>
    <w:rsid w:val="000C2148"/>
    <w:rsid w:val="000C2451"/>
    <w:rsid w:val="000C4ACE"/>
    <w:rsid w:val="000C5896"/>
    <w:rsid w:val="000C5B23"/>
    <w:rsid w:val="000C5F3F"/>
    <w:rsid w:val="000C60CE"/>
    <w:rsid w:val="000C66D8"/>
    <w:rsid w:val="000C6927"/>
    <w:rsid w:val="000C6E62"/>
    <w:rsid w:val="000C7EB6"/>
    <w:rsid w:val="000D04CB"/>
    <w:rsid w:val="000D07D4"/>
    <w:rsid w:val="000D142E"/>
    <w:rsid w:val="000D1732"/>
    <w:rsid w:val="000D21A2"/>
    <w:rsid w:val="000D24F0"/>
    <w:rsid w:val="000D2A74"/>
    <w:rsid w:val="000D33D9"/>
    <w:rsid w:val="000D3FEF"/>
    <w:rsid w:val="000D4E74"/>
    <w:rsid w:val="000D4ECE"/>
    <w:rsid w:val="000D6B29"/>
    <w:rsid w:val="000D6B43"/>
    <w:rsid w:val="000D6DBC"/>
    <w:rsid w:val="000D7B67"/>
    <w:rsid w:val="000E0641"/>
    <w:rsid w:val="000E0952"/>
    <w:rsid w:val="000E0B5E"/>
    <w:rsid w:val="000E1D57"/>
    <w:rsid w:val="000E25BB"/>
    <w:rsid w:val="000E2736"/>
    <w:rsid w:val="000E2C28"/>
    <w:rsid w:val="000E3E6F"/>
    <w:rsid w:val="000E4342"/>
    <w:rsid w:val="000E56F1"/>
    <w:rsid w:val="000E580C"/>
    <w:rsid w:val="000E5AEF"/>
    <w:rsid w:val="000E5FEF"/>
    <w:rsid w:val="000E672B"/>
    <w:rsid w:val="000E700A"/>
    <w:rsid w:val="000E74FA"/>
    <w:rsid w:val="000E77C7"/>
    <w:rsid w:val="000F0263"/>
    <w:rsid w:val="000F0E53"/>
    <w:rsid w:val="000F1A83"/>
    <w:rsid w:val="000F1EE7"/>
    <w:rsid w:val="000F26C7"/>
    <w:rsid w:val="000F2A21"/>
    <w:rsid w:val="000F3326"/>
    <w:rsid w:val="000F3394"/>
    <w:rsid w:val="000F348D"/>
    <w:rsid w:val="000F35D3"/>
    <w:rsid w:val="000F3CCF"/>
    <w:rsid w:val="000F4BFA"/>
    <w:rsid w:val="000F4C18"/>
    <w:rsid w:val="000F538E"/>
    <w:rsid w:val="000F56C6"/>
    <w:rsid w:val="000F5D26"/>
    <w:rsid w:val="000F5D71"/>
    <w:rsid w:val="000F60D2"/>
    <w:rsid w:val="000F6A71"/>
    <w:rsid w:val="000F7609"/>
    <w:rsid w:val="000F7855"/>
    <w:rsid w:val="000F786D"/>
    <w:rsid w:val="000FE2F9"/>
    <w:rsid w:val="001006B0"/>
    <w:rsid w:val="0010095C"/>
    <w:rsid w:val="00100F08"/>
    <w:rsid w:val="0010137C"/>
    <w:rsid w:val="00101484"/>
    <w:rsid w:val="001014DF"/>
    <w:rsid w:val="00101ABA"/>
    <w:rsid w:val="001024A1"/>
    <w:rsid w:val="00103A0B"/>
    <w:rsid w:val="00104AAC"/>
    <w:rsid w:val="00105310"/>
    <w:rsid w:val="001065F5"/>
    <w:rsid w:val="00106656"/>
    <w:rsid w:val="00106D95"/>
    <w:rsid w:val="00107DE9"/>
    <w:rsid w:val="001102AF"/>
    <w:rsid w:val="00110408"/>
    <w:rsid w:val="00110AA1"/>
    <w:rsid w:val="00110DAA"/>
    <w:rsid w:val="00110E37"/>
    <w:rsid w:val="00111C0F"/>
    <w:rsid w:val="00111CFA"/>
    <w:rsid w:val="001129C8"/>
    <w:rsid w:val="00113105"/>
    <w:rsid w:val="00113C61"/>
    <w:rsid w:val="001144ED"/>
    <w:rsid w:val="0011479E"/>
    <w:rsid w:val="0011489B"/>
    <w:rsid w:val="001155F2"/>
    <w:rsid w:val="0011771F"/>
    <w:rsid w:val="00120579"/>
    <w:rsid w:val="00121E99"/>
    <w:rsid w:val="00122037"/>
    <w:rsid w:val="00122D95"/>
    <w:rsid w:val="00122F5B"/>
    <w:rsid w:val="001238EF"/>
    <w:rsid w:val="00123A8E"/>
    <w:rsid w:val="001241DD"/>
    <w:rsid w:val="00124DE0"/>
    <w:rsid w:val="00125D81"/>
    <w:rsid w:val="00125DD1"/>
    <w:rsid w:val="001263D6"/>
    <w:rsid w:val="00126620"/>
    <w:rsid w:val="00126B1C"/>
    <w:rsid w:val="00127017"/>
    <w:rsid w:val="001273A6"/>
    <w:rsid w:val="001276B2"/>
    <w:rsid w:val="0013056D"/>
    <w:rsid w:val="001309DA"/>
    <w:rsid w:val="00130A96"/>
    <w:rsid w:val="00131189"/>
    <w:rsid w:val="00131686"/>
    <w:rsid w:val="00131C8B"/>
    <w:rsid w:val="001320D2"/>
    <w:rsid w:val="0013238A"/>
    <w:rsid w:val="00132AE1"/>
    <w:rsid w:val="00132FE4"/>
    <w:rsid w:val="00133908"/>
    <w:rsid w:val="00133FBB"/>
    <w:rsid w:val="0013405C"/>
    <w:rsid w:val="00134930"/>
    <w:rsid w:val="00134940"/>
    <w:rsid w:val="00134B5E"/>
    <w:rsid w:val="00135406"/>
    <w:rsid w:val="0013563E"/>
    <w:rsid w:val="00135D81"/>
    <w:rsid w:val="00136078"/>
    <w:rsid w:val="00136655"/>
    <w:rsid w:val="00136C2A"/>
    <w:rsid w:val="00136D87"/>
    <w:rsid w:val="00136DF6"/>
    <w:rsid w:val="00137045"/>
    <w:rsid w:val="00137654"/>
    <w:rsid w:val="00137A77"/>
    <w:rsid w:val="00140025"/>
    <w:rsid w:val="001400C4"/>
    <w:rsid w:val="00140118"/>
    <w:rsid w:val="00140475"/>
    <w:rsid w:val="0014071C"/>
    <w:rsid w:val="00140815"/>
    <w:rsid w:val="001410B6"/>
    <w:rsid w:val="001418AB"/>
    <w:rsid w:val="00141B25"/>
    <w:rsid w:val="0014214F"/>
    <w:rsid w:val="00142238"/>
    <w:rsid w:val="00142BEB"/>
    <w:rsid w:val="0014339B"/>
    <w:rsid w:val="001434F7"/>
    <w:rsid w:val="001435D3"/>
    <w:rsid w:val="0014387C"/>
    <w:rsid w:val="001443C7"/>
    <w:rsid w:val="001455D3"/>
    <w:rsid w:val="0014570F"/>
    <w:rsid w:val="00146270"/>
    <w:rsid w:val="00146A3F"/>
    <w:rsid w:val="00147570"/>
    <w:rsid w:val="0015090B"/>
    <w:rsid w:val="00150CFC"/>
    <w:rsid w:val="00150FCD"/>
    <w:rsid w:val="00151938"/>
    <w:rsid w:val="00151A68"/>
    <w:rsid w:val="00151E23"/>
    <w:rsid w:val="00152576"/>
    <w:rsid w:val="00152A29"/>
    <w:rsid w:val="00153375"/>
    <w:rsid w:val="00153606"/>
    <w:rsid w:val="00153EF4"/>
    <w:rsid w:val="00154113"/>
    <w:rsid w:val="001541BD"/>
    <w:rsid w:val="001549D8"/>
    <w:rsid w:val="00156E8F"/>
    <w:rsid w:val="00157143"/>
    <w:rsid w:val="001606A5"/>
    <w:rsid w:val="00160855"/>
    <w:rsid w:val="001610F8"/>
    <w:rsid w:val="00161191"/>
    <w:rsid w:val="00161361"/>
    <w:rsid w:val="00161441"/>
    <w:rsid w:val="001624E6"/>
    <w:rsid w:val="00162E95"/>
    <w:rsid w:val="001635A9"/>
    <w:rsid w:val="00163645"/>
    <w:rsid w:val="00163759"/>
    <w:rsid w:val="00165321"/>
    <w:rsid w:val="00165412"/>
    <w:rsid w:val="0016592B"/>
    <w:rsid w:val="00166262"/>
    <w:rsid w:val="001662F7"/>
    <w:rsid w:val="00166CBD"/>
    <w:rsid w:val="00167BF6"/>
    <w:rsid w:val="00167FC0"/>
    <w:rsid w:val="001701A4"/>
    <w:rsid w:val="001704E1"/>
    <w:rsid w:val="001710F9"/>
    <w:rsid w:val="00171700"/>
    <w:rsid w:val="00171DDB"/>
    <w:rsid w:val="00172C7D"/>
    <w:rsid w:val="00173131"/>
    <w:rsid w:val="00173329"/>
    <w:rsid w:val="00173FF2"/>
    <w:rsid w:val="0017515F"/>
    <w:rsid w:val="00175CC8"/>
    <w:rsid w:val="00176CA7"/>
    <w:rsid w:val="001807A8"/>
    <w:rsid w:val="00180D1D"/>
    <w:rsid w:val="00180D56"/>
    <w:rsid w:val="00181187"/>
    <w:rsid w:val="001812B9"/>
    <w:rsid w:val="00181341"/>
    <w:rsid w:val="00181F63"/>
    <w:rsid w:val="001820A5"/>
    <w:rsid w:val="001824E5"/>
    <w:rsid w:val="00182523"/>
    <w:rsid w:val="00182FC1"/>
    <w:rsid w:val="001830B9"/>
    <w:rsid w:val="00183451"/>
    <w:rsid w:val="001839B8"/>
    <w:rsid w:val="00183BF8"/>
    <w:rsid w:val="00183D71"/>
    <w:rsid w:val="00184122"/>
    <w:rsid w:val="00184C34"/>
    <w:rsid w:val="00184CDA"/>
    <w:rsid w:val="00186476"/>
    <w:rsid w:val="0018677D"/>
    <w:rsid w:val="001869B1"/>
    <w:rsid w:val="00186BA7"/>
    <w:rsid w:val="0018767C"/>
    <w:rsid w:val="0018785D"/>
    <w:rsid w:val="00190343"/>
    <w:rsid w:val="00190511"/>
    <w:rsid w:val="00190BAB"/>
    <w:rsid w:val="00190C7B"/>
    <w:rsid w:val="00191FFD"/>
    <w:rsid w:val="00193423"/>
    <w:rsid w:val="001936EA"/>
    <w:rsid w:val="001937DE"/>
    <w:rsid w:val="0019392C"/>
    <w:rsid w:val="00194082"/>
    <w:rsid w:val="00194881"/>
    <w:rsid w:val="0019488D"/>
    <w:rsid w:val="001957F7"/>
    <w:rsid w:val="00195808"/>
    <w:rsid w:val="00196094"/>
    <w:rsid w:val="0019666F"/>
    <w:rsid w:val="00197613"/>
    <w:rsid w:val="001A062B"/>
    <w:rsid w:val="001A143C"/>
    <w:rsid w:val="001A14BD"/>
    <w:rsid w:val="001A15F4"/>
    <w:rsid w:val="001A1FDF"/>
    <w:rsid w:val="001A325F"/>
    <w:rsid w:val="001A3516"/>
    <w:rsid w:val="001A3598"/>
    <w:rsid w:val="001A3ED9"/>
    <w:rsid w:val="001A3FC9"/>
    <w:rsid w:val="001A4C69"/>
    <w:rsid w:val="001A5691"/>
    <w:rsid w:val="001A5E85"/>
    <w:rsid w:val="001A60A0"/>
    <w:rsid w:val="001A61B6"/>
    <w:rsid w:val="001A6279"/>
    <w:rsid w:val="001A632A"/>
    <w:rsid w:val="001A6E07"/>
    <w:rsid w:val="001A7210"/>
    <w:rsid w:val="001B01C0"/>
    <w:rsid w:val="001B021A"/>
    <w:rsid w:val="001B02F4"/>
    <w:rsid w:val="001B0A0B"/>
    <w:rsid w:val="001B12CB"/>
    <w:rsid w:val="001B1EB7"/>
    <w:rsid w:val="001B2256"/>
    <w:rsid w:val="001B28EA"/>
    <w:rsid w:val="001B2C50"/>
    <w:rsid w:val="001B32A3"/>
    <w:rsid w:val="001B37C0"/>
    <w:rsid w:val="001B44C2"/>
    <w:rsid w:val="001B534F"/>
    <w:rsid w:val="001B5A7A"/>
    <w:rsid w:val="001B6F51"/>
    <w:rsid w:val="001C0E11"/>
    <w:rsid w:val="001C1C12"/>
    <w:rsid w:val="001C2993"/>
    <w:rsid w:val="001C2BD1"/>
    <w:rsid w:val="001C3968"/>
    <w:rsid w:val="001C4C5B"/>
    <w:rsid w:val="001C584C"/>
    <w:rsid w:val="001C68E9"/>
    <w:rsid w:val="001C6C6D"/>
    <w:rsid w:val="001C7C36"/>
    <w:rsid w:val="001D01C0"/>
    <w:rsid w:val="001D03BE"/>
    <w:rsid w:val="001D0912"/>
    <w:rsid w:val="001D1691"/>
    <w:rsid w:val="001D1CFA"/>
    <w:rsid w:val="001D21CE"/>
    <w:rsid w:val="001D21F4"/>
    <w:rsid w:val="001D23B0"/>
    <w:rsid w:val="001D3004"/>
    <w:rsid w:val="001D3F2D"/>
    <w:rsid w:val="001D4028"/>
    <w:rsid w:val="001D440C"/>
    <w:rsid w:val="001D4A00"/>
    <w:rsid w:val="001D4A44"/>
    <w:rsid w:val="001D4C94"/>
    <w:rsid w:val="001D6866"/>
    <w:rsid w:val="001D6E7B"/>
    <w:rsid w:val="001D72B1"/>
    <w:rsid w:val="001D7962"/>
    <w:rsid w:val="001D7A92"/>
    <w:rsid w:val="001D7C3E"/>
    <w:rsid w:val="001D7C83"/>
    <w:rsid w:val="001D7C86"/>
    <w:rsid w:val="001D7E3E"/>
    <w:rsid w:val="001E0120"/>
    <w:rsid w:val="001E019E"/>
    <w:rsid w:val="001E0496"/>
    <w:rsid w:val="001E04B8"/>
    <w:rsid w:val="001E052C"/>
    <w:rsid w:val="001E058D"/>
    <w:rsid w:val="001E1050"/>
    <w:rsid w:val="001E197E"/>
    <w:rsid w:val="001E1B32"/>
    <w:rsid w:val="001E1FAB"/>
    <w:rsid w:val="001E1FBA"/>
    <w:rsid w:val="001E2B12"/>
    <w:rsid w:val="001E2B45"/>
    <w:rsid w:val="001E2CD3"/>
    <w:rsid w:val="001E3C06"/>
    <w:rsid w:val="001E3F84"/>
    <w:rsid w:val="001E404D"/>
    <w:rsid w:val="001E4BBD"/>
    <w:rsid w:val="001E4E41"/>
    <w:rsid w:val="001E6349"/>
    <w:rsid w:val="001E664C"/>
    <w:rsid w:val="001E6C11"/>
    <w:rsid w:val="001E7B60"/>
    <w:rsid w:val="001F0594"/>
    <w:rsid w:val="001F165A"/>
    <w:rsid w:val="001F19A1"/>
    <w:rsid w:val="001F2F47"/>
    <w:rsid w:val="001F31AC"/>
    <w:rsid w:val="001F344B"/>
    <w:rsid w:val="001F48AE"/>
    <w:rsid w:val="001F490F"/>
    <w:rsid w:val="001F4A08"/>
    <w:rsid w:val="001F4B6E"/>
    <w:rsid w:val="001F50DA"/>
    <w:rsid w:val="001F5680"/>
    <w:rsid w:val="001F58AE"/>
    <w:rsid w:val="001F5A24"/>
    <w:rsid w:val="001F65FE"/>
    <w:rsid w:val="001F694F"/>
    <w:rsid w:val="001F6E27"/>
    <w:rsid w:val="001F7869"/>
    <w:rsid w:val="001F7C07"/>
    <w:rsid w:val="002001FB"/>
    <w:rsid w:val="00200599"/>
    <w:rsid w:val="00200651"/>
    <w:rsid w:val="00200951"/>
    <w:rsid w:val="002016FD"/>
    <w:rsid w:val="00201A62"/>
    <w:rsid w:val="002024B3"/>
    <w:rsid w:val="0020254D"/>
    <w:rsid w:val="0020280B"/>
    <w:rsid w:val="00202858"/>
    <w:rsid w:val="00203C9C"/>
    <w:rsid w:val="00204B5E"/>
    <w:rsid w:val="00204C36"/>
    <w:rsid w:val="00205327"/>
    <w:rsid w:val="002053DE"/>
    <w:rsid w:val="00205A97"/>
    <w:rsid w:val="00205BB5"/>
    <w:rsid w:val="00206881"/>
    <w:rsid w:val="00210BB0"/>
    <w:rsid w:val="00210D6B"/>
    <w:rsid w:val="00211A7D"/>
    <w:rsid w:val="00212293"/>
    <w:rsid w:val="002126B5"/>
    <w:rsid w:val="00212815"/>
    <w:rsid w:val="002128EC"/>
    <w:rsid w:val="002128EF"/>
    <w:rsid w:val="002129D8"/>
    <w:rsid w:val="00213BA8"/>
    <w:rsid w:val="00213FBD"/>
    <w:rsid w:val="0021507F"/>
    <w:rsid w:val="00215125"/>
    <w:rsid w:val="002151D0"/>
    <w:rsid w:val="00215909"/>
    <w:rsid w:val="00215DD7"/>
    <w:rsid w:val="002169FD"/>
    <w:rsid w:val="00216B58"/>
    <w:rsid w:val="00216BE9"/>
    <w:rsid w:val="00216BF4"/>
    <w:rsid w:val="00216CA6"/>
    <w:rsid w:val="00217066"/>
    <w:rsid w:val="00217233"/>
    <w:rsid w:val="00217B7F"/>
    <w:rsid w:val="00217D4F"/>
    <w:rsid w:val="0022019E"/>
    <w:rsid w:val="00220526"/>
    <w:rsid w:val="00220531"/>
    <w:rsid w:val="00220C21"/>
    <w:rsid w:val="002211A8"/>
    <w:rsid w:val="002218EF"/>
    <w:rsid w:val="00222342"/>
    <w:rsid w:val="00222566"/>
    <w:rsid w:val="00222D87"/>
    <w:rsid w:val="002235BB"/>
    <w:rsid w:val="00223669"/>
    <w:rsid w:val="00223B6E"/>
    <w:rsid w:val="00223BDE"/>
    <w:rsid w:val="00224439"/>
    <w:rsid w:val="0022499F"/>
    <w:rsid w:val="002258A5"/>
    <w:rsid w:val="00225BDA"/>
    <w:rsid w:val="00225ED9"/>
    <w:rsid w:val="00225FFB"/>
    <w:rsid w:val="00226160"/>
    <w:rsid w:val="00226F1F"/>
    <w:rsid w:val="0023012A"/>
    <w:rsid w:val="00230F34"/>
    <w:rsid w:val="00231B91"/>
    <w:rsid w:val="00231F88"/>
    <w:rsid w:val="00232167"/>
    <w:rsid w:val="002329B3"/>
    <w:rsid w:val="00232CD1"/>
    <w:rsid w:val="00232EAD"/>
    <w:rsid w:val="00233DC7"/>
    <w:rsid w:val="00233E5A"/>
    <w:rsid w:val="00233F3F"/>
    <w:rsid w:val="00234183"/>
    <w:rsid w:val="00234CDC"/>
    <w:rsid w:val="00234D6B"/>
    <w:rsid w:val="00235085"/>
    <w:rsid w:val="0023517D"/>
    <w:rsid w:val="002357D9"/>
    <w:rsid w:val="00235DA1"/>
    <w:rsid w:val="00235DAD"/>
    <w:rsid w:val="00236807"/>
    <w:rsid w:val="00236EF6"/>
    <w:rsid w:val="00237241"/>
    <w:rsid w:val="00240089"/>
    <w:rsid w:val="002415B4"/>
    <w:rsid w:val="00241644"/>
    <w:rsid w:val="00241961"/>
    <w:rsid w:val="00241DB5"/>
    <w:rsid w:val="0024267F"/>
    <w:rsid w:val="00242C90"/>
    <w:rsid w:val="0024338F"/>
    <w:rsid w:val="00243BA5"/>
    <w:rsid w:val="0024440C"/>
    <w:rsid w:val="00245901"/>
    <w:rsid w:val="00246245"/>
    <w:rsid w:val="002462B5"/>
    <w:rsid w:val="002466E1"/>
    <w:rsid w:val="002470E2"/>
    <w:rsid w:val="002471A9"/>
    <w:rsid w:val="00247776"/>
    <w:rsid w:val="00247779"/>
    <w:rsid w:val="00250DD0"/>
    <w:rsid w:val="00250F88"/>
    <w:rsid w:val="00251875"/>
    <w:rsid w:val="002519C4"/>
    <w:rsid w:val="00251BE5"/>
    <w:rsid w:val="00252B61"/>
    <w:rsid w:val="00253064"/>
    <w:rsid w:val="00253B99"/>
    <w:rsid w:val="00253EC3"/>
    <w:rsid w:val="00255CEC"/>
    <w:rsid w:val="002561FD"/>
    <w:rsid w:val="0025784A"/>
    <w:rsid w:val="0025794F"/>
    <w:rsid w:val="002579DB"/>
    <w:rsid w:val="0026056F"/>
    <w:rsid w:val="002619D4"/>
    <w:rsid w:val="00261DF1"/>
    <w:rsid w:val="00262C64"/>
    <w:rsid w:val="00262E15"/>
    <w:rsid w:val="00262F95"/>
    <w:rsid w:val="00263D41"/>
    <w:rsid w:val="002642AB"/>
    <w:rsid w:val="002650E1"/>
    <w:rsid w:val="00265822"/>
    <w:rsid w:val="00267712"/>
    <w:rsid w:val="00267CA8"/>
    <w:rsid w:val="002708AD"/>
    <w:rsid w:val="00271438"/>
    <w:rsid w:val="002717BE"/>
    <w:rsid w:val="00271D65"/>
    <w:rsid w:val="00271DDD"/>
    <w:rsid w:val="00272BC6"/>
    <w:rsid w:val="002732A7"/>
    <w:rsid w:val="00273AE8"/>
    <w:rsid w:val="00273BA8"/>
    <w:rsid w:val="00274708"/>
    <w:rsid w:val="00274925"/>
    <w:rsid w:val="00274CC5"/>
    <w:rsid w:val="002752A0"/>
    <w:rsid w:val="002756D3"/>
    <w:rsid w:val="0027622C"/>
    <w:rsid w:val="00276345"/>
    <w:rsid w:val="0027649B"/>
    <w:rsid w:val="00276731"/>
    <w:rsid w:val="002803A6"/>
    <w:rsid w:val="00281D31"/>
    <w:rsid w:val="00281E8D"/>
    <w:rsid w:val="00282289"/>
    <w:rsid w:val="002824FB"/>
    <w:rsid w:val="00282500"/>
    <w:rsid w:val="00282A1D"/>
    <w:rsid w:val="002834F7"/>
    <w:rsid w:val="002838E4"/>
    <w:rsid w:val="0028398E"/>
    <w:rsid w:val="002849FB"/>
    <w:rsid w:val="00284C58"/>
    <w:rsid w:val="00284D1B"/>
    <w:rsid w:val="00284E57"/>
    <w:rsid w:val="00285BEE"/>
    <w:rsid w:val="002860A1"/>
    <w:rsid w:val="00286215"/>
    <w:rsid w:val="00287241"/>
    <w:rsid w:val="002873D5"/>
    <w:rsid w:val="00287E81"/>
    <w:rsid w:val="00290744"/>
    <w:rsid w:val="00291005"/>
    <w:rsid w:val="00291289"/>
    <w:rsid w:val="00291915"/>
    <w:rsid w:val="00291CB0"/>
    <w:rsid w:val="002921BD"/>
    <w:rsid w:val="00292A99"/>
    <w:rsid w:val="00292B43"/>
    <w:rsid w:val="00292C5C"/>
    <w:rsid w:val="00292EF8"/>
    <w:rsid w:val="00293AF8"/>
    <w:rsid w:val="00293C2E"/>
    <w:rsid w:val="0029417D"/>
    <w:rsid w:val="00294AF3"/>
    <w:rsid w:val="00294B7A"/>
    <w:rsid w:val="002950B6"/>
    <w:rsid w:val="00295313"/>
    <w:rsid w:val="0029533F"/>
    <w:rsid w:val="002964EB"/>
    <w:rsid w:val="00296581"/>
    <w:rsid w:val="002965FF"/>
    <w:rsid w:val="00296E38"/>
    <w:rsid w:val="002A0683"/>
    <w:rsid w:val="002A211A"/>
    <w:rsid w:val="002A2F76"/>
    <w:rsid w:val="002A32EC"/>
    <w:rsid w:val="002A3544"/>
    <w:rsid w:val="002A3923"/>
    <w:rsid w:val="002A4020"/>
    <w:rsid w:val="002A5574"/>
    <w:rsid w:val="002A58F6"/>
    <w:rsid w:val="002A6538"/>
    <w:rsid w:val="002A6760"/>
    <w:rsid w:val="002A6A51"/>
    <w:rsid w:val="002A6CFC"/>
    <w:rsid w:val="002A6E47"/>
    <w:rsid w:val="002A7A36"/>
    <w:rsid w:val="002B027F"/>
    <w:rsid w:val="002B063F"/>
    <w:rsid w:val="002B065A"/>
    <w:rsid w:val="002B07AA"/>
    <w:rsid w:val="002B08E6"/>
    <w:rsid w:val="002B0D62"/>
    <w:rsid w:val="002B10B9"/>
    <w:rsid w:val="002B16B7"/>
    <w:rsid w:val="002B1799"/>
    <w:rsid w:val="002B2463"/>
    <w:rsid w:val="002B2606"/>
    <w:rsid w:val="002B30AF"/>
    <w:rsid w:val="002B356E"/>
    <w:rsid w:val="002B3B2E"/>
    <w:rsid w:val="002B3D3C"/>
    <w:rsid w:val="002B431D"/>
    <w:rsid w:val="002B4AFB"/>
    <w:rsid w:val="002B5160"/>
    <w:rsid w:val="002B5573"/>
    <w:rsid w:val="002B5B58"/>
    <w:rsid w:val="002B6B33"/>
    <w:rsid w:val="002B773A"/>
    <w:rsid w:val="002C11DB"/>
    <w:rsid w:val="002C1C33"/>
    <w:rsid w:val="002C2760"/>
    <w:rsid w:val="002C28AF"/>
    <w:rsid w:val="002C2B45"/>
    <w:rsid w:val="002C2C6E"/>
    <w:rsid w:val="002C2CC3"/>
    <w:rsid w:val="002C2D40"/>
    <w:rsid w:val="002C2F9B"/>
    <w:rsid w:val="002C2F9C"/>
    <w:rsid w:val="002C304B"/>
    <w:rsid w:val="002C314D"/>
    <w:rsid w:val="002C397C"/>
    <w:rsid w:val="002C4C7C"/>
    <w:rsid w:val="002C585E"/>
    <w:rsid w:val="002C5D66"/>
    <w:rsid w:val="002C6051"/>
    <w:rsid w:val="002C63D8"/>
    <w:rsid w:val="002C6A4D"/>
    <w:rsid w:val="002C6CB6"/>
    <w:rsid w:val="002C7023"/>
    <w:rsid w:val="002C7262"/>
    <w:rsid w:val="002C7879"/>
    <w:rsid w:val="002C7919"/>
    <w:rsid w:val="002C7A95"/>
    <w:rsid w:val="002D0C4D"/>
    <w:rsid w:val="002D0E99"/>
    <w:rsid w:val="002D1366"/>
    <w:rsid w:val="002D1665"/>
    <w:rsid w:val="002D2056"/>
    <w:rsid w:val="002D2345"/>
    <w:rsid w:val="002D2B59"/>
    <w:rsid w:val="002D3551"/>
    <w:rsid w:val="002D35D8"/>
    <w:rsid w:val="002D3608"/>
    <w:rsid w:val="002D3AA8"/>
    <w:rsid w:val="002D48FA"/>
    <w:rsid w:val="002D4F37"/>
    <w:rsid w:val="002D54C2"/>
    <w:rsid w:val="002D6480"/>
    <w:rsid w:val="002D6A56"/>
    <w:rsid w:val="002D7363"/>
    <w:rsid w:val="002D75E0"/>
    <w:rsid w:val="002D78A6"/>
    <w:rsid w:val="002E1DC5"/>
    <w:rsid w:val="002E24A6"/>
    <w:rsid w:val="002E2D6B"/>
    <w:rsid w:val="002E2FFF"/>
    <w:rsid w:val="002E4343"/>
    <w:rsid w:val="002E4E78"/>
    <w:rsid w:val="002E52CC"/>
    <w:rsid w:val="002E576B"/>
    <w:rsid w:val="002E57A0"/>
    <w:rsid w:val="002E57CE"/>
    <w:rsid w:val="002E5C99"/>
    <w:rsid w:val="002E5E3B"/>
    <w:rsid w:val="002E605D"/>
    <w:rsid w:val="002E6309"/>
    <w:rsid w:val="002E6756"/>
    <w:rsid w:val="002E6B3C"/>
    <w:rsid w:val="002E73CA"/>
    <w:rsid w:val="002E7CF9"/>
    <w:rsid w:val="002F01F5"/>
    <w:rsid w:val="002F03E9"/>
    <w:rsid w:val="002F154A"/>
    <w:rsid w:val="002F1B4D"/>
    <w:rsid w:val="002F242D"/>
    <w:rsid w:val="002F27BD"/>
    <w:rsid w:val="002F27FE"/>
    <w:rsid w:val="002F2924"/>
    <w:rsid w:val="002F37E5"/>
    <w:rsid w:val="002F37FE"/>
    <w:rsid w:val="002F40DF"/>
    <w:rsid w:val="002F4119"/>
    <w:rsid w:val="002F42CE"/>
    <w:rsid w:val="002F4495"/>
    <w:rsid w:val="002F5BE2"/>
    <w:rsid w:val="002F5CFF"/>
    <w:rsid w:val="002F5D6E"/>
    <w:rsid w:val="002F6646"/>
    <w:rsid w:val="002F7047"/>
    <w:rsid w:val="002F73CE"/>
    <w:rsid w:val="002F7908"/>
    <w:rsid w:val="003006B5"/>
    <w:rsid w:val="003007F9"/>
    <w:rsid w:val="00301714"/>
    <w:rsid w:val="0030184C"/>
    <w:rsid w:val="00301F7D"/>
    <w:rsid w:val="0030290A"/>
    <w:rsid w:val="00302913"/>
    <w:rsid w:val="00302A69"/>
    <w:rsid w:val="00302ADC"/>
    <w:rsid w:val="00302D10"/>
    <w:rsid w:val="00302E06"/>
    <w:rsid w:val="00303A70"/>
    <w:rsid w:val="00303D6C"/>
    <w:rsid w:val="00304212"/>
    <w:rsid w:val="0030451B"/>
    <w:rsid w:val="00304592"/>
    <w:rsid w:val="0030475F"/>
    <w:rsid w:val="00305484"/>
    <w:rsid w:val="00305838"/>
    <w:rsid w:val="0030586E"/>
    <w:rsid w:val="00305A36"/>
    <w:rsid w:val="003064DA"/>
    <w:rsid w:val="003069AE"/>
    <w:rsid w:val="0030789A"/>
    <w:rsid w:val="00307A47"/>
    <w:rsid w:val="00307CDD"/>
    <w:rsid w:val="0031117C"/>
    <w:rsid w:val="003120B9"/>
    <w:rsid w:val="00312116"/>
    <w:rsid w:val="0031381E"/>
    <w:rsid w:val="00313BAA"/>
    <w:rsid w:val="00313BCB"/>
    <w:rsid w:val="00316166"/>
    <w:rsid w:val="0031659F"/>
    <w:rsid w:val="00316652"/>
    <w:rsid w:val="00317077"/>
    <w:rsid w:val="003170AD"/>
    <w:rsid w:val="00317D5C"/>
    <w:rsid w:val="003203B6"/>
    <w:rsid w:val="00320813"/>
    <w:rsid w:val="003208D5"/>
    <w:rsid w:val="0032095D"/>
    <w:rsid w:val="00320B8E"/>
    <w:rsid w:val="003216DB"/>
    <w:rsid w:val="00321B8F"/>
    <w:rsid w:val="003220DF"/>
    <w:rsid w:val="003222D7"/>
    <w:rsid w:val="00322698"/>
    <w:rsid w:val="003229AC"/>
    <w:rsid w:val="00322BF0"/>
    <w:rsid w:val="003235CB"/>
    <w:rsid w:val="00323EF4"/>
    <w:rsid w:val="0032402A"/>
    <w:rsid w:val="00324A03"/>
    <w:rsid w:val="003260F6"/>
    <w:rsid w:val="003263AC"/>
    <w:rsid w:val="003266CC"/>
    <w:rsid w:val="003266EB"/>
    <w:rsid w:val="00326809"/>
    <w:rsid w:val="003273AB"/>
    <w:rsid w:val="00327475"/>
    <w:rsid w:val="0032781F"/>
    <w:rsid w:val="00330394"/>
    <w:rsid w:val="00330F91"/>
    <w:rsid w:val="00331140"/>
    <w:rsid w:val="00331480"/>
    <w:rsid w:val="0033208A"/>
    <w:rsid w:val="003323FC"/>
    <w:rsid w:val="0033344A"/>
    <w:rsid w:val="003335A9"/>
    <w:rsid w:val="00333A7A"/>
    <w:rsid w:val="00334589"/>
    <w:rsid w:val="00335241"/>
    <w:rsid w:val="003358B7"/>
    <w:rsid w:val="00335BF6"/>
    <w:rsid w:val="00335CBB"/>
    <w:rsid w:val="00335D05"/>
    <w:rsid w:val="00336084"/>
    <w:rsid w:val="003362F1"/>
    <w:rsid w:val="00337081"/>
    <w:rsid w:val="00337B8C"/>
    <w:rsid w:val="0034158B"/>
    <w:rsid w:val="003417C8"/>
    <w:rsid w:val="003419D0"/>
    <w:rsid w:val="00341E3A"/>
    <w:rsid w:val="00342210"/>
    <w:rsid w:val="003422E6"/>
    <w:rsid w:val="00342480"/>
    <w:rsid w:val="0034293F"/>
    <w:rsid w:val="0034310E"/>
    <w:rsid w:val="0034317F"/>
    <w:rsid w:val="003453D9"/>
    <w:rsid w:val="00345915"/>
    <w:rsid w:val="003459E6"/>
    <w:rsid w:val="00345E86"/>
    <w:rsid w:val="00346340"/>
    <w:rsid w:val="00346928"/>
    <w:rsid w:val="00346E94"/>
    <w:rsid w:val="00347F9F"/>
    <w:rsid w:val="003504D4"/>
    <w:rsid w:val="00350B0A"/>
    <w:rsid w:val="00350F55"/>
    <w:rsid w:val="00351A6B"/>
    <w:rsid w:val="00351DE9"/>
    <w:rsid w:val="0035232F"/>
    <w:rsid w:val="003524AB"/>
    <w:rsid w:val="00352EB2"/>
    <w:rsid w:val="00353257"/>
    <w:rsid w:val="00354020"/>
    <w:rsid w:val="00354BBE"/>
    <w:rsid w:val="00354F26"/>
    <w:rsid w:val="003551EE"/>
    <w:rsid w:val="00355A11"/>
    <w:rsid w:val="0035693B"/>
    <w:rsid w:val="00357B54"/>
    <w:rsid w:val="0036045D"/>
    <w:rsid w:val="003607F4"/>
    <w:rsid w:val="00360E5B"/>
    <w:rsid w:val="00361083"/>
    <w:rsid w:val="003612C9"/>
    <w:rsid w:val="003612F6"/>
    <w:rsid w:val="003619E1"/>
    <w:rsid w:val="00361E83"/>
    <w:rsid w:val="003621CB"/>
    <w:rsid w:val="00362273"/>
    <w:rsid w:val="00362444"/>
    <w:rsid w:val="00362A18"/>
    <w:rsid w:val="003631CE"/>
    <w:rsid w:val="003636EB"/>
    <w:rsid w:val="00363ECA"/>
    <w:rsid w:val="00363F49"/>
    <w:rsid w:val="00363FD1"/>
    <w:rsid w:val="0036424F"/>
    <w:rsid w:val="00364534"/>
    <w:rsid w:val="003647DD"/>
    <w:rsid w:val="00364E6F"/>
    <w:rsid w:val="0036564E"/>
    <w:rsid w:val="00365683"/>
    <w:rsid w:val="0036605A"/>
    <w:rsid w:val="003663B7"/>
    <w:rsid w:val="003666DA"/>
    <w:rsid w:val="003667FD"/>
    <w:rsid w:val="00366DB5"/>
    <w:rsid w:val="00367951"/>
    <w:rsid w:val="0036796C"/>
    <w:rsid w:val="00367AE6"/>
    <w:rsid w:val="00367EA7"/>
    <w:rsid w:val="003700F9"/>
    <w:rsid w:val="003705F1"/>
    <w:rsid w:val="003708C3"/>
    <w:rsid w:val="003710AB"/>
    <w:rsid w:val="0037134A"/>
    <w:rsid w:val="003715D3"/>
    <w:rsid w:val="003717BA"/>
    <w:rsid w:val="00371B65"/>
    <w:rsid w:val="00371FEA"/>
    <w:rsid w:val="00372CE0"/>
    <w:rsid w:val="00373ECD"/>
    <w:rsid w:val="00374468"/>
    <w:rsid w:val="00374DE2"/>
    <w:rsid w:val="0037555E"/>
    <w:rsid w:val="00376E31"/>
    <w:rsid w:val="003770C2"/>
    <w:rsid w:val="00377252"/>
    <w:rsid w:val="00377AFB"/>
    <w:rsid w:val="0038023C"/>
    <w:rsid w:val="0038075B"/>
    <w:rsid w:val="003808DC"/>
    <w:rsid w:val="00380BAE"/>
    <w:rsid w:val="00380CA7"/>
    <w:rsid w:val="0038123F"/>
    <w:rsid w:val="00381C2F"/>
    <w:rsid w:val="00381D1C"/>
    <w:rsid w:val="003827CC"/>
    <w:rsid w:val="003843EF"/>
    <w:rsid w:val="003869BD"/>
    <w:rsid w:val="00386FA6"/>
    <w:rsid w:val="0038719F"/>
    <w:rsid w:val="003875C9"/>
    <w:rsid w:val="00387837"/>
    <w:rsid w:val="00387E16"/>
    <w:rsid w:val="00391070"/>
    <w:rsid w:val="00391413"/>
    <w:rsid w:val="00391FBB"/>
    <w:rsid w:val="003925C3"/>
    <w:rsid w:val="00392BF7"/>
    <w:rsid w:val="00393D56"/>
    <w:rsid w:val="00394C69"/>
    <w:rsid w:val="00394F31"/>
    <w:rsid w:val="00394F64"/>
    <w:rsid w:val="00395525"/>
    <w:rsid w:val="003956D3"/>
    <w:rsid w:val="00395971"/>
    <w:rsid w:val="0039756D"/>
    <w:rsid w:val="003975A6"/>
    <w:rsid w:val="00397F23"/>
    <w:rsid w:val="003A03F6"/>
    <w:rsid w:val="003A0822"/>
    <w:rsid w:val="003A094A"/>
    <w:rsid w:val="003A0D97"/>
    <w:rsid w:val="003A1299"/>
    <w:rsid w:val="003A17AB"/>
    <w:rsid w:val="003A17C3"/>
    <w:rsid w:val="003A1950"/>
    <w:rsid w:val="003A1FB6"/>
    <w:rsid w:val="003A3120"/>
    <w:rsid w:val="003A34F2"/>
    <w:rsid w:val="003A362B"/>
    <w:rsid w:val="003A3DB6"/>
    <w:rsid w:val="003A45A1"/>
    <w:rsid w:val="003A47BD"/>
    <w:rsid w:val="003A4801"/>
    <w:rsid w:val="003A4EC3"/>
    <w:rsid w:val="003A4FA0"/>
    <w:rsid w:val="003A70B4"/>
    <w:rsid w:val="003A7AEB"/>
    <w:rsid w:val="003A7CF0"/>
    <w:rsid w:val="003A7DD5"/>
    <w:rsid w:val="003B0112"/>
    <w:rsid w:val="003B0483"/>
    <w:rsid w:val="003B062B"/>
    <w:rsid w:val="003B0C03"/>
    <w:rsid w:val="003B1352"/>
    <w:rsid w:val="003B16E7"/>
    <w:rsid w:val="003B1F87"/>
    <w:rsid w:val="003B2543"/>
    <w:rsid w:val="003B2BD5"/>
    <w:rsid w:val="003B2D46"/>
    <w:rsid w:val="003B2D7D"/>
    <w:rsid w:val="003B3488"/>
    <w:rsid w:val="003B5B93"/>
    <w:rsid w:val="003B5CE3"/>
    <w:rsid w:val="003B5FA8"/>
    <w:rsid w:val="003B6113"/>
    <w:rsid w:val="003B777F"/>
    <w:rsid w:val="003C0313"/>
    <w:rsid w:val="003C0ADD"/>
    <w:rsid w:val="003C1083"/>
    <w:rsid w:val="003C1253"/>
    <w:rsid w:val="003C1E75"/>
    <w:rsid w:val="003C2D99"/>
    <w:rsid w:val="003C3949"/>
    <w:rsid w:val="003C3CA2"/>
    <w:rsid w:val="003C3DEE"/>
    <w:rsid w:val="003C3F21"/>
    <w:rsid w:val="003C3FAD"/>
    <w:rsid w:val="003C3FE4"/>
    <w:rsid w:val="003C48AE"/>
    <w:rsid w:val="003C5546"/>
    <w:rsid w:val="003C586C"/>
    <w:rsid w:val="003C6A23"/>
    <w:rsid w:val="003C6A3D"/>
    <w:rsid w:val="003C6D2C"/>
    <w:rsid w:val="003C717E"/>
    <w:rsid w:val="003D0670"/>
    <w:rsid w:val="003D0E26"/>
    <w:rsid w:val="003D18CE"/>
    <w:rsid w:val="003D18ED"/>
    <w:rsid w:val="003D1C51"/>
    <w:rsid w:val="003D2298"/>
    <w:rsid w:val="003D22A9"/>
    <w:rsid w:val="003D282C"/>
    <w:rsid w:val="003D2B8A"/>
    <w:rsid w:val="003D36C8"/>
    <w:rsid w:val="003D3908"/>
    <w:rsid w:val="003D42F9"/>
    <w:rsid w:val="003D48AA"/>
    <w:rsid w:val="003D4E8C"/>
    <w:rsid w:val="003D56D8"/>
    <w:rsid w:val="003D60BC"/>
    <w:rsid w:val="003D6924"/>
    <w:rsid w:val="003D72D2"/>
    <w:rsid w:val="003D740F"/>
    <w:rsid w:val="003D782E"/>
    <w:rsid w:val="003D7FBA"/>
    <w:rsid w:val="003E0009"/>
    <w:rsid w:val="003E0587"/>
    <w:rsid w:val="003E0D47"/>
    <w:rsid w:val="003E117D"/>
    <w:rsid w:val="003E220D"/>
    <w:rsid w:val="003E23AB"/>
    <w:rsid w:val="003E2F0E"/>
    <w:rsid w:val="003E3160"/>
    <w:rsid w:val="003E361C"/>
    <w:rsid w:val="003E3CCA"/>
    <w:rsid w:val="003E4352"/>
    <w:rsid w:val="003E45F0"/>
    <w:rsid w:val="003E4899"/>
    <w:rsid w:val="003E4DF1"/>
    <w:rsid w:val="003E510B"/>
    <w:rsid w:val="003E5407"/>
    <w:rsid w:val="003E54FF"/>
    <w:rsid w:val="003E5C38"/>
    <w:rsid w:val="003E5E9D"/>
    <w:rsid w:val="003E62F9"/>
    <w:rsid w:val="003E6C16"/>
    <w:rsid w:val="003E6F47"/>
    <w:rsid w:val="003E7448"/>
    <w:rsid w:val="003E7AB9"/>
    <w:rsid w:val="003E7E3E"/>
    <w:rsid w:val="003F1172"/>
    <w:rsid w:val="003F13E4"/>
    <w:rsid w:val="003F1FC0"/>
    <w:rsid w:val="003F20C7"/>
    <w:rsid w:val="003F232B"/>
    <w:rsid w:val="003F2D1E"/>
    <w:rsid w:val="003F303C"/>
    <w:rsid w:val="003F341B"/>
    <w:rsid w:val="003F3532"/>
    <w:rsid w:val="003F381E"/>
    <w:rsid w:val="003F3837"/>
    <w:rsid w:val="003F3902"/>
    <w:rsid w:val="003F4620"/>
    <w:rsid w:val="003F53FE"/>
    <w:rsid w:val="003F5826"/>
    <w:rsid w:val="003F5FF9"/>
    <w:rsid w:val="003F6073"/>
    <w:rsid w:val="003F617A"/>
    <w:rsid w:val="003F6B25"/>
    <w:rsid w:val="003F7E70"/>
    <w:rsid w:val="00400767"/>
    <w:rsid w:val="0040087A"/>
    <w:rsid w:val="004008B6"/>
    <w:rsid w:val="00400D85"/>
    <w:rsid w:val="004013E4"/>
    <w:rsid w:val="00401601"/>
    <w:rsid w:val="0040163F"/>
    <w:rsid w:val="00401B6C"/>
    <w:rsid w:val="00402AE1"/>
    <w:rsid w:val="00402EFD"/>
    <w:rsid w:val="004031A1"/>
    <w:rsid w:val="004033AE"/>
    <w:rsid w:val="004033DC"/>
    <w:rsid w:val="00403694"/>
    <w:rsid w:val="004036E9"/>
    <w:rsid w:val="00404990"/>
    <w:rsid w:val="004060DE"/>
    <w:rsid w:val="004063D7"/>
    <w:rsid w:val="004066FA"/>
    <w:rsid w:val="004068AE"/>
    <w:rsid w:val="00406F51"/>
    <w:rsid w:val="0040724A"/>
    <w:rsid w:val="00407EC3"/>
    <w:rsid w:val="004103D4"/>
    <w:rsid w:val="0041116C"/>
    <w:rsid w:val="00411604"/>
    <w:rsid w:val="0041241F"/>
    <w:rsid w:val="00412C97"/>
    <w:rsid w:val="0041343F"/>
    <w:rsid w:val="004135C3"/>
    <w:rsid w:val="0041379D"/>
    <w:rsid w:val="004137FF"/>
    <w:rsid w:val="00413FAB"/>
    <w:rsid w:val="0041401A"/>
    <w:rsid w:val="00416653"/>
    <w:rsid w:val="00416D12"/>
    <w:rsid w:val="0041708C"/>
    <w:rsid w:val="00417105"/>
    <w:rsid w:val="004175F3"/>
    <w:rsid w:val="00417734"/>
    <w:rsid w:val="004200CA"/>
    <w:rsid w:val="00421DAF"/>
    <w:rsid w:val="00421DC1"/>
    <w:rsid w:val="00421FBC"/>
    <w:rsid w:val="00422280"/>
    <w:rsid w:val="00423614"/>
    <w:rsid w:val="004237FB"/>
    <w:rsid w:val="00423F95"/>
    <w:rsid w:val="00424D02"/>
    <w:rsid w:val="00425309"/>
    <w:rsid w:val="00425A3F"/>
    <w:rsid w:val="00425D6D"/>
    <w:rsid w:val="00425DFC"/>
    <w:rsid w:val="00426233"/>
    <w:rsid w:val="0042648E"/>
    <w:rsid w:val="00426EE1"/>
    <w:rsid w:val="004277D4"/>
    <w:rsid w:val="00427EC4"/>
    <w:rsid w:val="00430D5C"/>
    <w:rsid w:val="00431822"/>
    <w:rsid w:val="00431D30"/>
    <w:rsid w:val="0043222E"/>
    <w:rsid w:val="0043263F"/>
    <w:rsid w:val="004339EA"/>
    <w:rsid w:val="00433FED"/>
    <w:rsid w:val="00434C48"/>
    <w:rsid w:val="0043528B"/>
    <w:rsid w:val="00436C48"/>
    <w:rsid w:val="00436E46"/>
    <w:rsid w:val="00437098"/>
    <w:rsid w:val="0043736C"/>
    <w:rsid w:val="004376E6"/>
    <w:rsid w:val="00437F63"/>
    <w:rsid w:val="004408E3"/>
    <w:rsid w:val="00440F51"/>
    <w:rsid w:val="00441049"/>
    <w:rsid w:val="004416F7"/>
    <w:rsid w:val="00441929"/>
    <w:rsid w:val="004419FA"/>
    <w:rsid w:val="004429B2"/>
    <w:rsid w:val="00442B2A"/>
    <w:rsid w:val="00442DDC"/>
    <w:rsid w:val="0044368A"/>
    <w:rsid w:val="004436A0"/>
    <w:rsid w:val="004436AC"/>
    <w:rsid w:val="00443839"/>
    <w:rsid w:val="00444132"/>
    <w:rsid w:val="00444E1E"/>
    <w:rsid w:val="00445103"/>
    <w:rsid w:val="00445460"/>
    <w:rsid w:val="00445B37"/>
    <w:rsid w:val="00445CD6"/>
    <w:rsid w:val="0044617F"/>
    <w:rsid w:val="00446538"/>
    <w:rsid w:val="0044659A"/>
    <w:rsid w:val="00447F00"/>
    <w:rsid w:val="0045048A"/>
    <w:rsid w:val="00450866"/>
    <w:rsid w:val="00450AF3"/>
    <w:rsid w:val="00451131"/>
    <w:rsid w:val="00451C8A"/>
    <w:rsid w:val="00451E9E"/>
    <w:rsid w:val="0045230E"/>
    <w:rsid w:val="00452929"/>
    <w:rsid w:val="00452BF3"/>
    <w:rsid w:val="004530B8"/>
    <w:rsid w:val="004531DA"/>
    <w:rsid w:val="004536D7"/>
    <w:rsid w:val="00453B28"/>
    <w:rsid w:val="00453E9B"/>
    <w:rsid w:val="00454411"/>
    <w:rsid w:val="004551C9"/>
    <w:rsid w:val="004554AF"/>
    <w:rsid w:val="00455F9E"/>
    <w:rsid w:val="00456150"/>
    <w:rsid w:val="00456857"/>
    <w:rsid w:val="00456C47"/>
    <w:rsid w:val="00456EEC"/>
    <w:rsid w:val="004576C2"/>
    <w:rsid w:val="00457831"/>
    <w:rsid w:val="00457FC8"/>
    <w:rsid w:val="00461220"/>
    <w:rsid w:val="0046238B"/>
    <w:rsid w:val="00462697"/>
    <w:rsid w:val="004634E2"/>
    <w:rsid w:val="004635F6"/>
    <w:rsid w:val="0046379C"/>
    <w:rsid w:val="00464426"/>
    <w:rsid w:val="0046443C"/>
    <w:rsid w:val="004646BE"/>
    <w:rsid w:val="0046513C"/>
    <w:rsid w:val="004651FE"/>
    <w:rsid w:val="004656A3"/>
    <w:rsid w:val="004656B5"/>
    <w:rsid w:val="00465AD8"/>
    <w:rsid w:val="00465E01"/>
    <w:rsid w:val="00465FD6"/>
    <w:rsid w:val="0046627A"/>
    <w:rsid w:val="0046632E"/>
    <w:rsid w:val="00466BDA"/>
    <w:rsid w:val="00466BEA"/>
    <w:rsid w:val="00466E9A"/>
    <w:rsid w:val="004673FC"/>
    <w:rsid w:val="00467606"/>
    <w:rsid w:val="004701AA"/>
    <w:rsid w:val="004707C4"/>
    <w:rsid w:val="00470EA3"/>
    <w:rsid w:val="0047128A"/>
    <w:rsid w:val="00471433"/>
    <w:rsid w:val="00471A11"/>
    <w:rsid w:val="00471C1A"/>
    <w:rsid w:val="00471D77"/>
    <w:rsid w:val="004728BD"/>
    <w:rsid w:val="0047346C"/>
    <w:rsid w:val="004741C6"/>
    <w:rsid w:val="00474655"/>
    <w:rsid w:val="00474668"/>
    <w:rsid w:val="004756A5"/>
    <w:rsid w:val="00475AA6"/>
    <w:rsid w:val="004761F7"/>
    <w:rsid w:val="00477A0F"/>
    <w:rsid w:val="00481E0C"/>
    <w:rsid w:val="0048203F"/>
    <w:rsid w:val="004820FE"/>
    <w:rsid w:val="00482286"/>
    <w:rsid w:val="0048229C"/>
    <w:rsid w:val="004823D3"/>
    <w:rsid w:val="0048272B"/>
    <w:rsid w:val="004835A6"/>
    <w:rsid w:val="00483B52"/>
    <w:rsid w:val="00483C4C"/>
    <w:rsid w:val="00483DDA"/>
    <w:rsid w:val="00483F7D"/>
    <w:rsid w:val="00484EEB"/>
    <w:rsid w:val="004864A9"/>
    <w:rsid w:val="00486955"/>
    <w:rsid w:val="00486B41"/>
    <w:rsid w:val="00486C9D"/>
    <w:rsid w:val="00486D5B"/>
    <w:rsid w:val="00486FE6"/>
    <w:rsid w:val="004878B8"/>
    <w:rsid w:val="00487BCD"/>
    <w:rsid w:val="0049000D"/>
    <w:rsid w:val="00490F46"/>
    <w:rsid w:val="00491BA9"/>
    <w:rsid w:val="0049219D"/>
    <w:rsid w:val="0049256A"/>
    <w:rsid w:val="00493103"/>
    <w:rsid w:val="0049316D"/>
    <w:rsid w:val="004936D2"/>
    <w:rsid w:val="004952BE"/>
    <w:rsid w:val="004965DB"/>
    <w:rsid w:val="00496655"/>
    <w:rsid w:val="00496A6F"/>
    <w:rsid w:val="00496B85"/>
    <w:rsid w:val="00496B92"/>
    <w:rsid w:val="00497104"/>
    <w:rsid w:val="004A07ED"/>
    <w:rsid w:val="004A106E"/>
    <w:rsid w:val="004A120F"/>
    <w:rsid w:val="004A1630"/>
    <w:rsid w:val="004A27CA"/>
    <w:rsid w:val="004A2BC4"/>
    <w:rsid w:val="004A4019"/>
    <w:rsid w:val="004A48D5"/>
    <w:rsid w:val="004A58BB"/>
    <w:rsid w:val="004A5CBC"/>
    <w:rsid w:val="004A5D78"/>
    <w:rsid w:val="004A649E"/>
    <w:rsid w:val="004A7007"/>
    <w:rsid w:val="004A7B70"/>
    <w:rsid w:val="004A7E6B"/>
    <w:rsid w:val="004B062D"/>
    <w:rsid w:val="004B0FF5"/>
    <w:rsid w:val="004B1538"/>
    <w:rsid w:val="004B1B9B"/>
    <w:rsid w:val="004B1EF1"/>
    <w:rsid w:val="004B29CE"/>
    <w:rsid w:val="004B2B71"/>
    <w:rsid w:val="004B2E7D"/>
    <w:rsid w:val="004B36C9"/>
    <w:rsid w:val="004B38FB"/>
    <w:rsid w:val="004B3979"/>
    <w:rsid w:val="004B4B10"/>
    <w:rsid w:val="004B4B8E"/>
    <w:rsid w:val="004B4CCE"/>
    <w:rsid w:val="004B54C5"/>
    <w:rsid w:val="004B55F8"/>
    <w:rsid w:val="004B5F63"/>
    <w:rsid w:val="004B6F17"/>
    <w:rsid w:val="004B703A"/>
    <w:rsid w:val="004B71FE"/>
    <w:rsid w:val="004B7213"/>
    <w:rsid w:val="004B790A"/>
    <w:rsid w:val="004B7FE5"/>
    <w:rsid w:val="004C0D56"/>
    <w:rsid w:val="004C1ABC"/>
    <w:rsid w:val="004C20AD"/>
    <w:rsid w:val="004C25C4"/>
    <w:rsid w:val="004C41AE"/>
    <w:rsid w:val="004C670A"/>
    <w:rsid w:val="004C684C"/>
    <w:rsid w:val="004C71A1"/>
    <w:rsid w:val="004C727B"/>
    <w:rsid w:val="004C72F2"/>
    <w:rsid w:val="004C74B3"/>
    <w:rsid w:val="004C79FD"/>
    <w:rsid w:val="004D0A07"/>
    <w:rsid w:val="004D1581"/>
    <w:rsid w:val="004D1AB2"/>
    <w:rsid w:val="004D3A68"/>
    <w:rsid w:val="004D43C9"/>
    <w:rsid w:val="004D4976"/>
    <w:rsid w:val="004D49F9"/>
    <w:rsid w:val="004D4B1E"/>
    <w:rsid w:val="004D55E2"/>
    <w:rsid w:val="004D5CD9"/>
    <w:rsid w:val="004D5D77"/>
    <w:rsid w:val="004D5FE2"/>
    <w:rsid w:val="004D6780"/>
    <w:rsid w:val="004D6FEF"/>
    <w:rsid w:val="004D7626"/>
    <w:rsid w:val="004D795E"/>
    <w:rsid w:val="004D7A84"/>
    <w:rsid w:val="004D7B92"/>
    <w:rsid w:val="004D7BCE"/>
    <w:rsid w:val="004D7F2B"/>
    <w:rsid w:val="004E00EE"/>
    <w:rsid w:val="004E068F"/>
    <w:rsid w:val="004E0E51"/>
    <w:rsid w:val="004E0EBB"/>
    <w:rsid w:val="004E1F92"/>
    <w:rsid w:val="004E27DD"/>
    <w:rsid w:val="004E28F8"/>
    <w:rsid w:val="004E2932"/>
    <w:rsid w:val="004E2A47"/>
    <w:rsid w:val="004E380D"/>
    <w:rsid w:val="004E45E9"/>
    <w:rsid w:val="004E4E48"/>
    <w:rsid w:val="004E5A56"/>
    <w:rsid w:val="004E5FBF"/>
    <w:rsid w:val="004E6277"/>
    <w:rsid w:val="004E6EA3"/>
    <w:rsid w:val="004E6F6D"/>
    <w:rsid w:val="004E72E4"/>
    <w:rsid w:val="004E79AD"/>
    <w:rsid w:val="004E7AFA"/>
    <w:rsid w:val="004E7E37"/>
    <w:rsid w:val="004F084C"/>
    <w:rsid w:val="004F08C9"/>
    <w:rsid w:val="004F09FB"/>
    <w:rsid w:val="004F1501"/>
    <w:rsid w:val="004F2715"/>
    <w:rsid w:val="004F2C00"/>
    <w:rsid w:val="004F2C09"/>
    <w:rsid w:val="004F31FE"/>
    <w:rsid w:val="004F361D"/>
    <w:rsid w:val="004F40F2"/>
    <w:rsid w:val="004F4353"/>
    <w:rsid w:val="004F4517"/>
    <w:rsid w:val="004F48CD"/>
    <w:rsid w:val="004F5C8A"/>
    <w:rsid w:val="004F5D34"/>
    <w:rsid w:val="004F5EC7"/>
    <w:rsid w:val="004F6055"/>
    <w:rsid w:val="004F607F"/>
    <w:rsid w:val="004F62AA"/>
    <w:rsid w:val="004F66BA"/>
    <w:rsid w:val="004F68C3"/>
    <w:rsid w:val="004F6A67"/>
    <w:rsid w:val="004F6D23"/>
    <w:rsid w:val="004F7ED5"/>
    <w:rsid w:val="0050096A"/>
    <w:rsid w:val="005017FA"/>
    <w:rsid w:val="00501A28"/>
    <w:rsid w:val="005026D2"/>
    <w:rsid w:val="0050273B"/>
    <w:rsid w:val="005028E3"/>
    <w:rsid w:val="0050325B"/>
    <w:rsid w:val="00503377"/>
    <w:rsid w:val="005043AF"/>
    <w:rsid w:val="00504620"/>
    <w:rsid w:val="00504CF3"/>
    <w:rsid w:val="0050662E"/>
    <w:rsid w:val="00507803"/>
    <w:rsid w:val="00507D38"/>
    <w:rsid w:val="0051088C"/>
    <w:rsid w:val="00510E46"/>
    <w:rsid w:val="0051145A"/>
    <w:rsid w:val="0051183D"/>
    <w:rsid w:val="00511FD4"/>
    <w:rsid w:val="00512A4F"/>
    <w:rsid w:val="00513653"/>
    <w:rsid w:val="005145B1"/>
    <w:rsid w:val="00514DD0"/>
    <w:rsid w:val="0051562F"/>
    <w:rsid w:val="005156C5"/>
    <w:rsid w:val="005159C9"/>
    <w:rsid w:val="005159FB"/>
    <w:rsid w:val="00515A1E"/>
    <w:rsid w:val="00515A5D"/>
    <w:rsid w:val="00515AF2"/>
    <w:rsid w:val="00516F34"/>
    <w:rsid w:val="005175C5"/>
    <w:rsid w:val="00520110"/>
    <w:rsid w:val="00520543"/>
    <w:rsid w:val="00521F16"/>
    <w:rsid w:val="0052326F"/>
    <w:rsid w:val="00523406"/>
    <w:rsid w:val="0052380F"/>
    <w:rsid w:val="005238E6"/>
    <w:rsid w:val="005242CF"/>
    <w:rsid w:val="005249FD"/>
    <w:rsid w:val="00524A0E"/>
    <w:rsid w:val="00524E2C"/>
    <w:rsid w:val="005250AF"/>
    <w:rsid w:val="00525672"/>
    <w:rsid w:val="00525BEB"/>
    <w:rsid w:val="00525CBF"/>
    <w:rsid w:val="00525DBE"/>
    <w:rsid w:val="00526083"/>
    <w:rsid w:val="00526673"/>
    <w:rsid w:val="00526C27"/>
    <w:rsid w:val="005276F3"/>
    <w:rsid w:val="00527C93"/>
    <w:rsid w:val="0053020D"/>
    <w:rsid w:val="00530430"/>
    <w:rsid w:val="00530637"/>
    <w:rsid w:val="0053068B"/>
    <w:rsid w:val="00532975"/>
    <w:rsid w:val="005330A8"/>
    <w:rsid w:val="00533500"/>
    <w:rsid w:val="00533E0C"/>
    <w:rsid w:val="00534E4E"/>
    <w:rsid w:val="00536042"/>
    <w:rsid w:val="00536144"/>
    <w:rsid w:val="005362A9"/>
    <w:rsid w:val="0053667D"/>
    <w:rsid w:val="0053764F"/>
    <w:rsid w:val="00537660"/>
    <w:rsid w:val="0053779D"/>
    <w:rsid w:val="00537915"/>
    <w:rsid w:val="00537DEA"/>
    <w:rsid w:val="005405DB"/>
    <w:rsid w:val="00540FA2"/>
    <w:rsid w:val="00540FE1"/>
    <w:rsid w:val="0054102F"/>
    <w:rsid w:val="00541060"/>
    <w:rsid w:val="0054132E"/>
    <w:rsid w:val="005419C7"/>
    <w:rsid w:val="00541E0D"/>
    <w:rsid w:val="00542D4C"/>
    <w:rsid w:val="005430BF"/>
    <w:rsid w:val="005431FF"/>
    <w:rsid w:val="00543723"/>
    <w:rsid w:val="00543DD7"/>
    <w:rsid w:val="00543F97"/>
    <w:rsid w:val="00544248"/>
    <w:rsid w:val="00544716"/>
    <w:rsid w:val="00544AD5"/>
    <w:rsid w:val="005451D6"/>
    <w:rsid w:val="00545514"/>
    <w:rsid w:val="00546E04"/>
    <w:rsid w:val="00546FC8"/>
    <w:rsid w:val="0054783E"/>
    <w:rsid w:val="00547ECA"/>
    <w:rsid w:val="00551544"/>
    <w:rsid w:val="005517D7"/>
    <w:rsid w:val="00551F7D"/>
    <w:rsid w:val="005520C1"/>
    <w:rsid w:val="00552D9A"/>
    <w:rsid w:val="00552ED9"/>
    <w:rsid w:val="00552F74"/>
    <w:rsid w:val="00552FAA"/>
    <w:rsid w:val="00553151"/>
    <w:rsid w:val="00553A00"/>
    <w:rsid w:val="00553AA1"/>
    <w:rsid w:val="00553ED0"/>
    <w:rsid w:val="005546CF"/>
    <w:rsid w:val="00554CD9"/>
    <w:rsid w:val="005557F1"/>
    <w:rsid w:val="0055586B"/>
    <w:rsid w:val="0055614B"/>
    <w:rsid w:val="00556534"/>
    <w:rsid w:val="00556847"/>
    <w:rsid w:val="00556D48"/>
    <w:rsid w:val="00560ED2"/>
    <w:rsid w:val="005611A6"/>
    <w:rsid w:val="00561412"/>
    <w:rsid w:val="005614D1"/>
    <w:rsid w:val="005617FC"/>
    <w:rsid w:val="00561A2E"/>
    <w:rsid w:val="00561CAC"/>
    <w:rsid w:val="00562E97"/>
    <w:rsid w:val="005631DD"/>
    <w:rsid w:val="00564783"/>
    <w:rsid w:val="005647A0"/>
    <w:rsid w:val="00564BBF"/>
    <w:rsid w:val="00564BC9"/>
    <w:rsid w:val="005652B8"/>
    <w:rsid w:val="005659AD"/>
    <w:rsid w:val="00565C8A"/>
    <w:rsid w:val="005663D6"/>
    <w:rsid w:val="00566488"/>
    <w:rsid w:val="00566D0E"/>
    <w:rsid w:val="005671E5"/>
    <w:rsid w:val="00567401"/>
    <w:rsid w:val="00567550"/>
    <w:rsid w:val="00567F22"/>
    <w:rsid w:val="005706FA"/>
    <w:rsid w:val="00571275"/>
    <w:rsid w:val="00571F62"/>
    <w:rsid w:val="00571FC6"/>
    <w:rsid w:val="0057252D"/>
    <w:rsid w:val="00573206"/>
    <w:rsid w:val="005739FD"/>
    <w:rsid w:val="005742C7"/>
    <w:rsid w:val="00574978"/>
    <w:rsid w:val="005752BE"/>
    <w:rsid w:val="00575718"/>
    <w:rsid w:val="00575BB5"/>
    <w:rsid w:val="00576526"/>
    <w:rsid w:val="00576886"/>
    <w:rsid w:val="00576916"/>
    <w:rsid w:val="0057742B"/>
    <w:rsid w:val="00577524"/>
    <w:rsid w:val="00577528"/>
    <w:rsid w:val="00577CA0"/>
    <w:rsid w:val="0058000B"/>
    <w:rsid w:val="005801AE"/>
    <w:rsid w:val="00581154"/>
    <w:rsid w:val="00581694"/>
    <w:rsid w:val="00581E2A"/>
    <w:rsid w:val="005820BF"/>
    <w:rsid w:val="00582948"/>
    <w:rsid w:val="00582C17"/>
    <w:rsid w:val="00582F28"/>
    <w:rsid w:val="005830A1"/>
    <w:rsid w:val="0058339F"/>
    <w:rsid w:val="00583EF6"/>
    <w:rsid w:val="005842AA"/>
    <w:rsid w:val="00584340"/>
    <w:rsid w:val="00584F07"/>
    <w:rsid w:val="005851AC"/>
    <w:rsid w:val="005852AE"/>
    <w:rsid w:val="0058558E"/>
    <w:rsid w:val="00585CE8"/>
    <w:rsid w:val="00586C0F"/>
    <w:rsid w:val="00587715"/>
    <w:rsid w:val="00587A16"/>
    <w:rsid w:val="00587EE9"/>
    <w:rsid w:val="0059002D"/>
    <w:rsid w:val="00590FE2"/>
    <w:rsid w:val="0059133A"/>
    <w:rsid w:val="005930E8"/>
    <w:rsid w:val="00593125"/>
    <w:rsid w:val="00593586"/>
    <w:rsid w:val="00595312"/>
    <w:rsid w:val="005967EE"/>
    <w:rsid w:val="00597161"/>
    <w:rsid w:val="00597AF7"/>
    <w:rsid w:val="00597C71"/>
    <w:rsid w:val="005A0DA6"/>
    <w:rsid w:val="005A156A"/>
    <w:rsid w:val="005A1652"/>
    <w:rsid w:val="005A1E3E"/>
    <w:rsid w:val="005A22C9"/>
    <w:rsid w:val="005A2493"/>
    <w:rsid w:val="005A3696"/>
    <w:rsid w:val="005A3A8B"/>
    <w:rsid w:val="005A3ACE"/>
    <w:rsid w:val="005A4B7C"/>
    <w:rsid w:val="005A4E7A"/>
    <w:rsid w:val="005A50BC"/>
    <w:rsid w:val="005A58ED"/>
    <w:rsid w:val="005A5AAD"/>
    <w:rsid w:val="005A5E2F"/>
    <w:rsid w:val="005A63FC"/>
    <w:rsid w:val="005A6474"/>
    <w:rsid w:val="005A66CC"/>
    <w:rsid w:val="005A756F"/>
    <w:rsid w:val="005A793C"/>
    <w:rsid w:val="005A7D6C"/>
    <w:rsid w:val="005B029F"/>
    <w:rsid w:val="005B0C86"/>
    <w:rsid w:val="005B130C"/>
    <w:rsid w:val="005B19D8"/>
    <w:rsid w:val="005B1AA2"/>
    <w:rsid w:val="005B1CDC"/>
    <w:rsid w:val="005B1EB6"/>
    <w:rsid w:val="005B210B"/>
    <w:rsid w:val="005B22CB"/>
    <w:rsid w:val="005B2AAC"/>
    <w:rsid w:val="005B2C2E"/>
    <w:rsid w:val="005B2E34"/>
    <w:rsid w:val="005B3BD6"/>
    <w:rsid w:val="005B4906"/>
    <w:rsid w:val="005B59E8"/>
    <w:rsid w:val="005B5AB7"/>
    <w:rsid w:val="005B5B5D"/>
    <w:rsid w:val="005B5BA9"/>
    <w:rsid w:val="005B5E74"/>
    <w:rsid w:val="005B6184"/>
    <w:rsid w:val="005B61A2"/>
    <w:rsid w:val="005B6225"/>
    <w:rsid w:val="005B63F4"/>
    <w:rsid w:val="005B6527"/>
    <w:rsid w:val="005B7B84"/>
    <w:rsid w:val="005B7F6B"/>
    <w:rsid w:val="005C0538"/>
    <w:rsid w:val="005C0604"/>
    <w:rsid w:val="005C143C"/>
    <w:rsid w:val="005C14B1"/>
    <w:rsid w:val="005C1F4C"/>
    <w:rsid w:val="005C2160"/>
    <w:rsid w:val="005C21A9"/>
    <w:rsid w:val="005C2C0E"/>
    <w:rsid w:val="005C2CA3"/>
    <w:rsid w:val="005C2D13"/>
    <w:rsid w:val="005C40E9"/>
    <w:rsid w:val="005C4174"/>
    <w:rsid w:val="005C48F0"/>
    <w:rsid w:val="005C5BD5"/>
    <w:rsid w:val="005C605A"/>
    <w:rsid w:val="005C6514"/>
    <w:rsid w:val="005C6909"/>
    <w:rsid w:val="005C792E"/>
    <w:rsid w:val="005D1954"/>
    <w:rsid w:val="005D25BE"/>
    <w:rsid w:val="005D2C2D"/>
    <w:rsid w:val="005D4373"/>
    <w:rsid w:val="005D43BE"/>
    <w:rsid w:val="005D4F72"/>
    <w:rsid w:val="005D4FE6"/>
    <w:rsid w:val="005D5E37"/>
    <w:rsid w:val="005D66FF"/>
    <w:rsid w:val="005D6E27"/>
    <w:rsid w:val="005D7233"/>
    <w:rsid w:val="005D74F9"/>
    <w:rsid w:val="005D76CB"/>
    <w:rsid w:val="005D77FB"/>
    <w:rsid w:val="005D7938"/>
    <w:rsid w:val="005D7EEF"/>
    <w:rsid w:val="005E0FAE"/>
    <w:rsid w:val="005E15F7"/>
    <w:rsid w:val="005E21C5"/>
    <w:rsid w:val="005E2488"/>
    <w:rsid w:val="005E2613"/>
    <w:rsid w:val="005E32E5"/>
    <w:rsid w:val="005E360D"/>
    <w:rsid w:val="005E3DFF"/>
    <w:rsid w:val="005E3E4A"/>
    <w:rsid w:val="005E481E"/>
    <w:rsid w:val="005E4B6B"/>
    <w:rsid w:val="005E562D"/>
    <w:rsid w:val="005E5BA2"/>
    <w:rsid w:val="005E6040"/>
    <w:rsid w:val="005E6325"/>
    <w:rsid w:val="005E64AC"/>
    <w:rsid w:val="005E6851"/>
    <w:rsid w:val="005F0814"/>
    <w:rsid w:val="005F1060"/>
    <w:rsid w:val="005F1BFB"/>
    <w:rsid w:val="005F1F19"/>
    <w:rsid w:val="005F2DF4"/>
    <w:rsid w:val="005F31F6"/>
    <w:rsid w:val="005F3EEF"/>
    <w:rsid w:val="005F40CD"/>
    <w:rsid w:val="005F45E1"/>
    <w:rsid w:val="005F5ACC"/>
    <w:rsid w:val="005F6404"/>
    <w:rsid w:val="005F6D11"/>
    <w:rsid w:val="005F77F9"/>
    <w:rsid w:val="00600C9F"/>
    <w:rsid w:val="0060145E"/>
    <w:rsid w:val="00601C36"/>
    <w:rsid w:val="00601DFC"/>
    <w:rsid w:val="00602489"/>
    <w:rsid w:val="006025B2"/>
    <w:rsid w:val="006025CF"/>
    <w:rsid w:val="006028BE"/>
    <w:rsid w:val="00603A17"/>
    <w:rsid w:val="0060411F"/>
    <w:rsid w:val="006043E6"/>
    <w:rsid w:val="00604692"/>
    <w:rsid w:val="00604FE5"/>
    <w:rsid w:val="00605071"/>
    <w:rsid w:val="006058D7"/>
    <w:rsid w:val="00605ECF"/>
    <w:rsid w:val="006063EB"/>
    <w:rsid w:val="006066F9"/>
    <w:rsid w:val="006067F9"/>
    <w:rsid w:val="006068BF"/>
    <w:rsid w:val="00606987"/>
    <w:rsid w:val="00606D20"/>
    <w:rsid w:val="00606D71"/>
    <w:rsid w:val="006078BC"/>
    <w:rsid w:val="0060791E"/>
    <w:rsid w:val="00607C1F"/>
    <w:rsid w:val="00610206"/>
    <w:rsid w:val="006112A4"/>
    <w:rsid w:val="006113F5"/>
    <w:rsid w:val="00611BD1"/>
    <w:rsid w:val="00611C7E"/>
    <w:rsid w:val="006120D5"/>
    <w:rsid w:val="006125E5"/>
    <w:rsid w:val="006127F9"/>
    <w:rsid w:val="00613930"/>
    <w:rsid w:val="00613B0B"/>
    <w:rsid w:val="00613BC5"/>
    <w:rsid w:val="00613E29"/>
    <w:rsid w:val="00614684"/>
    <w:rsid w:val="006147E1"/>
    <w:rsid w:val="00614EBB"/>
    <w:rsid w:val="00616275"/>
    <w:rsid w:val="00617F14"/>
    <w:rsid w:val="006200A2"/>
    <w:rsid w:val="00620258"/>
    <w:rsid w:val="006205F3"/>
    <w:rsid w:val="00621170"/>
    <w:rsid w:val="006219D7"/>
    <w:rsid w:val="00621D9C"/>
    <w:rsid w:val="00622C1A"/>
    <w:rsid w:val="0062319C"/>
    <w:rsid w:val="00623D45"/>
    <w:rsid w:val="00623D61"/>
    <w:rsid w:val="006247F6"/>
    <w:rsid w:val="006254D6"/>
    <w:rsid w:val="00626212"/>
    <w:rsid w:val="006301C8"/>
    <w:rsid w:val="00630695"/>
    <w:rsid w:val="00631403"/>
    <w:rsid w:val="00631F52"/>
    <w:rsid w:val="006322BF"/>
    <w:rsid w:val="00632511"/>
    <w:rsid w:val="00633D2A"/>
    <w:rsid w:val="00634B0B"/>
    <w:rsid w:val="00634DB9"/>
    <w:rsid w:val="00634E75"/>
    <w:rsid w:val="0063509F"/>
    <w:rsid w:val="00635603"/>
    <w:rsid w:val="0063621E"/>
    <w:rsid w:val="006362D3"/>
    <w:rsid w:val="006366AD"/>
    <w:rsid w:val="00636B56"/>
    <w:rsid w:val="0064064D"/>
    <w:rsid w:val="00641434"/>
    <w:rsid w:val="006416F5"/>
    <w:rsid w:val="0064187A"/>
    <w:rsid w:val="00641933"/>
    <w:rsid w:val="00641F27"/>
    <w:rsid w:val="00642556"/>
    <w:rsid w:val="00642789"/>
    <w:rsid w:val="00642DB9"/>
    <w:rsid w:val="00642E85"/>
    <w:rsid w:val="00642F74"/>
    <w:rsid w:val="00642F78"/>
    <w:rsid w:val="006436EE"/>
    <w:rsid w:val="00643B6D"/>
    <w:rsid w:val="00643D80"/>
    <w:rsid w:val="00643E39"/>
    <w:rsid w:val="00644406"/>
    <w:rsid w:val="00644607"/>
    <w:rsid w:val="0064541A"/>
    <w:rsid w:val="00645588"/>
    <w:rsid w:val="006465E0"/>
    <w:rsid w:val="006465F3"/>
    <w:rsid w:val="00646FF7"/>
    <w:rsid w:val="0065088D"/>
    <w:rsid w:val="00651053"/>
    <w:rsid w:val="006510E8"/>
    <w:rsid w:val="006518EC"/>
    <w:rsid w:val="00651D85"/>
    <w:rsid w:val="00653378"/>
    <w:rsid w:val="006545F8"/>
    <w:rsid w:val="00656223"/>
    <w:rsid w:val="0065630F"/>
    <w:rsid w:val="00656876"/>
    <w:rsid w:val="00656AFB"/>
    <w:rsid w:val="00656B88"/>
    <w:rsid w:val="00656C01"/>
    <w:rsid w:val="00657A09"/>
    <w:rsid w:val="00657B2B"/>
    <w:rsid w:val="00661E42"/>
    <w:rsid w:val="006621F4"/>
    <w:rsid w:val="006628E5"/>
    <w:rsid w:val="006630EE"/>
    <w:rsid w:val="00663588"/>
    <w:rsid w:val="006642E2"/>
    <w:rsid w:val="00664649"/>
    <w:rsid w:val="0066490F"/>
    <w:rsid w:val="00665296"/>
    <w:rsid w:val="006655B9"/>
    <w:rsid w:val="00665B26"/>
    <w:rsid w:val="006666B5"/>
    <w:rsid w:val="0066688A"/>
    <w:rsid w:val="00666DCF"/>
    <w:rsid w:val="006670A3"/>
    <w:rsid w:val="00667E59"/>
    <w:rsid w:val="00670972"/>
    <w:rsid w:val="00670E19"/>
    <w:rsid w:val="0067106D"/>
    <w:rsid w:val="00671413"/>
    <w:rsid w:val="00671483"/>
    <w:rsid w:val="006714B4"/>
    <w:rsid w:val="00671AAE"/>
    <w:rsid w:val="00671C5B"/>
    <w:rsid w:val="00671F02"/>
    <w:rsid w:val="0067264C"/>
    <w:rsid w:val="00672BE5"/>
    <w:rsid w:val="006737E1"/>
    <w:rsid w:val="00673E6D"/>
    <w:rsid w:val="006749F5"/>
    <w:rsid w:val="006767DA"/>
    <w:rsid w:val="006778D4"/>
    <w:rsid w:val="00680845"/>
    <w:rsid w:val="00680F03"/>
    <w:rsid w:val="006813BC"/>
    <w:rsid w:val="006819ED"/>
    <w:rsid w:val="00681BD2"/>
    <w:rsid w:val="00681D7C"/>
    <w:rsid w:val="0068270C"/>
    <w:rsid w:val="00682DFB"/>
    <w:rsid w:val="00682F46"/>
    <w:rsid w:val="00683A01"/>
    <w:rsid w:val="00683D0C"/>
    <w:rsid w:val="00683D6F"/>
    <w:rsid w:val="00683DBF"/>
    <w:rsid w:val="00684419"/>
    <w:rsid w:val="00685225"/>
    <w:rsid w:val="006859FD"/>
    <w:rsid w:val="00685BE0"/>
    <w:rsid w:val="0068656A"/>
    <w:rsid w:val="006872A9"/>
    <w:rsid w:val="006905E1"/>
    <w:rsid w:val="00690EC2"/>
    <w:rsid w:val="00690F59"/>
    <w:rsid w:val="0069120B"/>
    <w:rsid w:val="00691B24"/>
    <w:rsid w:val="00692424"/>
    <w:rsid w:val="00692DD7"/>
    <w:rsid w:val="0069380E"/>
    <w:rsid w:val="00694261"/>
    <w:rsid w:val="006949E6"/>
    <w:rsid w:val="00694D8F"/>
    <w:rsid w:val="00695076"/>
    <w:rsid w:val="0069557B"/>
    <w:rsid w:val="00695D68"/>
    <w:rsid w:val="0069700C"/>
    <w:rsid w:val="00697405"/>
    <w:rsid w:val="006A0019"/>
    <w:rsid w:val="006A0037"/>
    <w:rsid w:val="006A01FA"/>
    <w:rsid w:val="006A0321"/>
    <w:rsid w:val="006A0D00"/>
    <w:rsid w:val="006A14AE"/>
    <w:rsid w:val="006A1A12"/>
    <w:rsid w:val="006A2379"/>
    <w:rsid w:val="006A25AA"/>
    <w:rsid w:val="006A2A40"/>
    <w:rsid w:val="006A2AFD"/>
    <w:rsid w:val="006A3104"/>
    <w:rsid w:val="006A3BA3"/>
    <w:rsid w:val="006A487D"/>
    <w:rsid w:val="006A51AD"/>
    <w:rsid w:val="006A5748"/>
    <w:rsid w:val="006A5D8B"/>
    <w:rsid w:val="006A6870"/>
    <w:rsid w:val="006A76AC"/>
    <w:rsid w:val="006A7C92"/>
    <w:rsid w:val="006A7DFB"/>
    <w:rsid w:val="006A7FEA"/>
    <w:rsid w:val="006B0935"/>
    <w:rsid w:val="006B0CC7"/>
    <w:rsid w:val="006B0F47"/>
    <w:rsid w:val="006B12C5"/>
    <w:rsid w:val="006B1BD2"/>
    <w:rsid w:val="006B1C1A"/>
    <w:rsid w:val="006B1D78"/>
    <w:rsid w:val="006B2223"/>
    <w:rsid w:val="006B23AC"/>
    <w:rsid w:val="006B2CB8"/>
    <w:rsid w:val="006B3481"/>
    <w:rsid w:val="006B378F"/>
    <w:rsid w:val="006B39FF"/>
    <w:rsid w:val="006B3C7B"/>
    <w:rsid w:val="006B42F0"/>
    <w:rsid w:val="006B4852"/>
    <w:rsid w:val="006B4A43"/>
    <w:rsid w:val="006B5403"/>
    <w:rsid w:val="006B5490"/>
    <w:rsid w:val="006B5AEA"/>
    <w:rsid w:val="006B6405"/>
    <w:rsid w:val="006B6B72"/>
    <w:rsid w:val="006B711E"/>
    <w:rsid w:val="006B7A77"/>
    <w:rsid w:val="006C008C"/>
    <w:rsid w:val="006C037A"/>
    <w:rsid w:val="006C0501"/>
    <w:rsid w:val="006C0864"/>
    <w:rsid w:val="006C0A4F"/>
    <w:rsid w:val="006C0B5A"/>
    <w:rsid w:val="006C147B"/>
    <w:rsid w:val="006C19A0"/>
    <w:rsid w:val="006C1DDD"/>
    <w:rsid w:val="006C28AC"/>
    <w:rsid w:val="006C30F3"/>
    <w:rsid w:val="006C333F"/>
    <w:rsid w:val="006C4CBA"/>
    <w:rsid w:val="006C4CDB"/>
    <w:rsid w:val="006C4E9A"/>
    <w:rsid w:val="006C593D"/>
    <w:rsid w:val="006C5C82"/>
    <w:rsid w:val="006C6175"/>
    <w:rsid w:val="006C6319"/>
    <w:rsid w:val="006C6907"/>
    <w:rsid w:val="006C7D83"/>
    <w:rsid w:val="006D0801"/>
    <w:rsid w:val="006D1403"/>
    <w:rsid w:val="006D1FE2"/>
    <w:rsid w:val="006D2C9A"/>
    <w:rsid w:val="006D3723"/>
    <w:rsid w:val="006D39B5"/>
    <w:rsid w:val="006D3A83"/>
    <w:rsid w:val="006D3AE7"/>
    <w:rsid w:val="006D46C9"/>
    <w:rsid w:val="006D4A41"/>
    <w:rsid w:val="006D5E61"/>
    <w:rsid w:val="006D6BD3"/>
    <w:rsid w:val="006D751F"/>
    <w:rsid w:val="006E07D1"/>
    <w:rsid w:val="006E09DE"/>
    <w:rsid w:val="006E15E6"/>
    <w:rsid w:val="006E1665"/>
    <w:rsid w:val="006E1ABA"/>
    <w:rsid w:val="006E2188"/>
    <w:rsid w:val="006E235F"/>
    <w:rsid w:val="006E2D2D"/>
    <w:rsid w:val="006E3282"/>
    <w:rsid w:val="006E33C3"/>
    <w:rsid w:val="006E36C8"/>
    <w:rsid w:val="006E3A5B"/>
    <w:rsid w:val="006E3ABB"/>
    <w:rsid w:val="006E3B06"/>
    <w:rsid w:val="006E511B"/>
    <w:rsid w:val="006E5279"/>
    <w:rsid w:val="006E5B08"/>
    <w:rsid w:val="006E5D14"/>
    <w:rsid w:val="006E679D"/>
    <w:rsid w:val="006E7355"/>
    <w:rsid w:val="006E73B1"/>
    <w:rsid w:val="006E7CB2"/>
    <w:rsid w:val="006F064B"/>
    <w:rsid w:val="006F0789"/>
    <w:rsid w:val="006F0BFF"/>
    <w:rsid w:val="006F1225"/>
    <w:rsid w:val="006F1560"/>
    <w:rsid w:val="006F16BA"/>
    <w:rsid w:val="006F1E8F"/>
    <w:rsid w:val="006F1EB1"/>
    <w:rsid w:val="006F2ACD"/>
    <w:rsid w:val="006F2B75"/>
    <w:rsid w:val="006F2D28"/>
    <w:rsid w:val="006F3D7A"/>
    <w:rsid w:val="006F3E6B"/>
    <w:rsid w:val="006F4C47"/>
    <w:rsid w:val="006F4DC3"/>
    <w:rsid w:val="006F4F77"/>
    <w:rsid w:val="006F5004"/>
    <w:rsid w:val="006F5066"/>
    <w:rsid w:val="006F50D8"/>
    <w:rsid w:val="006F5580"/>
    <w:rsid w:val="006F6AF3"/>
    <w:rsid w:val="006F6D02"/>
    <w:rsid w:val="006F7139"/>
    <w:rsid w:val="006F749F"/>
    <w:rsid w:val="00700563"/>
    <w:rsid w:val="0070121B"/>
    <w:rsid w:val="00701AA1"/>
    <w:rsid w:val="007023A2"/>
    <w:rsid w:val="00702A92"/>
    <w:rsid w:val="00702C71"/>
    <w:rsid w:val="00702D7F"/>
    <w:rsid w:val="00703457"/>
    <w:rsid w:val="0070360F"/>
    <w:rsid w:val="00704199"/>
    <w:rsid w:val="00704B8F"/>
    <w:rsid w:val="007060F4"/>
    <w:rsid w:val="00706441"/>
    <w:rsid w:val="0070677F"/>
    <w:rsid w:val="00706905"/>
    <w:rsid w:val="00706C8E"/>
    <w:rsid w:val="00707275"/>
    <w:rsid w:val="007074B8"/>
    <w:rsid w:val="00707840"/>
    <w:rsid w:val="00707F74"/>
    <w:rsid w:val="00710F61"/>
    <w:rsid w:val="007111D5"/>
    <w:rsid w:val="00711917"/>
    <w:rsid w:val="0071254A"/>
    <w:rsid w:val="007132B1"/>
    <w:rsid w:val="00713D59"/>
    <w:rsid w:val="007149E0"/>
    <w:rsid w:val="00715A78"/>
    <w:rsid w:val="00715A99"/>
    <w:rsid w:val="00715C99"/>
    <w:rsid w:val="00716AF2"/>
    <w:rsid w:val="00716DF6"/>
    <w:rsid w:val="00717035"/>
    <w:rsid w:val="007173E3"/>
    <w:rsid w:val="00717813"/>
    <w:rsid w:val="007178F4"/>
    <w:rsid w:val="00717BED"/>
    <w:rsid w:val="00717E29"/>
    <w:rsid w:val="0072071E"/>
    <w:rsid w:val="00720988"/>
    <w:rsid w:val="00720AF4"/>
    <w:rsid w:val="0072119E"/>
    <w:rsid w:val="007217CD"/>
    <w:rsid w:val="007221FA"/>
    <w:rsid w:val="00722449"/>
    <w:rsid w:val="0072245F"/>
    <w:rsid w:val="00723619"/>
    <w:rsid w:val="007238EE"/>
    <w:rsid w:val="00723B1F"/>
    <w:rsid w:val="00723F6A"/>
    <w:rsid w:val="00724197"/>
    <w:rsid w:val="00725AFC"/>
    <w:rsid w:val="00725C6D"/>
    <w:rsid w:val="007269F9"/>
    <w:rsid w:val="00726B7A"/>
    <w:rsid w:val="00726DB6"/>
    <w:rsid w:val="007273C0"/>
    <w:rsid w:val="00727683"/>
    <w:rsid w:val="00727D51"/>
    <w:rsid w:val="00730DCD"/>
    <w:rsid w:val="00731BCA"/>
    <w:rsid w:val="00731BF2"/>
    <w:rsid w:val="007326B0"/>
    <w:rsid w:val="007330F1"/>
    <w:rsid w:val="0073310A"/>
    <w:rsid w:val="007346B9"/>
    <w:rsid w:val="00734E8A"/>
    <w:rsid w:val="00734F63"/>
    <w:rsid w:val="00735095"/>
    <w:rsid w:val="00736302"/>
    <w:rsid w:val="00736B8D"/>
    <w:rsid w:val="007373E6"/>
    <w:rsid w:val="00737976"/>
    <w:rsid w:val="00737A35"/>
    <w:rsid w:val="00742C6D"/>
    <w:rsid w:val="00742D7D"/>
    <w:rsid w:val="00742EC7"/>
    <w:rsid w:val="00743087"/>
    <w:rsid w:val="00743201"/>
    <w:rsid w:val="007436B4"/>
    <w:rsid w:val="00744788"/>
    <w:rsid w:val="007447C8"/>
    <w:rsid w:val="00744B0E"/>
    <w:rsid w:val="00744EF5"/>
    <w:rsid w:val="00745239"/>
    <w:rsid w:val="007454FD"/>
    <w:rsid w:val="00745741"/>
    <w:rsid w:val="00746003"/>
    <w:rsid w:val="00746064"/>
    <w:rsid w:val="007464A1"/>
    <w:rsid w:val="0074657E"/>
    <w:rsid w:val="00746A30"/>
    <w:rsid w:val="00746AAF"/>
    <w:rsid w:val="00746C95"/>
    <w:rsid w:val="007471C6"/>
    <w:rsid w:val="0075022C"/>
    <w:rsid w:val="00750376"/>
    <w:rsid w:val="00750CCE"/>
    <w:rsid w:val="0075185C"/>
    <w:rsid w:val="00751A06"/>
    <w:rsid w:val="00751AFF"/>
    <w:rsid w:val="00751D19"/>
    <w:rsid w:val="0075232D"/>
    <w:rsid w:val="00752751"/>
    <w:rsid w:val="0075298B"/>
    <w:rsid w:val="00752B7F"/>
    <w:rsid w:val="007536DA"/>
    <w:rsid w:val="00753B8D"/>
    <w:rsid w:val="00755AA6"/>
    <w:rsid w:val="0075664B"/>
    <w:rsid w:val="00756A6C"/>
    <w:rsid w:val="00756B06"/>
    <w:rsid w:val="00757314"/>
    <w:rsid w:val="007578B2"/>
    <w:rsid w:val="00757C39"/>
    <w:rsid w:val="0076044D"/>
    <w:rsid w:val="007609D3"/>
    <w:rsid w:val="00760FAC"/>
    <w:rsid w:val="00761369"/>
    <w:rsid w:val="00761594"/>
    <w:rsid w:val="00761B28"/>
    <w:rsid w:val="00761B34"/>
    <w:rsid w:val="00761B41"/>
    <w:rsid w:val="0076226D"/>
    <w:rsid w:val="0076244F"/>
    <w:rsid w:val="00762CC4"/>
    <w:rsid w:val="007630B7"/>
    <w:rsid w:val="007639CB"/>
    <w:rsid w:val="00763F60"/>
    <w:rsid w:val="007645B9"/>
    <w:rsid w:val="00764752"/>
    <w:rsid w:val="00764DEC"/>
    <w:rsid w:val="00764EE3"/>
    <w:rsid w:val="00766399"/>
    <w:rsid w:val="007669CA"/>
    <w:rsid w:val="007670C5"/>
    <w:rsid w:val="007673C3"/>
    <w:rsid w:val="007674BE"/>
    <w:rsid w:val="007674FF"/>
    <w:rsid w:val="0076758C"/>
    <w:rsid w:val="007700EB"/>
    <w:rsid w:val="007702FC"/>
    <w:rsid w:val="00770747"/>
    <w:rsid w:val="0077112E"/>
    <w:rsid w:val="00772214"/>
    <w:rsid w:val="00772919"/>
    <w:rsid w:val="00772C2B"/>
    <w:rsid w:val="00772F5A"/>
    <w:rsid w:val="00773331"/>
    <w:rsid w:val="007735C2"/>
    <w:rsid w:val="007739EA"/>
    <w:rsid w:val="00773AE1"/>
    <w:rsid w:val="00773AE7"/>
    <w:rsid w:val="0077418B"/>
    <w:rsid w:val="0077476C"/>
    <w:rsid w:val="00774D92"/>
    <w:rsid w:val="00774EA2"/>
    <w:rsid w:val="0077506B"/>
    <w:rsid w:val="007760E2"/>
    <w:rsid w:val="0077655D"/>
    <w:rsid w:val="00776633"/>
    <w:rsid w:val="00776803"/>
    <w:rsid w:val="00776992"/>
    <w:rsid w:val="0077763B"/>
    <w:rsid w:val="007779C9"/>
    <w:rsid w:val="00777A42"/>
    <w:rsid w:val="00777FD3"/>
    <w:rsid w:val="00780839"/>
    <w:rsid w:val="00780DFA"/>
    <w:rsid w:val="00781792"/>
    <w:rsid w:val="00781EB0"/>
    <w:rsid w:val="007825CA"/>
    <w:rsid w:val="007825EE"/>
    <w:rsid w:val="0078291C"/>
    <w:rsid w:val="00782BE5"/>
    <w:rsid w:val="00783035"/>
    <w:rsid w:val="00783C0F"/>
    <w:rsid w:val="0078402F"/>
    <w:rsid w:val="00784413"/>
    <w:rsid w:val="00784667"/>
    <w:rsid w:val="00784CFB"/>
    <w:rsid w:val="00784FF2"/>
    <w:rsid w:val="00785027"/>
    <w:rsid w:val="0078537B"/>
    <w:rsid w:val="0078560D"/>
    <w:rsid w:val="00785700"/>
    <w:rsid w:val="00786805"/>
    <w:rsid w:val="007868E6"/>
    <w:rsid w:val="00786C6E"/>
    <w:rsid w:val="00787249"/>
    <w:rsid w:val="00787A08"/>
    <w:rsid w:val="00787CB4"/>
    <w:rsid w:val="00787D1C"/>
    <w:rsid w:val="00787DEC"/>
    <w:rsid w:val="00790011"/>
    <w:rsid w:val="00790634"/>
    <w:rsid w:val="00791022"/>
    <w:rsid w:val="007910D7"/>
    <w:rsid w:val="00791BB7"/>
    <w:rsid w:val="00791E49"/>
    <w:rsid w:val="00791F40"/>
    <w:rsid w:val="00792303"/>
    <w:rsid w:val="00792803"/>
    <w:rsid w:val="00792A29"/>
    <w:rsid w:val="00792DC2"/>
    <w:rsid w:val="00792F40"/>
    <w:rsid w:val="007932EF"/>
    <w:rsid w:val="00793340"/>
    <w:rsid w:val="00793778"/>
    <w:rsid w:val="00793A49"/>
    <w:rsid w:val="0079409D"/>
    <w:rsid w:val="00794CE8"/>
    <w:rsid w:val="00794F82"/>
    <w:rsid w:val="007960F2"/>
    <w:rsid w:val="007974DC"/>
    <w:rsid w:val="007975BB"/>
    <w:rsid w:val="007A0593"/>
    <w:rsid w:val="007A1FD7"/>
    <w:rsid w:val="007A2EAA"/>
    <w:rsid w:val="007A3E8B"/>
    <w:rsid w:val="007A4111"/>
    <w:rsid w:val="007A4592"/>
    <w:rsid w:val="007A4EF6"/>
    <w:rsid w:val="007A5B4A"/>
    <w:rsid w:val="007A6229"/>
    <w:rsid w:val="007A6377"/>
    <w:rsid w:val="007A65FE"/>
    <w:rsid w:val="007A73E0"/>
    <w:rsid w:val="007A769C"/>
    <w:rsid w:val="007A7A9B"/>
    <w:rsid w:val="007A7F3A"/>
    <w:rsid w:val="007B00FB"/>
    <w:rsid w:val="007B066D"/>
    <w:rsid w:val="007B078B"/>
    <w:rsid w:val="007B0A64"/>
    <w:rsid w:val="007B124E"/>
    <w:rsid w:val="007B1CB6"/>
    <w:rsid w:val="007B2832"/>
    <w:rsid w:val="007B2C74"/>
    <w:rsid w:val="007B2DA2"/>
    <w:rsid w:val="007B2EF0"/>
    <w:rsid w:val="007B2FEC"/>
    <w:rsid w:val="007B38E6"/>
    <w:rsid w:val="007B3ED8"/>
    <w:rsid w:val="007B423A"/>
    <w:rsid w:val="007B4744"/>
    <w:rsid w:val="007B49C7"/>
    <w:rsid w:val="007B5199"/>
    <w:rsid w:val="007B5410"/>
    <w:rsid w:val="007B5F45"/>
    <w:rsid w:val="007B6908"/>
    <w:rsid w:val="007B6A73"/>
    <w:rsid w:val="007C0AF6"/>
    <w:rsid w:val="007C0D9C"/>
    <w:rsid w:val="007C162B"/>
    <w:rsid w:val="007C22E2"/>
    <w:rsid w:val="007C2421"/>
    <w:rsid w:val="007C28EE"/>
    <w:rsid w:val="007C338F"/>
    <w:rsid w:val="007C3B16"/>
    <w:rsid w:val="007C40DF"/>
    <w:rsid w:val="007C40FD"/>
    <w:rsid w:val="007C4747"/>
    <w:rsid w:val="007C4DD5"/>
    <w:rsid w:val="007C5BE9"/>
    <w:rsid w:val="007C6947"/>
    <w:rsid w:val="007C69A3"/>
    <w:rsid w:val="007C7DE7"/>
    <w:rsid w:val="007D0505"/>
    <w:rsid w:val="007D0743"/>
    <w:rsid w:val="007D092A"/>
    <w:rsid w:val="007D0C03"/>
    <w:rsid w:val="007D1AE6"/>
    <w:rsid w:val="007D260F"/>
    <w:rsid w:val="007D393D"/>
    <w:rsid w:val="007D3E5A"/>
    <w:rsid w:val="007D4A03"/>
    <w:rsid w:val="007D5280"/>
    <w:rsid w:val="007D5A27"/>
    <w:rsid w:val="007D5B47"/>
    <w:rsid w:val="007D5C61"/>
    <w:rsid w:val="007D6253"/>
    <w:rsid w:val="007D6F7F"/>
    <w:rsid w:val="007D7201"/>
    <w:rsid w:val="007D731A"/>
    <w:rsid w:val="007D764A"/>
    <w:rsid w:val="007E05B0"/>
    <w:rsid w:val="007E0B5F"/>
    <w:rsid w:val="007E13DD"/>
    <w:rsid w:val="007E1C5E"/>
    <w:rsid w:val="007E1F68"/>
    <w:rsid w:val="007E1FE3"/>
    <w:rsid w:val="007E2BF3"/>
    <w:rsid w:val="007E2EF5"/>
    <w:rsid w:val="007E307D"/>
    <w:rsid w:val="007E35DD"/>
    <w:rsid w:val="007E39A7"/>
    <w:rsid w:val="007E4289"/>
    <w:rsid w:val="007E4433"/>
    <w:rsid w:val="007E44AF"/>
    <w:rsid w:val="007E46EA"/>
    <w:rsid w:val="007E49F0"/>
    <w:rsid w:val="007E4FEC"/>
    <w:rsid w:val="007E5216"/>
    <w:rsid w:val="007E545E"/>
    <w:rsid w:val="007E5564"/>
    <w:rsid w:val="007E5F99"/>
    <w:rsid w:val="007E675D"/>
    <w:rsid w:val="007E6937"/>
    <w:rsid w:val="007E6BA8"/>
    <w:rsid w:val="007E743A"/>
    <w:rsid w:val="007E774A"/>
    <w:rsid w:val="007E774F"/>
    <w:rsid w:val="007E78A5"/>
    <w:rsid w:val="007E7C1E"/>
    <w:rsid w:val="007F0507"/>
    <w:rsid w:val="007F1171"/>
    <w:rsid w:val="007F18C5"/>
    <w:rsid w:val="007F1BF2"/>
    <w:rsid w:val="007F21C3"/>
    <w:rsid w:val="007F2304"/>
    <w:rsid w:val="007F2699"/>
    <w:rsid w:val="007F26EB"/>
    <w:rsid w:val="007F2FB8"/>
    <w:rsid w:val="007F2FE1"/>
    <w:rsid w:val="007F324D"/>
    <w:rsid w:val="007F32D7"/>
    <w:rsid w:val="007F3D1F"/>
    <w:rsid w:val="007F42FE"/>
    <w:rsid w:val="007F445E"/>
    <w:rsid w:val="007F4E31"/>
    <w:rsid w:val="007F52AF"/>
    <w:rsid w:val="007F569B"/>
    <w:rsid w:val="007F5DA6"/>
    <w:rsid w:val="007F6624"/>
    <w:rsid w:val="007F676E"/>
    <w:rsid w:val="007F694C"/>
    <w:rsid w:val="007F695F"/>
    <w:rsid w:val="007F7313"/>
    <w:rsid w:val="007F7D75"/>
    <w:rsid w:val="008012F2"/>
    <w:rsid w:val="0080141D"/>
    <w:rsid w:val="008015BD"/>
    <w:rsid w:val="00801613"/>
    <w:rsid w:val="00801765"/>
    <w:rsid w:val="00801C6B"/>
    <w:rsid w:val="0080211C"/>
    <w:rsid w:val="00802B96"/>
    <w:rsid w:val="008049E0"/>
    <w:rsid w:val="00804E48"/>
    <w:rsid w:val="008050E5"/>
    <w:rsid w:val="0080521B"/>
    <w:rsid w:val="00805FEF"/>
    <w:rsid w:val="00806143"/>
    <w:rsid w:val="00806299"/>
    <w:rsid w:val="008062A8"/>
    <w:rsid w:val="0080632B"/>
    <w:rsid w:val="0080700F"/>
    <w:rsid w:val="00807072"/>
    <w:rsid w:val="00807386"/>
    <w:rsid w:val="00807393"/>
    <w:rsid w:val="00807AE3"/>
    <w:rsid w:val="00807D60"/>
    <w:rsid w:val="008113E7"/>
    <w:rsid w:val="008128A2"/>
    <w:rsid w:val="00812C00"/>
    <w:rsid w:val="0081398F"/>
    <w:rsid w:val="00813E49"/>
    <w:rsid w:val="00814601"/>
    <w:rsid w:val="00814AD8"/>
    <w:rsid w:val="00814B18"/>
    <w:rsid w:val="00814C3A"/>
    <w:rsid w:val="00814F41"/>
    <w:rsid w:val="00814FD5"/>
    <w:rsid w:val="0081514F"/>
    <w:rsid w:val="00815805"/>
    <w:rsid w:val="008161CE"/>
    <w:rsid w:val="00816200"/>
    <w:rsid w:val="00817B3D"/>
    <w:rsid w:val="0082004B"/>
    <w:rsid w:val="008205AF"/>
    <w:rsid w:val="00820F04"/>
    <w:rsid w:val="00821061"/>
    <w:rsid w:val="0082113D"/>
    <w:rsid w:val="00821C52"/>
    <w:rsid w:val="00822293"/>
    <w:rsid w:val="008223EC"/>
    <w:rsid w:val="0082250B"/>
    <w:rsid w:val="0082276A"/>
    <w:rsid w:val="008227F1"/>
    <w:rsid w:val="00823304"/>
    <w:rsid w:val="008237BC"/>
    <w:rsid w:val="00823BE9"/>
    <w:rsid w:val="008242C8"/>
    <w:rsid w:val="00824DC8"/>
    <w:rsid w:val="00824E23"/>
    <w:rsid w:val="00825786"/>
    <w:rsid w:val="008259A7"/>
    <w:rsid w:val="00825F48"/>
    <w:rsid w:val="00826934"/>
    <w:rsid w:val="0082789A"/>
    <w:rsid w:val="00827F84"/>
    <w:rsid w:val="00831D18"/>
    <w:rsid w:val="008323A1"/>
    <w:rsid w:val="008323FD"/>
    <w:rsid w:val="00832641"/>
    <w:rsid w:val="008328D5"/>
    <w:rsid w:val="00832B37"/>
    <w:rsid w:val="0083302B"/>
    <w:rsid w:val="008331A2"/>
    <w:rsid w:val="008336D6"/>
    <w:rsid w:val="00834034"/>
    <w:rsid w:val="008345CE"/>
    <w:rsid w:val="00835143"/>
    <w:rsid w:val="008352B8"/>
    <w:rsid w:val="0083544D"/>
    <w:rsid w:val="00835C12"/>
    <w:rsid w:val="00835F87"/>
    <w:rsid w:val="00836A90"/>
    <w:rsid w:val="0083775E"/>
    <w:rsid w:val="00837C3B"/>
    <w:rsid w:val="00837CB2"/>
    <w:rsid w:val="00837DE5"/>
    <w:rsid w:val="008404FF"/>
    <w:rsid w:val="00840C47"/>
    <w:rsid w:val="00840CBC"/>
    <w:rsid w:val="008410C4"/>
    <w:rsid w:val="008412B5"/>
    <w:rsid w:val="008425A7"/>
    <w:rsid w:val="00842F04"/>
    <w:rsid w:val="00843149"/>
    <w:rsid w:val="00843AED"/>
    <w:rsid w:val="008440CE"/>
    <w:rsid w:val="00844573"/>
    <w:rsid w:val="00844A8E"/>
    <w:rsid w:val="00844C42"/>
    <w:rsid w:val="0084595F"/>
    <w:rsid w:val="00846471"/>
    <w:rsid w:val="00846507"/>
    <w:rsid w:val="00851F06"/>
    <w:rsid w:val="00852510"/>
    <w:rsid w:val="00852835"/>
    <w:rsid w:val="00852918"/>
    <w:rsid w:val="008529AF"/>
    <w:rsid w:val="00853B1F"/>
    <w:rsid w:val="00853E5B"/>
    <w:rsid w:val="00854122"/>
    <w:rsid w:val="0085648F"/>
    <w:rsid w:val="00856C1B"/>
    <w:rsid w:val="00856C47"/>
    <w:rsid w:val="00856E59"/>
    <w:rsid w:val="00856EE9"/>
    <w:rsid w:val="008570ED"/>
    <w:rsid w:val="00857E68"/>
    <w:rsid w:val="008607D3"/>
    <w:rsid w:val="00860AC2"/>
    <w:rsid w:val="00861424"/>
    <w:rsid w:val="00861AC1"/>
    <w:rsid w:val="008620E5"/>
    <w:rsid w:val="008621B9"/>
    <w:rsid w:val="00862563"/>
    <w:rsid w:val="00862EBF"/>
    <w:rsid w:val="00863ADC"/>
    <w:rsid w:val="00863D5A"/>
    <w:rsid w:val="00864F62"/>
    <w:rsid w:val="008655FF"/>
    <w:rsid w:val="00865F2C"/>
    <w:rsid w:val="008663A7"/>
    <w:rsid w:val="00866570"/>
    <w:rsid w:val="008668AC"/>
    <w:rsid w:val="008668F5"/>
    <w:rsid w:val="00866C41"/>
    <w:rsid w:val="00867183"/>
    <w:rsid w:val="00867937"/>
    <w:rsid w:val="00867E53"/>
    <w:rsid w:val="008702CE"/>
    <w:rsid w:val="00870785"/>
    <w:rsid w:val="0087096F"/>
    <w:rsid w:val="00870AB6"/>
    <w:rsid w:val="00870AD9"/>
    <w:rsid w:val="00871110"/>
    <w:rsid w:val="008711A7"/>
    <w:rsid w:val="00871373"/>
    <w:rsid w:val="008713B5"/>
    <w:rsid w:val="00871598"/>
    <w:rsid w:val="008716BB"/>
    <w:rsid w:val="0087195C"/>
    <w:rsid w:val="008723CD"/>
    <w:rsid w:val="008724D1"/>
    <w:rsid w:val="0087271D"/>
    <w:rsid w:val="008729F7"/>
    <w:rsid w:val="008733EA"/>
    <w:rsid w:val="00874481"/>
    <w:rsid w:val="00874510"/>
    <w:rsid w:val="00874596"/>
    <w:rsid w:val="00874C3E"/>
    <w:rsid w:val="00874D22"/>
    <w:rsid w:val="00875003"/>
    <w:rsid w:val="008766F5"/>
    <w:rsid w:val="00876A31"/>
    <w:rsid w:val="00876D29"/>
    <w:rsid w:val="00876D52"/>
    <w:rsid w:val="008774D4"/>
    <w:rsid w:val="00877E43"/>
    <w:rsid w:val="008803A6"/>
    <w:rsid w:val="0088056E"/>
    <w:rsid w:val="00880730"/>
    <w:rsid w:val="00880C6E"/>
    <w:rsid w:val="00880CA9"/>
    <w:rsid w:val="008812A6"/>
    <w:rsid w:val="008812EF"/>
    <w:rsid w:val="008818A1"/>
    <w:rsid w:val="0088237D"/>
    <w:rsid w:val="00882427"/>
    <w:rsid w:val="008824CC"/>
    <w:rsid w:val="008827E8"/>
    <w:rsid w:val="008838BB"/>
    <w:rsid w:val="00883E4A"/>
    <w:rsid w:val="008840BE"/>
    <w:rsid w:val="00885A81"/>
    <w:rsid w:val="00885B9F"/>
    <w:rsid w:val="00886507"/>
    <w:rsid w:val="00886B3A"/>
    <w:rsid w:val="0088738E"/>
    <w:rsid w:val="008875CD"/>
    <w:rsid w:val="00887D31"/>
    <w:rsid w:val="008906AC"/>
    <w:rsid w:val="00891F08"/>
    <w:rsid w:val="00892930"/>
    <w:rsid w:val="00892D77"/>
    <w:rsid w:val="008930F1"/>
    <w:rsid w:val="00893213"/>
    <w:rsid w:val="0089371F"/>
    <w:rsid w:val="00893D49"/>
    <w:rsid w:val="00893D4D"/>
    <w:rsid w:val="00893E8C"/>
    <w:rsid w:val="008942FC"/>
    <w:rsid w:val="00894843"/>
    <w:rsid w:val="00894AED"/>
    <w:rsid w:val="00894E93"/>
    <w:rsid w:val="00895483"/>
    <w:rsid w:val="0089635E"/>
    <w:rsid w:val="008A02C8"/>
    <w:rsid w:val="008A04AA"/>
    <w:rsid w:val="008A08A0"/>
    <w:rsid w:val="008A1078"/>
    <w:rsid w:val="008A1784"/>
    <w:rsid w:val="008A1C31"/>
    <w:rsid w:val="008A234A"/>
    <w:rsid w:val="008A2914"/>
    <w:rsid w:val="008A2F93"/>
    <w:rsid w:val="008A368C"/>
    <w:rsid w:val="008A3B2C"/>
    <w:rsid w:val="008A3DA0"/>
    <w:rsid w:val="008A3FC6"/>
    <w:rsid w:val="008A4E00"/>
    <w:rsid w:val="008A5B23"/>
    <w:rsid w:val="008A653F"/>
    <w:rsid w:val="008A67EA"/>
    <w:rsid w:val="008A7541"/>
    <w:rsid w:val="008A77BA"/>
    <w:rsid w:val="008A7865"/>
    <w:rsid w:val="008A79D8"/>
    <w:rsid w:val="008A7C47"/>
    <w:rsid w:val="008B0625"/>
    <w:rsid w:val="008B1063"/>
    <w:rsid w:val="008B219D"/>
    <w:rsid w:val="008B23BA"/>
    <w:rsid w:val="008B3BBE"/>
    <w:rsid w:val="008B5F59"/>
    <w:rsid w:val="008B66E7"/>
    <w:rsid w:val="008B687C"/>
    <w:rsid w:val="008B68A1"/>
    <w:rsid w:val="008B6995"/>
    <w:rsid w:val="008B733A"/>
    <w:rsid w:val="008B73BA"/>
    <w:rsid w:val="008B7991"/>
    <w:rsid w:val="008C0102"/>
    <w:rsid w:val="008C0512"/>
    <w:rsid w:val="008C0A28"/>
    <w:rsid w:val="008C10CF"/>
    <w:rsid w:val="008C157D"/>
    <w:rsid w:val="008C164D"/>
    <w:rsid w:val="008C1D39"/>
    <w:rsid w:val="008C2B0A"/>
    <w:rsid w:val="008C341E"/>
    <w:rsid w:val="008C3448"/>
    <w:rsid w:val="008C3B14"/>
    <w:rsid w:val="008C3C4B"/>
    <w:rsid w:val="008C3DE7"/>
    <w:rsid w:val="008C51AF"/>
    <w:rsid w:val="008C5241"/>
    <w:rsid w:val="008C580E"/>
    <w:rsid w:val="008C5F4D"/>
    <w:rsid w:val="008C6250"/>
    <w:rsid w:val="008C6329"/>
    <w:rsid w:val="008C74DC"/>
    <w:rsid w:val="008C77C1"/>
    <w:rsid w:val="008C7FC3"/>
    <w:rsid w:val="008D049B"/>
    <w:rsid w:val="008D0511"/>
    <w:rsid w:val="008D0946"/>
    <w:rsid w:val="008D0AC4"/>
    <w:rsid w:val="008D0EC4"/>
    <w:rsid w:val="008D1186"/>
    <w:rsid w:val="008D136F"/>
    <w:rsid w:val="008D18A5"/>
    <w:rsid w:val="008D2410"/>
    <w:rsid w:val="008D277B"/>
    <w:rsid w:val="008D2D8F"/>
    <w:rsid w:val="008D3404"/>
    <w:rsid w:val="008D3DBA"/>
    <w:rsid w:val="008D48D8"/>
    <w:rsid w:val="008D4B1E"/>
    <w:rsid w:val="008D57B1"/>
    <w:rsid w:val="008D5C3F"/>
    <w:rsid w:val="008D677D"/>
    <w:rsid w:val="008D6D49"/>
    <w:rsid w:val="008D77C4"/>
    <w:rsid w:val="008D7A40"/>
    <w:rsid w:val="008E0AC9"/>
    <w:rsid w:val="008E1576"/>
    <w:rsid w:val="008E204C"/>
    <w:rsid w:val="008E33AC"/>
    <w:rsid w:val="008E346F"/>
    <w:rsid w:val="008E3570"/>
    <w:rsid w:val="008E44C1"/>
    <w:rsid w:val="008E4D8E"/>
    <w:rsid w:val="008E5743"/>
    <w:rsid w:val="008E5E28"/>
    <w:rsid w:val="008E6115"/>
    <w:rsid w:val="008E67EA"/>
    <w:rsid w:val="008E6CE8"/>
    <w:rsid w:val="008E75C3"/>
    <w:rsid w:val="008E7C47"/>
    <w:rsid w:val="008F0233"/>
    <w:rsid w:val="008F1050"/>
    <w:rsid w:val="008F167C"/>
    <w:rsid w:val="008F19A8"/>
    <w:rsid w:val="008F1D1E"/>
    <w:rsid w:val="008F1FCB"/>
    <w:rsid w:val="008F243B"/>
    <w:rsid w:val="008F424C"/>
    <w:rsid w:val="008F4319"/>
    <w:rsid w:val="008F4D9B"/>
    <w:rsid w:val="008F56A9"/>
    <w:rsid w:val="008F62DD"/>
    <w:rsid w:val="008F6AC1"/>
    <w:rsid w:val="008F7247"/>
    <w:rsid w:val="008F7508"/>
    <w:rsid w:val="008F7AFD"/>
    <w:rsid w:val="00900DF9"/>
    <w:rsid w:val="00901674"/>
    <w:rsid w:val="0090188B"/>
    <w:rsid w:val="009019CF"/>
    <w:rsid w:val="00901B43"/>
    <w:rsid w:val="00903750"/>
    <w:rsid w:val="00904BF6"/>
    <w:rsid w:val="00905166"/>
    <w:rsid w:val="009051D1"/>
    <w:rsid w:val="009056FC"/>
    <w:rsid w:val="00905730"/>
    <w:rsid w:val="00905F61"/>
    <w:rsid w:val="00906343"/>
    <w:rsid w:val="00906437"/>
    <w:rsid w:val="00906CDF"/>
    <w:rsid w:val="00906D1B"/>
    <w:rsid w:val="009104AD"/>
    <w:rsid w:val="0091194B"/>
    <w:rsid w:val="00911AE0"/>
    <w:rsid w:val="00911D23"/>
    <w:rsid w:val="00912328"/>
    <w:rsid w:val="009129E2"/>
    <w:rsid w:val="00912E7D"/>
    <w:rsid w:val="0091351A"/>
    <w:rsid w:val="00914198"/>
    <w:rsid w:val="009149C8"/>
    <w:rsid w:val="00914DA5"/>
    <w:rsid w:val="00915643"/>
    <w:rsid w:val="00915966"/>
    <w:rsid w:val="00915BEE"/>
    <w:rsid w:val="00915DA0"/>
    <w:rsid w:val="00915EBE"/>
    <w:rsid w:val="00916225"/>
    <w:rsid w:val="0091683E"/>
    <w:rsid w:val="00917703"/>
    <w:rsid w:val="00917A73"/>
    <w:rsid w:val="00920019"/>
    <w:rsid w:val="009200A1"/>
    <w:rsid w:val="00920355"/>
    <w:rsid w:val="00920393"/>
    <w:rsid w:val="00920BD9"/>
    <w:rsid w:val="009212DA"/>
    <w:rsid w:val="00921E73"/>
    <w:rsid w:val="0092255F"/>
    <w:rsid w:val="009227A9"/>
    <w:rsid w:val="00923F31"/>
    <w:rsid w:val="00923F4D"/>
    <w:rsid w:val="00924053"/>
    <w:rsid w:val="0092498D"/>
    <w:rsid w:val="00924D2F"/>
    <w:rsid w:val="00925BA0"/>
    <w:rsid w:val="00925C44"/>
    <w:rsid w:val="0092728D"/>
    <w:rsid w:val="00930857"/>
    <w:rsid w:val="009308F4"/>
    <w:rsid w:val="00932514"/>
    <w:rsid w:val="00932A42"/>
    <w:rsid w:val="00933579"/>
    <w:rsid w:val="00933CC4"/>
    <w:rsid w:val="00933D5B"/>
    <w:rsid w:val="00934F55"/>
    <w:rsid w:val="00935DBF"/>
    <w:rsid w:val="00937074"/>
    <w:rsid w:val="00937292"/>
    <w:rsid w:val="00937A1F"/>
    <w:rsid w:val="00937BAD"/>
    <w:rsid w:val="00940104"/>
    <w:rsid w:val="009404FA"/>
    <w:rsid w:val="00940730"/>
    <w:rsid w:val="00942336"/>
    <w:rsid w:val="0094255A"/>
    <w:rsid w:val="009429A4"/>
    <w:rsid w:val="009429D4"/>
    <w:rsid w:val="0094356F"/>
    <w:rsid w:val="009435D6"/>
    <w:rsid w:val="00943D36"/>
    <w:rsid w:val="009441F4"/>
    <w:rsid w:val="00944776"/>
    <w:rsid w:val="00944A0F"/>
    <w:rsid w:val="00944BB8"/>
    <w:rsid w:val="00944D46"/>
    <w:rsid w:val="0094616B"/>
    <w:rsid w:val="009462AE"/>
    <w:rsid w:val="009472D7"/>
    <w:rsid w:val="00947441"/>
    <w:rsid w:val="0095073C"/>
    <w:rsid w:val="00951196"/>
    <w:rsid w:val="009512B2"/>
    <w:rsid w:val="00951484"/>
    <w:rsid w:val="0095156D"/>
    <w:rsid w:val="00951763"/>
    <w:rsid w:val="0095190F"/>
    <w:rsid w:val="00952475"/>
    <w:rsid w:val="00952CF0"/>
    <w:rsid w:val="00952DF1"/>
    <w:rsid w:val="009530F2"/>
    <w:rsid w:val="00954106"/>
    <w:rsid w:val="00954621"/>
    <w:rsid w:val="00954799"/>
    <w:rsid w:val="0095541E"/>
    <w:rsid w:val="00955509"/>
    <w:rsid w:val="00955B9B"/>
    <w:rsid w:val="00955D6C"/>
    <w:rsid w:val="00956998"/>
    <w:rsid w:val="009579CC"/>
    <w:rsid w:val="00957E36"/>
    <w:rsid w:val="00957F3A"/>
    <w:rsid w:val="00960141"/>
    <w:rsid w:val="00960317"/>
    <w:rsid w:val="00961063"/>
    <w:rsid w:val="0096236B"/>
    <w:rsid w:val="009627CD"/>
    <w:rsid w:val="00962DCD"/>
    <w:rsid w:val="00962F3B"/>
    <w:rsid w:val="00962F3F"/>
    <w:rsid w:val="009632FC"/>
    <w:rsid w:val="0096558A"/>
    <w:rsid w:val="009669FB"/>
    <w:rsid w:val="00966CE7"/>
    <w:rsid w:val="009671F0"/>
    <w:rsid w:val="00967351"/>
    <w:rsid w:val="00967AB9"/>
    <w:rsid w:val="00967D67"/>
    <w:rsid w:val="009717FC"/>
    <w:rsid w:val="0097269D"/>
    <w:rsid w:val="009729F5"/>
    <w:rsid w:val="009737E7"/>
    <w:rsid w:val="00973842"/>
    <w:rsid w:val="009738A0"/>
    <w:rsid w:val="00974159"/>
    <w:rsid w:val="00975298"/>
    <w:rsid w:val="009759DF"/>
    <w:rsid w:val="0097650E"/>
    <w:rsid w:val="0097696E"/>
    <w:rsid w:val="00976F30"/>
    <w:rsid w:val="009773CF"/>
    <w:rsid w:val="00977777"/>
    <w:rsid w:val="00977C3F"/>
    <w:rsid w:val="00977CFE"/>
    <w:rsid w:val="00980847"/>
    <w:rsid w:val="00980E8B"/>
    <w:rsid w:val="0098164D"/>
    <w:rsid w:val="00981F36"/>
    <w:rsid w:val="00982031"/>
    <w:rsid w:val="00982A06"/>
    <w:rsid w:val="009834FA"/>
    <w:rsid w:val="00983554"/>
    <w:rsid w:val="0098368D"/>
    <w:rsid w:val="00983A18"/>
    <w:rsid w:val="00983B14"/>
    <w:rsid w:val="00983B33"/>
    <w:rsid w:val="00983F7B"/>
    <w:rsid w:val="00984D94"/>
    <w:rsid w:val="00985395"/>
    <w:rsid w:val="0098545B"/>
    <w:rsid w:val="00985BFF"/>
    <w:rsid w:val="00985D6B"/>
    <w:rsid w:val="0098715C"/>
    <w:rsid w:val="00987A5F"/>
    <w:rsid w:val="00987CF5"/>
    <w:rsid w:val="00990295"/>
    <w:rsid w:val="009903AF"/>
    <w:rsid w:val="00990795"/>
    <w:rsid w:val="00990817"/>
    <w:rsid w:val="0099113A"/>
    <w:rsid w:val="009914C3"/>
    <w:rsid w:val="009917F3"/>
    <w:rsid w:val="00991CD5"/>
    <w:rsid w:val="009925BE"/>
    <w:rsid w:val="00992EAE"/>
    <w:rsid w:val="00994014"/>
    <w:rsid w:val="009956D5"/>
    <w:rsid w:val="00995A86"/>
    <w:rsid w:val="00995EF5"/>
    <w:rsid w:val="0099646A"/>
    <w:rsid w:val="00996A6B"/>
    <w:rsid w:val="0099719D"/>
    <w:rsid w:val="0099798A"/>
    <w:rsid w:val="00997C79"/>
    <w:rsid w:val="00997F67"/>
    <w:rsid w:val="009A0258"/>
    <w:rsid w:val="009A08B6"/>
    <w:rsid w:val="009A11AB"/>
    <w:rsid w:val="009A1554"/>
    <w:rsid w:val="009A15CD"/>
    <w:rsid w:val="009A1C37"/>
    <w:rsid w:val="009A1CD0"/>
    <w:rsid w:val="009A1E3C"/>
    <w:rsid w:val="009A1F37"/>
    <w:rsid w:val="009A245A"/>
    <w:rsid w:val="009A246C"/>
    <w:rsid w:val="009A2C49"/>
    <w:rsid w:val="009A36D1"/>
    <w:rsid w:val="009A392D"/>
    <w:rsid w:val="009A434A"/>
    <w:rsid w:val="009A4D21"/>
    <w:rsid w:val="009A5A56"/>
    <w:rsid w:val="009A64D9"/>
    <w:rsid w:val="009A7532"/>
    <w:rsid w:val="009B1294"/>
    <w:rsid w:val="009B1A38"/>
    <w:rsid w:val="009B2F8B"/>
    <w:rsid w:val="009B302D"/>
    <w:rsid w:val="009B3A00"/>
    <w:rsid w:val="009B406D"/>
    <w:rsid w:val="009B4639"/>
    <w:rsid w:val="009B48C0"/>
    <w:rsid w:val="009B4CD0"/>
    <w:rsid w:val="009B5198"/>
    <w:rsid w:val="009B5D2B"/>
    <w:rsid w:val="009B5D95"/>
    <w:rsid w:val="009B5F0C"/>
    <w:rsid w:val="009B64B6"/>
    <w:rsid w:val="009B680D"/>
    <w:rsid w:val="009B6D2C"/>
    <w:rsid w:val="009B718F"/>
    <w:rsid w:val="009B71D1"/>
    <w:rsid w:val="009B7BFF"/>
    <w:rsid w:val="009B7E3B"/>
    <w:rsid w:val="009C03BE"/>
    <w:rsid w:val="009C0D3C"/>
    <w:rsid w:val="009C186F"/>
    <w:rsid w:val="009C26DD"/>
    <w:rsid w:val="009C28CF"/>
    <w:rsid w:val="009C29BB"/>
    <w:rsid w:val="009C3748"/>
    <w:rsid w:val="009C4A97"/>
    <w:rsid w:val="009C4FC9"/>
    <w:rsid w:val="009C59CC"/>
    <w:rsid w:val="009C6D40"/>
    <w:rsid w:val="009C718A"/>
    <w:rsid w:val="009C7BED"/>
    <w:rsid w:val="009D01BE"/>
    <w:rsid w:val="009D04D5"/>
    <w:rsid w:val="009D1F21"/>
    <w:rsid w:val="009D29EC"/>
    <w:rsid w:val="009D435D"/>
    <w:rsid w:val="009D5454"/>
    <w:rsid w:val="009D5F31"/>
    <w:rsid w:val="009D5FF7"/>
    <w:rsid w:val="009D60F7"/>
    <w:rsid w:val="009D7599"/>
    <w:rsid w:val="009D7E38"/>
    <w:rsid w:val="009E07C0"/>
    <w:rsid w:val="009E0844"/>
    <w:rsid w:val="009E19D6"/>
    <w:rsid w:val="009E3647"/>
    <w:rsid w:val="009E36C3"/>
    <w:rsid w:val="009E38B9"/>
    <w:rsid w:val="009E39D3"/>
    <w:rsid w:val="009E3E4E"/>
    <w:rsid w:val="009E3F13"/>
    <w:rsid w:val="009E3FEC"/>
    <w:rsid w:val="009E4450"/>
    <w:rsid w:val="009E466E"/>
    <w:rsid w:val="009E6253"/>
    <w:rsid w:val="009E65C2"/>
    <w:rsid w:val="009E79B9"/>
    <w:rsid w:val="009E7BFC"/>
    <w:rsid w:val="009F0515"/>
    <w:rsid w:val="009F0C0D"/>
    <w:rsid w:val="009F2A8F"/>
    <w:rsid w:val="009F2D1F"/>
    <w:rsid w:val="009F2E98"/>
    <w:rsid w:val="009F30E4"/>
    <w:rsid w:val="009F347E"/>
    <w:rsid w:val="009F45EF"/>
    <w:rsid w:val="009F4DA1"/>
    <w:rsid w:val="009F5F04"/>
    <w:rsid w:val="009F5F12"/>
    <w:rsid w:val="009F65F1"/>
    <w:rsid w:val="009F679B"/>
    <w:rsid w:val="009F768D"/>
    <w:rsid w:val="009F7B1B"/>
    <w:rsid w:val="00A00204"/>
    <w:rsid w:val="00A00351"/>
    <w:rsid w:val="00A0080B"/>
    <w:rsid w:val="00A00830"/>
    <w:rsid w:val="00A00A52"/>
    <w:rsid w:val="00A010BB"/>
    <w:rsid w:val="00A013B2"/>
    <w:rsid w:val="00A017EB"/>
    <w:rsid w:val="00A01F43"/>
    <w:rsid w:val="00A022A6"/>
    <w:rsid w:val="00A025EF"/>
    <w:rsid w:val="00A02B9C"/>
    <w:rsid w:val="00A02E9E"/>
    <w:rsid w:val="00A0317D"/>
    <w:rsid w:val="00A05ABA"/>
    <w:rsid w:val="00A05C44"/>
    <w:rsid w:val="00A05FFF"/>
    <w:rsid w:val="00A07BA5"/>
    <w:rsid w:val="00A07FE8"/>
    <w:rsid w:val="00A10267"/>
    <w:rsid w:val="00A103A9"/>
    <w:rsid w:val="00A109A0"/>
    <w:rsid w:val="00A1179E"/>
    <w:rsid w:val="00A12B69"/>
    <w:rsid w:val="00A12CA1"/>
    <w:rsid w:val="00A12DC8"/>
    <w:rsid w:val="00A1335C"/>
    <w:rsid w:val="00A133D6"/>
    <w:rsid w:val="00A13559"/>
    <w:rsid w:val="00A13660"/>
    <w:rsid w:val="00A13DD1"/>
    <w:rsid w:val="00A13EE8"/>
    <w:rsid w:val="00A14C6B"/>
    <w:rsid w:val="00A1588D"/>
    <w:rsid w:val="00A15A25"/>
    <w:rsid w:val="00A15FE2"/>
    <w:rsid w:val="00A16149"/>
    <w:rsid w:val="00A16377"/>
    <w:rsid w:val="00A16447"/>
    <w:rsid w:val="00A1669E"/>
    <w:rsid w:val="00A16B92"/>
    <w:rsid w:val="00A1732C"/>
    <w:rsid w:val="00A1736D"/>
    <w:rsid w:val="00A17F5F"/>
    <w:rsid w:val="00A17FAC"/>
    <w:rsid w:val="00A20A97"/>
    <w:rsid w:val="00A21094"/>
    <w:rsid w:val="00A21C9D"/>
    <w:rsid w:val="00A227CB"/>
    <w:rsid w:val="00A2304F"/>
    <w:rsid w:val="00A2384E"/>
    <w:rsid w:val="00A238B9"/>
    <w:rsid w:val="00A25224"/>
    <w:rsid w:val="00A25822"/>
    <w:rsid w:val="00A25913"/>
    <w:rsid w:val="00A260F5"/>
    <w:rsid w:val="00A27270"/>
    <w:rsid w:val="00A27D40"/>
    <w:rsid w:val="00A301BA"/>
    <w:rsid w:val="00A3026B"/>
    <w:rsid w:val="00A304E7"/>
    <w:rsid w:val="00A30B6F"/>
    <w:rsid w:val="00A30BC5"/>
    <w:rsid w:val="00A3177C"/>
    <w:rsid w:val="00A31888"/>
    <w:rsid w:val="00A31D26"/>
    <w:rsid w:val="00A322D3"/>
    <w:rsid w:val="00A329C8"/>
    <w:rsid w:val="00A32BFB"/>
    <w:rsid w:val="00A33804"/>
    <w:rsid w:val="00A33838"/>
    <w:rsid w:val="00A33B86"/>
    <w:rsid w:val="00A346A6"/>
    <w:rsid w:val="00A34C44"/>
    <w:rsid w:val="00A34C46"/>
    <w:rsid w:val="00A34C4A"/>
    <w:rsid w:val="00A34C7D"/>
    <w:rsid w:val="00A35295"/>
    <w:rsid w:val="00A35391"/>
    <w:rsid w:val="00A3564A"/>
    <w:rsid w:val="00A35F9B"/>
    <w:rsid w:val="00A361D2"/>
    <w:rsid w:val="00A36B6F"/>
    <w:rsid w:val="00A36EAF"/>
    <w:rsid w:val="00A3755B"/>
    <w:rsid w:val="00A37F06"/>
    <w:rsid w:val="00A4006A"/>
    <w:rsid w:val="00A40BD7"/>
    <w:rsid w:val="00A418D6"/>
    <w:rsid w:val="00A42319"/>
    <w:rsid w:val="00A4365E"/>
    <w:rsid w:val="00A437C6"/>
    <w:rsid w:val="00A466CB"/>
    <w:rsid w:val="00A4737C"/>
    <w:rsid w:val="00A474D0"/>
    <w:rsid w:val="00A47D79"/>
    <w:rsid w:val="00A50511"/>
    <w:rsid w:val="00A50997"/>
    <w:rsid w:val="00A50D35"/>
    <w:rsid w:val="00A5144B"/>
    <w:rsid w:val="00A51C23"/>
    <w:rsid w:val="00A53BB6"/>
    <w:rsid w:val="00A53C16"/>
    <w:rsid w:val="00A54381"/>
    <w:rsid w:val="00A546A9"/>
    <w:rsid w:val="00A54EB9"/>
    <w:rsid w:val="00A55320"/>
    <w:rsid w:val="00A556AF"/>
    <w:rsid w:val="00A559F0"/>
    <w:rsid w:val="00A563AD"/>
    <w:rsid w:val="00A612E1"/>
    <w:rsid w:val="00A61532"/>
    <w:rsid w:val="00A61A97"/>
    <w:rsid w:val="00A62047"/>
    <w:rsid w:val="00A623C4"/>
    <w:rsid w:val="00A6258C"/>
    <w:rsid w:val="00A62593"/>
    <w:rsid w:val="00A62FEF"/>
    <w:rsid w:val="00A632D3"/>
    <w:rsid w:val="00A64114"/>
    <w:rsid w:val="00A64304"/>
    <w:rsid w:val="00A648A4"/>
    <w:rsid w:val="00A64B0F"/>
    <w:rsid w:val="00A65BED"/>
    <w:rsid w:val="00A66F95"/>
    <w:rsid w:val="00A675C8"/>
    <w:rsid w:val="00A679E2"/>
    <w:rsid w:val="00A70116"/>
    <w:rsid w:val="00A701C6"/>
    <w:rsid w:val="00A70653"/>
    <w:rsid w:val="00A71319"/>
    <w:rsid w:val="00A71330"/>
    <w:rsid w:val="00A71354"/>
    <w:rsid w:val="00A71663"/>
    <w:rsid w:val="00A71952"/>
    <w:rsid w:val="00A72A0C"/>
    <w:rsid w:val="00A73578"/>
    <w:rsid w:val="00A73CDF"/>
    <w:rsid w:val="00A7496C"/>
    <w:rsid w:val="00A74CAC"/>
    <w:rsid w:val="00A74EAC"/>
    <w:rsid w:val="00A76632"/>
    <w:rsid w:val="00A76F28"/>
    <w:rsid w:val="00A773D3"/>
    <w:rsid w:val="00A777A6"/>
    <w:rsid w:val="00A77987"/>
    <w:rsid w:val="00A77AF9"/>
    <w:rsid w:val="00A77E41"/>
    <w:rsid w:val="00A80BB5"/>
    <w:rsid w:val="00A81791"/>
    <w:rsid w:val="00A81D6F"/>
    <w:rsid w:val="00A81DA3"/>
    <w:rsid w:val="00A821C1"/>
    <w:rsid w:val="00A83AD4"/>
    <w:rsid w:val="00A855CC"/>
    <w:rsid w:val="00A86F90"/>
    <w:rsid w:val="00A87A66"/>
    <w:rsid w:val="00A87D4E"/>
    <w:rsid w:val="00A87F3B"/>
    <w:rsid w:val="00A90442"/>
    <w:rsid w:val="00A9057D"/>
    <w:rsid w:val="00A9066C"/>
    <w:rsid w:val="00A9067D"/>
    <w:rsid w:val="00A90ABA"/>
    <w:rsid w:val="00A90B5A"/>
    <w:rsid w:val="00A912CA"/>
    <w:rsid w:val="00A916C2"/>
    <w:rsid w:val="00A91751"/>
    <w:rsid w:val="00A92B59"/>
    <w:rsid w:val="00A94685"/>
    <w:rsid w:val="00A94AA7"/>
    <w:rsid w:val="00A951BB"/>
    <w:rsid w:val="00A9521B"/>
    <w:rsid w:val="00A955E9"/>
    <w:rsid w:val="00A9580A"/>
    <w:rsid w:val="00A9654D"/>
    <w:rsid w:val="00A9667F"/>
    <w:rsid w:val="00A96688"/>
    <w:rsid w:val="00A9723D"/>
    <w:rsid w:val="00A972BA"/>
    <w:rsid w:val="00A9779B"/>
    <w:rsid w:val="00AA038A"/>
    <w:rsid w:val="00AA09F4"/>
    <w:rsid w:val="00AA0ADF"/>
    <w:rsid w:val="00AA117D"/>
    <w:rsid w:val="00AA133E"/>
    <w:rsid w:val="00AA184C"/>
    <w:rsid w:val="00AA1B63"/>
    <w:rsid w:val="00AA2518"/>
    <w:rsid w:val="00AA489F"/>
    <w:rsid w:val="00AA48D8"/>
    <w:rsid w:val="00AA4E65"/>
    <w:rsid w:val="00AA5AD1"/>
    <w:rsid w:val="00AA631B"/>
    <w:rsid w:val="00AA78A4"/>
    <w:rsid w:val="00AA7C80"/>
    <w:rsid w:val="00AB00E9"/>
    <w:rsid w:val="00AB1D4E"/>
    <w:rsid w:val="00AB1DE7"/>
    <w:rsid w:val="00AB2542"/>
    <w:rsid w:val="00AB283C"/>
    <w:rsid w:val="00AB308A"/>
    <w:rsid w:val="00AB3456"/>
    <w:rsid w:val="00AB3E39"/>
    <w:rsid w:val="00AB44D9"/>
    <w:rsid w:val="00AB477E"/>
    <w:rsid w:val="00AB491F"/>
    <w:rsid w:val="00AB4ABA"/>
    <w:rsid w:val="00AB4ABB"/>
    <w:rsid w:val="00AB4ABC"/>
    <w:rsid w:val="00AB6784"/>
    <w:rsid w:val="00AB73B5"/>
    <w:rsid w:val="00AB777F"/>
    <w:rsid w:val="00AB7B88"/>
    <w:rsid w:val="00AC0036"/>
    <w:rsid w:val="00AC0A48"/>
    <w:rsid w:val="00AC0E49"/>
    <w:rsid w:val="00AC10C9"/>
    <w:rsid w:val="00AC1573"/>
    <w:rsid w:val="00AC176B"/>
    <w:rsid w:val="00AC1BC0"/>
    <w:rsid w:val="00AC1D40"/>
    <w:rsid w:val="00AC2064"/>
    <w:rsid w:val="00AC24C7"/>
    <w:rsid w:val="00AC28E2"/>
    <w:rsid w:val="00AC29BB"/>
    <w:rsid w:val="00AC34DF"/>
    <w:rsid w:val="00AC3670"/>
    <w:rsid w:val="00AC4579"/>
    <w:rsid w:val="00AC47C6"/>
    <w:rsid w:val="00AC4AB4"/>
    <w:rsid w:val="00AC57E5"/>
    <w:rsid w:val="00AC644E"/>
    <w:rsid w:val="00AC6692"/>
    <w:rsid w:val="00AC6E4B"/>
    <w:rsid w:val="00AC7374"/>
    <w:rsid w:val="00AC73DE"/>
    <w:rsid w:val="00AC7473"/>
    <w:rsid w:val="00AC7D9E"/>
    <w:rsid w:val="00AD01AD"/>
    <w:rsid w:val="00AD0FA9"/>
    <w:rsid w:val="00AD108C"/>
    <w:rsid w:val="00AD26F9"/>
    <w:rsid w:val="00AD34B4"/>
    <w:rsid w:val="00AD4D44"/>
    <w:rsid w:val="00AD5468"/>
    <w:rsid w:val="00AD55D2"/>
    <w:rsid w:val="00AD5FE2"/>
    <w:rsid w:val="00AD6EAE"/>
    <w:rsid w:val="00AE0B8C"/>
    <w:rsid w:val="00AE1851"/>
    <w:rsid w:val="00AE2145"/>
    <w:rsid w:val="00AE3654"/>
    <w:rsid w:val="00AE3892"/>
    <w:rsid w:val="00AE3A51"/>
    <w:rsid w:val="00AE3CE9"/>
    <w:rsid w:val="00AE452A"/>
    <w:rsid w:val="00AE4D9D"/>
    <w:rsid w:val="00AE52F0"/>
    <w:rsid w:val="00AE53B6"/>
    <w:rsid w:val="00AE5FD3"/>
    <w:rsid w:val="00AE6298"/>
    <w:rsid w:val="00AE6501"/>
    <w:rsid w:val="00AE6966"/>
    <w:rsid w:val="00AE6A54"/>
    <w:rsid w:val="00AF0F06"/>
    <w:rsid w:val="00AF1AFA"/>
    <w:rsid w:val="00AF1B1B"/>
    <w:rsid w:val="00AF23FD"/>
    <w:rsid w:val="00AF2976"/>
    <w:rsid w:val="00AF297A"/>
    <w:rsid w:val="00AF34E8"/>
    <w:rsid w:val="00AF36E3"/>
    <w:rsid w:val="00AF4632"/>
    <w:rsid w:val="00AF490F"/>
    <w:rsid w:val="00AF4943"/>
    <w:rsid w:val="00AF4C35"/>
    <w:rsid w:val="00AF4C45"/>
    <w:rsid w:val="00AF4C7A"/>
    <w:rsid w:val="00AF4FE8"/>
    <w:rsid w:val="00AF59EA"/>
    <w:rsid w:val="00AF61AA"/>
    <w:rsid w:val="00AF61E8"/>
    <w:rsid w:val="00AF6269"/>
    <w:rsid w:val="00AF6642"/>
    <w:rsid w:val="00AF6850"/>
    <w:rsid w:val="00AF68A6"/>
    <w:rsid w:val="00AF6D7C"/>
    <w:rsid w:val="00AF6F2E"/>
    <w:rsid w:val="00AF753E"/>
    <w:rsid w:val="00AF76F2"/>
    <w:rsid w:val="00AF79C1"/>
    <w:rsid w:val="00AF79DE"/>
    <w:rsid w:val="00AF7B29"/>
    <w:rsid w:val="00AF7B64"/>
    <w:rsid w:val="00AF7FF1"/>
    <w:rsid w:val="00B00669"/>
    <w:rsid w:val="00B00D76"/>
    <w:rsid w:val="00B00E93"/>
    <w:rsid w:val="00B01282"/>
    <w:rsid w:val="00B0235C"/>
    <w:rsid w:val="00B02708"/>
    <w:rsid w:val="00B0358D"/>
    <w:rsid w:val="00B035E8"/>
    <w:rsid w:val="00B03D10"/>
    <w:rsid w:val="00B06228"/>
    <w:rsid w:val="00B06288"/>
    <w:rsid w:val="00B0651A"/>
    <w:rsid w:val="00B0772D"/>
    <w:rsid w:val="00B10212"/>
    <w:rsid w:val="00B10360"/>
    <w:rsid w:val="00B10703"/>
    <w:rsid w:val="00B109D2"/>
    <w:rsid w:val="00B11756"/>
    <w:rsid w:val="00B11E48"/>
    <w:rsid w:val="00B12AEB"/>
    <w:rsid w:val="00B1320C"/>
    <w:rsid w:val="00B136AA"/>
    <w:rsid w:val="00B13D10"/>
    <w:rsid w:val="00B13E20"/>
    <w:rsid w:val="00B145D6"/>
    <w:rsid w:val="00B155A3"/>
    <w:rsid w:val="00B15626"/>
    <w:rsid w:val="00B1603B"/>
    <w:rsid w:val="00B162F2"/>
    <w:rsid w:val="00B166B0"/>
    <w:rsid w:val="00B16840"/>
    <w:rsid w:val="00B1689B"/>
    <w:rsid w:val="00B16B1C"/>
    <w:rsid w:val="00B1732F"/>
    <w:rsid w:val="00B17B3D"/>
    <w:rsid w:val="00B200F2"/>
    <w:rsid w:val="00B20F0E"/>
    <w:rsid w:val="00B21A2D"/>
    <w:rsid w:val="00B22074"/>
    <w:rsid w:val="00B2278D"/>
    <w:rsid w:val="00B23174"/>
    <w:rsid w:val="00B245F7"/>
    <w:rsid w:val="00B24AB8"/>
    <w:rsid w:val="00B25397"/>
    <w:rsid w:val="00B25FC7"/>
    <w:rsid w:val="00B2659C"/>
    <w:rsid w:val="00B26F48"/>
    <w:rsid w:val="00B27044"/>
    <w:rsid w:val="00B27A70"/>
    <w:rsid w:val="00B27E7A"/>
    <w:rsid w:val="00B30074"/>
    <w:rsid w:val="00B3058E"/>
    <w:rsid w:val="00B30A23"/>
    <w:rsid w:val="00B3105C"/>
    <w:rsid w:val="00B31102"/>
    <w:rsid w:val="00B3136A"/>
    <w:rsid w:val="00B326E6"/>
    <w:rsid w:val="00B32836"/>
    <w:rsid w:val="00B33FB0"/>
    <w:rsid w:val="00B33FCB"/>
    <w:rsid w:val="00B345F3"/>
    <w:rsid w:val="00B34C5F"/>
    <w:rsid w:val="00B357DA"/>
    <w:rsid w:val="00B35BEE"/>
    <w:rsid w:val="00B3650A"/>
    <w:rsid w:val="00B36C70"/>
    <w:rsid w:val="00B36E48"/>
    <w:rsid w:val="00B37073"/>
    <w:rsid w:val="00B374B1"/>
    <w:rsid w:val="00B37A4C"/>
    <w:rsid w:val="00B406F1"/>
    <w:rsid w:val="00B40D51"/>
    <w:rsid w:val="00B41146"/>
    <w:rsid w:val="00B41187"/>
    <w:rsid w:val="00B418C8"/>
    <w:rsid w:val="00B418ED"/>
    <w:rsid w:val="00B41D8B"/>
    <w:rsid w:val="00B44116"/>
    <w:rsid w:val="00B44576"/>
    <w:rsid w:val="00B44F9F"/>
    <w:rsid w:val="00B456F9"/>
    <w:rsid w:val="00B45A48"/>
    <w:rsid w:val="00B45BC9"/>
    <w:rsid w:val="00B462F2"/>
    <w:rsid w:val="00B46741"/>
    <w:rsid w:val="00B4684B"/>
    <w:rsid w:val="00B46BCC"/>
    <w:rsid w:val="00B4711D"/>
    <w:rsid w:val="00B506EB"/>
    <w:rsid w:val="00B512B6"/>
    <w:rsid w:val="00B513A8"/>
    <w:rsid w:val="00B51FFF"/>
    <w:rsid w:val="00B522AF"/>
    <w:rsid w:val="00B52691"/>
    <w:rsid w:val="00B52B97"/>
    <w:rsid w:val="00B53219"/>
    <w:rsid w:val="00B53470"/>
    <w:rsid w:val="00B535BD"/>
    <w:rsid w:val="00B536C4"/>
    <w:rsid w:val="00B555C3"/>
    <w:rsid w:val="00B56169"/>
    <w:rsid w:val="00B563DF"/>
    <w:rsid w:val="00B57474"/>
    <w:rsid w:val="00B57BC1"/>
    <w:rsid w:val="00B57D16"/>
    <w:rsid w:val="00B60043"/>
    <w:rsid w:val="00B60C82"/>
    <w:rsid w:val="00B62406"/>
    <w:rsid w:val="00B627B8"/>
    <w:rsid w:val="00B62B15"/>
    <w:rsid w:val="00B62C3A"/>
    <w:rsid w:val="00B62E81"/>
    <w:rsid w:val="00B6393A"/>
    <w:rsid w:val="00B64487"/>
    <w:rsid w:val="00B64CFE"/>
    <w:rsid w:val="00B64D84"/>
    <w:rsid w:val="00B6605E"/>
    <w:rsid w:val="00B670E5"/>
    <w:rsid w:val="00B673CB"/>
    <w:rsid w:val="00B67BD3"/>
    <w:rsid w:val="00B67D2C"/>
    <w:rsid w:val="00B7000F"/>
    <w:rsid w:val="00B70C80"/>
    <w:rsid w:val="00B70DA9"/>
    <w:rsid w:val="00B71199"/>
    <w:rsid w:val="00B712D3"/>
    <w:rsid w:val="00B71793"/>
    <w:rsid w:val="00B71C9D"/>
    <w:rsid w:val="00B71D85"/>
    <w:rsid w:val="00B721D9"/>
    <w:rsid w:val="00B7254C"/>
    <w:rsid w:val="00B72E6A"/>
    <w:rsid w:val="00B73244"/>
    <w:rsid w:val="00B733EB"/>
    <w:rsid w:val="00B73544"/>
    <w:rsid w:val="00B7385D"/>
    <w:rsid w:val="00B73913"/>
    <w:rsid w:val="00B74D04"/>
    <w:rsid w:val="00B75644"/>
    <w:rsid w:val="00B76336"/>
    <w:rsid w:val="00B7638E"/>
    <w:rsid w:val="00B76753"/>
    <w:rsid w:val="00B76AA1"/>
    <w:rsid w:val="00B76E26"/>
    <w:rsid w:val="00B77318"/>
    <w:rsid w:val="00B7766A"/>
    <w:rsid w:val="00B77B0E"/>
    <w:rsid w:val="00B805E9"/>
    <w:rsid w:val="00B81459"/>
    <w:rsid w:val="00B81BE4"/>
    <w:rsid w:val="00B820A7"/>
    <w:rsid w:val="00B822E3"/>
    <w:rsid w:val="00B82AB3"/>
    <w:rsid w:val="00B82D36"/>
    <w:rsid w:val="00B83792"/>
    <w:rsid w:val="00B837CF"/>
    <w:rsid w:val="00B83AC9"/>
    <w:rsid w:val="00B83C7F"/>
    <w:rsid w:val="00B83CBE"/>
    <w:rsid w:val="00B84B7A"/>
    <w:rsid w:val="00B8527E"/>
    <w:rsid w:val="00B85297"/>
    <w:rsid w:val="00B855B2"/>
    <w:rsid w:val="00B85606"/>
    <w:rsid w:val="00B8595B"/>
    <w:rsid w:val="00B85E95"/>
    <w:rsid w:val="00B860DF"/>
    <w:rsid w:val="00B86C17"/>
    <w:rsid w:val="00B87570"/>
    <w:rsid w:val="00B87E44"/>
    <w:rsid w:val="00B90406"/>
    <w:rsid w:val="00B9066D"/>
    <w:rsid w:val="00B906FF"/>
    <w:rsid w:val="00B9149D"/>
    <w:rsid w:val="00B915DC"/>
    <w:rsid w:val="00B918DC"/>
    <w:rsid w:val="00B91B7A"/>
    <w:rsid w:val="00B92532"/>
    <w:rsid w:val="00B927B2"/>
    <w:rsid w:val="00B9336F"/>
    <w:rsid w:val="00B938AF"/>
    <w:rsid w:val="00B938BF"/>
    <w:rsid w:val="00B94576"/>
    <w:rsid w:val="00B9576C"/>
    <w:rsid w:val="00B95A16"/>
    <w:rsid w:val="00B95A95"/>
    <w:rsid w:val="00B973EC"/>
    <w:rsid w:val="00B97AB6"/>
    <w:rsid w:val="00BA0EBC"/>
    <w:rsid w:val="00BA133D"/>
    <w:rsid w:val="00BA19EE"/>
    <w:rsid w:val="00BA1E4D"/>
    <w:rsid w:val="00BA21A0"/>
    <w:rsid w:val="00BA266E"/>
    <w:rsid w:val="00BA2D57"/>
    <w:rsid w:val="00BA35E7"/>
    <w:rsid w:val="00BA422B"/>
    <w:rsid w:val="00BA43A3"/>
    <w:rsid w:val="00BA4986"/>
    <w:rsid w:val="00BA4DB3"/>
    <w:rsid w:val="00BA4F1B"/>
    <w:rsid w:val="00BA534C"/>
    <w:rsid w:val="00BA5B01"/>
    <w:rsid w:val="00BA5CCF"/>
    <w:rsid w:val="00BA5D60"/>
    <w:rsid w:val="00BA630C"/>
    <w:rsid w:val="00BA671C"/>
    <w:rsid w:val="00BA6A0D"/>
    <w:rsid w:val="00BA6A43"/>
    <w:rsid w:val="00BA7262"/>
    <w:rsid w:val="00BA7599"/>
    <w:rsid w:val="00BA77CF"/>
    <w:rsid w:val="00BB01F9"/>
    <w:rsid w:val="00BB0F1B"/>
    <w:rsid w:val="00BB19E1"/>
    <w:rsid w:val="00BB22F6"/>
    <w:rsid w:val="00BB243A"/>
    <w:rsid w:val="00BB2521"/>
    <w:rsid w:val="00BB34DB"/>
    <w:rsid w:val="00BB3561"/>
    <w:rsid w:val="00BB359A"/>
    <w:rsid w:val="00BB3BE9"/>
    <w:rsid w:val="00BB3E73"/>
    <w:rsid w:val="00BB4556"/>
    <w:rsid w:val="00BB4788"/>
    <w:rsid w:val="00BB4880"/>
    <w:rsid w:val="00BB522E"/>
    <w:rsid w:val="00BB53CC"/>
    <w:rsid w:val="00BB69C3"/>
    <w:rsid w:val="00BB6A17"/>
    <w:rsid w:val="00BB6B69"/>
    <w:rsid w:val="00BB7528"/>
    <w:rsid w:val="00BC036D"/>
    <w:rsid w:val="00BC0A9B"/>
    <w:rsid w:val="00BC0E15"/>
    <w:rsid w:val="00BC1C20"/>
    <w:rsid w:val="00BC1CB2"/>
    <w:rsid w:val="00BC2E94"/>
    <w:rsid w:val="00BC3D50"/>
    <w:rsid w:val="00BC3E33"/>
    <w:rsid w:val="00BC43EF"/>
    <w:rsid w:val="00BC4E43"/>
    <w:rsid w:val="00BC5A90"/>
    <w:rsid w:val="00BC60FC"/>
    <w:rsid w:val="00BC6741"/>
    <w:rsid w:val="00BC6E4D"/>
    <w:rsid w:val="00BC7204"/>
    <w:rsid w:val="00BC766C"/>
    <w:rsid w:val="00BD0CF9"/>
    <w:rsid w:val="00BD0F70"/>
    <w:rsid w:val="00BD134B"/>
    <w:rsid w:val="00BD21AC"/>
    <w:rsid w:val="00BD3ED8"/>
    <w:rsid w:val="00BD41EB"/>
    <w:rsid w:val="00BD4218"/>
    <w:rsid w:val="00BD5476"/>
    <w:rsid w:val="00BD55EF"/>
    <w:rsid w:val="00BD5D99"/>
    <w:rsid w:val="00BD6EA9"/>
    <w:rsid w:val="00BD74CB"/>
    <w:rsid w:val="00BD7AE7"/>
    <w:rsid w:val="00BD7F0E"/>
    <w:rsid w:val="00BE0052"/>
    <w:rsid w:val="00BE031B"/>
    <w:rsid w:val="00BE18D1"/>
    <w:rsid w:val="00BE1FEB"/>
    <w:rsid w:val="00BE22BE"/>
    <w:rsid w:val="00BE24B1"/>
    <w:rsid w:val="00BE25AF"/>
    <w:rsid w:val="00BE2866"/>
    <w:rsid w:val="00BE3017"/>
    <w:rsid w:val="00BE3174"/>
    <w:rsid w:val="00BE405E"/>
    <w:rsid w:val="00BE4695"/>
    <w:rsid w:val="00BE4A4D"/>
    <w:rsid w:val="00BE4B0D"/>
    <w:rsid w:val="00BE4FB9"/>
    <w:rsid w:val="00BE501A"/>
    <w:rsid w:val="00BE56AA"/>
    <w:rsid w:val="00BE5CE3"/>
    <w:rsid w:val="00BE6FA5"/>
    <w:rsid w:val="00BE7329"/>
    <w:rsid w:val="00BE7B83"/>
    <w:rsid w:val="00BF032E"/>
    <w:rsid w:val="00BF0541"/>
    <w:rsid w:val="00BF0B83"/>
    <w:rsid w:val="00BF1092"/>
    <w:rsid w:val="00BF180B"/>
    <w:rsid w:val="00BF1F63"/>
    <w:rsid w:val="00BF22DF"/>
    <w:rsid w:val="00BF26F8"/>
    <w:rsid w:val="00BF312A"/>
    <w:rsid w:val="00BF348C"/>
    <w:rsid w:val="00BF4056"/>
    <w:rsid w:val="00BF46AA"/>
    <w:rsid w:val="00BF5A99"/>
    <w:rsid w:val="00BF5F1D"/>
    <w:rsid w:val="00BF6185"/>
    <w:rsid w:val="00BF7DAE"/>
    <w:rsid w:val="00C0018C"/>
    <w:rsid w:val="00C004AD"/>
    <w:rsid w:val="00C00547"/>
    <w:rsid w:val="00C0073B"/>
    <w:rsid w:val="00C0088E"/>
    <w:rsid w:val="00C009B8"/>
    <w:rsid w:val="00C009DE"/>
    <w:rsid w:val="00C01092"/>
    <w:rsid w:val="00C011A3"/>
    <w:rsid w:val="00C01279"/>
    <w:rsid w:val="00C013E7"/>
    <w:rsid w:val="00C016A7"/>
    <w:rsid w:val="00C019E7"/>
    <w:rsid w:val="00C01E02"/>
    <w:rsid w:val="00C020AD"/>
    <w:rsid w:val="00C02344"/>
    <w:rsid w:val="00C02593"/>
    <w:rsid w:val="00C02E98"/>
    <w:rsid w:val="00C03120"/>
    <w:rsid w:val="00C03B07"/>
    <w:rsid w:val="00C03D68"/>
    <w:rsid w:val="00C04725"/>
    <w:rsid w:val="00C04C21"/>
    <w:rsid w:val="00C0665C"/>
    <w:rsid w:val="00C06C9A"/>
    <w:rsid w:val="00C07AF4"/>
    <w:rsid w:val="00C1019B"/>
    <w:rsid w:val="00C10DC0"/>
    <w:rsid w:val="00C11483"/>
    <w:rsid w:val="00C12301"/>
    <w:rsid w:val="00C12524"/>
    <w:rsid w:val="00C12F16"/>
    <w:rsid w:val="00C12F2F"/>
    <w:rsid w:val="00C13B00"/>
    <w:rsid w:val="00C140B9"/>
    <w:rsid w:val="00C142CA"/>
    <w:rsid w:val="00C146CE"/>
    <w:rsid w:val="00C14CA2"/>
    <w:rsid w:val="00C1523A"/>
    <w:rsid w:val="00C153F9"/>
    <w:rsid w:val="00C16270"/>
    <w:rsid w:val="00C16450"/>
    <w:rsid w:val="00C165D5"/>
    <w:rsid w:val="00C16CE8"/>
    <w:rsid w:val="00C1726F"/>
    <w:rsid w:val="00C2076E"/>
    <w:rsid w:val="00C20778"/>
    <w:rsid w:val="00C20A54"/>
    <w:rsid w:val="00C22B8E"/>
    <w:rsid w:val="00C23275"/>
    <w:rsid w:val="00C24418"/>
    <w:rsid w:val="00C24666"/>
    <w:rsid w:val="00C24826"/>
    <w:rsid w:val="00C251BD"/>
    <w:rsid w:val="00C25993"/>
    <w:rsid w:val="00C25CB5"/>
    <w:rsid w:val="00C25EC8"/>
    <w:rsid w:val="00C26011"/>
    <w:rsid w:val="00C26B1A"/>
    <w:rsid w:val="00C26C83"/>
    <w:rsid w:val="00C279EB"/>
    <w:rsid w:val="00C30706"/>
    <w:rsid w:val="00C30FDC"/>
    <w:rsid w:val="00C31442"/>
    <w:rsid w:val="00C32B0F"/>
    <w:rsid w:val="00C32B54"/>
    <w:rsid w:val="00C32CBA"/>
    <w:rsid w:val="00C33495"/>
    <w:rsid w:val="00C337C3"/>
    <w:rsid w:val="00C33A22"/>
    <w:rsid w:val="00C33AD3"/>
    <w:rsid w:val="00C33C1B"/>
    <w:rsid w:val="00C342E0"/>
    <w:rsid w:val="00C343E0"/>
    <w:rsid w:val="00C34760"/>
    <w:rsid w:val="00C34802"/>
    <w:rsid w:val="00C34964"/>
    <w:rsid w:val="00C35023"/>
    <w:rsid w:val="00C35541"/>
    <w:rsid w:val="00C362EB"/>
    <w:rsid w:val="00C36C26"/>
    <w:rsid w:val="00C372CC"/>
    <w:rsid w:val="00C37F7A"/>
    <w:rsid w:val="00C41516"/>
    <w:rsid w:val="00C41B38"/>
    <w:rsid w:val="00C41CF1"/>
    <w:rsid w:val="00C420AA"/>
    <w:rsid w:val="00C422D7"/>
    <w:rsid w:val="00C44028"/>
    <w:rsid w:val="00C446CB"/>
    <w:rsid w:val="00C447E6"/>
    <w:rsid w:val="00C44849"/>
    <w:rsid w:val="00C44A66"/>
    <w:rsid w:val="00C44F03"/>
    <w:rsid w:val="00C457DA"/>
    <w:rsid w:val="00C45E11"/>
    <w:rsid w:val="00C45F0A"/>
    <w:rsid w:val="00C4678B"/>
    <w:rsid w:val="00C46957"/>
    <w:rsid w:val="00C46B8C"/>
    <w:rsid w:val="00C47CAB"/>
    <w:rsid w:val="00C50D7E"/>
    <w:rsid w:val="00C51DE5"/>
    <w:rsid w:val="00C51F1D"/>
    <w:rsid w:val="00C52DAC"/>
    <w:rsid w:val="00C53630"/>
    <w:rsid w:val="00C53661"/>
    <w:rsid w:val="00C53EE8"/>
    <w:rsid w:val="00C53F70"/>
    <w:rsid w:val="00C540E6"/>
    <w:rsid w:val="00C551BF"/>
    <w:rsid w:val="00C5589F"/>
    <w:rsid w:val="00C55F42"/>
    <w:rsid w:val="00C55FB3"/>
    <w:rsid w:val="00C570FF"/>
    <w:rsid w:val="00C5739F"/>
    <w:rsid w:val="00C576B3"/>
    <w:rsid w:val="00C57F48"/>
    <w:rsid w:val="00C608B3"/>
    <w:rsid w:val="00C619F0"/>
    <w:rsid w:val="00C61C72"/>
    <w:rsid w:val="00C62467"/>
    <w:rsid w:val="00C628BA"/>
    <w:rsid w:val="00C62BF2"/>
    <w:rsid w:val="00C62D1F"/>
    <w:rsid w:val="00C63707"/>
    <w:rsid w:val="00C6529E"/>
    <w:rsid w:val="00C65DC2"/>
    <w:rsid w:val="00C66038"/>
    <w:rsid w:val="00C6634B"/>
    <w:rsid w:val="00C66381"/>
    <w:rsid w:val="00C67D98"/>
    <w:rsid w:val="00C7080C"/>
    <w:rsid w:val="00C70B3A"/>
    <w:rsid w:val="00C70CDD"/>
    <w:rsid w:val="00C71190"/>
    <w:rsid w:val="00C712B8"/>
    <w:rsid w:val="00C71588"/>
    <w:rsid w:val="00C716D8"/>
    <w:rsid w:val="00C71DAF"/>
    <w:rsid w:val="00C7381E"/>
    <w:rsid w:val="00C7457D"/>
    <w:rsid w:val="00C74F09"/>
    <w:rsid w:val="00C74F59"/>
    <w:rsid w:val="00C75D96"/>
    <w:rsid w:val="00C75FB8"/>
    <w:rsid w:val="00C7618D"/>
    <w:rsid w:val="00C76361"/>
    <w:rsid w:val="00C76673"/>
    <w:rsid w:val="00C803E4"/>
    <w:rsid w:val="00C807D8"/>
    <w:rsid w:val="00C8116C"/>
    <w:rsid w:val="00C814BA"/>
    <w:rsid w:val="00C8239D"/>
    <w:rsid w:val="00C82C35"/>
    <w:rsid w:val="00C82ECA"/>
    <w:rsid w:val="00C835CF"/>
    <w:rsid w:val="00C83765"/>
    <w:rsid w:val="00C837B1"/>
    <w:rsid w:val="00C84AAB"/>
    <w:rsid w:val="00C8616B"/>
    <w:rsid w:val="00C86BCA"/>
    <w:rsid w:val="00C86CCF"/>
    <w:rsid w:val="00C86FCA"/>
    <w:rsid w:val="00C8740C"/>
    <w:rsid w:val="00C9107E"/>
    <w:rsid w:val="00C914D7"/>
    <w:rsid w:val="00C91985"/>
    <w:rsid w:val="00C92A20"/>
    <w:rsid w:val="00C92C0C"/>
    <w:rsid w:val="00C93446"/>
    <w:rsid w:val="00C9584D"/>
    <w:rsid w:val="00C96C1D"/>
    <w:rsid w:val="00C978DD"/>
    <w:rsid w:val="00CA042A"/>
    <w:rsid w:val="00CA07C1"/>
    <w:rsid w:val="00CA0864"/>
    <w:rsid w:val="00CA0A72"/>
    <w:rsid w:val="00CA12BA"/>
    <w:rsid w:val="00CA1652"/>
    <w:rsid w:val="00CA2548"/>
    <w:rsid w:val="00CA27A9"/>
    <w:rsid w:val="00CA2A01"/>
    <w:rsid w:val="00CA3581"/>
    <w:rsid w:val="00CA36C2"/>
    <w:rsid w:val="00CA371D"/>
    <w:rsid w:val="00CA4127"/>
    <w:rsid w:val="00CA4FFC"/>
    <w:rsid w:val="00CA5785"/>
    <w:rsid w:val="00CA57AC"/>
    <w:rsid w:val="00CA5B3D"/>
    <w:rsid w:val="00CA5FBA"/>
    <w:rsid w:val="00CA603A"/>
    <w:rsid w:val="00CA64EA"/>
    <w:rsid w:val="00CA6CA9"/>
    <w:rsid w:val="00CA6FC8"/>
    <w:rsid w:val="00CA733C"/>
    <w:rsid w:val="00CA789B"/>
    <w:rsid w:val="00CA78B8"/>
    <w:rsid w:val="00CB0E0F"/>
    <w:rsid w:val="00CB172B"/>
    <w:rsid w:val="00CB1890"/>
    <w:rsid w:val="00CB20C1"/>
    <w:rsid w:val="00CB289F"/>
    <w:rsid w:val="00CB29BB"/>
    <w:rsid w:val="00CB318F"/>
    <w:rsid w:val="00CB3AEF"/>
    <w:rsid w:val="00CB3D11"/>
    <w:rsid w:val="00CB3DC2"/>
    <w:rsid w:val="00CB429B"/>
    <w:rsid w:val="00CB4DB5"/>
    <w:rsid w:val="00CB5E1F"/>
    <w:rsid w:val="00CB6E21"/>
    <w:rsid w:val="00CB73BD"/>
    <w:rsid w:val="00CB7571"/>
    <w:rsid w:val="00CB782A"/>
    <w:rsid w:val="00CB7F59"/>
    <w:rsid w:val="00CC18DA"/>
    <w:rsid w:val="00CC1DA3"/>
    <w:rsid w:val="00CC1E2C"/>
    <w:rsid w:val="00CC3127"/>
    <w:rsid w:val="00CC32D8"/>
    <w:rsid w:val="00CC4070"/>
    <w:rsid w:val="00CC455E"/>
    <w:rsid w:val="00CC55E1"/>
    <w:rsid w:val="00CC5609"/>
    <w:rsid w:val="00CC5849"/>
    <w:rsid w:val="00CC5B74"/>
    <w:rsid w:val="00CC779A"/>
    <w:rsid w:val="00CC7B26"/>
    <w:rsid w:val="00CD07F5"/>
    <w:rsid w:val="00CD0B9D"/>
    <w:rsid w:val="00CD0E53"/>
    <w:rsid w:val="00CD1816"/>
    <w:rsid w:val="00CD288E"/>
    <w:rsid w:val="00CD4173"/>
    <w:rsid w:val="00CD4949"/>
    <w:rsid w:val="00CD49B1"/>
    <w:rsid w:val="00CD4B66"/>
    <w:rsid w:val="00CD5F9D"/>
    <w:rsid w:val="00CD6404"/>
    <w:rsid w:val="00CD7737"/>
    <w:rsid w:val="00CD7D2B"/>
    <w:rsid w:val="00CE0C47"/>
    <w:rsid w:val="00CE1227"/>
    <w:rsid w:val="00CE18A8"/>
    <w:rsid w:val="00CE19A5"/>
    <w:rsid w:val="00CE1E6F"/>
    <w:rsid w:val="00CE3A8B"/>
    <w:rsid w:val="00CE417B"/>
    <w:rsid w:val="00CE462E"/>
    <w:rsid w:val="00CE558B"/>
    <w:rsid w:val="00CE5D96"/>
    <w:rsid w:val="00CE6332"/>
    <w:rsid w:val="00CE6AAB"/>
    <w:rsid w:val="00CE6C3E"/>
    <w:rsid w:val="00CE72C1"/>
    <w:rsid w:val="00CE7684"/>
    <w:rsid w:val="00CE77F6"/>
    <w:rsid w:val="00CF00D0"/>
    <w:rsid w:val="00CF0265"/>
    <w:rsid w:val="00CF07A8"/>
    <w:rsid w:val="00CF0884"/>
    <w:rsid w:val="00CF0931"/>
    <w:rsid w:val="00CF0BAC"/>
    <w:rsid w:val="00CF0D19"/>
    <w:rsid w:val="00CF0DDF"/>
    <w:rsid w:val="00CF0EAA"/>
    <w:rsid w:val="00CF11D0"/>
    <w:rsid w:val="00CF1386"/>
    <w:rsid w:val="00CF1C08"/>
    <w:rsid w:val="00CF1DA1"/>
    <w:rsid w:val="00CF2690"/>
    <w:rsid w:val="00CF2714"/>
    <w:rsid w:val="00CF2A47"/>
    <w:rsid w:val="00CF32FB"/>
    <w:rsid w:val="00CF3582"/>
    <w:rsid w:val="00CF52FA"/>
    <w:rsid w:val="00CF6066"/>
    <w:rsid w:val="00CF64E0"/>
    <w:rsid w:val="00CF6FC3"/>
    <w:rsid w:val="00CF73AB"/>
    <w:rsid w:val="00CF7E35"/>
    <w:rsid w:val="00D00462"/>
    <w:rsid w:val="00D0087B"/>
    <w:rsid w:val="00D013B3"/>
    <w:rsid w:val="00D01604"/>
    <w:rsid w:val="00D02265"/>
    <w:rsid w:val="00D02890"/>
    <w:rsid w:val="00D02A34"/>
    <w:rsid w:val="00D02B1B"/>
    <w:rsid w:val="00D02B22"/>
    <w:rsid w:val="00D03282"/>
    <w:rsid w:val="00D032F0"/>
    <w:rsid w:val="00D03411"/>
    <w:rsid w:val="00D035E7"/>
    <w:rsid w:val="00D03BBF"/>
    <w:rsid w:val="00D03C30"/>
    <w:rsid w:val="00D03D39"/>
    <w:rsid w:val="00D06265"/>
    <w:rsid w:val="00D062D3"/>
    <w:rsid w:val="00D10069"/>
    <w:rsid w:val="00D10CD3"/>
    <w:rsid w:val="00D11FE4"/>
    <w:rsid w:val="00D12323"/>
    <w:rsid w:val="00D1237C"/>
    <w:rsid w:val="00D126C6"/>
    <w:rsid w:val="00D13448"/>
    <w:rsid w:val="00D1369E"/>
    <w:rsid w:val="00D13B1F"/>
    <w:rsid w:val="00D13DF2"/>
    <w:rsid w:val="00D15074"/>
    <w:rsid w:val="00D159B5"/>
    <w:rsid w:val="00D15B21"/>
    <w:rsid w:val="00D15CBB"/>
    <w:rsid w:val="00D15E05"/>
    <w:rsid w:val="00D16677"/>
    <w:rsid w:val="00D168D7"/>
    <w:rsid w:val="00D16B8B"/>
    <w:rsid w:val="00D16FE1"/>
    <w:rsid w:val="00D17C34"/>
    <w:rsid w:val="00D20115"/>
    <w:rsid w:val="00D20381"/>
    <w:rsid w:val="00D20C6D"/>
    <w:rsid w:val="00D21CAE"/>
    <w:rsid w:val="00D220E2"/>
    <w:rsid w:val="00D22E64"/>
    <w:rsid w:val="00D232FD"/>
    <w:rsid w:val="00D23BEB"/>
    <w:rsid w:val="00D23ED7"/>
    <w:rsid w:val="00D26094"/>
    <w:rsid w:val="00D264E5"/>
    <w:rsid w:val="00D26887"/>
    <w:rsid w:val="00D2689E"/>
    <w:rsid w:val="00D274C9"/>
    <w:rsid w:val="00D2773C"/>
    <w:rsid w:val="00D277B8"/>
    <w:rsid w:val="00D27D76"/>
    <w:rsid w:val="00D304C5"/>
    <w:rsid w:val="00D3098E"/>
    <w:rsid w:val="00D30BE2"/>
    <w:rsid w:val="00D30D33"/>
    <w:rsid w:val="00D30F1D"/>
    <w:rsid w:val="00D31F6C"/>
    <w:rsid w:val="00D3204B"/>
    <w:rsid w:val="00D32219"/>
    <w:rsid w:val="00D32430"/>
    <w:rsid w:val="00D334CB"/>
    <w:rsid w:val="00D33C2C"/>
    <w:rsid w:val="00D33D2A"/>
    <w:rsid w:val="00D33E0B"/>
    <w:rsid w:val="00D343A5"/>
    <w:rsid w:val="00D34BDC"/>
    <w:rsid w:val="00D34DEB"/>
    <w:rsid w:val="00D35082"/>
    <w:rsid w:val="00D35BC5"/>
    <w:rsid w:val="00D35ED8"/>
    <w:rsid w:val="00D361A3"/>
    <w:rsid w:val="00D36A6B"/>
    <w:rsid w:val="00D36F3B"/>
    <w:rsid w:val="00D37212"/>
    <w:rsid w:val="00D372E7"/>
    <w:rsid w:val="00D375DB"/>
    <w:rsid w:val="00D402FB"/>
    <w:rsid w:val="00D40461"/>
    <w:rsid w:val="00D407D6"/>
    <w:rsid w:val="00D41131"/>
    <w:rsid w:val="00D414B9"/>
    <w:rsid w:val="00D416C6"/>
    <w:rsid w:val="00D417EF"/>
    <w:rsid w:val="00D4224E"/>
    <w:rsid w:val="00D42DCD"/>
    <w:rsid w:val="00D42E36"/>
    <w:rsid w:val="00D4380C"/>
    <w:rsid w:val="00D441CB"/>
    <w:rsid w:val="00D44D84"/>
    <w:rsid w:val="00D452D7"/>
    <w:rsid w:val="00D458FA"/>
    <w:rsid w:val="00D45D03"/>
    <w:rsid w:val="00D4632F"/>
    <w:rsid w:val="00D463F6"/>
    <w:rsid w:val="00D468B3"/>
    <w:rsid w:val="00D46DF1"/>
    <w:rsid w:val="00D4754F"/>
    <w:rsid w:val="00D50598"/>
    <w:rsid w:val="00D50740"/>
    <w:rsid w:val="00D50FF1"/>
    <w:rsid w:val="00D51B2F"/>
    <w:rsid w:val="00D51C65"/>
    <w:rsid w:val="00D522A6"/>
    <w:rsid w:val="00D524E4"/>
    <w:rsid w:val="00D52AAD"/>
    <w:rsid w:val="00D5344A"/>
    <w:rsid w:val="00D53458"/>
    <w:rsid w:val="00D537B0"/>
    <w:rsid w:val="00D543A0"/>
    <w:rsid w:val="00D544EA"/>
    <w:rsid w:val="00D54615"/>
    <w:rsid w:val="00D54C40"/>
    <w:rsid w:val="00D54D4D"/>
    <w:rsid w:val="00D5552A"/>
    <w:rsid w:val="00D55806"/>
    <w:rsid w:val="00D55855"/>
    <w:rsid w:val="00D568E7"/>
    <w:rsid w:val="00D575A2"/>
    <w:rsid w:val="00D5776B"/>
    <w:rsid w:val="00D629BB"/>
    <w:rsid w:val="00D62F38"/>
    <w:rsid w:val="00D63773"/>
    <w:rsid w:val="00D6378D"/>
    <w:rsid w:val="00D63BBC"/>
    <w:rsid w:val="00D64E9B"/>
    <w:rsid w:val="00D64FF1"/>
    <w:rsid w:val="00D65BDE"/>
    <w:rsid w:val="00D6745E"/>
    <w:rsid w:val="00D6799D"/>
    <w:rsid w:val="00D67C49"/>
    <w:rsid w:val="00D67D38"/>
    <w:rsid w:val="00D702F0"/>
    <w:rsid w:val="00D7065A"/>
    <w:rsid w:val="00D708F1"/>
    <w:rsid w:val="00D709C0"/>
    <w:rsid w:val="00D712DF"/>
    <w:rsid w:val="00D7164B"/>
    <w:rsid w:val="00D71683"/>
    <w:rsid w:val="00D71C50"/>
    <w:rsid w:val="00D722B0"/>
    <w:rsid w:val="00D72670"/>
    <w:rsid w:val="00D74014"/>
    <w:rsid w:val="00D74B1F"/>
    <w:rsid w:val="00D74D83"/>
    <w:rsid w:val="00D74FE1"/>
    <w:rsid w:val="00D7639A"/>
    <w:rsid w:val="00D76570"/>
    <w:rsid w:val="00D765B2"/>
    <w:rsid w:val="00D775D6"/>
    <w:rsid w:val="00D77693"/>
    <w:rsid w:val="00D77F09"/>
    <w:rsid w:val="00D77FDA"/>
    <w:rsid w:val="00D80137"/>
    <w:rsid w:val="00D80937"/>
    <w:rsid w:val="00D809D3"/>
    <w:rsid w:val="00D80A30"/>
    <w:rsid w:val="00D80F04"/>
    <w:rsid w:val="00D8157E"/>
    <w:rsid w:val="00D818F6"/>
    <w:rsid w:val="00D82B44"/>
    <w:rsid w:val="00D84745"/>
    <w:rsid w:val="00D84D64"/>
    <w:rsid w:val="00D8575C"/>
    <w:rsid w:val="00D85E5F"/>
    <w:rsid w:val="00D8647A"/>
    <w:rsid w:val="00D864E8"/>
    <w:rsid w:val="00D86B7B"/>
    <w:rsid w:val="00D86DA0"/>
    <w:rsid w:val="00D906C8"/>
    <w:rsid w:val="00D91D88"/>
    <w:rsid w:val="00D921E0"/>
    <w:rsid w:val="00D92284"/>
    <w:rsid w:val="00D92748"/>
    <w:rsid w:val="00D92BB0"/>
    <w:rsid w:val="00D92F82"/>
    <w:rsid w:val="00D930C5"/>
    <w:rsid w:val="00D9321A"/>
    <w:rsid w:val="00D934C4"/>
    <w:rsid w:val="00D93D26"/>
    <w:rsid w:val="00D94AE3"/>
    <w:rsid w:val="00D959C4"/>
    <w:rsid w:val="00D96461"/>
    <w:rsid w:val="00D9674B"/>
    <w:rsid w:val="00D96EAA"/>
    <w:rsid w:val="00DA051B"/>
    <w:rsid w:val="00DA1411"/>
    <w:rsid w:val="00DA17DA"/>
    <w:rsid w:val="00DA25A6"/>
    <w:rsid w:val="00DA2DED"/>
    <w:rsid w:val="00DA3D51"/>
    <w:rsid w:val="00DA3D7E"/>
    <w:rsid w:val="00DA4204"/>
    <w:rsid w:val="00DA516F"/>
    <w:rsid w:val="00DA5AC0"/>
    <w:rsid w:val="00DA5C06"/>
    <w:rsid w:val="00DA6626"/>
    <w:rsid w:val="00DA7DA7"/>
    <w:rsid w:val="00DB0496"/>
    <w:rsid w:val="00DB10C6"/>
    <w:rsid w:val="00DB1469"/>
    <w:rsid w:val="00DB1793"/>
    <w:rsid w:val="00DB221D"/>
    <w:rsid w:val="00DB370B"/>
    <w:rsid w:val="00DB39A6"/>
    <w:rsid w:val="00DB3C93"/>
    <w:rsid w:val="00DB45CD"/>
    <w:rsid w:val="00DB47D2"/>
    <w:rsid w:val="00DB5EE0"/>
    <w:rsid w:val="00DB62C2"/>
    <w:rsid w:val="00DB6377"/>
    <w:rsid w:val="00DB690D"/>
    <w:rsid w:val="00DB7173"/>
    <w:rsid w:val="00DC023E"/>
    <w:rsid w:val="00DC095A"/>
    <w:rsid w:val="00DC13BE"/>
    <w:rsid w:val="00DC1761"/>
    <w:rsid w:val="00DC179D"/>
    <w:rsid w:val="00DC1BD7"/>
    <w:rsid w:val="00DC2DB9"/>
    <w:rsid w:val="00DC2E86"/>
    <w:rsid w:val="00DC31B1"/>
    <w:rsid w:val="00DC3670"/>
    <w:rsid w:val="00DC37FE"/>
    <w:rsid w:val="00DC3B1B"/>
    <w:rsid w:val="00DC413C"/>
    <w:rsid w:val="00DC49EE"/>
    <w:rsid w:val="00DC4B98"/>
    <w:rsid w:val="00DC54B2"/>
    <w:rsid w:val="00DC56F2"/>
    <w:rsid w:val="00DC5DB0"/>
    <w:rsid w:val="00DC667A"/>
    <w:rsid w:val="00DC7446"/>
    <w:rsid w:val="00DC7572"/>
    <w:rsid w:val="00DC76A1"/>
    <w:rsid w:val="00DD00AD"/>
    <w:rsid w:val="00DD0705"/>
    <w:rsid w:val="00DD11B8"/>
    <w:rsid w:val="00DD1303"/>
    <w:rsid w:val="00DD13B6"/>
    <w:rsid w:val="00DD14C3"/>
    <w:rsid w:val="00DD150A"/>
    <w:rsid w:val="00DD1576"/>
    <w:rsid w:val="00DD1ADE"/>
    <w:rsid w:val="00DD1E07"/>
    <w:rsid w:val="00DD20A1"/>
    <w:rsid w:val="00DD25BA"/>
    <w:rsid w:val="00DD2B69"/>
    <w:rsid w:val="00DD441E"/>
    <w:rsid w:val="00DD4FBC"/>
    <w:rsid w:val="00DD5018"/>
    <w:rsid w:val="00DD609D"/>
    <w:rsid w:val="00DD7139"/>
    <w:rsid w:val="00DD7747"/>
    <w:rsid w:val="00DE07D2"/>
    <w:rsid w:val="00DE09EA"/>
    <w:rsid w:val="00DE0DC8"/>
    <w:rsid w:val="00DE1524"/>
    <w:rsid w:val="00DE1DFE"/>
    <w:rsid w:val="00DE2021"/>
    <w:rsid w:val="00DE2440"/>
    <w:rsid w:val="00DE2691"/>
    <w:rsid w:val="00DE3260"/>
    <w:rsid w:val="00DE3BE6"/>
    <w:rsid w:val="00DE4BAE"/>
    <w:rsid w:val="00DE5459"/>
    <w:rsid w:val="00DE54AE"/>
    <w:rsid w:val="00DE5867"/>
    <w:rsid w:val="00DE61BF"/>
    <w:rsid w:val="00DE62AB"/>
    <w:rsid w:val="00DE669C"/>
    <w:rsid w:val="00DE676B"/>
    <w:rsid w:val="00DE752A"/>
    <w:rsid w:val="00DE7590"/>
    <w:rsid w:val="00DF03EE"/>
    <w:rsid w:val="00DF1626"/>
    <w:rsid w:val="00DF20A4"/>
    <w:rsid w:val="00DF2228"/>
    <w:rsid w:val="00DF2940"/>
    <w:rsid w:val="00DF2BE5"/>
    <w:rsid w:val="00DF2E36"/>
    <w:rsid w:val="00DF2EFF"/>
    <w:rsid w:val="00DF2FDB"/>
    <w:rsid w:val="00DF36D1"/>
    <w:rsid w:val="00DF36EB"/>
    <w:rsid w:val="00DF4389"/>
    <w:rsid w:val="00DF537B"/>
    <w:rsid w:val="00DF5557"/>
    <w:rsid w:val="00DF5C71"/>
    <w:rsid w:val="00DF5D93"/>
    <w:rsid w:val="00DF6692"/>
    <w:rsid w:val="00DF683F"/>
    <w:rsid w:val="00DF68F1"/>
    <w:rsid w:val="00DF6F9A"/>
    <w:rsid w:val="00DF7795"/>
    <w:rsid w:val="00DF7B14"/>
    <w:rsid w:val="00DF7BC4"/>
    <w:rsid w:val="00E00478"/>
    <w:rsid w:val="00E00D1E"/>
    <w:rsid w:val="00E01DC0"/>
    <w:rsid w:val="00E0244C"/>
    <w:rsid w:val="00E026CB"/>
    <w:rsid w:val="00E02E85"/>
    <w:rsid w:val="00E046DC"/>
    <w:rsid w:val="00E04EB6"/>
    <w:rsid w:val="00E05028"/>
    <w:rsid w:val="00E05ACD"/>
    <w:rsid w:val="00E0621B"/>
    <w:rsid w:val="00E071B3"/>
    <w:rsid w:val="00E104BA"/>
    <w:rsid w:val="00E108DF"/>
    <w:rsid w:val="00E121A5"/>
    <w:rsid w:val="00E12218"/>
    <w:rsid w:val="00E12F69"/>
    <w:rsid w:val="00E132A6"/>
    <w:rsid w:val="00E13651"/>
    <w:rsid w:val="00E13CA2"/>
    <w:rsid w:val="00E1446E"/>
    <w:rsid w:val="00E14551"/>
    <w:rsid w:val="00E14B6C"/>
    <w:rsid w:val="00E1550F"/>
    <w:rsid w:val="00E15DBF"/>
    <w:rsid w:val="00E167D3"/>
    <w:rsid w:val="00E168F2"/>
    <w:rsid w:val="00E17C25"/>
    <w:rsid w:val="00E202A1"/>
    <w:rsid w:val="00E206F9"/>
    <w:rsid w:val="00E20FAF"/>
    <w:rsid w:val="00E21012"/>
    <w:rsid w:val="00E217D6"/>
    <w:rsid w:val="00E218D8"/>
    <w:rsid w:val="00E21DD7"/>
    <w:rsid w:val="00E22667"/>
    <w:rsid w:val="00E22DFB"/>
    <w:rsid w:val="00E23061"/>
    <w:rsid w:val="00E23395"/>
    <w:rsid w:val="00E2398A"/>
    <w:rsid w:val="00E23B9A"/>
    <w:rsid w:val="00E2412E"/>
    <w:rsid w:val="00E24476"/>
    <w:rsid w:val="00E24D80"/>
    <w:rsid w:val="00E2582A"/>
    <w:rsid w:val="00E259E9"/>
    <w:rsid w:val="00E25DDC"/>
    <w:rsid w:val="00E25FBD"/>
    <w:rsid w:val="00E2619E"/>
    <w:rsid w:val="00E26263"/>
    <w:rsid w:val="00E26655"/>
    <w:rsid w:val="00E270D8"/>
    <w:rsid w:val="00E27BF2"/>
    <w:rsid w:val="00E27EAB"/>
    <w:rsid w:val="00E300C9"/>
    <w:rsid w:val="00E3029A"/>
    <w:rsid w:val="00E3051B"/>
    <w:rsid w:val="00E308E8"/>
    <w:rsid w:val="00E30938"/>
    <w:rsid w:val="00E30B6D"/>
    <w:rsid w:val="00E30E88"/>
    <w:rsid w:val="00E30FF0"/>
    <w:rsid w:val="00E314CD"/>
    <w:rsid w:val="00E316D2"/>
    <w:rsid w:val="00E31BA7"/>
    <w:rsid w:val="00E326A1"/>
    <w:rsid w:val="00E3337B"/>
    <w:rsid w:val="00E3338E"/>
    <w:rsid w:val="00E3394B"/>
    <w:rsid w:val="00E33D64"/>
    <w:rsid w:val="00E33D88"/>
    <w:rsid w:val="00E35707"/>
    <w:rsid w:val="00E36693"/>
    <w:rsid w:val="00E36780"/>
    <w:rsid w:val="00E378F4"/>
    <w:rsid w:val="00E37C6F"/>
    <w:rsid w:val="00E4057B"/>
    <w:rsid w:val="00E40761"/>
    <w:rsid w:val="00E40D87"/>
    <w:rsid w:val="00E40F36"/>
    <w:rsid w:val="00E41265"/>
    <w:rsid w:val="00E42DC3"/>
    <w:rsid w:val="00E43DA3"/>
    <w:rsid w:val="00E454D1"/>
    <w:rsid w:val="00E4605A"/>
    <w:rsid w:val="00E46CB6"/>
    <w:rsid w:val="00E47139"/>
    <w:rsid w:val="00E47656"/>
    <w:rsid w:val="00E47B08"/>
    <w:rsid w:val="00E50164"/>
    <w:rsid w:val="00E50A2D"/>
    <w:rsid w:val="00E50ED1"/>
    <w:rsid w:val="00E52C91"/>
    <w:rsid w:val="00E52CFF"/>
    <w:rsid w:val="00E53530"/>
    <w:rsid w:val="00E538AE"/>
    <w:rsid w:val="00E53B9D"/>
    <w:rsid w:val="00E5498B"/>
    <w:rsid w:val="00E54BAA"/>
    <w:rsid w:val="00E54C5B"/>
    <w:rsid w:val="00E54D07"/>
    <w:rsid w:val="00E557AF"/>
    <w:rsid w:val="00E5619E"/>
    <w:rsid w:val="00E56F38"/>
    <w:rsid w:val="00E57359"/>
    <w:rsid w:val="00E5754A"/>
    <w:rsid w:val="00E57B68"/>
    <w:rsid w:val="00E57CF4"/>
    <w:rsid w:val="00E60322"/>
    <w:rsid w:val="00E60582"/>
    <w:rsid w:val="00E60594"/>
    <w:rsid w:val="00E60A9E"/>
    <w:rsid w:val="00E60D63"/>
    <w:rsid w:val="00E61177"/>
    <w:rsid w:val="00E611A5"/>
    <w:rsid w:val="00E61A6B"/>
    <w:rsid w:val="00E61C52"/>
    <w:rsid w:val="00E62370"/>
    <w:rsid w:val="00E63836"/>
    <w:rsid w:val="00E63E90"/>
    <w:rsid w:val="00E6529E"/>
    <w:rsid w:val="00E65D1D"/>
    <w:rsid w:val="00E6616C"/>
    <w:rsid w:val="00E66988"/>
    <w:rsid w:val="00E66DDC"/>
    <w:rsid w:val="00E6756A"/>
    <w:rsid w:val="00E676E5"/>
    <w:rsid w:val="00E677E1"/>
    <w:rsid w:val="00E70128"/>
    <w:rsid w:val="00E701CA"/>
    <w:rsid w:val="00E709E3"/>
    <w:rsid w:val="00E710E3"/>
    <w:rsid w:val="00E715F1"/>
    <w:rsid w:val="00E71A4B"/>
    <w:rsid w:val="00E71BAD"/>
    <w:rsid w:val="00E72066"/>
    <w:rsid w:val="00E721C6"/>
    <w:rsid w:val="00E728E6"/>
    <w:rsid w:val="00E73180"/>
    <w:rsid w:val="00E73702"/>
    <w:rsid w:val="00E73DB9"/>
    <w:rsid w:val="00E742BB"/>
    <w:rsid w:val="00E744AE"/>
    <w:rsid w:val="00E74D05"/>
    <w:rsid w:val="00E74F48"/>
    <w:rsid w:val="00E75E0F"/>
    <w:rsid w:val="00E75E43"/>
    <w:rsid w:val="00E76D15"/>
    <w:rsid w:val="00E76DD8"/>
    <w:rsid w:val="00E772F2"/>
    <w:rsid w:val="00E7751B"/>
    <w:rsid w:val="00E77900"/>
    <w:rsid w:val="00E80747"/>
    <w:rsid w:val="00E80D24"/>
    <w:rsid w:val="00E8142C"/>
    <w:rsid w:val="00E81517"/>
    <w:rsid w:val="00E8223D"/>
    <w:rsid w:val="00E833D7"/>
    <w:rsid w:val="00E8384C"/>
    <w:rsid w:val="00E83D5E"/>
    <w:rsid w:val="00E83F61"/>
    <w:rsid w:val="00E84531"/>
    <w:rsid w:val="00E84E0F"/>
    <w:rsid w:val="00E85E17"/>
    <w:rsid w:val="00E866B2"/>
    <w:rsid w:val="00E8707D"/>
    <w:rsid w:val="00E90236"/>
    <w:rsid w:val="00E90992"/>
    <w:rsid w:val="00E90E0A"/>
    <w:rsid w:val="00E912B6"/>
    <w:rsid w:val="00E9185A"/>
    <w:rsid w:val="00E91B7D"/>
    <w:rsid w:val="00E92FC1"/>
    <w:rsid w:val="00E9306A"/>
    <w:rsid w:val="00E9328A"/>
    <w:rsid w:val="00E933CC"/>
    <w:rsid w:val="00E94668"/>
    <w:rsid w:val="00E94789"/>
    <w:rsid w:val="00E95A8E"/>
    <w:rsid w:val="00E95D3B"/>
    <w:rsid w:val="00E95D92"/>
    <w:rsid w:val="00E95FAF"/>
    <w:rsid w:val="00E96EB4"/>
    <w:rsid w:val="00E97417"/>
    <w:rsid w:val="00EA0B3C"/>
    <w:rsid w:val="00EA115C"/>
    <w:rsid w:val="00EA1E34"/>
    <w:rsid w:val="00EA28D7"/>
    <w:rsid w:val="00EA2B6B"/>
    <w:rsid w:val="00EA2D76"/>
    <w:rsid w:val="00EA3757"/>
    <w:rsid w:val="00EA380A"/>
    <w:rsid w:val="00EA3F8C"/>
    <w:rsid w:val="00EA411B"/>
    <w:rsid w:val="00EA568B"/>
    <w:rsid w:val="00EA6000"/>
    <w:rsid w:val="00EA7F4B"/>
    <w:rsid w:val="00EB0189"/>
    <w:rsid w:val="00EB0963"/>
    <w:rsid w:val="00EB0BA3"/>
    <w:rsid w:val="00EB1C93"/>
    <w:rsid w:val="00EB22F9"/>
    <w:rsid w:val="00EB2340"/>
    <w:rsid w:val="00EB2471"/>
    <w:rsid w:val="00EB2CFF"/>
    <w:rsid w:val="00EB3C2F"/>
    <w:rsid w:val="00EB3D88"/>
    <w:rsid w:val="00EB3F78"/>
    <w:rsid w:val="00EB4013"/>
    <w:rsid w:val="00EB421D"/>
    <w:rsid w:val="00EB42E8"/>
    <w:rsid w:val="00EB4902"/>
    <w:rsid w:val="00EB4A21"/>
    <w:rsid w:val="00EB537D"/>
    <w:rsid w:val="00EB56F6"/>
    <w:rsid w:val="00EB5B8E"/>
    <w:rsid w:val="00EB6BE7"/>
    <w:rsid w:val="00EB6D81"/>
    <w:rsid w:val="00EB71F8"/>
    <w:rsid w:val="00EB755D"/>
    <w:rsid w:val="00EB785E"/>
    <w:rsid w:val="00EC1225"/>
    <w:rsid w:val="00EC1AAB"/>
    <w:rsid w:val="00EC1EA3"/>
    <w:rsid w:val="00EC28BC"/>
    <w:rsid w:val="00EC2A84"/>
    <w:rsid w:val="00EC2A89"/>
    <w:rsid w:val="00EC39EF"/>
    <w:rsid w:val="00EC3F11"/>
    <w:rsid w:val="00EC4790"/>
    <w:rsid w:val="00EC4E12"/>
    <w:rsid w:val="00EC51F6"/>
    <w:rsid w:val="00EC6AAF"/>
    <w:rsid w:val="00EC78A5"/>
    <w:rsid w:val="00EC7A39"/>
    <w:rsid w:val="00ED0209"/>
    <w:rsid w:val="00ED12E1"/>
    <w:rsid w:val="00ED1591"/>
    <w:rsid w:val="00ED287B"/>
    <w:rsid w:val="00ED303B"/>
    <w:rsid w:val="00ED3982"/>
    <w:rsid w:val="00ED3FC9"/>
    <w:rsid w:val="00ED4009"/>
    <w:rsid w:val="00ED492E"/>
    <w:rsid w:val="00ED49C4"/>
    <w:rsid w:val="00ED4F73"/>
    <w:rsid w:val="00ED542C"/>
    <w:rsid w:val="00ED548E"/>
    <w:rsid w:val="00ED5885"/>
    <w:rsid w:val="00ED5DBA"/>
    <w:rsid w:val="00ED65DF"/>
    <w:rsid w:val="00ED6CC5"/>
    <w:rsid w:val="00ED6D30"/>
    <w:rsid w:val="00ED6DCC"/>
    <w:rsid w:val="00ED72E9"/>
    <w:rsid w:val="00ED75A6"/>
    <w:rsid w:val="00ED7EAC"/>
    <w:rsid w:val="00EE0536"/>
    <w:rsid w:val="00EE0D89"/>
    <w:rsid w:val="00EE0F38"/>
    <w:rsid w:val="00EE1ACE"/>
    <w:rsid w:val="00EE1C90"/>
    <w:rsid w:val="00EE24A4"/>
    <w:rsid w:val="00EE2AD6"/>
    <w:rsid w:val="00EE3328"/>
    <w:rsid w:val="00EE399A"/>
    <w:rsid w:val="00EE3E23"/>
    <w:rsid w:val="00EE4084"/>
    <w:rsid w:val="00EE49CB"/>
    <w:rsid w:val="00EE4A81"/>
    <w:rsid w:val="00EE52B6"/>
    <w:rsid w:val="00EE5C25"/>
    <w:rsid w:val="00EE69F0"/>
    <w:rsid w:val="00EE74B6"/>
    <w:rsid w:val="00EE76CB"/>
    <w:rsid w:val="00EF0C30"/>
    <w:rsid w:val="00EF0EEF"/>
    <w:rsid w:val="00EF0F53"/>
    <w:rsid w:val="00EF17F7"/>
    <w:rsid w:val="00EF1A08"/>
    <w:rsid w:val="00EF1CA1"/>
    <w:rsid w:val="00EF1F62"/>
    <w:rsid w:val="00EF28D7"/>
    <w:rsid w:val="00EF3A7C"/>
    <w:rsid w:val="00EF4D3D"/>
    <w:rsid w:val="00EF5A78"/>
    <w:rsid w:val="00EF6645"/>
    <w:rsid w:val="00EF6B5F"/>
    <w:rsid w:val="00EF7FF2"/>
    <w:rsid w:val="00F00952"/>
    <w:rsid w:val="00F00C3C"/>
    <w:rsid w:val="00F01071"/>
    <w:rsid w:val="00F016D6"/>
    <w:rsid w:val="00F02644"/>
    <w:rsid w:val="00F032F2"/>
    <w:rsid w:val="00F0385C"/>
    <w:rsid w:val="00F03BA4"/>
    <w:rsid w:val="00F04093"/>
    <w:rsid w:val="00F051D9"/>
    <w:rsid w:val="00F054D5"/>
    <w:rsid w:val="00F058A2"/>
    <w:rsid w:val="00F0592A"/>
    <w:rsid w:val="00F05A1F"/>
    <w:rsid w:val="00F05A6D"/>
    <w:rsid w:val="00F05B99"/>
    <w:rsid w:val="00F05F53"/>
    <w:rsid w:val="00F061FD"/>
    <w:rsid w:val="00F074DF"/>
    <w:rsid w:val="00F078A6"/>
    <w:rsid w:val="00F07E78"/>
    <w:rsid w:val="00F12564"/>
    <w:rsid w:val="00F12D3A"/>
    <w:rsid w:val="00F135A9"/>
    <w:rsid w:val="00F1419B"/>
    <w:rsid w:val="00F1424D"/>
    <w:rsid w:val="00F143CB"/>
    <w:rsid w:val="00F14B12"/>
    <w:rsid w:val="00F15396"/>
    <w:rsid w:val="00F153B7"/>
    <w:rsid w:val="00F1555E"/>
    <w:rsid w:val="00F15B51"/>
    <w:rsid w:val="00F16B1E"/>
    <w:rsid w:val="00F16CA4"/>
    <w:rsid w:val="00F1769D"/>
    <w:rsid w:val="00F1771D"/>
    <w:rsid w:val="00F17D56"/>
    <w:rsid w:val="00F17E25"/>
    <w:rsid w:val="00F2098F"/>
    <w:rsid w:val="00F20AA4"/>
    <w:rsid w:val="00F20BB3"/>
    <w:rsid w:val="00F212ED"/>
    <w:rsid w:val="00F215F1"/>
    <w:rsid w:val="00F216D8"/>
    <w:rsid w:val="00F21DA9"/>
    <w:rsid w:val="00F2236C"/>
    <w:rsid w:val="00F22550"/>
    <w:rsid w:val="00F2300F"/>
    <w:rsid w:val="00F2404F"/>
    <w:rsid w:val="00F241FB"/>
    <w:rsid w:val="00F247CF"/>
    <w:rsid w:val="00F2496A"/>
    <w:rsid w:val="00F25432"/>
    <w:rsid w:val="00F2559C"/>
    <w:rsid w:val="00F25870"/>
    <w:rsid w:val="00F25EEA"/>
    <w:rsid w:val="00F26371"/>
    <w:rsid w:val="00F27139"/>
    <w:rsid w:val="00F2766E"/>
    <w:rsid w:val="00F27A97"/>
    <w:rsid w:val="00F3066E"/>
    <w:rsid w:val="00F314EA"/>
    <w:rsid w:val="00F31C47"/>
    <w:rsid w:val="00F3227E"/>
    <w:rsid w:val="00F32507"/>
    <w:rsid w:val="00F32AC9"/>
    <w:rsid w:val="00F32CAD"/>
    <w:rsid w:val="00F331E6"/>
    <w:rsid w:val="00F33539"/>
    <w:rsid w:val="00F33C96"/>
    <w:rsid w:val="00F33EC7"/>
    <w:rsid w:val="00F33F8E"/>
    <w:rsid w:val="00F34071"/>
    <w:rsid w:val="00F3423F"/>
    <w:rsid w:val="00F34389"/>
    <w:rsid w:val="00F35965"/>
    <w:rsid w:val="00F3598F"/>
    <w:rsid w:val="00F35B80"/>
    <w:rsid w:val="00F3672A"/>
    <w:rsid w:val="00F37636"/>
    <w:rsid w:val="00F37981"/>
    <w:rsid w:val="00F404AA"/>
    <w:rsid w:val="00F408E0"/>
    <w:rsid w:val="00F40EBE"/>
    <w:rsid w:val="00F4100F"/>
    <w:rsid w:val="00F42484"/>
    <w:rsid w:val="00F42821"/>
    <w:rsid w:val="00F42F4F"/>
    <w:rsid w:val="00F438D9"/>
    <w:rsid w:val="00F43BB6"/>
    <w:rsid w:val="00F43D19"/>
    <w:rsid w:val="00F43D4F"/>
    <w:rsid w:val="00F44596"/>
    <w:rsid w:val="00F44DE0"/>
    <w:rsid w:val="00F450CF"/>
    <w:rsid w:val="00F453FD"/>
    <w:rsid w:val="00F4604D"/>
    <w:rsid w:val="00F46F14"/>
    <w:rsid w:val="00F4722C"/>
    <w:rsid w:val="00F50957"/>
    <w:rsid w:val="00F50BA9"/>
    <w:rsid w:val="00F52001"/>
    <w:rsid w:val="00F52392"/>
    <w:rsid w:val="00F52417"/>
    <w:rsid w:val="00F52BA9"/>
    <w:rsid w:val="00F52D34"/>
    <w:rsid w:val="00F53A63"/>
    <w:rsid w:val="00F53F7F"/>
    <w:rsid w:val="00F54C14"/>
    <w:rsid w:val="00F54CA0"/>
    <w:rsid w:val="00F554E4"/>
    <w:rsid w:val="00F55DE6"/>
    <w:rsid w:val="00F563D9"/>
    <w:rsid w:val="00F5702A"/>
    <w:rsid w:val="00F573CA"/>
    <w:rsid w:val="00F6076C"/>
    <w:rsid w:val="00F60848"/>
    <w:rsid w:val="00F6091D"/>
    <w:rsid w:val="00F60E4E"/>
    <w:rsid w:val="00F6174B"/>
    <w:rsid w:val="00F61DB9"/>
    <w:rsid w:val="00F620DE"/>
    <w:rsid w:val="00F628F9"/>
    <w:rsid w:val="00F63005"/>
    <w:rsid w:val="00F6330C"/>
    <w:rsid w:val="00F63777"/>
    <w:rsid w:val="00F6451E"/>
    <w:rsid w:val="00F64686"/>
    <w:rsid w:val="00F64749"/>
    <w:rsid w:val="00F647C5"/>
    <w:rsid w:val="00F64D48"/>
    <w:rsid w:val="00F64E34"/>
    <w:rsid w:val="00F653AF"/>
    <w:rsid w:val="00F65D21"/>
    <w:rsid w:val="00F66055"/>
    <w:rsid w:val="00F664CF"/>
    <w:rsid w:val="00F664E0"/>
    <w:rsid w:val="00F70806"/>
    <w:rsid w:val="00F70AB0"/>
    <w:rsid w:val="00F70FE6"/>
    <w:rsid w:val="00F7177B"/>
    <w:rsid w:val="00F71A8F"/>
    <w:rsid w:val="00F71DC6"/>
    <w:rsid w:val="00F728DF"/>
    <w:rsid w:val="00F72AD6"/>
    <w:rsid w:val="00F72B04"/>
    <w:rsid w:val="00F74B0E"/>
    <w:rsid w:val="00F74B58"/>
    <w:rsid w:val="00F74E86"/>
    <w:rsid w:val="00F75E1E"/>
    <w:rsid w:val="00F761BE"/>
    <w:rsid w:val="00F77311"/>
    <w:rsid w:val="00F77B2E"/>
    <w:rsid w:val="00F77BE5"/>
    <w:rsid w:val="00F80600"/>
    <w:rsid w:val="00F80AEB"/>
    <w:rsid w:val="00F80DEB"/>
    <w:rsid w:val="00F81B74"/>
    <w:rsid w:val="00F81FF8"/>
    <w:rsid w:val="00F82057"/>
    <w:rsid w:val="00F822DF"/>
    <w:rsid w:val="00F82335"/>
    <w:rsid w:val="00F82AF0"/>
    <w:rsid w:val="00F82B12"/>
    <w:rsid w:val="00F82DFE"/>
    <w:rsid w:val="00F83827"/>
    <w:rsid w:val="00F83B3C"/>
    <w:rsid w:val="00F83F40"/>
    <w:rsid w:val="00F84419"/>
    <w:rsid w:val="00F84B5A"/>
    <w:rsid w:val="00F84C94"/>
    <w:rsid w:val="00F8523C"/>
    <w:rsid w:val="00F85A65"/>
    <w:rsid w:val="00F85D0F"/>
    <w:rsid w:val="00F868F7"/>
    <w:rsid w:val="00F87C4A"/>
    <w:rsid w:val="00F90283"/>
    <w:rsid w:val="00F90573"/>
    <w:rsid w:val="00F906D2"/>
    <w:rsid w:val="00F9081E"/>
    <w:rsid w:val="00F90882"/>
    <w:rsid w:val="00F90C15"/>
    <w:rsid w:val="00F90FDE"/>
    <w:rsid w:val="00F9125C"/>
    <w:rsid w:val="00F915CC"/>
    <w:rsid w:val="00F91602"/>
    <w:rsid w:val="00F916A3"/>
    <w:rsid w:val="00F92012"/>
    <w:rsid w:val="00F9239D"/>
    <w:rsid w:val="00F92D2B"/>
    <w:rsid w:val="00F93858"/>
    <w:rsid w:val="00F93C77"/>
    <w:rsid w:val="00F93CDC"/>
    <w:rsid w:val="00F93D41"/>
    <w:rsid w:val="00F94055"/>
    <w:rsid w:val="00F94539"/>
    <w:rsid w:val="00F94A35"/>
    <w:rsid w:val="00F952F1"/>
    <w:rsid w:val="00F95513"/>
    <w:rsid w:val="00F95AD9"/>
    <w:rsid w:val="00F96245"/>
    <w:rsid w:val="00F96882"/>
    <w:rsid w:val="00F96E2C"/>
    <w:rsid w:val="00F97092"/>
    <w:rsid w:val="00F9754B"/>
    <w:rsid w:val="00F97DAF"/>
    <w:rsid w:val="00F97E23"/>
    <w:rsid w:val="00FA0808"/>
    <w:rsid w:val="00FA0B38"/>
    <w:rsid w:val="00FA14E5"/>
    <w:rsid w:val="00FA1549"/>
    <w:rsid w:val="00FA1E9B"/>
    <w:rsid w:val="00FA2607"/>
    <w:rsid w:val="00FA334D"/>
    <w:rsid w:val="00FA4057"/>
    <w:rsid w:val="00FA4657"/>
    <w:rsid w:val="00FA46E1"/>
    <w:rsid w:val="00FA5948"/>
    <w:rsid w:val="00FA597D"/>
    <w:rsid w:val="00FA5FBA"/>
    <w:rsid w:val="00FA6288"/>
    <w:rsid w:val="00FA6C00"/>
    <w:rsid w:val="00FA6D8E"/>
    <w:rsid w:val="00FA7D8B"/>
    <w:rsid w:val="00FB0D12"/>
    <w:rsid w:val="00FB1497"/>
    <w:rsid w:val="00FB181D"/>
    <w:rsid w:val="00FB46DC"/>
    <w:rsid w:val="00FB4738"/>
    <w:rsid w:val="00FB4EEA"/>
    <w:rsid w:val="00FB54E0"/>
    <w:rsid w:val="00FB5C45"/>
    <w:rsid w:val="00FB647F"/>
    <w:rsid w:val="00FB6496"/>
    <w:rsid w:val="00FB66FB"/>
    <w:rsid w:val="00FB6FAB"/>
    <w:rsid w:val="00FC063E"/>
    <w:rsid w:val="00FC0CDA"/>
    <w:rsid w:val="00FC0EBB"/>
    <w:rsid w:val="00FC1D41"/>
    <w:rsid w:val="00FC2807"/>
    <w:rsid w:val="00FC2952"/>
    <w:rsid w:val="00FC2B32"/>
    <w:rsid w:val="00FC326C"/>
    <w:rsid w:val="00FC3497"/>
    <w:rsid w:val="00FC38F8"/>
    <w:rsid w:val="00FC3B55"/>
    <w:rsid w:val="00FC3BCB"/>
    <w:rsid w:val="00FC3FE3"/>
    <w:rsid w:val="00FC4792"/>
    <w:rsid w:val="00FC4954"/>
    <w:rsid w:val="00FC4C77"/>
    <w:rsid w:val="00FC5C6F"/>
    <w:rsid w:val="00FC7C25"/>
    <w:rsid w:val="00FD000F"/>
    <w:rsid w:val="00FD003C"/>
    <w:rsid w:val="00FD0E43"/>
    <w:rsid w:val="00FD18C1"/>
    <w:rsid w:val="00FD1C56"/>
    <w:rsid w:val="00FD1C95"/>
    <w:rsid w:val="00FD20CB"/>
    <w:rsid w:val="00FD257C"/>
    <w:rsid w:val="00FD45E5"/>
    <w:rsid w:val="00FD4C2B"/>
    <w:rsid w:val="00FD4C88"/>
    <w:rsid w:val="00FD56E0"/>
    <w:rsid w:val="00FD595E"/>
    <w:rsid w:val="00FD5A4B"/>
    <w:rsid w:val="00FD6190"/>
    <w:rsid w:val="00FD6284"/>
    <w:rsid w:val="00FD7246"/>
    <w:rsid w:val="00FD72CC"/>
    <w:rsid w:val="00FD742D"/>
    <w:rsid w:val="00FD75D6"/>
    <w:rsid w:val="00FD77C3"/>
    <w:rsid w:val="00FD7837"/>
    <w:rsid w:val="00FE0CAA"/>
    <w:rsid w:val="00FE1793"/>
    <w:rsid w:val="00FE1E62"/>
    <w:rsid w:val="00FE1F83"/>
    <w:rsid w:val="00FE25DA"/>
    <w:rsid w:val="00FE2C2E"/>
    <w:rsid w:val="00FE3516"/>
    <w:rsid w:val="00FE3657"/>
    <w:rsid w:val="00FE423E"/>
    <w:rsid w:val="00FE4562"/>
    <w:rsid w:val="00FE48B8"/>
    <w:rsid w:val="00FE4E9E"/>
    <w:rsid w:val="00FE5276"/>
    <w:rsid w:val="00FE539B"/>
    <w:rsid w:val="00FE554F"/>
    <w:rsid w:val="00FE56C2"/>
    <w:rsid w:val="00FE6141"/>
    <w:rsid w:val="00FE625D"/>
    <w:rsid w:val="00FE635B"/>
    <w:rsid w:val="00FE6EDC"/>
    <w:rsid w:val="00FE6F86"/>
    <w:rsid w:val="00FE785C"/>
    <w:rsid w:val="00FE7E5C"/>
    <w:rsid w:val="00FF06C6"/>
    <w:rsid w:val="00FF085A"/>
    <w:rsid w:val="00FF0909"/>
    <w:rsid w:val="00FF0911"/>
    <w:rsid w:val="00FF0FE6"/>
    <w:rsid w:val="00FF1264"/>
    <w:rsid w:val="00FF16EA"/>
    <w:rsid w:val="00FF1B5C"/>
    <w:rsid w:val="00FF1F9A"/>
    <w:rsid w:val="00FF220A"/>
    <w:rsid w:val="00FF262B"/>
    <w:rsid w:val="00FF2EEE"/>
    <w:rsid w:val="00FF3058"/>
    <w:rsid w:val="00FF4744"/>
    <w:rsid w:val="00FF48E8"/>
    <w:rsid w:val="00FF495C"/>
    <w:rsid w:val="00FF549C"/>
    <w:rsid w:val="00FF6BFB"/>
    <w:rsid w:val="00FF6E87"/>
    <w:rsid w:val="00FF7846"/>
    <w:rsid w:val="0115AE8A"/>
    <w:rsid w:val="011769FE"/>
    <w:rsid w:val="013DF861"/>
    <w:rsid w:val="01EBA486"/>
    <w:rsid w:val="025D6923"/>
    <w:rsid w:val="02687042"/>
    <w:rsid w:val="028E2DE1"/>
    <w:rsid w:val="031608DD"/>
    <w:rsid w:val="035104D8"/>
    <w:rsid w:val="03B2F0E0"/>
    <w:rsid w:val="04DBDB49"/>
    <w:rsid w:val="04FB5F97"/>
    <w:rsid w:val="05548E50"/>
    <w:rsid w:val="0623404C"/>
    <w:rsid w:val="06326841"/>
    <w:rsid w:val="0676D34B"/>
    <w:rsid w:val="071DE07D"/>
    <w:rsid w:val="07566EA5"/>
    <w:rsid w:val="077A8BFA"/>
    <w:rsid w:val="0830C9B7"/>
    <w:rsid w:val="085F02DC"/>
    <w:rsid w:val="0A1C97CA"/>
    <w:rsid w:val="0B8B5BF4"/>
    <w:rsid w:val="0CD6DCCE"/>
    <w:rsid w:val="0E166874"/>
    <w:rsid w:val="0EBB8800"/>
    <w:rsid w:val="0EFFE55C"/>
    <w:rsid w:val="0FEEDB7C"/>
    <w:rsid w:val="10091623"/>
    <w:rsid w:val="10D5CCE4"/>
    <w:rsid w:val="112ED541"/>
    <w:rsid w:val="115424C1"/>
    <w:rsid w:val="1182EAAD"/>
    <w:rsid w:val="11CEB65D"/>
    <w:rsid w:val="141CE215"/>
    <w:rsid w:val="14702180"/>
    <w:rsid w:val="14892B35"/>
    <w:rsid w:val="16267902"/>
    <w:rsid w:val="16753B11"/>
    <w:rsid w:val="19343CF5"/>
    <w:rsid w:val="194C7C48"/>
    <w:rsid w:val="19511EE0"/>
    <w:rsid w:val="19D9A267"/>
    <w:rsid w:val="1AAE60F6"/>
    <w:rsid w:val="1B9EA50A"/>
    <w:rsid w:val="1BB6D24F"/>
    <w:rsid w:val="1C22DB09"/>
    <w:rsid w:val="1CD790C2"/>
    <w:rsid w:val="1D7DC03A"/>
    <w:rsid w:val="1DDC85F6"/>
    <w:rsid w:val="1EB9B25D"/>
    <w:rsid w:val="1F0820D8"/>
    <w:rsid w:val="1F7BBAEE"/>
    <w:rsid w:val="1FA21CB8"/>
    <w:rsid w:val="20F79147"/>
    <w:rsid w:val="22BE6F69"/>
    <w:rsid w:val="231A491B"/>
    <w:rsid w:val="23C41AD6"/>
    <w:rsid w:val="24AF984F"/>
    <w:rsid w:val="2628EA6C"/>
    <w:rsid w:val="26C91A60"/>
    <w:rsid w:val="270E05BC"/>
    <w:rsid w:val="27CE2590"/>
    <w:rsid w:val="2968087A"/>
    <w:rsid w:val="2A36A14E"/>
    <w:rsid w:val="2BA95D0E"/>
    <w:rsid w:val="2C0B58C6"/>
    <w:rsid w:val="2C6F2780"/>
    <w:rsid w:val="2D1F544A"/>
    <w:rsid w:val="2D599391"/>
    <w:rsid w:val="2DA21238"/>
    <w:rsid w:val="2DFBB12B"/>
    <w:rsid w:val="2E08640E"/>
    <w:rsid w:val="2E7DFA7F"/>
    <w:rsid w:val="2EC1B9E8"/>
    <w:rsid w:val="30468263"/>
    <w:rsid w:val="312483AB"/>
    <w:rsid w:val="330E3285"/>
    <w:rsid w:val="33C51AE8"/>
    <w:rsid w:val="34A2829D"/>
    <w:rsid w:val="34D6D82F"/>
    <w:rsid w:val="34E5BEB7"/>
    <w:rsid w:val="3535EA22"/>
    <w:rsid w:val="3628D417"/>
    <w:rsid w:val="37FD02CC"/>
    <w:rsid w:val="3816964B"/>
    <w:rsid w:val="383BEB26"/>
    <w:rsid w:val="38B5677B"/>
    <w:rsid w:val="38EEA428"/>
    <w:rsid w:val="3AC541D0"/>
    <w:rsid w:val="3ACD38F3"/>
    <w:rsid w:val="3AE36E56"/>
    <w:rsid w:val="3C6FAFBD"/>
    <w:rsid w:val="3C8EA213"/>
    <w:rsid w:val="3CE5B150"/>
    <w:rsid w:val="3D442EC8"/>
    <w:rsid w:val="3DE912ED"/>
    <w:rsid w:val="3E84E945"/>
    <w:rsid w:val="40CD0922"/>
    <w:rsid w:val="40EA3A28"/>
    <w:rsid w:val="416B0DEE"/>
    <w:rsid w:val="42135DDD"/>
    <w:rsid w:val="45042C18"/>
    <w:rsid w:val="451FA5C7"/>
    <w:rsid w:val="4523505D"/>
    <w:rsid w:val="46CFF6EE"/>
    <w:rsid w:val="478749F2"/>
    <w:rsid w:val="48655830"/>
    <w:rsid w:val="4A4566E9"/>
    <w:rsid w:val="4A4FD690"/>
    <w:rsid w:val="4AA08ABE"/>
    <w:rsid w:val="4AA915DB"/>
    <w:rsid w:val="4BD44B77"/>
    <w:rsid w:val="4C6BD946"/>
    <w:rsid w:val="4D58A4B3"/>
    <w:rsid w:val="4E22E6E8"/>
    <w:rsid w:val="4F476508"/>
    <w:rsid w:val="4FB7EE1B"/>
    <w:rsid w:val="51B01665"/>
    <w:rsid w:val="51C3F71D"/>
    <w:rsid w:val="524E47A0"/>
    <w:rsid w:val="52886A41"/>
    <w:rsid w:val="53A4899A"/>
    <w:rsid w:val="53E495F0"/>
    <w:rsid w:val="54612563"/>
    <w:rsid w:val="549253C7"/>
    <w:rsid w:val="54AF249F"/>
    <w:rsid w:val="55DFC4A5"/>
    <w:rsid w:val="55E6F590"/>
    <w:rsid w:val="56013CD1"/>
    <w:rsid w:val="56A241A6"/>
    <w:rsid w:val="58153E4D"/>
    <w:rsid w:val="586B209C"/>
    <w:rsid w:val="58CEADD0"/>
    <w:rsid w:val="58D296B1"/>
    <w:rsid w:val="58E1111C"/>
    <w:rsid w:val="58F2DEF2"/>
    <w:rsid w:val="58F6ACA9"/>
    <w:rsid w:val="5A6D2412"/>
    <w:rsid w:val="5BE1912F"/>
    <w:rsid w:val="5BFC0FBA"/>
    <w:rsid w:val="5C01DECB"/>
    <w:rsid w:val="5CAC1DC3"/>
    <w:rsid w:val="5CCE3E7A"/>
    <w:rsid w:val="5DA9B26A"/>
    <w:rsid w:val="5FFCFA10"/>
    <w:rsid w:val="60F19601"/>
    <w:rsid w:val="61479C6C"/>
    <w:rsid w:val="61480315"/>
    <w:rsid w:val="61B50173"/>
    <w:rsid w:val="62AEFE99"/>
    <w:rsid w:val="62BD2CE6"/>
    <w:rsid w:val="62D9C674"/>
    <w:rsid w:val="6318D1AC"/>
    <w:rsid w:val="6327D8DE"/>
    <w:rsid w:val="636D5CAD"/>
    <w:rsid w:val="63BF8BE9"/>
    <w:rsid w:val="650D4D5E"/>
    <w:rsid w:val="65832435"/>
    <w:rsid w:val="6617EC80"/>
    <w:rsid w:val="6685E0C5"/>
    <w:rsid w:val="6721802F"/>
    <w:rsid w:val="6754620B"/>
    <w:rsid w:val="67611E66"/>
    <w:rsid w:val="67E514FA"/>
    <w:rsid w:val="6963E928"/>
    <w:rsid w:val="6A5A3DD3"/>
    <w:rsid w:val="6AE3E4D0"/>
    <w:rsid w:val="6BF9D0F7"/>
    <w:rsid w:val="6C581DFC"/>
    <w:rsid w:val="6CBB553E"/>
    <w:rsid w:val="6DC0D96D"/>
    <w:rsid w:val="6E0A9E4F"/>
    <w:rsid w:val="6E5B91E8"/>
    <w:rsid w:val="6E61A2DB"/>
    <w:rsid w:val="6E981802"/>
    <w:rsid w:val="6ECBBFF1"/>
    <w:rsid w:val="70F6E698"/>
    <w:rsid w:val="7182C59A"/>
    <w:rsid w:val="7246BCF1"/>
    <w:rsid w:val="727BE0E9"/>
    <w:rsid w:val="72D1E457"/>
    <w:rsid w:val="731A1224"/>
    <w:rsid w:val="73356B10"/>
    <w:rsid w:val="74506C0B"/>
    <w:rsid w:val="747ADBF2"/>
    <w:rsid w:val="75D718B4"/>
    <w:rsid w:val="7648BC8E"/>
    <w:rsid w:val="788D6F3E"/>
    <w:rsid w:val="79D641BA"/>
    <w:rsid w:val="7A20057C"/>
    <w:rsid w:val="7AB92A60"/>
    <w:rsid w:val="7B293428"/>
    <w:rsid w:val="7D4C73C4"/>
    <w:rsid w:val="7DBD1624"/>
    <w:rsid w:val="7E9E8063"/>
    <w:rsid w:val="7EB4412C"/>
    <w:rsid w:val="7ED2038B"/>
    <w:rsid w:val="7EE9C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A9B98"/>
  <w15:docId w15:val="{12584DCF-ACA6-46F1-9E5A-FBD04EB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6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6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6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60"/>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l-GR"/>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FE2267"/>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E2267"/>
    <w:rPr>
      <w:rFonts w:ascii="Segoe UI" w:hAnsi="Segoe UI" w:cs="Segoe UI"/>
      <w:sz w:val="18"/>
      <w:szCs w:val="18"/>
      <w:lang w:val="el-GR"/>
    </w:rPr>
  </w:style>
  <w:style w:type="paragraph" w:styleId="ListBullet">
    <w:name w:val="List Bullet"/>
    <w:basedOn w:val="Normal"/>
    <w:unhideWhenUsed/>
    <w:rsid w:val="007A1FD7"/>
    <w:pPr>
      <w:numPr>
        <w:numId w:val="1"/>
      </w:numPr>
      <w:contextualSpacing/>
    </w:pPr>
  </w:style>
  <w:style w:type="paragraph" w:styleId="ListBullet2">
    <w:name w:val="List Bullet 2"/>
    <w:basedOn w:val="Normal"/>
    <w:unhideWhenUsed/>
    <w:rsid w:val="007A1FD7"/>
    <w:pPr>
      <w:numPr>
        <w:numId w:val="2"/>
      </w:numPr>
      <w:contextualSpacing/>
    </w:pPr>
  </w:style>
  <w:style w:type="paragraph" w:styleId="ListBullet3">
    <w:name w:val="List Bullet 3"/>
    <w:basedOn w:val="Normal"/>
    <w:unhideWhenUsed/>
    <w:rsid w:val="007A1FD7"/>
    <w:pPr>
      <w:numPr>
        <w:numId w:val="3"/>
      </w:numPr>
      <w:contextualSpacing/>
    </w:pPr>
  </w:style>
  <w:style w:type="paragraph" w:styleId="ListBullet4">
    <w:name w:val="List Bullet 4"/>
    <w:basedOn w:val="Normal"/>
    <w:unhideWhenUsed/>
    <w:rsid w:val="007A1FD7"/>
    <w:pPr>
      <w:numPr>
        <w:numId w:val="4"/>
      </w:numPr>
      <w:contextualSpacing/>
    </w:pPr>
  </w:style>
  <w:style w:type="paragraph" w:styleId="CommentSubject">
    <w:name w:val="annotation subject"/>
    <w:basedOn w:val="CommentText"/>
    <w:next w:val="CommentText"/>
    <w:link w:val="CommentSubjectChar"/>
    <w:unhideWhenUsed/>
    <w:rsid w:val="00E0244C"/>
    <w:rPr>
      <w:b/>
      <w:bCs/>
    </w:rPr>
  </w:style>
  <w:style w:type="character" w:customStyle="1" w:styleId="CommentSubjectChar">
    <w:name w:val="Comment Subject Char"/>
    <w:basedOn w:val="CommentTextChar"/>
    <w:link w:val="CommentSubject"/>
    <w:rsid w:val="00E0244C"/>
    <w:rPr>
      <w:rFonts w:ascii="Times New Roman" w:hAnsi="Times New Roman" w:cs="Times New Roman"/>
      <w:b/>
      <w:bCs/>
      <w:sz w:val="20"/>
      <w:szCs w:val="20"/>
      <w:lang w:val="el-GR"/>
    </w:r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C372CC"/>
    <w:pPr>
      <w:ind w:left="720"/>
      <w:contextualSpacing/>
    </w:pPr>
  </w:style>
  <w:style w:type="paragraph" w:styleId="Revision">
    <w:name w:val="Revision"/>
    <w:hidden/>
    <w:uiPriority w:val="99"/>
    <w:semiHidden/>
    <w:rsid w:val="00A13EE8"/>
    <w:pPr>
      <w:spacing w:after="0" w:line="240" w:lineRule="auto"/>
    </w:pPr>
    <w:rPr>
      <w:rFonts w:ascii="Times New Roman" w:hAnsi="Times New Roman" w:cs="Times New Roman"/>
      <w:sz w:val="24"/>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basedOn w:val="DefaultParagraphFont"/>
    <w:link w:val="ListParagraph"/>
    <w:uiPriority w:val="34"/>
    <w:locked/>
    <w:rsid w:val="006A01FA"/>
    <w:rPr>
      <w:rFonts w:ascii="Times New Roman" w:hAnsi="Times New Roman" w:cs="Times New Roman"/>
      <w:sz w:val="24"/>
      <w:lang w:val="el-GR"/>
    </w:rPr>
  </w:style>
  <w:style w:type="paragraph" w:customStyle="1" w:styleId="doc-ti">
    <w:name w:val="doc-ti"/>
    <w:basedOn w:val="Normal"/>
    <w:rsid w:val="00313BCB"/>
    <w:pPr>
      <w:spacing w:before="100" w:beforeAutospacing="1" w:after="100" w:afterAutospacing="1"/>
      <w:jc w:val="left"/>
    </w:pPr>
    <w:rPr>
      <w:rFonts w:eastAsia="Times New Roman"/>
      <w:szCs w:val="24"/>
      <w:lang w:eastAsia="en-IE"/>
    </w:rPr>
  </w:style>
  <w:style w:type="character" w:styleId="FollowedHyperlink">
    <w:name w:val="FollowedHyperlink"/>
    <w:basedOn w:val="DefaultParagraphFont"/>
    <w:unhideWhenUsed/>
    <w:rsid w:val="00B41D8B"/>
    <w:rPr>
      <w:color w:val="800080" w:themeColor="followedHyperlink"/>
      <w:u w:val="single"/>
    </w:rPr>
  </w:style>
  <w:style w:type="character" w:customStyle="1" w:styleId="ui-provider">
    <w:name w:val="ui-provider"/>
    <w:basedOn w:val="DefaultParagraphFont"/>
    <w:rsid w:val="007D0C03"/>
  </w:style>
  <w:style w:type="paragraph" w:styleId="NormalWeb">
    <w:name w:val="Normal (Web)"/>
    <w:basedOn w:val="Normal"/>
    <w:uiPriority w:val="99"/>
    <w:unhideWhenUsed/>
    <w:rsid w:val="000703D4"/>
    <w:pPr>
      <w:spacing w:before="100" w:beforeAutospacing="1" w:after="100" w:afterAutospacing="1"/>
      <w:jc w:val="left"/>
    </w:pPr>
    <w:rPr>
      <w:rFonts w:eastAsia="Times New Roman"/>
      <w:szCs w:val="24"/>
      <w:lang w:eastAsia="en-IE"/>
    </w:rPr>
  </w:style>
  <w:style w:type="paragraph" w:customStyle="1" w:styleId="Default">
    <w:name w:val="Default"/>
    <w:rsid w:val="005852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
    <w:name w:val="norm"/>
    <w:basedOn w:val="Normal"/>
    <w:rsid w:val="009903AF"/>
    <w:pPr>
      <w:spacing w:before="100" w:beforeAutospacing="1" w:after="100" w:afterAutospacing="1"/>
      <w:jc w:val="left"/>
    </w:pPr>
    <w:rPr>
      <w:rFonts w:eastAsia="Times New Roman"/>
      <w:szCs w:val="24"/>
      <w:lang w:eastAsia="en-IE"/>
    </w:rPr>
  </w:style>
  <w:style w:type="character" w:customStyle="1" w:styleId="no-parag">
    <w:name w:val="no-parag"/>
    <w:basedOn w:val="DefaultParagraphFont"/>
    <w:rsid w:val="009903AF"/>
  </w:style>
  <w:style w:type="character" w:customStyle="1" w:styleId="UnresolvedMention1">
    <w:name w:val="Unresolved Mention1"/>
    <w:basedOn w:val="DefaultParagraphFont"/>
    <w:uiPriority w:val="99"/>
    <w:semiHidden/>
    <w:unhideWhenUsed/>
    <w:rsid w:val="00AC2064"/>
    <w:rPr>
      <w:color w:val="605E5C"/>
      <w:shd w:val="clear" w:color="auto" w:fill="E1DFDD"/>
    </w:rPr>
  </w:style>
  <w:style w:type="paragraph" w:customStyle="1" w:styleId="CM1">
    <w:name w:val="CM1"/>
    <w:basedOn w:val="Default"/>
    <w:next w:val="Default"/>
    <w:uiPriority w:val="99"/>
    <w:rsid w:val="00CE77F6"/>
    <w:rPr>
      <w:color w:val="auto"/>
    </w:rPr>
  </w:style>
  <w:style w:type="paragraph" w:customStyle="1" w:styleId="CM3">
    <w:name w:val="CM3"/>
    <w:basedOn w:val="Default"/>
    <w:next w:val="Default"/>
    <w:uiPriority w:val="99"/>
    <w:rsid w:val="00CE77F6"/>
    <w:rPr>
      <w:color w:val="auto"/>
    </w:rPr>
  </w:style>
  <w:style w:type="paragraph" w:customStyle="1" w:styleId="CM4">
    <w:name w:val="CM4"/>
    <w:basedOn w:val="Default"/>
    <w:next w:val="Default"/>
    <w:uiPriority w:val="99"/>
    <w:rsid w:val="00CE77F6"/>
    <w:rPr>
      <w:color w:val="auto"/>
    </w:rPr>
  </w:style>
  <w:style w:type="character" w:customStyle="1" w:styleId="annotation-replieslink">
    <w:name w:val="annotation-replies__link"/>
    <w:basedOn w:val="DefaultParagraphFont"/>
    <w:rsid w:val="00817B3D"/>
  </w:style>
  <w:style w:type="character" w:customStyle="1" w:styleId="ng-binding">
    <w:name w:val="ng-binding"/>
    <w:basedOn w:val="DefaultParagraphFont"/>
    <w:rsid w:val="00817B3D"/>
  </w:style>
  <w:style w:type="character" w:customStyle="1" w:styleId="leos-content-new">
    <w:name w:val="leos-content-new"/>
    <w:basedOn w:val="DefaultParagraphFont"/>
    <w:rsid w:val="00817B3D"/>
  </w:style>
  <w:style w:type="character" w:styleId="Emphasis">
    <w:name w:val="Emphasis"/>
    <w:basedOn w:val="DefaultParagraphFont"/>
    <w:uiPriority w:val="20"/>
    <w:qFormat/>
    <w:rsid w:val="00F70AB0"/>
    <w:rPr>
      <w:i/>
      <w:iCs/>
    </w:rPr>
  </w:style>
  <w:style w:type="character" w:customStyle="1" w:styleId="leos-content-removed">
    <w:name w:val="leos-content-removed"/>
    <w:basedOn w:val="DefaultParagraphFont"/>
    <w:rsid w:val="00F70AB0"/>
  </w:style>
  <w:style w:type="character" w:customStyle="1" w:styleId="epname">
    <w:name w:val="ep_name"/>
    <w:basedOn w:val="DefaultParagraphFont"/>
    <w:rsid w:val="00707840"/>
  </w:style>
  <w:style w:type="paragraph" w:customStyle="1" w:styleId="paragraph">
    <w:name w:val="paragraph"/>
    <w:basedOn w:val="Normal"/>
    <w:rsid w:val="00AC57E5"/>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AC57E5"/>
  </w:style>
  <w:style w:type="character" w:customStyle="1" w:styleId="eop">
    <w:name w:val="eop"/>
    <w:basedOn w:val="DefaultParagraphFont"/>
    <w:rsid w:val="00AC57E5"/>
  </w:style>
  <w:style w:type="table" w:styleId="TableGrid">
    <w:name w:val="Table Grid"/>
    <w:basedOn w:val="TableNormal"/>
    <w:uiPriority w:val="59"/>
    <w:rsid w:val="000B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72D2"/>
    <w:rPr>
      <w:color w:val="605E5C"/>
      <w:shd w:val="clear" w:color="auto" w:fill="E1DFDD"/>
    </w:rPr>
  </w:style>
  <w:style w:type="character" w:customStyle="1" w:styleId="epicon">
    <w:name w:val="ep_icon"/>
    <w:basedOn w:val="DefaultParagraphFont"/>
    <w:rsid w:val="00707840"/>
  </w:style>
  <w:style w:type="paragraph" w:customStyle="1" w:styleId="ep-ptext">
    <w:name w:val="ep-p_text"/>
    <w:basedOn w:val="Normal"/>
    <w:rsid w:val="00707840"/>
    <w:pPr>
      <w:spacing w:before="100" w:beforeAutospacing="1" w:after="100" w:afterAutospacing="1"/>
      <w:jc w:val="left"/>
    </w:pPr>
    <w:rPr>
      <w:rFonts w:eastAsia="Times New Roman"/>
      <w:szCs w:val="24"/>
      <w:lang w:eastAsia="en-IE"/>
    </w:rPr>
  </w:style>
  <w:style w:type="character" w:customStyle="1" w:styleId="epformat">
    <w:name w:val="ep_format"/>
    <w:basedOn w:val="DefaultParagraphFont"/>
    <w:rsid w:val="00707840"/>
  </w:style>
  <w:style w:type="character" w:customStyle="1" w:styleId="leos-content-modified">
    <w:name w:val="leos-content-modified"/>
    <w:basedOn w:val="DefaultParagraphFont"/>
    <w:rsid w:val="00707840"/>
  </w:style>
  <w:style w:type="character" w:customStyle="1" w:styleId="UnresolvedMention3">
    <w:name w:val="Unresolved Mention3"/>
    <w:basedOn w:val="DefaultParagraphFont"/>
    <w:uiPriority w:val="99"/>
    <w:semiHidden/>
    <w:unhideWhenUsed/>
    <w:rsid w:val="000152C7"/>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D74D83"/>
    <w:pPr>
      <w:spacing w:before="0" w:after="160" w:line="240" w:lineRule="exact"/>
    </w:pPr>
    <w:rPr>
      <w:rFonts w:asciiTheme="minorHAnsi" w:hAnsiTheme="minorHAnsi" w:cstheme="minorBidi"/>
      <w:sz w:val="22"/>
      <w:vertAlign w:val="superscript"/>
    </w:rPr>
  </w:style>
  <w:style w:type="paragraph" w:customStyle="1" w:styleId="Normal1">
    <w:name w:val="Normal1"/>
    <w:basedOn w:val="Normal"/>
    <w:rsid w:val="005D76CB"/>
    <w:pPr>
      <w:spacing w:before="100" w:beforeAutospacing="1" w:after="100" w:afterAutospacing="1"/>
      <w:jc w:val="left"/>
    </w:pPr>
    <w:rPr>
      <w:rFonts w:eastAsia="Times New Roman"/>
      <w:szCs w:val="24"/>
      <w:lang w:eastAsia="en-IE"/>
    </w:rPr>
  </w:style>
  <w:style w:type="character" w:customStyle="1" w:styleId="annotation-headeruser">
    <w:name w:val="annotation-header__user"/>
    <w:basedOn w:val="DefaultParagraphFont"/>
    <w:rsid w:val="00391070"/>
  </w:style>
  <w:style w:type="character" w:customStyle="1" w:styleId="annotation-headerentity">
    <w:name w:val="annotation-header__entity"/>
    <w:basedOn w:val="DefaultParagraphFont"/>
    <w:rsid w:val="00391070"/>
  </w:style>
  <w:style w:type="character" w:customStyle="1" w:styleId="annotation-headertimestamp">
    <w:name w:val="annotation-header__timestamp"/>
    <w:basedOn w:val="DefaultParagraphFont"/>
    <w:rsid w:val="00391070"/>
  </w:style>
  <w:style w:type="character" w:styleId="Strong">
    <w:name w:val="Strong"/>
    <w:basedOn w:val="DefaultParagraphFont"/>
    <w:uiPriority w:val="22"/>
    <w:qFormat/>
    <w:rsid w:val="00DD1303"/>
    <w:rPr>
      <w:b/>
      <w:bCs/>
    </w:rPr>
  </w:style>
  <w:style w:type="character" w:customStyle="1" w:styleId="UnresolvedMention4">
    <w:name w:val="Unresolved Mention4"/>
    <w:basedOn w:val="DefaultParagraphFont"/>
    <w:uiPriority w:val="99"/>
    <w:semiHidden/>
    <w:unhideWhenUsed/>
    <w:rsid w:val="00911D23"/>
    <w:rPr>
      <w:color w:val="605E5C"/>
      <w:shd w:val="clear" w:color="auto" w:fill="E1DFDD"/>
    </w:rPr>
  </w:style>
  <w:style w:type="paragraph" w:customStyle="1" w:styleId="manualnumpar1">
    <w:name w:val="manualnumpar1"/>
    <w:basedOn w:val="Normal"/>
    <w:rsid w:val="00DE2440"/>
    <w:pPr>
      <w:ind w:left="850" w:hanging="850"/>
    </w:pPr>
    <w:rPr>
      <w:szCs w:val="24"/>
      <w:lang w:eastAsia="en-IE"/>
    </w:rPr>
  </w:style>
  <w:style w:type="character" w:customStyle="1" w:styleId="UnresolvedMention5">
    <w:name w:val="Unresolved Mention5"/>
    <w:basedOn w:val="DefaultParagraphFont"/>
    <w:uiPriority w:val="99"/>
    <w:semiHidden/>
    <w:unhideWhenUsed/>
    <w:rsid w:val="00DB221D"/>
    <w:rPr>
      <w:color w:val="605E5C"/>
      <w:shd w:val="clear" w:color="auto" w:fill="E1DFDD"/>
    </w:rPr>
  </w:style>
  <w:style w:type="paragraph" w:customStyle="1" w:styleId="ManualNumPar10">
    <w:name w:val="Manual NumPar 1"/>
    <w:basedOn w:val="Normal"/>
    <w:next w:val="Text1"/>
    <w:pPr>
      <w:ind w:left="850" w:hanging="850"/>
    </w:pPr>
  </w:style>
  <w:style w:type="paragraph" w:customStyle="1" w:styleId="ManualNumPar11">
    <w:name w:val="Manual NumPar 1"/>
    <w:basedOn w:val="Normal"/>
    <w:next w:val="Text1"/>
    <w:pPr>
      <w:ind w:left="850" w:hanging="850"/>
    </w:pPr>
  </w:style>
  <w:style w:type="paragraph" w:customStyle="1" w:styleId="ManualNumPar12">
    <w:name w:val="Manual NumPar 1"/>
    <w:basedOn w:val="Normal"/>
    <w:next w:val="Text1"/>
    <w:pPr>
      <w:ind w:left="850" w:hanging="850"/>
    </w:pPr>
  </w:style>
  <w:style w:type="paragraph" w:styleId="ListNumber">
    <w:name w:val="List Number"/>
    <w:basedOn w:val="Normal"/>
    <w:rsid w:val="001D4028"/>
    <w:pPr>
      <w:numPr>
        <w:numId w:val="28"/>
      </w:numPr>
    </w:pPr>
    <w:rPr>
      <w:rFonts w:eastAsia="Times New Roman"/>
      <w:lang w:eastAsia="de-DE"/>
    </w:rPr>
  </w:style>
  <w:style w:type="paragraph" w:customStyle="1" w:styleId="ListBullet1">
    <w:name w:val="List Bullet 1"/>
    <w:basedOn w:val="Normal"/>
    <w:rsid w:val="001D4028"/>
    <w:pPr>
      <w:numPr>
        <w:numId w:val="24"/>
      </w:numPr>
    </w:pPr>
    <w:rPr>
      <w:rFonts w:eastAsia="Times New Roman"/>
      <w:lang w:eastAsia="de-DE"/>
    </w:rPr>
  </w:style>
  <w:style w:type="paragraph" w:customStyle="1" w:styleId="ListDash">
    <w:name w:val="List Dash"/>
    <w:basedOn w:val="Normal"/>
    <w:rsid w:val="001D4028"/>
    <w:pPr>
      <w:numPr>
        <w:numId w:val="25"/>
      </w:numPr>
    </w:pPr>
    <w:rPr>
      <w:rFonts w:eastAsia="Times New Roman"/>
      <w:lang w:eastAsia="de-DE"/>
    </w:rPr>
  </w:style>
  <w:style w:type="paragraph" w:customStyle="1" w:styleId="ListDash1">
    <w:name w:val="List Dash 1"/>
    <w:basedOn w:val="Normal"/>
    <w:rsid w:val="001D4028"/>
    <w:pPr>
      <w:numPr>
        <w:numId w:val="26"/>
      </w:numPr>
    </w:pPr>
    <w:rPr>
      <w:rFonts w:eastAsia="Times New Roman"/>
      <w:lang w:eastAsia="de-DE"/>
    </w:rPr>
  </w:style>
  <w:style w:type="paragraph" w:customStyle="1" w:styleId="ListDash2">
    <w:name w:val="List Dash 2"/>
    <w:basedOn w:val="Normal"/>
    <w:rsid w:val="001D4028"/>
    <w:pPr>
      <w:numPr>
        <w:numId w:val="27"/>
      </w:numPr>
    </w:pPr>
    <w:rPr>
      <w:rFonts w:eastAsia="Times New Roman"/>
      <w:lang w:eastAsia="de-DE"/>
    </w:rPr>
  </w:style>
  <w:style w:type="paragraph" w:customStyle="1" w:styleId="ListNumberLevel2">
    <w:name w:val="List Number (Level 2)"/>
    <w:basedOn w:val="Normal"/>
    <w:rsid w:val="001D4028"/>
    <w:pPr>
      <w:numPr>
        <w:ilvl w:val="1"/>
        <w:numId w:val="28"/>
      </w:numPr>
    </w:pPr>
    <w:rPr>
      <w:rFonts w:eastAsia="Times New Roman"/>
      <w:lang w:eastAsia="de-DE"/>
    </w:rPr>
  </w:style>
  <w:style w:type="paragraph" w:customStyle="1" w:styleId="ListNumberLevel3">
    <w:name w:val="List Number (Level 3)"/>
    <w:basedOn w:val="Normal"/>
    <w:rsid w:val="001D4028"/>
    <w:pPr>
      <w:numPr>
        <w:ilvl w:val="2"/>
        <w:numId w:val="28"/>
      </w:numPr>
    </w:pPr>
    <w:rPr>
      <w:rFonts w:eastAsia="Times New Roman"/>
      <w:lang w:eastAsia="de-DE"/>
    </w:rPr>
  </w:style>
  <w:style w:type="paragraph" w:customStyle="1" w:styleId="ListNumberLevel4">
    <w:name w:val="List Number (Level 4)"/>
    <w:basedOn w:val="Normal"/>
    <w:rsid w:val="001D4028"/>
    <w:pPr>
      <w:numPr>
        <w:ilvl w:val="3"/>
        <w:numId w:val="28"/>
      </w:numPr>
    </w:pPr>
    <w:rPr>
      <w:rFonts w:eastAsia="Times New Roman"/>
      <w:lang w:eastAsia="de-DE"/>
    </w:rPr>
  </w:style>
  <w:style w:type="paragraph" w:styleId="ListNumber2">
    <w:name w:val="List Number 2"/>
    <w:basedOn w:val="Normal"/>
    <w:rsid w:val="001D4028"/>
    <w:pPr>
      <w:numPr>
        <w:numId w:val="32"/>
      </w:numPr>
    </w:pPr>
    <w:rPr>
      <w:rFonts w:eastAsia="Times New Roman"/>
      <w:lang w:eastAsia="en-GB"/>
    </w:rPr>
  </w:style>
  <w:style w:type="paragraph" w:styleId="ListNumber3">
    <w:name w:val="List Number 3"/>
    <w:basedOn w:val="Normal"/>
    <w:rsid w:val="001D4028"/>
    <w:pPr>
      <w:numPr>
        <w:numId w:val="33"/>
      </w:numPr>
    </w:pPr>
    <w:rPr>
      <w:rFonts w:eastAsia="Times New Roman"/>
      <w:lang w:eastAsia="en-GB"/>
    </w:rPr>
  </w:style>
  <w:style w:type="paragraph" w:styleId="ListNumber4">
    <w:name w:val="List Number 4"/>
    <w:basedOn w:val="Normal"/>
    <w:rsid w:val="001D4028"/>
    <w:pPr>
      <w:numPr>
        <w:numId w:val="34"/>
      </w:numPr>
    </w:pPr>
    <w:rPr>
      <w:rFonts w:eastAsia="Times New Roman"/>
      <w:lang w:eastAsia="en-GB"/>
    </w:rPr>
  </w:style>
  <w:style w:type="paragraph" w:customStyle="1" w:styleId="ListDash3">
    <w:name w:val="List Dash 3"/>
    <w:basedOn w:val="Normal"/>
    <w:rsid w:val="001D4028"/>
    <w:pPr>
      <w:numPr>
        <w:numId w:val="29"/>
      </w:numPr>
    </w:pPr>
    <w:rPr>
      <w:rFonts w:eastAsia="Times New Roman"/>
      <w:lang w:eastAsia="en-GB"/>
    </w:rPr>
  </w:style>
  <w:style w:type="paragraph" w:customStyle="1" w:styleId="ListDash4">
    <w:name w:val="List Dash 4"/>
    <w:basedOn w:val="Normal"/>
    <w:rsid w:val="001D4028"/>
    <w:pPr>
      <w:numPr>
        <w:numId w:val="30"/>
      </w:numPr>
    </w:pPr>
    <w:rPr>
      <w:rFonts w:eastAsia="Times New Roman"/>
      <w:lang w:eastAsia="en-GB"/>
    </w:rPr>
  </w:style>
  <w:style w:type="paragraph" w:customStyle="1" w:styleId="ListNumber1">
    <w:name w:val="List Number 1"/>
    <w:basedOn w:val="Text1"/>
    <w:rsid w:val="001D4028"/>
    <w:pPr>
      <w:numPr>
        <w:numId w:val="31"/>
      </w:numPr>
    </w:pPr>
    <w:rPr>
      <w:rFonts w:eastAsia="Times New Roman"/>
      <w:lang w:eastAsia="en-GB"/>
    </w:rPr>
  </w:style>
  <w:style w:type="paragraph" w:customStyle="1" w:styleId="ListNumber1Level2">
    <w:name w:val="List Number 1 (Level 2)"/>
    <w:basedOn w:val="Text1"/>
    <w:rsid w:val="001D4028"/>
    <w:pPr>
      <w:numPr>
        <w:ilvl w:val="1"/>
        <w:numId w:val="31"/>
      </w:numPr>
    </w:pPr>
    <w:rPr>
      <w:rFonts w:eastAsia="Times New Roman"/>
      <w:lang w:eastAsia="en-GB"/>
    </w:rPr>
  </w:style>
  <w:style w:type="paragraph" w:customStyle="1" w:styleId="ListNumber2Level2">
    <w:name w:val="List Number 2 (Level 2)"/>
    <w:basedOn w:val="Text2"/>
    <w:rsid w:val="001D4028"/>
    <w:pPr>
      <w:numPr>
        <w:ilvl w:val="1"/>
        <w:numId w:val="32"/>
      </w:numPr>
    </w:pPr>
    <w:rPr>
      <w:rFonts w:eastAsia="Times New Roman"/>
      <w:lang w:eastAsia="en-GB"/>
    </w:rPr>
  </w:style>
  <w:style w:type="paragraph" w:customStyle="1" w:styleId="ListNumber3Level2">
    <w:name w:val="List Number 3 (Level 2)"/>
    <w:basedOn w:val="Text3"/>
    <w:rsid w:val="001D4028"/>
    <w:pPr>
      <w:numPr>
        <w:ilvl w:val="1"/>
        <w:numId w:val="33"/>
      </w:numPr>
    </w:pPr>
    <w:rPr>
      <w:rFonts w:eastAsia="Times New Roman"/>
      <w:lang w:eastAsia="en-GB"/>
    </w:rPr>
  </w:style>
  <w:style w:type="paragraph" w:customStyle="1" w:styleId="ListNumber4Level2">
    <w:name w:val="List Number 4 (Level 2)"/>
    <w:basedOn w:val="Text4"/>
    <w:rsid w:val="001D4028"/>
    <w:pPr>
      <w:numPr>
        <w:ilvl w:val="1"/>
        <w:numId w:val="34"/>
      </w:numPr>
    </w:pPr>
    <w:rPr>
      <w:rFonts w:eastAsia="Times New Roman"/>
      <w:lang w:eastAsia="en-GB"/>
    </w:rPr>
  </w:style>
  <w:style w:type="paragraph" w:customStyle="1" w:styleId="ListNumber1Level3">
    <w:name w:val="List Number 1 (Level 3)"/>
    <w:basedOn w:val="Text1"/>
    <w:rsid w:val="001D4028"/>
    <w:pPr>
      <w:numPr>
        <w:ilvl w:val="2"/>
        <w:numId w:val="31"/>
      </w:numPr>
    </w:pPr>
    <w:rPr>
      <w:rFonts w:eastAsia="Times New Roman"/>
      <w:lang w:eastAsia="en-GB"/>
    </w:rPr>
  </w:style>
  <w:style w:type="paragraph" w:customStyle="1" w:styleId="ListNumber2Level3">
    <w:name w:val="List Number 2 (Level 3)"/>
    <w:basedOn w:val="Text2"/>
    <w:rsid w:val="001D4028"/>
    <w:pPr>
      <w:numPr>
        <w:ilvl w:val="2"/>
        <w:numId w:val="32"/>
      </w:numPr>
    </w:pPr>
    <w:rPr>
      <w:rFonts w:eastAsia="Times New Roman"/>
      <w:lang w:eastAsia="en-GB"/>
    </w:rPr>
  </w:style>
  <w:style w:type="paragraph" w:customStyle="1" w:styleId="ListNumber3Level3">
    <w:name w:val="List Number 3 (Level 3)"/>
    <w:basedOn w:val="Text3"/>
    <w:rsid w:val="001D4028"/>
    <w:pPr>
      <w:numPr>
        <w:ilvl w:val="2"/>
        <w:numId w:val="33"/>
      </w:numPr>
    </w:pPr>
    <w:rPr>
      <w:rFonts w:eastAsia="Times New Roman"/>
      <w:lang w:eastAsia="en-GB"/>
    </w:rPr>
  </w:style>
  <w:style w:type="paragraph" w:customStyle="1" w:styleId="ListNumber4Level3">
    <w:name w:val="List Number 4 (Level 3)"/>
    <w:basedOn w:val="Text4"/>
    <w:rsid w:val="001D4028"/>
    <w:pPr>
      <w:numPr>
        <w:ilvl w:val="2"/>
        <w:numId w:val="34"/>
      </w:numPr>
    </w:pPr>
    <w:rPr>
      <w:rFonts w:eastAsia="Times New Roman"/>
      <w:lang w:eastAsia="en-GB"/>
    </w:rPr>
  </w:style>
  <w:style w:type="paragraph" w:customStyle="1" w:styleId="ListNumber1Level4">
    <w:name w:val="List Number 1 (Level 4)"/>
    <w:basedOn w:val="Text1"/>
    <w:rsid w:val="001D4028"/>
    <w:pPr>
      <w:numPr>
        <w:ilvl w:val="3"/>
        <w:numId w:val="31"/>
      </w:numPr>
    </w:pPr>
    <w:rPr>
      <w:rFonts w:eastAsia="Times New Roman"/>
      <w:lang w:eastAsia="en-GB"/>
    </w:rPr>
  </w:style>
  <w:style w:type="paragraph" w:customStyle="1" w:styleId="ListNumber2Level4">
    <w:name w:val="List Number 2 (Level 4)"/>
    <w:basedOn w:val="Text2"/>
    <w:rsid w:val="001D4028"/>
    <w:pPr>
      <w:numPr>
        <w:ilvl w:val="3"/>
        <w:numId w:val="32"/>
      </w:numPr>
    </w:pPr>
    <w:rPr>
      <w:rFonts w:eastAsia="Times New Roman"/>
      <w:lang w:eastAsia="en-GB"/>
    </w:rPr>
  </w:style>
  <w:style w:type="paragraph" w:customStyle="1" w:styleId="ListNumber3Level4">
    <w:name w:val="List Number 3 (Level 4)"/>
    <w:basedOn w:val="Text3"/>
    <w:rsid w:val="001D4028"/>
    <w:pPr>
      <w:numPr>
        <w:ilvl w:val="3"/>
        <w:numId w:val="33"/>
      </w:numPr>
    </w:pPr>
    <w:rPr>
      <w:rFonts w:eastAsia="Times New Roman"/>
      <w:lang w:eastAsia="en-GB"/>
    </w:rPr>
  </w:style>
  <w:style w:type="paragraph" w:customStyle="1" w:styleId="ListNumber4Level4">
    <w:name w:val="List Number 4 (Level 4)"/>
    <w:basedOn w:val="Text4"/>
    <w:rsid w:val="001D4028"/>
    <w:pPr>
      <w:numPr>
        <w:ilvl w:val="3"/>
        <w:numId w:val="34"/>
      </w:numPr>
    </w:pPr>
    <w:rPr>
      <w:rFonts w:eastAsia="Times New Roman"/>
      <w:lang w:eastAsia="en-GB"/>
    </w:rPr>
  </w:style>
  <w:style w:type="paragraph" w:customStyle="1" w:styleId="Annexetitreacte">
    <w:name w:val="Annexe titre (acte)"/>
    <w:basedOn w:val="Normal"/>
    <w:next w:val="Normal"/>
    <w:rsid w:val="001D4028"/>
    <w:pPr>
      <w:jc w:val="center"/>
    </w:pPr>
    <w:rPr>
      <w:rFonts w:eastAsia="Times New Roman"/>
      <w:b/>
      <w:u w:val="single"/>
      <w:lang w:eastAsia="en-GB"/>
    </w:rPr>
  </w:style>
  <w:style w:type="paragraph" w:customStyle="1" w:styleId="Annexetitreexposglobal">
    <w:name w:val="Annexe titre (exposé global)"/>
    <w:basedOn w:val="Normal"/>
    <w:next w:val="Normal"/>
    <w:rsid w:val="001D4028"/>
    <w:pPr>
      <w:jc w:val="center"/>
    </w:pPr>
    <w:rPr>
      <w:rFonts w:eastAsia="Times New Roman"/>
      <w:b/>
      <w:u w:val="single"/>
      <w:lang w:eastAsia="en-GB"/>
    </w:rPr>
  </w:style>
  <w:style w:type="paragraph" w:customStyle="1" w:styleId="Annexetitrefichefinacte">
    <w:name w:val="Annexe titre (fiche fin. acte)"/>
    <w:basedOn w:val="Normal"/>
    <w:next w:val="Normal"/>
    <w:rsid w:val="001D4028"/>
    <w:pPr>
      <w:jc w:val="center"/>
    </w:pPr>
    <w:rPr>
      <w:rFonts w:eastAsia="Times New Roman"/>
      <w:b/>
      <w:u w:val="single"/>
      <w:lang w:eastAsia="en-GB"/>
    </w:rPr>
  </w:style>
  <w:style w:type="paragraph" w:customStyle="1" w:styleId="Annexetitrefichefinglobale">
    <w:name w:val="Annexe titre (fiche fin. globale)"/>
    <w:basedOn w:val="Normal"/>
    <w:next w:val="Normal"/>
    <w:rsid w:val="001D4028"/>
    <w:pPr>
      <w:jc w:val="center"/>
    </w:pPr>
    <w:rPr>
      <w:rFonts w:eastAsia="Times New Roman"/>
      <w:b/>
      <w:u w:val="single"/>
      <w:lang w:eastAsia="en-GB"/>
    </w:rPr>
  </w:style>
  <w:style w:type="paragraph" w:customStyle="1" w:styleId="Annexetitreglobale">
    <w:name w:val="Annexe titre (globale)"/>
    <w:basedOn w:val="Normal"/>
    <w:next w:val="Normal"/>
    <w:rsid w:val="001D4028"/>
    <w:pPr>
      <w:jc w:val="center"/>
    </w:pPr>
    <w:rPr>
      <w:rFonts w:eastAsia="Times New Roman"/>
      <w:b/>
      <w:u w:val="single"/>
      <w:lang w:eastAsia="en-GB"/>
    </w:rPr>
  </w:style>
  <w:style w:type="paragraph" w:customStyle="1" w:styleId="Exposdesmotifstitreglobal">
    <w:name w:val="Exposé des motifs titre (global)"/>
    <w:basedOn w:val="Normal"/>
    <w:next w:val="Normal"/>
    <w:rsid w:val="001D4028"/>
    <w:pPr>
      <w:jc w:val="center"/>
    </w:pPr>
    <w:rPr>
      <w:rFonts w:eastAsia="Times New Roman"/>
      <w:b/>
      <w:u w:val="single"/>
      <w:lang w:eastAsia="en-GB"/>
    </w:rPr>
  </w:style>
  <w:style w:type="paragraph" w:customStyle="1" w:styleId="Langueoriginale">
    <w:name w:val="Langue originale"/>
    <w:basedOn w:val="Normal"/>
    <w:rsid w:val="001D4028"/>
    <w:pPr>
      <w:spacing w:before="360"/>
      <w:jc w:val="center"/>
    </w:pPr>
    <w:rPr>
      <w:rFonts w:eastAsia="Times New Roman"/>
      <w:caps/>
      <w:lang w:eastAsia="en-GB"/>
    </w:rPr>
  </w:style>
  <w:style w:type="paragraph" w:customStyle="1" w:styleId="Phrasefinale">
    <w:name w:val="Phrase finale"/>
    <w:basedOn w:val="Normal"/>
    <w:next w:val="Normal"/>
    <w:rsid w:val="001D4028"/>
    <w:pPr>
      <w:spacing w:before="360" w:after="0"/>
      <w:jc w:val="center"/>
    </w:pPr>
    <w:rPr>
      <w:rFonts w:eastAsia="Times New Roman"/>
      <w:lang w:eastAsia="en-GB"/>
    </w:rPr>
  </w:style>
  <w:style w:type="paragraph" w:customStyle="1" w:styleId="Prliminairetitre">
    <w:name w:val="Préliminaire titre"/>
    <w:basedOn w:val="Normal"/>
    <w:next w:val="Normal"/>
    <w:rsid w:val="001D4028"/>
    <w:pPr>
      <w:spacing w:before="360" w:after="360"/>
      <w:jc w:val="center"/>
    </w:pPr>
    <w:rPr>
      <w:rFonts w:eastAsia="Times New Roman"/>
      <w:b/>
      <w:lang w:eastAsia="en-GB"/>
    </w:rPr>
  </w:style>
  <w:style w:type="paragraph" w:customStyle="1" w:styleId="Prliminairetype">
    <w:name w:val="Préliminaire type"/>
    <w:basedOn w:val="Normal"/>
    <w:next w:val="Normal"/>
    <w:rsid w:val="001D4028"/>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D4028"/>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D402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D4028"/>
    <w:pPr>
      <w:spacing w:before="0" w:after="0"/>
      <w:ind w:left="5103"/>
      <w:jc w:val="left"/>
    </w:pPr>
    <w:rPr>
      <w:rFonts w:eastAsia="Times New Roman"/>
      <w:lang w:eastAsia="en-GB"/>
    </w:rPr>
  </w:style>
  <w:style w:type="paragraph" w:customStyle="1" w:styleId="Sous-titreobjetprliminaire">
    <w:name w:val="Sous-titre objet (préliminaire)"/>
    <w:basedOn w:val="Normal"/>
    <w:rsid w:val="001D4028"/>
    <w:pPr>
      <w:spacing w:before="0" w:after="0"/>
      <w:jc w:val="center"/>
    </w:pPr>
    <w:rPr>
      <w:rFonts w:eastAsia="Times New Roman"/>
      <w:b/>
      <w:lang w:eastAsia="en-GB"/>
    </w:rPr>
  </w:style>
  <w:style w:type="paragraph" w:customStyle="1" w:styleId="Statutprliminaire">
    <w:name w:val="Statut (préliminaire)"/>
    <w:basedOn w:val="Normal"/>
    <w:next w:val="Normal"/>
    <w:rsid w:val="001D4028"/>
    <w:pPr>
      <w:spacing w:before="360" w:after="0"/>
      <w:jc w:val="center"/>
    </w:pPr>
    <w:rPr>
      <w:rFonts w:eastAsia="Times New Roman"/>
      <w:lang w:eastAsia="en-GB"/>
    </w:rPr>
  </w:style>
  <w:style w:type="paragraph" w:customStyle="1" w:styleId="Titreobjetprliminaire">
    <w:name w:val="Titre objet (préliminaire)"/>
    <w:basedOn w:val="Normal"/>
    <w:next w:val="Normal"/>
    <w:rsid w:val="001D4028"/>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D4028"/>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D4028"/>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D4028"/>
    <w:pPr>
      <w:jc w:val="center"/>
    </w:pPr>
    <w:rPr>
      <w:rFonts w:eastAsia="Times New Roman"/>
      <w:b/>
      <w:u w:val="single"/>
      <w:lang w:eastAsia="en-GB"/>
    </w:rPr>
  </w:style>
  <w:style w:type="paragraph" w:customStyle="1" w:styleId="Fichefinanciretravailtitre">
    <w:name w:val="Fiche financière (travail) titre"/>
    <w:basedOn w:val="Normal"/>
    <w:next w:val="Normal"/>
    <w:rsid w:val="001D4028"/>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D4028"/>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D4028"/>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D4028"/>
    <w:pPr>
      <w:jc w:val="center"/>
    </w:pPr>
    <w:rPr>
      <w:rFonts w:eastAsia="Times New Roman"/>
      <w:b/>
      <w:u w:val="single"/>
      <w:lang w:eastAsia="en-GB"/>
    </w:rPr>
  </w:style>
  <w:style w:type="paragraph" w:styleId="Caption">
    <w:name w:val="caption"/>
    <w:basedOn w:val="Normal"/>
    <w:next w:val="Normal"/>
    <w:qFormat/>
    <w:rsid w:val="001D4028"/>
    <w:rPr>
      <w:rFonts w:eastAsia="Times New Roman"/>
      <w:b/>
      <w:bCs/>
      <w:sz w:val="20"/>
      <w:szCs w:val="20"/>
      <w:lang w:eastAsia="en-GB"/>
    </w:rPr>
  </w:style>
  <w:style w:type="paragraph" w:styleId="TableofFigures">
    <w:name w:val="table of figures"/>
    <w:basedOn w:val="Normal"/>
    <w:next w:val="Normal"/>
    <w:rsid w:val="001D4028"/>
    <w:rPr>
      <w:rFonts w:eastAsia="Times New Roman"/>
      <w:lang w:eastAsia="en-GB"/>
    </w:rPr>
  </w:style>
  <w:style w:type="character" w:styleId="PageNumber">
    <w:name w:val="page number"/>
    <w:rsid w:val="001D4028"/>
  </w:style>
  <w:style w:type="character" w:customStyle="1" w:styleId="tw4winMark">
    <w:name w:val="tw4winMark"/>
    <w:rsid w:val="001D4028"/>
    <w:rPr>
      <w:vanish/>
      <w:color w:val="800080"/>
      <w:vertAlign w:val="subscript"/>
    </w:rPr>
  </w:style>
  <w:style w:type="paragraph" w:customStyle="1" w:styleId="Sous-titreobjet">
    <w:name w:val="Sous-titre objet"/>
    <w:basedOn w:val="Normal"/>
    <w:rsid w:val="001D402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D4028"/>
  </w:style>
  <w:style w:type="paragraph" w:customStyle="1" w:styleId="FooterCoverPage">
    <w:name w:val="Footer Cover Page"/>
    <w:basedOn w:val="Normal"/>
    <w:link w:val="FooterCoverPageChar"/>
    <w:rsid w:val="001D402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D4028"/>
    <w:rPr>
      <w:rFonts w:ascii="Times New Roman" w:hAnsi="Times New Roman" w:cs="Times New Roman"/>
      <w:b/>
      <w:sz w:val="28"/>
      <w:lang w:val="el-GR"/>
    </w:rPr>
  </w:style>
  <w:style w:type="character" w:customStyle="1" w:styleId="FooterCoverPageChar">
    <w:name w:val="Footer Cover Page Char"/>
    <w:link w:val="FooterCoverPage"/>
    <w:rsid w:val="001D4028"/>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1D402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D4028"/>
    <w:rPr>
      <w:rFonts w:ascii="Times New Roman" w:eastAsia="Calibri" w:hAnsi="Times New Roman" w:cs="Times New Roman"/>
      <w:sz w:val="24"/>
      <w:lang w:val="el-GR" w:eastAsia="en-GB"/>
    </w:rPr>
  </w:style>
  <w:style w:type="character" w:customStyle="1" w:styleId="FooterSensitivityChar">
    <w:name w:val="Footer Sensitivity Char"/>
    <w:rsid w:val="001D4028"/>
    <w:rPr>
      <w:rFonts w:ascii="Times New Roman" w:hAnsi="Times New Roman" w:cs="Times New Roman"/>
      <w:b/>
      <w:sz w:val="32"/>
      <w:lang w:val="el-GR"/>
    </w:rPr>
  </w:style>
  <w:style w:type="character" w:customStyle="1" w:styleId="HeaderSensitivityChar">
    <w:name w:val="Header Sensitivity Char"/>
    <w:rsid w:val="001D4028"/>
    <w:rPr>
      <w:rFonts w:ascii="Times New Roman" w:hAnsi="Times New Roman" w:cs="Times New Roman"/>
      <w:b/>
      <w:sz w:val="32"/>
      <w:lang w:val="el-GR"/>
    </w:rPr>
  </w:style>
  <w:style w:type="character" w:customStyle="1" w:styleId="HeaderSensitivityRightChar">
    <w:name w:val="Header Sensitivity Right Char"/>
    <w:rsid w:val="001D4028"/>
    <w:rPr>
      <w:rFonts w:ascii="Times New Roman" w:hAnsi="Times New Roman" w:cs="Times New Roman"/>
      <w:sz w:val="28"/>
      <w:lang w:val="el-GR"/>
    </w:rPr>
  </w:style>
  <w:style w:type="paragraph" w:customStyle="1" w:styleId="Footnote">
    <w:name w:val="Footnote"/>
    <w:basedOn w:val="FootnoteText"/>
    <w:rsid w:val="008F6AC1"/>
  </w:style>
  <w:style w:type="paragraph" w:customStyle="1" w:styleId="ManualNumPar13">
    <w:name w:val="Manual NumPar 1"/>
    <w:basedOn w:val="Normal"/>
    <w:next w:val="Text1"/>
    <w:pPr>
      <w:ind w:left="850" w:hanging="850"/>
    </w:pPr>
  </w:style>
  <w:style w:type="paragraph" w:customStyle="1" w:styleId="ManualNumPar14">
    <w:name w:val="Manual NumPar 1"/>
    <w:basedOn w:val="Normal"/>
    <w:next w:val="Text1"/>
    <w:pPr>
      <w:ind w:left="850" w:hanging="850"/>
    </w:pPr>
  </w:style>
  <w:style w:type="paragraph" w:customStyle="1" w:styleId="ManualNumPar15">
    <w:name w:val="Manual NumPar 1"/>
    <w:basedOn w:val="Normal"/>
    <w:next w:val="Text1"/>
    <w:pPr>
      <w:ind w:left="850" w:hanging="850"/>
    </w:pPr>
  </w:style>
  <w:style w:type="paragraph" w:customStyle="1" w:styleId="ManualNumPar16">
    <w:name w:val="Manual NumPar 1"/>
    <w:basedOn w:val="Normal"/>
    <w:next w:val="Text1"/>
    <w:pPr>
      <w:ind w:left="850" w:hanging="850"/>
    </w:pPr>
  </w:style>
  <w:style w:type="paragraph" w:customStyle="1" w:styleId="ManualNumPar17">
    <w:name w:val="Manual NumPar 1"/>
    <w:basedOn w:val="Normal"/>
    <w:next w:val="Text1"/>
    <w:pPr>
      <w:ind w:left="850" w:hanging="850"/>
    </w:pPr>
  </w:style>
  <w:style w:type="paragraph" w:customStyle="1" w:styleId="ManualNumPar18">
    <w:name w:val="Manual NumPar 1"/>
    <w:basedOn w:val="Normal"/>
    <w:next w:val="Text1"/>
    <w:pPr>
      <w:ind w:left="850" w:hanging="850"/>
    </w:pPr>
  </w:style>
  <w:style w:type="paragraph" w:customStyle="1" w:styleId="ManualNumPar19">
    <w:name w:val="Manual NumPar 1"/>
    <w:basedOn w:val="Normal"/>
    <w:next w:val="Text1"/>
    <w:pPr>
      <w:ind w:left="850" w:hanging="850"/>
    </w:pPr>
  </w:style>
  <w:style w:type="paragraph" w:customStyle="1" w:styleId="ManualNumPar1a">
    <w:name w:val="Manual NumPar 1"/>
    <w:basedOn w:val="Normal"/>
    <w:next w:val="Text1"/>
    <w:pPr>
      <w:ind w:left="850" w:hanging="850"/>
    </w:pPr>
  </w:style>
  <w:style w:type="paragraph" w:customStyle="1" w:styleId="ManualNumPar1b">
    <w:name w:val="Manual NumPar 1"/>
    <w:basedOn w:val="Normal"/>
    <w:next w:val="Text1"/>
    <w:pPr>
      <w:ind w:left="850" w:hanging="850"/>
    </w:pPr>
  </w:style>
  <w:style w:type="paragraph" w:customStyle="1" w:styleId="ManualNumPar1c">
    <w:name w:val="Manual NumPar 1"/>
    <w:basedOn w:val="Normal"/>
    <w:next w:val="Text1"/>
    <w:pPr>
      <w:ind w:left="850" w:hanging="850"/>
    </w:pPr>
  </w:style>
  <w:style w:type="paragraph" w:customStyle="1" w:styleId="ManualNumPar1d">
    <w:name w:val="Manual NumPar 1"/>
    <w:basedOn w:val="Normal"/>
    <w:next w:val="Text1"/>
    <w:pPr>
      <w:ind w:left="850" w:hanging="850"/>
    </w:pPr>
  </w:style>
  <w:style w:type="paragraph" w:customStyle="1" w:styleId="ManualNumPar1e">
    <w:name w:val="Manual NumPar 1"/>
    <w:basedOn w:val="Normal"/>
    <w:next w:val="Text1"/>
    <w:pPr>
      <w:ind w:left="850" w:hanging="850"/>
    </w:pPr>
  </w:style>
  <w:style w:type="paragraph" w:customStyle="1" w:styleId="ManualNumPar1f">
    <w:name w:val="Manual NumPar 1"/>
    <w:basedOn w:val="Normal"/>
    <w:next w:val="Text1"/>
    <w:pPr>
      <w:ind w:left="850" w:hanging="850"/>
    </w:pPr>
  </w:style>
  <w:style w:type="paragraph" w:customStyle="1" w:styleId="ManualNumPar1f0">
    <w:name w:val="Manual NumPar 1"/>
    <w:basedOn w:val="Normal"/>
    <w:next w:val="Text1"/>
    <w:pPr>
      <w:ind w:left="850" w:hanging="850"/>
    </w:p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l-G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l-G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l-G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l-G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l-G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l-G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l-G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3"/>
      </w:numPr>
    </w:pPr>
  </w:style>
  <w:style w:type="paragraph" w:customStyle="1" w:styleId="Tiret1">
    <w:name w:val="Tiret 1"/>
    <w:basedOn w:val="Point1"/>
    <w:pPr>
      <w:numPr>
        <w:numId w:val="54"/>
      </w:numPr>
    </w:pPr>
  </w:style>
  <w:style w:type="paragraph" w:customStyle="1" w:styleId="Tiret2">
    <w:name w:val="Tiret 2"/>
    <w:basedOn w:val="Point2"/>
    <w:pPr>
      <w:numPr>
        <w:numId w:val="55"/>
      </w:numPr>
    </w:pPr>
  </w:style>
  <w:style w:type="paragraph" w:customStyle="1" w:styleId="Tiret3">
    <w:name w:val="Tiret 3"/>
    <w:basedOn w:val="Point3"/>
    <w:pPr>
      <w:numPr>
        <w:numId w:val="56"/>
      </w:numPr>
    </w:pPr>
  </w:style>
  <w:style w:type="paragraph" w:customStyle="1" w:styleId="Tiret4">
    <w:name w:val="Tiret 4"/>
    <w:basedOn w:val="Point4"/>
    <w:pPr>
      <w:numPr>
        <w:numId w:val="57"/>
      </w:numPr>
    </w:pPr>
  </w:style>
  <w:style w:type="paragraph" w:customStyle="1" w:styleId="Tiret5">
    <w:name w:val="Tiret 5"/>
    <w:basedOn w:val="Point5"/>
    <w:pPr>
      <w:numPr>
        <w:numId w:val="5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9"/>
      </w:numPr>
    </w:pPr>
  </w:style>
  <w:style w:type="paragraph" w:customStyle="1" w:styleId="NumPar2">
    <w:name w:val="NumPar 2"/>
    <w:basedOn w:val="Normal"/>
    <w:next w:val="Text1"/>
    <w:pPr>
      <w:numPr>
        <w:ilvl w:val="1"/>
        <w:numId w:val="59"/>
      </w:numPr>
    </w:pPr>
  </w:style>
  <w:style w:type="paragraph" w:customStyle="1" w:styleId="NumPar3">
    <w:name w:val="NumPar 3"/>
    <w:basedOn w:val="Normal"/>
    <w:next w:val="Text1"/>
    <w:pPr>
      <w:numPr>
        <w:ilvl w:val="2"/>
        <w:numId w:val="59"/>
      </w:numPr>
    </w:pPr>
  </w:style>
  <w:style w:type="paragraph" w:customStyle="1" w:styleId="NumPar4">
    <w:name w:val="NumPar 4"/>
    <w:basedOn w:val="Normal"/>
    <w:next w:val="Text1"/>
    <w:pPr>
      <w:numPr>
        <w:ilvl w:val="3"/>
        <w:numId w:val="59"/>
      </w:numPr>
    </w:pPr>
  </w:style>
  <w:style w:type="paragraph" w:customStyle="1" w:styleId="NumPar5">
    <w:name w:val="NumPar 5"/>
    <w:basedOn w:val="Normal"/>
    <w:next w:val="Text2"/>
    <w:pPr>
      <w:numPr>
        <w:ilvl w:val="4"/>
        <w:numId w:val="59"/>
      </w:numPr>
    </w:pPr>
  </w:style>
  <w:style w:type="paragraph" w:customStyle="1" w:styleId="NumPar6">
    <w:name w:val="NumPar 6"/>
    <w:basedOn w:val="Normal"/>
    <w:next w:val="Text2"/>
    <w:pPr>
      <w:numPr>
        <w:ilvl w:val="5"/>
        <w:numId w:val="59"/>
      </w:numPr>
    </w:pPr>
  </w:style>
  <w:style w:type="paragraph" w:customStyle="1" w:styleId="NumPar7">
    <w:name w:val="NumPar 7"/>
    <w:basedOn w:val="Normal"/>
    <w:next w:val="Text2"/>
    <w:pPr>
      <w:numPr>
        <w:ilvl w:val="6"/>
        <w:numId w:val="59"/>
      </w:numPr>
    </w:pPr>
  </w:style>
  <w:style w:type="paragraph" w:customStyle="1" w:styleId="ManualNumPar1f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1"/>
      </w:numPr>
    </w:pPr>
  </w:style>
  <w:style w:type="paragraph" w:customStyle="1" w:styleId="Point1number">
    <w:name w:val="Point 1 (number)"/>
    <w:basedOn w:val="Normal"/>
    <w:pPr>
      <w:numPr>
        <w:ilvl w:val="2"/>
        <w:numId w:val="61"/>
      </w:numPr>
    </w:pPr>
  </w:style>
  <w:style w:type="paragraph" w:customStyle="1" w:styleId="Point2number">
    <w:name w:val="Point 2 (number)"/>
    <w:basedOn w:val="Normal"/>
    <w:pPr>
      <w:numPr>
        <w:ilvl w:val="4"/>
        <w:numId w:val="61"/>
      </w:numPr>
    </w:pPr>
  </w:style>
  <w:style w:type="paragraph" w:customStyle="1" w:styleId="Point3number">
    <w:name w:val="Point 3 (number)"/>
    <w:basedOn w:val="Normal"/>
    <w:pPr>
      <w:numPr>
        <w:ilvl w:val="6"/>
        <w:numId w:val="61"/>
      </w:numPr>
    </w:pPr>
  </w:style>
  <w:style w:type="paragraph" w:customStyle="1" w:styleId="Point0letter">
    <w:name w:val="Point 0 (letter)"/>
    <w:basedOn w:val="Normal"/>
    <w:pPr>
      <w:numPr>
        <w:ilvl w:val="1"/>
        <w:numId w:val="61"/>
      </w:numPr>
    </w:pPr>
  </w:style>
  <w:style w:type="paragraph" w:customStyle="1" w:styleId="Point1letter">
    <w:name w:val="Point 1 (letter)"/>
    <w:basedOn w:val="Normal"/>
    <w:pPr>
      <w:numPr>
        <w:ilvl w:val="3"/>
        <w:numId w:val="61"/>
      </w:numPr>
    </w:pPr>
  </w:style>
  <w:style w:type="paragraph" w:customStyle="1" w:styleId="Point2letter">
    <w:name w:val="Point 2 (letter)"/>
    <w:basedOn w:val="Normal"/>
    <w:pPr>
      <w:numPr>
        <w:ilvl w:val="5"/>
        <w:numId w:val="61"/>
      </w:numPr>
    </w:pPr>
  </w:style>
  <w:style w:type="paragraph" w:customStyle="1" w:styleId="Point3letter">
    <w:name w:val="Point 3 (letter)"/>
    <w:basedOn w:val="Normal"/>
    <w:pPr>
      <w:numPr>
        <w:ilvl w:val="7"/>
        <w:numId w:val="61"/>
      </w:numPr>
    </w:pPr>
  </w:style>
  <w:style w:type="paragraph" w:customStyle="1" w:styleId="Point4letter">
    <w:name w:val="Point 4 (letter)"/>
    <w:basedOn w:val="Normal"/>
    <w:pPr>
      <w:numPr>
        <w:ilvl w:val="8"/>
        <w:numId w:val="61"/>
      </w:numPr>
    </w:pPr>
  </w:style>
  <w:style w:type="paragraph" w:customStyle="1" w:styleId="Bullet0">
    <w:name w:val="Bullet 0"/>
    <w:basedOn w:val="Normal"/>
    <w:pPr>
      <w:numPr>
        <w:numId w:val="62"/>
      </w:numPr>
    </w:pPr>
  </w:style>
  <w:style w:type="paragraph" w:customStyle="1" w:styleId="Bullet1">
    <w:name w:val="Bullet 1"/>
    <w:basedOn w:val="Normal"/>
    <w:pPr>
      <w:numPr>
        <w:numId w:val="63"/>
      </w:numPr>
    </w:pPr>
  </w:style>
  <w:style w:type="paragraph" w:customStyle="1" w:styleId="Bullet2">
    <w:name w:val="Bullet 2"/>
    <w:basedOn w:val="Normal"/>
    <w:pPr>
      <w:numPr>
        <w:numId w:val="64"/>
      </w:numPr>
    </w:pPr>
  </w:style>
  <w:style w:type="paragraph" w:customStyle="1" w:styleId="Bullet3">
    <w:name w:val="Bullet 3"/>
    <w:basedOn w:val="Normal"/>
    <w:pPr>
      <w:numPr>
        <w:numId w:val="65"/>
      </w:numPr>
    </w:pPr>
  </w:style>
  <w:style w:type="paragraph" w:customStyle="1" w:styleId="Bullet4">
    <w:name w:val="Bullet 4"/>
    <w:basedOn w:val="Normal"/>
    <w:pPr>
      <w:numPr>
        <w:numId w:val="6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53">
      <w:bodyDiv w:val="1"/>
      <w:marLeft w:val="0"/>
      <w:marRight w:val="0"/>
      <w:marTop w:val="0"/>
      <w:marBottom w:val="0"/>
      <w:divBdr>
        <w:top w:val="none" w:sz="0" w:space="0" w:color="auto"/>
        <w:left w:val="none" w:sz="0" w:space="0" w:color="auto"/>
        <w:bottom w:val="none" w:sz="0" w:space="0" w:color="auto"/>
        <w:right w:val="none" w:sz="0" w:space="0" w:color="auto"/>
      </w:divBdr>
      <w:divsChild>
        <w:div w:id="1260530140">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543371282">
                  <w:marLeft w:val="0"/>
                  <w:marRight w:val="0"/>
                  <w:marTop w:val="0"/>
                  <w:marBottom w:val="0"/>
                  <w:divBdr>
                    <w:top w:val="none" w:sz="0" w:space="0" w:color="auto"/>
                    <w:left w:val="none" w:sz="0" w:space="0" w:color="auto"/>
                    <w:bottom w:val="none" w:sz="0" w:space="0" w:color="auto"/>
                    <w:right w:val="none" w:sz="0" w:space="0" w:color="auto"/>
                  </w:divBdr>
                  <w:divsChild>
                    <w:div w:id="1417822081">
                      <w:marLeft w:val="0"/>
                      <w:marRight w:val="0"/>
                      <w:marTop w:val="120"/>
                      <w:marBottom w:val="0"/>
                      <w:divBdr>
                        <w:top w:val="none" w:sz="0" w:space="0" w:color="auto"/>
                        <w:left w:val="none" w:sz="0" w:space="0" w:color="auto"/>
                        <w:bottom w:val="none" w:sz="0" w:space="0" w:color="auto"/>
                        <w:right w:val="none" w:sz="0" w:space="0" w:color="auto"/>
                      </w:divBdr>
                    </w:div>
                    <w:div w:id="1138104606">
                      <w:marLeft w:val="0"/>
                      <w:marRight w:val="0"/>
                      <w:marTop w:val="0"/>
                      <w:marBottom w:val="0"/>
                      <w:divBdr>
                        <w:top w:val="none" w:sz="0" w:space="0" w:color="auto"/>
                        <w:left w:val="none" w:sz="0" w:space="0" w:color="auto"/>
                        <w:bottom w:val="none" w:sz="0" w:space="0" w:color="auto"/>
                        <w:right w:val="none" w:sz="0" w:space="0" w:color="auto"/>
                      </w:divBdr>
                    </w:div>
                  </w:divsChild>
                </w:div>
                <w:div w:id="1831142771">
                  <w:marLeft w:val="0"/>
                  <w:marRight w:val="0"/>
                  <w:marTop w:val="0"/>
                  <w:marBottom w:val="0"/>
                  <w:divBdr>
                    <w:top w:val="none" w:sz="0" w:space="0" w:color="auto"/>
                    <w:left w:val="none" w:sz="0" w:space="0" w:color="auto"/>
                    <w:bottom w:val="none" w:sz="0" w:space="0" w:color="auto"/>
                    <w:right w:val="none" w:sz="0" w:space="0" w:color="auto"/>
                  </w:divBdr>
                  <w:divsChild>
                    <w:div w:id="1098409106">
                      <w:marLeft w:val="0"/>
                      <w:marRight w:val="0"/>
                      <w:marTop w:val="120"/>
                      <w:marBottom w:val="0"/>
                      <w:divBdr>
                        <w:top w:val="none" w:sz="0" w:space="0" w:color="auto"/>
                        <w:left w:val="none" w:sz="0" w:space="0" w:color="auto"/>
                        <w:bottom w:val="none" w:sz="0" w:space="0" w:color="auto"/>
                        <w:right w:val="none" w:sz="0" w:space="0" w:color="auto"/>
                      </w:divBdr>
                    </w:div>
                    <w:div w:id="1744721762">
                      <w:marLeft w:val="0"/>
                      <w:marRight w:val="0"/>
                      <w:marTop w:val="0"/>
                      <w:marBottom w:val="0"/>
                      <w:divBdr>
                        <w:top w:val="none" w:sz="0" w:space="0" w:color="auto"/>
                        <w:left w:val="none" w:sz="0" w:space="0" w:color="auto"/>
                        <w:bottom w:val="none" w:sz="0" w:space="0" w:color="auto"/>
                        <w:right w:val="none" w:sz="0" w:space="0" w:color="auto"/>
                      </w:divBdr>
                    </w:div>
                  </w:divsChild>
                </w:div>
                <w:div w:id="112990314">
                  <w:marLeft w:val="0"/>
                  <w:marRight w:val="0"/>
                  <w:marTop w:val="0"/>
                  <w:marBottom w:val="0"/>
                  <w:divBdr>
                    <w:top w:val="none" w:sz="0" w:space="0" w:color="auto"/>
                    <w:left w:val="none" w:sz="0" w:space="0" w:color="auto"/>
                    <w:bottom w:val="none" w:sz="0" w:space="0" w:color="auto"/>
                    <w:right w:val="none" w:sz="0" w:space="0" w:color="auto"/>
                  </w:divBdr>
                  <w:divsChild>
                    <w:div w:id="430980114">
                      <w:marLeft w:val="0"/>
                      <w:marRight w:val="0"/>
                      <w:marTop w:val="120"/>
                      <w:marBottom w:val="0"/>
                      <w:divBdr>
                        <w:top w:val="none" w:sz="0" w:space="0" w:color="auto"/>
                        <w:left w:val="none" w:sz="0" w:space="0" w:color="auto"/>
                        <w:bottom w:val="none" w:sz="0" w:space="0" w:color="auto"/>
                        <w:right w:val="none" w:sz="0" w:space="0" w:color="auto"/>
                      </w:divBdr>
                    </w:div>
                    <w:div w:id="418138658">
                      <w:marLeft w:val="0"/>
                      <w:marRight w:val="0"/>
                      <w:marTop w:val="0"/>
                      <w:marBottom w:val="0"/>
                      <w:divBdr>
                        <w:top w:val="none" w:sz="0" w:space="0" w:color="auto"/>
                        <w:left w:val="none" w:sz="0" w:space="0" w:color="auto"/>
                        <w:bottom w:val="none" w:sz="0" w:space="0" w:color="auto"/>
                        <w:right w:val="none" w:sz="0" w:space="0" w:color="auto"/>
                      </w:divBdr>
                    </w:div>
                  </w:divsChild>
                </w:div>
                <w:div w:id="1427115331">
                  <w:marLeft w:val="0"/>
                  <w:marRight w:val="0"/>
                  <w:marTop w:val="0"/>
                  <w:marBottom w:val="0"/>
                  <w:divBdr>
                    <w:top w:val="none" w:sz="0" w:space="0" w:color="auto"/>
                    <w:left w:val="none" w:sz="0" w:space="0" w:color="auto"/>
                    <w:bottom w:val="none" w:sz="0" w:space="0" w:color="auto"/>
                    <w:right w:val="none" w:sz="0" w:space="0" w:color="auto"/>
                  </w:divBdr>
                  <w:divsChild>
                    <w:div w:id="832645950">
                      <w:marLeft w:val="0"/>
                      <w:marRight w:val="0"/>
                      <w:marTop w:val="120"/>
                      <w:marBottom w:val="0"/>
                      <w:divBdr>
                        <w:top w:val="none" w:sz="0" w:space="0" w:color="auto"/>
                        <w:left w:val="none" w:sz="0" w:space="0" w:color="auto"/>
                        <w:bottom w:val="none" w:sz="0" w:space="0" w:color="auto"/>
                        <w:right w:val="none" w:sz="0" w:space="0" w:color="auto"/>
                      </w:divBdr>
                    </w:div>
                    <w:div w:id="14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1509">
          <w:marLeft w:val="0"/>
          <w:marRight w:val="0"/>
          <w:marTop w:val="0"/>
          <w:marBottom w:val="0"/>
          <w:divBdr>
            <w:top w:val="none" w:sz="0" w:space="0" w:color="auto"/>
            <w:left w:val="none" w:sz="0" w:space="0" w:color="auto"/>
            <w:bottom w:val="none" w:sz="0" w:space="0" w:color="auto"/>
            <w:right w:val="none" w:sz="0" w:space="0" w:color="auto"/>
          </w:divBdr>
          <w:divsChild>
            <w:div w:id="1861581418">
              <w:marLeft w:val="0"/>
              <w:marRight w:val="0"/>
              <w:marTop w:val="0"/>
              <w:marBottom w:val="0"/>
              <w:divBdr>
                <w:top w:val="none" w:sz="0" w:space="0" w:color="auto"/>
                <w:left w:val="none" w:sz="0" w:space="0" w:color="auto"/>
                <w:bottom w:val="none" w:sz="0" w:space="0" w:color="auto"/>
                <w:right w:val="none" w:sz="0" w:space="0" w:color="auto"/>
              </w:divBdr>
            </w:div>
          </w:divsChild>
        </w:div>
        <w:div w:id="1014258688">
          <w:marLeft w:val="0"/>
          <w:marRight w:val="0"/>
          <w:marTop w:val="0"/>
          <w:marBottom w:val="0"/>
          <w:divBdr>
            <w:top w:val="none" w:sz="0" w:space="0" w:color="auto"/>
            <w:left w:val="none" w:sz="0" w:space="0" w:color="auto"/>
            <w:bottom w:val="none" w:sz="0" w:space="0" w:color="auto"/>
            <w:right w:val="none" w:sz="0" w:space="0" w:color="auto"/>
          </w:divBdr>
          <w:divsChild>
            <w:div w:id="250162134">
              <w:marLeft w:val="0"/>
              <w:marRight w:val="0"/>
              <w:marTop w:val="0"/>
              <w:marBottom w:val="0"/>
              <w:divBdr>
                <w:top w:val="none" w:sz="0" w:space="0" w:color="auto"/>
                <w:left w:val="none" w:sz="0" w:space="0" w:color="auto"/>
                <w:bottom w:val="none" w:sz="0" w:space="0" w:color="auto"/>
                <w:right w:val="none" w:sz="0" w:space="0" w:color="auto"/>
              </w:divBdr>
            </w:div>
          </w:divsChild>
        </w:div>
        <w:div w:id="2078238180">
          <w:marLeft w:val="0"/>
          <w:marRight w:val="0"/>
          <w:marTop w:val="0"/>
          <w:marBottom w:val="0"/>
          <w:divBdr>
            <w:top w:val="none" w:sz="0" w:space="0" w:color="auto"/>
            <w:left w:val="none" w:sz="0" w:space="0" w:color="auto"/>
            <w:bottom w:val="none" w:sz="0" w:space="0" w:color="auto"/>
            <w:right w:val="none" w:sz="0" w:space="0" w:color="auto"/>
          </w:divBdr>
          <w:divsChild>
            <w:div w:id="545601012">
              <w:marLeft w:val="0"/>
              <w:marRight w:val="0"/>
              <w:marTop w:val="0"/>
              <w:marBottom w:val="0"/>
              <w:divBdr>
                <w:top w:val="none" w:sz="0" w:space="0" w:color="auto"/>
                <w:left w:val="none" w:sz="0" w:space="0" w:color="auto"/>
                <w:bottom w:val="none" w:sz="0" w:space="0" w:color="auto"/>
                <w:right w:val="none" w:sz="0" w:space="0" w:color="auto"/>
              </w:divBdr>
              <w:divsChild>
                <w:div w:id="1222718030">
                  <w:marLeft w:val="0"/>
                  <w:marRight w:val="0"/>
                  <w:marTop w:val="0"/>
                  <w:marBottom w:val="0"/>
                  <w:divBdr>
                    <w:top w:val="none" w:sz="0" w:space="0" w:color="auto"/>
                    <w:left w:val="none" w:sz="0" w:space="0" w:color="auto"/>
                    <w:bottom w:val="none" w:sz="0" w:space="0" w:color="auto"/>
                    <w:right w:val="none" w:sz="0" w:space="0" w:color="auto"/>
                  </w:divBdr>
                  <w:divsChild>
                    <w:div w:id="359748428">
                      <w:marLeft w:val="0"/>
                      <w:marRight w:val="0"/>
                      <w:marTop w:val="120"/>
                      <w:marBottom w:val="0"/>
                      <w:divBdr>
                        <w:top w:val="none" w:sz="0" w:space="0" w:color="auto"/>
                        <w:left w:val="none" w:sz="0" w:space="0" w:color="auto"/>
                        <w:bottom w:val="none" w:sz="0" w:space="0" w:color="auto"/>
                        <w:right w:val="none" w:sz="0" w:space="0" w:color="auto"/>
                      </w:divBdr>
                    </w:div>
                    <w:div w:id="1026129554">
                      <w:marLeft w:val="0"/>
                      <w:marRight w:val="0"/>
                      <w:marTop w:val="0"/>
                      <w:marBottom w:val="0"/>
                      <w:divBdr>
                        <w:top w:val="none" w:sz="0" w:space="0" w:color="auto"/>
                        <w:left w:val="none" w:sz="0" w:space="0" w:color="auto"/>
                        <w:bottom w:val="none" w:sz="0" w:space="0" w:color="auto"/>
                        <w:right w:val="none" w:sz="0" w:space="0" w:color="auto"/>
                      </w:divBdr>
                    </w:div>
                  </w:divsChild>
                </w:div>
                <w:div w:id="1845197023">
                  <w:marLeft w:val="0"/>
                  <w:marRight w:val="0"/>
                  <w:marTop w:val="0"/>
                  <w:marBottom w:val="0"/>
                  <w:divBdr>
                    <w:top w:val="none" w:sz="0" w:space="0" w:color="auto"/>
                    <w:left w:val="none" w:sz="0" w:space="0" w:color="auto"/>
                    <w:bottom w:val="none" w:sz="0" w:space="0" w:color="auto"/>
                    <w:right w:val="none" w:sz="0" w:space="0" w:color="auto"/>
                  </w:divBdr>
                  <w:divsChild>
                    <w:div w:id="2104718773">
                      <w:marLeft w:val="0"/>
                      <w:marRight w:val="0"/>
                      <w:marTop w:val="120"/>
                      <w:marBottom w:val="0"/>
                      <w:divBdr>
                        <w:top w:val="none" w:sz="0" w:space="0" w:color="auto"/>
                        <w:left w:val="none" w:sz="0" w:space="0" w:color="auto"/>
                        <w:bottom w:val="none" w:sz="0" w:space="0" w:color="auto"/>
                        <w:right w:val="none" w:sz="0" w:space="0" w:color="auto"/>
                      </w:divBdr>
                    </w:div>
                    <w:div w:id="1234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5586">
      <w:bodyDiv w:val="1"/>
      <w:marLeft w:val="0"/>
      <w:marRight w:val="0"/>
      <w:marTop w:val="0"/>
      <w:marBottom w:val="0"/>
      <w:divBdr>
        <w:top w:val="none" w:sz="0" w:space="0" w:color="auto"/>
        <w:left w:val="none" w:sz="0" w:space="0" w:color="auto"/>
        <w:bottom w:val="none" w:sz="0" w:space="0" w:color="auto"/>
        <w:right w:val="none" w:sz="0" w:space="0" w:color="auto"/>
      </w:divBdr>
    </w:div>
    <w:div w:id="201091139">
      <w:bodyDiv w:val="1"/>
      <w:marLeft w:val="0"/>
      <w:marRight w:val="0"/>
      <w:marTop w:val="0"/>
      <w:marBottom w:val="0"/>
      <w:divBdr>
        <w:top w:val="none" w:sz="0" w:space="0" w:color="auto"/>
        <w:left w:val="none" w:sz="0" w:space="0" w:color="auto"/>
        <w:bottom w:val="none" w:sz="0" w:space="0" w:color="auto"/>
        <w:right w:val="none" w:sz="0" w:space="0" w:color="auto"/>
      </w:divBdr>
    </w:div>
    <w:div w:id="344330264">
      <w:bodyDiv w:val="1"/>
      <w:marLeft w:val="0"/>
      <w:marRight w:val="0"/>
      <w:marTop w:val="0"/>
      <w:marBottom w:val="0"/>
      <w:divBdr>
        <w:top w:val="none" w:sz="0" w:space="0" w:color="auto"/>
        <w:left w:val="none" w:sz="0" w:space="0" w:color="auto"/>
        <w:bottom w:val="none" w:sz="0" w:space="0" w:color="auto"/>
        <w:right w:val="none" w:sz="0" w:space="0" w:color="auto"/>
      </w:divBdr>
    </w:div>
    <w:div w:id="351960058">
      <w:bodyDiv w:val="1"/>
      <w:marLeft w:val="0"/>
      <w:marRight w:val="0"/>
      <w:marTop w:val="0"/>
      <w:marBottom w:val="0"/>
      <w:divBdr>
        <w:top w:val="none" w:sz="0" w:space="0" w:color="auto"/>
        <w:left w:val="none" w:sz="0" w:space="0" w:color="auto"/>
        <w:bottom w:val="none" w:sz="0" w:space="0" w:color="auto"/>
        <w:right w:val="none" w:sz="0" w:space="0" w:color="auto"/>
      </w:divBdr>
    </w:div>
    <w:div w:id="356665556">
      <w:bodyDiv w:val="1"/>
      <w:marLeft w:val="0"/>
      <w:marRight w:val="0"/>
      <w:marTop w:val="0"/>
      <w:marBottom w:val="0"/>
      <w:divBdr>
        <w:top w:val="none" w:sz="0" w:space="0" w:color="auto"/>
        <w:left w:val="none" w:sz="0" w:space="0" w:color="auto"/>
        <w:bottom w:val="none" w:sz="0" w:space="0" w:color="auto"/>
        <w:right w:val="none" w:sz="0" w:space="0" w:color="auto"/>
      </w:divBdr>
    </w:div>
    <w:div w:id="358356227">
      <w:bodyDiv w:val="1"/>
      <w:marLeft w:val="0"/>
      <w:marRight w:val="0"/>
      <w:marTop w:val="0"/>
      <w:marBottom w:val="0"/>
      <w:divBdr>
        <w:top w:val="none" w:sz="0" w:space="0" w:color="auto"/>
        <w:left w:val="none" w:sz="0" w:space="0" w:color="auto"/>
        <w:bottom w:val="none" w:sz="0" w:space="0" w:color="auto"/>
        <w:right w:val="none" w:sz="0" w:space="0" w:color="auto"/>
      </w:divBdr>
      <w:divsChild>
        <w:div w:id="624195955">
          <w:marLeft w:val="0"/>
          <w:marRight w:val="0"/>
          <w:marTop w:val="0"/>
          <w:marBottom w:val="0"/>
          <w:divBdr>
            <w:top w:val="none" w:sz="0" w:space="0" w:color="auto"/>
            <w:left w:val="none" w:sz="0" w:space="0" w:color="auto"/>
            <w:bottom w:val="none" w:sz="0" w:space="0" w:color="auto"/>
            <w:right w:val="none" w:sz="0" w:space="0" w:color="auto"/>
          </w:divBdr>
        </w:div>
        <w:div w:id="1800151740">
          <w:marLeft w:val="0"/>
          <w:marRight w:val="0"/>
          <w:marTop w:val="0"/>
          <w:marBottom w:val="0"/>
          <w:divBdr>
            <w:top w:val="none" w:sz="0" w:space="0" w:color="auto"/>
            <w:left w:val="none" w:sz="0" w:space="0" w:color="auto"/>
            <w:bottom w:val="none" w:sz="0" w:space="0" w:color="auto"/>
            <w:right w:val="none" w:sz="0" w:space="0" w:color="auto"/>
          </w:divBdr>
          <w:divsChild>
            <w:div w:id="642387792">
              <w:marLeft w:val="0"/>
              <w:marRight w:val="0"/>
              <w:marTop w:val="0"/>
              <w:marBottom w:val="0"/>
              <w:divBdr>
                <w:top w:val="none" w:sz="0" w:space="0" w:color="auto"/>
                <w:left w:val="none" w:sz="0" w:space="0" w:color="auto"/>
                <w:bottom w:val="none" w:sz="0" w:space="0" w:color="auto"/>
                <w:right w:val="none" w:sz="0" w:space="0" w:color="auto"/>
              </w:divBdr>
              <w:divsChild>
                <w:div w:id="477574789">
                  <w:marLeft w:val="0"/>
                  <w:marRight w:val="0"/>
                  <w:marTop w:val="0"/>
                  <w:marBottom w:val="0"/>
                  <w:divBdr>
                    <w:top w:val="none" w:sz="0" w:space="0" w:color="auto"/>
                    <w:left w:val="none" w:sz="0" w:space="0" w:color="auto"/>
                    <w:bottom w:val="none" w:sz="0" w:space="0" w:color="auto"/>
                    <w:right w:val="none" w:sz="0" w:space="0" w:color="auto"/>
                  </w:divBdr>
                  <w:divsChild>
                    <w:div w:id="1518351738">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388306639">
          <w:marLeft w:val="0"/>
          <w:marRight w:val="0"/>
          <w:marTop w:val="0"/>
          <w:marBottom w:val="0"/>
          <w:divBdr>
            <w:top w:val="none" w:sz="0" w:space="0" w:color="auto"/>
            <w:left w:val="none" w:sz="0" w:space="0" w:color="auto"/>
            <w:bottom w:val="none" w:sz="0" w:space="0" w:color="auto"/>
            <w:right w:val="none" w:sz="0" w:space="0" w:color="auto"/>
          </w:divBdr>
          <w:divsChild>
            <w:div w:id="1047413678">
              <w:marLeft w:val="0"/>
              <w:marRight w:val="0"/>
              <w:marTop w:val="0"/>
              <w:marBottom w:val="0"/>
              <w:divBdr>
                <w:top w:val="none" w:sz="0" w:space="0" w:color="auto"/>
                <w:left w:val="none" w:sz="0" w:space="0" w:color="auto"/>
                <w:bottom w:val="none" w:sz="0" w:space="0" w:color="auto"/>
                <w:right w:val="none" w:sz="0" w:space="0" w:color="auto"/>
              </w:divBdr>
              <w:divsChild>
                <w:div w:id="602802615">
                  <w:marLeft w:val="0"/>
                  <w:marRight w:val="0"/>
                  <w:marTop w:val="0"/>
                  <w:marBottom w:val="0"/>
                  <w:divBdr>
                    <w:top w:val="none" w:sz="0" w:space="0" w:color="auto"/>
                    <w:left w:val="none" w:sz="0" w:space="0" w:color="auto"/>
                    <w:bottom w:val="none" w:sz="0" w:space="0" w:color="auto"/>
                    <w:right w:val="none" w:sz="0" w:space="0" w:color="auto"/>
                  </w:divBdr>
                  <w:divsChild>
                    <w:div w:id="1489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887">
          <w:marLeft w:val="0"/>
          <w:marRight w:val="0"/>
          <w:marTop w:val="240"/>
          <w:marBottom w:val="0"/>
          <w:divBdr>
            <w:top w:val="none" w:sz="0" w:space="0" w:color="auto"/>
            <w:left w:val="none" w:sz="0" w:space="0" w:color="auto"/>
            <w:bottom w:val="none" w:sz="0" w:space="0" w:color="auto"/>
            <w:right w:val="none" w:sz="0" w:space="0" w:color="auto"/>
          </w:divBdr>
          <w:divsChild>
            <w:div w:id="2161670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391854532">
      <w:bodyDiv w:val="1"/>
      <w:marLeft w:val="0"/>
      <w:marRight w:val="0"/>
      <w:marTop w:val="0"/>
      <w:marBottom w:val="0"/>
      <w:divBdr>
        <w:top w:val="none" w:sz="0" w:space="0" w:color="auto"/>
        <w:left w:val="none" w:sz="0" w:space="0" w:color="auto"/>
        <w:bottom w:val="none" w:sz="0" w:space="0" w:color="auto"/>
        <w:right w:val="none" w:sz="0" w:space="0" w:color="auto"/>
      </w:divBdr>
      <w:divsChild>
        <w:div w:id="886450147">
          <w:marLeft w:val="0"/>
          <w:marRight w:val="0"/>
          <w:marTop w:val="0"/>
          <w:marBottom w:val="0"/>
          <w:divBdr>
            <w:top w:val="none" w:sz="0" w:space="0" w:color="auto"/>
            <w:left w:val="none" w:sz="0" w:space="0" w:color="auto"/>
            <w:bottom w:val="none" w:sz="0" w:space="0" w:color="auto"/>
            <w:right w:val="none" w:sz="0" w:space="0" w:color="auto"/>
          </w:divBdr>
          <w:divsChild>
            <w:div w:id="1320579215">
              <w:marLeft w:val="0"/>
              <w:marRight w:val="0"/>
              <w:marTop w:val="0"/>
              <w:marBottom w:val="0"/>
              <w:divBdr>
                <w:top w:val="none" w:sz="0" w:space="0" w:color="auto"/>
                <w:left w:val="none" w:sz="0" w:space="0" w:color="auto"/>
                <w:bottom w:val="none" w:sz="0" w:space="0" w:color="auto"/>
                <w:right w:val="none" w:sz="0" w:space="0" w:color="auto"/>
              </w:divBdr>
              <w:divsChild>
                <w:div w:id="1302808379">
                  <w:marLeft w:val="0"/>
                  <w:marRight w:val="0"/>
                  <w:marTop w:val="0"/>
                  <w:marBottom w:val="0"/>
                  <w:divBdr>
                    <w:top w:val="none" w:sz="0" w:space="0" w:color="auto"/>
                    <w:left w:val="none" w:sz="0" w:space="0" w:color="auto"/>
                    <w:bottom w:val="none" w:sz="0" w:space="0" w:color="auto"/>
                    <w:right w:val="none" w:sz="0" w:space="0" w:color="auto"/>
                  </w:divBdr>
                  <w:divsChild>
                    <w:div w:id="11764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0390">
          <w:marLeft w:val="0"/>
          <w:marRight w:val="0"/>
          <w:marTop w:val="240"/>
          <w:marBottom w:val="0"/>
          <w:divBdr>
            <w:top w:val="none" w:sz="0" w:space="0" w:color="auto"/>
            <w:left w:val="none" w:sz="0" w:space="0" w:color="auto"/>
            <w:bottom w:val="none" w:sz="0" w:space="0" w:color="auto"/>
            <w:right w:val="none" w:sz="0" w:space="0" w:color="auto"/>
          </w:divBdr>
          <w:divsChild>
            <w:div w:id="107971234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13689298">
      <w:bodyDiv w:val="1"/>
      <w:marLeft w:val="0"/>
      <w:marRight w:val="0"/>
      <w:marTop w:val="0"/>
      <w:marBottom w:val="0"/>
      <w:divBdr>
        <w:top w:val="none" w:sz="0" w:space="0" w:color="auto"/>
        <w:left w:val="none" w:sz="0" w:space="0" w:color="auto"/>
        <w:bottom w:val="none" w:sz="0" w:space="0" w:color="auto"/>
        <w:right w:val="none" w:sz="0" w:space="0" w:color="auto"/>
      </w:divBdr>
      <w:divsChild>
        <w:div w:id="717513005">
          <w:marLeft w:val="0"/>
          <w:marRight w:val="0"/>
          <w:marTop w:val="0"/>
          <w:marBottom w:val="0"/>
          <w:divBdr>
            <w:top w:val="none" w:sz="0" w:space="0" w:color="auto"/>
            <w:left w:val="none" w:sz="0" w:space="0" w:color="auto"/>
            <w:bottom w:val="none" w:sz="0" w:space="0" w:color="auto"/>
            <w:right w:val="none" w:sz="0" w:space="0" w:color="auto"/>
          </w:divBdr>
          <w:divsChild>
            <w:div w:id="104693539">
              <w:marLeft w:val="0"/>
              <w:marRight w:val="0"/>
              <w:marTop w:val="0"/>
              <w:marBottom w:val="0"/>
              <w:divBdr>
                <w:top w:val="none" w:sz="0" w:space="0" w:color="auto"/>
                <w:left w:val="none" w:sz="0" w:space="0" w:color="auto"/>
                <w:bottom w:val="none" w:sz="0" w:space="0" w:color="auto"/>
                <w:right w:val="none" w:sz="0" w:space="0" w:color="auto"/>
              </w:divBdr>
            </w:div>
            <w:div w:id="429392637">
              <w:marLeft w:val="0"/>
              <w:marRight w:val="0"/>
              <w:marTop w:val="0"/>
              <w:marBottom w:val="0"/>
              <w:divBdr>
                <w:top w:val="none" w:sz="0" w:space="0" w:color="auto"/>
                <w:left w:val="none" w:sz="0" w:space="0" w:color="auto"/>
                <w:bottom w:val="none" w:sz="0" w:space="0" w:color="auto"/>
                <w:right w:val="none" w:sz="0" w:space="0" w:color="auto"/>
              </w:divBdr>
            </w:div>
            <w:div w:id="466513715">
              <w:marLeft w:val="0"/>
              <w:marRight w:val="0"/>
              <w:marTop w:val="0"/>
              <w:marBottom w:val="0"/>
              <w:divBdr>
                <w:top w:val="none" w:sz="0" w:space="0" w:color="auto"/>
                <w:left w:val="none" w:sz="0" w:space="0" w:color="auto"/>
                <w:bottom w:val="none" w:sz="0" w:space="0" w:color="auto"/>
                <w:right w:val="none" w:sz="0" w:space="0" w:color="auto"/>
              </w:divBdr>
            </w:div>
            <w:div w:id="725835058">
              <w:marLeft w:val="0"/>
              <w:marRight w:val="0"/>
              <w:marTop w:val="0"/>
              <w:marBottom w:val="0"/>
              <w:divBdr>
                <w:top w:val="none" w:sz="0" w:space="0" w:color="auto"/>
                <w:left w:val="none" w:sz="0" w:space="0" w:color="auto"/>
                <w:bottom w:val="none" w:sz="0" w:space="0" w:color="auto"/>
                <w:right w:val="none" w:sz="0" w:space="0" w:color="auto"/>
              </w:divBdr>
            </w:div>
            <w:div w:id="750157341">
              <w:marLeft w:val="0"/>
              <w:marRight w:val="0"/>
              <w:marTop w:val="0"/>
              <w:marBottom w:val="0"/>
              <w:divBdr>
                <w:top w:val="none" w:sz="0" w:space="0" w:color="auto"/>
                <w:left w:val="none" w:sz="0" w:space="0" w:color="auto"/>
                <w:bottom w:val="none" w:sz="0" w:space="0" w:color="auto"/>
                <w:right w:val="none" w:sz="0" w:space="0" w:color="auto"/>
              </w:divBdr>
            </w:div>
          </w:divsChild>
        </w:div>
        <w:div w:id="291910871">
          <w:marLeft w:val="0"/>
          <w:marRight w:val="0"/>
          <w:marTop w:val="0"/>
          <w:marBottom w:val="0"/>
          <w:divBdr>
            <w:top w:val="none" w:sz="0" w:space="0" w:color="auto"/>
            <w:left w:val="none" w:sz="0" w:space="0" w:color="auto"/>
            <w:bottom w:val="none" w:sz="0" w:space="0" w:color="auto"/>
            <w:right w:val="none" w:sz="0" w:space="0" w:color="auto"/>
          </w:divBdr>
          <w:divsChild>
            <w:div w:id="185481393">
              <w:marLeft w:val="0"/>
              <w:marRight w:val="0"/>
              <w:marTop w:val="0"/>
              <w:marBottom w:val="0"/>
              <w:divBdr>
                <w:top w:val="none" w:sz="0" w:space="0" w:color="auto"/>
                <w:left w:val="none" w:sz="0" w:space="0" w:color="auto"/>
                <w:bottom w:val="none" w:sz="0" w:space="0" w:color="auto"/>
                <w:right w:val="none" w:sz="0" w:space="0" w:color="auto"/>
              </w:divBdr>
            </w:div>
            <w:div w:id="621352327">
              <w:marLeft w:val="0"/>
              <w:marRight w:val="0"/>
              <w:marTop w:val="0"/>
              <w:marBottom w:val="0"/>
              <w:divBdr>
                <w:top w:val="none" w:sz="0" w:space="0" w:color="auto"/>
                <w:left w:val="none" w:sz="0" w:space="0" w:color="auto"/>
                <w:bottom w:val="none" w:sz="0" w:space="0" w:color="auto"/>
                <w:right w:val="none" w:sz="0" w:space="0" w:color="auto"/>
              </w:divBdr>
            </w:div>
            <w:div w:id="1732383424">
              <w:marLeft w:val="0"/>
              <w:marRight w:val="0"/>
              <w:marTop w:val="0"/>
              <w:marBottom w:val="0"/>
              <w:divBdr>
                <w:top w:val="none" w:sz="0" w:space="0" w:color="auto"/>
                <w:left w:val="none" w:sz="0" w:space="0" w:color="auto"/>
                <w:bottom w:val="none" w:sz="0" w:space="0" w:color="auto"/>
                <w:right w:val="none" w:sz="0" w:space="0" w:color="auto"/>
              </w:divBdr>
            </w:div>
            <w:div w:id="1820003392">
              <w:marLeft w:val="0"/>
              <w:marRight w:val="0"/>
              <w:marTop w:val="0"/>
              <w:marBottom w:val="0"/>
              <w:divBdr>
                <w:top w:val="none" w:sz="0" w:space="0" w:color="auto"/>
                <w:left w:val="none" w:sz="0" w:space="0" w:color="auto"/>
                <w:bottom w:val="none" w:sz="0" w:space="0" w:color="auto"/>
                <w:right w:val="none" w:sz="0" w:space="0" w:color="auto"/>
              </w:divBdr>
            </w:div>
          </w:divsChild>
        </w:div>
        <w:div w:id="284626496">
          <w:marLeft w:val="0"/>
          <w:marRight w:val="0"/>
          <w:marTop w:val="0"/>
          <w:marBottom w:val="0"/>
          <w:divBdr>
            <w:top w:val="none" w:sz="0" w:space="0" w:color="auto"/>
            <w:left w:val="none" w:sz="0" w:space="0" w:color="auto"/>
            <w:bottom w:val="none" w:sz="0" w:space="0" w:color="auto"/>
            <w:right w:val="none" w:sz="0" w:space="0" w:color="auto"/>
          </w:divBdr>
          <w:divsChild>
            <w:div w:id="238292015">
              <w:marLeft w:val="0"/>
              <w:marRight w:val="0"/>
              <w:marTop w:val="0"/>
              <w:marBottom w:val="0"/>
              <w:divBdr>
                <w:top w:val="none" w:sz="0" w:space="0" w:color="auto"/>
                <w:left w:val="none" w:sz="0" w:space="0" w:color="auto"/>
                <w:bottom w:val="none" w:sz="0" w:space="0" w:color="auto"/>
                <w:right w:val="none" w:sz="0" w:space="0" w:color="auto"/>
              </w:divBdr>
            </w:div>
            <w:div w:id="934048753">
              <w:marLeft w:val="0"/>
              <w:marRight w:val="0"/>
              <w:marTop w:val="0"/>
              <w:marBottom w:val="0"/>
              <w:divBdr>
                <w:top w:val="none" w:sz="0" w:space="0" w:color="auto"/>
                <w:left w:val="none" w:sz="0" w:space="0" w:color="auto"/>
                <w:bottom w:val="none" w:sz="0" w:space="0" w:color="auto"/>
                <w:right w:val="none" w:sz="0" w:space="0" w:color="auto"/>
              </w:divBdr>
            </w:div>
            <w:div w:id="1318338294">
              <w:marLeft w:val="0"/>
              <w:marRight w:val="0"/>
              <w:marTop w:val="0"/>
              <w:marBottom w:val="0"/>
              <w:divBdr>
                <w:top w:val="none" w:sz="0" w:space="0" w:color="auto"/>
                <w:left w:val="none" w:sz="0" w:space="0" w:color="auto"/>
                <w:bottom w:val="none" w:sz="0" w:space="0" w:color="auto"/>
                <w:right w:val="none" w:sz="0" w:space="0" w:color="auto"/>
              </w:divBdr>
            </w:div>
            <w:div w:id="1481119291">
              <w:marLeft w:val="0"/>
              <w:marRight w:val="0"/>
              <w:marTop w:val="0"/>
              <w:marBottom w:val="0"/>
              <w:divBdr>
                <w:top w:val="none" w:sz="0" w:space="0" w:color="auto"/>
                <w:left w:val="none" w:sz="0" w:space="0" w:color="auto"/>
                <w:bottom w:val="none" w:sz="0" w:space="0" w:color="auto"/>
                <w:right w:val="none" w:sz="0" w:space="0" w:color="auto"/>
              </w:divBdr>
            </w:div>
            <w:div w:id="18545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0927">
      <w:bodyDiv w:val="1"/>
      <w:marLeft w:val="0"/>
      <w:marRight w:val="0"/>
      <w:marTop w:val="0"/>
      <w:marBottom w:val="0"/>
      <w:divBdr>
        <w:top w:val="none" w:sz="0" w:space="0" w:color="auto"/>
        <w:left w:val="none" w:sz="0" w:space="0" w:color="auto"/>
        <w:bottom w:val="none" w:sz="0" w:space="0" w:color="auto"/>
        <w:right w:val="none" w:sz="0" w:space="0" w:color="auto"/>
      </w:divBdr>
      <w:divsChild>
        <w:div w:id="580259284">
          <w:marLeft w:val="0"/>
          <w:marRight w:val="0"/>
          <w:marTop w:val="0"/>
          <w:marBottom w:val="0"/>
          <w:divBdr>
            <w:top w:val="none" w:sz="0" w:space="0" w:color="auto"/>
            <w:left w:val="none" w:sz="0" w:space="0" w:color="auto"/>
            <w:bottom w:val="none" w:sz="0" w:space="0" w:color="auto"/>
            <w:right w:val="none" w:sz="0" w:space="0" w:color="auto"/>
          </w:divBdr>
        </w:div>
        <w:div w:id="1700200659">
          <w:marLeft w:val="0"/>
          <w:marRight w:val="0"/>
          <w:marTop w:val="0"/>
          <w:marBottom w:val="0"/>
          <w:divBdr>
            <w:top w:val="none" w:sz="0" w:space="0" w:color="auto"/>
            <w:left w:val="none" w:sz="0" w:space="0" w:color="auto"/>
            <w:bottom w:val="none" w:sz="0" w:space="0" w:color="auto"/>
            <w:right w:val="none" w:sz="0" w:space="0" w:color="auto"/>
          </w:divBdr>
          <w:divsChild>
            <w:div w:id="767577323">
              <w:marLeft w:val="0"/>
              <w:marRight w:val="0"/>
              <w:marTop w:val="0"/>
              <w:marBottom w:val="0"/>
              <w:divBdr>
                <w:top w:val="none" w:sz="0" w:space="0" w:color="auto"/>
                <w:left w:val="none" w:sz="0" w:space="0" w:color="auto"/>
                <w:bottom w:val="none" w:sz="0" w:space="0" w:color="auto"/>
                <w:right w:val="none" w:sz="0" w:space="0" w:color="auto"/>
              </w:divBdr>
              <w:divsChild>
                <w:div w:id="1929462369">
                  <w:marLeft w:val="0"/>
                  <w:marRight w:val="0"/>
                  <w:marTop w:val="0"/>
                  <w:marBottom w:val="0"/>
                  <w:divBdr>
                    <w:top w:val="none" w:sz="0" w:space="0" w:color="auto"/>
                    <w:left w:val="none" w:sz="0" w:space="0" w:color="auto"/>
                    <w:bottom w:val="none" w:sz="0" w:space="0" w:color="auto"/>
                    <w:right w:val="none" w:sz="0" w:space="0" w:color="auto"/>
                  </w:divBdr>
                  <w:divsChild>
                    <w:div w:id="244803501">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1112670420">
          <w:marLeft w:val="0"/>
          <w:marRight w:val="0"/>
          <w:marTop w:val="0"/>
          <w:marBottom w:val="0"/>
          <w:divBdr>
            <w:top w:val="none" w:sz="0" w:space="0" w:color="auto"/>
            <w:left w:val="none" w:sz="0" w:space="0" w:color="auto"/>
            <w:bottom w:val="none" w:sz="0" w:space="0" w:color="auto"/>
            <w:right w:val="none" w:sz="0" w:space="0" w:color="auto"/>
          </w:divBdr>
          <w:divsChild>
            <w:div w:id="1002929496">
              <w:marLeft w:val="0"/>
              <w:marRight w:val="0"/>
              <w:marTop w:val="0"/>
              <w:marBottom w:val="0"/>
              <w:divBdr>
                <w:top w:val="none" w:sz="0" w:space="0" w:color="auto"/>
                <w:left w:val="none" w:sz="0" w:space="0" w:color="auto"/>
                <w:bottom w:val="none" w:sz="0" w:space="0" w:color="auto"/>
                <w:right w:val="none" w:sz="0" w:space="0" w:color="auto"/>
              </w:divBdr>
              <w:divsChild>
                <w:div w:id="682123019">
                  <w:marLeft w:val="0"/>
                  <w:marRight w:val="0"/>
                  <w:marTop w:val="0"/>
                  <w:marBottom w:val="0"/>
                  <w:divBdr>
                    <w:top w:val="none" w:sz="0" w:space="0" w:color="auto"/>
                    <w:left w:val="none" w:sz="0" w:space="0" w:color="auto"/>
                    <w:bottom w:val="none" w:sz="0" w:space="0" w:color="auto"/>
                    <w:right w:val="none" w:sz="0" w:space="0" w:color="auto"/>
                  </w:divBdr>
                  <w:divsChild>
                    <w:div w:id="877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19">
          <w:marLeft w:val="0"/>
          <w:marRight w:val="0"/>
          <w:marTop w:val="240"/>
          <w:marBottom w:val="0"/>
          <w:divBdr>
            <w:top w:val="none" w:sz="0" w:space="0" w:color="auto"/>
            <w:left w:val="none" w:sz="0" w:space="0" w:color="auto"/>
            <w:bottom w:val="none" w:sz="0" w:space="0" w:color="auto"/>
            <w:right w:val="none" w:sz="0" w:space="0" w:color="auto"/>
          </w:divBdr>
          <w:divsChild>
            <w:div w:id="126746896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70114757">
      <w:bodyDiv w:val="1"/>
      <w:marLeft w:val="0"/>
      <w:marRight w:val="0"/>
      <w:marTop w:val="0"/>
      <w:marBottom w:val="0"/>
      <w:divBdr>
        <w:top w:val="none" w:sz="0" w:space="0" w:color="auto"/>
        <w:left w:val="none" w:sz="0" w:space="0" w:color="auto"/>
        <w:bottom w:val="none" w:sz="0" w:space="0" w:color="auto"/>
        <w:right w:val="none" w:sz="0" w:space="0" w:color="auto"/>
      </w:divBdr>
    </w:div>
    <w:div w:id="589433658">
      <w:bodyDiv w:val="1"/>
      <w:marLeft w:val="0"/>
      <w:marRight w:val="0"/>
      <w:marTop w:val="0"/>
      <w:marBottom w:val="0"/>
      <w:divBdr>
        <w:top w:val="none" w:sz="0" w:space="0" w:color="auto"/>
        <w:left w:val="none" w:sz="0" w:space="0" w:color="auto"/>
        <w:bottom w:val="none" w:sz="0" w:space="0" w:color="auto"/>
        <w:right w:val="none" w:sz="0" w:space="0" w:color="auto"/>
      </w:divBdr>
    </w:div>
    <w:div w:id="640158409">
      <w:bodyDiv w:val="1"/>
      <w:marLeft w:val="0"/>
      <w:marRight w:val="0"/>
      <w:marTop w:val="0"/>
      <w:marBottom w:val="0"/>
      <w:divBdr>
        <w:top w:val="none" w:sz="0" w:space="0" w:color="auto"/>
        <w:left w:val="none" w:sz="0" w:space="0" w:color="auto"/>
        <w:bottom w:val="none" w:sz="0" w:space="0" w:color="auto"/>
        <w:right w:val="none" w:sz="0" w:space="0" w:color="auto"/>
      </w:divBdr>
      <w:divsChild>
        <w:div w:id="150415527">
          <w:marLeft w:val="0"/>
          <w:marRight w:val="0"/>
          <w:marTop w:val="0"/>
          <w:marBottom w:val="0"/>
          <w:divBdr>
            <w:top w:val="none" w:sz="0" w:space="0" w:color="auto"/>
            <w:left w:val="none" w:sz="0" w:space="0" w:color="auto"/>
            <w:bottom w:val="none" w:sz="0" w:space="0" w:color="auto"/>
            <w:right w:val="none" w:sz="0" w:space="0" w:color="auto"/>
          </w:divBdr>
          <w:divsChild>
            <w:div w:id="1278679115">
              <w:marLeft w:val="0"/>
              <w:marRight w:val="0"/>
              <w:marTop w:val="0"/>
              <w:marBottom w:val="0"/>
              <w:divBdr>
                <w:top w:val="none" w:sz="0" w:space="0" w:color="auto"/>
                <w:left w:val="none" w:sz="0" w:space="0" w:color="auto"/>
                <w:bottom w:val="none" w:sz="0" w:space="0" w:color="auto"/>
                <w:right w:val="none" w:sz="0" w:space="0" w:color="auto"/>
              </w:divBdr>
            </w:div>
          </w:divsChild>
        </w:div>
        <w:div w:id="1920826328">
          <w:marLeft w:val="0"/>
          <w:marRight w:val="0"/>
          <w:marTop w:val="0"/>
          <w:marBottom w:val="0"/>
          <w:divBdr>
            <w:top w:val="none" w:sz="0" w:space="0" w:color="auto"/>
            <w:left w:val="none" w:sz="0" w:space="0" w:color="auto"/>
            <w:bottom w:val="none" w:sz="0" w:space="0" w:color="auto"/>
            <w:right w:val="none" w:sz="0" w:space="0" w:color="auto"/>
          </w:divBdr>
          <w:divsChild>
            <w:div w:id="156113251">
              <w:marLeft w:val="0"/>
              <w:marRight w:val="0"/>
              <w:marTop w:val="0"/>
              <w:marBottom w:val="0"/>
              <w:divBdr>
                <w:top w:val="none" w:sz="0" w:space="0" w:color="auto"/>
                <w:left w:val="none" w:sz="0" w:space="0" w:color="auto"/>
                <w:bottom w:val="none" w:sz="0" w:space="0" w:color="auto"/>
                <w:right w:val="none" w:sz="0" w:space="0" w:color="auto"/>
              </w:divBdr>
            </w:div>
          </w:divsChild>
        </w:div>
        <w:div w:id="919869383">
          <w:marLeft w:val="0"/>
          <w:marRight w:val="0"/>
          <w:marTop w:val="0"/>
          <w:marBottom w:val="0"/>
          <w:divBdr>
            <w:top w:val="none" w:sz="0" w:space="0" w:color="auto"/>
            <w:left w:val="none" w:sz="0" w:space="0" w:color="auto"/>
            <w:bottom w:val="none" w:sz="0" w:space="0" w:color="auto"/>
            <w:right w:val="none" w:sz="0" w:space="0" w:color="auto"/>
          </w:divBdr>
          <w:divsChild>
            <w:div w:id="1044519499">
              <w:marLeft w:val="0"/>
              <w:marRight w:val="0"/>
              <w:marTop w:val="0"/>
              <w:marBottom w:val="0"/>
              <w:divBdr>
                <w:top w:val="none" w:sz="0" w:space="0" w:color="auto"/>
                <w:left w:val="none" w:sz="0" w:space="0" w:color="auto"/>
                <w:bottom w:val="none" w:sz="0" w:space="0" w:color="auto"/>
                <w:right w:val="none" w:sz="0" w:space="0" w:color="auto"/>
              </w:divBdr>
            </w:div>
          </w:divsChild>
        </w:div>
        <w:div w:id="1176655546">
          <w:marLeft w:val="0"/>
          <w:marRight w:val="0"/>
          <w:marTop w:val="0"/>
          <w:marBottom w:val="0"/>
          <w:divBdr>
            <w:top w:val="none" w:sz="0" w:space="0" w:color="auto"/>
            <w:left w:val="none" w:sz="0" w:space="0" w:color="auto"/>
            <w:bottom w:val="none" w:sz="0" w:space="0" w:color="auto"/>
            <w:right w:val="none" w:sz="0" w:space="0" w:color="auto"/>
          </w:divBdr>
          <w:divsChild>
            <w:div w:id="1176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1517">
      <w:bodyDiv w:val="1"/>
      <w:marLeft w:val="0"/>
      <w:marRight w:val="0"/>
      <w:marTop w:val="0"/>
      <w:marBottom w:val="0"/>
      <w:divBdr>
        <w:top w:val="none" w:sz="0" w:space="0" w:color="auto"/>
        <w:left w:val="none" w:sz="0" w:space="0" w:color="auto"/>
        <w:bottom w:val="none" w:sz="0" w:space="0" w:color="auto"/>
        <w:right w:val="none" w:sz="0" w:space="0" w:color="auto"/>
      </w:divBdr>
    </w:div>
    <w:div w:id="702176228">
      <w:bodyDiv w:val="1"/>
      <w:marLeft w:val="0"/>
      <w:marRight w:val="0"/>
      <w:marTop w:val="0"/>
      <w:marBottom w:val="0"/>
      <w:divBdr>
        <w:top w:val="none" w:sz="0" w:space="0" w:color="auto"/>
        <w:left w:val="none" w:sz="0" w:space="0" w:color="auto"/>
        <w:bottom w:val="none" w:sz="0" w:space="0" w:color="auto"/>
        <w:right w:val="none" w:sz="0" w:space="0" w:color="auto"/>
      </w:divBdr>
    </w:div>
    <w:div w:id="726806756">
      <w:bodyDiv w:val="1"/>
      <w:marLeft w:val="0"/>
      <w:marRight w:val="0"/>
      <w:marTop w:val="0"/>
      <w:marBottom w:val="0"/>
      <w:divBdr>
        <w:top w:val="none" w:sz="0" w:space="0" w:color="auto"/>
        <w:left w:val="none" w:sz="0" w:space="0" w:color="auto"/>
        <w:bottom w:val="none" w:sz="0" w:space="0" w:color="auto"/>
        <w:right w:val="none" w:sz="0" w:space="0" w:color="auto"/>
      </w:divBdr>
    </w:div>
    <w:div w:id="741606764">
      <w:bodyDiv w:val="1"/>
      <w:marLeft w:val="0"/>
      <w:marRight w:val="0"/>
      <w:marTop w:val="0"/>
      <w:marBottom w:val="0"/>
      <w:divBdr>
        <w:top w:val="none" w:sz="0" w:space="0" w:color="auto"/>
        <w:left w:val="none" w:sz="0" w:space="0" w:color="auto"/>
        <w:bottom w:val="none" w:sz="0" w:space="0" w:color="auto"/>
        <w:right w:val="none" w:sz="0" w:space="0" w:color="auto"/>
      </w:divBdr>
    </w:div>
    <w:div w:id="770929984">
      <w:bodyDiv w:val="1"/>
      <w:marLeft w:val="0"/>
      <w:marRight w:val="0"/>
      <w:marTop w:val="0"/>
      <w:marBottom w:val="0"/>
      <w:divBdr>
        <w:top w:val="none" w:sz="0" w:space="0" w:color="auto"/>
        <w:left w:val="none" w:sz="0" w:space="0" w:color="auto"/>
        <w:bottom w:val="none" w:sz="0" w:space="0" w:color="auto"/>
        <w:right w:val="none" w:sz="0" w:space="0" w:color="auto"/>
      </w:divBdr>
    </w:div>
    <w:div w:id="845826047">
      <w:bodyDiv w:val="1"/>
      <w:marLeft w:val="0"/>
      <w:marRight w:val="0"/>
      <w:marTop w:val="0"/>
      <w:marBottom w:val="0"/>
      <w:divBdr>
        <w:top w:val="none" w:sz="0" w:space="0" w:color="auto"/>
        <w:left w:val="none" w:sz="0" w:space="0" w:color="auto"/>
        <w:bottom w:val="none" w:sz="0" w:space="0" w:color="auto"/>
        <w:right w:val="none" w:sz="0" w:space="0" w:color="auto"/>
      </w:divBdr>
    </w:div>
    <w:div w:id="895969501">
      <w:bodyDiv w:val="1"/>
      <w:marLeft w:val="0"/>
      <w:marRight w:val="0"/>
      <w:marTop w:val="0"/>
      <w:marBottom w:val="0"/>
      <w:divBdr>
        <w:top w:val="none" w:sz="0" w:space="0" w:color="auto"/>
        <w:left w:val="none" w:sz="0" w:space="0" w:color="auto"/>
        <w:bottom w:val="none" w:sz="0" w:space="0" w:color="auto"/>
        <w:right w:val="none" w:sz="0" w:space="0" w:color="auto"/>
      </w:divBdr>
    </w:div>
    <w:div w:id="914358960">
      <w:bodyDiv w:val="1"/>
      <w:marLeft w:val="0"/>
      <w:marRight w:val="0"/>
      <w:marTop w:val="0"/>
      <w:marBottom w:val="0"/>
      <w:divBdr>
        <w:top w:val="none" w:sz="0" w:space="0" w:color="auto"/>
        <w:left w:val="none" w:sz="0" w:space="0" w:color="auto"/>
        <w:bottom w:val="none" w:sz="0" w:space="0" w:color="auto"/>
        <w:right w:val="none" w:sz="0" w:space="0" w:color="auto"/>
      </w:divBdr>
    </w:div>
    <w:div w:id="956520964">
      <w:bodyDiv w:val="1"/>
      <w:marLeft w:val="0"/>
      <w:marRight w:val="0"/>
      <w:marTop w:val="0"/>
      <w:marBottom w:val="0"/>
      <w:divBdr>
        <w:top w:val="none" w:sz="0" w:space="0" w:color="auto"/>
        <w:left w:val="none" w:sz="0" w:space="0" w:color="auto"/>
        <w:bottom w:val="none" w:sz="0" w:space="0" w:color="auto"/>
        <w:right w:val="none" w:sz="0" w:space="0" w:color="auto"/>
      </w:divBdr>
      <w:divsChild>
        <w:div w:id="2111391768">
          <w:marLeft w:val="0"/>
          <w:marRight w:val="0"/>
          <w:marTop w:val="0"/>
          <w:marBottom w:val="0"/>
          <w:divBdr>
            <w:top w:val="none" w:sz="0" w:space="0" w:color="auto"/>
            <w:left w:val="none" w:sz="0" w:space="0" w:color="auto"/>
            <w:bottom w:val="none" w:sz="0" w:space="0" w:color="auto"/>
            <w:right w:val="none" w:sz="0" w:space="0" w:color="auto"/>
          </w:divBdr>
          <w:divsChild>
            <w:div w:id="17392343">
              <w:marLeft w:val="0"/>
              <w:marRight w:val="0"/>
              <w:marTop w:val="0"/>
              <w:marBottom w:val="0"/>
              <w:divBdr>
                <w:top w:val="none" w:sz="0" w:space="0" w:color="auto"/>
                <w:left w:val="none" w:sz="0" w:space="0" w:color="auto"/>
                <w:bottom w:val="none" w:sz="0" w:space="0" w:color="auto"/>
                <w:right w:val="none" w:sz="0" w:space="0" w:color="auto"/>
              </w:divBdr>
              <w:divsChild>
                <w:div w:id="2001545309">
                  <w:marLeft w:val="0"/>
                  <w:marRight w:val="0"/>
                  <w:marTop w:val="0"/>
                  <w:marBottom w:val="0"/>
                  <w:divBdr>
                    <w:top w:val="none" w:sz="0" w:space="0" w:color="auto"/>
                    <w:left w:val="none" w:sz="0" w:space="0" w:color="auto"/>
                    <w:bottom w:val="none" w:sz="0" w:space="0" w:color="auto"/>
                    <w:right w:val="none" w:sz="0" w:space="0" w:color="auto"/>
                  </w:divBdr>
                  <w:divsChild>
                    <w:div w:id="996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794">
          <w:marLeft w:val="0"/>
          <w:marRight w:val="0"/>
          <w:marTop w:val="0"/>
          <w:marBottom w:val="0"/>
          <w:divBdr>
            <w:top w:val="none" w:sz="0" w:space="0" w:color="auto"/>
            <w:left w:val="none" w:sz="0" w:space="0" w:color="auto"/>
            <w:bottom w:val="none" w:sz="0" w:space="0" w:color="auto"/>
            <w:right w:val="none" w:sz="0" w:space="0" w:color="auto"/>
          </w:divBdr>
          <w:divsChild>
            <w:div w:id="358513320">
              <w:marLeft w:val="0"/>
              <w:marRight w:val="0"/>
              <w:marTop w:val="0"/>
              <w:marBottom w:val="0"/>
              <w:divBdr>
                <w:top w:val="none" w:sz="0" w:space="0" w:color="auto"/>
                <w:left w:val="none" w:sz="0" w:space="0" w:color="auto"/>
                <w:bottom w:val="none" w:sz="0" w:space="0" w:color="auto"/>
                <w:right w:val="none" w:sz="0" w:space="0" w:color="auto"/>
              </w:divBdr>
              <w:divsChild>
                <w:div w:id="2068337196">
                  <w:marLeft w:val="0"/>
                  <w:marRight w:val="0"/>
                  <w:marTop w:val="0"/>
                  <w:marBottom w:val="0"/>
                  <w:divBdr>
                    <w:top w:val="none" w:sz="0" w:space="0" w:color="auto"/>
                    <w:left w:val="none" w:sz="0" w:space="0" w:color="auto"/>
                    <w:bottom w:val="none" w:sz="0" w:space="0" w:color="auto"/>
                    <w:right w:val="none" w:sz="0" w:space="0" w:color="auto"/>
                  </w:divBdr>
                  <w:divsChild>
                    <w:div w:id="16952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3661">
          <w:marLeft w:val="0"/>
          <w:marRight w:val="0"/>
          <w:marTop w:val="0"/>
          <w:marBottom w:val="0"/>
          <w:divBdr>
            <w:top w:val="none" w:sz="0" w:space="0" w:color="auto"/>
            <w:left w:val="none" w:sz="0" w:space="0" w:color="auto"/>
            <w:bottom w:val="none" w:sz="0" w:space="0" w:color="auto"/>
            <w:right w:val="none" w:sz="0" w:space="0" w:color="auto"/>
          </w:divBdr>
          <w:divsChild>
            <w:div w:id="5064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217">
      <w:bodyDiv w:val="1"/>
      <w:marLeft w:val="0"/>
      <w:marRight w:val="0"/>
      <w:marTop w:val="0"/>
      <w:marBottom w:val="0"/>
      <w:divBdr>
        <w:top w:val="none" w:sz="0" w:space="0" w:color="auto"/>
        <w:left w:val="none" w:sz="0" w:space="0" w:color="auto"/>
        <w:bottom w:val="none" w:sz="0" w:space="0" w:color="auto"/>
        <w:right w:val="none" w:sz="0" w:space="0" w:color="auto"/>
      </w:divBdr>
    </w:div>
    <w:div w:id="985553021">
      <w:bodyDiv w:val="1"/>
      <w:marLeft w:val="0"/>
      <w:marRight w:val="0"/>
      <w:marTop w:val="0"/>
      <w:marBottom w:val="0"/>
      <w:divBdr>
        <w:top w:val="none" w:sz="0" w:space="0" w:color="auto"/>
        <w:left w:val="none" w:sz="0" w:space="0" w:color="auto"/>
        <w:bottom w:val="none" w:sz="0" w:space="0" w:color="auto"/>
        <w:right w:val="none" w:sz="0" w:space="0" w:color="auto"/>
      </w:divBdr>
      <w:divsChild>
        <w:div w:id="1111897410">
          <w:marLeft w:val="0"/>
          <w:marRight w:val="0"/>
          <w:marTop w:val="0"/>
          <w:marBottom w:val="0"/>
          <w:divBdr>
            <w:top w:val="none" w:sz="0" w:space="0" w:color="auto"/>
            <w:left w:val="none" w:sz="0" w:space="0" w:color="auto"/>
            <w:bottom w:val="none" w:sz="0" w:space="0" w:color="auto"/>
            <w:right w:val="none" w:sz="0" w:space="0" w:color="auto"/>
          </w:divBdr>
          <w:divsChild>
            <w:div w:id="1057433321">
              <w:marLeft w:val="0"/>
              <w:marRight w:val="0"/>
              <w:marTop w:val="0"/>
              <w:marBottom w:val="0"/>
              <w:divBdr>
                <w:top w:val="none" w:sz="0" w:space="0" w:color="auto"/>
                <w:left w:val="none" w:sz="0" w:space="0" w:color="auto"/>
                <w:bottom w:val="none" w:sz="0" w:space="0" w:color="auto"/>
                <w:right w:val="none" w:sz="0" w:space="0" w:color="auto"/>
              </w:divBdr>
              <w:divsChild>
                <w:div w:id="1311323682">
                  <w:marLeft w:val="0"/>
                  <w:marRight w:val="0"/>
                  <w:marTop w:val="0"/>
                  <w:marBottom w:val="0"/>
                  <w:divBdr>
                    <w:top w:val="none" w:sz="0" w:space="0" w:color="auto"/>
                    <w:left w:val="none" w:sz="0" w:space="0" w:color="auto"/>
                    <w:bottom w:val="none" w:sz="0" w:space="0" w:color="auto"/>
                    <w:right w:val="none" w:sz="0" w:space="0" w:color="auto"/>
                  </w:divBdr>
                  <w:divsChild>
                    <w:div w:id="793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099">
          <w:marLeft w:val="0"/>
          <w:marRight w:val="0"/>
          <w:marTop w:val="0"/>
          <w:marBottom w:val="0"/>
          <w:divBdr>
            <w:top w:val="none" w:sz="0" w:space="0" w:color="auto"/>
            <w:left w:val="none" w:sz="0" w:space="0" w:color="auto"/>
            <w:bottom w:val="none" w:sz="0" w:space="0" w:color="auto"/>
            <w:right w:val="none" w:sz="0" w:space="0" w:color="auto"/>
          </w:divBdr>
          <w:divsChild>
            <w:div w:id="1736274510">
              <w:marLeft w:val="0"/>
              <w:marRight w:val="0"/>
              <w:marTop w:val="0"/>
              <w:marBottom w:val="0"/>
              <w:divBdr>
                <w:top w:val="none" w:sz="0" w:space="0" w:color="auto"/>
                <w:left w:val="none" w:sz="0" w:space="0" w:color="auto"/>
                <w:bottom w:val="none" w:sz="0" w:space="0" w:color="auto"/>
                <w:right w:val="none" w:sz="0" w:space="0" w:color="auto"/>
              </w:divBdr>
              <w:divsChild>
                <w:div w:id="1961063932">
                  <w:marLeft w:val="0"/>
                  <w:marRight w:val="0"/>
                  <w:marTop w:val="0"/>
                  <w:marBottom w:val="0"/>
                  <w:divBdr>
                    <w:top w:val="none" w:sz="0" w:space="0" w:color="auto"/>
                    <w:left w:val="none" w:sz="0" w:space="0" w:color="auto"/>
                    <w:bottom w:val="none" w:sz="0" w:space="0" w:color="auto"/>
                    <w:right w:val="none" w:sz="0" w:space="0" w:color="auto"/>
                  </w:divBdr>
                  <w:divsChild>
                    <w:div w:id="998003017">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sChild>
    </w:div>
    <w:div w:id="1074014510">
      <w:bodyDiv w:val="1"/>
      <w:marLeft w:val="0"/>
      <w:marRight w:val="0"/>
      <w:marTop w:val="0"/>
      <w:marBottom w:val="0"/>
      <w:divBdr>
        <w:top w:val="none" w:sz="0" w:space="0" w:color="auto"/>
        <w:left w:val="none" w:sz="0" w:space="0" w:color="auto"/>
        <w:bottom w:val="none" w:sz="0" w:space="0" w:color="auto"/>
        <w:right w:val="none" w:sz="0" w:space="0" w:color="auto"/>
      </w:divBdr>
    </w:div>
    <w:div w:id="1088423130">
      <w:bodyDiv w:val="1"/>
      <w:marLeft w:val="0"/>
      <w:marRight w:val="0"/>
      <w:marTop w:val="0"/>
      <w:marBottom w:val="0"/>
      <w:divBdr>
        <w:top w:val="none" w:sz="0" w:space="0" w:color="auto"/>
        <w:left w:val="none" w:sz="0" w:space="0" w:color="auto"/>
        <w:bottom w:val="none" w:sz="0" w:space="0" w:color="auto"/>
        <w:right w:val="none" w:sz="0" w:space="0" w:color="auto"/>
      </w:divBdr>
    </w:div>
    <w:div w:id="1123620410">
      <w:bodyDiv w:val="1"/>
      <w:marLeft w:val="0"/>
      <w:marRight w:val="0"/>
      <w:marTop w:val="0"/>
      <w:marBottom w:val="0"/>
      <w:divBdr>
        <w:top w:val="none" w:sz="0" w:space="0" w:color="auto"/>
        <w:left w:val="none" w:sz="0" w:space="0" w:color="auto"/>
        <w:bottom w:val="none" w:sz="0" w:space="0" w:color="auto"/>
        <w:right w:val="none" w:sz="0" w:space="0" w:color="auto"/>
      </w:divBdr>
      <w:divsChild>
        <w:div w:id="1247769583">
          <w:marLeft w:val="0"/>
          <w:marRight w:val="0"/>
          <w:marTop w:val="0"/>
          <w:marBottom w:val="0"/>
          <w:divBdr>
            <w:top w:val="none" w:sz="0" w:space="0" w:color="auto"/>
            <w:left w:val="none" w:sz="0" w:space="0" w:color="auto"/>
            <w:bottom w:val="none" w:sz="0" w:space="0" w:color="auto"/>
            <w:right w:val="none" w:sz="0" w:space="0" w:color="auto"/>
          </w:divBdr>
          <w:divsChild>
            <w:div w:id="330379649">
              <w:marLeft w:val="0"/>
              <w:marRight w:val="0"/>
              <w:marTop w:val="0"/>
              <w:marBottom w:val="0"/>
              <w:divBdr>
                <w:top w:val="none" w:sz="0" w:space="0" w:color="auto"/>
                <w:left w:val="none" w:sz="0" w:space="0" w:color="auto"/>
                <w:bottom w:val="none" w:sz="0" w:space="0" w:color="auto"/>
                <w:right w:val="none" w:sz="0" w:space="0" w:color="auto"/>
              </w:divBdr>
              <w:divsChild>
                <w:div w:id="1365448359">
                  <w:marLeft w:val="0"/>
                  <w:marRight w:val="0"/>
                  <w:marTop w:val="0"/>
                  <w:marBottom w:val="0"/>
                  <w:divBdr>
                    <w:top w:val="none" w:sz="0" w:space="0" w:color="auto"/>
                    <w:left w:val="none" w:sz="0" w:space="0" w:color="auto"/>
                    <w:bottom w:val="none" w:sz="0" w:space="0" w:color="auto"/>
                    <w:right w:val="none" w:sz="0" w:space="0" w:color="auto"/>
                  </w:divBdr>
                  <w:divsChild>
                    <w:div w:id="3015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866">
          <w:marLeft w:val="0"/>
          <w:marRight w:val="0"/>
          <w:marTop w:val="240"/>
          <w:marBottom w:val="0"/>
          <w:divBdr>
            <w:top w:val="none" w:sz="0" w:space="0" w:color="auto"/>
            <w:left w:val="none" w:sz="0" w:space="0" w:color="auto"/>
            <w:bottom w:val="none" w:sz="0" w:space="0" w:color="auto"/>
            <w:right w:val="none" w:sz="0" w:space="0" w:color="auto"/>
          </w:divBdr>
          <w:divsChild>
            <w:div w:id="810290579">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312754962">
      <w:bodyDiv w:val="1"/>
      <w:marLeft w:val="0"/>
      <w:marRight w:val="0"/>
      <w:marTop w:val="0"/>
      <w:marBottom w:val="0"/>
      <w:divBdr>
        <w:top w:val="none" w:sz="0" w:space="0" w:color="auto"/>
        <w:left w:val="none" w:sz="0" w:space="0" w:color="auto"/>
        <w:bottom w:val="none" w:sz="0" w:space="0" w:color="auto"/>
        <w:right w:val="none" w:sz="0" w:space="0" w:color="auto"/>
      </w:divBdr>
    </w:div>
    <w:div w:id="1327634520">
      <w:bodyDiv w:val="1"/>
      <w:marLeft w:val="0"/>
      <w:marRight w:val="0"/>
      <w:marTop w:val="0"/>
      <w:marBottom w:val="0"/>
      <w:divBdr>
        <w:top w:val="none" w:sz="0" w:space="0" w:color="auto"/>
        <w:left w:val="none" w:sz="0" w:space="0" w:color="auto"/>
        <w:bottom w:val="none" w:sz="0" w:space="0" w:color="auto"/>
        <w:right w:val="none" w:sz="0" w:space="0" w:color="auto"/>
      </w:divBdr>
    </w:div>
    <w:div w:id="1330519156">
      <w:bodyDiv w:val="1"/>
      <w:marLeft w:val="0"/>
      <w:marRight w:val="0"/>
      <w:marTop w:val="0"/>
      <w:marBottom w:val="0"/>
      <w:divBdr>
        <w:top w:val="none" w:sz="0" w:space="0" w:color="auto"/>
        <w:left w:val="none" w:sz="0" w:space="0" w:color="auto"/>
        <w:bottom w:val="none" w:sz="0" w:space="0" w:color="auto"/>
        <w:right w:val="none" w:sz="0" w:space="0" w:color="auto"/>
      </w:divBdr>
    </w:div>
    <w:div w:id="1437091837">
      <w:bodyDiv w:val="1"/>
      <w:marLeft w:val="0"/>
      <w:marRight w:val="0"/>
      <w:marTop w:val="0"/>
      <w:marBottom w:val="0"/>
      <w:divBdr>
        <w:top w:val="none" w:sz="0" w:space="0" w:color="auto"/>
        <w:left w:val="none" w:sz="0" w:space="0" w:color="auto"/>
        <w:bottom w:val="none" w:sz="0" w:space="0" w:color="auto"/>
        <w:right w:val="none" w:sz="0" w:space="0" w:color="auto"/>
      </w:divBdr>
    </w:div>
    <w:div w:id="1439641415">
      <w:bodyDiv w:val="1"/>
      <w:marLeft w:val="0"/>
      <w:marRight w:val="0"/>
      <w:marTop w:val="0"/>
      <w:marBottom w:val="0"/>
      <w:divBdr>
        <w:top w:val="none" w:sz="0" w:space="0" w:color="auto"/>
        <w:left w:val="none" w:sz="0" w:space="0" w:color="auto"/>
        <w:bottom w:val="none" w:sz="0" w:space="0" w:color="auto"/>
        <w:right w:val="none" w:sz="0" w:space="0" w:color="auto"/>
      </w:divBdr>
    </w:div>
    <w:div w:id="1469082564">
      <w:bodyDiv w:val="1"/>
      <w:marLeft w:val="0"/>
      <w:marRight w:val="0"/>
      <w:marTop w:val="0"/>
      <w:marBottom w:val="0"/>
      <w:divBdr>
        <w:top w:val="none" w:sz="0" w:space="0" w:color="auto"/>
        <w:left w:val="none" w:sz="0" w:space="0" w:color="auto"/>
        <w:bottom w:val="none" w:sz="0" w:space="0" w:color="auto"/>
        <w:right w:val="none" w:sz="0" w:space="0" w:color="auto"/>
      </w:divBdr>
    </w:div>
    <w:div w:id="1518235226">
      <w:bodyDiv w:val="1"/>
      <w:marLeft w:val="0"/>
      <w:marRight w:val="0"/>
      <w:marTop w:val="0"/>
      <w:marBottom w:val="0"/>
      <w:divBdr>
        <w:top w:val="none" w:sz="0" w:space="0" w:color="auto"/>
        <w:left w:val="none" w:sz="0" w:space="0" w:color="auto"/>
        <w:bottom w:val="none" w:sz="0" w:space="0" w:color="auto"/>
        <w:right w:val="none" w:sz="0" w:space="0" w:color="auto"/>
      </w:divBdr>
    </w:div>
    <w:div w:id="1533037048">
      <w:bodyDiv w:val="1"/>
      <w:marLeft w:val="0"/>
      <w:marRight w:val="0"/>
      <w:marTop w:val="0"/>
      <w:marBottom w:val="0"/>
      <w:divBdr>
        <w:top w:val="none" w:sz="0" w:space="0" w:color="auto"/>
        <w:left w:val="none" w:sz="0" w:space="0" w:color="auto"/>
        <w:bottom w:val="none" w:sz="0" w:space="0" w:color="auto"/>
        <w:right w:val="none" w:sz="0" w:space="0" w:color="auto"/>
      </w:divBdr>
    </w:div>
    <w:div w:id="1534002262">
      <w:bodyDiv w:val="1"/>
      <w:marLeft w:val="0"/>
      <w:marRight w:val="0"/>
      <w:marTop w:val="0"/>
      <w:marBottom w:val="0"/>
      <w:divBdr>
        <w:top w:val="none" w:sz="0" w:space="0" w:color="auto"/>
        <w:left w:val="none" w:sz="0" w:space="0" w:color="auto"/>
        <w:bottom w:val="none" w:sz="0" w:space="0" w:color="auto"/>
        <w:right w:val="none" w:sz="0" w:space="0" w:color="auto"/>
      </w:divBdr>
    </w:div>
    <w:div w:id="1545408455">
      <w:bodyDiv w:val="1"/>
      <w:marLeft w:val="0"/>
      <w:marRight w:val="0"/>
      <w:marTop w:val="0"/>
      <w:marBottom w:val="0"/>
      <w:divBdr>
        <w:top w:val="none" w:sz="0" w:space="0" w:color="auto"/>
        <w:left w:val="none" w:sz="0" w:space="0" w:color="auto"/>
        <w:bottom w:val="none" w:sz="0" w:space="0" w:color="auto"/>
        <w:right w:val="none" w:sz="0" w:space="0" w:color="auto"/>
      </w:divBdr>
    </w:div>
    <w:div w:id="1587959007">
      <w:bodyDiv w:val="1"/>
      <w:marLeft w:val="0"/>
      <w:marRight w:val="0"/>
      <w:marTop w:val="0"/>
      <w:marBottom w:val="0"/>
      <w:divBdr>
        <w:top w:val="none" w:sz="0" w:space="0" w:color="auto"/>
        <w:left w:val="none" w:sz="0" w:space="0" w:color="auto"/>
        <w:bottom w:val="none" w:sz="0" w:space="0" w:color="auto"/>
        <w:right w:val="none" w:sz="0" w:space="0" w:color="auto"/>
      </w:divBdr>
    </w:div>
    <w:div w:id="1592473910">
      <w:bodyDiv w:val="1"/>
      <w:marLeft w:val="0"/>
      <w:marRight w:val="0"/>
      <w:marTop w:val="0"/>
      <w:marBottom w:val="0"/>
      <w:divBdr>
        <w:top w:val="none" w:sz="0" w:space="0" w:color="auto"/>
        <w:left w:val="none" w:sz="0" w:space="0" w:color="auto"/>
        <w:bottom w:val="none" w:sz="0" w:space="0" w:color="auto"/>
        <w:right w:val="none" w:sz="0" w:space="0" w:color="auto"/>
      </w:divBdr>
    </w:div>
    <w:div w:id="1598127620">
      <w:bodyDiv w:val="1"/>
      <w:marLeft w:val="0"/>
      <w:marRight w:val="0"/>
      <w:marTop w:val="0"/>
      <w:marBottom w:val="0"/>
      <w:divBdr>
        <w:top w:val="none" w:sz="0" w:space="0" w:color="auto"/>
        <w:left w:val="none" w:sz="0" w:space="0" w:color="auto"/>
        <w:bottom w:val="none" w:sz="0" w:space="0" w:color="auto"/>
        <w:right w:val="none" w:sz="0" w:space="0" w:color="auto"/>
      </w:divBdr>
      <w:divsChild>
        <w:div w:id="1721518403">
          <w:marLeft w:val="0"/>
          <w:marRight w:val="0"/>
          <w:marTop w:val="0"/>
          <w:marBottom w:val="0"/>
          <w:divBdr>
            <w:top w:val="none" w:sz="0" w:space="0" w:color="auto"/>
            <w:left w:val="none" w:sz="0" w:space="0" w:color="auto"/>
            <w:bottom w:val="none" w:sz="0" w:space="0" w:color="auto"/>
            <w:right w:val="none" w:sz="0" w:space="0" w:color="auto"/>
          </w:divBdr>
          <w:divsChild>
            <w:div w:id="1269776811">
              <w:marLeft w:val="0"/>
              <w:marRight w:val="0"/>
              <w:marTop w:val="0"/>
              <w:marBottom w:val="0"/>
              <w:divBdr>
                <w:top w:val="none" w:sz="0" w:space="0" w:color="auto"/>
                <w:left w:val="none" w:sz="0" w:space="0" w:color="auto"/>
                <w:bottom w:val="none" w:sz="0" w:space="0" w:color="auto"/>
                <w:right w:val="none" w:sz="0" w:space="0" w:color="auto"/>
              </w:divBdr>
              <w:divsChild>
                <w:div w:id="428432823">
                  <w:marLeft w:val="0"/>
                  <w:marRight w:val="0"/>
                  <w:marTop w:val="0"/>
                  <w:marBottom w:val="0"/>
                  <w:divBdr>
                    <w:top w:val="none" w:sz="0" w:space="0" w:color="auto"/>
                    <w:left w:val="none" w:sz="0" w:space="0" w:color="auto"/>
                    <w:bottom w:val="none" w:sz="0" w:space="0" w:color="auto"/>
                    <w:right w:val="none" w:sz="0" w:space="0" w:color="auto"/>
                  </w:divBdr>
                  <w:divsChild>
                    <w:div w:id="1707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7055">
          <w:marLeft w:val="0"/>
          <w:marRight w:val="0"/>
          <w:marTop w:val="240"/>
          <w:marBottom w:val="0"/>
          <w:divBdr>
            <w:top w:val="none" w:sz="0" w:space="0" w:color="auto"/>
            <w:left w:val="none" w:sz="0" w:space="0" w:color="auto"/>
            <w:bottom w:val="none" w:sz="0" w:space="0" w:color="auto"/>
            <w:right w:val="none" w:sz="0" w:space="0" w:color="auto"/>
          </w:divBdr>
          <w:divsChild>
            <w:div w:id="7758335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02758676">
      <w:bodyDiv w:val="1"/>
      <w:marLeft w:val="0"/>
      <w:marRight w:val="0"/>
      <w:marTop w:val="0"/>
      <w:marBottom w:val="0"/>
      <w:divBdr>
        <w:top w:val="none" w:sz="0" w:space="0" w:color="auto"/>
        <w:left w:val="none" w:sz="0" w:space="0" w:color="auto"/>
        <w:bottom w:val="none" w:sz="0" w:space="0" w:color="auto"/>
        <w:right w:val="none" w:sz="0" w:space="0" w:color="auto"/>
      </w:divBdr>
      <w:divsChild>
        <w:div w:id="1849564344">
          <w:marLeft w:val="0"/>
          <w:marRight w:val="0"/>
          <w:marTop w:val="0"/>
          <w:marBottom w:val="0"/>
          <w:divBdr>
            <w:top w:val="none" w:sz="0" w:space="0" w:color="auto"/>
            <w:left w:val="none" w:sz="0" w:space="0" w:color="auto"/>
            <w:bottom w:val="none" w:sz="0" w:space="0" w:color="auto"/>
            <w:right w:val="none" w:sz="0" w:space="0" w:color="auto"/>
          </w:divBdr>
          <w:divsChild>
            <w:div w:id="47344984">
              <w:marLeft w:val="0"/>
              <w:marRight w:val="0"/>
              <w:marTop w:val="0"/>
              <w:marBottom w:val="0"/>
              <w:divBdr>
                <w:top w:val="none" w:sz="0" w:space="0" w:color="auto"/>
                <w:left w:val="none" w:sz="0" w:space="0" w:color="auto"/>
                <w:bottom w:val="none" w:sz="0" w:space="0" w:color="auto"/>
                <w:right w:val="none" w:sz="0" w:space="0" w:color="auto"/>
              </w:divBdr>
              <w:divsChild>
                <w:div w:id="220798287">
                  <w:marLeft w:val="0"/>
                  <w:marRight w:val="0"/>
                  <w:marTop w:val="0"/>
                  <w:marBottom w:val="0"/>
                  <w:divBdr>
                    <w:top w:val="none" w:sz="0" w:space="0" w:color="auto"/>
                    <w:left w:val="none" w:sz="0" w:space="0" w:color="auto"/>
                    <w:bottom w:val="none" w:sz="0" w:space="0" w:color="auto"/>
                    <w:right w:val="none" w:sz="0" w:space="0" w:color="auto"/>
                  </w:divBdr>
                  <w:divsChild>
                    <w:div w:id="837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0969">
          <w:marLeft w:val="0"/>
          <w:marRight w:val="0"/>
          <w:marTop w:val="240"/>
          <w:marBottom w:val="0"/>
          <w:divBdr>
            <w:top w:val="none" w:sz="0" w:space="0" w:color="auto"/>
            <w:left w:val="none" w:sz="0" w:space="0" w:color="auto"/>
            <w:bottom w:val="none" w:sz="0" w:space="0" w:color="auto"/>
            <w:right w:val="none" w:sz="0" w:space="0" w:color="auto"/>
          </w:divBdr>
          <w:divsChild>
            <w:div w:id="12456469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27081323">
      <w:bodyDiv w:val="1"/>
      <w:marLeft w:val="0"/>
      <w:marRight w:val="0"/>
      <w:marTop w:val="0"/>
      <w:marBottom w:val="0"/>
      <w:divBdr>
        <w:top w:val="none" w:sz="0" w:space="0" w:color="auto"/>
        <w:left w:val="none" w:sz="0" w:space="0" w:color="auto"/>
        <w:bottom w:val="none" w:sz="0" w:space="0" w:color="auto"/>
        <w:right w:val="none" w:sz="0" w:space="0" w:color="auto"/>
      </w:divBdr>
    </w:div>
    <w:div w:id="1683895749">
      <w:bodyDiv w:val="1"/>
      <w:marLeft w:val="0"/>
      <w:marRight w:val="0"/>
      <w:marTop w:val="0"/>
      <w:marBottom w:val="0"/>
      <w:divBdr>
        <w:top w:val="none" w:sz="0" w:space="0" w:color="auto"/>
        <w:left w:val="none" w:sz="0" w:space="0" w:color="auto"/>
        <w:bottom w:val="none" w:sz="0" w:space="0" w:color="auto"/>
        <w:right w:val="none" w:sz="0" w:space="0" w:color="auto"/>
      </w:divBdr>
      <w:divsChild>
        <w:div w:id="61024762">
          <w:marLeft w:val="0"/>
          <w:marRight w:val="0"/>
          <w:marTop w:val="240"/>
          <w:marBottom w:val="0"/>
          <w:divBdr>
            <w:top w:val="none" w:sz="0" w:space="0" w:color="auto"/>
            <w:left w:val="none" w:sz="0" w:space="0" w:color="auto"/>
            <w:bottom w:val="none" w:sz="0" w:space="0" w:color="auto"/>
            <w:right w:val="none" w:sz="0" w:space="0" w:color="auto"/>
          </w:divBdr>
          <w:divsChild>
            <w:div w:id="700932613">
              <w:marLeft w:val="0"/>
              <w:marRight w:val="60"/>
              <w:marTop w:val="30"/>
              <w:marBottom w:val="0"/>
              <w:divBdr>
                <w:top w:val="none" w:sz="0" w:space="0" w:color="auto"/>
                <w:left w:val="none" w:sz="0" w:space="0" w:color="auto"/>
                <w:bottom w:val="none" w:sz="0" w:space="0" w:color="auto"/>
                <w:right w:val="none" w:sz="0" w:space="0" w:color="auto"/>
              </w:divBdr>
            </w:div>
          </w:divsChild>
        </w:div>
        <w:div w:id="1407217066">
          <w:marLeft w:val="0"/>
          <w:marRight w:val="0"/>
          <w:marTop w:val="0"/>
          <w:marBottom w:val="0"/>
          <w:divBdr>
            <w:top w:val="none" w:sz="0" w:space="0" w:color="auto"/>
            <w:left w:val="none" w:sz="0" w:space="0" w:color="auto"/>
            <w:bottom w:val="none" w:sz="0" w:space="0" w:color="auto"/>
            <w:right w:val="none" w:sz="0" w:space="0" w:color="auto"/>
          </w:divBdr>
          <w:divsChild>
            <w:div w:id="1222328800">
              <w:marLeft w:val="0"/>
              <w:marRight w:val="0"/>
              <w:marTop w:val="0"/>
              <w:marBottom w:val="0"/>
              <w:divBdr>
                <w:top w:val="none" w:sz="0" w:space="0" w:color="auto"/>
                <w:left w:val="none" w:sz="0" w:space="0" w:color="auto"/>
                <w:bottom w:val="none" w:sz="0" w:space="0" w:color="auto"/>
                <w:right w:val="none" w:sz="0" w:space="0" w:color="auto"/>
              </w:divBdr>
              <w:divsChild>
                <w:div w:id="839852857">
                  <w:marLeft w:val="0"/>
                  <w:marRight w:val="0"/>
                  <w:marTop w:val="0"/>
                  <w:marBottom w:val="0"/>
                  <w:divBdr>
                    <w:top w:val="none" w:sz="0" w:space="0" w:color="auto"/>
                    <w:left w:val="none" w:sz="0" w:space="0" w:color="auto"/>
                    <w:bottom w:val="none" w:sz="0" w:space="0" w:color="auto"/>
                    <w:right w:val="none" w:sz="0" w:space="0" w:color="auto"/>
                  </w:divBdr>
                  <w:divsChild>
                    <w:div w:id="9436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0770">
      <w:bodyDiv w:val="1"/>
      <w:marLeft w:val="0"/>
      <w:marRight w:val="0"/>
      <w:marTop w:val="0"/>
      <w:marBottom w:val="0"/>
      <w:divBdr>
        <w:top w:val="none" w:sz="0" w:space="0" w:color="auto"/>
        <w:left w:val="none" w:sz="0" w:space="0" w:color="auto"/>
        <w:bottom w:val="none" w:sz="0" w:space="0" w:color="auto"/>
        <w:right w:val="none" w:sz="0" w:space="0" w:color="auto"/>
      </w:divBdr>
    </w:div>
    <w:div w:id="1717125773">
      <w:bodyDiv w:val="1"/>
      <w:marLeft w:val="0"/>
      <w:marRight w:val="0"/>
      <w:marTop w:val="0"/>
      <w:marBottom w:val="0"/>
      <w:divBdr>
        <w:top w:val="none" w:sz="0" w:space="0" w:color="auto"/>
        <w:left w:val="none" w:sz="0" w:space="0" w:color="auto"/>
        <w:bottom w:val="none" w:sz="0" w:space="0" w:color="auto"/>
        <w:right w:val="none" w:sz="0" w:space="0" w:color="auto"/>
      </w:divBdr>
    </w:div>
    <w:div w:id="1729642042">
      <w:bodyDiv w:val="1"/>
      <w:marLeft w:val="0"/>
      <w:marRight w:val="0"/>
      <w:marTop w:val="0"/>
      <w:marBottom w:val="0"/>
      <w:divBdr>
        <w:top w:val="none" w:sz="0" w:space="0" w:color="auto"/>
        <w:left w:val="none" w:sz="0" w:space="0" w:color="auto"/>
        <w:bottom w:val="none" w:sz="0" w:space="0" w:color="auto"/>
        <w:right w:val="none" w:sz="0" w:space="0" w:color="auto"/>
      </w:divBdr>
    </w:div>
    <w:div w:id="1734963715">
      <w:bodyDiv w:val="1"/>
      <w:marLeft w:val="0"/>
      <w:marRight w:val="0"/>
      <w:marTop w:val="0"/>
      <w:marBottom w:val="0"/>
      <w:divBdr>
        <w:top w:val="none" w:sz="0" w:space="0" w:color="auto"/>
        <w:left w:val="none" w:sz="0" w:space="0" w:color="auto"/>
        <w:bottom w:val="none" w:sz="0" w:space="0" w:color="auto"/>
        <w:right w:val="none" w:sz="0" w:space="0" w:color="auto"/>
      </w:divBdr>
      <w:divsChild>
        <w:div w:id="1583906417">
          <w:marLeft w:val="0"/>
          <w:marRight w:val="0"/>
          <w:marTop w:val="0"/>
          <w:marBottom w:val="0"/>
          <w:divBdr>
            <w:top w:val="none" w:sz="0" w:space="0" w:color="auto"/>
            <w:left w:val="none" w:sz="0" w:space="0" w:color="auto"/>
            <w:bottom w:val="none" w:sz="0" w:space="0" w:color="auto"/>
            <w:right w:val="none" w:sz="0" w:space="0" w:color="auto"/>
          </w:divBdr>
          <w:divsChild>
            <w:div w:id="1032728168">
              <w:marLeft w:val="0"/>
              <w:marRight w:val="0"/>
              <w:marTop w:val="0"/>
              <w:marBottom w:val="0"/>
              <w:divBdr>
                <w:top w:val="none" w:sz="0" w:space="0" w:color="auto"/>
                <w:left w:val="none" w:sz="0" w:space="0" w:color="auto"/>
                <w:bottom w:val="none" w:sz="0" w:space="0" w:color="auto"/>
                <w:right w:val="none" w:sz="0" w:space="0" w:color="auto"/>
              </w:divBdr>
            </w:div>
          </w:divsChild>
        </w:div>
        <w:div w:id="1379547923">
          <w:marLeft w:val="0"/>
          <w:marRight w:val="0"/>
          <w:marTop w:val="0"/>
          <w:marBottom w:val="0"/>
          <w:divBdr>
            <w:top w:val="none" w:sz="0" w:space="0" w:color="auto"/>
            <w:left w:val="none" w:sz="0" w:space="0" w:color="auto"/>
            <w:bottom w:val="none" w:sz="0" w:space="0" w:color="auto"/>
            <w:right w:val="none" w:sz="0" w:space="0" w:color="auto"/>
          </w:divBdr>
          <w:divsChild>
            <w:div w:id="1313095837">
              <w:marLeft w:val="0"/>
              <w:marRight w:val="0"/>
              <w:marTop w:val="0"/>
              <w:marBottom w:val="0"/>
              <w:divBdr>
                <w:top w:val="none" w:sz="0" w:space="0" w:color="auto"/>
                <w:left w:val="none" w:sz="0" w:space="0" w:color="auto"/>
                <w:bottom w:val="none" w:sz="0" w:space="0" w:color="auto"/>
                <w:right w:val="none" w:sz="0" w:space="0" w:color="auto"/>
              </w:divBdr>
              <w:divsChild>
                <w:div w:id="329336552">
                  <w:marLeft w:val="0"/>
                  <w:marRight w:val="0"/>
                  <w:marTop w:val="0"/>
                  <w:marBottom w:val="0"/>
                  <w:divBdr>
                    <w:top w:val="none" w:sz="0" w:space="0" w:color="auto"/>
                    <w:left w:val="none" w:sz="0" w:space="0" w:color="auto"/>
                    <w:bottom w:val="none" w:sz="0" w:space="0" w:color="auto"/>
                    <w:right w:val="none" w:sz="0" w:space="0" w:color="auto"/>
                  </w:divBdr>
                  <w:divsChild>
                    <w:div w:id="13777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9653">
      <w:bodyDiv w:val="1"/>
      <w:marLeft w:val="0"/>
      <w:marRight w:val="0"/>
      <w:marTop w:val="0"/>
      <w:marBottom w:val="0"/>
      <w:divBdr>
        <w:top w:val="none" w:sz="0" w:space="0" w:color="auto"/>
        <w:left w:val="none" w:sz="0" w:space="0" w:color="auto"/>
        <w:bottom w:val="none" w:sz="0" w:space="0" w:color="auto"/>
        <w:right w:val="none" w:sz="0" w:space="0" w:color="auto"/>
      </w:divBdr>
      <w:divsChild>
        <w:div w:id="890311407">
          <w:marLeft w:val="0"/>
          <w:marRight w:val="0"/>
          <w:marTop w:val="240"/>
          <w:marBottom w:val="0"/>
          <w:divBdr>
            <w:top w:val="none" w:sz="0" w:space="0" w:color="auto"/>
            <w:left w:val="none" w:sz="0" w:space="0" w:color="auto"/>
            <w:bottom w:val="none" w:sz="0" w:space="0" w:color="auto"/>
            <w:right w:val="none" w:sz="0" w:space="0" w:color="auto"/>
          </w:divBdr>
          <w:divsChild>
            <w:div w:id="484014370">
              <w:marLeft w:val="0"/>
              <w:marRight w:val="60"/>
              <w:marTop w:val="30"/>
              <w:marBottom w:val="0"/>
              <w:divBdr>
                <w:top w:val="none" w:sz="0" w:space="0" w:color="auto"/>
                <w:left w:val="none" w:sz="0" w:space="0" w:color="auto"/>
                <w:bottom w:val="none" w:sz="0" w:space="0" w:color="auto"/>
                <w:right w:val="none" w:sz="0" w:space="0" w:color="auto"/>
              </w:divBdr>
            </w:div>
          </w:divsChild>
        </w:div>
        <w:div w:id="780955473">
          <w:marLeft w:val="0"/>
          <w:marRight w:val="0"/>
          <w:marTop w:val="0"/>
          <w:marBottom w:val="0"/>
          <w:divBdr>
            <w:top w:val="none" w:sz="0" w:space="0" w:color="auto"/>
            <w:left w:val="none" w:sz="0" w:space="0" w:color="auto"/>
            <w:bottom w:val="none" w:sz="0" w:space="0" w:color="auto"/>
            <w:right w:val="none" w:sz="0" w:space="0" w:color="auto"/>
          </w:divBdr>
          <w:divsChild>
            <w:div w:id="733428418">
              <w:marLeft w:val="0"/>
              <w:marRight w:val="0"/>
              <w:marTop w:val="0"/>
              <w:marBottom w:val="0"/>
              <w:divBdr>
                <w:top w:val="none" w:sz="0" w:space="0" w:color="auto"/>
                <w:left w:val="none" w:sz="0" w:space="0" w:color="auto"/>
                <w:bottom w:val="none" w:sz="0" w:space="0" w:color="auto"/>
                <w:right w:val="none" w:sz="0" w:space="0" w:color="auto"/>
              </w:divBdr>
              <w:divsChild>
                <w:div w:id="1657147818">
                  <w:marLeft w:val="0"/>
                  <w:marRight w:val="0"/>
                  <w:marTop w:val="0"/>
                  <w:marBottom w:val="0"/>
                  <w:divBdr>
                    <w:top w:val="none" w:sz="0" w:space="0" w:color="auto"/>
                    <w:left w:val="none" w:sz="0" w:space="0" w:color="auto"/>
                    <w:bottom w:val="none" w:sz="0" w:space="0" w:color="auto"/>
                    <w:right w:val="none" w:sz="0" w:space="0" w:color="auto"/>
                  </w:divBdr>
                  <w:divsChild>
                    <w:div w:id="8981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6840">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2">
          <w:marLeft w:val="0"/>
          <w:marRight w:val="0"/>
          <w:marTop w:val="0"/>
          <w:marBottom w:val="0"/>
          <w:divBdr>
            <w:top w:val="none" w:sz="0" w:space="0" w:color="auto"/>
            <w:left w:val="none" w:sz="0" w:space="0" w:color="auto"/>
            <w:bottom w:val="none" w:sz="0" w:space="0" w:color="auto"/>
            <w:right w:val="none" w:sz="0" w:space="0" w:color="auto"/>
          </w:divBdr>
          <w:divsChild>
            <w:div w:id="1773668512">
              <w:marLeft w:val="0"/>
              <w:marRight w:val="0"/>
              <w:marTop w:val="0"/>
              <w:marBottom w:val="0"/>
              <w:divBdr>
                <w:top w:val="none" w:sz="0" w:space="0" w:color="auto"/>
                <w:left w:val="none" w:sz="0" w:space="0" w:color="auto"/>
                <w:bottom w:val="none" w:sz="0" w:space="0" w:color="auto"/>
                <w:right w:val="none" w:sz="0" w:space="0" w:color="auto"/>
              </w:divBdr>
              <w:divsChild>
                <w:div w:id="1176962191">
                  <w:marLeft w:val="0"/>
                  <w:marRight w:val="0"/>
                  <w:marTop w:val="0"/>
                  <w:marBottom w:val="0"/>
                  <w:divBdr>
                    <w:top w:val="none" w:sz="0" w:space="0" w:color="auto"/>
                    <w:left w:val="none" w:sz="0" w:space="0" w:color="auto"/>
                    <w:bottom w:val="none" w:sz="0" w:space="0" w:color="auto"/>
                    <w:right w:val="none" w:sz="0" w:space="0" w:color="auto"/>
                  </w:divBdr>
                  <w:divsChild>
                    <w:div w:id="20806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465">
          <w:marLeft w:val="0"/>
          <w:marRight w:val="0"/>
          <w:marTop w:val="240"/>
          <w:marBottom w:val="0"/>
          <w:divBdr>
            <w:top w:val="none" w:sz="0" w:space="0" w:color="auto"/>
            <w:left w:val="none" w:sz="0" w:space="0" w:color="auto"/>
            <w:bottom w:val="none" w:sz="0" w:space="0" w:color="auto"/>
            <w:right w:val="none" w:sz="0" w:space="0" w:color="auto"/>
          </w:divBdr>
          <w:divsChild>
            <w:div w:id="153885952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855991275">
      <w:bodyDiv w:val="1"/>
      <w:marLeft w:val="0"/>
      <w:marRight w:val="0"/>
      <w:marTop w:val="0"/>
      <w:marBottom w:val="0"/>
      <w:divBdr>
        <w:top w:val="none" w:sz="0" w:space="0" w:color="auto"/>
        <w:left w:val="none" w:sz="0" w:space="0" w:color="auto"/>
        <w:bottom w:val="none" w:sz="0" w:space="0" w:color="auto"/>
        <w:right w:val="none" w:sz="0" w:space="0" w:color="auto"/>
      </w:divBdr>
    </w:div>
    <w:div w:id="1893734113">
      <w:bodyDiv w:val="1"/>
      <w:marLeft w:val="0"/>
      <w:marRight w:val="0"/>
      <w:marTop w:val="0"/>
      <w:marBottom w:val="0"/>
      <w:divBdr>
        <w:top w:val="none" w:sz="0" w:space="0" w:color="auto"/>
        <w:left w:val="none" w:sz="0" w:space="0" w:color="auto"/>
        <w:bottom w:val="none" w:sz="0" w:space="0" w:color="auto"/>
        <w:right w:val="none" w:sz="0" w:space="0" w:color="auto"/>
      </w:divBdr>
      <w:divsChild>
        <w:div w:id="1841965169">
          <w:marLeft w:val="0"/>
          <w:marRight w:val="0"/>
          <w:marTop w:val="0"/>
          <w:marBottom w:val="0"/>
          <w:divBdr>
            <w:top w:val="none" w:sz="0" w:space="0" w:color="auto"/>
            <w:left w:val="none" w:sz="0" w:space="0" w:color="auto"/>
            <w:bottom w:val="none" w:sz="0" w:space="0" w:color="auto"/>
            <w:right w:val="none" w:sz="0" w:space="0" w:color="auto"/>
          </w:divBdr>
          <w:divsChild>
            <w:div w:id="1032340461">
              <w:marLeft w:val="0"/>
              <w:marRight w:val="0"/>
              <w:marTop w:val="0"/>
              <w:marBottom w:val="0"/>
              <w:divBdr>
                <w:top w:val="none" w:sz="0" w:space="0" w:color="auto"/>
                <w:left w:val="none" w:sz="0" w:space="0" w:color="auto"/>
                <w:bottom w:val="none" w:sz="0" w:space="0" w:color="auto"/>
                <w:right w:val="none" w:sz="0" w:space="0" w:color="auto"/>
              </w:divBdr>
              <w:divsChild>
                <w:div w:id="770930444">
                  <w:marLeft w:val="0"/>
                  <w:marRight w:val="0"/>
                  <w:marTop w:val="0"/>
                  <w:marBottom w:val="0"/>
                  <w:divBdr>
                    <w:top w:val="none" w:sz="0" w:space="0" w:color="auto"/>
                    <w:left w:val="none" w:sz="0" w:space="0" w:color="auto"/>
                    <w:bottom w:val="none" w:sz="0" w:space="0" w:color="auto"/>
                    <w:right w:val="none" w:sz="0" w:space="0" w:color="auto"/>
                  </w:divBdr>
                  <w:divsChild>
                    <w:div w:id="6460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5921">
          <w:marLeft w:val="0"/>
          <w:marRight w:val="0"/>
          <w:marTop w:val="240"/>
          <w:marBottom w:val="0"/>
          <w:divBdr>
            <w:top w:val="none" w:sz="0" w:space="0" w:color="auto"/>
            <w:left w:val="none" w:sz="0" w:space="0" w:color="auto"/>
            <w:bottom w:val="none" w:sz="0" w:space="0" w:color="auto"/>
            <w:right w:val="none" w:sz="0" w:space="0" w:color="auto"/>
          </w:divBdr>
          <w:divsChild>
            <w:div w:id="14470435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20408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6" Type="http://schemas.openxmlformats.org/officeDocument/2006/relationships/hyperlink" Target="https://www.eca.europa.eu/el/publications?did=47201" TargetMode="External"/><Relationship Id="rId39" Type="http://schemas.openxmlformats.org/officeDocument/2006/relationships/footer" Target="footer9.xml"/><Relationship Id="rId21" Type="http://schemas.openxmlformats.org/officeDocument/2006/relationships/hyperlink" Target="https://eur-lex.europa.eu/legal-content/EN/TXT/?uri=celex%3A52022SC0158" TargetMode="External"/><Relationship Id="rId34" Type="http://schemas.openxmlformats.org/officeDocument/2006/relationships/header" Target="header3.xml"/><Relationship Id="rId42" Type="http://schemas.openxmlformats.org/officeDocument/2006/relationships/header" Target="header7.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bookmark://_bill__akn_article_BG6Seo_VYhe2Y" TargetMode="External"/><Relationship Id="rId29" Type="http://schemas.openxmlformats.org/officeDocument/2006/relationships/hyperlink" Target="https://taxation-customs.ec.europa.eu/customs-4/electronic-customs_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ca.europa.eu/el/publications?did=58256" TargetMode="External"/><Relationship Id="rId32" Type="http://schemas.openxmlformats.org/officeDocument/2006/relationships/header" Target="header2.xml"/><Relationship Id="rId37" Type="http://schemas.openxmlformats.org/officeDocument/2006/relationships/footer" Target="footer8.xml"/><Relationship Id="rId40" Type="http://schemas.openxmlformats.org/officeDocument/2006/relationships/header" Target="header6.xml"/><Relationship Id="rId45"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https://www.eca.europa.eu/el/publications?did=58256" TargetMode="External"/><Relationship Id="rId28" Type="http://schemas.openxmlformats.org/officeDocument/2006/relationships/hyperlink" Target="https://www.eca.europa.eu/el/publications?did=47201"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31" Type="http://schemas.openxmlformats.org/officeDocument/2006/relationships/footer" Target="footer5.xml"/><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ca.europa.eu/el/publications?did=58256" TargetMode="External"/><Relationship Id="rId27" Type="http://schemas.openxmlformats.org/officeDocument/2006/relationships/hyperlink" Target="https://www.eca.europa.eu/el/publications?did=47201" TargetMode="External"/><Relationship Id="rId30" Type="http://schemas.openxmlformats.org/officeDocument/2006/relationships/header" Target="header1.xml"/><Relationship Id="rId35" Type="http://schemas.openxmlformats.org/officeDocument/2006/relationships/footer" Target="footer7.xml"/><Relationship Id="rId43"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5" Type="http://schemas.openxmlformats.org/officeDocument/2006/relationships/hyperlink" Target="https://taxation-customs.ec.europa.eu/news/report-wise-persons-group-reform-eu-customs-union-2022-03-31_el" TargetMode="External"/><Relationship Id="rId33" Type="http://schemas.openxmlformats.org/officeDocument/2006/relationships/footer" Target="footer6.xml"/><Relationship Id="rId38" Type="http://schemas.openxmlformats.org/officeDocument/2006/relationships/header" Target="header5.xml"/><Relationship Id="rId46" Type="http://schemas.openxmlformats.org/officeDocument/2006/relationships/fontTable" Target="fontTable.xml"/><Relationship Id="rId20" Type="http://schemas.openxmlformats.org/officeDocument/2006/relationships/hyperlink" Target="https://eur-lex.europa.eu/legal-content/EL/TXT/PDF/?uri=COM:2022:635:FIN" TargetMode="External"/><Relationship Id="rId41"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18_26/SR_CUSTOMS_IT_EL.pdf" TargetMode="External"/><Relationship Id="rId13" Type="http://schemas.openxmlformats.org/officeDocument/2006/relationships/hyperlink" Target="https://home-affairs.ec.europa.eu/policies/law-enforcement-cooperation/operational-cooperation_el" TargetMode="External"/><Relationship Id="rId3" Type="http://schemas.openxmlformats.org/officeDocument/2006/relationships/hyperlink" Target="https://taxation-customs.ec.europa.eu/system/files/2020-09/customs-action-plan-2020_el.pdf" TargetMode="External"/><Relationship Id="rId7" Type="http://schemas.openxmlformats.org/officeDocument/2006/relationships/hyperlink" Target="https://www.eca.europa.eu/Lists/ECADocuments/SR21_04/SR_Customs_controls_EL.pdf" TargetMode="External"/><Relationship Id="rId12" Type="http://schemas.openxmlformats.org/officeDocument/2006/relationships/hyperlink" Target="https://op.europa.eu/el/publication-detail/-/publication/d2f48d8b-b0a4-11ec-83e1-01aa75ed71a1" TargetMode="External"/><Relationship Id="rId2" Type="http://schemas.openxmlformats.org/officeDocument/2006/relationships/hyperlink" Target="https://commission.europa.eu/system/files/2020-03/political-guidelines-next-commission_en.pdf" TargetMode="External"/><Relationship Id="rId1" Type="http://schemas.openxmlformats.org/officeDocument/2006/relationships/hyperlink" Target="https://oeil.secure.europarl.europa.eu/oeil/popups/ficheprocedure.do?lang=en&amp;reference=2022/3015(RSP)" TargetMode="External"/><Relationship Id="rId6" Type="http://schemas.openxmlformats.org/officeDocument/2006/relationships/hyperlink" Target="https://taxation-customs.ec.europa.eu/system/files/2022-03/TAX-20-002-Future%20customs-REPORT_BIS_v5%20%28WEB%29.pdf" TargetMode="External"/><Relationship Id="rId11" Type="http://schemas.openxmlformats.org/officeDocument/2006/relationships/hyperlink" Target="https://commission.europa.eu/publications/2022-commission-work-programme-key-documents_el" TargetMode="External"/><Relationship Id="rId5" Type="http://schemas.openxmlformats.org/officeDocument/2006/relationships/hyperlink" Target="https://publications.jrc.ec.europa.eu/repository/bitstream/JRC121859/the_future_of_customs_in_the_eu_2040_report_final2_online_1.pdf" TargetMode="External"/><Relationship Id="rId15" Type="http://schemas.openxmlformats.org/officeDocument/2006/relationships/hyperlink" Target="https://european-union.europa.eu/system/files/2022-06/joint_statement_on_decentralised_agencies_en.pdf" TargetMode="External"/><Relationship Id="rId10" Type="http://schemas.openxmlformats.org/officeDocument/2006/relationships/hyperlink" Target="https://op.europa.eu/webpub/eca/special-reports/eu-customs-19-2017/el/" TargetMode="External"/><Relationship Id="rId4" Type="http://schemas.openxmlformats.org/officeDocument/2006/relationships/hyperlink" Target="https://eur-lex.europa.eu/legal-content/EN/TXT/PDF/?uri=CELEX:52022SC0158&amp;from=EN" TargetMode="External"/><Relationship Id="rId9" Type="http://schemas.openxmlformats.org/officeDocument/2006/relationships/hyperlink" Target="https://www.eca.europa.eu/Lists/ECADocuments/SR19_12/SR_E-COMMERCE_VULNERABILITY_TO_TAX_FRAUD_EL.pdf" TargetMode="External"/><Relationship Id="rId14" Type="http://schemas.openxmlformats.org/officeDocument/2006/relationships/hyperlink" Target="https://ec.europa.eu/info/law/better-regulation/have-your-say/initiatives/13316-%CE%91%CE%BD%CE%B1%CE%B8%CE%B5%CF%89%CF%81%CE%B7%CF%83%CE%B7-%CF%84%CE%BF%CF%85-%CE%B5%CE%BD%CF%89%CF%83%CE%B9%CE%B1%CE%BA%CE%BF%CF%85-%CF%84%CE%B5%CE%BB%CF%89%CE%BD%CE%B5%CE%B9%CE%B1%CE%BA%CE%BF%CF%85-%CE%BA%CF%89%CE%B4%CE%B9%CE%BA%CE%B1_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C_Collab_DocumentLanguage xmlns="be695353-483f-4291-a26d-4153b7d4f496">EN</EC_Collab_DocumentLanguage>
    <EC_Collab_Reference xmlns="be695353-483f-4291-a26d-4153b7d4f496" xsi:nil="true"/>
    <EC_Collab_Status xmlns="be695353-483f-4291-a26d-4153b7d4f496">Draft</EC_Collab_Status>
    <SharedWithUsers xmlns="230e2f6b-67a1-4bbe-836c-6cf83f4215af">
      <UserInfo>
        <DisplayName>EGGERS Barbara</DisplayName>
        <AccountId>9177</AccountId>
        <AccountType/>
      </UserInfo>
      <UserInfo>
        <DisplayName>HERRMANN Katarzyna</DisplayName>
        <AccountId>9180</AccountId>
        <AccountType/>
      </UserInfo>
      <UserInfo>
        <DisplayName>KRANENBORG Herke</DisplayName>
        <AccountId>9181</AccountId>
        <AccountType/>
      </UserInfo>
      <UserInfo>
        <DisplayName>BOUCHAGIAR Antonios</DisplayName>
        <AccountId>9182</AccountId>
        <AccountType/>
      </UserInfo>
      <UserInfo>
        <DisplayName>VOLLRATH Christian</DisplayName>
        <AccountId>9183</AccountId>
        <AccountType/>
      </UserInfo>
      <UserInfo>
        <DisplayName>MARTENCZUK Bernd</DisplayName>
        <AccountId>7491</AccountId>
        <AccountType/>
      </UserInfo>
      <UserInfo>
        <DisplayName>CARPUS CARCEA Mihaela</DisplayName>
        <AccountId>3986</AccountId>
        <AccountType/>
      </UserInfo>
      <UserInfo>
        <DisplayName>PETHKE Ralph</DisplayName>
        <AccountId>3956</AccountId>
        <AccountType/>
      </UserInfo>
      <UserInfo>
        <DisplayName>LUENGO Gustavo</DisplayName>
        <AccountId>5293</AccountId>
        <AccountType/>
      </UserInfo>
      <UserInfo>
        <DisplayName>PEROLAT Michele</DisplayName>
        <AccountId>182</AccountId>
        <AccountType/>
      </UserInfo>
      <UserInfo>
        <DisplayName>NISTOR Catalina</DisplayName>
        <AccountId>4257</AccountId>
        <AccountType/>
      </UserInfo>
    </SharedWithUsers>
  </documentManagement>
</p:properties>
</file>

<file path=customXml/itemProps1.xml><?xml version="1.0" encoding="utf-8"?>
<ds:datastoreItem xmlns:ds="http://schemas.openxmlformats.org/officeDocument/2006/customXml" ds:itemID="{936BB70E-2F9B-42DF-A8E9-279C63C78363}">
  <ds:schemaRefs>
    <ds:schemaRef ds:uri="http://schemas.microsoft.com/sharepoint/v3/contenttype/forms"/>
  </ds:schemaRefs>
</ds:datastoreItem>
</file>

<file path=customXml/itemProps2.xml><?xml version="1.0" encoding="utf-8"?>
<ds:datastoreItem xmlns:ds="http://schemas.openxmlformats.org/officeDocument/2006/customXml" ds:itemID="{9E61F7B5-5DAC-4CB5-943C-C8413B41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B902E-85D6-4DAF-921C-B07C5AFA192E}">
  <ds:schemaRefs>
    <ds:schemaRef ds:uri="http://schemas.openxmlformats.org/officeDocument/2006/bibliography"/>
  </ds:schemaRefs>
</ds:datastoreItem>
</file>

<file path=customXml/itemProps4.xml><?xml version="1.0" encoding="utf-8"?>
<ds:datastoreItem xmlns:ds="http://schemas.openxmlformats.org/officeDocument/2006/customXml" ds:itemID="{F5E401F7-26BC-44A9-A8F6-B8A51E085997}">
  <ds:schemaRefs>
    <ds:schemaRef ds:uri="http://schemas.microsoft.com/office/2006/metadata/properties"/>
    <ds:schemaRef ds:uri="http://schemas.microsoft.com/office/infopath/2007/PartnerControls"/>
    <ds:schemaRef ds:uri="be695353-483f-4291-a26d-4153b7d4f496"/>
    <ds:schemaRef ds:uri="230e2f6b-67a1-4bbe-836c-6cf83f4215af"/>
  </ds:schemaRefs>
</ds:datastoreItem>
</file>

<file path=docProps/app.xml><?xml version="1.0" encoding="utf-8"?>
<Properties xmlns="http://schemas.openxmlformats.org/officeDocument/2006/extended-properties" xmlns:vt="http://schemas.openxmlformats.org/officeDocument/2006/docPropsVTypes">
  <Template>COM</Template>
  <TotalTime>19</TotalTime>
  <Pages>1</Pages>
  <Words>109178</Words>
  <Characters>640878</Characters>
  <Application>Microsoft Office Word</Application>
  <DocSecurity>0</DocSecurity>
  <Lines>13079</Lines>
  <Paragraphs>4870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 CoDe</dc:creator>
  <cp:keywords/>
  <dc:description/>
  <cp:lastModifiedBy>KAISAS Dimitrios (DGT)</cp:lastModifiedBy>
  <cp:revision>6</cp:revision>
  <dcterms:created xsi:type="dcterms:W3CDTF">2023-05-16T12:15:00Z</dcterms:created>
  <dcterms:modified xsi:type="dcterms:W3CDTF">2023-09-06T15:05:00Z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9.0, Build 20230303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ContentTypeId">
    <vt:lpwstr>0x010100258AA79CEB83498886A3A086811232500084B9496ACF2852459133A2D91F22ABF6</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2023-03-28T13:56:49Z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fe95baa0-3c87-4b9f-84e9-891c96696a3b</vt:lpwstr>
  </property>
  <property fmtid="{D5CDD505-2E9C-101B-9397-08002B2CF9AE}" pid="15" name="MSIP_Label_6bd9ddd1-4d20-43f6-abfa-fc3c07406f94_ContentBits">
    <vt:lpwstr>0</vt:lpwstr>
  </property>
  <property fmtid="{D5CDD505-2E9C-101B-9397-08002B2CF9AE}" pid="16" name="Last edited using">
    <vt:lpwstr>LW 9.0, Build 20230317</vt:lpwstr>
  </property>
  <property fmtid="{D5CDD505-2E9C-101B-9397-08002B2CF9AE}" pid="17" name="DQCStatus">
    <vt:lpwstr>Green (DQC version 03)</vt:lpwstr>
  </property>
</Properties>
</file>